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charts/chart2.xml" ContentType="application/vnd.openxmlformats-officedocument.drawingml.chart+xml"/>
  <Override PartName="/word/theme/themeOverride1.xml" ContentType="application/vnd.openxmlformats-officedocument.themeOverride+xml"/>
  <Override PartName="/word/charts/chart3.xml" ContentType="application/vnd.openxmlformats-officedocument.drawingml.chart+xml"/>
  <Override PartName="/word/theme/themeOverride2.xml" ContentType="application/vnd.openxmlformats-officedocument.themeOverride+xml"/>
  <Override PartName="/word/charts/chart4.xml" ContentType="application/vnd.openxmlformats-officedocument.drawingml.chart+xml"/>
  <Override PartName="/word/theme/themeOverride3.xml" ContentType="application/vnd.openxmlformats-officedocument.themeOverride+xml"/>
  <Override PartName="/word/charts/chart5.xml" ContentType="application/vnd.openxmlformats-officedocument.drawingml.chart+xml"/>
  <Override PartName="/word/theme/themeOverride4.xml" ContentType="application/vnd.openxmlformats-officedocument.themeOverride+xml"/>
  <Override PartName="/word/charts/chart6.xml" ContentType="application/vnd.openxmlformats-officedocument.drawingml.chart+xml"/>
  <Override PartName="/word/theme/themeOverride5.xml" ContentType="application/vnd.openxmlformats-officedocument.themeOverride+xml"/>
  <Override PartName="/word/charts/chart7.xml" ContentType="application/vnd.openxmlformats-officedocument.drawingml.chart+xml"/>
  <Override PartName="/word/theme/themeOverride6.xml" ContentType="application/vnd.openxmlformats-officedocument.themeOverride+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43632" w:rsidRPr="00E97254" w:rsidRDefault="003E362D" w:rsidP="000C0250">
      <w:pPr>
        <w:pStyle w:val="BodyText"/>
        <w:spacing w:line="276" w:lineRule="auto"/>
        <w:jc w:val="both"/>
        <w:rPr>
          <w:rFonts w:ascii="Calibri" w:hAnsi="Calibri" w:cs="Calibri"/>
          <w:sz w:val="32"/>
          <w:szCs w:val="32"/>
          <w:lang w:val="sq-AL"/>
        </w:rPr>
      </w:pPr>
      <w:r w:rsidRPr="00E97254">
        <w:rPr>
          <w:noProof/>
          <w:lang w:val="en-US"/>
        </w:rPr>
        <w:drawing>
          <wp:anchor distT="0" distB="0" distL="114300" distR="114300" simplePos="0" relativeHeight="251660800" behindDoc="0" locked="0" layoutInCell="1" allowOverlap="1">
            <wp:simplePos x="0" y="0"/>
            <wp:positionH relativeFrom="column">
              <wp:posOffset>267335</wp:posOffset>
            </wp:positionH>
            <wp:positionV relativeFrom="paragraph">
              <wp:posOffset>0</wp:posOffset>
            </wp:positionV>
            <wp:extent cx="1208405" cy="112395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a:extLst>
                        <a:ext uri="{28A0092B-C50C-407E-A947-70E740481C1C}">
                          <a14:useLocalDpi xmlns:a14="http://schemas.microsoft.com/office/drawing/2010/main" val="0"/>
                        </a:ext>
                      </a:extLst>
                    </a:blip>
                    <a:srcRect l="25610" r="25388" b="13273"/>
                    <a:stretch/>
                  </pic:blipFill>
                  <pic:spPr bwMode="auto">
                    <a:xfrm>
                      <a:off x="0" y="0"/>
                      <a:ext cx="1208405" cy="1123950"/>
                    </a:xfrm>
                    <a:prstGeom prst="rect">
                      <a:avLst/>
                    </a:prstGeom>
                    <a:noFill/>
                    <a:ln>
                      <a:noFill/>
                    </a:ln>
                    <a:extLst>
                      <a:ext uri="{53640926-AAD7-44d8-BBD7-CCE9431645EC}">
                        <a14:shadowObscured xmlns:ve="http://schemas.openxmlformats.org/markup-compatibility/2006"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http://schemas.microsoft.com/office/word/2018/wordml" xmlns:w16cex="http://schemas.microsoft.com/office/word/2018/wordml/cex"/>
                      </a:ext>
                    </a:extLst>
                  </pic:spPr>
                </pic:pic>
              </a:graphicData>
            </a:graphic>
          </wp:anchor>
        </w:drawing>
      </w:r>
      <w:r w:rsidRPr="00E97254">
        <w:rPr>
          <w:noProof/>
          <w:lang w:val="en-US"/>
        </w:rPr>
        <w:drawing>
          <wp:anchor distT="0" distB="0" distL="114300" distR="114300" simplePos="0" relativeHeight="251654656" behindDoc="0" locked="0" layoutInCell="1" allowOverlap="1">
            <wp:simplePos x="0" y="0"/>
            <wp:positionH relativeFrom="margin">
              <wp:posOffset>3245568</wp:posOffset>
            </wp:positionH>
            <wp:positionV relativeFrom="paragraph">
              <wp:posOffset>166418</wp:posOffset>
            </wp:positionV>
            <wp:extent cx="2612390" cy="335280"/>
            <wp:effectExtent l="0" t="0" r="0" b="7620"/>
            <wp:wrapThrough wrapText="bothSides">
              <wp:wrapPolygon edited="0">
                <wp:start x="8033" y="0"/>
                <wp:lineTo x="0" y="2455"/>
                <wp:lineTo x="0" y="17182"/>
                <wp:lineTo x="8033" y="20864"/>
                <wp:lineTo x="8821" y="20864"/>
                <wp:lineTo x="16854" y="20864"/>
                <wp:lineTo x="21421" y="17182"/>
                <wp:lineTo x="21421" y="1227"/>
                <wp:lineTo x="8821" y="0"/>
                <wp:lineTo x="8033"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ICEF_ForEveryChild_Cyan_Horizontal_RGB_ENG.png"/>
                    <pic:cNvPicPr/>
                  </pic:nvPicPr>
                  <pic:blipFill>
                    <a:blip r:embed="rId9">
                      <a:extLst>
                        <a:ext uri="{28A0092B-C50C-407E-A947-70E740481C1C}">
                          <a14:useLocalDpi xmlns:a14="http://schemas.microsoft.com/office/drawing/2010/main" val="0"/>
                        </a:ext>
                      </a:extLst>
                    </a:blip>
                    <a:stretch>
                      <a:fillRect/>
                    </a:stretch>
                  </pic:blipFill>
                  <pic:spPr>
                    <a:xfrm>
                      <a:off x="0" y="0"/>
                      <a:ext cx="2612390" cy="335280"/>
                    </a:xfrm>
                    <a:prstGeom prst="rect">
                      <a:avLst/>
                    </a:prstGeom>
                  </pic:spPr>
                </pic:pic>
              </a:graphicData>
            </a:graphic>
          </wp:anchor>
        </w:drawing>
      </w:r>
    </w:p>
    <w:p w:rsidR="00143632" w:rsidRPr="00E97254" w:rsidRDefault="00143632" w:rsidP="000C0250">
      <w:pPr>
        <w:jc w:val="both"/>
        <w:rPr>
          <w:rFonts w:ascii="Calibri" w:hAnsi="Calibri" w:cs="Calibri"/>
          <w:sz w:val="32"/>
          <w:szCs w:val="32"/>
        </w:rPr>
      </w:pPr>
    </w:p>
    <w:p w:rsidR="00143632" w:rsidRPr="00E97254" w:rsidRDefault="00143632" w:rsidP="000C0250">
      <w:pPr>
        <w:jc w:val="both"/>
        <w:rPr>
          <w:rFonts w:ascii="Calibri" w:hAnsi="Calibri" w:cs="Calibri"/>
          <w:sz w:val="32"/>
          <w:szCs w:val="32"/>
        </w:rPr>
      </w:pPr>
    </w:p>
    <w:p w:rsidR="00143632" w:rsidRPr="00E97254" w:rsidRDefault="00143632" w:rsidP="000C0250">
      <w:pPr>
        <w:tabs>
          <w:tab w:val="left" w:pos="1450"/>
        </w:tabs>
        <w:jc w:val="both"/>
        <w:rPr>
          <w:rFonts w:ascii="Calibri" w:hAnsi="Calibri" w:cs="Calibri"/>
          <w:sz w:val="32"/>
          <w:szCs w:val="32"/>
        </w:rPr>
      </w:pPr>
      <w:r w:rsidRPr="00E97254">
        <w:rPr>
          <w:rFonts w:ascii="Calibri" w:hAnsi="Calibri" w:cs="Calibri"/>
          <w:sz w:val="32"/>
          <w:szCs w:val="32"/>
        </w:rPr>
        <w:tab/>
      </w:r>
    </w:p>
    <w:p w:rsidR="00E16DC2" w:rsidRPr="00E97254" w:rsidRDefault="00E16DC2" w:rsidP="000C0250">
      <w:pPr>
        <w:tabs>
          <w:tab w:val="left" w:pos="1450"/>
        </w:tabs>
        <w:jc w:val="both"/>
        <w:rPr>
          <w:rFonts w:ascii="Calibri" w:hAnsi="Calibri" w:cs="Calibri"/>
          <w:sz w:val="32"/>
          <w:szCs w:val="32"/>
        </w:rPr>
      </w:pPr>
    </w:p>
    <w:p w:rsidR="00E16DC2" w:rsidRPr="00E97254" w:rsidRDefault="00E16DC2" w:rsidP="000C0250">
      <w:pPr>
        <w:tabs>
          <w:tab w:val="left" w:pos="1450"/>
        </w:tabs>
        <w:jc w:val="both"/>
        <w:rPr>
          <w:rFonts w:ascii="Calibri" w:hAnsi="Calibri" w:cs="Calibri"/>
          <w:sz w:val="32"/>
          <w:szCs w:val="32"/>
        </w:rPr>
      </w:pPr>
    </w:p>
    <w:p w:rsidR="00E16DC2" w:rsidRPr="00E97254" w:rsidRDefault="00E16DC2" w:rsidP="000C0250">
      <w:pPr>
        <w:tabs>
          <w:tab w:val="left" w:pos="1450"/>
        </w:tabs>
        <w:jc w:val="both"/>
        <w:rPr>
          <w:rFonts w:ascii="Calibri" w:hAnsi="Calibri" w:cs="Calibri"/>
          <w:sz w:val="32"/>
          <w:szCs w:val="32"/>
        </w:rPr>
      </w:pPr>
    </w:p>
    <w:p w:rsidR="00D653F8" w:rsidRPr="00E97254" w:rsidRDefault="00D653F8" w:rsidP="000C0250">
      <w:pPr>
        <w:tabs>
          <w:tab w:val="left" w:pos="1450"/>
        </w:tabs>
        <w:jc w:val="both"/>
        <w:rPr>
          <w:rFonts w:ascii="Calibri" w:hAnsi="Calibri" w:cs="Calibri"/>
          <w:sz w:val="32"/>
          <w:szCs w:val="32"/>
        </w:rPr>
      </w:pPr>
    </w:p>
    <w:p w:rsidR="00CB2BD7" w:rsidRPr="00E97254" w:rsidRDefault="00CB2BD7" w:rsidP="000C0250">
      <w:pPr>
        <w:autoSpaceDE w:val="0"/>
        <w:autoSpaceDN w:val="0"/>
        <w:spacing w:after="0"/>
        <w:jc w:val="center"/>
        <w:rPr>
          <w:sz w:val="28"/>
          <w:szCs w:val="28"/>
          <w:shd w:val="clear" w:color="auto" w:fill="FFFFFF"/>
        </w:rPr>
      </w:pPr>
      <w:r w:rsidRPr="00E97254">
        <w:rPr>
          <w:sz w:val="40"/>
          <w:szCs w:val="40"/>
          <w:shd w:val="clear" w:color="auto" w:fill="FFFFFF"/>
        </w:rPr>
        <w:t xml:space="preserve">STRATEGJIA </w:t>
      </w:r>
      <w:r w:rsidR="0054717E" w:rsidRPr="00E97254">
        <w:rPr>
          <w:sz w:val="40"/>
          <w:szCs w:val="40"/>
          <w:shd w:val="clear" w:color="auto" w:fill="FFFFFF"/>
        </w:rPr>
        <w:t>KOMBËTA</w:t>
      </w:r>
      <w:r w:rsidRPr="00E97254">
        <w:rPr>
          <w:sz w:val="40"/>
          <w:szCs w:val="40"/>
          <w:shd w:val="clear" w:color="auto" w:fill="FFFFFF"/>
        </w:rPr>
        <w:t>RE E ARSIMIT 2021-2026</w:t>
      </w:r>
    </w:p>
    <w:p w:rsidR="00CB2BD7" w:rsidRPr="00E97254" w:rsidRDefault="00D653F8" w:rsidP="000C0250">
      <w:pPr>
        <w:jc w:val="center"/>
      </w:pPr>
      <w:r w:rsidRPr="00E97254">
        <w:rPr>
          <w:sz w:val="36"/>
        </w:rPr>
        <w:t>Draft</w:t>
      </w:r>
    </w:p>
    <w:p w:rsidR="00D653F8" w:rsidRPr="00E97254" w:rsidRDefault="00D653F8" w:rsidP="000C0250">
      <w:pPr>
        <w:jc w:val="center"/>
      </w:pPr>
    </w:p>
    <w:p w:rsidR="00CB2BD7" w:rsidRPr="00E97254" w:rsidRDefault="00CB2BD7" w:rsidP="000C0250">
      <w:pPr>
        <w:jc w:val="center"/>
      </w:pPr>
    </w:p>
    <w:p w:rsidR="00A36DD4" w:rsidRPr="00E97254" w:rsidRDefault="00A36DD4" w:rsidP="00A36DD4">
      <w:pPr>
        <w:spacing w:after="0"/>
        <w:jc w:val="center"/>
      </w:pPr>
      <w:r w:rsidRPr="00E97254">
        <w:t>Strategji</w:t>
      </w:r>
      <w:r>
        <w:t>a</w:t>
      </w:r>
      <w:r w:rsidRPr="00E97254">
        <w:t xml:space="preserve"> Kombëtare </w:t>
      </w:r>
      <w:r>
        <w:t>e</w:t>
      </w:r>
      <w:r w:rsidRPr="00E97254">
        <w:t xml:space="preserve"> Arsimit 2021-2026</w:t>
      </w:r>
      <w:r w:rsidRPr="00A36DD4">
        <w:t xml:space="preserve"> </w:t>
      </w:r>
      <w:r>
        <w:t>është hartuar</w:t>
      </w:r>
    </w:p>
    <w:p w:rsidR="00CB2BD7" w:rsidRPr="00E97254" w:rsidRDefault="00A36DD4" w:rsidP="000C0250">
      <w:pPr>
        <w:spacing w:after="0"/>
        <w:jc w:val="center"/>
      </w:pPr>
      <w:r>
        <w:t>m</w:t>
      </w:r>
      <w:r w:rsidR="00DA6DFD">
        <w:t>e mbështetjen</w:t>
      </w:r>
      <w:r w:rsidR="00DA6DFD" w:rsidRPr="00E97254">
        <w:t xml:space="preserve"> </w:t>
      </w:r>
      <w:r w:rsidR="00CB2BD7" w:rsidRPr="00E97254">
        <w:t xml:space="preserve">e UNICEF Shqipëri për Ministrinë e Arsimit, Sportit dhe Rinisë </w:t>
      </w:r>
    </w:p>
    <w:p w:rsidR="00CB2BD7" w:rsidRPr="00E97254" w:rsidRDefault="00CD5C47" w:rsidP="000C0250">
      <w:pPr>
        <w:spacing w:after="0"/>
        <w:jc w:val="center"/>
      </w:pPr>
      <w:r w:rsidRPr="00E97254">
        <w:t>TOR-ALBA-2019-033</w:t>
      </w:r>
    </w:p>
    <w:p w:rsidR="00CB2BD7" w:rsidRPr="00E97254" w:rsidRDefault="00CB2BD7" w:rsidP="000C0250">
      <w:pPr>
        <w:jc w:val="center"/>
      </w:pPr>
    </w:p>
    <w:p w:rsidR="00CB2BD7" w:rsidRPr="00E97254" w:rsidRDefault="00CB2BD7" w:rsidP="000C0250">
      <w:pPr>
        <w:jc w:val="center"/>
      </w:pPr>
    </w:p>
    <w:p w:rsidR="00CB2BD7" w:rsidRPr="00E97254" w:rsidRDefault="00CB2BD7" w:rsidP="000C0250">
      <w:pPr>
        <w:jc w:val="center"/>
      </w:pPr>
    </w:p>
    <w:p w:rsidR="00143632" w:rsidRPr="00E97254" w:rsidRDefault="00143632" w:rsidP="000C0250">
      <w:pPr>
        <w:jc w:val="center"/>
        <w:rPr>
          <w:color w:val="FF0000"/>
          <w:sz w:val="32"/>
          <w:szCs w:val="32"/>
        </w:rPr>
      </w:pPr>
    </w:p>
    <w:p w:rsidR="00CB2BD7" w:rsidRPr="00E97254" w:rsidRDefault="00CB2BD7" w:rsidP="000C0250">
      <w:pPr>
        <w:jc w:val="center"/>
      </w:pPr>
    </w:p>
    <w:p w:rsidR="00CB2BD7" w:rsidRPr="00E97254" w:rsidRDefault="00CB2BD7" w:rsidP="000C0250">
      <w:pPr>
        <w:jc w:val="center"/>
      </w:pPr>
    </w:p>
    <w:p w:rsidR="00CB2BD7" w:rsidRPr="00E97254" w:rsidRDefault="00CB2BD7" w:rsidP="000C0250">
      <w:pPr>
        <w:jc w:val="center"/>
      </w:pPr>
    </w:p>
    <w:p w:rsidR="00CB2BD7" w:rsidRPr="00E97254" w:rsidRDefault="00CB2BD7" w:rsidP="000C0250">
      <w:pPr>
        <w:jc w:val="center"/>
        <w:rPr>
          <w:b/>
        </w:rPr>
      </w:pPr>
      <w:r w:rsidRPr="00E97254">
        <w:rPr>
          <w:b/>
        </w:rPr>
        <w:t xml:space="preserve">Tiranë, </w:t>
      </w:r>
      <w:r w:rsidR="00EF477E" w:rsidRPr="00E97254">
        <w:rPr>
          <w:b/>
        </w:rPr>
        <w:t xml:space="preserve">prill </w:t>
      </w:r>
      <w:r w:rsidR="009064CC" w:rsidRPr="00E97254">
        <w:rPr>
          <w:b/>
        </w:rPr>
        <w:t>2021</w:t>
      </w:r>
    </w:p>
    <w:sdt>
      <w:sdtPr>
        <w:rPr>
          <w:rFonts w:ascii="Calibri" w:eastAsiaTheme="minorHAnsi" w:hAnsi="Calibri" w:cs="Calibri"/>
          <w:b w:val="0"/>
          <w:bCs w:val="0"/>
          <w:color w:val="auto"/>
          <w:sz w:val="32"/>
          <w:szCs w:val="32"/>
          <w:lang w:eastAsia="en-US"/>
        </w:rPr>
        <w:id w:val="551355235"/>
        <w:docPartObj>
          <w:docPartGallery w:val="Table of Contents"/>
          <w:docPartUnique/>
        </w:docPartObj>
      </w:sdtPr>
      <w:sdtEndPr>
        <w:rPr>
          <w:rFonts w:eastAsia="MS Mincho"/>
        </w:rPr>
      </w:sdtEndPr>
      <w:sdtContent>
        <w:sdt>
          <w:sdtPr>
            <w:rPr>
              <w:rFonts w:asciiTheme="minorHAnsi" w:eastAsiaTheme="minorHAnsi" w:hAnsiTheme="minorHAnsi" w:cstheme="minorBidi"/>
              <w:b w:val="0"/>
              <w:bCs w:val="0"/>
              <w:color w:val="auto"/>
              <w:sz w:val="32"/>
              <w:szCs w:val="32"/>
              <w:lang w:eastAsia="en-US"/>
            </w:rPr>
            <w:id w:val="342828488"/>
            <w:docPartObj>
              <w:docPartGallery w:val="Table of Contents"/>
              <w:docPartUnique/>
            </w:docPartObj>
          </w:sdtPr>
          <w:sdtEndPr>
            <w:rPr>
              <w:rFonts w:asciiTheme="majorHAnsi" w:eastAsiaTheme="majorEastAsia" w:hAnsiTheme="majorHAnsi" w:cstheme="majorBidi"/>
              <w:b/>
              <w:bCs/>
              <w:color w:val="365F91" w:themeColor="accent1" w:themeShade="BF"/>
              <w:lang w:eastAsia="ja-JP"/>
            </w:rPr>
          </w:sdtEndPr>
          <w:sdtContent>
            <w:p w:rsidR="00377588" w:rsidRPr="00E97254" w:rsidRDefault="004904A4" w:rsidP="000C0250">
              <w:pPr>
                <w:pStyle w:val="TOCHeading"/>
                <w:spacing w:before="0"/>
                <w:jc w:val="both"/>
                <w:rPr>
                  <w:rFonts w:ascii="Calibri" w:hAnsi="Calibri" w:cs="Calibri"/>
                  <w:sz w:val="32"/>
                  <w:szCs w:val="32"/>
                </w:rPr>
              </w:pPr>
              <w:r w:rsidRPr="00E97254">
                <w:rPr>
                  <w:rFonts w:ascii="Calibri" w:hAnsi="Calibri" w:cs="Calibri"/>
                  <w:sz w:val="32"/>
                  <w:szCs w:val="32"/>
                </w:rPr>
                <w:t>Përmbajtja</w:t>
              </w:r>
            </w:p>
          </w:sdtContent>
        </w:sdt>
        <w:p w:rsidR="00D52F26" w:rsidRPr="00E97254" w:rsidRDefault="00EC56B7" w:rsidP="000C0250">
          <w:pPr>
            <w:pStyle w:val="TOC1"/>
            <w:rPr>
              <w:rFonts w:eastAsiaTheme="minorEastAsia"/>
              <w:noProof w:val="0"/>
            </w:rPr>
          </w:pPr>
          <w:r w:rsidRPr="00E97254">
            <w:rPr>
              <w:rFonts w:ascii="Calibri" w:hAnsi="Calibri" w:cs="Calibri"/>
              <w:noProof w:val="0"/>
              <w:sz w:val="32"/>
              <w:szCs w:val="32"/>
            </w:rPr>
            <w:fldChar w:fldCharType="begin"/>
          </w:r>
          <w:r w:rsidR="004904A4" w:rsidRPr="00E97254">
            <w:rPr>
              <w:rFonts w:ascii="Calibri" w:hAnsi="Calibri" w:cs="Calibri"/>
              <w:noProof w:val="0"/>
              <w:sz w:val="32"/>
              <w:szCs w:val="32"/>
            </w:rPr>
            <w:instrText xml:space="preserve"> TOC \o "1-3" \h \z \u </w:instrText>
          </w:r>
          <w:r w:rsidRPr="00E97254">
            <w:rPr>
              <w:rFonts w:ascii="Calibri" w:hAnsi="Calibri" w:cs="Calibri"/>
              <w:noProof w:val="0"/>
              <w:sz w:val="32"/>
              <w:szCs w:val="32"/>
            </w:rPr>
            <w:fldChar w:fldCharType="separate"/>
          </w:r>
          <w:hyperlink w:anchor="_Toc66801973" w:history="1">
            <w:r w:rsidR="00D52F26" w:rsidRPr="00E97254">
              <w:rPr>
                <w:rStyle w:val="Hyperlink"/>
                <w:noProof w:val="0"/>
              </w:rPr>
              <w:t>Tabelat dhe figurat</w:t>
            </w:r>
            <w:r w:rsidR="00D52F26" w:rsidRPr="00E97254">
              <w:rPr>
                <w:noProof w:val="0"/>
                <w:webHidden/>
              </w:rPr>
              <w:tab/>
            </w:r>
            <w:r w:rsidRPr="00E97254">
              <w:rPr>
                <w:noProof w:val="0"/>
                <w:webHidden/>
              </w:rPr>
              <w:fldChar w:fldCharType="begin"/>
            </w:r>
            <w:r w:rsidR="00D52F26" w:rsidRPr="00E97254">
              <w:rPr>
                <w:noProof w:val="0"/>
                <w:webHidden/>
              </w:rPr>
              <w:instrText xml:space="preserve"> PAGEREF _Toc66801973 \h </w:instrText>
            </w:r>
            <w:r w:rsidRPr="00E97254">
              <w:rPr>
                <w:noProof w:val="0"/>
                <w:webHidden/>
              </w:rPr>
            </w:r>
            <w:r w:rsidRPr="00E97254">
              <w:rPr>
                <w:noProof w:val="0"/>
                <w:webHidden/>
              </w:rPr>
              <w:fldChar w:fldCharType="separate"/>
            </w:r>
            <w:r w:rsidR="005A6200" w:rsidRPr="00E97254">
              <w:rPr>
                <w:noProof w:val="0"/>
                <w:webHidden/>
              </w:rPr>
              <w:t>2</w:t>
            </w:r>
            <w:r w:rsidRPr="00E97254">
              <w:rPr>
                <w:noProof w:val="0"/>
                <w:webHidden/>
              </w:rPr>
              <w:fldChar w:fldCharType="end"/>
            </w:r>
          </w:hyperlink>
        </w:p>
        <w:p w:rsidR="00D52F26" w:rsidRPr="00E97254" w:rsidRDefault="00AB227E" w:rsidP="000C0250">
          <w:pPr>
            <w:pStyle w:val="TOC1"/>
            <w:rPr>
              <w:rFonts w:eastAsiaTheme="minorEastAsia"/>
              <w:noProof w:val="0"/>
            </w:rPr>
          </w:pPr>
          <w:hyperlink w:anchor="_Toc66801974" w:history="1">
            <w:r w:rsidR="00D52F26" w:rsidRPr="00E97254">
              <w:rPr>
                <w:rStyle w:val="Hyperlink"/>
                <w:noProof w:val="0"/>
              </w:rPr>
              <w:t>Shkurtimet</w:t>
            </w:r>
            <w:r w:rsidR="00D52F26" w:rsidRPr="00E97254">
              <w:rPr>
                <w:noProof w:val="0"/>
                <w:webHidden/>
              </w:rPr>
              <w:tab/>
            </w:r>
            <w:r w:rsidR="00EC56B7" w:rsidRPr="00E97254">
              <w:rPr>
                <w:noProof w:val="0"/>
                <w:webHidden/>
              </w:rPr>
              <w:fldChar w:fldCharType="begin"/>
            </w:r>
            <w:r w:rsidR="00D52F26" w:rsidRPr="00E97254">
              <w:rPr>
                <w:noProof w:val="0"/>
                <w:webHidden/>
              </w:rPr>
              <w:instrText xml:space="preserve"> PAGEREF _Toc66801974 \h </w:instrText>
            </w:r>
            <w:r w:rsidR="00EC56B7" w:rsidRPr="00E97254">
              <w:rPr>
                <w:noProof w:val="0"/>
                <w:webHidden/>
              </w:rPr>
            </w:r>
            <w:r w:rsidR="00EC56B7" w:rsidRPr="00E97254">
              <w:rPr>
                <w:noProof w:val="0"/>
                <w:webHidden/>
              </w:rPr>
              <w:fldChar w:fldCharType="separate"/>
            </w:r>
            <w:r w:rsidR="005A6200" w:rsidRPr="00E97254">
              <w:rPr>
                <w:noProof w:val="0"/>
                <w:webHidden/>
              </w:rPr>
              <w:t>2</w:t>
            </w:r>
            <w:r w:rsidR="00EC56B7" w:rsidRPr="00E97254">
              <w:rPr>
                <w:noProof w:val="0"/>
                <w:webHidden/>
              </w:rPr>
              <w:fldChar w:fldCharType="end"/>
            </w:r>
          </w:hyperlink>
        </w:p>
        <w:p w:rsidR="00D52F26" w:rsidRPr="00E97254" w:rsidRDefault="007453CC" w:rsidP="000C0250">
          <w:pPr>
            <w:pStyle w:val="TOC1"/>
            <w:rPr>
              <w:rFonts w:eastAsiaTheme="minorEastAsia"/>
              <w:noProof w:val="0"/>
            </w:rPr>
          </w:pPr>
          <w:r w:rsidRPr="00E97254">
            <w:rPr>
              <w:noProof w:val="0"/>
            </w:rPr>
            <w:t xml:space="preserve">PJESA I- </w:t>
          </w:r>
          <w:hyperlink w:anchor="_Toc66801975" w:history="1">
            <w:r w:rsidRPr="00E97254">
              <w:rPr>
                <w:rStyle w:val="Hyperlink"/>
                <w:noProof w:val="0"/>
              </w:rPr>
              <w:t>KONTEKSTI STRATEGJIK</w:t>
            </w:r>
            <w:r w:rsidR="00D52F26" w:rsidRPr="00E97254">
              <w:rPr>
                <w:noProof w:val="0"/>
                <w:webHidden/>
              </w:rPr>
              <w:tab/>
            </w:r>
            <w:r w:rsidR="00EC56B7" w:rsidRPr="00E97254">
              <w:rPr>
                <w:noProof w:val="0"/>
                <w:webHidden/>
              </w:rPr>
              <w:fldChar w:fldCharType="begin"/>
            </w:r>
            <w:r w:rsidR="00D52F26" w:rsidRPr="00E97254">
              <w:rPr>
                <w:noProof w:val="0"/>
                <w:webHidden/>
              </w:rPr>
              <w:instrText xml:space="preserve"> PAGEREF _Toc66801975 \h </w:instrText>
            </w:r>
            <w:r w:rsidR="00EC56B7" w:rsidRPr="00E97254">
              <w:rPr>
                <w:noProof w:val="0"/>
                <w:webHidden/>
              </w:rPr>
            </w:r>
            <w:r w:rsidR="00EC56B7" w:rsidRPr="00E97254">
              <w:rPr>
                <w:noProof w:val="0"/>
                <w:webHidden/>
              </w:rPr>
              <w:fldChar w:fldCharType="separate"/>
            </w:r>
            <w:r w:rsidR="005A6200" w:rsidRPr="00E97254">
              <w:rPr>
                <w:noProof w:val="0"/>
                <w:webHidden/>
              </w:rPr>
              <w:t>2</w:t>
            </w:r>
            <w:r w:rsidR="00EC56B7" w:rsidRPr="00E97254">
              <w:rPr>
                <w:noProof w:val="0"/>
                <w:webHidden/>
              </w:rPr>
              <w:fldChar w:fldCharType="end"/>
            </w:r>
          </w:hyperlink>
        </w:p>
        <w:p w:rsidR="00D52F26" w:rsidRPr="00E97254" w:rsidRDefault="00AB227E" w:rsidP="000C0250">
          <w:pPr>
            <w:pStyle w:val="TOC1"/>
            <w:rPr>
              <w:rFonts w:eastAsiaTheme="minorEastAsia"/>
              <w:noProof w:val="0"/>
            </w:rPr>
          </w:pPr>
          <w:hyperlink w:anchor="_Toc66801976" w:history="1">
            <w:r w:rsidR="00D52F26" w:rsidRPr="00E97254">
              <w:rPr>
                <w:rStyle w:val="Hyperlink"/>
                <w:rFonts w:ascii="Calibri" w:hAnsi="Calibri" w:cs="Calibri"/>
                <w:noProof w:val="0"/>
              </w:rPr>
              <w:t>1. Hyrja dhe qëllimi i dokumentit</w:t>
            </w:r>
            <w:r w:rsidR="00D52F26" w:rsidRPr="00E97254">
              <w:rPr>
                <w:noProof w:val="0"/>
                <w:webHidden/>
              </w:rPr>
              <w:tab/>
            </w:r>
            <w:r w:rsidR="00EC56B7" w:rsidRPr="00E97254">
              <w:rPr>
                <w:noProof w:val="0"/>
                <w:webHidden/>
              </w:rPr>
              <w:fldChar w:fldCharType="begin"/>
            </w:r>
            <w:r w:rsidR="00D52F26" w:rsidRPr="00E97254">
              <w:rPr>
                <w:noProof w:val="0"/>
                <w:webHidden/>
              </w:rPr>
              <w:instrText xml:space="preserve"> PAGEREF _Toc66801976 \h </w:instrText>
            </w:r>
            <w:r w:rsidR="00EC56B7" w:rsidRPr="00E97254">
              <w:rPr>
                <w:noProof w:val="0"/>
                <w:webHidden/>
              </w:rPr>
            </w:r>
            <w:r w:rsidR="00EC56B7" w:rsidRPr="00E97254">
              <w:rPr>
                <w:noProof w:val="0"/>
                <w:webHidden/>
              </w:rPr>
              <w:fldChar w:fldCharType="separate"/>
            </w:r>
            <w:r w:rsidR="005A6200" w:rsidRPr="00E97254">
              <w:rPr>
                <w:noProof w:val="0"/>
                <w:webHidden/>
              </w:rPr>
              <w:t>2</w:t>
            </w:r>
            <w:r w:rsidR="00EC56B7" w:rsidRPr="00E97254">
              <w:rPr>
                <w:noProof w:val="0"/>
                <w:webHidden/>
              </w:rPr>
              <w:fldChar w:fldCharType="end"/>
            </w:r>
          </w:hyperlink>
        </w:p>
        <w:p w:rsidR="00D52F26" w:rsidRPr="00E97254" w:rsidRDefault="00AB227E" w:rsidP="000C0250">
          <w:pPr>
            <w:pStyle w:val="TOC1"/>
            <w:rPr>
              <w:rFonts w:eastAsiaTheme="minorEastAsia"/>
              <w:noProof w:val="0"/>
            </w:rPr>
          </w:pPr>
          <w:hyperlink w:anchor="_Toc66801977" w:history="1">
            <w:r w:rsidR="00D52F26" w:rsidRPr="00E97254">
              <w:rPr>
                <w:rStyle w:val="Hyperlink"/>
                <w:rFonts w:ascii="Calibri" w:hAnsi="Calibri" w:cs="Calibri"/>
                <w:noProof w:val="0"/>
              </w:rPr>
              <w:t>2. Metodologjia</w:t>
            </w:r>
            <w:r w:rsidR="00D52F26" w:rsidRPr="00E97254">
              <w:rPr>
                <w:noProof w:val="0"/>
                <w:webHidden/>
              </w:rPr>
              <w:tab/>
            </w:r>
            <w:r w:rsidR="00EC56B7" w:rsidRPr="00E97254">
              <w:rPr>
                <w:noProof w:val="0"/>
                <w:webHidden/>
              </w:rPr>
              <w:fldChar w:fldCharType="begin"/>
            </w:r>
            <w:r w:rsidR="00D52F26" w:rsidRPr="00E97254">
              <w:rPr>
                <w:noProof w:val="0"/>
                <w:webHidden/>
              </w:rPr>
              <w:instrText xml:space="preserve"> PAGEREF _Toc66801977 \h </w:instrText>
            </w:r>
            <w:r w:rsidR="00EC56B7" w:rsidRPr="00E97254">
              <w:rPr>
                <w:noProof w:val="0"/>
                <w:webHidden/>
              </w:rPr>
            </w:r>
            <w:r w:rsidR="00EC56B7" w:rsidRPr="00E97254">
              <w:rPr>
                <w:noProof w:val="0"/>
                <w:webHidden/>
              </w:rPr>
              <w:fldChar w:fldCharType="separate"/>
            </w:r>
            <w:r w:rsidR="005A6200" w:rsidRPr="00E97254">
              <w:rPr>
                <w:noProof w:val="0"/>
                <w:webHidden/>
              </w:rPr>
              <w:t>2</w:t>
            </w:r>
            <w:r w:rsidR="00EC56B7" w:rsidRPr="00E97254">
              <w:rPr>
                <w:noProof w:val="0"/>
                <w:webHidden/>
              </w:rPr>
              <w:fldChar w:fldCharType="end"/>
            </w:r>
          </w:hyperlink>
        </w:p>
        <w:p w:rsidR="00D52F26" w:rsidRPr="00E97254" w:rsidRDefault="00AB227E" w:rsidP="000C0250">
          <w:pPr>
            <w:pStyle w:val="TOC1"/>
            <w:rPr>
              <w:rFonts w:eastAsiaTheme="minorEastAsia"/>
              <w:noProof w:val="0"/>
            </w:rPr>
          </w:pPr>
          <w:hyperlink w:anchor="_Toc66801978" w:history="1">
            <w:r w:rsidR="00D52F26" w:rsidRPr="00E97254">
              <w:rPr>
                <w:rStyle w:val="Hyperlink"/>
                <w:noProof w:val="0"/>
              </w:rPr>
              <w:t>3. Konteksti</w:t>
            </w:r>
            <w:r w:rsidR="00D52F26" w:rsidRPr="00E97254">
              <w:rPr>
                <w:noProof w:val="0"/>
                <w:webHidden/>
              </w:rPr>
              <w:tab/>
            </w:r>
            <w:r w:rsidR="00EC56B7" w:rsidRPr="00E97254">
              <w:rPr>
                <w:noProof w:val="0"/>
                <w:webHidden/>
              </w:rPr>
              <w:fldChar w:fldCharType="begin"/>
            </w:r>
            <w:r w:rsidR="00D52F26" w:rsidRPr="00E97254">
              <w:rPr>
                <w:noProof w:val="0"/>
                <w:webHidden/>
              </w:rPr>
              <w:instrText xml:space="preserve"> PAGEREF _Toc66801978 \h </w:instrText>
            </w:r>
            <w:r w:rsidR="00EC56B7" w:rsidRPr="00E97254">
              <w:rPr>
                <w:noProof w:val="0"/>
                <w:webHidden/>
              </w:rPr>
            </w:r>
            <w:r w:rsidR="00EC56B7" w:rsidRPr="00E97254">
              <w:rPr>
                <w:noProof w:val="0"/>
                <w:webHidden/>
              </w:rPr>
              <w:fldChar w:fldCharType="separate"/>
            </w:r>
            <w:r w:rsidR="005A6200" w:rsidRPr="00E97254">
              <w:rPr>
                <w:noProof w:val="0"/>
                <w:webHidden/>
              </w:rPr>
              <w:t>2</w:t>
            </w:r>
            <w:r w:rsidR="00EC56B7" w:rsidRPr="00E97254">
              <w:rPr>
                <w:noProof w:val="0"/>
                <w:webHidden/>
              </w:rPr>
              <w:fldChar w:fldCharType="end"/>
            </w:r>
          </w:hyperlink>
        </w:p>
        <w:p w:rsidR="00D52F26" w:rsidRPr="00E97254" w:rsidRDefault="00AB227E" w:rsidP="000C0250">
          <w:pPr>
            <w:pStyle w:val="TOC2"/>
            <w:tabs>
              <w:tab w:val="right" w:leader="dot" w:pos="9323"/>
            </w:tabs>
            <w:spacing w:after="0"/>
            <w:rPr>
              <w:rFonts w:eastAsiaTheme="minorEastAsia"/>
            </w:rPr>
          </w:pPr>
          <w:hyperlink w:anchor="_Toc66801979" w:history="1">
            <w:r w:rsidR="00D52F26" w:rsidRPr="00E97254">
              <w:rPr>
                <w:rStyle w:val="Hyperlink"/>
              </w:rPr>
              <w:t>3.1. Kuadri makro-ekonomik dhe fiskal</w:t>
            </w:r>
            <w:r w:rsidR="00D52F26" w:rsidRPr="00E97254">
              <w:rPr>
                <w:webHidden/>
              </w:rPr>
              <w:tab/>
            </w:r>
            <w:r w:rsidR="00EC56B7" w:rsidRPr="00E97254">
              <w:rPr>
                <w:webHidden/>
              </w:rPr>
              <w:fldChar w:fldCharType="begin"/>
            </w:r>
            <w:r w:rsidR="00D52F26" w:rsidRPr="00E97254">
              <w:rPr>
                <w:webHidden/>
              </w:rPr>
              <w:instrText xml:space="preserve"> PAGEREF _Toc66801979 \h </w:instrText>
            </w:r>
            <w:r w:rsidR="00EC56B7" w:rsidRPr="00E97254">
              <w:rPr>
                <w:webHidden/>
              </w:rPr>
            </w:r>
            <w:r w:rsidR="00EC56B7" w:rsidRPr="00E97254">
              <w:rPr>
                <w:webHidden/>
              </w:rPr>
              <w:fldChar w:fldCharType="separate"/>
            </w:r>
            <w:r w:rsidR="005A6200" w:rsidRPr="00E97254">
              <w:rPr>
                <w:webHidden/>
              </w:rPr>
              <w:t>2</w:t>
            </w:r>
            <w:r w:rsidR="00EC56B7" w:rsidRPr="00E97254">
              <w:rPr>
                <w:webHidden/>
              </w:rPr>
              <w:fldChar w:fldCharType="end"/>
            </w:r>
          </w:hyperlink>
        </w:p>
        <w:p w:rsidR="00D52F26" w:rsidRPr="00E97254" w:rsidRDefault="00AB227E" w:rsidP="000C0250">
          <w:pPr>
            <w:pStyle w:val="TOC2"/>
            <w:tabs>
              <w:tab w:val="right" w:leader="dot" w:pos="9323"/>
            </w:tabs>
            <w:spacing w:after="0"/>
            <w:rPr>
              <w:rFonts w:eastAsiaTheme="minorEastAsia"/>
            </w:rPr>
          </w:pPr>
          <w:hyperlink w:anchor="_Toc66801980" w:history="1">
            <w:r w:rsidR="00D52F26" w:rsidRPr="00E97254">
              <w:rPr>
                <w:rStyle w:val="Hyperlink"/>
              </w:rPr>
              <w:t>3.2. Tabloja demografike</w:t>
            </w:r>
            <w:r w:rsidR="00D52F26" w:rsidRPr="00E97254">
              <w:rPr>
                <w:webHidden/>
              </w:rPr>
              <w:tab/>
            </w:r>
            <w:r w:rsidR="00EC56B7" w:rsidRPr="00E97254">
              <w:rPr>
                <w:webHidden/>
              </w:rPr>
              <w:fldChar w:fldCharType="begin"/>
            </w:r>
            <w:r w:rsidR="00D52F26" w:rsidRPr="00E97254">
              <w:rPr>
                <w:webHidden/>
              </w:rPr>
              <w:instrText xml:space="preserve"> PAGEREF _Toc66801980 \h </w:instrText>
            </w:r>
            <w:r w:rsidR="00EC56B7" w:rsidRPr="00E97254">
              <w:rPr>
                <w:webHidden/>
              </w:rPr>
            </w:r>
            <w:r w:rsidR="00EC56B7" w:rsidRPr="00E97254">
              <w:rPr>
                <w:webHidden/>
              </w:rPr>
              <w:fldChar w:fldCharType="separate"/>
            </w:r>
            <w:r w:rsidR="005A6200" w:rsidRPr="00E97254">
              <w:rPr>
                <w:webHidden/>
              </w:rPr>
              <w:t>2</w:t>
            </w:r>
            <w:r w:rsidR="00EC56B7" w:rsidRPr="00E97254">
              <w:rPr>
                <w:webHidden/>
              </w:rPr>
              <w:fldChar w:fldCharType="end"/>
            </w:r>
          </w:hyperlink>
        </w:p>
        <w:p w:rsidR="00D52F26" w:rsidRPr="00E97254" w:rsidRDefault="00AB227E" w:rsidP="000C0250">
          <w:pPr>
            <w:pStyle w:val="TOC2"/>
            <w:tabs>
              <w:tab w:val="right" w:leader="dot" w:pos="9323"/>
            </w:tabs>
            <w:spacing w:after="0"/>
            <w:rPr>
              <w:rFonts w:eastAsiaTheme="minorEastAsia"/>
            </w:rPr>
          </w:pPr>
          <w:hyperlink w:anchor="_Toc66801981" w:history="1">
            <w:r w:rsidR="00D52F26" w:rsidRPr="00E97254">
              <w:rPr>
                <w:rStyle w:val="Hyperlink"/>
              </w:rPr>
              <w:t>3.3. Kuadri i politikave</w:t>
            </w:r>
            <w:r w:rsidR="00D52F26" w:rsidRPr="00E97254">
              <w:rPr>
                <w:webHidden/>
              </w:rPr>
              <w:tab/>
            </w:r>
            <w:r w:rsidR="00EC56B7" w:rsidRPr="00E97254">
              <w:rPr>
                <w:webHidden/>
              </w:rPr>
              <w:fldChar w:fldCharType="begin"/>
            </w:r>
            <w:r w:rsidR="00D52F26" w:rsidRPr="00E97254">
              <w:rPr>
                <w:webHidden/>
              </w:rPr>
              <w:instrText xml:space="preserve"> PAGEREF _Toc66801981 \h </w:instrText>
            </w:r>
            <w:r w:rsidR="00EC56B7" w:rsidRPr="00E97254">
              <w:rPr>
                <w:webHidden/>
              </w:rPr>
            </w:r>
            <w:r w:rsidR="00EC56B7" w:rsidRPr="00E97254">
              <w:rPr>
                <w:webHidden/>
              </w:rPr>
              <w:fldChar w:fldCharType="separate"/>
            </w:r>
            <w:r w:rsidR="005A6200" w:rsidRPr="00E97254">
              <w:rPr>
                <w:webHidden/>
              </w:rPr>
              <w:t>2</w:t>
            </w:r>
            <w:r w:rsidR="00EC56B7" w:rsidRPr="00E97254">
              <w:rPr>
                <w:webHidden/>
              </w:rPr>
              <w:fldChar w:fldCharType="end"/>
            </w:r>
          </w:hyperlink>
        </w:p>
        <w:p w:rsidR="00D52F26" w:rsidRPr="00E97254" w:rsidRDefault="00AB227E" w:rsidP="000C0250">
          <w:pPr>
            <w:pStyle w:val="TOC2"/>
            <w:tabs>
              <w:tab w:val="right" w:leader="dot" w:pos="9323"/>
            </w:tabs>
            <w:spacing w:after="0"/>
            <w:rPr>
              <w:rFonts w:eastAsiaTheme="minorEastAsia"/>
            </w:rPr>
          </w:pPr>
          <w:hyperlink w:anchor="_Toc66801982" w:history="1">
            <w:r w:rsidR="00D52F26" w:rsidRPr="00E97254">
              <w:rPr>
                <w:rStyle w:val="Hyperlink"/>
              </w:rPr>
              <w:t>3.4. Kuadri ligjor dhe institucional</w:t>
            </w:r>
            <w:r w:rsidR="00D52F26" w:rsidRPr="00E97254">
              <w:rPr>
                <w:webHidden/>
              </w:rPr>
              <w:tab/>
            </w:r>
            <w:r w:rsidR="00EC56B7" w:rsidRPr="00E97254">
              <w:rPr>
                <w:webHidden/>
              </w:rPr>
              <w:fldChar w:fldCharType="begin"/>
            </w:r>
            <w:r w:rsidR="00D52F26" w:rsidRPr="00E97254">
              <w:rPr>
                <w:webHidden/>
              </w:rPr>
              <w:instrText xml:space="preserve"> PAGEREF _Toc66801982 \h </w:instrText>
            </w:r>
            <w:r w:rsidR="00EC56B7" w:rsidRPr="00E97254">
              <w:rPr>
                <w:webHidden/>
              </w:rPr>
            </w:r>
            <w:r w:rsidR="00EC56B7" w:rsidRPr="00E97254">
              <w:rPr>
                <w:webHidden/>
              </w:rPr>
              <w:fldChar w:fldCharType="separate"/>
            </w:r>
            <w:r w:rsidR="005A6200" w:rsidRPr="00E97254">
              <w:rPr>
                <w:webHidden/>
              </w:rPr>
              <w:t>2</w:t>
            </w:r>
            <w:r w:rsidR="00EC56B7" w:rsidRPr="00E97254">
              <w:rPr>
                <w:webHidden/>
              </w:rPr>
              <w:fldChar w:fldCharType="end"/>
            </w:r>
          </w:hyperlink>
        </w:p>
        <w:p w:rsidR="00D52F26" w:rsidRPr="00E97254" w:rsidRDefault="00AB227E" w:rsidP="000C0250">
          <w:pPr>
            <w:pStyle w:val="TOC3"/>
            <w:rPr>
              <w:rFonts w:eastAsiaTheme="minorEastAsia"/>
            </w:rPr>
          </w:pPr>
          <w:hyperlink w:anchor="_Toc66801983" w:history="1">
            <w:r w:rsidR="00D52F26" w:rsidRPr="00E97254">
              <w:rPr>
                <w:rStyle w:val="Hyperlink"/>
              </w:rPr>
              <w:t>3.4.1. Kuadri ligjor</w:t>
            </w:r>
            <w:r w:rsidR="00D52F26" w:rsidRPr="00E97254">
              <w:rPr>
                <w:webHidden/>
              </w:rPr>
              <w:tab/>
            </w:r>
            <w:r w:rsidR="00EC56B7" w:rsidRPr="00E97254">
              <w:rPr>
                <w:webHidden/>
              </w:rPr>
              <w:fldChar w:fldCharType="begin"/>
            </w:r>
            <w:r w:rsidR="00D52F26" w:rsidRPr="00E97254">
              <w:rPr>
                <w:webHidden/>
              </w:rPr>
              <w:instrText xml:space="preserve"> PAGEREF _Toc66801983 \h </w:instrText>
            </w:r>
            <w:r w:rsidR="00EC56B7" w:rsidRPr="00E97254">
              <w:rPr>
                <w:webHidden/>
              </w:rPr>
            </w:r>
            <w:r w:rsidR="00EC56B7" w:rsidRPr="00E97254">
              <w:rPr>
                <w:webHidden/>
              </w:rPr>
              <w:fldChar w:fldCharType="separate"/>
            </w:r>
            <w:r w:rsidR="005A6200" w:rsidRPr="00E97254">
              <w:rPr>
                <w:webHidden/>
              </w:rPr>
              <w:t>2</w:t>
            </w:r>
            <w:r w:rsidR="00EC56B7" w:rsidRPr="00E97254">
              <w:rPr>
                <w:webHidden/>
              </w:rPr>
              <w:fldChar w:fldCharType="end"/>
            </w:r>
          </w:hyperlink>
        </w:p>
        <w:p w:rsidR="00D52F26" w:rsidRPr="00E97254" w:rsidRDefault="00AB227E" w:rsidP="000C0250">
          <w:pPr>
            <w:pStyle w:val="TOC3"/>
            <w:rPr>
              <w:rFonts w:eastAsiaTheme="minorEastAsia"/>
            </w:rPr>
          </w:pPr>
          <w:hyperlink w:anchor="_Toc66801984" w:history="1">
            <w:r w:rsidR="00D52F26" w:rsidRPr="00E97254">
              <w:rPr>
                <w:rStyle w:val="Hyperlink"/>
              </w:rPr>
              <w:t>3.4.2. Struktura e sistemit të arsimit</w:t>
            </w:r>
            <w:r w:rsidR="00D52F26" w:rsidRPr="00E97254">
              <w:rPr>
                <w:webHidden/>
              </w:rPr>
              <w:tab/>
            </w:r>
            <w:r w:rsidR="00EC56B7" w:rsidRPr="00E97254">
              <w:rPr>
                <w:webHidden/>
              </w:rPr>
              <w:fldChar w:fldCharType="begin"/>
            </w:r>
            <w:r w:rsidR="00D52F26" w:rsidRPr="00E97254">
              <w:rPr>
                <w:webHidden/>
              </w:rPr>
              <w:instrText xml:space="preserve"> PAGEREF _Toc66801984 \h </w:instrText>
            </w:r>
            <w:r w:rsidR="00EC56B7" w:rsidRPr="00E97254">
              <w:rPr>
                <w:webHidden/>
              </w:rPr>
            </w:r>
            <w:r w:rsidR="00EC56B7" w:rsidRPr="00E97254">
              <w:rPr>
                <w:webHidden/>
              </w:rPr>
              <w:fldChar w:fldCharType="separate"/>
            </w:r>
            <w:r w:rsidR="005A6200" w:rsidRPr="00E97254">
              <w:rPr>
                <w:webHidden/>
              </w:rPr>
              <w:t>2</w:t>
            </w:r>
            <w:r w:rsidR="00EC56B7" w:rsidRPr="00E97254">
              <w:rPr>
                <w:webHidden/>
              </w:rPr>
              <w:fldChar w:fldCharType="end"/>
            </w:r>
          </w:hyperlink>
        </w:p>
        <w:p w:rsidR="00D52F26" w:rsidRPr="00E97254" w:rsidRDefault="00AB227E" w:rsidP="000C0250">
          <w:pPr>
            <w:pStyle w:val="TOC3"/>
            <w:rPr>
              <w:rFonts w:eastAsiaTheme="minorEastAsia"/>
            </w:rPr>
          </w:pPr>
          <w:hyperlink w:anchor="_Toc66801985" w:history="1">
            <w:r w:rsidR="00D52F26" w:rsidRPr="00E97254">
              <w:rPr>
                <w:rStyle w:val="Hyperlink"/>
              </w:rPr>
              <w:t>3.4.3. Struktura qeverisëse</w:t>
            </w:r>
            <w:r w:rsidR="00D52F26" w:rsidRPr="00E97254">
              <w:rPr>
                <w:webHidden/>
              </w:rPr>
              <w:tab/>
            </w:r>
            <w:r w:rsidR="00EC56B7" w:rsidRPr="00E97254">
              <w:rPr>
                <w:webHidden/>
              </w:rPr>
              <w:fldChar w:fldCharType="begin"/>
            </w:r>
            <w:r w:rsidR="00D52F26" w:rsidRPr="00E97254">
              <w:rPr>
                <w:webHidden/>
              </w:rPr>
              <w:instrText xml:space="preserve"> PAGEREF _Toc66801985 \h </w:instrText>
            </w:r>
            <w:r w:rsidR="00EC56B7" w:rsidRPr="00E97254">
              <w:rPr>
                <w:webHidden/>
              </w:rPr>
            </w:r>
            <w:r w:rsidR="00EC56B7" w:rsidRPr="00E97254">
              <w:rPr>
                <w:webHidden/>
              </w:rPr>
              <w:fldChar w:fldCharType="separate"/>
            </w:r>
            <w:r w:rsidR="005A6200" w:rsidRPr="00E97254">
              <w:rPr>
                <w:webHidden/>
              </w:rPr>
              <w:t>2</w:t>
            </w:r>
            <w:r w:rsidR="00EC56B7" w:rsidRPr="00E97254">
              <w:rPr>
                <w:webHidden/>
              </w:rPr>
              <w:fldChar w:fldCharType="end"/>
            </w:r>
          </w:hyperlink>
        </w:p>
        <w:p w:rsidR="00D52F26" w:rsidRPr="00E97254" w:rsidRDefault="00AB227E" w:rsidP="000C0250">
          <w:pPr>
            <w:pStyle w:val="TOC1"/>
            <w:rPr>
              <w:rFonts w:eastAsiaTheme="minorEastAsia"/>
              <w:noProof w:val="0"/>
            </w:rPr>
          </w:pPr>
          <w:hyperlink w:anchor="_Toc66801986" w:history="1">
            <w:r w:rsidR="00D52F26" w:rsidRPr="00E97254">
              <w:rPr>
                <w:rStyle w:val="Hyperlink"/>
                <w:noProof w:val="0"/>
              </w:rPr>
              <w:t>4. Analiza e gjendjes</w:t>
            </w:r>
            <w:r w:rsidR="00D52F26" w:rsidRPr="00E97254">
              <w:rPr>
                <w:noProof w:val="0"/>
                <w:webHidden/>
              </w:rPr>
              <w:tab/>
            </w:r>
            <w:r w:rsidR="00EC56B7" w:rsidRPr="00E97254">
              <w:rPr>
                <w:noProof w:val="0"/>
                <w:webHidden/>
              </w:rPr>
              <w:fldChar w:fldCharType="begin"/>
            </w:r>
            <w:r w:rsidR="00D52F26" w:rsidRPr="00E97254">
              <w:rPr>
                <w:noProof w:val="0"/>
                <w:webHidden/>
              </w:rPr>
              <w:instrText xml:space="preserve"> PAGEREF _Toc66801986 \h </w:instrText>
            </w:r>
            <w:r w:rsidR="00EC56B7" w:rsidRPr="00E97254">
              <w:rPr>
                <w:noProof w:val="0"/>
                <w:webHidden/>
              </w:rPr>
            </w:r>
            <w:r w:rsidR="00EC56B7" w:rsidRPr="00E97254">
              <w:rPr>
                <w:noProof w:val="0"/>
                <w:webHidden/>
              </w:rPr>
              <w:fldChar w:fldCharType="separate"/>
            </w:r>
            <w:r w:rsidR="005A6200" w:rsidRPr="00E97254">
              <w:rPr>
                <w:noProof w:val="0"/>
                <w:webHidden/>
              </w:rPr>
              <w:t>2</w:t>
            </w:r>
            <w:r w:rsidR="00EC56B7" w:rsidRPr="00E97254">
              <w:rPr>
                <w:noProof w:val="0"/>
                <w:webHidden/>
              </w:rPr>
              <w:fldChar w:fldCharType="end"/>
            </w:r>
          </w:hyperlink>
        </w:p>
        <w:p w:rsidR="00D52F26" w:rsidRPr="00E97254" w:rsidRDefault="00AB227E" w:rsidP="000C0250">
          <w:pPr>
            <w:pStyle w:val="TOC2"/>
            <w:tabs>
              <w:tab w:val="right" w:leader="dot" w:pos="9323"/>
            </w:tabs>
            <w:spacing w:after="0"/>
            <w:rPr>
              <w:rFonts w:eastAsiaTheme="minorEastAsia"/>
            </w:rPr>
          </w:pPr>
          <w:hyperlink w:anchor="_Toc66801987" w:history="1">
            <w:r w:rsidR="00D52F26" w:rsidRPr="00E97254">
              <w:rPr>
                <w:rStyle w:val="Hyperlink"/>
              </w:rPr>
              <w:t>4.1. Sfidat dhe mundësitë e mjedisit</w:t>
            </w:r>
            <w:r w:rsidR="00D52F26" w:rsidRPr="00E97254">
              <w:rPr>
                <w:webHidden/>
              </w:rPr>
              <w:tab/>
            </w:r>
            <w:r w:rsidR="00EC56B7" w:rsidRPr="00E97254">
              <w:rPr>
                <w:webHidden/>
              </w:rPr>
              <w:fldChar w:fldCharType="begin"/>
            </w:r>
            <w:r w:rsidR="00D52F26" w:rsidRPr="00E97254">
              <w:rPr>
                <w:webHidden/>
              </w:rPr>
              <w:instrText xml:space="preserve"> PAGEREF _Toc66801987 \h </w:instrText>
            </w:r>
            <w:r w:rsidR="00EC56B7" w:rsidRPr="00E97254">
              <w:rPr>
                <w:webHidden/>
              </w:rPr>
            </w:r>
            <w:r w:rsidR="00EC56B7" w:rsidRPr="00E97254">
              <w:rPr>
                <w:webHidden/>
              </w:rPr>
              <w:fldChar w:fldCharType="separate"/>
            </w:r>
            <w:r w:rsidR="005A6200" w:rsidRPr="00E97254">
              <w:rPr>
                <w:webHidden/>
              </w:rPr>
              <w:t>2</w:t>
            </w:r>
            <w:r w:rsidR="00EC56B7" w:rsidRPr="00E97254">
              <w:rPr>
                <w:webHidden/>
              </w:rPr>
              <w:fldChar w:fldCharType="end"/>
            </w:r>
          </w:hyperlink>
        </w:p>
        <w:p w:rsidR="00D52F26" w:rsidRPr="00E97254" w:rsidRDefault="00AB227E" w:rsidP="000C0250">
          <w:pPr>
            <w:pStyle w:val="TOC3"/>
            <w:rPr>
              <w:rFonts w:eastAsiaTheme="minorEastAsia"/>
            </w:rPr>
          </w:pPr>
          <w:hyperlink w:anchor="_Toc66801988" w:history="1">
            <w:r w:rsidR="00D52F26" w:rsidRPr="00E97254">
              <w:rPr>
                <w:rStyle w:val="Hyperlink"/>
              </w:rPr>
              <w:t>4.1.1. Faktorët politikë</w:t>
            </w:r>
            <w:r w:rsidR="00D52F26" w:rsidRPr="00E97254">
              <w:rPr>
                <w:webHidden/>
              </w:rPr>
              <w:tab/>
            </w:r>
            <w:r w:rsidR="00EC56B7" w:rsidRPr="00E97254">
              <w:rPr>
                <w:webHidden/>
              </w:rPr>
              <w:fldChar w:fldCharType="begin"/>
            </w:r>
            <w:r w:rsidR="00D52F26" w:rsidRPr="00E97254">
              <w:rPr>
                <w:webHidden/>
              </w:rPr>
              <w:instrText xml:space="preserve"> PAGEREF _Toc66801988 \h </w:instrText>
            </w:r>
            <w:r w:rsidR="00EC56B7" w:rsidRPr="00E97254">
              <w:rPr>
                <w:webHidden/>
              </w:rPr>
            </w:r>
            <w:r w:rsidR="00EC56B7" w:rsidRPr="00E97254">
              <w:rPr>
                <w:webHidden/>
              </w:rPr>
              <w:fldChar w:fldCharType="separate"/>
            </w:r>
            <w:r w:rsidR="005A6200" w:rsidRPr="00E97254">
              <w:rPr>
                <w:webHidden/>
              </w:rPr>
              <w:t>2</w:t>
            </w:r>
            <w:r w:rsidR="00EC56B7" w:rsidRPr="00E97254">
              <w:rPr>
                <w:webHidden/>
              </w:rPr>
              <w:fldChar w:fldCharType="end"/>
            </w:r>
          </w:hyperlink>
        </w:p>
        <w:p w:rsidR="00D52F26" w:rsidRPr="00E97254" w:rsidRDefault="00AB227E" w:rsidP="000C0250">
          <w:pPr>
            <w:pStyle w:val="TOC3"/>
            <w:rPr>
              <w:rFonts w:eastAsiaTheme="minorEastAsia"/>
            </w:rPr>
          </w:pPr>
          <w:hyperlink w:anchor="_Toc66801989" w:history="1">
            <w:r w:rsidR="00D52F26" w:rsidRPr="00E97254">
              <w:rPr>
                <w:rStyle w:val="Hyperlink"/>
              </w:rPr>
              <w:t>4.1.2. Faktorët ekonomikë</w:t>
            </w:r>
            <w:r w:rsidR="00D52F26" w:rsidRPr="00E97254">
              <w:rPr>
                <w:webHidden/>
              </w:rPr>
              <w:tab/>
            </w:r>
            <w:r w:rsidR="00EC56B7" w:rsidRPr="00E97254">
              <w:rPr>
                <w:webHidden/>
              </w:rPr>
              <w:fldChar w:fldCharType="begin"/>
            </w:r>
            <w:r w:rsidR="00D52F26" w:rsidRPr="00E97254">
              <w:rPr>
                <w:webHidden/>
              </w:rPr>
              <w:instrText xml:space="preserve"> PAGEREF _Toc66801989 \h </w:instrText>
            </w:r>
            <w:r w:rsidR="00EC56B7" w:rsidRPr="00E97254">
              <w:rPr>
                <w:webHidden/>
              </w:rPr>
            </w:r>
            <w:r w:rsidR="00EC56B7" w:rsidRPr="00E97254">
              <w:rPr>
                <w:webHidden/>
              </w:rPr>
              <w:fldChar w:fldCharType="separate"/>
            </w:r>
            <w:r w:rsidR="005A6200" w:rsidRPr="00E97254">
              <w:rPr>
                <w:webHidden/>
              </w:rPr>
              <w:t>2</w:t>
            </w:r>
            <w:r w:rsidR="00EC56B7" w:rsidRPr="00E97254">
              <w:rPr>
                <w:webHidden/>
              </w:rPr>
              <w:fldChar w:fldCharType="end"/>
            </w:r>
          </w:hyperlink>
        </w:p>
        <w:p w:rsidR="00D52F26" w:rsidRPr="00E97254" w:rsidRDefault="00AB227E" w:rsidP="000C0250">
          <w:pPr>
            <w:pStyle w:val="TOC3"/>
            <w:rPr>
              <w:rFonts w:eastAsiaTheme="minorEastAsia"/>
            </w:rPr>
          </w:pPr>
          <w:hyperlink w:anchor="_Toc66801990" w:history="1">
            <w:r w:rsidR="00D52F26" w:rsidRPr="00E97254">
              <w:rPr>
                <w:rStyle w:val="Hyperlink"/>
              </w:rPr>
              <w:t>4.1.3. Faktorët socialë</w:t>
            </w:r>
            <w:r w:rsidR="00D52F26" w:rsidRPr="00E97254">
              <w:rPr>
                <w:webHidden/>
              </w:rPr>
              <w:tab/>
            </w:r>
            <w:r w:rsidR="00EC56B7" w:rsidRPr="00E97254">
              <w:rPr>
                <w:webHidden/>
              </w:rPr>
              <w:fldChar w:fldCharType="begin"/>
            </w:r>
            <w:r w:rsidR="00D52F26" w:rsidRPr="00E97254">
              <w:rPr>
                <w:webHidden/>
              </w:rPr>
              <w:instrText xml:space="preserve"> PAGEREF _Toc66801990 \h </w:instrText>
            </w:r>
            <w:r w:rsidR="00EC56B7" w:rsidRPr="00E97254">
              <w:rPr>
                <w:webHidden/>
              </w:rPr>
            </w:r>
            <w:r w:rsidR="00EC56B7" w:rsidRPr="00E97254">
              <w:rPr>
                <w:webHidden/>
              </w:rPr>
              <w:fldChar w:fldCharType="separate"/>
            </w:r>
            <w:r w:rsidR="005A6200" w:rsidRPr="00E97254">
              <w:rPr>
                <w:webHidden/>
              </w:rPr>
              <w:t>2</w:t>
            </w:r>
            <w:r w:rsidR="00EC56B7" w:rsidRPr="00E97254">
              <w:rPr>
                <w:webHidden/>
              </w:rPr>
              <w:fldChar w:fldCharType="end"/>
            </w:r>
          </w:hyperlink>
        </w:p>
        <w:p w:rsidR="00D52F26" w:rsidRPr="00E97254" w:rsidRDefault="00AB227E" w:rsidP="000C0250">
          <w:pPr>
            <w:pStyle w:val="TOC3"/>
            <w:rPr>
              <w:rFonts w:eastAsiaTheme="minorEastAsia"/>
            </w:rPr>
          </w:pPr>
          <w:hyperlink w:anchor="_Toc66801991" w:history="1">
            <w:r w:rsidR="00D52F26" w:rsidRPr="00E97254">
              <w:rPr>
                <w:rStyle w:val="Hyperlink"/>
              </w:rPr>
              <w:t>4.1.4. Faktorët teknologjikë</w:t>
            </w:r>
            <w:r w:rsidR="00D52F26" w:rsidRPr="00E97254">
              <w:rPr>
                <w:webHidden/>
              </w:rPr>
              <w:tab/>
            </w:r>
            <w:r w:rsidR="00EC56B7" w:rsidRPr="00E97254">
              <w:rPr>
                <w:webHidden/>
              </w:rPr>
              <w:fldChar w:fldCharType="begin"/>
            </w:r>
            <w:r w:rsidR="00D52F26" w:rsidRPr="00E97254">
              <w:rPr>
                <w:webHidden/>
              </w:rPr>
              <w:instrText xml:space="preserve"> PAGEREF _Toc66801991 \h </w:instrText>
            </w:r>
            <w:r w:rsidR="00EC56B7" w:rsidRPr="00E97254">
              <w:rPr>
                <w:webHidden/>
              </w:rPr>
            </w:r>
            <w:r w:rsidR="00EC56B7" w:rsidRPr="00E97254">
              <w:rPr>
                <w:webHidden/>
              </w:rPr>
              <w:fldChar w:fldCharType="separate"/>
            </w:r>
            <w:r w:rsidR="005A6200" w:rsidRPr="00E97254">
              <w:rPr>
                <w:webHidden/>
              </w:rPr>
              <w:t>2</w:t>
            </w:r>
            <w:r w:rsidR="00EC56B7" w:rsidRPr="00E97254">
              <w:rPr>
                <w:webHidden/>
              </w:rPr>
              <w:fldChar w:fldCharType="end"/>
            </w:r>
          </w:hyperlink>
        </w:p>
        <w:p w:rsidR="00D52F26" w:rsidRPr="00E97254" w:rsidRDefault="00AB227E" w:rsidP="000C0250">
          <w:pPr>
            <w:pStyle w:val="TOC3"/>
            <w:rPr>
              <w:rFonts w:eastAsiaTheme="minorEastAsia"/>
            </w:rPr>
          </w:pPr>
          <w:hyperlink w:anchor="_Toc66801992" w:history="1">
            <w:r w:rsidR="00D52F26" w:rsidRPr="00E97254">
              <w:rPr>
                <w:rStyle w:val="Hyperlink"/>
              </w:rPr>
              <w:t>4.2. U-Report</w:t>
            </w:r>
            <w:r w:rsidR="00D52F26" w:rsidRPr="00E97254">
              <w:rPr>
                <w:webHidden/>
              </w:rPr>
              <w:tab/>
            </w:r>
            <w:r w:rsidR="00EC56B7" w:rsidRPr="00E97254">
              <w:rPr>
                <w:webHidden/>
              </w:rPr>
              <w:fldChar w:fldCharType="begin"/>
            </w:r>
            <w:r w:rsidR="00D52F26" w:rsidRPr="00E97254">
              <w:rPr>
                <w:webHidden/>
              </w:rPr>
              <w:instrText xml:space="preserve"> PAGEREF _Toc66801992 \h </w:instrText>
            </w:r>
            <w:r w:rsidR="00EC56B7" w:rsidRPr="00E97254">
              <w:rPr>
                <w:webHidden/>
              </w:rPr>
            </w:r>
            <w:r w:rsidR="00EC56B7" w:rsidRPr="00E97254">
              <w:rPr>
                <w:webHidden/>
              </w:rPr>
              <w:fldChar w:fldCharType="separate"/>
            </w:r>
            <w:r w:rsidR="005A6200" w:rsidRPr="00E97254">
              <w:rPr>
                <w:webHidden/>
              </w:rPr>
              <w:t>2</w:t>
            </w:r>
            <w:r w:rsidR="00EC56B7" w:rsidRPr="00E97254">
              <w:rPr>
                <w:webHidden/>
              </w:rPr>
              <w:fldChar w:fldCharType="end"/>
            </w:r>
          </w:hyperlink>
        </w:p>
        <w:p w:rsidR="00D52F26" w:rsidRPr="00E97254" w:rsidRDefault="00AB227E" w:rsidP="000C0250">
          <w:pPr>
            <w:pStyle w:val="TOC2"/>
            <w:tabs>
              <w:tab w:val="right" w:leader="dot" w:pos="9323"/>
            </w:tabs>
            <w:spacing w:after="0"/>
            <w:rPr>
              <w:rFonts w:eastAsiaTheme="minorEastAsia"/>
            </w:rPr>
          </w:pPr>
          <w:hyperlink w:anchor="_Toc66801993" w:history="1">
            <w:r w:rsidR="00D52F26" w:rsidRPr="00E97254">
              <w:rPr>
                <w:rStyle w:val="Hyperlink"/>
              </w:rPr>
              <w:t>4.3. Arsimi parauniversitar</w:t>
            </w:r>
            <w:r w:rsidR="00D52F26" w:rsidRPr="00E97254">
              <w:rPr>
                <w:webHidden/>
              </w:rPr>
              <w:tab/>
            </w:r>
            <w:r w:rsidR="00EC56B7" w:rsidRPr="00E97254">
              <w:rPr>
                <w:webHidden/>
              </w:rPr>
              <w:fldChar w:fldCharType="begin"/>
            </w:r>
            <w:r w:rsidR="00D52F26" w:rsidRPr="00E97254">
              <w:rPr>
                <w:webHidden/>
              </w:rPr>
              <w:instrText xml:space="preserve"> PAGEREF _Toc66801993 \h </w:instrText>
            </w:r>
            <w:r w:rsidR="00EC56B7" w:rsidRPr="00E97254">
              <w:rPr>
                <w:webHidden/>
              </w:rPr>
            </w:r>
            <w:r w:rsidR="00EC56B7" w:rsidRPr="00E97254">
              <w:rPr>
                <w:webHidden/>
              </w:rPr>
              <w:fldChar w:fldCharType="separate"/>
            </w:r>
            <w:r w:rsidR="005A6200" w:rsidRPr="00E97254">
              <w:rPr>
                <w:webHidden/>
              </w:rPr>
              <w:t>2</w:t>
            </w:r>
            <w:r w:rsidR="00EC56B7" w:rsidRPr="00E97254">
              <w:rPr>
                <w:webHidden/>
              </w:rPr>
              <w:fldChar w:fldCharType="end"/>
            </w:r>
          </w:hyperlink>
        </w:p>
        <w:p w:rsidR="00D52F26" w:rsidRPr="00E97254" w:rsidRDefault="00AB227E" w:rsidP="000C0250">
          <w:pPr>
            <w:pStyle w:val="TOC3"/>
            <w:rPr>
              <w:rFonts w:eastAsiaTheme="minorEastAsia"/>
            </w:rPr>
          </w:pPr>
          <w:hyperlink w:anchor="_Toc66801994" w:history="1">
            <w:r w:rsidR="00D52F26" w:rsidRPr="00E97254">
              <w:rPr>
                <w:rStyle w:val="Hyperlink"/>
              </w:rPr>
              <w:t>4.3.1. Gjithëpërfshirja dhe barazia në arsim</w:t>
            </w:r>
            <w:r w:rsidR="00D52F26" w:rsidRPr="00E97254">
              <w:rPr>
                <w:webHidden/>
              </w:rPr>
              <w:tab/>
            </w:r>
            <w:r w:rsidR="00EC56B7" w:rsidRPr="00E97254">
              <w:rPr>
                <w:webHidden/>
              </w:rPr>
              <w:fldChar w:fldCharType="begin"/>
            </w:r>
            <w:r w:rsidR="00D52F26" w:rsidRPr="00E97254">
              <w:rPr>
                <w:webHidden/>
              </w:rPr>
              <w:instrText xml:space="preserve"> PAGEREF _Toc66801994 \h </w:instrText>
            </w:r>
            <w:r w:rsidR="00EC56B7" w:rsidRPr="00E97254">
              <w:rPr>
                <w:webHidden/>
              </w:rPr>
            </w:r>
            <w:r w:rsidR="00EC56B7" w:rsidRPr="00E97254">
              <w:rPr>
                <w:webHidden/>
              </w:rPr>
              <w:fldChar w:fldCharType="separate"/>
            </w:r>
            <w:r w:rsidR="005A6200" w:rsidRPr="00E97254">
              <w:rPr>
                <w:webHidden/>
              </w:rPr>
              <w:t>2</w:t>
            </w:r>
            <w:r w:rsidR="00EC56B7" w:rsidRPr="00E97254">
              <w:rPr>
                <w:webHidden/>
              </w:rPr>
              <w:fldChar w:fldCharType="end"/>
            </w:r>
          </w:hyperlink>
        </w:p>
        <w:p w:rsidR="00D52F26" w:rsidRPr="00E97254" w:rsidRDefault="00AB227E" w:rsidP="000C0250">
          <w:pPr>
            <w:pStyle w:val="TOC3"/>
            <w:rPr>
              <w:rFonts w:eastAsiaTheme="minorEastAsia"/>
            </w:rPr>
          </w:pPr>
          <w:hyperlink w:anchor="_Toc66801995" w:history="1">
            <w:r w:rsidR="00D52F26" w:rsidRPr="00E97254">
              <w:rPr>
                <w:rStyle w:val="Hyperlink"/>
              </w:rPr>
              <w:t>4.3.2. Mësuesit</w:t>
            </w:r>
            <w:r w:rsidR="00D52F26" w:rsidRPr="00E97254">
              <w:rPr>
                <w:webHidden/>
              </w:rPr>
              <w:tab/>
            </w:r>
            <w:r w:rsidR="00EC56B7" w:rsidRPr="00E97254">
              <w:rPr>
                <w:webHidden/>
              </w:rPr>
              <w:fldChar w:fldCharType="begin"/>
            </w:r>
            <w:r w:rsidR="00D52F26" w:rsidRPr="00E97254">
              <w:rPr>
                <w:webHidden/>
              </w:rPr>
              <w:instrText xml:space="preserve"> PAGEREF _Toc66801995 \h </w:instrText>
            </w:r>
            <w:r w:rsidR="00EC56B7" w:rsidRPr="00E97254">
              <w:rPr>
                <w:webHidden/>
              </w:rPr>
            </w:r>
            <w:r w:rsidR="00EC56B7" w:rsidRPr="00E97254">
              <w:rPr>
                <w:webHidden/>
              </w:rPr>
              <w:fldChar w:fldCharType="separate"/>
            </w:r>
            <w:r w:rsidR="005A6200" w:rsidRPr="00E97254">
              <w:rPr>
                <w:webHidden/>
              </w:rPr>
              <w:t>2</w:t>
            </w:r>
            <w:r w:rsidR="00EC56B7" w:rsidRPr="00E97254">
              <w:rPr>
                <w:webHidden/>
              </w:rPr>
              <w:fldChar w:fldCharType="end"/>
            </w:r>
          </w:hyperlink>
        </w:p>
        <w:p w:rsidR="00D52F26" w:rsidRPr="00E97254" w:rsidRDefault="00AB227E" w:rsidP="000C0250">
          <w:pPr>
            <w:pStyle w:val="TOC3"/>
            <w:rPr>
              <w:rFonts w:eastAsiaTheme="minorEastAsia"/>
            </w:rPr>
          </w:pPr>
          <w:hyperlink w:anchor="_Toc66801996" w:history="1">
            <w:r w:rsidR="00D52F26" w:rsidRPr="00E97254">
              <w:rPr>
                <w:rStyle w:val="Hyperlink"/>
              </w:rPr>
              <w:t>4.3.3. Zotërimi i kompetencave të të nxënit gjatë gjithë jetës</w:t>
            </w:r>
            <w:r w:rsidR="00D52F26" w:rsidRPr="00E97254">
              <w:rPr>
                <w:webHidden/>
              </w:rPr>
              <w:tab/>
            </w:r>
            <w:r w:rsidR="00EC56B7" w:rsidRPr="00E97254">
              <w:rPr>
                <w:webHidden/>
              </w:rPr>
              <w:fldChar w:fldCharType="begin"/>
            </w:r>
            <w:r w:rsidR="00D52F26" w:rsidRPr="00E97254">
              <w:rPr>
                <w:webHidden/>
              </w:rPr>
              <w:instrText xml:space="preserve"> PAGEREF _Toc66801996 \h </w:instrText>
            </w:r>
            <w:r w:rsidR="00EC56B7" w:rsidRPr="00E97254">
              <w:rPr>
                <w:webHidden/>
              </w:rPr>
            </w:r>
            <w:r w:rsidR="00EC56B7" w:rsidRPr="00E97254">
              <w:rPr>
                <w:webHidden/>
              </w:rPr>
              <w:fldChar w:fldCharType="separate"/>
            </w:r>
            <w:r w:rsidR="005A6200" w:rsidRPr="00E97254">
              <w:rPr>
                <w:webHidden/>
              </w:rPr>
              <w:t>2</w:t>
            </w:r>
            <w:r w:rsidR="00EC56B7" w:rsidRPr="00E97254">
              <w:rPr>
                <w:webHidden/>
              </w:rPr>
              <w:fldChar w:fldCharType="end"/>
            </w:r>
          </w:hyperlink>
        </w:p>
        <w:p w:rsidR="00D52F26" w:rsidRPr="00E97254" w:rsidRDefault="00AB227E" w:rsidP="000C0250">
          <w:pPr>
            <w:pStyle w:val="TOC3"/>
            <w:rPr>
              <w:rFonts w:eastAsiaTheme="minorEastAsia"/>
            </w:rPr>
          </w:pPr>
          <w:hyperlink w:anchor="_Toc66801997" w:history="1">
            <w:r w:rsidR="00D52F26" w:rsidRPr="00E97254">
              <w:rPr>
                <w:rStyle w:val="Hyperlink"/>
              </w:rPr>
              <w:t>4.3.4. Digjitalizimi i arsimit</w:t>
            </w:r>
            <w:r w:rsidR="00D52F26" w:rsidRPr="00E97254">
              <w:rPr>
                <w:webHidden/>
              </w:rPr>
              <w:tab/>
            </w:r>
            <w:r w:rsidR="00EC56B7" w:rsidRPr="00E97254">
              <w:rPr>
                <w:webHidden/>
              </w:rPr>
              <w:fldChar w:fldCharType="begin"/>
            </w:r>
            <w:r w:rsidR="00D52F26" w:rsidRPr="00E97254">
              <w:rPr>
                <w:webHidden/>
              </w:rPr>
              <w:instrText xml:space="preserve"> PAGEREF _Toc66801997 \h </w:instrText>
            </w:r>
            <w:r w:rsidR="00EC56B7" w:rsidRPr="00E97254">
              <w:rPr>
                <w:webHidden/>
              </w:rPr>
            </w:r>
            <w:r w:rsidR="00EC56B7" w:rsidRPr="00E97254">
              <w:rPr>
                <w:webHidden/>
              </w:rPr>
              <w:fldChar w:fldCharType="separate"/>
            </w:r>
            <w:r w:rsidR="005A6200" w:rsidRPr="00E97254">
              <w:rPr>
                <w:webHidden/>
              </w:rPr>
              <w:t>2</w:t>
            </w:r>
            <w:r w:rsidR="00EC56B7" w:rsidRPr="00E97254">
              <w:rPr>
                <w:webHidden/>
              </w:rPr>
              <w:fldChar w:fldCharType="end"/>
            </w:r>
          </w:hyperlink>
        </w:p>
        <w:p w:rsidR="00D52F26" w:rsidRPr="00E97254" w:rsidRDefault="00AB227E" w:rsidP="000C0250">
          <w:pPr>
            <w:pStyle w:val="TOC3"/>
            <w:rPr>
              <w:rFonts w:eastAsiaTheme="minorEastAsia"/>
            </w:rPr>
          </w:pPr>
          <w:hyperlink w:anchor="_Toc66801998" w:history="1">
            <w:r w:rsidR="00D52F26" w:rsidRPr="00E97254">
              <w:rPr>
                <w:rStyle w:val="Hyperlink"/>
              </w:rPr>
              <w:t>4.3.5. Menaxhimi dhe sigurimi i cilësisë</w:t>
            </w:r>
            <w:r w:rsidR="00D52F26" w:rsidRPr="00E97254">
              <w:rPr>
                <w:webHidden/>
              </w:rPr>
              <w:tab/>
            </w:r>
            <w:r w:rsidR="00EC56B7" w:rsidRPr="00E97254">
              <w:rPr>
                <w:webHidden/>
              </w:rPr>
              <w:fldChar w:fldCharType="begin"/>
            </w:r>
            <w:r w:rsidR="00D52F26" w:rsidRPr="00E97254">
              <w:rPr>
                <w:webHidden/>
              </w:rPr>
              <w:instrText xml:space="preserve"> PAGEREF _Toc66801998 \h </w:instrText>
            </w:r>
            <w:r w:rsidR="00EC56B7" w:rsidRPr="00E97254">
              <w:rPr>
                <w:webHidden/>
              </w:rPr>
            </w:r>
            <w:r w:rsidR="00EC56B7" w:rsidRPr="00E97254">
              <w:rPr>
                <w:webHidden/>
              </w:rPr>
              <w:fldChar w:fldCharType="separate"/>
            </w:r>
            <w:r w:rsidR="005A6200" w:rsidRPr="00E97254">
              <w:rPr>
                <w:webHidden/>
              </w:rPr>
              <w:t>2</w:t>
            </w:r>
            <w:r w:rsidR="00EC56B7" w:rsidRPr="00E97254">
              <w:rPr>
                <w:webHidden/>
              </w:rPr>
              <w:fldChar w:fldCharType="end"/>
            </w:r>
          </w:hyperlink>
        </w:p>
        <w:p w:rsidR="00D52F26" w:rsidRPr="00E97254" w:rsidRDefault="00AB227E" w:rsidP="000C0250">
          <w:pPr>
            <w:pStyle w:val="TOC2"/>
            <w:tabs>
              <w:tab w:val="right" w:leader="dot" w:pos="9323"/>
            </w:tabs>
            <w:spacing w:after="0"/>
            <w:rPr>
              <w:rFonts w:eastAsiaTheme="minorEastAsia"/>
            </w:rPr>
          </w:pPr>
          <w:hyperlink w:anchor="_Toc66801999" w:history="1">
            <w:r w:rsidR="00D52F26" w:rsidRPr="00E97254">
              <w:rPr>
                <w:rStyle w:val="Hyperlink"/>
              </w:rPr>
              <w:t>4.4. Arsimi i lartë</w:t>
            </w:r>
            <w:r w:rsidR="00D52F26" w:rsidRPr="00E97254">
              <w:rPr>
                <w:webHidden/>
              </w:rPr>
              <w:tab/>
            </w:r>
            <w:r w:rsidR="00EC56B7" w:rsidRPr="00E97254">
              <w:rPr>
                <w:webHidden/>
              </w:rPr>
              <w:fldChar w:fldCharType="begin"/>
            </w:r>
            <w:r w:rsidR="00D52F26" w:rsidRPr="00E97254">
              <w:rPr>
                <w:webHidden/>
              </w:rPr>
              <w:instrText xml:space="preserve"> PAGEREF _Toc66801999 \h </w:instrText>
            </w:r>
            <w:r w:rsidR="00EC56B7" w:rsidRPr="00E97254">
              <w:rPr>
                <w:webHidden/>
              </w:rPr>
            </w:r>
            <w:r w:rsidR="00EC56B7" w:rsidRPr="00E97254">
              <w:rPr>
                <w:webHidden/>
              </w:rPr>
              <w:fldChar w:fldCharType="separate"/>
            </w:r>
            <w:r w:rsidR="005A6200" w:rsidRPr="00E97254">
              <w:rPr>
                <w:webHidden/>
              </w:rPr>
              <w:t>2</w:t>
            </w:r>
            <w:r w:rsidR="00EC56B7" w:rsidRPr="00E97254">
              <w:rPr>
                <w:webHidden/>
              </w:rPr>
              <w:fldChar w:fldCharType="end"/>
            </w:r>
          </w:hyperlink>
        </w:p>
        <w:p w:rsidR="00D52F26" w:rsidRPr="00E97254" w:rsidRDefault="00AB227E" w:rsidP="000C0250">
          <w:pPr>
            <w:pStyle w:val="TOC3"/>
            <w:rPr>
              <w:rFonts w:eastAsiaTheme="minorEastAsia"/>
            </w:rPr>
          </w:pPr>
          <w:hyperlink w:anchor="_Toc66802000" w:history="1">
            <w:r w:rsidR="00D52F26" w:rsidRPr="00E97254">
              <w:rPr>
                <w:rStyle w:val="Hyperlink"/>
              </w:rPr>
              <w:t>4.4.1. Cilësia në arsimin e lartë</w:t>
            </w:r>
            <w:r w:rsidR="00D52F26" w:rsidRPr="00E97254">
              <w:rPr>
                <w:webHidden/>
              </w:rPr>
              <w:tab/>
            </w:r>
            <w:r w:rsidR="00EC56B7" w:rsidRPr="00E97254">
              <w:rPr>
                <w:webHidden/>
              </w:rPr>
              <w:fldChar w:fldCharType="begin"/>
            </w:r>
            <w:r w:rsidR="00D52F26" w:rsidRPr="00E97254">
              <w:rPr>
                <w:webHidden/>
              </w:rPr>
              <w:instrText xml:space="preserve"> PAGEREF _Toc66802000 \h </w:instrText>
            </w:r>
            <w:r w:rsidR="00EC56B7" w:rsidRPr="00E97254">
              <w:rPr>
                <w:webHidden/>
              </w:rPr>
            </w:r>
            <w:r w:rsidR="00EC56B7" w:rsidRPr="00E97254">
              <w:rPr>
                <w:webHidden/>
              </w:rPr>
              <w:fldChar w:fldCharType="separate"/>
            </w:r>
            <w:r w:rsidR="005A6200" w:rsidRPr="00E97254">
              <w:rPr>
                <w:webHidden/>
              </w:rPr>
              <w:t>2</w:t>
            </w:r>
            <w:r w:rsidR="00EC56B7" w:rsidRPr="00E97254">
              <w:rPr>
                <w:webHidden/>
              </w:rPr>
              <w:fldChar w:fldCharType="end"/>
            </w:r>
          </w:hyperlink>
        </w:p>
        <w:p w:rsidR="00D52F26" w:rsidRPr="00E97254" w:rsidRDefault="00AB227E" w:rsidP="000C0250">
          <w:pPr>
            <w:pStyle w:val="TOC3"/>
            <w:rPr>
              <w:rFonts w:eastAsiaTheme="minorEastAsia"/>
            </w:rPr>
          </w:pPr>
          <w:hyperlink w:anchor="_Toc66802001" w:history="1">
            <w:r w:rsidR="00D52F26" w:rsidRPr="00E97254">
              <w:rPr>
                <w:rStyle w:val="Hyperlink"/>
              </w:rPr>
              <w:t>4.4.2. Integriteti dhe transparenca</w:t>
            </w:r>
            <w:r w:rsidR="00D52F26" w:rsidRPr="00E97254">
              <w:rPr>
                <w:webHidden/>
              </w:rPr>
              <w:tab/>
            </w:r>
            <w:r w:rsidR="00EC56B7" w:rsidRPr="00E97254">
              <w:rPr>
                <w:webHidden/>
              </w:rPr>
              <w:fldChar w:fldCharType="begin"/>
            </w:r>
            <w:r w:rsidR="00D52F26" w:rsidRPr="00E97254">
              <w:rPr>
                <w:webHidden/>
              </w:rPr>
              <w:instrText xml:space="preserve"> PAGEREF _Toc66802001 \h </w:instrText>
            </w:r>
            <w:r w:rsidR="00EC56B7" w:rsidRPr="00E97254">
              <w:rPr>
                <w:webHidden/>
              </w:rPr>
            </w:r>
            <w:r w:rsidR="00EC56B7" w:rsidRPr="00E97254">
              <w:rPr>
                <w:webHidden/>
              </w:rPr>
              <w:fldChar w:fldCharType="separate"/>
            </w:r>
            <w:r w:rsidR="005A6200" w:rsidRPr="00E97254">
              <w:rPr>
                <w:webHidden/>
              </w:rPr>
              <w:t>2</w:t>
            </w:r>
            <w:r w:rsidR="00EC56B7" w:rsidRPr="00E97254">
              <w:rPr>
                <w:webHidden/>
              </w:rPr>
              <w:fldChar w:fldCharType="end"/>
            </w:r>
          </w:hyperlink>
        </w:p>
        <w:p w:rsidR="00D52F26" w:rsidRPr="00E97254" w:rsidRDefault="00AB227E" w:rsidP="000C0250">
          <w:pPr>
            <w:pStyle w:val="TOC3"/>
            <w:rPr>
              <w:rFonts w:eastAsiaTheme="minorEastAsia"/>
            </w:rPr>
          </w:pPr>
          <w:hyperlink w:anchor="_Toc66802002" w:history="1">
            <w:r w:rsidR="00D52F26" w:rsidRPr="00E97254">
              <w:rPr>
                <w:rStyle w:val="Hyperlink"/>
              </w:rPr>
              <w:t>4.4.3. Studentët</w:t>
            </w:r>
            <w:r w:rsidR="00D52F26" w:rsidRPr="00E97254">
              <w:rPr>
                <w:webHidden/>
              </w:rPr>
              <w:tab/>
            </w:r>
            <w:r w:rsidR="00EC56B7" w:rsidRPr="00E97254">
              <w:rPr>
                <w:webHidden/>
              </w:rPr>
              <w:fldChar w:fldCharType="begin"/>
            </w:r>
            <w:r w:rsidR="00D52F26" w:rsidRPr="00E97254">
              <w:rPr>
                <w:webHidden/>
              </w:rPr>
              <w:instrText xml:space="preserve"> PAGEREF _Toc66802002 \h </w:instrText>
            </w:r>
            <w:r w:rsidR="00EC56B7" w:rsidRPr="00E97254">
              <w:rPr>
                <w:webHidden/>
              </w:rPr>
            </w:r>
            <w:r w:rsidR="00EC56B7" w:rsidRPr="00E97254">
              <w:rPr>
                <w:webHidden/>
              </w:rPr>
              <w:fldChar w:fldCharType="separate"/>
            </w:r>
            <w:r w:rsidR="005A6200" w:rsidRPr="00E97254">
              <w:rPr>
                <w:webHidden/>
              </w:rPr>
              <w:t>2</w:t>
            </w:r>
            <w:r w:rsidR="00EC56B7" w:rsidRPr="00E97254">
              <w:rPr>
                <w:webHidden/>
              </w:rPr>
              <w:fldChar w:fldCharType="end"/>
            </w:r>
          </w:hyperlink>
        </w:p>
        <w:p w:rsidR="00D52F26" w:rsidRPr="00E97254" w:rsidRDefault="00AB227E" w:rsidP="000C0250">
          <w:pPr>
            <w:pStyle w:val="TOC3"/>
            <w:rPr>
              <w:rFonts w:eastAsiaTheme="minorEastAsia"/>
            </w:rPr>
          </w:pPr>
          <w:hyperlink w:anchor="_Toc66802003" w:history="1">
            <w:r w:rsidR="00D52F26" w:rsidRPr="00E97254">
              <w:rPr>
                <w:rStyle w:val="Hyperlink"/>
              </w:rPr>
              <w:t>4.4.4. Ndërkombëtarizimi i arsimit të lartë</w:t>
            </w:r>
            <w:r w:rsidR="00D52F26" w:rsidRPr="00E97254">
              <w:rPr>
                <w:webHidden/>
              </w:rPr>
              <w:tab/>
            </w:r>
            <w:r w:rsidR="00EC56B7" w:rsidRPr="00E97254">
              <w:rPr>
                <w:webHidden/>
              </w:rPr>
              <w:fldChar w:fldCharType="begin"/>
            </w:r>
            <w:r w:rsidR="00D52F26" w:rsidRPr="00E97254">
              <w:rPr>
                <w:webHidden/>
              </w:rPr>
              <w:instrText xml:space="preserve"> PAGEREF _Toc66802003 \h </w:instrText>
            </w:r>
            <w:r w:rsidR="00EC56B7" w:rsidRPr="00E97254">
              <w:rPr>
                <w:webHidden/>
              </w:rPr>
            </w:r>
            <w:r w:rsidR="00EC56B7" w:rsidRPr="00E97254">
              <w:rPr>
                <w:webHidden/>
              </w:rPr>
              <w:fldChar w:fldCharType="separate"/>
            </w:r>
            <w:r w:rsidR="005A6200" w:rsidRPr="00E97254">
              <w:rPr>
                <w:webHidden/>
              </w:rPr>
              <w:t>2</w:t>
            </w:r>
            <w:r w:rsidR="00EC56B7" w:rsidRPr="00E97254">
              <w:rPr>
                <w:webHidden/>
              </w:rPr>
              <w:fldChar w:fldCharType="end"/>
            </w:r>
          </w:hyperlink>
        </w:p>
        <w:p w:rsidR="00D52F26" w:rsidRPr="00E97254" w:rsidRDefault="00AB227E" w:rsidP="000C0250">
          <w:pPr>
            <w:pStyle w:val="TOC3"/>
            <w:rPr>
              <w:rFonts w:eastAsiaTheme="minorEastAsia"/>
            </w:rPr>
          </w:pPr>
          <w:hyperlink w:anchor="_Toc66802004" w:history="1">
            <w:r w:rsidR="00D52F26" w:rsidRPr="00E97254">
              <w:rPr>
                <w:rStyle w:val="Hyperlink"/>
              </w:rPr>
              <w:t>4.4.5. Shërbimet digjitale</w:t>
            </w:r>
            <w:r w:rsidR="00D52F26" w:rsidRPr="00E97254">
              <w:rPr>
                <w:webHidden/>
              </w:rPr>
              <w:tab/>
            </w:r>
            <w:r w:rsidR="00EC56B7" w:rsidRPr="00E97254">
              <w:rPr>
                <w:webHidden/>
              </w:rPr>
              <w:fldChar w:fldCharType="begin"/>
            </w:r>
            <w:r w:rsidR="00D52F26" w:rsidRPr="00E97254">
              <w:rPr>
                <w:webHidden/>
              </w:rPr>
              <w:instrText xml:space="preserve"> PAGEREF _Toc66802004 \h </w:instrText>
            </w:r>
            <w:r w:rsidR="00EC56B7" w:rsidRPr="00E97254">
              <w:rPr>
                <w:webHidden/>
              </w:rPr>
            </w:r>
            <w:r w:rsidR="00EC56B7" w:rsidRPr="00E97254">
              <w:rPr>
                <w:webHidden/>
              </w:rPr>
              <w:fldChar w:fldCharType="separate"/>
            </w:r>
            <w:r w:rsidR="005A6200" w:rsidRPr="00E97254">
              <w:rPr>
                <w:webHidden/>
              </w:rPr>
              <w:t>2</w:t>
            </w:r>
            <w:r w:rsidR="00EC56B7" w:rsidRPr="00E97254">
              <w:rPr>
                <w:webHidden/>
              </w:rPr>
              <w:fldChar w:fldCharType="end"/>
            </w:r>
          </w:hyperlink>
        </w:p>
        <w:p w:rsidR="00D52F26" w:rsidRPr="00E97254" w:rsidRDefault="00AB227E" w:rsidP="000C0250">
          <w:pPr>
            <w:pStyle w:val="TOC2"/>
            <w:tabs>
              <w:tab w:val="right" w:leader="dot" w:pos="9323"/>
            </w:tabs>
            <w:spacing w:after="0"/>
            <w:rPr>
              <w:rFonts w:eastAsiaTheme="minorEastAsia"/>
            </w:rPr>
          </w:pPr>
          <w:hyperlink w:anchor="_Toc66802005" w:history="1">
            <w:r w:rsidR="00D52F26" w:rsidRPr="00E97254">
              <w:rPr>
                <w:rStyle w:val="Hyperlink"/>
              </w:rPr>
              <w:t>4.5. Çështje të barazisë gjinore</w:t>
            </w:r>
            <w:r w:rsidR="00D52F26" w:rsidRPr="00E97254">
              <w:rPr>
                <w:webHidden/>
              </w:rPr>
              <w:tab/>
            </w:r>
            <w:r w:rsidR="00EC56B7" w:rsidRPr="00E97254">
              <w:rPr>
                <w:webHidden/>
              </w:rPr>
              <w:fldChar w:fldCharType="begin"/>
            </w:r>
            <w:r w:rsidR="00D52F26" w:rsidRPr="00E97254">
              <w:rPr>
                <w:webHidden/>
              </w:rPr>
              <w:instrText xml:space="preserve"> PAGEREF _Toc66802005 \h </w:instrText>
            </w:r>
            <w:r w:rsidR="00EC56B7" w:rsidRPr="00E97254">
              <w:rPr>
                <w:webHidden/>
              </w:rPr>
            </w:r>
            <w:r w:rsidR="00EC56B7" w:rsidRPr="00E97254">
              <w:rPr>
                <w:webHidden/>
              </w:rPr>
              <w:fldChar w:fldCharType="separate"/>
            </w:r>
            <w:r w:rsidR="005A6200" w:rsidRPr="00E97254">
              <w:rPr>
                <w:webHidden/>
              </w:rPr>
              <w:t>2</w:t>
            </w:r>
            <w:r w:rsidR="00EC56B7" w:rsidRPr="00E97254">
              <w:rPr>
                <w:webHidden/>
              </w:rPr>
              <w:fldChar w:fldCharType="end"/>
            </w:r>
          </w:hyperlink>
        </w:p>
        <w:p w:rsidR="00D52F26" w:rsidRPr="00E97254" w:rsidRDefault="00AB227E" w:rsidP="000C0250">
          <w:pPr>
            <w:pStyle w:val="TOC2"/>
            <w:tabs>
              <w:tab w:val="right" w:leader="dot" w:pos="9323"/>
            </w:tabs>
            <w:spacing w:after="0"/>
            <w:rPr>
              <w:rFonts w:eastAsiaTheme="minorEastAsia"/>
            </w:rPr>
          </w:pPr>
          <w:hyperlink w:anchor="_Toc66802006" w:history="1">
            <w:r w:rsidR="00D52F26" w:rsidRPr="00E97254">
              <w:rPr>
                <w:rStyle w:val="Hyperlink"/>
              </w:rPr>
              <w:t>4.6. Financimi i arsimit</w:t>
            </w:r>
            <w:r w:rsidR="00D52F26" w:rsidRPr="00E97254">
              <w:rPr>
                <w:webHidden/>
              </w:rPr>
              <w:tab/>
            </w:r>
            <w:r w:rsidR="00EC56B7" w:rsidRPr="00E97254">
              <w:rPr>
                <w:webHidden/>
              </w:rPr>
              <w:fldChar w:fldCharType="begin"/>
            </w:r>
            <w:r w:rsidR="00D52F26" w:rsidRPr="00E97254">
              <w:rPr>
                <w:webHidden/>
              </w:rPr>
              <w:instrText xml:space="preserve"> PAGEREF _Toc66802006 \h </w:instrText>
            </w:r>
            <w:r w:rsidR="00EC56B7" w:rsidRPr="00E97254">
              <w:rPr>
                <w:webHidden/>
              </w:rPr>
            </w:r>
            <w:r w:rsidR="00EC56B7" w:rsidRPr="00E97254">
              <w:rPr>
                <w:webHidden/>
              </w:rPr>
              <w:fldChar w:fldCharType="separate"/>
            </w:r>
            <w:r w:rsidR="005A6200" w:rsidRPr="00E97254">
              <w:rPr>
                <w:webHidden/>
              </w:rPr>
              <w:t>2</w:t>
            </w:r>
            <w:r w:rsidR="00EC56B7" w:rsidRPr="00E97254">
              <w:rPr>
                <w:webHidden/>
              </w:rPr>
              <w:fldChar w:fldCharType="end"/>
            </w:r>
          </w:hyperlink>
        </w:p>
        <w:p w:rsidR="00D52F26" w:rsidRPr="00E97254" w:rsidRDefault="00AB227E" w:rsidP="000C0250">
          <w:pPr>
            <w:pStyle w:val="TOC1"/>
            <w:rPr>
              <w:rFonts w:eastAsiaTheme="minorEastAsia"/>
              <w:noProof w:val="0"/>
            </w:rPr>
          </w:pPr>
          <w:hyperlink w:anchor="_Toc66802007" w:history="1">
            <w:r w:rsidR="00D52F26" w:rsidRPr="00E97254">
              <w:rPr>
                <w:rStyle w:val="Hyperlink"/>
                <w:noProof w:val="0"/>
              </w:rPr>
              <w:t>5. Vizioni i Strategjisë</w:t>
            </w:r>
            <w:r w:rsidR="00D52F26" w:rsidRPr="00E97254">
              <w:rPr>
                <w:noProof w:val="0"/>
                <w:webHidden/>
              </w:rPr>
              <w:tab/>
            </w:r>
            <w:r w:rsidR="00EC56B7" w:rsidRPr="00E97254">
              <w:rPr>
                <w:noProof w:val="0"/>
                <w:webHidden/>
              </w:rPr>
              <w:fldChar w:fldCharType="begin"/>
            </w:r>
            <w:r w:rsidR="00D52F26" w:rsidRPr="00E97254">
              <w:rPr>
                <w:noProof w:val="0"/>
                <w:webHidden/>
              </w:rPr>
              <w:instrText xml:space="preserve"> PAGEREF _Toc66802007 \h </w:instrText>
            </w:r>
            <w:r w:rsidR="00EC56B7" w:rsidRPr="00E97254">
              <w:rPr>
                <w:noProof w:val="0"/>
                <w:webHidden/>
              </w:rPr>
            </w:r>
            <w:r w:rsidR="00EC56B7" w:rsidRPr="00E97254">
              <w:rPr>
                <w:noProof w:val="0"/>
                <w:webHidden/>
              </w:rPr>
              <w:fldChar w:fldCharType="separate"/>
            </w:r>
            <w:r w:rsidR="005A6200" w:rsidRPr="00E97254">
              <w:rPr>
                <w:noProof w:val="0"/>
                <w:webHidden/>
              </w:rPr>
              <w:t>2</w:t>
            </w:r>
            <w:r w:rsidR="00EC56B7" w:rsidRPr="00E97254">
              <w:rPr>
                <w:noProof w:val="0"/>
                <w:webHidden/>
              </w:rPr>
              <w:fldChar w:fldCharType="end"/>
            </w:r>
          </w:hyperlink>
        </w:p>
        <w:p w:rsidR="00D52F26" w:rsidRPr="00E97254" w:rsidRDefault="00AB227E" w:rsidP="000C0250">
          <w:pPr>
            <w:pStyle w:val="TOC2"/>
            <w:tabs>
              <w:tab w:val="right" w:leader="dot" w:pos="9323"/>
            </w:tabs>
            <w:spacing w:after="0"/>
            <w:rPr>
              <w:rFonts w:eastAsiaTheme="minorEastAsia"/>
            </w:rPr>
          </w:pPr>
          <w:hyperlink w:anchor="_Toc66802008" w:history="1">
            <w:r w:rsidR="00D52F26" w:rsidRPr="00E97254">
              <w:rPr>
                <w:rStyle w:val="Hyperlink"/>
              </w:rPr>
              <w:t>5.1. Vizioni</w:t>
            </w:r>
            <w:r w:rsidR="00D52F26" w:rsidRPr="00E97254">
              <w:rPr>
                <w:webHidden/>
              </w:rPr>
              <w:tab/>
            </w:r>
            <w:r w:rsidR="00EC56B7" w:rsidRPr="00E97254">
              <w:rPr>
                <w:webHidden/>
              </w:rPr>
              <w:fldChar w:fldCharType="begin"/>
            </w:r>
            <w:r w:rsidR="00D52F26" w:rsidRPr="00E97254">
              <w:rPr>
                <w:webHidden/>
              </w:rPr>
              <w:instrText xml:space="preserve"> PAGEREF _Toc66802008 \h </w:instrText>
            </w:r>
            <w:r w:rsidR="00EC56B7" w:rsidRPr="00E97254">
              <w:rPr>
                <w:webHidden/>
              </w:rPr>
            </w:r>
            <w:r w:rsidR="00EC56B7" w:rsidRPr="00E97254">
              <w:rPr>
                <w:webHidden/>
              </w:rPr>
              <w:fldChar w:fldCharType="separate"/>
            </w:r>
            <w:r w:rsidR="005A6200" w:rsidRPr="00E97254">
              <w:rPr>
                <w:webHidden/>
              </w:rPr>
              <w:t>2</w:t>
            </w:r>
            <w:r w:rsidR="00EC56B7" w:rsidRPr="00E97254">
              <w:rPr>
                <w:webHidden/>
              </w:rPr>
              <w:fldChar w:fldCharType="end"/>
            </w:r>
          </w:hyperlink>
        </w:p>
        <w:p w:rsidR="00D52F26" w:rsidRPr="00E97254" w:rsidRDefault="00AB227E" w:rsidP="000C0250">
          <w:pPr>
            <w:pStyle w:val="TOC2"/>
            <w:tabs>
              <w:tab w:val="right" w:leader="dot" w:pos="9323"/>
            </w:tabs>
            <w:spacing w:after="0"/>
            <w:rPr>
              <w:rFonts w:eastAsiaTheme="minorEastAsia"/>
            </w:rPr>
          </w:pPr>
          <w:hyperlink w:anchor="_Toc66802009" w:history="1">
            <w:r w:rsidR="00D52F26" w:rsidRPr="00E97254">
              <w:rPr>
                <w:rStyle w:val="Hyperlink"/>
              </w:rPr>
              <w:t>5.2. Treguesit e impaktit</w:t>
            </w:r>
            <w:r w:rsidR="00D52F26" w:rsidRPr="00E97254">
              <w:rPr>
                <w:webHidden/>
              </w:rPr>
              <w:tab/>
            </w:r>
            <w:r w:rsidR="00EC56B7" w:rsidRPr="00E97254">
              <w:rPr>
                <w:webHidden/>
              </w:rPr>
              <w:fldChar w:fldCharType="begin"/>
            </w:r>
            <w:r w:rsidR="00D52F26" w:rsidRPr="00E97254">
              <w:rPr>
                <w:webHidden/>
              </w:rPr>
              <w:instrText xml:space="preserve"> PAGEREF _Toc66802009 \h </w:instrText>
            </w:r>
            <w:r w:rsidR="00EC56B7" w:rsidRPr="00E97254">
              <w:rPr>
                <w:webHidden/>
              </w:rPr>
            </w:r>
            <w:r w:rsidR="00EC56B7" w:rsidRPr="00E97254">
              <w:rPr>
                <w:webHidden/>
              </w:rPr>
              <w:fldChar w:fldCharType="separate"/>
            </w:r>
            <w:r w:rsidR="005A6200" w:rsidRPr="00E97254">
              <w:rPr>
                <w:webHidden/>
              </w:rPr>
              <w:t>2</w:t>
            </w:r>
            <w:r w:rsidR="00EC56B7" w:rsidRPr="00E97254">
              <w:rPr>
                <w:webHidden/>
              </w:rPr>
              <w:fldChar w:fldCharType="end"/>
            </w:r>
          </w:hyperlink>
        </w:p>
        <w:p w:rsidR="00D52F26" w:rsidRPr="00E97254" w:rsidRDefault="00AB227E" w:rsidP="000C0250">
          <w:pPr>
            <w:pStyle w:val="TOC1"/>
            <w:rPr>
              <w:rFonts w:eastAsiaTheme="minorEastAsia"/>
              <w:noProof w:val="0"/>
            </w:rPr>
          </w:pPr>
          <w:hyperlink w:anchor="_Toc66802010" w:history="1">
            <w:r w:rsidR="00D52F26" w:rsidRPr="00E97254">
              <w:rPr>
                <w:rStyle w:val="Hyperlink"/>
                <w:noProof w:val="0"/>
                <w:color w:val="000000" w:themeColor="text1"/>
              </w:rPr>
              <w:t xml:space="preserve">6. </w:t>
            </w:r>
            <w:r w:rsidR="007453CC" w:rsidRPr="00E97254">
              <w:rPr>
                <w:rStyle w:val="Hyperlink"/>
                <w:rFonts w:cstheme="minorHAnsi"/>
                <w:noProof w:val="0"/>
                <w:color w:val="000000" w:themeColor="text1"/>
                <w:u w:val="none"/>
              </w:rPr>
              <w:t>PJESA II -</w:t>
            </w:r>
            <w:r w:rsidR="007453CC" w:rsidRPr="00E97254">
              <w:rPr>
                <w:rFonts w:cstheme="minorHAnsi"/>
                <w:noProof w:val="0"/>
                <w:shd w:val="clear" w:color="auto" w:fill="CCC0D9" w:themeFill="accent4" w:themeFillTint="66"/>
              </w:rPr>
              <w:t xml:space="preserve"> QËLLIMET</w:t>
            </w:r>
            <w:r w:rsidR="008C1AF5" w:rsidRPr="00E97254">
              <w:rPr>
                <w:rFonts w:cstheme="minorHAnsi"/>
                <w:noProof w:val="0"/>
                <w:shd w:val="clear" w:color="auto" w:fill="CCC0D9" w:themeFill="accent4" w:themeFillTint="66"/>
              </w:rPr>
              <w:t xml:space="preserve"> E</w:t>
            </w:r>
            <w:r w:rsidR="007453CC" w:rsidRPr="00E97254">
              <w:rPr>
                <w:rFonts w:cstheme="minorHAnsi"/>
                <w:noProof w:val="0"/>
                <w:shd w:val="clear" w:color="auto" w:fill="CCC0D9" w:themeFill="accent4" w:themeFillTint="66"/>
              </w:rPr>
              <w:t xml:space="preserve"> POLITIKAVE DHE OBJEKTIVAT </w:t>
            </w:r>
            <w:r w:rsidR="00513AF3" w:rsidRPr="00E97254">
              <w:rPr>
                <w:rFonts w:cstheme="minorHAnsi"/>
                <w:noProof w:val="0"/>
                <w:shd w:val="clear" w:color="auto" w:fill="CCC0D9" w:themeFill="accent4" w:themeFillTint="66"/>
              </w:rPr>
              <w:t>SPECIFIK</w:t>
            </w:r>
            <w:r w:rsidR="00513AF3">
              <w:rPr>
                <w:rFonts w:cstheme="minorHAnsi"/>
                <w:noProof w:val="0"/>
                <w:shd w:val="clear" w:color="auto" w:fill="CCC0D9" w:themeFill="accent4" w:themeFillTint="66"/>
              </w:rPr>
              <w:t>E</w:t>
            </w:r>
            <w:r w:rsidR="00513AF3" w:rsidRPr="00E97254">
              <w:rPr>
                <w:rFonts w:ascii="Times New Roman" w:hAnsi="Times New Roman"/>
                <w:noProof w:val="0"/>
                <w:sz w:val="24"/>
                <w:szCs w:val="24"/>
              </w:rPr>
              <w:t xml:space="preserve"> </w:t>
            </w:r>
            <w:r w:rsidR="00D52F26" w:rsidRPr="00E97254">
              <w:rPr>
                <w:noProof w:val="0"/>
                <w:webHidden/>
              </w:rPr>
              <w:tab/>
            </w:r>
            <w:r w:rsidR="00EC56B7" w:rsidRPr="00E97254">
              <w:rPr>
                <w:noProof w:val="0"/>
                <w:webHidden/>
              </w:rPr>
              <w:fldChar w:fldCharType="begin"/>
            </w:r>
            <w:r w:rsidR="00D52F26" w:rsidRPr="00E97254">
              <w:rPr>
                <w:noProof w:val="0"/>
                <w:webHidden/>
              </w:rPr>
              <w:instrText xml:space="preserve"> PAGEREF _Toc66802010 \h </w:instrText>
            </w:r>
            <w:r w:rsidR="00EC56B7" w:rsidRPr="00E97254">
              <w:rPr>
                <w:noProof w:val="0"/>
                <w:webHidden/>
              </w:rPr>
            </w:r>
            <w:r w:rsidR="00EC56B7" w:rsidRPr="00E97254">
              <w:rPr>
                <w:noProof w:val="0"/>
                <w:webHidden/>
              </w:rPr>
              <w:fldChar w:fldCharType="separate"/>
            </w:r>
            <w:r w:rsidR="005A6200" w:rsidRPr="00E97254">
              <w:rPr>
                <w:noProof w:val="0"/>
                <w:webHidden/>
              </w:rPr>
              <w:t>2</w:t>
            </w:r>
            <w:r w:rsidR="00EC56B7" w:rsidRPr="00E97254">
              <w:rPr>
                <w:noProof w:val="0"/>
                <w:webHidden/>
              </w:rPr>
              <w:fldChar w:fldCharType="end"/>
            </w:r>
          </w:hyperlink>
        </w:p>
        <w:p w:rsidR="00D52F26" w:rsidRPr="00E97254" w:rsidRDefault="00AB227E" w:rsidP="000C0250">
          <w:pPr>
            <w:pStyle w:val="TOC2"/>
            <w:tabs>
              <w:tab w:val="right" w:leader="dot" w:pos="9323"/>
            </w:tabs>
            <w:spacing w:after="0"/>
            <w:rPr>
              <w:rFonts w:eastAsiaTheme="minorEastAsia"/>
            </w:rPr>
          </w:pPr>
          <w:hyperlink w:anchor="_Toc66802011" w:history="1">
            <w:r w:rsidR="00D52F26" w:rsidRPr="00E97254">
              <w:rPr>
                <w:rStyle w:val="Hyperlink"/>
              </w:rPr>
              <w:t>6.1. Qëllimi i Politikës A: Arsimi parauniversitar</w:t>
            </w:r>
            <w:r w:rsidR="00D52F26" w:rsidRPr="00E97254">
              <w:rPr>
                <w:webHidden/>
              </w:rPr>
              <w:tab/>
            </w:r>
            <w:r w:rsidR="00EC56B7" w:rsidRPr="00E97254">
              <w:rPr>
                <w:webHidden/>
              </w:rPr>
              <w:fldChar w:fldCharType="begin"/>
            </w:r>
            <w:r w:rsidR="00D52F26" w:rsidRPr="00E97254">
              <w:rPr>
                <w:webHidden/>
              </w:rPr>
              <w:instrText xml:space="preserve"> PAGEREF _Toc66802011 \h </w:instrText>
            </w:r>
            <w:r w:rsidR="00EC56B7" w:rsidRPr="00E97254">
              <w:rPr>
                <w:webHidden/>
              </w:rPr>
            </w:r>
            <w:r w:rsidR="00EC56B7" w:rsidRPr="00E97254">
              <w:rPr>
                <w:webHidden/>
              </w:rPr>
              <w:fldChar w:fldCharType="separate"/>
            </w:r>
            <w:r w:rsidR="005A6200" w:rsidRPr="00E97254">
              <w:rPr>
                <w:webHidden/>
              </w:rPr>
              <w:t>2</w:t>
            </w:r>
            <w:r w:rsidR="00EC56B7" w:rsidRPr="00E97254">
              <w:rPr>
                <w:webHidden/>
              </w:rPr>
              <w:fldChar w:fldCharType="end"/>
            </w:r>
          </w:hyperlink>
        </w:p>
        <w:p w:rsidR="00D52F26" w:rsidRPr="00E97254" w:rsidRDefault="00AB227E" w:rsidP="000C0250">
          <w:pPr>
            <w:pStyle w:val="TOC3"/>
            <w:rPr>
              <w:rFonts w:eastAsiaTheme="minorEastAsia"/>
            </w:rPr>
          </w:pPr>
          <w:hyperlink w:anchor="_Toc66802012" w:history="1">
            <w:r w:rsidR="00D52F26" w:rsidRPr="00E97254">
              <w:rPr>
                <w:rStyle w:val="Hyperlink"/>
              </w:rPr>
              <w:t>Objektivi specifik A1: Gjithëpërfshirja dhe barazia në arsim</w:t>
            </w:r>
            <w:r w:rsidR="00D52F26" w:rsidRPr="00E97254">
              <w:rPr>
                <w:webHidden/>
              </w:rPr>
              <w:tab/>
            </w:r>
            <w:r w:rsidR="00EC56B7" w:rsidRPr="00E97254">
              <w:rPr>
                <w:webHidden/>
              </w:rPr>
              <w:fldChar w:fldCharType="begin"/>
            </w:r>
            <w:r w:rsidR="00D52F26" w:rsidRPr="00E97254">
              <w:rPr>
                <w:webHidden/>
              </w:rPr>
              <w:instrText xml:space="preserve"> PAGEREF _Toc66802012 \h </w:instrText>
            </w:r>
            <w:r w:rsidR="00EC56B7" w:rsidRPr="00E97254">
              <w:rPr>
                <w:webHidden/>
              </w:rPr>
            </w:r>
            <w:r w:rsidR="00EC56B7" w:rsidRPr="00E97254">
              <w:rPr>
                <w:webHidden/>
              </w:rPr>
              <w:fldChar w:fldCharType="separate"/>
            </w:r>
            <w:r w:rsidR="005A6200" w:rsidRPr="00E97254">
              <w:rPr>
                <w:webHidden/>
              </w:rPr>
              <w:t>2</w:t>
            </w:r>
            <w:r w:rsidR="00EC56B7" w:rsidRPr="00E97254">
              <w:rPr>
                <w:webHidden/>
              </w:rPr>
              <w:fldChar w:fldCharType="end"/>
            </w:r>
          </w:hyperlink>
        </w:p>
        <w:p w:rsidR="00D52F26" w:rsidRPr="00E97254" w:rsidRDefault="00AB227E" w:rsidP="000C0250">
          <w:pPr>
            <w:pStyle w:val="TOC3"/>
            <w:rPr>
              <w:rFonts w:eastAsiaTheme="minorEastAsia"/>
            </w:rPr>
          </w:pPr>
          <w:hyperlink w:anchor="_Toc66802013" w:history="1">
            <w:r w:rsidR="00D52F26" w:rsidRPr="00E97254">
              <w:rPr>
                <w:rStyle w:val="Hyperlink"/>
              </w:rPr>
              <w:t>Objektivi specifik A2: Mësuesit</w:t>
            </w:r>
            <w:r w:rsidR="00D52F26" w:rsidRPr="00E97254">
              <w:rPr>
                <w:webHidden/>
              </w:rPr>
              <w:tab/>
            </w:r>
            <w:r w:rsidR="00EC56B7" w:rsidRPr="00E97254">
              <w:rPr>
                <w:webHidden/>
              </w:rPr>
              <w:fldChar w:fldCharType="begin"/>
            </w:r>
            <w:r w:rsidR="00D52F26" w:rsidRPr="00E97254">
              <w:rPr>
                <w:webHidden/>
              </w:rPr>
              <w:instrText xml:space="preserve"> PAGEREF _Toc66802013 \h </w:instrText>
            </w:r>
            <w:r w:rsidR="00EC56B7" w:rsidRPr="00E97254">
              <w:rPr>
                <w:webHidden/>
              </w:rPr>
            </w:r>
            <w:r w:rsidR="00EC56B7" w:rsidRPr="00E97254">
              <w:rPr>
                <w:webHidden/>
              </w:rPr>
              <w:fldChar w:fldCharType="separate"/>
            </w:r>
            <w:r w:rsidR="005A6200" w:rsidRPr="00E97254">
              <w:rPr>
                <w:webHidden/>
              </w:rPr>
              <w:t>2</w:t>
            </w:r>
            <w:r w:rsidR="00EC56B7" w:rsidRPr="00E97254">
              <w:rPr>
                <w:webHidden/>
              </w:rPr>
              <w:fldChar w:fldCharType="end"/>
            </w:r>
          </w:hyperlink>
        </w:p>
        <w:p w:rsidR="00D52F26" w:rsidRPr="00E97254" w:rsidRDefault="00AB227E" w:rsidP="000C0250">
          <w:pPr>
            <w:pStyle w:val="TOC3"/>
            <w:rPr>
              <w:rFonts w:eastAsiaTheme="minorEastAsia"/>
            </w:rPr>
          </w:pPr>
          <w:hyperlink w:anchor="_Toc66802014" w:history="1">
            <w:r w:rsidR="00D52F26" w:rsidRPr="00E97254">
              <w:rPr>
                <w:rStyle w:val="Hyperlink"/>
              </w:rPr>
              <w:t>Objektivi specifik A3: Zotërimi i kompetencave të të nxënit gjatë gjithë jetës</w:t>
            </w:r>
            <w:r w:rsidR="00D52F26" w:rsidRPr="00E97254">
              <w:rPr>
                <w:webHidden/>
              </w:rPr>
              <w:tab/>
            </w:r>
            <w:r w:rsidR="00EC56B7" w:rsidRPr="00E97254">
              <w:rPr>
                <w:webHidden/>
              </w:rPr>
              <w:fldChar w:fldCharType="begin"/>
            </w:r>
            <w:r w:rsidR="00D52F26" w:rsidRPr="00E97254">
              <w:rPr>
                <w:webHidden/>
              </w:rPr>
              <w:instrText xml:space="preserve"> PAGEREF _Toc66802014 \h </w:instrText>
            </w:r>
            <w:r w:rsidR="00EC56B7" w:rsidRPr="00E97254">
              <w:rPr>
                <w:webHidden/>
              </w:rPr>
            </w:r>
            <w:r w:rsidR="00EC56B7" w:rsidRPr="00E97254">
              <w:rPr>
                <w:webHidden/>
              </w:rPr>
              <w:fldChar w:fldCharType="separate"/>
            </w:r>
            <w:r w:rsidR="005A6200" w:rsidRPr="00E97254">
              <w:rPr>
                <w:webHidden/>
              </w:rPr>
              <w:t>2</w:t>
            </w:r>
            <w:r w:rsidR="00EC56B7" w:rsidRPr="00E97254">
              <w:rPr>
                <w:webHidden/>
              </w:rPr>
              <w:fldChar w:fldCharType="end"/>
            </w:r>
          </w:hyperlink>
        </w:p>
        <w:p w:rsidR="00D52F26" w:rsidRPr="00E97254" w:rsidRDefault="00AB227E" w:rsidP="000C0250">
          <w:pPr>
            <w:pStyle w:val="TOC3"/>
            <w:rPr>
              <w:rFonts w:eastAsiaTheme="minorEastAsia"/>
            </w:rPr>
          </w:pPr>
          <w:hyperlink w:anchor="_Toc66802015" w:history="1">
            <w:r w:rsidR="00D52F26" w:rsidRPr="00E97254">
              <w:rPr>
                <w:rStyle w:val="Hyperlink"/>
              </w:rPr>
              <w:t>Objektivi specifik A4: Digjitalizimi i arsimit</w:t>
            </w:r>
            <w:r w:rsidR="00D52F26" w:rsidRPr="00E97254">
              <w:rPr>
                <w:webHidden/>
              </w:rPr>
              <w:tab/>
            </w:r>
            <w:r w:rsidR="00EC56B7" w:rsidRPr="00E97254">
              <w:rPr>
                <w:webHidden/>
              </w:rPr>
              <w:fldChar w:fldCharType="begin"/>
            </w:r>
            <w:r w:rsidR="00D52F26" w:rsidRPr="00E97254">
              <w:rPr>
                <w:webHidden/>
              </w:rPr>
              <w:instrText xml:space="preserve"> PAGEREF _Toc66802015 \h </w:instrText>
            </w:r>
            <w:r w:rsidR="00EC56B7" w:rsidRPr="00E97254">
              <w:rPr>
                <w:webHidden/>
              </w:rPr>
            </w:r>
            <w:r w:rsidR="00EC56B7" w:rsidRPr="00E97254">
              <w:rPr>
                <w:webHidden/>
              </w:rPr>
              <w:fldChar w:fldCharType="separate"/>
            </w:r>
            <w:r w:rsidR="005A6200" w:rsidRPr="00E97254">
              <w:rPr>
                <w:webHidden/>
              </w:rPr>
              <w:t>2</w:t>
            </w:r>
            <w:r w:rsidR="00EC56B7" w:rsidRPr="00E97254">
              <w:rPr>
                <w:webHidden/>
              </w:rPr>
              <w:fldChar w:fldCharType="end"/>
            </w:r>
          </w:hyperlink>
        </w:p>
        <w:p w:rsidR="00D52F26" w:rsidRPr="00E97254" w:rsidRDefault="00AB227E" w:rsidP="000C0250">
          <w:pPr>
            <w:pStyle w:val="TOC2"/>
            <w:tabs>
              <w:tab w:val="right" w:leader="dot" w:pos="9323"/>
            </w:tabs>
            <w:spacing w:after="0"/>
            <w:rPr>
              <w:rFonts w:eastAsiaTheme="minorEastAsia"/>
            </w:rPr>
          </w:pPr>
          <w:hyperlink w:anchor="_Toc66802016" w:history="1">
            <w:r w:rsidR="00D52F26" w:rsidRPr="00E97254">
              <w:rPr>
                <w:rStyle w:val="Hyperlink"/>
              </w:rPr>
              <w:t>6.2. Qëllimi i Politikës B: Menaxhimi dhe sigurimi i cilësisë</w:t>
            </w:r>
            <w:r w:rsidR="00D52F26" w:rsidRPr="00E97254">
              <w:rPr>
                <w:webHidden/>
              </w:rPr>
              <w:tab/>
            </w:r>
            <w:r w:rsidR="00EC56B7" w:rsidRPr="00E97254">
              <w:rPr>
                <w:webHidden/>
              </w:rPr>
              <w:fldChar w:fldCharType="begin"/>
            </w:r>
            <w:r w:rsidR="00D52F26" w:rsidRPr="00E97254">
              <w:rPr>
                <w:webHidden/>
              </w:rPr>
              <w:instrText xml:space="preserve"> PAGEREF _Toc66802016 \h </w:instrText>
            </w:r>
            <w:r w:rsidR="00EC56B7" w:rsidRPr="00E97254">
              <w:rPr>
                <w:webHidden/>
              </w:rPr>
            </w:r>
            <w:r w:rsidR="00EC56B7" w:rsidRPr="00E97254">
              <w:rPr>
                <w:webHidden/>
              </w:rPr>
              <w:fldChar w:fldCharType="separate"/>
            </w:r>
            <w:r w:rsidR="005A6200" w:rsidRPr="00E97254">
              <w:rPr>
                <w:webHidden/>
              </w:rPr>
              <w:t>2</w:t>
            </w:r>
            <w:r w:rsidR="00EC56B7" w:rsidRPr="00E97254">
              <w:rPr>
                <w:webHidden/>
              </w:rPr>
              <w:fldChar w:fldCharType="end"/>
            </w:r>
          </w:hyperlink>
        </w:p>
        <w:p w:rsidR="00D52F26" w:rsidRPr="00E97254" w:rsidRDefault="00AB227E" w:rsidP="000C0250">
          <w:pPr>
            <w:pStyle w:val="TOC3"/>
            <w:rPr>
              <w:rFonts w:eastAsiaTheme="minorEastAsia"/>
            </w:rPr>
          </w:pPr>
          <w:hyperlink w:anchor="_Toc66802017" w:history="1">
            <w:r w:rsidR="00D52F26" w:rsidRPr="00E97254">
              <w:rPr>
                <w:rStyle w:val="Hyperlink"/>
              </w:rPr>
              <w:t>Objektivi specifik B1: Niveli i shkollës</w:t>
            </w:r>
            <w:r w:rsidR="00D52F26" w:rsidRPr="00E97254">
              <w:rPr>
                <w:webHidden/>
              </w:rPr>
              <w:tab/>
            </w:r>
            <w:r w:rsidR="00EC56B7" w:rsidRPr="00E97254">
              <w:rPr>
                <w:webHidden/>
              </w:rPr>
              <w:fldChar w:fldCharType="begin"/>
            </w:r>
            <w:r w:rsidR="00D52F26" w:rsidRPr="00E97254">
              <w:rPr>
                <w:webHidden/>
              </w:rPr>
              <w:instrText xml:space="preserve"> PAGEREF _Toc66802017 \h </w:instrText>
            </w:r>
            <w:r w:rsidR="00EC56B7" w:rsidRPr="00E97254">
              <w:rPr>
                <w:webHidden/>
              </w:rPr>
            </w:r>
            <w:r w:rsidR="00EC56B7" w:rsidRPr="00E97254">
              <w:rPr>
                <w:webHidden/>
              </w:rPr>
              <w:fldChar w:fldCharType="separate"/>
            </w:r>
            <w:r w:rsidR="005A6200" w:rsidRPr="00E97254">
              <w:rPr>
                <w:webHidden/>
              </w:rPr>
              <w:t>2</w:t>
            </w:r>
            <w:r w:rsidR="00EC56B7" w:rsidRPr="00E97254">
              <w:rPr>
                <w:webHidden/>
              </w:rPr>
              <w:fldChar w:fldCharType="end"/>
            </w:r>
          </w:hyperlink>
        </w:p>
        <w:p w:rsidR="00D52F26" w:rsidRPr="00E97254" w:rsidRDefault="00AB227E" w:rsidP="000C0250">
          <w:pPr>
            <w:pStyle w:val="TOC3"/>
            <w:rPr>
              <w:rFonts w:eastAsiaTheme="minorEastAsia"/>
            </w:rPr>
          </w:pPr>
          <w:hyperlink w:anchor="_Toc66802018" w:history="1">
            <w:r w:rsidR="00D52F26" w:rsidRPr="00E97254">
              <w:rPr>
                <w:rStyle w:val="Hyperlink"/>
              </w:rPr>
              <w:t>Objektivi specifik B2: Niveli i sistemit</w:t>
            </w:r>
            <w:r w:rsidR="00D52F26" w:rsidRPr="00E97254">
              <w:rPr>
                <w:webHidden/>
              </w:rPr>
              <w:tab/>
            </w:r>
            <w:r w:rsidR="00EC56B7" w:rsidRPr="00E97254">
              <w:rPr>
                <w:webHidden/>
              </w:rPr>
              <w:fldChar w:fldCharType="begin"/>
            </w:r>
            <w:r w:rsidR="00D52F26" w:rsidRPr="00E97254">
              <w:rPr>
                <w:webHidden/>
              </w:rPr>
              <w:instrText xml:space="preserve"> PAGEREF _Toc66802018 \h </w:instrText>
            </w:r>
            <w:r w:rsidR="00EC56B7" w:rsidRPr="00E97254">
              <w:rPr>
                <w:webHidden/>
              </w:rPr>
            </w:r>
            <w:r w:rsidR="00EC56B7" w:rsidRPr="00E97254">
              <w:rPr>
                <w:webHidden/>
              </w:rPr>
              <w:fldChar w:fldCharType="separate"/>
            </w:r>
            <w:r w:rsidR="005A6200" w:rsidRPr="00E97254">
              <w:rPr>
                <w:webHidden/>
              </w:rPr>
              <w:t>2</w:t>
            </w:r>
            <w:r w:rsidR="00EC56B7" w:rsidRPr="00E97254">
              <w:rPr>
                <w:webHidden/>
              </w:rPr>
              <w:fldChar w:fldCharType="end"/>
            </w:r>
          </w:hyperlink>
        </w:p>
        <w:p w:rsidR="00D52F26" w:rsidRPr="00E97254" w:rsidRDefault="00AB227E" w:rsidP="000C0250">
          <w:pPr>
            <w:pStyle w:val="TOC2"/>
            <w:tabs>
              <w:tab w:val="right" w:leader="dot" w:pos="9323"/>
            </w:tabs>
            <w:spacing w:after="0"/>
            <w:rPr>
              <w:rFonts w:eastAsiaTheme="minorEastAsia"/>
            </w:rPr>
          </w:pPr>
          <w:hyperlink w:anchor="_Toc66802019" w:history="1">
            <w:r w:rsidR="00D52F26" w:rsidRPr="00E97254">
              <w:rPr>
                <w:rStyle w:val="Hyperlink"/>
              </w:rPr>
              <w:t>6.3. Qëllimi i Politikës C: Arsimi i lartë</w:t>
            </w:r>
            <w:r w:rsidR="00D52F26" w:rsidRPr="00E97254">
              <w:rPr>
                <w:webHidden/>
              </w:rPr>
              <w:tab/>
            </w:r>
            <w:r w:rsidR="00EC56B7" w:rsidRPr="00E97254">
              <w:rPr>
                <w:webHidden/>
              </w:rPr>
              <w:fldChar w:fldCharType="begin"/>
            </w:r>
            <w:r w:rsidR="00D52F26" w:rsidRPr="00E97254">
              <w:rPr>
                <w:webHidden/>
              </w:rPr>
              <w:instrText xml:space="preserve"> PAGEREF _Toc66802019 \h </w:instrText>
            </w:r>
            <w:r w:rsidR="00EC56B7" w:rsidRPr="00E97254">
              <w:rPr>
                <w:webHidden/>
              </w:rPr>
            </w:r>
            <w:r w:rsidR="00EC56B7" w:rsidRPr="00E97254">
              <w:rPr>
                <w:webHidden/>
              </w:rPr>
              <w:fldChar w:fldCharType="separate"/>
            </w:r>
            <w:r w:rsidR="005A6200" w:rsidRPr="00E97254">
              <w:rPr>
                <w:webHidden/>
              </w:rPr>
              <w:t>2</w:t>
            </w:r>
            <w:r w:rsidR="00EC56B7" w:rsidRPr="00E97254">
              <w:rPr>
                <w:webHidden/>
              </w:rPr>
              <w:fldChar w:fldCharType="end"/>
            </w:r>
          </w:hyperlink>
        </w:p>
        <w:p w:rsidR="00D52F26" w:rsidRPr="00E97254" w:rsidRDefault="00AB227E" w:rsidP="000C0250">
          <w:pPr>
            <w:pStyle w:val="TOC3"/>
            <w:rPr>
              <w:rFonts w:eastAsiaTheme="minorEastAsia"/>
            </w:rPr>
          </w:pPr>
          <w:hyperlink w:anchor="_Toc66802020" w:history="1">
            <w:r w:rsidR="00D52F26" w:rsidRPr="00E97254">
              <w:rPr>
                <w:rStyle w:val="Hyperlink"/>
              </w:rPr>
              <w:t>Objektivi specifik C1: Rritja e cilësisë</w:t>
            </w:r>
            <w:r w:rsidR="00D52F26" w:rsidRPr="00E97254">
              <w:rPr>
                <w:webHidden/>
              </w:rPr>
              <w:tab/>
            </w:r>
            <w:r w:rsidR="00EC56B7" w:rsidRPr="00E97254">
              <w:rPr>
                <w:webHidden/>
              </w:rPr>
              <w:fldChar w:fldCharType="begin"/>
            </w:r>
            <w:r w:rsidR="00D52F26" w:rsidRPr="00E97254">
              <w:rPr>
                <w:webHidden/>
              </w:rPr>
              <w:instrText xml:space="preserve"> PAGEREF _Toc66802020 \h </w:instrText>
            </w:r>
            <w:r w:rsidR="00EC56B7" w:rsidRPr="00E97254">
              <w:rPr>
                <w:webHidden/>
              </w:rPr>
            </w:r>
            <w:r w:rsidR="00EC56B7" w:rsidRPr="00E97254">
              <w:rPr>
                <w:webHidden/>
              </w:rPr>
              <w:fldChar w:fldCharType="separate"/>
            </w:r>
            <w:r w:rsidR="005A6200" w:rsidRPr="00E97254">
              <w:rPr>
                <w:webHidden/>
              </w:rPr>
              <w:t>2</w:t>
            </w:r>
            <w:r w:rsidR="00EC56B7" w:rsidRPr="00E97254">
              <w:rPr>
                <w:webHidden/>
              </w:rPr>
              <w:fldChar w:fldCharType="end"/>
            </w:r>
          </w:hyperlink>
        </w:p>
        <w:p w:rsidR="00D52F26" w:rsidRPr="00E97254" w:rsidRDefault="00AB227E" w:rsidP="000C0250">
          <w:pPr>
            <w:pStyle w:val="TOC3"/>
            <w:rPr>
              <w:rFonts w:eastAsiaTheme="minorEastAsia"/>
            </w:rPr>
          </w:pPr>
          <w:hyperlink w:anchor="_Toc66802021" w:history="1">
            <w:r w:rsidR="00D52F26" w:rsidRPr="00E97254">
              <w:rPr>
                <w:rStyle w:val="Hyperlink"/>
              </w:rPr>
              <w:t>Objektivi specifik C2: Përsosmëria në mësimdhënie dhe kërkim</w:t>
            </w:r>
            <w:r w:rsidR="00D52F26" w:rsidRPr="00E97254">
              <w:rPr>
                <w:webHidden/>
              </w:rPr>
              <w:tab/>
            </w:r>
            <w:r w:rsidR="00EC56B7" w:rsidRPr="00E97254">
              <w:rPr>
                <w:webHidden/>
              </w:rPr>
              <w:fldChar w:fldCharType="begin"/>
            </w:r>
            <w:r w:rsidR="00D52F26" w:rsidRPr="00E97254">
              <w:rPr>
                <w:webHidden/>
              </w:rPr>
              <w:instrText xml:space="preserve"> PAGEREF _Toc66802021 \h </w:instrText>
            </w:r>
            <w:r w:rsidR="00EC56B7" w:rsidRPr="00E97254">
              <w:rPr>
                <w:webHidden/>
              </w:rPr>
            </w:r>
            <w:r w:rsidR="00EC56B7" w:rsidRPr="00E97254">
              <w:rPr>
                <w:webHidden/>
              </w:rPr>
              <w:fldChar w:fldCharType="separate"/>
            </w:r>
            <w:r w:rsidR="005A6200" w:rsidRPr="00E97254">
              <w:rPr>
                <w:webHidden/>
              </w:rPr>
              <w:t>2</w:t>
            </w:r>
            <w:r w:rsidR="00EC56B7" w:rsidRPr="00E97254">
              <w:rPr>
                <w:webHidden/>
              </w:rPr>
              <w:fldChar w:fldCharType="end"/>
            </w:r>
          </w:hyperlink>
        </w:p>
        <w:p w:rsidR="00D52F26" w:rsidRPr="00E97254" w:rsidRDefault="00AB227E" w:rsidP="000C0250">
          <w:pPr>
            <w:pStyle w:val="TOC3"/>
            <w:rPr>
              <w:rFonts w:eastAsiaTheme="minorEastAsia"/>
            </w:rPr>
          </w:pPr>
          <w:hyperlink w:anchor="_Toc66802022" w:history="1">
            <w:r w:rsidR="00D52F26" w:rsidRPr="00E97254">
              <w:rPr>
                <w:rStyle w:val="Hyperlink"/>
              </w:rPr>
              <w:t>Objektivi specifik C3: Ndërlidhja me tregun e punës</w:t>
            </w:r>
            <w:r w:rsidR="00D52F26" w:rsidRPr="00E97254">
              <w:rPr>
                <w:webHidden/>
              </w:rPr>
              <w:tab/>
            </w:r>
            <w:r w:rsidR="00EC56B7" w:rsidRPr="00E97254">
              <w:rPr>
                <w:webHidden/>
              </w:rPr>
              <w:fldChar w:fldCharType="begin"/>
            </w:r>
            <w:r w:rsidR="00D52F26" w:rsidRPr="00E97254">
              <w:rPr>
                <w:webHidden/>
              </w:rPr>
              <w:instrText xml:space="preserve"> PAGEREF _Toc66802022 \h </w:instrText>
            </w:r>
            <w:r w:rsidR="00EC56B7" w:rsidRPr="00E97254">
              <w:rPr>
                <w:webHidden/>
              </w:rPr>
            </w:r>
            <w:r w:rsidR="00EC56B7" w:rsidRPr="00E97254">
              <w:rPr>
                <w:webHidden/>
              </w:rPr>
              <w:fldChar w:fldCharType="separate"/>
            </w:r>
            <w:r w:rsidR="005A6200" w:rsidRPr="00E97254">
              <w:rPr>
                <w:webHidden/>
              </w:rPr>
              <w:t>2</w:t>
            </w:r>
            <w:r w:rsidR="00EC56B7" w:rsidRPr="00E97254">
              <w:rPr>
                <w:webHidden/>
              </w:rPr>
              <w:fldChar w:fldCharType="end"/>
            </w:r>
          </w:hyperlink>
        </w:p>
        <w:p w:rsidR="00D52F26" w:rsidRPr="00E97254" w:rsidRDefault="00AB227E" w:rsidP="000C0250">
          <w:pPr>
            <w:pStyle w:val="TOC3"/>
            <w:rPr>
              <w:rFonts w:eastAsiaTheme="minorEastAsia"/>
            </w:rPr>
          </w:pPr>
          <w:hyperlink w:anchor="_Toc66802023" w:history="1">
            <w:r w:rsidR="00D52F26" w:rsidRPr="00E97254">
              <w:rPr>
                <w:rStyle w:val="Hyperlink"/>
              </w:rPr>
              <w:t>Objektivi specifik C4: Integriteti dhe transparenca</w:t>
            </w:r>
            <w:r w:rsidR="00D52F26" w:rsidRPr="00E97254">
              <w:rPr>
                <w:webHidden/>
              </w:rPr>
              <w:tab/>
            </w:r>
            <w:r w:rsidR="00EC56B7" w:rsidRPr="00E97254">
              <w:rPr>
                <w:webHidden/>
              </w:rPr>
              <w:fldChar w:fldCharType="begin"/>
            </w:r>
            <w:r w:rsidR="00D52F26" w:rsidRPr="00E97254">
              <w:rPr>
                <w:webHidden/>
              </w:rPr>
              <w:instrText xml:space="preserve"> PAGEREF _Toc66802023 \h </w:instrText>
            </w:r>
            <w:r w:rsidR="00EC56B7" w:rsidRPr="00E97254">
              <w:rPr>
                <w:webHidden/>
              </w:rPr>
            </w:r>
            <w:r w:rsidR="00EC56B7" w:rsidRPr="00E97254">
              <w:rPr>
                <w:webHidden/>
              </w:rPr>
              <w:fldChar w:fldCharType="separate"/>
            </w:r>
            <w:r w:rsidR="005A6200" w:rsidRPr="00E97254">
              <w:rPr>
                <w:webHidden/>
              </w:rPr>
              <w:t>2</w:t>
            </w:r>
            <w:r w:rsidR="00EC56B7" w:rsidRPr="00E97254">
              <w:rPr>
                <w:webHidden/>
              </w:rPr>
              <w:fldChar w:fldCharType="end"/>
            </w:r>
          </w:hyperlink>
        </w:p>
        <w:p w:rsidR="00D52F26" w:rsidRPr="00E97254" w:rsidRDefault="00AB227E" w:rsidP="000C0250">
          <w:pPr>
            <w:pStyle w:val="TOC3"/>
            <w:rPr>
              <w:rFonts w:eastAsiaTheme="minorEastAsia"/>
            </w:rPr>
          </w:pPr>
          <w:hyperlink w:anchor="_Toc66802024" w:history="1">
            <w:r w:rsidR="00D52F26" w:rsidRPr="00E97254">
              <w:rPr>
                <w:rStyle w:val="Hyperlink"/>
              </w:rPr>
              <w:t>Objektivi specifik C5: Studentët</w:t>
            </w:r>
            <w:r w:rsidR="00D52F26" w:rsidRPr="00E97254">
              <w:rPr>
                <w:webHidden/>
              </w:rPr>
              <w:tab/>
            </w:r>
            <w:r w:rsidR="00EC56B7" w:rsidRPr="00E97254">
              <w:rPr>
                <w:webHidden/>
              </w:rPr>
              <w:fldChar w:fldCharType="begin"/>
            </w:r>
            <w:r w:rsidR="00D52F26" w:rsidRPr="00E97254">
              <w:rPr>
                <w:webHidden/>
              </w:rPr>
              <w:instrText xml:space="preserve"> PAGEREF _Toc66802024 \h </w:instrText>
            </w:r>
            <w:r w:rsidR="00EC56B7" w:rsidRPr="00E97254">
              <w:rPr>
                <w:webHidden/>
              </w:rPr>
            </w:r>
            <w:r w:rsidR="00EC56B7" w:rsidRPr="00E97254">
              <w:rPr>
                <w:webHidden/>
              </w:rPr>
              <w:fldChar w:fldCharType="separate"/>
            </w:r>
            <w:r w:rsidR="005A6200" w:rsidRPr="00E97254">
              <w:rPr>
                <w:webHidden/>
              </w:rPr>
              <w:t>2</w:t>
            </w:r>
            <w:r w:rsidR="00EC56B7" w:rsidRPr="00E97254">
              <w:rPr>
                <w:webHidden/>
              </w:rPr>
              <w:fldChar w:fldCharType="end"/>
            </w:r>
          </w:hyperlink>
        </w:p>
        <w:p w:rsidR="00D52F26" w:rsidRPr="00E97254" w:rsidRDefault="00AB227E" w:rsidP="000C0250">
          <w:pPr>
            <w:pStyle w:val="TOC3"/>
            <w:rPr>
              <w:rFonts w:eastAsiaTheme="minorEastAsia"/>
            </w:rPr>
          </w:pPr>
          <w:hyperlink w:anchor="_Toc66802025" w:history="1">
            <w:r w:rsidR="00D52F26" w:rsidRPr="00E97254">
              <w:rPr>
                <w:rStyle w:val="Hyperlink"/>
              </w:rPr>
              <w:t>Objektivi specifik C6: Ndërkombëtarizimi i arsimit të lartë</w:t>
            </w:r>
            <w:r w:rsidR="00D52F26" w:rsidRPr="00E97254">
              <w:rPr>
                <w:webHidden/>
              </w:rPr>
              <w:tab/>
            </w:r>
            <w:r w:rsidR="00EC56B7" w:rsidRPr="00E97254">
              <w:rPr>
                <w:webHidden/>
              </w:rPr>
              <w:fldChar w:fldCharType="begin"/>
            </w:r>
            <w:r w:rsidR="00D52F26" w:rsidRPr="00E97254">
              <w:rPr>
                <w:webHidden/>
              </w:rPr>
              <w:instrText xml:space="preserve"> PAGEREF _Toc66802025 \h </w:instrText>
            </w:r>
            <w:r w:rsidR="00EC56B7" w:rsidRPr="00E97254">
              <w:rPr>
                <w:webHidden/>
              </w:rPr>
            </w:r>
            <w:r w:rsidR="00EC56B7" w:rsidRPr="00E97254">
              <w:rPr>
                <w:webHidden/>
              </w:rPr>
              <w:fldChar w:fldCharType="separate"/>
            </w:r>
            <w:r w:rsidR="005A6200" w:rsidRPr="00E97254">
              <w:rPr>
                <w:webHidden/>
              </w:rPr>
              <w:t>2</w:t>
            </w:r>
            <w:r w:rsidR="00EC56B7" w:rsidRPr="00E97254">
              <w:rPr>
                <w:webHidden/>
              </w:rPr>
              <w:fldChar w:fldCharType="end"/>
            </w:r>
          </w:hyperlink>
        </w:p>
        <w:p w:rsidR="00D52F26" w:rsidRPr="00E97254" w:rsidRDefault="00AB227E" w:rsidP="000C0250">
          <w:pPr>
            <w:pStyle w:val="TOC3"/>
          </w:pPr>
          <w:hyperlink w:anchor="_Toc66802026" w:history="1">
            <w:r w:rsidR="00D52F26" w:rsidRPr="00E97254">
              <w:rPr>
                <w:rStyle w:val="Hyperlink"/>
              </w:rPr>
              <w:t>Objektivi specifik C7: Shërbimet digjitale</w:t>
            </w:r>
            <w:r w:rsidR="00D52F26" w:rsidRPr="00E97254">
              <w:rPr>
                <w:webHidden/>
              </w:rPr>
              <w:tab/>
            </w:r>
            <w:r w:rsidR="00EC56B7" w:rsidRPr="00E97254">
              <w:rPr>
                <w:webHidden/>
              </w:rPr>
              <w:fldChar w:fldCharType="begin"/>
            </w:r>
            <w:r w:rsidR="00D52F26" w:rsidRPr="00E97254">
              <w:rPr>
                <w:webHidden/>
              </w:rPr>
              <w:instrText xml:space="preserve"> PAGEREF _Toc66802026 \h </w:instrText>
            </w:r>
            <w:r w:rsidR="00EC56B7" w:rsidRPr="00E97254">
              <w:rPr>
                <w:webHidden/>
              </w:rPr>
            </w:r>
            <w:r w:rsidR="00EC56B7" w:rsidRPr="00E97254">
              <w:rPr>
                <w:webHidden/>
              </w:rPr>
              <w:fldChar w:fldCharType="separate"/>
            </w:r>
            <w:r w:rsidR="005A6200" w:rsidRPr="00E97254">
              <w:rPr>
                <w:webHidden/>
              </w:rPr>
              <w:t>2</w:t>
            </w:r>
            <w:r w:rsidR="00EC56B7" w:rsidRPr="00E97254">
              <w:rPr>
                <w:webHidden/>
              </w:rPr>
              <w:fldChar w:fldCharType="end"/>
            </w:r>
          </w:hyperlink>
        </w:p>
        <w:p w:rsidR="00D52F26" w:rsidRPr="00E97254" w:rsidRDefault="00AB227E" w:rsidP="000C0250">
          <w:pPr>
            <w:pStyle w:val="Heading1"/>
            <w:spacing w:before="0"/>
            <w:rPr>
              <w:rFonts w:asciiTheme="minorHAnsi" w:eastAsia="MS Mincho" w:hAnsiTheme="minorHAnsi" w:cstheme="minorHAnsi"/>
              <w:b w:val="0"/>
              <w:bCs w:val="0"/>
              <w:color w:val="000000" w:themeColor="text1"/>
              <w:sz w:val="20"/>
              <w:szCs w:val="20"/>
              <w:u w:val="single"/>
            </w:rPr>
          </w:pPr>
          <w:hyperlink w:anchor="_Toc66802027" w:history="1">
            <w:r w:rsidR="00D52F26" w:rsidRPr="00E97254">
              <w:rPr>
                <w:rStyle w:val="Hyperlink"/>
                <w:rFonts w:asciiTheme="minorHAnsi" w:hAnsiTheme="minorHAnsi" w:cstheme="minorHAnsi"/>
                <w:b w:val="0"/>
                <w:color w:val="000000" w:themeColor="text1"/>
                <w:sz w:val="22"/>
                <w:szCs w:val="22"/>
              </w:rPr>
              <w:t>7.</w:t>
            </w:r>
            <w:r w:rsidR="008C1AF5" w:rsidRPr="00E97254">
              <w:rPr>
                <w:rStyle w:val="Hyperlink"/>
                <w:rFonts w:asciiTheme="minorHAnsi" w:eastAsia="MS Mincho" w:hAnsiTheme="minorHAnsi" w:cstheme="minorHAnsi"/>
                <w:b w:val="0"/>
                <w:bCs w:val="0"/>
                <w:color w:val="000000" w:themeColor="text1"/>
                <w:sz w:val="22"/>
                <w:szCs w:val="22"/>
              </w:rPr>
              <w:t xml:space="preserve"> </w:t>
            </w:r>
            <w:r w:rsidR="008C1AF5" w:rsidRPr="00E97254">
              <w:rPr>
                <w:rStyle w:val="Hyperlink"/>
                <w:rFonts w:asciiTheme="minorHAnsi" w:hAnsiTheme="minorHAnsi" w:cstheme="minorHAnsi"/>
                <w:b w:val="0"/>
                <w:color w:val="000000" w:themeColor="text1"/>
                <w:sz w:val="22"/>
                <w:szCs w:val="22"/>
                <w:u w:val="none"/>
              </w:rPr>
              <w:t>PJESA III–ZBATIMI, PËRGJEGJËSIA E INSTITUCIONEVE, LLOGARIDHËNIA, RAPORTIMI DHE MONITORIMI.</w:t>
            </w:r>
            <w:r w:rsidR="008C1AF5" w:rsidRPr="00E97254">
              <w:rPr>
                <w:rStyle w:val="Hyperlink"/>
                <w:rFonts w:asciiTheme="minorHAnsi" w:hAnsiTheme="minorHAnsi" w:cstheme="minorHAnsi"/>
                <w:b w:val="0"/>
                <w:color w:val="000000" w:themeColor="text1"/>
                <w:sz w:val="24"/>
                <w:szCs w:val="24"/>
                <w:u w:val="none"/>
              </w:rPr>
              <w:t xml:space="preserve">.................................................................................................................................. </w:t>
            </w:r>
            <w:r w:rsidR="00EC56B7" w:rsidRPr="00E97254">
              <w:rPr>
                <w:rStyle w:val="Hyperlink"/>
                <w:rFonts w:asciiTheme="minorHAnsi" w:hAnsiTheme="minorHAnsi" w:cstheme="minorHAnsi"/>
                <w:b w:val="0"/>
                <w:webHidden/>
                <w:color w:val="000000" w:themeColor="text1"/>
                <w:sz w:val="22"/>
                <w:szCs w:val="22"/>
                <w:u w:val="none"/>
              </w:rPr>
              <w:fldChar w:fldCharType="begin"/>
            </w:r>
            <w:r w:rsidR="00D52F26" w:rsidRPr="00E97254">
              <w:rPr>
                <w:rStyle w:val="Hyperlink"/>
                <w:rFonts w:asciiTheme="minorHAnsi" w:hAnsiTheme="minorHAnsi" w:cstheme="minorHAnsi"/>
                <w:b w:val="0"/>
                <w:webHidden/>
                <w:color w:val="000000" w:themeColor="text1"/>
                <w:sz w:val="22"/>
                <w:szCs w:val="22"/>
                <w:u w:val="none"/>
              </w:rPr>
              <w:instrText xml:space="preserve"> PAGEREF _Toc66802027 \h </w:instrText>
            </w:r>
            <w:r w:rsidR="00EC56B7" w:rsidRPr="00E97254">
              <w:rPr>
                <w:rStyle w:val="Hyperlink"/>
                <w:rFonts w:asciiTheme="minorHAnsi" w:hAnsiTheme="minorHAnsi" w:cstheme="minorHAnsi"/>
                <w:b w:val="0"/>
                <w:webHidden/>
                <w:color w:val="000000" w:themeColor="text1"/>
                <w:sz w:val="22"/>
                <w:szCs w:val="22"/>
                <w:u w:val="none"/>
              </w:rPr>
            </w:r>
            <w:r w:rsidR="00EC56B7" w:rsidRPr="00E97254">
              <w:rPr>
                <w:rStyle w:val="Hyperlink"/>
                <w:rFonts w:asciiTheme="minorHAnsi" w:hAnsiTheme="minorHAnsi" w:cstheme="minorHAnsi"/>
                <w:b w:val="0"/>
                <w:webHidden/>
                <w:color w:val="000000" w:themeColor="text1"/>
                <w:sz w:val="22"/>
                <w:szCs w:val="22"/>
                <w:u w:val="none"/>
              </w:rPr>
              <w:fldChar w:fldCharType="separate"/>
            </w:r>
            <w:r w:rsidR="005A6200" w:rsidRPr="00E97254">
              <w:rPr>
                <w:rStyle w:val="Hyperlink"/>
                <w:rFonts w:asciiTheme="minorHAnsi" w:hAnsiTheme="minorHAnsi" w:cstheme="minorHAnsi"/>
                <w:b w:val="0"/>
                <w:webHidden/>
                <w:color w:val="000000" w:themeColor="text1"/>
                <w:sz w:val="22"/>
                <w:szCs w:val="22"/>
                <w:u w:val="none"/>
              </w:rPr>
              <w:t>2</w:t>
            </w:r>
            <w:r w:rsidR="00EC56B7" w:rsidRPr="00E97254">
              <w:rPr>
                <w:rStyle w:val="Hyperlink"/>
                <w:rFonts w:asciiTheme="minorHAnsi" w:hAnsiTheme="minorHAnsi" w:cstheme="minorHAnsi"/>
                <w:b w:val="0"/>
                <w:webHidden/>
                <w:color w:val="000000" w:themeColor="text1"/>
                <w:sz w:val="22"/>
                <w:szCs w:val="22"/>
                <w:u w:val="none"/>
              </w:rPr>
              <w:fldChar w:fldCharType="end"/>
            </w:r>
          </w:hyperlink>
        </w:p>
        <w:p w:rsidR="00D52F26" w:rsidRPr="00E97254" w:rsidRDefault="00AB227E" w:rsidP="000C0250">
          <w:pPr>
            <w:pStyle w:val="TOC2"/>
            <w:tabs>
              <w:tab w:val="right" w:leader="dot" w:pos="9323"/>
            </w:tabs>
            <w:spacing w:after="0"/>
            <w:rPr>
              <w:rFonts w:eastAsiaTheme="minorEastAsia"/>
            </w:rPr>
          </w:pPr>
          <w:hyperlink w:anchor="_Toc66802028" w:history="1">
            <w:r w:rsidR="00D52F26" w:rsidRPr="00E97254">
              <w:rPr>
                <w:rStyle w:val="Hyperlink"/>
              </w:rPr>
              <w:t>7.1. Zbatimi i Strategjisë</w:t>
            </w:r>
            <w:r w:rsidR="00D52F26" w:rsidRPr="00E97254">
              <w:rPr>
                <w:webHidden/>
              </w:rPr>
              <w:tab/>
            </w:r>
            <w:r w:rsidR="00EC56B7" w:rsidRPr="00E97254">
              <w:rPr>
                <w:webHidden/>
              </w:rPr>
              <w:fldChar w:fldCharType="begin"/>
            </w:r>
            <w:r w:rsidR="00D52F26" w:rsidRPr="00E97254">
              <w:rPr>
                <w:webHidden/>
              </w:rPr>
              <w:instrText xml:space="preserve"> PAGEREF _Toc66802028 \h </w:instrText>
            </w:r>
            <w:r w:rsidR="00EC56B7" w:rsidRPr="00E97254">
              <w:rPr>
                <w:webHidden/>
              </w:rPr>
            </w:r>
            <w:r w:rsidR="00EC56B7" w:rsidRPr="00E97254">
              <w:rPr>
                <w:webHidden/>
              </w:rPr>
              <w:fldChar w:fldCharType="separate"/>
            </w:r>
            <w:r w:rsidR="005A6200" w:rsidRPr="00E97254">
              <w:rPr>
                <w:webHidden/>
              </w:rPr>
              <w:t>2</w:t>
            </w:r>
            <w:r w:rsidR="00EC56B7" w:rsidRPr="00E97254">
              <w:rPr>
                <w:webHidden/>
              </w:rPr>
              <w:fldChar w:fldCharType="end"/>
            </w:r>
          </w:hyperlink>
        </w:p>
        <w:p w:rsidR="00D52F26" w:rsidRPr="00E97254" w:rsidRDefault="00AB227E" w:rsidP="000C0250">
          <w:pPr>
            <w:pStyle w:val="TOC2"/>
            <w:tabs>
              <w:tab w:val="right" w:leader="dot" w:pos="9323"/>
            </w:tabs>
            <w:spacing w:after="0"/>
            <w:rPr>
              <w:rFonts w:eastAsiaTheme="minorEastAsia"/>
            </w:rPr>
          </w:pPr>
          <w:hyperlink w:anchor="_Toc66802029" w:history="1">
            <w:r w:rsidR="00D52F26" w:rsidRPr="00E97254">
              <w:rPr>
                <w:rStyle w:val="Hyperlink"/>
              </w:rPr>
              <w:t>7.2. Monitorimi dhe raportimi</w:t>
            </w:r>
            <w:r w:rsidR="00D52F26" w:rsidRPr="00E97254">
              <w:rPr>
                <w:webHidden/>
              </w:rPr>
              <w:tab/>
            </w:r>
            <w:r w:rsidR="00EC56B7" w:rsidRPr="00E97254">
              <w:rPr>
                <w:webHidden/>
              </w:rPr>
              <w:fldChar w:fldCharType="begin"/>
            </w:r>
            <w:r w:rsidR="00D52F26" w:rsidRPr="00E97254">
              <w:rPr>
                <w:webHidden/>
              </w:rPr>
              <w:instrText xml:space="preserve"> PAGEREF _Toc66802029 \h </w:instrText>
            </w:r>
            <w:r w:rsidR="00EC56B7" w:rsidRPr="00E97254">
              <w:rPr>
                <w:webHidden/>
              </w:rPr>
            </w:r>
            <w:r w:rsidR="00EC56B7" w:rsidRPr="00E97254">
              <w:rPr>
                <w:webHidden/>
              </w:rPr>
              <w:fldChar w:fldCharType="separate"/>
            </w:r>
            <w:r w:rsidR="005A6200" w:rsidRPr="00E97254">
              <w:rPr>
                <w:webHidden/>
              </w:rPr>
              <w:t>2</w:t>
            </w:r>
            <w:r w:rsidR="00EC56B7" w:rsidRPr="00E97254">
              <w:rPr>
                <w:webHidden/>
              </w:rPr>
              <w:fldChar w:fldCharType="end"/>
            </w:r>
          </w:hyperlink>
        </w:p>
        <w:p w:rsidR="00D52F26" w:rsidRPr="00E97254" w:rsidRDefault="00AB227E" w:rsidP="000C0250">
          <w:pPr>
            <w:pStyle w:val="TOC2"/>
            <w:tabs>
              <w:tab w:val="right" w:leader="dot" w:pos="9323"/>
            </w:tabs>
            <w:spacing w:after="0"/>
            <w:rPr>
              <w:rFonts w:eastAsiaTheme="minorEastAsia"/>
            </w:rPr>
          </w:pPr>
          <w:hyperlink w:anchor="_Toc66802030" w:history="1">
            <w:r w:rsidR="00D52F26" w:rsidRPr="00E97254">
              <w:rPr>
                <w:rStyle w:val="Hyperlink"/>
              </w:rPr>
              <w:t>7.3. Vlerësimi</w:t>
            </w:r>
            <w:r w:rsidR="00D52F26" w:rsidRPr="00E97254">
              <w:rPr>
                <w:webHidden/>
              </w:rPr>
              <w:tab/>
            </w:r>
            <w:r w:rsidR="00EC56B7" w:rsidRPr="00E97254">
              <w:rPr>
                <w:webHidden/>
              </w:rPr>
              <w:fldChar w:fldCharType="begin"/>
            </w:r>
            <w:r w:rsidR="00D52F26" w:rsidRPr="00E97254">
              <w:rPr>
                <w:webHidden/>
              </w:rPr>
              <w:instrText xml:space="preserve"> PAGEREF _Toc66802030 \h </w:instrText>
            </w:r>
            <w:r w:rsidR="00EC56B7" w:rsidRPr="00E97254">
              <w:rPr>
                <w:webHidden/>
              </w:rPr>
            </w:r>
            <w:r w:rsidR="00EC56B7" w:rsidRPr="00E97254">
              <w:rPr>
                <w:webHidden/>
              </w:rPr>
              <w:fldChar w:fldCharType="separate"/>
            </w:r>
            <w:r w:rsidR="005A6200" w:rsidRPr="00E97254">
              <w:rPr>
                <w:webHidden/>
              </w:rPr>
              <w:t>2</w:t>
            </w:r>
            <w:r w:rsidR="00EC56B7" w:rsidRPr="00E97254">
              <w:rPr>
                <w:webHidden/>
              </w:rPr>
              <w:fldChar w:fldCharType="end"/>
            </w:r>
          </w:hyperlink>
        </w:p>
        <w:p w:rsidR="00D52F26" w:rsidRPr="00E97254" w:rsidRDefault="00AB227E" w:rsidP="000C0250">
          <w:pPr>
            <w:pStyle w:val="TOC1"/>
            <w:rPr>
              <w:rFonts w:eastAsiaTheme="minorEastAsia"/>
              <w:noProof w:val="0"/>
            </w:rPr>
          </w:pPr>
          <w:hyperlink w:anchor="_Toc66802031" w:history="1">
            <w:r w:rsidR="00D52F26" w:rsidRPr="00E97254">
              <w:rPr>
                <w:rStyle w:val="Hyperlink"/>
                <w:noProof w:val="0"/>
              </w:rPr>
              <w:t>8.  Plani i veprimit dhe burimet financiare për zbatim</w:t>
            </w:r>
            <w:r w:rsidR="00D52F26" w:rsidRPr="00E97254">
              <w:rPr>
                <w:noProof w:val="0"/>
                <w:webHidden/>
              </w:rPr>
              <w:tab/>
            </w:r>
            <w:r w:rsidR="00EC56B7" w:rsidRPr="00E97254">
              <w:rPr>
                <w:noProof w:val="0"/>
                <w:webHidden/>
              </w:rPr>
              <w:fldChar w:fldCharType="begin"/>
            </w:r>
            <w:r w:rsidR="00D52F26" w:rsidRPr="00E97254">
              <w:rPr>
                <w:noProof w:val="0"/>
                <w:webHidden/>
              </w:rPr>
              <w:instrText xml:space="preserve"> PAGEREF _Toc66802031 \h </w:instrText>
            </w:r>
            <w:r w:rsidR="00EC56B7" w:rsidRPr="00E97254">
              <w:rPr>
                <w:noProof w:val="0"/>
                <w:webHidden/>
              </w:rPr>
            </w:r>
            <w:r w:rsidR="00EC56B7" w:rsidRPr="00E97254">
              <w:rPr>
                <w:noProof w:val="0"/>
                <w:webHidden/>
              </w:rPr>
              <w:fldChar w:fldCharType="separate"/>
            </w:r>
            <w:r w:rsidR="005A6200" w:rsidRPr="00E97254">
              <w:rPr>
                <w:noProof w:val="0"/>
                <w:webHidden/>
              </w:rPr>
              <w:t>2</w:t>
            </w:r>
            <w:r w:rsidR="00EC56B7" w:rsidRPr="00E97254">
              <w:rPr>
                <w:noProof w:val="0"/>
                <w:webHidden/>
              </w:rPr>
              <w:fldChar w:fldCharType="end"/>
            </w:r>
          </w:hyperlink>
        </w:p>
        <w:p w:rsidR="00D52F26" w:rsidRPr="00E97254" w:rsidRDefault="00AB227E" w:rsidP="000C0250">
          <w:pPr>
            <w:pStyle w:val="TOC1"/>
            <w:rPr>
              <w:rFonts w:eastAsiaTheme="minorEastAsia"/>
              <w:noProof w:val="0"/>
            </w:rPr>
          </w:pPr>
          <w:hyperlink w:anchor="_Toc66802032" w:history="1">
            <w:r w:rsidR="00D52F26" w:rsidRPr="00E97254">
              <w:rPr>
                <w:rStyle w:val="Hyperlink"/>
                <w:noProof w:val="0"/>
              </w:rPr>
              <w:t>Aneksi 1: Formati i planit te veprimit të përmbledhur</w:t>
            </w:r>
            <w:r w:rsidR="00D52F26" w:rsidRPr="00E97254">
              <w:rPr>
                <w:noProof w:val="0"/>
                <w:webHidden/>
              </w:rPr>
              <w:tab/>
            </w:r>
            <w:r w:rsidR="00EC56B7" w:rsidRPr="00E97254">
              <w:rPr>
                <w:noProof w:val="0"/>
                <w:webHidden/>
              </w:rPr>
              <w:fldChar w:fldCharType="begin"/>
            </w:r>
            <w:r w:rsidR="00D52F26" w:rsidRPr="00E97254">
              <w:rPr>
                <w:noProof w:val="0"/>
                <w:webHidden/>
              </w:rPr>
              <w:instrText xml:space="preserve"> PAGEREF _Toc66802032 \h </w:instrText>
            </w:r>
            <w:r w:rsidR="00EC56B7" w:rsidRPr="00E97254">
              <w:rPr>
                <w:noProof w:val="0"/>
                <w:webHidden/>
              </w:rPr>
            </w:r>
            <w:r w:rsidR="00EC56B7" w:rsidRPr="00E97254">
              <w:rPr>
                <w:noProof w:val="0"/>
                <w:webHidden/>
              </w:rPr>
              <w:fldChar w:fldCharType="separate"/>
            </w:r>
            <w:r w:rsidR="005A6200" w:rsidRPr="00E97254">
              <w:rPr>
                <w:noProof w:val="0"/>
                <w:webHidden/>
              </w:rPr>
              <w:t>2</w:t>
            </w:r>
            <w:r w:rsidR="00EC56B7" w:rsidRPr="00E97254">
              <w:rPr>
                <w:noProof w:val="0"/>
                <w:webHidden/>
              </w:rPr>
              <w:fldChar w:fldCharType="end"/>
            </w:r>
          </w:hyperlink>
        </w:p>
        <w:p w:rsidR="00D52F26" w:rsidRPr="00E97254" w:rsidRDefault="00AB227E" w:rsidP="000C0250">
          <w:pPr>
            <w:pStyle w:val="TOC1"/>
            <w:rPr>
              <w:rFonts w:eastAsiaTheme="minorEastAsia"/>
              <w:noProof w:val="0"/>
            </w:rPr>
          </w:pPr>
          <w:hyperlink w:anchor="_Toc66802033" w:history="1">
            <w:r w:rsidR="00D52F26" w:rsidRPr="00E97254">
              <w:rPr>
                <w:rStyle w:val="Hyperlink"/>
                <w:noProof w:val="0"/>
              </w:rPr>
              <w:t>Aneksi 2: Formati i planit te veprimit te kostuar dhe detajuar</w:t>
            </w:r>
            <w:r w:rsidR="00D52F26" w:rsidRPr="00E97254">
              <w:rPr>
                <w:noProof w:val="0"/>
                <w:webHidden/>
              </w:rPr>
              <w:tab/>
            </w:r>
            <w:r w:rsidR="00EC56B7" w:rsidRPr="00E97254">
              <w:rPr>
                <w:noProof w:val="0"/>
                <w:webHidden/>
              </w:rPr>
              <w:fldChar w:fldCharType="begin"/>
            </w:r>
            <w:r w:rsidR="00D52F26" w:rsidRPr="00E97254">
              <w:rPr>
                <w:noProof w:val="0"/>
                <w:webHidden/>
              </w:rPr>
              <w:instrText xml:space="preserve"> PAGEREF _Toc66802033 \h </w:instrText>
            </w:r>
            <w:r w:rsidR="00EC56B7" w:rsidRPr="00E97254">
              <w:rPr>
                <w:noProof w:val="0"/>
                <w:webHidden/>
              </w:rPr>
            </w:r>
            <w:r w:rsidR="00EC56B7" w:rsidRPr="00E97254">
              <w:rPr>
                <w:noProof w:val="0"/>
                <w:webHidden/>
              </w:rPr>
              <w:fldChar w:fldCharType="separate"/>
            </w:r>
            <w:r w:rsidR="005A6200" w:rsidRPr="00E97254">
              <w:rPr>
                <w:noProof w:val="0"/>
                <w:webHidden/>
              </w:rPr>
              <w:t>2</w:t>
            </w:r>
            <w:r w:rsidR="00EC56B7" w:rsidRPr="00E97254">
              <w:rPr>
                <w:noProof w:val="0"/>
                <w:webHidden/>
              </w:rPr>
              <w:fldChar w:fldCharType="end"/>
            </w:r>
          </w:hyperlink>
        </w:p>
        <w:p w:rsidR="00D52F26" w:rsidRPr="00E97254" w:rsidRDefault="00AB227E" w:rsidP="000C0250">
          <w:pPr>
            <w:pStyle w:val="TOC1"/>
            <w:rPr>
              <w:rFonts w:eastAsiaTheme="minorEastAsia"/>
              <w:noProof w:val="0"/>
            </w:rPr>
          </w:pPr>
          <w:hyperlink w:anchor="_Toc66802034" w:history="1">
            <w:r w:rsidR="00D52F26" w:rsidRPr="00E97254">
              <w:rPr>
                <w:rStyle w:val="Hyperlink"/>
                <w:noProof w:val="0"/>
              </w:rPr>
              <w:t>Referencat</w:t>
            </w:r>
            <w:r w:rsidR="00D52F26" w:rsidRPr="00E97254">
              <w:rPr>
                <w:noProof w:val="0"/>
                <w:webHidden/>
              </w:rPr>
              <w:tab/>
            </w:r>
            <w:r w:rsidR="00EC56B7" w:rsidRPr="00E97254">
              <w:rPr>
                <w:noProof w:val="0"/>
                <w:webHidden/>
              </w:rPr>
              <w:fldChar w:fldCharType="begin"/>
            </w:r>
            <w:r w:rsidR="00D52F26" w:rsidRPr="00E97254">
              <w:rPr>
                <w:noProof w:val="0"/>
                <w:webHidden/>
              </w:rPr>
              <w:instrText xml:space="preserve"> PAGEREF _Toc66802034 \h </w:instrText>
            </w:r>
            <w:r w:rsidR="00EC56B7" w:rsidRPr="00E97254">
              <w:rPr>
                <w:noProof w:val="0"/>
                <w:webHidden/>
              </w:rPr>
            </w:r>
            <w:r w:rsidR="00EC56B7" w:rsidRPr="00E97254">
              <w:rPr>
                <w:noProof w:val="0"/>
                <w:webHidden/>
              </w:rPr>
              <w:fldChar w:fldCharType="separate"/>
            </w:r>
            <w:r w:rsidR="005A6200" w:rsidRPr="00E97254">
              <w:rPr>
                <w:noProof w:val="0"/>
                <w:webHidden/>
              </w:rPr>
              <w:t>2</w:t>
            </w:r>
            <w:r w:rsidR="00EC56B7" w:rsidRPr="00E97254">
              <w:rPr>
                <w:noProof w:val="0"/>
                <w:webHidden/>
              </w:rPr>
              <w:fldChar w:fldCharType="end"/>
            </w:r>
          </w:hyperlink>
        </w:p>
        <w:p w:rsidR="00501D15" w:rsidRPr="00E97254" w:rsidRDefault="00EC56B7" w:rsidP="000C0250">
          <w:pPr>
            <w:spacing w:after="0"/>
            <w:jc w:val="both"/>
            <w:rPr>
              <w:rFonts w:ascii="Calibri" w:hAnsi="Calibri" w:cs="Calibri"/>
              <w:sz w:val="32"/>
              <w:szCs w:val="32"/>
            </w:rPr>
          </w:pPr>
          <w:r w:rsidRPr="00E97254">
            <w:rPr>
              <w:rFonts w:ascii="Calibri" w:hAnsi="Calibri" w:cs="Calibri"/>
              <w:b/>
              <w:bCs/>
              <w:sz w:val="32"/>
              <w:szCs w:val="32"/>
            </w:rPr>
            <w:fldChar w:fldCharType="end"/>
          </w:r>
        </w:p>
      </w:sdtContent>
    </w:sdt>
    <w:p w:rsidR="00D52F26" w:rsidRPr="00E97254" w:rsidRDefault="00D52F26" w:rsidP="000C0250">
      <w:pPr>
        <w:spacing w:after="0"/>
        <w:jc w:val="both"/>
        <w:rPr>
          <w:rFonts w:ascii="Calibri" w:hAnsi="Calibri" w:cs="Calibri"/>
          <w:sz w:val="32"/>
          <w:szCs w:val="32"/>
        </w:rPr>
      </w:pPr>
      <w:r w:rsidRPr="00E97254">
        <w:rPr>
          <w:rFonts w:ascii="Calibri" w:eastAsiaTheme="majorEastAsia" w:hAnsi="Calibri" w:cs="Calibri"/>
          <w:b/>
          <w:bCs/>
          <w:color w:val="365F91" w:themeColor="accent1" w:themeShade="BF"/>
          <w:sz w:val="32"/>
          <w:szCs w:val="32"/>
        </w:rPr>
        <w:br w:type="page"/>
      </w:r>
    </w:p>
    <w:p w:rsidR="009F7789" w:rsidRPr="00E97254" w:rsidRDefault="009F7789" w:rsidP="000C0250">
      <w:pPr>
        <w:pStyle w:val="Heading1"/>
        <w:jc w:val="both"/>
      </w:pPr>
      <w:bookmarkStart w:id="0" w:name="_Toc66801973"/>
      <w:r w:rsidRPr="00E97254">
        <w:lastRenderedPageBreak/>
        <w:t>Tabelat dhe figurat</w:t>
      </w:r>
      <w:bookmarkEnd w:id="0"/>
    </w:p>
    <w:p w:rsidR="00B16142" w:rsidRPr="00E97254" w:rsidRDefault="00B16142" w:rsidP="000C0250">
      <w:pPr>
        <w:jc w:val="both"/>
      </w:pPr>
    </w:p>
    <w:p w:rsidR="00D52F26" w:rsidRPr="00E97254" w:rsidRDefault="00EC56B7" w:rsidP="000C0250">
      <w:pPr>
        <w:pStyle w:val="TableofFigures"/>
        <w:tabs>
          <w:tab w:val="right" w:leader="dot" w:pos="9323"/>
        </w:tabs>
        <w:jc w:val="both"/>
        <w:rPr>
          <w:rFonts w:eastAsiaTheme="minorEastAsia"/>
        </w:rPr>
      </w:pPr>
      <w:r w:rsidRPr="00E97254">
        <w:fldChar w:fldCharType="begin"/>
      </w:r>
      <w:r w:rsidR="00B16142" w:rsidRPr="00E97254">
        <w:instrText xml:space="preserve"> TOC \h \z \c "Tabela" </w:instrText>
      </w:r>
      <w:r w:rsidRPr="00E97254">
        <w:fldChar w:fldCharType="separate"/>
      </w:r>
      <w:hyperlink w:anchor="_Toc66802035" w:history="1">
        <w:r w:rsidR="00D52F26" w:rsidRPr="00E97254">
          <w:rPr>
            <w:rStyle w:val="Hyperlink"/>
            <w:rFonts w:ascii="Calibri" w:hAnsi="Calibri" w:cs="Calibri"/>
          </w:rPr>
          <w:t>Tabela 1. Treguesit e përzgjedhur makroekonomikë [7]</w:t>
        </w:r>
        <w:r w:rsidR="00D52F26" w:rsidRPr="00E97254">
          <w:rPr>
            <w:webHidden/>
          </w:rPr>
          <w:tab/>
        </w:r>
        <w:r w:rsidRPr="00E97254">
          <w:rPr>
            <w:webHidden/>
          </w:rPr>
          <w:fldChar w:fldCharType="begin"/>
        </w:r>
        <w:r w:rsidR="00D52F26" w:rsidRPr="00E97254">
          <w:rPr>
            <w:webHidden/>
          </w:rPr>
          <w:instrText xml:space="preserve"> PAGEREF _Toc66802035 \h </w:instrText>
        </w:r>
        <w:r w:rsidRPr="00E97254">
          <w:rPr>
            <w:webHidden/>
          </w:rPr>
        </w:r>
        <w:r w:rsidRPr="00E97254">
          <w:rPr>
            <w:webHidden/>
          </w:rPr>
          <w:fldChar w:fldCharType="separate"/>
        </w:r>
        <w:r w:rsidR="005A6200" w:rsidRPr="00E97254">
          <w:rPr>
            <w:webHidden/>
          </w:rPr>
          <w:t>2</w:t>
        </w:r>
        <w:r w:rsidRPr="00E97254">
          <w:rPr>
            <w:webHidden/>
          </w:rPr>
          <w:fldChar w:fldCharType="end"/>
        </w:r>
      </w:hyperlink>
    </w:p>
    <w:p w:rsidR="00D52F26" w:rsidRPr="00E97254" w:rsidRDefault="00AB227E" w:rsidP="000C0250">
      <w:pPr>
        <w:pStyle w:val="TableofFigures"/>
        <w:tabs>
          <w:tab w:val="right" w:leader="dot" w:pos="9323"/>
        </w:tabs>
        <w:jc w:val="both"/>
        <w:rPr>
          <w:rFonts w:eastAsiaTheme="minorEastAsia"/>
        </w:rPr>
      </w:pPr>
      <w:hyperlink w:anchor="_Toc66802036" w:history="1">
        <w:r w:rsidR="00D52F26" w:rsidRPr="00E97254">
          <w:rPr>
            <w:rStyle w:val="Hyperlink"/>
            <w:rFonts w:ascii="Calibri" w:hAnsi="Calibri" w:cs="Calibri"/>
          </w:rPr>
          <w:t>Tabela 2. Projeksionet demografike për vitet 2019 dhe 2031</w:t>
        </w:r>
        <w:r w:rsidR="00D52F26" w:rsidRPr="00E97254">
          <w:rPr>
            <w:webHidden/>
          </w:rPr>
          <w:tab/>
        </w:r>
        <w:r w:rsidR="00EC56B7" w:rsidRPr="00E97254">
          <w:rPr>
            <w:webHidden/>
          </w:rPr>
          <w:fldChar w:fldCharType="begin"/>
        </w:r>
        <w:r w:rsidR="00D52F26" w:rsidRPr="00E97254">
          <w:rPr>
            <w:webHidden/>
          </w:rPr>
          <w:instrText xml:space="preserve"> PAGEREF _Toc66802036 \h </w:instrText>
        </w:r>
        <w:r w:rsidR="00EC56B7" w:rsidRPr="00E97254">
          <w:rPr>
            <w:webHidden/>
          </w:rPr>
        </w:r>
        <w:r w:rsidR="00EC56B7" w:rsidRPr="00E97254">
          <w:rPr>
            <w:webHidden/>
          </w:rPr>
          <w:fldChar w:fldCharType="separate"/>
        </w:r>
        <w:r w:rsidR="005A6200" w:rsidRPr="00E97254">
          <w:rPr>
            <w:webHidden/>
          </w:rPr>
          <w:t>2</w:t>
        </w:r>
        <w:r w:rsidR="00EC56B7" w:rsidRPr="00E97254">
          <w:rPr>
            <w:webHidden/>
          </w:rPr>
          <w:fldChar w:fldCharType="end"/>
        </w:r>
      </w:hyperlink>
    </w:p>
    <w:p w:rsidR="00D52F26" w:rsidRPr="00E97254" w:rsidRDefault="00AB227E" w:rsidP="000C0250">
      <w:pPr>
        <w:pStyle w:val="TableofFigures"/>
        <w:tabs>
          <w:tab w:val="right" w:leader="dot" w:pos="9323"/>
        </w:tabs>
        <w:jc w:val="both"/>
        <w:rPr>
          <w:rFonts w:eastAsiaTheme="minorEastAsia"/>
        </w:rPr>
      </w:pPr>
      <w:hyperlink w:anchor="_Toc66802037" w:history="1">
        <w:r w:rsidR="00D52F26" w:rsidRPr="00E97254">
          <w:rPr>
            <w:rStyle w:val="Hyperlink"/>
            <w:rFonts w:ascii="Calibri" w:hAnsi="Calibri" w:cs="Calibri"/>
          </w:rPr>
          <w:t>Tabela 3. Projeksionet demografike për vitet 2021 dhe 2026</w:t>
        </w:r>
        <w:r w:rsidR="00D52F26" w:rsidRPr="00E97254">
          <w:rPr>
            <w:webHidden/>
          </w:rPr>
          <w:tab/>
        </w:r>
        <w:r w:rsidR="00EC56B7" w:rsidRPr="00E97254">
          <w:rPr>
            <w:webHidden/>
          </w:rPr>
          <w:fldChar w:fldCharType="begin"/>
        </w:r>
        <w:r w:rsidR="00D52F26" w:rsidRPr="00E97254">
          <w:rPr>
            <w:webHidden/>
          </w:rPr>
          <w:instrText xml:space="preserve"> PAGEREF _Toc66802037 \h </w:instrText>
        </w:r>
        <w:r w:rsidR="00EC56B7" w:rsidRPr="00E97254">
          <w:rPr>
            <w:webHidden/>
          </w:rPr>
        </w:r>
        <w:r w:rsidR="00EC56B7" w:rsidRPr="00E97254">
          <w:rPr>
            <w:webHidden/>
          </w:rPr>
          <w:fldChar w:fldCharType="separate"/>
        </w:r>
        <w:r w:rsidR="005A6200" w:rsidRPr="00E97254">
          <w:rPr>
            <w:webHidden/>
          </w:rPr>
          <w:t>2</w:t>
        </w:r>
        <w:r w:rsidR="00EC56B7" w:rsidRPr="00E97254">
          <w:rPr>
            <w:webHidden/>
          </w:rPr>
          <w:fldChar w:fldCharType="end"/>
        </w:r>
      </w:hyperlink>
    </w:p>
    <w:p w:rsidR="00D52F26" w:rsidRPr="00E97254" w:rsidRDefault="00AB227E" w:rsidP="000C0250">
      <w:pPr>
        <w:pStyle w:val="TableofFigures"/>
        <w:tabs>
          <w:tab w:val="right" w:leader="dot" w:pos="9323"/>
        </w:tabs>
        <w:jc w:val="both"/>
        <w:rPr>
          <w:rFonts w:eastAsiaTheme="minorEastAsia"/>
        </w:rPr>
      </w:pPr>
      <w:hyperlink w:anchor="_Toc66802038" w:history="1">
        <w:r w:rsidR="00D52F26" w:rsidRPr="00E97254">
          <w:rPr>
            <w:rStyle w:val="Hyperlink"/>
            <w:rFonts w:ascii="Calibri" w:hAnsi="Calibri" w:cs="Calibri"/>
          </w:rPr>
          <w:t>Tabela 4. Projeksionet demografike për vitet 2021 dhe 2026 sipas qarqeve (Skenari i rritjes së mesme)</w:t>
        </w:r>
        <w:r w:rsidR="00D52F26" w:rsidRPr="00E97254">
          <w:rPr>
            <w:webHidden/>
          </w:rPr>
          <w:tab/>
        </w:r>
        <w:r w:rsidR="00EC56B7" w:rsidRPr="00E97254">
          <w:rPr>
            <w:webHidden/>
          </w:rPr>
          <w:fldChar w:fldCharType="begin"/>
        </w:r>
        <w:r w:rsidR="00D52F26" w:rsidRPr="00E97254">
          <w:rPr>
            <w:webHidden/>
          </w:rPr>
          <w:instrText xml:space="preserve"> PAGEREF _Toc66802038 \h </w:instrText>
        </w:r>
        <w:r w:rsidR="00EC56B7" w:rsidRPr="00E97254">
          <w:rPr>
            <w:webHidden/>
          </w:rPr>
        </w:r>
        <w:r w:rsidR="00EC56B7" w:rsidRPr="00E97254">
          <w:rPr>
            <w:webHidden/>
          </w:rPr>
          <w:fldChar w:fldCharType="separate"/>
        </w:r>
        <w:r w:rsidR="005A6200" w:rsidRPr="00E97254">
          <w:rPr>
            <w:webHidden/>
          </w:rPr>
          <w:t>2</w:t>
        </w:r>
        <w:r w:rsidR="00EC56B7" w:rsidRPr="00E97254">
          <w:rPr>
            <w:webHidden/>
          </w:rPr>
          <w:fldChar w:fldCharType="end"/>
        </w:r>
      </w:hyperlink>
    </w:p>
    <w:p w:rsidR="00D52F26" w:rsidRPr="00E97254" w:rsidRDefault="00AB227E" w:rsidP="000C0250">
      <w:pPr>
        <w:pStyle w:val="TableofFigures"/>
        <w:tabs>
          <w:tab w:val="right" w:leader="dot" w:pos="9323"/>
        </w:tabs>
        <w:jc w:val="both"/>
        <w:rPr>
          <w:rFonts w:eastAsiaTheme="minorEastAsia"/>
        </w:rPr>
      </w:pPr>
      <w:hyperlink w:anchor="_Toc66802039" w:history="1">
        <w:r w:rsidR="00D52F26" w:rsidRPr="00E97254">
          <w:rPr>
            <w:rStyle w:val="Hyperlink"/>
            <w:rFonts w:ascii="Calibri" w:hAnsi="Calibri" w:cs="Calibri"/>
          </w:rPr>
          <w:t>Tabela 5. Numri i institucioneve arsimore parauniversitare sipas niveleve [33]</w:t>
        </w:r>
        <w:r w:rsidR="00D52F26" w:rsidRPr="00E97254">
          <w:rPr>
            <w:webHidden/>
          </w:rPr>
          <w:tab/>
        </w:r>
        <w:r w:rsidR="00EC56B7" w:rsidRPr="00E97254">
          <w:rPr>
            <w:webHidden/>
          </w:rPr>
          <w:fldChar w:fldCharType="begin"/>
        </w:r>
        <w:r w:rsidR="00D52F26" w:rsidRPr="00E97254">
          <w:rPr>
            <w:webHidden/>
          </w:rPr>
          <w:instrText xml:space="preserve"> PAGEREF _Toc66802039 \h </w:instrText>
        </w:r>
        <w:r w:rsidR="00EC56B7" w:rsidRPr="00E97254">
          <w:rPr>
            <w:webHidden/>
          </w:rPr>
        </w:r>
        <w:r w:rsidR="00EC56B7" w:rsidRPr="00E97254">
          <w:rPr>
            <w:webHidden/>
          </w:rPr>
          <w:fldChar w:fldCharType="separate"/>
        </w:r>
        <w:r w:rsidR="005A6200" w:rsidRPr="00E97254">
          <w:rPr>
            <w:webHidden/>
          </w:rPr>
          <w:t>2</w:t>
        </w:r>
        <w:r w:rsidR="00EC56B7" w:rsidRPr="00E97254">
          <w:rPr>
            <w:webHidden/>
          </w:rPr>
          <w:fldChar w:fldCharType="end"/>
        </w:r>
      </w:hyperlink>
    </w:p>
    <w:p w:rsidR="00D52F26" w:rsidRPr="00E97254" w:rsidRDefault="00AB227E" w:rsidP="000C0250">
      <w:pPr>
        <w:pStyle w:val="TableofFigures"/>
        <w:tabs>
          <w:tab w:val="right" w:leader="dot" w:pos="9323"/>
        </w:tabs>
        <w:jc w:val="both"/>
        <w:rPr>
          <w:rFonts w:eastAsiaTheme="minorEastAsia"/>
        </w:rPr>
      </w:pPr>
      <w:hyperlink w:anchor="_Toc66802040" w:history="1">
        <w:r w:rsidR="008C1AF5" w:rsidRPr="00E97254">
          <w:rPr>
            <w:rStyle w:val="Hyperlink"/>
            <w:rFonts w:ascii="Calibri" w:hAnsi="Calibri" w:cs="Calibri"/>
          </w:rPr>
          <w:t xml:space="preserve">Tabela 6. </w:t>
        </w:r>
        <w:r w:rsidR="00D52F26" w:rsidRPr="00E97254">
          <w:rPr>
            <w:rStyle w:val="Hyperlink"/>
            <w:rFonts w:ascii="Calibri" w:hAnsi="Calibri" w:cs="Calibri"/>
          </w:rPr>
          <w:t>Raporti bruto (GER) dhe neto (NER) i regjistrimit në arsimin par</w:t>
        </w:r>
        <w:r w:rsidR="008C1AF5" w:rsidRPr="00E97254">
          <w:rPr>
            <w:rStyle w:val="Hyperlink"/>
            <w:rFonts w:ascii="Calibri" w:hAnsi="Calibri" w:cs="Calibri"/>
          </w:rPr>
          <w:t xml:space="preserve">auniversitar sipas niveleve   </w:t>
        </w:r>
        <w:r w:rsidR="00D52F26" w:rsidRPr="00E97254">
          <w:rPr>
            <w:rStyle w:val="Hyperlink"/>
            <w:rFonts w:ascii="Calibri" w:hAnsi="Calibri" w:cs="Calibri"/>
          </w:rPr>
          <w:t>[33]</w:t>
        </w:r>
        <w:r w:rsidR="008C1AF5" w:rsidRPr="00E97254">
          <w:rPr>
            <w:rStyle w:val="Hyperlink"/>
            <w:rFonts w:ascii="Calibri" w:hAnsi="Calibri" w:cs="Calibri"/>
          </w:rPr>
          <w:t>...............................................................................................................................................................</w:t>
        </w:r>
        <w:r w:rsidR="00EC56B7" w:rsidRPr="00E97254">
          <w:rPr>
            <w:webHidden/>
          </w:rPr>
          <w:fldChar w:fldCharType="begin"/>
        </w:r>
        <w:r w:rsidR="00D52F26" w:rsidRPr="00E97254">
          <w:rPr>
            <w:webHidden/>
          </w:rPr>
          <w:instrText xml:space="preserve"> PAGEREF _Toc66802040 \h </w:instrText>
        </w:r>
        <w:r w:rsidR="00EC56B7" w:rsidRPr="00E97254">
          <w:rPr>
            <w:webHidden/>
          </w:rPr>
        </w:r>
        <w:r w:rsidR="00EC56B7" w:rsidRPr="00E97254">
          <w:rPr>
            <w:webHidden/>
          </w:rPr>
          <w:fldChar w:fldCharType="separate"/>
        </w:r>
        <w:r w:rsidR="005A6200" w:rsidRPr="00E97254">
          <w:rPr>
            <w:webHidden/>
          </w:rPr>
          <w:t>2</w:t>
        </w:r>
        <w:r w:rsidR="00EC56B7" w:rsidRPr="00E97254">
          <w:rPr>
            <w:webHidden/>
          </w:rPr>
          <w:fldChar w:fldCharType="end"/>
        </w:r>
      </w:hyperlink>
    </w:p>
    <w:p w:rsidR="00D52F26" w:rsidRPr="00E97254" w:rsidRDefault="00AB227E" w:rsidP="000C0250">
      <w:pPr>
        <w:pStyle w:val="TableofFigures"/>
        <w:tabs>
          <w:tab w:val="right" w:leader="dot" w:pos="9323"/>
        </w:tabs>
        <w:jc w:val="both"/>
        <w:rPr>
          <w:rFonts w:eastAsiaTheme="minorEastAsia"/>
        </w:rPr>
      </w:pPr>
      <w:hyperlink w:anchor="_Toc66802041" w:history="1">
        <w:r w:rsidR="00D52F26" w:rsidRPr="00E97254">
          <w:rPr>
            <w:rStyle w:val="Hyperlink"/>
          </w:rPr>
          <w:t>Tabela 7.</w:t>
        </w:r>
        <w:r w:rsidR="00D52F26" w:rsidRPr="00E97254">
          <w:rPr>
            <w:rStyle w:val="Hyperlink"/>
            <w:rFonts w:cstheme="minorHAnsi"/>
          </w:rPr>
          <w:t xml:space="preserve"> Normat neto të pjesëmarrjes sipas nivelit të arsimit (%), 2008/09 dhe 2017/18</w:t>
        </w:r>
        <w:r w:rsidR="00D52F26" w:rsidRPr="00E97254">
          <w:rPr>
            <w:webHidden/>
          </w:rPr>
          <w:tab/>
        </w:r>
        <w:r w:rsidR="00EC56B7" w:rsidRPr="00E97254">
          <w:rPr>
            <w:webHidden/>
          </w:rPr>
          <w:fldChar w:fldCharType="begin"/>
        </w:r>
        <w:r w:rsidR="00D52F26" w:rsidRPr="00E97254">
          <w:rPr>
            <w:webHidden/>
          </w:rPr>
          <w:instrText xml:space="preserve"> PAGEREF _Toc66802041 \h </w:instrText>
        </w:r>
        <w:r w:rsidR="00EC56B7" w:rsidRPr="00E97254">
          <w:rPr>
            <w:webHidden/>
          </w:rPr>
        </w:r>
        <w:r w:rsidR="00EC56B7" w:rsidRPr="00E97254">
          <w:rPr>
            <w:webHidden/>
          </w:rPr>
          <w:fldChar w:fldCharType="separate"/>
        </w:r>
        <w:r w:rsidR="005A6200" w:rsidRPr="00E97254">
          <w:rPr>
            <w:webHidden/>
          </w:rPr>
          <w:t>2</w:t>
        </w:r>
        <w:r w:rsidR="00EC56B7" w:rsidRPr="00E97254">
          <w:rPr>
            <w:webHidden/>
          </w:rPr>
          <w:fldChar w:fldCharType="end"/>
        </w:r>
      </w:hyperlink>
    </w:p>
    <w:p w:rsidR="00D52F26" w:rsidRPr="00E97254" w:rsidRDefault="00AB227E" w:rsidP="000C0250">
      <w:pPr>
        <w:pStyle w:val="TableofFigures"/>
        <w:tabs>
          <w:tab w:val="right" w:leader="dot" w:pos="9323"/>
        </w:tabs>
        <w:jc w:val="both"/>
        <w:rPr>
          <w:rFonts w:eastAsiaTheme="minorEastAsia"/>
        </w:rPr>
      </w:pPr>
      <w:hyperlink w:anchor="_Toc66802042" w:history="1">
        <w:r w:rsidR="00D52F26" w:rsidRPr="00E97254">
          <w:rPr>
            <w:rStyle w:val="Hyperlink"/>
            <w:rFonts w:ascii="Calibri" w:hAnsi="Calibri" w:cs="Calibri"/>
          </w:rPr>
          <w:t>Tabela 8. Mësuesit dhe raporti nxënës/mësues në arsimin parauniversitar  [45]</w:t>
        </w:r>
        <w:r w:rsidR="00D52F26" w:rsidRPr="00E97254">
          <w:rPr>
            <w:webHidden/>
          </w:rPr>
          <w:tab/>
        </w:r>
        <w:r w:rsidR="00EC56B7" w:rsidRPr="00E97254">
          <w:rPr>
            <w:webHidden/>
          </w:rPr>
          <w:fldChar w:fldCharType="begin"/>
        </w:r>
        <w:r w:rsidR="00D52F26" w:rsidRPr="00E97254">
          <w:rPr>
            <w:webHidden/>
          </w:rPr>
          <w:instrText xml:space="preserve"> PAGEREF _Toc66802042 \h </w:instrText>
        </w:r>
        <w:r w:rsidR="00EC56B7" w:rsidRPr="00E97254">
          <w:rPr>
            <w:webHidden/>
          </w:rPr>
        </w:r>
        <w:r w:rsidR="00EC56B7" w:rsidRPr="00E97254">
          <w:rPr>
            <w:webHidden/>
          </w:rPr>
          <w:fldChar w:fldCharType="separate"/>
        </w:r>
        <w:r w:rsidR="005A6200" w:rsidRPr="00E97254">
          <w:rPr>
            <w:webHidden/>
          </w:rPr>
          <w:t>2</w:t>
        </w:r>
        <w:r w:rsidR="00EC56B7" w:rsidRPr="00E97254">
          <w:rPr>
            <w:webHidden/>
          </w:rPr>
          <w:fldChar w:fldCharType="end"/>
        </w:r>
      </w:hyperlink>
    </w:p>
    <w:p w:rsidR="00D52F26" w:rsidRPr="00E97254" w:rsidRDefault="00AB227E" w:rsidP="000C0250">
      <w:pPr>
        <w:pStyle w:val="TableofFigures"/>
        <w:tabs>
          <w:tab w:val="right" w:leader="dot" w:pos="9323"/>
        </w:tabs>
        <w:jc w:val="both"/>
        <w:rPr>
          <w:rFonts w:eastAsiaTheme="minorEastAsia"/>
        </w:rPr>
      </w:pPr>
      <w:hyperlink w:anchor="_Toc66802043" w:history="1">
        <w:r w:rsidR="00D52F26" w:rsidRPr="00E97254">
          <w:rPr>
            <w:rStyle w:val="Hyperlink"/>
            <w:rFonts w:cstheme="minorHAnsi"/>
          </w:rPr>
          <w:t>Tabela 9. Rezultatet e nxënësve shqiptarë në testin PISA nëpër vite</w:t>
        </w:r>
        <w:r w:rsidR="00D52F26" w:rsidRPr="00E97254">
          <w:rPr>
            <w:webHidden/>
          </w:rPr>
          <w:tab/>
        </w:r>
        <w:r w:rsidR="00EC56B7" w:rsidRPr="00E97254">
          <w:rPr>
            <w:webHidden/>
          </w:rPr>
          <w:fldChar w:fldCharType="begin"/>
        </w:r>
        <w:r w:rsidR="00D52F26" w:rsidRPr="00E97254">
          <w:rPr>
            <w:webHidden/>
          </w:rPr>
          <w:instrText xml:space="preserve"> PAGEREF _Toc66802043 \h </w:instrText>
        </w:r>
        <w:r w:rsidR="00EC56B7" w:rsidRPr="00E97254">
          <w:rPr>
            <w:webHidden/>
          </w:rPr>
        </w:r>
        <w:r w:rsidR="00EC56B7" w:rsidRPr="00E97254">
          <w:rPr>
            <w:webHidden/>
          </w:rPr>
          <w:fldChar w:fldCharType="separate"/>
        </w:r>
        <w:r w:rsidR="005A6200" w:rsidRPr="00E97254">
          <w:rPr>
            <w:webHidden/>
          </w:rPr>
          <w:t>2</w:t>
        </w:r>
        <w:r w:rsidR="00EC56B7" w:rsidRPr="00E97254">
          <w:rPr>
            <w:webHidden/>
          </w:rPr>
          <w:fldChar w:fldCharType="end"/>
        </w:r>
      </w:hyperlink>
    </w:p>
    <w:p w:rsidR="00D52F26" w:rsidRPr="00E97254" w:rsidRDefault="00AB227E" w:rsidP="000C0250">
      <w:pPr>
        <w:pStyle w:val="TableofFigures"/>
        <w:tabs>
          <w:tab w:val="right" w:leader="dot" w:pos="9323"/>
        </w:tabs>
        <w:jc w:val="both"/>
        <w:rPr>
          <w:rFonts w:eastAsiaTheme="minorEastAsia"/>
        </w:rPr>
      </w:pPr>
      <w:hyperlink w:anchor="_Toc66802044" w:history="1">
        <w:r w:rsidR="00D52F26" w:rsidRPr="00E97254">
          <w:rPr>
            <w:rStyle w:val="Hyperlink"/>
            <w:rFonts w:cstheme="minorHAnsi"/>
          </w:rPr>
          <w:t xml:space="preserve">Tabela 10. </w:t>
        </w:r>
        <w:r w:rsidR="00D52F26" w:rsidRPr="00E97254">
          <w:rPr>
            <w:rStyle w:val="Hyperlink"/>
            <w:rFonts w:cstheme="minorHAnsi"/>
            <w:spacing w:val="-3"/>
          </w:rPr>
          <w:t>Studentët në arsimin e lartë sipas fushave të studimit</w:t>
        </w:r>
        <w:r w:rsidR="00D52F26" w:rsidRPr="00E97254">
          <w:rPr>
            <w:rStyle w:val="Hyperlink"/>
          </w:rPr>
          <w:t xml:space="preserve"> [67]</w:t>
        </w:r>
        <w:r w:rsidR="00D52F26" w:rsidRPr="00E97254">
          <w:rPr>
            <w:webHidden/>
          </w:rPr>
          <w:tab/>
        </w:r>
        <w:r w:rsidR="00EC56B7" w:rsidRPr="00E97254">
          <w:rPr>
            <w:webHidden/>
          </w:rPr>
          <w:fldChar w:fldCharType="begin"/>
        </w:r>
        <w:r w:rsidR="00D52F26" w:rsidRPr="00E97254">
          <w:rPr>
            <w:webHidden/>
          </w:rPr>
          <w:instrText xml:space="preserve"> PAGEREF _Toc66802044 \h </w:instrText>
        </w:r>
        <w:r w:rsidR="00EC56B7" w:rsidRPr="00E97254">
          <w:rPr>
            <w:webHidden/>
          </w:rPr>
        </w:r>
        <w:r w:rsidR="00EC56B7" w:rsidRPr="00E97254">
          <w:rPr>
            <w:webHidden/>
          </w:rPr>
          <w:fldChar w:fldCharType="separate"/>
        </w:r>
        <w:r w:rsidR="005A6200" w:rsidRPr="00E97254">
          <w:rPr>
            <w:webHidden/>
          </w:rPr>
          <w:t>2</w:t>
        </w:r>
        <w:r w:rsidR="00EC56B7" w:rsidRPr="00E97254">
          <w:rPr>
            <w:webHidden/>
          </w:rPr>
          <w:fldChar w:fldCharType="end"/>
        </w:r>
      </w:hyperlink>
    </w:p>
    <w:p w:rsidR="00D52F26" w:rsidRPr="00E97254" w:rsidRDefault="00AB227E" w:rsidP="000C0250">
      <w:pPr>
        <w:pStyle w:val="TableofFigures"/>
        <w:tabs>
          <w:tab w:val="right" w:leader="dot" w:pos="9323"/>
        </w:tabs>
        <w:jc w:val="both"/>
        <w:rPr>
          <w:rFonts w:eastAsiaTheme="minorEastAsia"/>
        </w:rPr>
      </w:pPr>
      <w:hyperlink w:anchor="_Toc66802045" w:history="1">
        <w:r w:rsidR="00D52F26" w:rsidRPr="00E97254">
          <w:rPr>
            <w:rStyle w:val="Hyperlink"/>
            <w:rFonts w:ascii="Calibri" w:hAnsi="Calibri" w:cs="Calibri"/>
          </w:rPr>
          <w:t xml:space="preserve">Tabela 11. </w:t>
        </w:r>
        <w:r w:rsidR="00D52F26" w:rsidRPr="00E97254">
          <w:rPr>
            <w:rStyle w:val="Hyperlink"/>
            <w:rFonts w:ascii="Calibri" w:hAnsi="Calibri" w:cs="Calibri"/>
            <w:spacing w:val="-3"/>
          </w:rPr>
          <w:t>Programet e studimit dhe studentët e regjistruar në IAL publike dhe jo-publike për ciklin e parë të studimeve</w:t>
        </w:r>
        <w:r w:rsidR="00D52F26" w:rsidRPr="00E97254">
          <w:rPr>
            <w:webHidden/>
          </w:rPr>
          <w:tab/>
        </w:r>
        <w:r w:rsidR="00EC56B7" w:rsidRPr="00E97254">
          <w:rPr>
            <w:webHidden/>
          </w:rPr>
          <w:fldChar w:fldCharType="begin"/>
        </w:r>
        <w:r w:rsidR="00D52F26" w:rsidRPr="00E97254">
          <w:rPr>
            <w:webHidden/>
          </w:rPr>
          <w:instrText xml:space="preserve"> PAGEREF _Toc66802045 \h </w:instrText>
        </w:r>
        <w:r w:rsidR="00EC56B7" w:rsidRPr="00E97254">
          <w:rPr>
            <w:webHidden/>
          </w:rPr>
        </w:r>
        <w:r w:rsidR="00EC56B7" w:rsidRPr="00E97254">
          <w:rPr>
            <w:webHidden/>
          </w:rPr>
          <w:fldChar w:fldCharType="separate"/>
        </w:r>
        <w:r w:rsidR="005A6200" w:rsidRPr="00E97254">
          <w:rPr>
            <w:webHidden/>
          </w:rPr>
          <w:t>2</w:t>
        </w:r>
        <w:r w:rsidR="00EC56B7" w:rsidRPr="00E97254">
          <w:rPr>
            <w:webHidden/>
          </w:rPr>
          <w:fldChar w:fldCharType="end"/>
        </w:r>
      </w:hyperlink>
    </w:p>
    <w:p w:rsidR="00D52F26" w:rsidRPr="00E97254" w:rsidRDefault="00AB227E" w:rsidP="000C0250">
      <w:pPr>
        <w:pStyle w:val="TableofFigures"/>
        <w:tabs>
          <w:tab w:val="right" w:leader="dot" w:pos="9323"/>
        </w:tabs>
        <w:jc w:val="both"/>
        <w:rPr>
          <w:rFonts w:eastAsiaTheme="minorEastAsia"/>
        </w:rPr>
      </w:pPr>
      <w:hyperlink w:anchor="_Toc66802046" w:history="1">
        <w:r w:rsidR="00D52F26" w:rsidRPr="00E97254">
          <w:rPr>
            <w:rStyle w:val="Hyperlink"/>
          </w:rPr>
          <w:t xml:space="preserve">Tabela 12. Mobiliteti ndërkombëtar i studentëve dhe stafit </w:t>
        </w:r>
        <w:r w:rsidR="00D52F26" w:rsidRPr="00E97254">
          <w:rPr>
            <w:rStyle w:val="Hyperlink"/>
            <w:rFonts w:ascii="Calibri" w:eastAsia="Arial" w:hAnsi="Calibri" w:cs="Calibri"/>
          </w:rPr>
          <w:t>[74]</w:t>
        </w:r>
        <w:r w:rsidR="00D52F26" w:rsidRPr="00E97254">
          <w:rPr>
            <w:webHidden/>
          </w:rPr>
          <w:tab/>
        </w:r>
        <w:r w:rsidR="00EC56B7" w:rsidRPr="00E97254">
          <w:rPr>
            <w:webHidden/>
          </w:rPr>
          <w:fldChar w:fldCharType="begin"/>
        </w:r>
        <w:r w:rsidR="00D52F26" w:rsidRPr="00E97254">
          <w:rPr>
            <w:webHidden/>
          </w:rPr>
          <w:instrText xml:space="preserve"> PAGEREF _Toc66802046 \h </w:instrText>
        </w:r>
        <w:r w:rsidR="00EC56B7" w:rsidRPr="00E97254">
          <w:rPr>
            <w:webHidden/>
          </w:rPr>
        </w:r>
        <w:r w:rsidR="00EC56B7" w:rsidRPr="00E97254">
          <w:rPr>
            <w:webHidden/>
          </w:rPr>
          <w:fldChar w:fldCharType="separate"/>
        </w:r>
        <w:r w:rsidR="005A6200" w:rsidRPr="00E97254">
          <w:rPr>
            <w:webHidden/>
          </w:rPr>
          <w:t>2</w:t>
        </w:r>
        <w:r w:rsidR="00EC56B7" w:rsidRPr="00E97254">
          <w:rPr>
            <w:webHidden/>
          </w:rPr>
          <w:fldChar w:fldCharType="end"/>
        </w:r>
      </w:hyperlink>
    </w:p>
    <w:p w:rsidR="00D52F26" w:rsidRPr="00E97254" w:rsidRDefault="00AB227E" w:rsidP="000C0250">
      <w:pPr>
        <w:pStyle w:val="TableofFigures"/>
        <w:tabs>
          <w:tab w:val="right" w:leader="dot" w:pos="9323"/>
        </w:tabs>
        <w:jc w:val="both"/>
        <w:rPr>
          <w:rFonts w:eastAsiaTheme="minorEastAsia"/>
        </w:rPr>
      </w:pPr>
      <w:hyperlink w:anchor="_Toc66802047" w:history="1">
        <w:r w:rsidR="00D52F26" w:rsidRPr="00E97254">
          <w:rPr>
            <w:rStyle w:val="Hyperlink"/>
            <w:rFonts w:ascii="Calibri" w:hAnsi="Calibri" w:cs="Calibri"/>
          </w:rPr>
          <w:t xml:space="preserve">Tabela 13. </w:t>
        </w:r>
        <w:r w:rsidR="00D52F26" w:rsidRPr="00E97254">
          <w:rPr>
            <w:rStyle w:val="Hyperlink"/>
            <w:rFonts w:ascii="Calibri" w:hAnsi="Calibri" w:cs="Calibri"/>
            <w:spacing w:val="-3"/>
          </w:rPr>
          <w:t>Shpenzimet për arsim 2018-2023 (në 000 lekë) [77]</w:t>
        </w:r>
        <w:r w:rsidR="00D52F26" w:rsidRPr="00E97254">
          <w:rPr>
            <w:webHidden/>
          </w:rPr>
          <w:tab/>
        </w:r>
        <w:r w:rsidR="00EC56B7" w:rsidRPr="00E97254">
          <w:rPr>
            <w:webHidden/>
          </w:rPr>
          <w:fldChar w:fldCharType="begin"/>
        </w:r>
        <w:r w:rsidR="00D52F26" w:rsidRPr="00E97254">
          <w:rPr>
            <w:webHidden/>
          </w:rPr>
          <w:instrText xml:space="preserve"> PAGEREF _Toc66802047 \h </w:instrText>
        </w:r>
        <w:r w:rsidR="00EC56B7" w:rsidRPr="00E97254">
          <w:rPr>
            <w:webHidden/>
          </w:rPr>
        </w:r>
        <w:r w:rsidR="00EC56B7" w:rsidRPr="00E97254">
          <w:rPr>
            <w:webHidden/>
          </w:rPr>
          <w:fldChar w:fldCharType="separate"/>
        </w:r>
        <w:r w:rsidR="005A6200" w:rsidRPr="00E97254">
          <w:rPr>
            <w:webHidden/>
          </w:rPr>
          <w:t>2</w:t>
        </w:r>
        <w:r w:rsidR="00EC56B7" w:rsidRPr="00E97254">
          <w:rPr>
            <w:webHidden/>
          </w:rPr>
          <w:fldChar w:fldCharType="end"/>
        </w:r>
      </w:hyperlink>
    </w:p>
    <w:p w:rsidR="00D52F26" w:rsidRPr="00E97254" w:rsidRDefault="00AB227E" w:rsidP="000C0250">
      <w:pPr>
        <w:pStyle w:val="TableofFigures"/>
        <w:tabs>
          <w:tab w:val="right" w:leader="dot" w:pos="9323"/>
        </w:tabs>
        <w:jc w:val="both"/>
        <w:rPr>
          <w:rFonts w:eastAsiaTheme="minorEastAsia"/>
        </w:rPr>
      </w:pPr>
      <w:hyperlink w:anchor="_Toc66802048" w:history="1">
        <w:r w:rsidR="00D52F26" w:rsidRPr="00E97254">
          <w:rPr>
            <w:rStyle w:val="Hyperlink"/>
          </w:rPr>
          <w:t>Tabela 14.</w:t>
        </w:r>
        <w:r w:rsidR="00D52F26" w:rsidRPr="00E97254">
          <w:rPr>
            <w:rStyle w:val="Hyperlink"/>
            <w:rFonts w:cstheme="minorHAnsi"/>
          </w:rPr>
          <w:t xml:space="preserve"> Kostoja indikative e SKA 2021-2026 në vite (në 000 lekë)</w:t>
        </w:r>
        <w:r w:rsidR="00D52F26" w:rsidRPr="00E97254">
          <w:rPr>
            <w:webHidden/>
          </w:rPr>
          <w:tab/>
        </w:r>
        <w:r w:rsidR="00EC56B7" w:rsidRPr="00E97254">
          <w:rPr>
            <w:webHidden/>
          </w:rPr>
          <w:fldChar w:fldCharType="begin"/>
        </w:r>
        <w:r w:rsidR="00D52F26" w:rsidRPr="00E97254">
          <w:rPr>
            <w:webHidden/>
          </w:rPr>
          <w:instrText xml:space="preserve"> PAGEREF _Toc66802048 \h </w:instrText>
        </w:r>
        <w:r w:rsidR="00EC56B7" w:rsidRPr="00E97254">
          <w:rPr>
            <w:webHidden/>
          </w:rPr>
        </w:r>
        <w:r w:rsidR="00EC56B7" w:rsidRPr="00E97254">
          <w:rPr>
            <w:webHidden/>
          </w:rPr>
          <w:fldChar w:fldCharType="separate"/>
        </w:r>
        <w:r w:rsidR="005A6200" w:rsidRPr="00E97254">
          <w:rPr>
            <w:webHidden/>
          </w:rPr>
          <w:t>2</w:t>
        </w:r>
        <w:r w:rsidR="00EC56B7" w:rsidRPr="00E97254">
          <w:rPr>
            <w:webHidden/>
          </w:rPr>
          <w:fldChar w:fldCharType="end"/>
        </w:r>
      </w:hyperlink>
    </w:p>
    <w:p w:rsidR="00D52F26" w:rsidRPr="00E97254" w:rsidRDefault="00AB227E" w:rsidP="000C0250">
      <w:pPr>
        <w:pStyle w:val="TableofFigures"/>
        <w:tabs>
          <w:tab w:val="right" w:leader="dot" w:pos="9323"/>
        </w:tabs>
        <w:jc w:val="both"/>
        <w:rPr>
          <w:rFonts w:eastAsiaTheme="minorEastAsia"/>
        </w:rPr>
      </w:pPr>
      <w:hyperlink w:anchor="_Toc66802049" w:history="1">
        <w:r w:rsidR="00D52F26" w:rsidRPr="00E97254">
          <w:rPr>
            <w:rStyle w:val="Hyperlink"/>
          </w:rPr>
          <w:t>Tabela 15.</w:t>
        </w:r>
        <w:r w:rsidR="00D52F26" w:rsidRPr="00E97254">
          <w:rPr>
            <w:rStyle w:val="Hyperlink"/>
            <w:rFonts w:cstheme="minorHAnsi"/>
          </w:rPr>
          <w:t xml:space="preserve">  Burimet e financimit dhe hendeku financiar për SKA 2021-2026 (në 000 lekë)</w:t>
        </w:r>
        <w:r w:rsidR="00D52F26" w:rsidRPr="00E97254">
          <w:rPr>
            <w:webHidden/>
          </w:rPr>
          <w:tab/>
        </w:r>
        <w:r w:rsidR="00EC56B7" w:rsidRPr="00E97254">
          <w:rPr>
            <w:webHidden/>
          </w:rPr>
          <w:fldChar w:fldCharType="begin"/>
        </w:r>
        <w:r w:rsidR="00D52F26" w:rsidRPr="00E97254">
          <w:rPr>
            <w:webHidden/>
          </w:rPr>
          <w:instrText xml:space="preserve"> PAGEREF _Toc66802049 \h </w:instrText>
        </w:r>
        <w:r w:rsidR="00EC56B7" w:rsidRPr="00E97254">
          <w:rPr>
            <w:webHidden/>
          </w:rPr>
        </w:r>
        <w:r w:rsidR="00EC56B7" w:rsidRPr="00E97254">
          <w:rPr>
            <w:webHidden/>
          </w:rPr>
          <w:fldChar w:fldCharType="separate"/>
        </w:r>
        <w:r w:rsidR="005A6200" w:rsidRPr="00E97254">
          <w:rPr>
            <w:webHidden/>
          </w:rPr>
          <w:t>2</w:t>
        </w:r>
        <w:r w:rsidR="00EC56B7" w:rsidRPr="00E97254">
          <w:rPr>
            <w:webHidden/>
          </w:rPr>
          <w:fldChar w:fldCharType="end"/>
        </w:r>
      </w:hyperlink>
    </w:p>
    <w:p w:rsidR="00D52F26" w:rsidRPr="00E97254" w:rsidRDefault="00AB227E" w:rsidP="000C0250">
      <w:pPr>
        <w:pStyle w:val="TableofFigures"/>
        <w:tabs>
          <w:tab w:val="right" w:leader="dot" w:pos="9323"/>
        </w:tabs>
        <w:jc w:val="both"/>
        <w:rPr>
          <w:rFonts w:eastAsiaTheme="minorEastAsia"/>
        </w:rPr>
      </w:pPr>
      <w:hyperlink w:anchor="_Toc66802050" w:history="1">
        <w:r w:rsidR="00D52F26" w:rsidRPr="00E97254">
          <w:rPr>
            <w:rStyle w:val="Hyperlink"/>
          </w:rPr>
          <w:t>Tabela 16.</w:t>
        </w:r>
        <w:r w:rsidR="00D52F26" w:rsidRPr="00E97254">
          <w:rPr>
            <w:rStyle w:val="Hyperlink"/>
            <w:rFonts w:cstheme="minorHAnsi"/>
          </w:rPr>
          <w:t xml:space="preserve">  Hendeku financiar për buxhetin e SKA 2021-2026 në vite (në 000 lekë)</w:t>
        </w:r>
        <w:r w:rsidR="00D52F26" w:rsidRPr="00E97254">
          <w:rPr>
            <w:webHidden/>
          </w:rPr>
          <w:tab/>
        </w:r>
        <w:r w:rsidR="00EC56B7" w:rsidRPr="00E97254">
          <w:rPr>
            <w:webHidden/>
          </w:rPr>
          <w:fldChar w:fldCharType="begin"/>
        </w:r>
        <w:r w:rsidR="00D52F26" w:rsidRPr="00E97254">
          <w:rPr>
            <w:webHidden/>
          </w:rPr>
          <w:instrText xml:space="preserve"> PAGEREF _Toc66802050 \h </w:instrText>
        </w:r>
        <w:r w:rsidR="00EC56B7" w:rsidRPr="00E97254">
          <w:rPr>
            <w:webHidden/>
          </w:rPr>
        </w:r>
        <w:r w:rsidR="00EC56B7" w:rsidRPr="00E97254">
          <w:rPr>
            <w:webHidden/>
          </w:rPr>
          <w:fldChar w:fldCharType="separate"/>
        </w:r>
        <w:r w:rsidR="005A6200" w:rsidRPr="00E97254">
          <w:rPr>
            <w:webHidden/>
          </w:rPr>
          <w:t>2</w:t>
        </w:r>
        <w:r w:rsidR="00EC56B7" w:rsidRPr="00E97254">
          <w:rPr>
            <w:webHidden/>
          </w:rPr>
          <w:fldChar w:fldCharType="end"/>
        </w:r>
      </w:hyperlink>
    </w:p>
    <w:p w:rsidR="00D52F26" w:rsidRPr="00E97254" w:rsidRDefault="00AB227E" w:rsidP="000C0250">
      <w:pPr>
        <w:pStyle w:val="TableofFigures"/>
        <w:tabs>
          <w:tab w:val="right" w:leader="dot" w:pos="9323"/>
        </w:tabs>
        <w:jc w:val="both"/>
        <w:rPr>
          <w:rFonts w:eastAsiaTheme="minorEastAsia"/>
        </w:rPr>
      </w:pPr>
      <w:hyperlink w:anchor="_Toc66802051" w:history="1">
        <w:r w:rsidR="00D52F26" w:rsidRPr="00E97254">
          <w:rPr>
            <w:rStyle w:val="Hyperlink"/>
          </w:rPr>
          <w:t>Tabela 17.</w:t>
        </w:r>
        <w:r w:rsidR="00D52F26" w:rsidRPr="00E97254">
          <w:rPr>
            <w:rStyle w:val="Hyperlink"/>
            <w:rFonts w:cstheme="minorHAnsi"/>
          </w:rPr>
          <w:t xml:space="preserve">  Buxheti i SKA 2021-2026 sipas llojit të shpenzimeve (në 000 lekë)</w:t>
        </w:r>
        <w:r w:rsidR="00D52F26" w:rsidRPr="00E97254">
          <w:rPr>
            <w:webHidden/>
          </w:rPr>
          <w:tab/>
        </w:r>
        <w:r w:rsidR="00EC56B7" w:rsidRPr="00E97254">
          <w:rPr>
            <w:webHidden/>
          </w:rPr>
          <w:fldChar w:fldCharType="begin"/>
        </w:r>
        <w:r w:rsidR="00D52F26" w:rsidRPr="00E97254">
          <w:rPr>
            <w:webHidden/>
          </w:rPr>
          <w:instrText xml:space="preserve"> PAGEREF _Toc66802051 \h </w:instrText>
        </w:r>
        <w:r w:rsidR="00EC56B7" w:rsidRPr="00E97254">
          <w:rPr>
            <w:webHidden/>
          </w:rPr>
        </w:r>
        <w:r w:rsidR="00EC56B7" w:rsidRPr="00E97254">
          <w:rPr>
            <w:webHidden/>
          </w:rPr>
          <w:fldChar w:fldCharType="separate"/>
        </w:r>
        <w:r w:rsidR="005A6200" w:rsidRPr="00E97254">
          <w:rPr>
            <w:webHidden/>
          </w:rPr>
          <w:t>2</w:t>
        </w:r>
        <w:r w:rsidR="00EC56B7" w:rsidRPr="00E97254">
          <w:rPr>
            <w:webHidden/>
          </w:rPr>
          <w:fldChar w:fldCharType="end"/>
        </w:r>
      </w:hyperlink>
    </w:p>
    <w:p w:rsidR="00D52F26" w:rsidRPr="00E97254" w:rsidRDefault="00AB227E" w:rsidP="000C0250">
      <w:pPr>
        <w:pStyle w:val="TableofFigures"/>
        <w:tabs>
          <w:tab w:val="right" w:leader="dot" w:pos="9323"/>
        </w:tabs>
        <w:jc w:val="both"/>
        <w:rPr>
          <w:rFonts w:eastAsiaTheme="minorEastAsia"/>
        </w:rPr>
      </w:pPr>
      <w:hyperlink w:anchor="_Toc66802052" w:history="1">
        <w:r w:rsidR="00D52F26" w:rsidRPr="00E97254">
          <w:rPr>
            <w:rStyle w:val="Hyperlink"/>
          </w:rPr>
          <w:t>Tabela 18.</w:t>
        </w:r>
        <w:r w:rsidR="00D52F26" w:rsidRPr="00E97254">
          <w:rPr>
            <w:rStyle w:val="Hyperlink"/>
            <w:rFonts w:cstheme="minorHAnsi"/>
          </w:rPr>
          <w:t xml:space="preserve">  Kostoja indikative e SKA 2021-2026 sipas qëllimeve të politikave, objektivave </w:t>
        </w:r>
        <w:r w:rsidR="00513AF3" w:rsidRPr="00E97254">
          <w:rPr>
            <w:rStyle w:val="Hyperlink"/>
            <w:rFonts w:cstheme="minorHAnsi"/>
          </w:rPr>
          <w:t>specifik</w:t>
        </w:r>
        <w:r w:rsidR="00513AF3">
          <w:rPr>
            <w:rStyle w:val="Hyperlink"/>
            <w:rFonts w:cstheme="minorHAnsi"/>
          </w:rPr>
          <w:t>e</w:t>
        </w:r>
        <w:r w:rsidR="00513AF3" w:rsidRPr="00E97254">
          <w:rPr>
            <w:rStyle w:val="Hyperlink"/>
            <w:rFonts w:cstheme="minorHAnsi"/>
          </w:rPr>
          <w:t xml:space="preserve"> </w:t>
        </w:r>
        <w:r w:rsidR="00D52F26" w:rsidRPr="00E97254">
          <w:rPr>
            <w:rStyle w:val="Hyperlink"/>
            <w:rFonts w:cstheme="minorHAnsi"/>
          </w:rPr>
          <w:t>dhe produkteve (në 000 lekë)</w:t>
        </w:r>
        <w:r w:rsidR="00D52F26" w:rsidRPr="00E97254">
          <w:rPr>
            <w:webHidden/>
          </w:rPr>
          <w:tab/>
        </w:r>
        <w:r w:rsidR="00EC56B7" w:rsidRPr="00E97254">
          <w:rPr>
            <w:webHidden/>
          </w:rPr>
          <w:fldChar w:fldCharType="begin"/>
        </w:r>
        <w:r w:rsidR="00D52F26" w:rsidRPr="00E97254">
          <w:rPr>
            <w:webHidden/>
          </w:rPr>
          <w:instrText xml:space="preserve"> PAGEREF _Toc66802052 \h </w:instrText>
        </w:r>
        <w:r w:rsidR="00EC56B7" w:rsidRPr="00E97254">
          <w:rPr>
            <w:webHidden/>
          </w:rPr>
        </w:r>
        <w:r w:rsidR="00EC56B7" w:rsidRPr="00E97254">
          <w:rPr>
            <w:webHidden/>
          </w:rPr>
          <w:fldChar w:fldCharType="separate"/>
        </w:r>
        <w:r w:rsidR="005A6200" w:rsidRPr="00E97254">
          <w:rPr>
            <w:webHidden/>
          </w:rPr>
          <w:t>2</w:t>
        </w:r>
        <w:r w:rsidR="00EC56B7" w:rsidRPr="00E97254">
          <w:rPr>
            <w:webHidden/>
          </w:rPr>
          <w:fldChar w:fldCharType="end"/>
        </w:r>
      </w:hyperlink>
    </w:p>
    <w:p w:rsidR="00D52F26" w:rsidRPr="00E97254" w:rsidRDefault="00AB227E" w:rsidP="000C0250">
      <w:pPr>
        <w:pStyle w:val="TableofFigures"/>
        <w:tabs>
          <w:tab w:val="right" w:leader="dot" w:pos="9323"/>
        </w:tabs>
        <w:jc w:val="both"/>
        <w:rPr>
          <w:rFonts w:eastAsiaTheme="minorEastAsia"/>
        </w:rPr>
      </w:pPr>
      <w:hyperlink w:anchor="_Toc66802053" w:history="1">
        <w:r w:rsidR="00D52F26" w:rsidRPr="00E97254">
          <w:rPr>
            <w:rStyle w:val="Hyperlink"/>
          </w:rPr>
          <w:t>Tabela 19</w:t>
        </w:r>
        <w:r w:rsidR="00D52F26" w:rsidRPr="00E97254">
          <w:rPr>
            <w:rStyle w:val="Hyperlink"/>
            <w:rFonts w:cstheme="minorHAnsi"/>
          </w:rPr>
          <w:t>. Masat me hendekun financiar më të lartë</w:t>
        </w:r>
        <w:r w:rsidR="00D52F26" w:rsidRPr="00E97254">
          <w:rPr>
            <w:webHidden/>
          </w:rPr>
          <w:tab/>
        </w:r>
        <w:r w:rsidR="00EC56B7" w:rsidRPr="00E97254">
          <w:rPr>
            <w:webHidden/>
          </w:rPr>
          <w:fldChar w:fldCharType="begin"/>
        </w:r>
        <w:r w:rsidR="00D52F26" w:rsidRPr="00E97254">
          <w:rPr>
            <w:webHidden/>
          </w:rPr>
          <w:instrText xml:space="preserve"> PAGEREF _Toc66802053 \h </w:instrText>
        </w:r>
        <w:r w:rsidR="00EC56B7" w:rsidRPr="00E97254">
          <w:rPr>
            <w:webHidden/>
          </w:rPr>
        </w:r>
        <w:r w:rsidR="00EC56B7" w:rsidRPr="00E97254">
          <w:rPr>
            <w:webHidden/>
          </w:rPr>
          <w:fldChar w:fldCharType="separate"/>
        </w:r>
        <w:r w:rsidR="005A6200" w:rsidRPr="00E97254">
          <w:rPr>
            <w:webHidden/>
          </w:rPr>
          <w:t>2</w:t>
        </w:r>
        <w:r w:rsidR="00EC56B7" w:rsidRPr="00E97254">
          <w:rPr>
            <w:webHidden/>
          </w:rPr>
          <w:fldChar w:fldCharType="end"/>
        </w:r>
      </w:hyperlink>
    </w:p>
    <w:p w:rsidR="00B16142" w:rsidRPr="00E97254" w:rsidRDefault="00EC56B7" w:rsidP="000C0250">
      <w:pPr>
        <w:pStyle w:val="TableofFigures"/>
        <w:tabs>
          <w:tab w:val="right" w:leader="dot" w:pos="9323"/>
        </w:tabs>
        <w:jc w:val="both"/>
      </w:pPr>
      <w:r w:rsidRPr="00E97254">
        <w:fldChar w:fldCharType="end"/>
      </w:r>
    </w:p>
    <w:p w:rsidR="00D52F26" w:rsidRPr="00E97254" w:rsidRDefault="00EC56B7" w:rsidP="000C0250">
      <w:pPr>
        <w:pStyle w:val="TableofFigures"/>
        <w:tabs>
          <w:tab w:val="right" w:leader="dot" w:pos="9323"/>
        </w:tabs>
        <w:jc w:val="both"/>
        <w:rPr>
          <w:rFonts w:eastAsiaTheme="minorEastAsia"/>
        </w:rPr>
      </w:pPr>
      <w:r w:rsidRPr="00E97254">
        <w:fldChar w:fldCharType="begin"/>
      </w:r>
      <w:r w:rsidR="00B16142" w:rsidRPr="00E97254">
        <w:instrText xml:space="preserve"> TOC \h \z \c "Figura" </w:instrText>
      </w:r>
      <w:r w:rsidRPr="00E97254">
        <w:fldChar w:fldCharType="separate"/>
      </w:r>
      <w:hyperlink w:anchor="_Toc66802054" w:history="1">
        <w:r w:rsidR="00D52F26" w:rsidRPr="00E97254">
          <w:rPr>
            <w:rStyle w:val="Hyperlink"/>
          </w:rPr>
          <w:t>Figura 1</w:t>
        </w:r>
        <w:r w:rsidR="00D52F26" w:rsidRPr="00E97254">
          <w:rPr>
            <w:rStyle w:val="Hyperlink"/>
            <w:rFonts w:ascii="Calibri" w:hAnsi="Calibri" w:cs="Calibri"/>
          </w:rPr>
          <w:t>. Rritja reale e PBB përgjatë viteve (në %)</w:t>
        </w:r>
        <w:r w:rsidR="00D52F26" w:rsidRPr="00E97254">
          <w:rPr>
            <w:webHidden/>
          </w:rPr>
          <w:tab/>
        </w:r>
        <w:r w:rsidRPr="00E97254">
          <w:rPr>
            <w:webHidden/>
          </w:rPr>
          <w:fldChar w:fldCharType="begin"/>
        </w:r>
        <w:r w:rsidR="00D52F26" w:rsidRPr="00E97254">
          <w:rPr>
            <w:webHidden/>
          </w:rPr>
          <w:instrText xml:space="preserve"> PAGEREF _Toc66802054 \h </w:instrText>
        </w:r>
        <w:r w:rsidRPr="00E97254">
          <w:rPr>
            <w:webHidden/>
          </w:rPr>
        </w:r>
        <w:r w:rsidRPr="00E97254">
          <w:rPr>
            <w:webHidden/>
          </w:rPr>
          <w:fldChar w:fldCharType="separate"/>
        </w:r>
        <w:r w:rsidR="005A6200" w:rsidRPr="00E97254">
          <w:rPr>
            <w:webHidden/>
          </w:rPr>
          <w:t>2</w:t>
        </w:r>
        <w:r w:rsidRPr="00E97254">
          <w:rPr>
            <w:webHidden/>
          </w:rPr>
          <w:fldChar w:fldCharType="end"/>
        </w:r>
      </w:hyperlink>
    </w:p>
    <w:p w:rsidR="00D52F26" w:rsidRPr="00E97254" w:rsidRDefault="00AB227E" w:rsidP="000C0250">
      <w:pPr>
        <w:pStyle w:val="TableofFigures"/>
        <w:tabs>
          <w:tab w:val="right" w:leader="dot" w:pos="9323"/>
        </w:tabs>
        <w:jc w:val="both"/>
        <w:rPr>
          <w:rFonts w:eastAsiaTheme="minorEastAsia"/>
        </w:rPr>
      </w:pPr>
      <w:hyperlink w:anchor="_Toc66802055" w:history="1">
        <w:r w:rsidR="00D52F26" w:rsidRPr="00E97254">
          <w:rPr>
            <w:rStyle w:val="Hyperlink"/>
            <w:rFonts w:cs="Calibri"/>
          </w:rPr>
          <w:t>Figura 2. Struktura e sistemit arsimor të Republikës së Shqipërisë</w:t>
        </w:r>
        <w:r w:rsidR="00D52F26" w:rsidRPr="00E97254">
          <w:rPr>
            <w:webHidden/>
          </w:rPr>
          <w:tab/>
        </w:r>
        <w:r w:rsidR="00EC56B7" w:rsidRPr="00E97254">
          <w:rPr>
            <w:webHidden/>
          </w:rPr>
          <w:fldChar w:fldCharType="begin"/>
        </w:r>
        <w:r w:rsidR="00D52F26" w:rsidRPr="00E97254">
          <w:rPr>
            <w:webHidden/>
          </w:rPr>
          <w:instrText xml:space="preserve"> PAGEREF _Toc66802055 \h </w:instrText>
        </w:r>
        <w:r w:rsidR="00EC56B7" w:rsidRPr="00E97254">
          <w:rPr>
            <w:webHidden/>
          </w:rPr>
        </w:r>
        <w:r w:rsidR="00EC56B7" w:rsidRPr="00E97254">
          <w:rPr>
            <w:webHidden/>
          </w:rPr>
          <w:fldChar w:fldCharType="separate"/>
        </w:r>
        <w:r w:rsidR="005A6200" w:rsidRPr="00E97254">
          <w:rPr>
            <w:webHidden/>
          </w:rPr>
          <w:t>2</w:t>
        </w:r>
        <w:r w:rsidR="00EC56B7" w:rsidRPr="00E97254">
          <w:rPr>
            <w:webHidden/>
          </w:rPr>
          <w:fldChar w:fldCharType="end"/>
        </w:r>
      </w:hyperlink>
    </w:p>
    <w:p w:rsidR="00D52F26" w:rsidRPr="00E97254" w:rsidRDefault="00AB227E" w:rsidP="000C0250">
      <w:pPr>
        <w:pStyle w:val="TableofFigures"/>
        <w:tabs>
          <w:tab w:val="right" w:leader="dot" w:pos="9323"/>
        </w:tabs>
        <w:jc w:val="both"/>
        <w:rPr>
          <w:rFonts w:eastAsiaTheme="minorEastAsia"/>
        </w:rPr>
      </w:pPr>
      <w:hyperlink w:anchor="_Toc66802056" w:history="1">
        <w:r w:rsidR="00D52F26" w:rsidRPr="00E97254">
          <w:rPr>
            <w:rStyle w:val="Hyperlink"/>
            <w:rFonts w:ascii="Calibri" w:hAnsi="Calibri" w:cs="Calibri"/>
          </w:rPr>
          <w:t>Figura 3. Struktura organizative e sistemit arsimor të Republikës së Shqipërisë</w:t>
        </w:r>
        <w:r w:rsidR="00D52F26" w:rsidRPr="00E97254">
          <w:rPr>
            <w:webHidden/>
          </w:rPr>
          <w:tab/>
        </w:r>
        <w:r w:rsidR="00EC56B7" w:rsidRPr="00E97254">
          <w:rPr>
            <w:webHidden/>
          </w:rPr>
          <w:fldChar w:fldCharType="begin"/>
        </w:r>
        <w:r w:rsidR="00D52F26" w:rsidRPr="00E97254">
          <w:rPr>
            <w:webHidden/>
          </w:rPr>
          <w:instrText xml:space="preserve"> PAGEREF _Toc66802056 \h </w:instrText>
        </w:r>
        <w:r w:rsidR="00EC56B7" w:rsidRPr="00E97254">
          <w:rPr>
            <w:webHidden/>
          </w:rPr>
        </w:r>
        <w:r w:rsidR="00EC56B7" w:rsidRPr="00E97254">
          <w:rPr>
            <w:webHidden/>
          </w:rPr>
          <w:fldChar w:fldCharType="separate"/>
        </w:r>
        <w:r w:rsidR="005A6200" w:rsidRPr="00E97254">
          <w:rPr>
            <w:webHidden/>
          </w:rPr>
          <w:t>2</w:t>
        </w:r>
        <w:r w:rsidR="00EC56B7" w:rsidRPr="00E97254">
          <w:rPr>
            <w:webHidden/>
          </w:rPr>
          <w:fldChar w:fldCharType="end"/>
        </w:r>
      </w:hyperlink>
    </w:p>
    <w:p w:rsidR="00D52F26" w:rsidRPr="00E97254" w:rsidRDefault="00AB227E" w:rsidP="000C0250">
      <w:pPr>
        <w:pStyle w:val="TableofFigures"/>
        <w:tabs>
          <w:tab w:val="right" w:leader="dot" w:pos="9323"/>
        </w:tabs>
        <w:jc w:val="both"/>
        <w:rPr>
          <w:rFonts w:eastAsiaTheme="minorEastAsia"/>
        </w:rPr>
      </w:pPr>
      <w:hyperlink w:anchor="_Toc66802057" w:history="1">
        <w:r w:rsidR="00D52F26" w:rsidRPr="00E97254">
          <w:rPr>
            <w:rStyle w:val="Hyperlink"/>
            <w:rFonts w:ascii="Calibri" w:hAnsi="Calibri" w:cs="Calibri"/>
          </w:rPr>
          <w:t xml:space="preserve">Figura 4. Çështjet e sigurisë në shkolla që duhen </w:t>
        </w:r>
        <w:r w:rsidR="00A50A43">
          <w:rPr>
            <w:rStyle w:val="Hyperlink"/>
            <w:rFonts w:ascii="Calibri" w:hAnsi="Calibri" w:cs="Calibri"/>
          </w:rPr>
          <w:t>trajt</w:t>
        </w:r>
        <w:r w:rsidR="00D52F26" w:rsidRPr="00E97254">
          <w:rPr>
            <w:rStyle w:val="Hyperlink"/>
            <w:rFonts w:ascii="Calibri" w:hAnsi="Calibri" w:cs="Calibri"/>
          </w:rPr>
          <w:t>uar nga Strategjia</w:t>
        </w:r>
        <w:r w:rsidR="00D52F26" w:rsidRPr="00E97254">
          <w:rPr>
            <w:webHidden/>
          </w:rPr>
          <w:tab/>
        </w:r>
        <w:r w:rsidR="00EC56B7" w:rsidRPr="00E97254">
          <w:rPr>
            <w:webHidden/>
          </w:rPr>
          <w:fldChar w:fldCharType="begin"/>
        </w:r>
        <w:r w:rsidR="00D52F26" w:rsidRPr="00E97254">
          <w:rPr>
            <w:webHidden/>
          </w:rPr>
          <w:instrText xml:space="preserve"> PAGEREF _Toc66802057 \h </w:instrText>
        </w:r>
        <w:r w:rsidR="00EC56B7" w:rsidRPr="00E97254">
          <w:rPr>
            <w:webHidden/>
          </w:rPr>
        </w:r>
        <w:r w:rsidR="00EC56B7" w:rsidRPr="00E97254">
          <w:rPr>
            <w:webHidden/>
          </w:rPr>
          <w:fldChar w:fldCharType="separate"/>
        </w:r>
        <w:r w:rsidR="005A6200" w:rsidRPr="00E97254">
          <w:rPr>
            <w:webHidden/>
          </w:rPr>
          <w:t>2</w:t>
        </w:r>
        <w:r w:rsidR="00EC56B7" w:rsidRPr="00E97254">
          <w:rPr>
            <w:webHidden/>
          </w:rPr>
          <w:fldChar w:fldCharType="end"/>
        </w:r>
      </w:hyperlink>
    </w:p>
    <w:p w:rsidR="00D52F26" w:rsidRPr="00E97254" w:rsidRDefault="00AB227E" w:rsidP="000C0250">
      <w:pPr>
        <w:pStyle w:val="TableofFigures"/>
        <w:tabs>
          <w:tab w:val="right" w:leader="dot" w:pos="9323"/>
        </w:tabs>
        <w:jc w:val="both"/>
        <w:rPr>
          <w:rFonts w:eastAsiaTheme="minorEastAsia"/>
        </w:rPr>
      </w:pPr>
      <w:hyperlink w:anchor="_Toc66802058" w:history="1">
        <w:r w:rsidR="00D52F26" w:rsidRPr="00E97254">
          <w:rPr>
            <w:rStyle w:val="Hyperlink"/>
            <w:rFonts w:ascii="Calibri" w:hAnsi="Calibri" w:cs="Calibri"/>
          </w:rPr>
          <w:t>Figura 5. Numri i fëmijëve/nxënësve në arsimin parauniversitar sipas niveleve [33]</w:t>
        </w:r>
        <w:r w:rsidR="00D52F26" w:rsidRPr="00E97254">
          <w:rPr>
            <w:webHidden/>
          </w:rPr>
          <w:tab/>
        </w:r>
        <w:r w:rsidR="00EC56B7" w:rsidRPr="00E97254">
          <w:rPr>
            <w:webHidden/>
          </w:rPr>
          <w:fldChar w:fldCharType="begin"/>
        </w:r>
        <w:r w:rsidR="00D52F26" w:rsidRPr="00E97254">
          <w:rPr>
            <w:webHidden/>
          </w:rPr>
          <w:instrText xml:space="preserve"> PAGEREF _Toc66802058 \h </w:instrText>
        </w:r>
        <w:r w:rsidR="00EC56B7" w:rsidRPr="00E97254">
          <w:rPr>
            <w:webHidden/>
          </w:rPr>
        </w:r>
        <w:r w:rsidR="00EC56B7" w:rsidRPr="00E97254">
          <w:rPr>
            <w:webHidden/>
          </w:rPr>
          <w:fldChar w:fldCharType="separate"/>
        </w:r>
        <w:r w:rsidR="005A6200" w:rsidRPr="00E97254">
          <w:rPr>
            <w:webHidden/>
          </w:rPr>
          <w:t>2</w:t>
        </w:r>
        <w:r w:rsidR="00EC56B7" w:rsidRPr="00E97254">
          <w:rPr>
            <w:webHidden/>
          </w:rPr>
          <w:fldChar w:fldCharType="end"/>
        </w:r>
      </w:hyperlink>
    </w:p>
    <w:p w:rsidR="00D52F26" w:rsidRPr="00E97254" w:rsidRDefault="00AB227E" w:rsidP="000C0250">
      <w:pPr>
        <w:pStyle w:val="TableofFigures"/>
        <w:tabs>
          <w:tab w:val="right" w:leader="dot" w:pos="9323"/>
        </w:tabs>
        <w:jc w:val="both"/>
        <w:rPr>
          <w:rFonts w:eastAsiaTheme="minorEastAsia"/>
        </w:rPr>
      </w:pPr>
      <w:hyperlink w:anchor="_Toc66802059" w:history="1">
        <w:r w:rsidR="00D52F26" w:rsidRPr="00E97254">
          <w:rPr>
            <w:rStyle w:val="Hyperlink"/>
            <w:rFonts w:ascii="Calibri" w:hAnsi="Calibri" w:cs="Calibri"/>
          </w:rPr>
          <w:t>Figura 6. Fëmijët me aftësi të kufizuara dhe mësuesit ndihmës në shkollat e zakonshme   [46]</w:t>
        </w:r>
        <w:r w:rsidR="00D52F26" w:rsidRPr="00E97254">
          <w:rPr>
            <w:webHidden/>
          </w:rPr>
          <w:tab/>
        </w:r>
        <w:r w:rsidR="00EC56B7" w:rsidRPr="00E97254">
          <w:rPr>
            <w:webHidden/>
          </w:rPr>
          <w:fldChar w:fldCharType="begin"/>
        </w:r>
        <w:r w:rsidR="00D52F26" w:rsidRPr="00E97254">
          <w:rPr>
            <w:webHidden/>
          </w:rPr>
          <w:instrText xml:space="preserve"> PAGEREF _Toc66802059 \h </w:instrText>
        </w:r>
        <w:r w:rsidR="00EC56B7" w:rsidRPr="00E97254">
          <w:rPr>
            <w:webHidden/>
          </w:rPr>
        </w:r>
        <w:r w:rsidR="00EC56B7" w:rsidRPr="00E97254">
          <w:rPr>
            <w:webHidden/>
          </w:rPr>
          <w:fldChar w:fldCharType="separate"/>
        </w:r>
        <w:r w:rsidR="005A6200" w:rsidRPr="00E97254">
          <w:rPr>
            <w:webHidden/>
          </w:rPr>
          <w:t>2</w:t>
        </w:r>
        <w:r w:rsidR="00EC56B7" w:rsidRPr="00E97254">
          <w:rPr>
            <w:webHidden/>
          </w:rPr>
          <w:fldChar w:fldCharType="end"/>
        </w:r>
      </w:hyperlink>
    </w:p>
    <w:p w:rsidR="00D52F26" w:rsidRPr="00E97254" w:rsidRDefault="00AB227E" w:rsidP="000C0250">
      <w:pPr>
        <w:pStyle w:val="TableofFigures"/>
        <w:tabs>
          <w:tab w:val="right" w:leader="dot" w:pos="9323"/>
        </w:tabs>
        <w:jc w:val="both"/>
        <w:rPr>
          <w:rFonts w:eastAsiaTheme="minorEastAsia"/>
        </w:rPr>
      </w:pPr>
      <w:hyperlink w:anchor="_Toc66802060" w:history="1">
        <w:r w:rsidR="00D52F26" w:rsidRPr="00E97254">
          <w:rPr>
            <w:rStyle w:val="Hyperlink"/>
            <w:rFonts w:ascii="Calibri" w:hAnsi="Calibri" w:cs="Calibri"/>
          </w:rPr>
          <w:t>Figura 7. Raporti bruto i regjistrimit në arsimin e lartë</w:t>
        </w:r>
        <w:r w:rsidR="00D52F26" w:rsidRPr="00E97254">
          <w:rPr>
            <w:webHidden/>
          </w:rPr>
          <w:tab/>
        </w:r>
        <w:r w:rsidR="00EC56B7" w:rsidRPr="00E97254">
          <w:rPr>
            <w:webHidden/>
          </w:rPr>
          <w:fldChar w:fldCharType="begin"/>
        </w:r>
        <w:r w:rsidR="00D52F26" w:rsidRPr="00E97254">
          <w:rPr>
            <w:webHidden/>
          </w:rPr>
          <w:instrText xml:space="preserve"> PAGEREF _Toc66802060 \h </w:instrText>
        </w:r>
        <w:r w:rsidR="00EC56B7" w:rsidRPr="00E97254">
          <w:rPr>
            <w:webHidden/>
          </w:rPr>
        </w:r>
        <w:r w:rsidR="00EC56B7" w:rsidRPr="00E97254">
          <w:rPr>
            <w:webHidden/>
          </w:rPr>
          <w:fldChar w:fldCharType="separate"/>
        </w:r>
        <w:r w:rsidR="005A6200" w:rsidRPr="00E97254">
          <w:rPr>
            <w:webHidden/>
          </w:rPr>
          <w:t>2</w:t>
        </w:r>
        <w:r w:rsidR="00EC56B7" w:rsidRPr="00E97254">
          <w:rPr>
            <w:webHidden/>
          </w:rPr>
          <w:fldChar w:fldCharType="end"/>
        </w:r>
      </w:hyperlink>
    </w:p>
    <w:p w:rsidR="00D52F26" w:rsidRPr="00E97254" w:rsidRDefault="00AB227E" w:rsidP="000C0250">
      <w:pPr>
        <w:pStyle w:val="TableofFigures"/>
        <w:tabs>
          <w:tab w:val="right" w:leader="dot" w:pos="9323"/>
        </w:tabs>
        <w:jc w:val="both"/>
        <w:rPr>
          <w:rFonts w:eastAsiaTheme="minorEastAsia"/>
        </w:rPr>
      </w:pPr>
      <w:hyperlink w:anchor="_Toc66802061" w:history="1">
        <w:r w:rsidR="00D52F26" w:rsidRPr="00E97254">
          <w:rPr>
            <w:rStyle w:val="Hyperlink"/>
            <w:rFonts w:ascii="Calibri" w:hAnsi="Calibri" w:cs="Calibri"/>
          </w:rPr>
          <w:t xml:space="preserve">Figura 8. Rankimi QS i IAL-ve të </w:t>
        </w:r>
        <w:r w:rsidR="00D52F26" w:rsidRPr="00E97254">
          <w:rPr>
            <w:rStyle w:val="Hyperlink"/>
            <w:rFonts w:cs="Calibri"/>
          </w:rPr>
          <w:t>Evropës</w:t>
        </w:r>
        <w:r w:rsidR="00D52F26" w:rsidRPr="00E97254">
          <w:rPr>
            <w:rStyle w:val="Hyperlink"/>
            <w:rFonts w:ascii="Calibri" w:hAnsi="Calibri" w:cs="Calibri"/>
          </w:rPr>
          <w:t xml:space="preserve"> Lindore dhe Azisë Qendrore</w:t>
        </w:r>
        <w:r w:rsidR="00D52F26" w:rsidRPr="00E97254">
          <w:rPr>
            <w:webHidden/>
          </w:rPr>
          <w:tab/>
        </w:r>
        <w:r w:rsidR="00EC56B7" w:rsidRPr="00E97254">
          <w:rPr>
            <w:webHidden/>
          </w:rPr>
          <w:fldChar w:fldCharType="begin"/>
        </w:r>
        <w:r w:rsidR="00D52F26" w:rsidRPr="00E97254">
          <w:rPr>
            <w:webHidden/>
          </w:rPr>
          <w:instrText xml:space="preserve"> PAGEREF _Toc66802061 \h </w:instrText>
        </w:r>
        <w:r w:rsidR="00EC56B7" w:rsidRPr="00E97254">
          <w:rPr>
            <w:webHidden/>
          </w:rPr>
        </w:r>
        <w:r w:rsidR="00EC56B7" w:rsidRPr="00E97254">
          <w:rPr>
            <w:webHidden/>
          </w:rPr>
          <w:fldChar w:fldCharType="separate"/>
        </w:r>
        <w:r w:rsidR="005A6200" w:rsidRPr="00E97254">
          <w:rPr>
            <w:webHidden/>
          </w:rPr>
          <w:t>2</w:t>
        </w:r>
        <w:r w:rsidR="00EC56B7" w:rsidRPr="00E97254">
          <w:rPr>
            <w:webHidden/>
          </w:rPr>
          <w:fldChar w:fldCharType="end"/>
        </w:r>
      </w:hyperlink>
    </w:p>
    <w:p w:rsidR="00D52F26" w:rsidRPr="00E97254" w:rsidRDefault="00AB227E" w:rsidP="000C0250">
      <w:pPr>
        <w:pStyle w:val="TableofFigures"/>
        <w:tabs>
          <w:tab w:val="right" w:leader="dot" w:pos="9323"/>
        </w:tabs>
        <w:jc w:val="both"/>
        <w:rPr>
          <w:rFonts w:eastAsiaTheme="minorEastAsia"/>
        </w:rPr>
      </w:pPr>
      <w:hyperlink w:anchor="_Toc66802062" w:history="1">
        <w:r w:rsidR="00D52F26" w:rsidRPr="00E97254">
          <w:rPr>
            <w:rStyle w:val="Hyperlink"/>
            <w:rFonts w:ascii="Calibri" w:hAnsi="Calibri" w:cs="Calibri"/>
          </w:rPr>
          <w:t>Figura 9. Struktura e të diplomuarve sipas fushave të studimit</w:t>
        </w:r>
        <w:r w:rsidR="00D52F26" w:rsidRPr="00E97254">
          <w:rPr>
            <w:webHidden/>
          </w:rPr>
          <w:tab/>
        </w:r>
        <w:r w:rsidR="00EC56B7" w:rsidRPr="00E97254">
          <w:rPr>
            <w:webHidden/>
          </w:rPr>
          <w:fldChar w:fldCharType="begin"/>
        </w:r>
        <w:r w:rsidR="00D52F26" w:rsidRPr="00E97254">
          <w:rPr>
            <w:webHidden/>
          </w:rPr>
          <w:instrText xml:space="preserve"> PAGEREF _Toc66802062 \h </w:instrText>
        </w:r>
        <w:r w:rsidR="00EC56B7" w:rsidRPr="00E97254">
          <w:rPr>
            <w:webHidden/>
          </w:rPr>
        </w:r>
        <w:r w:rsidR="00EC56B7" w:rsidRPr="00E97254">
          <w:rPr>
            <w:webHidden/>
          </w:rPr>
          <w:fldChar w:fldCharType="separate"/>
        </w:r>
        <w:r w:rsidR="005A6200" w:rsidRPr="00E97254">
          <w:rPr>
            <w:webHidden/>
          </w:rPr>
          <w:t>2</w:t>
        </w:r>
        <w:r w:rsidR="00EC56B7" w:rsidRPr="00E97254">
          <w:rPr>
            <w:webHidden/>
          </w:rPr>
          <w:fldChar w:fldCharType="end"/>
        </w:r>
      </w:hyperlink>
    </w:p>
    <w:p w:rsidR="00D52F26" w:rsidRPr="00E97254" w:rsidRDefault="00AB227E" w:rsidP="000C0250">
      <w:pPr>
        <w:pStyle w:val="TableofFigures"/>
        <w:tabs>
          <w:tab w:val="right" w:leader="dot" w:pos="9323"/>
        </w:tabs>
        <w:jc w:val="both"/>
        <w:rPr>
          <w:rFonts w:eastAsiaTheme="minorEastAsia"/>
        </w:rPr>
      </w:pPr>
      <w:hyperlink w:anchor="_Toc66802063" w:history="1">
        <w:r w:rsidR="00D52F26" w:rsidRPr="00E97254">
          <w:rPr>
            <w:rStyle w:val="Hyperlink"/>
            <w:rFonts w:ascii="Calibri" w:hAnsi="Calibri" w:cs="Calibri"/>
          </w:rPr>
          <w:t>Figura 10. Rankimi Webometrics i IAL-ve të rajonit</w:t>
        </w:r>
        <w:r w:rsidR="00D52F26" w:rsidRPr="00E97254">
          <w:rPr>
            <w:webHidden/>
          </w:rPr>
          <w:tab/>
        </w:r>
        <w:r w:rsidR="00EC56B7" w:rsidRPr="00E97254">
          <w:rPr>
            <w:webHidden/>
          </w:rPr>
          <w:fldChar w:fldCharType="begin"/>
        </w:r>
        <w:r w:rsidR="00D52F26" w:rsidRPr="00E97254">
          <w:rPr>
            <w:webHidden/>
          </w:rPr>
          <w:instrText xml:space="preserve"> PAGEREF _Toc66802063 \h </w:instrText>
        </w:r>
        <w:r w:rsidR="00EC56B7" w:rsidRPr="00E97254">
          <w:rPr>
            <w:webHidden/>
          </w:rPr>
        </w:r>
        <w:r w:rsidR="00EC56B7" w:rsidRPr="00E97254">
          <w:rPr>
            <w:webHidden/>
          </w:rPr>
          <w:fldChar w:fldCharType="separate"/>
        </w:r>
        <w:r w:rsidR="005A6200" w:rsidRPr="00E97254">
          <w:rPr>
            <w:webHidden/>
          </w:rPr>
          <w:t>2</w:t>
        </w:r>
        <w:r w:rsidR="00EC56B7" w:rsidRPr="00E97254">
          <w:rPr>
            <w:webHidden/>
          </w:rPr>
          <w:fldChar w:fldCharType="end"/>
        </w:r>
      </w:hyperlink>
    </w:p>
    <w:p w:rsidR="00D52F26" w:rsidRPr="00E97254" w:rsidRDefault="00AB227E" w:rsidP="000C0250">
      <w:pPr>
        <w:pStyle w:val="TableofFigures"/>
        <w:tabs>
          <w:tab w:val="right" w:leader="dot" w:pos="9323"/>
        </w:tabs>
        <w:jc w:val="both"/>
        <w:rPr>
          <w:rFonts w:eastAsiaTheme="minorEastAsia"/>
        </w:rPr>
      </w:pPr>
      <w:hyperlink w:anchor="_Toc66802064" w:history="1">
        <w:r w:rsidR="00D52F26" w:rsidRPr="00E97254">
          <w:rPr>
            <w:rStyle w:val="Hyperlink"/>
            <w:rFonts w:ascii="Calibri" w:hAnsi="Calibri" w:cs="Calibri"/>
          </w:rPr>
          <w:t>Figura 11. Pjesëmarrja në arsim sipas niveleve arsimore dhe seksit [66]</w:t>
        </w:r>
        <w:r w:rsidR="00D52F26" w:rsidRPr="00E97254">
          <w:rPr>
            <w:webHidden/>
          </w:rPr>
          <w:tab/>
        </w:r>
        <w:r w:rsidR="00EC56B7" w:rsidRPr="00E97254">
          <w:rPr>
            <w:webHidden/>
          </w:rPr>
          <w:fldChar w:fldCharType="begin"/>
        </w:r>
        <w:r w:rsidR="00D52F26" w:rsidRPr="00E97254">
          <w:rPr>
            <w:webHidden/>
          </w:rPr>
          <w:instrText xml:space="preserve"> PAGEREF _Toc66802064 \h </w:instrText>
        </w:r>
        <w:r w:rsidR="00EC56B7" w:rsidRPr="00E97254">
          <w:rPr>
            <w:webHidden/>
          </w:rPr>
        </w:r>
        <w:r w:rsidR="00EC56B7" w:rsidRPr="00E97254">
          <w:rPr>
            <w:webHidden/>
          </w:rPr>
          <w:fldChar w:fldCharType="separate"/>
        </w:r>
        <w:r w:rsidR="005A6200" w:rsidRPr="00E97254">
          <w:rPr>
            <w:webHidden/>
          </w:rPr>
          <w:t>2</w:t>
        </w:r>
        <w:r w:rsidR="00EC56B7" w:rsidRPr="00E97254">
          <w:rPr>
            <w:webHidden/>
          </w:rPr>
          <w:fldChar w:fldCharType="end"/>
        </w:r>
      </w:hyperlink>
    </w:p>
    <w:p w:rsidR="00D52F26" w:rsidRPr="00E97254" w:rsidRDefault="00AB227E" w:rsidP="000C0250">
      <w:pPr>
        <w:pStyle w:val="TableofFigures"/>
        <w:tabs>
          <w:tab w:val="right" w:leader="dot" w:pos="9323"/>
        </w:tabs>
        <w:jc w:val="both"/>
        <w:rPr>
          <w:rFonts w:eastAsiaTheme="minorEastAsia"/>
        </w:rPr>
      </w:pPr>
      <w:hyperlink w:anchor="_Toc66802065" w:history="1">
        <w:r w:rsidR="00D52F26" w:rsidRPr="00E97254">
          <w:rPr>
            <w:rStyle w:val="Hyperlink"/>
            <w:rFonts w:ascii="Calibri" w:hAnsi="Calibri" w:cs="Calibri"/>
          </w:rPr>
          <w:t>Figura 12. Qëllimet e politikave të Strategjisë</w:t>
        </w:r>
        <w:r w:rsidR="00D52F26" w:rsidRPr="00E97254">
          <w:rPr>
            <w:webHidden/>
          </w:rPr>
          <w:tab/>
        </w:r>
        <w:r w:rsidR="00EC56B7" w:rsidRPr="00E97254">
          <w:rPr>
            <w:webHidden/>
          </w:rPr>
          <w:fldChar w:fldCharType="begin"/>
        </w:r>
        <w:r w:rsidR="00D52F26" w:rsidRPr="00E97254">
          <w:rPr>
            <w:webHidden/>
          </w:rPr>
          <w:instrText xml:space="preserve"> PAGEREF _Toc66802065 \h </w:instrText>
        </w:r>
        <w:r w:rsidR="00EC56B7" w:rsidRPr="00E97254">
          <w:rPr>
            <w:webHidden/>
          </w:rPr>
        </w:r>
        <w:r w:rsidR="00EC56B7" w:rsidRPr="00E97254">
          <w:rPr>
            <w:webHidden/>
          </w:rPr>
          <w:fldChar w:fldCharType="separate"/>
        </w:r>
        <w:r w:rsidR="005A6200" w:rsidRPr="00E97254">
          <w:rPr>
            <w:webHidden/>
          </w:rPr>
          <w:t>2</w:t>
        </w:r>
        <w:r w:rsidR="00EC56B7" w:rsidRPr="00E97254">
          <w:rPr>
            <w:webHidden/>
          </w:rPr>
          <w:fldChar w:fldCharType="end"/>
        </w:r>
      </w:hyperlink>
    </w:p>
    <w:p w:rsidR="00D52F26" w:rsidRPr="00E97254" w:rsidRDefault="00AB227E" w:rsidP="000C0250">
      <w:pPr>
        <w:pStyle w:val="TableofFigures"/>
        <w:tabs>
          <w:tab w:val="right" w:leader="dot" w:pos="9323"/>
        </w:tabs>
        <w:jc w:val="both"/>
        <w:rPr>
          <w:rFonts w:eastAsiaTheme="minorEastAsia"/>
        </w:rPr>
      </w:pPr>
      <w:hyperlink w:anchor="_Toc66802066" w:history="1">
        <w:r w:rsidR="00D52F26" w:rsidRPr="00E97254">
          <w:rPr>
            <w:rStyle w:val="Hyperlink"/>
            <w:rFonts w:ascii="Calibri" w:hAnsi="Calibri" w:cs="Calibri"/>
          </w:rPr>
          <w:t>Figura 13. Hierarkia e objektivave të Strategjisë</w:t>
        </w:r>
        <w:r w:rsidR="00D52F26" w:rsidRPr="00E97254">
          <w:rPr>
            <w:webHidden/>
          </w:rPr>
          <w:tab/>
        </w:r>
        <w:r w:rsidR="00EC56B7" w:rsidRPr="00E97254">
          <w:rPr>
            <w:webHidden/>
          </w:rPr>
          <w:fldChar w:fldCharType="begin"/>
        </w:r>
        <w:r w:rsidR="00D52F26" w:rsidRPr="00E97254">
          <w:rPr>
            <w:webHidden/>
          </w:rPr>
          <w:instrText xml:space="preserve"> PAGEREF _Toc66802066 \h </w:instrText>
        </w:r>
        <w:r w:rsidR="00EC56B7" w:rsidRPr="00E97254">
          <w:rPr>
            <w:webHidden/>
          </w:rPr>
        </w:r>
        <w:r w:rsidR="00EC56B7" w:rsidRPr="00E97254">
          <w:rPr>
            <w:webHidden/>
          </w:rPr>
          <w:fldChar w:fldCharType="separate"/>
        </w:r>
        <w:r w:rsidR="005A6200" w:rsidRPr="00E97254">
          <w:rPr>
            <w:webHidden/>
          </w:rPr>
          <w:t>2</w:t>
        </w:r>
        <w:r w:rsidR="00EC56B7" w:rsidRPr="00E97254">
          <w:rPr>
            <w:webHidden/>
          </w:rPr>
          <w:fldChar w:fldCharType="end"/>
        </w:r>
      </w:hyperlink>
    </w:p>
    <w:p w:rsidR="009F7789" w:rsidRPr="00E97254" w:rsidRDefault="00EC56B7" w:rsidP="000C0250">
      <w:pPr>
        <w:jc w:val="both"/>
      </w:pPr>
      <w:r w:rsidRPr="00E97254">
        <w:fldChar w:fldCharType="end"/>
      </w:r>
      <w:r w:rsidR="009F7789" w:rsidRPr="00E97254">
        <w:br w:type="page"/>
      </w:r>
    </w:p>
    <w:p w:rsidR="004904A4" w:rsidRPr="00E97254" w:rsidRDefault="00F6137A" w:rsidP="000C0250">
      <w:pPr>
        <w:pStyle w:val="Heading1"/>
        <w:jc w:val="both"/>
      </w:pPr>
      <w:bookmarkStart w:id="1" w:name="_Toc66801974"/>
      <w:r w:rsidRPr="00E97254">
        <w:lastRenderedPageBreak/>
        <w:t>Shkurtimet</w:t>
      </w:r>
      <w:bookmarkEnd w:id="1"/>
    </w:p>
    <w:p w:rsidR="00F32356" w:rsidRPr="00E97254" w:rsidRDefault="00F32356" w:rsidP="000C0250">
      <w:pPr>
        <w:jc w:val="both"/>
      </w:pPr>
      <w:bookmarkStart w:id="2" w:name="_Toc45624207"/>
    </w:p>
    <w:tbl>
      <w:tblPr>
        <w:tblW w:w="0" w:type="auto"/>
        <w:tblLook w:val="04A0" w:firstRow="1" w:lastRow="0" w:firstColumn="1" w:lastColumn="0" w:noHBand="0" w:noVBand="1"/>
      </w:tblPr>
      <w:tblGrid>
        <w:gridCol w:w="1643"/>
        <w:gridCol w:w="7690"/>
      </w:tblGrid>
      <w:tr w:rsidR="00F32356" w:rsidRPr="00E97254" w:rsidTr="00D07643">
        <w:tc>
          <w:tcPr>
            <w:tcW w:w="1645" w:type="dxa"/>
          </w:tcPr>
          <w:p w:rsidR="00F32356" w:rsidRPr="00E97254" w:rsidRDefault="00C6540E" w:rsidP="000C0250">
            <w:pPr>
              <w:spacing w:after="0"/>
              <w:jc w:val="both"/>
              <w:rPr>
                <w:rFonts w:cstheme="minorHAnsi"/>
              </w:rPr>
            </w:pPr>
            <w:r w:rsidRPr="00E97254">
              <w:rPr>
                <w:rFonts w:cstheme="minorHAnsi"/>
              </w:rPr>
              <w:t>AADF</w:t>
            </w:r>
          </w:p>
        </w:tc>
        <w:tc>
          <w:tcPr>
            <w:tcW w:w="7715" w:type="dxa"/>
          </w:tcPr>
          <w:p w:rsidR="00F32356" w:rsidRPr="00E97254" w:rsidRDefault="00F32356" w:rsidP="000C0250">
            <w:pPr>
              <w:spacing w:after="0"/>
              <w:rPr>
                <w:rFonts w:cstheme="minorHAnsi"/>
              </w:rPr>
            </w:pPr>
            <w:r w:rsidRPr="00E97254">
              <w:rPr>
                <w:rFonts w:cstheme="minorHAnsi"/>
              </w:rPr>
              <w:t>Fondacioni Shqiptaro-Amerikan për Zhvillim</w:t>
            </w:r>
            <w:r w:rsidR="00AF09F1" w:rsidRPr="00E97254">
              <w:rPr>
                <w:rFonts w:cstheme="minorHAnsi"/>
              </w:rPr>
              <w:t>/Albanian-American Development Foundation</w:t>
            </w:r>
          </w:p>
        </w:tc>
      </w:tr>
      <w:tr w:rsidR="00F32356" w:rsidRPr="00E97254" w:rsidTr="00D07643">
        <w:tc>
          <w:tcPr>
            <w:tcW w:w="1645" w:type="dxa"/>
          </w:tcPr>
          <w:p w:rsidR="00F32356" w:rsidRPr="00E97254" w:rsidRDefault="00F32356" w:rsidP="000C0250">
            <w:pPr>
              <w:spacing w:after="0"/>
              <w:jc w:val="both"/>
              <w:rPr>
                <w:rFonts w:cstheme="minorHAnsi"/>
              </w:rPr>
            </w:pPr>
            <w:r w:rsidRPr="00E97254">
              <w:rPr>
                <w:rFonts w:cstheme="minorHAnsi"/>
              </w:rPr>
              <w:t>AFP</w:t>
            </w:r>
          </w:p>
        </w:tc>
        <w:tc>
          <w:tcPr>
            <w:tcW w:w="7715" w:type="dxa"/>
          </w:tcPr>
          <w:p w:rsidR="00F32356" w:rsidRPr="00E97254" w:rsidRDefault="00F32356" w:rsidP="000C0250">
            <w:pPr>
              <w:spacing w:after="0"/>
              <w:rPr>
                <w:rFonts w:cstheme="minorHAnsi"/>
              </w:rPr>
            </w:pPr>
            <w:r w:rsidRPr="00E97254">
              <w:rPr>
                <w:rFonts w:cstheme="minorHAnsi"/>
              </w:rPr>
              <w:t>Arsimi dhe Formimi Profesional</w:t>
            </w:r>
          </w:p>
        </w:tc>
      </w:tr>
      <w:tr w:rsidR="00F32356" w:rsidRPr="00E97254" w:rsidTr="00D07643">
        <w:tc>
          <w:tcPr>
            <w:tcW w:w="1645" w:type="dxa"/>
          </w:tcPr>
          <w:p w:rsidR="00F32356" w:rsidRPr="00E97254" w:rsidRDefault="00F32356" w:rsidP="000C0250">
            <w:pPr>
              <w:spacing w:after="0"/>
              <w:jc w:val="both"/>
              <w:rPr>
                <w:rFonts w:cstheme="minorHAnsi"/>
              </w:rPr>
            </w:pPr>
            <w:r w:rsidRPr="00E97254">
              <w:rPr>
                <w:rFonts w:cstheme="minorHAnsi"/>
              </w:rPr>
              <w:t>AKFAL</w:t>
            </w:r>
          </w:p>
        </w:tc>
        <w:tc>
          <w:tcPr>
            <w:tcW w:w="7715" w:type="dxa"/>
          </w:tcPr>
          <w:p w:rsidR="00F32356" w:rsidRPr="00E97254" w:rsidRDefault="00F32356" w:rsidP="000C0250">
            <w:pPr>
              <w:spacing w:after="0"/>
              <w:rPr>
                <w:rFonts w:cstheme="minorHAnsi"/>
              </w:rPr>
            </w:pPr>
            <w:r w:rsidRPr="00E97254">
              <w:rPr>
                <w:rFonts w:cstheme="minorHAnsi"/>
              </w:rPr>
              <w:t>Agjencia Kombëtare e Financimit të Arsimit të Lartë</w:t>
            </w:r>
          </w:p>
        </w:tc>
      </w:tr>
      <w:tr w:rsidR="00F32356" w:rsidRPr="00E97254" w:rsidTr="00D07643">
        <w:tc>
          <w:tcPr>
            <w:tcW w:w="1645" w:type="dxa"/>
          </w:tcPr>
          <w:p w:rsidR="00F32356" w:rsidRPr="00E97254" w:rsidRDefault="00F32356" w:rsidP="000C0250">
            <w:pPr>
              <w:spacing w:after="0"/>
              <w:jc w:val="both"/>
              <w:rPr>
                <w:rFonts w:cstheme="minorHAnsi"/>
              </w:rPr>
            </w:pPr>
            <w:r w:rsidRPr="00E97254">
              <w:rPr>
                <w:rFonts w:cstheme="minorHAnsi"/>
              </w:rPr>
              <w:t>AKSHI</w:t>
            </w:r>
          </w:p>
        </w:tc>
        <w:tc>
          <w:tcPr>
            <w:tcW w:w="7715" w:type="dxa"/>
          </w:tcPr>
          <w:p w:rsidR="00F32356" w:rsidRPr="00E97254" w:rsidRDefault="00F32356" w:rsidP="000C0250">
            <w:pPr>
              <w:spacing w:after="0"/>
              <w:rPr>
                <w:rFonts w:cstheme="minorHAnsi"/>
              </w:rPr>
            </w:pPr>
            <w:r w:rsidRPr="00E97254">
              <w:rPr>
                <w:rFonts w:cstheme="minorHAnsi"/>
              </w:rPr>
              <w:t>Agjencia Kombëtare e Shoqërisë së Informacionit</w:t>
            </w:r>
          </w:p>
        </w:tc>
      </w:tr>
      <w:tr w:rsidR="00F32356" w:rsidRPr="00E97254" w:rsidTr="00D07643">
        <w:tc>
          <w:tcPr>
            <w:tcW w:w="1645" w:type="dxa"/>
          </w:tcPr>
          <w:p w:rsidR="00F32356" w:rsidRPr="00E97254" w:rsidRDefault="00F32356" w:rsidP="000C0250">
            <w:pPr>
              <w:spacing w:after="0"/>
              <w:jc w:val="both"/>
              <w:rPr>
                <w:rFonts w:cstheme="minorHAnsi"/>
              </w:rPr>
            </w:pPr>
            <w:r w:rsidRPr="00E97254">
              <w:rPr>
                <w:rFonts w:cstheme="minorHAnsi"/>
              </w:rPr>
              <w:t>AKKSHI</w:t>
            </w:r>
          </w:p>
        </w:tc>
        <w:tc>
          <w:tcPr>
            <w:tcW w:w="7715" w:type="dxa"/>
          </w:tcPr>
          <w:p w:rsidR="00F32356" w:rsidRPr="00E97254" w:rsidRDefault="00F32356" w:rsidP="000C0250">
            <w:pPr>
              <w:spacing w:after="0"/>
              <w:rPr>
                <w:rFonts w:cstheme="minorHAnsi"/>
              </w:rPr>
            </w:pPr>
            <w:r w:rsidRPr="00E97254">
              <w:rPr>
                <w:rFonts w:cstheme="minorHAnsi"/>
              </w:rPr>
              <w:t>Agjencia Kombëtare e Kërkimit Shkencor dhe Inovacionit</w:t>
            </w:r>
          </w:p>
        </w:tc>
      </w:tr>
      <w:tr w:rsidR="00F32356" w:rsidRPr="00E97254" w:rsidTr="00D07643">
        <w:tc>
          <w:tcPr>
            <w:tcW w:w="1645" w:type="dxa"/>
          </w:tcPr>
          <w:p w:rsidR="00F32356" w:rsidRPr="00E97254" w:rsidRDefault="00F32356" w:rsidP="000C0250">
            <w:pPr>
              <w:spacing w:after="0"/>
              <w:jc w:val="both"/>
              <w:rPr>
                <w:rFonts w:cstheme="minorHAnsi"/>
              </w:rPr>
            </w:pPr>
            <w:r w:rsidRPr="00E97254">
              <w:rPr>
                <w:rFonts w:cstheme="minorHAnsi"/>
              </w:rPr>
              <w:t>ASCAL</w:t>
            </w:r>
          </w:p>
        </w:tc>
        <w:tc>
          <w:tcPr>
            <w:tcW w:w="7715" w:type="dxa"/>
          </w:tcPr>
          <w:p w:rsidR="00F32356" w:rsidRPr="00E97254" w:rsidRDefault="00F32356" w:rsidP="000C0250">
            <w:pPr>
              <w:spacing w:after="0"/>
              <w:rPr>
                <w:rFonts w:cstheme="minorHAnsi"/>
              </w:rPr>
            </w:pPr>
            <w:r w:rsidRPr="00E97254">
              <w:rPr>
                <w:rFonts w:cstheme="minorHAnsi"/>
              </w:rPr>
              <w:t>Agjencia e Sigurimit të Cilësisë në Arsimin e Lartë</w:t>
            </w:r>
          </w:p>
        </w:tc>
      </w:tr>
      <w:tr w:rsidR="00F32356" w:rsidRPr="00E97254" w:rsidTr="00D07643">
        <w:tc>
          <w:tcPr>
            <w:tcW w:w="1645" w:type="dxa"/>
          </w:tcPr>
          <w:p w:rsidR="00F32356" w:rsidRPr="00E97254" w:rsidRDefault="00F32356" w:rsidP="000C0250">
            <w:pPr>
              <w:spacing w:after="0"/>
              <w:jc w:val="both"/>
              <w:rPr>
                <w:rFonts w:cstheme="minorHAnsi"/>
              </w:rPr>
            </w:pPr>
            <w:r w:rsidRPr="00E97254">
              <w:rPr>
                <w:rFonts w:cstheme="minorHAnsi"/>
              </w:rPr>
              <w:t>ASCAP</w:t>
            </w:r>
          </w:p>
        </w:tc>
        <w:tc>
          <w:tcPr>
            <w:tcW w:w="7715" w:type="dxa"/>
          </w:tcPr>
          <w:p w:rsidR="00F32356" w:rsidRPr="00E97254" w:rsidRDefault="00F32356" w:rsidP="000C0250">
            <w:pPr>
              <w:spacing w:after="0"/>
              <w:rPr>
                <w:rFonts w:cstheme="minorHAnsi"/>
              </w:rPr>
            </w:pPr>
            <w:r w:rsidRPr="00E97254">
              <w:rPr>
                <w:rFonts w:cstheme="minorHAnsi"/>
              </w:rPr>
              <w:t>Agjencia e Sigurimit të Cilësisë në Arsimin Parauniversitar</w:t>
            </w:r>
          </w:p>
        </w:tc>
      </w:tr>
      <w:tr w:rsidR="00F32356" w:rsidRPr="00E97254" w:rsidTr="00D07643">
        <w:tc>
          <w:tcPr>
            <w:tcW w:w="1645" w:type="dxa"/>
          </w:tcPr>
          <w:p w:rsidR="00F32356" w:rsidRPr="00E97254" w:rsidRDefault="00F32356" w:rsidP="000C0250">
            <w:pPr>
              <w:spacing w:after="0"/>
              <w:jc w:val="both"/>
              <w:rPr>
                <w:rFonts w:cstheme="minorHAnsi"/>
              </w:rPr>
            </w:pPr>
            <w:r w:rsidRPr="00E97254">
              <w:rPr>
                <w:rFonts w:cstheme="minorHAnsi"/>
              </w:rPr>
              <w:t>BE</w:t>
            </w:r>
          </w:p>
        </w:tc>
        <w:tc>
          <w:tcPr>
            <w:tcW w:w="7715" w:type="dxa"/>
          </w:tcPr>
          <w:p w:rsidR="00F32356" w:rsidRPr="00E97254" w:rsidRDefault="00F32356" w:rsidP="000C0250">
            <w:pPr>
              <w:spacing w:after="0"/>
              <w:rPr>
                <w:rFonts w:cstheme="minorHAnsi"/>
              </w:rPr>
            </w:pPr>
            <w:r w:rsidRPr="00E97254">
              <w:rPr>
                <w:rFonts w:cstheme="minorHAnsi"/>
              </w:rPr>
              <w:t>Bashkimi Europian</w:t>
            </w:r>
          </w:p>
        </w:tc>
      </w:tr>
      <w:tr w:rsidR="00F32356" w:rsidRPr="00E97254" w:rsidTr="00D07643">
        <w:tc>
          <w:tcPr>
            <w:tcW w:w="1645" w:type="dxa"/>
          </w:tcPr>
          <w:p w:rsidR="00F32356" w:rsidRPr="00E97254" w:rsidRDefault="00F32356" w:rsidP="000C0250">
            <w:pPr>
              <w:spacing w:after="0"/>
              <w:jc w:val="both"/>
              <w:rPr>
                <w:rFonts w:cstheme="minorHAnsi"/>
              </w:rPr>
            </w:pPr>
            <w:r w:rsidRPr="00E97254">
              <w:rPr>
                <w:rFonts w:cstheme="minorHAnsi"/>
              </w:rPr>
              <w:t>BFUG</w:t>
            </w:r>
          </w:p>
        </w:tc>
        <w:tc>
          <w:tcPr>
            <w:tcW w:w="7715" w:type="dxa"/>
          </w:tcPr>
          <w:p w:rsidR="00F32356" w:rsidRPr="00E97254" w:rsidRDefault="00F32356" w:rsidP="000C0250">
            <w:pPr>
              <w:spacing w:after="0"/>
              <w:rPr>
                <w:rFonts w:cstheme="minorHAnsi"/>
              </w:rPr>
            </w:pPr>
            <w:r w:rsidRPr="00E97254">
              <w:rPr>
                <w:rFonts w:ascii="Calibri" w:hAnsi="Calibri" w:cs="Calibri"/>
              </w:rPr>
              <w:t>Bologna Follow-Up Group</w:t>
            </w:r>
          </w:p>
        </w:tc>
      </w:tr>
      <w:tr w:rsidR="00F32356" w:rsidRPr="00E97254" w:rsidTr="00D07643">
        <w:tc>
          <w:tcPr>
            <w:tcW w:w="1645" w:type="dxa"/>
          </w:tcPr>
          <w:p w:rsidR="00F32356" w:rsidRPr="00E97254" w:rsidRDefault="00F32356" w:rsidP="000C0250">
            <w:pPr>
              <w:spacing w:after="0"/>
              <w:jc w:val="both"/>
              <w:rPr>
                <w:rFonts w:cstheme="minorHAnsi"/>
              </w:rPr>
            </w:pPr>
            <w:r w:rsidRPr="00E97254">
              <w:rPr>
                <w:rFonts w:cstheme="minorHAnsi"/>
              </w:rPr>
              <w:t>DHBGJ&amp;DHF</w:t>
            </w:r>
          </w:p>
        </w:tc>
        <w:tc>
          <w:tcPr>
            <w:tcW w:w="7715" w:type="dxa"/>
          </w:tcPr>
          <w:p w:rsidR="00F32356" w:rsidRPr="00E97254" w:rsidRDefault="00F32356" w:rsidP="000C0250">
            <w:pPr>
              <w:spacing w:after="0"/>
              <w:rPr>
                <w:rFonts w:cstheme="minorHAnsi"/>
              </w:rPr>
            </w:pPr>
            <w:r w:rsidRPr="00E97254">
              <w:rPr>
                <w:rFonts w:cstheme="minorHAnsi"/>
              </w:rPr>
              <w:t>Dhuna me bazë gjinore dhe dhuna ndaj fëmijëve</w:t>
            </w:r>
          </w:p>
        </w:tc>
      </w:tr>
      <w:tr w:rsidR="00F32356" w:rsidRPr="00E97254" w:rsidTr="00D07643">
        <w:tc>
          <w:tcPr>
            <w:tcW w:w="1645" w:type="dxa"/>
          </w:tcPr>
          <w:p w:rsidR="00F32356" w:rsidRPr="00E97254" w:rsidRDefault="00F32356" w:rsidP="000C0250">
            <w:pPr>
              <w:spacing w:after="0"/>
              <w:jc w:val="both"/>
              <w:rPr>
                <w:rFonts w:cstheme="minorHAnsi"/>
              </w:rPr>
            </w:pPr>
            <w:r w:rsidRPr="00E97254">
              <w:rPr>
                <w:rFonts w:cstheme="minorHAnsi"/>
              </w:rPr>
              <w:t>DPAP</w:t>
            </w:r>
          </w:p>
        </w:tc>
        <w:tc>
          <w:tcPr>
            <w:tcW w:w="7715" w:type="dxa"/>
          </w:tcPr>
          <w:p w:rsidR="00F32356" w:rsidRPr="00E97254" w:rsidRDefault="00F32356" w:rsidP="000C0250">
            <w:pPr>
              <w:spacing w:after="0"/>
              <w:rPr>
                <w:rFonts w:cstheme="minorHAnsi"/>
              </w:rPr>
            </w:pPr>
            <w:r w:rsidRPr="00E97254">
              <w:rPr>
                <w:rFonts w:cstheme="minorHAnsi"/>
              </w:rPr>
              <w:t>Drejtoria e Përgjithshme e Arsimit Parauniversitar</w:t>
            </w:r>
          </w:p>
        </w:tc>
      </w:tr>
      <w:tr w:rsidR="00F32356" w:rsidRPr="00E97254" w:rsidTr="00D07643">
        <w:tc>
          <w:tcPr>
            <w:tcW w:w="1645" w:type="dxa"/>
          </w:tcPr>
          <w:p w:rsidR="00F32356" w:rsidRPr="00E97254" w:rsidRDefault="00F32356" w:rsidP="000C0250">
            <w:pPr>
              <w:spacing w:after="0"/>
              <w:jc w:val="both"/>
              <w:rPr>
                <w:rFonts w:cstheme="minorHAnsi"/>
              </w:rPr>
            </w:pPr>
            <w:r w:rsidRPr="00E97254">
              <w:rPr>
                <w:rFonts w:cstheme="minorHAnsi"/>
              </w:rPr>
              <w:t>DRAP</w:t>
            </w:r>
          </w:p>
        </w:tc>
        <w:tc>
          <w:tcPr>
            <w:tcW w:w="7715" w:type="dxa"/>
          </w:tcPr>
          <w:p w:rsidR="00F32356" w:rsidRPr="00E97254" w:rsidRDefault="00F32356" w:rsidP="000C0250">
            <w:pPr>
              <w:spacing w:after="0"/>
              <w:rPr>
                <w:rFonts w:cstheme="minorHAnsi"/>
              </w:rPr>
            </w:pPr>
            <w:r w:rsidRPr="00E97254">
              <w:rPr>
                <w:rFonts w:cstheme="minorHAnsi"/>
              </w:rPr>
              <w:t>Drejtoria Rajonale e Arsimit Parauniversitar</w:t>
            </w:r>
          </w:p>
        </w:tc>
      </w:tr>
      <w:tr w:rsidR="00F32356" w:rsidRPr="00E97254" w:rsidTr="00D07643">
        <w:tc>
          <w:tcPr>
            <w:tcW w:w="1645" w:type="dxa"/>
            <w:tcBorders>
              <w:top w:val="nil"/>
              <w:left w:val="nil"/>
              <w:bottom w:val="nil"/>
              <w:right w:val="nil"/>
            </w:tcBorders>
          </w:tcPr>
          <w:p w:rsidR="00F32356" w:rsidRPr="00E97254" w:rsidRDefault="00F32356" w:rsidP="000C0250">
            <w:pPr>
              <w:spacing w:after="0"/>
              <w:jc w:val="both"/>
              <w:rPr>
                <w:rFonts w:cstheme="minorHAnsi"/>
              </w:rPr>
            </w:pPr>
            <w:r w:rsidRPr="00E97254">
              <w:rPr>
                <w:rFonts w:cstheme="minorHAnsi"/>
              </w:rPr>
              <w:t>ECTS</w:t>
            </w:r>
          </w:p>
        </w:tc>
        <w:tc>
          <w:tcPr>
            <w:tcW w:w="7715" w:type="dxa"/>
            <w:tcBorders>
              <w:top w:val="nil"/>
              <w:left w:val="nil"/>
              <w:bottom w:val="nil"/>
              <w:right w:val="nil"/>
            </w:tcBorders>
          </w:tcPr>
          <w:p w:rsidR="00F32356" w:rsidRPr="00E97254" w:rsidRDefault="00F32356" w:rsidP="000C0250">
            <w:pPr>
              <w:spacing w:after="0"/>
              <w:rPr>
                <w:rFonts w:cstheme="minorHAnsi"/>
              </w:rPr>
            </w:pPr>
            <w:r w:rsidRPr="00E97254">
              <w:rPr>
                <w:rFonts w:cstheme="minorHAnsi"/>
              </w:rPr>
              <w:t>Sistemi Europian i Transferimit të Krediteve</w:t>
            </w:r>
            <w:r w:rsidR="00AF09F1" w:rsidRPr="00E97254">
              <w:rPr>
                <w:rFonts w:cstheme="minorHAnsi"/>
              </w:rPr>
              <w:t>/European Credit Transfer and Accumulation System</w:t>
            </w:r>
          </w:p>
        </w:tc>
      </w:tr>
      <w:tr w:rsidR="00F32356" w:rsidRPr="00E97254" w:rsidTr="00D07643">
        <w:tc>
          <w:tcPr>
            <w:tcW w:w="1645" w:type="dxa"/>
            <w:tcBorders>
              <w:top w:val="nil"/>
              <w:left w:val="nil"/>
              <w:bottom w:val="nil"/>
              <w:right w:val="nil"/>
            </w:tcBorders>
          </w:tcPr>
          <w:p w:rsidR="00F32356" w:rsidRPr="00E97254" w:rsidRDefault="00F32356" w:rsidP="000C0250">
            <w:pPr>
              <w:spacing w:after="0"/>
              <w:jc w:val="both"/>
              <w:rPr>
                <w:rFonts w:cstheme="minorHAnsi"/>
              </w:rPr>
            </w:pPr>
            <w:r w:rsidRPr="00E97254">
              <w:rPr>
                <w:rFonts w:cstheme="minorHAnsi"/>
              </w:rPr>
              <w:t>EHEA</w:t>
            </w:r>
          </w:p>
        </w:tc>
        <w:tc>
          <w:tcPr>
            <w:tcW w:w="7715" w:type="dxa"/>
            <w:tcBorders>
              <w:top w:val="nil"/>
              <w:left w:val="nil"/>
              <w:bottom w:val="nil"/>
              <w:right w:val="nil"/>
            </w:tcBorders>
          </w:tcPr>
          <w:p w:rsidR="00F32356" w:rsidRPr="00E97254" w:rsidRDefault="008370F1" w:rsidP="000C0250">
            <w:pPr>
              <w:spacing w:after="0"/>
              <w:rPr>
                <w:rFonts w:cstheme="minorHAnsi"/>
              </w:rPr>
            </w:pPr>
            <w:r w:rsidRPr="00E97254">
              <w:rPr>
                <w:rFonts w:cstheme="minorHAnsi"/>
              </w:rPr>
              <w:t>Hapësira Evropiane</w:t>
            </w:r>
            <w:r w:rsidR="00F32356" w:rsidRPr="00E97254">
              <w:rPr>
                <w:rFonts w:cstheme="minorHAnsi"/>
              </w:rPr>
              <w:t xml:space="preserve"> e Arsimit të Lartë</w:t>
            </w:r>
            <w:r w:rsidR="00AF09F1" w:rsidRPr="00E97254">
              <w:rPr>
                <w:rFonts w:cstheme="minorHAnsi"/>
              </w:rPr>
              <w:t>/European Higher Education Area</w:t>
            </w:r>
          </w:p>
        </w:tc>
      </w:tr>
      <w:tr w:rsidR="00F32356" w:rsidRPr="00E97254" w:rsidTr="00D07643">
        <w:tc>
          <w:tcPr>
            <w:tcW w:w="1645" w:type="dxa"/>
            <w:tcBorders>
              <w:top w:val="nil"/>
              <w:left w:val="nil"/>
              <w:bottom w:val="nil"/>
              <w:right w:val="nil"/>
            </w:tcBorders>
          </w:tcPr>
          <w:p w:rsidR="00F32356" w:rsidRPr="00E97254" w:rsidRDefault="00F32356" w:rsidP="000C0250">
            <w:pPr>
              <w:spacing w:after="0"/>
              <w:jc w:val="both"/>
              <w:rPr>
                <w:rFonts w:cstheme="minorHAnsi"/>
              </w:rPr>
            </w:pPr>
            <w:r w:rsidRPr="00E97254">
              <w:rPr>
                <w:rFonts w:cstheme="minorHAnsi"/>
              </w:rPr>
              <w:t>ENQA</w:t>
            </w:r>
          </w:p>
        </w:tc>
        <w:tc>
          <w:tcPr>
            <w:tcW w:w="7715" w:type="dxa"/>
            <w:tcBorders>
              <w:top w:val="nil"/>
              <w:left w:val="nil"/>
              <w:bottom w:val="nil"/>
              <w:right w:val="nil"/>
            </w:tcBorders>
          </w:tcPr>
          <w:p w:rsidR="00F32356" w:rsidRPr="00E97254" w:rsidRDefault="00F32356" w:rsidP="000C0250">
            <w:pPr>
              <w:spacing w:after="0"/>
              <w:rPr>
                <w:rFonts w:cstheme="minorHAnsi"/>
              </w:rPr>
            </w:pPr>
            <w:r w:rsidRPr="00E97254">
              <w:rPr>
                <w:rFonts w:cstheme="minorHAnsi"/>
              </w:rPr>
              <w:t>Rrjeti Europian për Sigurimin e Cilësisë në Arsimin e Lartë</w:t>
            </w:r>
            <w:r w:rsidR="00AF09F1" w:rsidRPr="00E97254">
              <w:rPr>
                <w:rFonts w:cstheme="minorHAnsi"/>
              </w:rPr>
              <w:t>/ European Association for Quality Assurance in Higher Education</w:t>
            </w:r>
          </w:p>
        </w:tc>
      </w:tr>
      <w:tr w:rsidR="00F32356" w:rsidRPr="00E97254" w:rsidTr="00D07643">
        <w:tc>
          <w:tcPr>
            <w:tcW w:w="1645" w:type="dxa"/>
            <w:tcBorders>
              <w:top w:val="nil"/>
              <w:left w:val="nil"/>
              <w:bottom w:val="nil"/>
              <w:right w:val="nil"/>
            </w:tcBorders>
          </w:tcPr>
          <w:p w:rsidR="00F32356" w:rsidRPr="00E97254" w:rsidRDefault="00F32356" w:rsidP="000C0250">
            <w:pPr>
              <w:spacing w:after="0"/>
              <w:jc w:val="both"/>
              <w:rPr>
                <w:rFonts w:cstheme="minorHAnsi"/>
              </w:rPr>
            </w:pPr>
            <w:r w:rsidRPr="00E97254">
              <w:rPr>
                <w:rFonts w:cstheme="minorHAnsi"/>
              </w:rPr>
              <w:t>EQAR</w:t>
            </w:r>
          </w:p>
        </w:tc>
        <w:tc>
          <w:tcPr>
            <w:tcW w:w="7715" w:type="dxa"/>
            <w:tcBorders>
              <w:top w:val="nil"/>
              <w:left w:val="nil"/>
              <w:bottom w:val="nil"/>
              <w:right w:val="nil"/>
            </w:tcBorders>
          </w:tcPr>
          <w:p w:rsidR="00F32356" w:rsidRPr="00E97254" w:rsidRDefault="00F32356" w:rsidP="000C0250">
            <w:pPr>
              <w:spacing w:after="0"/>
              <w:rPr>
                <w:rFonts w:cstheme="minorHAnsi"/>
              </w:rPr>
            </w:pPr>
            <w:r w:rsidRPr="00E97254">
              <w:rPr>
                <w:rFonts w:cstheme="minorHAnsi"/>
              </w:rPr>
              <w:t>Regjistri Europian për Sigurimin e Cilësisë</w:t>
            </w:r>
            <w:r w:rsidR="00AF09F1" w:rsidRPr="00E97254">
              <w:rPr>
                <w:rFonts w:cstheme="minorHAnsi"/>
              </w:rPr>
              <w:t>/European Quality Assurance Register in Higher Education</w:t>
            </w:r>
          </w:p>
        </w:tc>
      </w:tr>
      <w:tr w:rsidR="00F32356" w:rsidRPr="00E97254" w:rsidTr="00D07643">
        <w:tc>
          <w:tcPr>
            <w:tcW w:w="1645" w:type="dxa"/>
            <w:tcBorders>
              <w:top w:val="nil"/>
              <w:left w:val="nil"/>
              <w:bottom w:val="nil"/>
              <w:right w:val="nil"/>
            </w:tcBorders>
          </w:tcPr>
          <w:p w:rsidR="00F32356" w:rsidRPr="00E97254" w:rsidRDefault="00526238" w:rsidP="000C0250">
            <w:pPr>
              <w:spacing w:after="0"/>
              <w:jc w:val="both"/>
              <w:rPr>
                <w:rFonts w:cstheme="minorHAnsi"/>
              </w:rPr>
            </w:pPr>
            <w:r w:rsidRPr="00E97254">
              <w:rPr>
                <w:rFonts w:cstheme="minorHAnsi"/>
              </w:rPr>
              <w:t>KEK</w:t>
            </w:r>
          </w:p>
        </w:tc>
        <w:tc>
          <w:tcPr>
            <w:tcW w:w="7715" w:type="dxa"/>
            <w:tcBorders>
              <w:top w:val="nil"/>
              <w:left w:val="nil"/>
              <w:bottom w:val="nil"/>
              <w:right w:val="nil"/>
            </w:tcBorders>
          </w:tcPr>
          <w:p w:rsidR="00F32356" w:rsidRPr="00E97254" w:rsidRDefault="004E1F53" w:rsidP="000C0250">
            <w:pPr>
              <w:spacing w:after="0"/>
              <w:rPr>
                <w:rFonts w:cstheme="minorHAnsi"/>
              </w:rPr>
            </w:pPr>
            <w:r>
              <w:rPr>
                <w:rFonts w:cstheme="minorHAnsi"/>
              </w:rPr>
              <w:t>Korniza Evropiane e Kualifikimeve/European Qualifications Framework</w:t>
            </w:r>
          </w:p>
        </w:tc>
      </w:tr>
      <w:tr w:rsidR="00F32356" w:rsidRPr="00E97254" w:rsidTr="00D07643">
        <w:tc>
          <w:tcPr>
            <w:tcW w:w="1645" w:type="dxa"/>
            <w:tcBorders>
              <w:top w:val="nil"/>
              <w:left w:val="nil"/>
              <w:bottom w:val="nil"/>
              <w:right w:val="nil"/>
            </w:tcBorders>
          </w:tcPr>
          <w:p w:rsidR="00F32356" w:rsidRPr="00E97254" w:rsidRDefault="004E1F53" w:rsidP="000C0250">
            <w:pPr>
              <w:spacing w:after="0"/>
              <w:jc w:val="both"/>
              <w:rPr>
                <w:rFonts w:cstheme="minorHAnsi"/>
              </w:rPr>
            </w:pPr>
            <w:r>
              <w:rPr>
                <w:rFonts w:cstheme="minorHAnsi"/>
              </w:rPr>
              <w:t>ERP</w:t>
            </w:r>
          </w:p>
        </w:tc>
        <w:tc>
          <w:tcPr>
            <w:tcW w:w="7715" w:type="dxa"/>
            <w:tcBorders>
              <w:top w:val="nil"/>
              <w:left w:val="nil"/>
              <w:bottom w:val="nil"/>
              <w:right w:val="nil"/>
            </w:tcBorders>
          </w:tcPr>
          <w:p w:rsidR="00F32356" w:rsidRPr="00E97254" w:rsidRDefault="004E1F53" w:rsidP="000C0250">
            <w:pPr>
              <w:spacing w:after="0"/>
              <w:rPr>
                <w:rFonts w:cstheme="minorHAnsi"/>
              </w:rPr>
            </w:pPr>
            <w:r>
              <w:rPr>
                <w:rFonts w:cstheme="minorHAnsi"/>
              </w:rPr>
              <w:t>Programi i Reformës Ekonomike/Economic Reform Programme</w:t>
            </w:r>
          </w:p>
        </w:tc>
      </w:tr>
      <w:tr w:rsidR="00F32356" w:rsidRPr="00E97254" w:rsidTr="00D07643">
        <w:tc>
          <w:tcPr>
            <w:tcW w:w="1645" w:type="dxa"/>
            <w:tcBorders>
              <w:top w:val="nil"/>
              <w:left w:val="nil"/>
              <w:bottom w:val="nil"/>
              <w:right w:val="nil"/>
            </w:tcBorders>
          </w:tcPr>
          <w:p w:rsidR="00F32356" w:rsidRPr="00E97254" w:rsidRDefault="004E1F53" w:rsidP="000C0250">
            <w:pPr>
              <w:spacing w:after="0"/>
              <w:jc w:val="both"/>
              <w:rPr>
                <w:rFonts w:cstheme="minorHAnsi"/>
              </w:rPr>
            </w:pPr>
            <w:r>
              <w:rPr>
                <w:rFonts w:cstheme="minorHAnsi"/>
              </w:rPr>
              <w:t>SUE</w:t>
            </w:r>
          </w:p>
        </w:tc>
        <w:tc>
          <w:tcPr>
            <w:tcW w:w="7715" w:type="dxa"/>
            <w:tcBorders>
              <w:top w:val="nil"/>
              <w:left w:val="nil"/>
              <w:bottom w:val="nil"/>
              <w:right w:val="nil"/>
            </w:tcBorders>
          </w:tcPr>
          <w:p w:rsidR="00F32356" w:rsidRPr="00E97254" w:rsidRDefault="004E1F53" w:rsidP="000C0250">
            <w:pPr>
              <w:spacing w:after="0"/>
              <w:rPr>
                <w:rFonts w:cstheme="minorHAnsi"/>
              </w:rPr>
            </w:pPr>
            <w:r>
              <w:rPr>
                <w:rFonts w:cstheme="minorHAnsi"/>
              </w:rPr>
              <w:t>Standardet dhe udhëzimet për sigurimin e cilësisë në Hapësirën Evropiane të Arsimit të Lartë/The Standards and guidelines for quality assurance in the European Higher Education Area</w:t>
            </w:r>
          </w:p>
        </w:tc>
      </w:tr>
      <w:tr w:rsidR="00F32356" w:rsidRPr="00E97254" w:rsidTr="00D07643">
        <w:tc>
          <w:tcPr>
            <w:tcW w:w="1645" w:type="dxa"/>
            <w:tcBorders>
              <w:top w:val="nil"/>
              <w:left w:val="nil"/>
              <w:bottom w:val="nil"/>
              <w:right w:val="nil"/>
            </w:tcBorders>
          </w:tcPr>
          <w:p w:rsidR="00F32356" w:rsidRPr="00E97254" w:rsidRDefault="0038226C" w:rsidP="000C0250">
            <w:pPr>
              <w:spacing w:after="0"/>
              <w:jc w:val="both"/>
              <w:rPr>
                <w:rFonts w:cstheme="minorHAnsi"/>
              </w:rPr>
            </w:pPr>
            <w:r>
              <w:rPr>
                <w:rFonts w:cstheme="minorHAnsi"/>
              </w:rPr>
              <w:t>RRB</w:t>
            </w:r>
          </w:p>
        </w:tc>
        <w:tc>
          <w:tcPr>
            <w:tcW w:w="7715" w:type="dxa"/>
            <w:tcBorders>
              <w:top w:val="nil"/>
              <w:left w:val="nil"/>
              <w:bottom w:val="nil"/>
              <w:right w:val="nil"/>
            </w:tcBorders>
          </w:tcPr>
          <w:p w:rsidR="00F32356" w:rsidRPr="00E97254" w:rsidRDefault="004E1F53" w:rsidP="0038226C">
            <w:pPr>
              <w:spacing w:after="0"/>
              <w:rPr>
                <w:rFonts w:cstheme="minorHAnsi"/>
              </w:rPr>
            </w:pPr>
            <w:r>
              <w:rPr>
                <w:rFonts w:cstheme="minorHAnsi"/>
              </w:rPr>
              <w:t>Raporti i Regjistrimeve </w:t>
            </w:r>
            <w:r w:rsidR="00FA5606" w:rsidRPr="00FA5606">
              <w:rPr>
                <w:rFonts w:cstheme="minorHAnsi"/>
                <w:bCs/>
              </w:rPr>
              <w:t>Bruto</w:t>
            </w:r>
            <w:r w:rsidR="00151DA0">
              <w:rPr>
                <w:rFonts w:cstheme="minorHAnsi"/>
                <w:bCs/>
              </w:rPr>
              <w:t>/</w:t>
            </w:r>
            <w:r w:rsidR="00151DA0" w:rsidRPr="00E97254">
              <w:rPr>
                <w:rFonts w:cstheme="minorHAnsi"/>
              </w:rPr>
              <w:t xml:space="preserve"> Gross Enrolment Rate</w:t>
            </w:r>
            <w:r w:rsidR="0009004E" w:rsidRPr="00E97254" w:rsidDel="0009004E">
              <w:rPr>
                <w:rFonts w:cstheme="minorHAnsi"/>
              </w:rPr>
              <w:t xml:space="preserve"> </w:t>
            </w:r>
          </w:p>
        </w:tc>
      </w:tr>
      <w:tr w:rsidR="00F32356" w:rsidRPr="00E97254" w:rsidTr="00D07643">
        <w:tc>
          <w:tcPr>
            <w:tcW w:w="1645" w:type="dxa"/>
            <w:tcBorders>
              <w:top w:val="nil"/>
              <w:left w:val="nil"/>
              <w:bottom w:val="nil"/>
              <w:right w:val="nil"/>
            </w:tcBorders>
          </w:tcPr>
          <w:p w:rsidR="00F32356" w:rsidRPr="00E97254" w:rsidRDefault="004E1F53" w:rsidP="000C0250">
            <w:pPr>
              <w:spacing w:after="0"/>
              <w:jc w:val="both"/>
              <w:rPr>
                <w:rFonts w:cstheme="minorHAnsi"/>
              </w:rPr>
            </w:pPr>
            <w:r>
              <w:rPr>
                <w:rFonts w:cstheme="minorHAnsi"/>
              </w:rPr>
              <w:t>HERE</w:t>
            </w:r>
          </w:p>
        </w:tc>
        <w:tc>
          <w:tcPr>
            <w:tcW w:w="7715" w:type="dxa"/>
            <w:tcBorders>
              <w:top w:val="nil"/>
              <w:left w:val="nil"/>
              <w:bottom w:val="nil"/>
              <w:right w:val="nil"/>
            </w:tcBorders>
          </w:tcPr>
          <w:p w:rsidR="00F32356" w:rsidRPr="00E97254" w:rsidRDefault="004E1F53" w:rsidP="000C0250">
            <w:pPr>
              <w:spacing w:after="0"/>
              <w:rPr>
                <w:rFonts w:cstheme="minorHAnsi"/>
              </w:rPr>
            </w:pPr>
            <w:r>
              <w:rPr>
                <w:rFonts w:ascii="Calibri" w:hAnsi="Calibri" w:cs="Calibri"/>
              </w:rPr>
              <w:t>Ekspertët e Reformës së Arsimit të Lartë/Higher Education Reform Experts</w:t>
            </w:r>
          </w:p>
        </w:tc>
      </w:tr>
      <w:tr w:rsidR="00F32356" w:rsidRPr="00E97254" w:rsidTr="00D07643">
        <w:tc>
          <w:tcPr>
            <w:tcW w:w="1645" w:type="dxa"/>
            <w:tcBorders>
              <w:top w:val="nil"/>
              <w:left w:val="nil"/>
              <w:bottom w:val="nil"/>
              <w:right w:val="nil"/>
            </w:tcBorders>
          </w:tcPr>
          <w:p w:rsidR="00F32356" w:rsidRPr="00E97254" w:rsidRDefault="004E1F53" w:rsidP="000C0250">
            <w:pPr>
              <w:spacing w:after="0"/>
              <w:jc w:val="both"/>
              <w:rPr>
                <w:rFonts w:cstheme="minorHAnsi"/>
              </w:rPr>
            </w:pPr>
            <w:r>
              <w:rPr>
                <w:rFonts w:cstheme="minorHAnsi"/>
              </w:rPr>
              <w:t>IAL</w:t>
            </w:r>
          </w:p>
        </w:tc>
        <w:tc>
          <w:tcPr>
            <w:tcW w:w="7715" w:type="dxa"/>
            <w:tcBorders>
              <w:top w:val="nil"/>
              <w:left w:val="nil"/>
              <w:bottom w:val="nil"/>
              <w:right w:val="nil"/>
            </w:tcBorders>
          </w:tcPr>
          <w:p w:rsidR="00F32356" w:rsidRPr="00E97254" w:rsidRDefault="004E1F53" w:rsidP="000C0250">
            <w:pPr>
              <w:spacing w:after="0"/>
              <w:rPr>
                <w:rFonts w:cstheme="minorHAnsi"/>
              </w:rPr>
            </w:pPr>
            <w:r>
              <w:rPr>
                <w:rFonts w:cstheme="minorHAnsi"/>
              </w:rPr>
              <w:t>Institucioni i Arsimit të Lartë</w:t>
            </w:r>
          </w:p>
        </w:tc>
      </w:tr>
      <w:tr w:rsidR="00F32356" w:rsidRPr="00E97254" w:rsidTr="00D07643">
        <w:tc>
          <w:tcPr>
            <w:tcW w:w="1645" w:type="dxa"/>
            <w:tcBorders>
              <w:top w:val="nil"/>
              <w:left w:val="nil"/>
              <w:bottom w:val="nil"/>
              <w:right w:val="nil"/>
            </w:tcBorders>
          </w:tcPr>
          <w:p w:rsidR="00F32356" w:rsidRPr="00E97254" w:rsidRDefault="004E1F53" w:rsidP="000C0250">
            <w:pPr>
              <w:spacing w:after="0"/>
              <w:jc w:val="both"/>
              <w:rPr>
                <w:rFonts w:cstheme="minorHAnsi"/>
              </w:rPr>
            </w:pPr>
            <w:r>
              <w:rPr>
                <w:rFonts w:cstheme="minorHAnsi"/>
              </w:rPr>
              <w:t>INSTAT</w:t>
            </w:r>
          </w:p>
        </w:tc>
        <w:tc>
          <w:tcPr>
            <w:tcW w:w="7715" w:type="dxa"/>
            <w:tcBorders>
              <w:top w:val="nil"/>
              <w:left w:val="nil"/>
              <w:bottom w:val="nil"/>
              <w:right w:val="nil"/>
            </w:tcBorders>
          </w:tcPr>
          <w:p w:rsidR="00F32356" w:rsidRPr="00E97254" w:rsidRDefault="004E1F53" w:rsidP="000C0250">
            <w:pPr>
              <w:spacing w:after="0"/>
              <w:rPr>
                <w:rFonts w:cstheme="minorHAnsi"/>
              </w:rPr>
            </w:pPr>
            <w:r>
              <w:rPr>
                <w:rFonts w:cstheme="minorHAnsi"/>
              </w:rPr>
              <w:t>Instituti i Statistikave</w:t>
            </w:r>
          </w:p>
        </w:tc>
      </w:tr>
      <w:tr w:rsidR="00F32356" w:rsidRPr="00E97254" w:rsidTr="00D07643">
        <w:tc>
          <w:tcPr>
            <w:tcW w:w="1645" w:type="dxa"/>
            <w:tcBorders>
              <w:top w:val="nil"/>
              <w:left w:val="nil"/>
              <w:bottom w:val="nil"/>
              <w:right w:val="nil"/>
            </w:tcBorders>
          </w:tcPr>
          <w:p w:rsidR="00F32356" w:rsidRPr="00E97254" w:rsidRDefault="004E1F53" w:rsidP="000C0250">
            <w:pPr>
              <w:spacing w:after="0"/>
              <w:jc w:val="both"/>
              <w:rPr>
                <w:rFonts w:cstheme="minorHAnsi"/>
              </w:rPr>
            </w:pPr>
            <w:r>
              <w:rPr>
                <w:rFonts w:cstheme="minorHAnsi"/>
              </w:rPr>
              <w:t>ISHA</w:t>
            </w:r>
          </w:p>
        </w:tc>
        <w:tc>
          <w:tcPr>
            <w:tcW w:w="7715" w:type="dxa"/>
            <w:tcBorders>
              <w:top w:val="nil"/>
              <w:left w:val="nil"/>
              <w:bottom w:val="nil"/>
              <w:right w:val="nil"/>
            </w:tcBorders>
          </w:tcPr>
          <w:p w:rsidR="00F32356" w:rsidRPr="00E97254" w:rsidRDefault="004E1F53" w:rsidP="000C0250">
            <w:pPr>
              <w:spacing w:after="0"/>
              <w:rPr>
                <w:rFonts w:cstheme="minorHAnsi"/>
              </w:rPr>
            </w:pPr>
            <w:r>
              <w:rPr>
                <w:rFonts w:cstheme="minorHAnsi"/>
              </w:rPr>
              <w:t>Inspektorati Shtetëror i Arsimit</w:t>
            </w:r>
          </w:p>
        </w:tc>
      </w:tr>
      <w:tr w:rsidR="00F32356" w:rsidRPr="00E97254" w:rsidTr="00D07643">
        <w:tc>
          <w:tcPr>
            <w:tcW w:w="1645" w:type="dxa"/>
            <w:tcBorders>
              <w:top w:val="nil"/>
              <w:left w:val="nil"/>
              <w:bottom w:val="nil"/>
              <w:right w:val="nil"/>
            </w:tcBorders>
          </w:tcPr>
          <w:p w:rsidR="00F32356" w:rsidRPr="00E97254" w:rsidRDefault="004E1F53" w:rsidP="000C0250">
            <w:pPr>
              <w:spacing w:after="0"/>
              <w:jc w:val="both"/>
              <w:rPr>
                <w:rFonts w:cstheme="minorHAnsi"/>
              </w:rPr>
            </w:pPr>
            <w:r>
              <w:rPr>
                <w:rFonts w:cstheme="minorHAnsi"/>
              </w:rPr>
              <w:t>IZHA</w:t>
            </w:r>
          </w:p>
        </w:tc>
        <w:tc>
          <w:tcPr>
            <w:tcW w:w="7715" w:type="dxa"/>
            <w:tcBorders>
              <w:top w:val="nil"/>
              <w:left w:val="nil"/>
              <w:bottom w:val="nil"/>
              <w:right w:val="nil"/>
            </w:tcBorders>
          </w:tcPr>
          <w:p w:rsidR="00F32356" w:rsidRPr="00E97254" w:rsidRDefault="004E1F53" w:rsidP="000C0250">
            <w:pPr>
              <w:spacing w:after="0"/>
              <w:rPr>
                <w:rFonts w:cstheme="minorHAnsi"/>
              </w:rPr>
            </w:pPr>
            <w:r>
              <w:rPr>
                <w:rFonts w:cstheme="minorHAnsi"/>
              </w:rPr>
              <w:t>Instituti i Zhvillimit të Arsimit</w:t>
            </w:r>
          </w:p>
        </w:tc>
      </w:tr>
      <w:tr w:rsidR="00F32356" w:rsidRPr="00E97254" w:rsidTr="00D07643">
        <w:tc>
          <w:tcPr>
            <w:tcW w:w="1645" w:type="dxa"/>
            <w:tcBorders>
              <w:top w:val="nil"/>
              <w:left w:val="nil"/>
              <w:bottom w:val="nil"/>
              <w:right w:val="nil"/>
            </w:tcBorders>
          </w:tcPr>
          <w:p w:rsidR="00F32356" w:rsidRPr="00E97254" w:rsidRDefault="004E1F53" w:rsidP="000C0250">
            <w:pPr>
              <w:spacing w:after="0"/>
              <w:jc w:val="both"/>
              <w:rPr>
                <w:rFonts w:cstheme="minorHAnsi"/>
              </w:rPr>
            </w:pPr>
            <w:r>
              <w:rPr>
                <w:rFonts w:cstheme="minorHAnsi"/>
              </w:rPr>
              <w:t>KNSA/ISCED</w:t>
            </w:r>
          </w:p>
        </w:tc>
        <w:tc>
          <w:tcPr>
            <w:tcW w:w="7715" w:type="dxa"/>
            <w:tcBorders>
              <w:top w:val="nil"/>
              <w:left w:val="nil"/>
              <w:bottom w:val="nil"/>
              <w:right w:val="nil"/>
            </w:tcBorders>
          </w:tcPr>
          <w:p w:rsidR="00F32356" w:rsidRPr="00E97254" w:rsidRDefault="004E1F53" w:rsidP="000C0250">
            <w:pPr>
              <w:spacing w:after="0"/>
              <w:rPr>
                <w:rFonts w:cstheme="minorHAnsi"/>
              </w:rPr>
            </w:pPr>
            <w:r>
              <w:rPr>
                <w:rFonts w:cstheme="minorHAnsi"/>
              </w:rPr>
              <w:t xml:space="preserve">Klasifikimi Ndërkombëtar Standard i Arsimit/International Standard Classification of Education </w:t>
            </w:r>
          </w:p>
        </w:tc>
      </w:tr>
      <w:tr w:rsidR="00F32356" w:rsidRPr="00E97254" w:rsidTr="00D07643">
        <w:tc>
          <w:tcPr>
            <w:tcW w:w="1645" w:type="dxa"/>
            <w:tcBorders>
              <w:top w:val="nil"/>
              <w:left w:val="nil"/>
              <w:bottom w:val="nil"/>
              <w:right w:val="nil"/>
            </w:tcBorders>
          </w:tcPr>
          <w:p w:rsidR="00F32356" w:rsidRPr="00E97254" w:rsidRDefault="004E1F53" w:rsidP="000C0250">
            <w:pPr>
              <w:spacing w:after="0"/>
              <w:jc w:val="both"/>
              <w:rPr>
                <w:rFonts w:cstheme="minorHAnsi"/>
              </w:rPr>
            </w:pPr>
            <w:r>
              <w:rPr>
                <w:rFonts w:cstheme="minorHAnsi"/>
              </w:rPr>
              <w:t>KSHK</w:t>
            </w:r>
          </w:p>
        </w:tc>
        <w:tc>
          <w:tcPr>
            <w:tcW w:w="7715" w:type="dxa"/>
            <w:tcBorders>
              <w:top w:val="nil"/>
              <w:left w:val="nil"/>
              <w:bottom w:val="nil"/>
              <w:right w:val="nil"/>
            </w:tcBorders>
          </w:tcPr>
          <w:p w:rsidR="00F32356" w:rsidRPr="00E97254" w:rsidRDefault="004E1F53" w:rsidP="000C0250">
            <w:pPr>
              <w:spacing w:after="0"/>
              <w:rPr>
                <w:rFonts w:cstheme="minorHAnsi"/>
              </w:rPr>
            </w:pPr>
            <w:r>
              <w:rPr>
                <w:rFonts w:cstheme="minorHAnsi"/>
              </w:rPr>
              <w:t>Korniza Shqiptare e Kualifikimeve</w:t>
            </w:r>
          </w:p>
        </w:tc>
      </w:tr>
      <w:tr w:rsidR="00F32356" w:rsidRPr="00E97254" w:rsidTr="00D07643">
        <w:tc>
          <w:tcPr>
            <w:tcW w:w="1645" w:type="dxa"/>
            <w:tcBorders>
              <w:top w:val="nil"/>
              <w:left w:val="nil"/>
              <w:bottom w:val="nil"/>
              <w:right w:val="nil"/>
            </w:tcBorders>
          </w:tcPr>
          <w:p w:rsidR="00F32356" w:rsidRPr="00E97254" w:rsidRDefault="004E1F53" w:rsidP="000C0250">
            <w:pPr>
              <w:spacing w:after="0"/>
              <w:jc w:val="both"/>
              <w:rPr>
                <w:rFonts w:cstheme="minorHAnsi"/>
              </w:rPr>
            </w:pPr>
            <w:r>
              <w:rPr>
                <w:rFonts w:cstheme="minorHAnsi"/>
              </w:rPr>
              <w:t>LMS</w:t>
            </w:r>
          </w:p>
        </w:tc>
        <w:tc>
          <w:tcPr>
            <w:tcW w:w="7715" w:type="dxa"/>
            <w:tcBorders>
              <w:top w:val="nil"/>
              <w:left w:val="nil"/>
              <w:bottom w:val="nil"/>
              <w:right w:val="nil"/>
            </w:tcBorders>
          </w:tcPr>
          <w:p w:rsidR="00F32356" w:rsidRPr="00E97254" w:rsidRDefault="004E1F53" w:rsidP="00660937">
            <w:pPr>
              <w:spacing w:after="0"/>
              <w:rPr>
                <w:rFonts w:cstheme="minorHAnsi"/>
              </w:rPr>
            </w:pPr>
            <w:r>
              <w:rPr>
                <w:rFonts w:cstheme="minorHAnsi"/>
              </w:rPr>
              <w:t xml:space="preserve">Sistem për Menaxhimin </w:t>
            </w:r>
            <w:r w:rsidR="00A9722D">
              <w:rPr>
                <w:rFonts w:cstheme="minorHAnsi"/>
              </w:rPr>
              <w:t>e</w:t>
            </w:r>
            <w:r>
              <w:rPr>
                <w:rFonts w:cstheme="minorHAnsi"/>
              </w:rPr>
              <w:t xml:space="preserve"> </w:t>
            </w:r>
            <w:r w:rsidR="00660937">
              <w:rPr>
                <w:rFonts w:cstheme="minorHAnsi"/>
              </w:rPr>
              <w:t xml:space="preserve">të </w:t>
            </w:r>
            <w:r>
              <w:rPr>
                <w:rFonts w:cstheme="minorHAnsi"/>
              </w:rPr>
              <w:t>Nxënit/Learning Managment System</w:t>
            </w:r>
          </w:p>
        </w:tc>
      </w:tr>
      <w:tr w:rsidR="00F32356" w:rsidRPr="00E97254" w:rsidTr="00D07643">
        <w:tc>
          <w:tcPr>
            <w:tcW w:w="1645" w:type="dxa"/>
            <w:tcBorders>
              <w:top w:val="nil"/>
              <w:left w:val="nil"/>
              <w:bottom w:val="nil"/>
              <w:right w:val="nil"/>
            </w:tcBorders>
          </w:tcPr>
          <w:p w:rsidR="00F32356" w:rsidRPr="00E97254" w:rsidRDefault="004E1F53" w:rsidP="000C0250">
            <w:pPr>
              <w:spacing w:after="0"/>
              <w:jc w:val="both"/>
              <w:rPr>
                <w:rFonts w:cstheme="minorHAnsi"/>
              </w:rPr>
            </w:pPr>
            <w:r>
              <w:rPr>
                <w:rFonts w:cstheme="minorHAnsi"/>
              </w:rPr>
              <w:t>MASR</w:t>
            </w:r>
          </w:p>
        </w:tc>
        <w:tc>
          <w:tcPr>
            <w:tcW w:w="7715" w:type="dxa"/>
            <w:tcBorders>
              <w:top w:val="nil"/>
              <w:left w:val="nil"/>
              <w:bottom w:val="nil"/>
              <w:right w:val="nil"/>
            </w:tcBorders>
          </w:tcPr>
          <w:p w:rsidR="00F32356" w:rsidRPr="00E97254" w:rsidRDefault="004E1F53" w:rsidP="000C0250">
            <w:pPr>
              <w:spacing w:after="0"/>
              <w:rPr>
                <w:rFonts w:cstheme="minorHAnsi"/>
              </w:rPr>
            </w:pPr>
            <w:r>
              <w:rPr>
                <w:rFonts w:cstheme="minorHAnsi"/>
              </w:rPr>
              <w:t>Ministria e Arsimit, Sportit dhe Rinisë</w:t>
            </w:r>
          </w:p>
        </w:tc>
      </w:tr>
      <w:tr w:rsidR="00F32356" w:rsidRPr="00E97254" w:rsidTr="00D07643">
        <w:tc>
          <w:tcPr>
            <w:tcW w:w="1645" w:type="dxa"/>
          </w:tcPr>
          <w:p w:rsidR="00F32356" w:rsidRPr="00E97254" w:rsidRDefault="004E1F53" w:rsidP="000C0250">
            <w:pPr>
              <w:spacing w:after="0"/>
              <w:jc w:val="both"/>
              <w:rPr>
                <w:rFonts w:cstheme="minorHAnsi"/>
              </w:rPr>
            </w:pPr>
            <w:r>
              <w:rPr>
                <w:rFonts w:cstheme="minorHAnsi"/>
              </w:rPr>
              <w:t>MFE</w:t>
            </w:r>
          </w:p>
        </w:tc>
        <w:tc>
          <w:tcPr>
            <w:tcW w:w="7715" w:type="dxa"/>
          </w:tcPr>
          <w:p w:rsidR="00F32356" w:rsidRPr="00E97254" w:rsidRDefault="004E1F53" w:rsidP="000C0250">
            <w:pPr>
              <w:spacing w:after="0"/>
              <w:rPr>
                <w:rFonts w:cstheme="minorHAnsi"/>
              </w:rPr>
            </w:pPr>
            <w:r>
              <w:rPr>
                <w:rFonts w:cstheme="minorHAnsi"/>
              </w:rPr>
              <w:t>Ministria e Financave dhe Ekonomisë</w:t>
            </w:r>
          </w:p>
        </w:tc>
      </w:tr>
      <w:tr w:rsidR="00F32356" w:rsidRPr="00E97254" w:rsidTr="00D07643">
        <w:tc>
          <w:tcPr>
            <w:tcW w:w="1645" w:type="dxa"/>
          </w:tcPr>
          <w:p w:rsidR="00F32356" w:rsidRPr="00E97254" w:rsidRDefault="004E1F53" w:rsidP="000C0250">
            <w:pPr>
              <w:spacing w:after="0"/>
              <w:jc w:val="both"/>
              <w:rPr>
                <w:rFonts w:cstheme="minorHAnsi"/>
              </w:rPr>
            </w:pPr>
            <w:r>
              <w:rPr>
                <w:rFonts w:cstheme="minorHAnsi"/>
              </w:rPr>
              <w:lastRenderedPageBreak/>
              <w:t>NEET</w:t>
            </w:r>
          </w:p>
        </w:tc>
        <w:tc>
          <w:tcPr>
            <w:tcW w:w="7715" w:type="dxa"/>
          </w:tcPr>
          <w:p w:rsidR="00F32356" w:rsidRPr="00E97254" w:rsidRDefault="00FA5606" w:rsidP="000774C6">
            <w:pPr>
              <w:spacing w:after="0"/>
              <w:rPr>
                <w:rFonts w:cstheme="minorHAnsi"/>
              </w:rPr>
            </w:pPr>
            <w:r w:rsidRPr="00151DA0">
              <w:rPr>
                <w:rFonts w:cstheme="minorHAnsi"/>
              </w:rPr>
              <w:t>Jo në shkollë, në punë, ose në një trajnim profesional</w:t>
            </w:r>
            <w:r w:rsidR="00151DA0" w:rsidRPr="00151DA0">
              <w:rPr>
                <w:rFonts w:cstheme="minorHAnsi"/>
              </w:rPr>
              <w:t>//Not in employment, education or training</w:t>
            </w:r>
          </w:p>
        </w:tc>
      </w:tr>
      <w:tr w:rsidR="00F32356" w:rsidRPr="00E97254" w:rsidTr="00D07643">
        <w:tc>
          <w:tcPr>
            <w:tcW w:w="1645" w:type="dxa"/>
          </w:tcPr>
          <w:p w:rsidR="00F32356" w:rsidRPr="00E97254" w:rsidRDefault="0038226C" w:rsidP="000C0250">
            <w:pPr>
              <w:spacing w:after="0"/>
              <w:jc w:val="both"/>
              <w:rPr>
                <w:rFonts w:cstheme="minorHAnsi"/>
              </w:rPr>
            </w:pPr>
            <w:r>
              <w:rPr>
                <w:rFonts w:cstheme="minorHAnsi"/>
              </w:rPr>
              <w:t>RRN</w:t>
            </w:r>
          </w:p>
        </w:tc>
        <w:tc>
          <w:tcPr>
            <w:tcW w:w="7715" w:type="dxa"/>
          </w:tcPr>
          <w:p w:rsidR="00F32356" w:rsidRPr="00E97254" w:rsidRDefault="004E1F53" w:rsidP="000774C6">
            <w:pPr>
              <w:spacing w:after="0"/>
              <w:rPr>
                <w:rFonts w:cstheme="minorHAnsi"/>
              </w:rPr>
            </w:pPr>
            <w:r>
              <w:rPr>
                <w:rFonts w:cstheme="minorHAnsi"/>
              </w:rPr>
              <w:t>Raporti i Regjistrimeve </w:t>
            </w:r>
            <w:r>
              <w:rPr>
                <w:rFonts w:cstheme="minorHAnsi"/>
                <w:bCs/>
              </w:rPr>
              <w:t>Neto</w:t>
            </w:r>
            <w:r w:rsidR="00151DA0">
              <w:rPr>
                <w:rFonts w:cstheme="minorHAnsi"/>
                <w:bCs/>
              </w:rPr>
              <w:t>/</w:t>
            </w:r>
            <w:r w:rsidR="00151DA0">
              <w:rPr>
                <w:rFonts w:cstheme="minorHAnsi"/>
              </w:rPr>
              <w:t>/Net Enrolment Rate</w:t>
            </w:r>
          </w:p>
        </w:tc>
      </w:tr>
      <w:tr w:rsidR="00F32356" w:rsidRPr="00E97254" w:rsidTr="00D07643">
        <w:tc>
          <w:tcPr>
            <w:tcW w:w="1645" w:type="dxa"/>
          </w:tcPr>
          <w:p w:rsidR="00F32356" w:rsidRPr="00E97254" w:rsidRDefault="004E1F53" w:rsidP="000C0250">
            <w:pPr>
              <w:spacing w:after="0"/>
              <w:jc w:val="both"/>
              <w:rPr>
                <w:rFonts w:cstheme="minorHAnsi"/>
              </w:rPr>
            </w:pPr>
            <w:r>
              <w:rPr>
                <w:rFonts w:cstheme="minorHAnsi"/>
              </w:rPr>
              <w:t>NJQV</w:t>
            </w:r>
          </w:p>
        </w:tc>
        <w:tc>
          <w:tcPr>
            <w:tcW w:w="7715" w:type="dxa"/>
          </w:tcPr>
          <w:p w:rsidR="00F32356" w:rsidRPr="00E97254" w:rsidRDefault="00151DA0" w:rsidP="000C0250">
            <w:pPr>
              <w:spacing w:after="0"/>
              <w:rPr>
                <w:rFonts w:cstheme="minorHAnsi"/>
              </w:rPr>
            </w:pPr>
            <w:r>
              <w:rPr>
                <w:rFonts w:cstheme="minorHAnsi"/>
              </w:rPr>
              <w:t>Njësia e Vetëq</w:t>
            </w:r>
            <w:r w:rsidR="004E1F53">
              <w:rPr>
                <w:rFonts w:cstheme="minorHAnsi"/>
              </w:rPr>
              <w:t>everisjes Vendore</w:t>
            </w:r>
          </w:p>
        </w:tc>
      </w:tr>
      <w:tr w:rsidR="00F32356" w:rsidRPr="00E97254" w:rsidTr="00D07643">
        <w:tc>
          <w:tcPr>
            <w:tcW w:w="1645" w:type="dxa"/>
          </w:tcPr>
          <w:p w:rsidR="00F32356" w:rsidRPr="00E97254" w:rsidRDefault="004E1F53" w:rsidP="000C0250">
            <w:pPr>
              <w:spacing w:after="0"/>
              <w:jc w:val="both"/>
              <w:rPr>
                <w:rFonts w:cstheme="minorHAnsi"/>
              </w:rPr>
            </w:pPr>
            <w:r>
              <w:rPr>
                <w:rFonts w:cstheme="minorHAnsi"/>
              </w:rPr>
              <w:t>OECD</w:t>
            </w:r>
          </w:p>
        </w:tc>
        <w:tc>
          <w:tcPr>
            <w:tcW w:w="7715" w:type="dxa"/>
          </w:tcPr>
          <w:p w:rsidR="00F32356" w:rsidRPr="00E97254" w:rsidRDefault="004E1F53" w:rsidP="000C0250">
            <w:pPr>
              <w:spacing w:after="0"/>
              <w:rPr>
                <w:rFonts w:cstheme="minorHAnsi"/>
              </w:rPr>
            </w:pPr>
            <w:r>
              <w:rPr>
                <w:rFonts w:cstheme="minorHAnsi"/>
              </w:rPr>
              <w:t>Organizata për Bashkëpunim Ekonomik dhe Zhvillim/Organization for Economic Co-operation and Development</w:t>
            </w:r>
          </w:p>
        </w:tc>
      </w:tr>
      <w:tr w:rsidR="00F32356" w:rsidRPr="00E97254" w:rsidTr="00D07643">
        <w:tc>
          <w:tcPr>
            <w:tcW w:w="1645" w:type="dxa"/>
          </w:tcPr>
          <w:p w:rsidR="00F32356" w:rsidRPr="00E97254" w:rsidRDefault="004E1F53" w:rsidP="000C0250">
            <w:pPr>
              <w:spacing w:after="0"/>
              <w:jc w:val="both"/>
              <w:rPr>
                <w:rFonts w:cstheme="minorHAnsi"/>
              </w:rPr>
            </w:pPr>
            <w:r>
              <w:rPr>
                <w:rFonts w:cstheme="minorHAnsi"/>
              </w:rPr>
              <w:t>PBA</w:t>
            </w:r>
          </w:p>
        </w:tc>
        <w:tc>
          <w:tcPr>
            <w:tcW w:w="7715" w:type="dxa"/>
          </w:tcPr>
          <w:p w:rsidR="00F32356" w:rsidRPr="00E97254" w:rsidRDefault="004E1F53" w:rsidP="000C0250">
            <w:pPr>
              <w:spacing w:after="0"/>
              <w:rPr>
                <w:rFonts w:cstheme="minorHAnsi"/>
              </w:rPr>
            </w:pPr>
            <w:r>
              <w:rPr>
                <w:rFonts w:cstheme="minorHAnsi"/>
              </w:rPr>
              <w:t>Programi Buxhetor Afatmesëm</w:t>
            </w:r>
          </w:p>
        </w:tc>
      </w:tr>
      <w:tr w:rsidR="00F32356" w:rsidRPr="00E97254" w:rsidTr="00D07643">
        <w:tc>
          <w:tcPr>
            <w:tcW w:w="1645" w:type="dxa"/>
          </w:tcPr>
          <w:p w:rsidR="00F32356" w:rsidRPr="00E97254" w:rsidRDefault="004E1F53" w:rsidP="000C0250">
            <w:pPr>
              <w:spacing w:after="0"/>
              <w:jc w:val="both"/>
              <w:rPr>
                <w:rFonts w:cstheme="minorHAnsi"/>
              </w:rPr>
            </w:pPr>
            <w:r>
              <w:rPr>
                <w:rFonts w:cstheme="minorHAnsi"/>
              </w:rPr>
              <w:t>PBB</w:t>
            </w:r>
          </w:p>
        </w:tc>
        <w:tc>
          <w:tcPr>
            <w:tcW w:w="7715" w:type="dxa"/>
          </w:tcPr>
          <w:p w:rsidR="00F32356" w:rsidRPr="00E97254" w:rsidRDefault="004E1F53" w:rsidP="000C0250">
            <w:pPr>
              <w:spacing w:after="0"/>
              <w:rPr>
                <w:rFonts w:cstheme="minorHAnsi"/>
              </w:rPr>
            </w:pPr>
            <w:r>
              <w:rPr>
                <w:rFonts w:cstheme="minorHAnsi"/>
              </w:rPr>
              <w:t>Produkti i Brendshëm Bruto</w:t>
            </w:r>
          </w:p>
        </w:tc>
      </w:tr>
      <w:tr w:rsidR="00F32356" w:rsidRPr="00E97254" w:rsidTr="00D07643">
        <w:tc>
          <w:tcPr>
            <w:tcW w:w="1645" w:type="dxa"/>
          </w:tcPr>
          <w:p w:rsidR="00F32356" w:rsidRPr="00E97254" w:rsidRDefault="004E1F53" w:rsidP="000C0250">
            <w:pPr>
              <w:spacing w:after="0"/>
              <w:jc w:val="both"/>
              <w:rPr>
                <w:rFonts w:cstheme="minorHAnsi"/>
              </w:rPr>
            </w:pPr>
            <w:r>
              <w:rPr>
                <w:rFonts w:cstheme="minorHAnsi"/>
              </w:rPr>
              <w:t>PIRLS</w:t>
            </w:r>
          </w:p>
        </w:tc>
        <w:tc>
          <w:tcPr>
            <w:tcW w:w="7715" w:type="dxa"/>
          </w:tcPr>
          <w:p w:rsidR="00F32356" w:rsidRPr="00E97254" w:rsidRDefault="004E1F53" w:rsidP="000C0250">
            <w:pPr>
              <w:spacing w:after="0"/>
              <w:rPr>
                <w:rFonts w:cstheme="minorHAnsi"/>
              </w:rPr>
            </w:pPr>
            <w:r>
              <w:rPr>
                <w:rFonts w:ascii="Calibri" w:hAnsi="Calibri" w:cs="Calibri"/>
              </w:rPr>
              <w:t>Progresi i Studimit Ndërkombëtar në Lexim /Progress in International Reading Literacy Study</w:t>
            </w:r>
          </w:p>
        </w:tc>
      </w:tr>
      <w:tr w:rsidR="00F32356" w:rsidRPr="00E97254" w:rsidTr="00D07643">
        <w:tc>
          <w:tcPr>
            <w:tcW w:w="1645" w:type="dxa"/>
          </w:tcPr>
          <w:p w:rsidR="00F32356" w:rsidRPr="00E97254" w:rsidRDefault="004E1F53" w:rsidP="000C0250">
            <w:pPr>
              <w:spacing w:after="0"/>
              <w:jc w:val="both"/>
              <w:rPr>
                <w:rFonts w:cstheme="minorHAnsi"/>
              </w:rPr>
            </w:pPr>
            <w:r>
              <w:rPr>
                <w:rFonts w:cstheme="minorHAnsi"/>
              </w:rPr>
              <w:t>PISA</w:t>
            </w:r>
          </w:p>
        </w:tc>
        <w:tc>
          <w:tcPr>
            <w:tcW w:w="7715" w:type="dxa"/>
          </w:tcPr>
          <w:p w:rsidR="00F32356" w:rsidRPr="00E97254" w:rsidRDefault="004E1F53" w:rsidP="000C0250">
            <w:pPr>
              <w:spacing w:after="0"/>
              <w:rPr>
                <w:rFonts w:cstheme="minorHAnsi"/>
              </w:rPr>
            </w:pPr>
            <w:r>
              <w:rPr>
                <w:rFonts w:cstheme="minorHAnsi"/>
              </w:rPr>
              <w:t xml:space="preserve">Programi për Vlerësimin Ndërkombëtar të Nxënësve/Program for International Student Assessment </w:t>
            </w:r>
          </w:p>
        </w:tc>
      </w:tr>
      <w:tr w:rsidR="00F32356" w:rsidRPr="00E97254" w:rsidTr="00D07643">
        <w:tc>
          <w:tcPr>
            <w:tcW w:w="1645" w:type="dxa"/>
          </w:tcPr>
          <w:p w:rsidR="00F32356" w:rsidRPr="00E97254" w:rsidRDefault="004E1F53" w:rsidP="000C0250">
            <w:pPr>
              <w:spacing w:after="0"/>
              <w:jc w:val="both"/>
              <w:rPr>
                <w:rFonts w:cstheme="minorHAnsi"/>
              </w:rPr>
            </w:pPr>
            <w:r>
              <w:rPr>
                <w:rFonts w:cstheme="minorHAnsi"/>
              </w:rPr>
              <w:t>PKAB</w:t>
            </w:r>
          </w:p>
        </w:tc>
        <w:tc>
          <w:tcPr>
            <w:tcW w:w="7715" w:type="dxa"/>
          </w:tcPr>
          <w:p w:rsidR="00F32356" w:rsidRPr="00E97254" w:rsidRDefault="004E1F53" w:rsidP="000C0250">
            <w:pPr>
              <w:spacing w:after="0"/>
              <w:rPr>
                <w:rFonts w:cstheme="minorHAnsi"/>
              </w:rPr>
            </w:pPr>
            <w:r>
              <w:rPr>
                <w:rFonts w:cstheme="minorHAnsi"/>
              </w:rPr>
              <w:t>Provimet kombëtare të arsimit bazë</w:t>
            </w:r>
          </w:p>
        </w:tc>
      </w:tr>
      <w:tr w:rsidR="00F32356" w:rsidRPr="00E97254" w:rsidTr="00D07643">
        <w:tc>
          <w:tcPr>
            <w:tcW w:w="1645" w:type="dxa"/>
          </w:tcPr>
          <w:p w:rsidR="00F32356" w:rsidRPr="00E97254" w:rsidRDefault="004E1F53" w:rsidP="000C0250">
            <w:pPr>
              <w:spacing w:after="0"/>
              <w:jc w:val="both"/>
              <w:rPr>
                <w:rFonts w:cstheme="minorHAnsi"/>
              </w:rPr>
            </w:pPr>
            <w:r>
              <w:rPr>
                <w:rFonts w:cstheme="minorHAnsi"/>
              </w:rPr>
              <w:t>PKIE</w:t>
            </w:r>
          </w:p>
        </w:tc>
        <w:tc>
          <w:tcPr>
            <w:tcW w:w="7715" w:type="dxa"/>
          </w:tcPr>
          <w:p w:rsidR="00F32356" w:rsidRPr="00E97254" w:rsidRDefault="004E1F53" w:rsidP="000C0250">
            <w:pPr>
              <w:spacing w:after="0"/>
              <w:rPr>
                <w:rFonts w:cstheme="minorHAnsi"/>
              </w:rPr>
            </w:pPr>
            <w:r>
              <w:rPr>
                <w:rFonts w:cstheme="minorHAnsi"/>
              </w:rPr>
              <w:t>Plani Kombëtar i Integrimit Evropian</w:t>
            </w:r>
          </w:p>
        </w:tc>
      </w:tr>
      <w:tr w:rsidR="00F32356" w:rsidRPr="00E97254" w:rsidTr="00D07643">
        <w:tc>
          <w:tcPr>
            <w:tcW w:w="1645" w:type="dxa"/>
          </w:tcPr>
          <w:p w:rsidR="00F32356" w:rsidRPr="00E97254" w:rsidRDefault="004E1F53" w:rsidP="000C0250">
            <w:pPr>
              <w:spacing w:after="0"/>
              <w:jc w:val="both"/>
              <w:rPr>
                <w:rFonts w:cstheme="minorHAnsi"/>
              </w:rPr>
            </w:pPr>
            <w:r>
              <w:rPr>
                <w:rFonts w:cstheme="minorHAnsi"/>
              </w:rPr>
              <w:t>PSZ</w:t>
            </w:r>
          </w:p>
        </w:tc>
        <w:tc>
          <w:tcPr>
            <w:tcW w:w="7715" w:type="dxa"/>
          </w:tcPr>
          <w:p w:rsidR="00F32356" w:rsidRPr="00E97254" w:rsidRDefault="004E1F53" w:rsidP="000C0250">
            <w:pPr>
              <w:spacing w:after="0"/>
              <w:rPr>
                <w:rFonts w:cstheme="minorHAnsi"/>
              </w:rPr>
            </w:pPr>
            <w:r>
              <w:rPr>
                <w:rFonts w:cstheme="minorHAnsi"/>
              </w:rPr>
              <w:t>Programi i Statistikave Zyrtare</w:t>
            </w:r>
          </w:p>
        </w:tc>
      </w:tr>
      <w:tr w:rsidR="00F32356" w:rsidRPr="00E97254" w:rsidTr="00D07643">
        <w:tc>
          <w:tcPr>
            <w:tcW w:w="1645" w:type="dxa"/>
          </w:tcPr>
          <w:p w:rsidR="00F32356" w:rsidRPr="00E97254" w:rsidRDefault="004E1F53" w:rsidP="000C0250">
            <w:pPr>
              <w:spacing w:after="0"/>
              <w:jc w:val="both"/>
              <w:rPr>
                <w:rFonts w:cstheme="minorHAnsi"/>
              </w:rPr>
            </w:pPr>
            <w:r>
              <w:rPr>
                <w:rFonts w:cstheme="minorHAnsi"/>
              </w:rPr>
              <w:t>QSHA</w:t>
            </w:r>
          </w:p>
        </w:tc>
        <w:tc>
          <w:tcPr>
            <w:tcW w:w="7715" w:type="dxa"/>
          </w:tcPr>
          <w:p w:rsidR="00F32356" w:rsidRPr="00E97254" w:rsidRDefault="004E1F53" w:rsidP="000C0250">
            <w:pPr>
              <w:spacing w:after="0"/>
              <w:rPr>
                <w:rFonts w:cstheme="minorHAnsi"/>
              </w:rPr>
            </w:pPr>
            <w:r>
              <w:rPr>
                <w:rFonts w:cstheme="minorHAnsi"/>
              </w:rPr>
              <w:t>Qendra e Shërbimeve Arsimore</w:t>
            </w:r>
          </w:p>
        </w:tc>
      </w:tr>
      <w:tr w:rsidR="00F32356" w:rsidRPr="00E97254" w:rsidTr="00D07643">
        <w:tc>
          <w:tcPr>
            <w:tcW w:w="1645" w:type="dxa"/>
          </w:tcPr>
          <w:p w:rsidR="00F32356" w:rsidRPr="00E97254" w:rsidRDefault="004E1F53" w:rsidP="000C0250">
            <w:pPr>
              <w:spacing w:after="0"/>
              <w:jc w:val="both"/>
              <w:rPr>
                <w:rFonts w:cstheme="minorHAnsi"/>
              </w:rPr>
            </w:pPr>
            <w:r>
              <w:rPr>
                <w:rFonts w:cstheme="minorHAnsi"/>
              </w:rPr>
              <w:t>RASH</w:t>
            </w:r>
          </w:p>
        </w:tc>
        <w:tc>
          <w:tcPr>
            <w:tcW w:w="7715" w:type="dxa"/>
          </w:tcPr>
          <w:p w:rsidR="00F32356" w:rsidRPr="00E97254" w:rsidRDefault="004E1F53" w:rsidP="000C0250">
            <w:pPr>
              <w:spacing w:after="0"/>
              <w:rPr>
                <w:rFonts w:cstheme="minorHAnsi"/>
              </w:rPr>
            </w:pPr>
            <w:r>
              <w:rPr>
                <w:rFonts w:cstheme="minorHAnsi"/>
              </w:rPr>
              <w:t>Rrjeti Akademik Shqiptar</w:t>
            </w:r>
          </w:p>
        </w:tc>
      </w:tr>
      <w:tr w:rsidR="00F32356" w:rsidRPr="00E97254" w:rsidTr="00D07643">
        <w:tc>
          <w:tcPr>
            <w:tcW w:w="1645" w:type="dxa"/>
          </w:tcPr>
          <w:p w:rsidR="00F32356" w:rsidRPr="00E97254" w:rsidRDefault="004E1F53" w:rsidP="000C0250">
            <w:pPr>
              <w:spacing w:after="0"/>
              <w:jc w:val="both"/>
              <w:rPr>
                <w:rFonts w:cstheme="minorHAnsi"/>
              </w:rPr>
            </w:pPr>
            <w:r>
              <w:rPr>
                <w:rFonts w:cstheme="minorHAnsi"/>
              </w:rPr>
              <w:t>OZHQ</w:t>
            </w:r>
          </w:p>
        </w:tc>
        <w:tc>
          <w:tcPr>
            <w:tcW w:w="7715" w:type="dxa"/>
          </w:tcPr>
          <w:p w:rsidR="00F32356" w:rsidRPr="00E97254" w:rsidRDefault="004E1F53" w:rsidP="000774C6">
            <w:pPr>
              <w:spacing w:after="0"/>
              <w:rPr>
                <w:rFonts w:cstheme="minorHAnsi"/>
              </w:rPr>
            </w:pPr>
            <w:r>
              <w:rPr>
                <w:rFonts w:cstheme="minorHAnsi"/>
              </w:rPr>
              <w:t>Objektivat e Zhvillimit të Qëndrueshëm</w:t>
            </w:r>
            <w:r w:rsidR="00580FA5">
              <w:rPr>
                <w:rFonts w:cstheme="minorHAnsi"/>
              </w:rPr>
              <w:t>//Sustainable Development Goals</w:t>
            </w:r>
          </w:p>
        </w:tc>
      </w:tr>
      <w:tr w:rsidR="00F32356" w:rsidRPr="00E97254" w:rsidTr="00D07643">
        <w:tc>
          <w:tcPr>
            <w:tcW w:w="1645" w:type="dxa"/>
          </w:tcPr>
          <w:p w:rsidR="00F32356" w:rsidRPr="00E97254" w:rsidRDefault="004E1F53" w:rsidP="000C0250">
            <w:pPr>
              <w:spacing w:after="0"/>
              <w:jc w:val="both"/>
              <w:rPr>
                <w:rFonts w:cstheme="minorHAnsi"/>
              </w:rPr>
            </w:pPr>
            <w:r>
              <w:rPr>
                <w:rFonts w:cstheme="minorHAnsi"/>
              </w:rPr>
              <w:t>SELFIE</w:t>
            </w:r>
          </w:p>
        </w:tc>
        <w:tc>
          <w:tcPr>
            <w:tcW w:w="7715" w:type="dxa"/>
          </w:tcPr>
          <w:p w:rsidR="00F32356" w:rsidRPr="00E97254" w:rsidRDefault="004E1F53" w:rsidP="000C0250">
            <w:pPr>
              <w:spacing w:after="0"/>
              <w:rPr>
                <w:rFonts w:cstheme="minorHAnsi"/>
              </w:rPr>
            </w:pPr>
            <w:r>
              <w:rPr>
                <w:rFonts w:cstheme="minorHAnsi"/>
              </w:rPr>
              <w:t>Self-reflection on Effective Learning by Fostering the use of Innovative Educational Technologies</w:t>
            </w:r>
          </w:p>
        </w:tc>
      </w:tr>
      <w:tr w:rsidR="005208EE" w:rsidRPr="00E97254" w:rsidTr="00D07643">
        <w:tc>
          <w:tcPr>
            <w:tcW w:w="1645" w:type="dxa"/>
          </w:tcPr>
          <w:p w:rsidR="005208EE" w:rsidRPr="00E97254" w:rsidRDefault="004E1F53" w:rsidP="000C0250">
            <w:pPr>
              <w:spacing w:after="0"/>
              <w:jc w:val="both"/>
              <w:rPr>
                <w:rFonts w:cstheme="minorHAnsi"/>
              </w:rPr>
            </w:pPr>
            <w:r>
              <w:rPr>
                <w:rFonts w:cstheme="minorHAnsi"/>
              </w:rPr>
              <w:t>SHQK</w:t>
            </w:r>
          </w:p>
        </w:tc>
        <w:tc>
          <w:tcPr>
            <w:tcW w:w="7715" w:type="dxa"/>
          </w:tcPr>
          <w:p w:rsidR="005208EE" w:rsidRPr="00E97254" w:rsidRDefault="004E1F53" w:rsidP="000C0250">
            <w:pPr>
              <w:spacing w:after="0"/>
              <w:rPr>
                <w:rFonts w:cstheme="minorHAnsi"/>
              </w:rPr>
            </w:pPr>
            <w:r>
              <w:rPr>
                <w:rFonts w:cstheme="minorHAnsi"/>
              </w:rPr>
              <w:t>Shkolla-Qendër Komunitare</w:t>
            </w:r>
          </w:p>
        </w:tc>
      </w:tr>
      <w:tr w:rsidR="00F32356" w:rsidRPr="00E97254" w:rsidTr="00D07643">
        <w:tc>
          <w:tcPr>
            <w:tcW w:w="1645" w:type="dxa"/>
          </w:tcPr>
          <w:p w:rsidR="00F32356" w:rsidRPr="00E97254" w:rsidRDefault="004E1F53" w:rsidP="000C0250">
            <w:pPr>
              <w:spacing w:after="0"/>
              <w:jc w:val="both"/>
              <w:rPr>
                <w:rFonts w:cstheme="minorHAnsi"/>
              </w:rPr>
            </w:pPr>
            <w:r>
              <w:rPr>
                <w:rFonts w:cstheme="minorHAnsi"/>
              </w:rPr>
              <w:t>SKZHI II</w:t>
            </w:r>
          </w:p>
        </w:tc>
        <w:tc>
          <w:tcPr>
            <w:tcW w:w="7715" w:type="dxa"/>
          </w:tcPr>
          <w:p w:rsidR="00F32356" w:rsidRPr="00E97254" w:rsidRDefault="004E1F53" w:rsidP="000C0250">
            <w:pPr>
              <w:spacing w:after="0"/>
              <w:rPr>
                <w:rFonts w:cstheme="minorHAnsi"/>
              </w:rPr>
            </w:pPr>
            <w:r>
              <w:rPr>
                <w:rFonts w:cstheme="minorHAnsi"/>
              </w:rPr>
              <w:t>Strategjia Kombëtare për Zhvillim dhe Integrim 2015-2020</w:t>
            </w:r>
          </w:p>
        </w:tc>
      </w:tr>
      <w:tr w:rsidR="00F32356" w:rsidRPr="00E97254" w:rsidTr="00D07643">
        <w:tc>
          <w:tcPr>
            <w:tcW w:w="1645" w:type="dxa"/>
          </w:tcPr>
          <w:p w:rsidR="00F32356" w:rsidRPr="00E97254" w:rsidRDefault="004E1F53" w:rsidP="000C0250">
            <w:pPr>
              <w:spacing w:after="0"/>
              <w:jc w:val="both"/>
              <w:rPr>
                <w:rFonts w:cstheme="minorHAnsi"/>
              </w:rPr>
            </w:pPr>
            <w:r>
              <w:rPr>
                <w:rFonts w:cstheme="minorHAnsi"/>
              </w:rPr>
              <w:t>SMIP</w:t>
            </w:r>
          </w:p>
        </w:tc>
        <w:tc>
          <w:tcPr>
            <w:tcW w:w="7715" w:type="dxa"/>
          </w:tcPr>
          <w:p w:rsidR="00F32356" w:rsidRPr="00E97254" w:rsidRDefault="004E1F53" w:rsidP="000C0250">
            <w:pPr>
              <w:spacing w:after="0"/>
              <w:rPr>
                <w:rFonts w:cstheme="minorHAnsi"/>
              </w:rPr>
            </w:pPr>
            <w:r>
              <w:rPr>
                <w:rFonts w:cstheme="minorHAnsi"/>
              </w:rPr>
              <w:t>Sistemi i Menaxhimit të Informacionit Parauniversitar</w:t>
            </w:r>
          </w:p>
        </w:tc>
      </w:tr>
      <w:tr w:rsidR="00F32356" w:rsidRPr="00E97254" w:rsidTr="00D07643">
        <w:tc>
          <w:tcPr>
            <w:tcW w:w="1645" w:type="dxa"/>
          </w:tcPr>
          <w:p w:rsidR="00F32356" w:rsidRPr="00E97254" w:rsidRDefault="004E1F53" w:rsidP="000C0250">
            <w:pPr>
              <w:spacing w:after="0"/>
              <w:jc w:val="both"/>
              <w:rPr>
                <w:rFonts w:cstheme="minorHAnsi"/>
              </w:rPr>
            </w:pPr>
            <w:r>
              <w:rPr>
                <w:rFonts w:cstheme="minorHAnsi"/>
              </w:rPr>
              <w:t>SMIAL</w:t>
            </w:r>
          </w:p>
        </w:tc>
        <w:tc>
          <w:tcPr>
            <w:tcW w:w="7715" w:type="dxa"/>
          </w:tcPr>
          <w:p w:rsidR="00F32356" w:rsidRPr="00E97254" w:rsidRDefault="004E1F53" w:rsidP="000C0250">
            <w:pPr>
              <w:spacing w:after="0"/>
              <w:rPr>
                <w:rFonts w:cstheme="minorHAnsi"/>
              </w:rPr>
            </w:pPr>
            <w:r>
              <w:rPr>
                <w:rFonts w:cstheme="minorHAnsi"/>
              </w:rPr>
              <w:t>Sistemi i Menaxhimit të Informacionit në Arsimin e Lartë</w:t>
            </w:r>
          </w:p>
        </w:tc>
      </w:tr>
      <w:tr w:rsidR="00F32356" w:rsidRPr="00E97254" w:rsidTr="00D07643">
        <w:tc>
          <w:tcPr>
            <w:tcW w:w="1645" w:type="dxa"/>
          </w:tcPr>
          <w:p w:rsidR="00F32356" w:rsidRPr="00E97254" w:rsidRDefault="004E1F53" w:rsidP="000C0250">
            <w:pPr>
              <w:spacing w:after="0"/>
              <w:jc w:val="both"/>
              <w:rPr>
                <w:rFonts w:cstheme="minorHAnsi"/>
              </w:rPr>
            </w:pPr>
            <w:r>
              <w:rPr>
                <w:rFonts w:cstheme="minorHAnsi"/>
              </w:rPr>
              <w:t>STEM</w:t>
            </w:r>
          </w:p>
        </w:tc>
        <w:tc>
          <w:tcPr>
            <w:tcW w:w="7715" w:type="dxa"/>
          </w:tcPr>
          <w:p w:rsidR="00F32356" w:rsidRPr="00E97254" w:rsidRDefault="004E1F53" w:rsidP="000C0250">
            <w:pPr>
              <w:spacing w:after="0"/>
              <w:rPr>
                <w:rFonts w:cstheme="minorHAnsi"/>
              </w:rPr>
            </w:pPr>
            <w:r>
              <w:rPr>
                <w:rFonts w:cstheme="minorHAnsi"/>
              </w:rPr>
              <w:t>Shkencë, Teknologji, Inxhinieri dhe Matematikë/Science, Technology, Engineering and Mathematics</w:t>
            </w:r>
          </w:p>
        </w:tc>
      </w:tr>
      <w:tr w:rsidR="00F32356" w:rsidRPr="00E97254" w:rsidTr="00D07643">
        <w:tc>
          <w:tcPr>
            <w:tcW w:w="1645" w:type="dxa"/>
          </w:tcPr>
          <w:p w:rsidR="00F32356" w:rsidRPr="00E97254" w:rsidRDefault="004E1F53" w:rsidP="000C0250">
            <w:pPr>
              <w:spacing w:after="0"/>
              <w:jc w:val="both"/>
              <w:rPr>
                <w:rFonts w:cstheme="minorHAnsi"/>
              </w:rPr>
            </w:pPr>
            <w:r>
              <w:rPr>
                <w:rFonts w:cstheme="minorHAnsi"/>
              </w:rPr>
              <w:t>SZHAPU</w:t>
            </w:r>
          </w:p>
        </w:tc>
        <w:tc>
          <w:tcPr>
            <w:tcW w:w="7715" w:type="dxa"/>
          </w:tcPr>
          <w:p w:rsidR="00F32356" w:rsidRPr="00E97254" w:rsidRDefault="004E1F53" w:rsidP="000C0250">
            <w:pPr>
              <w:spacing w:after="0"/>
              <w:rPr>
                <w:rFonts w:cstheme="minorHAnsi"/>
              </w:rPr>
            </w:pPr>
            <w:r>
              <w:rPr>
                <w:rFonts w:cstheme="minorHAnsi"/>
              </w:rPr>
              <w:t>Strategjia e Zhvillimit të Arsimit Parauniversitar 2014-2020</w:t>
            </w:r>
          </w:p>
        </w:tc>
      </w:tr>
      <w:tr w:rsidR="00F32356" w:rsidRPr="00E97254" w:rsidTr="00D07643">
        <w:tc>
          <w:tcPr>
            <w:tcW w:w="1645" w:type="dxa"/>
          </w:tcPr>
          <w:p w:rsidR="00F32356" w:rsidRPr="00E97254" w:rsidRDefault="004E1F53" w:rsidP="000C0250">
            <w:pPr>
              <w:spacing w:after="0"/>
              <w:jc w:val="both"/>
              <w:rPr>
                <w:rFonts w:cstheme="minorHAnsi"/>
              </w:rPr>
            </w:pPr>
            <w:r>
              <w:rPr>
                <w:rFonts w:cstheme="minorHAnsi"/>
              </w:rPr>
              <w:t>SQMBNj</w:t>
            </w:r>
          </w:p>
        </w:tc>
        <w:tc>
          <w:tcPr>
            <w:tcW w:w="7715" w:type="dxa"/>
          </w:tcPr>
          <w:p w:rsidR="00F32356" w:rsidRPr="00E97254" w:rsidRDefault="004E1F53" w:rsidP="000C0250">
            <w:pPr>
              <w:spacing w:after="0"/>
              <w:rPr>
                <w:rFonts w:cstheme="minorHAnsi"/>
              </w:rPr>
            </w:pPr>
            <w:r>
              <w:rPr>
                <w:rFonts w:cstheme="minorHAnsi"/>
              </w:rPr>
              <w:t>Softueri Qeveritar Menaxhimit të Burimeve Njerëzore</w:t>
            </w:r>
          </w:p>
        </w:tc>
      </w:tr>
      <w:tr w:rsidR="00F32356" w:rsidRPr="00E97254" w:rsidTr="00D07643">
        <w:tc>
          <w:tcPr>
            <w:tcW w:w="1645" w:type="dxa"/>
          </w:tcPr>
          <w:p w:rsidR="00F32356" w:rsidRPr="00E97254" w:rsidRDefault="004E1F53" w:rsidP="000C0250">
            <w:pPr>
              <w:spacing w:after="0"/>
              <w:jc w:val="both"/>
              <w:rPr>
                <w:rFonts w:cstheme="minorHAnsi"/>
              </w:rPr>
            </w:pPr>
            <w:r>
              <w:rPr>
                <w:rFonts w:cstheme="minorHAnsi"/>
              </w:rPr>
              <w:t>TIK</w:t>
            </w:r>
          </w:p>
        </w:tc>
        <w:tc>
          <w:tcPr>
            <w:tcW w:w="7715" w:type="dxa"/>
          </w:tcPr>
          <w:p w:rsidR="00F32356" w:rsidRPr="00E97254" w:rsidRDefault="004E1F53" w:rsidP="000C0250">
            <w:pPr>
              <w:spacing w:after="0"/>
              <w:rPr>
                <w:rFonts w:cstheme="minorHAnsi"/>
              </w:rPr>
            </w:pPr>
            <w:r>
              <w:rPr>
                <w:rFonts w:cstheme="minorHAnsi"/>
              </w:rPr>
              <w:t>Teknologjia e Informacionit dhe Komunikimit</w:t>
            </w:r>
          </w:p>
        </w:tc>
      </w:tr>
      <w:tr w:rsidR="00F32356" w:rsidRPr="00E97254" w:rsidTr="00D07643">
        <w:tc>
          <w:tcPr>
            <w:tcW w:w="1645" w:type="dxa"/>
          </w:tcPr>
          <w:p w:rsidR="00F32356" w:rsidRPr="00E97254" w:rsidRDefault="004E1F53" w:rsidP="000C0250">
            <w:pPr>
              <w:spacing w:after="0"/>
              <w:jc w:val="both"/>
              <w:rPr>
                <w:rFonts w:cstheme="minorHAnsi"/>
              </w:rPr>
            </w:pPr>
            <w:r>
              <w:rPr>
                <w:rFonts w:cstheme="minorHAnsi"/>
              </w:rPr>
              <w:t>TIMSS</w:t>
            </w:r>
          </w:p>
        </w:tc>
        <w:tc>
          <w:tcPr>
            <w:tcW w:w="7715" w:type="dxa"/>
          </w:tcPr>
          <w:p w:rsidR="00F32356" w:rsidRPr="00E97254" w:rsidRDefault="004E1F53" w:rsidP="000C0250">
            <w:pPr>
              <w:spacing w:after="0"/>
              <w:rPr>
                <w:rFonts w:cstheme="minorHAnsi"/>
              </w:rPr>
            </w:pPr>
            <w:r>
              <w:rPr>
                <w:rFonts w:cstheme="minorHAnsi"/>
              </w:rPr>
              <w:t>Prirjet e Studimit Ndërkombëtar në Matematikë dhe Shkencë /Trends in International Mathematics and Science Study</w:t>
            </w:r>
          </w:p>
        </w:tc>
      </w:tr>
      <w:tr w:rsidR="00F32356" w:rsidRPr="00E97254" w:rsidTr="00D07643">
        <w:tc>
          <w:tcPr>
            <w:tcW w:w="1645" w:type="dxa"/>
          </w:tcPr>
          <w:p w:rsidR="00F32356" w:rsidRPr="00E97254" w:rsidRDefault="004E1F53" w:rsidP="000C0250">
            <w:pPr>
              <w:spacing w:after="0"/>
              <w:jc w:val="both"/>
              <w:rPr>
                <w:rFonts w:cstheme="minorHAnsi"/>
              </w:rPr>
            </w:pPr>
            <w:r>
              <w:rPr>
                <w:rFonts w:cstheme="minorHAnsi"/>
              </w:rPr>
              <w:t>TM</w:t>
            </w:r>
          </w:p>
        </w:tc>
        <w:tc>
          <w:tcPr>
            <w:tcW w:w="7715" w:type="dxa"/>
          </w:tcPr>
          <w:p w:rsidR="00F32356" w:rsidRPr="00E97254" w:rsidRDefault="004E1F53" w:rsidP="000C0250">
            <w:pPr>
              <w:spacing w:after="0"/>
              <w:rPr>
                <w:rFonts w:cstheme="minorHAnsi"/>
              </w:rPr>
            </w:pPr>
            <w:r>
              <w:rPr>
                <w:rFonts w:cstheme="minorHAnsi"/>
              </w:rPr>
              <w:t>Tremujori</w:t>
            </w:r>
          </w:p>
        </w:tc>
      </w:tr>
      <w:tr w:rsidR="00F32356" w:rsidRPr="00E97254" w:rsidTr="00D07643">
        <w:tc>
          <w:tcPr>
            <w:tcW w:w="1645" w:type="dxa"/>
          </w:tcPr>
          <w:p w:rsidR="00F32356" w:rsidRPr="00E97254" w:rsidRDefault="004E1F53" w:rsidP="000C0250">
            <w:pPr>
              <w:spacing w:after="0"/>
              <w:jc w:val="both"/>
              <w:rPr>
                <w:rFonts w:cstheme="minorHAnsi"/>
              </w:rPr>
            </w:pPr>
            <w:r>
              <w:rPr>
                <w:rFonts w:cstheme="minorHAnsi"/>
              </w:rPr>
              <w:t>UNDP</w:t>
            </w:r>
          </w:p>
        </w:tc>
        <w:tc>
          <w:tcPr>
            <w:tcW w:w="7715" w:type="dxa"/>
          </w:tcPr>
          <w:p w:rsidR="00F32356" w:rsidRPr="00E97254" w:rsidRDefault="004E1F53" w:rsidP="0038226C">
            <w:pPr>
              <w:spacing w:after="0"/>
              <w:rPr>
                <w:rFonts w:cstheme="minorHAnsi"/>
              </w:rPr>
            </w:pPr>
            <w:r>
              <w:rPr>
                <w:rFonts w:cstheme="minorHAnsi"/>
              </w:rPr>
              <w:t>Programi i Kombeve të Bashkuara për Zhvillimin</w:t>
            </w:r>
            <w:r w:rsidR="00580FA5">
              <w:rPr>
                <w:rFonts w:cstheme="minorHAnsi"/>
              </w:rPr>
              <w:t>/United Nations Development Programme</w:t>
            </w:r>
            <w:r>
              <w:rPr>
                <w:rFonts w:cstheme="minorHAnsi"/>
              </w:rPr>
              <w:t xml:space="preserve"> </w:t>
            </w:r>
          </w:p>
        </w:tc>
      </w:tr>
      <w:tr w:rsidR="00F32356" w:rsidRPr="00E97254" w:rsidTr="00D07643">
        <w:tc>
          <w:tcPr>
            <w:tcW w:w="1645" w:type="dxa"/>
          </w:tcPr>
          <w:p w:rsidR="00F32356" w:rsidRPr="00E97254" w:rsidRDefault="004E1F53" w:rsidP="000C0250">
            <w:pPr>
              <w:spacing w:after="0"/>
              <w:jc w:val="both"/>
              <w:rPr>
                <w:rFonts w:cstheme="minorHAnsi"/>
              </w:rPr>
            </w:pPr>
            <w:r>
              <w:rPr>
                <w:rFonts w:cstheme="minorHAnsi"/>
              </w:rPr>
              <w:t>UNESCO</w:t>
            </w:r>
          </w:p>
        </w:tc>
        <w:tc>
          <w:tcPr>
            <w:tcW w:w="7715" w:type="dxa"/>
          </w:tcPr>
          <w:p w:rsidR="00F32356" w:rsidRPr="00E97254" w:rsidRDefault="004E1F53" w:rsidP="0038226C">
            <w:pPr>
              <w:spacing w:after="0"/>
              <w:rPr>
                <w:rFonts w:cstheme="minorHAnsi"/>
              </w:rPr>
            </w:pPr>
            <w:r>
              <w:rPr>
                <w:rFonts w:cstheme="minorHAnsi"/>
              </w:rPr>
              <w:t>Organizata e Kombeve të Bashkuara për Edukimin, Shkencën dhe Kulturën</w:t>
            </w:r>
          </w:p>
        </w:tc>
      </w:tr>
      <w:tr w:rsidR="00F32356" w:rsidRPr="00E97254" w:rsidTr="00D07643">
        <w:tc>
          <w:tcPr>
            <w:tcW w:w="1645" w:type="dxa"/>
          </w:tcPr>
          <w:p w:rsidR="00F32356" w:rsidRPr="00E97254" w:rsidRDefault="004E1F53" w:rsidP="000C0250">
            <w:pPr>
              <w:spacing w:after="0"/>
              <w:jc w:val="both"/>
              <w:rPr>
                <w:rFonts w:cstheme="minorHAnsi"/>
              </w:rPr>
            </w:pPr>
            <w:r>
              <w:rPr>
                <w:rFonts w:cstheme="minorHAnsi"/>
              </w:rPr>
              <w:t>UNICEF</w:t>
            </w:r>
          </w:p>
        </w:tc>
        <w:tc>
          <w:tcPr>
            <w:tcW w:w="7715" w:type="dxa"/>
          </w:tcPr>
          <w:p w:rsidR="00F32356" w:rsidRPr="00E97254" w:rsidRDefault="004E1F53" w:rsidP="0038226C">
            <w:pPr>
              <w:spacing w:after="0"/>
              <w:rPr>
                <w:rFonts w:cstheme="minorHAnsi"/>
              </w:rPr>
            </w:pPr>
            <w:r>
              <w:rPr>
                <w:rFonts w:cstheme="minorHAnsi"/>
              </w:rPr>
              <w:t>Fondi i Kombeve të Bashkuara për Fëmijët</w:t>
            </w:r>
          </w:p>
        </w:tc>
      </w:tr>
      <w:tr w:rsidR="00F32356" w:rsidRPr="00E97254" w:rsidTr="00D07643">
        <w:tc>
          <w:tcPr>
            <w:tcW w:w="1645" w:type="dxa"/>
          </w:tcPr>
          <w:p w:rsidR="00F32356" w:rsidRPr="00E97254" w:rsidRDefault="004E1F53" w:rsidP="000C0250">
            <w:pPr>
              <w:spacing w:after="0"/>
              <w:jc w:val="both"/>
              <w:rPr>
                <w:rFonts w:cstheme="minorHAnsi"/>
              </w:rPr>
            </w:pPr>
            <w:r>
              <w:rPr>
                <w:rFonts w:cstheme="minorHAnsi"/>
              </w:rPr>
              <w:t>VANAF</w:t>
            </w:r>
          </w:p>
        </w:tc>
        <w:tc>
          <w:tcPr>
            <w:tcW w:w="7715" w:type="dxa"/>
          </w:tcPr>
          <w:p w:rsidR="00F32356" w:rsidRPr="00E97254" w:rsidRDefault="004E1F53" w:rsidP="000C0250">
            <w:pPr>
              <w:spacing w:after="0"/>
              <w:rPr>
                <w:rFonts w:cstheme="minorHAnsi"/>
              </w:rPr>
            </w:pPr>
            <w:r>
              <w:rPr>
                <w:rFonts w:cstheme="minorHAnsi"/>
              </w:rPr>
              <w:t>Vlerësimi i arritjeve të nxënësve në arsimin fillor</w:t>
            </w:r>
          </w:p>
        </w:tc>
      </w:tr>
      <w:tr w:rsidR="00F32356" w:rsidRPr="00E97254" w:rsidTr="00D07643">
        <w:tc>
          <w:tcPr>
            <w:tcW w:w="1645" w:type="dxa"/>
          </w:tcPr>
          <w:p w:rsidR="00F32356" w:rsidRPr="00E97254" w:rsidRDefault="004E1F53" w:rsidP="000C0250">
            <w:pPr>
              <w:spacing w:after="0"/>
              <w:jc w:val="both"/>
              <w:rPr>
                <w:rFonts w:cstheme="minorHAnsi"/>
              </w:rPr>
            </w:pPr>
            <w:r>
              <w:rPr>
                <w:rFonts w:cstheme="minorHAnsi"/>
              </w:rPr>
              <w:t>VKM</w:t>
            </w:r>
          </w:p>
        </w:tc>
        <w:tc>
          <w:tcPr>
            <w:tcW w:w="7715" w:type="dxa"/>
          </w:tcPr>
          <w:p w:rsidR="00F32356" w:rsidRPr="00E97254" w:rsidRDefault="004E1F53" w:rsidP="000C0250">
            <w:pPr>
              <w:spacing w:after="0"/>
              <w:rPr>
                <w:rFonts w:cstheme="minorHAnsi"/>
              </w:rPr>
            </w:pPr>
            <w:r>
              <w:rPr>
                <w:rFonts w:cstheme="minorHAnsi"/>
              </w:rPr>
              <w:t>Vendim i Këshillit të Ministrave</w:t>
            </w:r>
          </w:p>
        </w:tc>
      </w:tr>
      <w:tr w:rsidR="00F32356" w:rsidRPr="00E97254" w:rsidTr="00D07643">
        <w:tc>
          <w:tcPr>
            <w:tcW w:w="1645" w:type="dxa"/>
          </w:tcPr>
          <w:p w:rsidR="00F32356" w:rsidRPr="00E97254" w:rsidRDefault="004E1F53" w:rsidP="000C0250">
            <w:pPr>
              <w:spacing w:after="0"/>
              <w:jc w:val="both"/>
              <w:rPr>
                <w:rFonts w:cstheme="minorHAnsi"/>
              </w:rPr>
            </w:pPr>
            <w:r>
              <w:rPr>
                <w:rFonts w:cstheme="minorHAnsi"/>
              </w:rPr>
              <w:t>ZVAP</w:t>
            </w:r>
          </w:p>
        </w:tc>
        <w:tc>
          <w:tcPr>
            <w:tcW w:w="7715" w:type="dxa"/>
          </w:tcPr>
          <w:p w:rsidR="00F32356" w:rsidRPr="00E97254" w:rsidRDefault="004E1F53" w:rsidP="000C0250">
            <w:pPr>
              <w:spacing w:after="0"/>
              <w:rPr>
                <w:rFonts w:cstheme="minorHAnsi"/>
              </w:rPr>
            </w:pPr>
            <w:r>
              <w:rPr>
                <w:rFonts w:cstheme="minorHAnsi"/>
              </w:rPr>
              <w:t>Zyra Vendore e Arsimit Parauniversitar</w:t>
            </w:r>
          </w:p>
        </w:tc>
      </w:tr>
    </w:tbl>
    <w:p w:rsidR="00F32356" w:rsidRPr="00E97254" w:rsidRDefault="00F32356" w:rsidP="000C0250">
      <w:pPr>
        <w:jc w:val="both"/>
      </w:pPr>
    </w:p>
    <w:p w:rsidR="00F32356" w:rsidRPr="00E97254" w:rsidRDefault="00F32356" w:rsidP="000C0250"/>
    <w:p w:rsidR="00F62107" w:rsidRPr="00E97254" w:rsidRDefault="004E1F53" w:rsidP="000C0250">
      <w:pPr>
        <w:spacing w:before="60" w:after="0"/>
        <w:jc w:val="both"/>
        <w:rPr>
          <w:color w:val="548DD4" w:themeColor="text2" w:themeTint="99"/>
        </w:rPr>
      </w:pPr>
      <w:bookmarkStart w:id="3" w:name="_Toc66801975"/>
      <w:r>
        <w:rPr>
          <w:b/>
          <w:color w:val="548DD4" w:themeColor="text2" w:themeTint="99"/>
        </w:rPr>
        <w:t>PJESA I- KONTEKSTI</w:t>
      </w:r>
      <w:r>
        <w:rPr>
          <w:color w:val="548DD4" w:themeColor="text2" w:themeTint="99"/>
        </w:rPr>
        <w:t xml:space="preserve"> </w:t>
      </w:r>
      <w:r>
        <w:rPr>
          <w:b/>
          <w:color w:val="548DD4" w:themeColor="text2" w:themeTint="99"/>
        </w:rPr>
        <w:t>STRATEGJIK</w:t>
      </w:r>
      <w:bookmarkEnd w:id="3"/>
      <w:r>
        <w:rPr>
          <w:b/>
          <w:color w:val="548DD4" w:themeColor="text2" w:themeTint="99"/>
        </w:rPr>
        <w:t xml:space="preserve">   </w:t>
      </w:r>
      <w:r>
        <w:rPr>
          <w:color w:val="548DD4" w:themeColor="text2" w:themeTint="99"/>
        </w:rPr>
        <w:t xml:space="preserve">                                                                                                                                                   </w:t>
      </w:r>
    </w:p>
    <w:p w:rsidR="00F62107" w:rsidRPr="00E97254" w:rsidRDefault="004E1F53" w:rsidP="000C0250">
      <w:pPr>
        <w:spacing w:before="60" w:after="0"/>
        <w:jc w:val="both"/>
      </w:pPr>
      <w:r>
        <w:rPr>
          <w:rFonts w:ascii="Calibri" w:hAnsi="Calibri" w:cs="Calibri"/>
        </w:rPr>
        <w:t xml:space="preserve">Cikli i ri i planifikimit </w:t>
      </w:r>
      <w:r w:rsidR="00DA6DFD">
        <w:rPr>
          <w:rFonts w:ascii="Calibri" w:hAnsi="Calibri" w:cs="Calibri"/>
        </w:rPr>
        <w:t xml:space="preserve">për </w:t>
      </w:r>
      <w:r>
        <w:rPr>
          <w:rFonts w:ascii="Calibri" w:hAnsi="Calibri" w:cs="Calibri"/>
        </w:rPr>
        <w:t>arsim</w:t>
      </w:r>
      <w:r w:rsidR="00DA6DFD">
        <w:rPr>
          <w:rFonts w:ascii="Calibri" w:hAnsi="Calibri" w:cs="Calibri"/>
        </w:rPr>
        <w:t>in</w:t>
      </w:r>
      <w:r>
        <w:rPr>
          <w:rFonts w:ascii="Calibri" w:hAnsi="Calibri" w:cs="Calibri"/>
        </w:rPr>
        <w:t xml:space="preserve"> </w:t>
      </w:r>
      <w:r w:rsidR="00DA6DFD">
        <w:rPr>
          <w:rFonts w:ascii="Calibri" w:hAnsi="Calibri" w:cs="Calibri"/>
        </w:rPr>
        <w:t xml:space="preserve">ka filluar </w:t>
      </w:r>
      <w:r>
        <w:rPr>
          <w:rFonts w:ascii="Calibri" w:hAnsi="Calibri" w:cs="Calibri"/>
        </w:rPr>
        <w:t xml:space="preserve">në </w:t>
      </w:r>
      <w:r w:rsidR="00DA6DFD">
        <w:rPr>
          <w:rFonts w:ascii="Calibri" w:hAnsi="Calibri" w:cs="Calibri"/>
        </w:rPr>
        <w:t xml:space="preserve">një çast </w:t>
      </w:r>
      <w:r>
        <w:rPr>
          <w:rFonts w:ascii="Calibri" w:hAnsi="Calibri" w:cs="Calibri"/>
        </w:rPr>
        <w:t xml:space="preserve">kur Republika e Shqipërisë ka bërë progres të ndjeshëm </w:t>
      </w:r>
      <w:r w:rsidR="00DA6DFD">
        <w:rPr>
          <w:rFonts w:ascii="Calibri" w:hAnsi="Calibri" w:cs="Calibri"/>
        </w:rPr>
        <w:t xml:space="preserve">për sa i përket </w:t>
      </w:r>
      <w:r>
        <w:rPr>
          <w:rFonts w:ascii="Calibri" w:hAnsi="Calibri" w:cs="Calibri"/>
        </w:rPr>
        <w:t>agjendë</w:t>
      </w:r>
      <w:r w:rsidR="00DA6DFD">
        <w:rPr>
          <w:rFonts w:ascii="Calibri" w:hAnsi="Calibri" w:cs="Calibri"/>
        </w:rPr>
        <w:t>s</w:t>
      </w:r>
      <w:r>
        <w:rPr>
          <w:rFonts w:ascii="Calibri" w:hAnsi="Calibri" w:cs="Calibri"/>
        </w:rPr>
        <w:t xml:space="preserve"> </w:t>
      </w:r>
      <w:r w:rsidR="00DA6DFD">
        <w:rPr>
          <w:rFonts w:ascii="Calibri" w:hAnsi="Calibri" w:cs="Calibri"/>
        </w:rPr>
        <w:t>së</w:t>
      </w:r>
      <w:r>
        <w:rPr>
          <w:rFonts w:ascii="Calibri" w:hAnsi="Calibri" w:cs="Calibri"/>
        </w:rPr>
        <w:t xml:space="preserve"> integrimit </w:t>
      </w:r>
      <w:r>
        <w:rPr>
          <w:rFonts w:cs="Calibri"/>
        </w:rPr>
        <w:t>evropian</w:t>
      </w:r>
      <w:r>
        <w:rPr>
          <w:rFonts w:ascii="Calibri" w:hAnsi="Calibri" w:cs="Calibri"/>
        </w:rPr>
        <w:t xml:space="preserve"> dhe është në pritje të fillimit të negociatave për anëtarësim në Bashkimin </w:t>
      </w:r>
      <w:r>
        <w:rPr>
          <w:rFonts w:cs="Calibri"/>
        </w:rPr>
        <w:t>Evropian</w:t>
      </w:r>
      <w:r>
        <w:rPr>
          <w:rFonts w:ascii="Calibri" w:hAnsi="Calibri" w:cs="Calibri"/>
        </w:rPr>
        <w:t xml:space="preserve">. </w:t>
      </w:r>
      <w:r w:rsidR="00DA6DFD">
        <w:rPr>
          <w:rFonts w:ascii="Calibri" w:hAnsi="Calibri" w:cs="Calibri"/>
        </w:rPr>
        <w:t xml:space="preserve">Duke pasur parasysh që viti </w:t>
      </w:r>
      <w:r>
        <w:rPr>
          <w:rFonts w:ascii="Calibri" w:hAnsi="Calibri" w:cs="Calibri"/>
        </w:rPr>
        <w:t xml:space="preserve">2020 ishte viti i fundit i zbatimit të Strategjisë Kombëtare për Zhvillim dhe Integrim 2015-2020 (SKZHI II), </w:t>
      </w:r>
      <w:r w:rsidR="00DA6DFD">
        <w:rPr>
          <w:rFonts w:ascii="Calibri" w:hAnsi="Calibri" w:cs="Calibri"/>
        </w:rPr>
        <w:t xml:space="preserve">i </w:t>
      </w:r>
      <w:r>
        <w:rPr>
          <w:rFonts w:ascii="Calibri" w:hAnsi="Calibri" w:cs="Calibri"/>
        </w:rPr>
        <w:t>Strategjisë për Zhvillimin e Arsimit Parauniversitar 2014-2020 dhe disa politikave të tjera të rëndësishme kombëtare që lidhen me zhvillimet në fushën e arsimit, si dhe bazuar në nevojën për planifikim cilësor, Ministria e Arsimit, Sportit dhe Rinisë (MASR) mori vendim për hartimin e Strategjisë Kombëtare të Arsimit 2021-2026, e cila do të integronte nënsektorët e arsimit parauniversitar dhe të arsimit të lartë</w:t>
      </w:r>
      <w:r>
        <w:rPr>
          <w:rFonts w:cs="Calibri"/>
        </w:rPr>
        <w:t>.</w:t>
      </w:r>
      <w:r>
        <w:rPr>
          <w:rFonts w:ascii="Calibri" w:hAnsi="Calibri" w:cs="Calibri"/>
        </w:rPr>
        <w:t xml:space="preserve"> Në aspektin e integrimit në BE, Strategjia Kombëtare e Arsimit 2021-2026 është në koherencë të plotë me objektivat </w:t>
      </w:r>
      <w:r w:rsidR="00513AF3">
        <w:rPr>
          <w:rFonts w:ascii="Calibri" w:hAnsi="Calibri" w:cs="Calibri"/>
        </w:rPr>
        <w:t xml:space="preserve">strategjike </w:t>
      </w:r>
      <w:r>
        <w:rPr>
          <w:rFonts w:ascii="Calibri" w:hAnsi="Calibri" w:cs="Calibri"/>
        </w:rPr>
        <w:t xml:space="preserve">të kornizës </w:t>
      </w:r>
      <w:r>
        <w:rPr>
          <w:rFonts w:cs="Calibri"/>
        </w:rPr>
        <w:t>Edukimi &amp;Trajnimi</w:t>
      </w:r>
      <w:r>
        <w:rPr>
          <w:rFonts w:ascii="Calibri" w:hAnsi="Calibri" w:cs="Calibri"/>
        </w:rPr>
        <w:t xml:space="preserve"> 2020  për bashkëpunim </w:t>
      </w:r>
      <w:r>
        <w:rPr>
          <w:rFonts w:cs="Calibri"/>
        </w:rPr>
        <w:t>midis</w:t>
      </w:r>
      <w:r>
        <w:rPr>
          <w:rFonts w:ascii="Calibri" w:hAnsi="Calibri" w:cs="Calibri"/>
        </w:rPr>
        <w:t xml:space="preserve"> vendeve të Bashkimit </w:t>
      </w:r>
      <w:r>
        <w:rPr>
          <w:rFonts w:cs="Calibri"/>
        </w:rPr>
        <w:t>Evropian</w:t>
      </w:r>
      <w:r>
        <w:rPr>
          <w:rFonts w:ascii="Calibri" w:hAnsi="Calibri" w:cs="Calibri"/>
        </w:rPr>
        <w:t xml:space="preserve"> në fushën e arsimit dhe të formimit, me Kuadrin e ri të BE</w:t>
      </w:r>
      <w:r w:rsidR="003A751F">
        <w:rPr>
          <w:rFonts w:ascii="Calibri" w:hAnsi="Calibri" w:cs="Calibri"/>
        </w:rPr>
        <w:t>-së</w:t>
      </w:r>
      <w:r>
        <w:rPr>
          <w:rFonts w:ascii="Calibri" w:hAnsi="Calibri" w:cs="Calibri"/>
        </w:rPr>
        <w:t xml:space="preserve"> për kompetencat kyçe për të nxënit gjatë gjithë jetës, si dhe me objektivin </w:t>
      </w:r>
      <w:r w:rsidR="00A50A43">
        <w:rPr>
          <w:rFonts w:ascii="Calibri" w:hAnsi="Calibri" w:cs="Calibri"/>
        </w:rPr>
        <w:t>OZHQ</w:t>
      </w:r>
      <w:r>
        <w:rPr>
          <w:rFonts w:ascii="Calibri" w:hAnsi="Calibri" w:cs="Calibri"/>
        </w:rPr>
        <w:t xml:space="preserve"> 4 të Agjendës 2030 për Zhvillim të Qëndrueshëm. </w:t>
      </w:r>
      <w:r>
        <w:t xml:space="preserve">                                                                                                                                                                  </w:t>
      </w:r>
    </w:p>
    <w:p w:rsidR="001B0AD5" w:rsidRPr="00E97254" w:rsidRDefault="004E1F53" w:rsidP="000C0250">
      <w:pPr>
        <w:spacing w:before="60" w:after="0"/>
        <w:jc w:val="both"/>
      </w:pPr>
      <w:r>
        <w:rPr>
          <w:rFonts w:ascii="Calibri" w:hAnsi="Calibri" w:cs="Calibri"/>
        </w:rPr>
        <w:t xml:space="preserve">Procesi i </w:t>
      </w:r>
      <w:r>
        <w:rPr>
          <w:rFonts w:cs="Calibri"/>
        </w:rPr>
        <w:t>hartimit</w:t>
      </w:r>
      <w:r>
        <w:rPr>
          <w:rFonts w:ascii="Calibri" w:hAnsi="Calibri" w:cs="Calibri"/>
        </w:rPr>
        <w:t xml:space="preserve"> të strategjisë, i mbështetur nga asistenca teknike e UNICEF, ka reflektuar </w:t>
      </w:r>
      <w:r w:rsidR="00753C65">
        <w:rPr>
          <w:rFonts w:ascii="Calibri" w:hAnsi="Calibri" w:cs="Calibri"/>
        </w:rPr>
        <w:t>rekomandimin</w:t>
      </w:r>
      <w:r>
        <w:rPr>
          <w:rFonts w:ascii="Calibri" w:hAnsi="Calibri" w:cs="Calibri"/>
        </w:rPr>
        <w:t xml:space="preserve"> e BE-së për analiza të qëndrueshme dhe </w:t>
      </w:r>
      <w:r w:rsidR="003A751F">
        <w:rPr>
          <w:rFonts w:ascii="Calibri" w:hAnsi="Calibri" w:cs="Calibri"/>
        </w:rPr>
        <w:t xml:space="preserve">të konsoliduara </w:t>
      </w:r>
      <w:r>
        <w:rPr>
          <w:rFonts w:ascii="Calibri" w:hAnsi="Calibri" w:cs="Calibri"/>
        </w:rPr>
        <w:t xml:space="preserve">të bazuara në </w:t>
      </w:r>
      <w:r w:rsidR="003A751F">
        <w:rPr>
          <w:rFonts w:ascii="Calibri" w:hAnsi="Calibri" w:cs="Calibri"/>
        </w:rPr>
        <w:t>evidenca</w:t>
      </w:r>
      <w:r>
        <w:rPr>
          <w:rFonts w:ascii="Calibri" w:hAnsi="Calibri" w:cs="Calibri"/>
        </w:rPr>
        <w:t xml:space="preserve">, si elemente kyç për diskutime politike të informuara dhe zhvillim të politikave në fushën e arsimit dhe aftësimit. Ndërkaq, procesi i planifikimit është karakterizuar </w:t>
      </w:r>
      <w:r w:rsidR="003A751F">
        <w:rPr>
          <w:rFonts w:ascii="Calibri" w:hAnsi="Calibri" w:cs="Calibri"/>
        </w:rPr>
        <w:t xml:space="preserve">nga </w:t>
      </w:r>
      <w:r>
        <w:rPr>
          <w:rFonts w:ascii="Calibri" w:hAnsi="Calibri" w:cs="Calibri"/>
        </w:rPr>
        <w:t>pjesëmarrj</w:t>
      </w:r>
      <w:r w:rsidR="003A751F">
        <w:rPr>
          <w:rFonts w:ascii="Calibri" w:hAnsi="Calibri" w:cs="Calibri"/>
        </w:rPr>
        <w:t>a</w:t>
      </w:r>
      <w:r>
        <w:rPr>
          <w:rFonts w:ascii="Calibri" w:hAnsi="Calibri" w:cs="Calibri"/>
        </w:rPr>
        <w:t xml:space="preserve"> aktive </w:t>
      </w:r>
      <w:r w:rsidR="003A751F">
        <w:rPr>
          <w:rFonts w:ascii="Calibri" w:hAnsi="Calibri" w:cs="Calibri"/>
        </w:rPr>
        <w:t xml:space="preserve">e </w:t>
      </w:r>
      <w:r>
        <w:rPr>
          <w:rFonts w:ascii="Calibri" w:hAnsi="Calibri" w:cs="Calibri"/>
        </w:rPr>
        <w:t>specialistëve të MASR</w:t>
      </w:r>
      <w:r w:rsidR="003A751F">
        <w:rPr>
          <w:rFonts w:ascii="Calibri" w:hAnsi="Calibri" w:cs="Calibri"/>
        </w:rPr>
        <w:t>-së</w:t>
      </w:r>
      <w:r>
        <w:rPr>
          <w:rFonts w:ascii="Calibri" w:hAnsi="Calibri" w:cs="Calibri"/>
        </w:rPr>
        <w:t xml:space="preserve">, ekspertëve të fushës dhe </w:t>
      </w:r>
      <w:r>
        <w:rPr>
          <w:rFonts w:cs="Calibri"/>
        </w:rPr>
        <w:t>grupeve</w:t>
      </w:r>
      <w:r>
        <w:rPr>
          <w:rFonts w:ascii="Calibri" w:hAnsi="Calibri" w:cs="Calibri"/>
        </w:rPr>
        <w:t xml:space="preserve"> të tjera </w:t>
      </w:r>
      <w:r>
        <w:rPr>
          <w:rFonts w:cs="Calibri"/>
        </w:rPr>
        <w:t>të interesit</w:t>
      </w:r>
      <w:r>
        <w:rPr>
          <w:rFonts w:ascii="Calibri" w:hAnsi="Calibri" w:cs="Calibri"/>
        </w:rPr>
        <w:t xml:space="preserve">, të cilët kanë kontribuar </w:t>
      </w:r>
      <w:r>
        <w:rPr>
          <w:rFonts w:cs="Calibri"/>
        </w:rPr>
        <w:t>në arritjen e</w:t>
      </w:r>
      <w:r>
        <w:rPr>
          <w:rFonts w:ascii="Calibri" w:hAnsi="Calibri" w:cs="Calibri"/>
        </w:rPr>
        <w:t xml:space="preserve"> një shkalle të lartë të pajtueshmërisë </w:t>
      </w:r>
      <w:r w:rsidR="003A751F">
        <w:rPr>
          <w:rFonts w:ascii="Calibri" w:hAnsi="Calibri" w:cs="Calibri"/>
        </w:rPr>
        <w:t xml:space="preserve">me </w:t>
      </w:r>
      <w:r>
        <w:rPr>
          <w:rFonts w:ascii="Calibri" w:hAnsi="Calibri" w:cs="Calibri"/>
        </w:rPr>
        <w:t xml:space="preserve">prioritetet strategjike dhe </w:t>
      </w:r>
      <w:r w:rsidR="003A751F">
        <w:rPr>
          <w:rFonts w:ascii="Calibri" w:hAnsi="Calibri" w:cs="Calibri"/>
        </w:rPr>
        <w:t xml:space="preserve">mënyrat </w:t>
      </w:r>
      <w:r>
        <w:rPr>
          <w:rFonts w:ascii="Calibri" w:hAnsi="Calibri" w:cs="Calibri"/>
        </w:rPr>
        <w:t xml:space="preserve">për </w:t>
      </w:r>
      <w:r w:rsidR="00A50A43">
        <w:rPr>
          <w:rFonts w:ascii="Calibri" w:hAnsi="Calibri" w:cs="Calibri"/>
        </w:rPr>
        <w:t>trajt</w:t>
      </w:r>
      <w:r>
        <w:rPr>
          <w:rFonts w:ascii="Calibri" w:hAnsi="Calibri" w:cs="Calibri"/>
        </w:rPr>
        <w:t xml:space="preserve">imin e tyre. Procesi i planifikimit është organizuar në 5 faza: 1) </w:t>
      </w:r>
      <w:r>
        <w:rPr>
          <w:rFonts w:ascii="Calibri" w:hAnsi="Calibri" w:cs="Calibri"/>
          <w:color w:val="222222"/>
        </w:rPr>
        <w:t xml:space="preserve">Faza përgatitore ku janë </w:t>
      </w:r>
      <w:r>
        <w:t xml:space="preserve">zhvilluar konsultime paraprake për metodologjinë e punës dhe formatin e strategjisë, si dhe janë formuar grupet e punës për hartimin e Strategjisë; 2) </w:t>
      </w:r>
      <w:r w:rsidR="00DC4C19">
        <w:t xml:space="preserve">Analiza e situatës </w:t>
      </w:r>
      <w:r w:rsidR="003A751F">
        <w:t xml:space="preserve">, </w:t>
      </w:r>
      <w:r>
        <w:t xml:space="preserve">e cila ka rezultuar me identifikimin e problemeve kryesore në fushën e arsimit që do të </w:t>
      </w:r>
      <w:r w:rsidR="00A50A43">
        <w:t>trajt</w:t>
      </w:r>
      <w:r>
        <w:t xml:space="preserve">ohen nga Strategjia; 3) Përcaktimi i sistemit të objektivave dhe veprimtarive kryesore të Strategjisë; 4) Kostimi i Strategjisë dhe hartimi i planit të zbatimit; dhe 5) Konsultimi publik dhe finalizimi i dokumentit. </w:t>
      </w:r>
    </w:p>
    <w:p w:rsidR="001B0AD5" w:rsidRPr="00E97254" w:rsidRDefault="003A44C5" w:rsidP="000C0250">
      <w:pPr>
        <w:spacing w:before="60" w:after="0"/>
        <w:jc w:val="both"/>
        <w:rPr>
          <w:rFonts w:ascii="Calibri" w:hAnsi="Calibri" w:cs="Calibri"/>
        </w:rPr>
      </w:pPr>
      <w:r>
        <w:rPr>
          <w:noProof/>
        </w:rPr>
        <mc:AlternateContent>
          <mc:Choice Requires="wps">
            <w:drawing>
              <wp:inline distT="0" distB="0" distL="0" distR="0">
                <wp:extent cx="5943600" cy="628650"/>
                <wp:effectExtent l="12700" t="12700" r="0" b="6350"/>
                <wp:docPr id="5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43600" cy="628650"/>
                        </a:xfrm>
                        <a:prstGeom prst="rect">
                          <a:avLst/>
                        </a:prstGeom>
                        <a:solidFill>
                          <a:srgbClr val="EBF1DE"/>
                        </a:solidFill>
                        <a:ln w="25400">
                          <a:solidFill>
                            <a:srgbClr val="8064A2"/>
                          </a:solidFill>
                          <a:miter lim="800000"/>
                          <a:headEnd/>
                          <a:tailEnd/>
                        </a:ln>
                      </wps:spPr>
                      <wps:txbx>
                        <w:txbxContent>
                          <w:p w:rsidR="00753C65" w:rsidRPr="00FE56FF" w:rsidRDefault="00753C65" w:rsidP="001B0AD5">
                            <w:pPr>
                              <w:pStyle w:val="Default"/>
                              <w:rPr>
                                <w:color w:val="FF0000"/>
                                <w:sz w:val="20"/>
                                <w:szCs w:val="22"/>
                              </w:rPr>
                            </w:pPr>
                            <w:r>
                              <w:rPr>
                                <w:sz w:val="22"/>
                              </w:rPr>
                              <w:t xml:space="preserve">VIZIONI: </w:t>
                            </w:r>
                            <w:r w:rsidRPr="00FE56FF">
                              <w:rPr>
                                <w:sz w:val="22"/>
                              </w:rPr>
                              <w:t>Sistem arsimor gjithëpërfshirës dhe i bazuar në parimet e barazisë dhe mësimit gjatë gjithë jetës,</w:t>
                            </w:r>
                            <w:r>
                              <w:rPr>
                                <w:sz w:val="22"/>
                              </w:rPr>
                              <w:t xml:space="preserve"> </w:t>
                            </w:r>
                            <w:r w:rsidRPr="00FE56FF">
                              <w:rPr>
                                <w:sz w:val="22"/>
                              </w:rPr>
                              <w:t>që mundëson formimin cilësor të të gjithë individëve, duke kontribuar në mirëqenien personale të tyre, si dhe në forcimin e demokracisë dhe integrimin e vendit në Bashkimin E</w:t>
                            </w:r>
                            <w:r>
                              <w:rPr>
                                <w:sz w:val="22"/>
                              </w:rPr>
                              <w:t>v</w:t>
                            </w:r>
                            <w:r w:rsidRPr="00FE56FF">
                              <w:rPr>
                                <w:sz w:val="22"/>
                              </w:rPr>
                              <w:t>ropian.</w:t>
                            </w:r>
                          </w:p>
                        </w:txbxContent>
                      </wps:txbx>
                      <wps:bodyPr rot="0" vert="horz" wrap="square" lIns="91440" tIns="45720" rIns="91440" bIns="45720" anchor="t" anchorCtr="0" upright="1">
                        <a:spAutoFit/>
                      </wps:bodyPr>
                    </wps:wsp>
                  </a:graphicData>
                </a:graphic>
              </wp:inline>
            </w:drawing>
          </mc:Choice>
          <mc:Fallback>
            <w:pict>
              <v:shapetype id="_x0000_t202" coordsize="21600,21600" o:spt="202" path="m,l,21600r21600,l21600,xe">
                <v:stroke joinstyle="miter"/>
                <v:path gradientshapeok="t" o:connecttype="rect"/>
              </v:shapetype>
              <v:shape id="Text Box 2" o:spid="_x0000_s1026" type="#_x0000_t202" style="width:468pt;height:4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" fillcolor="#ebf1de" strokecolor="#8064a2" strokeweight="2pt">
                <v:path arrowok="t"/>
                <v:textbox style="mso-fit-shape-to-text:t">
                  <w:txbxContent>
                    <w:p w:rsidR="00753C65" w:rsidRPr="00FE56FF" w:rsidRDefault="00753C65" w:rsidP="001B0AD5">
                      <w:pPr>
                        <w:pStyle w:val="Default"/>
                        <w:rPr>
                          <w:color w:val="FF0000"/>
                          <w:sz w:val="20"/>
                          <w:szCs w:val="22"/>
                        </w:rPr>
                      </w:pPr>
                      <w:r>
                        <w:rPr>
                          <w:sz w:val="22"/>
                        </w:rPr>
                        <w:t xml:space="preserve">VIZIONI: </w:t>
                      </w:r>
                      <w:r w:rsidRPr="00FE56FF">
                        <w:rPr>
                          <w:sz w:val="22"/>
                        </w:rPr>
                        <w:t>Sistem arsimor gjithëpërfshirës dhe i bazuar në parimet e barazisë dhe mësimit gjatë gjithë jetës,</w:t>
                      </w:r>
                      <w:r>
                        <w:rPr>
                          <w:sz w:val="22"/>
                        </w:rPr>
                        <w:t xml:space="preserve"> </w:t>
                      </w:r>
                      <w:r w:rsidRPr="00FE56FF">
                        <w:rPr>
                          <w:sz w:val="22"/>
                        </w:rPr>
                        <w:t>që mundëson formimin cilësor të të gjithë individëve, duke kontribuar në mirëqenien personale të tyre, si dhe në forcimin e demokracisë dhe integrimin e vendit në Bashkimin E</w:t>
                      </w:r>
                      <w:r>
                        <w:rPr>
                          <w:sz w:val="22"/>
                        </w:rPr>
                        <w:t>v</w:t>
                      </w:r>
                      <w:r w:rsidRPr="00FE56FF">
                        <w:rPr>
                          <w:sz w:val="22"/>
                        </w:rPr>
                        <w:t>ropian.</w:t>
                      </w:r>
                    </w:p>
                  </w:txbxContent>
                </v:textbox>
                <w10:anchorlock/>
              </v:shape>
            </w:pict>
          </mc:Fallback>
        </mc:AlternateContent>
      </w:r>
    </w:p>
    <w:p w:rsidR="001B0AD5" w:rsidRPr="00E97254" w:rsidRDefault="001B0AD5" w:rsidP="000C0250">
      <w:pPr>
        <w:spacing w:before="60" w:after="0"/>
        <w:jc w:val="both"/>
        <w:rPr>
          <w:rFonts w:ascii="Calibri" w:hAnsi="Calibri" w:cs="Calibri"/>
        </w:rPr>
      </w:pPr>
      <w:r w:rsidRPr="00E97254">
        <w:rPr>
          <w:rFonts w:ascii="Calibri" w:hAnsi="Calibri" w:cs="Calibri"/>
        </w:rPr>
        <w:t>Vizioni i MASR</w:t>
      </w:r>
      <w:r w:rsidR="00343664" w:rsidRPr="00E97254">
        <w:rPr>
          <w:rFonts w:ascii="Calibri" w:hAnsi="Calibri" w:cs="Calibri"/>
        </w:rPr>
        <w:t>-së</w:t>
      </w:r>
      <w:r w:rsidRPr="00E97254">
        <w:rPr>
          <w:rFonts w:ascii="Calibri" w:hAnsi="Calibri" w:cs="Calibri"/>
        </w:rPr>
        <w:t xml:space="preserve"> për sektorin e arsimit synon ndërtimin e një sistemi arsimor gjithëpërfshirës, i cili </w:t>
      </w:r>
      <w:r w:rsidR="00343664" w:rsidRPr="00E97254">
        <w:rPr>
          <w:rFonts w:ascii="Calibri" w:hAnsi="Calibri" w:cs="Calibri"/>
        </w:rPr>
        <w:t xml:space="preserve">trajton </w:t>
      </w:r>
      <w:r w:rsidRPr="00E97254">
        <w:rPr>
          <w:rFonts w:ascii="Calibri" w:hAnsi="Calibri" w:cs="Calibri"/>
        </w:rPr>
        <w:t>me sukses nevojat in</w:t>
      </w:r>
      <w:r w:rsidR="004E1F53">
        <w:rPr>
          <w:rFonts w:ascii="Calibri" w:hAnsi="Calibri" w:cs="Calibri"/>
        </w:rPr>
        <w:t xml:space="preserve">dividuale të të gjithë fëmijëve, nxënësve e studentëve, duke i trajtuar ata në mënyrë të barabartë dhe me respekt për diversitetin. Gjithëpërfshirja dhe barazia janë parakushte të domosdoshme për të siguruar formimin cilësor të të gjithë individëve dhe për të ngushtuar hendekun e arritjeve arsimore midis grupeve të ndryshme sociale. Strategjia bazohet në paradigmën e mësimit gjatë gjithë jetës, e cila </w:t>
      </w:r>
      <w:r w:rsidR="004E1F53">
        <w:rPr>
          <w:rFonts w:cs="Calibri"/>
        </w:rPr>
        <w:t>përfshin</w:t>
      </w:r>
      <w:r w:rsidR="004E1F53">
        <w:rPr>
          <w:rFonts w:ascii="Calibri" w:hAnsi="Calibri" w:cs="Calibri"/>
        </w:rPr>
        <w:t xml:space="preserve"> të gjitha fazat e të mësuarit, duke filluar nga arsimi parashkollor deri tek periudha pas </w:t>
      </w:r>
      <w:r w:rsidR="004E1F53">
        <w:rPr>
          <w:rFonts w:cs="Calibri"/>
        </w:rPr>
        <w:t>daljes në pension</w:t>
      </w:r>
      <w:r w:rsidR="004E1F53">
        <w:rPr>
          <w:rFonts w:ascii="Calibri" w:hAnsi="Calibri" w:cs="Calibri"/>
        </w:rPr>
        <w:t xml:space="preserve"> dhe mbulon të gjitha format e të mësuarit: formal, joformal dhe informal. Ky vizion është zbërthyer në tri qëllime të politikave: </w:t>
      </w:r>
    </w:p>
    <w:p w:rsidR="001B0AD5" w:rsidRPr="00E97254" w:rsidRDefault="004E1F53" w:rsidP="000C0250">
      <w:pPr>
        <w:spacing w:before="60" w:after="0"/>
        <w:jc w:val="both"/>
        <w:rPr>
          <w:rFonts w:ascii="Calibri" w:hAnsi="Calibri" w:cs="Calibri"/>
        </w:rPr>
      </w:pPr>
      <w:r>
        <w:rPr>
          <w:rFonts w:ascii="Calibri" w:hAnsi="Calibri" w:cs="Calibri"/>
          <w:b/>
        </w:rPr>
        <w:t>Qëllimi i politikës A:</w:t>
      </w:r>
      <w:r>
        <w:rPr>
          <w:rFonts w:ascii="Calibri" w:hAnsi="Calibri" w:cs="Calibri"/>
        </w:rPr>
        <w:t xml:space="preserve"> Arsim parauniversitar cilësor dhe gjithëpërfshirës që krijon kushte që nxënësit të zhvillojnë njohuri, shkathtësi, qëndrime dhe vlera në pajtim me kërkesat e shoqërisë demokratike; të </w:t>
      </w:r>
      <w:r>
        <w:rPr>
          <w:rFonts w:ascii="Calibri" w:hAnsi="Calibri" w:cs="Calibri"/>
        </w:rPr>
        <w:lastRenderedPageBreak/>
        <w:t>përballen në mënyrë konstruktive me sfidat e jetës, si dhe të kontribuojnë në ndërtimin e mirëqenies vetjake dhe të shoqërisë;</w:t>
      </w:r>
    </w:p>
    <w:p w:rsidR="001B0AD5" w:rsidRPr="00E97254" w:rsidRDefault="004E1F53" w:rsidP="000C0250">
      <w:pPr>
        <w:spacing w:before="60" w:after="0"/>
        <w:jc w:val="both"/>
        <w:rPr>
          <w:rFonts w:ascii="Calibri" w:hAnsi="Calibri" w:cs="Calibri"/>
        </w:rPr>
      </w:pPr>
      <w:r>
        <w:rPr>
          <w:rFonts w:ascii="Calibri" w:hAnsi="Calibri" w:cs="Calibri"/>
          <w:b/>
        </w:rPr>
        <w:t>Qëllimi i politikës B:</w:t>
      </w:r>
      <w:r>
        <w:rPr>
          <w:rFonts w:ascii="Calibri" w:hAnsi="Calibri" w:cs="Calibri"/>
        </w:rPr>
        <w:t xml:space="preserve"> Menaxhim efektiv dhe efecient i sistemit të arsimit në të gjitha nivelet, i bazuar në mekanizma funksionale për sigurimin e cilësisë, transparencës dhe llogaridhënies</w:t>
      </w:r>
    </w:p>
    <w:p w:rsidR="001B0AD5" w:rsidRPr="00E97254" w:rsidRDefault="004E1F53" w:rsidP="000C0250">
      <w:pPr>
        <w:spacing w:before="60" w:after="0"/>
        <w:jc w:val="both"/>
        <w:rPr>
          <w:rFonts w:ascii="Calibri" w:hAnsi="Calibri" w:cs="Calibri"/>
        </w:rPr>
      </w:pPr>
      <w:r>
        <w:rPr>
          <w:rFonts w:ascii="Calibri" w:hAnsi="Calibri" w:cs="Calibri"/>
          <w:b/>
        </w:rPr>
        <w:t>Qëllimi i politikës C:</w:t>
      </w:r>
      <w:r>
        <w:rPr>
          <w:rFonts w:ascii="Calibri" w:hAnsi="Calibri" w:cs="Calibri"/>
        </w:rPr>
        <w:t xml:space="preserve"> Arsim i lartë gjithëpërfshirës që plotëson standardet ndërkombëtare të cilësisë, integritetit akademik e transparencës, dhe është promotor i zhvillimit ekonomik dhe shoqëror të vendit</w:t>
      </w:r>
    </w:p>
    <w:p w:rsidR="001B0AD5" w:rsidRPr="00E97254" w:rsidRDefault="004E1F53" w:rsidP="000C0250">
      <w:pPr>
        <w:spacing w:before="60" w:after="0"/>
        <w:jc w:val="both"/>
        <w:rPr>
          <w:rFonts w:ascii="Calibri" w:hAnsi="Calibri" w:cs="Calibri"/>
        </w:rPr>
      </w:pPr>
      <w:r>
        <w:rPr>
          <w:rFonts w:ascii="Calibri" w:hAnsi="Calibri" w:cs="Calibri"/>
        </w:rPr>
        <w:t>Qëllimi i politikës A ndërlidhet me sistemin e arsimit parauniversitar dhe zbërthehet në 4 objektiva specifike:</w:t>
      </w:r>
    </w:p>
    <w:p w:rsidR="001B0AD5" w:rsidRPr="00E97254" w:rsidRDefault="004E1F53" w:rsidP="000C0250">
      <w:pPr>
        <w:spacing w:after="0"/>
        <w:jc w:val="both"/>
      </w:pPr>
      <w:r>
        <w:t xml:space="preserve">Objektivi specifik A1. Sigurohet përfshirja e plotë në klasën përgatitore dhe në arsimin e detyrueshëm, si dhe rritet aksesi në arsimin parashkollor dhe te mesëm të lartë, </w:t>
      </w:r>
      <w:r w:rsidR="00A50A43">
        <w:t>nëpërmjet</w:t>
      </w:r>
      <w:r>
        <w:t xml:space="preserve"> krijimit të kushteve të përshtatshme infrastrukturore dhe mjediseve shkollore miqësore.</w:t>
      </w:r>
    </w:p>
    <w:p w:rsidR="001B0AD5" w:rsidRPr="00E97254" w:rsidRDefault="004E1F53" w:rsidP="000C0250">
      <w:pPr>
        <w:spacing w:after="0"/>
        <w:jc w:val="both"/>
      </w:pPr>
      <w:r>
        <w:t>Objektivi specifik A2. Krijimi i mundësive për formimin cilësor të mësuesve dhe përmirësimi i sistemit të karrierës që i inkurajon ata të zhvillojnë nivele më të larta të aftësive për mësimdhënie.</w:t>
      </w:r>
    </w:p>
    <w:p w:rsidR="001B0AD5" w:rsidRPr="00E97254" w:rsidRDefault="004E1F53" w:rsidP="000C0250">
      <w:pPr>
        <w:spacing w:after="0"/>
        <w:jc w:val="both"/>
      </w:pPr>
      <w:r>
        <w:t>Objektivi specifik A3. Zbatimi i plotë i kurrikulës së bazuar në kompetenca n</w:t>
      </w:r>
      <w:r>
        <w:rPr>
          <w:rFonts w:ascii="Calibri" w:hAnsi="Calibri" w:cs="Calibri"/>
        </w:rPr>
        <w:t>ëpërmjet</w:t>
      </w:r>
      <w:r>
        <w:t xml:space="preserve"> mësimdhënies efektive dhe shfrytëzimit të burimeve të cilësisë së lartë.</w:t>
      </w:r>
    </w:p>
    <w:p w:rsidR="001B0AD5" w:rsidRPr="00E97254" w:rsidRDefault="004E1F53" w:rsidP="000C0250">
      <w:pPr>
        <w:spacing w:after="0"/>
        <w:jc w:val="both"/>
      </w:pPr>
      <w:r>
        <w:t>Objektivi specifik A4. Zhvillimi i kompetencës digjitale n</w:t>
      </w:r>
      <w:r>
        <w:rPr>
          <w:rFonts w:ascii="Calibri" w:hAnsi="Calibri" w:cs="Calibri"/>
        </w:rPr>
        <w:t>ëpërmjet</w:t>
      </w:r>
      <w:r>
        <w:t xml:space="preserve"> shfrytëzimit më të mirë të teknologjisë së informacionit dhe komunikimit për mësimdhënie dhe të m</w:t>
      </w:r>
      <w:r>
        <w:rPr>
          <w:rFonts w:ascii="Calibri" w:hAnsi="Calibri" w:cs="Calibri"/>
        </w:rPr>
        <w:t>ësuarin</w:t>
      </w:r>
      <w:r>
        <w:t>.</w:t>
      </w:r>
    </w:p>
    <w:p w:rsidR="001B0AD5" w:rsidRPr="00E97254" w:rsidRDefault="004E1F53" w:rsidP="000C0250">
      <w:pPr>
        <w:spacing w:before="60" w:after="0"/>
        <w:jc w:val="both"/>
        <w:rPr>
          <w:rFonts w:ascii="Calibri" w:hAnsi="Calibri" w:cs="Calibri"/>
        </w:rPr>
      </w:pPr>
      <w:r>
        <w:rPr>
          <w:rFonts w:ascii="Calibri" w:hAnsi="Calibri" w:cs="Calibri"/>
        </w:rPr>
        <w:t xml:space="preserve">Qëllimi i politikës B ka të bëjë me menaxhimin e sistemit të arsimit dhe zbërthehet në dy objektiva </w:t>
      </w:r>
      <w:r w:rsidR="00513AF3">
        <w:rPr>
          <w:rFonts w:ascii="Calibri" w:hAnsi="Calibri" w:cs="Calibri"/>
        </w:rPr>
        <w:t>specifike</w:t>
      </w:r>
      <w:r>
        <w:rPr>
          <w:rFonts w:ascii="Calibri" w:hAnsi="Calibri" w:cs="Calibri"/>
        </w:rPr>
        <w:t>:</w:t>
      </w:r>
    </w:p>
    <w:p w:rsidR="001B0AD5" w:rsidRPr="00E97254" w:rsidRDefault="004E1F53" w:rsidP="000C0250">
      <w:pPr>
        <w:spacing w:after="0"/>
        <w:jc w:val="both"/>
      </w:pPr>
      <w:r>
        <w:t>Objektivi specifik B1. Rritja e performancës së shkollës nëpërmjet drejtimit dhe menaxhimit profesional dhe të përgjegjshëm dhe sigurimit të cilësisë.</w:t>
      </w:r>
    </w:p>
    <w:p w:rsidR="001B0AD5" w:rsidRPr="00E97254" w:rsidRDefault="004E1F53" w:rsidP="000C0250">
      <w:pPr>
        <w:spacing w:after="0"/>
        <w:jc w:val="both"/>
      </w:pPr>
      <w:r>
        <w:t>Objektivi specifik B2. Garantimi i performancës së sistemit të arsimit nëpërmjet ndërtimit të një kornize gjithëpërfshirëse të vlerësimit dhe kapaciteteve për zbatimin e saj.</w:t>
      </w:r>
    </w:p>
    <w:p w:rsidR="001B0AD5" w:rsidRPr="00E97254" w:rsidRDefault="004E1F53" w:rsidP="000C0250">
      <w:pPr>
        <w:spacing w:before="60" w:after="0"/>
        <w:jc w:val="both"/>
        <w:rPr>
          <w:rFonts w:ascii="Calibri" w:hAnsi="Calibri" w:cs="Calibri"/>
        </w:rPr>
      </w:pPr>
      <w:r>
        <w:rPr>
          <w:rFonts w:ascii="Calibri" w:hAnsi="Calibri" w:cs="Calibri"/>
        </w:rPr>
        <w:t>Ndërkaq, qëllimi i politikës C mbulon fushën e arsimit të lartë dhe ka 7 objektiva specifike:</w:t>
      </w:r>
    </w:p>
    <w:p w:rsidR="001B0AD5" w:rsidRPr="00E97254" w:rsidRDefault="004E1F53" w:rsidP="000C0250">
      <w:pPr>
        <w:spacing w:after="0"/>
        <w:jc w:val="both"/>
        <w:rPr>
          <w:rFonts w:ascii="Calibri" w:hAnsi="Calibri" w:cs="Calibri"/>
        </w:rPr>
      </w:pPr>
      <w:r>
        <w:rPr>
          <w:rFonts w:ascii="Calibri" w:hAnsi="Calibri" w:cs="Calibri"/>
        </w:rPr>
        <w:t xml:space="preserve">Objektivi specifik C1. Rritja e cilësisë së arsimit të lartë </w:t>
      </w:r>
      <w:r>
        <w:t xml:space="preserve">nëpërmjet </w:t>
      </w:r>
      <w:r>
        <w:rPr>
          <w:rFonts w:cs="Calibri"/>
        </w:rPr>
        <w:t>riorganizimit</w:t>
      </w:r>
      <w:r>
        <w:rPr>
          <w:rFonts w:ascii="Calibri" w:hAnsi="Calibri" w:cs="Calibri"/>
        </w:rPr>
        <w:t xml:space="preserve"> të programeve të studimit, modernizimit të infrastrukturës akademike dhe aplikimit të standardeve të larta të vlerësimit institucional dhe të programeve të studimit.</w:t>
      </w:r>
    </w:p>
    <w:p w:rsidR="00D5577A" w:rsidRPr="00E97254" w:rsidRDefault="004E1F53" w:rsidP="000C0250">
      <w:pPr>
        <w:spacing w:after="0"/>
        <w:jc w:val="both"/>
        <w:rPr>
          <w:rFonts w:ascii="Calibri" w:hAnsi="Calibri" w:cs="Calibri"/>
        </w:rPr>
      </w:pPr>
      <w:r>
        <w:rPr>
          <w:rFonts w:ascii="Calibri" w:hAnsi="Calibri" w:cs="Calibri"/>
        </w:rPr>
        <w:t>Objektivi specifik C2. Nxitja e përsosmërisë në mësimdhënie dhe kërkim shkencor.</w:t>
      </w:r>
    </w:p>
    <w:p w:rsidR="001B0AD5" w:rsidRPr="00E97254" w:rsidRDefault="004E1F53" w:rsidP="000C0250">
      <w:pPr>
        <w:spacing w:after="0"/>
        <w:jc w:val="both"/>
        <w:rPr>
          <w:rFonts w:ascii="Calibri" w:hAnsi="Calibri" w:cs="Calibri"/>
        </w:rPr>
      </w:pPr>
      <w:r>
        <w:rPr>
          <w:rFonts w:ascii="Calibri" w:hAnsi="Calibri" w:cs="Calibri"/>
        </w:rPr>
        <w:t>Objektivi specifik C3. Ndërlidhja më e mirë e arsimit të lartë me tregun e punës.</w:t>
      </w:r>
    </w:p>
    <w:p w:rsidR="001B0AD5" w:rsidRPr="00E97254" w:rsidRDefault="004E1F53" w:rsidP="000C0250">
      <w:pPr>
        <w:spacing w:after="0"/>
        <w:jc w:val="both"/>
        <w:rPr>
          <w:rFonts w:ascii="Calibri" w:hAnsi="Calibri" w:cs="Calibri"/>
        </w:rPr>
      </w:pPr>
      <w:r>
        <w:rPr>
          <w:rFonts w:ascii="Calibri" w:hAnsi="Calibri" w:cs="Calibri"/>
        </w:rPr>
        <w:t>Objektivi specifik C4. Sigurimi i integritetit akademik, transparencës dhe llogaridhënies në sektorin e arsimit të lartë.</w:t>
      </w:r>
    </w:p>
    <w:p w:rsidR="001B0AD5" w:rsidRPr="00E97254" w:rsidRDefault="004E1F53" w:rsidP="000C0250">
      <w:pPr>
        <w:spacing w:after="0"/>
        <w:jc w:val="both"/>
        <w:rPr>
          <w:rFonts w:ascii="Calibri" w:hAnsi="Calibri" w:cs="Calibri"/>
        </w:rPr>
      </w:pPr>
      <w:r>
        <w:rPr>
          <w:rFonts w:ascii="Calibri" w:hAnsi="Calibri" w:cs="Calibri"/>
        </w:rPr>
        <w:t xml:space="preserve">Objektivi specifik C5. Përmirësimi i statusit socio-ekonomik të studentëve </w:t>
      </w:r>
      <w:r>
        <w:t xml:space="preserve">nëpërmjet </w:t>
      </w:r>
      <w:r>
        <w:rPr>
          <w:rFonts w:ascii="Calibri" w:hAnsi="Calibri" w:cs="Calibri"/>
        </w:rPr>
        <w:t xml:space="preserve">ofrimit të shërbimeve cilësore dhe formave të ndryshme të </w:t>
      </w:r>
      <w:r>
        <w:rPr>
          <w:rFonts w:cs="Calibri"/>
        </w:rPr>
        <w:t>ndihmës</w:t>
      </w:r>
      <w:r>
        <w:rPr>
          <w:rFonts w:ascii="Calibri" w:hAnsi="Calibri" w:cs="Calibri"/>
        </w:rPr>
        <w:t xml:space="preserve"> financiare.</w:t>
      </w:r>
    </w:p>
    <w:p w:rsidR="001B0AD5" w:rsidRPr="00E97254" w:rsidRDefault="004E1F53" w:rsidP="000C0250">
      <w:pPr>
        <w:spacing w:after="0"/>
        <w:jc w:val="both"/>
        <w:rPr>
          <w:rFonts w:ascii="Calibri" w:hAnsi="Calibri" w:cs="Calibri"/>
        </w:rPr>
      </w:pPr>
      <w:r>
        <w:rPr>
          <w:rFonts w:ascii="Calibri" w:hAnsi="Calibri" w:cs="Calibri"/>
        </w:rPr>
        <w:t>Objektivi specifik C6. Ndërkombëtarizimi i arsimit të lartë në Shqipëri dhe integrimi në Hapësirën Evropiane të Arsimit të Lartë (EHEA).</w:t>
      </w:r>
    </w:p>
    <w:p w:rsidR="001B0AD5" w:rsidRPr="00E97254" w:rsidRDefault="004E1F53" w:rsidP="000C0250">
      <w:pPr>
        <w:spacing w:after="0"/>
        <w:jc w:val="both"/>
        <w:rPr>
          <w:rFonts w:ascii="Calibri" w:hAnsi="Calibri" w:cs="Calibri"/>
        </w:rPr>
      </w:pPr>
      <w:r>
        <w:rPr>
          <w:rFonts w:ascii="Calibri" w:hAnsi="Calibri" w:cs="Calibri"/>
        </w:rPr>
        <w:t>Objektivi specifik C7. Avancimi i infrastrukturës së TIK-ut dhe i shërbimeve digjitale për IAL-të publike.</w:t>
      </w:r>
    </w:p>
    <w:p w:rsidR="001B0AD5" w:rsidRPr="00E97254" w:rsidRDefault="004E1F53" w:rsidP="000C0250">
      <w:pPr>
        <w:spacing w:before="60" w:after="0"/>
        <w:jc w:val="both"/>
        <w:rPr>
          <w:rFonts w:ascii="Calibri" w:hAnsi="Calibri" w:cs="Calibri"/>
        </w:rPr>
      </w:pPr>
      <w:r>
        <w:rPr>
          <w:rFonts w:ascii="Calibri" w:hAnsi="Calibri" w:cs="Calibri"/>
        </w:rPr>
        <w:t xml:space="preserve">Më tutje, objektivat </w:t>
      </w:r>
      <w:r w:rsidR="00513AF3">
        <w:rPr>
          <w:rFonts w:ascii="Calibri" w:hAnsi="Calibri" w:cs="Calibri"/>
        </w:rPr>
        <w:t xml:space="preserve">specifike </w:t>
      </w:r>
      <w:r>
        <w:rPr>
          <w:rFonts w:ascii="Calibri" w:hAnsi="Calibri" w:cs="Calibri"/>
        </w:rPr>
        <w:t>zbërthehen në produkte, ndërsa këto të fundit në masa.</w:t>
      </w:r>
    </w:p>
    <w:p w:rsidR="004E0EF2" w:rsidRPr="00E97254" w:rsidRDefault="004E0EF2" w:rsidP="000C0250">
      <w:pPr>
        <w:autoSpaceDE w:val="0"/>
        <w:autoSpaceDN w:val="0"/>
        <w:adjustRightInd w:val="0"/>
        <w:spacing w:after="0"/>
        <w:jc w:val="both"/>
        <w:rPr>
          <w:color w:val="000000"/>
        </w:rPr>
      </w:pPr>
    </w:p>
    <w:p w:rsidR="001B0AD5" w:rsidRPr="00E97254" w:rsidRDefault="004E1F53" w:rsidP="000C0250">
      <w:pPr>
        <w:autoSpaceDE w:val="0"/>
        <w:autoSpaceDN w:val="0"/>
        <w:adjustRightInd w:val="0"/>
        <w:spacing w:after="0"/>
        <w:jc w:val="both"/>
        <w:rPr>
          <w:rFonts w:ascii="Calibri-Light" w:hAnsi="Calibri-Light" w:cs="Calibri-Light"/>
          <w:sz w:val="24"/>
          <w:szCs w:val="24"/>
        </w:rPr>
      </w:pPr>
      <w:r>
        <w:rPr>
          <w:color w:val="000000"/>
        </w:rPr>
        <w:lastRenderedPageBreak/>
        <w:t xml:space="preserve">Strategjia Kombëtare e Arsimit zbatohet në periudhën 2021-2026, ndërsa roli udhëheqës në zbatimin e saj i takon Ministrisë së Arsimit, Rinisë dhe Sportit (MASR) si </w:t>
      </w:r>
      <w:r w:rsidR="00A9722D">
        <w:rPr>
          <w:color w:val="000000"/>
        </w:rPr>
        <w:t xml:space="preserve">institucion </w:t>
      </w:r>
      <w:r>
        <w:rPr>
          <w:color w:val="000000"/>
        </w:rPr>
        <w:t xml:space="preserve">përgjegjës për fushën e arsimit. </w:t>
      </w:r>
      <w:r>
        <w:rPr>
          <w:rFonts w:ascii="Calibri" w:hAnsi="Calibri" w:cs="Calibri"/>
        </w:rPr>
        <w:t>Përgjegjësia për zbatimin e secil</w:t>
      </w:r>
      <w:r>
        <w:rPr>
          <w:color w:val="000000"/>
        </w:rPr>
        <w:t>ës</w:t>
      </w:r>
      <w:r>
        <w:rPr>
          <w:rFonts w:ascii="Calibri" w:hAnsi="Calibri" w:cs="Calibri"/>
        </w:rPr>
        <w:t xml:space="preserve"> masë është përcaktuar me planin e veprimit dhe ndahet midis MASR-s</w:t>
      </w:r>
      <w:r>
        <w:rPr>
          <w:color w:val="000000"/>
        </w:rPr>
        <w:t>ë</w:t>
      </w:r>
      <w:r>
        <w:rPr>
          <w:rFonts w:ascii="Calibri" w:hAnsi="Calibri" w:cs="Calibri"/>
        </w:rPr>
        <w:t xml:space="preserve">, institucioneve vartëse, institucioneve arsimore, pushtetit vendor dhe aktorëve të tjerë. Për shkak të natyrës së masave duhet të ekzistojë një </w:t>
      </w:r>
      <w:r w:rsidR="00A9722D">
        <w:rPr>
          <w:rFonts w:ascii="Calibri" w:hAnsi="Calibri" w:cs="Calibri"/>
        </w:rPr>
        <w:t xml:space="preserve">bashkërendim i </w:t>
      </w:r>
      <w:r>
        <w:rPr>
          <w:rFonts w:ascii="Calibri" w:hAnsi="Calibri" w:cs="Calibri"/>
        </w:rPr>
        <w:t>mirë me nismat e partnerëve zhvillimorë të Qeverisë, ku bëjnë pjesë donatorët, si dhe organizatat vendore dhe ndërkombëtare që, në një mënyrë ose tjetër, shprehin gatishmëri për t’i kontribuar zbatimit të Strategjisë.</w:t>
      </w:r>
    </w:p>
    <w:p w:rsidR="004E0EF2" w:rsidRPr="00E97254" w:rsidRDefault="004E1F53" w:rsidP="000C0250">
      <w:pPr>
        <w:autoSpaceDE w:val="0"/>
        <w:autoSpaceDN w:val="0"/>
        <w:adjustRightInd w:val="0"/>
        <w:spacing w:after="0"/>
        <w:jc w:val="both"/>
        <w:rPr>
          <w:rFonts w:ascii="Calibri-Light" w:hAnsi="Calibri-Light" w:cs="Calibri-Light"/>
          <w:sz w:val="24"/>
          <w:szCs w:val="24"/>
        </w:rPr>
      </w:pPr>
      <w:r>
        <w:rPr>
          <w:rFonts w:cstheme="minorHAnsi"/>
        </w:rPr>
        <w:t>Kostoja indikative për zbatimin e Strategjisë është 50.81</w:t>
      </w:r>
      <w:r w:rsidR="00E8227C">
        <w:rPr>
          <w:rFonts w:cstheme="minorHAnsi"/>
        </w:rPr>
        <w:t xml:space="preserve"> miliardë </w:t>
      </w:r>
      <w:r>
        <w:rPr>
          <w:rFonts w:cstheme="minorHAnsi"/>
        </w:rPr>
        <w:t>lekë, prej të cilave 35.57</w:t>
      </w:r>
      <w:r w:rsidR="00E8227C">
        <w:rPr>
          <w:rFonts w:cstheme="minorHAnsi"/>
        </w:rPr>
        <w:t xml:space="preserve"> miliardë </w:t>
      </w:r>
      <w:r>
        <w:rPr>
          <w:rFonts w:cstheme="minorHAnsi"/>
        </w:rPr>
        <w:t>(70.0%) për Arsimin Parauniversitar (Qëllimi i politikës A), 135.04 milionë (0.3%) për Menaxhimin e Sistemit të Arsimit (Qëllimi i politikës B) dhe 15.11 miliard</w:t>
      </w:r>
      <w:r w:rsidR="00E8227C">
        <w:rPr>
          <w:rFonts w:cstheme="minorHAnsi"/>
        </w:rPr>
        <w:t>ë</w:t>
      </w:r>
      <w:r>
        <w:rPr>
          <w:rFonts w:cstheme="minorHAnsi"/>
        </w:rPr>
        <w:t xml:space="preserve"> (29.7%) për Arsimin e Lartë (Qëllimi i politikës C). Për periudhën afatmesme 2021-2023 kostoja është vlerësuar në 23.11 miliard</w:t>
      </w:r>
      <w:r w:rsidR="00E8227C">
        <w:rPr>
          <w:rFonts w:cstheme="minorHAnsi"/>
        </w:rPr>
        <w:t>ë</w:t>
      </w:r>
      <w:r>
        <w:rPr>
          <w:rFonts w:cstheme="minorHAnsi"/>
        </w:rPr>
        <w:t xml:space="preserve"> lekë, nga të cilat 21.15 miliard</w:t>
      </w:r>
      <w:r w:rsidR="00E8227C">
        <w:rPr>
          <w:rFonts w:cstheme="minorHAnsi"/>
        </w:rPr>
        <w:t>ë</w:t>
      </w:r>
      <w:r>
        <w:rPr>
          <w:rFonts w:cstheme="minorHAnsi"/>
        </w:rPr>
        <w:t xml:space="preserve"> lekë janë planifikuar në Programin Buxhetor Afatmesëm, 153.50 milion</w:t>
      </w:r>
      <w:r w:rsidR="00E8227C">
        <w:rPr>
          <w:rFonts w:cstheme="minorHAnsi"/>
        </w:rPr>
        <w:t>ë</w:t>
      </w:r>
      <w:r>
        <w:rPr>
          <w:rFonts w:cstheme="minorHAnsi"/>
        </w:rPr>
        <w:t xml:space="preserve"> lekë do të sigurohen nga financimi i huaj, ndërsa hendeku financiar është 1.80</w:t>
      </w:r>
      <w:r w:rsidR="00E8227C">
        <w:rPr>
          <w:rFonts w:cstheme="minorHAnsi"/>
        </w:rPr>
        <w:t xml:space="preserve"> miliardë </w:t>
      </w:r>
      <w:r>
        <w:rPr>
          <w:rFonts w:cstheme="minorHAnsi"/>
        </w:rPr>
        <w:t>lekë ose 7.78% e kostos indikative për këtë periudhë(</w:t>
      </w:r>
      <w:fldSimple w:instr=" REF _Ref64467382  \* MERGEFORMAT ">
        <w:r w:rsidR="005A6200" w:rsidRPr="00E97254">
          <w:t>Tabela 15</w:t>
        </w:r>
      </w:fldSimple>
      <w:r w:rsidR="00A445DC" w:rsidRPr="00E97254">
        <w:rPr>
          <w:rFonts w:cstheme="minorHAnsi"/>
        </w:rPr>
        <w:t>). Hendeku financiar është më i vogël në vitin 2021 – 8.13</w:t>
      </w:r>
      <w:r w:rsidR="00E8227C">
        <w:rPr>
          <w:rFonts w:cstheme="minorHAnsi"/>
        </w:rPr>
        <w:t xml:space="preserve"> milionë </w:t>
      </w:r>
      <w:r w:rsidR="00A445DC" w:rsidRPr="00E97254">
        <w:rPr>
          <w:rFonts w:cstheme="minorHAnsi"/>
        </w:rPr>
        <w:t>lekë (0.11% e kostos indikative për këtë vit), për t’u rritur në 215.25 milionë lekë në vitin 2022 (3.14% e kostos indikative për këtë vit) dhe në 1.58</w:t>
      </w:r>
      <w:r w:rsidR="00E8227C">
        <w:rPr>
          <w:rFonts w:cstheme="minorHAnsi"/>
        </w:rPr>
        <w:t xml:space="preserve"> miliardë </w:t>
      </w:r>
      <w:r w:rsidR="00A445DC" w:rsidRPr="00E97254">
        <w:rPr>
          <w:rFonts w:cstheme="minorHAnsi"/>
        </w:rPr>
        <w:t>lekë në vitin 2023 (18.28% e kostos indikative për këtë vit).</w:t>
      </w:r>
      <w:bookmarkStart w:id="4" w:name="_Toc66801976"/>
    </w:p>
    <w:p w:rsidR="004E0EF2" w:rsidRPr="00E97254" w:rsidRDefault="00FA5606" w:rsidP="000C0250">
      <w:pPr>
        <w:pStyle w:val="Heading1"/>
        <w:numPr>
          <w:ilvl w:val="0"/>
          <w:numId w:val="46"/>
        </w:numPr>
        <w:jc w:val="both"/>
        <w:rPr>
          <w:rFonts w:ascii="Calibri" w:hAnsi="Calibri" w:cs="Calibri"/>
        </w:rPr>
      </w:pPr>
      <w:r w:rsidRPr="00FA5606">
        <w:rPr>
          <w:rFonts w:ascii="Calibri" w:hAnsi="Calibri" w:cs="Calibri"/>
        </w:rPr>
        <w:t>Hyrja dhe qëllimi i dokumentit</w:t>
      </w:r>
      <w:bookmarkEnd w:id="2"/>
      <w:bookmarkEnd w:id="4"/>
    </w:p>
    <w:p w:rsidR="00341EAF" w:rsidRPr="00E97254" w:rsidRDefault="004E1F53" w:rsidP="000C0250">
      <w:pPr>
        <w:spacing w:before="60" w:after="0"/>
        <w:jc w:val="both"/>
        <w:rPr>
          <w:rFonts w:ascii="Calibri" w:hAnsi="Calibri" w:cs="Calibri"/>
        </w:rPr>
      </w:pPr>
      <w:r>
        <w:rPr>
          <w:rFonts w:ascii="Calibri" w:hAnsi="Calibri" w:cs="Calibri"/>
        </w:rPr>
        <w:t xml:space="preserve">Cikli i ri i planifikimit në arsim filloi në kohën kur Republika e Shqipërisë ka bërë progres të ndjeshëm në agjendën e integrimit </w:t>
      </w:r>
      <w:r>
        <w:rPr>
          <w:rFonts w:cs="Calibri"/>
        </w:rPr>
        <w:t>evropian</w:t>
      </w:r>
      <w:r>
        <w:rPr>
          <w:rFonts w:ascii="Calibri" w:hAnsi="Calibri" w:cs="Calibri"/>
        </w:rPr>
        <w:t xml:space="preserve"> dhe është në pritje të fillimit të negociatave për anëtarësim në Bashkimin </w:t>
      </w:r>
      <w:r>
        <w:rPr>
          <w:rFonts w:cs="Calibri"/>
        </w:rPr>
        <w:t>Evropian</w:t>
      </w:r>
      <w:r>
        <w:rPr>
          <w:rFonts w:ascii="Calibri" w:hAnsi="Calibri" w:cs="Calibri"/>
        </w:rPr>
        <w:t xml:space="preserve">. Meqë 2020-ta ishte viti i fundit i zbatimit të Strategjisë Kombëtare për Zhvillim dhe Integrim 2015-2020 (SKZHI II) </w:t>
      </w:r>
      <w:sdt>
        <w:sdtPr>
          <w:rPr>
            <w:rFonts w:ascii="Calibri" w:hAnsi="Calibri" w:cs="Calibri"/>
          </w:rPr>
          <w:id w:val="-697231711"/>
          <w:citation/>
        </w:sdtPr>
        <w:sdtEndPr/>
        <w:sdtContent>
          <w:r w:rsidR="00EC56B7" w:rsidRPr="00E97254">
            <w:rPr>
              <w:rFonts w:ascii="Calibri" w:hAnsi="Calibri" w:cs="Calibri"/>
            </w:rPr>
            <w:fldChar w:fldCharType="begin"/>
          </w:r>
          <w:r>
            <w:rPr>
              <w:rFonts w:ascii="Calibri" w:hAnsi="Calibri" w:cs="Calibri"/>
            </w:rPr>
            <w:instrText xml:space="preserve"> CITATION QBZ161 \l 1033 </w:instrText>
          </w:r>
          <w:r w:rsidR="00EC56B7" w:rsidRPr="00E97254">
            <w:rPr>
              <w:rFonts w:ascii="Calibri" w:hAnsi="Calibri" w:cs="Calibri"/>
            </w:rPr>
            <w:fldChar w:fldCharType="separate"/>
          </w:r>
          <w:r w:rsidR="00724BCC" w:rsidRPr="00E97254">
            <w:rPr>
              <w:rFonts w:ascii="Calibri" w:hAnsi="Calibri" w:cs="Calibri"/>
            </w:rPr>
            <w:t>[1]</w:t>
          </w:r>
          <w:r w:rsidR="00EC56B7" w:rsidRPr="00E97254">
            <w:rPr>
              <w:rFonts w:ascii="Calibri" w:hAnsi="Calibri" w:cs="Calibri"/>
            </w:rPr>
            <w:fldChar w:fldCharType="end"/>
          </w:r>
        </w:sdtContent>
      </w:sdt>
      <w:r w:rsidR="00341EAF" w:rsidRPr="00E97254">
        <w:rPr>
          <w:rFonts w:ascii="Calibri" w:hAnsi="Calibri" w:cs="Calibri"/>
        </w:rPr>
        <w:t>, Strategjisë për Zhvillimin e Arsimit Parauniversitar 2014-2020</w:t>
      </w:r>
      <w:sdt>
        <w:sdtPr>
          <w:rPr>
            <w:rFonts w:ascii="Calibri" w:hAnsi="Calibri" w:cs="Calibri"/>
          </w:rPr>
          <w:id w:val="-2011059355"/>
          <w:citation/>
        </w:sdtPr>
        <w:sdtEndPr/>
        <w:sdtContent>
          <w:r w:rsidR="00EC56B7" w:rsidRPr="00E97254">
            <w:rPr>
              <w:rFonts w:ascii="Calibri" w:hAnsi="Calibri" w:cs="Calibri"/>
            </w:rPr>
            <w:fldChar w:fldCharType="begin"/>
          </w:r>
          <w:r>
            <w:rPr>
              <w:rFonts w:ascii="Calibri" w:hAnsi="Calibri" w:cs="Calibri"/>
            </w:rPr>
            <w:instrText xml:space="preserve"> CITATION QBZ16 \l 1033 </w:instrText>
          </w:r>
          <w:r w:rsidR="00EC56B7" w:rsidRPr="00E97254">
            <w:rPr>
              <w:rFonts w:ascii="Calibri" w:hAnsi="Calibri" w:cs="Calibri"/>
            </w:rPr>
            <w:fldChar w:fldCharType="separate"/>
          </w:r>
          <w:r w:rsidR="00724BCC" w:rsidRPr="00E97254">
            <w:rPr>
              <w:rFonts w:ascii="Calibri" w:hAnsi="Calibri" w:cs="Calibri"/>
            </w:rPr>
            <w:t xml:space="preserve"> [2]</w:t>
          </w:r>
          <w:r w:rsidR="00EC56B7" w:rsidRPr="00E97254">
            <w:rPr>
              <w:rFonts w:ascii="Calibri" w:hAnsi="Calibri" w:cs="Calibri"/>
            </w:rPr>
            <w:fldChar w:fldCharType="end"/>
          </w:r>
        </w:sdtContent>
      </w:sdt>
      <w:r w:rsidR="00341EAF" w:rsidRPr="00E97254">
        <w:rPr>
          <w:rFonts w:ascii="Calibri" w:hAnsi="Calibri" w:cs="Calibri"/>
        </w:rPr>
        <w:t xml:space="preserve"> dhe disa politikave të tjera të rëndësishme kombëtare që ndërlidhen me zhvillimet në fushën e arsimit, si dhe bazuar në nevojën për planifikim cilësor, Ministria e Arsimit, Sportit dhe Rinisë (MASR) mori vendim për hartimin e Strategjisë Kombëtare të Arsimit 2021-2026, </w:t>
      </w:r>
      <w:r>
        <w:rPr>
          <w:rFonts w:ascii="Calibri" w:hAnsi="Calibri" w:cs="Calibri"/>
        </w:rPr>
        <w:t>e cila do të integronte nënsektorët e arsimit parauniversitar dhe të arsimit të lartë</w:t>
      </w:r>
      <w:r>
        <w:rPr>
          <w:rFonts w:cs="Calibri"/>
        </w:rPr>
        <w:t>.</w:t>
      </w:r>
      <w:r>
        <w:rPr>
          <w:rFonts w:ascii="Calibri" w:hAnsi="Calibri" w:cs="Calibri"/>
        </w:rPr>
        <w:t xml:space="preserve"> Ndërkaq, dokumenti bazë i politikave për nënsektorin e arsimit dhe </w:t>
      </w:r>
      <w:r>
        <w:rPr>
          <w:rFonts w:cs="Calibri"/>
        </w:rPr>
        <w:t>formimit</w:t>
      </w:r>
      <w:r>
        <w:rPr>
          <w:rFonts w:ascii="Calibri" w:hAnsi="Calibri" w:cs="Calibri"/>
        </w:rPr>
        <w:t xml:space="preserve"> profesional mbetet Strategjia Kombëtare për punësim dhe aftësi</w:t>
      </w:r>
      <w:r>
        <w:rPr>
          <w:rFonts w:cs="Calibri"/>
        </w:rPr>
        <w:t xml:space="preserve"> 2019 – 2022</w:t>
      </w:r>
      <w:r>
        <w:rPr>
          <w:rFonts w:ascii="Calibri" w:hAnsi="Calibri" w:cs="Calibri"/>
        </w:rPr>
        <w:t xml:space="preserve">, prandaj ky nënsektor nuk përfshihet në Strategjinë e re të arsimit. Po ashtu, në këtë strategji nuk përfshihen dy fushat </w:t>
      </w:r>
      <w:r>
        <w:rPr>
          <w:rFonts w:cs="Calibri"/>
        </w:rPr>
        <w:t xml:space="preserve">e </w:t>
      </w:r>
      <w:r>
        <w:rPr>
          <w:rFonts w:ascii="Calibri" w:hAnsi="Calibri" w:cs="Calibri"/>
        </w:rPr>
        <w:t>tjera të përgjegjësisë së MASR-s</w:t>
      </w:r>
      <w:r>
        <w:rPr>
          <w:color w:val="000000"/>
        </w:rPr>
        <w:t>ë</w:t>
      </w:r>
      <w:r>
        <w:rPr>
          <w:rFonts w:ascii="Calibri" w:hAnsi="Calibri" w:cs="Calibri"/>
        </w:rPr>
        <w:t xml:space="preserve"> – Rinia dhe Sporti. </w:t>
      </w:r>
    </w:p>
    <w:p w:rsidR="00341EAF" w:rsidRPr="00E97254" w:rsidRDefault="004E1F53" w:rsidP="000C0250">
      <w:pPr>
        <w:spacing w:after="0"/>
        <w:jc w:val="both"/>
        <w:rPr>
          <w:rFonts w:ascii="Calibri" w:hAnsi="Calibri" w:cs="Calibri"/>
        </w:rPr>
      </w:pPr>
      <w:r>
        <w:rPr>
          <w:rFonts w:ascii="Calibri" w:hAnsi="Calibri" w:cs="Calibri"/>
        </w:rPr>
        <w:t xml:space="preserve">Qëllimi i këtij dokumenti </w:t>
      </w:r>
      <w:r>
        <w:rPr>
          <w:color w:val="000000"/>
        </w:rPr>
        <w:t xml:space="preserve">është </w:t>
      </w:r>
      <w:r>
        <w:rPr>
          <w:rFonts w:ascii="Calibri" w:hAnsi="Calibri" w:cs="Calibri"/>
        </w:rPr>
        <w:t>t</w:t>
      </w:r>
      <w:r>
        <w:rPr>
          <w:color w:val="000000"/>
        </w:rPr>
        <w:t>ë</w:t>
      </w:r>
      <w:r>
        <w:rPr>
          <w:rFonts w:ascii="Calibri" w:hAnsi="Calibri" w:cs="Calibri"/>
        </w:rPr>
        <w:t xml:space="preserve"> përcaktojë objektivat afatmesme të Qeverisë për arritjen e vizionit për arsimin të përcaktuar në SKZHI-n</w:t>
      </w:r>
      <w:r>
        <w:rPr>
          <w:color w:val="000000"/>
        </w:rPr>
        <w:t>ë</w:t>
      </w:r>
      <w:r>
        <w:rPr>
          <w:rFonts w:ascii="Calibri" w:hAnsi="Calibri" w:cs="Calibri"/>
        </w:rPr>
        <w:t xml:space="preserve"> II:</w:t>
      </w:r>
    </w:p>
    <w:p w:rsidR="00341EAF" w:rsidRPr="00E97254" w:rsidRDefault="004E1F53" w:rsidP="000C0250">
      <w:pPr>
        <w:spacing w:before="60" w:after="0"/>
        <w:jc w:val="both"/>
        <w:rPr>
          <w:rFonts w:ascii="Calibri" w:hAnsi="Calibri" w:cs="Calibri"/>
        </w:rPr>
      </w:pPr>
      <w:r>
        <w:rPr>
          <w:rFonts w:ascii="Calibri" w:hAnsi="Calibri" w:cs="Calibri"/>
        </w:rPr>
        <w:t>“</w:t>
      </w:r>
      <w:r>
        <w:rPr>
          <w:rFonts w:ascii="Calibri" w:hAnsi="Calibri" w:cs="Calibri"/>
          <w:i/>
        </w:rPr>
        <w:t>Një sistem arsimor që ka për bazë nevojat dhe interesat e nxënësve; që krijon kushtet dhe mundësitë për studentët për të ndërtuar dhe zhvilluar njohuritë e tyre, aftësitë dhe vlerat e kërkuara nga shoqëria; që lejon nxënësit të zhvillohen në mënyrë të pavarur dhe për të kontribuar për mirëqenien e tyre dhe të shoqërisë dhe në mënyrë konstruktive të përballen me sfidat e jetës</w:t>
      </w:r>
      <w:r>
        <w:rPr>
          <w:rFonts w:ascii="Calibri" w:hAnsi="Calibri" w:cs="Calibri"/>
        </w:rPr>
        <w:t>”</w:t>
      </w:r>
    </w:p>
    <w:p w:rsidR="00592BBA" w:rsidRPr="00E97254" w:rsidRDefault="00592BBA" w:rsidP="000C0250">
      <w:pPr>
        <w:spacing w:after="0"/>
        <w:jc w:val="both"/>
        <w:rPr>
          <w:rFonts w:ascii="Calibri" w:hAnsi="Calibri" w:cs="Calibri"/>
        </w:rPr>
      </w:pPr>
    </w:p>
    <w:p w:rsidR="00341EAF" w:rsidRPr="00E97254" w:rsidRDefault="004E1F53" w:rsidP="000C0250">
      <w:pPr>
        <w:spacing w:after="0"/>
        <w:jc w:val="both"/>
        <w:rPr>
          <w:rFonts w:ascii="Calibri" w:hAnsi="Calibri" w:cs="Calibri"/>
        </w:rPr>
      </w:pPr>
      <w:r>
        <w:rPr>
          <w:rFonts w:ascii="Calibri" w:hAnsi="Calibri" w:cs="Calibri"/>
        </w:rPr>
        <w:t xml:space="preserve">Në aspektin e integrimit në BE, Strategjia Kombëtare e Arsimit 2021-2026 është në koherencë të plotë me katër objektiva </w:t>
      </w:r>
      <w:r w:rsidR="00513AF3">
        <w:rPr>
          <w:rFonts w:ascii="Calibri" w:hAnsi="Calibri" w:cs="Calibri"/>
        </w:rPr>
        <w:t xml:space="preserve">strategjike </w:t>
      </w:r>
      <w:r>
        <w:rPr>
          <w:rFonts w:ascii="Calibri" w:hAnsi="Calibri" w:cs="Calibri"/>
        </w:rPr>
        <w:t xml:space="preserve">të kornizës </w:t>
      </w:r>
      <w:r>
        <w:rPr>
          <w:rFonts w:cs="Calibri"/>
        </w:rPr>
        <w:t>Edukimi &amp;Trajnimi</w:t>
      </w:r>
      <w:r>
        <w:rPr>
          <w:rFonts w:ascii="Calibri" w:hAnsi="Calibri" w:cs="Calibri"/>
        </w:rPr>
        <w:t xml:space="preserve"> 2020 </w:t>
      </w:r>
      <w:sdt>
        <w:sdtPr>
          <w:rPr>
            <w:rFonts w:ascii="Calibri" w:hAnsi="Calibri" w:cs="Calibri"/>
          </w:rPr>
          <w:id w:val="2086799020"/>
          <w:citation/>
        </w:sdtPr>
        <w:sdtEndPr/>
        <w:sdtContent>
          <w:r w:rsidR="00EC56B7" w:rsidRPr="00E97254">
            <w:rPr>
              <w:rFonts w:ascii="Calibri" w:hAnsi="Calibri" w:cs="Calibri"/>
            </w:rPr>
            <w:fldChar w:fldCharType="begin"/>
          </w:r>
          <w:r>
            <w:rPr>
              <w:rFonts w:ascii="Calibri" w:hAnsi="Calibri" w:cs="Calibri"/>
            </w:rPr>
            <w:instrText xml:space="preserve"> CITATION Eur09 \l 1033 </w:instrText>
          </w:r>
          <w:r w:rsidR="00EC56B7" w:rsidRPr="00E97254">
            <w:rPr>
              <w:rFonts w:ascii="Calibri" w:hAnsi="Calibri" w:cs="Calibri"/>
            </w:rPr>
            <w:fldChar w:fldCharType="separate"/>
          </w:r>
          <w:r w:rsidR="00724BCC" w:rsidRPr="00E97254">
            <w:rPr>
              <w:rFonts w:ascii="Calibri" w:hAnsi="Calibri" w:cs="Calibri"/>
            </w:rPr>
            <w:t>[3]</w:t>
          </w:r>
          <w:r w:rsidR="00EC56B7" w:rsidRPr="00E97254">
            <w:rPr>
              <w:rFonts w:ascii="Calibri" w:hAnsi="Calibri" w:cs="Calibri"/>
            </w:rPr>
            <w:fldChar w:fldCharType="end"/>
          </w:r>
        </w:sdtContent>
      </w:sdt>
      <w:r w:rsidR="00341EAF" w:rsidRPr="00E97254">
        <w:rPr>
          <w:rFonts w:ascii="Calibri" w:hAnsi="Calibri" w:cs="Calibri"/>
        </w:rPr>
        <w:t xml:space="preserve"> për bashkëpunim </w:t>
      </w:r>
      <w:r w:rsidR="00D938B7" w:rsidRPr="00E97254">
        <w:rPr>
          <w:rFonts w:cs="Calibri"/>
        </w:rPr>
        <w:t>midis</w:t>
      </w:r>
      <w:r w:rsidR="00341EAF" w:rsidRPr="00E97254">
        <w:rPr>
          <w:rFonts w:ascii="Calibri" w:hAnsi="Calibri" w:cs="Calibri"/>
        </w:rPr>
        <w:t xml:space="preserve"> vendeve të Bashkimit </w:t>
      </w:r>
      <w:r w:rsidR="00341EAF" w:rsidRPr="00E97254">
        <w:rPr>
          <w:rFonts w:cs="Calibri"/>
        </w:rPr>
        <w:t>E</w:t>
      </w:r>
      <w:r w:rsidR="00D70B5B" w:rsidRPr="00E97254">
        <w:rPr>
          <w:rFonts w:cs="Calibri"/>
        </w:rPr>
        <w:t>v</w:t>
      </w:r>
      <w:r w:rsidR="00341EAF" w:rsidRPr="00E97254">
        <w:rPr>
          <w:rFonts w:cs="Calibri"/>
        </w:rPr>
        <w:t>ropian</w:t>
      </w:r>
      <w:r w:rsidR="00341EAF" w:rsidRPr="00E97254">
        <w:rPr>
          <w:rFonts w:ascii="Calibri" w:hAnsi="Calibri" w:cs="Calibri"/>
        </w:rPr>
        <w:t xml:space="preserve"> në fushën e arsimit dhe të formimit: 1) Bërja realitet e të nxënit gjatë gjithë jetës dhe </w:t>
      </w:r>
      <w:r w:rsidR="00341EAF" w:rsidRPr="00E97254">
        <w:rPr>
          <w:rFonts w:ascii="Calibri" w:hAnsi="Calibri" w:cs="Calibri"/>
        </w:rPr>
        <w:lastRenderedPageBreak/>
        <w:t>mobilitetit;</w:t>
      </w:r>
      <w:r>
        <w:rPr>
          <w:rFonts w:ascii="Calibri" w:hAnsi="Calibri" w:cs="Calibri"/>
        </w:rPr>
        <w:t xml:space="preserve"> 2) Përmirësimi i cilësisë dhe efikasitetit të arsimit dhe formimit; 3) Nxitja e barazisë, kohezionit social dhe qytetarisë aktive; dhe 4) Shtimi i kreativitetit dhe inovacionit, përfshirë sipërmarrjen, në të gjitha nivelet e arsimit dhe formimit. Gjithashtu, Strategjia është në harmoni me Kuadrin e ri të BE-s</w:t>
      </w:r>
      <w:r>
        <w:rPr>
          <w:color w:val="000000"/>
        </w:rPr>
        <w:t>ë</w:t>
      </w:r>
      <w:r>
        <w:rPr>
          <w:rFonts w:ascii="Calibri" w:hAnsi="Calibri" w:cs="Calibri"/>
        </w:rPr>
        <w:t xml:space="preserve"> për kompetencat kyç për të m</w:t>
      </w:r>
      <w:r>
        <w:rPr>
          <w:color w:val="000000"/>
        </w:rPr>
        <w:t>ësuarin</w:t>
      </w:r>
      <w:r>
        <w:rPr>
          <w:rFonts w:ascii="Calibri" w:hAnsi="Calibri" w:cs="Calibri"/>
        </w:rPr>
        <w:t xml:space="preserve"> gjatë gjithë jetës </w:t>
      </w:r>
      <w:sdt>
        <w:sdtPr>
          <w:rPr>
            <w:rFonts w:ascii="Calibri" w:hAnsi="Calibri" w:cs="Calibri"/>
          </w:rPr>
          <w:id w:val="1148245521"/>
          <w:citation/>
        </w:sdtPr>
        <w:sdtEndPr/>
        <w:sdtContent>
          <w:r w:rsidR="00EC56B7" w:rsidRPr="00E97254">
            <w:rPr>
              <w:rFonts w:ascii="Calibri" w:hAnsi="Calibri" w:cs="Calibri"/>
            </w:rPr>
            <w:fldChar w:fldCharType="begin"/>
          </w:r>
          <w:r>
            <w:rPr>
              <w:rFonts w:ascii="Calibri" w:hAnsi="Calibri" w:cs="Calibri"/>
            </w:rPr>
            <w:instrText xml:space="preserve"> CITATION Eur181 \l 1033 </w:instrText>
          </w:r>
          <w:r w:rsidR="00EC56B7" w:rsidRPr="00E97254">
            <w:rPr>
              <w:rFonts w:ascii="Calibri" w:hAnsi="Calibri" w:cs="Calibri"/>
            </w:rPr>
            <w:fldChar w:fldCharType="separate"/>
          </w:r>
          <w:r w:rsidR="00724BCC" w:rsidRPr="00E97254">
            <w:rPr>
              <w:rFonts w:ascii="Calibri" w:hAnsi="Calibri" w:cs="Calibri"/>
            </w:rPr>
            <w:t>[4]</w:t>
          </w:r>
          <w:r w:rsidR="00EC56B7" w:rsidRPr="00E97254">
            <w:rPr>
              <w:rFonts w:ascii="Calibri" w:hAnsi="Calibri" w:cs="Calibri"/>
            </w:rPr>
            <w:fldChar w:fldCharType="end"/>
          </w:r>
        </w:sdtContent>
      </w:sdt>
      <w:r w:rsidR="00341EAF" w:rsidRPr="00E97254">
        <w:rPr>
          <w:rFonts w:ascii="Calibri" w:hAnsi="Calibri" w:cs="Calibri"/>
        </w:rPr>
        <w:t>.</w:t>
      </w:r>
      <w:r w:rsidR="009B00B0" w:rsidRPr="00E97254">
        <w:rPr>
          <w:rFonts w:ascii="Calibri" w:hAnsi="Calibri" w:cs="Calibri"/>
        </w:rPr>
        <w:t xml:space="preserve"> Progres</w:t>
      </w:r>
      <w:r w:rsidR="001400A2" w:rsidRPr="00E97254">
        <w:rPr>
          <w:rFonts w:ascii="Calibri" w:hAnsi="Calibri" w:cs="Calibri"/>
        </w:rPr>
        <w:t>-</w:t>
      </w:r>
      <w:r w:rsidR="009B00B0" w:rsidRPr="00E97254">
        <w:rPr>
          <w:rFonts w:ascii="Calibri" w:hAnsi="Calibri" w:cs="Calibri"/>
        </w:rPr>
        <w:t>raporti i fundit i BE</w:t>
      </w:r>
      <w:r w:rsidR="001400A2" w:rsidRPr="00E97254">
        <w:rPr>
          <w:rFonts w:ascii="Calibri" w:hAnsi="Calibri" w:cs="Calibri"/>
        </w:rPr>
        <w:t>-së</w:t>
      </w:r>
      <w:r w:rsidR="009B00B0" w:rsidRPr="00E97254">
        <w:rPr>
          <w:rFonts w:ascii="Calibri" w:hAnsi="Calibri" w:cs="Calibri"/>
        </w:rPr>
        <w:t xml:space="preserve"> për Shqipërinë e liston hartimin e strategjisë kombëtare të arsimit </w:t>
      </w:r>
      <w:r>
        <w:rPr>
          <w:rFonts w:ascii="Calibri" w:hAnsi="Calibri" w:cs="Calibri"/>
        </w:rPr>
        <w:t xml:space="preserve">midis tre rekomandimeve të kapitullit 26 (“Arsimi dhe kultura”) për vitin 2021 </w:t>
      </w:r>
      <w:sdt>
        <w:sdtPr>
          <w:rPr>
            <w:rFonts w:ascii="Calibri" w:hAnsi="Calibri" w:cs="Calibri"/>
          </w:rPr>
          <w:id w:val="1432316044"/>
          <w:citation/>
        </w:sdtPr>
        <w:sdtEndPr/>
        <w:sdtContent>
          <w:r w:rsidR="00EC56B7" w:rsidRPr="00E97254">
            <w:rPr>
              <w:rFonts w:ascii="Calibri" w:hAnsi="Calibri" w:cs="Calibri"/>
            </w:rPr>
            <w:fldChar w:fldCharType="begin"/>
          </w:r>
          <w:r>
            <w:rPr>
              <w:rFonts w:ascii="Calibri" w:hAnsi="Calibri" w:cs="Calibri"/>
            </w:rPr>
            <w:instrText xml:space="preserve"> CITATION Eur202 \l 1033 </w:instrText>
          </w:r>
          <w:r w:rsidR="00EC56B7" w:rsidRPr="00E97254">
            <w:rPr>
              <w:rFonts w:ascii="Calibri" w:hAnsi="Calibri" w:cs="Calibri"/>
            </w:rPr>
            <w:fldChar w:fldCharType="separate"/>
          </w:r>
          <w:r w:rsidR="00724BCC" w:rsidRPr="00E97254">
            <w:rPr>
              <w:rFonts w:ascii="Calibri" w:hAnsi="Calibri" w:cs="Calibri"/>
            </w:rPr>
            <w:t>[5]</w:t>
          </w:r>
          <w:r w:rsidR="00EC56B7" w:rsidRPr="00E97254">
            <w:rPr>
              <w:rFonts w:ascii="Calibri" w:hAnsi="Calibri" w:cs="Calibri"/>
            </w:rPr>
            <w:fldChar w:fldCharType="end"/>
          </w:r>
        </w:sdtContent>
      </w:sdt>
      <w:r w:rsidR="009B00B0" w:rsidRPr="00E97254">
        <w:rPr>
          <w:rFonts w:ascii="Calibri" w:hAnsi="Calibri" w:cs="Calibri"/>
        </w:rPr>
        <w:t>.</w:t>
      </w:r>
    </w:p>
    <w:p w:rsidR="00341EAF" w:rsidRPr="00E97254" w:rsidRDefault="00D322F4" w:rsidP="000C0250">
      <w:pPr>
        <w:spacing w:before="60" w:after="0"/>
        <w:jc w:val="both"/>
        <w:rPr>
          <w:rFonts w:ascii="Calibri" w:hAnsi="Calibri" w:cs="Calibri"/>
        </w:rPr>
      </w:pPr>
      <w:r w:rsidRPr="00E97254">
        <w:rPr>
          <w:rFonts w:ascii="Calibri" w:hAnsi="Calibri" w:cs="Calibri"/>
        </w:rPr>
        <w:t xml:space="preserve">Nga 17 objektivat </w:t>
      </w:r>
      <w:r w:rsidR="00341EAF" w:rsidRPr="00E97254">
        <w:rPr>
          <w:rFonts w:ascii="Calibri" w:hAnsi="Calibri" w:cs="Calibri"/>
        </w:rPr>
        <w:t>e Agjendës 2030 për Zhvillim të Qëndrueshëm, Strategjia Kombëtare e A</w:t>
      </w:r>
      <w:r w:rsidR="004E0EF2" w:rsidRPr="00E97254">
        <w:rPr>
          <w:rFonts w:ascii="Calibri" w:hAnsi="Calibri" w:cs="Calibri"/>
        </w:rPr>
        <w:t xml:space="preserve">rsimit ndërlidhet me objektivin </w:t>
      </w:r>
      <w:r w:rsidR="00A50A43">
        <w:rPr>
          <w:rFonts w:ascii="Calibri" w:hAnsi="Calibri" w:cs="Calibri"/>
        </w:rPr>
        <w:t>OZHQ</w:t>
      </w:r>
      <w:r w:rsidR="004E1F53">
        <w:rPr>
          <w:rFonts w:ascii="Calibri" w:hAnsi="Calibri" w:cs="Calibri"/>
        </w:rPr>
        <w:t xml:space="preserve">4 – Sigurimi i arsimit cilësor gjithëpërfshirës dhe të drejtë dhe nxitja e mundësive për mësim gjatë gjithë jetës për të gjithë </w:t>
      </w:r>
      <w:sdt>
        <w:sdtPr>
          <w:rPr>
            <w:rFonts w:ascii="Calibri" w:hAnsi="Calibri" w:cs="Calibri"/>
          </w:rPr>
          <w:id w:val="-1337451894"/>
          <w:citation/>
        </w:sdtPr>
        <w:sdtEndPr/>
        <w:sdtContent>
          <w:r w:rsidR="00EC56B7" w:rsidRPr="00E97254">
            <w:rPr>
              <w:rFonts w:ascii="Calibri" w:hAnsi="Calibri" w:cs="Calibri"/>
            </w:rPr>
            <w:fldChar w:fldCharType="begin"/>
          </w:r>
          <w:r w:rsidR="004E1F53">
            <w:rPr>
              <w:rFonts w:ascii="Calibri" w:hAnsi="Calibri" w:cs="Calibri"/>
            </w:rPr>
            <w:instrText xml:space="preserve"> CITATION UNE171 \l 1033 </w:instrText>
          </w:r>
          <w:r w:rsidR="00EC56B7" w:rsidRPr="00E97254">
            <w:rPr>
              <w:rFonts w:ascii="Calibri" w:hAnsi="Calibri" w:cs="Calibri"/>
            </w:rPr>
            <w:fldChar w:fldCharType="separate"/>
          </w:r>
          <w:r w:rsidR="00724BCC" w:rsidRPr="00E97254">
            <w:rPr>
              <w:rFonts w:ascii="Calibri" w:hAnsi="Calibri" w:cs="Calibri"/>
            </w:rPr>
            <w:t>[6]</w:t>
          </w:r>
          <w:r w:rsidR="00EC56B7" w:rsidRPr="00E97254">
            <w:rPr>
              <w:rFonts w:ascii="Calibri" w:hAnsi="Calibri" w:cs="Calibri"/>
            </w:rPr>
            <w:fldChar w:fldCharType="end"/>
          </w:r>
        </w:sdtContent>
      </w:sdt>
      <w:r w:rsidR="00341EAF" w:rsidRPr="00E97254">
        <w:rPr>
          <w:rFonts w:ascii="Calibri" w:hAnsi="Calibri" w:cs="Calibri"/>
        </w:rPr>
        <w:t>.</w:t>
      </w:r>
    </w:p>
    <w:p w:rsidR="000C0250" w:rsidRPr="00E97254" w:rsidRDefault="000C0250" w:rsidP="000C0250">
      <w:pPr>
        <w:spacing w:after="0"/>
        <w:jc w:val="both"/>
        <w:rPr>
          <w:rFonts w:ascii="Calibri" w:hAnsi="Calibri" w:cs="Calibri"/>
        </w:rPr>
      </w:pPr>
    </w:p>
    <w:p w:rsidR="00341EAF" w:rsidRPr="00E97254" w:rsidRDefault="004E1F53" w:rsidP="000C0250">
      <w:pPr>
        <w:spacing w:after="0"/>
        <w:jc w:val="both"/>
        <w:rPr>
          <w:rFonts w:ascii="Calibri" w:hAnsi="Calibri" w:cs="Calibri"/>
        </w:rPr>
      </w:pPr>
      <w:r>
        <w:rPr>
          <w:rFonts w:ascii="Calibri" w:hAnsi="Calibri" w:cs="Calibri"/>
        </w:rPr>
        <w:t xml:space="preserve">Kujdes i veçantë i është kushtuar përfshirjes së </w:t>
      </w:r>
      <w:r>
        <w:rPr>
          <w:rFonts w:cs="Calibri"/>
        </w:rPr>
        <w:t>veprimeve</w:t>
      </w:r>
      <w:r>
        <w:rPr>
          <w:rFonts w:ascii="Calibri" w:hAnsi="Calibri" w:cs="Calibri"/>
        </w:rPr>
        <w:t xml:space="preserve"> te rekomanduara për arritjen e synimeve të </w:t>
      </w:r>
      <w:r w:rsidR="00A50A43">
        <w:rPr>
          <w:rFonts w:ascii="Calibri" w:hAnsi="Calibri" w:cs="Calibri"/>
        </w:rPr>
        <w:t>OZHQ</w:t>
      </w:r>
      <w:r>
        <w:rPr>
          <w:rFonts w:ascii="Calibri" w:hAnsi="Calibri" w:cs="Calibri"/>
        </w:rPr>
        <w:t>4:</w:t>
      </w:r>
    </w:p>
    <w:p w:rsidR="00341EAF" w:rsidRPr="00E97254" w:rsidRDefault="004E1F53" w:rsidP="000C0250">
      <w:pPr>
        <w:pStyle w:val="ListParagraph"/>
        <w:numPr>
          <w:ilvl w:val="0"/>
          <w:numId w:val="2"/>
        </w:numPr>
        <w:spacing w:after="0"/>
        <w:jc w:val="both"/>
        <w:rPr>
          <w:rFonts w:ascii="Calibri" w:hAnsi="Calibri" w:cs="Calibri"/>
        </w:rPr>
      </w:pPr>
      <w:r>
        <w:rPr>
          <w:rFonts w:ascii="Calibri" w:hAnsi="Calibri" w:cs="Calibri"/>
        </w:rPr>
        <w:t xml:space="preserve">Krijimi i mjediseve të përshtatshme për nxënie efektive </w:t>
      </w:r>
      <w:r>
        <w:t xml:space="preserve">nëpërmjet </w:t>
      </w:r>
      <w:r>
        <w:rPr>
          <w:rFonts w:ascii="Calibri" w:hAnsi="Calibri" w:cs="Calibri"/>
        </w:rPr>
        <w:t>përmirësimit dhe zgjerimit të infrastrukturës shkollore;</w:t>
      </w:r>
    </w:p>
    <w:p w:rsidR="00341EAF" w:rsidRPr="00E97254" w:rsidRDefault="004E1F53" w:rsidP="000C0250">
      <w:pPr>
        <w:pStyle w:val="ListParagraph"/>
        <w:numPr>
          <w:ilvl w:val="0"/>
          <w:numId w:val="2"/>
        </w:numPr>
        <w:spacing w:after="0"/>
        <w:jc w:val="both"/>
        <w:rPr>
          <w:rFonts w:ascii="Calibri" w:hAnsi="Calibri" w:cs="Calibri"/>
        </w:rPr>
      </w:pPr>
      <w:r>
        <w:rPr>
          <w:rFonts w:ascii="Calibri" w:hAnsi="Calibri" w:cs="Calibri"/>
        </w:rPr>
        <w:t>Ofrimi i bursave për studime të larta;</w:t>
      </w:r>
    </w:p>
    <w:p w:rsidR="00341EAF" w:rsidRPr="00E97254" w:rsidRDefault="004E1F53" w:rsidP="000C0250">
      <w:pPr>
        <w:pStyle w:val="ListParagraph"/>
        <w:numPr>
          <w:ilvl w:val="0"/>
          <w:numId w:val="2"/>
        </w:numPr>
        <w:spacing w:after="0"/>
        <w:jc w:val="both"/>
        <w:rPr>
          <w:rFonts w:ascii="Calibri" w:hAnsi="Calibri" w:cs="Calibri"/>
        </w:rPr>
      </w:pPr>
      <w:r>
        <w:rPr>
          <w:rFonts w:ascii="Calibri" w:hAnsi="Calibri" w:cs="Calibri"/>
        </w:rPr>
        <w:t>Sigurimi i mësuesve të kualifikuar.</w:t>
      </w:r>
    </w:p>
    <w:p w:rsidR="00341EAF" w:rsidRPr="00E97254" w:rsidRDefault="004E1F53" w:rsidP="000C0250">
      <w:pPr>
        <w:spacing w:after="0"/>
        <w:jc w:val="both"/>
        <w:rPr>
          <w:rFonts w:ascii="Calibri" w:hAnsi="Calibri" w:cs="Calibri"/>
        </w:rPr>
      </w:pPr>
      <w:r>
        <w:rPr>
          <w:rFonts w:ascii="Calibri" w:hAnsi="Calibri" w:cs="Calibri"/>
          <w:color w:val="222222"/>
        </w:rPr>
        <w:t xml:space="preserve">Procesi i </w:t>
      </w:r>
      <w:r>
        <w:rPr>
          <w:rFonts w:cs="Calibri"/>
          <w:color w:val="222222"/>
        </w:rPr>
        <w:t>hartimit</w:t>
      </w:r>
      <w:r>
        <w:rPr>
          <w:rFonts w:ascii="Calibri" w:hAnsi="Calibri" w:cs="Calibri"/>
          <w:color w:val="222222"/>
        </w:rPr>
        <w:t xml:space="preserve"> të strategjisë ka reflektuar përcaktimin e BE-së për analiza të qëndrueshme dhe solide të bazuara në dëshmi, si elemente kyç për diskutime politike të informuara dhe zhvillim të politikave në fushën e arsimit dhe aftësimit. Ndërkaq, procesi i planifikimit është karakterizuar me pjesëmarrje aktive të specialistëve të MASR, ekspertëve të fushës dhe </w:t>
      </w:r>
      <w:r>
        <w:rPr>
          <w:rFonts w:cs="Calibri"/>
          <w:color w:val="222222"/>
        </w:rPr>
        <w:t>grupeve</w:t>
      </w:r>
      <w:r>
        <w:rPr>
          <w:rFonts w:ascii="Calibri" w:hAnsi="Calibri" w:cs="Calibri"/>
          <w:color w:val="222222"/>
        </w:rPr>
        <w:t xml:space="preserve"> të tjera </w:t>
      </w:r>
      <w:r>
        <w:rPr>
          <w:rFonts w:cs="Calibri"/>
          <w:color w:val="222222"/>
        </w:rPr>
        <w:t>të interesit</w:t>
      </w:r>
      <w:r>
        <w:rPr>
          <w:rFonts w:ascii="Calibri" w:hAnsi="Calibri" w:cs="Calibri"/>
          <w:color w:val="222222"/>
        </w:rPr>
        <w:t xml:space="preserve">, të cilët kanë kontribuar </w:t>
      </w:r>
      <w:r>
        <w:rPr>
          <w:rFonts w:cs="Calibri"/>
          <w:color w:val="222222"/>
        </w:rPr>
        <w:t>për arritjen e</w:t>
      </w:r>
      <w:r>
        <w:rPr>
          <w:rFonts w:ascii="Calibri" w:hAnsi="Calibri" w:cs="Calibri"/>
          <w:color w:val="222222"/>
        </w:rPr>
        <w:t xml:space="preserve"> një shkalle të lartë të pajtueshmërisë të prioriteteve strategjike dhe rrugëve për </w:t>
      </w:r>
      <w:r w:rsidR="00A50A43">
        <w:rPr>
          <w:rFonts w:ascii="Calibri" w:hAnsi="Calibri" w:cs="Calibri"/>
          <w:color w:val="222222"/>
        </w:rPr>
        <w:t>trajt</w:t>
      </w:r>
      <w:r>
        <w:rPr>
          <w:rFonts w:ascii="Calibri" w:hAnsi="Calibri" w:cs="Calibri"/>
          <w:color w:val="222222"/>
        </w:rPr>
        <w:t>imin e tyre.</w:t>
      </w:r>
    </w:p>
    <w:p w:rsidR="001B1677" w:rsidRPr="00E97254" w:rsidRDefault="00FA5606" w:rsidP="000C0250">
      <w:pPr>
        <w:pStyle w:val="Heading1"/>
        <w:jc w:val="both"/>
        <w:rPr>
          <w:rFonts w:ascii="Calibri" w:hAnsi="Calibri" w:cs="Calibri"/>
        </w:rPr>
      </w:pPr>
      <w:bookmarkStart w:id="5" w:name="_Toc45624208"/>
      <w:bookmarkStart w:id="6" w:name="_Toc66801977"/>
      <w:r w:rsidRPr="00FA5606">
        <w:rPr>
          <w:rFonts w:ascii="Calibri" w:hAnsi="Calibri" w:cs="Calibri"/>
        </w:rPr>
        <w:t>2. Metodologjia</w:t>
      </w:r>
      <w:bookmarkEnd w:id="5"/>
      <w:bookmarkEnd w:id="6"/>
    </w:p>
    <w:p w:rsidR="00565BD3" w:rsidRPr="00E97254" w:rsidRDefault="004E1F53" w:rsidP="000C0250">
      <w:pPr>
        <w:spacing w:after="0"/>
        <w:jc w:val="both"/>
      </w:pPr>
      <w:r>
        <w:t>Si hap i parë drejt zhvillimit të strategjisë së re, ministrja e Arsimit, Sportit dhe Rinisë ka krijuar Grupin e Koordinimit, me detyrë që të drejtojë gjithë procesin e planifikimit strategjik, duke krijuar grupe pune të përbëra nga specialistë të fushës, përfaqësues të ministrive të linjës dhe të organizatave partnere. Grupi i Koordinimit ka themeluar tre grupe pune: Grupin e Punës për Arsimin Parauniversitar, Grupin e Punës për Arsimin e Lartë dhe Grupin e Punës për Digjitalizimin e Arsimit. Ndërkaq, në kuadër të Grupit të Punës për Arsimin Parauniversitar kanë vepruar 4 nëngrupe p</w:t>
      </w:r>
      <w:r>
        <w:rPr>
          <w:rFonts w:ascii="Calibri" w:hAnsi="Calibri" w:cs="Calibri"/>
          <w:color w:val="222222"/>
        </w:rPr>
        <w:t>ër të</w:t>
      </w:r>
      <w:r>
        <w:t xml:space="preserve"> mbuluar sa më të mirë fushat tematike me interes për planifikimin strategjik. Procesi është mbështetur nga asistenca teknike e UNICEF-it.</w:t>
      </w:r>
    </w:p>
    <w:p w:rsidR="00565BD3" w:rsidRPr="00E97254" w:rsidRDefault="004E1F53" w:rsidP="000C0250">
      <w:pPr>
        <w:spacing w:after="0"/>
        <w:jc w:val="both"/>
      </w:pPr>
      <w:r>
        <w:t xml:space="preserve">Procesi i planifikimit është organizuar në pesë faza: </w:t>
      </w:r>
    </w:p>
    <w:p w:rsidR="00565BD3" w:rsidRPr="00E97254" w:rsidRDefault="004E1F53" w:rsidP="000C0250">
      <w:pPr>
        <w:spacing w:after="0"/>
        <w:jc w:val="both"/>
      </w:pPr>
      <w:r>
        <w:rPr>
          <w:b/>
        </w:rPr>
        <w:t>Faza 1 – Faza përgatitore. -</w:t>
      </w:r>
      <w:r>
        <w:t xml:space="preserve">Gjatë kësaj faze, e cila ka zgjatur gjashtë javë, është krijuar Grupi i Koordinimit, janë zhvilluar konsultime paraprake për metodologjinë e punës dhe formatin e strategjisë, është bërë përcaktimi i fushave tematike të Strategjisë, si dhe është bërë plani për hartimin e Strategjisë. </w:t>
      </w:r>
    </w:p>
    <w:p w:rsidR="00565BD3" w:rsidRPr="00E97254" w:rsidRDefault="004E1F53" w:rsidP="000C0250">
      <w:pPr>
        <w:spacing w:after="0"/>
        <w:jc w:val="both"/>
        <w:rPr>
          <w:rFonts w:ascii="Calibri" w:hAnsi="Calibri" w:cs="Calibri"/>
        </w:rPr>
      </w:pPr>
      <w:r>
        <w:rPr>
          <w:b/>
        </w:rPr>
        <w:t xml:space="preserve">Faza 2 – Analiza e </w:t>
      </w:r>
      <w:r w:rsidR="00DC4C19">
        <w:rPr>
          <w:b/>
        </w:rPr>
        <w:t>situatës</w:t>
      </w:r>
      <w:r>
        <w:t>. -</w:t>
      </w:r>
      <w:r>
        <w:rPr>
          <w:rFonts w:ascii="Calibri" w:hAnsi="Calibri" w:cs="Calibri"/>
        </w:rPr>
        <w:t xml:space="preserve">Kjo fazë ka filluar me analizën e politikave dhe </w:t>
      </w:r>
      <w:r>
        <w:rPr>
          <w:rFonts w:cs="Calibri"/>
        </w:rPr>
        <w:t>legjislacionit</w:t>
      </w:r>
      <w:r>
        <w:rPr>
          <w:rFonts w:ascii="Calibri" w:hAnsi="Calibri" w:cs="Calibri"/>
        </w:rPr>
        <w:t xml:space="preserve"> kombëtar, si dhe t</w:t>
      </w:r>
      <w:r>
        <w:rPr>
          <w:rFonts w:ascii="Calibri" w:hAnsi="Calibri" w:cs="Calibri"/>
          <w:color w:val="222222"/>
        </w:rPr>
        <w:t xml:space="preserve">ë </w:t>
      </w:r>
      <w:r>
        <w:rPr>
          <w:rFonts w:ascii="Calibri" w:hAnsi="Calibri" w:cs="Calibri"/>
        </w:rPr>
        <w:t>raporteve e studimeve p</w:t>
      </w:r>
      <w:r>
        <w:rPr>
          <w:rFonts w:ascii="Calibri" w:hAnsi="Calibri" w:cs="Calibri"/>
          <w:color w:val="222222"/>
        </w:rPr>
        <w:t>ërkatëse</w:t>
      </w:r>
      <w:r>
        <w:rPr>
          <w:rFonts w:ascii="Calibri" w:hAnsi="Calibri" w:cs="Calibri"/>
        </w:rPr>
        <w:t xml:space="preserve"> që ofrojnë informacion për </w:t>
      </w:r>
      <w:r w:rsidR="00DC4C19">
        <w:rPr>
          <w:rFonts w:ascii="Calibri" w:hAnsi="Calibri" w:cs="Calibri"/>
        </w:rPr>
        <w:t xml:space="preserve">situatën </w:t>
      </w:r>
      <w:r>
        <w:rPr>
          <w:rFonts w:ascii="Calibri" w:hAnsi="Calibri" w:cs="Calibri"/>
        </w:rPr>
        <w:t xml:space="preserve">në sektorin e arsimit. Po ashtu, janë shfrytëzuar të dhëna statistikore nga burime </w:t>
      </w:r>
      <w:r>
        <w:rPr>
          <w:rFonts w:cs="Calibri"/>
        </w:rPr>
        <w:t>kombëtare</w:t>
      </w:r>
      <w:r>
        <w:rPr>
          <w:rFonts w:ascii="Calibri" w:hAnsi="Calibri" w:cs="Calibri"/>
        </w:rPr>
        <w:t xml:space="preserve"> dhe ndërkombëtare, duke bërë krahasime me vendet e tjera. Pastaj, janë zhvilluar rreth 15 intervista individuale dhe në fokus-grupe me </w:t>
      </w:r>
      <w:r>
        <w:rPr>
          <w:rFonts w:cs="Calibri"/>
        </w:rPr>
        <w:t>punonj</w:t>
      </w:r>
      <w:r>
        <w:rPr>
          <w:rFonts w:cs="Calibri"/>
          <w:color w:val="222222"/>
        </w:rPr>
        <w:t>ës</w:t>
      </w:r>
      <w:r>
        <w:rPr>
          <w:rFonts w:ascii="Calibri" w:hAnsi="Calibri" w:cs="Calibri"/>
        </w:rPr>
        <w:t xml:space="preserve"> </w:t>
      </w:r>
      <w:r>
        <w:rPr>
          <w:rFonts w:ascii="Calibri" w:hAnsi="Calibri" w:cs="Calibri"/>
        </w:rPr>
        <w:lastRenderedPageBreak/>
        <w:t>të MASR-s</w:t>
      </w:r>
      <w:r>
        <w:rPr>
          <w:rFonts w:ascii="Calibri" w:hAnsi="Calibri" w:cs="Calibri"/>
          <w:color w:val="222222"/>
        </w:rPr>
        <w:t>ë</w:t>
      </w:r>
      <w:r>
        <w:rPr>
          <w:rFonts w:ascii="Calibri" w:hAnsi="Calibri" w:cs="Calibri"/>
        </w:rPr>
        <w:t xml:space="preserve">, ekspertë të arsimit, përfaqësues të partnerëve </w:t>
      </w:r>
      <w:r>
        <w:rPr>
          <w:rFonts w:cs="Calibri"/>
        </w:rPr>
        <w:t>nd</w:t>
      </w:r>
      <w:r>
        <w:rPr>
          <w:rFonts w:cs="Calibri"/>
          <w:color w:val="222222"/>
        </w:rPr>
        <w:t>ërkombëtar</w:t>
      </w:r>
      <w:r>
        <w:rPr>
          <w:rFonts w:ascii="Calibri" w:hAnsi="Calibri" w:cs="Calibri"/>
        </w:rPr>
        <w:t xml:space="preserve"> e palëve të tjera t</w:t>
      </w:r>
      <w:r>
        <w:rPr>
          <w:rFonts w:ascii="Calibri" w:hAnsi="Calibri" w:cs="Calibri"/>
          <w:color w:val="222222"/>
        </w:rPr>
        <w:t>ë</w:t>
      </w:r>
      <w:r>
        <w:rPr>
          <w:rFonts w:ascii="Calibri" w:hAnsi="Calibri" w:cs="Calibri"/>
        </w:rPr>
        <w:t xml:space="preserve"> interesit në fushën e arsimit. </w:t>
      </w:r>
      <w:r w:rsidR="00A50A43">
        <w:rPr>
          <w:rFonts w:ascii="Calibri" w:hAnsi="Calibri" w:cs="Calibri"/>
        </w:rPr>
        <w:t>Nëpërmjet</w:t>
      </w:r>
      <w:r>
        <w:rPr>
          <w:rFonts w:ascii="Calibri" w:hAnsi="Calibri" w:cs="Calibri"/>
        </w:rPr>
        <w:t xml:space="preserve"> platformës U-Report mbështetur nga UNICEF-it është realizuar edhe një sondazh me të rinj p</w:t>
      </w:r>
      <w:r>
        <w:rPr>
          <w:rFonts w:ascii="Calibri" w:hAnsi="Calibri" w:cs="Calibri"/>
          <w:color w:val="222222"/>
        </w:rPr>
        <w:t>ër</w:t>
      </w:r>
      <w:r>
        <w:rPr>
          <w:rFonts w:ascii="Calibri" w:hAnsi="Calibri" w:cs="Calibri"/>
        </w:rPr>
        <w:t xml:space="preserve"> të marr</w:t>
      </w:r>
      <w:r>
        <w:rPr>
          <w:rFonts w:ascii="Calibri" w:hAnsi="Calibri" w:cs="Calibri"/>
          <w:color w:val="222222"/>
        </w:rPr>
        <w:t>ë</w:t>
      </w:r>
      <w:r>
        <w:rPr>
          <w:rFonts w:ascii="Calibri" w:hAnsi="Calibri" w:cs="Calibri"/>
        </w:rPr>
        <w:t xml:space="preserve"> informacion në lidhje me çështje që konsiderohen të rëndësishme dhe që duhen trajtuar në Strategjinë Kombëtare të Arsimit.  Në vijim, janë mbajtur tetë </w:t>
      </w:r>
      <w:r>
        <w:rPr>
          <w:rFonts w:cs="Calibri"/>
        </w:rPr>
        <w:t>takime</w:t>
      </w:r>
      <w:r>
        <w:rPr>
          <w:rFonts w:ascii="Calibri" w:hAnsi="Calibri" w:cs="Calibri"/>
        </w:rPr>
        <w:t xml:space="preserve"> për analizën e </w:t>
      </w:r>
      <w:r w:rsidR="00DC4C19">
        <w:rPr>
          <w:rFonts w:ascii="Calibri" w:hAnsi="Calibri" w:cs="Calibri"/>
        </w:rPr>
        <w:t xml:space="preserve">situatës </w:t>
      </w:r>
      <w:r>
        <w:rPr>
          <w:rFonts w:ascii="Calibri" w:hAnsi="Calibri" w:cs="Calibri"/>
        </w:rPr>
        <w:t>me grupet e ekspertëve të MASR-s</w:t>
      </w:r>
      <w:r>
        <w:rPr>
          <w:rFonts w:ascii="Calibri" w:hAnsi="Calibri" w:cs="Calibri"/>
          <w:color w:val="222222"/>
        </w:rPr>
        <w:t>ë</w:t>
      </w:r>
      <w:r>
        <w:rPr>
          <w:rFonts w:ascii="Calibri" w:hAnsi="Calibri" w:cs="Calibri"/>
        </w:rPr>
        <w:t xml:space="preserve"> dhe një </w:t>
      </w:r>
      <w:r>
        <w:rPr>
          <w:rFonts w:cs="Calibri"/>
        </w:rPr>
        <w:t>takim</w:t>
      </w:r>
      <w:r>
        <w:rPr>
          <w:rFonts w:ascii="Calibri" w:hAnsi="Calibri" w:cs="Calibri"/>
        </w:rPr>
        <w:t xml:space="preserve"> me përfaqësuesit e partnerëve </w:t>
      </w:r>
      <w:r>
        <w:rPr>
          <w:rFonts w:cs="Calibri"/>
        </w:rPr>
        <w:t>nd</w:t>
      </w:r>
      <w:r>
        <w:rPr>
          <w:rFonts w:cs="Calibri"/>
          <w:color w:val="222222"/>
        </w:rPr>
        <w:t>ërkombëtar</w:t>
      </w:r>
      <w:r>
        <w:rPr>
          <w:rFonts w:ascii="Calibri" w:hAnsi="Calibri" w:cs="Calibri"/>
          <w:color w:val="222222"/>
        </w:rPr>
        <w:t>ë</w:t>
      </w:r>
      <w:r>
        <w:rPr>
          <w:rFonts w:ascii="Calibri" w:hAnsi="Calibri" w:cs="Calibri"/>
        </w:rPr>
        <w:t xml:space="preserve"> ku është bërë </w:t>
      </w:r>
      <w:r w:rsidR="00DC4C19">
        <w:rPr>
          <w:rFonts w:ascii="Calibri" w:hAnsi="Calibri" w:cs="Calibri"/>
        </w:rPr>
        <w:t xml:space="preserve">analiza e situatës  </w:t>
      </w:r>
      <w:r>
        <w:rPr>
          <w:rFonts w:ascii="Calibri" w:hAnsi="Calibri" w:cs="Calibri"/>
        </w:rPr>
        <w:t xml:space="preserve">në nënsektorë të caktuar të sistemit të arsimit dhe janë dhënë ide për masat që </w:t>
      </w:r>
      <w:r>
        <w:rPr>
          <w:rFonts w:cs="Calibri"/>
        </w:rPr>
        <w:t>duhen</w:t>
      </w:r>
      <w:r>
        <w:rPr>
          <w:rFonts w:ascii="Calibri" w:hAnsi="Calibri" w:cs="Calibri"/>
        </w:rPr>
        <w:t xml:space="preserve"> ndërmarrë për trajtimin e sfidave të identifikuara. </w:t>
      </w:r>
      <w:r>
        <w:t xml:space="preserve">Kjo fazë ka përfunduar me hartimin e një raporti të analizës së </w:t>
      </w:r>
      <w:r w:rsidR="00DC4C19">
        <w:t>situatës</w:t>
      </w:r>
      <w:r>
        <w:t xml:space="preserve">.  </w:t>
      </w:r>
    </w:p>
    <w:p w:rsidR="00616265" w:rsidRPr="00E97254" w:rsidRDefault="004E1F53" w:rsidP="000C0250">
      <w:pPr>
        <w:spacing w:after="0"/>
        <w:jc w:val="both"/>
        <w:rPr>
          <w:color w:val="FF0000"/>
        </w:rPr>
      </w:pPr>
      <w:r>
        <w:rPr>
          <w:b/>
        </w:rPr>
        <w:t>Faza 3 –Përcaktimi i vizionit, qëllimit të politikave, objektivave specifike, masave dhe treguesve. -</w:t>
      </w:r>
      <w:r>
        <w:t xml:space="preserve">Faza e tretë e planifikimit mbështetet në analizën e </w:t>
      </w:r>
      <w:r w:rsidR="00DC4C19">
        <w:t>situatës</w:t>
      </w:r>
      <w:r>
        <w:t>, duke dhënë përgjigje në sfidat tashmë të identifikuara. Aktiviteti i parë ka qenë përcaktimi i vizionit dhe qëllimeve të politikave për Sektorin e Arsimit, për të vazhduar më tej me përcaktimin e objektivave strategjike, produkteve, masave dhe treguesve. Gjatë kësaj faze janë mbajtur 7 takime me grupin e koordinimit, grupet e punës e nëngrupet tematike, si dhe janë zhvilluar dy raunde të mbledhjes së komenteve për p</w:t>
      </w:r>
      <w:r>
        <w:rPr>
          <w:rFonts w:cs="Calibri"/>
          <w:color w:val="222222"/>
        </w:rPr>
        <w:t>ërcaktimin</w:t>
      </w:r>
      <w:r>
        <w:t xml:space="preserve"> e objektivave të strategjisë . Produkti i fazës së tretë ka qenë drafti i pjesshëm i Strategjisë i cili është aprovuar nga Grupi i Koordinimit.</w:t>
      </w:r>
    </w:p>
    <w:p w:rsidR="00616265" w:rsidRPr="00E97254" w:rsidRDefault="004E1F53" w:rsidP="000C0250">
      <w:pPr>
        <w:spacing w:after="0"/>
        <w:jc w:val="both"/>
        <w:rPr>
          <w:color w:val="FF0000"/>
        </w:rPr>
      </w:pPr>
      <w:r>
        <w:rPr>
          <w:b/>
          <w:color w:val="000000" w:themeColor="text1"/>
        </w:rPr>
        <w:t>Faza 4–Kostimi i Strategjisë dhe plani i zbatimit</w:t>
      </w:r>
      <w:r>
        <w:rPr>
          <w:color w:val="000000" w:themeColor="text1"/>
        </w:rPr>
        <w:t>. -Gjatë kësaj faze është hartuar një plan i detajuar veprimi, si dhe janë kostuar të gjitha masat e Strategjisë. Me këtë rast janë bërë disa ndryshime dhe plotësime të draftit të Strategjisë që ka rezultuar me draftin final të dokumentit</w:t>
      </w:r>
    </w:p>
    <w:p w:rsidR="00565BD3" w:rsidRPr="00E97254" w:rsidRDefault="004E1F53" w:rsidP="000C0250">
      <w:pPr>
        <w:spacing w:after="0"/>
        <w:jc w:val="both"/>
        <w:rPr>
          <w:color w:val="000000" w:themeColor="text1"/>
        </w:rPr>
      </w:pPr>
      <w:r>
        <w:rPr>
          <w:b/>
          <w:color w:val="000000" w:themeColor="text1"/>
        </w:rPr>
        <w:t>Faza 5 – Konsultimi publik dhe finalizimi i dokumentit të Strategjisë.</w:t>
      </w:r>
      <w:r>
        <w:rPr>
          <w:color w:val="000000" w:themeColor="text1"/>
        </w:rPr>
        <w:t xml:space="preserve"> </w:t>
      </w:r>
      <w:r>
        <w:rPr>
          <w:b/>
          <w:color w:val="000000" w:themeColor="text1"/>
        </w:rPr>
        <w:t>NË PROCES</w:t>
      </w:r>
    </w:p>
    <w:p w:rsidR="00565BD3" w:rsidRPr="00E97254" w:rsidRDefault="004E1F53" w:rsidP="000C0250">
      <w:pPr>
        <w:spacing w:after="0"/>
        <w:jc w:val="both"/>
      </w:pPr>
      <w:r>
        <w:t>Me këtë rast duhet theksuar se pandemia COVID-19 ka ndikuar në mbar</w:t>
      </w:r>
      <w:r>
        <w:rPr>
          <w:rFonts w:cs="Calibri"/>
          <w:color w:val="222222"/>
        </w:rPr>
        <w:t>ë</w:t>
      </w:r>
      <w:r>
        <w:t xml:space="preserve">vajtjen e procesit të planifikimit, në radhë të parë për shkak të kufizimeve të lëvizjes në periudhën mars-maj 2020, por edhe të pamundësisë së organizimit të konsultimeve të drejtpërdrejta me grupet e punës, të cilat është dashur të zëvendësohen me konsultime online. </w:t>
      </w:r>
    </w:p>
    <w:p w:rsidR="00941864" w:rsidRPr="00E97254" w:rsidRDefault="00FA5606" w:rsidP="000C0250">
      <w:pPr>
        <w:pStyle w:val="Heading1"/>
        <w:jc w:val="both"/>
      </w:pPr>
      <w:bookmarkStart w:id="7" w:name="_Toc45624209"/>
      <w:bookmarkStart w:id="8" w:name="_Toc66801978"/>
      <w:r w:rsidRPr="00FA5606">
        <w:t>3. Konteksti</w:t>
      </w:r>
      <w:bookmarkEnd w:id="7"/>
      <w:bookmarkEnd w:id="8"/>
    </w:p>
    <w:p w:rsidR="00941864" w:rsidRPr="00E97254" w:rsidRDefault="00FA5606" w:rsidP="000C0250">
      <w:pPr>
        <w:pStyle w:val="Heading2"/>
        <w:jc w:val="both"/>
      </w:pPr>
      <w:bookmarkStart w:id="9" w:name="_Toc45624210"/>
      <w:bookmarkStart w:id="10" w:name="_Toc66801979"/>
      <w:r w:rsidRPr="00FA5606">
        <w:t>3.1. Kuadri makro-ekonomik dhe fiskal</w:t>
      </w:r>
      <w:bookmarkEnd w:id="9"/>
      <w:bookmarkEnd w:id="10"/>
    </w:p>
    <w:p w:rsidR="00941864" w:rsidRPr="00E97254" w:rsidRDefault="004E1F53" w:rsidP="000C0250">
      <w:pPr>
        <w:spacing w:before="120" w:after="0"/>
        <w:jc w:val="both"/>
        <w:rPr>
          <w:rFonts w:ascii="Calibri" w:hAnsi="Calibri" w:cs="Calibri"/>
        </w:rPr>
      </w:pPr>
      <w:r>
        <w:rPr>
          <w:rFonts w:ascii="Calibri" w:hAnsi="Calibri" w:cs="Calibri"/>
        </w:rPr>
        <w:t xml:space="preserve">Sipas projeksionit të pritshmërive makroekonomike të miratuara nga Qeveria janarin e vitit 2021 </w:t>
      </w:r>
      <w:sdt>
        <w:sdtPr>
          <w:rPr>
            <w:rFonts w:ascii="Calibri" w:hAnsi="Calibri" w:cs="Calibri"/>
          </w:rPr>
          <w:id w:val="-1104869923"/>
          <w:citation/>
        </w:sdtPr>
        <w:sdtEndPr/>
        <w:sdtContent>
          <w:r w:rsidR="00EC56B7" w:rsidRPr="00E97254">
            <w:rPr>
              <w:rFonts w:ascii="Calibri" w:hAnsi="Calibri" w:cs="Calibri"/>
            </w:rPr>
            <w:fldChar w:fldCharType="begin"/>
          </w:r>
          <w:r>
            <w:rPr>
              <w:rFonts w:ascii="Calibri" w:hAnsi="Calibri" w:cs="Calibri"/>
            </w:rPr>
            <w:instrText xml:space="preserve">CITATION Kës19A \l 1033 </w:instrText>
          </w:r>
          <w:r w:rsidR="00EC56B7" w:rsidRPr="00E97254">
            <w:rPr>
              <w:rFonts w:ascii="Calibri" w:hAnsi="Calibri" w:cs="Calibri"/>
            </w:rPr>
            <w:fldChar w:fldCharType="separate"/>
          </w:r>
          <w:r w:rsidR="00724BCC" w:rsidRPr="00E97254">
            <w:rPr>
              <w:rFonts w:ascii="Calibri" w:hAnsi="Calibri" w:cs="Calibri"/>
            </w:rPr>
            <w:t>[7]</w:t>
          </w:r>
          <w:r w:rsidR="00EC56B7" w:rsidRPr="00E97254">
            <w:rPr>
              <w:rFonts w:ascii="Calibri" w:hAnsi="Calibri" w:cs="Calibri"/>
            </w:rPr>
            <w:fldChar w:fldCharType="end"/>
          </w:r>
        </w:sdtContent>
      </w:sdt>
      <w:r w:rsidR="00E70FA2" w:rsidRPr="00E97254">
        <w:rPr>
          <w:rFonts w:ascii="Calibri" w:hAnsi="Calibri" w:cs="Calibri"/>
        </w:rPr>
        <w:t>,</w:t>
      </w:r>
      <w:r w:rsidR="002B257B" w:rsidRPr="00E97254">
        <w:rPr>
          <w:rFonts w:ascii="Calibri" w:hAnsi="Calibri" w:cs="Calibri"/>
        </w:rPr>
        <w:t xml:space="preserve"> </w:t>
      </w:r>
      <w:r>
        <w:rPr>
          <w:rFonts w:ascii="Calibri" w:hAnsi="Calibri" w:cs="Calibri"/>
        </w:rPr>
        <w:t xml:space="preserve">ritmi i rritjes së vazhdueshme ekonomike arriti pikën kulmore prej 4.1% në vitin 2018, ndërsa u ngadalësua ndjeshëm në vitin 2019, ku, </w:t>
      </w:r>
      <w:r>
        <w:t>si pasojë e tërmetit shkatërrues që goditi Shqipërinë më 26 nëntor 2019 dhe faktorëve të tjerë</w:t>
      </w:r>
      <w:r>
        <w:rPr>
          <w:rFonts w:ascii="Calibri" w:hAnsi="Calibri" w:cs="Calibri"/>
        </w:rPr>
        <w:t xml:space="preserve">, rritja ekonomike ishte 2.2%. </w:t>
      </w:r>
      <w:r>
        <w:t xml:space="preserve">Përgjatë vitit 2020 ekonomia globale u përball me vazhdimin e përhapjes së pandemisë Covid-19 dhe me masat shtrënguese të ndërmarra nga autoritetet. Ndërkaq, Shqipëria është veçanërisht e ekspozuar ndaj tkurrjes ekonomike prej pandemisë për shkak se mbështetet fort nga sektori i turizmit dhe për shkak të marrëdhënieve të saj intensive me disa ekonomi të BE-së të prekura rëndë nga pandemia. Për pasojë, ekonomia shqiptare ka pësuar rënie me 5.52 për qind gjatë nëntë muajve të vitit 2020 kundrejt së njëjtës periudhë të vitit 2019, ndërsa parashikohet që rënia ekonomike e vitit 2020 të jetë 4.4 për qind </w:t>
      </w:r>
      <w:sdt>
        <w:sdtPr>
          <w:rPr>
            <w:rFonts w:ascii="Calibri" w:hAnsi="Calibri" w:cs="Calibri"/>
          </w:rPr>
          <w:id w:val="109632911"/>
          <w:citation/>
        </w:sdtPr>
        <w:sdtEndPr/>
        <w:sdtContent>
          <w:r w:rsidR="00EC56B7" w:rsidRPr="00E97254">
            <w:rPr>
              <w:rFonts w:ascii="Calibri" w:hAnsi="Calibri" w:cs="Calibri"/>
            </w:rPr>
            <w:fldChar w:fldCharType="begin"/>
          </w:r>
          <w:r>
            <w:rPr>
              <w:rFonts w:ascii="Calibri" w:hAnsi="Calibri" w:cs="Calibri"/>
            </w:rPr>
            <w:instrText xml:space="preserve">CITATION Kës19A \l 1033 </w:instrText>
          </w:r>
          <w:r w:rsidR="00EC56B7" w:rsidRPr="00E97254">
            <w:rPr>
              <w:rFonts w:ascii="Calibri" w:hAnsi="Calibri" w:cs="Calibri"/>
            </w:rPr>
            <w:fldChar w:fldCharType="separate"/>
          </w:r>
          <w:r w:rsidR="00724BCC" w:rsidRPr="00E97254">
            <w:rPr>
              <w:rFonts w:ascii="Calibri" w:hAnsi="Calibri" w:cs="Calibri"/>
            </w:rPr>
            <w:t>[7]</w:t>
          </w:r>
          <w:r w:rsidR="00EC56B7" w:rsidRPr="00E97254">
            <w:rPr>
              <w:rFonts w:ascii="Calibri" w:hAnsi="Calibri" w:cs="Calibri"/>
            </w:rPr>
            <w:fldChar w:fldCharType="end"/>
          </w:r>
        </w:sdtContent>
      </w:sdt>
      <w:r w:rsidR="006803FC" w:rsidRPr="00E97254">
        <w:t>.</w:t>
      </w:r>
      <w:r w:rsidR="00113E8D" w:rsidRPr="00E97254">
        <w:t xml:space="preserve"> </w:t>
      </w:r>
      <w:r w:rsidR="00411EF4" w:rsidRPr="00E97254">
        <w:rPr>
          <w:rFonts w:ascii="Calibri" w:hAnsi="Calibri" w:cs="Calibri"/>
        </w:rPr>
        <w:t xml:space="preserve"> (</w:t>
      </w:r>
      <w:r w:rsidR="008D102D">
        <w:fldChar w:fldCharType="begin"/>
      </w:r>
      <w:r w:rsidR="008D102D">
        <w:instrText xml:space="preserve"> REF _Ref52116908 \h  \* MERGEFORMAT </w:instrText>
      </w:r>
      <w:r w:rsidR="008D102D">
        <w:fldChar w:fldCharType="separate"/>
      </w:r>
      <w:r w:rsidR="005A6200" w:rsidRPr="00E97254">
        <w:t>Figura 1</w:t>
      </w:r>
      <w:r w:rsidR="008D102D">
        <w:fldChar w:fldCharType="end"/>
      </w:r>
      <w:r w:rsidR="00411EF4" w:rsidRPr="00E97254">
        <w:rPr>
          <w:rFonts w:ascii="Calibri" w:hAnsi="Calibri" w:cs="Calibri"/>
        </w:rPr>
        <w:t>)</w:t>
      </w:r>
      <w:r w:rsidR="000564F1" w:rsidRPr="00E97254">
        <w:rPr>
          <w:rFonts w:ascii="Calibri" w:hAnsi="Calibri" w:cs="Calibri"/>
        </w:rPr>
        <w:t xml:space="preserve">. </w:t>
      </w:r>
    </w:p>
    <w:p w:rsidR="00941864" w:rsidRPr="00E97254" w:rsidRDefault="00941864" w:rsidP="000C0250">
      <w:pPr>
        <w:spacing w:after="0"/>
        <w:jc w:val="both"/>
        <w:rPr>
          <w:rFonts w:ascii="Calibri" w:hAnsi="Calibri" w:cs="Calibri"/>
        </w:rPr>
      </w:pPr>
    </w:p>
    <w:p w:rsidR="00941864" w:rsidRPr="00E97254" w:rsidRDefault="00FA5606" w:rsidP="000C0250">
      <w:pPr>
        <w:pStyle w:val="Caption"/>
        <w:spacing w:line="276" w:lineRule="auto"/>
        <w:jc w:val="both"/>
        <w:rPr>
          <w:rFonts w:ascii="Calibri" w:hAnsi="Calibri" w:cs="Calibri"/>
          <w:b w:val="0"/>
          <w:color w:val="auto"/>
          <w:sz w:val="22"/>
          <w:szCs w:val="22"/>
        </w:rPr>
      </w:pPr>
      <w:bookmarkStart w:id="11" w:name="_Ref52116908"/>
      <w:bookmarkStart w:id="12" w:name="_Toc66802054"/>
      <w:r w:rsidRPr="00FA5606">
        <w:rPr>
          <w:color w:val="auto"/>
          <w:sz w:val="22"/>
        </w:rPr>
        <w:t xml:space="preserve">Figura </w:t>
      </w:r>
      <w:r w:rsidR="00EC56B7" w:rsidRPr="00FA5606">
        <w:rPr>
          <w:color w:val="auto"/>
          <w:sz w:val="22"/>
        </w:rPr>
        <w:fldChar w:fldCharType="begin"/>
      </w:r>
      <w:r w:rsidRPr="00FA5606">
        <w:rPr>
          <w:color w:val="auto"/>
          <w:sz w:val="22"/>
        </w:rPr>
        <w:instrText xml:space="preserve"> SEQ Figura \* ARABIC </w:instrText>
      </w:r>
      <w:r w:rsidR="00EC56B7" w:rsidRPr="00FA5606">
        <w:rPr>
          <w:color w:val="auto"/>
          <w:sz w:val="22"/>
        </w:rPr>
        <w:fldChar w:fldCharType="separate"/>
      </w:r>
      <w:r w:rsidRPr="00FA5606">
        <w:rPr>
          <w:color w:val="auto"/>
          <w:sz w:val="22"/>
        </w:rPr>
        <w:t>1</w:t>
      </w:r>
      <w:r w:rsidR="00EC56B7" w:rsidRPr="00FA5606">
        <w:rPr>
          <w:color w:val="auto"/>
          <w:sz w:val="22"/>
        </w:rPr>
        <w:fldChar w:fldCharType="end"/>
      </w:r>
      <w:bookmarkEnd w:id="11"/>
      <w:r w:rsidRPr="00FA5606">
        <w:rPr>
          <w:rFonts w:ascii="Calibri" w:hAnsi="Calibri" w:cs="Calibri"/>
          <w:color w:val="auto"/>
          <w:sz w:val="22"/>
          <w:szCs w:val="22"/>
        </w:rPr>
        <w:t>.</w:t>
      </w:r>
      <w:r w:rsidR="004E1F53" w:rsidRPr="004E1F53">
        <w:rPr>
          <w:rFonts w:ascii="Calibri" w:hAnsi="Calibri" w:cs="Calibri"/>
          <w:b w:val="0"/>
          <w:color w:val="auto"/>
          <w:sz w:val="22"/>
          <w:szCs w:val="22"/>
        </w:rPr>
        <w:t xml:space="preserve"> Rritja reale e PBB përgjatë viteve (në %)</w:t>
      </w:r>
      <w:bookmarkEnd w:id="12"/>
    </w:p>
    <w:p w:rsidR="00CB2BD7" w:rsidRPr="00E97254" w:rsidRDefault="006803FC" w:rsidP="000C0250">
      <w:pPr>
        <w:spacing w:after="0"/>
        <w:jc w:val="both"/>
        <w:rPr>
          <w:rFonts w:cs="Calibri"/>
        </w:rPr>
      </w:pPr>
      <w:r w:rsidRPr="00E97254">
        <w:rPr>
          <w:noProof/>
          <w:lang w:val="en-US"/>
        </w:rPr>
        <w:lastRenderedPageBreak/>
        <w:drawing>
          <wp:inline distT="0" distB="0" distL="0" distR="0">
            <wp:extent cx="3971925" cy="2152650"/>
            <wp:effectExtent l="0" t="0" r="0" b="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146853" w:rsidRPr="00E97254" w:rsidRDefault="00146853" w:rsidP="000C0250">
      <w:pPr>
        <w:spacing w:after="0"/>
        <w:jc w:val="both"/>
        <w:rPr>
          <w:rFonts w:ascii="Calibri" w:hAnsi="Calibri" w:cs="Calibri"/>
        </w:rPr>
      </w:pPr>
      <w:r w:rsidRPr="00E97254">
        <w:rPr>
          <w:rFonts w:ascii="Calibri" w:hAnsi="Calibri" w:cs="Calibri"/>
        </w:rPr>
        <w:t xml:space="preserve">Rritja ekonomike përgjatë viteve ka rezultuar me rritje të punësimit. Sipas raportit “Trendet e tregut të punës në shtetet e Ballkanit Perëndimor 2019” </w:t>
      </w:r>
      <w:sdt>
        <w:sdtPr>
          <w:rPr>
            <w:rFonts w:ascii="Calibri" w:hAnsi="Calibri" w:cs="Calibri"/>
          </w:rPr>
          <w:id w:val="-749727263"/>
          <w:citation/>
        </w:sdtPr>
        <w:sdtEndPr/>
        <w:sdtContent>
          <w:r w:rsidR="00EC56B7" w:rsidRPr="00E97254">
            <w:rPr>
              <w:rFonts w:ascii="Calibri" w:hAnsi="Calibri" w:cs="Calibri"/>
            </w:rPr>
            <w:fldChar w:fldCharType="begin"/>
          </w:r>
          <w:r w:rsidR="004E1F53">
            <w:rPr>
              <w:rFonts w:ascii="Calibri" w:hAnsi="Calibri" w:cs="Calibri"/>
            </w:rPr>
            <w:instrText xml:space="preserve"> CITATION WBW19 \l 1033 </w:instrText>
          </w:r>
          <w:r w:rsidR="00EC56B7" w:rsidRPr="00E97254">
            <w:rPr>
              <w:rFonts w:ascii="Calibri" w:hAnsi="Calibri" w:cs="Calibri"/>
            </w:rPr>
            <w:fldChar w:fldCharType="separate"/>
          </w:r>
          <w:r w:rsidR="00724BCC" w:rsidRPr="00E97254">
            <w:rPr>
              <w:rFonts w:ascii="Calibri" w:hAnsi="Calibri" w:cs="Calibri"/>
            </w:rPr>
            <w:t>[8]</w:t>
          </w:r>
          <w:r w:rsidR="00EC56B7" w:rsidRPr="00E97254">
            <w:rPr>
              <w:rFonts w:ascii="Calibri" w:hAnsi="Calibri" w:cs="Calibri"/>
            </w:rPr>
            <w:fldChar w:fldCharType="end"/>
          </w:r>
        </w:sdtContent>
      </w:sdt>
      <w:r w:rsidRPr="00E97254">
        <w:rPr>
          <w:rFonts w:ascii="Calibri" w:hAnsi="Calibri" w:cs="Calibri"/>
        </w:rPr>
        <w:t>, në periudhën TM2/2017 – TM2/2018, në Shqipëri janë krijuar 38,700 vende të reja pune nga gjithsej 68,000 në shtetet e Ballkanit Perëndimor</w:t>
      </w:r>
      <w:r w:rsidRPr="00E97254">
        <w:rPr>
          <w:rStyle w:val="FootnoteReference"/>
          <w:rFonts w:ascii="Calibri" w:hAnsi="Calibri" w:cs="Calibri"/>
        </w:rPr>
        <w:footnoteReference w:id="2"/>
      </w:r>
      <w:r w:rsidRPr="00E97254">
        <w:rPr>
          <w:rFonts w:ascii="Calibri" w:hAnsi="Calibri" w:cs="Calibri"/>
        </w:rPr>
        <w:t xml:space="preserve">, duke shënuar rritjen më të madhe të normës së punësimit në Rajon prej 3.3%. Në po këtë periudhë norma e punësimit ka arritur në 60% (mesatarja ballkanike: 52.9%), ndërsa norma e punësimit të gruas në 52.1% (mesatarja ballkanike: 44.1%), duke shënuar ngushtim të ndjeshëm të hendekut gjinor në punësim. Vende të reja pune janë krijuar në të gjithë sektorët e ekonomisë, ndërkaq norma e papunësisë në TM2/2018 ka qenë më e ulëta në rajon – 12.4% </w:t>
      </w:r>
      <w:sdt>
        <w:sdtPr>
          <w:rPr>
            <w:rFonts w:ascii="Calibri" w:hAnsi="Calibri" w:cs="Calibri"/>
          </w:rPr>
          <w:id w:val="1572846874"/>
          <w:citation/>
        </w:sdtPr>
        <w:sdtEndPr/>
        <w:sdtContent>
          <w:r w:rsidR="00EC56B7" w:rsidRPr="00E97254">
            <w:rPr>
              <w:rFonts w:ascii="Calibri" w:hAnsi="Calibri" w:cs="Calibri"/>
            </w:rPr>
            <w:fldChar w:fldCharType="begin"/>
          </w:r>
          <w:r w:rsidR="004E1F53">
            <w:rPr>
              <w:rFonts w:ascii="Calibri" w:hAnsi="Calibri" w:cs="Calibri"/>
            </w:rPr>
            <w:instrText xml:space="preserve"> CITATION Ban20 \l 1033 </w:instrText>
          </w:r>
          <w:r w:rsidR="00EC56B7" w:rsidRPr="00E97254">
            <w:rPr>
              <w:rFonts w:ascii="Calibri" w:hAnsi="Calibri" w:cs="Calibri"/>
            </w:rPr>
            <w:fldChar w:fldCharType="separate"/>
          </w:r>
          <w:r w:rsidR="00724BCC" w:rsidRPr="00E97254">
            <w:rPr>
              <w:rFonts w:ascii="Calibri" w:hAnsi="Calibri" w:cs="Calibri"/>
            </w:rPr>
            <w:t>[9]</w:t>
          </w:r>
          <w:r w:rsidR="00EC56B7" w:rsidRPr="00E97254">
            <w:rPr>
              <w:rFonts w:ascii="Calibri" w:hAnsi="Calibri" w:cs="Calibri"/>
            </w:rPr>
            <w:fldChar w:fldCharType="end"/>
          </w:r>
        </w:sdtContent>
      </w:sdt>
      <w:r w:rsidRPr="00E97254">
        <w:rPr>
          <w:rFonts w:ascii="Calibri" w:hAnsi="Calibri" w:cs="Calibri"/>
        </w:rPr>
        <w:t>, ndërkohë që</w:t>
      </w:r>
      <w:r w:rsidR="00102BE2" w:rsidRPr="00E97254">
        <w:rPr>
          <w:rFonts w:ascii="Calibri" w:hAnsi="Calibri" w:cs="Calibri"/>
        </w:rPr>
        <w:t>,</w:t>
      </w:r>
      <w:r w:rsidRPr="00E97254">
        <w:rPr>
          <w:rFonts w:ascii="Calibri" w:hAnsi="Calibri" w:cs="Calibri"/>
        </w:rPr>
        <w:t xml:space="preserve"> sipas Bankës së Shqipërisë</w:t>
      </w:r>
      <w:r w:rsidR="00102BE2" w:rsidRPr="00E97254">
        <w:rPr>
          <w:rFonts w:ascii="Calibri" w:hAnsi="Calibri" w:cs="Calibri"/>
        </w:rPr>
        <w:t>,</w:t>
      </w:r>
      <w:r w:rsidRPr="00E97254">
        <w:rPr>
          <w:rFonts w:ascii="Calibri" w:hAnsi="Calibri" w:cs="Calibri"/>
        </w:rPr>
        <w:t xml:space="preserve"> në TM3/2019 ka arritur në nivelin më të ulët historik, rreth 11.4%. Megjithatë, përqindja e të rinjve të moshës 15-24 vjeç që nuk janë të punësuar dhe nuk vijojnë një program të shkollimit ose formimit (NEET) është ndë</w:t>
      </w:r>
      <w:r w:rsidR="004E1F53">
        <w:rPr>
          <w:rFonts w:ascii="Calibri" w:hAnsi="Calibri" w:cs="Calibri"/>
        </w:rPr>
        <w:t xml:space="preserve">r më të lartat në Rajon – 26%. Si rezultat i fushatës së Qeverisë, norma e punësimit informal ka rënë nga 50% në vitin 2014 në 36% në TM3/2018. </w:t>
      </w:r>
    </w:p>
    <w:p w:rsidR="004E0EF2" w:rsidRPr="00E97254" w:rsidRDefault="004E1F53" w:rsidP="00B6232D">
      <w:pPr>
        <w:spacing w:after="0"/>
        <w:jc w:val="both"/>
        <w:rPr>
          <w:rFonts w:ascii="Calibri" w:hAnsi="Calibri" w:cs="Calibri"/>
        </w:rPr>
      </w:pPr>
      <w:r>
        <w:rPr>
          <w:rFonts w:ascii="Calibri" w:hAnsi="Calibri" w:cs="Calibri"/>
        </w:rPr>
        <w:t xml:space="preserve">Sipas kuadrit të aprovuar në janarin e vitit 2021 </w:t>
      </w:r>
      <w:sdt>
        <w:sdtPr>
          <w:rPr>
            <w:rFonts w:ascii="Calibri" w:hAnsi="Calibri" w:cs="Calibri"/>
          </w:rPr>
          <w:id w:val="-1836063952"/>
          <w:citation/>
        </w:sdtPr>
        <w:sdtEndPr/>
        <w:sdtContent>
          <w:r w:rsidR="00EC56B7" w:rsidRPr="00E97254">
            <w:rPr>
              <w:rFonts w:ascii="Calibri" w:hAnsi="Calibri" w:cs="Calibri"/>
            </w:rPr>
            <w:fldChar w:fldCharType="begin"/>
          </w:r>
          <w:r>
            <w:rPr>
              <w:rFonts w:ascii="Calibri" w:hAnsi="Calibri" w:cs="Calibri"/>
            </w:rPr>
            <w:instrText xml:space="preserve">CITATION Kës19A \l 1033 </w:instrText>
          </w:r>
          <w:r w:rsidR="00EC56B7" w:rsidRPr="00E97254">
            <w:rPr>
              <w:rFonts w:ascii="Calibri" w:hAnsi="Calibri" w:cs="Calibri"/>
            </w:rPr>
            <w:fldChar w:fldCharType="separate"/>
          </w:r>
          <w:r w:rsidR="00724BCC" w:rsidRPr="00E97254">
            <w:rPr>
              <w:rFonts w:ascii="Calibri" w:hAnsi="Calibri" w:cs="Calibri"/>
            </w:rPr>
            <w:t>[7]</w:t>
          </w:r>
          <w:r w:rsidR="00EC56B7" w:rsidRPr="00E97254">
            <w:rPr>
              <w:rFonts w:ascii="Calibri" w:hAnsi="Calibri" w:cs="Calibri"/>
            </w:rPr>
            <w:fldChar w:fldCharType="end"/>
          </w:r>
        </w:sdtContent>
      </w:sdt>
      <w:r w:rsidR="00146853" w:rsidRPr="00E97254">
        <w:rPr>
          <w:rFonts w:ascii="Calibri" w:hAnsi="Calibri" w:cs="Calibri"/>
        </w:rPr>
        <w:t xml:space="preserve">, politika fiskale e Qeverisë për periudhën afatmesme 2022-2024 do të ishte e orientuar drejt konsolidimit fiskal, ndërkohë </w:t>
      </w:r>
      <w:r w:rsidR="00146853" w:rsidRPr="00E97254">
        <w:t xml:space="preserve">rritja ekonomike parashikohet në 4.8, 4.5 dhe 3.9 </w:t>
      </w:r>
      <w:r>
        <w:t>për qind respektivisht për vitet 2022, 2023 dhe 2024</w:t>
      </w:r>
      <w:r>
        <w:rPr>
          <w:rFonts w:ascii="Calibri" w:hAnsi="Calibri" w:cs="Calibri"/>
        </w:rPr>
        <w:t xml:space="preserve">. </w:t>
      </w:r>
    </w:p>
    <w:p w:rsidR="00A91762" w:rsidRPr="00E97254" w:rsidRDefault="008D102D" w:rsidP="000C0250">
      <w:pPr>
        <w:spacing w:before="120" w:after="0"/>
        <w:jc w:val="both"/>
        <w:rPr>
          <w:rFonts w:ascii="Calibri" w:hAnsi="Calibri" w:cs="Calibri"/>
        </w:rPr>
      </w:pPr>
      <w:r>
        <w:fldChar w:fldCharType="begin"/>
      </w:r>
      <w:r>
        <w:instrText xml:space="preserve"> REF _Ref34146372 \h  \* MERGEFORMAT </w:instrText>
      </w:r>
      <w:r>
        <w:fldChar w:fldCharType="separate"/>
      </w:r>
      <w:r w:rsidR="005A6200" w:rsidRPr="00E97254">
        <w:rPr>
          <w:rFonts w:ascii="Calibri" w:hAnsi="Calibri" w:cs="Calibri"/>
        </w:rPr>
        <w:t>Tabela 1</w:t>
      </w:r>
      <w:r>
        <w:fldChar w:fldCharType="end"/>
      </w:r>
      <w:r w:rsidR="00A91762" w:rsidRPr="00E97254">
        <w:rPr>
          <w:rFonts w:ascii="Calibri" w:hAnsi="Calibri" w:cs="Calibri"/>
        </w:rPr>
        <w:t xml:space="preserve"> përmbledh tregues</w:t>
      </w:r>
      <w:r w:rsidR="009B00B0" w:rsidRPr="00E97254">
        <w:rPr>
          <w:rFonts w:ascii="Calibri" w:hAnsi="Calibri" w:cs="Calibri"/>
        </w:rPr>
        <w:t xml:space="preserve"> </w:t>
      </w:r>
      <w:r w:rsidR="00A91762" w:rsidRPr="00E97254">
        <w:rPr>
          <w:rFonts w:ascii="Calibri" w:hAnsi="Calibri" w:cs="Calibri"/>
        </w:rPr>
        <w:t>të</w:t>
      </w:r>
      <w:r w:rsidR="009B00B0" w:rsidRPr="00E97254">
        <w:rPr>
          <w:rFonts w:ascii="Calibri" w:hAnsi="Calibri" w:cs="Calibri"/>
        </w:rPr>
        <w:t xml:space="preserve"> </w:t>
      </w:r>
      <w:r w:rsidR="004E1F53">
        <w:rPr>
          <w:rFonts w:ascii="Calibri" w:hAnsi="Calibri" w:cs="Calibri"/>
        </w:rPr>
        <w:t xml:space="preserve">përzgjedhur makroekonomikë për periudhën 2018-2022. </w:t>
      </w:r>
    </w:p>
    <w:p w:rsidR="00CB2BD7" w:rsidRPr="00E97254" w:rsidRDefault="00FA5606" w:rsidP="000C0250">
      <w:pPr>
        <w:pStyle w:val="Caption"/>
        <w:keepNext/>
        <w:spacing w:after="120" w:line="276" w:lineRule="auto"/>
        <w:jc w:val="both"/>
        <w:rPr>
          <w:rFonts w:ascii="Calibri" w:hAnsi="Calibri" w:cs="Calibri"/>
          <w:color w:val="auto"/>
          <w:sz w:val="32"/>
          <w:szCs w:val="32"/>
        </w:rPr>
      </w:pPr>
      <w:bookmarkStart w:id="13" w:name="_Ref34146372"/>
      <w:bookmarkStart w:id="14" w:name="_Toc66802035"/>
      <w:r w:rsidRPr="00FA5606">
        <w:rPr>
          <w:rFonts w:ascii="Calibri" w:hAnsi="Calibri" w:cs="Calibri"/>
          <w:color w:val="auto"/>
          <w:sz w:val="22"/>
          <w:szCs w:val="22"/>
        </w:rPr>
        <w:t xml:space="preserve">Tabela </w:t>
      </w:r>
      <w:r w:rsidR="00EC56B7" w:rsidRPr="00FA5606">
        <w:rPr>
          <w:rFonts w:ascii="Calibri" w:hAnsi="Calibri" w:cs="Calibri"/>
          <w:color w:val="auto"/>
          <w:sz w:val="22"/>
          <w:szCs w:val="22"/>
        </w:rPr>
        <w:fldChar w:fldCharType="begin"/>
      </w:r>
      <w:r w:rsidRPr="00FA5606">
        <w:rPr>
          <w:rFonts w:ascii="Calibri" w:hAnsi="Calibri" w:cs="Calibri"/>
          <w:color w:val="auto"/>
          <w:sz w:val="22"/>
          <w:szCs w:val="22"/>
        </w:rPr>
        <w:instrText xml:space="preserve"> SEQ Tabela \* ARABIC </w:instrText>
      </w:r>
      <w:r w:rsidR="00EC56B7" w:rsidRPr="00FA5606">
        <w:rPr>
          <w:rFonts w:ascii="Calibri" w:hAnsi="Calibri" w:cs="Calibri"/>
          <w:color w:val="auto"/>
          <w:sz w:val="22"/>
          <w:szCs w:val="22"/>
        </w:rPr>
        <w:fldChar w:fldCharType="separate"/>
      </w:r>
      <w:r w:rsidRPr="00FA5606">
        <w:rPr>
          <w:rFonts w:ascii="Calibri" w:hAnsi="Calibri" w:cs="Calibri"/>
          <w:color w:val="auto"/>
          <w:sz w:val="22"/>
          <w:szCs w:val="22"/>
        </w:rPr>
        <w:t>1</w:t>
      </w:r>
      <w:r w:rsidR="00EC56B7" w:rsidRPr="00FA5606">
        <w:rPr>
          <w:rFonts w:ascii="Calibri" w:hAnsi="Calibri" w:cs="Calibri"/>
          <w:color w:val="auto"/>
          <w:sz w:val="22"/>
          <w:szCs w:val="22"/>
        </w:rPr>
        <w:fldChar w:fldCharType="end"/>
      </w:r>
      <w:bookmarkEnd w:id="13"/>
      <w:r w:rsidRPr="00FA5606">
        <w:rPr>
          <w:rFonts w:ascii="Calibri" w:hAnsi="Calibri" w:cs="Calibri"/>
          <w:color w:val="auto"/>
          <w:sz w:val="22"/>
          <w:szCs w:val="22"/>
        </w:rPr>
        <w:t xml:space="preserve">. </w:t>
      </w:r>
      <w:r w:rsidR="004E1F53" w:rsidRPr="004E1F53">
        <w:rPr>
          <w:rFonts w:ascii="Calibri" w:hAnsi="Calibri" w:cs="Calibri"/>
          <w:b w:val="0"/>
          <w:color w:val="auto"/>
          <w:sz w:val="22"/>
          <w:szCs w:val="22"/>
        </w:rPr>
        <w:t>Treguesit e përzgjedhur makroekonomikë</w:t>
      </w:r>
      <w:r w:rsidRPr="00FA5606">
        <w:rPr>
          <w:rFonts w:ascii="Calibri" w:hAnsi="Calibri" w:cs="Calibri"/>
          <w:color w:val="auto"/>
          <w:sz w:val="22"/>
          <w:szCs w:val="22"/>
        </w:rPr>
        <w:t xml:space="preserve"> </w:t>
      </w:r>
      <w:sdt>
        <w:sdtPr>
          <w:rPr>
            <w:rFonts w:ascii="Calibri" w:hAnsi="Calibri" w:cs="Calibri"/>
            <w:color w:val="auto"/>
            <w:sz w:val="22"/>
            <w:szCs w:val="22"/>
          </w:rPr>
          <w:id w:val="-549302963"/>
          <w:citation/>
        </w:sdtPr>
        <w:sdtEndPr/>
        <w:sdtContent>
          <w:r w:rsidR="00EC56B7" w:rsidRPr="00FA5606">
            <w:rPr>
              <w:rFonts w:ascii="Calibri" w:hAnsi="Calibri" w:cs="Calibri"/>
              <w:color w:val="auto"/>
              <w:sz w:val="22"/>
              <w:szCs w:val="22"/>
            </w:rPr>
            <w:fldChar w:fldCharType="begin"/>
          </w:r>
          <w:r w:rsidRPr="00FA5606">
            <w:rPr>
              <w:rFonts w:ascii="Calibri" w:hAnsi="Calibri" w:cs="Calibri"/>
              <w:color w:val="auto"/>
              <w:sz w:val="22"/>
              <w:szCs w:val="22"/>
            </w:rPr>
            <w:instrText xml:space="preserve"> CITATION Kës19A \l 1033 </w:instrText>
          </w:r>
          <w:r w:rsidR="00EC56B7" w:rsidRPr="00FA5606">
            <w:rPr>
              <w:rFonts w:ascii="Calibri" w:hAnsi="Calibri" w:cs="Calibri"/>
              <w:color w:val="auto"/>
              <w:sz w:val="22"/>
              <w:szCs w:val="22"/>
            </w:rPr>
            <w:fldChar w:fldCharType="separate"/>
          </w:r>
          <w:r w:rsidRPr="00FA5606">
            <w:rPr>
              <w:rFonts w:ascii="Calibri" w:hAnsi="Calibri" w:cs="Calibri"/>
              <w:color w:val="auto"/>
              <w:sz w:val="22"/>
              <w:szCs w:val="22"/>
            </w:rPr>
            <w:t>[7]</w:t>
          </w:r>
          <w:r w:rsidR="00EC56B7" w:rsidRPr="00FA5606">
            <w:rPr>
              <w:rFonts w:ascii="Calibri" w:hAnsi="Calibri" w:cs="Calibri"/>
              <w:color w:val="auto"/>
              <w:sz w:val="22"/>
              <w:szCs w:val="22"/>
            </w:rPr>
            <w:fldChar w:fldCharType="end"/>
          </w:r>
        </w:sdtContent>
      </w:sdt>
      <w:sdt>
        <w:sdtPr>
          <w:rPr>
            <w:color w:val="auto"/>
            <w:sz w:val="32"/>
            <w:szCs w:val="32"/>
          </w:rPr>
          <w:id w:val="-646966627"/>
          <w:citation/>
        </w:sdtPr>
        <w:sdtEndPr/>
        <w:sdtContent/>
      </w:sdt>
      <w:bookmarkEnd w:id="14"/>
    </w:p>
    <w:tbl>
      <w:tblPr>
        <w:tblW w:w="922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9"/>
        <w:gridCol w:w="1033"/>
        <w:gridCol w:w="850"/>
        <w:gridCol w:w="850"/>
        <w:gridCol w:w="850"/>
        <w:gridCol w:w="850"/>
        <w:gridCol w:w="850"/>
        <w:gridCol w:w="850"/>
        <w:gridCol w:w="850"/>
      </w:tblGrid>
      <w:tr w:rsidR="003728C4" w:rsidRPr="00E97254" w:rsidTr="00366917">
        <w:tc>
          <w:tcPr>
            <w:tcW w:w="2239" w:type="dxa"/>
            <w:vMerge w:val="restart"/>
            <w:vAlign w:val="center"/>
          </w:tcPr>
          <w:p w:rsidR="003728C4" w:rsidRPr="00E97254" w:rsidRDefault="004E1F53" w:rsidP="000C0250">
            <w:pPr>
              <w:keepNext/>
              <w:spacing w:after="0"/>
              <w:jc w:val="both"/>
              <w:rPr>
                <w:rFonts w:cstheme="minorHAnsi"/>
                <w:b/>
                <w:sz w:val="20"/>
                <w:szCs w:val="20"/>
              </w:rPr>
            </w:pPr>
            <w:r>
              <w:rPr>
                <w:rFonts w:cstheme="minorHAnsi"/>
                <w:b/>
                <w:sz w:val="20"/>
                <w:szCs w:val="20"/>
              </w:rPr>
              <w:t>Treguesi</w:t>
            </w:r>
          </w:p>
        </w:tc>
        <w:tc>
          <w:tcPr>
            <w:tcW w:w="1033" w:type="dxa"/>
            <w:vMerge w:val="restart"/>
            <w:vAlign w:val="center"/>
          </w:tcPr>
          <w:p w:rsidR="003728C4" w:rsidRPr="00E97254" w:rsidRDefault="004E1F53" w:rsidP="000C0250">
            <w:pPr>
              <w:keepNext/>
              <w:spacing w:after="0"/>
              <w:jc w:val="both"/>
              <w:rPr>
                <w:rFonts w:cstheme="minorHAnsi"/>
                <w:b/>
                <w:sz w:val="20"/>
                <w:szCs w:val="20"/>
              </w:rPr>
            </w:pPr>
            <w:r>
              <w:rPr>
                <w:rFonts w:cstheme="minorHAnsi"/>
                <w:b/>
                <w:sz w:val="20"/>
                <w:szCs w:val="20"/>
              </w:rPr>
              <w:t>Njësia</w:t>
            </w:r>
          </w:p>
        </w:tc>
        <w:tc>
          <w:tcPr>
            <w:tcW w:w="850" w:type="dxa"/>
            <w:vMerge w:val="restart"/>
            <w:vAlign w:val="center"/>
          </w:tcPr>
          <w:p w:rsidR="003728C4" w:rsidRPr="00E97254" w:rsidRDefault="004E1F53" w:rsidP="000C0250">
            <w:pPr>
              <w:keepNext/>
              <w:spacing w:after="0"/>
              <w:jc w:val="center"/>
              <w:rPr>
                <w:rFonts w:cstheme="minorHAnsi"/>
                <w:b/>
                <w:sz w:val="20"/>
                <w:szCs w:val="20"/>
              </w:rPr>
            </w:pPr>
            <w:r>
              <w:rPr>
                <w:rFonts w:cstheme="minorHAnsi"/>
                <w:b/>
                <w:sz w:val="20"/>
                <w:szCs w:val="20"/>
              </w:rPr>
              <w:t>2018</w:t>
            </w:r>
          </w:p>
        </w:tc>
        <w:tc>
          <w:tcPr>
            <w:tcW w:w="850" w:type="dxa"/>
            <w:vMerge w:val="restart"/>
            <w:vAlign w:val="center"/>
          </w:tcPr>
          <w:p w:rsidR="003728C4" w:rsidRPr="00E97254" w:rsidRDefault="004E1F53" w:rsidP="000C0250">
            <w:pPr>
              <w:keepNext/>
              <w:spacing w:after="0"/>
              <w:jc w:val="center"/>
              <w:rPr>
                <w:rFonts w:cstheme="minorHAnsi"/>
                <w:b/>
                <w:sz w:val="20"/>
                <w:szCs w:val="20"/>
              </w:rPr>
            </w:pPr>
            <w:r>
              <w:rPr>
                <w:rFonts w:cstheme="minorHAnsi"/>
                <w:b/>
                <w:sz w:val="20"/>
                <w:szCs w:val="20"/>
              </w:rPr>
              <w:t>2019</w:t>
            </w:r>
          </w:p>
        </w:tc>
        <w:tc>
          <w:tcPr>
            <w:tcW w:w="850" w:type="dxa"/>
            <w:vAlign w:val="center"/>
          </w:tcPr>
          <w:p w:rsidR="003728C4" w:rsidRPr="00E97254" w:rsidRDefault="004E1F53" w:rsidP="000C0250">
            <w:pPr>
              <w:keepNext/>
              <w:spacing w:after="0"/>
              <w:jc w:val="center"/>
              <w:rPr>
                <w:rFonts w:cstheme="minorHAnsi"/>
                <w:b/>
                <w:sz w:val="20"/>
                <w:szCs w:val="20"/>
              </w:rPr>
            </w:pPr>
            <w:r>
              <w:rPr>
                <w:rFonts w:cstheme="minorHAnsi"/>
                <w:b/>
                <w:sz w:val="20"/>
                <w:szCs w:val="20"/>
              </w:rPr>
              <w:t>2020</w:t>
            </w:r>
          </w:p>
        </w:tc>
        <w:tc>
          <w:tcPr>
            <w:tcW w:w="850" w:type="dxa"/>
            <w:vAlign w:val="center"/>
          </w:tcPr>
          <w:p w:rsidR="003728C4" w:rsidRPr="00E97254" w:rsidRDefault="004E1F53" w:rsidP="000C0250">
            <w:pPr>
              <w:keepNext/>
              <w:spacing w:after="0"/>
              <w:jc w:val="center"/>
              <w:rPr>
                <w:rFonts w:cstheme="minorHAnsi"/>
                <w:b/>
                <w:sz w:val="20"/>
                <w:szCs w:val="20"/>
              </w:rPr>
            </w:pPr>
            <w:r>
              <w:rPr>
                <w:rFonts w:cstheme="minorHAnsi"/>
                <w:b/>
                <w:sz w:val="20"/>
                <w:szCs w:val="20"/>
              </w:rPr>
              <w:t>2021</w:t>
            </w:r>
          </w:p>
        </w:tc>
        <w:tc>
          <w:tcPr>
            <w:tcW w:w="850" w:type="dxa"/>
            <w:vAlign w:val="center"/>
          </w:tcPr>
          <w:p w:rsidR="003728C4" w:rsidRPr="00E97254" w:rsidRDefault="004E1F53" w:rsidP="000C0250">
            <w:pPr>
              <w:keepNext/>
              <w:spacing w:after="0"/>
              <w:jc w:val="center"/>
              <w:rPr>
                <w:rFonts w:cstheme="minorHAnsi"/>
                <w:b/>
                <w:sz w:val="20"/>
                <w:szCs w:val="20"/>
              </w:rPr>
            </w:pPr>
            <w:r>
              <w:rPr>
                <w:rFonts w:cstheme="minorHAnsi"/>
                <w:b/>
                <w:sz w:val="20"/>
                <w:szCs w:val="20"/>
              </w:rPr>
              <w:t>2022</w:t>
            </w:r>
          </w:p>
        </w:tc>
        <w:tc>
          <w:tcPr>
            <w:tcW w:w="850" w:type="dxa"/>
            <w:vAlign w:val="center"/>
          </w:tcPr>
          <w:p w:rsidR="003728C4" w:rsidRPr="00E97254" w:rsidRDefault="004E1F53" w:rsidP="000C0250">
            <w:pPr>
              <w:keepNext/>
              <w:spacing w:after="0"/>
              <w:jc w:val="center"/>
              <w:rPr>
                <w:rFonts w:cstheme="minorHAnsi"/>
                <w:b/>
                <w:sz w:val="20"/>
                <w:szCs w:val="20"/>
              </w:rPr>
            </w:pPr>
            <w:r>
              <w:rPr>
                <w:rFonts w:cstheme="minorHAnsi"/>
                <w:b/>
                <w:sz w:val="20"/>
                <w:szCs w:val="20"/>
              </w:rPr>
              <w:t>2023</w:t>
            </w:r>
          </w:p>
        </w:tc>
        <w:tc>
          <w:tcPr>
            <w:tcW w:w="850" w:type="dxa"/>
            <w:vAlign w:val="center"/>
          </w:tcPr>
          <w:p w:rsidR="003728C4" w:rsidRPr="00E97254" w:rsidRDefault="004E1F53" w:rsidP="000C0250">
            <w:pPr>
              <w:keepNext/>
              <w:spacing w:after="0"/>
              <w:jc w:val="center"/>
              <w:rPr>
                <w:rFonts w:cstheme="minorHAnsi"/>
                <w:b/>
                <w:sz w:val="20"/>
                <w:szCs w:val="20"/>
              </w:rPr>
            </w:pPr>
            <w:r>
              <w:rPr>
                <w:rFonts w:cstheme="minorHAnsi"/>
                <w:b/>
                <w:sz w:val="20"/>
                <w:szCs w:val="20"/>
              </w:rPr>
              <w:t>2024</w:t>
            </w:r>
          </w:p>
        </w:tc>
      </w:tr>
      <w:tr w:rsidR="003728C4" w:rsidRPr="00E97254" w:rsidTr="00366917">
        <w:tc>
          <w:tcPr>
            <w:tcW w:w="2239" w:type="dxa"/>
            <w:vMerge/>
            <w:vAlign w:val="center"/>
          </w:tcPr>
          <w:p w:rsidR="003728C4" w:rsidRPr="00E97254" w:rsidRDefault="003728C4" w:rsidP="000C0250">
            <w:pPr>
              <w:keepNext/>
              <w:keepLines/>
              <w:spacing w:before="480" w:after="0"/>
              <w:jc w:val="both"/>
              <w:outlineLvl w:val="0"/>
              <w:rPr>
                <w:rFonts w:cstheme="minorHAnsi"/>
                <w:b/>
                <w:sz w:val="20"/>
                <w:szCs w:val="20"/>
              </w:rPr>
            </w:pPr>
          </w:p>
        </w:tc>
        <w:tc>
          <w:tcPr>
            <w:tcW w:w="1033" w:type="dxa"/>
            <w:vMerge/>
            <w:vAlign w:val="center"/>
          </w:tcPr>
          <w:p w:rsidR="003728C4" w:rsidRPr="00E97254" w:rsidRDefault="003728C4" w:rsidP="000C0250">
            <w:pPr>
              <w:keepNext/>
              <w:keepLines/>
              <w:spacing w:before="480" w:after="0"/>
              <w:jc w:val="both"/>
              <w:outlineLvl w:val="0"/>
              <w:rPr>
                <w:rFonts w:cstheme="minorHAnsi"/>
                <w:b/>
                <w:sz w:val="20"/>
                <w:szCs w:val="20"/>
              </w:rPr>
            </w:pPr>
          </w:p>
        </w:tc>
        <w:tc>
          <w:tcPr>
            <w:tcW w:w="850" w:type="dxa"/>
            <w:vMerge/>
            <w:vAlign w:val="center"/>
          </w:tcPr>
          <w:p w:rsidR="003728C4" w:rsidRPr="00E97254" w:rsidRDefault="003728C4" w:rsidP="000C0250">
            <w:pPr>
              <w:keepNext/>
              <w:keepLines/>
              <w:spacing w:before="480" w:after="0"/>
              <w:jc w:val="center"/>
              <w:outlineLvl w:val="0"/>
              <w:rPr>
                <w:rFonts w:cstheme="minorHAnsi"/>
                <w:b/>
                <w:sz w:val="20"/>
                <w:szCs w:val="20"/>
              </w:rPr>
            </w:pPr>
          </w:p>
        </w:tc>
        <w:tc>
          <w:tcPr>
            <w:tcW w:w="850" w:type="dxa"/>
            <w:vMerge/>
            <w:vAlign w:val="center"/>
          </w:tcPr>
          <w:p w:rsidR="003728C4" w:rsidRPr="00E97254" w:rsidRDefault="003728C4" w:rsidP="000C0250">
            <w:pPr>
              <w:keepNext/>
              <w:keepLines/>
              <w:spacing w:before="480" w:after="0"/>
              <w:jc w:val="center"/>
              <w:outlineLvl w:val="0"/>
              <w:rPr>
                <w:rFonts w:cstheme="minorHAnsi"/>
                <w:b/>
                <w:sz w:val="20"/>
                <w:szCs w:val="20"/>
              </w:rPr>
            </w:pPr>
          </w:p>
        </w:tc>
        <w:tc>
          <w:tcPr>
            <w:tcW w:w="850" w:type="dxa"/>
            <w:vAlign w:val="center"/>
          </w:tcPr>
          <w:p w:rsidR="003728C4" w:rsidRPr="00E97254" w:rsidRDefault="004E1F53" w:rsidP="000C0250">
            <w:pPr>
              <w:keepNext/>
              <w:spacing w:after="0"/>
              <w:jc w:val="center"/>
              <w:rPr>
                <w:rFonts w:cstheme="minorHAnsi"/>
                <w:b/>
                <w:sz w:val="20"/>
                <w:szCs w:val="20"/>
              </w:rPr>
            </w:pPr>
            <w:r>
              <w:rPr>
                <w:rFonts w:cstheme="minorHAnsi"/>
                <w:b/>
                <w:sz w:val="20"/>
                <w:szCs w:val="20"/>
              </w:rPr>
              <w:t>vler</w:t>
            </w:r>
          </w:p>
        </w:tc>
        <w:tc>
          <w:tcPr>
            <w:tcW w:w="850" w:type="dxa"/>
            <w:vAlign w:val="center"/>
          </w:tcPr>
          <w:p w:rsidR="003728C4" w:rsidRPr="00E97254" w:rsidRDefault="004E1F53" w:rsidP="000C0250">
            <w:pPr>
              <w:keepNext/>
              <w:spacing w:after="0"/>
              <w:jc w:val="center"/>
              <w:rPr>
                <w:rFonts w:cstheme="minorHAnsi"/>
                <w:b/>
                <w:sz w:val="20"/>
                <w:szCs w:val="20"/>
              </w:rPr>
            </w:pPr>
            <w:r>
              <w:rPr>
                <w:rFonts w:cstheme="minorHAnsi"/>
                <w:b/>
                <w:sz w:val="20"/>
                <w:szCs w:val="20"/>
              </w:rPr>
              <w:t>para</w:t>
            </w:r>
          </w:p>
        </w:tc>
        <w:tc>
          <w:tcPr>
            <w:tcW w:w="850" w:type="dxa"/>
            <w:vAlign w:val="center"/>
          </w:tcPr>
          <w:p w:rsidR="003728C4" w:rsidRPr="00E97254" w:rsidRDefault="004E1F53" w:rsidP="000C0250">
            <w:pPr>
              <w:keepNext/>
              <w:spacing w:after="0"/>
              <w:jc w:val="center"/>
              <w:rPr>
                <w:rFonts w:cstheme="minorHAnsi"/>
                <w:b/>
                <w:sz w:val="20"/>
                <w:szCs w:val="20"/>
              </w:rPr>
            </w:pPr>
            <w:r>
              <w:rPr>
                <w:rFonts w:cstheme="minorHAnsi"/>
                <w:b/>
                <w:sz w:val="20"/>
                <w:szCs w:val="20"/>
              </w:rPr>
              <w:t>para</w:t>
            </w:r>
          </w:p>
        </w:tc>
        <w:tc>
          <w:tcPr>
            <w:tcW w:w="850" w:type="dxa"/>
            <w:vAlign w:val="center"/>
          </w:tcPr>
          <w:p w:rsidR="003728C4" w:rsidRPr="00E97254" w:rsidRDefault="004E1F53" w:rsidP="000C0250">
            <w:pPr>
              <w:keepNext/>
              <w:spacing w:after="0"/>
              <w:jc w:val="center"/>
              <w:rPr>
                <w:rFonts w:cstheme="minorHAnsi"/>
                <w:b/>
                <w:sz w:val="20"/>
                <w:szCs w:val="20"/>
              </w:rPr>
            </w:pPr>
            <w:r>
              <w:rPr>
                <w:rFonts w:cstheme="minorHAnsi"/>
                <w:b/>
                <w:sz w:val="20"/>
                <w:szCs w:val="20"/>
              </w:rPr>
              <w:t>para</w:t>
            </w:r>
          </w:p>
        </w:tc>
        <w:tc>
          <w:tcPr>
            <w:tcW w:w="850" w:type="dxa"/>
            <w:vAlign w:val="center"/>
          </w:tcPr>
          <w:p w:rsidR="003728C4" w:rsidRPr="00E97254" w:rsidRDefault="004E1F53" w:rsidP="000C0250">
            <w:pPr>
              <w:keepNext/>
              <w:spacing w:after="0"/>
              <w:jc w:val="center"/>
              <w:rPr>
                <w:rFonts w:cstheme="minorHAnsi"/>
                <w:b/>
                <w:sz w:val="20"/>
                <w:szCs w:val="20"/>
              </w:rPr>
            </w:pPr>
            <w:r>
              <w:rPr>
                <w:rFonts w:cstheme="minorHAnsi"/>
                <w:b/>
                <w:sz w:val="20"/>
                <w:szCs w:val="20"/>
              </w:rPr>
              <w:t>para</w:t>
            </w:r>
          </w:p>
        </w:tc>
      </w:tr>
      <w:tr w:rsidR="00366917" w:rsidRPr="00E97254" w:rsidTr="00366917">
        <w:tc>
          <w:tcPr>
            <w:tcW w:w="2239" w:type="dxa"/>
            <w:vAlign w:val="center"/>
          </w:tcPr>
          <w:p w:rsidR="00366917" w:rsidRPr="00E97254" w:rsidRDefault="00AB227E" w:rsidP="000C0250">
            <w:pPr>
              <w:keepNext/>
              <w:spacing w:after="0"/>
              <w:jc w:val="both"/>
              <w:rPr>
                <w:rFonts w:cstheme="minorHAnsi"/>
                <w:sz w:val="20"/>
                <w:szCs w:val="20"/>
              </w:rPr>
            </w:pPr>
            <w:sdt>
              <w:sdtPr>
                <w:rPr>
                  <w:rFonts w:ascii="Calibri" w:hAnsi="Calibri" w:cs="Calibri"/>
                  <w:sz w:val="32"/>
                  <w:szCs w:val="32"/>
                </w:rPr>
                <w:id w:val="673462190"/>
                <w:citation/>
              </w:sdtPr>
              <w:sdtEndPr/>
              <w:sdtContent>
                <w:r w:rsidR="00366917" w:rsidRPr="00E97254">
                  <w:rPr>
                    <w:rFonts w:cstheme="minorHAnsi"/>
                    <w:sz w:val="20"/>
                    <w:szCs w:val="20"/>
                  </w:rPr>
                  <w:t>P</w:t>
                </w:r>
              </w:sdtContent>
            </w:sdt>
            <w:r w:rsidR="00366917" w:rsidRPr="00E97254">
              <w:rPr>
                <w:rFonts w:cstheme="minorHAnsi"/>
                <w:sz w:val="20"/>
                <w:szCs w:val="20"/>
              </w:rPr>
              <w:t>opullsia</w:t>
            </w:r>
            <w:r w:rsidR="00366917" w:rsidRPr="00E97254">
              <w:t xml:space="preserve"> </w:t>
            </w:r>
          </w:p>
        </w:tc>
        <w:tc>
          <w:tcPr>
            <w:tcW w:w="1033" w:type="dxa"/>
            <w:vAlign w:val="center"/>
          </w:tcPr>
          <w:p w:rsidR="00366917" w:rsidRPr="00E97254" w:rsidRDefault="004E1F53" w:rsidP="000C0250">
            <w:pPr>
              <w:keepNext/>
              <w:spacing w:after="0"/>
              <w:jc w:val="center"/>
              <w:rPr>
                <w:rFonts w:cstheme="minorHAnsi"/>
                <w:sz w:val="20"/>
                <w:szCs w:val="20"/>
              </w:rPr>
            </w:pPr>
            <w:r>
              <w:rPr>
                <w:rFonts w:cstheme="minorHAnsi"/>
                <w:sz w:val="20"/>
                <w:szCs w:val="20"/>
              </w:rPr>
              <w:t>milion</w:t>
            </w:r>
          </w:p>
        </w:tc>
        <w:tc>
          <w:tcPr>
            <w:tcW w:w="850" w:type="dxa"/>
            <w:vAlign w:val="center"/>
          </w:tcPr>
          <w:p w:rsidR="00366917" w:rsidRPr="00E97254" w:rsidRDefault="004E1F53" w:rsidP="000C0250">
            <w:pPr>
              <w:keepNext/>
              <w:spacing w:after="0"/>
              <w:jc w:val="center"/>
              <w:rPr>
                <w:rFonts w:cstheme="minorHAnsi"/>
                <w:sz w:val="20"/>
                <w:szCs w:val="20"/>
              </w:rPr>
            </w:pPr>
            <w:r>
              <w:rPr>
                <w:rFonts w:cstheme="minorHAnsi"/>
                <w:sz w:val="20"/>
                <w:szCs w:val="20"/>
              </w:rPr>
              <w:t>2.9</w:t>
            </w:r>
          </w:p>
        </w:tc>
        <w:tc>
          <w:tcPr>
            <w:tcW w:w="850" w:type="dxa"/>
            <w:vAlign w:val="center"/>
          </w:tcPr>
          <w:p w:rsidR="00366917" w:rsidRPr="00E97254" w:rsidRDefault="004E1F53" w:rsidP="000C0250">
            <w:pPr>
              <w:keepNext/>
              <w:spacing w:after="0"/>
              <w:jc w:val="center"/>
              <w:rPr>
                <w:rFonts w:cstheme="minorHAnsi"/>
                <w:sz w:val="20"/>
                <w:szCs w:val="20"/>
              </w:rPr>
            </w:pPr>
            <w:r>
              <w:rPr>
                <w:rFonts w:cstheme="minorHAnsi"/>
                <w:sz w:val="20"/>
                <w:szCs w:val="20"/>
              </w:rPr>
              <w:t>2.9</w:t>
            </w:r>
          </w:p>
        </w:tc>
        <w:tc>
          <w:tcPr>
            <w:tcW w:w="850" w:type="dxa"/>
            <w:vAlign w:val="center"/>
          </w:tcPr>
          <w:p w:rsidR="00366917" w:rsidRPr="00E97254" w:rsidRDefault="004E1F53" w:rsidP="000C0250">
            <w:pPr>
              <w:keepNext/>
              <w:spacing w:after="0"/>
              <w:jc w:val="center"/>
              <w:rPr>
                <w:rFonts w:cstheme="minorHAnsi"/>
                <w:sz w:val="20"/>
                <w:szCs w:val="20"/>
              </w:rPr>
            </w:pPr>
            <w:r>
              <w:rPr>
                <w:rFonts w:cstheme="minorHAnsi"/>
                <w:sz w:val="20"/>
                <w:szCs w:val="20"/>
              </w:rPr>
              <w:t>2.8</w:t>
            </w:r>
          </w:p>
        </w:tc>
        <w:tc>
          <w:tcPr>
            <w:tcW w:w="850" w:type="dxa"/>
            <w:vAlign w:val="center"/>
          </w:tcPr>
          <w:p w:rsidR="00366917" w:rsidRPr="00E97254" w:rsidRDefault="004E1F53" w:rsidP="000C0250">
            <w:pPr>
              <w:keepNext/>
              <w:spacing w:after="0"/>
              <w:jc w:val="center"/>
              <w:rPr>
                <w:rFonts w:cstheme="minorHAnsi"/>
                <w:sz w:val="20"/>
                <w:szCs w:val="20"/>
              </w:rPr>
            </w:pPr>
            <w:r>
              <w:rPr>
                <w:rFonts w:cstheme="minorHAnsi"/>
                <w:sz w:val="20"/>
                <w:szCs w:val="20"/>
              </w:rPr>
              <w:t>2.8</w:t>
            </w:r>
          </w:p>
        </w:tc>
        <w:tc>
          <w:tcPr>
            <w:tcW w:w="850" w:type="dxa"/>
            <w:vAlign w:val="center"/>
          </w:tcPr>
          <w:p w:rsidR="00366917" w:rsidRPr="00E97254" w:rsidRDefault="004E1F53" w:rsidP="000C0250">
            <w:pPr>
              <w:keepNext/>
              <w:spacing w:after="0"/>
              <w:jc w:val="center"/>
              <w:rPr>
                <w:rFonts w:cstheme="minorHAnsi"/>
                <w:sz w:val="20"/>
                <w:szCs w:val="20"/>
              </w:rPr>
            </w:pPr>
            <w:r>
              <w:rPr>
                <w:rFonts w:cstheme="minorHAnsi"/>
                <w:sz w:val="20"/>
                <w:szCs w:val="20"/>
              </w:rPr>
              <w:t>2.8</w:t>
            </w:r>
          </w:p>
        </w:tc>
        <w:tc>
          <w:tcPr>
            <w:tcW w:w="850" w:type="dxa"/>
            <w:vAlign w:val="center"/>
          </w:tcPr>
          <w:p w:rsidR="00366917" w:rsidRPr="00E97254" w:rsidRDefault="004E1F53" w:rsidP="000C0250">
            <w:pPr>
              <w:keepNext/>
              <w:spacing w:after="0"/>
              <w:jc w:val="center"/>
              <w:rPr>
                <w:rFonts w:cstheme="minorHAnsi"/>
                <w:sz w:val="20"/>
                <w:szCs w:val="20"/>
              </w:rPr>
            </w:pPr>
            <w:r>
              <w:rPr>
                <w:rFonts w:cstheme="minorHAnsi"/>
                <w:sz w:val="20"/>
                <w:szCs w:val="20"/>
              </w:rPr>
              <w:t>2.8</w:t>
            </w:r>
          </w:p>
        </w:tc>
        <w:tc>
          <w:tcPr>
            <w:tcW w:w="850" w:type="dxa"/>
            <w:vAlign w:val="center"/>
          </w:tcPr>
          <w:p w:rsidR="00366917" w:rsidRPr="00E97254" w:rsidRDefault="004E1F53" w:rsidP="000C0250">
            <w:pPr>
              <w:keepNext/>
              <w:spacing w:after="0"/>
              <w:jc w:val="center"/>
              <w:rPr>
                <w:rFonts w:cstheme="minorHAnsi"/>
                <w:sz w:val="20"/>
                <w:szCs w:val="20"/>
              </w:rPr>
            </w:pPr>
            <w:r>
              <w:rPr>
                <w:rFonts w:cstheme="minorHAnsi"/>
                <w:sz w:val="20"/>
                <w:szCs w:val="20"/>
              </w:rPr>
              <w:t>2.8</w:t>
            </w:r>
          </w:p>
        </w:tc>
      </w:tr>
      <w:tr w:rsidR="003728C4" w:rsidRPr="00E97254" w:rsidTr="00366917">
        <w:tc>
          <w:tcPr>
            <w:tcW w:w="2239" w:type="dxa"/>
            <w:vAlign w:val="center"/>
          </w:tcPr>
          <w:p w:rsidR="003728C4" w:rsidRPr="00E97254" w:rsidRDefault="004E1F53" w:rsidP="000C0250">
            <w:pPr>
              <w:keepNext/>
              <w:spacing w:after="0"/>
              <w:jc w:val="both"/>
              <w:rPr>
                <w:rFonts w:cstheme="minorHAnsi"/>
                <w:sz w:val="20"/>
                <w:szCs w:val="20"/>
              </w:rPr>
            </w:pPr>
            <w:r>
              <w:rPr>
                <w:rFonts w:cstheme="minorHAnsi"/>
                <w:sz w:val="20"/>
                <w:szCs w:val="20"/>
              </w:rPr>
              <w:t>Inflacioni mesatar</w:t>
            </w:r>
          </w:p>
        </w:tc>
        <w:tc>
          <w:tcPr>
            <w:tcW w:w="1033" w:type="dxa"/>
            <w:vAlign w:val="center"/>
          </w:tcPr>
          <w:p w:rsidR="003728C4" w:rsidRPr="00E97254" w:rsidRDefault="004E1F53" w:rsidP="000C0250">
            <w:pPr>
              <w:keepNext/>
              <w:spacing w:after="0"/>
              <w:jc w:val="center"/>
              <w:rPr>
                <w:rFonts w:cstheme="minorHAnsi"/>
                <w:sz w:val="20"/>
                <w:szCs w:val="20"/>
              </w:rPr>
            </w:pPr>
            <w:r>
              <w:rPr>
                <w:rFonts w:cstheme="minorHAnsi"/>
                <w:sz w:val="20"/>
                <w:szCs w:val="20"/>
              </w:rPr>
              <w:t>%</w:t>
            </w:r>
          </w:p>
        </w:tc>
        <w:tc>
          <w:tcPr>
            <w:tcW w:w="850" w:type="dxa"/>
            <w:vAlign w:val="center"/>
          </w:tcPr>
          <w:p w:rsidR="003728C4" w:rsidRPr="00E97254" w:rsidRDefault="004E1F53" w:rsidP="000C0250">
            <w:pPr>
              <w:keepNext/>
              <w:spacing w:after="0"/>
              <w:jc w:val="center"/>
              <w:rPr>
                <w:rFonts w:cstheme="minorHAnsi"/>
                <w:sz w:val="20"/>
                <w:szCs w:val="20"/>
              </w:rPr>
            </w:pPr>
            <w:r>
              <w:rPr>
                <w:rFonts w:cstheme="minorHAnsi"/>
                <w:sz w:val="20"/>
                <w:szCs w:val="20"/>
              </w:rPr>
              <w:t>2.1</w:t>
            </w:r>
          </w:p>
        </w:tc>
        <w:tc>
          <w:tcPr>
            <w:tcW w:w="850" w:type="dxa"/>
            <w:vAlign w:val="center"/>
          </w:tcPr>
          <w:p w:rsidR="003728C4" w:rsidRPr="00E97254" w:rsidRDefault="004E1F53" w:rsidP="000C0250">
            <w:pPr>
              <w:keepNext/>
              <w:spacing w:after="0"/>
              <w:jc w:val="center"/>
              <w:rPr>
                <w:rFonts w:cstheme="minorHAnsi"/>
                <w:sz w:val="20"/>
                <w:szCs w:val="20"/>
              </w:rPr>
            </w:pPr>
            <w:r>
              <w:rPr>
                <w:rFonts w:cstheme="minorHAnsi"/>
                <w:sz w:val="20"/>
                <w:szCs w:val="20"/>
              </w:rPr>
              <w:t>1.4</w:t>
            </w:r>
          </w:p>
        </w:tc>
        <w:tc>
          <w:tcPr>
            <w:tcW w:w="850" w:type="dxa"/>
            <w:vAlign w:val="center"/>
          </w:tcPr>
          <w:p w:rsidR="003728C4" w:rsidRPr="00E97254" w:rsidRDefault="004E1F53" w:rsidP="000C0250">
            <w:pPr>
              <w:keepNext/>
              <w:spacing w:after="0"/>
              <w:jc w:val="center"/>
              <w:rPr>
                <w:rFonts w:cstheme="minorHAnsi"/>
                <w:sz w:val="20"/>
                <w:szCs w:val="20"/>
              </w:rPr>
            </w:pPr>
            <w:r>
              <w:rPr>
                <w:rFonts w:cstheme="minorHAnsi"/>
                <w:sz w:val="20"/>
                <w:szCs w:val="20"/>
              </w:rPr>
              <w:t>1.7</w:t>
            </w:r>
          </w:p>
        </w:tc>
        <w:tc>
          <w:tcPr>
            <w:tcW w:w="850" w:type="dxa"/>
            <w:vAlign w:val="center"/>
          </w:tcPr>
          <w:p w:rsidR="003728C4" w:rsidRPr="00E97254" w:rsidRDefault="004E1F53" w:rsidP="000C0250">
            <w:pPr>
              <w:keepNext/>
              <w:spacing w:after="0"/>
              <w:jc w:val="center"/>
              <w:rPr>
                <w:rFonts w:cstheme="minorHAnsi"/>
                <w:sz w:val="20"/>
                <w:szCs w:val="20"/>
              </w:rPr>
            </w:pPr>
            <w:r>
              <w:rPr>
                <w:rFonts w:cstheme="minorHAnsi"/>
                <w:sz w:val="20"/>
                <w:szCs w:val="20"/>
              </w:rPr>
              <w:t>2.4</w:t>
            </w:r>
          </w:p>
        </w:tc>
        <w:tc>
          <w:tcPr>
            <w:tcW w:w="850" w:type="dxa"/>
            <w:vAlign w:val="center"/>
          </w:tcPr>
          <w:p w:rsidR="003728C4" w:rsidRPr="00E97254" w:rsidRDefault="004E1F53" w:rsidP="000C0250">
            <w:pPr>
              <w:keepNext/>
              <w:spacing w:after="0"/>
              <w:jc w:val="center"/>
              <w:rPr>
                <w:rFonts w:cstheme="minorHAnsi"/>
                <w:sz w:val="20"/>
                <w:szCs w:val="20"/>
              </w:rPr>
            </w:pPr>
            <w:r>
              <w:rPr>
                <w:rFonts w:cstheme="minorHAnsi"/>
                <w:sz w:val="20"/>
                <w:szCs w:val="20"/>
              </w:rPr>
              <w:t>2.8</w:t>
            </w:r>
          </w:p>
        </w:tc>
        <w:tc>
          <w:tcPr>
            <w:tcW w:w="850" w:type="dxa"/>
            <w:vAlign w:val="center"/>
          </w:tcPr>
          <w:p w:rsidR="003728C4" w:rsidRPr="00E97254" w:rsidRDefault="004E1F53" w:rsidP="000C0250">
            <w:pPr>
              <w:keepNext/>
              <w:spacing w:after="0"/>
              <w:jc w:val="center"/>
              <w:rPr>
                <w:rFonts w:cstheme="minorHAnsi"/>
                <w:sz w:val="20"/>
                <w:szCs w:val="20"/>
              </w:rPr>
            </w:pPr>
            <w:r>
              <w:rPr>
                <w:rFonts w:cstheme="minorHAnsi"/>
                <w:sz w:val="20"/>
                <w:szCs w:val="20"/>
              </w:rPr>
              <w:t>3.0</w:t>
            </w:r>
          </w:p>
        </w:tc>
        <w:tc>
          <w:tcPr>
            <w:tcW w:w="850" w:type="dxa"/>
            <w:vAlign w:val="center"/>
          </w:tcPr>
          <w:p w:rsidR="003728C4" w:rsidRPr="00E97254" w:rsidRDefault="004E1F53" w:rsidP="000C0250">
            <w:pPr>
              <w:keepNext/>
              <w:spacing w:after="0"/>
              <w:jc w:val="center"/>
              <w:rPr>
                <w:rFonts w:cstheme="minorHAnsi"/>
                <w:sz w:val="20"/>
                <w:szCs w:val="20"/>
              </w:rPr>
            </w:pPr>
            <w:r>
              <w:rPr>
                <w:rFonts w:cstheme="minorHAnsi"/>
                <w:sz w:val="20"/>
                <w:szCs w:val="20"/>
              </w:rPr>
              <w:t>3.0</w:t>
            </w:r>
          </w:p>
        </w:tc>
      </w:tr>
      <w:tr w:rsidR="003728C4" w:rsidRPr="00E97254" w:rsidTr="00366917">
        <w:tc>
          <w:tcPr>
            <w:tcW w:w="2239" w:type="dxa"/>
            <w:vAlign w:val="center"/>
          </w:tcPr>
          <w:p w:rsidR="003728C4" w:rsidRPr="00E97254" w:rsidRDefault="004E1F53" w:rsidP="000C0250">
            <w:pPr>
              <w:keepNext/>
              <w:spacing w:after="0"/>
              <w:jc w:val="both"/>
              <w:rPr>
                <w:rFonts w:cstheme="minorHAnsi"/>
                <w:sz w:val="20"/>
                <w:szCs w:val="20"/>
              </w:rPr>
            </w:pPr>
            <w:r>
              <w:rPr>
                <w:rFonts w:cstheme="minorHAnsi"/>
                <w:sz w:val="20"/>
                <w:szCs w:val="20"/>
              </w:rPr>
              <w:t>Rritja reale e PBB</w:t>
            </w:r>
          </w:p>
        </w:tc>
        <w:tc>
          <w:tcPr>
            <w:tcW w:w="1033" w:type="dxa"/>
            <w:vAlign w:val="center"/>
          </w:tcPr>
          <w:p w:rsidR="003728C4" w:rsidRPr="00E97254" w:rsidRDefault="004E1F53" w:rsidP="000C0250">
            <w:pPr>
              <w:keepNext/>
              <w:spacing w:after="0"/>
              <w:jc w:val="center"/>
              <w:rPr>
                <w:rFonts w:cstheme="minorHAnsi"/>
                <w:sz w:val="20"/>
                <w:szCs w:val="20"/>
              </w:rPr>
            </w:pPr>
            <w:r>
              <w:rPr>
                <w:rFonts w:cstheme="minorHAnsi"/>
                <w:sz w:val="20"/>
                <w:szCs w:val="20"/>
              </w:rPr>
              <w:t>%</w:t>
            </w:r>
          </w:p>
        </w:tc>
        <w:tc>
          <w:tcPr>
            <w:tcW w:w="850" w:type="dxa"/>
            <w:vAlign w:val="center"/>
          </w:tcPr>
          <w:p w:rsidR="003728C4" w:rsidRPr="00E97254" w:rsidRDefault="004E1F53" w:rsidP="000C0250">
            <w:pPr>
              <w:keepNext/>
              <w:spacing w:after="0"/>
              <w:jc w:val="center"/>
              <w:rPr>
                <w:rFonts w:cstheme="minorHAnsi"/>
                <w:sz w:val="20"/>
                <w:szCs w:val="20"/>
              </w:rPr>
            </w:pPr>
            <w:r>
              <w:rPr>
                <w:rFonts w:cstheme="minorHAnsi"/>
                <w:sz w:val="20"/>
                <w:szCs w:val="20"/>
              </w:rPr>
              <w:t>4.1</w:t>
            </w:r>
          </w:p>
        </w:tc>
        <w:tc>
          <w:tcPr>
            <w:tcW w:w="850" w:type="dxa"/>
            <w:vAlign w:val="center"/>
          </w:tcPr>
          <w:p w:rsidR="003728C4" w:rsidRPr="00E97254" w:rsidRDefault="004E1F53" w:rsidP="000C0250">
            <w:pPr>
              <w:keepNext/>
              <w:spacing w:after="0"/>
              <w:jc w:val="center"/>
              <w:rPr>
                <w:rFonts w:cstheme="minorHAnsi"/>
                <w:sz w:val="20"/>
                <w:szCs w:val="20"/>
              </w:rPr>
            </w:pPr>
            <w:r>
              <w:rPr>
                <w:rFonts w:cstheme="minorHAnsi"/>
                <w:sz w:val="20"/>
                <w:szCs w:val="20"/>
              </w:rPr>
              <w:t>2.2</w:t>
            </w:r>
          </w:p>
        </w:tc>
        <w:tc>
          <w:tcPr>
            <w:tcW w:w="850" w:type="dxa"/>
            <w:vAlign w:val="center"/>
          </w:tcPr>
          <w:p w:rsidR="003728C4" w:rsidRPr="00E97254" w:rsidRDefault="004E1F53" w:rsidP="000C0250">
            <w:pPr>
              <w:keepNext/>
              <w:spacing w:after="0"/>
              <w:jc w:val="center"/>
              <w:rPr>
                <w:rFonts w:cstheme="minorHAnsi"/>
                <w:sz w:val="20"/>
                <w:szCs w:val="20"/>
              </w:rPr>
            </w:pPr>
            <w:r>
              <w:rPr>
                <w:rFonts w:cstheme="minorHAnsi"/>
                <w:sz w:val="20"/>
                <w:szCs w:val="20"/>
              </w:rPr>
              <w:t>-4.4</w:t>
            </w:r>
          </w:p>
        </w:tc>
        <w:tc>
          <w:tcPr>
            <w:tcW w:w="850" w:type="dxa"/>
            <w:vAlign w:val="center"/>
          </w:tcPr>
          <w:p w:rsidR="003728C4" w:rsidRPr="00E97254" w:rsidRDefault="004E1F53" w:rsidP="000C0250">
            <w:pPr>
              <w:keepNext/>
              <w:spacing w:after="0"/>
              <w:jc w:val="center"/>
              <w:rPr>
                <w:rFonts w:cstheme="minorHAnsi"/>
                <w:sz w:val="20"/>
                <w:szCs w:val="20"/>
              </w:rPr>
            </w:pPr>
            <w:r>
              <w:rPr>
                <w:rFonts w:cstheme="minorHAnsi"/>
                <w:sz w:val="20"/>
                <w:szCs w:val="20"/>
              </w:rPr>
              <w:t>3.5</w:t>
            </w:r>
          </w:p>
        </w:tc>
        <w:tc>
          <w:tcPr>
            <w:tcW w:w="850" w:type="dxa"/>
            <w:vAlign w:val="center"/>
          </w:tcPr>
          <w:p w:rsidR="003728C4" w:rsidRPr="00E97254" w:rsidRDefault="004E1F53" w:rsidP="000C0250">
            <w:pPr>
              <w:keepNext/>
              <w:spacing w:after="0"/>
              <w:jc w:val="center"/>
              <w:rPr>
                <w:rFonts w:cstheme="minorHAnsi"/>
                <w:sz w:val="20"/>
                <w:szCs w:val="20"/>
              </w:rPr>
            </w:pPr>
            <w:r>
              <w:rPr>
                <w:rFonts w:cstheme="minorHAnsi"/>
                <w:sz w:val="20"/>
                <w:szCs w:val="20"/>
              </w:rPr>
              <w:t>4.8</w:t>
            </w:r>
          </w:p>
        </w:tc>
        <w:tc>
          <w:tcPr>
            <w:tcW w:w="850" w:type="dxa"/>
            <w:vAlign w:val="center"/>
          </w:tcPr>
          <w:p w:rsidR="003728C4" w:rsidRPr="00E97254" w:rsidRDefault="004E1F53" w:rsidP="000C0250">
            <w:pPr>
              <w:keepNext/>
              <w:spacing w:after="0"/>
              <w:jc w:val="center"/>
              <w:rPr>
                <w:rFonts w:cstheme="minorHAnsi"/>
                <w:sz w:val="20"/>
                <w:szCs w:val="20"/>
              </w:rPr>
            </w:pPr>
            <w:r>
              <w:rPr>
                <w:rFonts w:cstheme="minorHAnsi"/>
                <w:sz w:val="20"/>
                <w:szCs w:val="20"/>
              </w:rPr>
              <w:t>4.5</w:t>
            </w:r>
          </w:p>
        </w:tc>
        <w:tc>
          <w:tcPr>
            <w:tcW w:w="850" w:type="dxa"/>
            <w:vAlign w:val="center"/>
          </w:tcPr>
          <w:p w:rsidR="003728C4" w:rsidRPr="00E97254" w:rsidRDefault="004E1F53" w:rsidP="000C0250">
            <w:pPr>
              <w:keepNext/>
              <w:spacing w:after="0"/>
              <w:jc w:val="center"/>
              <w:rPr>
                <w:rFonts w:cstheme="minorHAnsi"/>
                <w:sz w:val="20"/>
                <w:szCs w:val="20"/>
              </w:rPr>
            </w:pPr>
            <w:r>
              <w:rPr>
                <w:rFonts w:cstheme="minorHAnsi"/>
                <w:sz w:val="20"/>
                <w:szCs w:val="20"/>
              </w:rPr>
              <w:t>3.9</w:t>
            </w:r>
          </w:p>
        </w:tc>
      </w:tr>
      <w:tr w:rsidR="003728C4" w:rsidRPr="00E97254" w:rsidTr="00366917">
        <w:tc>
          <w:tcPr>
            <w:tcW w:w="2239" w:type="dxa"/>
            <w:vAlign w:val="center"/>
          </w:tcPr>
          <w:p w:rsidR="003728C4" w:rsidRPr="00E97254" w:rsidRDefault="004E1F53" w:rsidP="000C0250">
            <w:pPr>
              <w:spacing w:after="0"/>
              <w:jc w:val="both"/>
              <w:rPr>
                <w:rFonts w:cstheme="minorHAnsi"/>
                <w:sz w:val="20"/>
                <w:szCs w:val="20"/>
              </w:rPr>
            </w:pPr>
            <w:r>
              <w:rPr>
                <w:rFonts w:cstheme="minorHAnsi"/>
                <w:sz w:val="20"/>
                <w:szCs w:val="20"/>
              </w:rPr>
              <w:t>Papunësia (15-64 vjeç)</w:t>
            </w:r>
          </w:p>
        </w:tc>
        <w:tc>
          <w:tcPr>
            <w:tcW w:w="1033" w:type="dxa"/>
            <w:vAlign w:val="center"/>
          </w:tcPr>
          <w:p w:rsidR="003728C4" w:rsidRPr="00E97254" w:rsidRDefault="004E1F53" w:rsidP="000C0250">
            <w:pPr>
              <w:spacing w:after="0"/>
              <w:jc w:val="center"/>
              <w:rPr>
                <w:rFonts w:cstheme="minorHAnsi"/>
                <w:sz w:val="20"/>
                <w:szCs w:val="20"/>
              </w:rPr>
            </w:pPr>
            <w:r>
              <w:rPr>
                <w:rFonts w:cstheme="minorHAnsi"/>
                <w:sz w:val="20"/>
                <w:szCs w:val="20"/>
              </w:rPr>
              <w:t>%</w:t>
            </w:r>
          </w:p>
        </w:tc>
        <w:tc>
          <w:tcPr>
            <w:tcW w:w="850" w:type="dxa"/>
            <w:vAlign w:val="center"/>
          </w:tcPr>
          <w:p w:rsidR="003728C4" w:rsidRPr="00E97254" w:rsidRDefault="004E1F53" w:rsidP="000C0250">
            <w:pPr>
              <w:spacing w:after="0"/>
              <w:jc w:val="center"/>
              <w:rPr>
                <w:rFonts w:cstheme="minorHAnsi"/>
                <w:sz w:val="20"/>
                <w:szCs w:val="20"/>
              </w:rPr>
            </w:pPr>
            <w:r>
              <w:rPr>
                <w:rFonts w:cstheme="minorHAnsi"/>
                <w:sz w:val="20"/>
                <w:szCs w:val="20"/>
              </w:rPr>
              <w:t>13.0</w:t>
            </w:r>
          </w:p>
        </w:tc>
        <w:tc>
          <w:tcPr>
            <w:tcW w:w="850" w:type="dxa"/>
            <w:vAlign w:val="center"/>
          </w:tcPr>
          <w:p w:rsidR="003728C4" w:rsidRPr="00E97254" w:rsidRDefault="004E1F53" w:rsidP="000C0250">
            <w:pPr>
              <w:spacing w:after="0"/>
              <w:jc w:val="center"/>
              <w:rPr>
                <w:rFonts w:cstheme="minorHAnsi"/>
                <w:sz w:val="20"/>
                <w:szCs w:val="20"/>
              </w:rPr>
            </w:pPr>
            <w:r>
              <w:rPr>
                <w:rFonts w:cstheme="minorHAnsi"/>
                <w:sz w:val="20"/>
                <w:szCs w:val="20"/>
              </w:rPr>
              <w:t>12.9</w:t>
            </w:r>
          </w:p>
        </w:tc>
        <w:tc>
          <w:tcPr>
            <w:tcW w:w="850" w:type="dxa"/>
            <w:vAlign w:val="center"/>
          </w:tcPr>
          <w:p w:rsidR="003728C4" w:rsidRPr="00E97254" w:rsidRDefault="004E1F53" w:rsidP="000C0250">
            <w:pPr>
              <w:spacing w:after="0"/>
              <w:jc w:val="center"/>
              <w:rPr>
                <w:rFonts w:cstheme="minorHAnsi"/>
                <w:sz w:val="20"/>
                <w:szCs w:val="20"/>
              </w:rPr>
            </w:pPr>
            <w:r>
              <w:rPr>
                <w:rFonts w:cstheme="minorHAnsi"/>
                <w:sz w:val="20"/>
                <w:szCs w:val="20"/>
              </w:rPr>
              <w:t>12.0</w:t>
            </w:r>
          </w:p>
        </w:tc>
        <w:tc>
          <w:tcPr>
            <w:tcW w:w="850" w:type="dxa"/>
            <w:vAlign w:val="center"/>
          </w:tcPr>
          <w:p w:rsidR="003728C4" w:rsidRPr="00E97254" w:rsidRDefault="004E1F53" w:rsidP="000C0250">
            <w:pPr>
              <w:spacing w:after="0"/>
              <w:jc w:val="center"/>
              <w:rPr>
                <w:rFonts w:cstheme="minorHAnsi"/>
                <w:sz w:val="20"/>
                <w:szCs w:val="20"/>
              </w:rPr>
            </w:pPr>
            <w:r>
              <w:rPr>
                <w:rFonts w:cstheme="minorHAnsi"/>
                <w:sz w:val="20"/>
                <w:szCs w:val="20"/>
              </w:rPr>
              <w:t>11.1</w:t>
            </w:r>
          </w:p>
        </w:tc>
        <w:tc>
          <w:tcPr>
            <w:tcW w:w="850" w:type="dxa"/>
            <w:vAlign w:val="center"/>
          </w:tcPr>
          <w:p w:rsidR="003728C4" w:rsidRPr="00E97254" w:rsidRDefault="004E1F53" w:rsidP="000C0250">
            <w:pPr>
              <w:spacing w:after="0"/>
              <w:jc w:val="center"/>
              <w:rPr>
                <w:rFonts w:cstheme="minorHAnsi"/>
                <w:sz w:val="20"/>
                <w:szCs w:val="20"/>
              </w:rPr>
            </w:pPr>
            <w:r>
              <w:rPr>
                <w:rFonts w:cstheme="minorHAnsi"/>
                <w:sz w:val="20"/>
                <w:szCs w:val="20"/>
              </w:rPr>
              <w:t>10.3</w:t>
            </w:r>
          </w:p>
        </w:tc>
        <w:tc>
          <w:tcPr>
            <w:tcW w:w="850" w:type="dxa"/>
            <w:vAlign w:val="center"/>
          </w:tcPr>
          <w:p w:rsidR="003728C4" w:rsidRPr="00E97254" w:rsidRDefault="004E1F53" w:rsidP="000C0250">
            <w:pPr>
              <w:spacing w:after="0"/>
              <w:jc w:val="center"/>
              <w:rPr>
                <w:rFonts w:cstheme="minorHAnsi"/>
                <w:sz w:val="20"/>
                <w:szCs w:val="20"/>
              </w:rPr>
            </w:pPr>
            <w:r>
              <w:rPr>
                <w:rFonts w:cstheme="minorHAnsi"/>
                <w:sz w:val="20"/>
                <w:szCs w:val="20"/>
              </w:rPr>
              <w:t>9.4</w:t>
            </w:r>
          </w:p>
        </w:tc>
        <w:tc>
          <w:tcPr>
            <w:tcW w:w="850" w:type="dxa"/>
            <w:vAlign w:val="center"/>
          </w:tcPr>
          <w:p w:rsidR="003728C4" w:rsidRPr="00E97254" w:rsidRDefault="004E1F53" w:rsidP="000C0250">
            <w:pPr>
              <w:spacing w:after="0"/>
              <w:jc w:val="center"/>
              <w:rPr>
                <w:rFonts w:cstheme="minorHAnsi"/>
                <w:sz w:val="20"/>
                <w:szCs w:val="20"/>
              </w:rPr>
            </w:pPr>
            <w:r>
              <w:rPr>
                <w:rFonts w:cstheme="minorHAnsi"/>
                <w:sz w:val="20"/>
                <w:szCs w:val="20"/>
              </w:rPr>
              <w:t>8.9</w:t>
            </w:r>
          </w:p>
        </w:tc>
      </w:tr>
      <w:tr w:rsidR="003728C4" w:rsidRPr="00E97254" w:rsidTr="00366917">
        <w:tc>
          <w:tcPr>
            <w:tcW w:w="2239" w:type="dxa"/>
            <w:vAlign w:val="center"/>
          </w:tcPr>
          <w:p w:rsidR="003728C4" w:rsidRPr="00E97254" w:rsidRDefault="004E1F53" w:rsidP="000C0250">
            <w:pPr>
              <w:spacing w:after="0"/>
              <w:jc w:val="both"/>
              <w:rPr>
                <w:rFonts w:cstheme="minorHAnsi"/>
                <w:sz w:val="20"/>
                <w:szCs w:val="20"/>
              </w:rPr>
            </w:pPr>
            <w:r>
              <w:rPr>
                <w:rFonts w:cstheme="minorHAnsi"/>
                <w:sz w:val="20"/>
                <w:szCs w:val="20"/>
              </w:rPr>
              <w:t>Të ardhurat totale</w:t>
            </w:r>
          </w:p>
        </w:tc>
        <w:tc>
          <w:tcPr>
            <w:tcW w:w="1033" w:type="dxa"/>
            <w:vAlign w:val="center"/>
          </w:tcPr>
          <w:p w:rsidR="003728C4" w:rsidRPr="00E97254" w:rsidRDefault="004E1F53" w:rsidP="000C0250">
            <w:pPr>
              <w:spacing w:after="0"/>
              <w:jc w:val="center"/>
              <w:rPr>
                <w:rFonts w:cstheme="minorHAnsi"/>
                <w:sz w:val="20"/>
                <w:szCs w:val="20"/>
              </w:rPr>
            </w:pPr>
            <w:r>
              <w:rPr>
                <w:rFonts w:cstheme="minorHAnsi"/>
                <w:sz w:val="20"/>
                <w:szCs w:val="20"/>
              </w:rPr>
              <w:t>% e PBB</w:t>
            </w:r>
          </w:p>
        </w:tc>
        <w:tc>
          <w:tcPr>
            <w:tcW w:w="850" w:type="dxa"/>
            <w:vAlign w:val="center"/>
          </w:tcPr>
          <w:p w:rsidR="003728C4" w:rsidRPr="00E97254" w:rsidRDefault="004E1F53" w:rsidP="000C0250">
            <w:pPr>
              <w:spacing w:after="0"/>
              <w:jc w:val="center"/>
              <w:rPr>
                <w:rFonts w:cstheme="minorHAnsi"/>
                <w:sz w:val="20"/>
                <w:szCs w:val="20"/>
              </w:rPr>
            </w:pPr>
            <w:r>
              <w:rPr>
                <w:rFonts w:cstheme="minorHAnsi"/>
                <w:sz w:val="20"/>
                <w:szCs w:val="20"/>
              </w:rPr>
              <w:t>27.5</w:t>
            </w:r>
          </w:p>
        </w:tc>
        <w:tc>
          <w:tcPr>
            <w:tcW w:w="850" w:type="dxa"/>
            <w:vAlign w:val="center"/>
          </w:tcPr>
          <w:p w:rsidR="003728C4" w:rsidRPr="00E97254" w:rsidRDefault="004E1F53" w:rsidP="000C0250">
            <w:pPr>
              <w:spacing w:after="0"/>
              <w:jc w:val="center"/>
              <w:rPr>
                <w:rFonts w:cstheme="minorHAnsi"/>
                <w:sz w:val="20"/>
                <w:szCs w:val="20"/>
              </w:rPr>
            </w:pPr>
            <w:r>
              <w:rPr>
                <w:rFonts w:cstheme="minorHAnsi"/>
                <w:sz w:val="20"/>
                <w:szCs w:val="20"/>
              </w:rPr>
              <w:t>27.4</w:t>
            </w:r>
          </w:p>
        </w:tc>
        <w:tc>
          <w:tcPr>
            <w:tcW w:w="850" w:type="dxa"/>
            <w:vAlign w:val="center"/>
          </w:tcPr>
          <w:p w:rsidR="003728C4" w:rsidRPr="00E97254" w:rsidRDefault="004E1F53" w:rsidP="000C0250">
            <w:pPr>
              <w:spacing w:after="0"/>
              <w:jc w:val="center"/>
              <w:rPr>
                <w:rFonts w:cstheme="minorHAnsi"/>
                <w:sz w:val="20"/>
                <w:szCs w:val="20"/>
              </w:rPr>
            </w:pPr>
            <w:r>
              <w:rPr>
                <w:rFonts w:cstheme="minorHAnsi"/>
                <w:sz w:val="20"/>
                <w:szCs w:val="20"/>
              </w:rPr>
              <w:t>27.0</w:t>
            </w:r>
          </w:p>
        </w:tc>
        <w:tc>
          <w:tcPr>
            <w:tcW w:w="850" w:type="dxa"/>
            <w:vAlign w:val="center"/>
          </w:tcPr>
          <w:p w:rsidR="003728C4" w:rsidRPr="00E97254" w:rsidRDefault="004E1F53" w:rsidP="000C0250">
            <w:pPr>
              <w:spacing w:after="0"/>
              <w:jc w:val="center"/>
              <w:rPr>
                <w:rFonts w:cstheme="minorHAnsi"/>
                <w:sz w:val="20"/>
                <w:szCs w:val="20"/>
              </w:rPr>
            </w:pPr>
            <w:r>
              <w:rPr>
                <w:rFonts w:cstheme="minorHAnsi"/>
                <w:sz w:val="20"/>
                <w:szCs w:val="20"/>
              </w:rPr>
              <w:t>28.8</w:t>
            </w:r>
          </w:p>
        </w:tc>
        <w:tc>
          <w:tcPr>
            <w:tcW w:w="850" w:type="dxa"/>
            <w:vAlign w:val="center"/>
          </w:tcPr>
          <w:p w:rsidR="003728C4" w:rsidRPr="00E97254" w:rsidRDefault="004E1F53" w:rsidP="000C0250">
            <w:pPr>
              <w:spacing w:after="0"/>
              <w:jc w:val="center"/>
              <w:rPr>
                <w:rFonts w:cstheme="minorHAnsi"/>
                <w:sz w:val="20"/>
                <w:szCs w:val="20"/>
              </w:rPr>
            </w:pPr>
            <w:r>
              <w:rPr>
                <w:rFonts w:cstheme="minorHAnsi"/>
                <w:sz w:val="20"/>
                <w:szCs w:val="20"/>
              </w:rPr>
              <w:t>28.7</w:t>
            </w:r>
          </w:p>
        </w:tc>
        <w:tc>
          <w:tcPr>
            <w:tcW w:w="850" w:type="dxa"/>
            <w:vAlign w:val="center"/>
          </w:tcPr>
          <w:p w:rsidR="003728C4" w:rsidRPr="00E97254" w:rsidRDefault="004E1F53" w:rsidP="000C0250">
            <w:pPr>
              <w:spacing w:after="0"/>
              <w:jc w:val="center"/>
              <w:rPr>
                <w:rFonts w:cstheme="minorHAnsi"/>
                <w:sz w:val="20"/>
                <w:szCs w:val="20"/>
              </w:rPr>
            </w:pPr>
            <w:r>
              <w:rPr>
                <w:rFonts w:cstheme="minorHAnsi"/>
                <w:sz w:val="20"/>
                <w:szCs w:val="20"/>
              </w:rPr>
              <w:t>28.9</w:t>
            </w:r>
          </w:p>
        </w:tc>
        <w:tc>
          <w:tcPr>
            <w:tcW w:w="850" w:type="dxa"/>
            <w:vAlign w:val="center"/>
          </w:tcPr>
          <w:p w:rsidR="003728C4" w:rsidRPr="00E97254" w:rsidRDefault="004E1F53" w:rsidP="000C0250">
            <w:pPr>
              <w:spacing w:after="0"/>
              <w:jc w:val="center"/>
              <w:rPr>
                <w:rFonts w:cstheme="minorHAnsi"/>
                <w:sz w:val="20"/>
                <w:szCs w:val="20"/>
              </w:rPr>
            </w:pPr>
            <w:r>
              <w:rPr>
                <w:rFonts w:cstheme="minorHAnsi"/>
                <w:sz w:val="20"/>
                <w:szCs w:val="20"/>
              </w:rPr>
              <w:t>29.0</w:t>
            </w:r>
          </w:p>
        </w:tc>
      </w:tr>
      <w:tr w:rsidR="003728C4" w:rsidRPr="00E97254" w:rsidTr="00366917">
        <w:tc>
          <w:tcPr>
            <w:tcW w:w="2239" w:type="dxa"/>
            <w:vAlign w:val="center"/>
          </w:tcPr>
          <w:p w:rsidR="003728C4" w:rsidRPr="00E97254" w:rsidRDefault="004E1F53" w:rsidP="000C0250">
            <w:pPr>
              <w:spacing w:after="0"/>
              <w:jc w:val="both"/>
              <w:rPr>
                <w:rFonts w:cstheme="minorHAnsi"/>
                <w:sz w:val="20"/>
                <w:szCs w:val="20"/>
              </w:rPr>
            </w:pPr>
            <w:r>
              <w:rPr>
                <w:rFonts w:cstheme="minorHAnsi"/>
                <w:sz w:val="20"/>
                <w:szCs w:val="20"/>
              </w:rPr>
              <w:t>Shpenzimet totale</w:t>
            </w:r>
          </w:p>
        </w:tc>
        <w:tc>
          <w:tcPr>
            <w:tcW w:w="1033" w:type="dxa"/>
            <w:vAlign w:val="center"/>
          </w:tcPr>
          <w:p w:rsidR="003728C4" w:rsidRPr="00E97254" w:rsidRDefault="004E1F53" w:rsidP="000C0250">
            <w:pPr>
              <w:spacing w:after="0"/>
              <w:jc w:val="center"/>
              <w:rPr>
                <w:rFonts w:cstheme="minorHAnsi"/>
                <w:sz w:val="20"/>
                <w:szCs w:val="20"/>
              </w:rPr>
            </w:pPr>
            <w:r>
              <w:rPr>
                <w:rFonts w:cstheme="minorHAnsi"/>
                <w:sz w:val="20"/>
                <w:szCs w:val="20"/>
              </w:rPr>
              <w:t>% e PBB</w:t>
            </w:r>
          </w:p>
        </w:tc>
        <w:tc>
          <w:tcPr>
            <w:tcW w:w="850" w:type="dxa"/>
            <w:vAlign w:val="center"/>
          </w:tcPr>
          <w:p w:rsidR="003728C4" w:rsidRPr="00E97254" w:rsidRDefault="004E1F53" w:rsidP="000C0250">
            <w:pPr>
              <w:spacing w:after="0"/>
              <w:jc w:val="center"/>
              <w:rPr>
                <w:rFonts w:cstheme="minorHAnsi"/>
                <w:sz w:val="20"/>
                <w:szCs w:val="20"/>
              </w:rPr>
            </w:pPr>
            <w:r>
              <w:rPr>
                <w:rFonts w:cstheme="minorHAnsi"/>
                <w:sz w:val="20"/>
                <w:szCs w:val="20"/>
              </w:rPr>
              <w:t>29.1</w:t>
            </w:r>
          </w:p>
        </w:tc>
        <w:tc>
          <w:tcPr>
            <w:tcW w:w="850" w:type="dxa"/>
            <w:vAlign w:val="center"/>
          </w:tcPr>
          <w:p w:rsidR="003728C4" w:rsidRPr="00E97254" w:rsidRDefault="004E1F53" w:rsidP="000C0250">
            <w:pPr>
              <w:spacing w:after="0"/>
              <w:jc w:val="center"/>
              <w:rPr>
                <w:rFonts w:cstheme="minorHAnsi"/>
                <w:sz w:val="20"/>
                <w:szCs w:val="20"/>
              </w:rPr>
            </w:pPr>
            <w:r>
              <w:rPr>
                <w:rFonts w:cstheme="minorHAnsi"/>
                <w:sz w:val="20"/>
                <w:szCs w:val="20"/>
              </w:rPr>
              <w:t>29.3</w:t>
            </w:r>
          </w:p>
        </w:tc>
        <w:tc>
          <w:tcPr>
            <w:tcW w:w="850" w:type="dxa"/>
            <w:vAlign w:val="center"/>
          </w:tcPr>
          <w:p w:rsidR="003728C4" w:rsidRPr="00E97254" w:rsidRDefault="004E1F53" w:rsidP="000C0250">
            <w:pPr>
              <w:spacing w:after="0"/>
              <w:jc w:val="center"/>
              <w:rPr>
                <w:rFonts w:cstheme="minorHAnsi"/>
                <w:sz w:val="20"/>
                <w:szCs w:val="20"/>
              </w:rPr>
            </w:pPr>
            <w:r>
              <w:rPr>
                <w:rFonts w:cstheme="minorHAnsi"/>
                <w:sz w:val="20"/>
                <w:szCs w:val="20"/>
              </w:rPr>
              <w:t>33.7</w:t>
            </w:r>
          </w:p>
        </w:tc>
        <w:tc>
          <w:tcPr>
            <w:tcW w:w="850" w:type="dxa"/>
            <w:vAlign w:val="center"/>
          </w:tcPr>
          <w:p w:rsidR="003728C4" w:rsidRPr="00E97254" w:rsidRDefault="004E1F53" w:rsidP="000C0250">
            <w:pPr>
              <w:spacing w:after="0"/>
              <w:jc w:val="center"/>
              <w:rPr>
                <w:rFonts w:cstheme="minorHAnsi"/>
                <w:sz w:val="20"/>
                <w:szCs w:val="20"/>
              </w:rPr>
            </w:pPr>
            <w:r>
              <w:rPr>
                <w:rFonts w:cstheme="minorHAnsi"/>
                <w:sz w:val="20"/>
                <w:szCs w:val="20"/>
              </w:rPr>
              <w:t>35.2</w:t>
            </w:r>
          </w:p>
        </w:tc>
        <w:tc>
          <w:tcPr>
            <w:tcW w:w="850" w:type="dxa"/>
            <w:vAlign w:val="center"/>
          </w:tcPr>
          <w:p w:rsidR="003728C4" w:rsidRPr="00E97254" w:rsidRDefault="004E1F53" w:rsidP="000C0250">
            <w:pPr>
              <w:spacing w:after="0"/>
              <w:jc w:val="center"/>
              <w:rPr>
                <w:rFonts w:cstheme="minorHAnsi"/>
                <w:sz w:val="20"/>
                <w:szCs w:val="20"/>
              </w:rPr>
            </w:pPr>
            <w:r>
              <w:rPr>
                <w:rFonts w:cstheme="minorHAnsi"/>
                <w:sz w:val="20"/>
                <w:szCs w:val="20"/>
              </w:rPr>
              <w:t>31.6</w:t>
            </w:r>
          </w:p>
        </w:tc>
        <w:tc>
          <w:tcPr>
            <w:tcW w:w="850" w:type="dxa"/>
            <w:vAlign w:val="center"/>
          </w:tcPr>
          <w:p w:rsidR="003728C4" w:rsidRPr="00E97254" w:rsidRDefault="004E1F53" w:rsidP="000C0250">
            <w:pPr>
              <w:spacing w:after="0"/>
              <w:jc w:val="center"/>
              <w:rPr>
                <w:rFonts w:cstheme="minorHAnsi"/>
                <w:sz w:val="20"/>
                <w:szCs w:val="20"/>
              </w:rPr>
            </w:pPr>
            <w:r>
              <w:rPr>
                <w:rFonts w:cstheme="minorHAnsi"/>
                <w:sz w:val="20"/>
                <w:szCs w:val="20"/>
              </w:rPr>
              <w:t>31.1</w:t>
            </w:r>
          </w:p>
        </w:tc>
        <w:tc>
          <w:tcPr>
            <w:tcW w:w="850" w:type="dxa"/>
            <w:vAlign w:val="center"/>
          </w:tcPr>
          <w:p w:rsidR="003728C4" w:rsidRPr="00E97254" w:rsidRDefault="004E1F53" w:rsidP="000C0250">
            <w:pPr>
              <w:spacing w:after="0"/>
              <w:jc w:val="center"/>
              <w:rPr>
                <w:rFonts w:cstheme="minorHAnsi"/>
                <w:sz w:val="20"/>
                <w:szCs w:val="20"/>
              </w:rPr>
            </w:pPr>
            <w:r>
              <w:rPr>
                <w:rFonts w:cstheme="minorHAnsi"/>
                <w:sz w:val="20"/>
                <w:szCs w:val="20"/>
              </w:rPr>
              <w:t>31.1</w:t>
            </w:r>
          </w:p>
        </w:tc>
      </w:tr>
      <w:tr w:rsidR="003728C4" w:rsidRPr="00E97254" w:rsidTr="00366917">
        <w:tc>
          <w:tcPr>
            <w:tcW w:w="2239" w:type="dxa"/>
            <w:vAlign w:val="center"/>
          </w:tcPr>
          <w:p w:rsidR="003728C4" w:rsidRPr="00E97254" w:rsidRDefault="004E1F53" w:rsidP="000C0250">
            <w:pPr>
              <w:spacing w:after="0"/>
              <w:jc w:val="both"/>
              <w:rPr>
                <w:rFonts w:cstheme="minorHAnsi"/>
                <w:sz w:val="20"/>
                <w:szCs w:val="20"/>
              </w:rPr>
            </w:pPr>
            <w:r>
              <w:rPr>
                <w:rFonts w:cstheme="minorHAnsi"/>
                <w:sz w:val="20"/>
                <w:szCs w:val="20"/>
              </w:rPr>
              <w:lastRenderedPageBreak/>
              <w:t>Bilanci fiskal</w:t>
            </w:r>
          </w:p>
        </w:tc>
        <w:tc>
          <w:tcPr>
            <w:tcW w:w="1033" w:type="dxa"/>
            <w:vAlign w:val="center"/>
          </w:tcPr>
          <w:p w:rsidR="003728C4" w:rsidRPr="00E97254" w:rsidRDefault="004E1F53" w:rsidP="000C0250">
            <w:pPr>
              <w:spacing w:after="0"/>
              <w:jc w:val="center"/>
              <w:rPr>
                <w:rFonts w:cstheme="minorHAnsi"/>
                <w:sz w:val="20"/>
                <w:szCs w:val="20"/>
              </w:rPr>
            </w:pPr>
            <w:r>
              <w:rPr>
                <w:rFonts w:cstheme="minorHAnsi"/>
                <w:sz w:val="20"/>
                <w:szCs w:val="20"/>
              </w:rPr>
              <w:t>% e PBB</w:t>
            </w:r>
          </w:p>
        </w:tc>
        <w:tc>
          <w:tcPr>
            <w:tcW w:w="850" w:type="dxa"/>
            <w:vAlign w:val="center"/>
          </w:tcPr>
          <w:p w:rsidR="003728C4" w:rsidRPr="00E97254" w:rsidRDefault="004E1F53" w:rsidP="000C0250">
            <w:pPr>
              <w:spacing w:after="0"/>
              <w:jc w:val="center"/>
              <w:rPr>
                <w:rFonts w:cstheme="minorHAnsi"/>
                <w:sz w:val="20"/>
                <w:szCs w:val="20"/>
              </w:rPr>
            </w:pPr>
            <w:r>
              <w:rPr>
                <w:rFonts w:cstheme="minorHAnsi"/>
                <w:sz w:val="20"/>
                <w:szCs w:val="20"/>
              </w:rPr>
              <w:t>-1.6</w:t>
            </w:r>
          </w:p>
        </w:tc>
        <w:tc>
          <w:tcPr>
            <w:tcW w:w="850" w:type="dxa"/>
            <w:vAlign w:val="center"/>
          </w:tcPr>
          <w:p w:rsidR="003728C4" w:rsidRPr="00E97254" w:rsidRDefault="004E1F53" w:rsidP="000C0250">
            <w:pPr>
              <w:spacing w:after="0"/>
              <w:jc w:val="center"/>
              <w:rPr>
                <w:rFonts w:cstheme="minorHAnsi"/>
                <w:sz w:val="20"/>
                <w:szCs w:val="20"/>
              </w:rPr>
            </w:pPr>
            <w:r>
              <w:rPr>
                <w:rFonts w:cstheme="minorHAnsi"/>
                <w:sz w:val="20"/>
                <w:szCs w:val="20"/>
              </w:rPr>
              <w:t>-1.9</w:t>
            </w:r>
          </w:p>
        </w:tc>
        <w:tc>
          <w:tcPr>
            <w:tcW w:w="850" w:type="dxa"/>
            <w:vAlign w:val="center"/>
          </w:tcPr>
          <w:p w:rsidR="003728C4" w:rsidRPr="00E97254" w:rsidRDefault="004E1F53" w:rsidP="000C0250">
            <w:pPr>
              <w:spacing w:after="0"/>
              <w:jc w:val="center"/>
              <w:rPr>
                <w:rFonts w:cstheme="minorHAnsi"/>
                <w:sz w:val="20"/>
                <w:szCs w:val="20"/>
              </w:rPr>
            </w:pPr>
            <w:r>
              <w:rPr>
                <w:rFonts w:cstheme="minorHAnsi"/>
                <w:sz w:val="20"/>
                <w:szCs w:val="20"/>
              </w:rPr>
              <w:t>-6.7</w:t>
            </w:r>
          </w:p>
        </w:tc>
        <w:tc>
          <w:tcPr>
            <w:tcW w:w="850" w:type="dxa"/>
            <w:vAlign w:val="center"/>
          </w:tcPr>
          <w:p w:rsidR="003728C4" w:rsidRPr="00E97254" w:rsidRDefault="004E1F53" w:rsidP="000C0250">
            <w:pPr>
              <w:spacing w:after="0"/>
              <w:jc w:val="center"/>
              <w:rPr>
                <w:rFonts w:cstheme="minorHAnsi"/>
                <w:sz w:val="20"/>
                <w:szCs w:val="20"/>
              </w:rPr>
            </w:pPr>
            <w:r>
              <w:rPr>
                <w:rFonts w:cstheme="minorHAnsi"/>
                <w:sz w:val="20"/>
                <w:szCs w:val="20"/>
              </w:rPr>
              <w:t>-6.5</w:t>
            </w:r>
          </w:p>
        </w:tc>
        <w:tc>
          <w:tcPr>
            <w:tcW w:w="850" w:type="dxa"/>
            <w:vAlign w:val="center"/>
          </w:tcPr>
          <w:p w:rsidR="003728C4" w:rsidRPr="00E97254" w:rsidRDefault="004E1F53" w:rsidP="000C0250">
            <w:pPr>
              <w:spacing w:after="0"/>
              <w:jc w:val="center"/>
              <w:rPr>
                <w:rFonts w:cstheme="minorHAnsi"/>
                <w:sz w:val="20"/>
                <w:szCs w:val="20"/>
              </w:rPr>
            </w:pPr>
            <w:r>
              <w:rPr>
                <w:rFonts w:cstheme="minorHAnsi"/>
                <w:sz w:val="20"/>
                <w:szCs w:val="20"/>
              </w:rPr>
              <w:t>-2.9</w:t>
            </w:r>
          </w:p>
        </w:tc>
        <w:tc>
          <w:tcPr>
            <w:tcW w:w="850" w:type="dxa"/>
            <w:vAlign w:val="center"/>
          </w:tcPr>
          <w:p w:rsidR="003728C4" w:rsidRPr="00E97254" w:rsidRDefault="004E1F53" w:rsidP="000C0250">
            <w:pPr>
              <w:spacing w:after="0"/>
              <w:jc w:val="center"/>
              <w:rPr>
                <w:rFonts w:cstheme="minorHAnsi"/>
              </w:rPr>
            </w:pPr>
            <w:r>
              <w:rPr>
                <w:rFonts w:cstheme="minorHAnsi"/>
              </w:rPr>
              <w:t>-2.3</w:t>
            </w:r>
          </w:p>
        </w:tc>
        <w:tc>
          <w:tcPr>
            <w:tcW w:w="850" w:type="dxa"/>
            <w:vAlign w:val="center"/>
          </w:tcPr>
          <w:p w:rsidR="003728C4" w:rsidRPr="00E97254" w:rsidRDefault="004E1F53" w:rsidP="000C0250">
            <w:pPr>
              <w:spacing w:after="0"/>
              <w:jc w:val="center"/>
              <w:rPr>
                <w:rFonts w:cstheme="minorHAnsi"/>
              </w:rPr>
            </w:pPr>
            <w:r>
              <w:rPr>
                <w:rFonts w:cstheme="minorHAnsi"/>
              </w:rPr>
              <w:t>-2.0</w:t>
            </w:r>
          </w:p>
        </w:tc>
      </w:tr>
      <w:tr w:rsidR="003728C4" w:rsidRPr="00E97254" w:rsidTr="00366917">
        <w:tc>
          <w:tcPr>
            <w:tcW w:w="2239" w:type="dxa"/>
            <w:vAlign w:val="center"/>
          </w:tcPr>
          <w:p w:rsidR="003728C4" w:rsidRPr="00E97254" w:rsidRDefault="004E1F53" w:rsidP="000C0250">
            <w:pPr>
              <w:spacing w:after="0"/>
              <w:jc w:val="both"/>
              <w:rPr>
                <w:rFonts w:cstheme="minorHAnsi"/>
                <w:sz w:val="20"/>
                <w:szCs w:val="20"/>
              </w:rPr>
            </w:pPr>
            <w:r>
              <w:rPr>
                <w:rFonts w:cstheme="minorHAnsi"/>
                <w:sz w:val="20"/>
                <w:szCs w:val="20"/>
              </w:rPr>
              <w:t>Borxhi publik (bruto)</w:t>
            </w:r>
          </w:p>
        </w:tc>
        <w:tc>
          <w:tcPr>
            <w:tcW w:w="1033" w:type="dxa"/>
            <w:vAlign w:val="center"/>
          </w:tcPr>
          <w:p w:rsidR="003728C4" w:rsidRPr="00E97254" w:rsidRDefault="004E1F53" w:rsidP="000C0250">
            <w:pPr>
              <w:spacing w:after="0"/>
              <w:jc w:val="center"/>
              <w:rPr>
                <w:rFonts w:cstheme="minorHAnsi"/>
                <w:sz w:val="20"/>
                <w:szCs w:val="20"/>
              </w:rPr>
            </w:pPr>
            <w:r>
              <w:rPr>
                <w:rFonts w:cstheme="minorHAnsi"/>
                <w:sz w:val="20"/>
                <w:szCs w:val="20"/>
              </w:rPr>
              <w:t>% e PBB</w:t>
            </w:r>
          </w:p>
        </w:tc>
        <w:tc>
          <w:tcPr>
            <w:tcW w:w="850" w:type="dxa"/>
            <w:vAlign w:val="center"/>
          </w:tcPr>
          <w:p w:rsidR="003728C4" w:rsidRPr="00E97254" w:rsidRDefault="004E1F53" w:rsidP="000C0250">
            <w:pPr>
              <w:spacing w:after="0"/>
              <w:jc w:val="center"/>
              <w:rPr>
                <w:rFonts w:cstheme="minorHAnsi"/>
                <w:sz w:val="20"/>
                <w:szCs w:val="20"/>
              </w:rPr>
            </w:pPr>
            <w:r>
              <w:rPr>
                <w:rFonts w:cstheme="minorHAnsi"/>
                <w:sz w:val="20"/>
                <w:szCs w:val="20"/>
              </w:rPr>
              <w:t>67.7</w:t>
            </w:r>
          </w:p>
        </w:tc>
        <w:tc>
          <w:tcPr>
            <w:tcW w:w="850" w:type="dxa"/>
            <w:vAlign w:val="center"/>
          </w:tcPr>
          <w:p w:rsidR="003728C4" w:rsidRPr="00E97254" w:rsidRDefault="004E1F53" w:rsidP="000C0250">
            <w:pPr>
              <w:spacing w:after="0"/>
              <w:jc w:val="center"/>
              <w:rPr>
                <w:rFonts w:cstheme="minorHAnsi"/>
                <w:sz w:val="20"/>
                <w:szCs w:val="20"/>
              </w:rPr>
            </w:pPr>
            <w:r>
              <w:rPr>
                <w:rFonts w:cstheme="minorHAnsi"/>
                <w:sz w:val="20"/>
                <w:szCs w:val="20"/>
              </w:rPr>
              <w:t>66.3</w:t>
            </w:r>
          </w:p>
        </w:tc>
        <w:tc>
          <w:tcPr>
            <w:tcW w:w="850" w:type="dxa"/>
            <w:vAlign w:val="center"/>
          </w:tcPr>
          <w:p w:rsidR="003728C4" w:rsidRPr="00E97254" w:rsidRDefault="004E1F53" w:rsidP="000C0250">
            <w:pPr>
              <w:spacing w:after="0"/>
              <w:jc w:val="center"/>
              <w:rPr>
                <w:rFonts w:cstheme="minorHAnsi"/>
                <w:sz w:val="20"/>
                <w:szCs w:val="20"/>
              </w:rPr>
            </w:pPr>
            <w:r>
              <w:rPr>
                <w:rFonts w:cstheme="minorHAnsi"/>
                <w:sz w:val="20"/>
                <w:szCs w:val="20"/>
              </w:rPr>
              <w:t>79.9</w:t>
            </w:r>
          </w:p>
        </w:tc>
        <w:tc>
          <w:tcPr>
            <w:tcW w:w="850" w:type="dxa"/>
            <w:vAlign w:val="center"/>
          </w:tcPr>
          <w:p w:rsidR="003728C4" w:rsidRPr="00E97254" w:rsidRDefault="004E1F53" w:rsidP="000C0250">
            <w:pPr>
              <w:spacing w:after="0"/>
              <w:jc w:val="center"/>
              <w:rPr>
                <w:rFonts w:cstheme="minorHAnsi"/>
                <w:sz w:val="20"/>
                <w:szCs w:val="20"/>
              </w:rPr>
            </w:pPr>
            <w:r>
              <w:rPr>
                <w:rFonts w:cstheme="minorHAnsi"/>
                <w:sz w:val="20"/>
                <w:szCs w:val="20"/>
              </w:rPr>
              <w:t>78.6</w:t>
            </w:r>
          </w:p>
        </w:tc>
        <w:tc>
          <w:tcPr>
            <w:tcW w:w="850" w:type="dxa"/>
            <w:vAlign w:val="center"/>
          </w:tcPr>
          <w:p w:rsidR="003728C4" w:rsidRPr="00E97254" w:rsidRDefault="004E1F53" w:rsidP="000C0250">
            <w:pPr>
              <w:spacing w:after="0"/>
              <w:jc w:val="center"/>
              <w:rPr>
                <w:rFonts w:cstheme="minorHAnsi"/>
                <w:sz w:val="20"/>
                <w:szCs w:val="20"/>
              </w:rPr>
            </w:pPr>
            <w:r>
              <w:rPr>
                <w:rFonts w:cstheme="minorHAnsi"/>
                <w:sz w:val="20"/>
                <w:szCs w:val="20"/>
              </w:rPr>
              <w:t>77.7</w:t>
            </w:r>
          </w:p>
        </w:tc>
        <w:tc>
          <w:tcPr>
            <w:tcW w:w="850" w:type="dxa"/>
            <w:vAlign w:val="center"/>
          </w:tcPr>
          <w:p w:rsidR="003728C4" w:rsidRPr="00E97254" w:rsidRDefault="004E1F53" w:rsidP="000C0250">
            <w:pPr>
              <w:spacing w:after="0"/>
              <w:jc w:val="center"/>
              <w:rPr>
                <w:rFonts w:cstheme="minorHAnsi"/>
                <w:sz w:val="20"/>
                <w:szCs w:val="20"/>
              </w:rPr>
            </w:pPr>
            <w:r>
              <w:rPr>
                <w:rFonts w:cstheme="minorHAnsi"/>
                <w:sz w:val="20"/>
                <w:szCs w:val="20"/>
              </w:rPr>
              <w:t>75.6</w:t>
            </w:r>
          </w:p>
        </w:tc>
        <w:tc>
          <w:tcPr>
            <w:tcW w:w="850" w:type="dxa"/>
            <w:vAlign w:val="center"/>
          </w:tcPr>
          <w:p w:rsidR="003728C4" w:rsidRPr="00E97254" w:rsidRDefault="004E1F53" w:rsidP="000C0250">
            <w:pPr>
              <w:spacing w:after="0"/>
              <w:jc w:val="center"/>
              <w:rPr>
                <w:rFonts w:cstheme="minorHAnsi"/>
                <w:sz w:val="20"/>
                <w:szCs w:val="20"/>
              </w:rPr>
            </w:pPr>
            <w:r>
              <w:rPr>
                <w:rFonts w:cstheme="minorHAnsi"/>
                <w:sz w:val="20"/>
                <w:szCs w:val="20"/>
              </w:rPr>
              <w:t>73.8</w:t>
            </w:r>
          </w:p>
        </w:tc>
      </w:tr>
    </w:tbl>
    <w:p w:rsidR="00D07643" w:rsidRPr="00E97254" w:rsidRDefault="00D07643" w:rsidP="000C0250">
      <w:bookmarkStart w:id="15" w:name="_Toc45624211"/>
    </w:p>
    <w:p w:rsidR="00941864" w:rsidRPr="00E97254" w:rsidRDefault="00FA5606" w:rsidP="000C0250">
      <w:pPr>
        <w:pStyle w:val="Heading2"/>
        <w:jc w:val="both"/>
      </w:pPr>
      <w:bookmarkStart w:id="16" w:name="_Toc66801980"/>
      <w:r w:rsidRPr="00FA5606">
        <w:t>3.2. Tabloja demografike</w:t>
      </w:r>
      <w:bookmarkEnd w:id="15"/>
      <w:bookmarkEnd w:id="16"/>
    </w:p>
    <w:p w:rsidR="007A44E2" w:rsidRPr="00E97254" w:rsidRDefault="004E1F53" w:rsidP="000C0250">
      <w:pPr>
        <w:spacing w:before="120" w:after="0"/>
        <w:jc w:val="both"/>
        <w:rPr>
          <w:rFonts w:ascii="Calibri" w:hAnsi="Calibri" w:cs="Calibri"/>
        </w:rPr>
      </w:pPr>
      <w:r>
        <w:rPr>
          <w:rFonts w:ascii="Calibri" w:hAnsi="Calibri" w:cs="Calibri"/>
        </w:rPr>
        <w:t xml:space="preserve">Skenari i rritjes së mesme të projeksioneve të përditësuara të popullsisë parashikon se popullsia e Shqipërisë do të tkurret nga 2,862,427 në vitin 2019 në rreth 2,745,996 në vitin 2031 pra me 4.07%. Ky skenar bazohet në hipotezat mesatare të lindshmërisë, vdekshmërisë dhe migracionit. Në rast se lindshmëria fillon të rikuperohet me shpejtësi nga niveli aktual dhe emigrimi pëson rënie me ritme të larta atëherë popullsia e Shqipërisë pritet që sipas skenarit të rritjes së lartë të arrijë në 2,922,749 banorë në vitin 2031. Ndërkohë që sipas skenarit të rritjes së ulët, ku supozohet rënie e mëtejshme e lindshmërisë dhe rritje të numrit të emigrantëve, popullsia e Shqipërisë pritet të arrijë në 2,592,976 banorë në vitin 2031. </w:t>
      </w:r>
      <w:sdt>
        <w:sdtPr>
          <w:rPr>
            <w:rFonts w:ascii="Calibri" w:hAnsi="Calibri" w:cs="Calibri"/>
          </w:rPr>
          <w:id w:val="-1401439062"/>
          <w:citation/>
        </w:sdtPr>
        <w:sdtEndPr/>
        <w:sdtContent>
          <w:r w:rsidR="00EC56B7" w:rsidRPr="00E97254">
            <w:rPr>
              <w:rFonts w:ascii="Calibri" w:hAnsi="Calibri" w:cs="Calibri"/>
            </w:rPr>
            <w:fldChar w:fldCharType="begin"/>
          </w:r>
          <w:r>
            <w:rPr>
              <w:rFonts w:ascii="Calibri" w:hAnsi="Calibri" w:cs="Calibri"/>
            </w:rPr>
            <w:instrText xml:space="preserve"> CITATION INS19 \l 1033 </w:instrText>
          </w:r>
          <w:r w:rsidR="00EC56B7" w:rsidRPr="00E97254">
            <w:rPr>
              <w:rFonts w:ascii="Calibri" w:hAnsi="Calibri" w:cs="Calibri"/>
            </w:rPr>
            <w:fldChar w:fldCharType="separate"/>
          </w:r>
          <w:r w:rsidR="00724BCC" w:rsidRPr="00E97254">
            <w:rPr>
              <w:rFonts w:ascii="Calibri" w:hAnsi="Calibri" w:cs="Calibri"/>
            </w:rPr>
            <w:t>[10]</w:t>
          </w:r>
          <w:r w:rsidR="00EC56B7" w:rsidRPr="00E97254">
            <w:rPr>
              <w:rFonts w:ascii="Calibri" w:hAnsi="Calibri" w:cs="Calibri"/>
            </w:rPr>
            <w:fldChar w:fldCharType="end"/>
          </w:r>
        </w:sdtContent>
      </w:sdt>
      <w:r w:rsidR="005F0B4D" w:rsidRPr="00E97254">
        <w:rPr>
          <w:rFonts w:ascii="Calibri" w:hAnsi="Calibri" w:cs="Calibri"/>
        </w:rPr>
        <w:t xml:space="preserve"> </w:t>
      </w:r>
      <w:r w:rsidR="006A7BCE" w:rsidRPr="00E97254">
        <w:rPr>
          <w:rFonts w:ascii="Calibri" w:hAnsi="Calibri" w:cs="Calibri"/>
        </w:rPr>
        <w:t>Të dhënat e projeksioneve</w:t>
      </w:r>
      <w:r w:rsidR="007252AB" w:rsidRPr="00E97254">
        <w:rPr>
          <w:rFonts w:ascii="Calibri" w:hAnsi="Calibri" w:cs="Calibri"/>
        </w:rPr>
        <w:t xml:space="preserve"> demografike</w:t>
      </w:r>
      <w:r w:rsidR="00CF1647" w:rsidRPr="00E97254">
        <w:rPr>
          <w:rFonts w:ascii="Calibri" w:hAnsi="Calibri" w:cs="Calibri"/>
        </w:rPr>
        <w:t xml:space="preserve"> </w:t>
      </w:r>
      <w:r w:rsidR="007252AB" w:rsidRPr="00E97254">
        <w:rPr>
          <w:rFonts w:ascii="Calibri" w:hAnsi="Calibri" w:cs="Calibri"/>
        </w:rPr>
        <w:t xml:space="preserve">për vitet 2019 dhe 2031 </w:t>
      </w:r>
      <w:r w:rsidR="006A7BCE" w:rsidRPr="00E97254">
        <w:rPr>
          <w:rFonts w:ascii="Calibri" w:hAnsi="Calibri" w:cs="Calibri"/>
        </w:rPr>
        <w:t xml:space="preserve">janë prezantuar në </w:t>
      </w:r>
      <w:r w:rsidR="008D102D">
        <w:fldChar w:fldCharType="begin"/>
      </w:r>
      <w:r w:rsidR="008D102D">
        <w:instrText xml:space="preserve"> REF _Ref34167556 \h  \* MERGEFORMAT </w:instrText>
      </w:r>
      <w:r w:rsidR="008D102D">
        <w:fldChar w:fldCharType="separate"/>
      </w:r>
      <w:r w:rsidR="005A6200" w:rsidRPr="00E97254">
        <w:rPr>
          <w:rFonts w:ascii="Calibri" w:hAnsi="Calibri" w:cs="Calibri"/>
        </w:rPr>
        <w:t>Tabela 2</w:t>
      </w:r>
      <w:r w:rsidR="008D102D">
        <w:fldChar w:fldCharType="end"/>
      </w:r>
      <w:r w:rsidR="006A7BCE" w:rsidRPr="00E97254">
        <w:rPr>
          <w:rFonts w:ascii="Calibri" w:hAnsi="Calibri" w:cs="Calibri"/>
        </w:rPr>
        <w:t>.</w:t>
      </w:r>
      <w:r w:rsidR="007252AB" w:rsidRPr="00E97254">
        <w:rPr>
          <w:rFonts w:ascii="Calibri" w:hAnsi="Calibri" w:cs="Calibri"/>
        </w:rPr>
        <w:t xml:space="preserve"> Për secilin nga tre skenarët e rritjes dhe për secilën grupmoshë është dhënë edhe shkalla e zvogëlimit/rritjes së popullsisë në vitin 2031 në raport me </w:t>
      </w:r>
      <w:r w:rsidR="00DC4C19">
        <w:rPr>
          <w:rFonts w:ascii="Calibri" w:hAnsi="Calibri" w:cs="Calibri"/>
        </w:rPr>
        <w:t>situatën</w:t>
      </w:r>
      <w:r w:rsidR="00DC4C19" w:rsidRPr="00E97254">
        <w:rPr>
          <w:rFonts w:ascii="Calibri" w:hAnsi="Calibri" w:cs="Calibri"/>
        </w:rPr>
        <w:t xml:space="preserve"> </w:t>
      </w:r>
      <w:r w:rsidR="007252AB" w:rsidRPr="00E97254">
        <w:rPr>
          <w:rFonts w:ascii="Calibri" w:hAnsi="Calibri" w:cs="Calibri"/>
        </w:rPr>
        <w:t>në vitin 2019.</w:t>
      </w:r>
    </w:p>
    <w:p w:rsidR="0092192F" w:rsidRPr="00E97254" w:rsidRDefault="00FA5606" w:rsidP="000C0250">
      <w:pPr>
        <w:pStyle w:val="Caption"/>
        <w:spacing w:before="120" w:after="120" w:line="276" w:lineRule="auto"/>
        <w:jc w:val="both"/>
        <w:rPr>
          <w:rFonts w:ascii="Calibri" w:hAnsi="Calibri" w:cs="Calibri"/>
          <w:color w:val="auto"/>
          <w:sz w:val="22"/>
          <w:szCs w:val="22"/>
        </w:rPr>
      </w:pPr>
      <w:bookmarkStart w:id="17" w:name="_Ref34167556"/>
      <w:bookmarkStart w:id="18" w:name="_Toc66802036"/>
      <w:r w:rsidRPr="00FA5606">
        <w:rPr>
          <w:rFonts w:ascii="Calibri" w:hAnsi="Calibri" w:cs="Calibri"/>
          <w:color w:val="auto"/>
          <w:sz w:val="22"/>
          <w:szCs w:val="22"/>
        </w:rPr>
        <w:t xml:space="preserve">Tabela </w:t>
      </w:r>
      <w:r w:rsidR="00EC56B7" w:rsidRPr="00FA5606">
        <w:rPr>
          <w:rFonts w:ascii="Calibri" w:hAnsi="Calibri" w:cs="Calibri"/>
          <w:color w:val="auto"/>
          <w:sz w:val="22"/>
          <w:szCs w:val="22"/>
        </w:rPr>
        <w:fldChar w:fldCharType="begin"/>
      </w:r>
      <w:r w:rsidRPr="00FA5606">
        <w:rPr>
          <w:rFonts w:ascii="Calibri" w:hAnsi="Calibri" w:cs="Calibri"/>
          <w:color w:val="auto"/>
          <w:sz w:val="22"/>
          <w:szCs w:val="22"/>
        </w:rPr>
        <w:instrText xml:space="preserve"> SEQ Tabela \* ARABIC </w:instrText>
      </w:r>
      <w:r w:rsidR="00EC56B7" w:rsidRPr="00FA5606">
        <w:rPr>
          <w:rFonts w:ascii="Calibri" w:hAnsi="Calibri" w:cs="Calibri"/>
          <w:color w:val="auto"/>
          <w:sz w:val="22"/>
          <w:szCs w:val="22"/>
        </w:rPr>
        <w:fldChar w:fldCharType="separate"/>
      </w:r>
      <w:r w:rsidRPr="00FA5606">
        <w:rPr>
          <w:rFonts w:ascii="Calibri" w:hAnsi="Calibri" w:cs="Calibri"/>
          <w:color w:val="auto"/>
          <w:sz w:val="22"/>
          <w:szCs w:val="22"/>
        </w:rPr>
        <w:t>2</w:t>
      </w:r>
      <w:r w:rsidR="00EC56B7" w:rsidRPr="00FA5606">
        <w:rPr>
          <w:rFonts w:ascii="Calibri" w:hAnsi="Calibri" w:cs="Calibri"/>
          <w:color w:val="auto"/>
          <w:sz w:val="22"/>
          <w:szCs w:val="22"/>
        </w:rPr>
        <w:fldChar w:fldCharType="end"/>
      </w:r>
      <w:bookmarkEnd w:id="17"/>
      <w:r w:rsidRPr="00FA5606">
        <w:rPr>
          <w:rFonts w:ascii="Calibri" w:hAnsi="Calibri" w:cs="Calibri"/>
          <w:color w:val="auto"/>
          <w:sz w:val="22"/>
          <w:szCs w:val="22"/>
        </w:rPr>
        <w:t xml:space="preserve">. </w:t>
      </w:r>
      <w:r w:rsidR="004E1F53" w:rsidRPr="004E1F53">
        <w:rPr>
          <w:rFonts w:ascii="Calibri" w:hAnsi="Calibri" w:cs="Calibri"/>
          <w:b w:val="0"/>
          <w:color w:val="auto"/>
          <w:sz w:val="22"/>
          <w:szCs w:val="22"/>
        </w:rPr>
        <w:t>Projeksionet demografike për vitet 2019 dhe 2031</w:t>
      </w:r>
      <w:bookmarkEnd w:id="18"/>
    </w:p>
    <w:tbl>
      <w:tblPr>
        <w:tblW w:w="9420" w:type="dxa"/>
        <w:tblCellMar>
          <w:left w:w="0" w:type="dxa"/>
          <w:right w:w="0" w:type="dxa"/>
        </w:tblCellMar>
        <w:tblLook w:val="04A0" w:firstRow="1" w:lastRow="0" w:firstColumn="1" w:lastColumn="0" w:noHBand="0" w:noVBand="1"/>
      </w:tblPr>
      <w:tblGrid>
        <w:gridCol w:w="1160"/>
        <w:gridCol w:w="971"/>
        <w:gridCol w:w="971"/>
        <w:gridCol w:w="799"/>
        <w:gridCol w:w="985"/>
        <w:gridCol w:w="985"/>
        <w:gridCol w:w="810"/>
        <w:gridCol w:w="971"/>
        <w:gridCol w:w="971"/>
        <w:gridCol w:w="799"/>
      </w:tblGrid>
      <w:tr w:rsidR="009C354D" w:rsidRPr="00E97254" w:rsidTr="009C354D">
        <w:trPr>
          <w:trHeight w:val="300"/>
        </w:trPr>
        <w:tc>
          <w:tcPr>
            <w:tcW w:w="1160" w:type="dxa"/>
            <w:vMerge w:val="restart"/>
            <w:tcBorders>
              <w:top w:val="single" w:sz="4" w:space="0" w:color="auto"/>
              <w:left w:val="single" w:sz="4" w:space="0" w:color="auto"/>
              <w:bottom w:val="single" w:sz="4" w:space="0" w:color="000000"/>
              <w:right w:val="single" w:sz="4" w:space="0" w:color="auto"/>
            </w:tcBorders>
            <w:shd w:val="clear" w:color="auto" w:fill="auto"/>
            <w:noWrap/>
            <w:tcMar>
              <w:top w:w="15" w:type="dxa"/>
              <w:left w:w="15" w:type="dxa"/>
              <w:bottom w:w="0" w:type="dxa"/>
              <w:right w:w="15" w:type="dxa"/>
            </w:tcMar>
            <w:vAlign w:val="center"/>
            <w:hideMark/>
          </w:tcPr>
          <w:p w:rsidR="009C354D" w:rsidRPr="00E97254" w:rsidRDefault="004E1F53" w:rsidP="000C0250">
            <w:pPr>
              <w:spacing w:after="0"/>
              <w:jc w:val="both"/>
              <w:rPr>
                <w:rFonts w:cstheme="minorHAnsi"/>
                <w:color w:val="000000"/>
                <w:sz w:val="20"/>
                <w:szCs w:val="20"/>
              </w:rPr>
            </w:pPr>
            <w:r>
              <w:rPr>
                <w:rFonts w:cstheme="minorHAnsi"/>
                <w:color w:val="000000"/>
                <w:sz w:val="20"/>
                <w:szCs w:val="20"/>
              </w:rPr>
              <w:t>Grupmosha</w:t>
            </w:r>
          </w:p>
        </w:tc>
        <w:tc>
          <w:tcPr>
            <w:tcW w:w="2740" w:type="dxa"/>
            <w:gridSpan w:val="3"/>
            <w:tcBorders>
              <w:top w:val="single" w:sz="4" w:space="0" w:color="auto"/>
              <w:left w:val="nil"/>
              <w:bottom w:val="single" w:sz="4" w:space="0" w:color="auto"/>
              <w:right w:val="single" w:sz="4" w:space="0" w:color="000000"/>
            </w:tcBorders>
            <w:shd w:val="clear" w:color="auto" w:fill="auto"/>
            <w:noWrap/>
            <w:tcMar>
              <w:top w:w="15" w:type="dxa"/>
              <w:left w:w="15" w:type="dxa"/>
              <w:bottom w:w="0" w:type="dxa"/>
              <w:right w:w="15" w:type="dxa"/>
            </w:tcMar>
            <w:vAlign w:val="center"/>
            <w:hideMark/>
          </w:tcPr>
          <w:p w:rsidR="009C354D" w:rsidRPr="00E97254" w:rsidRDefault="004E1F53" w:rsidP="000C0250">
            <w:pPr>
              <w:spacing w:after="0"/>
              <w:jc w:val="center"/>
              <w:rPr>
                <w:rFonts w:cstheme="minorHAnsi"/>
                <w:color w:val="000000"/>
                <w:sz w:val="20"/>
                <w:szCs w:val="20"/>
              </w:rPr>
            </w:pPr>
            <w:r>
              <w:rPr>
                <w:rFonts w:cstheme="minorHAnsi"/>
                <w:color w:val="000000"/>
                <w:sz w:val="20"/>
                <w:szCs w:val="20"/>
              </w:rPr>
              <w:t>Skenari i rritjes së ulët</w:t>
            </w:r>
          </w:p>
        </w:tc>
        <w:tc>
          <w:tcPr>
            <w:tcW w:w="2780" w:type="dxa"/>
            <w:gridSpan w:val="3"/>
            <w:tcBorders>
              <w:top w:val="single" w:sz="4" w:space="0" w:color="auto"/>
              <w:left w:val="nil"/>
              <w:bottom w:val="single" w:sz="4" w:space="0" w:color="auto"/>
              <w:right w:val="single" w:sz="4" w:space="0" w:color="000000"/>
            </w:tcBorders>
            <w:shd w:val="clear" w:color="auto" w:fill="auto"/>
            <w:noWrap/>
            <w:tcMar>
              <w:top w:w="15" w:type="dxa"/>
              <w:left w:w="15" w:type="dxa"/>
              <w:bottom w:w="0" w:type="dxa"/>
              <w:right w:w="15" w:type="dxa"/>
            </w:tcMar>
            <w:vAlign w:val="center"/>
            <w:hideMark/>
          </w:tcPr>
          <w:p w:rsidR="009C354D" w:rsidRPr="00E97254" w:rsidRDefault="004E1F53" w:rsidP="000C0250">
            <w:pPr>
              <w:spacing w:after="0"/>
              <w:jc w:val="center"/>
              <w:rPr>
                <w:rFonts w:cstheme="minorHAnsi"/>
                <w:color w:val="000000"/>
                <w:sz w:val="20"/>
                <w:szCs w:val="20"/>
              </w:rPr>
            </w:pPr>
            <w:r>
              <w:rPr>
                <w:rFonts w:cstheme="minorHAnsi"/>
                <w:color w:val="000000"/>
                <w:sz w:val="20"/>
                <w:szCs w:val="20"/>
              </w:rPr>
              <w:t>Skenari i rritjes së mesme</w:t>
            </w:r>
          </w:p>
        </w:tc>
        <w:tc>
          <w:tcPr>
            <w:tcW w:w="2740" w:type="dxa"/>
            <w:gridSpan w:val="3"/>
            <w:tcBorders>
              <w:top w:val="single" w:sz="4" w:space="0" w:color="auto"/>
              <w:left w:val="nil"/>
              <w:bottom w:val="single" w:sz="4" w:space="0" w:color="auto"/>
              <w:right w:val="single" w:sz="4" w:space="0" w:color="000000"/>
            </w:tcBorders>
            <w:shd w:val="clear" w:color="auto" w:fill="auto"/>
            <w:noWrap/>
            <w:tcMar>
              <w:top w:w="15" w:type="dxa"/>
              <w:left w:w="15" w:type="dxa"/>
              <w:bottom w:w="0" w:type="dxa"/>
              <w:right w:w="15" w:type="dxa"/>
            </w:tcMar>
            <w:vAlign w:val="center"/>
            <w:hideMark/>
          </w:tcPr>
          <w:p w:rsidR="009C354D" w:rsidRPr="00E97254" w:rsidRDefault="004E1F53" w:rsidP="000C0250">
            <w:pPr>
              <w:spacing w:after="0"/>
              <w:jc w:val="center"/>
              <w:rPr>
                <w:rFonts w:cstheme="minorHAnsi"/>
                <w:color w:val="000000"/>
                <w:sz w:val="20"/>
                <w:szCs w:val="20"/>
              </w:rPr>
            </w:pPr>
            <w:r>
              <w:rPr>
                <w:rFonts w:cstheme="minorHAnsi"/>
                <w:color w:val="000000"/>
                <w:sz w:val="20"/>
                <w:szCs w:val="20"/>
              </w:rPr>
              <w:t>Skenari i rritjes së lartë</w:t>
            </w:r>
          </w:p>
        </w:tc>
      </w:tr>
      <w:tr w:rsidR="009C354D" w:rsidRPr="00E97254" w:rsidTr="009C354D">
        <w:trPr>
          <w:trHeight w:val="300"/>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9C354D" w:rsidRPr="00E97254" w:rsidRDefault="009C354D" w:rsidP="000C0250">
            <w:pPr>
              <w:keepNext/>
              <w:keepLines/>
              <w:spacing w:before="480" w:after="0"/>
              <w:jc w:val="both"/>
              <w:outlineLvl w:val="0"/>
              <w:rPr>
                <w:rFonts w:cstheme="minorHAnsi"/>
                <w:color w:val="000000"/>
                <w:sz w:val="20"/>
                <w:szCs w:val="20"/>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C354D" w:rsidRPr="00E97254" w:rsidRDefault="004E1F53" w:rsidP="000C0250">
            <w:pPr>
              <w:spacing w:after="0"/>
              <w:jc w:val="center"/>
              <w:rPr>
                <w:rFonts w:cstheme="minorHAnsi"/>
                <w:color w:val="000000"/>
                <w:sz w:val="20"/>
                <w:szCs w:val="20"/>
              </w:rPr>
            </w:pPr>
            <w:r>
              <w:rPr>
                <w:rFonts w:cstheme="minorHAnsi"/>
                <w:color w:val="000000"/>
                <w:sz w:val="20"/>
                <w:szCs w:val="20"/>
              </w:rPr>
              <w:t>2019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C354D" w:rsidRPr="00E97254" w:rsidRDefault="004E1F53" w:rsidP="000C0250">
            <w:pPr>
              <w:spacing w:after="0"/>
              <w:jc w:val="center"/>
              <w:rPr>
                <w:rFonts w:cstheme="minorHAnsi"/>
                <w:color w:val="000000"/>
                <w:sz w:val="20"/>
                <w:szCs w:val="20"/>
              </w:rPr>
            </w:pPr>
            <w:r>
              <w:rPr>
                <w:rFonts w:cstheme="minorHAnsi"/>
                <w:color w:val="000000"/>
                <w:sz w:val="20"/>
                <w:szCs w:val="20"/>
              </w:rPr>
              <w:t>2031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C354D" w:rsidRPr="00E97254" w:rsidRDefault="004E1F53" w:rsidP="000C0250">
            <w:pPr>
              <w:spacing w:after="0"/>
              <w:jc w:val="center"/>
              <w:rPr>
                <w:rFonts w:cstheme="minorHAnsi"/>
                <w:color w:val="000000"/>
                <w:sz w:val="20"/>
                <w:szCs w:val="20"/>
              </w:rPr>
            </w:pPr>
            <w:r>
              <w:rPr>
                <w:rFonts w:eastAsia="Times New Roman" w:cstheme="minorHAnsi"/>
                <w:color w:val="000000"/>
                <w:sz w:val="20"/>
                <w:szCs w:val="20"/>
              </w:rPr>
              <w:t>Ndrysh</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C354D" w:rsidRPr="00E97254" w:rsidRDefault="004E1F53" w:rsidP="000C0250">
            <w:pPr>
              <w:spacing w:after="0"/>
              <w:jc w:val="center"/>
              <w:rPr>
                <w:rFonts w:cstheme="minorHAnsi"/>
                <w:color w:val="000000"/>
                <w:sz w:val="20"/>
                <w:szCs w:val="20"/>
              </w:rPr>
            </w:pPr>
            <w:r>
              <w:rPr>
                <w:rFonts w:cstheme="minorHAnsi"/>
                <w:color w:val="000000"/>
                <w:sz w:val="20"/>
                <w:szCs w:val="20"/>
              </w:rPr>
              <w:t>2019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C354D" w:rsidRPr="00E97254" w:rsidRDefault="004E1F53" w:rsidP="000C0250">
            <w:pPr>
              <w:spacing w:after="0"/>
              <w:jc w:val="center"/>
              <w:rPr>
                <w:rFonts w:cstheme="minorHAnsi"/>
                <w:color w:val="000000"/>
                <w:sz w:val="20"/>
                <w:szCs w:val="20"/>
              </w:rPr>
            </w:pPr>
            <w:r>
              <w:rPr>
                <w:rFonts w:cstheme="minorHAnsi"/>
                <w:color w:val="000000"/>
                <w:sz w:val="20"/>
                <w:szCs w:val="20"/>
              </w:rPr>
              <w:t>2031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C354D" w:rsidRPr="00E97254" w:rsidRDefault="004E1F53" w:rsidP="000C0250">
            <w:pPr>
              <w:spacing w:after="0"/>
              <w:jc w:val="center"/>
              <w:rPr>
                <w:rFonts w:cstheme="minorHAnsi"/>
                <w:color w:val="000000"/>
                <w:sz w:val="20"/>
                <w:szCs w:val="20"/>
              </w:rPr>
            </w:pPr>
            <w:r>
              <w:rPr>
                <w:rFonts w:eastAsia="Times New Roman" w:cstheme="minorHAnsi"/>
                <w:color w:val="000000"/>
                <w:sz w:val="20"/>
                <w:szCs w:val="20"/>
              </w:rPr>
              <w:t>Ndrysh</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C354D" w:rsidRPr="00E97254" w:rsidRDefault="004E1F53" w:rsidP="000C0250">
            <w:pPr>
              <w:spacing w:after="0"/>
              <w:jc w:val="center"/>
              <w:rPr>
                <w:rFonts w:cstheme="minorHAnsi"/>
                <w:color w:val="000000"/>
                <w:sz w:val="20"/>
                <w:szCs w:val="20"/>
              </w:rPr>
            </w:pPr>
            <w:r>
              <w:rPr>
                <w:rFonts w:cstheme="minorHAnsi"/>
                <w:color w:val="000000"/>
                <w:sz w:val="20"/>
                <w:szCs w:val="20"/>
              </w:rPr>
              <w:t>2019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C354D" w:rsidRPr="00E97254" w:rsidRDefault="004E1F53" w:rsidP="000C0250">
            <w:pPr>
              <w:spacing w:after="0"/>
              <w:jc w:val="center"/>
              <w:rPr>
                <w:rFonts w:cstheme="minorHAnsi"/>
                <w:color w:val="000000"/>
                <w:sz w:val="20"/>
                <w:szCs w:val="20"/>
              </w:rPr>
            </w:pPr>
            <w:r>
              <w:rPr>
                <w:rFonts w:cstheme="minorHAnsi"/>
                <w:color w:val="000000"/>
                <w:sz w:val="20"/>
                <w:szCs w:val="20"/>
              </w:rPr>
              <w:t>2031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C354D" w:rsidRPr="00E97254" w:rsidRDefault="004E1F53" w:rsidP="000C0250">
            <w:pPr>
              <w:spacing w:after="0"/>
              <w:jc w:val="center"/>
              <w:rPr>
                <w:rFonts w:cstheme="minorHAnsi"/>
                <w:color w:val="000000"/>
                <w:sz w:val="20"/>
                <w:szCs w:val="20"/>
              </w:rPr>
            </w:pPr>
            <w:r>
              <w:rPr>
                <w:rFonts w:eastAsia="Times New Roman" w:cstheme="minorHAnsi"/>
                <w:color w:val="000000"/>
                <w:sz w:val="20"/>
                <w:szCs w:val="20"/>
              </w:rPr>
              <w:t>Ndrysh</w:t>
            </w:r>
          </w:p>
        </w:tc>
      </w:tr>
      <w:tr w:rsidR="009C354D" w:rsidRPr="00E97254" w:rsidTr="009C354D">
        <w:trPr>
          <w:trHeight w:val="30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C354D" w:rsidRPr="00E97254" w:rsidRDefault="004E1F53" w:rsidP="000C0250">
            <w:pPr>
              <w:spacing w:after="0"/>
              <w:jc w:val="both"/>
              <w:rPr>
                <w:rFonts w:cstheme="minorHAnsi"/>
                <w:color w:val="000000"/>
                <w:sz w:val="20"/>
                <w:szCs w:val="20"/>
              </w:rPr>
            </w:pPr>
            <w:r>
              <w:rPr>
                <w:rFonts w:cstheme="minorHAnsi"/>
                <w:color w:val="000000"/>
                <w:sz w:val="20"/>
                <w:szCs w:val="20"/>
              </w:rPr>
              <w:t>0-5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C354D" w:rsidRPr="00E97254" w:rsidRDefault="004E1F53" w:rsidP="000C0250">
            <w:pPr>
              <w:spacing w:after="0"/>
              <w:jc w:val="right"/>
              <w:rPr>
                <w:rFonts w:cstheme="minorHAnsi"/>
                <w:color w:val="000000"/>
                <w:sz w:val="20"/>
                <w:szCs w:val="20"/>
              </w:rPr>
            </w:pPr>
            <w:r>
              <w:rPr>
                <w:rFonts w:cstheme="minorHAnsi"/>
                <w:color w:val="000000"/>
                <w:sz w:val="20"/>
                <w:szCs w:val="20"/>
              </w:rPr>
              <w:t>189,482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C354D" w:rsidRPr="00E97254" w:rsidRDefault="004E1F53" w:rsidP="000C0250">
            <w:pPr>
              <w:spacing w:after="0"/>
              <w:jc w:val="right"/>
              <w:rPr>
                <w:rFonts w:cstheme="minorHAnsi"/>
                <w:color w:val="000000"/>
                <w:sz w:val="20"/>
                <w:szCs w:val="20"/>
              </w:rPr>
            </w:pPr>
            <w:r>
              <w:rPr>
                <w:rFonts w:cstheme="minorHAnsi"/>
                <w:color w:val="000000"/>
                <w:sz w:val="20"/>
                <w:szCs w:val="20"/>
              </w:rPr>
              <w:t>139,425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C354D" w:rsidRPr="00E97254" w:rsidRDefault="004E1F53" w:rsidP="000C0250">
            <w:pPr>
              <w:spacing w:after="0"/>
              <w:jc w:val="right"/>
              <w:rPr>
                <w:rFonts w:cstheme="minorHAnsi"/>
                <w:color w:val="000000"/>
                <w:sz w:val="20"/>
                <w:szCs w:val="20"/>
              </w:rPr>
            </w:pPr>
            <w:r>
              <w:rPr>
                <w:rFonts w:cstheme="minorHAnsi"/>
                <w:color w:val="000000"/>
                <w:sz w:val="20"/>
                <w:szCs w:val="20"/>
              </w:rPr>
              <w:t>-26.42%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C354D" w:rsidRPr="00E97254" w:rsidRDefault="004E1F53" w:rsidP="000C0250">
            <w:pPr>
              <w:spacing w:after="0"/>
              <w:jc w:val="right"/>
              <w:rPr>
                <w:rFonts w:cstheme="minorHAnsi"/>
                <w:color w:val="000000"/>
                <w:sz w:val="20"/>
                <w:szCs w:val="20"/>
              </w:rPr>
            </w:pPr>
            <w:r>
              <w:rPr>
                <w:rFonts w:cstheme="minorHAnsi"/>
                <w:color w:val="000000"/>
                <w:sz w:val="20"/>
                <w:szCs w:val="20"/>
              </w:rPr>
              <w:t>189,482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C354D" w:rsidRPr="00E97254" w:rsidRDefault="004E1F53" w:rsidP="000C0250">
            <w:pPr>
              <w:spacing w:after="0"/>
              <w:jc w:val="right"/>
              <w:rPr>
                <w:rFonts w:cstheme="minorHAnsi"/>
                <w:color w:val="000000"/>
                <w:sz w:val="20"/>
                <w:szCs w:val="20"/>
              </w:rPr>
            </w:pPr>
            <w:r>
              <w:rPr>
                <w:rFonts w:cstheme="minorHAnsi"/>
                <w:color w:val="000000"/>
                <w:sz w:val="20"/>
                <w:szCs w:val="20"/>
              </w:rPr>
              <w:t>177,822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C354D" w:rsidRPr="00E97254" w:rsidRDefault="004E1F53" w:rsidP="000C0250">
            <w:pPr>
              <w:spacing w:after="0"/>
              <w:jc w:val="right"/>
              <w:rPr>
                <w:rFonts w:cstheme="minorHAnsi"/>
                <w:color w:val="000000"/>
                <w:sz w:val="20"/>
                <w:szCs w:val="20"/>
              </w:rPr>
            </w:pPr>
            <w:r>
              <w:rPr>
                <w:rFonts w:cstheme="minorHAnsi"/>
                <w:color w:val="000000"/>
                <w:sz w:val="20"/>
                <w:szCs w:val="20"/>
              </w:rPr>
              <w:t>-6.15%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C354D" w:rsidRPr="00E97254" w:rsidRDefault="004E1F53" w:rsidP="000C0250">
            <w:pPr>
              <w:spacing w:after="0"/>
              <w:jc w:val="right"/>
              <w:rPr>
                <w:rFonts w:cstheme="minorHAnsi"/>
                <w:color w:val="000000"/>
                <w:sz w:val="20"/>
                <w:szCs w:val="20"/>
              </w:rPr>
            </w:pPr>
            <w:r>
              <w:rPr>
                <w:rFonts w:cstheme="minorHAnsi"/>
                <w:color w:val="000000"/>
                <w:sz w:val="20"/>
                <w:szCs w:val="20"/>
              </w:rPr>
              <w:t>189,482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C354D" w:rsidRPr="00E97254" w:rsidRDefault="004E1F53" w:rsidP="000C0250">
            <w:pPr>
              <w:spacing w:after="0"/>
              <w:jc w:val="right"/>
              <w:rPr>
                <w:rFonts w:cstheme="minorHAnsi"/>
                <w:color w:val="000000"/>
                <w:sz w:val="20"/>
                <w:szCs w:val="20"/>
              </w:rPr>
            </w:pPr>
            <w:r>
              <w:rPr>
                <w:rFonts w:cstheme="minorHAnsi"/>
                <w:color w:val="000000"/>
                <w:sz w:val="20"/>
                <w:szCs w:val="20"/>
              </w:rPr>
              <w:t>220,884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C354D" w:rsidRPr="00E97254" w:rsidRDefault="004E1F53" w:rsidP="000C0250">
            <w:pPr>
              <w:spacing w:after="0"/>
              <w:jc w:val="right"/>
              <w:rPr>
                <w:rFonts w:cstheme="minorHAnsi"/>
                <w:color w:val="000000"/>
                <w:sz w:val="20"/>
                <w:szCs w:val="20"/>
              </w:rPr>
            </w:pPr>
            <w:r>
              <w:rPr>
                <w:rFonts w:cstheme="minorHAnsi"/>
                <w:color w:val="000000"/>
                <w:sz w:val="20"/>
                <w:szCs w:val="20"/>
              </w:rPr>
              <w:t>16.57%</w:t>
            </w:r>
          </w:p>
        </w:tc>
      </w:tr>
      <w:tr w:rsidR="009C354D" w:rsidRPr="00E97254" w:rsidTr="009C354D">
        <w:trPr>
          <w:trHeight w:val="30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C354D" w:rsidRPr="00E97254" w:rsidRDefault="004E1F53" w:rsidP="000C0250">
            <w:pPr>
              <w:spacing w:after="0"/>
              <w:jc w:val="both"/>
              <w:rPr>
                <w:rFonts w:cstheme="minorHAnsi"/>
                <w:color w:val="000000"/>
                <w:sz w:val="20"/>
                <w:szCs w:val="20"/>
              </w:rPr>
            </w:pPr>
            <w:r>
              <w:rPr>
                <w:rFonts w:cstheme="minorHAnsi"/>
                <w:color w:val="000000"/>
                <w:sz w:val="20"/>
                <w:szCs w:val="20"/>
              </w:rPr>
              <w:t>6-14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C354D" w:rsidRPr="00E97254" w:rsidRDefault="004E1F53" w:rsidP="000C0250">
            <w:pPr>
              <w:spacing w:after="0"/>
              <w:jc w:val="right"/>
              <w:rPr>
                <w:rFonts w:cstheme="minorHAnsi"/>
                <w:color w:val="000000"/>
                <w:sz w:val="20"/>
                <w:szCs w:val="20"/>
              </w:rPr>
            </w:pPr>
            <w:r>
              <w:rPr>
                <w:rFonts w:cstheme="minorHAnsi"/>
                <w:color w:val="000000"/>
                <w:sz w:val="20"/>
                <w:szCs w:val="20"/>
              </w:rPr>
              <w:t>303,942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C354D" w:rsidRPr="00E97254" w:rsidRDefault="004E1F53" w:rsidP="000C0250">
            <w:pPr>
              <w:spacing w:after="0"/>
              <w:jc w:val="right"/>
              <w:rPr>
                <w:rFonts w:cstheme="minorHAnsi"/>
                <w:color w:val="000000"/>
                <w:sz w:val="20"/>
                <w:szCs w:val="20"/>
              </w:rPr>
            </w:pPr>
            <w:r>
              <w:rPr>
                <w:rFonts w:cstheme="minorHAnsi"/>
                <w:color w:val="000000"/>
                <w:sz w:val="20"/>
                <w:szCs w:val="20"/>
              </w:rPr>
              <w:t>229,289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C354D" w:rsidRPr="00E97254" w:rsidRDefault="004E1F53" w:rsidP="000C0250">
            <w:pPr>
              <w:spacing w:after="0"/>
              <w:jc w:val="right"/>
              <w:rPr>
                <w:rFonts w:cstheme="minorHAnsi"/>
                <w:color w:val="000000"/>
                <w:sz w:val="20"/>
                <w:szCs w:val="20"/>
              </w:rPr>
            </w:pPr>
            <w:r>
              <w:rPr>
                <w:rFonts w:cstheme="minorHAnsi"/>
                <w:color w:val="000000"/>
                <w:sz w:val="20"/>
                <w:szCs w:val="20"/>
              </w:rPr>
              <w:t>-24.56%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C354D" w:rsidRPr="00E97254" w:rsidRDefault="004E1F53" w:rsidP="000C0250">
            <w:pPr>
              <w:spacing w:after="0"/>
              <w:jc w:val="right"/>
              <w:rPr>
                <w:rFonts w:cstheme="minorHAnsi"/>
                <w:color w:val="000000"/>
                <w:sz w:val="20"/>
                <w:szCs w:val="20"/>
              </w:rPr>
            </w:pPr>
            <w:r>
              <w:rPr>
                <w:rFonts w:cstheme="minorHAnsi"/>
                <w:color w:val="000000"/>
                <w:sz w:val="20"/>
                <w:szCs w:val="20"/>
              </w:rPr>
              <w:t>303,942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C354D" w:rsidRPr="00E97254" w:rsidRDefault="004E1F53" w:rsidP="000C0250">
            <w:pPr>
              <w:spacing w:after="0"/>
              <w:jc w:val="right"/>
              <w:rPr>
                <w:rFonts w:cstheme="minorHAnsi"/>
                <w:color w:val="000000"/>
                <w:sz w:val="20"/>
                <w:szCs w:val="20"/>
              </w:rPr>
            </w:pPr>
            <w:r>
              <w:rPr>
                <w:rFonts w:cstheme="minorHAnsi"/>
                <w:color w:val="000000"/>
                <w:sz w:val="20"/>
                <w:szCs w:val="20"/>
              </w:rPr>
              <w:t>256,250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C354D" w:rsidRPr="00E97254" w:rsidRDefault="004E1F53" w:rsidP="000C0250">
            <w:pPr>
              <w:spacing w:after="0"/>
              <w:jc w:val="right"/>
              <w:rPr>
                <w:rFonts w:cstheme="minorHAnsi"/>
                <w:color w:val="000000"/>
                <w:sz w:val="20"/>
                <w:szCs w:val="20"/>
              </w:rPr>
            </w:pPr>
            <w:r>
              <w:rPr>
                <w:rFonts w:cstheme="minorHAnsi"/>
                <w:color w:val="000000"/>
                <w:sz w:val="20"/>
                <w:szCs w:val="20"/>
              </w:rPr>
              <w:t>-15.69%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C354D" w:rsidRPr="00E97254" w:rsidRDefault="004E1F53" w:rsidP="000C0250">
            <w:pPr>
              <w:spacing w:after="0"/>
              <w:jc w:val="right"/>
              <w:rPr>
                <w:rFonts w:cstheme="minorHAnsi"/>
                <w:color w:val="000000"/>
                <w:sz w:val="20"/>
                <w:szCs w:val="20"/>
              </w:rPr>
            </w:pPr>
            <w:r>
              <w:rPr>
                <w:rFonts w:cstheme="minorHAnsi"/>
                <w:color w:val="000000"/>
                <w:sz w:val="20"/>
                <w:szCs w:val="20"/>
              </w:rPr>
              <w:t>303,942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C354D" w:rsidRPr="00E97254" w:rsidRDefault="004E1F53" w:rsidP="000C0250">
            <w:pPr>
              <w:spacing w:after="0"/>
              <w:jc w:val="right"/>
              <w:rPr>
                <w:rFonts w:cstheme="minorHAnsi"/>
                <w:color w:val="000000"/>
                <w:sz w:val="20"/>
                <w:szCs w:val="20"/>
              </w:rPr>
            </w:pPr>
            <w:r>
              <w:rPr>
                <w:rFonts w:cstheme="minorHAnsi"/>
                <w:color w:val="000000"/>
                <w:sz w:val="20"/>
                <w:szCs w:val="20"/>
              </w:rPr>
              <w:t>286,323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C354D" w:rsidRPr="00E97254" w:rsidRDefault="004E1F53" w:rsidP="000C0250">
            <w:pPr>
              <w:spacing w:after="0"/>
              <w:jc w:val="right"/>
              <w:rPr>
                <w:rFonts w:cstheme="minorHAnsi"/>
                <w:color w:val="000000"/>
                <w:sz w:val="20"/>
                <w:szCs w:val="20"/>
              </w:rPr>
            </w:pPr>
            <w:r>
              <w:rPr>
                <w:rFonts w:cstheme="minorHAnsi"/>
                <w:color w:val="000000"/>
                <w:sz w:val="20"/>
                <w:szCs w:val="20"/>
              </w:rPr>
              <w:t>-5.80%</w:t>
            </w:r>
          </w:p>
        </w:tc>
      </w:tr>
      <w:tr w:rsidR="009C354D" w:rsidRPr="00E97254" w:rsidTr="009C354D">
        <w:trPr>
          <w:trHeight w:val="30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C354D" w:rsidRPr="00E97254" w:rsidRDefault="004E1F53" w:rsidP="000C0250">
            <w:pPr>
              <w:spacing w:after="0"/>
              <w:jc w:val="both"/>
              <w:rPr>
                <w:rFonts w:cstheme="minorHAnsi"/>
                <w:color w:val="000000"/>
                <w:sz w:val="20"/>
                <w:szCs w:val="20"/>
              </w:rPr>
            </w:pPr>
            <w:r>
              <w:rPr>
                <w:rFonts w:cstheme="minorHAnsi"/>
                <w:color w:val="000000"/>
                <w:sz w:val="20"/>
                <w:szCs w:val="20"/>
              </w:rPr>
              <w:t>15-17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C354D" w:rsidRPr="00E97254" w:rsidRDefault="004E1F53" w:rsidP="000C0250">
            <w:pPr>
              <w:spacing w:after="0"/>
              <w:jc w:val="right"/>
              <w:rPr>
                <w:rFonts w:cstheme="minorHAnsi"/>
                <w:color w:val="000000"/>
                <w:sz w:val="20"/>
                <w:szCs w:val="20"/>
              </w:rPr>
            </w:pPr>
            <w:r>
              <w:rPr>
                <w:rFonts w:cstheme="minorHAnsi"/>
                <w:color w:val="000000"/>
                <w:sz w:val="20"/>
                <w:szCs w:val="20"/>
              </w:rPr>
              <w:t>117,562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C354D" w:rsidRPr="00E97254" w:rsidRDefault="004E1F53" w:rsidP="000C0250">
            <w:pPr>
              <w:spacing w:after="0"/>
              <w:jc w:val="right"/>
              <w:rPr>
                <w:rFonts w:cstheme="minorHAnsi"/>
                <w:color w:val="000000"/>
                <w:sz w:val="20"/>
                <w:szCs w:val="20"/>
              </w:rPr>
            </w:pPr>
            <w:r>
              <w:rPr>
                <w:rFonts w:cstheme="minorHAnsi"/>
                <w:color w:val="000000"/>
                <w:sz w:val="20"/>
                <w:szCs w:val="20"/>
              </w:rPr>
              <w:t>89,882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C354D" w:rsidRPr="00E97254" w:rsidRDefault="004E1F53" w:rsidP="000C0250">
            <w:pPr>
              <w:spacing w:after="0"/>
              <w:jc w:val="right"/>
              <w:rPr>
                <w:rFonts w:cstheme="minorHAnsi"/>
                <w:color w:val="000000"/>
                <w:sz w:val="20"/>
                <w:szCs w:val="20"/>
              </w:rPr>
            </w:pPr>
            <w:r>
              <w:rPr>
                <w:rFonts w:cstheme="minorHAnsi"/>
                <w:color w:val="000000"/>
                <w:sz w:val="20"/>
                <w:szCs w:val="20"/>
              </w:rPr>
              <w:t>-23.55%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C354D" w:rsidRPr="00E97254" w:rsidRDefault="004E1F53" w:rsidP="000C0250">
            <w:pPr>
              <w:spacing w:after="0"/>
              <w:jc w:val="right"/>
              <w:rPr>
                <w:rFonts w:cstheme="minorHAnsi"/>
                <w:color w:val="000000"/>
                <w:sz w:val="20"/>
                <w:szCs w:val="20"/>
              </w:rPr>
            </w:pPr>
            <w:r>
              <w:rPr>
                <w:rFonts w:cstheme="minorHAnsi"/>
                <w:color w:val="000000"/>
                <w:sz w:val="20"/>
                <w:szCs w:val="20"/>
              </w:rPr>
              <w:t>117,562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C354D" w:rsidRPr="00E97254" w:rsidRDefault="004E1F53" w:rsidP="000C0250">
            <w:pPr>
              <w:spacing w:after="0"/>
              <w:jc w:val="right"/>
              <w:rPr>
                <w:rFonts w:cstheme="minorHAnsi"/>
                <w:color w:val="000000"/>
                <w:sz w:val="20"/>
                <w:szCs w:val="20"/>
              </w:rPr>
            </w:pPr>
            <w:r>
              <w:rPr>
                <w:rFonts w:cstheme="minorHAnsi"/>
                <w:color w:val="000000"/>
                <w:sz w:val="20"/>
                <w:szCs w:val="20"/>
              </w:rPr>
              <w:t>92,285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C354D" w:rsidRPr="00E97254" w:rsidRDefault="004E1F53" w:rsidP="000C0250">
            <w:pPr>
              <w:spacing w:after="0"/>
              <w:jc w:val="right"/>
              <w:rPr>
                <w:rFonts w:cstheme="minorHAnsi"/>
                <w:color w:val="000000"/>
                <w:sz w:val="20"/>
                <w:szCs w:val="20"/>
              </w:rPr>
            </w:pPr>
            <w:r>
              <w:rPr>
                <w:rFonts w:cstheme="minorHAnsi"/>
                <w:color w:val="000000"/>
                <w:sz w:val="20"/>
                <w:szCs w:val="20"/>
              </w:rPr>
              <w:t>-21.50%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C354D" w:rsidRPr="00E97254" w:rsidRDefault="004E1F53" w:rsidP="000C0250">
            <w:pPr>
              <w:spacing w:after="0"/>
              <w:jc w:val="right"/>
              <w:rPr>
                <w:rFonts w:cstheme="minorHAnsi"/>
                <w:color w:val="000000"/>
                <w:sz w:val="20"/>
                <w:szCs w:val="20"/>
              </w:rPr>
            </w:pPr>
            <w:r>
              <w:rPr>
                <w:rFonts w:cstheme="minorHAnsi"/>
                <w:color w:val="000000"/>
                <w:sz w:val="20"/>
                <w:szCs w:val="20"/>
              </w:rPr>
              <w:t>117,562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C354D" w:rsidRPr="00E97254" w:rsidRDefault="004E1F53" w:rsidP="000C0250">
            <w:pPr>
              <w:spacing w:after="0"/>
              <w:jc w:val="right"/>
              <w:rPr>
                <w:rFonts w:cstheme="minorHAnsi"/>
                <w:color w:val="000000"/>
                <w:sz w:val="20"/>
                <w:szCs w:val="20"/>
              </w:rPr>
            </w:pPr>
            <w:r>
              <w:rPr>
                <w:rFonts w:cstheme="minorHAnsi"/>
                <w:color w:val="000000"/>
                <w:sz w:val="20"/>
                <w:szCs w:val="20"/>
              </w:rPr>
              <w:t>95,161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C354D" w:rsidRPr="00E97254" w:rsidRDefault="004E1F53" w:rsidP="000C0250">
            <w:pPr>
              <w:spacing w:after="0"/>
              <w:jc w:val="right"/>
              <w:rPr>
                <w:rFonts w:cstheme="minorHAnsi"/>
                <w:color w:val="000000"/>
                <w:sz w:val="20"/>
                <w:szCs w:val="20"/>
              </w:rPr>
            </w:pPr>
            <w:r>
              <w:rPr>
                <w:rFonts w:cstheme="minorHAnsi"/>
                <w:color w:val="000000"/>
                <w:sz w:val="20"/>
                <w:szCs w:val="20"/>
              </w:rPr>
              <w:t>-19.05%</w:t>
            </w:r>
          </w:p>
        </w:tc>
      </w:tr>
      <w:tr w:rsidR="009C354D" w:rsidRPr="00E97254" w:rsidTr="009C354D">
        <w:trPr>
          <w:trHeight w:val="30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C354D" w:rsidRPr="00E97254" w:rsidRDefault="004E1F53" w:rsidP="000C0250">
            <w:pPr>
              <w:spacing w:after="0"/>
              <w:jc w:val="both"/>
              <w:rPr>
                <w:rFonts w:cstheme="minorHAnsi"/>
                <w:color w:val="000000"/>
                <w:sz w:val="20"/>
                <w:szCs w:val="20"/>
              </w:rPr>
            </w:pPr>
            <w:r>
              <w:rPr>
                <w:rFonts w:cstheme="minorHAnsi"/>
                <w:color w:val="000000"/>
                <w:sz w:val="20"/>
                <w:szCs w:val="20"/>
              </w:rPr>
              <w:t>18-24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C354D" w:rsidRPr="00E97254" w:rsidRDefault="004E1F53" w:rsidP="000C0250">
            <w:pPr>
              <w:spacing w:after="0"/>
              <w:jc w:val="right"/>
              <w:rPr>
                <w:rFonts w:cstheme="minorHAnsi"/>
                <w:color w:val="000000"/>
                <w:sz w:val="20"/>
                <w:szCs w:val="20"/>
              </w:rPr>
            </w:pPr>
            <w:r>
              <w:rPr>
                <w:rFonts w:cstheme="minorHAnsi"/>
                <w:color w:val="000000"/>
                <w:sz w:val="20"/>
                <w:szCs w:val="20"/>
              </w:rPr>
              <w:t>326,612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C354D" w:rsidRPr="00E97254" w:rsidRDefault="004E1F53" w:rsidP="000C0250">
            <w:pPr>
              <w:spacing w:after="0"/>
              <w:jc w:val="right"/>
              <w:rPr>
                <w:rFonts w:cstheme="minorHAnsi"/>
                <w:color w:val="000000"/>
                <w:sz w:val="20"/>
                <w:szCs w:val="20"/>
              </w:rPr>
            </w:pPr>
            <w:r>
              <w:rPr>
                <w:rFonts w:cstheme="minorHAnsi"/>
                <w:color w:val="000000"/>
                <w:sz w:val="20"/>
                <w:szCs w:val="20"/>
              </w:rPr>
              <w:t>198,442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C354D" w:rsidRPr="00E97254" w:rsidRDefault="004E1F53" w:rsidP="000C0250">
            <w:pPr>
              <w:spacing w:after="0"/>
              <w:jc w:val="right"/>
              <w:rPr>
                <w:rFonts w:cstheme="minorHAnsi"/>
                <w:color w:val="000000"/>
                <w:sz w:val="20"/>
                <w:szCs w:val="20"/>
              </w:rPr>
            </w:pPr>
            <w:r>
              <w:rPr>
                <w:rFonts w:cstheme="minorHAnsi"/>
                <w:color w:val="000000"/>
                <w:sz w:val="20"/>
                <w:szCs w:val="20"/>
              </w:rPr>
              <w:t>-39.24%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C354D" w:rsidRPr="00E97254" w:rsidRDefault="004E1F53" w:rsidP="000C0250">
            <w:pPr>
              <w:spacing w:after="0"/>
              <w:jc w:val="right"/>
              <w:rPr>
                <w:rFonts w:cstheme="minorHAnsi"/>
                <w:color w:val="000000"/>
                <w:sz w:val="20"/>
                <w:szCs w:val="20"/>
              </w:rPr>
            </w:pPr>
            <w:r>
              <w:rPr>
                <w:rFonts w:cstheme="minorHAnsi"/>
                <w:color w:val="000000"/>
                <w:sz w:val="20"/>
                <w:szCs w:val="20"/>
              </w:rPr>
              <w:t>326,612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C354D" w:rsidRPr="00E97254" w:rsidRDefault="004E1F53" w:rsidP="000C0250">
            <w:pPr>
              <w:spacing w:after="0"/>
              <w:jc w:val="right"/>
              <w:rPr>
                <w:rFonts w:cstheme="minorHAnsi"/>
                <w:color w:val="000000"/>
                <w:sz w:val="20"/>
                <w:szCs w:val="20"/>
              </w:rPr>
            </w:pPr>
            <w:r>
              <w:rPr>
                <w:rFonts w:cstheme="minorHAnsi"/>
                <w:color w:val="000000"/>
                <w:sz w:val="20"/>
                <w:szCs w:val="20"/>
              </w:rPr>
              <w:t>206,577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C354D" w:rsidRPr="00E97254" w:rsidRDefault="004E1F53" w:rsidP="000C0250">
            <w:pPr>
              <w:spacing w:after="0"/>
              <w:jc w:val="right"/>
              <w:rPr>
                <w:rFonts w:cstheme="minorHAnsi"/>
                <w:color w:val="000000"/>
                <w:sz w:val="20"/>
                <w:szCs w:val="20"/>
              </w:rPr>
            </w:pPr>
            <w:r>
              <w:rPr>
                <w:rFonts w:cstheme="minorHAnsi"/>
                <w:color w:val="000000"/>
                <w:sz w:val="20"/>
                <w:szCs w:val="20"/>
              </w:rPr>
              <w:t>-36.75%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C354D" w:rsidRPr="00E97254" w:rsidRDefault="004E1F53" w:rsidP="000C0250">
            <w:pPr>
              <w:spacing w:after="0"/>
              <w:jc w:val="right"/>
              <w:rPr>
                <w:rFonts w:cstheme="minorHAnsi"/>
                <w:color w:val="000000"/>
                <w:sz w:val="20"/>
                <w:szCs w:val="20"/>
              </w:rPr>
            </w:pPr>
            <w:r>
              <w:rPr>
                <w:rFonts w:cstheme="minorHAnsi"/>
                <w:color w:val="000000"/>
                <w:sz w:val="20"/>
                <w:szCs w:val="20"/>
              </w:rPr>
              <w:t>326,612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C354D" w:rsidRPr="00E97254" w:rsidRDefault="004E1F53" w:rsidP="000C0250">
            <w:pPr>
              <w:spacing w:after="0"/>
              <w:jc w:val="right"/>
              <w:rPr>
                <w:rFonts w:cstheme="minorHAnsi"/>
                <w:color w:val="000000"/>
                <w:sz w:val="20"/>
                <w:szCs w:val="20"/>
              </w:rPr>
            </w:pPr>
            <w:r>
              <w:rPr>
                <w:rFonts w:cstheme="minorHAnsi"/>
                <w:color w:val="000000"/>
                <w:sz w:val="20"/>
                <w:szCs w:val="20"/>
              </w:rPr>
              <w:t>216,216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C354D" w:rsidRPr="00E97254" w:rsidRDefault="004E1F53" w:rsidP="000C0250">
            <w:pPr>
              <w:spacing w:after="0"/>
              <w:jc w:val="right"/>
              <w:rPr>
                <w:rFonts w:cstheme="minorHAnsi"/>
                <w:color w:val="000000"/>
                <w:sz w:val="20"/>
                <w:szCs w:val="20"/>
              </w:rPr>
            </w:pPr>
            <w:r>
              <w:rPr>
                <w:rFonts w:cstheme="minorHAnsi"/>
                <w:color w:val="000000"/>
                <w:sz w:val="20"/>
                <w:szCs w:val="20"/>
              </w:rPr>
              <w:t>-33.80%</w:t>
            </w:r>
          </w:p>
        </w:tc>
      </w:tr>
      <w:tr w:rsidR="009C354D" w:rsidRPr="00E97254" w:rsidTr="009C354D">
        <w:trPr>
          <w:trHeight w:val="300"/>
        </w:trPr>
        <w:tc>
          <w:tcPr>
            <w:tcW w:w="0" w:type="auto"/>
            <w:tcBorders>
              <w:top w:val="nil"/>
              <w:left w:val="single" w:sz="4" w:space="0" w:color="auto"/>
              <w:bottom w:val="single" w:sz="4" w:space="0" w:color="auto"/>
              <w:right w:val="single" w:sz="4" w:space="0" w:color="auto"/>
            </w:tcBorders>
            <w:shd w:val="clear" w:color="000000" w:fill="D9D9D9"/>
            <w:noWrap/>
            <w:tcMar>
              <w:top w:w="15" w:type="dxa"/>
              <w:left w:w="15" w:type="dxa"/>
              <w:bottom w:w="0" w:type="dxa"/>
              <w:right w:w="15" w:type="dxa"/>
            </w:tcMar>
            <w:vAlign w:val="center"/>
            <w:hideMark/>
          </w:tcPr>
          <w:p w:rsidR="009C354D" w:rsidRPr="00E97254" w:rsidRDefault="004E1F53" w:rsidP="000C0250">
            <w:pPr>
              <w:spacing w:after="0"/>
              <w:jc w:val="both"/>
              <w:rPr>
                <w:rFonts w:cstheme="minorHAnsi"/>
                <w:color w:val="000000"/>
                <w:sz w:val="20"/>
                <w:szCs w:val="20"/>
              </w:rPr>
            </w:pPr>
            <w:r>
              <w:rPr>
                <w:rFonts w:cstheme="minorHAnsi"/>
                <w:color w:val="000000"/>
                <w:sz w:val="20"/>
                <w:szCs w:val="20"/>
              </w:rPr>
              <w:t>&lt; 25 vjeç</w:t>
            </w:r>
          </w:p>
        </w:tc>
        <w:tc>
          <w:tcPr>
            <w:tcW w:w="0" w:type="auto"/>
            <w:tcBorders>
              <w:top w:val="nil"/>
              <w:left w:val="nil"/>
              <w:bottom w:val="single" w:sz="4" w:space="0" w:color="auto"/>
              <w:right w:val="single" w:sz="4" w:space="0" w:color="auto"/>
            </w:tcBorders>
            <w:shd w:val="clear" w:color="000000" w:fill="D9D9D9"/>
            <w:noWrap/>
            <w:tcMar>
              <w:top w:w="15" w:type="dxa"/>
              <w:left w:w="15" w:type="dxa"/>
              <w:bottom w:w="0" w:type="dxa"/>
              <w:right w:w="15" w:type="dxa"/>
            </w:tcMar>
            <w:vAlign w:val="center"/>
            <w:hideMark/>
          </w:tcPr>
          <w:p w:rsidR="009C354D" w:rsidRPr="00E97254" w:rsidRDefault="004E1F53" w:rsidP="000C0250">
            <w:pPr>
              <w:spacing w:after="0"/>
              <w:jc w:val="right"/>
              <w:rPr>
                <w:rFonts w:cstheme="minorHAnsi"/>
                <w:color w:val="000000"/>
                <w:sz w:val="20"/>
                <w:szCs w:val="20"/>
              </w:rPr>
            </w:pPr>
            <w:r>
              <w:rPr>
                <w:rFonts w:cstheme="minorHAnsi"/>
                <w:color w:val="000000"/>
                <w:sz w:val="20"/>
                <w:szCs w:val="20"/>
              </w:rPr>
              <w:t>937,598</w:t>
            </w:r>
          </w:p>
        </w:tc>
        <w:tc>
          <w:tcPr>
            <w:tcW w:w="0" w:type="auto"/>
            <w:tcBorders>
              <w:top w:val="nil"/>
              <w:left w:val="nil"/>
              <w:bottom w:val="single" w:sz="4" w:space="0" w:color="auto"/>
              <w:right w:val="single" w:sz="4" w:space="0" w:color="auto"/>
            </w:tcBorders>
            <w:shd w:val="clear" w:color="000000" w:fill="D9D9D9"/>
            <w:noWrap/>
            <w:tcMar>
              <w:top w:w="15" w:type="dxa"/>
              <w:left w:w="15" w:type="dxa"/>
              <w:bottom w:w="0" w:type="dxa"/>
              <w:right w:w="15" w:type="dxa"/>
            </w:tcMar>
            <w:vAlign w:val="center"/>
            <w:hideMark/>
          </w:tcPr>
          <w:p w:rsidR="009C354D" w:rsidRPr="00E97254" w:rsidRDefault="004E1F53" w:rsidP="000C0250">
            <w:pPr>
              <w:spacing w:after="0"/>
              <w:jc w:val="right"/>
              <w:rPr>
                <w:rFonts w:cstheme="minorHAnsi"/>
                <w:color w:val="000000"/>
                <w:sz w:val="20"/>
                <w:szCs w:val="20"/>
              </w:rPr>
            </w:pPr>
            <w:r>
              <w:rPr>
                <w:rFonts w:cstheme="minorHAnsi"/>
                <w:color w:val="000000"/>
                <w:sz w:val="20"/>
                <w:szCs w:val="20"/>
              </w:rPr>
              <w:t>657,038</w:t>
            </w:r>
          </w:p>
        </w:tc>
        <w:tc>
          <w:tcPr>
            <w:tcW w:w="0" w:type="auto"/>
            <w:tcBorders>
              <w:top w:val="nil"/>
              <w:left w:val="nil"/>
              <w:bottom w:val="single" w:sz="4" w:space="0" w:color="auto"/>
              <w:right w:val="single" w:sz="4" w:space="0" w:color="auto"/>
            </w:tcBorders>
            <w:shd w:val="clear" w:color="000000" w:fill="D9D9D9"/>
            <w:noWrap/>
            <w:tcMar>
              <w:top w:w="15" w:type="dxa"/>
              <w:left w:w="15" w:type="dxa"/>
              <w:bottom w:w="0" w:type="dxa"/>
              <w:right w:w="15" w:type="dxa"/>
            </w:tcMar>
            <w:vAlign w:val="center"/>
            <w:hideMark/>
          </w:tcPr>
          <w:p w:rsidR="009C354D" w:rsidRPr="00E97254" w:rsidRDefault="004E1F53" w:rsidP="000C0250">
            <w:pPr>
              <w:spacing w:after="0"/>
              <w:jc w:val="right"/>
              <w:rPr>
                <w:rFonts w:cstheme="minorHAnsi"/>
                <w:color w:val="000000"/>
                <w:sz w:val="20"/>
                <w:szCs w:val="20"/>
              </w:rPr>
            </w:pPr>
            <w:r>
              <w:rPr>
                <w:rFonts w:cstheme="minorHAnsi"/>
                <w:color w:val="000000"/>
                <w:sz w:val="20"/>
                <w:szCs w:val="20"/>
              </w:rPr>
              <w:t>-29.92%</w:t>
            </w:r>
          </w:p>
        </w:tc>
        <w:tc>
          <w:tcPr>
            <w:tcW w:w="0" w:type="auto"/>
            <w:tcBorders>
              <w:top w:val="nil"/>
              <w:left w:val="nil"/>
              <w:bottom w:val="single" w:sz="4" w:space="0" w:color="auto"/>
              <w:right w:val="single" w:sz="4" w:space="0" w:color="auto"/>
            </w:tcBorders>
            <w:shd w:val="clear" w:color="000000" w:fill="D9D9D9"/>
            <w:noWrap/>
            <w:tcMar>
              <w:top w:w="15" w:type="dxa"/>
              <w:left w:w="15" w:type="dxa"/>
              <w:bottom w:w="0" w:type="dxa"/>
              <w:right w:w="15" w:type="dxa"/>
            </w:tcMar>
            <w:vAlign w:val="center"/>
            <w:hideMark/>
          </w:tcPr>
          <w:p w:rsidR="009C354D" w:rsidRPr="00E97254" w:rsidRDefault="004E1F53" w:rsidP="000C0250">
            <w:pPr>
              <w:spacing w:after="0"/>
              <w:jc w:val="right"/>
              <w:rPr>
                <w:rFonts w:cstheme="minorHAnsi"/>
                <w:color w:val="000000"/>
                <w:sz w:val="20"/>
                <w:szCs w:val="20"/>
              </w:rPr>
            </w:pPr>
            <w:r>
              <w:rPr>
                <w:rFonts w:cstheme="minorHAnsi"/>
                <w:color w:val="000000"/>
                <w:sz w:val="20"/>
                <w:szCs w:val="20"/>
              </w:rPr>
              <w:t>937,598</w:t>
            </w:r>
          </w:p>
        </w:tc>
        <w:tc>
          <w:tcPr>
            <w:tcW w:w="0" w:type="auto"/>
            <w:tcBorders>
              <w:top w:val="nil"/>
              <w:left w:val="nil"/>
              <w:bottom w:val="single" w:sz="4" w:space="0" w:color="auto"/>
              <w:right w:val="single" w:sz="4" w:space="0" w:color="auto"/>
            </w:tcBorders>
            <w:shd w:val="clear" w:color="000000" w:fill="D9D9D9"/>
            <w:noWrap/>
            <w:tcMar>
              <w:top w:w="15" w:type="dxa"/>
              <w:left w:w="15" w:type="dxa"/>
              <w:bottom w:w="0" w:type="dxa"/>
              <w:right w:w="15" w:type="dxa"/>
            </w:tcMar>
            <w:vAlign w:val="center"/>
            <w:hideMark/>
          </w:tcPr>
          <w:p w:rsidR="009C354D" w:rsidRPr="00E97254" w:rsidRDefault="004E1F53" w:rsidP="000C0250">
            <w:pPr>
              <w:spacing w:after="0"/>
              <w:jc w:val="right"/>
              <w:rPr>
                <w:rFonts w:cstheme="minorHAnsi"/>
                <w:color w:val="000000"/>
                <w:sz w:val="20"/>
                <w:szCs w:val="20"/>
              </w:rPr>
            </w:pPr>
            <w:r>
              <w:rPr>
                <w:rFonts w:cstheme="minorHAnsi"/>
                <w:color w:val="000000"/>
                <w:sz w:val="20"/>
                <w:szCs w:val="20"/>
              </w:rPr>
              <w:t>732,934</w:t>
            </w:r>
          </w:p>
        </w:tc>
        <w:tc>
          <w:tcPr>
            <w:tcW w:w="0" w:type="auto"/>
            <w:tcBorders>
              <w:top w:val="nil"/>
              <w:left w:val="nil"/>
              <w:bottom w:val="single" w:sz="4" w:space="0" w:color="auto"/>
              <w:right w:val="single" w:sz="4" w:space="0" w:color="auto"/>
            </w:tcBorders>
            <w:shd w:val="clear" w:color="000000" w:fill="D9D9D9"/>
            <w:noWrap/>
            <w:tcMar>
              <w:top w:w="15" w:type="dxa"/>
              <w:left w:w="15" w:type="dxa"/>
              <w:bottom w:w="0" w:type="dxa"/>
              <w:right w:w="15" w:type="dxa"/>
            </w:tcMar>
            <w:vAlign w:val="center"/>
            <w:hideMark/>
          </w:tcPr>
          <w:p w:rsidR="009C354D" w:rsidRPr="00E97254" w:rsidRDefault="004E1F53" w:rsidP="000C0250">
            <w:pPr>
              <w:spacing w:after="0"/>
              <w:jc w:val="right"/>
              <w:rPr>
                <w:rFonts w:cstheme="minorHAnsi"/>
                <w:color w:val="000000"/>
                <w:sz w:val="20"/>
                <w:szCs w:val="20"/>
              </w:rPr>
            </w:pPr>
            <w:r>
              <w:rPr>
                <w:rFonts w:cstheme="minorHAnsi"/>
                <w:color w:val="000000"/>
                <w:sz w:val="20"/>
                <w:szCs w:val="20"/>
              </w:rPr>
              <w:t>-21.83%</w:t>
            </w:r>
          </w:p>
        </w:tc>
        <w:tc>
          <w:tcPr>
            <w:tcW w:w="0" w:type="auto"/>
            <w:tcBorders>
              <w:top w:val="nil"/>
              <w:left w:val="nil"/>
              <w:bottom w:val="single" w:sz="4" w:space="0" w:color="auto"/>
              <w:right w:val="single" w:sz="4" w:space="0" w:color="auto"/>
            </w:tcBorders>
            <w:shd w:val="clear" w:color="000000" w:fill="D9D9D9"/>
            <w:noWrap/>
            <w:tcMar>
              <w:top w:w="15" w:type="dxa"/>
              <w:left w:w="15" w:type="dxa"/>
              <w:bottom w:w="0" w:type="dxa"/>
              <w:right w:w="15" w:type="dxa"/>
            </w:tcMar>
            <w:vAlign w:val="center"/>
            <w:hideMark/>
          </w:tcPr>
          <w:p w:rsidR="009C354D" w:rsidRPr="00E97254" w:rsidRDefault="004E1F53" w:rsidP="000C0250">
            <w:pPr>
              <w:spacing w:after="0"/>
              <w:jc w:val="right"/>
              <w:rPr>
                <w:rFonts w:cstheme="minorHAnsi"/>
                <w:color w:val="000000"/>
                <w:sz w:val="20"/>
                <w:szCs w:val="20"/>
              </w:rPr>
            </w:pPr>
            <w:r>
              <w:rPr>
                <w:rFonts w:cstheme="minorHAnsi"/>
                <w:color w:val="000000"/>
                <w:sz w:val="20"/>
                <w:szCs w:val="20"/>
              </w:rPr>
              <w:t>937,598</w:t>
            </w:r>
          </w:p>
        </w:tc>
        <w:tc>
          <w:tcPr>
            <w:tcW w:w="0" w:type="auto"/>
            <w:tcBorders>
              <w:top w:val="nil"/>
              <w:left w:val="nil"/>
              <w:bottom w:val="single" w:sz="4" w:space="0" w:color="auto"/>
              <w:right w:val="single" w:sz="4" w:space="0" w:color="auto"/>
            </w:tcBorders>
            <w:shd w:val="clear" w:color="000000" w:fill="D9D9D9"/>
            <w:noWrap/>
            <w:tcMar>
              <w:top w:w="15" w:type="dxa"/>
              <w:left w:w="15" w:type="dxa"/>
              <w:bottom w:w="0" w:type="dxa"/>
              <w:right w:w="15" w:type="dxa"/>
            </w:tcMar>
            <w:vAlign w:val="center"/>
            <w:hideMark/>
          </w:tcPr>
          <w:p w:rsidR="009C354D" w:rsidRPr="00E97254" w:rsidRDefault="004E1F53" w:rsidP="000C0250">
            <w:pPr>
              <w:spacing w:after="0"/>
              <w:jc w:val="right"/>
              <w:rPr>
                <w:rFonts w:cstheme="minorHAnsi"/>
                <w:color w:val="000000"/>
                <w:sz w:val="20"/>
                <w:szCs w:val="20"/>
              </w:rPr>
            </w:pPr>
            <w:r>
              <w:rPr>
                <w:rFonts w:cstheme="minorHAnsi"/>
                <w:color w:val="000000"/>
                <w:sz w:val="20"/>
                <w:szCs w:val="20"/>
              </w:rPr>
              <w:t>818,584</w:t>
            </w:r>
          </w:p>
        </w:tc>
        <w:tc>
          <w:tcPr>
            <w:tcW w:w="0" w:type="auto"/>
            <w:tcBorders>
              <w:top w:val="nil"/>
              <w:left w:val="nil"/>
              <w:bottom w:val="single" w:sz="4" w:space="0" w:color="auto"/>
              <w:right w:val="single" w:sz="4" w:space="0" w:color="auto"/>
            </w:tcBorders>
            <w:shd w:val="clear" w:color="000000" w:fill="D9D9D9"/>
            <w:noWrap/>
            <w:tcMar>
              <w:top w:w="15" w:type="dxa"/>
              <w:left w:w="15" w:type="dxa"/>
              <w:bottom w:w="0" w:type="dxa"/>
              <w:right w:w="15" w:type="dxa"/>
            </w:tcMar>
            <w:vAlign w:val="center"/>
            <w:hideMark/>
          </w:tcPr>
          <w:p w:rsidR="009C354D" w:rsidRPr="00E97254" w:rsidRDefault="004E1F53" w:rsidP="000C0250">
            <w:pPr>
              <w:spacing w:after="0"/>
              <w:jc w:val="right"/>
              <w:rPr>
                <w:rFonts w:cstheme="minorHAnsi"/>
                <w:color w:val="000000"/>
                <w:sz w:val="20"/>
                <w:szCs w:val="20"/>
              </w:rPr>
            </w:pPr>
            <w:r>
              <w:rPr>
                <w:rFonts w:cstheme="minorHAnsi"/>
                <w:color w:val="000000"/>
                <w:sz w:val="20"/>
                <w:szCs w:val="20"/>
              </w:rPr>
              <w:t>-12.69%</w:t>
            </w:r>
          </w:p>
        </w:tc>
      </w:tr>
      <w:tr w:rsidR="009C354D" w:rsidRPr="00E97254" w:rsidTr="009C354D">
        <w:trPr>
          <w:trHeight w:val="30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C354D" w:rsidRPr="00E97254" w:rsidRDefault="004E1F53" w:rsidP="000C0250">
            <w:pPr>
              <w:spacing w:after="0"/>
              <w:jc w:val="both"/>
              <w:rPr>
                <w:rFonts w:cstheme="minorHAnsi"/>
                <w:color w:val="000000"/>
                <w:sz w:val="20"/>
                <w:szCs w:val="20"/>
              </w:rPr>
            </w:pPr>
            <w:r>
              <w:rPr>
                <w:rFonts w:cstheme="minorHAnsi"/>
                <w:color w:val="000000"/>
                <w:sz w:val="20"/>
                <w:szCs w:val="20"/>
              </w:rPr>
              <w:t>15-64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C354D" w:rsidRPr="00E97254" w:rsidRDefault="004E1F53" w:rsidP="000C0250">
            <w:pPr>
              <w:spacing w:after="0"/>
              <w:jc w:val="right"/>
              <w:rPr>
                <w:rFonts w:cstheme="minorHAnsi"/>
                <w:color w:val="000000"/>
                <w:sz w:val="20"/>
                <w:szCs w:val="20"/>
              </w:rPr>
            </w:pPr>
            <w:r>
              <w:rPr>
                <w:rFonts w:cstheme="minorHAnsi"/>
                <w:color w:val="000000"/>
                <w:sz w:val="20"/>
                <w:szCs w:val="20"/>
              </w:rPr>
              <w:t>1,965,787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C354D" w:rsidRPr="00E97254" w:rsidRDefault="004E1F53" w:rsidP="000C0250">
            <w:pPr>
              <w:spacing w:after="0"/>
              <w:jc w:val="right"/>
              <w:rPr>
                <w:rFonts w:cstheme="minorHAnsi"/>
                <w:color w:val="000000"/>
                <w:sz w:val="20"/>
                <w:szCs w:val="20"/>
              </w:rPr>
            </w:pPr>
            <w:r>
              <w:rPr>
                <w:rFonts w:cstheme="minorHAnsi"/>
                <w:color w:val="000000"/>
                <w:sz w:val="20"/>
                <w:szCs w:val="20"/>
              </w:rPr>
              <w:t>1,646,671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C354D" w:rsidRPr="00E97254" w:rsidRDefault="004E1F53" w:rsidP="000C0250">
            <w:pPr>
              <w:spacing w:after="0"/>
              <w:jc w:val="right"/>
              <w:rPr>
                <w:rFonts w:cstheme="minorHAnsi"/>
                <w:color w:val="000000"/>
                <w:sz w:val="20"/>
                <w:szCs w:val="20"/>
              </w:rPr>
            </w:pPr>
            <w:r>
              <w:rPr>
                <w:rFonts w:cstheme="minorHAnsi"/>
                <w:color w:val="000000"/>
                <w:sz w:val="20"/>
                <w:szCs w:val="20"/>
              </w:rPr>
              <w:t>-16.23%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C354D" w:rsidRPr="00E97254" w:rsidRDefault="004E1F53" w:rsidP="000C0250">
            <w:pPr>
              <w:spacing w:after="0"/>
              <w:jc w:val="right"/>
              <w:rPr>
                <w:rFonts w:cstheme="minorHAnsi"/>
                <w:color w:val="000000"/>
                <w:sz w:val="20"/>
                <w:szCs w:val="20"/>
              </w:rPr>
            </w:pPr>
            <w:r>
              <w:rPr>
                <w:rFonts w:cstheme="minorHAnsi"/>
                <w:color w:val="000000"/>
                <w:sz w:val="20"/>
                <w:szCs w:val="20"/>
              </w:rPr>
              <w:t>1,965,787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C354D" w:rsidRPr="00E97254" w:rsidRDefault="004E1F53" w:rsidP="000C0250">
            <w:pPr>
              <w:spacing w:after="0"/>
              <w:jc w:val="right"/>
              <w:rPr>
                <w:rFonts w:cstheme="minorHAnsi"/>
                <w:color w:val="000000"/>
                <w:sz w:val="20"/>
                <w:szCs w:val="20"/>
              </w:rPr>
            </w:pPr>
            <w:r>
              <w:rPr>
                <w:rFonts w:cstheme="minorHAnsi"/>
                <w:color w:val="000000"/>
                <w:sz w:val="20"/>
                <w:szCs w:val="20"/>
              </w:rPr>
              <w:t>1,712,808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C354D" w:rsidRPr="00E97254" w:rsidRDefault="004E1F53" w:rsidP="000C0250">
            <w:pPr>
              <w:spacing w:after="0"/>
              <w:jc w:val="right"/>
              <w:rPr>
                <w:rFonts w:cstheme="minorHAnsi"/>
                <w:color w:val="000000"/>
                <w:sz w:val="20"/>
                <w:szCs w:val="20"/>
              </w:rPr>
            </w:pPr>
            <w:r>
              <w:rPr>
                <w:rFonts w:cstheme="minorHAnsi"/>
                <w:color w:val="000000"/>
                <w:sz w:val="20"/>
                <w:szCs w:val="20"/>
              </w:rPr>
              <w:t>-12.87%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C354D" w:rsidRPr="00E97254" w:rsidRDefault="004E1F53" w:rsidP="000C0250">
            <w:pPr>
              <w:spacing w:after="0"/>
              <w:jc w:val="right"/>
              <w:rPr>
                <w:rFonts w:cstheme="minorHAnsi"/>
                <w:color w:val="000000"/>
                <w:sz w:val="20"/>
                <w:szCs w:val="20"/>
              </w:rPr>
            </w:pPr>
            <w:r>
              <w:rPr>
                <w:rFonts w:cstheme="minorHAnsi"/>
                <w:color w:val="000000"/>
                <w:sz w:val="20"/>
                <w:szCs w:val="20"/>
              </w:rPr>
              <w:t>1,965,787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C354D" w:rsidRPr="00E97254" w:rsidRDefault="004E1F53" w:rsidP="000C0250">
            <w:pPr>
              <w:spacing w:after="0"/>
              <w:jc w:val="right"/>
              <w:rPr>
                <w:rFonts w:cstheme="minorHAnsi"/>
                <w:color w:val="000000"/>
                <w:sz w:val="20"/>
                <w:szCs w:val="20"/>
              </w:rPr>
            </w:pPr>
            <w:r>
              <w:rPr>
                <w:rFonts w:cstheme="minorHAnsi"/>
                <w:color w:val="000000"/>
                <w:sz w:val="20"/>
                <w:szCs w:val="20"/>
              </w:rPr>
              <w:t>1,793,968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C354D" w:rsidRPr="00E97254" w:rsidRDefault="004E1F53" w:rsidP="000C0250">
            <w:pPr>
              <w:spacing w:after="0"/>
              <w:jc w:val="right"/>
              <w:rPr>
                <w:rFonts w:cstheme="minorHAnsi"/>
                <w:color w:val="000000"/>
                <w:sz w:val="20"/>
                <w:szCs w:val="20"/>
              </w:rPr>
            </w:pPr>
            <w:r>
              <w:rPr>
                <w:rFonts w:cstheme="minorHAnsi"/>
                <w:color w:val="000000"/>
                <w:sz w:val="20"/>
                <w:szCs w:val="20"/>
              </w:rPr>
              <w:t>-8.74%</w:t>
            </w:r>
          </w:p>
        </w:tc>
      </w:tr>
      <w:tr w:rsidR="009C354D" w:rsidRPr="00E97254" w:rsidTr="009C354D">
        <w:trPr>
          <w:trHeight w:val="30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C354D" w:rsidRPr="00E97254" w:rsidRDefault="004E1F53" w:rsidP="000C0250">
            <w:pPr>
              <w:spacing w:after="0"/>
              <w:jc w:val="both"/>
              <w:rPr>
                <w:rFonts w:cstheme="minorHAnsi"/>
                <w:color w:val="000000"/>
                <w:sz w:val="20"/>
                <w:szCs w:val="20"/>
              </w:rPr>
            </w:pPr>
            <w:r>
              <w:rPr>
                <w:rFonts w:cstheme="minorHAnsi"/>
                <w:color w:val="000000"/>
                <w:sz w:val="20"/>
                <w:szCs w:val="20"/>
              </w:rPr>
              <w:t>65+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C354D" w:rsidRPr="00E97254" w:rsidRDefault="004E1F53" w:rsidP="000C0250">
            <w:pPr>
              <w:spacing w:after="0"/>
              <w:jc w:val="right"/>
              <w:rPr>
                <w:rFonts w:cstheme="minorHAnsi"/>
                <w:color w:val="000000"/>
                <w:sz w:val="20"/>
                <w:szCs w:val="20"/>
              </w:rPr>
            </w:pPr>
            <w:r>
              <w:rPr>
                <w:rFonts w:cstheme="minorHAnsi"/>
                <w:color w:val="000000"/>
                <w:sz w:val="20"/>
                <w:szCs w:val="20"/>
              </w:rPr>
              <w:t>403,216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C354D" w:rsidRPr="00E97254" w:rsidRDefault="004E1F53" w:rsidP="000C0250">
            <w:pPr>
              <w:spacing w:after="0"/>
              <w:jc w:val="right"/>
              <w:rPr>
                <w:rFonts w:cstheme="minorHAnsi"/>
                <w:color w:val="000000"/>
                <w:sz w:val="20"/>
                <w:szCs w:val="20"/>
              </w:rPr>
            </w:pPr>
            <w:r>
              <w:rPr>
                <w:rFonts w:cstheme="minorHAnsi"/>
                <w:color w:val="000000"/>
                <w:sz w:val="20"/>
                <w:szCs w:val="20"/>
              </w:rPr>
              <w:t>577,585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C354D" w:rsidRPr="00E97254" w:rsidRDefault="004E1F53" w:rsidP="000C0250">
            <w:pPr>
              <w:spacing w:after="0"/>
              <w:jc w:val="right"/>
              <w:rPr>
                <w:rFonts w:cstheme="minorHAnsi"/>
                <w:color w:val="000000"/>
                <w:sz w:val="20"/>
                <w:szCs w:val="20"/>
              </w:rPr>
            </w:pPr>
            <w:r>
              <w:rPr>
                <w:rFonts w:cstheme="minorHAnsi"/>
                <w:color w:val="000000"/>
                <w:sz w:val="20"/>
                <w:szCs w:val="20"/>
              </w:rPr>
              <w:t>43.24%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C354D" w:rsidRPr="00E97254" w:rsidRDefault="004E1F53" w:rsidP="000C0250">
            <w:pPr>
              <w:spacing w:after="0"/>
              <w:jc w:val="right"/>
              <w:rPr>
                <w:rFonts w:cstheme="minorHAnsi"/>
                <w:color w:val="000000"/>
                <w:sz w:val="20"/>
                <w:szCs w:val="20"/>
              </w:rPr>
            </w:pPr>
            <w:r>
              <w:rPr>
                <w:rFonts w:cstheme="minorHAnsi"/>
                <w:color w:val="000000"/>
                <w:sz w:val="20"/>
                <w:szCs w:val="20"/>
              </w:rPr>
              <w:t>403,216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C354D" w:rsidRPr="00E97254" w:rsidRDefault="004E1F53" w:rsidP="000C0250">
            <w:pPr>
              <w:spacing w:after="0"/>
              <w:jc w:val="right"/>
              <w:rPr>
                <w:rFonts w:cstheme="minorHAnsi"/>
                <w:color w:val="000000"/>
                <w:sz w:val="20"/>
                <w:szCs w:val="20"/>
              </w:rPr>
            </w:pPr>
            <w:r>
              <w:rPr>
                <w:rFonts w:cstheme="minorHAnsi"/>
                <w:color w:val="000000"/>
                <w:sz w:val="20"/>
                <w:szCs w:val="20"/>
              </w:rPr>
              <w:t>599,110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C354D" w:rsidRPr="00E97254" w:rsidRDefault="004E1F53" w:rsidP="000C0250">
            <w:pPr>
              <w:spacing w:after="0"/>
              <w:jc w:val="right"/>
              <w:rPr>
                <w:rFonts w:cstheme="minorHAnsi"/>
                <w:color w:val="000000"/>
                <w:sz w:val="20"/>
                <w:szCs w:val="20"/>
              </w:rPr>
            </w:pPr>
            <w:r>
              <w:rPr>
                <w:rFonts w:cstheme="minorHAnsi"/>
                <w:color w:val="000000"/>
                <w:sz w:val="20"/>
                <w:szCs w:val="20"/>
              </w:rPr>
              <w:t>48.58%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C354D" w:rsidRPr="00E97254" w:rsidRDefault="004E1F53" w:rsidP="000C0250">
            <w:pPr>
              <w:spacing w:after="0"/>
              <w:jc w:val="right"/>
              <w:rPr>
                <w:rFonts w:cstheme="minorHAnsi"/>
                <w:color w:val="000000"/>
                <w:sz w:val="20"/>
                <w:szCs w:val="20"/>
              </w:rPr>
            </w:pPr>
            <w:r>
              <w:rPr>
                <w:rFonts w:cstheme="minorHAnsi"/>
                <w:color w:val="000000"/>
                <w:sz w:val="20"/>
                <w:szCs w:val="20"/>
              </w:rPr>
              <w:t>403,216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C354D" w:rsidRPr="00E97254" w:rsidRDefault="004E1F53" w:rsidP="000C0250">
            <w:pPr>
              <w:spacing w:after="0"/>
              <w:jc w:val="right"/>
              <w:rPr>
                <w:rFonts w:cstheme="minorHAnsi"/>
                <w:color w:val="000000"/>
                <w:sz w:val="20"/>
                <w:szCs w:val="20"/>
              </w:rPr>
            </w:pPr>
            <w:r>
              <w:rPr>
                <w:rFonts w:cstheme="minorHAnsi"/>
                <w:color w:val="000000"/>
                <w:sz w:val="20"/>
                <w:szCs w:val="20"/>
              </w:rPr>
              <w:t>621,572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C354D" w:rsidRPr="00E97254" w:rsidRDefault="004E1F53" w:rsidP="000C0250">
            <w:pPr>
              <w:spacing w:after="0"/>
              <w:jc w:val="right"/>
              <w:rPr>
                <w:rFonts w:cstheme="minorHAnsi"/>
                <w:color w:val="000000"/>
                <w:sz w:val="20"/>
                <w:szCs w:val="20"/>
              </w:rPr>
            </w:pPr>
            <w:r>
              <w:rPr>
                <w:rFonts w:cstheme="minorHAnsi"/>
                <w:color w:val="000000"/>
                <w:sz w:val="20"/>
                <w:szCs w:val="20"/>
              </w:rPr>
              <w:t>54.15%</w:t>
            </w:r>
          </w:p>
        </w:tc>
      </w:tr>
      <w:tr w:rsidR="009C354D" w:rsidRPr="00E97254" w:rsidTr="009C354D">
        <w:trPr>
          <w:trHeight w:val="30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C354D" w:rsidRPr="00E97254" w:rsidRDefault="004E1F53" w:rsidP="000C0250">
            <w:pPr>
              <w:spacing w:after="0"/>
              <w:jc w:val="both"/>
              <w:rPr>
                <w:rFonts w:cstheme="minorHAnsi"/>
                <w:color w:val="000000"/>
                <w:sz w:val="20"/>
                <w:szCs w:val="20"/>
              </w:rPr>
            </w:pPr>
            <w:r>
              <w:rPr>
                <w:rFonts w:cstheme="minorHAnsi"/>
                <w:color w:val="000000"/>
                <w:sz w:val="20"/>
                <w:szCs w:val="20"/>
              </w:rPr>
              <w:t>Të gjithë</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C354D" w:rsidRPr="00E97254" w:rsidRDefault="004E1F53" w:rsidP="000C0250">
            <w:pPr>
              <w:spacing w:after="0"/>
              <w:jc w:val="right"/>
              <w:rPr>
                <w:rFonts w:cstheme="minorHAnsi"/>
                <w:color w:val="000000"/>
                <w:sz w:val="20"/>
                <w:szCs w:val="20"/>
              </w:rPr>
            </w:pPr>
            <w:r>
              <w:rPr>
                <w:rFonts w:cstheme="minorHAnsi"/>
                <w:color w:val="000000"/>
                <w:sz w:val="20"/>
                <w:szCs w:val="20"/>
              </w:rPr>
              <w:t>2,862,427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C354D" w:rsidRPr="00E97254" w:rsidRDefault="004E1F53" w:rsidP="000C0250">
            <w:pPr>
              <w:spacing w:after="0"/>
              <w:jc w:val="right"/>
              <w:rPr>
                <w:rFonts w:cstheme="minorHAnsi"/>
                <w:color w:val="000000"/>
                <w:sz w:val="20"/>
                <w:szCs w:val="20"/>
              </w:rPr>
            </w:pPr>
            <w:r>
              <w:rPr>
                <w:rFonts w:cstheme="minorHAnsi"/>
                <w:color w:val="000000"/>
                <w:sz w:val="20"/>
                <w:szCs w:val="20"/>
              </w:rPr>
              <w:t>2,592,970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C354D" w:rsidRPr="00E97254" w:rsidRDefault="004E1F53" w:rsidP="000C0250">
            <w:pPr>
              <w:spacing w:after="0"/>
              <w:jc w:val="right"/>
              <w:rPr>
                <w:rFonts w:cstheme="minorHAnsi"/>
                <w:color w:val="000000"/>
                <w:sz w:val="20"/>
                <w:szCs w:val="20"/>
              </w:rPr>
            </w:pPr>
            <w:r>
              <w:rPr>
                <w:rFonts w:cstheme="minorHAnsi"/>
                <w:color w:val="000000"/>
                <w:sz w:val="20"/>
                <w:szCs w:val="20"/>
              </w:rPr>
              <w:t>-9.41%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C354D" w:rsidRPr="00E97254" w:rsidRDefault="004E1F53" w:rsidP="000C0250">
            <w:pPr>
              <w:spacing w:after="0"/>
              <w:jc w:val="right"/>
              <w:rPr>
                <w:rFonts w:cstheme="minorHAnsi"/>
                <w:color w:val="000000"/>
                <w:sz w:val="20"/>
                <w:szCs w:val="20"/>
              </w:rPr>
            </w:pPr>
            <w:r>
              <w:rPr>
                <w:rFonts w:cstheme="minorHAnsi"/>
                <w:color w:val="000000"/>
                <w:sz w:val="20"/>
                <w:szCs w:val="20"/>
              </w:rPr>
              <w:t>2,862,427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C354D" w:rsidRPr="00E97254" w:rsidRDefault="004E1F53" w:rsidP="000C0250">
            <w:pPr>
              <w:spacing w:after="0"/>
              <w:jc w:val="right"/>
              <w:rPr>
                <w:rFonts w:cstheme="minorHAnsi"/>
                <w:color w:val="000000"/>
                <w:sz w:val="20"/>
                <w:szCs w:val="20"/>
              </w:rPr>
            </w:pPr>
            <w:r>
              <w:rPr>
                <w:rFonts w:cstheme="minorHAnsi"/>
                <w:color w:val="000000"/>
                <w:sz w:val="20"/>
                <w:szCs w:val="20"/>
              </w:rPr>
              <w:t>2,745,990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C354D" w:rsidRPr="00E97254" w:rsidRDefault="004E1F53" w:rsidP="000C0250">
            <w:pPr>
              <w:spacing w:after="0"/>
              <w:jc w:val="right"/>
              <w:rPr>
                <w:rFonts w:cstheme="minorHAnsi"/>
                <w:color w:val="000000"/>
                <w:sz w:val="20"/>
                <w:szCs w:val="20"/>
              </w:rPr>
            </w:pPr>
            <w:r>
              <w:rPr>
                <w:rFonts w:cstheme="minorHAnsi"/>
                <w:color w:val="000000"/>
                <w:sz w:val="20"/>
                <w:szCs w:val="20"/>
              </w:rPr>
              <w:t>-4.07%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C354D" w:rsidRPr="00E97254" w:rsidRDefault="004E1F53" w:rsidP="000C0250">
            <w:pPr>
              <w:spacing w:after="0"/>
              <w:jc w:val="right"/>
              <w:rPr>
                <w:rFonts w:cstheme="minorHAnsi"/>
                <w:color w:val="000000"/>
                <w:sz w:val="20"/>
                <w:szCs w:val="20"/>
              </w:rPr>
            </w:pPr>
            <w:r>
              <w:rPr>
                <w:rFonts w:cstheme="minorHAnsi"/>
                <w:color w:val="000000"/>
                <w:sz w:val="20"/>
                <w:szCs w:val="20"/>
              </w:rPr>
              <w:t>2,862,427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C354D" w:rsidRPr="00E97254" w:rsidRDefault="004E1F53" w:rsidP="000C0250">
            <w:pPr>
              <w:spacing w:after="0"/>
              <w:jc w:val="right"/>
              <w:rPr>
                <w:rFonts w:cstheme="minorHAnsi"/>
                <w:color w:val="000000"/>
                <w:sz w:val="20"/>
                <w:szCs w:val="20"/>
              </w:rPr>
            </w:pPr>
            <w:r>
              <w:rPr>
                <w:rFonts w:cstheme="minorHAnsi"/>
                <w:color w:val="000000"/>
                <w:sz w:val="20"/>
                <w:szCs w:val="20"/>
              </w:rPr>
              <w:t>2,922,747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C354D" w:rsidRPr="00E97254" w:rsidRDefault="004E1F53" w:rsidP="000C0250">
            <w:pPr>
              <w:spacing w:after="0"/>
              <w:jc w:val="right"/>
              <w:rPr>
                <w:rFonts w:cstheme="minorHAnsi"/>
                <w:color w:val="000000"/>
                <w:sz w:val="20"/>
                <w:szCs w:val="20"/>
              </w:rPr>
            </w:pPr>
            <w:r>
              <w:rPr>
                <w:rFonts w:cstheme="minorHAnsi"/>
                <w:color w:val="000000"/>
                <w:sz w:val="20"/>
                <w:szCs w:val="20"/>
              </w:rPr>
              <w:t>2.11%</w:t>
            </w:r>
          </w:p>
        </w:tc>
      </w:tr>
    </w:tbl>
    <w:p w:rsidR="009C354D" w:rsidRPr="00E97254" w:rsidRDefault="004E1F53" w:rsidP="000C0250">
      <w:pPr>
        <w:spacing w:after="0"/>
        <w:jc w:val="both"/>
        <w:rPr>
          <w:rFonts w:ascii="Calibri" w:hAnsi="Calibri" w:cs="Calibri"/>
          <w:szCs w:val="32"/>
        </w:rPr>
      </w:pPr>
      <w:r>
        <w:rPr>
          <w:rFonts w:ascii="Calibri" w:hAnsi="Calibri" w:cs="Calibri"/>
          <w:szCs w:val="32"/>
        </w:rPr>
        <w:t xml:space="preserve">(Burimi: </w:t>
      </w:r>
      <w:r w:rsidR="001936F3">
        <w:rPr>
          <w:rFonts w:ascii="Calibri" w:hAnsi="Calibri" w:cs="Calibri"/>
          <w:szCs w:val="32"/>
        </w:rPr>
        <w:t>B</w:t>
      </w:r>
      <w:r w:rsidR="001936F3" w:rsidRPr="00E97254">
        <w:rPr>
          <w:rFonts w:ascii="Calibri" w:hAnsi="Calibri" w:cs="Calibri"/>
          <w:szCs w:val="32"/>
        </w:rPr>
        <w:t xml:space="preserve">aza </w:t>
      </w:r>
      <w:r w:rsidR="001936F3">
        <w:rPr>
          <w:rFonts w:ascii="Calibri" w:hAnsi="Calibri" w:cs="Calibri"/>
          <w:szCs w:val="32"/>
        </w:rPr>
        <w:t>e t</w:t>
      </w:r>
      <w:r w:rsidR="001936F3" w:rsidRPr="00E97254">
        <w:rPr>
          <w:rFonts w:ascii="Calibri" w:hAnsi="Calibri" w:cs="Calibri"/>
          <w:szCs w:val="24"/>
        </w:rPr>
        <w:t>ë</w:t>
      </w:r>
      <w:r w:rsidR="001936F3">
        <w:rPr>
          <w:rFonts w:ascii="Calibri" w:hAnsi="Calibri" w:cs="Calibri"/>
          <w:szCs w:val="24"/>
        </w:rPr>
        <w:t xml:space="preserve"> dh</w:t>
      </w:r>
      <w:r w:rsidR="001936F3" w:rsidRPr="00E97254">
        <w:rPr>
          <w:rFonts w:ascii="Calibri" w:hAnsi="Calibri" w:cs="Calibri"/>
          <w:szCs w:val="24"/>
        </w:rPr>
        <w:t>ë</w:t>
      </w:r>
      <w:r w:rsidR="001936F3">
        <w:rPr>
          <w:rFonts w:ascii="Calibri" w:hAnsi="Calibri" w:cs="Calibri"/>
          <w:szCs w:val="24"/>
        </w:rPr>
        <w:t xml:space="preserve">nave </w:t>
      </w:r>
      <w:r w:rsidR="00CF63CD" w:rsidRPr="00E97254">
        <w:rPr>
          <w:rFonts w:ascii="Calibri" w:hAnsi="Calibri" w:cs="Calibri"/>
          <w:szCs w:val="32"/>
        </w:rPr>
        <w:t>statistikore, INSTAT, shkurt 2020)</w:t>
      </w:r>
    </w:p>
    <w:p w:rsidR="0025537C" w:rsidRPr="00E97254" w:rsidRDefault="00D0144C" w:rsidP="000C0250">
      <w:pPr>
        <w:spacing w:before="120" w:after="120"/>
        <w:jc w:val="both"/>
        <w:rPr>
          <w:rFonts w:ascii="Calibri" w:hAnsi="Calibri" w:cs="Calibri"/>
        </w:rPr>
      </w:pPr>
      <w:r w:rsidRPr="00E97254">
        <w:rPr>
          <w:rFonts w:ascii="Calibri" w:hAnsi="Calibri" w:cs="Calibri"/>
          <w:szCs w:val="24"/>
        </w:rPr>
        <w:t xml:space="preserve">Tek të tre skenarët vërehet zvogëlim i ndjeshëm i popullsisë </w:t>
      </w:r>
      <w:r w:rsidR="00102BE2" w:rsidRPr="00E97254">
        <w:rPr>
          <w:rFonts w:ascii="Calibri" w:hAnsi="Calibri" w:cs="Calibri"/>
          <w:szCs w:val="24"/>
        </w:rPr>
        <w:t xml:space="preserve">së </w:t>
      </w:r>
      <w:r w:rsidRPr="00E97254">
        <w:rPr>
          <w:rFonts w:ascii="Calibri" w:hAnsi="Calibri" w:cs="Calibri"/>
          <w:szCs w:val="24"/>
        </w:rPr>
        <w:t xml:space="preserve">moshës nën 25 vjeç, i popullsisë </w:t>
      </w:r>
      <w:r w:rsidR="00102BE2" w:rsidRPr="00E97254">
        <w:rPr>
          <w:rFonts w:ascii="Calibri" w:hAnsi="Calibri" w:cs="Calibri"/>
          <w:szCs w:val="24"/>
        </w:rPr>
        <w:t xml:space="preserve">së </w:t>
      </w:r>
      <w:r w:rsidRPr="00E97254">
        <w:rPr>
          <w:rFonts w:ascii="Calibri" w:hAnsi="Calibri" w:cs="Calibri"/>
          <w:szCs w:val="24"/>
        </w:rPr>
        <w:t xml:space="preserve">moshës së punës (15-64) dhe rritje e ndjeshme e popullsisë </w:t>
      </w:r>
      <w:r w:rsidR="00102BE2" w:rsidRPr="00E97254">
        <w:rPr>
          <w:rFonts w:ascii="Calibri" w:hAnsi="Calibri" w:cs="Calibri"/>
          <w:szCs w:val="24"/>
        </w:rPr>
        <w:t xml:space="preserve">së </w:t>
      </w:r>
      <w:r w:rsidRPr="00E97254">
        <w:rPr>
          <w:rFonts w:ascii="Calibri" w:hAnsi="Calibri" w:cs="Calibri"/>
          <w:szCs w:val="24"/>
        </w:rPr>
        <w:t xml:space="preserve">moshës mbi 65 vjeç. </w:t>
      </w:r>
    </w:p>
    <w:p w:rsidR="00240E8C" w:rsidRPr="00E97254" w:rsidRDefault="00FA5606" w:rsidP="000C0250">
      <w:pPr>
        <w:pStyle w:val="Caption"/>
        <w:keepNext/>
        <w:spacing w:after="120" w:line="276" w:lineRule="auto"/>
        <w:jc w:val="both"/>
        <w:rPr>
          <w:rFonts w:ascii="Calibri" w:hAnsi="Calibri" w:cs="Calibri"/>
          <w:color w:val="auto"/>
          <w:sz w:val="22"/>
          <w:szCs w:val="22"/>
        </w:rPr>
      </w:pPr>
      <w:bookmarkStart w:id="19" w:name="_Ref34205302"/>
      <w:bookmarkStart w:id="20" w:name="_Toc66802037"/>
      <w:r w:rsidRPr="00FA5606">
        <w:rPr>
          <w:rFonts w:ascii="Calibri" w:hAnsi="Calibri" w:cs="Calibri"/>
          <w:color w:val="auto"/>
          <w:sz w:val="22"/>
          <w:szCs w:val="22"/>
        </w:rPr>
        <w:t xml:space="preserve">Tabela </w:t>
      </w:r>
      <w:r w:rsidR="00EC56B7" w:rsidRPr="00FA5606">
        <w:rPr>
          <w:rFonts w:ascii="Calibri" w:hAnsi="Calibri" w:cs="Calibri"/>
          <w:color w:val="auto"/>
          <w:sz w:val="22"/>
          <w:szCs w:val="22"/>
        </w:rPr>
        <w:fldChar w:fldCharType="begin"/>
      </w:r>
      <w:r w:rsidRPr="00FA5606">
        <w:rPr>
          <w:rFonts w:ascii="Calibri" w:hAnsi="Calibri" w:cs="Calibri"/>
          <w:color w:val="auto"/>
          <w:sz w:val="22"/>
          <w:szCs w:val="22"/>
        </w:rPr>
        <w:instrText xml:space="preserve"> SEQ Tabela \* ARABIC </w:instrText>
      </w:r>
      <w:r w:rsidR="00EC56B7" w:rsidRPr="00FA5606">
        <w:rPr>
          <w:rFonts w:ascii="Calibri" w:hAnsi="Calibri" w:cs="Calibri"/>
          <w:color w:val="auto"/>
          <w:sz w:val="22"/>
          <w:szCs w:val="22"/>
        </w:rPr>
        <w:fldChar w:fldCharType="separate"/>
      </w:r>
      <w:r w:rsidRPr="00FA5606">
        <w:rPr>
          <w:rFonts w:ascii="Calibri" w:hAnsi="Calibri" w:cs="Calibri"/>
          <w:color w:val="auto"/>
          <w:sz w:val="22"/>
          <w:szCs w:val="22"/>
        </w:rPr>
        <w:t>3</w:t>
      </w:r>
      <w:r w:rsidR="00EC56B7" w:rsidRPr="00FA5606">
        <w:rPr>
          <w:rFonts w:ascii="Calibri" w:hAnsi="Calibri" w:cs="Calibri"/>
          <w:color w:val="auto"/>
          <w:sz w:val="22"/>
          <w:szCs w:val="22"/>
        </w:rPr>
        <w:fldChar w:fldCharType="end"/>
      </w:r>
      <w:bookmarkEnd w:id="19"/>
      <w:r w:rsidRPr="00FA5606">
        <w:rPr>
          <w:rFonts w:ascii="Calibri" w:hAnsi="Calibri" w:cs="Calibri"/>
          <w:color w:val="auto"/>
          <w:sz w:val="22"/>
          <w:szCs w:val="22"/>
        </w:rPr>
        <w:t xml:space="preserve">. </w:t>
      </w:r>
      <w:r w:rsidR="004E1F53" w:rsidRPr="004E1F53">
        <w:rPr>
          <w:rFonts w:ascii="Calibri" w:hAnsi="Calibri" w:cs="Calibri"/>
          <w:b w:val="0"/>
          <w:color w:val="auto"/>
          <w:sz w:val="22"/>
          <w:szCs w:val="22"/>
        </w:rPr>
        <w:t>Projeksionet demografike për vitet 2021 dhe 2026</w:t>
      </w:r>
      <w:bookmarkEnd w:id="20"/>
    </w:p>
    <w:tbl>
      <w:tblPr>
        <w:tblW w:w="9422" w:type="dxa"/>
        <w:tblInd w:w="113" w:type="dxa"/>
        <w:tblLook w:val="04A0" w:firstRow="1" w:lastRow="0" w:firstColumn="1" w:lastColumn="0" w:noHBand="0" w:noVBand="1"/>
      </w:tblPr>
      <w:tblGrid>
        <w:gridCol w:w="1160"/>
        <w:gridCol w:w="971"/>
        <w:gridCol w:w="971"/>
        <w:gridCol w:w="799"/>
        <w:gridCol w:w="985"/>
        <w:gridCol w:w="985"/>
        <w:gridCol w:w="810"/>
        <w:gridCol w:w="971"/>
        <w:gridCol w:w="971"/>
        <w:gridCol w:w="799"/>
      </w:tblGrid>
      <w:tr w:rsidR="00CB2BD7" w:rsidRPr="00E97254" w:rsidTr="00E7729D">
        <w:trPr>
          <w:trHeight w:val="300"/>
        </w:trPr>
        <w:tc>
          <w:tcPr>
            <w:tcW w:w="116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CB2BD7" w:rsidRPr="00E97254" w:rsidRDefault="004E1F53" w:rsidP="000C0250">
            <w:pPr>
              <w:spacing w:after="0"/>
              <w:jc w:val="both"/>
              <w:rPr>
                <w:rFonts w:eastAsia="Times New Roman" w:cstheme="minorHAnsi"/>
                <w:color w:val="000000"/>
                <w:sz w:val="16"/>
                <w:szCs w:val="18"/>
              </w:rPr>
            </w:pPr>
            <w:r>
              <w:rPr>
                <w:rFonts w:eastAsia="Times New Roman" w:cstheme="minorHAnsi"/>
                <w:color w:val="000000"/>
                <w:sz w:val="16"/>
                <w:szCs w:val="18"/>
              </w:rPr>
              <w:t>Grupmosha</w:t>
            </w:r>
          </w:p>
        </w:tc>
        <w:tc>
          <w:tcPr>
            <w:tcW w:w="2741" w:type="dxa"/>
            <w:gridSpan w:val="3"/>
            <w:tcBorders>
              <w:top w:val="single" w:sz="4" w:space="0" w:color="auto"/>
              <w:left w:val="nil"/>
              <w:bottom w:val="single" w:sz="4" w:space="0" w:color="auto"/>
              <w:right w:val="single" w:sz="4" w:space="0" w:color="000000"/>
            </w:tcBorders>
            <w:shd w:val="clear" w:color="auto" w:fill="auto"/>
            <w:noWrap/>
            <w:vAlign w:val="center"/>
            <w:hideMark/>
          </w:tcPr>
          <w:p w:rsidR="00CB2BD7" w:rsidRPr="00E97254" w:rsidRDefault="004E1F53" w:rsidP="000C0250">
            <w:pPr>
              <w:spacing w:after="0"/>
              <w:jc w:val="center"/>
              <w:rPr>
                <w:rFonts w:eastAsia="Times New Roman" w:cstheme="minorHAnsi"/>
                <w:color w:val="000000"/>
                <w:sz w:val="16"/>
                <w:szCs w:val="18"/>
              </w:rPr>
            </w:pPr>
            <w:r>
              <w:rPr>
                <w:rFonts w:eastAsia="Times New Roman" w:cstheme="minorHAnsi"/>
                <w:color w:val="000000"/>
                <w:sz w:val="16"/>
                <w:szCs w:val="18"/>
              </w:rPr>
              <w:t>Skenari i rritjes së ulët</w:t>
            </w:r>
          </w:p>
        </w:tc>
        <w:tc>
          <w:tcPr>
            <w:tcW w:w="2780" w:type="dxa"/>
            <w:gridSpan w:val="3"/>
            <w:tcBorders>
              <w:top w:val="single" w:sz="4" w:space="0" w:color="auto"/>
              <w:left w:val="nil"/>
              <w:bottom w:val="single" w:sz="4" w:space="0" w:color="auto"/>
              <w:right w:val="single" w:sz="4" w:space="0" w:color="000000"/>
            </w:tcBorders>
            <w:shd w:val="clear" w:color="auto" w:fill="auto"/>
            <w:noWrap/>
            <w:vAlign w:val="center"/>
            <w:hideMark/>
          </w:tcPr>
          <w:p w:rsidR="00CB2BD7" w:rsidRPr="00E97254" w:rsidRDefault="004E1F53" w:rsidP="000C0250">
            <w:pPr>
              <w:spacing w:after="0"/>
              <w:jc w:val="center"/>
              <w:rPr>
                <w:rFonts w:eastAsia="Times New Roman" w:cstheme="minorHAnsi"/>
                <w:color w:val="000000"/>
                <w:sz w:val="16"/>
                <w:szCs w:val="18"/>
              </w:rPr>
            </w:pPr>
            <w:r>
              <w:rPr>
                <w:rFonts w:eastAsia="Times New Roman" w:cstheme="minorHAnsi"/>
                <w:color w:val="000000"/>
                <w:sz w:val="16"/>
                <w:szCs w:val="18"/>
              </w:rPr>
              <w:t>Skenari i rritjes së mesme</w:t>
            </w:r>
          </w:p>
        </w:tc>
        <w:tc>
          <w:tcPr>
            <w:tcW w:w="2741" w:type="dxa"/>
            <w:gridSpan w:val="3"/>
            <w:tcBorders>
              <w:top w:val="single" w:sz="4" w:space="0" w:color="auto"/>
              <w:left w:val="nil"/>
              <w:bottom w:val="single" w:sz="4" w:space="0" w:color="auto"/>
              <w:right w:val="single" w:sz="4" w:space="0" w:color="000000"/>
            </w:tcBorders>
            <w:shd w:val="clear" w:color="auto" w:fill="auto"/>
            <w:noWrap/>
            <w:vAlign w:val="center"/>
            <w:hideMark/>
          </w:tcPr>
          <w:p w:rsidR="00CB2BD7" w:rsidRPr="00E97254" w:rsidRDefault="004E1F53" w:rsidP="000C0250">
            <w:pPr>
              <w:spacing w:after="0"/>
              <w:jc w:val="center"/>
              <w:rPr>
                <w:rFonts w:eastAsia="Times New Roman" w:cstheme="minorHAnsi"/>
                <w:color w:val="000000"/>
                <w:sz w:val="16"/>
                <w:szCs w:val="18"/>
              </w:rPr>
            </w:pPr>
            <w:r>
              <w:rPr>
                <w:rFonts w:eastAsia="Times New Roman" w:cstheme="minorHAnsi"/>
                <w:color w:val="000000"/>
                <w:sz w:val="16"/>
                <w:szCs w:val="18"/>
              </w:rPr>
              <w:t>Skenari i rritjes së lartë</w:t>
            </w:r>
          </w:p>
        </w:tc>
      </w:tr>
      <w:tr w:rsidR="00CB2BD7" w:rsidRPr="00E97254" w:rsidTr="00E7729D">
        <w:trPr>
          <w:trHeight w:val="300"/>
        </w:trPr>
        <w:tc>
          <w:tcPr>
            <w:tcW w:w="1160" w:type="dxa"/>
            <w:vMerge/>
            <w:tcBorders>
              <w:top w:val="single" w:sz="4" w:space="0" w:color="auto"/>
              <w:left w:val="single" w:sz="4" w:space="0" w:color="auto"/>
              <w:bottom w:val="single" w:sz="4" w:space="0" w:color="000000"/>
              <w:right w:val="single" w:sz="4" w:space="0" w:color="auto"/>
            </w:tcBorders>
            <w:vAlign w:val="center"/>
            <w:hideMark/>
          </w:tcPr>
          <w:p w:rsidR="00CB2BD7" w:rsidRPr="00E97254" w:rsidRDefault="00CB2BD7" w:rsidP="000C0250">
            <w:pPr>
              <w:keepNext/>
              <w:keepLines/>
              <w:spacing w:before="480" w:after="0"/>
              <w:jc w:val="both"/>
              <w:outlineLvl w:val="0"/>
              <w:rPr>
                <w:rFonts w:eastAsia="Times New Roman" w:cstheme="minorHAnsi"/>
                <w:color w:val="000000"/>
                <w:sz w:val="16"/>
                <w:szCs w:val="18"/>
              </w:rPr>
            </w:pPr>
          </w:p>
        </w:tc>
        <w:tc>
          <w:tcPr>
            <w:tcW w:w="971" w:type="dxa"/>
            <w:tcBorders>
              <w:top w:val="nil"/>
              <w:left w:val="nil"/>
              <w:bottom w:val="single" w:sz="4" w:space="0" w:color="auto"/>
              <w:right w:val="single" w:sz="4" w:space="0" w:color="auto"/>
            </w:tcBorders>
            <w:shd w:val="clear" w:color="auto" w:fill="auto"/>
            <w:noWrap/>
            <w:vAlign w:val="center"/>
            <w:hideMark/>
          </w:tcPr>
          <w:p w:rsidR="00CB2BD7" w:rsidRPr="00E97254" w:rsidRDefault="004E1F53" w:rsidP="000C0250">
            <w:pPr>
              <w:spacing w:after="0"/>
              <w:jc w:val="center"/>
              <w:rPr>
                <w:rFonts w:eastAsia="Times New Roman" w:cstheme="minorHAnsi"/>
                <w:color w:val="000000"/>
                <w:sz w:val="16"/>
                <w:szCs w:val="18"/>
              </w:rPr>
            </w:pPr>
            <w:r>
              <w:rPr>
                <w:rFonts w:eastAsia="Times New Roman" w:cstheme="minorHAnsi"/>
                <w:color w:val="000000"/>
                <w:sz w:val="16"/>
                <w:szCs w:val="18"/>
              </w:rPr>
              <w:t>2021</w:t>
            </w:r>
          </w:p>
        </w:tc>
        <w:tc>
          <w:tcPr>
            <w:tcW w:w="971" w:type="dxa"/>
            <w:tcBorders>
              <w:top w:val="nil"/>
              <w:left w:val="nil"/>
              <w:bottom w:val="single" w:sz="4" w:space="0" w:color="auto"/>
              <w:right w:val="single" w:sz="4" w:space="0" w:color="auto"/>
            </w:tcBorders>
            <w:shd w:val="clear" w:color="auto" w:fill="auto"/>
            <w:noWrap/>
            <w:vAlign w:val="center"/>
            <w:hideMark/>
          </w:tcPr>
          <w:p w:rsidR="00CB2BD7" w:rsidRPr="00E97254" w:rsidRDefault="004E1F53" w:rsidP="000C0250">
            <w:pPr>
              <w:spacing w:after="0"/>
              <w:jc w:val="center"/>
              <w:rPr>
                <w:rFonts w:eastAsia="Times New Roman" w:cstheme="minorHAnsi"/>
                <w:color w:val="000000"/>
                <w:sz w:val="16"/>
                <w:szCs w:val="18"/>
              </w:rPr>
            </w:pPr>
            <w:r>
              <w:rPr>
                <w:rFonts w:eastAsia="Times New Roman" w:cstheme="minorHAnsi"/>
                <w:color w:val="000000"/>
                <w:sz w:val="16"/>
                <w:szCs w:val="18"/>
              </w:rPr>
              <w:t>2026</w:t>
            </w:r>
          </w:p>
        </w:tc>
        <w:tc>
          <w:tcPr>
            <w:tcW w:w="799" w:type="dxa"/>
            <w:tcBorders>
              <w:top w:val="nil"/>
              <w:left w:val="nil"/>
              <w:bottom w:val="single" w:sz="4" w:space="0" w:color="auto"/>
              <w:right w:val="single" w:sz="4" w:space="0" w:color="auto"/>
            </w:tcBorders>
            <w:shd w:val="clear" w:color="auto" w:fill="auto"/>
            <w:noWrap/>
            <w:vAlign w:val="center"/>
            <w:hideMark/>
          </w:tcPr>
          <w:p w:rsidR="00CB2BD7" w:rsidRPr="00E97254" w:rsidRDefault="004E1F53" w:rsidP="000C0250">
            <w:pPr>
              <w:spacing w:after="0"/>
              <w:jc w:val="center"/>
              <w:rPr>
                <w:rFonts w:eastAsia="Times New Roman" w:cstheme="minorHAnsi"/>
                <w:color w:val="000000"/>
                <w:sz w:val="16"/>
                <w:szCs w:val="18"/>
              </w:rPr>
            </w:pPr>
            <w:r>
              <w:rPr>
                <w:rFonts w:ascii="Calibri" w:eastAsia="Times New Roman" w:hAnsi="Calibri" w:cs="Calibri"/>
                <w:color w:val="000000"/>
                <w:sz w:val="16"/>
                <w:szCs w:val="16"/>
              </w:rPr>
              <w:t>Ndrysh</w:t>
            </w:r>
          </w:p>
        </w:tc>
        <w:tc>
          <w:tcPr>
            <w:tcW w:w="985" w:type="dxa"/>
            <w:tcBorders>
              <w:top w:val="nil"/>
              <w:left w:val="nil"/>
              <w:bottom w:val="single" w:sz="4" w:space="0" w:color="auto"/>
              <w:right w:val="single" w:sz="4" w:space="0" w:color="auto"/>
            </w:tcBorders>
            <w:shd w:val="clear" w:color="auto" w:fill="auto"/>
            <w:noWrap/>
            <w:vAlign w:val="center"/>
            <w:hideMark/>
          </w:tcPr>
          <w:p w:rsidR="00CB2BD7" w:rsidRPr="00E97254" w:rsidRDefault="004E1F53" w:rsidP="000C0250">
            <w:pPr>
              <w:spacing w:after="0"/>
              <w:jc w:val="center"/>
              <w:rPr>
                <w:rFonts w:eastAsia="Times New Roman" w:cstheme="minorHAnsi"/>
                <w:color w:val="000000"/>
                <w:sz w:val="16"/>
                <w:szCs w:val="18"/>
              </w:rPr>
            </w:pPr>
            <w:r>
              <w:rPr>
                <w:rFonts w:eastAsia="Times New Roman" w:cstheme="minorHAnsi"/>
                <w:color w:val="000000"/>
                <w:sz w:val="16"/>
                <w:szCs w:val="18"/>
              </w:rPr>
              <w:t>2021</w:t>
            </w:r>
          </w:p>
        </w:tc>
        <w:tc>
          <w:tcPr>
            <w:tcW w:w="985" w:type="dxa"/>
            <w:tcBorders>
              <w:top w:val="nil"/>
              <w:left w:val="nil"/>
              <w:bottom w:val="single" w:sz="4" w:space="0" w:color="auto"/>
              <w:right w:val="single" w:sz="4" w:space="0" w:color="auto"/>
            </w:tcBorders>
            <w:shd w:val="clear" w:color="auto" w:fill="auto"/>
            <w:noWrap/>
            <w:vAlign w:val="center"/>
            <w:hideMark/>
          </w:tcPr>
          <w:p w:rsidR="00CB2BD7" w:rsidRPr="00E97254" w:rsidRDefault="004E1F53" w:rsidP="000C0250">
            <w:pPr>
              <w:spacing w:after="0"/>
              <w:jc w:val="center"/>
              <w:rPr>
                <w:rFonts w:eastAsia="Times New Roman" w:cstheme="minorHAnsi"/>
                <w:color w:val="000000"/>
                <w:sz w:val="16"/>
                <w:szCs w:val="18"/>
              </w:rPr>
            </w:pPr>
            <w:r>
              <w:rPr>
                <w:rFonts w:eastAsia="Times New Roman" w:cstheme="minorHAnsi"/>
                <w:color w:val="000000"/>
                <w:sz w:val="16"/>
                <w:szCs w:val="18"/>
              </w:rPr>
              <w:t>2026</w:t>
            </w:r>
          </w:p>
        </w:tc>
        <w:tc>
          <w:tcPr>
            <w:tcW w:w="810" w:type="dxa"/>
            <w:tcBorders>
              <w:top w:val="nil"/>
              <w:left w:val="nil"/>
              <w:bottom w:val="single" w:sz="4" w:space="0" w:color="auto"/>
              <w:right w:val="single" w:sz="4" w:space="0" w:color="auto"/>
            </w:tcBorders>
            <w:shd w:val="clear" w:color="auto" w:fill="auto"/>
            <w:noWrap/>
            <w:vAlign w:val="center"/>
            <w:hideMark/>
          </w:tcPr>
          <w:p w:rsidR="00CB2BD7" w:rsidRPr="00E97254" w:rsidRDefault="004E1F53" w:rsidP="000C0250">
            <w:pPr>
              <w:spacing w:after="0"/>
              <w:jc w:val="center"/>
              <w:rPr>
                <w:rFonts w:eastAsia="Times New Roman" w:cstheme="minorHAnsi"/>
                <w:color w:val="000000"/>
                <w:sz w:val="16"/>
                <w:szCs w:val="18"/>
              </w:rPr>
            </w:pPr>
            <w:r>
              <w:rPr>
                <w:rFonts w:ascii="Calibri" w:eastAsia="Times New Roman" w:hAnsi="Calibri" w:cs="Calibri"/>
                <w:color w:val="000000"/>
                <w:sz w:val="16"/>
                <w:szCs w:val="16"/>
              </w:rPr>
              <w:t>Ndrysh</w:t>
            </w:r>
          </w:p>
        </w:tc>
        <w:tc>
          <w:tcPr>
            <w:tcW w:w="971" w:type="dxa"/>
            <w:tcBorders>
              <w:top w:val="nil"/>
              <w:left w:val="nil"/>
              <w:bottom w:val="single" w:sz="4" w:space="0" w:color="auto"/>
              <w:right w:val="single" w:sz="4" w:space="0" w:color="auto"/>
            </w:tcBorders>
            <w:shd w:val="clear" w:color="auto" w:fill="auto"/>
            <w:noWrap/>
            <w:vAlign w:val="center"/>
            <w:hideMark/>
          </w:tcPr>
          <w:p w:rsidR="00CB2BD7" w:rsidRPr="00E97254" w:rsidRDefault="004E1F53" w:rsidP="000C0250">
            <w:pPr>
              <w:spacing w:after="0"/>
              <w:jc w:val="center"/>
              <w:rPr>
                <w:rFonts w:eastAsia="Times New Roman" w:cstheme="minorHAnsi"/>
                <w:color w:val="000000"/>
                <w:sz w:val="16"/>
                <w:szCs w:val="18"/>
              </w:rPr>
            </w:pPr>
            <w:r>
              <w:rPr>
                <w:rFonts w:eastAsia="Times New Roman" w:cstheme="minorHAnsi"/>
                <w:color w:val="000000"/>
                <w:sz w:val="16"/>
                <w:szCs w:val="18"/>
              </w:rPr>
              <w:t>2021</w:t>
            </w:r>
          </w:p>
        </w:tc>
        <w:tc>
          <w:tcPr>
            <w:tcW w:w="971" w:type="dxa"/>
            <w:tcBorders>
              <w:top w:val="nil"/>
              <w:left w:val="nil"/>
              <w:bottom w:val="single" w:sz="4" w:space="0" w:color="auto"/>
              <w:right w:val="single" w:sz="4" w:space="0" w:color="auto"/>
            </w:tcBorders>
            <w:shd w:val="clear" w:color="auto" w:fill="auto"/>
            <w:noWrap/>
            <w:vAlign w:val="center"/>
            <w:hideMark/>
          </w:tcPr>
          <w:p w:rsidR="00CB2BD7" w:rsidRPr="00E97254" w:rsidRDefault="004E1F53" w:rsidP="000C0250">
            <w:pPr>
              <w:spacing w:after="0"/>
              <w:jc w:val="center"/>
              <w:rPr>
                <w:rFonts w:eastAsia="Times New Roman" w:cstheme="minorHAnsi"/>
                <w:color w:val="000000"/>
                <w:sz w:val="16"/>
                <w:szCs w:val="18"/>
              </w:rPr>
            </w:pPr>
            <w:r>
              <w:rPr>
                <w:rFonts w:eastAsia="Times New Roman" w:cstheme="minorHAnsi"/>
                <w:color w:val="000000"/>
                <w:sz w:val="16"/>
                <w:szCs w:val="18"/>
              </w:rPr>
              <w:t>2026</w:t>
            </w:r>
          </w:p>
        </w:tc>
        <w:tc>
          <w:tcPr>
            <w:tcW w:w="799" w:type="dxa"/>
            <w:tcBorders>
              <w:top w:val="nil"/>
              <w:left w:val="nil"/>
              <w:bottom w:val="single" w:sz="4" w:space="0" w:color="auto"/>
              <w:right w:val="single" w:sz="4" w:space="0" w:color="auto"/>
            </w:tcBorders>
            <w:shd w:val="clear" w:color="auto" w:fill="auto"/>
            <w:noWrap/>
            <w:vAlign w:val="center"/>
            <w:hideMark/>
          </w:tcPr>
          <w:p w:rsidR="00CB2BD7" w:rsidRPr="00E97254" w:rsidRDefault="004E1F53" w:rsidP="000C0250">
            <w:pPr>
              <w:spacing w:after="0"/>
              <w:jc w:val="center"/>
              <w:rPr>
                <w:rFonts w:eastAsia="Times New Roman" w:cstheme="minorHAnsi"/>
                <w:color w:val="000000"/>
                <w:sz w:val="16"/>
                <w:szCs w:val="18"/>
              </w:rPr>
            </w:pPr>
            <w:r>
              <w:rPr>
                <w:rFonts w:ascii="Calibri" w:eastAsia="Times New Roman" w:hAnsi="Calibri" w:cs="Calibri"/>
                <w:color w:val="000000"/>
                <w:sz w:val="16"/>
                <w:szCs w:val="16"/>
              </w:rPr>
              <w:t>Ndrysh</w:t>
            </w:r>
          </w:p>
        </w:tc>
      </w:tr>
      <w:tr w:rsidR="00CB2BD7" w:rsidRPr="00E97254" w:rsidTr="00E7729D">
        <w:trPr>
          <w:trHeight w:val="300"/>
        </w:trPr>
        <w:tc>
          <w:tcPr>
            <w:tcW w:w="1160" w:type="dxa"/>
            <w:tcBorders>
              <w:top w:val="nil"/>
              <w:left w:val="single" w:sz="4" w:space="0" w:color="auto"/>
              <w:bottom w:val="single" w:sz="4" w:space="0" w:color="auto"/>
              <w:right w:val="single" w:sz="4" w:space="0" w:color="auto"/>
            </w:tcBorders>
            <w:shd w:val="clear" w:color="auto" w:fill="auto"/>
            <w:noWrap/>
            <w:vAlign w:val="center"/>
            <w:hideMark/>
          </w:tcPr>
          <w:p w:rsidR="00CB2BD7" w:rsidRPr="00E97254" w:rsidRDefault="004E1F53" w:rsidP="000C0250">
            <w:pPr>
              <w:spacing w:after="0"/>
              <w:jc w:val="both"/>
              <w:rPr>
                <w:rFonts w:eastAsia="Times New Roman" w:cstheme="minorHAnsi"/>
                <w:color w:val="000000"/>
                <w:sz w:val="16"/>
                <w:szCs w:val="18"/>
              </w:rPr>
            </w:pPr>
            <w:r>
              <w:rPr>
                <w:rFonts w:eastAsia="Times New Roman" w:cstheme="minorHAnsi"/>
                <w:color w:val="000000"/>
                <w:sz w:val="16"/>
                <w:szCs w:val="18"/>
              </w:rPr>
              <w:t>0-5</w:t>
            </w:r>
          </w:p>
        </w:tc>
        <w:tc>
          <w:tcPr>
            <w:tcW w:w="971" w:type="dxa"/>
            <w:tcBorders>
              <w:top w:val="nil"/>
              <w:left w:val="nil"/>
              <w:bottom w:val="single" w:sz="4" w:space="0" w:color="auto"/>
              <w:right w:val="single" w:sz="4" w:space="0" w:color="auto"/>
            </w:tcBorders>
            <w:shd w:val="clear" w:color="auto" w:fill="auto"/>
            <w:noWrap/>
            <w:vAlign w:val="center"/>
            <w:hideMark/>
          </w:tcPr>
          <w:p w:rsidR="00CB2BD7" w:rsidRPr="00E97254" w:rsidRDefault="004E1F53" w:rsidP="000C0250">
            <w:pPr>
              <w:spacing w:after="0"/>
              <w:jc w:val="right"/>
              <w:rPr>
                <w:rFonts w:eastAsia="Times New Roman" w:cstheme="minorHAnsi"/>
                <w:color w:val="000000"/>
                <w:sz w:val="16"/>
                <w:szCs w:val="18"/>
              </w:rPr>
            </w:pPr>
            <w:r>
              <w:rPr>
                <w:rFonts w:eastAsia="Times New Roman" w:cstheme="minorHAnsi"/>
                <w:color w:val="000000"/>
                <w:sz w:val="16"/>
                <w:szCs w:val="18"/>
              </w:rPr>
              <w:t>175,236</w:t>
            </w:r>
          </w:p>
        </w:tc>
        <w:tc>
          <w:tcPr>
            <w:tcW w:w="971" w:type="dxa"/>
            <w:tcBorders>
              <w:top w:val="nil"/>
              <w:left w:val="nil"/>
              <w:bottom w:val="single" w:sz="4" w:space="0" w:color="auto"/>
              <w:right w:val="single" w:sz="4" w:space="0" w:color="auto"/>
            </w:tcBorders>
            <w:shd w:val="clear" w:color="auto" w:fill="auto"/>
            <w:noWrap/>
            <w:vAlign w:val="center"/>
            <w:hideMark/>
          </w:tcPr>
          <w:p w:rsidR="00CB2BD7" w:rsidRPr="00E97254" w:rsidRDefault="004E1F53" w:rsidP="000C0250">
            <w:pPr>
              <w:spacing w:after="0"/>
              <w:jc w:val="right"/>
              <w:rPr>
                <w:rFonts w:eastAsia="Times New Roman" w:cstheme="minorHAnsi"/>
                <w:color w:val="000000"/>
                <w:sz w:val="16"/>
                <w:szCs w:val="18"/>
              </w:rPr>
            </w:pPr>
            <w:r>
              <w:rPr>
                <w:rFonts w:eastAsia="Times New Roman" w:cstheme="minorHAnsi"/>
                <w:color w:val="000000"/>
                <w:sz w:val="16"/>
                <w:szCs w:val="18"/>
              </w:rPr>
              <w:t>156,770</w:t>
            </w:r>
          </w:p>
        </w:tc>
        <w:tc>
          <w:tcPr>
            <w:tcW w:w="799" w:type="dxa"/>
            <w:tcBorders>
              <w:top w:val="nil"/>
              <w:left w:val="nil"/>
              <w:bottom w:val="single" w:sz="4" w:space="0" w:color="auto"/>
              <w:right w:val="single" w:sz="4" w:space="0" w:color="auto"/>
            </w:tcBorders>
            <w:shd w:val="clear" w:color="auto" w:fill="auto"/>
            <w:noWrap/>
            <w:vAlign w:val="center"/>
            <w:hideMark/>
          </w:tcPr>
          <w:p w:rsidR="00CB2BD7" w:rsidRPr="00E97254" w:rsidRDefault="004E1F53" w:rsidP="000C0250">
            <w:pPr>
              <w:spacing w:after="0"/>
              <w:jc w:val="right"/>
              <w:rPr>
                <w:rFonts w:eastAsia="Times New Roman" w:cstheme="minorHAnsi"/>
                <w:color w:val="000000"/>
                <w:sz w:val="16"/>
                <w:szCs w:val="18"/>
              </w:rPr>
            </w:pPr>
            <w:r>
              <w:rPr>
                <w:rFonts w:eastAsia="Times New Roman" w:cstheme="minorHAnsi"/>
                <w:color w:val="000000"/>
                <w:sz w:val="16"/>
                <w:szCs w:val="18"/>
              </w:rPr>
              <w:t>-10.54%</w:t>
            </w:r>
          </w:p>
        </w:tc>
        <w:tc>
          <w:tcPr>
            <w:tcW w:w="985" w:type="dxa"/>
            <w:tcBorders>
              <w:top w:val="nil"/>
              <w:left w:val="nil"/>
              <w:bottom w:val="single" w:sz="4" w:space="0" w:color="auto"/>
              <w:right w:val="single" w:sz="4" w:space="0" w:color="auto"/>
            </w:tcBorders>
            <w:shd w:val="clear" w:color="auto" w:fill="auto"/>
            <w:noWrap/>
            <w:vAlign w:val="center"/>
            <w:hideMark/>
          </w:tcPr>
          <w:p w:rsidR="00CB2BD7" w:rsidRPr="00E97254" w:rsidRDefault="004E1F53" w:rsidP="000C0250">
            <w:pPr>
              <w:spacing w:after="0"/>
              <w:jc w:val="right"/>
              <w:rPr>
                <w:rFonts w:eastAsia="Times New Roman" w:cstheme="minorHAnsi"/>
                <w:color w:val="000000"/>
                <w:sz w:val="16"/>
                <w:szCs w:val="18"/>
              </w:rPr>
            </w:pPr>
            <w:r>
              <w:rPr>
                <w:rFonts w:eastAsia="Times New Roman" w:cstheme="minorHAnsi"/>
                <w:color w:val="000000"/>
                <w:sz w:val="16"/>
                <w:szCs w:val="18"/>
              </w:rPr>
              <w:t>179,898</w:t>
            </w:r>
          </w:p>
        </w:tc>
        <w:tc>
          <w:tcPr>
            <w:tcW w:w="985" w:type="dxa"/>
            <w:tcBorders>
              <w:top w:val="nil"/>
              <w:left w:val="nil"/>
              <w:bottom w:val="single" w:sz="4" w:space="0" w:color="auto"/>
              <w:right w:val="single" w:sz="4" w:space="0" w:color="auto"/>
            </w:tcBorders>
            <w:shd w:val="clear" w:color="auto" w:fill="auto"/>
            <w:noWrap/>
            <w:vAlign w:val="center"/>
            <w:hideMark/>
          </w:tcPr>
          <w:p w:rsidR="00CB2BD7" w:rsidRPr="00E97254" w:rsidRDefault="004E1F53" w:rsidP="000C0250">
            <w:pPr>
              <w:spacing w:after="0"/>
              <w:jc w:val="right"/>
              <w:rPr>
                <w:rFonts w:eastAsia="Times New Roman" w:cstheme="minorHAnsi"/>
                <w:color w:val="000000"/>
                <w:sz w:val="16"/>
                <w:szCs w:val="18"/>
              </w:rPr>
            </w:pPr>
            <w:r>
              <w:rPr>
                <w:rFonts w:eastAsia="Times New Roman" w:cstheme="minorHAnsi"/>
                <w:color w:val="000000"/>
                <w:sz w:val="16"/>
                <w:szCs w:val="18"/>
              </w:rPr>
              <w:t>182,950</w:t>
            </w:r>
          </w:p>
        </w:tc>
        <w:tc>
          <w:tcPr>
            <w:tcW w:w="810" w:type="dxa"/>
            <w:tcBorders>
              <w:top w:val="nil"/>
              <w:left w:val="nil"/>
              <w:bottom w:val="single" w:sz="4" w:space="0" w:color="auto"/>
              <w:right w:val="single" w:sz="4" w:space="0" w:color="auto"/>
            </w:tcBorders>
            <w:shd w:val="clear" w:color="auto" w:fill="auto"/>
            <w:noWrap/>
            <w:vAlign w:val="center"/>
            <w:hideMark/>
          </w:tcPr>
          <w:p w:rsidR="00CB2BD7" w:rsidRPr="00E97254" w:rsidRDefault="004E1F53" w:rsidP="000C0250">
            <w:pPr>
              <w:spacing w:after="0"/>
              <w:jc w:val="right"/>
              <w:rPr>
                <w:rFonts w:eastAsia="Times New Roman" w:cstheme="minorHAnsi"/>
                <w:color w:val="000000"/>
                <w:sz w:val="16"/>
                <w:szCs w:val="18"/>
              </w:rPr>
            </w:pPr>
            <w:r>
              <w:rPr>
                <w:rFonts w:eastAsia="Times New Roman" w:cstheme="minorHAnsi"/>
                <w:color w:val="000000"/>
                <w:sz w:val="16"/>
                <w:szCs w:val="18"/>
              </w:rPr>
              <w:t>1.70%</w:t>
            </w:r>
          </w:p>
        </w:tc>
        <w:tc>
          <w:tcPr>
            <w:tcW w:w="971" w:type="dxa"/>
            <w:tcBorders>
              <w:top w:val="nil"/>
              <w:left w:val="nil"/>
              <w:bottom w:val="single" w:sz="4" w:space="0" w:color="auto"/>
              <w:right w:val="single" w:sz="4" w:space="0" w:color="auto"/>
            </w:tcBorders>
            <w:shd w:val="clear" w:color="auto" w:fill="auto"/>
            <w:noWrap/>
            <w:vAlign w:val="center"/>
            <w:hideMark/>
          </w:tcPr>
          <w:p w:rsidR="00CB2BD7" w:rsidRPr="00E97254" w:rsidRDefault="004E1F53" w:rsidP="000C0250">
            <w:pPr>
              <w:spacing w:after="0"/>
              <w:jc w:val="right"/>
              <w:rPr>
                <w:rFonts w:eastAsia="Times New Roman" w:cstheme="minorHAnsi"/>
                <w:color w:val="000000"/>
                <w:sz w:val="16"/>
                <w:szCs w:val="18"/>
              </w:rPr>
            </w:pPr>
            <w:r>
              <w:rPr>
                <w:rFonts w:eastAsia="Times New Roman" w:cstheme="minorHAnsi"/>
                <w:color w:val="000000"/>
                <w:sz w:val="16"/>
                <w:szCs w:val="18"/>
              </w:rPr>
              <w:t>184,623</w:t>
            </w:r>
          </w:p>
        </w:tc>
        <w:tc>
          <w:tcPr>
            <w:tcW w:w="971" w:type="dxa"/>
            <w:tcBorders>
              <w:top w:val="nil"/>
              <w:left w:val="nil"/>
              <w:bottom w:val="single" w:sz="4" w:space="0" w:color="auto"/>
              <w:right w:val="single" w:sz="4" w:space="0" w:color="auto"/>
            </w:tcBorders>
            <w:shd w:val="clear" w:color="auto" w:fill="auto"/>
            <w:noWrap/>
            <w:vAlign w:val="center"/>
            <w:hideMark/>
          </w:tcPr>
          <w:p w:rsidR="00CB2BD7" w:rsidRPr="00E97254" w:rsidRDefault="004E1F53" w:rsidP="000C0250">
            <w:pPr>
              <w:spacing w:after="0"/>
              <w:jc w:val="right"/>
              <w:rPr>
                <w:rFonts w:eastAsia="Times New Roman" w:cstheme="minorHAnsi"/>
                <w:color w:val="000000"/>
                <w:sz w:val="16"/>
                <w:szCs w:val="18"/>
              </w:rPr>
            </w:pPr>
            <w:r>
              <w:rPr>
                <w:rFonts w:eastAsia="Times New Roman" w:cstheme="minorHAnsi"/>
                <w:color w:val="000000"/>
                <w:sz w:val="16"/>
                <w:szCs w:val="18"/>
              </w:rPr>
              <w:t>210,407</w:t>
            </w:r>
          </w:p>
        </w:tc>
        <w:tc>
          <w:tcPr>
            <w:tcW w:w="799" w:type="dxa"/>
            <w:tcBorders>
              <w:top w:val="nil"/>
              <w:left w:val="nil"/>
              <w:bottom w:val="single" w:sz="4" w:space="0" w:color="auto"/>
              <w:right w:val="single" w:sz="4" w:space="0" w:color="auto"/>
            </w:tcBorders>
            <w:shd w:val="clear" w:color="auto" w:fill="auto"/>
            <w:noWrap/>
            <w:vAlign w:val="center"/>
            <w:hideMark/>
          </w:tcPr>
          <w:p w:rsidR="00CB2BD7" w:rsidRPr="00E97254" w:rsidRDefault="004E1F53" w:rsidP="000C0250">
            <w:pPr>
              <w:spacing w:after="0"/>
              <w:jc w:val="right"/>
              <w:rPr>
                <w:rFonts w:eastAsia="Times New Roman" w:cstheme="minorHAnsi"/>
                <w:color w:val="000000"/>
                <w:sz w:val="16"/>
                <w:szCs w:val="18"/>
              </w:rPr>
            </w:pPr>
            <w:r>
              <w:rPr>
                <w:rFonts w:eastAsia="Times New Roman" w:cstheme="minorHAnsi"/>
                <w:color w:val="000000"/>
                <w:sz w:val="16"/>
                <w:szCs w:val="18"/>
              </w:rPr>
              <w:t>13.97%</w:t>
            </w:r>
          </w:p>
        </w:tc>
      </w:tr>
      <w:tr w:rsidR="00CB2BD7" w:rsidRPr="00E97254" w:rsidTr="00E7729D">
        <w:trPr>
          <w:trHeight w:val="300"/>
        </w:trPr>
        <w:tc>
          <w:tcPr>
            <w:tcW w:w="1160" w:type="dxa"/>
            <w:tcBorders>
              <w:top w:val="nil"/>
              <w:left w:val="single" w:sz="4" w:space="0" w:color="auto"/>
              <w:bottom w:val="single" w:sz="4" w:space="0" w:color="auto"/>
              <w:right w:val="single" w:sz="4" w:space="0" w:color="auto"/>
            </w:tcBorders>
            <w:shd w:val="clear" w:color="auto" w:fill="auto"/>
            <w:noWrap/>
            <w:vAlign w:val="center"/>
            <w:hideMark/>
          </w:tcPr>
          <w:p w:rsidR="00CB2BD7" w:rsidRPr="00E97254" w:rsidRDefault="004E1F53" w:rsidP="000C0250">
            <w:pPr>
              <w:spacing w:after="0"/>
              <w:jc w:val="both"/>
              <w:rPr>
                <w:rFonts w:eastAsia="Times New Roman" w:cstheme="minorHAnsi"/>
                <w:color w:val="000000"/>
                <w:sz w:val="16"/>
                <w:szCs w:val="18"/>
              </w:rPr>
            </w:pPr>
            <w:r>
              <w:rPr>
                <w:rFonts w:eastAsia="Times New Roman" w:cstheme="minorHAnsi"/>
                <w:color w:val="000000"/>
                <w:sz w:val="16"/>
                <w:szCs w:val="18"/>
              </w:rPr>
              <w:t>6-14</w:t>
            </w:r>
          </w:p>
        </w:tc>
        <w:tc>
          <w:tcPr>
            <w:tcW w:w="971" w:type="dxa"/>
            <w:tcBorders>
              <w:top w:val="nil"/>
              <w:left w:val="nil"/>
              <w:bottom w:val="single" w:sz="4" w:space="0" w:color="auto"/>
              <w:right w:val="single" w:sz="4" w:space="0" w:color="auto"/>
            </w:tcBorders>
            <w:shd w:val="clear" w:color="auto" w:fill="auto"/>
            <w:noWrap/>
            <w:vAlign w:val="center"/>
            <w:hideMark/>
          </w:tcPr>
          <w:p w:rsidR="00CB2BD7" w:rsidRPr="00E97254" w:rsidRDefault="004E1F53" w:rsidP="000C0250">
            <w:pPr>
              <w:spacing w:after="0"/>
              <w:jc w:val="right"/>
              <w:rPr>
                <w:rFonts w:eastAsia="Times New Roman" w:cstheme="minorHAnsi"/>
                <w:color w:val="000000"/>
                <w:sz w:val="16"/>
                <w:szCs w:val="18"/>
              </w:rPr>
            </w:pPr>
            <w:r>
              <w:rPr>
                <w:rFonts w:eastAsia="Times New Roman" w:cstheme="minorHAnsi"/>
                <w:color w:val="000000"/>
                <w:sz w:val="16"/>
                <w:szCs w:val="18"/>
              </w:rPr>
              <w:t>293,316</w:t>
            </w:r>
          </w:p>
        </w:tc>
        <w:tc>
          <w:tcPr>
            <w:tcW w:w="971" w:type="dxa"/>
            <w:tcBorders>
              <w:top w:val="nil"/>
              <w:left w:val="nil"/>
              <w:bottom w:val="single" w:sz="4" w:space="0" w:color="auto"/>
              <w:right w:val="single" w:sz="4" w:space="0" w:color="auto"/>
            </w:tcBorders>
            <w:shd w:val="clear" w:color="auto" w:fill="auto"/>
            <w:noWrap/>
            <w:vAlign w:val="center"/>
            <w:hideMark/>
          </w:tcPr>
          <w:p w:rsidR="00CB2BD7" w:rsidRPr="00E97254" w:rsidRDefault="004E1F53" w:rsidP="000C0250">
            <w:pPr>
              <w:spacing w:after="0"/>
              <w:jc w:val="right"/>
              <w:rPr>
                <w:rFonts w:eastAsia="Times New Roman" w:cstheme="minorHAnsi"/>
                <w:color w:val="000000"/>
                <w:sz w:val="16"/>
                <w:szCs w:val="18"/>
              </w:rPr>
            </w:pPr>
            <w:r>
              <w:rPr>
                <w:rFonts w:eastAsia="Times New Roman" w:cstheme="minorHAnsi"/>
                <w:color w:val="000000"/>
                <w:sz w:val="16"/>
                <w:szCs w:val="18"/>
              </w:rPr>
              <w:t>266,811</w:t>
            </w:r>
          </w:p>
        </w:tc>
        <w:tc>
          <w:tcPr>
            <w:tcW w:w="799" w:type="dxa"/>
            <w:tcBorders>
              <w:top w:val="nil"/>
              <w:left w:val="nil"/>
              <w:bottom w:val="single" w:sz="4" w:space="0" w:color="auto"/>
              <w:right w:val="single" w:sz="4" w:space="0" w:color="auto"/>
            </w:tcBorders>
            <w:shd w:val="clear" w:color="auto" w:fill="auto"/>
            <w:noWrap/>
            <w:vAlign w:val="center"/>
            <w:hideMark/>
          </w:tcPr>
          <w:p w:rsidR="00CB2BD7" w:rsidRPr="00E97254" w:rsidRDefault="004E1F53" w:rsidP="000C0250">
            <w:pPr>
              <w:spacing w:after="0"/>
              <w:jc w:val="right"/>
              <w:rPr>
                <w:rFonts w:eastAsia="Times New Roman" w:cstheme="minorHAnsi"/>
                <w:color w:val="000000"/>
                <w:sz w:val="16"/>
                <w:szCs w:val="18"/>
              </w:rPr>
            </w:pPr>
            <w:r>
              <w:rPr>
                <w:rFonts w:eastAsia="Times New Roman" w:cstheme="minorHAnsi"/>
                <w:color w:val="000000"/>
                <w:sz w:val="16"/>
                <w:szCs w:val="18"/>
              </w:rPr>
              <w:t>-9.04%</w:t>
            </w:r>
          </w:p>
        </w:tc>
        <w:tc>
          <w:tcPr>
            <w:tcW w:w="985" w:type="dxa"/>
            <w:tcBorders>
              <w:top w:val="nil"/>
              <w:left w:val="nil"/>
              <w:bottom w:val="single" w:sz="4" w:space="0" w:color="auto"/>
              <w:right w:val="single" w:sz="4" w:space="0" w:color="auto"/>
            </w:tcBorders>
            <w:shd w:val="clear" w:color="auto" w:fill="auto"/>
            <w:noWrap/>
            <w:vAlign w:val="center"/>
            <w:hideMark/>
          </w:tcPr>
          <w:p w:rsidR="00CB2BD7" w:rsidRPr="00E97254" w:rsidRDefault="004E1F53" w:rsidP="000C0250">
            <w:pPr>
              <w:spacing w:after="0"/>
              <w:jc w:val="right"/>
              <w:rPr>
                <w:rFonts w:eastAsia="Times New Roman" w:cstheme="minorHAnsi"/>
                <w:color w:val="000000"/>
                <w:sz w:val="16"/>
                <w:szCs w:val="18"/>
              </w:rPr>
            </w:pPr>
            <w:r>
              <w:rPr>
                <w:rFonts w:eastAsia="Times New Roman" w:cstheme="minorHAnsi"/>
                <w:color w:val="000000"/>
                <w:sz w:val="16"/>
                <w:szCs w:val="18"/>
              </w:rPr>
              <w:t>293,640</w:t>
            </w:r>
          </w:p>
        </w:tc>
        <w:tc>
          <w:tcPr>
            <w:tcW w:w="985" w:type="dxa"/>
            <w:tcBorders>
              <w:top w:val="nil"/>
              <w:left w:val="nil"/>
              <w:bottom w:val="single" w:sz="4" w:space="0" w:color="auto"/>
              <w:right w:val="single" w:sz="4" w:space="0" w:color="auto"/>
            </w:tcBorders>
            <w:shd w:val="clear" w:color="auto" w:fill="auto"/>
            <w:noWrap/>
            <w:vAlign w:val="center"/>
            <w:hideMark/>
          </w:tcPr>
          <w:p w:rsidR="00CB2BD7" w:rsidRPr="00E97254" w:rsidRDefault="004E1F53" w:rsidP="000C0250">
            <w:pPr>
              <w:spacing w:after="0"/>
              <w:jc w:val="right"/>
              <w:rPr>
                <w:rFonts w:eastAsia="Times New Roman" w:cstheme="minorHAnsi"/>
                <w:color w:val="000000"/>
                <w:sz w:val="16"/>
                <w:szCs w:val="18"/>
              </w:rPr>
            </w:pPr>
            <w:r>
              <w:rPr>
                <w:rFonts w:eastAsia="Times New Roman" w:cstheme="minorHAnsi"/>
                <w:color w:val="000000"/>
                <w:sz w:val="16"/>
                <w:szCs w:val="18"/>
              </w:rPr>
              <w:t>271,414</w:t>
            </w:r>
          </w:p>
        </w:tc>
        <w:tc>
          <w:tcPr>
            <w:tcW w:w="810" w:type="dxa"/>
            <w:tcBorders>
              <w:top w:val="nil"/>
              <w:left w:val="nil"/>
              <w:bottom w:val="single" w:sz="4" w:space="0" w:color="auto"/>
              <w:right w:val="single" w:sz="4" w:space="0" w:color="auto"/>
            </w:tcBorders>
            <w:shd w:val="clear" w:color="auto" w:fill="auto"/>
            <w:noWrap/>
            <w:vAlign w:val="center"/>
            <w:hideMark/>
          </w:tcPr>
          <w:p w:rsidR="00CB2BD7" w:rsidRPr="00E97254" w:rsidRDefault="004E1F53" w:rsidP="000C0250">
            <w:pPr>
              <w:spacing w:after="0"/>
              <w:jc w:val="right"/>
              <w:rPr>
                <w:rFonts w:eastAsia="Times New Roman" w:cstheme="minorHAnsi"/>
                <w:color w:val="000000"/>
                <w:sz w:val="16"/>
                <w:szCs w:val="18"/>
              </w:rPr>
            </w:pPr>
            <w:r>
              <w:rPr>
                <w:rFonts w:eastAsia="Times New Roman" w:cstheme="minorHAnsi"/>
                <w:color w:val="000000"/>
                <w:sz w:val="16"/>
                <w:szCs w:val="18"/>
              </w:rPr>
              <w:t>-7.57%</w:t>
            </w:r>
          </w:p>
        </w:tc>
        <w:tc>
          <w:tcPr>
            <w:tcW w:w="971" w:type="dxa"/>
            <w:tcBorders>
              <w:top w:val="nil"/>
              <w:left w:val="nil"/>
              <w:bottom w:val="single" w:sz="4" w:space="0" w:color="auto"/>
              <w:right w:val="single" w:sz="4" w:space="0" w:color="auto"/>
            </w:tcBorders>
            <w:shd w:val="clear" w:color="auto" w:fill="auto"/>
            <w:noWrap/>
            <w:vAlign w:val="center"/>
            <w:hideMark/>
          </w:tcPr>
          <w:p w:rsidR="00CB2BD7" w:rsidRPr="00E97254" w:rsidRDefault="004E1F53" w:rsidP="000C0250">
            <w:pPr>
              <w:spacing w:after="0"/>
              <w:jc w:val="right"/>
              <w:rPr>
                <w:rFonts w:eastAsia="Times New Roman" w:cstheme="minorHAnsi"/>
                <w:color w:val="000000"/>
                <w:sz w:val="16"/>
                <w:szCs w:val="18"/>
              </w:rPr>
            </w:pPr>
            <w:r>
              <w:rPr>
                <w:rFonts w:eastAsia="Times New Roman" w:cstheme="minorHAnsi"/>
                <w:color w:val="000000"/>
                <w:sz w:val="16"/>
                <w:szCs w:val="18"/>
              </w:rPr>
              <w:t>294,031</w:t>
            </w:r>
          </w:p>
        </w:tc>
        <w:tc>
          <w:tcPr>
            <w:tcW w:w="971" w:type="dxa"/>
            <w:tcBorders>
              <w:top w:val="nil"/>
              <w:left w:val="nil"/>
              <w:bottom w:val="single" w:sz="4" w:space="0" w:color="auto"/>
              <w:right w:val="single" w:sz="4" w:space="0" w:color="auto"/>
            </w:tcBorders>
            <w:shd w:val="clear" w:color="auto" w:fill="auto"/>
            <w:noWrap/>
            <w:vAlign w:val="center"/>
            <w:hideMark/>
          </w:tcPr>
          <w:p w:rsidR="00CB2BD7" w:rsidRPr="00E97254" w:rsidRDefault="004E1F53" w:rsidP="000C0250">
            <w:pPr>
              <w:spacing w:after="0"/>
              <w:jc w:val="right"/>
              <w:rPr>
                <w:rFonts w:eastAsia="Times New Roman" w:cstheme="minorHAnsi"/>
                <w:color w:val="000000"/>
                <w:sz w:val="16"/>
                <w:szCs w:val="18"/>
              </w:rPr>
            </w:pPr>
            <w:r>
              <w:rPr>
                <w:rFonts w:eastAsia="Times New Roman" w:cstheme="minorHAnsi"/>
                <w:color w:val="000000"/>
                <w:sz w:val="16"/>
                <w:szCs w:val="18"/>
              </w:rPr>
              <w:t>276,723</w:t>
            </w:r>
          </w:p>
        </w:tc>
        <w:tc>
          <w:tcPr>
            <w:tcW w:w="799" w:type="dxa"/>
            <w:tcBorders>
              <w:top w:val="nil"/>
              <w:left w:val="nil"/>
              <w:bottom w:val="single" w:sz="4" w:space="0" w:color="auto"/>
              <w:right w:val="single" w:sz="4" w:space="0" w:color="auto"/>
            </w:tcBorders>
            <w:shd w:val="clear" w:color="auto" w:fill="auto"/>
            <w:noWrap/>
            <w:vAlign w:val="center"/>
            <w:hideMark/>
          </w:tcPr>
          <w:p w:rsidR="00CB2BD7" w:rsidRPr="00E97254" w:rsidRDefault="004E1F53" w:rsidP="000C0250">
            <w:pPr>
              <w:spacing w:after="0"/>
              <w:jc w:val="right"/>
              <w:rPr>
                <w:rFonts w:eastAsia="Times New Roman" w:cstheme="minorHAnsi"/>
                <w:color w:val="000000"/>
                <w:sz w:val="16"/>
                <w:szCs w:val="18"/>
              </w:rPr>
            </w:pPr>
            <w:r>
              <w:rPr>
                <w:rFonts w:eastAsia="Times New Roman" w:cstheme="minorHAnsi"/>
                <w:color w:val="000000"/>
                <w:sz w:val="16"/>
                <w:szCs w:val="18"/>
              </w:rPr>
              <w:t>-5.89%</w:t>
            </w:r>
          </w:p>
        </w:tc>
      </w:tr>
      <w:tr w:rsidR="00CB2BD7" w:rsidRPr="00E97254" w:rsidTr="00E7729D">
        <w:trPr>
          <w:trHeight w:val="300"/>
        </w:trPr>
        <w:tc>
          <w:tcPr>
            <w:tcW w:w="1160" w:type="dxa"/>
            <w:tcBorders>
              <w:top w:val="nil"/>
              <w:left w:val="single" w:sz="4" w:space="0" w:color="auto"/>
              <w:bottom w:val="single" w:sz="4" w:space="0" w:color="auto"/>
              <w:right w:val="single" w:sz="4" w:space="0" w:color="auto"/>
            </w:tcBorders>
            <w:shd w:val="clear" w:color="auto" w:fill="auto"/>
            <w:noWrap/>
            <w:vAlign w:val="center"/>
            <w:hideMark/>
          </w:tcPr>
          <w:p w:rsidR="00CB2BD7" w:rsidRPr="00E97254" w:rsidRDefault="004E1F53" w:rsidP="000C0250">
            <w:pPr>
              <w:spacing w:after="0"/>
              <w:jc w:val="both"/>
              <w:rPr>
                <w:rFonts w:eastAsia="Times New Roman" w:cstheme="minorHAnsi"/>
                <w:color w:val="000000"/>
                <w:sz w:val="16"/>
                <w:szCs w:val="18"/>
              </w:rPr>
            </w:pPr>
            <w:r>
              <w:rPr>
                <w:rFonts w:eastAsia="Times New Roman" w:cstheme="minorHAnsi"/>
                <w:color w:val="000000"/>
                <w:sz w:val="16"/>
                <w:szCs w:val="18"/>
              </w:rPr>
              <w:t>15-17</w:t>
            </w:r>
          </w:p>
        </w:tc>
        <w:tc>
          <w:tcPr>
            <w:tcW w:w="971" w:type="dxa"/>
            <w:tcBorders>
              <w:top w:val="nil"/>
              <w:left w:val="nil"/>
              <w:bottom w:val="single" w:sz="4" w:space="0" w:color="auto"/>
              <w:right w:val="single" w:sz="4" w:space="0" w:color="auto"/>
            </w:tcBorders>
            <w:shd w:val="clear" w:color="auto" w:fill="auto"/>
            <w:noWrap/>
            <w:vAlign w:val="center"/>
            <w:hideMark/>
          </w:tcPr>
          <w:p w:rsidR="00CB2BD7" w:rsidRPr="00E97254" w:rsidRDefault="004E1F53" w:rsidP="000C0250">
            <w:pPr>
              <w:spacing w:after="0"/>
              <w:jc w:val="right"/>
              <w:rPr>
                <w:rFonts w:eastAsia="Times New Roman" w:cstheme="minorHAnsi"/>
                <w:color w:val="000000"/>
                <w:sz w:val="16"/>
                <w:szCs w:val="18"/>
              </w:rPr>
            </w:pPr>
            <w:r>
              <w:rPr>
                <w:rFonts w:eastAsia="Times New Roman" w:cstheme="minorHAnsi"/>
                <w:color w:val="000000"/>
                <w:sz w:val="16"/>
                <w:szCs w:val="18"/>
              </w:rPr>
              <w:t>111,752</w:t>
            </w:r>
          </w:p>
        </w:tc>
        <w:tc>
          <w:tcPr>
            <w:tcW w:w="971" w:type="dxa"/>
            <w:tcBorders>
              <w:top w:val="nil"/>
              <w:left w:val="nil"/>
              <w:bottom w:val="single" w:sz="4" w:space="0" w:color="auto"/>
              <w:right w:val="single" w:sz="4" w:space="0" w:color="auto"/>
            </w:tcBorders>
            <w:shd w:val="clear" w:color="auto" w:fill="auto"/>
            <w:noWrap/>
            <w:vAlign w:val="center"/>
            <w:hideMark/>
          </w:tcPr>
          <w:p w:rsidR="00CB2BD7" w:rsidRPr="00E97254" w:rsidRDefault="004E1F53" w:rsidP="000C0250">
            <w:pPr>
              <w:spacing w:after="0"/>
              <w:jc w:val="right"/>
              <w:rPr>
                <w:rFonts w:eastAsia="Times New Roman" w:cstheme="minorHAnsi"/>
                <w:color w:val="000000"/>
                <w:sz w:val="16"/>
                <w:szCs w:val="18"/>
              </w:rPr>
            </w:pPr>
            <w:r>
              <w:rPr>
                <w:rFonts w:eastAsia="Times New Roman" w:cstheme="minorHAnsi"/>
                <w:color w:val="000000"/>
                <w:sz w:val="16"/>
                <w:szCs w:val="18"/>
              </w:rPr>
              <w:t>93,183</w:t>
            </w:r>
          </w:p>
        </w:tc>
        <w:tc>
          <w:tcPr>
            <w:tcW w:w="799" w:type="dxa"/>
            <w:tcBorders>
              <w:top w:val="nil"/>
              <w:left w:val="nil"/>
              <w:bottom w:val="single" w:sz="4" w:space="0" w:color="auto"/>
              <w:right w:val="single" w:sz="4" w:space="0" w:color="auto"/>
            </w:tcBorders>
            <w:shd w:val="clear" w:color="auto" w:fill="auto"/>
            <w:noWrap/>
            <w:vAlign w:val="center"/>
            <w:hideMark/>
          </w:tcPr>
          <w:p w:rsidR="00CB2BD7" w:rsidRPr="00E97254" w:rsidRDefault="004E1F53" w:rsidP="000C0250">
            <w:pPr>
              <w:spacing w:after="0"/>
              <w:jc w:val="right"/>
              <w:rPr>
                <w:rFonts w:eastAsia="Times New Roman" w:cstheme="minorHAnsi"/>
                <w:color w:val="000000"/>
                <w:sz w:val="16"/>
                <w:szCs w:val="18"/>
              </w:rPr>
            </w:pPr>
            <w:r>
              <w:rPr>
                <w:rFonts w:eastAsia="Times New Roman" w:cstheme="minorHAnsi"/>
                <w:color w:val="000000"/>
                <w:sz w:val="16"/>
                <w:szCs w:val="18"/>
              </w:rPr>
              <w:t>-16.62%</w:t>
            </w:r>
          </w:p>
        </w:tc>
        <w:tc>
          <w:tcPr>
            <w:tcW w:w="985" w:type="dxa"/>
            <w:tcBorders>
              <w:top w:val="nil"/>
              <w:left w:val="nil"/>
              <w:bottom w:val="single" w:sz="4" w:space="0" w:color="auto"/>
              <w:right w:val="single" w:sz="4" w:space="0" w:color="auto"/>
            </w:tcBorders>
            <w:shd w:val="clear" w:color="auto" w:fill="auto"/>
            <w:noWrap/>
            <w:vAlign w:val="center"/>
            <w:hideMark/>
          </w:tcPr>
          <w:p w:rsidR="00CB2BD7" w:rsidRPr="00E97254" w:rsidRDefault="004E1F53" w:rsidP="000C0250">
            <w:pPr>
              <w:spacing w:after="0"/>
              <w:jc w:val="right"/>
              <w:rPr>
                <w:rFonts w:eastAsia="Times New Roman" w:cstheme="minorHAnsi"/>
                <w:color w:val="000000"/>
                <w:sz w:val="16"/>
                <w:szCs w:val="18"/>
              </w:rPr>
            </w:pPr>
            <w:r>
              <w:rPr>
                <w:rFonts w:eastAsia="Times New Roman" w:cstheme="minorHAnsi"/>
                <w:color w:val="000000"/>
                <w:sz w:val="16"/>
                <w:szCs w:val="18"/>
              </w:rPr>
              <w:t>111,873</w:t>
            </w:r>
          </w:p>
        </w:tc>
        <w:tc>
          <w:tcPr>
            <w:tcW w:w="985" w:type="dxa"/>
            <w:tcBorders>
              <w:top w:val="nil"/>
              <w:left w:val="nil"/>
              <w:bottom w:val="single" w:sz="4" w:space="0" w:color="auto"/>
              <w:right w:val="single" w:sz="4" w:space="0" w:color="auto"/>
            </w:tcBorders>
            <w:shd w:val="clear" w:color="auto" w:fill="auto"/>
            <w:noWrap/>
            <w:vAlign w:val="center"/>
            <w:hideMark/>
          </w:tcPr>
          <w:p w:rsidR="00CB2BD7" w:rsidRPr="00E97254" w:rsidRDefault="004E1F53" w:rsidP="000C0250">
            <w:pPr>
              <w:spacing w:after="0"/>
              <w:jc w:val="right"/>
              <w:rPr>
                <w:rFonts w:eastAsia="Times New Roman" w:cstheme="minorHAnsi"/>
                <w:color w:val="000000"/>
                <w:sz w:val="16"/>
                <w:szCs w:val="18"/>
              </w:rPr>
            </w:pPr>
            <w:r>
              <w:rPr>
                <w:rFonts w:eastAsia="Times New Roman" w:cstheme="minorHAnsi"/>
                <w:color w:val="000000"/>
                <w:sz w:val="16"/>
                <w:szCs w:val="18"/>
              </w:rPr>
              <w:t>94,067</w:t>
            </w:r>
          </w:p>
        </w:tc>
        <w:tc>
          <w:tcPr>
            <w:tcW w:w="810" w:type="dxa"/>
            <w:tcBorders>
              <w:top w:val="nil"/>
              <w:left w:val="nil"/>
              <w:bottom w:val="single" w:sz="4" w:space="0" w:color="auto"/>
              <w:right w:val="single" w:sz="4" w:space="0" w:color="auto"/>
            </w:tcBorders>
            <w:shd w:val="clear" w:color="auto" w:fill="auto"/>
            <w:noWrap/>
            <w:vAlign w:val="center"/>
            <w:hideMark/>
          </w:tcPr>
          <w:p w:rsidR="00CB2BD7" w:rsidRPr="00E97254" w:rsidRDefault="004E1F53" w:rsidP="000C0250">
            <w:pPr>
              <w:spacing w:after="0"/>
              <w:jc w:val="right"/>
              <w:rPr>
                <w:rFonts w:eastAsia="Times New Roman" w:cstheme="minorHAnsi"/>
                <w:color w:val="000000"/>
                <w:sz w:val="16"/>
                <w:szCs w:val="18"/>
              </w:rPr>
            </w:pPr>
            <w:r>
              <w:rPr>
                <w:rFonts w:eastAsia="Times New Roman" w:cstheme="minorHAnsi"/>
                <w:color w:val="000000"/>
                <w:sz w:val="16"/>
                <w:szCs w:val="18"/>
              </w:rPr>
              <w:t>-15.92%</w:t>
            </w:r>
          </w:p>
        </w:tc>
        <w:tc>
          <w:tcPr>
            <w:tcW w:w="971" w:type="dxa"/>
            <w:tcBorders>
              <w:top w:val="nil"/>
              <w:left w:val="nil"/>
              <w:bottom w:val="single" w:sz="4" w:space="0" w:color="auto"/>
              <w:right w:val="single" w:sz="4" w:space="0" w:color="auto"/>
            </w:tcBorders>
            <w:shd w:val="clear" w:color="auto" w:fill="auto"/>
            <w:noWrap/>
            <w:vAlign w:val="center"/>
            <w:hideMark/>
          </w:tcPr>
          <w:p w:rsidR="00CB2BD7" w:rsidRPr="00E97254" w:rsidRDefault="004E1F53" w:rsidP="000C0250">
            <w:pPr>
              <w:spacing w:after="0"/>
              <w:jc w:val="right"/>
              <w:rPr>
                <w:rFonts w:eastAsia="Times New Roman" w:cstheme="minorHAnsi"/>
                <w:color w:val="000000"/>
                <w:sz w:val="16"/>
                <w:szCs w:val="18"/>
              </w:rPr>
            </w:pPr>
            <w:r>
              <w:rPr>
                <w:rFonts w:eastAsia="Times New Roman" w:cstheme="minorHAnsi"/>
                <w:color w:val="000000"/>
                <w:sz w:val="16"/>
                <w:szCs w:val="18"/>
              </w:rPr>
              <w:t>112,011</w:t>
            </w:r>
          </w:p>
        </w:tc>
        <w:tc>
          <w:tcPr>
            <w:tcW w:w="971" w:type="dxa"/>
            <w:tcBorders>
              <w:top w:val="nil"/>
              <w:left w:val="nil"/>
              <w:bottom w:val="single" w:sz="4" w:space="0" w:color="auto"/>
              <w:right w:val="single" w:sz="4" w:space="0" w:color="auto"/>
            </w:tcBorders>
            <w:shd w:val="clear" w:color="auto" w:fill="auto"/>
            <w:noWrap/>
            <w:vAlign w:val="center"/>
            <w:hideMark/>
          </w:tcPr>
          <w:p w:rsidR="00CB2BD7" w:rsidRPr="00E97254" w:rsidRDefault="004E1F53" w:rsidP="000C0250">
            <w:pPr>
              <w:spacing w:after="0"/>
              <w:jc w:val="right"/>
              <w:rPr>
                <w:rFonts w:eastAsia="Times New Roman" w:cstheme="minorHAnsi"/>
                <w:color w:val="000000"/>
                <w:sz w:val="16"/>
                <w:szCs w:val="18"/>
              </w:rPr>
            </w:pPr>
            <w:r>
              <w:rPr>
                <w:rFonts w:eastAsia="Times New Roman" w:cstheme="minorHAnsi"/>
                <w:color w:val="000000"/>
                <w:sz w:val="16"/>
                <w:szCs w:val="18"/>
              </w:rPr>
              <w:t>95,113</w:t>
            </w:r>
          </w:p>
        </w:tc>
        <w:tc>
          <w:tcPr>
            <w:tcW w:w="799" w:type="dxa"/>
            <w:tcBorders>
              <w:top w:val="nil"/>
              <w:left w:val="nil"/>
              <w:bottom w:val="single" w:sz="4" w:space="0" w:color="auto"/>
              <w:right w:val="single" w:sz="4" w:space="0" w:color="auto"/>
            </w:tcBorders>
            <w:shd w:val="clear" w:color="auto" w:fill="auto"/>
            <w:noWrap/>
            <w:vAlign w:val="center"/>
            <w:hideMark/>
          </w:tcPr>
          <w:p w:rsidR="00CB2BD7" w:rsidRPr="00E97254" w:rsidRDefault="004E1F53" w:rsidP="000C0250">
            <w:pPr>
              <w:spacing w:after="0"/>
              <w:jc w:val="right"/>
              <w:rPr>
                <w:rFonts w:eastAsia="Times New Roman" w:cstheme="minorHAnsi"/>
                <w:color w:val="000000"/>
                <w:sz w:val="16"/>
                <w:szCs w:val="18"/>
              </w:rPr>
            </w:pPr>
            <w:r>
              <w:rPr>
                <w:rFonts w:eastAsia="Times New Roman" w:cstheme="minorHAnsi"/>
                <w:color w:val="000000"/>
                <w:sz w:val="16"/>
                <w:szCs w:val="18"/>
              </w:rPr>
              <w:t>-15.09%</w:t>
            </w:r>
          </w:p>
        </w:tc>
      </w:tr>
      <w:tr w:rsidR="00CB2BD7" w:rsidRPr="00E97254" w:rsidTr="00E7729D">
        <w:trPr>
          <w:trHeight w:val="300"/>
        </w:trPr>
        <w:tc>
          <w:tcPr>
            <w:tcW w:w="1160" w:type="dxa"/>
            <w:tcBorders>
              <w:top w:val="nil"/>
              <w:left w:val="single" w:sz="4" w:space="0" w:color="auto"/>
              <w:bottom w:val="single" w:sz="4" w:space="0" w:color="auto"/>
              <w:right w:val="single" w:sz="4" w:space="0" w:color="auto"/>
            </w:tcBorders>
            <w:shd w:val="clear" w:color="auto" w:fill="auto"/>
            <w:noWrap/>
            <w:vAlign w:val="center"/>
            <w:hideMark/>
          </w:tcPr>
          <w:p w:rsidR="00CB2BD7" w:rsidRPr="00E97254" w:rsidRDefault="004E1F53" w:rsidP="000C0250">
            <w:pPr>
              <w:spacing w:after="0"/>
              <w:jc w:val="both"/>
              <w:rPr>
                <w:rFonts w:eastAsia="Times New Roman" w:cstheme="minorHAnsi"/>
                <w:color w:val="000000"/>
                <w:sz w:val="16"/>
                <w:szCs w:val="18"/>
              </w:rPr>
            </w:pPr>
            <w:r>
              <w:rPr>
                <w:rFonts w:eastAsia="Times New Roman" w:cstheme="minorHAnsi"/>
                <w:color w:val="000000"/>
                <w:sz w:val="16"/>
                <w:szCs w:val="18"/>
              </w:rPr>
              <w:t>18-24</w:t>
            </w:r>
          </w:p>
        </w:tc>
        <w:tc>
          <w:tcPr>
            <w:tcW w:w="971" w:type="dxa"/>
            <w:tcBorders>
              <w:top w:val="nil"/>
              <w:left w:val="nil"/>
              <w:bottom w:val="single" w:sz="4" w:space="0" w:color="auto"/>
              <w:right w:val="single" w:sz="4" w:space="0" w:color="auto"/>
            </w:tcBorders>
            <w:shd w:val="clear" w:color="auto" w:fill="auto"/>
            <w:noWrap/>
            <w:vAlign w:val="center"/>
            <w:hideMark/>
          </w:tcPr>
          <w:p w:rsidR="00CB2BD7" w:rsidRPr="00E97254" w:rsidRDefault="004E1F53" w:rsidP="000C0250">
            <w:pPr>
              <w:spacing w:after="0"/>
              <w:jc w:val="right"/>
              <w:rPr>
                <w:rFonts w:eastAsia="Times New Roman" w:cstheme="minorHAnsi"/>
                <w:color w:val="000000"/>
                <w:sz w:val="16"/>
                <w:szCs w:val="18"/>
              </w:rPr>
            </w:pPr>
            <w:r>
              <w:rPr>
                <w:rFonts w:eastAsia="Times New Roman" w:cstheme="minorHAnsi"/>
                <w:color w:val="000000"/>
                <w:sz w:val="16"/>
                <w:szCs w:val="18"/>
              </w:rPr>
              <w:t>296,907</w:t>
            </w:r>
          </w:p>
        </w:tc>
        <w:tc>
          <w:tcPr>
            <w:tcW w:w="971" w:type="dxa"/>
            <w:tcBorders>
              <w:top w:val="nil"/>
              <w:left w:val="nil"/>
              <w:bottom w:val="single" w:sz="4" w:space="0" w:color="auto"/>
              <w:right w:val="single" w:sz="4" w:space="0" w:color="auto"/>
            </w:tcBorders>
            <w:shd w:val="clear" w:color="auto" w:fill="auto"/>
            <w:noWrap/>
            <w:vAlign w:val="center"/>
            <w:hideMark/>
          </w:tcPr>
          <w:p w:rsidR="00CB2BD7" w:rsidRPr="00E97254" w:rsidRDefault="004E1F53" w:rsidP="000C0250">
            <w:pPr>
              <w:spacing w:after="0"/>
              <w:jc w:val="right"/>
              <w:rPr>
                <w:rFonts w:eastAsia="Times New Roman" w:cstheme="minorHAnsi"/>
                <w:color w:val="000000"/>
                <w:sz w:val="16"/>
                <w:szCs w:val="18"/>
              </w:rPr>
            </w:pPr>
            <w:r>
              <w:rPr>
                <w:rFonts w:eastAsia="Times New Roman" w:cstheme="minorHAnsi"/>
                <w:color w:val="000000"/>
                <w:sz w:val="16"/>
                <w:szCs w:val="18"/>
              </w:rPr>
              <w:t>235,648</w:t>
            </w:r>
          </w:p>
        </w:tc>
        <w:tc>
          <w:tcPr>
            <w:tcW w:w="799" w:type="dxa"/>
            <w:tcBorders>
              <w:top w:val="nil"/>
              <w:left w:val="nil"/>
              <w:bottom w:val="single" w:sz="4" w:space="0" w:color="auto"/>
              <w:right w:val="single" w:sz="4" w:space="0" w:color="auto"/>
            </w:tcBorders>
            <w:shd w:val="clear" w:color="auto" w:fill="auto"/>
            <w:noWrap/>
            <w:vAlign w:val="center"/>
            <w:hideMark/>
          </w:tcPr>
          <w:p w:rsidR="00CB2BD7" w:rsidRPr="00E97254" w:rsidRDefault="004E1F53" w:rsidP="000C0250">
            <w:pPr>
              <w:spacing w:after="0"/>
              <w:jc w:val="right"/>
              <w:rPr>
                <w:rFonts w:eastAsia="Times New Roman" w:cstheme="minorHAnsi"/>
                <w:color w:val="000000"/>
                <w:sz w:val="16"/>
                <w:szCs w:val="18"/>
              </w:rPr>
            </w:pPr>
            <w:r>
              <w:rPr>
                <w:rFonts w:eastAsia="Times New Roman" w:cstheme="minorHAnsi"/>
                <w:color w:val="000000"/>
                <w:sz w:val="16"/>
                <w:szCs w:val="18"/>
              </w:rPr>
              <w:t>-20.63%</w:t>
            </w:r>
          </w:p>
        </w:tc>
        <w:tc>
          <w:tcPr>
            <w:tcW w:w="985" w:type="dxa"/>
            <w:tcBorders>
              <w:top w:val="nil"/>
              <w:left w:val="nil"/>
              <w:bottom w:val="single" w:sz="4" w:space="0" w:color="auto"/>
              <w:right w:val="single" w:sz="4" w:space="0" w:color="auto"/>
            </w:tcBorders>
            <w:shd w:val="clear" w:color="auto" w:fill="auto"/>
            <w:noWrap/>
            <w:vAlign w:val="center"/>
            <w:hideMark/>
          </w:tcPr>
          <w:p w:rsidR="00CB2BD7" w:rsidRPr="00E97254" w:rsidRDefault="004E1F53" w:rsidP="000C0250">
            <w:pPr>
              <w:spacing w:after="0"/>
              <w:jc w:val="right"/>
              <w:rPr>
                <w:rFonts w:eastAsia="Times New Roman" w:cstheme="minorHAnsi"/>
                <w:color w:val="000000"/>
                <w:sz w:val="16"/>
                <w:szCs w:val="18"/>
              </w:rPr>
            </w:pPr>
            <w:r>
              <w:rPr>
                <w:rFonts w:eastAsia="Times New Roman" w:cstheme="minorHAnsi"/>
                <w:color w:val="000000"/>
                <w:sz w:val="16"/>
                <w:szCs w:val="18"/>
              </w:rPr>
              <w:t>297,552</w:t>
            </w:r>
          </w:p>
        </w:tc>
        <w:tc>
          <w:tcPr>
            <w:tcW w:w="985" w:type="dxa"/>
            <w:tcBorders>
              <w:top w:val="nil"/>
              <w:left w:val="nil"/>
              <w:bottom w:val="single" w:sz="4" w:space="0" w:color="auto"/>
              <w:right w:val="single" w:sz="4" w:space="0" w:color="auto"/>
            </w:tcBorders>
            <w:shd w:val="clear" w:color="auto" w:fill="auto"/>
            <w:noWrap/>
            <w:vAlign w:val="center"/>
            <w:hideMark/>
          </w:tcPr>
          <w:p w:rsidR="00CB2BD7" w:rsidRPr="00E97254" w:rsidRDefault="004E1F53" w:rsidP="000C0250">
            <w:pPr>
              <w:spacing w:after="0"/>
              <w:jc w:val="right"/>
              <w:rPr>
                <w:rFonts w:eastAsia="Times New Roman" w:cstheme="minorHAnsi"/>
                <w:color w:val="000000"/>
                <w:sz w:val="16"/>
                <w:szCs w:val="18"/>
              </w:rPr>
            </w:pPr>
            <w:r>
              <w:rPr>
                <w:rFonts w:eastAsia="Times New Roman" w:cstheme="minorHAnsi"/>
                <w:color w:val="000000"/>
                <w:sz w:val="16"/>
                <w:szCs w:val="18"/>
              </w:rPr>
              <w:t>239,729</w:t>
            </w:r>
          </w:p>
        </w:tc>
        <w:tc>
          <w:tcPr>
            <w:tcW w:w="810" w:type="dxa"/>
            <w:tcBorders>
              <w:top w:val="nil"/>
              <w:left w:val="nil"/>
              <w:bottom w:val="single" w:sz="4" w:space="0" w:color="auto"/>
              <w:right w:val="single" w:sz="4" w:space="0" w:color="auto"/>
            </w:tcBorders>
            <w:shd w:val="clear" w:color="auto" w:fill="auto"/>
            <w:noWrap/>
            <w:vAlign w:val="center"/>
            <w:hideMark/>
          </w:tcPr>
          <w:p w:rsidR="00CB2BD7" w:rsidRPr="00E97254" w:rsidRDefault="004E1F53" w:rsidP="000C0250">
            <w:pPr>
              <w:spacing w:after="0"/>
              <w:jc w:val="right"/>
              <w:rPr>
                <w:rFonts w:eastAsia="Times New Roman" w:cstheme="minorHAnsi"/>
                <w:color w:val="000000"/>
                <w:sz w:val="16"/>
                <w:szCs w:val="18"/>
              </w:rPr>
            </w:pPr>
            <w:r>
              <w:rPr>
                <w:rFonts w:eastAsia="Times New Roman" w:cstheme="minorHAnsi"/>
                <w:color w:val="000000"/>
                <w:sz w:val="16"/>
                <w:szCs w:val="18"/>
              </w:rPr>
              <w:t>-19.43%</w:t>
            </w:r>
          </w:p>
        </w:tc>
        <w:tc>
          <w:tcPr>
            <w:tcW w:w="971" w:type="dxa"/>
            <w:tcBorders>
              <w:top w:val="nil"/>
              <w:left w:val="nil"/>
              <w:bottom w:val="single" w:sz="4" w:space="0" w:color="auto"/>
              <w:right w:val="single" w:sz="4" w:space="0" w:color="auto"/>
            </w:tcBorders>
            <w:shd w:val="clear" w:color="auto" w:fill="auto"/>
            <w:noWrap/>
            <w:vAlign w:val="center"/>
            <w:hideMark/>
          </w:tcPr>
          <w:p w:rsidR="00CB2BD7" w:rsidRPr="00E97254" w:rsidRDefault="004E1F53" w:rsidP="000C0250">
            <w:pPr>
              <w:spacing w:after="0"/>
              <w:jc w:val="right"/>
              <w:rPr>
                <w:rFonts w:eastAsia="Times New Roman" w:cstheme="minorHAnsi"/>
                <w:color w:val="000000"/>
                <w:sz w:val="16"/>
                <w:szCs w:val="18"/>
              </w:rPr>
            </w:pPr>
            <w:r>
              <w:rPr>
                <w:rFonts w:eastAsia="Times New Roman" w:cstheme="minorHAnsi"/>
                <w:color w:val="000000"/>
                <w:sz w:val="16"/>
                <w:szCs w:val="18"/>
              </w:rPr>
              <w:t>298,284</w:t>
            </w:r>
          </w:p>
        </w:tc>
        <w:tc>
          <w:tcPr>
            <w:tcW w:w="971" w:type="dxa"/>
            <w:tcBorders>
              <w:top w:val="nil"/>
              <w:left w:val="nil"/>
              <w:bottom w:val="single" w:sz="4" w:space="0" w:color="auto"/>
              <w:right w:val="single" w:sz="4" w:space="0" w:color="auto"/>
            </w:tcBorders>
            <w:shd w:val="clear" w:color="auto" w:fill="auto"/>
            <w:noWrap/>
            <w:vAlign w:val="center"/>
            <w:hideMark/>
          </w:tcPr>
          <w:p w:rsidR="00CB2BD7" w:rsidRPr="00E97254" w:rsidRDefault="004E1F53" w:rsidP="000C0250">
            <w:pPr>
              <w:spacing w:after="0"/>
              <w:jc w:val="right"/>
              <w:rPr>
                <w:rFonts w:eastAsia="Times New Roman" w:cstheme="minorHAnsi"/>
                <w:color w:val="000000"/>
                <w:sz w:val="16"/>
                <w:szCs w:val="18"/>
              </w:rPr>
            </w:pPr>
            <w:r>
              <w:rPr>
                <w:rFonts w:eastAsia="Times New Roman" w:cstheme="minorHAnsi"/>
                <w:color w:val="000000"/>
                <w:sz w:val="16"/>
                <w:szCs w:val="18"/>
              </w:rPr>
              <w:t>244,473</w:t>
            </w:r>
          </w:p>
        </w:tc>
        <w:tc>
          <w:tcPr>
            <w:tcW w:w="799" w:type="dxa"/>
            <w:tcBorders>
              <w:top w:val="nil"/>
              <w:left w:val="nil"/>
              <w:bottom w:val="single" w:sz="4" w:space="0" w:color="auto"/>
              <w:right w:val="single" w:sz="4" w:space="0" w:color="auto"/>
            </w:tcBorders>
            <w:shd w:val="clear" w:color="auto" w:fill="auto"/>
            <w:noWrap/>
            <w:vAlign w:val="center"/>
            <w:hideMark/>
          </w:tcPr>
          <w:p w:rsidR="00CB2BD7" w:rsidRPr="00E97254" w:rsidRDefault="004E1F53" w:rsidP="000C0250">
            <w:pPr>
              <w:spacing w:after="0"/>
              <w:jc w:val="right"/>
              <w:rPr>
                <w:rFonts w:eastAsia="Times New Roman" w:cstheme="minorHAnsi"/>
                <w:color w:val="000000"/>
                <w:sz w:val="16"/>
                <w:szCs w:val="18"/>
              </w:rPr>
            </w:pPr>
            <w:r>
              <w:rPr>
                <w:rFonts w:eastAsia="Times New Roman" w:cstheme="minorHAnsi"/>
                <w:color w:val="000000"/>
                <w:sz w:val="16"/>
                <w:szCs w:val="18"/>
              </w:rPr>
              <w:t>-18.04%</w:t>
            </w:r>
          </w:p>
        </w:tc>
      </w:tr>
      <w:tr w:rsidR="00CB2BD7" w:rsidRPr="00E97254" w:rsidTr="00E7729D">
        <w:trPr>
          <w:trHeight w:val="300"/>
        </w:trPr>
        <w:tc>
          <w:tcPr>
            <w:tcW w:w="1160" w:type="dxa"/>
            <w:tcBorders>
              <w:top w:val="nil"/>
              <w:left w:val="single" w:sz="4" w:space="0" w:color="auto"/>
              <w:bottom w:val="single" w:sz="4" w:space="0" w:color="auto"/>
              <w:right w:val="single" w:sz="4" w:space="0" w:color="auto"/>
            </w:tcBorders>
            <w:shd w:val="clear" w:color="000000" w:fill="D9D9D9"/>
            <w:noWrap/>
            <w:vAlign w:val="center"/>
            <w:hideMark/>
          </w:tcPr>
          <w:p w:rsidR="00CB2BD7" w:rsidRPr="00E97254" w:rsidRDefault="004E1F53" w:rsidP="000C0250">
            <w:pPr>
              <w:spacing w:after="0"/>
              <w:jc w:val="both"/>
              <w:rPr>
                <w:rFonts w:eastAsia="Times New Roman" w:cstheme="minorHAnsi"/>
                <w:color w:val="000000"/>
                <w:sz w:val="16"/>
                <w:szCs w:val="18"/>
              </w:rPr>
            </w:pPr>
            <w:r>
              <w:rPr>
                <w:rFonts w:eastAsia="Times New Roman" w:cstheme="minorHAnsi"/>
                <w:color w:val="000000"/>
                <w:sz w:val="16"/>
                <w:szCs w:val="18"/>
              </w:rPr>
              <w:t>0-24</w:t>
            </w:r>
          </w:p>
        </w:tc>
        <w:tc>
          <w:tcPr>
            <w:tcW w:w="971" w:type="dxa"/>
            <w:tcBorders>
              <w:top w:val="nil"/>
              <w:left w:val="nil"/>
              <w:bottom w:val="single" w:sz="4" w:space="0" w:color="auto"/>
              <w:right w:val="single" w:sz="4" w:space="0" w:color="auto"/>
            </w:tcBorders>
            <w:shd w:val="clear" w:color="000000" w:fill="D9D9D9"/>
            <w:noWrap/>
            <w:vAlign w:val="center"/>
            <w:hideMark/>
          </w:tcPr>
          <w:p w:rsidR="00CB2BD7" w:rsidRPr="00E97254" w:rsidRDefault="004E1F53" w:rsidP="000C0250">
            <w:pPr>
              <w:spacing w:after="0"/>
              <w:jc w:val="right"/>
              <w:rPr>
                <w:rFonts w:eastAsia="Times New Roman" w:cstheme="minorHAnsi"/>
                <w:color w:val="000000"/>
                <w:sz w:val="16"/>
                <w:szCs w:val="18"/>
              </w:rPr>
            </w:pPr>
            <w:r>
              <w:rPr>
                <w:rFonts w:eastAsia="Times New Roman" w:cstheme="minorHAnsi"/>
                <w:color w:val="000000"/>
                <w:sz w:val="16"/>
                <w:szCs w:val="18"/>
              </w:rPr>
              <w:t>877,211</w:t>
            </w:r>
          </w:p>
        </w:tc>
        <w:tc>
          <w:tcPr>
            <w:tcW w:w="971" w:type="dxa"/>
            <w:tcBorders>
              <w:top w:val="nil"/>
              <w:left w:val="nil"/>
              <w:bottom w:val="single" w:sz="4" w:space="0" w:color="auto"/>
              <w:right w:val="single" w:sz="4" w:space="0" w:color="auto"/>
            </w:tcBorders>
            <w:shd w:val="clear" w:color="000000" w:fill="D9D9D9"/>
            <w:noWrap/>
            <w:vAlign w:val="center"/>
            <w:hideMark/>
          </w:tcPr>
          <w:p w:rsidR="00CB2BD7" w:rsidRPr="00E97254" w:rsidRDefault="004E1F53" w:rsidP="000C0250">
            <w:pPr>
              <w:spacing w:after="0"/>
              <w:jc w:val="right"/>
              <w:rPr>
                <w:rFonts w:eastAsia="Times New Roman" w:cstheme="minorHAnsi"/>
                <w:color w:val="000000"/>
                <w:sz w:val="16"/>
                <w:szCs w:val="18"/>
              </w:rPr>
            </w:pPr>
            <w:r>
              <w:rPr>
                <w:rFonts w:eastAsia="Times New Roman" w:cstheme="minorHAnsi"/>
                <w:color w:val="000000"/>
                <w:sz w:val="16"/>
                <w:szCs w:val="18"/>
              </w:rPr>
              <w:t>752,412</w:t>
            </w:r>
          </w:p>
        </w:tc>
        <w:tc>
          <w:tcPr>
            <w:tcW w:w="799" w:type="dxa"/>
            <w:tcBorders>
              <w:top w:val="nil"/>
              <w:left w:val="nil"/>
              <w:bottom w:val="single" w:sz="4" w:space="0" w:color="auto"/>
              <w:right w:val="single" w:sz="4" w:space="0" w:color="auto"/>
            </w:tcBorders>
            <w:shd w:val="clear" w:color="000000" w:fill="D9D9D9"/>
            <w:noWrap/>
            <w:vAlign w:val="center"/>
            <w:hideMark/>
          </w:tcPr>
          <w:p w:rsidR="00CB2BD7" w:rsidRPr="00E97254" w:rsidRDefault="004E1F53" w:rsidP="000C0250">
            <w:pPr>
              <w:spacing w:after="0"/>
              <w:jc w:val="right"/>
              <w:rPr>
                <w:rFonts w:eastAsia="Times New Roman" w:cstheme="minorHAnsi"/>
                <w:color w:val="000000"/>
                <w:sz w:val="16"/>
                <w:szCs w:val="18"/>
              </w:rPr>
            </w:pPr>
            <w:r>
              <w:rPr>
                <w:rFonts w:eastAsia="Times New Roman" w:cstheme="minorHAnsi"/>
                <w:color w:val="000000"/>
                <w:sz w:val="16"/>
                <w:szCs w:val="18"/>
              </w:rPr>
              <w:t>-14.23%</w:t>
            </w:r>
          </w:p>
        </w:tc>
        <w:tc>
          <w:tcPr>
            <w:tcW w:w="985" w:type="dxa"/>
            <w:tcBorders>
              <w:top w:val="nil"/>
              <w:left w:val="nil"/>
              <w:bottom w:val="single" w:sz="4" w:space="0" w:color="auto"/>
              <w:right w:val="single" w:sz="4" w:space="0" w:color="auto"/>
            </w:tcBorders>
            <w:shd w:val="clear" w:color="000000" w:fill="D9D9D9"/>
            <w:noWrap/>
            <w:vAlign w:val="center"/>
            <w:hideMark/>
          </w:tcPr>
          <w:p w:rsidR="00CB2BD7" w:rsidRPr="00E97254" w:rsidRDefault="004E1F53" w:rsidP="000C0250">
            <w:pPr>
              <w:spacing w:after="0"/>
              <w:jc w:val="right"/>
              <w:rPr>
                <w:rFonts w:eastAsia="Times New Roman" w:cstheme="minorHAnsi"/>
                <w:color w:val="000000"/>
                <w:sz w:val="16"/>
                <w:szCs w:val="18"/>
              </w:rPr>
            </w:pPr>
            <w:r>
              <w:rPr>
                <w:rFonts w:eastAsia="Times New Roman" w:cstheme="minorHAnsi"/>
                <w:color w:val="000000"/>
                <w:sz w:val="16"/>
                <w:szCs w:val="18"/>
              </w:rPr>
              <w:t>882,963</w:t>
            </w:r>
          </w:p>
        </w:tc>
        <w:tc>
          <w:tcPr>
            <w:tcW w:w="985" w:type="dxa"/>
            <w:tcBorders>
              <w:top w:val="nil"/>
              <w:left w:val="nil"/>
              <w:bottom w:val="single" w:sz="4" w:space="0" w:color="auto"/>
              <w:right w:val="single" w:sz="4" w:space="0" w:color="auto"/>
            </w:tcBorders>
            <w:shd w:val="clear" w:color="000000" w:fill="D9D9D9"/>
            <w:noWrap/>
            <w:vAlign w:val="center"/>
            <w:hideMark/>
          </w:tcPr>
          <w:p w:rsidR="00CB2BD7" w:rsidRPr="00E97254" w:rsidRDefault="004E1F53" w:rsidP="000C0250">
            <w:pPr>
              <w:spacing w:after="0"/>
              <w:jc w:val="right"/>
              <w:rPr>
                <w:rFonts w:eastAsia="Times New Roman" w:cstheme="minorHAnsi"/>
                <w:color w:val="000000"/>
                <w:sz w:val="16"/>
                <w:szCs w:val="18"/>
              </w:rPr>
            </w:pPr>
            <w:r>
              <w:rPr>
                <w:rFonts w:eastAsia="Times New Roman" w:cstheme="minorHAnsi"/>
                <w:color w:val="000000"/>
                <w:sz w:val="16"/>
                <w:szCs w:val="18"/>
              </w:rPr>
              <w:t>788,160</w:t>
            </w:r>
          </w:p>
        </w:tc>
        <w:tc>
          <w:tcPr>
            <w:tcW w:w="810" w:type="dxa"/>
            <w:tcBorders>
              <w:top w:val="nil"/>
              <w:left w:val="nil"/>
              <w:bottom w:val="single" w:sz="4" w:space="0" w:color="auto"/>
              <w:right w:val="single" w:sz="4" w:space="0" w:color="auto"/>
            </w:tcBorders>
            <w:shd w:val="clear" w:color="000000" w:fill="D9D9D9"/>
            <w:noWrap/>
            <w:vAlign w:val="center"/>
            <w:hideMark/>
          </w:tcPr>
          <w:p w:rsidR="00CB2BD7" w:rsidRPr="00E97254" w:rsidRDefault="004E1F53" w:rsidP="000C0250">
            <w:pPr>
              <w:spacing w:after="0"/>
              <w:jc w:val="right"/>
              <w:rPr>
                <w:rFonts w:eastAsia="Times New Roman" w:cstheme="minorHAnsi"/>
                <w:color w:val="000000"/>
                <w:sz w:val="16"/>
                <w:szCs w:val="18"/>
              </w:rPr>
            </w:pPr>
            <w:r>
              <w:rPr>
                <w:rFonts w:eastAsia="Times New Roman" w:cstheme="minorHAnsi"/>
                <w:color w:val="000000"/>
                <w:sz w:val="16"/>
                <w:szCs w:val="18"/>
              </w:rPr>
              <w:t>-10.74%</w:t>
            </w:r>
          </w:p>
        </w:tc>
        <w:tc>
          <w:tcPr>
            <w:tcW w:w="971" w:type="dxa"/>
            <w:tcBorders>
              <w:top w:val="nil"/>
              <w:left w:val="nil"/>
              <w:bottom w:val="single" w:sz="4" w:space="0" w:color="auto"/>
              <w:right w:val="single" w:sz="4" w:space="0" w:color="auto"/>
            </w:tcBorders>
            <w:shd w:val="clear" w:color="000000" w:fill="D9D9D9"/>
            <w:noWrap/>
            <w:vAlign w:val="center"/>
            <w:hideMark/>
          </w:tcPr>
          <w:p w:rsidR="00CB2BD7" w:rsidRPr="00E97254" w:rsidRDefault="004E1F53" w:rsidP="000C0250">
            <w:pPr>
              <w:spacing w:after="0"/>
              <w:jc w:val="right"/>
              <w:rPr>
                <w:rFonts w:eastAsia="Times New Roman" w:cstheme="minorHAnsi"/>
                <w:color w:val="000000"/>
                <w:sz w:val="16"/>
                <w:szCs w:val="18"/>
              </w:rPr>
            </w:pPr>
            <w:r>
              <w:rPr>
                <w:rFonts w:eastAsia="Times New Roman" w:cstheme="minorHAnsi"/>
                <w:color w:val="000000"/>
                <w:sz w:val="16"/>
                <w:szCs w:val="18"/>
              </w:rPr>
              <w:t>888,949</w:t>
            </w:r>
          </w:p>
        </w:tc>
        <w:tc>
          <w:tcPr>
            <w:tcW w:w="971" w:type="dxa"/>
            <w:tcBorders>
              <w:top w:val="nil"/>
              <w:left w:val="nil"/>
              <w:bottom w:val="single" w:sz="4" w:space="0" w:color="auto"/>
              <w:right w:val="single" w:sz="4" w:space="0" w:color="auto"/>
            </w:tcBorders>
            <w:shd w:val="clear" w:color="000000" w:fill="D9D9D9"/>
            <w:noWrap/>
            <w:vAlign w:val="center"/>
            <w:hideMark/>
          </w:tcPr>
          <w:p w:rsidR="00CB2BD7" w:rsidRPr="00E97254" w:rsidRDefault="004E1F53" w:rsidP="000C0250">
            <w:pPr>
              <w:spacing w:after="0"/>
              <w:jc w:val="right"/>
              <w:rPr>
                <w:rFonts w:eastAsia="Times New Roman" w:cstheme="minorHAnsi"/>
                <w:color w:val="000000"/>
                <w:sz w:val="16"/>
                <w:szCs w:val="18"/>
              </w:rPr>
            </w:pPr>
            <w:r>
              <w:rPr>
                <w:rFonts w:eastAsia="Times New Roman" w:cstheme="minorHAnsi"/>
                <w:color w:val="000000"/>
                <w:sz w:val="16"/>
                <w:szCs w:val="18"/>
              </w:rPr>
              <w:t>826,716</w:t>
            </w:r>
          </w:p>
        </w:tc>
        <w:tc>
          <w:tcPr>
            <w:tcW w:w="799" w:type="dxa"/>
            <w:tcBorders>
              <w:top w:val="nil"/>
              <w:left w:val="nil"/>
              <w:bottom w:val="single" w:sz="4" w:space="0" w:color="auto"/>
              <w:right w:val="single" w:sz="4" w:space="0" w:color="auto"/>
            </w:tcBorders>
            <w:shd w:val="clear" w:color="000000" w:fill="D9D9D9"/>
            <w:noWrap/>
            <w:vAlign w:val="center"/>
            <w:hideMark/>
          </w:tcPr>
          <w:p w:rsidR="00CB2BD7" w:rsidRPr="00E97254" w:rsidRDefault="004E1F53" w:rsidP="000C0250">
            <w:pPr>
              <w:spacing w:after="0"/>
              <w:jc w:val="right"/>
              <w:rPr>
                <w:rFonts w:eastAsia="Times New Roman" w:cstheme="minorHAnsi"/>
                <w:color w:val="000000"/>
                <w:sz w:val="16"/>
                <w:szCs w:val="18"/>
              </w:rPr>
            </w:pPr>
            <w:r>
              <w:rPr>
                <w:rFonts w:eastAsia="Times New Roman" w:cstheme="minorHAnsi"/>
                <w:color w:val="000000"/>
                <w:sz w:val="16"/>
                <w:szCs w:val="18"/>
              </w:rPr>
              <w:t>-7.00%</w:t>
            </w:r>
          </w:p>
        </w:tc>
      </w:tr>
      <w:tr w:rsidR="00CB2BD7" w:rsidRPr="00E97254" w:rsidTr="00E7729D">
        <w:trPr>
          <w:trHeight w:val="300"/>
        </w:trPr>
        <w:tc>
          <w:tcPr>
            <w:tcW w:w="1160" w:type="dxa"/>
            <w:tcBorders>
              <w:top w:val="nil"/>
              <w:left w:val="single" w:sz="4" w:space="0" w:color="auto"/>
              <w:bottom w:val="single" w:sz="4" w:space="0" w:color="auto"/>
              <w:right w:val="single" w:sz="4" w:space="0" w:color="auto"/>
            </w:tcBorders>
            <w:shd w:val="clear" w:color="auto" w:fill="auto"/>
            <w:noWrap/>
            <w:vAlign w:val="center"/>
            <w:hideMark/>
          </w:tcPr>
          <w:p w:rsidR="00CB2BD7" w:rsidRPr="00E97254" w:rsidRDefault="004E1F53" w:rsidP="000C0250">
            <w:pPr>
              <w:spacing w:after="0"/>
              <w:jc w:val="both"/>
              <w:rPr>
                <w:rFonts w:eastAsia="Times New Roman" w:cstheme="minorHAnsi"/>
                <w:color w:val="000000"/>
                <w:sz w:val="16"/>
                <w:szCs w:val="18"/>
              </w:rPr>
            </w:pPr>
            <w:r>
              <w:rPr>
                <w:rFonts w:eastAsia="Times New Roman" w:cstheme="minorHAnsi"/>
                <w:color w:val="000000"/>
                <w:sz w:val="16"/>
                <w:szCs w:val="18"/>
              </w:rPr>
              <w:t>15-64</w:t>
            </w:r>
          </w:p>
        </w:tc>
        <w:tc>
          <w:tcPr>
            <w:tcW w:w="971" w:type="dxa"/>
            <w:tcBorders>
              <w:top w:val="nil"/>
              <w:left w:val="nil"/>
              <w:bottom w:val="single" w:sz="4" w:space="0" w:color="auto"/>
              <w:right w:val="single" w:sz="4" w:space="0" w:color="auto"/>
            </w:tcBorders>
            <w:shd w:val="clear" w:color="auto" w:fill="auto"/>
            <w:noWrap/>
            <w:vAlign w:val="center"/>
            <w:hideMark/>
          </w:tcPr>
          <w:p w:rsidR="00CB2BD7" w:rsidRPr="00E97254" w:rsidRDefault="004E1F53" w:rsidP="000C0250">
            <w:pPr>
              <w:spacing w:after="0"/>
              <w:jc w:val="right"/>
              <w:rPr>
                <w:rFonts w:eastAsia="Times New Roman" w:cstheme="minorHAnsi"/>
                <w:color w:val="000000"/>
                <w:sz w:val="16"/>
                <w:szCs w:val="18"/>
              </w:rPr>
            </w:pPr>
            <w:r>
              <w:rPr>
                <w:rFonts w:eastAsia="Times New Roman" w:cstheme="minorHAnsi"/>
                <w:color w:val="000000"/>
                <w:sz w:val="16"/>
                <w:szCs w:val="18"/>
              </w:rPr>
              <w:t>1,937,143</w:t>
            </w:r>
          </w:p>
        </w:tc>
        <w:tc>
          <w:tcPr>
            <w:tcW w:w="971" w:type="dxa"/>
            <w:tcBorders>
              <w:top w:val="nil"/>
              <w:left w:val="nil"/>
              <w:bottom w:val="single" w:sz="4" w:space="0" w:color="auto"/>
              <w:right w:val="single" w:sz="4" w:space="0" w:color="auto"/>
            </w:tcBorders>
            <w:shd w:val="clear" w:color="auto" w:fill="auto"/>
            <w:noWrap/>
            <w:vAlign w:val="center"/>
            <w:hideMark/>
          </w:tcPr>
          <w:p w:rsidR="00CB2BD7" w:rsidRPr="00E97254" w:rsidRDefault="004E1F53" w:rsidP="000C0250">
            <w:pPr>
              <w:spacing w:after="0"/>
              <w:jc w:val="right"/>
              <w:rPr>
                <w:rFonts w:eastAsia="Times New Roman" w:cstheme="minorHAnsi"/>
                <w:color w:val="000000"/>
                <w:sz w:val="16"/>
                <w:szCs w:val="18"/>
              </w:rPr>
            </w:pPr>
            <w:r>
              <w:rPr>
                <w:rFonts w:eastAsia="Times New Roman" w:cstheme="minorHAnsi"/>
                <w:color w:val="000000"/>
                <w:sz w:val="16"/>
                <w:szCs w:val="18"/>
              </w:rPr>
              <w:t>1,801,649</w:t>
            </w:r>
          </w:p>
        </w:tc>
        <w:tc>
          <w:tcPr>
            <w:tcW w:w="799" w:type="dxa"/>
            <w:tcBorders>
              <w:top w:val="nil"/>
              <w:left w:val="nil"/>
              <w:bottom w:val="single" w:sz="4" w:space="0" w:color="auto"/>
              <w:right w:val="single" w:sz="4" w:space="0" w:color="auto"/>
            </w:tcBorders>
            <w:shd w:val="clear" w:color="auto" w:fill="auto"/>
            <w:noWrap/>
            <w:vAlign w:val="center"/>
            <w:hideMark/>
          </w:tcPr>
          <w:p w:rsidR="00CB2BD7" w:rsidRPr="00E97254" w:rsidRDefault="004E1F53" w:rsidP="000C0250">
            <w:pPr>
              <w:spacing w:after="0"/>
              <w:jc w:val="right"/>
              <w:rPr>
                <w:rFonts w:eastAsia="Times New Roman" w:cstheme="minorHAnsi"/>
                <w:color w:val="000000"/>
                <w:sz w:val="16"/>
                <w:szCs w:val="18"/>
              </w:rPr>
            </w:pPr>
            <w:r>
              <w:rPr>
                <w:rFonts w:eastAsia="Times New Roman" w:cstheme="minorHAnsi"/>
                <w:color w:val="000000"/>
                <w:sz w:val="16"/>
                <w:szCs w:val="18"/>
              </w:rPr>
              <w:t>-6.99%</w:t>
            </w:r>
          </w:p>
        </w:tc>
        <w:tc>
          <w:tcPr>
            <w:tcW w:w="985" w:type="dxa"/>
            <w:tcBorders>
              <w:top w:val="nil"/>
              <w:left w:val="nil"/>
              <w:bottom w:val="single" w:sz="4" w:space="0" w:color="auto"/>
              <w:right w:val="single" w:sz="4" w:space="0" w:color="auto"/>
            </w:tcBorders>
            <w:shd w:val="clear" w:color="auto" w:fill="auto"/>
            <w:noWrap/>
            <w:vAlign w:val="center"/>
            <w:hideMark/>
          </w:tcPr>
          <w:p w:rsidR="00CB2BD7" w:rsidRPr="00E97254" w:rsidRDefault="004E1F53" w:rsidP="000C0250">
            <w:pPr>
              <w:spacing w:after="0"/>
              <w:jc w:val="right"/>
              <w:rPr>
                <w:rFonts w:eastAsia="Times New Roman" w:cstheme="minorHAnsi"/>
                <w:color w:val="000000"/>
                <w:sz w:val="16"/>
                <w:szCs w:val="18"/>
              </w:rPr>
            </w:pPr>
            <w:r>
              <w:rPr>
                <w:rFonts w:eastAsia="Times New Roman" w:cstheme="minorHAnsi"/>
                <w:color w:val="000000"/>
                <w:sz w:val="16"/>
                <w:szCs w:val="18"/>
              </w:rPr>
              <w:t>1,940,262</w:t>
            </w:r>
          </w:p>
        </w:tc>
        <w:tc>
          <w:tcPr>
            <w:tcW w:w="985" w:type="dxa"/>
            <w:tcBorders>
              <w:top w:val="nil"/>
              <w:left w:val="nil"/>
              <w:bottom w:val="single" w:sz="4" w:space="0" w:color="auto"/>
              <w:right w:val="single" w:sz="4" w:space="0" w:color="auto"/>
            </w:tcBorders>
            <w:shd w:val="clear" w:color="auto" w:fill="auto"/>
            <w:noWrap/>
            <w:vAlign w:val="center"/>
            <w:hideMark/>
          </w:tcPr>
          <w:p w:rsidR="00CB2BD7" w:rsidRPr="00E97254" w:rsidRDefault="004E1F53" w:rsidP="000C0250">
            <w:pPr>
              <w:spacing w:after="0"/>
              <w:jc w:val="right"/>
              <w:rPr>
                <w:rFonts w:eastAsia="Times New Roman" w:cstheme="minorHAnsi"/>
                <w:color w:val="000000"/>
                <w:sz w:val="16"/>
                <w:szCs w:val="18"/>
              </w:rPr>
            </w:pPr>
            <w:r>
              <w:rPr>
                <w:rFonts w:eastAsia="Times New Roman" w:cstheme="minorHAnsi"/>
                <w:color w:val="000000"/>
                <w:sz w:val="16"/>
                <w:szCs w:val="18"/>
              </w:rPr>
              <w:t>1,828,487</w:t>
            </w:r>
          </w:p>
        </w:tc>
        <w:tc>
          <w:tcPr>
            <w:tcW w:w="810" w:type="dxa"/>
            <w:tcBorders>
              <w:top w:val="nil"/>
              <w:left w:val="nil"/>
              <w:bottom w:val="single" w:sz="4" w:space="0" w:color="auto"/>
              <w:right w:val="single" w:sz="4" w:space="0" w:color="auto"/>
            </w:tcBorders>
            <w:shd w:val="clear" w:color="auto" w:fill="auto"/>
            <w:noWrap/>
            <w:vAlign w:val="center"/>
            <w:hideMark/>
          </w:tcPr>
          <w:p w:rsidR="00CB2BD7" w:rsidRPr="00E97254" w:rsidRDefault="004E1F53" w:rsidP="000C0250">
            <w:pPr>
              <w:spacing w:after="0"/>
              <w:jc w:val="right"/>
              <w:rPr>
                <w:rFonts w:eastAsia="Times New Roman" w:cstheme="minorHAnsi"/>
                <w:color w:val="000000"/>
                <w:sz w:val="16"/>
                <w:szCs w:val="18"/>
              </w:rPr>
            </w:pPr>
            <w:r>
              <w:rPr>
                <w:rFonts w:eastAsia="Times New Roman" w:cstheme="minorHAnsi"/>
                <w:color w:val="000000"/>
                <w:sz w:val="16"/>
                <w:szCs w:val="18"/>
              </w:rPr>
              <w:t>-5.76%</w:t>
            </w:r>
          </w:p>
        </w:tc>
        <w:tc>
          <w:tcPr>
            <w:tcW w:w="971" w:type="dxa"/>
            <w:tcBorders>
              <w:top w:val="nil"/>
              <w:left w:val="nil"/>
              <w:bottom w:val="single" w:sz="4" w:space="0" w:color="auto"/>
              <w:right w:val="single" w:sz="4" w:space="0" w:color="auto"/>
            </w:tcBorders>
            <w:shd w:val="clear" w:color="auto" w:fill="auto"/>
            <w:noWrap/>
            <w:vAlign w:val="center"/>
            <w:hideMark/>
          </w:tcPr>
          <w:p w:rsidR="00CB2BD7" w:rsidRPr="00E97254" w:rsidRDefault="004E1F53" w:rsidP="000C0250">
            <w:pPr>
              <w:spacing w:after="0"/>
              <w:jc w:val="right"/>
              <w:rPr>
                <w:rFonts w:eastAsia="Times New Roman" w:cstheme="minorHAnsi"/>
                <w:color w:val="000000"/>
                <w:sz w:val="16"/>
                <w:szCs w:val="18"/>
              </w:rPr>
            </w:pPr>
            <w:r>
              <w:rPr>
                <w:rFonts w:eastAsia="Times New Roman" w:cstheme="minorHAnsi"/>
                <w:color w:val="000000"/>
                <w:sz w:val="16"/>
                <w:szCs w:val="18"/>
              </w:rPr>
              <w:t>1,943,969</w:t>
            </w:r>
          </w:p>
        </w:tc>
        <w:tc>
          <w:tcPr>
            <w:tcW w:w="971" w:type="dxa"/>
            <w:tcBorders>
              <w:top w:val="nil"/>
              <w:left w:val="nil"/>
              <w:bottom w:val="single" w:sz="4" w:space="0" w:color="auto"/>
              <w:right w:val="single" w:sz="4" w:space="0" w:color="auto"/>
            </w:tcBorders>
            <w:shd w:val="clear" w:color="auto" w:fill="auto"/>
            <w:noWrap/>
            <w:vAlign w:val="center"/>
            <w:hideMark/>
          </w:tcPr>
          <w:p w:rsidR="00CB2BD7" w:rsidRPr="00E97254" w:rsidRDefault="004E1F53" w:rsidP="000C0250">
            <w:pPr>
              <w:spacing w:after="0"/>
              <w:jc w:val="right"/>
              <w:rPr>
                <w:rFonts w:eastAsia="Times New Roman" w:cstheme="minorHAnsi"/>
                <w:color w:val="000000"/>
                <w:sz w:val="16"/>
                <w:szCs w:val="18"/>
              </w:rPr>
            </w:pPr>
            <w:r>
              <w:rPr>
                <w:rFonts w:eastAsia="Times New Roman" w:cstheme="minorHAnsi"/>
                <w:color w:val="000000"/>
                <w:sz w:val="16"/>
                <w:szCs w:val="18"/>
              </w:rPr>
              <w:t>1,860,901</w:t>
            </w:r>
          </w:p>
        </w:tc>
        <w:tc>
          <w:tcPr>
            <w:tcW w:w="799" w:type="dxa"/>
            <w:tcBorders>
              <w:top w:val="nil"/>
              <w:left w:val="nil"/>
              <w:bottom w:val="single" w:sz="4" w:space="0" w:color="auto"/>
              <w:right w:val="single" w:sz="4" w:space="0" w:color="auto"/>
            </w:tcBorders>
            <w:shd w:val="clear" w:color="auto" w:fill="auto"/>
            <w:noWrap/>
            <w:vAlign w:val="center"/>
            <w:hideMark/>
          </w:tcPr>
          <w:p w:rsidR="00CB2BD7" w:rsidRPr="00E97254" w:rsidRDefault="004E1F53" w:rsidP="000C0250">
            <w:pPr>
              <w:spacing w:after="0"/>
              <w:jc w:val="right"/>
              <w:rPr>
                <w:rFonts w:eastAsia="Times New Roman" w:cstheme="minorHAnsi"/>
                <w:color w:val="000000"/>
                <w:sz w:val="16"/>
                <w:szCs w:val="18"/>
              </w:rPr>
            </w:pPr>
            <w:r>
              <w:rPr>
                <w:rFonts w:eastAsia="Times New Roman" w:cstheme="minorHAnsi"/>
                <w:color w:val="000000"/>
                <w:sz w:val="16"/>
                <w:szCs w:val="18"/>
              </w:rPr>
              <w:t>-4.27%</w:t>
            </w:r>
          </w:p>
        </w:tc>
      </w:tr>
      <w:tr w:rsidR="00CB2BD7" w:rsidRPr="00E97254" w:rsidTr="00E7729D">
        <w:trPr>
          <w:trHeight w:val="300"/>
        </w:trPr>
        <w:tc>
          <w:tcPr>
            <w:tcW w:w="1160" w:type="dxa"/>
            <w:tcBorders>
              <w:top w:val="nil"/>
              <w:left w:val="single" w:sz="4" w:space="0" w:color="auto"/>
              <w:bottom w:val="single" w:sz="4" w:space="0" w:color="auto"/>
              <w:right w:val="single" w:sz="4" w:space="0" w:color="auto"/>
            </w:tcBorders>
            <w:shd w:val="clear" w:color="auto" w:fill="auto"/>
            <w:noWrap/>
            <w:vAlign w:val="center"/>
            <w:hideMark/>
          </w:tcPr>
          <w:p w:rsidR="00CB2BD7" w:rsidRPr="00E97254" w:rsidRDefault="004E1F53" w:rsidP="000C0250">
            <w:pPr>
              <w:spacing w:after="0"/>
              <w:jc w:val="both"/>
              <w:rPr>
                <w:rFonts w:eastAsia="Times New Roman" w:cstheme="minorHAnsi"/>
                <w:color w:val="000000"/>
                <w:sz w:val="16"/>
                <w:szCs w:val="18"/>
              </w:rPr>
            </w:pPr>
            <w:r>
              <w:rPr>
                <w:rFonts w:eastAsia="Times New Roman" w:cstheme="minorHAnsi"/>
                <w:color w:val="000000"/>
                <w:sz w:val="16"/>
                <w:szCs w:val="18"/>
              </w:rPr>
              <w:lastRenderedPageBreak/>
              <w:t>65+</w:t>
            </w:r>
          </w:p>
        </w:tc>
        <w:tc>
          <w:tcPr>
            <w:tcW w:w="971" w:type="dxa"/>
            <w:tcBorders>
              <w:top w:val="nil"/>
              <w:left w:val="nil"/>
              <w:bottom w:val="single" w:sz="4" w:space="0" w:color="auto"/>
              <w:right w:val="single" w:sz="4" w:space="0" w:color="auto"/>
            </w:tcBorders>
            <w:shd w:val="clear" w:color="auto" w:fill="auto"/>
            <w:noWrap/>
            <w:vAlign w:val="center"/>
            <w:hideMark/>
          </w:tcPr>
          <w:p w:rsidR="00CB2BD7" w:rsidRPr="00E97254" w:rsidRDefault="004E1F53" w:rsidP="000C0250">
            <w:pPr>
              <w:spacing w:after="0"/>
              <w:jc w:val="right"/>
              <w:rPr>
                <w:rFonts w:eastAsia="Times New Roman" w:cstheme="minorHAnsi"/>
                <w:color w:val="000000"/>
                <w:sz w:val="16"/>
                <w:szCs w:val="18"/>
              </w:rPr>
            </w:pPr>
            <w:r>
              <w:rPr>
                <w:rFonts w:eastAsia="Times New Roman" w:cstheme="minorHAnsi"/>
                <w:color w:val="000000"/>
                <w:sz w:val="16"/>
                <w:szCs w:val="18"/>
              </w:rPr>
              <w:t>435,858</w:t>
            </w:r>
          </w:p>
        </w:tc>
        <w:tc>
          <w:tcPr>
            <w:tcW w:w="971" w:type="dxa"/>
            <w:tcBorders>
              <w:top w:val="nil"/>
              <w:left w:val="nil"/>
              <w:bottom w:val="single" w:sz="4" w:space="0" w:color="auto"/>
              <w:right w:val="single" w:sz="4" w:space="0" w:color="auto"/>
            </w:tcBorders>
            <w:shd w:val="clear" w:color="auto" w:fill="auto"/>
            <w:noWrap/>
            <w:vAlign w:val="center"/>
            <w:hideMark/>
          </w:tcPr>
          <w:p w:rsidR="00CB2BD7" w:rsidRPr="00E97254" w:rsidRDefault="004E1F53" w:rsidP="000C0250">
            <w:pPr>
              <w:spacing w:after="0"/>
              <w:jc w:val="right"/>
              <w:rPr>
                <w:rFonts w:eastAsia="Times New Roman" w:cstheme="minorHAnsi"/>
                <w:color w:val="000000"/>
                <w:sz w:val="16"/>
                <w:szCs w:val="18"/>
              </w:rPr>
            </w:pPr>
            <w:r>
              <w:rPr>
                <w:rFonts w:eastAsia="Times New Roman" w:cstheme="minorHAnsi"/>
                <w:color w:val="000000"/>
                <w:sz w:val="16"/>
                <w:szCs w:val="18"/>
              </w:rPr>
              <w:t>514,928</w:t>
            </w:r>
          </w:p>
        </w:tc>
        <w:tc>
          <w:tcPr>
            <w:tcW w:w="799" w:type="dxa"/>
            <w:tcBorders>
              <w:top w:val="nil"/>
              <w:left w:val="nil"/>
              <w:bottom w:val="single" w:sz="4" w:space="0" w:color="auto"/>
              <w:right w:val="single" w:sz="4" w:space="0" w:color="auto"/>
            </w:tcBorders>
            <w:shd w:val="clear" w:color="auto" w:fill="auto"/>
            <w:noWrap/>
            <w:vAlign w:val="center"/>
            <w:hideMark/>
          </w:tcPr>
          <w:p w:rsidR="00CB2BD7" w:rsidRPr="00E97254" w:rsidRDefault="004E1F53" w:rsidP="000C0250">
            <w:pPr>
              <w:spacing w:after="0"/>
              <w:jc w:val="right"/>
              <w:rPr>
                <w:rFonts w:eastAsia="Times New Roman" w:cstheme="minorHAnsi"/>
                <w:color w:val="000000"/>
                <w:sz w:val="16"/>
                <w:szCs w:val="18"/>
              </w:rPr>
            </w:pPr>
            <w:r>
              <w:rPr>
                <w:rFonts w:eastAsia="Times New Roman" w:cstheme="minorHAnsi"/>
                <w:color w:val="000000"/>
                <w:sz w:val="16"/>
                <w:szCs w:val="18"/>
              </w:rPr>
              <w:t>18.14%</w:t>
            </w:r>
          </w:p>
        </w:tc>
        <w:tc>
          <w:tcPr>
            <w:tcW w:w="985" w:type="dxa"/>
            <w:tcBorders>
              <w:top w:val="nil"/>
              <w:left w:val="nil"/>
              <w:bottom w:val="single" w:sz="4" w:space="0" w:color="auto"/>
              <w:right w:val="single" w:sz="4" w:space="0" w:color="auto"/>
            </w:tcBorders>
            <w:shd w:val="clear" w:color="auto" w:fill="auto"/>
            <w:noWrap/>
            <w:vAlign w:val="center"/>
            <w:hideMark/>
          </w:tcPr>
          <w:p w:rsidR="00CB2BD7" w:rsidRPr="00E97254" w:rsidRDefault="004E1F53" w:rsidP="000C0250">
            <w:pPr>
              <w:spacing w:after="0"/>
              <w:jc w:val="right"/>
              <w:rPr>
                <w:rFonts w:eastAsia="Times New Roman" w:cstheme="minorHAnsi"/>
                <w:color w:val="000000"/>
                <w:sz w:val="16"/>
                <w:szCs w:val="18"/>
              </w:rPr>
            </w:pPr>
            <w:r>
              <w:rPr>
                <w:rFonts w:eastAsia="Times New Roman" w:cstheme="minorHAnsi"/>
                <w:color w:val="000000"/>
                <w:sz w:val="16"/>
                <w:szCs w:val="18"/>
              </w:rPr>
              <w:t>436,672</w:t>
            </w:r>
          </w:p>
        </w:tc>
        <w:tc>
          <w:tcPr>
            <w:tcW w:w="985" w:type="dxa"/>
            <w:tcBorders>
              <w:top w:val="nil"/>
              <w:left w:val="nil"/>
              <w:bottom w:val="single" w:sz="4" w:space="0" w:color="auto"/>
              <w:right w:val="single" w:sz="4" w:space="0" w:color="auto"/>
            </w:tcBorders>
            <w:shd w:val="clear" w:color="auto" w:fill="auto"/>
            <w:noWrap/>
            <w:vAlign w:val="center"/>
            <w:hideMark/>
          </w:tcPr>
          <w:p w:rsidR="00CB2BD7" w:rsidRPr="00E97254" w:rsidRDefault="004E1F53" w:rsidP="000C0250">
            <w:pPr>
              <w:spacing w:after="0"/>
              <w:jc w:val="right"/>
              <w:rPr>
                <w:rFonts w:eastAsia="Times New Roman" w:cstheme="minorHAnsi"/>
                <w:color w:val="000000"/>
                <w:sz w:val="16"/>
                <w:szCs w:val="18"/>
              </w:rPr>
            </w:pPr>
            <w:r>
              <w:rPr>
                <w:rFonts w:eastAsia="Times New Roman" w:cstheme="minorHAnsi"/>
                <w:color w:val="000000"/>
                <w:sz w:val="16"/>
                <w:szCs w:val="18"/>
              </w:rPr>
              <w:t>522,694</w:t>
            </w:r>
          </w:p>
        </w:tc>
        <w:tc>
          <w:tcPr>
            <w:tcW w:w="810" w:type="dxa"/>
            <w:tcBorders>
              <w:top w:val="nil"/>
              <w:left w:val="nil"/>
              <w:bottom w:val="single" w:sz="4" w:space="0" w:color="auto"/>
              <w:right w:val="single" w:sz="4" w:space="0" w:color="auto"/>
            </w:tcBorders>
            <w:shd w:val="clear" w:color="auto" w:fill="auto"/>
            <w:noWrap/>
            <w:vAlign w:val="center"/>
            <w:hideMark/>
          </w:tcPr>
          <w:p w:rsidR="00CB2BD7" w:rsidRPr="00E97254" w:rsidRDefault="004E1F53" w:rsidP="000C0250">
            <w:pPr>
              <w:spacing w:after="0"/>
              <w:jc w:val="right"/>
              <w:rPr>
                <w:rFonts w:eastAsia="Times New Roman" w:cstheme="minorHAnsi"/>
                <w:color w:val="000000"/>
                <w:sz w:val="16"/>
                <w:szCs w:val="18"/>
              </w:rPr>
            </w:pPr>
            <w:r>
              <w:rPr>
                <w:rFonts w:eastAsia="Times New Roman" w:cstheme="minorHAnsi"/>
                <w:color w:val="000000"/>
                <w:sz w:val="16"/>
                <w:szCs w:val="18"/>
              </w:rPr>
              <w:t>19.70%</w:t>
            </w:r>
          </w:p>
        </w:tc>
        <w:tc>
          <w:tcPr>
            <w:tcW w:w="971" w:type="dxa"/>
            <w:tcBorders>
              <w:top w:val="nil"/>
              <w:left w:val="nil"/>
              <w:bottom w:val="single" w:sz="4" w:space="0" w:color="auto"/>
              <w:right w:val="single" w:sz="4" w:space="0" w:color="auto"/>
            </w:tcBorders>
            <w:shd w:val="clear" w:color="auto" w:fill="auto"/>
            <w:noWrap/>
            <w:vAlign w:val="center"/>
            <w:hideMark/>
          </w:tcPr>
          <w:p w:rsidR="00CB2BD7" w:rsidRPr="00E97254" w:rsidRDefault="004E1F53" w:rsidP="000C0250">
            <w:pPr>
              <w:spacing w:after="0"/>
              <w:jc w:val="right"/>
              <w:rPr>
                <w:rFonts w:eastAsia="Times New Roman" w:cstheme="minorHAnsi"/>
                <w:color w:val="000000"/>
                <w:sz w:val="16"/>
                <w:szCs w:val="18"/>
              </w:rPr>
            </w:pPr>
            <w:r>
              <w:rPr>
                <w:rFonts w:eastAsia="Times New Roman" w:cstheme="minorHAnsi"/>
                <w:color w:val="000000"/>
                <w:sz w:val="16"/>
                <w:szCs w:val="18"/>
              </w:rPr>
              <w:t>437,518</w:t>
            </w:r>
          </w:p>
        </w:tc>
        <w:tc>
          <w:tcPr>
            <w:tcW w:w="971" w:type="dxa"/>
            <w:tcBorders>
              <w:top w:val="nil"/>
              <w:left w:val="nil"/>
              <w:bottom w:val="single" w:sz="4" w:space="0" w:color="auto"/>
              <w:right w:val="single" w:sz="4" w:space="0" w:color="auto"/>
            </w:tcBorders>
            <w:shd w:val="clear" w:color="auto" w:fill="auto"/>
            <w:noWrap/>
            <w:vAlign w:val="center"/>
            <w:hideMark/>
          </w:tcPr>
          <w:p w:rsidR="00CB2BD7" w:rsidRPr="00E97254" w:rsidRDefault="004E1F53" w:rsidP="000C0250">
            <w:pPr>
              <w:spacing w:after="0"/>
              <w:jc w:val="right"/>
              <w:rPr>
                <w:rFonts w:eastAsia="Times New Roman" w:cstheme="minorHAnsi"/>
                <w:color w:val="000000"/>
                <w:sz w:val="16"/>
                <w:szCs w:val="18"/>
              </w:rPr>
            </w:pPr>
            <w:r>
              <w:rPr>
                <w:rFonts w:eastAsia="Times New Roman" w:cstheme="minorHAnsi"/>
                <w:color w:val="000000"/>
                <w:sz w:val="16"/>
                <w:szCs w:val="18"/>
              </w:rPr>
              <w:t>530,758</w:t>
            </w:r>
          </w:p>
        </w:tc>
        <w:tc>
          <w:tcPr>
            <w:tcW w:w="799" w:type="dxa"/>
            <w:tcBorders>
              <w:top w:val="nil"/>
              <w:left w:val="nil"/>
              <w:bottom w:val="single" w:sz="4" w:space="0" w:color="auto"/>
              <w:right w:val="single" w:sz="4" w:space="0" w:color="auto"/>
            </w:tcBorders>
            <w:shd w:val="clear" w:color="auto" w:fill="auto"/>
            <w:noWrap/>
            <w:vAlign w:val="center"/>
            <w:hideMark/>
          </w:tcPr>
          <w:p w:rsidR="00CB2BD7" w:rsidRPr="00E97254" w:rsidRDefault="004E1F53" w:rsidP="000C0250">
            <w:pPr>
              <w:spacing w:after="0"/>
              <w:jc w:val="right"/>
              <w:rPr>
                <w:rFonts w:eastAsia="Times New Roman" w:cstheme="minorHAnsi"/>
                <w:color w:val="000000"/>
                <w:sz w:val="16"/>
                <w:szCs w:val="18"/>
              </w:rPr>
            </w:pPr>
            <w:r>
              <w:rPr>
                <w:rFonts w:eastAsia="Times New Roman" w:cstheme="minorHAnsi"/>
                <w:color w:val="000000"/>
                <w:sz w:val="16"/>
                <w:szCs w:val="18"/>
              </w:rPr>
              <w:t>21.31%</w:t>
            </w:r>
          </w:p>
        </w:tc>
      </w:tr>
      <w:tr w:rsidR="00CB2BD7" w:rsidRPr="00E97254" w:rsidTr="00E7729D">
        <w:trPr>
          <w:trHeight w:val="300"/>
        </w:trPr>
        <w:tc>
          <w:tcPr>
            <w:tcW w:w="1160" w:type="dxa"/>
            <w:tcBorders>
              <w:top w:val="nil"/>
              <w:left w:val="single" w:sz="4" w:space="0" w:color="auto"/>
              <w:bottom w:val="single" w:sz="4" w:space="0" w:color="auto"/>
              <w:right w:val="single" w:sz="4" w:space="0" w:color="auto"/>
            </w:tcBorders>
            <w:shd w:val="clear" w:color="auto" w:fill="auto"/>
            <w:noWrap/>
            <w:vAlign w:val="center"/>
            <w:hideMark/>
          </w:tcPr>
          <w:p w:rsidR="00CB2BD7" w:rsidRPr="00E97254" w:rsidRDefault="004E1F53" w:rsidP="000C0250">
            <w:pPr>
              <w:spacing w:after="0"/>
              <w:jc w:val="both"/>
              <w:rPr>
                <w:rFonts w:eastAsia="Times New Roman" w:cstheme="minorHAnsi"/>
                <w:color w:val="000000"/>
                <w:sz w:val="16"/>
                <w:szCs w:val="18"/>
              </w:rPr>
            </w:pPr>
            <w:r>
              <w:rPr>
                <w:rFonts w:eastAsia="Times New Roman" w:cstheme="minorHAnsi"/>
                <w:color w:val="000000"/>
                <w:sz w:val="16"/>
                <w:szCs w:val="18"/>
              </w:rPr>
              <w:t>Të gjithë</w:t>
            </w:r>
          </w:p>
        </w:tc>
        <w:tc>
          <w:tcPr>
            <w:tcW w:w="971" w:type="dxa"/>
            <w:tcBorders>
              <w:top w:val="nil"/>
              <w:left w:val="nil"/>
              <w:bottom w:val="single" w:sz="4" w:space="0" w:color="auto"/>
              <w:right w:val="single" w:sz="4" w:space="0" w:color="auto"/>
            </w:tcBorders>
            <w:shd w:val="clear" w:color="auto" w:fill="auto"/>
            <w:noWrap/>
            <w:vAlign w:val="center"/>
            <w:hideMark/>
          </w:tcPr>
          <w:p w:rsidR="00CB2BD7" w:rsidRPr="00E97254" w:rsidRDefault="004E1F53" w:rsidP="000C0250">
            <w:pPr>
              <w:spacing w:after="0"/>
              <w:jc w:val="right"/>
              <w:rPr>
                <w:rFonts w:eastAsia="Times New Roman" w:cstheme="minorHAnsi"/>
                <w:color w:val="000000"/>
                <w:sz w:val="16"/>
                <w:szCs w:val="18"/>
              </w:rPr>
            </w:pPr>
            <w:r>
              <w:rPr>
                <w:rFonts w:eastAsia="Times New Roman" w:cstheme="minorHAnsi"/>
                <w:color w:val="000000"/>
                <w:sz w:val="16"/>
                <w:szCs w:val="18"/>
              </w:rPr>
              <w:t>2,841,553</w:t>
            </w:r>
          </w:p>
        </w:tc>
        <w:tc>
          <w:tcPr>
            <w:tcW w:w="971" w:type="dxa"/>
            <w:tcBorders>
              <w:top w:val="nil"/>
              <w:left w:val="nil"/>
              <w:bottom w:val="single" w:sz="4" w:space="0" w:color="auto"/>
              <w:right w:val="single" w:sz="4" w:space="0" w:color="auto"/>
            </w:tcBorders>
            <w:shd w:val="clear" w:color="auto" w:fill="auto"/>
            <w:noWrap/>
            <w:vAlign w:val="center"/>
            <w:hideMark/>
          </w:tcPr>
          <w:p w:rsidR="00CB2BD7" w:rsidRPr="00E97254" w:rsidRDefault="004E1F53" w:rsidP="000C0250">
            <w:pPr>
              <w:spacing w:after="0"/>
              <w:jc w:val="right"/>
              <w:rPr>
                <w:rFonts w:eastAsia="Times New Roman" w:cstheme="minorHAnsi"/>
                <w:color w:val="000000"/>
                <w:sz w:val="16"/>
                <w:szCs w:val="18"/>
              </w:rPr>
            </w:pPr>
            <w:r>
              <w:rPr>
                <w:rFonts w:eastAsia="Times New Roman" w:cstheme="minorHAnsi"/>
                <w:color w:val="000000"/>
                <w:sz w:val="16"/>
                <w:szCs w:val="18"/>
              </w:rPr>
              <w:t>2,740,158</w:t>
            </w:r>
          </w:p>
        </w:tc>
        <w:tc>
          <w:tcPr>
            <w:tcW w:w="799" w:type="dxa"/>
            <w:tcBorders>
              <w:top w:val="nil"/>
              <w:left w:val="nil"/>
              <w:bottom w:val="single" w:sz="4" w:space="0" w:color="auto"/>
              <w:right w:val="single" w:sz="4" w:space="0" w:color="auto"/>
            </w:tcBorders>
            <w:shd w:val="clear" w:color="auto" w:fill="auto"/>
            <w:noWrap/>
            <w:vAlign w:val="center"/>
            <w:hideMark/>
          </w:tcPr>
          <w:p w:rsidR="00CB2BD7" w:rsidRPr="00E97254" w:rsidRDefault="004E1F53" w:rsidP="000C0250">
            <w:pPr>
              <w:spacing w:after="0"/>
              <w:jc w:val="right"/>
              <w:rPr>
                <w:rFonts w:eastAsia="Times New Roman" w:cstheme="minorHAnsi"/>
                <w:color w:val="000000"/>
                <w:sz w:val="16"/>
                <w:szCs w:val="18"/>
              </w:rPr>
            </w:pPr>
            <w:r>
              <w:rPr>
                <w:rFonts w:eastAsia="Times New Roman" w:cstheme="minorHAnsi"/>
                <w:color w:val="000000"/>
                <w:sz w:val="16"/>
                <w:szCs w:val="18"/>
              </w:rPr>
              <w:t>-3.57%</w:t>
            </w:r>
          </w:p>
        </w:tc>
        <w:tc>
          <w:tcPr>
            <w:tcW w:w="985" w:type="dxa"/>
            <w:tcBorders>
              <w:top w:val="nil"/>
              <w:left w:val="nil"/>
              <w:bottom w:val="single" w:sz="4" w:space="0" w:color="auto"/>
              <w:right w:val="single" w:sz="4" w:space="0" w:color="auto"/>
            </w:tcBorders>
            <w:shd w:val="clear" w:color="auto" w:fill="auto"/>
            <w:noWrap/>
            <w:vAlign w:val="center"/>
            <w:hideMark/>
          </w:tcPr>
          <w:p w:rsidR="00CB2BD7" w:rsidRPr="00E97254" w:rsidRDefault="004E1F53" w:rsidP="000C0250">
            <w:pPr>
              <w:spacing w:after="0"/>
              <w:jc w:val="right"/>
              <w:rPr>
                <w:rFonts w:eastAsia="Times New Roman" w:cstheme="minorHAnsi"/>
                <w:color w:val="000000"/>
                <w:sz w:val="16"/>
                <w:szCs w:val="18"/>
              </w:rPr>
            </w:pPr>
            <w:r>
              <w:rPr>
                <w:rFonts w:eastAsia="Times New Roman" w:cstheme="minorHAnsi"/>
                <w:color w:val="000000"/>
                <w:sz w:val="16"/>
                <w:szCs w:val="18"/>
              </w:rPr>
              <w:t>2,850,472</w:t>
            </w:r>
          </w:p>
        </w:tc>
        <w:tc>
          <w:tcPr>
            <w:tcW w:w="985" w:type="dxa"/>
            <w:tcBorders>
              <w:top w:val="nil"/>
              <w:left w:val="nil"/>
              <w:bottom w:val="single" w:sz="4" w:space="0" w:color="auto"/>
              <w:right w:val="single" w:sz="4" w:space="0" w:color="auto"/>
            </w:tcBorders>
            <w:shd w:val="clear" w:color="auto" w:fill="auto"/>
            <w:noWrap/>
            <w:vAlign w:val="center"/>
            <w:hideMark/>
          </w:tcPr>
          <w:p w:rsidR="00CB2BD7" w:rsidRPr="00E97254" w:rsidRDefault="004E1F53" w:rsidP="000C0250">
            <w:pPr>
              <w:spacing w:after="0"/>
              <w:jc w:val="right"/>
              <w:rPr>
                <w:rFonts w:eastAsia="Times New Roman" w:cstheme="minorHAnsi"/>
                <w:color w:val="000000"/>
                <w:sz w:val="16"/>
                <w:szCs w:val="18"/>
              </w:rPr>
            </w:pPr>
            <w:r>
              <w:rPr>
                <w:rFonts w:eastAsia="Times New Roman" w:cstheme="minorHAnsi"/>
                <w:color w:val="000000"/>
                <w:sz w:val="16"/>
                <w:szCs w:val="18"/>
              </w:rPr>
              <w:t>2,805,545</w:t>
            </w:r>
          </w:p>
        </w:tc>
        <w:tc>
          <w:tcPr>
            <w:tcW w:w="810" w:type="dxa"/>
            <w:tcBorders>
              <w:top w:val="nil"/>
              <w:left w:val="nil"/>
              <w:bottom w:val="single" w:sz="4" w:space="0" w:color="auto"/>
              <w:right w:val="single" w:sz="4" w:space="0" w:color="auto"/>
            </w:tcBorders>
            <w:shd w:val="clear" w:color="auto" w:fill="auto"/>
            <w:noWrap/>
            <w:vAlign w:val="center"/>
            <w:hideMark/>
          </w:tcPr>
          <w:p w:rsidR="00CB2BD7" w:rsidRPr="00E97254" w:rsidRDefault="004E1F53" w:rsidP="000C0250">
            <w:pPr>
              <w:spacing w:after="0"/>
              <w:jc w:val="right"/>
              <w:rPr>
                <w:rFonts w:eastAsia="Times New Roman" w:cstheme="minorHAnsi"/>
                <w:color w:val="000000"/>
                <w:sz w:val="16"/>
                <w:szCs w:val="18"/>
              </w:rPr>
            </w:pPr>
            <w:r>
              <w:rPr>
                <w:rFonts w:eastAsia="Times New Roman" w:cstheme="minorHAnsi"/>
                <w:color w:val="000000"/>
                <w:sz w:val="16"/>
                <w:szCs w:val="18"/>
              </w:rPr>
              <w:t>-1.58%</w:t>
            </w:r>
          </w:p>
        </w:tc>
        <w:tc>
          <w:tcPr>
            <w:tcW w:w="971" w:type="dxa"/>
            <w:tcBorders>
              <w:top w:val="nil"/>
              <w:left w:val="nil"/>
              <w:bottom w:val="single" w:sz="4" w:space="0" w:color="auto"/>
              <w:right w:val="single" w:sz="4" w:space="0" w:color="auto"/>
            </w:tcBorders>
            <w:shd w:val="clear" w:color="auto" w:fill="auto"/>
            <w:noWrap/>
            <w:vAlign w:val="center"/>
            <w:hideMark/>
          </w:tcPr>
          <w:p w:rsidR="00CB2BD7" w:rsidRPr="00E97254" w:rsidRDefault="004E1F53" w:rsidP="000C0250">
            <w:pPr>
              <w:spacing w:after="0"/>
              <w:jc w:val="right"/>
              <w:rPr>
                <w:rFonts w:eastAsia="Times New Roman" w:cstheme="minorHAnsi"/>
                <w:color w:val="000000"/>
                <w:sz w:val="16"/>
                <w:szCs w:val="18"/>
              </w:rPr>
            </w:pPr>
            <w:r>
              <w:rPr>
                <w:rFonts w:eastAsia="Times New Roman" w:cstheme="minorHAnsi"/>
                <w:color w:val="000000"/>
                <w:sz w:val="16"/>
                <w:szCs w:val="18"/>
              </w:rPr>
              <w:t>2,860,141</w:t>
            </w:r>
          </w:p>
        </w:tc>
        <w:tc>
          <w:tcPr>
            <w:tcW w:w="971" w:type="dxa"/>
            <w:tcBorders>
              <w:top w:val="nil"/>
              <w:left w:val="nil"/>
              <w:bottom w:val="single" w:sz="4" w:space="0" w:color="auto"/>
              <w:right w:val="single" w:sz="4" w:space="0" w:color="auto"/>
            </w:tcBorders>
            <w:shd w:val="clear" w:color="auto" w:fill="auto"/>
            <w:noWrap/>
            <w:vAlign w:val="center"/>
            <w:hideMark/>
          </w:tcPr>
          <w:p w:rsidR="00CB2BD7" w:rsidRPr="00E97254" w:rsidRDefault="004E1F53" w:rsidP="000C0250">
            <w:pPr>
              <w:spacing w:after="0"/>
              <w:jc w:val="right"/>
              <w:rPr>
                <w:rFonts w:eastAsia="Times New Roman" w:cstheme="minorHAnsi"/>
                <w:color w:val="000000"/>
                <w:sz w:val="16"/>
                <w:szCs w:val="18"/>
              </w:rPr>
            </w:pPr>
            <w:r>
              <w:rPr>
                <w:rFonts w:eastAsia="Times New Roman" w:cstheme="minorHAnsi"/>
                <w:color w:val="000000"/>
                <w:sz w:val="16"/>
                <w:szCs w:val="18"/>
              </w:rPr>
              <w:t>2,878,789</w:t>
            </w:r>
          </w:p>
        </w:tc>
        <w:tc>
          <w:tcPr>
            <w:tcW w:w="799" w:type="dxa"/>
            <w:tcBorders>
              <w:top w:val="nil"/>
              <w:left w:val="nil"/>
              <w:bottom w:val="single" w:sz="4" w:space="0" w:color="auto"/>
              <w:right w:val="single" w:sz="4" w:space="0" w:color="auto"/>
            </w:tcBorders>
            <w:shd w:val="clear" w:color="auto" w:fill="auto"/>
            <w:noWrap/>
            <w:vAlign w:val="center"/>
            <w:hideMark/>
          </w:tcPr>
          <w:p w:rsidR="00CB2BD7" w:rsidRPr="00E97254" w:rsidRDefault="004E1F53" w:rsidP="000C0250">
            <w:pPr>
              <w:spacing w:after="0"/>
              <w:jc w:val="right"/>
              <w:rPr>
                <w:rFonts w:eastAsia="Times New Roman" w:cstheme="minorHAnsi"/>
                <w:color w:val="000000"/>
                <w:sz w:val="16"/>
                <w:szCs w:val="18"/>
              </w:rPr>
            </w:pPr>
            <w:r>
              <w:rPr>
                <w:rFonts w:eastAsia="Times New Roman" w:cstheme="minorHAnsi"/>
                <w:color w:val="000000"/>
                <w:sz w:val="16"/>
                <w:szCs w:val="18"/>
              </w:rPr>
              <w:t>0.65%</w:t>
            </w:r>
          </w:p>
        </w:tc>
      </w:tr>
    </w:tbl>
    <w:p w:rsidR="00CB2BD7" w:rsidRPr="00E97254" w:rsidRDefault="004E1F53" w:rsidP="000C0250">
      <w:pPr>
        <w:spacing w:after="0"/>
        <w:jc w:val="both"/>
        <w:rPr>
          <w:sz w:val="20"/>
        </w:rPr>
      </w:pPr>
      <w:r>
        <w:rPr>
          <w:sz w:val="20"/>
        </w:rPr>
        <w:t xml:space="preserve">(Burimi: </w:t>
      </w:r>
      <w:r w:rsidR="001936F3">
        <w:rPr>
          <w:sz w:val="20"/>
        </w:rPr>
        <w:t>B</w:t>
      </w:r>
      <w:r w:rsidR="00CB2BD7" w:rsidRPr="00E97254">
        <w:rPr>
          <w:sz w:val="20"/>
        </w:rPr>
        <w:t xml:space="preserve">aza </w:t>
      </w:r>
      <w:r w:rsidR="001936F3">
        <w:rPr>
          <w:sz w:val="20"/>
        </w:rPr>
        <w:t>e t</w:t>
      </w:r>
      <w:r w:rsidR="001936F3" w:rsidRPr="00E97254">
        <w:rPr>
          <w:rFonts w:ascii="Calibri" w:hAnsi="Calibri" w:cs="Calibri"/>
          <w:szCs w:val="24"/>
        </w:rPr>
        <w:t>ë</w:t>
      </w:r>
      <w:r w:rsidR="001936F3">
        <w:rPr>
          <w:rFonts w:ascii="Calibri" w:hAnsi="Calibri" w:cs="Calibri"/>
          <w:szCs w:val="24"/>
        </w:rPr>
        <w:t xml:space="preserve"> dh</w:t>
      </w:r>
      <w:r w:rsidR="001936F3" w:rsidRPr="00E97254">
        <w:rPr>
          <w:rFonts w:ascii="Calibri" w:hAnsi="Calibri" w:cs="Calibri"/>
          <w:szCs w:val="24"/>
        </w:rPr>
        <w:t>ë</w:t>
      </w:r>
      <w:r w:rsidR="001936F3">
        <w:rPr>
          <w:rFonts w:ascii="Calibri" w:hAnsi="Calibri" w:cs="Calibri"/>
          <w:szCs w:val="24"/>
        </w:rPr>
        <w:t xml:space="preserve">nave </w:t>
      </w:r>
      <w:r w:rsidR="00CB2BD7" w:rsidRPr="00E97254">
        <w:rPr>
          <w:sz w:val="20"/>
        </w:rPr>
        <w:t>statistikore, INSTAT, shkurt 2020)</w:t>
      </w:r>
    </w:p>
    <w:p w:rsidR="0025537C" w:rsidRPr="00E97254" w:rsidRDefault="00102BE2" w:rsidP="000C0250">
      <w:pPr>
        <w:spacing w:before="120" w:after="0"/>
        <w:jc w:val="both"/>
        <w:rPr>
          <w:rFonts w:ascii="Calibri" w:hAnsi="Calibri" w:cs="Calibri"/>
        </w:rPr>
      </w:pPr>
      <w:r w:rsidRPr="00E97254">
        <w:rPr>
          <w:rFonts w:ascii="Calibri" w:hAnsi="Calibri" w:cs="Calibri"/>
        </w:rPr>
        <w:t xml:space="preserve">Prirje </w:t>
      </w:r>
      <w:r w:rsidR="0025537C" w:rsidRPr="00E97254">
        <w:rPr>
          <w:rFonts w:ascii="Calibri" w:hAnsi="Calibri" w:cs="Calibri"/>
        </w:rPr>
        <w:t xml:space="preserve">të </w:t>
      </w:r>
      <w:r w:rsidRPr="00E97254">
        <w:rPr>
          <w:rFonts w:ascii="Calibri" w:hAnsi="Calibri" w:cs="Calibri"/>
        </w:rPr>
        <w:t xml:space="preserve">ngjashme </w:t>
      </w:r>
      <w:r w:rsidR="0025537C" w:rsidRPr="00E97254">
        <w:rPr>
          <w:rFonts w:ascii="Calibri" w:hAnsi="Calibri" w:cs="Calibri"/>
        </w:rPr>
        <w:t>vërehen edhe për periudhën 2021-2026, me gjithë faktin se normat e ndryshimit janë më të vogla (</w:t>
      </w:r>
      <w:r w:rsidR="008D102D">
        <w:fldChar w:fldCharType="begin"/>
      </w:r>
      <w:r w:rsidR="008D102D">
        <w:instrText xml:space="preserve"> REF _Ref34205302 \h  \* MERGEFORMAT </w:instrText>
      </w:r>
      <w:r w:rsidR="008D102D">
        <w:fldChar w:fldCharType="separate"/>
      </w:r>
      <w:r w:rsidR="005A6200" w:rsidRPr="00E97254">
        <w:rPr>
          <w:rFonts w:ascii="Calibri" w:hAnsi="Calibri" w:cs="Calibri"/>
        </w:rPr>
        <w:t>Tabela 3</w:t>
      </w:r>
      <w:r w:rsidR="008D102D">
        <w:fldChar w:fldCharType="end"/>
      </w:r>
      <w:r w:rsidR="0025537C" w:rsidRPr="00E97254">
        <w:rPr>
          <w:rFonts w:ascii="Calibri" w:hAnsi="Calibri" w:cs="Calibri"/>
        </w:rPr>
        <w:t>).</w:t>
      </w:r>
      <w:r w:rsidR="002B257B" w:rsidRPr="00E97254">
        <w:rPr>
          <w:rFonts w:ascii="Calibri" w:hAnsi="Calibri" w:cs="Calibri"/>
        </w:rPr>
        <w:t xml:space="preserve"> </w:t>
      </w:r>
      <w:r w:rsidR="00F83EB6" w:rsidRPr="00E97254">
        <w:rPr>
          <w:rFonts w:ascii="Calibri" w:hAnsi="Calibri" w:cs="Calibri"/>
        </w:rPr>
        <w:t xml:space="preserve">Parashikimet tregojnë se, gjatë kësaj periudhe, rritje e lehtë e popullsisë </w:t>
      </w:r>
      <w:r w:rsidRPr="00E97254">
        <w:rPr>
          <w:rFonts w:ascii="Calibri" w:hAnsi="Calibri" w:cs="Calibri"/>
        </w:rPr>
        <w:t xml:space="preserve">së </w:t>
      </w:r>
      <w:r w:rsidR="00F83EB6" w:rsidRPr="00E97254">
        <w:rPr>
          <w:rFonts w:ascii="Calibri" w:hAnsi="Calibri" w:cs="Calibri"/>
        </w:rPr>
        <w:t>moshës nën 25 vjeç pritet vetëm në Qarkun e Tiranës</w:t>
      </w:r>
      <w:r w:rsidR="00A53E91" w:rsidRPr="00E97254">
        <w:rPr>
          <w:rFonts w:ascii="Calibri" w:hAnsi="Calibri" w:cs="Calibri"/>
        </w:rPr>
        <w:t xml:space="preserve">, ndërkaq shkalla më e lartë e zvogëlimit pritet në Dibër, Gjirokastër, Kukës dhe Fier. </w:t>
      </w:r>
    </w:p>
    <w:p w:rsidR="0025537C" w:rsidRPr="00E97254" w:rsidRDefault="00FA5606" w:rsidP="000C0250">
      <w:pPr>
        <w:pStyle w:val="Caption"/>
        <w:keepNext/>
        <w:spacing w:before="120" w:after="120" w:line="276" w:lineRule="auto"/>
        <w:jc w:val="both"/>
        <w:rPr>
          <w:rFonts w:ascii="Calibri" w:hAnsi="Calibri" w:cs="Calibri"/>
          <w:color w:val="auto"/>
          <w:sz w:val="22"/>
          <w:szCs w:val="22"/>
        </w:rPr>
      </w:pPr>
      <w:bookmarkStart w:id="21" w:name="_Toc66802038"/>
      <w:r w:rsidRPr="00FA5606">
        <w:rPr>
          <w:rFonts w:ascii="Calibri" w:hAnsi="Calibri" w:cs="Calibri"/>
          <w:color w:val="auto"/>
          <w:sz w:val="22"/>
          <w:szCs w:val="22"/>
        </w:rPr>
        <w:t xml:space="preserve">Tabela </w:t>
      </w:r>
      <w:r w:rsidR="00EC56B7" w:rsidRPr="00FA5606">
        <w:rPr>
          <w:rFonts w:ascii="Calibri" w:hAnsi="Calibri" w:cs="Calibri"/>
          <w:color w:val="auto"/>
          <w:sz w:val="22"/>
          <w:szCs w:val="22"/>
        </w:rPr>
        <w:fldChar w:fldCharType="begin"/>
      </w:r>
      <w:r w:rsidRPr="00FA5606">
        <w:rPr>
          <w:rFonts w:ascii="Calibri" w:hAnsi="Calibri" w:cs="Calibri"/>
          <w:color w:val="auto"/>
          <w:sz w:val="22"/>
          <w:szCs w:val="22"/>
        </w:rPr>
        <w:instrText xml:space="preserve"> SEQ Tabela \* ARABIC </w:instrText>
      </w:r>
      <w:r w:rsidR="00EC56B7" w:rsidRPr="00FA5606">
        <w:rPr>
          <w:rFonts w:ascii="Calibri" w:hAnsi="Calibri" w:cs="Calibri"/>
          <w:color w:val="auto"/>
          <w:sz w:val="22"/>
          <w:szCs w:val="22"/>
        </w:rPr>
        <w:fldChar w:fldCharType="separate"/>
      </w:r>
      <w:r w:rsidRPr="00FA5606">
        <w:rPr>
          <w:rFonts w:ascii="Calibri" w:hAnsi="Calibri" w:cs="Calibri"/>
          <w:color w:val="auto"/>
          <w:sz w:val="22"/>
          <w:szCs w:val="22"/>
        </w:rPr>
        <w:t>4</w:t>
      </w:r>
      <w:r w:rsidR="00EC56B7" w:rsidRPr="00FA5606">
        <w:rPr>
          <w:rFonts w:ascii="Calibri" w:hAnsi="Calibri" w:cs="Calibri"/>
          <w:color w:val="auto"/>
          <w:sz w:val="22"/>
          <w:szCs w:val="22"/>
        </w:rPr>
        <w:fldChar w:fldCharType="end"/>
      </w:r>
      <w:r w:rsidRPr="00FA5606">
        <w:rPr>
          <w:rFonts w:ascii="Calibri" w:hAnsi="Calibri" w:cs="Calibri"/>
          <w:color w:val="auto"/>
          <w:sz w:val="22"/>
          <w:szCs w:val="22"/>
        </w:rPr>
        <w:t xml:space="preserve">. </w:t>
      </w:r>
      <w:r w:rsidR="004E1F53" w:rsidRPr="004E1F53">
        <w:rPr>
          <w:rFonts w:ascii="Calibri" w:hAnsi="Calibri" w:cs="Calibri"/>
          <w:b w:val="0"/>
          <w:color w:val="auto"/>
          <w:sz w:val="22"/>
          <w:szCs w:val="22"/>
        </w:rPr>
        <w:t>Projeksionet demografike për vitet 2021 dhe 2026 sipas qarqeve (Skenari i rritjes së mesme)</w:t>
      </w:r>
      <w:bookmarkEnd w:id="21"/>
    </w:p>
    <w:tbl>
      <w:tblPr>
        <w:tblW w:w="10893" w:type="dxa"/>
        <w:tblInd w:w="-720" w:type="dxa"/>
        <w:tblLook w:val="04A0" w:firstRow="1" w:lastRow="0" w:firstColumn="1" w:lastColumn="0" w:noHBand="0" w:noVBand="1"/>
      </w:tblPr>
      <w:tblGrid>
        <w:gridCol w:w="990"/>
        <w:gridCol w:w="766"/>
        <w:gridCol w:w="766"/>
        <w:gridCol w:w="768"/>
        <w:gridCol w:w="914"/>
        <w:gridCol w:w="913"/>
        <w:gridCol w:w="753"/>
        <w:gridCol w:w="837"/>
        <w:gridCol w:w="837"/>
        <w:gridCol w:w="766"/>
        <w:gridCol w:w="878"/>
        <w:gridCol w:w="878"/>
        <w:gridCol w:w="827"/>
      </w:tblGrid>
      <w:tr w:rsidR="00CB2BD7" w:rsidRPr="00E97254" w:rsidTr="00E7729D">
        <w:trPr>
          <w:trHeight w:val="300"/>
        </w:trPr>
        <w:tc>
          <w:tcPr>
            <w:tcW w:w="99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CB2BD7" w:rsidRPr="00E97254" w:rsidRDefault="004E1F53" w:rsidP="000C0250">
            <w:pPr>
              <w:spacing w:after="0"/>
              <w:jc w:val="both"/>
              <w:rPr>
                <w:rFonts w:ascii="Calibri" w:eastAsia="Times New Roman" w:hAnsi="Calibri" w:cs="Calibri"/>
                <w:color w:val="000000"/>
                <w:sz w:val="16"/>
                <w:szCs w:val="16"/>
              </w:rPr>
            </w:pPr>
            <w:r>
              <w:rPr>
                <w:rFonts w:ascii="Calibri" w:eastAsia="Times New Roman" w:hAnsi="Calibri" w:cs="Calibri"/>
                <w:color w:val="000000"/>
                <w:sz w:val="16"/>
                <w:szCs w:val="16"/>
              </w:rPr>
              <w:t>Qarku</w:t>
            </w:r>
          </w:p>
        </w:tc>
        <w:tc>
          <w:tcPr>
            <w:tcW w:w="2300" w:type="dxa"/>
            <w:gridSpan w:val="3"/>
            <w:tcBorders>
              <w:top w:val="single" w:sz="4" w:space="0" w:color="auto"/>
              <w:left w:val="nil"/>
              <w:bottom w:val="single" w:sz="4" w:space="0" w:color="auto"/>
              <w:right w:val="single" w:sz="4" w:space="0" w:color="auto"/>
            </w:tcBorders>
            <w:shd w:val="clear" w:color="auto" w:fill="auto"/>
            <w:noWrap/>
            <w:vAlign w:val="center"/>
            <w:hideMark/>
          </w:tcPr>
          <w:p w:rsidR="00CB2BD7" w:rsidRPr="00E97254" w:rsidRDefault="004E1F53" w:rsidP="000C0250">
            <w:pPr>
              <w:spacing w:after="0"/>
              <w:jc w:val="center"/>
              <w:rPr>
                <w:rFonts w:ascii="Calibri" w:eastAsia="Times New Roman" w:hAnsi="Calibri" w:cs="Calibri"/>
                <w:color w:val="000000"/>
                <w:sz w:val="16"/>
                <w:szCs w:val="16"/>
              </w:rPr>
            </w:pPr>
            <w:r>
              <w:rPr>
                <w:rFonts w:ascii="Calibri" w:eastAsia="Times New Roman" w:hAnsi="Calibri" w:cs="Calibri"/>
                <w:color w:val="000000"/>
                <w:sz w:val="16"/>
                <w:szCs w:val="16"/>
              </w:rPr>
              <w:t>0-24</w:t>
            </w:r>
          </w:p>
        </w:tc>
        <w:tc>
          <w:tcPr>
            <w:tcW w:w="2580" w:type="dxa"/>
            <w:gridSpan w:val="3"/>
            <w:tcBorders>
              <w:top w:val="single" w:sz="4" w:space="0" w:color="auto"/>
              <w:left w:val="nil"/>
              <w:bottom w:val="single" w:sz="4" w:space="0" w:color="auto"/>
              <w:right w:val="single" w:sz="4" w:space="0" w:color="auto"/>
            </w:tcBorders>
            <w:shd w:val="clear" w:color="auto" w:fill="auto"/>
            <w:noWrap/>
            <w:vAlign w:val="center"/>
            <w:hideMark/>
          </w:tcPr>
          <w:p w:rsidR="00CB2BD7" w:rsidRPr="00E97254" w:rsidRDefault="004E1F53" w:rsidP="000C0250">
            <w:pPr>
              <w:spacing w:after="0"/>
              <w:jc w:val="center"/>
              <w:rPr>
                <w:rFonts w:ascii="Calibri" w:eastAsia="Times New Roman" w:hAnsi="Calibri" w:cs="Calibri"/>
                <w:color w:val="000000"/>
                <w:sz w:val="16"/>
                <w:szCs w:val="16"/>
              </w:rPr>
            </w:pPr>
            <w:r>
              <w:rPr>
                <w:rFonts w:ascii="Calibri" w:eastAsia="Times New Roman" w:hAnsi="Calibri" w:cs="Calibri"/>
                <w:color w:val="000000"/>
                <w:sz w:val="16"/>
                <w:szCs w:val="16"/>
              </w:rPr>
              <w:t>15-64</w:t>
            </w:r>
          </w:p>
        </w:tc>
        <w:tc>
          <w:tcPr>
            <w:tcW w:w="2440" w:type="dxa"/>
            <w:gridSpan w:val="3"/>
            <w:tcBorders>
              <w:top w:val="single" w:sz="4" w:space="0" w:color="auto"/>
              <w:left w:val="nil"/>
              <w:bottom w:val="single" w:sz="4" w:space="0" w:color="auto"/>
              <w:right w:val="single" w:sz="4" w:space="0" w:color="auto"/>
            </w:tcBorders>
            <w:shd w:val="clear" w:color="auto" w:fill="auto"/>
            <w:noWrap/>
            <w:vAlign w:val="center"/>
            <w:hideMark/>
          </w:tcPr>
          <w:p w:rsidR="00CB2BD7" w:rsidRPr="00E97254" w:rsidRDefault="004E1F53" w:rsidP="000C0250">
            <w:pPr>
              <w:spacing w:after="0"/>
              <w:jc w:val="center"/>
              <w:rPr>
                <w:rFonts w:ascii="Calibri" w:eastAsia="Times New Roman" w:hAnsi="Calibri" w:cs="Calibri"/>
                <w:color w:val="000000"/>
                <w:sz w:val="16"/>
                <w:szCs w:val="16"/>
              </w:rPr>
            </w:pPr>
            <w:r>
              <w:rPr>
                <w:rFonts w:ascii="Calibri" w:eastAsia="Times New Roman" w:hAnsi="Calibri" w:cs="Calibri"/>
                <w:color w:val="000000"/>
                <w:sz w:val="16"/>
                <w:szCs w:val="16"/>
              </w:rPr>
              <w:t>65+</w:t>
            </w:r>
          </w:p>
        </w:tc>
        <w:tc>
          <w:tcPr>
            <w:tcW w:w="2583" w:type="dxa"/>
            <w:gridSpan w:val="3"/>
            <w:tcBorders>
              <w:top w:val="single" w:sz="4" w:space="0" w:color="auto"/>
              <w:left w:val="nil"/>
              <w:bottom w:val="single" w:sz="4" w:space="0" w:color="auto"/>
              <w:right w:val="single" w:sz="4" w:space="0" w:color="auto"/>
            </w:tcBorders>
            <w:shd w:val="clear" w:color="auto" w:fill="auto"/>
            <w:noWrap/>
            <w:vAlign w:val="center"/>
            <w:hideMark/>
          </w:tcPr>
          <w:p w:rsidR="00CB2BD7" w:rsidRPr="00E97254" w:rsidRDefault="004E1F53" w:rsidP="000C0250">
            <w:pPr>
              <w:spacing w:after="0"/>
              <w:jc w:val="center"/>
              <w:rPr>
                <w:rFonts w:ascii="Calibri" w:eastAsia="Times New Roman" w:hAnsi="Calibri" w:cs="Calibri"/>
                <w:color w:val="000000"/>
                <w:sz w:val="16"/>
                <w:szCs w:val="16"/>
              </w:rPr>
            </w:pPr>
            <w:r>
              <w:rPr>
                <w:rFonts w:ascii="Calibri" w:eastAsia="Times New Roman" w:hAnsi="Calibri" w:cs="Calibri"/>
                <w:color w:val="000000"/>
                <w:sz w:val="16"/>
                <w:szCs w:val="16"/>
              </w:rPr>
              <w:t>Të gjithë</w:t>
            </w:r>
          </w:p>
        </w:tc>
      </w:tr>
      <w:tr w:rsidR="00CB2BD7" w:rsidRPr="00E97254" w:rsidTr="00E7729D">
        <w:trPr>
          <w:trHeight w:val="300"/>
        </w:trPr>
        <w:tc>
          <w:tcPr>
            <w:tcW w:w="990" w:type="dxa"/>
            <w:vMerge/>
            <w:tcBorders>
              <w:top w:val="single" w:sz="4" w:space="0" w:color="auto"/>
              <w:left w:val="single" w:sz="4" w:space="0" w:color="auto"/>
              <w:bottom w:val="single" w:sz="4" w:space="0" w:color="000000"/>
              <w:right w:val="single" w:sz="4" w:space="0" w:color="auto"/>
            </w:tcBorders>
            <w:vAlign w:val="center"/>
            <w:hideMark/>
          </w:tcPr>
          <w:p w:rsidR="00CB2BD7" w:rsidRPr="00E97254" w:rsidRDefault="00CB2BD7" w:rsidP="000C0250">
            <w:pPr>
              <w:keepNext/>
              <w:keepLines/>
              <w:spacing w:before="480" w:after="0"/>
              <w:jc w:val="both"/>
              <w:outlineLvl w:val="0"/>
              <w:rPr>
                <w:rFonts w:ascii="Calibri" w:eastAsia="Times New Roman" w:hAnsi="Calibri" w:cs="Calibri"/>
                <w:color w:val="000000"/>
                <w:sz w:val="16"/>
                <w:szCs w:val="16"/>
              </w:rPr>
            </w:pPr>
          </w:p>
        </w:tc>
        <w:tc>
          <w:tcPr>
            <w:tcW w:w="766" w:type="dxa"/>
            <w:tcBorders>
              <w:top w:val="nil"/>
              <w:left w:val="nil"/>
              <w:bottom w:val="single" w:sz="4" w:space="0" w:color="auto"/>
              <w:right w:val="single" w:sz="4" w:space="0" w:color="auto"/>
            </w:tcBorders>
            <w:shd w:val="clear" w:color="auto" w:fill="auto"/>
            <w:noWrap/>
            <w:vAlign w:val="center"/>
            <w:hideMark/>
          </w:tcPr>
          <w:p w:rsidR="00CB2BD7" w:rsidRPr="00E97254" w:rsidRDefault="004E1F53" w:rsidP="000C0250">
            <w:pPr>
              <w:spacing w:after="0"/>
              <w:jc w:val="center"/>
              <w:rPr>
                <w:rFonts w:ascii="Calibri" w:eastAsia="Times New Roman" w:hAnsi="Calibri" w:cs="Calibri"/>
                <w:color w:val="000000"/>
                <w:sz w:val="16"/>
                <w:szCs w:val="16"/>
              </w:rPr>
            </w:pPr>
            <w:r>
              <w:rPr>
                <w:rFonts w:ascii="Calibri" w:eastAsia="Times New Roman" w:hAnsi="Calibri" w:cs="Calibri"/>
                <w:color w:val="000000"/>
                <w:sz w:val="16"/>
                <w:szCs w:val="16"/>
              </w:rPr>
              <w:t>2021</w:t>
            </w:r>
          </w:p>
        </w:tc>
        <w:tc>
          <w:tcPr>
            <w:tcW w:w="766" w:type="dxa"/>
            <w:tcBorders>
              <w:top w:val="nil"/>
              <w:left w:val="nil"/>
              <w:bottom w:val="single" w:sz="4" w:space="0" w:color="auto"/>
              <w:right w:val="single" w:sz="4" w:space="0" w:color="auto"/>
            </w:tcBorders>
            <w:shd w:val="clear" w:color="auto" w:fill="auto"/>
            <w:noWrap/>
            <w:vAlign w:val="center"/>
            <w:hideMark/>
          </w:tcPr>
          <w:p w:rsidR="00CB2BD7" w:rsidRPr="00E97254" w:rsidRDefault="004E1F53" w:rsidP="000C0250">
            <w:pPr>
              <w:spacing w:after="0"/>
              <w:jc w:val="center"/>
              <w:rPr>
                <w:rFonts w:ascii="Calibri" w:eastAsia="Times New Roman" w:hAnsi="Calibri" w:cs="Calibri"/>
                <w:color w:val="000000"/>
                <w:sz w:val="16"/>
                <w:szCs w:val="16"/>
              </w:rPr>
            </w:pPr>
            <w:r>
              <w:rPr>
                <w:rFonts w:ascii="Calibri" w:eastAsia="Times New Roman" w:hAnsi="Calibri" w:cs="Calibri"/>
                <w:color w:val="000000"/>
                <w:sz w:val="16"/>
                <w:szCs w:val="16"/>
              </w:rPr>
              <w:t>2026</w:t>
            </w:r>
          </w:p>
        </w:tc>
        <w:tc>
          <w:tcPr>
            <w:tcW w:w="768" w:type="dxa"/>
            <w:tcBorders>
              <w:top w:val="nil"/>
              <w:left w:val="nil"/>
              <w:bottom w:val="single" w:sz="4" w:space="0" w:color="auto"/>
              <w:right w:val="single" w:sz="4" w:space="0" w:color="auto"/>
            </w:tcBorders>
            <w:shd w:val="clear" w:color="auto" w:fill="auto"/>
            <w:noWrap/>
            <w:vAlign w:val="center"/>
            <w:hideMark/>
          </w:tcPr>
          <w:p w:rsidR="00CB2BD7" w:rsidRPr="00E97254" w:rsidRDefault="004E1F53" w:rsidP="000C0250">
            <w:pPr>
              <w:spacing w:after="0"/>
              <w:jc w:val="center"/>
              <w:rPr>
                <w:rFonts w:ascii="Calibri" w:eastAsia="Times New Roman" w:hAnsi="Calibri" w:cs="Calibri"/>
                <w:color w:val="000000"/>
                <w:sz w:val="16"/>
                <w:szCs w:val="16"/>
              </w:rPr>
            </w:pPr>
            <w:r>
              <w:rPr>
                <w:rFonts w:ascii="Calibri" w:eastAsia="Times New Roman" w:hAnsi="Calibri" w:cs="Calibri"/>
                <w:color w:val="000000"/>
                <w:sz w:val="16"/>
                <w:szCs w:val="16"/>
              </w:rPr>
              <w:t>Ndrysh</w:t>
            </w:r>
          </w:p>
        </w:tc>
        <w:tc>
          <w:tcPr>
            <w:tcW w:w="914" w:type="dxa"/>
            <w:tcBorders>
              <w:top w:val="nil"/>
              <w:left w:val="nil"/>
              <w:bottom w:val="single" w:sz="4" w:space="0" w:color="auto"/>
              <w:right w:val="single" w:sz="4" w:space="0" w:color="auto"/>
            </w:tcBorders>
            <w:shd w:val="clear" w:color="auto" w:fill="auto"/>
            <w:noWrap/>
            <w:vAlign w:val="center"/>
            <w:hideMark/>
          </w:tcPr>
          <w:p w:rsidR="00CB2BD7" w:rsidRPr="00E97254" w:rsidRDefault="004E1F53" w:rsidP="000C0250">
            <w:pPr>
              <w:spacing w:after="0"/>
              <w:jc w:val="center"/>
              <w:rPr>
                <w:rFonts w:ascii="Calibri" w:eastAsia="Times New Roman" w:hAnsi="Calibri" w:cs="Calibri"/>
                <w:color w:val="000000"/>
                <w:sz w:val="16"/>
                <w:szCs w:val="16"/>
              </w:rPr>
            </w:pPr>
            <w:r>
              <w:rPr>
                <w:rFonts w:ascii="Calibri" w:eastAsia="Times New Roman" w:hAnsi="Calibri" w:cs="Calibri"/>
                <w:color w:val="000000"/>
                <w:sz w:val="16"/>
                <w:szCs w:val="16"/>
              </w:rPr>
              <w:t>2021</w:t>
            </w:r>
          </w:p>
        </w:tc>
        <w:tc>
          <w:tcPr>
            <w:tcW w:w="913" w:type="dxa"/>
            <w:tcBorders>
              <w:top w:val="nil"/>
              <w:left w:val="nil"/>
              <w:bottom w:val="single" w:sz="4" w:space="0" w:color="auto"/>
              <w:right w:val="single" w:sz="4" w:space="0" w:color="auto"/>
            </w:tcBorders>
            <w:shd w:val="clear" w:color="auto" w:fill="auto"/>
            <w:noWrap/>
            <w:vAlign w:val="center"/>
            <w:hideMark/>
          </w:tcPr>
          <w:p w:rsidR="00CB2BD7" w:rsidRPr="00E97254" w:rsidRDefault="004E1F53" w:rsidP="000C0250">
            <w:pPr>
              <w:spacing w:after="0"/>
              <w:jc w:val="center"/>
              <w:rPr>
                <w:rFonts w:ascii="Calibri" w:eastAsia="Times New Roman" w:hAnsi="Calibri" w:cs="Calibri"/>
                <w:color w:val="000000"/>
                <w:sz w:val="16"/>
                <w:szCs w:val="16"/>
              </w:rPr>
            </w:pPr>
            <w:r>
              <w:rPr>
                <w:rFonts w:ascii="Calibri" w:eastAsia="Times New Roman" w:hAnsi="Calibri" w:cs="Calibri"/>
                <w:color w:val="000000"/>
                <w:sz w:val="16"/>
                <w:szCs w:val="16"/>
              </w:rPr>
              <w:t>2026</w:t>
            </w:r>
          </w:p>
        </w:tc>
        <w:tc>
          <w:tcPr>
            <w:tcW w:w="753" w:type="dxa"/>
            <w:tcBorders>
              <w:top w:val="nil"/>
              <w:left w:val="nil"/>
              <w:bottom w:val="single" w:sz="4" w:space="0" w:color="auto"/>
              <w:right w:val="single" w:sz="4" w:space="0" w:color="auto"/>
            </w:tcBorders>
            <w:shd w:val="clear" w:color="auto" w:fill="auto"/>
            <w:noWrap/>
            <w:vAlign w:val="center"/>
            <w:hideMark/>
          </w:tcPr>
          <w:p w:rsidR="00CB2BD7" w:rsidRPr="00E97254" w:rsidRDefault="004E1F53" w:rsidP="000C0250">
            <w:pPr>
              <w:spacing w:after="0"/>
              <w:jc w:val="center"/>
              <w:rPr>
                <w:rFonts w:ascii="Calibri" w:eastAsia="Times New Roman" w:hAnsi="Calibri" w:cs="Calibri"/>
                <w:color w:val="000000"/>
                <w:sz w:val="16"/>
                <w:szCs w:val="16"/>
              </w:rPr>
            </w:pPr>
            <w:r>
              <w:rPr>
                <w:rFonts w:ascii="Calibri" w:eastAsia="Times New Roman" w:hAnsi="Calibri" w:cs="Calibri"/>
                <w:color w:val="000000"/>
                <w:sz w:val="16"/>
                <w:szCs w:val="16"/>
              </w:rPr>
              <w:t>Ndrysh</w:t>
            </w:r>
          </w:p>
        </w:tc>
        <w:tc>
          <w:tcPr>
            <w:tcW w:w="837" w:type="dxa"/>
            <w:tcBorders>
              <w:top w:val="nil"/>
              <w:left w:val="nil"/>
              <w:bottom w:val="single" w:sz="4" w:space="0" w:color="auto"/>
              <w:right w:val="single" w:sz="4" w:space="0" w:color="auto"/>
            </w:tcBorders>
            <w:shd w:val="clear" w:color="auto" w:fill="auto"/>
            <w:noWrap/>
            <w:vAlign w:val="center"/>
            <w:hideMark/>
          </w:tcPr>
          <w:p w:rsidR="00CB2BD7" w:rsidRPr="00E97254" w:rsidRDefault="004E1F53" w:rsidP="000C0250">
            <w:pPr>
              <w:spacing w:after="0"/>
              <w:jc w:val="center"/>
              <w:rPr>
                <w:rFonts w:ascii="Calibri" w:eastAsia="Times New Roman" w:hAnsi="Calibri" w:cs="Calibri"/>
                <w:color w:val="000000"/>
                <w:sz w:val="16"/>
                <w:szCs w:val="16"/>
              </w:rPr>
            </w:pPr>
            <w:r>
              <w:rPr>
                <w:rFonts w:ascii="Calibri" w:eastAsia="Times New Roman" w:hAnsi="Calibri" w:cs="Calibri"/>
                <w:color w:val="000000"/>
                <w:sz w:val="16"/>
                <w:szCs w:val="16"/>
              </w:rPr>
              <w:t>2021</w:t>
            </w:r>
          </w:p>
        </w:tc>
        <w:tc>
          <w:tcPr>
            <w:tcW w:w="837" w:type="dxa"/>
            <w:tcBorders>
              <w:top w:val="nil"/>
              <w:left w:val="nil"/>
              <w:bottom w:val="single" w:sz="4" w:space="0" w:color="auto"/>
              <w:right w:val="single" w:sz="4" w:space="0" w:color="auto"/>
            </w:tcBorders>
            <w:shd w:val="clear" w:color="auto" w:fill="auto"/>
            <w:noWrap/>
            <w:vAlign w:val="center"/>
            <w:hideMark/>
          </w:tcPr>
          <w:p w:rsidR="00CB2BD7" w:rsidRPr="00E97254" w:rsidRDefault="004E1F53" w:rsidP="000C0250">
            <w:pPr>
              <w:spacing w:after="0"/>
              <w:jc w:val="center"/>
              <w:rPr>
                <w:rFonts w:ascii="Calibri" w:eastAsia="Times New Roman" w:hAnsi="Calibri" w:cs="Calibri"/>
                <w:color w:val="000000"/>
                <w:sz w:val="16"/>
                <w:szCs w:val="16"/>
              </w:rPr>
            </w:pPr>
            <w:r>
              <w:rPr>
                <w:rFonts w:ascii="Calibri" w:eastAsia="Times New Roman" w:hAnsi="Calibri" w:cs="Calibri"/>
                <w:color w:val="000000"/>
                <w:sz w:val="16"/>
                <w:szCs w:val="16"/>
              </w:rPr>
              <w:t>2026</w:t>
            </w:r>
          </w:p>
        </w:tc>
        <w:tc>
          <w:tcPr>
            <w:tcW w:w="766" w:type="dxa"/>
            <w:tcBorders>
              <w:top w:val="nil"/>
              <w:left w:val="nil"/>
              <w:bottom w:val="single" w:sz="4" w:space="0" w:color="auto"/>
              <w:right w:val="single" w:sz="4" w:space="0" w:color="auto"/>
            </w:tcBorders>
            <w:shd w:val="clear" w:color="auto" w:fill="auto"/>
            <w:noWrap/>
            <w:vAlign w:val="center"/>
            <w:hideMark/>
          </w:tcPr>
          <w:p w:rsidR="00CB2BD7" w:rsidRPr="00E97254" w:rsidRDefault="004E1F53" w:rsidP="000C0250">
            <w:pPr>
              <w:spacing w:after="0"/>
              <w:jc w:val="center"/>
              <w:rPr>
                <w:rFonts w:ascii="Calibri" w:eastAsia="Times New Roman" w:hAnsi="Calibri" w:cs="Calibri"/>
                <w:color w:val="000000"/>
                <w:sz w:val="16"/>
                <w:szCs w:val="16"/>
              </w:rPr>
            </w:pPr>
            <w:r>
              <w:rPr>
                <w:rFonts w:ascii="Calibri" w:eastAsia="Times New Roman" w:hAnsi="Calibri" w:cs="Calibri"/>
                <w:color w:val="000000"/>
                <w:sz w:val="16"/>
                <w:szCs w:val="16"/>
              </w:rPr>
              <w:t>Ndrysh</w:t>
            </w:r>
          </w:p>
        </w:tc>
        <w:tc>
          <w:tcPr>
            <w:tcW w:w="878" w:type="dxa"/>
            <w:tcBorders>
              <w:top w:val="nil"/>
              <w:left w:val="nil"/>
              <w:bottom w:val="single" w:sz="4" w:space="0" w:color="auto"/>
              <w:right w:val="single" w:sz="4" w:space="0" w:color="auto"/>
            </w:tcBorders>
            <w:shd w:val="clear" w:color="auto" w:fill="auto"/>
            <w:noWrap/>
            <w:vAlign w:val="center"/>
            <w:hideMark/>
          </w:tcPr>
          <w:p w:rsidR="00CB2BD7" w:rsidRPr="00E97254" w:rsidRDefault="004E1F53" w:rsidP="000C0250">
            <w:pPr>
              <w:spacing w:after="0"/>
              <w:jc w:val="center"/>
              <w:rPr>
                <w:rFonts w:ascii="Calibri" w:eastAsia="Times New Roman" w:hAnsi="Calibri" w:cs="Calibri"/>
                <w:color w:val="000000"/>
                <w:sz w:val="16"/>
                <w:szCs w:val="16"/>
              </w:rPr>
            </w:pPr>
            <w:r>
              <w:rPr>
                <w:rFonts w:ascii="Calibri" w:eastAsia="Times New Roman" w:hAnsi="Calibri" w:cs="Calibri"/>
                <w:color w:val="000000"/>
                <w:sz w:val="16"/>
                <w:szCs w:val="16"/>
              </w:rPr>
              <w:t>2021</w:t>
            </w:r>
          </w:p>
        </w:tc>
        <w:tc>
          <w:tcPr>
            <w:tcW w:w="878" w:type="dxa"/>
            <w:tcBorders>
              <w:top w:val="nil"/>
              <w:left w:val="nil"/>
              <w:bottom w:val="single" w:sz="4" w:space="0" w:color="auto"/>
              <w:right w:val="single" w:sz="4" w:space="0" w:color="auto"/>
            </w:tcBorders>
            <w:shd w:val="clear" w:color="auto" w:fill="auto"/>
            <w:noWrap/>
            <w:vAlign w:val="center"/>
            <w:hideMark/>
          </w:tcPr>
          <w:p w:rsidR="00CB2BD7" w:rsidRPr="00E97254" w:rsidRDefault="004E1F53" w:rsidP="000C0250">
            <w:pPr>
              <w:spacing w:after="0"/>
              <w:jc w:val="center"/>
              <w:rPr>
                <w:rFonts w:ascii="Calibri" w:eastAsia="Times New Roman" w:hAnsi="Calibri" w:cs="Calibri"/>
                <w:color w:val="000000"/>
                <w:sz w:val="16"/>
                <w:szCs w:val="16"/>
              </w:rPr>
            </w:pPr>
            <w:r>
              <w:rPr>
                <w:rFonts w:ascii="Calibri" w:eastAsia="Times New Roman" w:hAnsi="Calibri" w:cs="Calibri"/>
                <w:color w:val="000000"/>
                <w:sz w:val="16"/>
                <w:szCs w:val="16"/>
              </w:rPr>
              <w:t>2026</w:t>
            </w:r>
          </w:p>
        </w:tc>
        <w:tc>
          <w:tcPr>
            <w:tcW w:w="827" w:type="dxa"/>
            <w:tcBorders>
              <w:top w:val="nil"/>
              <w:left w:val="nil"/>
              <w:bottom w:val="single" w:sz="4" w:space="0" w:color="auto"/>
              <w:right w:val="single" w:sz="4" w:space="0" w:color="auto"/>
            </w:tcBorders>
            <w:shd w:val="clear" w:color="auto" w:fill="auto"/>
            <w:noWrap/>
            <w:vAlign w:val="center"/>
            <w:hideMark/>
          </w:tcPr>
          <w:p w:rsidR="00CB2BD7" w:rsidRPr="00E97254" w:rsidRDefault="004E1F53" w:rsidP="000C0250">
            <w:pPr>
              <w:spacing w:after="0"/>
              <w:jc w:val="center"/>
              <w:rPr>
                <w:rFonts w:ascii="Calibri" w:eastAsia="Times New Roman" w:hAnsi="Calibri" w:cs="Calibri"/>
                <w:color w:val="000000"/>
                <w:sz w:val="16"/>
                <w:szCs w:val="16"/>
              </w:rPr>
            </w:pPr>
            <w:r>
              <w:rPr>
                <w:rFonts w:ascii="Calibri" w:eastAsia="Times New Roman" w:hAnsi="Calibri" w:cs="Calibri"/>
                <w:color w:val="000000"/>
                <w:sz w:val="16"/>
                <w:szCs w:val="16"/>
              </w:rPr>
              <w:t>Ndrysh</w:t>
            </w:r>
          </w:p>
        </w:tc>
      </w:tr>
      <w:tr w:rsidR="00CB2BD7" w:rsidRPr="00E97254" w:rsidTr="00E7729D">
        <w:trPr>
          <w:trHeight w:val="300"/>
        </w:trPr>
        <w:tc>
          <w:tcPr>
            <w:tcW w:w="990" w:type="dxa"/>
            <w:tcBorders>
              <w:top w:val="nil"/>
              <w:left w:val="single" w:sz="4" w:space="0" w:color="auto"/>
              <w:bottom w:val="single" w:sz="4" w:space="0" w:color="auto"/>
              <w:right w:val="single" w:sz="4" w:space="0" w:color="auto"/>
            </w:tcBorders>
            <w:shd w:val="clear" w:color="000000" w:fill="FFFFFF"/>
            <w:noWrap/>
            <w:vAlign w:val="center"/>
            <w:hideMark/>
          </w:tcPr>
          <w:p w:rsidR="00CB2BD7" w:rsidRPr="00E97254" w:rsidRDefault="004E1F53" w:rsidP="000C0250">
            <w:pPr>
              <w:spacing w:after="0"/>
              <w:jc w:val="both"/>
              <w:rPr>
                <w:rFonts w:ascii="Arial" w:eastAsia="Times New Roman" w:hAnsi="Arial" w:cs="Arial"/>
                <w:color w:val="000000"/>
                <w:sz w:val="16"/>
                <w:szCs w:val="16"/>
              </w:rPr>
            </w:pPr>
            <w:r>
              <w:rPr>
                <w:rFonts w:ascii="Arial" w:eastAsia="Times New Roman" w:hAnsi="Arial" w:cs="Arial"/>
                <w:color w:val="000000"/>
                <w:sz w:val="16"/>
                <w:szCs w:val="16"/>
              </w:rPr>
              <w:t>Berat</w:t>
            </w:r>
          </w:p>
        </w:tc>
        <w:tc>
          <w:tcPr>
            <w:tcW w:w="766" w:type="dxa"/>
            <w:tcBorders>
              <w:top w:val="nil"/>
              <w:left w:val="nil"/>
              <w:bottom w:val="single" w:sz="4" w:space="0" w:color="auto"/>
              <w:right w:val="single" w:sz="4" w:space="0" w:color="auto"/>
            </w:tcBorders>
            <w:shd w:val="clear" w:color="auto" w:fill="auto"/>
            <w:noWrap/>
            <w:vAlign w:val="center"/>
            <w:hideMark/>
          </w:tcPr>
          <w:p w:rsidR="00CB2BD7" w:rsidRPr="00E97254" w:rsidRDefault="004E1F53" w:rsidP="000C0250">
            <w:pPr>
              <w:spacing w:after="0"/>
              <w:jc w:val="right"/>
              <w:rPr>
                <w:rFonts w:ascii="Calibri" w:eastAsia="Times New Roman" w:hAnsi="Calibri" w:cs="Calibri"/>
                <w:color w:val="000000"/>
                <w:sz w:val="16"/>
                <w:szCs w:val="16"/>
              </w:rPr>
            </w:pPr>
            <w:r>
              <w:rPr>
                <w:rFonts w:ascii="Calibri" w:eastAsia="Times New Roman" w:hAnsi="Calibri" w:cs="Calibri"/>
                <w:color w:val="000000"/>
                <w:sz w:val="16"/>
                <w:szCs w:val="16"/>
              </w:rPr>
              <w:t>38,768</w:t>
            </w:r>
          </w:p>
        </w:tc>
        <w:tc>
          <w:tcPr>
            <w:tcW w:w="766" w:type="dxa"/>
            <w:tcBorders>
              <w:top w:val="nil"/>
              <w:left w:val="nil"/>
              <w:bottom w:val="single" w:sz="4" w:space="0" w:color="auto"/>
              <w:right w:val="single" w:sz="4" w:space="0" w:color="auto"/>
            </w:tcBorders>
            <w:shd w:val="clear" w:color="auto" w:fill="auto"/>
            <w:noWrap/>
            <w:vAlign w:val="center"/>
            <w:hideMark/>
          </w:tcPr>
          <w:p w:rsidR="00CB2BD7" w:rsidRPr="00E97254" w:rsidRDefault="004E1F53" w:rsidP="000C0250">
            <w:pPr>
              <w:spacing w:after="0"/>
              <w:jc w:val="right"/>
              <w:rPr>
                <w:rFonts w:ascii="Calibri" w:eastAsia="Times New Roman" w:hAnsi="Calibri" w:cs="Calibri"/>
                <w:color w:val="000000"/>
                <w:sz w:val="16"/>
                <w:szCs w:val="16"/>
              </w:rPr>
            </w:pPr>
            <w:r>
              <w:rPr>
                <w:rFonts w:ascii="Calibri" w:eastAsia="Times New Roman" w:hAnsi="Calibri" w:cs="Calibri"/>
                <w:color w:val="000000"/>
                <w:sz w:val="16"/>
                <w:szCs w:val="16"/>
              </w:rPr>
              <w:t>31,390</w:t>
            </w:r>
          </w:p>
        </w:tc>
        <w:tc>
          <w:tcPr>
            <w:tcW w:w="768" w:type="dxa"/>
            <w:tcBorders>
              <w:top w:val="nil"/>
              <w:left w:val="nil"/>
              <w:bottom w:val="single" w:sz="4" w:space="0" w:color="auto"/>
              <w:right w:val="single" w:sz="4" w:space="0" w:color="auto"/>
            </w:tcBorders>
            <w:shd w:val="clear" w:color="auto" w:fill="auto"/>
            <w:noWrap/>
            <w:vAlign w:val="center"/>
            <w:hideMark/>
          </w:tcPr>
          <w:p w:rsidR="00CB2BD7" w:rsidRPr="00E97254" w:rsidRDefault="004E1F53" w:rsidP="000C0250">
            <w:pPr>
              <w:spacing w:after="0"/>
              <w:jc w:val="right"/>
              <w:rPr>
                <w:rFonts w:ascii="Calibri" w:eastAsia="Times New Roman" w:hAnsi="Calibri" w:cs="Calibri"/>
                <w:color w:val="000000"/>
                <w:sz w:val="16"/>
                <w:szCs w:val="16"/>
              </w:rPr>
            </w:pPr>
            <w:r>
              <w:rPr>
                <w:rFonts w:ascii="Calibri" w:eastAsia="Times New Roman" w:hAnsi="Calibri" w:cs="Calibri"/>
                <w:color w:val="000000"/>
                <w:sz w:val="16"/>
                <w:szCs w:val="16"/>
              </w:rPr>
              <w:t>-19.03%</w:t>
            </w:r>
          </w:p>
        </w:tc>
        <w:tc>
          <w:tcPr>
            <w:tcW w:w="914" w:type="dxa"/>
            <w:tcBorders>
              <w:top w:val="nil"/>
              <w:left w:val="nil"/>
              <w:bottom w:val="single" w:sz="4" w:space="0" w:color="auto"/>
              <w:right w:val="single" w:sz="4" w:space="0" w:color="auto"/>
            </w:tcBorders>
            <w:shd w:val="clear" w:color="auto" w:fill="auto"/>
            <w:noWrap/>
            <w:vAlign w:val="center"/>
            <w:hideMark/>
          </w:tcPr>
          <w:p w:rsidR="00CB2BD7" w:rsidRPr="00E97254" w:rsidRDefault="004E1F53" w:rsidP="000C0250">
            <w:pPr>
              <w:spacing w:after="0"/>
              <w:jc w:val="right"/>
              <w:rPr>
                <w:rFonts w:ascii="Calibri" w:eastAsia="Times New Roman" w:hAnsi="Calibri" w:cs="Calibri"/>
                <w:color w:val="000000"/>
                <w:sz w:val="16"/>
                <w:szCs w:val="16"/>
              </w:rPr>
            </w:pPr>
            <w:r>
              <w:rPr>
                <w:rFonts w:ascii="Calibri" w:eastAsia="Times New Roman" w:hAnsi="Calibri" w:cs="Calibri"/>
                <w:color w:val="000000"/>
                <w:sz w:val="16"/>
                <w:szCs w:val="16"/>
              </w:rPr>
              <w:t>84,428</w:t>
            </w:r>
          </w:p>
        </w:tc>
        <w:tc>
          <w:tcPr>
            <w:tcW w:w="913" w:type="dxa"/>
            <w:tcBorders>
              <w:top w:val="nil"/>
              <w:left w:val="nil"/>
              <w:bottom w:val="single" w:sz="4" w:space="0" w:color="auto"/>
              <w:right w:val="single" w:sz="4" w:space="0" w:color="auto"/>
            </w:tcBorders>
            <w:shd w:val="clear" w:color="auto" w:fill="auto"/>
            <w:noWrap/>
            <w:vAlign w:val="center"/>
            <w:hideMark/>
          </w:tcPr>
          <w:p w:rsidR="00CB2BD7" w:rsidRPr="00E97254" w:rsidRDefault="004E1F53" w:rsidP="000C0250">
            <w:pPr>
              <w:spacing w:after="0"/>
              <w:jc w:val="right"/>
              <w:rPr>
                <w:rFonts w:ascii="Calibri" w:eastAsia="Times New Roman" w:hAnsi="Calibri" w:cs="Calibri"/>
                <w:color w:val="000000"/>
                <w:sz w:val="16"/>
                <w:szCs w:val="16"/>
              </w:rPr>
            </w:pPr>
            <w:r>
              <w:rPr>
                <w:rFonts w:ascii="Calibri" w:eastAsia="Times New Roman" w:hAnsi="Calibri" w:cs="Calibri"/>
                <w:color w:val="000000"/>
                <w:sz w:val="16"/>
                <w:szCs w:val="16"/>
              </w:rPr>
              <w:t>78,238</w:t>
            </w:r>
          </w:p>
        </w:tc>
        <w:tc>
          <w:tcPr>
            <w:tcW w:w="753" w:type="dxa"/>
            <w:tcBorders>
              <w:top w:val="nil"/>
              <w:left w:val="nil"/>
              <w:bottom w:val="single" w:sz="4" w:space="0" w:color="auto"/>
              <w:right w:val="single" w:sz="4" w:space="0" w:color="auto"/>
            </w:tcBorders>
            <w:shd w:val="clear" w:color="auto" w:fill="auto"/>
            <w:noWrap/>
            <w:vAlign w:val="center"/>
            <w:hideMark/>
          </w:tcPr>
          <w:p w:rsidR="00CB2BD7" w:rsidRPr="00E97254" w:rsidRDefault="004E1F53" w:rsidP="000C0250">
            <w:pPr>
              <w:spacing w:after="0"/>
              <w:jc w:val="right"/>
              <w:rPr>
                <w:rFonts w:ascii="Calibri" w:eastAsia="Times New Roman" w:hAnsi="Calibri" w:cs="Calibri"/>
                <w:color w:val="000000"/>
                <w:sz w:val="16"/>
                <w:szCs w:val="16"/>
              </w:rPr>
            </w:pPr>
            <w:r>
              <w:rPr>
                <w:rFonts w:ascii="Calibri" w:eastAsia="Times New Roman" w:hAnsi="Calibri" w:cs="Calibri"/>
                <w:color w:val="000000"/>
                <w:sz w:val="16"/>
                <w:szCs w:val="16"/>
              </w:rPr>
              <w:t>-7.33%</w:t>
            </w:r>
          </w:p>
        </w:tc>
        <w:tc>
          <w:tcPr>
            <w:tcW w:w="837" w:type="dxa"/>
            <w:tcBorders>
              <w:top w:val="nil"/>
              <w:left w:val="nil"/>
              <w:bottom w:val="single" w:sz="4" w:space="0" w:color="auto"/>
              <w:right w:val="single" w:sz="4" w:space="0" w:color="auto"/>
            </w:tcBorders>
            <w:shd w:val="clear" w:color="auto" w:fill="auto"/>
            <w:noWrap/>
            <w:vAlign w:val="center"/>
            <w:hideMark/>
          </w:tcPr>
          <w:p w:rsidR="00CB2BD7" w:rsidRPr="00E97254" w:rsidRDefault="004E1F53" w:rsidP="000C0250">
            <w:pPr>
              <w:spacing w:after="0"/>
              <w:jc w:val="right"/>
              <w:rPr>
                <w:rFonts w:ascii="Calibri" w:eastAsia="Times New Roman" w:hAnsi="Calibri" w:cs="Calibri"/>
                <w:color w:val="000000"/>
                <w:sz w:val="16"/>
                <w:szCs w:val="16"/>
              </w:rPr>
            </w:pPr>
            <w:r>
              <w:rPr>
                <w:rFonts w:ascii="Calibri" w:eastAsia="Times New Roman" w:hAnsi="Calibri" w:cs="Calibri"/>
                <w:color w:val="000000"/>
                <w:sz w:val="16"/>
                <w:szCs w:val="16"/>
              </w:rPr>
              <w:t>19,736</w:t>
            </w:r>
          </w:p>
        </w:tc>
        <w:tc>
          <w:tcPr>
            <w:tcW w:w="837" w:type="dxa"/>
            <w:tcBorders>
              <w:top w:val="nil"/>
              <w:left w:val="nil"/>
              <w:bottom w:val="single" w:sz="4" w:space="0" w:color="auto"/>
              <w:right w:val="single" w:sz="4" w:space="0" w:color="auto"/>
            </w:tcBorders>
            <w:shd w:val="clear" w:color="auto" w:fill="auto"/>
            <w:noWrap/>
            <w:vAlign w:val="center"/>
            <w:hideMark/>
          </w:tcPr>
          <w:p w:rsidR="00CB2BD7" w:rsidRPr="00E97254" w:rsidRDefault="004E1F53" w:rsidP="000C0250">
            <w:pPr>
              <w:spacing w:after="0"/>
              <w:jc w:val="right"/>
              <w:rPr>
                <w:rFonts w:ascii="Calibri" w:eastAsia="Times New Roman" w:hAnsi="Calibri" w:cs="Calibri"/>
                <w:color w:val="000000"/>
                <w:sz w:val="16"/>
                <w:szCs w:val="16"/>
              </w:rPr>
            </w:pPr>
            <w:r>
              <w:rPr>
                <w:rFonts w:ascii="Calibri" w:eastAsia="Times New Roman" w:hAnsi="Calibri" w:cs="Calibri"/>
                <w:color w:val="000000"/>
                <w:sz w:val="16"/>
                <w:szCs w:val="16"/>
              </w:rPr>
              <w:t>24,099</w:t>
            </w:r>
          </w:p>
        </w:tc>
        <w:tc>
          <w:tcPr>
            <w:tcW w:w="766" w:type="dxa"/>
            <w:tcBorders>
              <w:top w:val="nil"/>
              <w:left w:val="nil"/>
              <w:bottom w:val="single" w:sz="4" w:space="0" w:color="auto"/>
              <w:right w:val="single" w:sz="4" w:space="0" w:color="auto"/>
            </w:tcBorders>
            <w:shd w:val="clear" w:color="auto" w:fill="auto"/>
            <w:noWrap/>
            <w:vAlign w:val="center"/>
            <w:hideMark/>
          </w:tcPr>
          <w:p w:rsidR="00CB2BD7" w:rsidRPr="00E97254" w:rsidRDefault="004E1F53" w:rsidP="000C0250">
            <w:pPr>
              <w:spacing w:after="0"/>
              <w:jc w:val="right"/>
              <w:rPr>
                <w:rFonts w:ascii="Calibri" w:eastAsia="Times New Roman" w:hAnsi="Calibri" w:cs="Calibri"/>
                <w:color w:val="000000"/>
                <w:sz w:val="16"/>
                <w:szCs w:val="16"/>
              </w:rPr>
            </w:pPr>
            <w:r>
              <w:rPr>
                <w:rFonts w:ascii="Calibri" w:eastAsia="Times New Roman" w:hAnsi="Calibri" w:cs="Calibri"/>
                <w:color w:val="000000"/>
                <w:sz w:val="16"/>
                <w:szCs w:val="16"/>
              </w:rPr>
              <w:t>22.11%</w:t>
            </w:r>
          </w:p>
        </w:tc>
        <w:tc>
          <w:tcPr>
            <w:tcW w:w="878" w:type="dxa"/>
            <w:tcBorders>
              <w:top w:val="nil"/>
              <w:left w:val="nil"/>
              <w:bottom w:val="single" w:sz="4" w:space="0" w:color="auto"/>
              <w:right w:val="single" w:sz="4" w:space="0" w:color="auto"/>
            </w:tcBorders>
            <w:shd w:val="clear" w:color="auto" w:fill="auto"/>
            <w:noWrap/>
            <w:vAlign w:val="center"/>
            <w:hideMark/>
          </w:tcPr>
          <w:p w:rsidR="00CB2BD7" w:rsidRPr="00E97254" w:rsidRDefault="004E1F53" w:rsidP="000C0250">
            <w:pPr>
              <w:spacing w:after="0"/>
              <w:jc w:val="right"/>
              <w:rPr>
                <w:rFonts w:ascii="Calibri" w:eastAsia="Times New Roman" w:hAnsi="Calibri" w:cs="Calibri"/>
                <w:color w:val="000000"/>
                <w:sz w:val="16"/>
                <w:szCs w:val="16"/>
              </w:rPr>
            </w:pPr>
            <w:r>
              <w:rPr>
                <w:rFonts w:ascii="Calibri" w:eastAsia="Times New Roman" w:hAnsi="Calibri" w:cs="Calibri"/>
                <w:color w:val="000000"/>
                <w:sz w:val="16"/>
                <w:szCs w:val="16"/>
              </w:rPr>
              <w:t>124,628</w:t>
            </w:r>
          </w:p>
        </w:tc>
        <w:tc>
          <w:tcPr>
            <w:tcW w:w="878" w:type="dxa"/>
            <w:tcBorders>
              <w:top w:val="nil"/>
              <w:left w:val="nil"/>
              <w:bottom w:val="single" w:sz="4" w:space="0" w:color="auto"/>
              <w:right w:val="single" w:sz="4" w:space="0" w:color="auto"/>
            </w:tcBorders>
            <w:shd w:val="clear" w:color="auto" w:fill="auto"/>
            <w:noWrap/>
            <w:vAlign w:val="center"/>
            <w:hideMark/>
          </w:tcPr>
          <w:p w:rsidR="00CB2BD7" w:rsidRPr="00E97254" w:rsidRDefault="004E1F53" w:rsidP="000C0250">
            <w:pPr>
              <w:spacing w:after="0"/>
              <w:jc w:val="right"/>
              <w:rPr>
                <w:rFonts w:ascii="Calibri" w:eastAsia="Times New Roman" w:hAnsi="Calibri" w:cs="Calibri"/>
                <w:color w:val="000000"/>
                <w:sz w:val="16"/>
                <w:szCs w:val="16"/>
              </w:rPr>
            </w:pPr>
            <w:r>
              <w:rPr>
                <w:rFonts w:ascii="Calibri" w:eastAsia="Times New Roman" w:hAnsi="Calibri" w:cs="Calibri"/>
                <w:color w:val="000000"/>
                <w:sz w:val="16"/>
                <w:szCs w:val="16"/>
              </w:rPr>
              <w:t>119,920</w:t>
            </w:r>
          </w:p>
        </w:tc>
        <w:tc>
          <w:tcPr>
            <w:tcW w:w="827" w:type="dxa"/>
            <w:tcBorders>
              <w:top w:val="nil"/>
              <w:left w:val="nil"/>
              <w:bottom w:val="single" w:sz="4" w:space="0" w:color="auto"/>
              <w:right w:val="single" w:sz="4" w:space="0" w:color="auto"/>
            </w:tcBorders>
            <w:shd w:val="clear" w:color="auto" w:fill="auto"/>
            <w:noWrap/>
            <w:vAlign w:val="center"/>
            <w:hideMark/>
          </w:tcPr>
          <w:p w:rsidR="00CB2BD7" w:rsidRPr="00E97254" w:rsidRDefault="004E1F53" w:rsidP="000C0250">
            <w:pPr>
              <w:spacing w:after="0"/>
              <w:jc w:val="right"/>
              <w:rPr>
                <w:rFonts w:ascii="Calibri" w:eastAsia="Times New Roman" w:hAnsi="Calibri" w:cs="Calibri"/>
                <w:color w:val="000000"/>
                <w:sz w:val="16"/>
                <w:szCs w:val="16"/>
              </w:rPr>
            </w:pPr>
            <w:r>
              <w:rPr>
                <w:rFonts w:ascii="Calibri" w:eastAsia="Times New Roman" w:hAnsi="Calibri" w:cs="Calibri"/>
                <w:color w:val="000000"/>
                <w:sz w:val="16"/>
                <w:szCs w:val="16"/>
              </w:rPr>
              <w:t>-3.78%</w:t>
            </w:r>
          </w:p>
        </w:tc>
      </w:tr>
      <w:tr w:rsidR="00CB2BD7" w:rsidRPr="00E97254" w:rsidTr="00E7729D">
        <w:trPr>
          <w:trHeight w:val="300"/>
        </w:trPr>
        <w:tc>
          <w:tcPr>
            <w:tcW w:w="990" w:type="dxa"/>
            <w:tcBorders>
              <w:top w:val="nil"/>
              <w:left w:val="single" w:sz="4" w:space="0" w:color="auto"/>
              <w:bottom w:val="single" w:sz="4" w:space="0" w:color="auto"/>
              <w:right w:val="single" w:sz="4" w:space="0" w:color="auto"/>
            </w:tcBorders>
            <w:shd w:val="clear" w:color="000000" w:fill="FFFFFF"/>
            <w:noWrap/>
            <w:vAlign w:val="center"/>
            <w:hideMark/>
          </w:tcPr>
          <w:p w:rsidR="00CB2BD7" w:rsidRPr="00E97254" w:rsidRDefault="004E1F53" w:rsidP="000C0250">
            <w:pPr>
              <w:spacing w:after="0"/>
              <w:jc w:val="both"/>
              <w:rPr>
                <w:rFonts w:ascii="Arial" w:eastAsia="Times New Roman" w:hAnsi="Arial" w:cs="Arial"/>
                <w:color w:val="000000"/>
                <w:sz w:val="16"/>
                <w:szCs w:val="16"/>
              </w:rPr>
            </w:pPr>
            <w:r>
              <w:rPr>
                <w:rFonts w:ascii="Arial" w:eastAsia="Times New Roman" w:hAnsi="Arial" w:cs="Arial"/>
                <w:color w:val="000000"/>
                <w:sz w:val="16"/>
                <w:szCs w:val="16"/>
              </w:rPr>
              <w:t>Dibër</w:t>
            </w:r>
          </w:p>
        </w:tc>
        <w:tc>
          <w:tcPr>
            <w:tcW w:w="766" w:type="dxa"/>
            <w:tcBorders>
              <w:top w:val="nil"/>
              <w:left w:val="nil"/>
              <w:bottom w:val="single" w:sz="4" w:space="0" w:color="auto"/>
              <w:right w:val="single" w:sz="4" w:space="0" w:color="auto"/>
            </w:tcBorders>
            <w:shd w:val="clear" w:color="auto" w:fill="auto"/>
            <w:noWrap/>
            <w:vAlign w:val="center"/>
            <w:hideMark/>
          </w:tcPr>
          <w:p w:rsidR="00CB2BD7" w:rsidRPr="00E97254" w:rsidRDefault="004E1F53" w:rsidP="000C0250">
            <w:pPr>
              <w:spacing w:after="0"/>
              <w:jc w:val="right"/>
              <w:rPr>
                <w:rFonts w:ascii="Calibri" w:eastAsia="Times New Roman" w:hAnsi="Calibri" w:cs="Calibri"/>
                <w:color w:val="000000"/>
                <w:sz w:val="16"/>
                <w:szCs w:val="16"/>
              </w:rPr>
            </w:pPr>
            <w:r>
              <w:rPr>
                <w:rFonts w:ascii="Calibri" w:eastAsia="Times New Roman" w:hAnsi="Calibri" w:cs="Calibri"/>
                <w:color w:val="000000"/>
                <w:sz w:val="16"/>
                <w:szCs w:val="16"/>
              </w:rPr>
              <w:t>41,190</w:t>
            </w:r>
          </w:p>
        </w:tc>
        <w:tc>
          <w:tcPr>
            <w:tcW w:w="766" w:type="dxa"/>
            <w:tcBorders>
              <w:top w:val="nil"/>
              <w:left w:val="nil"/>
              <w:bottom w:val="single" w:sz="4" w:space="0" w:color="auto"/>
              <w:right w:val="single" w:sz="4" w:space="0" w:color="auto"/>
            </w:tcBorders>
            <w:shd w:val="clear" w:color="auto" w:fill="auto"/>
            <w:noWrap/>
            <w:vAlign w:val="center"/>
            <w:hideMark/>
          </w:tcPr>
          <w:p w:rsidR="00CB2BD7" w:rsidRPr="00E97254" w:rsidRDefault="004E1F53" w:rsidP="000C0250">
            <w:pPr>
              <w:spacing w:after="0"/>
              <w:jc w:val="right"/>
              <w:rPr>
                <w:rFonts w:ascii="Calibri" w:eastAsia="Times New Roman" w:hAnsi="Calibri" w:cs="Calibri"/>
                <w:color w:val="000000"/>
                <w:sz w:val="16"/>
                <w:szCs w:val="16"/>
              </w:rPr>
            </w:pPr>
            <w:r>
              <w:rPr>
                <w:rFonts w:ascii="Calibri" w:eastAsia="Times New Roman" w:hAnsi="Calibri" w:cs="Calibri"/>
                <w:color w:val="000000"/>
                <w:sz w:val="16"/>
                <w:szCs w:val="16"/>
              </w:rPr>
              <w:t>31,324</w:t>
            </w:r>
          </w:p>
        </w:tc>
        <w:tc>
          <w:tcPr>
            <w:tcW w:w="768" w:type="dxa"/>
            <w:tcBorders>
              <w:top w:val="nil"/>
              <w:left w:val="nil"/>
              <w:bottom w:val="single" w:sz="4" w:space="0" w:color="auto"/>
              <w:right w:val="single" w:sz="4" w:space="0" w:color="auto"/>
            </w:tcBorders>
            <w:shd w:val="clear" w:color="auto" w:fill="auto"/>
            <w:noWrap/>
            <w:vAlign w:val="center"/>
            <w:hideMark/>
          </w:tcPr>
          <w:p w:rsidR="00CB2BD7" w:rsidRPr="00E97254" w:rsidRDefault="004E1F53" w:rsidP="000C0250">
            <w:pPr>
              <w:spacing w:after="0"/>
              <w:jc w:val="right"/>
              <w:rPr>
                <w:rFonts w:ascii="Calibri" w:eastAsia="Times New Roman" w:hAnsi="Calibri" w:cs="Calibri"/>
                <w:color w:val="000000"/>
                <w:sz w:val="16"/>
                <w:szCs w:val="16"/>
              </w:rPr>
            </w:pPr>
            <w:r>
              <w:rPr>
                <w:rFonts w:ascii="Calibri" w:eastAsia="Times New Roman" w:hAnsi="Calibri" w:cs="Calibri"/>
                <w:color w:val="000000"/>
                <w:sz w:val="16"/>
                <w:szCs w:val="16"/>
              </w:rPr>
              <w:t>-23.95%</w:t>
            </w:r>
          </w:p>
        </w:tc>
        <w:tc>
          <w:tcPr>
            <w:tcW w:w="914" w:type="dxa"/>
            <w:tcBorders>
              <w:top w:val="nil"/>
              <w:left w:val="nil"/>
              <w:bottom w:val="single" w:sz="4" w:space="0" w:color="auto"/>
              <w:right w:val="single" w:sz="4" w:space="0" w:color="auto"/>
            </w:tcBorders>
            <w:shd w:val="clear" w:color="auto" w:fill="auto"/>
            <w:noWrap/>
            <w:vAlign w:val="center"/>
            <w:hideMark/>
          </w:tcPr>
          <w:p w:rsidR="00CB2BD7" w:rsidRPr="00E97254" w:rsidRDefault="004E1F53" w:rsidP="000C0250">
            <w:pPr>
              <w:spacing w:after="0"/>
              <w:jc w:val="right"/>
              <w:rPr>
                <w:rFonts w:ascii="Calibri" w:eastAsia="Times New Roman" w:hAnsi="Calibri" w:cs="Calibri"/>
                <w:color w:val="000000"/>
                <w:sz w:val="16"/>
                <w:szCs w:val="16"/>
              </w:rPr>
            </w:pPr>
            <w:r>
              <w:rPr>
                <w:rFonts w:ascii="Calibri" w:eastAsia="Times New Roman" w:hAnsi="Calibri" w:cs="Calibri"/>
                <w:color w:val="000000"/>
                <w:sz w:val="16"/>
                <w:szCs w:val="16"/>
              </w:rPr>
              <w:t>77,595</w:t>
            </w:r>
          </w:p>
        </w:tc>
        <w:tc>
          <w:tcPr>
            <w:tcW w:w="913" w:type="dxa"/>
            <w:tcBorders>
              <w:top w:val="nil"/>
              <w:left w:val="nil"/>
              <w:bottom w:val="single" w:sz="4" w:space="0" w:color="auto"/>
              <w:right w:val="single" w:sz="4" w:space="0" w:color="auto"/>
            </w:tcBorders>
            <w:shd w:val="clear" w:color="auto" w:fill="auto"/>
            <w:noWrap/>
            <w:vAlign w:val="center"/>
            <w:hideMark/>
          </w:tcPr>
          <w:p w:rsidR="00CB2BD7" w:rsidRPr="00E97254" w:rsidRDefault="004E1F53" w:rsidP="000C0250">
            <w:pPr>
              <w:spacing w:after="0"/>
              <w:jc w:val="right"/>
              <w:rPr>
                <w:rFonts w:ascii="Calibri" w:eastAsia="Times New Roman" w:hAnsi="Calibri" w:cs="Calibri"/>
                <w:color w:val="000000"/>
                <w:sz w:val="16"/>
                <w:szCs w:val="16"/>
              </w:rPr>
            </w:pPr>
            <w:r>
              <w:rPr>
                <w:rFonts w:ascii="Calibri" w:eastAsia="Times New Roman" w:hAnsi="Calibri" w:cs="Calibri"/>
                <w:color w:val="000000"/>
                <w:sz w:val="16"/>
                <w:szCs w:val="16"/>
              </w:rPr>
              <w:t>68,525</w:t>
            </w:r>
          </w:p>
        </w:tc>
        <w:tc>
          <w:tcPr>
            <w:tcW w:w="753" w:type="dxa"/>
            <w:tcBorders>
              <w:top w:val="nil"/>
              <w:left w:val="nil"/>
              <w:bottom w:val="single" w:sz="4" w:space="0" w:color="auto"/>
              <w:right w:val="single" w:sz="4" w:space="0" w:color="auto"/>
            </w:tcBorders>
            <w:shd w:val="clear" w:color="auto" w:fill="auto"/>
            <w:noWrap/>
            <w:vAlign w:val="center"/>
            <w:hideMark/>
          </w:tcPr>
          <w:p w:rsidR="00CB2BD7" w:rsidRPr="00E97254" w:rsidRDefault="004E1F53" w:rsidP="000C0250">
            <w:pPr>
              <w:spacing w:after="0"/>
              <w:jc w:val="right"/>
              <w:rPr>
                <w:rFonts w:ascii="Calibri" w:eastAsia="Times New Roman" w:hAnsi="Calibri" w:cs="Calibri"/>
                <w:color w:val="000000"/>
                <w:sz w:val="16"/>
                <w:szCs w:val="16"/>
              </w:rPr>
            </w:pPr>
            <w:r>
              <w:rPr>
                <w:rFonts w:ascii="Calibri" w:eastAsia="Times New Roman" w:hAnsi="Calibri" w:cs="Calibri"/>
                <w:color w:val="000000"/>
                <w:sz w:val="16"/>
                <w:szCs w:val="16"/>
              </w:rPr>
              <w:t>-11.69%</w:t>
            </w:r>
          </w:p>
        </w:tc>
        <w:tc>
          <w:tcPr>
            <w:tcW w:w="837" w:type="dxa"/>
            <w:tcBorders>
              <w:top w:val="nil"/>
              <w:left w:val="nil"/>
              <w:bottom w:val="single" w:sz="4" w:space="0" w:color="auto"/>
              <w:right w:val="single" w:sz="4" w:space="0" w:color="auto"/>
            </w:tcBorders>
            <w:shd w:val="clear" w:color="auto" w:fill="auto"/>
            <w:noWrap/>
            <w:vAlign w:val="center"/>
            <w:hideMark/>
          </w:tcPr>
          <w:p w:rsidR="00CB2BD7" w:rsidRPr="00E97254" w:rsidRDefault="004E1F53" w:rsidP="000C0250">
            <w:pPr>
              <w:spacing w:after="0"/>
              <w:jc w:val="right"/>
              <w:rPr>
                <w:rFonts w:ascii="Calibri" w:eastAsia="Times New Roman" w:hAnsi="Calibri" w:cs="Calibri"/>
                <w:color w:val="000000"/>
                <w:sz w:val="16"/>
                <w:szCs w:val="16"/>
              </w:rPr>
            </w:pPr>
            <w:r>
              <w:rPr>
                <w:rFonts w:ascii="Calibri" w:eastAsia="Times New Roman" w:hAnsi="Calibri" w:cs="Calibri"/>
                <w:color w:val="000000"/>
                <w:sz w:val="16"/>
                <w:szCs w:val="16"/>
              </w:rPr>
              <w:t>17,295</w:t>
            </w:r>
          </w:p>
        </w:tc>
        <w:tc>
          <w:tcPr>
            <w:tcW w:w="837" w:type="dxa"/>
            <w:tcBorders>
              <w:top w:val="nil"/>
              <w:left w:val="nil"/>
              <w:bottom w:val="single" w:sz="4" w:space="0" w:color="auto"/>
              <w:right w:val="single" w:sz="4" w:space="0" w:color="auto"/>
            </w:tcBorders>
            <w:shd w:val="clear" w:color="auto" w:fill="auto"/>
            <w:noWrap/>
            <w:vAlign w:val="center"/>
            <w:hideMark/>
          </w:tcPr>
          <w:p w:rsidR="00CB2BD7" w:rsidRPr="00E97254" w:rsidRDefault="004E1F53" w:rsidP="000C0250">
            <w:pPr>
              <w:spacing w:after="0"/>
              <w:jc w:val="right"/>
              <w:rPr>
                <w:rFonts w:ascii="Calibri" w:eastAsia="Times New Roman" w:hAnsi="Calibri" w:cs="Calibri"/>
                <w:color w:val="000000"/>
                <w:sz w:val="16"/>
                <w:szCs w:val="16"/>
              </w:rPr>
            </w:pPr>
            <w:r>
              <w:rPr>
                <w:rFonts w:ascii="Calibri" w:eastAsia="Times New Roman" w:hAnsi="Calibri" w:cs="Calibri"/>
                <w:color w:val="000000"/>
                <w:sz w:val="16"/>
                <w:szCs w:val="16"/>
              </w:rPr>
              <w:t>18,333</w:t>
            </w:r>
          </w:p>
        </w:tc>
        <w:tc>
          <w:tcPr>
            <w:tcW w:w="766" w:type="dxa"/>
            <w:tcBorders>
              <w:top w:val="nil"/>
              <w:left w:val="nil"/>
              <w:bottom w:val="single" w:sz="4" w:space="0" w:color="auto"/>
              <w:right w:val="single" w:sz="4" w:space="0" w:color="auto"/>
            </w:tcBorders>
            <w:shd w:val="clear" w:color="auto" w:fill="auto"/>
            <w:noWrap/>
            <w:vAlign w:val="center"/>
            <w:hideMark/>
          </w:tcPr>
          <w:p w:rsidR="00CB2BD7" w:rsidRPr="00E97254" w:rsidRDefault="004E1F53" w:rsidP="000C0250">
            <w:pPr>
              <w:spacing w:after="0"/>
              <w:jc w:val="right"/>
              <w:rPr>
                <w:rFonts w:ascii="Calibri" w:eastAsia="Times New Roman" w:hAnsi="Calibri" w:cs="Calibri"/>
                <w:color w:val="000000"/>
                <w:sz w:val="16"/>
                <w:szCs w:val="16"/>
              </w:rPr>
            </w:pPr>
            <w:r>
              <w:rPr>
                <w:rFonts w:ascii="Calibri" w:eastAsia="Times New Roman" w:hAnsi="Calibri" w:cs="Calibri"/>
                <w:color w:val="000000"/>
                <w:sz w:val="16"/>
                <w:szCs w:val="16"/>
              </w:rPr>
              <w:t>6.00%</w:t>
            </w:r>
          </w:p>
        </w:tc>
        <w:tc>
          <w:tcPr>
            <w:tcW w:w="878" w:type="dxa"/>
            <w:tcBorders>
              <w:top w:val="nil"/>
              <w:left w:val="nil"/>
              <w:bottom w:val="single" w:sz="4" w:space="0" w:color="auto"/>
              <w:right w:val="single" w:sz="4" w:space="0" w:color="auto"/>
            </w:tcBorders>
            <w:shd w:val="clear" w:color="auto" w:fill="auto"/>
            <w:noWrap/>
            <w:vAlign w:val="center"/>
            <w:hideMark/>
          </w:tcPr>
          <w:p w:rsidR="00CB2BD7" w:rsidRPr="00E97254" w:rsidRDefault="004E1F53" w:rsidP="000C0250">
            <w:pPr>
              <w:spacing w:after="0"/>
              <w:jc w:val="right"/>
              <w:rPr>
                <w:rFonts w:ascii="Calibri" w:eastAsia="Times New Roman" w:hAnsi="Calibri" w:cs="Calibri"/>
                <w:color w:val="000000"/>
                <w:sz w:val="16"/>
                <w:szCs w:val="16"/>
              </w:rPr>
            </w:pPr>
            <w:r>
              <w:rPr>
                <w:rFonts w:ascii="Calibri" w:eastAsia="Times New Roman" w:hAnsi="Calibri" w:cs="Calibri"/>
                <w:color w:val="000000"/>
                <w:sz w:val="16"/>
                <w:szCs w:val="16"/>
              </w:rPr>
              <w:t>118,394</w:t>
            </w:r>
          </w:p>
        </w:tc>
        <w:tc>
          <w:tcPr>
            <w:tcW w:w="878" w:type="dxa"/>
            <w:tcBorders>
              <w:top w:val="nil"/>
              <w:left w:val="nil"/>
              <w:bottom w:val="single" w:sz="4" w:space="0" w:color="auto"/>
              <w:right w:val="single" w:sz="4" w:space="0" w:color="auto"/>
            </w:tcBorders>
            <w:shd w:val="clear" w:color="auto" w:fill="auto"/>
            <w:noWrap/>
            <w:vAlign w:val="center"/>
            <w:hideMark/>
          </w:tcPr>
          <w:p w:rsidR="00CB2BD7" w:rsidRPr="00E97254" w:rsidRDefault="004E1F53" w:rsidP="000C0250">
            <w:pPr>
              <w:spacing w:after="0"/>
              <w:jc w:val="right"/>
              <w:rPr>
                <w:rFonts w:ascii="Calibri" w:eastAsia="Times New Roman" w:hAnsi="Calibri" w:cs="Calibri"/>
                <w:color w:val="000000"/>
                <w:sz w:val="16"/>
                <w:szCs w:val="16"/>
              </w:rPr>
            </w:pPr>
            <w:r>
              <w:rPr>
                <w:rFonts w:ascii="Calibri" w:eastAsia="Times New Roman" w:hAnsi="Calibri" w:cs="Calibri"/>
                <w:color w:val="000000"/>
                <w:sz w:val="16"/>
                <w:szCs w:val="16"/>
              </w:rPr>
              <w:t>104,703</w:t>
            </w:r>
          </w:p>
        </w:tc>
        <w:tc>
          <w:tcPr>
            <w:tcW w:w="827" w:type="dxa"/>
            <w:tcBorders>
              <w:top w:val="nil"/>
              <w:left w:val="nil"/>
              <w:bottom w:val="single" w:sz="4" w:space="0" w:color="auto"/>
              <w:right w:val="single" w:sz="4" w:space="0" w:color="auto"/>
            </w:tcBorders>
            <w:shd w:val="clear" w:color="auto" w:fill="auto"/>
            <w:noWrap/>
            <w:vAlign w:val="center"/>
            <w:hideMark/>
          </w:tcPr>
          <w:p w:rsidR="00CB2BD7" w:rsidRPr="00E97254" w:rsidRDefault="004E1F53" w:rsidP="000C0250">
            <w:pPr>
              <w:spacing w:after="0"/>
              <w:jc w:val="right"/>
              <w:rPr>
                <w:rFonts w:ascii="Calibri" w:eastAsia="Times New Roman" w:hAnsi="Calibri" w:cs="Calibri"/>
                <w:color w:val="000000"/>
                <w:sz w:val="16"/>
                <w:szCs w:val="16"/>
              </w:rPr>
            </w:pPr>
            <w:r>
              <w:rPr>
                <w:rFonts w:ascii="Calibri" w:eastAsia="Times New Roman" w:hAnsi="Calibri" w:cs="Calibri"/>
                <w:color w:val="000000"/>
                <w:sz w:val="16"/>
                <w:szCs w:val="16"/>
              </w:rPr>
              <w:t>-11.56%</w:t>
            </w:r>
          </w:p>
        </w:tc>
      </w:tr>
      <w:tr w:rsidR="00CB2BD7" w:rsidRPr="00E97254" w:rsidTr="00E7729D">
        <w:trPr>
          <w:trHeight w:val="300"/>
        </w:trPr>
        <w:tc>
          <w:tcPr>
            <w:tcW w:w="990" w:type="dxa"/>
            <w:tcBorders>
              <w:top w:val="nil"/>
              <w:left w:val="single" w:sz="4" w:space="0" w:color="auto"/>
              <w:bottom w:val="single" w:sz="4" w:space="0" w:color="auto"/>
              <w:right w:val="single" w:sz="4" w:space="0" w:color="auto"/>
            </w:tcBorders>
            <w:shd w:val="clear" w:color="000000" w:fill="FFFFFF"/>
            <w:noWrap/>
            <w:vAlign w:val="center"/>
            <w:hideMark/>
          </w:tcPr>
          <w:p w:rsidR="00CB2BD7" w:rsidRPr="00E97254" w:rsidRDefault="004E1F53" w:rsidP="000C0250">
            <w:pPr>
              <w:spacing w:after="0"/>
              <w:jc w:val="both"/>
              <w:rPr>
                <w:rFonts w:ascii="Arial" w:eastAsia="Times New Roman" w:hAnsi="Arial" w:cs="Arial"/>
                <w:color w:val="000000"/>
                <w:sz w:val="16"/>
                <w:szCs w:val="16"/>
              </w:rPr>
            </w:pPr>
            <w:r>
              <w:rPr>
                <w:rFonts w:ascii="Arial" w:eastAsia="Times New Roman" w:hAnsi="Arial" w:cs="Arial"/>
                <w:color w:val="000000"/>
                <w:sz w:val="16"/>
                <w:szCs w:val="16"/>
              </w:rPr>
              <w:t xml:space="preserve"> Durrës</w:t>
            </w:r>
          </w:p>
        </w:tc>
        <w:tc>
          <w:tcPr>
            <w:tcW w:w="766" w:type="dxa"/>
            <w:tcBorders>
              <w:top w:val="nil"/>
              <w:left w:val="nil"/>
              <w:bottom w:val="single" w:sz="4" w:space="0" w:color="auto"/>
              <w:right w:val="single" w:sz="4" w:space="0" w:color="auto"/>
            </w:tcBorders>
            <w:shd w:val="clear" w:color="auto" w:fill="auto"/>
            <w:noWrap/>
            <w:vAlign w:val="center"/>
            <w:hideMark/>
          </w:tcPr>
          <w:p w:rsidR="00CB2BD7" w:rsidRPr="00E97254" w:rsidRDefault="004E1F53" w:rsidP="000C0250">
            <w:pPr>
              <w:spacing w:after="0"/>
              <w:jc w:val="right"/>
              <w:rPr>
                <w:rFonts w:ascii="Calibri" w:eastAsia="Times New Roman" w:hAnsi="Calibri" w:cs="Calibri"/>
                <w:color w:val="000000"/>
                <w:sz w:val="16"/>
                <w:szCs w:val="16"/>
              </w:rPr>
            </w:pPr>
            <w:r>
              <w:rPr>
                <w:rFonts w:ascii="Calibri" w:eastAsia="Times New Roman" w:hAnsi="Calibri" w:cs="Calibri"/>
                <w:color w:val="000000"/>
                <w:sz w:val="16"/>
                <w:szCs w:val="16"/>
              </w:rPr>
              <w:t>88,237</w:t>
            </w:r>
          </w:p>
        </w:tc>
        <w:tc>
          <w:tcPr>
            <w:tcW w:w="766" w:type="dxa"/>
            <w:tcBorders>
              <w:top w:val="nil"/>
              <w:left w:val="nil"/>
              <w:bottom w:val="single" w:sz="4" w:space="0" w:color="auto"/>
              <w:right w:val="single" w:sz="4" w:space="0" w:color="auto"/>
            </w:tcBorders>
            <w:shd w:val="clear" w:color="auto" w:fill="auto"/>
            <w:noWrap/>
            <w:vAlign w:val="center"/>
            <w:hideMark/>
          </w:tcPr>
          <w:p w:rsidR="00CB2BD7" w:rsidRPr="00E97254" w:rsidRDefault="004E1F53" w:rsidP="000C0250">
            <w:pPr>
              <w:spacing w:after="0"/>
              <w:jc w:val="right"/>
              <w:rPr>
                <w:rFonts w:ascii="Calibri" w:eastAsia="Times New Roman" w:hAnsi="Calibri" w:cs="Calibri"/>
                <w:color w:val="000000"/>
                <w:sz w:val="16"/>
                <w:szCs w:val="16"/>
              </w:rPr>
            </w:pPr>
            <w:r>
              <w:rPr>
                <w:rFonts w:ascii="Calibri" w:eastAsia="Times New Roman" w:hAnsi="Calibri" w:cs="Calibri"/>
                <w:color w:val="000000"/>
                <w:sz w:val="16"/>
                <w:szCs w:val="16"/>
              </w:rPr>
              <w:t>77,055</w:t>
            </w:r>
          </w:p>
        </w:tc>
        <w:tc>
          <w:tcPr>
            <w:tcW w:w="768" w:type="dxa"/>
            <w:tcBorders>
              <w:top w:val="nil"/>
              <w:left w:val="nil"/>
              <w:bottom w:val="single" w:sz="4" w:space="0" w:color="auto"/>
              <w:right w:val="single" w:sz="4" w:space="0" w:color="auto"/>
            </w:tcBorders>
            <w:shd w:val="clear" w:color="auto" w:fill="auto"/>
            <w:noWrap/>
            <w:vAlign w:val="center"/>
            <w:hideMark/>
          </w:tcPr>
          <w:p w:rsidR="00CB2BD7" w:rsidRPr="00E97254" w:rsidRDefault="004E1F53" w:rsidP="000C0250">
            <w:pPr>
              <w:spacing w:after="0"/>
              <w:jc w:val="right"/>
              <w:rPr>
                <w:rFonts w:ascii="Calibri" w:eastAsia="Times New Roman" w:hAnsi="Calibri" w:cs="Calibri"/>
                <w:color w:val="000000"/>
                <w:sz w:val="16"/>
                <w:szCs w:val="16"/>
              </w:rPr>
            </w:pPr>
            <w:r>
              <w:rPr>
                <w:rFonts w:ascii="Calibri" w:eastAsia="Times New Roman" w:hAnsi="Calibri" w:cs="Calibri"/>
                <w:color w:val="000000"/>
                <w:sz w:val="16"/>
                <w:szCs w:val="16"/>
              </w:rPr>
              <w:t>-12.67%</w:t>
            </w:r>
          </w:p>
        </w:tc>
        <w:tc>
          <w:tcPr>
            <w:tcW w:w="914" w:type="dxa"/>
            <w:tcBorders>
              <w:top w:val="nil"/>
              <w:left w:val="nil"/>
              <w:bottom w:val="single" w:sz="4" w:space="0" w:color="auto"/>
              <w:right w:val="single" w:sz="4" w:space="0" w:color="auto"/>
            </w:tcBorders>
            <w:shd w:val="clear" w:color="auto" w:fill="auto"/>
            <w:noWrap/>
            <w:vAlign w:val="center"/>
            <w:hideMark/>
          </w:tcPr>
          <w:p w:rsidR="00CB2BD7" w:rsidRPr="00E97254" w:rsidRDefault="004E1F53" w:rsidP="000C0250">
            <w:pPr>
              <w:spacing w:after="0"/>
              <w:jc w:val="right"/>
              <w:rPr>
                <w:rFonts w:ascii="Calibri" w:eastAsia="Times New Roman" w:hAnsi="Calibri" w:cs="Calibri"/>
                <w:color w:val="000000"/>
                <w:sz w:val="16"/>
                <w:szCs w:val="16"/>
              </w:rPr>
            </w:pPr>
            <w:r>
              <w:rPr>
                <w:rFonts w:ascii="Calibri" w:eastAsia="Times New Roman" w:hAnsi="Calibri" w:cs="Calibri"/>
                <w:color w:val="000000"/>
                <w:sz w:val="16"/>
                <w:szCs w:val="16"/>
              </w:rPr>
              <w:t>196,001</w:t>
            </w:r>
          </w:p>
        </w:tc>
        <w:tc>
          <w:tcPr>
            <w:tcW w:w="913" w:type="dxa"/>
            <w:tcBorders>
              <w:top w:val="nil"/>
              <w:left w:val="nil"/>
              <w:bottom w:val="single" w:sz="4" w:space="0" w:color="auto"/>
              <w:right w:val="single" w:sz="4" w:space="0" w:color="auto"/>
            </w:tcBorders>
            <w:shd w:val="clear" w:color="auto" w:fill="auto"/>
            <w:noWrap/>
            <w:vAlign w:val="center"/>
            <w:hideMark/>
          </w:tcPr>
          <w:p w:rsidR="00CB2BD7" w:rsidRPr="00E97254" w:rsidRDefault="004E1F53" w:rsidP="000C0250">
            <w:pPr>
              <w:spacing w:after="0"/>
              <w:jc w:val="right"/>
              <w:rPr>
                <w:rFonts w:ascii="Calibri" w:eastAsia="Times New Roman" w:hAnsi="Calibri" w:cs="Calibri"/>
                <w:color w:val="000000"/>
                <w:sz w:val="16"/>
                <w:szCs w:val="16"/>
              </w:rPr>
            </w:pPr>
            <w:r>
              <w:rPr>
                <w:rFonts w:ascii="Calibri" w:eastAsia="Times New Roman" w:hAnsi="Calibri" w:cs="Calibri"/>
                <w:color w:val="000000"/>
                <w:sz w:val="16"/>
                <w:szCs w:val="16"/>
              </w:rPr>
              <w:t>180,656</w:t>
            </w:r>
          </w:p>
        </w:tc>
        <w:tc>
          <w:tcPr>
            <w:tcW w:w="753" w:type="dxa"/>
            <w:tcBorders>
              <w:top w:val="nil"/>
              <w:left w:val="nil"/>
              <w:bottom w:val="single" w:sz="4" w:space="0" w:color="auto"/>
              <w:right w:val="single" w:sz="4" w:space="0" w:color="auto"/>
            </w:tcBorders>
            <w:shd w:val="clear" w:color="auto" w:fill="auto"/>
            <w:noWrap/>
            <w:vAlign w:val="center"/>
            <w:hideMark/>
          </w:tcPr>
          <w:p w:rsidR="00CB2BD7" w:rsidRPr="00E97254" w:rsidRDefault="004E1F53" w:rsidP="000C0250">
            <w:pPr>
              <w:spacing w:after="0"/>
              <w:jc w:val="right"/>
              <w:rPr>
                <w:rFonts w:ascii="Calibri" w:eastAsia="Times New Roman" w:hAnsi="Calibri" w:cs="Calibri"/>
                <w:color w:val="000000"/>
                <w:sz w:val="16"/>
                <w:szCs w:val="16"/>
              </w:rPr>
            </w:pPr>
            <w:r>
              <w:rPr>
                <w:rFonts w:ascii="Calibri" w:eastAsia="Times New Roman" w:hAnsi="Calibri" w:cs="Calibri"/>
                <w:color w:val="000000"/>
                <w:sz w:val="16"/>
                <w:szCs w:val="16"/>
              </w:rPr>
              <w:t>-7.83%</w:t>
            </w:r>
          </w:p>
        </w:tc>
        <w:tc>
          <w:tcPr>
            <w:tcW w:w="837" w:type="dxa"/>
            <w:tcBorders>
              <w:top w:val="nil"/>
              <w:left w:val="nil"/>
              <w:bottom w:val="single" w:sz="4" w:space="0" w:color="auto"/>
              <w:right w:val="single" w:sz="4" w:space="0" w:color="auto"/>
            </w:tcBorders>
            <w:shd w:val="clear" w:color="auto" w:fill="auto"/>
            <w:noWrap/>
            <w:vAlign w:val="center"/>
            <w:hideMark/>
          </w:tcPr>
          <w:p w:rsidR="00CB2BD7" w:rsidRPr="00E97254" w:rsidRDefault="004E1F53" w:rsidP="000C0250">
            <w:pPr>
              <w:spacing w:after="0"/>
              <w:jc w:val="right"/>
              <w:rPr>
                <w:rFonts w:ascii="Calibri" w:eastAsia="Times New Roman" w:hAnsi="Calibri" w:cs="Calibri"/>
                <w:color w:val="000000"/>
                <w:sz w:val="16"/>
                <w:szCs w:val="16"/>
              </w:rPr>
            </w:pPr>
            <w:r>
              <w:rPr>
                <w:rFonts w:ascii="Calibri" w:eastAsia="Times New Roman" w:hAnsi="Calibri" w:cs="Calibri"/>
                <w:color w:val="000000"/>
                <w:sz w:val="16"/>
                <w:szCs w:val="16"/>
              </w:rPr>
              <w:t>44,966</w:t>
            </w:r>
          </w:p>
        </w:tc>
        <w:tc>
          <w:tcPr>
            <w:tcW w:w="837" w:type="dxa"/>
            <w:tcBorders>
              <w:top w:val="nil"/>
              <w:left w:val="nil"/>
              <w:bottom w:val="single" w:sz="4" w:space="0" w:color="auto"/>
              <w:right w:val="single" w:sz="4" w:space="0" w:color="auto"/>
            </w:tcBorders>
            <w:shd w:val="clear" w:color="auto" w:fill="auto"/>
            <w:noWrap/>
            <w:vAlign w:val="center"/>
            <w:hideMark/>
          </w:tcPr>
          <w:p w:rsidR="00CB2BD7" w:rsidRPr="00E97254" w:rsidRDefault="004E1F53" w:rsidP="000C0250">
            <w:pPr>
              <w:spacing w:after="0"/>
              <w:jc w:val="right"/>
              <w:rPr>
                <w:rFonts w:ascii="Calibri" w:eastAsia="Times New Roman" w:hAnsi="Calibri" w:cs="Calibri"/>
                <w:color w:val="000000"/>
                <w:sz w:val="16"/>
                <w:szCs w:val="16"/>
              </w:rPr>
            </w:pPr>
            <w:r>
              <w:rPr>
                <w:rFonts w:ascii="Calibri" w:eastAsia="Times New Roman" w:hAnsi="Calibri" w:cs="Calibri"/>
                <w:color w:val="000000"/>
                <w:sz w:val="16"/>
                <w:szCs w:val="16"/>
              </w:rPr>
              <w:t>51,705</w:t>
            </w:r>
          </w:p>
        </w:tc>
        <w:tc>
          <w:tcPr>
            <w:tcW w:w="766" w:type="dxa"/>
            <w:tcBorders>
              <w:top w:val="nil"/>
              <w:left w:val="nil"/>
              <w:bottom w:val="single" w:sz="4" w:space="0" w:color="auto"/>
              <w:right w:val="single" w:sz="4" w:space="0" w:color="auto"/>
            </w:tcBorders>
            <w:shd w:val="clear" w:color="auto" w:fill="auto"/>
            <w:noWrap/>
            <w:vAlign w:val="center"/>
            <w:hideMark/>
          </w:tcPr>
          <w:p w:rsidR="00CB2BD7" w:rsidRPr="00E97254" w:rsidRDefault="004E1F53" w:rsidP="000C0250">
            <w:pPr>
              <w:spacing w:after="0"/>
              <w:jc w:val="right"/>
              <w:rPr>
                <w:rFonts w:ascii="Calibri" w:eastAsia="Times New Roman" w:hAnsi="Calibri" w:cs="Calibri"/>
                <w:color w:val="000000"/>
                <w:sz w:val="16"/>
                <w:szCs w:val="16"/>
              </w:rPr>
            </w:pPr>
            <w:r>
              <w:rPr>
                <w:rFonts w:ascii="Calibri" w:eastAsia="Times New Roman" w:hAnsi="Calibri" w:cs="Calibri"/>
                <w:color w:val="000000"/>
                <w:sz w:val="16"/>
                <w:szCs w:val="16"/>
              </w:rPr>
              <w:t>14.99%</w:t>
            </w:r>
          </w:p>
        </w:tc>
        <w:tc>
          <w:tcPr>
            <w:tcW w:w="878" w:type="dxa"/>
            <w:tcBorders>
              <w:top w:val="nil"/>
              <w:left w:val="nil"/>
              <w:bottom w:val="single" w:sz="4" w:space="0" w:color="auto"/>
              <w:right w:val="single" w:sz="4" w:space="0" w:color="auto"/>
            </w:tcBorders>
            <w:shd w:val="clear" w:color="auto" w:fill="auto"/>
            <w:noWrap/>
            <w:vAlign w:val="center"/>
            <w:hideMark/>
          </w:tcPr>
          <w:p w:rsidR="00CB2BD7" w:rsidRPr="00E97254" w:rsidRDefault="004E1F53" w:rsidP="000C0250">
            <w:pPr>
              <w:spacing w:after="0"/>
              <w:jc w:val="right"/>
              <w:rPr>
                <w:rFonts w:ascii="Calibri" w:eastAsia="Times New Roman" w:hAnsi="Calibri" w:cs="Calibri"/>
                <w:color w:val="000000"/>
                <w:sz w:val="16"/>
                <w:szCs w:val="16"/>
              </w:rPr>
            </w:pPr>
            <w:r>
              <w:rPr>
                <w:rFonts w:ascii="Calibri" w:eastAsia="Times New Roman" w:hAnsi="Calibri" w:cs="Calibri"/>
                <w:color w:val="000000"/>
                <w:sz w:val="16"/>
                <w:szCs w:val="16"/>
              </w:rPr>
              <w:t>288,875</w:t>
            </w:r>
          </w:p>
        </w:tc>
        <w:tc>
          <w:tcPr>
            <w:tcW w:w="878" w:type="dxa"/>
            <w:tcBorders>
              <w:top w:val="nil"/>
              <w:left w:val="nil"/>
              <w:bottom w:val="single" w:sz="4" w:space="0" w:color="auto"/>
              <w:right w:val="single" w:sz="4" w:space="0" w:color="auto"/>
            </w:tcBorders>
            <w:shd w:val="clear" w:color="auto" w:fill="auto"/>
            <w:noWrap/>
            <w:vAlign w:val="center"/>
            <w:hideMark/>
          </w:tcPr>
          <w:p w:rsidR="00CB2BD7" w:rsidRPr="00E97254" w:rsidRDefault="004E1F53" w:rsidP="000C0250">
            <w:pPr>
              <w:spacing w:after="0"/>
              <w:jc w:val="right"/>
              <w:rPr>
                <w:rFonts w:ascii="Calibri" w:eastAsia="Times New Roman" w:hAnsi="Calibri" w:cs="Calibri"/>
                <w:color w:val="000000"/>
                <w:sz w:val="16"/>
                <w:szCs w:val="16"/>
              </w:rPr>
            </w:pPr>
            <w:r>
              <w:rPr>
                <w:rFonts w:ascii="Calibri" w:eastAsia="Times New Roman" w:hAnsi="Calibri" w:cs="Calibri"/>
                <w:color w:val="000000"/>
                <w:sz w:val="16"/>
                <w:szCs w:val="16"/>
              </w:rPr>
              <w:t>277,573</w:t>
            </w:r>
          </w:p>
        </w:tc>
        <w:tc>
          <w:tcPr>
            <w:tcW w:w="827" w:type="dxa"/>
            <w:tcBorders>
              <w:top w:val="nil"/>
              <w:left w:val="nil"/>
              <w:bottom w:val="single" w:sz="4" w:space="0" w:color="auto"/>
              <w:right w:val="single" w:sz="4" w:space="0" w:color="auto"/>
            </w:tcBorders>
            <w:shd w:val="clear" w:color="auto" w:fill="auto"/>
            <w:noWrap/>
            <w:vAlign w:val="center"/>
            <w:hideMark/>
          </w:tcPr>
          <w:p w:rsidR="00CB2BD7" w:rsidRPr="00E97254" w:rsidRDefault="004E1F53" w:rsidP="000C0250">
            <w:pPr>
              <w:spacing w:after="0"/>
              <w:jc w:val="right"/>
              <w:rPr>
                <w:rFonts w:ascii="Calibri" w:eastAsia="Times New Roman" w:hAnsi="Calibri" w:cs="Calibri"/>
                <w:color w:val="000000"/>
                <w:sz w:val="16"/>
                <w:szCs w:val="16"/>
              </w:rPr>
            </w:pPr>
            <w:r>
              <w:rPr>
                <w:rFonts w:ascii="Calibri" w:eastAsia="Times New Roman" w:hAnsi="Calibri" w:cs="Calibri"/>
                <w:color w:val="000000"/>
                <w:sz w:val="16"/>
                <w:szCs w:val="16"/>
              </w:rPr>
              <w:t>-3.91%</w:t>
            </w:r>
          </w:p>
        </w:tc>
      </w:tr>
      <w:tr w:rsidR="00CB2BD7" w:rsidRPr="00E97254" w:rsidTr="00E7729D">
        <w:trPr>
          <w:trHeight w:val="300"/>
        </w:trPr>
        <w:tc>
          <w:tcPr>
            <w:tcW w:w="990" w:type="dxa"/>
            <w:tcBorders>
              <w:top w:val="nil"/>
              <w:left w:val="single" w:sz="4" w:space="0" w:color="auto"/>
              <w:bottom w:val="single" w:sz="4" w:space="0" w:color="auto"/>
              <w:right w:val="single" w:sz="4" w:space="0" w:color="auto"/>
            </w:tcBorders>
            <w:shd w:val="clear" w:color="000000" w:fill="FFFFFF"/>
            <w:noWrap/>
            <w:vAlign w:val="center"/>
            <w:hideMark/>
          </w:tcPr>
          <w:p w:rsidR="00CB2BD7" w:rsidRPr="00E97254" w:rsidRDefault="004E1F53" w:rsidP="000C0250">
            <w:pPr>
              <w:spacing w:after="0"/>
              <w:jc w:val="both"/>
              <w:rPr>
                <w:rFonts w:ascii="Arial" w:eastAsia="Times New Roman" w:hAnsi="Arial" w:cs="Arial"/>
                <w:color w:val="000000"/>
                <w:sz w:val="16"/>
                <w:szCs w:val="16"/>
              </w:rPr>
            </w:pPr>
            <w:r>
              <w:rPr>
                <w:rFonts w:ascii="Arial" w:eastAsia="Times New Roman" w:hAnsi="Arial" w:cs="Arial"/>
                <w:color w:val="000000"/>
                <w:sz w:val="16"/>
                <w:szCs w:val="16"/>
              </w:rPr>
              <w:t>Elbasan</w:t>
            </w:r>
          </w:p>
        </w:tc>
        <w:tc>
          <w:tcPr>
            <w:tcW w:w="766" w:type="dxa"/>
            <w:tcBorders>
              <w:top w:val="nil"/>
              <w:left w:val="nil"/>
              <w:bottom w:val="single" w:sz="4" w:space="0" w:color="auto"/>
              <w:right w:val="single" w:sz="4" w:space="0" w:color="auto"/>
            </w:tcBorders>
            <w:shd w:val="clear" w:color="auto" w:fill="auto"/>
            <w:noWrap/>
            <w:vAlign w:val="center"/>
            <w:hideMark/>
          </w:tcPr>
          <w:p w:rsidR="00CB2BD7" w:rsidRPr="00E97254" w:rsidRDefault="004E1F53" w:rsidP="000C0250">
            <w:pPr>
              <w:spacing w:after="0"/>
              <w:jc w:val="right"/>
              <w:rPr>
                <w:rFonts w:ascii="Calibri" w:eastAsia="Times New Roman" w:hAnsi="Calibri" w:cs="Calibri"/>
                <w:color w:val="000000"/>
                <w:sz w:val="16"/>
                <w:szCs w:val="16"/>
              </w:rPr>
            </w:pPr>
            <w:r>
              <w:rPr>
                <w:rFonts w:ascii="Calibri" w:eastAsia="Times New Roman" w:hAnsi="Calibri" w:cs="Calibri"/>
                <w:color w:val="000000"/>
                <w:sz w:val="16"/>
                <w:szCs w:val="16"/>
              </w:rPr>
              <w:t>88,077</w:t>
            </w:r>
          </w:p>
        </w:tc>
        <w:tc>
          <w:tcPr>
            <w:tcW w:w="766" w:type="dxa"/>
            <w:tcBorders>
              <w:top w:val="nil"/>
              <w:left w:val="nil"/>
              <w:bottom w:val="single" w:sz="4" w:space="0" w:color="auto"/>
              <w:right w:val="single" w:sz="4" w:space="0" w:color="auto"/>
            </w:tcBorders>
            <w:shd w:val="clear" w:color="auto" w:fill="auto"/>
            <w:noWrap/>
            <w:vAlign w:val="center"/>
            <w:hideMark/>
          </w:tcPr>
          <w:p w:rsidR="00CB2BD7" w:rsidRPr="00E97254" w:rsidRDefault="004E1F53" w:rsidP="000C0250">
            <w:pPr>
              <w:spacing w:after="0"/>
              <w:jc w:val="right"/>
              <w:rPr>
                <w:rFonts w:ascii="Calibri" w:eastAsia="Times New Roman" w:hAnsi="Calibri" w:cs="Calibri"/>
                <w:color w:val="000000"/>
                <w:sz w:val="16"/>
                <w:szCs w:val="16"/>
              </w:rPr>
            </w:pPr>
            <w:r>
              <w:rPr>
                <w:rFonts w:ascii="Calibri" w:eastAsia="Times New Roman" w:hAnsi="Calibri" w:cs="Calibri"/>
                <w:color w:val="000000"/>
                <w:sz w:val="16"/>
                <w:szCs w:val="16"/>
              </w:rPr>
              <w:t>72,120</w:t>
            </w:r>
          </w:p>
        </w:tc>
        <w:tc>
          <w:tcPr>
            <w:tcW w:w="768" w:type="dxa"/>
            <w:tcBorders>
              <w:top w:val="nil"/>
              <w:left w:val="nil"/>
              <w:bottom w:val="single" w:sz="4" w:space="0" w:color="auto"/>
              <w:right w:val="single" w:sz="4" w:space="0" w:color="auto"/>
            </w:tcBorders>
            <w:shd w:val="clear" w:color="auto" w:fill="auto"/>
            <w:noWrap/>
            <w:vAlign w:val="center"/>
            <w:hideMark/>
          </w:tcPr>
          <w:p w:rsidR="00CB2BD7" w:rsidRPr="00E97254" w:rsidRDefault="004E1F53" w:rsidP="000C0250">
            <w:pPr>
              <w:spacing w:after="0"/>
              <w:jc w:val="right"/>
              <w:rPr>
                <w:rFonts w:ascii="Calibri" w:eastAsia="Times New Roman" w:hAnsi="Calibri" w:cs="Calibri"/>
                <w:color w:val="000000"/>
                <w:sz w:val="16"/>
                <w:szCs w:val="16"/>
              </w:rPr>
            </w:pPr>
            <w:r>
              <w:rPr>
                <w:rFonts w:ascii="Calibri" w:eastAsia="Times New Roman" w:hAnsi="Calibri" w:cs="Calibri"/>
                <w:color w:val="000000"/>
                <w:sz w:val="16"/>
                <w:szCs w:val="16"/>
              </w:rPr>
              <w:t>-18.12%</w:t>
            </w:r>
          </w:p>
        </w:tc>
        <w:tc>
          <w:tcPr>
            <w:tcW w:w="914" w:type="dxa"/>
            <w:tcBorders>
              <w:top w:val="nil"/>
              <w:left w:val="nil"/>
              <w:bottom w:val="single" w:sz="4" w:space="0" w:color="auto"/>
              <w:right w:val="single" w:sz="4" w:space="0" w:color="auto"/>
            </w:tcBorders>
            <w:shd w:val="clear" w:color="auto" w:fill="auto"/>
            <w:noWrap/>
            <w:vAlign w:val="center"/>
            <w:hideMark/>
          </w:tcPr>
          <w:p w:rsidR="00CB2BD7" w:rsidRPr="00E97254" w:rsidRDefault="004E1F53" w:rsidP="000C0250">
            <w:pPr>
              <w:spacing w:after="0"/>
              <w:jc w:val="right"/>
              <w:rPr>
                <w:rFonts w:ascii="Calibri" w:eastAsia="Times New Roman" w:hAnsi="Calibri" w:cs="Calibri"/>
                <w:color w:val="000000"/>
                <w:sz w:val="16"/>
                <w:szCs w:val="16"/>
              </w:rPr>
            </w:pPr>
            <w:r>
              <w:rPr>
                <w:rFonts w:ascii="Calibri" w:eastAsia="Times New Roman" w:hAnsi="Calibri" w:cs="Calibri"/>
                <w:color w:val="000000"/>
                <w:sz w:val="16"/>
                <w:szCs w:val="16"/>
              </w:rPr>
              <w:t>182,929</w:t>
            </w:r>
          </w:p>
        </w:tc>
        <w:tc>
          <w:tcPr>
            <w:tcW w:w="913" w:type="dxa"/>
            <w:tcBorders>
              <w:top w:val="nil"/>
              <w:left w:val="nil"/>
              <w:bottom w:val="single" w:sz="4" w:space="0" w:color="auto"/>
              <w:right w:val="single" w:sz="4" w:space="0" w:color="auto"/>
            </w:tcBorders>
            <w:shd w:val="clear" w:color="auto" w:fill="auto"/>
            <w:noWrap/>
            <w:vAlign w:val="center"/>
            <w:hideMark/>
          </w:tcPr>
          <w:p w:rsidR="00CB2BD7" w:rsidRPr="00E97254" w:rsidRDefault="004E1F53" w:rsidP="000C0250">
            <w:pPr>
              <w:spacing w:after="0"/>
              <w:jc w:val="right"/>
              <w:rPr>
                <w:rFonts w:ascii="Calibri" w:eastAsia="Times New Roman" w:hAnsi="Calibri" w:cs="Calibri"/>
                <w:color w:val="000000"/>
                <w:sz w:val="16"/>
                <w:szCs w:val="16"/>
              </w:rPr>
            </w:pPr>
            <w:r>
              <w:rPr>
                <w:rFonts w:ascii="Calibri" w:eastAsia="Times New Roman" w:hAnsi="Calibri" w:cs="Calibri"/>
                <w:color w:val="000000"/>
                <w:sz w:val="16"/>
                <w:szCs w:val="16"/>
              </w:rPr>
              <w:t>171,424</w:t>
            </w:r>
          </w:p>
        </w:tc>
        <w:tc>
          <w:tcPr>
            <w:tcW w:w="753" w:type="dxa"/>
            <w:tcBorders>
              <w:top w:val="nil"/>
              <w:left w:val="nil"/>
              <w:bottom w:val="single" w:sz="4" w:space="0" w:color="auto"/>
              <w:right w:val="single" w:sz="4" w:space="0" w:color="auto"/>
            </w:tcBorders>
            <w:shd w:val="clear" w:color="auto" w:fill="auto"/>
            <w:noWrap/>
            <w:vAlign w:val="center"/>
            <w:hideMark/>
          </w:tcPr>
          <w:p w:rsidR="00CB2BD7" w:rsidRPr="00E97254" w:rsidRDefault="004E1F53" w:rsidP="000C0250">
            <w:pPr>
              <w:spacing w:after="0"/>
              <w:jc w:val="right"/>
              <w:rPr>
                <w:rFonts w:ascii="Calibri" w:eastAsia="Times New Roman" w:hAnsi="Calibri" w:cs="Calibri"/>
                <w:color w:val="000000"/>
                <w:sz w:val="16"/>
                <w:szCs w:val="16"/>
              </w:rPr>
            </w:pPr>
            <w:r>
              <w:rPr>
                <w:rFonts w:ascii="Calibri" w:eastAsia="Times New Roman" w:hAnsi="Calibri" w:cs="Calibri"/>
                <w:color w:val="000000"/>
                <w:sz w:val="16"/>
                <w:szCs w:val="16"/>
              </w:rPr>
              <w:t>-6.29%</w:t>
            </w:r>
          </w:p>
        </w:tc>
        <w:tc>
          <w:tcPr>
            <w:tcW w:w="837" w:type="dxa"/>
            <w:tcBorders>
              <w:top w:val="nil"/>
              <w:left w:val="nil"/>
              <w:bottom w:val="single" w:sz="4" w:space="0" w:color="auto"/>
              <w:right w:val="single" w:sz="4" w:space="0" w:color="auto"/>
            </w:tcBorders>
            <w:shd w:val="clear" w:color="auto" w:fill="auto"/>
            <w:noWrap/>
            <w:vAlign w:val="center"/>
            <w:hideMark/>
          </w:tcPr>
          <w:p w:rsidR="00CB2BD7" w:rsidRPr="00E97254" w:rsidRDefault="004E1F53" w:rsidP="000C0250">
            <w:pPr>
              <w:spacing w:after="0"/>
              <w:jc w:val="right"/>
              <w:rPr>
                <w:rFonts w:ascii="Calibri" w:eastAsia="Times New Roman" w:hAnsi="Calibri" w:cs="Calibri"/>
                <w:color w:val="000000"/>
                <w:sz w:val="16"/>
                <w:szCs w:val="16"/>
              </w:rPr>
            </w:pPr>
            <w:r>
              <w:rPr>
                <w:rFonts w:ascii="Calibri" w:eastAsia="Times New Roman" w:hAnsi="Calibri" w:cs="Calibri"/>
                <w:color w:val="000000"/>
                <w:sz w:val="16"/>
                <w:szCs w:val="16"/>
              </w:rPr>
              <w:t>43,425</w:t>
            </w:r>
          </w:p>
        </w:tc>
        <w:tc>
          <w:tcPr>
            <w:tcW w:w="837" w:type="dxa"/>
            <w:tcBorders>
              <w:top w:val="nil"/>
              <w:left w:val="nil"/>
              <w:bottom w:val="single" w:sz="4" w:space="0" w:color="auto"/>
              <w:right w:val="single" w:sz="4" w:space="0" w:color="auto"/>
            </w:tcBorders>
            <w:shd w:val="clear" w:color="auto" w:fill="auto"/>
            <w:noWrap/>
            <w:vAlign w:val="center"/>
            <w:hideMark/>
          </w:tcPr>
          <w:p w:rsidR="00CB2BD7" w:rsidRPr="00E97254" w:rsidRDefault="004E1F53" w:rsidP="000C0250">
            <w:pPr>
              <w:spacing w:after="0"/>
              <w:jc w:val="right"/>
              <w:rPr>
                <w:rFonts w:ascii="Calibri" w:eastAsia="Times New Roman" w:hAnsi="Calibri" w:cs="Calibri"/>
                <w:color w:val="000000"/>
                <w:sz w:val="16"/>
                <w:szCs w:val="16"/>
              </w:rPr>
            </w:pPr>
            <w:r>
              <w:rPr>
                <w:rFonts w:ascii="Calibri" w:eastAsia="Times New Roman" w:hAnsi="Calibri" w:cs="Calibri"/>
                <w:color w:val="000000"/>
                <w:sz w:val="16"/>
                <w:szCs w:val="16"/>
              </w:rPr>
              <w:t>49,791</w:t>
            </w:r>
          </w:p>
        </w:tc>
        <w:tc>
          <w:tcPr>
            <w:tcW w:w="766" w:type="dxa"/>
            <w:tcBorders>
              <w:top w:val="nil"/>
              <w:left w:val="nil"/>
              <w:bottom w:val="single" w:sz="4" w:space="0" w:color="auto"/>
              <w:right w:val="single" w:sz="4" w:space="0" w:color="auto"/>
            </w:tcBorders>
            <w:shd w:val="clear" w:color="auto" w:fill="auto"/>
            <w:noWrap/>
            <w:vAlign w:val="center"/>
            <w:hideMark/>
          </w:tcPr>
          <w:p w:rsidR="00CB2BD7" w:rsidRPr="00E97254" w:rsidRDefault="004E1F53" w:rsidP="000C0250">
            <w:pPr>
              <w:spacing w:after="0"/>
              <w:jc w:val="right"/>
              <w:rPr>
                <w:rFonts w:ascii="Calibri" w:eastAsia="Times New Roman" w:hAnsi="Calibri" w:cs="Calibri"/>
                <w:color w:val="000000"/>
                <w:sz w:val="16"/>
                <w:szCs w:val="16"/>
              </w:rPr>
            </w:pPr>
            <w:r>
              <w:rPr>
                <w:rFonts w:ascii="Calibri" w:eastAsia="Times New Roman" w:hAnsi="Calibri" w:cs="Calibri"/>
                <w:color w:val="000000"/>
                <w:sz w:val="16"/>
                <w:szCs w:val="16"/>
              </w:rPr>
              <w:t>14.66%</w:t>
            </w:r>
          </w:p>
        </w:tc>
        <w:tc>
          <w:tcPr>
            <w:tcW w:w="878" w:type="dxa"/>
            <w:tcBorders>
              <w:top w:val="nil"/>
              <w:left w:val="nil"/>
              <w:bottom w:val="single" w:sz="4" w:space="0" w:color="auto"/>
              <w:right w:val="single" w:sz="4" w:space="0" w:color="auto"/>
            </w:tcBorders>
            <w:shd w:val="clear" w:color="auto" w:fill="auto"/>
            <w:noWrap/>
            <w:vAlign w:val="center"/>
            <w:hideMark/>
          </w:tcPr>
          <w:p w:rsidR="00CB2BD7" w:rsidRPr="00E97254" w:rsidRDefault="004E1F53" w:rsidP="000C0250">
            <w:pPr>
              <w:spacing w:after="0"/>
              <w:jc w:val="right"/>
              <w:rPr>
                <w:rFonts w:ascii="Calibri" w:eastAsia="Times New Roman" w:hAnsi="Calibri" w:cs="Calibri"/>
                <w:color w:val="000000"/>
                <w:sz w:val="16"/>
                <w:szCs w:val="16"/>
              </w:rPr>
            </w:pPr>
            <w:r>
              <w:rPr>
                <w:rFonts w:ascii="Calibri" w:eastAsia="Times New Roman" w:hAnsi="Calibri" w:cs="Calibri"/>
                <w:color w:val="000000"/>
                <w:sz w:val="16"/>
                <w:szCs w:val="16"/>
              </w:rPr>
              <w:t>273,831</w:t>
            </w:r>
          </w:p>
        </w:tc>
        <w:tc>
          <w:tcPr>
            <w:tcW w:w="878" w:type="dxa"/>
            <w:tcBorders>
              <w:top w:val="nil"/>
              <w:left w:val="nil"/>
              <w:bottom w:val="single" w:sz="4" w:space="0" w:color="auto"/>
              <w:right w:val="single" w:sz="4" w:space="0" w:color="auto"/>
            </w:tcBorders>
            <w:shd w:val="clear" w:color="auto" w:fill="auto"/>
            <w:noWrap/>
            <w:vAlign w:val="center"/>
            <w:hideMark/>
          </w:tcPr>
          <w:p w:rsidR="00CB2BD7" w:rsidRPr="00E97254" w:rsidRDefault="004E1F53" w:rsidP="000C0250">
            <w:pPr>
              <w:spacing w:after="0"/>
              <w:jc w:val="right"/>
              <w:rPr>
                <w:rFonts w:ascii="Calibri" w:eastAsia="Times New Roman" w:hAnsi="Calibri" w:cs="Calibri"/>
                <w:color w:val="000000"/>
                <w:sz w:val="16"/>
                <w:szCs w:val="16"/>
              </w:rPr>
            </w:pPr>
            <w:r>
              <w:rPr>
                <w:rFonts w:ascii="Calibri" w:eastAsia="Times New Roman" w:hAnsi="Calibri" w:cs="Calibri"/>
                <w:color w:val="000000"/>
                <w:sz w:val="16"/>
                <w:szCs w:val="16"/>
              </w:rPr>
              <w:t>260,894</w:t>
            </w:r>
          </w:p>
        </w:tc>
        <w:tc>
          <w:tcPr>
            <w:tcW w:w="827" w:type="dxa"/>
            <w:tcBorders>
              <w:top w:val="nil"/>
              <w:left w:val="nil"/>
              <w:bottom w:val="single" w:sz="4" w:space="0" w:color="auto"/>
              <w:right w:val="single" w:sz="4" w:space="0" w:color="auto"/>
            </w:tcBorders>
            <w:shd w:val="clear" w:color="auto" w:fill="auto"/>
            <w:noWrap/>
            <w:vAlign w:val="center"/>
            <w:hideMark/>
          </w:tcPr>
          <w:p w:rsidR="00CB2BD7" w:rsidRPr="00E97254" w:rsidRDefault="004E1F53" w:rsidP="000C0250">
            <w:pPr>
              <w:spacing w:after="0"/>
              <w:jc w:val="right"/>
              <w:rPr>
                <w:rFonts w:ascii="Calibri" w:eastAsia="Times New Roman" w:hAnsi="Calibri" w:cs="Calibri"/>
                <w:color w:val="000000"/>
                <w:sz w:val="16"/>
                <w:szCs w:val="16"/>
              </w:rPr>
            </w:pPr>
            <w:r>
              <w:rPr>
                <w:rFonts w:ascii="Calibri" w:eastAsia="Times New Roman" w:hAnsi="Calibri" w:cs="Calibri"/>
                <w:color w:val="000000"/>
                <w:sz w:val="16"/>
                <w:szCs w:val="16"/>
              </w:rPr>
              <w:t>-4.72%</w:t>
            </w:r>
          </w:p>
        </w:tc>
      </w:tr>
      <w:tr w:rsidR="00CB2BD7" w:rsidRPr="00E97254" w:rsidTr="00E7729D">
        <w:trPr>
          <w:trHeight w:val="300"/>
        </w:trPr>
        <w:tc>
          <w:tcPr>
            <w:tcW w:w="990" w:type="dxa"/>
            <w:tcBorders>
              <w:top w:val="nil"/>
              <w:left w:val="single" w:sz="4" w:space="0" w:color="auto"/>
              <w:bottom w:val="single" w:sz="4" w:space="0" w:color="auto"/>
              <w:right w:val="single" w:sz="4" w:space="0" w:color="auto"/>
            </w:tcBorders>
            <w:shd w:val="clear" w:color="000000" w:fill="FFFFFF"/>
            <w:noWrap/>
            <w:vAlign w:val="center"/>
            <w:hideMark/>
          </w:tcPr>
          <w:p w:rsidR="00CB2BD7" w:rsidRPr="00E97254" w:rsidRDefault="004E1F53" w:rsidP="000C0250">
            <w:pPr>
              <w:spacing w:after="0"/>
              <w:jc w:val="both"/>
              <w:rPr>
                <w:rFonts w:ascii="Arial" w:eastAsia="Times New Roman" w:hAnsi="Arial" w:cs="Arial"/>
                <w:color w:val="000000"/>
                <w:sz w:val="16"/>
                <w:szCs w:val="16"/>
              </w:rPr>
            </w:pPr>
            <w:r>
              <w:rPr>
                <w:rFonts w:ascii="Arial" w:eastAsia="Times New Roman" w:hAnsi="Arial" w:cs="Arial"/>
                <w:color w:val="000000"/>
                <w:sz w:val="16"/>
                <w:szCs w:val="16"/>
              </w:rPr>
              <w:t>Fier</w:t>
            </w:r>
          </w:p>
        </w:tc>
        <w:tc>
          <w:tcPr>
            <w:tcW w:w="766" w:type="dxa"/>
            <w:tcBorders>
              <w:top w:val="nil"/>
              <w:left w:val="nil"/>
              <w:bottom w:val="single" w:sz="4" w:space="0" w:color="auto"/>
              <w:right w:val="single" w:sz="4" w:space="0" w:color="auto"/>
            </w:tcBorders>
            <w:shd w:val="clear" w:color="auto" w:fill="auto"/>
            <w:noWrap/>
            <w:vAlign w:val="center"/>
            <w:hideMark/>
          </w:tcPr>
          <w:p w:rsidR="00CB2BD7" w:rsidRPr="00E97254" w:rsidRDefault="004E1F53" w:rsidP="000C0250">
            <w:pPr>
              <w:spacing w:after="0"/>
              <w:jc w:val="right"/>
              <w:rPr>
                <w:rFonts w:ascii="Calibri" w:eastAsia="Times New Roman" w:hAnsi="Calibri" w:cs="Calibri"/>
                <w:color w:val="000000"/>
                <w:sz w:val="16"/>
                <w:szCs w:val="16"/>
              </w:rPr>
            </w:pPr>
            <w:r>
              <w:rPr>
                <w:rFonts w:ascii="Calibri" w:eastAsia="Times New Roman" w:hAnsi="Calibri" w:cs="Calibri"/>
                <w:color w:val="000000"/>
                <w:sz w:val="16"/>
                <w:szCs w:val="16"/>
              </w:rPr>
              <w:t>91,149</w:t>
            </w:r>
          </w:p>
        </w:tc>
        <w:tc>
          <w:tcPr>
            <w:tcW w:w="766" w:type="dxa"/>
            <w:tcBorders>
              <w:top w:val="nil"/>
              <w:left w:val="nil"/>
              <w:bottom w:val="single" w:sz="4" w:space="0" w:color="auto"/>
              <w:right w:val="single" w:sz="4" w:space="0" w:color="auto"/>
            </w:tcBorders>
            <w:shd w:val="clear" w:color="auto" w:fill="auto"/>
            <w:noWrap/>
            <w:vAlign w:val="center"/>
            <w:hideMark/>
          </w:tcPr>
          <w:p w:rsidR="00CB2BD7" w:rsidRPr="00E97254" w:rsidRDefault="004E1F53" w:rsidP="000C0250">
            <w:pPr>
              <w:spacing w:after="0"/>
              <w:jc w:val="right"/>
              <w:rPr>
                <w:rFonts w:ascii="Calibri" w:eastAsia="Times New Roman" w:hAnsi="Calibri" w:cs="Calibri"/>
                <w:color w:val="000000"/>
                <w:sz w:val="16"/>
                <w:szCs w:val="16"/>
              </w:rPr>
            </w:pPr>
            <w:r>
              <w:rPr>
                <w:rFonts w:ascii="Calibri" w:eastAsia="Times New Roman" w:hAnsi="Calibri" w:cs="Calibri"/>
                <w:color w:val="000000"/>
                <w:sz w:val="16"/>
                <w:szCs w:val="16"/>
              </w:rPr>
              <w:t>72,357</w:t>
            </w:r>
          </w:p>
        </w:tc>
        <w:tc>
          <w:tcPr>
            <w:tcW w:w="768" w:type="dxa"/>
            <w:tcBorders>
              <w:top w:val="nil"/>
              <w:left w:val="nil"/>
              <w:bottom w:val="single" w:sz="4" w:space="0" w:color="auto"/>
              <w:right w:val="single" w:sz="4" w:space="0" w:color="auto"/>
            </w:tcBorders>
            <w:shd w:val="clear" w:color="auto" w:fill="auto"/>
            <w:noWrap/>
            <w:vAlign w:val="center"/>
            <w:hideMark/>
          </w:tcPr>
          <w:p w:rsidR="00CB2BD7" w:rsidRPr="00E97254" w:rsidRDefault="004E1F53" w:rsidP="000C0250">
            <w:pPr>
              <w:spacing w:after="0"/>
              <w:jc w:val="right"/>
              <w:rPr>
                <w:rFonts w:ascii="Calibri" w:eastAsia="Times New Roman" w:hAnsi="Calibri" w:cs="Calibri"/>
                <w:color w:val="000000"/>
                <w:sz w:val="16"/>
                <w:szCs w:val="16"/>
              </w:rPr>
            </w:pPr>
            <w:r>
              <w:rPr>
                <w:rFonts w:ascii="Calibri" w:eastAsia="Times New Roman" w:hAnsi="Calibri" w:cs="Calibri"/>
                <w:color w:val="000000"/>
                <w:sz w:val="16"/>
                <w:szCs w:val="16"/>
              </w:rPr>
              <w:t>-20.62%</w:t>
            </w:r>
          </w:p>
        </w:tc>
        <w:tc>
          <w:tcPr>
            <w:tcW w:w="914" w:type="dxa"/>
            <w:tcBorders>
              <w:top w:val="nil"/>
              <w:left w:val="nil"/>
              <w:bottom w:val="single" w:sz="4" w:space="0" w:color="auto"/>
              <w:right w:val="single" w:sz="4" w:space="0" w:color="auto"/>
            </w:tcBorders>
            <w:shd w:val="clear" w:color="auto" w:fill="auto"/>
            <w:noWrap/>
            <w:vAlign w:val="center"/>
            <w:hideMark/>
          </w:tcPr>
          <w:p w:rsidR="00CB2BD7" w:rsidRPr="00E97254" w:rsidRDefault="004E1F53" w:rsidP="000C0250">
            <w:pPr>
              <w:spacing w:after="0"/>
              <w:jc w:val="right"/>
              <w:rPr>
                <w:rFonts w:ascii="Calibri" w:eastAsia="Times New Roman" w:hAnsi="Calibri" w:cs="Calibri"/>
                <w:color w:val="000000"/>
                <w:sz w:val="16"/>
                <w:szCs w:val="16"/>
              </w:rPr>
            </w:pPr>
            <w:r>
              <w:rPr>
                <w:rFonts w:ascii="Calibri" w:eastAsia="Times New Roman" w:hAnsi="Calibri" w:cs="Calibri"/>
                <w:color w:val="000000"/>
                <w:sz w:val="16"/>
                <w:szCs w:val="16"/>
              </w:rPr>
              <w:t>199,459</w:t>
            </w:r>
          </w:p>
        </w:tc>
        <w:tc>
          <w:tcPr>
            <w:tcW w:w="913" w:type="dxa"/>
            <w:tcBorders>
              <w:top w:val="nil"/>
              <w:left w:val="nil"/>
              <w:bottom w:val="single" w:sz="4" w:space="0" w:color="auto"/>
              <w:right w:val="single" w:sz="4" w:space="0" w:color="auto"/>
            </w:tcBorders>
            <w:shd w:val="clear" w:color="auto" w:fill="auto"/>
            <w:noWrap/>
            <w:vAlign w:val="center"/>
            <w:hideMark/>
          </w:tcPr>
          <w:p w:rsidR="00CB2BD7" w:rsidRPr="00E97254" w:rsidRDefault="004E1F53" w:rsidP="000C0250">
            <w:pPr>
              <w:spacing w:after="0"/>
              <w:jc w:val="right"/>
              <w:rPr>
                <w:rFonts w:ascii="Calibri" w:eastAsia="Times New Roman" w:hAnsi="Calibri" w:cs="Calibri"/>
                <w:color w:val="000000"/>
                <w:sz w:val="16"/>
                <w:szCs w:val="16"/>
              </w:rPr>
            </w:pPr>
            <w:r>
              <w:rPr>
                <w:rFonts w:ascii="Calibri" w:eastAsia="Times New Roman" w:hAnsi="Calibri" w:cs="Calibri"/>
                <w:color w:val="000000"/>
                <w:sz w:val="16"/>
                <w:szCs w:val="16"/>
              </w:rPr>
              <w:t>181,077</w:t>
            </w:r>
          </w:p>
        </w:tc>
        <w:tc>
          <w:tcPr>
            <w:tcW w:w="753" w:type="dxa"/>
            <w:tcBorders>
              <w:top w:val="nil"/>
              <w:left w:val="nil"/>
              <w:bottom w:val="single" w:sz="4" w:space="0" w:color="auto"/>
              <w:right w:val="single" w:sz="4" w:space="0" w:color="auto"/>
            </w:tcBorders>
            <w:shd w:val="clear" w:color="auto" w:fill="auto"/>
            <w:noWrap/>
            <w:vAlign w:val="center"/>
            <w:hideMark/>
          </w:tcPr>
          <w:p w:rsidR="00CB2BD7" w:rsidRPr="00E97254" w:rsidRDefault="004E1F53" w:rsidP="000C0250">
            <w:pPr>
              <w:spacing w:after="0"/>
              <w:jc w:val="right"/>
              <w:rPr>
                <w:rFonts w:ascii="Calibri" w:eastAsia="Times New Roman" w:hAnsi="Calibri" w:cs="Calibri"/>
                <w:color w:val="000000"/>
                <w:sz w:val="16"/>
                <w:szCs w:val="16"/>
              </w:rPr>
            </w:pPr>
            <w:r>
              <w:rPr>
                <w:rFonts w:ascii="Calibri" w:eastAsia="Times New Roman" w:hAnsi="Calibri" w:cs="Calibri"/>
                <w:color w:val="000000"/>
                <w:sz w:val="16"/>
                <w:szCs w:val="16"/>
              </w:rPr>
              <w:t>-9.22%</w:t>
            </w:r>
          </w:p>
        </w:tc>
        <w:tc>
          <w:tcPr>
            <w:tcW w:w="837" w:type="dxa"/>
            <w:tcBorders>
              <w:top w:val="nil"/>
              <w:left w:val="nil"/>
              <w:bottom w:val="single" w:sz="4" w:space="0" w:color="auto"/>
              <w:right w:val="single" w:sz="4" w:space="0" w:color="auto"/>
            </w:tcBorders>
            <w:shd w:val="clear" w:color="auto" w:fill="auto"/>
            <w:noWrap/>
            <w:vAlign w:val="center"/>
            <w:hideMark/>
          </w:tcPr>
          <w:p w:rsidR="00CB2BD7" w:rsidRPr="00E97254" w:rsidRDefault="004E1F53" w:rsidP="000C0250">
            <w:pPr>
              <w:spacing w:after="0"/>
              <w:jc w:val="right"/>
              <w:rPr>
                <w:rFonts w:ascii="Calibri" w:eastAsia="Times New Roman" w:hAnsi="Calibri" w:cs="Calibri"/>
                <w:color w:val="000000"/>
                <w:sz w:val="16"/>
                <w:szCs w:val="16"/>
              </w:rPr>
            </w:pPr>
            <w:r>
              <w:rPr>
                <w:rFonts w:ascii="Calibri" w:eastAsia="Times New Roman" w:hAnsi="Calibri" w:cs="Calibri"/>
                <w:color w:val="000000"/>
                <w:sz w:val="16"/>
                <w:szCs w:val="16"/>
              </w:rPr>
              <w:t>45,397</w:t>
            </w:r>
          </w:p>
        </w:tc>
        <w:tc>
          <w:tcPr>
            <w:tcW w:w="837" w:type="dxa"/>
            <w:tcBorders>
              <w:top w:val="nil"/>
              <w:left w:val="nil"/>
              <w:bottom w:val="single" w:sz="4" w:space="0" w:color="auto"/>
              <w:right w:val="single" w:sz="4" w:space="0" w:color="auto"/>
            </w:tcBorders>
            <w:shd w:val="clear" w:color="auto" w:fill="auto"/>
            <w:noWrap/>
            <w:vAlign w:val="center"/>
            <w:hideMark/>
          </w:tcPr>
          <w:p w:rsidR="00CB2BD7" w:rsidRPr="00E97254" w:rsidRDefault="004E1F53" w:rsidP="000C0250">
            <w:pPr>
              <w:spacing w:after="0"/>
              <w:jc w:val="right"/>
              <w:rPr>
                <w:rFonts w:ascii="Calibri" w:eastAsia="Times New Roman" w:hAnsi="Calibri" w:cs="Calibri"/>
                <w:color w:val="000000"/>
                <w:sz w:val="16"/>
                <w:szCs w:val="16"/>
              </w:rPr>
            </w:pPr>
            <w:r>
              <w:rPr>
                <w:rFonts w:ascii="Calibri" w:eastAsia="Times New Roman" w:hAnsi="Calibri" w:cs="Calibri"/>
                <w:color w:val="000000"/>
                <w:sz w:val="16"/>
                <w:szCs w:val="16"/>
              </w:rPr>
              <w:t>54,434</w:t>
            </w:r>
          </w:p>
        </w:tc>
        <w:tc>
          <w:tcPr>
            <w:tcW w:w="766" w:type="dxa"/>
            <w:tcBorders>
              <w:top w:val="nil"/>
              <w:left w:val="nil"/>
              <w:bottom w:val="single" w:sz="4" w:space="0" w:color="auto"/>
              <w:right w:val="single" w:sz="4" w:space="0" w:color="auto"/>
            </w:tcBorders>
            <w:shd w:val="clear" w:color="auto" w:fill="auto"/>
            <w:noWrap/>
            <w:vAlign w:val="center"/>
            <w:hideMark/>
          </w:tcPr>
          <w:p w:rsidR="00CB2BD7" w:rsidRPr="00E97254" w:rsidRDefault="004E1F53" w:rsidP="000C0250">
            <w:pPr>
              <w:spacing w:after="0"/>
              <w:jc w:val="right"/>
              <w:rPr>
                <w:rFonts w:ascii="Calibri" w:eastAsia="Times New Roman" w:hAnsi="Calibri" w:cs="Calibri"/>
                <w:color w:val="000000"/>
                <w:sz w:val="16"/>
                <w:szCs w:val="16"/>
              </w:rPr>
            </w:pPr>
            <w:r>
              <w:rPr>
                <w:rFonts w:ascii="Calibri" w:eastAsia="Times New Roman" w:hAnsi="Calibri" w:cs="Calibri"/>
                <w:color w:val="000000"/>
                <w:sz w:val="16"/>
                <w:szCs w:val="16"/>
              </w:rPr>
              <w:t>19.91%</w:t>
            </w:r>
          </w:p>
        </w:tc>
        <w:tc>
          <w:tcPr>
            <w:tcW w:w="878" w:type="dxa"/>
            <w:tcBorders>
              <w:top w:val="nil"/>
              <w:left w:val="nil"/>
              <w:bottom w:val="single" w:sz="4" w:space="0" w:color="auto"/>
              <w:right w:val="single" w:sz="4" w:space="0" w:color="auto"/>
            </w:tcBorders>
            <w:shd w:val="clear" w:color="auto" w:fill="auto"/>
            <w:noWrap/>
            <w:vAlign w:val="center"/>
            <w:hideMark/>
          </w:tcPr>
          <w:p w:rsidR="00CB2BD7" w:rsidRPr="00E97254" w:rsidRDefault="004E1F53" w:rsidP="000C0250">
            <w:pPr>
              <w:spacing w:after="0"/>
              <w:jc w:val="right"/>
              <w:rPr>
                <w:rFonts w:ascii="Calibri" w:eastAsia="Times New Roman" w:hAnsi="Calibri" w:cs="Calibri"/>
                <w:color w:val="000000"/>
                <w:sz w:val="16"/>
                <w:szCs w:val="16"/>
              </w:rPr>
            </w:pPr>
            <w:r>
              <w:rPr>
                <w:rFonts w:ascii="Calibri" w:eastAsia="Times New Roman" w:hAnsi="Calibri" w:cs="Calibri"/>
                <w:color w:val="000000"/>
                <w:sz w:val="16"/>
                <w:szCs w:val="16"/>
              </w:rPr>
              <w:t>293,469</w:t>
            </w:r>
          </w:p>
        </w:tc>
        <w:tc>
          <w:tcPr>
            <w:tcW w:w="878" w:type="dxa"/>
            <w:tcBorders>
              <w:top w:val="nil"/>
              <w:left w:val="nil"/>
              <w:bottom w:val="single" w:sz="4" w:space="0" w:color="auto"/>
              <w:right w:val="single" w:sz="4" w:space="0" w:color="auto"/>
            </w:tcBorders>
            <w:shd w:val="clear" w:color="auto" w:fill="auto"/>
            <w:noWrap/>
            <w:vAlign w:val="center"/>
            <w:hideMark/>
          </w:tcPr>
          <w:p w:rsidR="00CB2BD7" w:rsidRPr="00E97254" w:rsidRDefault="004E1F53" w:rsidP="000C0250">
            <w:pPr>
              <w:spacing w:after="0"/>
              <w:jc w:val="right"/>
              <w:rPr>
                <w:rFonts w:ascii="Calibri" w:eastAsia="Times New Roman" w:hAnsi="Calibri" w:cs="Calibri"/>
                <w:color w:val="000000"/>
                <w:sz w:val="16"/>
                <w:szCs w:val="16"/>
              </w:rPr>
            </w:pPr>
            <w:r>
              <w:rPr>
                <w:rFonts w:ascii="Calibri" w:eastAsia="Times New Roman" w:hAnsi="Calibri" w:cs="Calibri"/>
                <w:color w:val="000000"/>
                <w:sz w:val="16"/>
                <w:szCs w:val="16"/>
              </w:rPr>
              <w:t>276,398</w:t>
            </w:r>
          </w:p>
        </w:tc>
        <w:tc>
          <w:tcPr>
            <w:tcW w:w="827" w:type="dxa"/>
            <w:tcBorders>
              <w:top w:val="nil"/>
              <w:left w:val="nil"/>
              <w:bottom w:val="single" w:sz="4" w:space="0" w:color="auto"/>
              <w:right w:val="single" w:sz="4" w:space="0" w:color="auto"/>
            </w:tcBorders>
            <w:shd w:val="clear" w:color="auto" w:fill="auto"/>
            <w:noWrap/>
            <w:vAlign w:val="center"/>
            <w:hideMark/>
          </w:tcPr>
          <w:p w:rsidR="00CB2BD7" w:rsidRPr="00E97254" w:rsidRDefault="004E1F53" w:rsidP="000C0250">
            <w:pPr>
              <w:spacing w:after="0"/>
              <w:jc w:val="right"/>
              <w:rPr>
                <w:rFonts w:ascii="Calibri" w:eastAsia="Times New Roman" w:hAnsi="Calibri" w:cs="Calibri"/>
                <w:color w:val="000000"/>
                <w:sz w:val="16"/>
                <w:szCs w:val="16"/>
              </w:rPr>
            </w:pPr>
            <w:r>
              <w:rPr>
                <w:rFonts w:ascii="Calibri" w:eastAsia="Times New Roman" w:hAnsi="Calibri" w:cs="Calibri"/>
                <w:color w:val="000000"/>
                <w:sz w:val="16"/>
                <w:szCs w:val="16"/>
              </w:rPr>
              <w:t>-5.82%</w:t>
            </w:r>
          </w:p>
        </w:tc>
      </w:tr>
      <w:tr w:rsidR="00CB2BD7" w:rsidRPr="00E97254" w:rsidTr="00E7729D">
        <w:trPr>
          <w:trHeight w:val="300"/>
        </w:trPr>
        <w:tc>
          <w:tcPr>
            <w:tcW w:w="990" w:type="dxa"/>
            <w:tcBorders>
              <w:top w:val="nil"/>
              <w:left w:val="single" w:sz="4" w:space="0" w:color="auto"/>
              <w:bottom w:val="single" w:sz="4" w:space="0" w:color="auto"/>
              <w:right w:val="single" w:sz="4" w:space="0" w:color="auto"/>
            </w:tcBorders>
            <w:shd w:val="clear" w:color="000000" w:fill="FFFFFF"/>
            <w:noWrap/>
            <w:vAlign w:val="center"/>
            <w:hideMark/>
          </w:tcPr>
          <w:p w:rsidR="00CB2BD7" w:rsidRPr="00E97254" w:rsidRDefault="004E1F53" w:rsidP="000C0250">
            <w:pPr>
              <w:spacing w:after="0"/>
              <w:jc w:val="both"/>
              <w:rPr>
                <w:rFonts w:ascii="Arial" w:eastAsia="Times New Roman" w:hAnsi="Arial" w:cs="Arial"/>
                <w:color w:val="000000"/>
                <w:sz w:val="16"/>
                <w:szCs w:val="16"/>
              </w:rPr>
            </w:pPr>
            <w:r>
              <w:rPr>
                <w:rFonts w:ascii="Arial" w:eastAsia="Times New Roman" w:hAnsi="Arial" w:cs="Arial"/>
                <w:color w:val="000000"/>
                <w:sz w:val="16"/>
                <w:szCs w:val="16"/>
              </w:rPr>
              <w:t>Gjirokastër</w:t>
            </w:r>
          </w:p>
        </w:tc>
        <w:tc>
          <w:tcPr>
            <w:tcW w:w="766" w:type="dxa"/>
            <w:tcBorders>
              <w:top w:val="nil"/>
              <w:left w:val="nil"/>
              <w:bottom w:val="single" w:sz="4" w:space="0" w:color="auto"/>
              <w:right w:val="single" w:sz="4" w:space="0" w:color="auto"/>
            </w:tcBorders>
            <w:shd w:val="clear" w:color="auto" w:fill="auto"/>
            <w:noWrap/>
            <w:vAlign w:val="center"/>
            <w:hideMark/>
          </w:tcPr>
          <w:p w:rsidR="00CB2BD7" w:rsidRPr="00E97254" w:rsidRDefault="004E1F53" w:rsidP="000C0250">
            <w:pPr>
              <w:spacing w:after="0"/>
              <w:jc w:val="right"/>
              <w:rPr>
                <w:rFonts w:ascii="Calibri" w:eastAsia="Times New Roman" w:hAnsi="Calibri" w:cs="Calibri"/>
                <w:color w:val="000000"/>
                <w:sz w:val="16"/>
                <w:szCs w:val="16"/>
              </w:rPr>
            </w:pPr>
            <w:r>
              <w:rPr>
                <w:rFonts w:ascii="Calibri" w:eastAsia="Times New Roman" w:hAnsi="Calibri" w:cs="Calibri"/>
                <w:color w:val="000000"/>
                <w:sz w:val="16"/>
                <w:szCs w:val="16"/>
              </w:rPr>
              <w:t>18,341</w:t>
            </w:r>
          </w:p>
        </w:tc>
        <w:tc>
          <w:tcPr>
            <w:tcW w:w="766" w:type="dxa"/>
            <w:tcBorders>
              <w:top w:val="nil"/>
              <w:left w:val="nil"/>
              <w:bottom w:val="single" w:sz="4" w:space="0" w:color="auto"/>
              <w:right w:val="single" w:sz="4" w:space="0" w:color="auto"/>
            </w:tcBorders>
            <w:shd w:val="clear" w:color="auto" w:fill="auto"/>
            <w:noWrap/>
            <w:vAlign w:val="center"/>
            <w:hideMark/>
          </w:tcPr>
          <w:p w:rsidR="00CB2BD7" w:rsidRPr="00E97254" w:rsidRDefault="004E1F53" w:rsidP="000C0250">
            <w:pPr>
              <w:spacing w:after="0"/>
              <w:jc w:val="right"/>
              <w:rPr>
                <w:rFonts w:ascii="Calibri" w:eastAsia="Times New Roman" w:hAnsi="Calibri" w:cs="Calibri"/>
                <w:color w:val="000000"/>
                <w:sz w:val="16"/>
                <w:szCs w:val="16"/>
              </w:rPr>
            </w:pPr>
            <w:r>
              <w:rPr>
                <w:rFonts w:ascii="Calibri" w:eastAsia="Times New Roman" w:hAnsi="Calibri" w:cs="Calibri"/>
                <w:color w:val="000000"/>
                <w:sz w:val="16"/>
                <w:szCs w:val="16"/>
              </w:rPr>
              <w:t>14,063</w:t>
            </w:r>
          </w:p>
        </w:tc>
        <w:tc>
          <w:tcPr>
            <w:tcW w:w="768" w:type="dxa"/>
            <w:tcBorders>
              <w:top w:val="nil"/>
              <w:left w:val="nil"/>
              <w:bottom w:val="single" w:sz="4" w:space="0" w:color="auto"/>
              <w:right w:val="single" w:sz="4" w:space="0" w:color="auto"/>
            </w:tcBorders>
            <w:shd w:val="clear" w:color="auto" w:fill="auto"/>
            <w:noWrap/>
            <w:vAlign w:val="center"/>
            <w:hideMark/>
          </w:tcPr>
          <w:p w:rsidR="00CB2BD7" w:rsidRPr="00E97254" w:rsidRDefault="004E1F53" w:rsidP="000C0250">
            <w:pPr>
              <w:spacing w:after="0"/>
              <w:jc w:val="right"/>
              <w:rPr>
                <w:rFonts w:ascii="Calibri" w:eastAsia="Times New Roman" w:hAnsi="Calibri" w:cs="Calibri"/>
                <w:color w:val="000000"/>
                <w:sz w:val="16"/>
                <w:szCs w:val="16"/>
              </w:rPr>
            </w:pPr>
            <w:r>
              <w:rPr>
                <w:rFonts w:ascii="Calibri" w:eastAsia="Times New Roman" w:hAnsi="Calibri" w:cs="Calibri"/>
                <w:color w:val="000000"/>
                <w:sz w:val="16"/>
                <w:szCs w:val="16"/>
              </w:rPr>
              <w:t>-23.32%</w:t>
            </w:r>
          </w:p>
        </w:tc>
        <w:tc>
          <w:tcPr>
            <w:tcW w:w="914" w:type="dxa"/>
            <w:tcBorders>
              <w:top w:val="nil"/>
              <w:left w:val="nil"/>
              <w:bottom w:val="single" w:sz="4" w:space="0" w:color="auto"/>
              <w:right w:val="single" w:sz="4" w:space="0" w:color="auto"/>
            </w:tcBorders>
            <w:shd w:val="clear" w:color="auto" w:fill="auto"/>
            <w:noWrap/>
            <w:vAlign w:val="center"/>
            <w:hideMark/>
          </w:tcPr>
          <w:p w:rsidR="00CB2BD7" w:rsidRPr="00E97254" w:rsidRDefault="004E1F53" w:rsidP="000C0250">
            <w:pPr>
              <w:spacing w:after="0"/>
              <w:jc w:val="right"/>
              <w:rPr>
                <w:rFonts w:ascii="Calibri" w:eastAsia="Times New Roman" w:hAnsi="Calibri" w:cs="Calibri"/>
                <w:color w:val="000000"/>
                <w:sz w:val="16"/>
                <w:szCs w:val="16"/>
              </w:rPr>
            </w:pPr>
            <w:r>
              <w:rPr>
                <w:rFonts w:ascii="Calibri" w:eastAsia="Times New Roman" w:hAnsi="Calibri" w:cs="Calibri"/>
                <w:color w:val="000000"/>
                <w:sz w:val="16"/>
                <w:szCs w:val="16"/>
              </w:rPr>
              <w:t>41,807</w:t>
            </w:r>
          </w:p>
        </w:tc>
        <w:tc>
          <w:tcPr>
            <w:tcW w:w="913" w:type="dxa"/>
            <w:tcBorders>
              <w:top w:val="nil"/>
              <w:left w:val="nil"/>
              <w:bottom w:val="single" w:sz="4" w:space="0" w:color="auto"/>
              <w:right w:val="single" w:sz="4" w:space="0" w:color="auto"/>
            </w:tcBorders>
            <w:shd w:val="clear" w:color="auto" w:fill="auto"/>
            <w:noWrap/>
            <w:vAlign w:val="center"/>
            <w:hideMark/>
          </w:tcPr>
          <w:p w:rsidR="00CB2BD7" w:rsidRPr="00E97254" w:rsidRDefault="004E1F53" w:rsidP="000C0250">
            <w:pPr>
              <w:spacing w:after="0"/>
              <w:jc w:val="right"/>
              <w:rPr>
                <w:rFonts w:ascii="Calibri" w:eastAsia="Times New Roman" w:hAnsi="Calibri" w:cs="Calibri"/>
                <w:color w:val="000000"/>
                <w:sz w:val="16"/>
                <w:szCs w:val="16"/>
              </w:rPr>
            </w:pPr>
            <w:r>
              <w:rPr>
                <w:rFonts w:ascii="Calibri" w:eastAsia="Times New Roman" w:hAnsi="Calibri" w:cs="Calibri"/>
                <w:color w:val="000000"/>
                <w:sz w:val="16"/>
                <w:szCs w:val="16"/>
              </w:rPr>
              <w:t>36,817</w:t>
            </w:r>
          </w:p>
        </w:tc>
        <w:tc>
          <w:tcPr>
            <w:tcW w:w="753" w:type="dxa"/>
            <w:tcBorders>
              <w:top w:val="nil"/>
              <w:left w:val="nil"/>
              <w:bottom w:val="single" w:sz="4" w:space="0" w:color="auto"/>
              <w:right w:val="single" w:sz="4" w:space="0" w:color="auto"/>
            </w:tcBorders>
            <w:shd w:val="clear" w:color="auto" w:fill="auto"/>
            <w:noWrap/>
            <w:vAlign w:val="center"/>
            <w:hideMark/>
          </w:tcPr>
          <w:p w:rsidR="00CB2BD7" w:rsidRPr="00E97254" w:rsidRDefault="004E1F53" w:rsidP="000C0250">
            <w:pPr>
              <w:spacing w:after="0"/>
              <w:jc w:val="right"/>
              <w:rPr>
                <w:rFonts w:ascii="Calibri" w:eastAsia="Times New Roman" w:hAnsi="Calibri" w:cs="Calibri"/>
                <w:color w:val="000000"/>
                <w:sz w:val="16"/>
                <w:szCs w:val="16"/>
              </w:rPr>
            </w:pPr>
            <w:r>
              <w:rPr>
                <w:rFonts w:ascii="Calibri" w:eastAsia="Times New Roman" w:hAnsi="Calibri" w:cs="Calibri"/>
                <w:color w:val="000000"/>
                <w:sz w:val="16"/>
                <w:szCs w:val="16"/>
              </w:rPr>
              <w:t>-11.94%</w:t>
            </w:r>
          </w:p>
        </w:tc>
        <w:tc>
          <w:tcPr>
            <w:tcW w:w="837" w:type="dxa"/>
            <w:tcBorders>
              <w:top w:val="nil"/>
              <w:left w:val="nil"/>
              <w:bottom w:val="single" w:sz="4" w:space="0" w:color="auto"/>
              <w:right w:val="single" w:sz="4" w:space="0" w:color="auto"/>
            </w:tcBorders>
            <w:shd w:val="clear" w:color="auto" w:fill="auto"/>
            <w:noWrap/>
            <w:vAlign w:val="center"/>
            <w:hideMark/>
          </w:tcPr>
          <w:p w:rsidR="00CB2BD7" w:rsidRPr="00E97254" w:rsidRDefault="004E1F53" w:rsidP="000C0250">
            <w:pPr>
              <w:spacing w:after="0"/>
              <w:jc w:val="right"/>
              <w:rPr>
                <w:rFonts w:ascii="Calibri" w:eastAsia="Times New Roman" w:hAnsi="Calibri" w:cs="Calibri"/>
                <w:color w:val="000000"/>
                <w:sz w:val="16"/>
                <w:szCs w:val="16"/>
              </w:rPr>
            </w:pPr>
            <w:r>
              <w:rPr>
                <w:rFonts w:ascii="Calibri" w:eastAsia="Times New Roman" w:hAnsi="Calibri" w:cs="Calibri"/>
                <w:color w:val="000000"/>
                <w:sz w:val="16"/>
                <w:szCs w:val="16"/>
              </w:rPr>
              <w:t>10,135</w:t>
            </w:r>
          </w:p>
        </w:tc>
        <w:tc>
          <w:tcPr>
            <w:tcW w:w="837" w:type="dxa"/>
            <w:tcBorders>
              <w:top w:val="nil"/>
              <w:left w:val="nil"/>
              <w:bottom w:val="single" w:sz="4" w:space="0" w:color="auto"/>
              <w:right w:val="single" w:sz="4" w:space="0" w:color="auto"/>
            </w:tcBorders>
            <w:shd w:val="clear" w:color="auto" w:fill="auto"/>
            <w:noWrap/>
            <w:vAlign w:val="center"/>
            <w:hideMark/>
          </w:tcPr>
          <w:p w:rsidR="00CB2BD7" w:rsidRPr="00E97254" w:rsidRDefault="004E1F53" w:rsidP="000C0250">
            <w:pPr>
              <w:spacing w:after="0"/>
              <w:jc w:val="right"/>
              <w:rPr>
                <w:rFonts w:ascii="Calibri" w:eastAsia="Times New Roman" w:hAnsi="Calibri" w:cs="Calibri"/>
                <w:color w:val="000000"/>
                <w:sz w:val="16"/>
                <w:szCs w:val="16"/>
              </w:rPr>
            </w:pPr>
            <w:r>
              <w:rPr>
                <w:rFonts w:ascii="Calibri" w:eastAsia="Times New Roman" w:hAnsi="Calibri" w:cs="Calibri"/>
                <w:color w:val="000000"/>
                <w:sz w:val="16"/>
                <w:szCs w:val="16"/>
              </w:rPr>
              <w:t>13,503</w:t>
            </w:r>
          </w:p>
        </w:tc>
        <w:tc>
          <w:tcPr>
            <w:tcW w:w="766" w:type="dxa"/>
            <w:tcBorders>
              <w:top w:val="nil"/>
              <w:left w:val="nil"/>
              <w:bottom w:val="single" w:sz="4" w:space="0" w:color="auto"/>
              <w:right w:val="single" w:sz="4" w:space="0" w:color="auto"/>
            </w:tcBorders>
            <w:shd w:val="clear" w:color="auto" w:fill="auto"/>
            <w:noWrap/>
            <w:vAlign w:val="center"/>
            <w:hideMark/>
          </w:tcPr>
          <w:p w:rsidR="00CB2BD7" w:rsidRPr="00E97254" w:rsidRDefault="004E1F53" w:rsidP="000C0250">
            <w:pPr>
              <w:spacing w:after="0"/>
              <w:jc w:val="right"/>
              <w:rPr>
                <w:rFonts w:ascii="Calibri" w:eastAsia="Times New Roman" w:hAnsi="Calibri" w:cs="Calibri"/>
                <w:color w:val="000000"/>
                <w:sz w:val="16"/>
                <w:szCs w:val="16"/>
              </w:rPr>
            </w:pPr>
            <w:r>
              <w:rPr>
                <w:rFonts w:ascii="Calibri" w:eastAsia="Times New Roman" w:hAnsi="Calibri" w:cs="Calibri"/>
                <w:color w:val="000000"/>
                <w:sz w:val="16"/>
                <w:szCs w:val="16"/>
              </w:rPr>
              <w:t>33.23%</w:t>
            </w:r>
          </w:p>
        </w:tc>
        <w:tc>
          <w:tcPr>
            <w:tcW w:w="878" w:type="dxa"/>
            <w:tcBorders>
              <w:top w:val="nil"/>
              <w:left w:val="nil"/>
              <w:bottom w:val="single" w:sz="4" w:space="0" w:color="auto"/>
              <w:right w:val="single" w:sz="4" w:space="0" w:color="auto"/>
            </w:tcBorders>
            <w:shd w:val="clear" w:color="auto" w:fill="auto"/>
            <w:noWrap/>
            <w:vAlign w:val="center"/>
            <w:hideMark/>
          </w:tcPr>
          <w:p w:rsidR="00CB2BD7" w:rsidRPr="00E97254" w:rsidRDefault="004E1F53" w:rsidP="000C0250">
            <w:pPr>
              <w:spacing w:after="0"/>
              <w:jc w:val="right"/>
              <w:rPr>
                <w:rFonts w:ascii="Calibri" w:eastAsia="Times New Roman" w:hAnsi="Calibri" w:cs="Calibri"/>
                <w:color w:val="000000"/>
                <w:sz w:val="16"/>
                <w:szCs w:val="16"/>
              </w:rPr>
            </w:pPr>
            <w:r>
              <w:rPr>
                <w:rFonts w:ascii="Calibri" w:eastAsia="Times New Roman" w:hAnsi="Calibri" w:cs="Calibri"/>
                <w:color w:val="000000"/>
                <w:sz w:val="16"/>
                <w:szCs w:val="16"/>
              </w:rPr>
              <w:t>61,181</w:t>
            </w:r>
          </w:p>
        </w:tc>
        <w:tc>
          <w:tcPr>
            <w:tcW w:w="878" w:type="dxa"/>
            <w:tcBorders>
              <w:top w:val="nil"/>
              <w:left w:val="nil"/>
              <w:bottom w:val="single" w:sz="4" w:space="0" w:color="auto"/>
              <w:right w:val="single" w:sz="4" w:space="0" w:color="auto"/>
            </w:tcBorders>
            <w:shd w:val="clear" w:color="auto" w:fill="auto"/>
            <w:noWrap/>
            <w:vAlign w:val="center"/>
            <w:hideMark/>
          </w:tcPr>
          <w:p w:rsidR="00CB2BD7" w:rsidRPr="00E97254" w:rsidRDefault="004E1F53" w:rsidP="000C0250">
            <w:pPr>
              <w:spacing w:after="0"/>
              <w:jc w:val="right"/>
              <w:rPr>
                <w:rFonts w:ascii="Calibri" w:eastAsia="Times New Roman" w:hAnsi="Calibri" w:cs="Calibri"/>
                <w:color w:val="000000"/>
                <w:sz w:val="16"/>
                <w:szCs w:val="16"/>
              </w:rPr>
            </w:pPr>
            <w:r>
              <w:rPr>
                <w:rFonts w:ascii="Calibri" w:eastAsia="Times New Roman" w:hAnsi="Calibri" w:cs="Calibri"/>
                <w:color w:val="000000"/>
                <w:sz w:val="16"/>
                <w:szCs w:val="16"/>
              </w:rPr>
              <w:t>58,006</w:t>
            </w:r>
          </w:p>
        </w:tc>
        <w:tc>
          <w:tcPr>
            <w:tcW w:w="827" w:type="dxa"/>
            <w:tcBorders>
              <w:top w:val="nil"/>
              <w:left w:val="nil"/>
              <w:bottom w:val="single" w:sz="4" w:space="0" w:color="auto"/>
              <w:right w:val="single" w:sz="4" w:space="0" w:color="auto"/>
            </w:tcBorders>
            <w:shd w:val="clear" w:color="auto" w:fill="auto"/>
            <w:noWrap/>
            <w:vAlign w:val="center"/>
            <w:hideMark/>
          </w:tcPr>
          <w:p w:rsidR="00CB2BD7" w:rsidRPr="00E97254" w:rsidRDefault="004E1F53" w:rsidP="000C0250">
            <w:pPr>
              <w:spacing w:after="0"/>
              <w:jc w:val="right"/>
              <w:rPr>
                <w:rFonts w:ascii="Calibri" w:eastAsia="Times New Roman" w:hAnsi="Calibri" w:cs="Calibri"/>
                <w:color w:val="000000"/>
                <w:sz w:val="16"/>
                <w:szCs w:val="16"/>
              </w:rPr>
            </w:pPr>
            <w:r>
              <w:rPr>
                <w:rFonts w:ascii="Calibri" w:eastAsia="Times New Roman" w:hAnsi="Calibri" w:cs="Calibri"/>
                <w:color w:val="000000"/>
                <w:sz w:val="16"/>
                <w:szCs w:val="16"/>
              </w:rPr>
              <w:t>-5.19%</w:t>
            </w:r>
          </w:p>
        </w:tc>
      </w:tr>
      <w:tr w:rsidR="00CB2BD7" w:rsidRPr="00E97254" w:rsidTr="00E7729D">
        <w:trPr>
          <w:trHeight w:val="300"/>
        </w:trPr>
        <w:tc>
          <w:tcPr>
            <w:tcW w:w="990" w:type="dxa"/>
            <w:tcBorders>
              <w:top w:val="nil"/>
              <w:left w:val="single" w:sz="4" w:space="0" w:color="auto"/>
              <w:bottom w:val="single" w:sz="4" w:space="0" w:color="auto"/>
              <w:right w:val="single" w:sz="4" w:space="0" w:color="auto"/>
            </w:tcBorders>
            <w:shd w:val="clear" w:color="000000" w:fill="FFFFFF"/>
            <w:noWrap/>
            <w:vAlign w:val="center"/>
            <w:hideMark/>
          </w:tcPr>
          <w:p w:rsidR="00CB2BD7" w:rsidRPr="00E97254" w:rsidRDefault="004E1F53" w:rsidP="000C0250">
            <w:pPr>
              <w:spacing w:after="0"/>
              <w:jc w:val="both"/>
              <w:rPr>
                <w:rFonts w:ascii="Arial" w:eastAsia="Times New Roman" w:hAnsi="Arial" w:cs="Arial"/>
                <w:color w:val="000000"/>
                <w:sz w:val="16"/>
                <w:szCs w:val="16"/>
              </w:rPr>
            </w:pPr>
            <w:r>
              <w:rPr>
                <w:rFonts w:ascii="Arial" w:eastAsia="Times New Roman" w:hAnsi="Arial" w:cs="Arial"/>
                <w:color w:val="000000"/>
                <w:sz w:val="16"/>
                <w:szCs w:val="16"/>
              </w:rPr>
              <w:t>Korçë</w:t>
            </w:r>
          </w:p>
        </w:tc>
        <w:tc>
          <w:tcPr>
            <w:tcW w:w="766" w:type="dxa"/>
            <w:tcBorders>
              <w:top w:val="nil"/>
              <w:left w:val="nil"/>
              <w:bottom w:val="single" w:sz="4" w:space="0" w:color="auto"/>
              <w:right w:val="single" w:sz="4" w:space="0" w:color="auto"/>
            </w:tcBorders>
            <w:shd w:val="clear" w:color="auto" w:fill="auto"/>
            <w:noWrap/>
            <w:vAlign w:val="center"/>
            <w:hideMark/>
          </w:tcPr>
          <w:p w:rsidR="00CB2BD7" w:rsidRPr="00E97254" w:rsidRDefault="004E1F53" w:rsidP="000C0250">
            <w:pPr>
              <w:spacing w:after="0"/>
              <w:jc w:val="right"/>
              <w:rPr>
                <w:rFonts w:ascii="Calibri" w:eastAsia="Times New Roman" w:hAnsi="Calibri" w:cs="Calibri"/>
                <w:color w:val="000000"/>
                <w:sz w:val="16"/>
                <w:szCs w:val="16"/>
              </w:rPr>
            </w:pPr>
            <w:r>
              <w:rPr>
                <w:rFonts w:ascii="Calibri" w:eastAsia="Times New Roman" w:hAnsi="Calibri" w:cs="Calibri"/>
                <w:color w:val="000000"/>
                <w:sz w:val="16"/>
                <w:szCs w:val="16"/>
              </w:rPr>
              <w:t>65,729</w:t>
            </w:r>
          </w:p>
        </w:tc>
        <w:tc>
          <w:tcPr>
            <w:tcW w:w="766" w:type="dxa"/>
            <w:tcBorders>
              <w:top w:val="nil"/>
              <w:left w:val="nil"/>
              <w:bottom w:val="single" w:sz="4" w:space="0" w:color="auto"/>
              <w:right w:val="single" w:sz="4" w:space="0" w:color="auto"/>
            </w:tcBorders>
            <w:shd w:val="clear" w:color="auto" w:fill="auto"/>
            <w:noWrap/>
            <w:vAlign w:val="center"/>
            <w:hideMark/>
          </w:tcPr>
          <w:p w:rsidR="00CB2BD7" w:rsidRPr="00E97254" w:rsidRDefault="004E1F53" w:rsidP="000C0250">
            <w:pPr>
              <w:spacing w:after="0"/>
              <w:jc w:val="right"/>
              <w:rPr>
                <w:rFonts w:ascii="Calibri" w:eastAsia="Times New Roman" w:hAnsi="Calibri" w:cs="Calibri"/>
                <w:color w:val="000000"/>
                <w:sz w:val="16"/>
                <w:szCs w:val="16"/>
              </w:rPr>
            </w:pPr>
            <w:r>
              <w:rPr>
                <w:rFonts w:ascii="Calibri" w:eastAsia="Times New Roman" w:hAnsi="Calibri" w:cs="Calibri"/>
                <w:color w:val="000000"/>
                <w:sz w:val="16"/>
                <w:szCs w:val="16"/>
              </w:rPr>
              <w:t>56,506</w:t>
            </w:r>
          </w:p>
        </w:tc>
        <w:tc>
          <w:tcPr>
            <w:tcW w:w="768" w:type="dxa"/>
            <w:tcBorders>
              <w:top w:val="nil"/>
              <w:left w:val="nil"/>
              <w:bottom w:val="single" w:sz="4" w:space="0" w:color="auto"/>
              <w:right w:val="single" w:sz="4" w:space="0" w:color="auto"/>
            </w:tcBorders>
            <w:shd w:val="clear" w:color="auto" w:fill="auto"/>
            <w:noWrap/>
            <w:vAlign w:val="center"/>
            <w:hideMark/>
          </w:tcPr>
          <w:p w:rsidR="00CB2BD7" w:rsidRPr="00E97254" w:rsidRDefault="004E1F53" w:rsidP="000C0250">
            <w:pPr>
              <w:spacing w:after="0"/>
              <w:jc w:val="right"/>
              <w:rPr>
                <w:rFonts w:ascii="Calibri" w:eastAsia="Times New Roman" w:hAnsi="Calibri" w:cs="Calibri"/>
                <w:color w:val="000000"/>
                <w:sz w:val="16"/>
                <w:szCs w:val="16"/>
              </w:rPr>
            </w:pPr>
            <w:r>
              <w:rPr>
                <w:rFonts w:ascii="Calibri" w:eastAsia="Times New Roman" w:hAnsi="Calibri" w:cs="Calibri"/>
                <w:color w:val="000000"/>
                <w:sz w:val="16"/>
                <w:szCs w:val="16"/>
              </w:rPr>
              <w:t>-14.03%</w:t>
            </w:r>
          </w:p>
        </w:tc>
        <w:tc>
          <w:tcPr>
            <w:tcW w:w="914" w:type="dxa"/>
            <w:tcBorders>
              <w:top w:val="nil"/>
              <w:left w:val="nil"/>
              <w:bottom w:val="single" w:sz="4" w:space="0" w:color="auto"/>
              <w:right w:val="single" w:sz="4" w:space="0" w:color="auto"/>
            </w:tcBorders>
            <w:shd w:val="clear" w:color="auto" w:fill="auto"/>
            <w:noWrap/>
            <w:vAlign w:val="center"/>
            <w:hideMark/>
          </w:tcPr>
          <w:p w:rsidR="00CB2BD7" w:rsidRPr="00E97254" w:rsidRDefault="004E1F53" w:rsidP="000C0250">
            <w:pPr>
              <w:spacing w:after="0"/>
              <w:jc w:val="right"/>
              <w:rPr>
                <w:rFonts w:ascii="Calibri" w:eastAsia="Times New Roman" w:hAnsi="Calibri" w:cs="Calibri"/>
                <w:color w:val="000000"/>
                <w:sz w:val="16"/>
                <w:szCs w:val="16"/>
              </w:rPr>
            </w:pPr>
            <w:r>
              <w:rPr>
                <w:rFonts w:ascii="Calibri" w:eastAsia="Times New Roman" w:hAnsi="Calibri" w:cs="Calibri"/>
                <w:color w:val="000000"/>
                <w:sz w:val="16"/>
                <w:szCs w:val="16"/>
              </w:rPr>
              <w:t>142,311</w:t>
            </w:r>
          </w:p>
        </w:tc>
        <w:tc>
          <w:tcPr>
            <w:tcW w:w="913" w:type="dxa"/>
            <w:tcBorders>
              <w:top w:val="nil"/>
              <w:left w:val="nil"/>
              <w:bottom w:val="single" w:sz="4" w:space="0" w:color="auto"/>
              <w:right w:val="single" w:sz="4" w:space="0" w:color="auto"/>
            </w:tcBorders>
            <w:shd w:val="clear" w:color="auto" w:fill="auto"/>
            <w:noWrap/>
            <w:vAlign w:val="center"/>
            <w:hideMark/>
          </w:tcPr>
          <w:p w:rsidR="00CB2BD7" w:rsidRPr="00E97254" w:rsidRDefault="004E1F53" w:rsidP="000C0250">
            <w:pPr>
              <w:spacing w:after="0"/>
              <w:jc w:val="right"/>
              <w:rPr>
                <w:rFonts w:ascii="Calibri" w:eastAsia="Times New Roman" w:hAnsi="Calibri" w:cs="Calibri"/>
                <w:color w:val="000000"/>
                <w:sz w:val="16"/>
                <w:szCs w:val="16"/>
              </w:rPr>
            </w:pPr>
            <w:r>
              <w:rPr>
                <w:rFonts w:ascii="Calibri" w:eastAsia="Times New Roman" w:hAnsi="Calibri" w:cs="Calibri"/>
                <w:color w:val="000000"/>
                <w:sz w:val="16"/>
                <w:szCs w:val="16"/>
              </w:rPr>
              <w:t>135,879</w:t>
            </w:r>
          </w:p>
        </w:tc>
        <w:tc>
          <w:tcPr>
            <w:tcW w:w="753" w:type="dxa"/>
            <w:tcBorders>
              <w:top w:val="nil"/>
              <w:left w:val="nil"/>
              <w:bottom w:val="single" w:sz="4" w:space="0" w:color="auto"/>
              <w:right w:val="single" w:sz="4" w:space="0" w:color="auto"/>
            </w:tcBorders>
            <w:shd w:val="clear" w:color="auto" w:fill="auto"/>
            <w:noWrap/>
            <w:vAlign w:val="center"/>
            <w:hideMark/>
          </w:tcPr>
          <w:p w:rsidR="00CB2BD7" w:rsidRPr="00E97254" w:rsidRDefault="004E1F53" w:rsidP="000C0250">
            <w:pPr>
              <w:spacing w:after="0"/>
              <w:jc w:val="right"/>
              <w:rPr>
                <w:rFonts w:ascii="Calibri" w:eastAsia="Times New Roman" w:hAnsi="Calibri" w:cs="Calibri"/>
                <w:color w:val="000000"/>
                <w:sz w:val="16"/>
                <w:szCs w:val="16"/>
              </w:rPr>
            </w:pPr>
            <w:r>
              <w:rPr>
                <w:rFonts w:ascii="Calibri" w:eastAsia="Times New Roman" w:hAnsi="Calibri" w:cs="Calibri"/>
                <w:color w:val="000000"/>
                <w:sz w:val="16"/>
                <w:szCs w:val="16"/>
              </w:rPr>
              <w:t>-4.52%</w:t>
            </w:r>
          </w:p>
        </w:tc>
        <w:tc>
          <w:tcPr>
            <w:tcW w:w="837" w:type="dxa"/>
            <w:tcBorders>
              <w:top w:val="nil"/>
              <w:left w:val="nil"/>
              <w:bottom w:val="single" w:sz="4" w:space="0" w:color="auto"/>
              <w:right w:val="single" w:sz="4" w:space="0" w:color="auto"/>
            </w:tcBorders>
            <w:shd w:val="clear" w:color="auto" w:fill="auto"/>
            <w:noWrap/>
            <w:vAlign w:val="center"/>
            <w:hideMark/>
          </w:tcPr>
          <w:p w:rsidR="00CB2BD7" w:rsidRPr="00E97254" w:rsidRDefault="004E1F53" w:rsidP="000C0250">
            <w:pPr>
              <w:spacing w:after="0"/>
              <w:jc w:val="right"/>
              <w:rPr>
                <w:rFonts w:ascii="Calibri" w:eastAsia="Times New Roman" w:hAnsi="Calibri" w:cs="Calibri"/>
                <w:color w:val="000000"/>
                <w:sz w:val="16"/>
                <w:szCs w:val="16"/>
              </w:rPr>
            </w:pPr>
            <w:r>
              <w:rPr>
                <w:rFonts w:ascii="Calibri" w:eastAsia="Times New Roman" w:hAnsi="Calibri" w:cs="Calibri"/>
                <w:color w:val="000000"/>
                <w:sz w:val="16"/>
                <w:szCs w:val="16"/>
              </w:rPr>
              <w:t>30,439</w:t>
            </w:r>
          </w:p>
        </w:tc>
        <w:tc>
          <w:tcPr>
            <w:tcW w:w="837" w:type="dxa"/>
            <w:tcBorders>
              <w:top w:val="nil"/>
              <w:left w:val="nil"/>
              <w:bottom w:val="single" w:sz="4" w:space="0" w:color="auto"/>
              <w:right w:val="single" w:sz="4" w:space="0" w:color="auto"/>
            </w:tcBorders>
            <w:shd w:val="clear" w:color="auto" w:fill="auto"/>
            <w:noWrap/>
            <w:vAlign w:val="center"/>
            <w:hideMark/>
          </w:tcPr>
          <w:p w:rsidR="00CB2BD7" w:rsidRPr="00E97254" w:rsidRDefault="004E1F53" w:rsidP="000C0250">
            <w:pPr>
              <w:spacing w:after="0"/>
              <w:jc w:val="right"/>
              <w:rPr>
                <w:rFonts w:ascii="Calibri" w:eastAsia="Times New Roman" w:hAnsi="Calibri" w:cs="Calibri"/>
                <w:color w:val="000000"/>
                <w:sz w:val="16"/>
                <w:szCs w:val="16"/>
              </w:rPr>
            </w:pPr>
            <w:r>
              <w:rPr>
                <w:rFonts w:ascii="Calibri" w:eastAsia="Times New Roman" w:hAnsi="Calibri" w:cs="Calibri"/>
                <w:color w:val="000000"/>
                <w:sz w:val="16"/>
                <w:szCs w:val="16"/>
              </w:rPr>
              <w:t>41,549</w:t>
            </w:r>
          </w:p>
        </w:tc>
        <w:tc>
          <w:tcPr>
            <w:tcW w:w="766" w:type="dxa"/>
            <w:tcBorders>
              <w:top w:val="nil"/>
              <w:left w:val="nil"/>
              <w:bottom w:val="single" w:sz="4" w:space="0" w:color="auto"/>
              <w:right w:val="single" w:sz="4" w:space="0" w:color="auto"/>
            </w:tcBorders>
            <w:shd w:val="clear" w:color="auto" w:fill="auto"/>
            <w:noWrap/>
            <w:vAlign w:val="center"/>
            <w:hideMark/>
          </w:tcPr>
          <w:p w:rsidR="00CB2BD7" w:rsidRPr="00E97254" w:rsidRDefault="004E1F53" w:rsidP="000C0250">
            <w:pPr>
              <w:spacing w:after="0"/>
              <w:jc w:val="right"/>
              <w:rPr>
                <w:rFonts w:ascii="Calibri" w:eastAsia="Times New Roman" w:hAnsi="Calibri" w:cs="Calibri"/>
                <w:color w:val="000000"/>
                <w:sz w:val="16"/>
                <w:szCs w:val="16"/>
              </w:rPr>
            </w:pPr>
            <w:r>
              <w:rPr>
                <w:rFonts w:ascii="Calibri" w:eastAsia="Times New Roman" w:hAnsi="Calibri" w:cs="Calibri"/>
                <w:color w:val="000000"/>
                <w:sz w:val="16"/>
                <w:szCs w:val="16"/>
              </w:rPr>
              <w:t>36.50%</w:t>
            </w:r>
          </w:p>
        </w:tc>
        <w:tc>
          <w:tcPr>
            <w:tcW w:w="878" w:type="dxa"/>
            <w:tcBorders>
              <w:top w:val="nil"/>
              <w:left w:val="nil"/>
              <w:bottom w:val="single" w:sz="4" w:space="0" w:color="auto"/>
              <w:right w:val="single" w:sz="4" w:space="0" w:color="auto"/>
            </w:tcBorders>
            <w:shd w:val="clear" w:color="auto" w:fill="auto"/>
            <w:noWrap/>
            <w:vAlign w:val="center"/>
            <w:hideMark/>
          </w:tcPr>
          <w:p w:rsidR="00CB2BD7" w:rsidRPr="00E97254" w:rsidRDefault="004E1F53" w:rsidP="000C0250">
            <w:pPr>
              <w:spacing w:after="0"/>
              <w:jc w:val="right"/>
              <w:rPr>
                <w:rFonts w:ascii="Calibri" w:eastAsia="Times New Roman" w:hAnsi="Calibri" w:cs="Calibri"/>
                <w:color w:val="000000"/>
                <w:sz w:val="16"/>
                <w:szCs w:val="16"/>
              </w:rPr>
            </w:pPr>
            <w:r>
              <w:rPr>
                <w:rFonts w:ascii="Calibri" w:eastAsia="Times New Roman" w:hAnsi="Calibri" w:cs="Calibri"/>
                <w:color w:val="000000"/>
                <w:sz w:val="16"/>
                <w:szCs w:val="16"/>
              </w:rPr>
              <w:t>207,028</w:t>
            </w:r>
          </w:p>
        </w:tc>
        <w:tc>
          <w:tcPr>
            <w:tcW w:w="878" w:type="dxa"/>
            <w:tcBorders>
              <w:top w:val="nil"/>
              <w:left w:val="nil"/>
              <w:bottom w:val="single" w:sz="4" w:space="0" w:color="auto"/>
              <w:right w:val="single" w:sz="4" w:space="0" w:color="auto"/>
            </w:tcBorders>
            <w:shd w:val="clear" w:color="auto" w:fill="auto"/>
            <w:noWrap/>
            <w:vAlign w:val="center"/>
            <w:hideMark/>
          </w:tcPr>
          <w:p w:rsidR="00CB2BD7" w:rsidRPr="00E97254" w:rsidRDefault="004E1F53" w:rsidP="000C0250">
            <w:pPr>
              <w:spacing w:after="0"/>
              <w:jc w:val="right"/>
              <w:rPr>
                <w:rFonts w:ascii="Calibri" w:eastAsia="Times New Roman" w:hAnsi="Calibri" w:cs="Calibri"/>
                <w:color w:val="000000"/>
                <w:sz w:val="16"/>
                <w:szCs w:val="16"/>
              </w:rPr>
            </w:pPr>
            <w:r>
              <w:rPr>
                <w:rFonts w:ascii="Calibri" w:eastAsia="Times New Roman" w:hAnsi="Calibri" w:cs="Calibri"/>
                <w:color w:val="000000"/>
                <w:sz w:val="16"/>
                <w:szCs w:val="16"/>
              </w:rPr>
              <w:t>208,467</w:t>
            </w:r>
          </w:p>
        </w:tc>
        <w:tc>
          <w:tcPr>
            <w:tcW w:w="827" w:type="dxa"/>
            <w:tcBorders>
              <w:top w:val="nil"/>
              <w:left w:val="nil"/>
              <w:bottom w:val="single" w:sz="4" w:space="0" w:color="auto"/>
              <w:right w:val="single" w:sz="4" w:space="0" w:color="auto"/>
            </w:tcBorders>
            <w:shd w:val="clear" w:color="auto" w:fill="auto"/>
            <w:noWrap/>
            <w:vAlign w:val="center"/>
            <w:hideMark/>
          </w:tcPr>
          <w:p w:rsidR="00CB2BD7" w:rsidRPr="00E97254" w:rsidRDefault="004E1F53" w:rsidP="000C0250">
            <w:pPr>
              <w:spacing w:after="0"/>
              <w:jc w:val="right"/>
              <w:rPr>
                <w:rFonts w:ascii="Calibri" w:eastAsia="Times New Roman" w:hAnsi="Calibri" w:cs="Calibri"/>
                <w:color w:val="000000"/>
                <w:sz w:val="16"/>
                <w:szCs w:val="16"/>
              </w:rPr>
            </w:pPr>
            <w:r>
              <w:rPr>
                <w:rFonts w:ascii="Calibri" w:eastAsia="Times New Roman" w:hAnsi="Calibri" w:cs="Calibri"/>
                <w:color w:val="000000"/>
                <w:sz w:val="16"/>
                <w:szCs w:val="16"/>
              </w:rPr>
              <w:t>0.70%</w:t>
            </w:r>
          </w:p>
        </w:tc>
      </w:tr>
      <w:tr w:rsidR="00CB2BD7" w:rsidRPr="00E97254" w:rsidTr="00E7729D">
        <w:trPr>
          <w:trHeight w:val="300"/>
        </w:trPr>
        <w:tc>
          <w:tcPr>
            <w:tcW w:w="990" w:type="dxa"/>
            <w:tcBorders>
              <w:top w:val="nil"/>
              <w:left w:val="single" w:sz="4" w:space="0" w:color="auto"/>
              <w:bottom w:val="single" w:sz="4" w:space="0" w:color="auto"/>
              <w:right w:val="single" w:sz="4" w:space="0" w:color="auto"/>
            </w:tcBorders>
            <w:shd w:val="clear" w:color="000000" w:fill="FFFFFF"/>
            <w:noWrap/>
            <w:vAlign w:val="center"/>
            <w:hideMark/>
          </w:tcPr>
          <w:p w:rsidR="00CB2BD7" w:rsidRPr="00E97254" w:rsidRDefault="004E1F53" w:rsidP="000C0250">
            <w:pPr>
              <w:spacing w:after="0"/>
              <w:jc w:val="both"/>
              <w:rPr>
                <w:rFonts w:ascii="Arial" w:eastAsia="Times New Roman" w:hAnsi="Arial" w:cs="Arial"/>
                <w:color w:val="000000"/>
                <w:sz w:val="16"/>
                <w:szCs w:val="16"/>
              </w:rPr>
            </w:pPr>
            <w:r>
              <w:rPr>
                <w:rFonts w:ascii="Arial" w:eastAsia="Times New Roman" w:hAnsi="Arial" w:cs="Arial"/>
                <w:color w:val="000000"/>
                <w:sz w:val="16"/>
                <w:szCs w:val="16"/>
              </w:rPr>
              <w:t>Kukës</w:t>
            </w:r>
          </w:p>
        </w:tc>
        <w:tc>
          <w:tcPr>
            <w:tcW w:w="766" w:type="dxa"/>
            <w:tcBorders>
              <w:top w:val="nil"/>
              <w:left w:val="nil"/>
              <w:bottom w:val="single" w:sz="4" w:space="0" w:color="auto"/>
              <w:right w:val="single" w:sz="4" w:space="0" w:color="auto"/>
            </w:tcBorders>
            <w:shd w:val="clear" w:color="auto" w:fill="auto"/>
            <w:noWrap/>
            <w:vAlign w:val="center"/>
            <w:hideMark/>
          </w:tcPr>
          <w:p w:rsidR="00CB2BD7" w:rsidRPr="00E97254" w:rsidRDefault="004E1F53" w:rsidP="000C0250">
            <w:pPr>
              <w:spacing w:after="0"/>
              <w:jc w:val="right"/>
              <w:rPr>
                <w:rFonts w:ascii="Calibri" w:eastAsia="Times New Roman" w:hAnsi="Calibri" w:cs="Calibri"/>
                <w:color w:val="000000"/>
                <w:sz w:val="16"/>
                <w:szCs w:val="16"/>
              </w:rPr>
            </w:pPr>
            <w:r>
              <w:rPr>
                <w:rFonts w:ascii="Calibri" w:eastAsia="Times New Roman" w:hAnsi="Calibri" w:cs="Calibri"/>
                <w:color w:val="000000"/>
                <w:sz w:val="16"/>
                <w:szCs w:val="16"/>
              </w:rPr>
              <w:t>26,153</w:t>
            </w:r>
          </w:p>
        </w:tc>
        <w:tc>
          <w:tcPr>
            <w:tcW w:w="766" w:type="dxa"/>
            <w:tcBorders>
              <w:top w:val="nil"/>
              <w:left w:val="nil"/>
              <w:bottom w:val="single" w:sz="4" w:space="0" w:color="auto"/>
              <w:right w:val="single" w:sz="4" w:space="0" w:color="auto"/>
            </w:tcBorders>
            <w:shd w:val="clear" w:color="auto" w:fill="auto"/>
            <w:noWrap/>
            <w:vAlign w:val="center"/>
            <w:hideMark/>
          </w:tcPr>
          <w:p w:rsidR="00CB2BD7" w:rsidRPr="00E97254" w:rsidRDefault="004E1F53" w:rsidP="000C0250">
            <w:pPr>
              <w:spacing w:after="0"/>
              <w:jc w:val="right"/>
              <w:rPr>
                <w:rFonts w:ascii="Calibri" w:eastAsia="Times New Roman" w:hAnsi="Calibri" w:cs="Calibri"/>
                <w:color w:val="000000"/>
                <w:sz w:val="16"/>
                <w:szCs w:val="16"/>
              </w:rPr>
            </w:pPr>
            <w:r>
              <w:rPr>
                <w:rFonts w:ascii="Calibri" w:eastAsia="Times New Roman" w:hAnsi="Calibri" w:cs="Calibri"/>
                <w:color w:val="000000"/>
                <w:sz w:val="16"/>
                <w:szCs w:val="16"/>
              </w:rPr>
              <w:t>20,376</w:t>
            </w:r>
          </w:p>
        </w:tc>
        <w:tc>
          <w:tcPr>
            <w:tcW w:w="768" w:type="dxa"/>
            <w:tcBorders>
              <w:top w:val="nil"/>
              <w:left w:val="nil"/>
              <w:bottom w:val="single" w:sz="4" w:space="0" w:color="auto"/>
              <w:right w:val="single" w:sz="4" w:space="0" w:color="auto"/>
            </w:tcBorders>
            <w:shd w:val="clear" w:color="auto" w:fill="auto"/>
            <w:noWrap/>
            <w:vAlign w:val="center"/>
            <w:hideMark/>
          </w:tcPr>
          <w:p w:rsidR="00CB2BD7" w:rsidRPr="00E97254" w:rsidRDefault="004E1F53" w:rsidP="000C0250">
            <w:pPr>
              <w:spacing w:after="0"/>
              <w:jc w:val="right"/>
              <w:rPr>
                <w:rFonts w:ascii="Calibri" w:eastAsia="Times New Roman" w:hAnsi="Calibri" w:cs="Calibri"/>
                <w:color w:val="000000"/>
                <w:sz w:val="16"/>
                <w:szCs w:val="16"/>
              </w:rPr>
            </w:pPr>
            <w:r>
              <w:rPr>
                <w:rFonts w:ascii="Calibri" w:eastAsia="Times New Roman" w:hAnsi="Calibri" w:cs="Calibri"/>
                <w:color w:val="000000"/>
                <w:sz w:val="16"/>
                <w:szCs w:val="16"/>
              </w:rPr>
              <w:t>-22.09%</w:t>
            </w:r>
          </w:p>
        </w:tc>
        <w:tc>
          <w:tcPr>
            <w:tcW w:w="914" w:type="dxa"/>
            <w:tcBorders>
              <w:top w:val="nil"/>
              <w:left w:val="nil"/>
              <w:bottom w:val="single" w:sz="4" w:space="0" w:color="auto"/>
              <w:right w:val="single" w:sz="4" w:space="0" w:color="auto"/>
            </w:tcBorders>
            <w:shd w:val="clear" w:color="auto" w:fill="auto"/>
            <w:noWrap/>
            <w:vAlign w:val="center"/>
            <w:hideMark/>
          </w:tcPr>
          <w:p w:rsidR="00CB2BD7" w:rsidRPr="00E97254" w:rsidRDefault="004E1F53" w:rsidP="000C0250">
            <w:pPr>
              <w:spacing w:after="0"/>
              <w:jc w:val="right"/>
              <w:rPr>
                <w:rFonts w:ascii="Calibri" w:eastAsia="Times New Roman" w:hAnsi="Calibri" w:cs="Calibri"/>
                <w:color w:val="000000"/>
                <w:sz w:val="16"/>
                <w:szCs w:val="16"/>
              </w:rPr>
            </w:pPr>
            <w:r>
              <w:rPr>
                <w:rFonts w:ascii="Calibri" w:eastAsia="Times New Roman" w:hAnsi="Calibri" w:cs="Calibri"/>
                <w:color w:val="000000"/>
                <w:sz w:val="16"/>
                <w:szCs w:val="16"/>
              </w:rPr>
              <w:t>49,064</w:t>
            </w:r>
          </w:p>
        </w:tc>
        <w:tc>
          <w:tcPr>
            <w:tcW w:w="913" w:type="dxa"/>
            <w:tcBorders>
              <w:top w:val="nil"/>
              <w:left w:val="nil"/>
              <w:bottom w:val="single" w:sz="4" w:space="0" w:color="auto"/>
              <w:right w:val="single" w:sz="4" w:space="0" w:color="auto"/>
            </w:tcBorders>
            <w:shd w:val="clear" w:color="auto" w:fill="auto"/>
            <w:noWrap/>
            <w:vAlign w:val="center"/>
            <w:hideMark/>
          </w:tcPr>
          <w:p w:rsidR="00CB2BD7" w:rsidRPr="00E97254" w:rsidRDefault="004E1F53" w:rsidP="000C0250">
            <w:pPr>
              <w:spacing w:after="0"/>
              <w:jc w:val="right"/>
              <w:rPr>
                <w:rFonts w:ascii="Calibri" w:eastAsia="Times New Roman" w:hAnsi="Calibri" w:cs="Calibri"/>
                <w:color w:val="000000"/>
                <w:sz w:val="16"/>
                <w:szCs w:val="16"/>
              </w:rPr>
            </w:pPr>
            <w:r>
              <w:rPr>
                <w:rFonts w:ascii="Calibri" w:eastAsia="Times New Roman" w:hAnsi="Calibri" w:cs="Calibri"/>
                <w:color w:val="000000"/>
                <w:sz w:val="16"/>
                <w:szCs w:val="16"/>
              </w:rPr>
              <w:t>42,649</w:t>
            </w:r>
          </w:p>
        </w:tc>
        <w:tc>
          <w:tcPr>
            <w:tcW w:w="753" w:type="dxa"/>
            <w:tcBorders>
              <w:top w:val="nil"/>
              <w:left w:val="nil"/>
              <w:bottom w:val="single" w:sz="4" w:space="0" w:color="auto"/>
              <w:right w:val="single" w:sz="4" w:space="0" w:color="auto"/>
            </w:tcBorders>
            <w:shd w:val="clear" w:color="auto" w:fill="auto"/>
            <w:noWrap/>
            <w:vAlign w:val="center"/>
            <w:hideMark/>
          </w:tcPr>
          <w:p w:rsidR="00CB2BD7" w:rsidRPr="00E97254" w:rsidRDefault="004E1F53" w:rsidP="000C0250">
            <w:pPr>
              <w:spacing w:after="0"/>
              <w:jc w:val="right"/>
              <w:rPr>
                <w:rFonts w:ascii="Calibri" w:eastAsia="Times New Roman" w:hAnsi="Calibri" w:cs="Calibri"/>
                <w:color w:val="000000"/>
                <w:sz w:val="16"/>
                <w:szCs w:val="16"/>
              </w:rPr>
            </w:pPr>
            <w:r>
              <w:rPr>
                <w:rFonts w:ascii="Calibri" w:eastAsia="Times New Roman" w:hAnsi="Calibri" w:cs="Calibri"/>
                <w:color w:val="000000"/>
                <w:sz w:val="16"/>
                <w:szCs w:val="16"/>
              </w:rPr>
              <w:t>-13.07%</w:t>
            </w:r>
          </w:p>
        </w:tc>
        <w:tc>
          <w:tcPr>
            <w:tcW w:w="837" w:type="dxa"/>
            <w:tcBorders>
              <w:top w:val="nil"/>
              <w:left w:val="nil"/>
              <w:bottom w:val="single" w:sz="4" w:space="0" w:color="auto"/>
              <w:right w:val="single" w:sz="4" w:space="0" w:color="auto"/>
            </w:tcBorders>
            <w:shd w:val="clear" w:color="auto" w:fill="auto"/>
            <w:noWrap/>
            <w:vAlign w:val="center"/>
            <w:hideMark/>
          </w:tcPr>
          <w:p w:rsidR="00CB2BD7" w:rsidRPr="00E97254" w:rsidRDefault="004E1F53" w:rsidP="000C0250">
            <w:pPr>
              <w:spacing w:after="0"/>
              <w:jc w:val="right"/>
              <w:rPr>
                <w:rFonts w:ascii="Calibri" w:eastAsia="Times New Roman" w:hAnsi="Calibri" w:cs="Calibri"/>
                <w:color w:val="000000"/>
                <w:sz w:val="16"/>
                <w:szCs w:val="16"/>
              </w:rPr>
            </w:pPr>
            <w:r>
              <w:rPr>
                <w:rFonts w:ascii="Calibri" w:eastAsia="Times New Roman" w:hAnsi="Calibri" w:cs="Calibri"/>
                <w:color w:val="000000"/>
                <w:sz w:val="16"/>
                <w:szCs w:val="16"/>
              </w:rPr>
              <w:t>11,800</w:t>
            </w:r>
          </w:p>
        </w:tc>
        <w:tc>
          <w:tcPr>
            <w:tcW w:w="837" w:type="dxa"/>
            <w:tcBorders>
              <w:top w:val="nil"/>
              <w:left w:val="nil"/>
              <w:bottom w:val="single" w:sz="4" w:space="0" w:color="auto"/>
              <w:right w:val="single" w:sz="4" w:space="0" w:color="auto"/>
            </w:tcBorders>
            <w:shd w:val="clear" w:color="auto" w:fill="auto"/>
            <w:noWrap/>
            <w:vAlign w:val="center"/>
            <w:hideMark/>
          </w:tcPr>
          <w:p w:rsidR="00CB2BD7" w:rsidRPr="00E97254" w:rsidRDefault="004E1F53" w:rsidP="000C0250">
            <w:pPr>
              <w:spacing w:after="0"/>
              <w:jc w:val="right"/>
              <w:rPr>
                <w:rFonts w:ascii="Calibri" w:eastAsia="Times New Roman" w:hAnsi="Calibri" w:cs="Calibri"/>
                <w:color w:val="000000"/>
                <w:sz w:val="16"/>
                <w:szCs w:val="16"/>
              </w:rPr>
            </w:pPr>
            <w:r>
              <w:rPr>
                <w:rFonts w:ascii="Calibri" w:eastAsia="Times New Roman" w:hAnsi="Calibri" w:cs="Calibri"/>
                <w:color w:val="000000"/>
                <w:sz w:val="16"/>
                <w:szCs w:val="16"/>
              </w:rPr>
              <w:t>11,991</w:t>
            </w:r>
          </w:p>
        </w:tc>
        <w:tc>
          <w:tcPr>
            <w:tcW w:w="766" w:type="dxa"/>
            <w:tcBorders>
              <w:top w:val="nil"/>
              <w:left w:val="nil"/>
              <w:bottom w:val="single" w:sz="4" w:space="0" w:color="auto"/>
              <w:right w:val="single" w:sz="4" w:space="0" w:color="auto"/>
            </w:tcBorders>
            <w:shd w:val="clear" w:color="auto" w:fill="auto"/>
            <w:noWrap/>
            <w:vAlign w:val="center"/>
            <w:hideMark/>
          </w:tcPr>
          <w:p w:rsidR="00CB2BD7" w:rsidRPr="00E97254" w:rsidRDefault="004E1F53" w:rsidP="000C0250">
            <w:pPr>
              <w:spacing w:after="0"/>
              <w:jc w:val="right"/>
              <w:rPr>
                <w:rFonts w:ascii="Calibri" w:eastAsia="Times New Roman" w:hAnsi="Calibri" w:cs="Calibri"/>
                <w:color w:val="000000"/>
                <w:sz w:val="16"/>
                <w:szCs w:val="16"/>
              </w:rPr>
            </w:pPr>
            <w:r>
              <w:rPr>
                <w:rFonts w:ascii="Calibri" w:eastAsia="Times New Roman" w:hAnsi="Calibri" w:cs="Calibri"/>
                <w:color w:val="000000"/>
                <w:sz w:val="16"/>
                <w:szCs w:val="16"/>
              </w:rPr>
              <w:t>1.62%</w:t>
            </w:r>
          </w:p>
        </w:tc>
        <w:tc>
          <w:tcPr>
            <w:tcW w:w="878" w:type="dxa"/>
            <w:tcBorders>
              <w:top w:val="nil"/>
              <w:left w:val="nil"/>
              <w:bottom w:val="single" w:sz="4" w:space="0" w:color="auto"/>
              <w:right w:val="single" w:sz="4" w:space="0" w:color="auto"/>
            </w:tcBorders>
            <w:shd w:val="clear" w:color="auto" w:fill="auto"/>
            <w:noWrap/>
            <w:vAlign w:val="center"/>
            <w:hideMark/>
          </w:tcPr>
          <w:p w:rsidR="00CB2BD7" w:rsidRPr="00E97254" w:rsidRDefault="004E1F53" w:rsidP="000C0250">
            <w:pPr>
              <w:spacing w:after="0"/>
              <w:jc w:val="right"/>
              <w:rPr>
                <w:rFonts w:ascii="Calibri" w:eastAsia="Times New Roman" w:hAnsi="Calibri" w:cs="Calibri"/>
                <w:color w:val="000000"/>
                <w:sz w:val="16"/>
                <w:szCs w:val="16"/>
              </w:rPr>
            </w:pPr>
            <w:r>
              <w:rPr>
                <w:rFonts w:ascii="Calibri" w:eastAsia="Times New Roman" w:hAnsi="Calibri" w:cs="Calibri"/>
                <w:color w:val="000000"/>
                <w:sz w:val="16"/>
                <w:szCs w:val="16"/>
              </w:rPr>
              <w:t>76,252</w:t>
            </w:r>
          </w:p>
        </w:tc>
        <w:tc>
          <w:tcPr>
            <w:tcW w:w="878" w:type="dxa"/>
            <w:tcBorders>
              <w:top w:val="nil"/>
              <w:left w:val="nil"/>
              <w:bottom w:val="single" w:sz="4" w:space="0" w:color="auto"/>
              <w:right w:val="single" w:sz="4" w:space="0" w:color="auto"/>
            </w:tcBorders>
            <w:shd w:val="clear" w:color="auto" w:fill="auto"/>
            <w:noWrap/>
            <w:vAlign w:val="center"/>
            <w:hideMark/>
          </w:tcPr>
          <w:p w:rsidR="00CB2BD7" w:rsidRPr="00E97254" w:rsidRDefault="004E1F53" w:rsidP="000C0250">
            <w:pPr>
              <w:spacing w:after="0"/>
              <w:jc w:val="right"/>
              <w:rPr>
                <w:rFonts w:ascii="Calibri" w:eastAsia="Times New Roman" w:hAnsi="Calibri" w:cs="Calibri"/>
                <w:color w:val="000000"/>
                <w:sz w:val="16"/>
                <w:szCs w:val="16"/>
              </w:rPr>
            </w:pPr>
            <w:r>
              <w:rPr>
                <w:rFonts w:ascii="Calibri" w:eastAsia="Times New Roman" w:hAnsi="Calibri" w:cs="Calibri"/>
                <w:color w:val="000000"/>
                <w:sz w:val="16"/>
                <w:szCs w:val="16"/>
              </w:rPr>
              <w:t>66,665</w:t>
            </w:r>
          </w:p>
        </w:tc>
        <w:tc>
          <w:tcPr>
            <w:tcW w:w="827" w:type="dxa"/>
            <w:tcBorders>
              <w:top w:val="nil"/>
              <w:left w:val="nil"/>
              <w:bottom w:val="single" w:sz="4" w:space="0" w:color="auto"/>
              <w:right w:val="single" w:sz="4" w:space="0" w:color="auto"/>
            </w:tcBorders>
            <w:shd w:val="clear" w:color="auto" w:fill="auto"/>
            <w:noWrap/>
            <w:vAlign w:val="center"/>
            <w:hideMark/>
          </w:tcPr>
          <w:p w:rsidR="00CB2BD7" w:rsidRPr="00E97254" w:rsidRDefault="004E1F53" w:rsidP="000C0250">
            <w:pPr>
              <w:spacing w:after="0"/>
              <w:jc w:val="right"/>
              <w:rPr>
                <w:rFonts w:ascii="Calibri" w:eastAsia="Times New Roman" w:hAnsi="Calibri" w:cs="Calibri"/>
                <w:color w:val="000000"/>
                <w:sz w:val="16"/>
                <w:szCs w:val="16"/>
              </w:rPr>
            </w:pPr>
            <w:r>
              <w:rPr>
                <w:rFonts w:ascii="Calibri" w:eastAsia="Times New Roman" w:hAnsi="Calibri" w:cs="Calibri"/>
                <w:color w:val="000000"/>
                <w:sz w:val="16"/>
                <w:szCs w:val="16"/>
              </w:rPr>
              <w:t>-12.57%</w:t>
            </w:r>
          </w:p>
        </w:tc>
      </w:tr>
      <w:tr w:rsidR="00CB2BD7" w:rsidRPr="00E97254" w:rsidTr="00E7729D">
        <w:trPr>
          <w:trHeight w:val="300"/>
        </w:trPr>
        <w:tc>
          <w:tcPr>
            <w:tcW w:w="990" w:type="dxa"/>
            <w:tcBorders>
              <w:top w:val="nil"/>
              <w:left w:val="single" w:sz="4" w:space="0" w:color="auto"/>
              <w:bottom w:val="single" w:sz="4" w:space="0" w:color="auto"/>
              <w:right w:val="single" w:sz="4" w:space="0" w:color="auto"/>
            </w:tcBorders>
            <w:shd w:val="clear" w:color="000000" w:fill="FFFFFF"/>
            <w:noWrap/>
            <w:vAlign w:val="center"/>
            <w:hideMark/>
          </w:tcPr>
          <w:p w:rsidR="00CB2BD7" w:rsidRPr="00E97254" w:rsidRDefault="004E1F53" w:rsidP="000C0250">
            <w:pPr>
              <w:spacing w:after="0"/>
              <w:jc w:val="both"/>
              <w:rPr>
                <w:rFonts w:ascii="Arial" w:eastAsia="Times New Roman" w:hAnsi="Arial" w:cs="Arial"/>
                <w:color w:val="000000"/>
                <w:sz w:val="16"/>
                <w:szCs w:val="16"/>
              </w:rPr>
            </w:pPr>
            <w:r>
              <w:rPr>
                <w:rFonts w:ascii="Arial" w:eastAsia="Times New Roman" w:hAnsi="Arial" w:cs="Arial"/>
                <w:color w:val="000000"/>
                <w:sz w:val="16"/>
                <w:szCs w:val="16"/>
              </w:rPr>
              <w:t xml:space="preserve"> Lezhë</w:t>
            </w:r>
          </w:p>
        </w:tc>
        <w:tc>
          <w:tcPr>
            <w:tcW w:w="766" w:type="dxa"/>
            <w:tcBorders>
              <w:top w:val="nil"/>
              <w:left w:val="nil"/>
              <w:bottom w:val="single" w:sz="4" w:space="0" w:color="auto"/>
              <w:right w:val="single" w:sz="4" w:space="0" w:color="auto"/>
            </w:tcBorders>
            <w:shd w:val="clear" w:color="auto" w:fill="auto"/>
            <w:noWrap/>
            <w:vAlign w:val="center"/>
            <w:hideMark/>
          </w:tcPr>
          <w:p w:rsidR="00CB2BD7" w:rsidRPr="00E97254" w:rsidRDefault="004E1F53" w:rsidP="000C0250">
            <w:pPr>
              <w:spacing w:after="0"/>
              <w:jc w:val="right"/>
              <w:rPr>
                <w:rFonts w:ascii="Calibri" w:eastAsia="Times New Roman" w:hAnsi="Calibri" w:cs="Calibri"/>
                <w:color w:val="000000"/>
                <w:sz w:val="16"/>
                <w:szCs w:val="16"/>
              </w:rPr>
            </w:pPr>
            <w:r>
              <w:rPr>
                <w:rFonts w:ascii="Calibri" w:eastAsia="Times New Roman" w:hAnsi="Calibri" w:cs="Calibri"/>
                <w:color w:val="000000"/>
                <w:sz w:val="16"/>
                <w:szCs w:val="16"/>
              </w:rPr>
              <w:t>39,605</w:t>
            </w:r>
          </w:p>
        </w:tc>
        <w:tc>
          <w:tcPr>
            <w:tcW w:w="766" w:type="dxa"/>
            <w:tcBorders>
              <w:top w:val="nil"/>
              <w:left w:val="nil"/>
              <w:bottom w:val="single" w:sz="4" w:space="0" w:color="auto"/>
              <w:right w:val="single" w:sz="4" w:space="0" w:color="auto"/>
            </w:tcBorders>
            <w:shd w:val="clear" w:color="auto" w:fill="auto"/>
            <w:noWrap/>
            <w:vAlign w:val="center"/>
            <w:hideMark/>
          </w:tcPr>
          <w:p w:rsidR="00CB2BD7" w:rsidRPr="00E97254" w:rsidRDefault="004E1F53" w:rsidP="000C0250">
            <w:pPr>
              <w:spacing w:after="0"/>
              <w:jc w:val="right"/>
              <w:rPr>
                <w:rFonts w:ascii="Calibri" w:eastAsia="Times New Roman" w:hAnsi="Calibri" w:cs="Calibri"/>
                <w:color w:val="000000"/>
                <w:sz w:val="16"/>
                <w:szCs w:val="16"/>
              </w:rPr>
            </w:pPr>
            <w:r>
              <w:rPr>
                <w:rFonts w:ascii="Calibri" w:eastAsia="Times New Roman" w:hAnsi="Calibri" w:cs="Calibri"/>
                <w:color w:val="000000"/>
                <w:sz w:val="16"/>
                <w:szCs w:val="16"/>
              </w:rPr>
              <w:t>33,832</w:t>
            </w:r>
          </w:p>
        </w:tc>
        <w:tc>
          <w:tcPr>
            <w:tcW w:w="768" w:type="dxa"/>
            <w:tcBorders>
              <w:top w:val="nil"/>
              <w:left w:val="nil"/>
              <w:bottom w:val="single" w:sz="4" w:space="0" w:color="auto"/>
              <w:right w:val="single" w:sz="4" w:space="0" w:color="auto"/>
            </w:tcBorders>
            <w:shd w:val="clear" w:color="auto" w:fill="auto"/>
            <w:noWrap/>
            <w:vAlign w:val="center"/>
            <w:hideMark/>
          </w:tcPr>
          <w:p w:rsidR="00CB2BD7" w:rsidRPr="00E97254" w:rsidRDefault="004E1F53" w:rsidP="000C0250">
            <w:pPr>
              <w:spacing w:after="0"/>
              <w:jc w:val="right"/>
              <w:rPr>
                <w:rFonts w:ascii="Calibri" w:eastAsia="Times New Roman" w:hAnsi="Calibri" w:cs="Calibri"/>
                <w:color w:val="000000"/>
                <w:sz w:val="16"/>
                <w:szCs w:val="16"/>
              </w:rPr>
            </w:pPr>
            <w:r>
              <w:rPr>
                <w:rFonts w:ascii="Calibri" w:eastAsia="Times New Roman" w:hAnsi="Calibri" w:cs="Calibri"/>
                <w:color w:val="000000"/>
                <w:sz w:val="16"/>
                <w:szCs w:val="16"/>
              </w:rPr>
              <w:t>-14.58%</w:t>
            </w:r>
          </w:p>
        </w:tc>
        <w:tc>
          <w:tcPr>
            <w:tcW w:w="914" w:type="dxa"/>
            <w:tcBorders>
              <w:top w:val="nil"/>
              <w:left w:val="nil"/>
              <w:bottom w:val="single" w:sz="4" w:space="0" w:color="auto"/>
              <w:right w:val="single" w:sz="4" w:space="0" w:color="auto"/>
            </w:tcBorders>
            <w:shd w:val="clear" w:color="auto" w:fill="auto"/>
            <w:noWrap/>
            <w:vAlign w:val="center"/>
            <w:hideMark/>
          </w:tcPr>
          <w:p w:rsidR="00CB2BD7" w:rsidRPr="00E97254" w:rsidRDefault="004E1F53" w:rsidP="000C0250">
            <w:pPr>
              <w:spacing w:after="0"/>
              <w:jc w:val="right"/>
              <w:rPr>
                <w:rFonts w:ascii="Calibri" w:eastAsia="Times New Roman" w:hAnsi="Calibri" w:cs="Calibri"/>
                <w:color w:val="000000"/>
                <w:sz w:val="16"/>
                <w:szCs w:val="16"/>
              </w:rPr>
            </w:pPr>
            <w:r>
              <w:rPr>
                <w:rFonts w:ascii="Calibri" w:eastAsia="Times New Roman" w:hAnsi="Calibri" w:cs="Calibri"/>
                <w:color w:val="000000"/>
                <w:sz w:val="16"/>
                <w:szCs w:val="16"/>
              </w:rPr>
              <w:t>83,070</w:t>
            </w:r>
          </w:p>
        </w:tc>
        <w:tc>
          <w:tcPr>
            <w:tcW w:w="913" w:type="dxa"/>
            <w:tcBorders>
              <w:top w:val="nil"/>
              <w:left w:val="nil"/>
              <w:bottom w:val="single" w:sz="4" w:space="0" w:color="auto"/>
              <w:right w:val="single" w:sz="4" w:space="0" w:color="auto"/>
            </w:tcBorders>
            <w:shd w:val="clear" w:color="auto" w:fill="auto"/>
            <w:noWrap/>
            <w:vAlign w:val="center"/>
            <w:hideMark/>
          </w:tcPr>
          <w:p w:rsidR="00CB2BD7" w:rsidRPr="00E97254" w:rsidRDefault="004E1F53" w:rsidP="000C0250">
            <w:pPr>
              <w:spacing w:after="0"/>
              <w:jc w:val="right"/>
              <w:rPr>
                <w:rFonts w:ascii="Calibri" w:eastAsia="Times New Roman" w:hAnsi="Calibri" w:cs="Calibri"/>
                <w:color w:val="000000"/>
                <w:sz w:val="16"/>
                <w:szCs w:val="16"/>
              </w:rPr>
            </w:pPr>
            <w:r>
              <w:rPr>
                <w:rFonts w:ascii="Calibri" w:eastAsia="Times New Roman" w:hAnsi="Calibri" w:cs="Calibri"/>
                <w:color w:val="000000"/>
                <w:sz w:val="16"/>
                <w:szCs w:val="16"/>
              </w:rPr>
              <w:t>77,033</w:t>
            </w:r>
          </w:p>
        </w:tc>
        <w:tc>
          <w:tcPr>
            <w:tcW w:w="753" w:type="dxa"/>
            <w:tcBorders>
              <w:top w:val="nil"/>
              <w:left w:val="nil"/>
              <w:bottom w:val="single" w:sz="4" w:space="0" w:color="auto"/>
              <w:right w:val="single" w:sz="4" w:space="0" w:color="auto"/>
            </w:tcBorders>
            <w:shd w:val="clear" w:color="auto" w:fill="auto"/>
            <w:noWrap/>
            <w:vAlign w:val="center"/>
            <w:hideMark/>
          </w:tcPr>
          <w:p w:rsidR="00CB2BD7" w:rsidRPr="00E97254" w:rsidRDefault="004E1F53" w:rsidP="000C0250">
            <w:pPr>
              <w:spacing w:after="0"/>
              <w:jc w:val="right"/>
              <w:rPr>
                <w:rFonts w:ascii="Calibri" w:eastAsia="Times New Roman" w:hAnsi="Calibri" w:cs="Calibri"/>
                <w:color w:val="000000"/>
                <w:sz w:val="16"/>
                <w:szCs w:val="16"/>
              </w:rPr>
            </w:pPr>
            <w:r>
              <w:rPr>
                <w:rFonts w:ascii="Calibri" w:eastAsia="Times New Roman" w:hAnsi="Calibri" w:cs="Calibri"/>
                <w:color w:val="000000"/>
                <w:sz w:val="16"/>
                <w:szCs w:val="16"/>
              </w:rPr>
              <w:t>-7.27%</w:t>
            </w:r>
          </w:p>
        </w:tc>
        <w:tc>
          <w:tcPr>
            <w:tcW w:w="837" w:type="dxa"/>
            <w:tcBorders>
              <w:top w:val="nil"/>
              <w:left w:val="nil"/>
              <w:bottom w:val="single" w:sz="4" w:space="0" w:color="auto"/>
              <w:right w:val="single" w:sz="4" w:space="0" w:color="auto"/>
            </w:tcBorders>
            <w:shd w:val="clear" w:color="auto" w:fill="auto"/>
            <w:noWrap/>
            <w:vAlign w:val="center"/>
            <w:hideMark/>
          </w:tcPr>
          <w:p w:rsidR="00CB2BD7" w:rsidRPr="00E97254" w:rsidRDefault="004E1F53" w:rsidP="000C0250">
            <w:pPr>
              <w:spacing w:after="0"/>
              <w:jc w:val="right"/>
              <w:rPr>
                <w:rFonts w:ascii="Calibri" w:eastAsia="Times New Roman" w:hAnsi="Calibri" w:cs="Calibri"/>
                <w:color w:val="000000"/>
                <w:sz w:val="16"/>
                <w:szCs w:val="16"/>
              </w:rPr>
            </w:pPr>
            <w:r>
              <w:rPr>
                <w:rFonts w:ascii="Calibri" w:eastAsia="Times New Roman" w:hAnsi="Calibri" w:cs="Calibri"/>
                <w:color w:val="000000"/>
                <w:sz w:val="16"/>
                <w:szCs w:val="16"/>
              </w:rPr>
              <w:t>20,278</w:t>
            </w:r>
          </w:p>
        </w:tc>
        <w:tc>
          <w:tcPr>
            <w:tcW w:w="837" w:type="dxa"/>
            <w:tcBorders>
              <w:top w:val="nil"/>
              <w:left w:val="nil"/>
              <w:bottom w:val="single" w:sz="4" w:space="0" w:color="auto"/>
              <w:right w:val="single" w:sz="4" w:space="0" w:color="auto"/>
            </w:tcBorders>
            <w:shd w:val="clear" w:color="auto" w:fill="auto"/>
            <w:noWrap/>
            <w:vAlign w:val="center"/>
            <w:hideMark/>
          </w:tcPr>
          <w:p w:rsidR="00CB2BD7" w:rsidRPr="00E97254" w:rsidRDefault="004E1F53" w:rsidP="000C0250">
            <w:pPr>
              <w:spacing w:after="0"/>
              <w:jc w:val="right"/>
              <w:rPr>
                <w:rFonts w:ascii="Calibri" w:eastAsia="Times New Roman" w:hAnsi="Calibri" w:cs="Calibri"/>
                <w:color w:val="000000"/>
                <w:sz w:val="16"/>
                <w:szCs w:val="16"/>
              </w:rPr>
            </w:pPr>
            <w:r>
              <w:rPr>
                <w:rFonts w:ascii="Calibri" w:eastAsia="Times New Roman" w:hAnsi="Calibri" w:cs="Calibri"/>
                <w:color w:val="000000"/>
                <w:sz w:val="16"/>
                <w:szCs w:val="16"/>
              </w:rPr>
              <w:t>22,988</w:t>
            </w:r>
          </w:p>
        </w:tc>
        <w:tc>
          <w:tcPr>
            <w:tcW w:w="766" w:type="dxa"/>
            <w:tcBorders>
              <w:top w:val="nil"/>
              <w:left w:val="nil"/>
              <w:bottom w:val="single" w:sz="4" w:space="0" w:color="auto"/>
              <w:right w:val="single" w:sz="4" w:space="0" w:color="auto"/>
            </w:tcBorders>
            <w:shd w:val="clear" w:color="auto" w:fill="auto"/>
            <w:noWrap/>
            <w:vAlign w:val="center"/>
            <w:hideMark/>
          </w:tcPr>
          <w:p w:rsidR="00CB2BD7" w:rsidRPr="00E97254" w:rsidRDefault="004E1F53" w:rsidP="000C0250">
            <w:pPr>
              <w:spacing w:after="0"/>
              <w:jc w:val="right"/>
              <w:rPr>
                <w:rFonts w:ascii="Calibri" w:eastAsia="Times New Roman" w:hAnsi="Calibri" w:cs="Calibri"/>
                <w:color w:val="000000"/>
                <w:sz w:val="16"/>
                <w:szCs w:val="16"/>
              </w:rPr>
            </w:pPr>
            <w:r>
              <w:rPr>
                <w:rFonts w:ascii="Calibri" w:eastAsia="Times New Roman" w:hAnsi="Calibri" w:cs="Calibri"/>
                <w:color w:val="000000"/>
                <w:sz w:val="16"/>
                <w:szCs w:val="16"/>
              </w:rPr>
              <w:t>13.36%</w:t>
            </w:r>
          </w:p>
        </w:tc>
        <w:tc>
          <w:tcPr>
            <w:tcW w:w="878" w:type="dxa"/>
            <w:tcBorders>
              <w:top w:val="nil"/>
              <w:left w:val="nil"/>
              <w:bottom w:val="single" w:sz="4" w:space="0" w:color="auto"/>
              <w:right w:val="single" w:sz="4" w:space="0" w:color="auto"/>
            </w:tcBorders>
            <w:shd w:val="clear" w:color="auto" w:fill="auto"/>
            <w:noWrap/>
            <w:vAlign w:val="center"/>
            <w:hideMark/>
          </w:tcPr>
          <w:p w:rsidR="00CB2BD7" w:rsidRPr="00E97254" w:rsidRDefault="004E1F53" w:rsidP="000C0250">
            <w:pPr>
              <w:spacing w:after="0"/>
              <w:jc w:val="right"/>
              <w:rPr>
                <w:rFonts w:ascii="Calibri" w:eastAsia="Times New Roman" w:hAnsi="Calibri" w:cs="Calibri"/>
                <w:color w:val="000000"/>
                <w:sz w:val="16"/>
                <w:szCs w:val="16"/>
              </w:rPr>
            </w:pPr>
            <w:r>
              <w:rPr>
                <w:rFonts w:ascii="Calibri" w:eastAsia="Times New Roman" w:hAnsi="Calibri" w:cs="Calibri"/>
                <w:color w:val="000000"/>
                <w:sz w:val="16"/>
                <w:szCs w:val="16"/>
              </w:rPr>
              <w:t>124,680</w:t>
            </w:r>
          </w:p>
        </w:tc>
        <w:tc>
          <w:tcPr>
            <w:tcW w:w="878" w:type="dxa"/>
            <w:tcBorders>
              <w:top w:val="nil"/>
              <w:left w:val="nil"/>
              <w:bottom w:val="single" w:sz="4" w:space="0" w:color="auto"/>
              <w:right w:val="single" w:sz="4" w:space="0" w:color="auto"/>
            </w:tcBorders>
            <w:shd w:val="clear" w:color="auto" w:fill="auto"/>
            <w:noWrap/>
            <w:vAlign w:val="center"/>
            <w:hideMark/>
          </w:tcPr>
          <w:p w:rsidR="00CB2BD7" w:rsidRPr="00E97254" w:rsidRDefault="004E1F53" w:rsidP="000C0250">
            <w:pPr>
              <w:spacing w:after="0"/>
              <w:jc w:val="right"/>
              <w:rPr>
                <w:rFonts w:ascii="Calibri" w:eastAsia="Times New Roman" w:hAnsi="Calibri" w:cs="Calibri"/>
                <w:color w:val="000000"/>
                <w:sz w:val="16"/>
                <w:szCs w:val="16"/>
              </w:rPr>
            </w:pPr>
            <w:r>
              <w:rPr>
                <w:rFonts w:ascii="Calibri" w:eastAsia="Times New Roman" w:hAnsi="Calibri" w:cs="Calibri"/>
                <w:color w:val="000000"/>
                <w:sz w:val="16"/>
                <w:szCs w:val="16"/>
              </w:rPr>
              <w:t>119,950</w:t>
            </w:r>
          </w:p>
        </w:tc>
        <w:tc>
          <w:tcPr>
            <w:tcW w:w="827" w:type="dxa"/>
            <w:tcBorders>
              <w:top w:val="nil"/>
              <w:left w:val="nil"/>
              <w:bottom w:val="single" w:sz="4" w:space="0" w:color="auto"/>
              <w:right w:val="single" w:sz="4" w:space="0" w:color="auto"/>
            </w:tcBorders>
            <w:shd w:val="clear" w:color="auto" w:fill="auto"/>
            <w:noWrap/>
            <w:vAlign w:val="center"/>
            <w:hideMark/>
          </w:tcPr>
          <w:p w:rsidR="00CB2BD7" w:rsidRPr="00E97254" w:rsidRDefault="004E1F53" w:rsidP="000C0250">
            <w:pPr>
              <w:spacing w:after="0"/>
              <w:jc w:val="right"/>
              <w:rPr>
                <w:rFonts w:ascii="Calibri" w:eastAsia="Times New Roman" w:hAnsi="Calibri" w:cs="Calibri"/>
                <w:color w:val="000000"/>
                <w:sz w:val="16"/>
                <w:szCs w:val="16"/>
              </w:rPr>
            </w:pPr>
            <w:r>
              <w:rPr>
                <w:rFonts w:ascii="Calibri" w:eastAsia="Times New Roman" w:hAnsi="Calibri" w:cs="Calibri"/>
                <w:color w:val="000000"/>
                <w:sz w:val="16"/>
                <w:szCs w:val="16"/>
              </w:rPr>
              <w:t>-3.79%</w:t>
            </w:r>
          </w:p>
        </w:tc>
      </w:tr>
      <w:tr w:rsidR="00CB2BD7" w:rsidRPr="00E97254" w:rsidTr="00E7729D">
        <w:trPr>
          <w:trHeight w:val="300"/>
        </w:trPr>
        <w:tc>
          <w:tcPr>
            <w:tcW w:w="990" w:type="dxa"/>
            <w:tcBorders>
              <w:top w:val="nil"/>
              <w:left w:val="single" w:sz="4" w:space="0" w:color="auto"/>
              <w:bottom w:val="single" w:sz="4" w:space="0" w:color="auto"/>
              <w:right w:val="single" w:sz="4" w:space="0" w:color="auto"/>
            </w:tcBorders>
            <w:shd w:val="clear" w:color="000000" w:fill="FFFFFF"/>
            <w:noWrap/>
            <w:vAlign w:val="center"/>
            <w:hideMark/>
          </w:tcPr>
          <w:p w:rsidR="00CB2BD7" w:rsidRPr="00E97254" w:rsidRDefault="004E1F53" w:rsidP="000C0250">
            <w:pPr>
              <w:spacing w:after="0"/>
              <w:jc w:val="both"/>
              <w:rPr>
                <w:rFonts w:ascii="Arial" w:eastAsia="Times New Roman" w:hAnsi="Arial" w:cs="Arial"/>
                <w:color w:val="000000"/>
                <w:sz w:val="16"/>
                <w:szCs w:val="16"/>
              </w:rPr>
            </w:pPr>
            <w:r>
              <w:rPr>
                <w:rFonts w:ascii="Arial" w:eastAsia="Times New Roman" w:hAnsi="Arial" w:cs="Arial"/>
                <w:color w:val="000000"/>
                <w:sz w:val="16"/>
                <w:szCs w:val="16"/>
              </w:rPr>
              <w:t>Shkodër</w:t>
            </w:r>
          </w:p>
        </w:tc>
        <w:tc>
          <w:tcPr>
            <w:tcW w:w="766" w:type="dxa"/>
            <w:tcBorders>
              <w:top w:val="nil"/>
              <w:left w:val="nil"/>
              <w:bottom w:val="single" w:sz="4" w:space="0" w:color="auto"/>
              <w:right w:val="single" w:sz="4" w:space="0" w:color="auto"/>
            </w:tcBorders>
            <w:shd w:val="clear" w:color="auto" w:fill="auto"/>
            <w:noWrap/>
            <w:vAlign w:val="center"/>
            <w:hideMark/>
          </w:tcPr>
          <w:p w:rsidR="00CB2BD7" w:rsidRPr="00E97254" w:rsidRDefault="004E1F53" w:rsidP="000C0250">
            <w:pPr>
              <w:spacing w:after="0"/>
              <w:jc w:val="right"/>
              <w:rPr>
                <w:rFonts w:ascii="Calibri" w:eastAsia="Times New Roman" w:hAnsi="Calibri" w:cs="Calibri"/>
                <w:color w:val="000000"/>
                <w:sz w:val="16"/>
                <w:szCs w:val="16"/>
              </w:rPr>
            </w:pPr>
            <w:r>
              <w:rPr>
                <w:rFonts w:ascii="Calibri" w:eastAsia="Times New Roman" w:hAnsi="Calibri" w:cs="Calibri"/>
                <w:color w:val="000000"/>
                <w:sz w:val="16"/>
                <w:szCs w:val="16"/>
              </w:rPr>
              <w:t>63,677</w:t>
            </w:r>
          </w:p>
        </w:tc>
        <w:tc>
          <w:tcPr>
            <w:tcW w:w="766" w:type="dxa"/>
            <w:tcBorders>
              <w:top w:val="nil"/>
              <w:left w:val="nil"/>
              <w:bottom w:val="single" w:sz="4" w:space="0" w:color="auto"/>
              <w:right w:val="single" w:sz="4" w:space="0" w:color="auto"/>
            </w:tcBorders>
            <w:shd w:val="clear" w:color="auto" w:fill="auto"/>
            <w:noWrap/>
            <w:vAlign w:val="center"/>
            <w:hideMark/>
          </w:tcPr>
          <w:p w:rsidR="00CB2BD7" w:rsidRPr="00E97254" w:rsidRDefault="004E1F53" w:rsidP="000C0250">
            <w:pPr>
              <w:spacing w:after="0"/>
              <w:jc w:val="right"/>
              <w:rPr>
                <w:rFonts w:ascii="Calibri" w:eastAsia="Times New Roman" w:hAnsi="Calibri" w:cs="Calibri"/>
                <w:color w:val="000000"/>
                <w:sz w:val="16"/>
                <w:szCs w:val="16"/>
              </w:rPr>
            </w:pPr>
            <w:r>
              <w:rPr>
                <w:rFonts w:ascii="Calibri" w:eastAsia="Times New Roman" w:hAnsi="Calibri" w:cs="Calibri"/>
                <w:color w:val="000000"/>
                <w:sz w:val="16"/>
                <w:szCs w:val="16"/>
              </w:rPr>
              <w:t>56,455</w:t>
            </w:r>
          </w:p>
        </w:tc>
        <w:tc>
          <w:tcPr>
            <w:tcW w:w="768" w:type="dxa"/>
            <w:tcBorders>
              <w:top w:val="nil"/>
              <w:left w:val="nil"/>
              <w:bottom w:val="single" w:sz="4" w:space="0" w:color="auto"/>
              <w:right w:val="single" w:sz="4" w:space="0" w:color="auto"/>
            </w:tcBorders>
            <w:shd w:val="clear" w:color="auto" w:fill="auto"/>
            <w:noWrap/>
            <w:vAlign w:val="center"/>
            <w:hideMark/>
          </w:tcPr>
          <w:p w:rsidR="00CB2BD7" w:rsidRPr="00E97254" w:rsidRDefault="004E1F53" w:rsidP="000C0250">
            <w:pPr>
              <w:spacing w:after="0"/>
              <w:jc w:val="right"/>
              <w:rPr>
                <w:rFonts w:ascii="Calibri" w:eastAsia="Times New Roman" w:hAnsi="Calibri" w:cs="Calibri"/>
                <w:color w:val="000000"/>
                <w:sz w:val="16"/>
                <w:szCs w:val="16"/>
              </w:rPr>
            </w:pPr>
            <w:r>
              <w:rPr>
                <w:rFonts w:ascii="Calibri" w:eastAsia="Times New Roman" w:hAnsi="Calibri" w:cs="Calibri"/>
                <w:color w:val="000000"/>
                <w:sz w:val="16"/>
                <w:szCs w:val="16"/>
              </w:rPr>
              <w:t>-11.34%</w:t>
            </w:r>
          </w:p>
        </w:tc>
        <w:tc>
          <w:tcPr>
            <w:tcW w:w="914" w:type="dxa"/>
            <w:tcBorders>
              <w:top w:val="nil"/>
              <w:left w:val="nil"/>
              <w:bottom w:val="single" w:sz="4" w:space="0" w:color="auto"/>
              <w:right w:val="single" w:sz="4" w:space="0" w:color="auto"/>
            </w:tcBorders>
            <w:shd w:val="clear" w:color="auto" w:fill="auto"/>
            <w:noWrap/>
            <w:vAlign w:val="center"/>
            <w:hideMark/>
          </w:tcPr>
          <w:p w:rsidR="00CB2BD7" w:rsidRPr="00E97254" w:rsidRDefault="004E1F53" w:rsidP="000C0250">
            <w:pPr>
              <w:spacing w:after="0"/>
              <w:jc w:val="right"/>
              <w:rPr>
                <w:rFonts w:ascii="Calibri" w:eastAsia="Times New Roman" w:hAnsi="Calibri" w:cs="Calibri"/>
                <w:color w:val="000000"/>
                <w:sz w:val="16"/>
                <w:szCs w:val="16"/>
              </w:rPr>
            </w:pPr>
            <w:r>
              <w:rPr>
                <w:rFonts w:ascii="Calibri" w:eastAsia="Times New Roman" w:hAnsi="Calibri" w:cs="Calibri"/>
                <w:color w:val="000000"/>
                <w:sz w:val="16"/>
                <w:szCs w:val="16"/>
              </w:rPr>
              <w:t>138,632</w:t>
            </w:r>
          </w:p>
        </w:tc>
        <w:tc>
          <w:tcPr>
            <w:tcW w:w="913" w:type="dxa"/>
            <w:tcBorders>
              <w:top w:val="nil"/>
              <w:left w:val="nil"/>
              <w:bottom w:val="single" w:sz="4" w:space="0" w:color="auto"/>
              <w:right w:val="single" w:sz="4" w:space="0" w:color="auto"/>
            </w:tcBorders>
            <w:shd w:val="clear" w:color="auto" w:fill="auto"/>
            <w:noWrap/>
            <w:vAlign w:val="center"/>
            <w:hideMark/>
          </w:tcPr>
          <w:p w:rsidR="00CB2BD7" w:rsidRPr="00E97254" w:rsidRDefault="004E1F53" w:rsidP="000C0250">
            <w:pPr>
              <w:spacing w:after="0"/>
              <w:jc w:val="right"/>
              <w:rPr>
                <w:rFonts w:ascii="Calibri" w:eastAsia="Times New Roman" w:hAnsi="Calibri" w:cs="Calibri"/>
                <w:color w:val="000000"/>
                <w:sz w:val="16"/>
                <w:szCs w:val="16"/>
              </w:rPr>
            </w:pPr>
            <w:r>
              <w:rPr>
                <w:rFonts w:ascii="Calibri" w:eastAsia="Times New Roman" w:hAnsi="Calibri" w:cs="Calibri"/>
                <w:color w:val="000000"/>
                <w:sz w:val="16"/>
                <w:szCs w:val="16"/>
              </w:rPr>
              <w:t>125,248</w:t>
            </w:r>
          </w:p>
        </w:tc>
        <w:tc>
          <w:tcPr>
            <w:tcW w:w="753" w:type="dxa"/>
            <w:tcBorders>
              <w:top w:val="nil"/>
              <w:left w:val="nil"/>
              <w:bottom w:val="single" w:sz="4" w:space="0" w:color="auto"/>
              <w:right w:val="single" w:sz="4" w:space="0" w:color="auto"/>
            </w:tcBorders>
            <w:shd w:val="clear" w:color="auto" w:fill="auto"/>
            <w:noWrap/>
            <w:vAlign w:val="center"/>
            <w:hideMark/>
          </w:tcPr>
          <w:p w:rsidR="00CB2BD7" w:rsidRPr="00E97254" w:rsidRDefault="004E1F53" w:rsidP="000C0250">
            <w:pPr>
              <w:spacing w:after="0"/>
              <w:jc w:val="right"/>
              <w:rPr>
                <w:rFonts w:ascii="Calibri" w:eastAsia="Times New Roman" w:hAnsi="Calibri" w:cs="Calibri"/>
                <w:color w:val="000000"/>
                <w:sz w:val="16"/>
                <w:szCs w:val="16"/>
              </w:rPr>
            </w:pPr>
            <w:r>
              <w:rPr>
                <w:rFonts w:ascii="Calibri" w:eastAsia="Times New Roman" w:hAnsi="Calibri" w:cs="Calibri"/>
                <w:color w:val="000000"/>
                <w:sz w:val="16"/>
                <w:szCs w:val="16"/>
              </w:rPr>
              <w:t>-9.65%</w:t>
            </w:r>
          </w:p>
        </w:tc>
        <w:tc>
          <w:tcPr>
            <w:tcW w:w="837" w:type="dxa"/>
            <w:tcBorders>
              <w:top w:val="nil"/>
              <w:left w:val="nil"/>
              <w:bottom w:val="single" w:sz="4" w:space="0" w:color="auto"/>
              <w:right w:val="single" w:sz="4" w:space="0" w:color="auto"/>
            </w:tcBorders>
            <w:shd w:val="clear" w:color="auto" w:fill="auto"/>
            <w:noWrap/>
            <w:vAlign w:val="center"/>
            <w:hideMark/>
          </w:tcPr>
          <w:p w:rsidR="00CB2BD7" w:rsidRPr="00E97254" w:rsidRDefault="004E1F53" w:rsidP="000C0250">
            <w:pPr>
              <w:spacing w:after="0"/>
              <w:jc w:val="right"/>
              <w:rPr>
                <w:rFonts w:ascii="Calibri" w:eastAsia="Times New Roman" w:hAnsi="Calibri" w:cs="Calibri"/>
                <w:color w:val="000000"/>
                <w:sz w:val="16"/>
                <w:szCs w:val="16"/>
              </w:rPr>
            </w:pPr>
            <w:r>
              <w:rPr>
                <w:rFonts w:ascii="Calibri" w:eastAsia="Times New Roman" w:hAnsi="Calibri" w:cs="Calibri"/>
                <w:color w:val="000000"/>
                <w:sz w:val="16"/>
                <w:szCs w:val="16"/>
              </w:rPr>
              <w:t>30,205</w:t>
            </w:r>
          </w:p>
        </w:tc>
        <w:tc>
          <w:tcPr>
            <w:tcW w:w="837" w:type="dxa"/>
            <w:tcBorders>
              <w:top w:val="nil"/>
              <w:left w:val="nil"/>
              <w:bottom w:val="single" w:sz="4" w:space="0" w:color="auto"/>
              <w:right w:val="single" w:sz="4" w:space="0" w:color="auto"/>
            </w:tcBorders>
            <w:shd w:val="clear" w:color="auto" w:fill="auto"/>
            <w:noWrap/>
            <w:vAlign w:val="center"/>
            <w:hideMark/>
          </w:tcPr>
          <w:p w:rsidR="00CB2BD7" w:rsidRPr="00E97254" w:rsidRDefault="004E1F53" w:rsidP="000C0250">
            <w:pPr>
              <w:spacing w:after="0"/>
              <w:jc w:val="right"/>
              <w:rPr>
                <w:rFonts w:ascii="Calibri" w:eastAsia="Times New Roman" w:hAnsi="Calibri" w:cs="Calibri"/>
                <w:color w:val="000000"/>
                <w:sz w:val="16"/>
                <w:szCs w:val="16"/>
              </w:rPr>
            </w:pPr>
            <w:r>
              <w:rPr>
                <w:rFonts w:ascii="Calibri" w:eastAsia="Times New Roman" w:hAnsi="Calibri" w:cs="Calibri"/>
                <w:color w:val="000000"/>
                <w:sz w:val="16"/>
                <w:szCs w:val="16"/>
              </w:rPr>
              <w:t>37,593</w:t>
            </w:r>
          </w:p>
        </w:tc>
        <w:tc>
          <w:tcPr>
            <w:tcW w:w="766" w:type="dxa"/>
            <w:tcBorders>
              <w:top w:val="nil"/>
              <w:left w:val="nil"/>
              <w:bottom w:val="single" w:sz="4" w:space="0" w:color="auto"/>
              <w:right w:val="single" w:sz="4" w:space="0" w:color="auto"/>
            </w:tcBorders>
            <w:shd w:val="clear" w:color="auto" w:fill="auto"/>
            <w:noWrap/>
            <w:vAlign w:val="center"/>
            <w:hideMark/>
          </w:tcPr>
          <w:p w:rsidR="00CB2BD7" w:rsidRPr="00E97254" w:rsidRDefault="004E1F53" w:rsidP="000C0250">
            <w:pPr>
              <w:spacing w:after="0"/>
              <w:jc w:val="right"/>
              <w:rPr>
                <w:rFonts w:ascii="Calibri" w:eastAsia="Times New Roman" w:hAnsi="Calibri" w:cs="Calibri"/>
                <w:color w:val="000000"/>
                <w:sz w:val="16"/>
                <w:szCs w:val="16"/>
              </w:rPr>
            </w:pPr>
            <w:r>
              <w:rPr>
                <w:rFonts w:ascii="Calibri" w:eastAsia="Times New Roman" w:hAnsi="Calibri" w:cs="Calibri"/>
                <w:color w:val="000000"/>
                <w:sz w:val="16"/>
                <w:szCs w:val="16"/>
              </w:rPr>
              <w:t>24.46%</w:t>
            </w:r>
          </w:p>
        </w:tc>
        <w:tc>
          <w:tcPr>
            <w:tcW w:w="878" w:type="dxa"/>
            <w:tcBorders>
              <w:top w:val="nil"/>
              <w:left w:val="nil"/>
              <w:bottom w:val="single" w:sz="4" w:space="0" w:color="auto"/>
              <w:right w:val="single" w:sz="4" w:space="0" w:color="auto"/>
            </w:tcBorders>
            <w:shd w:val="clear" w:color="auto" w:fill="auto"/>
            <w:noWrap/>
            <w:vAlign w:val="center"/>
            <w:hideMark/>
          </w:tcPr>
          <w:p w:rsidR="00CB2BD7" w:rsidRPr="00E97254" w:rsidRDefault="004E1F53" w:rsidP="000C0250">
            <w:pPr>
              <w:spacing w:after="0"/>
              <w:jc w:val="right"/>
              <w:rPr>
                <w:rFonts w:ascii="Calibri" w:eastAsia="Times New Roman" w:hAnsi="Calibri" w:cs="Calibri"/>
                <w:color w:val="000000"/>
                <w:sz w:val="16"/>
                <w:szCs w:val="16"/>
              </w:rPr>
            </w:pPr>
            <w:r>
              <w:rPr>
                <w:rFonts w:ascii="Calibri" w:eastAsia="Times New Roman" w:hAnsi="Calibri" w:cs="Calibri"/>
                <w:color w:val="000000"/>
                <w:sz w:val="16"/>
                <w:szCs w:val="16"/>
              </w:rPr>
              <w:t>202,091</w:t>
            </w:r>
          </w:p>
        </w:tc>
        <w:tc>
          <w:tcPr>
            <w:tcW w:w="878" w:type="dxa"/>
            <w:tcBorders>
              <w:top w:val="nil"/>
              <w:left w:val="nil"/>
              <w:bottom w:val="single" w:sz="4" w:space="0" w:color="auto"/>
              <w:right w:val="single" w:sz="4" w:space="0" w:color="auto"/>
            </w:tcBorders>
            <w:shd w:val="clear" w:color="auto" w:fill="auto"/>
            <w:noWrap/>
            <w:vAlign w:val="center"/>
            <w:hideMark/>
          </w:tcPr>
          <w:p w:rsidR="00CB2BD7" w:rsidRPr="00E97254" w:rsidRDefault="004E1F53" w:rsidP="000C0250">
            <w:pPr>
              <w:spacing w:after="0"/>
              <w:jc w:val="right"/>
              <w:rPr>
                <w:rFonts w:ascii="Calibri" w:eastAsia="Times New Roman" w:hAnsi="Calibri" w:cs="Calibri"/>
                <w:color w:val="000000"/>
                <w:sz w:val="16"/>
                <w:szCs w:val="16"/>
              </w:rPr>
            </w:pPr>
            <w:r>
              <w:rPr>
                <w:rFonts w:ascii="Calibri" w:eastAsia="Times New Roman" w:hAnsi="Calibri" w:cs="Calibri"/>
                <w:color w:val="000000"/>
                <w:sz w:val="16"/>
                <w:szCs w:val="16"/>
              </w:rPr>
              <w:t>195,519</w:t>
            </w:r>
          </w:p>
        </w:tc>
        <w:tc>
          <w:tcPr>
            <w:tcW w:w="827" w:type="dxa"/>
            <w:tcBorders>
              <w:top w:val="nil"/>
              <w:left w:val="nil"/>
              <w:bottom w:val="single" w:sz="4" w:space="0" w:color="auto"/>
              <w:right w:val="single" w:sz="4" w:space="0" w:color="auto"/>
            </w:tcBorders>
            <w:shd w:val="clear" w:color="auto" w:fill="auto"/>
            <w:noWrap/>
            <w:vAlign w:val="center"/>
            <w:hideMark/>
          </w:tcPr>
          <w:p w:rsidR="00CB2BD7" w:rsidRPr="00E97254" w:rsidRDefault="004E1F53" w:rsidP="000C0250">
            <w:pPr>
              <w:spacing w:after="0"/>
              <w:jc w:val="right"/>
              <w:rPr>
                <w:rFonts w:ascii="Calibri" w:eastAsia="Times New Roman" w:hAnsi="Calibri" w:cs="Calibri"/>
                <w:color w:val="000000"/>
                <w:sz w:val="16"/>
                <w:szCs w:val="16"/>
              </w:rPr>
            </w:pPr>
            <w:r>
              <w:rPr>
                <w:rFonts w:ascii="Calibri" w:eastAsia="Times New Roman" w:hAnsi="Calibri" w:cs="Calibri"/>
                <w:color w:val="000000"/>
                <w:sz w:val="16"/>
                <w:szCs w:val="16"/>
              </w:rPr>
              <w:t>-3.25%</w:t>
            </w:r>
          </w:p>
        </w:tc>
      </w:tr>
      <w:tr w:rsidR="00CB2BD7" w:rsidRPr="00E97254" w:rsidTr="00E7729D">
        <w:trPr>
          <w:trHeight w:val="300"/>
        </w:trPr>
        <w:tc>
          <w:tcPr>
            <w:tcW w:w="990" w:type="dxa"/>
            <w:tcBorders>
              <w:top w:val="nil"/>
              <w:left w:val="single" w:sz="4" w:space="0" w:color="auto"/>
              <w:bottom w:val="single" w:sz="4" w:space="0" w:color="auto"/>
              <w:right w:val="single" w:sz="4" w:space="0" w:color="auto"/>
            </w:tcBorders>
            <w:shd w:val="clear" w:color="000000" w:fill="FFFFFF"/>
            <w:noWrap/>
            <w:vAlign w:val="center"/>
            <w:hideMark/>
          </w:tcPr>
          <w:p w:rsidR="00CB2BD7" w:rsidRPr="00E97254" w:rsidRDefault="004E1F53" w:rsidP="000C0250">
            <w:pPr>
              <w:spacing w:after="0"/>
              <w:jc w:val="both"/>
              <w:rPr>
                <w:rFonts w:ascii="Arial" w:eastAsia="Times New Roman" w:hAnsi="Arial" w:cs="Arial"/>
                <w:color w:val="000000"/>
                <w:sz w:val="16"/>
                <w:szCs w:val="16"/>
              </w:rPr>
            </w:pPr>
            <w:r>
              <w:rPr>
                <w:rFonts w:ascii="Arial" w:eastAsia="Times New Roman" w:hAnsi="Arial" w:cs="Arial"/>
                <w:color w:val="000000"/>
                <w:sz w:val="16"/>
                <w:szCs w:val="16"/>
              </w:rPr>
              <w:t xml:space="preserve"> Tiranë</w:t>
            </w:r>
          </w:p>
        </w:tc>
        <w:tc>
          <w:tcPr>
            <w:tcW w:w="766" w:type="dxa"/>
            <w:tcBorders>
              <w:top w:val="nil"/>
              <w:left w:val="nil"/>
              <w:bottom w:val="single" w:sz="4" w:space="0" w:color="auto"/>
              <w:right w:val="single" w:sz="4" w:space="0" w:color="auto"/>
            </w:tcBorders>
            <w:shd w:val="clear" w:color="auto" w:fill="auto"/>
            <w:noWrap/>
            <w:vAlign w:val="center"/>
            <w:hideMark/>
          </w:tcPr>
          <w:p w:rsidR="00CB2BD7" w:rsidRPr="00E97254" w:rsidRDefault="004E1F53" w:rsidP="000C0250">
            <w:pPr>
              <w:spacing w:after="0"/>
              <w:jc w:val="right"/>
              <w:rPr>
                <w:rFonts w:ascii="Calibri" w:eastAsia="Times New Roman" w:hAnsi="Calibri" w:cs="Calibri"/>
                <w:color w:val="000000"/>
                <w:sz w:val="16"/>
                <w:szCs w:val="16"/>
              </w:rPr>
            </w:pPr>
            <w:r>
              <w:rPr>
                <w:rFonts w:ascii="Calibri" w:eastAsia="Times New Roman" w:hAnsi="Calibri" w:cs="Calibri"/>
                <w:color w:val="000000"/>
                <w:sz w:val="16"/>
                <w:szCs w:val="16"/>
              </w:rPr>
              <w:t>268,403</w:t>
            </w:r>
          </w:p>
        </w:tc>
        <w:tc>
          <w:tcPr>
            <w:tcW w:w="766" w:type="dxa"/>
            <w:tcBorders>
              <w:top w:val="nil"/>
              <w:left w:val="nil"/>
              <w:bottom w:val="single" w:sz="4" w:space="0" w:color="auto"/>
              <w:right w:val="single" w:sz="4" w:space="0" w:color="auto"/>
            </w:tcBorders>
            <w:shd w:val="clear" w:color="auto" w:fill="auto"/>
            <w:noWrap/>
            <w:vAlign w:val="center"/>
            <w:hideMark/>
          </w:tcPr>
          <w:p w:rsidR="00CB2BD7" w:rsidRPr="00E97254" w:rsidRDefault="004E1F53" w:rsidP="000C0250">
            <w:pPr>
              <w:spacing w:after="0"/>
              <w:jc w:val="right"/>
              <w:rPr>
                <w:rFonts w:ascii="Calibri" w:eastAsia="Times New Roman" w:hAnsi="Calibri" w:cs="Calibri"/>
                <w:color w:val="000000"/>
                <w:sz w:val="16"/>
                <w:szCs w:val="16"/>
              </w:rPr>
            </w:pPr>
            <w:r>
              <w:rPr>
                <w:rFonts w:ascii="Calibri" w:eastAsia="Times New Roman" w:hAnsi="Calibri" w:cs="Calibri"/>
                <w:color w:val="000000"/>
                <w:sz w:val="16"/>
                <w:szCs w:val="16"/>
              </w:rPr>
              <w:t>273,855</w:t>
            </w:r>
          </w:p>
        </w:tc>
        <w:tc>
          <w:tcPr>
            <w:tcW w:w="768" w:type="dxa"/>
            <w:tcBorders>
              <w:top w:val="nil"/>
              <w:left w:val="nil"/>
              <w:bottom w:val="single" w:sz="4" w:space="0" w:color="auto"/>
              <w:right w:val="single" w:sz="4" w:space="0" w:color="auto"/>
            </w:tcBorders>
            <w:shd w:val="clear" w:color="auto" w:fill="auto"/>
            <w:noWrap/>
            <w:vAlign w:val="center"/>
            <w:hideMark/>
          </w:tcPr>
          <w:p w:rsidR="00CB2BD7" w:rsidRPr="00E97254" w:rsidRDefault="004E1F53" w:rsidP="000C0250">
            <w:pPr>
              <w:spacing w:after="0"/>
              <w:jc w:val="right"/>
              <w:rPr>
                <w:rFonts w:ascii="Calibri" w:eastAsia="Times New Roman" w:hAnsi="Calibri" w:cs="Calibri"/>
                <w:color w:val="000000"/>
                <w:sz w:val="16"/>
                <w:szCs w:val="16"/>
              </w:rPr>
            </w:pPr>
            <w:r>
              <w:rPr>
                <w:rFonts w:ascii="Calibri" w:eastAsia="Times New Roman" w:hAnsi="Calibri" w:cs="Calibri"/>
                <w:color w:val="000000"/>
                <w:sz w:val="16"/>
                <w:szCs w:val="16"/>
              </w:rPr>
              <w:t>2.03%</w:t>
            </w:r>
          </w:p>
        </w:tc>
        <w:tc>
          <w:tcPr>
            <w:tcW w:w="914" w:type="dxa"/>
            <w:tcBorders>
              <w:top w:val="nil"/>
              <w:left w:val="nil"/>
              <w:bottom w:val="single" w:sz="4" w:space="0" w:color="auto"/>
              <w:right w:val="single" w:sz="4" w:space="0" w:color="auto"/>
            </w:tcBorders>
            <w:shd w:val="clear" w:color="auto" w:fill="auto"/>
            <w:noWrap/>
            <w:vAlign w:val="center"/>
            <w:hideMark/>
          </w:tcPr>
          <w:p w:rsidR="00CB2BD7" w:rsidRPr="00E97254" w:rsidRDefault="004E1F53" w:rsidP="000C0250">
            <w:pPr>
              <w:spacing w:after="0"/>
              <w:jc w:val="right"/>
              <w:rPr>
                <w:rFonts w:ascii="Calibri" w:eastAsia="Times New Roman" w:hAnsi="Calibri" w:cs="Calibri"/>
                <w:color w:val="000000"/>
                <w:sz w:val="16"/>
                <w:szCs w:val="16"/>
              </w:rPr>
            </w:pPr>
            <w:r>
              <w:rPr>
                <w:rFonts w:ascii="Calibri" w:eastAsia="Times New Roman" w:hAnsi="Calibri" w:cs="Calibri"/>
                <w:color w:val="000000"/>
                <w:sz w:val="16"/>
                <w:szCs w:val="16"/>
              </w:rPr>
              <w:t>614,247</w:t>
            </w:r>
          </w:p>
        </w:tc>
        <w:tc>
          <w:tcPr>
            <w:tcW w:w="913" w:type="dxa"/>
            <w:tcBorders>
              <w:top w:val="nil"/>
              <w:left w:val="nil"/>
              <w:bottom w:val="single" w:sz="4" w:space="0" w:color="auto"/>
              <w:right w:val="single" w:sz="4" w:space="0" w:color="auto"/>
            </w:tcBorders>
            <w:shd w:val="clear" w:color="auto" w:fill="auto"/>
            <w:noWrap/>
            <w:vAlign w:val="center"/>
            <w:hideMark/>
          </w:tcPr>
          <w:p w:rsidR="00CB2BD7" w:rsidRPr="00E97254" w:rsidRDefault="004E1F53" w:rsidP="000C0250">
            <w:pPr>
              <w:spacing w:after="0"/>
              <w:jc w:val="right"/>
              <w:rPr>
                <w:rFonts w:ascii="Calibri" w:eastAsia="Times New Roman" w:hAnsi="Calibri" w:cs="Calibri"/>
                <w:color w:val="000000"/>
                <w:sz w:val="16"/>
                <w:szCs w:val="16"/>
              </w:rPr>
            </w:pPr>
            <w:r>
              <w:rPr>
                <w:rFonts w:ascii="Calibri" w:eastAsia="Times New Roman" w:hAnsi="Calibri" w:cs="Calibri"/>
                <w:color w:val="000000"/>
                <w:sz w:val="16"/>
                <w:szCs w:val="16"/>
              </w:rPr>
              <w:t>606,862</w:t>
            </w:r>
          </w:p>
        </w:tc>
        <w:tc>
          <w:tcPr>
            <w:tcW w:w="753" w:type="dxa"/>
            <w:tcBorders>
              <w:top w:val="nil"/>
              <w:left w:val="nil"/>
              <w:bottom w:val="single" w:sz="4" w:space="0" w:color="auto"/>
              <w:right w:val="single" w:sz="4" w:space="0" w:color="auto"/>
            </w:tcBorders>
            <w:shd w:val="clear" w:color="auto" w:fill="auto"/>
            <w:noWrap/>
            <w:vAlign w:val="center"/>
            <w:hideMark/>
          </w:tcPr>
          <w:p w:rsidR="00CB2BD7" w:rsidRPr="00E97254" w:rsidRDefault="004E1F53" w:rsidP="000C0250">
            <w:pPr>
              <w:spacing w:after="0"/>
              <w:jc w:val="right"/>
              <w:rPr>
                <w:rFonts w:ascii="Calibri" w:eastAsia="Times New Roman" w:hAnsi="Calibri" w:cs="Calibri"/>
                <w:color w:val="000000"/>
                <w:sz w:val="16"/>
                <w:szCs w:val="16"/>
              </w:rPr>
            </w:pPr>
            <w:r>
              <w:rPr>
                <w:rFonts w:ascii="Calibri" w:eastAsia="Times New Roman" w:hAnsi="Calibri" w:cs="Calibri"/>
                <w:color w:val="000000"/>
                <w:sz w:val="16"/>
                <w:szCs w:val="16"/>
              </w:rPr>
              <w:t>-1.20%</w:t>
            </w:r>
          </w:p>
        </w:tc>
        <w:tc>
          <w:tcPr>
            <w:tcW w:w="837" w:type="dxa"/>
            <w:tcBorders>
              <w:top w:val="nil"/>
              <w:left w:val="nil"/>
              <w:bottom w:val="single" w:sz="4" w:space="0" w:color="auto"/>
              <w:right w:val="single" w:sz="4" w:space="0" w:color="auto"/>
            </w:tcBorders>
            <w:shd w:val="clear" w:color="auto" w:fill="auto"/>
            <w:noWrap/>
            <w:vAlign w:val="center"/>
            <w:hideMark/>
          </w:tcPr>
          <w:p w:rsidR="00CB2BD7" w:rsidRPr="00E97254" w:rsidRDefault="004E1F53" w:rsidP="000C0250">
            <w:pPr>
              <w:spacing w:after="0"/>
              <w:jc w:val="right"/>
              <w:rPr>
                <w:rFonts w:ascii="Calibri" w:eastAsia="Times New Roman" w:hAnsi="Calibri" w:cs="Calibri"/>
                <w:color w:val="000000"/>
                <w:sz w:val="16"/>
                <w:szCs w:val="16"/>
              </w:rPr>
            </w:pPr>
            <w:r>
              <w:rPr>
                <w:rFonts w:ascii="Calibri" w:eastAsia="Times New Roman" w:hAnsi="Calibri" w:cs="Calibri"/>
                <w:color w:val="000000"/>
                <w:sz w:val="16"/>
                <w:szCs w:val="16"/>
              </w:rPr>
              <w:t>133,421</w:t>
            </w:r>
          </w:p>
        </w:tc>
        <w:tc>
          <w:tcPr>
            <w:tcW w:w="837" w:type="dxa"/>
            <w:tcBorders>
              <w:top w:val="nil"/>
              <w:left w:val="nil"/>
              <w:bottom w:val="single" w:sz="4" w:space="0" w:color="auto"/>
              <w:right w:val="single" w:sz="4" w:space="0" w:color="auto"/>
            </w:tcBorders>
            <w:shd w:val="clear" w:color="auto" w:fill="auto"/>
            <w:noWrap/>
            <w:vAlign w:val="center"/>
            <w:hideMark/>
          </w:tcPr>
          <w:p w:rsidR="00CB2BD7" w:rsidRPr="00E97254" w:rsidRDefault="004E1F53" w:rsidP="000C0250">
            <w:pPr>
              <w:spacing w:after="0"/>
              <w:jc w:val="right"/>
              <w:rPr>
                <w:rFonts w:ascii="Calibri" w:eastAsia="Times New Roman" w:hAnsi="Calibri" w:cs="Calibri"/>
                <w:color w:val="000000"/>
                <w:sz w:val="16"/>
                <w:szCs w:val="16"/>
              </w:rPr>
            </w:pPr>
            <w:r>
              <w:rPr>
                <w:rFonts w:ascii="Calibri" w:eastAsia="Times New Roman" w:hAnsi="Calibri" w:cs="Calibri"/>
                <w:color w:val="000000"/>
                <w:sz w:val="16"/>
                <w:szCs w:val="16"/>
              </w:rPr>
              <w:t>157,444</w:t>
            </w:r>
          </w:p>
        </w:tc>
        <w:tc>
          <w:tcPr>
            <w:tcW w:w="766" w:type="dxa"/>
            <w:tcBorders>
              <w:top w:val="nil"/>
              <w:left w:val="nil"/>
              <w:bottom w:val="single" w:sz="4" w:space="0" w:color="auto"/>
              <w:right w:val="single" w:sz="4" w:space="0" w:color="auto"/>
            </w:tcBorders>
            <w:shd w:val="clear" w:color="auto" w:fill="auto"/>
            <w:noWrap/>
            <w:vAlign w:val="center"/>
            <w:hideMark/>
          </w:tcPr>
          <w:p w:rsidR="00CB2BD7" w:rsidRPr="00E97254" w:rsidRDefault="004E1F53" w:rsidP="000C0250">
            <w:pPr>
              <w:spacing w:after="0"/>
              <w:jc w:val="right"/>
              <w:rPr>
                <w:rFonts w:ascii="Calibri" w:eastAsia="Times New Roman" w:hAnsi="Calibri" w:cs="Calibri"/>
                <w:color w:val="000000"/>
                <w:sz w:val="16"/>
                <w:szCs w:val="16"/>
              </w:rPr>
            </w:pPr>
            <w:r>
              <w:rPr>
                <w:rFonts w:ascii="Calibri" w:eastAsia="Times New Roman" w:hAnsi="Calibri" w:cs="Calibri"/>
                <w:color w:val="000000"/>
                <w:sz w:val="16"/>
                <w:szCs w:val="16"/>
              </w:rPr>
              <w:t>18.01%</w:t>
            </w:r>
          </w:p>
        </w:tc>
        <w:tc>
          <w:tcPr>
            <w:tcW w:w="878" w:type="dxa"/>
            <w:tcBorders>
              <w:top w:val="nil"/>
              <w:left w:val="nil"/>
              <w:bottom w:val="single" w:sz="4" w:space="0" w:color="auto"/>
              <w:right w:val="single" w:sz="4" w:space="0" w:color="auto"/>
            </w:tcBorders>
            <w:shd w:val="clear" w:color="auto" w:fill="auto"/>
            <w:noWrap/>
            <w:vAlign w:val="center"/>
            <w:hideMark/>
          </w:tcPr>
          <w:p w:rsidR="00CB2BD7" w:rsidRPr="00E97254" w:rsidRDefault="004E1F53" w:rsidP="000C0250">
            <w:pPr>
              <w:spacing w:after="0"/>
              <w:jc w:val="right"/>
              <w:rPr>
                <w:rFonts w:ascii="Calibri" w:eastAsia="Times New Roman" w:hAnsi="Calibri" w:cs="Calibri"/>
                <w:color w:val="000000"/>
                <w:sz w:val="16"/>
                <w:szCs w:val="16"/>
              </w:rPr>
            </w:pPr>
            <w:r>
              <w:rPr>
                <w:rFonts w:ascii="Calibri" w:eastAsia="Times New Roman" w:hAnsi="Calibri" w:cs="Calibri"/>
                <w:color w:val="000000"/>
                <w:sz w:val="16"/>
                <w:szCs w:val="16"/>
              </w:rPr>
              <w:t>891,526</w:t>
            </w:r>
          </w:p>
        </w:tc>
        <w:tc>
          <w:tcPr>
            <w:tcW w:w="878" w:type="dxa"/>
            <w:tcBorders>
              <w:top w:val="nil"/>
              <w:left w:val="nil"/>
              <w:bottom w:val="single" w:sz="4" w:space="0" w:color="auto"/>
              <w:right w:val="single" w:sz="4" w:space="0" w:color="auto"/>
            </w:tcBorders>
            <w:shd w:val="clear" w:color="auto" w:fill="auto"/>
            <w:noWrap/>
            <w:vAlign w:val="center"/>
            <w:hideMark/>
          </w:tcPr>
          <w:p w:rsidR="00CB2BD7" w:rsidRPr="00E97254" w:rsidRDefault="004E1F53" w:rsidP="000C0250">
            <w:pPr>
              <w:spacing w:after="0"/>
              <w:jc w:val="right"/>
              <w:rPr>
                <w:rFonts w:ascii="Calibri" w:eastAsia="Times New Roman" w:hAnsi="Calibri" w:cs="Calibri"/>
                <w:color w:val="000000"/>
                <w:sz w:val="16"/>
                <w:szCs w:val="16"/>
              </w:rPr>
            </w:pPr>
            <w:r>
              <w:rPr>
                <w:rFonts w:ascii="Calibri" w:eastAsia="Times New Roman" w:hAnsi="Calibri" w:cs="Calibri"/>
                <w:color w:val="000000"/>
                <w:sz w:val="16"/>
                <w:szCs w:val="16"/>
              </w:rPr>
              <w:t>926,292</w:t>
            </w:r>
          </w:p>
        </w:tc>
        <w:tc>
          <w:tcPr>
            <w:tcW w:w="827" w:type="dxa"/>
            <w:tcBorders>
              <w:top w:val="nil"/>
              <w:left w:val="nil"/>
              <w:bottom w:val="single" w:sz="4" w:space="0" w:color="auto"/>
              <w:right w:val="single" w:sz="4" w:space="0" w:color="auto"/>
            </w:tcBorders>
            <w:shd w:val="clear" w:color="auto" w:fill="auto"/>
            <w:noWrap/>
            <w:vAlign w:val="center"/>
            <w:hideMark/>
          </w:tcPr>
          <w:p w:rsidR="00CB2BD7" w:rsidRPr="00E97254" w:rsidRDefault="004E1F53" w:rsidP="000C0250">
            <w:pPr>
              <w:spacing w:after="0"/>
              <w:jc w:val="right"/>
              <w:rPr>
                <w:rFonts w:ascii="Calibri" w:eastAsia="Times New Roman" w:hAnsi="Calibri" w:cs="Calibri"/>
                <w:color w:val="000000"/>
                <w:sz w:val="16"/>
                <w:szCs w:val="16"/>
              </w:rPr>
            </w:pPr>
            <w:r>
              <w:rPr>
                <w:rFonts w:ascii="Calibri" w:eastAsia="Times New Roman" w:hAnsi="Calibri" w:cs="Calibri"/>
                <w:color w:val="000000"/>
                <w:sz w:val="16"/>
                <w:szCs w:val="16"/>
              </w:rPr>
              <w:t>3.90%</w:t>
            </w:r>
          </w:p>
        </w:tc>
      </w:tr>
      <w:tr w:rsidR="00CB2BD7" w:rsidRPr="00E97254" w:rsidTr="00E7729D">
        <w:trPr>
          <w:trHeight w:val="300"/>
        </w:trPr>
        <w:tc>
          <w:tcPr>
            <w:tcW w:w="990" w:type="dxa"/>
            <w:tcBorders>
              <w:top w:val="nil"/>
              <w:left w:val="single" w:sz="4" w:space="0" w:color="auto"/>
              <w:bottom w:val="single" w:sz="4" w:space="0" w:color="auto"/>
              <w:right w:val="single" w:sz="4" w:space="0" w:color="auto"/>
            </w:tcBorders>
            <w:shd w:val="clear" w:color="000000" w:fill="FFFFFF"/>
            <w:noWrap/>
            <w:vAlign w:val="center"/>
            <w:hideMark/>
          </w:tcPr>
          <w:p w:rsidR="00CB2BD7" w:rsidRPr="00E97254" w:rsidRDefault="004E1F53" w:rsidP="000C0250">
            <w:pPr>
              <w:spacing w:after="0"/>
              <w:jc w:val="both"/>
              <w:rPr>
                <w:rFonts w:ascii="Arial" w:eastAsia="Times New Roman" w:hAnsi="Arial" w:cs="Arial"/>
                <w:color w:val="000000"/>
                <w:sz w:val="16"/>
                <w:szCs w:val="16"/>
              </w:rPr>
            </w:pPr>
            <w:r>
              <w:rPr>
                <w:rFonts w:ascii="Arial" w:eastAsia="Times New Roman" w:hAnsi="Arial" w:cs="Arial"/>
                <w:color w:val="000000"/>
                <w:sz w:val="16"/>
                <w:szCs w:val="16"/>
              </w:rPr>
              <w:t xml:space="preserve"> Vlorë</w:t>
            </w:r>
          </w:p>
        </w:tc>
        <w:tc>
          <w:tcPr>
            <w:tcW w:w="766" w:type="dxa"/>
            <w:tcBorders>
              <w:top w:val="nil"/>
              <w:left w:val="nil"/>
              <w:bottom w:val="single" w:sz="4" w:space="0" w:color="auto"/>
              <w:right w:val="single" w:sz="4" w:space="0" w:color="auto"/>
            </w:tcBorders>
            <w:shd w:val="clear" w:color="auto" w:fill="auto"/>
            <w:noWrap/>
            <w:vAlign w:val="center"/>
            <w:hideMark/>
          </w:tcPr>
          <w:p w:rsidR="00CB2BD7" w:rsidRPr="00E97254" w:rsidRDefault="004E1F53" w:rsidP="000C0250">
            <w:pPr>
              <w:spacing w:after="0"/>
              <w:jc w:val="right"/>
              <w:rPr>
                <w:rFonts w:ascii="Calibri" w:eastAsia="Times New Roman" w:hAnsi="Calibri" w:cs="Calibri"/>
                <w:color w:val="000000"/>
                <w:sz w:val="16"/>
                <w:szCs w:val="16"/>
              </w:rPr>
            </w:pPr>
            <w:r>
              <w:rPr>
                <w:rFonts w:ascii="Calibri" w:eastAsia="Times New Roman" w:hAnsi="Calibri" w:cs="Calibri"/>
                <w:color w:val="000000"/>
                <w:sz w:val="16"/>
                <w:szCs w:val="16"/>
              </w:rPr>
              <w:t>53,630</w:t>
            </w:r>
          </w:p>
        </w:tc>
        <w:tc>
          <w:tcPr>
            <w:tcW w:w="766" w:type="dxa"/>
            <w:tcBorders>
              <w:top w:val="nil"/>
              <w:left w:val="nil"/>
              <w:bottom w:val="single" w:sz="4" w:space="0" w:color="auto"/>
              <w:right w:val="single" w:sz="4" w:space="0" w:color="auto"/>
            </w:tcBorders>
            <w:shd w:val="clear" w:color="auto" w:fill="auto"/>
            <w:noWrap/>
            <w:vAlign w:val="center"/>
            <w:hideMark/>
          </w:tcPr>
          <w:p w:rsidR="00CB2BD7" w:rsidRPr="00E97254" w:rsidRDefault="004E1F53" w:rsidP="000C0250">
            <w:pPr>
              <w:spacing w:after="0"/>
              <w:jc w:val="right"/>
              <w:rPr>
                <w:rFonts w:ascii="Calibri" w:eastAsia="Times New Roman" w:hAnsi="Calibri" w:cs="Calibri"/>
                <w:color w:val="000000"/>
                <w:sz w:val="16"/>
                <w:szCs w:val="16"/>
              </w:rPr>
            </w:pPr>
            <w:r>
              <w:rPr>
                <w:rFonts w:ascii="Calibri" w:eastAsia="Times New Roman" w:hAnsi="Calibri" w:cs="Calibri"/>
                <w:color w:val="000000"/>
                <w:sz w:val="16"/>
                <w:szCs w:val="16"/>
              </w:rPr>
              <w:t>48,826</w:t>
            </w:r>
          </w:p>
        </w:tc>
        <w:tc>
          <w:tcPr>
            <w:tcW w:w="768" w:type="dxa"/>
            <w:tcBorders>
              <w:top w:val="nil"/>
              <w:left w:val="nil"/>
              <w:bottom w:val="single" w:sz="4" w:space="0" w:color="auto"/>
              <w:right w:val="single" w:sz="4" w:space="0" w:color="auto"/>
            </w:tcBorders>
            <w:shd w:val="clear" w:color="auto" w:fill="auto"/>
            <w:noWrap/>
            <w:vAlign w:val="center"/>
            <w:hideMark/>
          </w:tcPr>
          <w:p w:rsidR="00CB2BD7" w:rsidRPr="00E97254" w:rsidRDefault="004E1F53" w:rsidP="000C0250">
            <w:pPr>
              <w:spacing w:after="0"/>
              <w:jc w:val="right"/>
              <w:rPr>
                <w:rFonts w:ascii="Calibri" w:eastAsia="Times New Roman" w:hAnsi="Calibri" w:cs="Calibri"/>
                <w:color w:val="000000"/>
                <w:sz w:val="16"/>
                <w:szCs w:val="16"/>
              </w:rPr>
            </w:pPr>
            <w:r>
              <w:rPr>
                <w:rFonts w:ascii="Calibri" w:eastAsia="Times New Roman" w:hAnsi="Calibri" w:cs="Calibri"/>
                <w:color w:val="000000"/>
                <w:sz w:val="16"/>
                <w:szCs w:val="16"/>
              </w:rPr>
              <w:t>-8.96%</w:t>
            </w:r>
          </w:p>
        </w:tc>
        <w:tc>
          <w:tcPr>
            <w:tcW w:w="914" w:type="dxa"/>
            <w:tcBorders>
              <w:top w:val="nil"/>
              <w:left w:val="nil"/>
              <w:bottom w:val="single" w:sz="4" w:space="0" w:color="auto"/>
              <w:right w:val="single" w:sz="4" w:space="0" w:color="auto"/>
            </w:tcBorders>
            <w:shd w:val="clear" w:color="auto" w:fill="auto"/>
            <w:noWrap/>
            <w:vAlign w:val="center"/>
            <w:hideMark/>
          </w:tcPr>
          <w:p w:rsidR="00CB2BD7" w:rsidRPr="00E97254" w:rsidRDefault="004E1F53" w:rsidP="000C0250">
            <w:pPr>
              <w:spacing w:after="0"/>
              <w:jc w:val="right"/>
              <w:rPr>
                <w:rFonts w:ascii="Calibri" w:eastAsia="Times New Roman" w:hAnsi="Calibri" w:cs="Calibri"/>
                <w:color w:val="000000"/>
                <w:sz w:val="16"/>
                <w:szCs w:val="16"/>
              </w:rPr>
            </w:pPr>
            <w:r>
              <w:rPr>
                <w:rFonts w:ascii="Calibri" w:eastAsia="Times New Roman" w:hAnsi="Calibri" w:cs="Calibri"/>
                <w:color w:val="000000"/>
                <w:sz w:val="16"/>
                <w:szCs w:val="16"/>
              </w:rPr>
              <w:t>130,720</w:t>
            </w:r>
          </w:p>
        </w:tc>
        <w:tc>
          <w:tcPr>
            <w:tcW w:w="913" w:type="dxa"/>
            <w:tcBorders>
              <w:top w:val="nil"/>
              <w:left w:val="nil"/>
              <w:bottom w:val="single" w:sz="4" w:space="0" w:color="auto"/>
              <w:right w:val="single" w:sz="4" w:space="0" w:color="auto"/>
            </w:tcBorders>
            <w:shd w:val="clear" w:color="auto" w:fill="auto"/>
            <w:noWrap/>
            <w:vAlign w:val="center"/>
            <w:hideMark/>
          </w:tcPr>
          <w:p w:rsidR="00CB2BD7" w:rsidRPr="00E97254" w:rsidRDefault="004E1F53" w:rsidP="000C0250">
            <w:pPr>
              <w:spacing w:after="0"/>
              <w:jc w:val="right"/>
              <w:rPr>
                <w:rFonts w:ascii="Calibri" w:eastAsia="Times New Roman" w:hAnsi="Calibri" w:cs="Calibri"/>
                <w:color w:val="000000"/>
                <w:sz w:val="16"/>
                <w:szCs w:val="16"/>
              </w:rPr>
            </w:pPr>
            <w:r>
              <w:rPr>
                <w:rFonts w:ascii="Calibri" w:eastAsia="Times New Roman" w:hAnsi="Calibri" w:cs="Calibri"/>
                <w:color w:val="000000"/>
                <w:sz w:val="16"/>
                <w:szCs w:val="16"/>
              </w:rPr>
              <w:t>124,071</w:t>
            </w:r>
          </w:p>
        </w:tc>
        <w:tc>
          <w:tcPr>
            <w:tcW w:w="753" w:type="dxa"/>
            <w:tcBorders>
              <w:top w:val="nil"/>
              <w:left w:val="nil"/>
              <w:bottom w:val="single" w:sz="4" w:space="0" w:color="auto"/>
              <w:right w:val="single" w:sz="4" w:space="0" w:color="auto"/>
            </w:tcBorders>
            <w:shd w:val="clear" w:color="auto" w:fill="auto"/>
            <w:noWrap/>
            <w:vAlign w:val="center"/>
            <w:hideMark/>
          </w:tcPr>
          <w:p w:rsidR="00CB2BD7" w:rsidRPr="00E97254" w:rsidRDefault="004E1F53" w:rsidP="000C0250">
            <w:pPr>
              <w:spacing w:after="0"/>
              <w:jc w:val="right"/>
              <w:rPr>
                <w:rFonts w:ascii="Calibri" w:eastAsia="Times New Roman" w:hAnsi="Calibri" w:cs="Calibri"/>
                <w:color w:val="000000"/>
                <w:sz w:val="16"/>
                <w:szCs w:val="16"/>
              </w:rPr>
            </w:pPr>
            <w:r>
              <w:rPr>
                <w:rFonts w:ascii="Calibri" w:eastAsia="Times New Roman" w:hAnsi="Calibri" w:cs="Calibri"/>
                <w:color w:val="000000"/>
                <w:sz w:val="16"/>
                <w:szCs w:val="16"/>
              </w:rPr>
              <w:t>-5.09%</w:t>
            </w:r>
          </w:p>
        </w:tc>
        <w:tc>
          <w:tcPr>
            <w:tcW w:w="837" w:type="dxa"/>
            <w:tcBorders>
              <w:top w:val="nil"/>
              <w:left w:val="nil"/>
              <w:bottom w:val="single" w:sz="4" w:space="0" w:color="auto"/>
              <w:right w:val="single" w:sz="4" w:space="0" w:color="auto"/>
            </w:tcBorders>
            <w:shd w:val="clear" w:color="auto" w:fill="auto"/>
            <w:noWrap/>
            <w:vAlign w:val="center"/>
            <w:hideMark/>
          </w:tcPr>
          <w:p w:rsidR="00CB2BD7" w:rsidRPr="00E97254" w:rsidRDefault="004E1F53" w:rsidP="000C0250">
            <w:pPr>
              <w:spacing w:after="0"/>
              <w:jc w:val="right"/>
              <w:rPr>
                <w:rFonts w:ascii="Calibri" w:eastAsia="Times New Roman" w:hAnsi="Calibri" w:cs="Calibri"/>
                <w:color w:val="000000"/>
                <w:sz w:val="16"/>
                <w:szCs w:val="16"/>
              </w:rPr>
            </w:pPr>
            <w:r>
              <w:rPr>
                <w:rFonts w:ascii="Calibri" w:eastAsia="Times New Roman" w:hAnsi="Calibri" w:cs="Calibri"/>
                <w:color w:val="000000"/>
                <w:sz w:val="16"/>
                <w:szCs w:val="16"/>
              </w:rPr>
              <w:t>29,572</w:t>
            </w:r>
          </w:p>
        </w:tc>
        <w:tc>
          <w:tcPr>
            <w:tcW w:w="837" w:type="dxa"/>
            <w:tcBorders>
              <w:top w:val="nil"/>
              <w:left w:val="nil"/>
              <w:bottom w:val="single" w:sz="4" w:space="0" w:color="auto"/>
              <w:right w:val="single" w:sz="4" w:space="0" w:color="auto"/>
            </w:tcBorders>
            <w:shd w:val="clear" w:color="auto" w:fill="auto"/>
            <w:noWrap/>
            <w:vAlign w:val="center"/>
            <w:hideMark/>
          </w:tcPr>
          <w:p w:rsidR="00CB2BD7" w:rsidRPr="00E97254" w:rsidRDefault="004E1F53" w:rsidP="000C0250">
            <w:pPr>
              <w:spacing w:after="0"/>
              <w:jc w:val="right"/>
              <w:rPr>
                <w:rFonts w:ascii="Calibri" w:eastAsia="Times New Roman" w:hAnsi="Calibri" w:cs="Calibri"/>
                <w:color w:val="000000"/>
                <w:sz w:val="16"/>
                <w:szCs w:val="16"/>
              </w:rPr>
            </w:pPr>
            <w:r>
              <w:rPr>
                <w:rFonts w:ascii="Calibri" w:eastAsia="Times New Roman" w:hAnsi="Calibri" w:cs="Calibri"/>
                <w:color w:val="000000"/>
                <w:sz w:val="16"/>
                <w:szCs w:val="16"/>
              </w:rPr>
              <w:t>39,264</w:t>
            </w:r>
          </w:p>
        </w:tc>
        <w:tc>
          <w:tcPr>
            <w:tcW w:w="766" w:type="dxa"/>
            <w:tcBorders>
              <w:top w:val="nil"/>
              <w:left w:val="nil"/>
              <w:bottom w:val="single" w:sz="4" w:space="0" w:color="auto"/>
              <w:right w:val="single" w:sz="4" w:space="0" w:color="auto"/>
            </w:tcBorders>
            <w:shd w:val="clear" w:color="auto" w:fill="auto"/>
            <w:noWrap/>
            <w:vAlign w:val="center"/>
            <w:hideMark/>
          </w:tcPr>
          <w:p w:rsidR="00CB2BD7" w:rsidRPr="00E97254" w:rsidRDefault="004E1F53" w:rsidP="000C0250">
            <w:pPr>
              <w:spacing w:after="0"/>
              <w:jc w:val="right"/>
              <w:rPr>
                <w:rFonts w:ascii="Calibri" w:eastAsia="Times New Roman" w:hAnsi="Calibri" w:cs="Calibri"/>
                <w:color w:val="000000"/>
                <w:sz w:val="16"/>
                <w:szCs w:val="16"/>
              </w:rPr>
            </w:pPr>
            <w:r>
              <w:rPr>
                <w:rFonts w:ascii="Calibri" w:eastAsia="Times New Roman" w:hAnsi="Calibri" w:cs="Calibri"/>
                <w:color w:val="000000"/>
                <w:sz w:val="16"/>
                <w:szCs w:val="16"/>
              </w:rPr>
              <w:t>32.77%</w:t>
            </w:r>
          </w:p>
        </w:tc>
        <w:tc>
          <w:tcPr>
            <w:tcW w:w="878" w:type="dxa"/>
            <w:tcBorders>
              <w:top w:val="nil"/>
              <w:left w:val="nil"/>
              <w:bottom w:val="single" w:sz="4" w:space="0" w:color="auto"/>
              <w:right w:val="single" w:sz="4" w:space="0" w:color="auto"/>
            </w:tcBorders>
            <w:shd w:val="clear" w:color="auto" w:fill="auto"/>
            <w:noWrap/>
            <w:vAlign w:val="center"/>
            <w:hideMark/>
          </w:tcPr>
          <w:p w:rsidR="00CB2BD7" w:rsidRPr="00E97254" w:rsidRDefault="004E1F53" w:rsidP="000C0250">
            <w:pPr>
              <w:spacing w:after="0"/>
              <w:jc w:val="right"/>
              <w:rPr>
                <w:rFonts w:ascii="Calibri" w:eastAsia="Times New Roman" w:hAnsi="Calibri" w:cs="Calibri"/>
                <w:color w:val="000000"/>
                <w:sz w:val="16"/>
                <w:szCs w:val="16"/>
              </w:rPr>
            </w:pPr>
            <w:r>
              <w:rPr>
                <w:rFonts w:ascii="Calibri" w:eastAsia="Times New Roman" w:hAnsi="Calibri" w:cs="Calibri"/>
                <w:color w:val="000000"/>
                <w:sz w:val="16"/>
                <w:szCs w:val="16"/>
              </w:rPr>
              <w:t>188,512</w:t>
            </w:r>
          </w:p>
        </w:tc>
        <w:tc>
          <w:tcPr>
            <w:tcW w:w="878" w:type="dxa"/>
            <w:tcBorders>
              <w:top w:val="nil"/>
              <w:left w:val="nil"/>
              <w:bottom w:val="single" w:sz="4" w:space="0" w:color="auto"/>
              <w:right w:val="single" w:sz="4" w:space="0" w:color="auto"/>
            </w:tcBorders>
            <w:shd w:val="clear" w:color="auto" w:fill="auto"/>
            <w:noWrap/>
            <w:vAlign w:val="center"/>
            <w:hideMark/>
          </w:tcPr>
          <w:p w:rsidR="00CB2BD7" w:rsidRPr="00E97254" w:rsidRDefault="004E1F53" w:rsidP="000C0250">
            <w:pPr>
              <w:spacing w:after="0"/>
              <w:jc w:val="right"/>
              <w:rPr>
                <w:rFonts w:ascii="Calibri" w:eastAsia="Times New Roman" w:hAnsi="Calibri" w:cs="Calibri"/>
                <w:color w:val="000000"/>
                <w:sz w:val="16"/>
                <w:szCs w:val="16"/>
              </w:rPr>
            </w:pPr>
            <w:r>
              <w:rPr>
                <w:rFonts w:ascii="Calibri" w:eastAsia="Times New Roman" w:hAnsi="Calibri" w:cs="Calibri"/>
                <w:color w:val="000000"/>
                <w:sz w:val="16"/>
                <w:szCs w:val="16"/>
              </w:rPr>
              <w:t>191,150</w:t>
            </w:r>
          </w:p>
        </w:tc>
        <w:tc>
          <w:tcPr>
            <w:tcW w:w="827" w:type="dxa"/>
            <w:tcBorders>
              <w:top w:val="nil"/>
              <w:left w:val="nil"/>
              <w:bottom w:val="single" w:sz="4" w:space="0" w:color="auto"/>
              <w:right w:val="single" w:sz="4" w:space="0" w:color="auto"/>
            </w:tcBorders>
            <w:shd w:val="clear" w:color="auto" w:fill="auto"/>
            <w:noWrap/>
            <w:vAlign w:val="center"/>
            <w:hideMark/>
          </w:tcPr>
          <w:p w:rsidR="00CB2BD7" w:rsidRPr="00E97254" w:rsidRDefault="004E1F53" w:rsidP="000C0250">
            <w:pPr>
              <w:spacing w:after="0"/>
              <w:jc w:val="right"/>
              <w:rPr>
                <w:rFonts w:ascii="Calibri" w:eastAsia="Times New Roman" w:hAnsi="Calibri" w:cs="Calibri"/>
                <w:color w:val="000000"/>
                <w:sz w:val="16"/>
                <w:szCs w:val="16"/>
              </w:rPr>
            </w:pPr>
            <w:r>
              <w:rPr>
                <w:rFonts w:ascii="Calibri" w:eastAsia="Times New Roman" w:hAnsi="Calibri" w:cs="Calibri"/>
                <w:color w:val="000000"/>
                <w:sz w:val="16"/>
                <w:szCs w:val="16"/>
              </w:rPr>
              <w:t>1.40%</w:t>
            </w:r>
          </w:p>
        </w:tc>
      </w:tr>
      <w:tr w:rsidR="00CB2BD7" w:rsidRPr="00E97254" w:rsidTr="00E7729D">
        <w:trPr>
          <w:trHeight w:val="300"/>
        </w:trPr>
        <w:tc>
          <w:tcPr>
            <w:tcW w:w="990" w:type="dxa"/>
            <w:tcBorders>
              <w:top w:val="nil"/>
              <w:left w:val="single" w:sz="4" w:space="0" w:color="auto"/>
              <w:bottom w:val="single" w:sz="4" w:space="0" w:color="auto"/>
              <w:right w:val="single" w:sz="4" w:space="0" w:color="auto"/>
            </w:tcBorders>
            <w:shd w:val="clear" w:color="auto" w:fill="auto"/>
            <w:noWrap/>
            <w:vAlign w:val="center"/>
            <w:hideMark/>
          </w:tcPr>
          <w:p w:rsidR="00CB2BD7" w:rsidRPr="00E97254" w:rsidRDefault="004E1F53" w:rsidP="000C0250">
            <w:pPr>
              <w:spacing w:after="0"/>
              <w:jc w:val="both"/>
              <w:rPr>
                <w:rFonts w:ascii="Calibri" w:eastAsia="Times New Roman" w:hAnsi="Calibri" w:cs="Calibri"/>
                <w:color w:val="000000"/>
                <w:sz w:val="16"/>
                <w:szCs w:val="16"/>
              </w:rPr>
            </w:pPr>
            <w:r>
              <w:rPr>
                <w:rFonts w:ascii="Calibri" w:eastAsia="Times New Roman" w:hAnsi="Calibri" w:cs="Calibri"/>
                <w:color w:val="000000"/>
                <w:sz w:val="16"/>
                <w:szCs w:val="16"/>
              </w:rPr>
              <w:t>Gjithsej</w:t>
            </w:r>
          </w:p>
        </w:tc>
        <w:tc>
          <w:tcPr>
            <w:tcW w:w="766" w:type="dxa"/>
            <w:tcBorders>
              <w:top w:val="nil"/>
              <w:left w:val="nil"/>
              <w:bottom w:val="single" w:sz="4" w:space="0" w:color="auto"/>
              <w:right w:val="single" w:sz="4" w:space="0" w:color="auto"/>
            </w:tcBorders>
            <w:shd w:val="clear" w:color="auto" w:fill="auto"/>
            <w:noWrap/>
            <w:vAlign w:val="center"/>
            <w:hideMark/>
          </w:tcPr>
          <w:p w:rsidR="00CB2BD7" w:rsidRPr="00E97254" w:rsidRDefault="004E1F53" w:rsidP="000C0250">
            <w:pPr>
              <w:spacing w:after="0"/>
              <w:jc w:val="right"/>
              <w:rPr>
                <w:rFonts w:ascii="Calibri" w:eastAsia="Times New Roman" w:hAnsi="Calibri" w:cs="Calibri"/>
                <w:color w:val="000000"/>
                <w:sz w:val="16"/>
                <w:szCs w:val="16"/>
              </w:rPr>
            </w:pPr>
            <w:r>
              <w:rPr>
                <w:rFonts w:ascii="Calibri" w:eastAsia="Times New Roman" w:hAnsi="Calibri" w:cs="Calibri"/>
                <w:color w:val="000000"/>
                <w:sz w:val="16"/>
                <w:szCs w:val="16"/>
              </w:rPr>
              <w:t>882,959</w:t>
            </w:r>
          </w:p>
        </w:tc>
        <w:tc>
          <w:tcPr>
            <w:tcW w:w="766" w:type="dxa"/>
            <w:tcBorders>
              <w:top w:val="nil"/>
              <w:left w:val="nil"/>
              <w:bottom w:val="single" w:sz="4" w:space="0" w:color="auto"/>
              <w:right w:val="single" w:sz="4" w:space="0" w:color="auto"/>
            </w:tcBorders>
            <w:shd w:val="clear" w:color="auto" w:fill="auto"/>
            <w:noWrap/>
            <w:vAlign w:val="center"/>
            <w:hideMark/>
          </w:tcPr>
          <w:p w:rsidR="00CB2BD7" w:rsidRPr="00E97254" w:rsidRDefault="004E1F53" w:rsidP="000C0250">
            <w:pPr>
              <w:spacing w:after="0"/>
              <w:jc w:val="right"/>
              <w:rPr>
                <w:rFonts w:ascii="Calibri" w:eastAsia="Times New Roman" w:hAnsi="Calibri" w:cs="Calibri"/>
                <w:color w:val="000000"/>
                <w:sz w:val="16"/>
                <w:szCs w:val="16"/>
              </w:rPr>
            </w:pPr>
            <w:r>
              <w:rPr>
                <w:rFonts w:ascii="Calibri" w:eastAsia="Times New Roman" w:hAnsi="Calibri" w:cs="Calibri"/>
                <w:color w:val="000000"/>
                <w:sz w:val="16"/>
                <w:szCs w:val="16"/>
              </w:rPr>
              <w:t>788,159</w:t>
            </w:r>
          </w:p>
        </w:tc>
        <w:tc>
          <w:tcPr>
            <w:tcW w:w="768" w:type="dxa"/>
            <w:tcBorders>
              <w:top w:val="nil"/>
              <w:left w:val="nil"/>
              <w:bottom w:val="single" w:sz="4" w:space="0" w:color="auto"/>
              <w:right w:val="single" w:sz="4" w:space="0" w:color="auto"/>
            </w:tcBorders>
            <w:shd w:val="clear" w:color="auto" w:fill="auto"/>
            <w:noWrap/>
            <w:vAlign w:val="center"/>
            <w:hideMark/>
          </w:tcPr>
          <w:p w:rsidR="00CB2BD7" w:rsidRPr="00E97254" w:rsidRDefault="004E1F53" w:rsidP="000C0250">
            <w:pPr>
              <w:spacing w:after="0"/>
              <w:jc w:val="right"/>
              <w:rPr>
                <w:rFonts w:ascii="Calibri" w:eastAsia="Times New Roman" w:hAnsi="Calibri" w:cs="Calibri"/>
                <w:color w:val="000000"/>
                <w:sz w:val="16"/>
                <w:szCs w:val="16"/>
              </w:rPr>
            </w:pPr>
            <w:r>
              <w:rPr>
                <w:rFonts w:ascii="Calibri" w:eastAsia="Times New Roman" w:hAnsi="Calibri" w:cs="Calibri"/>
                <w:color w:val="000000"/>
                <w:sz w:val="16"/>
                <w:szCs w:val="16"/>
              </w:rPr>
              <w:t>-10.74%</w:t>
            </w:r>
          </w:p>
        </w:tc>
        <w:tc>
          <w:tcPr>
            <w:tcW w:w="914" w:type="dxa"/>
            <w:tcBorders>
              <w:top w:val="nil"/>
              <w:left w:val="nil"/>
              <w:bottom w:val="single" w:sz="4" w:space="0" w:color="auto"/>
              <w:right w:val="single" w:sz="4" w:space="0" w:color="auto"/>
            </w:tcBorders>
            <w:shd w:val="clear" w:color="auto" w:fill="auto"/>
            <w:noWrap/>
            <w:vAlign w:val="center"/>
            <w:hideMark/>
          </w:tcPr>
          <w:p w:rsidR="00CB2BD7" w:rsidRPr="00E97254" w:rsidRDefault="004E1F53" w:rsidP="000C0250">
            <w:pPr>
              <w:spacing w:after="0"/>
              <w:jc w:val="right"/>
              <w:rPr>
                <w:rFonts w:ascii="Calibri" w:eastAsia="Times New Roman" w:hAnsi="Calibri" w:cs="Calibri"/>
                <w:color w:val="000000"/>
                <w:sz w:val="16"/>
                <w:szCs w:val="16"/>
              </w:rPr>
            </w:pPr>
            <w:r>
              <w:rPr>
                <w:rFonts w:ascii="Calibri" w:eastAsia="Times New Roman" w:hAnsi="Calibri" w:cs="Calibri"/>
                <w:color w:val="000000"/>
                <w:sz w:val="16"/>
                <w:szCs w:val="16"/>
              </w:rPr>
              <w:t>1,940,263</w:t>
            </w:r>
          </w:p>
        </w:tc>
        <w:tc>
          <w:tcPr>
            <w:tcW w:w="913" w:type="dxa"/>
            <w:tcBorders>
              <w:top w:val="nil"/>
              <w:left w:val="nil"/>
              <w:bottom w:val="single" w:sz="4" w:space="0" w:color="auto"/>
              <w:right w:val="single" w:sz="4" w:space="0" w:color="auto"/>
            </w:tcBorders>
            <w:shd w:val="clear" w:color="auto" w:fill="auto"/>
            <w:noWrap/>
            <w:vAlign w:val="center"/>
            <w:hideMark/>
          </w:tcPr>
          <w:p w:rsidR="00CB2BD7" w:rsidRPr="00E97254" w:rsidRDefault="004E1F53" w:rsidP="000C0250">
            <w:pPr>
              <w:spacing w:after="0"/>
              <w:jc w:val="right"/>
              <w:rPr>
                <w:rFonts w:ascii="Calibri" w:eastAsia="Times New Roman" w:hAnsi="Calibri" w:cs="Calibri"/>
                <w:color w:val="000000"/>
                <w:sz w:val="16"/>
                <w:szCs w:val="16"/>
              </w:rPr>
            </w:pPr>
            <w:r>
              <w:rPr>
                <w:rFonts w:ascii="Calibri" w:eastAsia="Times New Roman" w:hAnsi="Calibri" w:cs="Calibri"/>
                <w:color w:val="000000"/>
                <w:sz w:val="16"/>
                <w:szCs w:val="16"/>
              </w:rPr>
              <w:t>1,828,479</w:t>
            </w:r>
          </w:p>
        </w:tc>
        <w:tc>
          <w:tcPr>
            <w:tcW w:w="753" w:type="dxa"/>
            <w:tcBorders>
              <w:top w:val="nil"/>
              <w:left w:val="nil"/>
              <w:bottom w:val="single" w:sz="4" w:space="0" w:color="auto"/>
              <w:right w:val="single" w:sz="4" w:space="0" w:color="auto"/>
            </w:tcBorders>
            <w:shd w:val="clear" w:color="auto" w:fill="auto"/>
            <w:noWrap/>
            <w:vAlign w:val="center"/>
            <w:hideMark/>
          </w:tcPr>
          <w:p w:rsidR="00CB2BD7" w:rsidRPr="00E97254" w:rsidRDefault="004E1F53" w:rsidP="000C0250">
            <w:pPr>
              <w:spacing w:after="0"/>
              <w:jc w:val="right"/>
              <w:rPr>
                <w:rFonts w:ascii="Calibri" w:eastAsia="Times New Roman" w:hAnsi="Calibri" w:cs="Calibri"/>
                <w:color w:val="000000"/>
                <w:sz w:val="16"/>
                <w:szCs w:val="16"/>
              </w:rPr>
            </w:pPr>
            <w:r>
              <w:rPr>
                <w:rFonts w:ascii="Calibri" w:eastAsia="Times New Roman" w:hAnsi="Calibri" w:cs="Calibri"/>
                <w:color w:val="000000"/>
                <w:sz w:val="16"/>
                <w:szCs w:val="16"/>
              </w:rPr>
              <w:t>-5.76%</w:t>
            </w:r>
          </w:p>
        </w:tc>
        <w:tc>
          <w:tcPr>
            <w:tcW w:w="837" w:type="dxa"/>
            <w:tcBorders>
              <w:top w:val="nil"/>
              <w:left w:val="nil"/>
              <w:bottom w:val="single" w:sz="4" w:space="0" w:color="auto"/>
              <w:right w:val="single" w:sz="4" w:space="0" w:color="auto"/>
            </w:tcBorders>
            <w:shd w:val="clear" w:color="auto" w:fill="auto"/>
            <w:noWrap/>
            <w:vAlign w:val="center"/>
            <w:hideMark/>
          </w:tcPr>
          <w:p w:rsidR="00CB2BD7" w:rsidRPr="00E97254" w:rsidRDefault="004E1F53" w:rsidP="000C0250">
            <w:pPr>
              <w:spacing w:after="0"/>
              <w:jc w:val="right"/>
              <w:rPr>
                <w:rFonts w:ascii="Calibri" w:eastAsia="Times New Roman" w:hAnsi="Calibri" w:cs="Calibri"/>
                <w:color w:val="000000"/>
                <w:sz w:val="16"/>
                <w:szCs w:val="16"/>
              </w:rPr>
            </w:pPr>
            <w:r>
              <w:rPr>
                <w:rFonts w:ascii="Calibri" w:eastAsia="Times New Roman" w:hAnsi="Calibri" w:cs="Calibri"/>
                <w:color w:val="000000"/>
                <w:sz w:val="16"/>
                <w:szCs w:val="16"/>
              </w:rPr>
              <w:t>436,669</w:t>
            </w:r>
          </w:p>
        </w:tc>
        <w:tc>
          <w:tcPr>
            <w:tcW w:w="837" w:type="dxa"/>
            <w:tcBorders>
              <w:top w:val="nil"/>
              <w:left w:val="nil"/>
              <w:bottom w:val="single" w:sz="4" w:space="0" w:color="auto"/>
              <w:right w:val="single" w:sz="4" w:space="0" w:color="auto"/>
            </w:tcBorders>
            <w:shd w:val="clear" w:color="auto" w:fill="auto"/>
            <w:noWrap/>
            <w:vAlign w:val="center"/>
            <w:hideMark/>
          </w:tcPr>
          <w:p w:rsidR="00CB2BD7" w:rsidRPr="00E97254" w:rsidRDefault="004E1F53" w:rsidP="000C0250">
            <w:pPr>
              <w:spacing w:after="0"/>
              <w:jc w:val="right"/>
              <w:rPr>
                <w:rFonts w:ascii="Calibri" w:eastAsia="Times New Roman" w:hAnsi="Calibri" w:cs="Calibri"/>
                <w:color w:val="000000"/>
                <w:sz w:val="16"/>
                <w:szCs w:val="16"/>
              </w:rPr>
            </w:pPr>
            <w:r>
              <w:rPr>
                <w:rFonts w:ascii="Calibri" w:eastAsia="Times New Roman" w:hAnsi="Calibri" w:cs="Calibri"/>
                <w:color w:val="000000"/>
                <w:sz w:val="16"/>
                <w:szCs w:val="16"/>
              </w:rPr>
              <w:t>522,694</w:t>
            </w:r>
          </w:p>
        </w:tc>
        <w:tc>
          <w:tcPr>
            <w:tcW w:w="766" w:type="dxa"/>
            <w:tcBorders>
              <w:top w:val="nil"/>
              <w:left w:val="nil"/>
              <w:bottom w:val="single" w:sz="4" w:space="0" w:color="auto"/>
              <w:right w:val="single" w:sz="4" w:space="0" w:color="auto"/>
            </w:tcBorders>
            <w:shd w:val="clear" w:color="auto" w:fill="auto"/>
            <w:noWrap/>
            <w:vAlign w:val="center"/>
            <w:hideMark/>
          </w:tcPr>
          <w:p w:rsidR="00CB2BD7" w:rsidRPr="00E97254" w:rsidRDefault="004E1F53" w:rsidP="000C0250">
            <w:pPr>
              <w:spacing w:after="0"/>
              <w:jc w:val="right"/>
              <w:rPr>
                <w:rFonts w:ascii="Calibri" w:eastAsia="Times New Roman" w:hAnsi="Calibri" w:cs="Calibri"/>
                <w:color w:val="000000"/>
                <w:sz w:val="16"/>
                <w:szCs w:val="16"/>
              </w:rPr>
            </w:pPr>
            <w:r>
              <w:rPr>
                <w:rFonts w:ascii="Calibri" w:eastAsia="Times New Roman" w:hAnsi="Calibri" w:cs="Calibri"/>
                <w:color w:val="000000"/>
                <w:sz w:val="16"/>
                <w:szCs w:val="16"/>
              </w:rPr>
              <w:t>19.70%</w:t>
            </w:r>
          </w:p>
        </w:tc>
        <w:tc>
          <w:tcPr>
            <w:tcW w:w="878" w:type="dxa"/>
            <w:tcBorders>
              <w:top w:val="nil"/>
              <w:left w:val="nil"/>
              <w:bottom w:val="single" w:sz="4" w:space="0" w:color="auto"/>
              <w:right w:val="single" w:sz="4" w:space="0" w:color="auto"/>
            </w:tcBorders>
            <w:shd w:val="clear" w:color="auto" w:fill="auto"/>
            <w:noWrap/>
            <w:vAlign w:val="center"/>
            <w:hideMark/>
          </w:tcPr>
          <w:p w:rsidR="00CB2BD7" w:rsidRPr="00E97254" w:rsidRDefault="004E1F53" w:rsidP="000C0250">
            <w:pPr>
              <w:spacing w:after="0"/>
              <w:jc w:val="right"/>
              <w:rPr>
                <w:rFonts w:ascii="Calibri" w:eastAsia="Times New Roman" w:hAnsi="Calibri" w:cs="Calibri"/>
                <w:color w:val="000000"/>
                <w:sz w:val="16"/>
                <w:szCs w:val="16"/>
              </w:rPr>
            </w:pPr>
            <w:r>
              <w:rPr>
                <w:rFonts w:ascii="Calibri" w:eastAsia="Times New Roman" w:hAnsi="Calibri" w:cs="Calibri"/>
                <w:color w:val="000000"/>
                <w:sz w:val="16"/>
                <w:szCs w:val="16"/>
              </w:rPr>
              <w:t>2,850,467</w:t>
            </w:r>
          </w:p>
        </w:tc>
        <w:tc>
          <w:tcPr>
            <w:tcW w:w="878" w:type="dxa"/>
            <w:tcBorders>
              <w:top w:val="nil"/>
              <w:left w:val="nil"/>
              <w:bottom w:val="single" w:sz="4" w:space="0" w:color="auto"/>
              <w:right w:val="single" w:sz="4" w:space="0" w:color="auto"/>
            </w:tcBorders>
            <w:shd w:val="clear" w:color="auto" w:fill="auto"/>
            <w:noWrap/>
            <w:vAlign w:val="center"/>
            <w:hideMark/>
          </w:tcPr>
          <w:p w:rsidR="00CB2BD7" w:rsidRPr="00E97254" w:rsidRDefault="004E1F53" w:rsidP="000C0250">
            <w:pPr>
              <w:spacing w:after="0"/>
              <w:jc w:val="right"/>
              <w:rPr>
                <w:rFonts w:ascii="Calibri" w:eastAsia="Times New Roman" w:hAnsi="Calibri" w:cs="Calibri"/>
                <w:color w:val="000000"/>
                <w:sz w:val="16"/>
                <w:szCs w:val="16"/>
              </w:rPr>
            </w:pPr>
            <w:r>
              <w:rPr>
                <w:rFonts w:ascii="Calibri" w:eastAsia="Times New Roman" w:hAnsi="Calibri" w:cs="Calibri"/>
                <w:color w:val="000000"/>
                <w:sz w:val="16"/>
                <w:szCs w:val="16"/>
              </w:rPr>
              <w:t>2,805,537</w:t>
            </w:r>
          </w:p>
        </w:tc>
        <w:tc>
          <w:tcPr>
            <w:tcW w:w="827" w:type="dxa"/>
            <w:tcBorders>
              <w:top w:val="nil"/>
              <w:left w:val="nil"/>
              <w:bottom w:val="single" w:sz="4" w:space="0" w:color="auto"/>
              <w:right w:val="single" w:sz="4" w:space="0" w:color="auto"/>
            </w:tcBorders>
            <w:shd w:val="clear" w:color="auto" w:fill="auto"/>
            <w:noWrap/>
            <w:vAlign w:val="center"/>
            <w:hideMark/>
          </w:tcPr>
          <w:p w:rsidR="00CB2BD7" w:rsidRPr="00E97254" w:rsidRDefault="004E1F53" w:rsidP="000C0250">
            <w:pPr>
              <w:spacing w:after="0"/>
              <w:jc w:val="right"/>
              <w:rPr>
                <w:rFonts w:ascii="Calibri" w:eastAsia="Times New Roman" w:hAnsi="Calibri" w:cs="Calibri"/>
                <w:color w:val="000000"/>
                <w:sz w:val="16"/>
                <w:szCs w:val="16"/>
              </w:rPr>
            </w:pPr>
            <w:r>
              <w:rPr>
                <w:rFonts w:ascii="Calibri" w:eastAsia="Times New Roman" w:hAnsi="Calibri" w:cs="Calibri"/>
                <w:color w:val="000000"/>
                <w:sz w:val="16"/>
                <w:szCs w:val="16"/>
              </w:rPr>
              <w:t>-1.58%</w:t>
            </w:r>
          </w:p>
        </w:tc>
      </w:tr>
    </w:tbl>
    <w:p w:rsidR="00CB2BD7" w:rsidRPr="00E97254" w:rsidRDefault="004E1F53" w:rsidP="000C0250">
      <w:pPr>
        <w:spacing w:after="0"/>
        <w:jc w:val="both"/>
        <w:rPr>
          <w:sz w:val="20"/>
        </w:rPr>
      </w:pPr>
      <w:r>
        <w:rPr>
          <w:sz w:val="20"/>
        </w:rPr>
        <w:t xml:space="preserve">(Burimi: </w:t>
      </w:r>
      <w:r w:rsidR="001936F3">
        <w:rPr>
          <w:sz w:val="20"/>
        </w:rPr>
        <w:t>B</w:t>
      </w:r>
      <w:r w:rsidR="001936F3" w:rsidRPr="00E97254">
        <w:rPr>
          <w:sz w:val="20"/>
        </w:rPr>
        <w:t xml:space="preserve">aza </w:t>
      </w:r>
      <w:r w:rsidR="001936F3">
        <w:rPr>
          <w:sz w:val="20"/>
        </w:rPr>
        <w:t>e t</w:t>
      </w:r>
      <w:r w:rsidR="001936F3" w:rsidRPr="00E97254">
        <w:rPr>
          <w:rFonts w:ascii="Calibri" w:hAnsi="Calibri" w:cs="Calibri"/>
          <w:szCs w:val="24"/>
        </w:rPr>
        <w:t>ë</w:t>
      </w:r>
      <w:r w:rsidR="001936F3">
        <w:rPr>
          <w:rFonts w:ascii="Calibri" w:hAnsi="Calibri" w:cs="Calibri"/>
          <w:szCs w:val="24"/>
        </w:rPr>
        <w:t xml:space="preserve"> dh</w:t>
      </w:r>
      <w:r w:rsidR="001936F3" w:rsidRPr="00E97254">
        <w:rPr>
          <w:rFonts w:ascii="Calibri" w:hAnsi="Calibri" w:cs="Calibri"/>
          <w:szCs w:val="24"/>
        </w:rPr>
        <w:t>ë</w:t>
      </w:r>
      <w:r w:rsidR="001936F3">
        <w:rPr>
          <w:rFonts w:ascii="Calibri" w:hAnsi="Calibri" w:cs="Calibri"/>
          <w:szCs w:val="24"/>
        </w:rPr>
        <w:t xml:space="preserve">nave </w:t>
      </w:r>
      <w:r w:rsidR="00CB2BD7" w:rsidRPr="00E97254">
        <w:rPr>
          <w:sz w:val="20"/>
        </w:rPr>
        <w:t>statistikore, INSTAT, shkurt 2020)</w:t>
      </w:r>
    </w:p>
    <w:p w:rsidR="001C4E9A" w:rsidRPr="00E97254" w:rsidRDefault="004E1F53" w:rsidP="000C0250">
      <w:pPr>
        <w:spacing w:before="120" w:after="0"/>
        <w:jc w:val="both"/>
        <w:rPr>
          <w:rFonts w:cstheme="minorHAnsi"/>
          <w:sz w:val="24"/>
          <w:szCs w:val="24"/>
        </w:rPr>
      </w:pPr>
      <w:r>
        <w:rPr>
          <w:rFonts w:cstheme="minorHAnsi"/>
          <w:szCs w:val="24"/>
        </w:rPr>
        <w:t>Kështu, mesatarja e viteve të shkollimit për popullsinë e moshës 25+ është rritur nga 7.8 vjet</w:t>
      </w:r>
      <w:r w:rsidR="0065534C" w:rsidRPr="00E97254">
        <w:rPr>
          <w:rFonts w:cstheme="minorHAnsi"/>
          <w:szCs w:val="24"/>
        </w:rPr>
        <w:t xml:space="preserve"> në vitin 1990 në 10 vjet në vitin 2017, </w:t>
      </w:r>
      <w:r w:rsidR="001C4E9A" w:rsidRPr="00E97254">
        <w:rPr>
          <w:rFonts w:cstheme="minorHAnsi"/>
          <w:szCs w:val="24"/>
        </w:rPr>
        <w:t xml:space="preserve"> </w:t>
      </w:r>
      <w:r w:rsidR="0065534C" w:rsidRPr="00E97254">
        <w:rPr>
          <w:rFonts w:cstheme="minorHAnsi"/>
          <w:szCs w:val="24"/>
        </w:rPr>
        <w:t>duke u përafruar me mesataren e viteve të shkollimit</w:t>
      </w:r>
      <w:r w:rsidR="001C4E9A" w:rsidRPr="00E97254">
        <w:rPr>
          <w:rFonts w:cstheme="minorHAnsi"/>
          <w:szCs w:val="24"/>
        </w:rPr>
        <w:t xml:space="preserve"> për vendet e </w:t>
      </w:r>
      <w:r>
        <w:rPr>
          <w:rFonts w:cs="Calibri"/>
          <w:szCs w:val="24"/>
        </w:rPr>
        <w:t>Evropës</w:t>
      </w:r>
      <w:r>
        <w:rPr>
          <w:rFonts w:cstheme="minorHAnsi"/>
          <w:szCs w:val="24"/>
        </w:rPr>
        <w:t xml:space="preserve"> dhe Azisë Qendrore që është 10.3 vjet. Po në periudhën 1990-2017 kohëzgjatja e pritshme e shkollimit për fëmijët e moshës 6 vjeç u shtua nga 11.6 në 14.8 vjet, kundrejt 14.1 vjet në vendet e </w:t>
      </w:r>
      <w:r>
        <w:rPr>
          <w:rFonts w:cs="Calibri"/>
          <w:szCs w:val="24"/>
        </w:rPr>
        <w:t>Evropës</w:t>
      </w:r>
      <w:r>
        <w:rPr>
          <w:rFonts w:cstheme="minorHAnsi"/>
          <w:szCs w:val="24"/>
        </w:rPr>
        <w:t xml:space="preserve"> dhe të Azisë Qendrore. Sipas </w:t>
      </w:r>
      <w:r w:rsidR="00E97254" w:rsidRPr="00E97254">
        <w:rPr>
          <w:rFonts w:cstheme="minorHAnsi"/>
          <w:szCs w:val="24"/>
        </w:rPr>
        <w:t>të njëjt</w:t>
      </w:r>
      <w:r w:rsidR="00E97254">
        <w:rPr>
          <w:rFonts w:cstheme="minorHAnsi"/>
          <w:szCs w:val="24"/>
        </w:rPr>
        <w:t>it</w:t>
      </w:r>
      <w:r w:rsidR="00E97254" w:rsidRPr="00E97254">
        <w:rPr>
          <w:rFonts w:cstheme="minorHAnsi"/>
          <w:szCs w:val="24"/>
        </w:rPr>
        <w:t xml:space="preserve"> </w:t>
      </w:r>
      <w:r w:rsidR="001C4E9A" w:rsidRPr="00E97254">
        <w:rPr>
          <w:rFonts w:cstheme="minorHAnsi"/>
          <w:szCs w:val="24"/>
        </w:rPr>
        <w:t>burim, në vitin 2017, mesatarja e viteve të shkollimit për gratë ishte 9.8 vjet dhe për burrat 10.2 vjet, ndërkaq kohëzgjatja e viteve të pritshme të shkollimit ishte 15 vjet për vajzat dhe 14.4 vjet për djemtë.</w:t>
      </w:r>
    </w:p>
    <w:p w:rsidR="00941864" w:rsidRPr="00E97254" w:rsidRDefault="00FA5606" w:rsidP="000C0250">
      <w:pPr>
        <w:pStyle w:val="Heading2"/>
        <w:jc w:val="both"/>
      </w:pPr>
      <w:bookmarkStart w:id="22" w:name="_Toc45624212"/>
      <w:bookmarkStart w:id="23" w:name="_Toc66801981"/>
      <w:r w:rsidRPr="00FA5606">
        <w:t>3.3. Kuadri i politikave</w:t>
      </w:r>
      <w:bookmarkEnd w:id="22"/>
      <w:bookmarkEnd w:id="23"/>
    </w:p>
    <w:p w:rsidR="009336F3" w:rsidRPr="00E97254" w:rsidRDefault="004E1F53" w:rsidP="000C0250">
      <w:pPr>
        <w:spacing w:before="120" w:after="0"/>
        <w:jc w:val="both"/>
        <w:rPr>
          <w:rFonts w:cstheme="minorHAnsi"/>
        </w:rPr>
      </w:pPr>
      <w:r>
        <w:rPr>
          <w:rFonts w:cstheme="minorHAnsi"/>
        </w:rPr>
        <w:t xml:space="preserve">Kuadri i politikave shtetërore për arsimin në Republikën e Shqipërisë përbëhet nga strategji sektoriale e ndërsektoriale, si dhe dokumente të tjera të politikave që ndërlidhen me zhvillimin e arsimit, siç janë: Strategjia Kombëtare për Zhvillim dhe Integrim 2015-2020 (SKZHI II), Agjenda Kombëtare për të Drejtat e Fëmijëve 2017-2020, Plani Kombëtar i Veprimit për Personat me Aftësi të Kufizuara 2016-2020, Plani Kombëtar i Veprimit për Integrimin e Romëve dhe Egjiptianëve 2016-2020, Agjenda digjitale e Shqipërisë 2015-2020, Programi Buxhetor Afatmesëm (PBA) 2021-2023, Programi i Reformës Ekonomike 2021-2023, </w:t>
      </w:r>
      <w:r>
        <w:rPr>
          <w:rFonts w:cstheme="minorHAnsi"/>
        </w:rPr>
        <w:lastRenderedPageBreak/>
        <w:t>Strategjia e Zhvillimit të Arsimit Parauniversitar 2014-2020 (SZHAPU), Plani Kombëtar i Veprimit për Rininë 2015-2020, Strategjia Kombëtare për Barazinë Gjinore 2016-2020. Pakti për Universitetin, etj. Po ashtu, në kuadrin e politikave bëjnë pjesë edhe dokumente ndërkombëtare në hartimin e të cilave ka marrë pjesë Republika e Shqipërisë, si Agjenda 2030 për zhvillim të qëndrueshëm e Organizatës së Kombeve të Bashkuara. Në vijim do të prezantojmë një përshkrim të shkurtër të dokumenteve kryesore të politikave mbi të cilat mbështetet Strategjia Kombëtare e Arsimit 2021-2026.</w:t>
      </w:r>
    </w:p>
    <w:p w:rsidR="000525A6" w:rsidRPr="00E97254" w:rsidRDefault="004E1F53" w:rsidP="000C0250">
      <w:pPr>
        <w:spacing w:before="120" w:after="0"/>
        <w:jc w:val="both"/>
        <w:rPr>
          <w:rFonts w:cstheme="minorHAnsi"/>
        </w:rPr>
      </w:pPr>
      <w:r>
        <w:rPr>
          <w:rFonts w:cstheme="minorHAnsi"/>
          <w:b/>
        </w:rPr>
        <w:t>Strategjia Kombëtare për Zhvillim dhe Integrim 2015-2020 (SKZHI II)</w:t>
      </w:r>
      <w:r>
        <w:rPr>
          <w:rFonts w:cstheme="minorHAnsi"/>
        </w:rPr>
        <w:t xml:space="preserve"> është dokumenti themelor strategjik që kombinon agjendën e integrimit në Bashkimin Evropian me zhvillimin e qëndrueshëm ekonomik e shoqëror të vendit, përfshirë edhe ndërlidhjen me Objektivat e Zhvillimit të Qëndrueshëm </w:t>
      </w:r>
      <w:sdt>
        <w:sdtPr>
          <w:rPr>
            <w:rFonts w:cstheme="minorHAnsi"/>
          </w:rPr>
          <w:id w:val="-678046189"/>
          <w:citation/>
        </w:sdtPr>
        <w:sdtEndPr/>
        <w:sdtContent>
          <w:r w:rsidR="00EC56B7" w:rsidRPr="00E97254">
            <w:rPr>
              <w:rFonts w:cstheme="minorHAnsi"/>
            </w:rPr>
            <w:fldChar w:fldCharType="begin"/>
          </w:r>
          <w:r>
            <w:rPr>
              <w:rFonts w:cstheme="minorHAnsi"/>
            </w:rPr>
            <w:instrText xml:space="preserve"> CITATION QBZ161 \l 1033 </w:instrText>
          </w:r>
          <w:r w:rsidR="00EC56B7" w:rsidRPr="00E97254">
            <w:rPr>
              <w:rFonts w:cstheme="minorHAnsi"/>
            </w:rPr>
            <w:fldChar w:fldCharType="separate"/>
          </w:r>
          <w:r w:rsidR="00724BCC" w:rsidRPr="00E97254">
            <w:rPr>
              <w:rFonts w:cstheme="minorHAnsi"/>
            </w:rPr>
            <w:t>[1]</w:t>
          </w:r>
          <w:r w:rsidR="00EC56B7" w:rsidRPr="00E97254">
            <w:rPr>
              <w:rFonts w:cstheme="minorHAnsi"/>
            </w:rPr>
            <w:fldChar w:fldCharType="end"/>
          </w:r>
        </w:sdtContent>
      </w:sdt>
      <w:r w:rsidR="000525A6" w:rsidRPr="00E97254">
        <w:rPr>
          <w:rFonts w:cstheme="minorHAnsi"/>
        </w:rPr>
        <w:t>. Strategjia përcakton vizionin për Shqipërinë si “</w:t>
      </w:r>
      <w:r w:rsidR="000525A6" w:rsidRPr="00E97254">
        <w:rPr>
          <w:rFonts w:cstheme="minorHAnsi"/>
          <w:i/>
        </w:rPr>
        <w:t xml:space="preserve">demokraci në forcim, në rrugën e saj drejt integrimit në Bashkimin </w:t>
      </w:r>
      <w:r w:rsidR="005E0EF1" w:rsidRPr="00E97254">
        <w:rPr>
          <w:rFonts w:cs="Calibri"/>
          <w:i/>
        </w:rPr>
        <w:t>Ev</w:t>
      </w:r>
      <w:r w:rsidR="000525A6" w:rsidRPr="00E97254">
        <w:rPr>
          <w:rFonts w:cs="Calibri"/>
          <w:i/>
        </w:rPr>
        <w:t>ropian</w:t>
      </w:r>
      <w:r w:rsidR="000525A6" w:rsidRPr="00E97254">
        <w:rPr>
          <w:rFonts w:cstheme="minorHAnsi"/>
          <w:i/>
        </w:rPr>
        <w:t>, me një ekonomi konkurruese, të stabilizuar dhe të qëndrueshme dhe me garanci për të drejtat themelore dhe liritë e njeriut</w:t>
      </w:r>
      <w:r>
        <w:rPr>
          <w:rFonts w:cstheme="minorHAnsi"/>
        </w:rPr>
        <w:t>”. SKZHI II ka katër shtylla, njëra prej të cilave është investimi në kapital njerëzor dhe kohezion social. Strategjia ka katër objektiva për arsimin parauniversitar:</w:t>
      </w:r>
    </w:p>
    <w:p w:rsidR="000525A6" w:rsidRPr="00E97254" w:rsidRDefault="004E1F53" w:rsidP="000C0250">
      <w:pPr>
        <w:pStyle w:val="ListParagraph"/>
        <w:numPr>
          <w:ilvl w:val="0"/>
          <w:numId w:val="4"/>
        </w:numPr>
        <w:spacing w:after="0"/>
        <w:jc w:val="both"/>
        <w:rPr>
          <w:rFonts w:cstheme="minorHAnsi"/>
        </w:rPr>
      </w:pPr>
      <w:r>
        <w:rPr>
          <w:rFonts w:cstheme="minorHAnsi"/>
        </w:rPr>
        <w:t xml:space="preserve">Rritja e aksesit dhe regjistrimeve në arsimin parauniversitar; </w:t>
      </w:r>
    </w:p>
    <w:p w:rsidR="000525A6" w:rsidRPr="00E97254" w:rsidRDefault="004E1F53" w:rsidP="000C0250">
      <w:pPr>
        <w:pStyle w:val="ListParagraph"/>
        <w:numPr>
          <w:ilvl w:val="0"/>
          <w:numId w:val="4"/>
        </w:numPr>
        <w:spacing w:after="0"/>
        <w:jc w:val="both"/>
        <w:rPr>
          <w:rFonts w:cstheme="minorHAnsi"/>
        </w:rPr>
      </w:pPr>
      <w:r>
        <w:rPr>
          <w:rFonts w:cstheme="minorHAnsi"/>
        </w:rPr>
        <w:t>Përmirësimi i shërbimit "Arsim cilësor për të gjithë";</w:t>
      </w:r>
    </w:p>
    <w:p w:rsidR="000525A6" w:rsidRPr="00E97254" w:rsidRDefault="004E1F53" w:rsidP="000C0250">
      <w:pPr>
        <w:pStyle w:val="ListParagraph"/>
        <w:numPr>
          <w:ilvl w:val="0"/>
          <w:numId w:val="4"/>
        </w:numPr>
        <w:spacing w:after="0"/>
        <w:jc w:val="both"/>
        <w:rPr>
          <w:rFonts w:cstheme="minorHAnsi"/>
        </w:rPr>
      </w:pPr>
      <w:r>
        <w:rPr>
          <w:rFonts w:cstheme="minorHAnsi"/>
        </w:rPr>
        <w:t>Përmirësimi i raportit të vendimmarrjes midis niveleve qendrore dhe vendore të institucioneve arsimore;</w:t>
      </w:r>
    </w:p>
    <w:p w:rsidR="000525A6" w:rsidRPr="00E97254" w:rsidRDefault="004E1F53" w:rsidP="000C0250">
      <w:pPr>
        <w:pStyle w:val="ListParagraph"/>
        <w:numPr>
          <w:ilvl w:val="0"/>
          <w:numId w:val="4"/>
        </w:numPr>
        <w:spacing w:after="0"/>
        <w:jc w:val="both"/>
        <w:rPr>
          <w:rFonts w:cstheme="minorHAnsi"/>
        </w:rPr>
      </w:pPr>
      <w:r>
        <w:rPr>
          <w:rFonts w:cstheme="minorHAnsi"/>
        </w:rPr>
        <w:t xml:space="preserve">Rritja e efektivitetit dhe efikasitetit të burimeve financiare. </w:t>
      </w:r>
    </w:p>
    <w:p w:rsidR="000525A6" w:rsidRPr="00E97254" w:rsidRDefault="004E1F53" w:rsidP="000C0250">
      <w:pPr>
        <w:spacing w:before="120" w:after="0"/>
        <w:jc w:val="both"/>
        <w:rPr>
          <w:rFonts w:cstheme="minorHAnsi"/>
        </w:rPr>
      </w:pPr>
      <w:r>
        <w:rPr>
          <w:rFonts w:cstheme="minorHAnsi"/>
        </w:rPr>
        <w:t>Ndërkaq, në fushën e arsimit të lartë Strategjia sjell 5 objektiva:</w:t>
      </w:r>
    </w:p>
    <w:p w:rsidR="000525A6" w:rsidRPr="00E97254" w:rsidRDefault="004E1F53" w:rsidP="000C0250">
      <w:pPr>
        <w:pStyle w:val="ListParagraph"/>
        <w:numPr>
          <w:ilvl w:val="0"/>
          <w:numId w:val="5"/>
        </w:numPr>
        <w:spacing w:after="0"/>
        <w:jc w:val="both"/>
        <w:rPr>
          <w:rFonts w:cstheme="minorHAnsi"/>
        </w:rPr>
      </w:pPr>
      <w:r>
        <w:rPr>
          <w:rFonts w:cstheme="minorHAnsi"/>
        </w:rPr>
        <w:t>Rritja e cilësisë së arsimit të lartë;</w:t>
      </w:r>
    </w:p>
    <w:p w:rsidR="000525A6" w:rsidRPr="00E97254" w:rsidRDefault="004E1F53" w:rsidP="000C0250">
      <w:pPr>
        <w:pStyle w:val="ListParagraph"/>
        <w:numPr>
          <w:ilvl w:val="0"/>
          <w:numId w:val="5"/>
        </w:numPr>
        <w:spacing w:after="0"/>
        <w:jc w:val="both"/>
        <w:rPr>
          <w:rFonts w:cstheme="minorHAnsi"/>
        </w:rPr>
      </w:pPr>
      <w:r>
        <w:rPr>
          <w:rFonts w:cstheme="minorHAnsi"/>
        </w:rPr>
        <w:t>Mbështetja dhe shtimi i programeve të studimit që kanë si synim përmbushjen e nevojave të tregut të punës;</w:t>
      </w:r>
    </w:p>
    <w:p w:rsidR="000525A6" w:rsidRPr="00E97254" w:rsidRDefault="004E1F53" w:rsidP="000C0250">
      <w:pPr>
        <w:pStyle w:val="ListParagraph"/>
        <w:numPr>
          <w:ilvl w:val="0"/>
          <w:numId w:val="5"/>
        </w:numPr>
        <w:spacing w:after="0"/>
        <w:jc w:val="both"/>
        <w:rPr>
          <w:rFonts w:cstheme="minorHAnsi"/>
        </w:rPr>
      </w:pPr>
      <w:r>
        <w:rPr>
          <w:rFonts w:cstheme="minorHAnsi"/>
        </w:rPr>
        <w:t>Sigurimi i një arsimi profesional që i korrespondon nevojave të fushave specifike dhe zhvillimeve të rajoneve specifike;</w:t>
      </w:r>
    </w:p>
    <w:p w:rsidR="000525A6" w:rsidRPr="00E97254" w:rsidRDefault="004E1F53" w:rsidP="000C0250">
      <w:pPr>
        <w:pStyle w:val="ListParagraph"/>
        <w:numPr>
          <w:ilvl w:val="0"/>
          <w:numId w:val="5"/>
        </w:numPr>
        <w:spacing w:after="0"/>
        <w:jc w:val="both"/>
        <w:rPr>
          <w:rFonts w:cstheme="minorHAnsi"/>
        </w:rPr>
      </w:pPr>
      <w:r>
        <w:rPr>
          <w:rFonts w:cstheme="minorHAnsi"/>
        </w:rPr>
        <w:t>Rritja e autonomisë dhe lirisë akademike të IAL-ve;</w:t>
      </w:r>
    </w:p>
    <w:p w:rsidR="000525A6" w:rsidRPr="00E97254" w:rsidRDefault="004E1F53" w:rsidP="000C0250">
      <w:pPr>
        <w:pStyle w:val="ListParagraph"/>
        <w:numPr>
          <w:ilvl w:val="0"/>
          <w:numId w:val="5"/>
        </w:numPr>
        <w:spacing w:after="0"/>
        <w:jc w:val="both"/>
        <w:rPr>
          <w:rFonts w:cstheme="minorHAnsi"/>
        </w:rPr>
      </w:pPr>
      <w:r>
        <w:rPr>
          <w:rFonts w:cstheme="minorHAnsi"/>
        </w:rPr>
        <w:t>Ndërkombëtarizimi i arsimit të lartë dhe rritja e kontributit të “Albanian excellence” në tregun e punës.</w:t>
      </w:r>
    </w:p>
    <w:p w:rsidR="000525A6" w:rsidRPr="00E97254" w:rsidRDefault="004E1F53" w:rsidP="000C0250">
      <w:pPr>
        <w:spacing w:before="120" w:after="0"/>
        <w:jc w:val="both"/>
        <w:rPr>
          <w:rFonts w:cstheme="minorHAnsi"/>
          <w:b/>
        </w:rPr>
      </w:pPr>
      <w:r>
        <w:rPr>
          <w:rFonts w:cstheme="minorHAnsi"/>
          <w:b/>
        </w:rPr>
        <w:t xml:space="preserve">Agjenda 2030 për zhvillim të qëndrueshëm.– </w:t>
      </w:r>
      <w:r>
        <w:rPr>
          <w:rFonts w:cstheme="minorHAnsi"/>
        </w:rPr>
        <w:t>Në shtatorin e vitit 2015, Shqipëria dhe 192 shtete të tjera anëtare të Kombeve të Bashkuara, miratuan Agjendën 2030 për Zhvillim të Qëndrueshëm. Agjenda e vitit 2030 është një kornizë globale 15-vjeçare e përqendruar në 17 objektiva të zhvillimit të qëndrueshëm (</w:t>
      </w:r>
      <w:r w:rsidR="00FC673F">
        <w:rPr>
          <w:rFonts w:cstheme="minorHAnsi"/>
        </w:rPr>
        <w:t>OZHQ</w:t>
      </w:r>
      <w:r w:rsidR="000525A6" w:rsidRPr="00E97254">
        <w:rPr>
          <w:rFonts w:cstheme="minorHAnsi"/>
        </w:rPr>
        <w:t>), njëri prej të cilëve ndërlidhet me arsimin:</w:t>
      </w:r>
    </w:p>
    <w:p w:rsidR="000525A6" w:rsidRPr="00E97254" w:rsidRDefault="00FC673F" w:rsidP="000C0250">
      <w:pPr>
        <w:spacing w:after="0"/>
        <w:jc w:val="both"/>
        <w:rPr>
          <w:rFonts w:cstheme="minorHAnsi"/>
        </w:rPr>
      </w:pPr>
      <w:r>
        <w:rPr>
          <w:rFonts w:cstheme="minorHAnsi"/>
        </w:rPr>
        <w:t>OZHQ</w:t>
      </w:r>
      <w:r w:rsidR="000525A6" w:rsidRPr="00E97254">
        <w:rPr>
          <w:rFonts w:cstheme="minorHAnsi"/>
        </w:rPr>
        <w:t>4 – Sigurimi i arsimit cilësor gjithëpërfshirës dhe të drejtë dhe nxitja e mundësive për mësim gjatë gjithë jetës për të gjithë</w:t>
      </w:r>
      <w:r w:rsidR="004E0EF2" w:rsidRPr="00E97254">
        <w:rPr>
          <w:rFonts w:cstheme="minorHAnsi"/>
        </w:rPr>
        <w:t>.</w:t>
      </w:r>
      <w:r>
        <w:rPr>
          <w:rFonts w:cstheme="minorHAnsi"/>
        </w:rPr>
        <w:t xml:space="preserve"> </w:t>
      </w:r>
    </w:p>
    <w:p w:rsidR="000525A6" w:rsidRPr="00E97254" w:rsidRDefault="00FC673F" w:rsidP="000C0250">
      <w:pPr>
        <w:spacing w:after="0"/>
        <w:jc w:val="both"/>
        <w:rPr>
          <w:rFonts w:cstheme="minorHAnsi"/>
        </w:rPr>
      </w:pPr>
      <w:r>
        <w:rPr>
          <w:rFonts w:cstheme="minorHAnsi"/>
        </w:rPr>
        <w:t>OZHQ</w:t>
      </w:r>
      <w:r w:rsidR="000525A6" w:rsidRPr="00E97254">
        <w:rPr>
          <w:rFonts w:cstheme="minorHAnsi"/>
        </w:rPr>
        <w:t xml:space="preserve">4 ka 7 </w:t>
      </w:r>
      <w:r w:rsidR="005E65FC" w:rsidRPr="00E97254">
        <w:rPr>
          <w:rFonts w:cstheme="minorHAnsi"/>
        </w:rPr>
        <w:t>synime që duhen</w:t>
      </w:r>
      <w:r w:rsidR="000525A6" w:rsidRPr="00E97254">
        <w:rPr>
          <w:rFonts w:cstheme="minorHAnsi"/>
        </w:rPr>
        <w:t xml:space="preserve"> arritur deri në vitin 2030 </w:t>
      </w:r>
      <w:sdt>
        <w:sdtPr>
          <w:rPr>
            <w:rFonts w:cstheme="minorHAnsi"/>
          </w:rPr>
          <w:id w:val="2113315117"/>
          <w:citation/>
        </w:sdtPr>
        <w:sdtEndPr/>
        <w:sdtContent>
          <w:r w:rsidR="00EC56B7" w:rsidRPr="00E97254">
            <w:rPr>
              <w:rFonts w:cstheme="minorHAnsi"/>
            </w:rPr>
            <w:fldChar w:fldCharType="begin"/>
          </w:r>
          <w:r w:rsidR="004E1F53">
            <w:rPr>
              <w:rFonts w:cstheme="minorHAnsi"/>
            </w:rPr>
            <w:instrText xml:space="preserve"> CITATION UNE171 \l 1033 </w:instrText>
          </w:r>
          <w:r w:rsidR="00EC56B7" w:rsidRPr="00E97254">
            <w:rPr>
              <w:rFonts w:cstheme="minorHAnsi"/>
            </w:rPr>
            <w:fldChar w:fldCharType="separate"/>
          </w:r>
          <w:r w:rsidR="00724BCC" w:rsidRPr="00E97254">
            <w:rPr>
              <w:rFonts w:cstheme="minorHAnsi"/>
            </w:rPr>
            <w:t>[6]</w:t>
          </w:r>
          <w:r w:rsidR="00EC56B7" w:rsidRPr="00E97254">
            <w:rPr>
              <w:rFonts w:cstheme="minorHAnsi"/>
            </w:rPr>
            <w:fldChar w:fldCharType="end"/>
          </w:r>
        </w:sdtContent>
      </w:sdt>
      <w:r w:rsidR="000525A6" w:rsidRPr="00E97254">
        <w:rPr>
          <w:rFonts w:cstheme="minorHAnsi"/>
        </w:rPr>
        <w:t>:</w:t>
      </w:r>
    </w:p>
    <w:p w:rsidR="000525A6" w:rsidRPr="00E97254" w:rsidRDefault="000525A6" w:rsidP="000C0250">
      <w:pPr>
        <w:pStyle w:val="ListParagraph"/>
        <w:numPr>
          <w:ilvl w:val="0"/>
          <w:numId w:val="1"/>
        </w:numPr>
        <w:spacing w:after="0"/>
        <w:jc w:val="both"/>
        <w:rPr>
          <w:rFonts w:cstheme="minorHAnsi"/>
        </w:rPr>
      </w:pPr>
      <w:r w:rsidRPr="00E97254">
        <w:rPr>
          <w:rFonts w:cstheme="minorHAnsi"/>
        </w:rPr>
        <w:t xml:space="preserve">Arsim cilësor falas për të gjithë në kohëzgjatje prej 12 vjetësh, prej të cilave të paktën 9 vjet arsim të </w:t>
      </w:r>
      <w:r w:rsidR="00596A88" w:rsidRPr="00E97254">
        <w:rPr>
          <w:rFonts w:cstheme="minorHAnsi"/>
        </w:rPr>
        <w:t>detyrueshëm</w:t>
      </w:r>
      <w:r w:rsidRPr="00E97254">
        <w:rPr>
          <w:rFonts w:cstheme="minorHAnsi"/>
        </w:rPr>
        <w:t>;</w:t>
      </w:r>
    </w:p>
    <w:p w:rsidR="000525A6" w:rsidRPr="00E97254" w:rsidRDefault="00E04B29" w:rsidP="000C0250">
      <w:pPr>
        <w:pStyle w:val="ListParagraph"/>
        <w:numPr>
          <w:ilvl w:val="0"/>
          <w:numId w:val="1"/>
        </w:numPr>
        <w:spacing w:before="120" w:after="0"/>
        <w:jc w:val="both"/>
        <w:rPr>
          <w:rFonts w:cstheme="minorHAnsi"/>
        </w:rPr>
      </w:pPr>
      <w:r>
        <w:rPr>
          <w:rFonts w:cstheme="minorHAnsi"/>
        </w:rPr>
        <w:t>O</w:t>
      </w:r>
      <w:r w:rsidR="000525A6" w:rsidRPr="00E97254">
        <w:rPr>
          <w:rFonts w:cstheme="minorHAnsi"/>
        </w:rPr>
        <w:t xml:space="preserve">frim i të paktën 1 vit arsimi parashkollor falas dhe të </w:t>
      </w:r>
      <w:r w:rsidR="00596A88" w:rsidRPr="00E97254">
        <w:rPr>
          <w:rFonts w:cstheme="minorHAnsi"/>
        </w:rPr>
        <w:t>detyrueshëm</w:t>
      </w:r>
      <w:r w:rsidR="000525A6" w:rsidRPr="00E97254">
        <w:rPr>
          <w:rFonts w:cstheme="minorHAnsi"/>
        </w:rPr>
        <w:t>;</w:t>
      </w:r>
    </w:p>
    <w:p w:rsidR="000525A6" w:rsidRPr="00E97254" w:rsidRDefault="004E1F53" w:rsidP="000C0250">
      <w:pPr>
        <w:pStyle w:val="ListParagraph"/>
        <w:numPr>
          <w:ilvl w:val="0"/>
          <w:numId w:val="1"/>
        </w:numPr>
        <w:spacing w:before="120" w:after="0"/>
        <w:jc w:val="both"/>
        <w:rPr>
          <w:rFonts w:cstheme="minorHAnsi"/>
        </w:rPr>
      </w:pPr>
      <w:r>
        <w:rPr>
          <w:rFonts w:cstheme="minorHAnsi"/>
        </w:rPr>
        <w:t>Qasje e barabartë në arsimin profesional dhe arsimin e lartë;</w:t>
      </w:r>
    </w:p>
    <w:p w:rsidR="000525A6" w:rsidRPr="00E97254" w:rsidRDefault="004E1F53" w:rsidP="000C0250">
      <w:pPr>
        <w:pStyle w:val="ListParagraph"/>
        <w:numPr>
          <w:ilvl w:val="0"/>
          <w:numId w:val="1"/>
        </w:numPr>
        <w:spacing w:after="0"/>
        <w:jc w:val="both"/>
        <w:rPr>
          <w:rFonts w:cstheme="minorHAnsi"/>
        </w:rPr>
      </w:pPr>
      <w:r>
        <w:rPr>
          <w:rFonts w:cstheme="minorHAnsi"/>
        </w:rPr>
        <w:t>Zhvillim i aftësive për punësim;</w:t>
      </w:r>
    </w:p>
    <w:p w:rsidR="000525A6" w:rsidRPr="00E97254" w:rsidRDefault="004E1F53" w:rsidP="000C0250">
      <w:pPr>
        <w:pStyle w:val="ListParagraph"/>
        <w:numPr>
          <w:ilvl w:val="0"/>
          <w:numId w:val="1"/>
        </w:numPr>
        <w:spacing w:before="120" w:after="0"/>
        <w:jc w:val="both"/>
        <w:rPr>
          <w:rFonts w:cstheme="minorHAnsi"/>
        </w:rPr>
      </w:pPr>
      <w:r>
        <w:rPr>
          <w:rFonts w:cstheme="minorHAnsi"/>
        </w:rPr>
        <w:lastRenderedPageBreak/>
        <w:t>Gjithëpërfshirj</w:t>
      </w:r>
      <w:r w:rsidR="00E04B29">
        <w:rPr>
          <w:rFonts w:cstheme="minorHAnsi"/>
        </w:rPr>
        <w:t>e</w:t>
      </w:r>
      <w:r w:rsidR="00E04B29" w:rsidRPr="00E97254">
        <w:rPr>
          <w:rFonts w:cstheme="minorHAnsi"/>
        </w:rPr>
        <w:t xml:space="preserve"> </w:t>
      </w:r>
      <w:r w:rsidR="000525A6" w:rsidRPr="00E97254">
        <w:rPr>
          <w:rFonts w:cstheme="minorHAnsi"/>
        </w:rPr>
        <w:t>dhe eliminim i disparitetit gjinor;</w:t>
      </w:r>
    </w:p>
    <w:p w:rsidR="000525A6" w:rsidRPr="00E97254" w:rsidRDefault="000525A6" w:rsidP="000C0250">
      <w:pPr>
        <w:pStyle w:val="ListParagraph"/>
        <w:numPr>
          <w:ilvl w:val="0"/>
          <w:numId w:val="1"/>
        </w:numPr>
        <w:spacing w:before="120" w:after="0"/>
        <w:jc w:val="both"/>
        <w:rPr>
          <w:rFonts w:cstheme="minorHAnsi"/>
        </w:rPr>
      </w:pPr>
      <w:r w:rsidRPr="00E97254">
        <w:rPr>
          <w:rFonts w:cstheme="minorHAnsi"/>
        </w:rPr>
        <w:t xml:space="preserve">Aftësim i të rinjve për lexim-shkrim dhe </w:t>
      </w:r>
      <w:r w:rsidRPr="00E97254">
        <w:rPr>
          <w:rFonts w:cs="Calibri"/>
        </w:rPr>
        <w:t>num</w:t>
      </w:r>
      <w:r w:rsidR="00780A67" w:rsidRPr="00E97254">
        <w:rPr>
          <w:rFonts w:cs="Calibri"/>
          <w:color w:val="222222"/>
        </w:rPr>
        <w:t>ërim</w:t>
      </w:r>
      <w:r w:rsidRPr="00E97254">
        <w:rPr>
          <w:rFonts w:cstheme="minorHAnsi"/>
        </w:rPr>
        <w:t>;</w:t>
      </w:r>
    </w:p>
    <w:p w:rsidR="000525A6" w:rsidRPr="00E97254" w:rsidRDefault="000525A6" w:rsidP="000C0250">
      <w:pPr>
        <w:pStyle w:val="ListParagraph"/>
        <w:numPr>
          <w:ilvl w:val="0"/>
          <w:numId w:val="1"/>
        </w:numPr>
        <w:spacing w:before="120" w:after="0"/>
        <w:jc w:val="both"/>
        <w:rPr>
          <w:rFonts w:cstheme="minorHAnsi"/>
        </w:rPr>
      </w:pPr>
      <w:r w:rsidRPr="00E97254">
        <w:rPr>
          <w:rFonts w:cstheme="minorHAnsi"/>
        </w:rPr>
        <w:t>Edukim për zhvillim të qëndrueshëm dhe qytetari globale.</w:t>
      </w:r>
    </w:p>
    <w:p w:rsidR="0067188E" w:rsidRPr="00E97254" w:rsidRDefault="0067188E" w:rsidP="000C0250">
      <w:pPr>
        <w:spacing w:after="0"/>
        <w:jc w:val="both"/>
        <w:rPr>
          <w:rFonts w:cstheme="minorHAnsi"/>
          <w:b/>
        </w:rPr>
      </w:pPr>
    </w:p>
    <w:p w:rsidR="000525A6" w:rsidRPr="00E97254" w:rsidRDefault="004E1F53" w:rsidP="000C0250">
      <w:pPr>
        <w:spacing w:after="0"/>
        <w:jc w:val="both"/>
        <w:rPr>
          <w:rFonts w:cstheme="minorHAnsi"/>
        </w:rPr>
      </w:pPr>
      <w:r>
        <w:rPr>
          <w:rFonts w:cstheme="minorHAnsi"/>
          <w:b/>
        </w:rPr>
        <w:t>Arsimi dhe Formimi 2020 (ET 2020)</w:t>
      </w:r>
      <w:r>
        <w:rPr>
          <w:rFonts w:cstheme="minorHAnsi"/>
        </w:rPr>
        <w:t xml:space="preserve"> është kornizë strategjike për bashkëpunim </w:t>
      </w:r>
      <w:r>
        <w:rPr>
          <w:rFonts w:cs="Calibri"/>
        </w:rPr>
        <w:t>midis</w:t>
      </w:r>
      <w:r>
        <w:rPr>
          <w:rFonts w:cstheme="minorHAnsi"/>
        </w:rPr>
        <w:t xml:space="preserve"> vendeve të Bashkimit </w:t>
      </w:r>
      <w:r>
        <w:rPr>
          <w:rFonts w:cs="Calibri"/>
        </w:rPr>
        <w:t>Evropian</w:t>
      </w:r>
      <w:r>
        <w:rPr>
          <w:rFonts w:cstheme="minorHAnsi"/>
        </w:rPr>
        <w:t xml:space="preserve"> në fushën e arsimit dhe të formimit </w:t>
      </w:r>
      <w:sdt>
        <w:sdtPr>
          <w:rPr>
            <w:rFonts w:cstheme="minorHAnsi"/>
          </w:rPr>
          <w:id w:val="-973979522"/>
          <w:citation/>
        </w:sdtPr>
        <w:sdtEndPr/>
        <w:sdtContent>
          <w:r w:rsidR="00EC56B7" w:rsidRPr="00E97254">
            <w:rPr>
              <w:rFonts w:cstheme="minorHAnsi"/>
            </w:rPr>
            <w:fldChar w:fldCharType="begin"/>
          </w:r>
          <w:r>
            <w:rPr>
              <w:rFonts w:cstheme="minorHAnsi"/>
            </w:rPr>
            <w:instrText xml:space="preserve"> CITATION Eur09 \l 1033 </w:instrText>
          </w:r>
          <w:r w:rsidR="00EC56B7" w:rsidRPr="00E97254">
            <w:rPr>
              <w:rFonts w:cstheme="minorHAnsi"/>
            </w:rPr>
            <w:fldChar w:fldCharType="separate"/>
          </w:r>
          <w:r w:rsidR="00724BCC" w:rsidRPr="00E97254">
            <w:rPr>
              <w:rFonts w:cstheme="minorHAnsi"/>
            </w:rPr>
            <w:t>[3]</w:t>
          </w:r>
          <w:r w:rsidR="00EC56B7" w:rsidRPr="00E97254">
            <w:rPr>
              <w:rFonts w:cstheme="minorHAnsi"/>
            </w:rPr>
            <w:fldChar w:fldCharType="end"/>
          </w:r>
        </w:sdtContent>
      </w:sdt>
      <w:r w:rsidR="000525A6" w:rsidRPr="00E97254">
        <w:rPr>
          <w:rFonts w:cstheme="minorHAnsi"/>
        </w:rPr>
        <w:t xml:space="preserve">. Me aprovimin e këtij dokumenti, vendet anëtare të Bashkimit </w:t>
      </w:r>
      <w:r w:rsidR="00780A67" w:rsidRPr="00E97254">
        <w:rPr>
          <w:rFonts w:cs="Calibri"/>
        </w:rPr>
        <w:t>Evropian kan</w:t>
      </w:r>
      <w:r w:rsidR="000525A6" w:rsidRPr="00E97254">
        <w:rPr>
          <w:rFonts w:cs="Calibri"/>
        </w:rPr>
        <w:t xml:space="preserve">ë </w:t>
      </w:r>
      <w:r w:rsidR="00780A67" w:rsidRPr="00E97254">
        <w:rPr>
          <w:rFonts w:cs="Calibri"/>
        </w:rPr>
        <w:t>r</w:t>
      </w:r>
      <w:r w:rsidR="00780A67" w:rsidRPr="00E97254">
        <w:rPr>
          <w:rFonts w:cs="Calibri"/>
          <w:color w:val="222222"/>
        </w:rPr>
        <w:t>ënë dakord</w:t>
      </w:r>
      <w:r w:rsidR="000525A6" w:rsidRPr="00E97254">
        <w:rPr>
          <w:rFonts w:cstheme="minorHAnsi"/>
        </w:rPr>
        <w:t xml:space="preserve"> të punojnë drejt arritjes së </w:t>
      </w:r>
      <w:r w:rsidR="00D9659E" w:rsidRPr="00E97254">
        <w:rPr>
          <w:rFonts w:cstheme="minorHAnsi"/>
          <w:szCs w:val="24"/>
        </w:rPr>
        <w:t>këtyre synimeve deri në vitin 2020</w:t>
      </w:r>
      <w:r w:rsidR="000525A6" w:rsidRPr="00E97254">
        <w:rPr>
          <w:rFonts w:cstheme="minorHAnsi"/>
        </w:rPr>
        <w:t>:</w:t>
      </w:r>
    </w:p>
    <w:p w:rsidR="000525A6" w:rsidRPr="00E97254" w:rsidRDefault="000525A6" w:rsidP="000C0250">
      <w:pPr>
        <w:numPr>
          <w:ilvl w:val="0"/>
          <w:numId w:val="3"/>
        </w:num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357" w:hanging="357"/>
        <w:jc w:val="both"/>
        <w:rPr>
          <w:rFonts w:eastAsia="Times New Roman" w:cstheme="minorHAnsi"/>
          <w:color w:val="222222"/>
        </w:rPr>
      </w:pPr>
      <w:r w:rsidRPr="00E97254">
        <w:rPr>
          <w:rFonts w:eastAsia="Times New Roman" w:cstheme="minorHAnsi"/>
          <w:color w:val="222222"/>
        </w:rPr>
        <w:t xml:space="preserve">Të paktën 95% e fëmijëve (nga mosha 4 vjeç deri në moshën e shkollimit të </w:t>
      </w:r>
      <w:r w:rsidR="001C2C60" w:rsidRPr="00E97254">
        <w:rPr>
          <w:rFonts w:eastAsia="Times New Roman" w:cs="Calibri"/>
          <w:color w:val="222222"/>
        </w:rPr>
        <w:t>detyruesh</w:t>
      </w:r>
      <w:r w:rsidR="001C2C60" w:rsidRPr="00E97254">
        <w:rPr>
          <w:rFonts w:cs="Calibri"/>
          <w:color w:val="222222"/>
        </w:rPr>
        <w:t>ëm</w:t>
      </w:r>
      <w:r w:rsidRPr="00E97254">
        <w:rPr>
          <w:rFonts w:eastAsia="Times New Roman" w:cstheme="minorHAnsi"/>
          <w:color w:val="222222"/>
        </w:rPr>
        <w:t xml:space="preserve">) </w:t>
      </w:r>
      <w:r w:rsidR="00E04B29">
        <w:rPr>
          <w:rFonts w:eastAsia="Times New Roman" w:cstheme="minorHAnsi"/>
          <w:color w:val="222222"/>
        </w:rPr>
        <w:t>t</w:t>
      </w:r>
      <w:r w:rsidR="00E04B29" w:rsidRPr="00E97254">
        <w:rPr>
          <w:rFonts w:eastAsia="Times New Roman" w:cstheme="minorHAnsi"/>
          <w:color w:val="222222"/>
        </w:rPr>
        <w:t>ë</w:t>
      </w:r>
      <w:r w:rsidR="00E04B29">
        <w:rPr>
          <w:rFonts w:eastAsia="Times New Roman" w:cstheme="minorHAnsi"/>
          <w:color w:val="222222"/>
        </w:rPr>
        <w:t xml:space="preserve"> </w:t>
      </w:r>
      <w:r w:rsidRPr="00E97254">
        <w:rPr>
          <w:rFonts w:eastAsia="Times New Roman" w:cstheme="minorHAnsi"/>
          <w:color w:val="222222"/>
        </w:rPr>
        <w:t>përfshihen në edukimin në fëmijërinë e hershme;</w:t>
      </w:r>
    </w:p>
    <w:p w:rsidR="000525A6" w:rsidRPr="00E97254" w:rsidRDefault="000525A6" w:rsidP="000C0250">
      <w:pPr>
        <w:numPr>
          <w:ilvl w:val="0"/>
          <w:numId w:val="3"/>
        </w:num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0"/>
        <w:ind w:left="357" w:hanging="357"/>
        <w:jc w:val="both"/>
        <w:rPr>
          <w:rFonts w:eastAsia="Times New Roman" w:cstheme="minorHAnsi"/>
          <w:color w:val="222222"/>
        </w:rPr>
      </w:pPr>
      <w:r w:rsidRPr="00E97254">
        <w:rPr>
          <w:rFonts w:eastAsia="Times New Roman" w:cstheme="minorHAnsi"/>
          <w:color w:val="222222"/>
        </w:rPr>
        <w:t xml:space="preserve">Më pak se 15% e 15 vjeçarëve </w:t>
      </w:r>
      <w:r w:rsidR="00E04B29">
        <w:rPr>
          <w:rFonts w:eastAsia="Times New Roman" w:cstheme="minorHAnsi"/>
          <w:color w:val="222222"/>
        </w:rPr>
        <w:t>t</w:t>
      </w:r>
      <w:r w:rsidR="00E04B29" w:rsidRPr="00E97254">
        <w:rPr>
          <w:rFonts w:eastAsia="Times New Roman" w:cstheme="minorHAnsi"/>
          <w:color w:val="222222"/>
        </w:rPr>
        <w:t>ë</w:t>
      </w:r>
      <w:r w:rsidR="00E04B29">
        <w:rPr>
          <w:rFonts w:eastAsia="Times New Roman" w:cstheme="minorHAnsi"/>
          <w:color w:val="222222"/>
        </w:rPr>
        <w:t xml:space="preserve"> </w:t>
      </w:r>
      <w:r w:rsidR="00E04B29" w:rsidRPr="00E97254">
        <w:rPr>
          <w:rFonts w:eastAsia="Times New Roman" w:cstheme="minorHAnsi"/>
          <w:color w:val="222222"/>
          <w:szCs w:val="24"/>
        </w:rPr>
        <w:t>j</w:t>
      </w:r>
      <w:r w:rsidR="00E04B29">
        <w:rPr>
          <w:rFonts w:eastAsia="Times New Roman" w:cstheme="minorHAnsi"/>
          <w:color w:val="222222"/>
          <w:szCs w:val="24"/>
        </w:rPr>
        <w:t>e</w:t>
      </w:r>
      <w:r w:rsidR="00E04B29" w:rsidRPr="00E97254">
        <w:rPr>
          <w:rFonts w:eastAsia="Times New Roman" w:cstheme="minorHAnsi"/>
          <w:color w:val="222222"/>
          <w:szCs w:val="24"/>
        </w:rPr>
        <w:t xml:space="preserve">në </w:t>
      </w:r>
      <w:r w:rsidR="00B41FE5" w:rsidRPr="00E97254">
        <w:rPr>
          <w:rFonts w:eastAsia="Times New Roman" w:cstheme="minorHAnsi"/>
          <w:color w:val="222222"/>
          <w:szCs w:val="24"/>
        </w:rPr>
        <w:t xml:space="preserve">të nën-kualifikuar në lexim, </w:t>
      </w:r>
      <w:r w:rsidRPr="00E97254">
        <w:rPr>
          <w:rFonts w:eastAsia="Times New Roman" w:cstheme="minorHAnsi"/>
          <w:color w:val="222222"/>
          <w:sz w:val="20"/>
        </w:rPr>
        <w:t xml:space="preserve"> </w:t>
      </w:r>
      <w:r w:rsidRPr="00E97254">
        <w:rPr>
          <w:rFonts w:eastAsia="Times New Roman" w:cstheme="minorHAnsi"/>
          <w:color w:val="222222"/>
        </w:rPr>
        <w:t>matematikë dhe shkencë;</w:t>
      </w:r>
    </w:p>
    <w:p w:rsidR="000525A6" w:rsidRPr="00E97254" w:rsidRDefault="000525A6" w:rsidP="000C0250">
      <w:pPr>
        <w:numPr>
          <w:ilvl w:val="0"/>
          <w:numId w:val="3"/>
        </w:num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0"/>
        <w:ind w:left="357" w:hanging="357"/>
        <w:jc w:val="both"/>
        <w:rPr>
          <w:rFonts w:eastAsia="Times New Roman" w:cstheme="minorHAnsi"/>
          <w:color w:val="222222"/>
        </w:rPr>
      </w:pPr>
      <w:r w:rsidRPr="00E97254">
        <w:rPr>
          <w:rFonts w:eastAsia="Times New Roman" w:cstheme="minorHAnsi"/>
          <w:color w:val="222222"/>
        </w:rPr>
        <w:t xml:space="preserve">Shkalla e personave të moshës 18-24 vjeç që braktisin arsimin dhe </w:t>
      </w:r>
      <w:r w:rsidR="00ED3FCC" w:rsidRPr="00E97254">
        <w:rPr>
          <w:rFonts w:eastAsia="Times New Roman" w:cs="Calibri"/>
          <w:color w:val="222222"/>
        </w:rPr>
        <w:t>formimin</w:t>
      </w:r>
      <w:r w:rsidRPr="00E97254">
        <w:rPr>
          <w:rFonts w:eastAsia="Times New Roman" w:cstheme="minorHAnsi"/>
          <w:color w:val="222222"/>
        </w:rPr>
        <w:t xml:space="preserve">, në fazë të hershme, </w:t>
      </w:r>
      <w:r w:rsidR="00E04B29">
        <w:rPr>
          <w:rFonts w:eastAsia="Times New Roman" w:cstheme="minorHAnsi"/>
          <w:color w:val="222222"/>
        </w:rPr>
        <w:t>t</w:t>
      </w:r>
      <w:r w:rsidR="00E04B29" w:rsidRPr="00E97254">
        <w:rPr>
          <w:rFonts w:eastAsia="Times New Roman" w:cstheme="minorHAnsi"/>
          <w:color w:val="222222"/>
        </w:rPr>
        <w:t>ë</w:t>
      </w:r>
      <w:r w:rsidR="00E04B29">
        <w:rPr>
          <w:rFonts w:eastAsia="Times New Roman" w:cstheme="minorHAnsi"/>
          <w:color w:val="222222"/>
        </w:rPr>
        <w:t xml:space="preserve"> jet</w:t>
      </w:r>
      <w:r w:rsidR="00E04B29" w:rsidRPr="00E97254">
        <w:rPr>
          <w:rFonts w:eastAsia="Times New Roman" w:cstheme="minorHAnsi"/>
          <w:color w:val="222222"/>
        </w:rPr>
        <w:t xml:space="preserve">ë </w:t>
      </w:r>
      <w:r w:rsidRPr="00E97254">
        <w:rPr>
          <w:rFonts w:eastAsia="Times New Roman" w:cstheme="minorHAnsi"/>
          <w:color w:val="222222"/>
        </w:rPr>
        <w:t>nën 10%;</w:t>
      </w:r>
      <w:r w:rsidR="00E04B29">
        <w:rPr>
          <w:rFonts w:eastAsia="Times New Roman" w:cstheme="minorHAnsi"/>
          <w:color w:val="222222"/>
        </w:rPr>
        <w:t xml:space="preserve"> </w:t>
      </w:r>
    </w:p>
    <w:p w:rsidR="00814EBF" w:rsidRPr="00E97254" w:rsidRDefault="000525A6" w:rsidP="000C0250">
      <w:pPr>
        <w:numPr>
          <w:ilvl w:val="0"/>
          <w:numId w:val="3"/>
        </w:num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0"/>
        <w:ind w:left="357" w:hanging="357"/>
        <w:jc w:val="both"/>
        <w:rPr>
          <w:rFonts w:eastAsia="Times New Roman" w:cstheme="minorHAnsi"/>
          <w:color w:val="222222"/>
        </w:rPr>
      </w:pPr>
      <w:r w:rsidRPr="00E97254">
        <w:rPr>
          <w:rFonts w:eastAsia="Times New Roman" w:cstheme="minorHAnsi"/>
          <w:color w:val="222222"/>
        </w:rPr>
        <w:t xml:space="preserve">Të paktën 15% e të rriturve </w:t>
      </w:r>
      <w:r w:rsidR="00E04B29">
        <w:rPr>
          <w:rFonts w:eastAsia="Times New Roman" w:cstheme="minorHAnsi"/>
          <w:color w:val="222222"/>
        </w:rPr>
        <w:t>t</w:t>
      </w:r>
      <w:r w:rsidR="00E04B29" w:rsidRPr="00E97254">
        <w:rPr>
          <w:rFonts w:eastAsia="Times New Roman" w:cstheme="minorHAnsi"/>
          <w:color w:val="222222"/>
        </w:rPr>
        <w:t>ë</w:t>
      </w:r>
      <w:r w:rsidR="00E04B29">
        <w:rPr>
          <w:rFonts w:eastAsia="Times New Roman" w:cstheme="minorHAnsi"/>
          <w:color w:val="222222"/>
        </w:rPr>
        <w:t xml:space="preserve"> </w:t>
      </w:r>
      <w:r w:rsidRPr="00E97254">
        <w:rPr>
          <w:rFonts w:eastAsia="Times New Roman" w:cstheme="minorHAnsi"/>
          <w:color w:val="222222"/>
        </w:rPr>
        <w:t xml:space="preserve">marrin pjesë në të </w:t>
      </w:r>
      <w:r w:rsidR="00E04B29">
        <w:rPr>
          <w:rFonts w:eastAsia="Times New Roman" w:cstheme="minorHAnsi"/>
          <w:color w:val="222222"/>
        </w:rPr>
        <w:t>m</w:t>
      </w:r>
      <w:r w:rsidR="00E04B29" w:rsidRPr="00E97254">
        <w:rPr>
          <w:rFonts w:eastAsia="Times New Roman" w:cstheme="minorHAnsi"/>
          <w:color w:val="222222"/>
        </w:rPr>
        <w:t>ë</w:t>
      </w:r>
      <w:r w:rsidR="00E04B29">
        <w:rPr>
          <w:rFonts w:eastAsia="Times New Roman" w:cstheme="minorHAnsi"/>
          <w:color w:val="222222"/>
        </w:rPr>
        <w:t>suarit</w:t>
      </w:r>
      <w:r w:rsidR="00E04B29" w:rsidRPr="00E97254">
        <w:rPr>
          <w:rFonts w:eastAsia="Times New Roman" w:cstheme="minorHAnsi"/>
          <w:color w:val="222222"/>
        </w:rPr>
        <w:t xml:space="preserve"> </w:t>
      </w:r>
      <w:r w:rsidRPr="00E97254">
        <w:rPr>
          <w:rFonts w:eastAsia="Times New Roman" w:cstheme="minorHAnsi"/>
          <w:color w:val="222222"/>
        </w:rPr>
        <w:t>gjatë gjithë jetës.</w:t>
      </w:r>
    </w:p>
    <w:p w:rsidR="00EC56ED" w:rsidRPr="00E97254" w:rsidRDefault="00EC56ED" w:rsidP="000C0250">
      <w:pPr>
        <w:numPr>
          <w:ilvl w:val="0"/>
          <w:numId w:val="3"/>
        </w:num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0"/>
        <w:ind w:left="357" w:hanging="357"/>
        <w:jc w:val="both"/>
        <w:rPr>
          <w:rFonts w:eastAsia="Times New Roman" w:cstheme="minorHAnsi"/>
          <w:color w:val="222222"/>
        </w:rPr>
      </w:pPr>
      <w:r w:rsidRPr="00E97254">
        <w:rPr>
          <w:rFonts w:eastAsia="Times New Roman" w:cstheme="minorHAnsi"/>
          <w:color w:val="222222"/>
        </w:rPr>
        <w:t xml:space="preserve">Të paktën 40% e grupmoshës 30-34 </w:t>
      </w:r>
      <w:r w:rsidR="00E04B29">
        <w:rPr>
          <w:rFonts w:eastAsia="Times New Roman" w:cstheme="minorHAnsi"/>
          <w:color w:val="222222"/>
        </w:rPr>
        <w:t>t</w:t>
      </w:r>
      <w:r w:rsidR="00E04B29" w:rsidRPr="00E97254">
        <w:rPr>
          <w:rFonts w:eastAsia="Times New Roman" w:cstheme="minorHAnsi"/>
          <w:color w:val="222222"/>
        </w:rPr>
        <w:t>ë</w:t>
      </w:r>
      <w:r w:rsidR="00E04B29">
        <w:rPr>
          <w:rFonts w:eastAsia="Times New Roman" w:cstheme="minorHAnsi"/>
          <w:color w:val="222222"/>
        </w:rPr>
        <w:t xml:space="preserve"> </w:t>
      </w:r>
      <w:r w:rsidR="00E04B29" w:rsidRPr="00E97254">
        <w:rPr>
          <w:rFonts w:eastAsia="Times New Roman" w:cstheme="minorHAnsi"/>
          <w:color w:val="222222"/>
        </w:rPr>
        <w:t>k</w:t>
      </w:r>
      <w:r w:rsidR="00E04B29">
        <w:rPr>
          <w:rFonts w:eastAsia="Times New Roman" w:cstheme="minorHAnsi"/>
          <w:color w:val="222222"/>
        </w:rPr>
        <w:t>e</w:t>
      </w:r>
      <w:r w:rsidR="00E04B29" w:rsidRPr="00E97254">
        <w:rPr>
          <w:rFonts w:eastAsia="Times New Roman" w:cstheme="minorHAnsi"/>
          <w:color w:val="222222"/>
        </w:rPr>
        <w:t xml:space="preserve">në </w:t>
      </w:r>
      <w:r w:rsidRPr="00E97254">
        <w:rPr>
          <w:rFonts w:eastAsia="Times New Roman" w:cstheme="minorHAnsi"/>
          <w:color w:val="222222"/>
        </w:rPr>
        <w:t>kualifikim të lartë.</w:t>
      </w:r>
    </w:p>
    <w:p w:rsidR="004E0EF2" w:rsidRPr="00E97254" w:rsidRDefault="004E0EF2" w:rsidP="000C0250">
      <w:pPr>
        <w:spacing w:after="0"/>
        <w:jc w:val="both"/>
        <w:rPr>
          <w:rFonts w:cstheme="minorHAnsi"/>
          <w:b/>
        </w:rPr>
      </w:pPr>
    </w:p>
    <w:p w:rsidR="004651ED" w:rsidRPr="00E97254" w:rsidRDefault="004E1F53" w:rsidP="000C0250">
      <w:pPr>
        <w:spacing w:after="0"/>
        <w:jc w:val="both"/>
        <w:rPr>
          <w:rFonts w:cstheme="minorHAnsi"/>
        </w:rPr>
      </w:pPr>
      <w:r>
        <w:rPr>
          <w:rFonts w:cstheme="minorHAnsi"/>
          <w:b/>
        </w:rPr>
        <w:t>Kuadri për kompetencat kyç për të m</w:t>
      </w:r>
      <w:r w:rsidR="00FA5606" w:rsidRPr="00FA5606">
        <w:rPr>
          <w:rFonts w:eastAsia="Times New Roman" w:cstheme="minorHAnsi"/>
          <w:b/>
          <w:color w:val="222222"/>
        </w:rPr>
        <w:t>ësuarit</w:t>
      </w:r>
      <w:r w:rsidR="00E04B29" w:rsidRPr="00E97254">
        <w:rPr>
          <w:rFonts w:cstheme="minorHAnsi"/>
          <w:b/>
        </w:rPr>
        <w:t xml:space="preserve"> </w:t>
      </w:r>
      <w:r w:rsidR="004651ED" w:rsidRPr="00E97254">
        <w:rPr>
          <w:rFonts w:cstheme="minorHAnsi"/>
          <w:b/>
        </w:rPr>
        <w:t>gjatë gjithë jetës</w:t>
      </w:r>
      <w:r w:rsidR="004651ED" w:rsidRPr="00E97254">
        <w:rPr>
          <w:rFonts w:cstheme="minorHAnsi"/>
        </w:rPr>
        <w:t xml:space="preserve">.– Në majin e vitit 2018, Bashkimi </w:t>
      </w:r>
      <w:r w:rsidR="00780A67" w:rsidRPr="00E97254">
        <w:rPr>
          <w:rFonts w:cs="Calibri"/>
        </w:rPr>
        <w:t>Ev</w:t>
      </w:r>
      <w:r w:rsidR="004651ED" w:rsidRPr="00E97254">
        <w:rPr>
          <w:rFonts w:cs="Calibri"/>
        </w:rPr>
        <w:t>ropian</w:t>
      </w:r>
      <w:r w:rsidR="004651ED" w:rsidRPr="00E97254">
        <w:rPr>
          <w:rFonts w:cstheme="minorHAnsi"/>
        </w:rPr>
        <w:t xml:space="preserve"> ka adoptuar Kuadrin e ri për kompetencat kyç</w:t>
      </w:r>
      <w:r w:rsidR="002B257B" w:rsidRPr="00E97254">
        <w:rPr>
          <w:rFonts w:cstheme="minorHAnsi"/>
        </w:rPr>
        <w:t xml:space="preserve"> </w:t>
      </w:r>
      <w:r w:rsidR="004651ED" w:rsidRPr="00E97254">
        <w:rPr>
          <w:rFonts w:cstheme="minorHAnsi"/>
        </w:rPr>
        <w:t xml:space="preserve">për të </w:t>
      </w:r>
      <w:r w:rsidR="00E04B29">
        <w:rPr>
          <w:rFonts w:cstheme="minorHAnsi"/>
        </w:rPr>
        <w:t>m</w:t>
      </w:r>
      <w:r w:rsidR="00E04B29" w:rsidRPr="00E97254">
        <w:rPr>
          <w:rFonts w:eastAsia="Times New Roman" w:cstheme="minorHAnsi"/>
          <w:color w:val="222222"/>
        </w:rPr>
        <w:t>ë</w:t>
      </w:r>
      <w:r w:rsidR="00E04B29">
        <w:rPr>
          <w:rFonts w:eastAsia="Times New Roman" w:cstheme="minorHAnsi"/>
          <w:color w:val="222222"/>
        </w:rPr>
        <w:t>suarit</w:t>
      </w:r>
      <w:r w:rsidR="00E04B29" w:rsidRPr="00E97254">
        <w:rPr>
          <w:rFonts w:cstheme="minorHAnsi"/>
        </w:rPr>
        <w:t xml:space="preserve"> </w:t>
      </w:r>
      <w:r w:rsidR="004651ED" w:rsidRPr="00E97254">
        <w:rPr>
          <w:rFonts w:cstheme="minorHAnsi"/>
        </w:rPr>
        <w:t xml:space="preserve">gjatë gjithë jetës </w:t>
      </w:r>
      <w:sdt>
        <w:sdtPr>
          <w:rPr>
            <w:rFonts w:cstheme="minorHAnsi"/>
          </w:rPr>
          <w:id w:val="-1756824564"/>
          <w:citation/>
        </w:sdtPr>
        <w:sdtEndPr/>
        <w:sdtContent>
          <w:r w:rsidR="00EC56B7" w:rsidRPr="00E97254">
            <w:rPr>
              <w:rFonts w:cstheme="minorHAnsi"/>
            </w:rPr>
            <w:fldChar w:fldCharType="begin"/>
          </w:r>
          <w:r>
            <w:rPr>
              <w:rFonts w:cstheme="minorHAnsi"/>
            </w:rPr>
            <w:instrText xml:space="preserve"> CITATION Eur181 \l 1033 </w:instrText>
          </w:r>
          <w:r w:rsidR="00EC56B7" w:rsidRPr="00E97254">
            <w:rPr>
              <w:rFonts w:cstheme="minorHAnsi"/>
            </w:rPr>
            <w:fldChar w:fldCharType="separate"/>
          </w:r>
          <w:r w:rsidR="00724BCC" w:rsidRPr="00E97254">
            <w:rPr>
              <w:rFonts w:cstheme="minorHAnsi"/>
            </w:rPr>
            <w:t>[4]</w:t>
          </w:r>
          <w:r w:rsidR="00EC56B7" w:rsidRPr="00E97254">
            <w:rPr>
              <w:rFonts w:cstheme="minorHAnsi"/>
            </w:rPr>
            <w:fldChar w:fldCharType="end"/>
          </w:r>
        </w:sdtContent>
      </w:sdt>
      <w:r w:rsidR="004651ED" w:rsidRPr="00E97254">
        <w:rPr>
          <w:rFonts w:cstheme="minorHAnsi"/>
        </w:rPr>
        <w:t xml:space="preserve">, me të cilin zëvendësohet Kuadri i vitit 2006. Tetë kompetencat kyç </w:t>
      </w:r>
      <w:r w:rsidR="00726B04" w:rsidRPr="00E97254">
        <w:rPr>
          <w:rFonts w:cstheme="minorHAnsi"/>
        </w:rPr>
        <w:t xml:space="preserve">të </w:t>
      </w:r>
      <w:r w:rsidR="004651ED" w:rsidRPr="00E97254">
        <w:rPr>
          <w:rFonts w:cstheme="minorHAnsi"/>
        </w:rPr>
        <w:t>Kuadrit të ri janë</w:t>
      </w:r>
      <w:r w:rsidR="00726B04" w:rsidRPr="00E97254">
        <w:rPr>
          <w:rFonts w:cstheme="minorHAnsi"/>
        </w:rPr>
        <w:t xml:space="preserve"> përfshirë në shtatë kompetencat themelore të Kornizës Kurrikulare të Arsimit Parauniversitar </w:t>
      </w:r>
      <w:sdt>
        <w:sdtPr>
          <w:rPr>
            <w:rFonts w:cstheme="minorHAnsi"/>
          </w:rPr>
          <w:id w:val="-893041338"/>
          <w:citation/>
        </w:sdtPr>
        <w:sdtEndPr/>
        <w:sdtContent>
          <w:r w:rsidR="00EC56B7" w:rsidRPr="00E97254">
            <w:rPr>
              <w:rFonts w:cstheme="minorHAnsi"/>
            </w:rPr>
            <w:fldChar w:fldCharType="begin"/>
          </w:r>
          <w:r>
            <w:rPr>
              <w:rFonts w:cstheme="minorHAnsi"/>
            </w:rPr>
            <w:instrText xml:space="preserve"> CITATION MAS14 \l 1033 </w:instrText>
          </w:r>
          <w:r w:rsidR="00EC56B7" w:rsidRPr="00E97254">
            <w:rPr>
              <w:rFonts w:cstheme="minorHAnsi"/>
            </w:rPr>
            <w:fldChar w:fldCharType="separate"/>
          </w:r>
          <w:r w:rsidR="00724BCC" w:rsidRPr="00E97254">
            <w:rPr>
              <w:rFonts w:cstheme="minorHAnsi"/>
            </w:rPr>
            <w:t>[11]</w:t>
          </w:r>
          <w:r w:rsidR="00EC56B7" w:rsidRPr="00E97254">
            <w:rPr>
              <w:rFonts w:cstheme="minorHAnsi"/>
            </w:rPr>
            <w:fldChar w:fldCharType="end"/>
          </w:r>
        </w:sdtContent>
      </w:sdt>
      <w:r w:rsidR="00E10045" w:rsidRPr="00E97254">
        <w:rPr>
          <w:rFonts w:cstheme="minorHAnsi"/>
        </w:rPr>
        <w:t>: a) kompetenca e komunikimit dhe e të shprehurit; b) kompetenca e të menduarit; c) kompetenca e të mësuarit për të nxënë; ç) kompetenca për jetën, sipërmarrjen dhe mjedisin; d) kompetenca personale; dh) kompetenca qytetare; e) kompetenca digjitale.</w:t>
      </w:r>
    </w:p>
    <w:p w:rsidR="00726B04" w:rsidRPr="00E97254" w:rsidRDefault="00726B04" w:rsidP="000C0250">
      <w:pPr>
        <w:spacing w:after="0"/>
        <w:rPr>
          <w:rFonts w:cstheme="minorHAnsi"/>
          <w:b/>
          <w:sz w:val="24"/>
          <w:szCs w:val="24"/>
        </w:rPr>
      </w:pPr>
    </w:p>
    <w:p w:rsidR="00BA72D1" w:rsidRPr="00E97254" w:rsidRDefault="004E1F53" w:rsidP="000C0250">
      <w:pPr>
        <w:spacing w:after="0"/>
        <w:jc w:val="both"/>
        <w:rPr>
          <w:rFonts w:cstheme="minorHAnsi"/>
        </w:rPr>
      </w:pPr>
      <w:r>
        <w:rPr>
          <w:rFonts w:cstheme="minorHAnsi"/>
          <w:b/>
        </w:rPr>
        <w:t xml:space="preserve">Agjenda Kombëtare për të Drejtat e Fëmijëve 2017-2020 </w:t>
      </w:r>
      <w:r>
        <w:rPr>
          <w:rFonts w:cstheme="minorHAnsi"/>
        </w:rPr>
        <w:t xml:space="preserve">është strategji ndërsektoriale që synon mbrojtjen dhe promovimin efektiv të të drejtave të fëmijëve në Republikën e Shqipërisë </w:t>
      </w:r>
      <w:sdt>
        <w:sdtPr>
          <w:rPr>
            <w:rFonts w:cstheme="minorHAnsi"/>
          </w:rPr>
          <w:id w:val="-1405674884"/>
          <w:citation/>
        </w:sdtPr>
        <w:sdtEndPr/>
        <w:sdtContent>
          <w:r w:rsidR="00EC56B7" w:rsidRPr="00E97254">
            <w:rPr>
              <w:rFonts w:cstheme="minorHAnsi"/>
            </w:rPr>
            <w:fldChar w:fldCharType="begin"/>
          </w:r>
          <w:r>
            <w:rPr>
              <w:rFonts w:cstheme="minorHAnsi"/>
            </w:rPr>
            <w:instrText xml:space="preserve">CITATION Kës17 \l 1033 </w:instrText>
          </w:r>
          <w:r w:rsidR="00EC56B7" w:rsidRPr="00E97254">
            <w:rPr>
              <w:rFonts w:cstheme="minorHAnsi"/>
            </w:rPr>
            <w:fldChar w:fldCharType="separate"/>
          </w:r>
          <w:r w:rsidR="00724BCC" w:rsidRPr="00E97254">
            <w:rPr>
              <w:rFonts w:cstheme="minorHAnsi"/>
            </w:rPr>
            <w:t>[12]</w:t>
          </w:r>
          <w:r w:rsidR="00EC56B7" w:rsidRPr="00E97254">
            <w:rPr>
              <w:rFonts w:cstheme="minorHAnsi"/>
            </w:rPr>
            <w:fldChar w:fldCharType="end"/>
          </w:r>
        </w:sdtContent>
      </w:sdt>
      <w:r w:rsidR="00BA72D1" w:rsidRPr="00E97254">
        <w:rPr>
          <w:rFonts w:cstheme="minorHAnsi"/>
        </w:rPr>
        <w:t>. Në kuadër të fushës strategjike 3 -</w:t>
      </w:r>
      <w:r w:rsidR="002B257B" w:rsidRPr="00E97254">
        <w:rPr>
          <w:rFonts w:cstheme="minorHAnsi"/>
        </w:rPr>
        <w:t xml:space="preserve"> </w:t>
      </w:r>
      <w:r w:rsidR="00BA72D1" w:rsidRPr="00E97254">
        <w:rPr>
          <w:rFonts w:cstheme="minorHAnsi"/>
        </w:rPr>
        <w:t>“Sisteme dhe shërbime miqësore ndaj fëmijëve dhe adoleshentëve/</w:t>
      </w:r>
      <w:r w:rsidR="00AF3D14" w:rsidRPr="00E97254">
        <w:rPr>
          <w:rFonts w:cstheme="minorHAnsi"/>
        </w:rPr>
        <w:t xml:space="preserve">fusha </w:t>
      </w:r>
      <w:r w:rsidR="00BA72D1" w:rsidRPr="00E97254">
        <w:rPr>
          <w:rFonts w:cstheme="minorHAnsi"/>
        </w:rPr>
        <w:t>e zhvillimit dhe arsimit” – prezantohen këto katër objektiva:</w:t>
      </w:r>
    </w:p>
    <w:p w:rsidR="00BA72D1" w:rsidRPr="00E97254" w:rsidRDefault="004E1F53" w:rsidP="000C0250">
      <w:pPr>
        <w:pStyle w:val="ListParagraph"/>
        <w:numPr>
          <w:ilvl w:val="0"/>
          <w:numId w:val="6"/>
        </w:numPr>
        <w:spacing w:after="0"/>
        <w:jc w:val="both"/>
        <w:rPr>
          <w:rFonts w:cstheme="minorHAnsi"/>
        </w:rPr>
      </w:pPr>
      <w:r>
        <w:rPr>
          <w:rFonts w:cstheme="minorHAnsi"/>
        </w:rPr>
        <w:t>Përmirësimi i aksesit dhe cilësisë së kujdesit dhe edukimit në fëmijërinë e hershme (0 – 6 vjeç);</w:t>
      </w:r>
    </w:p>
    <w:p w:rsidR="00BA72D1" w:rsidRPr="00E97254" w:rsidRDefault="004E1F53" w:rsidP="000C0250">
      <w:pPr>
        <w:pStyle w:val="ListParagraph"/>
        <w:numPr>
          <w:ilvl w:val="0"/>
          <w:numId w:val="6"/>
        </w:numPr>
        <w:spacing w:after="0"/>
        <w:jc w:val="both"/>
        <w:rPr>
          <w:rFonts w:cstheme="minorHAnsi"/>
        </w:rPr>
      </w:pPr>
      <w:r>
        <w:rPr>
          <w:rFonts w:cstheme="minorHAnsi"/>
        </w:rPr>
        <w:t>Përmirësimi i cilësisë dhe aksesit në arsim për fëmijët në arsimin bazë;</w:t>
      </w:r>
    </w:p>
    <w:p w:rsidR="00BA72D1" w:rsidRPr="00E97254" w:rsidRDefault="004E1F53" w:rsidP="000C0250">
      <w:pPr>
        <w:pStyle w:val="ListParagraph"/>
        <w:numPr>
          <w:ilvl w:val="0"/>
          <w:numId w:val="6"/>
        </w:numPr>
        <w:spacing w:after="0"/>
        <w:jc w:val="both"/>
        <w:rPr>
          <w:rFonts w:cstheme="minorHAnsi"/>
        </w:rPr>
      </w:pPr>
      <w:r>
        <w:rPr>
          <w:rFonts w:cstheme="minorHAnsi"/>
        </w:rPr>
        <w:t>Përmirësimi i mekanizmave për mjedise gjithëpërfshirëse në arsimin parauniversitar;</w:t>
      </w:r>
    </w:p>
    <w:p w:rsidR="00BA72D1" w:rsidRPr="00E97254" w:rsidRDefault="004E1F53" w:rsidP="000C0250">
      <w:pPr>
        <w:pStyle w:val="ListParagraph"/>
        <w:numPr>
          <w:ilvl w:val="0"/>
          <w:numId w:val="6"/>
        </w:numPr>
        <w:spacing w:after="0"/>
        <w:jc w:val="both"/>
        <w:rPr>
          <w:rFonts w:cstheme="minorHAnsi"/>
        </w:rPr>
      </w:pPr>
      <w:r>
        <w:rPr>
          <w:rFonts w:cstheme="minorHAnsi"/>
        </w:rPr>
        <w:t xml:space="preserve">Përmirësimi i proceseve demokratike në shkolla. </w:t>
      </w:r>
    </w:p>
    <w:p w:rsidR="00BA72D1" w:rsidRPr="00E97254" w:rsidRDefault="00BA72D1" w:rsidP="000C0250">
      <w:pPr>
        <w:spacing w:after="0"/>
        <w:jc w:val="both"/>
        <w:rPr>
          <w:rFonts w:cstheme="minorHAnsi"/>
        </w:rPr>
      </w:pPr>
    </w:p>
    <w:p w:rsidR="00BA72D1" w:rsidRPr="00E97254" w:rsidRDefault="004E1F53" w:rsidP="000C0250">
      <w:pPr>
        <w:spacing w:after="0"/>
        <w:jc w:val="both"/>
        <w:rPr>
          <w:rFonts w:cstheme="minorHAnsi"/>
        </w:rPr>
      </w:pPr>
      <w:r>
        <w:rPr>
          <w:rFonts w:cstheme="minorHAnsi"/>
          <w:b/>
        </w:rPr>
        <w:t>Plani Kombëtar i Veprimit për Personat me Aftësi të Kufizuara 2016-</w:t>
      </w:r>
      <w:r>
        <w:rPr>
          <w:b/>
        </w:rPr>
        <w:t xml:space="preserve">2020 </w:t>
      </w:r>
      <w:r>
        <w:t xml:space="preserve">ka </w:t>
      </w:r>
      <w:r>
        <w:rPr>
          <w:rFonts w:cstheme="minorHAnsi"/>
        </w:rPr>
        <w:t xml:space="preserve">për qëllim të nxisë përfshirjen e personave me aftësi të kufizuara në shoqërinë shqiptare, të parandalojë diskriminimin dhe të eliminojë pengesat për të pasur akses në shërbimet publike dhe realizimin e të drejtave të tyre </w:t>
      </w:r>
      <w:sdt>
        <w:sdtPr>
          <w:rPr>
            <w:rFonts w:cstheme="minorHAnsi"/>
          </w:rPr>
          <w:id w:val="285851729"/>
          <w:citation/>
        </w:sdtPr>
        <w:sdtEndPr/>
        <w:sdtContent>
          <w:r w:rsidR="00EC56B7" w:rsidRPr="00E97254">
            <w:rPr>
              <w:rFonts w:cstheme="minorHAnsi"/>
            </w:rPr>
            <w:fldChar w:fldCharType="begin"/>
          </w:r>
          <w:r>
            <w:rPr>
              <w:rFonts w:cstheme="minorHAnsi"/>
            </w:rPr>
            <w:instrText xml:space="preserve"> CITATION Kes16 \l 1033 </w:instrText>
          </w:r>
          <w:r w:rsidR="00EC56B7" w:rsidRPr="00E97254">
            <w:rPr>
              <w:rFonts w:cstheme="minorHAnsi"/>
            </w:rPr>
            <w:fldChar w:fldCharType="separate"/>
          </w:r>
          <w:r w:rsidR="00724BCC" w:rsidRPr="00E97254">
            <w:rPr>
              <w:rFonts w:cstheme="minorHAnsi"/>
            </w:rPr>
            <w:t>[13]</w:t>
          </w:r>
          <w:r w:rsidR="00EC56B7" w:rsidRPr="00E97254">
            <w:rPr>
              <w:rFonts w:cstheme="minorHAnsi"/>
            </w:rPr>
            <w:fldChar w:fldCharType="end"/>
          </w:r>
        </w:sdtContent>
      </w:sdt>
      <w:r w:rsidR="000502EA" w:rsidRPr="00E97254">
        <w:rPr>
          <w:rFonts w:cs="Calibri"/>
        </w:rPr>
        <w:t>.</w:t>
      </w:r>
      <w:r w:rsidR="00752531" w:rsidRPr="00E97254">
        <w:rPr>
          <w:rFonts w:cs="Calibri"/>
        </w:rPr>
        <w:t xml:space="preserve"> </w:t>
      </w:r>
      <w:sdt>
        <w:sdtPr>
          <w:rPr>
            <w:rFonts w:cstheme="minorHAnsi"/>
          </w:rPr>
          <w:id w:val="2077153537"/>
          <w:showingPlcHdr/>
          <w:citation/>
        </w:sdtPr>
        <w:sdtEndPr/>
        <w:sdtContent>
          <w:r w:rsidR="00F27C53" w:rsidRPr="00E97254">
            <w:rPr>
              <w:rFonts w:cstheme="minorHAnsi"/>
            </w:rPr>
            <w:t xml:space="preserve">     </w:t>
          </w:r>
        </w:sdtContent>
      </w:sdt>
      <w:r w:rsidR="000502EA" w:rsidRPr="00E97254">
        <w:rPr>
          <w:rFonts w:cstheme="minorHAnsi"/>
        </w:rPr>
        <w:t xml:space="preserve">Ky plan </w:t>
      </w:r>
      <w:r w:rsidR="00BA72D1" w:rsidRPr="00E97254">
        <w:rPr>
          <w:rFonts w:cstheme="minorHAnsi"/>
        </w:rPr>
        <w:t xml:space="preserve">sjell një qëllim strategjik për arsimimin e personave me aftësi të kufizuara (“Të sigurohet arsim cilësor dhe gjithëpërfshirës për të gjithë fëmijët me aftësi të kufizuara”), i cili zbërthehet në dy objektiva </w:t>
      </w:r>
      <w:r w:rsidR="00513AF3" w:rsidRPr="00E97254">
        <w:rPr>
          <w:rFonts w:cstheme="minorHAnsi"/>
        </w:rPr>
        <w:t>strategjik</w:t>
      </w:r>
      <w:r w:rsidR="00513AF3">
        <w:rPr>
          <w:rFonts w:cstheme="minorHAnsi"/>
        </w:rPr>
        <w:t>e</w:t>
      </w:r>
      <w:r w:rsidR="00BA72D1" w:rsidRPr="00E97254">
        <w:rPr>
          <w:rFonts w:cstheme="minorHAnsi"/>
        </w:rPr>
        <w:t>:</w:t>
      </w:r>
    </w:p>
    <w:p w:rsidR="00BA72D1" w:rsidRPr="00E97254" w:rsidRDefault="00BA72D1" w:rsidP="000C0250">
      <w:pPr>
        <w:pStyle w:val="ListParagraph"/>
        <w:numPr>
          <w:ilvl w:val="0"/>
          <w:numId w:val="8"/>
        </w:numPr>
        <w:spacing w:before="120" w:after="0"/>
        <w:ind w:left="357" w:hanging="357"/>
        <w:contextualSpacing w:val="0"/>
        <w:jc w:val="both"/>
        <w:rPr>
          <w:rFonts w:cstheme="minorHAnsi"/>
        </w:rPr>
      </w:pPr>
      <w:r w:rsidRPr="00E97254">
        <w:rPr>
          <w:rFonts w:cstheme="minorHAnsi"/>
        </w:rPr>
        <w:lastRenderedPageBreak/>
        <w:t xml:space="preserve">Përmirësimi i cilësisë së arsimit gjithëpërfshirës dhe forcimi i kapaciteteve të mësimdhënies për fëmijët me lloje të ndryshme të aftësive të kufizuara që </w:t>
      </w:r>
      <w:r w:rsidR="004E1F53">
        <w:rPr>
          <w:rFonts w:cs="Calibri"/>
        </w:rPr>
        <w:t>përfshijnë</w:t>
      </w:r>
      <w:r w:rsidR="004E1F53">
        <w:rPr>
          <w:rFonts w:cstheme="minorHAnsi"/>
        </w:rPr>
        <w:t xml:space="preserve"> futjen e komisioneve multidisiplinore të arsimit, futjen e mësuesve ndihmës për fëmijët me aftësi të kufizuara që studiojnë në shkolla të zakonshme dhe përgatitjen e materialit të ri didaktik. </w:t>
      </w:r>
    </w:p>
    <w:p w:rsidR="00BA72D1" w:rsidRPr="00E97254" w:rsidRDefault="004E1F53" w:rsidP="000C0250">
      <w:pPr>
        <w:pStyle w:val="ListParagraph"/>
        <w:numPr>
          <w:ilvl w:val="0"/>
          <w:numId w:val="8"/>
        </w:numPr>
        <w:spacing w:after="0"/>
        <w:ind w:left="357" w:hanging="357"/>
        <w:contextualSpacing w:val="0"/>
        <w:jc w:val="both"/>
        <w:rPr>
          <w:rFonts w:cstheme="minorHAnsi"/>
        </w:rPr>
      </w:pPr>
      <w:r>
        <w:rPr>
          <w:rFonts w:cstheme="minorHAnsi"/>
        </w:rPr>
        <w:t xml:space="preserve">Transformimi i shkollave të specializuara në qendra burimore </w:t>
      </w:r>
      <w:r w:rsidR="003F1AEA">
        <w:rPr>
          <w:rFonts w:cstheme="minorHAnsi"/>
        </w:rPr>
        <w:t>për</w:t>
      </w:r>
      <w:r>
        <w:rPr>
          <w:rFonts w:cstheme="minorHAnsi"/>
        </w:rPr>
        <w:t xml:space="preserve"> nxitjen e zhvillimit profesional të mësuesve dhe mësuesve ndihmës të shkollave të zakonshme, të cilët do të punojnë me fëmijët me aftësi të kufizuara. </w:t>
      </w:r>
    </w:p>
    <w:p w:rsidR="00BA72D1" w:rsidRPr="00E97254" w:rsidRDefault="00BA72D1" w:rsidP="000C0250">
      <w:pPr>
        <w:spacing w:after="0"/>
        <w:jc w:val="both"/>
        <w:rPr>
          <w:rFonts w:cstheme="minorHAnsi"/>
          <w:b/>
        </w:rPr>
      </w:pPr>
    </w:p>
    <w:p w:rsidR="00BA72D1" w:rsidRPr="00E97254" w:rsidRDefault="004E1F53" w:rsidP="000C0250">
      <w:pPr>
        <w:spacing w:after="0"/>
        <w:jc w:val="both"/>
        <w:rPr>
          <w:rFonts w:cstheme="minorHAnsi"/>
        </w:rPr>
      </w:pPr>
      <w:r>
        <w:rPr>
          <w:rFonts w:cstheme="minorHAnsi"/>
          <w:b/>
        </w:rPr>
        <w:t>Plani Kombëtar i Veprimit për Integrimin e Romëve dhe Egjiptianëve 2016-2020</w:t>
      </w:r>
      <w:r>
        <w:rPr>
          <w:rFonts w:cstheme="minorHAnsi"/>
        </w:rPr>
        <w:t xml:space="preserve"> ka për synim heqjen e pengesave me të cilat përballen romët dhe egjiptianët sa i përket aksesit në shërbime dhe përmirësimi</w:t>
      </w:r>
      <w:r w:rsidR="00E04B29">
        <w:rPr>
          <w:rFonts w:cstheme="minorHAnsi"/>
        </w:rPr>
        <w:t>n</w:t>
      </w:r>
      <w:r w:rsidR="00E04B29" w:rsidRPr="00E97254">
        <w:rPr>
          <w:rFonts w:cstheme="minorHAnsi"/>
        </w:rPr>
        <w:t xml:space="preserve"> </w:t>
      </w:r>
      <w:r w:rsidR="00E04B29">
        <w:rPr>
          <w:rFonts w:cstheme="minorHAnsi"/>
        </w:rPr>
        <w:t>e</w:t>
      </w:r>
      <w:r w:rsidR="00E04B29" w:rsidRPr="00E97254">
        <w:rPr>
          <w:rFonts w:cstheme="minorHAnsi"/>
        </w:rPr>
        <w:t xml:space="preserve"> </w:t>
      </w:r>
      <w:r w:rsidR="000502EA" w:rsidRPr="00E97254">
        <w:rPr>
          <w:rFonts w:cstheme="minorHAnsi"/>
        </w:rPr>
        <w:t>kushteve të tyre të jetesës nëpërmjet</w:t>
      </w:r>
      <w:r w:rsidR="002B257B" w:rsidRPr="00E97254">
        <w:rPr>
          <w:rFonts w:cstheme="minorHAnsi"/>
        </w:rPr>
        <w:t xml:space="preserve"> </w:t>
      </w:r>
      <w:r w:rsidR="000502EA" w:rsidRPr="00E97254">
        <w:rPr>
          <w:rFonts w:cstheme="minorHAnsi"/>
        </w:rPr>
        <w:t xml:space="preserve">integrimit dhe nxitjes së dialogut ndërkulturor </w:t>
      </w:r>
      <w:sdt>
        <w:sdtPr>
          <w:rPr>
            <w:rFonts w:cstheme="minorHAnsi"/>
          </w:rPr>
          <w:id w:val="-558010586"/>
          <w:citation/>
        </w:sdtPr>
        <w:sdtEndPr/>
        <w:sdtContent>
          <w:r w:rsidR="00EC56B7" w:rsidRPr="00E97254">
            <w:rPr>
              <w:rFonts w:cstheme="minorHAnsi"/>
            </w:rPr>
            <w:fldChar w:fldCharType="begin"/>
          </w:r>
          <w:r>
            <w:rPr>
              <w:rFonts w:cstheme="minorHAnsi"/>
            </w:rPr>
            <w:instrText xml:space="preserve"> CITATION Kës15 \l 1033 </w:instrText>
          </w:r>
          <w:r w:rsidR="00EC56B7" w:rsidRPr="00E97254">
            <w:rPr>
              <w:rFonts w:cstheme="minorHAnsi"/>
            </w:rPr>
            <w:fldChar w:fldCharType="separate"/>
          </w:r>
          <w:r w:rsidR="00724BCC" w:rsidRPr="00E97254">
            <w:rPr>
              <w:rFonts w:cstheme="minorHAnsi"/>
            </w:rPr>
            <w:t>[14]</w:t>
          </w:r>
          <w:r w:rsidR="00EC56B7" w:rsidRPr="00E97254">
            <w:rPr>
              <w:rFonts w:cstheme="minorHAnsi"/>
            </w:rPr>
            <w:fldChar w:fldCharType="end"/>
          </w:r>
        </w:sdtContent>
      </w:sdt>
      <w:r w:rsidR="000502EA" w:rsidRPr="00E97254">
        <w:rPr>
          <w:rFonts w:cstheme="minorHAnsi"/>
        </w:rPr>
        <w:t>.</w:t>
      </w:r>
      <w:r w:rsidR="00BA72D1" w:rsidRPr="00E97254">
        <w:rPr>
          <w:rFonts w:cstheme="minorHAnsi"/>
        </w:rPr>
        <w:t xml:space="preserve"> Një nga gjashtë fushat e politikës </w:t>
      </w:r>
      <w:r w:rsidR="00D17ECD">
        <w:rPr>
          <w:rFonts w:cstheme="minorHAnsi"/>
        </w:rPr>
        <w:t>s</w:t>
      </w:r>
      <w:r w:rsidR="00D17ECD" w:rsidRPr="00E97254">
        <w:rPr>
          <w:rFonts w:cstheme="minorHAnsi"/>
        </w:rPr>
        <w:t xml:space="preserve">ë </w:t>
      </w:r>
      <w:r w:rsidR="00BA72D1" w:rsidRPr="00E97254">
        <w:rPr>
          <w:rFonts w:cstheme="minorHAnsi"/>
        </w:rPr>
        <w:t>këtij Plani</w:t>
      </w:r>
      <w:r w:rsidR="002B257B" w:rsidRPr="00E97254">
        <w:rPr>
          <w:rFonts w:cstheme="minorHAnsi"/>
        </w:rPr>
        <w:t xml:space="preserve"> </w:t>
      </w:r>
      <w:r w:rsidR="00BA72D1" w:rsidRPr="00E97254">
        <w:rPr>
          <w:rFonts w:cstheme="minorHAnsi"/>
        </w:rPr>
        <w:t xml:space="preserve">është “Arsimimi dhe promovimi i dialogut ndërkulturor”. Objektivat </w:t>
      </w:r>
      <w:r w:rsidR="00E04B29" w:rsidRPr="00E97254">
        <w:rPr>
          <w:rFonts w:cstheme="minorHAnsi"/>
        </w:rPr>
        <w:t>strategjik</w:t>
      </w:r>
      <w:r w:rsidR="00E04B29">
        <w:rPr>
          <w:rFonts w:cstheme="minorHAnsi"/>
        </w:rPr>
        <w:t>e</w:t>
      </w:r>
      <w:r w:rsidR="00E04B29" w:rsidRPr="00E97254">
        <w:rPr>
          <w:rFonts w:cstheme="minorHAnsi"/>
        </w:rPr>
        <w:t xml:space="preserve"> </w:t>
      </w:r>
      <w:r w:rsidR="00BA72D1" w:rsidRPr="00E97254">
        <w:rPr>
          <w:rFonts w:cstheme="minorHAnsi"/>
        </w:rPr>
        <w:t>të kësaj fushe janë:</w:t>
      </w:r>
    </w:p>
    <w:p w:rsidR="00BA72D1" w:rsidRPr="00E97254" w:rsidRDefault="004E1F53" w:rsidP="000C0250">
      <w:pPr>
        <w:pStyle w:val="ListParagraph"/>
        <w:numPr>
          <w:ilvl w:val="0"/>
          <w:numId w:val="7"/>
        </w:numPr>
        <w:spacing w:after="0"/>
        <w:jc w:val="both"/>
        <w:rPr>
          <w:rFonts w:cstheme="minorHAnsi"/>
        </w:rPr>
      </w:pPr>
      <w:r>
        <w:rPr>
          <w:rFonts w:cstheme="minorHAnsi"/>
        </w:rPr>
        <w:t>Më shumë djem dhe vajza rome dhe egjiptiane që përfundojnë të gjitha nivelet e arsimit</w:t>
      </w:r>
      <w:r>
        <w:rPr>
          <w:rFonts w:cs="Calibri"/>
        </w:rPr>
        <w:t>;</w:t>
      </w:r>
    </w:p>
    <w:p w:rsidR="00BA72D1" w:rsidRPr="00E97254" w:rsidRDefault="004E1F53" w:rsidP="000C0250">
      <w:pPr>
        <w:pStyle w:val="ListParagraph"/>
        <w:numPr>
          <w:ilvl w:val="0"/>
          <w:numId w:val="7"/>
        </w:numPr>
        <w:spacing w:after="0"/>
        <w:jc w:val="both"/>
        <w:rPr>
          <w:rFonts w:cstheme="minorHAnsi"/>
        </w:rPr>
      </w:pPr>
      <w:r>
        <w:rPr>
          <w:rFonts w:cstheme="minorHAnsi"/>
        </w:rPr>
        <w:t xml:space="preserve">Promovimi i dialogut ndërkulturor dhe mirëkuptimit të përbashkët </w:t>
      </w:r>
      <w:r w:rsidR="00A50A43">
        <w:rPr>
          <w:rFonts w:cstheme="minorHAnsi"/>
        </w:rPr>
        <w:t>nëpërmjet</w:t>
      </w:r>
      <w:r>
        <w:rPr>
          <w:rFonts w:cstheme="minorHAnsi"/>
        </w:rPr>
        <w:t xml:space="preserve"> zhvillimit të komuniteteve mbi bazë shkolle</w:t>
      </w:r>
      <w:r>
        <w:rPr>
          <w:rFonts w:cs="Calibri"/>
        </w:rPr>
        <w:t>;</w:t>
      </w:r>
    </w:p>
    <w:p w:rsidR="00BA72D1" w:rsidRPr="00E97254" w:rsidRDefault="004E1F53" w:rsidP="000C0250">
      <w:pPr>
        <w:pStyle w:val="ListParagraph"/>
        <w:numPr>
          <w:ilvl w:val="0"/>
          <w:numId w:val="7"/>
        </w:numPr>
        <w:spacing w:after="0"/>
        <w:jc w:val="both"/>
        <w:rPr>
          <w:rFonts w:cstheme="minorHAnsi"/>
        </w:rPr>
      </w:pPr>
      <w:r>
        <w:rPr>
          <w:rFonts w:cstheme="minorHAnsi"/>
        </w:rPr>
        <w:t xml:space="preserve">Të forcohet bashkëveprimi i shkollës me shërbimet sociale, për </w:t>
      </w:r>
      <w:r w:rsidR="002E593C">
        <w:rPr>
          <w:rFonts w:cstheme="minorHAnsi"/>
        </w:rPr>
        <w:t>trajtimin</w:t>
      </w:r>
      <w:r w:rsidR="002E593C" w:rsidRPr="00E97254">
        <w:rPr>
          <w:rFonts w:cstheme="minorHAnsi"/>
        </w:rPr>
        <w:t xml:space="preserve"> </w:t>
      </w:r>
      <w:r w:rsidR="00BA72D1" w:rsidRPr="00E97254">
        <w:rPr>
          <w:rFonts w:cstheme="minorHAnsi"/>
        </w:rPr>
        <w:t>e rasteve të fëmijëve romë dhe egjiptianë me probleme sociale-ekonomike</w:t>
      </w:r>
      <w:r w:rsidR="00ED3FCC" w:rsidRPr="00E97254">
        <w:rPr>
          <w:rFonts w:cs="Calibri"/>
        </w:rPr>
        <w:t>;</w:t>
      </w:r>
    </w:p>
    <w:p w:rsidR="00BA72D1" w:rsidRPr="00E97254" w:rsidRDefault="004E1F53" w:rsidP="000C0250">
      <w:pPr>
        <w:pStyle w:val="ListParagraph"/>
        <w:numPr>
          <w:ilvl w:val="0"/>
          <w:numId w:val="7"/>
        </w:numPr>
        <w:spacing w:after="0"/>
        <w:jc w:val="both"/>
        <w:rPr>
          <w:rFonts w:cstheme="minorHAnsi"/>
        </w:rPr>
      </w:pPr>
      <w:r>
        <w:rPr>
          <w:rFonts w:cstheme="minorHAnsi"/>
        </w:rPr>
        <w:t xml:space="preserve">Promovimi i njohjes së identitetit Rom dhe atij Egjiptian si pjesë përbërëse e trashëgimisë kulturore të Shqipërisë. </w:t>
      </w:r>
    </w:p>
    <w:p w:rsidR="00BA72D1" w:rsidRPr="00E97254" w:rsidRDefault="00BA72D1" w:rsidP="000C0250">
      <w:pPr>
        <w:spacing w:after="0"/>
        <w:jc w:val="both"/>
        <w:rPr>
          <w:rFonts w:cstheme="minorHAnsi"/>
        </w:rPr>
      </w:pPr>
    </w:p>
    <w:p w:rsidR="00226867" w:rsidRPr="00E97254" w:rsidRDefault="004E1F53" w:rsidP="000C0250">
      <w:pPr>
        <w:pStyle w:val="CommentText"/>
        <w:spacing w:after="0" w:line="276" w:lineRule="auto"/>
        <w:jc w:val="both"/>
        <w:rPr>
          <w:rFonts w:cstheme="minorHAnsi"/>
          <w:sz w:val="22"/>
          <w:szCs w:val="22"/>
        </w:rPr>
      </w:pPr>
      <w:r>
        <w:rPr>
          <w:rFonts w:cstheme="minorHAnsi"/>
          <w:b/>
          <w:sz w:val="22"/>
          <w:szCs w:val="22"/>
        </w:rPr>
        <w:t>Strategjia Kombëtare për Barazinë Gjinore (SKBGJ) 2016-2020</w:t>
      </w:r>
      <w:r>
        <w:rPr>
          <w:rFonts w:cstheme="minorHAnsi"/>
          <w:sz w:val="22"/>
          <w:szCs w:val="22"/>
        </w:rPr>
        <w:t xml:space="preserve"> </w:t>
      </w:r>
      <w:sdt>
        <w:sdtPr>
          <w:rPr>
            <w:rFonts w:cstheme="minorHAnsi"/>
            <w:sz w:val="22"/>
            <w:szCs w:val="22"/>
          </w:rPr>
          <w:id w:val="1005791061"/>
          <w:citation/>
        </w:sdtPr>
        <w:sdtEndPr/>
        <w:sdtContent>
          <w:r w:rsidR="00EC56B7" w:rsidRPr="00E97254">
            <w:rPr>
              <w:rFonts w:cstheme="minorHAnsi"/>
              <w:sz w:val="22"/>
              <w:szCs w:val="22"/>
            </w:rPr>
            <w:fldChar w:fldCharType="begin"/>
          </w:r>
          <w:r>
            <w:rPr>
              <w:rFonts w:cstheme="minorHAnsi"/>
              <w:sz w:val="22"/>
              <w:szCs w:val="22"/>
            </w:rPr>
            <w:instrText xml:space="preserve"> CITATION MMS16 \l 1033 </w:instrText>
          </w:r>
          <w:r w:rsidR="00EC56B7" w:rsidRPr="00E97254">
            <w:rPr>
              <w:rFonts w:cstheme="minorHAnsi"/>
              <w:sz w:val="22"/>
              <w:szCs w:val="22"/>
            </w:rPr>
            <w:fldChar w:fldCharType="separate"/>
          </w:r>
          <w:r>
            <w:rPr>
              <w:rFonts w:cstheme="minorHAnsi"/>
              <w:sz w:val="22"/>
              <w:szCs w:val="22"/>
            </w:rPr>
            <w:t>[15]</w:t>
          </w:r>
          <w:r w:rsidR="00EC56B7" w:rsidRPr="00E97254">
            <w:rPr>
              <w:rFonts w:cstheme="minorHAnsi"/>
              <w:sz w:val="22"/>
              <w:szCs w:val="22"/>
            </w:rPr>
            <w:fldChar w:fldCharType="end"/>
          </w:r>
        </w:sdtContent>
      </w:sdt>
      <w:r>
        <w:rPr>
          <w:rFonts w:cstheme="minorHAnsi"/>
          <w:sz w:val="22"/>
          <w:szCs w:val="22"/>
        </w:rPr>
        <w:t xml:space="preserve"> është konceptuar si një udhërrëfyes drejt një shoqërie të mundësive të barabarta e pa dhunë, në të cilën: nevojat e grave dhe burrave merren në konsideratë dhe trajtohen në mënyrë të barabartë; gratë respektohen, mbrohen, nxiten e mbështeten për të ecur përpara njëlloj si dhe burrat; vajzat e djemtë, rriten të lumtur e të gëzuar mes parimeve të barazisë e mosdiskriminimit - pra një shoqëri, që ka në bazë një familje të shëndoshë, komunitet mbështetës dhe institucione të konsoliduara që zbatojnë legjislacionin dhe detyrimet e tyre me përgjegjshmëri. Disa nga objektivat specifik</w:t>
      </w:r>
      <w:r w:rsidR="002E593C">
        <w:rPr>
          <w:rFonts w:cstheme="minorHAnsi"/>
          <w:sz w:val="22"/>
          <w:szCs w:val="22"/>
        </w:rPr>
        <w:t>e</w:t>
      </w:r>
      <w:r w:rsidR="002E593C" w:rsidRPr="00E97254">
        <w:rPr>
          <w:rFonts w:cstheme="minorHAnsi"/>
          <w:sz w:val="22"/>
          <w:szCs w:val="22"/>
        </w:rPr>
        <w:t xml:space="preserve"> </w:t>
      </w:r>
      <w:r w:rsidR="000D3389" w:rsidRPr="00E97254">
        <w:rPr>
          <w:rFonts w:cstheme="minorHAnsi"/>
          <w:sz w:val="22"/>
          <w:szCs w:val="22"/>
        </w:rPr>
        <w:t>që lidhen me fushën e arsimit</w:t>
      </w:r>
      <w:r w:rsidR="00226867" w:rsidRPr="00E97254">
        <w:rPr>
          <w:rFonts w:cstheme="minorHAnsi"/>
          <w:sz w:val="22"/>
          <w:szCs w:val="22"/>
        </w:rPr>
        <w:t xml:space="preserve"> </w:t>
      </w:r>
      <w:r w:rsidR="000D3389" w:rsidRPr="00E97254">
        <w:rPr>
          <w:rFonts w:cstheme="minorHAnsi"/>
          <w:sz w:val="22"/>
          <w:szCs w:val="22"/>
        </w:rPr>
        <w:t>janë</w:t>
      </w:r>
      <w:r w:rsidR="00226867" w:rsidRPr="00E97254">
        <w:rPr>
          <w:rFonts w:cstheme="minorHAnsi"/>
          <w:sz w:val="22"/>
          <w:szCs w:val="22"/>
        </w:rPr>
        <w:t xml:space="preserve"> si n</w:t>
      </w:r>
      <w:r w:rsidR="000D3389" w:rsidRPr="00E97254">
        <w:rPr>
          <w:rFonts w:cstheme="minorHAnsi"/>
          <w:sz w:val="22"/>
          <w:szCs w:val="22"/>
        </w:rPr>
        <w:t>ë</w:t>
      </w:r>
      <w:r>
        <w:rPr>
          <w:rFonts w:cstheme="minorHAnsi"/>
          <w:sz w:val="22"/>
          <w:szCs w:val="22"/>
        </w:rPr>
        <w:t xml:space="preserve"> vijim:</w:t>
      </w:r>
    </w:p>
    <w:p w:rsidR="000D3389" w:rsidRPr="00E97254" w:rsidRDefault="004E1F53" w:rsidP="000C0250">
      <w:pPr>
        <w:pStyle w:val="CommentText"/>
        <w:numPr>
          <w:ilvl w:val="0"/>
          <w:numId w:val="40"/>
        </w:numPr>
        <w:spacing w:after="0" w:line="276" w:lineRule="auto"/>
        <w:jc w:val="both"/>
        <w:rPr>
          <w:rFonts w:cstheme="minorHAnsi"/>
          <w:sz w:val="22"/>
          <w:szCs w:val="22"/>
        </w:rPr>
      </w:pPr>
      <w:r>
        <w:rPr>
          <w:rFonts w:cstheme="minorHAnsi"/>
          <w:sz w:val="22"/>
          <w:szCs w:val="22"/>
        </w:rPr>
        <w:t xml:space="preserve">kritere të përmirësuara që rrisin mundësinë për të regjistruar fëmijët në kopshte dhe çerdhe kur </w:t>
      </w:r>
      <w:r>
        <w:rPr>
          <w:rFonts w:cs="Calibri"/>
          <w:sz w:val="22"/>
          <w:szCs w:val="22"/>
        </w:rPr>
        <w:t>nëna</w:t>
      </w:r>
      <w:r>
        <w:rPr>
          <w:rFonts w:cstheme="minorHAnsi"/>
          <w:sz w:val="22"/>
          <w:szCs w:val="22"/>
        </w:rPr>
        <w:t xml:space="preserve"> është </w:t>
      </w:r>
      <w:r>
        <w:rPr>
          <w:rFonts w:cs="Calibri"/>
          <w:sz w:val="22"/>
          <w:szCs w:val="22"/>
        </w:rPr>
        <w:t>e</w:t>
      </w:r>
      <w:r>
        <w:rPr>
          <w:rFonts w:cstheme="minorHAnsi"/>
          <w:sz w:val="22"/>
          <w:szCs w:val="22"/>
        </w:rPr>
        <w:t xml:space="preserve"> papunë</w:t>
      </w:r>
      <w:r>
        <w:rPr>
          <w:rFonts w:cs="Calibri"/>
          <w:sz w:val="22"/>
          <w:szCs w:val="22"/>
        </w:rPr>
        <w:t xml:space="preserve"> ose</w:t>
      </w:r>
      <w:r>
        <w:rPr>
          <w:rFonts w:cstheme="minorHAnsi"/>
          <w:sz w:val="22"/>
          <w:szCs w:val="22"/>
        </w:rPr>
        <w:t xml:space="preserve"> me aftësi të kufizuara;</w:t>
      </w:r>
    </w:p>
    <w:p w:rsidR="000D3389" w:rsidRPr="00E97254" w:rsidRDefault="004E1F53" w:rsidP="000C0250">
      <w:pPr>
        <w:pStyle w:val="CommentText"/>
        <w:numPr>
          <w:ilvl w:val="0"/>
          <w:numId w:val="40"/>
        </w:numPr>
        <w:spacing w:after="0" w:line="276" w:lineRule="auto"/>
        <w:jc w:val="both"/>
        <w:rPr>
          <w:rFonts w:cstheme="minorHAnsi"/>
          <w:sz w:val="22"/>
          <w:szCs w:val="22"/>
        </w:rPr>
      </w:pPr>
      <w:r>
        <w:rPr>
          <w:rFonts w:cstheme="minorHAnsi"/>
          <w:sz w:val="22"/>
          <w:szCs w:val="22"/>
        </w:rPr>
        <w:t xml:space="preserve">përmirësimi i kurrikulave shkollore në arsimin parauniversitar, bazuar në analizën gjinore të tyre, duke synuar përfshirjen e burrave dhe djemve në parandalimin e </w:t>
      </w:r>
      <w:r>
        <w:rPr>
          <w:rFonts w:cs="Calibri"/>
          <w:sz w:val="22"/>
          <w:szCs w:val="22"/>
        </w:rPr>
        <w:t>dhunës me bazë gjinore dhe dhunës ndaj fëmijëve (</w:t>
      </w:r>
      <w:r>
        <w:rPr>
          <w:rFonts w:cstheme="minorHAnsi"/>
          <w:sz w:val="22"/>
          <w:szCs w:val="22"/>
        </w:rPr>
        <w:t>DHBGJ&amp;DHF</w:t>
      </w:r>
      <w:r>
        <w:rPr>
          <w:rFonts w:cs="Calibri"/>
          <w:sz w:val="22"/>
          <w:szCs w:val="22"/>
        </w:rPr>
        <w:t>);</w:t>
      </w:r>
    </w:p>
    <w:p w:rsidR="000D3389" w:rsidRPr="00E97254" w:rsidRDefault="004E1F53" w:rsidP="000C0250">
      <w:pPr>
        <w:pStyle w:val="CommentText"/>
        <w:numPr>
          <w:ilvl w:val="0"/>
          <w:numId w:val="40"/>
        </w:numPr>
        <w:spacing w:after="0" w:line="276" w:lineRule="auto"/>
        <w:jc w:val="both"/>
        <w:rPr>
          <w:rFonts w:cstheme="minorHAnsi"/>
          <w:sz w:val="22"/>
          <w:szCs w:val="22"/>
        </w:rPr>
      </w:pPr>
      <w:r>
        <w:rPr>
          <w:rFonts w:cstheme="minorHAnsi"/>
          <w:sz w:val="22"/>
          <w:szCs w:val="22"/>
        </w:rPr>
        <w:t>përmirësimi i kapaciteteve profesionale të mësuesve dhe psikologëve të shkollave për aplikimin në praktikë të kurrikulave të përmirësuara, të përgatitura për angazhimin e burrave dhe djemve kundër DHBGJ&amp;DHF;</w:t>
      </w:r>
    </w:p>
    <w:p w:rsidR="000D3389" w:rsidRPr="00E97254" w:rsidRDefault="004E1F53" w:rsidP="000C0250">
      <w:pPr>
        <w:pStyle w:val="CommentText"/>
        <w:numPr>
          <w:ilvl w:val="0"/>
          <w:numId w:val="40"/>
        </w:numPr>
        <w:spacing w:after="0" w:line="276" w:lineRule="auto"/>
        <w:jc w:val="both"/>
        <w:rPr>
          <w:rFonts w:cstheme="minorHAnsi"/>
          <w:sz w:val="22"/>
          <w:szCs w:val="22"/>
        </w:rPr>
      </w:pPr>
      <w:r>
        <w:rPr>
          <w:rFonts w:cstheme="minorHAnsi"/>
          <w:sz w:val="22"/>
          <w:szCs w:val="22"/>
        </w:rPr>
        <w:t>shtimi i lëndëve specifike ndërgjegjësuese për çështjet e DHBGJ&amp;DHF si dhe angazhimit të djemve dhe burrave kundër DHBGJ&amp;DHF në programet e studimit në IAL në fushat e studimit : Shkencave Sociale (në degët ku mungojnë), Mësuesisë, Gazetarisë, Drejtësisë, Infermierisë, etj.;</w:t>
      </w:r>
    </w:p>
    <w:p w:rsidR="000D3389" w:rsidRPr="00E97254" w:rsidRDefault="004E1F53" w:rsidP="000C0250">
      <w:pPr>
        <w:pStyle w:val="CommentText"/>
        <w:numPr>
          <w:ilvl w:val="0"/>
          <w:numId w:val="40"/>
        </w:numPr>
        <w:spacing w:after="0" w:line="276" w:lineRule="auto"/>
        <w:jc w:val="both"/>
        <w:rPr>
          <w:rFonts w:cstheme="minorHAnsi"/>
          <w:sz w:val="22"/>
          <w:szCs w:val="22"/>
        </w:rPr>
      </w:pPr>
      <w:r>
        <w:rPr>
          <w:rFonts w:cstheme="minorHAnsi"/>
          <w:sz w:val="22"/>
          <w:szCs w:val="22"/>
        </w:rPr>
        <w:lastRenderedPageBreak/>
        <w:t>përmirësimi i kapaciteteve të profesionistëve të shëndetësisë, arsimit dhe punonjësve të policisë për identifikimin e rasteve të mundshme të DHBGJ&amp;DHF (në kuadër të parandalimit dhe informimit).</w:t>
      </w:r>
    </w:p>
    <w:p w:rsidR="00226867" w:rsidRPr="00E97254" w:rsidRDefault="00226867" w:rsidP="000C0250">
      <w:pPr>
        <w:spacing w:after="0"/>
        <w:jc w:val="both"/>
        <w:rPr>
          <w:rFonts w:cstheme="minorHAnsi"/>
        </w:rPr>
      </w:pPr>
    </w:p>
    <w:p w:rsidR="00BA72D1" w:rsidRPr="00E97254" w:rsidRDefault="004E1F53" w:rsidP="000C0250">
      <w:pPr>
        <w:spacing w:after="0"/>
        <w:jc w:val="both"/>
        <w:rPr>
          <w:rFonts w:cstheme="minorHAnsi"/>
        </w:rPr>
      </w:pPr>
      <w:r>
        <w:rPr>
          <w:rFonts w:cstheme="minorHAnsi"/>
          <w:b/>
        </w:rPr>
        <w:t>Agjenda digjitale e Shqipërisë 2015-</w:t>
      </w:r>
      <w:r>
        <w:rPr>
          <w:b/>
        </w:rPr>
        <w:t xml:space="preserve">2020 </w:t>
      </w:r>
      <w:r>
        <w:t>është</w:t>
      </w:r>
      <w:r>
        <w:rPr>
          <w:rFonts w:cstheme="minorHAnsi"/>
        </w:rPr>
        <w:t xml:space="preserve"> strategjia ndërsektoriale e </w:t>
      </w:r>
      <w:r>
        <w:t>digjitalizimit të</w:t>
      </w:r>
      <w:r>
        <w:rPr>
          <w:rFonts w:cstheme="minorHAnsi"/>
        </w:rPr>
        <w:t xml:space="preserve"> vendit </w:t>
      </w:r>
      <w:sdt>
        <w:sdtPr>
          <w:rPr>
            <w:rFonts w:cstheme="minorHAnsi"/>
          </w:rPr>
          <w:id w:val="140546295"/>
          <w:citation/>
        </w:sdtPr>
        <w:sdtEndPr/>
        <w:sdtContent>
          <w:r w:rsidR="00EC56B7" w:rsidRPr="00E97254">
            <w:rPr>
              <w:rFonts w:cstheme="minorHAnsi"/>
            </w:rPr>
            <w:fldChar w:fldCharType="begin"/>
          </w:r>
          <w:r>
            <w:rPr>
              <w:rFonts w:cstheme="minorHAnsi"/>
            </w:rPr>
            <w:instrText xml:space="preserve"> CITATION Kës151 \l 1033 </w:instrText>
          </w:r>
          <w:r w:rsidR="00EC56B7" w:rsidRPr="00E97254">
            <w:rPr>
              <w:rFonts w:cstheme="minorHAnsi"/>
            </w:rPr>
            <w:fldChar w:fldCharType="separate"/>
          </w:r>
          <w:r w:rsidR="00724BCC" w:rsidRPr="00E97254">
            <w:rPr>
              <w:rFonts w:cstheme="minorHAnsi"/>
            </w:rPr>
            <w:t>[16]</w:t>
          </w:r>
          <w:r w:rsidR="00EC56B7" w:rsidRPr="00E97254">
            <w:rPr>
              <w:rFonts w:cstheme="minorHAnsi"/>
            </w:rPr>
            <w:fldChar w:fldCharType="end"/>
          </w:r>
        </w:sdtContent>
      </w:sdt>
      <w:r w:rsidR="000502EA" w:rsidRPr="00E97254">
        <w:rPr>
          <w:rFonts w:cstheme="minorHAnsi"/>
        </w:rPr>
        <w:t>. N</w:t>
      </w:r>
      <w:r w:rsidR="00BA72D1" w:rsidRPr="00E97254">
        <w:rPr>
          <w:rFonts w:cstheme="minorHAnsi"/>
        </w:rPr>
        <w:t>ë kuadër të prioritetit strategjik 3 (“Politika për zhvillimin e infrastrukturës TIK dhe komunikimeve elektronike në të gjithë sektorët”)</w:t>
      </w:r>
      <w:r w:rsidR="000502EA" w:rsidRPr="00E97254">
        <w:rPr>
          <w:rFonts w:cstheme="minorHAnsi"/>
        </w:rPr>
        <w:t>, A</w:t>
      </w:r>
      <w:r w:rsidR="00C44536" w:rsidRPr="00E97254">
        <w:rPr>
          <w:rFonts w:cstheme="minorHAnsi"/>
        </w:rPr>
        <w:t>gjend</w:t>
      </w:r>
      <w:r w:rsidR="000502EA" w:rsidRPr="00E97254">
        <w:rPr>
          <w:rFonts w:cstheme="minorHAnsi"/>
        </w:rPr>
        <w:t>a</w:t>
      </w:r>
      <w:r w:rsidR="00BA72D1" w:rsidRPr="00E97254">
        <w:rPr>
          <w:rFonts w:cstheme="minorHAnsi"/>
        </w:rPr>
        <w:t xml:space="preserve"> sjell një objektiv të ndërlidhur më sektorin e arsimit: “</w:t>
      </w:r>
      <w:r w:rsidR="00C44536" w:rsidRPr="00E97254">
        <w:rPr>
          <w:rFonts w:cstheme="minorHAnsi"/>
        </w:rPr>
        <w:t>Digjit</w:t>
      </w:r>
      <w:r w:rsidR="00BA72D1" w:rsidRPr="00E97254">
        <w:rPr>
          <w:rFonts w:cstheme="minorHAnsi"/>
        </w:rPr>
        <w:t xml:space="preserve">alizimi i sistemit arsimor për të rritur cilësinë e arsimit dhe kontribuar në krijimin e një </w:t>
      </w:r>
      <w:r>
        <w:rPr>
          <w:rFonts w:cs="Calibri"/>
        </w:rPr>
        <w:t>shoqërie</w:t>
      </w:r>
      <w:r>
        <w:rPr>
          <w:rFonts w:cstheme="minorHAnsi"/>
        </w:rPr>
        <w:t xml:space="preserve"> bazuar në dije nëpërmjet rritjes së aksesit në kurrikula digjitale dhe mundësimit të lidhjes të tyre në internet (100%)”. Disa nga veprimtaritë </w:t>
      </w:r>
      <w:r w:rsidR="00A50A43">
        <w:rPr>
          <w:rFonts w:cstheme="minorHAnsi"/>
        </w:rPr>
        <w:t>nëpërmjet</w:t>
      </w:r>
      <w:r>
        <w:rPr>
          <w:rFonts w:cstheme="minorHAnsi"/>
        </w:rPr>
        <w:t xml:space="preserve"> të cilave synohet arritja e këtij objektivi janë:</w:t>
      </w:r>
    </w:p>
    <w:p w:rsidR="00BA72D1" w:rsidRPr="00E97254" w:rsidRDefault="004E1F53" w:rsidP="000C0250">
      <w:pPr>
        <w:pStyle w:val="ListParagraph"/>
        <w:numPr>
          <w:ilvl w:val="0"/>
          <w:numId w:val="9"/>
        </w:numPr>
        <w:spacing w:after="0"/>
        <w:jc w:val="both"/>
        <w:rPr>
          <w:rFonts w:cstheme="minorHAnsi"/>
        </w:rPr>
      </w:pPr>
      <w:r>
        <w:rPr>
          <w:rFonts w:cstheme="minorHAnsi"/>
        </w:rPr>
        <w:t>pajisja e shkollave me infrastrukturë funksionale për shfrytëzimin e informacionit (</w:t>
      </w:r>
      <w:r>
        <w:rPr>
          <w:rFonts w:cs="Calibri"/>
        </w:rPr>
        <w:t>kompjuter</w:t>
      </w:r>
      <w:r w:rsidR="005009E3">
        <w:rPr>
          <w:rFonts w:cs="Calibri"/>
        </w:rPr>
        <w:t>a</w:t>
      </w:r>
      <w:r w:rsidR="00BA72D1" w:rsidRPr="00E97254">
        <w:rPr>
          <w:rFonts w:cstheme="minorHAnsi"/>
        </w:rPr>
        <w:t xml:space="preserve">, laptopë, </w:t>
      </w:r>
      <w:r w:rsidR="005009E3" w:rsidRPr="00E97254">
        <w:rPr>
          <w:rFonts w:cstheme="minorHAnsi"/>
        </w:rPr>
        <w:t>tablet</w:t>
      </w:r>
      <w:r w:rsidR="005009E3">
        <w:rPr>
          <w:rFonts w:cstheme="minorHAnsi"/>
        </w:rPr>
        <w:t>a</w:t>
      </w:r>
      <w:r w:rsidR="005009E3" w:rsidRPr="00E97254">
        <w:rPr>
          <w:rFonts w:cstheme="minorHAnsi"/>
        </w:rPr>
        <w:t xml:space="preserve"> </w:t>
      </w:r>
      <w:r w:rsidR="00BA72D1" w:rsidRPr="00E97254">
        <w:rPr>
          <w:rFonts w:cstheme="minorHAnsi"/>
        </w:rPr>
        <w:t xml:space="preserve">smart); </w:t>
      </w:r>
    </w:p>
    <w:p w:rsidR="00BA72D1" w:rsidRPr="00E97254" w:rsidRDefault="004E1F53" w:rsidP="000C0250">
      <w:pPr>
        <w:pStyle w:val="ListParagraph"/>
        <w:numPr>
          <w:ilvl w:val="0"/>
          <w:numId w:val="9"/>
        </w:numPr>
        <w:spacing w:after="0"/>
        <w:jc w:val="both"/>
        <w:rPr>
          <w:rFonts w:cstheme="minorHAnsi"/>
        </w:rPr>
      </w:pPr>
      <w:r>
        <w:rPr>
          <w:rFonts w:cstheme="minorHAnsi"/>
        </w:rPr>
        <w:t>internet me shpejtësi të lartë dhe mundësi aksesimi online edhe në mjedise të tjera brenda shkollave, jo vetëm në laborator</w:t>
      </w:r>
      <w:r w:rsidR="005009E3">
        <w:rPr>
          <w:rFonts w:cstheme="minorHAnsi"/>
        </w:rPr>
        <w:t>e</w:t>
      </w:r>
      <w:r w:rsidR="00BA72D1" w:rsidRPr="00E97254">
        <w:rPr>
          <w:rFonts w:cstheme="minorHAnsi"/>
        </w:rPr>
        <w:t>;</w:t>
      </w:r>
    </w:p>
    <w:p w:rsidR="00BA72D1" w:rsidRPr="00E97254" w:rsidRDefault="004E1F53" w:rsidP="000C0250">
      <w:pPr>
        <w:pStyle w:val="ListParagraph"/>
        <w:numPr>
          <w:ilvl w:val="0"/>
          <w:numId w:val="9"/>
        </w:numPr>
        <w:spacing w:after="0"/>
        <w:jc w:val="both"/>
        <w:rPr>
          <w:rFonts w:cstheme="minorHAnsi"/>
        </w:rPr>
      </w:pPr>
      <w:r>
        <w:rPr>
          <w:rFonts w:cstheme="minorHAnsi"/>
        </w:rPr>
        <w:t>mbështetje teknike që siguron efikasitet të përdorimit të infrastrukturës;</w:t>
      </w:r>
    </w:p>
    <w:p w:rsidR="00BA72D1" w:rsidRPr="00E97254" w:rsidRDefault="004E1F53" w:rsidP="000C0250">
      <w:pPr>
        <w:pStyle w:val="ListParagraph"/>
        <w:numPr>
          <w:ilvl w:val="0"/>
          <w:numId w:val="9"/>
        </w:numPr>
        <w:spacing w:after="0"/>
        <w:jc w:val="both"/>
        <w:rPr>
          <w:rFonts w:cstheme="minorHAnsi"/>
        </w:rPr>
      </w:pPr>
      <w:r>
        <w:rPr>
          <w:rFonts w:cstheme="minorHAnsi"/>
        </w:rPr>
        <w:t>mundësi aksesimi në portalet e arsimit, në përputhje me kurrikulën e planifikuar;</w:t>
      </w:r>
    </w:p>
    <w:p w:rsidR="00BA72D1" w:rsidRPr="00E97254" w:rsidRDefault="004E1F53" w:rsidP="000C0250">
      <w:pPr>
        <w:pStyle w:val="ListParagraph"/>
        <w:numPr>
          <w:ilvl w:val="0"/>
          <w:numId w:val="9"/>
        </w:numPr>
        <w:spacing w:after="0"/>
        <w:jc w:val="both"/>
        <w:rPr>
          <w:rFonts w:cstheme="minorHAnsi"/>
        </w:rPr>
      </w:pPr>
      <w:r>
        <w:rPr>
          <w:rFonts w:cstheme="minorHAnsi"/>
        </w:rPr>
        <w:t>mundësi aksesimi në portale për nxënësit me aftësi të kufizuara;</w:t>
      </w:r>
    </w:p>
    <w:p w:rsidR="00BA72D1" w:rsidRPr="00E97254" w:rsidRDefault="004E1F53" w:rsidP="000C0250">
      <w:pPr>
        <w:pStyle w:val="ListParagraph"/>
        <w:numPr>
          <w:ilvl w:val="0"/>
          <w:numId w:val="9"/>
        </w:numPr>
        <w:spacing w:after="0"/>
        <w:jc w:val="both"/>
        <w:rPr>
          <w:rFonts w:cstheme="minorHAnsi"/>
        </w:rPr>
      </w:pPr>
      <w:r>
        <w:rPr>
          <w:rFonts w:cstheme="minorHAnsi"/>
        </w:rPr>
        <w:t xml:space="preserve">specifikimi i kuadrit ligjor dhe infrastrukturor për shkëmbimin online të informacionit ndërmjet strukturave arsimore. </w:t>
      </w:r>
    </w:p>
    <w:p w:rsidR="00BA72D1" w:rsidRPr="00E97254" w:rsidRDefault="00BA72D1" w:rsidP="000C0250">
      <w:pPr>
        <w:spacing w:after="0"/>
        <w:jc w:val="both"/>
        <w:rPr>
          <w:rFonts w:cstheme="minorHAnsi"/>
        </w:rPr>
      </w:pPr>
    </w:p>
    <w:p w:rsidR="006F3E13" w:rsidRPr="00E97254" w:rsidRDefault="004E1F53" w:rsidP="000C0250">
      <w:pPr>
        <w:spacing w:after="0"/>
        <w:jc w:val="both"/>
        <w:rPr>
          <w:rFonts w:cstheme="minorHAnsi"/>
        </w:rPr>
      </w:pPr>
      <w:r>
        <w:rPr>
          <w:rFonts w:cstheme="minorHAnsi"/>
          <w:b/>
        </w:rPr>
        <w:t>Plani kombëtar për zhvillimin e qëndrueshëm të infrastrukturës digjitale</w:t>
      </w:r>
      <w:r w:rsidR="006F3E13" w:rsidRPr="00E97254">
        <w:rPr>
          <w:rFonts w:cstheme="minorHAnsi"/>
          <w:b/>
        </w:rPr>
        <w:t xml:space="preserve"> broadband 2020-2025 </w:t>
      </w:r>
      <w:sdt>
        <w:sdtPr>
          <w:rPr>
            <w:rFonts w:cstheme="minorHAnsi"/>
            <w:b/>
          </w:rPr>
          <w:id w:val="-832143715"/>
          <w:citation/>
        </w:sdtPr>
        <w:sdtEndPr/>
        <w:sdtContent>
          <w:r w:rsidR="00EC56B7" w:rsidRPr="00E97254">
            <w:rPr>
              <w:rFonts w:cstheme="minorHAnsi"/>
              <w:b/>
            </w:rPr>
            <w:fldChar w:fldCharType="begin"/>
          </w:r>
          <w:r>
            <w:rPr>
              <w:rFonts w:cstheme="minorHAnsi"/>
            </w:rPr>
            <w:instrText xml:space="preserve"> CITATION Kës202 \l 1033 </w:instrText>
          </w:r>
          <w:r w:rsidR="00EC56B7" w:rsidRPr="00E97254">
            <w:rPr>
              <w:rFonts w:cstheme="minorHAnsi"/>
              <w:b/>
            </w:rPr>
            <w:fldChar w:fldCharType="separate"/>
          </w:r>
          <w:r w:rsidR="00724BCC" w:rsidRPr="00E97254">
            <w:rPr>
              <w:rFonts w:cstheme="minorHAnsi"/>
            </w:rPr>
            <w:t>[17]</w:t>
          </w:r>
          <w:r w:rsidR="00EC56B7" w:rsidRPr="00E97254">
            <w:rPr>
              <w:rFonts w:cstheme="minorHAnsi"/>
              <w:b/>
            </w:rPr>
            <w:fldChar w:fldCharType="end"/>
          </w:r>
        </w:sdtContent>
      </w:sdt>
      <w:r w:rsidR="00F6137A" w:rsidRPr="00E97254">
        <w:rPr>
          <w:rFonts w:cstheme="minorHAnsi"/>
          <w:b/>
        </w:rPr>
        <w:t xml:space="preserve"> </w:t>
      </w:r>
      <w:r w:rsidR="00F6137A" w:rsidRPr="00E97254">
        <w:rPr>
          <w:rFonts w:cstheme="minorHAnsi"/>
        </w:rPr>
        <w:t xml:space="preserve">është strategji për </w:t>
      </w:r>
      <w:r w:rsidR="00AB3F81" w:rsidRPr="00E97254">
        <w:rPr>
          <w:rFonts w:cstheme="minorHAnsi"/>
        </w:rPr>
        <w:t xml:space="preserve">instalimin dhe shfrytëzimin e infrastrukturës broadband në të gjitha sferat e jetës. </w:t>
      </w:r>
      <w:r w:rsidR="00D17ECD">
        <w:rPr>
          <w:rFonts w:cstheme="minorHAnsi"/>
        </w:rPr>
        <w:t>Midis</w:t>
      </w:r>
      <w:r w:rsidR="00AB3F81" w:rsidRPr="00E97254">
        <w:rPr>
          <w:rFonts w:cstheme="minorHAnsi"/>
        </w:rPr>
        <w:t xml:space="preserve"> shtatë objektivave </w:t>
      </w:r>
      <w:r w:rsidR="00513AF3" w:rsidRPr="00E97254">
        <w:rPr>
          <w:rFonts w:cstheme="minorHAnsi"/>
        </w:rPr>
        <w:t>specifik</w:t>
      </w:r>
      <w:r w:rsidR="00513AF3">
        <w:rPr>
          <w:rFonts w:cstheme="minorHAnsi"/>
        </w:rPr>
        <w:t>e</w:t>
      </w:r>
      <w:r w:rsidR="00513AF3" w:rsidRPr="00E97254">
        <w:rPr>
          <w:rFonts w:cstheme="minorHAnsi"/>
        </w:rPr>
        <w:t xml:space="preserve"> kombëtar</w:t>
      </w:r>
      <w:r w:rsidR="00513AF3">
        <w:rPr>
          <w:rFonts w:cstheme="minorHAnsi"/>
        </w:rPr>
        <w:t>e</w:t>
      </w:r>
      <w:r w:rsidR="00513AF3" w:rsidRPr="00E97254">
        <w:rPr>
          <w:rFonts w:cstheme="minorHAnsi"/>
        </w:rPr>
        <w:t xml:space="preserve"> </w:t>
      </w:r>
      <w:r w:rsidR="00AB3F81" w:rsidRPr="00E97254">
        <w:rPr>
          <w:rFonts w:cstheme="minorHAnsi"/>
        </w:rPr>
        <w:t>për broadband-in për periudhën 2020-2025, janë tre që ndërlidhen d</w:t>
      </w:r>
      <w:r>
        <w:rPr>
          <w:rFonts w:cstheme="minorHAnsi"/>
        </w:rPr>
        <w:t>rejtpërdrejt me arsimin:</w:t>
      </w:r>
    </w:p>
    <w:p w:rsidR="00AB3F81" w:rsidRPr="00E97254" w:rsidRDefault="004E1F53" w:rsidP="000C0250">
      <w:pPr>
        <w:pStyle w:val="ListParagraph"/>
        <w:numPr>
          <w:ilvl w:val="0"/>
          <w:numId w:val="41"/>
        </w:numPr>
        <w:spacing w:after="0"/>
        <w:ind w:left="357" w:hanging="357"/>
        <w:contextualSpacing w:val="0"/>
        <w:jc w:val="both"/>
        <w:rPr>
          <w:rFonts w:cstheme="minorHAnsi"/>
        </w:rPr>
      </w:pPr>
      <w:r>
        <w:rPr>
          <w:rFonts w:cstheme="minorHAnsi"/>
        </w:rPr>
        <w:t>nga fundi i vitit 2025 100% e shkollave të jenë të lidhura me internet broadband me shpejtësi të lartë me shpejtësi 1 Gbps;</w:t>
      </w:r>
    </w:p>
    <w:p w:rsidR="00AB3F81" w:rsidRPr="00E97254" w:rsidRDefault="004E1F53" w:rsidP="000C0250">
      <w:pPr>
        <w:pStyle w:val="ListParagraph"/>
        <w:numPr>
          <w:ilvl w:val="0"/>
          <w:numId w:val="41"/>
        </w:numPr>
        <w:spacing w:after="0"/>
        <w:ind w:left="357" w:hanging="357"/>
        <w:contextualSpacing w:val="0"/>
        <w:jc w:val="both"/>
        <w:rPr>
          <w:rFonts w:cstheme="minorHAnsi"/>
          <w:sz w:val="20"/>
        </w:rPr>
      </w:pPr>
      <w:r>
        <w:rPr>
          <w:rFonts w:cstheme="minorHAnsi"/>
        </w:rPr>
        <w:t>nga fundi i vitit 2025 100% e IAL-ve të jenë të lidhura me broadband me shpejtësi 1 Gbps;</w:t>
      </w:r>
    </w:p>
    <w:p w:rsidR="006F3E13" w:rsidRPr="00E97254" w:rsidRDefault="004E1F53" w:rsidP="000C0250">
      <w:pPr>
        <w:pStyle w:val="ListParagraph"/>
        <w:numPr>
          <w:ilvl w:val="0"/>
          <w:numId w:val="41"/>
        </w:numPr>
        <w:spacing w:after="0"/>
        <w:ind w:left="357" w:hanging="357"/>
        <w:contextualSpacing w:val="0"/>
        <w:rPr>
          <w:rFonts w:cstheme="minorHAnsi"/>
          <w:b/>
          <w:szCs w:val="24"/>
        </w:rPr>
      </w:pPr>
      <w:r>
        <w:rPr>
          <w:rFonts w:cstheme="minorHAnsi"/>
          <w:szCs w:val="24"/>
        </w:rPr>
        <w:t xml:space="preserve">rrjeti Akademik Shqiptar të jetë pjesë e rrjetit </w:t>
      </w:r>
      <w:r>
        <w:rPr>
          <w:rFonts w:cs="Calibri"/>
          <w:szCs w:val="24"/>
        </w:rPr>
        <w:t>evropian</w:t>
      </w:r>
      <w:r>
        <w:rPr>
          <w:rFonts w:cstheme="minorHAnsi"/>
          <w:szCs w:val="24"/>
        </w:rPr>
        <w:t xml:space="preserve"> të High Performance Computer (HPC).</w:t>
      </w:r>
    </w:p>
    <w:p w:rsidR="006F3E13" w:rsidRPr="00E97254" w:rsidRDefault="006F3E13" w:rsidP="000C0250">
      <w:pPr>
        <w:spacing w:after="0"/>
        <w:jc w:val="both"/>
        <w:rPr>
          <w:rFonts w:cstheme="minorHAnsi"/>
          <w:b/>
        </w:rPr>
      </w:pPr>
    </w:p>
    <w:p w:rsidR="00B41FE5" w:rsidRPr="00E97254" w:rsidRDefault="004E1F53" w:rsidP="000C0250">
      <w:pPr>
        <w:spacing w:after="0"/>
        <w:rPr>
          <w:rFonts w:cstheme="minorHAnsi"/>
          <w:b/>
          <w:sz w:val="24"/>
          <w:szCs w:val="24"/>
        </w:rPr>
      </w:pPr>
      <w:r>
        <w:rPr>
          <w:rFonts w:cstheme="minorHAnsi"/>
          <w:b/>
        </w:rPr>
        <w:t xml:space="preserve">Plani Kombëtar për Integrimin </w:t>
      </w:r>
      <w:r>
        <w:rPr>
          <w:rFonts w:cs="Calibri"/>
          <w:b/>
        </w:rPr>
        <w:t>Evropian</w:t>
      </w:r>
      <w:r>
        <w:rPr>
          <w:rFonts w:cstheme="minorHAnsi"/>
          <w:b/>
        </w:rPr>
        <w:t xml:space="preserve"> 2020-2022 (PKIE) </w:t>
      </w:r>
      <w:sdt>
        <w:sdtPr>
          <w:rPr>
            <w:rFonts w:cstheme="minorHAnsi"/>
            <w:b/>
          </w:rPr>
          <w:id w:val="-915480859"/>
          <w:citation/>
        </w:sdtPr>
        <w:sdtEndPr/>
        <w:sdtContent>
          <w:r w:rsidR="00EC56B7" w:rsidRPr="00E97254">
            <w:rPr>
              <w:rFonts w:cstheme="minorHAnsi"/>
              <w:b/>
            </w:rPr>
            <w:fldChar w:fldCharType="begin"/>
          </w:r>
          <w:r>
            <w:rPr>
              <w:rFonts w:cstheme="minorHAnsi"/>
              <w:b/>
            </w:rPr>
            <w:instrText xml:space="preserve"> CITATION Kës3 \l 1033 </w:instrText>
          </w:r>
          <w:r w:rsidR="00EC56B7" w:rsidRPr="00E97254">
            <w:rPr>
              <w:rFonts w:cstheme="minorHAnsi"/>
              <w:b/>
            </w:rPr>
            <w:fldChar w:fldCharType="separate"/>
          </w:r>
          <w:r w:rsidR="00724BCC" w:rsidRPr="00E97254">
            <w:rPr>
              <w:rFonts w:cstheme="minorHAnsi"/>
            </w:rPr>
            <w:t>[18]</w:t>
          </w:r>
          <w:r w:rsidR="00EC56B7" w:rsidRPr="00E97254">
            <w:rPr>
              <w:rFonts w:cstheme="minorHAnsi"/>
              <w:b/>
            </w:rPr>
            <w:fldChar w:fldCharType="end"/>
          </w:r>
        </w:sdtContent>
      </w:sdt>
      <w:r w:rsidR="00F706B2" w:rsidRPr="00E97254">
        <w:rPr>
          <w:rFonts w:cstheme="minorHAnsi"/>
          <w:b/>
        </w:rPr>
        <w:t xml:space="preserve"> </w:t>
      </w:r>
      <w:r w:rsidR="00D02A64" w:rsidRPr="00E97254">
        <w:rPr>
          <w:rFonts w:cstheme="minorHAnsi"/>
        </w:rPr>
        <w:t xml:space="preserve">ka për qëllim të koordinojë procesin e përafrimit të legjislacionit shqiptar me </w:t>
      </w:r>
      <w:r w:rsidR="00D02A64" w:rsidRPr="00E97254">
        <w:rPr>
          <w:rFonts w:cstheme="minorHAnsi"/>
          <w:i/>
        </w:rPr>
        <w:t>Aquis</w:t>
      </w:r>
      <w:r w:rsidR="00D02A64" w:rsidRPr="00E97254">
        <w:rPr>
          <w:rFonts w:cstheme="minorHAnsi"/>
        </w:rPr>
        <w:t xml:space="preserve"> të BE-së, duke synuar njëkohësisht plotësimin e detyrimeve në kuadër të Marrëveshjes së Stabilizim-Asocimit dhe detyrimet që lindin si pjesë e procesit të anëtarësimit në Bashkimin Evropian. </w:t>
      </w:r>
      <w:r>
        <w:rPr>
          <w:rFonts w:cstheme="minorHAnsi"/>
          <w:szCs w:val="24"/>
        </w:rPr>
        <w:t xml:space="preserve">Arsimi përfshihet në kapitullin 26 të PKIE, ku përmblidhen hapat kryesorë që duhen ndërmarrë deri në vitin 2022. </w:t>
      </w:r>
    </w:p>
    <w:p w:rsidR="00D02A64" w:rsidRPr="00E97254" w:rsidRDefault="004E1F53" w:rsidP="000C0250">
      <w:pPr>
        <w:spacing w:after="0"/>
        <w:jc w:val="both"/>
        <w:rPr>
          <w:rFonts w:cstheme="minorHAnsi"/>
          <w:b/>
        </w:rPr>
      </w:pPr>
      <w:r>
        <w:rPr>
          <w:rFonts w:cstheme="minorHAnsi"/>
        </w:rPr>
        <w:t xml:space="preserve"> </w:t>
      </w:r>
    </w:p>
    <w:p w:rsidR="00BA72D1" w:rsidRPr="00E97254" w:rsidRDefault="004E1F53" w:rsidP="000C0250">
      <w:pPr>
        <w:spacing w:after="0"/>
        <w:jc w:val="both"/>
        <w:rPr>
          <w:rFonts w:cstheme="minorHAnsi"/>
        </w:rPr>
      </w:pPr>
      <w:r>
        <w:rPr>
          <w:rFonts w:cstheme="minorHAnsi"/>
          <w:b/>
        </w:rPr>
        <w:t>Programi i Reformës Ekonomike 2021-2023</w:t>
      </w:r>
      <w:sdt>
        <w:sdtPr>
          <w:rPr>
            <w:rFonts w:cstheme="minorHAnsi"/>
          </w:rPr>
          <w:id w:val="-20254688"/>
          <w:citation/>
        </w:sdtPr>
        <w:sdtEndPr/>
        <w:sdtContent>
          <w:r w:rsidR="00EC56B7" w:rsidRPr="00E97254">
            <w:rPr>
              <w:rFonts w:cstheme="minorHAnsi"/>
            </w:rPr>
            <w:fldChar w:fldCharType="begin"/>
          </w:r>
          <w:r>
            <w:rPr>
              <w:rFonts w:cstheme="minorHAnsi"/>
            </w:rPr>
            <w:instrText xml:space="preserve">CITATION Kës20 \l 1033 </w:instrText>
          </w:r>
          <w:r w:rsidR="00EC56B7" w:rsidRPr="00E97254">
            <w:rPr>
              <w:rFonts w:cstheme="minorHAnsi"/>
            </w:rPr>
            <w:fldChar w:fldCharType="separate"/>
          </w:r>
          <w:r w:rsidR="00724BCC" w:rsidRPr="00E97254">
            <w:rPr>
              <w:rFonts w:cstheme="minorHAnsi"/>
            </w:rPr>
            <w:t xml:space="preserve"> [19]</w:t>
          </w:r>
          <w:r w:rsidR="00EC56B7" w:rsidRPr="00E97254">
            <w:rPr>
              <w:rFonts w:cstheme="minorHAnsi"/>
            </w:rPr>
            <w:fldChar w:fldCharType="end"/>
          </w:r>
        </w:sdtContent>
      </w:sdt>
      <w:r w:rsidR="00BA72D1" w:rsidRPr="00E97254">
        <w:rPr>
          <w:rFonts w:cstheme="minorHAnsi"/>
        </w:rPr>
        <w:t xml:space="preserve"> e trajton me përparësi cilësinë e arsimit dhe përfshirjen në arsim. Janë tri masa që lidhen me reformën në arsimin parauniversitar:</w:t>
      </w:r>
    </w:p>
    <w:p w:rsidR="00D36012" w:rsidRPr="00E97254" w:rsidRDefault="004E1F53" w:rsidP="000C0250">
      <w:pPr>
        <w:spacing w:after="0"/>
        <w:rPr>
          <w:rFonts w:cstheme="minorHAnsi"/>
          <w:sz w:val="24"/>
          <w:szCs w:val="24"/>
        </w:rPr>
      </w:pPr>
      <w:r>
        <w:rPr>
          <w:rFonts w:cstheme="minorHAnsi"/>
        </w:rPr>
        <w:t xml:space="preserve">Masa reformuese 14: Përfundimi i reformës kurrikulare parauniversitare, trajnimi dhe punësimi i mësuesve. Fokusi është në analizën dhe rishikimin e kurrikulës së re, si dhe në krijimin e kapaciteteve për zhvillimin profesional të mësuesve </w:t>
      </w:r>
      <w:r>
        <w:rPr>
          <w:rFonts w:cstheme="minorHAnsi"/>
          <w:sz w:val="24"/>
          <w:szCs w:val="24"/>
        </w:rPr>
        <w:t xml:space="preserve">në kuadër të IAL-ve. </w:t>
      </w:r>
    </w:p>
    <w:p w:rsidR="00BA72D1" w:rsidRPr="00E97254" w:rsidRDefault="004E1F53" w:rsidP="000C0250">
      <w:pPr>
        <w:spacing w:after="0"/>
        <w:rPr>
          <w:rFonts w:cstheme="minorHAnsi"/>
        </w:rPr>
      </w:pPr>
      <w:r>
        <w:rPr>
          <w:rFonts w:cstheme="minorHAnsi"/>
        </w:rPr>
        <w:lastRenderedPageBreak/>
        <w:t>Masa reformuese 15: Arsimi gjithëpërfshirës. Kjo masë kryesisht ka të bëj</w:t>
      </w:r>
      <w:r w:rsidR="001936F3" w:rsidRPr="00E97254">
        <w:rPr>
          <w:rFonts w:cstheme="minorHAnsi"/>
        </w:rPr>
        <w:t>ë</w:t>
      </w:r>
      <w:r w:rsidR="001D7F6F" w:rsidRPr="00E97254">
        <w:rPr>
          <w:rFonts w:cstheme="minorHAnsi"/>
        </w:rPr>
        <w:t xml:space="preserve"> me përfshirjen më të madhe të fëmijëve me aftësi të kufizuara në shkollë, rritjen e numrit të mësuesve ndihmës dhe trajnimin e tyre, si dhe </w:t>
      </w:r>
      <w:r>
        <w:rPr>
          <w:rFonts w:cstheme="minorHAnsi"/>
        </w:rPr>
        <w:t>minimizimin e numrit të klasave kolektive dhe transferimin e nxënësve në klasa të zakonshme.</w:t>
      </w:r>
    </w:p>
    <w:p w:rsidR="00006310" w:rsidRPr="00E97254" w:rsidRDefault="00006310" w:rsidP="000C0250">
      <w:pPr>
        <w:spacing w:after="0"/>
        <w:jc w:val="both"/>
        <w:rPr>
          <w:rFonts w:cstheme="minorHAnsi"/>
          <w:b/>
        </w:rPr>
      </w:pPr>
    </w:p>
    <w:p w:rsidR="00BA72D1" w:rsidRPr="00E97254" w:rsidRDefault="004E1F53" w:rsidP="000C0250">
      <w:pPr>
        <w:spacing w:after="0"/>
        <w:jc w:val="both"/>
        <w:rPr>
          <w:rFonts w:eastAsia="Times New Roman" w:cstheme="minorHAnsi"/>
          <w:color w:val="000000"/>
          <w:lang w:eastAsia="sq-AL"/>
        </w:rPr>
      </w:pPr>
      <w:r>
        <w:rPr>
          <w:rFonts w:cstheme="minorHAnsi"/>
          <w:b/>
        </w:rPr>
        <w:t>Programi Buxhetor Afatmesëm (PBA) 2021-2023</w:t>
      </w:r>
      <w:r>
        <w:rPr>
          <w:rFonts w:cs="Calibri"/>
        </w:rPr>
        <w:t xml:space="preserve"> </w:t>
      </w:r>
      <w:sdt>
        <w:sdtPr>
          <w:rPr>
            <w:rFonts w:cs="Calibri"/>
          </w:rPr>
          <w:id w:val="1135520395"/>
          <w:citation/>
        </w:sdtPr>
        <w:sdtEndPr/>
        <w:sdtContent>
          <w:r w:rsidR="00EC56B7" w:rsidRPr="00E97254">
            <w:rPr>
              <w:rFonts w:cs="Calibri"/>
            </w:rPr>
            <w:fldChar w:fldCharType="begin"/>
          </w:r>
          <w:r>
            <w:rPr>
              <w:rFonts w:cs="Calibri"/>
            </w:rPr>
            <w:instrText xml:space="preserve"> CITATION Kës19 \l 1033 </w:instrText>
          </w:r>
          <w:r w:rsidR="00EC56B7" w:rsidRPr="00E97254">
            <w:rPr>
              <w:rFonts w:cs="Calibri"/>
            </w:rPr>
            <w:fldChar w:fldCharType="separate"/>
          </w:r>
          <w:r w:rsidR="00724BCC" w:rsidRPr="00E97254">
            <w:rPr>
              <w:rFonts w:cs="Calibri"/>
            </w:rPr>
            <w:t>[20]</w:t>
          </w:r>
          <w:r w:rsidR="00EC56B7" w:rsidRPr="00E97254">
            <w:rPr>
              <w:rFonts w:cs="Calibri"/>
            </w:rPr>
            <w:fldChar w:fldCharType="end"/>
          </w:r>
        </w:sdtContent>
      </w:sdt>
      <w:r w:rsidR="006B27EE" w:rsidRPr="00E97254">
        <w:rPr>
          <w:rFonts w:cs="Calibri"/>
        </w:rPr>
        <w:t xml:space="preserve"> </w:t>
      </w:r>
      <w:r w:rsidR="00BA72D1" w:rsidRPr="00E97254">
        <w:rPr>
          <w:rFonts w:cs="Calibri"/>
        </w:rPr>
        <w:t>nuk parash</w:t>
      </w:r>
      <w:r w:rsidR="001338F4" w:rsidRPr="00E97254">
        <w:rPr>
          <w:rFonts w:cs="Calibri"/>
        </w:rPr>
        <w:t>ikon</w:t>
      </w:r>
      <w:r w:rsidR="00CE2E0F" w:rsidRPr="00E97254">
        <w:rPr>
          <w:rFonts w:cs="Calibri"/>
        </w:rPr>
        <w:t xml:space="preserve"> </w:t>
      </w:r>
      <w:r w:rsidR="00BA72D1" w:rsidRPr="00E97254">
        <w:rPr>
          <w:rFonts w:cstheme="minorHAnsi"/>
        </w:rPr>
        <w:t>ndonjë rritje të ndjeshme të buxhetit në nënsektorin e arsimit parauniversitar, ndërkaq brenda periudhës 3-v</w:t>
      </w:r>
      <w:r>
        <w:rPr>
          <w:rFonts w:cstheme="minorHAnsi"/>
        </w:rPr>
        <w:t xml:space="preserve">jeçare parashikohet rritje e buxhetit vjetor në </w:t>
      </w:r>
      <w:r>
        <w:rPr>
          <w:rFonts w:cstheme="minorHAnsi"/>
          <w:sz w:val="24"/>
          <w:szCs w:val="24"/>
        </w:rPr>
        <w:t xml:space="preserve">arsimin e lartë me 21.9% në raport me vitin 2020 </w:t>
      </w:r>
      <w:r>
        <w:rPr>
          <w:rFonts w:cstheme="minorHAnsi"/>
        </w:rPr>
        <w:t xml:space="preserve">. </w:t>
      </w:r>
    </w:p>
    <w:p w:rsidR="00BA72D1" w:rsidRPr="00E97254" w:rsidRDefault="00BA72D1" w:rsidP="000C0250">
      <w:pPr>
        <w:spacing w:after="0"/>
        <w:jc w:val="both"/>
        <w:rPr>
          <w:rFonts w:cstheme="minorHAnsi"/>
        </w:rPr>
      </w:pPr>
    </w:p>
    <w:p w:rsidR="00BA72D1" w:rsidRPr="00E97254" w:rsidRDefault="004E1F53" w:rsidP="000C0250">
      <w:pPr>
        <w:spacing w:after="0"/>
        <w:jc w:val="both"/>
        <w:rPr>
          <w:rFonts w:cstheme="minorHAnsi"/>
        </w:rPr>
      </w:pPr>
      <w:r>
        <w:rPr>
          <w:rFonts w:cstheme="minorHAnsi"/>
          <w:b/>
        </w:rPr>
        <w:t xml:space="preserve">Strategjia e Zhvillimit të Arsimit Parauniversitar 2014-2020 (SZHAPU).- </w:t>
      </w:r>
      <w:r>
        <w:rPr>
          <w:rFonts w:cstheme="minorHAnsi"/>
        </w:rPr>
        <w:t xml:space="preserve">Strategjia e aprovuar në janarin e vitit 2016 </w:t>
      </w:r>
      <w:sdt>
        <w:sdtPr>
          <w:rPr>
            <w:rFonts w:cstheme="minorHAnsi"/>
          </w:rPr>
          <w:id w:val="-1002584130"/>
          <w:citation/>
        </w:sdtPr>
        <w:sdtEndPr/>
        <w:sdtContent>
          <w:r w:rsidR="00EC56B7" w:rsidRPr="00E97254">
            <w:rPr>
              <w:rFonts w:cstheme="minorHAnsi"/>
            </w:rPr>
            <w:fldChar w:fldCharType="begin"/>
          </w:r>
          <w:r>
            <w:rPr>
              <w:rFonts w:cstheme="minorHAnsi"/>
            </w:rPr>
            <w:instrText xml:space="preserve"> CITATION QBZ16 \l 1033 </w:instrText>
          </w:r>
          <w:r w:rsidR="00EC56B7" w:rsidRPr="00E97254">
            <w:rPr>
              <w:rFonts w:cstheme="minorHAnsi"/>
            </w:rPr>
            <w:fldChar w:fldCharType="separate"/>
          </w:r>
          <w:r w:rsidR="00724BCC" w:rsidRPr="00E97254">
            <w:rPr>
              <w:rFonts w:cstheme="minorHAnsi"/>
            </w:rPr>
            <w:t>[2]</w:t>
          </w:r>
          <w:r w:rsidR="00EC56B7" w:rsidRPr="00E97254">
            <w:rPr>
              <w:rFonts w:cstheme="minorHAnsi"/>
            </w:rPr>
            <w:fldChar w:fldCharType="end"/>
          </w:r>
        </w:sdtContent>
      </w:sdt>
      <w:r w:rsidR="00BA72D1" w:rsidRPr="00E97254">
        <w:rPr>
          <w:rFonts w:cstheme="minorHAnsi"/>
        </w:rPr>
        <w:t xml:space="preserve"> shërben si dokume</w:t>
      </w:r>
      <w:r w:rsidR="00994E71" w:rsidRPr="00E97254">
        <w:rPr>
          <w:rFonts w:cstheme="minorHAnsi"/>
        </w:rPr>
        <w:t xml:space="preserve">nt </w:t>
      </w:r>
      <w:r w:rsidR="00BA72D1" w:rsidRPr="00E97254">
        <w:rPr>
          <w:rFonts w:cstheme="minorHAnsi"/>
        </w:rPr>
        <w:t xml:space="preserve">bazë i politikave për zhvillimin e sektorit të arsimit parauniversitar. Katër shtyllat e </w:t>
      </w:r>
      <w:r>
        <w:rPr>
          <w:rFonts w:cstheme="minorHAnsi"/>
        </w:rPr>
        <w:t>saj janë:</w:t>
      </w:r>
    </w:p>
    <w:p w:rsidR="00BA72D1" w:rsidRPr="00E97254" w:rsidRDefault="004E1F53" w:rsidP="000C0250">
      <w:pPr>
        <w:spacing w:after="0"/>
        <w:jc w:val="both"/>
        <w:rPr>
          <w:rFonts w:cstheme="minorHAnsi"/>
        </w:rPr>
      </w:pPr>
      <w:r>
        <w:rPr>
          <w:rFonts w:cstheme="minorHAnsi"/>
        </w:rPr>
        <w:t>A Përsosja e qeverisjes, udhëheqjes dhe menaxhimit të kapaciteteve dhe burimeve të SZHAPU-së;</w:t>
      </w:r>
    </w:p>
    <w:p w:rsidR="00BA72D1" w:rsidRPr="00E97254" w:rsidRDefault="004E1F53" w:rsidP="000C0250">
      <w:pPr>
        <w:spacing w:after="0"/>
        <w:jc w:val="both"/>
        <w:rPr>
          <w:rFonts w:cstheme="minorHAnsi"/>
        </w:rPr>
      </w:pPr>
      <w:r>
        <w:rPr>
          <w:rFonts w:cstheme="minorHAnsi"/>
        </w:rPr>
        <w:t>B Nxënia cilësore dhe gjithëpërfshirëse;</w:t>
      </w:r>
    </w:p>
    <w:p w:rsidR="00BA72D1" w:rsidRPr="00E97254" w:rsidRDefault="004E1F53" w:rsidP="000C0250">
      <w:pPr>
        <w:spacing w:after="0"/>
        <w:jc w:val="both"/>
        <w:rPr>
          <w:rFonts w:cstheme="minorHAnsi"/>
        </w:rPr>
      </w:pPr>
      <w:r>
        <w:rPr>
          <w:rFonts w:cstheme="minorHAnsi"/>
        </w:rPr>
        <w:t>C Sigurimi i cilësisë bazuar në standarde të krahasueshme me ato të vendeve të BE-së;</w:t>
      </w:r>
    </w:p>
    <w:p w:rsidR="00BA72D1" w:rsidRPr="00E97254" w:rsidRDefault="004E1F53" w:rsidP="000C0250">
      <w:pPr>
        <w:spacing w:after="0"/>
        <w:jc w:val="both"/>
        <w:rPr>
          <w:rFonts w:cstheme="minorHAnsi"/>
        </w:rPr>
      </w:pPr>
      <w:r>
        <w:rPr>
          <w:rFonts w:cstheme="minorHAnsi"/>
        </w:rPr>
        <w:t>D. Përgatitja dhe zhvillimi profesional bashkëkohor i mësuesve dhe i drejtuesve.</w:t>
      </w:r>
    </w:p>
    <w:p w:rsidR="00BA72D1" w:rsidRPr="00E97254" w:rsidRDefault="004E1F53" w:rsidP="000C0250">
      <w:pPr>
        <w:spacing w:after="0"/>
        <w:jc w:val="both"/>
        <w:rPr>
          <w:rFonts w:cstheme="minorHAnsi"/>
        </w:rPr>
      </w:pPr>
      <w:r>
        <w:rPr>
          <w:rFonts w:cstheme="minorHAnsi"/>
        </w:rPr>
        <w:t>Qëllimi i përgjithshëm i SZHAPU-së është të sigurojë gjithëpërfshirjen dhe qasjen e barabartë në arsimin për të gjithë. Në kontekstin e modernizimit të sistemit të saj arsimor, Shqipëria po krijon një program</w:t>
      </w:r>
      <w:r>
        <w:rPr>
          <w:rFonts w:cstheme="minorHAnsi"/>
          <w:sz w:val="24"/>
          <w:szCs w:val="24"/>
        </w:rPr>
        <w:t xml:space="preserve"> </w:t>
      </w:r>
      <w:r>
        <w:rPr>
          <w:rFonts w:cstheme="minorHAnsi"/>
        </w:rPr>
        <w:t xml:space="preserve"> për gjithëpërfshirjen sociale dhe po bën përpjekje për përmirësimin e arritjeve të nxënësve në të gjitha nivelet, për shembull, </w:t>
      </w:r>
      <w:r w:rsidR="00A50A43">
        <w:rPr>
          <w:rFonts w:cstheme="minorHAnsi"/>
        </w:rPr>
        <w:t>nëpërmjet</w:t>
      </w:r>
      <w:r>
        <w:rPr>
          <w:rFonts w:cstheme="minorHAnsi"/>
        </w:rPr>
        <w:t xml:space="preserve"> zhvillimit të kurrikulës së bazuar në kompetenca, zgjerimit të përdorimit të Teknologjisë dhe Informacionit dhe Komunikimit (TIK) në arsim dhe rikonceptimit të formimit të mësuesve.</w:t>
      </w:r>
    </w:p>
    <w:p w:rsidR="00BA72D1" w:rsidRPr="00E97254" w:rsidRDefault="00BA72D1" w:rsidP="000C0250">
      <w:pPr>
        <w:spacing w:after="0"/>
        <w:jc w:val="both"/>
        <w:rPr>
          <w:rFonts w:cstheme="minorHAnsi"/>
        </w:rPr>
      </w:pPr>
    </w:p>
    <w:p w:rsidR="005E65FC" w:rsidRPr="00E97254" w:rsidRDefault="004E1F53" w:rsidP="000C0250">
      <w:pPr>
        <w:spacing w:after="0"/>
        <w:jc w:val="both"/>
        <w:rPr>
          <w:rFonts w:cstheme="minorHAnsi"/>
        </w:rPr>
      </w:pPr>
      <w:r>
        <w:rPr>
          <w:rFonts w:cstheme="minorHAnsi"/>
          <w:b/>
        </w:rPr>
        <w:t>Plani Kombëtar i Veprimit për Rininë 2015-2020</w:t>
      </w:r>
      <w:r>
        <w:rPr>
          <w:rFonts w:cstheme="minorHAnsi"/>
        </w:rPr>
        <w:t xml:space="preserve"> ka për qëllim zhvillimin dhe koordinimin e politikave ndërsektoriale rinore në edukim, punësim, shëndetësi, kulturë dhe forcimin e pjesëmarrjes së të rinjve në jetën shoqërore dhe proceset vendimmarrëse. Një nga objektivat </w:t>
      </w:r>
      <w:r w:rsidR="00513AF3">
        <w:rPr>
          <w:rFonts w:cs="Calibri"/>
        </w:rPr>
        <w:t>strategjike</w:t>
      </w:r>
      <w:r w:rsidR="00513AF3">
        <w:rPr>
          <w:rFonts w:cstheme="minorHAnsi"/>
        </w:rPr>
        <w:t xml:space="preserve"> </w:t>
      </w:r>
      <w:r>
        <w:rPr>
          <w:rFonts w:cstheme="minorHAnsi"/>
        </w:rPr>
        <w:t xml:space="preserve">të këtij plani është “Edukimi i të rinjve”. Ky objektiv strategjik ndahet në gjashtë objektiva </w:t>
      </w:r>
      <w:r w:rsidR="00513AF3">
        <w:rPr>
          <w:rFonts w:cstheme="minorHAnsi"/>
        </w:rPr>
        <w:t>specifike</w:t>
      </w:r>
      <w:r>
        <w:rPr>
          <w:rFonts w:cstheme="minorHAnsi"/>
        </w:rPr>
        <w:t>:</w:t>
      </w:r>
    </w:p>
    <w:p w:rsidR="005E65FC" w:rsidRPr="00E97254" w:rsidRDefault="004E1F53" w:rsidP="000C0250">
      <w:pPr>
        <w:numPr>
          <w:ilvl w:val="0"/>
          <w:numId w:val="16"/>
        </w:numPr>
        <w:spacing w:after="0"/>
        <w:contextualSpacing/>
        <w:rPr>
          <w:rFonts w:cstheme="minorHAnsi"/>
        </w:rPr>
      </w:pPr>
      <w:r>
        <w:rPr>
          <w:rFonts w:cstheme="minorHAnsi"/>
        </w:rPr>
        <w:t>Përmirësimi i lëndëve/kurrikulave shkollore dhe procesit mësimor;</w:t>
      </w:r>
    </w:p>
    <w:p w:rsidR="005E65FC" w:rsidRPr="00E97254" w:rsidRDefault="004E1F53" w:rsidP="000C0250">
      <w:pPr>
        <w:numPr>
          <w:ilvl w:val="0"/>
          <w:numId w:val="16"/>
        </w:numPr>
        <w:spacing w:after="0"/>
        <w:contextualSpacing/>
        <w:rPr>
          <w:rFonts w:cstheme="minorHAnsi"/>
        </w:rPr>
      </w:pPr>
      <w:r>
        <w:rPr>
          <w:rFonts w:cstheme="minorHAnsi"/>
        </w:rPr>
        <w:t>Promovimi i Ekselencës dhe forcimi i kapaciteteve;</w:t>
      </w:r>
    </w:p>
    <w:p w:rsidR="005E65FC" w:rsidRPr="00E97254" w:rsidRDefault="004E1F53" w:rsidP="000C0250">
      <w:pPr>
        <w:numPr>
          <w:ilvl w:val="0"/>
          <w:numId w:val="16"/>
        </w:numPr>
        <w:spacing w:after="0"/>
        <w:contextualSpacing/>
        <w:rPr>
          <w:rFonts w:cstheme="minorHAnsi"/>
        </w:rPr>
      </w:pPr>
      <w:r>
        <w:rPr>
          <w:rFonts w:cstheme="minorHAnsi"/>
        </w:rPr>
        <w:t>Mbështetja e kërkuesve të rinj shkencorë;</w:t>
      </w:r>
    </w:p>
    <w:p w:rsidR="005E65FC" w:rsidRPr="00E97254" w:rsidRDefault="004E1F53" w:rsidP="000C0250">
      <w:pPr>
        <w:numPr>
          <w:ilvl w:val="0"/>
          <w:numId w:val="16"/>
        </w:numPr>
        <w:spacing w:after="0"/>
        <w:contextualSpacing/>
        <w:rPr>
          <w:rFonts w:cstheme="minorHAnsi"/>
        </w:rPr>
      </w:pPr>
      <w:r>
        <w:rPr>
          <w:rFonts w:cstheme="minorHAnsi"/>
        </w:rPr>
        <w:t>Përmirësimi i infrastrukturës së shkollave dhe mjedisit të mësimdhënies;</w:t>
      </w:r>
    </w:p>
    <w:p w:rsidR="000C71F4" w:rsidRPr="00E97254" w:rsidRDefault="004E1F53" w:rsidP="000C0250">
      <w:pPr>
        <w:numPr>
          <w:ilvl w:val="0"/>
          <w:numId w:val="16"/>
        </w:numPr>
        <w:spacing w:after="0"/>
        <w:contextualSpacing/>
        <w:rPr>
          <w:rFonts w:cstheme="minorHAnsi"/>
        </w:rPr>
      </w:pPr>
      <w:r>
        <w:rPr>
          <w:rFonts w:cstheme="minorHAnsi"/>
        </w:rPr>
        <w:t>Forcimi i Shkollave të Arsimit Profesional;</w:t>
      </w:r>
    </w:p>
    <w:p w:rsidR="005E65FC" w:rsidRPr="00E97254" w:rsidRDefault="004E1F53" w:rsidP="000C0250">
      <w:pPr>
        <w:numPr>
          <w:ilvl w:val="0"/>
          <w:numId w:val="16"/>
        </w:numPr>
        <w:spacing w:after="0"/>
        <w:contextualSpacing/>
        <w:rPr>
          <w:rFonts w:cstheme="minorHAnsi"/>
        </w:rPr>
      </w:pPr>
      <w:r>
        <w:rPr>
          <w:rFonts w:cstheme="minorHAnsi"/>
        </w:rPr>
        <w:t>Programe edukimi për të rinjtë jashtë sistemit arsimor dhe atyre nga grupet minoritare/vulnerabile.</w:t>
      </w:r>
    </w:p>
    <w:p w:rsidR="000C71F4" w:rsidRPr="00E97254" w:rsidRDefault="000C71F4" w:rsidP="000C0250">
      <w:pPr>
        <w:spacing w:after="0"/>
        <w:jc w:val="both"/>
        <w:rPr>
          <w:b/>
        </w:rPr>
      </w:pPr>
    </w:p>
    <w:p w:rsidR="00B16343" w:rsidRPr="00E97254" w:rsidRDefault="004E1F53" w:rsidP="000C0250">
      <w:pPr>
        <w:spacing w:after="0"/>
        <w:jc w:val="both"/>
      </w:pPr>
      <w:r>
        <w:rPr>
          <w:b/>
        </w:rPr>
        <w:t xml:space="preserve">Strategjia Kombëtare për Punësim dhe Aftësi 2019 - 2022 </w:t>
      </w:r>
      <w:sdt>
        <w:sdtPr>
          <w:rPr>
            <w:b/>
          </w:rPr>
          <w:id w:val="-1012685841"/>
          <w:citation/>
        </w:sdtPr>
        <w:sdtEndPr/>
        <w:sdtContent>
          <w:r w:rsidR="00EC56B7" w:rsidRPr="00E97254">
            <w:rPr>
              <w:b/>
            </w:rPr>
            <w:fldChar w:fldCharType="begin"/>
          </w:r>
          <w:r>
            <w:rPr>
              <w:b/>
            </w:rPr>
            <w:instrText xml:space="preserve"> CITATION Kës192 \l 1033 </w:instrText>
          </w:r>
          <w:r w:rsidR="00EC56B7" w:rsidRPr="00E97254">
            <w:rPr>
              <w:b/>
            </w:rPr>
            <w:fldChar w:fldCharType="separate"/>
          </w:r>
          <w:r w:rsidR="00724BCC" w:rsidRPr="00E97254">
            <w:t>[21]</w:t>
          </w:r>
          <w:r w:rsidR="00EC56B7" w:rsidRPr="00E97254">
            <w:rPr>
              <w:b/>
            </w:rPr>
            <w:fldChar w:fldCharType="end"/>
          </w:r>
        </w:sdtContent>
      </w:sdt>
      <w:r w:rsidR="00D60150" w:rsidRPr="00E97254">
        <w:rPr>
          <w:b/>
        </w:rPr>
        <w:t xml:space="preserve"> </w:t>
      </w:r>
      <w:r w:rsidR="00B16343" w:rsidRPr="00E97254">
        <w:t>synon të kemi një ekonomi konkurruese dhe një shoqëri gjithëpërfshirëse që mbështetet tek “Aftësi më të larta dhe punë më të mirë për gjithë femrat dhe meshkujt ”</w:t>
      </w:r>
      <w:r>
        <w:t xml:space="preserve">. Qëllimi i përgjithshëm i Strategjisë është të nxisë vende pune cilësore dhe mundësi për aftësi për gjithë femrat dhe meshkujt shqiptarë gjatë gjithë ciklit të jetës. Ky qëllim do të arrihet me veprimtari politike koherente dhe të bashkërenduara, të cilat njëkohësisht i përgjigjen kërkesës dhe ofertës për punë, si dhe sjellin mënjanimin e hendeqeve të përfshirjes sociale. Strategjia Kombëtare për </w:t>
      </w:r>
      <w:r>
        <w:lastRenderedPageBreak/>
        <w:t>Punësim dhe Aftësi përqendrohet në katër përparësi strategjike: A Nxitja e mundësive për punë të denjë nëpërmjet politikave të frytshme të tregut të punës; B Ofrimi i arsimit dhe formimit profesional cilësor për të rinjtë dhe të rriturit; C Nxitja e përfshirjes sociale dhe kohezionit territorial; dhe D. Fuqizimi i qeverisjes së tregut të punës dhe i sistemeve të kualifikimeve profesionale.</w:t>
      </w:r>
    </w:p>
    <w:p w:rsidR="00D948CA" w:rsidRPr="00E97254" w:rsidRDefault="00D948CA" w:rsidP="000C0250">
      <w:pPr>
        <w:spacing w:after="0"/>
        <w:jc w:val="both"/>
        <w:rPr>
          <w:rFonts w:cstheme="minorHAnsi"/>
          <w:b/>
        </w:rPr>
      </w:pPr>
    </w:p>
    <w:p w:rsidR="002179F5" w:rsidRPr="00E97254" w:rsidRDefault="004E1F53" w:rsidP="000C0250">
      <w:pPr>
        <w:spacing w:after="0"/>
        <w:jc w:val="both"/>
        <w:rPr>
          <w:rFonts w:cstheme="minorHAnsi"/>
        </w:rPr>
      </w:pPr>
      <w:r>
        <w:rPr>
          <w:rFonts w:cstheme="minorHAnsi"/>
          <w:b/>
        </w:rPr>
        <w:t>Strategjia kombëtare e mbrojtje</w:t>
      </w:r>
      <w:r w:rsidR="00503034">
        <w:rPr>
          <w:rFonts w:cstheme="minorHAnsi"/>
          <w:b/>
        </w:rPr>
        <w:t>s</w:t>
      </w:r>
      <w:r w:rsidR="009336F3" w:rsidRPr="00E97254">
        <w:rPr>
          <w:rFonts w:cstheme="minorHAnsi"/>
          <w:b/>
        </w:rPr>
        <w:t xml:space="preserve"> sociale</w:t>
      </w:r>
      <w:r w:rsidR="002B257B" w:rsidRPr="00E97254">
        <w:rPr>
          <w:rFonts w:cstheme="minorHAnsi"/>
          <w:b/>
        </w:rPr>
        <w:t xml:space="preserve"> </w:t>
      </w:r>
      <w:r w:rsidR="009336F3" w:rsidRPr="00E97254">
        <w:rPr>
          <w:rFonts w:cstheme="minorHAnsi"/>
          <w:b/>
        </w:rPr>
        <w:t>2020-2023</w:t>
      </w:r>
      <w:r w:rsidR="002B257B" w:rsidRPr="00E97254">
        <w:rPr>
          <w:rFonts w:cstheme="minorHAnsi"/>
          <w:b/>
        </w:rPr>
        <w:t xml:space="preserve"> </w:t>
      </w:r>
      <w:sdt>
        <w:sdtPr>
          <w:rPr>
            <w:rFonts w:cstheme="minorHAnsi"/>
            <w:b/>
          </w:rPr>
          <w:id w:val="1198738128"/>
          <w:citation/>
        </w:sdtPr>
        <w:sdtEndPr/>
        <w:sdtContent>
          <w:r w:rsidR="00EC56B7" w:rsidRPr="00E97254">
            <w:rPr>
              <w:rFonts w:cstheme="minorHAnsi"/>
              <w:b/>
            </w:rPr>
            <w:fldChar w:fldCharType="begin"/>
          </w:r>
          <w:r>
            <w:rPr>
              <w:rFonts w:cstheme="minorHAnsi"/>
              <w:b/>
            </w:rPr>
            <w:instrText xml:space="preserve"> CITATION Kës191 \l 1033 </w:instrText>
          </w:r>
          <w:r w:rsidR="00EC56B7" w:rsidRPr="00E97254">
            <w:rPr>
              <w:rFonts w:cstheme="minorHAnsi"/>
              <w:b/>
            </w:rPr>
            <w:fldChar w:fldCharType="separate"/>
          </w:r>
          <w:r w:rsidR="00724BCC" w:rsidRPr="00E97254">
            <w:rPr>
              <w:rFonts w:cstheme="minorHAnsi"/>
            </w:rPr>
            <w:t>[22]</w:t>
          </w:r>
          <w:r w:rsidR="00EC56B7" w:rsidRPr="00E97254">
            <w:rPr>
              <w:rFonts w:cstheme="minorHAnsi"/>
              <w:b/>
            </w:rPr>
            <w:fldChar w:fldCharType="end"/>
          </w:r>
        </w:sdtContent>
      </w:sdt>
      <w:r w:rsidR="002179F5" w:rsidRPr="00E97254">
        <w:rPr>
          <w:rFonts w:cstheme="minorHAnsi"/>
          <w:b/>
        </w:rPr>
        <w:t xml:space="preserve">.- </w:t>
      </w:r>
      <w:r w:rsidR="002179F5" w:rsidRPr="00E97254">
        <w:rPr>
          <w:rFonts w:cstheme="minorHAnsi"/>
        </w:rPr>
        <w:t>Vizioni i strategjisë është “Ndërtimi i një sistemi mbrojtje</w:t>
      </w:r>
      <w:r w:rsidR="00503034">
        <w:rPr>
          <w:rFonts w:cstheme="minorHAnsi"/>
        </w:rPr>
        <w:t>je</w:t>
      </w:r>
      <w:r w:rsidR="002179F5" w:rsidRPr="00E97254">
        <w:rPr>
          <w:rFonts w:cstheme="minorHAnsi"/>
        </w:rPr>
        <w:t xml:space="preserve"> sociale </w:t>
      </w:r>
      <w:r w:rsidR="00A15EC6" w:rsidRPr="00E97254">
        <w:rPr>
          <w:rFonts w:cstheme="minorHAnsi"/>
        </w:rPr>
        <w:t>që të luftojë pabarazitë socio-e</w:t>
      </w:r>
      <w:r w:rsidR="002179F5" w:rsidRPr="00E97254">
        <w:rPr>
          <w:rFonts w:cstheme="minorHAnsi"/>
        </w:rPr>
        <w:t>konomike, parashikimi i një sistemi që ka politikat dhe mekanizmat për të mbrojtur të gjithë individët në nevojë ose të përjashtuar nëpërmjet programeve parandaluese dhe ri</w:t>
      </w:r>
      <w:r>
        <w:rPr>
          <w:rFonts w:cstheme="minorHAnsi"/>
        </w:rPr>
        <w:t xml:space="preserve">-integrimit social alternuar me skemat e punësimit”. Në kuadër të objektivit </w:t>
      </w:r>
      <w:r>
        <w:rPr>
          <w:rFonts w:cs="Calibri"/>
        </w:rPr>
        <w:t>“</w:t>
      </w:r>
      <w:r>
        <w:rPr>
          <w:rFonts w:cstheme="minorHAnsi"/>
        </w:rPr>
        <w:t>Reformimi i sistemit të vlerësimit të aftësisë së kufizuar për të realizuar vlerësimin biopsikosocial duke ulur me 10% rastet abuzive të përfituesve që nuk shfaqin aftësi të kufizuara brenda vitit 2020 dhe duke miradministruar fondin, që shkon për përfitimet në pagesa në masën 17% deri në vitin 2022</w:t>
      </w:r>
      <w:r>
        <w:rPr>
          <w:rFonts w:cs="Calibri"/>
        </w:rPr>
        <w:t>”,</w:t>
      </w:r>
      <w:r>
        <w:rPr>
          <w:rFonts w:cstheme="minorHAnsi"/>
        </w:rPr>
        <w:t xml:space="preserve"> parashikohet reduktimi i pagesës për fëmijët, që do të shoqërohet me krijimin e shportës së shërbimeve për fëmijët me aftësi të kufizuara, në kuadrin e reformës së shërbimeve sociale dhe me masat e marra nga Ministria e Arsimit, Sportit dhe Rinisë për integrimin e mbështetur të fëmijëve me aftësi të kufizuara në të gjitha shkollat e vendit. Rritja e bashkëpunimit me strukturat arsimore do të ketë si qëllim shkëmbimin reciprok të informacionit për fëmijët e moshës parashkollore dhe shkollore, për të realizuar vlerësimin e drejtë të aftësive për kryerjen e veprimtarive bazë të jetës, në përputhje me grup-moshat, si edhe për të siguruar identifikimin dhe plotësimin e nevojave aftësuese të këtyre fëmijëve në kuadrin e sistemit arsimor gjithëpërfshirës e special.</w:t>
      </w:r>
    </w:p>
    <w:p w:rsidR="00591CEF" w:rsidRPr="00E97254" w:rsidRDefault="00591CEF" w:rsidP="000C0250">
      <w:pPr>
        <w:spacing w:after="0"/>
        <w:jc w:val="both"/>
        <w:rPr>
          <w:rFonts w:cstheme="minorHAnsi"/>
          <w:b/>
        </w:rPr>
      </w:pPr>
    </w:p>
    <w:p w:rsidR="00BA72D1" w:rsidRPr="00E97254" w:rsidRDefault="004E1F53" w:rsidP="000C0250">
      <w:pPr>
        <w:spacing w:after="0"/>
        <w:jc w:val="both"/>
        <w:rPr>
          <w:rFonts w:cstheme="minorHAnsi"/>
        </w:rPr>
      </w:pPr>
      <w:r>
        <w:rPr>
          <w:rFonts w:cstheme="minorHAnsi"/>
          <w:b/>
        </w:rPr>
        <w:t xml:space="preserve">Pakti për Universitetin.- </w:t>
      </w:r>
      <w:r>
        <w:rPr>
          <w:rFonts w:cstheme="minorHAnsi"/>
        </w:rPr>
        <w:t xml:space="preserve">Pakti për Universitetin </w:t>
      </w:r>
      <w:sdt>
        <w:sdtPr>
          <w:rPr>
            <w:rFonts w:cstheme="minorHAnsi"/>
          </w:rPr>
          <w:id w:val="1059215868"/>
          <w:citation/>
        </w:sdtPr>
        <w:sdtEndPr/>
        <w:sdtContent>
          <w:r w:rsidR="00EC56B7" w:rsidRPr="00E97254">
            <w:rPr>
              <w:rFonts w:cstheme="minorHAnsi"/>
            </w:rPr>
            <w:fldChar w:fldCharType="begin"/>
          </w:r>
          <w:r>
            <w:rPr>
              <w:rFonts w:cstheme="minorHAnsi"/>
            </w:rPr>
            <w:instrText xml:space="preserve"> CITATION Kës18 \l 1033 </w:instrText>
          </w:r>
          <w:r w:rsidR="00EC56B7" w:rsidRPr="00E97254">
            <w:rPr>
              <w:rFonts w:cstheme="minorHAnsi"/>
            </w:rPr>
            <w:fldChar w:fldCharType="separate"/>
          </w:r>
          <w:r w:rsidR="00724BCC" w:rsidRPr="00E97254">
            <w:rPr>
              <w:rFonts w:cstheme="minorHAnsi"/>
            </w:rPr>
            <w:t>[23]</w:t>
          </w:r>
          <w:r w:rsidR="00EC56B7" w:rsidRPr="00E97254">
            <w:rPr>
              <w:rFonts w:cstheme="minorHAnsi"/>
            </w:rPr>
            <w:fldChar w:fldCharType="end"/>
          </w:r>
        </w:sdtContent>
      </w:sdt>
      <w:r w:rsidR="00BA72D1" w:rsidRPr="00E97254">
        <w:rPr>
          <w:rFonts w:cstheme="minorHAnsi"/>
        </w:rPr>
        <w:t xml:space="preserve"> u hartua në dhjetorin e vitit 2018 dhe paraqet një dokument angazhimesh për të </w:t>
      </w:r>
      <w:r w:rsidR="00A50A43">
        <w:rPr>
          <w:rFonts w:cstheme="minorHAnsi"/>
        </w:rPr>
        <w:t>trajt</w:t>
      </w:r>
      <w:r w:rsidR="00BA72D1" w:rsidRPr="00E97254">
        <w:rPr>
          <w:rFonts w:cstheme="minorHAnsi"/>
        </w:rPr>
        <w:t xml:space="preserve">uar kërkesat studentore për kushte më të mira të studimeve, </w:t>
      </w:r>
      <w:r w:rsidR="00FF23F5" w:rsidRPr="00E97254">
        <w:rPr>
          <w:rFonts w:cstheme="minorHAnsi"/>
        </w:rPr>
        <w:t>p</w:t>
      </w:r>
      <w:r w:rsidR="00FF23F5" w:rsidRPr="00E97254">
        <w:rPr>
          <w:rFonts w:ascii="Segoe UI Symbol" w:hAnsi="Segoe UI Symbol" w:cstheme="minorHAnsi"/>
          <w:lang w:eastAsia="ja-JP"/>
        </w:rPr>
        <w:t>ërmirësim</w:t>
      </w:r>
      <w:r w:rsidR="00FF23F5" w:rsidRPr="00E97254">
        <w:rPr>
          <w:rFonts w:cstheme="minorHAnsi"/>
        </w:rPr>
        <w:t xml:space="preserve"> </w:t>
      </w:r>
      <w:r w:rsidR="00BA72D1" w:rsidRPr="00E97254">
        <w:rPr>
          <w:rFonts w:cstheme="minorHAnsi"/>
        </w:rPr>
        <w:t xml:space="preserve">të cilësisë, integritet akademik, transparencë dhe llogaridhënie në arsimin e lartë. </w:t>
      </w:r>
      <w:r w:rsidR="00406509" w:rsidRPr="00E97254">
        <w:rPr>
          <w:rFonts w:cstheme="minorHAnsi"/>
        </w:rPr>
        <w:t>Disa nga pikat kryesore të Paktit janë:</w:t>
      </w:r>
    </w:p>
    <w:p w:rsidR="00D5577A" w:rsidRPr="00E97254" w:rsidRDefault="004E1F53" w:rsidP="000C0250">
      <w:pPr>
        <w:pStyle w:val="ListParagraph"/>
        <w:numPr>
          <w:ilvl w:val="0"/>
          <w:numId w:val="10"/>
        </w:numPr>
        <w:spacing w:after="0"/>
        <w:jc w:val="both"/>
        <w:rPr>
          <w:rFonts w:cstheme="minorHAnsi"/>
        </w:rPr>
      </w:pPr>
      <w:r>
        <w:rPr>
          <w:rFonts w:cs="Calibri"/>
        </w:rPr>
        <w:t>Përgjysmimi i</w:t>
      </w:r>
      <w:r>
        <w:rPr>
          <w:rFonts w:cstheme="minorHAnsi"/>
        </w:rPr>
        <w:t xml:space="preserve"> tarifës maksimale së studimit për ciklin e parë, përmirësimin e mësimdhënies dhe infrastrukturës (IAL dhe konvikte);</w:t>
      </w:r>
    </w:p>
    <w:p w:rsidR="00D5577A" w:rsidRPr="00E97254" w:rsidRDefault="004E1F53" w:rsidP="000C0250">
      <w:pPr>
        <w:pStyle w:val="ListParagraph"/>
        <w:numPr>
          <w:ilvl w:val="0"/>
          <w:numId w:val="10"/>
        </w:numPr>
        <w:spacing w:after="0"/>
        <w:ind w:left="714" w:hanging="357"/>
        <w:contextualSpacing w:val="0"/>
        <w:jc w:val="both"/>
        <w:rPr>
          <w:rFonts w:cstheme="minorHAnsi"/>
        </w:rPr>
      </w:pPr>
      <w:r>
        <w:rPr>
          <w:rFonts w:cstheme="minorHAnsi"/>
        </w:rPr>
        <w:t>Transparenca me buxhetin e të gjitha institucioneve publike të arsimit të lartë;</w:t>
      </w:r>
    </w:p>
    <w:p w:rsidR="00D5577A" w:rsidRPr="00E97254" w:rsidRDefault="004E1F53" w:rsidP="000C0250">
      <w:pPr>
        <w:pStyle w:val="ListParagraph"/>
        <w:numPr>
          <w:ilvl w:val="0"/>
          <w:numId w:val="10"/>
        </w:numPr>
        <w:spacing w:after="0"/>
        <w:jc w:val="both"/>
        <w:rPr>
          <w:rFonts w:cstheme="minorHAnsi"/>
        </w:rPr>
      </w:pPr>
      <w:r>
        <w:rPr>
          <w:rFonts w:cstheme="minorHAnsi"/>
        </w:rPr>
        <w:t>Përfaqësimi i studentëve në Bordin e Administrimit të IAL-ve</w:t>
      </w:r>
      <w:r>
        <w:rPr>
          <w:rFonts w:cs="Calibri"/>
        </w:rPr>
        <w:t>;</w:t>
      </w:r>
    </w:p>
    <w:p w:rsidR="00D5577A" w:rsidRPr="00E97254" w:rsidRDefault="004E1F53" w:rsidP="000C0250">
      <w:pPr>
        <w:pStyle w:val="ListParagraph"/>
        <w:numPr>
          <w:ilvl w:val="0"/>
          <w:numId w:val="10"/>
        </w:numPr>
        <w:spacing w:after="0"/>
        <w:jc w:val="both"/>
        <w:rPr>
          <w:rFonts w:cstheme="minorHAnsi"/>
        </w:rPr>
      </w:pPr>
      <w:r>
        <w:rPr>
          <w:rFonts w:cstheme="minorHAnsi"/>
        </w:rPr>
        <w:t>Pajisja me Kartë Studenti e të gjithë studentëve brenda vitit akademik 2018 – 2019</w:t>
      </w:r>
      <w:r>
        <w:rPr>
          <w:rFonts w:cs="Calibri"/>
        </w:rPr>
        <w:t>;</w:t>
      </w:r>
    </w:p>
    <w:p w:rsidR="00D5577A" w:rsidRPr="00E97254" w:rsidRDefault="004E1F53" w:rsidP="000C0250">
      <w:pPr>
        <w:pStyle w:val="ListParagraph"/>
        <w:numPr>
          <w:ilvl w:val="0"/>
          <w:numId w:val="10"/>
        </w:numPr>
        <w:spacing w:after="0"/>
        <w:jc w:val="both"/>
        <w:rPr>
          <w:rFonts w:cstheme="minorHAnsi"/>
        </w:rPr>
      </w:pPr>
      <w:r>
        <w:rPr>
          <w:rFonts w:cstheme="minorHAnsi"/>
        </w:rPr>
        <w:t>Verifikimi i plagjiaturave të disertacioneve për fitimin e gradave shkencore</w:t>
      </w:r>
      <w:r>
        <w:rPr>
          <w:rFonts w:cs="Calibri"/>
        </w:rPr>
        <w:t>;</w:t>
      </w:r>
    </w:p>
    <w:p w:rsidR="00D5577A" w:rsidRPr="00E97254" w:rsidRDefault="004E1F53" w:rsidP="000C0250">
      <w:pPr>
        <w:pStyle w:val="ListParagraph"/>
        <w:numPr>
          <w:ilvl w:val="0"/>
          <w:numId w:val="10"/>
        </w:numPr>
        <w:spacing w:after="0"/>
        <w:jc w:val="both"/>
        <w:rPr>
          <w:rFonts w:cstheme="minorHAnsi"/>
        </w:rPr>
      </w:pPr>
      <w:r>
        <w:rPr>
          <w:rFonts w:cstheme="minorHAnsi"/>
        </w:rPr>
        <w:t xml:space="preserve">Ndërtimi i bibliotekave me standarde </w:t>
      </w:r>
      <w:r>
        <w:rPr>
          <w:rFonts w:cs="Calibri"/>
        </w:rPr>
        <w:t>evropiane</w:t>
      </w:r>
      <w:r>
        <w:rPr>
          <w:rFonts w:cstheme="minorHAnsi"/>
        </w:rPr>
        <w:t xml:space="preserve"> dhe me libër universitar online falas për studentët në gjuhën shqipe</w:t>
      </w:r>
      <w:r>
        <w:rPr>
          <w:rFonts w:cs="Calibri"/>
        </w:rPr>
        <w:t>.</w:t>
      </w:r>
    </w:p>
    <w:p w:rsidR="00BA72D1" w:rsidRPr="00E97254" w:rsidRDefault="004E1F53" w:rsidP="000C0250">
      <w:pPr>
        <w:pStyle w:val="ListParagraph"/>
        <w:numPr>
          <w:ilvl w:val="0"/>
          <w:numId w:val="10"/>
        </w:numPr>
        <w:spacing w:after="0"/>
        <w:jc w:val="both"/>
        <w:rPr>
          <w:rFonts w:cstheme="minorHAnsi"/>
        </w:rPr>
      </w:pPr>
      <w:r>
        <w:rPr>
          <w:rFonts w:cs="Calibri"/>
        </w:rPr>
        <w:t xml:space="preserve">Vlerësimi i performancës në mësimdhënie të personelit akademik nëpërmjet Sondazhit Kombëtar të Studentëve </w:t>
      </w:r>
    </w:p>
    <w:p w:rsidR="00941864" w:rsidRPr="00E97254" w:rsidRDefault="00FA5606" w:rsidP="000C0250">
      <w:pPr>
        <w:pStyle w:val="Heading2"/>
        <w:jc w:val="both"/>
      </w:pPr>
      <w:bookmarkStart w:id="24" w:name="_Toc45624213"/>
      <w:bookmarkStart w:id="25" w:name="_Toc66801982"/>
      <w:r w:rsidRPr="00FA5606">
        <w:lastRenderedPageBreak/>
        <w:t>3.4. Kuadri ligjor dhe institucional</w:t>
      </w:r>
      <w:bookmarkEnd w:id="24"/>
      <w:bookmarkEnd w:id="25"/>
    </w:p>
    <w:p w:rsidR="00C02DAA" w:rsidRPr="00E97254" w:rsidRDefault="00FA5606" w:rsidP="000C0250">
      <w:pPr>
        <w:pStyle w:val="Heading3"/>
        <w:jc w:val="both"/>
      </w:pPr>
      <w:bookmarkStart w:id="26" w:name="_Toc45624214"/>
      <w:bookmarkStart w:id="27" w:name="_Toc66801983"/>
      <w:r w:rsidRPr="00FA5606">
        <w:t>3.4.1. Kuadri ligjor</w:t>
      </w:r>
      <w:bookmarkEnd w:id="26"/>
      <w:bookmarkEnd w:id="27"/>
    </w:p>
    <w:p w:rsidR="006679BA" w:rsidRPr="00E97254" w:rsidRDefault="004E1F53" w:rsidP="000C0250">
      <w:pPr>
        <w:spacing w:before="120" w:after="0"/>
        <w:jc w:val="both"/>
        <w:rPr>
          <w:rFonts w:ascii="Calibri" w:hAnsi="Calibri" w:cs="Calibri"/>
        </w:rPr>
      </w:pPr>
      <w:r>
        <w:rPr>
          <w:rFonts w:ascii="Calibri" w:hAnsi="Calibri" w:cs="Calibri"/>
        </w:rPr>
        <w:t xml:space="preserve">Legjislacioni shqiptar në fushën e arsimit ka avancuar dukshëm në dekadën e fundit. Këtë arritje e njeh edhe Progres Raporti më i fundit i BE-së, i cili vlerëson, se nisur nga perspektiva e legjislacionit arsimor, Shqipëria është mjaft e përgatitur për anëtarësim në BE </w:t>
      </w:r>
      <w:sdt>
        <w:sdtPr>
          <w:rPr>
            <w:rFonts w:ascii="Calibri" w:hAnsi="Calibri" w:cs="Calibri"/>
          </w:rPr>
          <w:id w:val="-169421242"/>
          <w:citation/>
        </w:sdtPr>
        <w:sdtEndPr/>
        <w:sdtContent>
          <w:r w:rsidR="00EC56B7" w:rsidRPr="00E97254">
            <w:rPr>
              <w:rFonts w:ascii="Calibri" w:hAnsi="Calibri" w:cs="Calibri"/>
            </w:rPr>
            <w:fldChar w:fldCharType="begin"/>
          </w:r>
          <w:r>
            <w:rPr>
              <w:rFonts w:ascii="Calibri" w:hAnsi="Calibri" w:cs="Calibri"/>
            </w:rPr>
            <w:instrText xml:space="preserve"> CITATION Eur18 \l 1033 </w:instrText>
          </w:r>
          <w:r w:rsidR="00EC56B7" w:rsidRPr="00E97254">
            <w:rPr>
              <w:rFonts w:ascii="Calibri" w:hAnsi="Calibri" w:cs="Calibri"/>
            </w:rPr>
            <w:fldChar w:fldCharType="separate"/>
          </w:r>
          <w:r w:rsidR="00724BCC" w:rsidRPr="00E97254">
            <w:rPr>
              <w:rFonts w:ascii="Calibri" w:hAnsi="Calibri" w:cs="Calibri"/>
            </w:rPr>
            <w:t>[24]</w:t>
          </w:r>
          <w:r w:rsidR="00EC56B7" w:rsidRPr="00E97254">
            <w:rPr>
              <w:rFonts w:ascii="Calibri" w:hAnsi="Calibri" w:cs="Calibri"/>
            </w:rPr>
            <w:fldChar w:fldCharType="end"/>
          </w:r>
        </w:sdtContent>
      </w:sdt>
      <w:r w:rsidR="00683EE9" w:rsidRPr="00E97254">
        <w:rPr>
          <w:rFonts w:ascii="Calibri" w:hAnsi="Calibri" w:cs="Calibri"/>
        </w:rPr>
        <w:t xml:space="preserve">. </w:t>
      </w:r>
      <w:r w:rsidR="006679BA" w:rsidRPr="00E97254">
        <w:rPr>
          <w:rFonts w:ascii="Calibri" w:hAnsi="Calibri" w:cs="Calibri"/>
        </w:rPr>
        <w:t>Këtë legjisl</w:t>
      </w:r>
      <w:r w:rsidR="00DA4A20" w:rsidRPr="00E97254">
        <w:rPr>
          <w:rFonts w:ascii="Calibri" w:hAnsi="Calibri" w:cs="Calibri"/>
        </w:rPr>
        <w:t>a</w:t>
      </w:r>
      <w:r w:rsidR="006679BA" w:rsidRPr="00E97254">
        <w:rPr>
          <w:rFonts w:ascii="Calibri" w:hAnsi="Calibri" w:cs="Calibri"/>
        </w:rPr>
        <w:t xml:space="preserve">cion e përbëjnë </w:t>
      </w:r>
      <w:r w:rsidR="00CB06F1" w:rsidRPr="00E97254">
        <w:rPr>
          <w:rFonts w:cs="Calibri"/>
        </w:rPr>
        <w:t>katër</w:t>
      </w:r>
      <w:r w:rsidR="006679BA" w:rsidRPr="00E97254">
        <w:rPr>
          <w:rFonts w:ascii="Calibri" w:hAnsi="Calibri" w:cs="Calibri"/>
        </w:rPr>
        <w:t xml:space="preserve"> ligje </w:t>
      </w:r>
      <w:r>
        <w:rPr>
          <w:rFonts w:ascii="Calibri" w:hAnsi="Calibri" w:cs="Calibri"/>
        </w:rPr>
        <w:t>kornizë:</w:t>
      </w:r>
    </w:p>
    <w:p w:rsidR="006679BA" w:rsidRPr="00E97254" w:rsidRDefault="004E1F53" w:rsidP="000C0250">
      <w:pPr>
        <w:pStyle w:val="ListParagraph"/>
        <w:numPr>
          <w:ilvl w:val="0"/>
          <w:numId w:val="14"/>
        </w:numPr>
        <w:spacing w:before="120" w:after="0"/>
        <w:jc w:val="both"/>
        <w:rPr>
          <w:rFonts w:ascii="Calibri" w:hAnsi="Calibri" w:cs="Calibri"/>
        </w:rPr>
      </w:pPr>
      <w:r>
        <w:rPr>
          <w:rFonts w:ascii="Calibri" w:hAnsi="Calibri" w:cs="Calibri"/>
        </w:rPr>
        <w:t>Ligji Nr. 69/2012 ‘</w:t>
      </w:r>
      <w:r>
        <w:t xml:space="preserve">Për sistemin arsimor parauniversitar në Republikën e Shqipërisë’, i ndryshuar </w:t>
      </w:r>
      <w:sdt>
        <w:sdtPr>
          <w:rPr>
            <w:rFonts w:ascii="Calibri" w:hAnsi="Calibri" w:cs="Calibri"/>
          </w:rPr>
          <w:id w:val="1513112549"/>
          <w:citation/>
        </w:sdtPr>
        <w:sdtEndPr/>
        <w:sdtContent>
          <w:r w:rsidR="00EC56B7" w:rsidRPr="00E97254">
            <w:rPr>
              <w:rFonts w:ascii="Calibri" w:hAnsi="Calibri" w:cs="Calibri"/>
            </w:rPr>
            <w:fldChar w:fldCharType="begin"/>
          </w:r>
          <w:r>
            <w:rPr>
              <w:rFonts w:ascii="Calibri" w:hAnsi="Calibri" w:cs="Calibri"/>
            </w:rPr>
            <w:instrText xml:space="preserve">CITATION QBZ19 \l 1033 </w:instrText>
          </w:r>
          <w:r w:rsidR="00EC56B7" w:rsidRPr="00E97254">
            <w:rPr>
              <w:rFonts w:ascii="Calibri" w:hAnsi="Calibri" w:cs="Calibri"/>
            </w:rPr>
            <w:fldChar w:fldCharType="separate"/>
          </w:r>
          <w:r>
            <w:rPr>
              <w:rFonts w:ascii="Calibri" w:hAnsi="Calibri" w:cs="Calibri"/>
            </w:rPr>
            <w:t>[25]</w:t>
          </w:r>
          <w:r w:rsidR="00EC56B7" w:rsidRPr="00E97254">
            <w:rPr>
              <w:rFonts w:ascii="Calibri" w:hAnsi="Calibri" w:cs="Calibri"/>
            </w:rPr>
            <w:fldChar w:fldCharType="end"/>
          </w:r>
        </w:sdtContent>
      </w:sdt>
      <w:r>
        <w:rPr>
          <w:rFonts w:ascii="Calibri" w:hAnsi="Calibri" w:cs="Calibri"/>
        </w:rPr>
        <w:t>,</w:t>
      </w:r>
    </w:p>
    <w:p w:rsidR="006679BA" w:rsidRPr="00E97254" w:rsidRDefault="004E1F53" w:rsidP="000C0250">
      <w:pPr>
        <w:pStyle w:val="ListParagraph"/>
        <w:numPr>
          <w:ilvl w:val="0"/>
          <w:numId w:val="14"/>
        </w:numPr>
        <w:spacing w:before="120" w:after="0"/>
        <w:jc w:val="both"/>
        <w:rPr>
          <w:rFonts w:ascii="Calibri" w:hAnsi="Calibri" w:cs="Calibri"/>
        </w:rPr>
      </w:pPr>
      <w:r>
        <w:rPr>
          <w:rFonts w:ascii="Calibri" w:hAnsi="Calibri" w:cs="Calibri"/>
        </w:rPr>
        <w:t xml:space="preserve">Ligji Nr. 80/2015 </w:t>
      </w:r>
      <w:r>
        <w:t>‘Për arsimin e lartë dhe kërkimin shkencor në institucionet e arsimit të lartë në Republikën e Shqipërisë’</w:t>
      </w:r>
      <w:r>
        <w:rPr>
          <w:rFonts w:ascii="Calibri" w:hAnsi="Calibri" w:cs="Calibri"/>
        </w:rPr>
        <w:t xml:space="preserve">  </w:t>
      </w:r>
      <w:sdt>
        <w:sdtPr>
          <w:rPr>
            <w:rFonts w:ascii="Calibri" w:hAnsi="Calibri" w:cs="Calibri"/>
          </w:rPr>
          <w:id w:val="1770575930"/>
          <w:citation/>
        </w:sdtPr>
        <w:sdtEndPr/>
        <w:sdtContent>
          <w:r w:rsidR="00EC56B7" w:rsidRPr="00E97254">
            <w:rPr>
              <w:rFonts w:ascii="Calibri" w:hAnsi="Calibri" w:cs="Calibri"/>
            </w:rPr>
            <w:fldChar w:fldCharType="begin"/>
          </w:r>
          <w:r>
            <w:rPr>
              <w:rFonts w:ascii="Calibri" w:hAnsi="Calibri" w:cs="Calibri"/>
            </w:rPr>
            <w:instrText xml:space="preserve">CITATION QBZ15 \l 1033 </w:instrText>
          </w:r>
          <w:r w:rsidR="00EC56B7" w:rsidRPr="00E97254">
            <w:rPr>
              <w:rFonts w:ascii="Calibri" w:hAnsi="Calibri" w:cs="Calibri"/>
            </w:rPr>
            <w:fldChar w:fldCharType="separate"/>
          </w:r>
          <w:r>
            <w:rPr>
              <w:rFonts w:ascii="Calibri" w:hAnsi="Calibri" w:cs="Calibri"/>
            </w:rPr>
            <w:t>[26]</w:t>
          </w:r>
          <w:r w:rsidR="00EC56B7" w:rsidRPr="00E97254">
            <w:rPr>
              <w:rFonts w:ascii="Calibri" w:hAnsi="Calibri" w:cs="Calibri"/>
            </w:rPr>
            <w:fldChar w:fldCharType="end"/>
          </w:r>
        </w:sdtContent>
      </w:sdt>
      <w:r>
        <w:rPr>
          <w:rFonts w:ascii="Calibri" w:hAnsi="Calibri" w:cs="Calibri"/>
        </w:rPr>
        <w:t>,</w:t>
      </w:r>
    </w:p>
    <w:p w:rsidR="00512114" w:rsidRPr="00E97254" w:rsidRDefault="004E1F53" w:rsidP="000C0250">
      <w:pPr>
        <w:pStyle w:val="ListParagraph"/>
        <w:numPr>
          <w:ilvl w:val="0"/>
          <w:numId w:val="14"/>
        </w:numPr>
        <w:spacing w:before="120" w:after="0"/>
        <w:jc w:val="both"/>
        <w:rPr>
          <w:rFonts w:ascii="Calibri" w:hAnsi="Calibri" w:cs="Calibri"/>
        </w:rPr>
      </w:pPr>
      <w:r>
        <w:rPr>
          <w:rFonts w:ascii="Calibri" w:hAnsi="Calibri" w:cs="Calibri"/>
        </w:rPr>
        <w:t xml:space="preserve">Ligji Nr. 15/2017 ‘Për Arsimin dhe Formimin Profesional në Republikën e Shqipërisë’ </w:t>
      </w:r>
      <w:sdt>
        <w:sdtPr>
          <w:rPr>
            <w:rFonts w:ascii="Calibri" w:hAnsi="Calibri" w:cs="Calibri"/>
          </w:rPr>
          <w:id w:val="-640353519"/>
          <w:citation/>
        </w:sdtPr>
        <w:sdtEndPr/>
        <w:sdtContent>
          <w:r w:rsidR="00EC56B7" w:rsidRPr="00E97254">
            <w:rPr>
              <w:rFonts w:ascii="Calibri" w:hAnsi="Calibri" w:cs="Calibri"/>
            </w:rPr>
            <w:fldChar w:fldCharType="begin"/>
          </w:r>
          <w:r>
            <w:rPr>
              <w:rFonts w:ascii="Calibri" w:hAnsi="Calibri" w:cs="Calibri"/>
            </w:rPr>
            <w:instrText xml:space="preserve"> CITATION Lig17 \l 1033 </w:instrText>
          </w:r>
          <w:r w:rsidR="00EC56B7" w:rsidRPr="00E97254">
            <w:rPr>
              <w:rFonts w:ascii="Calibri" w:hAnsi="Calibri" w:cs="Calibri"/>
            </w:rPr>
            <w:fldChar w:fldCharType="separate"/>
          </w:r>
          <w:r>
            <w:rPr>
              <w:rFonts w:ascii="Calibri" w:hAnsi="Calibri" w:cs="Calibri"/>
            </w:rPr>
            <w:t>[27]</w:t>
          </w:r>
          <w:r w:rsidR="00EC56B7" w:rsidRPr="00E97254">
            <w:rPr>
              <w:rFonts w:ascii="Calibri" w:hAnsi="Calibri" w:cs="Calibri"/>
            </w:rPr>
            <w:fldChar w:fldCharType="end"/>
          </w:r>
        </w:sdtContent>
      </w:sdt>
      <w:r>
        <w:rPr>
          <w:rFonts w:ascii="Calibri" w:hAnsi="Calibri" w:cs="Calibri"/>
        </w:rPr>
        <w:t>,</w:t>
      </w:r>
    </w:p>
    <w:p w:rsidR="00FC76CF" w:rsidRPr="00E97254" w:rsidRDefault="004E1F53" w:rsidP="000C0250">
      <w:pPr>
        <w:pStyle w:val="ListParagraph"/>
        <w:numPr>
          <w:ilvl w:val="0"/>
          <w:numId w:val="14"/>
        </w:numPr>
        <w:spacing w:before="120" w:after="0"/>
        <w:jc w:val="both"/>
        <w:rPr>
          <w:rFonts w:ascii="Calibri" w:hAnsi="Calibri" w:cs="Calibri"/>
        </w:rPr>
      </w:pPr>
      <w:r>
        <w:rPr>
          <w:rFonts w:ascii="Calibri" w:hAnsi="Calibri" w:cs="Calibri"/>
        </w:rPr>
        <w:t xml:space="preserve">Ligji Nr.10 247, datë 4.3.2010 ‘Për Kornizën Shqiptare të Kualifikimeve’ </w:t>
      </w:r>
      <w:sdt>
        <w:sdtPr>
          <w:rPr>
            <w:rFonts w:ascii="Calibri" w:hAnsi="Calibri" w:cs="Calibri"/>
          </w:rPr>
          <w:id w:val="2043471308"/>
          <w:citation/>
        </w:sdtPr>
        <w:sdtEndPr/>
        <w:sdtContent>
          <w:r w:rsidR="00EC56B7" w:rsidRPr="00E97254">
            <w:rPr>
              <w:rFonts w:ascii="Calibri" w:hAnsi="Calibri" w:cs="Calibri"/>
            </w:rPr>
            <w:fldChar w:fldCharType="begin"/>
          </w:r>
          <w:r>
            <w:rPr>
              <w:rFonts w:ascii="Calibri" w:hAnsi="Calibri" w:cs="Calibri"/>
            </w:rPr>
            <w:instrText xml:space="preserve"> CITATION Lig \l 1033 </w:instrText>
          </w:r>
          <w:r w:rsidR="00EC56B7" w:rsidRPr="00E97254">
            <w:rPr>
              <w:rFonts w:ascii="Calibri" w:hAnsi="Calibri" w:cs="Calibri"/>
            </w:rPr>
            <w:fldChar w:fldCharType="separate"/>
          </w:r>
          <w:r>
            <w:rPr>
              <w:rFonts w:ascii="Calibri" w:hAnsi="Calibri" w:cs="Calibri"/>
            </w:rPr>
            <w:t>[28]</w:t>
          </w:r>
          <w:r w:rsidR="00EC56B7" w:rsidRPr="00E97254">
            <w:rPr>
              <w:rFonts w:ascii="Calibri" w:hAnsi="Calibri" w:cs="Calibri"/>
            </w:rPr>
            <w:fldChar w:fldCharType="end"/>
          </w:r>
        </w:sdtContent>
      </w:sdt>
      <w:r>
        <w:rPr>
          <w:rFonts w:ascii="Calibri" w:hAnsi="Calibri" w:cs="Calibri"/>
        </w:rPr>
        <w:t xml:space="preserve">, i ndryshuar </w:t>
      </w:r>
      <w:sdt>
        <w:sdtPr>
          <w:rPr>
            <w:rFonts w:ascii="Calibri" w:hAnsi="Calibri" w:cs="Calibri"/>
          </w:rPr>
          <w:id w:val="258574367"/>
          <w:citation/>
        </w:sdtPr>
        <w:sdtEndPr/>
        <w:sdtContent>
          <w:r w:rsidR="00EC56B7" w:rsidRPr="00E97254">
            <w:rPr>
              <w:rFonts w:ascii="Calibri" w:hAnsi="Calibri" w:cs="Calibri"/>
            </w:rPr>
            <w:fldChar w:fldCharType="begin"/>
          </w:r>
          <w:r>
            <w:rPr>
              <w:rFonts w:ascii="Calibri" w:hAnsi="Calibri" w:cs="Calibri"/>
            </w:rPr>
            <w:instrText xml:space="preserve"> CITATION Lig1 \l 1033 </w:instrText>
          </w:r>
          <w:r w:rsidR="00EC56B7" w:rsidRPr="00E97254">
            <w:rPr>
              <w:rFonts w:ascii="Calibri" w:hAnsi="Calibri" w:cs="Calibri"/>
            </w:rPr>
            <w:fldChar w:fldCharType="separate"/>
          </w:r>
          <w:r>
            <w:rPr>
              <w:rFonts w:ascii="Calibri" w:hAnsi="Calibri" w:cs="Calibri"/>
            </w:rPr>
            <w:t>[29]</w:t>
          </w:r>
          <w:r w:rsidR="00EC56B7" w:rsidRPr="00E97254">
            <w:rPr>
              <w:rFonts w:ascii="Calibri" w:hAnsi="Calibri" w:cs="Calibri"/>
            </w:rPr>
            <w:fldChar w:fldCharType="end"/>
          </w:r>
        </w:sdtContent>
      </w:sdt>
      <w:r>
        <w:rPr>
          <w:rFonts w:ascii="Calibri" w:hAnsi="Calibri" w:cs="Calibri"/>
        </w:rPr>
        <w:t xml:space="preserve"> </w:t>
      </w:r>
    </w:p>
    <w:p w:rsidR="006679BA" w:rsidRPr="00E97254" w:rsidRDefault="004E1F53" w:rsidP="000C0250">
      <w:pPr>
        <w:pStyle w:val="ListParagraph"/>
        <w:spacing w:before="120" w:after="0"/>
        <w:ind w:left="360"/>
        <w:jc w:val="both"/>
        <w:rPr>
          <w:rFonts w:ascii="Calibri" w:hAnsi="Calibri" w:cs="Calibri"/>
        </w:rPr>
      </w:pPr>
      <w:r>
        <w:rPr>
          <w:rFonts w:ascii="Calibri" w:hAnsi="Calibri" w:cs="Calibri"/>
        </w:rPr>
        <w:t>si dhe disa ligje të tjera të ndërlidhura me administrimin e sistemit të arsimit.</w:t>
      </w:r>
    </w:p>
    <w:p w:rsidR="003A706E" w:rsidRPr="00E97254" w:rsidRDefault="004E1F53" w:rsidP="000C0250">
      <w:pPr>
        <w:spacing w:after="0"/>
        <w:jc w:val="both"/>
        <w:rPr>
          <w:rFonts w:ascii="Calibri" w:hAnsi="Calibri" w:cs="Calibri"/>
        </w:rPr>
      </w:pPr>
      <w:r>
        <w:rPr>
          <w:rFonts w:ascii="Calibri" w:hAnsi="Calibri" w:cs="Calibri"/>
        </w:rPr>
        <w:t>Ligji Nr. 69/2012 ‘</w:t>
      </w:r>
      <w:r>
        <w:t xml:space="preserve">Për sistemin arsimor parauniversitar në Republikën e Shqipërisë’, </w:t>
      </w:r>
      <w:r>
        <w:rPr>
          <w:rFonts w:ascii="Calibri" w:hAnsi="Calibri" w:cs="Calibri"/>
        </w:rPr>
        <w:t xml:space="preserve"> u ndryshua në vitet 2015 dhe 2018 </w:t>
      </w:r>
      <w:sdt>
        <w:sdtPr>
          <w:rPr>
            <w:rFonts w:ascii="Calibri" w:hAnsi="Calibri" w:cs="Calibri"/>
          </w:rPr>
          <w:id w:val="-953083271"/>
          <w:citation/>
        </w:sdtPr>
        <w:sdtEndPr/>
        <w:sdtContent>
          <w:r w:rsidR="00EC56B7" w:rsidRPr="00E97254">
            <w:rPr>
              <w:rFonts w:ascii="Calibri" w:hAnsi="Calibri" w:cs="Calibri"/>
            </w:rPr>
            <w:fldChar w:fldCharType="begin"/>
          </w:r>
          <w:r>
            <w:rPr>
              <w:rFonts w:ascii="Calibri" w:hAnsi="Calibri" w:cs="Calibri"/>
            </w:rPr>
            <w:instrText xml:space="preserve">CITATION QBZ19 \l 1033 </w:instrText>
          </w:r>
          <w:r w:rsidR="00EC56B7" w:rsidRPr="00E97254">
            <w:rPr>
              <w:rFonts w:ascii="Calibri" w:hAnsi="Calibri" w:cs="Calibri"/>
            </w:rPr>
            <w:fldChar w:fldCharType="separate"/>
          </w:r>
          <w:r w:rsidR="00724BCC" w:rsidRPr="00E97254">
            <w:rPr>
              <w:rFonts w:ascii="Calibri" w:hAnsi="Calibri" w:cs="Calibri"/>
            </w:rPr>
            <w:t>[25]</w:t>
          </w:r>
          <w:r w:rsidR="00EC56B7" w:rsidRPr="00E97254">
            <w:rPr>
              <w:rFonts w:ascii="Calibri" w:hAnsi="Calibri" w:cs="Calibri"/>
            </w:rPr>
            <w:fldChar w:fldCharType="end"/>
          </w:r>
        </w:sdtContent>
      </w:sdt>
      <w:r w:rsidR="00683EE9" w:rsidRPr="00E97254">
        <w:rPr>
          <w:rFonts w:ascii="Calibri" w:hAnsi="Calibri" w:cs="Calibri"/>
        </w:rPr>
        <w:t xml:space="preserve">, si dhe u miratuan një sërë aktesh nënligjore, duke përfshirë Vendime të Këshillit të Ministrave (VKM), </w:t>
      </w:r>
      <w:r w:rsidR="00B568B4" w:rsidRPr="00E97254">
        <w:rPr>
          <w:rFonts w:ascii="Calibri" w:hAnsi="Calibri" w:cs="Calibri"/>
        </w:rPr>
        <w:t>u</w:t>
      </w:r>
      <w:r w:rsidR="00683EE9" w:rsidRPr="00E97254">
        <w:rPr>
          <w:rFonts w:ascii="Calibri" w:hAnsi="Calibri" w:cs="Calibri"/>
        </w:rPr>
        <w:t>rdhra</w:t>
      </w:r>
      <w:r w:rsidR="00B568B4" w:rsidRPr="00E97254">
        <w:rPr>
          <w:rFonts w:ascii="Calibri" w:hAnsi="Calibri" w:cs="Calibri"/>
        </w:rPr>
        <w:t xml:space="preserve"> dhe udhëzime</w:t>
      </w:r>
      <w:r w:rsidR="00683EE9" w:rsidRPr="00E97254">
        <w:rPr>
          <w:rFonts w:ascii="Calibri" w:hAnsi="Calibri" w:cs="Calibri"/>
        </w:rPr>
        <w:t xml:space="preserve"> të Ministrit dhe , prej të cilave vlen të përmenden disa:</w:t>
      </w:r>
    </w:p>
    <w:p w:rsidR="00683EE9" w:rsidRPr="00E97254" w:rsidRDefault="004E1F53" w:rsidP="000C0250">
      <w:pPr>
        <w:pStyle w:val="ListParagraph"/>
        <w:numPr>
          <w:ilvl w:val="0"/>
          <w:numId w:val="11"/>
        </w:numPr>
        <w:spacing w:after="0"/>
        <w:ind w:left="357" w:hanging="357"/>
        <w:contextualSpacing w:val="0"/>
        <w:jc w:val="both"/>
        <w:rPr>
          <w:rFonts w:ascii="Calibri" w:hAnsi="Calibri" w:cs="Calibri"/>
        </w:rPr>
      </w:pPr>
      <w:r>
        <w:rPr>
          <w:rFonts w:ascii="Calibri" w:hAnsi="Calibri" w:cs="Calibri"/>
        </w:rPr>
        <w:t>Udhëzim Nr. 25, datë 25.07.2018, për ngritjen dhe funksionimin e bordit të institucionit arsimor;</w:t>
      </w:r>
    </w:p>
    <w:p w:rsidR="00683EE9" w:rsidRPr="00E97254" w:rsidRDefault="004E1F53" w:rsidP="000C0250">
      <w:pPr>
        <w:pStyle w:val="ListParagraph"/>
        <w:numPr>
          <w:ilvl w:val="0"/>
          <w:numId w:val="11"/>
        </w:numPr>
        <w:spacing w:after="0"/>
        <w:ind w:left="357" w:hanging="357"/>
        <w:contextualSpacing w:val="0"/>
        <w:jc w:val="both"/>
        <w:rPr>
          <w:rFonts w:ascii="Calibri" w:hAnsi="Calibri" w:cs="Calibri"/>
        </w:rPr>
      </w:pPr>
      <w:r>
        <w:rPr>
          <w:rFonts w:ascii="Calibri" w:hAnsi="Calibri" w:cs="Calibri"/>
        </w:rPr>
        <w:t>VKM</w:t>
      </w:r>
      <w:r w:rsidR="00F6483B">
        <w:rPr>
          <w:rFonts w:ascii="Calibri" w:hAnsi="Calibri" w:cs="Calibri"/>
        </w:rPr>
        <w:t>-ja</w:t>
      </w:r>
      <w:r w:rsidR="00B07916" w:rsidRPr="00E97254">
        <w:rPr>
          <w:rFonts w:ascii="Calibri" w:hAnsi="Calibri" w:cs="Calibri"/>
        </w:rPr>
        <w:t xml:space="preserve"> Nr. 98, datë 27.02.</w:t>
      </w:r>
      <w:r w:rsidR="00683EE9" w:rsidRPr="00E97254">
        <w:rPr>
          <w:rFonts w:ascii="Calibri" w:hAnsi="Calibri" w:cs="Calibri"/>
        </w:rPr>
        <w:t>2019, për ngritjen, organizimin dhe funksionimin e Agjencisë së Sigurimit të Cilësisë në Arsimin Par</w:t>
      </w:r>
      <w:r>
        <w:rPr>
          <w:rFonts w:ascii="Calibri" w:hAnsi="Calibri" w:cs="Calibri"/>
        </w:rPr>
        <w:t>auniversitar (ASCAP);</w:t>
      </w:r>
    </w:p>
    <w:p w:rsidR="00683EE9" w:rsidRPr="00E97254" w:rsidRDefault="004E1F53" w:rsidP="000C0250">
      <w:pPr>
        <w:pStyle w:val="ListParagraph"/>
        <w:numPr>
          <w:ilvl w:val="0"/>
          <w:numId w:val="11"/>
        </w:numPr>
        <w:spacing w:after="0"/>
        <w:ind w:left="357" w:hanging="357"/>
        <w:contextualSpacing w:val="0"/>
        <w:jc w:val="both"/>
        <w:rPr>
          <w:rFonts w:ascii="Calibri" w:hAnsi="Calibri" w:cs="Calibri"/>
        </w:rPr>
      </w:pPr>
      <w:r>
        <w:rPr>
          <w:rFonts w:ascii="Calibri" w:hAnsi="Calibri" w:cs="Calibri"/>
        </w:rPr>
        <w:t>VKM</w:t>
      </w:r>
      <w:r w:rsidR="00F6483B">
        <w:rPr>
          <w:rFonts w:ascii="Calibri" w:hAnsi="Calibri" w:cs="Calibri"/>
        </w:rPr>
        <w:t>-ja</w:t>
      </w:r>
      <w:r w:rsidR="00B07916" w:rsidRPr="00E97254">
        <w:rPr>
          <w:rFonts w:ascii="Calibri" w:hAnsi="Calibri" w:cs="Calibri"/>
        </w:rPr>
        <w:t xml:space="preserve"> Nr. 99, datë 27.02.</w:t>
      </w:r>
      <w:r w:rsidR="00683EE9" w:rsidRPr="00E97254">
        <w:rPr>
          <w:rFonts w:ascii="Calibri" w:hAnsi="Calibri" w:cs="Calibri"/>
        </w:rPr>
        <w:t>2019</w:t>
      </w:r>
      <w:r>
        <w:rPr>
          <w:rFonts w:ascii="Calibri" w:hAnsi="Calibri" w:cs="Calibri"/>
        </w:rPr>
        <w:t xml:space="preserve"> Për krijimin, mënyrën e organizimit e të funksionimit të Drejtorisë së Përgjithshme të Arsimit Parauniversitar</w:t>
      </w:r>
      <w:r>
        <w:t>;</w:t>
      </w:r>
    </w:p>
    <w:p w:rsidR="00E51E52" w:rsidRPr="00E97254" w:rsidRDefault="004E1F53" w:rsidP="000C0250">
      <w:pPr>
        <w:pStyle w:val="ListParagraph"/>
        <w:numPr>
          <w:ilvl w:val="0"/>
          <w:numId w:val="11"/>
        </w:numPr>
        <w:spacing w:after="0"/>
        <w:jc w:val="both"/>
        <w:rPr>
          <w:rFonts w:ascii="Calibri" w:hAnsi="Calibri" w:cs="Calibri"/>
        </w:rPr>
      </w:pPr>
      <w:r>
        <w:rPr>
          <w:rFonts w:ascii="Calibri" w:hAnsi="Calibri" w:cs="Calibri"/>
        </w:rPr>
        <w:t xml:space="preserve">Vendim i Këshillit të Ministrave nr. 540, dt. 19.09.2018 për organizimin dhe funksionimin e Shkollës së Drejtorëve të institucioneve të arsimit parauniversitar dhe mënyrën e trajnimit e të certifikimit të tyre; </w:t>
      </w:r>
      <w:sdt>
        <w:sdtPr>
          <w:rPr>
            <w:rFonts w:ascii="Calibri" w:hAnsi="Calibri" w:cs="Calibri"/>
          </w:rPr>
          <w:id w:val="-1414937185"/>
          <w:citation/>
        </w:sdtPr>
        <w:sdtEndPr/>
        <w:sdtContent>
          <w:r w:rsidR="00EC56B7" w:rsidRPr="00E97254">
            <w:rPr>
              <w:rFonts w:ascii="Calibri" w:hAnsi="Calibri" w:cs="Calibri"/>
            </w:rPr>
            <w:fldChar w:fldCharType="begin"/>
          </w:r>
          <w:r>
            <w:rPr>
              <w:rFonts w:ascii="Calibri" w:hAnsi="Calibri" w:cs="Calibri"/>
            </w:rPr>
            <w:instrText xml:space="preserve">CITATION QBZ19 \l 1033 </w:instrText>
          </w:r>
          <w:r w:rsidR="00EC56B7" w:rsidRPr="00E97254">
            <w:rPr>
              <w:rFonts w:ascii="Calibri" w:hAnsi="Calibri" w:cs="Calibri"/>
            </w:rPr>
            <w:fldChar w:fldCharType="separate"/>
          </w:r>
          <w:r>
            <w:rPr>
              <w:rFonts w:ascii="Calibri" w:hAnsi="Calibri" w:cs="Calibri"/>
            </w:rPr>
            <w:t>[25]</w:t>
          </w:r>
          <w:r w:rsidR="00EC56B7" w:rsidRPr="00E97254">
            <w:rPr>
              <w:rFonts w:ascii="Calibri" w:hAnsi="Calibri" w:cs="Calibri"/>
            </w:rPr>
            <w:fldChar w:fldCharType="end"/>
          </w:r>
        </w:sdtContent>
      </w:sdt>
    </w:p>
    <w:p w:rsidR="00E51E52" w:rsidRPr="00E97254" w:rsidRDefault="004E1F53" w:rsidP="000C0250">
      <w:pPr>
        <w:pStyle w:val="ListParagraph"/>
        <w:numPr>
          <w:ilvl w:val="0"/>
          <w:numId w:val="11"/>
        </w:numPr>
        <w:spacing w:after="0"/>
        <w:jc w:val="both"/>
        <w:rPr>
          <w:rFonts w:ascii="Calibri" w:hAnsi="Calibri" w:cs="Calibri"/>
        </w:rPr>
      </w:pPr>
      <w:r>
        <w:rPr>
          <w:rFonts w:ascii="Calibri" w:hAnsi="Calibri" w:cs="Calibri"/>
        </w:rPr>
        <w:t>Udhëzim Nr. 13, datë 22.05.2019 për procedurat e pranimit e të emërimit të mësuesit në një vend të lirë pune në institucionet arsimore publike të arsimit parauniversitar dhe për administrimin e portalit “Mësues për Shqipërinë”, i ndryshuar</w:t>
      </w:r>
      <w:sdt>
        <w:sdtPr>
          <w:rPr>
            <w:rFonts w:ascii="Calibri" w:hAnsi="Calibri" w:cs="Calibri"/>
          </w:rPr>
          <w:id w:val="-266314489"/>
          <w:citation/>
        </w:sdtPr>
        <w:sdtEndPr/>
        <w:sdtContent>
          <w:r w:rsidR="00EC56B7" w:rsidRPr="00E97254">
            <w:rPr>
              <w:rFonts w:ascii="Calibri" w:hAnsi="Calibri" w:cs="Calibri"/>
            </w:rPr>
            <w:fldChar w:fldCharType="begin"/>
          </w:r>
          <w:r>
            <w:rPr>
              <w:rFonts w:ascii="Calibri" w:hAnsi="Calibri" w:cs="Calibri"/>
            </w:rPr>
            <w:instrText xml:space="preserve"> CITATION MAS1 \l 1033 </w:instrText>
          </w:r>
          <w:r w:rsidR="00EC56B7" w:rsidRPr="00E97254">
            <w:rPr>
              <w:rFonts w:ascii="Calibri" w:hAnsi="Calibri" w:cs="Calibri"/>
            </w:rPr>
            <w:fldChar w:fldCharType="separate"/>
          </w:r>
          <w:r>
            <w:rPr>
              <w:rFonts w:ascii="Calibri" w:hAnsi="Calibri" w:cs="Calibri"/>
            </w:rPr>
            <w:t xml:space="preserve"> [30]</w:t>
          </w:r>
          <w:r w:rsidR="00EC56B7" w:rsidRPr="00E97254">
            <w:rPr>
              <w:rFonts w:ascii="Calibri" w:hAnsi="Calibri" w:cs="Calibri"/>
            </w:rPr>
            <w:fldChar w:fldCharType="end"/>
          </w:r>
        </w:sdtContent>
      </w:sdt>
    </w:p>
    <w:p w:rsidR="00991778" w:rsidRPr="00E97254" w:rsidRDefault="00991778" w:rsidP="000C0250">
      <w:pPr>
        <w:spacing w:after="0"/>
        <w:jc w:val="both"/>
        <w:rPr>
          <w:rFonts w:ascii="Calibri" w:hAnsi="Calibri" w:cs="Calibri"/>
        </w:rPr>
      </w:pPr>
    </w:p>
    <w:p w:rsidR="00683EE9" w:rsidRPr="00E97254" w:rsidRDefault="004E1F53" w:rsidP="000C0250">
      <w:pPr>
        <w:spacing w:after="0"/>
        <w:jc w:val="both"/>
        <w:rPr>
          <w:rFonts w:ascii="Calibri" w:hAnsi="Calibri" w:cs="Calibri"/>
        </w:rPr>
      </w:pPr>
      <w:r>
        <w:rPr>
          <w:rFonts w:ascii="Calibri" w:hAnsi="Calibri" w:cs="Calibri"/>
        </w:rPr>
        <w:t xml:space="preserve">Ndryshimet legjislative ishin kryesisht në funksion të përmbushjes së objektivave të Strategjisë së Arsimit Parauniversitar 2014-2020 </w:t>
      </w:r>
      <w:sdt>
        <w:sdtPr>
          <w:rPr>
            <w:rFonts w:ascii="Calibri" w:hAnsi="Calibri" w:cs="Calibri"/>
          </w:rPr>
          <w:id w:val="-994028157"/>
          <w:citation/>
        </w:sdtPr>
        <w:sdtEndPr/>
        <w:sdtContent>
          <w:r w:rsidR="00EC56B7" w:rsidRPr="00E97254">
            <w:rPr>
              <w:rFonts w:ascii="Calibri" w:hAnsi="Calibri" w:cs="Calibri"/>
            </w:rPr>
            <w:fldChar w:fldCharType="begin"/>
          </w:r>
          <w:r>
            <w:rPr>
              <w:rFonts w:ascii="Calibri" w:hAnsi="Calibri" w:cs="Calibri"/>
            </w:rPr>
            <w:instrText xml:space="preserve"> CITATION QBZ16 \l 1033 </w:instrText>
          </w:r>
          <w:r w:rsidR="00EC56B7" w:rsidRPr="00E97254">
            <w:rPr>
              <w:rFonts w:ascii="Calibri" w:hAnsi="Calibri" w:cs="Calibri"/>
            </w:rPr>
            <w:fldChar w:fldCharType="separate"/>
          </w:r>
          <w:r w:rsidR="00724BCC" w:rsidRPr="00E97254">
            <w:rPr>
              <w:rFonts w:ascii="Calibri" w:hAnsi="Calibri" w:cs="Calibri"/>
            </w:rPr>
            <w:t>[2]</w:t>
          </w:r>
          <w:r w:rsidR="00EC56B7" w:rsidRPr="00E97254">
            <w:rPr>
              <w:rFonts w:ascii="Calibri" w:hAnsi="Calibri" w:cs="Calibri"/>
            </w:rPr>
            <w:fldChar w:fldCharType="end"/>
          </w:r>
        </w:sdtContent>
      </w:sdt>
      <w:r w:rsidR="00164689" w:rsidRPr="00E97254">
        <w:rPr>
          <w:rFonts w:ascii="Calibri" w:hAnsi="Calibri" w:cs="Calibri"/>
        </w:rPr>
        <w:t>, duke krijuar kushte për zbatimin e reformave të rëndësishme si: kurrikula e bazuar në kompetenca, rekrutimi transparent dhe i bazuar në meritë të mësuesve, struktura e re qeverisëse e sistemit të arsimit parauniversitar</w:t>
      </w:r>
      <w:r w:rsidR="004C369B" w:rsidRPr="00E97254">
        <w:t xml:space="preserve">, si dhe </w:t>
      </w:r>
      <w:r w:rsidR="00DB0A49" w:rsidRPr="00E97254">
        <w:rPr>
          <w:rFonts w:ascii="Calibri" w:hAnsi="Calibri" w:cs="Calibri"/>
        </w:rPr>
        <w:t>p</w:t>
      </w:r>
      <w:r w:rsidR="004C369B" w:rsidRPr="00E97254">
        <w:rPr>
          <w:rFonts w:ascii="Calibri" w:hAnsi="Calibri" w:cs="Calibri"/>
        </w:rPr>
        <w:t>ë</w:t>
      </w:r>
      <w:r w:rsidR="00DB0A49" w:rsidRPr="00E97254">
        <w:rPr>
          <w:rFonts w:ascii="Calibri" w:hAnsi="Calibri" w:cs="Calibri"/>
        </w:rPr>
        <w:t>rmir</w:t>
      </w:r>
      <w:r w:rsidR="004C369B" w:rsidRPr="00E97254">
        <w:rPr>
          <w:rFonts w:ascii="Calibri" w:hAnsi="Calibri" w:cs="Calibri"/>
        </w:rPr>
        <w:t>ë</w:t>
      </w:r>
      <w:r w:rsidR="00DB0A49" w:rsidRPr="00E97254">
        <w:rPr>
          <w:rFonts w:ascii="Calibri" w:hAnsi="Calibri" w:cs="Calibri"/>
        </w:rPr>
        <w:t>simi i sh</w:t>
      </w:r>
      <w:r w:rsidR="004C369B" w:rsidRPr="00E97254">
        <w:rPr>
          <w:rFonts w:ascii="Calibri" w:hAnsi="Calibri" w:cs="Calibri"/>
        </w:rPr>
        <w:t>ë</w:t>
      </w:r>
      <w:r w:rsidR="00DB0A49" w:rsidRPr="00E97254">
        <w:rPr>
          <w:rFonts w:ascii="Calibri" w:hAnsi="Calibri" w:cs="Calibri"/>
        </w:rPr>
        <w:t>rbimit n</w:t>
      </w:r>
      <w:r w:rsidR="004C369B" w:rsidRPr="00E97254">
        <w:rPr>
          <w:rFonts w:ascii="Calibri" w:hAnsi="Calibri" w:cs="Calibri"/>
        </w:rPr>
        <w:t>ë</w:t>
      </w:r>
      <w:r w:rsidR="00DB0A49" w:rsidRPr="00E97254">
        <w:rPr>
          <w:rFonts w:ascii="Calibri" w:hAnsi="Calibri" w:cs="Calibri"/>
        </w:rPr>
        <w:t xml:space="preserve"> arsim p</w:t>
      </w:r>
      <w:r>
        <w:rPr>
          <w:rFonts w:ascii="Calibri" w:hAnsi="Calibri" w:cs="Calibri"/>
        </w:rPr>
        <w:t>ër qytetarët.</w:t>
      </w:r>
    </w:p>
    <w:p w:rsidR="00164689" w:rsidRPr="00E97254" w:rsidRDefault="004E1F53" w:rsidP="000C0250">
      <w:pPr>
        <w:spacing w:after="0"/>
        <w:jc w:val="both"/>
        <w:rPr>
          <w:rFonts w:ascii="Calibri" w:hAnsi="Calibri" w:cs="Calibri"/>
        </w:rPr>
      </w:pPr>
      <w:r>
        <w:rPr>
          <w:rFonts w:ascii="Calibri" w:hAnsi="Calibri" w:cs="Calibri"/>
        </w:rPr>
        <w:t>Reforma legjislative në fushën e arsimit të lartë u iniciua nga Komisioni për arsimin</w:t>
      </w:r>
      <w:r w:rsidR="00503034">
        <w:rPr>
          <w:rFonts w:ascii="Calibri" w:hAnsi="Calibri" w:cs="Calibri"/>
        </w:rPr>
        <w:t xml:space="preserve"> e</w:t>
      </w:r>
      <w:r w:rsidR="002B257B" w:rsidRPr="00E97254">
        <w:rPr>
          <w:rFonts w:ascii="Calibri" w:hAnsi="Calibri" w:cs="Calibri"/>
        </w:rPr>
        <w:t xml:space="preserve"> </w:t>
      </w:r>
      <w:r w:rsidR="00964ADC" w:rsidRPr="00E97254">
        <w:rPr>
          <w:rFonts w:ascii="Calibri" w:hAnsi="Calibri" w:cs="Calibri"/>
        </w:rPr>
        <w:t xml:space="preserve">lartë dhe kërkimin shkencor të krijuar me urdhër të </w:t>
      </w:r>
      <w:r>
        <w:rPr>
          <w:rFonts w:cs="Calibri"/>
        </w:rPr>
        <w:t>kryeministrit</w:t>
      </w:r>
      <w:r>
        <w:rPr>
          <w:rFonts w:ascii="Calibri" w:hAnsi="Calibri" w:cs="Calibri"/>
        </w:rPr>
        <w:t xml:space="preserve"> në janarin e vitit 2014. Në korrikun e po atij viti, Komisioni doli me një “White Paper” me rekomandime konkrete për reformën e arsimit të lartë në Shqipëri </w:t>
      </w:r>
      <w:sdt>
        <w:sdtPr>
          <w:rPr>
            <w:rFonts w:ascii="Calibri" w:hAnsi="Calibri" w:cs="Calibri"/>
          </w:rPr>
          <w:id w:val="1656031999"/>
          <w:citation/>
        </w:sdtPr>
        <w:sdtEndPr/>
        <w:sdtContent>
          <w:r w:rsidR="00EC56B7" w:rsidRPr="00E97254">
            <w:rPr>
              <w:rFonts w:ascii="Calibri" w:hAnsi="Calibri" w:cs="Calibri"/>
            </w:rPr>
            <w:fldChar w:fldCharType="begin"/>
          </w:r>
          <w:r>
            <w:rPr>
              <w:rFonts w:ascii="Calibri" w:hAnsi="Calibri" w:cs="Calibri"/>
            </w:rPr>
            <w:instrText xml:space="preserve"> CITATION Gjo14 \l 1033 </w:instrText>
          </w:r>
          <w:r w:rsidR="00EC56B7" w:rsidRPr="00E97254">
            <w:rPr>
              <w:rFonts w:ascii="Calibri" w:hAnsi="Calibri" w:cs="Calibri"/>
            </w:rPr>
            <w:fldChar w:fldCharType="separate"/>
          </w:r>
          <w:r w:rsidR="00724BCC" w:rsidRPr="00E97254">
            <w:rPr>
              <w:rFonts w:ascii="Calibri" w:hAnsi="Calibri" w:cs="Calibri"/>
            </w:rPr>
            <w:t>[31]</w:t>
          </w:r>
          <w:r w:rsidR="00EC56B7" w:rsidRPr="00E97254">
            <w:rPr>
              <w:rFonts w:ascii="Calibri" w:hAnsi="Calibri" w:cs="Calibri"/>
            </w:rPr>
            <w:fldChar w:fldCharType="end"/>
          </w:r>
        </w:sdtContent>
      </w:sdt>
      <w:r w:rsidR="00964ADC" w:rsidRPr="00E97254">
        <w:rPr>
          <w:rFonts w:ascii="Calibri" w:hAnsi="Calibri" w:cs="Calibri"/>
        </w:rPr>
        <w:t>.</w:t>
      </w:r>
      <w:r w:rsidR="00F845FE" w:rsidRPr="00E97254">
        <w:rPr>
          <w:rFonts w:ascii="Calibri" w:hAnsi="Calibri" w:cs="Calibri"/>
        </w:rPr>
        <w:t xml:space="preserve"> Nisur nga këto rekomandime, një vit më vonë</w:t>
      </w:r>
      <w:r>
        <w:rPr>
          <w:rFonts w:ascii="Calibri" w:hAnsi="Calibri" w:cs="Calibri"/>
        </w:rPr>
        <w:t xml:space="preserve"> u miratua </w:t>
      </w:r>
      <w:r>
        <w:rPr>
          <w:rFonts w:ascii="Calibri" w:hAnsi="Calibri" w:cs="Calibri"/>
          <w:b/>
        </w:rPr>
        <w:t>Ligji Nr. 80/2015 “Për arsimin e lartë dhe kërkimin shkencor në institucionet e arsimit të lartë në Republikën e Shqipërisë”</w:t>
      </w:r>
      <w:sdt>
        <w:sdtPr>
          <w:id w:val="854539721"/>
          <w:citation/>
        </w:sdtPr>
        <w:sdtEndPr/>
        <w:sdtContent/>
      </w:sdt>
      <w:sdt>
        <w:sdtPr>
          <w:rPr>
            <w:rFonts w:ascii="Calibri" w:hAnsi="Calibri" w:cs="Calibri"/>
          </w:rPr>
          <w:id w:val="1982886766"/>
          <w:citation/>
        </w:sdtPr>
        <w:sdtEndPr/>
        <w:sdtContent>
          <w:r w:rsidR="00EC56B7" w:rsidRPr="00E97254">
            <w:rPr>
              <w:rFonts w:ascii="Calibri" w:hAnsi="Calibri" w:cs="Calibri"/>
            </w:rPr>
            <w:fldChar w:fldCharType="begin"/>
          </w:r>
          <w:r>
            <w:rPr>
              <w:rFonts w:ascii="Calibri" w:hAnsi="Calibri" w:cs="Calibri"/>
            </w:rPr>
            <w:instrText xml:space="preserve">CITATION QBZ15 \l 1033 </w:instrText>
          </w:r>
          <w:r w:rsidR="00EC56B7" w:rsidRPr="00E97254">
            <w:rPr>
              <w:rFonts w:ascii="Calibri" w:hAnsi="Calibri" w:cs="Calibri"/>
            </w:rPr>
            <w:fldChar w:fldCharType="separate"/>
          </w:r>
          <w:r w:rsidR="00724BCC" w:rsidRPr="00E97254">
            <w:rPr>
              <w:rFonts w:ascii="Calibri" w:hAnsi="Calibri" w:cs="Calibri"/>
            </w:rPr>
            <w:t xml:space="preserve"> [26]</w:t>
          </w:r>
          <w:r w:rsidR="00EC56B7" w:rsidRPr="00E97254">
            <w:rPr>
              <w:rFonts w:ascii="Calibri" w:hAnsi="Calibri" w:cs="Calibri"/>
            </w:rPr>
            <w:fldChar w:fldCharType="end"/>
          </w:r>
        </w:sdtContent>
      </w:sdt>
      <w:r w:rsidR="00A93836" w:rsidRPr="00E97254">
        <w:rPr>
          <w:rFonts w:ascii="Calibri" w:hAnsi="Calibri" w:cs="Calibri"/>
        </w:rPr>
        <w:t>.</w:t>
      </w:r>
      <w:r w:rsidR="002B257B" w:rsidRPr="00E97254">
        <w:rPr>
          <w:rFonts w:ascii="Calibri" w:hAnsi="Calibri" w:cs="Calibri"/>
        </w:rPr>
        <w:t xml:space="preserve"> </w:t>
      </w:r>
      <w:r w:rsidR="001042A3" w:rsidRPr="00E97254">
        <w:rPr>
          <w:rFonts w:ascii="Calibri" w:hAnsi="Calibri" w:cs="Calibri"/>
        </w:rPr>
        <w:t xml:space="preserve">Ligji </w:t>
      </w:r>
      <w:r w:rsidR="00874370" w:rsidRPr="00E97254">
        <w:rPr>
          <w:rFonts w:ascii="Calibri" w:hAnsi="Calibri" w:cs="Calibri"/>
        </w:rPr>
        <w:t xml:space="preserve">nr. </w:t>
      </w:r>
      <w:r w:rsidR="001042A3" w:rsidRPr="00E97254">
        <w:rPr>
          <w:rFonts w:ascii="Calibri" w:hAnsi="Calibri" w:cs="Calibri"/>
        </w:rPr>
        <w:t xml:space="preserve">80/2015 </w:t>
      </w:r>
      <w:r>
        <w:rPr>
          <w:rFonts w:ascii="Calibri" w:hAnsi="Calibri" w:cs="Calibri"/>
        </w:rPr>
        <w:t xml:space="preserve">i jep një dimension të ri konceptit të lirisë akademike e financiare, krijon lidhje më organike midis studimeve dhe nevojave të tregut të punës, rrit konkurrueshmërinë midis vetë institucioneve të arsimit të lartë, unifikon dhe standardizon sistemin e arsimit të lartë, u krijon më shumë lehtësi IAL-ve për </w:t>
      </w:r>
      <w:r>
        <w:rPr>
          <w:rFonts w:ascii="Calibri" w:hAnsi="Calibri" w:cs="Calibri"/>
        </w:rPr>
        <w:lastRenderedPageBreak/>
        <w:t>përzgjedhjen e prurjeve të reja nga shkollat e mesme, etj.</w:t>
      </w:r>
      <w:sdt>
        <w:sdtPr>
          <w:rPr>
            <w:rFonts w:ascii="Calibri" w:hAnsi="Calibri" w:cs="Calibri"/>
          </w:rPr>
          <w:id w:val="-1552602399"/>
          <w:citation/>
        </w:sdtPr>
        <w:sdtEndPr/>
        <w:sdtContent>
          <w:r w:rsidR="00EC56B7" w:rsidRPr="00E97254">
            <w:rPr>
              <w:rFonts w:ascii="Calibri" w:hAnsi="Calibri" w:cs="Calibri"/>
            </w:rPr>
            <w:fldChar w:fldCharType="begin"/>
          </w:r>
          <w:r>
            <w:rPr>
              <w:rFonts w:ascii="Calibri" w:hAnsi="Calibri" w:cs="Calibri"/>
            </w:rPr>
            <w:instrText xml:space="preserve"> CITATION Kra18 \l 1033 </w:instrText>
          </w:r>
          <w:r w:rsidR="00EC56B7" w:rsidRPr="00E97254">
            <w:rPr>
              <w:rFonts w:ascii="Calibri" w:hAnsi="Calibri" w:cs="Calibri"/>
            </w:rPr>
            <w:fldChar w:fldCharType="separate"/>
          </w:r>
          <w:r w:rsidR="00724BCC" w:rsidRPr="00E97254">
            <w:rPr>
              <w:rFonts w:ascii="Calibri" w:hAnsi="Calibri" w:cs="Calibri"/>
            </w:rPr>
            <w:t xml:space="preserve"> [32]</w:t>
          </w:r>
          <w:r w:rsidR="00EC56B7" w:rsidRPr="00E97254">
            <w:rPr>
              <w:rFonts w:ascii="Calibri" w:hAnsi="Calibri" w:cs="Calibri"/>
            </w:rPr>
            <w:fldChar w:fldCharType="end"/>
          </w:r>
        </w:sdtContent>
      </w:sdt>
      <w:r w:rsidR="00A93836" w:rsidRPr="00E97254">
        <w:rPr>
          <w:rFonts w:ascii="Calibri" w:hAnsi="Calibri" w:cs="Calibri"/>
        </w:rPr>
        <w:t xml:space="preserve">. </w:t>
      </w:r>
      <w:r w:rsidR="00F85CE2" w:rsidRPr="00E97254">
        <w:rPr>
          <w:rFonts w:ascii="Calibri" w:hAnsi="Calibri" w:cs="Calibri"/>
        </w:rPr>
        <w:t>Me këtë Ligj përcaktohen katër lloje të institucioneve të arsimit të lartë:</w:t>
      </w:r>
    </w:p>
    <w:p w:rsidR="001A3873" w:rsidRPr="00E97254" w:rsidRDefault="004E1F53" w:rsidP="000C0250">
      <w:pPr>
        <w:pStyle w:val="ListParagraph"/>
        <w:numPr>
          <w:ilvl w:val="0"/>
          <w:numId w:val="12"/>
        </w:numPr>
        <w:spacing w:after="0"/>
        <w:ind w:left="714" w:hanging="357"/>
        <w:contextualSpacing w:val="0"/>
        <w:jc w:val="both"/>
        <w:rPr>
          <w:rFonts w:ascii="Calibri" w:hAnsi="Calibri" w:cs="Calibri"/>
        </w:rPr>
      </w:pPr>
      <w:r>
        <w:rPr>
          <w:rFonts w:ascii="Calibri" w:hAnsi="Calibri" w:cs="Calibri"/>
        </w:rPr>
        <w:t>Universiteti si institucion i arsimit të lartë i cili ka në përbërje të paktën tri fakultete dhe ofron programe studimi në të gjitha ciklet, si dhe programe studimi të karakterit profesional. Puna kërkimore dhe veprimtaria krijuese janë pjesë e misionit të një universiteti.</w:t>
      </w:r>
    </w:p>
    <w:p w:rsidR="001A3873" w:rsidRPr="00E97254" w:rsidRDefault="004E1F53" w:rsidP="000C0250">
      <w:pPr>
        <w:pStyle w:val="ListParagraph"/>
        <w:numPr>
          <w:ilvl w:val="0"/>
          <w:numId w:val="12"/>
        </w:numPr>
        <w:spacing w:after="0"/>
        <w:ind w:left="714" w:hanging="357"/>
        <w:contextualSpacing w:val="0"/>
        <w:jc w:val="both"/>
        <w:rPr>
          <w:rFonts w:ascii="Calibri" w:hAnsi="Calibri" w:cs="Calibri"/>
        </w:rPr>
      </w:pPr>
      <w:r>
        <w:rPr>
          <w:rFonts w:ascii="Calibri" w:hAnsi="Calibri" w:cs="Calibri"/>
        </w:rPr>
        <w:t xml:space="preserve">Akademia e cila ka në përbërje të paktën një fakultet dhe, si universiteti, mund të ofrojë programe studimi në të gjitha ciklet, si dhe programe studimi të karakterit profesional. </w:t>
      </w:r>
      <w:r>
        <w:rPr>
          <w:rFonts w:cs="Calibri"/>
        </w:rPr>
        <w:t>Në</w:t>
      </w:r>
      <w:r>
        <w:rPr>
          <w:rFonts w:ascii="Calibri" w:hAnsi="Calibri" w:cs="Calibri"/>
        </w:rPr>
        <w:t xml:space="preserve"> dallim nga universiteti, akademia është institucion i arsimit të lartë i profilizuar. </w:t>
      </w:r>
    </w:p>
    <w:p w:rsidR="00E50317" w:rsidRPr="00E97254" w:rsidRDefault="004E1F53" w:rsidP="000C0250">
      <w:pPr>
        <w:pStyle w:val="ListParagraph"/>
        <w:numPr>
          <w:ilvl w:val="0"/>
          <w:numId w:val="12"/>
        </w:numPr>
        <w:spacing w:after="0"/>
        <w:ind w:left="714" w:hanging="357"/>
        <w:contextualSpacing w:val="0"/>
        <w:jc w:val="both"/>
        <w:rPr>
          <w:rFonts w:ascii="Calibri" w:hAnsi="Calibri" w:cs="Calibri"/>
        </w:rPr>
      </w:pPr>
      <w:r>
        <w:rPr>
          <w:rFonts w:ascii="Calibri" w:hAnsi="Calibri" w:cs="Calibri"/>
        </w:rPr>
        <w:t xml:space="preserve">Kolegji universitar i cili ka në përbërje të paktën dy fakultete dhe, </w:t>
      </w:r>
      <w:r>
        <w:rPr>
          <w:rFonts w:cs="Calibri"/>
        </w:rPr>
        <w:t>në</w:t>
      </w:r>
      <w:r>
        <w:rPr>
          <w:rFonts w:ascii="Calibri" w:hAnsi="Calibri" w:cs="Calibri"/>
        </w:rPr>
        <w:t xml:space="preserve"> dallim nga universiteti dhe akademia, mund të ofrojë programe studimi vetëm në ciklin e parë dhe të dytë të studimeve, si dhe programe me karakter profesional.</w:t>
      </w:r>
    </w:p>
    <w:p w:rsidR="00E50317" w:rsidRPr="00E97254" w:rsidRDefault="004E1F53" w:rsidP="000C0250">
      <w:pPr>
        <w:pStyle w:val="ListParagraph"/>
        <w:numPr>
          <w:ilvl w:val="0"/>
          <w:numId w:val="12"/>
        </w:numPr>
        <w:spacing w:after="0"/>
        <w:ind w:left="714" w:hanging="357"/>
        <w:contextualSpacing w:val="0"/>
        <w:jc w:val="both"/>
        <w:rPr>
          <w:rFonts w:ascii="Calibri" w:hAnsi="Calibri" w:cs="Calibri"/>
        </w:rPr>
      </w:pPr>
      <w:r>
        <w:rPr>
          <w:rFonts w:ascii="Calibri" w:hAnsi="Calibri" w:cs="Calibri"/>
        </w:rPr>
        <w:t xml:space="preserve">Kolegji profesional i lartë si institucion që ofron programe me karakter profesional me kohëzgjatje 1 ose 2 </w:t>
      </w:r>
      <w:r>
        <w:t xml:space="preserve">vite akademike. </w:t>
      </w:r>
    </w:p>
    <w:p w:rsidR="00E50317" w:rsidRPr="00E97254" w:rsidRDefault="004E1F53" w:rsidP="000C0250">
      <w:pPr>
        <w:spacing w:after="0"/>
        <w:jc w:val="both"/>
        <w:rPr>
          <w:rFonts w:ascii="Calibri" w:hAnsi="Calibri" w:cs="Calibri"/>
        </w:rPr>
      </w:pPr>
      <w:r>
        <w:rPr>
          <w:rFonts w:ascii="Calibri" w:hAnsi="Calibri" w:cs="Calibri"/>
        </w:rPr>
        <w:t xml:space="preserve">Në funksion të zbatimit të Ligjit Nr. 80/2015 janë nxjerrë edhe disa dhjetëra akte nënligjore, prej të cilave po </w:t>
      </w:r>
      <w:r>
        <w:rPr>
          <w:rFonts w:cs="Calibri"/>
        </w:rPr>
        <w:t>p</w:t>
      </w:r>
      <w:r>
        <w:rPr>
          <w:rFonts w:cs="Calibri"/>
          <w:color w:val="222222"/>
        </w:rPr>
        <w:t>ërmendim</w:t>
      </w:r>
      <w:r>
        <w:rPr>
          <w:rFonts w:ascii="Calibri" w:hAnsi="Calibri" w:cs="Calibri"/>
        </w:rPr>
        <w:t xml:space="preserve"> disa:</w:t>
      </w:r>
    </w:p>
    <w:p w:rsidR="001042A3" w:rsidRPr="00E97254" w:rsidRDefault="004E1F53" w:rsidP="000C0250">
      <w:pPr>
        <w:pStyle w:val="ListParagraph"/>
        <w:numPr>
          <w:ilvl w:val="0"/>
          <w:numId w:val="13"/>
        </w:numPr>
        <w:spacing w:after="0"/>
        <w:contextualSpacing w:val="0"/>
        <w:jc w:val="both"/>
        <w:rPr>
          <w:rFonts w:ascii="Calibri" w:hAnsi="Calibri" w:cs="Calibri"/>
        </w:rPr>
      </w:pPr>
      <w:r>
        <w:rPr>
          <w:rFonts w:ascii="Calibri" w:hAnsi="Calibri" w:cs="Calibri"/>
        </w:rPr>
        <w:t>VKM</w:t>
      </w:r>
      <w:r w:rsidR="00F6483B">
        <w:rPr>
          <w:rFonts w:ascii="Calibri" w:hAnsi="Calibri" w:cs="Calibri"/>
        </w:rPr>
        <w:t>-ja</w:t>
      </w:r>
      <w:r w:rsidR="001042A3" w:rsidRPr="00E97254">
        <w:rPr>
          <w:rFonts w:ascii="Calibri" w:hAnsi="Calibri" w:cs="Calibri"/>
        </w:rPr>
        <w:t xml:space="preserve"> nr.109, datë 15.02.2017 “Për organizimin dhe funksionimin e agjencisë së sigurimit të cilësisë në arsimin e lartë e t</w:t>
      </w:r>
      <w:r>
        <w:rPr>
          <w:rFonts w:ascii="Calibri" w:hAnsi="Calibri" w:cs="Calibri"/>
        </w:rPr>
        <w:t>ë bordit të akreditimit dhe për përcaktimin e tarifave për proceset e sigurimit të cilësisë në arsimin e lartë</w:t>
      </w:r>
      <w:r>
        <w:rPr>
          <w:rFonts w:cs="Calibri"/>
        </w:rPr>
        <w:t>”</w:t>
      </w:r>
      <w:r>
        <w:t>, i ndryshuar.</w:t>
      </w:r>
    </w:p>
    <w:p w:rsidR="001042A3" w:rsidRPr="00E97254" w:rsidRDefault="004E1F53" w:rsidP="000C0250">
      <w:pPr>
        <w:pStyle w:val="ListParagraph"/>
        <w:numPr>
          <w:ilvl w:val="0"/>
          <w:numId w:val="13"/>
        </w:numPr>
        <w:spacing w:after="0"/>
        <w:ind w:left="714" w:hanging="357"/>
        <w:contextualSpacing w:val="0"/>
        <w:jc w:val="both"/>
        <w:rPr>
          <w:rFonts w:ascii="Calibri" w:hAnsi="Calibri" w:cs="Calibri"/>
        </w:rPr>
      </w:pPr>
      <w:r>
        <w:rPr>
          <w:rFonts w:ascii="Calibri" w:hAnsi="Calibri" w:cs="Calibri"/>
        </w:rPr>
        <w:t>VKM</w:t>
      </w:r>
      <w:r w:rsidR="00F6483B">
        <w:rPr>
          <w:rFonts w:ascii="Calibri" w:hAnsi="Calibri" w:cs="Calibri"/>
        </w:rPr>
        <w:t>-ja</w:t>
      </w:r>
      <w:r w:rsidR="001042A3" w:rsidRPr="00E97254">
        <w:rPr>
          <w:rFonts w:ascii="Calibri" w:hAnsi="Calibri" w:cs="Calibri"/>
        </w:rPr>
        <w:t xml:space="preserve"> nr.370, datë 26.04.2017 “Për organizimin dhe funksionimin e kolegjit profesional të lartë”.</w:t>
      </w:r>
    </w:p>
    <w:p w:rsidR="005B614A" w:rsidRPr="00E97254" w:rsidRDefault="001042A3" w:rsidP="000C0250">
      <w:pPr>
        <w:pStyle w:val="ListParagraph"/>
        <w:numPr>
          <w:ilvl w:val="0"/>
          <w:numId w:val="13"/>
        </w:numPr>
        <w:spacing w:after="0"/>
        <w:ind w:left="714" w:hanging="357"/>
        <w:contextualSpacing w:val="0"/>
        <w:jc w:val="both"/>
        <w:rPr>
          <w:rFonts w:ascii="Calibri" w:hAnsi="Calibri" w:cs="Calibri"/>
        </w:rPr>
      </w:pPr>
      <w:r w:rsidRPr="00E97254">
        <w:rPr>
          <w:rFonts w:ascii="Calibri" w:hAnsi="Calibri" w:cs="Calibri"/>
        </w:rPr>
        <w:t>VKM</w:t>
      </w:r>
      <w:r w:rsidR="00F6483B">
        <w:rPr>
          <w:rFonts w:ascii="Calibri" w:hAnsi="Calibri" w:cs="Calibri"/>
        </w:rPr>
        <w:t>-ja</w:t>
      </w:r>
      <w:r w:rsidRPr="00E97254">
        <w:rPr>
          <w:rFonts w:ascii="Calibri" w:hAnsi="Calibri" w:cs="Calibri"/>
        </w:rPr>
        <w:t xml:space="preserve"> nr.397, datë 03.05.2017 “Për organizimin dhe funksionimin e Agjencisë Kombëtare të Financimit të Arsimit të Lartë (AKFAL).</w:t>
      </w:r>
    </w:p>
    <w:p w:rsidR="001042A3" w:rsidRPr="00E97254" w:rsidRDefault="004E1F53" w:rsidP="000C0250">
      <w:pPr>
        <w:pStyle w:val="ListParagraph"/>
        <w:numPr>
          <w:ilvl w:val="0"/>
          <w:numId w:val="13"/>
        </w:numPr>
        <w:spacing w:after="0"/>
        <w:ind w:left="714" w:hanging="357"/>
        <w:contextualSpacing w:val="0"/>
        <w:jc w:val="both"/>
        <w:rPr>
          <w:rFonts w:ascii="Calibri" w:hAnsi="Calibri" w:cs="Calibri"/>
        </w:rPr>
      </w:pPr>
      <w:r>
        <w:rPr>
          <w:rFonts w:cstheme="minorHAnsi"/>
        </w:rPr>
        <w:t>VKM</w:t>
      </w:r>
      <w:r w:rsidR="00F6483B">
        <w:rPr>
          <w:rFonts w:ascii="Calibri" w:hAnsi="Calibri" w:cs="Calibri"/>
        </w:rPr>
        <w:t>-ja</w:t>
      </w:r>
      <w:r w:rsidR="001042A3" w:rsidRPr="00E97254">
        <w:rPr>
          <w:rFonts w:cstheme="minorHAnsi"/>
        </w:rPr>
        <w:t xml:space="preserve"> nr. 112, datë 23.02.2018 “Për përcaktimin e kritereve për fitimin e gradës shkencore “Doktor” dhe të standardeve shtetërore për fitimin e titujve akademike “Pr</w:t>
      </w:r>
      <w:r>
        <w:rPr>
          <w:rFonts w:cstheme="minorHAnsi"/>
        </w:rPr>
        <w:t>ofesor i Asociuar” dhe “Profesor”, i ndryshuar</w:t>
      </w:r>
      <w:r>
        <w:rPr>
          <w:rFonts w:cstheme="minorHAnsi"/>
          <w:color w:val="000000"/>
        </w:rPr>
        <w:t>.</w:t>
      </w:r>
    </w:p>
    <w:p w:rsidR="00683EE9" w:rsidRPr="00E97254" w:rsidRDefault="004E1F53" w:rsidP="000C0250">
      <w:pPr>
        <w:pStyle w:val="ListParagraph"/>
        <w:numPr>
          <w:ilvl w:val="0"/>
          <w:numId w:val="13"/>
        </w:numPr>
        <w:spacing w:after="0"/>
        <w:ind w:left="714" w:hanging="357"/>
        <w:contextualSpacing w:val="0"/>
        <w:jc w:val="both"/>
        <w:rPr>
          <w:rFonts w:ascii="Calibri" w:hAnsi="Calibri" w:cs="Calibri"/>
        </w:rPr>
      </w:pPr>
      <w:r>
        <w:rPr>
          <w:rFonts w:ascii="Calibri" w:hAnsi="Calibri" w:cs="Calibri"/>
        </w:rPr>
        <w:t>VKM</w:t>
      </w:r>
      <w:r w:rsidR="00F6483B">
        <w:rPr>
          <w:rFonts w:ascii="Calibri" w:hAnsi="Calibri" w:cs="Calibri"/>
        </w:rPr>
        <w:t>-ja</w:t>
      </w:r>
      <w:r w:rsidR="001042A3" w:rsidRPr="00E97254">
        <w:rPr>
          <w:rFonts w:ascii="Calibri" w:hAnsi="Calibri" w:cs="Calibri"/>
        </w:rPr>
        <w:t xml:space="preserve"> nr. 88, datë 14.02.2018 “Për krijimin e Qendrës Ndërinstitucionale të Rrjetit Akademik Shqiptar (RASH)”.</w:t>
      </w:r>
    </w:p>
    <w:p w:rsidR="00C85D80" w:rsidRPr="00E97254" w:rsidRDefault="004E1F53" w:rsidP="000C0250">
      <w:pPr>
        <w:pStyle w:val="ListParagraph"/>
        <w:numPr>
          <w:ilvl w:val="0"/>
          <w:numId w:val="13"/>
        </w:numPr>
        <w:spacing w:after="0"/>
        <w:ind w:left="714" w:hanging="357"/>
        <w:contextualSpacing w:val="0"/>
        <w:jc w:val="both"/>
        <w:rPr>
          <w:rFonts w:ascii="Calibri" w:hAnsi="Calibri" w:cs="Calibri"/>
        </w:rPr>
      </w:pPr>
      <w:r>
        <w:rPr>
          <w:rFonts w:ascii="Calibri" w:hAnsi="Calibri" w:cs="Calibri"/>
        </w:rPr>
        <w:t>VKM</w:t>
      </w:r>
      <w:r w:rsidR="00F6483B">
        <w:rPr>
          <w:rFonts w:ascii="Calibri" w:hAnsi="Calibri" w:cs="Calibri"/>
        </w:rPr>
        <w:t>-ja</w:t>
      </w:r>
      <w:r w:rsidR="001042A3" w:rsidRPr="00E97254">
        <w:rPr>
          <w:rFonts w:ascii="Calibri" w:hAnsi="Calibri" w:cs="Calibri"/>
        </w:rPr>
        <w:t xml:space="preserve"> nr.</w:t>
      </w:r>
      <w:r w:rsidR="006A4979" w:rsidRPr="00E97254">
        <w:rPr>
          <w:rFonts w:ascii="Calibri" w:hAnsi="Calibri" w:cs="Calibri"/>
        </w:rPr>
        <w:t>75</w:t>
      </w:r>
      <w:r w:rsidR="001042A3" w:rsidRPr="00E97254">
        <w:rPr>
          <w:rFonts w:ascii="Calibri" w:hAnsi="Calibri" w:cs="Calibri"/>
        </w:rPr>
        <w:t xml:space="preserve"> datë 12.02.2018 “Për miratimin e modelit të financimit të institucioneve publike të </w:t>
      </w:r>
      <w:r>
        <w:rPr>
          <w:rFonts w:ascii="Calibri" w:hAnsi="Calibri" w:cs="Calibri"/>
        </w:rPr>
        <w:t>arsimit të lartë dhe kërkimit shkencor”.</w:t>
      </w:r>
    </w:p>
    <w:p w:rsidR="00C85D80" w:rsidRPr="00E97254" w:rsidRDefault="004E1F53" w:rsidP="000C0250">
      <w:pPr>
        <w:pStyle w:val="ListParagraph"/>
        <w:numPr>
          <w:ilvl w:val="0"/>
          <w:numId w:val="13"/>
        </w:numPr>
        <w:spacing w:after="0"/>
        <w:ind w:left="714" w:hanging="357"/>
        <w:contextualSpacing w:val="0"/>
        <w:jc w:val="both"/>
        <w:rPr>
          <w:rFonts w:ascii="Calibri" w:hAnsi="Calibri" w:cs="Calibri"/>
        </w:rPr>
      </w:pPr>
      <w:r>
        <w:rPr>
          <w:rFonts w:ascii="Calibri" w:hAnsi="Calibri" w:cs="Calibri"/>
          <w:shd w:val="clear" w:color="auto" w:fill="FFFFFF" w:themeFill="background1"/>
        </w:rPr>
        <w:t>VKM</w:t>
      </w:r>
      <w:r w:rsidR="00F6483B">
        <w:rPr>
          <w:rFonts w:ascii="Calibri" w:hAnsi="Calibri" w:cs="Calibri"/>
        </w:rPr>
        <w:t>-ja</w:t>
      </w:r>
      <w:r w:rsidR="00C85D80" w:rsidRPr="00E97254">
        <w:rPr>
          <w:rFonts w:ascii="Calibri" w:hAnsi="Calibri" w:cs="Calibri"/>
          <w:shd w:val="clear" w:color="auto" w:fill="FFFFFF" w:themeFill="background1"/>
        </w:rPr>
        <w:t xml:space="preserve"> n</w:t>
      </w:r>
      <w:r w:rsidR="00C85D80" w:rsidRPr="00E97254">
        <w:rPr>
          <w:rFonts w:ascii="Calibri" w:hAnsi="Calibri" w:cs="Calibri"/>
        </w:rPr>
        <w:t>r. 777, datë 26.12.2018, “Për kontrollin antiplagjiaturë të disertacioneve për fitimin e</w:t>
      </w:r>
      <w:r w:rsidR="00596A88" w:rsidRPr="00E97254">
        <w:rPr>
          <w:rFonts w:ascii="Calibri" w:hAnsi="Calibri" w:cs="Calibri"/>
        </w:rPr>
        <w:t xml:space="preserve"> gradave shkencore”</w:t>
      </w:r>
      <w:r>
        <w:t xml:space="preserve">, i ndryshuar </w:t>
      </w:r>
    </w:p>
    <w:p w:rsidR="00C85D80" w:rsidRPr="00E97254" w:rsidRDefault="004E1F53" w:rsidP="000C0250">
      <w:pPr>
        <w:pStyle w:val="ListParagraph"/>
        <w:numPr>
          <w:ilvl w:val="0"/>
          <w:numId w:val="13"/>
        </w:numPr>
        <w:spacing w:after="0"/>
        <w:jc w:val="both"/>
        <w:rPr>
          <w:rFonts w:ascii="Calibri" w:hAnsi="Calibri" w:cs="Calibri"/>
        </w:rPr>
      </w:pPr>
      <w:r>
        <w:rPr>
          <w:rFonts w:ascii="Calibri" w:hAnsi="Calibri" w:cs="Calibri"/>
        </w:rPr>
        <w:t>VKM</w:t>
      </w:r>
      <w:r w:rsidR="00F6483B">
        <w:rPr>
          <w:rFonts w:ascii="Calibri" w:hAnsi="Calibri" w:cs="Calibri"/>
        </w:rPr>
        <w:t>-ja</w:t>
      </w:r>
      <w:r w:rsidR="00C85D80" w:rsidRPr="00E97254">
        <w:rPr>
          <w:rFonts w:ascii="Calibri" w:hAnsi="Calibri" w:cs="Calibri"/>
        </w:rPr>
        <w:t xml:space="preserve"> nr. 781, datë 26.12.2018, “Për garantimin e transparencës në institucionet publike të arsimit të lartë”.</w:t>
      </w:r>
    </w:p>
    <w:p w:rsidR="00C85D80" w:rsidRPr="00E97254" w:rsidRDefault="00C85D80" w:rsidP="000C0250">
      <w:pPr>
        <w:pStyle w:val="ListParagraph"/>
        <w:numPr>
          <w:ilvl w:val="0"/>
          <w:numId w:val="13"/>
        </w:numPr>
        <w:spacing w:after="0"/>
        <w:jc w:val="both"/>
        <w:rPr>
          <w:rFonts w:ascii="Calibri" w:hAnsi="Calibri" w:cs="Calibri"/>
        </w:rPr>
      </w:pPr>
      <w:r w:rsidRPr="00E97254">
        <w:rPr>
          <w:rFonts w:ascii="Calibri" w:hAnsi="Calibri" w:cs="Calibri"/>
        </w:rPr>
        <w:t>VKM</w:t>
      </w:r>
      <w:r w:rsidR="00F6483B">
        <w:rPr>
          <w:rFonts w:ascii="Calibri" w:hAnsi="Calibri" w:cs="Calibri"/>
        </w:rPr>
        <w:t>-ja</w:t>
      </w:r>
      <w:r w:rsidRPr="00E97254">
        <w:rPr>
          <w:rFonts w:ascii="Calibri" w:hAnsi="Calibri" w:cs="Calibri"/>
        </w:rPr>
        <w:t xml:space="preserve"> nr. 782, datë 26.12.2018, “Për përcaktimin e kritereve dhe të procedurave të përzgjedhjes së anëtarëve të Bordit të Administrimit, përfaqësues të ministrisë përgjegjëse për arsimin, në institucionet publike të arsimit të lartë”.</w:t>
      </w:r>
    </w:p>
    <w:p w:rsidR="00683EE9" w:rsidRPr="00E97254" w:rsidRDefault="00C85D80" w:rsidP="000C0250">
      <w:pPr>
        <w:pStyle w:val="ListParagraph"/>
        <w:numPr>
          <w:ilvl w:val="0"/>
          <w:numId w:val="13"/>
        </w:numPr>
        <w:spacing w:after="0"/>
        <w:ind w:left="714" w:hanging="357"/>
        <w:contextualSpacing w:val="0"/>
        <w:jc w:val="both"/>
        <w:rPr>
          <w:rFonts w:ascii="Calibri" w:hAnsi="Calibri" w:cs="Calibri"/>
        </w:rPr>
      </w:pPr>
      <w:r w:rsidRPr="00E97254">
        <w:rPr>
          <w:rFonts w:ascii="Calibri" w:hAnsi="Calibri" w:cs="Calibri"/>
        </w:rPr>
        <w:t>VKM</w:t>
      </w:r>
      <w:r w:rsidR="00F6483B">
        <w:rPr>
          <w:rFonts w:ascii="Calibri" w:hAnsi="Calibri" w:cs="Calibri"/>
        </w:rPr>
        <w:t>-ja</w:t>
      </w:r>
      <w:r w:rsidRPr="00E97254">
        <w:rPr>
          <w:rFonts w:ascii="Calibri" w:hAnsi="Calibri" w:cs="Calibri"/>
        </w:rPr>
        <w:t xml:space="preserve"> nr. 783, datë 26.12.2018, “Për vlerësimin e performancës në mësimdhënie të personelit akademik në institucionet e arsimit të lartë, edhe nëpërmjet sondazhit kombëtar të studentëve”. </w:t>
      </w:r>
      <w:sdt>
        <w:sdtPr>
          <w:rPr>
            <w:rFonts w:ascii="Calibri" w:hAnsi="Calibri" w:cs="Calibri"/>
          </w:rPr>
          <w:id w:val="-434139301"/>
          <w:citation/>
        </w:sdtPr>
        <w:sdtEndPr/>
        <w:sdtContent>
          <w:r w:rsidR="00EC56B7" w:rsidRPr="00E97254">
            <w:rPr>
              <w:rFonts w:ascii="Calibri" w:hAnsi="Calibri" w:cs="Calibri"/>
            </w:rPr>
            <w:fldChar w:fldCharType="begin"/>
          </w:r>
          <w:r w:rsidR="004E1F53">
            <w:rPr>
              <w:rFonts w:ascii="Calibri" w:hAnsi="Calibri" w:cs="Calibri"/>
            </w:rPr>
            <w:instrText xml:space="preserve">CITATION QBZ15 \l 1033 </w:instrText>
          </w:r>
          <w:r w:rsidR="00EC56B7" w:rsidRPr="00E97254">
            <w:rPr>
              <w:rFonts w:ascii="Calibri" w:hAnsi="Calibri" w:cs="Calibri"/>
            </w:rPr>
            <w:fldChar w:fldCharType="separate"/>
          </w:r>
          <w:r w:rsidR="004E1F53">
            <w:rPr>
              <w:rFonts w:ascii="Calibri" w:hAnsi="Calibri" w:cs="Calibri"/>
            </w:rPr>
            <w:t>[26]</w:t>
          </w:r>
          <w:r w:rsidR="00EC56B7" w:rsidRPr="00E97254">
            <w:rPr>
              <w:rFonts w:ascii="Calibri" w:hAnsi="Calibri" w:cs="Calibri"/>
            </w:rPr>
            <w:fldChar w:fldCharType="end"/>
          </w:r>
        </w:sdtContent>
      </w:sdt>
    </w:p>
    <w:p w:rsidR="00DB0A49" w:rsidRPr="00E97254" w:rsidRDefault="004E1F53" w:rsidP="000C0250">
      <w:pPr>
        <w:spacing w:after="0"/>
        <w:jc w:val="both"/>
        <w:rPr>
          <w:rFonts w:ascii="Calibri" w:hAnsi="Calibri" w:cs="Calibri"/>
        </w:rPr>
      </w:pPr>
      <w:r>
        <w:rPr>
          <w:rFonts w:ascii="Calibri" w:hAnsi="Calibri" w:cs="Calibri"/>
          <w:b/>
        </w:rPr>
        <w:t>Ligji Nr. 15/2017 për arsimin dhe formimin profesional</w:t>
      </w:r>
      <w:r>
        <w:rPr>
          <w:rFonts w:ascii="Calibri" w:hAnsi="Calibri" w:cs="Calibri"/>
        </w:rPr>
        <w:t xml:space="preserve"> </w:t>
      </w:r>
      <w:sdt>
        <w:sdtPr>
          <w:rPr>
            <w:rFonts w:ascii="Calibri" w:hAnsi="Calibri" w:cs="Calibri"/>
          </w:rPr>
          <w:id w:val="1706600673"/>
          <w:citation/>
        </w:sdtPr>
        <w:sdtEndPr/>
        <w:sdtContent>
          <w:r w:rsidR="00EC56B7" w:rsidRPr="00E97254">
            <w:rPr>
              <w:rFonts w:ascii="Calibri" w:hAnsi="Calibri" w:cs="Calibri"/>
            </w:rPr>
            <w:fldChar w:fldCharType="begin"/>
          </w:r>
          <w:r>
            <w:rPr>
              <w:rFonts w:ascii="Calibri" w:hAnsi="Calibri" w:cs="Calibri"/>
            </w:rPr>
            <w:instrText xml:space="preserve"> CITATION Lig17 \l 1033 </w:instrText>
          </w:r>
          <w:r w:rsidR="00EC56B7" w:rsidRPr="00E97254">
            <w:rPr>
              <w:rFonts w:ascii="Calibri" w:hAnsi="Calibri" w:cs="Calibri"/>
            </w:rPr>
            <w:fldChar w:fldCharType="separate"/>
          </w:r>
          <w:r w:rsidR="00724BCC" w:rsidRPr="00E97254">
            <w:rPr>
              <w:rFonts w:ascii="Calibri" w:hAnsi="Calibri" w:cs="Calibri"/>
            </w:rPr>
            <w:t>[27]</w:t>
          </w:r>
          <w:r w:rsidR="00EC56B7" w:rsidRPr="00E97254">
            <w:rPr>
              <w:rFonts w:ascii="Calibri" w:hAnsi="Calibri" w:cs="Calibri"/>
            </w:rPr>
            <w:fldChar w:fldCharType="end"/>
          </w:r>
        </w:sdtContent>
      </w:sdt>
      <w:r w:rsidR="00D948CA" w:rsidRPr="00E97254">
        <w:rPr>
          <w:rFonts w:ascii="Calibri" w:hAnsi="Calibri" w:cs="Calibri"/>
        </w:rPr>
        <w:t xml:space="preserve"> </w:t>
      </w:r>
      <w:r w:rsidR="00DA4A20" w:rsidRPr="00E97254">
        <w:rPr>
          <w:rFonts w:ascii="Calibri" w:hAnsi="Calibri" w:cs="Calibri"/>
        </w:rPr>
        <w:t xml:space="preserve">rregullon aspektet e sistemit të AFP-së në përputhje me sistemin e përgjithshëm arsimor dhe tregun e punës, </w:t>
      </w:r>
      <w:r w:rsidR="000840D4" w:rsidRPr="00E97254">
        <w:rPr>
          <w:rFonts w:ascii="Calibri" w:hAnsi="Calibri" w:cs="Calibri"/>
        </w:rPr>
        <w:t>ndërkaq AFP</w:t>
      </w:r>
      <w:r w:rsidR="00F6483B">
        <w:rPr>
          <w:rFonts w:ascii="Calibri" w:hAnsi="Calibri" w:cs="Calibri"/>
        </w:rPr>
        <w:t>-ja</w:t>
      </w:r>
      <w:r w:rsidR="000840D4" w:rsidRPr="00E97254">
        <w:rPr>
          <w:rFonts w:ascii="Calibri" w:hAnsi="Calibri" w:cs="Calibri"/>
        </w:rPr>
        <w:t xml:space="preserve"> </w:t>
      </w:r>
      <w:r w:rsidR="00DA4A20" w:rsidRPr="00E97254">
        <w:rPr>
          <w:rFonts w:ascii="Calibri" w:hAnsi="Calibri" w:cs="Calibri"/>
        </w:rPr>
        <w:t xml:space="preserve">nuk përfshihet në këtë </w:t>
      </w:r>
      <w:r w:rsidR="00DA4A20" w:rsidRPr="00E97254">
        <w:rPr>
          <w:rFonts w:ascii="Calibri" w:hAnsi="Calibri" w:cs="Calibri"/>
        </w:rPr>
        <w:lastRenderedPageBreak/>
        <w:t>Strategji</w:t>
      </w:r>
      <w:r>
        <w:rPr>
          <w:rFonts w:ascii="Calibri" w:hAnsi="Calibri" w:cs="Calibri"/>
        </w:rPr>
        <w:t xml:space="preserve">. Në këtë ligj përcaktohen funksionet dhe detyrat e ministrive përgjegjëse për </w:t>
      </w:r>
      <w:r>
        <w:rPr>
          <w:rFonts w:cs="Calibri"/>
        </w:rPr>
        <w:t>Arsimin</w:t>
      </w:r>
      <w:r>
        <w:rPr>
          <w:rFonts w:ascii="Calibri" w:hAnsi="Calibri" w:cs="Calibri"/>
        </w:rPr>
        <w:t xml:space="preserve"> dhe Arsimin profesional pasi shumë nga politikat që zbatohen në fushën e arsimit janë të përfshira edhe në arsimin profesional.</w:t>
      </w:r>
    </w:p>
    <w:p w:rsidR="001152EC" w:rsidRPr="00E97254" w:rsidRDefault="004E1F53" w:rsidP="000C0250">
      <w:pPr>
        <w:spacing w:after="0"/>
        <w:jc w:val="both"/>
        <w:rPr>
          <w:rFonts w:ascii="Calibri" w:hAnsi="Calibri" w:cs="Calibri"/>
        </w:rPr>
      </w:pPr>
      <w:r>
        <w:rPr>
          <w:rFonts w:ascii="Calibri" w:hAnsi="Calibri" w:cs="Calibri"/>
          <w:b/>
        </w:rPr>
        <w:t>Ligji Nr.10 247, datë 4.3.2010 për Kornizën Shqiptare të Kualifikimeve</w:t>
      </w:r>
      <w:r>
        <w:rPr>
          <w:rFonts w:ascii="Calibri" w:hAnsi="Calibri" w:cs="Calibri"/>
        </w:rPr>
        <w:t xml:space="preserve"> </w:t>
      </w:r>
      <w:sdt>
        <w:sdtPr>
          <w:rPr>
            <w:rFonts w:ascii="Calibri" w:hAnsi="Calibri" w:cs="Calibri"/>
          </w:rPr>
          <w:id w:val="-1230536271"/>
          <w:citation/>
        </w:sdtPr>
        <w:sdtEndPr/>
        <w:sdtContent>
          <w:r w:rsidR="00EC56B7" w:rsidRPr="00E97254">
            <w:rPr>
              <w:rFonts w:ascii="Calibri" w:hAnsi="Calibri" w:cs="Calibri"/>
            </w:rPr>
            <w:fldChar w:fldCharType="begin"/>
          </w:r>
          <w:r>
            <w:rPr>
              <w:rFonts w:ascii="Calibri" w:hAnsi="Calibri" w:cs="Calibri"/>
            </w:rPr>
            <w:instrText xml:space="preserve"> CITATION Lig \l 1033 </w:instrText>
          </w:r>
          <w:r w:rsidR="00EC56B7" w:rsidRPr="00E97254">
            <w:rPr>
              <w:rFonts w:ascii="Calibri" w:hAnsi="Calibri" w:cs="Calibri"/>
            </w:rPr>
            <w:fldChar w:fldCharType="separate"/>
          </w:r>
          <w:r w:rsidR="00724BCC" w:rsidRPr="00E97254">
            <w:rPr>
              <w:rFonts w:ascii="Calibri" w:hAnsi="Calibri" w:cs="Calibri"/>
            </w:rPr>
            <w:t>[28]</w:t>
          </w:r>
          <w:r w:rsidR="00EC56B7" w:rsidRPr="00E97254">
            <w:rPr>
              <w:rFonts w:ascii="Calibri" w:hAnsi="Calibri" w:cs="Calibri"/>
            </w:rPr>
            <w:fldChar w:fldCharType="end"/>
          </w:r>
        </w:sdtContent>
      </w:sdt>
      <w:r w:rsidR="001152EC" w:rsidRPr="00E97254">
        <w:rPr>
          <w:rFonts w:ascii="Calibri" w:hAnsi="Calibri" w:cs="Calibri"/>
        </w:rPr>
        <w:t>, i ndryshuar krijoi kornizën e kualifikimeve me tetë nivele</w:t>
      </w:r>
      <w:r w:rsidR="0048174A" w:rsidRPr="00E97254">
        <w:rPr>
          <w:rFonts w:ascii="Calibri" w:hAnsi="Calibri" w:cs="Calibri"/>
        </w:rPr>
        <w:t xml:space="preserve">, sipas modelit të Kornizës </w:t>
      </w:r>
      <w:r w:rsidR="0048174A" w:rsidRPr="00E97254">
        <w:rPr>
          <w:rFonts w:cs="Calibri"/>
        </w:rPr>
        <w:t>E</w:t>
      </w:r>
      <w:r w:rsidR="001C2C60" w:rsidRPr="00E97254">
        <w:rPr>
          <w:rFonts w:cs="Calibri"/>
        </w:rPr>
        <w:t>v</w:t>
      </w:r>
      <w:r w:rsidR="0048174A" w:rsidRPr="00E97254">
        <w:rPr>
          <w:rFonts w:cs="Calibri"/>
        </w:rPr>
        <w:t>ropiane</w:t>
      </w:r>
      <w:r w:rsidR="0048174A" w:rsidRPr="00E97254">
        <w:rPr>
          <w:rFonts w:ascii="Calibri" w:hAnsi="Calibri" w:cs="Calibri"/>
        </w:rPr>
        <w:t xml:space="preserve"> të Kualifikimeve.</w:t>
      </w:r>
      <w:r w:rsidR="001152EC" w:rsidRPr="00E97254">
        <w:rPr>
          <w:rFonts w:ascii="Calibri" w:hAnsi="Calibri" w:cs="Calibri"/>
        </w:rPr>
        <w:t xml:space="preserve"> </w:t>
      </w:r>
      <w:r w:rsidR="0048174A" w:rsidRPr="00E97254">
        <w:rPr>
          <w:rFonts w:ascii="Calibri" w:hAnsi="Calibri" w:cs="Calibri"/>
        </w:rPr>
        <w:t xml:space="preserve">Përveç niveleve të Kornizës, me këtë ligj përcaktohen </w:t>
      </w:r>
      <w:r>
        <w:rPr>
          <w:rFonts w:ascii="Calibri" w:hAnsi="Calibri" w:cs="Calibri"/>
        </w:rPr>
        <w:t>llojet e kualifikimit, të objektivave, të funksioneve dhe të fushave, ku e shtrin juridiksionin e vet KSHK-ja, si dhe strukturat përgjegjëse për drejtimin dhe zbatimin e KSHK-së.</w:t>
      </w:r>
    </w:p>
    <w:p w:rsidR="00E5655C" w:rsidRPr="00E97254" w:rsidRDefault="004E1F53" w:rsidP="000C0250">
      <w:pPr>
        <w:spacing w:after="0"/>
        <w:jc w:val="both"/>
        <w:rPr>
          <w:rFonts w:ascii="Calibri" w:hAnsi="Calibri" w:cs="Calibri"/>
        </w:rPr>
      </w:pPr>
      <w:r>
        <w:rPr>
          <w:rFonts w:ascii="Calibri" w:hAnsi="Calibri" w:cs="Calibri"/>
        </w:rPr>
        <w:t>Korniza Shqiptare e Kualifikimeve (KSHK), vlerësohet si thelbësore për reformën e kualifikimeve dhe cilësinë e sistemit të arsimit dhe aftësimit, në përgjithësi. Tre aktet nënligjore të hartuara nga Task</w:t>
      </w:r>
      <w:r w:rsidR="00F6483B">
        <w:rPr>
          <w:rFonts w:ascii="Calibri" w:hAnsi="Calibri" w:cs="Calibri"/>
        </w:rPr>
        <w:t>-</w:t>
      </w:r>
      <w:r w:rsidR="00E5655C" w:rsidRPr="00E97254">
        <w:rPr>
          <w:rFonts w:ascii="Calibri" w:hAnsi="Calibri" w:cs="Calibri"/>
        </w:rPr>
        <w:t>Forc</w:t>
      </w:r>
      <w:r w:rsidR="00F6483B">
        <w:rPr>
          <w:rFonts w:ascii="Calibri" w:hAnsi="Calibri" w:cs="Calibri"/>
        </w:rPr>
        <w:t>a</w:t>
      </w:r>
      <w:r w:rsidR="00E5655C" w:rsidRPr="00E97254">
        <w:rPr>
          <w:rFonts w:ascii="Calibri" w:hAnsi="Calibri" w:cs="Calibri"/>
        </w:rPr>
        <w:t xml:space="preserve"> e ngritur për këtë qëllim, janë miratuar nga Këshilli i Ministrave. Task</w:t>
      </w:r>
      <w:r w:rsidR="00F6483B">
        <w:rPr>
          <w:rFonts w:ascii="Calibri" w:hAnsi="Calibri" w:cs="Calibri"/>
        </w:rPr>
        <w:t>-</w:t>
      </w:r>
      <w:r w:rsidR="00E5655C" w:rsidRPr="00E97254">
        <w:rPr>
          <w:rFonts w:ascii="Calibri" w:hAnsi="Calibri" w:cs="Calibri"/>
        </w:rPr>
        <w:t>Forca ka ekzaminuar dhe veçuar ndryshimet e nevojshme të kornizës ligjore për arsimin e lartë në mënyrë që të përmbushë kriteret e referencës</w:t>
      </w:r>
      <w:r w:rsidR="00F6483B">
        <w:rPr>
          <w:rFonts w:ascii="Calibri" w:hAnsi="Calibri" w:cs="Calibri"/>
        </w:rPr>
        <w:t>,</w:t>
      </w:r>
      <w:r w:rsidR="00E5655C" w:rsidRPr="00E97254">
        <w:rPr>
          <w:rFonts w:ascii="Calibri" w:hAnsi="Calibri" w:cs="Calibri"/>
        </w:rPr>
        <w:t xml:space="preserve"> që Korniza jonë e Kualifikimeve t’i referohet Kornizës Evropiane të Kualifikimeve (</w:t>
      </w:r>
      <w:r w:rsidR="00372807" w:rsidRPr="00E97254">
        <w:rPr>
          <w:rFonts w:ascii="Calibri" w:hAnsi="Calibri" w:cs="Calibri"/>
        </w:rPr>
        <w:t>KEK</w:t>
      </w:r>
      <w:r w:rsidR="00E5655C" w:rsidRPr="00E97254">
        <w:rPr>
          <w:rFonts w:ascii="Calibri" w:hAnsi="Calibri" w:cs="Calibri"/>
        </w:rPr>
        <w:t>) dhe asaj të QF-EHE</w:t>
      </w:r>
      <w:r w:rsidR="006C7ECC" w:rsidRPr="00E97254">
        <w:rPr>
          <w:rFonts w:ascii="Calibri" w:hAnsi="Calibri" w:cs="Calibri"/>
        </w:rPr>
        <w:t>A</w:t>
      </w:r>
      <w:r w:rsidR="00F6483B">
        <w:rPr>
          <w:rFonts w:ascii="Calibri" w:hAnsi="Calibri" w:cs="Calibri"/>
        </w:rPr>
        <w:t>-s</w:t>
      </w:r>
      <w:r w:rsidR="00F6483B" w:rsidRPr="00E97254">
        <w:rPr>
          <w:rFonts w:ascii="Calibri" w:hAnsi="Calibri" w:cs="Calibri"/>
        </w:rPr>
        <w:t>ë</w:t>
      </w:r>
      <w:r w:rsidR="00F6483B">
        <w:rPr>
          <w:rFonts w:ascii="Calibri" w:hAnsi="Calibri" w:cs="Calibri"/>
        </w:rPr>
        <w:t>.</w:t>
      </w:r>
      <w:r w:rsidR="00E5655C" w:rsidRPr="00E97254">
        <w:rPr>
          <w:rFonts w:ascii="Calibri" w:hAnsi="Calibri" w:cs="Calibri"/>
        </w:rPr>
        <w:t xml:space="preserve"> Ekspertët e Reformës së Arsimit të Lartë me Ekipin Kombëtar të Bolonjës në bashkëpunim me Task</w:t>
      </w:r>
      <w:r w:rsidR="00F6483B">
        <w:rPr>
          <w:rFonts w:ascii="Calibri" w:hAnsi="Calibri" w:cs="Calibri"/>
        </w:rPr>
        <w:t>-</w:t>
      </w:r>
      <w:r w:rsidR="00E5655C" w:rsidRPr="00E97254">
        <w:rPr>
          <w:rFonts w:ascii="Calibri" w:hAnsi="Calibri" w:cs="Calibri"/>
        </w:rPr>
        <w:t>Forc</w:t>
      </w:r>
      <w:r w:rsidR="00F6483B" w:rsidRPr="00E97254">
        <w:rPr>
          <w:rFonts w:ascii="Calibri" w:hAnsi="Calibri" w:cs="Calibri"/>
        </w:rPr>
        <w:t>ë</w:t>
      </w:r>
      <w:r w:rsidR="00F6483B">
        <w:rPr>
          <w:rFonts w:ascii="Calibri" w:hAnsi="Calibri" w:cs="Calibri"/>
        </w:rPr>
        <w:t>n</w:t>
      </w:r>
      <w:r w:rsidR="00E5655C" w:rsidRPr="00E97254">
        <w:rPr>
          <w:rFonts w:ascii="Calibri" w:hAnsi="Calibri" w:cs="Calibri"/>
        </w:rPr>
        <w:t xml:space="preserve"> për Kornizën e Kualifikimeve po punojnë për të përgatitur aktet e nevojshme  për plotësimin e kritereve të referencimit. Ky proces do të finalizohet në vitin 2021. Aktualisht</w:t>
      </w:r>
      <w:r w:rsidR="00F6483B">
        <w:rPr>
          <w:rFonts w:ascii="Calibri" w:hAnsi="Calibri" w:cs="Calibri"/>
        </w:rPr>
        <w:t>,</w:t>
      </w:r>
      <w:r w:rsidR="00E5655C" w:rsidRPr="00E97254">
        <w:rPr>
          <w:rFonts w:ascii="Calibri" w:hAnsi="Calibri" w:cs="Calibri"/>
        </w:rPr>
        <w:t xml:space="preserve"> po punohet për rishikimin e VKM-së lidhur me përshkruesit  e detajuar të çdo niveli të KSHK-së dhe në të njëjtën koh</w:t>
      </w:r>
      <w:r>
        <w:rPr>
          <w:rFonts w:ascii="Calibri" w:hAnsi="Calibri" w:cs="Calibri"/>
        </w:rPr>
        <w:t>ë, për përgatitjen e aktit nënligjor për ngritjen Komitetit të parë Sektorial në zbatim të dispozitave ligjore të Ligjit për KSHK-në.  Parashikohet gjithashtu, që të përgatitet nga Task</w:t>
      </w:r>
      <w:r w:rsidR="00F6483B">
        <w:rPr>
          <w:rFonts w:ascii="Calibri" w:hAnsi="Calibri" w:cs="Calibri"/>
        </w:rPr>
        <w:t>-</w:t>
      </w:r>
      <w:r w:rsidR="00F6483B" w:rsidRPr="00E97254">
        <w:rPr>
          <w:rFonts w:ascii="Calibri" w:hAnsi="Calibri" w:cs="Calibri"/>
        </w:rPr>
        <w:t>Forc</w:t>
      </w:r>
      <w:r w:rsidR="00F6483B">
        <w:rPr>
          <w:rFonts w:ascii="Calibri" w:hAnsi="Calibri" w:cs="Calibri"/>
        </w:rPr>
        <w:t>a</w:t>
      </w:r>
      <w:r w:rsidR="00F6483B" w:rsidRPr="00E97254">
        <w:rPr>
          <w:rFonts w:ascii="Calibri" w:hAnsi="Calibri" w:cs="Calibri"/>
        </w:rPr>
        <w:t xml:space="preserve"> </w:t>
      </w:r>
      <w:r w:rsidR="00E5655C" w:rsidRPr="00E97254">
        <w:rPr>
          <w:rFonts w:ascii="Calibri" w:hAnsi="Calibri" w:cs="Calibri"/>
        </w:rPr>
        <w:t>për KSHK</w:t>
      </w:r>
      <w:r w:rsidR="00F6483B">
        <w:rPr>
          <w:rFonts w:ascii="Calibri" w:hAnsi="Calibri" w:cs="Calibri"/>
        </w:rPr>
        <w:t>-n</w:t>
      </w:r>
      <w:r w:rsidR="00F6483B" w:rsidRPr="00E97254">
        <w:rPr>
          <w:rFonts w:ascii="Calibri" w:hAnsi="Calibri" w:cs="Calibri"/>
        </w:rPr>
        <w:t>ë</w:t>
      </w:r>
      <w:r w:rsidR="00E5655C" w:rsidRPr="00E97254">
        <w:rPr>
          <w:rFonts w:ascii="Calibri" w:hAnsi="Calibri" w:cs="Calibri"/>
        </w:rPr>
        <w:t xml:space="preserve"> dhe një strategji komunikimi për KSHK</w:t>
      </w:r>
      <w:r w:rsidR="00F6483B">
        <w:rPr>
          <w:rFonts w:ascii="Calibri" w:hAnsi="Calibri" w:cs="Calibri"/>
        </w:rPr>
        <w:t>-n</w:t>
      </w:r>
      <w:r w:rsidR="00F6483B" w:rsidRPr="00E97254">
        <w:rPr>
          <w:rFonts w:ascii="Calibri" w:hAnsi="Calibri" w:cs="Calibri"/>
        </w:rPr>
        <w:t>ë</w:t>
      </w:r>
      <w:r w:rsidR="00E5655C" w:rsidRPr="00E97254">
        <w:rPr>
          <w:rFonts w:ascii="Calibri" w:hAnsi="Calibri" w:cs="Calibri"/>
        </w:rPr>
        <w:t xml:space="preserve"> e cila do të mundësojë një njohje dhe përdorim më të gjerë të KSHK</w:t>
      </w:r>
      <w:r w:rsidR="00F6483B">
        <w:rPr>
          <w:rFonts w:ascii="Calibri" w:hAnsi="Calibri" w:cs="Calibri"/>
        </w:rPr>
        <w:t>-s</w:t>
      </w:r>
      <w:r w:rsidR="00F6483B" w:rsidRPr="00E97254">
        <w:rPr>
          <w:rFonts w:ascii="Calibri" w:hAnsi="Calibri" w:cs="Calibri"/>
        </w:rPr>
        <w:t>ë</w:t>
      </w:r>
      <w:r w:rsidR="00E5655C" w:rsidRPr="00E97254">
        <w:rPr>
          <w:rFonts w:ascii="Calibri" w:hAnsi="Calibri" w:cs="Calibri"/>
        </w:rPr>
        <w:t xml:space="preserve"> nga të gjithë aktorët.</w:t>
      </w:r>
    </w:p>
    <w:p w:rsidR="00A71ECB" w:rsidRPr="00E97254" w:rsidRDefault="00FA5606" w:rsidP="000C0250">
      <w:pPr>
        <w:pStyle w:val="Heading3"/>
        <w:jc w:val="both"/>
      </w:pPr>
      <w:bookmarkStart w:id="28" w:name="_Toc45624215"/>
      <w:bookmarkStart w:id="29" w:name="_Toc66801984"/>
      <w:r w:rsidRPr="00FA5606">
        <w:t>3.4.2. Struktura e sistemit të arsimit</w:t>
      </w:r>
      <w:bookmarkEnd w:id="28"/>
      <w:bookmarkEnd w:id="29"/>
    </w:p>
    <w:p w:rsidR="003A706E" w:rsidRPr="00E97254" w:rsidRDefault="004E1F53" w:rsidP="000C0250">
      <w:pPr>
        <w:spacing w:before="120" w:after="0"/>
        <w:jc w:val="both"/>
        <w:rPr>
          <w:rFonts w:ascii="Calibri" w:hAnsi="Calibri" w:cs="Calibri"/>
        </w:rPr>
      </w:pPr>
      <w:r>
        <w:rPr>
          <w:rFonts w:ascii="Calibri" w:hAnsi="Calibri" w:cs="Calibri"/>
        </w:rPr>
        <w:t xml:space="preserve">Sistemi arsimor në Republikën e Shqipërisë </w:t>
      </w:r>
      <w:r>
        <w:rPr>
          <w:rFonts w:cs="Calibri"/>
        </w:rPr>
        <w:t>përfshin</w:t>
      </w:r>
      <w:r>
        <w:rPr>
          <w:rFonts w:ascii="Calibri" w:hAnsi="Calibri" w:cs="Calibri"/>
        </w:rPr>
        <w:t xml:space="preserve"> pesë nivele kryesore :</w:t>
      </w:r>
    </w:p>
    <w:p w:rsidR="00256FBE" w:rsidRPr="00E97254" w:rsidRDefault="004E1F53" w:rsidP="000C0250">
      <w:pPr>
        <w:pStyle w:val="ListParagraph"/>
        <w:numPr>
          <w:ilvl w:val="0"/>
          <w:numId w:val="15"/>
        </w:numPr>
        <w:spacing w:after="0"/>
        <w:jc w:val="both"/>
        <w:rPr>
          <w:rFonts w:ascii="Calibri" w:hAnsi="Calibri" w:cs="Calibri"/>
          <w:sz w:val="20"/>
        </w:rPr>
      </w:pPr>
      <w:r>
        <w:rPr>
          <w:rFonts w:ascii="Calibri" w:hAnsi="Calibri" w:cs="Calibri"/>
          <w:szCs w:val="24"/>
        </w:rPr>
        <w:t>Arsimi parashkollor – KNSA 0, mosha 3-6 vjeç</w:t>
      </w:r>
      <w:r>
        <w:rPr>
          <w:rFonts w:cs="Calibri"/>
          <w:szCs w:val="24"/>
        </w:rPr>
        <w:t>;</w:t>
      </w:r>
    </w:p>
    <w:p w:rsidR="00256FBE" w:rsidRPr="00E97254" w:rsidRDefault="004E1F53" w:rsidP="000C0250">
      <w:pPr>
        <w:pStyle w:val="ListParagraph"/>
        <w:numPr>
          <w:ilvl w:val="0"/>
          <w:numId w:val="15"/>
        </w:numPr>
        <w:spacing w:before="120" w:after="0"/>
        <w:jc w:val="both"/>
        <w:rPr>
          <w:rFonts w:ascii="Calibri" w:hAnsi="Calibri" w:cs="Calibri"/>
        </w:rPr>
      </w:pPr>
      <w:r>
        <w:rPr>
          <w:rFonts w:ascii="Calibri" w:hAnsi="Calibri" w:cs="Calibri"/>
        </w:rPr>
        <w:t>Arsimi fillor – KNSA 1, mosha 6-10 vjeç</w:t>
      </w:r>
      <w:r>
        <w:rPr>
          <w:rFonts w:cs="Calibri"/>
        </w:rPr>
        <w:t>;</w:t>
      </w:r>
    </w:p>
    <w:p w:rsidR="00256FBE" w:rsidRPr="00E97254" w:rsidRDefault="004E1F53" w:rsidP="000C0250">
      <w:pPr>
        <w:pStyle w:val="ListParagraph"/>
        <w:numPr>
          <w:ilvl w:val="0"/>
          <w:numId w:val="15"/>
        </w:numPr>
        <w:spacing w:before="120" w:after="0"/>
        <w:jc w:val="both"/>
        <w:rPr>
          <w:rFonts w:ascii="Calibri" w:hAnsi="Calibri" w:cs="Calibri"/>
        </w:rPr>
      </w:pPr>
      <w:r>
        <w:rPr>
          <w:rFonts w:ascii="Calibri" w:hAnsi="Calibri" w:cs="Calibri"/>
        </w:rPr>
        <w:t>Arsimi i mesëm i ulët – KNSA 2, mosha 11-14 vjeç</w:t>
      </w:r>
      <w:r>
        <w:rPr>
          <w:rFonts w:cs="Calibri"/>
        </w:rPr>
        <w:t>;</w:t>
      </w:r>
    </w:p>
    <w:p w:rsidR="00256FBE" w:rsidRPr="00E97254" w:rsidRDefault="004E1F53" w:rsidP="000C0250">
      <w:pPr>
        <w:pStyle w:val="ListParagraph"/>
        <w:numPr>
          <w:ilvl w:val="0"/>
          <w:numId w:val="15"/>
        </w:numPr>
        <w:spacing w:before="120" w:after="0"/>
        <w:jc w:val="both"/>
        <w:rPr>
          <w:rFonts w:ascii="Calibri" w:hAnsi="Calibri" w:cs="Calibri"/>
        </w:rPr>
      </w:pPr>
      <w:r>
        <w:rPr>
          <w:rFonts w:ascii="Calibri" w:hAnsi="Calibri" w:cs="Calibri"/>
        </w:rPr>
        <w:t>Arsimi i mesëm i lartë – KNSA 3, mosha 15-18 vjeç</w:t>
      </w:r>
      <w:r>
        <w:rPr>
          <w:rFonts w:cs="Calibri"/>
        </w:rPr>
        <w:t>;</w:t>
      </w:r>
    </w:p>
    <w:p w:rsidR="00256FBE" w:rsidRPr="00E97254" w:rsidRDefault="004E1F53" w:rsidP="000C0250">
      <w:pPr>
        <w:pStyle w:val="ListParagraph"/>
        <w:numPr>
          <w:ilvl w:val="0"/>
          <w:numId w:val="15"/>
        </w:numPr>
        <w:spacing w:before="120" w:after="0"/>
        <w:jc w:val="both"/>
        <w:rPr>
          <w:rFonts w:ascii="Calibri" w:hAnsi="Calibri" w:cs="Calibri"/>
        </w:rPr>
      </w:pPr>
      <w:r>
        <w:rPr>
          <w:rFonts w:ascii="Calibri" w:hAnsi="Calibri" w:cs="Calibri"/>
        </w:rPr>
        <w:t>Arsimi i lartë – KNSA 5-8, mosha 18+</w:t>
      </w:r>
    </w:p>
    <w:p w:rsidR="00411EF4" w:rsidRPr="00E97254" w:rsidRDefault="004E1F53" w:rsidP="000C0250">
      <w:pPr>
        <w:pStyle w:val="Caption"/>
        <w:spacing w:line="276" w:lineRule="auto"/>
        <w:jc w:val="both"/>
        <w:rPr>
          <w:rFonts w:ascii="Calibri" w:hAnsi="Calibri" w:cs="Calibri"/>
          <w:b w:val="0"/>
          <w:color w:val="auto"/>
          <w:sz w:val="22"/>
          <w:szCs w:val="22"/>
        </w:rPr>
      </w:pPr>
      <w:r w:rsidRPr="004E1F53">
        <w:rPr>
          <w:rFonts w:ascii="Calibri" w:hAnsi="Calibri" w:cs="Calibri"/>
          <w:b w:val="0"/>
          <w:color w:val="auto"/>
          <w:sz w:val="22"/>
          <w:szCs w:val="22"/>
        </w:rPr>
        <w:t xml:space="preserve">Nivelet KNSA 0-3 i takojnë arsimit parauniversitar, ndërsa nivelet KNSA 5-8 arsimit të lartë. </w:t>
      </w:r>
    </w:p>
    <w:p w:rsidR="00406509" w:rsidRPr="00E97254" w:rsidRDefault="004E1F53" w:rsidP="000C0250">
      <w:pPr>
        <w:spacing w:after="0"/>
        <w:jc w:val="both"/>
        <w:rPr>
          <w:rFonts w:ascii="Calibri" w:hAnsi="Calibri" w:cs="Calibri"/>
          <w:sz w:val="20"/>
        </w:rPr>
      </w:pPr>
      <w:r>
        <w:rPr>
          <w:rFonts w:ascii="Calibri" w:hAnsi="Calibri" w:cs="Calibri"/>
          <w:szCs w:val="24"/>
        </w:rPr>
        <w:t xml:space="preserve">Arsimi parashkollor ofrohet në kopshte ku funksionojnë tre grupe –3-4, 4-5 dhe 5-6 vjeç. Fëmijëve të moshës pesë vjeç, të cilët nuk kanë ndjekur kopshtin për arsye te ndryshme apo në vendbanimin e </w:t>
      </w:r>
      <w:r w:rsidR="00F6483B">
        <w:rPr>
          <w:rFonts w:ascii="Calibri" w:hAnsi="Calibri" w:cs="Calibri"/>
          <w:szCs w:val="24"/>
        </w:rPr>
        <w:t>t</w:t>
      </w:r>
      <w:r w:rsidR="00F6483B" w:rsidRPr="00E97254">
        <w:rPr>
          <w:rFonts w:ascii="Calibri" w:hAnsi="Calibri" w:cs="Calibri"/>
        </w:rPr>
        <w:t>ë</w:t>
      </w:r>
      <w:r w:rsidR="00F6483B">
        <w:rPr>
          <w:rFonts w:ascii="Calibri" w:hAnsi="Calibri" w:cs="Calibri"/>
        </w:rPr>
        <w:t xml:space="preserve"> cil</w:t>
      </w:r>
      <w:r w:rsidR="00F6483B" w:rsidRPr="00E97254">
        <w:rPr>
          <w:rFonts w:ascii="Calibri" w:hAnsi="Calibri" w:cs="Calibri"/>
        </w:rPr>
        <w:t>ë</w:t>
      </w:r>
      <w:r w:rsidR="00F6483B">
        <w:rPr>
          <w:rFonts w:ascii="Calibri" w:hAnsi="Calibri" w:cs="Calibri"/>
        </w:rPr>
        <w:t>ve</w:t>
      </w:r>
      <w:r w:rsidR="00F6483B" w:rsidRPr="00E97254">
        <w:rPr>
          <w:rFonts w:ascii="Calibri" w:hAnsi="Calibri" w:cs="Calibri"/>
          <w:szCs w:val="24"/>
        </w:rPr>
        <w:t xml:space="preserve"> </w:t>
      </w:r>
      <w:r w:rsidR="006E28BB" w:rsidRPr="00E97254">
        <w:rPr>
          <w:rFonts w:ascii="Calibri" w:hAnsi="Calibri" w:cs="Calibri"/>
          <w:szCs w:val="24"/>
        </w:rPr>
        <w:t xml:space="preserve">nuk ka </w:t>
      </w:r>
      <w:r w:rsidR="00F6483B" w:rsidRPr="00E97254">
        <w:rPr>
          <w:rFonts w:ascii="Calibri" w:hAnsi="Calibri" w:cs="Calibri"/>
          <w:szCs w:val="24"/>
        </w:rPr>
        <w:t>kopsht</w:t>
      </w:r>
      <w:r w:rsidR="006E28BB" w:rsidRPr="00E97254">
        <w:rPr>
          <w:rFonts w:ascii="Calibri" w:hAnsi="Calibri" w:cs="Calibri"/>
          <w:szCs w:val="24"/>
        </w:rPr>
        <w:t>,  u mundësohet ndjekja e klasës përgatitore, me synim integrimin në arsimin e detyruar.</w:t>
      </w:r>
    </w:p>
    <w:p w:rsidR="00FC76CF" w:rsidRPr="00E97254" w:rsidRDefault="00FC76CF" w:rsidP="000C0250">
      <w:pPr>
        <w:spacing w:before="120" w:after="0"/>
        <w:rPr>
          <w:rFonts w:cs="Calibri"/>
          <w:b/>
        </w:rPr>
      </w:pPr>
      <w:bookmarkStart w:id="30" w:name="_Toc66802055"/>
      <w:bookmarkStart w:id="31" w:name="_Ref41749793"/>
    </w:p>
    <w:p w:rsidR="00FC76CF" w:rsidRPr="00E97254" w:rsidRDefault="004E1F53" w:rsidP="000C0250">
      <w:pPr>
        <w:spacing w:before="120" w:after="0"/>
        <w:rPr>
          <w:rFonts w:cs="Calibri"/>
          <w:szCs w:val="24"/>
        </w:rPr>
      </w:pPr>
      <w:r>
        <w:rPr>
          <w:rFonts w:cs="Calibri"/>
          <w:b/>
        </w:rPr>
        <w:t xml:space="preserve">Figura </w:t>
      </w:r>
      <w:r w:rsidR="00EC56B7" w:rsidRPr="00E97254">
        <w:rPr>
          <w:rFonts w:cs="Calibri"/>
          <w:b/>
        </w:rPr>
        <w:fldChar w:fldCharType="begin"/>
      </w:r>
      <w:r>
        <w:rPr>
          <w:rFonts w:cs="Calibri"/>
          <w:b/>
        </w:rPr>
        <w:instrText xml:space="preserve"> SEQ Figura \* ARABIC </w:instrText>
      </w:r>
      <w:r w:rsidR="00EC56B7" w:rsidRPr="00E97254">
        <w:rPr>
          <w:rFonts w:cs="Calibri"/>
          <w:b/>
        </w:rPr>
        <w:fldChar w:fldCharType="separate"/>
      </w:r>
      <w:r w:rsidR="005A6200" w:rsidRPr="00E97254">
        <w:rPr>
          <w:rFonts w:cs="Calibri"/>
          <w:b/>
        </w:rPr>
        <w:t>2</w:t>
      </w:r>
      <w:r w:rsidR="00EC56B7" w:rsidRPr="00E97254">
        <w:rPr>
          <w:rFonts w:cs="Calibri"/>
          <w:b/>
        </w:rPr>
        <w:fldChar w:fldCharType="end"/>
      </w:r>
      <w:r w:rsidR="00256FBE" w:rsidRPr="00E97254">
        <w:rPr>
          <w:rFonts w:cs="Calibri"/>
          <w:b/>
        </w:rPr>
        <w:t>.</w:t>
      </w:r>
      <w:r w:rsidR="00256FBE" w:rsidRPr="00E97254">
        <w:rPr>
          <w:rFonts w:cs="Calibri"/>
        </w:rPr>
        <w:t xml:space="preserve"> </w:t>
      </w:r>
      <w:r w:rsidR="00406509" w:rsidRPr="00E97254">
        <w:rPr>
          <w:rFonts w:cs="Calibri"/>
          <w:szCs w:val="24"/>
        </w:rPr>
        <w:t>Struktura e sistemit arsimor të Republikës së Shqipërisë</w:t>
      </w:r>
      <w:bookmarkEnd w:id="30"/>
    </w:p>
    <w:p w:rsidR="00FC76CF" w:rsidRPr="00E97254" w:rsidRDefault="00FC76CF" w:rsidP="000C0250">
      <w:pPr>
        <w:spacing w:before="120" w:after="0"/>
        <w:rPr>
          <w:rFonts w:cs="Calibri"/>
          <w:szCs w:val="24"/>
        </w:rPr>
      </w:pPr>
    </w:p>
    <w:p w:rsidR="00FC76CF" w:rsidRPr="00E97254" w:rsidRDefault="00FC76CF" w:rsidP="000C0250">
      <w:pPr>
        <w:spacing w:before="120" w:after="0"/>
        <w:rPr>
          <w:rFonts w:cs="Calibri"/>
          <w:szCs w:val="24"/>
        </w:rPr>
      </w:pPr>
    </w:p>
    <w:p w:rsidR="00FC76CF" w:rsidRPr="00E97254" w:rsidRDefault="00FC76CF" w:rsidP="000C0250">
      <w:pPr>
        <w:spacing w:before="120" w:after="0"/>
        <w:rPr>
          <w:rFonts w:cs="Calibri"/>
          <w:szCs w:val="24"/>
        </w:rPr>
      </w:pPr>
    </w:p>
    <w:p w:rsidR="00AD7BD8" w:rsidRPr="00E97254" w:rsidRDefault="00AD7BD8" w:rsidP="000C0250">
      <w:pPr>
        <w:spacing w:before="120" w:after="0"/>
        <w:rPr>
          <w:rFonts w:cs="Calibri"/>
          <w:szCs w:val="24"/>
        </w:rPr>
      </w:pPr>
    </w:p>
    <w:p w:rsidR="00D07643" w:rsidRPr="00E97254" w:rsidRDefault="003A44C5" w:rsidP="00AD7BD8">
      <w:pPr>
        <w:spacing w:before="120" w:after="0"/>
        <w:jc w:val="both"/>
        <w:rPr>
          <w:rFonts w:cs="Calibri"/>
          <w:szCs w:val="24"/>
        </w:rPr>
      </w:pPr>
      <w:r>
        <w:rPr>
          <w:noProof/>
        </w:rPr>
        <mc:AlternateContent>
          <mc:Choice Requires="wpg">
            <w:drawing>
              <wp:anchor distT="0" distB="0" distL="114300" distR="114300" simplePos="0" relativeHeight="251659776" behindDoc="0" locked="0" layoutInCell="1" allowOverlap="1">
                <wp:simplePos x="0" y="0"/>
                <wp:positionH relativeFrom="column">
                  <wp:posOffset>15875</wp:posOffset>
                </wp:positionH>
                <wp:positionV relativeFrom="paragraph">
                  <wp:posOffset>189865</wp:posOffset>
                </wp:positionV>
                <wp:extent cx="5289550" cy="6819900"/>
                <wp:effectExtent l="0" t="0" r="6350" b="0"/>
                <wp:wrapNone/>
                <wp:docPr id="2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89550" cy="6819900"/>
                          <a:chOff x="0" y="0"/>
                          <a:chExt cx="52896" cy="68199"/>
                        </a:xfrm>
                      </wpg:grpSpPr>
                      <wpg:grpSp>
                        <wpg:cNvPr id="22" name="Group 61"/>
                        <wpg:cNvGrpSpPr>
                          <a:grpSpLocks/>
                        </wpg:cNvGrpSpPr>
                        <wpg:grpSpPr bwMode="auto">
                          <a:xfrm>
                            <a:off x="0" y="0"/>
                            <a:ext cx="52896" cy="68199"/>
                            <a:chOff x="-191" y="0"/>
                            <a:chExt cx="52896" cy="68199"/>
                          </a:xfrm>
                        </wpg:grpSpPr>
                        <wps:wsp>
                          <wps:cNvPr id="23" name="Text Box 134"/>
                          <wps:cNvSpPr txBox="1">
                            <a:spLocks/>
                          </wps:cNvSpPr>
                          <wps:spPr bwMode="auto">
                            <a:xfrm>
                              <a:off x="17272" y="63500"/>
                              <a:ext cx="18796" cy="4699"/>
                            </a:xfrm>
                            <a:prstGeom prst="rect">
                              <a:avLst/>
                            </a:prstGeom>
                            <a:solidFill>
                              <a:srgbClr val="FFFFFF"/>
                            </a:solidFill>
                            <a:ln w="9525">
                              <a:solidFill>
                                <a:srgbClr val="000000"/>
                              </a:solidFill>
                              <a:miter lim="800000"/>
                              <a:headEnd/>
                              <a:tailEnd/>
                            </a:ln>
                          </wps:spPr>
                          <wps:txbx>
                            <w:txbxContent>
                              <w:p w:rsidR="00753C65" w:rsidRPr="008002DA" w:rsidRDefault="00753C65" w:rsidP="002165FD">
                                <w:pPr>
                                  <w:spacing w:after="0" w:line="240" w:lineRule="auto"/>
                                  <w:jc w:val="center"/>
                                  <w:rPr>
                                    <w:b/>
                                    <w:sz w:val="16"/>
                                    <w:szCs w:val="18"/>
                                  </w:rPr>
                                </w:pPr>
                                <w:r w:rsidRPr="008002DA">
                                  <w:rPr>
                                    <w:b/>
                                    <w:sz w:val="16"/>
                                    <w:szCs w:val="18"/>
                                  </w:rPr>
                                  <w:t>Arsimi Parashkollor</w:t>
                                </w:r>
                              </w:p>
                              <w:p w:rsidR="00753C65" w:rsidRPr="008002DA" w:rsidRDefault="00753C65" w:rsidP="002165FD">
                                <w:pPr>
                                  <w:spacing w:after="0" w:line="240" w:lineRule="auto"/>
                                  <w:jc w:val="center"/>
                                  <w:rPr>
                                    <w:sz w:val="16"/>
                                    <w:szCs w:val="18"/>
                                  </w:rPr>
                                </w:pPr>
                                <w:r>
                                  <w:rPr>
                                    <w:sz w:val="16"/>
                                    <w:szCs w:val="18"/>
                                  </w:rPr>
                                  <w:t>Mosha 3-6</w:t>
                                </w:r>
                              </w:p>
                              <w:p w:rsidR="00753C65" w:rsidRPr="008002DA" w:rsidRDefault="00753C65" w:rsidP="002165FD">
                                <w:pPr>
                                  <w:spacing w:after="0" w:line="240" w:lineRule="auto"/>
                                  <w:jc w:val="center"/>
                                  <w:rPr>
                                    <w:sz w:val="16"/>
                                    <w:szCs w:val="18"/>
                                  </w:rPr>
                                </w:pPr>
                                <w:r>
                                  <w:rPr>
                                    <w:sz w:val="16"/>
                                    <w:szCs w:val="18"/>
                                  </w:rPr>
                                  <w:t>KNSA</w:t>
                                </w:r>
                                <w:r w:rsidRPr="008002DA">
                                  <w:rPr>
                                    <w:sz w:val="16"/>
                                    <w:szCs w:val="18"/>
                                  </w:rPr>
                                  <w:t xml:space="preserve"> 0</w:t>
                                </w:r>
                              </w:p>
                            </w:txbxContent>
                          </wps:txbx>
                          <wps:bodyPr rot="0" vert="horz" wrap="square" lIns="91440" tIns="45720" rIns="91440" bIns="45720" anchor="t" anchorCtr="0" upright="1">
                            <a:noAutofit/>
                          </wps:bodyPr>
                        </wps:wsp>
                        <wps:wsp>
                          <wps:cNvPr id="24" name="Text Box 135"/>
                          <wps:cNvSpPr txBox="1">
                            <a:spLocks/>
                          </wps:cNvSpPr>
                          <wps:spPr bwMode="auto">
                            <a:xfrm>
                              <a:off x="17272" y="58801"/>
                              <a:ext cx="18796" cy="4699"/>
                            </a:xfrm>
                            <a:prstGeom prst="rect">
                              <a:avLst/>
                            </a:prstGeom>
                            <a:solidFill>
                              <a:srgbClr val="FFFFFF"/>
                            </a:solidFill>
                            <a:ln w="9525">
                              <a:solidFill>
                                <a:srgbClr val="000000"/>
                              </a:solidFill>
                              <a:miter lim="800000"/>
                              <a:headEnd/>
                              <a:tailEnd/>
                            </a:ln>
                          </wps:spPr>
                          <wps:txbx>
                            <w:txbxContent>
                              <w:p w:rsidR="00753C65" w:rsidRPr="008002DA" w:rsidRDefault="00753C65" w:rsidP="002165FD">
                                <w:pPr>
                                  <w:spacing w:after="0" w:line="240" w:lineRule="auto"/>
                                  <w:jc w:val="center"/>
                                  <w:rPr>
                                    <w:b/>
                                    <w:sz w:val="16"/>
                                    <w:szCs w:val="18"/>
                                  </w:rPr>
                                </w:pPr>
                                <w:r w:rsidRPr="008002DA">
                                  <w:rPr>
                                    <w:b/>
                                    <w:sz w:val="16"/>
                                    <w:szCs w:val="18"/>
                                  </w:rPr>
                                  <w:t>Arsimi fillor (5 vjet)</w:t>
                                </w:r>
                              </w:p>
                              <w:p w:rsidR="00753C65" w:rsidRPr="008002DA" w:rsidRDefault="00753C65" w:rsidP="002165FD">
                                <w:pPr>
                                  <w:spacing w:after="0" w:line="240" w:lineRule="auto"/>
                                  <w:jc w:val="center"/>
                                  <w:rPr>
                                    <w:sz w:val="16"/>
                                    <w:szCs w:val="18"/>
                                  </w:rPr>
                                </w:pPr>
                                <w:r w:rsidRPr="008002DA">
                                  <w:rPr>
                                    <w:sz w:val="16"/>
                                    <w:szCs w:val="18"/>
                                  </w:rPr>
                                  <w:t>Klasat 1-5, Mosha 6-10</w:t>
                                </w:r>
                              </w:p>
                              <w:p w:rsidR="00753C65" w:rsidRPr="008002DA" w:rsidRDefault="00753C65" w:rsidP="002165FD">
                                <w:pPr>
                                  <w:spacing w:after="0" w:line="240" w:lineRule="auto"/>
                                  <w:jc w:val="center"/>
                                  <w:rPr>
                                    <w:sz w:val="16"/>
                                    <w:szCs w:val="18"/>
                                  </w:rPr>
                                </w:pPr>
                                <w:r>
                                  <w:rPr>
                                    <w:sz w:val="16"/>
                                    <w:szCs w:val="18"/>
                                  </w:rPr>
                                  <w:t>KNSA</w:t>
                                </w:r>
                                <w:r w:rsidRPr="008002DA">
                                  <w:rPr>
                                    <w:sz w:val="16"/>
                                    <w:szCs w:val="18"/>
                                  </w:rPr>
                                  <w:t xml:space="preserve"> 1</w:t>
                                </w:r>
                              </w:p>
                            </w:txbxContent>
                          </wps:txbx>
                          <wps:bodyPr rot="0" vert="horz" wrap="square" lIns="91440" tIns="45720" rIns="91440" bIns="45720" anchor="t" anchorCtr="0" upright="1">
                            <a:noAutofit/>
                          </wps:bodyPr>
                        </wps:wsp>
                        <wps:wsp>
                          <wps:cNvPr id="25" name="Text Box 136"/>
                          <wps:cNvSpPr txBox="1">
                            <a:spLocks/>
                          </wps:cNvSpPr>
                          <wps:spPr bwMode="auto">
                            <a:xfrm>
                              <a:off x="17272" y="54419"/>
                              <a:ext cx="18796" cy="4445"/>
                            </a:xfrm>
                            <a:prstGeom prst="rect">
                              <a:avLst/>
                            </a:prstGeom>
                            <a:solidFill>
                              <a:srgbClr val="FFFFFF"/>
                            </a:solidFill>
                            <a:ln w="9525">
                              <a:solidFill>
                                <a:srgbClr val="000000"/>
                              </a:solidFill>
                              <a:miter lim="800000"/>
                              <a:headEnd/>
                              <a:tailEnd/>
                            </a:ln>
                          </wps:spPr>
                          <wps:txbx>
                            <w:txbxContent>
                              <w:p w:rsidR="00753C65" w:rsidRPr="008002DA" w:rsidRDefault="00753C65" w:rsidP="002165FD">
                                <w:pPr>
                                  <w:spacing w:after="0" w:line="240" w:lineRule="auto"/>
                                  <w:jc w:val="center"/>
                                  <w:rPr>
                                    <w:b/>
                                    <w:sz w:val="16"/>
                                    <w:szCs w:val="18"/>
                                  </w:rPr>
                                </w:pPr>
                                <w:r w:rsidRPr="008002DA">
                                  <w:rPr>
                                    <w:b/>
                                    <w:sz w:val="16"/>
                                    <w:szCs w:val="18"/>
                                  </w:rPr>
                                  <w:t>Arsimi i mesëm i ulët (4 vjet)</w:t>
                                </w:r>
                              </w:p>
                              <w:p w:rsidR="00753C65" w:rsidRPr="008002DA" w:rsidRDefault="00753C65" w:rsidP="002165FD">
                                <w:pPr>
                                  <w:spacing w:after="0" w:line="240" w:lineRule="auto"/>
                                  <w:jc w:val="center"/>
                                  <w:rPr>
                                    <w:sz w:val="16"/>
                                    <w:szCs w:val="18"/>
                                  </w:rPr>
                                </w:pPr>
                                <w:r w:rsidRPr="008002DA">
                                  <w:rPr>
                                    <w:sz w:val="16"/>
                                    <w:szCs w:val="18"/>
                                  </w:rPr>
                                  <w:t>Klasat 6-9, Mosha 11-14</w:t>
                                </w:r>
                              </w:p>
                              <w:p w:rsidR="00753C65" w:rsidRPr="008002DA" w:rsidRDefault="00753C65" w:rsidP="002165FD">
                                <w:pPr>
                                  <w:spacing w:after="0" w:line="240" w:lineRule="auto"/>
                                  <w:jc w:val="center"/>
                                  <w:rPr>
                                    <w:sz w:val="16"/>
                                    <w:szCs w:val="18"/>
                                  </w:rPr>
                                </w:pPr>
                                <w:r>
                                  <w:rPr>
                                    <w:sz w:val="16"/>
                                    <w:szCs w:val="18"/>
                                  </w:rPr>
                                  <w:t>KNSA</w:t>
                                </w:r>
                                <w:r w:rsidRPr="008002DA">
                                  <w:rPr>
                                    <w:sz w:val="16"/>
                                    <w:szCs w:val="18"/>
                                  </w:rPr>
                                  <w:t xml:space="preserve"> 2</w:t>
                                </w:r>
                              </w:p>
                            </w:txbxContent>
                          </wps:txbx>
                          <wps:bodyPr rot="0" vert="horz" wrap="square" lIns="91440" tIns="45720" rIns="91440" bIns="45720" anchor="t" anchorCtr="0" upright="1">
                            <a:noAutofit/>
                          </wps:bodyPr>
                        </wps:wsp>
                        <wps:wsp>
                          <wps:cNvPr id="26" name="Text Box 137"/>
                          <wps:cNvSpPr txBox="1">
                            <a:spLocks/>
                          </wps:cNvSpPr>
                          <wps:spPr bwMode="auto">
                            <a:xfrm>
                              <a:off x="3238" y="44323"/>
                              <a:ext cx="13919" cy="6096"/>
                            </a:xfrm>
                            <a:prstGeom prst="rect">
                              <a:avLst/>
                            </a:prstGeom>
                            <a:solidFill>
                              <a:srgbClr val="FFFFFF"/>
                            </a:solidFill>
                            <a:ln w="9525">
                              <a:solidFill>
                                <a:srgbClr val="000000"/>
                              </a:solidFill>
                              <a:miter lim="800000"/>
                              <a:headEnd/>
                              <a:tailEnd/>
                            </a:ln>
                          </wps:spPr>
                          <wps:txbx>
                            <w:txbxContent>
                              <w:p w:rsidR="00753C65" w:rsidRPr="00E44F07" w:rsidRDefault="00753C65" w:rsidP="002165FD">
                                <w:pPr>
                                  <w:spacing w:after="0" w:line="240" w:lineRule="auto"/>
                                  <w:jc w:val="center"/>
                                  <w:rPr>
                                    <w:b/>
                                    <w:sz w:val="16"/>
                                    <w:szCs w:val="16"/>
                                  </w:rPr>
                                </w:pPr>
                                <w:r w:rsidRPr="00E44F07">
                                  <w:rPr>
                                    <w:b/>
                                    <w:sz w:val="16"/>
                                    <w:szCs w:val="16"/>
                                  </w:rPr>
                                  <w:t>Arsimi i mesëm i lartë</w:t>
                                </w:r>
                              </w:p>
                              <w:p w:rsidR="00753C65" w:rsidRPr="00AB2837" w:rsidRDefault="00753C65" w:rsidP="002165FD">
                                <w:pPr>
                                  <w:spacing w:after="0" w:line="240" w:lineRule="auto"/>
                                  <w:jc w:val="center"/>
                                  <w:rPr>
                                    <w:sz w:val="16"/>
                                    <w:szCs w:val="16"/>
                                  </w:rPr>
                                </w:pPr>
                                <w:r w:rsidRPr="00AB2837">
                                  <w:rPr>
                                    <w:sz w:val="16"/>
                                    <w:szCs w:val="16"/>
                                  </w:rPr>
                                  <w:t>Gjimnazi</w:t>
                                </w:r>
                                <w:r>
                                  <w:rPr>
                                    <w:sz w:val="16"/>
                                    <w:szCs w:val="16"/>
                                  </w:rPr>
                                  <w:t xml:space="preserve"> </w:t>
                                </w:r>
                                <w:r w:rsidRPr="00AB2837">
                                  <w:rPr>
                                    <w:sz w:val="16"/>
                                    <w:szCs w:val="16"/>
                                  </w:rPr>
                                  <w:t xml:space="preserve">(3 vjet) </w:t>
                                </w:r>
                              </w:p>
                              <w:p w:rsidR="00753C65" w:rsidRPr="00E44F07" w:rsidRDefault="00753C65" w:rsidP="002165FD">
                                <w:pPr>
                                  <w:spacing w:after="0" w:line="240" w:lineRule="auto"/>
                                  <w:jc w:val="center"/>
                                  <w:rPr>
                                    <w:b/>
                                    <w:sz w:val="16"/>
                                    <w:szCs w:val="16"/>
                                  </w:rPr>
                                </w:pPr>
                                <w:r w:rsidRPr="00E44F07">
                                  <w:rPr>
                                    <w:sz w:val="16"/>
                                    <w:szCs w:val="16"/>
                                  </w:rPr>
                                  <w:t>Klasat 10-12, Mosha 15-17</w:t>
                                </w:r>
                              </w:p>
                              <w:p w:rsidR="00753C65" w:rsidRPr="00E44F07" w:rsidRDefault="00753C65" w:rsidP="002165FD">
                                <w:pPr>
                                  <w:spacing w:after="0" w:line="240" w:lineRule="auto"/>
                                  <w:jc w:val="center"/>
                                  <w:rPr>
                                    <w:sz w:val="16"/>
                                    <w:szCs w:val="16"/>
                                  </w:rPr>
                                </w:pPr>
                                <w:r>
                                  <w:rPr>
                                    <w:sz w:val="16"/>
                                    <w:szCs w:val="16"/>
                                  </w:rPr>
                                  <w:t>KNSA</w:t>
                                </w:r>
                                <w:r w:rsidRPr="00E44F07">
                                  <w:rPr>
                                    <w:sz w:val="16"/>
                                    <w:szCs w:val="16"/>
                                  </w:rPr>
                                  <w:t xml:space="preserve"> 3</w:t>
                                </w:r>
                              </w:p>
                            </w:txbxContent>
                          </wps:txbx>
                          <wps:bodyPr rot="0" vert="horz" wrap="square" lIns="91440" tIns="45720" rIns="91440" bIns="45720" anchor="t" anchorCtr="0" upright="1">
                            <a:noAutofit/>
                          </wps:bodyPr>
                        </wps:wsp>
                        <wps:wsp>
                          <wps:cNvPr id="27" name="Text Box 139"/>
                          <wps:cNvSpPr txBox="1">
                            <a:spLocks/>
                          </wps:cNvSpPr>
                          <wps:spPr bwMode="auto">
                            <a:xfrm>
                              <a:off x="19050" y="44323"/>
                              <a:ext cx="15049" cy="6096"/>
                            </a:xfrm>
                            <a:prstGeom prst="rect">
                              <a:avLst/>
                            </a:prstGeom>
                            <a:solidFill>
                              <a:srgbClr val="FFFFFF"/>
                            </a:solidFill>
                            <a:ln w="9525">
                              <a:solidFill>
                                <a:srgbClr val="000000"/>
                              </a:solidFill>
                              <a:miter lim="800000"/>
                              <a:headEnd/>
                              <a:tailEnd/>
                            </a:ln>
                          </wps:spPr>
                          <wps:txbx>
                            <w:txbxContent>
                              <w:p w:rsidR="00753C65" w:rsidRPr="00E44F07" w:rsidRDefault="00753C65" w:rsidP="002165FD">
                                <w:pPr>
                                  <w:spacing w:after="0" w:line="240" w:lineRule="auto"/>
                                  <w:jc w:val="center"/>
                                  <w:rPr>
                                    <w:b/>
                                    <w:sz w:val="16"/>
                                    <w:szCs w:val="16"/>
                                  </w:rPr>
                                </w:pPr>
                                <w:r w:rsidRPr="00E44F07">
                                  <w:rPr>
                                    <w:b/>
                                    <w:sz w:val="16"/>
                                    <w:szCs w:val="16"/>
                                  </w:rPr>
                                  <w:t xml:space="preserve">Arsimi i mesëm i lartë </w:t>
                                </w:r>
                              </w:p>
                              <w:p w:rsidR="00753C65" w:rsidRPr="00AB2837" w:rsidRDefault="00753C65" w:rsidP="002165FD">
                                <w:pPr>
                                  <w:spacing w:after="0" w:line="240" w:lineRule="auto"/>
                                  <w:jc w:val="center"/>
                                  <w:rPr>
                                    <w:sz w:val="16"/>
                                    <w:szCs w:val="16"/>
                                  </w:rPr>
                                </w:pPr>
                                <w:r w:rsidRPr="00AB2837">
                                  <w:rPr>
                                    <w:sz w:val="16"/>
                                    <w:szCs w:val="16"/>
                                  </w:rPr>
                                  <w:t>Arsimi profesional (2-4 vjet)</w:t>
                                </w:r>
                              </w:p>
                              <w:p w:rsidR="00753C65" w:rsidRPr="00E44F07" w:rsidRDefault="00753C65" w:rsidP="002165FD">
                                <w:pPr>
                                  <w:spacing w:after="0" w:line="240" w:lineRule="auto"/>
                                  <w:jc w:val="center"/>
                                  <w:rPr>
                                    <w:sz w:val="16"/>
                                    <w:szCs w:val="16"/>
                                  </w:rPr>
                                </w:pPr>
                                <w:r w:rsidRPr="00E44F07">
                                  <w:rPr>
                                    <w:sz w:val="16"/>
                                    <w:szCs w:val="16"/>
                                  </w:rPr>
                                  <w:t>Klasat 10-13</w:t>
                                </w:r>
                                <w:r>
                                  <w:rPr>
                                    <w:sz w:val="16"/>
                                    <w:szCs w:val="16"/>
                                  </w:rPr>
                                  <w:t>, Mosha 15-18</w:t>
                                </w:r>
                              </w:p>
                              <w:p w:rsidR="00753C65" w:rsidRPr="00E44F07" w:rsidRDefault="00753C65" w:rsidP="002165FD">
                                <w:pPr>
                                  <w:spacing w:after="0" w:line="240" w:lineRule="auto"/>
                                  <w:jc w:val="center"/>
                                  <w:rPr>
                                    <w:sz w:val="16"/>
                                    <w:szCs w:val="16"/>
                                  </w:rPr>
                                </w:pPr>
                                <w:r>
                                  <w:rPr>
                                    <w:sz w:val="16"/>
                                    <w:szCs w:val="16"/>
                                  </w:rPr>
                                  <w:t>KNSA</w:t>
                                </w:r>
                                <w:r w:rsidRPr="00E44F07">
                                  <w:rPr>
                                    <w:sz w:val="16"/>
                                    <w:szCs w:val="16"/>
                                  </w:rPr>
                                  <w:t xml:space="preserve"> 3</w:t>
                                </w:r>
                              </w:p>
                            </w:txbxContent>
                          </wps:txbx>
                          <wps:bodyPr rot="0" vert="horz" wrap="square" lIns="91440" tIns="45720" rIns="91440" bIns="45720" anchor="t" anchorCtr="0" upright="1">
                            <a:noAutofit/>
                          </wps:bodyPr>
                        </wps:wsp>
                        <wps:wsp>
                          <wps:cNvPr id="28" name="AutoShape 144"/>
                          <wps:cNvCnPr>
                            <a:cxnSpLocks/>
                          </wps:cNvCnPr>
                          <wps:spPr bwMode="auto">
                            <a:xfrm flipV="1">
                              <a:off x="26606" y="52641"/>
                              <a:ext cx="0" cy="1778"/>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9" name="Text Box 9"/>
                          <wps:cNvSpPr txBox="1">
                            <a:spLocks/>
                          </wps:cNvSpPr>
                          <wps:spPr bwMode="auto">
                            <a:xfrm>
                              <a:off x="15176" y="36068"/>
                              <a:ext cx="14903" cy="4629"/>
                            </a:xfrm>
                            <a:prstGeom prst="rect">
                              <a:avLst/>
                            </a:prstGeom>
                            <a:solidFill>
                              <a:srgbClr val="FFFFFF"/>
                            </a:solidFill>
                            <a:ln w="9525">
                              <a:solidFill>
                                <a:srgbClr val="000000"/>
                              </a:solidFill>
                              <a:miter lim="800000"/>
                              <a:headEnd/>
                              <a:tailEnd/>
                            </a:ln>
                          </wps:spPr>
                          <wps:txbx>
                            <w:txbxContent>
                              <w:p w:rsidR="00753C65" w:rsidRPr="00E44F07" w:rsidRDefault="00753C65" w:rsidP="002165FD">
                                <w:pPr>
                                  <w:spacing w:after="0" w:line="240" w:lineRule="auto"/>
                                  <w:jc w:val="center"/>
                                  <w:rPr>
                                    <w:b/>
                                    <w:sz w:val="16"/>
                                    <w:szCs w:val="18"/>
                                  </w:rPr>
                                </w:pPr>
                                <w:r w:rsidRPr="00E44F07">
                                  <w:rPr>
                                    <w:b/>
                                    <w:sz w:val="16"/>
                                    <w:szCs w:val="18"/>
                                  </w:rPr>
                                  <w:t>Matura shtetërore</w:t>
                                </w:r>
                              </w:p>
                              <w:p w:rsidR="00753C65" w:rsidRPr="00E44F07" w:rsidRDefault="00753C65" w:rsidP="002165FD">
                                <w:pPr>
                                  <w:spacing w:after="0" w:line="240" w:lineRule="auto"/>
                                  <w:jc w:val="center"/>
                                  <w:rPr>
                                    <w:sz w:val="16"/>
                                    <w:szCs w:val="18"/>
                                  </w:rPr>
                                </w:pPr>
                                <w:r>
                                  <w:rPr>
                                    <w:sz w:val="16"/>
                                    <w:szCs w:val="18"/>
                                  </w:rPr>
                                  <w:t>KNSA</w:t>
                                </w:r>
                                <w:r w:rsidRPr="00E44F07">
                                  <w:rPr>
                                    <w:sz w:val="16"/>
                                    <w:szCs w:val="18"/>
                                  </w:rPr>
                                  <w:t xml:space="preserve"> 3</w:t>
                                </w:r>
                              </w:p>
                              <w:p w:rsidR="00753C65" w:rsidRPr="00E44F07" w:rsidRDefault="00753C65" w:rsidP="002165FD">
                                <w:pPr>
                                  <w:spacing w:after="0" w:line="240" w:lineRule="auto"/>
                                  <w:jc w:val="center"/>
                                  <w:rPr>
                                    <w:b/>
                                    <w:sz w:val="16"/>
                                    <w:szCs w:val="18"/>
                                  </w:rPr>
                                </w:pPr>
                              </w:p>
                            </w:txbxContent>
                          </wps:txbx>
                          <wps:bodyPr rot="0" vert="horz" wrap="square" lIns="91440" tIns="45720" rIns="91440" bIns="45720" anchor="t" anchorCtr="0" upright="1">
                            <a:noAutofit/>
                          </wps:bodyPr>
                        </wps:wsp>
                        <wps:wsp>
                          <wps:cNvPr id="30" name="Text Box 10"/>
                          <wps:cNvSpPr txBox="1">
                            <a:spLocks/>
                          </wps:cNvSpPr>
                          <wps:spPr bwMode="auto">
                            <a:xfrm>
                              <a:off x="35306" y="28511"/>
                              <a:ext cx="16891" cy="6217"/>
                            </a:xfrm>
                            <a:prstGeom prst="rect">
                              <a:avLst/>
                            </a:prstGeom>
                            <a:solidFill>
                              <a:srgbClr val="FFFFFF"/>
                            </a:solidFill>
                            <a:ln w="9525">
                              <a:solidFill>
                                <a:srgbClr val="000000"/>
                              </a:solidFill>
                              <a:miter lim="800000"/>
                              <a:headEnd/>
                              <a:tailEnd/>
                            </a:ln>
                          </wps:spPr>
                          <wps:txbx>
                            <w:txbxContent>
                              <w:p w:rsidR="00753C65" w:rsidRDefault="00753C65" w:rsidP="002165FD">
                                <w:pPr>
                                  <w:spacing w:after="0" w:line="240" w:lineRule="auto"/>
                                  <w:jc w:val="center"/>
                                  <w:rPr>
                                    <w:b/>
                                    <w:sz w:val="16"/>
                                    <w:szCs w:val="18"/>
                                  </w:rPr>
                                </w:pPr>
                                <w:r>
                                  <w:rPr>
                                    <w:b/>
                                    <w:sz w:val="16"/>
                                    <w:szCs w:val="18"/>
                                  </w:rPr>
                                  <w:t>Studimet me karakter profesional</w:t>
                                </w:r>
                              </w:p>
                              <w:p w:rsidR="00753C65" w:rsidRPr="00E44F07" w:rsidRDefault="00753C65" w:rsidP="002165FD">
                                <w:pPr>
                                  <w:spacing w:after="0" w:line="240" w:lineRule="auto"/>
                                  <w:jc w:val="center"/>
                                  <w:rPr>
                                    <w:b/>
                                    <w:sz w:val="16"/>
                                    <w:szCs w:val="18"/>
                                  </w:rPr>
                                </w:pPr>
                                <w:r>
                                  <w:rPr>
                                    <w:b/>
                                    <w:sz w:val="16"/>
                                    <w:szCs w:val="18"/>
                                  </w:rPr>
                                  <w:t>(60-120 ECTS)</w:t>
                                </w:r>
                              </w:p>
                              <w:p w:rsidR="00753C65" w:rsidRDefault="00753C65" w:rsidP="002165FD">
                                <w:pPr>
                                  <w:spacing w:after="0" w:line="240" w:lineRule="auto"/>
                                  <w:jc w:val="center"/>
                                  <w:rPr>
                                    <w:sz w:val="16"/>
                                    <w:szCs w:val="18"/>
                                  </w:rPr>
                                </w:pPr>
                              </w:p>
                              <w:p w:rsidR="00753C65" w:rsidRPr="00E44F07" w:rsidRDefault="00753C65" w:rsidP="002165FD">
                                <w:pPr>
                                  <w:spacing w:after="0" w:line="240" w:lineRule="auto"/>
                                  <w:jc w:val="center"/>
                                  <w:rPr>
                                    <w:sz w:val="16"/>
                                    <w:szCs w:val="18"/>
                                  </w:rPr>
                                </w:pPr>
                                <w:r>
                                  <w:rPr>
                                    <w:sz w:val="16"/>
                                    <w:szCs w:val="18"/>
                                  </w:rPr>
                                  <w:t>KNSA4</w:t>
                                </w:r>
                              </w:p>
                              <w:p w:rsidR="00753C65" w:rsidRPr="00E44F07" w:rsidRDefault="00753C65" w:rsidP="002165FD">
                                <w:pPr>
                                  <w:spacing w:after="0" w:line="240" w:lineRule="auto"/>
                                  <w:jc w:val="center"/>
                                  <w:rPr>
                                    <w:b/>
                                    <w:sz w:val="16"/>
                                    <w:szCs w:val="18"/>
                                  </w:rPr>
                                </w:pPr>
                              </w:p>
                            </w:txbxContent>
                          </wps:txbx>
                          <wps:bodyPr rot="0" vert="horz" wrap="square" lIns="91440" tIns="45720" rIns="91440" bIns="45720" anchor="t" anchorCtr="0" upright="1">
                            <a:noAutofit/>
                          </wps:bodyPr>
                        </wps:wsp>
                        <wps:wsp>
                          <wps:cNvPr id="31" name="Text Box 11"/>
                          <wps:cNvSpPr txBox="1">
                            <a:spLocks/>
                          </wps:cNvSpPr>
                          <wps:spPr bwMode="auto">
                            <a:xfrm>
                              <a:off x="13716" y="24701"/>
                              <a:ext cx="18097" cy="6350"/>
                            </a:xfrm>
                            <a:prstGeom prst="rect">
                              <a:avLst/>
                            </a:prstGeom>
                            <a:solidFill>
                              <a:srgbClr val="FFFFFF"/>
                            </a:solidFill>
                            <a:ln w="9525">
                              <a:solidFill>
                                <a:srgbClr val="000000"/>
                              </a:solidFill>
                              <a:miter lim="800000"/>
                              <a:headEnd/>
                              <a:tailEnd/>
                            </a:ln>
                          </wps:spPr>
                          <wps:txbx>
                            <w:txbxContent>
                              <w:p w:rsidR="00753C65" w:rsidRDefault="00753C65" w:rsidP="002165FD">
                                <w:pPr>
                                  <w:spacing w:after="0" w:line="240" w:lineRule="auto"/>
                                  <w:jc w:val="center"/>
                                  <w:rPr>
                                    <w:b/>
                                    <w:sz w:val="16"/>
                                    <w:szCs w:val="18"/>
                                  </w:rPr>
                                </w:pPr>
                                <w:r>
                                  <w:rPr>
                                    <w:b/>
                                    <w:sz w:val="16"/>
                                    <w:szCs w:val="18"/>
                                  </w:rPr>
                                  <w:t>Studimet e ciklit të parë</w:t>
                                </w:r>
                              </w:p>
                              <w:p w:rsidR="00753C65" w:rsidRPr="00E44F07" w:rsidRDefault="00753C65" w:rsidP="002165FD">
                                <w:pPr>
                                  <w:spacing w:after="0" w:line="240" w:lineRule="auto"/>
                                  <w:jc w:val="center"/>
                                  <w:rPr>
                                    <w:b/>
                                    <w:sz w:val="16"/>
                                    <w:szCs w:val="18"/>
                                  </w:rPr>
                                </w:pPr>
                                <w:r w:rsidRPr="00AB2837">
                                  <w:rPr>
                                    <w:sz w:val="16"/>
                                    <w:szCs w:val="18"/>
                                  </w:rPr>
                                  <w:t>Bachelor (min. 180 ECTS)</w:t>
                                </w:r>
                              </w:p>
                              <w:p w:rsidR="00753C65" w:rsidRDefault="00753C65" w:rsidP="002165FD">
                                <w:pPr>
                                  <w:spacing w:after="0" w:line="240" w:lineRule="auto"/>
                                  <w:jc w:val="center"/>
                                  <w:rPr>
                                    <w:sz w:val="16"/>
                                    <w:szCs w:val="18"/>
                                  </w:rPr>
                                </w:pPr>
                              </w:p>
                              <w:p w:rsidR="00753C65" w:rsidRPr="00E44F07" w:rsidRDefault="00753C65" w:rsidP="002165FD">
                                <w:pPr>
                                  <w:spacing w:after="0" w:line="240" w:lineRule="auto"/>
                                  <w:jc w:val="center"/>
                                  <w:rPr>
                                    <w:sz w:val="16"/>
                                    <w:szCs w:val="18"/>
                                  </w:rPr>
                                </w:pPr>
                                <w:r>
                                  <w:rPr>
                                    <w:sz w:val="16"/>
                                    <w:szCs w:val="18"/>
                                  </w:rPr>
                                  <w:t>KNSA6</w:t>
                                </w:r>
                              </w:p>
                              <w:p w:rsidR="00753C65" w:rsidRPr="00E44F07" w:rsidRDefault="00753C65" w:rsidP="002165FD">
                                <w:pPr>
                                  <w:spacing w:after="0" w:line="240" w:lineRule="auto"/>
                                  <w:jc w:val="center"/>
                                  <w:rPr>
                                    <w:b/>
                                    <w:sz w:val="16"/>
                                    <w:szCs w:val="18"/>
                                  </w:rPr>
                                </w:pPr>
                              </w:p>
                            </w:txbxContent>
                          </wps:txbx>
                          <wps:bodyPr rot="0" vert="horz" wrap="square" lIns="91440" tIns="45720" rIns="91440" bIns="45720" anchor="t" anchorCtr="0" upright="1">
                            <a:noAutofit/>
                          </wps:bodyPr>
                        </wps:wsp>
                        <wps:wsp>
                          <wps:cNvPr id="32" name="Text Box 12"/>
                          <wps:cNvSpPr txBox="1">
                            <a:spLocks/>
                          </wps:cNvSpPr>
                          <wps:spPr bwMode="auto">
                            <a:xfrm>
                              <a:off x="35687" y="14541"/>
                              <a:ext cx="16510" cy="6067"/>
                            </a:xfrm>
                            <a:prstGeom prst="rect">
                              <a:avLst/>
                            </a:prstGeom>
                            <a:solidFill>
                              <a:srgbClr val="FFFFFF"/>
                            </a:solidFill>
                            <a:ln w="9525">
                              <a:solidFill>
                                <a:srgbClr val="000000"/>
                              </a:solidFill>
                              <a:miter lim="800000"/>
                              <a:headEnd/>
                              <a:tailEnd/>
                            </a:ln>
                          </wps:spPr>
                          <wps:txbx>
                            <w:txbxContent>
                              <w:p w:rsidR="00753C65" w:rsidRDefault="00753C65" w:rsidP="002165FD">
                                <w:pPr>
                                  <w:spacing w:after="0" w:line="240" w:lineRule="auto"/>
                                  <w:jc w:val="center"/>
                                  <w:rPr>
                                    <w:b/>
                                    <w:sz w:val="16"/>
                                    <w:szCs w:val="18"/>
                                  </w:rPr>
                                </w:pPr>
                                <w:r>
                                  <w:rPr>
                                    <w:b/>
                                    <w:sz w:val="16"/>
                                    <w:szCs w:val="18"/>
                                  </w:rPr>
                                  <w:t>Studimet e ciklit të dytë</w:t>
                                </w:r>
                              </w:p>
                              <w:p w:rsidR="00753C65" w:rsidRPr="00E44F07" w:rsidRDefault="00753C65" w:rsidP="002165FD">
                                <w:pPr>
                                  <w:spacing w:after="0" w:line="240" w:lineRule="auto"/>
                                  <w:jc w:val="center"/>
                                  <w:rPr>
                                    <w:b/>
                                    <w:sz w:val="16"/>
                                    <w:szCs w:val="18"/>
                                  </w:rPr>
                                </w:pPr>
                                <w:r w:rsidRPr="00AB2837">
                                  <w:rPr>
                                    <w:sz w:val="16"/>
                                    <w:szCs w:val="18"/>
                                  </w:rPr>
                                  <w:t>Master profesional (60-120 ECTS)</w:t>
                                </w:r>
                              </w:p>
                              <w:p w:rsidR="00753C65" w:rsidRDefault="00753C65" w:rsidP="002165FD">
                                <w:pPr>
                                  <w:spacing w:after="0" w:line="240" w:lineRule="auto"/>
                                  <w:jc w:val="center"/>
                                  <w:rPr>
                                    <w:sz w:val="16"/>
                                    <w:szCs w:val="18"/>
                                  </w:rPr>
                                </w:pPr>
                              </w:p>
                              <w:p w:rsidR="00753C65" w:rsidRPr="00E44F07" w:rsidRDefault="00753C65" w:rsidP="002165FD">
                                <w:pPr>
                                  <w:spacing w:after="0" w:line="240" w:lineRule="auto"/>
                                  <w:jc w:val="center"/>
                                  <w:rPr>
                                    <w:sz w:val="16"/>
                                    <w:szCs w:val="18"/>
                                  </w:rPr>
                                </w:pPr>
                                <w:r>
                                  <w:rPr>
                                    <w:sz w:val="16"/>
                                    <w:szCs w:val="18"/>
                                  </w:rPr>
                                  <w:t>KNSA7</w:t>
                                </w:r>
                              </w:p>
                              <w:p w:rsidR="00753C65" w:rsidRPr="00E44F07" w:rsidRDefault="00753C65" w:rsidP="002165FD">
                                <w:pPr>
                                  <w:spacing w:after="0" w:line="240" w:lineRule="auto"/>
                                  <w:jc w:val="center"/>
                                  <w:rPr>
                                    <w:b/>
                                    <w:sz w:val="16"/>
                                    <w:szCs w:val="18"/>
                                  </w:rPr>
                                </w:pPr>
                              </w:p>
                            </w:txbxContent>
                          </wps:txbx>
                          <wps:bodyPr rot="0" vert="horz" wrap="square" lIns="91440" tIns="45720" rIns="91440" bIns="45720" anchor="t" anchorCtr="0" upright="1">
                            <a:noAutofit/>
                          </wps:bodyPr>
                        </wps:wsp>
                        <wps:wsp>
                          <wps:cNvPr id="33" name="Text Box 13"/>
                          <wps:cNvSpPr txBox="1">
                            <a:spLocks/>
                          </wps:cNvSpPr>
                          <wps:spPr bwMode="auto">
                            <a:xfrm>
                              <a:off x="13335" y="0"/>
                              <a:ext cx="18097" cy="8763"/>
                            </a:xfrm>
                            <a:prstGeom prst="rect">
                              <a:avLst/>
                            </a:prstGeom>
                            <a:solidFill>
                              <a:srgbClr val="FFFFFF"/>
                            </a:solidFill>
                            <a:ln w="9525">
                              <a:solidFill>
                                <a:srgbClr val="000000"/>
                              </a:solidFill>
                              <a:miter lim="800000"/>
                              <a:headEnd/>
                              <a:tailEnd/>
                            </a:ln>
                          </wps:spPr>
                          <wps:txbx>
                            <w:txbxContent>
                              <w:p w:rsidR="00753C65" w:rsidRDefault="00753C65" w:rsidP="002165FD">
                                <w:pPr>
                                  <w:spacing w:after="0" w:line="240" w:lineRule="auto"/>
                                  <w:jc w:val="center"/>
                                  <w:rPr>
                                    <w:b/>
                                    <w:sz w:val="16"/>
                                    <w:szCs w:val="18"/>
                                  </w:rPr>
                                </w:pPr>
                                <w:r>
                                  <w:rPr>
                                    <w:b/>
                                    <w:sz w:val="16"/>
                                    <w:szCs w:val="18"/>
                                  </w:rPr>
                                  <w:t>Studimet e ciklit të tretë</w:t>
                                </w:r>
                              </w:p>
                              <w:p w:rsidR="00753C65" w:rsidRPr="00AB2837" w:rsidRDefault="00753C65" w:rsidP="002165FD">
                                <w:pPr>
                                  <w:spacing w:after="0" w:line="240" w:lineRule="auto"/>
                                  <w:jc w:val="center"/>
                                  <w:rPr>
                                    <w:sz w:val="16"/>
                                    <w:szCs w:val="18"/>
                                  </w:rPr>
                                </w:pPr>
                                <w:r w:rsidRPr="00AB2837">
                                  <w:rPr>
                                    <w:sz w:val="16"/>
                                    <w:szCs w:val="18"/>
                                  </w:rPr>
                                  <w:t>Master e</w:t>
                                </w:r>
                                <w:r>
                                  <w:rPr>
                                    <w:sz w:val="16"/>
                                    <w:szCs w:val="18"/>
                                  </w:rPr>
                                  <w:t>kzekutiv (60-120 ECTS) S</w:t>
                                </w:r>
                                <w:r w:rsidRPr="00AB2837">
                                  <w:rPr>
                                    <w:sz w:val="16"/>
                                    <w:szCs w:val="18"/>
                                  </w:rPr>
                                  <w:t>pecializim</w:t>
                                </w:r>
                                <w:r>
                                  <w:rPr>
                                    <w:sz w:val="16"/>
                                    <w:szCs w:val="18"/>
                                  </w:rPr>
                                  <w:t>e afatgjata</w:t>
                                </w:r>
                                <w:r w:rsidRPr="00AB2837">
                                  <w:rPr>
                                    <w:sz w:val="16"/>
                                    <w:szCs w:val="18"/>
                                  </w:rPr>
                                  <w:t xml:space="preserve"> (min. 120 ECTS)</w:t>
                                </w:r>
                              </w:p>
                              <w:p w:rsidR="00753C65" w:rsidRPr="00AB2837" w:rsidRDefault="00753C65" w:rsidP="002165FD">
                                <w:pPr>
                                  <w:spacing w:after="0" w:line="240" w:lineRule="auto"/>
                                  <w:jc w:val="center"/>
                                  <w:rPr>
                                    <w:sz w:val="16"/>
                                    <w:szCs w:val="18"/>
                                  </w:rPr>
                                </w:pPr>
                                <w:r w:rsidRPr="00AB2837">
                                  <w:rPr>
                                    <w:sz w:val="16"/>
                                    <w:szCs w:val="18"/>
                                  </w:rPr>
                                  <w:t>Studime të doktoratës (3-5 vjet)</w:t>
                                </w:r>
                              </w:p>
                              <w:p w:rsidR="00753C65" w:rsidRDefault="00753C65" w:rsidP="002165FD">
                                <w:pPr>
                                  <w:spacing w:after="0" w:line="240" w:lineRule="auto"/>
                                  <w:jc w:val="center"/>
                                  <w:rPr>
                                    <w:sz w:val="16"/>
                                    <w:szCs w:val="18"/>
                                  </w:rPr>
                                </w:pPr>
                              </w:p>
                              <w:p w:rsidR="00753C65" w:rsidRPr="00E44F07" w:rsidRDefault="00753C65" w:rsidP="002165FD">
                                <w:pPr>
                                  <w:spacing w:after="0" w:line="240" w:lineRule="auto"/>
                                  <w:jc w:val="center"/>
                                  <w:rPr>
                                    <w:sz w:val="16"/>
                                    <w:szCs w:val="18"/>
                                  </w:rPr>
                                </w:pPr>
                                <w:r>
                                  <w:rPr>
                                    <w:sz w:val="16"/>
                                    <w:szCs w:val="18"/>
                                  </w:rPr>
                                  <w:t>KNSA8</w:t>
                                </w:r>
                              </w:p>
                              <w:p w:rsidR="00753C65" w:rsidRPr="00E44F07" w:rsidRDefault="00753C65" w:rsidP="002165FD">
                                <w:pPr>
                                  <w:spacing w:after="0" w:line="240" w:lineRule="auto"/>
                                  <w:jc w:val="center"/>
                                  <w:rPr>
                                    <w:b/>
                                    <w:sz w:val="16"/>
                                    <w:szCs w:val="18"/>
                                  </w:rPr>
                                </w:pPr>
                              </w:p>
                            </w:txbxContent>
                          </wps:txbx>
                          <wps:bodyPr rot="0" vert="horz" wrap="square" lIns="91440" tIns="45720" rIns="91440" bIns="45720" anchor="t" anchorCtr="0" upright="1">
                            <a:noAutofit/>
                          </wps:bodyPr>
                        </wps:wsp>
                        <wps:wsp>
                          <wps:cNvPr id="34" name="Text Box 14"/>
                          <wps:cNvSpPr txBox="1">
                            <a:spLocks/>
                          </wps:cNvSpPr>
                          <wps:spPr bwMode="auto">
                            <a:xfrm>
                              <a:off x="13335" y="11366"/>
                              <a:ext cx="18097" cy="5715"/>
                            </a:xfrm>
                            <a:prstGeom prst="rect">
                              <a:avLst/>
                            </a:prstGeom>
                            <a:solidFill>
                              <a:srgbClr val="FFFFFF"/>
                            </a:solidFill>
                            <a:ln w="9525">
                              <a:solidFill>
                                <a:srgbClr val="000000"/>
                              </a:solidFill>
                              <a:miter lim="800000"/>
                              <a:headEnd/>
                              <a:tailEnd/>
                            </a:ln>
                          </wps:spPr>
                          <wps:txbx>
                            <w:txbxContent>
                              <w:p w:rsidR="00753C65" w:rsidRDefault="00753C65" w:rsidP="002165FD">
                                <w:pPr>
                                  <w:spacing w:after="0" w:line="240" w:lineRule="auto"/>
                                  <w:jc w:val="center"/>
                                  <w:rPr>
                                    <w:b/>
                                    <w:sz w:val="16"/>
                                    <w:szCs w:val="18"/>
                                  </w:rPr>
                                </w:pPr>
                                <w:r>
                                  <w:rPr>
                                    <w:b/>
                                    <w:sz w:val="16"/>
                                    <w:szCs w:val="18"/>
                                  </w:rPr>
                                  <w:t xml:space="preserve">Studimet e ciklit të dytë </w:t>
                                </w:r>
                              </w:p>
                              <w:p w:rsidR="00753C65" w:rsidRPr="00E44F07" w:rsidRDefault="00753C65" w:rsidP="002165FD">
                                <w:pPr>
                                  <w:spacing w:after="0" w:line="240" w:lineRule="auto"/>
                                  <w:jc w:val="center"/>
                                  <w:rPr>
                                    <w:b/>
                                    <w:sz w:val="16"/>
                                    <w:szCs w:val="18"/>
                                  </w:rPr>
                                </w:pPr>
                                <w:r w:rsidRPr="00AB2837">
                                  <w:rPr>
                                    <w:sz w:val="16"/>
                                    <w:szCs w:val="18"/>
                                  </w:rPr>
                                  <w:t>Master i shkencave/arteve (120 ECTS)</w:t>
                                </w:r>
                              </w:p>
                              <w:p w:rsidR="00753C65" w:rsidRDefault="00753C65" w:rsidP="002165FD">
                                <w:pPr>
                                  <w:spacing w:after="0" w:line="240" w:lineRule="auto"/>
                                  <w:jc w:val="center"/>
                                  <w:rPr>
                                    <w:sz w:val="16"/>
                                    <w:szCs w:val="18"/>
                                  </w:rPr>
                                </w:pPr>
                              </w:p>
                              <w:p w:rsidR="00753C65" w:rsidRPr="00AB2837" w:rsidRDefault="00753C65" w:rsidP="002165FD">
                                <w:pPr>
                                  <w:spacing w:after="0" w:line="240" w:lineRule="auto"/>
                                  <w:jc w:val="center"/>
                                  <w:rPr>
                                    <w:sz w:val="16"/>
                                    <w:szCs w:val="18"/>
                                  </w:rPr>
                                </w:pPr>
                                <w:r>
                                  <w:rPr>
                                    <w:sz w:val="16"/>
                                    <w:szCs w:val="18"/>
                                  </w:rPr>
                                  <w:t>KNSA7</w:t>
                                </w:r>
                              </w:p>
                            </w:txbxContent>
                          </wps:txbx>
                          <wps:bodyPr rot="0" vert="horz" wrap="square" lIns="91440" tIns="45720" rIns="91440" bIns="45720" anchor="t" anchorCtr="0" upright="1">
                            <a:noAutofit/>
                          </wps:bodyPr>
                        </wps:wsp>
                        <wps:wsp>
                          <wps:cNvPr id="35" name="Straight Connector 47"/>
                          <wps:cNvCnPr>
                            <a:cxnSpLocks/>
                          </wps:cNvCnPr>
                          <wps:spPr bwMode="auto">
                            <a:xfrm flipV="1">
                              <a:off x="9969" y="42545"/>
                              <a:ext cx="0" cy="177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 name="Straight Connector 48"/>
                          <wps:cNvCnPr>
                            <a:cxnSpLocks/>
                          </wps:cNvCnPr>
                          <wps:spPr bwMode="auto">
                            <a:xfrm flipV="1">
                              <a:off x="26479" y="42551"/>
                              <a:ext cx="0" cy="177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7" name="Straight Connector 49"/>
                          <wps:cNvCnPr>
                            <a:cxnSpLocks/>
                          </wps:cNvCnPr>
                          <wps:spPr bwMode="auto">
                            <a:xfrm>
                              <a:off x="9969" y="42545"/>
                              <a:ext cx="3562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8" name="Straight Arrow Connector 50"/>
                          <wps:cNvCnPr>
                            <a:cxnSpLocks/>
                          </wps:cNvCnPr>
                          <wps:spPr bwMode="auto">
                            <a:xfrm flipH="1" flipV="1">
                              <a:off x="22479" y="40640"/>
                              <a:ext cx="63" cy="191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9" name="Straight Arrow Connector 51"/>
                          <wps:cNvCnPr>
                            <a:cxnSpLocks/>
                          </wps:cNvCnPr>
                          <wps:spPr bwMode="auto">
                            <a:xfrm flipV="1">
                              <a:off x="22542" y="31115"/>
                              <a:ext cx="0" cy="4959"/>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0" name="Elbow Connector 52"/>
                          <wps:cNvCnPr>
                            <a:cxnSpLocks/>
                          </wps:cNvCnPr>
                          <wps:spPr bwMode="auto">
                            <a:xfrm flipV="1">
                              <a:off x="30099" y="34671"/>
                              <a:ext cx="14605" cy="3625"/>
                            </a:xfrm>
                            <a:prstGeom prst="bentConnector3">
                              <a:avLst>
                                <a:gd name="adj1" fmla="val 100435"/>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41" name="Elbow Connector 54"/>
                          <wps:cNvCnPr>
                            <a:cxnSpLocks/>
                          </wps:cNvCnPr>
                          <wps:spPr bwMode="auto">
                            <a:xfrm rot="10800000">
                              <a:off x="31813" y="26860"/>
                              <a:ext cx="12332" cy="1651"/>
                            </a:xfrm>
                            <a:prstGeom prst="bentConnector3">
                              <a:avLst>
                                <a:gd name="adj1" fmla="val -3037"/>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42" name="Elbow Connector 55"/>
                          <wps:cNvCnPr>
                            <a:cxnSpLocks/>
                          </wps:cNvCnPr>
                          <wps:spPr bwMode="auto">
                            <a:xfrm flipV="1">
                              <a:off x="32131" y="20193"/>
                              <a:ext cx="12573" cy="5016"/>
                            </a:xfrm>
                            <a:prstGeom prst="bentConnector3">
                              <a:avLst>
                                <a:gd name="adj1" fmla="val 100505"/>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43" name="Elbow Connector 58"/>
                          <wps:cNvCnPr>
                            <a:cxnSpLocks/>
                          </wps:cNvCnPr>
                          <wps:spPr bwMode="auto">
                            <a:xfrm rot="10800000">
                              <a:off x="31432" y="12890"/>
                              <a:ext cx="12332" cy="1651"/>
                            </a:xfrm>
                            <a:prstGeom prst="bentConnector3">
                              <a:avLst>
                                <a:gd name="adj1" fmla="val -3037"/>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44" name="Straight Arrow Connector 59"/>
                          <wps:cNvCnPr>
                            <a:cxnSpLocks/>
                          </wps:cNvCnPr>
                          <wps:spPr bwMode="auto">
                            <a:xfrm flipV="1">
                              <a:off x="22542" y="17081"/>
                              <a:ext cx="0" cy="730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5" name="Straight Arrow Connector 60"/>
                          <wps:cNvCnPr>
                            <a:cxnSpLocks/>
                          </wps:cNvCnPr>
                          <wps:spPr bwMode="auto">
                            <a:xfrm flipV="1">
                              <a:off x="22479" y="8826"/>
                              <a:ext cx="63" cy="260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6" name="Text Box 139"/>
                          <wps:cNvSpPr txBox="1">
                            <a:spLocks/>
                          </wps:cNvSpPr>
                          <wps:spPr bwMode="auto">
                            <a:xfrm>
                              <a:off x="35306" y="44323"/>
                              <a:ext cx="17399" cy="6096"/>
                            </a:xfrm>
                            <a:prstGeom prst="rect">
                              <a:avLst/>
                            </a:prstGeom>
                            <a:solidFill>
                              <a:srgbClr val="FFFFFF"/>
                            </a:solidFill>
                            <a:ln w="9525">
                              <a:solidFill>
                                <a:srgbClr val="000000"/>
                              </a:solidFill>
                              <a:miter lim="800000"/>
                              <a:headEnd/>
                              <a:tailEnd/>
                            </a:ln>
                          </wps:spPr>
                          <wps:txbx>
                            <w:txbxContent>
                              <w:p w:rsidR="00753C65" w:rsidRPr="00E44F07" w:rsidRDefault="00753C65" w:rsidP="002165FD">
                                <w:pPr>
                                  <w:spacing w:after="0" w:line="240" w:lineRule="auto"/>
                                  <w:jc w:val="center"/>
                                  <w:rPr>
                                    <w:b/>
                                    <w:sz w:val="16"/>
                                    <w:szCs w:val="16"/>
                                  </w:rPr>
                                </w:pPr>
                                <w:r w:rsidRPr="00E44F07">
                                  <w:rPr>
                                    <w:b/>
                                    <w:sz w:val="16"/>
                                    <w:szCs w:val="16"/>
                                  </w:rPr>
                                  <w:t xml:space="preserve">Arsimi i mesëm i lartë </w:t>
                                </w:r>
                              </w:p>
                              <w:p w:rsidR="00753C65" w:rsidRPr="00AB2837" w:rsidRDefault="00753C65" w:rsidP="002165FD">
                                <w:pPr>
                                  <w:spacing w:after="0" w:line="240" w:lineRule="auto"/>
                                  <w:jc w:val="center"/>
                                  <w:rPr>
                                    <w:sz w:val="16"/>
                                    <w:szCs w:val="16"/>
                                  </w:rPr>
                                </w:pPr>
                                <w:r w:rsidRPr="00AB2837">
                                  <w:rPr>
                                    <w:sz w:val="16"/>
                                    <w:szCs w:val="16"/>
                                  </w:rPr>
                                  <w:t xml:space="preserve">Arsimi </w:t>
                                </w:r>
                                <w:r>
                                  <w:rPr>
                                    <w:sz w:val="16"/>
                                    <w:szCs w:val="16"/>
                                  </w:rPr>
                                  <w:t>i mesëm i orientuar</w:t>
                                </w:r>
                                <w:r w:rsidRPr="00AB2837">
                                  <w:rPr>
                                    <w:sz w:val="16"/>
                                    <w:szCs w:val="16"/>
                                  </w:rPr>
                                  <w:t xml:space="preserve"> (</w:t>
                                </w:r>
                                <w:r>
                                  <w:rPr>
                                    <w:sz w:val="16"/>
                                    <w:szCs w:val="16"/>
                                  </w:rPr>
                                  <w:t>3</w:t>
                                </w:r>
                                <w:r w:rsidRPr="00AB2837">
                                  <w:rPr>
                                    <w:sz w:val="16"/>
                                    <w:szCs w:val="16"/>
                                  </w:rPr>
                                  <w:t>-4 vjet)</w:t>
                                </w:r>
                              </w:p>
                              <w:p w:rsidR="00753C65" w:rsidRPr="00E44F07" w:rsidRDefault="00753C65" w:rsidP="002165FD">
                                <w:pPr>
                                  <w:spacing w:after="0" w:line="240" w:lineRule="auto"/>
                                  <w:jc w:val="center"/>
                                  <w:rPr>
                                    <w:sz w:val="16"/>
                                    <w:szCs w:val="16"/>
                                  </w:rPr>
                                </w:pPr>
                                <w:r w:rsidRPr="00E44F07">
                                  <w:rPr>
                                    <w:sz w:val="16"/>
                                    <w:szCs w:val="16"/>
                                  </w:rPr>
                                  <w:t>Klasat 10-13</w:t>
                                </w:r>
                                <w:r>
                                  <w:rPr>
                                    <w:sz w:val="16"/>
                                    <w:szCs w:val="16"/>
                                  </w:rPr>
                                  <w:t>, Mosha 15-18</w:t>
                                </w:r>
                              </w:p>
                              <w:p w:rsidR="00753C65" w:rsidRPr="00E44F07" w:rsidRDefault="00753C65" w:rsidP="002165FD">
                                <w:pPr>
                                  <w:spacing w:after="0" w:line="240" w:lineRule="auto"/>
                                  <w:jc w:val="center"/>
                                  <w:rPr>
                                    <w:sz w:val="16"/>
                                    <w:szCs w:val="16"/>
                                  </w:rPr>
                                </w:pPr>
                                <w:r>
                                  <w:rPr>
                                    <w:sz w:val="16"/>
                                    <w:szCs w:val="16"/>
                                  </w:rPr>
                                  <w:t>KNSA</w:t>
                                </w:r>
                                <w:r w:rsidRPr="00E44F07">
                                  <w:rPr>
                                    <w:sz w:val="16"/>
                                    <w:szCs w:val="16"/>
                                  </w:rPr>
                                  <w:t xml:space="preserve"> 3</w:t>
                                </w:r>
                              </w:p>
                            </w:txbxContent>
                          </wps:txbx>
                          <wps:bodyPr rot="0" vert="horz" wrap="square" lIns="91440" tIns="45720" rIns="91440" bIns="45720" anchor="t" anchorCtr="0" upright="1">
                            <a:noAutofit/>
                          </wps:bodyPr>
                        </wps:wsp>
                        <wps:wsp>
                          <wps:cNvPr id="47" name="Straight Connector 28"/>
                          <wps:cNvCnPr>
                            <a:cxnSpLocks/>
                          </wps:cNvCnPr>
                          <wps:spPr bwMode="auto">
                            <a:xfrm flipV="1">
                              <a:off x="45466" y="42551"/>
                              <a:ext cx="0" cy="177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 name="Straight Connector 29"/>
                          <wps:cNvCnPr>
                            <a:cxnSpLocks/>
                          </wps:cNvCnPr>
                          <wps:spPr bwMode="auto">
                            <a:xfrm>
                              <a:off x="9969" y="52641"/>
                              <a:ext cx="3562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9" name="AutoShape 144"/>
                          <wps:cNvCnPr>
                            <a:cxnSpLocks/>
                          </wps:cNvCnPr>
                          <wps:spPr bwMode="auto">
                            <a:xfrm flipV="1">
                              <a:off x="9969" y="50863"/>
                              <a:ext cx="0" cy="1778"/>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0" name="AutoShape 144"/>
                          <wps:cNvCnPr>
                            <a:cxnSpLocks/>
                          </wps:cNvCnPr>
                          <wps:spPr bwMode="auto">
                            <a:xfrm flipV="1">
                              <a:off x="26479" y="50863"/>
                              <a:ext cx="0" cy="1778"/>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1" name="AutoShape 144"/>
                          <wps:cNvCnPr>
                            <a:cxnSpLocks/>
                          </wps:cNvCnPr>
                          <wps:spPr bwMode="auto">
                            <a:xfrm flipV="1">
                              <a:off x="45466" y="50863"/>
                              <a:ext cx="0" cy="1778"/>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2" name="Text Box 14"/>
                          <wps:cNvSpPr txBox="1">
                            <a:spLocks/>
                          </wps:cNvSpPr>
                          <wps:spPr bwMode="auto">
                            <a:xfrm>
                              <a:off x="-191" y="11366"/>
                              <a:ext cx="12536" cy="19749"/>
                            </a:xfrm>
                            <a:prstGeom prst="rect">
                              <a:avLst/>
                            </a:prstGeom>
                            <a:solidFill>
                              <a:srgbClr val="FFFFFF"/>
                            </a:solidFill>
                            <a:ln w="9525">
                              <a:solidFill>
                                <a:srgbClr val="000000"/>
                              </a:solidFill>
                              <a:miter lim="800000"/>
                              <a:headEnd/>
                              <a:tailEnd/>
                            </a:ln>
                          </wps:spPr>
                          <wps:txbx>
                            <w:txbxContent>
                              <w:p w:rsidR="00753C65" w:rsidRDefault="00753C65" w:rsidP="002165FD">
                                <w:pPr>
                                  <w:spacing w:after="0" w:line="240" w:lineRule="auto"/>
                                  <w:jc w:val="center"/>
                                  <w:rPr>
                                    <w:b/>
                                    <w:sz w:val="16"/>
                                    <w:szCs w:val="18"/>
                                  </w:rPr>
                                </w:pPr>
                                <w:r>
                                  <w:rPr>
                                    <w:b/>
                                    <w:sz w:val="16"/>
                                    <w:szCs w:val="18"/>
                                  </w:rPr>
                                  <w:t xml:space="preserve">Studimet e integruara të ciklit të dytë </w:t>
                                </w:r>
                              </w:p>
                              <w:p w:rsidR="00753C65" w:rsidRDefault="00753C65" w:rsidP="002165FD">
                                <w:pPr>
                                  <w:spacing w:after="0" w:line="240" w:lineRule="auto"/>
                                  <w:jc w:val="center"/>
                                  <w:rPr>
                                    <w:sz w:val="16"/>
                                    <w:szCs w:val="18"/>
                                  </w:rPr>
                                </w:pPr>
                                <w:r w:rsidRPr="00AB2837">
                                  <w:rPr>
                                    <w:sz w:val="16"/>
                                    <w:szCs w:val="18"/>
                                  </w:rPr>
                                  <w:t xml:space="preserve">Master i shkencave </w:t>
                                </w:r>
                              </w:p>
                              <w:p w:rsidR="00753C65" w:rsidRPr="00E44F07" w:rsidRDefault="00753C65" w:rsidP="002165FD">
                                <w:pPr>
                                  <w:spacing w:after="0" w:line="240" w:lineRule="auto"/>
                                  <w:jc w:val="center"/>
                                  <w:rPr>
                                    <w:b/>
                                    <w:sz w:val="16"/>
                                    <w:szCs w:val="18"/>
                                  </w:rPr>
                                </w:pPr>
                                <w:r w:rsidRPr="00146F0E">
                                  <w:rPr>
                                    <w:sz w:val="16"/>
                                    <w:szCs w:val="18"/>
                                  </w:rPr>
                                  <w:t>(300-360 ECTS)</w:t>
                                </w:r>
                              </w:p>
                              <w:p w:rsidR="00753C65" w:rsidRDefault="00753C65" w:rsidP="002165FD">
                                <w:pPr>
                                  <w:spacing w:after="0" w:line="240" w:lineRule="auto"/>
                                  <w:jc w:val="center"/>
                                  <w:rPr>
                                    <w:sz w:val="16"/>
                                    <w:szCs w:val="18"/>
                                  </w:rPr>
                                </w:pPr>
                              </w:p>
                              <w:p w:rsidR="00753C65" w:rsidRPr="00AB2837" w:rsidRDefault="00753C65" w:rsidP="002165FD">
                                <w:pPr>
                                  <w:spacing w:after="0" w:line="240" w:lineRule="auto"/>
                                  <w:jc w:val="center"/>
                                  <w:rPr>
                                    <w:sz w:val="16"/>
                                    <w:szCs w:val="18"/>
                                  </w:rPr>
                                </w:pPr>
                                <w:r>
                                  <w:rPr>
                                    <w:sz w:val="16"/>
                                    <w:szCs w:val="18"/>
                                  </w:rPr>
                                  <w:t>KNSA7</w:t>
                                </w:r>
                              </w:p>
                            </w:txbxContent>
                          </wps:txbx>
                          <wps:bodyPr rot="0" vert="horz" wrap="square" lIns="91440" tIns="45720" rIns="91440" bIns="45720" anchor="t" anchorCtr="0" upright="1">
                            <a:noAutofit/>
                          </wps:bodyPr>
                        </wps:wsp>
                      </wpg:grpSp>
                      <wps:wsp>
                        <wps:cNvPr id="53" name="Elbow Connector 52"/>
                        <wps:cNvCnPr>
                          <a:cxnSpLocks/>
                        </wps:cNvCnPr>
                        <wps:spPr bwMode="auto">
                          <a:xfrm rot="10800000">
                            <a:off x="6096" y="31051"/>
                            <a:ext cx="9284" cy="7130"/>
                          </a:xfrm>
                          <a:prstGeom prst="bentConnector3">
                            <a:avLst>
                              <a:gd name="adj1" fmla="val 100417"/>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54" name="Elbow Connector 52"/>
                        <wps:cNvCnPr>
                          <a:cxnSpLocks/>
                        </wps:cNvCnPr>
                        <wps:spPr bwMode="auto">
                          <a:xfrm flipV="1">
                            <a:off x="5619" y="10287"/>
                            <a:ext cx="17171" cy="1115"/>
                          </a:xfrm>
                          <a:prstGeom prst="bentConnector3">
                            <a:avLst>
                              <a:gd name="adj1" fmla="val 579"/>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 o:spid="_x0000_s1027" style="position:absolute;left:0;text-align:left;margin-left:1.25pt;margin-top:14.95pt;width:416.5pt;height:537pt;z-index:251659776;mso-position-horizontal-relative:text;mso-position-vertical-relative:text" coordsize="52896,6819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">
                <v:group id="Group 61" o:spid="_x0000_s1028" style="position:absolute;width:52896;height:68199" coordorigin="-191" coordsize="52896,6819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">
                  <v:shape id="Text Box 134" o:spid="_x0000_s1029" type="#_x0000_t202" style="position:absolute;left:17272;top:63500;width:18796;height:469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">
                    <v:path arrowok="t"/>
                    <v:textbox>
                      <w:txbxContent>
                        <w:p w:rsidR="00753C65" w:rsidRPr="008002DA" w:rsidRDefault="00753C65" w:rsidP="002165FD">
                          <w:pPr>
                            <w:spacing w:after="0" w:line="240" w:lineRule="auto"/>
                            <w:jc w:val="center"/>
                            <w:rPr>
                              <w:b/>
                              <w:sz w:val="16"/>
                              <w:szCs w:val="18"/>
                            </w:rPr>
                          </w:pPr>
                          <w:r w:rsidRPr="008002DA">
                            <w:rPr>
                              <w:b/>
                              <w:sz w:val="16"/>
                              <w:szCs w:val="18"/>
                            </w:rPr>
                            <w:t>Arsimi Parashkollor</w:t>
                          </w:r>
                        </w:p>
                        <w:p w:rsidR="00753C65" w:rsidRPr="008002DA" w:rsidRDefault="00753C65" w:rsidP="002165FD">
                          <w:pPr>
                            <w:spacing w:after="0" w:line="240" w:lineRule="auto"/>
                            <w:jc w:val="center"/>
                            <w:rPr>
                              <w:sz w:val="16"/>
                              <w:szCs w:val="18"/>
                            </w:rPr>
                          </w:pPr>
                          <w:r>
                            <w:rPr>
                              <w:sz w:val="16"/>
                              <w:szCs w:val="18"/>
                            </w:rPr>
                            <w:t>Mosha 3-6</w:t>
                          </w:r>
                        </w:p>
                        <w:p w:rsidR="00753C65" w:rsidRPr="008002DA" w:rsidRDefault="00753C65" w:rsidP="002165FD">
                          <w:pPr>
                            <w:spacing w:after="0" w:line="240" w:lineRule="auto"/>
                            <w:jc w:val="center"/>
                            <w:rPr>
                              <w:sz w:val="16"/>
                              <w:szCs w:val="18"/>
                            </w:rPr>
                          </w:pPr>
                          <w:r>
                            <w:rPr>
                              <w:sz w:val="16"/>
                              <w:szCs w:val="18"/>
                            </w:rPr>
                            <w:t>KNSA</w:t>
                          </w:r>
                          <w:r w:rsidRPr="008002DA">
                            <w:rPr>
                              <w:sz w:val="16"/>
                              <w:szCs w:val="18"/>
                            </w:rPr>
                            <w:t xml:space="preserve"> 0</w:t>
                          </w:r>
                        </w:p>
                      </w:txbxContent>
                    </v:textbox>
                  </v:shape>
                  <v:shape id="Text Box 135" o:spid="_x0000_s1030" type="#_x0000_t202" style="position:absolute;left:17272;top:58801;width:18796;height:469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">
                    <v:path arrowok="t"/>
                    <v:textbox>
                      <w:txbxContent>
                        <w:p w:rsidR="00753C65" w:rsidRPr="008002DA" w:rsidRDefault="00753C65" w:rsidP="002165FD">
                          <w:pPr>
                            <w:spacing w:after="0" w:line="240" w:lineRule="auto"/>
                            <w:jc w:val="center"/>
                            <w:rPr>
                              <w:b/>
                              <w:sz w:val="16"/>
                              <w:szCs w:val="18"/>
                            </w:rPr>
                          </w:pPr>
                          <w:r w:rsidRPr="008002DA">
                            <w:rPr>
                              <w:b/>
                              <w:sz w:val="16"/>
                              <w:szCs w:val="18"/>
                            </w:rPr>
                            <w:t>Arsimi fillor (5 vjet)</w:t>
                          </w:r>
                        </w:p>
                        <w:p w:rsidR="00753C65" w:rsidRPr="008002DA" w:rsidRDefault="00753C65" w:rsidP="002165FD">
                          <w:pPr>
                            <w:spacing w:after="0" w:line="240" w:lineRule="auto"/>
                            <w:jc w:val="center"/>
                            <w:rPr>
                              <w:sz w:val="16"/>
                              <w:szCs w:val="18"/>
                            </w:rPr>
                          </w:pPr>
                          <w:r w:rsidRPr="008002DA">
                            <w:rPr>
                              <w:sz w:val="16"/>
                              <w:szCs w:val="18"/>
                            </w:rPr>
                            <w:t>Klasat 1-5, Mosha 6-10</w:t>
                          </w:r>
                        </w:p>
                        <w:p w:rsidR="00753C65" w:rsidRPr="008002DA" w:rsidRDefault="00753C65" w:rsidP="002165FD">
                          <w:pPr>
                            <w:spacing w:after="0" w:line="240" w:lineRule="auto"/>
                            <w:jc w:val="center"/>
                            <w:rPr>
                              <w:sz w:val="16"/>
                              <w:szCs w:val="18"/>
                            </w:rPr>
                          </w:pPr>
                          <w:r>
                            <w:rPr>
                              <w:sz w:val="16"/>
                              <w:szCs w:val="18"/>
                            </w:rPr>
                            <w:t>KNSA</w:t>
                          </w:r>
                          <w:r w:rsidRPr="008002DA">
                            <w:rPr>
                              <w:sz w:val="16"/>
                              <w:szCs w:val="18"/>
                            </w:rPr>
                            <w:t xml:space="preserve"> 1</w:t>
                          </w:r>
                        </w:p>
                      </w:txbxContent>
                    </v:textbox>
                  </v:shape>
                  <v:shape id="Text Box 136" o:spid="_x0000_s1031" type="#_x0000_t202" style="position:absolute;left:17272;top:54419;width:18796;height:444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">
                    <v:path arrowok="t"/>
                    <v:textbox>
                      <w:txbxContent>
                        <w:p w:rsidR="00753C65" w:rsidRPr="008002DA" w:rsidRDefault="00753C65" w:rsidP="002165FD">
                          <w:pPr>
                            <w:spacing w:after="0" w:line="240" w:lineRule="auto"/>
                            <w:jc w:val="center"/>
                            <w:rPr>
                              <w:b/>
                              <w:sz w:val="16"/>
                              <w:szCs w:val="18"/>
                            </w:rPr>
                          </w:pPr>
                          <w:r w:rsidRPr="008002DA">
                            <w:rPr>
                              <w:b/>
                              <w:sz w:val="16"/>
                              <w:szCs w:val="18"/>
                            </w:rPr>
                            <w:t>Arsimi i mesëm i ulët (4 vjet)</w:t>
                          </w:r>
                        </w:p>
                        <w:p w:rsidR="00753C65" w:rsidRPr="008002DA" w:rsidRDefault="00753C65" w:rsidP="002165FD">
                          <w:pPr>
                            <w:spacing w:after="0" w:line="240" w:lineRule="auto"/>
                            <w:jc w:val="center"/>
                            <w:rPr>
                              <w:sz w:val="16"/>
                              <w:szCs w:val="18"/>
                            </w:rPr>
                          </w:pPr>
                          <w:r w:rsidRPr="008002DA">
                            <w:rPr>
                              <w:sz w:val="16"/>
                              <w:szCs w:val="18"/>
                            </w:rPr>
                            <w:t>Klasat 6-9, Mosha 11-14</w:t>
                          </w:r>
                        </w:p>
                        <w:p w:rsidR="00753C65" w:rsidRPr="008002DA" w:rsidRDefault="00753C65" w:rsidP="002165FD">
                          <w:pPr>
                            <w:spacing w:after="0" w:line="240" w:lineRule="auto"/>
                            <w:jc w:val="center"/>
                            <w:rPr>
                              <w:sz w:val="16"/>
                              <w:szCs w:val="18"/>
                            </w:rPr>
                          </w:pPr>
                          <w:r>
                            <w:rPr>
                              <w:sz w:val="16"/>
                              <w:szCs w:val="18"/>
                            </w:rPr>
                            <w:t>KNSA</w:t>
                          </w:r>
                          <w:r w:rsidRPr="008002DA">
                            <w:rPr>
                              <w:sz w:val="16"/>
                              <w:szCs w:val="18"/>
                            </w:rPr>
                            <w:t xml:space="preserve"> 2</w:t>
                          </w:r>
                        </w:p>
                      </w:txbxContent>
                    </v:textbox>
                  </v:shape>
                  <v:shape id="Text Box 137" o:spid="_x0000_s1032" type="#_x0000_t202" style="position:absolute;left:3238;top:44323;width:13919;height:609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">
                    <v:path arrowok="t"/>
                    <v:textbox>
                      <w:txbxContent>
                        <w:p w:rsidR="00753C65" w:rsidRPr="00E44F07" w:rsidRDefault="00753C65" w:rsidP="002165FD">
                          <w:pPr>
                            <w:spacing w:after="0" w:line="240" w:lineRule="auto"/>
                            <w:jc w:val="center"/>
                            <w:rPr>
                              <w:b/>
                              <w:sz w:val="16"/>
                              <w:szCs w:val="16"/>
                            </w:rPr>
                          </w:pPr>
                          <w:r w:rsidRPr="00E44F07">
                            <w:rPr>
                              <w:b/>
                              <w:sz w:val="16"/>
                              <w:szCs w:val="16"/>
                            </w:rPr>
                            <w:t>Arsimi i mesëm i lartë</w:t>
                          </w:r>
                        </w:p>
                        <w:p w:rsidR="00753C65" w:rsidRPr="00AB2837" w:rsidRDefault="00753C65" w:rsidP="002165FD">
                          <w:pPr>
                            <w:spacing w:after="0" w:line="240" w:lineRule="auto"/>
                            <w:jc w:val="center"/>
                            <w:rPr>
                              <w:sz w:val="16"/>
                              <w:szCs w:val="16"/>
                            </w:rPr>
                          </w:pPr>
                          <w:r w:rsidRPr="00AB2837">
                            <w:rPr>
                              <w:sz w:val="16"/>
                              <w:szCs w:val="16"/>
                            </w:rPr>
                            <w:t>Gjimnazi</w:t>
                          </w:r>
                          <w:r>
                            <w:rPr>
                              <w:sz w:val="16"/>
                              <w:szCs w:val="16"/>
                            </w:rPr>
                            <w:t xml:space="preserve"> </w:t>
                          </w:r>
                          <w:r w:rsidRPr="00AB2837">
                            <w:rPr>
                              <w:sz w:val="16"/>
                              <w:szCs w:val="16"/>
                            </w:rPr>
                            <w:t xml:space="preserve">(3 vjet) </w:t>
                          </w:r>
                        </w:p>
                        <w:p w:rsidR="00753C65" w:rsidRPr="00E44F07" w:rsidRDefault="00753C65" w:rsidP="002165FD">
                          <w:pPr>
                            <w:spacing w:after="0" w:line="240" w:lineRule="auto"/>
                            <w:jc w:val="center"/>
                            <w:rPr>
                              <w:b/>
                              <w:sz w:val="16"/>
                              <w:szCs w:val="16"/>
                            </w:rPr>
                          </w:pPr>
                          <w:r w:rsidRPr="00E44F07">
                            <w:rPr>
                              <w:sz w:val="16"/>
                              <w:szCs w:val="16"/>
                            </w:rPr>
                            <w:t>Klasat 10-12, Mosha 15-17</w:t>
                          </w:r>
                        </w:p>
                        <w:p w:rsidR="00753C65" w:rsidRPr="00E44F07" w:rsidRDefault="00753C65" w:rsidP="002165FD">
                          <w:pPr>
                            <w:spacing w:after="0" w:line="240" w:lineRule="auto"/>
                            <w:jc w:val="center"/>
                            <w:rPr>
                              <w:sz w:val="16"/>
                              <w:szCs w:val="16"/>
                            </w:rPr>
                          </w:pPr>
                          <w:r>
                            <w:rPr>
                              <w:sz w:val="16"/>
                              <w:szCs w:val="16"/>
                            </w:rPr>
                            <w:t>KNSA</w:t>
                          </w:r>
                          <w:r w:rsidRPr="00E44F07">
                            <w:rPr>
                              <w:sz w:val="16"/>
                              <w:szCs w:val="16"/>
                            </w:rPr>
                            <w:t xml:space="preserve"> 3</w:t>
                          </w:r>
                        </w:p>
                      </w:txbxContent>
                    </v:textbox>
                  </v:shape>
                  <v:shape id="Text Box 139" o:spid="_x0000_s1033" type="#_x0000_t202" style="position:absolute;left:19050;top:44323;width:15049;height:609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">
                    <v:path arrowok="t"/>
                    <v:textbox>
                      <w:txbxContent>
                        <w:p w:rsidR="00753C65" w:rsidRPr="00E44F07" w:rsidRDefault="00753C65" w:rsidP="002165FD">
                          <w:pPr>
                            <w:spacing w:after="0" w:line="240" w:lineRule="auto"/>
                            <w:jc w:val="center"/>
                            <w:rPr>
                              <w:b/>
                              <w:sz w:val="16"/>
                              <w:szCs w:val="16"/>
                            </w:rPr>
                          </w:pPr>
                          <w:r w:rsidRPr="00E44F07">
                            <w:rPr>
                              <w:b/>
                              <w:sz w:val="16"/>
                              <w:szCs w:val="16"/>
                            </w:rPr>
                            <w:t xml:space="preserve">Arsimi i mesëm i lartë </w:t>
                          </w:r>
                        </w:p>
                        <w:p w:rsidR="00753C65" w:rsidRPr="00AB2837" w:rsidRDefault="00753C65" w:rsidP="002165FD">
                          <w:pPr>
                            <w:spacing w:after="0" w:line="240" w:lineRule="auto"/>
                            <w:jc w:val="center"/>
                            <w:rPr>
                              <w:sz w:val="16"/>
                              <w:szCs w:val="16"/>
                            </w:rPr>
                          </w:pPr>
                          <w:r w:rsidRPr="00AB2837">
                            <w:rPr>
                              <w:sz w:val="16"/>
                              <w:szCs w:val="16"/>
                            </w:rPr>
                            <w:t>Arsimi profesional (2-4 vjet)</w:t>
                          </w:r>
                        </w:p>
                        <w:p w:rsidR="00753C65" w:rsidRPr="00E44F07" w:rsidRDefault="00753C65" w:rsidP="002165FD">
                          <w:pPr>
                            <w:spacing w:after="0" w:line="240" w:lineRule="auto"/>
                            <w:jc w:val="center"/>
                            <w:rPr>
                              <w:sz w:val="16"/>
                              <w:szCs w:val="16"/>
                            </w:rPr>
                          </w:pPr>
                          <w:r w:rsidRPr="00E44F07">
                            <w:rPr>
                              <w:sz w:val="16"/>
                              <w:szCs w:val="16"/>
                            </w:rPr>
                            <w:t>Klasat 10-13</w:t>
                          </w:r>
                          <w:r>
                            <w:rPr>
                              <w:sz w:val="16"/>
                              <w:szCs w:val="16"/>
                            </w:rPr>
                            <w:t>, Mosha 15-18</w:t>
                          </w:r>
                        </w:p>
                        <w:p w:rsidR="00753C65" w:rsidRPr="00E44F07" w:rsidRDefault="00753C65" w:rsidP="002165FD">
                          <w:pPr>
                            <w:spacing w:after="0" w:line="240" w:lineRule="auto"/>
                            <w:jc w:val="center"/>
                            <w:rPr>
                              <w:sz w:val="16"/>
                              <w:szCs w:val="16"/>
                            </w:rPr>
                          </w:pPr>
                          <w:r>
                            <w:rPr>
                              <w:sz w:val="16"/>
                              <w:szCs w:val="16"/>
                            </w:rPr>
                            <w:t>KNSA</w:t>
                          </w:r>
                          <w:r w:rsidRPr="00E44F07">
                            <w:rPr>
                              <w:sz w:val="16"/>
                              <w:szCs w:val="16"/>
                            </w:rPr>
                            <w:t xml:space="preserve"> 3</w:t>
                          </w:r>
                        </w:p>
                      </w:txbxContent>
                    </v:textbox>
                  </v:shape>
                  <v:shapetype id="_x0000_t32" coordsize="21600,21600" o:spt="32" o:oned="t" path="m,l21600,21600e" filled="f">
                    <v:path arrowok="t" fillok="f" o:connecttype="none"/>
                    <o:lock v:ext="edit" shapetype="t"/>
                  </v:shapetype>
                  <v:shape id="AutoShape 144" o:spid="_x0000_s1034" type="#_x0000_t32" style="position:absolute;left:26606;top:52641;width:0;height:1778;flip:y;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">
                    <v:stroke endarrow="block"/>
                    <o:lock v:ext="edit" shapetype="f"/>
                  </v:shape>
                  <v:shape id="Text Box 9" o:spid="_x0000_s1035" type="#_x0000_t202" style="position:absolute;left:15176;top:36068;width:14903;height:462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">
                    <v:path arrowok="t"/>
                    <v:textbox>
                      <w:txbxContent>
                        <w:p w:rsidR="00753C65" w:rsidRPr="00E44F07" w:rsidRDefault="00753C65" w:rsidP="002165FD">
                          <w:pPr>
                            <w:spacing w:after="0" w:line="240" w:lineRule="auto"/>
                            <w:jc w:val="center"/>
                            <w:rPr>
                              <w:b/>
                              <w:sz w:val="16"/>
                              <w:szCs w:val="18"/>
                            </w:rPr>
                          </w:pPr>
                          <w:r w:rsidRPr="00E44F07">
                            <w:rPr>
                              <w:b/>
                              <w:sz w:val="16"/>
                              <w:szCs w:val="18"/>
                            </w:rPr>
                            <w:t>Matura shtetërore</w:t>
                          </w:r>
                        </w:p>
                        <w:p w:rsidR="00753C65" w:rsidRPr="00E44F07" w:rsidRDefault="00753C65" w:rsidP="002165FD">
                          <w:pPr>
                            <w:spacing w:after="0" w:line="240" w:lineRule="auto"/>
                            <w:jc w:val="center"/>
                            <w:rPr>
                              <w:sz w:val="16"/>
                              <w:szCs w:val="18"/>
                            </w:rPr>
                          </w:pPr>
                          <w:r>
                            <w:rPr>
                              <w:sz w:val="16"/>
                              <w:szCs w:val="18"/>
                            </w:rPr>
                            <w:t>KNSA</w:t>
                          </w:r>
                          <w:r w:rsidRPr="00E44F07">
                            <w:rPr>
                              <w:sz w:val="16"/>
                              <w:szCs w:val="18"/>
                            </w:rPr>
                            <w:t xml:space="preserve"> 3</w:t>
                          </w:r>
                        </w:p>
                        <w:p w:rsidR="00753C65" w:rsidRPr="00E44F07" w:rsidRDefault="00753C65" w:rsidP="002165FD">
                          <w:pPr>
                            <w:spacing w:after="0" w:line="240" w:lineRule="auto"/>
                            <w:jc w:val="center"/>
                            <w:rPr>
                              <w:b/>
                              <w:sz w:val="16"/>
                              <w:szCs w:val="18"/>
                            </w:rPr>
                          </w:pPr>
                        </w:p>
                      </w:txbxContent>
                    </v:textbox>
                  </v:shape>
                  <v:shape id="Text Box 10" o:spid="_x0000_s1036" type="#_x0000_t202" style="position:absolute;left:35306;top:28511;width:16891;height:621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">
                    <v:path arrowok="t"/>
                    <v:textbox>
                      <w:txbxContent>
                        <w:p w:rsidR="00753C65" w:rsidRDefault="00753C65" w:rsidP="002165FD">
                          <w:pPr>
                            <w:spacing w:after="0" w:line="240" w:lineRule="auto"/>
                            <w:jc w:val="center"/>
                            <w:rPr>
                              <w:b/>
                              <w:sz w:val="16"/>
                              <w:szCs w:val="18"/>
                            </w:rPr>
                          </w:pPr>
                          <w:r>
                            <w:rPr>
                              <w:b/>
                              <w:sz w:val="16"/>
                              <w:szCs w:val="18"/>
                            </w:rPr>
                            <w:t>Studimet me karakter profesional</w:t>
                          </w:r>
                        </w:p>
                        <w:p w:rsidR="00753C65" w:rsidRPr="00E44F07" w:rsidRDefault="00753C65" w:rsidP="002165FD">
                          <w:pPr>
                            <w:spacing w:after="0" w:line="240" w:lineRule="auto"/>
                            <w:jc w:val="center"/>
                            <w:rPr>
                              <w:b/>
                              <w:sz w:val="16"/>
                              <w:szCs w:val="18"/>
                            </w:rPr>
                          </w:pPr>
                          <w:r>
                            <w:rPr>
                              <w:b/>
                              <w:sz w:val="16"/>
                              <w:szCs w:val="18"/>
                            </w:rPr>
                            <w:t>(60-120 ECTS)</w:t>
                          </w:r>
                        </w:p>
                        <w:p w:rsidR="00753C65" w:rsidRDefault="00753C65" w:rsidP="002165FD">
                          <w:pPr>
                            <w:spacing w:after="0" w:line="240" w:lineRule="auto"/>
                            <w:jc w:val="center"/>
                            <w:rPr>
                              <w:sz w:val="16"/>
                              <w:szCs w:val="18"/>
                            </w:rPr>
                          </w:pPr>
                        </w:p>
                        <w:p w:rsidR="00753C65" w:rsidRPr="00E44F07" w:rsidRDefault="00753C65" w:rsidP="002165FD">
                          <w:pPr>
                            <w:spacing w:after="0" w:line="240" w:lineRule="auto"/>
                            <w:jc w:val="center"/>
                            <w:rPr>
                              <w:sz w:val="16"/>
                              <w:szCs w:val="18"/>
                            </w:rPr>
                          </w:pPr>
                          <w:r>
                            <w:rPr>
                              <w:sz w:val="16"/>
                              <w:szCs w:val="18"/>
                            </w:rPr>
                            <w:t>KNSA4</w:t>
                          </w:r>
                        </w:p>
                        <w:p w:rsidR="00753C65" w:rsidRPr="00E44F07" w:rsidRDefault="00753C65" w:rsidP="002165FD">
                          <w:pPr>
                            <w:spacing w:after="0" w:line="240" w:lineRule="auto"/>
                            <w:jc w:val="center"/>
                            <w:rPr>
                              <w:b/>
                              <w:sz w:val="16"/>
                              <w:szCs w:val="18"/>
                            </w:rPr>
                          </w:pPr>
                        </w:p>
                      </w:txbxContent>
                    </v:textbox>
                  </v:shape>
                  <v:shape id="Text Box 11" o:spid="_x0000_s1037" type="#_x0000_t202" style="position:absolute;left:13716;top:24701;width:18097;height:635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">
                    <v:path arrowok="t"/>
                    <v:textbox>
                      <w:txbxContent>
                        <w:p w:rsidR="00753C65" w:rsidRDefault="00753C65" w:rsidP="002165FD">
                          <w:pPr>
                            <w:spacing w:after="0" w:line="240" w:lineRule="auto"/>
                            <w:jc w:val="center"/>
                            <w:rPr>
                              <w:b/>
                              <w:sz w:val="16"/>
                              <w:szCs w:val="18"/>
                            </w:rPr>
                          </w:pPr>
                          <w:r>
                            <w:rPr>
                              <w:b/>
                              <w:sz w:val="16"/>
                              <w:szCs w:val="18"/>
                            </w:rPr>
                            <w:t>Studimet e ciklit të parë</w:t>
                          </w:r>
                        </w:p>
                        <w:p w:rsidR="00753C65" w:rsidRPr="00E44F07" w:rsidRDefault="00753C65" w:rsidP="002165FD">
                          <w:pPr>
                            <w:spacing w:after="0" w:line="240" w:lineRule="auto"/>
                            <w:jc w:val="center"/>
                            <w:rPr>
                              <w:b/>
                              <w:sz w:val="16"/>
                              <w:szCs w:val="18"/>
                            </w:rPr>
                          </w:pPr>
                          <w:r w:rsidRPr="00AB2837">
                            <w:rPr>
                              <w:sz w:val="16"/>
                              <w:szCs w:val="18"/>
                            </w:rPr>
                            <w:t>Bachelor (min. 180 ECTS)</w:t>
                          </w:r>
                        </w:p>
                        <w:p w:rsidR="00753C65" w:rsidRDefault="00753C65" w:rsidP="002165FD">
                          <w:pPr>
                            <w:spacing w:after="0" w:line="240" w:lineRule="auto"/>
                            <w:jc w:val="center"/>
                            <w:rPr>
                              <w:sz w:val="16"/>
                              <w:szCs w:val="18"/>
                            </w:rPr>
                          </w:pPr>
                        </w:p>
                        <w:p w:rsidR="00753C65" w:rsidRPr="00E44F07" w:rsidRDefault="00753C65" w:rsidP="002165FD">
                          <w:pPr>
                            <w:spacing w:after="0" w:line="240" w:lineRule="auto"/>
                            <w:jc w:val="center"/>
                            <w:rPr>
                              <w:sz w:val="16"/>
                              <w:szCs w:val="18"/>
                            </w:rPr>
                          </w:pPr>
                          <w:r>
                            <w:rPr>
                              <w:sz w:val="16"/>
                              <w:szCs w:val="18"/>
                            </w:rPr>
                            <w:t>KNSA6</w:t>
                          </w:r>
                        </w:p>
                        <w:p w:rsidR="00753C65" w:rsidRPr="00E44F07" w:rsidRDefault="00753C65" w:rsidP="002165FD">
                          <w:pPr>
                            <w:spacing w:after="0" w:line="240" w:lineRule="auto"/>
                            <w:jc w:val="center"/>
                            <w:rPr>
                              <w:b/>
                              <w:sz w:val="16"/>
                              <w:szCs w:val="18"/>
                            </w:rPr>
                          </w:pPr>
                        </w:p>
                      </w:txbxContent>
                    </v:textbox>
                  </v:shape>
                  <v:shape id="Text Box 12" o:spid="_x0000_s1038" type="#_x0000_t202" style="position:absolute;left:35687;top:14541;width:16510;height:606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">
                    <v:path arrowok="t"/>
                    <v:textbox>
                      <w:txbxContent>
                        <w:p w:rsidR="00753C65" w:rsidRDefault="00753C65" w:rsidP="002165FD">
                          <w:pPr>
                            <w:spacing w:after="0" w:line="240" w:lineRule="auto"/>
                            <w:jc w:val="center"/>
                            <w:rPr>
                              <w:b/>
                              <w:sz w:val="16"/>
                              <w:szCs w:val="18"/>
                            </w:rPr>
                          </w:pPr>
                          <w:r>
                            <w:rPr>
                              <w:b/>
                              <w:sz w:val="16"/>
                              <w:szCs w:val="18"/>
                            </w:rPr>
                            <w:t>Studimet e ciklit të dytë</w:t>
                          </w:r>
                        </w:p>
                        <w:p w:rsidR="00753C65" w:rsidRPr="00E44F07" w:rsidRDefault="00753C65" w:rsidP="002165FD">
                          <w:pPr>
                            <w:spacing w:after="0" w:line="240" w:lineRule="auto"/>
                            <w:jc w:val="center"/>
                            <w:rPr>
                              <w:b/>
                              <w:sz w:val="16"/>
                              <w:szCs w:val="18"/>
                            </w:rPr>
                          </w:pPr>
                          <w:r w:rsidRPr="00AB2837">
                            <w:rPr>
                              <w:sz w:val="16"/>
                              <w:szCs w:val="18"/>
                            </w:rPr>
                            <w:t>Master profesional (60-120 ECTS)</w:t>
                          </w:r>
                        </w:p>
                        <w:p w:rsidR="00753C65" w:rsidRDefault="00753C65" w:rsidP="002165FD">
                          <w:pPr>
                            <w:spacing w:after="0" w:line="240" w:lineRule="auto"/>
                            <w:jc w:val="center"/>
                            <w:rPr>
                              <w:sz w:val="16"/>
                              <w:szCs w:val="18"/>
                            </w:rPr>
                          </w:pPr>
                        </w:p>
                        <w:p w:rsidR="00753C65" w:rsidRPr="00E44F07" w:rsidRDefault="00753C65" w:rsidP="002165FD">
                          <w:pPr>
                            <w:spacing w:after="0" w:line="240" w:lineRule="auto"/>
                            <w:jc w:val="center"/>
                            <w:rPr>
                              <w:sz w:val="16"/>
                              <w:szCs w:val="18"/>
                            </w:rPr>
                          </w:pPr>
                          <w:r>
                            <w:rPr>
                              <w:sz w:val="16"/>
                              <w:szCs w:val="18"/>
                            </w:rPr>
                            <w:t>KNSA7</w:t>
                          </w:r>
                        </w:p>
                        <w:p w:rsidR="00753C65" w:rsidRPr="00E44F07" w:rsidRDefault="00753C65" w:rsidP="002165FD">
                          <w:pPr>
                            <w:spacing w:after="0" w:line="240" w:lineRule="auto"/>
                            <w:jc w:val="center"/>
                            <w:rPr>
                              <w:b/>
                              <w:sz w:val="16"/>
                              <w:szCs w:val="18"/>
                            </w:rPr>
                          </w:pPr>
                        </w:p>
                      </w:txbxContent>
                    </v:textbox>
                  </v:shape>
                  <v:shape id="Text Box 13" o:spid="_x0000_s1039" type="#_x0000_t202" style="position:absolute;left:13335;width:18097;height:876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">
                    <v:path arrowok="t"/>
                    <v:textbox>
                      <w:txbxContent>
                        <w:p w:rsidR="00753C65" w:rsidRDefault="00753C65" w:rsidP="002165FD">
                          <w:pPr>
                            <w:spacing w:after="0" w:line="240" w:lineRule="auto"/>
                            <w:jc w:val="center"/>
                            <w:rPr>
                              <w:b/>
                              <w:sz w:val="16"/>
                              <w:szCs w:val="18"/>
                            </w:rPr>
                          </w:pPr>
                          <w:r>
                            <w:rPr>
                              <w:b/>
                              <w:sz w:val="16"/>
                              <w:szCs w:val="18"/>
                            </w:rPr>
                            <w:t>Studimet e ciklit të tretë</w:t>
                          </w:r>
                        </w:p>
                        <w:p w:rsidR="00753C65" w:rsidRPr="00AB2837" w:rsidRDefault="00753C65" w:rsidP="002165FD">
                          <w:pPr>
                            <w:spacing w:after="0" w:line="240" w:lineRule="auto"/>
                            <w:jc w:val="center"/>
                            <w:rPr>
                              <w:sz w:val="16"/>
                              <w:szCs w:val="18"/>
                            </w:rPr>
                          </w:pPr>
                          <w:r w:rsidRPr="00AB2837">
                            <w:rPr>
                              <w:sz w:val="16"/>
                              <w:szCs w:val="18"/>
                            </w:rPr>
                            <w:t>Master e</w:t>
                          </w:r>
                          <w:r>
                            <w:rPr>
                              <w:sz w:val="16"/>
                              <w:szCs w:val="18"/>
                            </w:rPr>
                            <w:t>kzekutiv (60-120 ECTS) S</w:t>
                          </w:r>
                          <w:r w:rsidRPr="00AB2837">
                            <w:rPr>
                              <w:sz w:val="16"/>
                              <w:szCs w:val="18"/>
                            </w:rPr>
                            <w:t>pecializim</w:t>
                          </w:r>
                          <w:r>
                            <w:rPr>
                              <w:sz w:val="16"/>
                              <w:szCs w:val="18"/>
                            </w:rPr>
                            <w:t>e afatgjata</w:t>
                          </w:r>
                          <w:r w:rsidRPr="00AB2837">
                            <w:rPr>
                              <w:sz w:val="16"/>
                              <w:szCs w:val="18"/>
                            </w:rPr>
                            <w:t xml:space="preserve"> (min. 120 ECTS)</w:t>
                          </w:r>
                        </w:p>
                        <w:p w:rsidR="00753C65" w:rsidRPr="00AB2837" w:rsidRDefault="00753C65" w:rsidP="002165FD">
                          <w:pPr>
                            <w:spacing w:after="0" w:line="240" w:lineRule="auto"/>
                            <w:jc w:val="center"/>
                            <w:rPr>
                              <w:sz w:val="16"/>
                              <w:szCs w:val="18"/>
                            </w:rPr>
                          </w:pPr>
                          <w:r w:rsidRPr="00AB2837">
                            <w:rPr>
                              <w:sz w:val="16"/>
                              <w:szCs w:val="18"/>
                            </w:rPr>
                            <w:t>Studime të doktoratës (3-5 vjet)</w:t>
                          </w:r>
                        </w:p>
                        <w:p w:rsidR="00753C65" w:rsidRDefault="00753C65" w:rsidP="002165FD">
                          <w:pPr>
                            <w:spacing w:after="0" w:line="240" w:lineRule="auto"/>
                            <w:jc w:val="center"/>
                            <w:rPr>
                              <w:sz w:val="16"/>
                              <w:szCs w:val="18"/>
                            </w:rPr>
                          </w:pPr>
                        </w:p>
                        <w:p w:rsidR="00753C65" w:rsidRPr="00E44F07" w:rsidRDefault="00753C65" w:rsidP="002165FD">
                          <w:pPr>
                            <w:spacing w:after="0" w:line="240" w:lineRule="auto"/>
                            <w:jc w:val="center"/>
                            <w:rPr>
                              <w:sz w:val="16"/>
                              <w:szCs w:val="18"/>
                            </w:rPr>
                          </w:pPr>
                          <w:r>
                            <w:rPr>
                              <w:sz w:val="16"/>
                              <w:szCs w:val="18"/>
                            </w:rPr>
                            <w:t>KNSA8</w:t>
                          </w:r>
                        </w:p>
                        <w:p w:rsidR="00753C65" w:rsidRPr="00E44F07" w:rsidRDefault="00753C65" w:rsidP="002165FD">
                          <w:pPr>
                            <w:spacing w:after="0" w:line="240" w:lineRule="auto"/>
                            <w:jc w:val="center"/>
                            <w:rPr>
                              <w:b/>
                              <w:sz w:val="16"/>
                              <w:szCs w:val="18"/>
                            </w:rPr>
                          </w:pPr>
                        </w:p>
                      </w:txbxContent>
                    </v:textbox>
                  </v:shape>
                  <v:shape id="Text Box 14" o:spid="_x0000_s1040" type="#_x0000_t202" style="position:absolute;left:13335;top:11366;width:18097;height:571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">
                    <v:path arrowok="t"/>
                    <v:textbox>
                      <w:txbxContent>
                        <w:p w:rsidR="00753C65" w:rsidRDefault="00753C65" w:rsidP="002165FD">
                          <w:pPr>
                            <w:spacing w:after="0" w:line="240" w:lineRule="auto"/>
                            <w:jc w:val="center"/>
                            <w:rPr>
                              <w:b/>
                              <w:sz w:val="16"/>
                              <w:szCs w:val="18"/>
                            </w:rPr>
                          </w:pPr>
                          <w:r>
                            <w:rPr>
                              <w:b/>
                              <w:sz w:val="16"/>
                              <w:szCs w:val="18"/>
                            </w:rPr>
                            <w:t xml:space="preserve">Studimet e ciklit të dytë </w:t>
                          </w:r>
                        </w:p>
                        <w:p w:rsidR="00753C65" w:rsidRPr="00E44F07" w:rsidRDefault="00753C65" w:rsidP="002165FD">
                          <w:pPr>
                            <w:spacing w:after="0" w:line="240" w:lineRule="auto"/>
                            <w:jc w:val="center"/>
                            <w:rPr>
                              <w:b/>
                              <w:sz w:val="16"/>
                              <w:szCs w:val="18"/>
                            </w:rPr>
                          </w:pPr>
                          <w:r w:rsidRPr="00AB2837">
                            <w:rPr>
                              <w:sz w:val="16"/>
                              <w:szCs w:val="18"/>
                            </w:rPr>
                            <w:t>Master i shkencave/arteve (120 ECTS)</w:t>
                          </w:r>
                        </w:p>
                        <w:p w:rsidR="00753C65" w:rsidRDefault="00753C65" w:rsidP="002165FD">
                          <w:pPr>
                            <w:spacing w:after="0" w:line="240" w:lineRule="auto"/>
                            <w:jc w:val="center"/>
                            <w:rPr>
                              <w:sz w:val="16"/>
                              <w:szCs w:val="18"/>
                            </w:rPr>
                          </w:pPr>
                        </w:p>
                        <w:p w:rsidR="00753C65" w:rsidRPr="00AB2837" w:rsidRDefault="00753C65" w:rsidP="002165FD">
                          <w:pPr>
                            <w:spacing w:after="0" w:line="240" w:lineRule="auto"/>
                            <w:jc w:val="center"/>
                            <w:rPr>
                              <w:sz w:val="16"/>
                              <w:szCs w:val="18"/>
                            </w:rPr>
                          </w:pPr>
                          <w:r>
                            <w:rPr>
                              <w:sz w:val="16"/>
                              <w:szCs w:val="18"/>
                            </w:rPr>
                            <w:t>KNSA7</w:t>
                          </w:r>
                        </w:p>
                      </w:txbxContent>
                    </v:textbox>
                  </v:shape>
                  <v:line id="Straight Connector 47" o:spid="_x0000_s1041" style="position:absolute;flip:y;visibility:visible;mso-wrap-style:square" from="9969,42545" to="9969,44323"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">
                    <o:lock v:ext="edit" shapetype="f"/>
                  </v:line>
                  <v:line id="Straight Connector 48" o:spid="_x0000_s1042" style="position:absolute;flip:y;visibility:visible;mso-wrap-style:square" from="26479,42551" to="26479,44329"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">
                    <o:lock v:ext="edit" shapetype="f"/>
                  </v:line>
                  <v:line id="Straight Connector 49" o:spid="_x0000_s1043" style="position:absolute;visibility:visible;mso-wrap-style:square" from="9969,42545" to="45593,4254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">
                    <o:lock v:ext="edit" shapetype="f"/>
                  </v:line>
                  <v:shape id="Straight Arrow Connector 50" o:spid="_x0000_s1044" type="#_x0000_t32" style="position:absolute;left:22479;top:40640;width:63;height:1911;flip:x y;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">
                    <v:stroke endarrow="block"/>
                    <o:lock v:ext="edit" shapetype="f"/>
                  </v:shape>
                  <v:shape id="Straight Arrow Connector 51" o:spid="_x0000_s1045" type="#_x0000_t32" style="position:absolute;left:22542;top:31115;width:0;height:4959;flip:y;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">
                    <v:stroke endarrow="block"/>
                    <o:lock v:ext="edit" shapetype="f"/>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52" o:spid="_x0000_s1046" type="#_x0000_t34" style="position:absolute;left:30099;top:34671;width:14605;height:3625;flip:y;visibility:visible;mso-wrap-style:square" o:connectortype="elbow"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" adj="21694">
                    <v:stroke endarrow="block"/>
                    <o:lock v:ext="edit" shapetype="f"/>
                  </v:shape>
                  <v:shape id="Elbow Connector 54" o:spid="_x0000_s1047" type="#_x0000_t34" style="position:absolute;left:31813;top:26860;width:12332;height:1651;rotation:180;visibility:visible;mso-wrap-style:square" o:connectortype="elbow"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" adj="-656">
                    <v:stroke endarrow="block"/>
                    <o:lock v:ext="edit" shapetype="f"/>
                  </v:shape>
                  <v:shape id="Elbow Connector 55" o:spid="_x0000_s1048" type="#_x0000_t34" style="position:absolute;left:32131;top:20193;width:12573;height:5016;flip:y;visibility:visible;mso-wrap-style:square" o:connectortype="elbow"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" adj="21709">
                    <v:stroke endarrow="block"/>
                    <o:lock v:ext="edit" shapetype="f"/>
                  </v:shape>
                  <v:shape id="Elbow Connector 58" o:spid="_x0000_s1049" type="#_x0000_t34" style="position:absolute;left:31432;top:12890;width:12332;height:1651;rotation:180;visibility:visible;mso-wrap-style:square" o:connectortype="elbow"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" adj="-656">
                    <v:stroke endarrow="block"/>
                    <o:lock v:ext="edit" shapetype="f"/>
                  </v:shape>
                  <v:shape id="Straight Arrow Connector 59" o:spid="_x0000_s1050" type="#_x0000_t32" style="position:absolute;left:22542;top:17081;width:0;height:7303;flip:y;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">
                    <v:stroke endarrow="block"/>
                    <o:lock v:ext="edit" shapetype="f"/>
                  </v:shape>
                  <v:shape id="Straight Arrow Connector 60" o:spid="_x0000_s1051" type="#_x0000_t32" style="position:absolute;left:22479;top:8826;width:63;height:2604;flip:y;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">
                    <v:stroke endarrow="block"/>
                    <o:lock v:ext="edit" shapetype="f"/>
                  </v:shape>
                  <v:shape id="Text Box 139" o:spid="_x0000_s1052" type="#_x0000_t202" style="position:absolute;left:35306;top:44323;width:17399;height:609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">
                    <v:path arrowok="t"/>
                    <v:textbox>
                      <w:txbxContent>
                        <w:p w:rsidR="00753C65" w:rsidRPr="00E44F07" w:rsidRDefault="00753C65" w:rsidP="002165FD">
                          <w:pPr>
                            <w:spacing w:after="0" w:line="240" w:lineRule="auto"/>
                            <w:jc w:val="center"/>
                            <w:rPr>
                              <w:b/>
                              <w:sz w:val="16"/>
                              <w:szCs w:val="16"/>
                            </w:rPr>
                          </w:pPr>
                          <w:r w:rsidRPr="00E44F07">
                            <w:rPr>
                              <w:b/>
                              <w:sz w:val="16"/>
                              <w:szCs w:val="16"/>
                            </w:rPr>
                            <w:t xml:space="preserve">Arsimi i mesëm i lartë </w:t>
                          </w:r>
                        </w:p>
                        <w:p w:rsidR="00753C65" w:rsidRPr="00AB2837" w:rsidRDefault="00753C65" w:rsidP="002165FD">
                          <w:pPr>
                            <w:spacing w:after="0" w:line="240" w:lineRule="auto"/>
                            <w:jc w:val="center"/>
                            <w:rPr>
                              <w:sz w:val="16"/>
                              <w:szCs w:val="16"/>
                            </w:rPr>
                          </w:pPr>
                          <w:r w:rsidRPr="00AB2837">
                            <w:rPr>
                              <w:sz w:val="16"/>
                              <w:szCs w:val="16"/>
                            </w:rPr>
                            <w:t xml:space="preserve">Arsimi </w:t>
                          </w:r>
                          <w:r>
                            <w:rPr>
                              <w:sz w:val="16"/>
                              <w:szCs w:val="16"/>
                            </w:rPr>
                            <w:t>i mesëm i orientuar</w:t>
                          </w:r>
                          <w:r w:rsidRPr="00AB2837">
                            <w:rPr>
                              <w:sz w:val="16"/>
                              <w:szCs w:val="16"/>
                            </w:rPr>
                            <w:t xml:space="preserve"> (</w:t>
                          </w:r>
                          <w:r>
                            <w:rPr>
                              <w:sz w:val="16"/>
                              <w:szCs w:val="16"/>
                            </w:rPr>
                            <w:t>3</w:t>
                          </w:r>
                          <w:r w:rsidRPr="00AB2837">
                            <w:rPr>
                              <w:sz w:val="16"/>
                              <w:szCs w:val="16"/>
                            </w:rPr>
                            <w:t>-4 vjet)</w:t>
                          </w:r>
                        </w:p>
                        <w:p w:rsidR="00753C65" w:rsidRPr="00E44F07" w:rsidRDefault="00753C65" w:rsidP="002165FD">
                          <w:pPr>
                            <w:spacing w:after="0" w:line="240" w:lineRule="auto"/>
                            <w:jc w:val="center"/>
                            <w:rPr>
                              <w:sz w:val="16"/>
                              <w:szCs w:val="16"/>
                            </w:rPr>
                          </w:pPr>
                          <w:r w:rsidRPr="00E44F07">
                            <w:rPr>
                              <w:sz w:val="16"/>
                              <w:szCs w:val="16"/>
                            </w:rPr>
                            <w:t>Klasat 10-13</w:t>
                          </w:r>
                          <w:r>
                            <w:rPr>
                              <w:sz w:val="16"/>
                              <w:szCs w:val="16"/>
                            </w:rPr>
                            <w:t>, Mosha 15-18</w:t>
                          </w:r>
                        </w:p>
                        <w:p w:rsidR="00753C65" w:rsidRPr="00E44F07" w:rsidRDefault="00753C65" w:rsidP="002165FD">
                          <w:pPr>
                            <w:spacing w:after="0" w:line="240" w:lineRule="auto"/>
                            <w:jc w:val="center"/>
                            <w:rPr>
                              <w:sz w:val="16"/>
                              <w:szCs w:val="16"/>
                            </w:rPr>
                          </w:pPr>
                          <w:r>
                            <w:rPr>
                              <w:sz w:val="16"/>
                              <w:szCs w:val="16"/>
                            </w:rPr>
                            <w:t>KNSA</w:t>
                          </w:r>
                          <w:r w:rsidRPr="00E44F07">
                            <w:rPr>
                              <w:sz w:val="16"/>
                              <w:szCs w:val="16"/>
                            </w:rPr>
                            <w:t xml:space="preserve"> 3</w:t>
                          </w:r>
                        </w:p>
                      </w:txbxContent>
                    </v:textbox>
                  </v:shape>
                  <v:line id="Straight Connector 28" o:spid="_x0000_s1053" style="position:absolute;flip:y;visibility:visible;mso-wrap-style:square" from="45466,42551" to="45466,44329"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">
                    <o:lock v:ext="edit" shapetype="f"/>
                  </v:line>
                  <v:line id="Straight Connector 29" o:spid="_x0000_s1054" style="position:absolute;visibility:visible;mso-wrap-style:square" from="9969,52641" to="45593,52641"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">
                    <o:lock v:ext="edit" shapetype="f"/>
                  </v:line>
                  <v:shape id="AutoShape 144" o:spid="_x0000_s1055" type="#_x0000_t32" style="position:absolute;left:9969;top:50863;width:0;height:1778;flip:y;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">
                    <v:stroke endarrow="block"/>
                    <o:lock v:ext="edit" shapetype="f"/>
                  </v:shape>
                  <v:shape id="AutoShape 144" o:spid="_x0000_s1056" type="#_x0000_t32" style="position:absolute;left:26479;top:50863;width:0;height:1778;flip:y;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">
                    <v:stroke endarrow="block"/>
                    <o:lock v:ext="edit" shapetype="f"/>
                  </v:shape>
                  <v:shape id="AutoShape 144" o:spid="_x0000_s1057" type="#_x0000_t32" style="position:absolute;left:45466;top:50863;width:0;height:1778;flip:y;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">
                    <v:stroke endarrow="block"/>
                    <o:lock v:ext="edit" shapetype="f"/>
                  </v:shape>
                  <v:shape id="Text Box 14" o:spid="_x0000_s1058" type="#_x0000_t202" style="position:absolute;left:-191;top:11366;width:12536;height:1974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">
                    <v:path arrowok="t"/>
                    <v:textbox>
                      <w:txbxContent>
                        <w:p w:rsidR="00753C65" w:rsidRDefault="00753C65" w:rsidP="002165FD">
                          <w:pPr>
                            <w:spacing w:after="0" w:line="240" w:lineRule="auto"/>
                            <w:jc w:val="center"/>
                            <w:rPr>
                              <w:b/>
                              <w:sz w:val="16"/>
                              <w:szCs w:val="18"/>
                            </w:rPr>
                          </w:pPr>
                          <w:r>
                            <w:rPr>
                              <w:b/>
                              <w:sz w:val="16"/>
                              <w:szCs w:val="18"/>
                            </w:rPr>
                            <w:t xml:space="preserve">Studimet e integruara të ciklit të dytë </w:t>
                          </w:r>
                        </w:p>
                        <w:p w:rsidR="00753C65" w:rsidRDefault="00753C65" w:rsidP="002165FD">
                          <w:pPr>
                            <w:spacing w:after="0" w:line="240" w:lineRule="auto"/>
                            <w:jc w:val="center"/>
                            <w:rPr>
                              <w:sz w:val="16"/>
                              <w:szCs w:val="18"/>
                            </w:rPr>
                          </w:pPr>
                          <w:r w:rsidRPr="00AB2837">
                            <w:rPr>
                              <w:sz w:val="16"/>
                              <w:szCs w:val="18"/>
                            </w:rPr>
                            <w:t xml:space="preserve">Master i shkencave </w:t>
                          </w:r>
                        </w:p>
                        <w:p w:rsidR="00753C65" w:rsidRPr="00E44F07" w:rsidRDefault="00753C65" w:rsidP="002165FD">
                          <w:pPr>
                            <w:spacing w:after="0" w:line="240" w:lineRule="auto"/>
                            <w:jc w:val="center"/>
                            <w:rPr>
                              <w:b/>
                              <w:sz w:val="16"/>
                              <w:szCs w:val="18"/>
                            </w:rPr>
                          </w:pPr>
                          <w:r w:rsidRPr="00146F0E">
                            <w:rPr>
                              <w:sz w:val="16"/>
                              <w:szCs w:val="18"/>
                            </w:rPr>
                            <w:t>(300-360 ECTS)</w:t>
                          </w:r>
                        </w:p>
                        <w:p w:rsidR="00753C65" w:rsidRDefault="00753C65" w:rsidP="002165FD">
                          <w:pPr>
                            <w:spacing w:after="0" w:line="240" w:lineRule="auto"/>
                            <w:jc w:val="center"/>
                            <w:rPr>
                              <w:sz w:val="16"/>
                              <w:szCs w:val="18"/>
                            </w:rPr>
                          </w:pPr>
                        </w:p>
                        <w:p w:rsidR="00753C65" w:rsidRPr="00AB2837" w:rsidRDefault="00753C65" w:rsidP="002165FD">
                          <w:pPr>
                            <w:spacing w:after="0" w:line="240" w:lineRule="auto"/>
                            <w:jc w:val="center"/>
                            <w:rPr>
                              <w:sz w:val="16"/>
                              <w:szCs w:val="18"/>
                            </w:rPr>
                          </w:pPr>
                          <w:r>
                            <w:rPr>
                              <w:sz w:val="16"/>
                              <w:szCs w:val="18"/>
                            </w:rPr>
                            <w:t>KNSA7</w:t>
                          </w:r>
                        </w:p>
                      </w:txbxContent>
                    </v:textbox>
                  </v:shape>
                </v:group>
                <v:shape id="Elbow Connector 52" o:spid="_x0000_s1059" type="#_x0000_t34" style="position:absolute;left:6096;top:31051;width:9284;height:7130;rotation:180;visibility:visible;mso-wrap-style:square" o:connectortype="elbow"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" adj="21690">
                  <v:stroke endarrow="block"/>
                  <o:lock v:ext="edit" shapetype="f"/>
                </v:shape>
                <v:shape id="Elbow Connector 52" o:spid="_x0000_s1060" type="#_x0000_t34" style="position:absolute;left:5619;top:10287;width:17171;height:1115;flip:y;visibility:visible;mso-wrap-style:square" o:connectortype="elbow"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" adj="125">
                  <v:stroke endarrow="block"/>
                  <o:lock v:ext="edit" shapetype="f"/>
                </v:shape>
              </v:group>
            </w:pict>
          </mc:Fallback>
        </mc:AlternateContent>
      </w:r>
      <w:r w:rsidR="002165FD" w:rsidRPr="00E97254">
        <w:rPr>
          <w:rFonts w:cs="Calibri"/>
        </w:rPr>
        <w:br w:type="page"/>
      </w:r>
      <w:bookmarkEnd w:id="31"/>
      <w:r w:rsidR="00D07643" w:rsidRPr="00E97254">
        <w:rPr>
          <w:rFonts w:ascii="Calibri" w:hAnsi="Calibri" w:cs="Calibri"/>
        </w:rPr>
        <w:lastRenderedPageBreak/>
        <w:t xml:space="preserve">Arsimi fillor dhe i mesëm i ulët përbëjnë arsimin bazë i cili zgjat 9 vjet dhe është i detyrueshëm. Shqipëria ka një rrjet mjaft të zhvilluar </w:t>
      </w:r>
      <w:r w:rsidR="00F6483B">
        <w:rPr>
          <w:rFonts w:ascii="Calibri" w:hAnsi="Calibri" w:cs="Calibri"/>
        </w:rPr>
        <w:t>me</w:t>
      </w:r>
      <w:r w:rsidR="00F6483B" w:rsidRPr="00E97254">
        <w:rPr>
          <w:rFonts w:ascii="Calibri" w:hAnsi="Calibri" w:cs="Calibri"/>
        </w:rPr>
        <w:t xml:space="preserve"> </w:t>
      </w:r>
      <w:r w:rsidR="00D07643" w:rsidRPr="00E97254">
        <w:rPr>
          <w:rFonts w:ascii="Calibri" w:hAnsi="Calibri" w:cs="Calibri"/>
        </w:rPr>
        <w:t xml:space="preserve">1,269 shkolla të arsimit bazë </w:t>
      </w:r>
      <w:sdt>
        <w:sdtPr>
          <w:rPr>
            <w:rFonts w:ascii="Calibri" w:hAnsi="Calibri" w:cs="Calibri"/>
          </w:rPr>
          <w:id w:val="-920021908"/>
          <w:citation/>
        </w:sdtPr>
        <w:sdtEndPr/>
        <w:sdtContent>
          <w:r w:rsidR="00EC56B7" w:rsidRPr="00E97254">
            <w:rPr>
              <w:rFonts w:ascii="Calibri" w:hAnsi="Calibri" w:cs="Calibri"/>
            </w:rPr>
            <w:fldChar w:fldCharType="begin"/>
          </w:r>
          <w:r w:rsidR="004E1F53">
            <w:rPr>
              <w:rFonts w:ascii="Calibri" w:hAnsi="Calibri" w:cs="Calibri"/>
            </w:rPr>
            <w:instrText xml:space="preserve"> CITATION INS192 \l 1033 </w:instrText>
          </w:r>
          <w:r w:rsidR="00EC56B7" w:rsidRPr="00E97254">
            <w:rPr>
              <w:rFonts w:ascii="Calibri" w:hAnsi="Calibri" w:cs="Calibri"/>
            </w:rPr>
            <w:fldChar w:fldCharType="separate"/>
          </w:r>
          <w:r w:rsidR="00724BCC" w:rsidRPr="00E97254">
            <w:rPr>
              <w:rFonts w:ascii="Calibri" w:hAnsi="Calibri" w:cs="Calibri"/>
            </w:rPr>
            <w:t>[33]</w:t>
          </w:r>
          <w:r w:rsidR="00EC56B7" w:rsidRPr="00E97254">
            <w:rPr>
              <w:rFonts w:ascii="Calibri" w:hAnsi="Calibri" w:cs="Calibri"/>
            </w:rPr>
            <w:fldChar w:fldCharType="end"/>
          </w:r>
        </w:sdtContent>
      </w:sdt>
      <w:r w:rsidR="00D07643" w:rsidRPr="00E97254">
        <w:rPr>
          <w:rFonts w:ascii="Calibri" w:hAnsi="Calibri" w:cs="Calibri"/>
        </w:rPr>
        <w:t xml:space="preserve"> i cili shtrihet në gjithë territorin e vendit, ndërsa nxënësit janë të ndarë në klasa sipas grupmoshave. Ndërkaq, në zonat ku numri i nxënësve është shumë i vogël, mësimi organizohet në klasa </w:t>
      </w:r>
      <w:r w:rsidR="00D07643" w:rsidRPr="00E97254">
        <w:t xml:space="preserve">të bashkuara </w:t>
      </w:r>
      <w:r w:rsidR="00D07643" w:rsidRPr="00E97254">
        <w:rPr>
          <w:rFonts w:ascii="Calibri" w:hAnsi="Calibri" w:cs="Calibri"/>
        </w:rPr>
        <w:t xml:space="preserve">kolektive, ku mësojnë bashkë nxënësit e </w:t>
      </w:r>
      <w:r w:rsidR="00D07643" w:rsidRPr="00E97254">
        <w:t xml:space="preserve">klasave </w:t>
      </w:r>
      <w:r w:rsidR="00F6483B">
        <w:t xml:space="preserve">e </w:t>
      </w:r>
      <w:r w:rsidR="00D07643" w:rsidRPr="00E97254">
        <w:rPr>
          <w:rFonts w:ascii="Calibri" w:hAnsi="Calibri" w:cs="Calibri"/>
        </w:rPr>
        <w:t xml:space="preserve">grupmoshave të ndryshme. </w:t>
      </w:r>
    </w:p>
    <w:p w:rsidR="003426DA" w:rsidRPr="00E97254" w:rsidRDefault="003426DA" w:rsidP="000C0250">
      <w:pPr>
        <w:spacing w:after="0"/>
        <w:jc w:val="both"/>
        <w:rPr>
          <w:rFonts w:ascii="Calibri" w:hAnsi="Calibri" w:cs="Calibri"/>
        </w:rPr>
      </w:pPr>
    </w:p>
    <w:p w:rsidR="00D07643" w:rsidRPr="00E97254" w:rsidRDefault="004E1F53" w:rsidP="000C0250">
      <w:pPr>
        <w:spacing w:after="0"/>
        <w:jc w:val="both"/>
        <w:rPr>
          <w:rFonts w:ascii="Calibri" w:hAnsi="Calibri" w:cs="Calibri"/>
        </w:rPr>
      </w:pPr>
      <w:r>
        <w:rPr>
          <w:rFonts w:ascii="Calibri" w:hAnsi="Calibri" w:cs="Calibri"/>
        </w:rPr>
        <w:t xml:space="preserve">Arsimi i mesëm i lartë nuk është i detyruar, por megjithatë karakterizohet </w:t>
      </w:r>
      <w:r w:rsidR="00F6483B">
        <w:rPr>
          <w:rFonts w:ascii="Calibri" w:hAnsi="Calibri" w:cs="Calibri"/>
        </w:rPr>
        <w:t>nga</w:t>
      </w:r>
      <w:r w:rsidR="00F6483B" w:rsidRPr="00E97254">
        <w:rPr>
          <w:rFonts w:ascii="Calibri" w:hAnsi="Calibri" w:cs="Calibri"/>
        </w:rPr>
        <w:t xml:space="preserve"> </w:t>
      </w:r>
      <w:r w:rsidR="00D07643" w:rsidRPr="00E97254">
        <w:rPr>
          <w:rFonts w:ascii="Calibri" w:hAnsi="Calibri" w:cs="Calibri"/>
        </w:rPr>
        <w:t>një tërheqje mjaft të madhe të nxënë</w:t>
      </w:r>
      <w:r>
        <w:rPr>
          <w:rFonts w:ascii="Calibri" w:hAnsi="Calibri" w:cs="Calibri"/>
        </w:rPr>
        <w:t xml:space="preserve">sve nga arsimi bazë (rreth 95% ). Llojet e arsimit të mesëm të lartë janë: gjimnazi, arsimi i mesëm profesional dhe arsimi i mesëm i orientuar. Gjimnazi përbëhet nga tri klasa, ndërsa nxënësve, që kanë mbushur moshën njëzet e një vjeç dhe nuk e kanë përfunduar gjimnazin, u mundësohet ndjekja e gjimnazit me kohë të pjesshme ose në distancë. Arsimi i mesëm profesional është me kohëzgjatje dy deri katërvjeçare dhe është i strukturuar në tri nivele kualifikimi, në përputhje me nivelet e Kornizës Shqiptare të Kualifikimeve. Shkolla të arsimit të orientuar janë shkollat artistike, shkollat sportive, shkollat për gjuhët e huaja dhe shkolla për fusha të tjera të të nxënit. </w:t>
      </w:r>
    </w:p>
    <w:p w:rsidR="003426DA" w:rsidRPr="00E97254" w:rsidRDefault="003426DA" w:rsidP="000C0250">
      <w:pPr>
        <w:spacing w:after="0"/>
        <w:jc w:val="both"/>
        <w:rPr>
          <w:rFonts w:ascii="Calibri" w:hAnsi="Calibri" w:cs="Calibri"/>
        </w:rPr>
      </w:pPr>
    </w:p>
    <w:p w:rsidR="00226431" w:rsidRPr="00E97254" w:rsidRDefault="004E1F53" w:rsidP="000C0250">
      <w:pPr>
        <w:spacing w:after="0"/>
        <w:jc w:val="both"/>
        <w:rPr>
          <w:rFonts w:ascii="Calibri" w:hAnsi="Calibri" w:cs="Calibri"/>
        </w:rPr>
      </w:pPr>
      <w:r>
        <w:rPr>
          <w:rFonts w:ascii="Calibri" w:hAnsi="Calibri" w:cs="Calibri"/>
        </w:rPr>
        <w:t xml:space="preserve">Procesi mësimor në arsimin parauniversitar zhvillohet në gjuhën shqipe, ndërsa në zonat ku jetojnë pakica kombëtare greke dhe maqedonase edhe në gjuhët e tyre. Institucionet e arsimit të lartë në Shqipëri ofrojnë programe të studimeve, të organizuara në module dhe të vlerësuara në kredite, në përputhje me Sistemin </w:t>
      </w:r>
      <w:r>
        <w:rPr>
          <w:rFonts w:cs="Calibri"/>
        </w:rPr>
        <w:t>Evropian</w:t>
      </w:r>
      <w:r>
        <w:rPr>
          <w:rFonts w:ascii="Calibri" w:hAnsi="Calibri" w:cs="Calibri"/>
        </w:rPr>
        <w:t xml:space="preserve"> të Transferimit të Krediteve (ECTS). Sasia normale e krediteve të grumbulluara gjatë një viti akademik nga një student është 60 kredite. Bazuar në ligjin nr. 80/2015, “Për arsimin e lartë dhe kërkimin shkencor në institucionet e arsimit të lartë në Republikën e Shqipërisë”, programet e studimeve në institucionet e arsimit të lartë organizohen në tri cikle të njëpasnjëshme: cikli i parë, cikli i dytë dhe cikli i tretë, referuar niveleve 6-8 të Kornizës Shqiptare të Kualifikimeve. Institucionet e arsimit të lartë ofrojnë dhe </w:t>
      </w:r>
      <w:r>
        <w:t>programe studimi me karakter profesional</w:t>
      </w:r>
      <w:r>
        <w:rPr>
          <w:rFonts w:ascii="Calibri" w:hAnsi="Calibri" w:cs="Calibri"/>
        </w:rPr>
        <w:t xml:space="preserve">, referuar nivelit 5 të Kornizës Shqiptare të Kualifikimeve. Programet e studimit me karakter profesional ofrohen pas përfundimit të arsimit të mesëm të lartë dhe kohëzgjatja normale e tyre është 1 ose 2 vite akademike (60-120 ECTS). Në përfundim të programit të studimit lëshohet respektivisht “certifikatë profesionale” ose “diplomë profesionale” në fushën e arsimimit të kryer. Kreditet e grumbulluara gjatë studimeve profesionale të larta mund të transferohen në programet e ciklit të parë, </w:t>
      </w:r>
      <w:r>
        <w:rPr>
          <w:rFonts w:eastAsia="Times New Roman"/>
        </w:rPr>
        <w:t>sipas kritereve të përcaktuara nga institucionet e arsimit të lartë</w:t>
      </w:r>
      <w:r>
        <w:rPr>
          <w:rFonts w:ascii="Calibri" w:hAnsi="Calibri" w:cs="Calibri"/>
        </w:rPr>
        <w:t>. Studimet e ciklit të parë i referohen nivelit 6 të KSHK</w:t>
      </w:r>
      <w:r w:rsidR="00ED630F">
        <w:rPr>
          <w:rFonts w:ascii="Calibri" w:hAnsi="Calibri" w:cs="Calibri"/>
        </w:rPr>
        <w:t>-s</w:t>
      </w:r>
      <w:r w:rsidR="00ED630F" w:rsidRPr="00E97254">
        <w:rPr>
          <w:rFonts w:ascii="Calibri" w:hAnsi="Calibri" w:cs="Calibri"/>
        </w:rPr>
        <w:t>ë</w:t>
      </w:r>
      <w:r w:rsidR="00226431" w:rsidRPr="00E97254">
        <w:rPr>
          <w:rFonts w:ascii="Calibri" w:hAnsi="Calibri" w:cs="Calibri"/>
        </w:rPr>
        <w:t xml:space="preserve"> dhe kohëzgjatja </w:t>
      </w:r>
      <w:r w:rsidR="00530770" w:rsidRPr="00E97254">
        <w:rPr>
          <w:rFonts w:ascii="Calibri" w:hAnsi="Calibri" w:cs="Calibri"/>
        </w:rPr>
        <w:t xml:space="preserve">normale e </w:t>
      </w:r>
      <w:r>
        <w:rPr>
          <w:rFonts w:ascii="Calibri" w:hAnsi="Calibri" w:cs="Calibri"/>
        </w:rPr>
        <w:t xml:space="preserve">tyre është 3 vite akademike. Me përfundimin e studimeve lëshohet diploma “Bachelor” në fushën e arsimimit të kryer. </w:t>
      </w:r>
    </w:p>
    <w:p w:rsidR="003426DA" w:rsidRPr="00E97254" w:rsidRDefault="003426DA" w:rsidP="000C0250">
      <w:pPr>
        <w:spacing w:after="0"/>
        <w:jc w:val="both"/>
        <w:rPr>
          <w:rFonts w:ascii="Calibri" w:hAnsi="Calibri" w:cs="Calibri"/>
        </w:rPr>
      </w:pPr>
    </w:p>
    <w:p w:rsidR="000D64C9" w:rsidRPr="00E97254" w:rsidRDefault="004E1F53" w:rsidP="000C0250">
      <w:pPr>
        <w:spacing w:after="0"/>
        <w:jc w:val="both"/>
        <w:rPr>
          <w:rFonts w:ascii="Calibri" w:hAnsi="Calibri" w:cs="Calibri"/>
        </w:rPr>
      </w:pPr>
      <w:r>
        <w:rPr>
          <w:rFonts w:ascii="Calibri" w:hAnsi="Calibri" w:cs="Calibri"/>
        </w:rPr>
        <w:t xml:space="preserve">Të diplomuarit e ciklit të parë mund të regjistrohen në programe të ciklit të dytë </w:t>
      </w:r>
      <w:r>
        <w:rPr>
          <w:rFonts w:cs="Calibri"/>
        </w:rPr>
        <w:t>q</w:t>
      </w:r>
      <w:r>
        <w:rPr>
          <w:rFonts w:cs="Calibri"/>
          <w:color w:val="222222"/>
        </w:rPr>
        <w:t>ë</w:t>
      </w:r>
      <w:r>
        <w:rPr>
          <w:rFonts w:ascii="Calibri" w:hAnsi="Calibri" w:cs="Calibri"/>
        </w:rPr>
        <w:t xml:space="preserve"> i referohen nivelit 7 të KSHK</w:t>
      </w:r>
      <w:r w:rsidR="00ED630F">
        <w:rPr>
          <w:rFonts w:ascii="Calibri" w:hAnsi="Calibri" w:cs="Calibri"/>
        </w:rPr>
        <w:t>-s</w:t>
      </w:r>
      <w:r w:rsidR="00ED630F" w:rsidRPr="00E97254">
        <w:rPr>
          <w:rFonts w:ascii="Calibri" w:hAnsi="Calibri" w:cs="Calibri"/>
        </w:rPr>
        <w:t>ë</w:t>
      </w:r>
      <w:r w:rsidR="000D64C9" w:rsidRPr="00E97254">
        <w:rPr>
          <w:rFonts w:ascii="Calibri" w:hAnsi="Calibri" w:cs="Calibri"/>
        </w:rPr>
        <w:t xml:space="preserve">. Ligji </w:t>
      </w:r>
      <w:r w:rsidR="005E5D0B" w:rsidRPr="00E97254">
        <w:rPr>
          <w:rFonts w:ascii="Calibri" w:hAnsi="Calibri" w:cs="Calibri"/>
        </w:rPr>
        <w:t xml:space="preserve">parashikon </w:t>
      </w:r>
      <w:r w:rsidR="000D64C9" w:rsidRPr="00E97254">
        <w:rPr>
          <w:rFonts w:ascii="Calibri" w:hAnsi="Calibri" w:cs="Calibri"/>
        </w:rPr>
        <w:t xml:space="preserve">tri </w:t>
      </w:r>
      <w:r w:rsidR="00F255B8" w:rsidRPr="00E97254">
        <w:rPr>
          <w:rFonts w:ascii="Calibri" w:hAnsi="Calibri" w:cs="Calibri"/>
        </w:rPr>
        <w:t xml:space="preserve">lloje </w:t>
      </w:r>
      <w:r w:rsidR="000D64C9" w:rsidRPr="00E97254">
        <w:rPr>
          <w:rFonts w:ascii="Calibri" w:hAnsi="Calibri" w:cs="Calibri"/>
        </w:rPr>
        <w:t xml:space="preserve">të programeve të studimit të ciklit të dytë: master profesional, master i shkencave dhe master i arteve. Programet “master profesional” </w:t>
      </w:r>
      <w:r w:rsidR="00ED630F">
        <w:rPr>
          <w:rFonts w:ascii="Calibri" w:hAnsi="Calibri" w:cs="Calibri"/>
        </w:rPr>
        <w:t xml:space="preserve">i </w:t>
      </w:r>
      <w:r w:rsidR="000D64C9" w:rsidRPr="00E97254">
        <w:rPr>
          <w:rFonts w:ascii="Calibri" w:hAnsi="Calibri" w:cs="Calibri"/>
        </w:rPr>
        <w:t>pajisin të diplomuarit me njohuri të thelluara, profesionale në një fushë të caktuar dhe organizohen me 60-120 ECTS</w:t>
      </w:r>
      <w:r>
        <w:rPr>
          <w:rFonts w:ascii="Calibri" w:hAnsi="Calibri" w:cs="Calibri"/>
        </w:rPr>
        <w:t xml:space="preserve"> dhe </w:t>
      </w:r>
      <w:r>
        <w:t>kohëzgjatja normale e tyre është një vit ose dy vite akademike</w:t>
      </w:r>
      <w:r w:rsidR="00ED630F">
        <w:t xml:space="preserve">. </w:t>
      </w:r>
      <w:r w:rsidR="004704B9" w:rsidRPr="00E97254">
        <w:rPr>
          <w:rFonts w:ascii="Calibri" w:hAnsi="Calibri" w:cs="Calibri"/>
        </w:rPr>
        <w:t xml:space="preserve">Ndërkaq, programet </w:t>
      </w:r>
      <w:r w:rsidR="000D64C9" w:rsidRPr="00E97254">
        <w:rPr>
          <w:rFonts w:ascii="Calibri" w:hAnsi="Calibri" w:cs="Calibri"/>
        </w:rPr>
        <w:t xml:space="preserve">“master i shkencave“ </w:t>
      </w:r>
      <w:r w:rsidR="00ED630F">
        <w:rPr>
          <w:rFonts w:ascii="Calibri" w:hAnsi="Calibri" w:cs="Calibri"/>
        </w:rPr>
        <w:t xml:space="preserve">i </w:t>
      </w:r>
      <w:r w:rsidR="004704B9" w:rsidRPr="00E97254">
        <w:rPr>
          <w:rFonts w:ascii="Calibri" w:hAnsi="Calibri" w:cs="Calibri"/>
        </w:rPr>
        <w:t>pajisin të diplomuarit me njohuri të thelluara teorike si dhe me aftësim për kërkim shkencor në</w:t>
      </w:r>
      <w:r w:rsidR="004C31C1" w:rsidRPr="00E97254">
        <w:rPr>
          <w:rFonts w:ascii="Calibri" w:hAnsi="Calibri" w:cs="Calibri"/>
        </w:rPr>
        <w:t xml:space="preserve"> një</w:t>
      </w:r>
      <w:r w:rsidR="004704B9" w:rsidRPr="00E97254">
        <w:rPr>
          <w:rFonts w:ascii="Calibri" w:hAnsi="Calibri" w:cs="Calibri"/>
        </w:rPr>
        <w:t xml:space="preserve"> fushë </w:t>
      </w:r>
      <w:r w:rsidR="004C31C1" w:rsidRPr="00E97254">
        <w:rPr>
          <w:rFonts w:ascii="Calibri" w:hAnsi="Calibri" w:cs="Calibri"/>
        </w:rPr>
        <w:t xml:space="preserve"> të</w:t>
      </w:r>
      <w:r w:rsidR="004704B9" w:rsidRPr="00E97254">
        <w:rPr>
          <w:rFonts w:ascii="Calibri" w:hAnsi="Calibri" w:cs="Calibri"/>
        </w:rPr>
        <w:t xml:space="preserve"> caktuar. Kohëzgjatja </w:t>
      </w:r>
      <w:r w:rsidR="005E5D0B" w:rsidRPr="00E97254">
        <w:rPr>
          <w:rFonts w:ascii="Calibri" w:hAnsi="Calibri" w:cs="Calibri"/>
        </w:rPr>
        <w:t xml:space="preserve">normale </w:t>
      </w:r>
      <w:r w:rsidR="004704B9" w:rsidRPr="00E97254">
        <w:rPr>
          <w:rFonts w:ascii="Calibri" w:hAnsi="Calibri" w:cs="Calibri"/>
        </w:rPr>
        <w:t xml:space="preserve">e këtyre programeve është </w:t>
      </w:r>
      <w:r>
        <w:rPr>
          <w:rFonts w:ascii="Calibri" w:hAnsi="Calibri" w:cs="Calibri"/>
        </w:rPr>
        <w:t>2 vite akademike (120 ECTS)</w:t>
      </w:r>
      <w:r w:rsidR="00ED630F">
        <w:rPr>
          <w:rFonts w:ascii="Calibri" w:hAnsi="Calibri" w:cs="Calibri"/>
        </w:rPr>
        <w:t>.</w:t>
      </w:r>
      <w:r w:rsidR="00ED630F" w:rsidRPr="00E97254">
        <w:rPr>
          <w:rFonts w:ascii="Calibri" w:hAnsi="Calibri" w:cs="Calibri"/>
        </w:rPr>
        <w:t xml:space="preserve"> </w:t>
      </w:r>
      <w:r w:rsidR="001B7249" w:rsidRPr="00E97254">
        <w:t xml:space="preserve">Institucionet e arsimit të lartë mund të njohin kredite të përfituara në programet e studimit të ciklit të dytë “Master profesional”, me qëllim transferimin e tyre në programet e studimit “Master i shkencave”. </w:t>
      </w:r>
      <w:r w:rsidR="004704B9" w:rsidRPr="00E97254">
        <w:rPr>
          <w:rFonts w:ascii="Calibri" w:hAnsi="Calibri" w:cs="Calibri"/>
        </w:rPr>
        <w:t>Programet</w:t>
      </w:r>
      <w:r w:rsidR="000D64C9" w:rsidRPr="00E97254">
        <w:rPr>
          <w:rFonts w:ascii="Calibri" w:hAnsi="Calibri" w:cs="Calibri"/>
        </w:rPr>
        <w:t xml:space="preserve"> “</w:t>
      </w:r>
      <w:r w:rsidR="003C428C" w:rsidRPr="00E97254">
        <w:rPr>
          <w:rFonts w:ascii="Calibri" w:hAnsi="Calibri" w:cs="Calibri"/>
        </w:rPr>
        <w:t xml:space="preserve">Master </w:t>
      </w:r>
      <w:r w:rsidR="000D64C9" w:rsidRPr="00E97254">
        <w:rPr>
          <w:rFonts w:ascii="Calibri" w:hAnsi="Calibri" w:cs="Calibri"/>
        </w:rPr>
        <w:t>i arteve”</w:t>
      </w:r>
      <w:r w:rsidR="00ED630F">
        <w:rPr>
          <w:rFonts w:ascii="Calibri" w:hAnsi="Calibri" w:cs="Calibri"/>
        </w:rPr>
        <w:t xml:space="preserve"> </w:t>
      </w:r>
      <w:r w:rsidR="00ED630F">
        <w:rPr>
          <w:rFonts w:ascii="Calibri" w:hAnsi="Calibri" w:cs="Calibri"/>
        </w:rPr>
        <w:lastRenderedPageBreak/>
        <w:t>i</w:t>
      </w:r>
      <w:r w:rsidR="000D64C9" w:rsidRPr="00E97254">
        <w:rPr>
          <w:rFonts w:ascii="Calibri" w:hAnsi="Calibri" w:cs="Calibri"/>
        </w:rPr>
        <w:t xml:space="preserve"> pajisin studentët me </w:t>
      </w:r>
      <w:r w:rsidR="004704B9" w:rsidRPr="00E97254">
        <w:rPr>
          <w:rFonts w:ascii="Calibri" w:hAnsi="Calibri" w:cs="Calibri"/>
        </w:rPr>
        <w:t>n</w:t>
      </w:r>
      <w:r w:rsidR="000D64C9" w:rsidRPr="00E97254">
        <w:rPr>
          <w:rFonts w:ascii="Calibri" w:hAnsi="Calibri" w:cs="Calibri"/>
        </w:rPr>
        <w:t>johuri të thell</w:t>
      </w:r>
      <w:r w:rsidR="004704B9" w:rsidRPr="00E97254">
        <w:rPr>
          <w:rFonts w:ascii="Calibri" w:hAnsi="Calibri" w:cs="Calibri"/>
        </w:rPr>
        <w:t>uara teorike dhe praktike në fushën e arteve dhe ofrohen nga institucione të arsimit të lartë që specializojnë në këtë fushë me kohëzgjatje</w:t>
      </w:r>
      <w:r w:rsidR="0063120C" w:rsidRPr="00E97254">
        <w:rPr>
          <w:rFonts w:ascii="Calibri" w:hAnsi="Calibri" w:cs="Calibri"/>
        </w:rPr>
        <w:t xml:space="preserve"> normale</w:t>
      </w:r>
      <w:r w:rsidR="004704B9" w:rsidRPr="00E97254">
        <w:rPr>
          <w:rFonts w:ascii="Calibri" w:hAnsi="Calibri" w:cs="Calibri"/>
        </w:rPr>
        <w:t xml:space="preserve"> 2 vite akademike</w:t>
      </w:r>
      <w:r w:rsidR="0063120C" w:rsidRPr="00E97254">
        <w:rPr>
          <w:rFonts w:ascii="Calibri" w:hAnsi="Calibri" w:cs="Calibri"/>
        </w:rPr>
        <w:t xml:space="preserve"> (120 ECTS)</w:t>
      </w:r>
      <w:r w:rsidR="004704B9" w:rsidRPr="00E97254">
        <w:rPr>
          <w:rFonts w:ascii="Calibri" w:hAnsi="Calibri" w:cs="Calibri"/>
        </w:rPr>
        <w:t>.</w:t>
      </w:r>
    </w:p>
    <w:p w:rsidR="003426DA" w:rsidRPr="00E97254" w:rsidRDefault="003426DA" w:rsidP="000C0250">
      <w:pPr>
        <w:spacing w:after="0"/>
        <w:jc w:val="both"/>
      </w:pPr>
    </w:p>
    <w:p w:rsidR="00657A1D" w:rsidRPr="00E97254" w:rsidRDefault="004E1F53" w:rsidP="000C0250">
      <w:pPr>
        <w:spacing w:after="0"/>
        <w:jc w:val="both"/>
      </w:pPr>
      <w:r>
        <w:t>Programet e integruara të studimeve të ciklit të dytë realizohen me 300 dhe 360 kredite dhe me kohëzgjatje normale</w:t>
      </w:r>
      <w:r w:rsidR="00ED630F">
        <w:t>,</w:t>
      </w:r>
      <w:r w:rsidR="00657A1D" w:rsidRPr="00E97254">
        <w:t xml:space="preserve"> respektivisht</w:t>
      </w:r>
      <w:r w:rsidR="00ED630F">
        <w:t>,</w:t>
      </w:r>
      <w:r w:rsidR="00657A1D" w:rsidRPr="00E97254">
        <w:t xml:space="preserve"> pesë dhe gjashtë vite akademike. Programet e integruara të studimeve të ciklit të dytë ofrohen në fushat e drejtësisë, mjekësisë, stomatologjisë, farmacisë, veterinarisë e arkitekturës, n</w:t>
      </w:r>
      <w:r w:rsidR="00A15EC6" w:rsidRPr="00E97254">
        <w:t>ë zbatim të germës b, të pikës 3, të nenit 75, të</w:t>
      </w:r>
      <w:r w:rsidR="00657A1D" w:rsidRPr="00E97254">
        <w:t xml:space="preserve"> ligjit </w:t>
      </w:r>
      <w:r w:rsidR="005058AC" w:rsidRPr="00E97254">
        <w:t xml:space="preserve">nr. </w:t>
      </w:r>
      <w:r w:rsidR="00657A1D" w:rsidRPr="00E97254">
        <w:t>80/2015</w:t>
      </w:r>
      <w:r w:rsidR="004C31C1" w:rsidRPr="00E97254">
        <w:t xml:space="preserve"> për arsimin e lart</w:t>
      </w:r>
      <w:r w:rsidR="00AB39A4" w:rsidRPr="00E97254">
        <w:t>ë</w:t>
      </w:r>
      <w:r>
        <w:t xml:space="preserve"> dhe kërkimin shkencor në institucionet e arsimit të lartë në RSH.</w:t>
      </w:r>
    </w:p>
    <w:p w:rsidR="003426DA" w:rsidRPr="00E97254" w:rsidRDefault="003426DA" w:rsidP="000C0250">
      <w:pPr>
        <w:spacing w:after="0"/>
        <w:jc w:val="both"/>
        <w:rPr>
          <w:rFonts w:ascii="Calibri" w:hAnsi="Calibri" w:cs="Calibri"/>
        </w:rPr>
      </w:pPr>
    </w:p>
    <w:p w:rsidR="004704B9" w:rsidRPr="00E97254" w:rsidRDefault="004E1F53" w:rsidP="000C0250">
      <w:pPr>
        <w:spacing w:after="0"/>
        <w:jc w:val="both"/>
        <w:rPr>
          <w:rFonts w:ascii="Calibri" w:hAnsi="Calibri" w:cs="Calibri"/>
        </w:rPr>
      </w:pPr>
      <w:r>
        <w:rPr>
          <w:rFonts w:ascii="Calibri" w:hAnsi="Calibri" w:cs="Calibri"/>
        </w:rPr>
        <w:t>Cikli i tretë i studimeve përfshin programet e studimeve “Master ekzekutiv”, programet e studimeve specializuese afatgjata, si dhe studimet e doktoratës, referuar nivelit 8 të KSHK</w:t>
      </w:r>
      <w:r w:rsidR="00ED630F">
        <w:rPr>
          <w:rFonts w:ascii="Calibri" w:hAnsi="Calibri" w:cs="Calibri"/>
        </w:rPr>
        <w:t>-s</w:t>
      </w:r>
      <w:r w:rsidR="00ED630F" w:rsidRPr="00E97254">
        <w:rPr>
          <w:rFonts w:ascii="Calibri" w:hAnsi="Calibri" w:cs="Calibri"/>
        </w:rPr>
        <w:t>ë</w:t>
      </w:r>
      <w:r w:rsidR="004704B9" w:rsidRPr="00E97254">
        <w:rPr>
          <w:rFonts w:ascii="Calibri" w:hAnsi="Calibri" w:cs="Calibri"/>
        </w:rPr>
        <w:t>. Programet e studimeve “</w:t>
      </w:r>
      <w:r w:rsidR="003C428C" w:rsidRPr="00E97254">
        <w:rPr>
          <w:rFonts w:ascii="Calibri" w:hAnsi="Calibri" w:cs="Calibri"/>
        </w:rPr>
        <w:t xml:space="preserve">Master </w:t>
      </w:r>
      <w:r w:rsidR="004704B9" w:rsidRPr="00E97254">
        <w:rPr>
          <w:rFonts w:ascii="Calibri" w:hAnsi="Calibri" w:cs="Calibri"/>
        </w:rPr>
        <w:t>ekzekutiv” ofrojnë arsimim të një niveli të lartë shkencor dhe profesional dhe kanë kohëzgjatje normale një ose dy vite akademike.</w:t>
      </w:r>
      <w:r>
        <w:rPr>
          <w:rFonts w:ascii="Calibri" w:hAnsi="Calibri" w:cs="Calibri"/>
        </w:rPr>
        <w:t xml:space="preserve"> Programet e studimeve specializuese afatgjata janë programe të formimit profesional që ofrojnë njohuri praktike për profesione të veçanta. Ato zgjasin jo më pak se dy vite akademike dhe në përfundim të tyre lëshohet “diplomë specializimi” në fushën përkatëse. Ndërkaq, studimet e doktoratës kanë në themel kërkimin shkencor dhe veprimtaritë krijuese. Studimet e doktoratës zgjasin jo më pak se tri vite dhe jo më shumë se pesë vite akademike. Në përfundim të studimeve të doktoratës lëshohet diploma e gradës shkencore “Doktor”.</w:t>
      </w:r>
    </w:p>
    <w:p w:rsidR="003426DA" w:rsidRPr="00E97254" w:rsidRDefault="003426DA" w:rsidP="000C0250">
      <w:pPr>
        <w:spacing w:after="0"/>
        <w:jc w:val="both"/>
        <w:rPr>
          <w:rFonts w:eastAsia="Times New Roman"/>
        </w:rPr>
      </w:pPr>
    </w:p>
    <w:p w:rsidR="00B92847" w:rsidRPr="00E97254" w:rsidRDefault="004E1F53" w:rsidP="000C0250">
      <w:pPr>
        <w:spacing w:after="0"/>
        <w:jc w:val="both"/>
        <w:rPr>
          <w:rFonts w:ascii="Calibri" w:hAnsi="Calibri" w:cs="Calibri"/>
        </w:rPr>
      </w:pPr>
      <w:r>
        <w:rPr>
          <w:rFonts w:eastAsia="Times New Roman"/>
        </w:rPr>
        <w:t>Institucionet e arsimit të lartë mund të ofrojnë programe të studimeve të formimit të vazhduar, si formë e të mësuarit gjatë gjithë jetës. Këto programe shërbejnë për plotësim, thellim e konsolidim të njohurive dhe mund të ofrohen si kurse kualifikimi e rikualifikimi, shkolla verore dhe veprimtari të ngjashme. Në përfundim të programeve të studimeve të formimit të vazhduar, institucionet e arsimit të lartë lëshojnë certifikatat përkatëse.</w:t>
      </w:r>
    </w:p>
    <w:p w:rsidR="003A706E" w:rsidRPr="00E97254" w:rsidRDefault="00FA5606" w:rsidP="000C0250">
      <w:pPr>
        <w:pStyle w:val="Heading3"/>
        <w:jc w:val="both"/>
      </w:pPr>
      <w:bookmarkStart w:id="32" w:name="_Toc45624216"/>
      <w:bookmarkStart w:id="33" w:name="_Toc66801985"/>
      <w:r w:rsidRPr="00FA5606">
        <w:t>3.4.3. Struktura qeverisëse</w:t>
      </w:r>
      <w:bookmarkEnd w:id="32"/>
      <w:bookmarkEnd w:id="33"/>
    </w:p>
    <w:p w:rsidR="003A706E" w:rsidRPr="00E97254" w:rsidRDefault="004E1F53" w:rsidP="000C0250">
      <w:pPr>
        <w:spacing w:before="120" w:after="0"/>
        <w:jc w:val="both"/>
        <w:rPr>
          <w:rFonts w:ascii="Calibri" w:hAnsi="Calibri" w:cs="Calibri"/>
        </w:rPr>
      </w:pPr>
      <w:r>
        <w:rPr>
          <w:rFonts w:ascii="Calibri" w:hAnsi="Calibri" w:cs="Calibri"/>
        </w:rPr>
        <w:t>Republika e Shqipërisë praktikon një qeverisje të centralizuar të sistemit të arsimit. Ministria e Arsimit, Sportit</w:t>
      </w:r>
      <w:r>
        <w:t xml:space="preserve"> dhe Rinisë</w:t>
      </w:r>
      <w:r>
        <w:rPr>
          <w:rFonts w:ascii="Calibri" w:hAnsi="Calibri" w:cs="Calibri"/>
        </w:rPr>
        <w:t xml:space="preserve"> (MASR) është përgjegjëse për arsimin parauniversitar dhe arsimin e lartë, ndërkaq arsimi dhe formimi profesional janë kompetencë e Ministrisë së Financave dhe Ekonomisë (MFE). Në figurën 3 është dhënë struktura organizative e sistemit. </w:t>
      </w:r>
    </w:p>
    <w:p w:rsidR="00D07643" w:rsidRPr="00E97254" w:rsidRDefault="004E1F53" w:rsidP="000C0250">
      <w:pPr>
        <w:keepNext/>
        <w:spacing w:before="120" w:after="0"/>
        <w:jc w:val="both"/>
        <w:rPr>
          <w:rFonts w:ascii="Calibri" w:hAnsi="Calibri" w:cs="Calibri"/>
          <w:b/>
          <w:szCs w:val="32"/>
        </w:rPr>
      </w:pPr>
      <w:r>
        <w:rPr>
          <w:rFonts w:ascii="Calibri" w:hAnsi="Calibri" w:cs="Calibri"/>
          <w:b/>
          <w:szCs w:val="32"/>
        </w:rPr>
        <w:t>Arsimi parauniversitar</w:t>
      </w:r>
    </w:p>
    <w:p w:rsidR="00D07643" w:rsidRPr="00E97254" w:rsidRDefault="004E1F53" w:rsidP="000C0250">
      <w:pPr>
        <w:spacing w:after="0"/>
        <w:jc w:val="both"/>
        <w:rPr>
          <w:rFonts w:ascii="Calibri" w:hAnsi="Calibri" w:cs="Calibri"/>
        </w:rPr>
      </w:pPr>
      <w:r>
        <w:rPr>
          <w:rFonts w:ascii="Calibri" w:hAnsi="Calibri" w:cs="Calibri"/>
        </w:rPr>
        <w:t xml:space="preserve">Në shkurt të vitit 2019, Këshilli i Ministrave miratoi vendimin për ngritjen e një strukture të re – </w:t>
      </w:r>
      <w:r>
        <w:rPr>
          <w:rFonts w:ascii="Calibri" w:hAnsi="Calibri" w:cs="Calibri"/>
          <w:b/>
        </w:rPr>
        <w:t xml:space="preserve"> Drejtori</w:t>
      </w:r>
      <w:r w:rsidR="00ED630F">
        <w:rPr>
          <w:rFonts w:ascii="Calibri" w:hAnsi="Calibri" w:cs="Calibri"/>
          <w:b/>
        </w:rPr>
        <w:t>n</w:t>
      </w:r>
      <w:r w:rsidR="00ED630F" w:rsidRPr="00E97254">
        <w:rPr>
          <w:rFonts w:ascii="Calibri" w:hAnsi="Calibri" w:cs="Calibri"/>
          <w:b/>
        </w:rPr>
        <w:t xml:space="preserve">ë </w:t>
      </w:r>
      <w:r w:rsidR="00ED630F">
        <w:rPr>
          <w:rFonts w:ascii="Calibri" w:hAnsi="Calibri" w:cs="Calibri"/>
          <w:b/>
        </w:rPr>
        <w:t>e</w:t>
      </w:r>
      <w:r w:rsidR="00ED630F" w:rsidRPr="00E97254">
        <w:rPr>
          <w:rFonts w:ascii="Calibri" w:hAnsi="Calibri" w:cs="Calibri"/>
          <w:b/>
        </w:rPr>
        <w:t xml:space="preserve"> </w:t>
      </w:r>
      <w:r w:rsidR="00D07643" w:rsidRPr="00E97254">
        <w:rPr>
          <w:rFonts w:ascii="Calibri" w:hAnsi="Calibri" w:cs="Calibri"/>
          <w:b/>
        </w:rPr>
        <w:t>Përgjithshme të Arsimit Parauniversitar (DPAP) – dhe riorganizimin e dy institucioneve IZHA dhe ISHA në</w:t>
      </w:r>
      <w:r>
        <w:rPr>
          <w:rFonts w:ascii="Calibri" w:hAnsi="Calibri" w:cs="Calibri"/>
        </w:rPr>
        <w:t xml:space="preserve"> </w:t>
      </w:r>
      <w:r>
        <w:rPr>
          <w:rFonts w:ascii="Calibri" w:hAnsi="Calibri" w:cs="Calibri"/>
          <w:b/>
        </w:rPr>
        <w:t>Agjencinë e Sigurimit të Cilësisë në Arsimin Parauniversitar (ASCAP)</w:t>
      </w:r>
      <w:r>
        <w:rPr>
          <w:rFonts w:ascii="Calibri" w:hAnsi="Calibri" w:cs="Calibri"/>
        </w:rPr>
        <w:t xml:space="preserve"> DPAP-ja është njësia zbatuese e MASR-së për arsimin parauniversitar, e cila ka 4 Drejtori Rajonale të </w:t>
      </w:r>
      <w:r>
        <w:t>Arsimit Parauniversitar</w:t>
      </w:r>
      <w:r>
        <w:rPr>
          <w:rFonts w:ascii="Calibri" w:hAnsi="Calibri" w:cs="Calibri"/>
        </w:rPr>
        <w:t xml:space="preserve"> (DRAP), në Lezhë, Durrës, Korçë dhe Fier, si dhe Zyrat Vendore të Arsimit Parauniversitar  (ZVAP) në 61 bashki. DPAP-ja dhe strukturat e saj të varësisë janë përgjegjëse për menaxhimin e sistemit të arsimit parauniversitar, duke përfshirë ndër të tjera: monitorimin, vlerësimin dhe inspektimin; planifikimin e buxhetit të shkollave; mbledhjen dhe përpunimin e të dhënave statistikore; zbatimin e kurrikulës dhe standardeve; ofrimin e </w:t>
      </w:r>
      <w:r>
        <w:rPr>
          <w:rFonts w:ascii="Calibri" w:hAnsi="Calibri" w:cs="Calibri"/>
        </w:rPr>
        <w:lastRenderedPageBreak/>
        <w:t xml:space="preserve">asistencës teknike në shkolla, punësimin e mësuesve dhe bashkërendimin me autoritetet vendore. </w:t>
      </w:r>
      <w:r>
        <w:rPr>
          <w:rFonts w:ascii="Calibri" w:hAnsi="Calibri" w:cs="Calibri"/>
          <w:szCs w:val="24"/>
        </w:rPr>
        <w:t xml:space="preserve">ASCAP-i është përgjegjës për vlerësimin e performancës </w:t>
      </w:r>
      <w:r w:rsidR="00D17ECD">
        <w:rPr>
          <w:rFonts w:ascii="Calibri" w:hAnsi="Calibri" w:cs="Calibri"/>
          <w:szCs w:val="24"/>
        </w:rPr>
        <w:t xml:space="preserve">së </w:t>
      </w:r>
      <w:r>
        <w:rPr>
          <w:rFonts w:ascii="Calibri" w:hAnsi="Calibri" w:cs="Calibri"/>
          <w:szCs w:val="24"/>
        </w:rPr>
        <w:t>sistemit arsimor, hartimin e kurrikulës dhe zhvillimin profesional të mësuesve dhe sigurimin e cilësisë në APU</w:t>
      </w:r>
      <w:r w:rsidR="00ED630F">
        <w:rPr>
          <w:rFonts w:ascii="Calibri" w:hAnsi="Calibri" w:cs="Calibri"/>
          <w:szCs w:val="24"/>
        </w:rPr>
        <w:t>.</w:t>
      </w:r>
    </w:p>
    <w:p w:rsidR="00D7236A" w:rsidRPr="00E97254" w:rsidRDefault="00FA5606" w:rsidP="000C0250">
      <w:pPr>
        <w:pStyle w:val="Caption"/>
        <w:spacing w:before="240" w:after="0" w:line="276" w:lineRule="auto"/>
        <w:jc w:val="both"/>
        <w:rPr>
          <w:rFonts w:ascii="Calibri" w:hAnsi="Calibri" w:cs="Calibri"/>
          <w:b w:val="0"/>
          <w:color w:val="auto"/>
          <w:sz w:val="22"/>
          <w:szCs w:val="22"/>
        </w:rPr>
      </w:pPr>
      <w:bookmarkStart w:id="34" w:name="_Toc66802056"/>
      <w:r w:rsidRPr="00FA5606">
        <w:rPr>
          <w:rFonts w:ascii="Calibri" w:hAnsi="Calibri" w:cs="Calibri"/>
          <w:color w:val="auto"/>
          <w:sz w:val="22"/>
          <w:szCs w:val="22"/>
        </w:rPr>
        <w:t xml:space="preserve">Figura </w:t>
      </w:r>
      <w:r w:rsidR="00EC56B7" w:rsidRPr="00FA5606">
        <w:rPr>
          <w:rFonts w:ascii="Calibri" w:hAnsi="Calibri" w:cs="Calibri"/>
          <w:color w:val="auto"/>
          <w:sz w:val="22"/>
          <w:szCs w:val="22"/>
        </w:rPr>
        <w:fldChar w:fldCharType="begin"/>
      </w:r>
      <w:r w:rsidRPr="00FA5606">
        <w:rPr>
          <w:rFonts w:ascii="Calibri" w:hAnsi="Calibri" w:cs="Calibri"/>
          <w:color w:val="auto"/>
          <w:sz w:val="22"/>
          <w:szCs w:val="22"/>
        </w:rPr>
        <w:instrText xml:space="preserve"> SEQ Figura \* ARABIC </w:instrText>
      </w:r>
      <w:r w:rsidR="00EC56B7" w:rsidRPr="00FA5606">
        <w:rPr>
          <w:rFonts w:ascii="Calibri" w:hAnsi="Calibri" w:cs="Calibri"/>
          <w:color w:val="auto"/>
          <w:sz w:val="22"/>
          <w:szCs w:val="22"/>
        </w:rPr>
        <w:fldChar w:fldCharType="separate"/>
      </w:r>
      <w:r w:rsidRPr="00FA5606">
        <w:rPr>
          <w:rFonts w:ascii="Calibri" w:hAnsi="Calibri" w:cs="Calibri"/>
          <w:color w:val="auto"/>
          <w:sz w:val="22"/>
          <w:szCs w:val="22"/>
        </w:rPr>
        <w:t>3</w:t>
      </w:r>
      <w:r w:rsidR="00EC56B7" w:rsidRPr="00FA5606">
        <w:rPr>
          <w:rFonts w:ascii="Calibri" w:hAnsi="Calibri" w:cs="Calibri"/>
          <w:color w:val="auto"/>
          <w:sz w:val="22"/>
          <w:szCs w:val="22"/>
        </w:rPr>
        <w:fldChar w:fldCharType="end"/>
      </w:r>
      <w:r w:rsidRPr="00FA5606">
        <w:rPr>
          <w:rFonts w:ascii="Calibri" w:hAnsi="Calibri" w:cs="Calibri"/>
          <w:color w:val="auto"/>
          <w:sz w:val="22"/>
          <w:szCs w:val="22"/>
        </w:rPr>
        <w:t>.</w:t>
      </w:r>
      <w:r w:rsidR="004E1F53" w:rsidRPr="004E1F53">
        <w:rPr>
          <w:rFonts w:ascii="Calibri" w:hAnsi="Calibri" w:cs="Calibri"/>
          <w:b w:val="0"/>
          <w:color w:val="auto"/>
          <w:sz w:val="22"/>
          <w:szCs w:val="22"/>
        </w:rPr>
        <w:t xml:space="preserve"> Struktura organizative e sistemit arsimor të Republikës së Shqipërisë</w:t>
      </w:r>
      <w:bookmarkEnd w:id="34"/>
    </w:p>
    <w:p w:rsidR="00427DD9" w:rsidRPr="00E97254" w:rsidRDefault="00B91568" w:rsidP="000C0250">
      <w:pPr>
        <w:spacing w:before="120" w:after="0"/>
        <w:jc w:val="both"/>
        <w:rPr>
          <w:sz w:val="32"/>
          <w:szCs w:val="32"/>
        </w:rPr>
      </w:pPr>
      <w:r w:rsidRPr="00E97254">
        <w:rPr>
          <w:noProof/>
          <w:sz w:val="32"/>
          <w:szCs w:val="32"/>
          <w:lang w:val="en-US"/>
        </w:rPr>
        <w:drawing>
          <wp:inline distT="0" distB="0" distL="0" distR="0">
            <wp:extent cx="5488305" cy="3202940"/>
            <wp:effectExtent l="12700" t="0" r="23495" b="0"/>
            <wp:docPr id="451" name="Diagram 2"/>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rsidR="00AA2A69" w:rsidRPr="00E97254" w:rsidRDefault="00AA2A69" w:rsidP="000C0250">
      <w:pPr>
        <w:spacing w:before="120" w:after="0"/>
        <w:jc w:val="both"/>
        <w:rPr>
          <w:rFonts w:ascii="Calibri" w:hAnsi="Calibri" w:cs="Calibri"/>
        </w:rPr>
      </w:pPr>
      <w:r w:rsidRPr="00E97254">
        <w:rPr>
          <w:rFonts w:ascii="Calibri" w:hAnsi="Calibri" w:cs="Calibri"/>
          <w:b/>
        </w:rPr>
        <w:t>Qendra e Shërbimeve Arsimore (</w:t>
      </w:r>
      <w:r w:rsidR="00CE2E0F" w:rsidRPr="00E97254">
        <w:rPr>
          <w:rFonts w:ascii="Calibri" w:hAnsi="Calibri" w:cs="Calibri"/>
          <w:b/>
        </w:rPr>
        <w:t>QSHA</w:t>
      </w:r>
      <w:r w:rsidRPr="00E97254">
        <w:rPr>
          <w:rFonts w:ascii="Calibri" w:hAnsi="Calibri" w:cs="Calibri"/>
          <w:b/>
        </w:rPr>
        <w:t>)</w:t>
      </w:r>
      <w:r w:rsidRPr="00E97254">
        <w:rPr>
          <w:rFonts w:ascii="Calibri" w:hAnsi="Calibri" w:cs="Calibri"/>
        </w:rPr>
        <w:t xml:space="preserve"> u </w:t>
      </w:r>
      <w:r w:rsidR="00FC176A" w:rsidRPr="00E97254">
        <w:rPr>
          <w:rFonts w:ascii="Calibri" w:hAnsi="Calibri" w:cs="Calibri"/>
        </w:rPr>
        <w:t xml:space="preserve">riorganizua </w:t>
      </w:r>
      <w:r w:rsidRPr="00E97254">
        <w:rPr>
          <w:rFonts w:ascii="Calibri" w:hAnsi="Calibri" w:cs="Calibri"/>
        </w:rPr>
        <w:t>në vitin 201</w:t>
      </w:r>
      <w:r w:rsidR="007074C4" w:rsidRPr="00E97254">
        <w:rPr>
          <w:rFonts w:ascii="Calibri" w:hAnsi="Calibri" w:cs="Calibri"/>
        </w:rPr>
        <w:t>7</w:t>
      </w:r>
      <w:r w:rsidRPr="00E97254">
        <w:rPr>
          <w:rFonts w:ascii="Calibri" w:hAnsi="Calibri" w:cs="Calibri"/>
        </w:rPr>
        <w:t xml:space="preserve"> nga Agjencia Kombëtare e Provimeve. </w:t>
      </w:r>
      <w:r w:rsidR="00CE2E0F" w:rsidRPr="00E97254">
        <w:rPr>
          <w:rFonts w:ascii="Calibri" w:hAnsi="Calibri" w:cs="Calibri"/>
        </w:rPr>
        <w:t>QSHA</w:t>
      </w:r>
      <w:r w:rsidR="00ED630F">
        <w:rPr>
          <w:rFonts w:ascii="Calibri" w:hAnsi="Calibri" w:cs="Calibri"/>
        </w:rPr>
        <w:t>-ja</w:t>
      </w:r>
      <w:r w:rsidRPr="00E97254">
        <w:rPr>
          <w:rFonts w:ascii="Calibri" w:hAnsi="Calibri" w:cs="Calibri"/>
        </w:rPr>
        <w:t xml:space="preserve"> është përgjegjëse për zhvillimin, </w:t>
      </w:r>
      <w:r w:rsidR="00C44536" w:rsidRPr="00E97254">
        <w:rPr>
          <w:rFonts w:ascii="Calibri" w:hAnsi="Calibri" w:cs="Calibri"/>
        </w:rPr>
        <w:t>administrimin</w:t>
      </w:r>
      <w:r w:rsidRPr="00E97254">
        <w:rPr>
          <w:rFonts w:ascii="Calibri" w:hAnsi="Calibri" w:cs="Calibri"/>
        </w:rPr>
        <w:t xml:space="preserve"> dhe analizën e rezultateve të testeve kombëtare e ndërkombëtare</w:t>
      </w:r>
      <w:r w:rsidR="007074C4" w:rsidRPr="00E97254">
        <w:rPr>
          <w:rFonts w:ascii="Calibri" w:hAnsi="Calibri" w:cs="Calibri"/>
        </w:rPr>
        <w:t xml:space="preserve">. Në veçanti, </w:t>
      </w:r>
      <w:r w:rsidR="00CE2E0F" w:rsidRPr="00E97254">
        <w:rPr>
          <w:rFonts w:ascii="Calibri" w:hAnsi="Calibri" w:cs="Calibri"/>
        </w:rPr>
        <w:t>QSHA</w:t>
      </w:r>
      <w:r w:rsidR="00ED630F">
        <w:rPr>
          <w:rFonts w:ascii="Calibri" w:hAnsi="Calibri" w:cs="Calibri"/>
        </w:rPr>
        <w:t>-ja</w:t>
      </w:r>
      <w:r w:rsidR="007074C4" w:rsidRPr="00E97254">
        <w:rPr>
          <w:rFonts w:ascii="Calibri" w:hAnsi="Calibri" w:cs="Calibri"/>
        </w:rPr>
        <w:t xml:space="preserve"> është përgjegjëse për maturën shtetërore, zhvillimin e provimeve kombëtare</w:t>
      </w:r>
      <w:r w:rsidR="004E1F53">
        <w:rPr>
          <w:rFonts w:ascii="Calibri" w:hAnsi="Calibri" w:cs="Calibri"/>
        </w:rPr>
        <w:t xml:space="preserve"> dhe ndërkombëtare , provimet e shtetit për profesionet e rregulluara, si dhe administron bazën e të dhënave shtetërore për arsimin. </w:t>
      </w:r>
    </w:p>
    <w:p w:rsidR="00B2371C" w:rsidRPr="00E97254" w:rsidRDefault="004E1F53" w:rsidP="000C0250">
      <w:pPr>
        <w:spacing w:after="0"/>
        <w:jc w:val="both"/>
        <w:rPr>
          <w:rFonts w:ascii="Calibri" w:hAnsi="Calibri" w:cs="Calibri"/>
        </w:rPr>
      </w:pPr>
      <w:r>
        <w:rPr>
          <w:rFonts w:ascii="Calibri" w:hAnsi="Calibri" w:cs="Calibri"/>
        </w:rPr>
        <w:t>Në tetor të vitit 2018, me mbështetjen e Fondacionit Shqiptaro-Amerikan për Zhvillim (</w:t>
      </w:r>
      <w:r>
        <w:rPr>
          <w:rFonts w:cs="Calibri"/>
        </w:rPr>
        <w:t>AADF</w:t>
      </w:r>
      <w:r>
        <w:rPr>
          <w:rFonts w:ascii="Calibri" w:hAnsi="Calibri" w:cs="Calibri"/>
        </w:rPr>
        <w:t xml:space="preserve">) u krijua </w:t>
      </w:r>
      <w:r>
        <w:rPr>
          <w:rFonts w:ascii="Calibri" w:hAnsi="Calibri" w:cs="Calibri"/>
          <w:b/>
          <w:bCs/>
        </w:rPr>
        <w:t>Shkolla e Drejtorëve</w:t>
      </w:r>
      <w:r>
        <w:rPr>
          <w:rFonts w:ascii="Calibri" w:hAnsi="Calibri" w:cs="Calibri"/>
        </w:rPr>
        <w:t xml:space="preserve">. Shkolla është krijuar si organizatë jofitimprurëse, dhe </w:t>
      </w:r>
      <w:r w:rsidR="00340E21">
        <w:rPr>
          <w:rFonts w:ascii="Calibri" w:hAnsi="Calibri" w:cs="Calibri"/>
        </w:rPr>
        <w:t>ka</w:t>
      </w:r>
      <w:r w:rsidR="00340E21" w:rsidRPr="00E97254">
        <w:rPr>
          <w:rFonts w:ascii="Calibri" w:hAnsi="Calibri" w:cs="Calibri"/>
        </w:rPr>
        <w:t xml:space="preserve"> </w:t>
      </w:r>
      <w:r w:rsidR="00B2371C" w:rsidRPr="00E97254">
        <w:rPr>
          <w:rFonts w:ascii="Calibri" w:hAnsi="Calibri" w:cs="Calibri"/>
        </w:rPr>
        <w:t xml:space="preserve">një formë unike për Shqipërinë dhe Rajonin e Ballkanit Perëndimor. </w:t>
      </w:r>
      <w:r>
        <w:rPr>
          <w:rFonts w:ascii="Calibri" w:hAnsi="Calibri" w:cs="Calibri"/>
        </w:rPr>
        <w:t xml:space="preserve">Pas trajnimit 9-mujor të brezit të parë të kandidatëve, në korrikun e vitit 2020 u certifikuan 46 drejtues të shkollave dhe kandidatë që synojnë të jenë drejtues. Ndërkaq, në tetorin e vitit 2020 filloi trajnimi i brezit të dytë, ku janë përfshirë më shumë se 200 kandidatë. </w:t>
      </w:r>
    </w:p>
    <w:p w:rsidR="00FC76CF" w:rsidRPr="00E97254" w:rsidRDefault="004E1F53" w:rsidP="000C0250">
      <w:pPr>
        <w:jc w:val="both"/>
      </w:pPr>
      <w:r>
        <w:rPr>
          <w:rFonts w:ascii="Calibri" w:hAnsi="Calibri" w:cs="Calibri"/>
        </w:rPr>
        <w:t xml:space="preserve">Decentralizimi në sistemin arsimor parauniversitar është pjesë e nismave qeveritare në kuadër të decentralizimit dhe reformës së zhvillimit rajonal. Në vitin 2014, Kuvendi miratoi Reformën e Re Administrative-Territoriale, e cila ruajti ndarjen në 12 qarqe, por prezantoi një ndarje të re të territorit në 61 bashki. Me Ligjin Nr. 139/2015 “Për vetëqeverisjen vendore”, ndryshuar </w:t>
      </w:r>
      <w:sdt>
        <w:sdtPr>
          <w:rPr>
            <w:rFonts w:ascii="Calibri" w:hAnsi="Calibri" w:cs="Calibri"/>
          </w:rPr>
          <w:id w:val="372197905"/>
          <w:citation/>
        </w:sdtPr>
        <w:sdtEndPr/>
        <w:sdtContent>
          <w:r w:rsidR="00EC56B7" w:rsidRPr="00E97254">
            <w:rPr>
              <w:rFonts w:ascii="Calibri" w:hAnsi="Calibri" w:cs="Calibri"/>
            </w:rPr>
            <w:fldChar w:fldCharType="begin"/>
          </w:r>
          <w:r>
            <w:rPr>
              <w:rFonts w:ascii="Calibri" w:hAnsi="Calibri" w:cs="Calibri"/>
            </w:rPr>
            <w:instrText xml:space="preserve"> CITATION Lig15 \l 1033 </w:instrText>
          </w:r>
          <w:r w:rsidR="00EC56B7" w:rsidRPr="00E97254">
            <w:rPr>
              <w:rFonts w:ascii="Calibri" w:hAnsi="Calibri" w:cs="Calibri"/>
            </w:rPr>
            <w:fldChar w:fldCharType="separate"/>
          </w:r>
          <w:r w:rsidR="00724BCC" w:rsidRPr="00E97254">
            <w:rPr>
              <w:rFonts w:ascii="Calibri" w:hAnsi="Calibri" w:cs="Calibri"/>
            </w:rPr>
            <w:t>[34]</w:t>
          </w:r>
          <w:r w:rsidR="00EC56B7" w:rsidRPr="00E97254">
            <w:rPr>
              <w:rFonts w:ascii="Calibri" w:hAnsi="Calibri" w:cs="Calibri"/>
            </w:rPr>
            <w:fldChar w:fldCharType="end"/>
          </w:r>
        </w:sdtContent>
      </w:sdt>
      <w:r w:rsidR="005555C6" w:rsidRPr="00E97254">
        <w:rPr>
          <w:rFonts w:ascii="Calibri" w:hAnsi="Calibri" w:cs="Calibri"/>
        </w:rPr>
        <w:t xml:space="preserve"> u përcaktua që bashkitë </w:t>
      </w:r>
      <w:r w:rsidR="002D4DEB" w:rsidRPr="00E97254">
        <w:rPr>
          <w:rFonts w:ascii="Calibri" w:hAnsi="Calibri" w:cs="Calibri"/>
        </w:rPr>
        <w:t>j</w:t>
      </w:r>
      <w:r w:rsidR="00FC176A" w:rsidRPr="00E97254">
        <w:t xml:space="preserve">anë përgjegjëse edhe për </w:t>
      </w:r>
      <w:r w:rsidR="002D4DEB" w:rsidRPr="00E97254">
        <w:t>n</w:t>
      </w:r>
      <w:r w:rsidR="00FC176A" w:rsidRPr="00E97254">
        <w:t xml:space="preserve">dërtimin, rehabilitimin dhe mirëmbajtjen e ndërtesave arsimore të sistemit shkollor </w:t>
      </w:r>
      <w:r>
        <w:t>parauniversitar, me përjashtim të shkollave profesionale (neni 23 pika 11).</w:t>
      </w:r>
    </w:p>
    <w:p w:rsidR="005555C6" w:rsidRPr="00E97254" w:rsidRDefault="004E1F53" w:rsidP="000C0250">
      <w:pPr>
        <w:jc w:val="both"/>
      </w:pPr>
      <w:r>
        <w:rPr>
          <w:rFonts w:ascii="Calibri" w:hAnsi="Calibri" w:cs="Calibri"/>
          <w:b/>
        </w:rPr>
        <w:t>Arsimi i lartë</w:t>
      </w:r>
    </w:p>
    <w:p w:rsidR="005555C6" w:rsidRPr="00E97254" w:rsidRDefault="004E1F53" w:rsidP="000C0250">
      <w:pPr>
        <w:spacing w:after="0"/>
        <w:jc w:val="both"/>
        <w:rPr>
          <w:rFonts w:ascii="Calibri" w:hAnsi="Calibri" w:cs="Calibri"/>
          <w:b/>
        </w:rPr>
      </w:pPr>
      <w:r>
        <w:rPr>
          <w:rFonts w:ascii="Calibri" w:hAnsi="Calibri" w:cs="Calibri"/>
        </w:rPr>
        <w:lastRenderedPageBreak/>
        <w:t>Përveç MASR</w:t>
      </w:r>
      <w:r w:rsidR="00340E21">
        <w:rPr>
          <w:rFonts w:ascii="Calibri" w:hAnsi="Calibri" w:cs="Calibri"/>
        </w:rPr>
        <w:t>-s</w:t>
      </w:r>
      <w:r w:rsidR="00340E21" w:rsidRPr="00E97254">
        <w:rPr>
          <w:rFonts w:ascii="Calibri" w:hAnsi="Calibri" w:cs="Calibri"/>
        </w:rPr>
        <w:t>ë</w:t>
      </w:r>
      <w:r w:rsidR="005555C6" w:rsidRPr="00E97254">
        <w:rPr>
          <w:rFonts w:ascii="Calibri" w:hAnsi="Calibri" w:cs="Calibri"/>
        </w:rPr>
        <w:t xml:space="preserve"> e cila është </w:t>
      </w:r>
      <w:r w:rsidR="00C44536" w:rsidRPr="00E97254">
        <w:rPr>
          <w:rFonts w:ascii="Calibri" w:hAnsi="Calibri" w:cs="Calibri"/>
        </w:rPr>
        <w:t>përgjegjëse</w:t>
      </w:r>
      <w:r w:rsidR="005555C6" w:rsidRPr="00E97254">
        <w:rPr>
          <w:rFonts w:ascii="Calibri" w:hAnsi="Calibri" w:cs="Calibri"/>
        </w:rPr>
        <w:t xml:space="preserve"> për zbatimin e </w:t>
      </w:r>
      <w:r w:rsidR="00C44536" w:rsidRPr="00E97254">
        <w:rPr>
          <w:rFonts w:ascii="Calibri" w:hAnsi="Calibri" w:cs="Calibri"/>
        </w:rPr>
        <w:t>politikave</w:t>
      </w:r>
      <w:r w:rsidR="005555C6" w:rsidRPr="00E97254">
        <w:rPr>
          <w:rFonts w:ascii="Calibri" w:hAnsi="Calibri" w:cs="Calibri"/>
        </w:rPr>
        <w:t xml:space="preserve"> të Qeverisë, janë edhe </w:t>
      </w:r>
      <w:r w:rsidR="00D5577A" w:rsidRPr="00E97254">
        <w:rPr>
          <w:rFonts w:ascii="Calibri" w:hAnsi="Calibri" w:cs="Calibri"/>
        </w:rPr>
        <w:t xml:space="preserve">katër institucione </w:t>
      </w:r>
      <w:r w:rsidR="005555C6" w:rsidRPr="00E97254">
        <w:rPr>
          <w:rFonts w:ascii="Calibri" w:hAnsi="Calibri" w:cs="Calibri"/>
        </w:rPr>
        <w:t>të tjer</w:t>
      </w:r>
      <w:r>
        <w:rPr>
          <w:rFonts w:ascii="Calibri" w:hAnsi="Calibri" w:cs="Calibri"/>
        </w:rPr>
        <w:t xml:space="preserve">a në fushën e arsimit të lartë të ngarkuara me përgjegjësi për menaxhimin e këtij sektori. </w:t>
      </w:r>
    </w:p>
    <w:p w:rsidR="00C32E55" w:rsidRPr="00E97254" w:rsidRDefault="004E1F53" w:rsidP="000C0250">
      <w:pPr>
        <w:spacing w:after="0"/>
        <w:jc w:val="both"/>
        <w:rPr>
          <w:rFonts w:ascii="Calibri" w:hAnsi="Calibri" w:cs="Calibri"/>
          <w:sz w:val="24"/>
          <w:szCs w:val="24"/>
        </w:rPr>
      </w:pPr>
      <w:r>
        <w:rPr>
          <w:rFonts w:ascii="Calibri" w:hAnsi="Calibri" w:cs="Calibri"/>
          <w:b/>
        </w:rPr>
        <w:t>Agjencia Kombëtare e Financimit të Arsimit të Lartë (AKFAL)</w:t>
      </w:r>
      <w:r>
        <w:rPr>
          <w:rFonts w:ascii="Calibri" w:hAnsi="Calibri" w:cs="Calibri"/>
        </w:rPr>
        <w:t xml:space="preserve"> është institucion në varësi të MASR</w:t>
      </w:r>
      <w:r w:rsidR="00340E21">
        <w:rPr>
          <w:rFonts w:ascii="Calibri" w:hAnsi="Calibri" w:cs="Calibri"/>
        </w:rPr>
        <w:t>-s</w:t>
      </w:r>
      <w:r w:rsidR="00340E21" w:rsidRPr="00E97254">
        <w:rPr>
          <w:rFonts w:ascii="Calibri" w:hAnsi="Calibri" w:cs="Calibri"/>
        </w:rPr>
        <w:t>ë</w:t>
      </w:r>
      <w:r w:rsidR="00340E21">
        <w:rPr>
          <w:rFonts w:ascii="Calibri" w:hAnsi="Calibri" w:cs="Calibri"/>
        </w:rPr>
        <w:t>,</w:t>
      </w:r>
      <w:r w:rsidR="00C65894" w:rsidRPr="00E97254">
        <w:rPr>
          <w:rFonts w:ascii="Calibri" w:hAnsi="Calibri" w:cs="Calibri"/>
        </w:rPr>
        <w:t xml:space="preserve"> përgjegjëse për alokimin e fondeve publike për mbështetjen e institucioneve publike të arsimit të lartë</w:t>
      </w:r>
      <w:r w:rsidR="00340E21">
        <w:rPr>
          <w:rFonts w:ascii="Calibri" w:hAnsi="Calibri" w:cs="Calibri"/>
        </w:rPr>
        <w:t>,</w:t>
      </w:r>
      <w:r w:rsidR="00340E21" w:rsidRPr="00E97254">
        <w:rPr>
          <w:rFonts w:ascii="Calibri" w:hAnsi="Calibri" w:cs="Calibri"/>
        </w:rPr>
        <w:t xml:space="preserve"> </w:t>
      </w:r>
      <w:r w:rsidR="00C65894" w:rsidRPr="00E97254">
        <w:rPr>
          <w:rFonts w:ascii="Calibri" w:hAnsi="Calibri" w:cs="Calibri"/>
        </w:rPr>
        <w:t xml:space="preserve">dhënien e bursave për studentë ekselentë, si dhe për studentë të regjistruar në programe </w:t>
      </w:r>
      <w:r w:rsidR="00ED3C7A" w:rsidRPr="00E97254">
        <w:rPr>
          <w:rFonts w:ascii="Calibri" w:hAnsi="Calibri" w:cs="Calibri"/>
        </w:rPr>
        <w:t>kualifikimi për të cilat ekziston nevoja në shoqëri</w:t>
      </w:r>
      <w:r w:rsidR="002B257B" w:rsidRPr="00E97254">
        <w:rPr>
          <w:rFonts w:ascii="Calibri" w:hAnsi="Calibri" w:cs="Calibri"/>
        </w:rPr>
        <w:t xml:space="preserve"> </w:t>
      </w:r>
      <w:r w:rsidR="00C65894" w:rsidRPr="00E97254">
        <w:rPr>
          <w:rFonts w:ascii="Calibri" w:hAnsi="Calibri" w:cs="Calibri"/>
        </w:rPr>
        <w:t xml:space="preserve">dhe </w:t>
      </w:r>
      <w:r w:rsidR="00C44536" w:rsidRPr="00E97254">
        <w:rPr>
          <w:rFonts w:ascii="Calibri" w:hAnsi="Calibri" w:cs="Calibri"/>
        </w:rPr>
        <w:t>studentë</w:t>
      </w:r>
      <w:r w:rsidR="00C65894" w:rsidRPr="00E97254">
        <w:rPr>
          <w:rFonts w:ascii="Calibri" w:hAnsi="Calibri" w:cs="Calibri"/>
        </w:rPr>
        <w:t xml:space="preserve"> nga grupet sociale të margjinalizuar</w:t>
      </w:r>
      <w:r w:rsidR="00FB141B" w:rsidRPr="00E97254">
        <w:rPr>
          <w:rFonts w:ascii="Calibri" w:hAnsi="Calibri" w:cs="Calibri"/>
        </w:rPr>
        <w:t>a.</w:t>
      </w:r>
      <w:r w:rsidR="00C65894" w:rsidRPr="00E97254">
        <w:rPr>
          <w:rFonts w:ascii="Calibri" w:hAnsi="Calibri" w:cs="Calibri"/>
        </w:rPr>
        <w:t xml:space="preserve"> AKFAL</w:t>
      </w:r>
      <w:r w:rsidR="00340E21">
        <w:rPr>
          <w:rFonts w:ascii="Calibri" w:hAnsi="Calibri" w:cs="Calibri"/>
        </w:rPr>
        <w:t>-ja</w:t>
      </w:r>
      <w:r w:rsidR="00C65894" w:rsidRPr="00E97254">
        <w:rPr>
          <w:rFonts w:ascii="Calibri" w:hAnsi="Calibri" w:cs="Calibri"/>
        </w:rPr>
        <w:t xml:space="preserve"> përcakton kriteret për alokimin e fondeve publike, ndërsa MASR</w:t>
      </w:r>
      <w:r w:rsidR="00340E21">
        <w:rPr>
          <w:rFonts w:ascii="Calibri" w:hAnsi="Calibri" w:cs="Calibri"/>
        </w:rPr>
        <w:t>-ja</w:t>
      </w:r>
      <w:r w:rsidR="00C65894" w:rsidRPr="00E97254">
        <w:rPr>
          <w:rFonts w:ascii="Calibri" w:hAnsi="Calibri" w:cs="Calibri"/>
        </w:rPr>
        <w:t xml:space="preserve"> i aprovon ato dhe përcakton prioritetet për fusha studimi. </w:t>
      </w:r>
      <w:r w:rsidR="00C32E55" w:rsidRPr="00E97254">
        <w:rPr>
          <w:rFonts w:ascii="Calibri" w:hAnsi="Calibri" w:cs="Calibri"/>
          <w:szCs w:val="24"/>
        </w:rPr>
        <w:t>AKFAL</w:t>
      </w:r>
      <w:r w:rsidR="00340E21">
        <w:rPr>
          <w:rFonts w:ascii="Calibri" w:hAnsi="Calibri" w:cs="Calibri"/>
          <w:szCs w:val="24"/>
        </w:rPr>
        <w:t>-ja</w:t>
      </w:r>
      <w:r w:rsidR="00C32E55" w:rsidRPr="00E97254">
        <w:rPr>
          <w:rFonts w:ascii="Calibri" w:hAnsi="Calibri" w:cs="Calibri"/>
          <w:szCs w:val="24"/>
        </w:rPr>
        <w:t xml:space="preserve"> nuk është akoma funksionale dhe disa nga detyrat e saj i ushtron MASR</w:t>
      </w:r>
      <w:r w:rsidR="00340E21">
        <w:rPr>
          <w:rFonts w:ascii="Calibri" w:hAnsi="Calibri" w:cs="Calibri"/>
          <w:szCs w:val="24"/>
        </w:rPr>
        <w:t>-ja</w:t>
      </w:r>
      <w:r w:rsidR="00C32E55" w:rsidRPr="00E97254">
        <w:rPr>
          <w:rFonts w:ascii="Calibri" w:hAnsi="Calibri" w:cs="Calibri"/>
          <w:szCs w:val="24"/>
        </w:rPr>
        <w:t>.</w:t>
      </w:r>
    </w:p>
    <w:p w:rsidR="00214E49" w:rsidRPr="00E97254" w:rsidRDefault="001A2106" w:rsidP="000C0250">
      <w:pPr>
        <w:spacing w:after="0"/>
        <w:jc w:val="both"/>
        <w:rPr>
          <w:rFonts w:ascii="Calibri" w:hAnsi="Calibri" w:cs="Calibri"/>
        </w:rPr>
      </w:pPr>
      <w:r w:rsidRPr="00E97254">
        <w:rPr>
          <w:rFonts w:ascii="Calibri" w:hAnsi="Calibri" w:cs="Calibri"/>
          <w:b/>
        </w:rPr>
        <w:t xml:space="preserve">Agjencia e Sigurimit të Cilësisë në Arsimin e Lartë </w:t>
      </w:r>
      <w:r w:rsidR="00D5577A" w:rsidRPr="00E97254">
        <w:rPr>
          <w:rFonts w:ascii="Calibri" w:hAnsi="Calibri" w:cs="Calibri"/>
          <w:b/>
        </w:rPr>
        <w:t>(ASCAL)</w:t>
      </w:r>
      <w:r w:rsidR="00D5577A" w:rsidRPr="00E97254">
        <w:rPr>
          <w:rFonts w:ascii="Calibri" w:hAnsi="Calibri" w:cs="Calibri"/>
        </w:rPr>
        <w:t xml:space="preserve"> është institucion në varësi të MASR</w:t>
      </w:r>
      <w:r w:rsidR="00340E21">
        <w:rPr>
          <w:rFonts w:ascii="Calibri" w:hAnsi="Calibri" w:cs="Calibri"/>
        </w:rPr>
        <w:t>-s</w:t>
      </w:r>
      <w:r w:rsidR="00340E21" w:rsidRPr="00E97254">
        <w:rPr>
          <w:rFonts w:ascii="Calibri" w:hAnsi="Calibri" w:cs="Calibri"/>
        </w:rPr>
        <w:t>ë</w:t>
      </w:r>
      <w:r w:rsidR="00D5577A" w:rsidRPr="00E97254">
        <w:rPr>
          <w:rFonts w:ascii="Calibri" w:hAnsi="Calibri" w:cs="Calibri"/>
        </w:rPr>
        <w:t xml:space="preserve"> që</w:t>
      </w:r>
      <w:r w:rsidR="00D33EF6" w:rsidRPr="00E97254">
        <w:rPr>
          <w:rFonts w:ascii="Calibri" w:hAnsi="Calibri" w:cs="Calibri"/>
        </w:rPr>
        <w:t xml:space="preserve"> mbikëqyr dhe vlerëson cilësinë e institucioneve dhe programeve</w:t>
      </w:r>
      <w:r w:rsidR="002B257B" w:rsidRPr="00E97254">
        <w:rPr>
          <w:rFonts w:ascii="Calibri" w:hAnsi="Calibri" w:cs="Calibri"/>
        </w:rPr>
        <w:t xml:space="preserve"> </w:t>
      </w:r>
      <w:r w:rsidR="00D33EF6" w:rsidRPr="00E97254">
        <w:rPr>
          <w:rFonts w:ascii="Calibri" w:hAnsi="Calibri" w:cs="Calibri"/>
        </w:rPr>
        <w:t xml:space="preserve">të arsimit të lartë </w:t>
      </w:r>
      <w:r w:rsidR="00340E21">
        <w:rPr>
          <w:rFonts w:ascii="Calibri" w:hAnsi="Calibri" w:cs="Calibri"/>
        </w:rPr>
        <w:t>n</w:t>
      </w:r>
      <w:r w:rsidR="00340E21" w:rsidRPr="00E97254">
        <w:rPr>
          <w:rFonts w:ascii="Calibri" w:hAnsi="Calibri" w:cs="Calibri"/>
        </w:rPr>
        <w:t>ë</w:t>
      </w:r>
      <w:r w:rsidR="00340E21">
        <w:rPr>
          <w:rFonts w:ascii="Calibri" w:hAnsi="Calibri" w:cs="Calibri"/>
        </w:rPr>
        <w:t>p</w:t>
      </w:r>
      <w:r w:rsidR="00340E21" w:rsidRPr="00E97254">
        <w:rPr>
          <w:rFonts w:ascii="Calibri" w:hAnsi="Calibri" w:cs="Calibri"/>
        </w:rPr>
        <w:t>ë</w:t>
      </w:r>
      <w:r w:rsidR="00340E21">
        <w:rPr>
          <w:rFonts w:ascii="Calibri" w:hAnsi="Calibri" w:cs="Calibri"/>
        </w:rPr>
        <w:t>rmjet</w:t>
      </w:r>
      <w:r w:rsidR="00340E21" w:rsidRPr="00E97254">
        <w:rPr>
          <w:rFonts w:ascii="Calibri" w:hAnsi="Calibri" w:cs="Calibri"/>
        </w:rPr>
        <w:t xml:space="preserve"> </w:t>
      </w:r>
      <w:r w:rsidR="00D33EF6" w:rsidRPr="00E97254">
        <w:rPr>
          <w:rFonts w:ascii="Calibri" w:hAnsi="Calibri" w:cs="Calibri"/>
        </w:rPr>
        <w:t>mekanizmave të sigurimit të cilësisë, akreditimit dhe proceseve të tjer</w:t>
      </w:r>
      <w:r w:rsidR="00FB141B" w:rsidRPr="00E97254">
        <w:rPr>
          <w:rFonts w:ascii="Calibri" w:hAnsi="Calibri" w:cs="Calibri"/>
        </w:rPr>
        <w:t>a.</w:t>
      </w:r>
      <w:r w:rsidR="00D33EF6" w:rsidRPr="00E97254">
        <w:rPr>
          <w:rFonts w:ascii="Calibri" w:hAnsi="Calibri" w:cs="Calibri"/>
        </w:rPr>
        <w:t xml:space="preserve"> ASCAL</w:t>
      </w:r>
      <w:r w:rsidR="00340E21">
        <w:rPr>
          <w:rFonts w:ascii="Calibri" w:hAnsi="Calibri" w:cs="Calibri"/>
        </w:rPr>
        <w:t>-ja</w:t>
      </w:r>
      <w:r w:rsidR="00D33EF6" w:rsidRPr="00E97254">
        <w:rPr>
          <w:rFonts w:ascii="Calibri" w:hAnsi="Calibri" w:cs="Calibri"/>
        </w:rPr>
        <w:t xml:space="preserve"> e mbështet punën e vet në Kodin e Cilësisë të Arsimit të Lartë, i cili përcakton standardet shtetërore të cilësisë, të detyrueshme për zbatim prej institucioneve të arsimit të lartë. Këto standarde mbështeten në Standardet dhe Udhëzimet e Cilësisë të </w:t>
      </w:r>
      <w:r w:rsidR="008370F1" w:rsidRPr="00E97254">
        <w:rPr>
          <w:rFonts w:ascii="Calibri" w:hAnsi="Calibri" w:cs="Calibri"/>
        </w:rPr>
        <w:t>Hapësirës Evropiane</w:t>
      </w:r>
      <w:r w:rsidR="00D33EF6" w:rsidRPr="00E97254">
        <w:rPr>
          <w:rFonts w:ascii="Calibri" w:hAnsi="Calibri" w:cs="Calibri"/>
        </w:rPr>
        <w:t xml:space="preserve"> të Arsimit të Lartë – </w:t>
      </w:r>
      <w:r w:rsidR="00372807" w:rsidRPr="00E97254">
        <w:rPr>
          <w:rFonts w:ascii="Calibri" w:hAnsi="Calibri" w:cs="Calibri"/>
        </w:rPr>
        <w:t>SUE</w:t>
      </w:r>
      <w:r w:rsidR="00D33EF6" w:rsidRPr="00E97254">
        <w:rPr>
          <w:rFonts w:ascii="Calibri" w:hAnsi="Calibri" w:cs="Calibri"/>
        </w:rPr>
        <w:t>. Në kontekst të sigurimit të jashtëm të cilësisë, ASCAL</w:t>
      </w:r>
      <w:r w:rsidR="00340E21">
        <w:rPr>
          <w:rFonts w:ascii="Calibri" w:hAnsi="Calibri" w:cs="Calibri"/>
        </w:rPr>
        <w:t>-ja</w:t>
      </w:r>
      <w:r w:rsidR="00D33EF6" w:rsidRPr="00E97254">
        <w:rPr>
          <w:rFonts w:ascii="Calibri" w:hAnsi="Calibri" w:cs="Calibri"/>
        </w:rPr>
        <w:t xml:space="preserve"> bashkëpunon me agjenci të tjera anëtare të Rrjetit </w:t>
      </w:r>
      <w:r w:rsidR="00D33EF6" w:rsidRPr="00E97254">
        <w:rPr>
          <w:rFonts w:cs="Calibri"/>
        </w:rPr>
        <w:t>E</w:t>
      </w:r>
      <w:r w:rsidR="00FC1D51" w:rsidRPr="00E97254">
        <w:rPr>
          <w:rFonts w:cs="Calibri"/>
        </w:rPr>
        <w:t>v</w:t>
      </w:r>
      <w:r w:rsidR="00D33EF6" w:rsidRPr="00E97254">
        <w:rPr>
          <w:rFonts w:cs="Calibri"/>
        </w:rPr>
        <w:t>ropian</w:t>
      </w:r>
      <w:r w:rsidR="00D33EF6" w:rsidRPr="00E97254">
        <w:rPr>
          <w:rFonts w:ascii="Calibri" w:hAnsi="Calibri" w:cs="Calibri"/>
        </w:rPr>
        <w:t xml:space="preserve"> për Sigurimin e Cilësisë në Arsimin e Lartë (ENQA) dhe Regjistrit </w:t>
      </w:r>
      <w:r w:rsidR="00D33EF6" w:rsidRPr="00E97254">
        <w:rPr>
          <w:rFonts w:cs="Calibri"/>
        </w:rPr>
        <w:t>E</w:t>
      </w:r>
      <w:r w:rsidR="00FC1D51" w:rsidRPr="00E97254">
        <w:rPr>
          <w:rFonts w:cs="Calibri"/>
        </w:rPr>
        <w:t>v</w:t>
      </w:r>
      <w:r w:rsidR="00D33EF6" w:rsidRPr="00E97254">
        <w:rPr>
          <w:rFonts w:cs="Calibri"/>
        </w:rPr>
        <w:t>ropian</w:t>
      </w:r>
      <w:r w:rsidR="00D33EF6" w:rsidRPr="00E97254">
        <w:rPr>
          <w:rFonts w:ascii="Calibri" w:hAnsi="Calibri" w:cs="Calibri"/>
        </w:rPr>
        <w:t xml:space="preserve"> për Sigurimin e Cilësisë (EQAR).</w:t>
      </w:r>
      <w:r w:rsidR="002B257B" w:rsidRPr="00E97254">
        <w:rPr>
          <w:rFonts w:ascii="Calibri" w:hAnsi="Calibri" w:cs="Calibri"/>
        </w:rPr>
        <w:t xml:space="preserve"> </w:t>
      </w:r>
      <w:r w:rsidR="00D33EF6" w:rsidRPr="00E97254">
        <w:rPr>
          <w:rFonts w:ascii="Calibri" w:hAnsi="Calibri" w:cs="Calibri"/>
        </w:rPr>
        <w:t>Po ashtu, ASCAL</w:t>
      </w:r>
      <w:r w:rsidR="00340E21">
        <w:rPr>
          <w:rFonts w:ascii="Calibri" w:hAnsi="Calibri" w:cs="Calibri"/>
        </w:rPr>
        <w:t>-ja</w:t>
      </w:r>
      <w:r w:rsidR="00D33EF6" w:rsidRPr="00E97254">
        <w:rPr>
          <w:rFonts w:ascii="Calibri" w:hAnsi="Calibri" w:cs="Calibri"/>
        </w:rPr>
        <w:t xml:space="preserve"> bashkëpunon me IAL</w:t>
      </w:r>
      <w:r w:rsidR="00340E21">
        <w:rPr>
          <w:rFonts w:ascii="Calibri" w:hAnsi="Calibri" w:cs="Calibri"/>
        </w:rPr>
        <w:t>-n</w:t>
      </w:r>
      <w:r w:rsidR="00340E21" w:rsidRPr="00E97254">
        <w:rPr>
          <w:rFonts w:ascii="Calibri" w:hAnsi="Calibri" w:cs="Calibri"/>
        </w:rPr>
        <w:t>ë</w:t>
      </w:r>
      <w:r w:rsidR="00D33EF6" w:rsidRPr="00E97254">
        <w:rPr>
          <w:rFonts w:ascii="Calibri" w:hAnsi="Calibri" w:cs="Calibri"/>
        </w:rPr>
        <w:t xml:space="preserve"> në dobi të mirëfunksionimit të sistemeve të </w:t>
      </w:r>
      <w:r w:rsidR="00C44536" w:rsidRPr="00E97254">
        <w:rPr>
          <w:rFonts w:ascii="Calibri" w:hAnsi="Calibri" w:cs="Calibri"/>
        </w:rPr>
        <w:t>brendshme</w:t>
      </w:r>
      <w:r w:rsidR="00D33EF6" w:rsidRPr="00E97254">
        <w:rPr>
          <w:rFonts w:ascii="Calibri" w:hAnsi="Calibri" w:cs="Calibri"/>
        </w:rPr>
        <w:t xml:space="preserve"> të sigurimit të cilësisë në këto institucione. Vendimi përfundimtar për akreditimin e institucioneve të arsimit të lartë dhe programeve të studimit merret nga Bordi i Akreditimit. </w:t>
      </w:r>
      <w:r w:rsidR="00266BCF" w:rsidRPr="00E97254">
        <w:rPr>
          <w:rFonts w:ascii="Calibri" w:hAnsi="Calibri" w:cs="Calibri"/>
        </w:rPr>
        <w:t>ASCAL</w:t>
      </w:r>
      <w:r w:rsidR="00340E21">
        <w:rPr>
          <w:rFonts w:ascii="Calibri" w:hAnsi="Calibri" w:cs="Calibri"/>
        </w:rPr>
        <w:t>-ja</w:t>
      </w:r>
      <w:r w:rsidR="00266BCF" w:rsidRPr="00E97254">
        <w:rPr>
          <w:rFonts w:ascii="Calibri" w:hAnsi="Calibri" w:cs="Calibri"/>
        </w:rPr>
        <w:t xml:space="preserve"> në fund të veprimtarisë së saj publikon raportin vjetor si dhe raportet përfundimta</w:t>
      </w:r>
      <w:r w:rsidR="004E1F53">
        <w:rPr>
          <w:rFonts w:ascii="Calibri" w:hAnsi="Calibri" w:cs="Calibri"/>
        </w:rPr>
        <w:t xml:space="preserve">re të vlerësimit të institucioneve të arsimit të lartë dhe programeve të studimit. </w:t>
      </w:r>
    </w:p>
    <w:p w:rsidR="005C2F5C" w:rsidRPr="00E97254" w:rsidRDefault="004E1F53" w:rsidP="000C0250">
      <w:pPr>
        <w:spacing w:after="0"/>
        <w:jc w:val="both"/>
        <w:rPr>
          <w:rFonts w:ascii="Calibri" w:hAnsi="Calibri" w:cs="Calibri"/>
        </w:rPr>
      </w:pPr>
      <w:r>
        <w:rPr>
          <w:rFonts w:ascii="Calibri" w:hAnsi="Calibri" w:cs="Calibri"/>
          <w:b/>
        </w:rPr>
        <w:t>Rrjeti Akademik Shqiptar (</w:t>
      </w:r>
      <w:r>
        <w:rPr>
          <w:rFonts w:cs="Calibri"/>
          <w:b/>
        </w:rPr>
        <w:t>RASH</w:t>
      </w:r>
      <w:r>
        <w:rPr>
          <w:rFonts w:ascii="Calibri" w:hAnsi="Calibri" w:cs="Calibri"/>
          <w:b/>
        </w:rPr>
        <w:t>)</w:t>
      </w:r>
      <w:r>
        <w:rPr>
          <w:rFonts w:ascii="Calibri" w:hAnsi="Calibri" w:cs="Calibri"/>
        </w:rPr>
        <w:t xml:space="preserve"> është riorganizuar me VKM</w:t>
      </w:r>
      <w:r w:rsidR="00340E21">
        <w:rPr>
          <w:rFonts w:ascii="Calibri" w:hAnsi="Calibri" w:cs="Calibri"/>
        </w:rPr>
        <w:t>-n</w:t>
      </w:r>
      <w:r w:rsidR="00340E21" w:rsidRPr="00E97254">
        <w:rPr>
          <w:rFonts w:ascii="Calibri" w:hAnsi="Calibri" w:cs="Calibri"/>
        </w:rPr>
        <w:t>ë</w:t>
      </w:r>
      <w:r w:rsidR="00F83606" w:rsidRPr="00E97254">
        <w:rPr>
          <w:rFonts w:ascii="Calibri" w:hAnsi="Calibri" w:cs="Calibri"/>
        </w:rPr>
        <w:t xml:space="preserve"> </w:t>
      </w:r>
      <w:r w:rsidR="00D17529" w:rsidRPr="00E97254">
        <w:rPr>
          <w:rFonts w:ascii="Calibri" w:hAnsi="Calibri" w:cs="Calibri"/>
        </w:rPr>
        <w:t>nr. 88, datë 14.2.2018, “Për krijimin e Qendrës Ndërinstitucionale të Rrjetit Akademik Shqiptar (RASH)</w:t>
      </w:r>
      <w:r w:rsidR="00340E21">
        <w:rPr>
          <w:rFonts w:ascii="Calibri" w:hAnsi="Calibri" w:cs="Calibri"/>
        </w:rPr>
        <w:t>”</w:t>
      </w:r>
      <w:r w:rsidR="00D17529" w:rsidRPr="00E97254">
        <w:rPr>
          <w:rFonts w:ascii="Calibri" w:hAnsi="Calibri" w:cs="Calibri"/>
        </w:rPr>
        <w:t xml:space="preserve"> </w:t>
      </w:r>
      <w:r w:rsidR="00F83606" w:rsidRPr="00E97254">
        <w:rPr>
          <w:rFonts w:ascii="Calibri" w:hAnsi="Calibri" w:cs="Calibri"/>
        </w:rPr>
        <w:t xml:space="preserve"> si rezultat i marrëveshjes </w:t>
      </w:r>
      <w:r w:rsidR="00847D32" w:rsidRPr="00E97254">
        <w:rPr>
          <w:rFonts w:cs="Calibri"/>
        </w:rPr>
        <w:t>midis</w:t>
      </w:r>
      <w:r w:rsidR="00F83606" w:rsidRPr="00E97254">
        <w:rPr>
          <w:rFonts w:ascii="Calibri" w:hAnsi="Calibri" w:cs="Calibri"/>
        </w:rPr>
        <w:t xml:space="preserve"> MASR</w:t>
      </w:r>
      <w:r w:rsidR="00340E21">
        <w:rPr>
          <w:rFonts w:ascii="Calibri" w:hAnsi="Calibri" w:cs="Calibri"/>
        </w:rPr>
        <w:t>-s</w:t>
      </w:r>
      <w:r w:rsidR="00340E21" w:rsidRPr="00E97254">
        <w:rPr>
          <w:rFonts w:ascii="Calibri" w:hAnsi="Calibri" w:cs="Calibri"/>
        </w:rPr>
        <w:t>ë</w:t>
      </w:r>
      <w:r w:rsidR="00F83606" w:rsidRPr="00E97254">
        <w:rPr>
          <w:rFonts w:ascii="Calibri" w:hAnsi="Calibri" w:cs="Calibri"/>
        </w:rPr>
        <w:t xml:space="preserve"> dhe 12 </w:t>
      </w:r>
      <w:r w:rsidR="005C412B" w:rsidRPr="00E97254">
        <w:rPr>
          <w:rFonts w:ascii="Calibri" w:hAnsi="Calibri" w:cs="Calibri"/>
        </w:rPr>
        <w:t>IAL</w:t>
      </w:r>
      <w:r w:rsidR="00340E21">
        <w:rPr>
          <w:rFonts w:ascii="Calibri" w:hAnsi="Calibri" w:cs="Calibri"/>
        </w:rPr>
        <w:t>-ve</w:t>
      </w:r>
      <w:r w:rsidR="005C412B" w:rsidRPr="00E97254">
        <w:rPr>
          <w:rFonts w:ascii="Calibri" w:hAnsi="Calibri" w:cs="Calibri"/>
        </w:rPr>
        <w:t xml:space="preserve"> </w:t>
      </w:r>
      <w:r w:rsidR="00F83606" w:rsidRPr="00E97254">
        <w:rPr>
          <w:rFonts w:ascii="Calibri" w:hAnsi="Calibri" w:cs="Calibri"/>
        </w:rPr>
        <w:t xml:space="preserve">publike shqiptare. Rrjeti i ka themelet në </w:t>
      </w:r>
      <w:r w:rsidR="005C2F5C" w:rsidRPr="00E97254">
        <w:rPr>
          <w:rFonts w:ascii="Calibri" w:hAnsi="Calibri" w:cs="Calibri"/>
        </w:rPr>
        <w:t>projekti</w:t>
      </w:r>
      <w:r w:rsidR="00F83606" w:rsidRPr="00E97254">
        <w:rPr>
          <w:rFonts w:ascii="Calibri" w:hAnsi="Calibri" w:cs="Calibri"/>
        </w:rPr>
        <w:t>n</w:t>
      </w:r>
      <w:r w:rsidR="002B257B" w:rsidRPr="00E97254">
        <w:rPr>
          <w:rFonts w:ascii="Calibri" w:hAnsi="Calibri" w:cs="Calibri"/>
        </w:rPr>
        <w:t xml:space="preserve"> </w:t>
      </w:r>
      <w:r w:rsidR="005C2F5C" w:rsidRPr="00E97254">
        <w:rPr>
          <w:rFonts w:ascii="Calibri" w:hAnsi="Calibri" w:cs="Calibri"/>
        </w:rPr>
        <w:t>“Krijimi i Qendrës Ndëruniversitare të Shërbimeve dhe Rrjetit telematik”</w:t>
      </w:r>
      <w:r w:rsidR="00340E21">
        <w:rPr>
          <w:rFonts w:ascii="Calibri" w:hAnsi="Calibri" w:cs="Calibri"/>
        </w:rPr>
        <w:t>,</w:t>
      </w:r>
      <w:r w:rsidR="005C2F5C" w:rsidRPr="00E97254">
        <w:rPr>
          <w:rFonts w:ascii="Calibri" w:hAnsi="Calibri" w:cs="Calibri"/>
        </w:rPr>
        <w:t xml:space="preserve"> i financuar nga </w:t>
      </w:r>
      <w:r w:rsidR="005555C6" w:rsidRPr="00E97254">
        <w:rPr>
          <w:rFonts w:ascii="Calibri" w:hAnsi="Calibri" w:cs="Calibri"/>
        </w:rPr>
        <w:t xml:space="preserve">Qeveria e Italisë. Qëllimi i Rrjetit Akademik Shqiptar është: a) zhvillimi dhe promovimi i projekteve të kërkim-zhvillimit dhe inovacionit në fushën e teknologjisë së informacionit dhe komunikimit (TIK) për arsimin dhe shkencën; b) krijimi i infrastrukturës për ngritjen e një qendre të përbashkët ndërdisiplinore kërkim-zhvillimi </w:t>
      </w:r>
      <w:r>
        <w:rPr>
          <w:rFonts w:ascii="Calibri" w:hAnsi="Calibri" w:cs="Calibri"/>
        </w:rPr>
        <w:t>(TIK) nga IAL-të pjesëmarrëse apo palë të treta; c) koordinimi i pjesëmarrjes së kërkuesve vendës në projektin evropian të kërkimit GÉANT dhe projekte të tjera në fushën e teknologjisë së informacionit dhe komunikimit (TIK), pjesë përbërëse e programit kuadër evropian të kërkim-zhvillimit dhe inovacionit; ç) zhvillimi i programeve/</w:t>
      </w:r>
      <w:r w:rsidR="004A79F5">
        <w:rPr>
          <w:rFonts w:ascii="Calibri" w:hAnsi="Calibri" w:cs="Calibri"/>
        </w:rPr>
        <w:t xml:space="preserve">softuer </w:t>
      </w:r>
      <w:r>
        <w:rPr>
          <w:rFonts w:ascii="Calibri" w:hAnsi="Calibri" w:cs="Calibri"/>
        </w:rPr>
        <w:t>dhe ofrimi i shërbimeve përkatëse për ministrinë përgjegjëse për arsimin, agjencitë e varësisë për arsimin e lartë dhe kërkimin shkencor, institucionet e arsimit të lartë, të kërkimit shkencor dhe inovacionit e për të gjithë anëtarësinë e RASH-it, si dhe për palë të treta.</w:t>
      </w:r>
    </w:p>
    <w:p w:rsidR="00226431" w:rsidRPr="00E97254" w:rsidRDefault="004E1F53" w:rsidP="000C0250">
      <w:pPr>
        <w:spacing w:after="0"/>
        <w:jc w:val="both"/>
        <w:rPr>
          <w:rFonts w:ascii="Calibri" w:hAnsi="Calibri" w:cs="Calibri"/>
        </w:rPr>
      </w:pPr>
      <w:r>
        <w:rPr>
          <w:rFonts w:ascii="Calibri" w:hAnsi="Calibri" w:cs="Calibri"/>
          <w:b/>
        </w:rPr>
        <w:t>Agjencia Kombëtare e Kërkimit Shkencor dhe Inovacionit (AKKSHI)</w:t>
      </w:r>
      <w:r>
        <w:rPr>
          <w:rFonts w:ascii="Calibri" w:hAnsi="Calibri" w:cs="Calibri"/>
        </w:rPr>
        <w:t xml:space="preserve"> është institucion në varësi të MASR</w:t>
      </w:r>
      <w:r w:rsidR="00933B26">
        <w:rPr>
          <w:rFonts w:ascii="Calibri" w:hAnsi="Calibri" w:cs="Calibri"/>
        </w:rPr>
        <w:t>-s</w:t>
      </w:r>
      <w:r w:rsidR="00933B26" w:rsidRPr="00E97254">
        <w:rPr>
          <w:rFonts w:ascii="Calibri" w:hAnsi="Calibri" w:cs="Calibri"/>
        </w:rPr>
        <w:t>ë</w:t>
      </w:r>
      <w:r w:rsidR="00933B26">
        <w:rPr>
          <w:rFonts w:ascii="Calibri" w:hAnsi="Calibri" w:cs="Calibri"/>
        </w:rPr>
        <w:t>,</w:t>
      </w:r>
      <w:r w:rsidR="005C2F5C" w:rsidRPr="00E97254">
        <w:rPr>
          <w:rFonts w:ascii="Calibri" w:hAnsi="Calibri" w:cs="Calibri"/>
        </w:rPr>
        <w:t xml:space="preserve"> që ka për </w:t>
      </w:r>
      <w:r w:rsidR="00266BCF" w:rsidRPr="00E97254">
        <w:rPr>
          <w:rFonts w:ascii="Calibri" w:hAnsi="Calibri" w:cs="Calibri"/>
        </w:rPr>
        <w:t xml:space="preserve">mision të nxisë kërkimin shkencor dhe inovacionin, nëpërmjet mbështetjes, monitorimit e vlerësimit të programeve dhe projekteve në fushën e shkencës, teknologjisë dhe inovacionit (SHTI), si dhe </w:t>
      </w:r>
      <w:r w:rsidR="00FB141B" w:rsidRPr="00E97254">
        <w:rPr>
          <w:rFonts w:ascii="Calibri" w:hAnsi="Calibri" w:cs="Calibri"/>
        </w:rPr>
        <w:t>administrimin</w:t>
      </w:r>
      <w:r w:rsidR="00266BCF" w:rsidRPr="00E97254">
        <w:rPr>
          <w:rFonts w:ascii="Calibri" w:hAnsi="Calibri" w:cs="Calibri"/>
        </w:rPr>
        <w:t xml:space="preserve"> e përditësimin e bazës kombëtare të </w:t>
      </w:r>
      <w:r w:rsidR="00933B26">
        <w:rPr>
          <w:rFonts w:ascii="Calibri" w:hAnsi="Calibri" w:cs="Calibri"/>
        </w:rPr>
        <w:t>t</w:t>
      </w:r>
      <w:r w:rsidR="00933B26" w:rsidRPr="00E97254">
        <w:rPr>
          <w:rFonts w:ascii="Calibri" w:hAnsi="Calibri" w:cs="Calibri"/>
        </w:rPr>
        <w:t>ë</w:t>
      </w:r>
      <w:r w:rsidR="00933B26">
        <w:rPr>
          <w:rFonts w:ascii="Calibri" w:hAnsi="Calibri" w:cs="Calibri"/>
        </w:rPr>
        <w:t xml:space="preserve"> </w:t>
      </w:r>
      <w:r w:rsidR="00266BCF" w:rsidRPr="00E97254">
        <w:rPr>
          <w:rFonts w:ascii="Calibri" w:hAnsi="Calibri" w:cs="Calibri"/>
        </w:rPr>
        <w:t>dhënave për kërkimin shkencor dhe inovacionin</w:t>
      </w:r>
      <w:r w:rsidR="005C2F5C" w:rsidRPr="00E97254">
        <w:rPr>
          <w:rFonts w:ascii="Calibri" w:hAnsi="Calibri" w:cs="Calibri"/>
        </w:rPr>
        <w:t>. AKKSHI</w:t>
      </w:r>
      <w:r w:rsidR="00933B26">
        <w:rPr>
          <w:rFonts w:ascii="Calibri" w:hAnsi="Calibri" w:cs="Calibri"/>
        </w:rPr>
        <w:t>-ja</w:t>
      </w:r>
      <w:r w:rsidR="005C2F5C" w:rsidRPr="00E97254">
        <w:rPr>
          <w:rFonts w:ascii="Calibri" w:hAnsi="Calibri" w:cs="Calibri"/>
        </w:rPr>
        <w:t xml:space="preserve"> identifikon fushat prioritare të kërkimit, teknologjisë dhe inovacionit dhe vlerëson projektet për financim në këto fush</w:t>
      </w:r>
      <w:r w:rsidR="00FB141B" w:rsidRPr="00E97254">
        <w:rPr>
          <w:rFonts w:ascii="Calibri" w:hAnsi="Calibri" w:cs="Calibri"/>
        </w:rPr>
        <w:t>a.</w:t>
      </w:r>
      <w:r w:rsidR="005C2F5C" w:rsidRPr="00E97254">
        <w:rPr>
          <w:rFonts w:ascii="Calibri" w:hAnsi="Calibri" w:cs="Calibri"/>
        </w:rPr>
        <w:t xml:space="preserve"> Po ashtu, AKKSHI</w:t>
      </w:r>
      <w:r w:rsidR="00933B26">
        <w:rPr>
          <w:rFonts w:ascii="Calibri" w:hAnsi="Calibri" w:cs="Calibri"/>
        </w:rPr>
        <w:t>-ja</w:t>
      </w:r>
      <w:r w:rsidR="005C2F5C" w:rsidRPr="00E97254">
        <w:rPr>
          <w:rFonts w:ascii="Calibri" w:hAnsi="Calibri" w:cs="Calibri"/>
        </w:rPr>
        <w:t xml:space="preserve"> është përgjegjëse për shpërndarjen e informacionit dhe koordinimin e procesit të aplikimit për projekte kërkimore nd</w:t>
      </w:r>
      <w:r>
        <w:rPr>
          <w:rFonts w:ascii="Calibri" w:hAnsi="Calibri" w:cs="Calibri"/>
        </w:rPr>
        <w:t>ërkombëtare.</w:t>
      </w:r>
    </w:p>
    <w:p w:rsidR="00C44536" w:rsidRPr="00E97254" w:rsidRDefault="00FA5606" w:rsidP="000C0250">
      <w:pPr>
        <w:pStyle w:val="Heading1"/>
        <w:jc w:val="both"/>
      </w:pPr>
      <w:bookmarkStart w:id="35" w:name="_Toc45624217"/>
      <w:bookmarkStart w:id="36" w:name="_Toc66801986"/>
      <w:r w:rsidRPr="00FA5606">
        <w:lastRenderedPageBreak/>
        <w:t xml:space="preserve">4. Analiza e </w:t>
      </w:r>
      <w:bookmarkEnd w:id="35"/>
      <w:bookmarkEnd w:id="36"/>
      <w:r w:rsidR="00DC4C19">
        <w:t>situatës</w:t>
      </w:r>
    </w:p>
    <w:p w:rsidR="00154692" w:rsidRPr="00E97254" w:rsidRDefault="00DC4C19" w:rsidP="000C0250">
      <w:pPr>
        <w:spacing w:before="120" w:after="0"/>
        <w:jc w:val="both"/>
        <w:rPr>
          <w:rFonts w:ascii="Calibri" w:hAnsi="Calibri" w:cs="Calibri"/>
        </w:rPr>
      </w:pPr>
      <w:r>
        <w:rPr>
          <w:rFonts w:ascii="Calibri" w:hAnsi="Calibri" w:cs="Calibri"/>
        </w:rPr>
        <w:t xml:space="preserve">Analiza e situatës  </w:t>
      </w:r>
      <w:r w:rsidR="004E1F53">
        <w:rPr>
          <w:rFonts w:ascii="Calibri" w:hAnsi="Calibri" w:cs="Calibri"/>
        </w:rPr>
        <w:t xml:space="preserve">në Sektorin e Arsimit u zhvillua në nivelin e makro-mjedisit që </w:t>
      </w:r>
      <w:r w:rsidR="004E1F53">
        <w:rPr>
          <w:rFonts w:cs="Calibri"/>
        </w:rPr>
        <w:t>përfshin</w:t>
      </w:r>
      <w:r w:rsidR="004E1F53">
        <w:rPr>
          <w:rFonts w:ascii="Calibri" w:hAnsi="Calibri" w:cs="Calibri"/>
        </w:rPr>
        <w:t xml:space="preserve"> faktorët e jashtëm me ndikim në Sektorin e Arsimit, si dhe të mikro-mjedisit që ngërthen në vete faktorët e brendshëm. Për një analizë më të përgjithshme të makro-mjedisit u shfrytëzua metoda PEST e cila identifikon faktorët politikë, ekonomikë, socialë dhe teknologjikë. Ndërkaq, për një analizë të thelluar të mikro dhe makro-mjedisit u shfrytëzua metoda SWOT e cila identifikon sukseset (anët e forta) dhe dobësitë (anët e dobëta) si faktorë të brendshëm, si dhe mundësitë (oportunitetet) dhe rreziqet (risqet) si faktorë të jashtëm. Këto analiza u kryen nga grupet e specialistëve të MASR-së. </w:t>
      </w:r>
    </w:p>
    <w:p w:rsidR="00C44536" w:rsidRPr="00E97254" w:rsidRDefault="00FA5606" w:rsidP="000C0250">
      <w:pPr>
        <w:pStyle w:val="Heading2"/>
        <w:jc w:val="both"/>
      </w:pPr>
      <w:bookmarkStart w:id="37" w:name="_Toc45624218"/>
      <w:bookmarkStart w:id="38" w:name="_Toc66801987"/>
      <w:r w:rsidRPr="00FA5606">
        <w:t>4.1. Sfidat dhe mundësitë e mjedisit</w:t>
      </w:r>
      <w:bookmarkEnd w:id="37"/>
      <w:bookmarkEnd w:id="38"/>
    </w:p>
    <w:p w:rsidR="00B74885" w:rsidRPr="00E97254" w:rsidRDefault="004E1F53" w:rsidP="000C0250">
      <w:pPr>
        <w:spacing w:after="120"/>
        <w:jc w:val="both"/>
        <w:rPr>
          <w:rFonts w:ascii="Calibri" w:hAnsi="Calibri" w:cs="Calibri"/>
        </w:rPr>
      </w:pPr>
      <w:r>
        <w:rPr>
          <w:rFonts w:ascii="Calibri" w:hAnsi="Calibri" w:cs="Calibri"/>
        </w:rPr>
        <w:t xml:space="preserve">Në vijim është dhënë një përmbledhje e shkurtër e faktorëve politikë, ekonomikë, socialë dhe teknologjikë me ndikim të supozuar në zhvillimet në fushën e arsimit. </w:t>
      </w:r>
    </w:p>
    <w:tbl>
      <w:tblPr>
        <w:tblW w:w="9549" w:type="dxa"/>
        <w:tblLook w:val="04A0" w:firstRow="1" w:lastRow="0" w:firstColumn="1" w:lastColumn="0" w:noHBand="0" w:noVBand="1"/>
      </w:tblPr>
      <w:tblGrid>
        <w:gridCol w:w="1525"/>
        <w:gridCol w:w="8024"/>
      </w:tblGrid>
      <w:tr w:rsidR="00D416CA" w:rsidRPr="00E97254" w:rsidTr="00D416CA">
        <w:tc>
          <w:tcPr>
            <w:tcW w:w="1525" w:type="dxa"/>
          </w:tcPr>
          <w:p w:rsidR="00D416CA" w:rsidRPr="00E97254" w:rsidRDefault="004E1F53" w:rsidP="000C0250">
            <w:pPr>
              <w:jc w:val="both"/>
              <w:rPr>
                <w:rFonts w:ascii="Calibri" w:hAnsi="Calibri" w:cs="Calibri"/>
              </w:rPr>
            </w:pPr>
            <w:r>
              <w:rPr>
                <w:rFonts w:ascii="Calibri" w:hAnsi="Calibri" w:cs="Calibri"/>
              </w:rPr>
              <w:t>Faktorët politikë</w:t>
            </w:r>
          </w:p>
        </w:tc>
        <w:tc>
          <w:tcPr>
            <w:tcW w:w="8024" w:type="dxa"/>
          </w:tcPr>
          <w:p w:rsidR="00D416CA" w:rsidRPr="00E97254" w:rsidRDefault="004E1F53" w:rsidP="000C0250">
            <w:pPr>
              <w:pStyle w:val="ListParagraph"/>
              <w:numPr>
                <w:ilvl w:val="0"/>
                <w:numId w:val="18"/>
              </w:numPr>
              <w:rPr>
                <w:rFonts w:ascii="Calibri" w:hAnsi="Calibri" w:cs="Calibri"/>
                <w:szCs w:val="24"/>
              </w:rPr>
            </w:pPr>
            <w:r>
              <w:rPr>
                <w:rFonts w:ascii="Calibri" w:hAnsi="Calibri" w:cs="Calibri"/>
                <w:szCs w:val="24"/>
              </w:rPr>
              <w:t xml:space="preserve">Arsimi ka zënë vend të rëndësishëm në agjendën politike të Republikës së Shqipërisë. </w:t>
            </w:r>
          </w:p>
          <w:p w:rsidR="00D416CA" w:rsidRPr="00E97254" w:rsidRDefault="004E1F53" w:rsidP="000C0250">
            <w:pPr>
              <w:pStyle w:val="ListParagraph"/>
              <w:numPr>
                <w:ilvl w:val="0"/>
                <w:numId w:val="18"/>
              </w:numPr>
              <w:rPr>
                <w:rFonts w:ascii="Calibri" w:hAnsi="Calibri" w:cs="Calibri"/>
                <w:szCs w:val="24"/>
              </w:rPr>
            </w:pPr>
            <w:r>
              <w:rPr>
                <w:rFonts w:ascii="Calibri" w:hAnsi="Calibri" w:cs="Calibri"/>
                <w:szCs w:val="24"/>
              </w:rPr>
              <w:t>Punësimi i të rinjve është prioritet në programin qeverisës dhe ndërlidhet me zhvillimet në fushën e arsimit.</w:t>
            </w:r>
          </w:p>
          <w:p w:rsidR="00D416CA" w:rsidRPr="00E97254" w:rsidRDefault="00D416CA" w:rsidP="000C0250">
            <w:pPr>
              <w:pStyle w:val="ListParagraph"/>
              <w:numPr>
                <w:ilvl w:val="0"/>
                <w:numId w:val="18"/>
              </w:numPr>
              <w:jc w:val="both"/>
              <w:rPr>
                <w:rFonts w:ascii="Calibri" w:hAnsi="Calibri" w:cs="Calibri"/>
              </w:rPr>
            </w:pPr>
            <w:r w:rsidRPr="00E97254">
              <w:rPr>
                <w:rFonts w:ascii="Calibri" w:hAnsi="Calibri" w:cs="Calibri"/>
                <w:szCs w:val="24"/>
              </w:rPr>
              <w:t xml:space="preserve">Avancimi në procesin e integrimit </w:t>
            </w:r>
            <w:r w:rsidR="00933B26" w:rsidRPr="00E97254">
              <w:rPr>
                <w:rFonts w:ascii="Calibri" w:hAnsi="Calibri" w:cs="Calibri"/>
                <w:szCs w:val="24"/>
              </w:rPr>
              <w:t>evropian</w:t>
            </w:r>
            <w:r w:rsidRPr="00E97254">
              <w:rPr>
                <w:rFonts w:ascii="Calibri" w:hAnsi="Calibri" w:cs="Calibri"/>
                <w:szCs w:val="24"/>
              </w:rPr>
              <w:t xml:space="preserve"> kërkon përmirësime në sistemin e arsimit, në mënyrë që vendi t'i përmbushë kriteret për </w:t>
            </w:r>
            <w:r w:rsidR="004E1F53">
              <w:rPr>
                <w:rFonts w:ascii="Calibri" w:hAnsi="Calibri" w:cs="Calibri"/>
                <w:szCs w:val="24"/>
              </w:rPr>
              <w:t>anëtarësim.</w:t>
            </w:r>
          </w:p>
        </w:tc>
      </w:tr>
      <w:tr w:rsidR="00D416CA" w:rsidRPr="00E97254" w:rsidTr="00D416CA">
        <w:tc>
          <w:tcPr>
            <w:tcW w:w="1525" w:type="dxa"/>
          </w:tcPr>
          <w:p w:rsidR="00D416CA" w:rsidRPr="00E97254" w:rsidRDefault="004E1F53" w:rsidP="000C0250">
            <w:pPr>
              <w:spacing w:before="120"/>
              <w:jc w:val="both"/>
              <w:rPr>
                <w:rFonts w:ascii="Calibri" w:hAnsi="Calibri" w:cs="Calibri"/>
              </w:rPr>
            </w:pPr>
            <w:r>
              <w:rPr>
                <w:rFonts w:ascii="Calibri" w:hAnsi="Calibri" w:cs="Calibri"/>
              </w:rPr>
              <w:t>Faktorët ekonomikë</w:t>
            </w:r>
          </w:p>
        </w:tc>
        <w:tc>
          <w:tcPr>
            <w:tcW w:w="8024" w:type="dxa"/>
          </w:tcPr>
          <w:p w:rsidR="00D416CA" w:rsidRPr="00E97254" w:rsidRDefault="004E1F53" w:rsidP="000C0250">
            <w:pPr>
              <w:pStyle w:val="ListParagraph"/>
              <w:numPr>
                <w:ilvl w:val="0"/>
                <w:numId w:val="18"/>
              </w:numPr>
              <w:spacing w:before="120"/>
              <w:rPr>
                <w:rFonts w:ascii="Calibri" w:hAnsi="Calibri" w:cs="Calibri"/>
                <w:szCs w:val="24"/>
              </w:rPr>
            </w:pPr>
            <w:r>
              <w:rPr>
                <w:rFonts w:ascii="Calibri" w:hAnsi="Calibri" w:cs="Calibri"/>
                <w:szCs w:val="24"/>
              </w:rPr>
              <w:t xml:space="preserve">Të gjitha analizat në nivelin makro tregojnë se Shqipëria do të ketë rënie </w:t>
            </w:r>
            <w:r w:rsidR="00D416CA" w:rsidRPr="00E97254">
              <w:rPr>
                <w:rFonts w:ascii="Calibri" w:hAnsi="Calibri" w:cs="Calibri"/>
                <w:szCs w:val="24"/>
              </w:rPr>
              <w:t xml:space="preserve">ekonomike </w:t>
            </w:r>
            <w:r w:rsidR="000A5B07" w:rsidRPr="00E97254">
              <w:rPr>
                <w:rFonts w:ascii="Calibri" w:hAnsi="Calibri" w:cs="Calibri"/>
                <w:szCs w:val="24"/>
              </w:rPr>
              <w:t>të konsiderueshme</w:t>
            </w:r>
            <w:r w:rsidR="00D416CA" w:rsidRPr="00E97254">
              <w:rPr>
                <w:rFonts w:ascii="Calibri" w:hAnsi="Calibri" w:cs="Calibri"/>
                <w:szCs w:val="24"/>
              </w:rPr>
              <w:t xml:space="preserve"> të PBB</w:t>
            </w:r>
            <w:r w:rsidR="00933B26">
              <w:rPr>
                <w:rFonts w:ascii="Calibri" w:hAnsi="Calibri" w:cs="Calibri"/>
                <w:szCs w:val="24"/>
              </w:rPr>
              <w:t>-s</w:t>
            </w:r>
            <w:r w:rsidR="00933B26" w:rsidRPr="00E97254">
              <w:rPr>
                <w:rFonts w:ascii="Calibri" w:hAnsi="Calibri" w:cs="Calibri"/>
              </w:rPr>
              <w:t>ë</w:t>
            </w:r>
            <w:r w:rsidR="00D416CA" w:rsidRPr="00E97254">
              <w:rPr>
                <w:rFonts w:ascii="Calibri" w:hAnsi="Calibri" w:cs="Calibri"/>
                <w:szCs w:val="24"/>
              </w:rPr>
              <w:t>, si pasojë e krizës COVID-19.</w:t>
            </w:r>
          </w:p>
          <w:p w:rsidR="00D416CA" w:rsidRPr="00E97254" w:rsidRDefault="00D416CA" w:rsidP="00933B26">
            <w:pPr>
              <w:pStyle w:val="ListParagraph"/>
              <w:numPr>
                <w:ilvl w:val="0"/>
                <w:numId w:val="18"/>
              </w:numPr>
              <w:spacing w:before="120"/>
              <w:jc w:val="both"/>
              <w:rPr>
                <w:rFonts w:ascii="Calibri" w:hAnsi="Calibri" w:cs="Calibri"/>
              </w:rPr>
            </w:pPr>
            <w:r w:rsidRPr="00E97254">
              <w:rPr>
                <w:rFonts w:ascii="Calibri" w:hAnsi="Calibri" w:cs="Calibri"/>
                <w:szCs w:val="24"/>
              </w:rPr>
              <w:t xml:space="preserve">Mospërputhje </w:t>
            </w:r>
            <w:r w:rsidR="00933B26">
              <w:rPr>
                <w:rFonts w:ascii="Calibri" w:hAnsi="Calibri" w:cs="Calibri"/>
                <w:szCs w:val="24"/>
              </w:rPr>
              <w:t>nd</w:t>
            </w:r>
            <w:r w:rsidR="00933B26" w:rsidRPr="00E97254">
              <w:rPr>
                <w:rFonts w:ascii="Calibri" w:hAnsi="Calibri" w:cs="Calibri"/>
              </w:rPr>
              <w:t>ë</w:t>
            </w:r>
            <w:r w:rsidR="00933B26">
              <w:rPr>
                <w:rFonts w:ascii="Calibri" w:hAnsi="Calibri" w:cs="Calibri"/>
              </w:rPr>
              <w:t>rmjet</w:t>
            </w:r>
            <w:r w:rsidRPr="00E97254">
              <w:rPr>
                <w:rFonts w:ascii="Calibri" w:hAnsi="Calibri" w:cs="Calibri"/>
                <w:szCs w:val="24"/>
              </w:rPr>
              <w:t xml:space="preserve"> ofertës dhe kërkesës për aftësi në tregun shqiptar të punës </w:t>
            </w:r>
          </w:p>
        </w:tc>
      </w:tr>
      <w:tr w:rsidR="00D416CA" w:rsidRPr="00E97254" w:rsidTr="00D416CA">
        <w:tc>
          <w:tcPr>
            <w:tcW w:w="1525" w:type="dxa"/>
          </w:tcPr>
          <w:p w:rsidR="00D416CA" w:rsidRPr="00E97254" w:rsidRDefault="004E1F53" w:rsidP="000C0250">
            <w:pPr>
              <w:spacing w:before="120"/>
              <w:jc w:val="both"/>
              <w:rPr>
                <w:rFonts w:ascii="Calibri" w:hAnsi="Calibri" w:cs="Calibri"/>
              </w:rPr>
            </w:pPr>
            <w:r>
              <w:rPr>
                <w:rFonts w:ascii="Calibri" w:hAnsi="Calibri" w:cs="Calibri"/>
              </w:rPr>
              <w:t>Faktorët socialë</w:t>
            </w:r>
          </w:p>
        </w:tc>
        <w:tc>
          <w:tcPr>
            <w:tcW w:w="8024" w:type="dxa"/>
          </w:tcPr>
          <w:p w:rsidR="00D416CA" w:rsidRPr="00E97254" w:rsidRDefault="004E1F53" w:rsidP="000C0250">
            <w:pPr>
              <w:pStyle w:val="ListParagraph"/>
              <w:numPr>
                <w:ilvl w:val="0"/>
                <w:numId w:val="18"/>
              </w:numPr>
              <w:spacing w:before="120"/>
              <w:rPr>
                <w:rFonts w:ascii="Calibri" w:hAnsi="Calibri" w:cs="Calibri"/>
                <w:szCs w:val="24"/>
              </w:rPr>
            </w:pPr>
            <w:r>
              <w:rPr>
                <w:rFonts w:ascii="Calibri" w:hAnsi="Calibri" w:cs="Calibri"/>
                <w:szCs w:val="24"/>
              </w:rPr>
              <w:t xml:space="preserve">Rënia e vazhdueshme e lindshmërisë  dhe </w:t>
            </w:r>
            <w:r w:rsidR="00685361">
              <w:rPr>
                <w:rFonts w:ascii="Calibri" w:hAnsi="Calibri" w:cs="Calibri"/>
                <w:szCs w:val="24"/>
              </w:rPr>
              <w:t>prirjet</w:t>
            </w:r>
            <w:r w:rsidR="00933B26" w:rsidRPr="00E97254">
              <w:rPr>
                <w:rFonts w:ascii="Calibri" w:hAnsi="Calibri" w:cs="Calibri"/>
                <w:szCs w:val="24"/>
              </w:rPr>
              <w:t xml:space="preserve"> </w:t>
            </w:r>
            <w:r w:rsidR="00685361">
              <w:rPr>
                <w:rFonts w:ascii="Calibri" w:hAnsi="Calibri" w:cs="Calibri"/>
                <w:szCs w:val="24"/>
              </w:rPr>
              <w:t>p</w:t>
            </w:r>
            <w:r w:rsidR="00685361" w:rsidRPr="000434A3">
              <w:t>ë</w:t>
            </w:r>
            <w:r w:rsidR="00685361">
              <w:t>r</w:t>
            </w:r>
            <w:r w:rsidR="00685361" w:rsidRPr="00E97254">
              <w:rPr>
                <w:rFonts w:ascii="Calibri" w:hAnsi="Calibri" w:cs="Calibri"/>
                <w:szCs w:val="24"/>
              </w:rPr>
              <w:t xml:space="preserve"> </w:t>
            </w:r>
            <w:r w:rsidR="00D416CA" w:rsidRPr="00E97254">
              <w:rPr>
                <w:rFonts w:ascii="Calibri" w:hAnsi="Calibri" w:cs="Calibri"/>
                <w:szCs w:val="24"/>
              </w:rPr>
              <w:t>migrim janë duke shkaktuar ndryshime në tablonë demografike.</w:t>
            </w:r>
          </w:p>
          <w:p w:rsidR="00D416CA" w:rsidRPr="00E97254" w:rsidRDefault="004E1F53" w:rsidP="000C0250">
            <w:pPr>
              <w:pStyle w:val="ListParagraph"/>
              <w:numPr>
                <w:ilvl w:val="0"/>
                <w:numId w:val="18"/>
              </w:numPr>
              <w:spacing w:before="120"/>
              <w:jc w:val="both"/>
              <w:rPr>
                <w:rFonts w:ascii="Calibri" w:hAnsi="Calibri" w:cs="Calibri"/>
              </w:rPr>
            </w:pPr>
            <w:r>
              <w:rPr>
                <w:rFonts w:ascii="Calibri" w:hAnsi="Calibri" w:cs="Calibri"/>
                <w:szCs w:val="24"/>
              </w:rPr>
              <w:t>Gjatë dy viteve të fundit është dëshmuar se qytetarët kërkojnë përmirësim domethënës të cilësisë së arsimit</w:t>
            </w:r>
          </w:p>
        </w:tc>
      </w:tr>
      <w:tr w:rsidR="00D416CA" w:rsidRPr="00E97254" w:rsidTr="00D416CA">
        <w:tc>
          <w:tcPr>
            <w:tcW w:w="1525" w:type="dxa"/>
          </w:tcPr>
          <w:p w:rsidR="00D416CA" w:rsidRPr="00E97254" w:rsidRDefault="004E1F53" w:rsidP="000C0250">
            <w:pPr>
              <w:spacing w:before="120"/>
              <w:jc w:val="both"/>
              <w:rPr>
                <w:rFonts w:ascii="Calibri" w:hAnsi="Calibri" w:cs="Calibri"/>
              </w:rPr>
            </w:pPr>
            <w:r>
              <w:rPr>
                <w:rFonts w:ascii="Calibri" w:hAnsi="Calibri" w:cs="Calibri"/>
              </w:rPr>
              <w:t>Faktorët teknologjikë</w:t>
            </w:r>
          </w:p>
        </w:tc>
        <w:tc>
          <w:tcPr>
            <w:tcW w:w="8024" w:type="dxa"/>
          </w:tcPr>
          <w:p w:rsidR="00D416CA" w:rsidRPr="00E97254" w:rsidRDefault="004E1F53" w:rsidP="000C0250">
            <w:pPr>
              <w:pStyle w:val="ListParagraph"/>
              <w:numPr>
                <w:ilvl w:val="0"/>
                <w:numId w:val="18"/>
              </w:numPr>
              <w:spacing w:before="120"/>
              <w:rPr>
                <w:rFonts w:ascii="Calibri" w:hAnsi="Calibri" w:cs="Calibri"/>
                <w:szCs w:val="24"/>
              </w:rPr>
            </w:pPr>
            <w:r>
              <w:rPr>
                <w:rFonts w:ascii="Calibri" w:hAnsi="Calibri" w:cs="Calibri"/>
                <w:szCs w:val="24"/>
              </w:rPr>
              <w:t xml:space="preserve">Me përmirësimin e rrjetit të rrugëve shtohen mundësitë për </w:t>
            </w:r>
            <w:r w:rsidR="00933B26">
              <w:rPr>
                <w:rFonts w:ascii="Calibri" w:hAnsi="Calibri" w:cs="Calibri"/>
                <w:szCs w:val="24"/>
              </w:rPr>
              <w:t>l</w:t>
            </w:r>
            <w:r w:rsidR="00933B26" w:rsidRPr="00E97254">
              <w:rPr>
                <w:rFonts w:ascii="Calibri" w:hAnsi="Calibri" w:cs="Calibri"/>
              </w:rPr>
              <w:t>ë</w:t>
            </w:r>
            <w:r w:rsidR="00933B26">
              <w:rPr>
                <w:rFonts w:ascii="Calibri" w:hAnsi="Calibri" w:cs="Calibri"/>
              </w:rPr>
              <w:t>vizshm</w:t>
            </w:r>
            <w:r w:rsidR="00933B26" w:rsidRPr="00E97254">
              <w:rPr>
                <w:rFonts w:ascii="Calibri" w:hAnsi="Calibri" w:cs="Calibri"/>
              </w:rPr>
              <w:t>ë</w:t>
            </w:r>
            <w:r w:rsidR="00933B26">
              <w:rPr>
                <w:rFonts w:ascii="Calibri" w:hAnsi="Calibri" w:cs="Calibri"/>
              </w:rPr>
              <w:t>ri</w:t>
            </w:r>
            <w:r w:rsidR="00933B26" w:rsidRPr="00E97254">
              <w:rPr>
                <w:rFonts w:ascii="Calibri" w:hAnsi="Calibri" w:cs="Calibri"/>
                <w:szCs w:val="24"/>
              </w:rPr>
              <w:t xml:space="preserve"> </w:t>
            </w:r>
            <w:r w:rsidR="00D416CA" w:rsidRPr="00E97254">
              <w:rPr>
                <w:rFonts w:ascii="Calibri" w:hAnsi="Calibri" w:cs="Calibri"/>
                <w:szCs w:val="24"/>
              </w:rPr>
              <w:t>brenda vendit dhe brenda bashkive</w:t>
            </w:r>
          </w:p>
          <w:p w:rsidR="00D416CA" w:rsidRPr="00E97254" w:rsidRDefault="004E1F53" w:rsidP="000C0250">
            <w:pPr>
              <w:pStyle w:val="ListParagraph"/>
              <w:numPr>
                <w:ilvl w:val="0"/>
                <w:numId w:val="18"/>
              </w:numPr>
              <w:spacing w:before="120"/>
              <w:jc w:val="both"/>
              <w:rPr>
                <w:rFonts w:ascii="Calibri" w:hAnsi="Calibri" w:cs="Calibri"/>
              </w:rPr>
            </w:pPr>
            <w:r>
              <w:rPr>
                <w:rFonts w:ascii="Calibri" w:hAnsi="Calibri" w:cs="Calibri"/>
                <w:szCs w:val="24"/>
              </w:rPr>
              <w:t xml:space="preserve">Infrastruktura solide telekomunikuese </w:t>
            </w:r>
          </w:p>
        </w:tc>
      </w:tr>
    </w:tbl>
    <w:p w:rsidR="00C44536" w:rsidRPr="00E97254" w:rsidRDefault="00FA5606" w:rsidP="000C0250">
      <w:pPr>
        <w:pStyle w:val="Heading3"/>
        <w:jc w:val="both"/>
      </w:pPr>
      <w:bookmarkStart w:id="39" w:name="_Toc45624219"/>
      <w:bookmarkStart w:id="40" w:name="_Toc66801988"/>
      <w:r w:rsidRPr="00FA5606">
        <w:t>4.1.1. Faktorët politikë</w:t>
      </w:r>
      <w:bookmarkEnd w:id="39"/>
      <w:bookmarkEnd w:id="40"/>
    </w:p>
    <w:p w:rsidR="00C32E55" w:rsidRPr="00E97254" w:rsidRDefault="004E1F53" w:rsidP="00515FBA">
      <w:pPr>
        <w:spacing w:before="120" w:after="0"/>
        <w:jc w:val="both"/>
        <w:rPr>
          <w:rFonts w:ascii="Calibri" w:hAnsi="Calibri" w:cs="Calibri"/>
          <w:sz w:val="24"/>
          <w:szCs w:val="24"/>
        </w:rPr>
      </w:pPr>
      <w:r>
        <w:rPr>
          <w:rFonts w:ascii="Calibri" w:hAnsi="Calibri" w:cs="Calibri"/>
        </w:rPr>
        <w:t xml:space="preserve">Pothuajse një e treta e popullsisë të Shqipërisë </w:t>
      </w:r>
      <w:r w:rsidR="00933B26" w:rsidRPr="00E97254">
        <w:rPr>
          <w:rFonts w:ascii="Calibri" w:hAnsi="Calibri" w:cs="Calibri"/>
        </w:rPr>
        <w:t>ë</w:t>
      </w:r>
      <w:r w:rsidR="00933B26">
        <w:rPr>
          <w:rFonts w:ascii="Calibri" w:hAnsi="Calibri" w:cs="Calibri"/>
        </w:rPr>
        <w:t>sht</w:t>
      </w:r>
      <w:r w:rsidR="00933B26" w:rsidRPr="00E97254">
        <w:rPr>
          <w:rFonts w:ascii="Calibri" w:hAnsi="Calibri" w:cs="Calibri"/>
        </w:rPr>
        <w:t xml:space="preserve">ë </w:t>
      </w:r>
      <w:r w:rsidR="00933B26">
        <w:rPr>
          <w:rFonts w:ascii="Calibri" w:hAnsi="Calibri" w:cs="Calibri"/>
        </w:rPr>
        <w:t>e</w:t>
      </w:r>
      <w:r w:rsidR="00933B26" w:rsidRPr="00E97254">
        <w:rPr>
          <w:rFonts w:ascii="Calibri" w:hAnsi="Calibri" w:cs="Calibri"/>
        </w:rPr>
        <w:t xml:space="preserve"> </w:t>
      </w:r>
      <w:r w:rsidR="002D0FF8" w:rsidRPr="00E97254">
        <w:rPr>
          <w:rFonts w:ascii="Calibri" w:hAnsi="Calibri" w:cs="Calibri"/>
        </w:rPr>
        <w:t>përfshirë në sistemin e arsimit</w:t>
      </w:r>
      <w:r w:rsidR="00B01FAB" w:rsidRPr="00E97254">
        <w:rPr>
          <w:rFonts w:ascii="Calibri" w:hAnsi="Calibri" w:cs="Calibri"/>
        </w:rPr>
        <w:t xml:space="preserve">, prandaj është e kuptueshme që arsimi zë vend të rëndësishëm në agjendën politike të vendit. Kjo reflektohet si në politikat ndërsektoriale, ashtu edhe në agjendën legjislative të qeverisë, por jo </w:t>
      </w:r>
      <w:r>
        <w:rPr>
          <w:rFonts w:cs="Calibri"/>
        </w:rPr>
        <w:t>patjet</w:t>
      </w:r>
      <w:r>
        <w:rPr>
          <w:rFonts w:cs="Calibri"/>
          <w:color w:val="222222"/>
        </w:rPr>
        <w:t>ër</w:t>
      </w:r>
      <w:r>
        <w:rPr>
          <w:rFonts w:ascii="Calibri" w:hAnsi="Calibri" w:cs="Calibri"/>
        </w:rPr>
        <w:t xml:space="preserve"> edhe në </w:t>
      </w:r>
      <w:r>
        <w:rPr>
          <w:rFonts w:cs="Calibri"/>
        </w:rPr>
        <w:t>plane</w:t>
      </w:r>
      <w:r>
        <w:rPr>
          <w:rFonts w:ascii="Calibri" w:hAnsi="Calibri" w:cs="Calibri"/>
        </w:rPr>
        <w:t xml:space="preserve"> buxhetore. </w:t>
      </w:r>
      <w:r>
        <w:rPr>
          <w:rFonts w:ascii="Calibri" w:hAnsi="Calibri" w:cs="Calibri"/>
          <w:szCs w:val="24"/>
        </w:rPr>
        <w:t>Kështu, shpenzimet publike për arsim në vitin 2018 përbënin vetëm 10.9% të buxhetit të shtetit dhe 3.2% të PBB</w:t>
      </w:r>
      <w:r w:rsidR="00933B26">
        <w:rPr>
          <w:rFonts w:ascii="Calibri" w:hAnsi="Calibri" w:cs="Calibri"/>
          <w:szCs w:val="24"/>
        </w:rPr>
        <w:t>-s</w:t>
      </w:r>
      <w:r w:rsidR="00933B26" w:rsidRPr="00E97254">
        <w:rPr>
          <w:rFonts w:ascii="Calibri" w:hAnsi="Calibri" w:cs="Calibri"/>
        </w:rPr>
        <w:t>ë</w:t>
      </w:r>
      <w:r w:rsidR="00C32E55" w:rsidRPr="00E97254">
        <w:rPr>
          <w:rFonts w:ascii="Calibri" w:hAnsi="Calibri" w:cs="Calibri"/>
          <w:szCs w:val="24"/>
        </w:rPr>
        <w:t xml:space="preserve"> </w:t>
      </w:r>
      <w:sdt>
        <w:sdtPr>
          <w:rPr>
            <w:rFonts w:ascii="Calibri" w:hAnsi="Calibri" w:cs="Calibri"/>
            <w:szCs w:val="24"/>
          </w:rPr>
          <w:id w:val="-1130243405"/>
          <w:citation/>
        </w:sdtPr>
        <w:sdtEndPr/>
        <w:sdtContent>
          <w:r w:rsidR="00EC56B7" w:rsidRPr="00E97254">
            <w:rPr>
              <w:rFonts w:ascii="Calibri" w:hAnsi="Calibri" w:cs="Calibri"/>
              <w:szCs w:val="24"/>
            </w:rPr>
            <w:fldChar w:fldCharType="begin"/>
          </w:r>
          <w:r>
            <w:rPr>
              <w:rFonts w:ascii="Calibri" w:hAnsi="Calibri" w:cs="Calibri"/>
              <w:szCs w:val="24"/>
            </w:rPr>
            <w:instrText xml:space="preserve"> CITATION INS192 \l 1033 </w:instrText>
          </w:r>
          <w:r w:rsidR="00EC56B7" w:rsidRPr="00E97254">
            <w:rPr>
              <w:rFonts w:ascii="Calibri" w:hAnsi="Calibri" w:cs="Calibri"/>
              <w:szCs w:val="24"/>
            </w:rPr>
            <w:fldChar w:fldCharType="separate"/>
          </w:r>
          <w:r w:rsidR="00724BCC" w:rsidRPr="00E97254">
            <w:rPr>
              <w:rFonts w:ascii="Calibri" w:hAnsi="Calibri" w:cs="Calibri"/>
              <w:szCs w:val="24"/>
            </w:rPr>
            <w:t>[33]</w:t>
          </w:r>
          <w:r w:rsidR="00EC56B7" w:rsidRPr="00E97254">
            <w:rPr>
              <w:rFonts w:ascii="Calibri" w:hAnsi="Calibri" w:cs="Calibri"/>
              <w:szCs w:val="24"/>
            </w:rPr>
            <w:fldChar w:fldCharType="end"/>
          </w:r>
        </w:sdtContent>
      </w:sdt>
      <w:r w:rsidR="00C32E55" w:rsidRPr="00E97254">
        <w:rPr>
          <w:rFonts w:ascii="Calibri" w:hAnsi="Calibri" w:cs="Calibri"/>
          <w:szCs w:val="24"/>
        </w:rPr>
        <w:t xml:space="preserve">, që është nën nivelin e shumicës së vendeve të Rajonit. </w:t>
      </w:r>
    </w:p>
    <w:p w:rsidR="00753265" w:rsidRPr="00E97254" w:rsidRDefault="00753265" w:rsidP="000C0250">
      <w:pPr>
        <w:spacing w:after="0"/>
        <w:jc w:val="both"/>
        <w:rPr>
          <w:rFonts w:ascii="Calibri" w:hAnsi="Calibri" w:cs="Calibri"/>
        </w:rPr>
      </w:pPr>
      <w:r w:rsidRPr="00E97254">
        <w:rPr>
          <w:rFonts w:ascii="Calibri" w:hAnsi="Calibri" w:cs="Calibri"/>
        </w:rPr>
        <w:lastRenderedPageBreak/>
        <w:t>Shqipëria ka normë të lartë të papunësisë së të rinjve. Sipas INSTAT</w:t>
      </w:r>
      <w:r w:rsidR="00933B26">
        <w:rPr>
          <w:rFonts w:ascii="Calibri" w:hAnsi="Calibri" w:cs="Calibri"/>
        </w:rPr>
        <w:t>-it</w:t>
      </w:r>
      <w:r w:rsidRPr="00E97254">
        <w:rPr>
          <w:rFonts w:ascii="Calibri" w:hAnsi="Calibri" w:cs="Calibri"/>
        </w:rPr>
        <w:t xml:space="preserve"> </w:t>
      </w:r>
      <w:sdt>
        <w:sdtPr>
          <w:rPr>
            <w:rFonts w:ascii="Calibri" w:hAnsi="Calibri" w:cs="Calibri"/>
          </w:rPr>
          <w:id w:val="82423592"/>
          <w:citation/>
        </w:sdtPr>
        <w:sdtEndPr/>
        <w:sdtContent>
          <w:r w:rsidR="00EC56B7" w:rsidRPr="00E97254">
            <w:rPr>
              <w:rFonts w:ascii="Calibri" w:hAnsi="Calibri" w:cs="Calibri"/>
            </w:rPr>
            <w:fldChar w:fldCharType="begin"/>
          </w:r>
          <w:r w:rsidR="004E1F53">
            <w:rPr>
              <w:rFonts w:ascii="Calibri" w:hAnsi="Calibri" w:cs="Calibri"/>
            </w:rPr>
            <w:instrText xml:space="preserve"> CITATION INS192 \l 1033 </w:instrText>
          </w:r>
          <w:r w:rsidR="00EC56B7" w:rsidRPr="00E97254">
            <w:rPr>
              <w:rFonts w:ascii="Calibri" w:hAnsi="Calibri" w:cs="Calibri"/>
            </w:rPr>
            <w:fldChar w:fldCharType="separate"/>
          </w:r>
          <w:r w:rsidR="00724BCC" w:rsidRPr="00E97254">
            <w:rPr>
              <w:rFonts w:ascii="Calibri" w:hAnsi="Calibri" w:cs="Calibri"/>
            </w:rPr>
            <w:t>[33]</w:t>
          </w:r>
          <w:r w:rsidR="00EC56B7" w:rsidRPr="00E97254">
            <w:rPr>
              <w:rFonts w:ascii="Calibri" w:hAnsi="Calibri" w:cs="Calibri"/>
            </w:rPr>
            <w:fldChar w:fldCharType="end"/>
          </w:r>
        </w:sdtContent>
      </w:sdt>
      <w:r w:rsidRPr="00E97254">
        <w:rPr>
          <w:rFonts w:ascii="Calibri" w:hAnsi="Calibri" w:cs="Calibri"/>
        </w:rPr>
        <w:t>, 23.1% e të rinjve të moshës 15-29 vjeç janë të papunë në vitin 2018, gjë që flet për nevojën e harmonizimit më të mirë të programeve mësimore me kërkesat e tregut të punës.</w:t>
      </w:r>
    </w:p>
    <w:p w:rsidR="003426DA" w:rsidRPr="00E97254" w:rsidRDefault="003426DA" w:rsidP="000C0250">
      <w:pPr>
        <w:spacing w:after="0"/>
        <w:jc w:val="both"/>
        <w:rPr>
          <w:rFonts w:ascii="Calibri" w:hAnsi="Calibri" w:cs="Calibri"/>
        </w:rPr>
      </w:pPr>
    </w:p>
    <w:p w:rsidR="008F6B4C" w:rsidRPr="00E97254" w:rsidRDefault="004E1F53" w:rsidP="000C0250">
      <w:pPr>
        <w:spacing w:after="0"/>
        <w:jc w:val="both"/>
        <w:rPr>
          <w:rFonts w:ascii="Calibri" w:hAnsi="Calibri" w:cs="Calibri"/>
        </w:rPr>
      </w:pPr>
      <w:r>
        <w:rPr>
          <w:rFonts w:ascii="Calibri" w:hAnsi="Calibri" w:cs="Calibri"/>
        </w:rPr>
        <w:t xml:space="preserve">Shqipëria ka avancuar me procesin e integrimit </w:t>
      </w:r>
      <w:r>
        <w:rPr>
          <w:rFonts w:cs="Calibri"/>
        </w:rPr>
        <w:t>evropian</w:t>
      </w:r>
      <w:r>
        <w:rPr>
          <w:rFonts w:ascii="Calibri" w:hAnsi="Calibri" w:cs="Calibri"/>
        </w:rPr>
        <w:t xml:space="preserve">, duke fituar statusin e kandidatit për anëtarësim, në vitin 2014. Marrëveshja e stabilizim-asocimit e firmosur në vitin 2009 </w:t>
      </w:r>
      <w:sdt>
        <w:sdtPr>
          <w:rPr>
            <w:rFonts w:ascii="Calibri" w:hAnsi="Calibri" w:cs="Calibri"/>
          </w:rPr>
          <w:id w:val="-1741472985"/>
          <w:citation/>
        </w:sdtPr>
        <w:sdtEndPr/>
        <w:sdtContent>
          <w:r w:rsidR="00EC56B7" w:rsidRPr="00E97254">
            <w:rPr>
              <w:rFonts w:ascii="Calibri" w:hAnsi="Calibri" w:cs="Calibri"/>
            </w:rPr>
            <w:fldChar w:fldCharType="begin"/>
          </w:r>
          <w:r>
            <w:rPr>
              <w:rFonts w:ascii="Calibri" w:hAnsi="Calibri" w:cs="Calibri"/>
            </w:rPr>
            <w:instrText xml:space="preserve"> CITATION STA09 \l 1033 </w:instrText>
          </w:r>
          <w:r w:rsidR="00EC56B7" w:rsidRPr="00E97254">
            <w:rPr>
              <w:rFonts w:ascii="Calibri" w:hAnsi="Calibri" w:cs="Calibri"/>
            </w:rPr>
            <w:fldChar w:fldCharType="separate"/>
          </w:r>
          <w:r w:rsidR="00724BCC" w:rsidRPr="00E97254">
            <w:rPr>
              <w:rFonts w:ascii="Calibri" w:hAnsi="Calibri" w:cs="Calibri"/>
            </w:rPr>
            <w:t>[35]</w:t>
          </w:r>
          <w:r w:rsidR="00EC56B7" w:rsidRPr="00E97254">
            <w:rPr>
              <w:rFonts w:ascii="Calibri" w:hAnsi="Calibri" w:cs="Calibri"/>
            </w:rPr>
            <w:fldChar w:fldCharType="end"/>
          </w:r>
        </w:sdtContent>
      </w:sdt>
      <w:r w:rsidR="004143DB" w:rsidRPr="00E97254">
        <w:rPr>
          <w:rFonts w:cs="Calibri"/>
        </w:rPr>
        <w:t xml:space="preserve"> </w:t>
      </w:r>
      <w:r w:rsidR="00473F7A" w:rsidRPr="00E97254">
        <w:rPr>
          <w:rFonts w:ascii="Calibri" w:hAnsi="Calibri" w:cs="Calibri"/>
        </w:rPr>
        <w:t xml:space="preserve">parashikon </w:t>
      </w:r>
      <w:r w:rsidR="008F6B4C" w:rsidRPr="00E97254">
        <w:rPr>
          <w:rFonts w:ascii="Calibri" w:hAnsi="Calibri" w:cs="Calibri"/>
        </w:rPr>
        <w:t xml:space="preserve">bashkëpunim </w:t>
      </w:r>
      <w:r w:rsidR="004143DB" w:rsidRPr="00E97254">
        <w:rPr>
          <w:rFonts w:cs="Calibri"/>
        </w:rPr>
        <w:t>midis</w:t>
      </w:r>
      <w:r w:rsidR="008F6B4C" w:rsidRPr="00E97254">
        <w:rPr>
          <w:rFonts w:ascii="Calibri" w:hAnsi="Calibri" w:cs="Calibri"/>
        </w:rPr>
        <w:t xml:space="preserve"> Republikës së Shqipërisë dhe vendeve anëtare të BE </w:t>
      </w:r>
      <w:r w:rsidR="00933B26">
        <w:rPr>
          <w:rFonts w:ascii="Calibri" w:hAnsi="Calibri" w:cs="Calibri"/>
        </w:rPr>
        <w:t>p</w:t>
      </w:r>
      <w:r w:rsidR="00933B26" w:rsidRPr="00E97254">
        <w:rPr>
          <w:rFonts w:ascii="Calibri" w:hAnsi="Calibri" w:cs="Calibri"/>
        </w:rPr>
        <w:t>ë</w:t>
      </w:r>
      <w:r w:rsidR="00933B26">
        <w:rPr>
          <w:rFonts w:ascii="Calibri" w:hAnsi="Calibri" w:cs="Calibri"/>
        </w:rPr>
        <w:t>r</w:t>
      </w:r>
      <w:r w:rsidR="00933B26" w:rsidRPr="00E97254">
        <w:rPr>
          <w:rFonts w:ascii="Calibri" w:hAnsi="Calibri" w:cs="Calibri"/>
        </w:rPr>
        <w:t xml:space="preserve"> </w:t>
      </w:r>
      <w:r w:rsidR="008F6B4C" w:rsidRPr="00E97254">
        <w:rPr>
          <w:rFonts w:ascii="Calibri" w:hAnsi="Calibri" w:cs="Calibri"/>
        </w:rPr>
        <w:t xml:space="preserve">përmirësimin e cilësisë së arsimit dhe </w:t>
      </w:r>
      <w:r>
        <w:rPr>
          <w:rFonts w:ascii="Calibri" w:hAnsi="Calibri" w:cs="Calibri"/>
        </w:rPr>
        <w:t>trajnimit, ndërsa në fushën e arsimit të lartë përcakton si prioritet arritjen e objektivave të Procesit të Bolonjës. Progres-raporti i fundit i BE</w:t>
      </w:r>
      <w:r w:rsidR="00933B26">
        <w:rPr>
          <w:rFonts w:ascii="Calibri" w:hAnsi="Calibri" w:cs="Calibri"/>
        </w:rPr>
        <w:t>-s</w:t>
      </w:r>
      <w:r w:rsidR="00933B26" w:rsidRPr="00E97254">
        <w:rPr>
          <w:rFonts w:ascii="Calibri" w:hAnsi="Calibri" w:cs="Calibri"/>
        </w:rPr>
        <w:t>ë</w:t>
      </w:r>
      <w:r w:rsidR="00F059D3" w:rsidRPr="00E97254">
        <w:rPr>
          <w:rFonts w:ascii="Calibri" w:hAnsi="Calibri" w:cs="Calibri"/>
        </w:rPr>
        <w:t xml:space="preserve"> konstaton se Shqipëria është e përgatitur mes</w:t>
      </w:r>
      <w:r w:rsidR="00D10843" w:rsidRPr="00E97254">
        <w:rPr>
          <w:rFonts w:ascii="Calibri" w:hAnsi="Calibri" w:cs="Calibri"/>
        </w:rPr>
        <w:t>a</w:t>
      </w:r>
      <w:r w:rsidR="00F059D3" w:rsidRPr="00E97254">
        <w:rPr>
          <w:rFonts w:ascii="Calibri" w:hAnsi="Calibri" w:cs="Calibri"/>
        </w:rPr>
        <w:t xml:space="preserve">tarisht në fushën e arsimit, duke sugjeruar përqendrim të </w:t>
      </w:r>
      <w:r w:rsidR="00F059D3" w:rsidRPr="00E97254">
        <w:rPr>
          <w:rFonts w:cs="Calibri"/>
        </w:rPr>
        <w:t>mëte</w:t>
      </w:r>
      <w:r w:rsidR="004143DB" w:rsidRPr="00E97254">
        <w:rPr>
          <w:rFonts w:cs="Calibri"/>
        </w:rPr>
        <w:t>j</w:t>
      </w:r>
      <w:r w:rsidR="00F059D3" w:rsidRPr="00E97254">
        <w:rPr>
          <w:rFonts w:cs="Calibri"/>
        </w:rPr>
        <w:t>shëm</w:t>
      </w:r>
      <w:r w:rsidR="00F059D3" w:rsidRPr="00E97254">
        <w:rPr>
          <w:rFonts w:ascii="Calibri" w:hAnsi="Calibri" w:cs="Calibri"/>
        </w:rPr>
        <w:t xml:space="preserve"> në zbatimin e reformave në fushën e arsimit parauniversitar dhe të lartë </w:t>
      </w:r>
      <w:sdt>
        <w:sdtPr>
          <w:rPr>
            <w:rFonts w:ascii="Calibri" w:hAnsi="Calibri" w:cs="Calibri"/>
          </w:rPr>
          <w:id w:val="1421218272"/>
          <w:citation/>
        </w:sdtPr>
        <w:sdtEndPr/>
        <w:sdtContent>
          <w:r w:rsidR="00EC56B7" w:rsidRPr="00E97254">
            <w:rPr>
              <w:rFonts w:ascii="Calibri" w:hAnsi="Calibri" w:cs="Calibri"/>
            </w:rPr>
            <w:fldChar w:fldCharType="begin"/>
          </w:r>
          <w:r>
            <w:rPr>
              <w:rFonts w:ascii="Calibri" w:hAnsi="Calibri" w:cs="Calibri"/>
            </w:rPr>
            <w:instrText xml:space="preserve"> CITATION Eur18 \l 1033 </w:instrText>
          </w:r>
          <w:r w:rsidR="00EC56B7" w:rsidRPr="00E97254">
            <w:rPr>
              <w:rFonts w:ascii="Calibri" w:hAnsi="Calibri" w:cs="Calibri"/>
            </w:rPr>
            <w:fldChar w:fldCharType="separate"/>
          </w:r>
          <w:r w:rsidR="00724BCC" w:rsidRPr="00E97254">
            <w:rPr>
              <w:rFonts w:ascii="Calibri" w:hAnsi="Calibri" w:cs="Calibri"/>
            </w:rPr>
            <w:t>[24]</w:t>
          </w:r>
          <w:r w:rsidR="00EC56B7" w:rsidRPr="00E97254">
            <w:rPr>
              <w:rFonts w:ascii="Calibri" w:hAnsi="Calibri" w:cs="Calibri"/>
            </w:rPr>
            <w:fldChar w:fldCharType="end"/>
          </w:r>
        </w:sdtContent>
      </w:sdt>
      <w:r w:rsidR="00F059D3" w:rsidRPr="00E97254">
        <w:rPr>
          <w:rFonts w:ascii="Calibri" w:hAnsi="Calibri" w:cs="Calibri"/>
        </w:rPr>
        <w:t>.</w:t>
      </w:r>
    </w:p>
    <w:p w:rsidR="00C44536" w:rsidRPr="00E97254" w:rsidRDefault="00FA5606" w:rsidP="000C0250">
      <w:pPr>
        <w:pStyle w:val="Heading3"/>
        <w:jc w:val="both"/>
      </w:pPr>
      <w:bookmarkStart w:id="41" w:name="_Toc45624220"/>
      <w:bookmarkStart w:id="42" w:name="_Toc66801989"/>
      <w:r w:rsidRPr="00FA5606">
        <w:t>4.1.2. Faktorët ekonomikë</w:t>
      </w:r>
      <w:bookmarkEnd w:id="41"/>
      <w:bookmarkEnd w:id="42"/>
    </w:p>
    <w:p w:rsidR="00753265" w:rsidRPr="00E97254" w:rsidRDefault="004E1F53" w:rsidP="000C0250">
      <w:pPr>
        <w:spacing w:before="120" w:after="0"/>
        <w:jc w:val="both"/>
        <w:rPr>
          <w:rFonts w:ascii="Calibri" w:hAnsi="Calibri" w:cs="Calibri"/>
          <w:szCs w:val="24"/>
        </w:rPr>
      </w:pPr>
      <w:r>
        <w:rPr>
          <w:rFonts w:ascii="Calibri" w:hAnsi="Calibri" w:cs="Calibri"/>
          <w:szCs w:val="24"/>
        </w:rPr>
        <w:t xml:space="preserve">Pandemia COVID-19 dhe tërmeti shkatërrues që </w:t>
      </w:r>
      <w:r>
        <w:rPr>
          <w:rFonts w:cs="Calibri"/>
          <w:szCs w:val="24"/>
        </w:rPr>
        <w:t>goditi</w:t>
      </w:r>
      <w:r>
        <w:rPr>
          <w:rFonts w:ascii="Calibri" w:hAnsi="Calibri" w:cs="Calibri"/>
          <w:szCs w:val="24"/>
        </w:rPr>
        <w:t xml:space="preserve"> Shqipërinë në nëntorin e vitit 2019 i kanë përmbysur të gjitha parashikimet e </w:t>
      </w:r>
      <w:r>
        <w:rPr>
          <w:rFonts w:cs="Calibri"/>
          <w:szCs w:val="24"/>
        </w:rPr>
        <w:t>hershme</w:t>
      </w:r>
      <w:r>
        <w:rPr>
          <w:rFonts w:ascii="Calibri" w:hAnsi="Calibri" w:cs="Calibri"/>
          <w:szCs w:val="24"/>
        </w:rPr>
        <w:t xml:space="preserve"> për vazhdimin e rritjes ekonomike në vend. Në fakt, pritet që</w:t>
      </w:r>
      <w:r w:rsidR="00933B26">
        <w:rPr>
          <w:rFonts w:ascii="Calibri" w:hAnsi="Calibri" w:cs="Calibri"/>
          <w:szCs w:val="24"/>
        </w:rPr>
        <w:t>,</w:t>
      </w:r>
      <w:r w:rsidR="00753265" w:rsidRPr="00E97254">
        <w:rPr>
          <w:rFonts w:ascii="Calibri" w:hAnsi="Calibri" w:cs="Calibri"/>
          <w:szCs w:val="24"/>
        </w:rPr>
        <w:t xml:space="preserve"> vetëm gjatë vitit 2020</w:t>
      </w:r>
      <w:r w:rsidR="00933B26">
        <w:rPr>
          <w:rFonts w:ascii="Calibri" w:hAnsi="Calibri" w:cs="Calibri"/>
          <w:szCs w:val="24"/>
        </w:rPr>
        <w:t>,</w:t>
      </w:r>
      <w:r w:rsidR="00753265" w:rsidRPr="00E97254">
        <w:rPr>
          <w:rFonts w:ascii="Calibri" w:hAnsi="Calibri" w:cs="Calibri"/>
          <w:szCs w:val="24"/>
        </w:rPr>
        <w:t xml:space="preserve"> PBB</w:t>
      </w:r>
      <w:r w:rsidR="00933B26">
        <w:rPr>
          <w:rFonts w:ascii="Calibri" w:hAnsi="Calibri" w:cs="Calibri"/>
          <w:szCs w:val="24"/>
        </w:rPr>
        <w:t>-ja</w:t>
      </w:r>
      <w:r w:rsidR="00753265" w:rsidRPr="00E97254">
        <w:rPr>
          <w:rFonts w:ascii="Calibri" w:hAnsi="Calibri" w:cs="Calibri"/>
          <w:szCs w:val="24"/>
        </w:rPr>
        <w:t xml:space="preserve"> të tkurret me </w:t>
      </w:r>
      <w:r w:rsidR="00753265" w:rsidRPr="00E97254">
        <w:rPr>
          <w:rFonts w:cs="Calibri"/>
          <w:szCs w:val="24"/>
        </w:rPr>
        <w:t>4.4</w:t>
      </w:r>
      <w:r w:rsidR="00753265" w:rsidRPr="00E97254">
        <w:rPr>
          <w:rFonts w:ascii="Calibri" w:hAnsi="Calibri" w:cs="Calibri"/>
          <w:szCs w:val="24"/>
        </w:rPr>
        <w:t xml:space="preserve">% </w:t>
      </w:r>
      <w:sdt>
        <w:sdtPr>
          <w:rPr>
            <w:rFonts w:ascii="Calibri" w:hAnsi="Calibri" w:cs="Calibri"/>
            <w:szCs w:val="24"/>
          </w:rPr>
          <w:id w:val="1173844197"/>
          <w:citation/>
        </w:sdtPr>
        <w:sdtEndPr/>
        <w:sdtContent>
          <w:r w:rsidR="00EC56B7" w:rsidRPr="00E97254">
            <w:rPr>
              <w:rFonts w:ascii="Calibri" w:hAnsi="Calibri" w:cs="Calibri"/>
              <w:szCs w:val="24"/>
            </w:rPr>
            <w:fldChar w:fldCharType="begin"/>
          </w:r>
          <w:r>
            <w:rPr>
              <w:rFonts w:ascii="Calibri" w:hAnsi="Calibri" w:cs="Calibri"/>
              <w:szCs w:val="24"/>
            </w:rPr>
            <w:instrText xml:space="preserve"> CITATION Kës19A \l 1033 </w:instrText>
          </w:r>
          <w:r w:rsidR="00EC56B7" w:rsidRPr="00E97254">
            <w:rPr>
              <w:rFonts w:ascii="Calibri" w:hAnsi="Calibri" w:cs="Calibri"/>
              <w:szCs w:val="24"/>
            </w:rPr>
            <w:fldChar w:fldCharType="separate"/>
          </w:r>
          <w:r w:rsidR="00724BCC" w:rsidRPr="00E97254">
            <w:rPr>
              <w:rFonts w:ascii="Calibri" w:hAnsi="Calibri" w:cs="Calibri"/>
              <w:szCs w:val="24"/>
            </w:rPr>
            <w:t>[7]</w:t>
          </w:r>
          <w:r w:rsidR="00EC56B7" w:rsidRPr="00E97254">
            <w:rPr>
              <w:rFonts w:ascii="Calibri" w:hAnsi="Calibri" w:cs="Calibri"/>
              <w:szCs w:val="24"/>
            </w:rPr>
            <w:fldChar w:fldCharType="end"/>
          </w:r>
        </w:sdtContent>
      </w:sdt>
      <w:r w:rsidR="00753265" w:rsidRPr="00E97254">
        <w:rPr>
          <w:rFonts w:ascii="Calibri" w:hAnsi="Calibri" w:cs="Calibri"/>
          <w:szCs w:val="24"/>
        </w:rPr>
        <w:t xml:space="preserve">. Recesioni dhe masat mbështetëse ekonomike parashikohet </w:t>
      </w:r>
      <w:r w:rsidR="00933B26" w:rsidRPr="00E97254">
        <w:rPr>
          <w:rFonts w:ascii="Calibri" w:hAnsi="Calibri" w:cs="Calibri"/>
          <w:szCs w:val="24"/>
        </w:rPr>
        <w:t>t</w:t>
      </w:r>
      <w:r w:rsidR="00933B26">
        <w:rPr>
          <w:rFonts w:ascii="Calibri" w:hAnsi="Calibri" w:cs="Calibri"/>
          <w:szCs w:val="24"/>
        </w:rPr>
        <w:t>a</w:t>
      </w:r>
      <w:r w:rsidR="00933B26" w:rsidRPr="00E97254">
        <w:rPr>
          <w:rFonts w:ascii="Calibri" w:hAnsi="Calibri" w:cs="Calibri"/>
          <w:szCs w:val="24"/>
        </w:rPr>
        <w:t xml:space="preserve"> </w:t>
      </w:r>
      <w:r w:rsidR="00753265" w:rsidRPr="00E97254">
        <w:rPr>
          <w:rFonts w:ascii="Calibri" w:hAnsi="Calibri" w:cs="Calibri"/>
          <w:szCs w:val="24"/>
        </w:rPr>
        <w:t xml:space="preserve">zgjerojnë deficitin fiskal në </w:t>
      </w:r>
      <w:r w:rsidR="00753265" w:rsidRPr="00E97254">
        <w:rPr>
          <w:rFonts w:cs="Calibri"/>
          <w:szCs w:val="24"/>
        </w:rPr>
        <w:t>6.5</w:t>
      </w:r>
      <w:r w:rsidR="00753265" w:rsidRPr="00E97254">
        <w:rPr>
          <w:rFonts w:ascii="Calibri" w:hAnsi="Calibri" w:cs="Calibri"/>
          <w:szCs w:val="24"/>
        </w:rPr>
        <w:t xml:space="preserve">% të PBB-së në vitin 2021, duke e rritur borxhin publik deri në </w:t>
      </w:r>
      <w:r w:rsidR="00753265" w:rsidRPr="00E97254">
        <w:rPr>
          <w:rFonts w:cs="Calibri"/>
          <w:szCs w:val="24"/>
        </w:rPr>
        <w:t xml:space="preserve">78.6 </w:t>
      </w:r>
      <w:r>
        <w:rPr>
          <w:rFonts w:ascii="Calibri" w:hAnsi="Calibri" w:cs="Calibri"/>
          <w:szCs w:val="24"/>
        </w:rPr>
        <w:t xml:space="preserve">për qind të PBB-së. Edhe pse në vitin 2021 parashikohet rritje ekonomike kjo do të varet në masë të madhe nga zhvillimi i </w:t>
      </w:r>
      <w:r>
        <w:rPr>
          <w:rFonts w:cs="Calibri"/>
          <w:szCs w:val="24"/>
        </w:rPr>
        <w:t>mëtejshëm</w:t>
      </w:r>
      <w:r>
        <w:rPr>
          <w:rFonts w:ascii="Calibri" w:hAnsi="Calibri" w:cs="Calibri"/>
          <w:szCs w:val="24"/>
        </w:rPr>
        <w:t xml:space="preserve"> i situatës së pandemisë dhe faktorë të tjerë jashtë kontrollit të Qeverisë. Për këtë arsye, </w:t>
      </w:r>
      <w:r>
        <w:rPr>
          <w:rFonts w:cs="Calibri"/>
          <w:szCs w:val="24"/>
        </w:rPr>
        <w:t>është</w:t>
      </w:r>
      <w:r>
        <w:rPr>
          <w:rFonts w:ascii="Calibri" w:hAnsi="Calibri" w:cs="Calibri"/>
          <w:szCs w:val="24"/>
        </w:rPr>
        <w:t xml:space="preserve"> e domosdoshme që masat strategjike të planifikuara për vitin 2021, madje edhe 2022, të jenë me kosto më të ulët dhe të përballueshme për buxhetin e shtetit.</w:t>
      </w:r>
    </w:p>
    <w:p w:rsidR="00741620" w:rsidRPr="00E97254" w:rsidRDefault="004E1F53" w:rsidP="000C0250">
      <w:pPr>
        <w:spacing w:after="0"/>
        <w:jc w:val="both"/>
        <w:rPr>
          <w:rFonts w:ascii="Calibri" w:hAnsi="Calibri" w:cs="Calibri"/>
          <w:sz w:val="20"/>
        </w:rPr>
      </w:pPr>
      <w:r>
        <w:rPr>
          <w:rFonts w:ascii="Calibri" w:hAnsi="Calibri" w:cs="Calibri"/>
          <w:szCs w:val="24"/>
        </w:rPr>
        <w:t xml:space="preserve">Ekziston një </w:t>
      </w:r>
      <w:r>
        <w:rPr>
          <w:rFonts w:cs="Calibri"/>
          <w:szCs w:val="24"/>
        </w:rPr>
        <w:t>mospërputhje</w:t>
      </w:r>
      <w:r>
        <w:rPr>
          <w:rFonts w:ascii="Calibri" w:hAnsi="Calibri" w:cs="Calibri"/>
          <w:szCs w:val="24"/>
        </w:rPr>
        <w:t xml:space="preserve"> </w:t>
      </w:r>
      <w:r w:rsidR="00933B26">
        <w:rPr>
          <w:rFonts w:ascii="Calibri" w:hAnsi="Calibri" w:cs="Calibri"/>
          <w:szCs w:val="24"/>
        </w:rPr>
        <w:t>nd</w:t>
      </w:r>
      <w:r w:rsidR="00933B26" w:rsidRPr="00E97254">
        <w:rPr>
          <w:rFonts w:ascii="Calibri" w:hAnsi="Calibri" w:cs="Calibri"/>
        </w:rPr>
        <w:t>ë</w:t>
      </w:r>
      <w:r w:rsidR="00933B26">
        <w:rPr>
          <w:rFonts w:ascii="Calibri" w:hAnsi="Calibri" w:cs="Calibri"/>
        </w:rPr>
        <w:t>rmjet</w:t>
      </w:r>
      <w:r w:rsidR="00D416CA" w:rsidRPr="00E97254">
        <w:rPr>
          <w:rFonts w:ascii="Calibri" w:hAnsi="Calibri" w:cs="Calibri"/>
          <w:szCs w:val="24"/>
        </w:rPr>
        <w:t xml:space="preserve"> ofertës dhe kërkesës për aftësi në tregun shqiptar të punës. Këtë e konfirmojnë anketat e shumta me biznese të cilat pohojnë se disa nga  </w:t>
      </w:r>
      <w:r w:rsidR="00D416CA" w:rsidRPr="00E97254">
        <w:rPr>
          <w:rFonts w:cs="Calibri"/>
          <w:szCs w:val="24"/>
        </w:rPr>
        <w:t>aftësit</w:t>
      </w:r>
      <w:r w:rsidR="00D416CA" w:rsidRPr="00E97254">
        <w:rPr>
          <w:rFonts w:cs="Calibri"/>
          <w:color w:val="222222"/>
          <w:szCs w:val="24"/>
        </w:rPr>
        <w:t>ë</w:t>
      </w:r>
      <w:r w:rsidR="00D416CA" w:rsidRPr="00E97254">
        <w:rPr>
          <w:rFonts w:ascii="Calibri" w:hAnsi="Calibri" w:cs="Calibri"/>
          <w:szCs w:val="24"/>
        </w:rPr>
        <w:t xml:space="preserve"> e munguara janë pengesa kryesore për zhvillimin e veprimtarisë së tyre. Zhvillimi i kompetencave të nx</w:t>
      </w:r>
      <w:r>
        <w:rPr>
          <w:rFonts w:ascii="Calibri" w:hAnsi="Calibri" w:cs="Calibri"/>
          <w:szCs w:val="24"/>
        </w:rPr>
        <w:t>ënit gjatë gjithë jetës dhe harmonizimi më i mirë i programeve mësimore me kërkesat e tregut të punës kanë ndikim të drejtpërdrejtë në përmirësimin e aftësive.</w:t>
      </w:r>
      <w:r>
        <w:rPr>
          <w:rFonts w:ascii="Calibri" w:hAnsi="Calibri" w:cs="Calibri"/>
          <w:sz w:val="20"/>
        </w:rPr>
        <w:t xml:space="preserve"> </w:t>
      </w:r>
    </w:p>
    <w:p w:rsidR="00C44536" w:rsidRPr="00E97254" w:rsidRDefault="00FA5606" w:rsidP="000C0250">
      <w:pPr>
        <w:pStyle w:val="Heading3"/>
        <w:jc w:val="both"/>
      </w:pPr>
      <w:bookmarkStart w:id="43" w:name="_Toc45624221"/>
      <w:bookmarkStart w:id="44" w:name="_Toc66801990"/>
      <w:r w:rsidRPr="00FA5606">
        <w:t>4.1.3. Faktorët socialë</w:t>
      </w:r>
      <w:bookmarkEnd w:id="43"/>
      <w:bookmarkEnd w:id="44"/>
    </w:p>
    <w:p w:rsidR="00A067E2" w:rsidRPr="00E97254" w:rsidRDefault="004E1F53" w:rsidP="000C0250">
      <w:pPr>
        <w:spacing w:before="120" w:after="0"/>
        <w:jc w:val="both"/>
        <w:rPr>
          <w:rFonts w:ascii="Calibri" w:hAnsi="Calibri" w:cs="Calibri"/>
        </w:rPr>
      </w:pPr>
      <w:r>
        <w:rPr>
          <w:rFonts w:ascii="Calibri" w:hAnsi="Calibri" w:cs="Calibri"/>
        </w:rPr>
        <w:t xml:space="preserve">Ashtu si në shumë vende të </w:t>
      </w:r>
      <w:r>
        <w:rPr>
          <w:rFonts w:cs="Calibri"/>
        </w:rPr>
        <w:t>Evropës</w:t>
      </w:r>
      <w:r>
        <w:rPr>
          <w:rFonts w:ascii="Calibri" w:hAnsi="Calibri" w:cs="Calibri"/>
        </w:rPr>
        <w:t xml:space="preserve">, Shqipëria përballet me </w:t>
      </w:r>
      <w:r w:rsidR="00933B26">
        <w:rPr>
          <w:rFonts w:ascii="Calibri" w:hAnsi="Calibri" w:cs="Calibri"/>
        </w:rPr>
        <w:t>plakjen</w:t>
      </w:r>
      <w:r w:rsidR="00933B26" w:rsidRPr="00E97254">
        <w:rPr>
          <w:rFonts w:ascii="Calibri" w:hAnsi="Calibri" w:cs="Calibri"/>
        </w:rPr>
        <w:t xml:space="preserve"> </w:t>
      </w:r>
      <w:r w:rsidR="0055465F" w:rsidRPr="00E97254">
        <w:rPr>
          <w:rFonts w:ascii="Calibri" w:hAnsi="Calibri" w:cs="Calibri"/>
        </w:rPr>
        <w:t>demografik</w:t>
      </w:r>
      <w:r w:rsidR="00933B26">
        <w:rPr>
          <w:rFonts w:ascii="Calibri" w:hAnsi="Calibri" w:cs="Calibri"/>
        </w:rPr>
        <w:t>e</w:t>
      </w:r>
      <w:r w:rsidR="0055465F" w:rsidRPr="00E97254">
        <w:rPr>
          <w:rFonts w:ascii="Calibri" w:hAnsi="Calibri" w:cs="Calibri"/>
        </w:rPr>
        <w:t xml:space="preserve"> të popullsisë së saj. Skenari i rritjes së mesme parashikon zvogëlim të popullsisë të moshës &lt; 25 vjeç nga 882,903 në vitin 2021 në 788,160 në vitin 2026 (</w:t>
      </w:r>
      <w:r w:rsidR="008D102D">
        <w:fldChar w:fldCharType="begin"/>
      </w:r>
      <w:r w:rsidR="008D102D">
        <w:instrText xml:space="preserve"> REF _Ref34205302 \h  \* MERGEFORMAT </w:instrText>
      </w:r>
      <w:r w:rsidR="008D102D">
        <w:fldChar w:fldCharType="separate"/>
      </w:r>
      <w:r w:rsidR="005A6200" w:rsidRPr="00E97254">
        <w:rPr>
          <w:rFonts w:ascii="Calibri" w:hAnsi="Calibri" w:cs="Calibri"/>
        </w:rPr>
        <w:t>Tabela 3</w:t>
      </w:r>
      <w:r w:rsidR="008D102D">
        <w:fldChar w:fldCharType="end"/>
      </w:r>
      <w:r w:rsidR="0055465F" w:rsidRPr="00E97254">
        <w:rPr>
          <w:rFonts w:ascii="Calibri" w:hAnsi="Calibri" w:cs="Calibri"/>
        </w:rPr>
        <w:t xml:space="preserve">) si rezultat i uljes së lindjeve dhe </w:t>
      </w:r>
      <w:r w:rsidR="00D416CA" w:rsidRPr="00E97254">
        <w:rPr>
          <w:rFonts w:ascii="Calibri" w:hAnsi="Calibri" w:cs="Calibri"/>
        </w:rPr>
        <w:t>migrimit.</w:t>
      </w:r>
      <w:r w:rsidR="0055465F" w:rsidRPr="00E97254">
        <w:rPr>
          <w:rFonts w:ascii="Calibri" w:hAnsi="Calibri" w:cs="Calibri"/>
        </w:rPr>
        <w:t xml:space="preserve"> Disa anketa rajonale tregojnë se një nga arsyet e migrimit është edhe cilësia jo e kënaqshme e shërbimeve arsimore në vendet e Ballkanit. Zvogëlimi i projektuar i popullsisë së moshës &lt; 25 vjeç për 10.74% duhet parë si mundësi për riorganizimin e rrjetit të institucioneve arsimore dhe ristrukturimit më të mirë të financimit për arsim.</w:t>
      </w:r>
    </w:p>
    <w:p w:rsidR="0055465F" w:rsidRPr="00E97254" w:rsidRDefault="004E1F53" w:rsidP="000C0250">
      <w:pPr>
        <w:spacing w:after="0"/>
        <w:jc w:val="both"/>
        <w:rPr>
          <w:rFonts w:ascii="Calibri" w:hAnsi="Calibri" w:cs="Calibri"/>
        </w:rPr>
      </w:pPr>
      <w:r>
        <w:rPr>
          <w:rFonts w:ascii="Calibri" w:hAnsi="Calibri" w:cs="Calibri"/>
        </w:rPr>
        <w:t>Në dy vitet e fundit janë shtuar zëra që kërkojnë përmirësim domethënës të cilësisë së arsimit, edhe pse kërkesa</w:t>
      </w:r>
      <w:r w:rsidR="00933B26">
        <w:rPr>
          <w:rFonts w:ascii="Calibri" w:hAnsi="Calibri" w:cs="Calibri"/>
        </w:rPr>
        <w:t xml:space="preserve"> </w:t>
      </w:r>
      <w:r w:rsidR="009336F3" w:rsidRPr="00E97254">
        <w:rPr>
          <w:rFonts w:ascii="Calibri" w:hAnsi="Calibri" w:cs="Calibri"/>
        </w:rPr>
        <w:t>t</w:t>
      </w:r>
      <w:r w:rsidR="00933B26" w:rsidRPr="00E97254">
        <w:rPr>
          <w:rFonts w:ascii="Calibri" w:hAnsi="Calibri" w:cs="Calibri"/>
        </w:rPr>
        <w:t>ë</w:t>
      </w:r>
      <w:r w:rsidR="009336F3" w:rsidRPr="00E97254">
        <w:rPr>
          <w:rFonts w:ascii="Calibri" w:hAnsi="Calibri" w:cs="Calibri"/>
        </w:rPr>
        <w:t xml:space="preserve"> tilla</w:t>
      </w:r>
      <w:r w:rsidR="00F437A8">
        <w:rPr>
          <w:rFonts w:ascii="Calibri" w:hAnsi="Calibri" w:cs="Calibri"/>
        </w:rPr>
        <w:t>,</w:t>
      </w:r>
      <w:r w:rsidR="009336F3" w:rsidRPr="00E97254">
        <w:rPr>
          <w:rFonts w:ascii="Calibri" w:hAnsi="Calibri" w:cs="Calibri"/>
        </w:rPr>
        <w:t xml:space="preserve"> ndonjëherë</w:t>
      </w:r>
      <w:r w:rsidR="00F437A8">
        <w:rPr>
          <w:rFonts w:ascii="Calibri" w:hAnsi="Calibri" w:cs="Calibri"/>
        </w:rPr>
        <w:t>,</w:t>
      </w:r>
      <w:r w:rsidR="009336F3" w:rsidRPr="00E97254">
        <w:rPr>
          <w:rFonts w:ascii="Calibri" w:hAnsi="Calibri" w:cs="Calibri"/>
        </w:rPr>
        <w:t xml:space="preserve"> shtrohen në </w:t>
      </w:r>
      <w:r w:rsidR="00933B26">
        <w:rPr>
          <w:rFonts w:ascii="Calibri" w:hAnsi="Calibri" w:cs="Calibri"/>
        </w:rPr>
        <w:t>nj</w:t>
      </w:r>
      <w:r w:rsidR="00933B26" w:rsidRPr="00E97254">
        <w:rPr>
          <w:rFonts w:ascii="Calibri" w:hAnsi="Calibri" w:cs="Calibri"/>
        </w:rPr>
        <w:t>ë</w:t>
      </w:r>
      <w:r w:rsidR="00933B26">
        <w:rPr>
          <w:rFonts w:ascii="Calibri" w:hAnsi="Calibri" w:cs="Calibri"/>
        </w:rPr>
        <w:t xml:space="preserve"> </w:t>
      </w:r>
      <w:r w:rsidR="009336F3" w:rsidRPr="00E97254">
        <w:rPr>
          <w:rFonts w:ascii="Calibri" w:hAnsi="Calibri" w:cs="Calibri"/>
        </w:rPr>
        <w:t>formën që reflekton mungesë mirëkuptimi për situatën në të cilën ndodhet vendi.</w:t>
      </w:r>
      <w:r w:rsidR="00313892" w:rsidRPr="00E97254">
        <w:rPr>
          <w:rFonts w:ascii="Calibri" w:hAnsi="Calibri" w:cs="Calibri"/>
        </w:rPr>
        <w:t xml:space="preserve"> Pavarësisht kësaj, interesimi qytetar për përmirësimin e cilësisë së arsimit duhet parë si nxitje p</w:t>
      </w:r>
      <w:r>
        <w:rPr>
          <w:rFonts w:ascii="Calibri" w:hAnsi="Calibri" w:cs="Calibri"/>
        </w:rPr>
        <w:t>ër veprim.</w:t>
      </w:r>
    </w:p>
    <w:p w:rsidR="00C44536" w:rsidRPr="00E97254" w:rsidRDefault="00FA5606" w:rsidP="000C0250">
      <w:pPr>
        <w:pStyle w:val="Heading3"/>
        <w:jc w:val="both"/>
      </w:pPr>
      <w:bookmarkStart w:id="45" w:name="_Toc45624222"/>
      <w:bookmarkStart w:id="46" w:name="_Toc66801991"/>
      <w:r w:rsidRPr="00FA5606">
        <w:lastRenderedPageBreak/>
        <w:t>4.1.4. Faktorët teknologjikë</w:t>
      </w:r>
      <w:bookmarkEnd w:id="45"/>
      <w:bookmarkEnd w:id="46"/>
    </w:p>
    <w:p w:rsidR="00BD6D61" w:rsidRPr="00E97254" w:rsidRDefault="004E1F53" w:rsidP="000C0250">
      <w:pPr>
        <w:spacing w:before="120" w:after="0"/>
        <w:jc w:val="both"/>
        <w:rPr>
          <w:rFonts w:ascii="Calibri" w:hAnsi="Calibri" w:cs="Calibri"/>
        </w:rPr>
      </w:pPr>
      <w:r>
        <w:rPr>
          <w:rFonts w:ascii="Calibri" w:hAnsi="Calibri" w:cs="Calibri"/>
        </w:rPr>
        <w:t xml:space="preserve">Që nga vitet 2000, infrastruktura rrugore në Shqipëri </w:t>
      </w:r>
      <w:r>
        <w:rPr>
          <w:rFonts w:cs="Calibri"/>
        </w:rPr>
        <w:t>ësht</w:t>
      </w:r>
      <w:r>
        <w:rPr>
          <w:rFonts w:cs="Calibri"/>
          <w:color w:val="222222"/>
        </w:rPr>
        <w:t>ë</w:t>
      </w:r>
      <w:r>
        <w:rPr>
          <w:rFonts w:ascii="Calibri" w:hAnsi="Calibri" w:cs="Calibri"/>
        </w:rPr>
        <w:t xml:space="preserve"> përmirësuar dukshëm, megjithëse nuk janë ndjekur gjithnjë standardet e projektimit dhe të sigurisë në trafik. Përmirësimi i rrjetit të rrugëve lokale ka bërë të mundur </w:t>
      </w:r>
      <w:r>
        <w:rPr>
          <w:rFonts w:cs="Calibri"/>
          <w:szCs w:val="24"/>
        </w:rPr>
        <w:t>mbylljen</w:t>
      </w:r>
      <w:r>
        <w:rPr>
          <w:rFonts w:ascii="Calibri" w:hAnsi="Calibri" w:cs="Calibri"/>
          <w:szCs w:val="24"/>
        </w:rPr>
        <w:t xml:space="preserve"> </w:t>
      </w:r>
      <w:r w:rsidR="00F437A8">
        <w:rPr>
          <w:rFonts w:ascii="Calibri" w:hAnsi="Calibri" w:cs="Calibri"/>
          <w:szCs w:val="24"/>
        </w:rPr>
        <w:t xml:space="preserve">e </w:t>
      </w:r>
      <w:r w:rsidR="00D416CA" w:rsidRPr="00E97254">
        <w:rPr>
          <w:rFonts w:ascii="Calibri" w:hAnsi="Calibri" w:cs="Calibri"/>
          <w:szCs w:val="24"/>
        </w:rPr>
        <w:t>klasave</w:t>
      </w:r>
      <w:r w:rsidR="00D416CA" w:rsidRPr="00E97254">
        <w:rPr>
          <w:rFonts w:ascii="Calibri" w:hAnsi="Calibri" w:cs="Calibri"/>
        </w:rPr>
        <w:t xml:space="preserve"> </w:t>
      </w:r>
      <w:r w:rsidR="00D963DF" w:rsidRPr="00E97254">
        <w:rPr>
          <w:rFonts w:ascii="Calibri" w:hAnsi="Calibri" w:cs="Calibri"/>
        </w:rPr>
        <w:t>k</w:t>
      </w:r>
      <w:r w:rsidR="00D963DF">
        <w:rPr>
          <w:rFonts w:ascii="Calibri" w:hAnsi="Calibri" w:cs="Calibri"/>
        </w:rPr>
        <w:t>olektive</w:t>
      </w:r>
      <w:r w:rsidR="00D963DF" w:rsidRPr="00E97254">
        <w:rPr>
          <w:rFonts w:ascii="Calibri" w:hAnsi="Calibri" w:cs="Calibri"/>
        </w:rPr>
        <w:t xml:space="preserve"> </w:t>
      </w:r>
      <w:r w:rsidR="009336F3" w:rsidRPr="00E97254">
        <w:rPr>
          <w:rFonts w:ascii="Calibri" w:hAnsi="Calibri" w:cs="Calibri"/>
        </w:rPr>
        <w:t>në zona rurale, duke siguruar transportin e fëmijëve në shkolla të tjera që ofrojnë kushte optimale për mësim</w:t>
      </w:r>
      <w:r>
        <w:rPr>
          <w:rFonts w:cs="Calibri"/>
        </w:rPr>
        <w:t>.</w:t>
      </w:r>
      <w:r>
        <w:rPr>
          <w:rFonts w:ascii="Calibri" w:hAnsi="Calibri" w:cs="Calibri"/>
        </w:rPr>
        <w:t xml:space="preserve"> Përmirësimi i mëtejshëm i rrugëve nacionale dhe lokale hap mundësi për riorganizimin e rrjetit të institucioneve arsimore të nivelit parauniversitar, por edhe të nivelit të arsimit të lartë.</w:t>
      </w:r>
    </w:p>
    <w:p w:rsidR="003426DA" w:rsidRPr="00E97254" w:rsidRDefault="003426DA" w:rsidP="000C0250">
      <w:pPr>
        <w:spacing w:after="0"/>
        <w:jc w:val="both"/>
        <w:rPr>
          <w:rFonts w:ascii="Calibri" w:hAnsi="Calibri" w:cs="Calibri"/>
        </w:rPr>
      </w:pPr>
    </w:p>
    <w:p w:rsidR="00FC76CF" w:rsidRPr="00E97254" w:rsidRDefault="004E1F53" w:rsidP="003426DA">
      <w:pPr>
        <w:spacing w:after="0"/>
        <w:jc w:val="both"/>
        <w:rPr>
          <w:rFonts w:ascii="Calibri" w:hAnsi="Calibri" w:cs="Calibri"/>
        </w:rPr>
      </w:pPr>
      <w:r>
        <w:rPr>
          <w:rFonts w:ascii="Calibri" w:hAnsi="Calibri" w:cs="Calibri"/>
        </w:rPr>
        <w:t>Rezultatet e Anketës TIK të bërë nga INSTAT</w:t>
      </w:r>
      <w:r w:rsidR="00F437A8">
        <w:rPr>
          <w:rFonts w:ascii="Calibri" w:hAnsi="Calibri" w:cs="Calibri"/>
        </w:rPr>
        <w:t>-i</w:t>
      </w:r>
      <w:r w:rsidR="001E6E24" w:rsidRPr="00E97254">
        <w:rPr>
          <w:rFonts w:ascii="Calibri" w:hAnsi="Calibri" w:cs="Calibri"/>
        </w:rPr>
        <w:t xml:space="preserve"> tregojnë se në vitin 2019, 68.6 % e popullsisë nga 16-74 vjeç e përdorin internetin në “tre muajt e fundit” nga momenti i kryerjes së intervistës, </w:t>
      </w:r>
      <w:r w:rsidR="00F437A8">
        <w:rPr>
          <w:rFonts w:ascii="Calibri" w:hAnsi="Calibri" w:cs="Calibri"/>
        </w:rPr>
        <w:t xml:space="preserve">dhe </w:t>
      </w:r>
      <w:r w:rsidR="00F437A8" w:rsidRPr="00E97254">
        <w:rPr>
          <w:rFonts w:ascii="Calibri" w:hAnsi="Calibri" w:cs="Calibri"/>
        </w:rPr>
        <w:t xml:space="preserve">87.1 % </w:t>
      </w:r>
      <w:r w:rsidR="001E6E24" w:rsidRPr="00E97254">
        <w:rPr>
          <w:rFonts w:ascii="Calibri" w:hAnsi="Calibri" w:cs="Calibri"/>
        </w:rPr>
        <w:t xml:space="preserve">prej </w:t>
      </w:r>
      <w:r w:rsidR="00F437A8">
        <w:rPr>
          <w:rFonts w:ascii="Calibri" w:hAnsi="Calibri" w:cs="Calibri"/>
        </w:rPr>
        <w:t>k</w:t>
      </w:r>
      <w:r w:rsidR="00F437A8" w:rsidRPr="00E97254">
        <w:rPr>
          <w:rFonts w:ascii="Calibri" w:hAnsi="Calibri" w:cs="Calibri"/>
        </w:rPr>
        <w:t>ë</w:t>
      </w:r>
      <w:r w:rsidR="00F437A8">
        <w:rPr>
          <w:rFonts w:ascii="Calibri" w:hAnsi="Calibri" w:cs="Calibri"/>
        </w:rPr>
        <w:t>tyre</w:t>
      </w:r>
      <w:r w:rsidR="001E6E24" w:rsidRPr="00E97254">
        <w:rPr>
          <w:rFonts w:ascii="Calibri" w:hAnsi="Calibri" w:cs="Calibri"/>
        </w:rPr>
        <w:t xml:space="preserve"> </w:t>
      </w:r>
      <w:r w:rsidR="00F437A8">
        <w:rPr>
          <w:rFonts w:ascii="Calibri" w:hAnsi="Calibri" w:cs="Calibri"/>
        </w:rPr>
        <w:t>t</w:t>
      </w:r>
      <w:r w:rsidR="00F437A8" w:rsidRPr="00E97254">
        <w:rPr>
          <w:rFonts w:ascii="Calibri" w:hAnsi="Calibri" w:cs="Calibri"/>
        </w:rPr>
        <w:t>ë</w:t>
      </w:r>
      <w:r w:rsidR="00F437A8">
        <w:rPr>
          <w:rFonts w:ascii="Calibri" w:hAnsi="Calibri" w:cs="Calibri"/>
        </w:rPr>
        <w:t xml:space="preserve"> fundit </w:t>
      </w:r>
      <w:r w:rsidR="001E6E24" w:rsidRPr="00E97254">
        <w:rPr>
          <w:rFonts w:ascii="Calibri" w:hAnsi="Calibri" w:cs="Calibri"/>
        </w:rPr>
        <w:t xml:space="preserve">e përdorin atë </w:t>
      </w:r>
      <w:r w:rsidR="00F437A8">
        <w:rPr>
          <w:rFonts w:ascii="Calibri" w:hAnsi="Calibri" w:cs="Calibri"/>
        </w:rPr>
        <w:t>me</w:t>
      </w:r>
      <w:r w:rsidR="00F437A8" w:rsidRPr="00E97254">
        <w:rPr>
          <w:rFonts w:ascii="Calibri" w:hAnsi="Calibri" w:cs="Calibri"/>
        </w:rPr>
        <w:t xml:space="preserve"> </w:t>
      </w:r>
      <w:r w:rsidR="001E6E24" w:rsidRPr="00E97254">
        <w:rPr>
          <w:rFonts w:ascii="Calibri" w:hAnsi="Calibri" w:cs="Calibri"/>
        </w:rPr>
        <w:t>baz</w:t>
      </w:r>
      <w:r w:rsidR="00F437A8" w:rsidRPr="00E97254">
        <w:rPr>
          <w:rFonts w:ascii="Calibri" w:hAnsi="Calibri" w:cs="Calibri"/>
        </w:rPr>
        <w:t>ë</w:t>
      </w:r>
      <w:r w:rsidR="001E6E24" w:rsidRPr="00E97254">
        <w:rPr>
          <w:rFonts w:ascii="Calibri" w:hAnsi="Calibri" w:cs="Calibri"/>
        </w:rPr>
        <w:t xml:space="preserve"> ditore </w:t>
      </w:r>
      <w:sdt>
        <w:sdtPr>
          <w:rPr>
            <w:rFonts w:ascii="Calibri" w:hAnsi="Calibri" w:cs="Calibri"/>
          </w:rPr>
          <w:id w:val="775684823"/>
          <w:citation/>
        </w:sdtPr>
        <w:sdtEndPr/>
        <w:sdtContent>
          <w:r w:rsidR="00EC56B7" w:rsidRPr="00E97254">
            <w:rPr>
              <w:rFonts w:ascii="Calibri" w:hAnsi="Calibri" w:cs="Calibri"/>
            </w:rPr>
            <w:fldChar w:fldCharType="begin"/>
          </w:r>
          <w:r>
            <w:rPr>
              <w:rFonts w:ascii="Calibri" w:hAnsi="Calibri" w:cs="Calibri"/>
            </w:rPr>
            <w:instrText xml:space="preserve"> CITATION INS193 \l 1033 </w:instrText>
          </w:r>
          <w:r w:rsidR="00EC56B7" w:rsidRPr="00E97254">
            <w:rPr>
              <w:rFonts w:ascii="Calibri" w:hAnsi="Calibri" w:cs="Calibri"/>
            </w:rPr>
            <w:fldChar w:fldCharType="separate"/>
          </w:r>
          <w:r w:rsidR="00724BCC" w:rsidRPr="00E97254">
            <w:rPr>
              <w:rFonts w:ascii="Calibri" w:hAnsi="Calibri" w:cs="Calibri"/>
            </w:rPr>
            <w:t>[36]</w:t>
          </w:r>
          <w:r w:rsidR="00EC56B7" w:rsidRPr="00E97254">
            <w:rPr>
              <w:rFonts w:ascii="Calibri" w:hAnsi="Calibri" w:cs="Calibri"/>
            </w:rPr>
            <w:fldChar w:fldCharType="end"/>
          </w:r>
        </w:sdtContent>
      </w:sdt>
      <w:r w:rsidR="001E6E24" w:rsidRPr="00E97254">
        <w:rPr>
          <w:rFonts w:ascii="Calibri" w:hAnsi="Calibri" w:cs="Calibri"/>
        </w:rPr>
        <w:t>. Ndërkaq, 82</w:t>
      </w:r>
      <w:r w:rsidR="00E85617" w:rsidRPr="00E97254">
        <w:rPr>
          <w:rFonts w:ascii="Calibri" w:hAnsi="Calibri" w:cs="Calibri"/>
        </w:rPr>
        <w:t>.2</w:t>
      </w:r>
      <w:r w:rsidR="001E6E24" w:rsidRPr="00E97254">
        <w:rPr>
          <w:rFonts w:ascii="Calibri" w:hAnsi="Calibri" w:cs="Calibri"/>
        </w:rPr>
        <w:t>% e familjeve shqiptare kanë akses në Internet.</w:t>
      </w:r>
      <w:r w:rsidR="002B257B" w:rsidRPr="00E97254">
        <w:rPr>
          <w:rFonts w:ascii="Calibri" w:hAnsi="Calibri" w:cs="Calibri"/>
        </w:rPr>
        <w:t xml:space="preserve"> </w:t>
      </w:r>
      <w:r w:rsidR="001E6E24" w:rsidRPr="00E97254">
        <w:rPr>
          <w:rFonts w:ascii="Calibri" w:hAnsi="Calibri" w:cs="Calibri"/>
        </w:rPr>
        <w:t xml:space="preserve">Infrastruktura telekomunikuese është solide dhe duke u përmirësuar në vazhdimësi, gjë që krijon parakushte për integrim sa më të mirë të TIK-ut në institucione </w:t>
      </w:r>
      <w:r w:rsidR="001B2837" w:rsidRPr="00E97254">
        <w:rPr>
          <w:rFonts w:ascii="Calibri" w:hAnsi="Calibri" w:cs="Calibri"/>
        </w:rPr>
        <w:t>arsimore</w:t>
      </w:r>
      <w:r w:rsidR="001E6E24" w:rsidRPr="00E97254">
        <w:rPr>
          <w:rFonts w:ascii="Calibri" w:hAnsi="Calibri" w:cs="Calibri"/>
        </w:rPr>
        <w:t xml:space="preserve">. </w:t>
      </w:r>
      <w:bookmarkStart w:id="47" w:name="_Ref45379298"/>
      <w:bookmarkStart w:id="48" w:name="_Ref45379312"/>
      <w:bookmarkStart w:id="49" w:name="_Toc45624223"/>
      <w:bookmarkStart w:id="50" w:name="_Toc66801992"/>
    </w:p>
    <w:p w:rsidR="00C44536" w:rsidRPr="00E97254" w:rsidRDefault="00FA5606" w:rsidP="000C0250">
      <w:pPr>
        <w:pStyle w:val="Heading3"/>
        <w:jc w:val="both"/>
      </w:pPr>
      <w:r w:rsidRPr="00FA5606">
        <w:t>4.2. U-Report</w:t>
      </w:r>
      <w:bookmarkEnd w:id="47"/>
      <w:bookmarkEnd w:id="48"/>
      <w:bookmarkEnd w:id="49"/>
      <w:bookmarkEnd w:id="50"/>
    </w:p>
    <w:p w:rsidR="00E93EBD" w:rsidRPr="00E97254" w:rsidRDefault="004E1F53" w:rsidP="000C0250">
      <w:pPr>
        <w:spacing w:before="120" w:after="0"/>
        <w:jc w:val="both"/>
        <w:rPr>
          <w:rFonts w:ascii="Calibri" w:hAnsi="Calibri" w:cs="Calibri"/>
        </w:rPr>
      </w:pPr>
      <w:r>
        <w:rPr>
          <w:rFonts w:ascii="Calibri" w:hAnsi="Calibri" w:cs="Calibri"/>
        </w:rPr>
        <w:t>Gjatë muajit maj 2020</w:t>
      </w:r>
      <w:r w:rsidR="00F437A8">
        <w:rPr>
          <w:rFonts w:ascii="Calibri" w:hAnsi="Calibri" w:cs="Calibri"/>
        </w:rPr>
        <w:t>,</w:t>
      </w:r>
      <w:r w:rsidR="00E93EBD" w:rsidRPr="00E97254">
        <w:rPr>
          <w:rFonts w:ascii="Calibri" w:hAnsi="Calibri" w:cs="Calibri"/>
        </w:rPr>
        <w:t xml:space="preserve"> UNICEF Shqipëri</w:t>
      </w:r>
      <w:r w:rsidR="002B257B" w:rsidRPr="00E97254">
        <w:rPr>
          <w:rFonts w:ascii="Calibri" w:hAnsi="Calibri" w:cs="Calibri"/>
        </w:rPr>
        <w:t xml:space="preserve"> </w:t>
      </w:r>
      <w:r w:rsidR="0085607E" w:rsidRPr="00E97254">
        <w:rPr>
          <w:rFonts w:ascii="Calibri" w:hAnsi="Calibri" w:cs="Calibri"/>
        </w:rPr>
        <w:t xml:space="preserve">zhvilloi </w:t>
      </w:r>
      <w:r w:rsidR="00E93EBD" w:rsidRPr="00E97254">
        <w:rPr>
          <w:rFonts w:ascii="Calibri" w:hAnsi="Calibri" w:cs="Calibri"/>
        </w:rPr>
        <w:t xml:space="preserve">një sondazh me anë të platformës U-Report që kishte për qëllim marrjen e informacionit nga të rinjtë dhe të rriturit në Shqipëri në lidhje me disa prej çështjeve që konsiderohen të rëndësishme </w:t>
      </w:r>
      <w:r w:rsidR="00F437A8">
        <w:rPr>
          <w:rFonts w:ascii="Calibri" w:hAnsi="Calibri" w:cs="Calibri"/>
        </w:rPr>
        <w:t>p</w:t>
      </w:r>
      <w:r w:rsidR="00F437A8" w:rsidRPr="00E97254">
        <w:rPr>
          <w:rFonts w:ascii="Calibri" w:hAnsi="Calibri" w:cs="Calibri"/>
        </w:rPr>
        <w:t>ë</w:t>
      </w:r>
      <w:r w:rsidR="00F437A8">
        <w:rPr>
          <w:rFonts w:ascii="Calibri" w:hAnsi="Calibri" w:cs="Calibri"/>
        </w:rPr>
        <w:t>r t’u trajtuar</w:t>
      </w:r>
      <w:r w:rsidR="00E93EBD" w:rsidRPr="00E97254">
        <w:rPr>
          <w:rFonts w:ascii="Calibri" w:hAnsi="Calibri" w:cs="Calibri"/>
        </w:rPr>
        <w:t xml:space="preserve"> nga Strategjia Kombëtare e Arsimit.</w:t>
      </w:r>
      <w:r w:rsidR="002B257B" w:rsidRPr="00E97254">
        <w:rPr>
          <w:rFonts w:ascii="Calibri" w:hAnsi="Calibri" w:cs="Calibri"/>
        </w:rPr>
        <w:t xml:space="preserve"> </w:t>
      </w:r>
      <w:r w:rsidR="00E93EBD" w:rsidRPr="00E97254">
        <w:rPr>
          <w:rFonts w:ascii="Calibri" w:hAnsi="Calibri" w:cs="Calibri"/>
        </w:rPr>
        <w:t xml:space="preserve">Sondazhi </w:t>
      </w:r>
      <w:r w:rsidR="00E93EBD" w:rsidRPr="00E97254">
        <w:rPr>
          <w:rFonts w:cs="Calibri"/>
        </w:rPr>
        <w:t>përfshiu</w:t>
      </w:r>
      <w:r w:rsidR="00E93EBD" w:rsidRPr="00E97254">
        <w:rPr>
          <w:rFonts w:ascii="Calibri" w:hAnsi="Calibri" w:cs="Calibri"/>
        </w:rPr>
        <w:t xml:space="preserve"> 318 pjesëmarrës, nga të cilët 59% ishin meshkuj dhe 41% ishin femr</w:t>
      </w:r>
      <w:r w:rsidR="00FB141B" w:rsidRPr="00E97254">
        <w:rPr>
          <w:rFonts w:ascii="Calibri" w:hAnsi="Calibri" w:cs="Calibri"/>
        </w:rPr>
        <w:t>a.</w:t>
      </w:r>
      <w:r w:rsidR="00E93EBD" w:rsidRPr="00E97254">
        <w:rPr>
          <w:rFonts w:ascii="Calibri" w:hAnsi="Calibri" w:cs="Calibri"/>
        </w:rPr>
        <w:t xml:space="preserve"> Grupmosha e pjesëmarrësve </w:t>
      </w:r>
      <w:r w:rsidR="00FB0008" w:rsidRPr="00E97254">
        <w:rPr>
          <w:rFonts w:cs="Calibri"/>
        </w:rPr>
        <w:t>ishte</w:t>
      </w:r>
      <w:r>
        <w:rPr>
          <w:rFonts w:cs="Calibri"/>
        </w:rPr>
        <w:t xml:space="preserve"> si vijon</w:t>
      </w:r>
      <w:r>
        <w:rPr>
          <w:rFonts w:ascii="Calibri" w:hAnsi="Calibri" w:cs="Calibri"/>
        </w:rPr>
        <w:t>: 14% ishin të moshës 15-19 vjeç, 13% të moshës 20-24 vjeç, 14% të moshës 25-30 vjeç, 15% të moshës 31-34 vjeç dhe 44% mbi 35 vjeç. Sondazhi trajtoi çështje të ndryshme</w:t>
      </w:r>
      <w:r w:rsidR="00F437A8">
        <w:rPr>
          <w:rFonts w:ascii="Calibri" w:hAnsi="Calibri" w:cs="Calibri"/>
        </w:rPr>
        <w:t>,</w:t>
      </w:r>
      <w:r w:rsidR="00E93EBD" w:rsidRPr="00E97254">
        <w:rPr>
          <w:rFonts w:ascii="Calibri" w:hAnsi="Calibri" w:cs="Calibri"/>
        </w:rPr>
        <w:t xml:space="preserve"> si: ku duhet të </w:t>
      </w:r>
      <w:r>
        <w:rPr>
          <w:rFonts w:ascii="Calibri" w:hAnsi="Calibri" w:cs="Calibri"/>
        </w:rPr>
        <w:t xml:space="preserve">përqendrohet investimi i shtetit në arsim; grupet që kanë nevojë për më shumë mbështetje për të arritur sukses në arsim; çështjet e sigurisë në shkollë që duhet të </w:t>
      </w:r>
      <w:r w:rsidR="00F437A8">
        <w:rPr>
          <w:rFonts w:ascii="Calibri" w:hAnsi="Calibri" w:cs="Calibri"/>
        </w:rPr>
        <w:t>trajtohen</w:t>
      </w:r>
      <w:r w:rsidR="00F437A8" w:rsidRPr="00E97254">
        <w:rPr>
          <w:rFonts w:ascii="Calibri" w:hAnsi="Calibri" w:cs="Calibri"/>
        </w:rPr>
        <w:t xml:space="preserve"> </w:t>
      </w:r>
      <w:r w:rsidR="00E93EBD" w:rsidRPr="00E97254">
        <w:rPr>
          <w:rFonts w:ascii="Calibri" w:hAnsi="Calibri" w:cs="Calibri"/>
        </w:rPr>
        <w:t>nga strategjia; pengesat kryesore të shkollave; dhe fokusi kryesor</w:t>
      </w:r>
      <w:r w:rsidR="002C6E6B" w:rsidRPr="00E97254">
        <w:rPr>
          <w:rFonts w:ascii="Calibri" w:hAnsi="Calibri" w:cs="Calibri"/>
        </w:rPr>
        <w:t xml:space="preserve"> i strategjisë në lidhje me digj</w:t>
      </w:r>
      <w:r w:rsidR="00E93EBD" w:rsidRPr="00E97254">
        <w:rPr>
          <w:rFonts w:ascii="Calibri" w:hAnsi="Calibri" w:cs="Calibri"/>
        </w:rPr>
        <w:t>italizimin.</w:t>
      </w:r>
      <w:r w:rsidR="002B257B" w:rsidRPr="00E97254">
        <w:rPr>
          <w:rFonts w:ascii="Calibri" w:hAnsi="Calibri" w:cs="Calibri"/>
        </w:rPr>
        <w:t xml:space="preserve"> </w:t>
      </w:r>
    </w:p>
    <w:p w:rsidR="00E93EBD" w:rsidRPr="00E97254" w:rsidRDefault="004E1F53" w:rsidP="000C0250">
      <w:pPr>
        <w:spacing w:after="0"/>
        <w:jc w:val="both"/>
        <w:rPr>
          <w:rFonts w:ascii="Calibri" w:hAnsi="Calibri" w:cs="Calibri"/>
        </w:rPr>
      </w:pPr>
      <w:r>
        <w:rPr>
          <w:rFonts w:ascii="Calibri" w:hAnsi="Calibri" w:cs="Calibri"/>
        </w:rPr>
        <w:t>Në lidhje me çështjen se ku duhet të përqendrohet më shumë investimi i shtetit në arsim</w:t>
      </w:r>
      <w:r w:rsidR="00F437A8">
        <w:rPr>
          <w:rFonts w:ascii="Calibri" w:hAnsi="Calibri" w:cs="Calibri"/>
        </w:rPr>
        <w:t>,</w:t>
      </w:r>
      <w:r w:rsidR="00E93EBD" w:rsidRPr="00E97254">
        <w:rPr>
          <w:rFonts w:ascii="Calibri" w:hAnsi="Calibri" w:cs="Calibri"/>
        </w:rPr>
        <w:t xml:space="preserve"> 21% e pjesëmarrësve i japin përparësi arsim</w:t>
      </w:r>
      <w:r>
        <w:rPr>
          <w:rFonts w:ascii="Calibri" w:hAnsi="Calibri" w:cs="Calibri"/>
        </w:rPr>
        <w:t xml:space="preserve">it parashkollor, 34% arsimit nëntëvjeçar, 22% arsimit të mesëm të lartë dhe 23% arsimit të lartë. </w:t>
      </w:r>
    </w:p>
    <w:p w:rsidR="009336F3" w:rsidRPr="00E97254" w:rsidRDefault="00F437A8" w:rsidP="000C0250">
      <w:pPr>
        <w:spacing w:after="0"/>
        <w:jc w:val="both"/>
        <w:rPr>
          <w:rFonts w:ascii="Calibri" w:hAnsi="Calibri" w:cs="Calibri"/>
        </w:rPr>
      </w:pPr>
      <w:r>
        <w:rPr>
          <w:rFonts w:ascii="Calibri" w:hAnsi="Calibri" w:cs="Calibri"/>
        </w:rPr>
        <w:t>P</w:t>
      </w:r>
      <w:r w:rsidRPr="00E97254">
        <w:rPr>
          <w:rFonts w:ascii="Calibri" w:hAnsi="Calibri" w:cs="Calibri"/>
        </w:rPr>
        <w:t>ë</w:t>
      </w:r>
      <w:r>
        <w:rPr>
          <w:rFonts w:ascii="Calibri" w:hAnsi="Calibri" w:cs="Calibri"/>
        </w:rPr>
        <w:t>r</w:t>
      </w:r>
      <w:r w:rsidRPr="00E97254">
        <w:rPr>
          <w:rFonts w:ascii="Calibri" w:hAnsi="Calibri" w:cs="Calibri"/>
        </w:rPr>
        <w:t xml:space="preserve"> </w:t>
      </w:r>
      <w:r w:rsidR="009336F3" w:rsidRPr="00E97254">
        <w:rPr>
          <w:rFonts w:ascii="Calibri" w:hAnsi="Calibri" w:cs="Calibri"/>
        </w:rPr>
        <w:t>pyetjen se cili nga grupet ka nevojë për më shumë mbështetje për të arritur sukses në arsim, 59% e pjesëmarrësve shprehin preferencën për fëmijët me vësht</w:t>
      </w:r>
      <w:r w:rsidR="004E1F53">
        <w:rPr>
          <w:rFonts w:ascii="Calibri" w:hAnsi="Calibri" w:cs="Calibri"/>
        </w:rPr>
        <w:t xml:space="preserve">irësi ekonomike, 20% për fëmijët më aftësi të kufizuara, 12% për vajzat që jetojnë në zonat e largëta dhe 9% për fëmijët e </w:t>
      </w:r>
      <w:r w:rsidR="004E1F53">
        <w:rPr>
          <w:rFonts w:cs="Calibri"/>
        </w:rPr>
        <w:t>pakicës kombetare</w:t>
      </w:r>
      <w:r w:rsidR="004E1F53">
        <w:rPr>
          <w:rFonts w:ascii="Calibri" w:hAnsi="Calibri" w:cs="Calibri"/>
        </w:rPr>
        <w:t xml:space="preserve"> rome dhe egjiptiane. </w:t>
      </w:r>
    </w:p>
    <w:p w:rsidR="00E93EBD" w:rsidRPr="00E97254" w:rsidRDefault="004E1F53" w:rsidP="000C0250">
      <w:pPr>
        <w:spacing w:after="0"/>
        <w:jc w:val="both"/>
        <w:rPr>
          <w:rFonts w:ascii="Calibri" w:hAnsi="Calibri" w:cs="Calibri"/>
        </w:rPr>
      </w:pPr>
      <w:r>
        <w:rPr>
          <w:rFonts w:ascii="Calibri" w:hAnsi="Calibri" w:cs="Calibri"/>
        </w:rPr>
        <w:t xml:space="preserve">Vetëm 7% e pjesëmarrësve në sondazh konsiderojnë se Strategjia nuk duhet të </w:t>
      </w:r>
      <w:r w:rsidR="00F437A8">
        <w:rPr>
          <w:rFonts w:ascii="Calibri" w:hAnsi="Calibri" w:cs="Calibri"/>
        </w:rPr>
        <w:t>trajtoj</w:t>
      </w:r>
      <w:r w:rsidR="00F437A8" w:rsidRPr="00E97254">
        <w:rPr>
          <w:rFonts w:ascii="Calibri" w:hAnsi="Calibri" w:cs="Calibri"/>
        </w:rPr>
        <w:t xml:space="preserve">ë </w:t>
      </w:r>
      <w:r w:rsidR="009336F3" w:rsidRPr="00E97254">
        <w:rPr>
          <w:rFonts w:ascii="Calibri" w:hAnsi="Calibri" w:cs="Calibri"/>
        </w:rPr>
        <w:t xml:space="preserve">çështjet e sigurisë në shkolla, </w:t>
      </w:r>
      <w:r w:rsidR="00F437A8" w:rsidRPr="00E97254">
        <w:rPr>
          <w:rFonts w:ascii="Calibri" w:hAnsi="Calibri" w:cs="Calibri"/>
        </w:rPr>
        <w:t>ndërk</w:t>
      </w:r>
      <w:r w:rsidR="00F437A8">
        <w:rPr>
          <w:rFonts w:ascii="Calibri" w:hAnsi="Calibri" w:cs="Calibri"/>
        </w:rPr>
        <w:t>oh</w:t>
      </w:r>
      <w:r w:rsidR="00F437A8" w:rsidRPr="00E97254">
        <w:rPr>
          <w:rFonts w:ascii="Calibri" w:hAnsi="Calibri" w:cs="Calibri"/>
        </w:rPr>
        <w:t xml:space="preserve">ë </w:t>
      </w:r>
      <w:r w:rsidR="009336F3" w:rsidRPr="00E97254">
        <w:rPr>
          <w:rFonts w:ascii="Calibri" w:hAnsi="Calibri" w:cs="Calibri"/>
        </w:rPr>
        <w:t xml:space="preserve">15% janë të mendimit se duhet </w:t>
      </w:r>
      <w:r w:rsidR="00F437A8">
        <w:rPr>
          <w:rFonts w:ascii="Calibri" w:hAnsi="Calibri" w:cs="Calibri"/>
        </w:rPr>
        <w:t>trajtuar</w:t>
      </w:r>
      <w:r w:rsidR="00F437A8" w:rsidRPr="00E97254">
        <w:rPr>
          <w:rFonts w:ascii="Calibri" w:hAnsi="Calibri" w:cs="Calibri"/>
        </w:rPr>
        <w:t xml:space="preserve"> </w:t>
      </w:r>
      <w:r w:rsidR="00FB0008" w:rsidRPr="00E97254">
        <w:rPr>
          <w:rFonts w:cs="Calibri"/>
        </w:rPr>
        <w:t>bullizmi</w:t>
      </w:r>
      <w:r w:rsidR="009336F3" w:rsidRPr="00E97254">
        <w:rPr>
          <w:rFonts w:ascii="Calibri" w:hAnsi="Calibri" w:cs="Calibri"/>
        </w:rPr>
        <w:t xml:space="preserve">, 7% ekstremizmi </w:t>
      </w:r>
      <w:r w:rsidR="00FB0008" w:rsidRPr="00E97254">
        <w:rPr>
          <w:rFonts w:cs="Calibri"/>
        </w:rPr>
        <w:t>i</w:t>
      </w:r>
      <w:r w:rsidR="009336F3" w:rsidRPr="00E97254">
        <w:rPr>
          <w:rFonts w:ascii="Calibri" w:hAnsi="Calibri" w:cs="Calibri"/>
        </w:rPr>
        <w:t xml:space="preserve"> dhunshëm, ndërsa 71% të dyja (</w:t>
      </w:r>
      <w:r w:rsidR="008D102D">
        <w:fldChar w:fldCharType="begin"/>
      </w:r>
      <w:r w:rsidR="008D102D">
        <w:instrText xml:space="preserve"> REF _Ref42262905 \h  \* MERGEFORMAT </w:instrText>
      </w:r>
      <w:r w:rsidR="008D102D">
        <w:fldChar w:fldCharType="separate"/>
      </w:r>
      <w:r w:rsidR="005A6200" w:rsidRPr="00E97254">
        <w:rPr>
          <w:rFonts w:ascii="Calibri" w:hAnsi="Calibri" w:cs="Calibri"/>
        </w:rPr>
        <w:t>Figura 4</w:t>
      </w:r>
      <w:r w:rsidR="008D102D">
        <w:fldChar w:fldCharType="end"/>
      </w:r>
      <w:r w:rsidR="009336F3" w:rsidRPr="00E97254">
        <w:rPr>
          <w:rFonts w:ascii="Calibri" w:hAnsi="Calibri" w:cs="Calibri"/>
        </w:rPr>
        <w:t>).</w:t>
      </w:r>
      <w:r w:rsidR="002B257B" w:rsidRPr="00E97254">
        <w:rPr>
          <w:rFonts w:ascii="Calibri" w:hAnsi="Calibri" w:cs="Calibri"/>
        </w:rPr>
        <w:t xml:space="preserve"> </w:t>
      </w:r>
    </w:p>
    <w:p w:rsidR="00BD7FB3" w:rsidRPr="00E97254" w:rsidRDefault="00FA5606" w:rsidP="000C0250">
      <w:pPr>
        <w:pStyle w:val="Caption"/>
        <w:keepNext/>
        <w:spacing w:before="240" w:after="0" w:line="276" w:lineRule="auto"/>
        <w:jc w:val="both"/>
        <w:rPr>
          <w:rFonts w:ascii="Calibri" w:hAnsi="Calibri" w:cs="Calibri"/>
          <w:b w:val="0"/>
          <w:color w:val="auto"/>
          <w:sz w:val="22"/>
          <w:szCs w:val="22"/>
        </w:rPr>
      </w:pPr>
      <w:bookmarkStart w:id="51" w:name="_Ref42262905"/>
      <w:bookmarkStart w:id="52" w:name="_Toc66802057"/>
      <w:r w:rsidRPr="00FA5606">
        <w:rPr>
          <w:rFonts w:ascii="Calibri" w:hAnsi="Calibri" w:cs="Calibri"/>
          <w:color w:val="auto"/>
          <w:sz w:val="22"/>
          <w:szCs w:val="22"/>
        </w:rPr>
        <w:lastRenderedPageBreak/>
        <w:t xml:space="preserve">Figura </w:t>
      </w:r>
      <w:r w:rsidR="00EC56B7" w:rsidRPr="00FA5606">
        <w:rPr>
          <w:rFonts w:ascii="Calibri" w:hAnsi="Calibri" w:cs="Calibri"/>
          <w:color w:val="auto"/>
          <w:sz w:val="22"/>
          <w:szCs w:val="22"/>
        </w:rPr>
        <w:fldChar w:fldCharType="begin"/>
      </w:r>
      <w:r w:rsidRPr="00FA5606">
        <w:rPr>
          <w:rFonts w:ascii="Calibri" w:hAnsi="Calibri" w:cs="Calibri"/>
          <w:color w:val="auto"/>
          <w:sz w:val="22"/>
          <w:szCs w:val="22"/>
        </w:rPr>
        <w:instrText xml:space="preserve"> SEQ Figura \* ARABIC </w:instrText>
      </w:r>
      <w:r w:rsidR="00EC56B7" w:rsidRPr="00FA5606">
        <w:rPr>
          <w:rFonts w:ascii="Calibri" w:hAnsi="Calibri" w:cs="Calibri"/>
          <w:color w:val="auto"/>
          <w:sz w:val="22"/>
          <w:szCs w:val="22"/>
        </w:rPr>
        <w:fldChar w:fldCharType="separate"/>
      </w:r>
      <w:r w:rsidRPr="00FA5606">
        <w:rPr>
          <w:rFonts w:ascii="Calibri" w:hAnsi="Calibri" w:cs="Calibri"/>
          <w:color w:val="auto"/>
          <w:sz w:val="22"/>
          <w:szCs w:val="22"/>
        </w:rPr>
        <w:t>4</w:t>
      </w:r>
      <w:r w:rsidR="00EC56B7" w:rsidRPr="00FA5606">
        <w:rPr>
          <w:rFonts w:ascii="Calibri" w:hAnsi="Calibri" w:cs="Calibri"/>
          <w:color w:val="auto"/>
          <w:sz w:val="22"/>
          <w:szCs w:val="22"/>
        </w:rPr>
        <w:fldChar w:fldCharType="end"/>
      </w:r>
      <w:bookmarkEnd w:id="51"/>
      <w:r w:rsidRPr="00FA5606">
        <w:rPr>
          <w:rFonts w:ascii="Calibri" w:hAnsi="Calibri" w:cs="Calibri"/>
          <w:color w:val="auto"/>
          <w:sz w:val="22"/>
          <w:szCs w:val="22"/>
        </w:rPr>
        <w:t>.</w:t>
      </w:r>
      <w:r w:rsidR="004E1F53" w:rsidRPr="004E1F53">
        <w:rPr>
          <w:rFonts w:ascii="Calibri" w:hAnsi="Calibri" w:cs="Calibri"/>
          <w:b w:val="0"/>
          <w:color w:val="auto"/>
          <w:sz w:val="22"/>
          <w:szCs w:val="22"/>
        </w:rPr>
        <w:t xml:space="preserve"> Çështjet e sigurisë në shkolla që duhen </w:t>
      </w:r>
      <w:r w:rsidR="00A50A43">
        <w:rPr>
          <w:rFonts w:ascii="Calibri" w:hAnsi="Calibri" w:cs="Calibri"/>
          <w:b w:val="0"/>
          <w:color w:val="auto"/>
          <w:sz w:val="22"/>
          <w:szCs w:val="22"/>
        </w:rPr>
        <w:t>trajt</w:t>
      </w:r>
      <w:r w:rsidR="004E1F53" w:rsidRPr="004E1F53">
        <w:rPr>
          <w:rFonts w:ascii="Calibri" w:hAnsi="Calibri" w:cs="Calibri"/>
          <w:b w:val="0"/>
          <w:color w:val="auto"/>
          <w:sz w:val="22"/>
          <w:szCs w:val="22"/>
        </w:rPr>
        <w:t>uar nga Strategjia</w:t>
      </w:r>
      <w:bookmarkEnd w:id="52"/>
    </w:p>
    <w:p w:rsidR="00E93EBD" w:rsidRPr="00E97254" w:rsidRDefault="00B91568" w:rsidP="000C0250">
      <w:pPr>
        <w:spacing w:before="120" w:after="0"/>
        <w:jc w:val="both"/>
        <w:rPr>
          <w:rFonts w:cs="Calibri"/>
          <w:sz w:val="32"/>
          <w:szCs w:val="32"/>
        </w:rPr>
      </w:pPr>
      <w:r w:rsidRPr="00E97254">
        <w:rPr>
          <w:rFonts w:cs="Calibri"/>
          <w:noProof/>
          <w:sz w:val="32"/>
          <w:szCs w:val="32"/>
          <w:lang w:val="en-US"/>
        </w:rPr>
        <w:drawing>
          <wp:inline distT="0" distB="0" distL="0" distR="0">
            <wp:extent cx="4192905" cy="2060575"/>
            <wp:effectExtent l="0" t="0" r="0" b="0"/>
            <wp:docPr id="452" name="Chart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E93EBD" w:rsidRPr="00E97254" w:rsidRDefault="00BD7FB3" w:rsidP="000C0250">
      <w:pPr>
        <w:spacing w:before="120" w:after="0"/>
        <w:jc w:val="both"/>
        <w:rPr>
          <w:rFonts w:ascii="Calibri" w:hAnsi="Calibri" w:cs="Calibri"/>
        </w:rPr>
      </w:pPr>
      <w:r w:rsidRPr="00E97254">
        <w:rPr>
          <w:rFonts w:ascii="Calibri" w:hAnsi="Calibri" w:cs="Calibri"/>
        </w:rPr>
        <w:t xml:space="preserve">Si mangësi kryesore të shkollës së sotme, </w:t>
      </w:r>
      <w:r w:rsidR="00E93EBD" w:rsidRPr="00E97254">
        <w:rPr>
          <w:rFonts w:ascii="Calibri" w:hAnsi="Calibri" w:cs="Calibri"/>
        </w:rPr>
        <w:t xml:space="preserve">48% e pjesëmarrësve </w:t>
      </w:r>
      <w:r w:rsidRPr="00E97254">
        <w:rPr>
          <w:rFonts w:ascii="Calibri" w:hAnsi="Calibri" w:cs="Calibri"/>
        </w:rPr>
        <w:t>në sondazh shohin</w:t>
      </w:r>
      <w:r w:rsidR="00E93EBD" w:rsidRPr="00E97254">
        <w:rPr>
          <w:rFonts w:ascii="Calibri" w:hAnsi="Calibri" w:cs="Calibri"/>
        </w:rPr>
        <w:t xml:space="preserve"> mungesën e përgjegjësisë dhe </w:t>
      </w:r>
      <w:r w:rsidRPr="00E97254">
        <w:rPr>
          <w:rFonts w:ascii="Calibri" w:hAnsi="Calibri" w:cs="Calibri"/>
        </w:rPr>
        <w:t>llogaridhënies</w:t>
      </w:r>
      <w:r w:rsidR="00E93EBD" w:rsidRPr="00E97254">
        <w:rPr>
          <w:rFonts w:ascii="Calibri" w:hAnsi="Calibri" w:cs="Calibri"/>
        </w:rPr>
        <w:t xml:space="preserve">, 37% </w:t>
      </w:r>
      <w:r w:rsidR="00F437A8">
        <w:rPr>
          <w:rFonts w:ascii="Calibri" w:hAnsi="Calibri" w:cs="Calibri"/>
        </w:rPr>
        <w:t xml:space="preserve">- </w:t>
      </w:r>
      <w:r w:rsidR="00E93EBD" w:rsidRPr="00E97254">
        <w:rPr>
          <w:rFonts w:ascii="Calibri" w:hAnsi="Calibri" w:cs="Calibri"/>
        </w:rPr>
        <w:t>faktin që shkolla nuk i pajis nxënësit</w:t>
      </w:r>
      <w:r w:rsidRPr="00E97254">
        <w:rPr>
          <w:rFonts w:ascii="Calibri" w:hAnsi="Calibri" w:cs="Calibri"/>
        </w:rPr>
        <w:t xml:space="preserve"> me aftësi të nevojshme për jetë</w:t>
      </w:r>
      <w:r w:rsidR="00F437A8">
        <w:rPr>
          <w:rFonts w:ascii="Calibri" w:hAnsi="Calibri" w:cs="Calibri"/>
        </w:rPr>
        <w:t>n</w:t>
      </w:r>
      <w:r w:rsidRPr="00E97254">
        <w:rPr>
          <w:rFonts w:ascii="Calibri" w:hAnsi="Calibri" w:cs="Calibri"/>
        </w:rPr>
        <w:t xml:space="preserve"> </w:t>
      </w:r>
      <w:r w:rsidR="00E93EBD" w:rsidRPr="00E97254">
        <w:rPr>
          <w:rFonts w:ascii="Calibri" w:hAnsi="Calibri" w:cs="Calibri"/>
        </w:rPr>
        <w:t xml:space="preserve">dhe 15% </w:t>
      </w:r>
      <w:r w:rsidR="00F437A8">
        <w:rPr>
          <w:rFonts w:ascii="Calibri" w:hAnsi="Calibri" w:cs="Calibri"/>
        </w:rPr>
        <w:t xml:space="preserve">- </w:t>
      </w:r>
      <w:r w:rsidR="00E93EBD" w:rsidRPr="00E97254">
        <w:rPr>
          <w:rFonts w:ascii="Calibri" w:hAnsi="Calibri" w:cs="Calibri"/>
        </w:rPr>
        <w:t xml:space="preserve">infrastrukturën e dobët në </w:t>
      </w:r>
      <w:r w:rsidR="006C7ECC" w:rsidRPr="00E97254">
        <w:rPr>
          <w:rFonts w:ascii="Calibri" w:hAnsi="Calibri" w:cs="Calibri"/>
        </w:rPr>
        <w:t>shkolla.</w:t>
      </w:r>
      <w:r w:rsidR="00E93EBD" w:rsidRPr="00E97254">
        <w:rPr>
          <w:rFonts w:ascii="Calibri" w:hAnsi="Calibri" w:cs="Calibri"/>
        </w:rPr>
        <w:t xml:space="preserve"> </w:t>
      </w:r>
    </w:p>
    <w:p w:rsidR="00E93EBD" w:rsidRPr="00E97254" w:rsidRDefault="00E93EBD" w:rsidP="003B15BB">
      <w:pPr>
        <w:spacing w:after="0"/>
        <w:jc w:val="both"/>
        <w:rPr>
          <w:rFonts w:ascii="Calibri" w:hAnsi="Calibri" w:cs="Calibri"/>
        </w:rPr>
      </w:pPr>
      <w:r w:rsidRPr="00E97254">
        <w:rPr>
          <w:rFonts w:ascii="Calibri" w:hAnsi="Calibri" w:cs="Calibri"/>
        </w:rPr>
        <w:t>Sipas pjesëmarrësve të përfshirë në sondazh</w:t>
      </w:r>
      <w:r w:rsidR="00F437A8">
        <w:rPr>
          <w:rFonts w:ascii="Calibri" w:hAnsi="Calibri" w:cs="Calibri"/>
        </w:rPr>
        <w:t>,</w:t>
      </w:r>
      <w:r w:rsidRPr="00E97254">
        <w:rPr>
          <w:rFonts w:ascii="Calibri" w:hAnsi="Calibri" w:cs="Calibri"/>
        </w:rPr>
        <w:t xml:space="preserve"> fokusi kryeso</w:t>
      </w:r>
      <w:r w:rsidR="00BD7FB3" w:rsidRPr="00E97254">
        <w:rPr>
          <w:rFonts w:ascii="Calibri" w:hAnsi="Calibri" w:cs="Calibri"/>
        </w:rPr>
        <w:t>r i Strategjisë në lidhje me digj</w:t>
      </w:r>
      <w:r w:rsidRPr="00E97254">
        <w:rPr>
          <w:rFonts w:ascii="Calibri" w:hAnsi="Calibri" w:cs="Calibri"/>
        </w:rPr>
        <w:t>italizimin e arsimit duhet të jetë</w:t>
      </w:r>
      <w:r w:rsidR="00BD7FB3" w:rsidRPr="00E97254">
        <w:rPr>
          <w:rFonts w:ascii="Calibri" w:hAnsi="Calibri" w:cs="Calibri"/>
        </w:rPr>
        <w:t xml:space="preserve"> </w:t>
      </w:r>
      <w:r w:rsidRPr="00E97254">
        <w:rPr>
          <w:rFonts w:ascii="Calibri" w:hAnsi="Calibri" w:cs="Calibri"/>
        </w:rPr>
        <w:t xml:space="preserve">trajnimi </w:t>
      </w:r>
      <w:r w:rsidR="00F437A8">
        <w:rPr>
          <w:rFonts w:ascii="Calibri" w:hAnsi="Calibri" w:cs="Calibri"/>
        </w:rPr>
        <w:t>i</w:t>
      </w:r>
      <w:r w:rsidR="00F437A8" w:rsidRPr="00E97254">
        <w:rPr>
          <w:rFonts w:ascii="Calibri" w:hAnsi="Calibri" w:cs="Calibri"/>
        </w:rPr>
        <w:t xml:space="preserve"> </w:t>
      </w:r>
      <w:r w:rsidRPr="00E97254">
        <w:rPr>
          <w:rFonts w:ascii="Calibri" w:hAnsi="Calibri" w:cs="Calibri"/>
        </w:rPr>
        <w:t>mësuesve për përdorimin e teknologjisë së informacionit</w:t>
      </w:r>
      <w:r w:rsidR="00BD7FB3" w:rsidRPr="00E97254">
        <w:rPr>
          <w:rFonts w:ascii="Calibri" w:hAnsi="Calibri" w:cs="Calibri"/>
        </w:rPr>
        <w:t xml:space="preserve"> – 49%</w:t>
      </w:r>
      <w:r w:rsidRPr="00E97254">
        <w:rPr>
          <w:rFonts w:ascii="Calibri" w:hAnsi="Calibri" w:cs="Calibri"/>
        </w:rPr>
        <w:t>,</w:t>
      </w:r>
      <w:r w:rsidR="002B257B" w:rsidRPr="00E97254">
        <w:rPr>
          <w:rFonts w:ascii="Calibri" w:hAnsi="Calibri" w:cs="Calibri"/>
        </w:rPr>
        <w:t xml:space="preserve"> </w:t>
      </w:r>
      <w:r w:rsidR="00BD7FB3" w:rsidRPr="00E97254">
        <w:rPr>
          <w:rFonts w:ascii="Calibri" w:hAnsi="Calibri" w:cs="Calibri"/>
        </w:rPr>
        <w:t xml:space="preserve">pastaj </w:t>
      </w:r>
      <w:r w:rsidR="004E1F53">
        <w:rPr>
          <w:rFonts w:ascii="Calibri" w:hAnsi="Calibri" w:cs="Calibri"/>
        </w:rPr>
        <w:t>zhvillimi i materialeve mësimore digjitale – 28% dhe pajisja e shkollave me kompjuterë – 22%.</w:t>
      </w:r>
    </w:p>
    <w:p w:rsidR="003B15BB" w:rsidRPr="00E97254" w:rsidRDefault="003B15BB" w:rsidP="003B15BB">
      <w:pPr>
        <w:spacing w:after="0"/>
        <w:jc w:val="both"/>
        <w:rPr>
          <w:rFonts w:ascii="Calibri" w:hAnsi="Calibri" w:cs="Calibri"/>
        </w:rPr>
      </w:pPr>
    </w:p>
    <w:p w:rsidR="00C44536" w:rsidRPr="00E97254" w:rsidRDefault="00FA5606" w:rsidP="000C0250">
      <w:pPr>
        <w:pStyle w:val="Heading2"/>
        <w:jc w:val="both"/>
      </w:pPr>
      <w:bookmarkStart w:id="53" w:name="_Toc45624224"/>
      <w:bookmarkStart w:id="54" w:name="_Toc66801993"/>
      <w:r w:rsidRPr="00FA5606">
        <w:t>4.3. Arsimi parauniversitar</w:t>
      </w:r>
      <w:bookmarkEnd w:id="53"/>
      <w:bookmarkEnd w:id="54"/>
    </w:p>
    <w:p w:rsidR="004339A9" w:rsidRPr="00E97254" w:rsidRDefault="00DC4C19" w:rsidP="000C0250">
      <w:pPr>
        <w:spacing w:before="120" w:after="0"/>
        <w:jc w:val="both"/>
        <w:rPr>
          <w:rFonts w:ascii="Calibri" w:hAnsi="Calibri" w:cs="Calibri"/>
        </w:rPr>
      </w:pPr>
      <w:r>
        <w:rPr>
          <w:rFonts w:ascii="Calibri" w:hAnsi="Calibri" w:cs="Calibri"/>
        </w:rPr>
        <w:t xml:space="preserve">Analiza e situatës </w:t>
      </w:r>
      <w:r w:rsidR="004E1F53">
        <w:rPr>
          <w:rFonts w:ascii="Calibri" w:hAnsi="Calibri" w:cs="Calibri"/>
        </w:rPr>
        <w:t>në fushën e arsimit parauniversitar është bazuar në raportet hulumtuese që janë në dispozicion, si dhe në analizën SWOT të realizuar nga grupet e punës të MASR</w:t>
      </w:r>
      <w:r w:rsidR="00F437A8">
        <w:rPr>
          <w:rFonts w:ascii="Calibri" w:hAnsi="Calibri" w:cs="Calibri"/>
        </w:rPr>
        <w:t>-s</w:t>
      </w:r>
      <w:r w:rsidR="00F437A8" w:rsidRPr="00E97254">
        <w:rPr>
          <w:rFonts w:ascii="Calibri" w:hAnsi="Calibri" w:cs="Calibri"/>
        </w:rPr>
        <w:t>ë</w:t>
      </w:r>
      <w:r w:rsidR="004339A9" w:rsidRPr="00E97254">
        <w:rPr>
          <w:rFonts w:ascii="Calibri" w:hAnsi="Calibri" w:cs="Calibri"/>
        </w:rPr>
        <w:t>. Kjo analizë është përqendruar në pesë fusha tematike:</w:t>
      </w:r>
    </w:p>
    <w:p w:rsidR="004339A9" w:rsidRPr="00E97254" w:rsidRDefault="004E1F53" w:rsidP="000C0250">
      <w:pPr>
        <w:pStyle w:val="ListParagraph"/>
        <w:numPr>
          <w:ilvl w:val="0"/>
          <w:numId w:val="20"/>
        </w:numPr>
        <w:spacing w:after="0"/>
        <w:jc w:val="both"/>
        <w:rPr>
          <w:rFonts w:ascii="Calibri" w:hAnsi="Calibri" w:cs="Calibri"/>
        </w:rPr>
      </w:pPr>
      <w:r>
        <w:rPr>
          <w:rFonts w:ascii="Calibri" w:hAnsi="Calibri" w:cs="Calibri"/>
        </w:rPr>
        <w:t>Gjithëpërfshirja dhe barazia në arsim;</w:t>
      </w:r>
    </w:p>
    <w:p w:rsidR="00B5068C" w:rsidRPr="00E97254" w:rsidRDefault="004E1F53" w:rsidP="000C0250">
      <w:pPr>
        <w:pStyle w:val="ListParagraph"/>
        <w:numPr>
          <w:ilvl w:val="0"/>
          <w:numId w:val="20"/>
        </w:numPr>
        <w:spacing w:before="120" w:after="0"/>
        <w:jc w:val="both"/>
        <w:rPr>
          <w:rFonts w:ascii="Calibri" w:hAnsi="Calibri" w:cs="Calibri"/>
        </w:rPr>
      </w:pPr>
      <w:r>
        <w:rPr>
          <w:rFonts w:ascii="Calibri" w:hAnsi="Calibri" w:cs="Calibri"/>
        </w:rPr>
        <w:t>Mësuesit;</w:t>
      </w:r>
    </w:p>
    <w:p w:rsidR="00B5068C" w:rsidRPr="00E97254" w:rsidRDefault="004E1F53" w:rsidP="000C0250">
      <w:pPr>
        <w:pStyle w:val="ListParagraph"/>
        <w:numPr>
          <w:ilvl w:val="0"/>
          <w:numId w:val="20"/>
        </w:numPr>
        <w:spacing w:before="120" w:after="0"/>
        <w:jc w:val="both"/>
        <w:rPr>
          <w:rFonts w:ascii="Calibri" w:hAnsi="Calibri" w:cs="Calibri"/>
        </w:rPr>
      </w:pPr>
      <w:r>
        <w:rPr>
          <w:rFonts w:ascii="Calibri" w:hAnsi="Calibri" w:cs="Calibri"/>
        </w:rPr>
        <w:t>Zotërimi i kompetencave të të nxënit gjatë gjithë jetës;</w:t>
      </w:r>
    </w:p>
    <w:p w:rsidR="00B5068C" w:rsidRPr="00E97254" w:rsidRDefault="004E1F53" w:rsidP="000C0250">
      <w:pPr>
        <w:pStyle w:val="ListParagraph"/>
        <w:numPr>
          <w:ilvl w:val="0"/>
          <w:numId w:val="20"/>
        </w:numPr>
        <w:spacing w:before="120" w:after="0"/>
        <w:jc w:val="both"/>
        <w:rPr>
          <w:rFonts w:ascii="Calibri" w:hAnsi="Calibri" w:cs="Calibri"/>
        </w:rPr>
      </w:pPr>
      <w:r>
        <w:rPr>
          <w:rFonts w:ascii="Calibri" w:hAnsi="Calibri" w:cs="Calibri"/>
        </w:rPr>
        <w:t>Digjitalizimi i arsimit;</w:t>
      </w:r>
    </w:p>
    <w:p w:rsidR="00717963" w:rsidRPr="00E97254" w:rsidRDefault="004E1F53" w:rsidP="000C0250">
      <w:pPr>
        <w:pStyle w:val="ListParagraph"/>
        <w:numPr>
          <w:ilvl w:val="0"/>
          <w:numId w:val="20"/>
        </w:numPr>
        <w:spacing w:before="120" w:after="0"/>
        <w:jc w:val="both"/>
        <w:rPr>
          <w:rFonts w:ascii="Calibri" w:hAnsi="Calibri" w:cs="Calibri"/>
        </w:rPr>
      </w:pPr>
      <w:r>
        <w:rPr>
          <w:rFonts w:ascii="Calibri" w:hAnsi="Calibri" w:cs="Calibri"/>
        </w:rPr>
        <w:t>Menaxhimi dhe sigurimi i cilësisë.</w:t>
      </w:r>
    </w:p>
    <w:p w:rsidR="00FC76CF" w:rsidRPr="00E97254" w:rsidRDefault="00FC76CF" w:rsidP="000C0250">
      <w:pPr>
        <w:pStyle w:val="Heading3"/>
        <w:jc w:val="both"/>
      </w:pPr>
      <w:bookmarkStart w:id="55" w:name="_Toc45624225"/>
      <w:bookmarkStart w:id="56" w:name="_Toc66801994"/>
    </w:p>
    <w:p w:rsidR="00C44536" w:rsidRPr="00E97254" w:rsidRDefault="00FA5606" w:rsidP="000C0250">
      <w:pPr>
        <w:pStyle w:val="Heading3"/>
        <w:jc w:val="both"/>
      </w:pPr>
      <w:r w:rsidRPr="00FA5606">
        <w:t>4.3.1. Gjithëpërfshirja dhe barazia në arsim</w:t>
      </w:r>
      <w:bookmarkEnd w:id="55"/>
      <w:bookmarkEnd w:id="56"/>
    </w:p>
    <w:p w:rsidR="005B1E56" w:rsidRPr="00E97254" w:rsidRDefault="004E1F53" w:rsidP="000C0250">
      <w:pPr>
        <w:spacing w:before="120" w:after="0"/>
        <w:jc w:val="both"/>
        <w:rPr>
          <w:rFonts w:ascii="Calibri" w:hAnsi="Calibri" w:cs="Calibri"/>
        </w:rPr>
      </w:pPr>
      <w:r>
        <w:rPr>
          <w:rFonts w:ascii="Calibri" w:hAnsi="Calibri" w:cs="Calibri"/>
        </w:rPr>
        <w:t>Republika e Shqipërisë ka një rrjet të përbërë prej 3,829 institucione</w:t>
      </w:r>
      <w:r w:rsidR="00F437A8">
        <w:rPr>
          <w:rFonts w:ascii="Calibri" w:hAnsi="Calibri" w:cs="Calibri"/>
        </w:rPr>
        <w:t>sh</w:t>
      </w:r>
      <w:r w:rsidR="00F437A8" w:rsidRPr="00E97254">
        <w:rPr>
          <w:rFonts w:ascii="Calibri" w:hAnsi="Calibri" w:cs="Calibri"/>
        </w:rPr>
        <w:t xml:space="preserve"> </w:t>
      </w:r>
      <w:r w:rsidR="005B1E56" w:rsidRPr="00E97254">
        <w:rPr>
          <w:rFonts w:ascii="Calibri" w:hAnsi="Calibri" w:cs="Calibri"/>
        </w:rPr>
        <w:t>arsimore të nivelit parauniversitar, prej të cilave 3,427 janë publike dhe 402 private (</w:t>
      </w:r>
      <w:r w:rsidR="008D102D">
        <w:fldChar w:fldCharType="begin"/>
      </w:r>
      <w:r w:rsidR="008D102D">
        <w:instrText xml:space="preserve"> REF _Ref42674984 \h  \* MERGEFORMAT </w:instrText>
      </w:r>
      <w:r w:rsidR="008D102D">
        <w:fldChar w:fldCharType="separate"/>
      </w:r>
      <w:r w:rsidR="005A6200" w:rsidRPr="00E97254">
        <w:rPr>
          <w:rFonts w:ascii="Calibri" w:hAnsi="Calibri" w:cs="Calibri"/>
        </w:rPr>
        <w:t>Tabela 5</w:t>
      </w:r>
      <w:r w:rsidR="008D102D">
        <w:fldChar w:fldCharType="end"/>
      </w:r>
      <w:r w:rsidR="005B1E56" w:rsidRPr="00E97254">
        <w:rPr>
          <w:rFonts w:ascii="Calibri" w:hAnsi="Calibri" w:cs="Calibri"/>
        </w:rPr>
        <w:t xml:space="preserve">). </w:t>
      </w:r>
      <w:r w:rsidR="00CC2726" w:rsidRPr="00E97254">
        <w:rPr>
          <w:rFonts w:ascii="Calibri" w:hAnsi="Calibri" w:cs="Calibri"/>
        </w:rPr>
        <w:t>Në pesë vitet</w:t>
      </w:r>
      <w:r w:rsidR="009B0A14" w:rsidRPr="00E97254">
        <w:rPr>
          <w:rFonts w:ascii="Calibri" w:hAnsi="Calibri" w:cs="Calibri"/>
        </w:rPr>
        <w:t xml:space="preserve"> </w:t>
      </w:r>
      <w:r w:rsidR="00CC2726" w:rsidRPr="00E97254">
        <w:rPr>
          <w:rFonts w:ascii="Calibri" w:hAnsi="Calibri" w:cs="Calibri"/>
        </w:rPr>
        <w:t xml:space="preserve">e fundit vërehet një </w:t>
      </w:r>
      <w:r w:rsidR="00685361">
        <w:rPr>
          <w:rFonts w:ascii="Calibri" w:hAnsi="Calibri" w:cs="Calibri"/>
        </w:rPr>
        <w:t>prirje</w:t>
      </w:r>
      <w:r w:rsidR="00685361" w:rsidRPr="00E97254">
        <w:rPr>
          <w:rFonts w:ascii="Calibri" w:hAnsi="Calibri" w:cs="Calibri"/>
        </w:rPr>
        <w:t xml:space="preserve"> </w:t>
      </w:r>
      <w:r w:rsidR="00685361">
        <w:rPr>
          <w:rFonts w:ascii="Calibri" w:hAnsi="Calibri" w:cs="Calibri"/>
        </w:rPr>
        <w:t>e</w:t>
      </w:r>
      <w:r w:rsidR="00685361" w:rsidRPr="00E97254">
        <w:rPr>
          <w:rFonts w:ascii="Calibri" w:hAnsi="Calibri" w:cs="Calibri"/>
        </w:rPr>
        <w:t xml:space="preserve"> </w:t>
      </w:r>
      <w:r w:rsidR="00CC2726" w:rsidRPr="00E97254">
        <w:rPr>
          <w:rFonts w:ascii="Calibri" w:hAnsi="Calibri" w:cs="Calibri"/>
        </w:rPr>
        <w:t xml:space="preserve">qartë </w:t>
      </w:r>
      <w:r w:rsidR="00F437A8">
        <w:rPr>
          <w:rFonts w:ascii="Calibri" w:hAnsi="Calibri" w:cs="Calibri"/>
        </w:rPr>
        <w:t xml:space="preserve">- </w:t>
      </w:r>
      <w:r w:rsidR="009336F3" w:rsidRPr="00E97254">
        <w:rPr>
          <w:rFonts w:ascii="Calibri" w:hAnsi="Calibri" w:cs="Calibri"/>
        </w:rPr>
        <w:t xml:space="preserve">zvogëlimi i numrit të fëmijëve/nxënësve në të gjitha nivelet e arsimit parauniversitar që është rezultat i tkurrjes së popullsisë rezidente, si për shkak të </w:t>
      </w:r>
      <w:r w:rsidR="00F437A8">
        <w:rPr>
          <w:rFonts w:ascii="Calibri" w:hAnsi="Calibri" w:cs="Calibri"/>
        </w:rPr>
        <w:t>uljes</w:t>
      </w:r>
      <w:r w:rsidR="00F437A8" w:rsidRPr="00E97254">
        <w:rPr>
          <w:rFonts w:ascii="Calibri" w:hAnsi="Calibri" w:cs="Calibri"/>
        </w:rPr>
        <w:t xml:space="preserve"> </w:t>
      </w:r>
      <w:r w:rsidR="00F437A8">
        <w:rPr>
          <w:rFonts w:ascii="Calibri" w:hAnsi="Calibri" w:cs="Calibri"/>
        </w:rPr>
        <w:t>s</w:t>
      </w:r>
      <w:r w:rsidR="00F437A8" w:rsidRPr="00E97254">
        <w:rPr>
          <w:rFonts w:ascii="Calibri" w:hAnsi="Calibri" w:cs="Calibri"/>
        </w:rPr>
        <w:t xml:space="preserve">ë </w:t>
      </w:r>
      <w:r w:rsidR="00E365BA" w:rsidRPr="00E97254">
        <w:rPr>
          <w:rFonts w:cs="Calibri"/>
        </w:rPr>
        <w:t>lindshm</w:t>
      </w:r>
      <w:r w:rsidR="00E365BA" w:rsidRPr="00E97254">
        <w:rPr>
          <w:rFonts w:cs="Calibri"/>
          <w:color w:val="222222"/>
        </w:rPr>
        <w:t>ërisë</w:t>
      </w:r>
      <w:r w:rsidR="009336F3" w:rsidRPr="00E97254">
        <w:rPr>
          <w:rFonts w:ascii="Calibri" w:hAnsi="Calibri" w:cs="Calibri"/>
        </w:rPr>
        <w:t xml:space="preserve">, ashtu edhe për shkak të migrimeve ( </w:t>
      </w:r>
      <w:r w:rsidR="008D102D">
        <w:fldChar w:fldCharType="begin"/>
      </w:r>
      <w:r w:rsidR="008D102D">
        <w:instrText xml:space="preserve"> REF _Ref42681248 \h  \* MERGEFORMAT </w:instrText>
      </w:r>
      <w:r w:rsidR="008D102D">
        <w:fldChar w:fldCharType="separate"/>
      </w:r>
      <w:r w:rsidR="005A6200" w:rsidRPr="00E97254">
        <w:rPr>
          <w:rFonts w:ascii="Calibri" w:hAnsi="Calibri" w:cs="Calibri"/>
        </w:rPr>
        <w:t>Figura 5</w:t>
      </w:r>
      <w:r w:rsidR="008D102D">
        <w:fldChar w:fldCharType="end"/>
      </w:r>
      <w:r w:rsidR="009336F3" w:rsidRPr="00E97254">
        <w:rPr>
          <w:rFonts w:ascii="Calibri" w:hAnsi="Calibri" w:cs="Calibri"/>
        </w:rPr>
        <w:t>).</w:t>
      </w:r>
    </w:p>
    <w:p w:rsidR="00FC76CF" w:rsidRPr="00E97254" w:rsidRDefault="00FC76CF" w:rsidP="000C0250">
      <w:pPr>
        <w:spacing w:before="120" w:after="0"/>
        <w:jc w:val="both"/>
        <w:rPr>
          <w:rFonts w:ascii="Calibri" w:hAnsi="Calibri" w:cs="Calibri"/>
        </w:rPr>
      </w:pPr>
    </w:p>
    <w:p w:rsidR="00FC76CF" w:rsidRPr="00E97254" w:rsidRDefault="00FC76CF" w:rsidP="000C0250">
      <w:pPr>
        <w:spacing w:before="120" w:after="0"/>
        <w:jc w:val="both"/>
        <w:rPr>
          <w:rFonts w:ascii="Calibri" w:hAnsi="Calibri" w:cs="Calibri"/>
        </w:rPr>
      </w:pPr>
    </w:p>
    <w:p w:rsidR="005B1E56" w:rsidRPr="00E97254" w:rsidRDefault="00FA5606" w:rsidP="000C0250">
      <w:pPr>
        <w:pStyle w:val="Caption"/>
        <w:keepNext/>
        <w:spacing w:before="120" w:after="0" w:line="276" w:lineRule="auto"/>
        <w:jc w:val="both"/>
        <w:rPr>
          <w:rFonts w:ascii="Calibri" w:hAnsi="Calibri" w:cs="Calibri"/>
          <w:b w:val="0"/>
          <w:color w:val="auto"/>
          <w:sz w:val="22"/>
          <w:szCs w:val="22"/>
        </w:rPr>
      </w:pPr>
      <w:bookmarkStart w:id="57" w:name="_Ref42674984"/>
      <w:bookmarkStart w:id="58" w:name="_Toc66802039"/>
      <w:r w:rsidRPr="00FA5606">
        <w:rPr>
          <w:rFonts w:ascii="Calibri" w:hAnsi="Calibri" w:cs="Calibri"/>
          <w:color w:val="auto"/>
          <w:sz w:val="22"/>
          <w:szCs w:val="22"/>
        </w:rPr>
        <w:t xml:space="preserve">Tabela </w:t>
      </w:r>
      <w:r w:rsidR="00EC56B7" w:rsidRPr="00FA5606">
        <w:rPr>
          <w:rFonts w:ascii="Calibri" w:hAnsi="Calibri" w:cs="Calibri"/>
          <w:color w:val="auto"/>
          <w:sz w:val="22"/>
          <w:szCs w:val="22"/>
        </w:rPr>
        <w:fldChar w:fldCharType="begin"/>
      </w:r>
      <w:r w:rsidRPr="00FA5606">
        <w:rPr>
          <w:rFonts w:ascii="Calibri" w:hAnsi="Calibri" w:cs="Calibri"/>
          <w:color w:val="auto"/>
          <w:sz w:val="22"/>
          <w:szCs w:val="22"/>
        </w:rPr>
        <w:instrText xml:space="preserve"> SEQ Tabela \* ARABIC </w:instrText>
      </w:r>
      <w:r w:rsidR="00EC56B7" w:rsidRPr="00FA5606">
        <w:rPr>
          <w:rFonts w:ascii="Calibri" w:hAnsi="Calibri" w:cs="Calibri"/>
          <w:color w:val="auto"/>
          <w:sz w:val="22"/>
          <w:szCs w:val="22"/>
        </w:rPr>
        <w:fldChar w:fldCharType="separate"/>
      </w:r>
      <w:r w:rsidRPr="00FA5606">
        <w:rPr>
          <w:rFonts w:ascii="Calibri" w:hAnsi="Calibri" w:cs="Calibri"/>
          <w:color w:val="auto"/>
          <w:sz w:val="22"/>
          <w:szCs w:val="22"/>
        </w:rPr>
        <w:t>5</w:t>
      </w:r>
      <w:r w:rsidR="00EC56B7" w:rsidRPr="00FA5606">
        <w:rPr>
          <w:rFonts w:ascii="Calibri" w:hAnsi="Calibri" w:cs="Calibri"/>
          <w:color w:val="auto"/>
          <w:sz w:val="22"/>
          <w:szCs w:val="22"/>
        </w:rPr>
        <w:fldChar w:fldCharType="end"/>
      </w:r>
      <w:bookmarkEnd w:id="57"/>
      <w:r w:rsidRPr="00FA5606">
        <w:rPr>
          <w:rFonts w:ascii="Calibri" w:hAnsi="Calibri" w:cs="Calibri"/>
          <w:color w:val="auto"/>
          <w:sz w:val="22"/>
          <w:szCs w:val="22"/>
        </w:rPr>
        <w:t xml:space="preserve">. </w:t>
      </w:r>
      <w:r w:rsidR="004E1F53" w:rsidRPr="004E1F53">
        <w:rPr>
          <w:rFonts w:ascii="Calibri" w:hAnsi="Calibri" w:cs="Calibri"/>
          <w:b w:val="0"/>
          <w:color w:val="auto"/>
          <w:sz w:val="22"/>
          <w:szCs w:val="22"/>
        </w:rPr>
        <w:t xml:space="preserve">Numri i institucioneve arsimore parauniversitare sipas niveleve </w:t>
      </w:r>
      <w:sdt>
        <w:sdtPr>
          <w:rPr>
            <w:rFonts w:ascii="Calibri" w:hAnsi="Calibri" w:cs="Calibri"/>
            <w:b w:val="0"/>
            <w:color w:val="auto"/>
            <w:sz w:val="22"/>
            <w:szCs w:val="22"/>
          </w:rPr>
          <w:id w:val="1674607102"/>
          <w:citation/>
        </w:sdtPr>
        <w:sdtEndPr/>
        <w:sdtContent>
          <w:r w:rsidR="00EC56B7" w:rsidRPr="004E1F53">
            <w:rPr>
              <w:rFonts w:ascii="Calibri" w:hAnsi="Calibri" w:cs="Calibri"/>
              <w:b w:val="0"/>
              <w:color w:val="auto"/>
              <w:sz w:val="22"/>
              <w:szCs w:val="22"/>
            </w:rPr>
            <w:fldChar w:fldCharType="begin"/>
          </w:r>
          <w:r w:rsidR="00D82E63" w:rsidRPr="00D82E63">
            <w:rPr>
              <w:rFonts w:ascii="Calibri" w:hAnsi="Calibri" w:cs="Calibri"/>
              <w:b w:val="0"/>
              <w:color w:val="auto"/>
              <w:sz w:val="22"/>
              <w:szCs w:val="22"/>
            </w:rPr>
            <w:instrText xml:space="preserve"> CITATION INS192 \l 1033 </w:instrText>
          </w:r>
          <w:r w:rsidR="00EC56B7" w:rsidRPr="004E1F53">
            <w:rPr>
              <w:rFonts w:ascii="Calibri" w:hAnsi="Calibri" w:cs="Calibri"/>
              <w:b w:val="0"/>
              <w:color w:val="auto"/>
              <w:sz w:val="22"/>
              <w:szCs w:val="22"/>
            </w:rPr>
            <w:fldChar w:fldCharType="separate"/>
          </w:r>
          <w:r w:rsidRPr="00FA5606">
            <w:rPr>
              <w:rFonts w:ascii="Calibri" w:hAnsi="Calibri" w:cs="Calibri"/>
              <w:color w:val="auto"/>
              <w:sz w:val="22"/>
              <w:szCs w:val="22"/>
            </w:rPr>
            <w:t>[33]</w:t>
          </w:r>
          <w:r w:rsidR="00EC56B7" w:rsidRPr="004E1F53">
            <w:rPr>
              <w:rFonts w:ascii="Calibri" w:hAnsi="Calibri" w:cs="Calibri"/>
              <w:b w:val="0"/>
              <w:color w:val="auto"/>
              <w:sz w:val="22"/>
              <w:szCs w:val="22"/>
            </w:rPr>
            <w:fldChar w:fldCharType="end"/>
          </w:r>
        </w:sdtContent>
      </w:sdt>
      <w:bookmarkEnd w:id="58"/>
    </w:p>
    <w:tbl>
      <w:tblPr>
        <w:tblW w:w="10055" w:type="dxa"/>
        <w:tblInd w:w="-5" w:type="dxa"/>
        <w:tblLook w:val="04A0" w:firstRow="1" w:lastRow="0" w:firstColumn="1" w:lastColumn="0" w:noHBand="0" w:noVBand="1"/>
      </w:tblPr>
      <w:tblGrid>
        <w:gridCol w:w="709"/>
        <w:gridCol w:w="1316"/>
        <w:gridCol w:w="818"/>
        <w:gridCol w:w="788"/>
        <w:gridCol w:w="818"/>
        <w:gridCol w:w="788"/>
        <w:gridCol w:w="818"/>
        <w:gridCol w:w="788"/>
        <w:gridCol w:w="818"/>
        <w:gridCol w:w="788"/>
        <w:gridCol w:w="818"/>
        <w:gridCol w:w="788"/>
      </w:tblGrid>
      <w:tr w:rsidR="005B1E56" w:rsidRPr="00E97254" w:rsidTr="001C3AA1">
        <w:trPr>
          <w:trHeight w:val="300"/>
        </w:trPr>
        <w:tc>
          <w:tcPr>
            <w:tcW w:w="709"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5B1E56" w:rsidRPr="00E97254" w:rsidRDefault="004E1F53" w:rsidP="000C0250">
            <w:pPr>
              <w:spacing w:after="0"/>
              <w:jc w:val="center"/>
              <w:rPr>
                <w:rFonts w:ascii="Calibri" w:eastAsia="Times New Roman" w:hAnsi="Calibri" w:cs="Calibri"/>
                <w:color w:val="000000"/>
                <w:sz w:val="20"/>
                <w:szCs w:val="20"/>
              </w:rPr>
            </w:pPr>
            <w:r>
              <w:rPr>
                <w:rFonts w:ascii="Calibri" w:eastAsia="Times New Roman" w:hAnsi="Calibri" w:cs="Calibri"/>
                <w:color w:val="000000"/>
                <w:sz w:val="20"/>
                <w:szCs w:val="20"/>
              </w:rPr>
              <w:t>KNSA</w:t>
            </w:r>
          </w:p>
        </w:tc>
        <w:tc>
          <w:tcPr>
            <w:tcW w:w="1316"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5B1E56" w:rsidRPr="00E97254" w:rsidRDefault="004E1F53" w:rsidP="000C0250">
            <w:pPr>
              <w:spacing w:after="0"/>
              <w:jc w:val="both"/>
              <w:rPr>
                <w:rFonts w:ascii="Calibri" w:eastAsia="Times New Roman" w:hAnsi="Calibri" w:cs="Calibri"/>
                <w:color w:val="000000"/>
                <w:sz w:val="20"/>
                <w:szCs w:val="20"/>
              </w:rPr>
            </w:pPr>
            <w:r>
              <w:rPr>
                <w:rFonts w:ascii="Calibri" w:eastAsia="Times New Roman" w:hAnsi="Calibri" w:cs="Calibri"/>
                <w:color w:val="000000"/>
                <w:sz w:val="20"/>
                <w:szCs w:val="20"/>
              </w:rPr>
              <w:t>Përshkrimi</w:t>
            </w:r>
          </w:p>
        </w:tc>
        <w:tc>
          <w:tcPr>
            <w:tcW w:w="8030" w:type="dxa"/>
            <w:gridSpan w:val="10"/>
            <w:tcBorders>
              <w:top w:val="single" w:sz="4" w:space="0" w:color="auto"/>
              <w:left w:val="nil"/>
              <w:bottom w:val="single" w:sz="4" w:space="0" w:color="auto"/>
              <w:right w:val="single" w:sz="4" w:space="0" w:color="auto"/>
            </w:tcBorders>
            <w:shd w:val="clear" w:color="auto" w:fill="auto"/>
            <w:hideMark/>
          </w:tcPr>
          <w:p w:rsidR="005B1E56" w:rsidRPr="00E97254" w:rsidRDefault="004E1F53" w:rsidP="000C0250">
            <w:pPr>
              <w:spacing w:after="0"/>
              <w:jc w:val="center"/>
              <w:rPr>
                <w:rFonts w:ascii="Calibri" w:eastAsia="Times New Roman" w:hAnsi="Calibri" w:cs="Calibri"/>
                <w:color w:val="000000"/>
                <w:sz w:val="20"/>
                <w:szCs w:val="20"/>
              </w:rPr>
            </w:pPr>
            <w:r>
              <w:rPr>
                <w:rFonts w:ascii="Calibri" w:eastAsia="Times New Roman" w:hAnsi="Calibri" w:cs="Calibri"/>
                <w:color w:val="000000"/>
                <w:sz w:val="20"/>
                <w:szCs w:val="20"/>
              </w:rPr>
              <w:t>Viti shkollor</w:t>
            </w:r>
          </w:p>
        </w:tc>
      </w:tr>
      <w:tr w:rsidR="005B1E56" w:rsidRPr="00E97254" w:rsidTr="001C3AA1">
        <w:trPr>
          <w:trHeight w:val="300"/>
        </w:trPr>
        <w:tc>
          <w:tcPr>
            <w:tcW w:w="709" w:type="dxa"/>
            <w:vMerge/>
            <w:tcBorders>
              <w:top w:val="single" w:sz="4" w:space="0" w:color="auto"/>
              <w:left w:val="single" w:sz="4" w:space="0" w:color="auto"/>
              <w:bottom w:val="single" w:sz="4" w:space="0" w:color="000000"/>
              <w:right w:val="single" w:sz="4" w:space="0" w:color="auto"/>
            </w:tcBorders>
            <w:vAlign w:val="center"/>
            <w:hideMark/>
          </w:tcPr>
          <w:p w:rsidR="005B1E56" w:rsidRPr="00E97254" w:rsidRDefault="005B1E56" w:rsidP="000C0250">
            <w:pPr>
              <w:keepNext/>
              <w:keepLines/>
              <w:spacing w:before="480" w:after="0"/>
              <w:jc w:val="center"/>
              <w:outlineLvl w:val="0"/>
              <w:rPr>
                <w:rFonts w:ascii="Calibri" w:eastAsia="Times New Roman" w:hAnsi="Calibri" w:cs="Calibri"/>
                <w:color w:val="000000"/>
                <w:sz w:val="20"/>
                <w:szCs w:val="20"/>
              </w:rPr>
            </w:pPr>
          </w:p>
        </w:tc>
        <w:tc>
          <w:tcPr>
            <w:tcW w:w="1316" w:type="dxa"/>
            <w:vMerge/>
            <w:tcBorders>
              <w:top w:val="single" w:sz="4" w:space="0" w:color="auto"/>
              <w:left w:val="single" w:sz="4" w:space="0" w:color="auto"/>
              <w:bottom w:val="single" w:sz="4" w:space="0" w:color="000000"/>
              <w:right w:val="single" w:sz="4" w:space="0" w:color="auto"/>
            </w:tcBorders>
            <w:vAlign w:val="center"/>
            <w:hideMark/>
          </w:tcPr>
          <w:p w:rsidR="005B1E56" w:rsidRPr="00E97254" w:rsidRDefault="005B1E56" w:rsidP="000C0250">
            <w:pPr>
              <w:keepNext/>
              <w:keepLines/>
              <w:spacing w:before="480" w:after="0"/>
              <w:jc w:val="both"/>
              <w:outlineLvl w:val="0"/>
              <w:rPr>
                <w:rFonts w:ascii="Calibri" w:eastAsia="Times New Roman" w:hAnsi="Calibri" w:cs="Calibri"/>
                <w:color w:val="000000"/>
                <w:sz w:val="20"/>
                <w:szCs w:val="20"/>
              </w:rPr>
            </w:pPr>
          </w:p>
        </w:tc>
        <w:tc>
          <w:tcPr>
            <w:tcW w:w="1606" w:type="dxa"/>
            <w:gridSpan w:val="2"/>
            <w:tcBorders>
              <w:top w:val="single" w:sz="4" w:space="0" w:color="auto"/>
              <w:left w:val="nil"/>
              <w:bottom w:val="single" w:sz="4" w:space="0" w:color="auto"/>
              <w:right w:val="single" w:sz="4" w:space="0" w:color="000000"/>
            </w:tcBorders>
            <w:shd w:val="clear" w:color="auto" w:fill="auto"/>
            <w:hideMark/>
          </w:tcPr>
          <w:p w:rsidR="005B1E56" w:rsidRPr="00E97254" w:rsidRDefault="004E1F53" w:rsidP="000C0250">
            <w:pPr>
              <w:spacing w:after="0"/>
              <w:jc w:val="both"/>
              <w:rPr>
                <w:rFonts w:ascii="Calibri" w:eastAsia="Times New Roman" w:hAnsi="Calibri" w:cs="Calibri"/>
                <w:color w:val="000000"/>
                <w:sz w:val="20"/>
                <w:szCs w:val="20"/>
              </w:rPr>
            </w:pPr>
            <w:r>
              <w:rPr>
                <w:rFonts w:ascii="Calibri" w:eastAsia="Times New Roman" w:hAnsi="Calibri" w:cs="Calibri"/>
                <w:color w:val="000000"/>
                <w:sz w:val="20"/>
                <w:szCs w:val="20"/>
              </w:rPr>
              <w:t>2014/15</w:t>
            </w:r>
          </w:p>
        </w:tc>
        <w:tc>
          <w:tcPr>
            <w:tcW w:w="1606" w:type="dxa"/>
            <w:gridSpan w:val="2"/>
            <w:tcBorders>
              <w:top w:val="single" w:sz="4" w:space="0" w:color="auto"/>
              <w:left w:val="nil"/>
              <w:bottom w:val="single" w:sz="4" w:space="0" w:color="auto"/>
              <w:right w:val="single" w:sz="4" w:space="0" w:color="000000"/>
            </w:tcBorders>
            <w:shd w:val="clear" w:color="auto" w:fill="auto"/>
            <w:hideMark/>
          </w:tcPr>
          <w:p w:rsidR="005B1E56" w:rsidRPr="00E97254" w:rsidRDefault="004E1F53" w:rsidP="000C0250">
            <w:pPr>
              <w:spacing w:after="0"/>
              <w:jc w:val="center"/>
              <w:rPr>
                <w:rFonts w:ascii="Calibri" w:eastAsia="Times New Roman" w:hAnsi="Calibri" w:cs="Calibri"/>
                <w:color w:val="000000"/>
                <w:sz w:val="20"/>
                <w:szCs w:val="20"/>
              </w:rPr>
            </w:pPr>
            <w:r>
              <w:rPr>
                <w:rFonts w:ascii="Calibri" w:eastAsia="Times New Roman" w:hAnsi="Calibri" w:cs="Calibri"/>
                <w:color w:val="000000"/>
                <w:sz w:val="20"/>
                <w:szCs w:val="20"/>
              </w:rPr>
              <w:t>2015/16</w:t>
            </w:r>
          </w:p>
        </w:tc>
        <w:tc>
          <w:tcPr>
            <w:tcW w:w="1606" w:type="dxa"/>
            <w:gridSpan w:val="2"/>
            <w:tcBorders>
              <w:top w:val="single" w:sz="4" w:space="0" w:color="auto"/>
              <w:left w:val="nil"/>
              <w:bottom w:val="single" w:sz="4" w:space="0" w:color="auto"/>
              <w:right w:val="single" w:sz="4" w:space="0" w:color="000000"/>
            </w:tcBorders>
            <w:shd w:val="clear" w:color="auto" w:fill="auto"/>
            <w:hideMark/>
          </w:tcPr>
          <w:p w:rsidR="005B1E56" w:rsidRPr="00E97254" w:rsidRDefault="004E1F53" w:rsidP="000C0250">
            <w:pPr>
              <w:spacing w:after="0"/>
              <w:jc w:val="center"/>
              <w:rPr>
                <w:rFonts w:ascii="Calibri" w:eastAsia="Times New Roman" w:hAnsi="Calibri" w:cs="Calibri"/>
                <w:color w:val="000000"/>
                <w:sz w:val="20"/>
                <w:szCs w:val="20"/>
              </w:rPr>
            </w:pPr>
            <w:r>
              <w:rPr>
                <w:rFonts w:ascii="Calibri" w:eastAsia="Times New Roman" w:hAnsi="Calibri" w:cs="Calibri"/>
                <w:color w:val="000000"/>
                <w:sz w:val="20"/>
                <w:szCs w:val="20"/>
              </w:rPr>
              <w:t>2016/17</w:t>
            </w:r>
          </w:p>
        </w:tc>
        <w:tc>
          <w:tcPr>
            <w:tcW w:w="1606" w:type="dxa"/>
            <w:gridSpan w:val="2"/>
            <w:tcBorders>
              <w:top w:val="single" w:sz="4" w:space="0" w:color="auto"/>
              <w:left w:val="nil"/>
              <w:bottom w:val="single" w:sz="4" w:space="0" w:color="auto"/>
              <w:right w:val="single" w:sz="4" w:space="0" w:color="000000"/>
            </w:tcBorders>
            <w:shd w:val="clear" w:color="auto" w:fill="auto"/>
            <w:hideMark/>
          </w:tcPr>
          <w:p w:rsidR="005B1E56" w:rsidRPr="00E97254" w:rsidRDefault="004E1F53" w:rsidP="000C0250">
            <w:pPr>
              <w:spacing w:after="0"/>
              <w:jc w:val="center"/>
              <w:rPr>
                <w:rFonts w:ascii="Calibri" w:eastAsia="Times New Roman" w:hAnsi="Calibri" w:cs="Calibri"/>
                <w:color w:val="000000"/>
                <w:sz w:val="20"/>
                <w:szCs w:val="20"/>
              </w:rPr>
            </w:pPr>
            <w:r>
              <w:rPr>
                <w:rFonts w:ascii="Calibri" w:eastAsia="Times New Roman" w:hAnsi="Calibri" w:cs="Calibri"/>
                <w:color w:val="000000"/>
                <w:sz w:val="20"/>
                <w:szCs w:val="20"/>
              </w:rPr>
              <w:t>2017/18</w:t>
            </w:r>
          </w:p>
        </w:tc>
        <w:tc>
          <w:tcPr>
            <w:tcW w:w="1606" w:type="dxa"/>
            <w:gridSpan w:val="2"/>
            <w:tcBorders>
              <w:top w:val="single" w:sz="4" w:space="0" w:color="auto"/>
              <w:left w:val="nil"/>
              <w:bottom w:val="single" w:sz="4" w:space="0" w:color="auto"/>
              <w:right w:val="single" w:sz="4" w:space="0" w:color="000000"/>
            </w:tcBorders>
            <w:shd w:val="clear" w:color="auto" w:fill="auto"/>
            <w:hideMark/>
          </w:tcPr>
          <w:p w:rsidR="005B1E56" w:rsidRPr="00E97254" w:rsidRDefault="004E1F53" w:rsidP="000C0250">
            <w:pPr>
              <w:spacing w:after="0"/>
              <w:jc w:val="center"/>
              <w:rPr>
                <w:rFonts w:ascii="Calibri" w:eastAsia="Times New Roman" w:hAnsi="Calibri" w:cs="Calibri"/>
                <w:color w:val="000000"/>
                <w:sz w:val="20"/>
                <w:szCs w:val="20"/>
              </w:rPr>
            </w:pPr>
            <w:r>
              <w:rPr>
                <w:rFonts w:ascii="Calibri" w:eastAsia="Times New Roman" w:hAnsi="Calibri" w:cs="Calibri"/>
                <w:color w:val="000000"/>
                <w:sz w:val="20"/>
                <w:szCs w:val="20"/>
              </w:rPr>
              <w:t>2018/19</w:t>
            </w:r>
          </w:p>
        </w:tc>
      </w:tr>
      <w:tr w:rsidR="005B1E56" w:rsidRPr="00E97254" w:rsidTr="001C3AA1">
        <w:trPr>
          <w:trHeight w:val="300"/>
        </w:trPr>
        <w:tc>
          <w:tcPr>
            <w:tcW w:w="709" w:type="dxa"/>
            <w:vMerge/>
            <w:tcBorders>
              <w:top w:val="single" w:sz="4" w:space="0" w:color="auto"/>
              <w:left w:val="single" w:sz="4" w:space="0" w:color="auto"/>
              <w:bottom w:val="single" w:sz="4" w:space="0" w:color="000000"/>
              <w:right w:val="single" w:sz="4" w:space="0" w:color="auto"/>
            </w:tcBorders>
            <w:vAlign w:val="center"/>
            <w:hideMark/>
          </w:tcPr>
          <w:p w:rsidR="005B1E56" w:rsidRPr="00E97254" w:rsidRDefault="005B1E56" w:rsidP="000C0250">
            <w:pPr>
              <w:keepNext/>
              <w:keepLines/>
              <w:spacing w:before="480" w:after="0"/>
              <w:jc w:val="center"/>
              <w:outlineLvl w:val="0"/>
              <w:rPr>
                <w:rFonts w:ascii="Calibri" w:eastAsia="Times New Roman" w:hAnsi="Calibri" w:cs="Calibri"/>
                <w:color w:val="000000"/>
                <w:sz w:val="20"/>
                <w:szCs w:val="20"/>
              </w:rPr>
            </w:pPr>
          </w:p>
        </w:tc>
        <w:tc>
          <w:tcPr>
            <w:tcW w:w="1316" w:type="dxa"/>
            <w:vMerge/>
            <w:tcBorders>
              <w:top w:val="single" w:sz="4" w:space="0" w:color="auto"/>
              <w:left w:val="single" w:sz="4" w:space="0" w:color="auto"/>
              <w:bottom w:val="single" w:sz="4" w:space="0" w:color="000000"/>
              <w:right w:val="single" w:sz="4" w:space="0" w:color="auto"/>
            </w:tcBorders>
            <w:vAlign w:val="center"/>
            <w:hideMark/>
          </w:tcPr>
          <w:p w:rsidR="005B1E56" w:rsidRPr="00E97254" w:rsidRDefault="005B1E56" w:rsidP="000C0250">
            <w:pPr>
              <w:keepNext/>
              <w:keepLines/>
              <w:spacing w:before="480" w:after="0"/>
              <w:jc w:val="both"/>
              <w:outlineLvl w:val="0"/>
              <w:rPr>
                <w:rFonts w:ascii="Calibri" w:eastAsia="Times New Roman" w:hAnsi="Calibri" w:cs="Calibri"/>
                <w:color w:val="000000"/>
                <w:sz w:val="20"/>
                <w:szCs w:val="20"/>
              </w:rPr>
            </w:pPr>
          </w:p>
        </w:tc>
        <w:tc>
          <w:tcPr>
            <w:tcW w:w="818" w:type="dxa"/>
            <w:tcBorders>
              <w:top w:val="nil"/>
              <w:left w:val="nil"/>
              <w:bottom w:val="single" w:sz="4" w:space="0" w:color="auto"/>
              <w:right w:val="single" w:sz="4" w:space="0" w:color="auto"/>
            </w:tcBorders>
            <w:shd w:val="clear" w:color="auto" w:fill="auto"/>
            <w:hideMark/>
          </w:tcPr>
          <w:p w:rsidR="005B1E56" w:rsidRPr="00E97254" w:rsidRDefault="004E1F53" w:rsidP="000C0250">
            <w:pPr>
              <w:spacing w:after="0"/>
              <w:jc w:val="both"/>
              <w:rPr>
                <w:rFonts w:ascii="Calibri" w:eastAsia="Times New Roman" w:hAnsi="Calibri" w:cs="Calibri"/>
                <w:color w:val="000000"/>
                <w:sz w:val="20"/>
                <w:szCs w:val="20"/>
              </w:rPr>
            </w:pPr>
            <w:r>
              <w:rPr>
                <w:rFonts w:ascii="Calibri" w:eastAsia="Times New Roman" w:hAnsi="Calibri" w:cs="Calibri"/>
                <w:color w:val="000000"/>
                <w:sz w:val="20"/>
                <w:szCs w:val="20"/>
              </w:rPr>
              <w:t>Publike</w:t>
            </w:r>
          </w:p>
        </w:tc>
        <w:tc>
          <w:tcPr>
            <w:tcW w:w="788" w:type="dxa"/>
            <w:tcBorders>
              <w:top w:val="nil"/>
              <w:left w:val="nil"/>
              <w:bottom w:val="single" w:sz="4" w:space="0" w:color="auto"/>
              <w:right w:val="single" w:sz="4" w:space="0" w:color="auto"/>
            </w:tcBorders>
            <w:shd w:val="clear" w:color="auto" w:fill="auto"/>
            <w:hideMark/>
          </w:tcPr>
          <w:p w:rsidR="005B1E56" w:rsidRPr="00E97254" w:rsidRDefault="004E1F53" w:rsidP="000C0250">
            <w:pPr>
              <w:spacing w:after="0"/>
              <w:jc w:val="both"/>
              <w:rPr>
                <w:rFonts w:ascii="Calibri" w:eastAsia="Times New Roman" w:hAnsi="Calibri" w:cs="Calibri"/>
                <w:color w:val="000000"/>
                <w:sz w:val="20"/>
                <w:szCs w:val="20"/>
              </w:rPr>
            </w:pPr>
            <w:r>
              <w:rPr>
                <w:rFonts w:ascii="Calibri" w:eastAsia="Times New Roman" w:hAnsi="Calibri" w:cs="Calibri"/>
                <w:color w:val="000000"/>
                <w:sz w:val="20"/>
                <w:szCs w:val="20"/>
              </w:rPr>
              <w:t>Private</w:t>
            </w:r>
          </w:p>
        </w:tc>
        <w:tc>
          <w:tcPr>
            <w:tcW w:w="818" w:type="dxa"/>
            <w:tcBorders>
              <w:top w:val="nil"/>
              <w:left w:val="nil"/>
              <w:bottom w:val="single" w:sz="4" w:space="0" w:color="auto"/>
              <w:right w:val="single" w:sz="4" w:space="0" w:color="auto"/>
            </w:tcBorders>
            <w:shd w:val="clear" w:color="auto" w:fill="auto"/>
            <w:hideMark/>
          </w:tcPr>
          <w:p w:rsidR="005B1E56" w:rsidRPr="00E97254" w:rsidRDefault="004E1F53" w:rsidP="000C0250">
            <w:pPr>
              <w:spacing w:after="0"/>
              <w:jc w:val="center"/>
              <w:rPr>
                <w:rFonts w:ascii="Calibri" w:eastAsia="Times New Roman" w:hAnsi="Calibri" w:cs="Calibri"/>
                <w:color w:val="000000"/>
                <w:sz w:val="20"/>
                <w:szCs w:val="20"/>
              </w:rPr>
            </w:pPr>
            <w:r>
              <w:rPr>
                <w:rFonts w:ascii="Calibri" w:eastAsia="Times New Roman" w:hAnsi="Calibri" w:cs="Calibri"/>
                <w:color w:val="000000"/>
                <w:sz w:val="20"/>
                <w:szCs w:val="20"/>
              </w:rPr>
              <w:t>Publike</w:t>
            </w:r>
          </w:p>
        </w:tc>
        <w:tc>
          <w:tcPr>
            <w:tcW w:w="788" w:type="dxa"/>
            <w:tcBorders>
              <w:top w:val="nil"/>
              <w:left w:val="nil"/>
              <w:bottom w:val="single" w:sz="4" w:space="0" w:color="auto"/>
              <w:right w:val="single" w:sz="4" w:space="0" w:color="auto"/>
            </w:tcBorders>
            <w:shd w:val="clear" w:color="auto" w:fill="auto"/>
            <w:hideMark/>
          </w:tcPr>
          <w:p w:rsidR="005B1E56" w:rsidRPr="00E97254" w:rsidRDefault="004E1F53" w:rsidP="000C0250">
            <w:pPr>
              <w:spacing w:after="0"/>
              <w:jc w:val="center"/>
              <w:rPr>
                <w:rFonts w:ascii="Calibri" w:eastAsia="Times New Roman" w:hAnsi="Calibri" w:cs="Calibri"/>
                <w:color w:val="000000"/>
                <w:sz w:val="20"/>
                <w:szCs w:val="20"/>
              </w:rPr>
            </w:pPr>
            <w:r>
              <w:rPr>
                <w:rFonts w:ascii="Calibri" w:eastAsia="Times New Roman" w:hAnsi="Calibri" w:cs="Calibri"/>
                <w:color w:val="000000"/>
                <w:sz w:val="20"/>
                <w:szCs w:val="20"/>
              </w:rPr>
              <w:t>Private</w:t>
            </w:r>
          </w:p>
        </w:tc>
        <w:tc>
          <w:tcPr>
            <w:tcW w:w="818" w:type="dxa"/>
            <w:tcBorders>
              <w:top w:val="nil"/>
              <w:left w:val="nil"/>
              <w:bottom w:val="single" w:sz="4" w:space="0" w:color="auto"/>
              <w:right w:val="single" w:sz="4" w:space="0" w:color="auto"/>
            </w:tcBorders>
            <w:shd w:val="clear" w:color="auto" w:fill="auto"/>
            <w:hideMark/>
          </w:tcPr>
          <w:p w:rsidR="005B1E56" w:rsidRPr="00E97254" w:rsidRDefault="004E1F53" w:rsidP="000C0250">
            <w:pPr>
              <w:spacing w:after="0"/>
              <w:jc w:val="center"/>
              <w:rPr>
                <w:rFonts w:ascii="Calibri" w:eastAsia="Times New Roman" w:hAnsi="Calibri" w:cs="Calibri"/>
                <w:color w:val="000000"/>
                <w:sz w:val="20"/>
                <w:szCs w:val="20"/>
              </w:rPr>
            </w:pPr>
            <w:r>
              <w:rPr>
                <w:rFonts w:ascii="Calibri" w:eastAsia="Times New Roman" w:hAnsi="Calibri" w:cs="Calibri"/>
                <w:color w:val="000000"/>
                <w:sz w:val="20"/>
                <w:szCs w:val="20"/>
              </w:rPr>
              <w:t>Publike</w:t>
            </w:r>
          </w:p>
        </w:tc>
        <w:tc>
          <w:tcPr>
            <w:tcW w:w="788" w:type="dxa"/>
            <w:tcBorders>
              <w:top w:val="nil"/>
              <w:left w:val="nil"/>
              <w:bottom w:val="single" w:sz="4" w:space="0" w:color="auto"/>
              <w:right w:val="single" w:sz="4" w:space="0" w:color="auto"/>
            </w:tcBorders>
            <w:shd w:val="clear" w:color="auto" w:fill="auto"/>
            <w:hideMark/>
          </w:tcPr>
          <w:p w:rsidR="005B1E56" w:rsidRPr="00E97254" w:rsidRDefault="004E1F53" w:rsidP="000C0250">
            <w:pPr>
              <w:spacing w:after="0"/>
              <w:jc w:val="center"/>
              <w:rPr>
                <w:rFonts w:ascii="Calibri" w:eastAsia="Times New Roman" w:hAnsi="Calibri" w:cs="Calibri"/>
                <w:color w:val="000000"/>
                <w:sz w:val="20"/>
                <w:szCs w:val="20"/>
              </w:rPr>
            </w:pPr>
            <w:r>
              <w:rPr>
                <w:rFonts w:ascii="Calibri" w:eastAsia="Times New Roman" w:hAnsi="Calibri" w:cs="Calibri"/>
                <w:color w:val="000000"/>
                <w:sz w:val="20"/>
                <w:szCs w:val="20"/>
              </w:rPr>
              <w:t>Private</w:t>
            </w:r>
          </w:p>
        </w:tc>
        <w:tc>
          <w:tcPr>
            <w:tcW w:w="818" w:type="dxa"/>
            <w:tcBorders>
              <w:top w:val="nil"/>
              <w:left w:val="nil"/>
              <w:bottom w:val="single" w:sz="4" w:space="0" w:color="auto"/>
              <w:right w:val="single" w:sz="4" w:space="0" w:color="auto"/>
            </w:tcBorders>
            <w:shd w:val="clear" w:color="auto" w:fill="auto"/>
            <w:hideMark/>
          </w:tcPr>
          <w:p w:rsidR="005B1E56" w:rsidRPr="00E97254" w:rsidRDefault="004E1F53" w:rsidP="000C0250">
            <w:pPr>
              <w:spacing w:after="0"/>
              <w:jc w:val="center"/>
              <w:rPr>
                <w:rFonts w:ascii="Calibri" w:eastAsia="Times New Roman" w:hAnsi="Calibri" w:cs="Calibri"/>
                <w:color w:val="000000"/>
                <w:sz w:val="20"/>
                <w:szCs w:val="20"/>
              </w:rPr>
            </w:pPr>
            <w:r>
              <w:rPr>
                <w:rFonts w:ascii="Calibri" w:eastAsia="Times New Roman" w:hAnsi="Calibri" w:cs="Calibri"/>
                <w:color w:val="000000"/>
                <w:sz w:val="20"/>
                <w:szCs w:val="20"/>
              </w:rPr>
              <w:t>Publike</w:t>
            </w:r>
          </w:p>
        </w:tc>
        <w:tc>
          <w:tcPr>
            <w:tcW w:w="788" w:type="dxa"/>
            <w:tcBorders>
              <w:top w:val="nil"/>
              <w:left w:val="nil"/>
              <w:bottom w:val="single" w:sz="4" w:space="0" w:color="auto"/>
              <w:right w:val="single" w:sz="4" w:space="0" w:color="auto"/>
            </w:tcBorders>
            <w:shd w:val="clear" w:color="auto" w:fill="auto"/>
            <w:hideMark/>
          </w:tcPr>
          <w:p w:rsidR="005B1E56" w:rsidRPr="00E97254" w:rsidRDefault="004E1F53" w:rsidP="000C0250">
            <w:pPr>
              <w:spacing w:after="0"/>
              <w:jc w:val="center"/>
              <w:rPr>
                <w:rFonts w:ascii="Calibri" w:eastAsia="Times New Roman" w:hAnsi="Calibri" w:cs="Calibri"/>
                <w:color w:val="000000"/>
                <w:sz w:val="20"/>
                <w:szCs w:val="20"/>
              </w:rPr>
            </w:pPr>
            <w:r>
              <w:rPr>
                <w:rFonts w:ascii="Calibri" w:eastAsia="Times New Roman" w:hAnsi="Calibri" w:cs="Calibri"/>
                <w:color w:val="000000"/>
                <w:sz w:val="20"/>
                <w:szCs w:val="20"/>
              </w:rPr>
              <w:t>Private</w:t>
            </w:r>
          </w:p>
        </w:tc>
        <w:tc>
          <w:tcPr>
            <w:tcW w:w="818" w:type="dxa"/>
            <w:tcBorders>
              <w:top w:val="nil"/>
              <w:left w:val="nil"/>
              <w:bottom w:val="single" w:sz="4" w:space="0" w:color="auto"/>
              <w:right w:val="single" w:sz="4" w:space="0" w:color="auto"/>
            </w:tcBorders>
            <w:shd w:val="clear" w:color="auto" w:fill="auto"/>
            <w:hideMark/>
          </w:tcPr>
          <w:p w:rsidR="005B1E56" w:rsidRPr="00E97254" w:rsidRDefault="004E1F53" w:rsidP="000C0250">
            <w:pPr>
              <w:spacing w:after="0"/>
              <w:jc w:val="center"/>
              <w:rPr>
                <w:rFonts w:ascii="Calibri" w:eastAsia="Times New Roman" w:hAnsi="Calibri" w:cs="Calibri"/>
                <w:color w:val="000000"/>
                <w:sz w:val="20"/>
                <w:szCs w:val="20"/>
              </w:rPr>
            </w:pPr>
            <w:r>
              <w:rPr>
                <w:rFonts w:ascii="Calibri" w:eastAsia="Times New Roman" w:hAnsi="Calibri" w:cs="Calibri"/>
                <w:color w:val="000000"/>
                <w:sz w:val="20"/>
                <w:szCs w:val="20"/>
              </w:rPr>
              <w:t>Publike</w:t>
            </w:r>
          </w:p>
        </w:tc>
        <w:tc>
          <w:tcPr>
            <w:tcW w:w="788" w:type="dxa"/>
            <w:tcBorders>
              <w:top w:val="nil"/>
              <w:left w:val="nil"/>
              <w:bottom w:val="single" w:sz="4" w:space="0" w:color="auto"/>
              <w:right w:val="single" w:sz="4" w:space="0" w:color="auto"/>
            </w:tcBorders>
            <w:shd w:val="clear" w:color="auto" w:fill="auto"/>
            <w:hideMark/>
          </w:tcPr>
          <w:p w:rsidR="005B1E56" w:rsidRPr="00E97254" w:rsidRDefault="004E1F53" w:rsidP="000C0250">
            <w:pPr>
              <w:spacing w:after="0"/>
              <w:jc w:val="center"/>
              <w:rPr>
                <w:rFonts w:ascii="Calibri" w:eastAsia="Times New Roman" w:hAnsi="Calibri" w:cs="Calibri"/>
                <w:color w:val="000000"/>
                <w:sz w:val="20"/>
                <w:szCs w:val="20"/>
              </w:rPr>
            </w:pPr>
            <w:r>
              <w:rPr>
                <w:rFonts w:ascii="Calibri" w:eastAsia="Times New Roman" w:hAnsi="Calibri" w:cs="Calibri"/>
                <w:color w:val="000000"/>
                <w:sz w:val="20"/>
                <w:szCs w:val="20"/>
              </w:rPr>
              <w:t>Private</w:t>
            </w:r>
          </w:p>
        </w:tc>
      </w:tr>
      <w:tr w:rsidR="005B1E56" w:rsidRPr="00E97254" w:rsidTr="001C3AA1">
        <w:trPr>
          <w:trHeight w:val="300"/>
        </w:trPr>
        <w:tc>
          <w:tcPr>
            <w:tcW w:w="709" w:type="dxa"/>
            <w:tcBorders>
              <w:top w:val="nil"/>
              <w:left w:val="single" w:sz="4" w:space="0" w:color="auto"/>
              <w:bottom w:val="single" w:sz="4" w:space="0" w:color="auto"/>
              <w:right w:val="single" w:sz="4" w:space="0" w:color="auto"/>
            </w:tcBorders>
            <w:shd w:val="clear" w:color="auto" w:fill="auto"/>
            <w:hideMark/>
          </w:tcPr>
          <w:p w:rsidR="005B1E56" w:rsidRPr="00E97254" w:rsidRDefault="004E1F53" w:rsidP="000C0250">
            <w:pPr>
              <w:spacing w:after="0"/>
              <w:jc w:val="center"/>
              <w:rPr>
                <w:rFonts w:ascii="Calibri" w:eastAsia="Times New Roman" w:hAnsi="Calibri" w:cs="Calibri"/>
                <w:color w:val="000000"/>
                <w:sz w:val="20"/>
                <w:szCs w:val="20"/>
              </w:rPr>
            </w:pPr>
            <w:r>
              <w:rPr>
                <w:rFonts w:ascii="Calibri" w:eastAsia="Times New Roman" w:hAnsi="Calibri" w:cs="Calibri"/>
                <w:color w:val="000000"/>
                <w:sz w:val="20"/>
                <w:szCs w:val="20"/>
              </w:rPr>
              <w:t>0</w:t>
            </w:r>
          </w:p>
        </w:tc>
        <w:tc>
          <w:tcPr>
            <w:tcW w:w="1316" w:type="dxa"/>
            <w:tcBorders>
              <w:top w:val="nil"/>
              <w:left w:val="nil"/>
              <w:bottom w:val="single" w:sz="4" w:space="0" w:color="auto"/>
              <w:right w:val="single" w:sz="4" w:space="0" w:color="auto"/>
            </w:tcBorders>
            <w:shd w:val="clear" w:color="auto" w:fill="auto"/>
            <w:hideMark/>
          </w:tcPr>
          <w:p w:rsidR="005B1E56" w:rsidRPr="00E97254" w:rsidRDefault="004E1F53" w:rsidP="000C0250">
            <w:pPr>
              <w:spacing w:after="0"/>
              <w:rPr>
                <w:rFonts w:ascii="Calibri" w:eastAsia="Times New Roman" w:hAnsi="Calibri" w:cs="Calibri"/>
                <w:color w:val="000000"/>
                <w:sz w:val="20"/>
                <w:szCs w:val="20"/>
              </w:rPr>
            </w:pPr>
            <w:r>
              <w:rPr>
                <w:rFonts w:ascii="Calibri" w:eastAsia="Times New Roman" w:hAnsi="Calibri" w:cs="Calibri"/>
                <w:color w:val="000000"/>
                <w:sz w:val="20"/>
                <w:szCs w:val="20"/>
              </w:rPr>
              <w:t>Kopshte</w:t>
            </w:r>
          </w:p>
        </w:tc>
        <w:tc>
          <w:tcPr>
            <w:tcW w:w="818" w:type="dxa"/>
            <w:tcBorders>
              <w:top w:val="nil"/>
              <w:left w:val="nil"/>
              <w:bottom w:val="single" w:sz="4" w:space="0" w:color="auto"/>
              <w:right w:val="single" w:sz="4" w:space="0" w:color="auto"/>
            </w:tcBorders>
            <w:shd w:val="clear" w:color="auto" w:fill="auto"/>
            <w:hideMark/>
          </w:tcPr>
          <w:p w:rsidR="005B1E56" w:rsidRPr="00E97254" w:rsidRDefault="004E1F53" w:rsidP="000C0250">
            <w:pPr>
              <w:spacing w:after="0"/>
              <w:jc w:val="right"/>
              <w:rPr>
                <w:rFonts w:ascii="Calibri" w:eastAsia="Times New Roman" w:hAnsi="Calibri" w:cs="Calibri"/>
                <w:color w:val="000000"/>
                <w:sz w:val="20"/>
                <w:szCs w:val="20"/>
              </w:rPr>
            </w:pPr>
            <w:r>
              <w:rPr>
                <w:rFonts w:ascii="Calibri" w:eastAsia="Times New Roman" w:hAnsi="Calibri" w:cs="Calibri"/>
                <w:color w:val="000000"/>
                <w:sz w:val="20"/>
                <w:szCs w:val="20"/>
              </w:rPr>
              <w:t>1,751</w:t>
            </w:r>
          </w:p>
        </w:tc>
        <w:tc>
          <w:tcPr>
            <w:tcW w:w="788" w:type="dxa"/>
            <w:tcBorders>
              <w:top w:val="nil"/>
              <w:left w:val="nil"/>
              <w:bottom w:val="single" w:sz="4" w:space="0" w:color="auto"/>
              <w:right w:val="single" w:sz="4" w:space="0" w:color="auto"/>
            </w:tcBorders>
            <w:shd w:val="clear" w:color="auto" w:fill="auto"/>
            <w:hideMark/>
          </w:tcPr>
          <w:p w:rsidR="005B1E56" w:rsidRPr="00E97254" w:rsidRDefault="004E1F53" w:rsidP="000C0250">
            <w:pPr>
              <w:spacing w:after="0"/>
              <w:jc w:val="right"/>
              <w:rPr>
                <w:rFonts w:ascii="Calibri" w:eastAsia="Times New Roman" w:hAnsi="Calibri" w:cs="Calibri"/>
                <w:color w:val="000000"/>
                <w:sz w:val="20"/>
                <w:szCs w:val="20"/>
              </w:rPr>
            </w:pPr>
            <w:r>
              <w:rPr>
                <w:rFonts w:ascii="Calibri" w:eastAsia="Times New Roman" w:hAnsi="Calibri" w:cs="Calibri"/>
                <w:color w:val="000000"/>
                <w:sz w:val="20"/>
                <w:szCs w:val="20"/>
              </w:rPr>
              <w:t>106</w:t>
            </w:r>
          </w:p>
        </w:tc>
        <w:tc>
          <w:tcPr>
            <w:tcW w:w="818" w:type="dxa"/>
            <w:tcBorders>
              <w:top w:val="nil"/>
              <w:left w:val="nil"/>
              <w:bottom w:val="single" w:sz="4" w:space="0" w:color="auto"/>
              <w:right w:val="single" w:sz="4" w:space="0" w:color="auto"/>
            </w:tcBorders>
            <w:shd w:val="clear" w:color="auto" w:fill="auto"/>
            <w:hideMark/>
          </w:tcPr>
          <w:p w:rsidR="005B1E56" w:rsidRPr="00E97254" w:rsidRDefault="004E1F53" w:rsidP="000C0250">
            <w:pPr>
              <w:spacing w:after="0"/>
              <w:jc w:val="right"/>
              <w:rPr>
                <w:rFonts w:ascii="Calibri" w:eastAsia="Times New Roman" w:hAnsi="Calibri" w:cs="Calibri"/>
                <w:color w:val="000000"/>
                <w:sz w:val="20"/>
                <w:szCs w:val="20"/>
              </w:rPr>
            </w:pPr>
            <w:r>
              <w:rPr>
                <w:rFonts w:ascii="Calibri" w:eastAsia="Times New Roman" w:hAnsi="Calibri" w:cs="Calibri"/>
                <w:color w:val="000000"/>
                <w:sz w:val="20"/>
                <w:szCs w:val="20"/>
              </w:rPr>
              <w:t>1,773</w:t>
            </w:r>
          </w:p>
        </w:tc>
        <w:tc>
          <w:tcPr>
            <w:tcW w:w="788" w:type="dxa"/>
            <w:tcBorders>
              <w:top w:val="nil"/>
              <w:left w:val="nil"/>
              <w:bottom w:val="single" w:sz="4" w:space="0" w:color="auto"/>
              <w:right w:val="single" w:sz="4" w:space="0" w:color="auto"/>
            </w:tcBorders>
            <w:shd w:val="clear" w:color="auto" w:fill="auto"/>
            <w:hideMark/>
          </w:tcPr>
          <w:p w:rsidR="005B1E56" w:rsidRPr="00E97254" w:rsidRDefault="004E1F53" w:rsidP="000C0250">
            <w:pPr>
              <w:spacing w:after="0"/>
              <w:jc w:val="right"/>
              <w:rPr>
                <w:rFonts w:ascii="Calibri" w:eastAsia="Times New Roman" w:hAnsi="Calibri" w:cs="Calibri"/>
                <w:color w:val="000000"/>
                <w:sz w:val="20"/>
                <w:szCs w:val="20"/>
              </w:rPr>
            </w:pPr>
            <w:r>
              <w:rPr>
                <w:rFonts w:ascii="Calibri" w:eastAsia="Times New Roman" w:hAnsi="Calibri" w:cs="Calibri"/>
                <w:color w:val="000000"/>
                <w:sz w:val="20"/>
                <w:szCs w:val="20"/>
              </w:rPr>
              <w:t>124</w:t>
            </w:r>
          </w:p>
        </w:tc>
        <w:tc>
          <w:tcPr>
            <w:tcW w:w="818" w:type="dxa"/>
            <w:tcBorders>
              <w:top w:val="nil"/>
              <w:left w:val="nil"/>
              <w:bottom w:val="single" w:sz="4" w:space="0" w:color="auto"/>
              <w:right w:val="single" w:sz="4" w:space="0" w:color="auto"/>
            </w:tcBorders>
            <w:shd w:val="clear" w:color="auto" w:fill="auto"/>
            <w:hideMark/>
          </w:tcPr>
          <w:p w:rsidR="005B1E56" w:rsidRPr="00E97254" w:rsidRDefault="004E1F53" w:rsidP="000C0250">
            <w:pPr>
              <w:spacing w:after="0"/>
              <w:jc w:val="right"/>
              <w:rPr>
                <w:rFonts w:ascii="Calibri" w:eastAsia="Times New Roman" w:hAnsi="Calibri" w:cs="Calibri"/>
                <w:color w:val="000000"/>
                <w:sz w:val="20"/>
                <w:szCs w:val="20"/>
              </w:rPr>
            </w:pPr>
            <w:r>
              <w:rPr>
                <w:rFonts w:ascii="Calibri" w:eastAsia="Times New Roman" w:hAnsi="Calibri" w:cs="Calibri"/>
                <w:color w:val="000000"/>
                <w:sz w:val="20"/>
                <w:szCs w:val="20"/>
              </w:rPr>
              <w:t>1,831</w:t>
            </w:r>
          </w:p>
        </w:tc>
        <w:tc>
          <w:tcPr>
            <w:tcW w:w="788" w:type="dxa"/>
            <w:tcBorders>
              <w:top w:val="nil"/>
              <w:left w:val="nil"/>
              <w:bottom w:val="single" w:sz="4" w:space="0" w:color="auto"/>
              <w:right w:val="single" w:sz="4" w:space="0" w:color="auto"/>
            </w:tcBorders>
            <w:shd w:val="clear" w:color="auto" w:fill="auto"/>
            <w:hideMark/>
          </w:tcPr>
          <w:p w:rsidR="005B1E56" w:rsidRPr="00E97254" w:rsidRDefault="004E1F53" w:rsidP="000C0250">
            <w:pPr>
              <w:spacing w:after="0"/>
              <w:jc w:val="right"/>
              <w:rPr>
                <w:rFonts w:ascii="Calibri" w:eastAsia="Times New Roman" w:hAnsi="Calibri" w:cs="Calibri"/>
                <w:color w:val="000000"/>
                <w:sz w:val="20"/>
                <w:szCs w:val="20"/>
              </w:rPr>
            </w:pPr>
            <w:r>
              <w:rPr>
                <w:rFonts w:ascii="Calibri" w:eastAsia="Times New Roman" w:hAnsi="Calibri" w:cs="Calibri"/>
                <w:color w:val="000000"/>
                <w:sz w:val="20"/>
                <w:szCs w:val="20"/>
              </w:rPr>
              <w:t>133</w:t>
            </w:r>
          </w:p>
        </w:tc>
        <w:tc>
          <w:tcPr>
            <w:tcW w:w="818" w:type="dxa"/>
            <w:tcBorders>
              <w:top w:val="nil"/>
              <w:left w:val="nil"/>
              <w:bottom w:val="single" w:sz="4" w:space="0" w:color="auto"/>
              <w:right w:val="single" w:sz="4" w:space="0" w:color="auto"/>
            </w:tcBorders>
            <w:shd w:val="clear" w:color="auto" w:fill="auto"/>
            <w:hideMark/>
          </w:tcPr>
          <w:p w:rsidR="005B1E56" w:rsidRPr="00E97254" w:rsidRDefault="004E1F53" w:rsidP="000C0250">
            <w:pPr>
              <w:spacing w:after="0"/>
              <w:jc w:val="right"/>
              <w:rPr>
                <w:rFonts w:ascii="Calibri" w:eastAsia="Times New Roman" w:hAnsi="Calibri" w:cs="Calibri"/>
                <w:color w:val="000000"/>
                <w:sz w:val="20"/>
                <w:szCs w:val="20"/>
              </w:rPr>
            </w:pPr>
            <w:r>
              <w:rPr>
                <w:rFonts w:ascii="Calibri" w:eastAsia="Times New Roman" w:hAnsi="Calibri" w:cs="Calibri"/>
                <w:color w:val="000000"/>
                <w:sz w:val="20"/>
                <w:szCs w:val="20"/>
              </w:rPr>
              <w:t>1,777</w:t>
            </w:r>
          </w:p>
        </w:tc>
        <w:tc>
          <w:tcPr>
            <w:tcW w:w="788" w:type="dxa"/>
            <w:tcBorders>
              <w:top w:val="nil"/>
              <w:left w:val="nil"/>
              <w:bottom w:val="single" w:sz="4" w:space="0" w:color="auto"/>
              <w:right w:val="single" w:sz="4" w:space="0" w:color="auto"/>
            </w:tcBorders>
            <w:shd w:val="clear" w:color="auto" w:fill="auto"/>
            <w:hideMark/>
          </w:tcPr>
          <w:p w:rsidR="005B1E56" w:rsidRPr="00E97254" w:rsidRDefault="004E1F53" w:rsidP="000C0250">
            <w:pPr>
              <w:spacing w:after="0"/>
              <w:jc w:val="right"/>
              <w:rPr>
                <w:rFonts w:ascii="Calibri" w:eastAsia="Times New Roman" w:hAnsi="Calibri" w:cs="Calibri"/>
                <w:color w:val="000000"/>
                <w:sz w:val="20"/>
                <w:szCs w:val="20"/>
              </w:rPr>
            </w:pPr>
            <w:r>
              <w:rPr>
                <w:rFonts w:ascii="Calibri" w:eastAsia="Times New Roman" w:hAnsi="Calibri" w:cs="Calibri"/>
                <w:color w:val="000000"/>
                <w:sz w:val="20"/>
                <w:szCs w:val="20"/>
              </w:rPr>
              <w:t>142</w:t>
            </w:r>
          </w:p>
        </w:tc>
        <w:tc>
          <w:tcPr>
            <w:tcW w:w="818" w:type="dxa"/>
            <w:tcBorders>
              <w:top w:val="nil"/>
              <w:left w:val="nil"/>
              <w:bottom w:val="single" w:sz="4" w:space="0" w:color="auto"/>
              <w:right w:val="single" w:sz="4" w:space="0" w:color="auto"/>
            </w:tcBorders>
            <w:shd w:val="clear" w:color="auto" w:fill="auto"/>
            <w:hideMark/>
          </w:tcPr>
          <w:p w:rsidR="005B1E56" w:rsidRPr="00E97254" w:rsidRDefault="004E1F53" w:rsidP="000C0250">
            <w:pPr>
              <w:spacing w:after="0"/>
              <w:jc w:val="right"/>
              <w:rPr>
                <w:rFonts w:ascii="Calibri" w:eastAsia="Times New Roman" w:hAnsi="Calibri" w:cs="Calibri"/>
                <w:color w:val="000000"/>
                <w:sz w:val="20"/>
                <w:szCs w:val="20"/>
              </w:rPr>
            </w:pPr>
            <w:r>
              <w:rPr>
                <w:rFonts w:ascii="Calibri" w:eastAsia="Times New Roman" w:hAnsi="Calibri" w:cs="Calibri"/>
                <w:color w:val="000000"/>
                <w:sz w:val="20"/>
                <w:szCs w:val="20"/>
              </w:rPr>
              <w:t>1,901</w:t>
            </w:r>
          </w:p>
        </w:tc>
        <w:tc>
          <w:tcPr>
            <w:tcW w:w="788" w:type="dxa"/>
            <w:tcBorders>
              <w:top w:val="nil"/>
              <w:left w:val="nil"/>
              <w:bottom w:val="single" w:sz="4" w:space="0" w:color="auto"/>
              <w:right w:val="single" w:sz="4" w:space="0" w:color="auto"/>
            </w:tcBorders>
            <w:shd w:val="clear" w:color="auto" w:fill="auto"/>
            <w:hideMark/>
          </w:tcPr>
          <w:p w:rsidR="005B1E56" w:rsidRPr="00E97254" w:rsidRDefault="004E1F53" w:rsidP="000C0250">
            <w:pPr>
              <w:spacing w:after="0"/>
              <w:jc w:val="right"/>
              <w:rPr>
                <w:rFonts w:ascii="Calibri" w:eastAsia="Times New Roman" w:hAnsi="Calibri" w:cs="Calibri"/>
                <w:color w:val="000000"/>
                <w:sz w:val="20"/>
                <w:szCs w:val="20"/>
              </w:rPr>
            </w:pPr>
            <w:r>
              <w:rPr>
                <w:rFonts w:ascii="Calibri" w:eastAsia="Times New Roman" w:hAnsi="Calibri" w:cs="Calibri"/>
                <w:color w:val="000000"/>
                <w:sz w:val="20"/>
                <w:szCs w:val="20"/>
              </w:rPr>
              <w:t>162</w:t>
            </w:r>
          </w:p>
        </w:tc>
      </w:tr>
      <w:tr w:rsidR="005B1E56" w:rsidRPr="00E97254" w:rsidTr="001C3AA1">
        <w:trPr>
          <w:trHeight w:val="300"/>
        </w:trPr>
        <w:tc>
          <w:tcPr>
            <w:tcW w:w="709" w:type="dxa"/>
            <w:tcBorders>
              <w:top w:val="nil"/>
              <w:left w:val="single" w:sz="4" w:space="0" w:color="auto"/>
              <w:bottom w:val="single" w:sz="4" w:space="0" w:color="auto"/>
              <w:right w:val="single" w:sz="4" w:space="0" w:color="auto"/>
            </w:tcBorders>
            <w:shd w:val="clear" w:color="auto" w:fill="auto"/>
            <w:hideMark/>
          </w:tcPr>
          <w:p w:rsidR="005B1E56" w:rsidRPr="00E97254" w:rsidRDefault="004E1F53" w:rsidP="000C0250">
            <w:pPr>
              <w:spacing w:after="0"/>
              <w:jc w:val="center"/>
              <w:rPr>
                <w:rFonts w:ascii="Calibri" w:eastAsia="Times New Roman" w:hAnsi="Calibri" w:cs="Calibri"/>
                <w:color w:val="000000"/>
                <w:sz w:val="20"/>
                <w:szCs w:val="20"/>
              </w:rPr>
            </w:pPr>
            <w:r>
              <w:rPr>
                <w:rFonts w:ascii="Calibri" w:eastAsia="Times New Roman" w:hAnsi="Calibri" w:cs="Calibri"/>
                <w:color w:val="000000"/>
                <w:sz w:val="20"/>
                <w:szCs w:val="20"/>
              </w:rPr>
              <w:t>1-2</w:t>
            </w:r>
          </w:p>
        </w:tc>
        <w:tc>
          <w:tcPr>
            <w:tcW w:w="1316" w:type="dxa"/>
            <w:tcBorders>
              <w:top w:val="nil"/>
              <w:left w:val="nil"/>
              <w:bottom w:val="single" w:sz="4" w:space="0" w:color="auto"/>
              <w:right w:val="single" w:sz="4" w:space="0" w:color="auto"/>
            </w:tcBorders>
            <w:shd w:val="clear" w:color="auto" w:fill="auto"/>
            <w:hideMark/>
          </w:tcPr>
          <w:p w:rsidR="005B1E56" w:rsidRPr="00E97254" w:rsidRDefault="004E1F53" w:rsidP="000C0250">
            <w:pPr>
              <w:spacing w:after="0"/>
              <w:rPr>
                <w:rFonts w:ascii="Calibri" w:eastAsia="Times New Roman" w:hAnsi="Calibri" w:cs="Calibri"/>
                <w:color w:val="000000"/>
                <w:sz w:val="20"/>
                <w:szCs w:val="20"/>
              </w:rPr>
            </w:pPr>
            <w:r>
              <w:rPr>
                <w:rFonts w:ascii="Calibri" w:eastAsia="Times New Roman" w:hAnsi="Calibri" w:cs="Calibri"/>
                <w:color w:val="000000"/>
                <w:sz w:val="20"/>
                <w:szCs w:val="20"/>
              </w:rPr>
              <w:t>Shkolla 9-vjeçare</w:t>
            </w:r>
          </w:p>
        </w:tc>
        <w:tc>
          <w:tcPr>
            <w:tcW w:w="818" w:type="dxa"/>
            <w:tcBorders>
              <w:top w:val="nil"/>
              <w:left w:val="nil"/>
              <w:bottom w:val="single" w:sz="4" w:space="0" w:color="auto"/>
              <w:right w:val="single" w:sz="4" w:space="0" w:color="auto"/>
            </w:tcBorders>
            <w:shd w:val="clear" w:color="auto" w:fill="auto"/>
            <w:hideMark/>
          </w:tcPr>
          <w:p w:rsidR="005B1E56" w:rsidRPr="00E97254" w:rsidRDefault="004E1F53" w:rsidP="000C0250">
            <w:pPr>
              <w:spacing w:after="0"/>
              <w:jc w:val="right"/>
              <w:rPr>
                <w:rFonts w:ascii="Calibri" w:eastAsia="Times New Roman" w:hAnsi="Calibri" w:cs="Calibri"/>
                <w:color w:val="000000"/>
                <w:sz w:val="20"/>
                <w:szCs w:val="20"/>
              </w:rPr>
            </w:pPr>
            <w:r>
              <w:rPr>
                <w:rFonts w:ascii="Calibri" w:eastAsia="Times New Roman" w:hAnsi="Calibri" w:cs="Calibri"/>
                <w:color w:val="000000"/>
                <w:sz w:val="20"/>
                <w:szCs w:val="20"/>
              </w:rPr>
              <w:t>1,372</w:t>
            </w:r>
          </w:p>
        </w:tc>
        <w:tc>
          <w:tcPr>
            <w:tcW w:w="788" w:type="dxa"/>
            <w:tcBorders>
              <w:top w:val="nil"/>
              <w:left w:val="nil"/>
              <w:bottom w:val="single" w:sz="4" w:space="0" w:color="auto"/>
              <w:right w:val="single" w:sz="4" w:space="0" w:color="auto"/>
            </w:tcBorders>
            <w:shd w:val="clear" w:color="auto" w:fill="auto"/>
            <w:hideMark/>
          </w:tcPr>
          <w:p w:rsidR="005B1E56" w:rsidRPr="00E97254" w:rsidRDefault="004E1F53" w:rsidP="000C0250">
            <w:pPr>
              <w:spacing w:after="0"/>
              <w:jc w:val="right"/>
              <w:rPr>
                <w:rFonts w:ascii="Calibri" w:eastAsia="Times New Roman" w:hAnsi="Calibri" w:cs="Calibri"/>
                <w:color w:val="000000"/>
                <w:sz w:val="20"/>
                <w:szCs w:val="20"/>
              </w:rPr>
            </w:pPr>
            <w:r>
              <w:rPr>
                <w:rFonts w:ascii="Calibri" w:eastAsia="Times New Roman" w:hAnsi="Calibri" w:cs="Calibri"/>
                <w:color w:val="000000"/>
                <w:sz w:val="20"/>
                <w:szCs w:val="20"/>
              </w:rPr>
              <w:t>121</w:t>
            </w:r>
          </w:p>
        </w:tc>
        <w:tc>
          <w:tcPr>
            <w:tcW w:w="818" w:type="dxa"/>
            <w:tcBorders>
              <w:top w:val="nil"/>
              <w:left w:val="nil"/>
              <w:bottom w:val="single" w:sz="4" w:space="0" w:color="auto"/>
              <w:right w:val="single" w:sz="4" w:space="0" w:color="auto"/>
            </w:tcBorders>
            <w:shd w:val="clear" w:color="auto" w:fill="auto"/>
            <w:hideMark/>
          </w:tcPr>
          <w:p w:rsidR="005B1E56" w:rsidRPr="00E97254" w:rsidRDefault="004E1F53" w:rsidP="000C0250">
            <w:pPr>
              <w:spacing w:after="0"/>
              <w:jc w:val="right"/>
              <w:rPr>
                <w:rFonts w:ascii="Calibri" w:eastAsia="Times New Roman" w:hAnsi="Calibri" w:cs="Calibri"/>
                <w:color w:val="000000"/>
                <w:sz w:val="20"/>
                <w:szCs w:val="20"/>
              </w:rPr>
            </w:pPr>
            <w:r>
              <w:rPr>
                <w:rFonts w:ascii="Calibri" w:eastAsia="Times New Roman" w:hAnsi="Calibri" w:cs="Calibri"/>
                <w:color w:val="000000"/>
                <w:sz w:val="20"/>
                <w:szCs w:val="20"/>
              </w:rPr>
              <w:t>1,284</w:t>
            </w:r>
          </w:p>
        </w:tc>
        <w:tc>
          <w:tcPr>
            <w:tcW w:w="788" w:type="dxa"/>
            <w:tcBorders>
              <w:top w:val="nil"/>
              <w:left w:val="nil"/>
              <w:bottom w:val="single" w:sz="4" w:space="0" w:color="auto"/>
              <w:right w:val="single" w:sz="4" w:space="0" w:color="auto"/>
            </w:tcBorders>
            <w:shd w:val="clear" w:color="auto" w:fill="auto"/>
            <w:hideMark/>
          </w:tcPr>
          <w:p w:rsidR="005B1E56" w:rsidRPr="00E97254" w:rsidRDefault="004E1F53" w:rsidP="000C0250">
            <w:pPr>
              <w:spacing w:after="0"/>
              <w:jc w:val="right"/>
              <w:rPr>
                <w:rFonts w:ascii="Calibri" w:eastAsia="Times New Roman" w:hAnsi="Calibri" w:cs="Calibri"/>
                <w:color w:val="000000"/>
                <w:sz w:val="20"/>
                <w:szCs w:val="20"/>
              </w:rPr>
            </w:pPr>
            <w:r>
              <w:rPr>
                <w:rFonts w:ascii="Calibri" w:eastAsia="Times New Roman" w:hAnsi="Calibri" w:cs="Calibri"/>
                <w:color w:val="000000"/>
                <w:sz w:val="20"/>
                <w:szCs w:val="20"/>
              </w:rPr>
              <w:t>120</w:t>
            </w:r>
          </w:p>
        </w:tc>
        <w:tc>
          <w:tcPr>
            <w:tcW w:w="818" w:type="dxa"/>
            <w:tcBorders>
              <w:top w:val="nil"/>
              <w:left w:val="nil"/>
              <w:bottom w:val="single" w:sz="4" w:space="0" w:color="auto"/>
              <w:right w:val="single" w:sz="4" w:space="0" w:color="auto"/>
            </w:tcBorders>
            <w:shd w:val="clear" w:color="auto" w:fill="auto"/>
            <w:hideMark/>
          </w:tcPr>
          <w:p w:rsidR="005B1E56" w:rsidRPr="00E97254" w:rsidRDefault="004E1F53" w:rsidP="000C0250">
            <w:pPr>
              <w:spacing w:after="0"/>
              <w:jc w:val="right"/>
              <w:rPr>
                <w:rFonts w:ascii="Calibri" w:eastAsia="Times New Roman" w:hAnsi="Calibri" w:cs="Calibri"/>
                <w:color w:val="000000"/>
                <w:sz w:val="20"/>
                <w:szCs w:val="20"/>
              </w:rPr>
            </w:pPr>
            <w:r>
              <w:rPr>
                <w:rFonts w:ascii="Calibri" w:eastAsia="Times New Roman" w:hAnsi="Calibri" w:cs="Calibri"/>
                <w:color w:val="000000"/>
                <w:sz w:val="20"/>
                <w:szCs w:val="20"/>
              </w:rPr>
              <w:t>1,249</w:t>
            </w:r>
          </w:p>
        </w:tc>
        <w:tc>
          <w:tcPr>
            <w:tcW w:w="788" w:type="dxa"/>
            <w:tcBorders>
              <w:top w:val="nil"/>
              <w:left w:val="nil"/>
              <w:bottom w:val="single" w:sz="4" w:space="0" w:color="auto"/>
              <w:right w:val="single" w:sz="4" w:space="0" w:color="auto"/>
            </w:tcBorders>
            <w:shd w:val="clear" w:color="auto" w:fill="auto"/>
            <w:hideMark/>
          </w:tcPr>
          <w:p w:rsidR="005B1E56" w:rsidRPr="00E97254" w:rsidRDefault="004E1F53" w:rsidP="000C0250">
            <w:pPr>
              <w:spacing w:after="0"/>
              <w:jc w:val="right"/>
              <w:rPr>
                <w:rFonts w:ascii="Calibri" w:eastAsia="Times New Roman" w:hAnsi="Calibri" w:cs="Calibri"/>
                <w:color w:val="000000"/>
                <w:sz w:val="20"/>
                <w:szCs w:val="20"/>
              </w:rPr>
            </w:pPr>
            <w:r>
              <w:rPr>
                <w:rFonts w:ascii="Calibri" w:eastAsia="Times New Roman" w:hAnsi="Calibri" w:cs="Calibri"/>
                <w:color w:val="000000"/>
                <w:sz w:val="20"/>
                <w:szCs w:val="20"/>
              </w:rPr>
              <w:t>121</w:t>
            </w:r>
          </w:p>
        </w:tc>
        <w:tc>
          <w:tcPr>
            <w:tcW w:w="818" w:type="dxa"/>
            <w:tcBorders>
              <w:top w:val="nil"/>
              <w:left w:val="nil"/>
              <w:bottom w:val="single" w:sz="4" w:space="0" w:color="auto"/>
              <w:right w:val="single" w:sz="4" w:space="0" w:color="auto"/>
            </w:tcBorders>
            <w:shd w:val="clear" w:color="auto" w:fill="auto"/>
            <w:hideMark/>
          </w:tcPr>
          <w:p w:rsidR="005B1E56" w:rsidRPr="00E97254" w:rsidRDefault="004E1F53" w:rsidP="000C0250">
            <w:pPr>
              <w:spacing w:after="0"/>
              <w:jc w:val="right"/>
              <w:rPr>
                <w:rFonts w:ascii="Calibri" w:eastAsia="Times New Roman" w:hAnsi="Calibri" w:cs="Calibri"/>
                <w:color w:val="000000"/>
                <w:sz w:val="20"/>
                <w:szCs w:val="20"/>
              </w:rPr>
            </w:pPr>
            <w:r>
              <w:rPr>
                <w:rFonts w:ascii="Calibri" w:eastAsia="Times New Roman" w:hAnsi="Calibri" w:cs="Calibri"/>
                <w:color w:val="000000"/>
                <w:sz w:val="20"/>
                <w:szCs w:val="20"/>
              </w:rPr>
              <w:t>1,220</w:t>
            </w:r>
          </w:p>
        </w:tc>
        <w:tc>
          <w:tcPr>
            <w:tcW w:w="788" w:type="dxa"/>
            <w:tcBorders>
              <w:top w:val="nil"/>
              <w:left w:val="nil"/>
              <w:bottom w:val="single" w:sz="4" w:space="0" w:color="auto"/>
              <w:right w:val="single" w:sz="4" w:space="0" w:color="auto"/>
            </w:tcBorders>
            <w:shd w:val="clear" w:color="auto" w:fill="auto"/>
            <w:hideMark/>
          </w:tcPr>
          <w:p w:rsidR="005B1E56" w:rsidRPr="00E97254" w:rsidRDefault="004E1F53" w:rsidP="000C0250">
            <w:pPr>
              <w:spacing w:after="0"/>
              <w:jc w:val="right"/>
              <w:rPr>
                <w:rFonts w:ascii="Calibri" w:eastAsia="Times New Roman" w:hAnsi="Calibri" w:cs="Calibri"/>
                <w:color w:val="000000"/>
                <w:sz w:val="20"/>
                <w:szCs w:val="20"/>
              </w:rPr>
            </w:pPr>
            <w:r>
              <w:rPr>
                <w:rFonts w:ascii="Calibri" w:eastAsia="Times New Roman" w:hAnsi="Calibri" w:cs="Calibri"/>
                <w:color w:val="000000"/>
                <w:sz w:val="20"/>
                <w:szCs w:val="20"/>
              </w:rPr>
              <w:t>125</w:t>
            </w:r>
          </w:p>
        </w:tc>
        <w:tc>
          <w:tcPr>
            <w:tcW w:w="818" w:type="dxa"/>
            <w:tcBorders>
              <w:top w:val="nil"/>
              <w:left w:val="nil"/>
              <w:bottom w:val="single" w:sz="4" w:space="0" w:color="auto"/>
              <w:right w:val="single" w:sz="4" w:space="0" w:color="auto"/>
            </w:tcBorders>
            <w:shd w:val="clear" w:color="auto" w:fill="auto"/>
            <w:hideMark/>
          </w:tcPr>
          <w:p w:rsidR="005B1E56" w:rsidRPr="00E97254" w:rsidRDefault="004E1F53" w:rsidP="000C0250">
            <w:pPr>
              <w:spacing w:after="0"/>
              <w:jc w:val="right"/>
              <w:rPr>
                <w:rFonts w:ascii="Calibri" w:eastAsia="Times New Roman" w:hAnsi="Calibri" w:cs="Calibri"/>
                <w:color w:val="000000"/>
                <w:sz w:val="20"/>
                <w:szCs w:val="20"/>
              </w:rPr>
            </w:pPr>
            <w:r>
              <w:rPr>
                <w:rFonts w:ascii="Calibri" w:eastAsia="Times New Roman" w:hAnsi="Calibri" w:cs="Calibri"/>
                <w:color w:val="000000"/>
                <w:sz w:val="20"/>
                <w:szCs w:val="20"/>
              </w:rPr>
              <w:t>1,144</w:t>
            </w:r>
          </w:p>
        </w:tc>
        <w:tc>
          <w:tcPr>
            <w:tcW w:w="788" w:type="dxa"/>
            <w:tcBorders>
              <w:top w:val="nil"/>
              <w:left w:val="nil"/>
              <w:bottom w:val="single" w:sz="4" w:space="0" w:color="auto"/>
              <w:right w:val="single" w:sz="4" w:space="0" w:color="auto"/>
            </w:tcBorders>
            <w:shd w:val="clear" w:color="auto" w:fill="auto"/>
            <w:hideMark/>
          </w:tcPr>
          <w:p w:rsidR="005B1E56" w:rsidRPr="00E97254" w:rsidRDefault="004E1F53" w:rsidP="000C0250">
            <w:pPr>
              <w:spacing w:after="0"/>
              <w:jc w:val="right"/>
              <w:rPr>
                <w:rFonts w:ascii="Calibri" w:eastAsia="Times New Roman" w:hAnsi="Calibri" w:cs="Calibri"/>
                <w:color w:val="000000"/>
                <w:sz w:val="20"/>
                <w:szCs w:val="20"/>
              </w:rPr>
            </w:pPr>
            <w:r>
              <w:rPr>
                <w:rFonts w:ascii="Calibri" w:eastAsia="Times New Roman" w:hAnsi="Calibri" w:cs="Calibri"/>
                <w:color w:val="000000"/>
                <w:sz w:val="20"/>
                <w:szCs w:val="20"/>
              </w:rPr>
              <w:t>125</w:t>
            </w:r>
          </w:p>
        </w:tc>
      </w:tr>
      <w:tr w:rsidR="005B1E56" w:rsidRPr="00E97254" w:rsidTr="001C3AA1">
        <w:trPr>
          <w:trHeight w:val="300"/>
        </w:trPr>
        <w:tc>
          <w:tcPr>
            <w:tcW w:w="709" w:type="dxa"/>
            <w:tcBorders>
              <w:top w:val="nil"/>
              <w:left w:val="single" w:sz="4" w:space="0" w:color="auto"/>
              <w:bottom w:val="single" w:sz="4" w:space="0" w:color="auto"/>
              <w:right w:val="single" w:sz="4" w:space="0" w:color="auto"/>
            </w:tcBorders>
            <w:shd w:val="clear" w:color="auto" w:fill="auto"/>
            <w:hideMark/>
          </w:tcPr>
          <w:p w:rsidR="005B1E56" w:rsidRPr="00E97254" w:rsidRDefault="004E1F53" w:rsidP="000C0250">
            <w:pPr>
              <w:spacing w:after="0"/>
              <w:jc w:val="center"/>
              <w:rPr>
                <w:rFonts w:ascii="Calibri" w:eastAsia="Times New Roman" w:hAnsi="Calibri" w:cs="Calibri"/>
                <w:color w:val="000000"/>
                <w:sz w:val="20"/>
                <w:szCs w:val="20"/>
              </w:rPr>
            </w:pPr>
            <w:r>
              <w:rPr>
                <w:rFonts w:ascii="Calibri" w:eastAsia="Times New Roman" w:hAnsi="Calibri" w:cs="Calibri"/>
                <w:color w:val="000000"/>
                <w:sz w:val="20"/>
                <w:szCs w:val="20"/>
              </w:rPr>
              <w:t>3</w:t>
            </w:r>
          </w:p>
        </w:tc>
        <w:tc>
          <w:tcPr>
            <w:tcW w:w="1316" w:type="dxa"/>
            <w:tcBorders>
              <w:top w:val="nil"/>
              <w:left w:val="nil"/>
              <w:bottom w:val="single" w:sz="4" w:space="0" w:color="auto"/>
              <w:right w:val="single" w:sz="4" w:space="0" w:color="auto"/>
            </w:tcBorders>
            <w:shd w:val="clear" w:color="auto" w:fill="auto"/>
            <w:hideMark/>
          </w:tcPr>
          <w:p w:rsidR="005B1E56" w:rsidRPr="00E97254" w:rsidRDefault="004E1F53" w:rsidP="000C0250">
            <w:pPr>
              <w:spacing w:after="0"/>
              <w:rPr>
                <w:rFonts w:ascii="Calibri" w:eastAsia="Times New Roman" w:hAnsi="Calibri" w:cs="Calibri"/>
                <w:color w:val="000000"/>
                <w:sz w:val="20"/>
                <w:szCs w:val="20"/>
              </w:rPr>
            </w:pPr>
            <w:r>
              <w:rPr>
                <w:rFonts w:ascii="Calibri" w:eastAsia="Times New Roman" w:hAnsi="Calibri" w:cs="Calibri"/>
                <w:color w:val="000000"/>
                <w:sz w:val="20"/>
                <w:szCs w:val="20"/>
              </w:rPr>
              <w:t>Shkolla të mesme të larta</w:t>
            </w:r>
          </w:p>
        </w:tc>
        <w:tc>
          <w:tcPr>
            <w:tcW w:w="818" w:type="dxa"/>
            <w:tcBorders>
              <w:top w:val="nil"/>
              <w:left w:val="nil"/>
              <w:bottom w:val="single" w:sz="4" w:space="0" w:color="auto"/>
              <w:right w:val="single" w:sz="4" w:space="0" w:color="auto"/>
            </w:tcBorders>
            <w:shd w:val="clear" w:color="auto" w:fill="auto"/>
            <w:hideMark/>
          </w:tcPr>
          <w:p w:rsidR="005B1E56" w:rsidRPr="00E97254" w:rsidRDefault="004E1F53" w:rsidP="000C0250">
            <w:pPr>
              <w:spacing w:after="0"/>
              <w:jc w:val="right"/>
              <w:rPr>
                <w:rFonts w:ascii="Calibri" w:eastAsia="Times New Roman" w:hAnsi="Calibri" w:cs="Calibri"/>
                <w:color w:val="000000"/>
                <w:sz w:val="20"/>
                <w:szCs w:val="20"/>
              </w:rPr>
            </w:pPr>
            <w:r>
              <w:rPr>
                <w:rFonts w:ascii="Calibri" w:eastAsia="Times New Roman" w:hAnsi="Calibri" w:cs="Calibri"/>
                <w:color w:val="000000"/>
                <w:sz w:val="20"/>
                <w:szCs w:val="20"/>
              </w:rPr>
              <w:t>381</w:t>
            </w:r>
          </w:p>
        </w:tc>
        <w:tc>
          <w:tcPr>
            <w:tcW w:w="788" w:type="dxa"/>
            <w:tcBorders>
              <w:top w:val="nil"/>
              <w:left w:val="nil"/>
              <w:bottom w:val="single" w:sz="4" w:space="0" w:color="auto"/>
              <w:right w:val="single" w:sz="4" w:space="0" w:color="auto"/>
            </w:tcBorders>
            <w:shd w:val="clear" w:color="auto" w:fill="auto"/>
            <w:hideMark/>
          </w:tcPr>
          <w:p w:rsidR="005B1E56" w:rsidRPr="00E97254" w:rsidRDefault="004E1F53" w:rsidP="000C0250">
            <w:pPr>
              <w:spacing w:after="0"/>
              <w:jc w:val="right"/>
              <w:rPr>
                <w:rFonts w:ascii="Calibri" w:eastAsia="Times New Roman" w:hAnsi="Calibri" w:cs="Calibri"/>
                <w:color w:val="000000"/>
                <w:sz w:val="20"/>
                <w:szCs w:val="20"/>
              </w:rPr>
            </w:pPr>
            <w:r>
              <w:rPr>
                <w:rFonts w:ascii="Calibri" w:eastAsia="Times New Roman" w:hAnsi="Calibri" w:cs="Calibri"/>
                <w:color w:val="000000"/>
                <w:sz w:val="20"/>
                <w:szCs w:val="20"/>
              </w:rPr>
              <w:t>116</w:t>
            </w:r>
          </w:p>
        </w:tc>
        <w:tc>
          <w:tcPr>
            <w:tcW w:w="818" w:type="dxa"/>
            <w:tcBorders>
              <w:top w:val="nil"/>
              <w:left w:val="nil"/>
              <w:bottom w:val="single" w:sz="4" w:space="0" w:color="auto"/>
              <w:right w:val="single" w:sz="4" w:space="0" w:color="auto"/>
            </w:tcBorders>
            <w:shd w:val="clear" w:color="auto" w:fill="auto"/>
            <w:hideMark/>
          </w:tcPr>
          <w:p w:rsidR="005B1E56" w:rsidRPr="00E97254" w:rsidRDefault="004E1F53" w:rsidP="000C0250">
            <w:pPr>
              <w:spacing w:after="0"/>
              <w:jc w:val="right"/>
              <w:rPr>
                <w:rFonts w:ascii="Calibri" w:eastAsia="Times New Roman" w:hAnsi="Calibri" w:cs="Calibri"/>
                <w:color w:val="000000"/>
                <w:sz w:val="20"/>
                <w:szCs w:val="20"/>
              </w:rPr>
            </w:pPr>
            <w:r>
              <w:rPr>
                <w:rFonts w:ascii="Calibri" w:eastAsia="Times New Roman" w:hAnsi="Calibri" w:cs="Calibri"/>
                <w:color w:val="000000"/>
                <w:sz w:val="20"/>
                <w:szCs w:val="20"/>
              </w:rPr>
              <w:t>381</w:t>
            </w:r>
          </w:p>
        </w:tc>
        <w:tc>
          <w:tcPr>
            <w:tcW w:w="788" w:type="dxa"/>
            <w:tcBorders>
              <w:top w:val="nil"/>
              <w:left w:val="nil"/>
              <w:bottom w:val="single" w:sz="4" w:space="0" w:color="auto"/>
              <w:right w:val="single" w:sz="4" w:space="0" w:color="auto"/>
            </w:tcBorders>
            <w:shd w:val="clear" w:color="auto" w:fill="auto"/>
            <w:hideMark/>
          </w:tcPr>
          <w:p w:rsidR="005B1E56" w:rsidRPr="00E97254" w:rsidRDefault="004E1F53" w:rsidP="000C0250">
            <w:pPr>
              <w:spacing w:after="0"/>
              <w:jc w:val="right"/>
              <w:rPr>
                <w:rFonts w:ascii="Calibri" w:eastAsia="Times New Roman" w:hAnsi="Calibri" w:cs="Calibri"/>
                <w:color w:val="000000"/>
                <w:sz w:val="20"/>
                <w:szCs w:val="20"/>
              </w:rPr>
            </w:pPr>
            <w:r>
              <w:rPr>
                <w:rFonts w:ascii="Calibri" w:eastAsia="Times New Roman" w:hAnsi="Calibri" w:cs="Calibri"/>
                <w:color w:val="000000"/>
                <w:sz w:val="20"/>
                <w:szCs w:val="20"/>
              </w:rPr>
              <w:t>119</w:t>
            </w:r>
          </w:p>
        </w:tc>
        <w:tc>
          <w:tcPr>
            <w:tcW w:w="818" w:type="dxa"/>
            <w:tcBorders>
              <w:top w:val="nil"/>
              <w:left w:val="nil"/>
              <w:bottom w:val="single" w:sz="4" w:space="0" w:color="auto"/>
              <w:right w:val="single" w:sz="4" w:space="0" w:color="auto"/>
            </w:tcBorders>
            <w:shd w:val="clear" w:color="auto" w:fill="auto"/>
            <w:hideMark/>
          </w:tcPr>
          <w:p w:rsidR="005B1E56" w:rsidRPr="00E97254" w:rsidRDefault="004E1F53" w:rsidP="000C0250">
            <w:pPr>
              <w:spacing w:after="0"/>
              <w:jc w:val="right"/>
              <w:rPr>
                <w:rFonts w:ascii="Calibri" w:eastAsia="Times New Roman" w:hAnsi="Calibri" w:cs="Calibri"/>
                <w:color w:val="000000"/>
                <w:sz w:val="20"/>
                <w:szCs w:val="20"/>
              </w:rPr>
            </w:pPr>
            <w:r>
              <w:rPr>
                <w:rFonts w:ascii="Calibri" w:eastAsia="Times New Roman" w:hAnsi="Calibri" w:cs="Calibri"/>
                <w:color w:val="000000"/>
                <w:sz w:val="20"/>
                <w:szCs w:val="20"/>
              </w:rPr>
              <w:t>380</w:t>
            </w:r>
          </w:p>
        </w:tc>
        <w:tc>
          <w:tcPr>
            <w:tcW w:w="788" w:type="dxa"/>
            <w:tcBorders>
              <w:top w:val="nil"/>
              <w:left w:val="nil"/>
              <w:bottom w:val="single" w:sz="4" w:space="0" w:color="auto"/>
              <w:right w:val="single" w:sz="4" w:space="0" w:color="auto"/>
            </w:tcBorders>
            <w:shd w:val="clear" w:color="auto" w:fill="auto"/>
            <w:hideMark/>
          </w:tcPr>
          <w:p w:rsidR="005B1E56" w:rsidRPr="00E97254" w:rsidRDefault="004E1F53" w:rsidP="000C0250">
            <w:pPr>
              <w:spacing w:after="0"/>
              <w:jc w:val="right"/>
              <w:rPr>
                <w:rFonts w:ascii="Calibri" w:eastAsia="Times New Roman" w:hAnsi="Calibri" w:cs="Calibri"/>
                <w:color w:val="000000"/>
                <w:sz w:val="20"/>
                <w:szCs w:val="20"/>
              </w:rPr>
            </w:pPr>
            <w:r>
              <w:rPr>
                <w:rFonts w:ascii="Calibri" w:eastAsia="Times New Roman" w:hAnsi="Calibri" w:cs="Calibri"/>
                <w:color w:val="000000"/>
                <w:sz w:val="20"/>
                <w:szCs w:val="20"/>
              </w:rPr>
              <w:t>124</w:t>
            </w:r>
          </w:p>
        </w:tc>
        <w:tc>
          <w:tcPr>
            <w:tcW w:w="818" w:type="dxa"/>
            <w:tcBorders>
              <w:top w:val="nil"/>
              <w:left w:val="nil"/>
              <w:bottom w:val="single" w:sz="4" w:space="0" w:color="auto"/>
              <w:right w:val="single" w:sz="4" w:space="0" w:color="auto"/>
            </w:tcBorders>
            <w:shd w:val="clear" w:color="auto" w:fill="auto"/>
            <w:hideMark/>
          </w:tcPr>
          <w:p w:rsidR="005B1E56" w:rsidRPr="00E97254" w:rsidRDefault="004E1F53" w:rsidP="000C0250">
            <w:pPr>
              <w:spacing w:after="0"/>
              <w:jc w:val="right"/>
              <w:rPr>
                <w:rFonts w:ascii="Calibri" w:eastAsia="Times New Roman" w:hAnsi="Calibri" w:cs="Calibri"/>
                <w:color w:val="000000"/>
                <w:sz w:val="20"/>
                <w:szCs w:val="20"/>
              </w:rPr>
            </w:pPr>
            <w:r>
              <w:rPr>
                <w:rFonts w:ascii="Calibri" w:eastAsia="Times New Roman" w:hAnsi="Calibri" w:cs="Calibri"/>
                <w:color w:val="000000"/>
                <w:sz w:val="20"/>
                <w:szCs w:val="20"/>
              </w:rPr>
              <w:t>380</w:t>
            </w:r>
          </w:p>
        </w:tc>
        <w:tc>
          <w:tcPr>
            <w:tcW w:w="788" w:type="dxa"/>
            <w:tcBorders>
              <w:top w:val="nil"/>
              <w:left w:val="nil"/>
              <w:bottom w:val="single" w:sz="4" w:space="0" w:color="auto"/>
              <w:right w:val="single" w:sz="4" w:space="0" w:color="auto"/>
            </w:tcBorders>
            <w:shd w:val="clear" w:color="auto" w:fill="auto"/>
            <w:hideMark/>
          </w:tcPr>
          <w:p w:rsidR="005B1E56" w:rsidRPr="00E97254" w:rsidRDefault="004E1F53" w:rsidP="000C0250">
            <w:pPr>
              <w:spacing w:after="0"/>
              <w:jc w:val="right"/>
              <w:rPr>
                <w:rFonts w:ascii="Calibri" w:eastAsia="Times New Roman" w:hAnsi="Calibri" w:cs="Calibri"/>
                <w:color w:val="000000"/>
                <w:sz w:val="20"/>
                <w:szCs w:val="20"/>
              </w:rPr>
            </w:pPr>
            <w:r>
              <w:rPr>
                <w:rFonts w:ascii="Calibri" w:eastAsia="Times New Roman" w:hAnsi="Calibri" w:cs="Calibri"/>
                <w:color w:val="000000"/>
                <w:sz w:val="20"/>
                <w:szCs w:val="20"/>
              </w:rPr>
              <w:t>115</w:t>
            </w:r>
          </w:p>
        </w:tc>
        <w:tc>
          <w:tcPr>
            <w:tcW w:w="818" w:type="dxa"/>
            <w:tcBorders>
              <w:top w:val="nil"/>
              <w:left w:val="nil"/>
              <w:bottom w:val="single" w:sz="4" w:space="0" w:color="auto"/>
              <w:right w:val="single" w:sz="4" w:space="0" w:color="auto"/>
            </w:tcBorders>
            <w:shd w:val="clear" w:color="auto" w:fill="auto"/>
            <w:hideMark/>
          </w:tcPr>
          <w:p w:rsidR="005B1E56" w:rsidRPr="00E97254" w:rsidRDefault="004E1F53" w:rsidP="000C0250">
            <w:pPr>
              <w:spacing w:after="0"/>
              <w:jc w:val="right"/>
              <w:rPr>
                <w:rFonts w:ascii="Calibri" w:eastAsia="Times New Roman" w:hAnsi="Calibri" w:cs="Calibri"/>
                <w:color w:val="000000"/>
                <w:sz w:val="20"/>
                <w:szCs w:val="20"/>
              </w:rPr>
            </w:pPr>
            <w:r>
              <w:rPr>
                <w:rFonts w:ascii="Calibri" w:eastAsia="Times New Roman" w:hAnsi="Calibri" w:cs="Calibri"/>
                <w:color w:val="000000"/>
                <w:sz w:val="20"/>
                <w:szCs w:val="20"/>
              </w:rPr>
              <w:t>382</w:t>
            </w:r>
          </w:p>
        </w:tc>
        <w:tc>
          <w:tcPr>
            <w:tcW w:w="788" w:type="dxa"/>
            <w:tcBorders>
              <w:top w:val="nil"/>
              <w:left w:val="nil"/>
              <w:bottom w:val="single" w:sz="4" w:space="0" w:color="auto"/>
              <w:right w:val="single" w:sz="4" w:space="0" w:color="auto"/>
            </w:tcBorders>
            <w:shd w:val="clear" w:color="auto" w:fill="auto"/>
            <w:hideMark/>
          </w:tcPr>
          <w:p w:rsidR="005B1E56" w:rsidRPr="00E97254" w:rsidRDefault="004E1F53" w:rsidP="000C0250">
            <w:pPr>
              <w:spacing w:after="0"/>
              <w:jc w:val="right"/>
              <w:rPr>
                <w:rFonts w:ascii="Calibri" w:eastAsia="Times New Roman" w:hAnsi="Calibri" w:cs="Calibri"/>
                <w:color w:val="000000"/>
                <w:sz w:val="20"/>
                <w:szCs w:val="20"/>
              </w:rPr>
            </w:pPr>
            <w:r>
              <w:rPr>
                <w:rFonts w:ascii="Calibri" w:eastAsia="Times New Roman" w:hAnsi="Calibri" w:cs="Calibri"/>
                <w:color w:val="000000"/>
                <w:sz w:val="20"/>
                <w:szCs w:val="20"/>
              </w:rPr>
              <w:t>115</w:t>
            </w:r>
          </w:p>
        </w:tc>
      </w:tr>
      <w:tr w:rsidR="005B1E56" w:rsidRPr="00E97254" w:rsidTr="001C3AA1">
        <w:trPr>
          <w:trHeight w:val="300"/>
        </w:trPr>
        <w:tc>
          <w:tcPr>
            <w:tcW w:w="709" w:type="dxa"/>
            <w:tcBorders>
              <w:top w:val="nil"/>
              <w:left w:val="single" w:sz="4" w:space="0" w:color="auto"/>
              <w:bottom w:val="single" w:sz="4" w:space="0" w:color="auto"/>
              <w:right w:val="single" w:sz="4" w:space="0" w:color="auto"/>
            </w:tcBorders>
            <w:shd w:val="clear" w:color="auto" w:fill="auto"/>
            <w:hideMark/>
          </w:tcPr>
          <w:p w:rsidR="005B1E56" w:rsidRPr="00E97254" w:rsidRDefault="004E1F53" w:rsidP="000C0250">
            <w:pPr>
              <w:spacing w:after="0"/>
              <w:jc w:val="center"/>
              <w:rPr>
                <w:rFonts w:ascii="Calibri" w:eastAsia="Times New Roman" w:hAnsi="Calibri" w:cs="Calibri"/>
                <w:color w:val="000000"/>
                <w:sz w:val="20"/>
                <w:szCs w:val="20"/>
              </w:rPr>
            </w:pPr>
            <w:r>
              <w:rPr>
                <w:rFonts w:ascii="Calibri" w:eastAsia="Times New Roman" w:hAnsi="Calibri" w:cs="Calibri"/>
                <w:color w:val="000000"/>
                <w:sz w:val="20"/>
                <w:szCs w:val="20"/>
              </w:rPr>
              <w:t>0-3</w:t>
            </w:r>
          </w:p>
        </w:tc>
        <w:tc>
          <w:tcPr>
            <w:tcW w:w="1316" w:type="dxa"/>
            <w:tcBorders>
              <w:top w:val="nil"/>
              <w:left w:val="nil"/>
              <w:bottom w:val="single" w:sz="4" w:space="0" w:color="auto"/>
              <w:right w:val="single" w:sz="4" w:space="0" w:color="auto"/>
            </w:tcBorders>
            <w:shd w:val="clear" w:color="auto" w:fill="auto"/>
            <w:hideMark/>
          </w:tcPr>
          <w:p w:rsidR="005B1E56" w:rsidRPr="00E97254" w:rsidRDefault="004E1F53" w:rsidP="000C0250">
            <w:pPr>
              <w:spacing w:after="0"/>
              <w:rPr>
                <w:rFonts w:ascii="Calibri" w:eastAsia="Times New Roman" w:hAnsi="Calibri" w:cs="Calibri"/>
                <w:color w:val="000000"/>
                <w:sz w:val="20"/>
                <w:szCs w:val="20"/>
              </w:rPr>
            </w:pPr>
            <w:r>
              <w:rPr>
                <w:rFonts w:ascii="Calibri" w:eastAsia="Times New Roman" w:hAnsi="Calibri" w:cs="Calibri"/>
                <w:color w:val="000000"/>
                <w:sz w:val="20"/>
                <w:szCs w:val="20"/>
              </w:rPr>
              <w:t>Gjithsej</w:t>
            </w:r>
          </w:p>
        </w:tc>
        <w:tc>
          <w:tcPr>
            <w:tcW w:w="818" w:type="dxa"/>
            <w:tcBorders>
              <w:top w:val="nil"/>
              <w:left w:val="nil"/>
              <w:bottom w:val="single" w:sz="4" w:space="0" w:color="auto"/>
              <w:right w:val="single" w:sz="4" w:space="0" w:color="auto"/>
            </w:tcBorders>
            <w:shd w:val="clear" w:color="auto" w:fill="auto"/>
            <w:hideMark/>
          </w:tcPr>
          <w:p w:rsidR="005B1E56" w:rsidRPr="00E97254" w:rsidRDefault="004E1F53" w:rsidP="000C0250">
            <w:pPr>
              <w:spacing w:after="0"/>
              <w:jc w:val="right"/>
              <w:rPr>
                <w:rFonts w:ascii="Calibri" w:eastAsia="Times New Roman" w:hAnsi="Calibri" w:cs="Calibri"/>
                <w:b/>
                <w:bCs/>
                <w:color w:val="000000"/>
                <w:sz w:val="20"/>
                <w:szCs w:val="20"/>
              </w:rPr>
            </w:pPr>
            <w:r>
              <w:rPr>
                <w:rFonts w:ascii="Calibri" w:eastAsia="Times New Roman" w:hAnsi="Calibri" w:cs="Calibri"/>
                <w:b/>
                <w:bCs/>
                <w:color w:val="000000"/>
                <w:sz w:val="20"/>
                <w:szCs w:val="20"/>
              </w:rPr>
              <w:t>3,504</w:t>
            </w:r>
          </w:p>
        </w:tc>
        <w:tc>
          <w:tcPr>
            <w:tcW w:w="788" w:type="dxa"/>
            <w:tcBorders>
              <w:top w:val="nil"/>
              <w:left w:val="nil"/>
              <w:bottom w:val="single" w:sz="4" w:space="0" w:color="auto"/>
              <w:right w:val="single" w:sz="4" w:space="0" w:color="auto"/>
            </w:tcBorders>
            <w:shd w:val="clear" w:color="auto" w:fill="auto"/>
            <w:hideMark/>
          </w:tcPr>
          <w:p w:rsidR="005B1E56" w:rsidRPr="00E97254" w:rsidRDefault="004E1F53" w:rsidP="000C0250">
            <w:pPr>
              <w:spacing w:after="0"/>
              <w:jc w:val="right"/>
              <w:rPr>
                <w:rFonts w:ascii="Calibri" w:eastAsia="Times New Roman" w:hAnsi="Calibri" w:cs="Calibri"/>
                <w:b/>
                <w:bCs/>
                <w:color w:val="000000"/>
                <w:sz w:val="20"/>
                <w:szCs w:val="20"/>
              </w:rPr>
            </w:pPr>
            <w:r>
              <w:rPr>
                <w:rFonts w:ascii="Calibri" w:eastAsia="Times New Roman" w:hAnsi="Calibri" w:cs="Calibri"/>
                <w:b/>
                <w:bCs/>
                <w:color w:val="000000"/>
                <w:sz w:val="20"/>
                <w:szCs w:val="20"/>
              </w:rPr>
              <w:t>343</w:t>
            </w:r>
          </w:p>
        </w:tc>
        <w:tc>
          <w:tcPr>
            <w:tcW w:w="818" w:type="dxa"/>
            <w:tcBorders>
              <w:top w:val="nil"/>
              <w:left w:val="nil"/>
              <w:bottom w:val="single" w:sz="4" w:space="0" w:color="auto"/>
              <w:right w:val="single" w:sz="4" w:space="0" w:color="auto"/>
            </w:tcBorders>
            <w:shd w:val="clear" w:color="auto" w:fill="auto"/>
            <w:hideMark/>
          </w:tcPr>
          <w:p w:rsidR="005B1E56" w:rsidRPr="00E97254" w:rsidRDefault="004E1F53" w:rsidP="000C0250">
            <w:pPr>
              <w:spacing w:after="0"/>
              <w:jc w:val="right"/>
              <w:rPr>
                <w:rFonts w:ascii="Calibri" w:eastAsia="Times New Roman" w:hAnsi="Calibri" w:cs="Calibri"/>
                <w:b/>
                <w:bCs/>
                <w:color w:val="000000"/>
                <w:sz w:val="20"/>
                <w:szCs w:val="20"/>
              </w:rPr>
            </w:pPr>
            <w:r>
              <w:rPr>
                <w:rFonts w:ascii="Calibri" w:eastAsia="Times New Roman" w:hAnsi="Calibri" w:cs="Calibri"/>
                <w:b/>
                <w:bCs/>
                <w:color w:val="000000"/>
                <w:sz w:val="20"/>
                <w:szCs w:val="20"/>
              </w:rPr>
              <w:t>3,438</w:t>
            </w:r>
          </w:p>
        </w:tc>
        <w:tc>
          <w:tcPr>
            <w:tcW w:w="788" w:type="dxa"/>
            <w:tcBorders>
              <w:top w:val="nil"/>
              <w:left w:val="nil"/>
              <w:bottom w:val="single" w:sz="4" w:space="0" w:color="auto"/>
              <w:right w:val="single" w:sz="4" w:space="0" w:color="auto"/>
            </w:tcBorders>
            <w:shd w:val="clear" w:color="auto" w:fill="auto"/>
            <w:hideMark/>
          </w:tcPr>
          <w:p w:rsidR="005B1E56" w:rsidRPr="00E97254" w:rsidRDefault="004E1F53" w:rsidP="000C0250">
            <w:pPr>
              <w:spacing w:after="0"/>
              <w:jc w:val="right"/>
              <w:rPr>
                <w:rFonts w:ascii="Calibri" w:eastAsia="Times New Roman" w:hAnsi="Calibri" w:cs="Calibri"/>
                <w:b/>
                <w:bCs/>
                <w:color w:val="000000"/>
                <w:sz w:val="20"/>
                <w:szCs w:val="20"/>
              </w:rPr>
            </w:pPr>
            <w:r>
              <w:rPr>
                <w:rFonts w:ascii="Calibri" w:eastAsia="Times New Roman" w:hAnsi="Calibri" w:cs="Calibri"/>
                <w:b/>
                <w:bCs/>
                <w:color w:val="000000"/>
                <w:sz w:val="20"/>
                <w:szCs w:val="20"/>
              </w:rPr>
              <w:t>363</w:t>
            </w:r>
          </w:p>
        </w:tc>
        <w:tc>
          <w:tcPr>
            <w:tcW w:w="818" w:type="dxa"/>
            <w:tcBorders>
              <w:top w:val="nil"/>
              <w:left w:val="nil"/>
              <w:bottom w:val="single" w:sz="4" w:space="0" w:color="auto"/>
              <w:right w:val="single" w:sz="4" w:space="0" w:color="auto"/>
            </w:tcBorders>
            <w:shd w:val="clear" w:color="auto" w:fill="auto"/>
            <w:hideMark/>
          </w:tcPr>
          <w:p w:rsidR="005B1E56" w:rsidRPr="00E97254" w:rsidRDefault="004E1F53" w:rsidP="000C0250">
            <w:pPr>
              <w:spacing w:after="0"/>
              <w:jc w:val="right"/>
              <w:rPr>
                <w:rFonts w:ascii="Calibri" w:eastAsia="Times New Roman" w:hAnsi="Calibri" w:cs="Calibri"/>
                <w:b/>
                <w:bCs/>
                <w:color w:val="000000"/>
                <w:sz w:val="20"/>
                <w:szCs w:val="20"/>
              </w:rPr>
            </w:pPr>
            <w:r>
              <w:rPr>
                <w:rFonts w:ascii="Calibri" w:eastAsia="Times New Roman" w:hAnsi="Calibri" w:cs="Calibri"/>
                <w:b/>
                <w:bCs/>
                <w:color w:val="000000"/>
                <w:sz w:val="20"/>
                <w:szCs w:val="20"/>
              </w:rPr>
              <w:t>3,460</w:t>
            </w:r>
          </w:p>
        </w:tc>
        <w:tc>
          <w:tcPr>
            <w:tcW w:w="788" w:type="dxa"/>
            <w:tcBorders>
              <w:top w:val="nil"/>
              <w:left w:val="nil"/>
              <w:bottom w:val="single" w:sz="4" w:space="0" w:color="auto"/>
              <w:right w:val="single" w:sz="4" w:space="0" w:color="auto"/>
            </w:tcBorders>
            <w:shd w:val="clear" w:color="auto" w:fill="auto"/>
            <w:hideMark/>
          </w:tcPr>
          <w:p w:rsidR="005B1E56" w:rsidRPr="00E97254" w:rsidRDefault="004E1F53" w:rsidP="000C0250">
            <w:pPr>
              <w:spacing w:after="0"/>
              <w:jc w:val="right"/>
              <w:rPr>
                <w:rFonts w:ascii="Calibri" w:eastAsia="Times New Roman" w:hAnsi="Calibri" w:cs="Calibri"/>
                <w:b/>
                <w:bCs/>
                <w:color w:val="000000"/>
                <w:sz w:val="20"/>
                <w:szCs w:val="20"/>
              </w:rPr>
            </w:pPr>
            <w:r>
              <w:rPr>
                <w:rFonts w:ascii="Calibri" w:eastAsia="Times New Roman" w:hAnsi="Calibri" w:cs="Calibri"/>
                <w:b/>
                <w:bCs/>
                <w:color w:val="000000"/>
                <w:sz w:val="20"/>
                <w:szCs w:val="20"/>
              </w:rPr>
              <w:t>378</w:t>
            </w:r>
          </w:p>
        </w:tc>
        <w:tc>
          <w:tcPr>
            <w:tcW w:w="818" w:type="dxa"/>
            <w:tcBorders>
              <w:top w:val="nil"/>
              <w:left w:val="nil"/>
              <w:bottom w:val="single" w:sz="4" w:space="0" w:color="auto"/>
              <w:right w:val="single" w:sz="4" w:space="0" w:color="auto"/>
            </w:tcBorders>
            <w:shd w:val="clear" w:color="auto" w:fill="auto"/>
            <w:hideMark/>
          </w:tcPr>
          <w:p w:rsidR="005B1E56" w:rsidRPr="00E97254" w:rsidRDefault="004E1F53" w:rsidP="000C0250">
            <w:pPr>
              <w:spacing w:after="0"/>
              <w:jc w:val="right"/>
              <w:rPr>
                <w:rFonts w:ascii="Calibri" w:eastAsia="Times New Roman" w:hAnsi="Calibri" w:cs="Calibri"/>
                <w:b/>
                <w:bCs/>
                <w:color w:val="000000"/>
                <w:sz w:val="20"/>
                <w:szCs w:val="20"/>
              </w:rPr>
            </w:pPr>
            <w:r>
              <w:rPr>
                <w:rFonts w:ascii="Calibri" w:eastAsia="Times New Roman" w:hAnsi="Calibri" w:cs="Calibri"/>
                <w:b/>
                <w:bCs/>
                <w:color w:val="000000"/>
                <w:sz w:val="20"/>
                <w:szCs w:val="20"/>
              </w:rPr>
              <w:t>3,377</w:t>
            </w:r>
          </w:p>
        </w:tc>
        <w:tc>
          <w:tcPr>
            <w:tcW w:w="788" w:type="dxa"/>
            <w:tcBorders>
              <w:top w:val="nil"/>
              <w:left w:val="nil"/>
              <w:bottom w:val="single" w:sz="4" w:space="0" w:color="auto"/>
              <w:right w:val="single" w:sz="4" w:space="0" w:color="auto"/>
            </w:tcBorders>
            <w:shd w:val="clear" w:color="auto" w:fill="auto"/>
            <w:hideMark/>
          </w:tcPr>
          <w:p w:rsidR="005B1E56" w:rsidRPr="00E97254" w:rsidRDefault="004E1F53" w:rsidP="000C0250">
            <w:pPr>
              <w:spacing w:after="0"/>
              <w:jc w:val="right"/>
              <w:rPr>
                <w:rFonts w:ascii="Calibri" w:eastAsia="Times New Roman" w:hAnsi="Calibri" w:cs="Calibri"/>
                <w:b/>
                <w:bCs/>
                <w:color w:val="000000"/>
                <w:sz w:val="20"/>
                <w:szCs w:val="20"/>
              </w:rPr>
            </w:pPr>
            <w:r>
              <w:rPr>
                <w:rFonts w:ascii="Calibri" w:eastAsia="Times New Roman" w:hAnsi="Calibri" w:cs="Calibri"/>
                <w:b/>
                <w:bCs/>
                <w:color w:val="000000"/>
                <w:sz w:val="20"/>
                <w:szCs w:val="20"/>
              </w:rPr>
              <w:t>382</w:t>
            </w:r>
          </w:p>
        </w:tc>
        <w:tc>
          <w:tcPr>
            <w:tcW w:w="818" w:type="dxa"/>
            <w:tcBorders>
              <w:top w:val="nil"/>
              <w:left w:val="nil"/>
              <w:bottom w:val="single" w:sz="4" w:space="0" w:color="auto"/>
              <w:right w:val="single" w:sz="4" w:space="0" w:color="auto"/>
            </w:tcBorders>
            <w:shd w:val="clear" w:color="auto" w:fill="auto"/>
            <w:hideMark/>
          </w:tcPr>
          <w:p w:rsidR="005B1E56" w:rsidRPr="00E97254" w:rsidRDefault="004E1F53" w:rsidP="000C0250">
            <w:pPr>
              <w:spacing w:after="0"/>
              <w:jc w:val="right"/>
              <w:rPr>
                <w:rFonts w:ascii="Calibri" w:eastAsia="Times New Roman" w:hAnsi="Calibri" w:cs="Calibri"/>
                <w:b/>
                <w:bCs/>
                <w:color w:val="000000"/>
                <w:sz w:val="20"/>
                <w:szCs w:val="20"/>
              </w:rPr>
            </w:pPr>
            <w:r>
              <w:rPr>
                <w:rFonts w:ascii="Calibri" w:eastAsia="Times New Roman" w:hAnsi="Calibri" w:cs="Calibri"/>
                <w:b/>
                <w:bCs/>
                <w:color w:val="000000"/>
                <w:sz w:val="20"/>
                <w:szCs w:val="20"/>
              </w:rPr>
              <w:t>3,427</w:t>
            </w:r>
          </w:p>
        </w:tc>
        <w:tc>
          <w:tcPr>
            <w:tcW w:w="788" w:type="dxa"/>
            <w:tcBorders>
              <w:top w:val="nil"/>
              <w:left w:val="nil"/>
              <w:bottom w:val="single" w:sz="4" w:space="0" w:color="auto"/>
              <w:right w:val="single" w:sz="4" w:space="0" w:color="auto"/>
            </w:tcBorders>
            <w:shd w:val="clear" w:color="auto" w:fill="auto"/>
            <w:hideMark/>
          </w:tcPr>
          <w:p w:rsidR="005B1E56" w:rsidRPr="00E97254" w:rsidRDefault="004E1F53" w:rsidP="000C0250">
            <w:pPr>
              <w:spacing w:after="0"/>
              <w:jc w:val="right"/>
              <w:rPr>
                <w:rFonts w:ascii="Calibri" w:eastAsia="Times New Roman" w:hAnsi="Calibri" w:cs="Calibri"/>
                <w:b/>
                <w:bCs/>
                <w:color w:val="000000"/>
                <w:sz w:val="20"/>
                <w:szCs w:val="20"/>
              </w:rPr>
            </w:pPr>
            <w:r>
              <w:rPr>
                <w:rFonts w:ascii="Calibri" w:eastAsia="Times New Roman" w:hAnsi="Calibri" w:cs="Calibri"/>
                <w:b/>
                <w:bCs/>
                <w:color w:val="000000"/>
                <w:sz w:val="20"/>
                <w:szCs w:val="20"/>
              </w:rPr>
              <w:t>402</w:t>
            </w:r>
          </w:p>
        </w:tc>
      </w:tr>
    </w:tbl>
    <w:p w:rsidR="00E257B3" w:rsidRPr="00E97254" w:rsidRDefault="00E257B3" w:rsidP="000C0250">
      <w:pPr>
        <w:spacing w:before="240" w:after="0"/>
        <w:jc w:val="both"/>
        <w:rPr>
          <w:rFonts w:ascii="Calibri" w:hAnsi="Calibri" w:cs="Calibri"/>
          <w:b/>
          <w:szCs w:val="32"/>
        </w:rPr>
      </w:pPr>
      <w:bookmarkStart w:id="59" w:name="_Ref42681248"/>
      <w:bookmarkStart w:id="60" w:name="_Toc66802058"/>
    </w:p>
    <w:p w:rsidR="000A1512" w:rsidRPr="00E97254" w:rsidRDefault="004E1F53" w:rsidP="000C0250">
      <w:pPr>
        <w:spacing w:before="240" w:after="0"/>
        <w:jc w:val="both"/>
        <w:rPr>
          <w:rFonts w:ascii="Calibri" w:hAnsi="Calibri" w:cs="Calibri"/>
          <w:szCs w:val="32"/>
        </w:rPr>
      </w:pPr>
      <w:r>
        <w:rPr>
          <w:rFonts w:ascii="Calibri" w:hAnsi="Calibri" w:cs="Calibri"/>
          <w:b/>
          <w:szCs w:val="32"/>
        </w:rPr>
        <w:t xml:space="preserve">Figura </w:t>
      </w:r>
      <w:r w:rsidR="00EC56B7" w:rsidRPr="00E97254">
        <w:rPr>
          <w:rFonts w:ascii="Calibri" w:hAnsi="Calibri" w:cs="Calibri"/>
          <w:b/>
          <w:szCs w:val="32"/>
        </w:rPr>
        <w:fldChar w:fldCharType="begin"/>
      </w:r>
      <w:r>
        <w:rPr>
          <w:rFonts w:ascii="Calibri" w:hAnsi="Calibri" w:cs="Calibri"/>
          <w:b/>
          <w:szCs w:val="32"/>
        </w:rPr>
        <w:instrText xml:space="preserve"> SEQ Figura \* ARABIC </w:instrText>
      </w:r>
      <w:r w:rsidR="00EC56B7" w:rsidRPr="00E97254">
        <w:rPr>
          <w:rFonts w:ascii="Calibri" w:hAnsi="Calibri" w:cs="Calibri"/>
          <w:b/>
          <w:szCs w:val="32"/>
        </w:rPr>
        <w:fldChar w:fldCharType="separate"/>
      </w:r>
      <w:r w:rsidR="005A6200" w:rsidRPr="00E97254">
        <w:rPr>
          <w:rFonts w:ascii="Calibri" w:hAnsi="Calibri" w:cs="Calibri"/>
          <w:b/>
          <w:szCs w:val="32"/>
        </w:rPr>
        <w:t>5</w:t>
      </w:r>
      <w:r w:rsidR="00EC56B7" w:rsidRPr="00E97254">
        <w:rPr>
          <w:rFonts w:ascii="Calibri" w:hAnsi="Calibri" w:cs="Calibri"/>
          <w:b/>
          <w:szCs w:val="32"/>
        </w:rPr>
        <w:fldChar w:fldCharType="end"/>
      </w:r>
      <w:bookmarkEnd w:id="59"/>
      <w:r w:rsidR="000A1512" w:rsidRPr="00E97254">
        <w:rPr>
          <w:rFonts w:ascii="Calibri" w:hAnsi="Calibri" w:cs="Calibri"/>
          <w:b/>
          <w:szCs w:val="32"/>
        </w:rPr>
        <w:t>.</w:t>
      </w:r>
      <w:r w:rsidR="000A1512" w:rsidRPr="00E97254">
        <w:rPr>
          <w:rFonts w:ascii="Calibri" w:hAnsi="Calibri" w:cs="Calibri"/>
          <w:szCs w:val="32"/>
        </w:rPr>
        <w:t xml:space="preserve"> Numri i fëmijëve/nxënësve në arsimin parauniversitar sipas niveleve </w:t>
      </w:r>
      <w:sdt>
        <w:sdtPr>
          <w:rPr>
            <w:rFonts w:ascii="Calibri" w:hAnsi="Calibri" w:cs="Calibri"/>
            <w:szCs w:val="32"/>
          </w:rPr>
          <w:id w:val="417147515"/>
          <w:citation/>
        </w:sdtPr>
        <w:sdtEndPr/>
        <w:sdtContent>
          <w:r w:rsidR="00EC56B7" w:rsidRPr="00E97254">
            <w:rPr>
              <w:rFonts w:ascii="Calibri" w:hAnsi="Calibri" w:cs="Calibri"/>
              <w:szCs w:val="32"/>
            </w:rPr>
            <w:fldChar w:fldCharType="begin"/>
          </w:r>
          <w:r>
            <w:rPr>
              <w:rFonts w:ascii="Calibri" w:hAnsi="Calibri" w:cs="Calibri"/>
              <w:szCs w:val="32"/>
            </w:rPr>
            <w:instrText xml:space="preserve"> CITATION INS192 \l 1033 </w:instrText>
          </w:r>
          <w:r w:rsidR="00EC56B7" w:rsidRPr="00E97254">
            <w:rPr>
              <w:rFonts w:ascii="Calibri" w:hAnsi="Calibri" w:cs="Calibri"/>
              <w:szCs w:val="32"/>
            </w:rPr>
            <w:fldChar w:fldCharType="separate"/>
          </w:r>
          <w:r w:rsidR="00724BCC" w:rsidRPr="00E97254">
            <w:rPr>
              <w:rFonts w:ascii="Calibri" w:hAnsi="Calibri" w:cs="Calibri"/>
              <w:szCs w:val="32"/>
            </w:rPr>
            <w:t>[33]</w:t>
          </w:r>
          <w:r w:rsidR="00EC56B7" w:rsidRPr="00E97254">
            <w:rPr>
              <w:rFonts w:ascii="Calibri" w:hAnsi="Calibri" w:cs="Calibri"/>
              <w:szCs w:val="32"/>
            </w:rPr>
            <w:fldChar w:fldCharType="end"/>
          </w:r>
        </w:sdtContent>
      </w:sdt>
      <w:bookmarkEnd w:id="60"/>
    </w:p>
    <w:p w:rsidR="00226431" w:rsidRPr="00E97254" w:rsidRDefault="00B91568" w:rsidP="000C0250">
      <w:pPr>
        <w:jc w:val="both"/>
        <w:rPr>
          <w:rFonts w:ascii="Calibri" w:hAnsi="Calibri" w:cs="Calibri"/>
        </w:rPr>
      </w:pPr>
      <w:r w:rsidRPr="00E97254">
        <w:rPr>
          <w:rFonts w:cs="Calibri"/>
          <w:noProof/>
          <w:sz w:val="32"/>
          <w:szCs w:val="32"/>
          <w:lang w:val="en-US"/>
        </w:rPr>
        <w:drawing>
          <wp:inline distT="0" distB="0" distL="0" distR="0">
            <wp:extent cx="4545572" cy="2142114"/>
            <wp:effectExtent l="0" t="0" r="7620" b="0"/>
            <wp:docPr id="473"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7">
                      <a:extLst>
                        <a:ext uri="{28A0092B-C50C-407E-A947-70E740481C1C}">
                          <a14:useLocalDpi xmlns:a14="http://schemas.microsoft.com/office/drawing/2010/main" val="0"/>
                        </a:ext>
                      </a:extLst>
                    </a:blip>
                    <a:srcRect l="1709" t="1990" r="1266" b="20615"/>
                    <a:stretch>
                      <a:fillRect/>
                    </a:stretch>
                  </pic:blipFill>
                  <pic:spPr bwMode="auto">
                    <a:xfrm>
                      <a:off x="0" y="0"/>
                      <a:ext cx="4556466" cy="2147248"/>
                    </a:xfrm>
                    <a:prstGeom prst="rect">
                      <a:avLst/>
                    </a:prstGeom>
                    <a:noFill/>
                    <a:ln>
                      <a:noFill/>
                    </a:ln>
                  </pic:spPr>
                </pic:pic>
              </a:graphicData>
            </a:graphic>
          </wp:inline>
        </w:drawing>
      </w:r>
    </w:p>
    <w:p w:rsidR="002D1A75" w:rsidRPr="00E97254" w:rsidRDefault="008D102D" w:rsidP="000C0250">
      <w:pPr>
        <w:jc w:val="both"/>
        <w:rPr>
          <w:rFonts w:ascii="Calibri" w:hAnsi="Calibri" w:cs="Calibri"/>
        </w:rPr>
      </w:pPr>
      <w:r>
        <w:fldChar w:fldCharType="begin"/>
      </w:r>
      <w:r>
        <w:instrText xml:space="preserve"> REF _Ref42688304 \h  \* MERGEFORMAT </w:instrText>
      </w:r>
      <w:r>
        <w:fldChar w:fldCharType="separate"/>
      </w:r>
      <w:r w:rsidR="005A6200" w:rsidRPr="00E97254">
        <w:rPr>
          <w:rFonts w:ascii="Calibri" w:hAnsi="Calibri" w:cs="Calibri"/>
        </w:rPr>
        <w:t>Tabela 6</w:t>
      </w:r>
      <w:r>
        <w:fldChar w:fldCharType="end"/>
      </w:r>
      <w:r w:rsidR="00067E4D" w:rsidRPr="00E97254">
        <w:rPr>
          <w:rFonts w:ascii="Calibri" w:hAnsi="Calibri" w:cs="Calibri"/>
        </w:rPr>
        <w:t xml:space="preserve"> </w:t>
      </w:r>
      <w:r w:rsidR="00E365BA" w:rsidRPr="00E97254">
        <w:rPr>
          <w:rFonts w:cs="Calibri"/>
        </w:rPr>
        <w:t>tregon</w:t>
      </w:r>
      <w:r w:rsidR="00CE44E2" w:rsidRPr="00E97254">
        <w:rPr>
          <w:rFonts w:ascii="Calibri" w:hAnsi="Calibri" w:cs="Calibri"/>
        </w:rPr>
        <w:t xml:space="preserve"> një pasqyrë të raportit neto të regjistrimit (NER)</w:t>
      </w:r>
      <w:r w:rsidR="00CE44E2" w:rsidRPr="00E97254">
        <w:rPr>
          <w:rStyle w:val="FootnoteReference"/>
          <w:rFonts w:ascii="Calibri" w:hAnsi="Calibri" w:cs="Calibri"/>
        </w:rPr>
        <w:footnoteReference w:id="3"/>
      </w:r>
      <w:r w:rsidR="00CE44E2" w:rsidRPr="00E97254">
        <w:rPr>
          <w:rFonts w:ascii="Calibri" w:hAnsi="Calibri" w:cs="Calibri"/>
        </w:rPr>
        <w:t xml:space="preserve"> sipas niveleve të arsimit parauniversitar. </w:t>
      </w:r>
      <w:r w:rsidR="00B02BAD" w:rsidRPr="00E97254">
        <w:rPr>
          <w:rFonts w:ascii="Calibri" w:hAnsi="Calibri" w:cs="Calibri"/>
        </w:rPr>
        <w:t>Duke krahasuar me të dhënat e UNESCO</w:t>
      </w:r>
      <w:r w:rsidR="00F437A8">
        <w:rPr>
          <w:rFonts w:ascii="Calibri" w:hAnsi="Calibri" w:cs="Calibri"/>
        </w:rPr>
        <w:t>-s</w:t>
      </w:r>
      <w:r w:rsidR="00B02BAD" w:rsidRPr="00E97254">
        <w:rPr>
          <w:rStyle w:val="FootnoteReference"/>
          <w:rFonts w:ascii="Calibri" w:hAnsi="Calibri" w:cs="Calibri"/>
        </w:rPr>
        <w:footnoteReference w:id="4"/>
      </w:r>
      <w:r w:rsidR="00B02BAD" w:rsidRPr="00E97254">
        <w:rPr>
          <w:rFonts w:ascii="Calibri" w:hAnsi="Calibri" w:cs="Calibri"/>
        </w:rPr>
        <w:t xml:space="preserve">, vërehet se pjesëmarrja në arsimin parashkollor në </w:t>
      </w:r>
      <w:r w:rsidR="00E365BA" w:rsidRPr="00E97254">
        <w:rPr>
          <w:rFonts w:cs="Calibri"/>
        </w:rPr>
        <w:t>Shqipëri</w:t>
      </w:r>
      <w:r w:rsidR="00B02BAD" w:rsidRPr="00E97254">
        <w:rPr>
          <w:rFonts w:ascii="Calibri" w:hAnsi="Calibri" w:cs="Calibri"/>
        </w:rPr>
        <w:t xml:space="preserve"> është e një shkalle më të lartë se në Serbi -61.9% (2018), Malin e Zi - 67.3% (2018) dhe Maqedoninë e Veriut - 35.5% (2017).</w:t>
      </w:r>
      <w:r w:rsidR="004E1F53">
        <w:rPr>
          <w:rFonts w:ascii="Calibri" w:hAnsi="Calibri" w:cs="Calibri"/>
        </w:rPr>
        <w:t xml:space="preserve"> Pjesëmarrja në arsimin fillor është mbi nivelin e vendeve të </w:t>
      </w:r>
      <w:r w:rsidR="004E1F53">
        <w:rPr>
          <w:rFonts w:cs="Calibri"/>
        </w:rPr>
        <w:t>Evropës</w:t>
      </w:r>
      <w:r w:rsidR="004E1F53">
        <w:rPr>
          <w:rFonts w:ascii="Calibri" w:hAnsi="Calibri" w:cs="Calibri"/>
        </w:rPr>
        <w:t xml:space="preserve"> Qendrore dhe Lindore – 91.8% (2018), ndërsa në arsimin e mesëm të ulët </w:t>
      </w:r>
      <w:r w:rsidR="00F437A8">
        <w:rPr>
          <w:rFonts w:ascii="Calibri" w:hAnsi="Calibri" w:cs="Calibri"/>
        </w:rPr>
        <w:t xml:space="preserve">- </w:t>
      </w:r>
      <w:r w:rsidR="00D86A0E" w:rsidRPr="00E97254">
        <w:rPr>
          <w:rFonts w:ascii="Calibri" w:hAnsi="Calibri" w:cs="Calibri"/>
        </w:rPr>
        <w:t>pak nën nivelin e këtyre vendeve – 90.8% (2018).</w:t>
      </w:r>
      <w:r w:rsidR="004E1F53">
        <w:rPr>
          <w:rFonts w:ascii="Calibri" w:hAnsi="Calibri" w:cs="Calibri"/>
        </w:rPr>
        <w:t xml:space="preserve"> Tërheqja në arsimin e mesëm të lartë është e konsiderueshme – 94.9%, megjithatë, ekzistojnë dallime thelbësore </w:t>
      </w:r>
      <w:r w:rsidR="00430AE7">
        <w:rPr>
          <w:rFonts w:ascii="Calibri" w:hAnsi="Calibri" w:cs="Calibri"/>
        </w:rPr>
        <w:t>nd</w:t>
      </w:r>
      <w:r w:rsidR="00430AE7" w:rsidRPr="00E97254">
        <w:rPr>
          <w:rFonts w:ascii="Calibri" w:hAnsi="Calibri" w:cs="Calibri"/>
        </w:rPr>
        <w:t>ë</w:t>
      </w:r>
      <w:r w:rsidR="00430AE7">
        <w:rPr>
          <w:rFonts w:ascii="Calibri" w:hAnsi="Calibri" w:cs="Calibri"/>
        </w:rPr>
        <w:t>rmjet</w:t>
      </w:r>
      <w:r w:rsidR="00DA04BC" w:rsidRPr="00E97254">
        <w:rPr>
          <w:rFonts w:ascii="Calibri" w:hAnsi="Calibri" w:cs="Calibri"/>
        </w:rPr>
        <w:t xml:space="preserve"> tërheqjes së</w:t>
      </w:r>
      <w:r w:rsidR="002B257B" w:rsidRPr="00E97254">
        <w:rPr>
          <w:rFonts w:ascii="Calibri" w:hAnsi="Calibri" w:cs="Calibri"/>
        </w:rPr>
        <w:t xml:space="preserve"> </w:t>
      </w:r>
      <w:r w:rsidR="00DA04BC" w:rsidRPr="00E97254">
        <w:rPr>
          <w:rFonts w:ascii="Calibri" w:hAnsi="Calibri" w:cs="Calibri"/>
        </w:rPr>
        <w:t xml:space="preserve">djemve </w:t>
      </w:r>
      <w:r w:rsidR="009336F3" w:rsidRPr="00E97254">
        <w:rPr>
          <w:rFonts w:ascii="Calibri" w:hAnsi="Calibri" w:cs="Calibri"/>
        </w:rPr>
        <w:t>(98.3%) dhe vajzave (91.4%)</w:t>
      </w:r>
      <w:r w:rsidR="002B257B" w:rsidRPr="00E97254">
        <w:rPr>
          <w:rFonts w:ascii="Calibri" w:hAnsi="Calibri" w:cs="Calibri"/>
        </w:rPr>
        <w:t xml:space="preserve"> </w:t>
      </w:r>
      <w:sdt>
        <w:sdtPr>
          <w:rPr>
            <w:rFonts w:ascii="Calibri" w:hAnsi="Calibri" w:cs="Calibri"/>
          </w:rPr>
          <w:id w:val="-390263843"/>
          <w:citation/>
        </w:sdtPr>
        <w:sdtEndPr/>
        <w:sdtContent>
          <w:r w:rsidR="00EC56B7" w:rsidRPr="00E97254">
            <w:rPr>
              <w:rFonts w:ascii="Calibri" w:hAnsi="Calibri" w:cs="Calibri"/>
            </w:rPr>
            <w:fldChar w:fldCharType="begin"/>
          </w:r>
          <w:r w:rsidR="004E1F53">
            <w:rPr>
              <w:rFonts w:ascii="Calibri" w:hAnsi="Calibri" w:cs="Calibri"/>
            </w:rPr>
            <w:instrText xml:space="preserve"> CITATION Wor19 \l 1033 </w:instrText>
          </w:r>
          <w:r w:rsidR="00EC56B7" w:rsidRPr="00E97254">
            <w:rPr>
              <w:rFonts w:ascii="Calibri" w:hAnsi="Calibri" w:cs="Calibri"/>
            </w:rPr>
            <w:fldChar w:fldCharType="separate"/>
          </w:r>
          <w:r w:rsidR="00724BCC" w:rsidRPr="00E97254">
            <w:rPr>
              <w:rFonts w:ascii="Calibri" w:hAnsi="Calibri" w:cs="Calibri"/>
            </w:rPr>
            <w:t>[37]</w:t>
          </w:r>
          <w:r w:rsidR="00EC56B7" w:rsidRPr="00E97254">
            <w:rPr>
              <w:rFonts w:ascii="Calibri" w:hAnsi="Calibri" w:cs="Calibri"/>
            </w:rPr>
            <w:fldChar w:fldCharType="end"/>
          </w:r>
        </w:sdtContent>
      </w:sdt>
      <w:r w:rsidR="00DA04BC" w:rsidRPr="00E97254">
        <w:rPr>
          <w:rFonts w:ascii="Calibri" w:hAnsi="Calibri" w:cs="Calibri"/>
        </w:rPr>
        <w:t>.</w:t>
      </w:r>
    </w:p>
    <w:p w:rsidR="00AE2DC4" w:rsidRPr="00E97254" w:rsidRDefault="00AE2DC4" w:rsidP="000C0250">
      <w:pPr>
        <w:pStyle w:val="Caption"/>
        <w:keepNext/>
        <w:spacing w:line="276" w:lineRule="auto"/>
        <w:rPr>
          <w:rFonts w:ascii="Calibri" w:hAnsi="Calibri" w:cs="Calibri"/>
          <w:b w:val="0"/>
          <w:color w:val="auto"/>
          <w:sz w:val="22"/>
          <w:szCs w:val="22"/>
        </w:rPr>
      </w:pPr>
      <w:bookmarkStart w:id="61" w:name="_Ref42688304"/>
      <w:bookmarkStart w:id="62" w:name="_Toc66802040"/>
      <w:r w:rsidRPr="00E97254">
        <w:rPr>
          <w:rFonts w:ascii="Calibri" w:hAnsi="Calibri" w:cs="Calibri"/>
          <w:color w:val="auto"/>
          <w:sz w:val="22"/>
          <w:szCs w:val="22"/>
        </w:rPr>
        <w:lastRenderedPageBreak/>
        <w:t xml:space="preserve">Tabela </w:t>
      </w:r>
      <w:r w:rsidR="00EC56B7" w:rsidRPr="00FA5606">
        <w:rPr>
          <w:rFonts w:ascii="Calibri" w:hAnsi="Calibri" w:cs="Calibri"/>
          <w:color w:val="auto"/>
          <w:sz w:val="22"/>
          <w:szCs w:val="22"/>
        </w:rPr>
        <w:fldChar w:fldCharType="begin"/>
      </w:r>
      <w:r w:rsidR="00FA5606" w:rsidRPr="00FA5606">
        <w:rPr>
          <w:rFonts w:ascii="Calibri" w:hAnsi="Calibri" w:cs="Calibri"/>
          <w:color w:val="auto"/>
          <w:sz w:val="22"/>
          <w:szCs w:val="22"/>
        </w:rPr>
        <w:instrText xml:space="preserve"> SEQ Tabela \* ARABIC </w:instrText>
      </w:r>
      <w:r w:rsidR="00EC56B7" w:rsidRPr="00FA5606">
        <w:rPr>
          <w:rFonts w:ascii="Calibri" w:hAnsi="Calibri" w:cs="Calibri"/>
          <w:color w:val="auto"/>
          <w:sz w:val="22"/>
          <w:szCs w:val="22"/>
        </w:rPr>
        <w:fldChar w:fldCharType="separate"/>
      </w:r>
      <w:r w:rsidR="00FA5606" w:rsidRPr="00FA5606">
        <w:rPr>
          <w:rFonts w:ascii="Calibri" w:hAnsi="Calibri" w:cs="Calibri"/>
          <w:color w:val="auto"/>
          <w:sz w:val="22"/>
          <w:szCs w:val="22"/>
        </w:rPr>
        <w:t>6</w:t>
      </w:r>
      <w:r w:rsidR="00EC56B7" w:rsidRPr="00FA5606">
        <w:rPr>
          <w:rFonts w:ascii="Calibri" w:hAnsi="Calibri" w:cs="Calibri"/>
          <w:color w:val="auto"/>
          <w:sz w:val="22"/>
          <w:szCs w:val="22"/>
        </w:rPr>
        <w:fldChar w:fldCharType="end"/>
      </w:r>
      <w:bookmarkEnd w:id="61"/>
      <w:r w:rsidR="00FA5606" w:rsidRPr="00FA5606">
        <w:rPr>
          <w:rFonts w:ascii="Calibri" w:hAnsi="Calibri" w:cs="Calibri"/>
          <w:color w:val="auto"/>
          <w:sz w:val="22"/>
          <w:szCs w:val="22"/>
        </w:rPr>
        <w:t>.</w:t>
      </w:r>
      <w:r w:rsidR="004E1F53" w:rsidRPr="004E1F53">
        <w:rPr>
          <w:rFonts w:ascii="Calibri" w:hAnsi="Calibri" w:cs="Calibri"/>
          <w:b w:val="0"/>
          <w:color w:val="auto"/>
          <w:sz w:val="22"/>
          <w:szCs w:val="22"/>
        </w:rPr>
        <w:t xml:space="preserve"> </w:t>
      </w:r>
      <w:r w:rsidR="004E1F53" w:rsidRPr="004E1F53">
        <w:rPr>
          <w:rFonts w:ascii="Calibri" w:hAnsi="Calibri" w:cs="Calibri"/>
          <w:b w:val="0"/>
          <w:color w:val="auto"/>
          <w:sz w:val="24"/>
          <w:szCs w:val="24"/>
        </w:rPr>
        <w:t>Ra</w:t>
      </w:r>
      <w:r w:rsidR="004E1F53" w:rsidRPr="004E1F53">
        <w:rPr>
          <w:rFonts w:ascii="Calibri" w:hAnsi="Calibri" w:cs="Calibri"/>
          <w:b w:val="0"/>
          <w:color w:val="auto"/>
          <w:sz w:val="22"/>
          <w:szCs w:val="22"/>
        </w:rPr>
        <w:t xml:space="preserve">porti bruto (GER) dhe neto (NER) i regjistrimit në arsimin parauniversitar sipas niveleve </w:t>
      </w:r>
      <w:sdt>
        <w:sdtPr>
          <w:rPr>
            <w:rFonts w:ascii="Calibri" w:hAnsi="Calibri" w:cs="Calibri"/>
            <w:b w:val="0"/>
            <w:color w:val="auto"/>
            <w:sz w:val="22"/>
            <w:szCs w:val="22"/>
          </w:rPr>
          <w:id w:val="-802236964"/>
          <w:citation/>
        </w:sdtPr>
        <w:sdtEndPr/>
        <w:sdtContent>
          <w:r w:rsidR="00EC56B7" w:rsidRPr="004E1F53">
            <w:rPr>
              <w:rFonts w:ascii="Calibri" w:hAnsi="Calibri" w:cs="Calibri"/>
              <w:b w:val="0"/>
              <w:color w:val="auto"/>
              <w:sz w:val="22"/>
              <w:szCs w:val="22"/>
            </w:rPr>
            <w:fldChar w:fldCharType="begin"/>
          </w:r>
          <w:r w:rsidR="00D82E63" w:rsidRPr="00D82E63">
            <w:rPr>
              <w:rFonts w:ascii="Calibri" w:hAnsi="Calibri" w:cs="Calibri"/>
              <w:b w:val="0"/>
              <w:color w:val="auto"/>
              <w:sz w:val="22"/>
              <w:szCs w:val="22"/>
            </w:rPr>
            <w:instrText xml:space="preserve"> CITATION INS192 \l 1033 </w:instrText>
          </w:r>
          <w:r w:rsidR="00EC56B7" w:rsidRPr="004E1F53">
            <w:rPr>
              <w:rFonts w:ascii="Calibri" w:hAnsi="Calibri" w:cs="Calibri"/>
              <w:b w:val="0"/>
              <w:color w:val="auto"/>
              <w:sz w:val="22"/>
              <w:szCs w:val="22"/>
            </w:rPr>
            <w:fldChar w:fldCharType="separate"/>
          </w:r>
          <w:r w:rsidR="00FA5606" w:rsidRPr="00FA5606">
            <w:rPr>
              <w:rFonts w:ascii="Calibri" w:hAnsi="Calibri" w:cs="Calibri"/>
              <w:color w:val="auto"/>
              <w:sz w:val="22"/>
              <w:szCs w:val="22"/>
            </w:rPr>
            <w:t>[33]</w:t>
          </w:r>
          <w:r w:rsidR="00EC56B7" w:rsidRPr="004E1F53">
            <w:rPr>
              <w:rFonts w:ascii="Calibri" w:hAnsi="Calibri" w:cs="Calibri"/>
              <w:b w:val="0"/>
              <w:color w:val="auto"/>
              <w:sz w:val="22"/>
              <w:szCs w:val="22"/>
            </w:rPr>
            <w:fldChar w:fldCharType="end"/>
          </w:r>
        </w:sdtContent>
      </w:sdt>
      <w:bookmarkEnd w:id="62"/>
    </w:p>
    <w:tbl>
      <w:tblPr>
        <w:tblW w:w="9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3"/>
        <w:gridCol w:w="1859"/>
        <w:gridCol w:w="670"/>
        <w:gridCol w:w="667"/>
        <w:gridCol w:w="670"/>
        <w:gridCol w:w="667"/>
        <w:gridCol w:w="670"/>
        <w:gridCol w:w="667"/>
        <w:gridCol w:w="670"/>
        <w:gridCol w:w="667"/>
        <w:gridCol w:w="670"/>
        <w:gridCol w:w="667"/>
      </w:tblGrid>
      <w:tr w:rsidR="00492D45" w:rsidRPr="00E97254" w:rsidTr="00595755">
        <w:trPr>
          <w:trHeight w:val="300"/>
        </w:trPr>
        <w:tc>
          <w:tcPr>
            <w:tcW w:w="613" w:type="dxa"/>
            <w:vMerge w:val="restart"/>
            <w:shd w:val="clear" w:color="auto" w:fill="auto"/>
          </w:tcPr>
          <w:p w:rsidR="00492D45" w:rsidRPr="00E97254" w:rsidRDefault="004E1F53" w:rsidP="000C0250">
            <w:pPr>
              <w:spacing w:after="0"/>
              <w:jc w:val="center"/>
              <w:rPr>
                <w:rFonts w:eastAsia="Times New Roman" w:cstheme="minorHAnsi"/>
                <w:color w:val="000000"/>
                <w:sz w:val="18"/>
                <w:szCs w:val="18"/>
              </w:rPr>
            </w:pPr>
            <w:r>
              <w:rPr>
                <w:rFonts w:eastAsia="Times New Roman" w:cstheme="minorHAnsi"/>
                <w:color w:val="000000"/>
                <w:sz w:val="18"/>
                <w:szCs w:val="18"/>
              </w:rPr>
              <w:t>KNSA</w:t>
            </w:r>
          </w:p>
        </w:tc>
        <w:tc>
          <w:tcPr>
            <w:tcW w:w="1859" w:type="dxa"/>
            <w:vMerge w:val="restart"/>
            <w:shd w:val="clear" w:color="auto" w:fill="auto"/>
          </w:tcPr>
          <w:p w:rsidR="00492D45" w:rsidRPr="00E97254" w:rsidRDefault="004E1F53" w:rsidP="000C0250">
            <w:pPr>
              <w:spacing w:after="0"/>
              <w:jc w:val="center"/>
              <w:rPr>
                <w:rFonts w:eastAsia="Times New Roman" w:cstheme="minorHAnsi"/>
                <w:color w:val="000000"/>
                <w:sz w:val="18"/>
                <w:szCs w:val="18"/>
              </w:rPr>
            </w:pPr>
            <w:r>
              <w:rPr>
                <w:rFonts w:eastAsia="Times New Roman" w:cstheme="minorHAnsi"/>
                <w:color w:val="000000"/>
                <w:sz w:val="18"/>
                <w:szCs w:val="18"/>
              </w:rPr>
              <w:t>Përshkrimi</w:t>
            </w:r>
          </w:p>
        </w:tc>
        <w:tc>
          <w:tcPr>
            <w:tcW w:w="1337" w:type="dxa"/>
            <w:gridSpan w:val="2"/>
            <w:shd w:val="clear" w:color="auto" w:fill="auto"/>
          </w:tcPr>
          <w:p w:rsidR="00492D45" w:rsidRPr="00E97254" w:rsidRDefault="004E1F53" w:rsidP="000C0250">
            <w:pPr>
              <w:spacing w:after="0"/>
              <w:jc w:val="center"/>
              <w:rPr>
                <w:rFonts w:eastAsia="Times New Roman" w:cstheme="minorHAnsi"/>
                <w:color w:val="000000"/>
                <w:sz w:val="18"/>
                <w:szCs w:val="18"/>
              </w:rPr>
            </w:pPr>
            <w:r>
              <w:rPr>
                <w:rFonts w:eastAsia="Times New Roman" w:cstheme="minorHAnsi"/>
                <w:color w:val="000000"/>
                <w:sz w:val="18"/>
                <w:szCs w:val="18"/>
              </w:rPr>
              <w:t>2014/15</w:t>
            </w:r>
          </w:p>
        </w:tc>
        <w:tc>
          <w:tcPr>
            <w:tcW w:w="1337" w:type="dxa"/>
            <w:gridSpan w:val="2"/>
            <w:shd w:val="clear" w:color="auto" w:fill="auto"/>
          </w:tcPr>
          <w:p w:rsidR="00492D45" w:rsidRPr="00E97254" w:rsidRDefault="004E1F53" w:rsidP="000C0250">
            <w:pPr>
              <w:spacing w:after="0"/>
              <w:jc w:val="center"/>
              <w:rPr>
                <w:rFonts w:eastAsia="Times New Roman" w:cstheme="minorHAnsi"/>
                <w:color w:val="000000"/>
                <w:sz w:val="18"/>
                <w:szCs w:val="18"/>
              </w:rPr>
            </w:pPr>
            <w:r>
              <w:rPr>
                <w:rFonts w:eastAsia="Times New Roman" w:cstheme="minorHAnsi"/>
                <w:color w:val="000000"/>
                <w:sz w:val="18"/>
                <w:szCs w:val="18"/>
              </w:rPr>
              <w:t>2015/16</w:t>
            </w:r>
          </w:p>
        </w:tc>
        <w:tc>
          <w:tcPr>
            <w:tcW w:w="1337" w:type="dxa"/>
            <w:gridSpan w:val="2"/>
            <w:shd w:val="clear" w:color="auto" w:fill="auto"/>
          </w:tcPr>
          <w:p w:rsidR="00492D45" w:rsidRPr="00E97254" w:rsidRDefault="004E1F53" w:rsidP="000C0250">
            <w:pPr>
              <w:spacing w:after="0"/>
              <w:jc w:val="center"/>
              <w:rPr>
                <w:rFonts w:eastAsia="Times New Roman" w:cstheme="minorHAnsi"/>
                <w:color w:val="000000"/>
                <w:sz w:val="18"/>
                <w:szCs w:val="18"/>
              </w:rPr>
            </w:pPr>
            <w:r>
              <w:rPr>
                <w:rFonts w:eastAsia="Times New Roman" w:cstheme="minorHAnsi"/>
                <w:color w:val="000000"/>
                <w:sz w:val="18"/>
                <w:szCs w:val="18"/>
              </w:rPr>
              <w:t>2016/17</w:t>
            </w:r>
          </w:p>
        </w:tc>
        <w:tc>
          <w:tcPr>
            <w:tcW w:w="1337" w:type="dxa"/>
            <w:gridSpan w:val="2"/>
          </w:tcPr>
          <w:p w:rsidR="00492D45" w:rsidRPr="00E97254" w:rsidRDefault="004E1F53" w:rsidP="000C0250">
            <w:pPr>
              <w:spacing w:after="0"/>
              <w:jc w:val="center"/>
              <w:rPr>
                <w:rFonts w:eastAsia="Times New Roman" w:cstheme="minorHAnsi"/>
                <w:color w:val="000000"/>
                <w:sz w:val="18"/>
                <w:szCs w:val="18"/>
              </w:rPr>
            </w:pPr>
            <w:r>
              <w:rPr>
                <w:rFonts w:eastAsia="Times New Roman" w:cstheme="minorHAnsi"/>
                <w:color w:val="000000"/>
                <w:sz w:val="18"/>
                <w:szCs w:val="18"/>
              </w:rPr>
              <w:t>2017/18</w:t>
            </w:r>
          </w:p>
        </w:tc>
        <w:tc>
          <w:tcPr>
            <w:tcW w:w="1337" w:type="dxa"/>
            <w:gridSpan w:val="2"/>
          </w:tcPr>
          <w:p w:rsidR="00492D45" w:rsidRPr="00E97254" w:rsidRDefault="004E1F53" w:rsidP="000C0250">
            <w:pPr>
              <w:spacing w:after="0"/>
              <w:jc w:val="center"/>
              <w:rPr>
                <w:rFonts w:eastAsia="Times New Roman" w:cstheme="minorHAnsi"/>
                <w:color w:val="000000"/>
                <w:sz w:val="18"/>
                <w:szCs w:val="18"/>
              </w:rPr>
            </w:pPr>
            <w:r>
              <w:rPr>
                <w:rFonts w:eastAsia="Times New Roman" w:cstheme="minorHAnsi"/>
                <w:color w:val="000000"/>
                <w:sz w:val="18"/>
                <w:szCs w:val="18"/>
              </w:rPr>
              <w:t>2018/19</w:t>
            </w:r>
          </w:p>
        </w:tc>
      </w:tr>
      <w:tr w:rsidR="00492D45" w:rsidRPr="00E97254" w:rsidTr="00595755">
        <w:trPr>
          <w:trHeight w:val="300"/>
        </w:trPr>
        <w:tc>
          <w:tcPr>
            <w:tcW w:w="613" w:type="dxa"/>
            <w:vMerge/>
            <w:shd w:val="clear" w:color="auto" w:fill="auto"/>
          </w:tcPr>
          <w:p w:rsidR="00492D45" w:rsidRPr="00E97254" w:rsidRDefault="00492D45" w:rsidP="000C0250">
            <w:pPr>
              <w:keepNext/>
              <w:keepLines/>
              <w:spacing w:before="480" w:after="0"/>
              <w:jc w:val="center"/>
              <w:outlineLvl w:val="0"/>
              <w:rPr>
                <w:rFonts w:eastAsia="Times New Roman" w:cstheme="minorHAnsi"/>
                <w:color w:val="000000"/>
                <w:sz w:val="18"/>
                <w:szCs w:val="18"/>
              </w:rPr>
            </w:pPr>
          </w:p>
        </w:tc>
        <w:tc>
          <w:tcPr>
            <w:tcW w:w="1859" w:type="dxa"/>
            <w:vMerge/>
            <w:shd w:val="clear" w:color="auto" w:fill="auto"/>
          </w:tcPr>
          <w:p w:rsidR="00492D45" w:rsidRPr="00E97254" w:rsidRDefault="00492D45" w:rsidP="000C0250">
            <w:pPr>
              <w:keepNext/>
              <w:keepLines/>
              <w:spacing w:before="480" w:after="0"/>
              <w:jc w:val="center"/>
              <w:outlineLvl w:val="0"/>
              <w:rPr>
                <w:rFonts w:eastAsia="Times New Roman" w:cstheme="minorHAnsi"/>
                <w:color w:val="000000"/>
                <w:sz w:val="18"/>
                <w:szCs w:val="18"/>
              </w:rPr>
            </w:pPr>
          </w:p>
        </w:tc>
        <w:tc>
          <w:tcPr>
            <w:tcW w:w="670" w:type="dxa"/>
            <w:shd w:val="clear" w:color="auto" w:fill="auto"/>
          </w:tcPr>
          <w:p w:rsidR="00492D45" w:rsidRPr="00E97254" w:rsidRDefault="004E1F53" w:rsidP="000C0250">
            <w:pPr>
              <w:spacing w:after="0"/>
              <w:jc w:val="center"/>
              <w:rPr>
                <w:rFonts w:eastAsia="Times New Roman" w:cstheme="minorHAnsi"/>
                <w:color w:val="000000"/>
                <w:sz w:val="18"/>
                <w:szCs w:val="18"/>
              </w:rPr>
            </w:pPr>
            <w:r>
              <w:rPr>
                <w:rFonts w:eastAsia="Times New Roman" w:cstheme="minorHAnsi"/>
                <w:color w:val="000000"/>
                <w:sz w:val="18"/>
                <w:szCs w:val="18"/>
              </w:rPr>
              <w:t>GER</w:t>
            </w:r>
          </w:p>
        </w:tc>
        <w:tc>
          <w:tcPr>
            <w:tcW w:w="667" w:type="dxa"/>
            <w:shd w:val="clear" w:color="auto" w:fill="auto"/>
          </w:tcPr>
          <w:p w:rsidR="00492D45" w:rsidRPr="00E97254" w:rsidRDefault="004E1F53" w:rsidP="000C0250">
            <w:pPr>
              <w:spacing w:after="0"/>
              <w:jc w:val="center"/>
              <w:rPr>
                <w:rFonts w:eastAsia="Times New Roman" w:cstheme="minorHAnsi"/>
                <w:color w:val="000000"/>
                <w:sz w:val="18"/>
                <w:szCs w:val="18"/>
              </w:rPr>
            </w:pPr>
            <w:r>
              <w:rPr>
                <w:rFonts w:eastAsia="Times New Roman" w:cstheme="minorHAnsi"/>
                <w:color w:val="000000"/>
                <w:sz w:val="18"/>
                <w:szCs w:val="18"/>
              </w:rPr>
              <w:t>NER</w:t>
            </w:r>
          </w:p>
        </w:tc>
        <w:tc>
          <w:tcPr>
            <w:tcW w:w="670" w:type="dxa"/>
            <w:shd w:val="clear" w:color="auto" w:fill="auto"/>
          </w:tcPr>
          <w:p w:rsidR="00492D45" w:rsidRPr="00E97254" w:rsidRDefault="004E1F53" w:rsidP="000C0250">
            <w:pPr>
              <w:spacing w:after="0"/>
              <w:jc w:val="center"/>
              <w:rPr>
                <w:rFonts w:eastAsia="Times New Roman" w:cstheme="minorHAnsi"/>
                <w:color w:val="000000"/>
                <w:sz w:val="18"/>
                <w:szCs w:val="18"/>
              </w:rPr>
            </w:pPr>
            <w:r>
              <w:rPr>
                <w:rFonts w:eastAsia="Times New Roman" w:cstheme="minorHAnsi"/>
                <w:color w:val="000000"/>
                <w:sz w:val="18"/>
                <w:szCs w:val="18"/>
              </w:rPr>
              <w:t>GER</w:t>
            </w:r>
          </w:p>
        </w:tc>
        <w:tc>
          <w:tcPr>
            <w:tcW w:w="667" w:type="dxa"/>
            <w:shd w:val="clear" w:color="auto" w:fill="auto"/>
          </w:tcPr>
          <w:p w:rsidR="00492D45" w:rsidRPr="00E97254" w:rsidRDefault="004E1F53" w:rsidP="000C0250">
            <w:pPr>
              <w:spacing w:after="0"/>
              <w:jc w:val="center"/>
              <w:rPr>
                <w:rFonts w:eastAsia="Times New Roman" w:cstheme="minorHAnsi"/>
                <w:color w:val="000000"/>
                <w:sz w:val="18"/>
                <w:szCs w:val="18"/>
              </w:rPr>
            </w:pPr>
            <w:r>
              <w:rPr>
                <w:rFonts w:eastAsia="Times New Roman" w:cstheme="minorHAnsi"/>
                <w:color w:val="000000"/>
                <w:sz w:val="18"/>
                <w:szCs w:val="18"/>
              </w:rPr>
              <w:t>NER</w:t>
            </w:r>
          </w:p>
        </w:tc>
        <w:tc>
          <w:tcPr>
            <w:tcW w:w="670" w:type="dxa"/>
            <w:shd w:val="clear" w:color="auto" w:fill="auto"/>
          </w:tcPr>
          <w:p w:rsidR="00492D45" w:rsidRPr="00E97254" w:rsidRDefault="004E1F53" w:rsidP="000C0250">
            <w:pPr>
              <w:spacing w:after="0"/>
              <w:jc w:val="center"/>
              <w:rPr>
                <w:rFonts w:eastAsia="Times New Roman" w:cstheme="minorHAnsi"/>
                <w:color w:val="000000"/>
                <w:sz w:val="18"/>
                <w:szCs w:val="18"/>
              </w:rPr>
            </w:pPr>
            <w:r>
              <w:rPr>
                <w:rFonts w:eastAsia="Times New Roman" w:cstheme="minorHAnsi"/>
                <w:color w:val="000000"/>
                <w:sz w:val="18"/>
                <w:szCs w:val="18"/>
              </w:rPr>
              <w:t>GER</w:t>
            </w:r>
          </w:p>
        </w:tc>
        <w:tc>
          <w:tcPr>
            <w:tcW w:w="667" w:type="dxa"/>
          </w:tcPr>
          <w:p w:rsidR="00492D45" w:rsidRPr="00E97254" w:rsidRDefault="004E1F53" w:rsidP="000C0250">
            <w:pPr>
              <w:spacing w:after="0"/>
              <w:jc w:val="center"/>
              <w:rPr>
                <w:rFonts w:eastAsia="Times New Roman" w:cstheme="minorHAnsi"/>
                <w:color w:val="000000"/>
                <w:sz w:val="18"/>
                <w:szCs w:val="18"/>
              </w:rPr>
            </w:pPr>
            <w:r>
              <w:rPr>
                <w:rFonts w:eastAsia="Times New Roman" w:cstheme="minorHAnsi"/>
                <w:color w:val="000000"/>
                <w:sz w:val="18"/>
                <w:szCs w:val="18"/>
              </w:rPr>
              <w:t>NER</w:t>
            </w:r>
          </w:p>
        </w:tc>
        <w:tc>
          <w:tcPr>
            <w:tcW w:w="670" w:type="dxa"/>
          </w:tcPr>
          <w:p w:rsidR="00492D45" w:rsidRPr="00E97254" w:rsidRDefault="004E1F53" w:rsidP="000C0250">
            <w:pPr>
              <w:spacing w:after="0"/>
              <w:jc w:val="center"/>
              <w:rPr>
                <w:rFonts w:eastAsia="Times New Roman" w:cstheme="minorHAnsi"/>
                <w:color w:val="000000"/>
                <w:sz w:val="18"/>
                <w:szCs w:val="18"/>
              </w:rPr>
            </w:pPr>
            <w:r>
              <w:rPr>
                <w:rFonts w:eastAsia="Times New Roman" w:cstheme="minorHAnsi"/>
                <w:color w:val="000000"/>
                <w:sz w:val="18"/>
                <w:szCs w:val="18"/>
              </w:rPr>
              <w:t>GER</w:t>
            </w:r>
          </w:p>
        </w:tc>
        <w:tc>
          <w:tcPr>
            <w:tcW w:w="667" w:type="dxa"/>
          </w:tcPr>
          <w:p w:rsidR="00492D45" w:rsidRPr="00E97254" w:rsidRDefault="004E1F53" w:rsidP="000C0250">
            <w:pPr>
              <w:spacing w:after="0"/>
              <w:jc w:val="center"/>
              <w:rPr>
                <w:rFonts w:eastAsia="Times New Roman" w:cstheme="minorHAnsi"/>
                <w:color w:val="000000"/>
                <w:sz w:val="18"/>
                <w:szCs w:val="18"/>
              </w:rPr>
            </w:pPr>
            <w:r>
              <w:rPr>
                <w:rFonts w:eastAsia="Times New Roman" w:cstheme="minorHAnsi"/>
                <w:color w:val="000000"/>
                <w:sz w:val="18"/>
                <w:szCs w:val="18"/>
              </w:rPr>
              <w:t>NER</w:t>
            </w:r>
          </w:p>
        </w:tc>
        <w:tc>
          <w:tcPr>
            <w:tcW w:w="670" w:type="dxa"/>
          </w:tcPr>
          <w:p w:rsidR="00492D45" w:rsidRPr="00E97254" w:rsidRDefault="004E1F53" w:rsidP="000C0250">
            <w:pPr>
              <w:spacing w:after="0"/>
              <w:jc w:val="center"/>
              <w:rPr>
                <w:rFonts w:eastAsia="Times New Roman" w:cstheme="minorHAnsi"/>
                <w:color w:val="000000"/>
                <w:sz w:val="18"/>
                <w:szCs w:val="18"/>
              </w:rPr>
            </w:pPr>
            <w:r>
              <w:rPr>
                <w:rFonts w:eastAsia="Times New Roman" w:cstheme="minorHAnsi"/>
                <w:color w:val="000000"/>
                <w:sz w:val="18"/>
                <w:szCs w:val="18"/>
              </w:rPr>
              <w:t>GER</w:t>
            </w:r>
          </w:p>
        </w:tc>
        <w:tc>
          <w:tcPr>
            <w:tcW w:w="667" w:type="dxa"/>
          </w:tcPr>
          <w:p w:rsidR="00492D45" w:rsidRPr="00E97254" w:rsidRDefault="004E1F53" w:rsidP="000C0250">
            <w:pPr>
              <w:spacing w:after="0"/>
              <w:jc w:val="center"/>
              <w:rPr>
                <w:rFonts w:eastAsia="Times New Roman" w:cstheme="minorHAnsi"/>
                <w:color w:val="000000"/>
                <w:sz w:val="18"/>
                <w:szCs w:val="18"/>
              </w:rPr>
            </w:pPr>
            <w:r>
              <w:rPr>
                <w:rFonts w:eastAsia="Times New Roman" w:cstheme="minorHAnsi"/>
                <w:color w:val="000000"/>
                <w:sz w:val="18"/>
                <w:szCs w:val="18"/>
              </w:rPr>
              <w:t>NER</w:t>
            </w:r>
          </w:p>
        </w:tc>
      </w:tr>
      <w:tr w:rsidR="00492D45" w:rsidRPr="00E97254" w:rsidTr="00595755">
        <w:trPr>
          <w:trHeight w:val="300"/>
        </w:trPr>
        <w:tc>
          <w:tcPr>
            <w:tcW w:w="613" w:type="dxa"/>
            <w:shd w:val="clear" w:color="auto" w:fill="auto"/>
          </w:tcPr>
          <w:p w:rsidR="00492D45" w:rsidRPr="00E97254" w:rsidRDefault="004E1F53" w:rsidP="000C0250">
            <w:pPr>
              <w:spacing w:after="0"/>
              <w:jc w:val="center"/>
              <w:rPr>
                <w:rFonts w:eastAsia="Times New Roman" w:cstheme="minorHAnsi"/>
                <w:color w:val="000000"/>
                <w:sz w:val="18"/>
                <w:szCs w:val="18"/>
              </w:rPr>
            </w:pPr>
            <w:r>
              <w:rPr>
                <w:rFonts w:eastAsia="Times New Roman" w:cstheme="minorHAnsi"/>
                <w:color w:val="000000"/>
                <w:sz w:val="18"/>
                <w:szCs w:val="18"/>
              </w:rPr>
              <w:t>0</w:t>
            </w:r>
          </w:p>
        </w:tc>
        <w:tc>
          <w:tcPr>
            <w:tcW w:w="1859" w:type="dxa"/>
            <w:shd w:val="clear" w:color="auto" w:fill="auto"/>
          </w:tcPr>
          <w:p w:rsidR="00492D45" w:rsidRPr="00E97254" w:rsidRDefault="004E1F53" w:rsidP="000C0250">
            <w:pPr>
              <w:spacing w:after="0"/>
              <w:rPr>
                <w:rFonts w:eastAsia="Times New Roman" w:cstheme="minorHAnsi"/>
                <w:color w:val="000000"/>
                <w:sz w:val="18"/>
                <w:szCs w:val="18"/>
              </w:rPr>
            </w:pPr>
            <w:r>
              <w:rPr>
                <w:rFonts w:eastAsia="Times New Roman" w:cstheme="minorHAnsi"/>
                <w:color w:val="000000"/>
                <w:sz w:val="18"/>
                <w:szCs w:val="18"/>
              </w:rPr>
              <w:t>Arsimi parashkollor</w:t>
            </w:r>
          </w:p>
        </w:tc>
        <w:tc>
          <w:tcPr>
            <w:tcW w:w="670" w:type="dxa"/>
            <w:shd w:val="clear" w:color="auto" w:fill="auto"/>
          </w:tcPr>
          <w:p w:rsidR="00492D45" w:rsidRPr="00E97254" w:rsidRDefault="004E1F53" w:rsidP="000C0250">
            <w:pPr>
              <w:spacing w:after="0"/>
              <w:jc w:val="right"/>
              <w:rPr>
                <w:rFonts w:eastAsia="Times New Roman" w:cstheme="minorHAnsi"/>
                <w:color w:val="000000"/>
                <w:sz w:val="18"/>
                <w:szCs w:val="18"/>
              </w:rPr>
            </w:pPr>
            <w:r>
              <w:rPr>
                <w:rFonts w:eastAsia="Times New Roman" w:cstheme="minorHAnsi"/>
                <w:color w:val="000000"/>
                <w:sz w:val="18"/>
                <w:szCs w:val="18"/>
              </w:rPr>
              <w:t>82.3</w:t>
            </w:r>
          </w:p>
        </w:tc>
        <w:tc>
          <w:tcPr>
            <w:tcW w:w="667" w:type="dxa"/>
            <w:shd w:val="clear" w:color="auto" w:fill="auto"/>
          </w:tcPr>
          <w:p w:rsidR="00492D45" w:rsidRPr="00E97254" w:rsidRDefault="004E1F53" w:rsidP="000C0250">
            <w:pPr>
              <w:spacing w:after="0"/>
              <w:jc w:val="right"/>
              <w:rPr>
                <w:rFonts w:eastAsia="Times New Roman" w:cstheme="minorHAnsi"/>
                <w:color w:val="000000"/>
                <w:sz w:val="18"/>
                <w:szCs w:val="18"/>
              </w:rPr>
            </w:pPr>
            <w:r>
              <w:rPr>
                <w:rFonts w:ascii="Calibri" w:eastAsia="Times New Roman" w:hAnsi="Calibri" w:cs="Calibri"/>
                <w:color w:val="000000"/>
                <w:sz w:val="18"/>
                <w:szCs w:val="18"/>
              </w:rPr>
              <w:t>75.4</w:t>
            </w:r>
          </w:p>
        </w:tc>
        <w:tc>
          <w:tcPr>
            <w:tcW w:w="670" w:type="dxa"/>
            <w:shd w:val="clear" w:color="auto" w:fill="auto"/>
          </w:tcPr>
          <w:p w:rsidR="00492D45" w:rsidRPr="00E97254" w:rsidRDefault="004E1F53" w:rsidP="000C0250">
            <w:pPr>
              <w:spacing w:after="0"/>
              <w:jc w:val="right"/>
              <w:rPr>
                <w:rFonts w:eastAsia="Times New Roman" w:cstheme="minorHAnsi"/>
                <w:color w:val="000000"/>
                <w:sz w:val="18"/>
                <w:szCs w:val="18"/>
              </w:rPr>
            </w:pPr>
            <w:r>
              <w:rPr>
                <w:rFonts w:eastAsia="Times New Roman" w:cstheme="minorHAnsi"/>
                <w:color w:val="000000"/>
                <w:sz w:val="18"/>
                <w:szCs w:val="18"/>
              </w:rPr>
              <w:t>83.3</w:t>
            </w:r>
          </w:p>
        </w:tc>
        <w:tc>
          <w:tcPr>
            <w:tcW w:w="667" w:type="dxa"/>
            <w:shd w:val="clear" w:color="auto" w:fill="auto"/>
          </w:tcPr>
          <w:p w:rsidR="00492D45" w:rsidRPr="00E97254" w:rsidRDefault="004E1F53" w:rsidP="000C0250">
            <w:pPr>
              <w:spacing w:after="0"/>
              <w:jc w:val="right"/>
              <w:rPr>
                <w:rFonts w:eastAsia="Times New Roman" w:cstheme="minorHAnsi"/>
                <w:color w:val="000000"/>
                <w:sz w:val="18"/>
                <w:szCs w:val="18"/>
              </w:rPr>
            </w:pPr>
            <w:r>
              <w:rPr>
                <w:rFonts w:ascii="Calibri" w:eastAsia="Times New Roman" w:hAnsi="Calibri" w:cs="Calibri"/>
                <w:color w:val="000000"/>
                <w:sz w:val="18"/>
                <w:szCs w:val="18"/>
              </w:rPr>
              <w:t>76.9</w:t>
            </w:r>
          </w:p>
        </w:tc>
        <w:tc>
          <w:tcPr>
            <w:tcW w:w="670" w:type="dxa"/>
            <w:shd w:val="clear" w:color="auto" w:fill="auto"/>
          </w:tcPr>
          <w:p w:rsidR="00492D45" w:rsidRPr="00E97254" w:rsidRDefault="004E1F53" w:rsidP="000C0250">
            <w:pPr>
              <w:spacing w:after="0"/>
              <w:jc w:val="right"/>
              <w:rPr>
                <w:rFonts w:eastAsia="Times New Roman" w:cstheme="minorHAnsi"/>
                <w:color w:val="000000"/>
                <w:sz w:val="18"/>
                <w:szCs w:val="18"/>
              </w:rPr>
            </w:pPr>
            <w:r>
              <w:rPr>
                <w:rFonts w:eastAsia="Times New Roman" w:cstheme="minorHAnsi"/>
                <w:color w:val="000000"/>
                <w:sz w:val="18"/>
                <w:szCs w:val="18"/>
              </w:rPr>
              <w:t>81.5</w:t>
            </w:r>
          </w:p>
        </w:tc>
        <w:tc>
          <w:tcPr>
            <w:tcW w:w="667" w:type="dxa"/>
          </w:tcPr>
          <w:p w:rsidR="00492D45" w:rsidRPr="00E97254" w:rsidRDefault="004E1F53" w:rsidP="000C0250">
            <w:pPr>
              <w:spacing w:after="0"/>
              <w:jc w:val="right"/>
              <w:rPr>
                <w:rFonts w:eastAsia="Times New Roman" w:cstheme="minorHAnsi"/>
                <w:color w:val="000000"/>
                <w:sz w:val="18"/>
                <w:szCs w:val="18"/>
              </w:rPr>
            </w:pPr>
            <w:r>
              <w:rPr>
                <w:rFonts w:ascii="Calibri" w:eastAsia="Times New Roman" w:hAnsi="Calibri" w:cs="Calibri"/>
                <w:color w:val="000000"/>
                <w:sz w:val="18"/>
                <w:szCs w:val="18"/>
              </w:rPr>
              <w:t>77.7</w:t>
            </w:r>
          </w:p>
        </w:tc>
        <w:tc>
          <w:tcPr>
            <w:tcW w:w="670" w:type="dxa"/>
          </w:tcPr>
          <w:p w:rsidR="00492D45" w:rsidRPr="00E97254" w:rsidRDefault="004E1F53" w:rsidP="000C0250">
            <w:pPr>
              <w:spacing w:after="0"/>
              <w:jc w:val="right"/>
              <w:rPr>
                <w:rFonts w:eastAsia="Times New Roman" w:cstheme="minorHAnsi"/>
                <w:color w:val="000000"/>
                <w:sz w:val="18"/>
                <w:szCs w:val="18"/>
              </w:rPr>
            </w:pPr>
            <w:r>
              <w:rPr>
                <w:rFonts w:eastAsia="Times New Roman" w:cstheme="minorHAnsi"/>
                <w:color w:val="000000"/>
                <w:sz w:val="18"/>
                <w:szCs w:val="18"/>
              </w:rPr>
              <w:t>80.3</w:t>
            </w:r>
          </w:p>
        </w:tc>
        <w:tc>
          <w:tcPr>
            <w:tcW w:w="667" w:type="dxa"/>
          </w:tcPr>
          <w:p w:rsidR="00492D45" w:rsidRPr="00E97254" w:rsidRDefault="004E1F53" w:rsidP="000C0250">
            <w:pPr>
              <w:spacing w:after="0"/>
              <w:jc w:val="right"/>
              <w:rPr>
                <w:rFonts w:eastAsia="Times New Roman" w:cstheme="minorHAnsi"/>
                <w:color w:val="000000"/>
                <w:sz w:val="18"/>
                <w:szCs w:val="18"/>
              </w:rPr>
            </w:pPr>
            <w:r>
              <w:rPr>
                <w:rFonts w:ascii="Calibri" w:eastAsia="Times New Roman" w:hAnsi="Calibri" w:cs="Calibri"/>
                <w:color w:val="000000"/>
                <w:sz w:val="18"/>
                <w:szCs w:val="18"/>
              </w:rPr>
              <w:t>76.3</w:t>
            </w:r>
          </w:p>
        </w:tc>
        <w:tc>
          <w:tcPr>
            <w:tcW w:w="670" w:type="dxa"/>
          </w:tcPr>
          <w:p w:rsidR="00492D45" w:rsidRPr="00E97254" w:rsidRDefault="004E1F53" w:rsidP="000C0250">
            <w:pPr>
              <w:spacing w:after="0"/>
              <w:jc w:val="right"/>
              <w:rPr>
                <w:rFonts w:eastAsia="Times New Roman" w:cstheme="minorHAnsi"/>
                <w:color w:val="000000"/>
                <w:sz w:val="18"/>
                <w:szCs w:val="18"/>
              </w:rPr>
            </w:pPr>
            <w:r>
              <w:rPr>
                <w:rFonts w:eastAsia="Times New Roman" w:cstheme="minorHAnsi"/>
                <w:color w:val="000000"/>
                <w:sz w:val="18"/>
                <w:szCs w:val="18"/>
              </w:rPr>
              <w:t>78.3</w:t>
            </w:r>
          </w:p>
        </w:tc>
        <w:tc>
          <w:tcPr>
            <w:tcW w:w="667" w:type="dxa"/>
          </w:tcPr>
          <w:p w:rsidR="00492D45" w:rsidRPr="00E97254" w:rsidRDefault="004E1F53" w:rsidP="000C0250">
            <w:pPr>
              <w:spacing w:after="0"/>
              <w:jc w:val="right"/>
              <w:rPr>
                <w:rFonts w:eastAsia="Times New Roman" w:cstheme="minorHAnsi"/>
                <w:color w:val="000000"/>
                <w:sz w:val="18"/>
                <w:szCs w:val="18"/>
              </w:rPr>
            </w:pPr>
            <w:r>
              <w:rPr>
                <w:rFonts w:ascii="Calibri" w:eastAsia="Times New Roman" w:hAnsi="Calibri" w:cs="Calibri"/>
                <w:color w:val="000000"/>
                <w:sz w:val="18"/>
                <w:szCs w:val="18"/>
              </w:rPr>
              <w:t>71.9</w:t>
            </w:r>
          </w:p>
        </w:tc>
      </w:tr>
      <w:tr w:rsidR="00492D45" w:rsidRPr="00E97254" w:rsidTr="00595755">
        <w:trPr>
          <w:trHeight w:val="300"/>
        </w:trPr>
        <w:tc>
          <w:tcPr>
            <w:tcW w:w="613" w:type="dxa"/>
            <w:shd w:val="clear" w:color="auto" w:fill="auto"/>
            <w:hideMark/>
          </w:tcPr>
          <w:p w:rsidR="00492D45" w:rsidRPr="00E97254" w:rsidRDefault="004E1F53" w:rsidP="000C0250">
            <w:pPr>
              <w:spacing w:after="0"/>
              <w:jc w:val="center"/>
              <w:rPr>
                <w:rFonts w:eastAsia="Times New Roman" w:cstheme="minorHAnsi"/>
                <w:color w:val="000000"/>
                <w:sz w:val="18"/>
                <w:szCs w:val="18"/>
              </w:rPr>
            </w:pPr>
            <w:r>
              <w:rPr>
                <w:rFonts w:eastAsia="Times New Roman" w:cstheme="minorHAnsi"/>
                <w:color w:val="000000"/>
                <w:sz w:val="18"/>
                <w:szCs w:val="18"/>
              </w:rPr>
              <w:t>1</w:t>
            </w:r>
          </w:p>
        </w:tc>
        <w:tc>
          <w:tcPr>
            <w:tcW w:w="1859" w:type="dxa"/>
            <w:shd w:val="clear" w:color="auto" w:fill="auto"/>
            <w:hideMark/>
          </w:tcPr>
          <w:p w:rsidR="00492D45" w:rsidRPr="00E97254" w:rsidRDefault="004E1F53" w:rsidP="000C0250">
            <w:pPr>
              <w:spacing w:after="0"/>
              <w:rPr>
                <w:rFonts w:eastAsia="Times New Roman" w:cstheme="minorHAnsi"/>
                <w:color w:val="000000"/>
                <w:sz w:val="18"/>
                <w:szCs w:val="18"/>
              </w:rPr>
            </w:pPr>
            <w:r>
              <w:rPr>
                <w:rFonts w:eastAsia="Times New Roman" w:cstheme="minorHAnsi"/>
                <w:color w:val="000000"/>
                <w:sz w:val="18"/>
                <w:szCs w:val="18"/>
              </w:rPr>
              <w:t>Arsimi fillor</w:t>
            </w:r>
          </w:p>
        </w:tc>
        <w:tc>
          <w:tcPr>
            <w:tcW w:w="670" w:type="dxa"/>
            <w:shd w:val="clear" w:color="auto" w:fill="auto"/>
          </w:tcPr>
          <w:p w:rsidR="00492D45" w:rsidRPr="00E97254" w:rsidRDefault="004E1F53" w:rsidP="000C0250">
            <w:pPr>
              <w:spacing w:after="0"/>
              <w:jc w:val="right"/>
              <w:rPr>
                <w:rFonts w:eastAsia="Times New Roman" w:cstheme="minorHAnsi"/>
                <w:color w:val="000000"/>
                <w:sz w:val="18"/>
                <w:szCs w:val="18"/>
              </w:rPr>
            </w:pPr>
            <w:r>
              <w:rPr>
                <w:rFonts w:eastAsia="Times New Roman" w:cstheme="minorHAnsi"/>
                <w:color w:val="000000"/>
                <w:sz w:val="18"/>
                <w:szCs w:val="18"/>
              </w:rPr>
              <w:t>103.7</w:t>
            </w:r>
          </w:p>
        </w:tc>
        <w:tc>
          <w:tcPr>
            <w:tcW w:w="667" w:type="dxa"/>
            <w:shd w:val="clear" w:color="auto" w:fill="auto"/>
          </w:tcPr>
          <w:p w:rsidR="00492D45" w:rsidRPr="00E97254" w:rsidRDefault="004E1F53" w:rsidP="000C0250">
            <w:pPr>
              <w:spacing w:after="0"/>
              <w:jc w:val="right"/>
              <w:rPr>
                <w:rFonts w:eastAsia="Times New Roman" w:cstheme="minorHAnsi"/>
                <w:color w:val="000000"/>
                <w:sz w:val="18"/>
                <w:szCs w:val="18"/>
              </w:rPr>
            </w:pPr>
            <w:r>
              <w:rPr>
                <w:rFonts w:ascii="Calibri" w:eastAsia="Times New Roman" w:hAnsi="Calibri" w:cs="Calibri"/>
                <w:color w:val="000000"/>
                <w:sz w:val="18"/>
                <w:szCs w:val="18"/>
              </w:rPr>
              <w:t>96.2</w:t>
            </w:r>
          </w:p>
        </w:tc>
        <w:tc>
          <w:tcPr>
            <w:tcW w:w="670" w:type="dxa"/>
            <w:shd w:val="clear" w:color="auto" w:fill="auto"/>
          </w:tcPr>
          <w:p w:rsidR="00492D45" w:rsidRPr="00E97254" w:rsidRDefault="004E1F53" w:rsidP="000C0250">
            <w:pPr>
              <w:spacing w:after="0"/>
              <w:jc w:val="right"/>
              <w:rPr>
                <w:rFonts w:eastAsia="Times New Roman" w:cstheme="minorHAnsi"/>
                <w:color w:val="000000"/>
                <w:sz w:val="18"/>
                <w:szCs w:val="18"/>
              </w:rPr>
            </w:pPr>
            <w:r>
              <w:rPr>
                <w:rFonts w:eastAsia="Times New Roman" w:cstheme="minorHAnsi"/>
                <w:color w:val="000000"/>
                <w:sz w:val="18"/>
                <w:szCs w:val="18"/>
              </w:rPr>
              <w:t>103.0</w:t>
            </w:r>
          </w:p>
        </w:tc>
        <w:tc>
          <w:tcPr>
            <w:tcW w:w="667" w:type="dxa"/>
            <w:shd w:val="clear" w:color="auto" w:fill="auto"/>
          </w:tcPr>
          <w:p w:rsidR="00492D45" w:rsidRPr="00E97254" w:rsidRDefault="004E1F53" w:rsidP="000C0250">
            <w:pPr>
              <w:spacing w:after="0"/>
              <w:jc w:val="right"/>
              <w:rPr>
                <w:rFonts w:eastAsia="Times New Roman" w:cstheme="minorHAnsi"/>
                <w:color w:val="000000"/>
                <w:sz w:val="18"/>
                <w:szCs w:val="18"/>
              </w:rPr>
            </w:pPr>
            <w:r>
              <w:rPr>
                <w:rFonts w:ascii="Calibri" w:eastAsia="Times New Roman" w:hAnsi="Calibri" w:cs="Calibri"/>
                <w:color w:val="000000"/>
                <w:sz w:val="18"/>
                <w:szCs w:val="18"/>
              </w:rPr>
              <w:t>96.0</w:t>
            </w:r>
          </w:p>
        </w:tc>
        <w:tc>
          <w:tcPr>
            <w:tcW w:w="670" w:type="dxa"/>
            <w:shd w:val="clear" w:color="auto" w:fill="auto"/>
          </w:tcPr>
          <w:p w:rsidR="00492D45" w:rsidRPr="00E97254" w:rsidRDefault="004E1F53" w:rsidP="000C0250">
            <w:pPr>
              <w:spacing w:after="0"/>
              <w:jc w:val="right"/>
              <w:rPr>
                <w:rFonts w:eastAsia="Times New Roman" w:cstheme="minorHAnsi"/>
                <w:color w:val="000000"/>
                <w:sz w:val="18"/>
                <w:szCs w:val="18"/>
              </w:rPr>
            </w:pPr>
            <w:r>
              <w:rPr>
                <w:rFonts w:eastAsia="Times New Roman" w:cstheme="minorHAnsi"/>
                <w:color w:val="000000"/>
                <w:sz w:val="18"/>
                <w:szCs w:val="18"/>
              </w:rPr>
              <w:t>104.0</w:t>
            </w:r>
          </w:p>
        </w:tc>
        <w:tc>
          <w:tcPr>
            <w:tcW w:w="667" w:type="dxa"/>
          </w:tcPr>
          <w:p w:rsidR="00492D45" w:rsidRPr="00E97254" w:rsidRDefault="004E1F53" w:rsidP="000C0250">
            <w:pPr>
              <w:spacing w:after="0"/>
              <w:jc w:val="right"/>
              <w:rPr>
                <w:rFonts w:eastAsia="Times New Roman" w:cstheme="minorHAnsi"/>
                <w:color w:val="000000"/>
                <w:sz w:val="18"/>
                <w:szCs w:val="18"/>
              </w:rPr>
            </w:pPr>
            <w:r>
              <w:rPr>
                <w:rFonts w:ascii="Calibri" w:eastAsia="Times New Roman" w:hAnsi="Calibri" w:cs="Calibri"/>
                <w:color w:val="000000"/>
                <w:sz w:val="18"/>
                <w:szCs w:val="18"/>
              </w:rPr>
              <w:t>97.5</w:t>
            </w:r>
          </w:p>
        </w:tc>
        <w:tc>
          <w:tcPr>
            <w:tcW w:w="670" w:type="dxa"/>
          </w:tcPr>
          <w:p w:rsidR="00492D45" w:rsidRPr="00E97254" w:rsidRDefault="004E1F53" w:rsidP="000C0250">
            <w:pPr>
              <w:spacing w:after="0"/>
              <w:jc w:val="right"/>
              <w:rPr>
                <w:rFonts w:eastAsia="Times New Roman" w:cstheme="minorHAnsi"/>
                <w:color w:val="000000"/>
                <w:sz w:val="18"/>
                <w:szCs w:val="18"/>
              </w:rPr>
            </w:pPr>
            <w:r>
              <w:rPr>
                <w:rFonts w:eastAsia="Times New Roman" w:cstheme="minorHAnsi"/>
                <w:color w:val="000000"/>
                <w:sz w:val="18"/>
                <w:szCs w:val="18"/>
              </w:rPr>
              <w:t>103.8</w:t>
            </w:r>
          </w:p>
        </w:tc>
        <w:tc>
          <w:tcPr>
            <w:tcW w:w="667" w:type="dxa"/>
          </w:tcPr>
          <w:p w:rsidR="00492D45" w:rsidRPr="00E97254" w:rsidRDefault="004E1F53" w:rsidP="000C0250">
            <w:pPr>
              <w:spacing w:after="0"/>
              <w:jc w:val="right"/>
              <w:rPr>
                <w:rFonts w:eastAsia="Times New Roman" w:cstheme="minorHAnsi"/>
                <w:color w:val="000000"/>
                <w:sz w:val="18"/>
                <w:szCs w:val="18"/>
              </w:rPr>
            </w:pPr>
            <w:r>
              <w:rPr>
                <w:rFonts w:ascii="Calibri" w:eastAsia="Times New Roman" w:hAnsi="Calibri" w:cs="Calibri"/>
                <w:color w:val="000000"/>
                <w:sz w:val="18"/>
                <w:szCs w:val="18"/>
              </w:rPr>
              <w:t>96.9</w:t>
            </w:r>
          </w:p>
        </w:tc>
        <w:tc>
          <w:tcPr>
            <w:tcW w:w="670" w:type="dxa"/>
          </w:tcPr>
          <w:p w:rsidR="00492D45" w:rsidRPr="00E97254" w:rsidRDefault="004E1F53" w:rsidP="000C0250">
            <w:pPr>
              <w:spacing w:after="0"/>
              <w:jc w:val="right"/>
              <w:rPr>
                <w:rFonts w:eastAsia="Times New Roman" w:cstheme="minorHAnsi"/>
                <w:color w:val="000000"/>
                <w:sz w:val="18"/>
                <w:szCs w:val="18"/>
              </w:rPr>
            </w:pPr>
            <w:r>
              <w:rPr>
                <w:rFonts w:eastAsia="Times New Roman" w:cstheme="minorHAnsi"/>
                <w:color w:val="000000"/>
                <w:sz w:val="18"/>
                <w:szCs w:val="18"/>
              </w:rPr>
              <w:t>102.4</w:t>
            </w:r>
          </w:p>
        </w:tc>
        <w:tc>
          <w:tcPr>
            <w:tcW w:w="667" w:type="dxa"/>
          </w:tcPr>
          <w:p w:rsidR="00492D45" w:rsidRPr="00E97254" w:rsidRDefault="004E1F53" w:rsidP="000C0250">
            <w:pPr>
              <w:spacing w:after="0"/>
              <w:jc w:val="right"/>
              <w:rPr>
                <w:rFonts w:eastAsia="Times New Roman" w:cstheme="minorHAnsi"/>
                <w:color w:val="000000"/>
                <w:sz w:val="18"/>
                <w:szCs w:val="18"/>
              </w:rPr>
            </w:pPr>
            <w:r>
              <w:rPr>
                <w:rFonts w:ascii="Calibri" w:eastAsia="Times New Roman" w:hAnsi="Calibri" w:cs="Calibri"/>
                <w:color w:val="000000"/>
                <w:sz w:val="18"/>
                <w:szCs w:val="18"/>
              </w:rPr>
              <w:t>95.8</w:t>
            </w:r>
          </w:p>
        </w:tc>
      </w:tr>
      <w:tr w:rsidR="00492D45" w:rsidRPr="00E97254" w:rsidTr="00595755">
        <w:trPr>
          <w:trHeight w:val="300"/>
        </w:trPr>
        <w:tc>
          <w:tcPr>
            <w:tcW w:w="613" w:type="dxa"/>
            <w:shd w:val="clear" w:color="auto" w:fill="auto"/>
            <w:hideMark/>
          </w:tcPr>
          <w:p w:rsidR="00492D45" w:rsidRPr="00E97254" w:rsidRDefault="004E1F53" w:rsidP="000C0250">
            <w:pPr>
              <w:spacing w:after="0"/>
              <w:jc w:val="center"/>
              <w:rPr>
                <w:rFonts w:eastAsia="Times New Roman" w:cstheme="minorHAnsi"/>
                <w:color w:val="000000"/>
                <w:sz w:val="18"/>
                <w:szCs w:val="18"/>
              </w:rPr>
            </w:pPr>
            <w:r>
              <w:rPr>
                <w:rFonts w:eastAsia="Times New Roman" w:cstheme="minorHAnsi"/>
                <w:color w:val="000000"/>
                <w:sz w:val="18"/>
                <w:szCs w:val="18"/>
              </w:rPr>
              <w:t>2</w:t>
            </w:r>
          </w:p>
        </w:tc>
        <w:tc>
          <w:tcPr>
            <w:tcW w:w="1859" w:type="dxa"/>
            <w:shd w:val="clear" w:color="auto" w:fill="auto"/>
            <w:hideMark/>
          </w:tcPr>
          <w:p w:rsidR="00492D45" w:rsidRPr="00E97254" w:rsidRDefault="004E1F53" w:rsidP="000C0250">
            <w:pPr>
              <w:spacing w:after="0"/>
              <w:rPr>
                <w:rFonts w:eastAsia="Times New Roman" w:cstheme="minorHAnsi"/>
                <w:color w:val="000000"/>
                <w:sz w:val="18"/>
                <w:szCs w:val="18"/>
              </w:rPr>
            </w:pPr>
            <w:r>
              <w:rPr>
                <w:rFonts w:eastAsia="Times New Roman" w:cstheme="minorHAnsi"/>
                <w:color w:val="000000"/>
                <w:sz w:val="18"/>
                <w:szCs w:val="18"/>
              </w:rPr>
              <w:t>Arsimi i mesëm i ulët</w:t>
            </w:r>
          </w:p>
        </w:tc>
        <w:tc>
          <w:tcPr>
            <w:tcW w:w="670" w:type="dxa"/>
            <w:shd w:val="clear" w:color="auto" w:fill="auto"/>
          </w:tcPr>
          <w:p w:rsidR="00492D45" w:rsidRPr="00E97254" w:rsidRDefault="004E1F53" w:rsidP="000C0250">
            <w:pPr>
              <w:spacing w:after="0"/>
              <w:jc w:val="right"/>
              <w:rPr>
                <w:rFonts w:eastAsia="Times New Roman" w:cstheme="minorHAnsi"/>
                <w:color w:val="000000"/>
                <w:sz w:val="18"/>
                <w:szCs w:val="18"/>
              </w:rPr>
            </w:pPr>
            <w:r>
              <w:rPr>
                <w:rFonts w:eastAsia="Times New Roman" w:cstheme="minorHAnsi"/>
                <w:color w:val="000000"/>
                <w:sz w:val="18"/>
                <w:szCs w:val="18"/>
              </w:rPr>
              <w:t>102.2</w:t>
            </w:r>
          </w:p>
        </w:tc>
        <w:tc>
          <w:tcPr>
            <w:tcW w:w="667" w:type="dxa"/>
            <w:shd w:val="clear" w:color="auto" w:fill="auto"/>
          </w:tcPr>
          <w:p w:rsidR="00492D45" w:rsidRPr="00E97254" w:rsidRDefault="004E1F53" w:rsidP="000C0250">
            <w:pPr>
              <w:spacing w:after="0"/>
              <w:jc w:val="right"/>
              <w:rPr>
                <w:rFonts w:eastAsia="Times New Roman" w:cstheme="minorHAnsi"/>
                <w:color w:val="000000"/>
                <w:sz w:val="18"/>
                <w:szCs w:val="18"/>
              </w:rPr>
            </w:pPr>
            <w:r>
              <w:rPr>
                <w:rFonts w:ascii="Calibri" w:eastAsia="Times New Roman" w:hAnsi="Calibri" w:cs="Calibri"/>
                <w:color w:val="000000"/>
                <w:sz w:val="18"/>
                <w:szCs w:val="18"/>
              </w:rPr>
              <w:t>91.4</w:t>
            </w:r>
          </w:p>
        </w:tc>
        <w:tc>
          <w:tcPr>
            <w:tcW w:w="670" w:type="dxa"/>
            <w:shd w:val="clear" w:color="auto" w:fill="auto"/>
          </w:tcPr>
          <w:p w:rsidR="00492D45" w:rsidRPr="00E97254" w:rsidRDefault="004E1F53" w:rsidP="000C0250">
            <w:pPr>
              <w:spacing w:after="0"/>
              <w:jc w:val="right"/>
              <w:rPr>
                <w:rFonts w:eastAsia="Times New Roman" w:cstheme="minorHAnsi"/>
                <w:color w:val="000000"/>
                <w:sz w:val="18"/>
                <w:szCs w:val="18"/>
              </w:rPr>
            </w:pPr>
            <w:r>
              <w:rPr>
                <w:rFonts w:eastAsia="Times New Roman" w:cstheme="minorHAnsi"/>
                <w:color w:val="000000"/>
                <w:sz w:val="18"/>
                <w:szCs w:val="18"/>
              </w:rPr>
              <w:t>100.6</w:t>
            </w:r>
          </w:p>
        </w:tc>
        <w:tc>
          <w:tcPr>
            <w:tcW w:w="667" w:type="dxa"/>
            <w:shd w:val="clear" w:color="auto" w:fill="auto"/>
          </w:tcPr>
          <w:p w:rsidR="00492D45" w:rsidRPr="00E97254" w:rsidRDefault="004E1F53" w:rsidP="000C0250">
            <w:pPr>
              <w:spacing w:after="0"/>
              <w:jc w:val="right"/>
              <w:rPr>
                <w:rFonts w:eastAsia="Times New Roman" w:cstheme="minorHAnsi"/>
                <w:color w:val="000000"/>
                <w:sz w:val="18"/>
                <w:szCs w:val="18"/>
              </w:rPr>
            </w:pPr>
            <w:r>
              <w:rPr>
                <w:rFonts w:ascii="Calibri" w:eastAsia="Times New Roman" w:hAnsi="Calibri" w:cs="Calibri"/>
                <w:color w:val="000000"/>
                <w:sz w:val="18"/>
                <w:szCs w:val="18"/>
              </w:rPr>
              <w:t>89.7</w:t>
            </w:r>
          </w:p>
        </w:tc>
        <w:tc>
          <w:tcPr>
            <w:tcW w:w="670" w:type="dxa"/>
            <w:shd w:val="clear" w:color="auto" w:fill="auto"/>
          </w:tcPr>
          <w:p w:rsidR="00492D45" w:rsidRPr="00E97254" w:rsidRDefault="004E1F53" w:rsidP="000C0250">
            <w:pPr>
              <w:spacing w:after="0"/>
              <w:jc w:val="right"/>
              <w:rPr>
                <w:rFonts w:eastAsia="Times New Roman" w:cstheme="minorHAnsi"/>
                <w:color w:val="000000"/>
                <w:sz w:val="18"/>
                <w:szCs w:val="18"/>
              </w:rPr>
            </w:pPr>
            <w:r>
              <w:rPr>
                <w:rFonts w:eastAsia="Times New Roman" w:cstheme="minorHAnsi"/>
                <w:color w:val="000000"/>
                <w:sz w:val="18"/>
                <w:szCs w:val="18"/>
              </w:rPr>
              <w:t>96.7</w:t>
            </w:r>
          </w:p>
        </w:tc>
        <w:tc>
          <w:tcPr>
            <w:tcW w:w="667" w:type="dxa"/>
          </w:tcPr>
          <w:p w:rsidR="00492D45" w:rsidRPr="00E97254" w:rsidRDefault="004E1F53" w:rsidP="000C0250">
            <w:pPr>
              <w:spacing w:after="0"/>
              <w:jc w:val="right"/>
              <w:rPr>
                <w:rFonts w:eastAsia="Times New Roman" w:cstheme="minorHAnsi"/>
                <w:color w:val="000000"/>
                <w:sz w:val="18"/>
                <w:szCs w:val="18"/>
              </w:rPr>
            </w:pPr>
            <w:r>
              <w:rPr>
                <w:rFonts w:ascii="Calibri" w:eastAsia="Times New Roman" w:hAnsi="Calibri" w:cs="Calibri"/>
                <w:color w:val="000000"/>
                <w:sz w:val="18"/>
                <w:szCs w:val="18"/>
              </w:rPr>
              <w:t>86.8</w:t>
            </w:r>
          </w:p>
        </w:tc>
        <w:tc>
          <w:tcPr>
            <w:tcW w:w="670" w:type="dxa"/>
          </w:tcPr>
          <w:p w:rsidR="00492D45" w:rsidRPr="00E97254" w:rsidRDefault="004E1F53" w:rsidP="000C0250">
            <w:pPr>
              <w:spacing w:after="0"/>
              <w:jc w:val="right"/>
              <w:rPr>
                <w:rFonts w:eastAsia="Times New Roman" w:cstheme="minorHAnsi"/>
                <w:color w:val="000000"/>
                <w:sz w:val="18"/>
                <w:szCs w:val="18"/>
              </w:rPr>
            </w:pPr>
            <w:r>
              <w:rPr>
                <w:rFonts w:eastAsia="Times New Roman" w:cstheme="minorHAnsi"/>
                <w:color w:val="000000"/>
                <w:sz w:val="18"/>
                <w:szCs w:val="18"/>
              </w:rPr>
              <w:t>97.4</w:t>
            </w:r>
          </w:p>
        </w:tc>
        <w:tc>
          <w:tcPr>
            <w:tcW w:w="667" w:type="dxa"/>
          </w:tcPr>
          <w:p w:rsidR="00492D45" w:rsidRPr="00E97254" w:rsidRDefault="004E1F53" w:rsidP="000C0250">
            <w:pPr>
              <w:spacing w:after="0"/>
              <w:jc w:val="right"/>
              <w:rPr>
                <w:rFonts w:eastAsia="Times New Roman" w:cstheme="minorHAnsi"/>
                <w:color w:val="000000"/>
                <w:sz w:val="18"/>
                <w:szCs w:val="18"/>
              </w:rPr>
            </w:pPr>
            <w:r>
              <w:rPr>
                <w:rFonts w:ascii="Calibri" w:eastAsia="Times New Roman" w:hAnsi="Calibri" w:cs="Calibri"/>
                <w:color w:val="000000"/>
                <w:sz w:val="18"/>
                <w:szCs w:val="18"/>
              </w:rPr>
              <w:t>88.3</w:t>
            </w:r>
          </w:p>
        </w:tc>
        <w:tc>
          <w:tcPr>
            <w:tcW w:w="670" w:type="dxa"/>
          </w:tcPr>
          <w:p w:rsidR="00492D45" w:rsidRPr="00E97254" w:rsidRDefault="004E1F53" w:rsidP="000C0250">
            <w:pPr>
              <w:spacing w:after="0"/>
              <w:jc w:val="right"/>
              <w:rPr>
                <w:rFonts w:eastAsia="Times New Roman" w:cstheme="minorHAnsi"/>
                <w:color w:val="000000"/>
                <w:sz w:val="18"/>
                <w:szCs w:val="18"/>
              </w:rPr>
            </w:pPr>
            <w:r>
              <w:rPr>
                <w:rFonts w:eastAsia="Times New Roman" w:cstheme="minorHAnsi"/>
                <w:color w:val="000000"/>
                <w:sz w:val="18"/>
                <w:szCs w:val="18"/>
              </w:rPr>
              <w:t>96.5</w:t>
            </w:r>
          </w:p>
        </w:tc>
        <w:tc>
          <w:tcPr>
            <w:tcW w:w="667" w:type="dxa"/>
          </w:tcPr>
          <w:p w:rsidR="00492D45" w:rsidRPr="00E97254" w:rsidRDefault="004E1F53" w:rsidP="000C0250">
            <w:pPr>
              <w:spacing w:after="0"/>
              <w:jc w:val="right"/>
              <w:rPr>
                <w:rFonts w:eastAsia="Times New Roman" w:cstheme="minorHAnsi"/>
                <w:color w:val="000000"/>
                <w:sz w:val="18"/>
                <w:szCs w:val="18"/>
              </w:rPr>
            </w:pPr>
            <w:r>
              <w:rPr>
                <w:rFonts w:ascii="Calibri" w:eastAsia="Times New Roman" w:hAnsi="Calibri" w:cs="Calibri"/>
                <w:color w:val="000000"/>
                <w:sz w:val="18"/>
                <w:szCs w:val="18"/>
              </w:rPr>
              <w:t>87.7</w:t>
            </w:r>
          </w:p>
        </w:tc>
      </w:tr>
      <w:tr w:rsidR="00492D45" w:rsidRPr="00E97254" w:rsidTr="00595755">
        <w:trPr>
          <w:trHeight w:val="300"/>
        </w:trPr>
        <w:tc>
          <w:tcPr>
            <w:tcW w:w="613" w:type="dxa"/>
            <w:shd w:val="clear" w:color="auto" w:fill="auto"/>
            <w:hideMark/>
          </w:tcPr>
          <w:p w:rsidR="00492D45" w:rsidRPr="00E97254" w:rsidRDefault="004E1F53" w:rsidP="000C0250">
            <w:pPr>
              <w:spacing w:after="0"/>
              <w:jc w:val="center"/>
              <w:rPr>
                <w:rFonts w:eastAsia="Times New Roman" w:cstheme="minorHAnsi"/>
                <w:color w:val="000000"/>
                <w:sz w:val="18"/>
                <w:szCs w:val="18"/>
              </w:rPr>
            </w:pPr>
            <w:r>
              <w:rPr>
                <w:rFonts w:eastAsia="Times New Roman" w:cstheme="minorHAnsi"/>
                <w:color w:val="000000"/>
                <w:sz w:val="18"/>
                <w:szCs w:val="18"/>
              </w:rPr>
              <w:t>3</w:t>
            </w:r>
          </w:p>
        </w:tc>
        <w:tc>
          <w:tcPr>
            <w:tcW w:w="1859" w:type="dxa"/>
            <w:shd w:val="clear" w:color="auto" w:fill="auto"/>
            <w:hideMark/>
          </w:tcPr>
          <w:p w:rsidR="00492D45" w:rsidRPr="00E97254" w:rsidRDefault="004E1F53" w:rsidP="000C0250">
            <w:pPr>
              <w:spacing w:after="0"/>
              <w:rPr>
                <w:rFonts w:eastAsia="Times New Roman" w:cstheme="minorHAnsi"/>
                <w:color w:val="000000"/>
                <w:sz w:val="18"/>
                <w:szCs w:val="18"/>
              </w:rPr>
            </w:pPr>
            <w:r>
              <w:rPr>
                <w:rFonts w:eastAsia="Times New Roman" w:cstheme="minorHAnsi"/>
                <w:color w:val="000000"/>
                <w:sz w:val="18"/>
                <w:szCs w:val="18"/>
              </w:rPr>
              <w:t>Arsimi i mesëm i lartë</w:t>
            </w:r>
          </w:p>
        </w:tc>
        <w:tc>
          <w:tcPr>
            <w:tcW w:w="670" w:type="dxa"/>
            <w:shd w:val="clear" w:color="auto" w:fill="auto"/>
          </w:tcPr>
          <w:p w:rsidR="00492D45" w:rsidRPr="00E97254" w:rsidRDefault="004E1F53" w:rsidP="000C0250">
            <w:pPr>
              <w:spacing w:after="0"/>
              <w:jc w:val="right"/>
              <w:rPr>
                <w:rFonts w:eastAsia="Times New Roman" w:cstheme="minorHAnsi"/>
                <w:color w:val="000000"/>
                <w:sz w:val="18"/>
                <w:szCs w:val="18"/>
              </w:rPr>
            </w:pPr>
            <w:r>
              <w:rPr>
                <w:rFonts w:eastAsia="Times New Roman" w:cstheme="minorHAnsi"/>
                <w:color w:val="000000"/>
                <w:sz w:val="18"/>
                <w:szCs w:val="18"/>
              </w:rPr>
              <w:t>96.9</w:t>
            </w:r>
          </w:p>
        </w:tc>
        <w:tc>
          <w:tcPr>
            <w:tcW w:w="667" w:type="dxa"/>
            <w:shd w:val="clear" w:color="auto" w:fill="auto"/>
          </w:tcPr>
          <w:p w:rsidR="00492D45" w:rsidRPr="00E97254" w:rsidRDefault="004E1F53" w:rsidP="000C0250">
            <w:pPr>
              <w:spacing w:after="0"/>
              <w:jc w:val="right"/>
              <w:rPr>
                <w:rFonts w:eastAsia="Times New Roman" w:cstheme="minorHAnsi"/>
                <w:color w:val="000000"/>
                <w:sz w:val="18"/>
                <w:szCs w:val="18"/>
              </w:rPr>
            </w:pPr>
            <w:r>
              <w:rPr>
                <w:rFonts w:ascii="Calibri" w:eastAsia="Times New Roman" w:hAnsi="Calibri" w:cs="Calibri"/>
                <w:color w:val="000000"/>
                <w:sz w:val="18"/>
                <w:szCs w:val="18"/>
              </w:rPr>
              <w:t>75.6</w:t>
            </w:r>
          </w:p>
        </w:tc>
        <w:tc>
          <w:tcPr>
            <w:tcW w:w="670" w:type="dxa"/>
            <w:shd w:val="clear" w:color="auto" w:fill="auto"/>
          </w:tcPr>
          <w:p w:rsidR="00492D45" w:rsidRPr="00E97254" w:rsidRDefault="004E1F53" w:rsidP="000C0250">
            <w:pPr>
              <w:spacing w:after="0"/>
              <w:jc w:val="right"/>
              <w:rPr>
                <w:rFonts w:eastAsia="Times New Roman" w:cstheme="minorHAnsi"/>
                <w:color w:val="000000"/>
                <w:sz w:val="18"/>
                <w:szCs w:val="18"/>
              </w:rPr>
            </w:pPr>
            <w:r>
              <w:rPr>
                <w:rFonts w:eastAsia="Times New Roman" w:cstheme="minorHAnsi"/>
                <w:color w:val="000000"/>
                <w:sz w:val="18"/>
                <w:szCs w:val="18"/>
              </w:rPr>
              <w:t>93.2</w:t>
            </w:r>
          </w:p>
        </w:tc>
        <w:tc>
          <w:tcPr>
            <w:tcW w:w="667" w:type="dxa"/>
            <w:shd w:val="clear" w:color="auto" w:fill="auto"/>
          </w:tcPr>
          <w:p w:rsidR="00492D45" w:rsidRPr="00E97254" w:rsidRDefault="004E1F53" w:rsidP="000C0250">
            <w:pPr>
              <w:spacing w:after="0"/>
              <w:jc w:val="right"/>
              <w:rPr>
                <w:rFonts w:eastAsia="Times New Roman" w:cstheme="minorHAnsi"/>
                <w:color w:val="000000"/>
                <w:sz w:val="18"/>
                <w:szCs w:val="18"/>
              </w:rPr>
            </w:pPr>
            <w:r>
              <w:rPr>
                <w:rFonts w:ascii="Calibri" w:eastAsia="Times New Roman" w:hAnsi="Calibri" w:cs="Calibri"/>
                <w:color w:val="000000"/>
                <w:sz w:val="18"/>
                <w:szCs w:val="18"/>
              </w:rPr>
              <w:t>74.7</w:t>
            </w:r>
          </w:p>
        </w:tc>
        <w:tc>
          <w:tcPr>
            <w:tcW w:w="670" w:type="dxa"/>
            <w:shd w:val="clear" w:color="auto" w:fill="auto"/>
          </w:tcPr>
          <w:p w:rsidR="00492D45" w:rsidRPr="00E97254" w:rsidRDefault="004E1F53" w:rsidP="000C0250">
            <w:pPr>
              <w:spacing w:after="0"/>
              <w:jc w:val="right"/>
              <w:rPr>
                <w:rFonts w:eastAsia="Times New Roman" w:cstheme="minorHAnsi"/>
                <w:color w:val="000000"/>
                <w:sz w:val="18"/>
                <w:szCs w:val="18"/>
              </w:rPr>
            </w:pPr>
            <w:r>
              <w:rPr>
                <w:rFonts w:eastAsia="Times New Roman" w:cstheme="minorHAnsi"/>
                <w:color w:val="000000"/>
                <w:sz w:val="18"/>
                <w:szCs w:val="18"/>
              </w:rPr>
              <w:t>94.7</w:t>
            </w:r>
          </w:p>
        </w:tc>
        <w:tc>
          <w:tcPr>
            <w:tcW w:w="667" w:type="dxa"/>
          </w:tcPr>
          <w:p w:rsidR="00492D45" w:rsidRPr="00E97254" w:rsidRDefault="004E1F53" w:rsidP="000C0250">
            <w:pPr>
              <w:spacing w:after="0"/>
              <w:jc w:val="right"/>
              <w:rPr>
                <w:rFonts w:eastAsia="Times New Roman" w:cstheme="minorHAnsi"/>
                <w:color w:val="000000"/>
                <w:sz w:val="18"/>
                <w:szCs w:val="18"/>
              </w:rPr>
            </w:pPr>
            <w:r>
              <w:rPr>
                <w:rFonts w:ascii="Calibri" w:eastAsia="Times New Roman" w:hAnsi="Calibri" w:cs="Calibri"/>
                <w:color w:val="000000"/>
                <w:sz w:val="18"/>
                <w:szCs w:val="18"/>
              </w:rPr>
              <w:t>77.1</w:t>
            </w:r>
          </w:p>
        </w:tc>
        <w:tc>
          <w:tcPr>
            <w:tcW w:w="670" w:type="dxa"/>
          </w:tcPr>
          <w:p w:rsidR="00492D45" w:rsidRPr="00E97254" w:rsidRDefault="004E1F53" w:rsidP="000C0250">
            <w:pPr>
              <w:spacing w:after="0"/>
              <w:jc w:val="right"/>
              <w:rPr>
                <w:rFonts w:eastAsia="Times New Roman" w:cstheme="minorHAnsi"/>
                <w:color w:val="000000"/>
                <w:sz w:val="18"/>
                <w:szCs w:val="18"/>
              </w:rPr>
            </w:pPr>
            <w:r>
              <w:rPr>
                <w:rFonts w:eastAsia="Times New Roman" w:cstheme="minorHAnsi"/>
                <w:color w:val="000000"/>
                <w:sz w:val="18"/>
                <w:szCs w:val="18"/>
              </w:rPr>
              <w:t>93.9</w:t>
            </w:r>
          </w:p>
        </w:tc>
        <w:tc>
          <w:tcPr>
            <w:tcW w:w="667" w:type="dxa"/>
          </w:tcPr>
          <w:p w:rsidR="00492D45" w:rsidRPr="00E97254" w:rsidRDefault="004E1F53" w:rsidP="000C0250">
            <w:pPr>
              <w:spacing w:after="0"/>
              <w:jc w:val="right"/>
              <w:rPr>
                <w:rFonts w:eastAsia="Times New Roman" w:cstheme="minorHAnsi"/>
                <w:color w:val="000000"/>
                <w:sz w:val="18"/>
                <w:szCs w:val="18"/>
              </w:rPr>
            </w:pPr>
            <w:r>
              <w:rPr>
                <w:rFonts w:ascii="Calibri" w:eastAsia="Times New Roman" w:hAnsi="Calibri" w:cs="Calibri"/>
                <w:color w:val="000000"/>
                <w:sz w:val="18"/>
                <w:szCs w:val="18"/>
              </w:rPr>
              <w:t>76.7</w:t>
            </w:r>
          </w:p>
        </w:tc>
        <w:tc>
          <w:tcPr>
            <w:tcW w:w="670" w:type="dxa"/>
          </w:tcPr>
          <w:p w:rsidR="00492D45" w:rsidRPr="00E97254" w:rsidRDefault="004E1F53" w:rsidP="000C0250">
            <w:pPr>
              <w:spacing w:after="0"/>
              <w:jc w:val="right"/>
              <w:rPr>
                <w:rFonts w:eastAsia="Times New Roman" w:cstheme="minorHAnsi"/>
                <w:color w:val="000000"/>
                <w:sz w:val="18"/>
                <w:szCs w:val="18"/>
              </w:rPr>
            </w:pPr>
            <w:r>
              <w:rPr>
                <w:rFonts w:eastAsia="Times New Roman" w:cstheme="minorHAnsi"/>
                <w:color w:val="000000"/>
                <w:sz w:val="18"/>
                <w:szCs w:val="18"/>
              </w:rPr>
              <w:t>95.6</w:t>
            </w:r>
          </w:p>
        </w:tc>
        <w:tc>
          <w:tcPr>
            <w:tcW w:w="667" w:type="dxa"/>
          </w:tcPr>
          <w:p w:rsidR="00492D45" w:rsidRPr="00E97254" w:rsidRDefault="004E1F53" w:rsidP="000C0250">
            <w:pPr>
              <w:spacing w:after="0"/>
              <w:jc w:val="right"/>
              <w:rPr>
                <w:rFonts w:eastAsia="Times New Roman" w:cstheme="minorHAnsi"/>
                <w:color w:val="000000"/>
                <w:sz w:val="18"/>
                <w:szCs w:val="18"/>
              </w:rPr>
            </w:pPr>
            <w:r>
              <w:rPr>
                <w:rFonts w:ascii="Calibri" w:eastAsia="Times New Roman" w:hAnsi="Calibri" w:cs="Calibri"/>
                <w:color w:val="000000"/>
                <w:sz w:val="18"/>
                <w:szCs w:val="18"/>
              </w:rPr>
              <w:t>77.4</w:t>
            </w:r>
          </w:p>
        </w:tc>
      </w:tr>
    </w:tbl>
    <w:p w:rsidR="008D2A7A" w:rsidRPr="00E97254" w:rsidRDefault="004E1F53" w:rsidP="000C0250">
      <w:pPr>
        <w:autoSpaceDE w:val="0"/>
        <w:autoSpaceDN w:val="0"/>
        <w:adjustRightInd w:val="0"/>
        <w:spacing w:before="120" w:after="0"/>
        <w:jc w:val="both"/>
        <w:rPr>
          <w:rFonts w:ascii="Calibri" w:hAnsi="Calibri" w:cs="Calibri"/>
        </w:rPr>
      </w:pPr>
      <w:r>
        <w:rPr>
          <w:rFonts w:ascii="Calibri" w:hAnsi="Calibri" w:cs="Calibri"/>
        </w:rPr>
        <w:t xml:space="preserve">Gjithëpërfshirja në arsim është pjesë përbërëse e </w:t>
      </w:r>
      <w:r w:rsidR="00A50A43">
        <w:rPr>
          <w:rFonts w:ascii="Calibri" w:hAnsi="Calibri" w:cs="Calibri"/>
        </w:rPr>
        <w:t>OZHQ</w:t>
      </w:r>
      <w:r>
        <w:rPr>
          <w:rFonts w:ascii="Calibri" w:hAnsi="Calibri" w:cs="Calibri"/>
        </w:rPr>
        <w:t>4</w:t>
      </w:r>
      <w:r w:rsidR="00430AE7">
        <w:rPr>
          <w:rFonts w:ascii="Calibri" w:hAnsi="Calibri" w:cs="Calibri"/>
        </w:rPr>
        <w:t>-</w:t>
      </w:r>
      <w:r w:rsidR="00430AE7" w:rsidRPr="00E97254">
        <w:rPr>
          <w:rFonts w:ascii="Calibri" w:hAnsi="Calibri" w:cs="Calibri"/>
        </w:rPr>
        <w:t>ë</w:t>
      </w:r>
      <w:r w:rsidR="00430AE7">
        <w:rPr>
          <w:rFonts w:ascii="Calibri" w:hAnsi="Calibri" w:cs="Calibri"/>
        </w:rPr>
        <w:t>s</w:t>
      </w:r>
      <w:r w:rsidR="008D2A7A" w:rsidRPr="00E97254">
        <w:rPr>
          <w:rFonts w:ascii="Calibri" w:hAnsi="Calibri" w:cs="Calibri"/>
        </w:rPr>
        <w:t xml:space="preserve"> dhe nënkupton krijimin e kushteve që të gjithë </w:t>
      </w:r>
      <w:r w:rsidR="00705CFF" w:rsidRPr="00E97254">
        <w:rPr>
          <w:rFonts w:ascii="Calibri" w:hAnsi="Calibri" w:cs="Calibri"/>
        </w:rPr>
        <w:t>djemtë dhe vajzat</w:t>
      </w:r>
      <w:r w:rsidR="008D2A7A" w:rsidRPr="00E97254">
        <w:rPr>
          <w:rFonts w:ascii="Calibri" w:hAnsi="Calibri" w:cs="Calibri"/>
        </w:rPr>
        <w:t xml:space="preserve">, pavarësisht aftësive dhe karakteristikave të tjera, të vijojnë mësimet </w:t>
      </w:r>
      <w:r w:rsidR="00F6679C" w:rsidRPr="00E97254">
        <w:rPr>
          <w:rFonts w:ascii="Calibri" w:hAnsi="Calibri" w:cs="Calibri"/>
        </w:rPr>
        <w:t xml:space="preserve">bashkë, duke </w:t>
      </w:r>
      <w:r w:rsidR="00430AE7">
        <w:rPr>
          <w:rFonts w:ascii="Calibri" w:hAnsi="Calibri" w:cs="Calibri"/>
        </w:rPr>
        <w:t>u</w:t>
      </w:r>
      <w:r w:rsidR="00430AE7" w:rsidRPr="00E97254">
        <w:rPr>
          <w:rFonts w:ascii="Calibri" w:hAnsi="Calibri" w:cs="Calibri"/>
        </w:rPr>
        <w:t xml:space="preserve"> </w:t>
      </w:r>
      <w:r w:rsidR="00F6679C" w:rsidRPr="00E97254">
        <w:rPr>
          <w:rFonts w:ascii="Calibri" w:hAnsi="Calibri" w:cs="Calibri"/>
        </w:rPr>
        <w:t>kujdes</w:t>
      </w:r>
      <w:r w:rsidR="00430AE7">
        <w:rPr>
          <w:rFonts w:ascii="Calibri" w:hAnsi="Calibri" w:cs="Calibri"/>
        </w:rPr>
        <w:t>ur</w:t>
      </w:r>
      <w:r w:rsidR="00F6679C" w:rsidRPr="00E97254">
        <w:rPr>
          <w:rFonts w:ascii="Calibri" w:hAnsi="Calibri" w:cs="Calibri"/>
        </w:rPr>
        <w:t xml:space="preserve"> për nevojat individuale të tyre. Gjithëpërfshirja ka qenë në fokus të politikave arsimore në Shqipëri në dekadën e fundit,</w:t>
      </w:r>
      <w:r w:rsidR="002B257B" w:rsidRPr="00E97254">
        <w:rPr>
          <w:rFonts w:ascii="Calibri" w:hAnsi="Calibri" w:cs="Calibri"/>
        </w:rPr>
        <w:t xml:space="preserve"> </w:t>
      </w:r>
      <w:r w:rsidR="00F6679C" w:rsidRPr="00E97254">
        <w:rPr>
          <w:rFonts w:ascii="Calibri" w:hAnsi="Calibri" w:cs="Calibri"/>
        </w:rPr>
        <w:t xml:space="preserve">duke synuar rritjen e pjesëmarrjes në </w:t>
      </w:r>
      <w:r w:rsidR="00546F08" w:rsidRPr="00E97254">
        <w:rPr>
          <w:rFonts w:ascii="Calibri" w:hAnsi="Calibri" w:cs="Calibri"/>
        </w:rPr>
        <w:t>arsim</w:t>
      </w:r>
      <w:r w:rsidR="00F6679C" w:rsidRPr="00E97254">
        <w:rPr>
          <w:rFonts w:ascii="Calibri" w:hAnsi="Calibri" w:cs="Calibri"/>
        </w:rPr>
        <w:t xml:space="preserve"> në fëmijërinë e hershme</w:t>
      </w:r>
      <w:r w:rsidR="00546F08" w:rsidRPr="00E97254">
        <w:rPr>
          <w:rFonts w:ascii="Calibri" w:hAnsi="Calibri" w:cs="Calibri"/>
        </w:rPr>
        <w:t xml:space="preserve">, si dhe të pjesëmarrjes në arsim të </w:t>
      </w:r>
      <w:r w:rsidR="00F6679C" w:rsidRPr="00E97254">
        <w:rPr>
          <w:rFonts w:ascii="Calibri" w:hAnsi="Calibri" w:cs="Calibri"/>
        </w:rPr>
        <w:t>fëmijë</w:t>
      </w:r>
      <w:r w:rsidR="00546F08" w:rsidRPr="00E97254">
        <w:rPr>
          <w:rFonts w:ascii="Calibri" w:hAnsi="Calibri" w:cs="Calibri"/>
        </w:rPr>
        <w:t>ve</w:t>
      </w:r>
      <w:r w:rsidR="00F6679C" w:rsidRPr="00E97254">
        <w:rPr>
          <w:rFonts w:ascii="Calibri" w:hAnsi="Calibri" w:cs="Calibri"/>
        </w:rPr>
        <w:t xml:space="preserve"> nga grupet </w:t>
      </w:r>
      <w:r w:rsidR="00546F08" w:rsidRPr="00E97254">
        <w:rPr>
          <w:rFonts w:ascii="Calibri" w:hAnsi="Calibri" w:cs="Calibri"/>
        </w:rPr>
        <w:t xml:space="preserve">vulnerabël. </w:t>
      </w:r>
      <w:r w:rsidR="00747FB5" w:rsidRPr="00E97254">
        <w:rPr>
          <w:rFonts w:ascii="Calibri" w:hAnsi="Calibri" w:cs="Calibri"/>
        </w:rPr>
        <w:t>MASR</w:t>
      </w:r>
      <w:r w:rsidR="00430AE7">
        <w:rPr>
          <w:rFonts w:ascii="Calibri" w:hAnsi="Calibri" w:cs="Calibri"/>
        </w:rPr>
        <w:t>-ja</w:t>
      </w:r>
      <w:r w:rsidR="00747FB5" w:rsidRPr="00E97254">
        <w:rPr>
          <w:rFonts w:ascii="Calibri" w:hAnsi="Calibri" w:cs="Calibri"/>
        </w:rPr>
        <w:t>, në vitin 2016, miratoi dokumentin ”Edukimi dhe formimi i mësuesve për gjithpërfshirjen – Profili i mësuesit gjithëpërfshirës” me qëllim evidentimin e aftësive thelbësore, dijeve, qëndrimeve dhe vlerave që duhet të ketë gjithsecili mësues, si ai që përgatitet t’i bashkohet radhëve të profesionit të mësuesisë</w:t>
      </w:r>
      <w:r w:rsidR="00430AE7">
        <w:rPr>
          <w:rFonts w:ascii="Calibri" w:hAnsi="Calibri" w:cs="Calibri"/>
        </w:rPr>
        <w:t>,</w:t>
      </w:r>
      <w:r w:rsidR="00747FB5" w:rsidRPr="00E97254">
        <w:rPr>
          <w:rFonts w:ascii="Calibri" w:hAnsi="Calibri" w:cs="Calibri"/>
        </w:rPr>
        <w:t xml:space="preserve"> ashtu dhe ai që është në shërbim, si profesionist </w:t>
      </w:r>
      <w:r w:rsidR="00430AE7" w:rsidRPr="00E97254">
        <w:rPr>
          <w:rFonts w:ascii="Calibri" w:hAnsi="Calibri" w:cs="Calibri"/>
        </w:rPr>
        <w:t>gjithëpërfshirës</w:t>
      </w:r>
      <w:sdt>
        <w:sdtPr>
          <w:rPr>
            <w:rFonts w:ascii="Calibri" w:hAnsi="Calibri" w:cs="Calibri"/>
          </w:rPr>
          <w:id w:val="844593122"/>
          <w:citation/>
        </w:sdtPr>
        <w:sdtEndPr/>
        <w:sdtContent>
          <w:r w:rsidR="00EC56B7" w:rsidRPr="00E97254">
            <w:rPr>
              <w:rFonts w:ascii="Calibri" w:hAnsi="Calibri" w:cs="Calibri"/>
            </w:rPr>
            <w:fldChar w:fldCharType="begin"/>
          </w:r>
          <w:r>
            <w:rPr>
              <w:rFonts w:ascii="Calibri" w:hAnsi="Calibri" w:cs="Calibri"/>
            </w:rPr>
            <w:instrText xml:space="preserve">CITATION MAS161 \l 1033 </w:instrText>
          </w:r>
          <w:r w:rsidR="00EC56B7" w:rsidRPr="00E97254">
            <w:rPr>
              <w:rFonts w:ascii="Calibri" w:hAnsi="Calibri" w:cs="Calibri"/>
            </w:rPr>
            <w:fldChar w:fldCharType="separate"/>
          </w:r>
          <w:r w:rsidR="00724BCC" w:rsidRPr="00E97254">
            <w:rPr>
              <w:rFonts w:ascii="Calibri" w:hAnsi="Calibri" w:cs="Calibri"/>
            </w:rPr>
            <w:t xml:space="preserve"> [38]</w:t>
          </w:r>
          <w:r w:rsidR="00EC56B7" w:rsidRPr="00E97254">
            <w:rPr>
              <w:rFonts w:ascii="Calibri" w:hAnsi="Calibri" w:cs="Calibri"/>
            </w:rPr>
            <w:fldChar w:fldCharType="end"/>
          </w:r>
        </w:sdtContent>
      </w:sdt>
      <w:r w:rsidR="00C22BCE" w:rsidRPr="00E97254">
        <w:rPr>
          <w:rFonts w:ascii="Calibri" w:hAnsi="Calibri" w:cs="Calibri"/>
        </w:rPr>
        <w:t>.</w:t>
      </w:r>
      <w:r w:rsidR="00546F08" w:rsidRPr="00E97254">
        <w:rPr>
          <w:rFonts w:ascii="Calibri" w:hAnsi="Calibri" w:cs="Calibri"/>
        </w:rPr>
        <w:t xml:space="preserve"> Kjo ka bërë që edhe shoqëria të ndërgjegjësohet për nevojën e përfshirjes së fëmijëve nga grupet vulnerabël,</w:t>
      </w:r>
      <w:r w:rsidR="002B257B" w:rsidRPr="00E97254">
        <w:rPr>
          <w:rFonts w:ascii="Calibri" w:hAnsi="Calibri" w:cs="Calibri"/>
        </w:rPr>
        <w:t xml:space="preserve"> </w:t>
      </w:r>
      <w:r w:rsidR="00546F08" w:rsidRPr="00E97254">
        <w:rPr>
          <w:rFonts w:ascii="Calibri" w:hAnsi="Calibri" w:cs="Calibri"/>
        </w:rPr>
        <w:t xml:space="preserve">gjë që ka </w:t>
      </w:r>
      <w:r w:rsidR="00430AE7">
        <w:rPr>
          <w:rFonts w:ascii="Calibri" w:hAnsi="Calibri" w:cs="Calibri"/>
        </w:rPr>
        <w:t>sjell</w:t>
      </w:r>
      <w:r w:rsidR="00430AE7" w:rsidRPr="00E97254">
        <w:rPr>
          <w:rFonts w:ascii="Calibri" w:hAnsi="Calibri" w:cs="Calibri"/>
        </w:rPr>
        <w:t xml:space="preserve">ë </w:t>
      </w:r>
      <w:r w:rsidR="00546F08" w:rsidRPr="00E97254">
        <w:rPr>
          <w:rFonts w:ascii="Calibri" w:hAnsi="Calibri" w:cs="Calibri"/>
        </w:rPr>
        <w:t xml:space="preserve">rritjen e pjesëmarrjes </w:t>
      </w:r>
      <w:r w:rsidR="00430AE7">
        <w:rPr>
          <w:rFonts w:ascii="Calibri" w:hAnsi="Calibri" w:cs="Calibri"/>
        </w:rPr>
        <w:t>s</w:t>
      </w:r>
      <w:r w:rsidR="00430AE7" w:rsidRPr="00E97254">
        <w:rPr>
          <w:rFonts w:ascii="Calibri" w:hAnsi="Calibri" w:cs="Calibri"/>
        </w:rPr>
        <w:t xml:space="preserve">ë </w:t>
      </w:r>
      <w:r w:rsidR="00546F08" w:rsidRPr="00E97254">
        <w:rPr>
          <w:rFonts w:cs="Calibri"/>
        </w:rPr>
        <w:t>fëmijë</w:t>
      </w:r>
      <w:r w:rsidR="004147F6" w:rsidRPr="00E97254">
        <w:rPr>
          <w:rFonts w:cs="Calibri"/>
        </w:rPr>
        <w:t>ve</w:t>
      </w:r>
      <w:r w:rsidR="00546F08" w:rsidRPr="00E97254">
        <w:rPr>
          <w:rFonts w:ascii="Calibri" w:hAnsi="Calibri" w:cs="Calibri"/>
        </w:rPr>
        <w:t xml:space="preserve"> me aft</w:t>
      </w:r>
      <w:r w:rsidR="00B279FB" w:rsidRPr="00E97254">
        <w:rPr>
          <w:rFonts w:ascii="Calibri" w:hAnsi="Calibri" w:cs="Calibri"/>
        </w:rPr>
        <w:t>ës</w:t>
      </w:r>
      <w:r w:rsidR="00546F08" w:rsidRPr="00E97254">
        <w:rPr>
          <w:rFonts w:ascii="Calibri" w:hAnsi="Calibri" w:cs="Calibri"/>
        </w:rPr>
        <w:t>i t</w:t>
      </w:r>
      <w:r w:rsidR="00B279FB" w:rsidRPr="00E97254">
        <w:rPr>
          <w:rFonts w:ascii="Calibri" w:hAnsi="Calibri" w:cs="Calibri"/>
        </w:rPr>
        <w:t>ë kuf</w:t>
      </w:r>
      <w:r w:rsidR="00546F08" w:rsidRPr="00E97254">
        <w:rPr>
          <w:rFonts w:ascii="Calibri" w:hAnsi="Calibri" w:cs="Calibri"/>
        </w:rPr>
        <w:t xml:space="preserve">izuara, si dhe fëmijëve nga </w:t>
      </w:r>
      <w:r w:rsidR="00CE2B32" w:rsidRPr="00E97254">
        <w:rPr>
          <w:rFonts w:cs="Calibri"/>
        </w:rPr>
        <w:t>pakicat</w:t>
      </w:r>
      <w:r w:rsidR="00546F08" w:rsidRPr="00E97254">
        <w:rPr>
          <w:rFonts w:cs="Calibri"/>
        </w:rPr>
        <w:t xml:space="preserve"> rom</w:t>
      </w:r>
      <w:r w:rsidR="004147F6" w:rsidRPr="00E97254">
        <w:rPr>
          <w:rFonts w:cs="Calibri"/>
        </w:rPr>
        <w:t>e</w:t>
      </w:r>
      <w:r w:rsidR="00546F08" w:rsidRPr="00E97254">
        <w:rPr>
          <w:rFonts w:ascii="Calibri" w:hAnsi="Calibri" w:cs="Calibri"/>
        </w:rPr>
        <w:t xml:space="preserve"> dhe </w:t>
      </w:r>
      <w:r w:rsidR="001B2837" w:rsidRPr="00E97254">
        <w:rPr>
          <w:rFonts w:cs="Calibri"/>
        </w:rPr>
        <w:t>egjiptian</w:t>
      </w:r>
      <w:r>
        <w:rPr>
          <w:rFonts w:cs="Calibri"/>
        </w:rPr>
        <w:t>e</w:t>
      </w:r>
      <w:r>
        <w:rPr>
          <w:rFonts w:ascii="Calibri" w:hAnsi="Calibri" w:cs="Calibri"/>
        </w:rPr>
        <w:t>. MASR</w:t>
      </w:r>
      <w:r w:rsidR="00430AE7">
        <w:rPr>
          <w:rFonts w:ascii="Calibri" w:hAnsi="Calibri" w:cs="Calibri"/>
        </w:rPr>
        <w:t>-ja</w:t>
      </w:r>
      <w:r w:rsidR="0079423F" w:rsidRPr="00E97254">
        <w:rPr>
          <w:rFonts w:ascii="Calibri" w:hAnsi="Calibri" w:cs="Calibri"/>
        </w:rPr>
        <w:t xml:space="preserve"> është e angazhuar të sigurojë arsim gjithëpërfshirës për të gjithë fëmijët, por ende duhet të ngrihen disa t</w:t>
      </w:r>
      <w:r>
        <w:rPr>
          <w:rFonts w:ascii="Calibri" w:hAnsi="Calibri" w:cs="Calibri"/>
        </w:rPr>
        <w:t xml:space="preserve">hemele të rëndësishme për </w:t>
      </w:r>
      <w:r>
        <w:rPr>
          <w:rFonts w:cs="Calibri"/>
        </w:rPr>
        <w:t>pjesëmarrjen</w:t>
      </w:r>
      <w:r>
        <w:rPr>
          <w:rFonts w:ascii="Calibri" w:hAnsi="Calibri" w:cs="Calibri"/>
        </w:rPr>
        <w:t xml:space="preserve"> në </w:t>
      </w:r>
      <w:r>
        <w:rPr>
          <w:rFonts w:cs="Calibri"/>
        </w:rPr>
        <w:t>arsim</w:t>
      </w:r>
      <w:r>
        <w:rPr>
          <w:rFonts w:ascii="Calibri" w:hAnsi="Calibri" w:cs="Calibri"/>
        </w:rPr>
        <w:t xml:space="preserve"> të gjithë fëmijëve me aftësi të kufizuara. Shkollat ende nuk përmbushin gjithë standardet e gjithëpërfshirjes</w:t>
      </w:r>
      <w:r w:rsidR="00430AE7">
        <w:rPr>
          <w:rFonts w:ascii="Calibri" w:hAnsi="Calibri" w:cs="Calibri"/>
        </w:rPr>
        <w:t>,</w:t>
      </w:r>
      <w:r w:rsidR="0079423F" w:rsidRPr="00E97254">
        <w:rPr>
          <w:rFonts w:ascii="Calibri" w:hAnsi="Calibri" w:cs="Calibri"/>
        </w:rPr>
        <w:t xml:space="preserve"> </w:t>
      </w:r>
      <w:r w:rsidR="009B776F" w:rsidRPr="00E97254">
        <w:rPr>
          <w:rFonts w:ascii="Calibri" w:hAnsi="Calibri" w:cs="Calibri"/>
        </w:rPr>
        <w:t>si</w:t>
      </w:r>
      <w:r w:rsidR="002B257B" w:rsidRPr="00E97254">
        <w:rPr>
          <w:rFonts w:ascii="Calibri" w:hAnsi="Calibri" w:cs="Calibri"/>
        </w:rPr>
        <w:t xml:space="preserve"> </w:t>
      </w:r>
      <w:r w:rsidR="009B776F" w:rsidRPr="00E97254">
        <w:rPr>
          <w:rFonts w:ascii="Calibri" w:hAnsi="Calibri" w:cs="Calibri"/>
        </w:rPr>
        <w:t>infrastruktura dhe ambientet fizike në shkolla, kurrikula, vlerësimi, pajisjet për aftësinë e k</w:t>
      </w:r>
      <w:r>
        <w:rPr>
          <w:rFonts w:ascii="Calibri" w:hAnsi="Calibri" w:cs="Calibri"/>
        </w:rPr>
        <w:t>ufizuar.</w:t>
      </w:r>
      <w:r>
        <w:rPr>
          <w:rFonts w:ascii="Arial" w:hAnsi="Arial" w:cs="Arial"/>
          <w:sz w:val="26"/>
          <w:szCs w:val="26"/>
        </w:rPr>
        <w:t xml:space="preserve"> </w:t>
      </w:r>
    </w:p>
    <w:p w:rsidR="00B5139A" w:rsidRPr="00E97254" w:rsidRDefault="004E1F53" w:rsidP="000C0250">
      <w:pPr>
        <w:spacing w:after="0"/>
        <w:jc w:val="both"/>
        <w:rPr>
          <w:rFonts w:ascii="Calibri" w:hAnsi="Calibri" w:cs="Calibri"/>
        </w:rPr>
      </w:pPr>
      <w:r>
        <w:rPr>
          <w:rFonts w:ascii="Calibri" w:hAnsi="Calibri" w:cs="Calibri"/>
        </w:rPr>
        <w:t xml:space="preserve">Nevojitet zhvillimi i mëtejshëm i politikave  multi-sektoriale të edukimit të fëmijërisë së hershme për koordinimin e aktiviteteve në këtë fushë </w:t>
      </w:r>
      <w:sdt>
        <w:sdtPr>
          <w:rPr>
            <w:rFonts w:ascii="Calibri" w:hAnsi="Calibri" w:cs="Calibri"/>
          </w:rPr>
          <w:id w:val="108402868"/>
          <w:citation/>
        </w:sdtPr>
        <w:sdtEndPr/>
        <w:sdtContent>
          <w:r w:rsidR="00EC56B7" w:rsidRPr="00E97254">
            <w:rPr>
              <w:rFonts w:ascii="Calibri" w:hAnsi="Calibri" w:cs="Calibri"/>
            </w:rPr>
            <w:fldChar w:fldCharType="begin"/>
          </w:r>
          <w:r>
            <w:rPr>
              <w:rFonts w:ascii="Calibri" w:hAnsi="Calibri" w:cs="Calibri"/>
            </w:rPr>
            <w:instrText xml:space="preserve"> CITATION Sys14 \l 1033 </w:instrText>
          </w:r>
          <w:r w:rsidR="00EC56B7" w:rsidRPr="00E97254">
            <w:rPr>
              <w:rFonts w:ascii="Calibri" w:hAnsi="Calibri" w:cs="Calibri"/>
            </w:rPr>
            <w:fldChar w:fldCharType="separate"/>
          </w:r>
          <w:r w:rsidR="00724BCC" w:rsidRPr="00E97254">
            <w:rPr>
              <w:rFonts w:ascii="Calibri" w:hAnsi="Calibri" w:cs="Calibri"/>
            </w:rPr>
            <w:t>[39]</w:t>
          </w:r>
          <w:r w:rsidR="00EC56B7" w:rsidRPr="00E97254">
            <w:rPr>
              <w:rFonts w:ascii="Calibri" w:hAnsi="Calibri" w:cs="Calibri"/>
            </w:rPr>
            <w:fldChar w:fldCharType="end"/>
          </w:r>
        </w:sdtContent>
      </w:sdt>
      <w:r w:rsidR="00B5139A" w:rsidRPr="00E97254">
        <w:rPr>
          <w:rFonts w:ascii="Calibri" w:hAnsi="Calibri" w:cs="Calibri"/>
        </w:rPr>
        <w:t>.</w:t>
      </w:r>
      <w:r w:rsidR="006C37D2" w:rsidRPr="00E97254">
        <w:rPr>
          <w:rFonts w:ascii="Calibri" w:hAnsi="Calibri" w:cs="Calibri"/>
        </w:rPr>
        <w:t xml:space="preserve"> </w:t>
      </w:r>
      <w:r w:rsidR="006D488A" w:rsidRPr="00E97254">
        <w:rPr>
          <w:rFonts w:ascii="Calibri" w:hAnsi="Calibri" w:cs="Calibri"/>
        </w:rPr>
        <w:t>Në fushën e infrastrukturës dhe shërbimeve publike, bashkitë janë përg</w:t>
      </w:r>
      <w:r>
        <w:rPr>
          <w:rFonts w:ascii="Calibri" w:hAnsi="Calibri" w:cs="Calibri"/>
        </w:rPr>
        <w:t xml:space="preserve">jegjëse për administrimin dhe rregullimin e sistemit arsimor parashkollor në kopshte dhe çerdhe. </w:t>
      </w:r>
      <w:r>
        <w:t>Referuar pikës 12 të nenit 23 të ligjit nr. 139/2015, të ndryshuar, administrimin dhe rregullimin e sistemit arsimor parashkollor në kopshte dhe çerdhe e kanë njësitë e vetëqeverisjes vendore.</w:t>
      </w:r>
      <w:r>
        <w:rPr>
          <w:rFonts w:ascii="Calibri" w:hAnsi="Calibri" w:cs="Calibri"/>
        </w:rPr>
        <w:t xml:space="preserve"> Ndërkaq, klasat përgatitore janë nën përgjegjësinë e Ministrisë </w:t>
      </w:r>
      <w:r>
        <w:rPr>
          <w:rFonts w:cs="Calibri"/>
        </w:rPr>
        <w:t>së</w:t>
      </w:r>
      <w:r>
        <w:rPr>
          <w:rFonts w:ascii="Calibri" w:hAnsi="Calibri" w:cs="Calibri"/>
        </w:rPr>
        <w:t xml:space="preserve"> Arsimit,</w:t>
      </w:r>
      <w:r w:rsidR="00430AE7">
        <w:rPr>
          <w:rFonts w:ascii="Calibri" w:hAnsi="Calibri" w:cs="Calibri"/>
        </w:rPr>
        <w:t xml:space="preserve"> </w:t>
      </w:r>
      <w:r w:rsidR="006E28BB" w:rsidRPr="00E97254">
        <w:rPr>
          <w:rFonts w:ascii="Calibri" w:hAnsi="Calibri" w:cs="Calibri"/>
        </w:rPr>
        <w:t>Sportit dhe Rinis</w:t>
      </w:r>
      <w:r w:rsidR="00430AE7" w:rsidRPr="00E97254">
        <w:rPr>
          <w:rFonts w:ascii="Calibri" w:hAnsi="Calibri" w:cs="Calibri"/>
        </w:rPr>
        <w:t>ë</w:t>
      </w:r>
      <w:r w:rsidR="006E28BB" w:rsidRPr="00E97254">
        <w:rPr>
          <w:rFonts w:ascii="Calibri" w:hAnsi="Calibri" w:cs="Calibri"/>
        </w:rPr>
        <w:t>.</w:t>
      </w:r>
    </w:p>
    <w:p w:rsidR="00813D4C" w:rsidRPr="00E97254" w:rsidRDefault="00813D4C" w:rsidP="000C0250">
      <w:pPr>
        <w:spacing w:after="0"/>
        <w:jc w:val="both"/>
        <w:rPr>
          <w:rFonts w:ascii="Calibri" w:hAnsi="Calibri" w:cs="Calibri"/>
        </w:rPr>
      </w:pPr>
    </w:p>
    <w:p w:rsidR="00B279FB" w:rsidRPr="00E97254" w:rsidRDefault="004E1F53" w:rsidP="000C0250">
      <w:pPr>
        <w:spacing w:after="0"/>
        <w:jc w:val="both"/>
        <w:rPr>
          <w:rFonts w:ascii="Calibri" w:hAnsi="Calibri" w:cs="Calibri"/>
          <w:color w:val="FF0000"/>
        </w:rPr>
      </w:pPr>
      <w:r>
        <w:rPr>
          <w:rFonts w:ascii="Calibri" w:hAnsi="Calibri" w:cs="Calibri"/>
        </w:rPr>
        <w:t xml:space="preserve">Me Strategjinë e Arsimit Parauniversitar 2014-2020 është synuar që 95% e fëmijëve të grupmoshës 5-6 vjeç (duke përfshirë fëmijët me aftësi të kufizuara) të përfshihen në klasa përgatitore, ndërsa 90% e grupmoshës 3-5 vjeç të përfshihen në forma të ndryshme të arsimit parashkollor </w:t>
      </w:r>
      <w:sdt>
        <w:sdtPr>
          <w:rPr>
            <w:rFonts w:ascii="Calibri" w:hAnsi="Calibri" w:cs="Calibri"/>
          </w:rPr>
          <w:id w:val="-2144333294"/>
          <w:citation/>
        </w:sdtPr>
        <w:sdtEndPr/>
        <w:sdtContent>
          <w:r w:rsidR="00EC56B7" w:rsidRPr="00E97254">
            <w:rPr>
              <w:rFonts w:ascii="Calibri" w:hAnsi="Calibri" w:cs="Calibri"/>
            </w:rPr>
            <w:fldChar w:fldCharType="begin"/>
          </w:r>
          <w:r>
            <w:rPr>
              <w:rFonts w:ascii="Calibri" w:hAnsi="Calibri" w:cs="Calibri"/>
            </w:rPr>
            <w:instrText xml:space="preserve"> CITATION QBZ16 \l 1033 </w:instrText>
          </w:r>
          <w:r w:rsidR="00EC56B7" w:rsidRPr="00E97254">
            <w:rPr>
              <w:rFonts w:ascii="Calibri" w:hAnsi="Calibri" w:cs="Calibri"/>
            </w:rPr>
            <w:fldChar w:fldCharType="separate"/>
          </w:r>
          <w:r w:rsidR="00724BCC" w:rsidRPr="00E97254">
            <w:rPr>
              <w:rFonts w:ascii="Calibri" w:hAnsi="Calibri" w:cs="Calibri"/>
            </w:rPr>
            <w:t>[2]</w:t>
          </w:r>
          <w:r w:rsidR="00EC56B7" w:rsidRPr="00E97254">
            <w:rPr>
              <w:rFonts w:ascii="Calibri" w:hAnsi="Calibri" w:cs="Calibri"/>
            </w:rPr>
            <w:fldChar w:fldCharType="end"/>
          </w:r>
        </w:sdtContent>
      </w:sdt>
      <w:r w:rsidR="00633AF1" w:rsidRPr="00E97254">
        <w:rPr>
          <w:rFonts w:ascii="Calibri" w:hAnsi="Calibri" w:cs="Calibri"/>
        </w:rPr>
        <w:t xml:space="preserve">. Megjithëse këto objektiva nuk janë arritur, në mungesë të buxhetit dhe modeleve efikase, janë shënuar rezultate të rëndësishme në avancimin e cilësisë së arsimit parashkollor. </w:t>
      </w:r>
      <w:r>
        <w:rPr>
          <w:rFonts w:ascii="Calibri" w:hAnsi="Calibri" w:cs="Calibri"/>
        </w:rPr>
        <w:t xml:space="preserve">Kështu, është hartuar Kurrikula e re e arsimit parashkollor, që </w:t>
      </w:r>
      <w:r>
        <w:rPr>
          <w:rFonts w:cs="Calibri"/>
        </w:rPr>
        <w:t>përfshin</w:t>
      </w:r>
      <w:r>
        <w:rPr>
          <w:rFonts w:ascii="Calibri" w:hAnsi="Calibri" w:cs="Calibri"/>
        </w:rPr>
        <w:t xml:space="preserve"> </w:t>
      </w:r>
      <w:r>
        <w:t xml:space="preserve">dokumentin e Kornizës kurrikulare, standardet e zhvillimit dhe të nxënit, programet për secilën grup-moshë dhe </w:t>
      </w:r>
      <w:r>
        <w:rPr>
          <w:rFonts w:ascii="Calibri" w:hAnsi="Calibri" w:cs="Calibri"/>
        </w:rPr>
        <w:t xml:space="preserve"> kornizën e vlerësimit. Po ashtu, për herë të parë</w:t>
      </w:r>
      <w:r w:rsidR="00430AE7">
        <w:rPr>
          <w:rFonts w:ascii="Calibri" w:hAnsi="Calibri" w:cs="Calibri"/>
        </w:rPr>
        <w:t>,</w:t>
      </w:r>
      <w:r w:rsidR="00747FB5" w:rsidRPr="00E97254">
        <w:rPr>
          <w:rFonts w:ascii="Calibri" w:hAnsi="Calibri" w:cs="Calibri"/>
        </w:rPr>
        <w:t xml:space="preserve"> janë zhvilluar Standardet e zhvillimit dhe të nxënit për moshën 0-3 vjeç.</w:t>
      </w:r>
      <w:r>
        <w:rPr>
          <w:rFonts w:ascii="Calibri" w:hAnsi="Calibri" w:cs="Calibri"/>
        </w:rPr>
        <w:t xml:space="preserve"> Në zonat urbane ekziston nevoja për infrastrukturë të re të arsimit parashkollor, ndërkohë që në zonat rurale ekziston mundësia e shfrytëzimit të hapësirave ekzistuese në shkolla që janë liruar si rezultat i rënies demografike. Prej vitit 2015, arsimi </w:t>
      </w:r>
      <w:r>
        <w:rPr>
          <w:rFonts w:ascii="Calibri" w:hAnsi="Calibri" w:cs="Calibri"/>
        </w:rPr>
        <w:lastRenderedPageBreak/>
        <w:t xml:space="preserve">parashkollor administrohet nga pushteti vendor, gjë që </w:t>
      </w:r>
      <w:r w:rsidR="003F1AEA">
        <w:rPr>
          <w:rFonts w:ascii="Calibri" w:hAnsi="Calibri" w:cs="Calibri"/>
        </w:rPr>
        <w:t xml:space="preserve">shkakton </w:t>
      </w:r>
      <w:r>
        <w:rPr>
          <w:rFonts w:ascii="Calibri" w:hAnsi="Calibri" w:cs="Calibri"/>
        </w:rPr>
        <w:t xml:space="preserve">ndonjëherë koordinim jo të mirë me strukturat e pushtetit qendror dhe mungesë të investimeve në këtë nivel të arsimit. </w:t>
      </w:r>
    </w:p>
    <w:p w:rsidR="001429EA" w:rsidRPr="00E97254" w:rsidRDefault="004E1F53" w:rsidP="000C0250">
      <w:pPr>
        <w:spacing w:after="0"/>
        <w:jc w:val="both"/>
        <w:rPr>
          <w:rFonts w:cstheme="minorHAnsi"/>
        </w:rPr>
      </w:pPr>
      <w:r>
        <w:rPr>
          <w:rFonts w:cstheme="minorHAnsi"/>
        </w:rPr>
        <w:t xml:space="preserve">Midis vitit 2008 dhe 2017, Shqipëria ka ngushtuar në mënyrë mbresëlënëse hendekun e barazisë në qasjen në arsim për nxënësit që vijnë nga grupet më të cenueshme, megjithëse vazhdojnë të ekzistojnë disa sfida kritike, veçanërisht në vitet e parashkollorit. </w:t>
      </w:r>
      <w:r>
        <w:rPr>
          <w:rFonts w:cstheme="minorHAnsi"/>
          <w:szCs w:val="24"/>
        </w:rPr>
        <w:t xml:space="preserve">Sondazhi i fundit </w:t>
      </w:r>
      <w:r>
        <w:rPr>
          <w:rFonts w:cstheme="minorHAnsi"/>
          <w:sz w:val="20"/>
        </w:rPr>
        <w:t xml:space="preserve"> </w:t>
      </w:r>
      <w:r>
        <w:rPr>
          <w:rFonts w:cstheme="minorHAnsi"/>
        </w:rPr>
        <w:t xml:space="preserve">Demografik dhe Shëndetësor (DHS) </w:t>
      </w:r>
      <w:sdt>
        <w:sdtPr>
          <w:rPr>
            <w:rFonts w:cstheme="minorHAnsi"/>
          </w:rPr>
          <w:id w:val="-1995711628"/>
          <w:citation/>
        </w:sdtPr>
        <w:sdtEndPr/>
        <w:sdtContent>
          <w:r w:rsidR="00EC56B7" w:rsidRPr="00E97254">
            <w:rPr>
              <w:rFonts w:cstheme="minorHAnsi"/>
            </w:rPr>
            <w:fldChar w:fldCharType="begin"/>
          </w:r>
          <w:r>
            <w:rPr>
              <w:rFonts w:cstheme="minorHAnsi"/>
            </w:rPr>
            <w:instrText xml:space="preserve"> CITATION INS18 \l 1033 </w:instrText>
          </w:r>
          <w:r w:rsidR="00EC56B7" w:rsidRPr="00E97254">
            <w:rPr>
              <w:rFonts w:cstheme="minorHAnsi"/>
            </w:rPr>
            <w:fldChar w:fldCharType="separate"/>
          </w:r>
          <w:r w:rsidR="00724BCC" w:rsidRPr="00E97254">
            <w:rPr>
              <w:rFonts w:cstheme="minorHAnsi"/>
            </w:rPr>
            <w:t>[40]</w:t>
          </w:r>
          <w:r w:rsidR="00EC56B7" w:rsidRPr="00E97254">
            <w:rPr>
              <w:rFonts w:cstheme="minorHAnsi"/>
            </w:rPr>
            <w:fldChar w:fldCharType="end"/>
          </w:r>
        </w:sdtContent>
      </w:sdt>
      <w:r w:rsidR="001429EA" w:rsidRPr="00E97254">
        <w:rPr>
          <w:rFonts w:cstheme="minorHAnsi"/>
        </w:rPr>
        <w:t xml:space="preserve"> tregon se </w:t>
      </w:r>
      <w:r w:rsidR="00CE3CDA" w:rsidRPr="00E97254">
        <w:rPr>
          <w:rFonts w:cstheme="minorHAnsi"/>
        </w:rPr>
        <w:t xml:space="preserve">brenda periudhës 2008-2017, në zonat rurale, </w:t>
      </w:r>
      <w:r w:rsidR="001429EA" w:rsidRPr="00E97254">
        <w:rPr>
          <w:rFonts w:cstheme="minorHAnsi"/>
        </w:rPr>
        <w:t xml:space="preserve">regjistrimi i nxënësve </w:t>
      </w:r>
      <w:r w:rsidR="00FF425A" w:rsidRPr="00E97254">
        <w:rPr>
          <w:rFonts w:cstheme="minorHAnsi"/>
        </w:rPr>
        <w:t xml:space="preserve">në arsimin parashkollor dhe të mesëm të lartë </w:t>
      </w:r>
      <w:r w:rsidR="001429EA" w:rsidRPr="00E97254">
        <w:rPr>
          <w:rFonts w:cstheme="minorHAnsi"/>
        </w:rPr>
        <w:t xml:space="preserve">u rrit dy herë më shumë se ai i nxënësve në zonat urbane </w:t>
      </w:r>
      <w:r w:rsidR="00FF425A" w:rsidRPr="00E97254">
        <w:rPr>
          <w:rFonts w:cstheme="minorHAnsi"/>
        </w:rPr>
        <w:t>(</w:t>
      </w:r>
      <w:r w:rsidR="008D102D">
        <w:fldChar w:fldCharType="begin"/>
      </w:r>
      <w:r w:rsidR="008D102D">
        <w:instrText xml:space="preserve"> REF _Ref48486323 \h  \* MERGEFORMAT </w:instrText>
      </w:r>
      <w:r w:rsidR="008D102D">
        <w:fldChar w:fldCharType="separate"/>
      </w:r>
      <w:r w:rsidR="005A6200" w:rsidRPr="00E97254">
        <w:rPr>
          <w:rFonts w:cstheme="minorHAnsi"/>
        </w:rPr>
        <w:t>Tabela 7</w:t>
      </w:r>
      <w:r w:rsidR="008D102D">
        <w:fldChar w:fldCharType="end"/>
      </w:r>
      <w:r w:rsidR="00FF425A" w:rsidRPr="00E97254">
        <w:rPr>
          <w:rFonts w:cstheme="minorHAnsi"/>
        </w:rPr>
        <w:t>)</w:t>
      </w:r>
      <w:r w:rsidR="001429EA" w:rsidRPr="00E97254">
        <w:rPr>
          <w:rFonts w:cstheme="minorHAnsi"/>
        </w:rPr>
        <w:t xml:space="preserve">. Në mënyrë të ngjashme, qasja në arsimin parashkollor u dyfishua për nxënësit nga kuintili me të ardhura më të ulëta </w:t>
      </w:r>
      <w:r w:rsidR="001B2837" w:rsidRPr="00E97254">
        <w:rPr>
          <w:rFonts w:cstheme="minorHAnsi"/>
        </w:rPr>
        <w:t>(</w:t>
      </w:r>
      <w:r w:rsidR="008D102D">
        <w:fldChar w:fldCharType="begin"/>
      </w:r>
      <w:r w:rsidR="008D102D">
        <w:instrText xml:space="preserve"> REF _Ref48486323 \h  \* MERGEFORMAT </w:instrText>
      </w:r>
      <w:r w:rsidR="008D102D">
        <w:fldChar w:fldCharType="separate"/>
      </w:r>
      <w:r w:rsidR="005A6200" w:rsidRPr="00E97254">
        <w:rPr>
          <w:rFonts w:cstheme="minorHAnsi"/>
        </w:rPr>
        <w:t>Tabela 7</w:t>
      </w:r>
      <w:r w:rsidR="008D102D">
        <w:fldChar w:fldCharType="end"/>
      </w:r>
      <w:r w:rsidR="001B2837" w:rsidRPr="00E97254">
        <w:rPr>
          <w:rFonts w:cstheme="minorHAnsi"/>
        </w:rPr>
        <w:t>).</w:t>
      </w:r>
      <w:r w:rsidR="002B257B" w:rsidRPr="00E97254">
        <w:rPr>
          <w:rFonts w:cstheme="minorHAnsi"/>
        </w:rPr>
        <w:t xml:space="preserve"> </w:t>
      </w:r>
    </w:p>
    <w:p w:rsidR="00D93FFF" w:rsidRPr="00E97254" w:rsidRDefault="004E1F53" w:rsidP="000C0250">
      <w:pPr>
        <w:spacing w:after="0"/>
        <w:jc w:val="both"/>
        <w:rPr>
          <w:rFonts w:ascii="Calibri" w:hAnsi="Calibri" w:cs="Calibri"/>
        </w:rPr>
      </w:pPr>
      <w:r>
        <w:rPr>
          <w:rFonts w:ascii="Calibri" w:hAnsi="Calibri" w:cs="Calibri"/>
        </w:rPr>
        <w:t xml:space="preserve">Me gjithë mungesën e të dhënave të sakta për </w:t>
      </w:r>
      <w:r>
        <w:rPr>
          <w:rFonts w:ascii="Calibri" w:hAnsi="Calibri" w:cs="Calibri"/>
          <w:b/>
        </w:rPr>
        <w:t>fëmijët me aftësi të kufizuara në moshë shkollore</w:t>
      </w:r>
      <w:r>
        <w:rPr>
          <w:rFonts w:ascii="Calibri" w:hAnsi="Calibri" w:cs="Calibri"/>
        </w:rPr>
        <w:t>, pjesëmarrja e tyre në arsimin parauniversitar është shtuar nga viti në vit. Në veçanti, kjo vlen për shkollat e zakonshme ku numri i fëmijëve me aftësi të kufizuara është shtuar nga 2,849 në vitin shkollor 2013/14 në 4,573 në vitin shkollor 2019/20 (</w:t>
      </w:r>
      <w:r w:rsidR="008D102D">
        <w:fldChar w:fldCharType="begin"/>
      </w:r>
      <w:r w:rsidR="008D102D">
        <w:instrText xml:space="preserve"> REF _Ref43131650 \h  \* MERGEFORMAT </w:instrText>
      </w:r>
      <w:r w:rsidR="008D102D">
        <w:fldChar w:fldCharType="separate"/>
      </w:r>
      <w:r w:rsidR="005A6200" w:rsidRPr="00E97254">
        <w:rPr>
          <w:rFonts w:ascii="Calibri" w:hAnsi="Calibri" w:cs="Calibri"/>
        </w:rPr>
        <w:t>Figura 6</w:t>
      </w:r>
      <w:r w:rsidR="008D102D">
        <w:fldChar w:fldCharType="end"/>
      </w:r>
      <w:r w:rsidR="00D93FFF" w:rsidRPr="00E97254">
        <w:rPr>
          <w:rFonts w:ascii="Calibri" w:hAnsi="Calibri" w:cs="Calibri"/>
        </w:rPr>
        <w:t xml:space="preserve">), ku rreth 70% e këtyre fëmijëve ndjekin arsimin bazë, 19% </w:t>
      </w:r>
      <w:r w:rsidR="00430AE7">
        <w:rPr>
          <w:rFonts w:ascii="Calibri" w:hAnsi="Calibri" w:cs="Calibri"/>
        </w:rPr>
        <w:t xml:space="preserve">- </w:t>
      </w:r>
      <w:r w:rsidR="00D93FFF" w:rsidRPr="00E97254">
        <w:rPr>
          <w:rFonts w:ascii="Calibri" w:hAnsi="Calibri" w:cs="Calibri"/>
        </w:rPr>
        <w:t>arsimin parashkollor dhe pjesa tjetër</w:t>
      </w:r>
      <w:r w:rsidR="00430AE7">
        <w:rPr>
          <w:rFonts w:ascii="Calibri" w:hAnsi="Calibri" w:cs="Calibri"/>
        </w:rPr>
        <w:t xml:space="preserve"> </w:t>
      </w:r>
      <w:r w:rsidR="00D93FFF" w:rsidRPr="00E97254">
        <w:rPr>
          <w:rFonts w:ascii="Calibri" w:hAnsi="Calibri" w:cs="Calibri"/>
        </w:rPr>
        <w:t>arsimin e mesëm të lartë. Ndërkohë, mësimet në shkollat speciale i vijojnë 652 fëmijë me aftësi të kufizuar</w:t>
      </w:r>
      <w:r>
        <w:rPr>
          <w:rFonts w:ascii="Calibri" w:hAnsi="Calibri" w:cs="Calibri"/>
        </w:rPr>
        <w:t>a.</w:t>
      </w:r>
    </w:p>
    <w:p w:rsidR="001429EA" w:rsidRPr="00E97254" w:rsidRDefault="00FA5606" w:rsidP="000C0250">
      <w:pPr>
        <w:pStyle w:val="Caption"/>
        <w:spacing w:before="120" w:after="120" w:line="276" w:lineRule="auto"/>
        <w:jc w:val="both"/>
        <w:rPr>
          <w:rFonts w:cstheme="minorHAnsi"/>
          <w:b w:val="0"/>
          <w:color w:val="auto"/>
          <w:sz w:val="22"/>
          <w:szCs w:val="22"/>
        </w:rPr>
      </w:pPr>
      <w:bookmarkStart w:id="63" w:name="_Ref48486323"/>
      <w:bookmarkStart w:id="64" w:name="_Toc66802041"/>
      <w:r w:rsidRPr="00FA5606">
        <w:rPr>
          <w:color w:val="auto"/>
          <w:sz w:val="22"/>
          <w:szCs w:val="22"/>
        </w:rPr>
        <w:t xml:space="preserve">Tabela </w:t>
      </w:r>
      <w:r w:rsidR="00EC56B7" w:rsidRPr="00FA5606">
        <w:rPr>
          <w:color w:val="auto"/>
          <w:sz w:val="22"/>
          <w:szCs w:val="22"/>
        </w:rPr>
        <w:fldChar w:fldCharType="begin"/>
      </w:r>
      <w:r w:rsidRPr="00FA5606">
        <w:rPr>
          <w:color w:val="auto"/>
          <w:sz w:val="22"/>
          <w:szCs w:val="22"/>
        </w:rPr>
        <w:instrText xml:space="preserve"> SEQ Tabela \* ARABIC </w:instrText>
      </w:r>
      <w:r w:rsidR="00EC56B7" w:rsidRPr="00FA5606">
        <w:rPr>
          <w:color w:val="auto"/>
          <w:sz w:val="22"/>
          <w:szCs w:val="22"/>
        </w:rPr>
        <w:fldChar w:fldCharType="separate"/>
      </w:r>
      <w:r w:rsidRPr="00FA5606">
        <w:rPr>
          <w:color w:val="auto"/>
          <w:sz w:val="22"/>
          <w:szCs w:val="22"/>
        </w:rPr>
        <w:t>7</w:t>
      </w:r>
      <w:r w:rsidR="00EC56B7" w:rsidRPr="00FA5606">
        <w:rPr>
          <w:color w:val="auto"/>
          <w:sz w:val="22"/>
          <w:szCs w:val="22"/>
        </w:rPr>
        <w:fldChar w:fldCharType="end"/>
      </w:r>
      <w:bookmarkEnd w:id="63"/>
      <w:r w:rsidRPr="00FA5606">
        <w:rPr>
          <w:color w:val="auto"/>
          <w:sz w:val="22"/>
          <w:szCs w:val="22"/>
        </w:rPr>
        <w:t>.</w:t>
      </w:r>
      <w:r w:rsidR="004E1F53" w:rsidRPr="004E1F53">
        <w:rPr>
          <w:rFonts w:cstheme="minorHAnsi"/>
          <w:b w:val="0"/>
          <w:color w:val="auto"/>
          <w:sz w:val="22"/>
          <w:szCs w:val="22"/>
        </w:rPr>
        <w:t xml:space="preserve"> Normat neto të pjesëmarrjes sipas nivelit të arsimit (%), 2008/09 dhe 2017/18</w:t>
      </w:r>
      <w:bookmarkEnd w:id="64"/>
    </w:p>
    <w:tbl>
      <w:tblPr>
        <w:tblW w:w="0" w:type="auto"/>
        <w:tblLook w:val="04A0" w:firstRow="1" w:lastRow="0" w:firstColumn="1" w:lastColumn="0" w:noHBand="0" w:noVBand="1"/>
      </w:tblPr>
      <w:tblGrid>
        <w:gridCol w:w="2331"/>
        <w:gridCol w:w="1167"/>
        <w:gridCol w:w="1167"/>
        <w:gridCol w:w="1167"/>
        <w:gridCol w:w="1167"/>
        <w:gridCol w:w="1167"/>
        <w:gridCol w:w="1167"/>
      </w:tblGrid>
      <w:tr w:rsidR="001429EA" w:rsidRPr="00E97254" w:rsidTr="002165FD">
        <w:trPr>
          <w:trHeight w:val="135"/>
        </w:trPr>
        <w:tc>
          <w:tcPr>
            <w:tcW w:w="2394" w:type="dxa"/>
            <w:vMerge w:val="restart"/>
          </w:tcPr>
          <w:p w:rsidR="001429EA" w:rsidRPr="00E97254" w:rsidRDefault="001429EA" w:rsidP="000C0250">
            <w:pPr>
              <w:pStyle w:val="yiv7370368409msonormal"/>
              <w:keepNext/>
              <w:keepLines/>
              <w:spacing w:before="0" w:beforeAutospacing="0" w:after="0" w:afterAutospacing="0" w:line="276" w:lineRule="auto"/>
              <w:jc w:val="both"/>
              <w:outlineLvl w:val="1"/>
              <w:rPr>
                <w:rFonts w:asciiTheme="minorHAnsi" w:hAnsiTheme="minorHAnsi" w:cstheme="minorHAnsi"/>
                <w:sz w:val="20"/>
                <w:szCs w:val="20"/>
              </w:rPr>
            </w:pPr>
          </w:p>
        </w:tc>
        <w:tc>
          <w:tcPr>
            <w:tcW w:w="2394" w:type="dxa"/>
            <w:gridSpan w:val="2"/>
          </w:tcPr>
          <w:p w:rsidR="001429EA" w:rsidRPr="00E97254" w:rsidRDefault="00FA5606" w:rsidP="000C0250">
            <w:pPr>
              <w:pStyle w:val="yiv7370368409msonormal"/>
              <w:spacing w:before="0" w:beforeAutospacing="0" w:after="0" w:afterAutospacing="0" w:line="276" w:lineRule="auto"/>
              <w:jc w:val="both"/>
              <w:rPr>
                <w:rFonts w:asciiTheme="minorHAnsi" w:hAnsiTheme="minorHAnsi" w:cstheme="minorHAnsi"/>
                <w:b/>
                <w:sz w:val="20"/>
                <w:szCs w:val="20"/>
              </w:rPr>
            </w:pPr>
            <w:r w:rsidRPr="00FA5606">
              <w:rPr>
                <w:rFonts w:asciiTheme="minorHAnsi" w:hAnsiTheme="minorHAnsi" w:cstheme="minorHAnsi"/>
                <w:b/>
                <w:sz w:val="20"/>
                <w:szCs w:val="20"/>
              </w:rPr>
              <w:t>Parashkollor</w:t>
            </w:r>
          </w:p>
        </w:tc>
        <w:tc>
          <w:tcPr>
            <w:tcW w:w="2394" w:type="dxa"/>
            <w:gridSpan w:val="2"/>
          </w:tcPr>
          <w:p w:rsidR="001429EA" w:rsidRPr="00E97254" w:rsidRDefault="00FA5606" w:rsidP="000C0250">
            <w:pPr>
              <w:pStyle w:val="yiv7370368409msonormal"/>
              <w:spacing w:before="0" w:beforeAutospacing="0" w:after="0" w:afterAutospacing="0" w:line="276" w:lineRule="auto"/>
              <w:jc w:val="both"/>
              <w:rPr>
                <w:rFonts w:asciiTheme="minorHAnsi" w:hAnsiTheme="minorHAnsi" w:cstheme="minorHAnsi"/>
                <w:b/>
                <w:sz w:val="20"/>
                <w:szCs w:val="20"/>
              </w:rPr>
            </w:pPr>
            <w:r w:rsidRPr="00FA5606">
              <w:rPr>
                <w:rFonts w:asciiTheme="minorHAnsi" w:hAnsiTheme="minorHAnsi" w:cstheme="minorHAnsi"/>
                <w:b/>
                <w:sz w:val="20"/>
                <w:szCs w:val="20"/>
              </w:rPr>
              <w:t>9-vjeçare</w:t>
            </w:r>
          </w:p>
        </w:tc>
        <w:tc>
          <w:tcPr>
            <w:tcW w:w="2394" w:type="dxa"/>
            <w:gridSpan w:val="2"/>
          </w:tcPr>
          <w:p w:rsidR="001429EA" w:rsidRPr="00E97254" w:rsidRDefault="00FA5606" w:rsidP="000C0250">
            <w:pPr>
              <w:pStyle w:val="yiv7370368409msonormal"/>
              <w:spacing w:before="0" w:beforeAutospacing="0" w:after="0" w:afterAutospacing="0" w:line="276" w:lineRule="auto"/>
              <w:jc w:val="both"/>
              <w:rPr>
                <w:rFonts w:asciiTheme="minorHAnsi" w:hAnsiTheme="minorHAnsi" w:cstheme="minorHAnsi"/>
                <w:b/>
                <w:sz w:val="20"/>
                <w:szCs w:val="20"/>
              </w:rPr>
            </w:pPr>
            <w:r w:rsidRPr="00FA5606">
              <w:rPr>
                <w:rFonts w:asciiTheme="minorHAnsi" w:hAnsiTheme="minorHAnsi" w:cstheme="minorHAnsi"/>
                <w:b/>
                <w:sz w:val="20"/>
                <w:szCs w:val="20"/>
              </w:rPr>
              <w:t>I mesëm i Lartë</w:t>
            </w:r>
          </w:p>
        </w:tc>
      </w:tr>
      <w:tr w:rsidR="001429EA" w:rsidRPr="00E97254" w:rsidTr="002165FD">
        <w:trPr>
          <w:trHeight w:val="135"/>
        </w:trPr>
        <w:tc>
          <w:tcPr>
            <w:tcW w:w="2394" w:type="dxa"/>
            <w:vMerge/>
          </w:tcPr>
          <w:p w:rsidR="001429EA" w:rsidRPr="00E97254" w:rsidRDefault="001429EA" w:rsidP="000C0250">
            <w:pPr>
              <w:pStyle w:val="yiv7370368409msonormal"/>
              <w:keepNext/>
              <w:keepLines/>
              <w:spacing w:before="0" w:beforeAutospacing="0" w:after="0" w:afterAutospacing="0" w:line="276" w:lineRule="auto"/>
              <w:jc w:val="both"/>
              <w:outlineLvl w:val="2"/>
              <w:rPr>
                <w:rFonts w:asciiTheme="minorHAnsi" w:hAnsiTheme="minorHAnsi" w:cstheme="minorHAnsi"/>
                <w:sz w:val="20"/>
                <w:szCs w:val="20"/>
              </w:rPr>
            </w:pPr>
          </w:p>
        </w:tc>
        <w:tc>
          <w:tcPr>
            <w:tcW w:w="1197" w:type="dxa"/>
            <w:vAlign w:val="center"/>
          </w:tcPr>
          <w:p w:rsidR="001429EA" w:rsidRPr="00E97254" w:rsidRDefault="004E1F53" w:rsidP="000C0250">
            <w:pPr>
              <w:spacing w:after="0"/>
              <w:jc w:val="both"/>
              <w:rPr>
                <w:rFonts w:eastAsia="Times New Roman" w:cstheme="minorHAnsi"/>
                <w:sz w:val="20"/>
                <w:szCs w:val="20"/>
              </w:rPr>
            </w:pPr>
            <w:r>
              <w:rPr>
                <w:rFonts w:eastAsia="Times New Roman" w:cstheme="minorHAnsi"/>
                <w:b/>
                <w:bCs/>
                <w:sz w:val="20"/>
                <w:szCs w:val="20"/>
              </w:rPr>
              <w:t>2008</w:t>
            </w:r>
          </w:p>
        </w:tc>
        <w:tc>
          <w:tcPr>
            <w:tcW w:w="1197" w:type="dxa"/>
            <w:vAlign w:val="center"/>
          </w:tcPr>
          <w:p w:rsidR="001429EA" w:rsidRPr="00E97254" w:rsidRDefault="004E1F53" w:rsidP="000C0250">
            <w:pPr>
              <w:spacing w:after="0"/>
              <w:jc w:val="both"/>
              <w:rPr>
                <w:rFonts w:eastAsia="Times New Roman" w:cstheme="minorHAnsi"/>
                <w:sz w:val="20"/>
                <w:szCs w:val="20"/>
              </w:rPr>
            </w:pPr>
            <w:r>
              <w:rPr>
                <w:rFonts w:eastAsia="Times New Roman" w:cstheme="minorHAnsi"/>
                <w:b/>
                <w:bCs/>
                <w:sz w:val="20"/>
                <w:szCs w:val="20"/>
              </w:rPr>
              <w:t>2017</w:t>
            </w:r>
          </w:p>
        </w:tc>
        <w:tc>
          <w:tcPr>
            <w:tcW w:w="1197" w:type="dxa"/>
            <w:vAlign w:val="center"/>
          </w:tcPr>
          <w:p w:rsidR="001429EA" w:rsidRPr="00E97254" w:rsidRDefault="004E1F53" w:rsidP="000C0250">
            <w:pPr>
              <w:spacing w:after="0"/>
              <w:jc w:val="both"/>
              <w:rPr>
                <w:rFonts w:eastAsia="Times New Roman" w:cstheme="minorHAnsi"/>
                <w:sz w:val="20"/>
                <w:szCs w:val="20"/>
              </w:rPr>
            </w:pPr>
            <w:r>
              <w:rPr>
                <w:rFonts w:eastAsia="Times New Roman" w:cstheme="minorHAnsi"/>
                <w:b/>
                <w:bCs/>
                <w:sz w:val="20"/>
                <w:szCs w:val="20"/>
              </w:rPr>
              <w:t>2008</w:t>
            </w:r>
          </w:p>
        </w:tc>
        <w:tc>
          <w:tcPr>
            <w:tcW w:w="1197" w:type="dxa"/>
            <w:vAlign w:val="center"/>
          </w:tcPr>
          <w:p w:rsidR="001429EA" w:rsidRPr="00E97254" w:rsidRDefault="004E1F53" w:rsidP="000C0250">
            <w:pPr>
              <w:spacing w:after="0"/>
              <w:jc w:val="both"/>
              <w:rPr>
                <w:rFonts w:eastAsia="Times New Roman" w:cstheme="minorHAnsi"/>
                <w:sz w:val="20"/>
                <w:szCs w:val="20"/>
              </w:rPr>
            </w:pPr>
            <w:r>
              <w:rPr>
                <w:rFonts w:eastAsia="Times New Roman" w:cstheme="minorHAnsi"/>
                <w:b/>
                <w:bCs/>
                <w:sz w:val="20"/>
                <w:szCs w:val="20"/>
              </w:rPr>
              <w:t>2017</w:t>
            </w:r>
          </w:p>
        </w:tc>
        <w:tc>
          <w:tcPr>
            <w:tcW w:w="1197" w:type="dxa"/>
            <w:vAlign w:val="center"/>
          </w:tcPr>
          <w:p w:rsidR="001429EA" w:rsidRPr="00E97254" w:rsidRDefault="004E1F53" w:rsidP="000C0250">
            <w:pPr>
              <w:spacing w:after="0"/>
              <w:jc w:val="both"/>
              <w:rPr>
                <w:rFonts w:eastAsia="Times New Roman" w:cstheme="minorHAnsi"/>
                <w:sz w:val="20"/>
                <w:szCs w:val="20"/>
              </w:rPr>
            </w:pPr>
            <w:r>
              <w:rPr>
                <w:rFonts w:eastAsia="Times New Roman" w:cstheme="minorHAnsi"/>
                <w:b/>
                <w:bCs/>
                <w:sz w:val="20"/>
                <w:szCs w:val="20"/>
              </w:rPr>
              <w:t>2008</w:t>
            </w:r>
          </w:p>
        </w:tc>
        <w:tc>
          <w:tcPr>
            <w:tcW w:w="1197" w:type="dxa"/>
            <w:vAlign w:val="center"/>
          </w:tcPr>
          <w:p w:rsidR="001429EA" w:rsidRPr="00E97254" w:rsidRDefault="004E1F53" w:rsidP="000C0250">
            <w:pPr>
              <w:spacing w:after="0"/>
              <w:jc w:val="both"/>
              <w:rPr>
                <w:rFonts w:eastAsia="Times New Roman" w:cstheme="minorHAnsi"/>
                <w:sz w:val="20"/>
                <w:szCs w:val="20"/>
              </w:rPr>
            </w:pPr>
            <w:r>
              <w:rPr>
                <w:rFonts w:eastAsia="Times New Roman" w:cstheme="minorHAnsi"/>
                <w:b/>
                <w:bCs/>
                <w:sz w:val="20"/>
                <w:szCs w:val="20"/>
              </w:rPr>
              <w:t>2017</w:t>
            </w:r>
          </w:p>
        </w:tc>
      </w:tr>
      <w:tr w:rsidR="001429EA" w:rsidRPr="00E97254" w:rsidTr="002165FD">
        <w:tc>
          <w:tcPr>
            <w:tcW w:w="2394" w:type="dxa"/>
            <w:shd w:val="clear" w:color="auto" w:fill="8DB3E2" w:themeFill="text2" w:themeFillTint="66"/>
          </w:tcPr>
          <w:p w:rsidR="001429EA" w:rsidRPr="00E97254" w:rsidRDefault="00FA5606" w:rsidP="000C0250">
            <w:pPr>
              <w:pStyle w:val="yiv7370368409msonormal"/>
              <w:spacing w:before="0" w:beforeAutospacing="0" w:after="0" w:afterAutospacing="0" w:line="276" w:lineRule="auto"/>
              <w:jc w:val="both"/>
              <w:rPr>
                <w:rFonts w:asciiTheme="minorHAnsi" w:hAnsiTheme="minorHAnsi" w:cstheme="minorHAnsi"/>
                <w:b/>
                <w:sz w:val="20"/>
                <w:szCs w:val="20"/>
              </w:rPr>
            </w:pPr>
            <w:r w:rsidRPr="00FA5606">
              <w:rPr>
                <w:rFonts w:asciiTheme="minorHAnsi" w:hAnsiTheme="minorHAnsi" w:cstheme="minorHAnsi"/>
                <w:b/>
                <w:sz w:val="20"/>
                <w:szCs w:val="20"/>
              </w:rPr>
              <w:t xml:space="preserve">Gjinia </w:t>
            </w:r>
          </w:p>
        </w:tc>
        <w:tc>
          <w:tcPr>
            <w:tcW w:w="2394" w:type="dxa"/>
            <w:gridSpan w:val="2"/>
            <w:shd w:val="clear" w:color="auto" w:fill="8DB3E2" w:themeFill="text2" w:themeFillTint="66"/>
          </w:tcPr>
          <w:p w:rsidR="001429EA" w:rsidRPr="00E97254" w:rsidRDefault="001429EA" w:rsidP="000C0250">
            <w:pPr>
              <w:pStyle w:val="yiv7370368409msonormal"/>
              <w:keepNext/>
              <w:keepLines/>
              <w:spacing w:before="0" w:beforeAutospacing="0" w:after="0" w:afterAutospacing="0" w:line="276" w:lineRule="auto"/>
              <w:jc w:val="both"/>
              <w:outlineLvl w:val="2"/>
              <w:rPr>
                <w:rFonts w:asciiTheme="minorHAnsi" w:hAnsiTheme="minorHAnsi" w:cstheme="minorHAnsi"/>
                <w:sz w:val="20"/>
                <w:szCs w:val="20"/>
              </w:rPr>
            </w:pPr>
          </w:p>
        </w:tc>
        <w:tc>
          <w:tcPr>
            <w:tcW w:w="2394" w:type="dxa"/>
            <w:gridSpan w:val="2"/>
            <w:shd w:val="clear" w:color="auto" w:fill="8DB3E2" w:themeFill="text2" w:themeFillTint="66"/>
          </w:tcPr>
          <w:p w:rsidR="001429EA" w:rsidRPr="00E97254" w:rsidRDefault="001429EA" w:rsidP="000C0250">
            <w:pPr>
              <w:pStyle w:val="yiv7370368409msonormal"/>
              <w:keepNext/>
              <w:keepLines/>
              <w:spacing w:before="0" w:beforeAutospacing="0" w:after="0" w:afterAutospacing="0" w:line="276" w:lineRule="auto"/>
              <w:jc w:val="both"/>
              <w:outlineLvl w:val="2"/>
              <w:rPr>
                <w:rFonts w:asciiTheme="minorHAnsi" w:hAnsiTheme="minorHAnsi" w:cstheme="minorHAnsi"/>
                <w:sz w:val="20"/>
                <w:szCs w:val="20"/>
              </w:rPr>
            </w:pPr>
          </w:p>
        </w:tc>
        <w:tc>
          <w:tcPr>
            <w:tcW w:w="2394" w:type="dxa"/>
            <w:gridSpan w:val="2"/>
            <w:shd w:val="clear" w:color="auto" w:fill="8DB3E2" w:themeFill="text2" w:themeFillTint="66"/>
          </w:tcPr>
          <w:p w:rsidR="001429EA" w:rsidRPr="00E97254" w:rsidRDefault="001429EA" w:rsidP="000C0250">
            <w:pPr>
              <w:pStyle w:val="yiv7370368409msonormal"/>
              <w:keepNext/>
              <w:keepLines/>
              <w:spacing w:before="0" w:beforeAutospacing="0" w:after="0" w:afterAutospacing="0" w:line="276" w:lineRule="auto"/>
              <w:jc w:val="both"/>
              <w:outlineLvl w:val="2"/>
              <w:rPr>
                <w:rFonts w:asciiTheme="minorHAnsi" w:hAnsiTheme="minorHAnsi" w:cstheme="minorHAnsi"/>
                <w:sz w:val="20"/>
                <w:szCs w:val="20"/>
              </w:rPr>
            </w:pPr>
          </w:p>
        </w:tc>
      </w:tr>
      <w:tr w:rsidR="001429EA" w:rsidRPr="00E97254" w:rsidTr="002165FD">
        <w:tc>
          <w:tcPr>
            <w:tcW w:w="2394" w:type="dxa"/>
          </w:tcPr>
          <w:p w:rsidR="001429EA" w:rsidRPr="00E97254" w:rsidRDefault="00FA5606" w:rsidP="000C0250">
            <w:pPr>
              <w:pStyle w:val="yiv7370368409msonormal"/>
              <w:spacing w:before="0" w:beforeAutospacing="0" w:after="0" w:afterAutospacing="0" w:line="276" w:lineRule="auto"/>
              <w:jc w:val="both"/>
              <w:rPr>
                <w:rFonts w:asciiTheme="minorHAnsi" w:hAnsiTheme="minorHAnsi" w:cstheme="minorHAnsi"/>
                <w:sz w:val="20"/>
                <w:szCs w:val="20"/>
              </w:rPr>
            </w:pPr>
            <w:r w:rsidRPr="00FA5606">
              <w:rPr>
                <w:rFonts w:asciiTheme="minorHAnsi" w:hAnsiTheme="minorHAnsi" w:cstheme="minorHAnsi"/>
                <w:sz w:val="20"/>
                <w:szCs w:val="20"/>
              </w:rPr>
              <w:t xml:space="preserve">Mashkull </w:t>
            </w:r>
          </w:p>
        </w:tc>
        <w:tc>
          <w:tcPr>
            <w:tcW w:w="1197" w:type="dxa"/>
            <w:vAlign w:val="center"/>
          </w:tcPr>
          <w:p w:rsidR="001429EA" w:rsidRPr="00E97254" w:rsidRDefault="004E1F53" w:rsidP="000C0250">
            <w:pPr>
              <w:spacing w:after="0"/>
              <w:jc w:val="both"/>
              <w:rPr>
                <w:rFonts w:eastAsia="Times New Roman" w:cstheme="minorHAnsi"/>
                <w:sz w:val="20"/>
                <w:szCs w:val="20"/>
              </w:rPr>
            </w:pPr>
            <w:r>
              <w:rPr>
                <w:rFonts w:eastAsia="Times New Roman" w:cstheme="minorHAnsi"/>
                <w:sz w:val="20"/>
                <w:szCs w:val="20"/>
              </w:rPr>
              <w:t>55</w:t>
            </w:r>
          </w:p>
        </w:tc>
        <w:tc>
          <w:tcPr>
            <w:tcW w:w="1197" w:type="dxa"/>
            <w:vAlign w:val="center"/>
          </w:tcPr>
          <w:p w:rsidR="001429EA" w:rsidRPr="00E97254" w:rsidRDefault="004E1F53" w:rsidP="000C0250">
            <w:pPr>
              <w:spacing w:after="0"/>
              <w:jc w:val="both"/>
              <w:rPr>
                <w:rFonts w:eastAsia="Times New Roman" w:cstheme="minorHAnsi"/>
                <w:sz w:val="20"/>
                <w:szCs w:val="20"/>
              </w:rPr>
            </w:pPr>
            <w:r>
              <w:rPr>
                <w:rFonts w:eastAsia="Times New Roman" w:cstheme="minorHAnsi"/>
                <w:sz w:val="20"/>
                <w:szCs w:val="20"/>
              </w:rPr>
              <w:t>79</w:t>
            </w:r>
          </w:p>
        </w:tc>
        <w:tc>
          <w:tcPr>
            <w:tcW w:w="1197" w:type="dxa"/>
            <w:vAlign w:val="center"/>
          </w:tcPr>
          <w:p w:rsidR="001429EA" w:rsidRPr="00E97254" w:rsidRDefault="004E1F53" w:rsidP="000C0250">
            <w:pPr>
              <w:spacing w:after="0"/>
              <w:jc w:val="both"/>
              <w:rPr>
                <w:rFonts w:eastAsia="Times New Roman" w:cstheme="minorHAnsi"/>
                <w:sz w:val="20"/>
                <w:szCs w:val="20"/>
              </w:rPr>
            </w:pPr>
            <w:r>
              <w:rPr>
                <w:rFonts w:eastAsia="Times New Roman" w:cstheme="minorHAnsi"/>
                <w:color w:val="000000"/>
                <w:sz w:val="20"/>
                <w:szCs w:val="20"/>
              </w:rPr>
              <w:t>95</w:t>
            </w:r>
          </w:p>
        </w:tc>
        <w:tc>
          <w:tcPr>
            <w:tcW w:w="1197" w:type="dxa"/>
            <w:vAlign w:val="center"/>
          </w:tcPr>
          <w:p w:rsidR="001429EA" w:rsidRPr="00E97254" w:rsidRDefault="004E1F53" w:rsidP="000C0250">
            <w:pPr>
              <w:spacing w:after="0"/>
              <w:jc w:val="both"/>
              <w:rPr>
                <w:rFonts w:eastAsia="Times New Roman" w:cstheme="minorHAnsi"/>
                <w:sz w:val="20"/>
                <w:szCs w:val="20"/>
              </w:rPr>
            </w:pPr>
            <w:r>
              <w:rPr>
                <w:rFonts w:eastAsia="Times New Roman" w:cstheme="minorHAnsi"/>
                <w:color w:val="000000"/>
                <w:sz w:val="20"/>
                <w:szCs w:val="20"/>
              </w:rPr>
              <w:t>93</w:t>
            </w:r>
          </w:p>
        </w:tc>
        <w:tc>
          <w:tcPr>
            <w:tcW w:w="1197" w:type="dxa"/>
            <w:vAlign w:val="center"/>
          </w:tcPr>
          <w:p w:rsidR="001429EA" w:rsidRPr="00E97254" w:rsidRDefault="004E1F53" w:rsidP="000C0250">
            <w:pPr>
              <w:spacing w:after="0"/>
              <w:jc w:val="both"/>
              <w:rPr>
                <w:rFonts w:eastAsia="Times New Roman" w:cstheme="minorHAnsi"/>
                <w:sz w:val="20"/>
                <w:szCs w:val="20"/>
              </w:rPr>
            </w:pPr>
            <w:r>
              <w:rPr>
                <w:rFonts w:eastAsia="Times New Roman" w:cstheme="minorHAnsi"/>
                <w:color w:val="000000"/>
                <w:sz w:val="20"/>
                <w:szCs w:val="20"/>
              </w:rPr>
              <w:t>58</w:t>
            </w:r>
          </w:p>
        </w:tc>
        <w:tc>
          <w:tcPr>
            <w:tcW w:w="1197" w:type="dxa"/>
            <w:vAlign w:val="center"/>
          </w:tcPr>
          <w:p w:rsidR="001429EA" w:rsidRPr="00E97254" w:rsidRDefault="004E1F53" w:rsidP="000C0250">
            <w:pPr>
              <w:spacing w:after="0"/>
              <w:jc w:val="both"/>
              <w:rPr>
                <w:rFonts w:eastAsia="Times New Roman" w:cstheme="minorHAnsi"/>
                <w:sz w:val="20"/>
                <w:szCs w:val="20"/>
              </w:rPr>
            </w:pPr>
            <w:r>
              <w:rPr>
                <w:rFonts w:eastAsia="Times New Roman" w:cstheme="minorHAnsi"/>
                <w:color w:val="000000"/>
                <w:sz w:val="20"/>
                <w:szCs w:val="20"/>
              </w:rPr>
              <w:t>76</w:t>
            </w:r>
          </w:p>
        </w:tc>
      </w:tr>
      <w:tr w:rsidR="001429EA" w:rsidRPr="00E97254" w:rsidTr="002165FD">
        <w:tc>
          <w:tcPr>
            <w:tcW w:w="2394" w:type="dxa"/>
          </w:tcPr>
          <w:p w:rsidR="001429EA" w:rsidRPr="00E97254" w:rsidRDefault="00FA5606" w:rsidP="000C0250">
            <w:pPr>
              <w:pStyle w:val="yiv7370368409msonormal"/>
              <w:spacing w:before="0" w:beforeAutospacing="0" w:after="0" w:afterAutospacing="0" w:line="276" w:lineRule="auto"/>
              <w:jc w:val="both"/>
              <w:rPr>
                <w:rFonts w:asciiTheme="minorHAnsi" w:hAnsiTheme="minorHAnsi" w:cstheme="minorHAnsi"/>
                <w:sz w:val="20"/>
                <w:szCs w:val="20"/>
              </w:rPr>
            </w:pPr>
            <w:r w:rsidRPr="00FA5606">
              <w:rPr>
                <w:rFonts w:asciiTheme="minorHAnsi" w:hAnsiTheme="minorHAnsi" w:cstheme="minorHAnsi"/>
                <w:sz w:val="20"/>
                <w:szCs w:val="20"/>
              </w:rPr>
              <w:t>Femër</w:t>
            </w:r>
          </w:p>
        </w:tc>
        <w:tc>
          <w:tcPr>
            <w:tcW w:w="1197" w:type="dxa"/>
            <w:vAlign w:val="center"/>
          </w:tcPr>
          <w:p w:rsidR="001429EA" w:rsidRPr="00E97254" w:rsidRDefault="004E1F53" w:rsidP="000C0250">
            <w:pPr>
              <w:spacing w:after="0"/>
              <w:jc w:val="both"/>
              <w:rPr>
                <w:rFonts w:eastAsia="Times New Roman" w:cstheme="minorHAnsi"/>
                <w:sz w:val="20"/>
                <w:szCs w:val="20"/>
              </w:rPr>
            </w:pPr>
            <w:r>
              <w:rPr>
                <w:rFonts w:eastAsia="Times New Roman" w:cstheme="minorHAnsi"/>
                <w:sz w:val="20"/>
                <w:szCs w:val="20"/>
              </w:rPr>
              <w:t>59</w:t>
            </w:r>
          </w:p>
        </w:tc>
        <w:tc>
          <w:tcPr>
            <w:tcW w:w="1197" w:type="dxa"/>
            <w:vAlign w:val="center"/>
          </w:tcPr>
          <w:p w:rsidR="001429EA" w:rsidRPr="00E97254" w:rsidRDefault="004E1F53" w:rsidP="000C0250">
            <w:pPr>
              <w:spacing w:after="0"/>
              <w:jc w:val="both"/>
              <w:rPr>
                <w:rFonts w:eastAsia="Times New Roman" w:cstheme="minorHAnsi"/>
                <w:sz w:val="20"/>
                <w:szCs w:val="20"/>
              </w:rPr>
            </w:pPr>
            <w:r>
              <w:rPr>
                <w:rFonts w:eastAsia="Times New Roman" w:cstheme="minorHAnsi"/>
                <w:sz w:val="20"/>
                <w:szCs w:val="20"/>
              </w:rPr>
              <w:t>80</w:t>
            </w:r>
          </w:p>
        </w:tc>
        <w:tc>
          <w:tcPr>
            <w:tcW w:w="1197" w:type="dxa"/>
            <w:vAlign w:val="center"/>
          </w:tcPr>
          <w:p w:rsidR="001429EA" w:rsidRPr="00E97254" w:rsidRDefault="004E1F53" w:rsidP="000C0250">
            <w:pPr>
              <w:spacing w:after="0"/>
              <w:jc w:val="both"/>
              <w:rPr>
                <w:rFonts w:eastAsia="Times New Roman" w:cstheme="minorHAnsi"/>
                <w:sz w:val="20"/>
                <w:szCs w:val="20"/>
              </w:rPr>
            </w:pPr>
            <w:r>
              <w:rPr>
                <w:rFonts w:eastAsia="Times New Roman" w:cstheme="minorHAnsi"/>
                <w:color w:val="000000"/>
                <w:sz w:val="20"/>
                <w:szCs w:val="20"/>
              </w:rPr>
              <w:t>95</w:t>
            </w:r>
          </w:p>
        </w:tc>
        <w:tc>
          <w:tcPr>
            <w:tcW w:w="1197" w:type="dxa"/>
            <w:vAlign w:val="center"/>
          </w:tcPr>
          <w:p w:rsidR="001429EA" w:rsidRPr="00E97254" w:rsidRDefault="004E1F53" w:rsidP="000C0250">
            <w:pPr>
              <w:spacing w:after="0"/>
              <w:jc w:val="both"/>
              <w:rPr>
                <w:rFonts w:eastAsia="Times New Roman" w:cstheme="minorHAnsi"/>
                <w:sz w:val="20"/>
                <w:szCs w:val="20"/>
              </w:rPr>
            </w:pPr>
            <w:r>
              <w:rPr>
                <w:rFonts w:eastAsia="Times New Roman" w:cstheme="minorHAnsi"/>
                <w:color w:val="000000"/>
                <w:sz w:val="20"/>
                <w:szCs w:val="20"/>
              </w:rPr>
              <w:t>92</w:t>
            </w:r>
          </w:p>
        </w:tc>
        <w:tc>
          <w:tcPr>
            <w:tcW w:w="1197" w:type="dxa"/>
            <w:vAlign w:val="center"/>
          </w:tcPr>
          <w:p w:rsidR="001429EA" w:rsidRPr="00E97254" w:rsidRDefault="004E1F53" w:rsidP="000C0250">
            <w:pPr>
              <w:spacing w:after="0"/>
              <w:jc w:val="both"/>
              <w:rPr>
                <w:rFonts w:eastAsia="Times New Roman" w:cstheme="minorHAnsi"/>
                <w:sz w:val="20"/>
                <w:szCs w:val="20"/>
              </w:rPr>
            </w:pPr>
            <w:r>
              <w:rPr>
                <w:rFonts w:eastAsia="Times New Roman" w:cstheme="minorHAnsi"/>
                <w:color w:val="000000"/>
                <w:sz w:val="20"/>
                <w:szCs w:val="20"/>
              </w:rPr>
              <w:t>58</w:t>
            </w:r>
          </w:p>
        </w:tc>
        <w:tc>
          <w:tcPr>
            <w:tcW w:w="1197" w:type="dxa"/>
            <w:vAlign w:val="center"/>
          </w:tcPr>
          <w:p w:rsidR="001429EA" w:rsidRPr="00E97254" w:rsidRDefault="004E1F53" w:rsidP="000C0250">
            <w:pPr>
              <w:spacing w:after="0"/>
              <w:jc w:val="both"/>
              <w:rPr>
                <w:rFonts w:eastAsia="Times New Roman" w:cstheme="minorHAnsi"/>
                <w:sz w:val="20"/>
                <w:szCs w:val="20"/>
              </w:rPr>
            </w:pPr>
            <w:r>
              <w:rPr>
                <w:rFonts w:eastAsia="Times New Roman" w:cstheme="minorHAnsi"/>
                <w:color w:val="000000"/>
                <w:sz w:val="20"/>
                <w:szCs w:val="20"/>
              </w:rPr>
              <w:t>80</w:t>
            </w:r>
          </w:p>
        </w:tc>
      </w:tr>
      <w:tr w:rsidR="001429EA" w:rsidRPr="00E97254" w:rsidTr="002165FD">
        <w:tc>
          <w:tcPr>
            <w:tcW w:w="2394" w:type="dxa"/>
            <w:shd w:val="clear" w:color="auto" w:fill="8DB3E2" w:themeFill="text2" w:themeFillTint="66"/>
          </w:tcPr>
          <w:p w:rsidR="001429EA" w:rsidRPr="00E97254" w:rsidRDefault="00FA5606" w:rsidP="000C0250">
            <w:pPr>
              <w:pStyle w:val="yiv7370368409msonormal"/>
              <w:spacing w:before="0" w:beforeAutospacing="0" w:after="0" w:afterAutospacing="0" w:line="276" w:lineRule="auto"/>
              <w:jc w:val="both"/>
              <w:rPr>
                <w:rFonts w:asciiTheme="minorHAnsi" w:hAnsiTheme="minorHAnsi" w:cstheme="minorHAnsi"/>
                <w:b/>
                <w:sz w:val="20"/>
                <w:szCs w:val="20"/>
              </w:rPr>
            </w:pPr>
            <w:r w:rsidRPr="00FA5606">
              <w:rPr>
                <w:rFonts w:asciiTheme="minorHAnsi" w:hAnsiTheme="minorHAnsi" w:cstheme="minorHAnsi"/>
                <w:b/>
                <w:sz w:val="20"/>
                <w:szCs w:val="20"/>
              </w:rPr>
              <w:t>Vendbanimi</w:t>
            </w:r>
          </w:p>
        </w:tc>
        <w:tc>
          <w:tcPr>
            <w:tcW w:w="2394" w:type="dxa"/>
            <w:gridSpan w:val="2"/>
            <w:shd w:val="clear" w:color="auto" w:fill="8DB3E2" w:themeFill="text2" w:themeFillTint="66"/>
            <w:vAlign w:val="center"/>
          </w:tcPr>
          <w:p w:rsidR="001429EA" w:rsidRPr="00E97254" w:rsidRDefault="001429EA" w:rsidP="000C0250">
            <w:pPr>
              <w:keepNext/>
              <w:keepLines/>
              <w:spacing w:before="200" w:after="0"/>
              <w:jc w:val="both"/>
              <w:outlineLvl w:val="2"/>
              <w:rPr>
                <w:rFonts w:eastAsia="Times New Roman" w:cstheme="minorHAnsi"/>
                <w:sz w:val="20"/>
                <w:szCs w:val="20"/>
              </w:rPr>
            </w:pPr>
          </w:p>
        </w:tc>
        <w:tc>
          <w:tcPr>
            <w:tcW w:w="2394" w:type="dxa"/>
            <w:gridSpan w:val="2"/>
            <w:shd w:val="clear" w:color="auto" w:fill="8DB3E2" w:themeFill="text2" w:themeFillTint="66"/>
            <w:vAlign w:val="center"/>
          </w:tcPr>
          <w:p w:rsidR="001429EA" w:rsidRPr="00E97254" w:rsidRDefault="001429EA" w:rsidP="000C0250">
            <w:pPr>
              <w:keepNext/>
              <w:keepLines/>
              <w:spacing w:before="200" w:after="0"/>
              <w:jc w:val="both"/>
              <w:outlineLvl w:val="2"/>
              <w:rPr>
                <w:rFonts w:eastAsia="Times New Roman" w:cstheme="minorHAnsi"/>
                <w:sz w:val="20"/>
                <w:szCs w:val="20"/>
              </w:rPr>
            </w:pPr>
          </w:p>
        </w:tc>
        <w:tc>
          <w:tcPr>
            <w:tcW w:w="2394" w:type="dxa"/>
            <w:gridSpan w:val="2"/>
            <w:shd w:val="clear" w:color="auto" w:fill="8DB3E2" w:themeFill="text2" w:themeFillTint="66"/>
            <w:vAlign w:val="center"/>
          </w:tcPr>
          <w:p w:rsidR="001429EA" w:rsidRPr="00E97254" w:rsidRDefault="001429EA" w:rsidP="000C0250">
            <w:pPr>
              <w:keepNext/>
              <w:keepLines/>
              <w:spacing w:before="200" w:after="0"/>
              <w:jc w:val="both"/>
              <w:outlineLvl w:val="2"/>
              <w:rPr>
                <w:rFonts w:eastAsia="Times New Roman" w:cstheme="minorHAnsi"/>
                <w:sz w:val="20"/>
                <w:szCs w:val="20"/>
              </w:rPr>
            </w:pPr>
          </w:p>
        </w:tc>
      </w:tr>
      <w:tr w:rsidR="001429EA" w:rsidRPr="00E97254" w:rsidTr="002165FD">
        <w:tc>
          <w:tcPr>
            <w:tcW w:w="2394" w:type="dxa"/>
          </w:tcPr>
          <w:p w:rsidR="001429EA" w:rsidRPr="00E97254" w:rsidRDefault="00FA5606" w:rsidP="000C0250">
            <w:pPr>
              <w:pStyle w:val="yiv7370368409msonormal"/>
              <w:spacing w:before="0" w:beforeAutospacing="0" w:after="0" w:afterAutospacing="0" w:line="276" w:lineRule="auto"/>
              <w:jc w:val="both"/>
              <w:rPr>
                <w:rFonts w:asciiTheme="minorHAnsi" w:hAnsiTheme="minorHAnsi" w:cstheme="minorHAnsi"/>
                <w:sz w:val="20"/>
                <w:szCs w:val="20"/>
              </w:rPr>
            </w:pPr>
            <w:r w:rsidRPr="00FA5606">
              <w:rPr>
                <w:rFonts w:asciiTheme="minorHAnsi" w:hAnsiTheme="minorHAnsi" w:cstheme="minorHAnsi"/>
                <w:sz w:val="20"/>
                <w:szCs w:val="20"/>
              </w:rPr>
              <w:t>Urban</w:t>
            </w:r>
          </w:p>
        </w:tc>
        <w:tc>
          <w:tcPr>
            <w:tcW w:w="1197" w:type="dxa"/>
            <w:vAlign w:val="center"/>
          </w:tcPr>
          <w:p w:rsidR="001429EA" w:rsidRPr="00E97254" w:rsidRDefault="004E1F53" w:rsidP="000C0250">
            <w:pPr>
              <w:spacing w:after="0"/>
              <w:jc w:val="both"/>
              <w:rPr>
                <w:rFonts w:eastAsia="Times New Roman" w:cstheme="minorHAnsi"/>
                <w:sz w:val="20"/>
                <w:szCs w:val="20"/>
              </w:rPr>
            </w:pPr>
            <w:r>
              <w:rPr>
                <w:rFonts w:eastAsia="Times New Roman" w:cstheme="minorHAnsi"/>
                <w:sz w:val="20"/>
                <w:szCs w:val="20"/>
              </w:rPr>
              <w:t>67</w:t>
            </w:r>
          </w:p>
        </w:tc>
        <w:tc>
          <w:tcPr>
            <w:tcW w:w="1197" w:type="dxa"/>
            <w:vAlign w:val="center"/>
          </w:tcPr>
          <w:p w:rsidR="001429EA" w:rsidRPr="00E97254" w:rsidRDefault="004E1F53" w:rsidP="000C0250">
            <w:pPr>
              <w:spacing w:after="0"/>
              <w:jc w:val="both"/>
              <w:rPr>
                <w:rFonts w:eastAsia="Times New Roman" w:cstheme="minorHAnsi"/>
                <w:sz w:val="20"/>
                <w:szCs w:val="20"/>
              </w:rPr>
            </w:pPr>
            <w:r>
              <w:rPr>
                <w:rFonts w:eastAsia="Times New Roman" w:cstheme="minorHAnsi"/>
                <w:sz w:val="20"/>
                <w:szCs w:val="20"/>
              </w:rPr>
              <w:t>81</w:t>
            </w:r>
          </w:p>
        </w:tc>
        <w:tc>
          <w:tcPr>
            <w:tcW w:w="1197" w:type="dxa"/>
            <w:vAlign w:val="center"/>
          </w:tcPr>
          <w:p w:rsidR="001429EA" w:rsidRPr="00E97254" w:rsidRDefault="004E1F53" w:rsidP="000C0250">
            <w:pPr>
              <w:spacing w:after="0"/>
              <w:jc w:val="both"/>
              <w:rPr>
                <w:rFonts w:eastAsia="Times New Roman" w:cstheme="minorHAnsi"/>
                <w:sz w:val="20"/>
                <w:szCs w:val="20"/>
              </w:rPr>
            </w:pPr>
            <w:r>
              <w:rPr>
                <w:rFonts w:eastAsia="Times New Roman" w:cstheme="minorHAnsi"/>
                <w:color w:val="000000"/>
                <w:sz w:val="20"/>
                <w:szCs w:val="20"/>
              </w:rPr>
              <w:t>95</w:t>
            </w:r>
          </w:p>
        </w:tc>
        <w:tc>
          <w:tcPr>
            <w:tcW w:w="1197" w:type="dxa"/>
            <w:vAlign w:val="center"/>
          </w:tcPr>
          <w:p w:rsidR="001429EA" w:rsidRPr="00E97254" w:rsidRDefault="004E1F53" w:rsidP="000C0250">
            <w:pPr>
              <w:spacing w:after="0"/>
              <w:jc w:val="both"/>
              <w:rPr>
                <w:rFonts w:eastAsia="Times New Roman" w:cstheme="minorHAnsi"/>
                <w:sz w:val="20"/>
                <w:szCs w:val="20"/>
              </w:rPr>
            </w:pPr>
            <w:r>
              <w:rPr>
                <w:rFonts w:eastAsia="Times New Roman" w:cstheme="minorHAnsi"/>
                <w:color w:val="000000"/>
                <w:sz w:val="20"/>
                <w:szCs w:val="20"/>
              </w:rPr>
              <w:t>93</w:t>
            </w:r>
          </w:p>
        </w:tc>
        <w:tc>
          <w:tcPr>
            <w:tcW w:w="1197" w:type="dxa"/>
            <w:vAlign w:val="center"/>
          </w:tcPr>
          <w:p w:rsidR="001429EA" w:rsidRPr="00E97254" w:rsidRDefault="004E1F53" w:rsidP="000C0250">
            <w:pPr>
              <w:spacing w:after="0"/>
              <w:jc w:val="both"/>
              <w:rPr>
                <w:rFonts w:eastAsia="Times New Roman" w:cstheme="minorHAnsi"/>
                <w:sz w:val="20"/>
                <w:szCs w:val="20"/>
              </w:rPr>
            </w:pPr>
            <w:r>
              <w:rPr>
                <w:rFonts w:eastAsia="Times New Roman" w:cstheme="minorHAnsi"/>
                <w:color w:val="000000"/>
                <w:sz w:val="20"/>
                <w:szCs w:val="20"/>
              </w:rPr>
              <w:t>68</w:t>
            </w:r>
          </w:p>
        </w:tc>
        <w:tc>
          <w:tcPr>
            <w:tcW w:w="1197" w:type="dxa"/>
            <w:vAlign w:val="center"/>
          </w:tcPr>
          <w:p w:rsidR="001429EA" w:rsidRPr="00E97254" w:rsidRDefault="004E1F53" w:rsidP="000C0250">
            <w:pPr>
              <w:spacing w:after="0"/>
              <w:jc w:val="both"/>
              <w:rPr>
                <w:rFonts w:eastAsia="Times New Roman" w:cstheme="minorHAnsi"/>
                <w:sz w:val="20"/>
                <w:szCs w:val="20"/>
              </w:rPr>
            </w:pPr>
            <w:r>
              <w:rPr>
                <w:rFonts w:eastAsia="Times New Roman" w:cstheme="minorHAnsi"/>
                <w:color w:val="000000"/>
                <w:sz w:val="20"/>
                <w:szCs w:val="20"/>
              </w:rPr>
              <w:t>80</w:t>
            </w:r>
          </w:p>
        </w:tc>
      </w:tr>
      <w:tr w:rsidR="001429EA" w:rsidRPr="00E97254" w:rsidTr="002165FD">
        <w:tc>
          <w:tcPr>
            <w:tcW w:w="2394" w:type="dxa"/>
          </w:tcPr>
          <w:p w:rsidR="001429EA" w:rsidRPr="00E97254" w:rsidRDefault="00FA5606" w:rsidP="000C0250">
            <w:pPr>
              <w:pStyle w:val="yiv7370368409msonormal"/>
              <w:spacing w:before="0" w:beforeAutospacing="0" w:after="0" w:afterAutospacing="0" w:line="276" w:lineRule="auto"/>
              <w:jc w:val="both"/>
              <w:rPr>
                <w:rFonts w:asciiTheme="minorHAnsi" w:hAnsiTheme="minorHAnsi" w:cstheme="minorHAnsi"/>
                <w:sz w:val="20"/>
                <w:szCs w:val="20"/>
              </w:rPr>
            </w:pPr>
            <w:r w:rsidRPr="00FA5606">
              <w:rPr>
                <w:rFonts w:asciiTheme="minorHAnsi" w:hAnsiTheme="minorHAnsi" w:cstheme="minorHAnsi"/>
                <w:sz w:val="20"/>
                <w:szCs w:val="20"/>
              </w:rPr>
              <w:t>Rural</w:t>
            </w:r>
          </w:p>
        </w:tc>
        <w:tc>
          <w:tcPr>
            <w:tcW w:w="1197" w:type="dxa"/>
            <w:vAlign w:val="center"/>
          </w:tcPr>
          <w:p w:rsidR="001429EA" w:rsidRPr="00E97254" w:rsidRDefault="004E1F53" w:rsidP="000C0250">
            <w:pPr>
              <w:spacing w:after="0"/>
              <w:jc w:val="both"/>
              <w:rPr>
                <w:rFonts w:eastAsia="Times New Roman" w:cstheme="minorHAnsi"/>
                <w:sz w:val="20"/>
                <w:szCs w:val="20"/>
              </w:rPr>
            </w:pPr>
            <w:r>
              <w:rPr>
                <w:rFonts w:eastAsia="Times New Roman" w:cstheme="minorHAnsi"/>
                <w:sz w:val="20"/>
                <w:szCs w:val="20"/>
              </w:rPr>
              <w:t>50</w:t>
            </w:r>
          </w:p>
        </w:tc>
        <w:tc>
          <w:tcPr>
            <w:tcW w:w="1197" w:type="dxa"/>
            <w:vAlign w:val="center"/>
          </w:tcPr>
          <w:p w:rsidR="001429EA" w:rsidRPr="00E97254" w:rsidRDefault="004E1F53" w:rsidP="000C0250">
            <w:pPr>
              <w:spacing w:after="0"/>
              <w:jc w:val="both"/>
              <w:rPr>
                <w:rFonts w:eastAsia="Times New Roman" w:cstheme="minorHAnsi"/>
                <w:sz w:val="20"/>
                <w:szCs w:val="20"/>
              </w:rPr>
            </w:pPr>
            <w:r>
              <w:rPr>
                <w:rFonts w:eastAsia="Times New Roman" w:cstheme="minorHAnsi"/>
                <w:sz w:val="20"/>
                <w:szCs w:val="20"/>
              </w:rPr>
              <w:t>77</w:t>
            </w:r>
          </w:p>
        </w:tc>
        <w:tc>
          <w:tcPr>
            <w:tcW w:w="1197" w:type="dxa"/>
            <w:vAlign w:val="center"/>
          </w:tcPr>
          <w:p w:rsidR="001429EA" w:rsidRPr="00E97254" w:rsidRDefault="004E1F53" w:rsidP="000C0250">
            <w:pPr>
              <w:spacing w:after="0"/>
              <w:jc w:val="both"/>
              <w:rPr>
                <w:rFonts w:eastAsia="Times New Roman" w:cstheme="minorHAnsi"/>
                <w:sz w:val="20"/>
                <w:szCs w:val="20"/>
              </w:rPr>
            </w:pPr>
            <w:r>
              <w:rPr>
                <w:rFonts w:eastAsia="Times New Roman" w:cstheme="minorHAnsi"/>
                <w:color w:val="000000"/>
                <w:sz w:val="20"/>
                <w:szCs w:val="20"/>
              </w:rPr>
              <w:t>95</w:t>
            </w:r>
          </w:p>
        </w:tc>
        <w:tc>
          <w:tcPr>
            <w:tcW w:w="1197" w:type="dxa"/>
            <w:vAlign w:val="center"/>
          </w:tcPr>
          <w:p w:rsidR="001429EA" w:rsidRPr="00E97254" w:rsidRDefault="004E1F53" w:rsidP="000C0250">
            <w:pPr>
              <w:spacing w:after="0"/>
              <w:jc w:val="both"/>
              <w:rPr>
                <w:rFonts w:eastAsia="Times New Roman" w:cstheme="minorHAnsi"/>
                <w:sz w:val="20"/>
                <w:szCs w:val="20"/>
              </w:rPr>
            </w:pPr>
            <w:r>
              <w:rPr>
                <w:rFonts w:eastAsia="Times New Roman" w:cstheme="minorHAnsi"/>
                <w:color w:val="000000"/>
                <w:sz w:val="20"/>
                <w:szCs w:val="20"/>
              </w:rPr>
              <w:t>91</w:t>
            </w:r>
          </w:p>
        </w:tc>
        <w:tc>
          <w:tcPr>
            <w:tcW w:w="1197" w:type="dxa"/>
            <w:vAlign w:val="center"/>
          </w:tcPr>
          <w:p w:rsidR="001429EA" w:rsidRPr="00E97254" w:rsidRDefault="004E1F53" w:rsidP="000C0250">
            <w:pPr>
              <w:spacing w:after="0"/>
              <w:jc w:val="both"/>
              <w:rPr>
                <w:rFonts w:eastAsia="Times New Roman" w:cstheme="minorHAnsi"/>
                <w:sz w:val="20"/>
                <w:szCs w:val="20"/>
              </w:rPr>
            </w:pPr>
            <w:r>
              <w:rPr>
                <w:rFonts w:eastAsia="Times New Roman" w:cstheme="minorHAnsi"/>
                <w:color w:val="000000"/>
                <w:sz w:val="20"/>
                <w:szCs w:val="20"/>
              </w:rPr>
              <w:t>52</w:t>
            </w:r>
          </w:p>
        </w:tc>
        <w:tc>
          <w:tcPr>
            <w:tcW w:w="1197" w:type="dxa"/>
            <w:vAlign w:val="center"/>
          </w:tcPr>
          <w:p w:rsidR="001429EA" w:rsidRPr="00E97254" w:rsidRDefault="004E1F53" w:rsidP="000C0250">
            <w:pPr>
              <w:spacing w:after="0"/>
              <w:jc w:val="both"/>
              <w:rPr>
                <w:rFonts w:eastAsia="Times New Roman" w:cstheme="minorHAnsi"/>
                <w:sz w:val="20"/>
                <w:szCs w:val="20"/>
              </w:rPr>
            </w:pPr>
            <w:r>
              <w:rPr>
                <w:rFonts w:eastAsia="Times New Roman" w:cstheme="minorHAnsi"/>
                <w:color w:val="000000"/>
                <w:sz w:val="20"/>
                <w:szCs w:val="20"/>
              </w:rPr>
              <w:t>75</w:t>
            </w:r>
          </w:p>
        </w:tc>
      </w:tr>
      <w:tr w:rsidR="001429EA" w:rsidRPr="00E97254" w:rsidTr="002165FD">
        <w:tc>
          <w:tcPr>
            <w:tcW w:w="2394" w:type="dxa"/>
            <w:shd w:val="clear" w:color="auto" w:fill="8DB3E2" w:themeFill="text2" w:themeFillTint="66"/>
          </w:tcPr>
          <w:p w:rsidR="001429EA" w:rsidRPr="00E97254" w:rsidRDefault="00FA5606" w:rsidP="000C0250">
            <w:pPr>
              <w:pStyle w:val="yiv7370368409msonormal"/>
              <w:spacing w:before="0" w:beforeAutospacing="0" w:after="0" w:afterAutospacing="0" w:line="276" w:lineRule="auto"/>
              <w:jc w:val="both"/>
              <w:rPr>
                <w:rFonts w:asciiTheme="minorHAnsi" w:hAnsiTheme="minorHAnsi" w:cstheme="minorHAnsi"/>
                <w:b/>
                <w:sz w:val="20"/>
                <w:szCs w:val="20"/>
              </w:rPr>
            </w:pPr>
            <w:r w:rsidRPr="00FA5606">
              <w:rPr>
                <w:rFonts w:asciiTheme="minorHAnsi" w:hAnsiTheme="minorHAnsi" w:cstheme="minorHAnsi"/>
                <w:b/>
                <w:sz w:val="20"/>
                <w:szCs w:val="20"/>
              </w:rPr>
              <w:t>Kuintili i pasurisë</w:t>
            </w:r>
          </w:p>
        </w:tc>
        <w:tc>
          <w:tcPr>
            <w:tcW w:w="2394" w:type="dxa"/>
            <w:gridSpan w:val="2"/>
            <w:shd w:val="clear" w:color="auto" w:fill="8DB3E2" w:themeFill="text2" w:themeFillTint="66"/>
            <w:vAlign w:val="center"/>
          </w:tcPr>
          <w:p w:rsidR="001429EA" w:rsidRPr="00E97254" w:rsidRDefault="001429EA" w:rsidP="000C0250">
            <w:pPr>
              <w:keepNext/>
              <w:keepLines/>
              <w:spacing w:before="200" w:after="0"/>
              <w:jc w:val="both"/>
              <w:outlineLvl w:val="2"/>
              <w:rPr>
                <w:rFonts w:eastAsia="Times New Roman" w:cstheme="minorHAnsi"/>
                <w:sz w:val="20"/>
                <w:szCs w:val="20"/>
              </w:rPr>
            </w:pPr>
          </w:p>
        </w:tc>
        <w:tc>
          <w:tcPr>
            <w:tcW w:w="2394" w:type="dxa"/>
            <w:gridSpan w:val="2"/>
            <w:shd w:val="clear" w:color="auto" w:fill="8DB3E2" w:themeFill="text2" w:themeFillTint="66"/>
            <w:vAlign w:val="center"/>
          </w:tcPr>
          <w:p w:rsidR="001429EA" w:rsidRPr="00E97254" w:rsidRDefault="001429EA" w:rsidP="000C0250">
            <w:pPr>
              <w:keepNext/>
              <w:keepLines/>
              <w:spacing w:before="200" w:after="0"/>
              <w:jc w:val="both"/>
              <w:outlineLvl w:val="2"/>
              <w:rPr>
                <w:rFonts w:eastAsia="Times New Roman" w:cstheme="minorHAnsi"/>
                <w:sz w:val="20"/>
                <w:szCs w:val="20"/>
              </w:rPr>
            </w:pPr>
          </w:p>
        </w:tc>
        <w:tc>
          <w:tcPr>
            <w:tcW w:w="2394" w:type="dxa"/>
            <w:gridSpan w:val="2"/>
            <w:shd w:val="clear" w:color="auto" w:fill="8DB3E2" w:themeFill="text2" w:themeFillTint="66"/>
            <w:vAlign w:val="center"/>
          </w:tcPr>
          <w:p w:rsidR="001429EA" w:rsidRPr="00E97254" w:rsidRDefault="001429EA" w:rsidP="000C0250">
            <w:pPr>
              <w:keepNext/>
              <w:keepLines/>
              <w:spacing w:before="200" w:after="0"/>
              <w:jc w:val="both"/>
              <w:outlineLvl w:val="2"/>
              <w:rPr>
                <w:rFonts w:eastAsia="Times New Roman" w:cstheme="minorHAnsi"/>
                <w:sz w:val="20"/>
                <w:szCs w:val="20"/>
              </w:rPr>
            </w:pPr>
          </w:p>
        </w:tc>
      </w:tr>
      <w:tr w:rsidR="009336F3" w:rsidRPr="00E97254" w:rsidTr="002165FD">
        <w:tc>
          <w:tcPr>
            <w:tcW w:w="2394" w:type="dxa"/>
          </w:tcPr>
          <w:p w:rsidR="009336F3" w:rsidRPr="00E97254" w:rsidRDefault="004E1F53" w:rsidP="000C0250">
            <w:pPr>
              <w:spacing w:after="0"/>
              <w:jc w:val="both"/>
              <w:rPr>
                <w:rFonts w:cstheme="minorHAnsi"/>
                <w:sz w:val="20"/>
                <w:szCs w:val="20"/>
              </w:rPr>
            </w:pPr>
            <w:r>
              <w:rPr>
                <w:rFonts w:cstheme="minorHAnsi"/>
                <w:sz w:val="20"/>
                <w:szCs w:val="20"/>
              </w:rPr>
              <w:t>më i ulët</w:t>
            </w:r>
          </w:p>
        </w:tc>
        <w:tc>
          <w:tcPr>
            <w:tcW w:w="1197" w:type="dxa"/>
            <w:vAlign w:val="center"/>
          </w:tcPr>
          <w:p w:rsidR="009336F3" w:rsidRPr="00E97254" w:rsidRDefault="004E1F53" w:rsidP="000C0250">
            <w:pPr>
              <w:spacing w:after="0"/>
              <w:jc w:val="both"/>
              <w:rPr>
                <w:rFonts w:eastAsia="Times New Roman" w:cstheme="minorHAnsi"/>
                <w:sz w:val="20"/>
                <w:szCs w:val="20"/>
              </w:rPr>
            </w:pPr>
            <w:r>
              <w:rPr>
                <w:rFonts w:eastAsia="Times New Roman" w:cstheme="minorHAnsi"/>
                <w:bCs/>
                <w:sz w:val="20"/>
                <w:szCs w:val="20"/>
              </w:rPr>
              <w:t>34</w:t>
            </w:r>
          </w:p>
        </w:tc>
        <w:tc>
          <w:tcPr>
            <w:tcW w:w="1197" w:type="dxa"/>
            <w:vAlign w:val="center"/>
          </w:tcPr>
          <w:p w:rsidR="009336F3" w:rsidRPr="00E97254" w:rsidRDefault="004E1F53" w:rsidP="000C0250">
            <w:pPr>
              <w:spacing w:after="0"/>
              <w:jc w:val="both"/>
              <w:rPr>
                <w:rFonts w:eastAsia="Times New Roman" w:cstheme="minorHAnsi"/>
                <w:sz w:val="20"/>
                <w:szCs w:val="20"/>
              </w:rPr>
            </w:pPr>
            <w:r>
              <w:rPr>
                <w:rFonts w:eastAsia="Times New Roman" w:cstheme="minorHAnsi"/>
                <w:sz w:val="20"/>
                <w:szCs w:val="20"/>
              </w:rPr>
              <w:t>70</w:t>
            </w:r>
          </w:p>
        </w:tc>
        <w:tc>
          <w:tcPr>
            <w:tcW w:w="1197" w:type="dxa"/>
            <w:vAlign w:val="center"/>
          </w:tcPr>
          <w:p w:rsidR="009336F3" w:rsidRPr="00E97254" w:rsidRDefault="004E1F53" w:rsidP="000C0250">
            <w:pPr>
              <w:spacing w:after="0"/>
              <w:jc w:val="both"/>
              <w:rPr>
                <w:rFonts w:eastAsia="Times New Roman" w:cstheme="minorHAnsi"/>
                <w:sz w:val="20"/>
                <w:szCs w:val="20"/>
              </w:rPr>
            </w:pPr>
            <w:r>
              <w:rPr>
                <w:rFonts w:eastAsia="Times New Roman" w:cstheme="minorHAnsi"/>
                <w:color w:val="000000"/>
                <w:sz w:val="20"/>
                <w:szCs w:val="20"/>
              </w:rPr>
              <w:t>93</w:t>
            </w:r>
          </w:p>
        </w:tc>
        <w:tc>
          <w:tcPr>
            <w:tcW w:w="1197" w:type="dxa"/>
            <w:vAlign w:val="center"/>
          </w:tcPr>
          <w:p w:rsidR="009336F3" w:rsidRPr="00E97254" w:rsidRDefault="004E1F53" w:rsidP="000C0250">
            <w:pPr>
              <w:spacing w:after="0"/>
              <w:jc w:val="both"/>
              <w:rPr>
                <w:rFonts w:eastAsia="Times New Roman" w:cstheme="minorHAnsi"/>
                <w:sz w:val="20"/>
                <w:szCs w:val="20"/>
              </w:rPr>
            </w:pPr>
            <w:r>
              <w:rPr>
                <w:rFonts w:eastAsia="Times New Roman" w:cstheme="minorHAnsi"/>
                <w:color w:val="000000"/>
                <w:sz w:val="20"/>
                <w:szCs w:val="20"/>
              </w:rPr>
              <w:t>90</w:t>
            </w:r>
          </w:p>
        </w:tc>
        <w:tc>
          <w:tcPr>
            <w:tcW w:w="1197" w:type="dxa"/>
            <w:vAlign w:val="center"/>
          </w:tcPr>
          <w:p w:rsidR="009336F3" w:rsidRPr="00E97254" w:rsidRDefault="004E1F53" w:rsidP="000C0250">
            <w:pPr>
              <w:spacing w:after="0"/>
              <w:jc w:val="both"/>
              <w:rPr>
                <w:rFonts w:eastAsia="Times New Roman" w:cstheme="minorHAnsi"/>
                <w:sz w:val="20"/>
                <w:szCs w:val="20"/>
              </w:rPr>
            </w:pPr>
            <w:r>
              <w:rPr>
                <w:rFonts w:eastAsia="Times New Roman" w:cstheme="minorHAnsi"/>
                <w:color w:val="000000"/>
                <w:sz w:val="20"/>
                <w:szCs w:val="20"/>
              </w:rPr>
              <w:t>39</w:t>
            </w:r>
          </w:p>
        </w:tc>
        <w:tc>
          <w:tcPr>
            <w:tcW w:w="1197" w:type="dxa"/>
            <w:vAlign w:val="center"/>
          </w:tcPr>
          <w:p w:rsidR="009336F3" w:rsidRPr="00E97254" w:rsidRDefault="004E1F53" w:rsidP="000C0250">
            <w:pPr>
              <w:spacing w:after="0"/>
              <w:jc w:val="both"/>
              <w:rPr>
                <w:rFonts w:eastAsia="Times New Roman" w:cstheme="minorHAnsi"/>
                <w:sz w:val="20"/>
                <w:szCs w:val="20"/>
              </w:rPr>
            </w:pPr>
            <w:r>
              <w:rPr>
                <w:rFonts w:eastAsia="Times New Roman" w:cstheme="minorHAnsi"/>
                <w:color w:val="000000"/>
                <w:sz w:val="20"/>
                <w:szCs w:val="20"/>
              </w:rPr>
              <w:t>65</w:t>
            </w:r>
          </w:p>
        </w:tc>
      </w:tr>
      <w:tr w:rsidR="009336F3" w:rsidRPr="00E97254" w:rsidTr="002165FD">
        <w:tc>
          <w:tcPr>
            <w:tcW w:w="2394" w:type="dxa"/>
          </w:tcPr>
          <w:p w:rsidR="009336F3" w:rsidRPr="00E97254" w:rsidRDefault="004E1F53" w:rsidP="000C0250">
            <w:pPr>
              <w:spacing w:after="0"/>
              <w:jc w:val="both"/>
              <w:rPr>
                <w:rFonts w:cstheme="minorHAnsi"/>
                <w:sz w:val="20"/>
                <w:szCs w:val="20"/>
              </w:rPr>
            </w:pPr>
            <w:r>
              <w:rPr>
                <w:rFonts w:cstheme="minorHAnsi"/>
                <w:sz w:val="20"/>
                <w:szCs w:val="20"/>
              </w:rPr>
              <w:t>I dytë</w:t>
            </w:r>
          </w:p>
        </w:tc>
        <w:tc>
          <w:tcPr>
            <w:tcW w:w="1197" w:type="dxa"/>
            <w:vAlign w:val="center"/>
          </w:tcPr>
          <w:p w:rsidR="009336F3" w:rsidRPr="00E97254" w:rsidRDefault="004E1F53" w:rsidP="000C0250">
            <w:pPr>
              <w:spacing w:after="0"/>
              <w:jc w:val="both"/>
              <w:rPr>
                <w:rFonts w:eastAsia="Times New Roman" w:cstheme="minorHAnsi"/>
                <w:sz w:val="20"/>
                <w:szCs w:val="20"/>
              </w:rPr>
            </w:pPr>
            <w:r>
              <w:rPr>
                <w:rFonts w:eastAsia="Times New Roman" w:cstheme="minorHAnsi"/>
                <w:sz w:val="20"/>
                <w:szCs w:val="20"/>
              </w:rPr>
              <w:t>62</w:t>
            </w:r>
          </w:p>
        </w:tc>
        <w:tc>
          <w:tcPr>
            <w:tcW w:w="1197" w:type="dxa"/>
            <w:vAlign w:val="center"/>
          </w:tcPr>
          <w:p w:rsidR="009336F3" w:rsidRPr="00E97254" w:rsidRDefault="004E1F53" w:rsidP="000C0250">
            <w:pPr>
              <w:spacing w:after="0"/>
              <w:jc w:val="both"/>
              <w:rPr>
                <w:rFonts w:eastAsia="Times New Roman" w:cstheme="minorHAnsi"/>
                <w:sz w:val="20"/>
                <w:szCs w:val="20"/>
              </w:rPr>
            </w:pPr>
            <w:r>
              <w:rPr>
                <w:rFonts w:eastAsia="Times New Roman" w:cstheme="minorHAnsi"/>
                <w:sz w:val="20"/>
                <w:szCs w:val="20"/>
              </w:rPr>
              <w:t>76</w:t>
            </w:r>
          </w:p>
        </w:tc>
        <w:tc>
          <w:tcPr>
            <w:tcW w:w="1197" w:type="dxa"/>
            <w:vAlign w:val="center"/>
          </w:tcPr>
          <w:p w:rsidR="009336F3" w:rsidRPr="00E97254" w:rsidRDefault="004E1F53" w:rsidP="000C0250">
            <w:pPr>
              <w:spacing w:after="0"/>
              <w:jc w:val="both"/>
              <w:rPr>
                <w:rFonts w:eastAsia="Times New Roman" w:cstheme="minorHAnsi"/>
                <w:sz w:val="20"/>
                <w:szCs w:val="20"/>
              </w:rPr>
            </w:pPr>
            <w:r>
              <w:rPr>
                <w:rFonts w:eastAsia="Times New Roman" w:cstheme="minorHAnsi"/>
                <w:color w:val="000000"/>
                <w:sz w:val="20"/>
                <w:szCs w:val="20"/>
              </w:rPr>
              <w:t>96</w:t>
            </w:r>
          </w:p>
        </w:tc>
        <w:tc>
          <w:tcPr>
            <w:tcW w:w="1197" w:type="dxa"/>
            <w:vAlign w:val="center"/>
          </w:tcPr>
          <w:p w:rsidR="009336F3" w:rsidRPr="00E97254" w:rsidRDefault="004E1F53" w:rsidP="000C0250">
            <w:pPr>
              <w:spacing w:after="0"/>
              <w:jc w:val="both"/>
              <w:rPr>
                <w:rFonts w:eastAsia="Times New Roman" w:cstheme="minorHAnsi"/>
                <w:sz w:val="20"/>
                <w:szCs w:val="20"/>
              </w:rPr>
            </w:pPr>
            <w:r>
              <w:rPr>
                <w:rFonts w:eastAsia="Times New Roman" w:cstheme="minorHAnsi"/>
                <w:color w:val="000000"/>
                <w:sz w:val="20"/>
                <w:szCs w:val="20"/>
              </w:rPr>
              <w:t>94</w:t>
            </w:r>
          </w:p>
        </w:tc>
        <w:tc>
          <w:tcPr>
            <w:tcW w:w="1197" w:type="dxa"/>
            <w:vAlign w:val="center"/>
          </w:tcPr>
          <w:p w:rsidR="009336F3" w:rsidRPr="00E97254" w:rsidRDefault="004E1F53" w:rsidP="000C0250">
            <w:pPr>
              <w:spacing w:after="0"/>
              <w:jc w:val="both"/>
              <w:rPr>
                <w:rFonts w:eastAsia="Times New Roman" w:cstheme="minorHAnsi"/>
                <w:sz w:val="20"/>
                <w:szCs w:val="20"/>
              </w:rPr>
            </w:pPr>
            <w:r>
              <w:rPr>
                <w:rFonts w:eastAsia="Times New Roman" w:cstheme="minorHAnsi"/>
                <w:color w:val="000000"/>
                <w:sz w:val="20"/>
                <w:szCs w:val="20"/>
              </w:rPr>
              <w:t>51</w:t>
            </w:r>
          </w:p>
        </w:tc>
        <w:tc>
          <w:tcPr>
            <w:tcW w:w="1197" w:type="dxa"/>
            <w:vAlign w:val="center"/>
          </w:tcPr>
          <w:p w:rsidR="009336F3" w:rsidRPr="00E97254" w:rsidRDefault="004E1F53" w:rsidP="000C0250">
            <w:pPr>
              <w:spacing w:after="0"/>
              <w:jc w:val="both"/>
              <w:rPr>
                <w:rFonts w:eastAsia="Times New Roman" w:cstheme="minorHAnsi"/>
                <w:sz w:val="20"/>
                <w:szCs w:val="20"/>
              </w:rPr>
            </w:pPr>
            <w:r>
              <w:rPr>
                <w:rFonts w:eastAsia="Times New Roman" w:cstheme="minorHAnsi"/>
                <w:color w:val="000000"/>
                <w:sz w:val="20"/>
                <w:szCs w:val="20"/>
              </w:rPr>
              <w:t>76</w:t>
            </w:r>
          </w:p>
        </w:tc>
      </w:tr>
      <w:tr w:rsidR="009336F3" w:rsidRPr="00E97254" w:rsidTr="002165FD">
        <w:tc>
          <w:tcPr>
            <w:tcW w:w="2394" w:type="dxa"/>
          </w:tcPr>
          <w:p w:rsidR="009336F3" w:rsidRPr="00E97254" w:rsidRDefault="004E1F53" w:rsidP="000C0250">
            <w:pPr>
              <w:spacing w:after="0"/>
              <w:jc w:val="both"/>
              <w:rPr>
                <w:rFonts w:cstheme="minorHAnsi"/>
                <w:sz w:val="20"/>
                <w:szCs w:val="20"/>
              </w:rPr>
            </w:pPr>
            <w:r>
              <w:rPr>
                <w:rFonts w:cstheme="minorHAnsi"/>
                <w:sz w:val="20"/>
                <w:szCs w:val="20"/>
              </w:rPr>
              <w:t>I mesit</w:t>
            </w:r>
          </w:p>
        </w:tc>
        <w:tc>
          <w:tcPr>
            <w:tcW w:w="1197" w:type="dxa"/>
            <w:vAlign w:val="center"/>
          </w:tcPr>
          <w:p w:rsidR="009336F3" w:rsidRPr="00E97254" w:rsidRDefault="004E1F53" w:rsidP="000C0250">
            <w:pPr>
              <w:spacing w:after="0"/>
              <w:jc w:val="both"/>
              <w:rPr>
                <w:rFonts w:eastAsia="Times New Roman" w:cstheme="minorHAnsi"/>
                <w:sz w:val="20"/>
                <w:szCs w:val="20"/>
              </w:rPr>
            </w:pPr>
            <w:r>
              <w:rPr>
                <w:rFonts w:eastAsia="Times New Roman" w:cstheme="minorHAnsi"/>
                <w:sz w:val="20"/>
                <w:szCs w:val="20"/>
              </w:rPr>
              <w:t>60</w:t>
            </w:r>
          </w:p>
        </w:tc>
        <w:tc>
          <w:tcPr>
            <w:tcW w:w="1197" w:type="dxa"/>
            <w:vAlign w:val="center"/>
          </w:tcPr>
          <w:p w:rsidR="009336F3" w:rsidRPr="00E97254" w:rsidRDefault="004E1F53" w:rsidP="000C0250">
            <w:pPr>
              <w:spacing w:after="0"/>
              <w:jc w:val="both"/>
              <w:rPr>
                <w:rFonts w:eastAsia="Times New Roman" w:cstheme="minorHAnsi"/>
                <w:sz w:val="20"/>
                <w:szCs w:val="20"/>
              </w:rPr>
            </w:pPr>
            <w:r>
              <w:rPr>
                <w:rFonts w:eastAsia="Times New Roman" w:cstheme="minorHAnsi"/>
                <w:sz w:val="20"/>
                <w:szCs w:val="20"/>
              </w:rPr>
              <w:t>81</w:t>
            </w:r>
          </w:p>
        </w:tc>
        <w:tc>
          <w:tcPr>
            <w:tcW w:w="1197" w:type="dxa"/>
            <w:vAlign w:val="center"/>
          </w:tcPr>
          <w:p w:rsidR="009336F3" w:rsidRPr="00E97254" w:rsidRDefault="004E1F53" w:rsidP="000C0250">
            <w:pPr>
              <w:spacing w:after="0"/>
              <w:jc w:val="both"/>
              <w:rPr>
                <w:rFonts w:eastAsia="Times New Roman" w:cstheme="minorHAnsi"/>
                <w:sz w:val="20"/>
                <w:szCs w:val="20"/>
              </w:rPr>
            </w:pPr>
            <w:r>
              <w:rPr>
                <w:rFonts w:eastAsia="Times New Roman" w:cstheme="minorHAnsi"/>
                <w:color w:val="000000"/>
                <w:sz w:val="20"/>
                <w:szCs w:val="20"/>
              </w:rPr>
              <w:t>95</w:t>
            </w:r>
          </w:p>
        </w:tc>
        <w:tc>
          <w:tcPr>
            <w:tcW w:w="1197" w:type="dxa"/>
            <w:vAlign w:val="center"/>
          </w:tcPr>
          <w:p w:rsidR="009336F3" w:rsidRPr="00E97254" w:rsidRDefault="004E1F53" w:rsidP="000C0250">
            <w:pPr>
              <w:spacing w:after="0"/>
              <w:jc w:val="both"/>
              <w:rPr>
                <w:rFonts w:eastAsia="Times New Roman" w:cstheme="minorHAnsi"/>
                <w:sz w:val="20"/>
                <w:szCs w:val="20"/>
              </w:rPr>
            </w:pPr>
            <w:r>
              <w:rPr>
                <w:rFonts w:eastAsia="Times New Roman" w:cstheme="minorHAnsi"/>
                <w:color w:val="000000"/>
                <w:sz w:val="20"/>
                <w:szCs w:val="20"/>
              </w:rPr>
              <w:t>92</w:t>
            </w:r>
          </w:p>
        </w:tc>
        <w:tc>
          <w:tcPr>
            <w:tcW w:w="1197" w:type="dxa"/>
            <w:vAlign w:val="center"/>
          </w:tcPr>
          <w:p w:rsidR="009336F3" w:rsidRPr="00E97254" w:rsidRDefault="004E1F53" w:rsidP="000C0250">
            <w:pPr>
              <w:spacing w:after="0"/>
              <w:jc w:val="both"/>
              <w:rPr>
                <w:rFonts w:eastAsia="Times New Roman" w:cstheme="minorHAnsi"/>
                <w:sz w:val="20"/>
                <w:szCs w:val="20"/>
              </w:rPr>
            </w:pPr>
            <w:r>
              <w:rPr>
                <w:rFonts w:eastAsia="Times New Roman" w:cstheme="minorHAnsi"/>
                <w:color w:val="000000"/>
                <w:sz w:val="20"/>
                <w:szCs w:val="20"/>
              </w:rPr>
              <w:t>60</w:t>
            </w:r>
          </w:p>
        </w:tc>
        <w:tc>
          <w:tcPr>
            <w:tcW w:w="1197" w:type="dxa"/>
            <w:vAlign w:val="center"/>
          </w:tcPr>
          <w:p w:rsidR="009336F3" w:rsidRPr="00E97254" w:rsidRDefault="004E1F53" w:rsidP="000C0250">
            <w:pPr>
              <w:spacing w:after="0"/>
              <w:jc w:val="both"/>
              <w:rPr>
                <w:rFonts w:eastAsia="Times New Roman" w:cstheme="minorHAnsi"/>
                <w:sz w:val="20"/>
                <w:szCs w:val="20"/>
              </w:rPr>
            </w:pPr>
            <w:r>
              <w:rPr>
                <w:rFonts w:eastAsia="Times New Roman" w:cstheme="minorHAnsi"/>
                <w:color w:val="000000"/>
                <w:sz w:val="20"/>
                <w:szCs w:val="20"/>
              </w:rPr>
              <w:t>79</w:t>
            </w:r>
          </w:p>
        </w:tc>
      </w:tr>
      <w:tr w:rsidR="009336F3" w:rsidRPr="00E97254" w:rsidTr="002165FD">
        <w:tc>
          <w:tcPr>
            <w:tcW w:w="2394" w:type="dxa"/>
          </w:tcPr>
          <w:p w:rsidR="009336F3" w:rsidRPr="00E97254" w:rsidRDefault="004E1F53" w:rsidP="000C0250">
            <w:pPr>
              <w:spacing w:after="0"/>
              <w:jc w:val="both"/>
              <w:rPr>
                <w:rFonts w:cstheme="minorHAnsi"/>
                <w:sz w:val="20"/>
                <w:szCs w:val="20"/>
              </w:rPr>
            </w:pPr>
            <w:r>
              <w:rPr>
                <w:rFonts w:cstheme="minorHAnsi"/>
                <w:sz w:val="20"/>
                <w:szCs w:val="20"/>
              </w:rPr>
              <w:t>I katërt</w:t>
            </w:r>
          </w:p>
        </w:tc>
        <w:tc>
          <w:tcPr>
            <w:tcW w:w="1197" w:type="dxa"/>
            <w:vAlign w:val="center"/>
          </w:tcPr>
          <w:p w:rsidR="009336F3" w:rsidRPr="00E97254" w:rsidRDefault="004E1F53" w:rsidP="000C0250">
            <w:pPr>
              <w:spacing w:after="0"/>
              <w:jc w:val="both"/>
              <w:rPr>
                <w:rFonts w:eastAsia="Times New Roman" w:cstheme="minorHAnsi"/>
                <w:sz w:val="20"/>
                <w:szCs w:val="20"/>
              </w:rPr>
            </w:pPr>
            <w:r>
              <w:rPr>
                <w:rFonts w:eastAsia="Times New Roman" w:cstheme="minorHAnsi"/>
                <w:sz w:val="20"/>
                <w:szCs w:val="20"/>
              </w:rPr>
              <w:t>67</w:t>
            </w:r>
          </w:p>
        </w:tc>
        <w:tc>
          <w:tcPr>
            <w:tcW w:w="1197" w:type="dxa"/>
            <w:vAlign w:val="center"/>
          </w:tcPr>
          <w:p w:rsidR="009336F3" w:rsidRPr="00E97254" w:rsidRDefault="004E1F53" w:rsidP="000C0250">
            <w:pPr>
              <w:spacing w:after="0"/>
              <w:jc w:val="both"/>
              <w:rPr>
                <w:rFonts w:eastAsia="Times New Roman" w:cstheme="minorHAnsi"/>
                <w:sz w:val="20"/>
                <w:szCs w:val="20"/>
              </w:rPr>
            </w:pPr>
            <w:r>
              <w:rPr>
                <w:rFonts w:eastAsia="Times New Roman" w:cstheme="minorHAnsi"/>
                <w:sz w:val="20"/>
                <w:szCs w:val="20"/>
              </w:rPr>
              <w:t>83</w:t>
            </w:r>
          </w:p>
        </w:tc>
        <w:tc>
          <w:tcPr>
            <w:tcW w:w="1197" w:type="dxa"/>
            <w:vAlign w:val="center"/>
          </w:tcPr>
          <w:p w:rsidR="009336F3" w:rsidRPr="00E97254" w:rsidRDefault="004E1F53" w:rsidP="000C0250">
            <w:pPr>
              <w:spacing w:after="0"/>
              <w:jc w:val="both"/>
              <w:rPr>
                <w:rFonts w:eastAsia="Times New Roman" w:cstheme="minorHAnsi"/>
                <w:sz w:val="20"/>
                <w:szCs w:val="20"/>
              </w:rPr>
            </w:pPr>
            <w:r>
              <w:rPr>
                <w:rFonts w:eastAsia="Times New Roman" w:cstheme="minorHAnsi"/>
                <w:color w:val="000000"/>
                <w:sz w:val="20"/>
                <w:szCs w:val="20"/>
              </w:rPr>
              <w:t>96</w:t>
            </w:r>
          </w:p>
        </w:tc>
        <w:tc>
          <w:tcPr>
            <w:tcW w:w="1197" w:type="dxa"/>
            <w:vAlign w:val="center"/>
          </w:tcPr>
          <w:p w:rsidR="009336F3" w:rsidRPr="00E97254" w:rsidRDefault="004E1F53" w:rsidP="000C0250">
            <w:pPr>
              <w:spacing w:after="0"/>
              <w:jc w:val="both"/>
              <w:rPr>
                <w:rFonts w:eastAsia="Times New Roman" w:cstheme="minorHAnsi"/>
                <w:sz w:val="20"/>
                <w:szCs w:val="20"/>
              </w:rPr>
            </w:pPr>
            <w:r>
              <w:rPr>
                <w:rFonts w:eastAsia="Times New Roman" w:cstheme="minorHAnsi"/>
                <w:color w:val="000000"/>
                <w:sz w:val="20"/>
                <w:szCs w:val="20"/>
              </w:rPr>
              <w:t>94</w:t>
            </w:r>
          </w:p>
        </w:tc>
        <w:tc>
          <w:tcPr>
            <w:tcW w:w="1197" w:type="dxa"/>
            <w:vAlign w:val="center"/>
          </w:tcPr>
          <w:p w:rsidR="009336F3" w:rsidRPr="00E97254" w:rsidRDefault="004E1F53" w:rsidP="000C0250">
            <w:pPr>
              <w:spacing w:after="0"/>
              <w:jc w:val="both"/>
              <w:rPr>
                <w:rFonts w:eastAsia="Times New Roman" w:cstheme="minorHAnsi"/>
                <w:sz w:val="20"/>
                <w:szCs w:val="20"/>
              </w:rPr>
            </w:pPr>
            <w:r>
              <w:rPr>
                <w:rFonts w:eastAsia="Times New Roman" w:cstheme="minorHAnsi"/>
                <w:color w:val="000000"/>
                <w:sz w:val="20"/>
                <w:szCs w:val="20"/>
              </w:rPr>
              <w:t>67</w:t>
            </w:r>
          </w:p>
        </w:tc>
        <w:tc>
          <w:tcPr>
            <w:tcW w:w="1197" w:type="dxa"/>
            <w:vAlign w:val="center"/>
          </w:tcPr>
          <w:p w:rsidR="009336F3" w:rsidRPr="00E97254" w:rsidRDefault="004E1F53" w:rsidP="000C0250">
            <w:pPr>
              <w:spacing w:after="0"/>
              <w:jc w:val="both"/>
              <w:rPr>
                <w:rFonts w:eastAsia="Times New Roman" w:cstheme="minorHAnsi"/>
                <w:sz w:val="20"/>
                <w:szCs w:val="20"/>
              </w:rPr>
            </w:pPr>
            <w:r>
              <w:rPr>
                <w:rFonts w:eastAsia="Times New Roman" w:cstheme="minorHAnsi"/>
                <w:color w:val="000000"/>
                <w:sz w:val="20"/>
                <w:szCs w:val="20"/>
              </w:rPr>
              <w:t>87</w:t>
            </w:r>
          </w:p>
        </w:tc>
      </w:tr>
      <w:tr w:rsidR="009336F3" w:rsidRPr="00E97254" w:rsidTr="002165FD">
        <w:tc>
          <w:tcPr>
            <w:tcW w:w="2394" w:type="dxa"/>
          </w:tcPr>
          <w:p w:rsidR="009336F3" w:rsidRPr="00E97254" w:rsidRDefault="004E1F53" w:rsidP="000C0250">
            <w:pPr>
              <w:spacing w:after="0"/>
              <w:jc w:val="both"/>
              <w:rPr>
                <w:rFonts w:cstheme="minorHAnsi"/>
                <w:sz w:val="20"/>
                <w:szCs w:val="20"/>
              </w:rPr>
            </w:pPr>
            <w:r>
              <w:rPr>
                <w:rFonts w:cstheme="minorHAnsi"/>
                <w:sz w:val="20"/>
                <w:szCs w:val="20"/>
              </w:rPr>
              <w:t>më i lartë</w:t>
            </w:r>
          </w:p>
        </w:tc>
        <w:tc>
          <w:tcPr>
            <w:tcW w:w="1197" w:type="dxa"/>
            <w:vAlign w:val="center"/>
          </w:tcPr>
          <w:p w:rsidR="009336F3" w:rsidRPr="00E97254" w:rsidRDefault="004E1F53" w:rsidP="000C0250">
            <w:pPr>
              <w:spacing w:after="0"/>
              <w:jc w:val="both"/>
              <w:rPr>
                <w:rFonts w:eastAsia="Times New Roman" w:cstheme="minorHAnsi"/>
                <w:sz w:val="20"/>
                <w:szCs w:val="20"/>
              </w:rPr>
            </w:pPr>
            <w:r>
              <w:rPr>
                <w:rFonts w:eastAsia="Times New Roman" w:cstheme="minorHAnsi"/>
                <w:sz w:val="20"/>
                <w:szCs w:val="20"/>
              </w:rPr>
              <w:t>63</w:t>
            </w:r>
          </w:p>
        </w:tc>
        <w:tc>
          <w:tcPr>
            <w:tcW w:w="1197" w:type="dxa"/>
            <w:vAlign w:val="center"/>
          </w:tcPr>
          <w:p w:rsidR="009336F3" w:rsidRPr="00E97254" w:rsidRDefault="004E1F53" w:rsidP="000C0250">
            <w:pPr>
              <w:spacing w:after="0"/>
              <w:jc w:val="both"/>
              <w:rPr>
                <w:rFonts w:eastAsia="Times New Roman" w:cstheme="minorHAnsi"/>
                <w:sz w:val="20"/>
                <w:szCs w:val="20"/>
              </w:rPr>
            </w:pPr>
            <w:r>
              <w:rPr>
                <w:rFonts w:eastAsia="Times New Roman" w:cstheme="minorHAnsi"/>
                <w:sz w:val="20"/>
                <w:szCs w:val="20"/>
              </w:rPr>
              <w:t>90</w:t>
            </w:r>
          </w:p>
        </w:tc>
        <w:tc>
          <w:tcPr>
            <w:tcW w:w="1197" w:type="dxa"/>
            <w:vAlign w:val="center"/>
          </w:tcPr>
          <w:p w:rsidR="009336F3" w:rsidRPr="00E97254" w:rsidRDefault="004E1F53" w:rsidP="000C0250">
            <w:pPr>
              <w:spacing w:after="0"/>
              <w:jc w:val="both"/>
              <w:rPr>
                <w:rFonts w:eastAsia="Times New Roman" w:cstheme="minorHAnsi"/>
                <w:sz w:val="20"/>
                <w:szCs w:val="20"/>
              </w:rPr>
            </w:pPr>
            <w:r>
              <w:rPr>
                <w:rFonts w:eastAsia="Times New Roman" w:cstheme="minorHAnsi"/>
                <w:color w:val="000000"/>
                <w:sz w:val="20"/>
                <w:szCs w:val="20"/>
              </w:rPr>
              <w:t>97</w:t>
            </w:r>
          </w:p>
        </w:tc>
        <w:tc>
          <w:tcPr>
            <w:tcW w:w="1197" w:type="dxa"/>
            <w:vAlign w:val="center"/>
          </w:tcPr>
          <w:p w:rsidR="009336F3" w:rsidRPr="00E97254" w:rsidRDefault="004E1F53" w:rsidP="000C0250">
            <w:pPr>
              <w:spacing w:after="0"/>
              <w:jc w:val="both"/>
              <w:rPr>
                <w:rFonts w:eastAsia="Times New Roman" w:cstheme="minorHAnsi"/>
                <w:sz w:val="20"/>
                <w:szCs w:val="20"/>
              </w:rPr>
            </w:pPr>
            <w:r>
              <w:rPr>
                <w:rFonts w:eastAsia="Times New Roman" w:cstheme="minorHAnsi"/>
                <w:color w:val="000000"/>
                <w:sz w:val="20"/>
                <w:szCs w:val="20"/>
              </w:rPr>
              <w:t>94</w:t>
            </w:r>
          </w:p>
        </w:tc>
        <w:tc>
          <w:tcPr>
            <w:tcW w:w="1197" w:type="dxa"/>
            <w:vAlign w:val="center"/>
          </w:tcPr>
          <w:p w:rsidR="009336F3" w:rsidRPr="00E97254" w:rsidRDefault="004E1F53" w:rsidP="000C0250">
            <w:pPr>
              <w:spacing w:after="0"/>
              <w:jc w:val="both"/>
              <w:rPr>
                <w:rFonts w:eastAsia="Times New Roman" w:cstheme="minorHAnsi"/>
                <w:sz w:val="20"/>
                <w:szCs w:val="20"/>
              </w:rPr>
            </w:pPr>
            <w:r>
              <w:rPr>
                <w:rFonts w:eastAsia="Times New Roman" w:cstheme="minorHAnsi"/>
                <w:color w:val="000000"/>
                <w:sz w:val="20"/>
                <w:szCs w:val="20"/>
              </w:rPr>
              <w:t>83</w:t>
            </w:r>
          </w:p>
        </w:tc>
        <w:tc>
          <w:tcPr>
            <w:tcW w:w="1197" w:type="dxa"/>
            <w:vAlign w:val="center"/>
          </w:tcPr>
          <w:p w:rsidR="009336F3" w:rsidRPr="00E97254" w:rsidRDefault="004E1F53" w:rsidP="000C0250">
            <w:pPr>
              <w:spacing w:after="0"/>
              <w:jc w:val="both"/>
              <w:rPr>
                <w:rFonts w:eastAsia="Times New Roman" w:cstheme="minorHAnsi"/>
                <w:sz w:val="20"/>
                <w:szCs w:val="20"/>
              </w:rPr>
            </w:pPr>
            <w:r>
              <w:rPr>
                <w:rFonts w:eastAsia="Times New Roman" w:cstheme="minorHAnsi"/>
                <w:color w:val="000000"/>
                <w:sz w:val="20"/>
                <w:szCs w:val="20"/>
              </w:rPr>
              <w:t>86</w:t>
            </w:r>
          </w:p>
        </w:tc>
      </w:tr>
    </w:tbl>
    <w:p w:rsidR="00E9051E" w:rsidRPr="00E97254" w:rsidRDefault="00E9051E" w:rsidP="000C0250">
      <w:pPr>
        <w:spacing w:after="0"/>
        <w:jc w:val="both"/>
        <w:rPr>
          <w:rFonts w:ascii="Calibri" w:hAnsi="Calibri" w:cs="Calibri"/>
        </w:rPr>
      </w:pPr>
    </w:p>
    <w:p w:rsidR="00747FB5" w:rsidRPr="00E97254" w:rsidRDefault="004E1F53" w:rsidP="000C0250">
      <w:pPr>
        <w:spacing w:after="0"/>
        <w:jc w:val="both"/>
        <w:rPr>
          <w:rFonts w:ascii="Calibri" w:hAnsi="Calibri" w:cs="Calibri"/>
        </w:rPr>
      </w:pPr>
      <w:r>
        <w:rPr>
          <w:rFonts w:ascii="Calibri" w:hAnsi="Calibri" w:cs="Calibri"/>
          <w:color w:val="000000"/>
        </w:rPr>
        <w:t xml:space="preserve">Në vitin shkollor 2019-2020 kemi një </w:t>
      </w:r>
      <w:r>
        <w:rPr>
          <w:rFonts w:ascii="Calibri" w:hAnsi="Calibri" w:cs="Calibri"/>
          <w:color w:val="000000"/>
          <w:szCs w:val="24"/>
        </w:rPr>
        <w:t xml:space="preserve">rritje prej 21% </w:t>
      </w:r>
      <w:r>
        <w:rPr>
          <w:rFonts w:ascii="Calibri" w:hAnsi="Calibri" w:cs="Calibri"/>
          <w:color w:val="000000"/>
          <w:sz w:val="20"/>
        </w:rPr>
        <w:t xml:space="preserve"> </w:t>
      </w:r>
      <w:r>
        <w:rPr>
          <w:rFonts w:ascii="Calibri" w:hAnsi="Calibri" w:cs="Calibri"/>
          <w:color w:val="000000"/>
        </w:rPr>
        <w:t>të mësuesve ndihmës në sektorin publik dhe privat krahasuar me një vit më parë. N</w:t>
      </w:r>
      <w:r>
        <w:rPr>
          <w:rFonts w:ascii="Calibri" w:hAnsi="Calibri" w:cs="Calibri"/>
        </w:rPr>
        <w:t xml:space="preserve">ë vitin 2020-2021 janë punësuar 1176 mësues ndihmës. </w:t>
      </w:r>
      <w:r>
        <w:rPr>
          <w:rFonts w:ascii="Calibri" w:hAnsi="Calibri" w:cs="Calibri"/>
          <w:color w:val="000000"/>
        </w:rPr>
        <w:t>Raporti fëmijë me aftësi të kufizuara</w:t>
      </w:r>
      <w:r w:rsidR="00A800AD">
        <w:rPr>
          <w:rFonts w:ascii="Calibri" w:hAnsi="Calibri" w:cs="Calibri"/>
          <w:color w:val="000000"/>
        </w:rPr>
        <w:t>-</w:t>
      </w:r>
      <w:r w:rsidR="00747FB5" w:rsidRPr="00E97254">
        <w:rPr>
          <w:rFonts w:ascii="Calibri" w:hAnsi="Calibri" w:cs="Calibri"/>
          <w:color w:val="000000"/>
        </w:rPr>
        <w:t xml:space="preserve">mësues ndihmës këtë vit është 3.7. </w:t>
      </w:r>
      <w:r>
        <w:rPr>
          <w:rFonts w:ascii="Calibri" w:hAnsi="Calibri" w:cs="Calibri"/>
        </w:rPr>
        <w:t>Profesioni i mësuesit të profilit të pedagogjisë speciale është përcaktuar si një profesion i rregulluar dhe po punohet për t'i punësuar me përparësi mësuesit e licencuar në këtë profil si mësues ndihmës për fëmijët me aftësi të kufizuara.</w:t>
      </w:r>
    </w:p>
    <w:p w:rsidR="00B06679" w:rsidRPr="00E97254" w:rsidRDefault="004E1F53" w:rsidP="000C0250">
      <w:pPr>
        <w:spacing w:after="0"/>
        <w:jc w:val="both"/>
        <w:rPr>
          <w:rFonts w:ascii="Calibri" w:hAnsi="Calibri" w:cs="Calibri"/>
        </w:rPr>
      </w:pPr>
      <w:r>
        <w:rPr>
          <w:rFonts w:cstheme="minorHAnsi"/>
        </w:rPr>
        <w:t xml:space="preserve">Në periudhën 2019-2020 ka qenë në fokus zhvillimi profesional i mësuesve ndihmës për fëmijët me aftësi të kufizuara  me synim ngritjen e një sistemi mbështetjeje të aftësive profesionale të tyre. Në këtë kuadër janë ngritur dhe funksionojnë efektivisht 60 rrjete profesionale të mësuesve ndihmës pjesë e të cilave janë të gjithë mësuesit ndihmës në arsimin parauniversitar. Një raport i detajuar i nevojave për zhvillim </w:t>
      </w:r>
      <w:r>
        <w:rPr>
          <w:rFonts w:cstheme="minorHAnsi"/>
        </w:rPr>
        <w:lastRenderedPageBreak/>
        <w:t xml:space="preserve">profesional të mësuesve ndihmës </w:t>
      </w:r>
      <w:sdt>
        <w:sdtPr>
          <w:rPr>
            <w:rFonts w:cstheme="minorHAnsi"/>
          </w:rPr>
          <w:id w:val="-607811090"/>
          <w:citation/>
        </w:sdtPr>
        <w:sdtEndPr/>
        <w:sdtContent>
          <w:r w:rsidR="00EC56B7" w:rsidRPr="00E97254">
            <w:rPr>
              <w:rFonts w:cstheme="minorHAnsi"/>
            </w:rPr>
            <w:fldChar w:fldCharType="begin"/>
          </w:r>
          <w:r>
            <w:rPr>
              <w:rFonts w:cstheme="minorHAnsi"/>
            </w:rPr>
            <w:instrText xml:space="preserve"> CITATION ASC20 \l 1033 </w:instrText>
          </w:r>
          <w:r w:rsidR="00EC56B7" w:rsidRPr="00E97254">
            <w:rPr>
              <w:rFonts w:cstheme="minorHAnsi"/>
            </w:rPr>
            <w:fldChar w:fldCharType="separate"/>
          </w:r>
          <w:r w:rsidR="00724BCC" w:rsidRPr="00E97254">
            <w:rPr>
              <w:rFonts w:cstheme="minorHAnsi"/>
            </w:rPr>
            <w:t>[41]</w:t>
          </w:r>
          <w:r w:rsidR="00EC56B7" w:rsidRPr="00E97254">
            <w:rPr>
              <w:rFonts w:cstheme="minorHAnsi"/>
            </w:rPr>
            <w:fldChar w:fldCharType="end"/>
          </w:r>
        </w:sdtContent>
      </w:sdt>
      <w:r w:rsidR="00747FB5" w:rsidRPr="00E97254">
        <w:rPr>
          <w:rFonts w:cstheme="minorHAnsi"/>
        </w:rPr>
        <w:t xml:space="preserve">, ka paraprirë përgatitjen e një kurrikule për zhvillim profesional dhe organizimin e një sërë veprimtarish trajnuese ku janë përfshirë rreth 1,000 mësues ndihmës dhe janë certifikuar </w:t>
      </w:r>
      <w:r w:rsidR="00A445DC" w:rsidRPr="00E97254">
        <w:rPr>
          <w:rFonts w:cstheme="minorHAnsi"/>
        </w:rPr>
        <w:t>për</w:t>
      </w:r>
      <w:r w:rsidR="00747FB5" w:rsidRPr="00E97254">
        <w:rPr>
          <w:rFonts w:cstheme="minorHAnsi"/>
        </w:rPr>
        <w:t xml:space="preserve"> ndjekjen e moduleve të akredituar nga MASR</w:t>
      </w:r>
      <w:r w:rsidR="00A800AD">
        <w:rPr>
          <w:rFonts w:cstheme="minorHAnsi"/>
        </w:rPr>
        <w:t>-ja</w:t>
      </w:r>
      <w:r w:rsidR="00747FB5" w:rsidRPr="00E97254">
        <w:rPr>
          <w:rFonts w:cstheme="minorHAnsi"/>
        </w:rPr>
        <w:t>.</w:t>
      </w:r>
    </w:p>
    <w:p w:rsidR="00537633" w:rsidRPr="00E97254" w:rsidRDefault="004E1F53" w:rsidP="000C0250">
      <w:pPr>
        <w:spacing w:after="0"/>
        <w:jc w:val="both"/>
        <w:rPr>
          <w:rFonts w:ascii="Calibri" w:hAnsi="Calibri" w:cs="Calibri"/>
        </w:rPr>
      </w:pPr>
      <w:r>
        <w:rPr>
          <w:rFonts w:ascii="Calibri" w:hAnsi="Calibri" w:cs="Calibri"/>
        </w:rPr>
        <w:t xml:space="preserve">Sipas një studimi të mbështetur nga UNICEF-i, vetëm </w:t>
      </w:r>
      <w:r>
        <w:rPr>
          <w:rFonts w:ascii="Calibri" w:hAnsi="Calibri" w:cs="Calibri"/>
          <w:bCs/>
        </w:rPr>
        <w:t>5,839 fëmijë ose 57.6% e fëmijëve me aftësi të kufizuara</w:t>
      </w:r>
      <w:r>
        <w:rPr>
          <w:rFonts w:ascii="Calibri" w:hAnsi="Calibri" w:cs="Calibri"/>
        </w:rPr>
        <w:t xml:space="preserve">, të grupmoshës 6-17 vjeç, të regjistruar nga Shërbimi Social Shtetëror, janë të përfshirë në sistemin e arsimit </w:t>
      </w:r>
      <w:sdt>
        <w:sdtPr>
          <w:rPr>
            <w:rFonts w:ascii="Calibri" w:hAnsi="Calibri" w:cs="Calibri"/>
          </w:rPr>
          <w:id w:val="1363555737"/>
          <w:citation/>
        </w:sdtPr>
        <w:sdtEndPr/>
        <w:sdtContent>
          <w:r w:rsidR="00EC56B7" w:rsidRPr="00E97254">
            <w:rPr>
              <w:rFonts w:ascii="Calibri" w:hAnsi="Calibri" w:cs="Calibri"/>
            </w:rPr>
            <w:fldChar w:fldCharType="begin"/>
          </w:r>
          <w:r>
            <w:rPr>
              <w:rFonts w:ascii="Calibri" w:hAnsi="Calibri" w:cs="Calibri"/>
            </w:rPr>
            <w:instrText xml:space="preserve">CITATION Rog18 \l 1033 </w:instrText>
          </w:r>
          <w:r w:rsidR="00EC56B7" w:rsidRPr="00E97254">
            <w:rPr>
              <w:rFonts w:ascii="Calibri" w:hAnsi="Calibri" w:cs="Calibri"/>
            </w:rPr>
            <w:fldChar w:fldCharType="separate"/>
          </w:r>
          <w:r w:rsidR="00724BCC" w:rsidRPr="00E97254">
            <w:rPr>
              <w:rFonts w:ascii="Calibri" w:hAnsi="Calibri" w:cs="Calibri"/>
            </w:rPr>
            <w:t>[42]</w:t>
          </w:r>
          <w:r w:rsidR="00EC56B7" w:rsidRPr="00E97254">
            <w:rPr>
              <w:rFonts w:ascii="Calibri" w:hAnsi="Calibri" w:cs="Calibri"/>
            </w:rPr>
            <w:fldChar w:fldCharType="end"/>
          </w:r>
        </w:sdtContent>
      </w:sdt>
      <w:r w:rsidR="006E28BB" w:rsidRPr="00E97254">
        <w:rPr>
          <w:rFonts w:ascii="Calibri" w:hAnsi="Calibri" w:cs="Calibri"/>
        </w:rPr>
        <w:t xml:space="preserve">. Siç </w:t>
      </w:r>
      <w:r w:rsidR="00537633" w:rsidRPr="00E97254">
        <w:rPr>
          <w:rFonts w:ascii="Calibri" w:hAnsi="Calibri" w:cs="Calibri"/>
        </w:rPr>
        <w:t xml:space="preserve">e thekson edhe Gonzales </w:t>
      </w:r>
      <w:sdt>
        <w:sdtPr>
          <w:rPr>
            <w:rFonts w:ascii="Calibri" w:hAnsi="Calibri" w:cs="Calibri"/>
          </w:rPr>
          <w:id w:val="811216755"/>
          <w:citation/>
        </w:sdtPr>
        <w:sdtEndPr/>
        <w:sdtContent>
          <w:r w:rsidR="00EC56B7" w:rsidRPr="00E97254">
            <w:rPr>
              <w:rFonts w:ascii="Calibri" w:hAnsi="Calibri" w:cs="Calibri"/>
            </w:rPr>
            <w:fldChar w:fldCharType="begin"/>
          </w:r>
          <w:r>
            <w:rPr>
              <w:rFonts w:ascii="Calibri" w:hAnsi="Calibri" w:cs="Calibri"/>
            </w:rPr>
            <w:instrText xml:space="preserve"> CITATION Ter18 \l 1033 </w:instrText>
          </w:r>
          <w:r w:rsidR="00EC56B7" w:rsidRPr="00E97254">
            <w:rPr>
              <w:rFonts w:ascii="Calibri" w:hAnsi="Calibri" w:cs="Calibri"/>
            </w:rPr>
            <w:fldChar w:fldCharType="separate"/>
          </w:r>
          <w:r w:rsidR="00724BCC" w:rsidRPr="00E97254">
            <w:rPr>
              <w:rFonts w:ascii="Calibri" w:hAnsi="Calibri" w:cs="Calibri"/>
            </w:rPr>
            <w:t>[43]</w:t>
          </w:r>
          <w:r w:rsidR="00EC56B7" w:rsidRPr="00E97254">
            <w:rPr>
              <w:rFonts w:ascii="Calibri" w:hAnsi="Calibri" w:cs="Calibri"/>
            </w:rPr>
            <w:fldChar w:fldCharType="end"/>
          </w:r>
        </w:sdtContent>
      </w:sdt>
      <w:r w:rsidR="00537633" w:rsidRPr="00E97254">
        <w:rPr>
          <w:rFonts w:ascii="Calibri" w:hAnsi="Calibri" w:cs="Calibri"/>
        </w:rPr>
        <w:t>, fëmijët me aftësi të kufizuara janë të nënpërfaqësuar kundrejt popullatës së nxënësve, dhe sfida për mbështetjen e fëmijëve me aftësi të kufizuara është që ata fillimisht të identifikohen.</w:t>
      </w:r>
      <w:r>
        <w:rPr>
          <w:rFonts w:ascii="Calibri" w:hAnsi="Calibri" w:cs="Calibri"/>
        </w:rPr>
        <w:t xml:space="preserve"> Nga ana tjetër, është intensifikuar puna didaktike me fëmijët me aftësi të kufizuara, </w:t>
      </w:r>
      <w:r>
        <w:rPr>
          <w:rFonts w:ascii="Calibri" w:hAnsi="Calibri" w:cs="Calibri"/>
          <w:szCs w:val="24"/>
        </w:rPr>
        <w:t xml:space="preserve">dhe </w:t>
      </w:r>
      <w:r>
        <w:rPr>
          <w:rFonts w:cs="Calibri"/>
          <w:szCs w:val="24"/>
        </w:rPr>
        <w:t>kurrikula ekzistuese p</w:t>
      </w:r>
      <w:r>
        <w:rPr>
          <w:rFonts w:ascii="Calibri" w:hAnsi="Calibri" w:cs="Calibri"/>
        </w:rPr>
        <w:t xml:space="preserve">ërshtatet sipas nevojave të veçanta të nxënësve </w:t>
      </w:r>
      <w:r w:rsidR="00A800AD">
        <w:rPr>
          <w:rFonts w:ascii="Calibri" w:hAnsi="Calibri" w:cs="Calibri"/>
        </w:rPr>
        <w:t>n</w:t>
      </w:r>
      <w:r w:rsidR="00A800AD" w:rsidRPr="00E97254">
        <w:rPr>
          <w:rFonts w:ascii="Calibri" w:hAnsi="Calibri" w:cs="Calibri"/>
        </w:rPr>
        <w:t>ë</w:t>
      </w:r>
      <w:r w:rsidR="00A800AD">
        <w:rPr>
          <w:rFonts w:ascii="Calibri" w:hAnsi="Calibri" w:cs="Calibri"/>
        </w:rPr>
        <w:t>p</w:t>
      </w:r>
      <w:r w:rsidR="00A800AD" w:rsidRPr="00E97254">
        <w:rPr>
          <w:rFonts w:ascii="Calibri" w:hAnsi="Calibri" w:cs="Calibri"/>
        </w:rPr>
        <w:t>ë</w:t>
      </w:r>
      <w:r w:rsidR="00A800AD">
        <w:rPr>
          <w:rFonts w:ascii="Calibri" w:hAnsi="Calibri" w:cs="Calibri"/>
        </w:rPr>
        <w:t>rmjet</w:t>
      </w:r>
      <w:r w:rsidR="00A800AD" w:rsidRPr="00E97254">
        <w:rPr>
          <w:rFonts w:ascii="Calibri" w:hAnsi="Calibri" w:cs="Calibri"/>
        </w:rPr>
        <w:t xml:space="preserve"> </w:t>
      </w:r>
      <w:r w:rsidR="003A7B8C" w:rsidRPr="00E97254">
        <w:rPr>
          <w:rFonts w:ascii="Calibri" w:hAnsi="Calibri" w:cs="Calibri"/>
        </w:rPr>
        <w:t xml:space="preserve">hartimit </w:t>
      </w:r>
      <w:r w:rsidR="00642C86" w:rsidRPr="00E97254">
        <w:rPr>
          <w:rFonts w:ascii="Calibri" w:hAnsi="Calibri" w:cs="Calibri"/>
        </w:rPr>
        <w:t>t</w:t>
      </w:r>
      <w:r w:rsidR="003A7B8C" w:rsidRPr="00E97254">
        <w:rPr>
          <w:rFonts w:ascii="Calibri" w:hAnsi="Calibri" w:cs="Calibri"/>
        </w:rPr>
        <w:t>ë planeve edukative</w:t>
      </w:r>
      <w:r w:rsidR="00642C86" w:rsidRPr="00E97254">
        <w:rPr>
          <w:rFonts w:ascii="Calibri" w:hAnsi="Calibri" w:cs="Calibri"/>
        </w:rPr>
        <w:t xml:space="preserve"> individuale</w:t>
      </w:r>
      <w:r w:rsidR="00F35A0C" w:rsidRPr="00E97254">
        <w:rPr>
          <w:rFonts w:ascii="Calibri" w:hAnsi="Calibri" w:cs="Calibri"/>
          <w:szCs w:val="24"/>
        </w:rPr>
        <w:t>.</w:t>
      </w:r>
    </w:p>
    <w:p w:rsidR="00D93FFF" w:rsidRPr="00E97254" w:rsidRDefault="004E1F53" w:rsidP="000C0250">
      <w:pPr>
        <w:spacing w:after="0"/>
        <w:jc w:val="both"/>
        <w:rPr>
          <w:rFonts w:ascii="Calibri" w:hAnsi="Calibri" w:cs="Calibri"/>
        </w:rPr>
      </w:pPr>
      <w:r>
        <w:rPr>
          <w:rFonts w:ascii="Calibri" w:hAnsi="Calibri" w:cs="Calibri"/>
        </w:rPr>
        <w:t xml:space="preserve">Në shtatorin e vitit 2018, Komiteti për Personat me Aftësi të Kufizuara, i përbërë nga MASR dhe partnerët </w:t>
      </w:r>
      <w:r>
        <w:rPr>
          <w:rFonts w:cs="Calibri"/>
        </w:rPr>
        <w:t>nd</w:t>
      </w:r>
      <w:r>
        <w:rPr>
          <w:rFonts w:cs="Calibri"/>
          <w:color w:val="222222"/>
        </w:rPr>
        <w:t>ërkombëtarë</w:t>
      </w:r>
      <w:r>
        <w:rPr>
          <w:rFonts w:ascii="Calibri" w:hAnsi="Calibri" w:cs="Calibri"/>
        </w:rPr>
        <w:t>, duke shqyrtuar rekomandimet për avancimin e gjithëpërfshirjes në arsim, nxori këtë përfundim:</w:t>
      </w:r>
    </w:p>
    <w:p w:rsidR="00D93FFF" w:rsidRPr="00E97254" w:rsidRDefault="004E1F53" w:rsidP="000C0250">
      <w:pPr>
        <w:spacing w:after="0"/>
        <w:jc w:val="both"/>
        <w:rPr>
          <w:rFonts w:ascii="Calibri" w:hAnsi="Calibri" w:cs="Calibri"/>
        </w:rPr>
      </w:pPr>
      <w:r>
        <w:rPr>
          <w:rFonts w:ascii="Calibri" w:hAnsi="Calibri" w:cs="Calibri"/>
        </w:rPr>
        <w:t>“</w:t>
      </w:r>
      <w:r>
        <w:rPr>
          <w:rFonts w:ascii="Calibri" w:hAnsi="Calibri" w:cs="Calibri"/>
          <w:i/>
        </w:rPr>
        <w:t>Shkollat e specializuara, të cilat ofrojnë arsim vetëm për persona me probleme të veçanta, nuk janë gjithëpërfshirëse. Në mënyrë të ngjashme, edhe vendosja e nxënësve me aftësi të kufizuara në klasa të përgjithshme, pa u shoqëruar, për shembull, me ndryshime strukturore në organizim, kurrikulë dhe në strategjitë e mësimdhënies apo mësimnxënies nuk është tregues i gjithëpërfshirjes. ... Zakonisht, cilësia e arsimit të fëmijëve me aftësi të kufizuara në Shqipëri është e ulët, pasi pritshmëritë e prindërve dhe mësuesve janë të ulëta dhe kjo kufizon mundësitë e nxënësve.</w:t>
      </w:r>
      <w:r>
        <w:rPr>
          <w:rFonts w:ascii="Calibri" w:hAnsi="Calibri" w:cs="Calibri"/>
        </w:rPr>
        <w:t>”</w:t>
      </w:r>
      <w:sdt>
        <w:sdtPr>
          <w:rPr>
            <w:rFonts w:ascii="Calibri" w:hAnsi="Calibri" w:cs="Calibri"/>
          </w:rPr>
          <w:id w:val="-1184736156"/>
          <w:citation/>
        </w:sdtPr>
        <w:sdtEndPr/>
        <w:sdtContent>
          <w:r w:rsidR="00EC56B7" w:rsidRPr="00E97254">
            <w:rPr>
              <w:rFonts w:ascii="Calibri" w:hAnsi="Calibri" w:cs="Calibri"/>
            </w:rPr>
            <w:fldChar w:fldCharType="begin"/>
          </w:r>
          <w:r>
            <w:rPr>
              <w:rFonts w:ascii="Calibri" w:hAnsi="Calibri" w:cs="Calibri"/>
            </w:rPr>
            <w:instrText xml:space="preserve"> CITATION Dia18 \l 1033 </w:instrText>
          </w:r>
          <w:r w:rsidR="00EC56B7" w:rsidRPr="00E97254">
            <w:rPr>
              <w:rFonts w:ascii="Calibri" w:hAnsi="Calibri" w:cs="Calibri"/>
            </w:rPr>
            <w:fldChar w:fldCharType="separate"/>
          </w:r>
          <w:r w:rsidR="00724BCC" w:rsidRPr="00E97254">
            <w:rPr>
              <w:rFonts w:ascii="Calibri" w:hAnsi="Calibri" w:cs="Calibri"/>
            </w:rPr>
            <w:t xml:space="preserve"> [44]</w:t>
          </w:r>
          <w:r w:rsidR="00EC56B7" w:rsidRPr="00E97254">
            <w:rPr>
              <w:rFonts w:ascii="Calibri" w:hAnsi="Calibri" w:cs="Calibri"/>
            </w:rPr>
            <w:fldChar w:fldCharType="end"/>
          </w:r>
        </w:sdtContent>
      </w:sdt>
    </w:p>
    <w:p w:rsidR="00D93FFF" w:rsidRPr="00E97254" w:rsidRDefault="00D93FFF" w:rsidP="000C0250">
      <w:pPr>
        <w:spacing w:before="120" w:after="0"/>
        <w:jc w:val="both"/>
        <w:rPr>
          <w:rFonts w:ascii="Calibri" w:hAnsi="Calibri" w:cs="Calibri"/>
        </w:rPr>
      </w:pPr>
    </w:p>
    <w:p w:rsidR="007D4A24" w:rsidRPr="00E97254" w:rsidRDefault="007D4A24" w:rsidP="000C0250">
      <w:pPr>
        <w:pStyle w:val="Caption"/>
        <w:keepNext/>
        <w:spacing w:line="276" w:lineRule="auto"/>
        <w:jc w:val="both"/>
        <w:rPr>
          <w:rFonts w:ascii="Calibri" w:hAnsi="Calibri" w:cs="Calibri"/>
          <w:b w:val="0"/>
          <w:color w:val="auto"/>
          <w:sz w:val="22"/>
          <w:szCs w:val="22"/>
        </w:rPr>
      </w:pPr>
      <w:bookmarkStart w:id="65" w:name="_Ref43131650"/>
      <w:bookmarkStart w:id="66" w:name="_Toc66802059"/>
      <w:r w:rsidRPr="00E97254">
        <w:rPr>
          <w:rFonts w:ascii="Calibri" w:hAnsi="Calibri" w:cs="Calibri"/>
          <w:color w:val="auto"/>
          <w:sz w:val="22"/>
          <w:szCs w:val="22"/>
        </w:rPr>
        <w:t xml:space="preserve">Figura </w:t>
      </w:r>
      <w:r w:rsidR="00EC56B7" w:rsidRPr="00FA5606">
        <w:rPr>
          <w:rFonts w:ascii="Calibri" w:hAnsi="Calibri" w:cs="Calibri"/>
          <w:color w:val="auto"/>
          <w:sz w:val="22"/>
          <w:szCs w:val="22"/>
        </w:rPr>
        <w:fldChar w:fldCharType="begin"/>
      </w:r>
      <w:r w:rsidR="00FA5606" w:rsidRPr="00FA5606">
        <w:rPr>
          <w:rFonts w:ascii="Calibri" w:hAnsi="Calibri" w:cs="Calibri"/>
          <w:color w:val="auto"/>
          <w:sz w:val="22"/>
          <w:szCs w:val="22"/>
        </w:rPr>
        <w:instrText xml:space="preserve"> SEQ Figura \* ARABIC </w:instrText>
      </w:r>
      <w:r w:rsidR="00EC56B7" w:rsidRPr="00FA5606">
        <w:rPr>
          <w:rFonts w:ascii="Calibri" w:hAnsi="Calibri" w:cs="Calibri"/>
          <w:color w:val="auto"/>
          <w:sz w:val="22"/>
          <w:szCs w:val="22"/>
        </w:rPr>
        <w:fldChar w:fldCharType="separate"/>
      </w:r>
      <w:r w:rsidR="00FA5606" w:rsidRPr="00FA5606">
        <w:rPr>
          <w:rFonts w:ascii="Calibri" w:hAnsi="Calibri" w:cs="Calibri"/>
          <w:color w:val="auto"/>
          <w:sz w:val="22"/>
          <w:szCs w:val="22"/>
        </w:rPr>
        <w:t>6</w:t>
      </w:r>
      <w:r w:rsidR="00EC56B7" w:rsidRPr="00FA5606">
        <w:rPr>
          <w:rFonts w:ascii="Calibri" w:hAnsi="Calibri" w:cs="Calibri"/>
          <w:color w:val="auto"/>
          <w:sz w:val="22"/>
          <w:szCs w:val="22"/>
        </w:rPr>
        <w:fldChar w:fldCharType="end"/>
      </w:r>
      <w:bookmarkEnd w:id="65"/>
      <w:r w:rsidR="00FA5606" w:rsidRPr="00FA5606">
        <w:rPr>
          <w:rFonts w:ascii="Calibri" w:hAnsi="Calibri" w:cs="Calibri"/>
          <w:color w:val="auto"/>
          <w:sz w:val="22"/>
          <w:szCs w:val="22"/>
        </w:rPr>
        <w:t>.</w:t>
      </w:r>
      <w:r w:rsidR="004E1F53" w:rsidRPr="004E1F53">
        <w:rPr>
          <w:rFonts w:ascii="Calibri" w:hAnsi="Calibri" w:cs="Calibri"/>
          <w:b w:val="0"/>
          <w:color w:val="auto"/>
          <w:sz w:val="22"/>
          <w:szCs w:val="22"/>
        </w:rPr>
        <w:t xml:space="preserve"> </w:t>
      </w:r>
      <w:r w:rsidR="004E1F53" w:rsidRPr="004E1F53">
        <w:rPr>
          <w:rFonts w:ascii="Calibri" w:hAnsi="Calibri" w:cs="Calibri"/>
          <w:b w:val="0"/>
          <w:color w:val="auto"/>
          <w:sz w:val="22"/>
          <w:szCs w:val="24"/>
        </w:rPr>
        <w:t xml:space="preserve">Fëmijët me aftësi të kufizuara dhe mësuesit ndihmës në shkollat e zakonshme </w:t>
      </w:r>
      <w:r w:rsidR="004E1F53" w:rsidRPr="004E1F53">
        <w:rPr>
          <w:rFonts w:ascii="Calibri" w:hAnsi="Calibri" w:cs="Calibri"/>
          <w:b w:val="0"/>
          <w:color w:val="auto"/>
          <w:sz w:val="20"/>
          <w:szCs w:val="22"/>
        </w:rPr>
        <w:t xml:space="preserve"> </w:t>
      </w:r>
      <w:sdt>
        <w:sdtPr>
          <w:rPr>
            <w:rFonts w:ascii="Calibri" w:hAnsi="Calibri" w:cs="Calibri"/>
            <w:b w:val="0"/>
            <w:color w:val="auto"/>
            <w:sz w:val="22"/>
            <w:szCs w:val="22"/>
          </w:rPr>
          <w:id w:val="1686943634"/>
          <w:citation/>
        </w:sdtPr>
        <w:sdtEndPr/>
        <w:sdtContent>
          <w:r w:rsidR="00EC56B7" w:rsidRPr="004E1F53">
            <w:rPr>
              <w:rFonts w:ascii="Calibri" w:hAnsi="Calibri" w:cs="Calibri"/>
              <w:b w:val="0"/>
              <w:color w:val="auto"/>
              <w:sz w:val="22"/>
              <w:szCs w:val="22"/>
            </w:rPr>
            <w:fldChar w:fldCharType="begin"/>
          </w:r>
          <w:r w:rsidR="00D82E63" w:rsidRPr="00D82E63">
            <w:rPr>
              <w:rFonts w:ascii="Calibri" w:hAnsi="Calibri" w:cs="Calibri"/>
              <w:b w:val="0"/>
              <w:color w:val="auto"/>
              <w:sz w:val="22"/>
              <w:szCs w:val="22"/>
            </w:rPr>
            <w:instrText xml:space="preserve"> CITATION MAS201 \l 1033 </w:instrText>
          </w:r>
          <w:r w:rsidR="00EC56B7" w:rsidRPr="004E1F53">
            <w:rPr>
              <w:rFonts w:ascii="Calibri" w:hAnsi="Calibri" w:cs="Calibri"/>
              <w:b w:val="0"/>
              <w:color w:val="auto"/>
              <w:sz w:val="22"/>
              <w:szCs w:val="22"/>
            </w:rPr>
            <w:fldChar w:fldCharType="separate"/>
          </w:r>
          <w:r w:rsidR="00FA5606" w:rsidRPr="00FA5606">
            <w:rPr>
              <w:rFonts w:ascii="Calibri" w:hAnsi="Calibri" w:cs="Calibri"/>
              <w:color w:val="auto"/>
              <w:sz w:val="22"/>
              <w:szCs w:val="22"/>
            </w:rPr>
            <w:t>[45]</w:t>
          </w:r>
          <w:r w:rsidR="00EC56B7" w:rsidRPr="004E1F53">
            <w:rPr>
              <w:rFonts w:ascii="Calibri" w:hAnsi="Calibri" w:cs="Calibri"/>
              <w:b w:val="0"/>
              <w:color w:val="auto"/>
              <w:sz w:val="22"/>
              <w:szCs w:val="22"/>
            </w:rPr>
            <w:fldChar w:fldCharType="end"/>
          </w:r>
        </w:sdtContent>
      </w:sdt>
      <w:bookmarkEnd w:id="66"/>
    </w:p>
    <w:p w:rsidR="00223052" w:rsidRPr="00E97254" w:rsidRDefault="00B91568" w:rsidP="000C0250">
      <w:pPr>
        <w:spacing w:before="120" w:after="0"/>
        <w:jc w:val="both"/>
        <w:rPr>
          <w:sz w:val="32"/>
          <w:szCs w:val="32"/>
        </w:rPr>
      </w:pPr>
      <w:r w:rsidRPr="00E97254">
        <w:rPr>
          <w:noProof/>
          <w:sz w:val="32"/>
          <w:szCs w:val="32"/>
          <w:lang w:val="en-US"/>
        </w:rPr>
        <w:drawing>
          <wp:inline distT="0" distB="0" distL="0" distR="0">
            <wp:extent cx="4570095" cy="2741295"/>
            <wp:effectExtent l="0" t="0" r="1905" b="1905"/>
            <wp:docPr id="475" name="Chart 1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6B4EBA" w:rsidRPr="00E97254" w:rsidRDefault="00DE6949" w:rsidP="000C0250">
      <w:pPr>
        <w:spacing w:before="120" w:after="0"/>
        <w:jc w:val="both"/>
        <w:rPr>
          <w:rFonts w:ascii="Calibri" w:hAnsi="Calibri" w:cs="Calibri"/>
        </w:rPr>
      </w:pPr>
      <w:r>
        <w:rPr>
          <w:rFonts w:ascii="Calibri" w:hAnsi="Calibri" w:cs="Calibri"/>
        </w:rPr>
        <w:t>Ë</w:t>
      </w:r>
      <w:r w:rsidR="006B4EBA" w:rsidRPr="00E97254">
        <w:rPr>
          <w:rFonts w:ascii="Calibri" w:hAnsi="Calibri" w:cs="Calibri"/>
        </w:rPr>
        <w:t xml:space="preserve">shtë arritur </w:t>
      </w:r>
      <w:r>
        <w:rPr>
          <w:rFonts w:ascii="Calibri" w:hAnsi="Calibri" w:cs="Calibri"/>
        </w:rPr>
        <w:t>p</w:t>
      </w:r>
      <w:r w:rsidRPr="00E97254">
        <w:rPr>
          <w:rFonts w:ascii="Calibri" w:hAnsi="Calibri" w:cs="Calibri"/>
        </w:rPr>
        <w:t xml:space="preserve">rogres </w:t>
      </w:r>
      <w:r w:rsidR="006B4EBA" w:rsidRPr="00E97254">
        <w:rPr>
          <w:rFonts w:ascii="Calibri" w:hAnsi="Calibri" w:cs="Calibri"/>
        </w:rPr>
        <w:t xml:space="preserve">në përmirësimin e të nxënit të gjuhës së shenjave shqiptare </w:t>
      </w:r>
      <w:r w:rsidR="003F1AEA">
        <w:rPr>
          <w:rFonts w:ascii="Calibri" w:hAnsi="Calibri" w:cs="Calibri"/>
        </w:rPr>
        <w:t>p</w:t>
      </w:r>
      <w:r w:rsidR="003F1AEA">
        <w:rPr>
          <w:rFonts w:cstheme="minorHAnsi"/>
        </w:rPr>
        <w:t>ër</w:t>
      </w:r>
      <w:r w:rsidR="006B4EBA" w:rsidRPr="00E97254">
        <w:rPr>
          <w:rFonts w:ascii="Calibri" w:hAnsi="Calibri" w:cs="Calibri"/>
        </w:rPr>
        <w:t xml:space="preserve"> rritjen e cilësisë së arsimimit të nxënësve që nuk dëgjojnë deri në nivelin e arsimit të mesëm. Për të </w:t>
      </w:r>
      <w:r>
        <w:rPr>
          <w:rFonts w:ascii="Calibri" w:hAnsi="Calibri" w:cs="Calibri"/>
        </w:rPr>
        <w:t>trajtuar</w:t>
      </w:r>
      <w:r w:rsidRPr="00E97254">
        <w:rPr>
          <w:rFonts w:ascii="Calibri" w:hAnsi="Calibri" w:cs="Calibri"/>
        </w:rPr>
        <w:t xml:space="preserve"> </w:t>
      </w:r>
      <w:r w:rsidR="006B4EBA" w:rsidRPr="00E97254">
        <w:rPr>
          <w:rFonts w:ascii="Calibri" w:hAnsi="Calibri" w:cs="Calibri"/>
        </w:rPr>
        <w:t xml:space="preserve">problemet </w:t>
      </w:r>
      <w:r>
        <w:rPr>
          <w:rFonts w:ascii="Calibri" w:hAnsi="Calibri" w:cs="Calibri"/>
        </w:rPr>
        <w:t>n</w:t>
      </w:r>
      <w:r w:rsidRPr="00E97254">
        <w:rPr>
          <w:rFonts w:ascii="Calibri" w:hAnsi="Calibri" w:cs="Calibri"/>
        </w:rPr>
        <w:t xml:space="preserve">ë </w:t>
      </w:r>
      <w:r>
        <w:rPr>
          <w:rFonts w:ascii="Calibri" w:hAnsi="Calibri" w:cs="Calibri"/>
        </w:rPr>
        <w:t>k</w:t>
      </w:r>
      <w:r w:rsidRPr="00E97254">
        <w:rPr>
          <w:rFonts w:ascii="Calibri" w:hAnsi="Calibri" w:cs="Calibri"/>
        </w:rPr>
        <w:t>ë</w:t>
      </w:r>
      <w:r>
        <w:rPr>
          <w:rFonts w:ascii="Calibri" w:hAnsi="Calibri" w:cs="Calibri"/>
        </w:rPr>
        <w:t>t</w:t>
      </w:r>
      <w:r w:rsidRPr="00E97254">
        <w:rPr>
          <w:rFonts w:ascii="Calibri" w:hAnsi="Calibri" w:cs="Calibri"/>
        </w:rPr>
        <w:t xml:space="preserve">ë </w:t>
      </w:r>
      <w:r w:rsidR="006B4EBA" w:rsidRPr="00E97254">
        <w:rPr>
          <w:rFonts w:ascii="Calibri" w:hAnsi="Calibri" w:cs="Calibri"/>
        </w:rPr>
        <w:t xml:space="preserve">fushë është nënshkruar Marrëveshja e Bashkëpunimit Nr. 4481, datë 25.04.2018 ndërmjet Ministrisë së Shëndetësisë dhe Mbrojtjes Sociale, Ministrisë së Arsimit, Sportit dhe Rinisë, Ministrisë së Financave </w:t>
      </w:r>
      <w:r w:rsidR="006B4EBA" w:rsidRPr="00E97254">
        <w:rPr>
          <w:rFonts w:ascii="Calibri" w:hAnsi="Calibri" w:cs="Calibri"/>
        </w:rPr>
        <w:lastRenderedPageBreak/>
        <w:t>dhe Ekonomisë dhe Shoqatës Kombëtare Shqiptare të Personave që nuk dëgjojnë për bashkëpunim në fushën e arsimit dhe ofrimin e shërbimeve të interpretimit në gjuhën e shenjave për personat që nuk dëgjojnë.</w:t>
      </w:r>
    </w:p>
    <w:p w:rsidR="005B673A" w:rsidRPr="00E97254" w:rsidRDefault="004E1F53" w:rsidP="000C0250">
      <w:pPr>
        <w:spacing w:after="0"/>
        <w:jc w:val="both"/>
        <w:rPr>
          <w:rFonts w:ascii="Calibri" w:hAnsi="Calibri" w:cs="Calibri"/>
        </w:rPr>
      </w:pPr>
      <w:r>
        <w:rPr>
          <w:rFonts w:ascii="Calibri" w:hAnsi="Calibri" w:cs="Calibri"/>
        </w:rPr>
        <w:t xml:space="preserve">Në vitin 2018/19, rreth </w:t>
      </w:r>
      <w:r>
        <w:rPr>
          <w:rFonts w:ascii="Calibri" w:hAnsi="Calibri" w:cs="Calibri"/>
          <w:b/>
          <w:bCs/>
        </w:rPr>
        <w:t>5,000 fëmijë romë dhe 11,100 fëmijë egjiptianë</w:t>
      </w:r>
      <w:r>
        <w:rPr>
          <w:rFonts w:ascii="Calibri" w:hAnsi="Calibri" w:cs="Calibri"/>
          <w:bCs/>
        </w:rPr>
        <w:t xml:space="preserve"> ishin të regjistruar në shkollat shqiptare</w:t>
      </w:r>
      <w:sdt>
        <w:sdtPr>
          <w:rPr>
            <w:rFonts w:ascii="Calibri" w:hAnsi="Calibri" w:cs="Calibri"/>
            <w:b/>
            <w:bCs/>
          </w:rPr>
          <w:id w:val="1878591606"/>
          <w:citation/>
        </w:sdtPr>
        <w:sdtEndPr/>
        <w:sdtContent>
          <w:r w:rsidR="00EC56B7" w:rsidRPr="00E97254">
            <w:rPr>
              <w:rFonts w:ascii="Calibri" w:hAnsi="Calibri" w:cs="Calibri"/>
              <w:b/>
              <w:bCs/>
            </w:rPr>
            <w:fldChar w:fldCharType="begin"/>
          </w:r>
          <w:r>
            <w:rPr>
              <w:rFonts w:ascii="Calibri" w:hAnsi="Calibri" w:cs="Calibri"/>
              <w:b/>
              <w:bCs/>
            </w:rPr>
            <w:instrText xml:space="preserve"> CITATION MAS192 \l 1033 </w:instrText>
          </w:r>
          <w:r w:rsidR="00EC56B7" w:rsidRPr="00E97254">
            <w:rPr>
              <w:rFonts w:ascii="Calibri" w:hAnsi="Calibri" w:cs="Calibri"/>
              <w:b/>
              <w:bCs/>
            </w:rPr>
            <w:fldChar w:fldCharType="separate"/>
          </w:r>
          <w:r w:rsidR="00724BCC" w:rsidRPr="00E97254">
            <w:rPr>
              <w:rFonts w:ascii="Calibri" w:hAnsi="Calibri" w:cs="Calibri"/>
              <w:b/>
              <w:bCs/>
            </w:rPr>
            <w:t xml:space="preserve"> </w:t>
          </w:r>
          <w:r w:rsidR="00724BCC" w:rsidRPr="00E97254">
            <w:rPr>
              <w:rFonts w:ascii="Calibri" w:hAnsi="Calibri" w:cs="Calibri"/>
            </w:rPr>
            <w:t>[46]</w:t>
          </w:r>
          <w:r w:rsidR="00EC56B7" w:rsidRPr="00E97254">
            <w:rPr>
              <w:rFonts w:ascii="Calibri" w:hAnsi="Calibri" w:cs="Calibri"/>
              <w:b/>
              <w:bCs/>
            </w:rPr>
            <w:fldChar w:fldCharType="end"/>
          </w:r>
        </w:sdtContent>
      </w:sdt>
      <w:r w:rsidR="005B673A" w:rsidRPr="00E97254">
        <w:rPr>
          <w:rFonts w:ascii="Calibri" w:hAnsi="Calibri" w:cs="Calibri"/>
        </w:rPr>
        <w:t xml:space="preserve">, ndërsa numri i tyre është trefishuar gjatë dhjetëvjeçarit të fundit </w:t>
      </w:r>
      <w:sdt>
        <w:sdtPr>
          <w:rPr>
            <w:rFonts w:ascii="Calibri" w:hAnsi="Calibri" w:cs="Calibri"/>
          </w:rPr>
          <w:id w:val="-231924539"/>
          <w:citation/>
        </w:sdtPr>
        <w:sdtEndPr/>
        <w:sdtContent>
          <w:r w:rsidR="00EC56B7" w:rsidRPr="00E97254">
            <w:rPr>
              <w:rFonts w:ascii="Calibri" w:hAnsi="Calibri" w:cs="Calibri"/>
            </w:rPr>
            <w:fldChar w:fldCharType="begin"/>
          </w:r>
          <w:r>
            <w:rPr>
              <w:rFonts w:ascii="Calibri" w:hAnsi="Calibri" w:cs="Calibri"/>
            </w:rPr>
            <w:instrText xml:space="preserve"> CITATION Wor19 \l 1033 </w:instrText>
          </w:r>
          <w:r w:rsidR="00EC56B7" w:rsidRPr="00E97254">
            <w:rPr>
              <w:rFonts w:ascii="Calibri" w:hAnsi="Calibri" w:cs="Calibri"/>
            </w:rPr>
            <w:fldChar w:fldCharType="separate"/>
          </w:r>
          <w:r w:rsidR="00724BCC" w:rsidRPr="00E97254">
            <w:rPr>
              <w:rFonts w:ascii="Calibri" w:hAnsi="Calibri" w:cs="Calibri"/>
            </w:rPr>
            <w:t>[37]</w:t>
          </w:r>
          <w:r w:rsidR="00EC56B7" w:rsidRPr="00E97254">
            <w:rPr>
              <w:rFonts w:ascii="Calibri" w:hAnsi="Calibri" w:cs="Calibri"/>
            </w:rPr>
            <w:fldChar w:fldCharType="end"/>
          </w:r>
        </w:sdtContent>
      </w:sdt>
      <w:r w:rsidR="005B673A" w:rsidRPr="00E97254">
        <w:rPr>
          <w:rFonts w:ascii="Calibri" w:hAnsi="Calibri" w:cs="Calibri"/>
        </w:rPr>
        <w:t xml:space="preserve">. Pjesëmarrja e fëmijëve të grupmoshës 7-15 vjeç në arsimin e detyrueshëm </w:t>
      </w:r>
      <w:r w:rsidR="006D427A" w:rsidRPr="00E97254">
        <w:rPr>
          <w:rFonts w:ascii="Calibri" w:hAnsi="Calibri" w:cs="Calibri"/>
        </w:rPr>
        <w:t>u rrit nga 48% në vitin 2011 në</w:t>
      </w:r>
      <w:r w:rsidR="005B673A" w:rsidRPr="00E97254">
        <w:rPr>
          <w:rFonts w:ascii="Calibri" w:hAnsi="Calibri" w:cs="Calibri"/>
        </w:rPr>
        <w:t xml:space="preserve"> 66%</w:t>
      </w:r>
      <w:r w:rsidR="006D427A" w:rsidRPr="00E97254">
        <w:rPr>
          <w:rFonts w:ascii="Calibri" w:hAnsi="Calibri" w:cs="Calibri"/>
        </w:rPr>
        <w:t xml:space="preserve"> në vitin 2017 </w:t>
      </w:r>
      <w:sdt>
        <w:sdtPr>
          <w:rPr>
            <w:rFonts w:ascii="Calibri" w:hAnsi="Calibri" w:cs="Calibri"/>
          </w:rPr>
          <w:id w:val="814616684"/>
          <w:citation/>
        </w:sdtPr>
        <w:sdtEndPr/>
        <w:sdtContent>
          <w:r w:rsidR="00EC56B7" w:rsidRPr="00E97254">
            <w:rPr>
              <w:rFonts w:ascii="Calibri" w:hAnsi="Calibri" w:cs="Calibri"/>
            </w:rPr>
            <w:fldChar w:fldCharType="begin"/>
          </w:r>
          <w:r>
            <w:rPr>
              <w:rFonts w:ascii="Calibri" w:hAnsi="Calibri" w:cs="Calibri"/>
            </w:rPr>
            <w:instrText xml:space="preserve"> CITATION UND181 \l 1033 </w:instrText>
          </w:r>
          <w:r w:rsidR="00EC56B7" w:rsidRPr="00E97254">
            <w:rPr>
              <w:rFonts w:ascii="Calibri" w:hAnsi="Calibri" w:cs="Calibri"/>
            </w:rPr>
            <w:fldChar w:fldCharType="separate"/>
          </w:r>
          <w:r w:rsidR="00724BCC" w:rsidRPr="00E97254">
            <w:rPr>
              <w:rFonts w:ascii="Calibri" w:hAnsi="Calibri" w:cs="Calibri"/>
            </w:rPr>
            <w:t>[47]</w:t>
          </w:r>
          <w:r w:rsidR="00EC56B7" w:rsidRPr="00E97254">
            <w:rPr>
              <w:rFonts w:ascii="Calibri" w:hAnsi="Calibri" w:cs="Calibri"/>
            </w:rPr>
            <w:fldChar w:fldCharType="end"/>
          </w:r>
        </w:sdtContent>
      </w:sdt>
      <w:r w:rsidR="005B673A" w:rsidRPr="00E97254">
        <w:rPr>
          <w:rFonts w:ascii="Calibri" w:hAnsi="Calibri" w:cs="Calibri"/>
        </w:rPr>
        <w:t>, megjithatë, “hendeku ndërmjet fëmijëve romë/egjiptianë dhe fëmijëve të tjerë që jetojnë në të njëjtat zona mbetet shqetësues”</w:t>
      </w:r>
      <w:r w:rsidR="00877783" w:rsidRPr="00E97254">
        <w:rPr>
          <w:rFonts w:cs="Calibri"/>
        </w:rPr>
        <w:t xml:space="preserve"> </w:t>
      </w:r>
      <w:sdt>
        <w:sdtPr>
          <w:rPr>
            <w:rFonts w:cs="Calibri"/>
          </w:rPr>
          <w:id w:val="-681507149"/>
          <w:citation/>
        </w:sdtPr>
        <w:sdtEndPr/>
        <w:sdtContent>
          <w:r w:rsidR="00EC56B7" w:rsidRPr="00E97254">
            <w:rPr>
              <w:rFonts w:cs="Calibri"/>
            </w:rPr>
            <w:fldChar w:fldCharType="begin"/>
          </w:r>
          <w:r>
            <w:rPr>
              <w:rFonts w:cs="Calibri"/>
            </w:rPr>
            <w:instrText xml:space="preserve"> CITATION Eur18 \l 1033 </w:instrText>
          </w:r>
          <w:r w:rsidR="00EC56B7" w:rsidRPr="00E97254">
            <w:rPr>
              <w:rFonts w:cs="Calibri"/>
            </w:rPr>
            <w:fldChar w:fldCharType="separate"/>
          </w:r>
          <w:r w:rsidR="00724BCC" w:rsidRPr="00E97254">
            <w:rPr>
              <w:rFonts w:cs="Calibri"/>
            </w:rPr>
            <w:t>[24]</w:t>
          </w:r>
          <w:r w:rsidR="00EC56B7" w:rsidRPr="00E97254">
            <w:rPr>
              <w:rFonts w:cs="Calibri"/>
            </w:rPr>
            <w:fldChar w:fldCharType="end"/>
          </w:r>
        </w:sdtContent>
      </w:sdt>
      <w:r w:rsidR="005B673A" w:rsidRPr="00E97254">
        <w:rPr>
          <w:rFonts w:cs="Calibri"/>
        </w:rPr>
        <w:t xml:space="preserve">. Ka </w:t>
      </w:r>
      <w:r w:rsidR="009B6670" w:rsidRPr="00E97254">
        <w:rPr>
          <w:rFonts w:cs="Calibri"/>
        </w:rPr>
        <w:t>t</w:t>
      </w:r>
      <w:r w:rsidR="009B6670" w:rsidRPr="00E97254">
        <w:rPr>
          <w:rFonts w:cs="Calibri"/>
          <w:color w:val="222222"/>
        </w:rPr>
        <w:t>ë dhëna</w:t>
      </w:r>
      <w:sdt>
        <w:sdtPr>
          <w:id w:val="-1511600884"/>
          <w:citation/>
        </w:sdtPr>
        <w:sdtEndPr/>
        <w:sdtContent/>
      </w:sdt>
      <w:r w:rsidR="00626CA7" w:rsidRPr="00E97254">
        <w:rPr>
          <w:rFonts w:ascii="Calibri" w:hAnsi="Calibri" w:cs="Calibri"/>
        </w:rPr>
        <w:t xml:space="preserve"> </w:t>
      </w:r>
      <w:r w:rsidR="005B673A" w:rsidRPr="00E97254">
        <w:rPr>
          <w:rFonts w:ascii="Calibri" w:hAnsi="Calibri" w:cs="Calibri"/>
        </w:rPr>
        <w:t xml:space="preserve">që tregojnë se fëmijët romë kanë performancë të dobët në klasën e 5-të, duke marrë </w:t>
      </w:r>
      <w:r w:rsidR="00626CA7" w:rsidRPr="00E97254">
        <w:rPr>
          <w:rFonts w:ascii="Calibri" w:hAnsi="Calibri" w:cs="Calibri"/>
        </w:rPr>
        <w:t xml:space="preserve">mesatarisht </w:t>
      </w:r>
      <w:r w:rsidR="005B673A" w:rsidRPr="00E97254">
        <w:rPr>
          <w:rFonts w:ascii="Calibri" w:hAnsi="Calibri" w:cs="Calibri"/>
        </w:rPr>
        <w:t xml:space="preserve">29 pikë, krahasuar me mesataren prej 45 pikësh në vlerësimin </w:t>
      </w:r>
      <w:r w:rsidR="00113E9B" w:rsidRPr="00E97254">
        <w:rPr>
          <w:rFonts w:ascii="Calibri" w:hAnsi="Calibri" w:cs="Calibri"/>
        </w:rPr>
        <w:t>e</w:t>
      </w:r>
      <w:r w:rsidR="005B673A" w:rsidRPr="00E97254">
        <w:rPr>
          <w:rFonts w:ascii="Calibri" w:hAnsi="Calibri" w:cs="Calibri"/>
        </w:rPr>
        <w:t xml:space="preserve"> </w:t>
      </w:r>
      <w:r w:rsidR="00FF425A" w:rsidRPr="00E97254">
        <w:rPr>
          <w:rFonts w:ascii="Calibri" w:hAnsi="Calibri" w:cs="Calibri"/>
        </w:rPr>
        <w:t>arritjeve të nxënësve të arsimit fillor (VANAF)</w:t>
      </w:r>
      <w:r w:rsidR="002B257B" w:rsidRPr="00E97254">
        <w:rPr>
          <w:rFonts w:ascii="Calibri" w:hAnsi="Calibri" w:cs="Calibri"/>
        </w:rPr>
        <w:t xml:space="preserve"> </w:t>
      </w:r>
      <w:sdt>
        <w:sdtPr>
          <w:rPr>
            <w:rFonts w:ascii="Calibri" w:hAnsi="Calibri" w:cs="Calibri"/>
          </w:rPr>
          <w:id w:val="305137288"/>
          <w:citation/>
        </w:sdtPr>
        <w:sdtEndPr/>
        <w:sdtContent>
          <w:r w:rsidR="00EC56B7" w:rsidRPr="00E97254">
            <w:rPr>
              <w:rFonts w:ascii="Calibri" w:hAnsi="Calibri" w:cs="Calibri"/>
            </w:rPr>
            <w:fldChar w:fldCharType="begin"/>
          </w:r>
          <w:r>
            <w:rPr>
              <w:rFonts w:ascii="Calibri" w:hAnsi="Calibri" w:cs="Calibri"/>
            </w:rPr>
            <w:instrText xml:space="preserve"> CITATION UNI171 \l 1033 </w:instrText>
          </w:r>
          <w:r w:rsidR="00EC56B7" w:rsidRPr="00E97254">
            <w:rPr>
              <w:rFonts w:ascii="Calibri" w:hAnsi="Calibri" w:cs="Calibri"/>
            </w:rPr>
            <w:fldChar w:fldCharType="separate"/>
          </w:r>
          <w:r w:rsidR="00724BCC" w:rsidRPr="00E97254">
            <w:rPr>
              <w:rFonts w:ascii="Calibri" w:hAnsi="Calibri" w:cs="Calibri"/>
            </w:rPr>
            <w:t>[48]</w:t>
          </w:r>
          <w:r w:rsidR="00EC56B7" w:rsidRPr="00E97254">
            <w:rPr>
              <w:rFonts w:ascii="Calibri" w:hAnsi="Calibri" w:cs="Calibri"/>
            </w:rPr>
            <w:fldChar w:fldCharType="end"/>
          </w:r>
        </w:sdtContent>
      </w:sdt>
      <w:r w:rsidR="005B673A" w:rsidRPr="00E97254">
        <w:rPr>
          <w:rFonts w:ascii="Calibri" w:hAnsi="Calibri" w:cs="Calibri"/>
        </w:rPr>
        <w:t xml:space="preserve">. Krahas rritjes së nivelit arsimor të popullsisë rome dhe egjiptiane në Shqipëri, </w:t>
      </w:r>
      <w:r w:rsidR="00647B06" w:rsidRPr="00E97254">
        <w:rPr>
          <w:rFonts w:ascii="Calibri" w:hAnsi="Calibri" w:cs="Calibri"/>
        </w:rPr>
        <w:t xml:space="preserve">ka ende raste të segregimit dhe formave të tjera të diskriminimit në raport me pjesëtarët e </w:t>
      </w:r>
      <w:r w:rsidR="00626CA7" w:rsidRPr="00E97254">
        <w:rPr>
          <w:rFonts w:ascii="Calibri" w:hAnsi="Calibri" w:cs="Calibri"/>
        </w:rPr>
        <w:t>pakicave</w:t>
      </w:r>
      <w:r w:rsidR="00F35A0C" w:rsidRPr="00E97254">
        <w:rPr>
          <w:rFonts w:ascii="Calibri" w:hAnsi="Calibri" w:cs="Calibri"/>
        </w:rPr>
        <w:t xml:space="preserve"> </w:t>
      </w:r>
      <w:r w:rsidR="00F35A0C" w:rsidRPr="00E97254">
        <w:rPr>
          <w:rFonts w:ascii="Calibri" w:hAnsi="Calibri" w:cs="Calibri"/>
          <w:szCs w:val="24"/>
        </w:rPr>
        <w:t>rome dhe egji</w:t>
      </w:r>
      <w:r w:rsidR="00F35A0C" w:rsidRPr="00E97254">
        <w:rPr>
          <w:rFonts w:ascii="Calibri" w:hAnsi="Calibri" w:cs="Calibri"/>
        </w:rPr>
        <w:t>ptiane</w:t>
      </w:r>
      <w:r w:rsidR="00551E3F" w:rsidRPr="00E97254">
        <w:rPr>
          <w:rFonts w:ascii="Calibri" w:hAnsi="Calibri" w:cs="Calibri"/>
        </w:rPr>
        <w:t>.</w:t>
      </w:r>
      <w:r w:rsidR="00033DC5" w:rsidRPr="00E97254">
        <w:rPr>
          <w:rFonts w:ascii="Calibri" w:hAnsi="Calibri" w:cs="Calibri"/>
        </w:rPr>
        <w:t xml:space="preserve"> Përveç kësaj, një numër i konsiderueshëm i fëmijëve romë dhe egjiptianë nuk përfundojnë arsimin bazë, ndërkaq një numër simbolik i tyre regjistrohen</w:t>
      </w:r>
      <w:r>
        <w:rPr>
          <w:rFonts w:ascii="Calibri" w:hAnsi="Calibri" w:cs="Calibri"/>
        </w:rPr>
        <w:t xml:space="preserve"> në shkolla të mesme të larta. </w:t>
      </w:r>
    </w:p>
    <w:p w:rsidR="00113E9B" w:rsidRPr="00DE6949" w:rsidRDefault="00FA5606" w:rsidP="000C0250">
      <w:pPr>
        <w:spacing w:after="0"/>
        <w:jc w:val="both"/>
        <w:rPr>
          <w:rFonts w:ascii="Calibri" w:hAnsi="Calibri" w:cs="Calibri"/>
          <w:w w:val="105"/>
        </w:rPr>
      </w:pPr>
      <w:r w:rsidRPr="00FA5606">
        <w:rPr>
          <w:rFonts w:ascii="Calibri" w:hAnsi="Calibri" w:cs="Calibri"/>
          <w:w w:val="105"/>
        </w:rPr>
        <w:t>Mësimi</w:t>
      </w:r>
      <w:r w:rsidRPr="00FA5606">
        <w:rPr>
          <w:rFonts w:ascii="Calibri" w:hAnsi="Calibri" w:cs="Calibri"/>
          <w:spacing w:val="-4"/>
          <w:w w:val="105"/>
        </w:rPr>
        <w:t xml:space="preserve"> </w:t>
      </w:r>
      <w:r w:rsidRPr="00FA5606">
        <w:rPr>
          <w:rFonts w:ascii="Calibri" w:hAnsi="Calibri" w:cs="Calibri"/>
          <w:w w:val="105"/>
        </w:rPr>
        <w:t>i</w:t>
      </w:r>
      <w:r w:rsidRPr="00FA5606">
        <w:rPr>
          <w:rFonts w:ascii="Calibri" w:hAnsi="Calibri" w:cs="Calibri"/>
          <w:spacing w:val="-6"/>
          <w:w w:val="105"/>
        </w:rPr>
        <w:t xml:space="preserve"> </w:t>
      </w:r>
      <w:r w:rsidRPr="00FA5606">
        <w:rPr>
          <w:rFonts w:ascii="Calibri" w:hAnsi="Calibri" w:cs="Calibri"/>
          <w:w w:val="105"/>
        </w:rPr>
        <w:t>historisë</w:t>
      </w:r>
      <w:r w:rsidRPr="00FA5606">
        <w:rPr>
          <w:rFonts w:ascii="Calibri" w:hAnsi="Calibri" w:cs="Calibri"/>
          <w:spacing w:val="-8"/>
          <w:w w:val="105"/>
        </w:rPr>
        <w:t>/</w:t>
      </w:r>
      <w:r w:rsidRPr="00FA5606">
        <w:rPr>
          <w:rFonts w:ascii="Calibri" w:hAnsi="Calibri" w:cs="Calibri"/>
          <w:w w:val="105"/>
        </w:rPr>
        <w:t>kulturës</w:t>
      </w:r>
      <w:r w:rsidRPr="00FA5606">
        <w:rPr>
          <w:rFonts w:ascii="Calibri" w:hAnsi="Calibri" w:cs="Calibri"/>
          <w:spacing w:val="-8"/>
          <w:w w:val="105"/>
        </w:rPr>
        <w:t xml:space="preserve"> </w:t>
      </w:r>
      <w:r w:rsidRPr="00FA5606">
        <w:rPr>
          <w:rFonts w:ascii="Calibri" w:hAnsi="Calibri" w:cs="Calibri"/>
          <w:w w:val="105"/>
        </w:rPr>
        <w:t>së</w:t>
      </w:r>
      <w:r w:rsidRPr="00FA5606">
        <w:rPr>
          <w:rFonts w:ascii="Calibri" w:hAnsi="Calibri" w:cs="Calibri"/>
          <w:spacing w:val="-6"/>
          <w:w w:val="105"/>
        </w:rPr>
        <w:t xml:space="preserve"> </w:t>
      </w:r>
      <w:r w:rsidRPr="00FA5606">
        <w:rPr>
          <w:rFonts w:ascii="Calibri" w:hAnsi="Calibri" w:cs="Calibri"/>
          <w:w w:val="105"/>
        </w:rPr>
        <w:t>romëve</w:t>
      </w:r>
      <w:r w:rsidRPr="00FA5606">
        <w:rPr>
          <w:rFonts w:ascii="Calibri" w:hAnsi="Calibri" w:cs="Calibri"/>
          <w:spacing w:val="-6"/>
          <w:w w:val="105"/>
        </w:rPr>
        <w:t xml:space="preserve"> </w:t>
      </w:r>
      <w:r w:rsidRPr="00FA5606">
        <w:rPr>
          <w:rFonts w:ascii="Calibri" w:hAnsi="Calibri" w:cs="Calibri"/>
          <w:w w:val="105"/>
        </w:rPr>
        <w:t>dhe/ose</w:t>
      </w:r>
      <w:r w:rsidRPr="00FA5606">
        <w:rPr>
          <w:rFonts w:ascii="Calibri" w:hAnsi="Calibri" w:cs="Calibri"/>
          <w:spacing w:val="-6"/>
          <w:w w:val="105"/>
        </w:rPr>
        <w:t xml:space="preserve"> </w:t>
      </w:r>
      <w:r w:rsidR="00345B21">
        <w:rPr>
          <w:rFonts w:ascii="Calibri" w:hAnsi="Calibri" w:cs="Calibri"/>
          <w:w w:val="105"/>
        </w:rPr>
        <w:t>migratëve</w:t>
      </w:r>
      <w:r w:rsidR="00345B21" w:rsidRPr="00FA5606">
        <w:rPr>
          <w:rFonts w:ascii="Calibri" w:hAnsi="Calibri" w:cs="Calibri"/>
          <w:spacing w:val="-4"/>
          <w:w w:val="105"/>
        </w:rPr>
        <w:t xml:space="preserve"> </w:t>
      </w:r>
      <w:r w:rsidRPr="00FA5606">
        <w:rPr>
          <w:rFonts w:ascii="Calibri" w:hAnsi="Calibri" w:cs="Calibri"/>
          <w:w w:val="105"/>
        </w:rPr>
        <w:t>nuk është i</w:t>
      </w:r>
      <w:r w:rsidRPr="00FA5606">
        <w:rPr>
          <w:rFonts w:ascii="Calibri" w:hAnsi="Calibri" w:cs="Calibri"/>
          <w:spacing w:val="-4"/>
          <w:w w:val="105"/>
        </w:rPr>
        <w:t xml:space="preserve"> </w:t>
      </w:r>
      <w:r w:rsidRPr="00FA5606">
        <w:rPr>
          <w:rFonts w:ascii="Calibri" w:hAnsi="Calibri" w:cs="Calibri"/>
          <w:w w:val="105"/>
        </w:rPr>
        <w:t>përfshirë sa duhet në lëndë të ndryshme shkollore, të tilla si: historia, edukimi qytetar ose shoqëror, letërsia, feja ose etika, arti, muzika ose gjuhët.</w:t>
      </w:r>
    </w:p>
    <w:p w:rsidR="00DC5539" w:rsidRPr="00E97254" w:rsidRDefault="00DC5539" w:rsidP="000C0250">
      <w:pPr>
        <w:spacing w:after="0"/>
        <w:jc w:val="both"/>
        <w:rPr>
          <w:rFonts w:ascii="Calibri" w:hAnsi="Calibri" w:cs="Calibri"/>
        </w:rPr>
      </w:pPr>
      <w:r w:rsidRPr="00E97254">
        <w:rPr>
          <w:rFonts w:ascii="Calibri" w:hAnsi="Calibri" w:cs="Calibri"/>
        </w:rPr>
        <w:t>Bazuar në ligjin nr. 69/2012 “Për sistemin arsimor parauniversitar në Republikën e Shqipërisë”, i ndryshuar, është parashikuar që personave, të cilët u përkasin pakicave kombëtare, u krijohen mundësi të mësojnë dhe të mësohen në gjuhën amtare, të mësojnë h</w:t>
      </w:r>
      <w:r w:rsidR="004E1F53">
        <w:rPr>
          <w:rFonts w:ascii="Calibri" w:hAnsi="Calibri" w:cs="Calibri"/>
        </w:rPr>
        <w:t>istorinë dhe kulturën e tyre, sipas planeve dhe programeve mësimore. Gjithashtu, nxënësve të pakicave kombëtare u krijohen kushte për mësimin e gjuhës shqipe dhe njohjen e historisë dhe të kulturës shqiptare, për të mundësuar pjesëmarrje aktive dhe të barabartë në jetën ekonomike, shoqërore, politike e kulturore të Republikës së Shqipërisë dhe ata vlerësohen në provimet kombëtare të arsimit bazë në lëndët gjuhë amtare, gjuhë shqipe dhe, sipas dëshirës, edhe në një gjuhë të huaj.</w:t>
      </w:r>
    </w:p>
    <w:p w:rsidR="00DC5539" w:rsidRPr="00E97254" w:rsidRDefault="004E1F53" w:rsidP="000C0250">
      <w:pPr>
        <w:spacing w:after="0"/>
        <w:jc w:val="both"/>
        <w:rPr>
          <w:rFonts w:ascii="Calibri" w:hAnsi="Calibri" w:cs="Calibri"/>
        </w:rPr>
      </w:pPr>
      <w:r>
        <w:rPr>
          <w:rFonts w:ascii="Calibri" w:hAnsi="Calibri" w:cs="Calibri"/>
        </w:rPr>
        <w:t>Gjatë vitit 2015, në kuadër të reformës së arsimit parauniversitar, u hartua plani i ri mësimor për pakicat kombëtare dhe u përgatitën programet mësimore të kurrikulës me bazë kompetencat, në përshtatje me këtë plan mësimor. Urdhri nr.186, datë 15.05.2015, “Për përcaktimin e planit mësimor për pakicat kombëtare” i MASR-së, ka miratuar planin mësimor për arsimin bazë për pakicat kombëtare, bazuar në kurrikulën e re me kompetenca. Përveç programeve të të gjitha lëndëve të pakicave që janë hartuar sipas kurrikulës së re me kompetenca, janë hartuar edhe 22 programe specifike për gjuhën amtare, gjeografinë dhe historinë amtare të pakicave. Këto programe u hartuan nga grupe pune me pjesëmarrjen e pedagogëve nga Departamenti i Gjuhës Greke, Letërsisë dhe Qytetërimit Grek në Universitetin e Gjirokastrës dhe të Tiranës si dhe nga mësues të gjuhës greke dhe maqedonase. Që nga viti 2015, në përputhje me programet e reja, janë hartuar edhe tekste të reja në gjuhën amtare për nxënësit e pakicave kombëtare. Të gjithë nxënësit e pakicave kombëtare pajisen me tekste shkollore falas nga buxheti i shtetit.</w:t>
      </w:r>
    </w:p>
    <w:p w:rsidR="007E2F24" w:rsidRPr="00E97254" w:rsidRDefault="004E1F53" w:rsidP="000C0250">
      <w:pPr>
        <w:spacing w:after="0"/>
        <w:jc w:val="both"/>
        <w:rPr>
          <w:rFonts w:ascii="Calibri" w:hAnsi="Calibri" w:cs="Calibri"/>
        </w:rPr>
      </w:pPr>
      <w:r>
        <w:rPr>
          <w:rFonts w:ascii="Calibri" w:hAnsi="Calibri" w:cs="Calibri"/>
        </w:rPr>
        <w:t xml:space="preserve">Në vitin 2013, MASR-ja nxori Urdhrin Nr. 344/2013, </w:t>
      </w:r>
      <w:r w:rsidR="00E60307">
        <w:rPr>
          <w:rFonts w:ascii="Calibri" w:hAnsi="Calibri" w:cs="Calibri"/>
        </w:rPr>
        <w:t>n</w:t>
      </w:r>
      <w:r w:rsidR="00E60307" w:rsidRPr="00E97254">
        <w:rPr>
          <w:rFonts w:ascii="Calibri" w:hAnsi="Calibri" w:cs="Calibri"/>
        </w:rPr>
        <w:t>ë</w:t>
      </w:r>
      <w:r w:rsidR="00E60307">
        <w:rPr>
          <w:rFonts w:ascii="Calibri" w:hAnsi="Calibri" w:cs="Calibri"/>
        </w:rPr>
        <w:t>p</w:t>
      </w:r>
      <w:r w:rsidR="00E60307" w:rsidRPr="00E97254">
        <w:rPr>
          <w:rFonts w:ascii="Calibri" w:hAnsi="Calibri" w:cs="Calibri"/>
        </w:rPr>
        <w:t>ë</w:t>
      </w:r>
      <w:r w:rsidR="00E60307">
        <w:rPr>
          <w:rFonts w:ascii="Calibri" w:hAnsi="Calibri" w:cs="Calibri"/>
        </w:rPr>
        <w:t>rmjet</w:t>
      </w:r>
      <w:r w:rsidR="00E60307" w:rsidRPr="00E97254">
        <w:rPr>
          <w:rFonts w:ascii="Calibri" w:hAnsi="Calibri" w:cs="Calibri"/>
        </w:rPr>
        <w:t xml:space="preserve"> </w:t>
      </w:r>
      <w:r w:rsidR="00E60307">
        <w:rPr>
          <w:rFonts w:ascii="Calibri" w:hAnsi="Calibri" w:cs="Calibri"/>
        </w:rPr>
        <w:t>t</w:t>
      </w:r>
      <w:r w:rsidR="007E2F24" w:rsidRPr="00E97254">
        <w:rPr>
          <w:rFonts w:ascii="Calibri" w:hAnsi="Calibri" w:cs="Calibri"/>
        </w:rPr>
        <w:t xml:space="preserve">ë cilit u krijuan </w:t>
      </w:r>
      <w:r w:rsidR="007E2F24" w:rsidRPr="00E97254">
        <w:rPr>
          <w:rFonts w:ascii="Calibri" w:hAnsi="Calibri" w:cs="Calibri"/>
          <w:b/>
        </w:rPr>
        <w:t>shërbimet psikosociale</w:t>
      </w:r>
      <w:r w:rsidR="007E2F24" w:rsidRPr="00E97254">
        <w:rPr>
          <w:rFonts w:ascii="Calibri" w:hAnsi="Calibri" w:cs="Calibri"/>
        </w:rPr>
        <w:t xml:space="preserve"> për institucionet e arsimit parauniversitar, dhe që u ndryshua në vitin 2018</w:t>
      </w:r>
      <w:sdt>
        <w:sdtPr>
          <w:rPr>
            <w:rFonts w:ascii="Calibri" w:hAnsi="Calibri" w:cs="Calibri"/>
          </w:rPr>
          <w:id w:val="-305474777"/>
          <w:citation/>
        </w:sdtPr>
        <w:sdtEndPr/>
        <w:sdtContent>
          <w:r w:rsidR="007E2F24" w:rsidRPr="00E97254">
            <w:rPr>
              <w:rFonts w:ascii="Calibri" w:hAnsi="Calibri" w:cs="Calibri"/>
            </w:rPr>
            <w:t xml:space="preserve"> dhe 2020</w:t>
          </w:r>
          <w:sdt>
            <w:sdtPr>
              <w:rPr>
                <w:rFonts w:ascii="Calibri" w:hAnsi="Calibri" w:cs="Calibri"/>
              </w:rPr>
              <w:id w:val="-18244871"/>
              <w:citation/>
            </w:sdtPr>
            <w:sdtEndPr/>
            <w:sdtContent>
              <w:r w:rsidR="00EC56B7" w:rsidRPr="00E97254">
                <w:rPr>
                  <w:rFonts w:ascii="Calibri" w:hAnsi="Calibri" w:cs="Calibri"/>
                </w:rPr>
                <w:fldChar w:fldCharType="begin"/>
              </w:r>
              <w:r>
                <w:rPr>
                  <w:rFonts w:ascii="Calibri" w:hAnsi="Calibri" w:cs="Calibri"/>
                </w:rPr>
                <w:instrText xml:space="preserve">CITATION MAS \l 1033 </w:instrText>
              </w:r>
              <w:r w:rsidR="00EC56B7" w:rsidRPr="00E97254">
                <w:rPr>
                  <w:rFonts w:ascii="Calibri" w:hAnsi="Calibri" w:cs="Calibri"/>
                </w:rPr>
                <w:fldChar w:fldCharType="separate"/>
              </w:r>
              <w:r w:rsidR="00724BCC" w:rsidRPr="00E97254">
                <w:rPr>
                  <w:rFonts w:ascii="Calibri" w:hAnsi="Calibri" w:cs="Calibri"/>
                </w:rPr>
                <w:t xml:space="preserve"> [49]</w:t>
              </w:r>
              <w:r w:rsidR="00EC56B7" w:rsidRPr="00E97254">
                <w:rPr>
                  <w:rFonts w:ascii="Calibri" w:hAnsi="Calibri" w:cs="Calibri"/>
                </w:rPr>
                <w:fldChar w:fldCharType="end"/>
              </w:r>
            </w:sdtContent>
          </w:sdt>
        </w:sdtContent>
      </w:sdt>
      <w:r w:rsidR="007E2F24" w:rsidRPr="00E97254">
        <w:rPr>
          <w:rFonts w:ascii="Calibri" w:hAnsi="Calibri" w:cs="Calibri"/>
        </w:rPr>
        <w:t xml:space="preserve">. Këto njësi funksionojnë nën mbikëqyrjen e drejtorive </w:t>
      </w:r>
      <w:r w:rsidR="00B173CC" w:rsidRPr="00E97254">
        <w:rPr>
          <w:rFonts w:ascii="Calibri" w:hAnsi="Calibri" w:cs="Calibri"/>
        </w:rPr>
        <w:t>rajonale të arsimit parauniversitar</w:t>
      </w:r>
      <w:r w:rsidR="007E2F24" w:rsidRPr="00E97254">
        <w:rPr>
          <w:rFonts w:ascii="Calibri" w:hAnsi="Calibri" w:cs="Calibri"/>
        </w:rPr>
        <w:t xml:space="preserve">. Në vitin shkollor 2018/19 në shkollat shqiptare punonin 577 psikologë dhe punonjës socialë </w:t>
      </w:r>
      <w:sdt>
        <w:sdtPr>
          <w:rPr>
            <w:rFonts w:ascii="Calibri" w:hAnsi="Calibri" w:cs="Calibri"/>
          </w:rPr>
          <w:id w:val="-1532260842"/>
          <w:citation/>
        </w:sdtPr>
        <w:sdtEndPr/>
        <w:sdtContent>
          <w:r w:rsidR="00EC56B7" w:rsidRPr="00E97254">
            <w:rPr>
              <w:rFonts w:ascii="Calibri" w:hAnsi="Calibri" w:cs="Calibri"/>
            </w:rPr>
            <w:fldChar w:fldCharType="begin"/>
          </w:r>
          <w:r>
            <w:rPr>
              <w:rFonts w:ascii="Calibri" w:hAnsi="Calibri" w:cs="Calibri"/>
            </w:rPr>
            <w:instrText xml:space="preserve"> CITATION MAS192 \l 1033 </w:instrText>
          </w:r>
          <w:r w:rsidR="00EC56B7" w:rsidRPr="00E97254">
            <w:rPr>
              <w:rFonts w:ascii="Calibri" w:hAnsi="Calibri" w:cs="Calibri"/>
            </w:rPr>
            <w:fldChar w:fldCharType="separate"/>
          </w:r>
          <w:r w:rsidR="00724BCC" w:rsidRPr="00E97254">
            <w:rPr>
              <w:rFonts w:ascii="Calibri" w:hAnsi="Calibri" w:cs="Calibri"/>
            </w:rPr>
            <w:t>[46]</w:t>
          </w:r>
          <w:r w:rsidR="00EC56B7" w:rsidRPr="00E97254">
            <w:rPr>
              <w:rFonts w:ascii="Calibri" w:hAnsi="Calibri" w:cs="Calibri"/>
            </w:rPr>
            <w:fldChar w:fldCharType="end"/>
          </w:r>
        </w:sdtContent>
      </w:sdt>
      <w:r w:rsidR="007E2F24" w:rsidRPr="00E97254">
        <w:rPr>
          <w:rFonts w:ascii="Calibri" w:hAnsi="Calibri" w:cs="Calibri"/>
        </w:rPr>
        <w:t xml:space="preserve">. Sipas </w:t>
      </w:r>
      <w:r w:rsidR="0040250C" w:rsidRPr="00E97254">
        <w:rPr>
          <w:rFonts w:ascii="Calibri" w:hAnsi="Calibri" w:cs="Calibri"/>
        </w:rPr>
        <w:t>urdhrit</w:t>
      </w:r>
      <w:r w:rsidR="007E2F24" w:rsidRPr="00E97254">
        <w:rPr>
          <w:rFonts w:ascii="Calibri" w:hAnsi="Calibri" w:cs="Calibri"/>
        </w:rPr>
        <w:t xml:space="preserve"> të fundit, Parashihet </w:t>
      </w:r>
      <w:r w:rsidR="007E2F24" w:rsidRPr="00E97254">
        <w:rPr>
          <w:rFonts w:ascii="Calibri" w:hAnsi="Calibri" w:cs="Calibri"/>
        </w:rPr>
        <w:lastRenderedPageBreak/>
        <w:t>punësimi i një psikologu shkolle ose një punonjësi social për 500-700 nxënës, ndërsa shkollat me më shumë se 700 nxënës duhet të kenë dy psikologë ose punonjës socialë</w:t>
      </w:r>
      <w:r w:rsidR="00C2295B" w:rsidRPr="00E97254">
        <w:rPr>
          <w:rFonts w:ascii="Calibri" w:hAnsi="Calibri" w:cs="Calibri"/>
        </w:rPr>
        <w:t>.</w:t>
      </w:r>
      <w:r w:rsidR="007E2F24" w:rsidRPr="00E97254">
        <w:rPr>
          <w:rFonts w:ascii="Calibri" w:hAnsi="Calibri" w:cs="Calibri"/>
        </w:rPr>
        <w:t xml:space="preserve"> Një psikolog/punonjës social do të ketë çdo shkollë me të paktën 10 nxënës me aftësi të kufizuara, si dhe çdo shkollë speciale, ndër</w:t>
      </w:r>
      <w:r w:rsidR="00C2295B" w:rsidRPr="00E97254">
        <w:rPr>
          <w:rFonts w:ascii="Calibri" w:hAnsi="Calibri" w:cs="Calibri"/>
        </w:rPr>
        <w:t>sa</w:t>
      </w:r>
      <w:r w:rsidR="007E2F24" w:rsidRPr="00E97254">
        <w:rPr>
          <w:rFonts w:ascii="Calibri" w:hAnsi="Calibri" w:cs="Calibri"/>
        </w:rPr>
        <w:t xml:space="preserve"> një psikolog/punonjës social do të mbulojë disa shkolla me më pak se 500 nxënës </w:t>
      </w:r>
      <w:sdt>
        <w:sdtPr>
          <w:rPr>
            <w:rFonts w:ascii="Calibri" w:hAnsi="Calibri" w:cs="Calibri"/>
          </w:rPr>
          <w:id w:val="113490506"/>
          <w:citation/>
        </w:sdtPr>
        <w:sdtEndPr/>
        <w:sdtContent>
          <w:r w:rsidR="00EC56B7" w:rsidRPr="00E97254">
            <w:rPr>
              <w:rFonts w:ascii="Calibri" w:hAnsi="Calibri" w:cs="Calibri"/>
            </w:rPr>
            <w:fldChar w:fldCharType="begin"/>
          </w:r>
          <w:r>
            <w:rPr>
              <w:rFonts w:ascii="Calibri" w:hAnsi="Calibri" w:cs="Calibri"/>
            </w:rPr>
            <w:instrText xml:space="preserve">CITATION MAS \l 1033 </w:instrText>
          </w:r>
          <w:r w:rsidR="00EC56B7" w:rsidRPr="00E97254">
            <w:rPr>
              <w:rFonts w:ascii="Calibri" w:hAnsi="Calibri" w:cs="Calibri"/>
            </w:rPr>
            <w:fldChar w:fldCharType="separate"/>
          </w:r>
          <w:r w:rsidR="00724BCC" w:rsidRPr="00E97254">
            <w:rPr>
              <w:rFonts w:ascii="Calibri" w:hAnsi="Calibri" w:cs="Calibri"/>
            </w:rPr>
            <w:t>[49]</w:t>
          </w:r>
          <w:r w:rsidR="00EC56B7" w:rsidRPr="00E97254">
            <w:rPr>
              <w:rFonts w:ascii="Calibri" w:hAnsi="Calibri" w:cs="Calibri"/>
            </w:rPr>
            <w:fldChar w:fldCharType="end"/>
          </w:r>
        </w:sdtContent>
      </w:sdt>
      <w:r w:rsidR="007E2F24" w:rsidRPr="00E97254">
        <w:rPr>
          <w:rFonts w:ascii="Calibri" w:hAnsi="Calibri" w:cs="Calibri"/>
        </w:rPr>
        <w:t xml:space="preserve"> </w:t>
      </w:r>
      <w:r w:rsidR="00D1649F" w:rsidRPr="00E97254">
        <w:rPr>
          <w:rFonts w:ascii="Calibri" w:hAnsi="Calibri" w:cs="Calibri"/>
        </w:rPr>
        <w:t>duke</w:t>
      </w:r>
      <w:r w:rsidR="007E2F24" w:rsidRPr="00E97254">
        <w:rPr>
          <w:rFonts w:ascii="Calibri" w:hAnsi="Calibri" w:cs="Calibri"/>
        </w:rPr>
        <w:t xml:space="preserve"> ofr</w:t>
      </w:r>
      <w:r w:rsidR="00D1649F" w:rsidRPr="00E97254">
        <w:rPr>
          <w:rFonts w:ascii="Calibri" w:hAnsi="Calibri" w:cs="Calibri"/>
        </w:rPr>
        <w:t>uar</w:t>
      </w:r>
      <w:r w:rsidR="007E2F24" w:rsidRPr="00E97254">
        <w:rPr>
          <w:rFonts w:ascii="Calibri" w:hAnsi="Calibri" w:cs="Calibri"/>
        </w:rPr>
        <w:t xml:space="preserve"> mbështetje psikosociale për fëmijët. </w:t>
      </w:r>
    </w:p>
    <w:p w:rsidR="004C6FAF" w:rsidRPr="00E97254" w:rsidRDefault="00DA04BC" w:rsidP="000C0250">
      <w:pPr>
        <w:spacing w:after="0"/>
        <w:jc w:val="both"/>
        <w:rPr>
          <w:rFonts w:ascii="Calibri" w:hAnsi="Calibri" w:cs="Calibri"/>
        </w:rPr>
      </w:pPr>
      <w:r w:rsidRPr="00E97254">
        <w:rPr>
          <w:rFonts w:ascii="Calibri" w:hAnsi="Calibri" w:cs="Calibri"/>
        </w:rPr>
        <w:t xml:space="preserve">Shqipëria ka një </w:t>
      </w:r>
      <w:r w:rsidRPr="00E97254">
        <w:rPr>
          <w:rFonts w:ascii="Calibri" w:hAnsi="Calibri" w:cs="Calibri"/>
          <w:bCs/>
        </w:rPr>
        <w:t xml:space="preserve">numër të konsiderueshëm shkollash të vogla me </w:t>
      </w:r>
      <w:r w:rsidRPr="00E97254">
        <w:rPr>
          <w:bCs/>
        </w:rPr>
        <w:t>klasa</w:t>
      </w:r>
      <w:r w:rsidRPr="00E97254">
        <w:rPr>
          <w:rFonts w:ascii="Calibri" w:hAnsi="Calibri" w:cs="Calibri"/>
          <w:bCs/>
        </w:rPr>
        <w:t xml:space="preserve"> të </w:t>
      </w:r>
      <w:r w:rsidR="000B59F4" w:rsidRPr="00E97254">
        <w:rPr>
          <w:bCs/>
        </w:rPr>
        <w:t>bashkuara</w:t>
      </w:r>
      <w:r w:rsidRPr="00E97254">
        <w:rPr>
          <w:rFonts w:ascii="Calibri" w:hAnsi="Calibri" w:cs="Calibri"/>
          <w:bCs/>
        </w:rPr>
        <w:t xml:space="preserve"> kolektive</w:t>
      </w:r>
      <w:r w:rsidRPr="00E97254">
        <w:rPr>
          <w:rFonts w:ascii="Calibri" w:hAnsi="Calibri" w:cs="Calibri"/>
          <w:b/>
          <w:bCs/>
        </w:rPr>
        <w:t xml:space="preserve"> </w:t>
      </w:r>
      <w:r w:rsidRPr="00E97254">
        <w:rPr>
          <w:rFonts w:ascii="Calibri" w:hAnsi="Calibri" w:cs="Calibri"/>
        </w:rPr>
        <w:t xml:space="preserve">ku nxënës të </w:t>
      </w:r>
      <w:r w:rsidR="000B59F4" w:rsidRPr="00E97254">
        <w:t>klasave t</w:t>
      </w:r>
      <w:r w:rsidR="004E1F53">
        <w:t xml:space="preserve">ë </w:t>
      </w:r>
      <w:r w:rsidR="004E1F53">
        <w:rPr>
          <w:rFonts w:ascii="Calibri" w:hAnsi="Calibri" w:cs="Calibri"/>
        </w:rPr>
        <w:t xml:space="preserve">ndryshme mësojnë së bashku. </w:t>
      </w:r>
      <w:r w:rsidR="004E1F53">
        <w:t xml:space="preserve">Mësimi në klasa të bashkuara zhvillohet në zona rurale dhe zona të thella malore. </w:t>
      </w:r>
      <w:r w:rsidR="004E1F53">
        <w:rPr>
          <w:rFonts w:ascii="Calibri" w:hAnsi="Calibri" w:cs="Calibri"/>
        </w:rPr>
        <w:t>Vite me radhë, MASR</w:t>
      </w:r>
      <w:r w:rsidR="00E60307">
        <w:rPr>
          <w:rFonts w:ascii="Calibri" w:hAnsi="Calibri" w:cs="Calibri"/>
        </w:rPr>
        <w:t>-ja</w:t>
      </w:r>
      <w:r w:rsidR="00F35A0C" w:rsidRPr="00E97254">
        <w:rPr>
          <w:rFonts w:ascii="Calibri" w:hAnsi="Calibri" w:cs="Calibri"/>
        </w:rPr>
        <w:t xml:space="preserve"> ka ndjekur një politikë të mbylljes së klasave </w:t>
      </w:r>
      <w:r w:rsidR="00F35A0C" w:rsidRPr="00E97254">
        <w:t xml:space="preserve">të bashkuara </w:t>
      </w:r>
      <w:r w:rsidR="00F35A0C" w:rsidRPr="00E97254">
        <w:rPr>
          <w:rFonts w:ascii="Calibri" w:hAnsi="Calibri" w:cs="Calibri"/>
        </w:rPr>
        <w:t xml:space="preserve">kolektive, për t’i </w:t>
      </w:r>
      <w:r w:rsidR="00F35A0C" w:rsidRPr="00E97254">
        <w:t xml:space="preserve">zhvendosur nxënësit e këtyre klasave në </w:t>
      </w:r>
      <w:r w:rsidR="00F35A0C" w:rsidRPr="00E97254">
        <w:rPr>
          <w:rFonts w:ascii="Calibri" w:hAnsi="Calibri" w:cs="Calibri"/>
        </w:rPr>
        <w:t xml:space="preserve">shkollat </w:t>
      </w:r>
      <w:r w:rsidR="00F35A0C" w:rsidRPr="00E97254">
        <w:t xml:space="preserve">ku mësimi zhvillohet në klasa të veçanta, </w:t>
      </w:r>
      <w:r w:rsidR="00F35A0C" w:rsidRPr="00E97254">
        <w:rPr>
          <w:rFonts w:ascii="Calibri" w:hAnsi="Calibri" w:cs="Calibri"/>
        </w:rPr>
        <w:t xml:space="preserve">më të mëdha, duke siguruar transportin për </w:t>
      </w:r>
      <w:r w:rsidR="00F35A0C" w:rsidRPr="00E97254">
        <w:t>këta nxënës. Kjo ndërhyrje ka siguruar ofrimin e një arsimi më cilësor për nxën</w:t>
      </w:r>
      <w:r w:rsidR="004E1F53">
        <w:t>ësit e zonave rurale.</w:t>
      </w:r>
      <w:r w:rsidR="004E1F53">
        <w:rPr>
          <w:rFonts w:ascii="Calibri" w:hAnsi="Calibri" w:cs="Calibri"/>
        </w:rPr>
        <w:t xml:space="preserve"> Megjithëkëtë, rrjeti i shkollave nuk i përshtatet tablosë demografike të viteve të fundit, ndër</w:t>
      </w:r>
      <w:r w:rsidR="001C6C98">
        <w:rPr>
          <w:rFonts w:ascii="Calibri" w:hAnsi="Calibri" w:cs="Calibri"/>
        </w:rPr>
        <w:t>sa</w:t>
      </w:r>
      <w:r w:rsidR="001C6C98" w:rsidRPr="00E97254">
        <w:rPr>
          <w:rFonts w:ascii="Calibri" w:hAnsi="Calibri" w:cs="Calibri"/>
        </w:rPr>
        <w:t xml:space="preserve"> </w:t>
      </w:r>
      <w:r w:rsidR="00F35A0C" w:rsidRPr="00E97254">
        <w:rPr>
          <w:rFonts w:ascii="Calibri" w:hAnsi="Calibri" w:cs="Calibri"/>
        </w:rPr>
        <w:t>numri i nxënësve në klasat kolektive vazhdon të jetë i konsiderueshëm. Në vitin shkollor 2018/19,</w:t>
      </w:r>
      <w:r w:rsidR="004E1F53">
        <w:rPr>
          <w:rFonts w:ascii="Calibri" w:hAnsi="Calibri" w:cs="Calibri"/>
          <w:sz w:val="24"/>
          <w:szCs w:val="24"/>
        </w:rPr>
        <w:t xml:space="preserve"> </w:t>
      </w:r>
      <w:r w:rsidR="004E1F53">
        <w:rPr>
          <w:rFonts w:ascii="Calibri" w:hAnsi="Calibri" w:cs="Calibri"/>
        </w:rPr>
        <w:t xml:space="preserve"> nga 282,906 nxënës në arsimin bazë, 25,863 ose 9.14% vijonin mësimin në </w:t>
      </w:r>
      <w:r w:rsidR="004E1F53">
        <w:t xml:space="preserve">klasa të bashkuara </w:t>
      </w:r>
      <w:r w:rsidR="004E1F53">
        <w:rPr>
          <w:rFonts w:ascii="Calibri" w:hAnsi="Calibri" w:cs="Calibri"/>
        </w:rPr>
        <w:t xml:space="preserve">kolektive </w:t>
      </w:r>
      <w:sdt>
        <w:sdtPr>
          <w:rPr>
            <w:rFonts w:ascii="Calibri" w:hAnsi="Calibri" w:cs="Calibri"/>
          </w:rPr>
          <w:id w:val="2077245197"/>
          <w:citation/>
        </w:sdtPr>
        <w:sdtEndPr/>
        <w:sdtContent>
          <w:r w:rsidR="00EC56B7" w:rsidRPr="00E97254">
            <w:rPr>
              <w:rFonts w:ascii="Calibri" w:hAnsi="Calibri" w:cs="Calibri"/>
            </w:rPr>
            <w:fldChar w:fldCharType="begin"/>
          </w:r>
          <w:r w:rsidR="004E1F53">
            <w:rPr>
              <w:rFonts w:ascii="Calibri" w:hAnsi="Calibri" w:cs="Calibri"/>
            </w:rPr>
            <w:instrText xml:space="preserve"> CITATION MAS192 \l 1033 </w:instrText>
          </w:r>
          <w:r w:rsidR="00EC56B7" w:rsidRPr="00E97254">
            <w:rPr>
              <w:rFonts w:ascii="Calibri" w:hAnsi="Calibri" w:cs="Calibri"/>
            </w:rPr>
            <w:fldChar w:fldCharType="separate"/>
          </w:r>
          <w:r w:rsidR="00724BCC" w:rsidRPr="00E97254">
            <w:rPr>
              <w:rFonts w:ascii="Calibri" w:hAnsi="Calibri" w:cs="Calibri"/>
            </w:rPr>
            <w:t>[46]</w:t>
          </w:r>
          <w:r w:rsidR="00EC56B7" w:rsidRPr="00E97254">
            <w:rPr>
              <w:rFonts w:ascii="Calibri" w:hAnsi="Calibri" w:cs="Calibri"/>
            </w:rPr>
            <w:fldChar w:fldCharType="end"/>
          </w:r>
        </w:sdtContent>
      </w:sdt>
      <w:r w:rsidR="000B1FBA" w:rsidRPr="00E97254">
        <w:rPr>
          <w:rFonts w:ascii="Calibri" w:hAnsi="Calibri" w:cs="Calibri"/>
        </w:rPr>
        <w:t xml:space="preserve">. Përqindja e nxënësve që vijojnë mësimin në klasat </w:t>
      </w:r>
      <w:r w:rsidR="00D60D38" w:rsidRPr="00E97254">
        <w:t>t</w:t>
      </w:r>
      <w:r w:rsidR="0079581B" w:rsidRPr="00E97254">
        <w:t>ë</w:t>
      </w:r>
      <w:r w:rsidR="00D60D38" w:rsidRPr="00E97254">
        <w:t xml:space="preserve"> bashkuara </w:t>
      </w:r>
      <w:r w:rsidR="000B1FBA" w:rsidRPr="00E97254">
        <w:rPr>
          <w:rFonts w:ascii="Calibri" w:hAnsi="Calibri" w:cs="Calibri"/>
        </w:rPr>
        <w:t xml:space="preserve">kolektive është më e madhe në Qarkun e Kukësit (24.64%) dhe të Gjirokastrës (19.26%), ndërsa më e vogël në Qarkun e Durrësit (1.85%) dhe të Lezhës (5.83%). </w:t>
      </w:r>
      <w:r w:rsidR="0040250C" w:rsidRPr="00E97254">
        <w:rPr>
          <w:rFonts w:ascii="Calibri" w:hAnsi="Calibri" w:cs="Calibri"/>
        </w:rPr>
        <w:t>Ndërkaq</w:t>
      </w:r>
      <w:r w:rsidR="00DB691B" w:rsidRPr="00E97254">
        <w:rPr>
          <w:rFonts w:ascii="Calibri" w:hAnsi="Calibri" w:cs="Calibri"/>
        </w:rPr>
        <w:t xml:space="preserve">, në vitin 2019/20 numri i nxënësve që vijojnë mësimin në klasa kolektive ka rënë në 23,188 ose 8.56% të numrit të përgjithshëm të nxënësve në arsimin bazë </w:t>
      </w:r>
      <w:sdt>
        <w:sdtPr>
          <w:rPr>
            <w:rFonts w:ascii="Calibri" w:hAnsi="Calibri" w:cs="Calibri"/>
          </w:rPr>
          <w:id w:val="-1821105657"/>
          <w:citation/>
        </w:sdtPr>
        <w:sdtEndPr/>
        <w:sdtContent>
          <w:r w:rsidR="00EC56B7" w:rsidRPr="00E97254">
            <w:rPr>
              <w:rFonts w:ascii="Calibri" w:hAnsi="Calibri" w:cs="Calibri"/>
            </w:rPr>
            <w:fldChar w:fldCharType="begin"/>
          </w:r>
          <w:r w:rsidR="004E1F53">
            <w:rPr>
              <w:rFonts w:ascii="Calibri" w:hAnsi="Calibri" w:cs="Calibri"/>
            </w:rPr>
            <w:instrText xml:space="preserve"> CITATION MAS201 \l 1033 </w:instrText>
          </w:r>
          <w:r w:rsidR="00EC56B7" w:rsidRPr="00E97254">
            <w:rPr>
              <w:rFonts w:ascii="Calibri" w:hAnsi="Calibri" w:cs="Calibri"/>
            </w:rPr>
            <w:fldChar w:fldCharType="separate"/>
          </w:r>
          <w:r w:rsidR="00724BCC" w:rsidRPr="00E97254">
            <w:rPr>
              <w:rFonts w:ascii="Calibri" w:hAnsi="Calibri" w:cs="Calibri"/>
            </w:rPr>
            <w:t>[45]</w:t>
          </w:r>
          <w:r w:rsidR="00EC56B7" w:rsidRPr="00E97254">
            <w:rPr>
              <w:rFonts w:ascii="Calibri" w:hAnsi="Calibri" w:cs="Calibri"/>
            </w:rPr>
            <w:fldChar w:fldCharType="end"/>
          </w:r>
        </w:sdtContent>
      </w:sdt>
      <w:r w:rsidR="00DB691B" w:rsidRPr="00E97254">
        <w:rPr>
          <w:rFonts w:ascii="Calibri" w:hAnsi="Calibri" w:cs="Calibri"/>
        </w:rPr>
        <w:t>.</w:t>
      </w:r>
    </w:p>
    <w:p w:rsidR="00D93FFF" w:rsidRPr="00E97254" w:rsidRDefault="00C710D0" w:rsidP="000C0250">
      <w:pPr>
        <w:spacing w:after="0"/>
        <w:jc w:val="both"/>
        <w:rPr>
          <w:rFonts w:ascii="Calibri" w:hAnsi="Calibri" w:cs="Calibri"/>
        </w:rPr>
      </w:pPr>
      <w:r w:rsidRPr="00E97254">
        <w:rPr>
          <w:rFonts w:ascii="Calibri" w:hAnsi="Calibri" w:cs="Calibri"/>
        </w:rPr>
        <w:t xml:space="preserve">Përmirësimi i infrastrukturës shkollore zë vend të rëndësishëm në politikat e shtetit shqiptar. Në </w:t>
      </w:r>
      <w:r w:rsidR="00592EED" w:rsidRPr="00E97254">
        <w:rPr>
          <w:rFonts w:ascii="Calibri" w:hAnsi="Calibri" w:cs="Calibri"/>
        </w:rPr>
        <w:t xml:space="preserve">vitet 2018 dhe </w:t>
      </w:r>
      <w:r w:rsidR="00592EED" w:rsidRPr="00E97254">
        <w:t>2019</w:t>
      </w:r>
      <w:r w:rsidR="004D6D2F" w:rsidRPr="00E97254">
        <w:t xml:space="preserve"> </w:t>
      </w:r>
      <w:r w:rsidR="007D0294" w:rsidRPr="00E97254">
        <w:t>shpenzimet</w:t>
      </w:r>
      <w:r w:rsidR="007D0294" w:rsidRPr="00E97254">
        <w:rPr>
          <w:rFonts w:ascii="Calibri" w:hAnsi="Calibri" w:cs="Calibri"/>
        </w:rPr>
        <w:t xml:space="preserve"> kapitale të MASR</w:t>
      </w:r>
      <w:r w:rsidR="001C6C98">
        <w:rPr>
          <w:rFonts w:ascii="Calibri" w:hAnsi="Calibri" w:cs="Calibri"/>
        </w:rPr>
        <w:t>-s</w:t>
      </w:r>
      <w:r w:rsidR="001C6C98" w:rsidRPr="00E97254">
        <w:rPr>
          <w:rFonts w:ascii="Calibri" w:hAnsi="Calibri" w:cs="Calibri"/>
        </w:rPr>
        <w:t>ë</w:t>
      </w:r>
      <w:r w:rsidR="007D0294" w:rsidRPr="00E97254">
        <w:rPr>
          <w:rFonts w:ascii="Calibri" w:hAnsi="Calibri" w:cs="Calibri"/>
        </w:rPr>
        <w:t xml:space="preserve"> kanë arritur shumën prej </w:t>
      </w:r>
      <w:r w:rsidR="00592EED" w:rsidRPr="00E97254">
        <w:rPr>
          <w:rFonts w:ascii="Calibri" w:hAnsi="Calibri" w:cs="Calibri"/>
        </w:rPr>
        <w:t>6.52</w:t>
      </w:r>
      <w:r w:rsidR="00E8227C">
        <w:rPr>
          <w:rFonts w:ascii="Calibri" w:hAnsi="Calibri" w:cs="Calibri"/>
        </w:rPr>
        <w:t xml:space="preserve"> miliardë </w:t>
      </w:r>
      <w:r w:rsidRPr="00E97254">
        <w:rPr>
          <w:rFonts w:ascii="Calibri" w:hAnsi="Calibri" w:cs="Calibri"/>
        </w:rPr>
        <w:t>lekë</w:t>
      </w:r>
      <w:r w:rsidR="007D0294" w:rsidRPr="00E97254">
        <w:rPr>
          <w:rFonts w:ascii="Calibri" w:hAnsi="Calibri" w:cs="Calibri"/>
        </w:rPr>
        <w:t xml:space="preserve"> (~ 53 m</w:t>
      </w:r>
      <w:r w:rsidR="001C6C98">
        <w:rPr>
          <w:rFonts w:ascii="Calibri" w:hAnsi="Calibri" w:cs="Calibri"/>
        </w:rPr>
        <w:t>i</w:t>
      </w:r>
      <w:r w:rsidR="007D0294" w:rsidRPr="00E97254">
        <w:rPr>
          <w:rFonts w:ascii="Calibri" w:hAnsi="Calibri" w:cs="Calibri"/>
        </w:rPr>
        <w:t>l</w:t>
      </w:r>
      <w:r w:rsidR="001C6C98">
        <w:rPr>
          <w:rFonts w:ascii="Calibri" w:hAnsi="Calibri" w:cs="Calibri"/>
        </w:rPr>
        <w:t>io</w:t>
      </w:r>
      <w:r w:rsidR="007D0294" w:rsidRPr="00E97254">
        <w:rPr>
          <w:rFonts w:ascii="Calibri" w:hAnsi="Calibri" w:cs="Calibri"/>
        </w:rPr>
        <w:t>n</w:t>
      </w:r>
      <w:r w:rsidR="00FA5606" w:rsidRPr="00FA5606">
        <w:rPr>
          <w:rFonts w:cstheme="minorHAnsi"/>
        </w:rPr>
        <w:t>ë</w:t>
      </w:r>
      <w:r w:rsidR="007D0294" w:rsidRPr="00E97254">
        <w:rPr>
          <w:rFonts w:ascii="Calibri" w:hAnsi="Calibri" w:cs="Calibri"/>
        </w:rPr>
        <w:t xml:space="preserve">. EUR) </w:t>
      </w:r>
      <w:sdt>
        <w:sdtPr>
          <w:rPr>
            <w:rFonts w:ascii="Calibri" w:hAnsi="Calibri" w:cs="Calibri"/>
          </w:rPr>
          <w:id w:val="-1892482720"/>
          <w:citation/>
        </w:sdtPr>
        <w:sdtEndPr/>
        <w:sdtContent>
          <w:r w:rsidR="00EC56B7" w:rsidRPr="00E97254">
            <w:rPr>
              <w:rFonts w:ascii="Calibri" w:hAnsi="Calibri" w:cs="Calibri"/>
            </w:rPr>
            <w:fldChar w:fldCharType="begin"/>
          </w:r>
          <w:r w:rsidR="004E1F53">
            <w:rPr>
              <w:rFonts w:ascii="Calibri" w:hAnsi="Calibri" w:cs="Calibri"/>
            </w:rPr>
            <w:instrText xml:space="preserve"> CITATION MAS194 \l 1033 </w:instrText>
          </w:r>
          <w:r w:rsidR="00EC56B7" w:rsidRPr="00E97254">
            <w:rPr>
              <w:rFonts w:ascii="Calibri" w:hAnsi="Calibri" w:cs="Calibri"/>
            </w:rPr>
            <w:fldChar w:fldCharType="separate"/>
          </w:r>
          <w:r w:rsidR="00724BCC" w:rsidRPr="00E97254">
            <w:rPr>
              <w:rFonts w:ascii="Calibri" w:hAnsi="Calibri" w:cs="Calibri"/>
            </w:rPr>
            <w:t>[50]</w:t>
          </w:r>
          <w:r w:rsidR="00EC56B7" w:rsidRPr="00E97254">
            <w:rPr>
              <w:rFonts w:ascii="Calibri" w:hAnsi="Calibri" w:cs="Calibri"/>
            </w:rPr>
            <w:fldChar w:fldCharType="end"/>
          </w:r>
        </w:sdtContent>
      </w:sdt>
      <w:sdt>
        <w:sdtPr>
          <w:rPr>
            <w:rFonts w:ascii="Calibri" w:hAnsi="Calibri" w:cs="Calibri"/>
          </w:rPr>
          <w:id w:val="401497752"/>
          <w:citation/>
        </w:sdtPr>
        <w:sdtEndPr/>
        <w:sdtContent>
          <w:r w:rsidR="00EC56B7" w:rsidRPr="00E97254">
            <w:rPr>
              <w:rFonts w:ascii="Calibri" w:hAnsi="Calibri" w:cs="Calibri"/>
            </w:rPr>
            <w:fldChar w:fldCharType="begin"/>
          </w:r>
          <w:r w:rsidR="004E1F53">
            <w:rPr>
              <w:rFonts w:ascii="Calibri" w:hAnsi="Calibri" w:cs="Calibri"/>
            </w:rPr>
            <w:instrText xml:space="preserve"> CITATION MAS20 \l 1033 </w:instrText>
          </w:r>
          <w:r w:rsidR="00EC56B7" w:rsidRPr="00E97254">
            <w:rPr>
              <w:rFonts w:ascii="Calibri" w:hAnsi="Calibri" w:cs="Calibri"/>
            </w:rPr>
            <w:fldChar w:fldCharType="separate"/>
          </w:r>
          <w:r w:rsidR="00724BCC" w:rsidRPr="00E97254">
            <w:rPr>
              <w:rFonts w:ascii="Calibri" w:hAnsi="Calibri" w:cs="Calibri"/>
            </w:rPr>
            <w:t xml:space="preserve"> [51]</w:t>
          </w:r>
          <w:r w:rsidR="00EC56B7" w:rsidRPr="00E97254">
            <w:rPr>
              <w:rFonts w:ascii="Calibri" w:hAnsi="Calibri" w:cs="Calibri"/>
            </w:rPr>
            <w:fldChar w:fldCharType="end"/>
          </w:r>
        </w:sdtContent>
      </w:sdt>
      <w:r w:rsidRPr="00E97254">
        <w:rPr>
          <w:rFonts w:ascii="Calibri" w:hAnsi="Calibri" w:cs="Calibri"/>
        </w:rPr>
        <w:t xml:space="preserve">. Tërmeti i 26 nëntorit të vitit 2019 ka shkaktuar dëme të konsiderueshme në infrastrukturën shkollore. </w:t>
      </w:r>
      <w:r w:rsidR="0085265D" w:rsidRPr="00E97254">
        <w:rPr>
          <w:rFonts w:ascii="Calibri" w:hAnsi="Calibri" w:cs="Calibri"/>
        </w:rPr>
        <w:t xml:space="preserve">Sipas të dhënave në dispozicion, 321 institucione arsimore të </w:t>
      </w:r>
      <w:r w:rsidR="00F255B8" w:rsidRPr="00E97254">
        <w:rPr>
          <w:rFonts w:ascii="Calibri" w:hAnsi="Calibri" w:cs="Calibri"/>
        </w:rPr>
        <w:t xml:space="preserve">llojeve </w:t>
      </w:r>
      <w:r w:rsidR="0085265D" w:rsidRPr="00E97254">
        <w:rPr>
          <w:rFonts w:ascii="Calibri" w:hAnsi="Calibri" w:cs="Calibri"/>
        </w:rPr>
        <w:t>të ndryshme nga 11 bashki</w:t>
      </w:r>
      <w:r w:rsidR="002B257B" w:rsidRPr="00E97254">
        <w:rPr>
          <w:rFonts w:ascii="Calibri" w:hAnsi="Calibri" w:cs="Calibri"/>
        </w:rPr>
        <w:t xml:space="preserve"> </w:t>
      </w:r>
      <w:r w:rsidR="0085265D" w:rsidRPr="00E97254">
        <w:rPr>
          <w:rFonts w:ascii="Calibri" w:hAnsi="Calibri" w:cs="Calibri"/>
        </w:rPr>
        <w:t xml:space="preserve">janë prekur nga tërmeti, prej të cilave 76 janë të papërdorshme dhe duhet të </w:t>
      </w:r>
      <w:r w:rsidR="002C6E6B" w:rsidRPr="00E97254">
        <w:rPr>
          <w:rFonts w:ascii="Calibri" w:hAnsi="Calibri" w:cs="Calibri"/>
        </w:rPr>
        <w:t>rrënohen</w:t>
      </w:r>
      <w:r w:rsidR="0085265D" w:rsidRPr="00E97254">
        <w:rPr>
          <w:rFonts w:ascii="Calibri" w:hAnsi="Calibri" w:cs="Calibri"/>
        </w:rPr>
        <w:t xml:space="preserve">, 75 pjesërisht të papërdorshme, por mund të riparohen, ndërsa 170 kanë pësuar dëmtime të lehta </w:t>
      </w:r>
      <w:sdt>
        <w:sdtPr>
          <w:rPr>
            <w:rFonts w:ascii="Calibri" w:hAnsi="Calibri" w:cs="Calibri"/>
          </w:rPr>
          <w:id w:val="-1850706467"/>
          <w:citation/>
        </w:sdtPr>
        <w:sdtEndPr/>
        <w:sdtContent>
          <w:r w:rsidR="00EC56B7" w:rsidRPr="00E97254">
            <w:rPr>
              <w:rFonts w:ascii="Calibri" w:hAnsi="Calibri" w:cs="Calibri"/>
            </w:rPr>
            <w:fldChar w:fldCharType="begin"/>
          </w:r>
          <w:r w:rsidR="004E1F53">
            <w:rPr>
              <w:rFonts w:ascii="Calibri" w:hAnsi="Calibri" w:cs="Calibri"/>
            </w:rPr>
            <w:instrText xml:space="preserve"> CITATION Alb20 \l 1033 </w:instrText>
          </w:r>
          <w:r w:rsidR="00EC56B7" w:rsidRPr="00E97254">
            <w:rPr>
              <w:rFonts w:ascii="Calibri" w:hAnsi="Calibri" w:cs="Calibri"/>
            </w:rPr>
            <w:fldChar w:fldCharType="separate"/>
          </w:r>
          <w:r w:rsidR="00724BCC" w:rsidRPr="00E97254">
            <w:rPr>
              <w:rFonts w:ascii="Calibri" w:hAnsi="Calibri" w:cs="Calibri"/>
            </w:rPr>
            <w:t>[52]</w:t>
          </w:r>
          <w:r w:rsidR="00EC56B7" w:rsidRPr="00E97254">
            <w:rPr>
              <w:rFonts w:ascii="Calibri" w:hAnsi="Calibri" w:cs="Calibri"/>
            </w:rPr>
            <w:fldChar w:fldCharType="end"/>
          </w:r>
        </w:sdtContent>
      </w:sdt>
      <w:r w:rsidR="0085265D" w:rsidRPr="00E97254">
        <w:rPr>
          <w:rFonts w:ascii="Calibri" w:hAnsi="Calibri" w:cs="Calibri"/>
        </w:rPr>
        <w:t xml:space="preserve">. Përveç infrastrukturës, janë dëmtuar edhe asetet fizike, përfshirë </w:t>
      </w:r>
      <w:r w:rsidR="00A445DC" w:rsidRPr="00E97254">
        <w:rPr>
          <w:rFonts w:cs="Calibri"/>
        </w:rPr>
        <w:t>mobil</w:t>
      </w:r>
      <w:r w:rsidR="001C6C98">
        <w:rPr>
          <w:rFonts w:cs="Calibri"/>
        </w:rPr>
        <w:t>j</w:t>
      </w:r>
      <w:r w:rsidR="00A445DC" w:rsidRPr="00E97254">
        <w:rPr>
          <w:rFonts w:cs="Calibri"/>
        </w:rPr>
        <w:t>et</w:t>
      </w:r>
      <w:r w:rsidR="0085265D" w:rsidRPr="00E97254">
        <w:rPr>
          <w:rFonts w:ascii="Calibri" w:hAnsi="Calibri" w:cs="Calibri"/>
        </w:rPr>
        <w:t xml:space="preserve">, laboratorët, bibliotekat, etj. </w:t>
      </w:r>
      <w:r w:rsidR="005A6A17" w:rsidRPr="00E97254">
        <w:rPr>
          <w:rFonts w:ascii="Calibri" w:hAnsi="Calibri" w:cs="Calibri"/>
        </w:rPr>
        <w:t xml:space="preserve">Dëmet më të mëdha janë shkaktuar në bashkitë </w:t>
      </w:r>
      <w:r w:rsidR="005F4940" w:rsidRPr="00E97254">
        <w:rPr>
          <w:rFonts w:ascii="Calibri" w:hAnsi="Calibri" w:cs="Calibri"/>
        </w:rPr>
        <w:t>Tiranë dhe Durrës ku janë preku</w:t>
      </w:r>
      <w:r w:rsidR="005A6A17" w:rsidRPr="00E97254">
        <w:rPr>
          <w:rFonts w:ascii="Calibri" w:hAnsi="Calibri" w:cs="Calibri"/>
        </w:rPr>
        <w:t xml:space="preserve">r </w:t>
      </w:r>
      <w:r w:rsidR="002A3903" w:rsidRPr="00E97254">
        <w:rPr>
          <w:rFonts w:ascii="Calibri" w:hAnsi="Calibri" w:cs="Calibri"/>
        </w:rPr>
        <w:t xml:space="preserve">respektivisht </w:t>
      </w:r>
      <w:r w:rsidR="005A6A17" w:rsidRPr="00E97254">
        <w:rPr>
          <w:rFonts w:ascii="Calibri" w:hAnsi="Calibri" w:cs="Calibri"/>
        </w:rPr>
        <w:t>55%</w:t>
      </w:r>
      <w:r w:rsidR="002A3903" w:rsidRPr="00E97254">
        <w:rPr>
          <w:rFonts w:ascii="Calibri" w:hAnsi="Calibri" w:cs="Calibri"/>
        </w:rPr>
        <w:t xml:space="preserve"> dhe</w:t>
      </w:r>
      <w:r w:rsidR="005A6A17" w:rsidRPr="00E97254">
        <w:rPr>
          <w:rFonts w:ascii="Calibri" w:hAnsi="Calibri" w:cs="Calibri"/>
        </w:rPr>
        <w:t xml:space="preserve"> 21% e godinave shkollore.</w:t>
      </w:r>
      <w:r w:rsidR="002B257B" w:rsidRPr="00E97254">
        <w:rPr>
          <w:rFonts w:ascii="Calibri" w:hAnsi="Calibri" w:cs="Calibri"/>
        </w:rPr>
        <w:t xml:space="preserve"> </w:t>
      </w:r>
      <w:r w:rsidR="005A6A17" w:rsidRPr="00E97254">
        <w:rPr>
          <w:rFonts w:ascii="Calibri" w:hAnsi="Calibri" w:cs="Calibri"/>
        </w:rPr>
        <w:t xml:space="preserve">Vlerësohet se buxheti i </w:t>
      </w:r>
      <w:r w:rsidR="005A6A17" w:rsidRPr="00E97254">
        <w:t>nevojshëm</w:t>
      </w:r>
      <w:r w:rsidR="0079581B" w:rsidRPr="00E97254">
        <w:t xml:space="preserve"> </w:t>
      </w:r>
      <w:r w:rsidR="008C75B4" w:rsidRPr="00E97254">
        <w:t>p</w:t>
      </w:r>
      <w:r w:rsidR="008C75B4" w:rsidRPr="00E97254">
        <w:rPr>
          <w:rFonts w:cs="Calibri"/>
          <w:color w:val="222222"/>
        </w:rPr>
        <w:t xml:space="preserve">ër </w:t>
      </w:r>
      <w:r w:rsidR="005A6A17" w:rsidRPr="00E97254">
        <w:rPr>
          <w:rFonts w:ascii="Calibri" w:hAnsi="Calibri" w:cs="Calibri"/>
        </w:rPr>
        <w:t>rindërtimin dhe riparimin e infrastrukturës shkollore të dë</w:t>
      </w:r>
      <w:r w:rsidR="004E1F53">
        <w:rPr>
          <w:rFonts w:ascii="Calibri" w:hAnsi="Calibri" w:cs="Calibri"/>
        </w:rPr>
        <w:t>mtuar nga tërmeti kap shumën prej 94.83 mil. EUR, prej të cilave 54 mil. EUR duhe</w:t>
      </w:r>
      <w:r w:rsidR="001C6C98">
        <w:rPr>
          <w:rFonts w:ascii="Calibri" w:hAnsi="Calibri" w:cs="Calibri"/>
        </w:rPr>
        <w:t>n</w:t>
      </w:r>
      <w:r w:rsidR="001C6C98" w:rsidRPr="00E97254">
        <w:rPr>
          <w:rFonts w:ascii="Calibri" w:hAnsi="Calibri" w:cs="Calibri"/>
        </w:rPr>
        <w:t xml:space="preserve"> </w:t>
      </w:r>
      <w:r w:rsidR="005A6A17" w:rsidRPr="00E97254">
        <w:rPr>
          <w:rFonts w:ascii="Calibri" w:hAnsi="Calibri" w:cs="Calibri"/>
        </w:rPr>
        <w:t xml:space="preserve">investuar në vitin 2020, ndërsa 39 mil. EUR në vitet 2021 dhe 2022 </w:t>
      </w:r>
      <w:sdt>
        <w:sdtPr>
          <w:rPr>
            <w:rFonts w:ascii="Calibri" w:hAnsi="Calibri" w:cs="Calibri"/>
          </w:rPr>
          <w:id w:val="675233292"/>
          <w:citation/>
        </w:sdtPr>
        <w:sdtEndPr/>
        <w:sdtContent>
          <w:r w:rsidR="00EC56B7" w:rsidRPr="00E97254">
            <w:rPr>
              <w:rFonts w:ascii="Calibri" w:hAnsi="Calibri" w:cs="Calibri"/>
            </w:rPr>
            <w:fldChar w:fldCharType="begin"/>
          </w:r>
          <w:r w:rsidR="004E1F53">
            <w:rPr>
              <w:rFonts w:ascii="Calibri" w:hAnsi="Calibri" w:cs="Calibri"/>
            </w:rPr>
            <w:instrText xml:space="preserve"> CITATION Alb20 \l 1033 </w:instrText>
          </w:r>
          <w:r w:rsidR="00EC56B7" w:rsidRPr="00E97254">
            <w:rPr>
              <w:rFonts w:ascii="Calibri" w:hAnsi="Calibri" w:cs="Calibri"/>
            </w:rPr>
            <w:fldChar w:fldCharType="separate"/>
          </w:r>
          <w:r w:rsidR="00724BCC" w:rsidRPr="00E97254">
            <w:rPr>
              <w:rFonts w:ascii="Calibri" w:hAnsi="Calibri" w:cs="Calibri"/>
            </w:rPr>
            <w:t>[52]</w:t>
          </w:r>
          <w:r w:rsidR="00EC56B7" w:rsidRPr="00E97254">
            <w:rPr>
              <w:rFonts w:ascii="Calibri" w:hAnsi="Calibri" w:cs="Calibri"/>
            </w:rPr>
            <w:fldChar w:fldCharType="end"/>
          </w:r>
        </w:sdtContent>
      </w:sdt>
      <w:r w:rsidR="005A6A17" w:rsidRPr="00E97254">
        <w:rPr>
          <w:rFonts w:ascii="Calibri" w:hAnsi="Calibri" w:cs="Calibri"/>
        </w:rPr>
        <w:t xml:space="preserve">. </w:t>
      </w:r>
      <w:r w:rsidR="007479EF" w:rsidRPr="00E97254">
        <w:rPr>
          <w:rFonts w:ascii="Calibri" w:hAnsi="Calibri" w:cs="Calibri"/>
        </w:rPr>
        <w:t>MASR</w:t>
      </w:r>
      <w:r w:rsidR="0013737E">
        <w:rPr>
          <w:rFonts w:ascii="Calibri" w:hAnsi="Calibri" w:cs="Calibri"/>
        </w:rPr>
        <w:t>-ja</w:t>
      </w:r>
      <w:r w:rsidR="007479EF" w:rsidRPr="00E97254">
        <w:rPr>
          <w:rFonts w:ascii="Calibri" w:hAnsi="Calibri" w:cs="Calibri"/>
        </w:rPr>
        <w:t xml:space="preserve"> tanimë ka aprovuar standardet për projektimin e shkollave dhe kopshteve, të cilat shërbejnë si referencë për të gjithë ata që janë të përfshirë në procesin e planifikimit, programimit, projektimit/dizajnit dhe ndërtimit të </w:t>
      </w:r>
      <w:r w:rsidR="00AE6DAD" w:rsidRPr="00E97254">
        <w:rPr>
          <w:rFonts w:ascii="Calibri" w:hAnsi="Calibri" w:cs="Calibri"/>
        </w:rPr>
        <w:t>godinave</w:t>
      </w:r>
      <w:r w:rsidR="007479EF" w:rsidRPr="00E97254">
        <w:rPr>
          <w:rFonts w:ascii="Calibri" w:hAnsi="Calibri" w:cs="Calibri"/>
        </w:rPr>
        <w:t>/</w:t>
      </w:r>
      <w:r w:rsidR="007479EF" w:rsidRPr="00E97254">
        <w:t>hapësirave</w:t>
      </w:r>
      <w:r w:rsidR="0079581B" w:rsidRPr="00E97254">
        <w:t xml:space="preserve"> </w:t>
      </w:r>
      <w:r w:rsidR="007479EF" w:rsidRPr="00E97254">
        <w:t>të</w:t>
      </w:r>
      <w:r w:rsidR="007479EF" w:rsidRPr="00E97254">
        <w:rPr>
          <w:rFonts w:ascii="Calibri" w:hAnsi="Calibri" w:cs="Calibri"/>
        </w:rPr>
        <w:t xml:space="preserve"> reja të shkollave apo në rehabilitimin e </w:t>
      </w:r>
      <w:r w:rsidR="004E1F53">
        <w:rPr>
          <w:rFonts w:ascii="Calibri" w:hAnsi="Calibri" w:cs="Calibri"/>
        </w:rPr>
        <w:t xml:space="preserve">godinave ekzistuese. Megjithatë, një sfidë për investime në infrastrukturë mund të jenë shkurtimet buxhetore për sektorin e arsimit të imponuara nga tkurrja e pritshme ekonomike si pasojë e gjendjes së krijuar nga pandemia COVID-19 dhe dëmet e shkaktuara nga tërmeti i vitit 2019. </w:t>
      </w:r>
    </w:p>
    <w:p w:rsidR="0083674C" w:rsidRPr="00E97254" w:rsidRDefault="004E1F53" w:rsidP="000C0250">
      <w:pPr>
        <w:spacing w:after="0"/>
        <w:jc w:val="both"/>
        <w:rPr>
          <w:rFonts w:ascii="Calibri" w:hAnsi="Calibri" w:cs="Calibri"/>
        </w:rPr>
      </w:pPr>
      <w:r>
        <w:rPr>
          <w:rFonts w:ascii="Calibri" w:hAnsi="Calibri" w:cs="Calibri"/>
        </w:rPr>
        <w:t>Sipas një raporti të UNESCO</w:t>
      </w:r>
      <w:r w:rsidR="0013737E">
        <w:rPr>
          <w:rFonts w:ascii="Calibri" w:hAnsi="Calibri" w:cs="Calibri"/>
        </w:rPr>
        <w:t>-s</w:t>
      </w:r>
      <w:r w:rsidR="00681110" w:rsidRPr="00E97254">
        <w:rPr>
          <w:rFonts w:ascii="Calibri" w:hAnsi="Calibri" w:cs="Calibri"/>
        </w:rPr>
        <w:t xml:space="preserve">, </w:t>
      </w:r>
      <w:r w:rsidR="001B2837" w:rsidRPr="00E97254">
        <w:rPr>
          <w:rFonts w:ascii="Calibri" w:hAnsi="Calibri" w:cs="Calibri"/>
        </w:rPr>
        <w:t>rreth</w:t>
      </w:r>
      <w:r>
        <w:rPr>
          <w:rFonts w:ascii="Calibri" w:hAnsi="Calibri" w:cs="Calibri"/>
        </w:rPr>
        <w:t xml:space="preserve"> 20% e nxënësve (22.6% meshkuj dhe 17.3% femra) shqiptarë të moshës 9-15 vjeç kanë qenë viktima të </w:t>
      </w:r>
      <w:r>
        <w:rPr>
          <w:rFonts w:ascii="Calibri" w:hAnsi="Calibri" w:cs="Calibri"/>
          <w:b/>
        </w:rPr>
        <w:t>bullizmit në shkolla</w:t>
      </w:r>
      <w:r>
        <w:rPr>
          <w:rFonts w:ascii="Calibri" w:hAnsi="Calibri" w:cs="Calibri"/>
        </w:rPr>
        <w:t xml:space="preserve">, që është nën nivelin global prej 32% dhe atë </w:t>
      </w:r>
      <w:r>
        <w:rPr>
          <w:rFonts w:cs="Calibri"/>
        </w:rPr>
        <w:t>evropian</w:t>
      </w:r>
      <w:r>
        <w:rPr>
          <w:rFonts w:ascii="Calibri" w:hAnsi="Calibri" w:cs="Calibri"/>
        </w:rPr>
        <w:t xml:space="preserve"> prej 25% </w:t>
      </w:r>
      <w:sdt>
        <w:sdtPr>
          <w:rPr>
            <w:rFonts w:ascii="Calibri" w:hAnsi="Calibri" w:cs="Calibri"/>
          </w:rPr>
          <w:id w:val="-924878389"/>
          <w:citation/>
        </w:sdtPr>
        <w:sdtEndPr/>
        <w:sdtContent>
          <w:r w:rsidR="00EC56B7" w:rsidRPr="00E97254">
            <w:rPr>
              <w:rFonts w:ascii="Calibri" w:hAnsi="Calibri" w:cs="Calibri"/>
            </w:rPr>
            <w:fldChar w:fldCharType="begin"/>
          </w:r>
          <w:r>
            <w:rPr>
              <w:rFonts w:ascii="Calibri" w:hAnsi="Calibri" w:cs="Calibri"/>
            </w:rPr>
            <w:instrText xml:space="preserve"> CITATION UNE19 \l 1033 </w:instrText>
          </w:r>
          <w:r w:rsidR="00EC56B7" w:rsidRPr="00E97254">
            <w:rPr>
              <w:rFonts w:ascii="Calibri" w:hAnsi="Calibri" w:cs="Calibri"/>
            </w:rPr>
            <w:fldChar w:fldCharType="separate"/>
          </w:r>
          <w:r w:rsidR="00724BCC" w:rsidRPr="00E97254">
            <w:rPr>
              <w:rFonts w:ascii="Calibri" w:hAnsi="Calibri" w:cs="Calibri"/>
            </w:rPr>
            <w:t>[53]</w:t>
          </w:r>
          <w:r w:rsidR="00EC56B7" w:rsidRPr="00E97254">
            <w:rPr>
              <w:rFonts w:ascii="Calibri" w:hAnsi="Calibri" w:cs="Calibri"/>
            </w:rPr>
            <w:fldChar w:fldCharType="end"/>
          </w:r>
        </w:sdtContent>
      </w:sdt>
      <w:r w:rsidR="00681110" w:rsidRPr="00E97254">
        <w:rPr>
          <w:rFonts w:ascii="Calibri" w:hAnsi="Calibri" w:cs="Calibri"/>
        </w:rPr>
        <w:t>.</w:t>
      </w:r>
      <w:r w:rsidR="00746073" w:rsidRPr="00E97254">
        <w:rPr>
          <w:rFonts w:ascii="Calibri" w:hAnsi="Calibri" w:cs="Calibri"/>
        </w:rPr>
        <w:t xml:space="preserve"> Rezultate të ngjashme për shpeshtësinë e bullizmit në shkolla </w:t>
      </w:r>
      <w:r w:rsidR="008C75B4" w:rsidRPr="00E97254">
        <w:rPr>
          <w:rFonts w:cs="Calibri"/>
        </w:rPr>
        <w:t>sjell</w:t>
      </w:r>
      <w:r w:rsidR="00746073" w:rsidRPr="00E97254">
        <w:rPr>
          <w:rFonts w:ascii="Calibri" w:hAnsi="Calibri" w:cs="Calibri"/>
        </w:rPr>
        <w:t xml:space="preserve"> edhe një studim i mëhershëm i sponsorizuar nga Këshilli i </w:t>
      </w:r>
      <w:r w:rsidR="00592690" w:rsidRPr="00E97254">
        <w:rPr>
          <w:rFonts w:ascii="Calibri" w:hAnsi="Calibri" w:cs="Calibri"/>
        </w:rPr>
        <w:t>Ev</w:t>
      </w:r>
      <w:r w:rsidR="00746073" w:rsidRPr="00E97254">
        <w:rPr>
          <w:rFonts w:ascii="Calibri" w:hAnsi="Calibri" w:cs="Calibri"/>
        </w:rPr>
        <w:t xml:space="preserve">ropës </w:t>
      </w:r>
      <w:r w:rsidR="00EC56B7" w:rsidRPr="00E97254">
        <w:rPr>
          <w:rFonts w:ascii="Calibri" w:hAnsi="Calibri" w:cs="Calibri"/>
        </w:rPr>
        <w:fldChar w:fldCharType="begin"/>
      </w:r>
      <w:r>
        <w:rPr>
          <w:rFonts w:ascii="Calibri" w:hAnsi="Calibri" w:cs="Calibri"/>
        </w:rPr>
        <w:instrText xml:space="preserve"> CITATION Dra17 \l 1033 </w:instrText>
      </w:r>
      <w:r w:rsidR="00EC56B7" w:rsidRPr="00E97254">
        <w:rPr>
          <w:rFonts w:ascii="Calibri" w:hAnsi="Calibri" w:cs="Calibri"/>
        </w:rPr>
        <w:fldChar w:fldCharType="separate"/>
      </w:r>
      <w:r w:rsidR="00724BCC" w:rsidRPr="00E97254">
        <w:rPr>
          <w:rFonts w:ascii="Calibri" w:hAnsi="Calibri" w:cs="Calibri"/>
        </w:rPr>
        <w:t xml:space="preserve"> [54]</w:t>
      </w:r>
      <w:r w:rsidR="00EC56B7" w:rsidRPr="00E97254">
        <w:rPr>
          <w:rFonts w:ascii="Calibri" w:hAnsi="Calibri" w:cs="Calibri"/>
        </w:rPr>
        <w:fldChar w:fldCharType="end"/>
      </w:r>
      <w:r w:rsidR="00AE6DAD" w:rsidRPr="00E97254">
        <w:rPr>
          <w:rFonts w:ascii="Calibri" w:hAnsi="Calibri" w:cs="Calibri"/>
        </w:rPr>
        <w:t xml:space="preserve">. </w:t>
      </w:r>
      <w:r w:rsidR="00746073" w:rsidRPr="00E97254">
        <w:rPr>
          <w:rFonts w:ascii="Calibri" w:hAnsi="Calibri" w:cs="Calibri"/>
        </w:rPr>
        <w:t>Kjo bën që bullizmi të shihet si problem që duhet trajtuar brenda sistemit arsimor shqiptar dhe më gjerë, duke pasur parasysh të gjitha format e këtij fenomeni, si: bullizmi fizik, verbal, social, seksual e kibernetik.</w:t>
      </w:r>
      <w:r>
        <w:rPr>
          <w:rFonts w:ascii="Calibri" w:hAnsi="Calibri" w:cs="Calibri"/>
        </w:rPr>
        <w:t xml:space="preserve"> Sipas studimit ekziston një lidhje e fortë </w:t>
      </w:r>
      <w:r>
        <w:rPr>
          <w:rFonts w:ascii="Calibri" w:hAnsi="Calibri" w:cs="Calibri"/>
        </w:rPr>
        <w:lastRenderedPageBreak/>
        <w:t xml:space="preserve">midis përfshirjes gjinore dhe bullizmit, pasi shohim se djemtë janë më të përfshirë në fenomenin e bullizmit se vajzat. </w:t>
      </w:r>
      <w:r>
        <w:rPr>
          <w:rFonts w:cstheme="minorHAnsi"/>
          <w:color w:val="000000"/>
        </w:rPr>
        <w:t xml:space="preserve">Djemtë pranojnë që janë më shumë agresorë (68%) sesa viktima (52%) ndërsa vajzat pranojnë që janë më shumë viktima (48%) sesa agresore (32%). </w:t>
      </w:r>
      <w:r>
        <w:rPr>
          <w:rFonts w:ascii="Calibri" w:hAnsi="Calibri" w:cs="Calibri"/>
        </w:rPr>
        <w:t>Studimi tregon se Shqipëria nuk po përballet me një kërcënim të dukshëm të ekstremizmit të dhunshëm për shkak të nivelit të lartë të tolerancës fetare dhe gatishmërisë së popullatës për stabilitet shoqëror, edhe pse 140-150 shqiptarë janë përfshirë në luftërat në Siri dhe Irak. Vlerësohet se këta individë vijnë nga zonat më të varfra rurale, të cilat janë, gjithashtu, më të pazhvilluarat dhe më të izoluarat. Studimi konsideron se bullizmi mund të nxisë përjashtimin social dhe margjinalizimin, dhe si i tillë, mund të krijojë një terren të mundshëm për ekstremizmin e dhunshëm.</w:t>
      </w:r>
    </w:p>
    <w:p w:rsidR="005208EE" w:rsidRPr="00E97254" w:rsidRDefault="004E1F53" w:rsidP="000C0250">
      <w:pPr>
        <w:spacing w:after="0"/>
        <w:jc w:val="both"/>
        <w:rPr>
          <w:rFonts w:ascii="Calibri" w:hAnsi="Calibri" w:cs="Calibri"/>
        </w:rPr>
      </w:pPr>
      <w:r>
        <w:rPr>
          <w:rFonts w:ascii="Calibri" w:hAnsi="Calibri" w:cs="Calibri"/>
          <w:color w:val="000000" w:themeColor="text1"/>
        </w:rPr>
        <w:t xml:space="preserve">Nga viti në vit, është rritur numri i fëmijëve që kanë përfituar nga </w:t>
      </w:r>
      <w:r>
        <w:rPr>
          <w:rFonts w:ascii="Calibri" w:hAnsi="Calibri" w:cs="Calibri"/>
          <w:b/>
          <w:color w:val="000000" w:themeColor="text1"/>
        </w:rPr>
        <w:t>programi i teksteve shkollore falas</w:t>
      </w:r>
      <w:r>
        <w:rPr>
          <w:rFonts w:ascii="Calibri" w:hAnsi="Calibri" w:cs="Calibri"/>
          <w:color w:val="000000" w:themeColor="text1"/>
        </w:rPr>
        <w:t>. Nxënësve, që ndjekin arsimin bazë në institucionet arsimore publike në klasën e parë marrin tekste shkollore falas, ndërsa nga klasa e dytë deri në klasën e shtatë, u jepen tekstet shkollore në përdorim falas. Sipas vendimit  nr</w:t>
      </w:r>
      <w:r w:rsidR="0013737E">
        <w:rPr>
          <w:rFonts w:ascii="Calibri" w:hAnsi="Calibri" w:cs="Calibri"/>
          <w:color w:val="000000" w:themeColor="text1"/>
        </w:rPr>
        <w:t>.</w:t>
      </w:r>
      <w:r w:rsidR="007473F9" w:rsidRPr="00E97254">
        <w:rPr>
          <w:rFonts w:ascii="Calibri" w:hAnsi="Calibri" w:cs="Calibri"/>
          <w:color w:val="000000" w:themeColor="text1"/>
        </w:rPr>
        <w:t xml:space="preserve"> 486, datë 17.06.2020</w:t>
      </w:r>
      <w:r w:rsidR="00D17529" w:rsidRPr="00E97254">
        <w:rPr>
          <w:rFonts w:ascii="Calibri" w:hAnsi="Calibri" w:cs="Calibri"/>
          <w:color w:val="000000" w:themeColor="text1"/>
        </w:rPr>
        <w:t xml:space="preserve">, të Këshillit të Ministrave, “Për shtypjen, botimin, </w:t>
      </w:r>
      <w:r>
        <w:rPr>
          <w:rFonts w:ascii="Calibri" w:hAnsi="Calibri" w:cs="Calibri"/>
          <w:color w:val="000000" w:themeColor="text1"/>
        </w:rPr>
        <w:t xml:space="preserve">shpërndarjen dhe shitjen e teksteve shkollore të sistemit të arsimit parauniversitar”,  janë edhe 18 kategori që përfitojnë tekstet shkollore falas, si: nxënësit që në arsimin parauniversitar </w:t>
      </w:r>
      <w:r w:rsidR="0013737E">
        <w:rPr>
          <w:rFonts w:ascii="Calibri" w:hAnsi="Calibri" w:cs="Calibri"/>
          <w:color w:val="000000" w:themeColor="text1"/>
        </w:rPr>
        <w:t>i</w:t>
      </w:r>
      <w:r w:rsidR="007473F9" w:rsidRPr="00E97254">
        <w:rPr>
          <w:rFonts w:ascii="Calibri" w:hAnsi="Calibri" w:cs="Calibri"/>
          <w:color w:val="000000" w:themeColor="text1"/>
        </w:rPr>
        <w:t xml:space="preserve"> përkasin kategorisë së pakicave kombëtare, ata që kanë përfit</w:t>
      </w:r>
      <w:r>
        <w:rPr>
          <w:rFonts w:ascii="Calibri" w:hAnsi="Calibri" w:cs="Calibri"/>
          <w:color w:val="000000" w:themeColor="text1"/>
        </w:rPr>
        <w:t xml:space="preserve">uar statusin e jetimit, nxënësit që vijnë nga familje të cilat trajtohen me </w:t>
      </w:r>
      <w:r>
        <w:rPr>
          <w:rFonts w:ascii="Calibri" w:hAnsi="Calibri" w:cs="Calibri"/>
        </w:rPr>
        <w:t xml:space="preserve">ndihmë ekonomike dhe pagesë papunësie nga zyrat e punësimit, nxënësit me aftësi të kufizuara sipas ligjit </w:t>
      </w:r>
      <w:r>
        <w:t>nr. 57/2019, “Për asistencën sociale në Republikën e Shqipërisë”</w:t>
      </w:r>
      <w:r>
        <w:rPr>
          <w:rFonts w:ascii="Calibri" w:hAnsi="Calibri" w:cs="Calibri"/>
        </w:rPr>
        <w:t>, nxënës</w:t>
      </w:r>
      <w:r w:rsidR="0013737E">
        <w:rPr>
          <w:rFonts w:ascii="Calibri" w:hAnsi="Calibri" w:cs="Calibri"/>
        </w:rPr>
        <w:t>it</w:t>
      </w:r>
      <w:r w:rsidR="007473F9" w:rsidRPr="00E97254">
        <w:rPr>
          <w:rFonts w:ascii="Calibri" w:hAnsi="Calibri" w:cs="Calibri"/>
        </w:rPr>
        <w:t xml:space="preserve"> që janë shtruar në Shërbimin Onkologjik, nxënës</w:t>
      </w:r>
      <w:r w:rsidR="0013737E">
        <w:rPr>
          <w:rFonts w:ascii="Calibri" w:hAnsi="Calibri" w:cs="Calibri"/>
        </w:rPr>
        <w:t>it</w:t>
      </w:r>
      <w:r w:rsidR="007473F9" w:rsidRPr="00E97254">
        <w:rPr>
          <w:rFonts w:ascii="Calibri" w:hAnsi="Calibri" w:cs="Calibri"/>
        </w:rPr>
        <w:t xml:space="preserve"> që </w:t>
      </w:r>
      <w:r w:rsidR="0013737E">
        <w:rPr>
          <w:rFonts w:ascii="Calibri" w:hAnsi="Calibri" w:cs="Calibri"/>
        </w:rPr>
        <w:t>u</w:t>
      </w:r>
      <w:r w:rsidR="0013737E" w:rsidRPr="00E97254">
        <w:rPr>
          <w:rFonts w:ascii="Calibri" w:hAnsi="Calibri" w:cs="Calibri"/>
        </w:rPr>
        <w:t xml:space="preserve"> </w:t>
      </w:r>
      <w:r w:rsidR="007473F9" w:rsidRPr="00E97254">
        <w:rPr>
          <w:rFonts w:ascii="Calibri" w:hAnsi="Calibri" w:cs="Calibri"/>
        </w:rPr>
        <w:t xml:space="preserve">përkasin </w:t>
      </w:r>
      <w:r w:rsidR="000D4998" w:rsidRPr="00E97254">
        <w:rPr>
          <w:rFonts w:cs="Calibri"/>
        </w:rPr>
        <w:t xml:space="preserve">pakicave kombëtare </w:t>
      </w:r>
      <w:r w:rsidR="007F53FB" w:rsidRPr="00E97254">
        <w:rPr>
          <w:rFonts w:cs="Calibri"/>
        </w:rPr>
        <w:t>rom</w:t>
      </w:r>
      <w:r w:rsidR="008C75B4" w:rsidRPr="00E97254">
        <w:rPr>
          <w:rFonts w:cs="Calibri"/>
        </w:rPr>
        <w:t>e</w:t>
      </w:r>
      <w:r w:rsidR="007F53FB" w:rsidRPr="00E97254">
        <w:rPr>
          <w:rFonts w:ascii="Calibri" w:hAnsi="Calibri" w:cs="Calibri"/>
        </w:rPr>
        <w:t xml:space="preserve"> dhe </w:t>
      </w:r>
      <w:r w:rsidR="007F53FB" w:rsidRPr="00E97254">
        <w:rPr>
          <w:rFonts w:cs="Calibri"/>
        </w:rPr>
        <w:t>egjiptian</w:t>
      </w:r>
      <w:r w:rsidR="008C75B4" w:rsidRPr="00E97254">
        <w:rPr>
          <w:rFonts w:cs="Calibri"/>
        </w:rPr>
        <w:t>e</w:t>
      </w:r>
      <w:r w:rsidR="007473F9" w:rsidRPr="00E97254">
        <w:rPr>
          <w:rFonts w:ascii="Calibri" w:hAnsi="Calibri" w:cs="Calibri"/>
        </w:rPr>
        <w:t xml:space="preserve">, etj. </w:t>
      </w:r>
      <w:r w:rsidR="004C6FAF" w:rsidRPr="00E97254">
        <w:rPr>
          <w:rFonts w:ascii="Calibri" w:hAnsi="Calibri" w:cs="Calibri"/>
        </w:rPr>
        <w:t xml:space="preserve">Për vitin shkollor 2019-2020 rreth 225,000 nxënës kanë përfituar tekstet shkollore falas </w:t>
      </w:r>
      <w:sdt>
        <w:sdtPr>
          <w:rPr>
            <w:rFonts w:ascii="Calibri" w:hAnsi="Calibri" w:cs="Calibri"/>
          </w:rPr>
          <w:id w:val="-1716031239"/>
          <w:citation/>
        </w:sdtPr>
        <w:sdtEndPr/>
        <w:sdtContent>
          <w:r w:rsidR="00EC56B7" w:rsidRPr="00E97254">
            <w:rPr>
              <w:rFonts w:ascii="Calibri" w:hAnsi="Calibri" w:cs="Calibri"/>
            </w:rPr>
            <w:fldChar w:fldCharType="begin"/>
          </w:r>
          <w:r>
            <w:rPr>
              <w:rFonts w:ascii="Calibri" w:hAnsi="Calibri" w:cs="Calibri"/>
            </w:rPr>
            <w:instrText xml:space="preserve"> CITATION Kës3 \l 1033 </w:instrText>
          </w:r>
          <w:r w:rsidR="00EC56B7" w:rsidRPr="00E97254">
            <w:rPr>
              <w:rFonts w:ascii="Calibri" w:hAnsi="Calibri" w:cs="Calibri"/>
            </w:rPr>
            <w:fldChar w:fldCharType="separate"/>
          </w:r>
          <w:r w:rsidR="00724BCC" w:rsidRPr="00E97254">
            <w:rPr>
              <w:rFonts w:ascii="Calibri" w:hAnsi="Calibri" w:cs="Calibri"/>
            </w:rPr>
            <w:t>[18]</w:t>
          </w:r>
          <w:r w:rsidR="00EC56B7" w:rsidRPr="00E97254">
            <w:rPr>
              <w:rFonts w:ascii="Calibri" w:hAnsi="Calibri" w:cs="Calibri"/>
            </w:rPr>
            <w:fldChar w:fldCharType="end"/>
          </w:r>
        </w:sdtContent>
      </w:sdt>
      <w:r w:rsidR="004C6FAF" w:rsidRPr="00E97254">
        <w:rPr>
          <w:rFonts w:ascii="Calibri" w:hAnsi="Calibri" w:cs="Calibri"/>
        </w:rPr>
        <w:t>.</w:t>
      </w:r>
    </w:p>
    <w:p w:rsidR="005208EE" w:rsidRPr="00E97254" w:rsidRDefault="005208EE" w:rsidP="000C0250">
      <w:pPr>
        <w:spacing w:after="0"/>
        <w:jc w:val="both"/>
        <w:rPr>
          <w:rFonts w:cstheme="minorHAnsi"/>
        </w:rPr>
      </w:pPr>
      <w:r w:rsidRPr="00E97254">
        <w:rPr>
          <w:rFonts w:ascii="Calibri" w:hAnsi="Calibri" w:cs="Calibri"/>
        </w:rPr>
        <w:t>“Shkolla-Qendër Komunitare’ (</w:t>
      </w:r>
      <w:r w:rsidRPr="00E97254">
        <w:rPr>
          <w:rFonts w:eastAsia="Times New Roman" w:cstheme="minorHAnsi"/>
          <w:lang w:eastAsia="en-GB"/>
        </w:rPr>
        <w:t>SHQK) është një nismë e ndërmarrë nga MASR</w:t>
      </w:r>
      <w:r w:rsidR="0013737E">
        <w:rPr>
          <w:rFonts w:eastAsia="Times New Roman" w:cstheme="minorHAnsi"/>
          <w:lang w:eastAsia="en-GB"/>
        </w:rPr>
        <w:t>-ja</w:t>
      </w:r>
      <w:r w:rsidRPr="00E97254">
        <w:rPr>
          <w:rFonts w:eastAsia="Times New Roman" w:cstheme="minorHAnsi"/>
          <w:lang w:eastAsia="en-GB"/>
        </w:rPr>
        <w:t>, në vitin 2013,</w:t>
      </w:r>
      <w:r w:rsidR="0013737E">
        <w:rPr>
          <w:rFonts w:eastAsia="Times New Roman" w:cstheme="minorHAnsi"/>
          <w:lang w:eastAsia="en-GB"/>
        </w:rPr>
        <w:t xml:space="preserve"> </w:t>
      </w:r>
      <w:r w:rsidRPr="00E97254">
        <w:rPr>
          <w:rFonts w:eastAsia="Times New Roman" w:cstheme="minorHAnsi"/>
          <w:lang w:eastAsia="en-GB"/>
        </w:rPr>
        <w:t xml:space="preserve">për të ri-dimensionuar dhe përmirësuar cilësinë dhe rolin e shkollës dhe sistemit arsimor shqiptar, jo vetëm në komponentin e mësimdhënies dhe të nxënit, por edhe për hapjen e shkollës ndaj komunitetit dhe si një shkollë miqësore për të gjithë. Sot kemi </w:t>
      </w:r>
      <w:r w:rsidRPr="00E97254">
        <w:rPr>
          <w:rFonts w:cstheme="minorHAnsi"/>
        </w:rPr>
        <w:t xml:space="preserve">270 shkolla si </w:t>
      </w:r>
      <w:r w:rsidR="0013737E" w:rsidRPr="00E97254">
        <w:rPr>
          <w:rFonts w:cstheme="minorHAnsi"/>
        </w:rPr>
        <w:t>qend</w:t>
      </w:r>
      <w:r w:rsidR="0013737E">
        <w:rPr>
          <w:rFonts w:cstheme="minorHAnsi"/>
        </w:rPr>
        <w:t>ra</w:t>
      </w:r>
      <w:r w:rsidR="0013737E" w:rsidRPr="00E97254">
        <w:rPr>
          <w:rFonts w:cstheme="minorHAnsi"/>
        </w:rPr>
        <w:t xml:space="preserve"> </w:t>
      </w:r>
      <w:r w:rsidRPr="00E97254">
        <w:rPr>
          <w:rFonts w:cstheme="minorHAnsi"/>
        </w:rPr>
        <w:t xml:space="preserve">komunitare. </w:t>
      </w:r>
      <w:r w:rsidRPr="00E97254">
        <w:rPr>
          <w:rFonts w:eastAsia="Times New Roman" w:cstheme="minorHAnsi"/>
        </w:rPr>
        <w:t xml:space="preserve">Për mirë-funksionimin e SHQK-së ka pasur trajnime të vazhdueshme dhe janë trajnuar rreth 41,617 nxënës, mësues dhe prindër. </w:t>
      </w:r>
      <w:r w:rsidRPr="00E97254">
        <w:rPr>
          <w:rFonts w:eastAsia="Times New Roman" w:cstheme="minorHAnsi"/>
          <w:bCs/>
        </w:rPr>
        <w:t>Shkollat</w:t>
      </w:r>
      <w:r w:rsidRPr="00E97254">
        <w:rPr>
          <w:rFonts w:eastAsia="Times New Roman" w:cstheme="minorHAnsi"/>
        </w:rPr>
        <w:t xml:space="preserve"> kanë projekte me partnerët si: UNICEF, UN, World Vision, Këshilli </w:t>
      </w:r>
      <w:r w:rsidR="0013737E">
        <w:rPr>
          <w:rFonts w:eastAsia="Times New Roman" w:cstheme="minorHAnsi"/>
        </w:rPr>
        <w:t xml:space="preserve">i </w:t>
      </w:r>
      <w:r w:rsidRPr="00E97254">
        <w:rPr>
          <w:rFonts w:eastAsia="Times New Roman" w:cstheme="minorHAnsi"/>
        </w:rPr>
        <w:t xml:space="preserve">Evropës, Save the Children, Këshilli Britanik, Korpusi </w:t>
      </w:r>
      <w:r w:rsidR="0013737E">
        <w:rPr>
          <w:rFonts w:eastAsia="Times New Roman" w:cstheme="minorHAnsi"/>
        </w:rPr>
        <w:t xml:space="preserve">i </w:t>
      </w:r>
      <w:r w:rsidRPr="00E97254">
        <w:rPr>
          <w:rFonts w:eastAsia="Times New Roman" w:cstheme="minorHAnsi"/>
        </w:rPr>
        <w:t xml:space="preserve">Paqes, Zyra e Arsimit në Ambasadën Italiane, IRCA etj. </w:t>
      </w:r>
      <w:r w:rsidRPr="00E97254">
        <w:rPr>
          <w:rFonts w:cstheme="minorHAnsi"/>
        </w:rPr>
        <w:t>Vetëm gjatë periudhës 2019-2020, evidentohen 32 projekte binjakëzuese në nivel ndërkombëtar</w:t>
      </w:r>
      <w:r w:rsidR="004E1F53">
        <w:rPr>
          <w:rFonts w:cstheme="minorHAnsi"/>
        </w:rPr>
        <w:t xml:space="preserve"> dhe 23 projekte binjakëzuese në nivel kombëtar.</w:t>
      </w:r>
    </w:p>
    <w:p w:rsidR="00D653F8" w:rsidRPr="00E97254" w:rsidRDefault="00D653F8" w:rsidP="000C0250">
      <w:pPr>
        <w:jc w:val="both"/>
        <w:rPr>
          <w:rFonts w:ascii="Noto Sans Symbols" w:eastAsia="Noto Sans Symbols" w:hAnsi="Noto Sans Symbols" w:cs="Noto Sans Symbols"/>
        </w:rPr>
      </w:pPr>
    </w:p>
    <w:p w:rsidR="00C44536" w:rsidRPr="00E97254" w:rsidRDefault="00FA5606" w:rsidP="000C0250">
      <w:pPr>
        <w:pStyle w:val="Heading3"/>
        <w:jc w:val="both"/>
      </w:pPr>
      <w:bookmarkStart w:id="67" w:name="_Toc45624228"/>
      <w:bookmarkStart w:id="68" w:name="_Toc66801995"/>
      <w:r w:rsidRPr="00FA5606">
        <w:t>4.3.2. Mësuesit</w:t>
      </w:r>
      <w:bookmarkEnd w:id="67"/>
      <w:bookmarkEnd w:id="68"/>
    </w:p>
    <w:p w:rsidR="00F35A0C" w:rsidRPr="00E97254" w:rsidRDefault="004E1F53" w:rsidP="000C0250">
      <w:pPr>
        <w:spacing w:before="120"/>
        <w:jc w:val="both"/>
        <w:rPr>
          <w:rFonts w:ascii="Calibri" w:hAnsi="Calibri" w:cs="Calibri"/>
        </w:rPr>
      </w:pPr>
      <w:r>
        <w:rPr>
          <w:rFonts w:ascii="Calibri" w:hAnsi="Calibri" w:cs="Calibri"/>
        </w:rPr>
        <w:t xml:space="preserve">Në vitin shkollor 2019/20 në sistemin arsimor parauniversitar të Republikës së Shqipërisë ishin 36,890 mësues, prej të cilëve 32,218 në sektorin publik </w:t>
      </w:r>
      <w:sdt>
        <w:sdtPr>
          <w:rPr>
            <w:rFonts w:ascii="Calibri" w:hAnsi="Calibri" w:cs="Calibri"/>
          </w:rPr>
          <w:id w:val="-2131154699"/>
          <w:citation/>
        </w:sdtPr>
        <w:sdtEndPr/>
        <w:sdtContent>
          <w:r w:rsidR="00EC56B7" w:rsidRPr="00E97254">
            <w:rPr>
              <w:rFonts w:ascii="Calibri" w:hAnsi="Calibri" w:cs="Calibri"/>
            </w:rPr>
            <w:fldChar w:fldCharType="begin"/>
          </w:r>
          <w:r>
            <w:rPr>
              <w:rFonts w:ascii="Calibri" w:hAnsi="Calibri" w:cs="Calibri"/>
            </w:rPr>
            <w:instrText xml:space="preserve"> CITATION MAS201 \l 1033 </w:instrText>
          </w:r>
          <w:r w:rsidR="00EC56B7" w:rsidRPr="00E97254">
            <w:rPr>
              <w:rFonts w:ascii="Calibri" w:hAnsi="Calibri" w:cs="Calibri"/>
            </w:rPr>
            <w:fldChar w:fldCharType="separate"/>
          </w:r>
          <w:r w:rsidR="00724BCC" w:rsidRPr="00E97254">
            <w:rPr>
              <w:rFonts w:ascii="Calibri" w:hAnsi="Calibri" w:cs="Calibri"/>
            </w:rPr>
            <w:t>[45]</w:t>
          </w:r>
          <w:r w:rsidR="00EC56B7" w:rsidRPr="00E97254">
            <w:rPr>
              <w:rFonts w:ascii="Calibri" w:hAnsi="Calibri" w:cs="Calibri"/>
            </w:rPr>
            <w:fldChar w:fldCharType="end"/>
          </w:r>
        </w:sdtContent>
      </w:sdt>
      <w:r w:rsidR="00F35A0C" w:rsidRPr="00E97254">
        <w:rPr>
          <w:rFonts w:ascii="Calibri" w:hAnsi="Calibri" w:cs="Calibri"/>
        </w:rPr>
        <w:t xml:space="preserve">. </w:t>
      </w:r>
      <w:r w:rsidR="002C68AB" w:rsidRPr="00E97254">
        <w:rPr>
          <w:rFonts w:ascii="Calibri" w:hAnsi="Calibri" w:cs="Calibri"/>
        </w:rPr>
        <w:t xml:space="preserve">Nga viti 2013 numri i përgjithshëm i mësuesve ka ndryshuar shumë pak, ndërkaq raporti nxënës-mësues është duke u zvogëluar në vazhdimësi që flet për numër më të lartë të personelit mësimor në raport me mesataren e OECD (15 nxënës për një mësues në arsimin bazë </w:t>
      </w:r>
      <w:sdt>
        <w:sdtPr>
          <w:rPr>
            <w:rFonts w:ascii="Calibri" w:hAnsi="Calibri" w:cs="Calibri"/>
          </w:rPr>
          <w:id w:val="-2097005822"/>
          <w:citation/>
        </w:sdtPr>
        <w:sdtEndPr/>
        <w:sdtContent>
          <w:r w:rsidR="00EC56B7" w:rsidRPr="00E97254">
            <w:rPr>
              <w:rFonts w:ascii="Calibri" w:hAnsi="Calibri" w:cs="Calibri"/>
            </w:rPr>
            <w:fldChar w:fldCharType="begin"/>
          </w:r>
          <w:r>
            <w:rPr>
              <w:rFonts w:ascii="Calibri" w:hAnsi="Calibri" w:cs="Calibri"/>
            </w:rPr>
            <w:instrText xml:space="preserve"> CITATION OEC20 \l 1033 </w:instrText>
          </w:r>
          <w:r w:rsidR="00EC56B7" w:rsidRPr="00E97254">
            <w:rPr>
              <w:rFonts w:ascii="Calibri" w:hAnsi="Calibri" w:cs="Calibri"/>
            </w:rPr>
            <w:fldChar w:fldCharType="separate"/>
          </w:r>
          <w:r w:rsidR="00724BCC" w:rsidRPr="00E97254">
            <w:rPr>
              <w:rFonts w:ascii="Calibri" w:hAnsi="Calibri" w:cs="Calibri"/>
            </w:rPr>
            <w:t>[55]</w:t>
          </w:r>
          <w:r w:rsidR="00EC56B7" w:rsidRPr="00E97254">
            <w:rPr>
              <w:rFonts w:ascii="Calibri" w:hAnsi="Calibri" w:cs="Calibri"/>
            </w:rPr>
            <w:fldChar w:fldCharType="end"/>
          </w:r>
        </w:sdtContent>
      </w:sdt>
      <w:r w:rsidR="002C68AB" w:rsidRPr="00E97254">
        <w:rPr>
          <w:rFonts w:ascii="Calibri" w:hAnsi="Calibri" w:cs="Calibri"/>
        </w:rPr>
        <w:t xml:space="preserve">) veçanërisht në zonat rurale. </w:t>
      </w:r>
      <w:r w:rsidR="00AE6E89" w:rsidRPr="00E97254">
        <w:rPr>
          <w:rFonts w:ascii="Calibri" w:hAnsi="Calibri" w:cs="Calibri"/>
        </w:rPr>
        <w:t xml:space="preserve"> Kështu, brenda një dekade, raporti nxënës-mësues në arsimin bazë u zvogëlua nga 17 (në zonat rurale: 15) në vitin shkollor 2010/11 në 13 (në zonat rurale: 10) në vitin shkollor 2019/20 </w:t>
      </w:r>
      <w:sdt>
        <w:sdtPr>
          <w:rPr>
            <w:rFonts w:ascii="Calibri" w:hAnsi="Calibri" w:cs="Calibri"/>
          </w:rPr>
          <w:id w:val="-1679503902"/>
          <w:citation/>
        </w:sdtPr>
        <w:sdtEndPr/>
        <w:sdtContent>
          <w:r w:rsidR="00EC56B7" w:rsidRPr="00E97254">
            <w:rPr>
              <w:rFonts w:ascii="Calibri" w:hAnsi="Calibri" w:cs="Calibri"/>
            </w:rPr>
            <w:fldChar w:fldCharType="begin"/>
          </w:r>
          <w:r>
            <w:rPr>
              <w:rFonts w:ascii="Calibri" w:hAnsi="Calibri" w:cs="Calibri"/>
            </w:rPr>
            <w:instrText xml:space="preserve"> CITATION MAS201 \l 1033 </w:instrText>
          </w:r>
          <w:r w:rsidR="00EC56B7" w:rsidRPr="00E97254">
            <w:rPr>
              <w:rFonts w:ascii="Calibri" w:hAnsi="Calibri" w:cs="Calibri"/>
            </w:rPr>
            <w:fldChar w:fldCharType="separate"/>
          </w:r>
          <w:r w:rsidR="00724BCC" w:rsidRPr="00E97254">
            <w:rPr>
              <w:rFonts w:ascii="Calibri" w:hAnsi="Calibri" w:cs="Calibri"/>
            </w:rPr>
            <w:t>[45]</w:t>
          </w:r>
          <w:r w:rsidR="00EC56B7" w:rsidRPr="00E97254">
            <w:rPr>
              <w:rFonts w:ascii="Calibri" w:hAnsi="Calibri" w:cs="Calibri"/>
            </w:rPr>
            <w:fldChar w:fldCharType="end"/>
          </w:r>
        </w:sdtContent>
      </w:sdt>
      <w:r w:rsidR="008B0AE8" w:rsidRPr="00E97254">
        <w:rPr>
          <w:rFonts w:ascii="Calibri" w:hAnsi="Calibri" w:cs="Calibri"/>
        </w:rPr>
        <w:t xml:space="preserve"> (</w:t>
      </w:r>
      <w:r w:rsidR="008D102D">
        <w:fldChar w:fldCharType="begin"/>
      </w:r>
      <w:r w:rsidR="008D102D">
        <w:instrText xml:space="preserve"> REF _Ref65834462 \h  \* MERGEFORMAT </w:instrText>
      </w:r>
      <w:r w:rsidR="008D102D">
        <w:fldChar w:fldCharType="separate"/>
      </w:r>
      <w:r w:rsidR="005A6200" w:rsidRPr="00E97254">
        <w:rPr>
          <w:rFonts w:ascii="Calibri" w:hAnsi="Calibri" w:cs="Calibri"/>
        </w:rPr>
        <w:t>Tabela 8</w:t>
      </w:r>
      <w:r w:rsidR="008D102D">
        <w:fldChar w:fldCharType="end"/>
      </w:r>
      <w:r w:rsidR="008B0AE8" w:rsidRPr="00E97254">
        <w:rPr>
          <w:rFonts w:ascii="Calibri" w:hAnsi="Calibri" w:cs="Calibri"/>
        </w:rPr>
        <w:t>)</w:t>
      </w:r>
      <w:r w:rsidR="00AE6E89" w:rsidRPr="00E97254">
        <w:rPr>
          <w:rFonts w:ascii="Calibri" w:hAnsi="Calibri" w:cs="Calibri"/>
        </w:rPr>
        <w:t xml:space="preserve">. </w:t>
      </w:r>
      <w:r w:rsidR="00F35A0C" w:rsidRPr="00E97254">
        <w:rPr>
          <w:rFonts w:ascii="Calibri" w:hAnsi="Calibri" w:cs="Calibri"/>
        </w:rPr>
        <w:t xml:space="preserve"> </w:t>
      </w:r>
    </w:p>
    <w:p w:rsidR="00D11D07" w:rsidRPr="00E97254" w:rsidRDefault="00D11D07" w:rsidP="000C0250">
      <w:pPr>
        <w:pStyle w:val="Caption"/>
        <w:keepNext/>
        <w:spacing w:before="120" w:after="120" w:line="276" w:lineRule="auto"/>
        <w:jc w:val="both"/>
        <w:rPr>
          <w:rFonts w:ascii="Calibri" w:hAnsi="Calibri" w:cs="Calibri"/>
          <w:b w:val="0"/>
          <w:color w:val="auto"/>
          <w:sz w:val="22"/>
          <w:szCs w:val="22"/>
        </w:rPr>
      </w:pPr>
      <w:bookmarkStart w:id="69" w:name="_Ref65834462"/>
      <w:bookmarkStart w:id="70" w:name="_Toc66802042"/>
      <w:r w:rsidRPr="00E97254">
        <w:rPr>
          <w:rFonts w:ascii="Calibri" w:hAnsi="Calibri" w:cs="Calibri"/>
          <w:color w:val="auto"/>
          <w:sz w:val="22"/>
          <w:szCs w:val="22"/>
        </w:rPr>
        <w:lastRenderedPageBreak/>
        <w:t xml:space="preserve">Tabela </w:t>
      </w:r>
      <w:r w:rsidR="00EC56B7" w:rsidRPr="00FA5606">
        <w:rPr>
          <w:rFonts w:ascii="Calibri" w:hAnsi="Calibri" w:cs="Calibri"/>
          <w:color w:val="auto"/>
          <w:sz w:val="22"/>
          <w:szCs w:val="22"/>
        </w:rPr>
        <w:fldChar w:fldCharType="begin"/>
      </w:r>
      <w:r w:rsidR="00FA5606" w:rsidRPr="00FA5606">
        <w:rPr>
          <w:rFonts w:ascii="Calibri" w:hAnsi="Calibri" w:cs="Calibri"/>
          <w:color w:val="auto"/>
          <w:sz w:val="22"/>
          <w:szCs w:val="22"/>
        </w:rPr>
        <w:instrText xml:space="preserve"> SEQ Tabela \* ARABIC </w:instrText>
      </w:r>
      <w:r w:rsidR="00EC56B7" w:rsidRPr="00FA5606">
        <w:rPr>
          <w:rFonts w:ascii="Calibri" w:hAnsi="Calibri" w:cs="Calibri"/>
          <w:color w:val="auto"/>
          <w:sz w:val="22"/>
          <w:szCs w:val="22"/>
        </w:rPr>
        <w:fldChar w:fldCharType="separate"/>
      </w:r>
      <w:r w:rsidR="00FA5606" w:rsidRPr="00FA5606">
        <w:rPr>
          <w:rFonts w:ascii="Calibri" w:hAnsi="Calibri" w:cs="Calibri"/>
          <w:color w:val="auto"/>
          <w:sz w:val="22"/>
          <w:szCs w:val="22"/>
        </w:rPr>
        <w:t>8</w:t>
      </w:r>
      <w:r w:rsidR="00EC56B7" w:rsidRPr="00FA5606">
        <w:rPr>
          <w:rFonts w:ascii="Calibri" w:hAnsi="Calibri" w:cs="Calibri"/>
          <w:color w:val="auto"/>
          <w:sz w:val="22"/>
          <w:szCs w:val="22"/>
        </w:rPr>
        <w:fldChar w:fldCharType="end"/>
      </w:r>
      <w:bookmarkEnd w:id="69"/>
      <w:r w:rsidR="00FA5606" w:rsidRPr="00FA5606">
        <w:rPr>
          <w:rFonts w:ascii="Calibri" w:hAnsi="Calibri" w:cs="Calibri"/>
          <w:color w:val="auto"/>
          <w:sz w:val="22"/>
          <w:szCs w:val="22"/>
        </w:rPr>
        <w:t>.</w:t>
      </w:r>
      <w:r w:rsidR="004E1F53" w:rsidRPr="004E1F53">
        <w:rPr>
          <w:rFonts w:ascii="Calibri" w:hAnsi="Calibri" w:cs="Calibri"/>
          <w:b w:val="0"/>
          <w:color w:val="auto"/>
          <w:sz w:val="22"/>
          <w:szCs w:val="22"/>
        </w:rPr>
        <w:t xml:space="preserve"> Mësuesit dhe raporti nxënës/mësues në arsimin parauniversitar  </w:t>
      </w:r>
      <w:sdt>
        <w:sdtPr>
          <w:rPr>
            <w:rFonts w:ascii="Calibri" w:hAnsi="Calibri" w:cs="Calibri"/>
            <w:b w:val="0"/>
            <w:color w:val="auto"/>
            <w:sz w:val="22"/>
            <w:szCs w:val="22"/>
          </w:rPr>
          <w:id w:val="1865554601"/>
          <w:citation/>
        </w:sdtPr>
        <w:sdtEndPr/>
        <w:sdtContent>
          <w:r w:rsidR="00EC56B7" w:rsidRPr="004E1F53">
            <w:rPr>
              <w:rFonts w:ascii="Calibri" w:hAnsi="Calibri" w:cs="Calibri"/>
              <w:b w:val="0"/>
              <w:color w:val="auto"/>
              <w:sz w:val="22"/>
              <w:szCs w:val="22"/>
            </w:rPr>
            <w:fldChar w:fldCharType="begin"/>
          </w:r>
          <w:r w:rsidR="00D82E63" w:rsidRPr="00D82E63">
            <w:rPr>
              <w:rFonts w:ascii="Calibri" w:hAnsi="Calibri" w:cs="Calibri"/>
              <w:b w:val="0"/>
              <w:color w:val="auto"/>
              <w:sz w:val="22"/>
              <w:szCs w:val="22"/>
            </w:rPr>
            <w:instrText xml:space="preserve"> CITATION MAS192 \l 1033 </w:instrText>
          </w:r>
          <w:r w:rsidR="00EC56B7" w:rsidRPr="004E1F53">
            <w:rPr>
              <w:rFonts w:ascii="Calibri" w:hAnsi="Calibri" w:cs="Calibri"/>
              <w:b w:val="0"/>
              <w:color w:val="auto"/>
              <w:sz w:val="22"/>
              <w:szCs w:val="22"/>
            </w:rPr>
            <w:fldChar w:fldCharType="separate"/>
          </w:r>
          <w:r w:rsidR="00FA5606" w:rsidRPr="00FA5606">
            <w:rPr>
              <w:rFonts w:ascii="Calibri" w:hAnsi="Calibri" w:cs="Calibri"/>
              <w:color w:val="auto"/>
              <w:sz w:val="22"/>
              <w:szCs w:val="22"/>
            </w:rPr>
            <w:t>[46]</w:t>
          </w:r>
          <w:r w:rsidR="00EC56B7" w:rsidRPr="004E1F53">
            <w:rPr>
              <w:rFonts w:ascii="Calibri" w:hAnsi="Calibri" w:cs="Calibri"/>
              <w:b w:val="0"/>
              <w:color w:val="auto"/>
              <w:sz w:val="22"/>
              <w:szCs w:val="22"/>
            </w:rPr>
            <w:fldChar w:fldCharType="end"/>
          </w:r>
        </w:sdtContent>
      </w:sdt>
      <w:bookmarkEnd w:id="70"/>
    </w:p>
    <w:tbl>
      <w:tblPr>
        <w:tblW w:w="8507" w:type="dxa"/>
        <w:tblInd w:w="431" w:type="dxa"/>
        <w:tblLook w:val="04A0" w:firstRow="1" w:lastRow="0" w:firstColumn="1" w:lastColumn="0" w:noHBand="0" w:noVBand="1"/>
      </w:tblPr>
      <w:tblGrid>
        <w:gridCol w:w="1181"/>
        <w:gridCol w:w="848"/>
        <w:gridCol w:w="892"/>
        <w:gridCol w:w="1053"/>
        <w:gridCol w:w="1053"/>
        <w:gridCol w:w="848"/>
        <w:gridCol w:w="892"/>
        <w:gridCol w:w="848"/>
        <w:gridCol w:w="892"/>
      </w:tblGrid>
      <w:tr w:rsidR="00D11D07" w:rsidRPr="00E97254" w:rsidTr="00403F5F">
        <w:trPr>
          <w:trHeight w:val="300"/>
        </w:trPr>
        <w:tc>
          <w:tcPr>
            <w:tcW w:w="1181"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11D07" w:rsidRPr="00E97254" w:rsidRDefault="004E1F53" w:rsidP="000C0250">
            <w:pPr>
              <w:spacing w:after="0"/>
              <w:jc w:val="center"/>
              <w:rPr>
                <w:rFonts w:ascii="Calibri" w:eastAsia="Times New Roman" w:hAnsi="Calibri" w:cs="Calibri"/>
                <w:color w:val="000000"/>
                <w:sz w:val="20"/>
                <w:szCs w:val="20"/>
              </w:rPr>
            </w:pPr>
            <w:r>
              <w:rPr>
                <w:rFonts w:ascii="Calibri" w:eastAsia="Times New Roman" w:hAnsi="Calibri" w:cs="Calibri"/>
                <w:color w:val="000000"/>
                <w:sz w:val="20"/>
                <w:szCs w:val="20"/>
              </w:rPr>
              <w:t>Viti shkollor</w:t>
            </w:r>
          </w:p>
        </w:tc>
        <w:tc>
          <w:tcPr>
            <w:tcW w:w="1740" w:type="dxa"/>
            <w:gridSpan w:val="2"/>
            <w:tcBorders>
              <w:top w:val="single" w:sz="4" w:space="0" w:color="auto"/>
              <w:left w:val="nil"/>
              <w:bottom w:val="single" w:sz="4" w:space="0" w:color="auto"/>
              <w:right w:val="single" w:sz="4" w:space="0" w:color="000000"/>
            </w:tcBorders>
            <w:shd w:val="clear" w:color="000000" w:fill="FFFFFF"/>
            <w:hideMark/>
          </w:tcPr>
          <w:p w:rsidR="00D11D07" w:rsidRPr="00E97254" w:rsidRDefault="004E1F53" w:rsidP="000C0250">
            <w:pPr>
              <w:spacing w:after="0"/>
              <w:jc w:val="center"/>
              <w:rPr>
                <w:rFonts w:ascii="Calibri" w:eastAsia="Times New Roman" w:hAnsi="Calibri" w:cs="Calibri"/>
                <w:color w:val="000000"/>
                <w:sz w:val="20"/>
                <w:szCs w:val="20"/>
              </w:rPr>
            </w:pPr>
            <w:r>
              <w:rPr>
                <w:rFonts w:ascii="Calibri" w:eastAsia="Times New Roman" w:hAnsi="Calibri" w:cs="Calibri"/>
                <w:color w:val="000000"/>
                <w:sz w:val="20"/>
                <w:szCs w:val="20"/>
              </w:rPr>
              <w:t>Arsimi parauniversitar</w:t>
            </w:r>
          </w:p>
        </w:tc>
        <w:tc>
          <w:tcPr>
            <w:tcW w:w="2106" w:type="dxa"/>
            <w:gridSpan w:val="2"/>
            <w:tcBorders>
              <w:top w:val="single" w:sz="4" w:space="0" w:color="auto"/>
              <w:left w:val="nil"/>
              <w:bottom w:val="single" w:sz="4" w:space="0" w:color="auto"/>
              <w:right w:val="single" w:sz="4" w:space="0" w:color="auto"/>
            </w:tcBorders>
            <w:shd w:val="clear" w:color="000000" w:fill="FFFFFF"/>
            <w:hideMark/>
          </w:tcPr>
          <w:p w:rsidR="00D11D07" w:rsidRPr="00E97254" w:rsidRDefault="004E1F53" w:rsidP="000C0250">
            <w:pPr>
              <w:spacing w:after="0"/>
              <w:jc w:val="center"/>
              <w:rPr>
                <w:rFonts w:ascii="Calibri" w:eastAsia="Times New Roman" w:hAnsi="Calibri" w:cs="Calibri"/>
                <w:color w:val="000000"/>
                <w:sz w:val="20"/>
                <w:szCs w:val="20"/>
              </w:rPr>
            </w:pPr>
            <w:r>
              <w:rPr>
                <w:rFonts w:ascii="Calibri" w:eastAsia="Times New Roman" w:hAnsi="Calibri" w:cs="Calibri"/>
                <w:color w:val="000000"/>
                <w:sz w:val="20"/>
                <w:szCs w:val="20"/>
              </w:rPr>
              <w:t>Arsimi parashkollor</w:t>
            </w:r>
          </w:p>
        </w:tc>
        <w:tc>
          <w:tcPr>
            <w:tcW w:w="1740" w:type="dxa"/>
            <w:gridSpan w:val="2"/>
            <w:tcBorders>
              <w:top w:val="single" w:sz="4" w:space="0" w:color="auto"/>
              <w:left w:val="nil"/>
              <w:bottom w:val="single" w:sz="4" w:space="0" w:color="auto"/>
              <w:right w:val="single" w:sz="4" w:space="0" w:color="auto"/>
            </w:tcBorders>
            <w:shd w:val="clear" w:color="000000" w:fill="FFFFFF"/>
            <w:hideMark/>
          </w:tcPr>
          <w:p w:rsidR="00D11D07" w:rsidRPr="00E97254" w:rsidRDefault="004E1F53" w:rsidP="000C0250">
            <w:pPr>
              <w:spacing w:after="0"/>
              <w:jc w:val="center"/>
              <w:rPr>
                <w:rFonts w:ascii="Calibri" w:eastAsia="Times New Roman" w:hAnsi="Calibri" w:cs="Calibri"/>
                <w:color w:val="000000"/>
                <w:sz w:val="20"/>
                <w:szCs w:val="20"/>
              </w:rPr>
            </w:pPr>
            <w:r>
              <w:rPr>
                <w:rFonts w:ascii="Calibri" w:eastAsia="Times New Roman" w:hAnsi="Calibri" w:cs="Calibri"/>
                <w:color w:val="000000"/>
                <w:sz w:val="20"/>
                <w:szCs w:val="20"/>
              </w:rPr>
              <w:t>Arsimi bazë</w:t>
            </w:r>
          </w:p>
        </w:tc>
        <w:tc>
          <w:tcPr>
            <w:tcW w:w="1740" w:type="dxa"/>
            <w:gridSpan w:val="2"/>
            <w:tcBorders>
              <w:top w:val="single" w:sz="4" w:space="0" w:color="auto"/>
              <w:left w:val="nil"/>
              <w:bottom w:val="single" w:sz="4" w:space="0" w:color="auto"/>
              <w:right w:val="single" w:sz="4" w:space="0" w:color="auto"/>
            </w:tcBorders>
            <w:shd w:val="clear" w:color="000000" w:fill="FFFFFF"/>
            <w:hideMark/>
          </w:tcPr>
          <w:p w:rsidR="00D11D07" w:rsidRPr="00E97254" w:rsidRDefault="004E1F53" w:rsidP="000C0250">
            <w:pPr>
              <w:spacing w:after="0"/>
              <w:jc w:val="center"/>
              <w:rPr>
                <w:rFonts w:ascii="Calibri" w:eastAsia="Times New Roman" w:hAnsi="Calibri" w:cs="Calibri"/>
                <w:color w:val="000000"/>
                <w:sz w:val="20"/>
                <w:szCs w:val="20"/>
              </w:rPr>
            </w:pPr>
            <w:r>
              <w:rPr>
                <w:rFonts w:ascii="Calibri" w:eastAsia="Times New Roman" w:hAnsi="Calibri" w:cs="Calibri"/>
                <w:color w:val="000000"/>
                <w:sz w:val="20"/>
                <w:szCs w:val="20"/>
              </w:rPr>
              <w:t>Arsimi i mesëm i lartë</w:t>
            </w:r>
          </w:p>
        </w:tc>
      </w:tr>
      <w:tr w:rsidR="00D11D07" w:rsidRPr="00E97254" w:rsidTr="00403F5F">
        <w:trPr>
          <w:trHeight w:val="510"/>
        </w:trPr>
        <w:tc>
          <w:tcPr>
            <w:tcW w:w="1181" w:type="dxa"/>
            <w:vMerge/>
            <w:tcBorders>
              <w:top w:val="single" w:sz="4" w:space="0" w:color="auto"/>
              <w:left w:val="single" w:sz="4" w:space="0" w:color="auto"/>
              <w:bottom w:val="single" w:sz="4" w:space="0" w:color="auto"/>
              <w:right w:val="single" w:sz="4" w:space="0" w:color="auto"/>
            </w:tcBorders>
            <w:vAlign w:val="center"/>
            <w:hideMark/>
          </w:tcPr>
          <w:p w:rsidR="00D11D07" w:rsidRPr="00E97254" w:rsidRDefault="00D11D07" w:rsidP="000C0250">
            <w:pPr>
              <w:keepNext/>
              <w:keepLines/>
              <w:spacing w:before="480" w:after="0"/>
              <w:jc w:val="center"/>
              <w:outlineLvl w:val="0"/>
              <w:rPr>
                <w:rFonts w:ascii="Calibri" w:eastAsia="Times New Roman" w:hAnsi="Calibri" w:cs="Calibri"/>
                <w:color w:val="000000"/>
                <w:sz w:val="20"/>
                <w:szCs w:val="20"/>
              </w:rPr>
            </w:pPr>
          </w:p>
        </w:tc>
        <w:tc>
          <w:tcPr>
            <w:tcW w:w="848" w:type="dxa"/>
            <w:tcBorders>
              <w:top w:val="nil"/>
              <w:left w:val="nil"/>
              <w:bottom w:val="single" w:sz="4" w:space="0" w:color="auto"/>
              <w:right w:val="single" w:sz="4" w:space="0" w:color="auto"/>
            </w:tcBorders>
            <w:shd w:val="clear" w:color="000000" w:fill="FFFFFF"/>
            <w:hideMark/>
          </w:tcPr>
          <w:p w:rsidR="00D11D07" w:rsidRPr="00E97254" w:rsidRDefault="004E1F53" w:rsidP="000C0250">
            <w:pPr>
              <w:spacing w:after="0"/>
              <w:jc w:val="center"/>
              <w:rPr>
                <w:rFonts w:ascii="Calibri" w:eastAsia="Times New Roman" w:hAnsi="Calibri" w:cs="Calibri"/>
                <w:sz w:val="20"/>
                <w:szCs w:val="20"/>
              </w:rPr>
            </w:pPr>
            <w:r>
              <w:rPr>
                <w:rFonts w:ascii="Calibri" w:eastAsia="Times New Roman" w:hAnsi="Calibri" w:cs="Calibri"/>
                <w:sz w:val="20"/>
                <w:szCs w:val="20"/>
              </w:rPr>
              <w:t>Mësues</w:t>
            </w:r>
          </w:p>
        </w:tc>
        <w:tc>
          <w:tcPr>
            <w:tcW w:w="892" w:type="dxa"/>
            <w:tcBorders>
              <w:top w:val="nil"/>
              <w:left w:val="nil"/>
              <w:bottom w:val="single" w:sz="4" w:space="0" w:color="auto"/>
              <w:right w:val="single" w:sz="4" w:space="0" w:color="auto"/>
            </w:tcBorders>
            <w:shd w:val="clear" w:color="000000" w:fill="FFFFFF"/>
            <w:hideMark/>
          </w:tcPr>
          <w:p w:rsidR="00D11D07" w:rsidRPr="00E97254" w:rsidRDefault="004E1F53" w:rsidP="000C0250">
            <w:pPr>
              <w:spacing w:after="0"/>
              <w:jc w:val="center"/>
              <w:rPr>
                <w:rFonts w:ascii="Calibri" w:eastAsia="Times New Roman" w:hAnsi="Calibri" w:cs="Calibri"/>
                <w:sz w:val="20"/>
                <w:szCs w:val="20"/>
              </w:rPr>
            </w:pPr>
            <w:r>
              <w:rPr>
                <w:rFonts w:ascii="Calibri" w:eastAsia="Times New Roman" w:hAnsi="Calibri" w:cs="Calibri"/>
                <w:sz w:val="20"/>
                <w:szCs w:val="20"/>
              </w:rPr>
              <w:t>Nxënës/</w:t>
            </w:r>
            <w:r>
              <w:rPr>
                <w:rFonts w:ascii="Calibri" w:eastAsia="Times New Roman" w:hAnsi="Calibri" w:cs="Calibri"/>
                <w:sz w:val="20"/>
                <w:szCs w:val="20"/>
              </w:rPr>
              <w:br/>
              <w:t>Mësues</w:t>
            </w:r>
          </w:p>
        </w:tc>
        <w:tc>
          <w:tcPr>
            <w:tcW w:w="1053" w:type="dxa"/>
            <w:tcBorders>
              <w:top w:val="nil"/>
              <w:left w:val="nil"/>
              <w:bottom w:val="single" w:sz="4" w:space="0" w:color="auto"/>
              <w:right w:val="single" w:sz="4" w:space="0" w:color="auto"/>
            </w:tcBorders>
            <w:shd w:val="clear" w:color="000000" w:fill="FFFFFF"/>
            <w:hideMark/>
          </w:tcPr>
          <w:p w:rsidR="00D11D07" w:rsidRPr="00E97254" w:rsidRDefault="004E1F53" w:rsidP="000C0250">
            <w:pPr>
              <w:spacing w:after="0"/>
              <w:jc w:val="center"/>
              <w:rPr>
                <w:rFonts w:ascii="Calibri" w:eastAsia="Times New Roman" w:hAnsi="Calibri" w:cs="Calibri"/>
                <w:color w:val="000000"/>
                <w:sz w:val="20"/>
                <w:szCs w:val="20"/>
              </w:rPr>
            </w:pPr>
            <w:r>
              <w:rPr>
                <w:rFonts w:ascii="Calibri" w:eastAsia="Times New Roman" w:hAnsi="Calibri" w:cs="Calibri"/>
                <w:color w:val="000000"/>
                <w:sz w:val="20"/>
                <w:szCs w:val="20"/>
              </w:rPr>
              <w:t>Edukatore</w:t>
            </w:r>
          </w:p>
        </w:tc>
        <w:tc>
          <w:tcPr>
            <w:tcW w:w="1053" w:type="dxa"/>
            <w:tcBorders>
              <w:top w:val="nil"/>
              <w:left w:val="nil"/>
              <w:bottom w:val="single" w:sz="4" w:space="0" w:color="auto"/>
              <w:right w:val="single" w:sz="4" w:space="0" w:color="auto"/>
            </w:tcBorders>
            <w:shd w:val="clear" w:color="000000" w:fill="FFFFFF"/>
            <w:hideMark/>
          </w:tcPr>
          <w:p w:rsidR="00D11D07" w:rsidRPr="00E97254" w:rsidRDefault="004E1F53" w:rsidP="000C0250">
            <w:pPr>
              <w:spacing w:after="0"/>
              <w:jc w:val="center"/>
              <w:rPr>
                <w:rFonts w:ascii="Calibri" w:eastAsia="Times New Roman" w:hAnsi="Calibri" w:cs="Calibri"/>
                <w:sz w:val="20"/>
                <w:szCs w:val="20"/>
              </w:rPr>
            </w:pPr>
            <w:r>
              <w:rPr>
                <w:rFonts w:ascii="Calibri" w:eastAsia="Times New Roman" w:hAnsi="Calibri" w:cs="Calibri"/>
                <w:sz w:val="20"/>
                <w:szCs w:val="20"/>
              </w:rPr>
              <w:t>Fëmijë/</w:t>
            </w:r>
            <w:r>
              <w:rPr>
                <w:rFonts w:ascii="Calibri" w:eastAsia="Times New Roman" w:hAnsi="Calibri" w:cs="Calibri"/>
                <w:sz w:val="20"/>
                <w:szCs w:val="20"/>
              </w:rPr>
              <w:br/>
              <w:t>Edukatore</w:t>
            </w:r>
          </w:p>
        </w:tc>
        <w:tc>
          <w:tcPr>
            <w:tcW w:w="848" w:type="dxa"/>
            <w:tcBorders>
              <w:top w:val="nil"/>
              <w:left w:val="nil"/>
              <w:bottom w:val="single" w:sz="4" w:space="0" w:color="auto"/>
              <w:right w:val="single" w:sz="4" w:space="0" w:color="auto"/>
            </w:tcBorders>
            <w:shd w:val="clear" w:color="000000" w:fill="FFFFFF"/>
            <w:hideMark/>
          </w:tcPr>
          <w:p w:rsidR="00D11D07" w:rsidRPr="00E97254" w:rsidRDefault="004E1F53" w:rsidP="000C0250">
            <w:pPr>
              <w:spacing w:after="0"/>
              <w:jc w:val="center"/>
              <w:rPr>
                <w:rFonts w:ascii="Calibri" w:eastAsia="Times New Roman" w:hAnsi="Calibri" w:cs="Calibri"/>
                <w:sz w:val="20"/>
                <w:szCs w:val="20"/>
              </w:rPr>
            </w:pPr>
            <w:r>
              <w:rPr>
                <w:rFonts w:ascii="Calibri" w:eastAsia="Times New Roman" w:hAnsi="Calibri" w:cs="Calibri"/>
                <w:sz w:val="20"/>
                <w:szCs w:val="20"/>
              </w:rPr>
              <w:t>Mësues</w:t>
            </w:r>
          </w:p>
        </w:tc>
        <w:tc>
          <w:tcPr>
            <w:tcW w:w="892" w:type="dxa"/>
            <w:tcBorders>
              <w:top w:val="nil"/>
              <w:left w:val="nil"/>
              <w:bottom w:val="single" w:sz="4" w:space="0" w:color="auto"/>
              <w:right w:val="single" w:sz="4" w:space="0" w:color="auto"/>
            </w:tcBorders>
            <w:shd w:val="clear" w:color="000000" w:fill="FFFFFF"/>
            <w:hideMark/>
          </w:tcPr>
          <w:p w:rsidR="00D11D07" w:rsidRPr="00E97254" w:rsidRDefault="004E1F53" w:rsidP="000C0250">
            <w:pPr>
              <w:spacing w:after="0"/>
              <w:jc w:val="center"/>
              <w:rPr>
                <w:rFonts w:ascii="Calibri" w:eastAsia="Times New Roman" w:hAnsi="Calibri" w:cs="Calibri"/>
                <w:sz w:val="20"/>
                <w:szCs w:val="20"/>
              </w:rPr>
            </w:pPr>
            <w:r>
              <w:rPr>
                <w:rFonts w:ascii="Calibri" w:eastAsia="Times New Roman" w:hAnsi="Calibri" w:cs="Calibri"/>
                <w:sz w:val="20"/>
                <w:szCs w:val="20"/>
              </w:rPr>
              <w:t>Nxënës/</w:t>
            </w:r>
            <w:r>
              <w:rPr>
                <w:rFonts w:ascii="Calibri" w:eastAsia="Times New Roman" w:hAnsi="Calibri" w:cs="Calibri"/>
                <w:sz w:val="20"/>
                <w:szCs w:val="20"/>
              </w:rPr>
              <w:br/>
              <w:t>Mësues</w:t>
            </w:r>
          </w:p>
        </w:tc>
        <w:tc>
          <w:tcPr>
            <w:tcW w:w="848" w:type="dxa"/>
            <w:tcBorders>
              <w:top w:val="nil"/>
              <w:left w:val="nil"/>
              <w:bottom w:val="single" w:sz="4" w:space="0" w:color="auto"/>
              <w:right w:val="single" w:sz="4" w:space="0" w:color="auto"/>
            </w:tcBorders>
            <w:shd w:val="clear" w:color="000000" w:fill="FFFFFF"/>
            <w:hideMark/>
          </w:tcPr>
          <w:p w:rsidR="00D11D07" w:rsidRPr="00E97254" w:rsidRDefault="004E1F53" w:rsidP="000C0250">
            <w:pPr>
              <w:spacing w:after="0"/>
              <w:jc w:val="center"/>
              <w:rPr>
                <w:rFonts w:ascii="Calibri" w:eastAsia="Times New Roman" w:hAnsi="Calibri" w:cs="Calibri"/>
                <w:sz w:val="20"/>
                <w:szCs w:val="20"/>
              </w:rPr>
            </w:pPr>
            <w:r>
              <w:rPr>
                <w:rFonts w:ascii="Calibri" w:eastAsia="Times New Roman" w:hAnsi="Calibri" w:cs="Calibri"/>
                <w:sz w:val="20"/>
                <w:szCs w:val="20"/>
              </w:rPr>
              <w:t>Mësues</w:t>
            </w:r>
          </w:p>
        </w:tc>
        <w:tc>
          <w:tcPr>
            <w:tcW w:w="892" w:type="dxa"/>
            <w:tcBorders>
              <w:top w:val="nil"/>
              <w:left w:val="nil"/>
              <w:bottom w:val="single" w:sz="4" w:space="0" w:color="auto"/>
              <w:right w:val="single" w:sz="4" w:space="0" w:color="auto"/>
            </w:tcBorders>
            <w:shd w:val="clear" w:color="000000" w:fill="FFFFFF"/>
            <w:hideMark/>
          </w:tcPr>
          <w:p w:rsidR="00D11D07" w:rsidRPr="00E97254" w:rsidRDefault="004E1F53" w:rsidP="000C0250">
            <w:pPr>
              <w:spacing w:after="0"/>
              <w:jc w:val="center"/>
              <w:rPr>
                <w:rFonts w:ascii="Calibri" w:eastAsia="Times New Roman" w:hAnsi="Calibri" w:cs="Calibri"/>
                <w:sz w:val="20"/>
                <w:szCs w:val="20"/>
              </w:rPr>
            </w:pPr>
            <w:r>
              <w:rPr>
                <w:rFonts w:ascii="Calibri" w:eastAsia="Times New Roman" w:hAnsi="Calibri" w:cs="Calibri"/>
                <w:sz w:val="20"/>
                <w:szCs w:val="20"/>
              </w:rPr>
              <w:t>Nxënës/</w:t>
            </w:r>
            <w:r>
              <w:rPr>
                <w:rFonts w:ascii="Calibri" w:eastAsia="Times New Roman" w:hAnsi="Calibri" w:cs="Calibri"/>
                <w:sz w:val="20"/>
                <w:szCs w:val="20"/>
              </w:rPr>
              <w:br/>
              <w:t>Mësues</w:t>
            </w:r>
          </w:p>
        </w:tc>
      </w:tr>
      <w:tr w:rsidR="00D11D07" w:rsidRPr="00E97254" w:rsidTr="00403F5F">
        <w:trPr>
          <w:trHeight w:val="300"/>
        </w:trPr>
        <w:tc>
          <w:tcPr>
            <w:tcW w:w="1181" w:type="dxa"/>
            <w:tcBorders>
              <w:top w:val="nil"/>
              <w:left w:val="single" w:sz="4" w:space="0" w:color="auto"/>
              <w:bottom w:val="single" w:sz="4" w:space="0" w:color="auto"/>
              <w:right w:val="single" w:sz="4" w:space="0" w:color="auto"/>
            </w:tcBorders>
            <w:shd w:val="clear" w:color="000000" w:fill="FFFFFF"/>
            <w:hideMark/>
          </w:tcPr>
          <w:p w:rsidR="00D11D07" w:rsidRPr="00E97254" w:rsidRDefault="004E1F53" w:rsidP="000C0250">
            <w:pPr>
              <w:spacing w:after="0"/>
              <w:jc w:val="center"/>
              <w:rPr>
                <w:rFonts w:ascii="Calibri" w:eastAsia="Times New Roman" w:hAnsi="Calibri" w:cs="Calibri"/>
                <w:sz w:val="20"/>
                <w:szCs w:val="20"/>
              </w:rPr>
            </w:pPr>
            <w:r>
              <w:rPr>
                <w:rFonts w:ascii="Calibri" w:eastAsia="Times New Roman" w:hAnsi="Calibri" w:cs="Calibri"/>
                <w:sz w:val="20"/>
                <w:szCs w:val="20"/>
              </w:rPr>
              <w:t>2013-2014</w:t>
            </w:r>
          </w:p>
        </w:tc>
        <w:tc>
          <w:tcPr>
            <w:tcW w:w="848" w:type="dxa"/>
            <w:tcBorders>
              <w:top w:val="nil"/>
              <w:left w:val="nil"/>
              <w:bottom w:val="single" w:sz="4" w:space="0" w:color="auto"/>
              <w:right w:val="single" w:sz="4" w:space="0" w:color="auto"/>
            </w:tcBorders>
            <w:shd w:val="clear" w:color="000000" w:fill="FFFFFF"/>
            <w:hideMark/>
          </w:tcPr>
          <w:p w:rsidR="00D11D07" w:rsidRPr="00E97254" w:rsidRDefault="004E1F53" w:rsidP="000C0250">
            <w:pPr>
              <w:spacing w:after="0"/>
              <w:jc w:val="right"/>
              <w:rPr>
                <w:rFonts w:ascii="Calibri" w:eastAsia="Times New Roman" w:hAnsi="Calibri" w:cs="Calibri"/>
                <w:sz w:val="20"/>
                <w:szCs w:val="20"/>
              </w:rPr>
            </w:pPr>
            <w:r>
              <w:rPr>
                <w:rFonts w:ascii="Calibri" w:eastAsia="Times New Roman" w:hAnsi="Calibri" w:cs="Calibri"/>
                <w:sz w:val="20"/>
                <w:szCs w:val="20"/>
              </w:rPr>
              <w:t>35,692</w:t>
            </w:r>
          </w:p>
        </w:tc>
        <w:tc>
          <w:tcPr>
            <w:tcW w:w="892" w:type="dxa"/>
            <w:tcBorders>
              <w:top w:val="nil"/>
              <w:left w:val="nil"/>
              <w:bottom w:val="single" w:sz="4" w:space="0" w:color="auto"/>
              <w:right w:val="single" w:sz="4" w:space="0" w:color="auto"/>
            </w:tcBorders>
            <w:shd w:val="clear" w:color="000000" w:fill="FFFFFF"/>
            <w:hideMark/>
          </w:tcPr>
          <w:p w:rsidR="00D11D07" w:rsidRPr="00E97254" w:rsidRDefault="004E1F53" w:rsidP="000C0250">
            <w:pPr>
              <w:spacing w:after="0"/>
              <w:jc w:val="right"/>
              <w:rPr>
                <w:rFonts w:ascii="Calibri" w:eastAsia="Times New Roman" w:hAnsi="Calibri" w:cs="Calibri"/>
                <w:sz w:val="20"/>
                <w:szCs w:val="20"/>
              </w:rPr>
            </w:pPr>
            <w:r>
              <w:rPr>
                <w:rFonts w:ascii="Calibri" w:eastAsia="Times New Roman" w:hAnsi="Calibri" w:cs="Calibri"/>
                <w:sz w:val="20"/>
                <w:szCs w:val="20"/>
              </w:rPr>
              <w:t>15.6</w:t>
            </w:r>
          </w:p>
        </w:tc>
        <w:tc>
          <w:tcPr>
            <w:tcW w:w="1053" w:type="dxa"/>
            <w:tcBorders>
              <w:top w:val="nil"/>
              <w:left w:val="nil"/>
              <w:bottom w:val="single" w:sz="4" w:space="0" w:color="auto"/>
              <w:right w:val="single" w:sz="4" w:space="0" w:color="auto"/>
            </w:tcBorders>
            <w:shd w:val="clear" w:color="000000" w:fill="FFFFFF"/>
            <w:hideMark/>
          </w:tcPr>
          <w:p w:rsidR="00D11D07" w:rsidRPr="00E97254" w:rsidRDefault="004E1F53" w:rsidP="000C0250">
            <w:pPr>
              <w:spacing w:after="0"/>
              <w:jc w:val="right"/>
              <w:rPr>
                <w:rFonts w:ascii="Calibri" w:eastAsia="Times New Roman" w:hAnsi="Calibri" w:cs="Calibri"/>
                <w:sz w:val="20"/>
                <w:szCs w:val="20"/>
              </w:rPr>
            </w:pPr>
            <w:r>
              <w:rPr>
                <w:rFonts w:ascii="Calibri" w:eastAsia="Times New Roman" w:hAnsi="Calibri" w:cs="Calibri"/>
                <w:sz w:val="20"/>
                <w:szCs w:val="20"/>
              </w:rPr>
              <w:t>4,452</w:t>
            </w:r>
          </w:p>
        </w:tc>
        <w:tc>
          <w:tcPr>
            <w:tcW w:w="1053" w:type="dxa"/>
            <w:tcBorders>
              <w:top w:val="nil"/>
              <w:left w:val="nil"/>
              <w:bottom w:val="single" w:sz="4" w:space="0" w:color="auto"/>
              <w:right w:val="single" w:sz="4" w:space="0" w:color="auto"/>
            </w:tcBorders>
            <w:shd w:val="clear" w:color="000000" w:fill="FFFFFF"/>
            <w:hideMark/>
          </w:tcPr>
          <w:p w:rsidR="00D11D07" w:rsidRPr="00E97254" w:rsidRDefault="004E1F53" w:rsidP="000C0250">
            <w:pPr>
              <w:spacing w:after="0"/>
              <w:jc w:val="right"/>
              <w:rPr>
                <w:rFonts w:ascii="Calibri" w:eastAsia="Times New Roman" w:hAnsi="Calibri" w:cs="Calibri"/>
                <w:color w:val="000000"/>
                <w:sz w:val="20"/>
                <w:szCs w:val="20"/>
              </w:rPr>
            </w:pPr>
            <w:r>
              <w:rPr>
                <w:rFonts w:ascii="Calibri" w:eastAsia="Times New Roman" w:hAnsi="Calibri" w:cs="Calibri"/>
                <w:color w:val="000000"/>
                <w:sz w:val="20"/>
                <w:szCs w:val="20"/>
              </w:rPr>
              <w:t>15.5</w:t>
            </w:r>
          </w:p>
        </w:tc>
        <w:tc>
          <w:tcPr>
            <w:tcW w:w="848" w:type="dxa"/>
            <w:tcBorders>
              <w:top w:val="nil"/>
              <w:left w:val="nil"/>
              <w:bottom w:val="single" w:sz="4" w:space="0" w:color="auto"/>
              <w:right w:val="single" w:sz="4" w:space="0" w:color="auto"/>
            </w:tcBorders>
            <w:shd w:val="clear" w:color="000000" w:fill="FFFFFF"/>
            <w:hideMark/>
          </w:tcPr>
          <w:p w:rsidR="00D11D07" w:rsidRPr="00E97254" w:rsidRDefault="004E1F53" w:rsidP="000C0250">
            <w:pPr>
              <w:spacing w:after="0"/>
              <w:jc w:val="right"/>
              <w:rPr>
                <w:rFonts w:ascii="Calibri" w:eastAsia="Times New Roman" w:hAnsi="Calibri" w:cs="Calibri"/>
                <w:sz w:val="20"/>
                <w:szCs w:val="20"/>
              </w:rPr>
            </w:pPr>
            <w:r>
              <w:rPr>
                <w:rFonts w:ascii="Calibri" w:eastAsia="Times New Roman" w:hAnsi="Calibri" w:cs="Calibri"/>
                <w:sz w:val="20"/>
                <w:szCs w:val="20"/>
              </w:rPr>
              <w:t>22,634</w:t>
            </w:r>
          </w:p>
        </w:tc>
        <w:tc>
          <w:tcPr>
            <w:tcW w:w="892" w:type="dxa"/>
            <w:tcBorders>
              <w:top w:val="nil"/>
              <w:left w:val="nil"/>
              <w:bottom w:val="single" w:sz="4" w:space="0" w:color="auto"/>
              <w:right w:val="single" w:sz="4" w:space="0" w:color="auto"/>
            </w:tcBorders>
            <w:shd w:val="clear" w:color="000000" w:fill="FFFFFF"/>
            <w:hideMark/>
          </w:tcPr>
          <w:p w:rsidR="00D11D07" w:rsidRPr="00E97254" w:rsidRDefault="004E1F53" w:rsidP="000C0250">
            <w:pPr>
              <w:spacing w:after="0"/>
              <w:jc w:val="right"/>
              <w:rPr>
                <w:rFonts w:ascii="Calibri" w:eastAsia="Times New Roman" w:hAnsi="Calibri" w:cs="Calibri"/>
                <w:color w:val="000000"/>
                <w:sz w:val="20"/>
                <w:szCs w:val="20"/>
              </w:rPr>
            </w:pPr>
            <w:r>
              <w:rPr>
                <w:rFonts w:ascii="Calibri" w:eastAsia="Times New Roman" w:hAnsi="Calibri" w:cs="Calibri"/>
                <w:color w:val="000000"/>
                <w:sz w:val="20"/>
                <w:szCs w:val="20"/>
              </w:rPr>
              <w:t>15.0</w:t>
            </w:r>
          </w:p>
        </w:tc>
        <w:tc>
          <w:tcPr>
            <w:tcW w:w="848" w:type="dxa"/>
            <w:tcBorders>
              <w:top w:val="nil"/>
              <w:left w:val="nil"/>
              <w:bottom w:val="single" w:sz="4" w:space="0" w:color="auto"/>
              <w:right w:val="single" w:sz="4" w:space="0" w:color="auto"/>
            </w:tcBorders>
            <w:shd w:val="clear" w:color="000000" w:fill="FFFFFF"/>
            <w:hideMark/>
          </w:tcPr>
          <w:p w:rsidR="00D11D07" w:rsidRPr="00E97254" w:rsidRDefault="004E1F53" w:rsidP="000C0250">
            <w:pPr>
              <w:spacing w:after="0"/>
              <w:jc w:val="right"/>
              <w:rPr>
                <w:rFonts w:ascii="Calibri" w:eastAsia="Times New Roman" w:hAnsi="Calibri" w:cs="Calibri"/>
                <w:sz w:val="20"/>
                <w:szCs w:val="20"/>
              </w:rPr>
            </w:pPr>
            <w:r>
              <w:rPr>
                <w:rFonts w:ascii="Calibri" w:eastAsia="Times New Roman" w:hAnsi="Calibri" w:cs="Calibri"/>
                <w:sz w:val="20"/>
                <w:szCs w:val="20"/>
              </w:rPr>
              <w:t>8,606</w:t>
            </w:r>
          </w:p>
        </w:tc>
        <w:tc>
          <w:tcPr>
            <w:tcW w:w="892" w:type="dxa"/>
            <w:tcBorders>
              <w:top w:val="nil"/>
              <w:left w:val="nil"/>
              <w:bottom w:val="single" w:sz="4" w:space="0" w:color="auto"/>
              <w:right w:val="single" w:sz="4" w:space="0" w:color="auto"/>
            </w:tcBorders>
            <w:shd w:val="clear" w:color="000000" w:fill="FFFFFF"/>
            <w:hideMark/>
          </w:tcPr>
          <w:p w:rsidR="00D11D07" w:rsidRPr="00E97254" w:rsidRDefault="004E1F53" w:rsidP="000C0250">
            <w:pPr>
              <w:spacing w:after="0"/>
              <w:jc w:val="right"/>
              <w:rPr>
                <w:rFonts w:ascii="Calibri" w:eastAsia="Times New Roman" w:hAnsi="Calibri" w:cs="Calibri"/>
                <w:color w:val="000000"/>
                <w:sz w:val="20"/>
                <w:szCs w:val="20"/>
              </w:rPr>
            </w:pPr>
            <w:r>
              <w:rPr>
                <w:rFonts w:ascii="Calibri" w:eastAsia="Times New Roman" w:hAnsi="Calibri" w:cs="Calibri"/>
                <w:color w:val="000000"/>
                <w:sz w:val="20"/>
                <w:szCs w:val="20"/>
              </w:rPr>
              <w:t>15.7</w:t>
            </w:r>
          </w:p>
        </w:tc>
      </w:tr>
      <w:tr w:rsidR="00D11D07" w:rsidRPr="00E97254" w:rsidTr="00403F5F">
        <w:trPr>
          <w:trHeight w:val="300"/>
        </w:trPr>
        <w:tc>
          <w:tcPr>
            <w:tcW w:w="1181" w:type="dxa"/>
            <w:tcBorders>
              <w:top w:val="nil"/>
              <w:left w:val="single" w:sz="4" w:space="0" w:color="auto"/>
              <w:bottom w:val="single" w:sz="4" w:space="0" w:color="auto"/>
              <w:right w:val="single" w:sz="4" w:space="0" w:color="auto"/>
            </w:tcBorders>
            <w:shd w:val="clear" w:color="000000" w:fill="FFFFFF"/>
            <w:hideMark/>
          </w:tcPr>
          <w:p w:rsidR="00D11D07" w:rsidRPr="00E97254" w:rsidRDefault="004E1F53" w:rsidP="000C0250">
            <w:pPr>
              <w:spacing w:after="0"/>
              <w:jc w:val="center"/>
              <w:rPr>
                <w:rFonts w:ascii="Calibri" w:eastAsia="Times New Roman" w:hAnsi="Calibri" w:cs="Calibri"/>
                <w:sz w:val="20"/>
                <w:szCs w:val="20"/>
              </w:rPr>
            </w:pPr>
            <w:r>
              <w:rPr>
                <w:rFonts w:ascii="Calibri" w:eastAsia="Times New Roman" w:hAnsi="Calibri" w:cs="Calibri"/>
                <w:sz w:val="20"/>
                <w:szCs w:val="20"/>
              </w:rPr>
              <w:t>2014-2015</w:t>
            </w:r>
          </w:p>
        </w:tc>
        <w:tc>
          <w:tcPr>
            <w:tcW w:w="848" w:type="dxa"/>
            <w:tcBorders>
              <w:top w:val="nil"/>
              <w:left w:val="nil"/>
              <w:bottom w:val="single" w:sz="4" w:space="0" w:color="auto"/>
              <w:right w:val="single" w:sz="4" w:space="0" w:color="auto"/>
            </w:tcBorders>
            <w:shd w:val="clear" w:color="000000" w:fill="FFFFFF"/>
            <w:hideMark/>
          </w:tcPr>
          <w:p w:rsidR="00D11D07" w:rsidRPr="00E97254" w:rsidRDefault="004E1F53" w:rsidP="000C0250">
            <w:pPr>
              <w:spacing w:after="0"/>
              <w:jc w:val="right"/>
              <w:rPr>
                <w:rFonts w:ascii="Calibri" w:eastAsia="Times New Roman" w:hAnsi="Calibri" w:cs="Calibri"/>
                <w:sz w:val="20"/>
                <w:szCs w:val="20"/>
              </w:rPr>
            </w:pPr>
            <w:r>
              <w:rPr>
                <w:rFonts w:ascii="Calibri" w:eastAsia="Times New Roman" w:hAnsi="Calibri" w:cs="Calibri"/>
                <w:sz w:val="20"/>
                <w:szCs w:val="20"/>
              </w:rPr>
              <w:t>34,927</w:t>
            </w:r>
          </w:p>
        </w:tc>
        <w:tc>
          <w:tcPr>
            <w:tcW w:w="892" w:type="dxa"/>
            <w:tcBorders>
              <w:top w:val="nil"/>
              <w:left w:val="nil"/>
              <w:bottom w:val="single" w:sz="4" w:space="0" w:color="auto"/>
              <w:right w:val="single" w:sz="4" w:space="0" w:color="auto"/>
            </w:tcBorders>
            <w:shd w:val="clear" w:color="000000" w:fill="FFFFFF"/>
            <w:hideMark/>
          </w:tcPr>
          <w:p w:rsidR="00D11D07" w:rsidRPr="00E97254" w:rsidRDefault="004E1F53" w:rsidP="000C0250">
            <w:pPr>
              <w:spacing w:after="0"/>
              <w:jc w:val="right"/>
              <w:rPr>
                <w:rFonts w:ascii="Calibri" w:eastAsia="Times New Roman" w:hAnsi="Calibri" w:cs="Calibri"/>
                <w:sz w:val="20"/>
                <w:szCs w:val="20"/>
              </w:rPr>
            </w:pPr>
            <w:r>
              <w:rPr>
                <w:rFonts w:ascii="Calibri" w:eastAsia="Times New Roman" w:hAnsi="Calibri" w:cs="Calibri"/>
                <w:sz w:val="20"/>
                <w:szCs w:val="20"/>
              </w:rPr>
              <w:t>15.4</w:t>
            </w:r>
          </w:p>
        </w:tc>
        <w:tc>
          <w:tcPr>
            <w:tcW w:w="1053" w:type="dxa"/>
            <w:tcBorders>
              <w:top w:val="nil"/>
              <w:left w:val="nil"/>
              <w:bottom w:val="single" w:sz="4" w:space="0" w:color="auto"/>
              <w:right w:val="single" w:sz="4" w:space="0" w:color="auto"/>
            </w:tcBorders>
            <w:shd w:val="clear" w:color="000000" w:fill="FFFFFF"/>
            <w:hideMark/>
          </w:tcPr>
          <w:p w:rsidR="00D11D07" w:rsidRPr="00E97254" w:rsidRDefault="004E1F53" w:rsidP="000C0250">
            <w:pPr>
              <w:spacing w:after="0"/>
              <w:jc w:val="right"/>
              <w:rPr>
                <w:rFonts w:ascii="Calibri" w:eastAsia="Times New Roman" w:hAnsi="Calibri" w:cs="Calibri"/>
                <w:sz w:val="20"/>
                <w:szCs w:val="20"/>
              </w:rPr>
            </w:pPr>
            <w:r>
              <w:rPr>
                <w:rFonts w:ascii="Calibri" w:eastAsia="Times New Roman" w:hAnsi="Calibri" w:cs="Calibri"/>
                <w:sz w:val="20"/>
                <w:szCs w:val="20"/>
              </w:rPr>
              <w:t>4,495</w:t>
            </w:r>
          </w:p>
        </w:tc>
        <w:tc>
          <w:tcPr>
            <w:tcW w:w="1053" w:type="dxa"/>
            <w:tcBorders>
              <w:top w:val="nil"/>
              <w:left w:val="nil"/>
              <w:bottom w:val="single" w:sz="4" w:space="0" w:color="auto"/>
              <w:right w:val="single" w:sz="4" w:space="0" w:color="auto"/>
            </w:tcBorders>
            <w:shd w:val="clear" w:color="000000" w:fill="FFFFFF"/>
            <w:hideMark/>
          </w:tcPr>
          <w:p w:rsidR="00D11D07" w:rsidRPr="00E97254" w:rsidRDefault="004E1F53" w:rsidP="000C0250">
            <w:pPr>
              <w:spacing w:after="0"/>
              <w:jc w:val="right"/>
              <w:rPr>
                <w:rFonts w:ascii="Calibri" w:eastAsia="Times New Roman" w:hAnsi="Calibri" w:cs="Calibri"/>
                <w:color w:val="000000"/>
                <w:sz w:val="20"/>
                <w:szCs w:val="20"/>
              </w:rPr>
            </w:pPr>
            <w:r>
              <w:rPr>
                <w:rFonts w:ascii="Calibri" w:eastAsia="Times New Roman" w:hAnsi="Calibri" w:cs="Calibri"/>
                <w:color w:val="000000"/>
                <w:sz w:val="20"/>
                <w:szCs w:val="20"/>
              </w:rPr>
              <w:t>15.5</w:t>
            </w:r>
          </w:p>
        </w:tc>
        <w:tc>
          <w:tcPr>
            <w:tcW w:w="848" w:type="dxa"/>
            <w:tcBorders>
              <w:top w:val="nil"/>
              <w:left w:val="nil"/>
              <w:bottom w:val="single" w:sz="4" w:space="0" w:color="auto"/>
              <w:right w:val="single" w:sz="4" w:space="0" w:color="auto"/>
            </w:tcBorders>
            <w:shd w:val="clear" w:color="000000" w:fill="FFFFFF"/>
            <w:hideMark/>
          </w:tcPr>
          <w:p w:rsidR="00D11D07" w:rsidRPr="00E97254" w:rsidRDefault="004E1F53" w:rsidP="000C0250">
            <w:pPr>
              <w:spacing w:after="0"/>
              <w:jc w:val="right"/>
              <w:rPr>
                <w:rFonts w:ascii="Calibri" w:eastAsia="Times New Roman" w:hAnsi="Calibri" w:cs="Calibri"/>
                <w:sz w:val="20"/>
                <w:szCs w:val="20"/>
              </w:rPr>
            </w:pPr>
            <w:r>
              <w:rPr>
                <w:rFonts w:ascii="Calibri" w:eastAsia="Times New Roman" w:hAnsi="Calibri" w:cs="Calibri"/>
                <w:sz w:val="20"/>
                <w:szCs w:val="20"/>
              </w:rPr>
              <w:t>21,761</w:t>
            </w:r>
          </w:p>
        </w:tc>
        <w:tc>
          <w:tcPr>
            <w:tcW w:w="892" w:type="dxa"/>
            <w:tcBorders>
              <w:top w:val="nil"/>
              <w:left w:val="nil"/>
              <w:bottom w:val="single" w:sz="4" w:space="0" w:color="auto"/>
              <w:right w:val="single" w:sz="4" w:space="0" w:color="auto"/>
            </w:tcBorders>
            <w:shd w:val="clear" w:color="000000" w:fill="FFFFFF"/>
            <w:hideMark/>
          </w:tcPr>
          <w:p w:rsidR="00D11D07" w:rsidRPr="00E97254" w:rsidRDefault="004E1F53" w:rsidP="000C0250">
            <w:pPr>
              <w:spacing w:after="0"/>
              <w:jc w:val="right"/>
              <w:rPr>
                <w:rFonts w:ascii="Calibri" w:eastAsia="Times New Roman" w:hAnsi="Calibri" w:cs="Calibri"/>
                <w:color w:val="000000"/>
                <w:sz w:val="20"/>
                <w:szCs w:val="20"/>
              </w:rPr>
            </w:pPr>
            <w:r>
              <w:rPr>
                <w:rFonts w:ascii="Calibri" w:eastAsia="Times New Roman" w:hAnsi="Calibri" w:cs="Calibri"/>
                <w:color w:val="000000"/>
                <w:sz w:val="20"/>
                <w:szCs w:val="20"/>
              </w:rPr>
              <w:t>15.0</w:t>
            </w:r>
          </w:p>
        </w:tc>
        <w:tc>
          <w:tcPr>
            <w:tcW w:w="848" w:type="dxa"/>
            <w:tcBorders>
              <w:top w:val="nil"/>
              <w:left w:val="nil"/>
              <w:bottom w:val="single" w:sz="4" w:space="0" w:color="auto"/>
              <w:right w:val="single" w:sz="4" w:space="0" w:color="auto"/>
            </w:tcBorders>
            <w:shd w:val="clear" w:color="000000" w:fill="FFFFFF"/>
            <w:hideMark/>
          </w:tcPr>
          <w:p w:rsidR="00D11D07" w:rsidRPr="00E97254" w:rsidRDefault="004E1F53" w:rsidP="000C0250">
            <w:pPr>
              <w:spacing w:after="0"/>
              <w:jc w:val="right"/>
              <w:rPr>
                <w:rFonts w:ascii="Calibri" w:eastAsia="Times New Roman" w:hAnsi="Calibri" w:cs="Calibri"/>
                <w:sz w:val="20"/>
                <w:szCs w:val="20"/>
              </w:rPr>
            </w:pPr>
            <w:r>
              <w:rPr>
                <w:rFonts w:ascii="Calibri" w:eastAsia="Times New Roman" w:hAnsi="Calibri" w:cs="Calibri"/>
                <w:sz w:val="20"/>
                <w:szCs w:val="20"/>
              </w:rPr>
              <w:t>8,671</w:t>
            </w:r>
          </w:p>
        </w:tc>
        <w:tc>
          <w:tcPr>
            <w:tcW w:w="892" w:type="dxa"/>
            <w:tcBorders>
              <w:top w:val="nil"/>
              <w:left w:val="nil"/>
              <w:bottom w:val="single" w:sz="4" w:space="0" w:color="auto"/>
              <w:right w:val="single" w:sz="4" w:space="0" w:color="auto"/>
            </w:tcBorders>
            <w:shd w:val="clear" w:color="000000" w:fill="FFFFFF"/>
            <w:hideMark/>
          </w:tcPr>
          <w:p w:rsidR="00D11D07" w:rsidRPr="00E97254" w:rsidRDefault="004E1F53" w:rsidP="000C0250">
            <w:pPr>
              <w:spacing w:after="0"/>
              <w:jc w:val="right"/>
              <w:rPr>
                <w:rFonts w:ascii="Calibri" w:eastAsia="Times New Roman" w:hAnsi="Calibri" w:cs="Calibri"/>
                <w:color w:val="000000"/>
                <w:sz w:val="20"/>
                <w:szCs w:val="20"/>
              </w:rPr>
            </w:pPr>
            <w:r>
              <w:rPr>
                <w:rFonts w:ascii="Calibri" w:eastAsia="Times New Roman" w:hAnsi="Calibri" w:cs="Calibri"/>
                <w:color w:val="000000"/>
                <w:sz w:val="20"/>
                <w:szCs w:val="20"/>
              </w:rPr>
              <w:t>15.0</w:t>
            </w:r>
          </w:p>
        </w:tc>
      </w:tr>
      <w:tr w:rsidR="00D11D07" w:rsidRPr="00E97254" w:rsidTr="00403F5F">
        <w:trPr>
          <w:trHeight w:val="300"/>
        </w:trPr>
        <w:tc>
          <w:tcPr>
            <w:tcW w:w="1181" w:type="dxa"/>
            <w:tcBorders>
              <w:top w:val="nil"/>
              <w:left w:val="single" w:sz="4" w:space="0" w:color="auto"/>
              <w:bottom w:val="single" w:sz="4" w:space="0" w:color="auto"/>
              <w:right w:val="single" w:sz="4" w:space="0" w:color="auto"/>
            </w:tcBorders>
            <w:shd w:val="clear" w:color="000000" w:fill="FFFFFF"/>
            <w:hideMark/>
          </w:tcPr>
          <w:p w:rsidR="00D11D07" w:rsidRPr="00E97254" w:rsidRDefault="004E1F53" w:rsidP="000C0250">
            <w:pPr>
              <w:spacing w:after="0"/>
              <w:jc w:val="center"/>
              <w:rPr>
                <w:rFonts w:ascii="Calibri" w:eastAsia="Times New Roman" w:hAnsi="Calibri" w:cs="Calibri"/>
                <w:sz w:val="20"/>
                <w:szCs w:val="20"/>
              </w:rPr>
            </w:pPr>
            <w:r>
              <w:rPr>
                <w:rFonts w:ascii="Calibri" w:eastAsia="Times New Roman" w:hAnsi="Calibri" w:cs="Calibri"/>
                <w:sz w:val="20"/>
                <w:szCs w:val="20"/>
              </w:rPr>
              <w:t>2015-2016</w:t>
            </w:r>
          </w:p>
        </w:tc>
        <w:tc>
          <w:tcPr>
            <w:tcW w:w="848" w:type="dxa"/>
            <w:tcBorders>
              <w:top w:val="nil"/>
              <w:left w:val="nil"/>
              <w:bottom w:val="single" w:sz="4" w:space="0" w:color="auto"/>
              <w:right w:val="single" w:sz="4" w:space="0" w:color="auto"/>
            </w:tcBorders>
            <w:shd w:val="clear" w:color="000000" w:fill="FFFFFF"/>
            <w:hideMark/>
          </w:tcPr>
          <w:p w:rsidR="00D11D07" w:rsidRPr="00E97254" w:rsidRDefault="004E1F53" w:rsidP="000C0250">
            <w:pPr>
              <w:spacing w:after="0"/>
              <w:jc w:val="right"/>
              <w:rPr>
                <w:rFonts w:ascii="Calibri" w:eastAsia="Times New Roman" w:hAnsi="Calibri" w:cs="Calibri"/>
                <w:sz w:val="20"/>
                <w:szCs w:val="20"/>
              </w:rPr>
            </w:pPr>
            <w:r>
              <w:rPr>
                <w:rFonts w:ascii="Calibri" w:eastAsia="Times New Roman" w:hAnsi="Calibri" w:cs="Calibri"/>
                <w:sz w:val="20"/>
                <w:szCs w:val="20"/>
              </w:rPr>
              <w:t>35,375</w:t>
            </w:r>
          </w:p>
        </w:tc>
        <w:tc>
          <w:tcPr>
            <w:tcW w:w="892" w:type="dxa"/>
            <w:tcBorders>
              <w:top w:val="nil"/>
              <w:left w:val="nil"/>
              <w:bottom w:val="single" w:sz="4" w:space="0" w:color="auto"/>
              <w:right w:val="single" w:sz="4" w:space="0" w:color="auto"/>
            </w:tcBorders>
            <w:shd w:val="clear" w:color="000000" w:fill="FFFFFF"/>
            <w:hideMark/>
          </w:tcPr>
          <w:p w:rsidR="00D11D07" w:rsidRPr="00E97254" w:rsidRDefault="004E1F53" w:rsidP="000C0250">
            <w:pPr>
              <w:spacing w:after="0"/>
              <w:jc w:val="right"/>
              <w:rPr>
                <w:rFonts w:ascii="Calibri" w:eastAsia="Times New Roman" w:hAnsi="Calibri" w:cs="Calibri"/>
                <w:sz w:val="20"/>
                <w:szCs w:val="20"/>
              </w:rPr>
            </w:pPr>
            <w:r>
              <w:rPr>
                <w:rFonts w:ascii="Calibri" w:eastAsia="Times New Roman" w:hAnsi="Calibri" w:cs="Calibri"/>
                <w:sz w:val="20"/>
                <w:szCs w:val="20"/>
              </w:rPr>
              <w:t>14.7</w:t>
            </w:r>
          </w:p>
        </w:tc>
        <w:tc>
          <w:tcPr>
            <w:tcW w:w="1053" w:type="dxa"/>
            <w:tcBorders>
              <w:top w:val="nil"/>
              <w:left w:val="nil"/>
              <w:bottom w:val="single" w:sz="4" w:space="0" w:color="auto"/>
              <w:right w:val="single" w:sz="4" w:space="0" w:color="auto"/>
            </w:tcBorders>
            <w:shd w:val="clear" w:color="000000" w:fill="FFFFFF"/>
            <w:hideMark/>
          </w:tcPr>
          <w:p w:rsidR="00D11D07" w:rsidRPr="00E97254" w:rsidRDefault="004E1F53" w:rsidP="000C0250">
            <w:pPr>
              <w:spacing w:after="0"/>
              <w:jc w:val="right"/>
              <w:rPr>
                <w:rFonts w:ascii="Calibri" w:eastAsia="Times New Roman" w:hAnsi="Calibri" w:cs="Calibri"/>
                <w:sz w:val="20"/>
                <w:szCs w:val="20"/>
              </w:rPr>
            </w:pPr>
            <w:r>
              <w:rPr>
                <w:rFonts w:ascii="Calibri" w:eastAsia="Times New Roman" w:hAnsi="Calibri" w:cs="Calibri"/>
                <w:sz w:val="20"/>
                <w:szCs w:val="20"/>
              </w:rPr>
              <w:t>4,672</w:t>
            </w:r>
          </w:p>
        </w:tc>
        <w:tc>
          <w:tcPr>
            <w:tcW w:w="1053" w:type="dxa"/>
            <w:tcBorders>
              <w:top w:val="nil"/>
              <w:left w:val="nil"/>
              <w:bottom w:val="single" w:sz="4" w:space="0" w:color="auto"/>
              <w:right w:val="single" w:sz="4" w:space="0" w:color="auto"/>
            </w:tcBorders>
            <w:shd w:val="clear" w:color="000000" w:fill="FFFFFF"/>
            <w:hideMark/>
          </w:tcPr>
          <w:p w:rsidR="00D11D07" w:rsidRPr="00E97254" w:rsidRDefault="004E1F53" w:rsidP="000C0250">
            <w:pPr>
              <w:spacing w:after="0"/>
              <w:jc w:val="right"/>
              <w:rPr>
                <w:rFonts w:ascii="Calibri" w:eastAsia="Times New Roman" w:hAnsi="Calibri" w:cs="Calibri"/>
                <w:color w:val="000000"/>
                <w:sz w:val="20"/>
                <w:szCs w:val="20"/>
              </w:rPr>
            </w:pPr>
            <w:r>
              <w:rPr>
                <w:rFonts w:ascii="Calibri" w:eastAsia="Times New Roman" w:hAnsi="Calibri" w:cs="Calibri"/>
                <w:color w:val="000000"/>
                <w:sz w:val="20"/>
                <w:szCs w:val="20"/>
              </w:rPr>
              <w:t>17.7</w:t>
            </w:r>
          </w:p>
        </w:tc>
        <w:tc>
          <w:tcPr>
            <w:tcW w:w="848" w:type="dxa"/>
            <w:tcBorders>
              <w:top w:val="nil"/>
              <w:left w:val="nil"/>
              <w:bottom w:val="single" w:sz="4" w:space="0" w:color="auto"/>
              <w:right w:val="single" w:sz="4" w:space="0" w:color="auto"/>
            </w:tcBorders>
            <w:shd w:val="clear" w:color="000000" w:fill="FFFFFF"/>
            <w:hideMark/>
          </w:tcPr>
          <w:p w:rsidR="00D11D07" w:rsidRPr="00E97254" w:rsidRDefault="004E1F53" w:rsidP="000C0250">
            <w:pPr>
              <w:spacing w:after="0"/>
              <w:jc w:val="right"/>
              <w:rPr>
                <w:rFonts w:ascii="Calibri" w:eastAsia="Times New Roman" w:hAnsi="Calibri" w:cs="Calibri"/>
                <w:sz w:val="20"/>
                <w:szCs w:val="20"/>
              </w:rPr>
            </w:pPr>
            <w:r>
              <w:rPr>
                <w:rFonts w:ascii="Calibri" w:eastAsia="Times New Roman" w:hAnsi="Calibri" w:cs="Calibri"/>
                <w:sz w:val="20"/>
                <w:szCs w:val="20"/>
              </w:rPr>
              <w:t>21,761</w:t>
            </w:r>
          </w:p>
        </w:tc>
        <w:tc>
          <w:tcPr>
            <w:tcW w:w="892" w:type="dxa"/>
            <w:tcBorders>
              <w:top w:val="nil"/>
              <w:left w:val="nil"/>
              <w:bottom w:val="single" w:sz="4" w:space="0" w:color="auto"/>
              <w:right w:val="single" w:sz="4" w:space="0" w:color="auto"/>
            </w:tcBorders>
            <w:shd w:val="clear" w:color="000000" w:fill="FFFFFF"/>
            <w:hideMark/>
          </w:tcPr>
          <w:p w:rsidR="00D11D07" w:rsidRPr="00E97254" w:rsidRDefault="004E1F53" w:rsidP="000C0250">
            <w:pPr>
              <w:spacing w:after="0"/>
              <w:jc w:val="right"/>
              <w:rPr>
                <w:rFonts w:ascii="Calibri" w:eastAsia="Times New Roman" w:hAnsi="Calibri" w:cs="Calibri"/>
                <w:color w:val="000000"/>
                <w:sz w:val="20"/>
                <w:szCs w:val="20"/>
              </w:rPr>
            </w:pPr>
            <w:r>
              <w:rPr>
                <w:rFonts w:ascii="Calibri" w:eastAsia="Times New Roman" w:hAnsi="Calibri" w:cs="Calibri"/>
                <w:color w:val="000000"/>
                <w:sz w:val="20"/>
                <w:szCs w:val="20"/>
              </w:rPr>
              <w:t>14.1</w:t>
            </w:r>
          </w:p>
        </w:tc>
        <w:tc>
          <w:tcPr>
            <w:tcW w:w="848" w:type="dxa"/>
            <w:tcBorders>
              <w:top w:val="nil"/>
              <w:left w:val="nil"/>
              <w:bottom w:val="single" w:sz="4" w:space="0" w:color="auto"/>
              <w:right w:val="single" w:sz="4" w:space="0" w:color="auto"/>
            </w:tcBorders>
            <w:shd w:val="clear" w:color="000000" w:fill="FFFFFF"/>
            <w:hideMark/>
          </w:tcPr>
          <w:p w:rsidR="00D11D07" w:rsidRPr="00E97254" w:rsidRDefault="004E1F53" w:rsidP="000C0250">
            <w:pPr>
              <w:spacing w:after="0"/>
              <w:jc w:val="right"/>
              <w:rPr>
                <w:rFonts w:ascii="Calibri" w:eastAsia="Times New Roman" w:hAnsi="Calibri" w:cs="Calibri"/>
                <w:sz w:val="20"/>
                <w:szCs w:val="20"/>
              </w:rPr>
            </w:pPr>
            <w:r>
              <w:rPr>
                <w:rFonts w:ascii="Calibri" w:eastAsia="Times New Roman" w:hAnsi="Calibri" w:cs="Calibri"/>
                <w:sz w:val="20"/>
                <w:szCs w:val="20"/>
              </w:rPr>
              <w:t>8,942</w:t>
            </w:r>
          </w:p>
        </w:tc>
        <w:tc>
          <w:tcPr>
            <w:tcW w:w="892" w:type="dxa"/>
            <w:tcBorders>
              <w:top w:val="nil"/>
              <w:left w:val="nil"/>
              <w:bottom w:val="single" w:sz="4" w:space="0" w:color="auto"/>
              <w:right w:val="single" w:sz="4" w:space="0" w:color="auto"/>
            </w:tcBorders>
            <w:shd w:val="clear" w:color="000000" w:fill="FFFFFF"/>
            <w:hideMark/>
          </w:tcPr>
          <w:p w:rsidR="00D11D07" w:rsidRPr="00E97254" w:rsidRDefault="004E1F53" w:rsidP="000C0250">
            <w:pPr>
              <w:spacing w:after="0"/>
              <w:jc w:val="right"/>
              <w:rPr>
                <w:rFonts w:ascii="Calibri" w:eastAsia="Times New Roman" w:hAnsi="Calibri" w:cs="Calibri"/>
                <w:color w:val="000000"/>
                <w:sz w:val="20"/>
                <w:szCs w:val="20"/>
              </w:rPr>
            </w:pPr>
            <w:r>
              <w:rPr>
                <w:rFonts w:ascii="Calibri" w:eastAsia="Times New Roman" w:hAnsi="Calibri" w:cs="Calibri"/>
                <w:color w:val="000000"/>
                <w:sz w:val="20"/>
                <w:szCs w:val="20"/>
              </w:rPr>
              <w:t>14.6</w:t>
            </w:r>
          </w:p>
        </w:tc>
      </w:tr>
      <w:tr w:rsidR="00D11D07" w:rsidRPr="00E97254" w:rsidTr="00403F5F">
        <w:trPr>
          <w:trHeight w:val="300"/>
        </w:trPr>
        <w:tc>
          <w:tcPr>
            <w:tcW w:w="1181" w:type="dxa"/>
            <w:tcBorders>
              <w:top w:val="nil"/>
              <w:left w:val="single" w:sz="4" w:space="0" w:color="auto"/>
              <w:bottom w:val="single" w:sz="4" w:space="0" w:color="auto"/>
              <w:right w:val="single" w:sz="4" w:space="0" w:color="auto"/>
            </w:tcBorders>
            <w:shd w:val="clear" w:color="000000" w:fill="FFFFFF"/>
            <w:hideMark/>
          </w:tcPr>
          <w:p w:rsidR="00D11D07" w:rsidRPr="00E97254" w:rsidRDefault="004E1F53" w:rsidP="000C0250">
            <w:pPr>
              <w:spacing w:after="0"/>
              <w:jc w:val="center"/>
              <w:rPr>
                <w:rFonts w:ascii="Calibri" w:eastAsia="Times New Roman" w:hAnsi="Calibri" w:cs="Calibri"/>
                <w:sz w:val="20"/>
                <w:szCs w:val="20"/>
              </w:rPr>
            </w:pPr>
            <w:r>
              <w:rPr>
                <w:rFonts w:ascii="Calibri" w:eastAsia="Times New Roman" w:hAnsi="Calibri" w:cs="Calibri"/>
                <w:sz w:val="20"/>
                <w:szCs w:val="20"/>
              </w:rPr>
              <w:t>2016-2017</w:t>
            </w:r>
          </w:p>
        </w:tc>
        <w:tc>
          <w:tcPr>
            <w:tcW w:w="848" w:type="dxa"/>
            <w:tcBorders>
              <w:top w:val="nil"/>
              <w:left w:val="nil"/>
              <w:bottom w:val="single" w:sz="4" w:space="0" w:color="auto"/>
              <w:right w:val="single" w:sz="4" w:space="0" w:color="auto"/>
            </w:tcBorders>
            <w:shd w:val="clear" w:color="000000" w:fill="FFFFFF"/>
            <w:hideMark/>
          </w:tcPr>
          <w:p w:rsidR="00D11D07" w:rsidRPr="00E97254" w:rsidRDefault="004E1F53" w:rsidP="000C0250">
            <w:pPr>
              <w:spacing w:after="0"/>
              <w:jc w:val="right"/>
              <w:rPr>
                <w:rFonts w:ascii="Calibri" w:eastAsia="Times New Roman" w:hAnsi="Calibri" w:cs="Calibri"/>
                <w:sz w:val="20"/>
                <w:szCs w:val="20"/>
              </w:rPr>
            </w:pPr>
            <w:r>
              <w:rPr>
                <w:rFonts w:ascii="Calibri" w:eastAsia="Times New Roman" w:hAnsi="Calibri" w:cs="Calibri"/>
                <w:sz w:val="20"/>
                <w:szCs w:val="20"/>
              </w:rPr>
              <w:t>34,636</w:t>
            </w:r>
          </w:p>
        </w:tc>
        <w:tc>
          <w:tcPr>
            <w:tcW w:w="892" w:type="dxa"/>
            <w:tcBorders>
              <w:top w:val="nil"/>
              <w:left w:val="nil"/>
              <w:bottom w:val="single" w:sz="4" w:space="0" w:color="auto"/>
              <w:right w:val="single" w:sz="4" w:space="0" w:color="auto"/>
            </w:tcBorders>
            <w:shd w:val="clear" w:color="000000" w:fill="FFFFFF"/>
            <w:hideMark/>
          </w:tcPr>
          <w:p w:rsidR="00D11D07" w:rsidRPr="00E97254" w:rsidRDefault="004E1F53" w:rsidP="000C0250">
            <w:pPr>
              <w:spacing w:after="0"/>
              <w:jc w:val="right"/>
              <w:rPr>
                <w:rFonts w:ascii="Calibri" w:eastAsia="Times New Roman" w:hAnsi="Calibri" w:cs="Calibri"/>
                <w:sz w:val="20"/>
                <w:szCs w:val="20"/>
              </w:rPr>
            </w:pPr>
            <w:r>
              <w:rPr>
                <w:rFonts w:ascii="Calibri" w:eastAsia="Times New Roman" w:hAnsi="Calibri" w:cs="Calibri"/>
                <w:sz w:val="20"/>
                <w:szCs w:val="20"/>
              </w:rPr>
              <w:t>14.4</w:t>
            </w:r>
          </w:p>
        </w:tc>
        <w:tc>
          <w:tcPr>
            <w:tcW w:w="1053" w:type="dxa"/>
            <w:tcBorders>
              <w:top w:val="nil"/>
              <w:left w:val="nil"/>
              <w:bottom w:val="single" w:sz="4" w:space="0" w:color="auto"/>
              <w:right w:val="single" w:sz="4" w:space="0" w:color="auto"/>
            </w:tcBorders>
            <w:shd w:val="clear" w:color="000000" w:fill="FFFFFF"/>
            <w:hideMark/>
          </w:tcPr>
          <w:p w:rsidR="00D11D07" w:rsidRPr="00E97254" w:rsidRDefault="004E1F53" w:rsidP="000C0250">
            <w:pPr>
              <w:spacing w:after="0"/>
              <w:jc w:val="right"/>
              <w:rPr>
                <w:rFonts w:ascii="Calibri" w:eastAsia="Times New Roman" w:hAnsi="Calibri" w:cs="Calibri"/>
                <w:sz w:val="20"/>
                <w:szCs w:val="20"/>
              </w:rPr>
            </w:pPr>
            <w:r>
              <w:rPr>
                <w:rFonts w:ascii="Calibri" w:eastAsia="Times New Roman" w:hAnsi="Calibri" w:cs="Calibri"/>
                <w:sz w:val="20"/>
                <w:szCs w:val="20"/>
              </w:rPr>
              <w:t>4,644</w:t>
            </w:r>
          </w:p>
        </w:tc>
        <w:tc>
          <w:tcPr>
            <w:tcW w:w="1053" w:type="dxa"/>
            <w:tcBorders>
              <w:top w:val="nil"/>
              <w:left w:val="nil"/>
              <w:bottom w:val="single" w:sz="4" w:space="0" w:color="auto"/>
              <w:right w:val="single" w:sz="4" w:space="0" w:color="auto"/>
            </w:tcBorders>
            <w:shd w:val="clear" w:color="000000" w:fill="FFFFFF"/>
            <w:hideMark/>
          </w:tcPr>
          <w:p w:rsidR="00D11D07" w:rsidRPr="00E97254" w:rsidRDefault="004E1F53" w:rsidP="000C0250">
            <w:pPr>
              <w:spacing w:after="0"/>
              <w:jc w:val="right"/>
              <w:rPr>
                <w:rFonts w:ascii="Calibri" w:eastAsia="Times New Roman" w:hAnsi="Calibri" w:cs="Calibri"/>
                <w:color w:val="000000"/>
                <w:sz w:val="20"/>
                <w:szCs w:val="20"/>
              </w:rPr>
            </w:pPr>
            <w:r>
              <w:rPr>
                <w:rFonts w:ascii="Calibri" w:eastAsia="Times New Roman" w:hAnsi="Calibri" w:cs="Calibri"/>
                <w:color w:val="000000"/>
                <w:sz w:val="20"/>
                <w:szCs w:val="20"/>
              </w:rPr>
              <w:t>17.5</w:t>
            </w:r>
          </w:p>
        </w:tc>
        <w:tc>
          <w:tcPr>
            <w:tcW w:w="848" w:type="dxa"/>
            <w:tcBorders>
              <w:top w:val="nil"/>
              <w:left w:val="nil"/>
              <w:bottom w:val="single" w:sz="4" w:space="0" w:color="auto"/>
              <w:right w:val="single" w:sz="4" w:space="0" w:color="auto"/>
            </w:tcBorders>
            <w:shd w:val="clear" w:color="000000" w:fill="FFFFFF"/>
            <w:hideMark/>
          </w:tcPr>
          <w:p w:rsidR="00D11D07" w:rsidRPr="00E97254" w:rsidRDefault="004E1F53" w:rsidP="000C0250">
            <w:pPr>
              <w:spacing w:after="0"/>
              <w:jc w:val="right"/>
              <w:rPr>
                <w:rFonts w:ascii="Calibri" w:eastAsia="Times New Roman" w:hAnsi="Calibri" w:cs="Calibri"/>
                <w:sz w:val="20"/>
                <w:szCs w:val="20"/>
              </w:rPr>
            </w:pPr>
            <w:r>
              <w:rPr>
                <w:rFonts w:ascii="Calibri" w:eastAsia="Times New Roman" w:hAnsi="Calibri" w:cs="Calibri"/>
                <w:sz w:val="20"/>
                <w:szCs w:val="20"/>
              </w:rPr>
              <w:t>21,322</w:t>
            </w:r>
          </w:p>
        </w:tc>
        <w:tc>
          <w:tcPr>
            <w:tcW w:w="892" w:type="dxa"/>
            <w:tcBorders>
              <w:top w:val="nil"/>
              <w:left w:val="nil"/>
              <w:bottom w:val="single" w:sz="4" w:space="0" w:color="auto"/>
              <w:right w:val="single" w:sz="4" w:space="0" w:color="auto"/>
            </w:tcBorders>
            <w:shd w:val="clear" w:color="000000" w:fill="FFFFFF"/>
            <w:hideMark/>
          </w:tcPr>
          <w:p w:rsidR="00D11D07" w:rsidRPr="00E97254" w:rsidRDefault="004E1F53" w:rsidP="000C0250">
            <w:pPr>
              <w:spacing w:after="0"/>
              <w:jc w:val="right"/>
              <w:rPr>
                <w:rFonts w:ascii="Calibri" w:eastAsia="Times New Roman" w:hAnsi="Calibri" w:cs="Calibri"/>
                <w:color w:val="000000"/>
                <w:sz w:val="20"/>
                <w:szCs w:val="20"/>
              </w:rPr>
            </w:pPr>
            <w:r>
              <w:rPr>
                <w:rFonts w:ascii="Calibri" w:eastAsia="Times New Roman" w:hAnsi="Calibri" w:cs="Calibri"/>
                <w:color w:val="000000"/>
                <w:sz w:val="20"/>
                <w:szCs w:val="20"/>
              </w:rPr>
              <w:t>13.7</w:t>
            </w:r>
          </w:p>
        </w:tc>
        <w:tc>
          <w:tcPr>
            <w:tcW w:w="848" w:type="dxa"/>
            <w:tcBorders>
              <w:top w:val="nil"/>
              <w:left w:val="nil"/>
              <w:bottom w:val="single" w:sz="4" w:space="0" w:color="auto"/>
              <w:right w:val="single" w:sz="4" w:space="0" w:color="auto"/>
            </w:tcBorders>
            <w:shd w:val="clear" w:color="000000" w:fill="FFFFFF"/>
            <w:hideMark/>
          </w:tcPr>
          <w:p w:rsidR="00D11D07" w:rsidRPr="00E97254" w:rsidRDefault="004E1F53" w:rsidP="000C0250">
            <w:pPr>
              <w:spacing w:after="0"/>
              <w:jc w:val="right"/>
              <w:rPr>
                <w:rFonts w:ascii="Calibri" w:eastAsia="Times New Roman" w:hAnsi="Calibri" w:cs="Calibri"/>
                <w:sz w:val="20"/>
                <w:szCs w:val="20"/>
              </w:rPr>
            </w:pPr>
            <w:r>
              <w:rPr>
                <w:rFonts w:ascii="Calibri" w:eastAsia="Times New Roman" w:hAnsi="Calibri" w:cs="Calibri"/>
                <w:sz w:val="20"/>
                <w:szCs w:val="20"/>
              </w:rPr>
              <w:t>8,670</w:t>
            </w:r>
          </w:p>
        </w:tc>
        <w:tc>
          <w:tcPr>
            <w:tcW w:w="892" w:type="dxa"/>
            <w:tcBorders>
              <w:top w:val="nil"/>
              <w:left w:val="nil"/>
              <w:bottom w:val="single" w:sz="4" w:space="0" w:color="auto"/>
              <w:right w:val="single" w:sz="4" w:space="0" w:color="auto"/>
            </w:tcBorders>
            <w:shd w:val="clear" w:color="000000" w:fill="FFFFFF"/>
            <w:hideMark/>
          </w:tcPr>
          <w:p w:rsidR="00D11D07" w:rsidRPr="00E97254" w:rsidRDefault="004E1F53" w:rsidP="000C0250">
            <w:pPr>
              <w:spacing w:after="0"/>
              <w:jc w:val="right"/>
              <w:rPr>
                <w:rFonts w:ascii="Calibri" w:eastAsia="Times New Roman" w:hAnsi="Calibri" w:cs="Calibri"/>
                <w:color w:val="000000"/>
                <w:sz w:val="20"/>
                <w:szCs w:val="20"/>
              </w:rPr>
            </w:pPr>
            <w:r>
              <w:rPr>
                <w:rFonts w:ascii="Calibri" w:eastAsia="Times New Roman" w:hAnsi="Calibri" w:cs="Calibri"/>
                <w:color w:val="000000"/>
                <w:sz w:val="20"/>
                <w:szCs w:val="20"/>
              </w:rPr>
              <w:t>14.5</w:t>
            </w:r>
          </w:p>
        </w:tc>
      </w:tr>
      <w:tr w:rsidR="00D11D07" w:rsidRPr="00E97254" w:rsidTr="00403F5F">
        <w:trPr>
          <w:trHeight w:val="300"/>
        </w:trPr>
        <w:tc>
          <w:tcPr>
            <w:tcW w:w="1181" w:type="dxa"/>
            <w:tcBorders>
              <w:top w:val="nil"/>
              <w:left w:val="single" w:sz="4" w:space="0" w:color="auto"/>
              <w:bottom w:val="single" w:sz="4" w:space="0" w:color="auto"/>
              <w:right w:val="single" w:sz="4" w:space="0" w:color="auto"/>
            </w:tcBorders>
            <w:shd w:val="clear" w:color="000000" w:fill="FFFFFF"/>
            <w:hideMark/>
          </w:tcPr>
          <w:p w:rsidR="00D11D07" w:rsidRPr="00E97254" w:rsidRDefault="004E1F53" w:rsidP="000C0250">
            <w:pPr>
              <w:spacing w:after="0"/>
              <w:jc w:val="center"/>
              <w:rPr>
                <w:rFonts w:ascii="Calibri" w:eastAsia="Times New Roman" w:hAnsi="Calibri" w:cs="Calibri"/>
                <w:sz w:val="20"/>
                <w:szCs w:val="20"/>
              </w:rPr>
            </w:pPr>
            <w:r>
              <w:rPr>
                <w:rFonts w:ascii="Calibri" w:eastAsia="Times New Roman" w:hAnsi="Calibri" w:cs="Calibri"/>
                <w:sz w:val="20"/>
                <w:szCs w:val="20"/>
              </w:rPr>
              <w:t>2017-2018</w:t>
            </w:r>
          </w:p>
        </w:tc>
        <w:tc>
          <w:tcPr>
            <w:tcW w:w="848" w:type="dxa"/>
            <w:tcBorders>
              <w:top w:val="nil"/>
              <w:left w:val="nil"/>
              <w:bottom w:val="single" w:sz="4" w:space="0" w:color="auto"/>
              <w:right w:val="single" w:sz="4" w:space="0" w:color="auto"/>
            </w:tcBorders>
            <w:shd w:val="clear" w:color="000000" w:fill="FFFFFF"/>
            <w:hideMark/>
          </w:tcPr>
          <w:p w:rsidR="00D11D07" w:rsidRPr="00E97254" w:rsidRDefault="004E1F53" w:rsidP="000C0250">
            <w:pPr>
              <w:spacing w:after="0"/>
              <w:jc w:val="right"/>
              <w:rPr>
                <w:rFonts w:ascii="Calibri" w:eastAsia="Times New Roman" w:hAnsi="Calibri" w:cs="Calibri"/>
                <w:sz w:val="20"/>
                <w:szCs w:val="20"/>
              </w:rPr>
            </w:pPr>
            <w:r>
              <w:rPr>
                <w:rFonts w:ascii="Calibri" w:eastAsia="Times New Roman" w:hAnsi="Calibri" w:cs="Calibri"/>
                <w:sz w:val="20"/>
                <w:szCs w:val="20"/>
              </w:rPr>
              <w:t>35,256</w:t>
            </w:r>
          </w:p>
        </w:tc>
        <w:tc>
          <w:tcPr>
            <w:tcW w:w="892" w:type="dxa"/>
            <w:tcBorders>
              <w:top w:val="nil"/>
              <w:left w:val="nil"/>
              <w:bottom w:val="single" w:sz="4" w:space="0" w:color="auto"/>
              <w:right w:val="single" w:sz="4" w:space="0" w:color="auto"/>
            </w:tcBorders>
            <w:shd w:val="clear" w:color="000000" w:fill="FFFFFF"/>
            <w:hideMark/>
          </w:tcPr>
          <w:p w:rsidR="00D11D07" w:rsidRPr="00E97254" w:rsidRDefault="004E1F53" w:rsidP="000C0250">
            <w:pPr>
              <w:spacing w:after="0"/>
              <w:jc w:val="right"/>
              <w:rPr>
                <w:rFonts w:ascii="Calibri" w:eastAsia="Times New Roman" w:hAnsi="Calibri" w:cs="Calibri"/>
                <w:sz w:val="20"/>
                <w:szCs w:val="20"/>
              </w:rPr>
            </w:pPr>
            <w:r>
              <w:rPr>
                <w:rFonts w:ascii="Calibri" w:eastAsia="Times New Roman" w:hAnsi="Calibri" w:cs="Calibri"/>
                <w:sz w:val="20"/>
                <w:szCs w:val="20"/>
              </w:rPr>
              <w:t>13.8</w:t>
            </w:r>
          </w:p>
        </w:tc>
        <w:tc>
          <w:tcPr>
            <w:tcW w:w="1053" w:type="dxa"/>
            <w:tcBorders>
              <w:top w:val="nil"/>
              <w:left w:val="nil"/>
              <w:bottom w:val="single" w:sz="4" w:space="0" w:color="auto"/>
              <w:right w:val="single" w:sz="4" w:space="0" w:color="auto"/>
            </w:tcBorders>
            <w:shd w:val="clear" w:color="000000" w:fill="FFFFFF"/>
            <w:hideMark/>
          </w:tcPr>
          <w:p w:rsidR="00D11D07" w:rsidRPr="00E97254" w:rsidRDefault="004E1F53" w:rsidP="000C0250">
            <w:pPr>
              <w:spacing w:after="0"/>
              <w:jc w:val="right"/>
              <w:rPr>
                <w:rFonts w:ascii="Calibri" w:eastAsia="Times New Roman" w:hAnsi="Calibri" w:cs="Calibri"/>
                <w:sz w:val="20"/>
                <w:szCs w:val="20"/>
              </w:rPr>
            </w:pPr>
            <w:r>
              <w:rPr>
                <w:rFonts w:ascii="Calibri" w:eastAsia="Times New Roman" w:hAnsi="Calibri" w:cs="Calibri"/>
                <w:sz w:val="20"/>
                <w:szCs w:val="20"/>
              </w:rPr>
              <w:t>4,740</w:t>
            </w:r>
          </w:p>
        </w:tc>
        <w:tc>
          <w:tcPr>
            <w:tcW w:w="1053" w:type="dxa"/>
            <w:tcBorders>
              <w:top w:val="nil"/>
              <w:left w:val="nil"/>
              <w:bottom w:val="single" w:sz="4" w:space="0" w:color="auto"/>
              <w:right w:val="single" w:sz="4" w:space="0" w:color="auto"/>
            </w:tcBorders>
            <w:shd w:val="clear" w:color="000000" w:fill="FFFFFF"/>
            <w:hideMark/>
          </w:tcPr>
          <w:p w:rsidR="00D11D07" w:rsidRPr="00E97254" w:rsidRDefault="004E1F53" w:rsidP="000C0250">
            <w:pPr>
              <w:spacing w:after="0"/>
              <w:jc w:val="right"/>
              <w:rPr>
                <w:rFonts w:ascii="Calibri" w:eastAsia="Times New Roman" w:hAnsi="Calibri" w:cs="Calibri"/>
                <w:color w:val="000000"/>
                <w:sz w:val="20"/>
                <w:szCs w:val="20"/>
              </w:rPr>
            </w:pPr>
            <w:r>
              <w:rPr>
                <w:rFonts w:ascii="Calibri" w:eastAsia="Times New Roman" w:hAnsi="Calibri" w:cs="Calibri"/>
                <w:color w:val="000000"/>
                <w:sz w:val="20"/>
                <w:szCs w:val="20"/>
              </w:rPr>
              <w:t>17.1</w:t>
            </w:r>
          </w:p>
        </w:tc>
        <w:tc>
          <w:tcPr>
            <w:tcW w:w="848" w:type="dxa"/>
            <w:tcBorders>
              <w:top w:val="nil"/>
              <w:left w:val="nil"/>
              <w:bottom w:val="single" w:sz="4" w:space="0" w:color="auto"/>
              <w:right w:val="single" w:sz="4" w:space="0" w:color="auto"/>
            </w:tcBorders>
            <w:shd w:val="clear" w:color="000000" w:fill="FFFFFF"/>
            <w:hideMark/>
          </w:tcPr>
          <w:p w:rsidR="00D11D07" w:rsidRPr="00E97254" w:rsidRDefault="004E1F53" w:rsidP="000C0250">
            <w:pPr>
              <w:spacing w:after="0"/>
              <w:jc w:val="right"/>
              <w:rPr>
                <w:rFonts w:ascii="Calibri" w:eastAsia="Times New Roman" w:hAnsi="Calibri" w:cs="Calibri"/>
                <w:sz w:val="20"/>
                <w:szCs w:val="20"/>
              </w:rPr>
            </w:pPr>
            <w:r>
              <w:rPr>
                <w:rFonts w:ascii="Calibri" w:eastAsia="Times New Roman" w:hAnsi="Calibri" w:cs="Calibri"/>
                <w:sz w:val="20"/>
                <w:szCs w:val="20"/>
              </w:rPr>
              <w:t>21,575</w:t>
            </w:r>
          </w:p>
        </w:tc>
        <w:tc>
          <w:tcPr>
            <w:tcW w:w="892" w:type="dxa"/>
            <w:tcBorders>
              <w:top w:val="nil"/>
              <w:left w:val="nil"/>
              <w:bottom w:val="single" w:sz="4" w:space="0" w:color="auto"/>
              <w:right w:val="single" w:sz="4" w:space="0" w:color="auto"/>
            </w:tcBorders>
            <w:shd w:val="clear" w:color="000000" w:fill="FFFFFF"/>
            <w:hideMark/>
          </w:tcPr>
          <w:p w:rsidR="00D11D07" w:rsidRPr="00E97254" w:rsidRDefault="004E1F53" w:rsidP="000C0250">
            <w:pPr>
              <w:spacing w:after="0"/>
              <w:jc w:val="right"/>
              <w:rPr>
                <w:rFonts w:ascii="Calibri" w:eastAsia="Times New Roman" w:hAnsi="Calibri" w:cs="Calibri"/>
                <w:color w:val="000000"/>
                <w:sz w:val="20"/>
                <w:szCs w:val="20"/>
              </w:rPr>
            </w:pPr>
            <w:r>
              <w:rPr>
                <w:rFonts w:ascii="Calibri" w:eastAsia="Times New Roman" w:hAnsi="Calibri" w:cs="Calibri"/>
                <w:color w:val="000000"/>
                <w:sz w:val="20"/>
                <w:szCs w:val="20"/>
              </w:rPr>
              <w:t>13.3</w:t>
            </w:r>
          </w:p>
        </w:tc>
        <w:tc>
          <w:tcPr>
            <w:tcW w:w="848" w:type="dxa"/>
            <w:tcBorders>
              <w:top w:val="nil"/>
              <w:left w:val="nil"/>
              <w:bottom w:val="single" w:sz="4" w:space="0" w:color="auto"/>
              <w:right w:val="single" w:sz="4" w:space="0" w:color="auto"/>
            </w:tcBorders>
            <w:shd w:val="clear" w:color="000000" w:fill="FFFFFF"/>
            <w:hideMark/>
          </w:tcPr>
          <w:p w:rsidR="00D11D07" w:rsidRPr="00E97254" w:rsidRDefault="004E1F53" w:rsidP="000C0250">
            <w:pPr>
              <w:spacing w:after="0"/>
              <w:jc w:val="right"/>
              <w:rPr>
                <w:rFonts w:ascii="Calibri" w:eastAsia="Times New Roman" w:hAnsi="Calibri" w:cs="Calibri"/>
                <w:sz w:val="20"/>
                <w:szCs w:val="20"/>
              </w:rPr>
            </w:pPr>
            <w:r>
              <w:rPr>
                <w:rFonts w:ascii="Calibri" w:eastAsia="Times New Roman" w:hAnsi="Calibri" w:cs="Calibri"/>
                <w:sz w:val="20"/>
                <w:szCs w:val="20"/>
              </w:rPr>
              <w:t>8,941</w:t>
            </w:r>
          </w:p>
        </w:tc>
        <w:tc>
          <w:tcPr>
            <w:tcW w:w="892" w:type="dxa"/>
            <w:tcBorders>
              <w:top w:val="nil"/>
              <w:left w:val="nil"/>
              <w:bottom w:val="single" w:sz="4" w:space="0" w:color="auto"/>
              <w:right w:val="single" w:sz="4" w:space="0" w:color="auto"/>
            </w:tcBorders>
            <w:shd w:val="clear" w:color="000000" w:fill="FFFFFF"/>
            <w:hideMark/>
          </w:tcPr>
          <w:p w:rsidR="00D11D07" w:rsidRPr="00E97254" w:rsidRDefault="004E1F53" w:rsidP="000C0250">
            <w:pPr>
              <w:spacing w:after="0"/>
              <w:jc w:val="right"/>
              <w:rPr>
                <w:rFonts w:ascii="Calibri" w:eastAsia="Times New Roman" w:hAnsi="Calibri" w:cs="Calibri"/>
                <w:color w:val="000000"/>
                <w:sz w:val="20"/>
                <w:szCs w:val="20"/>
              </w:rPr>
            </w:pPr>
            <w:r>
              <w:rPr>
                <w:rFonts w:ascii="Calibri" w:eastAsia="Times New Roman" w:hAnsi="Calibri" w:cs="Calibri"/>
                <w:color w:val="000000"/>
                <w:sz w:val="20"/>
                <w:szCs w:val="20"/>
              </w:rPr>
              <w:t>13.4</w:t>
            </w:r>
          </w:p>
        </w:tc>
      </w:tr>
      <w:tr w:rsidR="00D11D07" w:rsidRPr="00E97254" w:rsidTr="00403F5F">
        <w:trPr>
          <w:trHeight w:val="300"/>
        </w:trPr>
        <w:tc>
          <w:tcPr>
            <w:tcW w:w="1181" w:type="dxa"/>
            <w:tcBorders>
              <w:top w:val="nil"/>
              <w:left w:val="single" w:sz="4" w:space="0" w:color="auto"/>
              <w:bottom w:val="single" w:sz="4" w:space="0" w:color="auto"/>
              <w:right w:val="single" w:sz="4" w:space="0" w:color="auto"/>
            </w:tcBorders>
            <w:shd w:val="clear" w:color="000000" w:fill="FFFFFF"/>
            <w:hideMark/>
          </w:tcPr>
          <w:p w:rsidR="00D11D07" w:rsidRPr="00E97254" w:rsidRDefault="004E1F53" w:rsidP="000C0250">
            <w:pPr>
              <w:spacing w:after="0"/>
              <w:jc w:val="center"/>
              <w:rPr>
                <w:rFonts w:ascii="Calibri" w:eastAsia="Times New Roman" w:hAnsi="Calibri" w:cs="Calibri"/>
                <w:sz w:val="20"/>
                <w:szCs w:val="20"/>
              </w:rPr>
            </w:pPr>
            <w:r>
              <w:rPr>
                <w:rFonts w:ascii="Calibri" w:eastAsia="Times New Roman" w:hAnsi="Calibri" w:cs="Calibri"/>
                <w:sz w:val="20"/>
                <w:szCs w:val="20"/>
              </w:rPr>
              <w:t>2018-2019</w:t>
            </w:r>
          </w:p>
        </w:tc>
        <w:tc>
          <w:tcPr>
            <w:tcW w:w="848" w:type="dxa"/>
            <w:tcBorders>
              <w:top w:val="nil"/>
              <w:left w:val="nil"/>
              <w:bottom w:val="single" w:sz="4" w:space="0" w:color="auto"/>
              <w:right w:val="single" w:sz="4" w:space="0" w:color="auto"/>
            </w:tcBorders>
            <w:shd w:val="clear" w:color="000000" w:fill="FFFFFF"/>
            <w:hideMark/>
          </w:tcPr>
          <w:p w:rsidR="00D11D07" w:rsidRPr="00E97254" w:rsidRDefault="004E1F53" w:rsidP="000C0250">
            <w:pPr>
              <w:spacing w:after="0"/>
              <w:jc w:val="right"/>
              <w:rPr>
                <w:rFonts w:ascii="Calibri" w:eastAsia="Times New Roman" w:hAnsi="Calibri" w:cs="Calibri"/>
                <w:sz w:val="20"/>
                <w:szCs w:val="20"/>
              </w:rPr>
            </w:pPr>
            <w:r>
              <w:rPr>
                <w:rFonts w:ascii="Calibri" w:eastAsia="Times New Roman" w:hAnsi="Calibri" w:cs="Calibri"/>
                <w:sz w:val="20"/>
                <w:szCs w:val="20"/>
              </w:rPr>
              <w:t>35,772</w:t>
            </w:r>
          </w:p>
        </w:tc>
        <w:tc>
          <w:tcPr>
            <w:tcW w:w="892" w:type="dxa"/>
            <w:tcBorders>
              <w:top w:val="nil"/>
              <w:left w:val="nil"/>
              <w:bottom w:val="single" w:sz="4" w:space="0" w:color="auto"/>
              <w:right w:val="single" w:sz="4" w:space="0" w:color="auto"/>
            </w:tcBorders>
            <w:shd w:val="clear" w:color="000000" w:fill="FFFFFF"/>
            <w:hideMark/>
          </w:tcPr>
          <w:p w:rsidR="00D11D07" w:rsidRPr="00E97254" w:rsidRDefault="004E1F53" w:rsidP="000C0250">
            <w:pPr>
              <w:spacing w:after="0"/>
              <w:jc w:val="right"/>
              <w:rPr>
                <w:rFonts w:ascii="Calibri" w:eastAsia="Times New Roman" w:hAnsi="Calibri" w:cs="Calibri"/>
                <w:sz w:val="20"/>
                <w:szCs w:val="20"/>
              </w:rPr>
            </w:pPr>
            <w:r>
              <w:rPr>
                <w:rFonts w:ascii="Calibri" w:eastAsia="Times New Roman" w:hAnsi="Calibri" w:cs="Calibri"/>
                <w:sz w:val="20"/>
                <w:szCs w:val="20"/>
              </w:rPr>
              <w:t>13.3</w:t>
            </w:r>
          </w:p>
        </w:tc>
        <w:tc>
          <w:tcPr>
            <w:tcW w:w="1053" w:type="dxa"/>
            <w:tcBorders>
              <w:top w:val="nil"/>
              <w:left w:val="nil"/>
              <w:bottom w:val="single" w:sz="4" w:space="0" w:color="auto"/>
              <w:right w:val="single" w:sz="4" w:space="0" w:color="auto"/>
            </w:tcBorders>
            <w:shd w:val="clear" w:color="000000" w:fill="FFFFFF"/>
            <w:hideMark/>
          </w:tcPr>
          <w:p w:rsidR="00D11D07" w:rsidRPr="00E97254" w:rsidRDefault="004E1F53" w:rsidP="000C0250">
            <w:pPr>
              <w:spacing w:after="0"/>
              <w:jc w:val="right"/>
              <w:rPr>
                <w:rFonts w:ascii="Calibri" w:eastAsia="Times New Roman" w:hAnsi="Calibri" w:cs="Calibri"/>
                <w:sz w:val="20"/>
                <w:szCs w:val="20"/>
              </w:rPr>
            </w:pPr>
            <w:r>
              <w:rPr>
                <w:rFonts w:ascii="Calibri" w:eastAsia="Times New Roman" w:hAnsi="Calibri" w:cs="Calibri"/>
                <w:sz w:val="20"/>
                <w:szCs w:val="20"/>
              </w:rPr>
              <w:t>4,820</w:t>
            </w:r>
          </w:p>
        </w:tc>
        <w:tc>
          <w:tcPr>
            <w:tcW w:w="1053" w:type="dxa"/>
            <w:tcBorders>
              <w:top w:val="nil"/>
              <w:left w:val="nil"/>
              <w:bottom w:val="single" w:sz="4" w:space="0" w:color="auto"/>
              <w:right w:val="single" w:sz="4" w:space="0" w:color="auto"/>
            </w:tcBorders>
            <w:shd w:val="clear" w:color="000000" w:fill="FFFFFF"/>
            <w:hideMark/>
          </w:tcPr>
          <w:p w:rsidR="00D11D07" w:rsidRPr="00E97254" w:rsidRDefault="004E1F53" w:rsidP="000C0250">
            <w:pPr>
              <w:spacing w:after="0"/>
              <w:jc w:val="right"/>
              <w:rPr>
                <w:rFonts w:ascii="Calibri" w:eastAsia="Times New Roman" w:hAnsi="Calibri" w:cs="Calibri"/>
                <w:color w:val="000000"/>
                <w:sz w:val="20"/>
                <w:szCs w:val="20"/>
              </w:rPr>
            </w:pPr>
            <w:r>
              <w:rPr>
                <w:rFonts w:ascii="Calibri" w:eastAsia="Times New Roman" w:hAnsi="Calibri" w:cs="Calibri"/>
                <w:color w:val="000000"/>
                <w:sz w:val="20"/>
                <w:szCs w:val="20"/>
              </w:rPr>
              <w:t>16.4</w:t>
            </w:r>
          </w:p>
        </w:tc>
        <w:tc>
          <w:tcPr>
            <w:tcW w:w="848" w:type="dxa"/>
            <w:tcBorders>
              <w:top w:val="nil"/>
              <w:left w:val="nil"/>
              <w:bottom w:val="single" w:sz="4" w:space="0" w:color="auto"/>
              <w:right w:val="single" w:sz="4" w:space="0" w:color="auto"/>
            </w:tcBorders>
            <w:shd w:val="clear" w:color="000000" w:fill="FFFFFF"/>
            <w:hideMark/>
          </w:tcPr>
          <w:p w:rsidR="00D11D07" w:rsidRPr="00E97254" w:rsidRDefault="004E1F53" w:rsidP="000C0250">
            <w:pPr>
              <w:spacing w:after="0"/>
              <w:jc w:val="right"/>
              <w:rPr>
                <w:rFonts w:ascii="Calibri" w:eastAsia="Times New Roman" w:hAnsi="Calibri" w:cs="Calibri"/>
                <w:sz w:val="20"/>
                <w:szCs w:val="20"/>
              </w:rPr>
            </w:pPr>
            <w:r>
              <w:rPr>
                <w:rFonts w:ascii="Calibri" w:eastAsia="Times New Roman" w:hAnsi="Calibri" w:cs="Calibri"/>
                <w:sz w:val="20"/>
                <w:szCs w:val="20"/>
              </w:rPr>
              <w:t>22,024</w:t>
            </w:r>
          </w:p>
        </w:tc>
        <w:tc>
          <w:tcPr>
            <w:tcW w:w="892" w:type="dxa"/>
            <w:tcBorders>
              <w:top w:val="nil"/>
              <w:left w:val="nil"/>
              <w:bottom w:val="single" w:sz="4" w:space="0" w:color="auto"/>
              <w:right w:val="single" w:sz="4" w:space="0" w:color="auto"/>
            </w:tcBorders>
            <w:shd w:val="clear" w:color="000000" w:fill="FFFFFF"/>
            <w:hideMark/>
          </w:tcPr>
          <w:p w:rsidR="00D11D07" w:rsidRPr="00E97254" w:rsidRDefault="004E1F53" w:rsidP="000C0250">
            <w:pPr>
              <w:spacing w:after="0"/>
              <w:jc w:val="right"/>
              <w:rPr>
                <w:rFonts w:ascii="Calibri" w:eastAsia="Times New Roman" w:hAnsi="Calibri" w:cs="Calibri"/>
                <w:color w:val="000000"/>
                <w:sz w:val="20"/>
                <w:szCs w:val="20"/>
              </w:rPr>
            </w:pPr>
            <w:r>
              <w:rPr>
                <w:rFonts w:ascii="Calibri" w:eastAsia="Times New Roman" w:hAnsi="Calibri" w:cs="Calibri"/>
                <w:color w:val="000000"/>
                <w:sz w:val="20"/>
                <w:szCs w:val="20"/>
              </w:rPr>
              <w:t>12.8</w:t>
            </w:r>
          </w:p>
        </w:tc>
        <w:tc>
          <w:tcPr>
            <w:tcW w:w="848" w:type="dxa"/>
            <w:tcBorders>
              <w:top w:val="nil"/>
              <w:left w:val="nil"/>
              <w:bottom w:val="single" w:sz="4" w:space="0" w:color="auto"/>
              <w:right w:val="single" w:sz="4" w:space="0" w:color="auto"/>
            </w:tcBorders>
            <w:shd w:val="clear" w:color="000000" w:fill="FFFFFF"/>
            <w:hideMark/>
          </w:tcPr>
          <w:p w:rsidR="00D11D07" w:rsidRPr="00E97254" w:rsidRDefault="004E1F53" w:rsidP="000C0250">
            <w:pPr>
              <w:spacing w:after="0"/>
              <w:jc w:val="right"/>
              <w:rPr>
                <w:rFonts w:ascii="Calibri" w:eastAsia="Times New Roman" w:hAnsi="Calibri" w:cs="Calibri"/>
                <w:sz w:val="20"/>
                <w:szCs w:val="20"/>
              </w:rPr>
            </w:pPr>
            <w:r>
              <w:rPr>
                <w:rFonts w:ascii="Calibri" w:eastAsia="Times New Roman" w:hAnsi="Calibri" w:cs="Calibri"/>
                <w:sz w:val="20"/>
                <w:szCs w:val="20"/>
              </w:rPr>
              <w:t>8,928</w:t>
            </w:r>
          </w:p>
        </w:tc>
        <w:tc>
          <w:tcPr>
            <w:tcW w:w="892" w:type="dxa"/>
            <w:tcBorders>
              <w:top w:val="nil"/>
              <w:left w:val="nil"/>
              <w:bottom w:val="single" w:sz="4" w:space="0" w:color="auto"/>
              <w:right w:val="single" w:sz="4" w:space="0" w:color="auto"/>
            </w:tcBorders>
            <w:shd w:val="clear" w:color="000000" w:fill="FFFFFF"/>
            <w:hideMark/>
          </w:tcPr>
          <w:p w:rsidR="00D11D07" w:rsidRPr="00E97254" w:rsidRDefault="004E1F53" w:rsidP="000C0250">
            <w:pPr>
              <w:spacing w:after="0"/>
              <w:jc w:val="right"/>
              <w:rPr>
                <w:rFonts w:ascii="Calibri" w:eastAsia="Times New Roman" w:hAnsi="Calibri" w:cs="Calibri"/>
                <w:color w:val="000000"/>
                <w:sz w:val="20"/>
                <w:szCs w:val="20"/>
              </w:rPr>
            </w:pPr>
            <w:r>
              <w:rPr>
                <w:rFonts w:ascii="Calibri" w:eastAsia="Times New Roman" w:hAnsi="Calibri" w:cs="Calibri"/>
                <w:color w:val="000000"/>
                <w:sz w:val="20"/>
                <w:szCs w:val="20"/>
              </w:rPr>
              <w:t>13.0</w:t>
            </w:r>
          </w:p>
        </w:tc>
      </w:tr>
    </w:tbl>
    <w:p w:rsidR="00E257B3" w:rsidRPr="00E97254" w:rsidRDefault="00E257B3" w:rsidP="000C0250">
      <w:pPr>
        <w:spacing w:before="120"/>
        <w:jc w:val="both"/>
        <w:rPr>
          <w:rFonts w:cs="Calibri"/>
        </w:rPr>
      </w:pPr>
    </w:p>
    <w:p w:rsidR="00A03034" w:rsidRPr="00E97254" w:rsidRDefault="004E1F53" w:rsidP="000C0250">
      <w:pPr>
        <w:spacing w:before="120"/>
        <w:jc w:val="both"/>
        <w:rPr>
          <w:rFonts w:ascii="Calibri" w:hAnsi="Calibri" w:cs="Calibri"/>
        </w:rPr>
      </w:pPr>
      <w:r>
        <w:rPr>
          <w:rFonts w:cs="Calibri"/>
        </w:rPr>
        <w:t>Gjatë dy dekadave të fundit, mësuesit në Shqipëri u janë nënshtruar disa kërkesave të reja lidhur me formimin e tyre. Që nga viti 2007 me hyrjen e sistemit të Bolonjës programi për formimin fillestar të mësuesve ka zgjatur 3 vjet ose  3 + 1 vite ose 3 + 2 vite në varësi të llojit të profilit/lëndëve përkatëse.  Ligji nr. 80/2015</w:t>
      </w:r>
      <w:r w:rsidR="005924E3">
        <w:rPr>
          <w:rFonts w:cs="Calibri"/>
        </w:rPr>
        <w:t xml:space="preserve"> </w:t>
      </w:r>
      <w:r w:rsidR="00E53BD7" w:rsidRPr="00E97254">
        <w:rPr>
          <w:rFonts w:cs="Calibri"/>
        </w:rPr>
        <w:t xml:space="preserve">për Arsimin e Lartë </w:t>
      </w:r>
      <w:r w:rsidR="00B93E7B" w:rsidRPr="00E97254">
        <w:t xml:space="preserve"> </w:t>
      </w:r>
      <w:r w:rsidR="00B93E7B" w:rsidRPr="00E97254">
        <w:rPr>
          <w:rFonts w:cs="Calibri"/>
        </w:rPr>
        <w:t>dhe kërkimin shkencor në institucionet e arsimit të lartë në RSH</w:t>
      </w:r>
      <w:r w:rsidR="005924E3">
        <w:rPr>
          <w:rFonts w:cs="Calibri"/>
        </w:rPr>
        <w:t xml:space="preserve"> </w:t>
      </w:r>
      <w:r w:rsidR="00E53BD7" w:rsidRPr="00E97254">
        <w:rPr>
          <w:rFonts w:cs="Calibri"/>
        </w:rPr>
        <w:t xml:space="preserve">parashikon se </w:t>
      </w:r>
      <w:r w:rsidR="00EC32D7" w:rsidRPr="00E97254">
        <w:rPr>
          <w:rFonts w:cs="Calibri"/>
        </w:rPr>
        <w:t xml:space="preserve"> </w:t>
      </w:r>
      <w:r w:rsidR="00E53BD7" w:rsidRPr="00E97254">
        <w:rPr>
          <w:rFonts w:eastAsiaTheme="minorHAnsi" w:cs="Calibri"/>
        </w:rPr>
        <w:t xml:space="preserve">mësuesi </w:t>
      </w:r>
      <w:r w:rsidR="00CE29BB" w:rsidRPr="00E97254">
        <w:rPr>
          <w:rFonts w:eastAsiaTheme="minorHAnsi" w:cs="Calibri"/>
        </w:rPr>
        <w:t>për arsimin parashkollor duhet të ketë fituar diplomën e ciklit të parë “Bachelor”, që for</w:t>
      </w:r>
      <w:r>
        <w:rPr>
          <w:rFonts w:eastAsiaTheme="minorHAnsi" w:cs="Calibri"/>
        </w:rPr>
        <w:t>mon mësues të arsimit parashkollor</w:t>
      </w:r>
      <w:r>
        <w:rPr>
          <w:rFonts w:ascii="Calibri" w:eastAsiaTheme="minorHAnsi" w:hAnsi="Calibri" w:cs="Calibri"/>
        </w:rPr>
        <w:t xml:space="preserve">. Mësuesi për arsimin fillor duhet të ketë fituar diplomën e ciklit të parë “Bachelor” dhe diplomë të ciklit të dytë “Master Profesional”, që formon mësues të arsimit fillor, ose diplomë për arsimin fillor të ish-instituteve të larta pedagogjike. Mësuesi për arsimin e mesëm të ulët dhe për arsimin e mesëm të lartë duhet të ketë fituar diplomën e ciklit të parë “Bachelor” në fushën/lëndët e arsimit të mesëm të ulët dhe të arsimit të mesëm të lartë dhe diplomën e ciklit të dytë “Master” me 120 ECTS në fushën e mësuesisë, që lidhet me programin e studimit të ciklit të parë. </w:t>
      </w:r>
    </w:p>
    <w:p w:rsidR="00AE6DAD" w:rsidRPr="00E97254" w:rsidRDefault="004E1F53" w:rsidP="000C0250">
      <w:pPr>
        <w:spacing w:after="0"/>
        <w:jc w:val="both"/>
        <w:rPr>
          <w:rFonts w:ascii="Calibri" w:hAnsi="Calibri" w:cs="Calibri"/>
          <w:bCs/>
        </w:rPr>
      </w:pPr>
      <w:r>
        <w:rPr>
          <w:rFonts w:ascii="Calibri" w:hAnsi="Calibri" w:cs="Calibri"/>
        </w:rPr>
        <w:t>Në nenin 83 të Ligjit për arsimin e lartë  dhe kërkimin shkencor në institucionet e arsimit të lartë në RSH</w:t>
      </w:r>
      <w:r w:rsidR="005924E3">
        <w:rPr>
          <w:rFonts w:ascii="Calibri" w:hAnsi="Calibri" w:cs="Calibri"/>
        </w:rPr>
        <w:t xml:space="preserve"> </w:t>
      </w:r>
      <w:r w:rsidR="00A03034" w:rsidRPr="00E97254">
        <w:rPr>
          <w:rFonts w:ascii="Calibri" w:hAnsi="Calibri" w:cs="Calibri"/>
        </w:rPr>
        <w:t>përcaktohet se f</w:t>
      </w:r>
      <w:r w:rsidR="00A03034" w:rsidRPr="00E97254">
        <w:rPr>
          <w:rFonts w:ascii="Calibri" w:hAnsi="Calibri" w:cs="Calibri"/>
          <w:bCs/>
        </w:rPr>
        <w:t>ormimi i përgjithshëm psiko–pedagogjik përbën 25% e të gjithë kurrikulës në ciklin përkatës të studimit sipas profileve të mësuesve në arsimin parauniversitar. Në këtë kuadër</w:t>
      </w:r>
      <w:r w:rsidR="005924E3">
        <w:rPr>
          <w:rFonts w:ascii="Calibri" w:hAnsi="Calibri" w:cs="Calibri"/>
          <w:bCs/>
        </w:rPr>
        <w:t>,</w:t>
      </w:r>
      <w:r w:rsidR="00A03034" w:rsidRPr="00E97254">
        <w:rPr>
          <w:rFonts w:ascii="Calibri" w:hAnsi="Calibri" w:cs="Calibri"/>
          <w:bCs/>
        </w:rPr>
        <w:t xml:space="preserve"> të gjitha fakultet e edukimit </w:t>
      </w:r>
      <w:r>
        <w:rPr>
          <w:rFonts w:ascii="Calibri" w:hAnsi="Calibri" w:cs="Calibri"/>
          <w:bCs/>
          <w:i/>
        </w:rPr>
        <w:t>njësojnë lëndët që do të zhvillojnë në këtë formim</w:t>
      </w:r>
      <w:r>
        <w:rPr>
          <w:rFonts w:ascii="Calibri" w:hAnsi="Calibri" w:cs="Calibri"/>
          <w:bCs/>
        </w:rPr>
        <w:t xml:space="preserve">, përmbajtja e të cilave duhet të jetë në të njëjtën linjë me kërkesat e arsimit parauniversitar për kompetencat e formimit të përgjithshëm të mësuesit. </w:t>
      </w:r>
    </w:p>
    <w:p w:rsidR="00A03034" w:rsidRPr="00E97254" w:rsidRDefault="004E1F53" w:rsidP="000C0250">
      <w:pPr>
        <w:spacing w:after="0"/>
        <w:jc w:val="both"/>
        <w:rPr>
          <w:rFonts w:ascii="Calibri" w:hAnsi="Calibri" w:cs="Calibri"/>
          <w:bCs/>
        </w:rPr>
      </w:pPr>
      <w:r>
        <w:rPr>
          <w:rFonts w:ascii="Calibri" w:hAnsi="Calibri" w:cs="Calibri"/>
          <w:bCs/>
        </w:rPr>
        <w:t xml:space="preserve">Në nenin 83, gjithashtu, përcaktohet se programet e ciklit të dytë të studimit, që formojnë mësues </w:t>
      </w:r>
      <w:r>
        <w:rPr>
          <w:rFonts w:ascii="Calibri" w:hAnsi="Calibri" w:cs="Calibri"/>
          <w:bCs/>
          <w:i/>
        </w:rPr>
        <w:t>të së njëjtës lëndë/profil</w:t>
      </w:r>
      <w:r w:rsidR="005924E3">
        <w:rPr>
          <w:rFonts w:ascii="Calibri" w:hAnsi="Calibri" w:cs="Calibri"/>
          <w:bCs/>
          <w:i/>
        </w:rPr>
        <w:t>i</w:t>
      </w:r>
      <w:r w:rsidR="00A03034" w:rsidRPr="00E97254">
        <w:rPr>
          <w:rFonts w:ascii="Calibri" w:hAnsi="Calibri" w:cs="Calibri"/>
          <w:bCs/>
          <w:i/>
        </w:rPr>
        <w:t xml:space="preserve"> të mësuesisë</w:t>
      </w:r>
      <w:r w:rsidR="00A03034" w:rsidRPr="00E97254">
        <w:rPr>
          <w:rFonts w:ascii="Calibri" w:hAnsi="Calibri" w:cs="Calibri"/>
          <w:bCs/>
        </w:rPr>
        <w:t>, do të kenë së paku 80% të kurrikulës me përmbajtje të ngjashme. Në këtë kuadër po punohet</w:t>
      </w:r>
      <w:r w:rsidR="005924E3">
        <w:rPr>
          <w:rFonts w:ascii="Calibri" w:hAnsi="Calibri" w:cs="Calibri"/>
          <w:bCs/>
        </w:rPr>
        <w:t xml:space="preserve"> q</w:t>
      </w:r>
      <w:r w:rsidR="005924E3" w:rsidRPr="00E97254">
        <w:rPr>
          <w:rFonts w:ascii="Calibri" w:hAnsi="Calibri" w:cs="Calibri"/>
        </w:rPr>
        <w:t>ë</w:t>
      </w:r>
      <w:r w:rsidR="00A03034" w:rsidRPr="00E97254">
        <w:rPr>
          <w:rFonts w:ascii="Calibri" w:hAnsi="Calibri" w:cs="Calibri"/>
          <w:bCs/>
        </w:rPr>
        <w:t>:</w:t>
      </w:r>
    </w:p>
    <w:p w:rsidR="00A03034" w:rsidRPr="00E97254" w:rsidRDefault="00A03034" w:rsidP="000C0250">
      <w:pPr>
        <w:pStyle w:val="ListParagraph"/>
        <w:numPr>
          <w:ilvl w:val="0"/>
          <w:numId w:val="21"/>
        </w:numPr>
        <w:spacing w:after="0"/>
        <w:jc w:val="both"/>
        <w:rPr>
          <w:rFonts w:ascii="Calibri" w:hAnsi="Calibri" w:cs="Calibri"/>
          <w:bCs/>
        </w:rPr>
      </w:pPr>
      <w:r w:rsidRPr="00E97254">
        <w:rPr>
          <w:rFonts w:ascii="Calibri" w:hAnsi="Calibri" w:cs="Calibri"/>
          <w:bCs/>
        </w:rPr>
        <w:t>së pari</w:t>
      </w:r>
      <w:r w:rsidR="005924E3">
        <w:rPr>
          <w:rFonts w:ascii="Calibri" w:hAnsi="Calibri" w:cs="Calibri"/>
          <w:bCs/>
        </w:rPr>
        <w:t>,</w:t>
      </w:r>
      <w:r w:rsidRPr="00E97254">
        <w:rPr>
          <w:rFonts w:ascii="Calibri" w:hAnsi="Calibri" w:cs="Calibri"/>
          <w:bCs/>
        </w:rPr>
        <w:t xml:space="preserve"> të gjitha fakultetet e mësuesisë të </w:t>
      </w:r>
      <w:r w:rsidR="00F01DC8" w:rsidRPr="00E97254">
        <w:rPr>
          <w:rFonts w:ascii="Calibri" w:hAnsi="Calibri" w:cs="Calibri"/>
          <w:bCs/>
        </w:rPr>
        <w:t xml:space="preserve">të </w:t>
      </w:r>
      <w:r w:rsidRPr="00E97254">
        <w:rPr>
          <w:rFonts w:ascii="Calibri" w:hAnsi="Calibri" w:cs="Calibri"/>
          <w:bCs/>
        </w:rPr>
        <w:t xml:space="preserve">njëjtit profil </w:t>
      </w:r>
      <w:r w:rsidR="004E1F53">
        <w:rPr>
          <w:rFonts w:ascii="Calibri" w:hAnsi="Calibri" w:cs="Calibri"/>
          <w:bCs/>
          <w:i/>
        </w:rPr>
        <w:t>të njësojnë programin e studimit që formon mësues</w:t>
      </w:r>
      <w:r w:rsidR="004E1F53">
        <w:rPr>
          <w:rFonts w:ascii="Calibri" w:hAnsi="Calibri" w:cs="Calibri"/>
          <w:bCs/>
        </w:rPr>
        <w:t xml:space="preserve"> për të njëjtën lëndë/profil.</w:t>
      </w:r>
    </w:p>
    <w:p w:rsidR="00E53BD7" w:rsidRPr="00E97254" w:rsidRDefault="004E1F53" w:rsidP="000C0250">
      <w:pPr>
        <w:pStyle w:val="ListParagraph"/>
        <w:numPr>
          <w:ilvl w:val="0"/>
          <w:numId w:val="21"/>
        </w:numPr>
        <w:spacing w:after="0"/>
        <w:jc w:val="both"/>
        <w:rPr>
          <w:rFonts w:ascii="Calibri" w:hAnsi="Calibri" w:cs="Calibri"/>
          <w:bCs/>
        </w:rPr>
      </w:pPr>
      <w:r>
        <w:rPr>
          <w:rFonts w:ascii="Calibri" w:hAnsi="Calibri" w:cs="Calibri"/>
          <w:bCs/>
        </w:rPr>
        <w:t>së dyti</w:t>
      </w:r>
      <w:r w:rsidR="005924E3">
        <w:rPr>
          <w:rFonts w:ascii="Calibri" w:hAnsi="Calibri" w:cs="Calibri"/>
          <w:bCs/>
        </w:rPr>
        <w:t>,</w:t>
      </w:r>
      <w:r w:rsidR="00A03034" w:rsidRPr="00E97254">
        <w:rPr>
          <w:rFonts w:ascii="Calibri" w:hAnsi="Calibri" w:cs="Calibri"/>
          <w:bCs/>
        </w:rPr>
        <w:t xml:space="preserve"> të gjitha fakultetet e mësuesisë të të njëjtit profil </w:t>
      </w:r>
      <w:r>
        <w:rPr>
          <w:rFonts w:ascii="Calibri" w:hAnsi="Calibri" w:cs="Calibri"/>
          <w:bCs/>
          <w:i/>
        </w:rPr>
        <w:t>të njësojnë në masën 80% përmbajtjen e kurrikulës</w:t>
      </w:r>
      <w:r>
        <w:rPr>
          <w:rFonts w:ascii="Calibri" w:hAnsi="Calibri" w:cs="Calibri"/>
          <w:bCs/>
        </w:rPr>
        <w:t xml:space="preserve"> (lëndët dhe rezultatet e të nxënit) për formimin e mësuesit </w:t>
      </w:r>
      <w:r>
        <w:rPr>
          <w:rFonts w:ascii="Calibri" w:hAnsi="Calibri" w:cs="Calibri"/>
          <w:bCs/>
          <w:i/>
        </w:rPr>
        <w:t>të së njëjtës lëndë/profil</w:t>
      </w:r>
      <w:r>
        <w:rPr>
          <w:rFonts w:ascii="Calibri" w:hAnsi="Calibri" w:cs="Calibri"/>
          <w:bCs/>
        </w:rPr>
        <w:t xml:space="preserve"> duke e harmonizuar me kurrikulën e arsimit parauniversitar.</w:t>
      </w:r>
    </w:p>
    <w:p w:rsidR="00E53BD7" w:rsidRPr="00E97254" w:rsidRDefault="004E1F53" w:rsidP="000C0250">
      <w:pPr>
        <w:jc w:val="both"/>
        <w:rPr>
          <w:rFonts w:ascii="Calibri" w:hAnsi="Calibri" w:cs="Calibri"/>
        </w:rPr>
      </w:pPr>
      <w:r w:rsidRPr="00723C2D">
        <w:rPr>
          <w:rFonts w:ascii="Calibri" w:hAnsi="Calibri" w:cs="Calibri"/>
        </w:rPr>
        <w:t>Megjithatë, ekzistojnë vështirësi në përshtatjen e programeve të studimit me kërkesat e Ligjit dhe me kurrikulën e re të bazuar në kompetenca, pasi ka pak ngjashmëri ndërmjet programeve të ofruara në IAL-</w:t>
      </w:r>
      <w:r w:rsidRPr="00723C2D">
        <w:rPr>
          <w:rFonts w:ascii="Calibri" w:hAnsi="Calibri" w:cs="Calibri"/>
        </w:rPr>
        <w:lastRenderedPageBreak/>
        <w:t>t</w:t>
      </w:r>
      <w:r w:rsidRPr="00723C2D">
        <w:rPr>
          <w:rFonts w:ascii="Calibri" w:hAnsi="Calibri" w:cs="Calibri"/>
          <w:bCs/>
        </w:rPr>
        <w:t>ë</w:t>
      </w:r>
      <w:r w:rsidRPr="00723C2D">
        <w:rPr>
          <w:rFonts w:ascii="Calibri" w:hAnsi="Calibri" w:cs="Calibri"/>
        </w:rPr>
        <w:t xml:space="preserve"> në mbarë vendin </w:t>
      </w:r>
      <w:sdt>
        <w:sdtPr>
          <w:id w:val="-1106264691"/>
          <w:citation/>
        </w:sdtPr>
        <w:sdtEndPr/>
        <w:sdtContent>
          <w:r w:rsidR="00EC56B7" w:rsidRPr="00723C2D">
            <w:rPr>
              <w:rFonts w:ascii="Calibri" w:hAnsi="Calibri" w:cs="Calibri"/>
            </w:rPr>
            <w:fldChar w:fldCharType="begin"/>
          </w:r>
          <w:r w:rsidR="000434A3">
            <w:rPr>
              <w:rFonts w:ascii="Calibri" w:hAnsi="Calibri" w:cs="Calibri"/>
            </w:rPr>
            <w:instrText xml:space="preserve"> CITATION Wor19 \l 1033 </w:instrText>
          </w:r>
          <w:r w:rsidR="00EC56B7" w:rsidRPr="00723C2D">
            <w:rPr>
              <w:rFonts w:ascii="Calibri" w:hAnsi="Calibri" w:cs="Calibri"/>
            </w:rPr>
            <w:fldChar w:fldCharType="separate"/>
          </w:r>
          <w:r w:rsidRPr="00723C2D">
            <w:rPr>
              <w:rFonts w:ascii="Calibri" w:hAnsi="Calibri" w:cs="Calibri"/>
            </w:rPr>
            <w:t>[37]</w:t>
          </w:r>
          <w:r w:rsidR="00EC56B7" w:rsidRPr="00723C2D">
            <w:rPr>
              <w:rFonts w:ascii="Calibri" w:hAnsi="Calibri" w:cs="Calibri"/>
            </w:rPr>
            <w:fldChar w:fldCharType="end"/>
          </w:r>
        </w:sdtContent>
      </w:sdt>
      <w:r w:rsidRPr="00723C2D">
        <w:rPr>
          <w:rFonts w:ascii="Calibri" w:hAnsi="Calibri" w:cs="Calibri"/>
        </w:rPr>
        <w:t>. Bazuar në Ligjin për arsimin e lartë dhe kërkimin shkencor në institucionet e arsimit të lartë në RSH, neni 83, programet e studimit në fushën e mësuesisë, si dhe në kushtet kur, kurrikula e reformuar e arsimit parauniversitar vë kërkesa specifike përballë mësuesit, kan</w:t>
      </w:r>
      <w:r w:rsidRPr="00723C2D">
        <w:rPr>
          <w:rFonts w:ascii="Calibri" w:hAnsi="Calibri" w:cs="Calibri"/>
          <w:bCs/>
        </w:rPr>
        <w:t>ë</w:t>
      </w:r>
      <w:r w:rsidRPr="00723C2D">
        <w:rPr>
          <w:rFonts w:ascii="Calibri" w:hAnsi="Calibri" w:cs="Calibri"/>
        </w:rPr>
        <w:t xml:space="preserve"> filluar pun</w:t>
      </w:r>
      <w:r w:rsidRPr="00723C2D">
        <w:rPr>
          <w:rFonts w:ascii="Calibri" w:hAnsi="Calibri" w:cs="Calibri"/>
          <w:bCs/>
        </w:rPr>
        <w:t>ën</w:t>
      </w:r>
      <w:r w:rsidRPr="00723C2D">
        <w:rPr>
          <w:rFonts w:ascii="Calibri" w:hAnsi="Calibri" w:cs="Calibri"/>
        </w:rPr>
        <w:t xml:space="preserve"> për rishikimin e përmbajtjes dhe organizimit të kurrikulës së formimit fillestar të mësuesve nga institucionet e arsimit të lartë</w:t>
      </w:r>
      <w:r w:rsidR="00723C2D">
        <w:rPr>
          <w:rFonts w:ascii="Calibri" w:hAnsi="Calibri" w:cs="Calibri"/>
        </w:rPr>
        <w:t>,</w:t>
      </w:r>
      <w:r w:rsidRPr="00723C2D">
        <w:rPr>
          <w:rFonts w:ascii="Calibri" w:hAnsi="Calibri" w:cs="Calibri"/>
        </w:rPr>
        <w:t xml:space="preserve"> për të formuar mësues që janë në gjendje të zbatojnë një kurrikulë të re, t</w:t>
      </w:r>
      <w:r w:rsidRPr="00723C2D">
        <w:rPr>
          <w:rFonts w:ascii="Calibri" w:hAnsi="Calibri" w:cs="Calibri"/>
          <w:bCs/>
        </w:rPr>
        <w:t>ë</w:t>
      </w:r>
      <w:r w:rsidRPr="00723C2D">
        <w:rPr>
          <w:rFonts w:ascii="Calibri" w:hAnsi="Calibri" w:cs="Calibri"/>
        </w:rPr>
        <w:t xml:space="preserve"> bazuar në kompetenca, që plotëson nevojat dhe interesat e nxënësit, që është </w:t>
      </w:r>
      <w:r w:rsidR="00723C2D">
        <w:rPr>
          <w:rFonts w:ascii="Calibri" w:hAnsi="Calibri" w:cs="Calibri"/>
        </w:rPr>
        <w:t>elastik</w:t>
      </w:r>
      <w:r w:rsidR="00723C2D" w:rsidRPr="00723C2D">
        <w:rPr>
          <w:rFonts w:ascii="Calibri" w:hAnsi="Calibri" w:cs="Calibri"/>
        </w:rPr>
        <w:t xml:space="preserve"> </w:t>
      </w:r>
      <w:r w:rsidRPr="00723C2D">
        <w:rPr>
          <w:rFonts w:ascii="Calibri" w:hAnsi="Calibri" w:cs="Calibri"/>
        </w:rPr>
        <w:t>dhe që bazohet në burime të shumëllojshme të të nxënit. Sipas përcaktimeve në ligj, kurrikula e formimit fillestar të mësuesve përbëhet nga formimi</w:t>
      </w:r>
      <w:r w:rsidR="00E53BD7" w:rsidRPr="00E97254">
        <w:rPr>
          <w:rFonts w:ascii="Calibri" w:hAnsi="Calibri" w:cs="Calibri"/>
        </w:rPr>
        <w:t xml:space="preserve"> i përgjithshëm psiko–pedagogjik dhe formimi shkenc</w:t>
      </w:r>
      <w:r>
        <w:rPr>
          <w:rFonts w:ascii="Calibri" w:hAnsi="Calibri" w:cs="Calibri"/>
        </w:rPr>
        <w:t>or i lëndës/profilit përkatës.</w:t>
      </w:r>
    </w:p>
    <w:p w:rsidR="00A03034" w:rsidRPr="00E97254" w:rsidRDefault="00FA5606" w:rsidP="000C0250">
      <w:pPr>
        <w:pStyle w:val="NoSpacing1"/>
        <w:spacing w:line="276" w:lineRule="auto"/>
        <w:jc w:val="both"/>
        <w:rPr>
          <w:rFonts w:cs="Calibri"/>
          <w:color w:val="000000"/>
          <w:lang w:val="sq-AL"/>
        </w:rPr>
      </w:pPr>
      <w:r w:rsidRPr="00FA5606">
        <w:rPr>
          <w:rFonts w:cs="Calibri"/>
          <w:lang w:val="sq-AL"/>
        </w:rPr>
        <w:t xml:space="preserve">Ligji për arsimin e lartë dhe kërkimin shkencor në institucionet e arsimit të lartë në RSH, neni 81, mundëson </w:t>
      </w:r>
      <w:r w:rsidRPr="00FA5606">
        <w:rPr>
          <w:bCs/>
          <w:lang w:val="sq-AL"/>
        </w:rPr>
        <w:t>programet e studimeve të formimit të vazhduar</w:t>
      </w:r>
      <w:r w:rsidRPr="00FA5606">
        <w:rPr>
          <w:rFonts w:cs="Calibri"/>
          <w:lang w:val="sq-AL"/>
        </w:rPr>
        <w:t>.</w:t>
      </w:r>
      <w:r w:rsidRPr="00FA5606">
        <w:rPr>
          <w:rFonts w:cs="Calibri"/>
          <w:sz w:val="24"/>
          <w:szCs w:val="24"/>
          <w:lang w:val="sq-AL"/>
        </w:rPr>
        <w:t xml:space="preserve"> </w:t>
      </w:r>
      <w:r w:rsidRPr="00FA5606">
        <w:rPr>
          <w:rFonts w:cs="Calibri"/>
          <w:lang w:val="sq-AL"/>
        </w:rPr>
        <w:t xml:space="preserve"> </w:t>
      </w:r>
      <w:r w:rsidRPr="00FA5606">
        <w:rPr>
          <w:rFonts w:cs="Calibri"/>
          <w:bCs/>
          <w:lang w:val="sq-AL"/>
        </w:rPr>
        <w:t xml:space="preserve">Në këtë kuadër </w:t>
      </w:r>
      <w:r w:rsidRPr="00FA5606">
        <w:rPr>
          <w:rFonts w:cs="Calibri"/>
          <w:color w:val="000000"/>
          <w:lang w:val="sq-AL"/>
        </w:rPr>
        <w:t>Ministria e Arsimit, Sportit dhe Rinisë/ASCAP së bashku me 8 IAL shqiptare si dhe 3 IAL evropiane u përfshinë në projektin “Zhvillimi i kompetencave të mësuesve për një sistem gjithëpërfshirës të zhvillimit profesional të mësuesve.” (TEAVET). Ky projekt u financua nga Komisioni Europian, programi Erasmus+</w:t>
      </w:r>
      <w:r w:rsidR="00723C2D">
        <w:rPr>
          <w:rFonts w:cs="Calibri"/>
          <w:color w:val="000000"/>
          <w:lang w:val="sq-AL"/>
        </w:rPr>
        <w:t>,</w:t>
      </w:r>
      <w:r w:rsidRPr="00FA5606">
        <w:rPr>
          <w:rFonts w:cs="Calibri"/>
          <w:color w:val="000000"/>
          <w:lang w:val="sq-AL"/>
        </w:rPr>
        <w:t xml:space="preserve"> dhe kishte </w:t>
      </w:r>
      <w:r w:rsidR="00723C2D">
        <w:rPr>
          <w:rFonts w:cs="Calibri"/>
          <w:color w:val="000000"/>
          <w:lang w:val="sq-AL"/>
        </w:rPr>
        <w:t>si</w:t>
      </w:r>
      <w:r w:rsidRPr="00FA5606">
        <w:rPr>
          <w:rFonts w:cs="Calibri"/>
          <w:color w:val="000000"/>
          <w:lang w:val="sq-AL"/>
        </w:rPr>
        <w:t xml:space="preserve"> fokus kryesor </w:t>
      </w:r>
      <w:r w:rsidRPr="00FA5606">
        <w:rPr>
          <w:rFonts w:cs="Calibri"/>
          <w:i/>
          <w:color w:val="000000"/>
          <w:lang w:val="sq-AL"/>
        </w:rPr>
        <w:t>ngritjen e kapaciteteve të stafeve akademike</w:t>
      </w:r>
      <w:r w:rsidRPr="00FA5606">
        <w:rPr>
          <w:rFonts w:cs="Calibri"/>
          <w:color w:val="000000"/>
          <w:lang w:val="sq-AL"/>
        </w:rPr>
        <w:t xml:space="preserve"> të IAL-ve shqiptar</w:t>
      </w:r>
      <w:r w:rsidR="00723C2D">
        <w:rPr>
          <w:rFonts w:cs="Calibri"/>
          <w:color w:val="000000"/>
          <w:lang w:val="sq-AL"/>
        </w:rPr>
        <w:t>e</w:t>
      </w:r>
      <w:r w:rsidRPr="00FA5606">
        <w:rPr>
          <w:rFonts w:cs="Calibri"/>
          <w:color w:val="000000"/>
          <w:lang w:val="sq-AL"/>
        </w:rPr>
        <w:t xml:space="preserve"> për trajnimin e mësuesve si dhe ngritjen e sistemit të trajnimit nëpërmjet qendrave të të nxënit gjatë gjithë jetës në këto IAL. MASR/ASCAP u përfshi në orientimin e IAL-ve për hartimin e moduleve të trajnimit (16 module trajnimi) në fushat: Të nxënit digjital, Strategjitë e mësimdhënie/nxënies, Qytetaria aktive, Gjithëpërfshirja në arsim, Kultura e të nxënit, Mediat e lexim-shkrimit</w:t>
      </w:r>
      <w:r w:rsidR="00723C2D">
        <w:rPr>
          <w:rFonts w:cs="Calibri"/>
          <w:color w:val="000000"/>
          <w:lang w:val="sq-AL"/>
        </w:rPr>
        <w:t>,</w:t>
      </w:r>
      <w:r w:rsidRPr="00FA5606">
        <w:rPr>
          <w:rFonts w:cs="Calibri"/>
          <w:color w:val="000000"/>
          <w:lang w:val="sq-AL"/>
        </w:rPr>
        <w:t xml:space="preserve"> etj.</w:t>
      </w:r>
    </w:p>
    <w:p w:rsidR="001B0AD5" w:rsidRPr="00E97254" w:rsidRDefault="004E1F53" w:rsidP="000C0250">
      <w:pPr>
        <w:spacing w:after="0"/>
        <w:jc w:val="both"/>
        <w:rPr>
          <w:rFonts w:ascii="Calibri" w:hAnsi="Calibri" w:cs="Calibri"/>
        </w:rPr>
      </w:pPr>
      <w:r>
        <w:rPr>
          <w:rFonts w:ascii="Calibri" w:hAnsi="Calibri" w:cs="Calibri"/>
        </w:rPr>
        <w:t>ASCAP</w:t>
      </w:r>
      <w:r w:rsidR="00723C2D">
        <w:rPr>
          <w:rFonts w:ascii="Calibri" w:hAnsi="Calibri" w:cs="Calibri"/>
        </w:rPr>
        <w:t>-</w:t>
      </w:r>
      <w:r w:rsidR="008612DE">
        <w:rPr>
          <w:rFonts w:ascii="Calibri" w:hAnsi="Calibri" w:cs="Calibri"/>
        </w:rPr>
        <w:t>i</w:t>
      </w:r>
      <w:r>
        <w:rPr>
          <w:rFonts w:ascii="Calibri" w:hAnsi="Calibri" w:cs="Calibri"/>
        </w:rPr>
        <w:t xml:space="preserve"> ka hartuar standardet profesionale të formimit të përgjithshëm dhe të formimit lëndor për mësuesit në sistemin e arsimit parauniversitar </w:t>
      </w:r>
      <w:sdt>
        <w:sdtPr>
          <w:rPr>
            <w:rFonts w:ascii="Calibri" w:hAnsi="Calibri" w:cs="Calibri"/>
          </w:rPr>
          <w:id w:val="1765961426"/>
          <w:citation/>
        </w:sdtPr>
        <w:sdtEndPr/>
        <w:sdtContent>
          <w:r w:rsidR="00EC56B7" w:rsidRPr="00E97254">
            <w:rPr>
              <w:rFonts w:ascii="Calibri" w:hAnsi="Calibri" w:cs="Calibri"/>
            </w:rPr>
            <w:fldChar w:fldCharType="begin"/>
          </w:r>
          <w:r>
            <w:rPr>
              <w:rFonts w:ascii="Calibri" w:hAnsi="Calibri" w:cs="Calibri"/>
            </w:rPr>
            <w:instrText xml:space="preserve"> CITATION MAS203 \l 1033 </w:instrText>
          </w:r>
          <w:r w:rsidR="00EC56B7" w:rsidRPr="00E97254">
            <w:rPr>
              <w:rFonts w:ascii="Calibri" w:hAnsi="Calibri" w:cs="Calibri"/>
            </w:rPr>
            <w:fldChar w:fldCharType="separate"/>
          </w:r>
          <w:r w:rsidR="00724BCC" w:rsidRPr="00E97254">
            <w:rPr>
              <w:rFonts w:ascii="Calibri" w:hAnsi="Calibri" w:cs="Calibri"/>
            </w:rPr>
            <w:t>[56]</w:t>
          </w:r>
          <w:r w:rsidR="00EC56B7" w:rsidRPr="00E97254">
            <w:rPr>
              <w:rFonts w:ascii="Calibri" w:hAnsi="Calibri" w:cs="Calibri"/>
            </w:rPr>
            <w:fldChar w:fldCharType="end"/>
          </w:r>
        </w:sdtContent>
      </w:sdt>
      <w:r w:rsidR="001B0AD5" w:rsidRPr="00E97254">
        <w:rPr>
          <w:rFonts w:ascii="Calibri" w:hAnsi="Calibri" w:cs="Calibri"/>
        </w:rPr>
        <w:t xml:space="preserve">, që mund të përdoren si orientim për hartimin e programeve të reja për formimin fillestar të mësuesve, por edhe për vlerësimin e performancës së mësuesve, si dhe për përcaktimin e nevojave për zhvillim profesional. Nga ana tjetër, asnjë nga programet për formimin fillestar të mësuesve që ofrohen nga 9 IAL-të publike të Shqipërisë nuk i është nënshtruar procesit të akreditimit.  </w:t>
      </w:r>
    </w:p>
    <w:p w:rsidR="00D07643" w:rsidRPr="00E97254" w:rsidRDefault="004E1F53" w:rsidP="000C0250">
      <w:pPr>
        <w:spacing w:after="0"/>
        <w:jc w:val="both"/>
        <w:rPr>
          <w:rFonts w:ascii="Calibri" w:hAnsi="Calibri" w:cs="Calibri"/>
        </w:rPr>
      </w:pPr>
      <w:r>
        <w:rPr>
          <w:rFonts w:ascii="Calibri" w:hAnsi="Calibri" w:cs="Calibri"/>
          <w:szCs w:val="24"/>
        </w:rPr>
        <w:t xml:space="preserve">Sipas studimeve, zhvillimi i programeve të arsimit të lartë </w:t>
      </w:r>
      <w:r>
        <w:rPr>
          <w:szCs w:val="24"/>
        </w:rPr>
        <w:t>karakterizohet më së shumti nga përdorimi i</w:t>
      </w:r>
      <w:r>
        <w:rPr>
          <w:rFonts w:ascii="Calibri" w:hAnsi="Calibri" w:cs="Calibri"/>
          <w:szCs w:val="24"/>
        </w:rPr>
        <w:t xml:space="preserve"> metodologjisë me në qendër mësuesin (p.sh.: leksionet), dhe jo nga përdorimi i teknikave me në qendër nxënësin, të cilat parashikohen të përdoren nga mësuesit, në kuadër të adoptimit të të nxënit të bazuar në kompetenca. Në formimin fillestar të mësuesve kërkohet zvogëlimi i hendekut teori-praktikë, </w:t>
      </w:r>
      <w:r w:rsidR="00A50A43">
        <w:rPr>
          <w:rFonts w:ascii="Calibri" w:hAnsi="Calibri" w:cs="Calibri"/>
          <w:szCs w:val="24"/>
        </w:rPr>
        <w:t>nëpërmjet</w:t>
      </w:r>
      <w:r>
        <w:rPr>
          <w:rFonts w:ascii="Calibri" w:hAnsi="Calibri" w:cs="Calibri"/>
          <w:szCs w:val="24"/>
        </w:rPr>
        <w:t xml:space="preserve"> integrimit më të mirë të teorisë, njohurive pedagogjike dhe praktikës. Programet arsimore për mësuesit nuk mbulojnë mjaftueshëm tema të rëndësishme, si: gjithëpërfshirja e  nxënësve, përdorimi i TIK</w:t>
      </w:r>
      <w:r w:rsidR="003225BC">
        <w:rPr>
          <w:rFonts w:ascii="Calibri" w:hAnsi="Calibri" w:cs="Calibri"/>
          <w:szCs w:val="24"/>
        </w:rPr>
        <w:t>-</w:t>
      </w:r>
      <w:r w:rsidR="001D30C2">
        <w:rPr>
          <w:rFonts w:ascii="Calibri" w:hAnsi="Calibri" w:cs="Calibri"/>
          <w:szCs w:val="24"/>
        </w:rPr>
        <w:t>ut</w:t>
      </w:r>
      <w:r>
        <w:rPr>
          <w:rFonts w:ascii="Calibri" w:hAnsi="Calibri" w:cs="Calibri"/>
          <w:szCs w:val="24"/>
        </w:rPr>
        <w:t xml:space="preserve"> në procesin mësimor dhe puna me fëmijët me nevoja të veçanta dhe ata nga grupe vulnerabël</w:t>
      </w:r>
      <w:r>
        <w:rPr>
          <w:rFonts w:ascii="Calibri" w:hAnsi="Calibri" w:cs="Calibri"/>
          <w:sz w:val="20"/>
        </w:rPr>
        <w:t xml:space="preserve"> </w:t>
      </w:r>
      <w:sdt>
        <w:sdtPr>
          <w:rPr>
            <w:rFonts w:ascii="Calibri" w:hAnsi="Calibri" w:cs="Calibri"/>
          </w:rPr>
          <w:id w:val="1495610231"/>
          <w:citation/>
        </w:sdtPr>
        <w:sdtEndPr/>
        <w:sdtContent>
          <w:r w:rsidR="00EC56B7" w:rsidRPr="00E97254">
            <w:rPr>
              <w:rFonts w:ascii="Calibri" w:hAnsi="Calibri" w:cs="Calibri"/>
            </w:rPr>
            <w:fldChar w:fldCharType="begin"/>
          </w:r>
          <w:r>
            <w:rPr>
              <w:rFonts w:ascii="Calibri" w:hAnsi="Calibri" w:cs="Calibri"/>
            </w:rPr>
            <w:instrText xml:space="preserve"> CITATION Wor19 \l 1033 </w:instrText>
          </w:r>
          <w:r w:rsidR="00EC56B7" w:rsidRPr="00E97254">
            <w:rPr>
              <w:rFonts w:ascii="Calibri" w:hAnsi="Calibri" w:cs="Calibri"/>
            </w:rPr>
            <w:fldChar w:fldCharType="separate"/>
          </w:r>
          <w:r w:rsidR="00724BCC" w:rsidRPr="00E97254">
            <w:rPr>
              <w:rFonts w:ascii="Calibri" w:hAnsi="Calibri" w:cs="Calibri"/>
            </w:rPr>
            <w:t>[37]</w:t>
          </w:r>
          <w:r w:rsidR="00EC56B7" w:rsidRPr="00E97254">
            <w:rPr>
              <w:rFonts w:ascii="Calibri" w:hAnsi="Calibri" w:cs="Calibri"/>
            </w:rPr>
            <w:fldChar w:fldCharType="end"/>
          </w:r>
        </w:sdtContent>
      </w:sdt>
      <w:r w:rsidR="00E53BD7" w:rsidRPr="00E97254">
        <w:rPr>
          <w:rFonts w:ascii="Calibri" w:hAnsi="Calibri" w:cs="Calibri"/>
        </w:rPr>
        <w:t xml:space="preserve">. Vitet e fundit, Qeveria ka tërhequr aplikantë të kualifikuar në profesionin e mësuesit, duke ofruar bursa dhe duke </w:t>
      </w:r>
      <w:r w:rsidR="003225BC">
        <w:rPr>
          <w:rFonts w:ascii="Calibri" w:hAnsi="Calibri" w:cs="Calibri"/>
        </w:rPr>
        <w:t xml:space="preserve">e </w:t>
      </w:r>
      <w:r w:rsidR="00E53BD7" w:rsidRPr="00E97254">
        <w:rPr>
          <w:rFonts w:ascii="Calibri" w:hAnsi="Calibri" w:cs="Calibri"/>
        </w:rPr>
        <w:t xml:space="preserve">rritur pragun e pranimit në programet e formimit fillestar të mësuesve deri në mesataren e arsimit të mesëm të lartë me </w:t>
      </w:r>
      <w:r w:rsidR="00361CE6" w:rsidRPr="00E97254">
        <w:rPr>
          <w:rFonts w:ascii="Calibri" w:hAnsi="Calibri" w:cs="Calibri"/>
        </w:rPr>
        <w:t>8</w:t>
      </w:r>
      <w:r w:rsidR="00E53BD7" w:rsidRPr="00E97254">
        <w:rPr>
          <w:rFonts w:ascii="Calibri" w:hAnsi="Calibri" w:cs="Calibri"/>
        </w:rPr>
        <w:t xml:space="preserve"> e </w:t>
      </w:r>
      <w:r w:rsidR="00E53BD7" w:rsidRPr="00E97254">
        <w:rPr>
          <w:rFonts w:cs="Calibri"/>
        </w:rPr>
        <w:t>lart</w:t>
      </w:r>
      <w:r w:rsidR="00E53BD7" w:rsidRPr="00E97254">
        <w:rPr>
          <w:rFonts w:ascii="Calibri" w:hAnsi="Calibri" w:cs="Calibri"/>
        </w:rPr>
        <w:t xml:space="preserve">. </w:t>
      </w:r>
      <w:r w:rsidR="003225BC">
        <w:rPr>
          <w:rFonts w:ascii="Calibri" w:hAnsi="Calibri" w:cs="Calibri"/>
        </w:rPr>
        <w:t xml:space="preserve"> </w:t>
      </w:r>
    </w:p>
    <w:p w:rsidR="00E53BD7" w:rsidRPr="00E97254" w:rsidRDefault="004E1F53" w:rsidP="000C0250">
      <w:pPr>
        <w:spacing w:after="0"/>
        <w:jc w:val="both"/>
        <w:rPr>
          <w:rFonts w:eastAsiaTheme="minorHAnsi" w:cs="Times New Roman"/>
          <w:szCs w:val="24"/>
        </w:rPr>
      </w:pPr>
      <w:r>
        <w:rPr>
          <w:rFonts w:eastAsiaTheme="minorHAnsi" w:cs="Times New Roman"/>
          <w:szCs w:val="24"/>
        </w:rPr>
        <w:t xml:space="preserve">Bazuar në udhëzimin </w:t>
      </w:r>
      <w:r>
        <w:rPr>
          <w:rFonts w:eastAsiaTheme="minorHAnsi" w:cs="Times New Roman"/>
          <w:bCs/>
          <w:szCs w:val="24"/>
        </w:rPr>
        <w:t>nr. 26, datë  1508.2014</w:t>
      </w:r>
      <w:r w:rsidR="003225BC">
        <w:rPr>
          <w:rFonts w:eastAsiaTheme="minorHAnsi" w:cs="Times New Roman"/>
          <w:bCs/>
          <w:szCs w:val="24"/>
        </w:rPr>
        <w:t>,</w:t>
      </w:r>
      <w:r>
        <w:rPr>
          <w:rFonts w:eastAsiaTheme="minorHAnsi" w:cs="Times New Roman"/>
          <w:b/>
          <w:bCs/>
          <w:szCs w:val="24"/>
        </w:rPr>
        <w:t xml:space="preserve"> </w:t>
      </w:r>
      <w:r>
        <w:rPr>
          <w:rFonts w:eastAsiaTheme="minorHAnsi" w:cs="Times New Roman"/>
          <w:szCs w:val="24"/>
        </w:rPr>
        <w:t xml:space="preserve">të Ministrit të Arsimit dhe Sportit “Për zhvillimin profesional të punonjësve arsimorë”, të ndryshuar nga Ministria e Arsimit dhe Sportit në bashkëpunim me Institutin e Zhvillimit të Arsimit, Rrjeti Akademik Shqiptar (RASH) dhe DAR/ZA-të </w:t>
      </w:r>
      <w:r w:rsidR="003225BC">
        <w:rPr>
          <w:rFonts w:eastAsiaTheme="minorHAnsi" w:cs="Times New Roman"/>
          <w:szCs w:val="24"/>
        </w:rPr>
        <w:t xml:space="preserve">organizuan </w:t>
      </w:r>
      <w:r>
        <w:rPr>
          <w:rFonts w:eastAsiaTheme="minorHAnsi" w:cs="Times New Roman"/>
          <w:szCs w:val="24"/>
        </w:rPr>
        <w:t>për herë të parë procesin e identifikimit të nevojave për zhvillim profesional të mësuesve dhe drejtuesve 2016-2020, i cili u realizua në formë elektronike dhe në fletë.</w:t>
      </w:r>
    </w:p>
    <w:p w:rsidR="00E53BD7" w:rsidRPr="00E97254" w:rsidRDefault="004E1F53" w:rsidP="000C0250">
      <w:pPr>
        <w:spacing w:after="0"/>
        <w:jc w:val="both"/>
      </w:pPr>
      <w:r>
        <w:rPr>
          <w:rFonts w:eastAsiaTheme="minorHAnsi" w:cs="Times New Roman"/>
          <w:szCs w:val="24"/>
        </w:rPr>
        <w:lastRenderedPageBreak/>
        <w:t>Identifikimi i nevojave për trajnim të punonjësve arsimorë në nivel mësuesi, shkolle, DAR/ZA-je, si dhe në nivel kombëtar krijoi një pamje të qartë për fushat dhe çështjet më të domosdoshme që duhet të trajtohen me prioritet, si nga institucionet e nivelit qendror</w:t>
      </w:r>
      <w:r w:rsidR="003225BC">
        <w:rPr>
          <w:rFonts w:eastAsiaTheme="minorHAnsi" w:cs="Times New Roman"/>
          <w:szCs w:val="24"/>
        </w:rPr>
        <w:t>,</w:t>
      </w:r>
      <w:r>
        <w:rPr>
          <w:rFonts w:eastAsiaTheme="minorHAnsi" w:cs="Times New Roman"/>
          <w:szCs w:val="24"/>
        </w:rPr>
        <w:t xml:space="preserve"> ashtu edhe nga shkollat apo edhe nga vetë mësuesit. </w:t>
      </w:r>
      <w:r>
        <w:t>Instrumenti u ndërtua nga disa rubrika/fusha të identifikuara si kyç dhe të domosdoshme për zhvillimin profesional të mësuesve</w:t>
      </w:r>
      <w:r w:rsidR="003225BC">
        <w:t>,</w:t>
      </w:r>
      <w:r>
        <w:t xml:space="preserve"> si</w:t>
      </w:r>
      <w:r w:rsidR="003225BC">
        <w:t>:</w:t>
      </w:r>
      <w:r>
        <w:t xml:space="preserve"> planifikimi i kurrikulës me kompetenca; mësimdhënia dhe të nxënit (mësimdhënia dhe nxënia; përkujdesja për nxënësit me vështirësi në të nxënë; vlerësimi i të nxënit); etika dhe komunikimi (etika dhe sjellja; bashkëpunimi me komunitetin); zhvillimi profesional i mësuesve. </w:t>
      </w:r>
      <w:r>
        <w:rPr>
          <w:rFonts w:eastAsiaTheme="minorHAnsi" w:cs="Times New Roman"/>
          <w:szCs w:val="24"/>
        </w:rPr>
        <w:t>Bazuar në rezultatet e këtij procesi, drejtuesit, në të gjitha nivelet e menaxhimit dhe politikëbërjes, hartuan plane veprimi për përmirësimin dhe për zhvillimin e mëtejshëm të njohurive dhe të aftësive të punonjësve arsimorë. Gjetjet e këtij procesi janë bazuar në rezultatet e arritura nga gjithë punonjësit arsimorë që morën pjesë në proces (</w:t>
      </w:r>
      <w:r>
        <w:rPr>
          <w:rFonts w:eastAsiaTheme="minorHAnsi" w:cs="Times New Roman"/>
          <w:bCs/>
          <w:szCs w:val="24"/>
        </w:rPr>
        <w:t>17613 mësues dhe drejtues)</w:t>
      </w:r>
      <w:r>
        <w:rPr>
          <w:rFonts w:eastAsiaTheme="minorHAnsi" w:cs="Times New Roman"/>
          <w:szCs w:val="24"/>
        </w:rPr>
        <w:t xml:space="preserve"> të pasqyruara në Raportin kombëtar të identifikimit të nevojave të mësuesve, IZHA 2016</w:t>
      </w:r>
      <w:r w:rsidR="003225BC">
        <w:rPr>
          <w:rFonts w:eastAsiaTheme="minorHAnsi" w:cs="Times New Roman"/>
          <w:szCs w:val="24"/>
        </w:rPr>
        <w:t>.</w:t>
      </w:r>
    </w:p>
    <w:p w:rsidR="00E53BD7" w:rsidRPr="00E97254" w:rsidRDefault="004E1F53" w:rsidP="000C0250">
      <w:pPr>
        <w:spacing w:after="0"/>
        <w:jc w:val="both"/>
      </w:pPr>
      <w:r>
        <w:t>Zhvillimi</w:t>
      </w:r>
      <w:r>
        <w:rPr>
          <w:color w:val="4F6228" w:themeColor="accent3" w:themeShade="80"/>
        </w:rPr>
        <w:t xml:space="preserve"> </w:t>
      </w:r>
      <w:r>
        <w:t>i vazhduar profesional i punonjësve arsimorë orientohet dhe rregullohet me dokumentet: ligji nr. 69/2012, datë 21.06.2012 “Për arsimin parauniversitar në Republikën e Shqipërisë”, i ndryshuar; Strategjia e Zhvillimit të Arsimit Parauniversitar, 2014-2020; udhëzimi nr. 1, datë 20.01.2017 “Për funksionimin e sistemit të zhvillimit të vazhdueshëm profesional të punonjësve arsimorë”;  raporti “Identifikimi i nevojave për trajnim të mësuesve dhe të drejtuesve 2016-2020”; urdhri “Për ngritjen e komisionit të akreditimit të programeve të trajnimit”, i ndryshuar.</w:t>
      </w:r>
    </w:p>
    <w:p w:rsidR="00E53BD7" w:rsidRPr="00E97254" w:rsidRDefault="004E1F53" w:rsidP="000C0250">
      <w:pPr>
        <w:spacing w:after="0"/>
        <w:jc w:val="both"/>
        <w:rPr>
          <w:rFonts w:cstheme="minorHAnsi"/>
          <w:bCs/>
          <w:szCs w:val="24"/>
          <w:lang w:bidi="he-IL"/>
        </w:rPr>
      </w:pPr>
      <w:r>
        <w:rPr>
          <w:rStyle w:val="apple-style-span"/>
          <w:rFonts w:asciiTheme="minorHAnsi" w:hAnsiTheme="minorHAnsi" w:cstheme="minorHAnsi"/>
          <w:szCs w:val="24"/>
        </w:rPr>
        <w:t xml:space="preserve">Në legjislacion theksohet se </w:t>
      </w:r>
      <w:r w:rsidR="00FA5606" w:rsidRPr="00FA5606">
        <w:rPr>
          <w:rFonts w:cstheme="minorHAnsi"/>
          <w:bCs/>
          <w:szCs w:val="24"/>
          <w:lang w:bidi="he-IL"/>
        </w:rPr>
        <w:t xml:space="preserve">mësuesit dhe drejtuesit trajnohen të paktën 3 ditë në vit dhe se trajnimet zhvillohen sipas sistemit “kërkesë - ofertë”, në bazë të nevojave të mësuesve dhe të ofertave nga agjenci trajnuese të akredituara. </w:t>
      </w:r>
    </w:p>
    <w:p w:rsidR="00E53BD7" w:rsidRPr="00E97254" w:rsidRDefault="00FA5606" w:rsidP="000C0250">
      <w:pPr>
        <w:tabs>
          <w:tab w:val="left" w:pos="360"/>
        </w:tabs>
        <w:spacing w:after="0"/>
        <w:jc w:val="both"/>
        <w:rPr>
          <w:rFonts w:cs="Times New Roman"/>
          <w:szCs w:val="24"/>
        </w:rPr>
      </w:pPr>
      <w:r w:rsidRPr="00FA5606">
        <w:rPr>
          <w:rFonts w:cs="Times New Roman"/>
          <w:szCs w:val="24"/>
        </w:rPr>
        <w:t xml:space="preserve">Në këtë kuadër është ndërtuar portali i ri: https://trajnime.arsimi.gov.al. Ky portal mundëson: transparencën e moduleve të trajnimit të akredituara; kalendarin e trajnimeve që do të zhvillohen nga agjencitë trajnuese; regjistrimin e të gjithë mësuesve që trajnohen nga këto agjenci; monitorimin dhe llogaridhënien e agjencive trajnuese për zhvillimin e trajnimeve; krijimin e  bazës </w:t>
      </w:r>
      <w:r w:rsidR="008612DE">
        <w:rPr>
          <w:rFonts w:cs="Times New Roman"/>
          <w:szCs w:val="24"/>
        </w:rPr>
        <w:t>s</w:t>
      </w:r>
      <w:r w:rsidR="008612DE" w:rsidRPr="004E1F53">
        <w:rPr>
          <w:rFonts w:cs="Times New Roman"/>
          <w:szCs w:val="24"/>
        </w:rPr>
        <w:t>ë</w:t>
      </w:r>
      <w:r w:rsidR="008612DE">
        <w:rPr>
          <w:rFonts w:cs="Times New Roman"/>
          <w:szCs w:val="24"/>
        </w:rPr>
        <w:t xml:space="preserve"> t</w:t>
      </w:r>
      <w:r w:rsidR="008612DE" w:rsidRPr="004E1F53">
        <w:rPr>
          <w:rFonts w:cs="Times New Roman"/>
          <w:szCs w:val="24"/>
        </w:rPr>
        <w:t>ë</w:t>
      </w:r>
      <w:r w:rsidR="008612DE">
        <w:rPr>
          <w:rFonts w:cs="Times New Roman"/>
          <w:szCs w:val="24"/>
        </w:rPr>
        <w:t xml:space="preserve"> dh</w:t>
      </w:r>
      <w:r w:rsidR="008612DE" w:rsidRPr="004E1F53">
        <w:rPr>
          <w:rFonts w:cs="Times New Roman"/>
          <w:szCs w:val="24"/>
        </w:rPr>
        <w:t>ë</w:t>
      </w:r>
      <w:r w:rsidR="008612DE">
        <w:rPr>
          <w:rFonts w:cs="Times New Roman"/>
          <w:szCs w:val="24"/>
        </w:rPr>
        <w:t xml:space="preserve">nave </w:t>
      </w:r>
      <w:r w:rsidRPr="00FA5606">
        <w:rPr>
          <w:rFonts w:cs="Times New Roman"/>
          <w:szCs w:val="24"/>
        </w:rPr>
        <w:t>online të të dhënave për të gjithë mësuesit e trajnuar; vlerësimin e mësuesve për trajnimet e organizuara; transparencën e tarifës së kreditit, e cila është përcaktuar jo më shumë se minimalja e kreditit në ciklin e dytë të studimeve në IAL.</w:t>
      </w:r>
    </w:p>
    <w:p w:rsidR="00E53BD7" w:rsidRPr="00E97254" w:rsidRDefault="00FA5606" w:rsidP="000C0250">
      <w:pPr>
        <w:tabs>
          <w:tab w:val="left" w:pos="360"/>
        </w:tabs>
        <w:autoSpaceDE w:val="0"/>
        <w:autoSpaceDN w:val="0"/>
        <w:adjustRightInd w:val="0"/>
        <w:spacing w:after="0"/>
        <w:jc w:val="both"/>
        <w:rPr>
          <w:rFonts w:cs="Times New Roman"/>
          <w:szCs w:val="24"/>
        </w:rPr>
      </w:pPr>
      <w:r w:rsidRPr="00FA5606">
        <w:rPr>
          <w:rFonts w:cs="Times New Roman"/>
          <w:szCs w:val="24"/>
        </w:rPr>
        <w:t xml:space="preserve">Në kuadër të mbështetjes së ASCAP-it për zhvillimin profesional të mësuesve dhe të drejtuesve të shkollave kanë përfituar trajnime nga buxheti i shtetit dhe nga funksionimi i rrjeteve profesionale të mësuesve rreth </w:t>
      </w:r>
      <w:r w:rsidRPr="00FA5606">
        <w:rPr>
          <w:rFonts w:cs="Times New Roman"/>
          <w:i/>
          <w:szCs w:val="24"/>
        </w:rPr>
        <w:t>22000 punonjës arsimorë për çdo vit shkollor</w:t>
      </w:r>
      <w:r w:rsidR="008612DE">
        <w:rPr>
          <w:rFonts w:cs="Times New Roman"/>
          <w:i/>
          <w:szCs w:val="24"/>
        </w:rPr>
        <w:t>,</w:t>
      </w:r>
      <w:r w:rsidRPr="00FA5606">
        <w:rPr>
          <w:rFonts w:cs="Times New Roman"/>
          <w:szCs w:val="24"/>
        </w:rPr>
        <w:t xml:space="preserve"> duke mbuluar 51% të trajnimeve në sistemin e arsimit parauniversitar dhe</w:t>
      </w:r>
      <w:r w:rsidR="008612DE">
        <w:rPr>
          <w:rFonts w:cs="Times New Roman"/>
          <w:szCs w:val="24"/>
        </w:rPr>
        <w:t>,</w:t>
      </w:r>
      <w:r w:rsidRPr="00FA5606">
        <w:rPr>
          <w:rFonts w:cs="Times New Roman"/>
          <w:szCs w:val="24"/>
        </w:rPr>
        <w:t xml:space="preserve"> gjatë vitit 2020</w:t>
      </w:r>
      <w:r w:rsidR="008612DE">
        <w:rPr>
          <w:rFonts w:cs="Times New Roman"/>
          <w:szCs w:val="24"/>
        </w:rPr>
        <w:t>,</w:t>
      </w:r>
      <w:r w:rsidRPr="00FA5606">
        <w:rPr>
          <w:rFonts w:cs="Times New Roman"/>
          <w:szCs w:val="24"/>
        </w:rPr>
        <w:t xml:space="preserve"> janë shpërndarë </w:t>
      </w:r>
      <w:r w:rsidRPr="00FA5606">
        <w:rPr>
          <w:rFonts w:cs="Times New Roman"/>
          <w:i/>
          <w:szCs w:val="24"/>
        </w:rPr>
        <w:t>25000 certifikata vlerësimi</w:t>
      </w:r>
      <w:r w:rsidRPr="00FA5606">
        <w:rPr>
          <w:rFonts w:cs="Times New Roman"/>
          <w:szCs w:val="24"/>
        </w:rPr>
        <w:t xml:space="preserve"> me kredite për module të akredituara dhe të zhvilluara nga ASCAP</w:t>
      </w:r>
      <w:r w:rsidR="008612DE">
        <w:rPr>
          <w:rFonts w:cs="Times New Roman"/>
          <w:szCs w:val="24"/>
        </w:rPr>
        <w:t>-i</w:t>
      </w:r>
      <w:r w:rsidRPr="00FA5606">
        <w:rPr>
          <w:rFonts w:cs="Times New Roman"/>
          <w:szCs w:val="24"/>
        </w:rPr>
        <w:t xml:space="preserve">. </w:t>
      </w:r>
    </w:p>
    <w:p w:rsidR="00E53BD7" w:rsidRPr="00E97254" w:rsidRDefault="00FA5606" w:rsidP="000C0250">
      <w:pPr>
        <w:spacing w:after="0"/>
        <w:jc w:val="both"/>
        <w:rPr>
          <w:rFonts w:ascii="Calibri" w:hAnsi="Calibri" w:cs="Calibri"/>
        </w:rPr>
      </w:pPr>
      <w:r w:rsidRPr="00FA5606">
        <w:rPr>
          <w:rFonts w:cs="Times New Roman"/>
          <w:szCs w:val="24"/>
        </w:rPr>
        <w:t>Në kuadër të zhvillimit profesional të mësuesve janë ngritur rrjetet profesionale të mësuesve sipas profileve përkatëse apo sipas roleve të mësuesve në shkollë. Fuqizimi i rrjeteve profesionale të mësuesve ka qenë në vëmendje të veçantë të punës së ASCAP-it në procesin e zbatimit të kurrikulës me bazë kompetencat. Rrjetet profesionale të mësuesve për çdo lëndë janë furnizuar në mënyrë të vazhdueshme me materiale mbështetëse, shoqëruar me takime dhe trajnime për zbatimin e tyre. Aktualisht</w:t>
      </w:r>
      <w:r w:rsidR="001D30C2">
        <w:rPr>
          <w:rFonts w:cs="Times New Roman"/>
          <w:szCs w:val="24"/>
        </w:rPr>
        <w:t>,</w:t>
      </w:r>
      <w:r w:rsidRPr="00FA5606">
        <w:rPr>
          <w:rFonts w:cs="Times New Roman"/>
          <w:szCs w:val="24"/>
        </w:rPr>
        <w:t xml:space="preserve"> janë </w:t>
      </w:r>
      <w:r w:rsidRPr="00FA5606">
        <w:rPr>
          <w:rFonts w:cs="Times New Roman"/>
          <w:i/>
          <w:szCs w:val="24"/>
        </w:rPr>
        <w:t>1200 rrjete profesionale</w:t>
      </w:r>
      <w:r w:rsidRPr="00FA5606">
        <w:rPr>
          <w:rFonts w:cs="Times New Roman"/>
          <w:szCs w:val="24"/>
        </w:rPr>
        <w:t xml:space="preserve">, të cilat janë trajnuar për udhëzuesin e funksionimit të rrjeteve, për planifikimin e punës vjetore të rrjeteve, për mënyrën e raportimit, si dhe për tema përmbajtjesore si: </w:t>
      </w:r>
      <w:r w:rsidRPr="00FA5606">
        <w:rPr>
          <w:rFonts w:cs="Times New Roman"/>
          <w:i/>
          <w:szCs w:val="24"/>
        </w:rPr>
        <w:t xml:space="preserve">zbatimi i kurrikulës me kompetenca, përfshirë edhe organizimin e mësimit me dy orë të njëpasnjëshme; zbatimi i kurrikulës </w:t>
      </w:r>
      <w:r w:rsidRPr="00FA5606">
        <w:rPr>
          <w:rFonts w:cs="Times New Roman"/>
          <w:i/>
          <w:szCs w:val="24"/>
        </w:rPr>
        <w:lastRenderedPageBreak/>
        <w:t>në të gjitha klasat; metodologjia e mësimdhënies; portofoli i të nxënit; vlerësimi i nxënësve; hartimi i testeve; klasat kolektive; mësuesit ndihmës; trajnimi për mësuesit e TIK-ut; ekstremizmi i dhunshëm; lufta kundër substancave narkotike; dokumentacioni i arsimit parashkollor; udhëzuesit për situatën e krijuar nga pandemia COVID – 19; përdorimi i platformave të mësimit online etj</w:t>
      </w:r>
      <w:r w:rsidRPr="00FA5606">
        <w:rPr>
          <w:rFonts w:cs="Times New Roman"/>
          <w:szCs w:val="24"/>
        </w:rPr>
        <w:t xml:space="preserve">. </w:t>
      </w:r>
      <w:r w:rsidR="004E1F53">
        <w:rPr>
          <w:rFonts w:ascii="Calibri" w:hAnsi="Calibri" w:cs="Calibri"/>
        </w:rPr>
        <w:t xml:space="preserve">Arsyeja përse rrjetet funksionojnë është sepse mësuesit i shohin si vendi ku mund të ndajnë përvojat, eksperiencat, shqetësimet dhe arritjet e tyre </w:t>
      </w:r>
      <w:sdt>
        <w:sdtPr>
          <w:rPr>
            <w:rFonts w:ascii="Calibri" w:hAnsi="Calibri" w:cs="Calibri"/>
          </w:rPr>
          <w:id w:val="261266524"/>
          <w:citation/>
        </w:sdtPr>
        <w:sdtEndPr/>
        <w:sdtContent>
          <w:r w:rsidR="00EC56B7" w:rsidRPr="00E97254">
            <w:rPr>
              <w:rFonts w:ascii="Calibri" w:hAnsi="Calibri" w:cs="Calibri"/>
            </w:rPr>
            <w:fldChar w:fldCharType="begin"/>
          </w:r>
          <w:r w:rsidR="004E1F53">
            <w:rPr>
              <w:rFonts w:ascii="Calibri" w:hAnsi="Calibri" w:cs="Calibri"/>
            </w:rPr>
            <w:instrText xml:space="preserve"> CITATION Ter18 \l 1033 </w:instrText>
          </w:r>
          <w:r w:rsidR="00EC56B7" w:rsidRPr="00E97254">
            <w:rPr>
              <w:rFonts w:ascii="Calibri" w:hAnsi="Calibri" w:cs="Calibri"/>
            </w:rPr>
            <w:fldChar w:fldCharType="separate"/>
          </w:r>
          <w:r w:rsidR="00724BCC" w:rsidRPr="00E97254">
            <w:rPr>
              <w:rFonts w:ascii="Calibri" w:hAnsi="Calibri" w:cs="Calibri"/>
            </w:rPr>
            <w:t>[43]</w:t>
          </w:r>
          <w:r w:rsidR="00EC56B7" w:rsidRPr="00E97254">
            <w:rPr>
              <w:rFonts w:ascii="Calibri" w:hAnsi="Calibri" w:cs="Calibri"/>
            </w:rPr>
            <w:fldChar w:fldCharType="end"/>
          </w:r>
        </w:sdtContent>
      </w:sdt>
      <w:r w:rsidR="00E53BD7" w:rsidRPr="00E97254">
        <w:rPr>
          <w:rFonts w:ascii="Calibri" w:hAnsi="Calibri" w:cs="Calibri"/>
        </w:rPr>
        <w:t xml:space="preserve">. Drejtuesi i rrjetit ka në dispozicion kohë nga norma e tij për t’iu kushtuar punës duke qenë se i </w:t>
      </w:r>
      <w:r w:rsidR="001D30C2">
        <w:rPr>
          <w:rFonts w:ascii="Calibri" w:hAnsi="Calibri" w:cs="Calibri"/>
        </w:rPr>
        <w:t>jan</w:t>
      </w:r>
      <w:r w:rsidR="001D30C2" w:rsidRPr="004E1F53">
        <w:rPr>
          <w:rFonts w:cs="Times New Roman"/>
          <w:szCs w:val="24"/>
        </w:rPr>
        <w:t>ë</w:t>
      </w:r>
      <w:r w:rsidR="001D30C2" w:rsidRPr="00E97254">
        <w:rPr>
          <w:rFonts w:ascii="Calibri" w:hAnsi="Calibri" w:cs="Calibri"/>
        </w:rPr>
        <w:t xml:space="preserve"> </w:t>
      </w:r>
      <w:r w:rsidR="001D30C2">
        <w:rPr>
          <w:rFonts w:ascii="Calibri" w:hAnsi="Calibri" w:cs="Calibri"/>
        </w:rPr>
        <w:t>zbritur</w:t>
      </w:r>
      <w:r w:rsidR="001D30C2" w:rsidRPr="00E97254">
        <w:rPr>
          <w:rFonts w:ascii="Calibri" w:hAnsi="Calibri" w:cs="Calibri"/>
        </w:rPr>
        <w:t xml:space="preserve"> </w:t>
      </w:r>
      <w:r w:rsidR="00E53BD7" w:rsidRPr="00E97254">
        <w:rPr>
          <w:rFonts w:ascii="Calibri" w:hAnsi="Calibri" w:cs="Calibri"/>
        </w:rPr>
        <w:t xml:space="preserve">nga norma 2 orë në javë. </w:t>
      </w:r>
    </w:p>
    <w:p w:rsidR="00E53BD7" w:rsidRPr="00E97254" w:rsidRDefault="00E53BD7" w:rsidP="000C0250">
      <w:pPr>
        <w:spacing w:after="0"/>
        <w:jc w:val="both"/>
        <w:rPr>
          <w:rFonts w:cs="Times New Roman"/>
          <w:szCs w:val="24"/>
        </w:rPr>
      </w:pPr>
      <w:r w:rsidRPr="00E97254">
        <w:rPr>
          <w:rFonts w:cs="Times New Roman"/>
          <w:szCs w:val="24"/>
        </w:rPr>
        <w:t xml:space="preserve">Lufta kundër dukurive të tilla, </w:t>
      </w:r>
      <w:r w:rsidRPr="00E97254">
        <w:rPr>
          <w:rFonts w:cs="Times New Roman"/>
          <w:i/>
          <w:szCs w:val="24"/>
        </w:rPr>
        <w:t>si episode të dhunës apo përdorimi i drogave</w:t>
      </w:r>
      <w:r w:rsidRPr="00E97254">
        <w:rPr>
          <w:rFonts w:cs="Times New Roman"/>
          <w:szCs w:val="24"/>
        </w:rPr>
        <w:t xml:space="preserve"> në shkolla janë prioritet i MASR-së dhe i Ministrisë së Brendshme. Ministria e Brendshme ka filluar tashmë të zbatojë konceptin “Shkolla të sigurta”, me një vëmendje të posaçme në rritjen e sigurisë, si brenda ashtu edhe jashtë shkollës. Duke syn</w:t>
      </w:r>
      <w:r w:rsidR="00FA5606" w:rsidRPr="00FA5606">
        <w:rPr>
          <w:rFonts w:cs="Times New Roman"/>
          <w:szCs w:val="24"/>
        </w:rPr>
        <w:t>uar rritjen e sigurisë nëpërmjet ndërveprimit dhe parandalimit, MASR</w:t>
      </w:r>
      <w:r w:rsidR="001D30C2">
        <w:rPr>
          <w:rFonts w:cs="Times New Roman"/>
          <w:szCs w:val="24"/>
        </w:rPr>
        <w:t>-ja</w:t>
      </w:r>
      <w:r w:rsidR="00FA5606" w:rsidRPr="00FA5606">
        <w:rPr>
          <w:rFonts w:cs="Times New Roman"/>
          <w:szCs w:val="24"/>
        </w:rPr>
        <w:t xml:space="preserve"> në bashkëpunim me Ministrinë e Brendshme</w:t>
      </w:r>
      <w:r w:rsidR="001D30C2">
        <w:rPr>
          <w:rFonts w:cs="Times New Roman"/>
          <w:szCs w:val="24"/>
        </w:rPr>
        <w:t>,</w:t>
      </w:r>
      <w:r w:rsidR="00FA5606" w:rsidRPr="00FA5606">
        <w:rPr>
          <w:rFonts w:cs="Times New Roman"/>
          <w:szCs w:val="24"/>
        </w:rPr>
        <w:t xml:space="preserve"> nëpërmjet marrëveshjes së firmosur mes palëve, kërkon të krijojë një qasje të re nëpërmjet projektit “Shkolla të sigurta - Oficerët e sigurisë në shkolla”. Aktualisht</w:t>
      </w:r>
      <w:r w:rsidR="001D30C2">
        <w:rPr>
          <w:rFonts w:cs="Times New Roman"/>
          <w:szCs w:val="24"/>
        </w:rPr>
        <w:t>,</w:t>
      </w:r>
      <w:r w:rsidR="00FA5606" w:rsidRPr="00FA5606">
        <w:rPr>
          <w:rFonts w:cs="Times New Roman"/>
          <w:szCs w:val="24"/>
        </w:rPr>
        <w:t xml:space="preserve"> janë trajnuar nga ASCAP rreth </w:t>
      </w:r>
      <w:r w:rsidR="00FA5606" w:rsidRPr="00FA5606">
        <w:rPr>
          <w:rFonts w:cs="Times New Roman"/>
          <w:i/>
          <w:szCs w:val="24"/>
        </w:rPr>
        <w:t>140 oficerë të sigurisë</w:t>
      </w:r>
      <w:r w:rsidR="00FA5606" w:rsidRPr="00FA5606">
        <w:rPr>
          <w:rFonts w:cs="Times New Roman"/>
          <w:szCs w:val="24"/>
        </w:rPr>
        <w:t xml:space="preserve">  në shkolla.</w:t>
      </w:r>
    </w:p>
    <w:p w:rsidR="00E53BD7" w:rsidRPr="00E97254" w:rsidRDefault="00FA5606" w:rsidP="000C0250">
      <w:pPr>
        <w:spacing w:after="0"/>
        <w:jc w:val="both"/>
        <w:rPr>
          <w:rFonts w:cs="Times New Roman"/>
          <w:szCs w:val="24"/>
        </w:rPr>
      </w:pPr>
      <w:r w:rsidRPr="00FA5606">
        <w:rPr>
          <w:rFonts w:cs="Times New Roman"/>
          <w:szCs w:val="24"/>
        </w:rPr>
        <w:t xml:space="preserve">Prioritet i rëndësishëm gjatë këtyre viteve ka qenë mbështetja e arsimit gjithëpërfshirës </w:t>
      </w:r>
      <w:r w:rsidR="001D30C2" w:rsidRPr="004E1F53">
        <w:rPr>
          <w:rFonts w:cs="Times New Roman"/>
          <w:szCs w:val="24"/>
        </w:rPr>
        <w:t xml:space="preserve">nëpërmjet </w:t>
      </w:r>
      <w:r w:rsidRPr="00FA5606">
        <w:rPr>
          <w:rFonts w:cs="Times New Roman"/>
          <w:szCs w:val="24"/>
        </w:rPr>
        <w:t xml:space="preserve">ngritjes së kapaciteteve të mësuesve ndihmës që tashmë janë pjesë e qenësishme e sistemit tonë arsimor. Puna për këta mësues filloi më krijimin e  rrjeteve profesionale të mësuesve ndihmës. Janë ngritur </w:t>
      </w:r>
      <w:r w:rsidRPr="00FA5606">
        <w:rPr>
          <w:rFonts w:cs="Times New Roman"/>
          <w:i/>
          <w:szCs w:val="24"/>
        </w:rPr>
        <w:t>61 rrjete profesionale, të cilat përfshijnë rreth 1176 mësues ndihmës në të gjithë vendin</w:t>
      </w:r>
      <w:r w:rsidRPr="00FA5606">
        <w:rPr>
          <w:rFonts w:cs="Times New Roman"/>
          <w:szCs w:val="24"/>
        </w:rPr>
        <w:t>.</w:t>
      </w:r>
    </w:p>
    <w:p w:rsidR="00E53BD7" w:rsidRPr="00E97254" w:rsidRDefault="00FA5606" w:rsidP="000C0250">
      <w:pPr>
        <w:spacing w:after="0"/>
        <w:jc w:val="both"/>
        <w:rPr>
          <w:rFonts w:cs="Times New Roman"/>
          <w:szCs w:val="24"/>
        </w:rPr>
      </w:pPr>
      <w:r w:rsidRPr="00FA5606">
        <w:rPr>
          <w:rFonts w:cs="Times New Roman"/>
          <w:szCs w:val="24"/>
        </w:rPr>
        <w:t xml:space="preserve">Një prioritet tjetër i rëndësishëm gjatë këtyre viteve është aftësimi i mësuesve për kompetencën digjitale. Janë krijuar platforma dhe janë trajnuar rreth </w:t>
      </w:r>
      <w:r w:rsidRPr="00FA5606">
        <w:rPr>
          <w:rFonts w:cs="Times New Roman"/>
          <w:i/>
          <w:szCs w:val="24"/>
        </w:rPr>
        <w:t>1200 mësues të TIK-ut</w:t>
      </w:r>
      <w:r w:rsidRPr="00FA5606">
        <w:rPr>
          <w:rFonts w:cs="Times New Roman"/>
          <w:szCs w:val="24"/>
        </w:rPr>
        <w:t xml:space="preserve"> për përdorimin e këtyre platformave që kanë si qëllim përdorimin e përmbajtjeve digjitale në kuadër të kurrikulës me kompetenca, për përdorimin e TIK-ut në procesin e mësimdhënie – nxënies dhe për sigurinë kibernetike. Në këtë kuadër, me mbështetjen e UNICEF-it, është hartuar edhe platforma akademi.al dhe janë trajnuar rreth 1200 mësues të TIK-ut për përdorimin e saj në mësimin online gjatë pandemisë COVID- 19.</w:t>
      </w:r>
    </w:p>
    <w:p w:rsidR="00D07643" w:rsidRPr="00E97254" w:rsidRDefault="00FA5606" w:rsidP="000C0250">
      <w:pPr>
        <w:spacing w:after="0"/>
        <w:jc w:val="both"/>
        <w:rPr>
          <w:rFonts w:cs="Times New Roman"/>
          <w:bCs/>
          <w:iCs/>
          <w:szCs w:val="24"/>
        </w:rPr>
      </w:pPr>
      <w:r w:rsidRPr="00FA5606">
        <w:rPr>
          <w:rFonts w:cs="Times New Roman"/>
          <w:szCs w:val="24"/>
        </w:rPr>
        <w:t xml:space="preserve">Gjatë vitit 2017 u ngrit për herë të tretë, komisioni i akreditimit të programeve të trajnimit (KAPT) bazuar në udhëzimin nr.1, datë 20.01.2017, të ministrit të Arsimit dhe Sportit “Për funksionimin e sistemit të zhvillimit të vazhdueshëm profesional të punonjësve arsimorë” dhe </w:t>
      </w:r>
      <w:r w:rsidRPr="00FA5606">
        <w:rPr>
          <w:rFonts w:cs="Times New Roman"/>
          <w:szCs w:val="24"/>
          <w:shd w:val="clear" w:color="auto" w:fill="FFFFFF"/>
        </w:rPr>
        <w:t xml:space="preserve">urdhrin e ministrit të Arsimit dhe Sportit,  nr.75, datë 16.02.2017, “Për ngritjen e komisionit të akreditimit të programeve të trajnimit të punonjësve arsimorë në sistemin parauniversitar”, i ndryshuar. </w:t>
      </w:r>
      <w:r w:rsidRPr="00FA5606">
        <w:rPr>
          <w:i/>
        </w:rPr>
        <w:t xml:space="preserve">Komisioni i akreditimit </w:t>
      </w:r>
      <w:r w:rsidRPr="00FA5606">
        <w:rPr>
          <w:rFonts w:cs="Times New Roman"/>
          <w:szCs w:val="24"/>
        </w:rPr>
        <w:t xml:space="preserve">ka akredituar </w:t>
      </w:r>
      <w:r w:rsidRPr="00FA5606">
        <w:rPr>
          <w:rFonts w:cs="Times New Roman"/>
          <w:i/>
          <w:szCs w:val="24"/>
        </w:rPr>
        <w:t>466 module trajnimi</w:t>
      </w:r>
      <w:r w:rsidRPr="00FA5606">
        <w:rPr>
          <w:rFonts w:cs="Times New Roman"/>
          <w:szCs w:val="24"/>
        </w:rPr>
        <w:t xml:space="preserve">, të cilat ofrohen nga </w:t>
      </w:r>
      <w:r w:rsidRPr="00FA5606">
        <w:rPr>
          <w:rFonts w:cs="Times New Roman"/>
          <w:i/>
          <w:szCs w:val="24"/>
        </w:rPr>
        <w:t>59 agjenci trajnimi</w:t>
      </w:r>
      <w:r w:rsidRPr="00FA5606">
        <w:rPr>
          <w:rFonts w:cs="Times New Roman"/>
          <w:szCs w:val="24"/>
        </w:rPr>
        <w:t>;</w:t>
      </w:r>
      <w:r w:rsidRPr="00FA5606">
        <w:rPr>
          <w:rFonts w:cs="Times New Roman"/>
          <w:bCs/>
          <w:szCs w:val="24"/>
        </w:rPr>
        <w:t xml:space="preserve"> </w:t>
      </w:r>
      <w:r w:rsidRPr="00FA5606">
        <w:rPr>
          <w:rFonts w:cs="Times New Roman"/>
          <w:szCs w:val="24"/>
        </w:rPr>
        <w:t xml:space="preserve">ka ngritur grupet task-forcë për monitorimin dhe vlerësimin e punës së agjencive që kryejnë trajnime. </w:t>
      </w:r>
      <w:r w:rsidRPr="00FA5606">
        <w:rPr>
          <w:rFonts w:cs="Times New Roman"/>
          <w:bCs/>
          <w:szCs w:val="24"/>
        </w:rPr>
        <w:t xml:space="preserve"> </w:t>
      </w:r>
      <w:r w:rsidRPr="00FA5606">
        <w:rPr>
          <w:rFonts w:cs="Times New Roman"/>
          <w:bCs/>
          <w:iCs/>
          <w:szCs w:val="24"/>
        </w:rPr>
        <w:t xml:space="preserve">Bazuar në portalin </w:t>
      </w:r>
      <w:r w:rsidRPr="00FA5606">
        <w:rPr>
          <w:rFonts w:cs="Times New Roman"/>
          <w:bCs/>
          <w:i/>
          <w:iCs/>
          <w:szCs w:val="24"/>
        </w:rPr>
        <w:t>trajnime.arsimi.gov.al</w:t>
      </w:r>
      <w:r w:rsidRPr="00FA5606">
        <w:rPr>
          <w:rFonts w:cs="Times New Roman"/>
          <w:bCs/>
          <w:iCs/>
          <w:szCs w:val="24"/>
        </w:rPr>
        <w:t>, i cili menaxhohet nga RASH</w:t>
      </w:r>
      <w:r w:rsidR="001D30C2">
        <w:rPr>
          <w:rFonts w:cs="Times New Roman"/>
          <w:bCs/>
          <w:iCs/>
          <w:szCs w:val="24"/>
        </w:rPr>
        <w:t>-i</w:t>
      </w:r>
      <w:r w:rsidRPr="00FA5606">
        <w:rPr>
          <w:rFonts w:cs="Times New Roman"/>
          <w:bCs/>
          <w:iCs/>
          <w:szCs w:val="24"/>
        </w:rPr>
        <w:t>, gjatë vitit 2018 janë trajnuar 21,750 mësues, gjatë vitit 2019 janë trajnuar 22,145 mësues, gjatë vitit 2020 janë trajnuar 33,895 mësues.</w:t>
      </w:r>
    </w:p>
    <w:p w:rsidR="00E53BD7" w:rsidRPr="00E97254" w:rsidRDefault="004E1F53" w:rsidP="000C0250">
      <w:pPr>
        <w:spacing w:after="0"/>
        <w:jc w:val="both"/>
        <w:rPr>
          <w:rFonts w:cs="Times New Roman"/>
          <w:bCs/>
          <w:iCs/>
          <w:szCs w:val="24"/>
        </w:rPr>
      </w:pPr>
      <w:r>
        <w:rPr>
          <w:rFonts w:ascii="Calibri" w:hAnsi="Calibri" w:cs="Calibri"/>
          <w:szCs w:val="24"/>
        </w:rPr>
        <w:t>Me gjithë faktin se në Shqipëri zhvillohen trajnime të shumta dhe ASCAP</w:t>
      </w:r>
      <w:r w:rsidR="001D30C2">
        <w:rPr>
          <w:rFonts w:ascii="Calibri" w:hAnsi="Calibri" w:cs="Calibri"/>
          <w:szCs w:val="24"/>
        </w:rPr>
        <w:t>-i</w:t>
      </w:r>
      <w:r>
        <w:rPr>
          <w:rFonts w:ascii="Calibri" w:hAnsi="Calibri" w:cs="Calibri"/>
          <w:szCs w:val="24"/>
        </w:rPr>
        <w:t xml:space="preserve"> kryen monitorime të vazhdueshme të trajnimeve, mbetet për t’u përmirësuar mënyra e mbledhjes së  informacionit të besueshëm për efektivitetin e trajnimeve në procesin mësimor në klasë, </w:t>
      </w:r>
      <w:r w:rsidR="00F06FBC">
        <w:rPr>
          <w:rFonts w:ascii="Calibri" w:hAnsi="Calibri" w:cs="Calibri"/>
          <w:szCs w:val="24"/>
        </w:rPr>
        <w:t xml:space="preserve">përdorimi i tyre nga </w:t>
      </w:r>
      <w:r>
        <w:rPr>
          <w:rFonts w:ascii="Calibri" w:hAnsi="Calibri" w:cs="Calibri"/>
          <w:szCs w:val="24"/>
        </w:rPr>
        <w:t xml:space="preserve">mësuesit gjatë procesit të mësimdhënie – nxënies, aftësitë që fitojnë gjatë trajnimeve të kryera apo sa </w:t>
      </w:r>
      <w:r w:rsidR="00F06FBC">
        <w:rPr>
          <w:rFonts w:ascii="Calibri" w:hAnsi="Calibri" w:cs="Calibri"/>
          <w:szCs w:val="24"/>
        </w:rPr>
        <w:t xml:space="preserve">përmbushen </w:t>
      </w:r>
      <w:r>
        <w:rPr>
          <w:rFonts w:ascii="Calibri" w:hAnsi="Calibri" w:cs="Calibri"/>
          <w:szCs w:val="24"/>
        </w:rPr>
        <w:t>nevojat e tyre për zhvillim profesional</w:t>
      </w:r>
      <w:r w:rsidR="00F06FBC" w:rsidRPr="00F06FBC">
        <w:rPr>
          <w:rFonts w:ascii="Calibri" w:hAnsi="Calibri" w:cs="Calibri"/>
          <w:szCs w:val="24"/>
        </w:rPr>
        <w:t xml:space="preserve"> </w:t>
      </w:r>
      <w:r w:rsidR="00F06FBC">
        <w:rPr>
          <w:rFonts w:ascii="Calibri" w:hAnsi="Calibri" w:cs="Calibri"/>
          <w:szCs w:val="24"/>
        </w:rPr>
        <w:t>nga këto trajnime</w:t>
      </w:r>
      <w:r>
        <w:rPr>
          <w:rFonts w:ascii="Calibri" w:hAnsi="Calibri" w:cs="Calibri"/>
          <w:szCs w:val="24"/>
        </w:rPr>
        <w:t>. MASR</w:t>
      </w:r>
      <w:r w:rsidR="00F06FBC">
        <w:rPr>
          <w:rFonts w:ascii="Calibri" w:hAnsi="Calibri" w:cs="Calibri"/>
          <w:szCs w:val="24"/>
        </w:rPr>
        <w:t>-ja</w:t>
      </w:r>
      <w:r>
        <w:rPr>
          <w:rFonts w:ascii="Calibri" w:hAnsi="Calibri" w:cs="Calibri"/>
          <w:szCs w:val="24"/>
        </w:rPr>
        <w:t xml:space="preserve"> ka kryer inspektime t</w:t>
      </w:r>
      <w:r>
        <w:rPr>
          <w:rFonts w:ascii="Calibri" w:hAnsi="Calibri" w:cs="Calibri"/>
        </w:rPr>
        <w:t>ë vazhdueshme</w:t>
      </w:r>
      <w:r>
        <w:rPr>
          <w:rFonts w:ascii="Calibri" w:hAnsi="Calibri" w:cs="Calibri"/>
          <w:szCs w:val="24"/>
        </w:rPr>
        <w:t xml:space="preserve"> gjat</w:t>
      </w:r>
      <w:r>
        <w:rPr>
          <w:rFonts w:ascii="Calibri" w:hAnsi="Calibri" w:cs="Calibri"/>
        </w:rPr>
        <w:t xml:space="preserve">ë kohës që agjencitë kanë ofruar trajnime, ka zhvilluar vlerësime me mësuesit pjesëmarrës në trajnime dhe ka monitoruar nivelin e arritjeve të nxënësve nga viti në vit për mësuesit e trajnuar. </w:t>
      </w:r>
      <w:r>
        <w:rPr>
          <w:rFonts w:ascii="Calibri" w:hAnsi="Calibri" w:cs="Calibri"/>
          <w:szCs w:val="24"/>
        </w:rPr>
        <w:t xml:space="preserve"> </w:t>
      </w:r>
    </w:p>
    <w:p w:rsidR="00E53BD7" w:rsidRPr="00E97254" w:rsidRDefault="00FA5606" w:rsidP="000C0250">
      <w:pPr>
        <w:spacing w:after="0"/>
        <w:jc w:val="both"/>
        <w:rPr>
          <w:rFonts w:ascii="Calibri" w:hAnsi="Calibri" w:cs="Calibri"/>
          <w:sz w:val="20"/>
        </w:rPr>
      </w:pPr>
      <w:r w:rsidRPr="00FA5606">
        <w:lastRenderedPageBreak/>
        <w:t>Bazuar në udhëzimin nr.1, datë 20.01.2017</w:t>
      </w:r>
      <w:r w:rsidR="00F06FBC">
        <w:t>,</w:t>
      </w:r>
      <w:r w:rsidRPr="00FA5606">
        <w:t xml:space="preserve"> të ministrit të Arsimit dhe Sportit për “Funksionimin e sistemit të zhvillimit të vazhdueshëm profesional të punonjësve arsimorë”, procesi i identifikimit të nevojave të punonjësve arsimorë bëhet çdo katër vjet</w:t>
      </w:r>
      <w:r w:rsidR="004E1F53">
        <w:rPr>
          <w:rFonts w:ascii="Calibri" w:hAnsi="Calibri" w:cs="Calibri"/>
          <w:szCs w:val="24"/>
        </w:rPr>
        <w:t xml:space="preserve"> dhe bazohet në standardet profesionale të mësuesit</w:t>
      </w:r>
      <w:r w:rsidRPr="00FA5606">
        <w:t>. Ai është një proces që bëhet në bashkëpunim me DPAP-në, DRAP-et, ZVAP-të, si dhe institucionet arsimore të arsimit parauniversitar. Ai shtrihet në gjithë hierarkinë e institucioneve të sistemit arsimor parauniversitar, duke mundësuar një “skanim” tërësor të nevojave dhe të situatës në sistem. Nisur nga prioritetet për katër vitet e fundit, ASCAP</w:t>
      </w:r>
      <w:r w:rsidR="00F06FBC">
        <w:t>-i</w:t>
      </w:r>
      <w:r w:rsidRPr="00FA5606">
        <w:t xml:space="preserve"> ndërmori punën për kryerjen e identifikimit dhe grumbullimit të nevojave për zhvillim profesional të mësuesve dhe drejtuesve 2021-2025. Instrumenti u ndërtua nga disa rubrika/fusha të identifikuara si </w:t>
      </w:r>
      <w:r w:rsidR="007A42AA">
        <w:t>thelb</w:t>
      </w:r>
      <w:r w:rsidR="007A42AA">
        <w:rPr>
          <w:rFonts w:ascii="Calibri" w:hAnsi="Calibri" w:cs="Calibri"/>
          <w:szCs w:val="24"/>
        </w:rPr>
        <w:t>ësore</w:t>
      </w:r>
      <w:r w:rsidRPr="00FA5606">
        <w:t xml:space="preserve"> dhe të domosdoshme për zhvillimin profesional të mësuesve: planifikimi dhe zbatimi i kurrikulës me kompetenca; mësimdhënia dhe të nxënit (Mësimdhënia dhe nxënia; Përkujdesja për nxënësit me vështirësi në të nxënë; Vlerësimi i të nxënit); etika dhe komunikimi (etika dhe sjellja; bashkëpunimi me komunitetin); gjithëpërfshirja për zhvillimin e shkollës. Instrumenti u vu në dispozicion të gjithë punonjësve arsimorë në vend dhe u arrit të plotësohe</w:t>
      </w:r>
      <w:r w:rsidR="007A42AA">
        <w:t>j</w:t>
      </w:r>
      <w:r w:rsidRPr="00FA5606">
        <w:t xml:space="preserve"> nga 20288 </w:t>
      </w:r>
      <w:r w:rsidR="007A42AA">
        <w:t>-</w:t>
      </w:r>
      <w:r w:rsidRPr="00FA5606">
        <w:t xml:space="preserve"> rreth 72% e tyre. Të dhënat e  grumbulluara u përpunuan në formën e një raporti të përgjithshëm duke prezantuar një sërë gjetjesh për secil</w:t>
      </w:r>
      <w:r w:rsidR="007A42AA">
        <w:rPr>
          <w:rFonts w:ascii="Calibri" w:hAnsi="Calibri" w:cs="Calibri"/>
          <w:szCs w:val="24"/>
        </w:rPr>
        <w:t>ë</w:t>
      </w:r>
      <w:r w:rsidRPr="00FA5606">
        <w:t xml:space="preserve">n fushë të vlerësuar </w:t>
      </w:r>
      <w:sdt>
        <w:sdtPr>
          <w:id w:val="-840854834"/>
          <w:citation/>
        </w:sdtPr>
        <w:sdtEndPr/>
        <w:sdtContent>
          <w:r w:rsidR="00EC56B7" w:rsidRPr="00E97254">
            <w:fldChar w:fldCharType="begin"/>
          </w:r>
          <w:r w:rsidRPr="00FA5606">
            <w:instrText xml:space="preserve"> CITATION ASC21 \l 1033 </w:instrText>
          </w:r>
          <w:r w:rsidR="00EC56B7" w:rsidRPr="00E97254">
            <w:fldChar w:fldCharType="separate"/>
          </w:r>
          <w:r w:rsidR="00724BCC" w:rsidRPr="00E97254">
            <w:t>[57]</w:t>
          </w:r>
          <w:r w:rsidR="00EC56B7" w:rsidRPr="00E97254">
            <w:fldChar w:fldCharType="end"/>
          </w:r>
        </w:sdtContent>
      </w:sdt>
      <w:r w:rsidR="00E53BD7" w:rsidRPr="00E97254">
        <w:t xml:space="preserve">. </w:t>
      </w:r>
      <w:r w:rsidR="007A42AA">
        <w:t xml:space="preserve"> </w:t>
      </w:r>
    </w:p>
    <w:p w:rsidR="00E53BD7" w:rsidRPr="00E97254" w:rsidRDefault="00E53BD7" w:rsidP="000C0250">
      <w:pPr>
        <w:spacing w:after="0"/>
        <w:jc w:val="both"/>
        <w:rPr>
          <w:rFonts w:ascii="Calibri" w:hAnsi="Calibri" w:cs="Calibri"/>
        </w:rPr>
      </w:pPr>
      <w:r w:rsidRPr="00E97254">
        <w:rPr>
          <w:rFonts w:ascii="Calibri" w:hAnsi="Calibri" w:cs="Calibri"/>
          <w:bCs/>
        </w:rPr>
        <w:t xml:space="preserve">Me ndryshimet legjislative të vitit 2013, Shqipëria ka vënë në funksion një sistem të ri </w:t>
      </w:r>
      <w:r w:rsidR="004E1F53">
        <w:rPr>
          <w:rFonts w:ascii="Calibri" w:hAnsi="Calibri" w:cs="Calibri"/>
          <w:bCs/>
        </w:rPr>
        <w:t xml:space="preserve">të rekrutimit të mësuesve. </w:t>
      </w:r>
      <w:r w:rsidR="004E1F53">
        <w:rPr>
          <w:rFonts w:ascii="Calibri" w:hAnsi="Calibri" w:cs="Calibri"/>
        </w:rPr>
        <w:t>Me përfundimin e studimeve të larta të nivelit master</w:t>
      </w:r>
      <w:r w:rsidR="007A42AA">
        <w:rPr>
          <w:rFonts w:ascii="Calibri" w:hAnsi="Calibri" w:cs="Calibri"/>
        </w:rPr>
        <w:t>,</w:t>
      </w:r>
      <w:r w:rsidR="004E1F53">
        <w:rPr>
          <w:rFonts w:ascii="Calibri" w:hAnsi="Calibri" w:cs="Calibri"/>
        </w:rPr>
        <w:t xml:space="preserve"> nga mësuesi kërkohet të </w:t>
      </w:r>
      <w:r w:rsidR="00FA5606" w:rsidRPr="00FA5606">
        <w:rPr>
          <w:rFonts w:cs="Calibri"/>
        </w:rPr>
        <w:t>zhvillojë</w:t>
      </w:r>
      <w:r w:rsidR="004E1F53">
        <w:rPr>
          <w:rFonts w:ascii="Calibri" w:hAnsi="Calibri" w:cs="Calibri"/>
        </w:rPr>
        <w:t xml:space="preserve"> praktikën profesionale </w:t>
      </w:r>
      <w:r w:rsidR="007A42AA">
        <w:rPr>
          <w:rFonts w:ascii="Calibri" w:hAnsi="Calibri" w:cs="Calibri"/>
        </w:rPr>
        <w:t xml:space="preserve">me </w:t>
      </w:r>
      <w:r w:rsidR="004E1F53">
        <w:rPr>
          <w:rFonts w:ascii="Calibri" w:hAnsi="Calibri" w:cs="Calibri"/>
        </w:rPr>
        <w:t>kohëzgjatje një vit</w:t>
      </w:r>
      <w:r w:rsidR="007A42AA">
        <w:rPr>
          <w:rFonts w:ascii="Calibri" w:hAnsi="Calibri" w:cs="Calibri"/>
        </w:rPr>
        <w:t xml:space="preserve"> </w:t>
      </w:r>
      <w:r w:rsidR="004E1F53">
        <w:rPr>
          <w:rFonts w:ascii="Calibri" w:hAnsi="Calibri" w:cs="Calibri"/>
        </w:rPr>
        <w:t>shkollor, pas së cilës mund t’i nënshtrohet provimit të shtetit që organizohet nga QSHA</w:t>
      </w:r>
      <w:r w:rsidR="007A42AA">
        <w:rPr>
          <w:rFonts w:ascii="Calibri" w:hAnsi="Calibri" w:cs="Calibri"/>
        </w:rPr>
        <w:t>-ja</w:t>
      </w:r>
      <w:r w:rsidR="004E1F53">
        <w:rPr>
          <w:rFonts w:ascii="Calibri" w:hAnsi="Calibri" w:cs="Calibri"/>
        </w:rPr>
        <w:t xml:space="preserve">. Mësuesit e certifikuar aplikojnë për punë nëpërmjet sistemit online të njohur si portali “Mësues për Shqipërinë” (https://mesuespershqiperine.al/), dhe renditen nga sistemi, </w:t>
      </w:r>
      <w:r w:rsidR="00FA5606" w:rsidRPr="00FA5606">
        <w:t>mbi bazën e vlerësimit të dosjes dhe provimit,</w:t>
      </w:r>
      <w:r w:rsidR="004E1F53">
        <w:rPr>
          <w:rFonts w:ascii="Calibri" w:hAnsi="Calibri" w:cs="Calibri"/>
        </w:rPr>
        <w:t xml:space="preserve"> ndërkohë që kjo renditje duhet të respektohet edhe gjatë procesit të rekrutimit. </w:t>
      </w:r>
      <w:r w:rsidR="004E1F53">
        <w:rPr>
          <w:rFonts w:ascii="Calibri" w:hAnsi="Calibri" w:cs="Calibri"/>
          <w:szCs w:val="24"/>
        </w:rPr>
        <w:t>Që prej vitit 2014, kur portali filloi të funksionojë, mësuesit pun</w:t>
      </w:r>
      <w:r w:rsidR="004E1F53">
        <w:rPr>
          <w:rFonts w:ascii="Calibri" w:hAnsi="Calibri" w:cs="Calibri"/>
        </w:rPr>
        <w:t xml:space="preserve">ësohen </w:t>
      </w:r>
      <w:r w:rsidR="004E1F53">
        <w:rPr>
          <w:rFonts w:ascii="Calibri" w:hAnsi="Calibri" w:cs="Calibri"/>
          <w:szCs w:val="24"/>
        </w:rPr>
        <w:t>nëpërmjet këtij sistemi. Progres</w:t>
      </w:r>
      <w:r w:rsidR="007A42AA">
        <w:rPr>
          <w:rFonts w:ascii="Calibri" w:hAnsi="Calibri" w:cs="Calibri"/>
          <w:szCs w:val="24"/>
        </w:rPr>
        <w:t>-</w:t>
      </w:r>
      <w:r w:rsidR="004E1F53">
        <w:rPr>
          <w:rFonts w:ascii="Calibri" w:hAnsi="Calibri" w:cs="Calibri"/>
          <w:szCs w:val="24"/>
        </w:rPr>
        <w:t>raporti më i fundit i BE-së e vlerëson mënyrën e re të rekrutimit si një arritje</w:t>
      </w:r>
      <w:r w:rsidR="007A42AA">
        <w:rPr>
          <w:rFonts w:ascii="Calibri" w:hAnsi="Calibri" w:cs="Calibri"/>
          <w:szCs w:val="24"/>
        </w:rPr>
        <w:t>,</w:t>
      </w:r>
      <w:r w:rsidR="004E1F53">
        <w:rPr>
          <w:rFonts w:ascii="Calibri" w:hAnsi="Calibri" w:cs="Calibri"/>
          <w:szCs w:val="24"/>
        </w:rPr>
        <w:t xml:space="preserve"> duke sugjeruar që të shërbejë si model edhe për vendet e tjera të rajonit.</w:t>
      </w:r>
      <w:r w:rsidR="004E1F53">
        <w:rPr>
          <w:rFonts w:ascii="Calibri" w:hAnsi="Calibri" w:cs="Calibri"/>
        </w:rPr>
        <w:t xml:space="preserve"> </w:t>
      </w:r>
      <w:sdt>
        <w:sdtPr>
          <w:rPr>
            <w:rFonts w:ascii="Calibri" w:hAnsi="Calibri" w:cs="Calibri"/>
          </w:rPr>
          <w:id w:val="2064052355"/>
          <w:citation/>
        </w:sdtPr>
        <w:sdtEndPr/>
        <w:sdtContent>
          <w:r w:rsidR="00EC56B7" w:rsidRPr="00E97254">
            <w:rPr>
              <w:rFonts w:ascii="Calibri" w:hAnsi="Calibri" w:cs="Calibri"/>
            </w:rPr>
            <w:fldChar w:fldCharType="begin"/>
          </w:r>
          <w:r w:rsidR="004E1F53">
            <w:rPr>
              <w:rFonts w:ascii="Calibri" w:hAnsi="Calibri" w:cs="Calibri"/>
            </w:rPr>
            <w:instrText xml:space="preserve"> CITATION Wor19 \l 1033 </w:instrText>
          </w:r>
          <w:r w:rsidR="00EC56B7" w:rsidRPr="00E97254">
            <w:rPr>
              <w:rFonts w:ascii="Calibri" w:hAnsi="Calibri" w:cs="Calibri"/>
            </w:rPr>
            <w:fldChar w:fldCharType="separate"/>
          </w:r>
          <w:r w:rsidR="00724BCC" w:rsidRPr="00E97254">
            <w:rPr>
              <w:rFonts w:ascii="Calibri" w:hAnsi="Calibri" w:cs="Calibri"/>
            </w:rPr>
            <w:t>[37]</w:t>
          </w:r>
          <w:r w:rsidR="00EC56B7" w:rsidRPr="00E97254">
            <w:rPr>
              <w:rFonts w:ascii="Calibri" w:hAnsi="Calibri" w:cs="Calibri"/>
            </w:rPr>
            <w:fldChar w:fldCharType="end"/>
          </w:r>
        </w:sdtContent>
      </w:sdt>
      <w:r w:rsidRPr="00E97254">
        <w:rPr>
          <w:rFonts w:ascii="Calibri" w:hAnsi="Calibri" w:cs="Calibri"/>
        </w:rPr>
        <w:t xml:space="preserve"> Është një sistem që shmang korrupsionin, nepotizmin dhe politikën në rekrutime</w:t>
      </w:r>
      <w:r w:rsidRPr="00E97254">
        <w:rPr>
          <w:rFonts w:cs="Calibri"/>
        </w:rPr>
        <w:t>,</w:t>
      </w:r>
      <w:r w:rsidR="004E1F53">
        <w:rPr>
          <w:rFonts w:ascii="Calibri" w:hAnsi="Calibri" w:cs="Calibri"/>
        </w:rPr>
        <w:t xml:space="preserve"> duke siguruar transparencë dhe punësim </w:t>
      </w:r>
      <w:r w:rsidR="000D5D95">
        <w:rPr>
          <w:rFonts w:ascii="Calibri" w:hAnsi="Calibri" w:cs="Calibri"/>
        </w:rPr>
        <w:t>bazuar te</w:t>
      </w:r>
      <w:r w:rsidR="004E1F53">
        <w:rPr>
          <w:rFonts w:ascii="Calibri" w:hAnsi="Calibri" w:cs="Calibri"/>
        </w:rPr>
        <w:t xml:space="preserve"> </w:t>
      </w:r>
      <w:r w:rsidR="000D5D95">
        <w:rPr>
          <w:rFonts w:ascii="Calibri" w:hAnsi="Calibri" w:cs="Calibri"/>
        </w:rPr>
        <w:t>meritokracia</w:t>
      </w:r>
      <w:r w:rsidR="004E1F53">
        <w:rPr>
          <w:rFonts w:ascii="Calibri" w:hAnsi="Calibri" w:cs="Calibri"/>
        </w:rPr>
        <w:t>.</w:t>
      </w:r>
    </w:p>
    <w:p w:rsidR="00E53BD7" w:rsidRPr="00E97254" w:rsidRDefault="00FA5606" w:rsidP="000C0250">
      <w:pPr>
        <w:spacing w:after="0"/>
        <w:jc w:val="both"/>
        <w:rPr>
          <w:rFonts w:cs="Times New Roman"/>
          <w:szCs w:val="24"/>
        </w:rPr>
      </w:pPr>
      <w:r w:rsidRPr="00FA5606">
        <w:rPr>
          <w:rFonts w:cs="Times New Roman"/>
          <w:szCs w:val="24"/>
        </w:rPr>
        <w:t>Procesi i kualifikimit të mësuesve në Republikën e Shqipërisë zhvillohet në mbështetje të  ligjit</w:t>
      </w:r>
      <w:r w:rsidR="000D5D95">
        <w:rPr>
          <w:rFonts w:cs="Times New Roman"/>
          <w:szCs w:val="24"/>
        </w:rPr>
        <w:t xml:space="preserve"> </w:t>
      </w:r>
      <w:r w:rsidRPr="00FA5606">
        <w:rPr>
          <w:rFonts w:cs="Times New Roman"/>
          <w:szCs w:val="24"/>
        </w:rPr>
        <w:t>nr. 69/2012, i ndryshuar, “Për sistemin arsimor parauniversitar në Republikën e Shqipërisë”, vendimi nr. 194, datë 22.4.1999,</w:t>
      </w:r>
      <w:r w:rsidR="000D5D95">
        <w:rPr>
          <w:rFonts w:cs="Times New Roman"/>
          <w:szCs w:val="24"/>
        </w:rPr>
        <w:t xml:space="preserve"> </w:t>
      </w:r>
      <w:r w:rsidRPr="00FA5606">
        <w:rPr>
          <w:rFonts w:cs="Times New Roman"/>
          <w:szCs w:val="24"/>
        </w:rPr>
        <w:t>të Këshillit të Ministrave, “Për miratimin e strukturës së pagës së punonjësve mësimorë, në arsimin parauniversitar”, të ndryshuar</w:t>
      </w:r>
      <w:r w:rsidR="000D5D95">
        <w:rPr>
          <w:rFonts w:cs="Times New Roman"/>
          <w:szCs w:val="24"/>
        </w:rPr>
        <w:t>,</w:t>
      </w:r>
      <w:r w:rsidRPr="00FA5606">
        <w:rPr>
          <w:rFonts w:cs="Times New Roman"/>
          <w:szCs w:val="24"/>
        </w:rPr>
        <w:t xml:space="preserve">  dhe shtesa sipas kategorive </w:t>
      </w:r>
      <w:r w:rsidR="000D5D95">
        <w:rPr>
          <w:rFonts w:cs="Times New Roman"/>
          <w:szCs w:val="24"/>
        </w:rPr>
        <w:t>p</w:t>
      </w:r>
      <w:r w:rsidR="000D5D95" w:rsidRPr="004E1F53">
        <w:rPr>
          <w:rFonts w:cs="Times New Roman"/>
          <w:szCs w:val="24"/>
        </w:rPr>
        <w:t>ë</w:t>
      </w:r>
      <w:r w:rsidR="000D5D95">
        <w:rPr>
          <w:rFonts w:cs="Times New Roman"/>
          <w:szCs w:val="24"/>
        </w:rPr>
        <w:t>rkat</w:t>
      </w:r>
      <w:r w:rsidR="000D5D95" w:rsidRPr="004E1F53">
        <w:rPr>
          <w:rFonts w:cs="Times New Roman"/>
          <w:szCs w:val="24"/>
        </w:rPr>
        <w:t>ë</w:t>
      </w:r>
      <w:r w:rsidR="000D5D95">
        <w:rPr>
          <w:rFonts w:cs="Times New Roman"/>
          <w:szCs w:val="24"/>
        </w:rPr>
        <w:t>se</w:t>
      </w:r>
      <w:r w:rsidRPr="00FA5606">
        <w:rPr>
          <w:rFonts w:cs="Times New Roman"/>
          <w:szCs w:val="24"/>
        </w:rPr>
        <w:t xml:space="preserve"> III (mësues i kualifikuar – 5 vjet punë si mësues), II (mësues specialist – 10 vjet punë si mësues) dhe I (mësues mjeshtër – 20 vjet punë si mësues), të Udhëzimit nr.</w:t>
      </w:r>
      <w:r w:rsidR="000D5D95">
        <w:rPr>
          <w:rFonts w:cs="Times New Roman"/>
          <w:szCs w:val="24"/>
        </w:rPr>
        <w:t xml:space="preserve"> </w:t>
      </w:r>
      <w:r w:rsidRPr="00FA5606">
        <w:rPr>
          <w:rFonts w:cs="Times New Roman"/>
          <w:szCs w:val="24"/>
        </w:rPr>
        <w:t>4, datë 26.2.2021</w:t>
      </w:r>
      <w:r w:rsidR="000D5D95">
        <w:rPr>
          <w:rFonts w:cs="Times New Roman"/>
          <w:szCs w:val="24"/>
        </w:rPr>
        <w:t>,</w:t>
      </w:r>
      <w:r w:rsidRPr="00FA5606">
        <w:rPr>
          <w:rFonts w:cs="Times New Roman"/>
          <w:szCs w:val="24"/>
        </w:rPr>
        <w:t xml:space="preserve"> të ministrit të Arsimit, Sportit dhe Rinisë “Për kriteret dhe procedurat e kualifikimit të mësuesve”. Provimeve të kualifikimit u nënshtrohen vetëm punonjësit e arsimit, të cilët</w:t>
      </w:r>
      <w:r w:rsidR="000D5D95">
        <w:rPr>
          <w:rFonts w:cs="Times New Roman"/>
          <w:szCs w:val="24"/>
        </w:rPr>
        <w:t xml:space="preserve">, </w:t>
      </w:r>
      <w:r w:rsidRPr="00FA5606">
        <w:rPr>
          <w:rFonts w:cs="Times New Roman"/>
          <w:szCs w:val="24"/>
        </w:rPr>
        <w:t>deri më datën 31 dhjetor të vitit paraardhës</w:t>
      </w:r>
      <w:r w:rsidR="000D5D95">
        <w:rPr>
          <w:rFonts w:cs="Times New Roman"/>
          <w:szCs w:val="24"/>
        </w:rPr>
        <w:t>,</w:t>
      </w:r>
      <w:r w:rsidRPr="00FA5606">
        <w:rPr>
          <w:rFonts w:cs="Times New Roman"/>
          <w:szCs w:val="24"/>
        </w:rPr>
        <w:t xml:space="preserve"> plotësojnë vjetërsinë 5, 10 dhe 20 vjet në arsim dhe kanë plotësuar 3 ditë trajnimi në vit. </w:t>
      </w:r>
    </w:p>
    <w:p w:rsidR="00E53BD7" w:rsidRPr="00E97254" w:rsidRDefault="00FA5606" w:rsidP="000C0250">
      <w:pPr>
        <w:spacing w:after="0"/>
        <w:jc w:val="both"/>
        <w:rPr>
          <w:rFonts w:cs="Times New Roman"/>
          <w:szCs w:val="24"/>
        </w:rPr>
      </w:pPr>
      <w:r w:rsidRPr="00FA5606">
        <w:rPr>
          <w:rFonts w:cs="Times New Roman"/>
          <w:szCs w:val="24"/>
        </w:rPr>
        <w:t>Kualifikimi i mësuesve bazohet në portofolin profesional t</w:t>
      </w:r>
      <w:r w:rsidR="004E1F53">
        <w:rPr>
          <w:rFonts w:ascii="Calibri" w:hAnsi="Calibri" w:cs="Calibri"/>
          <w:bCs/>
        </w:rPr>
        <w:t>ë</w:t>
      </w:r>
      <w:r w:rsidRPr="00FA5606">
        <w:rPr>
          <w:rFonts w:cs="Times New Roman"/>
          <w:szCs w:val="24"/>
        </w:rPr>
        <w:t xml:space="preserve"> mësuesit (përfshirë bonuset) dhe testin për profilin/lëndën përkat</w:t>
      </w:r>
      <w:r w:rsidR="000D5D95" w:rsidRPr="004E1F53">
        <w:rPr>
          <w:rFonts w:cs="Times New Roman"/>
          <w:szCs w:val="24"/>
        </w:rPr>
        <w:t>ë</w:t>
      </w:r>
      <w:r w:rsidRPr="00FA5606">
        <w:rPr>
          <w:rFonts w:cs="Times New Roman"/>
          <w:szCs w:val="24"/>
        </w:rPr>
        <w:t>se. Testi përmban formimi</w:t>
      </w:r>
      <w:r w:rsidR="000D5D95">
        <w:rPr>
          <w:rFonts w:cs="Times New Roman"/>
          <w:szCs w:val="24"/>
        </w:rPr>
        <w:t>n</w:t>
      </w:r>
      <w:r w:rsidRPr="00FA5606">
        <w:rPr>
          <w:rFonts w:cs="Times New Roman"/>
          <w:szCs w:val="24"/>
        </w:rPr>
        <w:t xml:space="preserve"> pedagogjik të mësuesit</w:t>
      </w:r>
      <w:r w:rsidRPr="00FA5606">
        <w:rPr>
          <w:rFonts w:cs="Times New Roman"/>
          <w:b/>
          <w:szCs w:val="24"/>
        </w:rPr>
        <w:t xml:space="preserve"> </w:t>
      </w:r>
      <w:r w:rsidRPr="00FA5606">
        <w:rPr>
          <w:rFonts w:cs="Times New Roman"/>
          <w:szCs w:val="24"/>
        </w:rPr>
        <w:t>si dhe formimin shkencor t</w:t>
      </w:r>
      <w:r w:rsidR="004E1F53">
        <w:rPr>
          <w:rFonts w:ascii="Calibri" w:hAnsi="Calibri" w:cs="Calibri"/>
          <w:bCs/>
        </w:rPr>
        <w:t>ë</w:t>
      </w:r>
      <w:r w:rsidRPr="00FA5606">
        <w:rPr>
          <w:rFonts w:cs="Times New Roman"/>
          <w:szCs w:val="24"/>
        </w:rPr>
        <w:t xml:space="preserve"> mësuesit që lidhet me njohuritë dhe aftësitë e mësuesit në lëndën përkatëse.</w:t>
      </w:r>
    </w:p>
    <w:p w:rsidR="00F919E2" w:rsidRPr="00E97254" w:rsidRDefault="004E1F53" w:rsidP="000C0250">
      <w:pPr>
        <w:spacing w:after="0"/>
        <w:jc w:val="both"/>
        <w:rPr>
          <w:rFonts w:ascii="Calibri" w:hAnsi="Calibri" w:cs="Calibri"/>
        </w:rPr>
      </w:pPr>
      <w:r>
        <w:rPr>
          <w:rFonts w:ascii="Calibri" w:hAnsi="Calibri" w:cs="Calibri"/>
        </w:rPr>
        <w:t>Sipas MASR</w:t>
      </w:r>
      <w:r w:rsidR="000D5D95">
        <w:rPr>
          <w:rFonts w:ascii="Calibri" w:hAnsi="Calibri" w:cs="Calibri"/>
        </w:rPr>
        <w:t>-s</w:t>
      </w:r>
      <w:r w:rsidR="000D5D95" w:rsidRPr="004E1F53">
        <w:rPr>
          <w:rFonts w:cs="Times New Roman"/>
          <w:szCs w:val="24"/>
        </w:rPr>
        <w:t>ë</w:t>
      </w:r>
      <w:r>
        <w:rPr>
          <w:rFonts w:ascii="Calibri" w:hAnsi="Calibri" w:cs="Calibri"/>
        </w:rPr>
        <w:t xml:space="preserve">, mësuesit mjeshtër përbëjnë 35.2% të popullatës së mësuesve gjatë vitit shkollor 2018/19, mësuesit specialistë – 26.6%, mësuesit e kualifikuar – 16.7%, ndërsa 21.5% e mësuesve nuk janë kategorizuar. </w:t>
      </w:r>
      <w:sdt>
        <w:sdtPr>
          <w:rPr>
            <w:rFonts w:ascii="Calibri" w:hAnsi="Calibri" w:cs="Calibri"/>
          </w:rPr>
          <w:id w:val="1801266221"/>
          <w:citation/>
        </w:sdtPr>
        <w:sdtEndPr/>
        <w:sdtContent>
          <w:r w:rsidR="00EC56B7" w:rsidRPr="00E97254">
            <w:rPr>
              <w:rFonts w:ascii="Calibri" w:hAnsi="Calibri" w:cs="Calibri"/>
            </w:rPr>
            <w:fldChar w:fldCharType="begin"/>
          </w:r>
          <w:r>
            <w:rPr>
              <w:rFonts w:ascii="Calibri" w:hAnsi="Calibri" w:cs="Calibri"/>
            </w:rPr>
            <w:instrText xml:space="preserve"> CITATION Wor19 \l 1033 </w:instrText>
          </w:r>
          <w:r w:rsidR="00EC56B7" w:rsidRPr="00E97254">
            <w:rPr>
              <w:rFonts w:ascii="Calibri" w:hAnsi="Calibri" w:cs="Calibri"/>
            </w:rPr>
            <w:fldChar w:fldCharType="separate"/>
          </w:r>
          <w:r w:rsidR="00724BCC" w:rsidRPr="00E97254">
            <w:rPr>
              <w:rFonts w:ascii="Calibri" w:hAnsi="Calibri" w:cs="Calibri"/>
            </w:rPr>
            <w:t>[37]</w:t>
          </w:r>
          <w:r w:rsidR="00EC56B7" w:rsidRPr="00E97254">
            <w:rPr>
              <w:rFonts w:ascii="Calibri" w:hAnsi="Calibri" w:cs="Calibri"/>
            </w:rPr>
            <w:fldChar w:fldCharType="end"/>
          </w:r>
        </w:sdtContent>
      </w:sdt>
    </w:p>
    <w:p w:rsidR="00E53BD7" w:rsidRPr="00E97254" w:rsidRDefault="00E53BD7" w:rsidP="000C0250">
      <w:pPr>
        <w:spacing w:after="0"/>
        <w:jc w:val="both"/>
        <w:rPr>
          <w:rFonts w:ascii="Calibri" w:hAnsi="Calibri" w:cs="Calibri"/>
        </w:rPr>
      </w:pPr>
      <w:r w:rsidRPr="00E97254">
        <w:rPr>
          <w:rFonts w:cs="Times New Roman"/>
          <w:szCs w:val="24"/>
        </w:rPr>
        <w:lastRenderedPageBreak/>
        <w:t xml:space="preserve">Për t'u krijuar më shumë mundësi nxënësve tanë të rrisin </w:t>
      </w:r>
      <w:r w:rsidRPr="00E97254">
        <w:rPr>
          <w:rFonts w:cs="Times New Roman"/>
          <w:i/>
          <w:szCs w:val="24"/>
        </w:rPr>
        <w:t>ndërveprimin në klasë, të angazhohen dhe të përfshihen</w:t>
      </w:r>
      <w:r w:rsidRPr="00E97254">
        <w:rPr>
          <w:rFonts w:cs="Times New Roman"/>
          <w:szCs w:val="24"/>
        </w:rPr>
        <w:t xml:space="preserve"> më shumë në veprimtari, të demonstrojnë më së miri dhe të zhvillojnë aftësitë e tyre, mori udhë zbatimi i nismës “Tri lë</w:t>
      </w:r>
      <w:r w:rsidR="00FA5606" w:rsidRPr="00FA5606">
        <w:rPr>
          <w:rFonts w:cs="Times New Roman"/>
          <w:szCs w:val="24"/>
        </w:rPr>
        <w:t xml:space="preserve">ndë në gjashtë orë” në vitin 2018. </w:t>
      </w:r>
      <w:r w:rsidR="00FA5606" w:rsidRPr="00FA5606">
        <w:rPr>
          <w:rFonts w:cs="Times New Roman"/>
          <w:bCs/>
          <w:i/>
          <w:szCs w:val="24"/>
          <w:lang w:eastAsia="sq-AL"/>
        </w:rPr>
        <w:t>Z</w:t>
      </w:r>
      <w:r w:rsidR="00FA5606" w:rsidRPr="00FA5606">
        <w:rPr>
          <w:rFonts w:cs="Times New Roman"/>
          <w:szCs w:val="24"/>
        </w:rPr>
        <w:t xml:space="preserve">batimi i kurrikulës me kompetenca kërkonte një qasje të re të organizimit të procesit të mësimdhënies, të vlerësimit të arritjeve të të nxënit dhe të menaxhimit të procesit mësimor në shkollë. Zbatimi i punës në grup, </w:t>
      </w:r>
      <w:r w:rsidR="00FA5606" w:rsidRPr="00FA5606">
        <w:rPr>
          <w:rFonts w:cs="Times New Roman"/>
          <w:bCs/>
          <w:szCs w:val="24"/>
          <w:lang w:eastAsia="sq-AL"/>
        </w:rPr>
        <w:t xml:space="preserve">puna e pavarur, nxitja e ndërveprimit, diskutimi i nxënësve në klasë etj., mund të zhvillohen më shumë me organizimin e orëve të njëpasnjëshme (45 min  + 45 min), duke krijuar mundësi për përmirësimin e procesit të të nxënit, si dhe për rritjen e fleksibilitetit të shkollës në menaxhimin dhe në organizimin e orarit mësimor. Në kuadër të kësaj nisme u hartuan udhëzues në ndihmë të mësuesve si dhe u trajnuan </w:t>
      </w:r>
      <w:r w:rsidR="00FA5606" w:rsidRPr="00FA5606">
        <w:rPr>
          <w:rFonts w:cs="Times New Roman"/>
          <w:szCs w:val="24"/>
        </w:rPr>
        <w:t>drejtuesit e rrjeteve profesionale për hartimin e planeve mësimore vjetore, planeve të periudhës dhe planeve ditore në udhëzuesit kurrikularë lëndorë, në kuadër të zbatimit të nismës “Tri lëndë në gjashtë orë”.</w:t>
      </w:r>
    </w:p>
    <w:p w:rsidR="00E53BD7" w:rsidRPr="00E97254" w:rsidRDefault="00FA5606" w:rsidP="000C0250">
      <w:pPr>
        <w:spacing w:after="0"/>
        <w:ind w:right="-22"/>
        <w:jc w:val="both"/>
        <w:rPr>
          <w:rFonts w:cs="Times New Roman"/>
          <w:szCs w:val="24"/>
        </w:rPr>
      </w:pPr>
      <w:r w:rsidRPr="00FA5606">
        <w:rPr>
          <w:rFonts w:cs="Times New Roman"/>
          <w:szCs w:val="24"/>
        </w:rPr>
        <w:t xml:space="preserve">Nisma “Bëjmë detyrat e shtëpisë” është një program, i cili u ofrohet të gjithë nxënësve të institucioneve arsimore në të cilat zbatohet kjo nismë, në vitin 2018. Ky program synon sigurimin e kushteve dhe të mundësive të barabarta për nxënie për të gjithë nxënësit dhe krijimin e një mjedisi gjithëpërfshirës që mbështet dhe nxit progresin e çdo fëmije; përmirësimin e arritjeve të nxënësve, </w:t>
      </w:r>
      <w:r w:rsidR="00A50A43">
        <w:rPr>
          <w:rFonts w:cs="Times New Roman"/>
          <w:szCs w:val="24"/>
        </w:rPr>
        <w:t>nëpërmjet</w:t>
      </w:r>
      <w:r w:rsidRPr="00FA5606">
        <w:rPr>
          <w:rFonts w:cs="Times New Roman"/>
          <w:szCs w:val="24"/>
        </w:rPr>
        <w:t xml:space="preserve"> sigurimit të kohës, hapësirës dhe programeve shtesë që ofrohen pas mësimit për të gjithë nxënësit, duke i ndihmuar ata në kryerjen e detyrave të shtëpisë; nxitjen dhe zhvillimin e interesave dhe prirjeve të nxënësve në fusha të caktuara </w:t>
      </w:r>
      <w:r w:rsidR="00A50A43">
        <w:rPr>
          <w:rFonts w:cs="Times New Roman"/>
          <w:szCs w:val="24"/>
        </w:rPr>
        <w:t>nëpërmjet</w:t>
      </w:r>
      <w:r w:rsidRPr="00FA5606">
        <w:rPr>
          <w:rFonts w:cs="Times New Roman"/>
          <w:szCs w:val="24"/>
        </w:rPr>
        <w:t xml:space="preserve"> aktiviteteve jashtë kurrikulare që organizon shkolla; përmirësimin e klimës dhe zhvillimin e frymës së bashkëpunimit në shkollë; mbështetjen e familjeve dhe zhvillimin e partneritetit me prindërit dhe anëtarë të tjerë të komunitetit, për t’iu përgjigjur sa më mirë përmbushjes së nevojave fizike, emocionale dhe sociale të nxënësve, si dhe për të garantuar zhvillimin e tyre të shëndetshëm. Nisma “Bëjmë detyrat e shtëpisë” </w:t>
      </w:r>
      <w:r w:rsidRPr="00FA5606">
        <w:rPr>
          <w:rFonts w:cs="Times New Roman"/>
          <w:bCs/>
          <w:szCs w:val="24"/>
          <w:lang w:eastAsia="sq-AL"/>
        </w:rPr>
        <w:t>u pilotua në 20 institucione arsimore të pesë drejtorive arsimore rajonale dhe më pas kjo nismë u shtri në rreth 90 institucione arsimore në të gjithë vendin. Për zbatimin e kësaj nisme, si gjatë fazës së pilotimit ashtu dhe përgjatë zbatimit masiv të saj u hartuan udhëzuesit për zbatimin e nismës “Bëjmë detyrat e shtëpisë”, si dhe u trajnuan mësuesit e këtyre shkollave.</w:t>
      </w:r>
    </w:p>
    <w:p w:rsidR="00E53BD7" w:rsidRPr="00E97254" w:rsidRDefault="00E53BD7" w:rsidP="000C0250"/>
    <w:p w:rsidR="00E257B3" w:rsidRPr="00E97254" w:rsidRDefault="00FA5606" w:rsidP="000C0250">
      <w:pPr>
        <w:pStyle w:val="Heading3"/>
        <w:numPr>
          <w:ilvl w:val="2"/>
          <w:numId w:val="4"/>
        </w:numPr>
        <w:jc w:val="both"/>
      </w:pPr>
      <w:bookmarkStart w:id="71" w:name="_Toc45624229"/>
      <w:bookmarkStart w:id="72" w:name="_Toc66801996"/>
      <w:r w:rsidRPr="00FA5606">
        <w:t>Zotërimi i kompetencave të të nxënit gjatë gjithë jetës</w:t>
      </w:r>
      <w:bookmarkEnd w:id="71"/>
      <w:bookmarkEnd w:id="72"/>
    </w:p>
    <w:p w:rsidR="00F919E2" w:rsidRPr="00E97254" w:rsidRDefault="00FA5606" w:rsidP="000C0250">
      <w:pPr>
        <w:jc w:val="both"/>
      </w:pPr>
      <w:r w:rsidRPr="00FA5606">
        <w:t>Në shtatorin e vitit 2013, Ministria e Arsimit, Sportit dhe Rinisë (MASR) ndërmori reformën kurrikulare në arsimin parauniversitar. Reforma kurrikulare ka në themel të saj aftësimin e nxënësve për jetën dhe për të nxënit gjatë gjithë jetës, në përmbushje të Rekomandimeve të Parlamentit dhe të Këshillit të Europës për kompetencat themelore  për të nxënit gjatë gjithë jetës.</w:t>
      </w:r>
    </w:p>
    <w:p w:rsidR="00467141" w:rsidRPr="00E97254" w:rsidRDefault="00FA5606" w:rsidP="000C0250">
      <w:pPr>
        <w:jc w:val="both"/>
        <w:rPr>
          <w:rFonts w:cs="Times New Roman"/>
        </w:rPr>
      </w:pPr>
      <w:r w:rsidRPr="00FA5606">
        <w:rPr>
          <w:rFonts w:cs="Times New Roman"/>
        </w:rPr>
        <w:t>Ndërtimi i kurrikulës së sistemit arsimor parauniversitar</w:t>
      </w:r>
      <w:r w:rsidRPr="00FA5606">
        <w:rPr>
          <w:rFonts w:cs="Times New Roman"/>
          <w:b/>
          <w:i/>
        </w:rPr>
        <w:t xml:space="preserve"> </w:t>
      </w:r>
      <w:r w:rsidRPr="00FA5606">
        <w:rPr>
          <w:rFonts w:cs="Times New Roman"/>
        </w:rPr>
        <w:t>mbi kompetencat kyç për të nxënit gjatë gjithë jetës mundëson formimin e një brezi të ri të aftë për të përdorur njohuritë në praktikë, për të përballuar jo vetëm sfidat e arsimimit të tij të mëtejshëm ose të jetës e të punësimit sot, por në mënyrë të veçantë, të përballojë sfidat e së</w:t>
      </w:r>
      <w:r w:rsidRPr="00FA5606">
        <w:rPr>
          <w:rFonts w:cs="Times New Roman"/>
          <w:spacing w:val="-3"/>
        </w:rPr>
        <w:t xml:space="preserve"> </w:t>
      </w:r>
      <w:r w:rsidRPr="00FA5606">
        <w:rPr>
          <w:rFonts w:cs="Times New Roman"/>
        </w:rPr>
        <w:t>ardhmes. Reformimi i kurrikulës u realizua duke mbajtur fort parasysh kontekstin shqiptar në lidhje me përparësitë kombëtare në fushën e arsimit, shkallën e decentralizimit të kurrikulës etj.</w:t>
      </w:r>
      <w:r w:rsidRPr="00FA5606">
        <w:rPr>
          <w:rFonts w:cs="Times New Roman"/>
          <w:i/>
        </w:rPr>
        <w:t xml:space="preserve"> </w:t>
      </w:r>
      <w:r w:rsidRPr="00FA5606">
        <w:rPr>
          <w:rFonts w:cs="Times New Roman"/>
        </w:rPr>
        <w:t>Kurrikula kombëtare kombinon përmbajtjet e vlefshme që rrjedhin</w:t>
      </w:r>
      <w:r w:rsidR="000D5D95">
        <w:rPr>
          <w:rFonts w:cs="Times New Roman"/>
        </w:rPr>
        <w:t>,</w:t>
      </w:r>
      <w:r w:rsidRPr="00FA5606">
        <w:rPr>
          <w:rFonts w:cs="Times New Roman"/>
        </w:rPr>
        <w:t xml:space="preserve"> </w:t>
      </w:r>
      <w:r w:rsidR="000D5D95" w:rsidRPr="004E1F53">
        <w:rPr>
          <w:rFonts w:cs="Times New Roman"/>
        </w:rPr>
        <w:t xml:space="preserve">si </w:t>
      </w:r>
      <w:r w:rsidRPr="00FA5606">
        <w:rPr>
          <w:rFonts w:cs="Times New Roman"/>
        </w:rPr>
        <w:t xml:space="preserve">nga traditat e arsimit shqiptar, ashtu dhe nga çdo element </w:t>
      </w:r>
      <w:r w:rsidR="000D5D95">
        <w:rPr>
          <w:rFonts w:cs="Times New Roman"/>
        </w:rPr>
        <w:t>i</w:t>
      </w:r>
      <w:r w:rsidRPr="00FA5606">
        <w:rPr>
          <w:rFonts w:cs="Times New Roman"/>
        </w:rPr>
        <w:t xml:space="preserve"> ripërtërirë, në përputhje me rrymat bashkëkohore. </w:t>
      </w:r>
    </w:p>
    <w:p w:rsidR="00467141" w:rsidRPr="00E97254" w:rsidRDefault="00FA5606" w:rsidP="000C0250">
      <w:pPr>
        <w:spacing w:after="0"/>
        <w:jc w:val="both"/>
        <w:rPr>
          <w:rFonts w:cs="Times New Roman"/>
          <w:iCs/>
        </w:rPr>
      </w:pPr>
      <w:r w:rsidRPr="00FA5606">
        <w:rPr>
          <w:rFonts w:eastAsia="Times New Roman" w:cs="Times New Roman"/>
          <w:iCs/>
          <w:color w:val="000000" w:themeColor="text1"/>
          <w:lang w:eastAsia="en-GB"/>
        </w:rPr>
        <w:lastRenderedPageBreak/>
        <w:t xml:space="preserve">Kurrikula e reformuar e arsimit parauniversitar vendos theksin në procesin e të nxënit dhe thekson rolin aktiv të nxënësve në zhvillimin e njohurive të reja dhe kompetencave. </w:t>
      </w:r>
      <w:r w:rsidRPr="00FA5606">
        <w:rPr>
          <w:rFonts w:cs="Times New Roman"/>
          <w:iCs/>
        </w:rPr>
        <w:t>Qasja filozofike e kësaj kurrikule është shoqëruar me ndryshime të rëndësishme në konceptimin e procesit të të nxënit, në metodologjitë e mësimdhënies, në filozofinë dhe praktikat e vlerësimit të nxënësve; kjo qasje rrit autonominë dhe përgjegjësinë e shkollës dhe i jep përparësi alfabetizmit digjital.</w:t>
      </w:r>
    </w:p>
    <w:p w:rsidR="00F07E9B" w:rsidRPr="00E97254" w:rsidRDefault="00FA5606" w:rsidP="000C0250">
      <w:pPr>
        <w:spacing w:after="0"/>
        <w:jc w:val="both"/>
        <w:rPr>
          <w:rFonts w:cstheme="minorHAnsi"/>
          <w:szCs w:val="24"/>
        </w:rPr>
      </w:pPr>
      <w:r w:rsidRPr="00FA5606">
        <w:rPr>
          <w:rFonts w:cstheme="minorHAnsi"/>
          <w:szCs w:val="24"/>
        </w:rPr>
        <w:t xml:space="preserve">Reformimi i kurrikulës është realizuar </w:t>
      </w:r>
      <w:r w:rsidR="00A50A43">
        <w:rPr>
          <w:rFonts w:cstheme="minorHAnsi"/>
          <w:szCs w:val="24"/>
        </w:rPr>
        <w:t>nëpërmjet</w:t>
      </w:r>
      <w:r w:rsidRPr="00FA5606">
        <w:rPr>
          <w:rFonts w:cstheme="minorHAnsi"/>
          <w:szCs w:val="24"/>
        </w:rPr>
        <w:t xml:space="preserve"> një procesi me bazë të gjerë pjesëmarrjeje, angazhimi dhe diskutimi. Hartimi dhe zbatimi i kurrikulës me kompetenca në të gjithë arsimin parauniversitar është bashkëshoqëruar me një</w:t>
      </w:r>
      <w:r w:rsidRPr="00FA5606">
        <w:rPr>
          <w:rFonts w:cstheme="minorHAnsi"/>
          <w:b/>
          <w:szCs w:val="24"/>
        </w:rPr>
        <w:t xml:space="preserve"> </w:t>
      </w:r>
      <w:r w:rsidRPr="00FA5606">
        <w:rPr>
          <w:rFonts w:cstheme="minorHAnsi"/>
          <w:szCs w:val="24"/>
        </w:rPr>
        <w:t xml:space="preserve">proces konsultimi të vazhdueshëm me mësues dhe drejtues të institucioneve të arsimit parauniversitar, specialistë të Drejtorive dhe Zyrave Arsimore, përfaqësues të këshillave të prindërve, pedagogë të fakulteteve të edukimit që përgatisin mësues, Këshillin Kombëtar të Arsimit Parauniversitar, organizatat partnere etj. </w:t>
      </w:r>
      <w:r w:rsidR="00571E23">
        <w:rPr>
          <w:rFonts w:cstheme="minorHAnsi"/>
          <w:szCs w:val="24"/>
        </w:rPr>
        <w:t>Kontribues</w:t>
      </w:r>
      <w:r w:rsidRPr="00FA5606">
        <w:rPr>
          <w:rFonts w:cstheme="minorHAnsi"/>
          <w:szCs w:val="24"/>
        </w:rPr>
        <w:t xml:space="preserve"> kryesorë në përgatitjen e programeve mësimore, materialeve burimore dhe udhëzimeve shpjeguese kanë qenë grupet e punës të ngritura pranë Agjencisë së Sigurimit të Cilësisë së Arsimit Parauniversitar (ASCAP), të përbërë nga specialistë të ASCAP</w:t>
      </w:r>
      <w:r w:rsidR="00571E23">
        <w:rPr>
          <w:rFonts w:cstheme="minorHAnsi"/>
          <w:szCs w:val="24"/>
        </w:rPr>
        <w:t>-it</w:t>
      </w:r>
      <w:r w:rsidRPr="00FA5606">
        <w:rPr>
          <w:rFonts w:cstheme="minorHAnsi"/>
          <w:szCs w:val="24"/>
        </w:rPr>
        <w:t>, specialistë të tjerë të arsimit, drejtues të institucioneve arsimore, mësues, dhe pedagogë të fakulteteve të edukimit në mënyrë të veçantë në fushën e përmbajtjes shkencore të lëndës.</w:t>
      </w:r>
    </w:p>
    <w:p w:rsidR="00467141" w:rsidRPr="00E97254" w:rsidRDefault="00FA5606" w:rsidP="000C0250">
      <w:pPr>
        <w:spacing w:after="0"/>
        <w:jc w:val="both"/>
        <w:rPr>
          <w:rFonts w:cs="Times New Roman"/>
        </w:rPr>
      </w:pPr>
      <w:r w:rsidRPr="00FA5606">
        <w:rPr>
          <w:rFonts w:cs="Times New Roman"/>
        </w:rPr>
        <w:t xml:space="preserve">Reforma e kurrikulës përfshiu përgatitjen e paketës së plotë kurrikulare për arsimin parauniversitar. Kjo paketë siguron koherencën vertikale dhe horizontale të kurrikulës për të tri nivelet e arsimit: arsimin fillor (përfshirë klasën përgatitore), arsimin e mesëm të ulët dhe arsimin e mesëm të lartë. </w:t>
      </w:r>
    </w:p>
    <w:p w:rsidR="00467141" w:rsidRPr="00E97254" w:rsidRDefault="00FA5606" w:rsidP="000C0250">
      <w:pPr>
        <w:spacing w:after="0"/>
        <w:jc w:val="both"/>
        <w:rPr>
          <w:rFonts w:cs="Times New Roman"/>
        </w:rPr>
      </w:pPr>
      <w:r w:rsidRPr="00FA5606">
        <w:rPr>
          <w:rFonts w:cs="Times New Roman"/>
        </w:rPr>
        <w:t xml:space="preserve">Paketa kurrikulare për arsimin parauniversitar, e përgatitur në kuadër të reformës së kurrikulës me bazë kompetencat, përfshin: </w:t>
      </w:r>
    </w:p>
    <w:p w:rsidR="00467141" w:rsidRPr="00E97254" w:rsidRDefault="00FA5606" w:rsidP="000C0250">
      <w:pPr>
        <w:pStyle w:val="ListParagraph"/>
        <w:numPr>
          <w:ilvl w:val="0"/>
          <w:numId w:val="44"/>
        </w:numPr>
        <w:spacing w:after="0"/>
        <w:jc w:val="both"/>
        <w:rPr>
          <w:rFonts w:cs="Times New Roman"/>
        </w:rPr>
      </w:pPr>
      <w:r w:rsidRPr="00FA5606">
        <w:rPr>
          <w:rFonts w:cs="Times New Roman"/>
          <w:i/>
        </w:rPr>
        <w:t>Kornizën kurrikulare të arsimit parauniversitar, miratuar nga MASR në qershor të vitit 2014.</w:t>
      </w:r>
      <w:r w:rsidRPr="00FA5606">
        <w:rPr>
          <w:rFonts w:cs="Times New Roman"/>
        </w:rPr>
        <w:t xml:space="preserve">  Korniza kurrikulare ka si bosht qendror kompetencat themelore të të nxënit gjatë gjithë jetës, të përkufizuara e të shoqëruara me treguesit përkatës në të.  Kjo kornizë është produkt i harmonizimit të politikës arsimore të Shqipërisë dhe të politikës arsimore të Kosovës (referuar Marrëveshjes së Unifikimit të Kornizës midis Ministrisë së Arsimit dhe Sportit të Republikës së Shqipërisë dhe Ministrisë së Arsimit, Shkencës dhe Teknologjisë së Republikës së Kosovës, Qershor 2014). Përgatitja e këtij dokumenti kaloi </w:t>
      </w:r>
      <w:r w:rsidR="00A50A43">
        <w:rPr>
          <w:rFonts w:cs="Times New Roman"/>
        </w:rPr>
        <w:t>nëpërmjet</w:t>
      </w:r>
      <w:r w:rsidRPr="00FA5606">
        <w:rPr>
          <w:rFonts w:cs="Times New Roman"/>
        </w:rPr>
        <w:t xml:space="preserve"> një faze të gjerë diskutimesh me DAR/ZA, drejtues dhe specialistë të arsimit, përfaqësues të universiteteve, mësues, prindër dhe palë të tjera të interesit.</w:t>
      </w:r>
      <w:r w:rsidRPr="00FA5606">
        <w:rPr>
          <w:rFonts w:eastAsia="Calibri" w:cstheme="minorHAnsi"/>
        </w:rPr>
        <w:t xml:space="preserve">  </w:t>
      </w:r>
      <w:r w:rsidRPr="00FA5606">
        <w:rPr>
          <w:rFonts w:eastAsia="Calibri" w:cs="Times New Roman"/>
        </w:rPr>
        <w:t>K</w:t>
      </w:r>
      <w:r w:rsidRPr="00FA5606">
        <w:rPr>
          <w:rFonts w:eastAsia="Calibri" w:cs="Times New Roman"/>
          <w:spacing w:val="1"/>
        </w:rPr>
        <w:t>o</w:t>
      </w:r>
      <w:r w:rsidRPr="00FA5606">
        <w:rPr>
          <w:rFonts w:eastAsia="Calibri" w:cs="Times New Roman"/>
        </w:rPr>
        <w:t>r</w:t>
      </w:r>
      <w:r w:rsidRPr="00FA5606">
        <w:rPr>
          <w:rFonts w:eastAsia="Calibri" w:cs="Times New Roman"/>
          <w:spacing w:val="-1"/>
        </w:rPr>
        <w:t>n</w:t>
      </w:r>
      <w:r w:rsidRPr="00FA5606">
        <w:rPr>
          <w:rFonts w:eastAsia="Calibri" w:cs="Times New Roman"/>
        </w:rPr>
        <w:t>i</w:t>
      </w:r>
      <w:r w:rsidRPr="00FA5606">
        <w:rPr>
          <w:rFonts w:eastAsia="Calibri" w:cs="Times New Roman"/>
          <w:spacing w:val="-1"/>
        </w:rPr>
        <w:t>z</w:t>
      </w:r>
      <w:r w:rsidRPr="00FA5606">
        <w:rPr>
          <w:rFonts w:eastAsia="Calibri" w:cs="Times New Roman"/>
        </w:rPr>
        <w:t>a Kur</w:t>
      </w:r>
      <w:r w:rsidRPr="00FA5606">
        <w:rPr>
          <w:rFonts w:eastAsia="Calibri" w:cs="Times New Roman"/>
          <w:spacing w:val="-1"/>
        </w:rPr>
        <w:t>r</w:t>
      </w:r>
      <w:r w:rsidRPr="00FA5606">
        <w:rPr>
          <w:rFonts w:eastAsia="Calibri" w:cs="Times New Roman"/>
        </w:rPr>
        <w:t>ik</w:t>
      </w:r>
      <w:r w:rsidRPr="00FA5606">
        <w:rPr>
          <w:rFonts w:eastAsia="Calibri" w:cs="Times New Roman"/>
          <w:spacing w:val="-1"/>
        </w:rPr>
        <w:t>u</w:t>
      </w:r>
      <w:r w:rsidRPr="00FA5606">
        <w:rPr>
          <w:rFonts w:eastAsia="Calibri" w:cs="Times New Roman"/>
        </w:rPr>
        <w:t>la</w:t>
      </w:r>
      <w:r w:rsidRPr="00FA5606">
        <w:rPr>
          <w:rFonts w:eastAsia="Calibri" w:cs="Times New Roman"/>
          <w:spacing w:val="-3"/>
        </w:rPr>
        <w:t>r</w:t>
      </w:r>
      <w:r w:rsidRPr="00FA5606">
        <w:rPr>
          <w:rFonts w:eastAsia="Calibri" w:cs="Times New Roman"/>
        </w:rPr>
        <w:t>e ësh</w:t>
      </w:r>
      <w:r w:rsidRPr="00FA5606">
        <w:rPr>
          <w:rFonts w:eastAsia="Calibri" w:cs="Times New Roman"/>
          <w:spacing w:val="-2"/>
        </w:rPr>
        <w:t>t</w:t>
      </w:r>
      <w:r w:rsidRPr="00FA5606">
        <w:rPr>
          <w:rFonts w:eastAsia="Calibri" w:cs="Times New Roman"/>
        </w:rPr>
        <w:t xml:space="preserve">ë </w:t>
      </w:r>
      <w:r w:rsidRPr="00FA5606">
        <w:rPr>
          <w:rFonts w:eastAsia="Calibri" w:cs="Times New Roman"/>
          <w:spacing w:val="-1"/>
        </w:rPr>
        <w:t>nd</w:t>
      </w:r>
      <w:r w:rsidRPr="00FA5606">
        <w:rPr>
          <w:rFonts w:eastAsia="Calibri" w:cs="Times New Roman"/>
        </w:rPr>
        <w:t xml:space="preserve">arë </w:t>
      </w:r>
      <w:r w:rsidRPr="00FA5606">
        <w:rPr>
          <w:rFonts w:eastAsia="Calibri" w:cs="Times New Roman"/>
          <w:spacing w:val="-1"/>
        </w:rPr>
        <w:t>n</w:t>
      </w:r>
      <w:r w:rsidRPr="00FA5606">
        <w:rPr>
          <w:rFonts w:eastAsia="Calibri" w:cs="Times New Roman"/>
        </w:rPr>
        <w:t xml:space="preserve">ë </w:t>
      </w:r>
      <w:r w:rsidRPr="00FA5606">
        <w:rPr>
          <w:rFonts w:eastAsia="Calibri" w:cs="Times New Roman"/>
          <w:spacing w:val="-1"/>
        </w:rPr>
        <w:t>g</w:t>
      </w:r>
      <w:r w:rsidRPr="00FA5606">
        <w:rPr>
          <w:rFonts w:eastAsia="Calibri" w:cs="Times New Roman"/>
        </w:rPr>
        <w:t>jas</w:t>
      </w:r>
      <w:r w:rsidRPr="00FA5606">
        <w:rPr>
          <w:rFonts w:eastAsia="Calibri" w:cs="Times New Roman"/>
          <w:spacing w:val="-1"/>
        </w:rPr>
        <w:t>h</w:t>
      </w:r>
      <w:r w:rsidRPr="00FA5606">
        <w:rPr>
          <w:rFonts w:eastAsia="Calibri" w:cs="Times New Roman"/>
        </w:rPr>
        <w:t xml:space="preserve">të shkallë </w:t>
      </w:r>
      <w:r w:rsidRPr="00FA5606">
        <w:rPr>
          <w:rFonts w:eastAsia="Calibri" w:cs="Times New Roman"/>
          <w:spacing w:val="-2"/>
        </w:rPr>
        <w:t>t</w:t>
      </w:r>
      <w:r w:rsidRPr="00FA5606">
        <w:rPr>
          <w:rFonts w:eastAsia="Calibri" w:cs="Times New Roman"/>
        </w:rPr>
        <w:t>ë kur</w:t>
      </w:r>
      <w:r w:rsidRPr="00FA5606">
        <w:rPr>
          <w:rFonts w:eastAsia="Calibri" w:cs="Times New Roman"/>
          <w:spacing w:val="-1"/>
        </w:rPr>
        <w:t>r</w:t>
      </w:r>
      <w:r w:rsidRPr="00FA5606">
        <w:rPr>
          <w:rFonts w:eastAsia="Calibri" w:cs="Times New Roman"/>
        </w:rPr>
        <w:t>ik</w:t>
      </w:r>
      <w:r w:rsidRPr="00FA5606">
        <w:rPr>
          <w:rFonts w:eastAsia="Calibri" w:cs="Times New Roman"/>
          <w:spacing w:val="-1"/>
        </w:rPr>
        <w:t>u</w:t>
      </w:r>
      <w:r w:rsidRPr="00FA5606">
        <w:rPr>
          <w:rFonts w:eastAsia="Calibri" w:cs="Times New Roman"/>
        </w:rPr>
        <w:t>lës, të cil</w:t>
      </w:r>
      <w:r w:rsidRPr="00FA5606">
        <w:rPr>
          <w:rFonts w:eastAsia="Calibri" w:cs="Times New Roman"/>
          <w:spacing w:val="-3"/>
        </w:rPr>
        <w:t>a</w:t>
      </w:r>
      <w:r w:rsidRPr="00FA5606">
        <w:rPr>
          <w:rFonts w:eastAsia="Calibri" w:cs="Times New Roman"/>
        </w:rPr>
        <w:t xml:space="preserve">t </w:t>
      </w:r>
      <w:r w:rsidRPr="00FA5606">
        <w:rPr>
          <w:rFonts w:eastAsia="Calibri" w:cs="Times New Roman"/>
          <w:spacing w:val="-1"/>
        </w:rPr>
        <w:t>p</w:t>
      </w:r>
      <w:r w:rsidRPr="00FA5606">
        <w:rPr>
          <w:rFonts w:eastAsia="Calibri" w:cs="Times New Roman"/>
        </w:rPr>
        <w:t>ërfa</w:t>
      </w:r>
      <w:r w:rsidRPr="00FA5606">
        <w:rPr>
          <w:rFonts w:eastAsia="Calibri" w:cs="Times New Roman"/>
          <w:spacing w:val="-1"/>
        </w:rPr>
        <w:t>q</w:t>
      </w:r>
      <w:r w:rsidRPr="00FA5606">
        <w:rPr>
          <w:rFonts w:eastAsia="Calibri" w:cs="Times New Roman"/>
        </w:rPr>
        <w:t>ës</w:t>
      </w:r>
      <w:r w:rsidRPr="00FA5606">
        <w:rPr>
          <w:rFonts w:eastAsia="Calibri" w:cs="Times New Roman"/>
          <w:spacing w:val="2"/>
        </w:rPr>
        <w:t>o</w:t>
      </w:r>
      <w:r w:rsidRPr="00FA5606">
        <w:rPr>
          <w:rFonts w:eastAsia="Calibri" w:cs="Times New Roman"/>
        </w:rPr>
        <w:t>j</w:t>
      </w:r>
      <w:r w:rsidRPr="00FA5606">
        <w:rPr>
          <w:rFonts w:eastAsia="Calibri" w:cs="Times New Roman"/>
          <w:spacing w:val="-3"/>
        </w:rPr>
        <w:t>n</w:t>
      </w:r>
      <w:r w:rsidRPr="00FA5606">
        <w:rPr>
          <w:rFonts w:eastAsia="Calibri" w:cs="Times New Roman"/>
        </w:rPr>
        <w:t xml:space="preserve">ë </w:t>
      </w:r>
      <w:r w:rsidRPr="00FA5606">
        <w:rPr>
          <w:rFonts w:eastAsia="Calibri" w:cs="Times New Roman"/>
          <w:spacing w:val="-1"/>
        </w:rPr>
        <w:t>p</w:t>
      </w:r>
      <w:r w:rsidRPr="00FA5606">
        <w:rPr>
          <w:rFonts w:eastAsia="Calibri" w:cs="Times New Roman"/>
        </w:rPr>
        <w:t>eri</w:t>
      </w:r>
      <w:r w:rsidRPr="00FA5606">
        <w:rPr>
          <w:rFonts w:eastAsia="Calibri" w:cs="Times New Roman"/>
          <w:spacing w:val="-1"/>
        </w:rPr>
        <w:t>udh</w:t>
      </w:r>
      <w:r w:rsidRPr="00FA5606">
        <w:rPr>
          <w:rFonts w:eastAsia="Calibri" w:cs="Times New Roman"/>
        </w:rPr>
        <w:t xml:space="preserve">a </w:t>
      </w:r>
      <w:r w:rsidRPr="00FA5606">
        <w:rPr>
          <w:rFonts w:eastAsia="Calibri" w:cs="Times New Roman"/>
          <w:spacing w:val="-1"/>
        </w:rPr>
        <w:t>m</w:t>
      </w:r>
      <w:r w:rsidRPr="00FA5606">
        <w:rPr>
          <w:rFonts w:eastAsia="Calibri" w:cs="Times New Roman"/>
        </w:rPr>
        <w:t>e ti</w:t>
      </w:r>
      <w:r w:rsidRPr="00FA5606">
        <w:rPr>
          <w:rFonts w:eastAsia="Calibri" w:cs="Times New Roman"/>
          <w:spacing w:val="-1"/>
        </w:rPr>
        <w:t>p</w:t>
      </w:r>
      <w:r w:rsidRPr="00FA5606">
        <w:rPr>
          <w:rFonts w:eastAsia="Calibri" w:cs="Times New Roman"/>
        </w:rPr>
        <w:t xml:space="preserve">are të </w:t>
      </w:r>
      <w:r w:rsidRPr="00FA5606">
        <w:rPr>
          <w:rFonts w:eastAsia="Calibri" w:cs="Times New Roman"/>
          <w:spacing w:val="-3"/>
        </w:rPr>
        <w:t>p</w:t>
      </w:r>
      <w:r w:rsidRPr="00FA5606">
        <w:rPr>
          <w:rFonts w:eastAsia="Calibri" w:cs="Times New Roman"/>
        </w:rPr>
        <w:t>ërb</w:t>
      </w:r>
      <w:r w:rsidRPr="00FA5606">
        <w:rPr>
          <w:rFonts w:eastAsia="Calibri" w:cs="Times New Roman"/>
          <w:spacing w:val="-1"/>
        </w:rPr>
        <w:t>a</w:t>
      </w:r>
      <w:r w:rsidRPr="00FA5606">
        <w:rPr>
          <w:rFonts w:eastAsia="Calibri" w:cs="Times New Roman"/>
        </w:rPr>
        <w:t>shkë</w:t>
      </w:r>
      <w:r w:rsidRPr="00FA5606">
        <w:rPr>
          <w:rFonts w:eastAsia="Calibri" w:cs="Times New Roman"/>
          <w:spacing w:val="-2"/>
        </w:rPr>
        <w:t>t</w:t>
      </w:r>
      <w:r w:rsidRPr="00FA5606">
        <w:rPr>
          <w:rFonts w:eastAsia="Calibri" w:cs="Times New Roman"/>
        </w:rPr>
        <w:t>a li</w:t>
      </w:r>
      <w:r w:rsidRPr="00FA5606">
        <w:rPr>
          <w:rFonts w:eastAsia="Calibri" w:cs="Times New Roman"/>
          <w:spacing w:val="-1"/>
        </w:rPr>
        <w:t>dhu</w:t>
      </w:r>
      <w:r w:rsidRPr="00FA5606">
        <w:rPr>
          <w:rFonts w:eastAsia="Calibri" w:cs="Times New Roman"/>
        </w:rPr>
        <w:t xml:space="preserve">r </w:t>
      </w:r>
      <w:r w:rsidRPr="00FA5606">
        <w:rPr>
          <w:rFonts w:eastAsia="Calibri" w:cs="Times New Roman"/>
          <w:spacing w:val="1"/>
        </w:rPr>
        <w:t>m</w:t>
      </w:r>
      <w:r w:rsidRPr="00FA5606">
        <w:rPr>
          <w:rFonts w:eastAsia="Calibri" w:cs="Times New Roman"/>
        </w:rPr>
        <w:t xml:space="preserve">e </w:t>
      </w:r>
      <w:r w:rsidRPr="00FA5606">
        <w:rPr>
          <w:rFonts w:eastAsia="Calibri" w:cs="Times New Roman"/>
          <w:spacing w:val="-1"/>
        </w:rPr>
        <w:t>zh</w:t>
      </w:r>
      <w:r w:rsidRPr="00FA5606">
        <w:rPr>
          <w:rFonts w:eastAsia="Calibri" w:cs="Times New Roman"/>
          <w:spacing w:val="1"/>
        </w:rPr>
        <w:t>v</w:t>
      </w:r>
      <w:r w:rsidRPr="00FA5606">
        <w:rPr>
          <w:rFonts w:eastAsia="Calibri" w:cs="Times New Roman"/>
        </w:rPr>
        <w:t>illi</w:t>
      </w:r>
      <w:r w:rsidRPr="00FA5606">
        <w:rPr>
          <w:rFonts w:eastAsia="Calibri" w:cs="Times New Roman"/>
          <w:spacing w:val="1"/>
        </w:rPr>
        <w:t>m</w:t>
      </w:r>
      <w:r w:rsidRPr="00FA5606">
        <w:rPr>
          <w:rFonts w:eastAsia="Calibri" w:cs="Times New Roman"/>
        </w:rPr>
        <w:t xml:space="preserve">in e </w:t>
      </w:r>
      <w:r w:rsidRPr="00FA5606">
        <w:rPr>
          <w:rFonts w:eastAsia="Calibri" w:cs="Times New Roman"/>
          <w:spacing w:val="-3"/>
        </w:rPr>
        <w:t>f</w:t>
      </w:r>
      <w:r w:rsidRPr="00FA5606">
        <w:rPr>
          <w:rFonts w:eastAsia="Calibri" w:cs="Times New Roman"/>
        </w:rPr>
        <w:t>ë</w:t>
      </w:r>
      <w:r w:rsidRPr="00FA5606">
        <w:rPr>
          <w:rFonts w:eastAsia="Calibri" w:cs="Times New Roman"/>
          <w:spacing w:val="1"/>
        </w:rPr>
        <w:t>m</w:t>
      </w:r>
      <w:r w:rsidRPr="00FA5606">
        <w:rPr>
          <w:rFonts w:eastAsia="Calibri" w:cs="Times New Roman"/>
          <w:spacing w:val="-3"/>
        </w:rPr>
        <w:t>i</w:t>
      </w:r>
      <w:r w:rsidRPr="00FA5606">
        <w:rPr>
          <w:rFonts w:eastAsia="Calibri" w:cs="Times New Roman"/>
        </w:rPr>
        <w:t>jë</w:t>
      </w:r>
      <w:r w:rsidRPr="00FA5606">
        <w:rPr>
          <w:rFonts w:eastAsia="Calibri" w:cs="Times New Roman"/>
          <w:spacing w:val="1"/>
        </w:rPr>
        <w:t>v</w:t>
      </w:r>
      <w:r w:rsidRPr="00FA5606">
        <w:rPr>
          <w:rFonts w:eastAsia="Calibri" w:cs="Times New Roman"/>
        </w:rPr>
        <w:t xml:space="preserve">e </w:t>
      </w:r>
      <w:r w:rsidRPr="00FA5606">
        <w:rPr>
          <w:rFonts w:eastAsia="Calibri" w:cs="Times New Roman"/>
          <w:spacing w:val="-1"/>
        </w:rPr>
        <w:t>dh</w:t>
      </w:r>
      <w:r w:rsidRPr="00FA5606">
        <w:rPr>
          <w:rFonts w:eastAsia="Calibri" w:cs="Times New Roman"/>
        </w:rPr>
        <w:t>e k</w:t>
      </w:r>
      <w:r w:rsidRPr="00FA5606">
        <w:rPr>
          <w:rFonts w:eastAsia="Calibri" w:cs="Times New Roman"/>
          <w:spacing w:val="1"/>
        </w:rPr>
        <w:t>ë</w:t>
      </w:r>
      <w:r w:rsidRPr="00FA5606">
        <w:rPr>
          <w:rFonts w:eastAsia="Calibri" w:cs="Times New Roman"/>
        </w:rPr>
        <w:t>r</w:t>
      </w:r>
      <w:r w:rsidRPr="00FA5606">
        <w:rPr>
          <w:rFonts w:eastAsia="Calibri" w:cs="Times New Roman"/>
          <w:spacing w:val="-2"/>
        </w:rPr>
        <w:t>k</w:t>
      </w:r>
      <w:r w:rsidRPr="00FA5606">
        <w:rPr>
          <w:rFonts w:eastAsia="Calibri" w:cs="Times New Roman"/>
        </w:rPr>
        <w:t>esat e kur</w:t>
      </w:r>
      <w:r w:rsidRPr="00FA5606">
        <w:rPr>
          <w:rFonts w:eastAsia="Calibri" w:cs="Times New Roman"/>
          <w:spacing w:val="-1"/>
        </w:rPr>
        <w:t>r</w:t>
      </w:r>
      <w:r w:rsidRPr="00FA5606">
        <w:rPr>
          <w:rFonts w:eastAsia="Calibri" w:cs="Times New Roman"/>
        </w:rPr>
        <w:t>ik</w:t>
      </w:r>
      <w:r w:rsidRPr="00FA5606">
        <w:rPr>
          <w:rFonts w:eastAsia="Calibri" w:cs="Times New Roman"/>
          <w:spacing w:val="-1"/>
        </w:rPr>
        <w:t>u</w:t>
      </w:r>
      <w:r w:rsidRPr="00FA5606">
        <w:rPr>
          <w:rFonts w:eastAsia="Calibri" w:cs="Times New Roman"/>
        </w:rPr>
        <w:t xml:space="preserve">lës. Shkallët e kurrikulës përbëjnë </w:t>
      </w:r>
      <w:r w:rsidRPr="00FA5606">
        <w:rPr>
          <w:rFonts w:eastAsia="Calibri" w:cs="Times New Roman"/>
          <w:spacing w:val="-1"/>
        </w:rPr>
        <w:t>p</w:t>
      </w:r>
      <w:r w:rsidRPr="00FA5606">
        <w:rPr>
          <w:rFonts w:eastAsia="Calibri" w:cs="Times New Roman"/>
        </w:rPr>
        <w:t>ikat k</w:t>
      </w:r>
      <w:r w:rsidRPr="00FA5606">
        <w:rPr>
          <w:rFonts w:eastAsia="Calibri" w:cs="Times New Roman"/>
          <w:spacing w:val="-2"/>
        </w:rPr>
        <w:t>r</w:t>
      </w:r>
      <w:r w:rsidRPr="00FA5606">
        <w:rPr>
          <w:rFonts w:eastAsia="Calibri" w:cs="Times New Roman"/>
          <w:spacing w:val="1"/>
        </w:rPr>
        <w:t>y</w:t>
      </w:r>
      <w:r w:rsidRPr="00FA5606">
        <w:rPr>
          <w:rFonts w:eastAsia="Calibri" w:cs="Times New Roman"/>
        </w:rPr>
        <w:t>e</w:t>
      </w:r>
      <w:r w:rsidRPr="00FA5606">
        <w:rPr>
          <w:rFonts w:eastAsia="Calibri" w:cs="Times New Roman"/>
          <w:spacing w:val="-2"/>
        </w:rPr>
        <w:t>s</w:t>
      </w:r>
      <w:r w:rsidRPr="00FA5606">
        <w:rPr>
          <w:rFonts w:eastAsia="Calibri" w:cs="Times New Roman"/>
          <w:spacing w:val="1"/>
        </w:rPr>
        <w:t>o</w:t>
      </w:r>
      <w:r w:rsidRPr="00FA5606">
        <w:rPr>
          <w:rFonts w:eastAsia="Calibri" w:cs="Times New Roman"/>
        </w:rPr>
        <w:t>re ref</w:t>
      </w:r>
      <w:r w:rsidRPr="00FA5606">
        <w:rPr>
          <w:rFonts w:eastAsia="Calibri" w:cs="Times New Roman"/>
          <w:spacing w:val="-2"/>
        </w:rPr>
        <w:t>e</w:t>
      </w:r>
      <w:r w:rsidRPr="00FA5606">
        <w:rPr>
          <w:rFonts w:eastAsia="Calibri" w:cs="Times New Roman"/>
        </w:rPr>
        <w:t>r</w:t>
      </w:r>
      <w:r w:rsidRPr="00FA5606">
        <w:rPr>
          <w:rFonts w:eastAsia="Calibri" w:cs="Times New Roman"/>
          <w:spacing w:val="-1"/>
        </w:rPr>
        <w:t>u</w:t>
      </w:r>
      <w:r w:rsidRPr="00FA5606">
        <w:rPr>
          <w:rFonts w:eastAsia="Calibri" w:cs="Times New Roman"/>
        </w:rPr>
        <w:t xml:space="preserve">ese </w:t>
      </w:r>
      <w:r w:rsidRPr="00FA5606">
        <w:rPr>
          <w:rFonts w:eastAsia="Calibri" w:cs="Times New Roman"/>
          <w:spacing w:val="-1"/>
        </w:rPr>
        <w:t>p</w:t>
      </w:r>
      <w:r w:rsidRPr="00FA5606">
        <w:rPr>
          <w:rFonts w:eastAsia="Calibri" w:cs="Times New Roman"/>
        </w:rPr>
        <w:t xml:space="preserve">ër </w:t>
      </w:r>
      <w:r w:rsidRPr="00FA5606">
        <w:rPr>
          <w:rFonts w:eastAsia="Calibri" w:cs="Times New Roman"/>
          <w:spacing w:val="-1"/>
        </w:rPr>
        <w:t>p</w:t>
      </w:r>
      <w:r w:rsidRPr="00FA5606">
        <w:rPr>
          <w:rFonts w:eastAsia="Calibri" w:cs="Times New Roman"/>
        </w:rPr>
        <w:t>ërc</w:t>
      </w:r>
      <w:r w:rsidRPr="00FA5606">
        <w:rPr>
          <w:rFonts w:eastAsia="Calibri" w:cs="Times New Roman"/>
          <w:spacing w:val="-2"/>
        </w:rPr>
        <w:t>a</w:t>
      </w:r>
      <w:r w:rsidRPr="00FA5606">
        <w:rPr>
          <w:rFonts w:eastAsia="Calibri" w:cs="Times New Roman"/>
        </w:rPr>
        <w:t>k</w:t>
      </w:r>
      <w:r w:rsidRPr="00FA5606">
        <w:rPr>
          <w:rFonts w:eastAsia="Calibri" w:cs="Times New Roman"/>
          <w:spacing w:val="1"/>
        </w:rPr>
        <w:t>t</w:t>
      </w:r>
      <w:r w:rsidRPr="00FA5606">
        <w:rPr>
          <w:rFonts w:eastAsia="Calibri" w:cs="Times New Roman"/>
        </w:rPr>
        <w:t>i</w:t>
      </w:r>
      <w:r w:rsidRPr="00FA5606">
        <w:rPr>
          <w:rFonts w:eastAsia="Calibri" w:cs="Times New Roman"/>
          <w:spacing w:val="1"/>
        </w:rPr>
        <w:t>m</w:t>
      </w:r>
      <w:r w:rsidRPr="00FA5606">
        <w:rPr>
          <w:rFonts w:eastAsia="Calibri" w:cs="Times New Roman"/>
        </w:rPr>
        <w:t xml:space="preserve">in e </w:t>
      </w:r>
      <w:r w:rsidRPr="00FA5606">
        <w:rPr>
          <w:rFonts w:eastAsia="Calibri" w:cs="Times New Roman"/>
          <w:spacing w:val="-2"/>
        </w:rPr>
        <w:t>k</w:t>
      </w:r>
      <w:r w:rsidRPr="00FA5606">
        <w:rPr>
          <w:rFonts w:eastAsia="Calibri" w:cs="Times New Roman"/>
          <w:spacing w:val="1"/>
        </w:rPr>
        <w:t>om</w:t>
      </w:r>
      <w:r w:rsidRPr="00FA5606">
        <w:rPr>
          <w:rFonts w:eastAsia="Calibri" w:cs="Times New Roman"/>
          <w:spacing w:val="-3"/>
        </w:rPr>
        <w:t>p</w:t>
      </w:r>
      <w:r w:rsidRPr="00FA5606">
        <w:rPr>
          <w:rFonts w:eastAsia="Calibri" w:cs="Times New Roman"/>
        </w:rPr>
        <w:t>e</w:t>
      </w:r>
      <w:r w:rsidRPr="00FA5606">
        <w:rPr>
          <w:rFonts w:eastAsia="Calibri" w:cs="Times New Roman"/>
          <w:spacing w:val="1"/>
        </w:rPr>
        <w:t>t</w:t>
      </w:r>
      <w:r w:rsidRPr="00FA5606">
        <w:rPr>
          <w:rFonts w:eastAsia="Calibri" w:cs="Times New Roman"/>
        </w:rPr>
        <w:t>enc</w:t>
      </w:r>
      <w:r w:rsidRPr="00FA5606">
        <w:rPr>
          <w:rFonts w:eastAsia="Calibri" w:cs="Times New Roman"/>
          <w:spacing w:val="-3"/>
        </w:rPr>
        <w:t>a</w:t>
      </w:r>
      <w:r w:rsidRPr="00FA5606">
        <w:rPr>
          <w:rFonts w:eastAsia="Calibri" w:cs="Times New Roman"/>
          <w:spacing w:val="1"/>
        </w:rPr>
        <w:t>v</w:t>
      </w:r>
      <w:r w:rsidRPr="00FA5606">
        <w:rPr>
          <w:rFonts w:eastAsia="Calibri" w:cs="Times New Roman"/>
        </w:rPr>
        <w:t xml:space="preserve">e </w:t>
      </w:r>
      <w:r w:rsidRPr="00FA5606">
        <w:rPr>
          <w:rFonts w:eastAsia="Calibri" w:cs="Times New Roman"/>
          <w:spacing w:val="-2"/>
        </w:rPr>
        <w:t>k</w:t>
      </w:r>
      <w:r w:rsidRPr="00FA5606">
        <w:rPr>
          <w:rFonts w:eastAsia="Calibri" w:cs="Times New Roman"/>
          <w:spacing w:val="1"/>
        </w:rPr>
        <w:t>y</w:t>
      </w:r>
      <w:r w:rsidRPr="00FA5606">
        <w:rPr>
          <w:rFonts w:eastAsia="Calibri" w:cs="Times New Roman"/>
          <w:spacing w:val="-2"/>
        </w:rPr>
        <w:t>ç</w:t>
      </w:r>
      <w:r w:rsidRPr="00FA5606">
        <w:rPr>
          <w:rFonts w:eastAsia="Calibri" w:cs="Times New Roman"/>
        </w:rPr>
        <w:t xml:space="preserve"> </w:t>
      </w:r>
      <w:r w:rsidRPr="00FA5606">
        <w:rPr>
          <w:rFonts w:eastAsia="Calibri" w:cs="Times New Roman"/>
          <w:spacing w:val="2"/>
        </w:rPr>
        <w:t>q</w:t>
      </w:r>
      <w:r w:rsidRPr="00FA5606">
        <w:rPr>
          <w:rFonts w:eastAsia="Calibri" w:cs="Times New Roman"/>
        </w:rPr>
        <w:t xml:space="preserve">ë </w:t>
      </w:r>
      <w:r w:rsidRPr="00FA5606">
        <w:rPr>
          <w:rFonts w:eastAsia="Calibri" w:cs="Times New Roman"/>
          <w:spacing w:val="-1"/>
        </w:rPr>
        <w:t>duh</w:t>
      </w:r>
      <w:r w:rsidRPr="00FA5606">
        <w:rPr>
          <w:rFonts w:eastAsia="Calibri" w:cs="Times New Roman"/>
        </w:rPr>
        <w:t xml:space="preserve">en </w:t>
      </w:r>
      <w:r w:rsidRPr="00FA5606">
        <w:rPr>
          <w:rFonts w:eastAsia="Calibri" w:cs="Times New Roman"/>
          <w:spacing w:val="-1"/>
        </w:rPr>
        <w:t>zhvilluar</w:t>
      </w:r>
      <w:r w:rsidRPr="00FA5606">
        <w:rPr>
          <w:rFonts w:eastAsia="Calibri" w:cs="Times New Roman"/>
        </w:rPr>
        <w:t xml:space="preserve">, </w:t>
      </w:r>
      <w:r w:rsidRPr="00FA5606">
        <w:rPr>
          <w:rFonts w:eastAsia="Calibri" w:cs="Times New Roman"/>
          <w:spacing w:val="-1"/>
        </w:rPr>
        <w:t>p</w:t>
      </w:r>
      <w:r w:rsidRPr="00FA5606">
        <w:rPr>
          <w:rFonts w:eastAsia="Calibri" w:cs="Times New Roman"/>
        </w:rPr>
        <w:t>r</w:t>
      </w:r>
      <w:r w:rsidRPr="00FA5606">
        <w:rPr>
          <w:rFonts w:eastAsia="Calibri" w:cs="Times New Roman"/>
          <w:spacing w:val="1"/>
        </w:rPr>
        <w:t>o</w:t>
      </w:r>
      <w:r w:rsidRPr="00FA5606">
        <w:rPr>
          <w:rFonts w:eastAsia="Calibri" w:cs="Times New Roman"/>
          <w:spacing w:val="-1"/>
        </w:rPr>
        <w:t>g</w:t>
      </w:r>
      <w:r w:rsidRPr="00FA5606">
        <w:rPr>
          <w:rFonts w:eastAsia="Calibri" w:cs="Times New Roman"/>
        </w:rPr>
        <w:t xml:space="preserve">resin e </w:t>
      </w:r>
      <w:r w:rsidRPr="00FA5606">
        <w:rPr>
          <w:rFonts w:eastAsia="Calibri" w:cs="Times New Roman"/>
          <w:spacing w:val="-1"/>
        </w:rPr>
        <w:t>n</w:t>
      </w:r>
      <w:r w:rsidRPr="00FA5606">
        <w:rPr>
          <w:rFonts w:eastAsia="Calibri" w:cs="Times New Roman"/>
        </w:rPr>
        <w:t>x</w:t>
      </w:r>
      <w:r w:rsidRPr="00FA5606">
        <w:rPr>
          <w:rFonts w:eastAsia="Calibri" w:cs="Times New Roman"/>
          <w:spacing w:val="1"/>
        </w:rPr>
        <w:t>ë</w:t>
      </w:r>
      <w:r w:rsidRPr="00FA5606">
        <w:rPr>
          <w:rFonts w:eastAsia="Calibri" w:cs="Times New Roman"/>
          <w:spacing w:val="-1"/>
        </w:rPr>
        <w:t>n</w:t>
      </w:r>
      <w:r w:rsidRPr="00FA5606">
        <w:rPr>
          <w:rFonts w:eastAsia="Calibri" w:cs="Times New Roman"/>
          <w:spacing w:val="-2"/>
        </w:rPr>
        <w:t>ë</w:t>
      </w:r>
      <w:r w:rsidRPr="00FA5606">
        <w:rPr>
          <w:rFonts w:eastAsia="Calibri" w:cs="Times New Roman"/>
        </w:rPr>
        <w:t>s</w:t>
      </w:r>
      <w:r w:rsidRPr="00FA5606">
        <w:rPr>
          <w:rFonts w:eastAsia="Calibri" w:cs="Times New Roman"/>
          <w:spacing w:val="-1"/>
        </w:rPr>
        <w:t>v</w:t>
      </w:r>
      <w:r w:rsidRPr="00FA5606">
        <w:rPr>
          <w:rFonts w:eastAsia="Calibri" w:cs="Times New Roman"/>
        </w:rPr>
        <w:t xml:space="preserve">e </w:t>
      </w:r>
      <w:r w:rsidRPr="00FA5606">
        <w:rPr>
          <w:rFonts w:eastAsia="Calibri" w:cs="Times New Roman"/>
          <w:spacing w:val="-1"/>
        </w:rPr>
        <w:t>dh</w:t>
      </w:r>
      <w:r w:rsidRPr="00FA5606">
        <w:rPr>
          <w:rFonts w:eastAsia="Calibri" w:cs="Times New Roman"/>
        </w:rPr>
        <w:t>e k</w:t>
      </w:r>
      <w:r w:rsidRPr="00FA5606">
        <w:rPr>
          <w:rFonts w:eastAsia="Calibri" w:cs="Times New Roman"/>
          <w:spacing w:val="1"/>
        </w:rPr>
        <w:t>ë</w:t>
      </w:r>
      <w:r w:rsidRPr="00FA5606">
        <w:rPr>
          <w:rFonts w:eastAsia="Calibri" w:cs="Times New Roman"/>
        </w:rPr>
        <w:t>r</w:t>
      </w:r>
      <w:r w:rsidRPr="00FA5606">
        <w:rPr>
          <w:rFonts w:eastAsia="Calibri" w:cs="Times New Roman"/>
          <w:spacing w:val="-2"/>
        </w:rPr>
        <w:t>k</w:t>
      </w:r>
      <w:r w:rsidRPr="00FA5606">
        <w:rPr>
          <w:rFonts w:eastAsia="Calibri" w:cs="Times New Roman"/>
        </w:rPr>
        <w:t xml:space="preserve">esat </w:t>
      </w:r>
      <w:r w:rsidRPr="00FA5606">
        <w:rPr>
          <w:rFonts w:eastAsia="Calibri" w:cs="Times New Roman"/>
          <w:spacing w:val="-1"/>
        </w:rPr>
        <w:t>p</w:t>
      </w:r>
      <w:r w:rsidRPr="00FA5606">
        <w:rPr>
          <w:rFonts w:eastAsia="Calibri" w:cs="Times New Roman"/>
        </w:rPr>
        <w:t>ër ar</w:t>
      </w:r>
      <w:r w:rsidRPr="00FA5606">
        <w:rPr>
          <w:rFonts w:eastAsia="Calibri" w:cs="Times New Roman"/>
          <w:spacing w:val="-1"/>
        </w:rPr>
        <w:t>r</w:t>
      </w:r>
      <w:r w:rsidRPr="00FA5606">
        <w:rPr>
          <w:rFonts w:eastAsia="Calibri" w:cs="Times New Roman"/>
          <w:spacing w:val="-3"/>
        </w:rPr>
        <w:t>i</w:t>
      </w:r>
      <w:r w:rsidRPr="00FA5606">
        <w:rPr>
          <w:rFonts w:eastAsia="Calibri" w:cs="Times New Roman"/>
        </w:rPr>
        <w:t>tj</w:t>
      </w:r>
      <w:r w:rsidRPr="00FA5606">
        <w:rPr>
          <w:rFonts w:eastAsia="Calibri" w:cs="Times New Roman"/>
          <w:spacing w:val="1"/>
        </w:rPr>
        <w:t>e</w:t>
      </w:r>
      <w:r w:rsidRPr="00FA5606">
        <w:rPr>
          <w:rFonts w:eastAsia="Calibri" w:cs="Times New Roman"/>
          <w:spacing w:val="-1"/>
        </w:rPr>
        <w:t>n</w:t>
      </w:r>
      <w:r w:rsidRPr="00FA5606">
        <w:rPr>
          <w:rFonts w:eastAsia="Calibri" w:cs="Times New Roman"/>
        </w:rPr>
        <w:t>,</w:t>
      </w:r>
      <w:r w:rsidRPr="00FA5606">
        <w:rPr>
          <w:rFonts w:eastAsia="Calibri" w:cs="Times New Roman"/>
          <w:spacing w:val="1"/>
        </w:rPr>
        <w:t xml:space="preserve"> o</w:t>
      </w:r>
      <w:r w:rsidRPr="00FA5606">
        <w:rPr>
          <w:rFonts w:eastAsia="Calibri" w:cs="Times New Roman"/>
        </w:rPr>
        <w:t>r</w:t>
      </w:r>
      <w:r w:rsidRPr="00FA5606">
        <w:rPr>
          <w:rFonts w:eastAsia="Calibri" w:cs="Times New Roman"/>
          <w:spacing w:val="-3"/>
        </w:rPr>
        <w:t>g</w:t>
      </w:r>
      <w:r w:rsidRPr="00FA5606">
        <w:rPr>
          <w:rFonts w:eastAsia="Calibri" w:cs="Times New Roman"/>
        </w:rPr>
        <w:t>a</w:t>
      </w:r>
      <w:r w:rsidRPr="00FA5606">
        <w:rPr>
          <w:rFonts w:eastAsia="Calibri" w:cs="Times New Roman"/>
          <w:spacing w:val="-1"/>
        </w:rPr>
        <w:t>n</w:t>
      </w:r>
      <w:r w:rsidRPr="00FA5606">
        <w:rPr>
          <w:rFonts w:eastAsia="Calibri" w:cs="Times New Roman"/>
        </w:rPr>
        <w:t>i</w:t>
      </w:r>
      <w:r w:rsidRPr="00FA5606">
        <w:rPr>
          <w:rFonts w:eastAsia="Calibri" w:cs="Times New Roman"/>
          <w:spacing w:val="-1"/>
        </w:rPr>
        <w:t>z</w:t>
      </w:r>
      <w:r w:rsidRPr="00FA5606">
        <w:rPr>
          <w:rFonts w:eastAsia="Calibri" w:cs="Times New Roman"/>
        </w:rPr>
        <w:t>i</w:t>
      </w:r>
      <w:r w:rsidRPr="00FA5606">
        <w:rPr>
          <w:rFonts w:eastAsia="Calibri" w:cs="Times New Roman"/>
          <w:spacing w:val="1"/>
        </w:rPr>
        <w:t>m</w:t>
      </w:r>
      <w:r w:rsidRPr="00FA5606">
        <w:rPr>
          <w:rFonts w:eastAsia="Calibri" w:cs="Times New Roman"/>
        </w:rPr>
        <w:t xml:space="preserve">in e </w:t>
      </w:r>
      <w:r w:rsidRPr="00FA5606">
        <w:rPr>
          <w:rFonts w:eastAsia="Calibri" w:cs="Times New Roman"/>
          <w:spacing w:val="-1"/>
        </w:rPr>
        <w:t>p</w:t>
      </w:r>
      <w:r w:rsidRPr="00FA5606">
        <w:rPr>
          <w:rFonts w:eastAsia="Calibri" w:cs="Times New Roman"/>
        </w:rPr>
        <w:t>ë</w:t>
      </w:r>
      <w:r w:rsidRPr="00FA5606">
        <w:rPr>
          <w:rFonts w:eastAsia="Calibri" w:cs="Times New Roman"/>
          <w:spacing w:val="-2"/>
        </w:rPr>
        <w:t>r</w:t>
      </w:r>
      <w:r w:rsidRPr="00FA5606">
        <w:rPr>
          <w:rFonts w:eastAsia="Calibri" w:cs="Times New Roman"/>
          <w:spacing w:val="-1"/>
        </w:rPr>
        <w:t>v</w:t>
      </w:r>
      <w:r w:rsidRPr="00FA5606">
        <w:rPr>
          <w:rFonts w:eastAsia="Calibri" w:cs="Times New Roman"/>
          <w:spacing w:val="1"/>
        </w:rPr>
        <w:t>o</w:t>
      </w:r>
      <w:r w:rsidRPr="00FA5606">
        <w:rPr>
          <w:rFonts w:eastAsia="Calibri" w:cs="Times New Roman"/>
        </w:rPr>
        <w:t>ja</w:t>
      </w:r>
      <w:r w:rsidRPr="00FA5606">
        <w:rPr>
          <w:rFonts w:eastAsia="Calibri" w:cs="Times New Roman"/>
          <w:spacing w:val="-2"/>
        </w:rPr>
        <w:t>v</w:t>
      </w:r>
      <w:r w:rsidRPr="00FA5606">
        <w:rPr>
          <w:rFonts w:eastAsia="Calibri" w:cs="Times New Roman"/>
        </w:rPr>
        <w:t xml:space="preserve">e </w:t>
      </w:r>
      <w:r w:rsidRPr="00FA5606">
        <w:rPr>
          <w:rFonts w:eastAsia="Calibri" w:cs="Times New Roman"/>
          <w:spacing w:val="-2"/>
        </w:rPr>
        <w:t>t</w:t>
      </w:r>
      <w:r w:rsidRPr="00FA5606">
        <w:rPr>
          <w:rFonts w:eastAsia="Calibri" w:cs="Times New Roman"/>
        </w:rPr>
        <w:t xml:space="preserve">ë </w:t>
      </w:r>
      <w:r w:rsidRPr="00FA5606">
        <w:rPr>
          <w:rFonts w:eastAsia="Calibri" w:cs="Times New Roman"/>
          <w:spacing w:val="-2"/>
        </w:rPr>
        <w:t>t</w:t>
      </w:r>
      <w:r w:rsidRPr="00FA5606">
        <w:rPr>
          <w:rFonts w:eastAsia="Calibri" w:cs="Times New Roman"/>
        </w:rPr>
        <w:t xml:space="preserve">ë </w:t>
      </w:r>
      <w:r w:rsidRPr="00FA5606">
        <w:rPr>
          <w:rFonts w:eastAsia="Calibri" w:cs="Times New Roman"/>
          <w:spacing w:val="-1"/>
        </w:rPr>
        <w:t>n</w:t>
      </w:r>
      <w:r w:rsidRPr="00FA5606">
        <w:rPr>
          <w:rFonts w:eastAsia="Calibri" w:cs="Times New Roman"/>
        </w:rPr>
        <w:t>x</w:t>
      </w:r>
      <w:r w:rsidRPr="00FA5606">
        <w:rPr>
          <w:rFonts w:eastAsia="Calibri" w:cs="Times New Roman"/>
          <w:spacing w:val="1"/>
        </w:rPr>
        <w:t>ë</w:t>
      </w:r>
      <w:r w:rsidRPr="00FA5606">
        <w:rPr>
          <w:rFonts w:eastAsia="Calibri" w:cs="Times New Roman"/>
          <w:spacing w:val="-1"/>
        </w:rPr>
        <w:t>n</w:t>
      </w:r>
      <w:r w:rsidRPr="00FA5606">
        <w:rPr>
          <w:rFonts w:eastAsia="Calibri" w:cs="Times New Roman"/>
        </w:rPr>
        <w:t xml:space="preserve">it, </w:t>
      </w:r>
      <w:r w:rsidRPr="00FA5606">
        <w:rPr>
          <w:rFonts w:eastAsia="Calibri" w:cs="Times New Roman"/>
          <w:spacing w:val="-3"/>
        </w:rPr>
        <w:t>a</w:t>
      </w:r>
      <w:r w:rsidRPr="00FA5606">
        <w:rPr>
          <w:rFonts w:eastAsia="Calibri" w:cs="Times New Roman"/>
        </w:rPr>
        <w:t>ks</w:t>
      </w:r>
      <w:r w:rsidRPr="00FA5606">
        <w:rPr>
          <w:rFonts w:eastAsia="Calibri" w:cs="Times New Roman"/>
          <w:spacing w:val="1"/>
        </w:rPr>
        <w:t>e</w:t>
      </w:r>
      <w:r w:rsidRPr="00FA5606">
        <w:rPr>
          <w:rFonts w:eastAsia="Calibri" w:cs="Times New Roman"/>
        </w:rPr>
        <w:t xml:space="preserve">sin </w:t>
      </w:r>
      <w:r w:rsidRPr="00FA5606">
        <w:rPr>
          <w:rFonts w:eastAsia="Calibri" w:cs="Times New Roman"/>
          <w:spacing w:val="-1"/>
        </w:rPr>
        <w:t>dh</w:t>
      </w:r>
      <w:r w:rsidRPr="00FA5606">
        <w:rPr>
          <w:rFonts w:eastAsia="Calibri" w:cs="Times New Roman"/>
        </w:rPr>
        <w:t>e kriter</w:t>
      </w:r>
      <w:r w:rsidRPr="00FA5606">
        <w:rPr>
          <w:rFonts w:eastAsia="Calibri" w:cs="Times New Roman"/>
          <w:spacing w:val="-1"/>
        </w:rPr>
        <w:t>e</w:t>
      </w:r>
      <w:r w:rsidRPr="00FA5606">
        <w:rPr>
          <w:rFonts w:eastAsia="Calibri" w:cs="Times New Roman"/>
        </w:rPr>
        <w:t xml:space="preserve">t e </w:t>
      </w:r>
      <w:r w:rsidRPr="00FA5606">
        <w:rPr>
          <w:rFonts w:eastAsia="Calibri" w:cs="Times New Roman"/>
          <w:spacing w:val="1"/>
        </w:rPr>
        <w:t>v</w:t>
      </w:r>
      <w:r w:rsidRPr="00FA5606">
        <w:rPr>
          <w:rFonts w:eastAsia="Calibri" w:cs="Times New Roman"/>
          <w:spacing w:val="-3"/>
        </w:rPr>
        <w:t>l</w:t>
      </w:r>
      <w:r w:rsidRPr="00FA5606">
        <w:rPr>
          <w:rFonts w:eastAsia="Calibri" w:cs="Times New Roman"/>
        </w:rPr>
        <w:t>erë</w:t>
      </w:r>
      <w:r w:rsidRPr="00FA5606">
        <w:rPr>
          <w:rFonts w:eastAsia="Calibri" w:cs="Times New Roman"/>
          <w:spacing w:val="1"/>
        </w:rPr>
        <w:t>s</w:t>
      </w:r>
      <w:r w:rsidRPr="00FA5606">
        <w:rPr>
          <w:rFonts w:eastAsia="Calibri" w:cs="Times New Roman"/>
          <w:spacing w:val="-3"/>
        </w:rPr>
        <w:t>i</w:t>
      </w:r>
      <w:r w:rsidRPr="00FA5606">
        <w:rPr>
          <w:rFonts w:eastAsia="Calibri" w:cs="Times New Roman"/>
          <w:spacing w:val="1"/>
        </w:rPr>
        <w:t>m</w:t>
      </w:r>
      <w:r w:rsidRPr="00FA5606">
        <w:rPr>
          <w:rFonts w:eastAsia="Calibri" w:cs="Times New Roman"/>
        </w:rPr>
        <w:t>it,</w:t>
      </w:r>
    </w:p>
    <w:p w:rsidR="00467141" w:rsidRPr="00E97254" w:rsidRDefault="00FA5606" w:rsidP="000C0250">
      <w:pPr>
        <w:pStyle w:val="ListParagraph"/>
        <w:numPr>
          <w:ilvl w:val="0"/>
          <w:numId w:val="44"/>
        </w:numPr>
        <w:spacing w:after="160"/>
        <w:jc w:val="both"/>
        <w:rPr>
          <w:rFonts w:cs="Times New Roman"/>
          <w:i/>
        </w:rPr>
      </w:pPr>
      <w:r w:rsidRPr="00FA5606">
        <w:rPr>
          <w:rFonts w:cs="Times New Roman"/>
          <w:i/>
        </w:rPr>
        <w:t xml:space="preserve">Kurrikulat bërthamë </w:t>
      </w:r>
      <w:r w:rsidRPr="00FA5606">
        <w:rPr>
          <w:rFonts w:cs="Times New Roman"/>
        </w:rPr>
        <w:t>për</w:t>
      </w:r>
      <w:r w:rsidRPr="00FA5606">
        <w:rPr>
          <w:rFonts w:eastAsia="Calibri" w:cstheme="minorHAnsi"/>
          <w:spacing w:val="-1"/>
        </w:rPr>
        <w:t xml:space="preserve"> </w:t>
      </w:r>
      <w:r w:rsidRPr="00FA5606">
        <w:rPr>
          <w:rFonts w:eastAsia="Calibri" w:cs="Times New Roman"/>
          <w:spacing w:val="-1"/>
        </w:rPr>
        <w:t>n</w:t>
      </w:r>
      <w:r w:rsidRPr="00FA5606">
        <w:rPr>
          <w:rFonts w:eastAsia="Calibri" w:cs="Times New Roman"/>
        </w:rPr>
        <w:t>iv</w:t>
      </w:r>
      <w:r w:rsidRPr="00FA5606">
        <w:rPr>
          <w:rFonts w:eastAsia="Calibri" w:cs="Times New Roman"/>
          <w:spacing w:val="1"/>
        </w:rPr>
        <w:t>e</w:t>
      </w:r>
      <w:r w:rsidRPr="00FA5606">
        <w:rPr>
          <w:rFonts w:eastAsia="Calibri" w:cs="Times New Roman"/>
        </w:rPr>
        <w:t xml:space="preserve">let </w:t>
      </w:r>
      <w:r w:rsidRPr="00FA5606">
        <w:rPr>
          <w:rFonts w:eastAsia="Calibri" w:cs="Times New Roman"/>
          <w:spacing w:val="1"/>
        </w:rPr>
        <w:t>0</w:t>
      </w:r>
      <w:r w:rsidRPr="00FA5606">
        <w:rPr>
          <w:rFonts w:eastAsia="Calibri" w:cs="Times New Roman"/>
          <w:spacing w:val="-3"/>
        </w:rPr>
        <w:t>-</w:t>
      </w:r>
      <w:r w:rsidRPr="00FA5606">
        <w:rPr>
          <w:rFonts w:eastAsia="Calibri" w:cs="Times New Roman"/>
        </w:rPr>
        <w:t xml:space="preserve">3 </w:t>
      </w:r>
      <w:r w:rsidRPr="00FA5606">
        <w:rPr>
          <w:rFonts w:eastAsia="Calibri" w:cs="Times New Roman"/>
          <w:spacing w:val="-2"/>
        </w:rPr>
        <w:t>t</w:t>
      </w:r>
      <w:r w:rsidRPr="00FA5606">
        <w:rPr>
          <w:rFonts w:eastAsia="Calibri" w:cs="Times New Roman"/>
        </w:rPr>
        <w:t>ë KN</w:t>
      </w:r>
      <w:r w:rsidRPr="00FA5606">
        <w:rPr>
          <w:rFonts w:eastAsia="Calibri" w:cs="Times New Roman"/>
          <w:spacing w:val="-1"/>
        </w:rPr>
        <w:t>S</w:t>
      </w:r>
      <w:r w:rsidRPr="00FA5606">
        <w:rPr>
          <w:rFonts w:eastAsia="Calibri" w:cs="Times New Roman"/>
        </w:rPr>
        <w:t>A-së</w:t>
      </w:r>
      <w:r w:rsidRPr="00FA5606">
        <w:rPr>
          <w:rFonts w:cs="Times New Roman"/>
          <w:i/>
        </w:rPr>
        <w:t>:</w:t>
      </w:r>
    </w:p>
    <w:p w:rsidR="00467141" w:rsidRPr="00E97254" w:rsidRDefault="00FA5606" w:rsidP="000C0250">
      <w:pPr>
        <w:pStyle w:val="ListParagraph"/>
        <w:ind w:left="360"/>
        <w:jc w:val="both"/>
        <w:rPr>
          <w:rFonts w:cs="Times New Roman"/>
          <w:i/>
        </w:rPr>
      </w:pPr>
      <w:r w:rsidRPr="00FA5606">
        <w:rPr>
          <w:rFonts w:cs="Times New Roman"/>
          <w:i/>
        </w:rPr>
        <w:t xml:space="preserve">a) Klasa përgatitore dhe arsimi fillor (klasat I-V); </w:t>
      </w:r>
    </w:p>
    <w:p w:rsidR="00467141" w:rsidRPr="00E97254" w:rsidRDefault="00FA5606" w:rsidP="000C0250">
      <w:pPr>
        <w:pStyle w:val="ListParagraph"/>
        <w:ind w:left="360"/>
        <w:jc w:val="both"/>
        <w:rPr>
          <w:rFonts w:cs="Times New Roman"/>
          <w:i/>
        </w:rPr>
      </w:pPr>
      <w:r w:rsidRPr="00FA5606">
        <w:rPr>
          <w:rFonts w:cs="Times New Roman"/>
          <w:i/>
        </w:rPr>
        <w:t>b) Arsimi i mesëm i ulët (klasat  VI-IX),  dhe</w:t>
      </w:r>
    </w:p>
    <w:p w:rsidR="00467141" w:rsidRPr="00E97254" w:rsidRDefault="00FA5606" w:rsidP="000C0250">
      <w:pPr>
        <w:pStyle w:val="ListParagraph"/>
        <w:ind w:left="360"/>
        <w:jc w:val="both"/>
        <w:rPr>
          <w:rFonts w:cs="Times New Roman"/>
          <w:i/>
        </w:rPr>
      </w:pPr>
      <w:r w:rsidRPr="00FA5606">
        <w:rPr>
          <w:rFonts w:cs="Times New Roman"/>
          <w:i/>
        </w:rPr>
        <w:t xml:space="preserve">c) Arsimi i mesëm i lartë (klasat X-XII).  </w:t>
      </w:r>
    </w:p>
    <w:p w:rsidR="00467141" w:rsidRPr="00E97254" w:rsidRDefault="00FA5606" w:rsidP="000C0250">
      <w:pPr>
        <w:pStyle w:val="ListParagraph"/>
        <w:ind w:left="360"/>
        <w:jc w:val="both"/>
        <w:rPr>
          <w:rFonts w:cs="Times New Roman"/>
        </w:rPr>
      </w:pPr>
      <w:r w:rsidRPr="00FA5606">
        <w:rPr>
          <w:rFonts w:cs="Times New Roman"/>
        </w:rPr>
        <w:t>Këto dokumente i paraprinë hartimit të dokumenteve të tjer</w:t>
      </w:r>
      <w:r w:rsidR="00571E23">
        <w:rPr>
          <w:rFonts w:cs="Times New Roman"/>
        </w:rPr>
        <w:t>a</w:t>
      </w:r>
      <w:r w:rsidRPr="00FA5606">
        <w:rPr>
          <w:rFonts w:cs="Times New Roman"/>
        </w:rPr>
        <w:t xml:space="preserve"> të paketës kurrikulare si: programet lëndore, udhëzuesit kurrikularë etj., të cilat janë në themel të procesit mësimor të të nxënit dhe mësimdhënies.  </w:t>
      </w:r>
    </w:p>
    <w:p w:rsidR="00467141" w:rsidRPr="00E97254" w:rsidRDefault="00FA5606" w:rsidP="000C0250">
      <w:pPr>
        <w:pStyle w:val="ListParagraph"/>
        <w:numPr>
          <w:ilvl w:val="0"/>
          <w:numId w:val="43"/>
        </w:numPr>
        <w:jc w:val="both"/>
        <w:rPr>
          <w:rFonts w:cs="Times New Roman"/>
          <w:iCs/>
        </w:rPr>
      </w:pPr>
      <w:r w:rsidRPr="00FA5606">
        <w:rPr>
          <w:rFonts w:cs="Times New Roman"/>
          <w:i/>
        </w:rPr>
        <w:lastRenderedPageBreak/>
        <w:t>Kornizën e vlerësimit të nxënësve,</w:t>
      </w:r>
      <w:r w:rsidRPr="00FA5606">
        <w:rPr>
          <w:rFonts w:cs="Times New Roman"/>
        </w:rPr>
        <w:t xml:space="preserve"> </w:t>
      </w:r>
      <w:r w:rsidRPr="00FA5606">
        <w:rPr>
          <w:rFonts w:cs="Times New Roman"/>
          <w:i/>
        </w:rPr>
        <w:t xml:space="preserve">përfshirë nivelet e arritjeve të nxënësve për çdo shkallë të kurrikulës dhe fushë të nxëni/lëndë mësimore. </w:t>
      </w:r>
      <w:r w:rsidRPr="00FA5606">
        <w:rPr>
          <w:rFonts w:cs="Times New Roman"/>
        </w:rPr>
        <w:t>Korniza e vlerësimit</w:t>
      </w:r>
      <w:r w:rsidRPr="00FA5606">
        <w:rPr>
          <w:rFonts w:cs="Times New Roman"/>
          <w:i/>
        </w:rPr>
        <w:t xml:space="preserve"> </w:t>
      </w:r>
      <w:r w:rsidRPr="00FA5606">
        <w:rPr>
          <w:rFonts w:cs="Times New Roman"/>
        </w:rPr>
        <w:t>përcakton politikën dhe parimet themelore të vlerësimit të arritjeve të nxënësve dhe sistemit arsimor. Qëllimi kryesor i vlerësimit të nxënësve është përmirësimi i përmbushjes së rezultateve të të nxënit nga nxënësi dhe i vetë procesit të të nxënit.</w:t>
      </w:r>
    </w:p>
    <w:p w:rsidR="00467141" w:rsidRPr="00E97254" w:rsidRDefault="00FA5606" w:rsidP="000C0250">
      <w:pPr>
        <w:pStyle w:val="ListParagraph"/>
        <w:numPr>
          <w:ilvl w:val="0"/>
          <w:numId w:val="43"/>
        </w:numPr>
        <w:jc w:val="both"/>
        <w:rPr>
          <w:rFonts w:cs="Times New Roman"/>
          <w:iCs/>
        </w:rPr>
      </w:pPr>
      <w:r w:rsidRPr="00FA5606">
        <w:rPr>
          <w:rFonts w:cs="Times New Roman"/>
          <w:i/>
        </w:rPr>
        <w:t>Planin mësimor të arsimit bazë, planin mësimor të arsimit të mesëm të lartë si dhe planet mësimore për shkolla të veçanta (për klasat e shansit të dytë, për fëmijët e ngujuar, për shkollat speciale, për arsimin bazë në institucionet e ekzekutimit të vendimeve penale për të mitur, për arsimin bazë me kohë të pjesshme, për pakicat kombëtare).</w:t>
      </w:r>
      <w:r w:rsidRPr="00FA5606">
        <w:rPr>
          <w:rFonts w:cs="Times New Roman"/>
        </w:rPr>
        <w:t xml:space="preserve"> Planet mësimore janë produkt i një pune të gjerë kërkimore, studimore, krahasuese, konsultuese e specialistëve të IZHA-s (sot ASCAP) dhe MASR</w:t>
      </w:r>
      <w:r w:rsidR="006775DC">
        <w:rPr>
          <w:rFonts w:cs="Times New Roman"/>
        </w:rPr>
        <w:t>-s</w:t>
      </w:r>
      <w:r w:rsidR="006775DC" w:rsidRPr="004E1F53">
        <w:rPr>
          <w:rFonts w:cs="Times New Roman"/>
        </w:rPr>
        <w:t>ë</w:t>
      </w:r>
      <w:r w:rsidRPr="00FA5606">
        <w:rPr>
          <w:rFonts w:cs="Times New Roman"/>
        </w:rPr>
        <w:t>, e grupeve të gjera lëndore dhe grupeve të tjera të interesuar</w:t>
      </w:r>
      <w:r w:rsidR="006775DC">
        <w:rPr>
          <w:rFonts w:cs="Times New Roman"/>
        </w:rPr>
        <w:t>a</w:t>
      </w:r>
      <w:r w:rsidRPr="00FA5606">
        <w:rPr>
          <w:rFonts w:cs="Times New Roman"/>
        </w:rPr>
        <w:t xml:space="preserve"> për këtë qëllim.</w:t>
      </w:r>
      <w:r w:rsidRPr="00FA5606">
        <w:rPr>
          <w:rFonts w:cs="Times New Roman"/>
          <w:iCs/>
        </w:rPr>
        <w:t xml:space="preserve"> Planet mësimore, të organizuara në fusha të nxëni dhe lëndë, si</w:t>
      </w:r>
      <w:r w:rsidRPr="00FA5606">
        <w:rPr>
          <w:rFonts w:cs="Times New Roman"/>
          <w:iCs/>
          <w:spacing w:val="-2"/>
        </w:rPr>
        <w:t>g</w:t>
      </w:r>
      <w:r w:rsidRPr="00FA5606">
        <w:rPr>
          <w:rFonts w:cs="Times New Roman"/>
          <w:iCs/>
        </w:rPr>
        <w:t>u</w:t>
      </w:r>
      <w:r w:rsidRPr="00FA5606">
        <w:rPr>
          <w:rFonts w:cs="Times New Roman"/>
          <w:iCs/>
          <w:spacing w:val="-1"/>
        </w:rPr>
        <w:t>r</w:t>
      </w:r>
      <w:r w:rsidRPr="00FA5606">
        <w:rPr>
          <w:rFonts w:cs="Times New Roman"/>
          <w:iCs/>
        </w:rPr>
        <w:t>ojnë b</w:t>
      </w:r>
      <w:r w:rsidRPr="00FA5606">
        <w:rPr>
          <w:rFonts w:cs="Times New Roman"/>
          <w:iCs/>
          <w:spacing w:val="-1"/>
        </w:rPr>
        <w:t>a</w:t>
      </w:r>
      <w:r w:rsidRPr="00FA5606">
        <w:rPr>
          <w:rFonts w:cs="Times New Roman"/>
          <w:iCs/>
          <w:spacing w:val="1"/>
        </w:rPr>
        <w:t>r</w:t>
      </w:r>
      <w:r w:rsidRPr="00FA5606">
        <w:rPr>
          <w:rFonts w:cs="Times New Roman"/>
          <w:iCs/>
          <w:spacing w:val="-1"/>
        </w:rPr>
        <w:t>a</w:t>
      </w:r>
      <w:r w:rsidRPr="00FA5606">
        <w:rPr>
          <w:rFonts w:cs="Times New Roman"/>
          <w:iCs/>
        </w:rPr>
        <w:t>spesh</w:t>
      </w:r>
      <w:r w:rsidRPr="00FA5606">
        <w:rPr>
          <w:rFonts w:cs="Times New Roman"/>
          <w:iCs/>
          <w:spacing w:val="-1"/>
        </w:rPr>
        <w:t>ë</w:t>
      </w:r>
      <w:r w:rsidRPr="00FA5606">
        <w:rPr>
          <w:rFonts w:cs="Times New Roman"/>
          <w:iCs/>
        </w:rPr>
        <w:t>n nd</w:t>
      </w:r>
      <w:r w:rsidRPr="00FA5606">
        <w:rPr>
          <w:rFonts w:cs="Times New Roman"/>
          <w:iCs/>
          <w:spacing w:val="1"/>
        </w:rPr>
        <w:t>ër</w:t>
      </w:r>
      <w:r w:rsidRPr="00FA5606">
        <w:rPr>
          <w:rFonts w:cs="Times New Roman"/>
          <w:iCs/>
        </w:rPr>
        <w:t>m</w:t>
      </w:r>
      <w:r w:rsidRPr="00FA5606">
        <w:rPr>
          <w:rFonts w:cs="Times New Roman"/>
          <w:iCs/>
          <w:spacing w:val="1"/>
        </w:rPr>
        <w:t>j</w:t>
      </w:r>
      <w:r w:rsidRPr="00FA5606">
        <w:rPr>
          <w:rFonts w:cs="Times New Roman"/>
          <w:iCs/>
          <w:spacing w:val="-1"/>
        </w:rPr>
        <w:t>e</w:t>
      </w:r>
      <w:r w:rsidRPr="00FA5606">
        <w:rPr>
          <w:rFonts w:cs="Times New Roman"/>
          <w:iCs/>
        </w:rPr>
        <w:t>t njohurive</w:t>
      </w:r>
      <w:r w:rsidRPr="00FA5606">
        <w:rPr>
          <w:rFonts w:cs="Times New Roman"/>
          <w:iCs/>
          <w:spacing w:val="-1"/>
        </w:rPr>
        <w:t>, shkathtësi</w:t>
      </w:r>
      <w:r w:rsidRPr="00FA5606">
        <w:rPr>
          <w:rFonts w:cs="Times New Roman"/>
          <w:iCs/>
        </w:rPr>
        <w:t>ve, vlerave dhe qëndrimeve të s</w:t>
      </w:r>
      <w:r w:rsidRPr="00FA5606">
        <w:rPr>
          <w:rFonts w:cs="Times New Roman"/>
          <w:iCs/>
          <w:spacing w:val="1"/>
        </w:rPr>
        <w:t>e</w:t>
      </w:r>
      <w:r w:rsidRPr="00FA5606">
        <w:rPr>
          <w:rFonts w:cs="Times New Roman"/>
          <w:iCs/>
          <w:spacing w:val="-1"/>
        </w:rPr>
        <w:t>c</w:t>
      </w:r>
      <w:r w:rsidRPr="00FA5606">
        <w:rPr>
          <w:rFonts w:cs="Times New Roman"/>
          <w:iCs/>
        </w:rPr>
        <w:t>i</w:t>
      </w:r>
      <w:r w:rsidRPr="00FA5606">
        <w:rPr>
          <w:rFonts w:cs="Times New Roman"/>
          <w:iCs/>
          <w:spacing w:val="1"/>
        </w:rPr>
        <w:t>l</w:t>
      </w:r>
      <w:r w:rsidRPr="00FA5606">
        <w:rPr>
          <w:rFonts w:cs="Times New Roman"/>
          <w:iCs/>
          <w:spacing w:val="-1"/>
        </w:rPr>
        <w:t>ë</w:t>
      </w:r>
      <w:r w:rsidRPr="00FA5606">
        <w:rPr>
          <w:rFonts w:cs="Times New Roman"/>
          <w:iCs/>
        </w:rPr>
        <w:t>s fushë</w:t>
      </w:r>
      <w:r w:rsidRPr="00FA5606">
        <w:rPr>
          <w:rFonts w:cs="Times New Roman"/>
          <w:iCs/>
          <w:spacing w:val="-1"/>
        </w:rPr>
        <w:t xml:space="preserve"> </w:t>
      </w:r>
      <w:r w:rsidRPr="00FA5606">
        <w:rPr>
          <w:rFonts w:cs="Times New Roman"/>
          <w:iCs/>
        </w:rPr>
        <w:t>të n</w:t>
      </w:r>
      <w:r w:rsidRPr="00FA5606">
        <w:rPr>
          <w:rFonts w:cs="Times New Roman"/>
          <w:iCs/>
          <w:spacing w:val="2"/>
        </w:rPr>
        <w:t>x</w:t>
      </w:r>
      <w:r w:rsidRPr="00FA5606">
        <w:rPr>
          <w:rFonts w:cs="Times New Roman"/>
          <w:iCs/>
          <w:spacing w:val="-1"/>
        </w:rPr>
        <w:t>ë</w:t>
      </w:r>
      <w:r w:rsidRPr="00FA5606">
        <w:rPr>
          <w:rFonts w:cs="Times New Roman"/>
          <w:iCs/>
        </w:rPr>
        <w:t>ni dhe midis lëndëve, si</w:t>
      </w:r>
      <w:r w:rsidRPr="00FA5606">
        <w:rPr>
          <w:rFonts w:cs="Times New Roman"/>
          <w:iCs/>
          <w:spacing w:val="1"/>
        </w:rPr>
        <w:t xml:space="preserve"> </w:t>
      </w:r>
      <w:r w:rsidRPr="00FA5606">
        <w:rPr>
          <w:rFonts w:cs="Times New Roman"/>
          <w:iCs/>
        </w:rPr>
        <w:t>dhe</w:t>
      </w:r>
      <w:r w:rsidRPr="00FA5606">
        <w:rPr>
          <w:rFonts w:cs="Times New Roman"/>
          <w:iCs/>
          <w:spacing w:val="-1"/>
        </w:rPr>
        <w:t xml:space="preserve"> </w:t>
      </w:r>
      <w:r w:rsidRPr="00FA5606">
        <w:rPr>
          <w:rFonts w:cs="Times New Roman"/>
          <w:iCs/>
        </w:rPr>
        <w:t>in</w:t>
      </w:r>
      <w:r w:rsidRPr="00FA5606">
        <w:rPr>
          <w:rFonts w:cs="Times New Roman"/>
          <w:iCs/>
          <w:spacing w:val="1"/>
        </w:rPr>
        <w:t>t</w:t>
      </w:r>
      <w:r w:rsidRPr="00FA5606">
        <w:rPr>
          <w:rFonts w:cs="Times New Roman"/>
          <w:iCs/>
          <w:spacing w:val="-1"/>
        </w:rPr>
        <w:t>e</w:t>
      </w:r>
      <w:r w:rsidRPr="00FA5606">
        <w:rPr>
          <w:rFonts w:cs="Times New Roman"/>
          <w:iCs/>
        </w:rPr>
        <w:t>g</w:t>
      </w:r>
      <w:r w:rsidRPr="00FA5606">
        <w:rPr>
          <w:rFonts w:cs="Times New Roman"/>
          <w:iCs/>
          <w:spacing w:val="-1"/>
        </w:rPr>
        <w:t>r</w:t>
      </w:r>
      <w:r w:rsidRPr="00FA5606">
        <w:rPr>
          <w:rFonts w:cs="Times New Roman"/>
          <w:iCs/>
        </w:rPr>
        <w:t>i</w:t>
      </w:r>
      <w:r w:rsidRPr="00FA5606">
        <w:rPr>
          <w:rFonts w:cs="Times New Roman"/>
          <w:iCs/>
          <w:spacing w:val="1"/>
        </w:rPr>
        <w:t>m</w:t>
      </w:r>
      <w:r w:rsidRPr="00FA5606">
        <w:rPr>
          <w:rFonts w:cs="Times New Roman"/>
          <w:iCs/>
        </w:rPr>
        <w:t>in br</w:t>
      </w:r>
      <w:r w:rsidRPr="00FA5606">
        <w:rPr>
          <w:rFonts w:cs="Times New Roman"/>
          <w:iCs/>
          <w:spacing w:val="-1"/>
        </w:rPr>
        <w:t>e</w:t>
      </w:r>
      <w:r w:rsidRPr="00FA5606">
        <w:rPr>
          <w:rFonts w:cs="Times New Roman"/>
          <w:iCs/>
        </w:rPr>
        <w:t>nda</w:t>
      </w:r>
      <w:r w:rsidRPr="00FA5606">
        <w:rPr>
          <w:rFonts w:cs="Times New Roman"/>
          <w:iCs/>
          <w:spacing w:val="-1"/>
        </w:rPr>
        <w:t xml:space="preserve"> </w:t>
      </w:r>
      <w:r w:rsidRPr="00FA5606">
        <w:rPr>
          <w:rFonts w:cs="Times New Roman"/>
          <w:iCs/>
        </w:rPr>
        <w:t>d</w:t>
      </w:r>
      <w:r w:rsidRPr="00FA5606">
        <w:rPr>
          <w:rFonts w:cs="Times New Roman"/>
          <w:iCs/>
          <w:spacing w:val="2"/>
        </w:rPr>
        <w:t>h</w:t>
      </w:r>
      <w:r w:rsidRPr="00FA5606">
        <w:rPr>
          <w:rFonts w:cs="Times New Roman"/>
          <w:iCs/>
        </w:rPr>
        <w:t>e</w:t>
      </w:r>
      <w:r w:rsidRPr="00FA5606">
        <w:rPr>
          <w:rFonts w:cs="Times New Roman"/>
          <w:iCs/>
          <w:spacing w:val="1"/>
        </w:rPr>
        <w:t xml:space="preserve"> </w:t>
      </w:r>
      <w:r w:rsidRPr="00FA5606">
        <w:rPr>
          <w:rFonts w:cs="Times New Roman"/>
          <w:iCs/>
        </w:rPr>
        <w:t>nd</w:t>
      </w:r>
      <w:r w:rsidRPr="00FA5606">
        <w:rPr>
          <w:rFonts w:cs="Times New Roman"/>
          <w:iCs/>
          <w:spacing w:val="-1"/>
        </w:rPr>
        <w:t>ë</w:t>
      </w:r>
      <w:r w:rsidRPr="00FA5606">
        <w:rPr>
          <w:rFonts w:cs="Times New Roman"/>
          <w:iCs/>
        </w:rPr>
        <w:t>rmj</w:t>
      </w:r>
      <w:r w:rsidRPr="00FA5606">
        <w:rPr>
          <w:rFonts w:cs="Times New Roman"/>
          <w:iCs/>
          <w:spacing w:val="-1"/>
        </w:rPr>
        <w:t>e</w:t>
      </w:r>
      <w:r w:rsidRPr="00FA5606">
        <w:rPr>
          <w:rFonts w:cs="Times New Roman"/>
          <w:iCs/>
        </w:rPr>
        <w:t xml:space="preserve">t </w:t>
      </w:r>
      <w:r w:rsidRPr="00FA5606">
        <w:rPr>
          <w:rFonts w:cs="Times New Roman"/>
          <w:iCs/>
          <w:spacing w:val="3"/>
        </w:rPr>
        <w:t>t</w:t>
      </w:r>
      <w:r w:rsidRPr="00FA5606">
        <w:rPr>
          <w:rFonts w:cs="Times New Roman"/>
          <w:iCs/>
          <w:spacing w:val="-5"/>
        </w:rPr>
        <w:t>y</w:t>
      </w:r>
      <w:r w:rsidRPr="00FA5606">
        <w:rPr>
          <w:rFonts w:cs="Times New Roman"/>
          <w:iCs/>
          <w:spacing w:val="1"/>
        </w:rPr>
        <w:t>r</w:t>
      </w:r>
      <w:r w:rsidRPr="00FA5606">
        <w:rPr>
          <w:rFonts w:cs="Times New Roman"/>
          <w:iCs/>
          <w:spacing w:val="-1"/>
        </w:rPr>
        <w:t>e</w:t>
      </w:r>
      <w:r w:rsidRPr="00FA5606">
        <w:rPr>
          <w:rFonts w:cs="Times New Roman"/>
          <w:iCs/>
        </w:rPr>
        <w:t xml:space="preserve">. </w:t>
      </w:r>
    </w:p>
    <w:p w:rsidR="00467141" w:rsidRPr="00E97254" w:rsidRDefault="00FA5606" w:rsidP="000C0250">
      <w:pPr>
        <w:pStyle w:val="ListParagraph"/>
        <w:numPr>
          <w:ilvl w:val="0"/>
          <w:numId w:val="44"/>
        </w:numPr>
        <w:spacing w:after="160"/>
        <w:jc w:val="both"/>
        <w:rPr>
          <w:rFonts w:cs="Times New Roman"/>
          <w:i/>
        </w:rPr>
      </w:pPr>
      <w:r w:rsidRPr="00FA5606">
        <w:rPr>
          <w:rFonts w:cs="Times New Roman"/>
          <w:i/>
        </w:rPr>
        <w:t>105 programe lëndore, të përgatitura për të gjitha klasat dhe lëndët e arsimit bazë.</w:t>
      </w:r>
      <w:r w:rsidRPr="00FA5606">
        <w:t xml:space="preserve"> </w:t>
      </w:r>
      <w:r w:rsidRPr="00FA5606">
        <w:rPr>
          <w:rFonts w:cs="Times New Roman"/>
        </w:rPr>
        <w:t>Këto programe u finalizuan duke u bazuar në gjetjet dhe përfundimet e procesit të pilotimit.</w:t>
      </w:r>
      <w:r w:rsidRPr="00FA5606">
        <w:rPr>
          <w:rFonts w:cs="Times New Roman"/>
          <w:i/>
        </w:rPr>
        <w:t xml:space="preserve"> </w:t>
      </w:r>
    </w:p>
    <w:p w:rsidR="00467141" w:rsidRPr="00E97254" w:rsidRDefault="00FA5606" w:rsidP="000C0250">
      <w:pPr>
        <w:pStyle w:val="ListParagraph"/>
        <w:numPr>
          <w:ilvl w:val="0"/>
          <w:numId w:val="44"/>
        </w:numPr>
        <w:spacing w:after="160"/>
        <w:jc w:val="both"/>
        <w:rPr>
          <w:rFonts w:cs="Times New Roman"/>
          <w:i/>
        </w:rPr>
      </w:pPr>
      <w:r w:rsidRPr="00FA5606">
        <w:rPr>
          <w:rFonts w:cs="Times New Roman"/>
          <w:i/>
        </w:rPr>
        <w:t>Rreth 300 programe lëndore për të gjitha klasat dhe lëndët e shkollave të veçanta të arsimit bazë, përkatësisht të institucioneve të arsimit bazë për fëmijët e ngujuar, të arsimit bazë me kohë të pjesshme, të arsimit bazë në institucionet e ekzekutimit të vendimeve penale për të mitur, të arsimit bazë të shansit të dytë, të arsimit bazë për pakicat kombëtare.</w:t>
      </w:r>
    </w:p>
    <w:p w:rsidR="00467141" w:rsidRPr="00E97254" w:rsidRDefault="00FA5606" w:rsidP="000C0250">
      <w:pPr>
        <w:pStyle w:val="ListParagraph"/>
        <w:numPr>
          <w:ilvl w:val="0"/>
          <w:numId w:val="44"/>
        </w:numPr>
        <w:spacing w:after="160"/>
        <w:jc w:val="both"/>
        <w:rPr>
          <w:rFonts w:cs="Times New Roman"/>
          <w:i/>
        </w:rPr>
      </w:pPr>
      <w:r w:rsidRPr="00FA5606">
        <w:rPr>
          <w:rFonts w:cs="Times New Roman"/>
          <w:i/>
        </w:rPr>
        <w:t>55 programe lëndore, për të gjitha lëndët e kurrikulës bërthamë dhe me zgjedhje të arsimit të mesëm të lartë, si dhe rreth 23 programe të moduleve lëndore dhe profesionale me zgjedhje në gjimnaz.</w:t>
      </w:r>
    </w:p>
    <w:p w:rsidR="00467141" w:rsidRPr="00E97254" w:rsidRDefault="00FA5606" w:rsidP="000C0250">
      <w:pPr>
        <w:pStyle w:val="ListParagraph"/>
        <w:numPr>
          <w:ilvl w:val="0"/>
          <w:numId w:val="44"/>
        </w:numPr>
        <w:spacing w:after="160"/>
        <w:jc w:val="both"/>
        <w:rPr>
          <w:rFonts w:cs="Times New Roman"/>
          <w:i/>
        </w:rPr>
      </w:pPr>
      <w:r w:rsidRPr="00FA5606">
        <w:rPr>
          <w:rFonts w:cs="Times New Roman"/>
          <w:i/>
        </w:rPr>
        <w:t>Rreth 150 programe lëndore të kulturës së përgjithshme për shkollat profesionale dhe me drejtim të orientuar.</w:t>
      </w:r>
    </w:p>
    <w:p w:rsidR="00467141" w:rsidRPr="00E97254" w:rsidRDefault="00FA5606" w:rsidP="000C0250">
      <w:pPr>
        <w:pStyle w:val="ListParagraph"/>
        <w:numPr>
          <w:ilvl w:val="0"/>
          <w:numId w:val="44"/>
        </w:numPr>
        <w:spacing w:after="160"/>
        <w:jc w:val="both"/>
        <w:rPr>
          <w:rFonts w:cs="Times New Roman"/>
          <w:i/>
        </w:rPr>
      </w:pPr>
      <w:r w:rsidRPr="00FA5606">
        <w:rPr>
          <w:rFonts w:cs="Times New Roman"/>
          <w:i/>
        </w:rPr>
        <w:t xml:space="preserve">Programet orientuese të Vlerësimit të Arritjeve të Nxënësve në Arsimin Fillor (VANAF), të Provimeve Kombëtare të Arsimit Bazë (PKAB) dhe të Maturës Shtetërore (MSH), të rishikuara </w:t>
      </w:r>
      <w:r w:rsidRPr="00FA5606">
        <w:rPr>
          <w:rFonts w:cs="Times New Roman"/>
        </w:rPr>
        <w:t>ç</w:t>
      </w:r>
      <w:r w:rsidRPr="00FA5606">
        <w:rPr>
          <w:rFonts w:cs="Times New Roman"/>
          <w:i/>
        </w:rPr>
        <w:t>do vit shkollor.</w:t>
      </w:r>
    </w:p>
    <w:p w:rsidR="00467141" w:rsidRPr="00E97254" w:rsidRDefault="00FA5606" w:rsidP="000C0250">
      <w:pPr>
        <w:pStyle w:val="ListParagraph"/>
        <w:numPr>
          <w:ilvl w:val="0"/>
          <w:numId w:val="44"/>
        </w:numPr>
        <w:spacing w:after="160"/>
        <w:jc w:val="both"/>
        <w:rPr>
          <w:rFonts w:cs="Times New Roman"/>
          <w:i/>
        </w:rPr>
      </w:pPr>
      <w:r w:rsidRPr="00FA5606">
        <w:rPr>
          <w:rFonts w:cs="Times New Roman"/>
          <w:i/>
        </w:rPr>
        <w:t>Rreth 30 udhëzues kurrikularë të përgjithshëm dhe lëndorë, për arsimin bazë dhe arsimin e mesëm të lartë.</w:t>
      </w:r>
    </w:p>
    <w:p w:rsidR="00467141" w:rsidRPr="00E97254" w:rsidRDefault="00FA5606" w:rsidP="000C0250">
      <w:pPr>
        <w:pStyle w:val="ListParagraph"/>
        <w:numPr>
          <w:ilvl w:val="0"/>
          <w:numId w:val="44"/>
        </w:numPr>
        <w:spacing w:after="0"/>
        <w:jc w:val="both"/>
        <w:rPr>
          <w:rFonts w:cs="Times New Roman"/>
        </w:rPr>
      </w:pPr>
      <w:r w:rsidRPr="00FA5606">
        <w:rPr>
          <w:rFonts w:cs="Times New Roman"/>
          <w:i/>
        </w:rPr>
        <w:t>Udhëzime të MASR</w:t>
      </w:r>
      <w:r w:rsidR="006775DC">
        <w:rPr>
          <w:rFonts w:cs="Times New Roman"/>
          <w:i/>
        </w:rPr>
        <w:t>-s</w:t>
      </w:r>
      <w:r w:rsidR="006775DC" w:rsidRPr="004E1F53">
        <w:rPr>
          <w:rFonts w:cs="Times New Roman"/>
        </w:rPr>
        <w:t>ë</w:t>
      </w:r>
      <w:r w:rsidRPr="00FA5606">
        <w:rPr>
          <w:rFonts w:cs="Times New Roman"/>
          <w:i/>
        </w:rPr>
        <w:t xml:space="preserve"> dhe materiale të tjerë burimor</w:t>
      </w:r>
      <w:r w:rsidR="006775DC">
        <w:rPr>
          <w:rFonts w:cs="Times New Roman"/>
          <w:i/>
        </w:rPr>
        <w:t>e</w:t>
      </w:r>
      <w:r w:rsidRPr="00FA5606">
        <w:rPr>
          <w:rFonts w:cs="Times New Roman"/>
          <w:i/>
        </w:rPr>
        <w:t xml:space="preserve"> për zbatimin e kurrikulës me bazë kompetencat.</w:t>
      </w:r>
    </w:p>
    <w:p w:rsidR="00F919E2" w:rsidRPr="00E97254" w:rsidRDefault="00FA5606" w:rsidP="000C0250">
      <w:pPr>
        <w:spacing w:before="120" w:after="0"/>
        <w:ind w:right="76"/>
        <w:jc w:val="both"/>
        <w:rPr>
          <w:rFonts w:eastAsia="Calibri" w:cs="Calibri"/>
          <w:spacing w:val="1"/>
        </w:rPr>
      </w:pPr>
      <w:r w:rsidRPr="00FA5606">
        <w:rPr>
          <w:rFonts w:cs="Times New Roman"/>
          <w:bCs/>
          <w:iCs/>
        </w:rPr>
        <w:t>Tekstet e nxënësve</w:t>
      </w:r>
      <w:r w:rsidR="00A50A43">
        <w:rPr>
          <w:rFonts w:cs="Times New Roman"/>
          <w:bCs/>
          <w:iCs/>
        </w:rPr>
        <w:t>,</w:t>
      </w:r>
      <w:r w:rsidRPr="00FA5606">
        <w:rPr>
          <w:rFonts w:cs="Times New Roman"/>
          <w:bCs/>
          <w:iCs/>
        </w:rPr>
        <w:t xml:space="preserve"> për të gjitha klasat dhe lëndët e arsimit bazë dhe arsimit të mesëm të lartë</w:t>
      </w:r>
      <w:r w:rsidR="00A50A43">
        <w:rPr>
          <w:rFonts w:cs="Times New Roman"/>
          <w:bCs/>
          <w:iCs/>
        </w:rPr>
        <w:t>,</w:t>
      </w:r>
      <w:r w:rsidRPr="00FA5606">
        <w:rPr>
          <w:rFonts w:cs="Times New Roman"/>
          <w:bCs/>
          <w:iCs/>
        </w:rPr>
        <w:t xml:space="preserve"> janë konceptuar në përmbushje të filozofisë kurrikulare për zhvillimin e kompetencave dhe zbatimin e njohurive dhe aftësive në situata të jetës së përditshme.</w:t>
      </w:r>
      <w:r w:rsidRPr="00FA5606">
        <w:rPr>
          <w:rFonts w:eastAsia="Calibri" w:cs="Calibri"/>
          <w:spacing w:val="1"/>
        </w:rPr>
        <w:t xml:space="preserve"> </w:t>
      </w:r>
      <w:r w:rsidRPr="00FA5606">
        <w:rPr>
          <w:rFonts w:cs="Times New Roman"/>
        </w:rPr>
        <w:t xml:space="preserve">Për zbatimin e kurrikulës me kompetenca janë hartuar dhe miratuar tekste të reja shkollore për klasat 1-12. Është kufizuar numri i alternativave të teksteve shkollore (deri në tri). Me zbatimin e kurrikulës së re, mësuesit mund të përzgjedhin tekste shkollore të matematikës dhe të shkencave të natyrës nga tre botues: </w:t>
      </w:r>
      <w:r w:rsidRPr="00FA5606">
        <w:rPr>
          <w:rFonts w:eastAsia="Calibri" w:cs="Times New Roman"/>
        </w:rPr>
        <w:t>Ca</w:t>
      </w:r>
      <w:r w:rsidRPr="00FA5606">
        <w:rPr>
          <w:rFonts w:eastAsia="Calibri" w:cs="Times New Roman"/>
          <w:spacing w:val="3"/>
        </w:rPr>
        <w:t>m</w:t>
      </w:r>
      <w:r w:rsidRPr="00FA5606">
        <w:rPr>
          <w:rFonts w:eastAsia="Calibri" w:cs="Times New Roman"/>
          <w:spacing w:val="-1"/>
        </w:rPr>
        <w:t>b</w:t>
      </w:r>
      <w:r w:rsidRPr="00FA5606">
        <w:rPr>
          <w:rFonts w:eastAsia="Calibri" w:cs="Times New Roman"/>
        </w:rPr>
        <w:t>ri</w:t>
      </w:r>
      <w:r w:rsidRPr="00FA5606">
        <w:rPr>
          <w:rFonts w:eastAsia="Calibri" w:cs="Times New Roman"/>
          <w:spacing w:val="-1"/>
        </w:rPr>
        <w:t>dg</w:t>
      </w:r>
      <w:r w:rsidRPr="00FA5606">
        <w:rPr>
          <w:rFonts w:eastAsia="Calibri" w:cs="Times New Roman"/>
        </w:rPr>
        <w:t>e,</w:t>
      </w:r>
      <w:r w:rsidRPr="00FA5606">
        <w:rPr>
          <w:rFonts w:eastAsia="Calibri" w:cs="Times New Roman"/>
          <w:spacing w:val="1"/>
        </w:rPr>
        <w:t xml:space="preserve"> P</w:t>
      </w:r>
      <w:r w:rsidRPr="00FA5606">
        <w:rPr>
          <w:rFonts w:eastAsia="Calibri" w:cs="Times New Roman"/>
        </w:rPr>
        <w:t>ear</w:t>
      </w:r>
      <w:r w:rsidRPr="00FA5606">
        <w:rPr>
          <w:rFonts w:eastAsia="Calibri" w:cs="Times New Roman"/>
          <w:spacing w:val="-2"/>
        </w:rPr>
        <w:t>s</w:t>
      </w:r>
      <w:r w:rsidRPr="00FA5606">
        <w:rPr>
          <w:rFonts w:eastAsia="Calibri" w:cs="Times New Roman"/>
          <w:spacing w:val="1"/>
        </w:rPr>
        <w:t>o</w:t>
      </w:r>
      <w:r w:rsidRPr="00FA5606">
        <w:rPr>
          <w:rFonts w:eastAsia="Calibri" w:cs="Times New Roman"/>
          <w:spacing w:val="-1"/>
        </w:rPr>
        <w:t>n dh</w:t>
      </w:r>
      <w:r w:rsidRPr="00FA5606">
        <w:rPr>
          <w:rFonts w:eastAsia="Calibri" w:cs="Times New Roman"/>
        </w:rPr>
        <w:t>e Oxf</w:t>
      </w:r>
      <w:r w:rsidRPr="00FA5606">
        <w:rPr>
          <w:rFonts w:eastAsia="Calibri" w:cs="Times New Roman"/>
          <w:spacing w:val="1"/>
        </w:rPr>
        <w:t>o</w:t>
      </w:r>
      <w:r w:rsidRPr="00FA5606">
        <w:rPr>
          <w:rFonts w:eastAsia="Calibri" w:cs="Times New Roman"/>
        </w:rPr>
        <w:t>r</w:t>
      </w:r>
      <w:r w:rsidRPr="00FA5606">
        <w:rPr>
          <w:rFonts w:eastAsia="Calibri" w:cs="Times New Roman"/>
          <w:spacing w:val="-1"/>
        </w:rPr>
        <w:t xml:space="preserve">d. </w:t>
      </w:r>
    </w:p>
    <w:p w:rsidR="00F919E2" w:rsidRPr="00E97254" w:rsidRDefault="00FA5606" w:rsidP="000C0250">
      <w:pPr>
        <w:spacing w:after="0"/>
        <w:ind w:right="76"/>
        <w:jc w:val="both"/>
        <w:rPr>
          <w:rFonts w:eastAsia="Calibri" w:cs="Calibri"/>
          <w:spacing w:val="1"/>
        </w:rPr>
      </w:pPr>
      <w:r w:rsidRPr="00FA5606">
        <w:rPr>
          <w:rFonts w:cs="Times New Roman"/>
        </w:rPr>
        <w:t>Zbatimi i kurrikulës së reformuar filloi në vitin shkollor 2014-2015 me procesin e pilotimit në klasat 1 dhe 6. Ky proces, përveçse i shërbeu testimit të draft-programeve të këtyre klasave, rriti edhe pjesëmarrjen e mësuesve, deri në partneritet, në procesin e përmirësimit të tyre. Në të njëjtën kohë, pjesëmarrja në pilotim u dha mësuesve mundësinë që të nd</w:t>
      </w:r>
      <w:r w:rsidR="00A50A43">
        <w:rPr>
          <w:rFonts w:cs="Times New Roman"/>
        </w:rPr>
        <w:t>i</w:t>
      </w:r>
      <w:r w:rsidRPr="00FA5606">
        <w:rPr>
          <w:rFonts w:cs="Times New Roman"/>
        </w:rPr>
        <w:t xml:space="preserve">hen bashkautorë të programeve mësimore dhe të trajnohen </w:t>
      </w:r>
      <w:r w:rsidRPr="00FA5606">
        <w:rPr>
          <w:rFonts w:cs="Times New Roman"/>
        </w:rPr>
        <w:lastRenderedPageBreak/>
        <w:t>për zbatimin më të mirë të tyre në praktikë. Në vitin shkollor 2019-2020 zbatimi i kurrikulës me kompetenca përfshiu të gjitha klasat e arsimit bazë dhe arsimit të mesëm të lartë.</w:t>
      </w:r>
    </w:p>
    <w:p w:rsidR="00467141" w:rsidRPr="00E97254" w:rsidRDefault="00FA5606" w:rsidP="000C0250">
      <w:pPr>
        <w:spacing w:after="0"/>
        <w:ind w:right="76"/>
        <w:jc w:val="both"/>
        <w:rPr>
          <w:rFonts w:eastAsia="Calibri" w:cs="Calibri"/>
          <w:spacing w:val="1"/>
        </w:rPr>
      </w:pPr>
      <w:r w:rsidRPr="00FA5606">
        <w:rPr>
          <w:rFonts w:cs="Times New Roman"/>
        </w:rPr>
        <w:t xml:space="preserve">Procesi i zbatimit të kurrikulës është shoqëruar me fuqizimin e kapaciteteve të mësuesve dhe drejtuesve të shkollave për zbatimin me efikasitet të kurrikulës së reformuar. Në funksion të këtij qëllimi i është dhënë një fokus i veçantë trajnimit të mësuesve, fuqizimit dhe nxitjes së punës së rrjeteve profesionale të mësuesve, si një mekanizëm që mbështet zhvillimin profesional të mësuesve dhe përmirëson cilësinë e kurrikulës së zbatuar në shkollë.  </w:t>
      </w:r>
    </w:p>
    <w:p w:rsidR="00E257B3" w:rsidRPr="00E97254" w:rsidRDefault="00FA5606" w:rsidP="000C0250">
      <w:pPr>
        <w:jc w:val="both"/>
        <w:rPr>
          <w:rFonts w:cs="Times New Roman"/>
        </w:rPr>
      </w:pPr>
      <w:r w:rsidRPr="00FA5606">
        <w:rPr>
          <w:rFonts w:cs="Times New Roman"/>
        </w:rPr>
        <w:t>Procesi i zbatimit të kurrikulës është shoqëruar me monitorimin dhe mbështetjen e vazhdueshme të mësuesve dhe të shkollave nga ASCAP</w:t>
      </w:r>
      <w:r w:rsidR="00A50A43">
        <w:rPr>
          <w:rFonts w:cs="Times New Roman"/>
        </w:rPr>
        <w:t>-i</w:t>
      </w:r>
      <w:r w:rsidRPr="00FA5606">
        <w:rPr>
          <w:rFonts w:cs="Times New Roman"/>
        </w:rPr>
        <w:t>. Për këtë qëllim</w:t>
      </w:r>
      <w:r w:rsidR="00A50A43">
        <w:rPr>
          <w:rFonts w:cs="Times New Roman"/>
        </w:rPr>
        <w:t>,</w:t>
      </w:r>
      <w:r w:rsidRPr="00FA5606">
        <w:rPr>
          <w:rFonts w:cs="Times New Roman"/>
        </w:rPr>
        <w:t xml:space="preserve"> gjatë periudhës së pilotimit dhe në vazhdim, nga specialistët e ASCAP-it janë zhvilluar takime të vazhdueshme me mësues, drejtues dhe specialistë të drejtorive arsimore, në lidhje me vlerësimin e ecurisë së zbatimit të kurrikulës, identifikimit të problematikave, mbështetjes së mësuesve dhe drejtuesve, si dhe evidentimit dhe shkëmbimit të përvojave pozitive.  Vlerësimi i brendshëm dhe i jashtëm i kurrikulës, si dhe i faktorëve që ndikojnë në të, është konsideruar një proces tepër i rëndësishëm për të monitoruar dhe vlerësuar në mënyrë të vazhdueshme cilësinë e hartimit dhe zbatimit të kurrikulës. Me iniciativën e MASR-së dhe të ASCAP-it (ish IZHA),  gjatë periudhës 2015-2017, seksioni i politikës arsimore të Organizatës së Kombeve të Bashkuara për arsimin, kulturën dhe shkencën, UNESCO, zhvilloi  një  vlerësim dhe analizë  të  detajuar të politikës  arsimore </w:t>
      </w:r>
      <w:sdt>
        <w:sdtPr>
          <w:rPr>
            <w:rFonts w:cs="Times New Roman"/>
          </w:rPr>
          <w:id w:val="1457529654"/>
          <w:citation/>
        </w:sdtPr>
        <w:sdtEndPr/>
        <w:sdtContent>
          <w:r w:rsidR="00EC56B7" w:rsidRPr="00E97254">
            <w:rPr>
              <w:rFonts w:cs="Times New Roman"/>
            </w:rPr>
            <w:fldChar w:fldCharType="begin"/>
          </w:r>
          <w:r w:rsidRPr="00FA5606">
            <w:rPr>
              <w:rFonts w:cs="Times New Roman"/>
            </w:rPr>
            <w:instrText xml:space="preserve"> CITATION UNE17 \l 1033 </w:instrText>
          </w:r>
          <w:r w:rsidR="00EC56B7" w:rsidRPr="00E97254">
            <w:rPr>
              <w:rFonts w:cs="Times New Roman"/>
            </w:rPr>
            <w:fldChar w:fldCharType="separate"/>
          </w:r>
          <w:r w:rsidR="00724BCC" w:rsidRPr="00E97254">
            <w:rPr>
              <w:rFonts w:cs="Times New Roman"/>
            </w:rPr>
            <w:t>[58]</w:t>
          </w:r>
          <w:r w:rsidR="00EC56B7" w:rsidRPr="00E97254">
            <w:rPr>
              <w:rFonts w:cs="Times New Roman"/>
            </w:rPr>
            <w:fldChar w:fldCharType="end"/>
          </w:r>
        </w:sdtContent>
      </w:sdt>
      <w:r w:rsidR="00F07E9B" w:rsidRPr="00E97254">
        <w:rPr>
          <w:rFonts w:cs="Times New Roman"/>
        </w:rPr>
        <w:t xml:space="preserve"> në tri fusha kryesore strategjike të procesit të reformës: (1) Zhvillimi dhe reformimi i kurrikulës; (2)  Teknologjia  e  Informacionit  dhe e  Komunikimit  në  arsim  dhe  (3)  Politikat  për  mësuesit dhe drejtuesit e shkollave.  Përgjatë vitit 2019, </w:t>
      </w:r>
      <w:r w:rsidR="00A50A43">
        <w:rPr>
          <w:rFonts w:cs="Times New Roman"/>
        </w:rPr>
        <w:t>nëpërmjet</w:t>
      </w:r>
      <w:r w:rsidR="00F07E9B" w:rsidRPr="00E97254">
        <w:rPr>
          <w:rFonts w:cs="Times New Roman"/>
        </w:rPr>
        <w:t xml:space="preserve"> mbështetjes së UNICEF-it, në kuadër të vlerësimit nga ekspertë dhe konsulentë ndërkombëtarë të Strategjisë së Arsimit Parauniversitar 2014-2020, në kuadër të vlerësimit të komponentëve të tjerë të kësaj strategjie, u realizua dhe vlerësimi i komponentëve që kanë të bëjnë më zhvillimin e kurrikulës </w:t>
      </w:r>
      <w:sdt>
        <w:sdtPr>
          <w:rPr>
            <w:rFonts w:cs="Times New Roman"/>
          </w:rPr>
          <w:id w:val="2007782706"/>
          <w:citation/>
        </w:sdtPr>
        <w:sdtEndPr/>
        <w:sdtContent>
          <w:r w:rsidR="00EC56B7" w:rsidRPr="00E97254">
            <w:rPr>
              <w:rFonts w:cs="Times New Roman"/>
            </w:rPr>
            <w:fldChar w:fldCharType="begin"/>
          </w:r>
          <w:r w:rsidRPr="00FA5606">
            <w:rPr>
              <w:rFonts w:cs="Times New Roman"/>
            </w:rPr>
            <w:instrText xml:space="preserve"> CITATION Wor19 \l 1033 </w:instrText>
          </w:r>
          <w:r w:rsidR="00EC56B7" w:rsidRPr="00E97254">
            <w:rPr>
              <w:rFonts w:cs="Times New Roman"/>
            </w:rPr>
            <w:fldChar w:fldCharType="separate"/>
          </w:r>
          <w:r w:rsidR="00724BCC" w:rsidRPr="00E97254">
            <w:rPr>
              <w:rFonts w:cs="Times New Roman"/>
            </w:rPr>
            <w:t>[37]</w:t>
          </w:r>
          <w:r w:rsidR="00EC56B7" w:rsidRPr="00E97254">
            <w:rPr>
              <w:rFonts w:cs="Times New Roman"/>
            </w:rPr>
            <w:fldChar w:fldCharType="end"/>
          </w:r>
        </w:sdtContent>
      </w:sdt>
      <w:r w:rsidR="00F07E9B" w:rsidRPr="00E97254">
        <w:rPr>
          <w:rFonts w:cs="Times New Roman"/>
        </w:rPr>
        <w:t>.</w:t>
      </w:r>
      <w:r w:rsidR="00E257B3" w:rsidRPr="00E97254">
        <w:rPr>
          <w:rFonts w:cs="Times New Roman"/>
        </w:rPr>
        <w:t xml:space="preserve"> </w:t>
      </w:r>
      <w:r w:rsidR="00467141" w:rsidRPr="00E97254">
        <w:rPr>
          <w:rFonts w:cs="Times New Roman"/>
          <w:shd w:val="clear" w:color="auto" w:fill="FFFFFF"/>
        </w:rPr>
        <w:t xml:space="preserve">Nga vlerësimet e jashtme dhe të brendshme të kurrikulës </w:t>
      </w:r>
      <w:r w:rsidR="003F1AEA">
        <w:rPr>
          <w:rFonts w:cs="Times New Roman"/>
          <w:shd w:val="clear" w:color="auto" w:fill="FFFFFF"/>
        </w:rPr>
        <w:t>del p</w:t>
      </w:r>
      <w:r w:rsidR="003F1AEA" w:rsidRPr="00E97254">
        <w:rPr>
          <w:rFonts w:cs="Times New Roman"/>
          <w:shd w:val="clear" w:color="auto" w:fill="FFFFFF"/>
        </w:rPr>
        <w:t>ë</w:t>
      </w:r>
      <w:r w:rsidR="003F1AEA">
        <w:rPr>
          <w:rFonts w:cs="Times New Roman"/>
          <w:shd w:val="clear" w:color="auto" w:fill="FFFFFF"/>
        </w:rPr>
        <w:t>rfundimi</w:t>
      </w:r>
      <w:r w:rsidR="003F1AEA" w:rsidRPr="00E97254">
        <w:rPr>
          <w:rFonts w:cs="Times New Roman"/>
          <w:shd w:val="clear" w:color="auto" w:fill="FFFFFF"/>
        </w:rPr>
        <w:t xml:space="preserve"> </w:t>
      </w:r>
      <w:r w:rsidR="00467141" w:rsidRPr="00E97254">
        <w:rPr>
          <w:rFonts w:cs="Times New Roman"/>
          <w:shd w:val="clear" w:color="auto" w:fill="FFFFFF"/>
        </w:rPr>
        <w:t>që zbatimi i kurrikulës me bazë kompetencat është një proces që ka shënuar arritje të rëndësishme në lidhje me filozofinë dhe praktikat e të nxënit dhe mësimdhënies, rolin e nxënësve, të mësuesve dhe drejtuesve në këtë proces, si dhe arritjet e nxënësve. Zb</w:t>
      </w:r>
      <w:r w:rsidRPr="00FA5606">
        <w:rPr>
          <w:rFonts w:cs="Times New Roman"/>
          <w:shd w:val="clear" w:color="auto" w:fill="FFFFFF"/>
        </w:rPr>
        <w:t xml:space="preserve">atimi i kurrikulës shoqërohet me sfida të cilat  </w:t>
      </w:r>
      <w:r w:rsidR="00A50A43">
        <w:rPr>
          <w:rFonts w:cs="Times New Roman"/>
          <w:shd w:val="clear" w:color="auto" w:fill="FFFFFF"/>
        </w:rPr>
        <w:t>trajtojn</w:t>
      </w:r>
      <w:r w:rsidR="00A50A43" w:rsidRPr="004E1F53">
        <w:rPr>
          <w:rFonts w:cs="Times New Roman"/>
        </w:rPr>
        <w:t>ë</w:t>
      </w:r>
      <w:r w:rsidRPr="00FA5606">
        <w:rPr>
          <w:rFonts w:cs="Times New Roman"/>
          <w:shd w:val="clear" w:color="auto" w:fill="FFFFFF"/>
        </w:rPr>
        <w:t xml:space="preserve"> mbështetjen në mënyrë të vazhduar të zhvillimit  të  mëtejshëm  profesional të mësuesve në fusha të tilla, si: vlerësimi i nxënësit, plotësimi i nevojave të  nxënësve  me  nevoja  të  veçanta,  përdorimi  i  TIK-ut  etj.   Përmirësimi i komunikimit ndërmjet aktorëve dhe rolit të drejtuesve të shkollave në zbatimin e kurrikulës me bazë kompetencat janë aspekte që kanë nevojë të përmirësohen dhe mbështeten më tej.</w:t>
      </w:r>
      <w:r w:rsidRPr="00FA5606">
        <w:rPr>
          <w:rFonts w:cs="Times New Roman"/>
        </w:rPr>
        <w:t xml:space="preserve">                                                                                                                                                                </w:t>
      </w:r>
    </w:p>
    <w:p w:rsidR="00DE12E9" w:rsidRPr="00E97254" w:rsidRDefault="004E1F53" w:rsidP="00DE12E9">
      <w:pPr>
        <w:spacing w:after="0"/>
        <w:jc w:val="both"/>
        <w:rPr>
          <w:rFonts w:cs="Times New Roman"/>
        </w:rPr>
      </w:pPr>
      <w:r>
        <w:rPr>
          <w:rFonts w:ascii="Calibri" w:eastAsia="Calibri" w:hAnsi="Calibri" w:cs="Calibri"/>
          <w:spacing w:val="-1"/>
        </w:rPr>
        <w:t>Qendra e Shërbimeve Arsimore (QSHA) është institucioni përgjegjës për kryerjen e procesit të vlerësimit të arritjeve të nxënësve në arsimin parauniversitar. Vlerësimi i jashtëm i nxënësve realizohet nëpërmjet vlerësimit të arritjeve të nxënësve në arsimin fillor, provimeve kombëtare të arsimit bazë dhe provimeve të maturës shtetërore. Në vitin shkollor 2015-2016</w:t>
      </w:r>
      <w:r w:rsidR="00A50A43">
        <w:rPr>
          <w:rFonts w:ascii="Calibri" w:eastAsia="Calibri" w:hAnsi="Calibri" w:cs="Calibri"/>
          <w:spacing w:val="-1"/>
        </w:rPr>
        <w:t>,</w:t>
      </w:r>
      <w:r>
        <w:rPr>
          <w:rFonts w:ascii="Calibri" w:eastAsia="Calibri" w:hAnsi="Calibri" w:cs="Calibri"/>
          <w:spacing w:val="-1"/>
        </w:rPr>
        <w:t xml:space="preserve"> MASR</w:t>
      </w:r>
      <w:r w:rsidR="00A50A43">
        <w:rPr>
          <w:rFonts w:ascii="Calibri" w:eastAsia="Calibri" w:hAnsi="Calibri" w:cs="Calibri"/>
          <w:spacing w:val="-1"/>
        </w:rPr>
        <w:t>-ja</w:t>
      </w:r>
      <w:r>
        <w:rPr>
          <w:rFonts w:ascii="Calibri" w:eastAsia="Calibri" w:hAnsi="Calibri" w:cs="Calibri"/>
          <w:spacing w:val="-1"/>
        </w:rPr>
        <w:t xml:space="preserve">, pas </w:t>
      </w:r>
      <w:r w:rsidR="00A50A43">
        <w:rPr>
          <w:rFonts w:ascii="Calibri" w:eastAsia="Calibri" w:hAnsi="Calibri" w:cs="Calibri"/>
          <w:spacing w:val="-1"/>
        </w:rPr>
        <w:t xml:space="preserve">konsultimeve </w:t>
      </w:r>
      <w:r>
        <w:rPr>
          <w:rFonts w:ascii="Calibri" w:eastAsia="Calibri" w:hAnsi="Calibri" w:cs="Calibri"/>
          <w:spacing w:val="-1"/>
        </w:rPr>
        <w:t>me specialistë të arsimit, vendosi të zhvillohej vlerësimi i arritjeve të nxënësve të arsimit fillor (VANAF), nëpërmjet një testi të integruar në lëndët: gjuhë shqipe, matematikë dhe dituri natyre. Përveç VANAF</w:t>
      </w:r>
      <w:r w:rsidR="00A50A43">
        <w:rPr>
          <w:rFonts w:ascii="Calibri" w:eastAsia="Calibri" w:hAnsi="Calibri" w:cs="Calibri"/>
          <w:spacing w:val="-1"/>
        </w:rPr>
        <w:t>-it</w:t>
      </w:r>
      <w:r>
        <w:rPr>
          <w:rFonts w:ascii="Calibri" w:eastAsia="Calibri" w:hAnsi="Calibri" w:cs="Calibri"/>
          <w:spacing w:val="-1"/>
        </w:rPr>
        <w:t>, QSHA</w:t>
      </w:r>
      <w:r w:rsidR="00A50A43">
        <w:rPr>
          <w:rFonts w:ascii="Calibri" w:eastAsia="Calibri" w:hAnsi="Calibri" w:cs="Calibri"/>
          <w:spacing w:val="-1"/>
        </w:rPr>
        <w:t>-ja</w:t>
      </w:r>
      <w:r>
        <w:rPr>
          <w:rFonts w:ascii="Calibri" w:eastAsia="Calibri" w:hAnsi="Calibri" w:cs="Calibri"/>
          <w:spacing w:val="-1"/>
        </w:rPr>
        <w:t xml:space="preserve"> organizon edhe </w:t>
      </w:r>
      <w:r w:rsidR="00FA5606" w:rsidRPr="00FA5606">
        <w:rPr>
          <w:rFonts w:eastAsia="Calibri" w:cstheme="minorHAnsi"/>
        </w:rPr>
        <w:t>provimin kombëtar të arsimit bazë për nxënësit e klasës së 9-të, si dhe provimet e maturës për ata që kanë përfunduar arsimin e mesëm të lartë. N</w:t>
      </w:r>
      <w:r>
        <w:rPr>
          <w:rFonts w:ascii="Calibri" w:eastAsia="Calibri" w:hAnsi="Calibri" w:cs="Calibri"/>
          <w:spacing w:val="-1"/>
        </w:rPr>
        <w:t xml:space="preserve">ë këtë mënyrë, Shqipëria, </w:t>
      </w:r>
      <w:r w:rsidR="00FA5606" w:rsidRPr="00FA5606">
        <w:t>n</w:t>
      </w:r>
      <w:r w:rsidR="00A50A43" w:rsidRPr="004E1F53">
        <w:rPr>
          <w:rFonts w:cs="Times New Roman"/>
        </w:rPr>
        <w:t>ë</w:t>
      </w:r>
      <w:r w:rsidR="00A50A43">
        <w:rPr>
          <w:rFonts w:cs="Times New Roman"/>
        </w:rPr>
        <w:t xml:space="preserve"> </w:t>
      </w:r>
      <w:r w:rsidR="00FA5606" w:rsidRPr="00FA5606">
        <w:t>përfundim</w:t>
      </w:r>
      <w:r>
        <w:rPr>
          <w:rFonts w:ascii="Calibri" w:eastAsia="Calibri" w:hAnsi="Calibri" w:cs="Calibri"/>
          <w:spacing w:val="-1"/>
        </w:rPr>
        <w:t xml:space="preserve"> të çdo niveli arsimor, ka një panoramë të vlerësimit të jashtëm të arritjeve të nxënësve. Të gjitha të dhënat, të përpunuara dhe </w:t>
      </w:r>
      <w:r>
        <w:rPr>
          <w:rFonts w:ascii="Calibri" w:eastAsia="Calibri" w:hAnsi="Calibri" w:cs="Calibri"/>
          <w:spacing w:val="-1"/>
        </w:rPr>
        <w:lastRenderedPageBreak/>
        <w:t>analizuara nga QSHA</w:t>
      </w:r>
      <w:r w:rsidR="00A50A43">
        <w:rPr>
          <w:rFonts w:ascii="Calibri" w:eastAsia="Calibri" w:hAnsi="Calibri" w:cs="Calibri"/>
          <w:spacing w:val="-1"/>
        </w:rPr>
        <w:t>-ja</w:t>
      </w:r>
      <w:r>
        <w:rPr>
          <w:rFonts w:ascii="Calibri" w:eastAsia="Calibri" w:hAnsi="Calibri" w:cs="Calibri"/>
          <w:spacing w:val="-1"/>
        </w:rPr>
        <w:t>, janë vënë në dispozicion të MASR</w:t>
      </w:r>
      <w:r w:rsidR="00A50A43">
        <w:rPr>
          <w:rFonts w:ascii="Calibri" w:eastAsia="Calibri" w:hAnsi="Calibri" w:cs="Calibri"/>
          <w:spacing w:val="-1"/>
        </w:rPr>
        <w:t>-s</w:t>
      </w:r>
      <w:r w:rsidR="00A50A43" w:rsidRPr="004E1F53">
        <w:rPr>
          <w:rFonts w:cs="Times New Roman"/>
        </w:rPr>
        <w:t>ë</w:t>
      </w:r>
      <w:r>
        <w:rPr>
          <w:rFonts w:ascii="Calibri" w:eastAsia="Calibri" w:hAnsi="Calibri" w:cs="Calibri"/>
          <w:spacing w:val="-1"/>
        </w:rPr>
        <w:t>, DPAP</w:t>
      </w:r>
      <w:r w:rsidR="00A50A43">
        <w:rPr>
          <w:rFonts w:ascii="Calibri" w:eastAsia="Calibri" w:hAnsi="Calibri" w:cs="Calibri"/>
          <w:spacing w:val="-1"/>
        </w:rPr>
        <w:t>-it</w:t>
      </w:r>
      <w:r>
        <w:rPr>
          <w:rFonts w:ascii="Calibri" w:eastAsia="Calibri" w:hAnsi="Calibri" w:cs="Calibri"/>
          <w:spacing w:val="-1"/>
        </w:rPr>
        <w:t>, ZVA</w:t>
      </w:r>
      <w:r w:rsidR="00A50A43">
        <w:rPr>
          <w:rFonts w:ascii="Calibri" w:eastAsia="Calibri" w:hAnsi="Calibri" w:cs="Calibri"/>
          <w:spacing w:val="-1"/>
        </w:rPr>
        <w:t>-s</w:t>
      </w:r>
      <w:r w:rsidR="00A50A43" w:rsidRPr="004E1F53">
        <w:rPr>
          <w:rFonts w:cs="Times New Roman"/>
        </w:rPr>
        <w:t>ë</w:t>
      </w:r>
      <w:r>
        <w:rPr>
          <w:rFonts w:ascii="Calibri" w:eastAsia="Calibri" w:hAnsi="Calibri" w:cs="Calibri"/>
          <w:spacing w:val="-1"/>
        </w:rPr>
        <w:t>, ASCAP</w:t>
      </w:r>
      <w:r w:rsidR="00A50A43">
        <w:rPr>
          <w:rFonts w:ascii="Calibri" w:eastAsia="Calibri" w:hAnsi="Calibri" w:cs="Calibri"/>
          <w:spacing w:val="-1"/>
        </w:rPr>
        <w:t>-it</w:t>
      </w:r>
      <w:r>
        <w:rPr>
          <w:rFonts w:ascii="Calibri" w:eastAsia="Calibri" w:hAnsi="Calibri" w:cs="Calibri"/>
          <w:spacing w:val="-1"/>
        </w:rPr>
        <w:t xml:space="preserve"> e deri në nivel shkollë, të cilat mund të përdoren</w:t>
      </w:r>
      <w:r w:rsidR="00A50A43">
        <w:rPr>
          <w:rFonts w:ascii="Calibri" w:eastAsia="Calibri" w:hAnsi="Calibri" w:cs="Calibri"/>
          <w:spacing w:val="-1"/>
        </w:rPr>
        <w:t>,</w:t>
      </w:r>
      <w:r>
        <w:rPr>
          <w:rFonts w:ascii="Calibri" w:eastAsia="Calibri" w:hAnsi="Calibri" w:cs="Calibri"/>
          <w:spacing w:val="-1"/>
        </w:rPr>
        <w:t xml:space="preserve"> jo vetëm për të bërë krahasime midis rajoneve, shkollave apo edhe viteve të ndryshme, por edhe për të ndërtuar politika në lidhje me nevojat për trajnim të mësuesve, cilësinë e mësimdhënies në shkollë, kurrikulat shkollore, tekstet e nxënësit etj. </w:t>
      </w:r>
    </w:p>
    <w:p w:rsidR="00C11211" w:rsidRPr="00E97254" w:rsidRDefault="004E1F53" w:rsidP="00DE12E9">
      <w:pPr>
        <w:spacing w:after="0"/>
        <w:jc w:val="both"/>
        <w:rPr>
          <w:rFonts w:cs="Times New Roman"/>
        </w:rPr>
      </w:pPr>
      <w:r>
        <w:rPr>
          <w:rFonts w:ascii="Calibri" w:eastAsia="Calibri" w:hAnsi="Calibri" w:cs="Calibri"/>
          <w:spacing w:val="-1"/>
        </w:rPr>
        <w:t>Matura Shtetërore është nga provimet kombëtare me rëndësi të lartë. Në vite, në bazë edhe të përvojës së përfituar nga stafi i QSHA</w:t>
      </w:r>
      <w:r w:rsidR="00A50A43">
        <w:rPr>
          <w:rFonts w:ascii="Calibri" w:eastAsia="Calibri" w:hAnsi="Calibri" w:cs="Calibri"/>
          <w:spacing w:val="-1"/>
        </w:rPr>
        <w:t>-s</w:t>
      </w:r>
      <w:r w:rsidR="00A50A43" w:rsidRPr="004E1F53">
        <w:rPr>
          <w:rFonts w:cs="Times New Roman"/>
        </w:rPr>
        <w:t>ë</w:t>
      </w:r>
      <w:r>
        <w:rPr>
          <w:rFonts w:ascii="Calibri" w:eastAsia="Calibri" w:hAnsi="Calibri" w:cs="Calibri"/>
          <w:spacing w:val="-1"/>
        </w:rPr>
        <w:t xml:space="preserve">, ajo ka shënuar rritje në cilësi, qoftë </w:t>
      </w:r>
      <w:r w:rsidR="00A50A43">
        <w:rPr>
          <w:rFonts w:ascii="Calibri" w:eastAsia="Calibri" w:hAnsi="Calibri" w:cs="Calibri"/>
          <w:spacing w:val="-1"/>
        </w:rPr>
        <w:t xml:space="preserve">lidhur me hartimin e </w:t>
      </w:r>
      <w:r>
        <w:rPr>
          <w:rFonts w:ascii="Calibri" w:eastAsia="Calibri" w:hAnsi="Calibri" w:cs="Calibri"/>
          <w:spacing w:val="-1"/>
        </w:rPr>
        <w:t xml:space="preserve">pyetjeve por edhe </w:t>
      </w:r>
      <w:r w:rsidR="00DD7490">
        <w:rPr>
          <w:rFonts w:ascii="Calibri" w:eastAsia="Calibri" w:hAnsi="Calibri" w:cs="Calibri"/>
          <w:spacing w:val="-1"/>
        </w:rPr>
        <w:t>p</w:t>
      </w:r>
      <w:r w:rsidR="00DD7490" w:rsidRPr="004E1F53">
        <w:rPr>
          <w:rFonts w:cs="Times New Roman"/>
        </w:rPr>
        <w:t>ë</w:t>
      </w:r>
      <w:r w:rsidR="00DD7490">
        <w:rPr>
          <w:rFonts w:cs="Times New Roman"/>
        </w:rPr>
        <w:t xml:space="preserve">r </w:t>
      </w:r>
      <w:r w:rsidR="00DD7490">
        <w:rPr>
          <w:rFonts w:ascii="Calibri" w:eastAsia="Calibri" w:hAnsi="Calibri" w:cs="Calibri"/>
          <w:spacing w:val="-1"/>
        </w:rPr>
        <w:t xml:space="preserve">raportimin e </w:t>
      </w:r>
      <w:r>
        <w:rPr>
          <w:rFonts w:ascii="Calibri" w:eastAsia="Calibri" w:hAnsi="Calibri" w:cs="Calibri"/>
          <w:spacing w:val="-1"/>
        </w:rPr>
        <w:t>rezultateve. Nisur nga përvoja e grumbulluar si dhe nga ndryshimet në kurrikul, në vitin 2019, ajo pësoi disa ndryshime të rëndësishme, në strukturë dhe në përmbajtje. Ndryshimi i parë ishte reduktimi i numrit të lëndëve me zgjedhje. Nga dy provime, u kalua në një të tillë, ku u rrit numri i pikëve dhe në test u përfshin</w:t>
      </w:r>
      <w:r w:rsidR="00DD7490" w:rsidRPr="004E1F53">
        <w:rPr>
          <w:rFonts w:cs="Times New Roman"/>
        </w:rPr>
        <w:t>ë</w:t>
      </w:r>
      <w:r>
        <w:rPr>
          <w:rFonts w:ascii="Calibri" w:eastAsia="Calibri" w:hAnsi="Calibri" w:cs="Calibri"/>
          <w:spacing w:val="-1"/>
        </w:rPr>
        <w:t xml:space="preserve"> dy lëndë: bërthamë dhe me zgjedhje. Ky ndryshim solli një vlerësim më të gjerë dhe më të thellë të aftësive të nxënësve në fushën përkatëse. Ndryshimet në përmbajtje u ndikuan nga ndryshimet në kurrikul, </w:t>
      </w:r>
      <w:r w:rsidR="00DD7490">
        <w:rPr>
          <w:rFonts w:ascii="Calibri" w:eastAsia="Calibri" w:hAnsi="Calibri" w:cs="Calibri"/>
          <w:spacing w:val="-1"/>
        </w:rPr>
        <w:t>e cila</w:t>
      </w:r>
      <w:r>
        <w:rPr>
          <w:rFonts w:ascii="Calibri" w:eastAsia="Calibri" w:hAnsi="Calibri" w:cs="Calibri"/>
          <w:spacing w:val="-1"/>
        </w:rPr>
        <w:t xml:space="preserve"> tashmë bazohet në të nxënit me kompetenca. Në këtë mënyrë, të gjitha testet u ndërtuan mbi këtë filozofi (). Gjithashtu, u kalua nga sistemi me 50 pikë në atë më 60 pikë, brenda të njëjtës kohë të zhvillimit të provimit. Rritja e pikëve solli rritjen e dy elementeve bazë në testim: vlefshmërinë dhe besueshmërinë. Tashmë, kemi një matje më të thelluar të aftësive që pritet të zotërojnë </w:t>
      </w:r>
      <w:r w:rsidR="00DD7490">
        <w:rPr>
          <w:rFonts w:ascii="Calibri" w:eastAsia="Calibri" w:hAnsi="Calibri" w:cs="Calibri"/>
          <w:spacing w:val="-1"/>
        </w:rPr>
        <w:t xml:space="preserve">nxënësit </w:t>
      </w:r>
      <w:r>
        <w:rPr>
          <w:rFonts w:ascii="Calibri" w:eastAsia="Calibri" w:hAnsi="Calibri" w:cs="Calibri"/>
          <w:spacing w:val="-1"/>
        </w:rPr>
        <w:t xml:space="preserve">në përfundim të arsimit të mesëm. Kështu, testet e Maturës Shtetërore afrohen shumë me metodologjitë e ndërtimit të testeve bashkëkohore. </w:t>
      </w:r>
    </w:p>
    <w:p w:rsidR="00C11211" w:rsidRPr="00E97254" w:rsidRDefault="004E1F53" w:rsidP="000C0250">
      <w:pPr>
        <w:spacing w:after="0"/>
        <w:jc w:val="both"/>
        <w:rPr>
          <w:rFonts w:ascii="Calibri" w:eastAsia="Calibri" w:hAnsi="Calibri" w:cs="Calibri"/>
          <w:spacing w:val="-1"/>
        </w:rPr>
      </w:pPr>
      <w:r>
        <w:rPr>
          <w:rFonts w:ascii="Calibri" w:eastAsia="Calibri" w:hAnsi="Calibri" w:cs="Calibri"/>
          <w:spacing w:val="-1"/>
        </w:rPr>
        <w:t>Rritja e pragut të kalimit është një ndryshim tjetër i MSH 2019. Përqindja e kalimit nga 20% për maturat pararendëse, u rrit në 25%, duke shtuar një numër aftësish bazë, të cilat duhet të zotërohen nga ana e nxënësve për t’u quajtur kalues</w:t>
      </w:r>
      <w:r w:rsidR="00DD7490">
        <w:rPr>
          <w:rFonts w:ascii="Calibri" w:eastAsia="Calibri" w:hAnsi="Calibri" w:cs="Calibri"/>
          <w:spacing w:val="-1"/>
        </w:rPr>
        <w:t>,</w:t>
      </w:r>
      <w:r>
        <w:rPr>
          <w:rFonts w:ascii="Calibri" w:eastAsia="Calibri" w:hAnsi="Calibri" w:cs="Calibri"/>
          <w:spacing w:val="-1"/>
        </w:rPr>
        <w:t xml:space="preserve"> </w:t>
      </w:r>
      <w:r w:rsidR="00DD7490">
        <w:rPr>
          <w:rFonts w:ascii="Calibri" w:eastAsia="Calibri" w:hAnsi="Calibri" w:cs="Calibri"/>
          <w:spacing w:val="-1"/>
        </w:rPr>
        <w:t xml:space="preserve">duke </w:t>
      </w:r>
      <w:r>
        <w:rPr>
          <w:rFonts w:ascii="Calibri" w:eastAsia="Calibri" w:hAnsi="Calibri" w:cs="Calibri"/>
          <w:spacing w:val="-1"/>
        </w:rPr>
        <w:t>vendosur kështu një standard të ri kalueshmërie. Për herë të parë në MSH u aplikua korrigjimi elektronik i pyetjeve me alternativa.</w:t>
      </w:r>
    </w:p>
    <w:p w:rsidR="00C11211" w:rsidRPr="00E97254" w:rsidRDefault="004E1F53" w:rsidP="000C0250">
      <w:pPr>
        <w:spacing w:after="0"/>
        <w:jc w:val="both"/>
        <w:rPr>
          <w:rFonts w:ascii="Calibri" w:eastAsia="Calibri" w:hAnsi="Calibri" w:cs="Calibri"/>
          <w:spacing w:val="-1"/>
        </w:rPr>
      </w:pPr>
      <w:r>
        <w:rPr>
          <w:rFonts w:ascii="Calibri" w:eastAsia="Calibri" w:hAnsi="Calibri" w:cs="Calibri"/>
          <w:spacing w:val="-1"/>
        </w:rPr>
        <w:t xml:space="preserve">Qendra e Shërbimeve Arsimore ofron një metodë drejt një cilësie më të lartë, </w:t>
      </w:r>
      <w:r w:rsidR="00DD7490">
        <w:rPr>
          <w:rFonts w:ascii="Calibri" w:eastAsia="Calibri" w:hAnsi="Calibri" w:cs="Calibri"/>
          <w:spacing w:val="-1"/>
        </w:rPr>
        <w:t xml:space="preserve">e </w:t>
      </w:r>
      <w:r>
        <w:rPr>
          <w:rFonts w:ascii="Calibri" w:eastAsia="Calibri" w:hAnsi="Calibri" w:cs="Calibri"/>
          <w:spacing w:val="-1"/>
        </w:rPr>
        <w:t xml:space="preserve">një lidhjeje më të mirë midis të nxënit dhe vlerësimit, duke nxitur përmirësimin e procesit të të nxënit në klasë. Ajo që është më e </w:t>
      </w:r>
      <w:r w:rsidR="00DD7490">
        <w:rPr>
          <w:rFonts w:ascii="Calibri" w:eastAsia="Calibri" w:hAnsi="Calibri" w:cs="Calibri"/>
          <w:spacing w:val="-1"/>
        </w:rPr>
        <w:t xml:space="preserve">rëndësishme </w:t>
      </w:r>
      <w:r>
        <w:rPr>
          <w:rFonts w:ascii="Calibri" w:eastAsia="Calibri" w:hAnsi="Calibri" w:cs="Calibri"/>
          <w:spacing w:val="-1"/>
        </w:rPr>
        <w:t xml:space="preserve">në vlerësimin e testeve në Maturën Shtetërore nuk </w:t>
      </w:r>
      <w:r w:rsidR="00DD7490">
        <w:rPr>
          <w:rFonts w:ascii="Calibri" w:eastAsia="Calibri" w:hAnsi="Calibri" w:cs="Calibri"/>
          <w:spacing w:val="-1"/>
        </w:rPr>
        <w:t>ka t</w:t>
      </w:r>
      <w:r w:rsidR="00DD7490" w:rsidRPr="004E1F53">
        <w:rPr>
          <w:rFonts w:cs="Times New Roman"/>
        </w:rPr>
        <w:t>ë</w:t>
      </w:r>
      <w:r w:rsidR="00DD7490">
        <w:rPr>
          <w:rFonts w:cs="Times New Roman"/>
        </w:rPr>
        <w:t xml:space="preserve"> b</w:t>
      </w:r>
      <w:r w:rsidR="00DD7490" w:rsidRPr="004E1F53">
        <w:rPr>
          <w:rFonts w:cs="Times New Roman"/>
        </w:rPr>
        <w:t>ë</w:t>
      </w:r>
      <w:r w:rsidR="00DD7490">
        <w:rPr>
          <w:rFonts w:cs="Times New Roman"/>
        </w:rPr>
        <w:t>j</w:t>
      </w:r>
      <w:r w:rsidR="00DD7490" w:rsidRPr="004E1F53">
        <w:rPr>
          <w:rFonts w:cs="Times New Roman"/>
        </w:rPr>
        <w:t>ë</w:t>
      </w:r>
      <w:r w:rsidR="00DD7490">
        <w:rPr>
          <w:rFonts w:ascii="Calibri" w:eastAsia="Calibri" w:hAnsi="Calibri" w:cs="Calibri"/>
          <w:spacing w:val="-1"/>
        </w:rPr>
        <w:t xml:space="preserve"> me </w:t>
      </w:r>
      <w:r>
        <w:rPr>
          <w:rFonts w:ascii="Calibri" w:eastAsia="Calibri" w:hAnsi="Calibri" w:cs="Calibri"/>
          <w:spacing w:val="-1"/>
        </w:rPr>
        <w:t xml:space="preserve">matjen e aftësive të nxënësve për të riprodhuar njohuri, por pikërisht </w:t>
      </w:r>
      <w:r w:rsidR="00DD7490">
        <w:rPr>
          <w:rFonts w:ascii="Calibri" w:eastAsia="Calibri" w:hAnsi="Calibri" w:cs="Calibri"/>
          <w:spacing w:val="-1"/>
        </w:rPr>
        <w:t xml:space="preserve">me </w:t>
      </w:r>
      <w:r>
        <w:rPr>
          <w:rFonts w:ascii="Calibri" w:eastAsia="Calibri" w:hAnsi="Calibri" w:cs="Calibri"/>
          <w:spacing w:val="-1"/>
        </w:rPr>
        <w:t>vlerësimi</w:t>
      </w:r>
      <w:r w:rsidR="00DD7490">
        <w:rPr>
          <w:rFonts w:ascii="Calibri" w:eastAsia="Calibri" w:hAnsi="Calibri" w:cs="Calibri"/>
          <w:spacing w:val="-1"/>
        </w:rPr>
        <w:t>n</w:t>
      </w:r>
      <w:r>
        <w:rPr>
          <w:rFonts w:ascii="Calibri" w:eastAsia="Calibri" w:hAnsi="Calibri" w:cs="Calibri"/>
          <w:spacing w:val="-1"/>
        </w:rPr>
        <w:t xml:space="preserve"> </w:t>
      </w:r>
      <w:r w:rsidR="00DD7490">
        <w:rPr>
          <w:rFonts w:ascii="Calibri" w:eastAsia="Calibri" w:hAnsi="Calibri" w:cs="Calibri"/>
          <w:spacing w:val="-1"/>
        </w:rPr>
        <w:t xml:space="preserve">e </w:t>
      </w:r>
      <w:r>
        <w:rPr>
          <w:rFonts w:ascii="Calibri" w:eastAsia="Calibri" w:hAnsi="Calibri" w:cs="Calibri"/>
          <w:spacing w:val="-1"/>
        </w:rPr>
        <w:t>kompetencave të nxënësve për të zbatuar njohuritë dhe aftësitë që zotërojnë tashmë</w:t>
      </w:r>
      <w:r w:rsidR="00DD7490">
        <w:rPr>
          <w:rFonts w:ascii="Calibri" w:eastAsia="Calibri" w:hAnsi="Calibri" w:cs="Calibri"/>
          <w:spacing w:val="-1"/>
        </w:rPr>
        <w:t>,</w:t>
      </w:r>
      <w:r>
        <w:rPr>
          <w:rFonts w:ascii="Calibri" w:eastAsia="Calibri" w:hAnsi="Calibri" w:cs="Calibri"/>
          <w:spacing w:val="-1"/>
        </w:rPr>
        <w:t xml:space="preserve"> në situata të panjohura. Ky model është në koherencë të plotë edhe me metodologjitë e vlerësimit të përdorura sot në vendet më të zhvilluara, ku individi vlerësohet jo për atë që di, po</w:t>
      </w:r>
      <w:r w:rsidR="00DD7490">
        <w:rPr>
          <w:rFonts w:ascii="Calibri" w:eastAsia="Calibri" w:hAnsi="Calibri" w:cs="Calibri"/>
          <w:spacing w:val="-1"/>
        </w:rPr>
        <w:t>r p</w:t>
      </w:r>
      <w:r w:rsidR="00DD7490" w:rsidRPr="004E1F53">
        <w:rPr>
          <w:rFonts w:cs="Times New Roman"/>
        </w:rPr>
        <w:t>ë</w:t>
      </w:r>
      <w:r w:rsidR="00DD7490">
        <w:rPr>
          <w:rFonts w:cs="Times New Roman"/>
        </w:rPr>
        <w:t>r at</w:t>
      </w:r>
      <w:r w:rsidR="00DD7490" w:rsidRPr="004E1F53">
        <w:rPr>
          <w:rFonts w:cs="Times New Roman"/>
        </w:rPr>
        <w:t>ë</w:t>
      </w:r>
      <w:r w:rsidR="00DD7490">
        <w:rPr>
          <w:rFonts w:cs="Times New Roman"/>
        </w:rPr>
        <w:t xml:space="preserve"> q</w:t>
      </w:r>
      <w:r w:rsidR="00DD7490" w:rsidRPr="004E1F53">
        <w:rPr>
          <w:rFonts w:cs="Times New Roman"/>
        </w:rPr>
        <w:t>ë</w:t>
      </w:r>
      <w:r w:rsidR="00DD7490">
        <w:rPr>
          <w:rFonts w:cs="Times New Roman"/>
        </w:rPr>
        <w:t xml:space="preserve"> </w:t>
      </w:r>
      <w:r>
        <w:rPr>
          <w:rFonts w:ascii="Calibri" w:eastAsia="Calibri" w:hAnsi="Calibri" w:cs="Calibri"/>
          <w:spacing w:val="-1"/>
        </w:rPr>
        <w:t xml:space="preserve">është në gjendje të bëjë me atë që di. </w:t>
      </w:r>
    </w:p>
    <w:p w:rsidR="001B2837" w:rsidRPr="00E97254" w:rsidRDefault="00FA5606" w:rsidP="000C0250">
      <w:pPr>
        <w:spacing w:after="0"/>
        <w:ind w:right="76"/>
        <w:jc w:val="both"/>
        <w:rPr>
          <w:rFonts w:ascii="Calibri" w:hAnsi="Calibri" w:cs="Calibri"/>
        </w:rPr>
      </w:pPr>
      <w:r w:rsidRPr="00FA5606">
        <w:rPr>
          <w:rFonts w:eastAsia="Calibri" w:cstheme="minorHAnsi"/>
        </w:rPr>
        <w:t>Shqipëria ka marrë pjesë pesë herë në Programin për Vlerësimin Ndërkombëtar të Nxënësve (PISA) –</w:t>
      </w:r>
      <w:r w:rsidR="004E1F53">
        <w:rPr>
          <w:rFonts w:ascii="Calibri" w:eastAsia="Calibri" w:hAnsi="Calibri" w:cs="Calibri"/>
          <w:spacing w:val="1"/>
        </w:rPr>
        <w:t>2</w:t>
      </w:r>
      <w:r w:rsidR="004E1F53">
        <w:rPr>
          <w:rFonts w:ascii="Calibri" w:eastAsia="Calibri" w:hAnsi="Calibri" w:cs="Calibri"/>
          <w:spacing w:val="-2"/>
        </w:rPr>
        <w:t>0</w:t>
      </w:r>
      <w:r w:rsidR="004E1F53">
        <w:rPr>
          <w:rFonts w:ascii="Calibri" w:eastAsia="Calibri" w:hAnsi="Calibri" w:cs="Calibri"/>
          <w:spacing w:val="1"/>
        </w:rPr>
        <w:t>00</w:t>
      </w:r>
      <w:r w:rsidR="004E1F53">
        <w:rPr>
          <w:rFonts w:ascii="Calibri" w:eastAsia="Calibri" w:hAnsi="Calibri" w:cs="Calibri"/>
        </w:rPr>
        <w:t xml:space="preserve">, </w:t>
      </w:r>
      <w:r w:rsidR="004E1F53">
        <w:rPr>
          <w:rFonts w:ascii="Calibri" w:eastAsia="Calibri" w:hAnsi="Calibri" w:cs="Calibri"/>
          <w:spacing w:val="-1"/>
        </w:rPr>
        <w:t>2</w:t>
      </w:r>
      <w:r w:rsidR="004E1F53">
        <w:rPr>
          <w:rFonts w:ascii="Calibri" w:eastAsia="Calibri" w:hAnsi="Calibri" w:cs="Calibri"/>
          <w:spacing w:val="1"/>
        </w:rPr>
        <w:t>0</w:t>
      </w:r>
      <w:r w:rsidR="004E1F53">
        <w:rPr>
          <w:rFonts w:ascii="Calibri" w:eastAsia="Calibri" w:hAnsi="Calibri" w:cs="Calibri"/>
          <w:spacing w:val="-2"/>
        </w:rPr>
        <w:t>0</w:t>
      </w:r>
      <w:r w:rsidR="004E1F53">
        <w:rPr>
          <w:rFonts w:ascii="Calibri" w:eastAsia="Calibri" w:hAnsi="Calibri" w:cs="Calibri"/>
          <w:spacing w:val="1"/>
        </w:rPr>
        <w:t>9</w:t>
      </w:r>
      <w:r w:rsidR="004E1F53">
        <w:rPr>
          <w:rFonts w:ascii="Calibri" w:eastAsia="Calibri" w:hAnsi="Calibri" w:cs="Calibri"/>
        </w:rPr>
        <w:t xml:space="preserve">, </w:t>
      </w:r>
      <w:r w:rsidR="004E1F53">
        <w:rPr>
          <w:rFonts w:ascii="Calibri" w:eastAsia="Calibri" w:hAnsi="Calibri" w:cs="Calibri"/>
          <w:spacing w:val="-1"/>
        </w:rPr>
        <w:t>2</w:t>
      </w:r>
      <w:r w:rsidR="004E1F53">
        <w:rPr>
          <w:rFonts w:ascii="Calibri" w:eastAsia="Calibri" w:hAnsi="Calibri" w:cs="Calibri"/>
          <w:spacing w:val="-2"/>
        </w:rPr>
        <w:t>0</w:t>
      </w:r>
      <w:r w:rsidR="004E1F53">
        <w:rPr>
          <w:rFonts w:ascii="Calibri" w:eastAsia="Calibri" w:hAnsi="Calibri" w:cs="Calibri"/>
          <w:spacing w:val="1"/>
        </w:rPr>
        <w:t>12</w:t>
      </w:r>
      <w:r w:rsidR="004E1F53">
        <w:rPr>
          <w:rFonts w:ascii="Calibri" w:eastAsia="Calibri" w:hAnsi="Calibri" w:cs="Calibri"/>
        </w:rPr>
        <w:t xml:space="preserve">, </w:t>
      </w:r>
      <w:r w:rsidRPr="00FA5606">
        <w:rPr>
          <w:rFonts w:eastAsia="Calibri" w:cstheme="minorHAnsi"/>
          <w:spacing w:val="-2"/>
        </w:rPr>
        <w:t>2</w:t>
      </w:r>
      <w:r w:rsidRPr="00FA5606">
        <w:rPr>
          <w:rFonts w:eastAsia="Calibri" w:cstheme="minorHAnsi"/>
          <w:spacing w:val="1"/>
        </w:rPr>
        <w:t>0</w:t>
      </w:r>
      <w:r w:rsidRPr="00FA5606">
        <w:rPr>
          <w:rFonts w:eastAsia="Calibri" w:cstheme="minorHAnsi"/>
          <w:spacing w:val="-2"/>
        </w:rPr>
        <w:t>1</w:t>
      </w:r>
      <w:r w:rsidRPr="00FA5606">
        <w:rPr>
          <w:rFonts w:eastAsia="Calibri" w:cstheme="minorHAnsi"/>
        </w:rPr>
        <w:t>5 d</w:t>
      </w:r>
      <w:r w:rsidRPr="00FA5606">
        <w:rPr>
          <w:rFonts w:eastAsia="Calibri" w:cstheme="minorHAnsi"/>
          <w:spacing w:val="-1"/>
        </w:rPr>
        <w:t>h</w:t>
      </w:r>
      <w:r w:rsidRPr="00FA5606">
        <w:rPr>
          <w:rFonts w:eastAsia="Calibri" w:cstheme="minorHAnsi"/>
        </w:rPr>
        <w:t xml:space="preserve">e </w:t>
      </w:r>
      <w:r w:rsidRPr="00FA5606">
        <w:rPr>
          <w:rFonts w:eastAsia="Calibri" w:cstheme="minorHAnsi"/>
          <w:spacing w:val="1"/>
        </w:rPr>
        <w:t>2</w:t>
      </w:r>
      <w:r w:rsidRPr="00FA5606">
        <w:rPr>
          <w:rFonts w:eastAsia="Calibri" w:cstheme="minorHAnsi"/>
          <w:spacing w:val="-2"/>
        </w:rPr>
        <w:t>0</w:t>
      </w:r>
      <w:r w:rsidRPr="00FA5606">
        <w:rPr>
          <w:rFonts w:eastAsia="Calibri" w:cstheme="minorHAnsi"/>
          <w:spacing w:val="1"/>
        </w:rPr>
        <w:t>18</w:t>
      </w:r>
      <w:r w:rsidRPr="00FA5606">
        <w:rPr>
          <w:rFonts w:eastAsia="Calibri" w:cstheme="minorHAnsi"/>
        </w:rPr>
        <w:t xml:space="preserve">. Gjatë kësaj periudhe, nxënësit shqiptarë kanë treguar përmirësim të vazhdueshëm në të gjitha fushat, gjë që ka ndikuar në zvogëlimin e hendekut me nxënësit nga vendet e OECD. </w:t>
      </w:r>
      <w:r w:rsidRPr="00FA5606">
        <w:rPr>
          <w:rFonts w:eastAsia="Calibri" w:cs="Calibri"/>
        </w:rPr>
        <w:t xml:space="preserve">Nga </w:t>
      </w:r>
      <w:r w:rsidR="008D102D">
        <w:fldChar w:fldCharType="begin"/>
      </w:r>
      <w:r w:rsidR="008D102D">
        <w:instrText xml:space="preserve"> REF _Ref56261113 \h  \* MERGEFORMAT </w:instrText>
      </w:r>
      <w:r w:rsidR="008D102D">
        <w:fldChar w:fldCharType="separate"/>
      </w:r>
      <w:r w:rsidR="005A6200" w:rsidRPr="00E97254">
        <w:rPr>
          <w:rFonts w:ascii="Calibri" w:hAnsi="Calibri" w:cs="Calibri"/>
        </w:rPr>
        <w:t>Tabela 9</w:t>
      </w:r>
      <w:r w:rsidR="008D102D">
        <w:fldChar w:fldCharType="end"/>
      </w:r>
      <w:r w:rsidR="009F7789" w:rsidRPr="00E97254">
        <w:rPr>
          <w:rFonts w:eastAsia="Calibri" w:cs="Calibri"/>
        </w:rPr>
        <w:t xml:space="preserve"> </w:t>
      </w:r>
      <w:r w:rsidR="00D655DC" w:rsidRPr="00E97254">
        <w:rPr>
          <w:rFonts w:eastAsia="Calibri" w:cstheme="minorHAnsi"/>
        </w:rPr>
        <w:t xml:space="preserve">vërehet se dallimi </w:t>
      </w:r>
      <w:r w:rsidR="00D17ECD">
        <w:rPr>
          <w:rFonts w:eastAsia="Calibri" w:cstheme="minorHAnsi"/>
        </w:rPr>
        <w:t>nd</w:t>
      </w:r>
      <w:r w:rsidR="00D17ECD" w:rsidRPr="000434A3">
        <w:t>ë</w:t>
      </w:r>
      <w:r w:rsidR="00D17ECD">
        <w:t>rmjet</w:t>
      </w:r>
      <w:r w:rsidR="00D655DC" w:rsidRPr="00E97254">
        <w:rPr>
          <w:rFonts w:eastAsia="Calibri" w:cstheme="minorHAnsi"/>
        </w:rPr>
        <w:t xml:space="preserve"> nxënësve shqiptarë dhe atyre nga vendet e OECD</w:t>
      </w:r>
      <w:r w:rsidR="00DD7490">
        <w:rPr>
          <w:rFonts w:eastAsia="Calibri" w:cstheme="minorHAnsi"/>
        </w:rPr>
        <w:t>-s</w:t>
      </w:r>
      <w:r w:rsidR="00DD7490" w:rsidRPr="004E1F53">
        <w:rPr>
          <w:rFonts w:cs="Times New Roman"/>
        </w:rPr>
        <w:t>ë</w:t>
      </w:r>
      <w:r w:rsidR="00D655DC" w:rsidRPr="00E97254">
        <w:rPr>
          <w:rFonts w:eastAsia="Calibri" w:cstheme="minorHAnsi"/>
        </w:rPr>
        <w:t xml:space="preserve"> në vitin 2000 ka qenë tre vjet e gjysmë shkollim në lexim</w:t>
      </w:r>
      <w:r w:rsidR="004148ED" w:rsidRPr="00E97254">
        <w:rPr>
          <w:rStyle w:val="FootnoteReference"/>
          <w:rFonts w:eastAsia="Calibri" w:cstheme="minorHAnsi"/>
        </w:rPr>
        <w:footnoteReference w:id="5"/>
      </w:r>
      <w:r w:rsidR="00D655DC" w:rsidRPr="00E97254">
        <w:rPr>
          <w:rFonts w:eastAsia="Calibri" w:cstheme="minorHAnsi"/>
        </w:rPr>
        <w:t>, ndërsa në vitin 2018 është reduktuar në një vit e gjysmë. Ngjashëm, në Matematikë</w:t>
      </w:r>
      <w:r w:rsidR="00DD7490">
        <w:rPr>
          <w:rFonts w:eastAsia="Calibri" w:cstheme="minorHAnsi"/>
        </w:rPr>
        <w:t>,</w:t>
      </w:r>
      <w:r w:rsidR="00D655DC" w:rsidRPr="00E97254">
        <w:rPr>
          <w:rFonts w:eastAsia="Calibri" w:cstheme="minorHAnsi"/>
        </w:rPr>
        <w:t xml:space="preserve"> dallimi është reduktuar nga pothuaj se 3 vjet shkollimi në vitin 2000 në një vit e një çerek shkollimi në vitin 2018; ndërsa në shkenca nga </w:t>
      </w:r>
      <w:r w:rsidR="008A1186" w:rsidRPr="00E97254">
        <w:rPr>
          <w:rFonts w:eastAsia="Calibri" w:cstheme="minorHAnsi"/>
        </w:rPr>
        <w:t>3 vjet (2000) në një vit e tre çerek (2018).</w:t>
      </w:r>
      <w:r w:rsidRPr="00FA5606">
        <w:rPr>
          <w:rFonts w:eastAsia="Calibri" w:cstheme="minorHAnsi"/>
        </w:rPr>
        <w:t xml:space="preserve"> </w:t>
      </w:r>
      <w:r w:rsidR="004E1F53">
        <w:rPr>
          <w:rFonts w:ascii="Calibri" w:eastAsia="Calibri" w:hAnsi="Calibri" w:cs="Calibri"/>
          <w:spacing w:val="1"/>
        </w:rPr>
        <w:t>M</w:t>
      </w:r>
      <w:r w:rsidR="004E1F53">
        <w:rPr>
          <w:rFonts w:ascii="Calibri" w:eastAsia="Calibri" w:hAnsi="Calibri" w:cs="Calibri"/>
        </w:rPr>
        <w:t>egjitha</w:t>
      </w:r>
      <w:r w:rsidR="004E1F53">
        <w:rPr>
          <w:rFonts w:ascii="Calibri" w:eastAsia="Calibri" w:hAnsi="Calibri" w:cs="Calibri"/>
          <w:spacing w:val="-2"/>
        </w:rPr>
        <w:t>t</w:t>
      </w:r>
      <w:r w:rsidR="004E1F53">
        <w:rPr>
          <w:rFonts w:ascii="Calibri" w:eastAsia="Calibri" w:hAnsi="Calibri" w:cs="Calibri"/>
        </w:rPr>
        <w:t>ë,</w:t>
      </w:r>
      <w:r w:rsidRPr="00FA5606">
        <w:rPr>
          <w:rFonts w:eastAsia="Calibri" w:cstheme="minorHAnsi"/>
        </w:rPr>
        <w:t xml:space="preserve"> ka </w:t>
      </w:r>
      <w:r w:rsidRPr="00FA5606">
        <w:rPr>
          <w:rFonts w:eastAsia="Calibri" w:cstheme="minorHAnsi"/>
          <w:spacing w:val="-1"/>
        </w:rPr>
        <w:t>p</w:t>
      </w:r>
      <w:r w:rsidRPr="00FA5606">
        <w:rPr>
          <w:rFonts w:eastAsia="Calibri" w:cstheme="minorHAnsi"/>
        </w:rPr>
        <w:t>a</w:t>
      </w:r>
      <w:r w:rsidRPr="00FA5606">
        <w:rPr>
          <w:rFonts w:eastAsia="Calibri" w:cstheme="minorHAnsi"/>
          <w:spacing w:val="-1"/>
        </w:rPr>
        <w:t>b</w:t>
      </w:r>
      <w:r w:rsidRPr="00FA5606">
        <w:rPr>
          <w:rFonts w:eastAsia="Calibri" w:cstheme="minorHAnsi"/>
        </w:rPr>
        <w:t>ara</w:t>
      </w:r>
      <w:r w:rsidRPr="00FA5606">
        <w:rPr>
          <w:rFonts w:eastAsia="Calibri" w:cstheme="minorHAnsi"/>
          <w:spacing w:val="-1"/>
        </w:rPr>
        <w:t>z</w:t>
      </w:r>
      <w:r w:rsidRPr="00FA5606">
        <w:rPr>
          <w:rFonts w:eastAsia="Calibri" w:cstheme="minorHAnsi"/>
        </w:rPr>
        <w:t>i s</w:t>
      </w:r>
      <w:r w:rsidRPr="00FA5606">
        <w:rPr>
          <w:rFonts w:eastAsia="Calibri" w:cstheme="minorHAnsi"/>
          <w:spacing w:val="-3"/>
        </w:rPr>
        <w:t>h</w:t>
      </w:r>
      <w:r w:rsidRPr="00FA5606">
        <w:rPr>
          <w:rFonts w:eastAsia="Calibri" w:cstheme="minorHAnsi"/>
          <w:spacing w:val="-1"/>
        </w:rPr>
        <w:t>q</w:t>
      </w:r>
      <w:r w:rsidRPr="00FA5606">
        <w:rPr>
          <w:rFonts w:eastAsia="Calibri" w:cstheme="minorHAnsi"/>
        </w:rPr>
        <w:t>e</w:t>
      </w:r>
      <w:r w:rsidRPr="00FA5606">
        <w:rPr>
          <w:rFonts w:eastAsia="Calibri" w:cstheme="minorHAnsi"/>
          <w:spacing w:val="1"/>
        </w:rPr>
        <w:t>t</w:t>
      </w:r>
      <w:r w:rsidRPr="00FA5606">
        <w:rPr>
          <w:rFonts w:eastAsia="Calibri" w:cstheme="minorHAnsi"/>
        </w:rPr>
        <w:t>ësue</w:t>
      </w:r>
      <w:r w:rsidRPr="00FA5606">
        <w:rPr>
          <w:rFonts w:eastAsia="Calibri" w:cstheme="minorHAnsi"/>
          <w:spacing w:val="-2"/>
        </w:rPr>
        <w:t>s</w:t>
      </w:r>
      <w:r w:rsidRPr="00FA5606">
        <w:rPr>
          <w:rFonts w:eastAsia="Calibri" w:cstheme="minorHAnsi"/>
        </w:rPr>
        <w:t>e li</w:t>
      </w:r>
      <w:r w:rsidRPr="00FA5606">
        <w:rPr>
          <w:rFonts w:eastAsia="Calibri" w:cstheme="minorHAnsi"/>
          <w:spacing w:val="-1"/>
        </w:rPr>
        <w:t>dhu</w:t>
      </w:r>
      <w:r w:rsidRPr="00FA5606">
        <w:rPr>
          <w:rFonts w:eastAsia="Calibri" w:cstheme="minorHAnsi"/>
        </w:rPr>
        <w:t xml:space="preserve">r </w:t>
      </w:r>
      <w:r w:rsidRPr="00FA5606">
        <w:rPr>
          <w:rFonts w:eastAsia="Calibri" w:cstheme="minorHAnsi"/>
          <w:spacing w:val="1"/>
        </w:rPr>
        <w:t>m</w:t>
      </w:r>
      <w:r w:rsidRPr="00FA5606">
        <w:rPr>
          <w:rFonts w:eastAsia="Calibri" w:cstheme="minorHAnsi"/>
        </w:rPr>
        <w:t>e ar</w:t>
      </w:r>
      <w:r w:rsidRPr="00FA5606">
        <w:rPr>
          <w:rFonts w:eastAsia="Calibri" w:cstheme="minorHAnsi"/>
          <w:spacing w:val="-1"/>
        </w:rPr>
        <w:t>r</w:t>
      </w:r>
      <w:r w:rsidRPr="00FA5606">
        <w:rPr>
          <w:rFonts w:eastAsia="Calibri" w:cstheme="minorHAnsi"/>
        </w:rPr>
        <w:t>itj</w:t>
      </w:r>
      <w:r w:rsidRPr="00FA5606">
        <w:rPr>
          <w:rFonts w:eastAsia="Calibri" w:cstheme="minorHAnsi"/>
          <w:spacing w:val="-2"/>
        </w:rPr>
        <w:t>e</w:t>
      </w:r>
      <w:r w:rsidRPr="00FA5606">
        <w:rPr>
          <w:rFonts w:eastAsia="Calibri" w:cstheme="minorHAnsi"/>
        </w:rPr>
        <w:t>t arsi</w:t>
      </w:r>
      <w:r w:rsidRPr="00FA5606">
        <w:rPr>
          <w:rFonts w:eastAsia="Calibri" w:cstheme="minorHAnsi"/>
          <w:spacing w:val="-1"/>
        </w:rPr>
        <w:t>m</w:t>
      </w:r>
      <w:r w:rsidRPr="00FA5606">
        <w:rPr>
          <w:rFonts w:eastAsia="Calibri" w:cstheme="minorHAnsi"/>
          <w:spacing w:val="1"/>
        </w:rPr>
        <w:t>o</w:t>
      </w:r>
      <w:r w:rsidRPr="00FA5606">
        <w:rPr>
          <w:rFonts w:eastAsia="Calibri" w:cstheme="minorHAnsi"/>
        </w:rPr>
        <w:t xml:space="preserve">re </w:t>
      </w:r>
      <w:r w:rsidRPr="00FA5606">
        <w:rPr>
          <w:rFonts w:eastAsia="Calibri" w:cstheme="minorHAnsi"/>
          <w:spacing w:val="-1"/>
        </w:rPr>
        <w:t>nd</w:t>
      </w:r>
      <w:r w:rsidRPr="00FA5606">
        <w:rPr>
          <w:rFonts w:eastAsia="Calibri" w:cstheme="minorHAnsi"/>
        </w:rPr>
        <w:t>ë</w:t>
      </w:r>
      <w:r w:rsidRPr="00FA5606">
        <w:rPr>
          <w:rFonts w:eastAsia="Calibri" w:cstheme="minorHAnsi"/>
          <w:spacing w:val="-2"/>
        </w:rPr>
        <w:t>r</w:t>
      </w:r>
      <w:r w:rsidRPr="00FA5606">
        <w:rPr>
          <w:rFonts w:eastAsia="Calibri" w:cstheme="minorHAnsi"/>
          <w:spacing w:val="1"/>
        </w:rPr>
        <w:t>m</w:t>
      </w:r>
      <w:r w:rsidRPr="00FA5606">
        <w:rPr>
          <w:rFonts w:eastAsia="Calibri" w:cstheme="minorHAnsi"/>
          <w:spacing w:val="-2"/>
        </w:rPr>
        <w:t>j</w:t>
      </w:r>
      <w:r w:rsidRPr="00FA5606">
        <w:rPr>
          <w:rFonts w:eastAsia="Calibri" w:cstheme="minorHAnsi"/>
        </w:rPr>
        <w:t xml:space="preserve">et </w:t>
      </w:r>
      <w:r w:rsidRPr="00FA5606">
        <w:rPr>
          <w:rFonts w:eastAsia="Calibri" w:cstheme="minorHAnsi"/>
          <w:spacing w:val="-1"/>
        </w:rPr>
        <w:t>z</w:t>
      </w:r>
      <w:r w:rsidRPr="00FA5606">
        <w:rPr>
          <w:rFonts w:eastAsia="Calibri" w:cstheme="minorHAnsi"/>
          <w:spacing w:val="1"/>
        </w:rPr>
        <w:t>o</w:t>
      </w:r>
      <w:r w:rsidRPr="00FA5606">
        <w:rPr>
          <w:rFonts w:eastAsia="Calibri" w:cstheme="minorHAnsi"/>
          <w:spacing w:val="-1"/>
        </w:rPr>
        <w:t>n</w:t>
      </w:r>
      <w:r w:rsidRPr="00FA5606">
        <w:rPr>
          <w:rFonts w:eastAsia="Calibri" w:cstheme="minorHAnsi"/>
          <w:spacing w:val="-3"/>
        </w:rPr>
        <w:t>a</w:t>
      </w:r>
      <w:r w:rsidRPr="00FA5606">
        <w:rPr>
          <w:rFonts w:eastAsia="Calibri" w:cstheme="minorHAnsi"/>
          <w:spacing w:val="-1"/>
        </w:rPr>
        <w:t>v</w:t>
      </w:r>
      <w:r w:rsidRPr="00FA5606">
        <w:rPr>
          <w:rFonts w:eastAsia="Calibri" w:cstheme="minorHAnsi"/>
        </w:rPr>
        <w:t xml:space="preserve">e </w:t>
      </w:r>
      <w:r w:rsidRPr="00FA5606">
        <w:rPr>
          <w:rFonts w:eastAsia="Calibri" w:cstheme="minorHAnsi"/>
          <w:spacing w:val="-1"/>
        </w:rPr>
        <w:t>u</w:t>
      </w:r>
      <w:r w:rsidRPr="00FA5606">
        <w:rPr>
          <w:rFonts w:eastAsia="Calibri" w:cstheme="minorHAnsi"/>
        </w:rPr>
        <w:t>r</w:t>
      </w:r>
      <w:r w:rsidRPr="00FA5606">
        <w:rPr>
          <w:rFonts w:eastAsia="Calibri" w:cstheme="minorHAnsi"/>
          <w:spacing w:val="-1"/>
        </w:rPr>
        <w:t>b</w:t>
      </w:r>
      <w:r w:rsidRPr="00FA5606">
        <w:rPr>
          <w:rFonts w:eastAsia="Calibri" w:cstheme="minorHAnsi"/>
        </w:rPr>
        <w:t>a</w:t>
      </w:r>
      <w:r w:rsidRPr="00FA5606">
        <w:rPr>
          <w:rFonts w:eastAsia="Calibri" w:cstheme="minorHAnsi"/>
          <w:spacing w:val="-1"/>
        </w:rPr>
        <w:t>n</w:t>
      </w:r>
      <w:r w:rsidRPr="00FA5606">
        <w:rPr>
          <w:rFonts w:eastAsia="Calibri" w:cstheme="minorHAnsi"/>
        </w:rPr>
        <w:t xml:space="preserve">e </w:t>
      </w:r>
      <w:r w:rsidRPr="00FA5606">
        <w:rPr>
          <w:rFonts w:eastAsia="Calibri" w:cstheme="minorHAnsi"/>
          <w:spacing w:val="-1"/>
        </w:rPr>
        <w:t>dh</w:t>
      </w:r>
      <w:r w:rsidRPr="00FA5606">
        <w:rPr>
          <w:rFonts w:eastAsia="Calibri" w:cstheme="minorHAnsi"/>
        </w:rPr>
        <w:t>e r</w:t>
      </w:r>
      <w:r w:rsidRPr="00FA5606">
        <w:rPr>
          <w:rFonts w:eastAsia="Calibri" w:cstheme="minorHAnsi"/>
          <w:spacing w:val="-1"/>
        </w:rPr>
        <w:t>u</w:t>
      </w:r>
      <w:r w:rsidRPr="00FA5606">
        <w:rPr>
          <w:rFonts w:eastAsia="Calibri" w:cstheme="minorHAnsi"/>
        </w:rPr>
        <w:t>ra</w:t>
      </w:r>
      <w:r w:rsidRPr="00FA5606">
        <w:rPr>
          <w:rFonts w:eastAsia="Calibri" w:cstheme="minorHAnsi"/>
          <w:spacing w:val="-1"/>
        </w:rPr>
        <w:t>l</w:t>
      </w:r>
      <w:r w:rsidRPr="00FA5606">
        <w:rPr>
          <w:rFonts w:eastAsia="Calibri" w:cstheme="minorHAnsi"/>
        </w:rPr>
        <w:t>e, të cil</w:t>
      </w:r>
      <w:r w:rsidRPr="00FA5606">
        <w:rPr>
          <w:rFonts w:eastAsia="Calibri" w:cstheme="minorHAnsi"/>
          <w:spacing w:val="-3"/>
        </w:rPr>
        <w:t>a</w:t>
      </w:r>
      <w:r w:rsidRPr="00FA5606">
        <w:rPr>
          <w:rFonts w:eastAsia="Calibri" w:cstheme="minorHAnsi"/>
        </w:rPr>
        <w:t xml:space="preserve">t </w:t>
      </w:r>
      <w:r w:rsidRPr="00FA5606">
        <w:rPr>
          <w:rFonts w:eastAsia="Calibri" w:cstheme="minorHAnsi"/>
          <w:spacing w:val="1"/>
        </w:rPr>
        <w:t>v</w:t>
      </w:r>
      <w:r w:rsidRPr="00FA5606">
        <w:rPr>
          <w:rFonts w:eastAsia="Calibri" w:cstheme="minorHAnsi"/>
        </w:rPr>
        <w:t>ler</w:t>
      </w:r>
      <w:r w:rsidRPr="00FA5606">
        <w:rPr>
          <w:rFonts w:eastAsia="Calibri" w:cstheme="minorHAnsi"/>
          <w:spacing w:val="-2"/>
        </w:rPr>
        <w:t>ë</w:t>
      </w:r>
      <w:r w:rsidRPr="00FA5606">
        <w:rPr>
          <w:rFonts w:eastAsia="Calibri" w:cstheme="minorHAnsi"/>
        </w:rPr>
        <w:t>s</w:t>
      </w:r>
      <w:r w:rsidRPr="00FA5606">
        <w:rPr>
          <w:rFonts w:eastAsia="Calibri" w:cstheme="minorHAnsi"/>
          <w:spacing w:val="1"/>
        </w:rPr>
        <w:t>o</w:t>
      </w:r>
      <w:r w:rsidRPr="00FA5606">
        <w:rPr>
          <w:rFonts w:eastAsia="Calibri" w:cstheme="minorHAnsi"/>
          <w:spacing w:val="-1"/>
        </w:rPr>
        <w:t>h</w:t>
      </w:r>
      <w:r w:rsidRPr="00FA5606">
        <w:rPr>
          <w:rFonts w:eastAsia="Calibri" w:cstheme="minorHAnsi"/>
        </w:rPr>
        <w:t xml:space="preserve">en se </w:t>
      </w:r>
      <w:r w:rsidRPr="00FA5606">
        <w:rPr>
          <w:rFonts w:eastAsia="Calibri" w:cstheme="minorHAnsi"/>
          <w:spacing w:val="1"/>
        </w:rPr>
        <w:t>k</w:t>
      </w:r>
      <w:r w:rsidRPr="00FA5606">
        <w:rPr>
          <w:rFonts w:eastAsia="Calibri" w:cstheme="minorHAnsi"/>
        </w:rPr>
        <w:t>a</w:t>
      </w:r>
      <w:r w:rsidRPr="00FA5606">
        <w:rPr>
          <w:rFonts w:eastAsia="Calibri" w:cstheme="minorHAnsi"/>
          <w:spacing w:val="-1"/>
        </w:rPr>
        <w:t>n</w:t>
      </w:r>
      <w:r w:rsidRPr="00FA5606">
        <w:rPr>
          <w:rFonts w:eastAsia="Calibri" w:cstheme="minorHAnsi"/>
        </w:rPr>
        <w:t xml:space="preserve">ë </w:t>
      </w:r>
      <w:r w:rsidRPr="00FA5606">
        <w:t>një</w:t>
      </w:r>
      <w:r w:rsidR="00DD7490">
        <w:t xml:space="preserve"> </w:t>
      </w:r>
      <w:r w:rsidRPr="00FA5606">
        <w:t>dallim</w:t>
      </w:r>
      <w:r w:rsidRPr="00FA5606">
        <w:rPr>
          <w:rFonts w:eastAsia="Calibri" w:cstheme="minorHAnsi"/>
        </w:rPr>
        <w:t xml:space="preserve"> prej dy </w:t>
      </w:r>
      <w:r w:rsidRPr="00FA5606">
        <w:rPr>
          <w:rFonts w:eastAsia="Calibri" w:cstheme="minorHAnsi"/>
          <w:spacing w:val="1"/>
        </w:rPr>
        <w:t>v</w:t>
      </w:r>
      <w:r w:rsidRPr="00FA5606">
        <w:rPr>
          <w:rFonts w:eastAsia="Calibri" w:cstheme="minorHAnsi"/>
        </w:rPr>
        <w:t>i</w:t>
      </w:r>
      <w:r w:rsidRPr="00FA5606">
        <w:rPr>
          <w:rFonts w:eastAsia="Calibri" w:cstheme="minorHAnsi"/>
          <w:spacing w:val="-2"/>
        </w:rPr>
        <w:t>t</w:t>
      </w:r>
      <w:r w:rsidRPr="00FA5606">
        <w:rPr>
          <w:rFonts w:eastAsia="Calibri" w:cstheme="minorHAnsi"/>
        </w:rPr>
        <w:t>esh sh</w:t>
      </w:r>
      <w:r w:rsidRPr="00FA5606">
        <w:rPr>
          <w:rFonts w:eastAsia="Calibri" w:cstheme="minorHAnsi"/>
          <w:spacing w:val="-2"/>
        </w:rPr>
        <w:t>k</w:t>
      </w:r>
      <w:r w:rsidRPr="00FA5606">
        <w:rPr>
          <w:rFonts w:eastAsia="Calibri" w:cstheme="minorHAnsi"/>
          <w:spacing w:val="1"/>
        </w:rPr>
        <w:t>o</w:t>
      </w:r>
      <w:r w:rsidRPr="00FA5606">
        <w:rPr>
          <w:rFonts w:eastAsia="Calibri" w:cstheme="minorHAnsi"/>
        </w:rPr>
        <w:t>ll</w:t>
      </w:r>
      <w:r w:rsidRPr="00FA5606">
        <w:rPr>
          <w:rFonts w:eastAsia="Calibri" w:cstheme="minorHAnsi"/>
          <w:spacing w:val="-3"/>
        </w:rPr>
        <w:t>i</w:t>
      </w:r>
      <w:r w:rsidRPr="00FA5606">
        <w:rPr>
          <w:rFonts w:eastAsia="Calibri" w:cstheme="minorHAnsi"/>
          <w:spacing w:val="1"/>
        </w:rPr>
        <w:t>m</w:t>
      </w:r>
      <w:r w:rsidRPr="00FA5606">
        <w:rPr>
          <w:rFonts w:eastAsia="Calibri" w:cstheme="minorHAnsi"/>
        </w:rPr>
        <w:t>i</w:t>
      </w:r>
      <w:r w:rsidR="004E1F53">
        <w:rPr>
          <w:rFonts w:ascii="Calibri" w:eastAsia="Calibri" w:hAnsi="Calibri" w:cs="Calibri"/>
        </w:rPr>
        <w:t xml:space="preserve">. </w:t>
      </w:r>
      <w:r w:rsidRPr="00FA5606">
        <w:rPr>
          <w:rFonts w:cs="Calibri"/>
        </w:rPr>
        <w:t>S</w:t>
      </w:r>
      <w:r w:rsidRPr="00FA5606">
        <w:rPr>
          <w:rFonts w:cs="Calibri"/>
          <w:spacing w:val="-1"/>
        </w:rPr>
        <w:t>ip</w:t>
      </w:r>
      <w:r w:rsidRPr="00FA5606">
        <w:rPr>
          <w:rFonts w:cs="Calibri"/>
        </w:rPr>
        <w:t>as A</w:t>
      </w:r>
      <w:r w:rsidRPr="00FA5606">
        <w:rPr>
          <w:rFonts w:cs="Calibri"/>
          <w:spacing w:val="-1"/>
        </w:rPr>
        <w:t>n</w:t>
      </w:r>
      <w:r w:rsidRPr="00FA5606">
        <w:rPr>
          <w:rFonts w:cs="Calibri"/>
        </w:rPr>
        <w:t>al</w:t>
      </w:r>
      <w:r w:rsidRPr="00FA5606">
        <w:rPr>
          <w:rFonts w:cs="Calibri"/>
          <w:spacing w:val="-1"/>
        </w:rPr>
        <w:t>iz</w:t>
      </w:r>
      <w:r w:rsidRPr="00FA5606">
        <w:rPr>
          <w:rFonts w:cs="Calibri"/>
        </w:rPr>
        <w:t>ës aktua</w:t>
      </w:r>
      <w:r w:rsidRPr="00FA5606">
        <w:rPr>
          <w:rFonts w:cs="Calibri"/>
          <w:spacing w:val="-1"/>
        </w:rPr>
        <w:t>l</w:t>
      </w:r>
      <w:r w:rsidRPr="00FA5606">
        <w:rPr>
          <w:rFonts w:cs="Calibri"/>
        </w:rPr>
        <w:t xml:space="preserve">e </w:t>
      </w:r>
      <w:r w:rsidRPr="00FA5606">
        <w:rPr>
          <w:rFonts w:cs="Calibri"/>
          <w:spacing w:val="-2"/>
        </w:rPr>
        <w:t>t</w:t>
      </w:r>
      <w:r w:rsidRPr="00FA5606">
        <w:rPr>
          <w:rFonts w:cs="Calibri"/>
        </w:rPr>
        <w:t xml:space="preserve">ë </w:t>
      </w:r>
      <w:r w:rsidRPr="00FA5606">
        <w:rPr>
          <w:rFonts w:cs="Calibri"/>
          <w:spacing w:val="1"/>
        </w:rPr>
        <w:t>Po</w:t>
      </w:r>
      <w:r w:rsidRPr="00FA5606">
        <w:rPr>
          <w:rFonts w:cs="Calibri"/>
        </w:rPr>
        <w:t>l</w:t>
      </w:r>
      <w:r w:rsidRPr="00FA5606">
        <w:rPr>
          <w:rFonts w:cs="Calibri"/>
          <w:spacing w:val="-3"/>
        </w:rPr>
        <w:t>i</w:t>
      </w:r>
      <w:r w:rsidRPr="00FA5606">
        <w:rPr>
          <w:rFonts w:cs="Calibri"/>
        </w:rPr>
        <w:t>tik</w:t>
      </w:r>
      <w:r w:rsidRPr="00FA5606">
        <w:rPr>
          <w:rFonts w:cs="Calibri"/>
          <w:spacing w:val="1"/>
        </w:rPr>
        <w:t>ë</w:t>
      </w:r>
      <w:r w:rsidRPr="00FA5606">
        <w:rPr>
          <w:rFonts w:cs="Calibri"/>
        </w:rPr>
        <w:t xml:space="preserve">s </w:t>
      </w:r>
      <w:r w:rsidRPr="00FA5606">
        <w:rPr>
          <w:rFonts w:cs="Calibri"/>
        </w:rPr>
        <w:lastRenderedPageBreak/>
        <w:t>A</w:t>
      </w:r>
      <w:r w:rsidRPr="00FA5606">
        <w:rPr>
          <w:rFonts w:cs="Calibri"/>
          <w:spacing w:val="-1"/>
        </w:rPr>
        <w:t>r</w:t>
      </w:r>
      <w:r w:rsidRPr="00FA5606">
        <w:rPr>
          <w:rFonts w:cs="Calibri"/>
        </w:rPr>
        <w:t>s</w:t>
      </w:r>
      <w:r w:rsidRPr="00FA5606">
        <w:rPr>
          <w:rFonts w:cs="Calibri"/>
          <w:spacing w:val="-3"/>
        </w:rPr>
        <w:t>i</w:t>
      </w:r>
      <w:r w:rsidRPr="00FA5606">
        <w:rPr>
          <w:rFonts w:cs="Calibri"/>
          <w:spacing w:val="-1"/>
        </w:rPr>
        <w:t>m</w:t>
      </w:r>
      <w:r w:rsidRPr="00FA5606">
        <w:rPr>
          <w:rFonts w:cs="Calibri"/>
          <w:spacing w:val="1"/>
        </w:rPr>
        <w:t>o</w:t>
      </w:r>
      <w:r w:rsidRPr="00FA5606">
        <w:rPr>
          <w:rFonts w:cs="Calibri"/>
        </w:rPr>
        <w:t>re të U</w:t>
      </w:r>
      <w:r w:rsidRPr="00FA5606">
        <w:rPr>
          <w:rFonts w:cs="Calibri"/>
          <w:spacing w:val="-1"/>
        </w:rPr>
        <w:t>N</w:t>
      </w:r>
      <w:r w:rsidRPr="00FA5606">
        <w:rPr>
          <w:rFonts w:cs="Calibri"/>
          <w:spacing w:val="-2"/>
        </w:rPr>
        <w:t>E</w:t>
      </w:r>
      <w:r w:rsidRPr="00FA5606">
        <w:rPr>
          <w:rFonts w:cs="Calibri"/>
        </w:rPr>
        <w:t>SC</w:t>
      </w:r>
      <w:r w:rsidRPr="00FA5606">
        <w:rPr>
          <w:rFonts w:cs="Calibri"/>
          <w:spacing w:val="3"/>
        </w:rPr>
        <w:t>O</w:t>
      </w:r>
      <w:r w:rsidRPr="00FA5606">
        <w:rPr>
          <w:rFonts w:cs="Calibri"/>
        </w:rPr>
        <w:t>-s</w:t>
      </w:r>
      <w:r w:rsidR="00DD7490">
        <w:rPr>
          <w:rFonts w:cs="Calibri"/>
        </w:rPr>
        <w:t>,</w:t>
      </w:r>
      <w:r w:rsidRPr="00FA5606">
        <w:rPr>
          <w:rFonts w:cs="Calibri"/>
        </w:rPr>
        <w:t xml:space="preserve"> </w:t>
      </w:r>
      <w:r w:rsidRPr="00FA5606">
        <w:rPr>
          <w:rFonts w:cs="Calibri"/>
          <w:spacing w:val="1"/>
        </w:rPr>
        <w:t>v</w:t>
      </w:r>
      <w:r w:rsidRPr="00FA5606">
        <w:rPr>
          <w:rFonts w:cs="Calibri"/>
        </w:rPr>
        <w:t>a</w:t>
      </w:r>
      <w:r w:rsidRPr="00FA5606">
        <w:rPr>
          <w:rFonts w:cs="Calibri"/>
          <w:spacing w:val="-2"/>
        </w:rPr>
        <w:t>j</w:t>
      </w:r>
      <w:r w:rsidRPr="00FA5606">
        <w:rPr>
          <w:rFonts w:cs="Calibri"/>
          <w:spacing w:val="-1"/>
        </w:rPr>
        <w:t>z</w:t>
      </w:r>
      <w:r w:rsidRPr="00FA5606">
        <w:rPr>
          <w:rFonts w:cs="Calibri"/>
        </w:rPr>
        <w:t xml:space="preserve">at </w:t>
      </w:r>
      <w:r w:rsidRPr="00FA5606">
        <w:rPr>
          <w:rFonts w:cs="Calibri"/>
          <w:spacing w:val="-1"/>
        </w:rPr>
        <w:t>n</w:t>
      </w:r>
      <w:r w:rsidRPr="00FA5606">
        <w:rPr>
          <w:rFonts w:cs="Calibri"/>
        </w:rPr>
        <w:t>ë S</w:t>
      </w:r>
      <w:r w:rsidRPr="00FA5606">
        <w:rPr>
          <w:rFonts w:cs="Calibri"/>
          <w:spacing w:val="-2"/>
        </w:rPr>
        <w:t>h</w:t>
      </w:r>
      <w:r w:rsidRPr="00FA5606">
        <w:rPr>
          <w:rFonts w:cs="Calibri"/>
          <w:spacing w:val="-1"/>
        </w:rPr>
        <w:t>q</w:t>
      </w:r>
      <w:r w:rsidRPr="00FA5606">
        <w:rPr>
          <w:rFonts w:cs="Calibri"/>
        </w:rPr>
        <w:t>i</w:t>
      </w:r>
      <w:r w:rsidRPr="00FA5606">
        <w:rPr>
          <w:rFonts w:cs="Calibri"/>
          <w:spacing w:val="-1"/>
        </w:rPr>
        <w:t>p</w:t>
      </w:r>
      <w:r w:rsidRPr="00FA5606">
        <w:rPr>
          <w:rFonts w:cs="Calibri"/>
        </w:rPr>
        <w:t xml:space="preserve">ëri kanë </w:t>
      </w:r>
      <w:r w:rsidRPr="00FA5606">
        <w:rPr>
          <w:rFonts w:cs="Calibri"/>
          <w:spacing w:val="1"/>
        </w:rPr>
        <w:t>v</w:t>
      </w:r>
      <w:r w:rsidRPr="00FA5606">
        <w:rPr>
          <w:rFonts w:cs="Calibri"/>
        </w:rPr>
        <w:t>a</w:t>
      </w:r>
      <w:r w:rsidRPr="00FA5606">
        <w:rPr>
          <w:rFonts w:cs="Calibri"/>
          <w:spacing w:val="-1"/>
        </w:rPr>
        <w:t>zhd</w:t>
      </w:r>
      <w:r w:rsidRPr="00FA5606">
        <w:rPr>
          <w:rFonts w:cs="Calibri"/>
        </w:rPr>
        <w:t>i</w:t>
      </w:r>
      <w:r w:rsidRPr="00FA5606">
        <w:rPr>
          <w:rFonts w:cs="Calibri"/>
          <w:spacing w:val="1"/>
        </w:rPr>
        <w:t>m</w:t>
      </w:r>
      <w:r w:rsidRPr="00FA5606">
        <w:rPr>
          <w:rFonts w:cs="Calibri"/>
        </w:rPr>
        <w:t>is</w:t>
      </w:r>
      <w:r w:rsidRPr="00FA5606">
        <w:rPr>
          <w:rFonts w:cs="Calibri"/>
          <w:spacing w:val="-1"/>
        </w:rPr>
        <w:t>h</w:t>
      </w:r>
      <w:r w:rsidRPr="00FA5606">
        <w:rPr>
          <w:rFonts w:cs="Calibri"/>
        </w:rPr>
        <w:t xml:space="preserve">t </w:t>
      </w:r>
      <w:r w:rsidRPr="00FA5606">
        <w:rPr>
          <w:rFonts w:cs="Calibri"/>
          <w:spacing w:val="-1"/>
        </w:rPr>
        <w:t>p</w:t>
      </w:r>
      <w:r w:rsidRPr="00FA5606">
        <w:rPr>
          <w:rFonts w:cs="Calibri"/>
        </w:rPr>
        <w:t>er</w:t>
      </w:r>
      <w:r w:rsidRPr="00FA5606">
        <w:rPr>
          <w:rFonts w:cs="Calibri"/>
          <w:spacing w:val="-2"/>
        </w:rPr>
        <w:t>f</w:t>
      </w:r>
      <w:r w:rsidRPr="00FA5606">
        <w:rPr>
          <w:rFonts w:cs="Calibri"/>
          <w:spacing w:val="1"/>
        </w:rPr>
        <w:t>o</w:t>
      </w:r>
      <w:r w:rsidRPr="00FA5606">
        <w:rPr>
          <w:rFonts w:cs="Calibri"/>
          <w:spacing w:val="-3"/>
        </w:rPr>
        <w:t>r</w:t>
      </w:r>
      <w:r w:rsidRPr="00FA5606">
        <w:rPr>
          <w:rFonts w:cs="Calibri"/>
          <w:spacing w:val="1"/>
        </w:rPr>
        <w:t>m</w:t>
      </w:r>
      <w:r w:rsidRPr="00FA5606">
        <w:rPr>
          <w:rFonts w:cs="Calibri"/>
        </w:rPr>
        <w:t>a</w:t>
      </w:r>
      <w:r w:rsidRPr="00FA5606">
        <w:rPr>
          <w:rFonts w:cs="Calibri"/>
          <w:spacing w:val="-1"/>
        </w:rPr>
        <w:t>n</w:t>
      </w:r>
      <w:r w:rsidRPr="00FA5606">
        <w:rPr>
          <w:rFonts w:cs="Calibri"/>
        </w:rPr>
        <w:t xml:space="preserve">cë </w:t>
      </w:r>
      <w:r w:rsidRPr="00FA5606">
        <w:rPr>
          <w:rFonts w:cs="Calibri"/>
          <w:spacing w:val="1"/>
        </w:rPr>
        <w:t>m</w:t>
      </w:r>
      <w:r w:rsidRPr="00FA5606">
        <w:rPr>
          <w:rFonts w:cs="Calibri"/>
        </w:rPr>
        <w:t xml:space="preserve">ë </w:t>
      </w:r>
      <w:r w:rsidRPr="00FA5606">
        <w:rPr>
          <w:rFonts w:cs="Calibri"/>
          <w:spacing w:val="-2"/>
        </w:rPr>
        <w:t>t</w:t>
      </w:r>
      <w:r w:rsidRPr="00FA5606">
        <w:rPr>
          <w:rFonts w:cs="Calibri"/>
        </w:rPr>
        <w:t>ë</w:t>
      </w:r>
      <w:r w:rsidRPr="00FA5606">
        <w:rPr>
          <w:rFonts w:cs="Calibri"/>
          <w:spacing w:val="1"/>
        </w:rPr>
        <w:t xml:space="preserve"> m</w:t>
      </w:r>
      <w:r w:rsidRPr="00FA5606">
        <w:rPr>
          <w:rFonts w:cs="Calibri"/>
        </w:rPr>
        <w:t>i</w:t>
      </w:r>
      <w:r w:rsidRPr="00FA5606">
        <w:rPr>
          <w:rFonts w:cs="Calibri"/>
          <w:spacing w:val="-3"/>
        </w:rPr>
        <w:t>r</w:t>
      </w:r>
      <w:r w:rsidRPr="00FA5606">
        <w:rPr>
          <w:rFonts w:cs="Calibri"/>
        </w:rPr>
        <w:t xml:space="preserve">ë se sa </w:t>
      </w:r>
      <w:r w:rsidRPr="00FA5606">
        <w:rPr>
          <w:rFonts w:cs="Calibri"/>
          <w:spacing w:val="-1"/>
        </w:rPr>
        <w:t>d</w:t>
      </w:r>
      <w:r w:rsidRPr="00FA5606">
        <w:rPr>
          <w:rFonts w:cs="Calibri"/>
          <w:spacing w:val="-2"/>
        </w:rPr>
        <w:t>j</w:t>
      </w:r>
      <w:r w:rsidRPr="00FA5606">
        <w:rPr>
          <w:rFonts w:cs="Calibri"/>
        </w:rPr>
        <w:t>e</w:t>
      </w:r>
      <w:r w:rsidRPr="00FA5606">
        <w:rPr>
          <w:rFonts w:cs="Calibri"/>
          <w:spacing w:val="-1"/>
        </w:rPr>
        <w:t>m</w:t>
      </w:r>
      <w:r w:rsidRPr="00FA5606">
        <w:rPr>
          <w:rFonts w:cs="Calibri"/>
        </w:rPr>
        <w:t>të në të gjit</w:t>
      </w:r>
      <w:r w:rsidRPr="00FA5606">
        <w:rPr>
          <w:rFonts w:cs="Calibri"/>
          <w:spacing w:val="-1"/>
        </w:rPr>
        <w:t>h</w:t>
      </w:r>
      <w:r w:rsidRPr="00FA5606">
        <w:rPr>
          <w:rFonts w:cs="Calibri"/>
        </w:rPr>
        <w:t xml:space="preserve">a </w:t>
      </w:r>
      <w:r w:rsidR="004E1F53">
        <w:rPr>
          <w:rFonts w:ascii="Calibri" w:hAnsi="Calibri" w:cs="Calibri"/>
        </w:rPr>
        <w:t>d</w:t>
      </w:r>
      <w:r w:rsidR="004E1F53">
        <w:rPr>
          <w:rFonts w:ascii="Calibri" w:hAnsi="Calibri" w:cs="Calibri"/>
          <w:spacing w:val="-1"/>
        </w:rPr>
        <w:t>i</w:t>
      </w:r>
      <w:r w:rsidR="004E1F53">
        <w:rPr>
          <w:rFonts w:ascii="Calibri" w:hAnsi="Calibri" w:cs="Calibri"/>
        </w:rPr>
        <w:t>si</w:t>
      </w:r>
      <w:r w:rsidR="004E1F53">
        <w:rPr>
          <w:rFonts w:ascii="Calibri" w:hAnsi="Calibri" w:cs="Calibri"/>
          <w:spacing w:val="-1"/>
        </w:rPr>
        <w:t>p</w:t>
      </w:r>
      <w:r w:rsidR="004E1F53">
        <w:rPr>
          <w:rFonts w:ascii="Calibri" w:hAnsi="Calibri" w:cs="Calibri"/>
        </w:rPr>
        <w:t>li</w:t>
      </w:r>
      <w:r w:rsidR="004E1F53">
        <w:rPr>
          <w:rFonts w:ascii="Calibri" w:hAnsi="Calibri" w:cs="Calibri"/>
          <w:spacing w:val="-1"/>
        </w:rPr>
        <w:t>n</w:t>
      </w:r>
      <w:r w:rsidR="004E1F53">
        <w:rPr>
          <w:rFonts w:ascii="Calibri" w:hAnsi="Calibri" w:cs="Calibri"/>
        </w:rPr>
        <w:t xml:space="preserve">at </w:t>
      </w:r>
      <w:sdt>
        <w:sdtPr>
          <w:rPr>
            <w:rFonts w:ascii="Calibri" w:hAnsi="Calibri" w:cs="Calibri"/>
          </w:rPr>
          <w:id w:val="260418746"/>
          <w:citation/>
        </w:sdtPr>
        <w:sdtEndPr/>
        <w:sdtContent>
          <w:r w:rsidR="00EC56B7" w:rsidRPr="00E97254">
            <w:rPr>
              <w:rFonts w:ascii="Calibri" w:hAnsi="Calibri" w:cs="Calibri"/>
            </w:rPr>
            <w:fldChar w:fldCharType="begin"/>
          </w:r>
          <w:r w:rsidR="004E1F53">
            <w:rPr>
              <w:rFonts w:ascii="Calibri" w:hAnsi="Calibri" w:cs="Calibri"/>
            </w:rPr>
            <w:instrText xml:space="preserve"> CITATION Wor19 \l 1033 </w:instrText>
          </w:r>
          <w:r w:rsidR="00EC56B7" w:rsidRPr="00E97254">
            <w:rPr>
              <w:rFonts w:ascii="Calibri" w:hAnsi="Calibri" w:cs="Calibri"/>
            </w:rPr>
            <w:fldChar w:fldCharType="separate"/>
          </w:r>
          <w:r w:rsidR="00724BCC" w:rsidRPr="00E97254">
            <w:rPr>
              <w:rFonts w:ascii="Calibri" w:hAnsi="Calibri" w:cs="Calibri"/>
            </w:rPr>
            <w:t>[37]</w:t>
          </w:r>
          <w:r w:rsidR="00EC56B7" w:rsidRPr="00E97254">
            <w:rPr>
              <w:rFonts w:ascii="Calibri" w:hAnsi="Calibri" w:cs="Calibri"/>
            </w:rPr>
            <w:fldChar w:fldCharType="end"/>
          </w:r>
        </w:sdtContent>
      </w:sdt>
      <w:r w:rsidR="001B2837" w:rsidRPr="00E97254">
        <w:rPr>
          <w:rFonts w:ascii="Calibri" w:hAnsi="Calibri" w:cs="Calibri"/>
        </w:rPr>
        <w:t>.</w:t>
      </w:r>
      <w:r w:rsidR="0062028B" w:rsidRPr="00E97254">
        <w:rPr>
          <w:rFonts w:ascii="Calibri" w:hAnsi="Calibri" w:cs="Calibri"/>
        </w:rPr>
        <w:t xml:space="preserve"> </w:t>
      </w:r>
      <w:r w:rsidR="008370F1" w:rsidRPr="00E97254">
        <w:rPr>
          <w:rFonts w:ascii="Calibri" w:hAnsi="Calibri" w:cs="Calibri"/>
        </w:rPr>
        <w:t xml:space="preserve">Shqipëria ka marrë pjesë gjithashtu në Trendet në Studimin Ndërkombëtar të Matematikës dhe Shkencës (TIMSS) 2019. </w:t>
      </w:r>
      <w:r w:rsidR="0062028B" w:rsidRPr="00E97254">
        <w:rPr>
          <w:rFonts w:ascii="Calibri" w:hAnsi="Calibri" w:cs="Calibri"/>
        </w:rPr>
        <w:t>Vendi ynë do të marrë pjesë në Progresin në Studimin Ndërkombëtar të Letë</w:t>
      </w:r>
      <w:r w:rsidR="004E1F53">
        <w:rPr>
          <w:rFonts w:ascii="Calibri" w:hAnsi="Calibri" w:cs="Calibri"/>
        </w:rPr>
        <w:t>rsisë së Leximit (PIRLS) 2021.</w:t>
      </w:r>
    </w:p>
    <w:p w:rsidR="00F919E2" w:rsidRPr="00E97254" w:rsidRDefault="00F919E2" w:rsidP="000C0250">
      <w:pPr>
        <w:pStyle w:val="Caption"/>
        <w:keepNext/>
        <w:spacing w:after="120" w:line="276" w:lineRule="auto"/>
        <w:jc w:val="both"/>
        <w:rPr>
          <w:rFonts w:cstheme="minorHAnsi"/>
          <w:color w:val="auto"/>
          <w:sz w:val="22"/>
          <w:szCs w:val="22"/>
        </w:rPr>
      </w:pPr>
      <w:bookmarkStart w:id="73" w:name="_Ref56261113"/>
    </w:p>
    <w:p w:rsidR="00EB15B6" w:rsidRPr="00E97254" w:rsidRDefault="00FA5606" w:rsidP="000C0250">
      <w:pPr>
        <w:pStyle w:val="Caption"/>
        <w:keepNext/>
        <w:spacing w:after="120" w:line="276" w:lineRule="auto"/>
        <w:jc w:val="both"/>
        <w:rPr>
          <w:rFonts w:cstheme="minorHAnsi"/>
          <w:b w:val="0"/>
          <w:color w:val="auto"/>
          <w:sz w:val="22"/>
          <w:szCs w:val="22"/>
        </w:rPr>
      </w:pPr>
      <w:bookmarkStart w:id="74" w:name="_Toc66802043"/>
      <w:r w:rsidRPr="00FA5606">
        <w:rPr>
          <w:rFonts w:cstheme="minorHAnsi"/>
          <w:color w:val="auto"/>
          <w:sz w:val="22"/>
          <w:szCs w:val="22"/>
        </w:rPr>
        <w:t xml:space="preserve">Tabela </w:t>
      </w:r>
      <w:r w:rsidR="00EC56B7" w:rsidRPr="00FA5606">
        <w:rPr>
          <w:rFonts w:cstheme="minorHAnsi"/>
          <w:color w:val="auto"/>
          <w:sz w:val="22"/>
          <w:szCs w:val="22"/>
        </w:rPr>
        <w:fldChar w:fldCharType="begin"/>
      </w:r>
      <w:r w:rsidRPr="00FA5606">
        <w:rPr>
          <w:rFonts w:cstheme="minorHAnsi"/>
          <w:color w:val="auto"/>
          <w:sz w:val="22"/>
          <w:szCs w:val="22"/>
        </w:rPr>
        <w:instrText xml:space="preserve"> SEQ Tabela \* ARABIC </w:instrText>
      </w:r>
      <w:r w:rsidR="00EC56B7" w:rsidRPr="00FA5606">
        <w:rPr>
          <w:rFonts w:cstheme="minorHAnsi"/>
          <w:color w:val="auto"/>
          <w:sz w:val="22"/>
          <w:szCs w:val="22"/>
        </w:rPr>
        <w:fldChar w:fldCharType="separate"/>
      </w:r>
      <w:r w:rsidRPr="00FA5606">
        <w:rPr>
          <w:rFonts w:cstheme="minorHAnsi"/>
          <w:color w:val="auto"/>
          <w:sz w:val="22"/>
          <w:szCs w:val="22"/>
        </w:rPr>
        <w:t>9</w:t>
      </w:r>
      <w:r w:rsidR="00EC56B7" w:rsidRPr="00FA5606">
        <w:rPr>
          <w:rFonts w:cstheme="minorHAnsi"/>
          <w:color w:val="auto"/>
          <w:sz w:val="22"/>
          <w:szCs w:val="22"/>
        </w:rPr>
        <w:fldChar w:fldCharType="end"/>
      </w:r>
      <w:bookmarkEnd w:id="73"/>
      <w:r w:rsidRPr="00FA5606">
        <w:rPr>
          <w:rFonts w:cstheme="minorHAnsi"/>
          <w:color w:val="auto"/>
          <w:sz w:val="22"/>
          <w:szCs w:val="22"/>
        </w:rPr>
        <w:t>.</w:t>
      </w:r>
      <w:r w:rsidRPr="00FA5606">
        <w:rPr>
          <w:rFonts w:cstheme="minorHAnsi"/>
          <w:b w:val="0"/>
          <w:color w:val="auto"/>
          <w:sz w:val="22"/>
          <w:szCs w:val="22"/>
        </w:rPr>
        <w:t xml:space="preserve"> Rezultatet e nxënësve shqiptarë në testin PISA nëpër vite</w:t>
      </w:r>
      <w:r w:rsidR="004E1F53" w:rsidRPr="004E1F53">
        <w:rPr>
          <w:rStyle w:val="FootnoteReference"/>
          <w:rFonts w:asciiTheme="minorHAnsi" w:hAnsiTheme="minorHAnsi" w:cstheme="minorHAnsi"/>
          <w:b w:val="0"/>
          <w:szCs w:val="22"/>
        </w:rPr>
        <w:footnoteReference w:id="6"/>
      </w:r>
      <w:bookmarkEnd w:id="7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9"/>
        <w:gridCol w:w="793"/>
        <w:gridCol w:w="827"/>
        <w:gridCol w:w="794"/>
        <w:gridCol w:w="828"/>
        <w:gridCol w:w="795"/>
        <w:gridCol w:w="829"/>
        <w:gridCol w:w="795"/>
        <w:gridCol w:w="829"/>
        <w:gridCol w:w="795"/>
        <w:gridCol w:w="829"/>
      </w:tblGrid>
      <w:tr w:rsidR="00D93FFF" w:rsidRPr="00E97254" w:rsidTr="004148ED">
        <w:tc>
          <w:tcPr>
            <w:tcW w:w="870" w:type="dxa"/>
            <w:vMerge w:val="restart"/>
          </w:tcPr>
          <w:p w:rsidR="00AD4FB4" w:rsidRPr="00E97254" w:rsidRDefault="00FA5606" w:rsidP="000C0250">
            <w:pPr>
              <w:pStyle w:val="BodyText"/>
              <w:spacing w:after="0" w:line="276" w:lineRule="auto"/>
              <w:jc w:val="center"/>
              <w:rPr>
                <w:rFonts w:asciiTheme="minorHAnsi" w:hAnsiTheme="minorHAnsi" w:cstheme="minorHAnsi"/>
                <w:color w:val="auto"/>
                <w:lang w:val="sq-AL"/>
              </w:rPr>
            </w:pPr>
            <w:bookmarkStart w:id="75" w:name="_Toc45624230"/>
            <w:r w:rsidRPr="00FA5606">
              <w:rPr>
                <w:rFonts w:asciiTheme="minorHAnsi" w:hAnsiTheme="minorHAnsi" w:cstheme="minorHAnsi"/>
                <w:color w:val="auto"/>
                <w:lang w:val="sq-AL"/>
              </w:rPr>
              <w:t>Fusha</w:t>
            </w:r>
          </w:p>
        </w:tc>
        <w:tc>
          <w:tcPr>
            <w:tcW w:w="1740" w:type="dxa"/>
            <w:gridSpan w:val="2"/>
          </w:tcPr>
          <w:p w:rsidR="00AD4FB4" w:rsidRPr="00E97254" w:rsidRDefault="00FA5606" w:rsidP="000C0250">
            <w:pPr>
              <w:pStyle w:val="BodyText"/>
              <w:spacing w:after="0" w:line="276" w:lineRule="auto"/>
              <w:jc w:val="center"/>
              <w:rPr>
                <w:rFonts w:asciiTheme="minorHAnsi" w:hAnsiTheme="minorHAnsi" w:cstheme="minorHAnsi"/>
                <w:color w:val="auto"/>
                <w:lang w:val="sq-AL"/>
              </w:rPr>
            </w:pPr>
            <w:r w:rsidRPr="00FA5606">
              <w:rPr>
                <w:rFonts w:asciiTheme="minorHAnsi" w:hAnsiTheme="minorHAnsi" w:cstheme="minorHAnsi"/>
                <w:color w:val="auto"/>
                <w:lang w:val="sq-AL"/>
              </w:rPr>
              <w:t>2000</w:t>
            </w:r>
          </w:p>
        </w:tc>
        <w:tc>
          <w:tcPr>
            <w:tcW w:w="1740" w:type="dxa"/>
            <w:gridSpan w:val="2"/>
          </w:tcPr>
          <w:p w:rsidR="00AD4FB4" w:rsidRPr="00E97254" w:rsidRDefault="00FA5606" w:rsidP="000C0250">
            <w:pPr>
              <w:pStyle w:val="BodyText"/>
              <w:spacing w:after="0" w:line="276" w:lineRule="auto"/>
              <w:jc w:val="center"/>
              <w:rPr>
                <w:rFonts w:asciiTheme="minorHAnsi" w:hAnsiTheme="minorHAnsi" w:cstheme="minorHAnsi"/>
                <w:color w:val="auto"/>
                <w:lang w:val="sq-AL"/>
              </w:rPr>
            </w:pPr>
            <w:r w:rsidRPr="00FA5606">
              <w:rPr>
                <w:rFonts w:asciiTheme="minorHAnsi" w:hAnsiTheme="minorHAnsi" w:cstheme="minorHAnsi"/>
                <w:color w:val="auto"/>
                <w:lang w:val="sq-AL"/>
              </w:rPr>
              <w:t>2009</w:t>
            </w:r>
          </w:p>
        </w:tc>
        <w:tc>
          <w:tcPr>
            <w:tcW w:w="1742" w:type="dxa"/>
            <w:gridSpan w:val="2"/>
          </w:tcPr>
          <w:p w:rsidR="00AD4FB4" w:rsidRPr="00E97254" w:rsidRDefault="00FA5606" w:rsidP="000C0250">
            <w:pPr>
              <w:pStyle w:val="BodyText"/>
              <w:spacing w:after="0" w:line="276" w:lineRule="auto"/>
              <w:jc w:val="center"/>
              <w:rPr>
                <w:rFonts w:asciiTheme="minorHAnsi" w:hAnsiTheme="minorHAnsi" w:cstheme="minorHAnsi"/>
                <w:color w:val="auto"/>
                <w:lang w:val="sq-AL"/>
              </w:rPr>
            </w:pPr>
            <w:r w:rsidRPr="00FA5606">
              <w:rPr>
                <w:rFonts w:asciiTheme="minorHAnsi" w:hAnsiTheme="minorHAnsi" w:cstheme="minorHAnsi"/>
                <w:color w:val="auto"/>
                <w:lang w:val="sq-AL"/>
              </w:rPr>
              <w:t>2012</w:t>
            </w:r>
          </w:p>
        </w:tc>
        <w:tc>
          <w:tcPr>
            <w:tcW w:w="1742" w:type="dxa"/>
            <w:gridSpan w:val="2"/>
          </w:tcPr>
          <w:p w:rsidR="00AD4FB4" w:rsidRPr="00E97254" w:rsidRDefault="00FA5606" w:rsidP="000C0250">
            <w:pPr>
              <w:pStyle w:val="BodyText"/>
              <w:spacing w:after="0" w:line="276" w:lineRule="auto"/>
              <w:jc w:val="center"/>
              <w:rPr>
                <w:rFonts w:asciiTheme="minorHAnsi" w:hAnsiTheme="minorHAnsi" w:cstheme="minorHAnsi"/>
                <w:color w:val="auto"/>
                <w:lang w:val="sq-AL"/>
              </w:rPr>
            </w:pPr>
            <w:r w:rsidRPr="00FA5606">
              <w:rPr>
                <w:rFonts w:asciiTheme="minorHAnsi" w:hAnsiTheme="minorHAnsi" w:cstheme="minorHAnsi"/>
                <w:color w:val="auto"/>
                <w:lang w:val="sq-AL"/>
              </w:rPr>
              <w:t>2015</w:t>
            </w:r>
          </w:p>
        </w:tc>
        <w:tc>
          <w:tcPr>
            <w:tcW w:w="1742" w:type="dxa"/>
            <w:gridSpan w:val="2"/>
          </w:tcPr>
          <w:p w:rsidR="00AD4FB4" w:rsidRPr="00E97254" w:rsidRDefault="00FA5606" w:rsidP="000C0250">
            <w:pPr>
              <w:pStyle w:val="BodyText"/>
              <w:spacing w:after="0" w:line="276" w:lineRule="auto"/>
              <w:jc w:val="center"/>
              <w:rPr>
                <w:rFonts w:asciiTheme="minorHAnsi" w:hAnsiTheme="minorHAnsi" w:cstheme="minorHAnsi"/>
                <w:color w:val="auto"/>
                <w:lang w:val="sq-AL"/>
              </w:rPr>
            </w:pPr>
            <w:r w:rsidRPr="00FA5606">
              <w:rPr>
                <w:rFonts w:asciiTheme="minorHAnsi" w:hAnsiTheme="minorHAnsi" w:cstheme="minorHAnsi"/>
                <w:color w:val="auto"/>
                <w:lang w:val="sq-AL"/>
              </w:rPr>
              <w:t>2018</w:t>
            </w:r>
          </w:p>
        </w:tc>
      </w:tr>
      <w:tr w:rsidR="00D93FFF" w:rsidRPr="00E97254" w:rsidTr="004148ED">
        <w:tc>
          <w:tcPr>
            <w:tcW w:w="870" w:type="dxa"/>
            <w:vMerge/>
          </w:tcPr>
          <w:p w:rsidR="00AD4FB4" w:rsidRPr="00E97254" w:rsidRDefault="00AD4FB4" w:rsidP="000C0250">
            <w:pPr>
              <w:pStyle w:val="BodyText"/>
              <w:keepNext/>
              <w:keepLines/>
              <w:spacing w:before="480" w:after="0" w:line="276" w:lineRule="auto"/>
              <w:jc w:val="center"/>
              <w:outlineLvl w:val="0"/>
              <w:rPr>
                <w:rFonts w:asciiTheme="minorHAnsi" w:hAnsiTheme="minorHAnsi" w:cstheme="minorHAnsi"/>
                <w:color w:val="auto"/>
                <w:lang w:val="sq-AL"/>
              </w:rPr>
            </w:pPr>
          </w:p>
        </w:tc>
        <w:tc>
          <w:tcPr>
            <w:tcW w:w="870" w:type="dxa"/>
          </w:tcPr>
          <w:p w:rsidR="00AD4FB4" w:rsidRPr="00E97254" w:rsidRDefault="00FA5606" w:rsidP="000C0250">
            <w:pPr>
              <w:pStyle w:val="BodyText"/>
              <w:spacing w:after="0" w:line="276" w:lineRule="auto"/>
              <w:jc w:val="center"/>
              <w:rPr>
                <w:rFonts w:asciiTheme="minorHAnsi" w:hAnsiTheme="minorHAnsi" w:cstheme="minorHAnsi"/>
                <w:color w:val="auto"/>
                <w:lang w:val="sq-AL"/>
              </w:rPr>
            </w:pPr>
            <w:r w:rsidRPr="00FA5606">
              <w:rPr>
                <w:rFonts w:asciiTheme="minorHAnsi" w:hAnsiTheme="minorHAnsi" w:cstheme="minorHAnsi"/>
                <w:color w:val="auto"/>
                <w:lang w:val="sq-AL"/>
              </w:rPr>
              <w:t>AL</w:t>
            </w:r>
          </w:p>
        </w:tc>
        <w:tc>
          <w:tcPr>
            <w:tcW w:w="870" w:type="dxa"/>
          </w:tcPr>
          <w:p w:rsidR="00AD4FB4" w:rsidRPr="00E97254" w:rsidRDefault="00FA5606" w:rsidP="000C0250">
            <w:pPr>
              <w:pStyle w:val="BodyText"/>
              <w:spacing w:after="0" w:line="276" w:lineRule="auto"/>
              <w:jc w:val="center"/>
              <w:rPr>
                <w:rFonts w:asciiTheme="minorHAnsi" w:hAnsiTheme="minorHAnsi" w:cstheme="minorHAnsi"/>
                <w:color w:val="auto"/>
                <w:lang w:val="sq-AL"/>
              </w:rPr>
            </w:pPr>
            <w:r w:rsidRPr="00FA5606">
              <w:rPr>
                <w:rFonts w:asciiTheme="minorHAnsi" w:hAnsiTheme="minorHAnsi" w:cstheme="minorHAnsi"/>
                <w:color w:val="auto"/>
                <w:lang w:val="sq-AL"/>
              </w:rPr>
              <w:t>OECD</w:t>
            </w:r>
          </w:p>
        </w:tc>
        <w:tc>
          <w:tcPr>
            <w:tcW w:w="870" w:type="dxa"/>
          </w:tcPr>
          <w:p w:rsidR="00AD4FB4" w:rsidRPr="00E97254" w:rsidRDefault="00FA5606" w:rsidP="000C0250">
            <w:pPr>
              <w:pStyle w:val="BodyText"/>
              <w:spacing w:after="0" w:line="276" w:lineRule="auto"/>
              <w:jc w:val="center"/>
              <w:rPr>
                <w:rFonts w:asciiTheme="minorHAnsi" w:hAnsiTheme="minorHAnsi" w:cstheme="minorHAnsi"/>
                <w:color w:val="auto"/>
                <w:lang w:val="sq-AL"/>
              </w:rPr>
            </w:pPr>
            <w:r w:rsidRPr="00FA5606">
              <w:rPr>
                <w:rFonts w:asciiTheme="minorHAnsi" w:hAnsiTheme="minorHAnsi" w:cstheme="minorHAnsi"/>
                <w:color w:val="auto"/>
                <w:lang w:val="sq-AL"/>
              </w:rPr>
              <w:t>AL</w:t>
            </w:r>
          </w:p>
        </w:tc>
        <w:tc>
          <w:tcPr>
            <w:tcW w:w="870" w:type="dxa"/>
          </w:tcPr>
          <w:p w:rsidR="00AD4FB4" w:rsidRPr="00E97254" w:rsidRDefault="00FA5606" w:rsidP="000C0250">
            <w:pPr>
              <w:pStyle w:val="BodyText"/>
              <w:spacing w:after="0" w:line="276" w:lineRule="auto"/>
              <w:jc w:val="center"/>
              <w:rPr>
                <w:rFonts w:asciiTheme="minorHAnsi" w:hAnsiTheme="minorHAnsi" w:cstheme="minorHAnsi"/>
                <w:color w:val="auto"/>
                <w:lang w:val="sq-AL"/>
              </w:rPr>
            </w:pPr>
            <w:r w:rsidRPr="00FA5606">
              <w:rPr>
                <w:rFonts w:asciiTheme="minorHAnsi" w:hAnsiTheme="minorHAnsi" w:cstheme="minorHAnsi"/>
                <w:color w:val="auto"/>
                <w:lang w:val="sq-AL"/>
              </w:rPr>
              <w:t>OECD</w:t>
            </w:r>
          </w:p>
        </w:tc>
        <w:tc>
          <w:tcPr>
            <w:tcW w:w="871" w:type="dxa"/>
          </w:tcPr>
          <w:p w:rsidR="00AD4FB4" w:rsidRPr="00E97254" w:rsidRDefault="00FA5606" w:rsidP="000C0250">
            <w:pPr>
              <w:pStyle w:val="BodyText"/>
              <w:spacing w:after="0" w:line="276" w:lineRule="auto"/>
              <w:jc w:val="center"/>
              <w:rPr>
                <w:rFonts w:asciiTheme="minorHAnsi" w:hAnsiTheme="minorHAnsi" w:cstheme="minorHAnsi"/>
                <w:color w:val="auto"/>
                <w:lang w:val="sq-AL"/>
              </w:rPr>
            </w:pPr>
            <w:r w:rsidRPr="00FA5606">
              <w:rPr>
                <w:rFonts w:asciiTheme="minorHAnsi" w:hAnsiTheme="minorHAnsi" w:cstheme="minorHAnsi"/>
                <w:color w:val="auto"/>
                <w:lang w:val="sq-AL"/>
              </w:rPr>
              <w:t>AL</w:t>
            </w:r>
          </w:p>
        </w:tc>
        <w:tc>
          <w:tcPr>
            <w:tcW w:w="871" w:type="dxa"/>
          </w:tcPr>
          <w:p w:rsidR="00AD4FB4" w:rsidRPr="00E97254" w:rsidRDefault="00FA5606" w:rsidP="000C0250">
            <w:pPr>
              <w:pStyle w:val="BodyText"/>
              <w:spacing w:after="0" w:line="276" w:lineRule="auto"/>
              <w:jc w:val="center"/>
              <w:rPr>
                <w:rFonts w:asciiTheme="minorHAnsi" w:hAnsiTheme="minorHAnsi" w:cstheme="minorHAnsi"/>
                <w:color w:val="auto"/>
                <w:lang w:val="sq-AL"/>
              </w:rPr>
            </w:pPr>
            <w:r w:rsidRPr="00FA5606">
              <w:rPr>
                <w:rFonts w:asciiTheme="minorHAnsi" w:hAnsiTheme="minorHAnsi" w:cstheme="minorHAnsi"/>
                <w:color w:val="auto"/>
                <w:lang w:val="sq-AL"/>
              </w:rPr>
              <w:t>OECD</w:t>
            </w:r>
          </w:p>
        </w:tc>
        <w:tc>
          <w:tcPr>
            <w:tcW w:w="871" w:type="dxa"/>
          </w:tcPr>
          <w:p w:rsidR="00AD4FB4" w:rsidRPr="00E97254" w:rsidRDefault="00FA5606" w:rsidP="000C0250">
            <w:pPr>
              <w:pStyle w:val="BodyText"/>
              <w:spacing w:after="0" w:line="276" w:lineRule="auto"/>
              <w:jc w:val="center"/>
              <w:rPr>
                <w:rFonts w:asciiTheme="minorHAnsi" w:hAnsiTheme="minorHAnsi" w:cstheme="minorHAnsi"/>
                <w:color w:val="auto"/>
                <w:lang w:val="sq-AL"/>
              </w:rPr>
            </w:pPr>
            <w:r w:rsidRPr="00FA5606">
              <w:rPr>
                <w:rFonts w:asciiTheme="minorHAnsi" w:hAnsiTheme="minorHAnsi" w:cstheme="minorHAnsi"/>
                <w:color w:val="auto"/>
                <w:lang w:val="sq-AL"/>
              </w:rPr>
              <w:t>AL</w:t>
            </w:r>
          </w:p>
        </w:tc>
        <w:tc>
          <w:tcPr>
            <w:tcW w:w="871" w:type="dxa"/>
          </w:tcPr>
          <w:p w:rsidR="00AD4FB4" w:rsidRPr="00E97254" w:rsidRDefault="00FA5606" w:rsidP="000C0250">
            <w:pPr>
              <w:pStyle w:val="BodyText"/>
              <w:spacing w:after="0" w:line="276" w:lineRule="auto"/>
              <w:jc w:val="center"/>
              <w:rPr>
                <w:rFonts w:asciiTheme="minorHAnsi" w:hAnsiTheme="minorHAnsi" w:cstheme="minorHAnsi"/>
                <w:color w:val="auto"/>
                <w:lang w:val="sq-AL"/>
              </w:rPr>
            </w:pPr>
            <w:r w:rsidRPr="00FA5606">
              <w:rPr>
                <w:rFonts w:asciiTheme="minorHAnsi" w:hAnsiTheme="minorHAnsi" w:cstheme="minorHAnsi"/>
                <w:color w:val="auto"/>
                <w:lang w:val="sq-AL"/>
              </w:rPr>
              <w:t>OECD</w:t>
            </w:r>
          </w:p>
        </w:tc>
        <w:tc>
          <w:tcPr>
            <w:tcW w:w="871" w:type="dxa"/>
          </w:tcPr>
          <w:p w:rsidR="00AD4FB4" w:rsidRPr="00E97254" w:rsidRDefault="00FA5606" w:rsidP="000C0250">
            <w:pPr>
              <w:pStyle w:val="BodyText"/>
              <w:spacing w:after="0" w:line="276" w:lineRule="auto"/>
              <w:jc w:val="center"/>
              <w:rPr>
                <w:rFonts w:asciiTheme="minorHAnsi" w:hAnsiTheme="minorHAnsi" w:cstheme="minorHAnsi"/>
                <w:color w:val="auto"/>
                <w:lang w:val="sq-AL"/>
              </w:rPr>
            </w:pPr>
            <w:r w:rsidRPr="00FA5606">
              <w:rPr>
                <w:rFonts w:asciiTheme="minorHAnsi" w:hAnsiTheme="minorHAnsi" w:cstheme="minorHAnsi"/>
                <w:color w:val="auto"/>
                <w:lang w:val="sq-AL"/>
              </w:rPr>
              <w:t>AL</w:t>
            </w:r>
          </w:p>
        </w:tc>
        <w:tc>
          <w:tcPr>
            <w:tcW w:w="871" w:type="dxa"/>
          </w:tcPr>
          <w:p w:rsidR="00AD4FB4" w:rsidRPr="00E97254" w:rsidRDefault="00FA5606" w:rsidP="000C0250">
            <w:pPr>
              <w:pStyle w:val="BodyText"/>
              <w:spacing w:after="0" w:line="276" w:lineRule="auto"/>
              <w:jc w:val="center"/>
              <w:rPr>
                <w:rFonts w:asciiTheme="minorHAnsi" w:hAnsiTheme="minorHAnsi" w:cstheme="minorHAnsi"/>
                <w:color w:val="auto"/>
                <w:lang w:val="sq-AL"/>
              </w:rPr>
            </w:pPr>
            <w:r w:rsidRPr="00FA5606">
              <w:rPr>
                <w:rFonts w:asciiTheme="minorHAnsi" w:hAnsiTheme="minorHAnsi" w:cstheme="minorHAnsi"/>
                <w:color w:val="auto"/>
                <w:lang w:val="sq-AL"/>
              </w:rPr>
              <w:t>OECD</w:t>
            </w:r>
          </w:p>
        </w:tc>
      </w:tr>
      <w:tr w:rsidR="00D93FFF" w:rsidRPr="00E97254" w:rsidTr="004148ED">
        <w:tc>
          <w:tcPr>
            <w:tcW w:w="870" w:type="dxa"/>
          </w:tcPr>
          <w:p w:rsidR="00AD4FB4" w:rsidRPr="00E97254" w:rsidRDefault="00FA5606" w:rsidP="000C0250">
            <w:pPr>
              <w:pStyle w:val="BodyText"/>
              <w:spacing w:after="0" w:line="276" w:lineRule="auto"/>
              <w:rPr>
                <w:rFonts w:asciiTheme="minorHAnsi" w:hAnsiTheme="minorHAnsi" w:cstheme="minorHAnsi"/>
                <w:color w:val="auto"/>
                <w:lang w:val="sq-AL"/>
              </w:rPr>
            </w:pPr>
            <w:r w:rsidRPr="00FA5606">
              <w:rPr>
                <w:rFonts w:asciiTheme="minorHAnsi" w:hAnsiTheme="minorHAnsi" w:cstheme="minorHAnsi"/>
                <w:color w:val="auto"/>
                <w:lang w:val="sq-AL"/>
              </w:rPr>
              <w:t>Lexim</w:t>
            </w:r>
          </w:p>
        </w:tc>
        <w:tc>
          <w:tcPr>
            <w:tcW w:w="870" w:type="dxa"/>
          </w:tcPr>
          <w:p w:rsidR="00AD4FB4" w:rsidRPr="00E97254" w:rsidRDefault="00FA5606" w:rsidP="000C0250">
            <w:pPr>
              <w:pStyle w:val="BodyText"/>
              <w:spacing w:after="0" w:line="276" w:lineRule="auto"/>
              <w:jc w:val="center"/>
              <w:rPr>
                <w:rFonts w:asciiTheme="minorHAnsi" w:hAnsiTheme="minorHAnsi" w:cstheme="minorHAnsi"/>
                <w:color w:val="auto"/>
                <w:lang w:val="sq-AL"/>
              </w:rPr>
            </w:pPr>
            <w:r w:rsidRPr="00FA5606">
              <w:rPr>
                <w:rFonts w:asciiTheme="minorHAnsi" w:hAnsiTheme="minorHAnsi" w:cstheme="minorHAnsi"/>
                <w:color w:val="auto"/>
                <w:lang w:val="sq-AL"/>
              </w:rPr>
              <w:t>349</w:t>
            </w:r>
          </w:p>
        </w:tc>
        <w:tc>
          <w:tcPr>
            <w:tcW w:w="870" w:type="dxa"/>
          </w:tcPr>
          <w:p w:rsidR="00AD4FB4" w:rsidRPr="00E97254" w:rsidRDefault="00FA5606" w:rsidP="000C0250">
            <w:pPr>
              <w:pStyle w:val="BodyText"/>
              <w:spacing w:after="0" w:line="276" w:lineRule="auto"/>
              <w:jc w:val="center"/>
              <w:rPr>
                <w:rFonts w:asciiTheme="minorHAnsi" w:hAnsiTheme="minorHAnsi" w:cstheme="minorHAnsi"/>
                <w:color w:val="auto"/>
                <w:lang w:val="sq-AL"/>
              </w:rPr>
            </w:pPr>
            <w:r w:rsidRPr="00FA5606">
              <w:rPr>
                <w:rFonts w:asciiTheme="minorHAnsi" w:hAnsiTheme="minorHAnsi" w:cstheme="minorHAnsi"/>
                <w:color w:val="auto"/>
                <w:lang w:val="sq-AL"/>
              </w:rPr>
              <w:t>495</w:t>
            </w:r>
          </w:p>
        </w:tc>
        <w:tc>
          <w:tcPr>
            <w:tcW w:w="870" w:type="dxa"/>
          </w:tcPr>
          <w:p w:rsidR="00AD4FB4" w:rsidRPr="00E97254" w:rsidRDefault="00FA5606" w:rsidP="000C0250">
            <w:pPr>
              <w:pStyle w:val="BodyText"/>
              <w:spacing w:after="0" w:line="276" w:lineRule="auto"/>
              <w:jc w:val="center"/>
              <w:rPr>
                <w:rFonts w:asciiTheme="minorHAnsi" w:hAnsiTheme="minorHAnsi" w:cstheme="minorHAnsi"/>
                <w:color w:val="auto"/>
                <w:lang w:val="sq-AL"/>
              </w:rPr>
            </w:pPr>
            <w:r w:rsidRPr="00FA5606">
              <w:rPr>
                <w:rFonts w:asciiTheme="minorHAnsi" w:hAnsiTheme="minorHAnsi" w:cstheme="minorHAnsi"/>
                <w:color w:val="auto"/>
                <w:lang w:val="sq-AL"/>
              </w:rPr>
              <w:t>385</w:t>
            </w:r>
          </w:p>
        </w:tc>
        <w:tc>
          <w:tcPr>
            <w:tcW w:w="870" w:type="dxa"/>
          </w:tcPr>
          <w:p w:rsidR="00AD4FB4" w:rsidRPr="00E97254" w:rsidRDefault="00FA5606" w:rsidP="000C0250">
            <w:pPr>
              <w:pStyle w:val="BodyText"/>
              <w:spacing w:after="0" w:line="276" w:lineRule="auto"/>
              <w:jc w:val="center"/>
              <w:rPr>
                <w:rFonts w:asciiTheme="minorHAnsi" w:hAnsiTheme="minorHAnsi" w:cstheme="minorHAnsi"/>
                <w:color w:val="auto"/>
                <w:lang w:val="sq-AL"/>
              </w:rPr>
            </w:pPr>
            <w:r w:rsidRPr="00FA5606">
              <w:rPr>
                <w:rFonts w:asciiTheme="minorHAnsi" w:hAnsiTheme="minorHAnsi" w:cstheme="minorHAnsi"/>
                <w:color w:val="auto"/>
                <w:lang w:val="sq-AL"/>
              </w:rPr>
              <w:t>493</w:t>
            </w:r>
          </w:p>
        </w:tc>
        <w:tc>
          <w:tcPr>
            <w:tcW w:w="871" w:type="dxa"/>
          </w:tcPr>
          <w:p w:rsidR="00AD4FB4" w:rsidRPr="00E97254" w:rsidRDefault="00FA5606" w:rsidP="000C0250">
            <w:pPr>
              <w:pStyle w:val="BodyText"/>
              <w:spacing w:after="0" w:line="276" w:lineRule="auto"/>
              <w:jc w:val="center"/>
              <w:rPr>
                <w:rFonts w:asciiTheme="minorHAnsi" w:hAnsiTheme="minorHAnsi" w:cstheme="minorHAnsi"/>
                <w:color w:val="auto"/>
                <w:lang w:val="sq-AL"/>
              </w:rPr>
            </w:pPr>
            <w:r w:rsidRPr="00FA5606">
              <w:rPr>
                <w:rFonts w:asciiTheme="minorHAnsi" w:hAnsiTheme="minorHAnsi" w:cstheme="minorHAnsi"/>
                <w:color w:val="auto"/>
                <w:lang w:val="sq-AL"/>
              </w:rPr>
              <w:t>384</w:t>
            </w:r>
          </w:p>
        </w:tc>
        <w:tc>
          <w:tcPr>
            <w:tcW w:w="871" w:type="dxa"/>
          </w:tcPr>
          <w:p w:rsidR="00AD4FB4" w:rsidRPr="00E97254" w:rsidRDefault="00FA5606" w:rsidP="000C0250">
            <w:pPr>
              <w:pStyle w:val="BodyText"/>
              <w:spacing w:after="0" w:line="276" w:lineRule="auto"/>
              <w:jc w:val="center"/>
              <w:rPr>
                <w:rFonts w:asciiTheme="minorHAnsi" w:hAnsiTheme="minorHAnsi" w:cstheme="minorHAnsi"/>
                <w:color w:val="auto"/>
                <w:lang w:val="sq-AL"/>
              </w:rPr>
            </w:pPr>
            <w:r w:rsidRPr="00FA5606">
              <w:rPr>
                <w:rFonts w:asciiTheme="minorHAnsi" w:hAnsiTheme="minorHAnsi" w:cstheme="minorHAnsi"/>
                <w:color w:val="auto"/>
                <w:lang w:val="sq-AL"/>
              </w:rPr>
              <w:t>496</w:t>
            </w:r>
          </w:p>
        </w:tc>
        <w:tc>
          <w:tcPr>
            <w:tcW w:w="871" w:type="dxa"/>
          </w:tcPr>
          <w:p w:rsidR="00AD4FB4" w:rsidRPr="00E97254" w:rsidRDefault="00FA5606" w:rsidP="000C0250">
            <w:pPr>
              <w:pStyle w:val="BodyText"/>
              <w:spacing w:after="0" w:line="276" w:lineRule="auto"/>
              <w:jc w:val="center"/>
              <w:rPr>
                <w:rFonts w:asciiTheme="minorHAnsi" w:hAnsiTheme="minorHAnsi" w:cstheme="minorHAnsi"/>
                <w:color w:val="auto"/>
                <w:lang w:val="sq-AL"/>
              </w:rPr>
            </w:pPr>
            <w:r w:rsidRPr="00FA5606">
              <w:rPr>
                <w:rFonts w:asciiTheme="minorHAnsi" w:hAnsiTheme="minorHAnsi" w:cstheme="minorHAnsi"/>
                <w:color w:val="auto"/>
                <w:lang w:val="sq-AL"/>
              </w:rPr>
              <w:t>405</w:t>
            </w:r>
          </w:p>
        </w:tc>
        <w:tc>
          <w:tcPr>
            <w:tcW w:w="871" w:type="dxa"/>
          </w:tcPr>
          <w:p w:rsidR="00AD4FB4" w:rsidRPr="00E97254" w:rsidRDefault="00FA5606" w:rsidP="000C0250">
            <w:pPr>
              <w:pStyle w:val="BodyText"/>
              <w:spacing w:after="0" w:line="276" w:lineRule="auto"/>
              <w:jc w:val="center"/>
              <w:rPr>
                <w:rFonts w:asciiTheme="minorHAnsi" w:hAnsiTheme="minorHAnsi" w:cstheme="minorHAnsi"/>
                <w:color w:val="auto"/>
                <w:lang w:val="sq-AL"/>
              </w:rPr>
            </w:pPr>
            <w:r w:rsidRPr="00FA5606">
              <w:rPr>
                <w:rFonts w:asciiTheme="minorHAnsi" w:hAnsiTheme="minorHAnsi" w:cstheme="minorHAnsi"/>
                <w:color w:val="auto"/>
                <w:lang w:val="sq-AL"/>
              </w:rPr>
              <w:t>493</w:t>
            </w:r>
          </w:p>
        </w:tc>
        <w:tc>
          <w:tcPr>
            <w:tcW w:w="871" w:type="dxa"/>
          </w:tcPr>
          <w:p w:rsidR="00AD4FB4" w:rsidRPr="00E97254" w:rsidRDefault="00FA5606" w:rsidP="000C0250">
            <w:pPr>
              <w:pStyle w:val="BodyText"/>
              <w:spacing w:after="0" w:line="276" w:lineRule="auto"/>
              <w:jc w:val="center"/>
              <w:rPr>
                <w:rFonts w:asciiTheme="minorHAnsi" w:hAnsiTheme="minorHAnsi" w:cstheme="minorHAnsi"/>
                <w:color w:val="auto"/>
                <w:lang w:val="sq-AL"/>
              </w:rPr>
            </w:pPr>
            <w:r w:rsidRPr="00FA5606">
              <w:rPr>
                <w:rFonts w:asciiTheme="minorHAnsi" w:hAnsiTheme="minorHAnsi" w:cstheme="minorHAnsi"/>
                <w:color w:val="auto"/>
                <w:lang w:val="sq-AL"/>
              </w:rPr>
              <w:t>405</w:t>
            </w:r>
          </w:p>
        </w:tc>
        <w:tc>
          <w:tcPr>
            <w:tcW w:w="871" w:type="dxa"/>
          </w:tcPr>
          <w:p w:rsidR="00AD4FB4" w:rsidRPr="00E97254" w:rsidRDefault="00FA5606" w:rsidP="000C0250">
            <w:pPr>
              <w:pStyle w:val="BodyText"/>
              <w:spacing w:after="0" w:line="276" w:lineRule="auto"/>
              <w:jc w:val="center"/>
              <w:rPr>
                <w:rFonts w:asciiTheme="minorHAnsi" w:hAnsiTheme="minorHAnsi" w:cstheme="minorHAnsi"/>
                <w:color w:val="auto"/>
                <w:lang w:val="sq-AL"/>
              </w:rPr>
            </w:pPr>
            <w:r w:rsidRPr="00FA5606">
              <w:rPr>
                <w:rFonts w:asciiTheme="minorHAnsi" w:hAnsiTheme="minorHAnsi" w:cstheme="minorHAnsi"/>
                <w:color w:val="auto"/>
                <w:lang w:val="sq-AL"/>
              </w:rPr>
              <w:t>487</w:t>
            </w:r>
          </w:p>
        </w:tc>
      </w:tr>
      <w:tr w:rsidR="00D93FFF" w:rsidRPr="00E97254" w:rsidTr="004148ED">
        <w:tc>
          <w:tcPr>
            <w:tcW w:w="870" w:type="dxa"/>
          </w:tcPr>
          <w:p w:rsidR="00AD4FB4" w:rsidRPr="00E97254" w:rsidRDefault="00FA5606" w:rsidP="000C0250">
            <w:pPr>
              <w:pStyle w:val="BodyText"/>
              <w:spacing w:after="0" w:line="276" w:lineRule="auto"/>
              <w:rPr>
                <w:rFonts w:asciiTheme="minorHAnsi" w:hAnsiTheme="minorHAnsi" w:cstheme="minorHAnsi"/>
                <w:color w:val="auto"/>
                <w:lang w:val="sq-AL"/>
              </w:rPr>
            </w:pPr>
            <w:r w:rsidRPr="00FA5606">
              <w:rPr>
                <w:rFonts w:asciiTheme="minorHAnsi" w:hAnsiTheme="minorHAnsi" w:cstheme="minorHAnsi"/>
                <w:color w:val="auto"/>
                <w:lang w:val="sq-AL"/>
              </w:rPr>
              <w:t>Matematikë</w:t>
            </w:r>
          </w:p>
        </w:tc>
        <w:tc>
          <w:tcPr>
            <w:tcW w:w="870" w:type="dxa"/>
          </w:tcPr>
          <w:p w:rsidR="00AD4FB4" w:rsidRPr="00E97254" w:rsidRDefault="00FA5606" w:rsidP="000C0250">
            <w:pPr>
              <w:pStyle w:val="BodyText"/>
              <w:spacing w:after="0" w:line="276" w:lineRule="auto"/>
              <w:jc w:val="center"/>
              <w:rPr>
                <w:rFonts w:asciiTheme="minorHAnsi" w:hAnsiTheme="minorHAnsi" w:cstheme="minorHAnsi"/>
                <w:color w:val="auto"/>
                <w:lang w:val="sq-AL"/>
              </w:rPr>
            </w:pPr>
            <w:r w:rsidRPr="00FA5606">
              <w:rPr>
                <w:rFonts w:asciiTheme="minorHAnsi" w:hAnsiTheme="minorHAnsi" w:cstheme="minorHAnsi"/>
                <w:color w:val="auto"/>
                <w:lang w:val="sq-AL"/>
              </w:rPr>
              <w:t>381</w:t>
            </w:r>
          </w:p>
        </w:tc>
        <w:tc>
          <w:tcPr>
            <w:tcW w:w="870" w:type="dxa"/>
          </w:tcPr>
          <w:p w:rsidR="00AD4FB4" w:rsidRPr="00E97254" w:rsidRDefault="00FA5606" w:rsidP="000C0250">
            <w:pPr>
              <w:pStyle w:val="BodyText"/>
              <w:spacing w:after="0" w:line="276" w:lineRule="auto"/>
              <w:jc w:val="center"/>
              <w:rPr>
                <w:rFonts w:asciiTheme="minorHAnsi" w:hAnsiTheme="minorHAnsi" w:cstheme="minorHAnsi"/>
                <w:color w:val="auto"/>
                <w:lang w:val="sq-AL"/>
              </w:rPr>
            </w:pPr>
            <w:r w:rsidRPr="00FA5606">
              <w:rPr>
                <w:rFonts w:asciiTheme="minorHAnsi" w:hAnsiTheme="minorHAnsi" w:cstheme="minorHAnsi"/>
                <w:color w:val="auto"/>
                <w:lang w:val="sq-AL"/>
              </w:rPr>
              <w:t>497</w:t>
            </w:r>
          </w:p>
        </w:tc>
        <w:tc>
          <w:tcPr>
            <w:tcW w:w="870" w:type="dxa"/>
          </w:tcPr>
          <w:p w:rsidR="00AD4FB4" w:rsidRPr="00E97254" w:rsidRDefault="00FA5606" w:rsidP="000C0250">
            <w:pPr>
              <w:pStyle w:val="BodyText"/>
              <w:spacing w:after="0" w:line="276" w:lineRule="auto"/>
              <w:jc w:val="center"/>
              <w:rPr>
                <w:rFonts w:asciiTheme="minorHAnsi" w:hAnsiTheme="minorHAnsi" w:cstheme="minorHAnsi"/>
                <w:color w:val="auto"/>
                <w:lang w:val="sq-AL"/>
              </w:rPr>
            </w:pPr>
            <w:r w:rsidRPr="00FA5606">
              <w:rPr>
                <w:rFonts w:asciiTheme="minorHAnsi" w:hAnsiTheme="minorHAnsi" w:cstheme="minorHAnsi"/>
                <w:color w:val="auto"/>
                <w:lang w:val="sq-AL"/>
              </w:rPr>
              <w:t>377</w:t>
            </w:r>
          </w:p>
        </w:tc>
        <w:tc>
          <w:tcPr>
            <w:tcW w:w="870" w:type="dxa"/>
          </w:tcPr>
          <w:p w:rsidR="00AD4FB4" w:rsidRPr="00E97254" w:rsidRDefault="00FA5606" w:rsidP="000C0250">
            <w:pPr>
              <w:pStyle w:val="BodyText"/>
              <w:spacing w:after="0" w:line="276" w:lineRule="auto"/>
              <w:jc w:val="center"/>
              <w:rPr>
                <w:rFonts w:asciiTheme="minorHAnsi" w:hAnsiTheme="minorHAnsi" w:cstheme="minorHAnsi"/>
                <w:color w:val="auto"/>
                <w:lang w:val="sq-AL"/>
              </w:rPr>
            </w:pPr>
            <w:r w:rsidRPr="00FA5606">
              <w:rPr>
                <w:rFonts w:asciiTheme="minorHAnsi" w:hAnsiTheme="minorHAnsi" w:cstheme="minorHAnsi"/>
                <w:color w:val="auto"/>
                <w:lang w:val="sq-AL"/>
              </w:rPr>
              <w:t>496</w:t>
            </w:r>
          </w:p>
        </w:tc>
        <w:tc>
          <w:tcPr>
            <w:tcW w:w="871" w:type="dxa"/>
          </w:tcPr>
          <w:p w:rsidR="00AD4FB4" w:rsidRPr="00E97254" w:rsidRDefault="00FA5606" w:rsidP="000C0250">
            <w:pPr>
              <w:pStyle w:val="BodyText"/>
              <w:spacing w:after="0" w:line="276" w:lineRule="auto"/>
              <w:jc w:val="center"/>
              <w:rPr>
                <w:rFonts w:asciiTheme="minorHAnsi" w:hAnsiTheme="minorHAnsi" w:cstheme="minorHAnsi"/>
                <w:color w:val="auto"/>
                <w:lang w:val="sq-AL"/>
              </w:rPr>
            </w:pPr>
            <w:r w:rsidRPr="00FA5606">
              <w:rPr>
                <w:rFonts w:asciiTheme="minorHAnsi" w:hAnsiTheme="minorHAnsi" w:cstheme="minorHAnsi"/>
                <w:color w:val="auto"/>
                <w:lang w:val="sq-AL"/>
              </w:rPr>
              <w:t>394</w:t>
            </w:r>
          </w:p>
        </w:tc>
        <w:tc>
          <w:tcPr>
            <w:tcW w:w="871" w:type="dxa"/>
          </w:tcPr>
          <w:p w:rsidR="00AD4FB4" w:rsidRPr="00E97254" w:rsidRDefault="00FA5606" w:rsidP="000C0250">
            <w:pPr>
              <w:pStyle w:val="BodyText"/>
              <w:spacing w:after="0" w:line="276" w:lineRule="auto"/>
              <w:jc w:val="center"/>
              <w:rPr>
                <w:rFonts w:asciiTheme="minorHAnsi" w:hAnsiTheme="minorHAnsi" w:cstheme="minorHAnsi"/>
                <w:color w:val="auto"/>
                <w:lang w:val="sq-AL"/>
              </w:rPr>
            </w:pPr>
            <w:r w:rsidRPr="00FA5606">
              <w:rPr>
                <w:rFonts w:asciiTheme="minorHAnsi" w:hAnsiTheme="minorHAnsi" w:cstheme="minorHAnsi"/>
                <w:color w:val="auto"/>
                <w:lang w:val="sq-AL"/>
              </w:rPr>
              <w:t>494</w:t>
            </w:r>
          </w:p>
        </w:tc>
        <w:tc>
          <w:tcPr>
            <w:tcW w:w="871" w:type="dxa"/>
          </w:tcPr>
          <w:p w:rsidR="00AD4FB4" w:rsidRPr="00E97254" w:rsidRDefault="00FA5606" w:rsidP="000C0250">
            <w:pPr>
              <w:pStyle w:val="BodyText"/>
              <w:spacing w:after="0" w:line="276" w:lineRule="auto"/>
              <w:jc w:val="center"/>
              <w:rPr>
                <w:rFonts w:asciiTheme="minorHAnsi" w:hAnsiTheme="minorHAnsi" w:cstheme="minorHAnsi"/>
                <w:color w:val="auto"/>
                <w:lang w:val="sq-AL"/>
              </w:rPr>
            </w:pPr>
            <w:r w:rsidRPr="00FA5606">
              <w:rPr>
                <w:rFonts w:asciiTheme="minorHAnsi" w:hAnsiTheme="minorHAnsi" w:cstheme="minorHAnsi"/>
                <w:color w:val="auto"/>
                <w:lang w:val="sq-AL"/>
              </w:rPr>
              <w:t>413</w:t>
            </w:r>
          </w:p>
        </w:tc>
        <w:tc>
          <w:tcPr>
            <w:tcW w:w="871" w:type="dxa"/>
          </w:tcPr>
          <w:p w:rsidR="00AD4FB4" w:rsidRPr="00E97254" w:rsidRDefault="00FA5606" w:rsidP="000C0250">
            <w:pPr>
              <w:pStyle w:val="BodyText"/>
              <w:spacing w:after="0" w:line="276" w:lineRule="auto"/>
              <w:jc w:val="center"/>
              <w:rPr>
                <w:rFonts w:asciiTheme="minorHAnsi" w:hAnsiTheme="minorHAnsi" w:cstheme="minorHAnsi"/>
                <w:color w:val="auto"/>
                <w:lang w:val="sq-AL"/>
              </w:rPr>
            </w:pPr>
            <w:r w:rsidRPr="00FA5606">
              <w:rPr>
                <w:rFonts w:asciiTheme="minorHAnsi" w:hAnsiTheme="minorHAnsi" w:cstheme="minorHAnsi"/>
                <w:color w:val="auto"/>
                <w:lang w:val="sq-AL"/>
              </w:rPr>
              <w:t>490</w:t>
            </w:r>
          </w:p>
        </w:tc>
        <w:tc>
          <w:tcPr>
            <w:tcW w:w="871" w:type="dxa"/>
          </w:tcPr>
          <w:p w:rsidR="00AD4FB4" w:rsidRPr="00E97254" w:rsidRDefault="00FA5606" w:rsidP="000C0250">
            <w:pPr>
              <w:pStyle w:val="BodyText"/>
              <w:spacing w:after="0" w:line="276" w:lineRule="auto"/>
              <w:jc w:val="center"/>
              <w:rPr>
                <w:rFonts w:asciiTheme="minorHAnsi" w:hAnsiTheme="minorHAnsi" w:cstheme="minorHAnsi"/>
                <w:color w:val="auto"/>
                <w:lang w:val="sq-AL"/>
              </w:rPr>
            </w:pPr>
            <w:r w:rsidRPr="00FA5606">
              <w:rPr>
                <w:rFonts w:asciiTheme="minorHAnsi" w:hAnsiTheme="minorHAnsi" w:cstheme="minorHAnsi"/>
                <w:color w:val="auto"/>
                <w:lang w:val="sq-AL"/>
              </w:rPr>
              <w:t>437</w:t>
            </w:r>
          </w:p>
        </w:tc>
        <w:tc>
          <w:tcPr>
            <w:tcW w:w="871" w:type="dxa"/>
          </w:tcPr>
          <w:p w:rsidR="00AD4FB4" w:rsidRPr="00E97254" w:rsidRDefault="00FA5606" w:rsidP="000C0250">
            <w:pPr>
              <w:pStyle w:val="BodyText"/>
              <w:spacing w:after="0" w:line="276" w:lineRule="auto"/>
              <w:jc w:val="center"/>
              <w:rPr>
                <w:rFonts w:asciiTheme="minorHAnsi" w:hAnsiTheme="minorHAnsi" w:cstheme="minorHAnsi"/>
                <w:color w:val="auto"/>
                <w:lang w:val="sq-AL"/>
              </w:rPr>
            </w:pPr>
            <w:r w:rsidRPr="00FA5606">
              <w:rPr>
                <w:rFonts w:asciiTheme="minorHAnsi" w:hAnsiTheme="minorHAnsi" w:cstheme="minorHAnsi"/>
                <w:color w:val="auto"/>
                <w:lang w:val="sq-AL"/>
              </w:rPr>
              <w:t>489</w:t>
            </w:r>
          </w:p>
        </w:tc>
      </w:tr>
      <w:tr w:rsidR="00D93FFF" w:rsidRPr="00E97254" w:rsidTr="004148ED">
        <w:tc>
          <w:tcPr>
            <w:tcW w:w="870" w:type="dxa"/>
          </w:tcPr>
          <w:p w:rsidR="00AD4FB4" w:rsidRPr="00E97254" w:rsidRDefault="00FA5606" w:rsidP="000C0250">
            <w:pPr>
              <w:pStyle w:val="BodyText"/>
              <w:spacing w:after="0" w:line="276" w:lineRule="auto"/>
              <w:rPr>
                <w:rFonts w:asciiTheme="minorHAnsi" w:hAnsiTheme="minorHAnsi" w:cstheme="minorHAnsi"/>
                <w:color w:val="auto"/>
                <w:lang w:val="sq-AL"/>
              </w:rPr>
            </w:pPr>
            <w:r w:rsidRPr="00FA5606">
              <w:rPr>
                <w:rFonts w:asciiTheme="minorHAnsi" w:hAnsiTheme="minorHAnsi" w:cstheme="minorHAnsi"/>
                <w:color w:val="auto"/>
                <w:lang w:val="sq-AL"/>
              </w:rPr>
              <w:t>Shkenca</w:t>
            </w:r>
          </w:p>
        </w:tc>
        <w:tc>
          <w:tcPr>
            <w:tcW w:w="870" w:type="dxa"/>
          </w:tcPr>
          <w:p w:rsidR="00AD4FB4" w:rsidRPr="00E97254" w:rsidRDefault="00FA5606" w:rsidP="000C0250">
            <w:pPr>
              <w:pStyle w:val="BodyText"/>
              <w:spacing w:after="0" w:line="276" w:lineRule="auto"/>
              <w:jc w:val="center"/>
              <w:rPr>
                <w:rFonts w:asciiTheme="minorHAnsi" w:hAnsiTheme="minorHAnsi" w:cstheme="minorHAnsi"/>
                <w:color w:val="auto"/>
                <w:lang w:val="sq-AL"/>
              </w:rPr>
            </w:pPr>
            <w:r w:rsidRPr="00FA5606">
              <w:rPr>
                <w:rFonts w:asciiTheme="minorHAnsi" w:hAnsiTheme="minorHAnsi" w:cstheme="minorHAnsi"/>
                <w:color w:val="auto"/>
                <w:lang w:val="sq-AL"/>
              </w:rPr>
              <w:t>376</w:t>
            </w:r>
          </w:p>
        </w:tc>
        <w:tc>
          <w:tcPr>
            <w:tcW w:w="870" w:type="dxa"/>
          </w:tcPr>
          <w:p w:rsidR="00AD4FB4" w:rsidRPr="00E97254" w:rsidRDefault="00FA5606" w:rsidP="000C0250">
            <w:pPr>
              <w:pStyle w:val="BodyText"/>
              <w:spacing w:after="0" w:line="276" w:lineRule="auto"/>
              <w:jc w:val="center"/>
              <w:rPr>
                <w:rFonts w:asciiTheme="minorHAnsi" w:hAnsiTheme="minorHAnsi" w:cstheme="minorHAnsi"/>
                <w:color w:val="auto"/>
                <w:lang w:val="sq-AL"/>
              </w:rPr>
            </w:pPr>
            <w:r w:rsidRPr="00FA5606">
              <w:rPr>
                <w:rFonts w:asciiTheme="minorHAnsi" w:hAnsiTheme="minorHAnsi" w:cstheme="minorHAnsi"/>
                <w:color w:val="auto"/>
                <w:lang w:val="sq-AL"/>
              </w:rPr>
              <w:t>500</w:t>
            </w:r>
          </w:p>
        </w:tc>
        <w:tc>
          <w:tcPr>
            <w:tcW w:w="870" w:type="dxa"/>
          </w:tcPr>
          <w:p w:rsidR="00AD4FB4" w:rsidRPr="00E97254" w:rsidRDefault="00FA5606" w:rsidP="000C0250">
            <w:pPr>
              <w:pStyle w:val="BodyText"/>
              <w:spacing w:after="0" w:line="276" w:lineRule="auto"/>
              <w:jc w:val="center"/>
              <w:rPr>
                <w:rFonts w:asciiTheme="minorHAnsi" w:hAnsiTheme="minorHAnsi" w:cstheme="minorHAnsi"/>
                <w:color w:val="auto"/>
                <w:lang w:val="sq-AL"/>
              </w:rPr>
            </w:pPr>
            <w:r w:rsidRPr="00FA5606">
              <w:rPr>
                <w:rFonts w:asciiTheme="minorHAnsi" w:hAnsiTheme="minorHAnsi" w:cstheme="minorHAnsi"/>
                <w:color w:val="auto"/>
                <w:lang w:val="sq-AL"/>
              </w:rPr>
              <w:t>391</w:t>
            </w:r>
          </w:p>
        </w:tc>
        <w:tc>
          <w:tcPr>
            <w:tcW w:w="870" w:type="dxa"/>
          </w:tcPr>
          <w:p w:rsidR="00AD4FB4" w:rsidRPr="00E97254" w:rsidRDefault="00FA5606" w:rsidP="000C0250">
            <w:pPr>
              <w:pStyle w:val="BodyText"/>
              <w:spacing w:after="0" w:line="276" w:lineRule="auto"/>
              <w:jc w:val="center"/>
              <w:rPr>
                <w:rFonts w:asciiTheme="minorHAnsi" w:hAnsiTheme="minorHAnsi" w:cstheme="minorHAnsi"/>
                <w:color w:val="auto"/>
                <w:lang w:val="sq-AL"/>
              </w:rPr>
            </w:pPr>
            <w:r w:rsidRPr="00FA5606">
              <w:rPr>
                <w:rFonts w:asciiTheme="minorHAnsi" w:hAnsiTheme="minorHAnsi" w:cstheme="minorHAnsi"/>
                <w:color w:val="auto"/>
                <w:lang w:val="sq-AL"/>
              </w:rPr>
              <w:t>501</w:t>
            </w:r>
          </w:p>
        </w:tc>
        <w:tc>
          <w:tcPr>
            <w:tcW w:w="871" w:type="dxa"/>
          </w:tcPr>
          <w:p w:rsidR="00AD4FB4" w:rsidRPr="00E97254" w:rsidRDefault="00FA5606" w:rsidP="000C0250">
            <w:pPr>
              <w:pStyle w:val="BodyText"/>
              <w:spacing w:after="0" w:line="276" w:lineRule="auto"/>
              <w:jc w:val="center"/>
              <w:rPr>
                <w:rFonts w:asciiTheme="minorHAnsi" w:hAnsiTheme="minorHAnsi" w:cstheme="minorHAnsi"/>
                <w:color w:val="auto"/>
                <w:lang w:val="sq-AL"/>
              </w:rPr>
            </w:pPr>
            <w:r w:rsidRPr="00FA5606">
              <w:rPr>
                <w:rFonts w:asciiTheme="minorHAnsi" w:hAnsiTheme="minorHAnsi" w:cstheme="minorHAnsi"/>
                <w:color w:val="auto"/>
                <w:lang w:val="sq-AL"/>
              </w:rPr>
              <w:t>397</w:t>
            </w:r>
          </w:p>
        </w:tc>
        <w:tc>
          <w:tcPr>
            <w:tcW w:w="871" w:type="dxa"/>
          </w:tcPr>
          <w:p w:rsidR="00AD4FB4" w:rsidRPr="00E97254" w:rsidRDefault="00FA5606" w:rsidP="000C0250">
            <w:pPr>
              <w:pStyle w:val="BodyText"/>
              <w:spacing w:after="0" w:line="276" w:lineRule="auto"/>
              <w:jc w:val="center"/>
              <w:rPr>
                <w:rFonts w:asciiTheme="minorHAnsi" w:hAnsiTheme="minorHAnsi" w:cstheme="minorHAnsi"/>
                <w:color w:val="auto"/>
                <w:lang w:val="sq-AL"/>
              </w:rPr>
            </w:pPr>
            <w:r w:rsidRPr="00FA5606">
              <w:rPr>
                <w:rFonts w:asciiTheme="minorHAnsi" w:hAnsiTheme="minorHAnsi" w:cstheme="minorHAnsi"/>
                <w:color w:val="auto"/>
                <w:lang w:val="sq-AL"/>
              </w:rPr>
              <w:t>501</w:t>
            </w:r>
          </w:p>
        </w:tc>
        <w:tc>
          <w:tcPr>
            <w:tcW w:w="871" w:type="dxa"/>
          </w:tcPr>
          <w:p w:rsidR="00AD4FB4" w:rsidRPr="00E97254" w:rsidRDefault="00FA5606" w:rsidP="000C0250">
            <w:pPr>
              <w:pStyle w:val="BodyText"/>
              <w:spacing w:after="0" w:line="276" w:lineRule="auto"/>
              <w:jc w:val="center"/>
              <w:rPr>
                <w:rFonts w:asciiTheme="minorHAnsi" w:hAnsiTheme="minorHAnsi" w:cstheme="minorHAnsi"/>
                <w:color w:val="auto"/>
                <w:lang w:val="sq-AL"/>
              </w:rPr>
            </w:pPr>
            <w:r w:rsidRPr="00FA5606">
              <w:rPr>
                <w:rFonts w:asciiTheme="minorHAnsi" w:hAnsiTheme="minorHAnsi" w:cstheme="minorHAnsi"/>
                <w:color w:val="auto"/>
                <w:lang w:val="sq-AL"/>
              </w:rPr>
              <w:t>427</w:t>
            </w:r>
          </w:p>
        </w:tc>
        <w:tc>
          <w:tcPr>
            <w:tcW w:w="871" w:type="dxa"/>
          </w:tcPr>
          <w:p w:rsidR="00AD4FB4" w:rsidRPr="00E97254" w:rsidRDefault="00FA5606" w:rsidP="000C0250">
            <w:pPr>
              <w:pStyle w:val="BodyText"/>
              <w:spacing w:after="0" w:line="276" w:lineRule="auto"/>
              <w:jc w:val="center"/>
              <w:rPr>
                <w:rFonts w:asciiTheme="minorHAnsi" w:hAnsiTheme="minorHAnsi" w:cstheme="minorHAnsi"/>
                <w:color w:val="auto"/>
                <w:lang w:val="sq-AL"/>
              </w:rPr>
            </w:pPr>
            <w:r w:rsidRPr="00FA5606">
              <w:rPr>
                <w:rFonts w:asciiTheme="minorHAnsi" w:hAnsiTheme="minorHAnsi" w:cstheme="minorHAnsi"/>
                <w:color w:val="auto"/>
                <w:lang w:val="sq-AL"/>
              </w:rPr>
              <w:t>493</w:t>
            </w:r>
          </w:p>
        </w:tc>
        <w:tc>
          <w:tcPr>
            <w:tcW w:w="871" w:type="dxa"/>
          </w:tcPr>
          <w:p w:rsidR="00AD4FB4" w:rsidRPr="00E97254" w:rsidRDefault="00FA5606" w:rsidP="000C0250">
            <w:pPr>
              <w:pStyle w:val="BodyText"/>
              <w:spacing w:after="0" w:line="276" w:lineRule="auto"/>
              <w:jc w:val="center"/>
              <w:rPr>
                <w:rFonts w:asciiTheme="minorHAnsi" w:hAnsiTheme="minorHAnsi" w:cstheme="minorHAnsi"/>
                <w:color w:val="auto"/>
                <w:lang w:val="sq-AL"/>
              </w:rPr>
            </w:pPr>
            <w:r w:rsidRPr="00FA5606">
              <w:rPr>
                <w:rFonts w:asciiTheme="minorHAnsi" w:hAnsiTheme="minorHAnsi" w:cstheme="minorHAnsi"/>
                <w:color w:val="auto"/>
                <w:lang w:val="sq-AL"/>
              </w:rPr>
              <w:t>417</w:t>
            </w:r>
          </w:p>
        </w:tc>
        <w:tc>
          <w:tcPr>
            <w:tcW w:w="871" w:type="dxa"/>
          </w:tcPr>
          <w:p w:rsidR="00AD4FB4" w:rsidRPr="00E97254" w:rsidRDefault="00FA5606" w:rsidP="000C0250">
            <w:pPr>
              <w:pStyle w:val="BodyText"/>
              <w:spacing w:after="0" w:line="276" w:lineRule="auto"/>
              <w:jc w:val="center"/>
              <w:rPr>
                <w:rFonts w:asciiTheme="minorHAnsi" w:hAnsiTheme="minorHAnsi" w:cstheme="minorHAnsi"/>
                <w:color w:val="auto"/>
                <w:lang w:val="sq-AL"/>
              </w:rPr>
            </w:pPr>
            <w:r w:rsidRPr="00FA5606">
              <w:rPr>
                <w:rFonts w:asciiTheme="minorHAnsi" w:hAnsiTheme="minorHAnsi" w:cstheme="minorHAnsi"/>
                <w:color w:val="auto"/>
                <w:lang w:val="sq-AL"/>
              </w:rPr>
              <w:t>489</w:t>
            </w:r>
          </w:p>
        </w:tc>
      </w:tr>
    </w:tbl>
    <w:p w:rsidR="00AD4FB4" w:rsidRPr="00E97254" w:rsidRDefault="00AD4FB4" w:rsidP="000C0250">
      <w:pPr>
        <w:pStyle w:val="BodyText"/>
        <w:spacing w:line="276" w:lineRule="auto"/>
        <w:jc w:val="both"/>
        <w:rPr>
          <w:color w:val="auto"/>
          <w:lang w:val="sq-AL"/>
        </w:rPr>
      </w:pPr>
    </w:p>
    <w:p w:rsidR="00052702" w:rsidRPr="00E97254" w:rsidRDefault="00FA5606" w:rsidP="000C0250">
      <w:pPr>
        <w:spacing w:after="0"/>
        <w:jc w:val="both"/>
        <w:rPr>
          <w:rFonts w:cstheme="minorHAnsi"/>
        </w:rPr>
      </w:pPr>
      <w:r w:rsidRPr="00FA5606">
        <w:rPr>
          <w:rFonts w:eastAsia="Times New Roman" w:cstheme="minorHAnsi"/>
        </w:rPr>
        <w:t>Përveç testi</w:t>
      </w:r>
      <w:r w:rsidR="00DD7490">
        <w:rPr>
          <w:rFonts w:eastAsia="Times New Roman" w:cstheme="minorHAnsi"/>
        </w:rPr>
        <w:t>t</w:t>
      </w:r>
      <w:r w:rsidRPr="00FA5606">
        <w:rPr>
          <w:rFonts w:eastAsia="Times New Roman" w:cstheme="minorHAnsi"/>
        </w:rPr>
        <w:t xml:space="preserve"> PISA, në vitin 2019</w:t>
      </w:r>
      <w:r w:rsidR="00DD7490">
        <w:rPr>
          <w:rFonts w:eastAsia="Times New Roman" w:cstheme="minorHAnsi"/>
        </w:rPr>
        <w:t>,</w:t>
      </w:r>
      <w:r w:rsidRPr="00FA5606">
        <w:rPr>
          <w:rFonts w:eastAsia="Times New Roman" w:cstheme="minorHAnsi"/>
        </w:rPr>
        <w:t xml:space="preserve"> Shqipëria ka marrë pjesë</w:t>
      </w:r>
      <w:r w:rsidR="00DD7490">
        <w:rPr>
          <w:rFonts w:eastAsia="Times New Roman" w:cstheme="minorHAnsi"/>
        </w:rPr>
        <w:t>,</w:t>
      </w:r>
      <w:r w:rsidRPr="00FA5606">
        <w:rPr>
          <w:rFonts w:eastAsia="Times New Roman" w:cstheme="minorHAnsi"/>
        </w:rPr>
        <w:t xml:space="preserve"> për herë të parë</w:t>
      </w:r>
      <w:r w:rsidR="00DD7490">
        <w:rPr>
          <w:rFonts w:eastAsia="Times New Roman" w:cstheme="minorHAnsi"/>
        </w:rPr>
        <w:t>,</w:t>
      </w:r>
      <w:r w:rsidRPr="00FA5606">
        <w:rPr>
          <w:rFonts w:eastAsia="Times New Roman" w:cstheme="minorHAnsi"/>
        </w:rPr>
        <w:t xml:space="preserve"> edhe në TIMSS (Prirjet e Studimit Ndërkombëtar në Matematikë dhe Shkencë)</w:t>
      </w:r>
      <w:r w:rsidR="00DD7490">
        <w:rPr>
          <w:rFonts w:eastAsia="Times New Roman" w:cstheme="minorHAnsi"/>
        </w:rPr>
        <w:t>,</w:t>
      </w:r>
      <w:r w:rsidRPr="00FA5606">
        <w:rPr>
          <w:rFonts w:eastAsia="Times New Roman" w:cstheme="minorHAnsi"/>
        </w:rPr>
        <w:t xml:space="preserve"> </w:t>
      </w:r>
      <w:r w:rsidRPr="00FA5606">
        <w:rPr>
          <w:rFonts w:cstheme="minorHAnsi"/>
        </w:rPr>
        <w:t xml:space="preserve">që mat arritjet e nxënësve në Matematikë dhe Shkenca. Nxënësit </w:t>
      </w:r>
      <w:r w:rsidR="00DD7490" w:rsidRPr="004E1F53">
        <w:rPr>
          <w:rFonts w:cstheme="minorHAnsi"/>
        </w:rPr>
        <w:t>shqiptarë</w:t>
      </w:r>
      <w:r w:rsidRPr="00FA5606">
        <w:rPr>
          <w:rFonts w:cstheme="minorHAnsi"/>
        </w:rPr>
        <w:t xml:space="preserve"> të klasave të katërta janë renditur në vendin e 39-të në Matematikë (pa përfshirë në këtë renditje 6 entitetet), me arritje mesatarisht më të larta se: Zelanda e Re, Franca, Gjeorgjia, Emiratet e Bashkuara, </w:t>
      </w:r>
      <w:r w:rsidR="00DD7490" w:rsidRPr="004E1F53">
        <w:rPr>
          <w:rFonts w:cstheme="minorHAnsi"/>
        </w:rPr>
        <w:t>Bahrejn</w:t>
      </w:r>
      <w:r w:rsidR="00DD7490">
        <w:rPr>
          <w:rFonts w:cstheme="minorHAnsi"/>
        </w:rPr>
        <w:t>i</w:t>
      </w:r>
      <w:r w:rsidRPr="00FA5606">
        <w:rPr>
          <w:rFonts w:cstheme="minorHAnsi"/>
        </w:rPr>
        <w:t xml:space="preserve">, Maqedonia e Veriut, Mali i Zi, </w:t>
      </w:r>
      <w:r w:rsidR="00DD7490" w:rsidRPr="004E1F53">
        <w:rPr>
          <w:rFonts w:cstheme="minorHAnsi"/>
        </w:rPr>
        <w:t>Bosnj</w:t>
      </w:r>
      <w:r w:rsidR="00DD7490">
        <w:rPr>
          <w:rFonts w:cstheme="minorHAnsi"/>
        </w:rPr>
        <w:t>a</w:t>
      </w:r>
      <w:r w:rsidRPr="00FA5606">
        <w:rPr>
          <w:rFonts w:cstheme="minorHAnsi"/>
        </w:rPr>
        <w:t xml:space="preserve"> </w:t>
      </w:r>
      <w:r w:rsidR="00DD7490">
        <w:rPr>
          <w:rFonts w:cstheme="minorHAnsi"/>
        </w:rPr>
        <w:t xml:space="preserve">dhe </w:t>
      </w:r>
      <w:r w:rsidR="00DD7490" w:rsidRPr="004E1F53">
        <w:rPr>
          <w:rFonts w:cstheme="minorHAnsi"/>
        </w:rPr>
        <w:t>Hercegovina</w:t>
      </w:r>
      <w:r w:rsidRPr="00FA5606">
        <w:rPr>
          <w:rFonts w:cstheme="minorHAnsi"/>
        </w:rPr>
        <w:t xml:space="preserve">, Katari, Kosova, Irani, Kili, Omani, Arabia Saudite, Maroku, </w:t>
      </w:r>
      <w:r w:rsidR="00DD7490" w:rsidRPr="004E1F53">
        <w:rPr>
          <w:rFonts w:cstheme="minorHAnsi"/>
        </w:rPr>
        <w:t>Kuvajti</w:t>
      </w:r>
      <w:r w:rsidRPr="00FA5606">
        <w:rPr>
          <w:rFonts w:cstheme="minorHAnsi"/>
        </w:rPr>
        <w:t>, Afrikën e Jugut, Pakistani dhe Filipinet. Edhe në fushën e shkencës</w:t>
      </w:r>
      <w:r w:rsidRPr="00FA5606">
        <w:rPr>
          <w:rFonts w:cstheme="minorHAnsi"/>
          <w:b/>
        </w:rPr>
        <w:t xml:space="preserve">, </w:t>
      </w:r>
      <w:r w:rsidRPr="00FA5606">
        <w:rPr>
          <w:rFonts w:cstheme="minorHAnsi"/>
        </w:rPr>
        <w:t xml:space="preserve">nga 58 vende pjesëmarrëse Shqipëria është renditur në vendin e 39 -të, duke lënë prapa vende të tilla si: Franca, Emiratet e Bashkuara, Kili, Armenia, </w:t>
      </w:r>
      <w:r w:rsidR="00DD7490" w:rsidRPr="004E1F53">
        <w:rPr>
          <w:rFonts w:cstheme="minorHAnsi"/>
        </w:rPr>
        <w:t>Bosnj</w:t>
      </w:r>
      <w:r w:rsidR="00DD7490">
        <w:rPr>
          <w:rFonts w:cstheme="minorHAnsi"/>
        </w:rPr>
        <w:t>a</w:t>
      </w:r>
      <w:r w:rsidR="00DD7490" w:rsidRPr="004E1F53">
        <w:rPr>
          <w:rFonts w:cstheme="minorHAnsi"/>
        </w:rPr>
        <w:t xml:space="preserve"> </w:t>
      </w:r>
      <w:r w:rsidR="00DD7490">
        <w:rPr>
          <w:rFonts w:cstheme="minorHAnsi"/>
        </w:rPr>
        <w:t xml:space="preserve">dhe </w:t>
      </w:r>
      <w:r w:rsidR="00DD7490" w:rsidRPr="004E1F53">
        <w:rPr>
          <w:rFonts w:cstheme="minorHAnsi"/>
        </w:rPr>
        <w:t>Hercegovina</w:t>
      </w:r>
      <w:r w:rsidRPr="00FA5606">
        <w:rPr>
          <w:rFonts w:cstheme="minorHAnsi"/>
        </w:rPr>
        <w:t xml:space="preserve">, Gjeorgjia, Mali i Zi, Katari, Irani, Azerbajxhani, Maqedonia e Veriut, Kosova, Arabia Saudite, </w:t>
      </w:r>
      <w:r w:rsidR="00DD7490" w:rsidRPr="004E1F53">
        <w:rPr>
          <w:rFonts w:cstheme="minorHAnsi"/>
        </w:rPr>
        <w:t>Kuvajti</w:t>
      </w:r>
      <w:r w:rsidRPr="00FA5606">
        <w:rPr>
          <w:rFonts w:cstheme="minorHAnsi"/>
        </w:rPr>
        <w:t xml:space="preserve">, Maroku, Afrika e Jugut, Pakistani dhe Filipinet. </w:t>
      </w:r>
    </w:p>
    <w:p w:rsidR="00052702" w:rsidRPr="00E97254" w:rsidRDefault="00FA5606" w:rsidP="000C0250">
      <w:pPr>
        <w:spacing w:after="0"/>
        <w:jc w:val="both"/>
        <w:rPr>
          <w:rFonts w:cstheme="minorHAnsi"/>
        </w:rPr>
      </w:pPr>
      <w:r w:rsidRPr="00FA5606">
        <w:rPr>
          <w:rFonts w:cstheme="minorHAnsi"/>
        </w:rPr>
        <w:t>Në vitin 2021, Shqipëria merr pjesë për herë të parë në PIRLS (Progresi i Studimit Ndërkombëtar në Lexim), i cili mat arritjet e nxënësve të klasave të katërta në Lexim.</w:t>
      </w:r>
    </w:p>
    <w:p w:rsidR="0015384C" w:rsidRPr="00E97254" w:rsidRDefault="0015384C" w:rsidP="000C0250">
      <w:pPr>
        <w:rPr>
          <w:rFonts w:asciiTheme="majorHAnsi" w:eastAsiaTheme="majorEastAsia" w:hAnsiTheme="majorHAnsi" w:cstheme="majorBidi"/>
          <w:b/>
          <w:bCs/>
          <w:color w:val="4F81BD" w:themeColor="accent1"/>
        </w:rPr>
      </w:pPr>
    </w:p>
    <w:p w:rsidR="00C44536" w:rsidRPr="00E97254" w:rsidRDefault="00FA5606" w:rsidP="000C0250">
      <w:pPr>
        <w:pStyle w:val="Heading3"/>
        <w:jc w:val="both"/>
      </w:pPr>
      <w:bookmarkStart w:id="76" w:name="_Toc66801997"/>
      <w:r w:rsidRPr="00FA5606">
        <w:t xml:space="preserve">4.3.4. </w:t>
      </w:r>
      <w:bookmarkEnd w:id="75"/>
      <w:r w:rsidRPr="00FA5606">
        <w:t>Digjitalizimi i arsimit</w:t>
      </w:r>
      <w:bookmarkEnd w:id="76"/>
    </w:p>
    <w:p w:rsidR="005E00C8" w:rsidRPr="00E97254" w:rsidRDefault="00FA5606" w:rsidP="000C0250">
      <w:pPr>
        <w:spacing w:before="120" w:after="0"/>
        <w:jc w:val="both"/>
        <w:rPr>
          <w:rFonts w:ascii="Calibri" w:hAnsi="Calibri" w:cs="Calibri"/>
        </w:rPr>
      </w:pPr>
      <w:r w:rsidRPr="00FA5606">
        <w:rPr>
          <w:rFonts w:ascii="Calibri" w:hAnsi="Calibri" w:cs="Calibri"/>
        </w:rPr>
        <w:t>Deri tani nuk ka të dhëna përfundimtare nga hulumtimet që provojnë një ndikim thelbësor të TIK-ut në përmirësimin e rezultateve të të nxënit.</w:t>
      </w:r>
      <w:r w:rsidRPr="00FA5606">
        <w:rPr>
          <w:rFonts w:ascii="Calibri" w:hAnsi="Calibri" w:cs="Calibri"/>
          <w:sz w:val="24"/>
          <w:szCs w:val="24"/>
        </w:rPr>
        <w:t xml:space="preserve"> </w:t>
      </w:r>
      <w:r w:rsidRPr="00FA5606">
        <w:rPr>
          <w:rFonts w:ascii="Calibri" w:hAnsi="Calibri" w:cs="Calibri"/>
        </w:rPr>
        <w:t xml:space="preserve"> Megjithatë, është e sigurt se përdorimi i TIK-ut në procesin mësimor kontribuon në zhvillimin e kompetencës digjitale tek nxënësit, e cila është thelbësore për pjesëmarrjen në mënyrë të efektshme në shoqërinë e informacionit. Përkushtimi për digjitalizimin e arsimit është shprehur në SZHAPU</w:t>
      </w:r>
      <w:r w:rsidR="00DD7490">
        <w:rPr>
          <w:rFonts w:ascii="Calibri" w:hAnsi="Calibri" w:cs="Calibri"/>
        </w:rPr>
        <w:t>,</w:t>
      </w:r>
      <w:r w:rsidRPr="00FA5606">
        <w:rPr>
          <w:rFonts w:ascii="Calibri" w:hAnsi="Calibri" w:cs="Calibri"/>
        </w:rPr>
        <w:t xml:space="preserve"> ku promovimi i aftësive digjitale te nxënësit, si dhe integrimi i TIK-ut në mësimdhënie dhe </w:t>
      </w:r>
      <w:r w:rsidR="00E8227C">
        <w:rPr>
          <w:rFonts w:ascii="Calibri" w:hAnsi="Calibri" w:cs="Calibri"/>
        </w:rPr>
        <w:t>m</w:t>
      </w:r>
      <w:r w:rsidR="00E8227C" w:rsidRPr="00E8227C">
        <w:rPr>
          <w:rFonts w:cstheme="minorHAnsi"/>
        </w:rPr>
        <w:t>ë</w:t>
      </w:r>
      <w:r w:rsidR="00E8227C">
        <w:rPr>
          <w:rFonts w:cstheme="minorHAnsi"/>
        </w:rPr>
        <w:t>sim</w:t>
      </w:r>
      <w:r w:rsidRPr="00FA5606">
        <w:rPr>
          <w:rFonts w:ascii="Calibri" w:hAnsi="Calibri" w:cs="Calibri"/>
        </w:rPr>
        <w:t>nxën</w:t>
      </w:r>
      <w:r w:rsidR="00E8227C">
        <w:rPr>
          <w:rFonts w:ascii="Calibri" w:hAnsi="Calibri" w:cs="Calibri"/>
        </w:rPr>
        <w:t>ie</w:t>
      </w:r>
      <w:r w:rsidRPr="00FA5606">
        <w:rPr>
          <w:rFonts w:ascii="Calibri" w:hAnsi="Calibri" w:cs="Calibri"/>
        </w:rPr>
        <w:t xml:space="preserve"> është prioritet </w:t>
      </w:r>
      <w:sdt>
        <w:sdtPr>
          <w:rPr>
            <w:rFonts w:ascii="Calibri" w:hAnsi="Calibri" w:cs="Calibri"/>
          </w:rPr>
          <w:id w:val="-612818500"/>
          <w:citation/>
        </w:sdtPr>
        <w:sdtEndPr/>
        <w:sdtContent>
          <w:r w:rsidR="00EC56B7" w:rsidRPr="00E97254">
            <w:rPr>
              <w:rFonts w:ascii="Calibri" w:hAnsi="Calibri" w:cs="Calibri"/>
            </w:rPr>
            <w:fldChar w:fldCharType="begin"/>
          </w:r>
          <w:r w:rsidRPr="00FA5606">
            <w:rPr>
              <w:rFonts w:ascii="Calibri" w:hAnsi="Calibri" w:cs="Calibri"/>
            </w:rPr>
            <w:instrText xml:space="preserve"> CITATION QBZ16 \l 1033 </w:instrText>
          </w:r>
          <w:r w:rsidR="00EC56B7" w:rsidRPr="00E97254">
            <w:rPr>
              <w:rFonts w:ascii="Calibri" w:hAnsi="Calibri" w:cs="Calibri"/>
            </w:rPr>
            <w:fldChar w:fldCharType="separate"/>
          </w:r>
          <w:r w:rsidR="00724BCC" w:rsidRPr="00E97254">
            <w:rPr>
              <w:rFonts w:ascii="Calibri" w:hAnsi="Calibri" w:cs="Calibri"/>
            </w:rPr>
            <w:t>[2]</w:t>
          </w:r>
          <w:r w:rsidR="00EC56B7" w:rsidRPr="00E97254">
            <w:rPr>
              <w:rFonts w:ascii="Calibri" w:hAnsi="Calibri" w:cs="Calibri"/>
            </w:rPr>
            <w:fldChar w:fldCharType="end"/>
          </w:r>
        </w:sdtContent>
      </w:sdt>
      <w:r w:rsidR="005E00C8" w:rsidRPr="00E97254">
        <w:rPr>
          <w:rFonts w:ascii="Calibri" w:hAnsi="Calibri" w:cs="Calibri"/>
        </w:rPr>
        <w:t xml:space="preserve"> dhe është ripohuar në Programin e Qeverisë për periudhën 2017-2021. </w:t>
      </w:r>
      <w:r w:rsidR="00F23D33" w:rsidRPr="00E97254">
        <w:rPr>
          <w:rFonts w:ascii="Calibri" w:hAnsi="Calibri" w:cs="Calibri"/>
        </w:rPr>
        <w:t>Pavarësisht nga kjo vëmendje e konsiderueshme politike ndaj vlerës së TIK-ut në arsim, mbeten ende shumë sfid</w:t>
      </w:r>
      <w:r w:rsidR="0040250C" w:rsidRPr="00E97254">
        <w:rPr>
          <w:rFonts w:ascii="Calibri" w:hAnsi="Calibri" w:cs="Calibri"/>
        </w:rPr>
        <w:t>a.</w:t>
      </w:r>
    </w:p>
    <w:p w:rsidR="002875AF" w:rsidRPr="00E97254" w:rsidRDefault="00FA5606" w:rsidP="000C0250">
      <w:pPr>
        <w:spacing w:before="120" w:after="0"/>
        <w:jc w:val="both"/>
        <w:rPr>
          <w:rFonts w:ascii="Calibri" w:hAnsi="Calibri" w:cs="Calibri"/>
        </w:rPr>
      </w:pPr>
      <w:r w:rsidRPr="00FA5606">
        <w:rPr>
          <w:rFonts w:ascii="Calibri" w:hAnsi="Calibri" w:cs="Calibri"/>
        </w:rPr>
        <w:lastRenderedPageBreak/>
        <w:t xml:space="preserve">Prej fundit të viteve </w:t>
      </w:r>
      <w:r w:rsidRPr="00FA5606">
        <w:rPr>
          <w:rFonts w:cs="Calibri"/>
        </w:rPr>
        <w:t>90-</w:t>
      </w:r>
      <w:r w:rsidRPr="00FA5606">
        <w:rPr>
          <w:rFonts w:ascii="Calibri" w:hAnsi="Calibri" w:cs="Calibri"/>
        </w:rPr>
        <w:t>të, Shqipëria ka bërë hapa të rëndësishëm drejt shtrirjes së aksesit në teknologji</w:t>
      </w:r>
      <w:r w:rsidR="00DD7490">
        <w:rPr>
          <w:rFonts w:ascii="Calibri" w:hAnsi="Calibri" w:cs="Calibri"/>
        </w:rPr>
        <w:t>n</w:t>
      </w:r>
      <w:r w:rsidR="00DD7490" w:rsidRPr="004E1F53">
        <w:rPr>
          <w:rFonts w:cstheme="minorHAnsi"/>
        </w:rPr>
        <w:t>ë</w:t>
      </w:r>
      <w:r w:rsidRPr="00FA5606">
        <w:rPr>
          <w:rFonts w:ascii="Calibri" w:hAnsi="Calibri" w:cs="Calibri"/>
        </w:rPr>
        <w:t xml:space="preserve"> </w:t>
      </w:r>
      <w:r w:rsidR="00DD7490">
        <w:rPr>
          <w:rFonts w:ascii="Calibri" w:hAnsi="Calibri" w:cs="Calibri"/>
        </w:rPr>
        <w:t>e</w:t>
      </w:r>
      <w:r w:rsidRPr="00FA5606">
        <w:rPr>
          <w:rFonts w:ascii="Calibri" w:hAnsi="Calibri" w:cs="Calibri"/>
        </w:rPr>
        <w:t xml:space="preserve"> informacionit dhe komunikimit (TIK) në institucione</w:t>
      </w:r>
      <w:r w:rsidR="00DD7490">
        <w:rPr>
          <w:rFonts w:ascii="Calibri" w:hAnsi="Calibri" w:cs="Calibri"/>
        </w:rPr>
        <w:t>t</w:t>
      </w:r>
      <w:r w:rsidRPr="00FA5606">
        <w:rPr>
          <w:rFonts w:ascii="Calibri" w:hAnsi="Calibri" w:cs="Calibri"/>
        </w:rPr>
        <w:t xml:space="preserve"> </w:t>
      </w:r>
      <w:r w:rsidR="00DD7490">
        <w:rPr>
          <w:rFonts w:ascii="Calibri" w:hAnsi="Calibri" w:cs="Calibri"/>
        </w:rPr>
        <w:t>e</w:t>
      </w:r>
      <w:r w:rsidRPr="00FA5606">
        <w:rPr>
          <w:rFonts w:ascii="Calibri" w:hAnsi="Calibri" w:cs="Calibri"/>
        </w:rPr>
        <w:t xml:space="preserve"> arsimit parauniversitar. Edhe pse jo në masë të mjaftueshme, shkollat shqiptare janë pajisur me kompjuter</w:t>
      </w:r>
      <w:r w:rsidR="00DD7490">
        <w:rPr>
          <w:rFonts w:ascii="Calibri" w:hAnsi="Calibri" w:cs="Calibri"/>
        </w:rPr>
        <w:t xml:space="preserve">a </w:t>
      </w:r>
      <w:r w:rsidRPr="00FA5606">
        <w:rPr>
          <w:rFonts w:ascii="Calibri" w:hAnsi="Calibri" w:cs="Calibri"/>
        </w:rPr>
        <w:t xml:space="preserve">dhe aksesorë, janë instaluar rrjete lokale kompjuterike, si dhe është bërë e mundur lidhja e tyre në Internet. Në vitin 2017, në shkollat e nivelit parauniversitar raporti kompjuter-nxënës ka qenë 1:27 </w:t>
      </w:r>
      <w:sdt>
        <w:sdtPr>
          <w:rPr>
            <w:rFonts w:ascii="Calibri" w:hAnsi="Calibri" w:cs="Calibri"/>
          </w:rPr>
          <w:id w:val="2095433432"/>
          <w:citation/>
        </w:sdtPr>
        <w:sdtEndPr/>
        <w:sdtContent>
          <w:r w:rsidR="00EC56B7" w:rsidRPr="00E97254">
            <w:rPr>
              <w:rFonts w:ascii="Calibri" w:hAnsi="Calibri" w:cs="Calibri"/>
            </w:rPr>
            <w:fldChar w:fldCharType="begin"/>
          </w:r>
          <w:r w:rsidRPr="00FA5606">
            <w:rPr>
              <w:rFonts w:ascii="Calibri" w:hAnsi="Calibri" w:cs="Calibri"/>
            </w:rPr>
            <w:instrText xml:space="preserve"> CITATION UNE17 \l 1033 </w:instrText>
          </w:r>
          <w:r w:rsidR="00EC56B7" w:rsidRPr="00E97254">
            <w:rPr>
              <w:rFonts w:ascii="Calibri" w:hAnsi="Calibri" w:cs="Calibri"/>
            </w:rPr>
            <w:fldChar w:fldCharType="separate"/>
          </w:r>
          <w:r w:rsidR="00724BCC" w:rsidRPr="00E97254">
            <w:rPr>
              <w:rFonts w:ascii="Calibri" w:hAnsi="Calibri" w:cs="Calibri"/>
            </w:rPr>
            <w:t>[58]</w:t>
          </w:r>
          <w:r w:rsidR="00EC56B7" w:rsidRPr="00E97254">
            <w:rPr>
              <w:rFonts w:ascii="Calibri" w:hAnsi="Calibri" w:cs="Calibri"/>
            </w:rPr>
            <w:fldChar w:fldCharType="end"/>
          </w:r>
        </w:sdtContent>
      </w:sdt>
      <w:r w:rsidR="00F23D33" w:rsidRPr="00E97254">
        <w:rPr>
          <w:rFonts w:ascii="Calibri" w:hAnsi="Calibri" w:cs="Calibri"/>
        </w:rPr>
        <w:t xml:space="preserve"> që është larg nga standardet e vendeve të BE ku 1 kompjuter është në dispozicion për 3-7 nxënës. Nga ana tjetër, numri i kompjuterëve jofunksionalë arrin në 25% të numrit të përgjithshëm të tyre </w:t>
      </w:r>
      <w:sdt>
        <w:sdtPr>
          <w:rPr>
            <w:rFonts w:ascii="Calibri" w:hAnsi="Calibri" w:cs="Calibri"/>
          </w:rPr>
          <w:id w:val="1003401436"/>
          <w:citation/>
        </w:sdtPr>
        <w:sdtEndPr/>
        <w:sdtContent>
          <w:r w:rsidR="00EC56B7" w:rsidRPr="00E97254">
            <w:rPr>
              <w:rFonts w:ascii="Calibri" w:hAnsi="Calibri" w:cs="Calibri"/>
            </w:rPr>
            <w:fldChar w:fldCharType="begin"/>
          </w:r>
          <w:r w:rsidRPr="00FA5606">
            <w:rPr>
              <w:rFonts w:ascii="Calibri" w:hAnsi="Calibri" w:cs="Calibri"/>
            </w:rPr>
            <w:instrText xml:space="preserve"> CITATION Kës151 \l 1033 </w:instrText>
          </w:r>
          <w:r w:rsidR="00EC56B7" w:rsidRPr="00E97254">
            <w:rPr>
              <w:rFonts w:ascii="Calibri" w:hAnsi="Calibri" w:cs="Calibri"/>
            </w:rPr>
            <w:fldChar w:fldCharType="separate"/>
          </w:r>
          <w:r w:rsidR="00724BCC" w:rsidRPr="00E97254">
            <w:rPr>
              <w:rFonts w:ascii="Calibri" w:hAnsi="Calibri" w:cs="Calibri"/>
            </w:rPr>
            <w:t>[16]</w:t>
          </w:r>
          <w:r w:rsidR="00EC56B7" w:rsidRPr="00E97254">
            <w:rPr>
              <w:rFonts w:ascii="Calibri" w:hAnsi="Calibri" w:cs="Calibri"/>
            </w:rPr>
            <w:fldChar w:fldCharType="end"/>
          </w:r>
        </w:sdtContent>
      </w:sdt>
      <w:r w:rsidR="00F23D33" w:rsidRPr="00E97254">
        <w:rPr>
          <w:rFonts w:ascii="Calibri" w:hAnsi="Calibri" w:cs="Calibri"/>
        </w:rPr>
        <w:t xml:space="preserve"> që flet për mungesë të mirëmbajtjes së tyre, ndërkohë që </w:t>
      </w:r>
      <w:r w:rsidR="00476CA2" w:rsidRPr="00E97254">
        <w:rPr>
          <w:rFonts w:ascii="Calibri" w:hAnsi="Calibri" w:cs="Calibri"/>
        </w:rPr>
        <w:t>shpejtësia e</w:t>
      </w:r>
      <w:r w:rsidR="00F23D33" w:rsidRPr="00E97254">
        <w:rPr>
          <w:rFonts w:ascii="Calibri" w:hAnsi="Calibri" w:cs="Calibri"/>
        </w:rPr>
        <w:t xml:space="preserve"> internet</w:t>
      </w:r>
      <w:r w:rsidRPr="00FA5606">
        <w:rPr>
          <w:rFonts w:ascii="Calibri" w:hAnsi="Calibri" w:cs="Calibri"/>
        </w:rPr>
        <w:t>it</w:t>
      </w:r>
      <w:r w:rsidR="00DD7490">
        <w:rPr>
          <w:rFonts w:ascii="Calibri" w:hAnsi="Calibri" w:cs="Calibri"/>
        </w:rPr>
        <w:t>, m</w:t>
      </w:r>
      <w:r w:rsidR="00DD7490" w:rsidRPr="004E1F53">
        <w:rPr>
          <w:rFonts w:cstheme="minorHAnsi"/>
        </w:rPr>
        <w:t>ë</w:t>
      </w:r>
      <w:r w:rsidR="00DD7490">
        <w:rPr>
          <w:rFonts w:cstheme="minorHAnsi"/>
        </w:rPr>
        <w:t xml:space="preserve"> s</w:t>
      </w:r>
      <w:r w:rsidR="00DD7490" w:rsidRPr="004E1F53">
        <w:rPr>
          <w:rFonts w:cstheme="minorHAnsi"/>
        </w:rPr>
        <w:t>ë</w:t>
      </w:r>
      <w:r w:rsidR="00DD7490">
        <w:rPr>
          <w:rFonts w:cstheme="minorHAnsi"/>
        </w:rPr>
        <w:t xml:space="preserve"> shumti, </w:t>
      </w:r>
      <w:r w:rsidRPr="00FA5606">
        <w:rPr>
          <w:rFonts w:ascii="Calibri" w:hAnsi="Calibri" w:cs="Calibri"/>
        </w:rPr>
        <w:t xml:space="preserve">nuk i përmbush kërkesat e shfrytëzuesve. Përveç kësaj, aksesi në pajisjet e TIK-ut dhe internet, kryesisht, kufizohet në laboratorët e dedikuar kompjuterikë, ndërkohë që mundësitë për shfrytëzimin e pajisjeve brenda klasave janë shumë të kufizuara, pasi mungojnë projektorët, rrjeti wireless dhe aksesorët e tjerë të dedikuar për këtë qëllim. Të gjithë këta faktorë përbëjnë pengesën kryesore për përdorimin e TIK-ut në shkolla. </w:t>
      </w:r>
    </w:p>
    <w:p w:rsidR="00F85CE2" w:rsidRPr="00E97254" w:rsidRDefault="00FA5606" w:rsidP="000C0250">
      <w:pPr>
        <w:spacing w:after="0"/>
        <w:jc w:val="both"/>
        <w:rPr>
          <w:rFonts w:ascii="Calibri" w:hAnsi="Calibri" w:cs="Calibri"/>
        </w:rPr>
      </w:pPr>
      <w:r w:rsidRPr="00FA5606">
        <w:rPr>
          <w:rFonts w:ascii="Calibri" w:hAnsi="Calibri" w:cs="Calibri"/>
        </w:rPr>
        <w:t>Një pengesë tjetër për shfrytëzimin e TIK-ut në shkolla është koordinimi i munguar në nivel kombëtar. Në Shqipëri nuk ekziston një autoritet qendror që merret me ofrimin e shërbimeve të TIK-ut dhe internetit për shkolla, por kjo bëhet nga kompani private, të cilat jo çdo herë ofrojnë shpejtësi</w:t>
      </w:r>
      <w:r w:rsidRPr="00FA5606">
        <w:rPr>
          <w:rFonts w:ascii="Calibri" w:hAnsi="Calibri" w:cs="Calibri"/>
          <w:sz w:val="24"/>
          <w:szCs w:val="24"/>
        </w:rPr>
        <w:t xml:space="preserve"> </w:t>
      </w:r>
      <w:r w:rsidRPr="00FA5606">
        <w:rPr>
          <w:rFonts w:ascii="Calibri" w:hAnsi="Calibri" w:cs="Calibri"/>
        </w:rPr>
        <w:t xml:space="preserve"> të mjaftueshme të internetit për t’i përmbushur nevojat e shkollave. Shkollat nuk kanë akses në burimet online në gjuhën shqipe</w:t>
      </w:r>
      <w:r w:rsidR="00DD7490">
        <w:rPr>
          <w:rFonts w:ascii="Calibri" w:hAnsi="Calibri" w:cs="Calibri"/>
        </w:rPr>
        <w:t>,</w:t>
      </w:r>
      <w:r w:rsidRPr="00FA5606">
        <w:rPr>
          <w:rFonts w:ascii="Calibri" w:hAnsi="Calibri" w:cs="Calibri"/>
        </w:rPr>
        <w:t xml:space="preserve"> as në shërbime që do të mund ta avanconin integrimin e TIK-ut në procesin mësimor, siç janë platforma të dedikuara për mësimin online. Megjithatë, në periudhën mars-qershor 2020 kur, për shkak të pandemisë COVID-19, mësimi u zhvillua nga distanca, MASR</w:t>
      </w:r>
      <w:r w:rsidR="00DD7490">
        <w:rPr>
          <w:rFonts w:ascii="Calibri" w:hAnsi="Calibri" w:cs="Calibri"/>
        </w:rPr>
        <w:t>-ja</w:t>
      </w:r>
      <w:r w:rsidRPr="00FA5606">
        <w:rPr>
          <w:rFonts w:ascii="Calibri" w:hAnsi="Calibri" w:cs="Calibri"/>
        </w:rPr>
        <w:t xml:space="preserve"> mori mbi vete detyrimin për krijimin e burimeve online në formë të video-regjistrimeve, ndërsa ASCAP</w:t>
      </w:r>
      <w:r w:rsidR="00DD7490">
        <w:rPr>
          <w:rFonts w:ascii="Calibri" w:hAnsi="Calibri" w:cs="Calibri"/>
        </w:rPr>
        <w:t>-i</w:t>
      </w:r>
      <w:r w:rsidRPr="00FA5606">
        <w:rPr>
          <w:rFonts w:ascii="Calibri" w:hAnsi="Calibri" w:cs="Calibri"/>
        </w:rPr>
        <w:t xml:space="preserve"> nxori udhëzues për organizimin e mësimit nga distanca në kushte të emergjencës globale. Me mbështetjen e UNICEF</w:t>
      </w:r>
      <w:r w:rsidR="00DD7490">
        <w:rPr>
          <w:rFonts w:ascii="Calibri" w:hAnsi="Calibri" w:cs="Calibri"/>
        </w:rPr>
        <w:t>-it</w:t>
      </w:r>
      <w:r w:rsidRPr="00FA5606">
        <w:rPr>
          <w:rFonts w:ascii="Calibri" w:hAnsi="Calibri" w:cs="Calibri"/>
        </w:rPr>
        <w:t xml:space="preserve"> dhe MASR</w:t>
      </w:r>
      <w:r w:rsidR="00DD7490">
        <w:rPr>
          <w:rFonts w:ascii="Calibri" w:hAnsi="Calibri" w:cs="Calibri"/>
        </w:rPr>
        <w:t>-s</w:t>
      </w:r>
      <w:r w:rsidR="00DD7490" w:rsidRPr="004E1F53">
        <w:rPr>
          <w:rFonts w:cstheme="minorHAnsi"/>
        </w:rPr>
        <w:t>ë</w:t>
      </w:r>
      <w:r w:rsidRPr="00FA5606">
        <w:rPr>
          <w:rFonts w:ascii="Calibri" w:hAnsi="Calibri" w:cs="Calibri"/>
        </w:rPr>
        <w:t xml:space="preserve"> është zhvilluar platforma akademi.al e cila krijon mundësi për të realizuar mësimin online, si dhe </w:t>
      </w:r>
      <w:r w:rsidR="00D963DF">
        <w:rPr>
          <w:rFonts w:ascii="Calibri" w:hAnsi="Calibri" w:cs="Calibri"/>
        </w:rPr>
        <w:t>t</w:t>
      </w:r>
      <w:r w:rsidR="00D963DF" w:rsidRPr="00C36C5E">
        <w:t>ë</w:t>
      </w:r>
      <w:r w:rsidR="00D963DF">
        <w:t xml:space="preserve"> nx</w:t>
      </w:r>
      <w:r w:rsidR="00D963DF" w:rsidRPr="00C36C5E">
        <w:t>ë</w:t>
      </w:r>
      <w:r w:rsidR="00D963DF">
        <w:t>nit</w:t>
      </w:r>
      <w:r w:rsidRPr="00FA5606">
        <w:rPr>
          <w:rFonts w:ascii="Calibri" w:hAnsi="Calibri" w:cs="Calibri"/>
        </w:rPr>
        <w:t xml:space="preserve"> e kombinuar në klasë dhe online</w:t>
      </w:r>
      <w:r w:rsidR="00D963DF">
        <w:rPr>
          <w:rFonts w:ascii="Calibri" w:hAnsi="Calibri" w:cs="Calibri"/>
        </w:rPr>
        <w:t xml:space="preserve">, </w:t>
      </w:r>
      <w:r w:rsidRPr="00FA5606">
        <w:rPr>
          <w:rFonts w:ascii="Calibri" w:hAnsi="Calibri" w:cs="Calibri"/>
        </w:rPr>
        <w:t xml:space="preserve">ndërsa fushata e Vodafone Albania </w:t>
      </w:r>
      <w:r w:rsidR="003F1AEA">
        <w:rPr>
          <w:rFonts w:ascii="Calibri" w:hAnsi="Calibri" w:cs="Calibri"/>
        </w:rPr>
        <w:t>solli</w:t>
      </w:r>
      <w:r w:rsidRPr="00FA5606">
        <w:rPr>
          <w:rFonts w:ascii="Calibri" w:hAnsi="Calibri" w:cs="Calibri"/>
        </w:rPr>
        <w:t xml:space="preserve"> dhurimin e mbi 15 mijë tabletave dhe telefonave për fëmijët në nevojë</w:t>
      </w:r>
      <w:r w:rsidR="00F85CE2" w:rsidRPr="00E97254">
        <w:rPr>
          <w:rStyle w:val="FootnoteReference"/>
          <w:rFonts w:cs="Calibri"/>
        </w:rPr>
        <w:footnoteReference w:id="7"/>
      </w:r>
      <w:r w:rsidR="00F85CE2" w:rsidRPr="00E97254">
        <w:rPr>
          <w:rFonts w:ascii="Calibri" w:hAnsi="Calibri" w:cs="Calibri"/>
        </w:rPr>
        <w:t xml:space="preserve">. </w:t>
      </w:r>
    </w:p>
    <w:p w:rsidR="005208EE" w:rsidRPr="00E97254" w:rsidRDefault="005208EE" w:rsidP="000C0250">
      <w:pPr>
        <w:spacing w:after="0"/>
        <w:jc w:val="both"/>
        <w:rPr>
          <w:rFonts w:cstheme="minorHAnsi"/>
        </w:rPr>
      </w:pPr>
      <w:r w:rsidRPr="00E97254">
        <w:rPr>
          <w:rFonts w:cstheme="minorHAnsi"/>
        </w:rPr>
        <w:t xml:space="preserve">Sot në </w:t>
      </w:r>
      <w:r w:rsidRPr="00E97254">
        <w:rPr>
          <w:rFonts w:cstheme="minorHAnsi"/>
          <w:color w:val="222222"/>
          <w:shd w:val="clear" w:color="auto" w:fill="FFFFFF"/>
        </w:rPr>
        <w:t xml:space="preserve">1,194 shkolla me më shumë se 4,334 mësues dhe rreth 120,000 nxënës të moshës 10-15 vjeç, po zbatohet </w:t>
      </w:r>
      <w:r w:rsidRPr="00E97254">
        <w:rPr>
          <w:rFonts w:cstheme="minorHAnsi"/>
          <w:iCs/>
        </w:rPr>
        <w:t xml:space="preserve">programi </w:t>
      </w:r>
      <w:r w:rsidR="00FA5606" w:rsidRPr="00FA5606">
        <w:rPr>
          <w:rFonts w:cstheme="minorHAnsi"/>
        </w:rPr>
        <w:t xml:space="preserve">“Shkollat e Shekullit të 21-të”, nën udhëheqjen e British Council dhe i financuar nga Qeveria e Mbretërisë së Bashkuar. </w:t>
      </w:r>
      <w:r w:rsidR="00FA5606" w:rsidRPr="00FA5606">
        <w:rPr>
          <w:rFonts w:cstheme="minorHAnsi"/>
          <w:iCs/>
        </w:rPr>
        <w:t xml:space="preserve">Programi </w:t>
      </w:r>
      <w:r w:rsidR="00FA5606" w:rsidRPr="00FA5606">
        <w:rPr>
          <w:rFonts w:cstheme="minorHAnsi"/>
        </w:rPr>
        <w:t xml:space="preserve">ka për qëllim pajisjen e nxënësve të moshës 10-15 vjeç, me aftësitë e të menduarit kritik, aftësi digjitale dhe të zgjidhjes problemore dhe të kodimit. Ky program do t’u mundësojë nxënësve të mësojnë në mënyrë zbavitëse, ndërvepruese dhe inovatore. Çdo shkollë e arsimit 9 - vjeçar po pajiset me pajisje të quajtura </w:t>
      </w:r>
      <w:r w:rsidR="00FA5606" w:rsidRPr="00FA5606">
        <w:rPr>
          <w:rFonts w:cstheme="minorHAnsi"/>
          <w:b/>
        </w:rPr>
        <w:t>micro:bit</w:t>
      </w:r>
      <w:r w:rsidR="00FA5606" w:rsidRPr="00FA5606">
        <w:rPr>
          <w:rFonts w:cstheme="minorHAnsi"/>
        </w:rPr>
        <w:t xml:space="preserve"> me anën e të cil</w:t>
      </w:r>
      <w:r w:rsidR="00700FB8">
        <w:rPr>
          <w:rFonts w:cstheme="minorHAnsi"/>
        </w:rPr>
        <w:t>ave</w:t>
      </w:r>
      <w:r w:rsidR="00FA5606" w:rsidRPr="00FA5606">
        <w:rPr>
          <w:rFonts w:cstheme="minorHAnsi"/>
        </w:rPr>
        <w:t xml:space="preserve"> nxënësit mund të programojnë dhe t’i përdorin në të gjitha lëndët për të zgjidhur problemet e përditshme. </w:t>
      </w:r>
    </w:p>
    <w:p w:rsidR="00F85CE2" w:rsidRPr="00E97254" w:rsidRDefault="00FA5606" w:rsidP="000C0250">
      <w:pPr>
        <w:spacing w:after="0"/>
        <w:jc w:val="both"/>
        <w:rPr>
          <w:rFonts w:ascii="Calibri" w:hAnsi="Calibri" w:cs="Calibri"/>
          <w:szCs w:val="24"/>
        </w:rPr>
      </w:pPr>
      <w:r w:rsidRPr="00FA5606">
        <w:rPr>
          <w:rFonts w:ascii="Calibri" w:hAnsi="Calibri" w:cs="Calibri"/>
          <w:szCs w:val="24"/>
        </w:rPr>
        <w:t>Të gjitha analizat e deritanishme, si dhe sondazhi i U-Report (4.2) flasin për nevojën e përgatitjes më të mirë të mësuesve për shfrytëzimin e teknologjisë në procesin mësimor, edhe pse një pjesë e tyre janë të mirëtrajnuar në këtë fushë. Gjatë mësimit në distancë që u organizua në periudhën mars-qershor 2020 mësuesit dëshmuan se mund t’</w:t>
      </w:r>
      <w:r w:rsidR="00700FB8">
        <w:rPr>
          <w:rFonts w:ascii="Calibri" w:hAnsi="Calibri" w:cs="Calibri"/>
          <w:szCs w:val="24"/>
        </w:rPr>
        <w:t xml:space="preserve">u </w:t>
      </w:r>
      <w:r w:rsidRPr="00FA5606">
        <w:rPr>
          <w:rFonts w:ascii="Calibri" w:hAnsi="Calibri" w:cs="Calibri"/>
          <w:szCs w:val="24"/>
        </w:rPr>
        <w:t>përshtaten shpejt rrethanave, duke shfrytëzuar platforma komunikimi dhe softuerë që i shërbejnë integrimit më të mirë të TIK</w:t>
      </w:r>
      <w:r w:rsidR="00700FB8">
        <w:rPr>
          <w:rFonts w:ascii="Calibri" w:hAnsi="Calibri" w:cs="Calibri"/>
          <w:szCs w:val="24"/>
        </w:rPr>
        <w:t>-ut</w:t>
      </w:r>
      <w:r w:rsidRPr="00FA5606">
        <w:rPr>
          <w:rFonts w:ascii="Calibri" w:hAnsi="Calibri" w:cs="Calibri"/>
          <w:szCs w:val="24"/>
        </w:rPr>
        <w:t xml:space="preserve"> në procesin mësimor, prandaj është e domosdoshme të bëhet një hap përpara duke ofruar trajnime, këshillim dhe udhëzime të qarta për punë.</w:t>
      </w:r>
    </w:p>
    <w:p w:rsidR="00527F81" w:rsidRPr="00E97254" w:rsidRDefault="00FA5606" w:rsidP="000C0250">
      <w:pPr>
        <w:spacing w:after="0"/>
        <w:jc w:val="both"/>
      </w:pPr>
      <w:r w:rsidRPr="00FA5606">
        <w:rPr>
          <w:rFonts w:ascii="Calibri" w:hAnsi="Calibri" w:cs="Calibri"/>
          <w:szCs w:val="24"/>
        </w:rPr>
        <w:lastRenderedPageBreak/>
        <w:t xml:space="preserve">Shfrytëzimi i </w:t>
      </w:r>
      <w:r w:rsidR="00700FB8">
        <w:rPr>
          <w:rFonts w:ascii="Calibri" w:hAnsi="Calibri" w:cs="Calibri"/>
          <w:szCs w:val="24"/>
        </w:rPr>
        <w:t>i</w:t>
      </w:r>
      <w:r w:rsidRPr="00FA5606">
        <w:rPr>
          <w:rFonts w:ascii="Calibri" w:hAnsi="Calibri" w:cs="Calibri"/>
          <w:szCs w:val="24"/>
        </w:rPr>
        <w:t xml:space="preserve">nternetit nga ana e fëmijëve mund të ketë efekte pozitive në rezultatet e të nxënit dhe në përfshirjen sociale, por edhe mund t’i ekspozojë ndaj rreziqeve të botës virtuale. Tri forma kryesore të ekspozimit të fëmijëve ndaj rreziqeve në </w:t>
      </w:r>
      <w:r w:rsidR="00700FB8">
        <w:rPr>
          <w:rFonts w:ascii="Calibri" w:hAnsi="Calibri" w:cs="Calibri"/>
          <w:szCs w:val="24"/>
        </w:rPr>
        <w:t>i</w:t>
      </w:r>
      <w:r w:rsidRPr="00FA5606">
        <w:rPr>
          <w:rFonts w:ascii="Calibri" w:hAnsi="Calibri" w:cs="Calibri"/>
          <w:szCs w:val="24"/>
        </w:rPr>
        <w:t xml:space="preserve">nternet: 1) aksesimi në </w:t>
      </w:r>
      <w:r w:rsidRPr="00FA5606">
        <w:rPr>
          <w:rFonts w:cs="Calibri"/>
          <w:szCs w:val="24"/>
        </w:rPr>
        <w:t>përmbajtje jo të përshtatshme</w:t>
      </w:r>
      <w:r w:rsidRPr="00FA5606">
        <w:rPr>
          <w:rFonts w:ascii="Calibri" w:hAnsi="Calibri" w:cs="Calibri"/>
          <w:szCs w:val="24"/>
        </w:rPr>
        <w:t xml:space="preserve"> për moshën ose </w:t>
      </w:r>
      <w:r w:rsidRPr="00FA5606">
        <w:rPr>
          <w:rFonts w:cs="Calibri"/>
          <w:szCs w:val="24"/>
        </w:rPr>
        <w:t>përmbajtje</w:t>
      </w:r>
      <w:r w:rsidRPr="00FA5606">
        <w:rPr>
          <w:rFonts w:ascii="Calibri" w:hAnsi="Calibri" w:cs="Calibri"/>
          <w:szCs w:val="24"/>
        </w:rPr>
        <w:t xml:space="preserve"> ilegale; 2) bullizmi dhe/ose abuzimi seksual; 3) përfshirja në komunitete virtuale të rrezikshme që inkurajojnë anoreksinë, vetë-dëmtimin, vetëvrasjen, dhunën, urrejtjen ose ekstremizmin. </w:t>
      </w:r>
      <w:r w:rsidRPr="00FA5606">
        <w:rPr>
          <w:rFonts w:ascii="Calibri" w:hAnsi="Calibri" w:cs="Calibri"/>
        </w:rPr>
        <w:t>Studimi i UNICEF</w:t>
      </w:r>
      <w:r w:rsidR="00700FB8">
        <w:rPr>
          <w:rFonts w:ascii="Calibri" w:hAnsi="Calibri" w:cs="Calibri"/>
        </w:rPr>
        <w:t>-it</w:t>
      </w:r>
      <w:r w:rsidRPr="00FA5606">
        <w:rPr>
          <w:rFonts w:ascii="Calibri" w:hAnsi="Calibri" w:cs="Calibri"/>
        </w:rPr>
        <w:t xml:space="preserve"> “Nje klikim larg” </w:t>
      </w:r>
      <w:sdt>
        <w:sdtPr>
          <w:rPr>
            <w:rFonts w:ascii="Calibri" w:hAnsi="Calibri" w:cs="Calibri"/>
          </w:rPr>
          <w:id w:val="-591014918"/>
          <w:citation/>
        </w:sdtPr>
        <w:sdtEndPr/>
        <w:sdtContent>
          <w:r w:rsidR="00EC56B7" w:rsidRPr="00E97254">
            <w:rPr>
              <w:rFonts w:ascii="Calibri" w:hAnsi="Calibri" w:cs="Calibri"/>
            </w:rPr>
            <w:fldChar w:fldCharType="begin"/>
          </w:r>
          <w:r w:rsidRPr="00FA5606">
            <w:rPr>
              <w:rFonts w:ascii="Calibri" w:hAnsi="Calibri" w:cs="Calibri"/>
            </w:rPr>
            <w:instrText xml:space="preserve">CITATION Dun19 \l 1033 </w:instrText>
          </w:r>
          <w:r w:rsidR="00EC56B7" w:rsidRPr="00E97254">
            <w:rPr>
              <w:rFonts w:ascii="Calibri" w:hAnsi="Calibri" w:cs="Calibri"/>
            </w:rPr>
            <w:fldChar w:fldCharType="separate"/>
          </w:r>
          <w:r w:rsidR="00724BCC" w:rsidRPr="00E97254">
            <w:rPr>
              <w:rFonts w:ascii="Calibri" w:hAnsi="Calibri" w:cs="Calibri"/>
            </w:rPr>
            <w:t>[59]</w:t>
          </w:r>
          <w:r w:rsidR="00EC56B7" w:rsidRPr="00E97254">
            <w:rPr>
              <w:rFonts w:ascii="Calibri" w:hAnsi="Calibri" w:cs="Calibri"/>
            </w:rPr>
            <w:fldChar w:fldCharType="end"/>
          </w:r>
        </w:sdtContent>
      </w:sdt>
      <w:r w:rsidR="00A14C44" w:rsidRPr="00E97254">
        <w:rPr>
          <w:rFonts w:ascii="Calibri" w:hAnsi="Calibri" w:cs="Calibri"/>
        </w:rPr>
        <w:t xml:space="preserve"> tregon se n</w:t>
      </w:r>
      <w:r w:rsidR="00A14C44" w:rsidRPr="00E97254">
        <w:t>jë në katër fëmijë raportoi se ka pasur të paktën një herë kontakt online me dikë që nuk e ka takuar kurrë ballë për ballë dhe thuajse 2 në 10 fëmijë raportuan se kanë takuar personalisht dikë me të cilin kanë pasur kontakt vetëm në internet. Vetëm një pjesë e vogël e fëmijëve janë shqetësuar nga këto takime ballë për ballë. Bullizmi në internet u raportua nga më pak se 1 në 10 fëmijë, por kjo shifër me shumë gjasa është e nënvlerësuar, duke marrë parasysh nivelet e larta të bullizmit ballë për ballë.</w:t>
      </w:r>
      <w:r w:rsidRPr="00FA5606">
        <w:t xml:space="preserve"> </w:t>
      </w:r>
    </w:p>
    <w:p w:rsidR="007D0EE4" w:rsidRPr="00E97254" w:rsidRDefault="00FA5606" w:rsidP="000C0250">
      <w:pPr>
        <w:spacing w:after="0"/>
        <w:jc w:val="both"/>
      </w:pPr>
      <w:r w:rsidRPr="00FA5606">
        <w:t>Kur u ndodh diçka e pakëndshme në internet, fëmijët parapëlqejnë të mbështeten nga bashkëmoshatarët e tyre dhe ngurrojnë të flasin me mësuesit ose profesionistët e kujdesit ndaj fëmijës. Vlen të theksohet se pak fëmijë (vetëm 2.9%) janë të gatshëm të flasin me mësuesit ose me dikë tjetër përgjegjës për mbështetjen e fëmijëve (0.6%). K</w:t>
      </w:r>
      <w:r w:rsidR="00700FB8">
        <w:t>y</w:t>
      </w:r>
      <w:r w:rsidRPr="00FA5606">
        <w:t xml:space="preserve"> është një </w:t>
      </w:r>
      <w:r w:rsidR="00700FB8">
        <w:t>zbulim i r</w:t>
      </w:r>
      <w:r w:rsidR="00700FB8" w:rsidRPr="004E1F53">
        <w:rPr>
          <w:rFonts w:cstheme="minorHAnsi"/>
        </w:rPr>
        <w:t>ë</w:t>
      </w:r>
      <w:r w:rsidR="00700FB8">
        <w:rPr>
          <w:rFonts w:cstheme="minorHAnsi"/>
        </w:rPr>
        <w:t>nd</w:t>
      </w:r>
      <w:r w:rsidR="00700FB8" w:rsidRPr="004E1F53">
        <w:rPr>
          <w:rFonts w:cstheme="minorHAnsi"/>
        </w:rPr>
        <w:t>ë</w:t>
      </w:r>
      <w:r w:rsidR="00700FB8">
        <w:rPr>
          <w:rFonts w:cstheme="minorHAnsi"/>
        </w:rPr>
        <w:t>sish</w:t>
      </w:r>
      <w:r w:rsidR="00700FB8" w:rsidRPr="004E1F53">
        <w:rPr>
          <w:rFonts w:cstheme="minorHAnsi"/>
        </w:rPr>
        <w:t>ë</w:t>
      </w:r>
      <w:r w:rsidR="00700FB8">
        <w:rPr>
          <w:rFonts w:cstheme="minorHAnsi"/>
        </w:rPr>
        <w:t>m</w:t>
      </w:r>
      <w:r w:rsidRPr="00FA5606">
        <w:t xml:space="preserve"> që ka dy shpjegime të mundshme:</w:t>
      </w:r>
    </w:p>
    <w:p w:rsidR="007D0EE4" w:rsidRPr="00E97254" w:rsidRDefault="00FA5606" w:rsidP="000C0250">
      <w:pPr>
        <w:pStyle w:val="ListParagraph"/>
        <w:numPr>
          <w:ilvl w:val="0"/>
          <w:numId w:val="47"/>
        </w:numPr>
        <w:spacing w:after="0"/>
        <w:jc w:val="both"/>
        <w:rPr>
          <w:rFonts w:ascii="Calibri" w:hAnsi="Calibri" w:cs="Calibri"/>
          <w:szCs w:val="24"/>
        </w:rPr>
      </w:pPr>
      <w:r w:rsidRPr="00FA5606">
        <w:t xml:space="preserve">mjedisi i përgjithshëm në shkollë dhe besimi që kanë fëmijët te punonjësit </w:t>
      </w:r>
      <w:r w:rsidRPr="00FA5606">
        <w:rPr>
          <w:szCs w:val="24"/>
        </w:rPr>
        <w:t xml:space="preserve">e </w:t>
      </w:r>
      <w:r w:rsidRPr="00FA5606">
        <w:t xml:space="preserve">tjerë nuk është ideal; dhe </w:t>
      </w:r>
    </w:p>
    <w:p w:rsidR="007D0EE4" w:rsidRPr="00E97254" w:rsidRDefault="00FA5606" w:rsidP="000C0250">
      <w:pPr>
        <w:pStyle w:val="ListParagraph"/>
        <w:numPr>
          <w:ilvl w:val="0"/>
          <w:numId w:val="47"/>
        </w:numPr>
        <w:spacing w:after="0"/>
        <w:jc w:val="both"/>
        <w:rPr>
          <w:rFonts w:ascii="Calibri" w:hAnsi="Calibri" w:cs="Calibri"/>
          <w:szCs w:val="24"/>
        </w:rPr>
      </w:pPr>
      <w:r w:rsidRPr="00FA5606">
        <w:t xml:space="preserve">mësuesit dhe punonjësit e tjerë nuk shihen nga fëmijët si persona që mund t’i ndihmojnë me problemet personale në internet. </w:t>
      </w:r>
    </w:p>
    <w:p w:rsidR="00A14C44" w:rsidRPr="00E97254" w:rsidRDefault="00FA5606" w:rsidP="000C0250">
      <w:pPr>
        <w:spacing w:after="0"/>
        <w:jc w:val="both"/>
        <w:rPr>
          <w:rFonts w:ascii="Calibri" w:hAnsi="Calibri" w:cs="Calibri"/>
          <w:szCs w:val="24"/>
        </w:rPr>
      </w:pPr>
      <w:r w:rsidRPr="00FA5606">
        <w:t>Nga ana tjetër, studimi i UNICEF</w:t>
      </w:r>
      <w:r w:rsidR="00700FB8">
        <w:t>-it</w:t>
      </w:r>
      <w:r w:rsidRPr="00FA5606">
        <w:t xml:space="preserve"> “Webfactor” </w:t>
      </w:r>
      <w:sdt>
        <w:sdtPr>
          <w:id w:val="-1203707001"/>
          <w:citation/>
        </w:sdtPr>
        <w:sdtEndPr/>
        <w:sdtContent>
          <w:r w:rsidR="00EC56B7" w:rsidRPr="00E97254">
            <w:fldChar w:fldCharType="begin"/>
          </w:r>
          <w:r w:rsidRPr="00FA5606">
            <w:instrText xml:space="preserve"> CITATION Sul19 \l 1033 </w:instrText>
          </w:r>
          <w:r w:rsidR="00EC56B7" w:rsidRPr="00E97254">
            <w:fldChar w:fldCharType="separate"/>
          </w:r>
          <w:r w:rsidR="00724BCC" w:rsidRPr="00E97254">
            <w:t>[60]</w:t>
          </w:r>
          <w:r w:rsidR="00EC56B7" w:rsidRPr="00E97254">
            <w:fldChar w:fldCharType="end"/>
          </w:r>
        </w:sdtContent>
      </w:sdt>
      <w:r w:rsidR="00527F81" w:rsidRPr="00E97254">
        <w:t xml:space="preserve"> </w:t>
      </w:r>
      <w:r w:rsidR="00A14C44" w:rsidRPr="00E97254">
        <w:t>n</w:t>
      </w:r>
      <w:r w:rsidR="001B291F" w:rsidRPr="00E97254">
        <w:t>ë</w:t>
      </w:r>
      <w:r w:rsidR="00A14C44" w:rsidRPr="00E97254">
        <w:t xml:space="preserve">nvizon se mësuesit </w:t>
      </w:r>
      <w:r w:rsidRPr="00FA5606">
        <w:t xml:space="preserve">kanë nevojë të marrin më shumë informacion të përditësuar që lidhet me mbrojtjen e fëmijëve në hapësirën online, sepse nuk ndihen të përgatitur </w:t>
      </w:r>
      <w:r w:rsidR="00700FB8" w:rsidRPr="004E1F53">
        <w:t xml:space="preserve">mjaftueshëm </w:t>
      </w:r>
      <w:r w:rsidRPr="00FA5606">
        <w:t>për të trajtuar rastet e dhunës ndaj fëmijëve në hapësirën online, dhe nuk dinë se si t</w:t>
      </w:r>
      <w:r w:rsidR="00700FB8">
        <w:t>’i</w:t>
      </w:r>
      <w:r w:rsidRPr="00FA5606">
        <w:t xml:space="preserve"> mbështesin fëmijët nëse janë të ekspozuar ndaj materialeve të papërshtatshme në internet ose ku t’i raportojnë raste të tilla. </w:t>
      </w:r>
    </w:p>
    <w:p w:rsidR="002468B3" w:rsidRPr="00E97254" w:rsidRDefault="00FA5606" w:rsidP="000C0250">
      <w:pPr>
        <w:pStyle w:val="Heading3"/>
        <w:keepLines w:val="0"/>
        <w:jc w:val="both"/>
      </w:pPr>
      <w:bookmarkStart w:id="77" w:name="_Toc45624227"/>
      <w:bookmarkStart w:id="78" w:name="_Toc66801998"/>
      <w:r w:rsidRPr="00FA5606">
        <w:t>4.3.5. Menaxhimi dhe sigurimi i cilësisë</w:t>
      </w:r>
      <w:bookmarkEnd w:id="77"/>
      <w:bookmarkEnd w:id="78"/>
    </w:p>
    <w:p w:rsidR="002468B3" w:rsidRPr="00E97254" w:rsidRDefault="00FA5606" w:rsidP="000C0250">
      <w:pPr>
        <w:autoSpaceDE w:val="0"/>
        <w:autoSpaceDN w:val="0"/>
        <w:adjustRightInd w:val="0"/>
        <w:spacing w:before="120" w:after="0"/>
        <w:jc w:val="both"/>
        <w:rPr>
          <w:rFonts w:ascii="Calibri" w:hAnsi="Calibri" w:cs="Calibri"/>
          <w:color w:val="000000"/>
        </w:rPr>
      </w:pPr>
      <w:r w:rsidRPr="00FA5606">
        <w:rPr>
          <w:rFonts w:ascii="Calibri" w:hAnsi="Calibri" w:cs="Calibri"/>
        </w:rPr>
        <w:t>Në përgjithësi, përgjegjësia e Sigurimit të Cilësisë (SC) në Shqipëri ndahet midis tri niveleve të ndryshme: 1) Nivelit qendror i përfaqësuar nga Agjencia e Sigurimit të Cilësisë në Arsimin Parauniversitar (ASCAP), Drejtoria e Përgjithshme e Arsimit Parauniversitar (DPAP) dhe Qendra e Shërbimeve Arsimore (QSHA); 2) Nivelit rajonal/lokal përfaqësuar nga drejtoritë rajonale të arsimit parauniversitar (DRAP) dhe zyrat vendore të arsimit parauniversitar (ZVAP) që janë në varësi të Drejtorisë së Përgjithshme e Arsimit Parauniversitar (DPAP) dhe 3) Institucioneve arsimore si ofrues të drejtpërdrejtë të shërbimit.</w:t>
      </w:r>
      <w:r w:rsidRPr="00FA5606">
        <w:rPr>
          <w:rFonts w:ascii="Calibri" w:hAnsi="Calibri" w:cs="Calibri"/>
          <w:color w:val="000000"/>
        </w:rPr>
        <w:t xml:space="preserve"> M</w:t>
      </w:r>
      <w:r w:rsidR="00700FB8">
        <w:rPr>
          <w:rFonts w:ascii="Calibri" w:hAnsi="Calibri" w:cs="Calibri"/>
          <w:color w:val="000000"/>
        </w:rPr>
        <w:t>e</w:t>
      </w:r>
      <w:r w:rsidRPr="00FA5606">
        <w:rPr>
          <w:rFonts w:ascii="Calibri" w:hAnsi="Calibri" w:cs="Calibri"/>
          <w:color w:val="000000"/>
        </w:rPr>
        <w:t xml:space="preserve"> organizimin e ri të qeverisjes së arsimit parauniversitar, përgjegjësia për vlerësimin dhe inspektimin e shkollës i ngarkohet DPAP-së, ndërsa ASCAP</w:t>
      </w:r>
      <w:r w:rsidR="00700FB8">
        <w:rPr>
          <w:rFonts w:ascii="Calibri" w:hAnsi="Calibri" w:cs="Calibri"/>
          <w:color w:val="000000"/>
        </w:rPr>
        <w:t>-i</w:t>
      </w:r>
      <w:r w:rsidRPr="00FA5606">
        <w:rPr>
          <w:rFonts w:ascii="Calibri" w:hAnsi="Calibri" w:cs="Calibri"/>
          <w:color w:val="000000"/>
        </w:rPr>
        <w:t xml:space="preserve"> përqendrohet në nivelin e performancës së sistemit dhe vlerësimin e bazuar në risk të ofruesve të arsimit parauniversitar. Gjithashtu, ASCAP</w:t>
      </w:r>
      <w:r w:rsidR="00700FB8">
        <w:rPr>
          <w:rFonts w:ascii="Calibri" w:hAnsi="Calibri" w:cs="Calibri"/>
          <w:color w:val="000000"/>
        </w:rPr>
        <w:t>-i</w:t>
      </w:r>
      <w:r w:rsidRPr="00FA5606">
        <w:rPr>
          <w:rFonts w:ascii="Calibri" w:hAnsi="Calibri" w:cs="Calibri"/>
          <w:color w:val="000000"/>
        </w:rPr>
        <w:t xml:space="preserve"> </w:t>
      </w:r>
      <w:r w:rsidR="00700FB8">
        <w:rPr>
          <w:rFonts w:ascii="Calibri" w:hAnsi="Calibri" w:cs="Calibri"/>
          <w:color w:val="000000"/>
        </w:rPr>
        <w:t xml:space="preserve">i </w:t>
      </w:r>
      <w:r w:rsidRPr="00FA5606">
        <w:rPr>
          <w:rFonts w:ascii="Calibri" w:hAnsi="Calibri" w:cs="Calibri"/>
          <w:color w:val="000000"/>
        </w:rPr>
        <w:t>ofron asistencë teknike DPAP-së në fushën e kurrikulave, zhvillimit profesional, si dhe të monitorimit, vlerësimit dhe inspektimit të shkollave. ASCAP</w:t>
      </w:r>
      <w:r w:rsidR="00700FB8">
        <w:rPr>
          <w:rFonts w:ascii="Calibri" w:hAnsi="Calibri" w:cs="Calibri"/>
          <w:color w:val="000000"/>
        </w:rPr>
        <w:t>-</w:t>
      </w:r>
      <w:r w:rsidRPr="00FA5606">
        <w:rPr>
          <w:rFonts w:ascii="Calibri" w:hAnsi="Calibri" w:cs="Calibri"/>
          <w:color w:val="000000"/>
        </w:rPr>
        <w:t xml:space="preserve"> dhe DPAP</w:t>
      </w:r>
      <w:r w:rsidR="00700FB8">
        <w:rPr>
          <w:rFonts w:ascii="Calibri" w:hAnsi="Calibri" w:cs="Calibri"/>
          <w:color w:val="000000"/>
        </w:rPr>
        <w:t>-ja</w:t>
      </w:r>
      <w:r w:rsidRPr="00FA5606">
        <w:rPr>
          <w:rFonts w:ascii="Calibri" w:hAnsi="Calibri" w:cs="Calibri"/>
          <w:color w:val="000000"/>
        </w:rPr>
        <w:t xml:space="preserve"> kanë bashkëpunuar </w:t>
      </w:r>
      <w:r w:rsidRPr="00FA5606">
        <w:rPr>
          <w:rFonts w:cs="Calibri"/>
          <w:color w:val="000000"/>
        </w:rPr>
        <w:t>ngushtë</w:t>
      </w:r>
      <w:r w:rsidRPr="00FA5606">
        <w:rPr>
          <w:rFonts w:ascii="Calibri" w:hAnsi="Calibri" w:cs="Calibri"/>
          <w:color w:val="000000"/>
        </w:rPr>
        <w:t xml:space="preserve"> në hartimin e protokolleve për inspektim/vlerësim dhe në ngritjen e kapaciteteve inspektuese/vlerësuese.</w:t>
      </w:r>
    </w:p>
    <w:p w:rsidR="008C581B" w:rsidRPr="00E97254" w:rsidRDefault="00FA5606" w:rsidP="000C0250">
      <w:pPr>
        <w:autoSpaceDE w:val="0"/>
        <w:autoSpaceDN w:val="0"/>
        <w:adjustRightInd w:val="0"/>
        <w:spacing w:after="0"/>
        <w:jc w:val="both"/>
        <w:rPr>
          <w:rFonts w:ascii="Calibri" w:hAnsi="Calibri" w:cs="Calibri"/>
          <w:color w:val="000000"/>
        </w:rPr>
      </w:pPr>
      <w:r w:rsidRPr="00FA5606">
        <w:rPr>
          <w:rFonts w:ascii="Calibri" w:hAnsi="Calibri" w:cs="Calibri"/>
        </w:rPr>
        <w:t xml:space="preserve">Instalimi i </w:t>
      </w:r>
      <w:r w:rsidRPr="00FA5606">
        <w:rPr>
          <w:rFonts w:ascii="Calibri" w:hAnsi="Calibri" w:cs="Calibri"/>
          <w:b/>
        </w:rPr>
        <w:t>strukturës së re qeverisëse</w:t>
      </w:r>
      <w:r w:rsidRPr="00FA5606">
        <w:rPr>
          <w:rFonts w:ascii="Calibri" w:hAnsi="Calibri" w:cs="Calibri"/>
        </w:rPr>
        <w:t xml:space="preserve"> në arsimin parauniversitar konsiderohet si arritje, sepse </w:t>
      </w:r>
      <w:r w:rsidRPr="00FA5606">
        <w:rPr>
          <w:rFonts w:cs="Calibri"/>
        </w:rPr>
        <w:t>sjell</w:t>
      </w:r>
      <w:r w:rsidRPr="00FA5606">
        <w:rPr>
          <w:rFonts w:ascii="Calibri" w:hAnsi="Calibri" w:cs="Calibri"/>
        </w:rPr>
        <w:t xml:space="preserve"> inspektimin më afër shkollës. Megjithatë, strukturat e DPAP-së janë ende në proces të plotësimit me personel sipas skemës së re organizative.  </w:t>
      </w:r>
    </w:p>
    <w:p w:rsidR="00DC5539" w:rsidRPr="00E97254" w:rsidRDefault="00FA5606" w:rsidP="000C0250">
      <w:pPr>
        <w:spacing w:after="0"/>
        <w:jc w:val="both"/>
        <w:rPr>
          <w:rFonts w:ascii="Calibri" w:hAnsi="Calibri" w:cs="Calibri"/>
        </w:rPr>
      </w:pPr>
      <w:r w:rsidRPr="00FA5606">
        <w:rPr>
          <w:rFonts w:ascii="Calibri" w:hAnsi="Calibri" w:cs="Calibri"/>
        </w:rPr>
        <w:lastRenderedPageBreak/>
        <w:t xml:space="preserve">Në kuadër të riorganizimit të njësive arsimore vendore, që u bë në vitin 2019, iu kushtua rëndësi </w:t>
      </w:r>
      <w:r w:rsidR="00700FB8">
        <w:rPr>
          <w:rFonts w:ascii="Calibri" w:hAnsi="Calibri" w:cs="Calibri"/>
        </w:rPr>
        <w:t>e</w:t>
      </w:r>
      <w:r w:rsidR="00700FB8" w:rsidRPr="004E1F53">
        <w:rPr>
          <w:rFonts w:ascii="Calibri" w:hAnsi="Calibri" w:cs="Calibri"/>
        </w:rPr>
        <w:t xml:space="preserve"> veçant</w:t>
      </w:r>
      <w:r w:rsidR="00700FB8" w:rsidRPr="004E1F53">
        <w:rPr>
          <w:rFonts w:cstheme="minorHAnsi"/>
        </w:rPr>
        <w:t>ë</w:t>
      </w:r>
      <w:r w:rsidR="00700FB8" w:rsidRPr="004E1F53">
        <w:rPr>
          <w:rFonts w:ascii="Calibri" w:hAnsi="Calibri" w:cs="Calibri"/>
        </w:rPr>
        <w:t xml:space="preserve"> </w:t>
      </w:r>
      <w:r w:rsidRPr="00FA5606">
        <w:rPr>
          <w:rFonts w:ascii="Calibri" w:hAnsi="Calibri" w:cs="Calibri"/>
        </w:rPr>
        <w:t>mbul</w:t>
      </w:r>
      <w:r w:rsidR="00700FB8">
        <w:rPr>
          <w:rFonts w:ascii="Calibri" w:hAnsi="Calibri" w:cs="Calibri"/>
        </w:rPr>
        <w:t>imit</w:t>
      </w:r>
      <w:r w:rsidRPr="00FA5606">
        <w:rPr>
          <w:rFonts w:ascii="Calibri" w:hAnsi="Calibri" w:cs="Calibri"/>
        </w:rPr>
        <w:t xml:space="preserve"> nga Zyra Vendore Arsimore Parauniversitare(ZVAP) </w:t>
      </w:r>
      <w:r w:rsidR="00700FB8">
        <w:rPr>
          <w:rFonts w:ascii="Calibri" w:hAnsi="Calibri" w:cs="Calibri"/>
        </w:rPr>
        <w:t>t</w:t>
      </w:r>
      <w:r w:rsidR="00700FB8" w:rsidRPr="004E1F53">
        <w:rPr>
          <w:rFonts w:cstheme="minorHAnsi"/>
        </w:rPr>
        <w:t>ë</w:t>
      </w:r>
      <w:r w:rsidR="00700FB8">
        <w:rPr>
          <w:rFonts w:cstheme="minorHAnsi"/>
        </w:rPr>
        <w:t xml:space="preserve"> </w:t>
      </w:r>
      <w:r w:rsidR="00700FB8" w:rsidRPr="004E1F53">
        <w:rPr>
          <w:rFonts w:ascii="Calibri" w:hAnsi="Calibri" w:cs="Calibri"/>
        </w:rPr>
        <w:t>institucione</w:t>
      </w:r>
      <w:r w:rsidR="00700FB8">
        <w:rPr>
          <w:rFonts w:ascii="Calibri" w:hAnsi="Calibri" w:cs="Calibri"/>
        </w:rPr>
        <w:t>ve</w:t>
      </w:r>
      <w:r w:rsidR="00700FB8" w:rsidRPr="004E1F53">
        <w:rPr>
          <w:rFonts w:ascii="Calibri" w:hAnsi="Calibri" w:cs="Calibri"/>
        </w:rPr>
        <w:t xml:space="preserve"> arsimore ku mësojnë nxënës të pakicave kombëtare</w:t>
      </w:r>
      <w:r w:rsidRPr="00FA5606">
        <w:rPr>
          <w:rFonts w:ascii="Calibri" w:hAnsi="Calibri" w:cs="Calibri"/>
        </w:rPr>
        <w:t>, që t’u sigurohet në mënyrë të drejtpërdrejtë shërbim arsimor cilësor. Tashmë, institucionet arsimore ku mësojnë nxënës të pakicës kombëtare greke mbështeten nga ZVAP</w:t>
      </w:r>
      <w:r w:rsidR="00700FB8">
        <w:rPr>
          <w:rFonts w:ascii="Calibri" w:hAnsi="Calibri" w:cs="Calibri"/>
        </w:rPr>
        <w:t>-ja</w:t>
      </w:r>
      <w:r w:rsidRPr="00FA5606">
        <w:rPr>
          <w:rFonts w:ascii="Calibri" w:hAnsi="Calibri" w:cs="Calibri"/>
        </w:rPr>
        <w:t xml:space="preserve"> Finiq-Dropull, ZVAP</w:t>
      </w:r>
      <w:r w:rsidR="00700FB8">
        <w:rPr>
          <w:rFonts w:ascii="Calibri" w:hAnsi="Calibri" w:cs="Calibri"/>
        </w:rPr>
        <w:t>-ja</w:t>
      </w:r>
      <w:r w:rsidRPr="00FA5606">
        <w:rPr>
          <w:rFonts w:ascii="Calibri" w:hAnsi="Calibri" w:cs="Calibri"/>
        </w:rPr>
        <w:t xml:space="preserve"> Gjirokastër-Libohovë, ZVAP</w:t>
      </w:r>
      <w:r w:rsidR="00700FB8">
        <w:rPr>
          <w:rFonts w:ascii="Calibri" w:hAnsi="Calibri" w:cs="Calibri"/>
        </w:rPr>
        <w:t>-ja</w:t>
      </w:r>
      <w:r w:rsidRPr="00FA5606">
        <w:rPr>
          <w:rFonts w:ascii="Calibri" w:hAnsi="Calibri" w:cs="Calibri"/>
        </w:rPr>
        <w:t xml:space="preserve"> Sarandë-Delvinë-Konispol dhe institucionet arsimore parauniversitare ku mësojnë nxënës të pakicës kombëtare maqedonase mbështeten nga ZVAP</w:t>
      </w:r>
      <w:r w:rsidR="00700FB8">
        <w:rPr>
          <w:rFonts w:ascii="Calibri" w:hAnsi="Calibri" w:cs="Calibri"/>
        </w:rPr>
        <w:t>-ja</w:t>
      </w:r>
      <w:r w:rsidRPr="00FA5606">
        <w:rPr>
          <w:rFonts w:ascii="Calibri" w:hAnsi="Calibri" w:cs="Calibri"/>
        </w:rPr>
        <w:t xml:space="preserve"> Korçë-Pustec.</w:t>
      </w:r>
    </w:p>
    <w:p w:rsidR="002468B3" w:rsidRPr="00E97254" w:rsidRDefault="00FA5606" w:rsidP="000C0250">
      <w:pPr>
        <w:spacing w:after="0"/>
        <w:jc w:val="both"/>
        <w:rPr>
          <w:rFonts w:ascii="Calibri" w:hAnsi="Calibri" w:cs="Calibri"/>
        </w:rPr>
      </w:pPr>
      <w:r w:rsidRPr="00FA5606">
        <w:rPr>
          <w:rFonts w:ascii="Calibri" w:hAnsi="Calibri" w:cs="Calibri"/>
          <w:b/>
        </w:rPr>
        <w:t>Drejtuesit e shkollave</w:t>
      </w:r>
      <w:r w:rsidRPr="00FA5606">
        <w:rPr>
          <w:rFonts w:ascii="Calibri" w:hAnsi="Calibri" w:cs="Calibri"/>
        </w:rPr>
        <w:t xml:space="preserve"> në Shqipëri shihen si hallka të dobëta të sistemit të arsimit.</w:t>
      </w:r>
      <w:r w:rsidR="00700FB8">
        <w:rPr>
          <w:rFonts w:ascii="Calibri" w:hAnsi="Calibri" w:cs="Calibri"/>
        </w:rPr>
        <w:t xml:space="preserve"> </w:t>
      </w:r>
      <w:r w:rsidRPr="00FA5606">
        <w:rPr>
          <w:rFonts w:ascii="Calibri" w:hAnsi="Calibri" w:cs="Calibri"/>
        </w:rPr>
        <w:t>Ata janë më të përqendruar në kryerjen e detyrave administrative sesa në udhëheqjen e procesit mësimor, ndërkohë që u mungon trajnimi adekuat për kryerjen e funksioneve të tilla. Të shumtën e rasteve, pozita e drejtuesit të shkollës shihet si e përkohshme dhe ndërrimet e drejtorëve janë të shpeshta. Prej vitit 2012 zbatohet një procedurë më transparente për rekrutimin e drejtorit shkollës, por vendimi final merret nga drejtori i DRAP</w:t>
      </w:r>
      <w:r w:rsidR="00700FB8">
        <w:rPr>
          <w:rFonts w:ascii="Calibri" w:hAnsi="Calibri" w:cs="Calibri"/>
        </w:rPr>
        <w:t>-s</w:t>
      </w:r>
      <w:r w:rsidR="00700FB8" w:rsidRPr="004E1F53">
        <w:rPr>
          <w:rFonts w:cstheme="minorHAnsi"/>
        </w:rPr>
        <w:t>ë</w:t>
      </w:r>
      <w:r w:rsidRPr="00FA5606">
        <w:rPr>
          <w:rFonts w:ascii="Calibri" w:hAnsi="Calibri" w:cs="Calibri"/>
        </w:rPr>
        <w:t xml:space="preserve"> dhe kjo shihet si mundësi për ndërhyrje politike. Me ndryshimet legjislative të vitit 2018 kërkohet që drejtorët e shkollave të jenë të pajisur me certifikatë të veçantë e cila lëshohet pas trajnimit të detyrueshëm në Shkollën e Drejtorëve. </w:t>
      </w:r>
    </w:p>
    <w:p w:rsidR="002468B3" w:rsidRPr="00E97254" w:rsidRDefault="00FA5606" w:rsidP="000C0250">
      <w:pPr>
        <w:spacing w:after="0"/>
        <w:jc w:val="both"/>
        <w:rPr>
          <w:rFonts w:ascii="Calibri" w:hAnsi="Calibri" w:cs="Calibri"/>
        </w:rPr>
      </w:pPr>
      <w:r w:rsidRPr="00FA5606">
        <w:rPr>
          <w:rFonts w:ascii="Calibri" w:hAnsi="Calibri" w:cs="Calibri"/>
        </w:rPr>
        <w:t>Shkolla e Drejtorëve u krijua në tetor të vitit 2018, me mbështetjen e Fondacionit Shqiptaro-Amerikan për Zhvillim (</w:t>
      </w:r>
      <w:r w:rsidRPr="00FA5606">
        <w:rPr>
          <w:rFonts w:cs="Calibri"/>
        </w:rPr>
        <w:t>AADF</w:t>
      </w:r>
      <w:r w:rsidRPr="00FA5606">
        <w:rPr>
          <w:rFonts w:ascii="Calibri" w:hAnsi="Calibri" w:cs="Calibri"/>
        </w:rPr>
        <w:t xml:space="preserve">). Shkolla është krijuar si organizatë jofitimprurëse, që paraqet një formë unike të organizimit të një institucioni publik për Shqipërinë dhe Rajonin e Ballkanit Perëndimor. </w:t>
      </w:r>
      <w:r w:rsidRPr="00FA5606">
        <w:rPr>
          <w:rFonts w:cs="Calibri"/>
        </w:rPr>
        <w:t>AADF</w:t>
      </w:r>
      <w:r w:rsidRPr="00FA5606">
        <w:rPr>
          <w:rFonts w:ascii="Calibri" w:hAnsi="Calibri" w:cs="Calibri"/>
        </w:rPr>
        <w:t xml:space="preserve">-ja është zotuar të investojë 2.9 milionë dollarë për 10 vjet, ndërsa qeveria ka ofruar ambientet për shkollën. Pas analizës gjithëpërfshirëse të nevojave, të kryer nga një ekip ekspertësh ndërkombëtarë dhe vendas, shkolla ka zhvilluar kurrikulat dhe është në proces përfundimi i trajnimit të </w:t>
      </w:r>
      <w:r w:rsidRPr="00FA5606">
        <w:t xml:space="preserve">grupit të </w:t>
      </w:r>
      <w:r w:rsidRPr="00FA5606">
        <w:rPr>
          <w:rFonts w:ascii="Calibri" w:hAnsi="Calibri" w:cs="Calibri"/>
        </w:rPr>
        <w:t xml:space="preserve">parë të </w:t>
      </w:r>
      <w:r w:rsidR="003907BD">
        <w:rPr>
          <w:rFonts w:ascii="Calibri" w:hAnsi="Calibri" w:cs="Calibri"/>
        </w:rPr>
        <w:t>t</w:t>
      </w:r>
      <w:r w:rsidR="003907BD" w:rsidRPr="004E1F53">
        <w:rPr>
          <w:rFonts w:cstheme="minorHAnsi"/>
        </w:rPr>
        <w:t>ë</w:t>
      </w:r>
      <w:r w:rsidR="003907BD">
        <w:rPr>
          <w:rFonts w:cstheme="minorHAnsi"/>
        </w:rPr>
        <w:t xml:space="preserve"> p</w:t>
      </w:r>
      <w:r w:rsidR="003907BD" w:rsidRPr="004E1F53">
        <w:rPr>
          <w:rFonts w:cstheme="minorHAnsi"/>
        </w:rPr>
        <w:t>ë</w:t>
      </w:r>
      <w:r w:rsidR="003907BD">
        <w:rPr>
          <w:rFonts w:cstheme="minorHAnsi"/>
        </w:rPr>
        <w:t>rgatiturve</w:t>
      </w:r>
      <w:r w:rsidRPr="00FA5606">
        <w:rPr>
          <w:rFonts w:ascii="Calibri" w:hAnsi="Calibri" w:cs="Calibri"/>
        </w:rPr>
        <w:t xml:space="preserve">. Ka një interesim të konsiderueshëm nga mësuesit për vijimin e trajnimit për drejtorë të shkollës. Në vitin 2016 janë aprovuar standardet e performancës dhe kriteret për vlerësim të drejtorit të Shkollës </w:t>
      </w:r>
      <w:sdt>
        <w:sdtPr>
          <w:rPr>
            <w:rFonts w:ascii="Calibri" w:hAnsi="Calibri" w:cs="Calibri"/>
          </w:rPr>
          <w:id w:val="-322517352"/>
          <w:citation/>
        </w:sdtPr>
        <w:sdtEndPr/>
        <w:sdtContent>
          <w:r w:rsidR="00EC56B7" w:rsidRPr="00E97254">
            <w:rPr>
              <w:rFonts w:ascii="Calibri" w:hAnsi="Calibri" w:cs="Calibri"/>
            </w:rPr>
            <w:fldChar w:fldCharType="begin"/>
          </w:r>
          <w:r w:rsidRPr="00FA5606">
            <w:rPr>
              <w:rFonts w:ascii="Calibri" w:hAnsi="Calibri" w:cs="Calibri"/>
            </w:rPr>
            <w:instrText xml:space="preserve"> CITATION MAS16 \l 1033 </w:instrText>
          </w:r>
          <w:r w:rsidR="00EC56B7" w:rsidRPr="00E97254">
            <w:rPr>
              <w:rFonts w:ascii="Calibri" w:hAnsi="Calibri" w:cs="Calibri"/>
            </w:rPr>
            <w:fldChar w:fldCharType="separate"/>
          </w:r>
          <w:r w:rsidR="00724BCC" w:rsidRPr="00E97254">
            <w:rPr>
              <w:rFonts w:ascii="Calibri" w:hAnsi="Calibri" w:cs="Calibri"/>
            </w:rPr>
            <w:t>[61]</w:t>
          </w:r>
          <w:r w:rsidR="00EC56B7" w:rsidRPr="00E97254">
            <w:rPr>
              <w:rFonts w:ascii="Calibri" w:hAnsi="Calibri" w:cs="Calibri"/>
            </w:rPr>
            <w:fldChar w:fldCharType="end"/>
          </w:r>
        </w:sdtContent>
      </w:sdt>
      <w:r w:rsidR="002468B3" w:rsidRPr="00E97254">
        <w:rPr>
          <w:rFonts w:ascii="Calibri" w:hAnsi="Calibri" w:cs="Calibri"/>
        </w:rPr>
        <w:t xml:space="preserve">, të cilat janë rishikuar në vitin 2019 </w:t>
      </w:r>
      <w:sdt>
        <w:sdtPr>
          <w:rPr>
            <w:rFonts w:ascii="Calibri" w:hAnsi="Calibri" w:cs="Calibri"/>
          </w:rPr>
          <w:id w:val="976728456"/>
          <w:citation/>
        </w:sdtPr>
        <w:sdtEndPr/>
        <w:sdtContent>
          <w:r w:rsidR="00EC56B7" w:rsidRPr="00E97254">
            <w:rPr>
              <w:rFonts w:ascii="Calibri" w:hAnsi="Calibri" w:cs="Calibri"/>
            </w:rPr>
            <w:fldChar w:fldCharType="begin"/>
          </w:r>
          <w:r w:rsidRPr="00FA5606">
            <w:rPr>
              <w:rFonts w:ascii="Calibri" w:hAnsi="Calibri" w:cs="Calibri"/>
            </w:rPr>
            <w:instrText xml:space="preserve"> CITATION MAS193 \l 1033 </w:instrText>
          </w:r>
          <w:r w:rsidR="00EC56B7" w:rsidRPr="00E97254">
            <w:rPr>
              <w:rFonts w:ascii="Calibri" w:hAnsi="Calibri" w:cs="Calibri"/>
            </w:rPr>
            <w:fldChar w:fldCharType="separate"/>
          </w:r>
          <w:r w:rsidR="00724BCC" w:rsidRPr="00E97254">
            <w:rPr>
              <w:rFonts w:ascii="Calibri" w:hAnsi="Calibri" w:cs="Calibri"/>
            </w:rPr>
            <w:t>[62]</w:t>
          </w:r>
          <w:r w:rsidR="00EC56B7" w:rsidRPr="00E97254">
            <w:rPr>
              <w:rFonts w:ascii="Calibri" w:hAnsi="Calibri" w:cs="Calibri"/>
            </w:rPr>
            <w:fldChar w:fldCharType="end"/>
          </w:r>
        </w:sdtContent>
      </w:sdt>
      <w:r w:rsidR="002468B3" w:rsidRPr="00E97254">
        <w:rPr>
          <w:rFonts w:ascii="Calibri" w:hAnsi="Calibri" w:cs="Calibri"/>
        </w:rPr>
        <w:t xml:space="preserve">. </w:t>
      </w:r>
    </w:p>
    <w:p w:rsidR="002468B3" w:rsidRPr="00E97254" w:rsidRDefault="002468B3" w:rsidP="000C0250">
      <w:pPr>
        <w:spacing w:after="0"/>
        <w:jc w:val="both"/>
        <w:rPr>
          <w:rFonts w:ascii="Calibri" w:hAnsi="Calibri" w:cs="Calibri"/>
        </w:rPr>
      </w:pPr>
      <w:r w:rsidRPr="00E97254">
        <w:rPr>
          <w:rFonts w:ascii="Calibri" w:hAnsi="Calibri" w:cs="Calibri"/>
          <w:b/>
        </w:rPr>
        <w:t>Vlerësimi i shkollës</w:t>
      </w:r>
      <w:r w:rsidRPr="00E97254">
        <w:rPr>
          <w:rFonts w:ascii="Calibri" w:hAnsi="Calibri" w:cs="Calibri"/>
        </w:rPr>
        <w:t xml:space="preserve"> </w:t>
      </w:r>
      <w:r w:rsidR="001B2837" w:rsidRPr="00E97254">
        <w:rPr>
          <w:rFonts w:ascii="Calibri" w:hAnsi="Calibri" w:cs="Calibri"/>
        </w:rPr>
        <w:t>në</w:t>
      </w:r>
      <w:r w:rsidR="00FA5606" w:rsidRPr="00FA5606">
        <w:rPr>
          <w:rFonts w:ascii="Calibri" w:hAnsi="Calibri" w:cs="Calibri"/>
        </w:rPr>
        <w:t xml:space="preserve"> Shqipëri është përgjegjësi e ndarë e ASCAP-it dhe DPAP-së. Përderisa ASCAP</w:t>
      </w:r>
      <w:r w:rsidR="003907BD">
        <w:rPr>
          <w:rFonts w:ascii="Calibri" w:hAnsi="Calibri" w:cs="Calibri"/>
        </w:rPr>
        <w:t>-i</w:t>
      </w:r>
      <w:r w:rsidR="00FA5606" w:rsidRPr="00FA5606">
        <w:rPr>
          <w:rFonts w:ascii="Calibri" w:hAnsi="Calibri" w:cs="Calibri"/>
        </w:rPr>
        <w:t xml:space="preserve"> zhvillon treguesit dhe udhëzimet për vlerësim, si dhe trajnon vlerësuesit, DPAP është përgjegjëse për kryerjen e vlerësimit të jashtëm. ASCAP</w:t>
      </w:r>
      <w:r w:rsidR="003907BD">
        <w:rPr>
          <w:rFonts w:ascii="Calibri" w:hAnsi="Calibri" w:cs="Calibri"/>
        </w:rPr>
        <w:t>-i</w:t>
      </w:r>
      <w:r w:rsidR="00FA5606" w:rsidRPr="00FA5606">
        <w:rPr>
          <w:rFonts w:ascii="Calibri" w:hAnsi="Calibri" w:cs="Calibri"/>
        </w:rPr>
        <w:t xml:space="preserve"> ka zhvilluar paketën e plotë të vlerësimit të shkollës të përbërë nga: 1) Korniza e vlerësimit të cilësisë së shkollës; 2) Vlerësimi i jashtëm dhe i brendshëm i shkollës; 3) Metodologjia për vlerësimin e jashtëm të shkollës; dhe 4) Metodologjia për vlerësimin e brendshëm. Në këtë paketë janë përgjysmuar fushat dhe treguesit e kërkuar me udhëzuesin paraprak, duke eliminuar mbivendosjet dhe specifikimet e tepërta.</w:t>
      </w:r>
    </w:p>
    <w:p w:rsidR="002468B3" w:rsidRPr="00E97254" w:rsidRDefault="00FA5606" w:rsidP="000C0250">
      <w:pPr>
        <w:spacing w:after="0"/>
        <w:jc w:val="both"/>
        <w:rPr>
          <w:rFonts w:ascii="Calibri" w:hAnsi="Calibri" w:cs="Calibri"/>
        </w:rPr>
      </w:pPr>
      <w:r w:rsidRPr="00FA5606">
        <w:rPr>
          <w:rFonts w:ascii="Calibri" w:hAnsi="Calibri" w:cs="Calibri"/>
        </w:rPr>
        <w:t xml:space="preserve">Megjithatë, numri i vlerësimeve të jashtme të Shkollës ka qenë mjaft i vogël, si pasojë e numrit të vogël të inspektorëve, gjendje e cila vijon edhe tani kur inspektimi bëhet nga DRAP-të. Edhe në ato raste kur janë dhënë rekomandime për përmirësim nga ana e inspektorëve, nga shkollat nuk është kërkuar të zhvillojnë plane veprimi për </w:t>
      </w:r>
      <w:r w:rsidR="00A50A43">
        <w:rPr>
          <w:rFonts w:ascii="Calibri" w:hAnsi="Calibri" w:cs="Calibri"/>
        </w:rPr>
        <w:t>trajt</w:t>
      </w:r>
      <w:r w:rsidRPr="00FA5606">
        <w:rPr>
          <w:rFonts w:ascii="Calibri" w:hAnsi="Calibri" w:cs="Calibri"/>
        </w:rPr>
        <w:t xml:space="preserve">imin e tyre </w:t>
      </w:r>
      <w:sdt>
        <w:sdtPr>
          <w:rPr>
            <w:rFonts w:ascii="Calibri" w:hAnsi="Calibri" w:cs="Calibri"/>
          </w:rPr>
          <w:id w:val="-778867904"/>
          <w:citation/>
        </w:sdtPr>
        <w:sdtEndPr/>
        <w:sdtContent>
          <w:r w:rsidR="00EC56B7" w:rsidRPr="00E97254">
            <w:rPr>
              <w:rFonts w:ascii="Calibri" w:hAnsi="Calibri" w:cs="Calibri"/>
            </w:rPr>
            <w:fldChar w:fldCharType="begin"/>
          </w:r>
          <w:r w:rsidRPr="00FA5606">
            <w:rPr>
              <w:rFonts w:ascii="Calibri" w:hAnsi="Calibri" w:cs="Calibri"/>
            </w:rPr>
            <w:instrText xml:space="preserve">CITATION OEC \l 1033 </w:instrText>
          </w:r>
          <w:r w:rsidR="00EC56B7" w:rsidRPr="00E97254">
            <w:rPr>
              <w:rFonts w:ascii="Calibri" w:hAnsi="Calibri" w:cs="Calibri"/>
            </w:rPr>
            <w:fldChar w:fldCharType="separate"/>
          </w:r>
          <w:r w:rsidR="00724BCC" w:rsidRPr="00E97254">
            <w:rPr>
              <w:rFonts w:ascii="Calibri" w:hAnsi="Calibri" w:cs="Calibri"/>
            </w:rPr>
            <w:t>[63]</w:t>
          </w:r>
          <w:r w:rsidR="00EC56B7" w:rsidRPr="00E97254">
            <w:rPr>
              <w:rFonts w:ascii="Calibri" w:hAnsi="Calibri" w:cs="Calibri"/>
            </w:rPr>
            <w:fldChar w:fldCharType="end"/>
          </w:r>
        </w:sdtContent>
      </w:sdt>
      <w:r w:rsidR="002468B3" w:rsidRPr="00E97254">
        <w:rPr>
          <w:rFonts w:ascii="Calibri" w:hAnsi="Calibri" w:cs="Calibri"/>
        </w:rPr>
        <w:t xml:space="preserve">. </w:t>
      </w:r>
    </w:p>
    <w:p w:rsidR="002468B3" w:rsidRPr="00E97254" w:rsidRDefault="002468B3" w:rsidP="000C0250">
      <w:pPr>
        <w:spacing w:after="0"/>
        <w:jc w:val="both"/>
        <w:rPr>
          <w:rFonts w:ascii="Calibri" w:hAnsi="Calibri" w:cs="Calibri"/>
          <w:color w:val="000000"/>
        </w:rPr>
      </w:pPr>
      <w:r w:rsidRPr="00E97254">
        <w:rPr>
          <w:rFonts w:ascii="Calibri" w:hAnsi="Calibri" w:cs="Calibri"/>
          <w:b/>
        </w:rPr>
        <w:t xml:space="preserve">Vlerësimi i brendshëm i shkollës dhe planifikimi afatmesëm </w:t>
      </w:r>
      <w:r w:rsidRPr="00E97254">
        <w:rPr>
          <w:rFonts w:ascii="Calibri" w:hAnsi="Calibri" w:cs="Calibri"/>
        </w:rPr>
        <w:t>shihen</w:t>
      </w:r>
      <w:r w:rsidR="002B257B" w:rsidRPr="00E97254">
        <w:rPr>
          <w:rFonts w:ascii="Calibri" w:hAnsi="Calibri" w:cs="Calibri"/>
        </w:rPr>
        <w:t xml:space="preserve"> </w:t>
      </w:r>
      <w:r w:rsidR="00FA5606" w:rsidRPr="00FA5606">
        <w:rPr>
          <w:rFonts w:ascii="Calibri" w:hAnsi="Calibri" w:cs="Calibri"/>
        </w:rPr>
        <w:t xml:space="preserve">si </w:t>
      </w:r>
      <w:r w:rsidR="00FA5606" w:rsidRPr="00FA5606">
        <w:rPr>
          <w:rFonts w:cs="Calibri"/>
        </w:rPr>
        <w:t>procese</w:t>
      </w:r>
      <w:r w:rsidR="00FA5606" w:rsidRPr="00FA5606">
        <w:rPr>
          <w:rFonts w:ascii="Calibri" w:hAnsi="Calibri" w:cs="Calibri"/>
        </w:rPr>
        <w:t xml:space="preserve"> të karakterizuara me formalizëm dhe pa ndërlidhje të qartë </w:t>
      </w:r>
      <w:r w:rsidR="00FA5606" w:rsidRPr="00FA5606">
        <w:rPr>
          <w:rFonts w:cs="Calibri"/>
        </w:rPr>
        <w:t>midis tyre</w:t>
      </w:r>
      <w:r w:rsidR="00FA5606" w:rsidRPr="00FA5606">
        <w:rPr>
          <w:rFonts w:ascii="Calibri" w:hAnsi="Calibri" w:cs="Calibri"/>
        </w:rPr>
        <w:t xml:space="preserve">. Ndërkaq, metodologjia e re parashikon të gjithë hapat e vlerësimit të brendshëm të shkollës dhe vë theksin në lidhjen e planit të përmirësimit me të gjitha planet e shkollës. Karta e performancës së shkollës është një instrument për vlerësimin e shkollës, e cila bazohet në një grup treguesish të verifikueshëm në mënyrë objektive, si dhe treguesish bazuar në perceptimin e prindërve, mësuesve dhe nxënësve. Ato janë përdorur që prej vitit 2014 dhe përdoren për renditjen e </w:t>
      </w:r>
      <w:r w:rsidR="00FA5606" w:rsidRPr="00FA5606">
        <w:rPr>
          <w:rFonts w:ascii="Calibri" w:hAnsi="Calibri" w:cs="Calibri"/>
        </w:rPr>
        <w:lastRenderedPageBreak/>
        <w:t>shkollave në nivel rajonal. Megjithatë, ka pasur mjaft kritika në raport me mënyrën e përdorimit të kartës, në veçanti për faktin se ajo mund të jetë dekurajuese për shkollat që i shërbejnë një numri të konsiderueshëm fëmijësh nga grupet vulnerabël. Raporti i OECD</w:t>
      </w:r>
      <w:r w:rsidR="003907BD">
        <w:rPr>
          <w:rFonts w:ascii="Calibri" w:hAnsi="Calibri" w:cs="Calibri"/>
        </w:rPr>
        <w:t>-s</w:t>
      </w:r>
      <w:r w:rsidR="003907BD" w:rsidRPr="004E1F53">
        <w:rPr>
          <w:rFonts w:cstheme="minorHAnsi"/>
        </w:rPr>
        <w:t>ë</w:t>
      </w:r>
      <w:r w:rsidR="00FA5606" w:rsidRPr="00FA5606">
        <w:rPr>
          <w:rFonts w:ascii="Calibri" w:hAnsi="Calibri" w:cs="Calibri"/>
        </w:rPr>
        <w:t xml:space="preserve"> ka sugjeruar që karta e performancës të transformohet </w:t>
      </w:r>
      <w:r w:rsidR="00FA5606" w:rsidRPr="00FA5606">
        <w:rPr>
          <w:rFonts w:ascii="Calibri" w:hAnsi="Calibri" w:cs="Calibri"/>
          <w:color w:val="000000"/>
        </w:rPr>
        <w:t>në një mjet për përmirësim duke krijuar një indeks të kontekstualizuar të shkollës</w:t>
      </w:r>
      <w:sdt>
        <w:sdtPr>
          <w:rPr>
            <w:rFonts w:ascii="Calibri" w:hAnsi="Calibri" w:cs="Calibri"/>
          </w:rPr>
          <w:id w:val="-1432194457"/>
          <w:citation/>
        </w:sdtPr>
        <w:sdtEndPr/>
        <w:sdtContent>
          <w:r w:rsidR="00EC56B7" w:rsidRPr="00E97254">
            <w:rPr>
              <w:rFonts w:ascii="Calibri" w:hAnsi="Calibri" w:cs="Calibri"/>
            </w:rPr>
            <w:fldChar w:fldCharType="begin"/>
          </w:r>
          <w:r w:rsidR="00FA5606" w:rsidRPr="00FA5606">
            <w:rPr>
              <w:rFonts w:ascii="Calibri" w:hAnsi="Calibri" w:cs="Calibri"/>
            </w:rPr>
            <w:instrText xml:space="preserve"> CITATION OEC \l 1033 </w:instrText>
          </w:r>
          <w:r w:rsidR="00EC56B7" w:rsidRPr="00E97254">
            <w:rPr>
              <w:rFonts w:ascii="Calibri" w:hAnsi="Calibri" w:cs="Calibri"/>
            </w:rPr>
            <w:fldChar w:fldCharType="separate"/>
          </w:r>
          <w:r w:rsidR="00724BCC" w:rsidRPr="00E97254">
            <w:rPr>
              <w:rFonts w:ascii="Calibri" w:hAnsi="Calibri" w:cs="Calibri"/>
            </w:rPr>
            <w:t xml:space="preserve"> [63]</w:t>
          </w:r>
          <w:r w:rsidR="00EC56B7" w:rsidRPr="00E97254">
            <w:rPr>
              <w:rFonts w:ascii="Calibri" w:hAnsi="Calibri" w:cs="Calibri"/>
            </w:rPr>
            <w:fldChar w:fldCharType="end"/>
          </w:r>
        </w:sdtContent>
      </w:sdt>
      <w:r w:rsidRPr="00E97254">
        <w:rPr>
          <w:rFonts w:ascii="Calibri" w:hAnsi="Calibri" w:cs="Calibri"/>
        </w:rPr>
        <w:t>.</w:t>
      </w:r>
    </w:p>
    <w:p w:rsidR="002468B3" w:rsidRPr="00E97254" w:rsidRDefault="002468B3" w:rsidP="000C0250">
      <w:pPr>
        <w:spacing w:after="0"/>
        <w:jc w:val="both"/>
        <w:rPr>
          <w:rFonts w:ascii="Calibri" w:hAnsi="Calibri" w:cs="Calibri"/>
        </w:rPr>
      </w:pPr>
      <w:r w:rsidRPr="00E97254">
        <w:rPr>
          <w:rFonts w:ascii="Calibri" w:hAnsi="Calibri" w:cs="Calibri"/>
        </w:rPr>
        <w:t xml:space="preserve">Shqipëria akoma nuk ka një </w:t>
      </w:r>
      <w:r w:rsidR="00FA5606" w:rsidRPr="00FA5606">
        <w:rPr>
          <w:rFonts w:ascii="Calibri" w:hAnsi="Calibri" w:cs="Calibri"/>
          <w:b/>
        </w:rPr>
        <w:t xml:space="preserve">sistem të mirëfilltë të menaxhimit të </w:t>
      </w:r>
      <w:r w:rsidR="00FA5606" w:rsidRPr="00FA5606">
        <w:rPr>
          <w:rFonts w:cs="Calibri"/>
          <w:b/>
        </w:rPr>
        <w:t>informacioneve</w:t>
      </w:r>
      <w:r w:rsidR="00FA5606" w:rsidRPr="00FA5606">
        <w:rPr>
          <w:rFonts w:ascii="Calibri" w:hAnsi="Calibri" w:cs="Calibri"/>
          <w:b/>
        </w:rPr>
        <w:t xml:space="preserve"> në arsim</w:t>
      </w:r>
      <w:r w:rsidR="00FA5606" w:rsidRPr="00FA5606">
        <w:rPr>
          <w:rFonts w:ascii="Calibri" w:hAnsi="Calibri" w:cs="Calibri"/>
        </w:rPr>
        <w:t>, ndërkohë që ka procese paralele të mbledhjes së të dhënave nga Njësia Statistikore e MASR-së dhe Qendra e Shërbimeve Arsimore (QSHA), megjithëse vetëm statistikat nga MASR-ja konsiderohen zyrtare dhe i raportohen INSTAT-it. MASR-ja mbledh dhe përpunon të dhëna në tabela Excel-i dhe përgatit raporte statistikore vjetore për shkollat, regjistrimin e nxënësve, mësuesit, si dhe disa tregues që mundësojnë krahasimin ndërkombëtar. Nga ana tjetër, QSHA-ja mbledh të dhëna për çdo nxënës nga shkollat publike nëpërmjet sistemit të quajtur Socrates, i cili është në zhvillim e sipër. Konsiderohet se në momentin e funksionalizimit të plotë të Socrates nuk do të ketë nevojë të mblidhen të dhëna statistikore për shkollat nga burime të tjera. Të dhënat për stafin arsimor ruhen në një sistem të veçantë, konkretisht</w:t>
      </w:r>
      <w:r w:rsidR="003907BD">
        <w:rPr>
          <w:rFonts w:ascii="Calibri" w:hAnsi="Calibri" w:cs="Calibri"/>
        </w:rPr>
        <w:t>,</w:t>
      </w:r>
      <w:r w:rsidR="00FA5606" w:rsidRPr="00FA5606">
        <w:rPr>
          <w:rFonts w:ascii="Calibri" w:hAnsi="Calibri" w:cs="Calibri"/>
        </w:rPr>
        <w:t xml:space="preserve"> Softueri Qeveritar </w:t>
      </w:r>
      <w:r w:rsidR="00FA5606" w:rsidRPr="00FA5606">
        <w:rPr>
          <w:rFonts w:cs="Calibri"/>
        </w:rPr>
        <w:t xml:space="preserve">i </w:t>
      </w:r>
      <w:r w:rsidR="00FA5606" w:rsidRPr="00FA5606">
        <w:rPr>
          <w:rFonts w:ascii="Calibri" w:hAnsi="Calibri" w:cs="Calibri"/>
        </w:rPr>
        <w:t>Menaxhimit të Burimeve Njerëzore (SQMBNj),i cili zbatohet për të gjithë shërbimin publik, dhe</w:t>
      </w:r>
      <w:r w:rsidR="003907BD">
        <w:rPr>
          <w:rFonts w:ascii="Calibri" w:hAnsi="Calibri" w:cs="Calibri"/>
        </w:rPr>
        <w:t>,</w:t>
      </w:r>
      <w:r w:rsidR="00FA5606" w:rsidRPr="00FA5606">
        <w:rPr>
          <w:rFonts w:ascii="Calibri" w:hAnsi="Calibri" w:cs="Calibri"/>
        </w:rPr>
        <w:t xml:space="preserve"> aktualisht</w:t>
      </w:r>
      <w:r w:rsidR="003907BD">
        <w:rPr>
          <w:rFonts w:ascii="Calibri" w:hAnsi="Calibri" w:cs="Calibri"/>
        </w:rPr>
        <w:t>,</w:t>
      </w:r>
      <w:r w:rsidR="00FA5606" w:rsidRPr="00FA5606">
        <w:rPr>
          <w:rFonts w:ascii="Calibri" w:hAnsi="Calibri" w:cs="Calibri"/>
        </w:rPr>
        <w:t xml:space="preserve"> dy sistemet nuk janë të lidhura</w:t>
      </w:r>
      <w:sdt>
        <w:sdtPr>
          <w:rPr>
            <w:rFonts w:ascii="Calibri" w:hAnsi="Calibri" w:cs="Calibri"/>
          </w:rPr>
          <w:id w:val="988280053"/>
          <w:citation/>
        </w:sdtPr>
        <w:sdtEndPr/>
        <w:sdtContent>
          <w:r w:rsidR="00EC56B7" w:rsidRPr="00E97254">
            <w:rPr>
              <w:rFonts w:ascii="Calibri" w:hAnsi="Calibri" w:cs="Calibri"/>
            </w:rPr>
            <w:fldChar w:fldCharType="begin"/>
          </w:r>
          <w:r w:rsidR="00FA5606" w:rsidRPr="00FA5606">
            <w:rPr>
              <w:rFonts w:ascii="Calibri" w:hAnsi="Calibri" w:cs="Calibri"/>
            </w:rPr>
            <w:instrText xml:space="preserve"> CITATION Wor19 \l 1033 </w:instrText>
          </w:r>
          <w:r w:rsidR="00EC56B7" w:rsidRPr="00E97254">
            <w:rPr>
              <w:rFonts w:ascii="Calibri" w:hAnsi="Calibri" w:cs="Calibri"/>
            </w:rPr>
            <w:fldChar w:fldCharType="separate"/>
          </w:r>
          <w:r w:rsidR="00724BCC" w:rsidRPr="00E97254">
            <w:rPr>
              <w:rFonts w:ascii="Calibri" w:hAnsi="Calibri" w:cs="Calibri"/>
            </w:rPr>
            <w:t xml:space="preserve"> [37]</w:t>
          </w:r>
          <w:r w:rsidR="00EC56B7" w:rsidRPr="00E97254">
            <w:rPr>
              <w:rFonts w:ascii="Calibri" w:hAnsi="Calibri" w:cs="Calibri"/>
            </w:rPr>
            <w:fldChar w:fldCharType="end"/>
          </w:r>
        </w:sdtContent>
      </w:sdt>
      <w:r w:rsidR="007A49E2" w:rsidRPr="00E97254">
        <w:rPr>
          <w:rFonts w:ascii="Calibri" w:hAnsi="Calibri" w:cs="Calibri"/>
        </w:rPr>
        <w:t xml:space="preserve">. </w:t>
      </w:r>
      <w:r w:rsidR="003907BD">
        <w:rPr>
          <w:rFonts w:ascii="Calibri" w:hAnsi="Calibri" w:cs="Calibri"/>
        </w:rPr>
        <w:t>Nd</w:t>
      </w:r>
      <w:r w:rsidR="003907BD" w:rsidRPr="004E1F53">
        <w:rPr>
          <w:rFonts w:cstheme="minorHAnsi"/>
        </w:rPr>
        <w:t>ë</w:t>
      </w:r>
      <w:r w:rsidR="003907BD">
        <w:rPr>
          <w:rFonts w:cstheme="minorHAnsi"/>
        </w:rPr>
        <w:t>rsa</w:t>
      </w:r>
      <w:r w:rsidR="003907BD" w:rsidRPr="00E97254">
        <w:rPr>
          <w:rFonts w:ascii="Calibri" w:hAnsi="Calibri" w:cs="Calibri"/>
        </w:rPr>
        <w:t xml:space="preserve"> </w:t>
      </w:r>
      <w:r w:rsidR="007A49E2" w:rsidRPr="00E97254">
        <w:rPr>
          <w:rFonts w:ascii="Calibri" w:hAnsi="Calibri" w:cs="Calibri"/>
        </w:rPr>
        <w:t xml:space="preserve">arsimi parauniversitar është në rrugë të mirë që të krijojë një sistem të konsoliduar për menaxhimin e </w:t>
      </w:r>
      <w:r w:rsidR="007A49E2" w:rsidRPr="00E97254">
        <w:rPr>
          <w:rFonts w:cs="Calibri"/>
        </w:rPr>
        <w:t>informa</w:t>
      </w:r>
      <w:r w:rsidR="00FA5606" w:rsidRPr="00FA5606">
        <w:rPr>
          <w:rFonts w:cs="Calibri"/>
        </w:rPr>
        <w:t>cioneve</w:t>
      </w:r>
      <w:r w:rsidR="00FA5606" w:rsidRPr="00FA5606">
        <w:rPr>
          <w:rFonts w:ascii="Calibri" w:hAnsi="Calibri" w:cs="Calibri"/>
        </w:rPr>
        <w:t xml:space="preserve">, nuk ekziston </w:t>
      </w:r>
      <w:r w:rsidR="003907BD" w:rsidRPr="004E1F53">
        <w:rPr>
          <w:rFonts w:ascii="Calibri" w:hAnsi="Calibri" w:cs="Calibri"/>
        </w:rPr>
        <w:t xml:space="preserve">një i tillë </w:t>
      </w:r>
      <w:r w:rsidR="00FA5606" w:rsidRPr="00FA5606">
        <w:rPr>
          <w:rFonts w:ascii="Calibri" w:hAnsi="Calibri" w:cs="Calibri"/>
        </w:rPr>
        <w:t xml:space="preserve">për arsimin e lartë, gjë që </w:t>
      </w:r>
      <w:r w:rsidR="003907BD">
        <w:rPr>
          <w:rFonts w:ascii="Calibri" w:hAnsi="Calibri" w:cs="Calibri"/>
        </w:rPr>
        <w:t>sjell</w:t>
      </w:r>
      <w:r w:rsidR="00FA5606" w:rsidRPr="00FA5606">
        <w:rPr>
          <w:rFonts w:ascii="Calibri" w:hAnsi="Calibri" w:cs="Calibri"/>
        </w:rPr>
        <w:t xml:space="preserve"> mungesën e informacionit </w:t>
      </w:r>
      <w:r w:rsidR="003907BD">
        <w:rPr>
          <w:rFonts w:ascii="Calibri" w:hAnsi="Calibri" w:cs="Calibri"/>
        </w:rPr>
        <w:t>t</w:t>
      </w:r>
      <w:r w:rsidR="003907BD" w:rsidRPr="004E1F53">
        <w:rPr>
          <w:rFonts w:cstheme="minorHAnsi"/>
        </w:rPr>
        <w:t>ë</w:t>
      </w:r>
      <w:r w:rsidR="003907BD">
        <w:rPr>
          <w:rFonts w:cstheme="minorHAnsi"/>
        </w:rPr>
        <w:t xml:space="preserve"> r</w:t>
      </w:r>
      <w:r w:rsidR="003907BD" w:rsidRPr="004E1F53">
        <w:rPr>
          <w:rFonts w:cstheme="minorHAnsi"/>
        </w:rPr>
        <w:t>ë</w:t>
      </w:r>
      <w:r w:rsidR="003907BD">
        <w:rPr>
          <w:rFonts w:cstheme="minorHAnsi"/>
        </w:rPr>
        <w:t>nd</w:t>
      </w:r>
      <w:r w:rsidR="003907BD" w:rsidRPr="004E1F53">
        <w:rPr>
          <w:rFonts w:cstheme="minorHAnsi"/>
        </w:rPr>
        <w:t>ë</w:t>
      </w:r>
      <w:r w:rsidR="003907BD">
        <w:rPr>
          <w:rFonts w:cstheme="minorHAnsi"/>
        </w:rPr>
        <w:t>sish</w:t>
      </w:r>
      <w:r w:rsidR="003907BD" w:rsidRPr="004E1F53">
        <w:rPr>
          <w:rFonts w:cstheme="minorHAnsi"/>
        </w:rPr>
        <w:t>ë</w:t>
      </w:r>
      <w:r w:rsidR="003907BD">
        <w:rPr>
          <w:rFonts w:cstheme="minorHAnsi"/>
        </w:rPr>
        <w:t>m</w:t>
      </w:r>
      <w:r w:rsidR="00FA5606" w:rsidRPr="00FA5606">
        <w:rPr>
          <w:rFonts w:ascii="Calibri" w:hAnsi="Calibri" w:cs="Calibri"/>
        </w:rPr>
        <w:t xml:space="preserve"> në këtë sektor dhe pamundësinë e nxjerrjes së treguesve të cilët do të bënin të mundur krahasimin me vendet tjera. </w:t>
      </w:r>
      <w:r w:rsidR="003907BD">
        <w:rPr>
          <w:rFonts w:ascii="Calibri" w:hAnsi="Calibri" w:cs="Calibri"/>
        </w:rPr>
        <w:t>Me gjith</w:t>
      </w:r>
      <w:r w:rsidR="003907BD" w:rsidRPr="004E1F53">
        <w:rPr>
          <w:rFonts w:cstheme="minorHAnsi"/>
        </w:rPr>
        <w:t>ë</w:t>
      </w:r>
      <w:r w:rsidR="00FA5606" w:rsidRPr="00FA5606">
        <w:rPr>
          <w:rFonts w:ascii="Calibri" w:hAnsi="Calibri" w:cs="Calibri"/>
        </w:rPr>
        <w:t xml:space="preserve"> mbështetje</w:t>
      </w:r>
      <w:r w:rsidR="003907BD">
        <w:rPr>
          <w:rFonts w:ascii="Calibri" w:hAnsi="Calibri" w:cs="Calibri"/>
        </w:rPr>
        <w:t>n</w:t>
      </w:r>
      <w:r w:rsidR="00FA5606" w:rsidRPr="00FA5606">
        <w:rPr>
          <w:rFonts w:ascii="Calibri" w:hAnsi="Calibri" w:cs="Calibri"/>
        </w:rPr>
        <w:t xml:space="preserve"> ndërkombëtare, të gjitha përpjekjet që të krijohet një sistem i tillë në të kaluarën kanë mbetur në gjysmë të rrugës. </w:t>
      </w:r>
    </w:p>
    <w:p w:rsidR="002468B3" w:rsidRPr="00E97254" w:rsidRDefault="00FA5606" w:rsidP="000C0250">
      <w:pPr>
        <w:spacing w:after="0"/>
        <w:jc w:val="both"/>
        <w:rPr>
          <w:rFonts w:ascii="Calibri" w:hAnsi="Calibri" w:cs="Calibri"/>
        </w:rPr>
      </w:pPr>
      <w:r w:rsidRPr="00FA5606">
        <w:rPr>
          <w:rFonts w:ascii="Calibri" w:hAnsi="Calibri" w:cs="Calibri"/>
        </w:rPr>
        <w:t xml:space="preserve">Shqipëria nuk ka një proces të </w:t>
      </w:r>
      <w:r w:rsidRPr="00FA5606">
        <w:rPr>
          <w:rFonts w:ascii="Calibri" w:hAnsi="Calibri" w:cs="Calibri"/>
          <w:b/>
        </w:rPr>
        <w:t>analizës së performancës së sektorit të arsimit</w:t>
      </w:r>
      <w:r w:rsidRPr="00FA5606">
        <w:rPr>
          <w:rFonts w:ascii="Calibri" w:hAnsi="Calibri" w:cs="Calibri"/>
        </w:rPr>
        <w:t xml:space="preserve"> dhe deri sot nuk janë prodhuar raporte për performancën e sektorit. Në këtë drejtim do të ishte i dobishëm një proces konsultimi me palët kyç të interesit në Sistemin Arsimor, </w:t>
      </w:r>
      <w:r w:rsidR="003907BD">
        <w:rPr>
          <w:rFonts w:ascii="Calibri" w:hAnsi="Calibri" w:cs="Calibri"/>
        </w:rPr>
        <w:t>gj</w:t>
      </w:r>
      <w:r w:rsidR="003907BD" w:rsidRPr="004E1F53">
        <w:rPr>
          <w:rFonts w:cstheme="minorHAnsi"/>
        </w:rPr>
        <w:t>ë</w:t>
      </w:r>
      <w:r w:rsidR="003907BD">
        <w:rPr>
          <w:rFonts w:cstheme="minorHAnsi"/>
        </w:rPr>
        <w:t xml:space="preserve"> q</w:t>
      </w:r>
      <w:r w:rsidR="003907BD" w:rsidRPr="004E1F53">
        <w:rPr>
          <w:rFonts w:cstheme="minorHAnsi"/>
        </w:rPr>
        <w:t>ë</w:t>
      </w:r>
      <w:r w:rsidRPr="00FA5606">
        <w:rPr>
          <w:rFonts w:ascii="Calibri" w:hAnsi="Calibri" w:cs="Calibri"/>
        </w:rPr>
        <w:t xml:space="preserve"> do të çonte në vlerësim të besueshëm të performancës, dhe do të nxiste llogaridhënien dhe përgjegjësinë e ndarë për rezultatet.</w:t>
      </w:r>
    </w:p>
    <w:p w:rsidR="002468B3" w:rsidRPr="00E97254" w:rsidRDefault="00FA5606" w:rsidP="000C0250">
      <w:pPr>
        <w:spacing w:after="0"/>
        <w:jc w:val="both"/>
        <w:rPr>
          <w:rFonts w:ascii="Calibri" w:hAnsi="Calibri" w:cs="Calibri"/>
        </w:rPr>
      </w:pPr>
      <w:r w:rsidRPr="00FA5606">
        <w:rPr>
          <w:rFonts w:ascii="Calibri" w:hAnsi="Calibri" w:cs="Calibri"/>
        </w:rPr>
        <w:t xml:space="preserve">Po ashtu, nuk ka një </w:t>
      </w:r>
      <w:r w:rsidRPr="00FA5606">
        <w:rPr>
          <w:rFonts w:ascii="Calibri" w:hAnsi="Calibri" w:cs="Calibri"/>
          <w:b/>
        </w:rPr>
        <w:t>paketë treguesish kombëtarë për arsimin</w:t>
      </w:r>
      <w:r w:rsidRPr="00FA5606">
        <w:rPr>
          <w:rFonts w:ascii="Calibri" w:hAnsi="Calibri" w:cs="Calibri"/>
        </w:rPr>
        <w:t>, por janë krijuar disa tregues që mundësojnë monitorimin e reformave dhe krahasimin ndërkombëtar. Treguesit përcaktohen në Programin e Statistikave Zyrtare (PSZ), së bashku me raportimin e periodicitetit dhe afatet e dorëzimit</w:t>
      </w:r>
      <w:sdt>
        <w:sdtPr>
          <w:rPr>
            <w:rFonts w:ascii="Calibri" w:hAnsi="Calibri" w:cs="Calibri"/>
          </w:rPr>
          <w:id w:val="942883619"/>
          <w:citation/>
        </w:sdtPr>
        <w:sdtEndPr/>
        <w:sdtContent>
          <w:r w:rsidR="00EC56B7" w:rsidRPr="00E97254">
            <w:rPr>
              <w:rFonts w:ascii="Calibri" w:hAnsi="Calibri" w:cs="Calibri"/>
            </w:rPr>
            <w:fldChar w:fldCharType="begin"/>
          </w:r>
          <w:r w:rsidRPr="00FA5606">
            <w:rPr>
              <w:rFonts w:ascii="Calibri" w:hAnsi="Calibri" w:cs="Calibri"/>
            </w:rPr>
            <w:instrText xml:space="preserve"> CITATION Pro17 \l 1033 </w:instrText>
          </w:r>
          <w:r w:rsidR="00EC56B7" w:rsidRPr="00E97254">
            <w:rPr>
              <w:rFonts w:ascii="Calibri" w:hAnsi="Calibri" w:cs="Calibri"/>
            </w:rPr>
            <w:fldChar w:fldCharType="separate"/>
          </w:r>
          <w:r w:rsidR="00724BCC" w:rsidRPr="00E97254">
            <w:rPr>
              <w:rFonts w:ascii="Calibri" w:hAnsi="Calibri" w:cs="Calibri"/>
            </w:rPr>
            <w:t xml:space="preserve"> [64]</w:t>
          </w:r>
          <w:r w:rsidR="00EC56B7" w:rsidRPr="00E97254">
            <w:rPr>
              <w:rFonts w:ascii="Calibri" w:hAnsi="Calibri" w:cs="Calibri"/>
            </w:rPr>
            <w:fldChar w:fldCharType="end"/>
          </w:r>
        </w:sdtContent>
      </w:sdt>
      <w:r w:rsidR="002468B3" w:rsidRPr="00E97254">
        <w:rPr>
          <w:rFonts w:ascii="Calibri" w:hAnsi="Calibri" w:cs="Calibri"/>
        </w:rPr>
        <w:t>,</w:t>
      </w:r>
      <w:r w:rsidR="002B257B" w:rsidRPr="00E97254">
        <w:rPr>
          <w:rFonts w:ascii="Calibri" w:hAnsi="Calibri" w:cs="Calibri"/>
        </w:rPr>
        <w:t xml:space="preserve"> </w:t>
      </w:r>
      <w:r w:rsidR="002468B3" w:rsidRPr="00E97254">
        <w:rPr>
          <w:rFonts w:ascii="Calibri" w:hAnsi="Calibri" w:cs="Calibri"/>
        </w:rPr>
        <w:t>ndërsa krijimi i treguesve është përgjegjësi e INSTAT</w:t>
      </w:r>
      <w:r w:rsidR="003907BD">
        <w:rPr>
          <w:rFonts w:ascii="Calibri" w:hAnsi="Calibri" w:cs="Calibri"/>
        </w:rPr>
        <w:t>-it</w:t>
      </w:r>
      <w:r w:rsidR="002468B3" w:rsidRPr="00E97254">
        <w:rPr>
          <w:rFonts w:ascii="Calibri" w:hAnsi="Calibri" w:cs="Calibri"/>
        </w:rPr>
        <w:t xml:space="preserve">, madje dhe në ato raste kur agjencitë qeveritare përgjegjëse i kanë të gjitha të dhënat e nevojshme. </w:t>
      </w:r>
    </w:p>
    <w:p w:rsidR="00F97AE0" w:rsidRPr="00E97254" w:rsidRDefault="00F97AE0" w:rsidP="000C0250">
      <w:pPr>
        <w:spacing w:before="120" w:after="0"/>
        <w:jc w:val="both"/>
        <w:rPr>
          <w:rFonts w:ascii="Calibri" w:hAnsi="Calibri" w:cs="Calibri"/>
        </w:rPr>
      </w:pPr>
    </w:p>
    <w:p w:rsidR="00C44536" w:rsidRPr="00E97254" w:rsidRDefault="00FA5606" w:rsidP="000C0250">
      <w:pPr>
        <w:pStyle w:val="Heading2"/>
        <w:jc w:val="both"/>
      </w:pPr>
      <w:bookmarkStart w:id="79" w:name="_Toc45624231"/>
      <w:bookmarkStart w:id="80" w:name="_Toc66801999"/>
      <w:r w:rsidRPr="00FA5606">
        <w:t>4.4. Arsimi i lartë</w:t>
      </w:r>
      <w:bookmarkEnd w:id="79"/>
      <w:bookmarkEnd w:id="80"/>
    </w:p>
    <w:p w:rsidR="00606B50" w:rsidRPr="00E97254" w:rsidRDefault="00FA5606" w:rsidP="000C0250">
      <w:pPr>
        <w:spacing w:after="0"/>
        <w:jc w:val="both"/>
        <w:rPr>
          <w:rFonts w:ascii="Calibri" w:hAnsi="Calibri" w:cs="Calibri"/>
        </w:rPr>
      </w:pPr>
      <w:r w:rsidRPr="00FA5606">
        <w:rPr>
          <w:rFonts w:ascii="Calibri" w:hAnsi="Calibri" w:cs="Calibri"/>
        </w:rPr>
        <w:t>Në Censusin 2011</w:t>
      </w:r>
      <w:sdt>
        <w:sdtPr>
          <w:rPr>
            <w:rFonts w:ascii="Calibri" w:hAnsi="Calibri" w:cs="Calibri"/>
          </w:rPr>
          <w:id w:val="1076172049"/>
          <w:citation/>
        </w:sdtPr>
        <w:sdtEndPr/>
        <w:sdtContent>
          <w:r w:rsidR="00EC56B7" w:rsidRPr="00E97254">
            <w:rPr>
              <w:rFonts w:ascii="Calibri" w:hAnsi="Calibri" w:cs="Calibri"/>
            </w:rPr>
            <w:fldChar w:fldCharType="begin"/>
          </w:r>
          <w:r w:rsidRPr="00FA5606">
            <w:rPr>
              <w:rFonts w:ascii="Calibri" w:hAnsi="Calibri" w:cs="Calibri"/>
            </w:rPr>
            <w:instrText xml:space="preserve"> CITATION INS12 \l 1033 </w:instrText>
          </w:r>
          <w:r w:rsidR="00EC56B7" w:rsidRPr="00E97254">
            <w:rPr>
              <w:rFonts w:ascii="Calibri" w:hAnsi="Calibri" w:cs="Calibri"/>
            </w:rPr>
            <w:fldChar w:fldCharType="separate"/>
          </w:r>
          <w:r w:rsidR="00724BCC" w:rsidRPr="00E97254">
            <w:rPr>
              <w:rFonts w:ascii="Calibri" w:hAnsi="Calibri" w:cs="Calibri"/>
            </w:rPr>
            <w:t xml:space="preserve"> [65]</w:t>
          </w:r>
          <w:r w:rsidR="00EC56B7" w:rsidRPr="00E97254">
            <w:rPr>
              <w:rFonts w:ascii="Calibri" w:hAnsi="Calibri" w:cs="Calibri"/>
            </w:rPr>
            <w:fldChar w:fldCharType="end"/>
          </w:r>
        </w:sdtContent>
      </w:sdt>
      <w:r w:rsidR="00BB5CB7" w:rsidRPr="00E97254">
        <w:rPr>
          <w:rFonts w:ascii="Calibri" w:hAnsi="Calibri" w:cs="Calibri"/>
        </w:rPr>
        <w:t>, rreth 262,</w:t>
      </w:r>
      <w:r w:rsidR="00B73674" w:rsidRPr="00E97254">
        <w:rPr>
          <w:rFonts w:ascii="Calibri" w:hAnsi="Calibri" w:cs="Calibri"/>
        </w:rPr>
        <w:t xml:space="preserve">639 </w:t>
      </w:r>
      <w:r w:rsidR="00BB5CB7" w:rsidRPr="00E97254">
        <w:rPr>
          <w:rFonts w:ascii="Calibri" w:hAnsi="Calibri" w:cs="Calibri"/>
        </w:rPr>
        <w:t>persona kishin përfunduar ose ishin duke ndjekur ndonjë formë të arsimit të lartë</w:t>
      </w:r>
      <w:r w:rsidR="00B73674" w:rsidRPr="00E97254">
        <w:rPr>
          <w:rFonts w:ascii="Calibri" w:hAnsi="Calibri" w:cs="Calibri"/>
        </w:rPr>
        <w:t>, prej të cilëve 128,721 (49%) meshkuj dhe 133,918 (51%) femr</w:t>
      </w:r>
      <w:r w:rsidRPr="00FA5606">
        <w:rPr>
          <w:rFonts w:ascii="Calibri" w:hAnsi="Calibri" w:cs="Calibri"/>
        </w:rPr>
        <w:t xml:space="preserve">a. Kjo përbën 10.7% të popullsisë 10 vjeç e lart, duke shënuar rritje të ndjeshme krahasuar me Censusin 2001 (5.5%). Në vitin 1990, Shqipëria kishte rreth 14 mijë studentë, ndërsa në vitin 2013/2014 numri i tyre arriti maksimumin prej 176,173. Ishte ky rezultati i zgjerimit pa kritere të kapaciteteve pranuese në arsimin e lartë, që, pa dyshim, ndikoi në rënien e cilësisë. Në vitin 2014 u mbyllën 18 institucione private të arsimit të lartë dhe një institucion publik, ndërsa numri i studentëve deri në vitin 2019 u zvogëlua gradualisht në 139,043. </w:t>
      </w:r>
    </w:p>
    <w:p w:rsidR="00BB5CB7" w:rsidRPr="00E97254" w:rsidRDefault="00FA5606" w:rsidP="000C0250">
      <w:pPr>
        <w:spacing w:after="0"/>
        <w:jc w:val="both"/>
        <w:rPr>
          <w:rFonts w:ascii="Calibri" w:hAnsi="Calibri" w:cs="Calibri"/>
        </w:rPr>
      </w:pPr>
      <w:r w:rsidRPr="00FA5606">
        <w:rPr>
          <w:rFonts w:ascii="Calibri" w:hAnsi="Calibri" w:cs="Calibri"/>
        </w:rPr>
        <w:lastRenderedPageBreak/>
        <w:t>Sot në Shqipëri funksionojnë 15 institucione publike dhe 25 jopublike të arsimit të lartë ose 14 institucione për 1</w:t>
      </w:r>
      <w:r w:rsidR="00E8227C">
        <w:rPr>
          <w:rFonts w:ascii="Calibri" w:hAnsi="Calibri" w:cs="Calibri"/>
        </w:rPr>
        <w:t xml:space="preserve"> milion </w:t>
      </w:r>
      <w:r w:rsidRPr="00FA5606">
        <w:rPr>
          <w:rFonts w:ascii="Calibri" w:hAnsi="Calibri" w:cs="Calibri"/>
        </w:rPr>
        <w:t xml:space="preserve">banorë që është në nivelin e disa vendeve të Rajonit, por mbi nivelin e Bashkimit </w:t>
      </w:r>
      <w:r w:rsidRPr="00FA5606">
        <w:rPr>
          <w:rFonts w:cs="Calibri"/>
        </w:rPr>
        <w:t>Evropian</w:t>
      </w:r>
      <w:r w:rsidRPr="00FA5606">
        <w:rPr>
          <w:rFonts w:ascii="Calibri" w:hAnsi="Calibri" w:cs="Calibri"/>
        </w:rPr>
        <w:t xml:space="preserve"> – 7 IAL për 1</w:t>
      </w:r>
      <w:r w:rsidR="00E8227C">
        <w:rPr>
          <w:rFonts w:ascii="Calibri" w:hAnsi="Calibri" w:cs="Calibri"/>
        </w:rPr>
        <w:t xml:space="preserve"> milion </w:t>
      </w:r>
      <w:r w:rsidRPr="00FA5606">
        <w:rPr>
          <w:rFonts w:ascii="Calibri" w:hAnsi="Calibri" w:cs="Calibri"/>
        </w:rPr>
        <w:t>banorë. Shqipëria ka rreth 4,900 studentë në 100,000 banorë, ndërsa raporti bruto i regjistrimit në arsimin e lartë është 58.8%. Krahasimi me disa vende është dhënë në figurën 7.</w:t>
      </w:r>
    </w:p>
    <w:p w:rsidR="007F7E7D" w:rsidRPr="00E97254" w:rsidRDefault="00FA5606" w:rsidP="000C0250">
      <w:pPr>
        <w:pStyle w:val="Caption"/>
        <w:keepNext/>
        <w:spacing w:before="120" w:after="0" w:line="276" w:lineRule="auto"/>
        <w:jc w:val="both"/>
        <w:rPr>
          <w:rFonts w:ascii="Calibri" w:hAnsi="Calibri" w:cs="Calibri"/>
          <w:b w:val="0"/>
          <w:color w:val="auto"/>
          <w:sz w:val="22"/>
          <w:szCs w:val="22"/>
        </w:rPr>
      </w:pPr>
      <w:bookmarkStart w:id="81" w:name="_Toc66802060"/>
      <w:r w:rsidRPr="00FA5606">
        <w:rPr>
          <w:rFonts w:ascii="Calibri" w:hAnsi="Calibri" w:cs="Calibri"/>
          <w:color w:val="auto"/>
          <w:sz w:val="22"/>
          <w:szCs w:val="22"/>
        </w:rPr>
        <w:t xml:space="preserve">Figura </w:t>
      </w:r>
      <w:r w:rsidR="00EC56B7" w:rsidRPr="00FA5606">
        <w:rPr>
          <w:rFonts w:ascii="Calibri" w:hAnsi="Calibri" w:cs="Calibri"/>
          <w:color w:val="auto"/>
          <w:sz w:val="22"/>
          <w:szCs w:val="22"/>
        </w:rPr>
        <w:fldChar w:fldCharType="begin"/>
      </w:r>
      <w:r w:rsidRPr="00FA5606">
        <w:rPr>
          <w:rFonts w:ascii="Calibri" w:hAnsi="Calibri" w:cs="Calibri"/>
          <w:color w:val="auto"/>
          <w:sz w:val="22"/>
          <w:szCs w:val="22"/>
        </w:rPr>
        <w:instrText xml:space="preserve"> SEQ Figura \* ARABIC </w:instrText>
      </w:r>
      <w:r w:rsidR="00EC56B7" w:rsidRPr="00FA5606">
        <w:rPr>
          <w:rFonts w:ascii="Calibri" w:hAnsi="Calibri" w:cs="Calibri"/>
          <w:color w:val="auto"/>
          <w:sz w:val="22"/>
          <w:szCs w:val="22"/>
        </w:rPr>
        <w:fldChar w:fldCharType="separate"/>
      </w:r>
      <w:r w:rsidRPr="00FA5606">
        <w:rPr>
          <w:rFonts w:ascii="Calibri" w:hAnsi="Calibri" w:cs="Calibri"/>
          <w:color w:val="auto"/>
          <w:sz w:val="22"/>
          <w:szCs w:val="22"/>
        </w:rPr>
        <w:t>7</w:t>
      </w:r>
      <w:r w:rsidR="00EC56B7" w:rsidRPr="00FA5606">
        <w:rPr>
          <w:rFonts w:ascii="Calibri" w:hAnsi="Calibri" w:cs="Calibri"/>
          <w:color w:val="auto"/>
          <w:sz w:val="22"/>
          <w:szCs w:val="22"/>
        </w:rPr>
        <w:fldChar w:fldCharType="end"/>
      </w:r>
      <w:r w:rsidRPr="00FA5606">
        <w:rPr>
          <w:rFonts w:ascii="Calibri" w:hAnsi="Calibri" w:cs="Calibri"/>
          <w:color w:val="auto"/>
          <w:sz w:val="22"/>
          <w:szCs w:val="22"/>
        </w:rPr>
        <w:t>.</w:t>
      </w:r>
      <w:r w:rsidRPr="00FA5606">
        <w:rPr>
          <w:rFonts w:ascii="Calibri" w:hAnsi="Calibri" w:cs="Calibri"/>
          <w:b w:val="0"/>
          <w:color w:val="auto"/>
          <w:sz w:val="22"/>
          <w:szCs w:val="22"/>
        </w:rPr>
        <w:t xml:space="preserve"> Raporti bruto i regjistrimit në arsimin e lartë</w:t>
      </w:r>
      <w:bookmarkEnd w:id="81"/>
      <w:r w:rsidRPr="00FA5606">
        <w:rPr>
          <w:rFonts w:ascii="Calibri" w:hAnsi="Calibri" w:cs="Calibri"/>
          <w:b w:val="0"/>
          <w:color w:val="auto"/>
          <w:sz w:val="22"/>
          <w:szCs w:val="22"/>
        </w:rPr>
        <w:t xml:space="preserve"> </w:t>
      </w:r>
    </w:p>
    <w:p w:rsidR="00701328" w:rsidRPr="00E97254" w:rsidRDefault="00B91568" w:rsidP="000C0250">
      <w:pPr>
        <w:spacing w:after="0"/>
        <w:jc w:val="both"/>
        <w:rPr>
          <w:rFonts w:ascii="Arial" w:hAnsi="Arial" w:cs="Arial"/>
          <w:sz w:val="32"/>
          <w:szCs w:val="32"/>
        </w:rPr>
      </w:pPr>
      <w:r w:rsidRPr="00E97254">
        <w:rPr>
          <w:noProof/>
          <w:lang w:val="en-US"/>
        </w:rPr>
        <w:drawing>
          <wp:inline distT="0" distB="0" distL="0" distR="0">
            <wp:extent cx="5941060" cy="3435350"/>
            <wp:effectExtent l="0" t="0" r="0" b="0"/>
            <wp:docPr id="476" name="Chart 1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701328" w:rsidRPr="00E97254" w:rsidRDefault="007F7E7D" w:rsidP="000C0250">
      <w:pPr>
        <w:spacing w:after="0"/>
        <w:jc w:val="both"/>
        <w:rPr>
          <w:rStyle w:val="Hyperlink"/>
          <w:rFonts w:ascii="Calibri" w:hAnsi="Calibri" w:cs="Calibri"/>
        </w:rPr>
      </w:pPr>
      <w:r w:rsidRPr="00E97254">
        <w:rPr>
          <w:rFonts w:ascii="Calibri" w:hAnsi="Calibri" w:cs="Calibri"/>
        </w:rPr>
        <w:t xml:space="preserve">Burimi: </w:t>
      </w:r>
      <w:hyperlink r:id="rId20" w:history="1">
        <w:r w:rsidR="00B43D13" w:rsidRPr="00E97254">
          <w:rPr>
            <w:rStyle w:val="Hyperlink"/>
            <w:rFonts w:ascii="Calibri" w:hAnsi="Calibri" w:cs="Calibri"/>
          </w:rPr>
          <w:t>http://data.uis.unesco.org/</w:t>
        </w:r>
      </w:hyperlink>
    </w:p>
    <w:p w:rsidR="000856FF" w:rsidRPr="00E97254" w:rsidRDefault="000856FF" w:rsidP="000C0250">
      <w:pPr>
        <w:spacing w:after="0"/>
        <w:jc w:val="both"/>
        <w:rPr>
          <w:rFonts w:ascii="Calibri" w:hAnsi="Calibri" w:cs="Calibri"/>
        </w:rPr>
      </w:pPr>
      <w:r w:rsidRPr="00E97254">
        <w:rPr>
          <w:rFonts w:ascii="Calibri" w:hAnsi="Calibri" w:cs="Calibri"/>
          <w:sz w:val="18"/>
        </w:rPr>
        <w:t>Të dhënat për Shqipërinë</w:t>
      </w:r>
      <w:r w:rsidR="00F14F04" w:rsidRPr="00E97254">
        <w:rPr>
          <w:rFonts w:ascii="Calibri" w:hAnsi="Calibri" w:cs="Calibri"/>
          <w:sz w:val="18"/>
        </w:rPr>
        <w:t xml:space="preserve">, Bosnjën e Hercegovinën, Serbinë dhe </w:t>
      </w:r>
      <w:r w:rsidR="00F14F04" w:rsidRPr="00E97254">
        <w:rPr>
          <w:rFonts w:cs="Calibri"/>
          <w:sz w:val="18"/>
        </w:rPr>
        <w:t>E</w:t>
      </w:r>
      <w:r w:rsidR="00FA5606" w:rsidRPr="00FA5606">
        <w:rPr>
          <w:rFonts w:cs="Calibri"/>
          <w:sz w:val="18"/>
        </w:rPr>
        <w:t>vropën</w:t>
      </w:r>
      <w:r w:rsidR="00FA5606" w:rsidRPr="00FA5606">
        <w:rPr>
          <w:rFonts w:ascii="Calibri" w:hAnsi="Calibri" w:cs="Calibri"/>
          <w:sz w:val="18"/>
        </w:rPr>
        <w:t xml:space="preserve"> janë të vitit 2019, për vendet tjera të vitit 2018.</w:t>
      </w:r>
    </w:p>
    <w:p w:rsidR="00C0062D" w:rsidRPr="00E97254" w:rsidRDefault="00FA5606" w:rsidP="000C0250">
      <w:pPr>
        <w:spacing w:before="120" w:after="0"/>
        <w:jc w:val="both"/>
      </w:pPr>
      <w:r w:rsidRPr="00FA5606">
        <w:rPr>
          <w:rFonts w:ascii="Calibri" w:hAnsi="Calibri" w:cs="Calibri"/>
        </w:rPr>
        <w:t>Si pjesë e Hapësirës Evropiane të Arsimit të Lartë (EHEA) dhe Procesit të Bolonjës nga viti 2003, Shqipëria është shumë e angazhuar të përmbushë të gjitha angazhimet e Procesit të Bolonjës duke qenë shumë aktive në Bologna Follow-Up Group (BFUG), si dhe të kontribuoj</w:t>
      </w:r>
      <w:r w:rsidR="003907BD" w:rsidRPr="004E1F53">
        <w:rPr>
          <w:rFonts w:cstheme="minorHAnsi"/>
        </w:rPr>
        <w:t>ë</w:t>
      </w:r>
      <w:r w:rsidRPr="00FA5606">
        <w:rPr>
          <w:rFonts w:ascii="Calibri" w:hAnsi="Calibri" w:cs="Calibri"/>
        </w:rPr>
        <w:t xml:space="preserve"> në këtë proces </w:t>
      </w:r>
      <w:r w:rsidR="00A50A43">
        <w:rPr>
          <w:rFonts w:ascii="Calibri" w:hAnsi="Calibri" w:cs="Calibri"/>
        </w:rPr>
        <w:t>nëpërmjet</w:t>
      </w:r>
      <w:r w:rsidRPr="00FA5606">
        <w:rPr>
          <w:rFonts w:ascii="Calibri" w:hAnsi="Calibri" w:cs="Calibri"/>
        </w:rPr>
        <w:t xml:space="preserve"> pjesëmarrjes në grupe të ndryshme pune/këshilluese të BFUG. </w:t>
      </w:r>
    </w:p>
    <w:p w:rsidR="00C0062D" w:rsidRPr="00E97254" w:rsidRDefault="00FA5606" w:rsidP="000C0250">
      <w:pPr>
        <w:spacing w:after="0"/>
        <w:jc w:val="both"/>
      </w:pPr>
      <w:r w:rsidRPr="00FA5606">
        <w:t>Shqipëria do të mbajë sekretariatin e BFUG</w:t>
      </w:r>
      <w:r w:rsidR="003907BD">
        <w:t>-s</w:t>
      </w:r>
      <w:r w:rsidR="003907BD" w:rsidRPr="004E1F53">
        <w:rPr>
          <w:rFonts w:cstheme="minorHAnsi"/>
        </w:rPr>
        <w:t>ë</w:t>
      </w:r>
      <w:r w:rsidR="003907BD">
        <w:rPr>
          <w:rFonts w:cstheme="minorHAnsi"/>
        </w:rPr>
        <w:t xml:space="preserve"> </w:t>
      </w:r>
      <w:r w:rsidRPr="00FA5606">
        <w:t>për periudhën janar 2021- qershor 2024 dhe në Tiranë do të zhvillohet ministeriali i ardhshëm i ministrave përgjegjës për arsimin e lartë në qershor 2024. Kjo periudhë do të fokusohet në intensifikimin e përpjekjeve për implementimin e reformave të Procesit të Bolonjës që reflektohen dhe në përmbajtjen e akteve dhe masave zbatuese të reflektuara në PKIE 2021-2023. Ky proces do të koordinohet nga Kryeministria dhe do të përfshihen përveç MASR</w:t>
      </w:r>
      <w:r w:rsidR="003907BD">
        <w:t>-s</w:t>
      </w:r>
      <w:r w:rsidR="003907BD" w:rsidRPr="004E1F53">
        <w:t>ë</w:t>
      </w:r>
      <w:r w:rsidRPr="00FA5606">
        <w:t xml:space="preserve"> dhe MFE</w:t>
      </w:r>
      <w:r w:rsidR="003907BD">
        <w:t>-s</w:t>
      </w:r>
      <w:r w:rsidR="003907BD" w:rsidRPr="004E1F53">
        <w:t>ë</w:t>
      </w:r>
      <w:r w:rsidRPr="00FA5606">
        <w:t>, QSHA</w:t>
      </w:r>
      <w:r w:rsidR="003907BD">
        <w:t>-ja</w:t>
      </w:r>
      <w:r w:rsidRPr="00FA5606">
        <w:t>, ASCAL</w:t>
      </w:r>
      <w:r w:rsidR="003907BD">
        <w:t>-i</w:t>
      </w:r>
      <w:r w:rsidRPr="00FA5606">
        <w:t>, si dhe institucione të tjera si Bashkia Tiranë, MTM</w:t>
      </w:r>
      <w:r w:rsidR="003907BD">
        <w:t>-ja</w:t>
      </w:r>
      <w:r w:rsidRPr="00FA5606">
        <w:t>. Në proces do të angazhohen dhe përfaqësues të Ekipit Kombëtar të Bolonjës dhe HERE</w:t>
      </w:r>
      <w:r w:rsidR="003907BD">
        <w:t>-s</w:t>
      </w:r>
      <w:r w:rsidRPr="00FA5606">
        <w:t xml:space="preserve"> për ta bërë një proces sa më gjithëpërfshirës.</w:t>
      </w:r>
    </w:p>
    <w:p w:rsidR="004339A9" w:rsidRPr="00E97254" w:rsidRDefault="00FA5606" w:rsidP="000C0250">
      <w:pPr>
        <w:spacing w:after="0"/>
        <w:jc w:val="both"/>
        <w:rPr>
          <w:rFonts w:ascii="Calibri" w:hAnsi="Calibri" w:cs="Calibri"/>
        </w:rPr>
      </w:pPr>
      <w:r w:rsidRPr="00FA5606">
        <w:rPr>
          <w:rFonts w:ascii="Calibri" w:hAnsi="Calibri" w:cs="Calibri"/>
        </w:rPr>
        <w:t xml:space="preserve">Përderisa për arsimin parauniversitar ekzistojnë analiza të shumta të gjendjes të sponsorizuara nga institucione vendore dhe ndërkombëtare, mungesa e analizave të tilla për arsimin e lartë paraqet një faktor kufizues në procesin e planifikimit. Për këtë arsye, </w:t>
      </w:r>
      <w:r w:rsidR="00DC4C19">
        <w:rPr>
          <w:rFonts w:ascii="Calibri" w:hAnsi="Calibri" w:cs="Calibri"/>
        </w:rPr>
        <w:t xml:space="preserve">analiza e situatës </w:t>
      </w:r>
      <w:r w:rsidRPr="00FA5606">
        <w:rPr>
          <w:rFonts w:ascii="Calibri" w:hAnsi="Calibri" w:cs="Calibri"/>
        </w:rPr>
        <w:t xml:space="preserve">në arsimin e lartë është bazuar </w:t>
      </w:r>
      <w:r w:rsidR="005F00D4" w:rsidRPr="004E1F53">
        <w:rPr>
          <w:rFonts w:ascii="Calibri" w:hAnsi="Calibri" w:cs="Calibri"/>
        </w:rPr>
        <w:lastRenderedPageBreak/>
        <w:t xml:space="preserve">kryesisht </w:t>
      </w:r>
      <w:r w:rsidRPr="00FA5606">
        <w:rPr>
          <w:rFonts w:ascii="Calibri" w:hAnsi="Calibri" w:cs="Calibri"/>
        </w:rPr>
        <w:t xml:space="preserve">në të dhënat ekzistuese për nënsektorin, si dhe në analizën SWOT të bërë nga Grupi i Punës për Arsimin e Lartë. Kjo analizë </w:t>
      </w:r>
      <w:r w:rsidRPr="00FA5606">
        <w:rPr>
          <w:rFonts w:cs="Calibri"/>
        </w:rPr>
        <w:t>përfshin</w:t>
      </w:r>
      <w:r w:rsidRPr="00FA5606">
        <w:rPr>
          <w:rFonts w:ascii="Calibri" w:hAnsi="Calibri" w:cs="Calibri"/>
        </w:rPr>
        <w:t xml:space="preserve"> 5 fusha:</w:t>
      </w:r>
    </w:p>
    <w:p w:rsidR="004339A9" w:rsidRPr="00E97254" w:rsidRDefault="00FA5606" w:rsidP="000C0250">
      <w:pPr>
        <w:pStyle w:val="ListParagraph"/>
        <w:numPr>
          <w:ilvl w:val="0"/>
          <w:numId w:val="19"/>
        </w:numPr>
        <w:spacing w:after="0"/>
        <w:jc w:val="both"/>
        <w:rPr>
          <w:rFonts w:ascii="Calibri" w:hAnsi="Calibri" w:cs="Calibri"/>
        </w:rPr>
      </w:pPr>
      <w:r w:rsidRPr="00FA5606">
        <w:rPr>
          <w:rFonts w:ascii="Calibri" w:hAnsi="Calibri" w:cs="Calibri"/>
        </w:rPr>
        <w:t>Cilësia në arsimin e lartë;</w:t>
      </w:r>
    </w:p>
    <w:p w:rsidR="003C74F8" w:rsidRPr="00E97254" w:rsidRDefault="00FA5606" w:rsidP="000C0250">
      <w:pPr>
        <w:pStyle w:val="ListParagraph"/>
        <w:numPr>
          <w:ilvl w:val="0"/>
          <w:numId w:val="19"/>
        </w:numPr>
        <w:spacing w:after="0"/>
        <w:jc w:val="both"/>
        <w:rPr>
          <w:rFonts w:ascii="Calibri" w:hAnsi="Calibri" w:cs="Calibri"/>
        </w:rPr>
      </w:pPr>
      <w:r w:rsidRPr="00FA5606">
        <w:rPr>
          <w:rFonts w:ascii="Calibri" w:hAnsi="Calibri" w:cs="Calibri"/>
        </w:rPr>
        <w:t>Integriteti dhe transparenca;</w:t>
      </w:r>
    </w:p>
    <w:p w:rsidR="003C74F8" w:rsidRPr="00E97254" w:rsidRDefault="00FA5606" w:rsidP="000C0250">
      <w:pPr>
        <w:pStyle w:val="ListParagraph"/>
        <w:numPr>
          <w:ilvl w:val="0"/>
          <w:numId w:val="19"/>
        </w:numPr>
        <w:spacing w:after="0"/>
        <w:jc w:val="both"/>
        <w:rPr>
          <w:rFonts w:ascii="Calibri" w:hAnsi="Calibri" w:cs="Calibri"/>
        </w:rPr>
      </w:pPr>
      <w:r w:rsidRPr="00FA5606">
        <w:rPr>
          <w:rFonts w:ascii="Calibri" w:hAnsi="Calibri" w:cs="Calibri"/>
        </w:rPr>
        <w:t>Studentët;</w:t>
      </w:r>
    </w:p>
    <w:p w:rsidR="003C74F8" w:rsidRPr="00E97254" w:rsidRDefault="00FA5606" w:rsidP="000C0250">
      <w:pPr>
        <w:pStyle w:val="ListParagraph"/>
        <w:numPr>
          <w:ilvl w:val="0"/>
          <w:numId w:val="19"/>
        </w:numPr>
        <w:spacing w:after="0"/>
        <w:jc w:val="both"/>
        <w:rPr>
          <w:rFonts w:ascii="Calibri" w:hAnsi="Calibri" w:cs="Calibri"/>
        </w:rPr>
      </w:pPr>
      <w:r w:rsidRPr="00FA5606">
        <w:rPr>
          <w:rFonts w:ascii="Calibri" w:hAnsi="Calibri" w:cs="Calibri"/>
        </w:rPr>
        <w:t>Ndërkombëtarizimi i arsimit të lartë;</w:t>
      </w:r>
    </w:p>
    <w:p w:rsidR="003C74F8" w:rsidRPr="00E97254" w:rsidRDefault="00FA5606" w:rsidP="000C0250">
      <w:pPr>
        <w:pStyle w:val="ListParagraph"/>
        <w:numPr>
          <w:ilvl w:val="0"/>
          <w:numId w:val="19"/>
        </w:numPr>
        <w:spacing w:after="0"/>
        <w:jc w:val="both"/>
        <w:rPr>
          <w:rFonts w:ascii="Calibri" w:hAnsi="Calibri" w:cs="Calibri"/>
        </w:rPr>
      </w:pPr>
      <w:r w:rsidRPr="00FA5606">
        <w:rPr>
          <w:rFonts w:ascii="Calibri" w:hAnsi="Calibri" w:cs="Calibri"/>
        </w:rPr>
        <w:t>Shërbimet digjitale.</w:t>
      </w:r>
    </w:p>
    <w:p w:rsidR="00C44536" w:rsidRPr="00E97254" w:rsidRDefault="00FA5606" w:rsidP="000C0250">
      <w:pPr>
        <w:pStyle w:val="Heading3"/>
        <w:jc w:val="both"/>
      </w:pPr>
      <w:bookmarkStart w:id="82" w:name="_Toc45624232"/>
      <w:bookmarkStart w:id="83" w:name="_Toc66802000"/>
      <w:r w:rsidRPr="00FA5606">
        <w:t>4.4.1. Cilësia në arsimin e lartë</w:t>
      </w:r>
      <w:bookmarkEnd w:id="82"/>
      <w:bookmarkEnd w:id="83"/>
    </w:p>
    <w:p w:rsidR="004378CD" w:rsidRPr="00E97254" w:rsidRDefault="00FA5606" w:rsidP="000C0250">
      <w:pPr>
        <w:spacing w:before="120" w:after="0"/>
        <w:jc w:val="both"/>
        <w:rPr>
          <w:rFonts w:ascii="Calibri" w:hAnsi="Calibri" w:cs="Calibri"/>
        </w:rPr>
      </w:pPr>
      <w:r w:rsidRPr="00FA5606">
        <w:rPr>
          <w:rFonts w:ascii="Calibri" w:hAnsi="Calibri" w:cs="Calibri"/>
        </w:rPr>
        <w:t xml:space="preserve">Një prej rankimeve të pakta të besueshme ndërkombëtare që </w:t>
      </w:r>
      <w:r w:rsidRPr="00FA5606">
        <w:t>përfshin institucionet</w:t>
      </w:r>
      <w:r w:rsidRPr="00FA5606">
        <w:rPr>
          <w:rFonts w:ascii="Calibri" w:hAnsi="Calibri" w:cs="Calibri"/>
        </w:rPr>
        <w:t xml:space="preserve"> shqiptare të arsimit të lartë është QS – World University Rankings, i cili, përveç tjerash, harton listë të veçantë rankimi për 350 IAL-të më të mira</w:t>
      </w:r>
      <w:r w:rsidR="005F00D4">
        <w:rPr>
          <w:rFonts w:ascii="Calibri" w:hAnsi="Calibri" w:cs="Calibri"/>
        </w:rPr>
        <w:t xml:space="preserve"> t</w:t>
      </w:r>
      <w:r w:rsidR="005F00D4" w:rsidRPr="004E1F53">
        <w:rPr>
          <w:rFonts w:ascii="Calibri" w:hAnsi="Calibri" w:cs="Calibri"/>
        </w:rPr>
        <w:t>ë</w:t>
      </w:r>
      <w:r w:rsidR="005F00D4">
        <w:rPr>
          <w:rFonts w:ascii="Calibri" w:hAnsi="Calibri" w:cs="Calibri"/>
        </w:rPr>
        <w:t xml:space="preserve"> </w:t>
      </w:r>
      <w:r w:rsidRPr="00FA5606">
        <w:rPr>
          <w:rFonts w:cs="Calibri"/>
        </w:rPr>
        <w:t>Evropës</w:t>
      </w:r>
      <w:r w:rsidRPr="00FA5606">
        <w:rPr>
          <w:rFonts w:ascii="Calibri" w:hAnsi="Calibri" w:cs="Calibri"/>
        </w:rPr>
        <w:t xml:space="preserve"> Lindore dhe Azisë Qendrore</w:t>
      </w:r>
      <w:r w:rsidR="00E100C5" w:rsidRPr="00E97254">
        <w:rPr>
          <w:rStyle w:val="FootnoteReference"/>
          <w:rFonts w:ascii="Calibri" w:hAnsi="Calibri" w:cs="Calibri"/>
        </w:rPr>
        <w:footnoteReference w:id="8"/>
      </w:r>
      <w:r w:rsidR="00D70E83" w:rsidRPr="00E97254">
        <w:rPr>
          <w:rFonts w:ascii="Calibri" w:hAnsi="Calibri" w:cs="Calibri"/>
        </w:rPr>
        <w:t xml:space="preserve">. </w:t>
      </w:r>
      <w:r w:rsidR="00E100C5" w:rsidRPr="00E97254">
        <w:rPr>
          <w:rFonts w:ascii="Calibri" w:hAnsi="Calibri" w:cs="Calibri"/>
        </w:rPr>
        <w:t xml:space="preserve">Nga </w:t>
      </w:r>
      <w:r w:rsidR="004770A0" w:rsidRPr="00E97254">
        <w:rPr>
          <w:rFonts w:ascii="Calibri" w:hAnsi="Calibri" w:cs="Calibri"/>
        </w:rPr>
        <w:t>viti 2020</w:t>
      </w:r>
      <w:r w:rsidR="00E100C5" w:rsidRPr="00E97254">
        <w:rPr>
          <w:rFonts w:ascii="Calibri" w:hAnsi="Calibri" w:cs="Calibri"/>
        </w:rPr>
        <w:t xml:space="preserve">, në këtë listë figuron </w:t>
      </w:r>
      <w:r w:rsidRPr="00FA5606">
        <w:rPr>
          <w:rFonts w:ascii="Calibri" w:hAnsi="Calibri" w:cs="Calibri"/>
        </w:rPr>
        <w:t>edhe Universiteti i Tiranës, si IAL</w:t>
      </w:r>
      <w:r w:rsidR="005F00D4">
        <w:rPr>
          <w:rFonts w:ascii="Calibri" w:hAnsi="Calibri" w:cs="Calibri"/>
        </w:rPr>
        <w:t>-ja</w:t>
      </w:r>
      <w:r w:rsidRPr="00FA5606">
        <w:rPr>
          <w:rFonts w:ascii="Calibri" w:hAnsi="Calibri" w:cs="Calibri"/>
        </w:rPr>
        <w:t xml:space="preserve"> </w:t>
      </w:r>
      <w:r w:rsidR="005F00D4">
        <w:rPr>
          <w:rFonts w:ascii="Calibri" w:hAnsi="Calibri" w:cs="Calibri"/>
        </w:rPr>
        <w:t>e</w:t>
      </w:r>
      <w:r w:rsidRPr="00FA5606">
        <w:rPr>
          <w:rFonts w:ascii="Calibri" w:hAnsi="Calibri" w:cs="Calibri"/>
        </w:rPr>
        <w:t xml:space="preserve"> vet</w:t>
      </w:r>
      <w:r w:rsidR="005F00D4">
        <w:rPr>
          <w:rFonts w:ascii="Calibri" w:hAnsi="Calibri" w:cs="Calibri"/>
        </w:rPr>
        <w:t>me</w:t>
      </w:r>
      <w:r w:rsidRPr="00FA5606">
        <w:rPr>
          <w:rFonts w:ascii="Calibri" w:hAnsi="Calibri" w:cs="Calibri"/>
        </w:rPr>
        <w:t xml:space="preserve"> shqiptar</w:t>
      </w:r>
      <w:r w:rsidR="005F00D4">
        <w:rPr>
          <w:rFonts w:ascii="Calibri" w:hAnsi="Calibri" w:cs="Calibri"/>
        </w:rPr>
        <w:t>e</w:t>
      </w:r>
      <w:r w:rsidRPr="00FA5606">
        <w:rPr>
          <w:rFonts w:ascii="Calibri" w:hAnsi="Calibri" w:cs="Calibri"/>
        </w:rPr>
        <w:t xml:space="preserve">, dhe radhitet në </w:t>
      </w:r>
      <w:r w:rsidRPr="00FA5606">
        <w:rPr>
          <w:rFonts w:cs="Calibri"/>
        </w:rPr>
        <w:t>vendin</w:t>
      </w:r>
      <w:r w:rsidRPr="00FA5606">
        <w:rPr>
          <w:rFonts w:ascii="Calibri" w:hAnsi="Calibri" w:cs="Calibri"/>
        </w:rPr>
        <w:t xml:space="preserve"> 301-350. Krahasimi i Universitetit të Tiranës me disa </w:t>
      </w:r>
      <w:r w:rsidRPr="00FA5606">
        <w:rPr>
          <w:rFonts w:cs="Calibri"/>
        </w:rPr>
        <w:t>IAL të</w:t>
      </w:r>
      <w:r w:rsidRPr="00FA5606">
        <w:rPr>
          <w:rFonts w:ascii="Calibri" w:hAnsi="Calibri" w:cs="Calibri"/>
        </w:rPr>
        <w:t xml:space="preserve"> tjera nga lista e </w:t>
      </w:r>
      <w:r w:rsidRPr="00FA5606">
        <w:t>QS</w:t>
      </w:r>
      <w:r w:rsidR="005F00D4">
        <w:t>-s</w:t>
      </w:r>
      <w:r w:rsidR="005F00D4" w:rsidRPr="004E1F53">
        <w:rPr>
          <w:rFonts w:ascii="Calibri" w:hAnsi="Calibri" w:cs="Calibri"/>
        </w:rPr>
        <w:t>ë</w:t>
      </w:r>
      <w:r w:rsidRPr="00FA5606">
        <w:t xml:space="preserve"> tregon</w:t>
      </w:r>
      <w:r w:rsidRPr="00FA5606">
        <w:rPr>
          <w:rFonts w:ascii="Calibri" w:hAnsi="Calibri" w:cs="Calibri"/>
        </w:rPr>
        <w:t xml:space="preserve"> se cilësia e arsimit të lartë në Shqipëri ka vend për përmirësim thelbësor (</w:t>
      </w:r>
      <w:r w:rsidR="008D102D">
        <w:fldChar w:fldCharType="begin"/>
      </w:r>
      <w:r w:rsidR="008D102D">
        <w:instrText xml:space="preserve"> REF _Ref43890545 \h  \* MERGEFORMAT </w:instrText>
      </w:r>
      <w:r w:rsidR="008D102D">
        <w:fldChar w:fldCharType="separate"/>
      </w:r>
      <w:r w:rsidR="005A6200" w:rsidRPr="00E97254">
        <w:rPr>
          <w:rFonts w:ascii="Calibri" w:hAnsi="Calibri" w:cs="Calibri"/>
        </w:rPr>
        <w:t>Figura 8</w:t>
      </w:r>
      <w:r w:rsidR="008D102D">
        <w:fldChar w:fldCharType="end"/>
      </w:r>
      <w:r w:rsidR="004378CD" w:rsidRPr="00E97254">
        <w:rPr>
          <w:rFonts w:ascii="Calibri" w:hAnsi="Calibri" w:cs="Calibri"/>
        </w:rPr>
        <w:t xml:space="preserve">). </w:t>
      </w:r>
    </w:p>
    <w:p w:rsidR="004770A0" w:rsidRPr="00E97254" w:rsidRDefault="004770A0" w:rsidP="000C0250">
      <w:pPr>
        <w:pStyle w:val="Caption"/>
        <w:spacing w:before="120" w:after="0" w:line="276" w:lineRule="auto"/>
        <w:jc w:val="both"/>
        <w:rPr>
          <w:rFonts w:ascii="Calibri" w:hAnsi="Calibri" w:cs="Calibri"/>
          <w:b w:val="0"/>
          <w:color w:val="auto"/>
          <w:sz w:val="22"/>
          <w:szCs w:val="22"/>
        </w:rPr>
      </w:pPr>
      <w:bookmarkStart w:id="84" w:name="_Ref43890545"/>
      <w:bookmarkStart w:id="85" w:name="_Ref43890537"/>
      <w:bookmarkStart w:id="86" w:name="_Toc66802061"/>
      <w:r w:rsidRPr="00E97254">
        <w:rPr>
          <w:rFonts w:ascii="Calibri" w:hAnsi="Calibri" w:cs="Calibri"/>
          <w:color w:val="auto"/>
          <w:sz w:val="22"/>
          <w:szCs w:val="22"/>
        </w:rPr>
        <w:t xml:space="preserve">Figura </w:t>
      </w:r>
      <w:r w:rsidR="00EC56B7" w:rsidRPr="00FA5606">
        <w:rPr>
          <w:rFonts w:ascii="Calibri" w:hAnsi="Calibri" w:cs="Calibri"/>
          <w:color w:val="auto"/>
          <w:sz w:val="22"/>
          <w:szCs w:val="22"/>
        </w:rPr>
        <w:fldChar w:fldCharType="begin"/>
      </w:r>
      <w:r w:rsidR="00FA5606" w:rsidRPr="00FA5606">
        <w:rPr>
          <w:rFonts w:ascii="Calibri" w:hAnsi="Calibri" w:cs="Calibri"/>
          <w:color w:val="auto"/>
          <w:sz w:val="22"/>
          <w:szCs w:val="22"/>
        </w:rPr>
        <w:instrText xml:space="preserve"> SEQ Figura \* ARABIC </w:instrText>
      </w:r>
      <w:r w:rsidR="00EC56B7" w:rsidRPr="00FA5606">
        <w:rPr>
          <w:rFonts w:ascii="Calibri" w:hAnsi="Calibri" w:cs="Calibri"/>
          <w:color w:val="auto"/>
          <w:sz w:val="22"/>
          <w:szCs w:val="22"/>
        </w:rPr>
        <w:fldChar w:fldCharType="separate"/>
      </w:r>
      <w:r w:rsidR="00FA5606" w:rsidRPr="00FA5606">
        <w:rPr>
          <w:rFonts w:ascii="Calibri" w:hAnsi="Calibri" w:cs="Calibri"/>
          <w:color w:val="auto"/>
          <w:sz w:val="22"/>
          <w:szCs w:val="22"/>
        </w:rPr>
        <w:t>8</w:t>
      </w:r>
      <w:r w:rsidR="00EC56B7" w:rsidRPr="00FA5606">
        <w:rPr>
          <w:rFonts w:ascii="Calibri" w:hAnsi="Calibri" w:cs="Calibri"/>
          <w:color w:val="auto"/>
          <w:sz w:val="22"/>
          <w:szCs w:val="22"/>
        </w:rPr>
        <w:fldChar w:fldCharType="end"/>
      </w:r>
      <w:bookmarkEnd w:id="84"/>
      <w:r w:rsidR="00FA5606" w:rsidRPr="00FA5606">
        <w:rPr>
          <w:rFonts w:ascii="Calibri" w:hAnsi="Calibri" w:cs="Calibri"/>
          <w:color w:val="auto"/>
          <w:sz w:val="22"/>
          <w:szCs w:val="22"/>
        </w:rPr>
        <w:t>.</w:t>
      </w:r>
      <w:r w:rsidR="00FA5606" w:rsidRPr="00FA5606">
        <w:rPr>
          <w:rFonts w:ascii="Calibri" w:hAnsi="Calibri" w:cs="Calibri"/>
          <w:b w:val="0"/>
          <w:color w:val="auto"/>
          <w:sz w:val="22"/>
          <w:szCs w:val="22"/>
        </w:rPr>
        <w:t xml:space="preserve"> Rankimi QS i IAL-ve të </w:t>
      </w:r>
      <w:r w:rsidR="00FA5606" w:rsidRPr="00FA5606">
        <w:rPr>
          <w:rFonts w:cs="Calibri"/>
          <w:b w:val="0"/>
          <w:color w:val="auto"/>
          <w:sz w:val="22"/>
          <w:szCs w:val="22"/>
        </w:rPr>
        <w:t>Evropës</w:t>
      </w:r>
      <w:r w:rsidR="00FA5606" w:rsidRPr="00FA5606">
        <w:rPr>
          <w:rFonts w:ascii="Calibri" w:hAnsi="Calibri" w:cs="Calibri"/>
          <w:b w:val="0"/>
          <w:color w:val="auto"/>
          <w:sz w:val="22"/>
          <w:szCs w:val="22"/>
        </w:rPr>
        <w:t xml:space="preserve"> Lindore dhe Azisë Qendrore</w:t>
      </w:r>
      <w:bookmarkEnd w:id="85"/>
      <w:bookmarkEnd w:id="86"/>
    </w:p>
    <w:p w:rsidR="004770A0" w:rsidRPr="00E97254" w:rsidRDefault="00B91568" w:rsidP="000C0250">
      <w:pPr>
        <w:spacing w:after="0"/>
        <w:jc w:val="both"/>
        <w:rPr>
          <w:sz w:val="32"/>
          <w:szCs w:val="32"/>
        </w:rPr>
      </w:pPr>
      <w:r w:rsidRPr="00E97254">
        <w:rPr>
          <w:noProof/>
          <w:sz w:val="32"/>
          <w:szCs w:val="32"/>
          <w:lang w:val="en-US"/>
        </w:rPr>
        <w:drawing>
          <wp:inline distT="0" distB="0" distL="0" distR="0">
            <wp:extent cx="5029200" cy="1764561"/>
            <wp:effectExtent l="0" t="0" r="0" b="7620"/>
            <wp:docPr id="477" name="Chart 2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565BD3" w:rsidRPr="00E97254" w:rsidRDefault="00D9106A" w:rsidP="000C0250">
      <w:pPr>
        <w:spacing w:after="0"/>
        <w:jc w:val="both"/>
        <w:rPr>
          <w:rFonts w:ascii="Calibri" w:hAnsi="Calibri" w:cs="Calibri"/>
        </w:rPr>
      </w:pPr>
      <w:r w:rsidRPr="00E97254">
        <w:rPr>
          <w:rFonts w:ascii="Calibri" w:hAnsi="Calibri" w:cs="Calibri"/>
        </w:rPr>
        <w:t xml:space="preserve">Duke filluar nga viti </w:t>
      </w:r>
      <w:r w:rsidR="00CE7006" w:rsidRPr="00E97254">
        <w:rPr>
          <w:rFonts w:ascii="Calibri" w:hAnsi="Calibri" w:cs="Calibri"/>
        </w:rPr>
        <w:t>2015</w:t>
      </w:r>
      <w:r w:rsidRPr="00E97254">
        <w:rPr>
          <w:rFonts w:ascii="Calibri" w:hAnsi="Calibri" w:cs="Calibri"/>
        </w:rPr>
        <w:t xml:space="preserve"> të gjitha institucionet e </w:t>
      </w:r>
      <w:r w:rsidR="00FA5606" w:rsidRPr="00FA5606">
        <w:rPr>
          <w:rFonts w:ascii="Calibri" w:hAnsi="Calibri" w:cs="Calibri"/>
        </w:rPr>
        <w:t>arsimit të lartë i nënshtrohen akreditimit të detyrueshëm nga ASCAL</w:t>
      </w:r>
      <w:r w:rsidR="005F00D4">
        <w:rPr>
          <w:rFonts w:ascii="Calibri" w:hAnsi="Calibri" w:cs="Calibri"/>
        </w:rPr>
        <w:t>-i</w:t>
      </w:r>
      <w:r w:rsidR="00FA5606" w:rsidRPr="00FA5606">
        <w:rPr>
          <w:rFonts w:ascii="Calibri" w:hAnsi="Calibri" w:cs="Calibri"/>
        </w:rPr>
        <w:t>. Agjencia gëzon autonomi në adoptimin e procedurave dhe kritereve të vlerësimit, si dhe në angazhimin e ekspertëve përkatës. Edhe pse ASCAL</w:t>
      </w:r>
      <w:r w:rsidR="005F00D4">
        <w:rPr>
          <w:rFonts w:ascii="Calibri" w:hAnsi="Calibri" w:cs="Calibri"/>
        </w:rPr>
        <w:t>-i</w:t>
      </w:r>
      <w:r w:rsidR="00FA5606" w:rsidRPr="00FA5606">
        <w:rPr>
          <w:rFonts w:ascii="Calibri" w:hAnsi="Calibri" w:cs="Calibri"/>
        </w:rPr>
        <w:t xml:space="preserve"> nuk është akoma anëtar me të drejta të plota </w:t>
      </w:r>
      <w:r w:rsidR="005F00D4">
        <w:rPr>
          <w:rFonts w:ascii="Calibri" w:hAnsi="Calibri" w:cs="Calibri"/>
        </w:rPr>
        <w:t>i</w:t>
      </w:r>
      <w:r w:rsidR="00FA5606" w:rsidRPr="00FA5606">
        <w:rPr>
          <w:rFonts w:ascii="Calibri" w:hAnsi="Calibri" w:cs="Calibri"/>
        </w:rPr>
        <w:t xml:space="preserve"> Rrjetit </w:t>
      </w:r>
      <w:r w:rsidR="00FA5606" w:rsidRPr="00FA5606">
        <w:rPr>
          <w:rFonts w:cs="Calibri"/>
        </w:rPr>
        <w:t>Evropian</w:t>
      </w:r>
      <w:r w:rsidR="00FA5606" w:rsidRPr="00FA5606">
        <w:rPr>
          <w:rFonts w:ascii="Calibri" w:hAnsi="Calibri" w:cs="Calibri"/>
        </w:rPr>
        <w:t xml:space="preserve"> të Sigurimit të Cilësisë në Arsimin e Lartë (ENQA), vitet e fundit është shtuar besueshmëria e procesit të akreditimit. Megjithatë, procesi i akreditimit nuk shoqërohet me mbikëqyrje të vazhdueshme të institucioneve të arsimit të lartë për t’u siguruar se ato i përmbahen kushteve të akreditimit. </w:t>
      </w:r>
      <w:r w:rsidR="00FA5606" w:rsidRPr="00FA5606">
        <w:t>Sigurimi i brendshëm i cilësisë është detyrim ligjor i institucioneve të arsimit të lartë duke qenë përgjegjëse për hartimin e politikave dhe procedurave për sigurimin e cilësisë. Ky sistem, ngrihet nga institucionet e arsimit të lartë dhe funksionon nëpërmjet njësisë së sigurimit të brendshëm të cilësisë. Struktura dhe funksionet e kësaj njësie përcaktohen në statutin e institucioneve të arsimit të lartë.</w:t>
      </w:r>
    </w:p>
    <w:p w:rsidR="00565BD3" w:rsidRPr="00E97254" w:rsidRDefault="00FA5606" w:rsidP="000C0250">
      <w:pPr>
        <w:spacing w:before="120" w:after="0"/>
        <w:jc w:val="both"/>
        <w:rPr>
          <w:rFonts w:ascii="Calibri" w:hAnsi="Calibri" w:cs="Calibri"/>
        </w:rPr>
      </w:pPr>
      <w:r w:rsidRPr="00FA5606">
        <w:rPr>
          <w:rFonts w:ascii="Calibri" w:hAnsi="Calibri" w:cs="Calibri"/>
        </w:rPr>
        <w:lastRenderedPageBreak/>
        <w:t xml:space="preserve">Në sistemin e arsimit të lartë ka një shumëllojshmëri të madhe të ofertës akademike, pa kritere dhe politika strategjike planifikimi </w:t>
      </w:r>
      <w:sdt>
        <w:sdtPr>
          <w:rPr>
            <w:rFonts w:ascii="Calibri" w:hAnsi="Calibri" w:cs="Calibri"/>
          </w:rPr>
          <w:id w:val="1145863258"/>
          <w:citation/>
        </w:sdtPr>
        <w:sdtEndPr/>
        <w:sdtContent>
          <w:r w:rsidR="00EC56B7" w:rsidRPr="00E97254">
            <w:rPr>
              <w:rFonts w:ascii="Calibri" w:hAnsi="Calibri" w:cs="Calibri"/>
            </w:rPr>
            <w:fldChar w:fldCharType="begin"/>
          </w:r>
          <w:r w:rsidRPr="00FA5606">
            <w:rPr>
              <w:rFonts w:ascii="Calibri" w:hAnsi="Calibri" w:cs="Calibri"/>
            </w:rPr>
            <w:instrText xml:space="preserve"> CITATION Gjo14 \l 1033 </w:instrText>
          </w:r>
          <w:r w:rsidR="00EC56B7" w:rsidRPr="00E97254">
            <w:rPr>
              <w:rFonts w:ascii="Calibri" w:hAnsi="Calibri" w:cs="Calibri"/>
            </w:rPr>
            <w:fldChar w:fldCharType="separate"/>
          </w:r>
          <w:r w:rsidR="00724BCC" w:rsidRPr="00E97254">
            <w:rPr>
              <w:rFonts w:ascii="Calibri" w:hAnsi="Calibri" w:cs="Calibri"/>
            </w:rPr>
            <w:t>[31]</w:t>
          </w:r>
          <w:r w:rsidR="00EC56B7" w:rsidRPr="00E97254">
            <w:rPr>
              <w:rFonts w:ascii="Calibri" w:hAnsi="Calibri" w:cs="Calibri"/>
            </w:rPr>
            <w:fldChar w:fldCharType="end"/>
          </w:r>
        </w:sdtContent>
      </w:sdt>
      <w:r w:rsidR="00D9106A" w:rsidRPr="00E97254">
        <w:rPr>
          <w:rFonts w:ascii="Calibri" w:hAnsi="Calibri" w:cs="Calibri"/>
        </w:rPr>
        <w:t xml:space="preserve">, ndërsa numri i programeve </w:t>
      </w:r>
      <w:r w:rsidR="00A311F0" w:rsidRPr="00E97254">
        <w:rPr>
          <w:rFonts w:ascii="Calibri" w:hAnsi="Calibri" w:cs="Calibri"/>
        </w:rPr>
        <w:t xml:space="preserve">të </w:t>
      </w:r>
      <w:r w:rsidR="00D9106A" w:rsidRPr="00E97254">
        <w:rPr>
          <w:rFonts w:ascii="Calibri" w:hAnsi="Calibri" w:cs="Calibri"/>
        </w:rPr>
        <w:t>studim</w:t>
      </w:r>
      <w:r w:rsidR="00A311F0" w:rsidRPr="00E97254">
        <w:rPr>
          <w:rFonts w:ascii="Calibri" w:hAnsi="Calibri" w:cs="Calibri"/>
        </w:rPr>
        <w:t>it</w:t>
      </w:r>
      <w:r w:rsidRPr="00FA5606">
        <w:rPr>
          <w:rFonts w:ascii="Calibri" w:hAnsi="Calibri" w:cs="Calibri"/>
        </w:rPr>
        <w:t xml:space="preserve"> është mbi 1,300. Një mangësi strukturore e arsimit të lartë në Shqipëri është zhvillimi i programeve të studimit që, nga aspekti i përmbajtjes, përgjithësisht, nuk reflektojnë nevojat e tregut të punës. Kjo vlen edhe për programet profesionale të nivelit 5, të cilat, të shumtën janë teorike dhe me punë praktike të pamjaftueshme. </w:t>
      </w:r>
    </w:p>
    <w:p w:rsidR="00CE7006" w:rsidRPr="00E97254" w:rsidRDefault="00FA5606" w:rsidP="000C0250">
      <w:pPr>
        <w:spacing w:after="0"/>
        <w:jc w:val="both"/>
        <w:rPr>
          <w:rFonts w:ascii="Calibri" w:hAnsi="Calibri" w:cs="Calibri"/>
        </w:rPr>
      </w:pPr>
      <w:r w:rsidRPr="00FA5606">
        <w:rPr>
          <w:rFonts w:ascii="Calibri" w:hAnsi="Calibri" w:cs="Calibri"/>
        </w:rPr>
        <w:t>Megjithatë, sa i përket fushave të përgjithshme të studimit, struktura e të diplomuarve në Shqipëri ka shpërndarje të ngjashme me atë të të diplomuarve në vendet e BE</w:t>
      </w:r>
      <w:r w:rsidR="00F87048">
        <w:rPr>
          <w:rFonts w:ascii="Calibri" w:hAnsi="Calibri" w:cs="Calibri"/>
        </w:rPr>
        <w:t>-s</w:t>
      </w:r>
      <w:r w:rsidR="00F87048" w:rsidRPr="004E1F53">
        <w:rPr>
          <w:rFonts w:ascii="Calibri" w:hAnsi="Calibri" w:cs="Calibri"/>
        </w:rPr>
        <w:t>ë</w:t>
      </w:r>
      <w:r w:rsidRPr="00FA5606">
        <w:rPr>
          <w:rFonts w:ascii="Calibri" w:hAnsi="Calibri" w:cs="Calibri"/>
        </w:rPr>
        <w:t xml:space="preserve"> (</w:t>
      </w:r>
      <w:r w:rsidR="008D102D">
        <w:fldChar w:fldCharType="begin"/>
      </w:r>
      <w:r w:rsidR="008D102D">
        <w:instrText xml:space="preserve"> REF _Ref43965261 \h  \* MERGEFORMAT </w:instrText>
      </w:r>
      <w:r w:rsidR="008D102D">
        <w:fldChar w:fldCharType="separate"/>
      </w:r>
      <w:r w:rsidR="005A6200" w:rsidRPr="00E97254">
        <w:rPr>
          <w:rFonts w:ascii="Calibri" w:hAnsi="Calibri" w:cs="Calibri"/>
        </w:rPr>
        <w:t>Figura 9</w:t>
      </w:r>
      <w:r w:rsidR="008D102D">
        <w:fldChar w:fldCharType="end"/>
      </w:r>
      <w:r w:rsidR="00CE51B3" w:rsidRPr="00E97254">
        <w:rPr>
          <w:rFonts w:ascii="Calibri" w:hAnsi="Calibri" w:cs="Calibri"/>
        </w:rPr>
        <w:t>)</w:t>
      </w:r>
      <w:r w:rsidR="00CE7006" w:rsidRPr="00E97254">
        <w:rPr>
          <w:rFonts w:ascii="Calibri" w:hAnsi="Calibri" w:cs="Calibri"/>
        </w:rPr>
        <w:t>.</w:t>
      </w:r>
      <w:r w:rsidR="00C44BF6" w:rsidRPr="00E97254">
        <w:rPr>
          <w:rFonts w:ascii="Calibri" w:hAnsi="Calibri" w:cs="Calibri"/>
        </w:rPr>
        <w:t xml:space="preserve"> </w:t>
      </w:r>
      <w:r w:rsidR="00821BDB" w:rsidRPr="00E97254">
        <w:rPr>
          <w:rFonts w:ascii="Calibri" w:hAnsi="Calibri" w:cs="Calibri"/>
        </w:rPr>
        <w:t>Fushat në të cilat janë diplomuar më shumë v</w:t>
      </w:r>
      <w:r w:rsidRPr="00FA5606">
        <w:rPr>
          <w:rFonts w:ascii="Calibri" w:hAnsi="Calibri" w:cs="Calibri"/>
        </w:rPr>
        <w:t>ajzat në vitin 2019 janë “Arsim” me 81.4 %,</w:t>
      </w:r>
      <w:r w:rsidR="00F87048">
        <w:rPr>
          <w:rFonts w:ascii="Calibri" w:hAnsi="Calibri" w:cs="Calibri"/>
        </w:rPr>
        <w:t xml:space="preserve"> </w:t>
      </w:r>
      <w:r w:rsidRPr="00FA5606">
        <w:rPr>
          <w:rFonts w:ascii="Calibri" w:hAnsi="Calibri" w:cs="Calibri"/>
        </w:rPr>
        <w:t xml:space="preserve">ndjekur nga “Shëndet dhe mirëqenie” me 79.1 % dhe “Arte dhe shkenca humane” me 78.2 % </w:t>
      </w:r>
      <w:sdt>
        <w:sdtPr>
          <w:rPr>
            <w:rFonts w:ascii="Calibri" w:hAnsi="Calibri" w:cs="Calibri"/>
          </w:rPr>
          <w:id w:val="1678304458"/>
          <w:citation/>
        </w:sdtPr>
        <w:sdtEndPr/>
        <w:sdtContent>
          <w:r w:rsidR="00EC56B7" w:rsidRPr="00E97254">
            <w:rPr>
              <w:rFonts w:ascii="Calibri" w:hAnsi="Calibri" w:cs="Calibri"/>
            </w:rPr>
            <w:fldChar w:fldCharType="begin"/>
          </w:r>
          <w:r w:rsidRPr="00FA5606">
            <w:rPr>
              <w:rFonts w:ascii="Calibri" w:hAnsi="Calibri" w:cs="Calibri"/>
            </w:rPr>
            <w:instrText xml:space="preserve"> CITATION INS203 \l 1033 </w:instrText>
          </w:r>
          <w:r w:rsidR="00EC56B7" w:rsidRPr="00E97254">
            <w:rPr>
              <w:rFonts w:ascii="Calibri" w:hAnsi="Calibri" w:cs="Calibri"/>
            </w:rPr>
            <w:fldChar w:fldCharType="separate"/>
          </w:r>
          <w:r w:rsidR="00724BCC" w:rsidRPr="00E97254">
            <w:rPr>
              <w:rFonts w:ascii="Calibri" w:hAnsi="Calibri" w:cs="Calibri"/>
            </w:rPr>
            <w:t>[66]</w:t>
          </w:r>
          <w:r w:rsidR="00EC56B7" w:rsidRPr="00E97254">
            <w:rPr>
              <w:rFonts w:ascii="Calibri" w:hAnsi="Calibri" w:cs="Calibri"/>
            </w:rPr>
            <w:fldChar w:fldCharType="end"/>
          </w:r>
        </w:sdtContent>
      </w:sdt>
      <w:r w:rsidR="00821BDB" w:rsidRPr="00E97254">
        <w:rPr>
          <w:rFonts w:ascii="Calibri" w:hAnsi="Calibri" w:cs="Calibri"/>
        </w:rPr>
        <w:t>. Fushat në të cilat janë diplomuar më shumë djemt</w:t>
      </w:r>
      <w:r w:rsidR="00821BDB" w:rsidRPr="00E97254">
        <w:rPr>
          <w:rFonts w:eastAsiaTheme="minorHAnsi" w:cstheme="minorHAnsi"/>
          <w:lang w:eastAsia="ja-JP"/>
        </w:rPr>
        <w:t>ë</w:t>
      </w:r>
      <w:r w:rsidR="00821BDB" w:rsidRPr="00E97254">
        <w:rPr>
          <w:rFonts w:ascii="Calibri" w:hAnsi="Calibri" w:cs="Calibri"/>
        </w:rPr>
        <w:t xml:space="preserve"> janë “Shërbime” me 73</w:t>
      </w:r>
      <w:r w:rsidR="00061BBB" w:rsidRPr="00E97254">
        <w:rPr>
          <w:rFonts w:ascii="Calibri" w:hAnsi="Calibri" w:cs="Calibri"/>
        </w:rPr>
        <w:t>.</w:t>
      </w:r>
      <w:r w:rsidRPr="00FA5606">
        <w:rPr>
          <w:rFonts w:ascii="Calibri" w:hAnsi="Calibri" w:cs="Calibri"/>
        </w:rPr>
        <w:t xml:space="preserve">6 %, “Inxhinieri, prodhim dhe ndërtim” me 62.6 %, dhe “Bujqësi, pyje, peshkim dhe veterinari” me 55.1 % </w:t>
      </w:r>
      <w:sdt>
        <w:sdtPr>
          <w:rPr>
            <w:rFonts w:ascii="Calibri" w:hAnsi="Calibri" w:cs="Calibri"/>
          </w:rPr>
          <w:id w:val="268595750"/>
          <w:citation/>
        </w:sdtPr>
        <w:sdtEndPr/>
        <w:sdtContent>
          <w:r w:rsidR="00EC56B7" w:rsidRPr="00E97254">
            <w:rPr>
              <w:rFonts w:ascii="Calibri" w:hAnsi="Calibri" w:cs="Calibri"/>
            </w:rPr>
            <w:fldChar w:fldCharType="begin"/>
          </w:r>
          <w:r w:rsidRPr="00FA5606">
            <w:rPr>
              <w:rFonts w:ascii="Calibri" w:hAnsi="Calibri" w:cs="Calibri"/>
            </w:rPr>
            <w:instrText xml:space="preserve"> CITATION INS203 \l 1033 </w:instrText>
          </w:r>
          <w:r w:rsidR="00EC56B7" w:rsidRPr="00E97254">
            <w:rPr>
              <w:rFonts w:ascii="Calibri" w:hAnsi="Calibri" w:cs="Calibri"/>
            </w:rPr>
            <w:fldChar w:fldCharType="separate"/>
          </w:r>
          <w:r w:rsidR="00724BCC" w:rsidRPr="00E97254">
            <w:rPr>
              <w:rFonts w:ascii="Calibri" w:hAnsi="Calibri" w:cs="Calibri"/>
            </w:rPr>
            <w:t>[66]</w:t>
          </w:r>
          <w:r w:rsidR="00EC56B7" w:rsidRPr="00E97254">
            <w:rPr>
              <w:rFonts w:ascii="Calibri" w:hAnsi="Calibri" w:cs="Calibri"/>
            </w:rPr>
            <w:fldChar w:fldCharType="end"/>
          </w:r>
        </w:sdtContent>
      </w:sdt>
      <w:r w:rsidR="00821BDB" w:rsidRPr="00E97254">
        <w:rPr>
          <w:rFonts w:ascii="Calibri" w:hAnsi="Calibri" w:cs="Calibri"/>
        </w:rPr>
        <w:t xml:space="preserve">. </w:t>
      </w:r>
      <w:r w:rsidR="00C44BF6" w:rsidRPr="00E97254">
        <w:rPr>
          <w:rFonts w:ascii="Calibri" w:hAnsi="Calibri" w:cs="Calibri"/>
        </w:rPr>
        <w:t xml:space="preserve">Ndërkaq, interesimi për programet STEM (shkencë, teknologji, </w:t>
      </w:r>
      <w:r w:rsidR="00407C08" w:rsidRPr="00E97254">
        <w:rPr>
          <w:rFonts w:ascii="Calibri" w:hAnsi="Calibri" w:cs="Calibri"/>
        </w:rPr>
        <w:t>inxhinieri</w:t>
      </w:r>
      <w:r w:rsidRPr="00FA5606">
        <w:rPr>
          <w:rFonts w:ascii="Calibri" w:hAnsi="Calibri" w:cs="Calibri"/>
        </w:rPr>
        <w:t xml:space="preserve"> dhe matematikë) është në rritje të vazhdueshme dhe në vitin akademik 2019-20, 27.3% të studentëve vijojnë programe në Shkenca natyrore, matematikë dhe statistikë; Teknologji e Informacionit dhe komunikimit; si dhe Inxhinieri, prodhim dhe ndërtim) (</w:t>
      </w:r>
      <w:r w:rsidR="008D102D">
        <w:fldChar w:fldCharType="begin"/>
      </w:r>
      <w:r w:rsidR="008D102D">
        <w:instrText xml:space="preserve"> REF _Ref52011125 \h  \* MERGEFORMAT </w:instrText>
      </w:r>
      <w:r w:rsidR="008D102D">
        <w:fldChar w:fldCharType="separate"/>
      </w:r>
      <w:r w:rsidR="005A6200" w:rsidRPr="00E97254">
        <w:rPr>
          <w:rFonts w:ascii="Calibri" w:hAnsi="Calibri" w:cs="Calibri"/>
        </w:rPr>
        <w:t>Tabela 10</w:t>
      </w:r>
      <w:r w:rsidR="008D102D">
        <w:fldChar w:fldCharType="end"/>
      </w:r>
      <w:r w:rsidR="00527736" w:rsidRPr="00E97254">
        <w:rPr>
          <w:rFonts w:ascii="Calibri" w:hAnsi="Calibri" w:cs="Calibri"/>
        </w:rPr>
        <w:t>)</w:t>
      </w:r>
      <w:r w:rsidR="00C44BF6" w:rsidRPr="00E97254">
        <w:rPr>
          <w:rFonts w:ascii="Calibri" w:hAnsi="Calibri" w:cs="Calibri"/>
        </w:rPr>
        <w:t xml:space="preserve">. </w:t>
      </w:r>
      <w:r w:rsidR="00F87048">
        <w:rPr>
          <w:rFonts w:ascii="Calibri" w:hAnsi="Calibri" w:cs="Calibri"/>
        </w:rPr>
        <w:t xml:space="preserve"> </w:t>
      </w:r>
    </w:p>
    <w:p w:rsidR="00CE51B3" w:rsidRPr="00E97254" w:rsidRDefault="00CE51B3" w:rsidP="000C0250">
      <w:pPr>
        <w:pStyle w:val="Caption"/>
        <w:keepNext/>
        <w:spacing w:before="120" w:after="0" w:line="276" w:lineRule="auto"/>
        <w:jc w:val="both"/>
        <w:rPr>
          <w:rFonts w:ascii="Calibri" w:hAnsi="Calibri" w:cs="Calibri"/>
          <w:b w:val="0"/>
          <w:color w:val="auto"/>
          <w:sz w:val="22"/>
          <w:szCs w:val="22"/>
        </w:rPr>
      </w:pPr>
      <w:bookmarkStart w:id="87" w:name="_Ref43965261"/>
      <w:bookmarkStart w:id="88" w:name="_Toc66802062"/>
      <w:r w:rsidRPr="00E97254">
        <w:rPr>
          <w:rFonts w:ascii="Calibri" w:hAnsi="Calibri" w:cs="Calibri"/>
          <w:color w:val="auto"/>
          <w:sz w:val="22"/>
          <w:szCs w:val="22"/>
        </w:rPr>
        <w:t xml:space="preserve">Figura </w:t>
      </w:r>
      <w:r w:rsidR="00EC56B7" w:rsidRPr="00FA5606">
        <w:rPr>
          <w:rFonts w:ascii="Calibri" w:hAnsi="Calibri" w:cs="Calibri"/>
          <w:color w:val="auto"/>
          <w:sz w:val="22"/>
          <w:szCs w:val="22"/>
        </w:rPr>
        <w:fldChar w:fldCharType="begin"/>
      </w:r>
      <w:r w:rsidR="00FA5606" w:rsidRPr="00FA5606">
        <w:rPr>
          <w:rFonts w:ascii="Calibri" w:hAnsi="Calibri" w:cs="Calibri"/>
          <w:color w:val="auto"/>
          <w:sz w:val="22"/>
          <w:szCs w:val="22"/>
        </w:rPr>
        <w:instrText xml:space="preserve"> SEQ Figura \* ARABIC </w:instrText>
      </w:r>
      <w:r w:rsidR="00EC56B7" w:rsidRPr="00FA5606">
        <w:rPr>
          <w:rFonts w:ascii="Calibri" w:hAnsi="Calibri" w:cs="Calibri"/>
          <w:color w:val="auto"/>
          <w:sz w:val="22"/>
          <w:szCs w:val="22"/>
        </w:rPr>
        <w:fldChar w:fldCharType="separate"/>
      </w:r>
      <w:r w:rsidR="00FA5606" w:rsidRPr="00FA5606">
        <w:rPr>
          <w:rFonts w:ascii="Calibri" w:hAnsi="Calibri" w:cs="Calibri"/>
          <w:color w:val="auto"/>
          <w:sz w:val="22"/>
          <w:szCs w:val="22"/>
        </w:rPr>
        <w:t>9</w:t>
      </w:r>
      <w:r w:rsidR="00EC56B7" w:rsidRPr="00FA5606">
        <w:rPr>
          <w:rFonts w:ascii="Calibri" w:hAnsi="Calibri" w:cs="Calibri"/>
          <w:color w:val="auto"/>
          <w:sz w:val="22"/>
          <w:szCs w:val="22"/>
        </w:rPr>
        <w:fldChar w:fldCharType="end"/>
      </w:r>
      <w:bookmarkEnd w:id="87"/>
      <w:r w:rsidR="00FA5606" w:rsidRPr="00FA5606">
        <w:rPr>
          <w:rFonts w:ascii="Calibri" w:hAnsi="Calibri" w:cs="Calibri"/>
          <w:color w:val="auto"/>
          <w:sz w:val="22"/>
          <w:szCs w:val="22"/>
        </w:rPr>
        <w:t>.</w:t>
      </w:r>
      <w:r w:rsidR="00FA5606" w:rsidRPr="00FA5606">
        <w:rPr>
          <w:rFonts w:ascii="Calibri" w:hAnsi="Calibri" w:cs="Calibri"/>
          <w:b w:val="0"/>
          <w:color w:val="auto"/>
          <w:sz w:val="22"/>
          <w:szCs w:val="22"/>
        </w:rPr>
        <w:t xml:space="preserve"> Struktura e të diplomuarve sipas fushave të studimit</w:t>
      </w:r>
      <w:bookmarkEnd w:id="88"/>
    </w:p>
    <w:p w:rsidR="00CE7006" w:rsidRPr="00E97254" w:rsidRDefault="00B91568" w:rsidP="000C0250">
      <w:pPr>
        <w:spacing w:before="120" w:after="0"/>
        <w:jc w:val="both"/>
        <w:rPr>
          <w:rFonts w:cs="Calibri"/>
          <w:sz w:val="32"/>
          <w:szCs w:val="32"/>
        </w:rPr>
      </w:pPr>
      <w:r w:rsidRPr="00E97254">
        <w:rPr>
          <w:noProof/>
          <w:lang w:val="en-US"/>
        </w:rPr>
        <w:drawing>
          <wp:inline distT="0" distB="0" distL="0" distR="0">
            <wp:extent cx="4619625" cy="2362835"/>
            <wp:effectExtent l="0" t="0" r="0" b="0"/>
            <wp:docPr id="478"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619625" cy="2362835"/>
                    </a:xfrm>
                    <a:prstGeom prst="rect">
                      <a:avLst/>
                    </a:prstGeom>
                    <a:noFill/>
                    <a:ln>
                      <a:noFill/>
                    </a:ln>
                  </pic:spPr>
                </pic:pic>
              </a:graphicData>
            </a:graphic>
          </wp:inline>
        </w:drawing>
      </w:r>
    </w:p>
    <w:p w:rsidR="00A311F0" w:rsidRPr="00E97254" w:rsidRDefault="00B43D13" w:rsidP="000C0250">
      <w:pPr>
        <w:pStyle w:val="Caption"/>
        <w:keepNext/>
        <w:spacing w:before="120" w:after="120" w:line="276" w:lineRule="auto"/>
        <w:jc w:val="both"/>
        <w:rPr>
          <w:rFonts w:cstheme="minorHAnsi"/>
          <w:b w:val="0"/>
          <w:color w:val="auto"/>
          <w:spacing w:val="-3"/>
          <w:sz w:val="22"/>
          <w:szCs w:val="22"/>
        </w:rPr>
      </w:pPr>
      <w:bookmarkStart w:id="89" w:name="_Ref52011125"/>
      <w:bookmarkStart w:id="90" w:name="_Toc66802044"/>
      <w:r w:rsidRPr="00E97254">
        <w:rPr>
          <w:rFonts w:cstheme="minorHAnsi"/>
          <w:color w:val="auto"/>
          <w:sz w:val="22"/>
          <w:szCs w:val="22"/>
        </w:rPr>
        <w:t xml:space="preserve">Tabela </w:t>
      </w:r>
      <w:r w:rsidR="00EC56B7" w:rsidRPr="00FA5606">
        <w:rPr>
          <w:rFonts w:cstheme="minorHAnsi"/>
          <w:bCs w:val="0"/>
          <w:color w:val="auto"/>
          <w:sz w:val="22"/>
          <w:szCs w:val="22"/>
        </w:rPr>
        <w:fldChar w:fldCharType="begin"/>
      </w:r>
      <w:r w:rsidR="00FA5606" w:rsidRPr="00FA5606">
        <w:rPr>
          <w:rFonts w:cstheme="minorHAnsi"/>
          <w:color w:val="auto"/>
          <w:sz w:val="22"/>
          <w:szCs w:val="22"/>
        </w:rPr>
        <w:instrText xml:space="preserve"> SEQ Tabela \* ARABIC </w:instrText>
      </w:r>
      <w:r w:rsidR="00EC56B7" w:rsidRPr="00FA5606">
        <w:rPr>
          <w:rFonts w:cstheme="minorHAnsi"/>
          <w:bCs w:val="0"/>
          <w:color w:val="auto"/>
          <w:sz w:val="22"/>
          <w:szCs w:val="22"/>
        </w:rPr>
        <w:fldChar w:fldCharType="separate"/>
      </w:r>
      <w:r w:rsidR="00FA5606" w:rsidRPr="00FA5606">
        <w:rPr>
          <w:rFonts w:cstheme="minorHAnsi"/>
          <w:color w:val="auto"/>
          <w:sz w:val="22"/>
          <w:szCs w:val="22"/>
        </w:rPr>
        <w:t>10</w:t>
      </w:r>
      <w:r w:rsidR="00EC56B7" w:rsidRPr="00FA5606">
        <w:rPr>
          <w:rFonts w:cstheme="minorHAnsi"/>
          <w:bCs w:val="0"/>
          <w:color w:val="auto"/>
          <w:sz w:val="22"/>
          <w:szCs w:val="22"/>
        </w:rPr>
        <w:fldChar w:fldCharType="end"/>
      </w:r>
      <w:bookmarkEnd w:id="89"/>
      <w:r w:rsidR="00FA5606" w:rsidRPr="00FA5606">
        <w:rPr>
          <w:rFonts w:cstheme="minorHAnsi"/>
          <w:color w:val="auto"/>
          <w:sz w:val="22"/>
          <w:szCs w:val="22"/>
        </w:rPr>
        <w:t>.</w:t>
      </w:r>
      <w:r w:rsidR="00FA5606" w:rsidRPr="00FA5606">
        <w:rPr>
          <w:rFonts w:cstheme="minorHAnsi"/>
          <w:b w:val="0"/>
          <w:color w:val="auto"/>
          <w:sz w:val="22"/>
          <w:szCs w:val="22"/>
        </w:rPr>
        <w:t xml:space="preserve"> </w:t>
      </w:r>
      <w:r w:rsidR="00FA5606" w:rsidRPr="00FA5606">
        <w:rPr>
          <w:rFonts w:cstheme="minorHAnsi"/>
          <w:b w:val="0"/>
          <w:color w:val="auto"/>
          <w:spacing w:val="-3"/>
          <w:sz w:val="22"/>
          <w:szCs w:val="22"/>
        </w:rPr>
        <w:t>Studentët në arsimin e lartë sipas fushave të studimit</w:t>
      </w:r>
      <w:r w:rsidR="00FA5606" w:rsidRPr="00FA5606">
        <w:rPr>
          <w:b w:val="0"/>
          <w:color w:val="auto"/>
          <w:sz w:val="22"/>
          <w:szCs w:val="22"/>
        </w:rPr>
        <w:t xml:space="preserve"> </w:t>
      </w:r>
      <w:sdt>
        <w:sdtPr>
          <w:rPr>
            <w:b w:val="0"/>
            <w:color w:val="auto"/>
            <w:sz w:val="22"/>
            <w:szCs w:val="22"/>
          </w:rPr>
          <w:id w:val="-375702358"/>
          <w:citation/>
        </w:sdtPr>
        <w:sdtEndPr/>
        <w:sdtContent>
          <w:r w:rsidR="00EC56B7" w:rsidRPr="00FA5606">
            <w:rPr>
              <w:b w:val="0"/>
              <w:color w:val="auto"/>
              <w:sz w:val="22"/>
              <w:szCs w:val="22"/>
            </w:rPr>
            <w:fldChar w:fldCharType="begin"/>
          </w:r>
          <w:r w:rsidR="00FA5606" w:rsidRPr="00FA5606">
            <w:rPr>
              <w:b w:val="0"/>
              <w:color w:val="auto"/>
              <w:sz w:val="22"/>
              <w:szCs w:val="22"/>
            </w:rPr>
            <w:instrText xml:space="preserve"> CITATION INS201 \l 1033 </w:instrText>
          </w:r>
          <w:r w:rsidR="00EC56B7" w:rsidRPr="00FA5606">
            <w:rPr>
              <w:b w:val="0"/>
              <w:color w:val="auto"/>
              <w:sz w:val="22"/>
              <w:szCs w:val="22"/>
            </w:rPr>
            <w:fldChar w:fldCharType="separate"/>
          </w:r>
          <w:r w:rsidR="00FA5606" w:rsidRPr="00FA5606">
            <w:rPr>
              <w:color w:val="auto"/>
              <w:sz w:val="22"/>
              <w:szCs w:val="22"/>
            </w:rPr>
            <w:t>[67]</w:t>
          </w:r>
          <w:r w:rsidR="00EC56B7" w:rsidRPr="00FA5606">
            <w:rPr>
              <w:b w:val="0"/>
              <w:color w:val="auto"/>
              <w:sz w:val="22"/>
              <w:szCs w:val="22"/>
            </w:rPr>
            <w:fldChar w:fldCharType="end"/>
          </w:r>
        </w:sdtContent>
      </w:sdt>
      <w:bookmarkEnd w:id="90"/>
    </w:p>
    <w:tbl>
      <w:tblPr>
        <w:tblW w:w="8620" w:type="dxa"/>
        <w:tblInd w:w="108" w:type="dxa"/>
        <w:tblLook w:val="04A0" w:firstRow="1" w:lastRow="0" w:firstColumn="1" w:lastColumn="0" w:noHBand="0" w:noVBand="1"/>
      </w:tblPr>
      <w:tblGrid>
        <w:gridCol w:w="3820"/>
        <w:gridCol w:w="960"/>
        <w:gridCol w:w="960"/>
        <w:gridCol w:w="960"/>
        <w:gridCol w:w="960"/>
        <w:gridCol w:w="960"/>
      </w:tblGrid>
      <w:tr w:rsidR="00B43D13" w:rsidRPr="00E97254" w:rsidTr="003C5AA8">
        <w:trPr>
          <w:trHeight w:val="240"/>
        </w:trPr>
        <w:tc>
          <w:tcPr>
            <w:tcW w:w="3820" w:type="dxa"/>
            <w:tcBorders>
              <w:top w:val="single" w:sz="4" w:space="0" w:color="auto"/>
              <w:left w:val="nil"/>
              <w:bottom w:val="nil"/>
              <w:right w:val="nil"/>
            </w:tcBorders>
            <w:shd w:val="clear" w:color="000000" w:fill="C0C0C0"/>
            <w:noWrap/>
            <w:vAlign w:val="bottom"/>
            <w:hideMark/>
          </w:tcPr>
          <w:p w:rsidR="00B43D13" w:rsidRPr="00E97254" w:rsidRDefault="00FA5606" w:rsidP="000C0250">
            <w:pPr>
              <w:spacing w:after="0"/>
              <w:jc w:val="center"/>
              <w:rPr>
                <w:rFonts w:eastAsia="Times New Roman" w:cstheme="minorHAnsi"/>
                <w:b/>
                <w:bCs/>
                <w:sz w:val="20"/>
                <w:szCs w:val="20"/>
              </w:rPr>
            </w:pPr>
            <w:r w:rsidRPr="00FA5606">
              <w:rPr>
                <w:rFonts w:eastAsia="Times New Roman" w:cstheme="minorHAnsi"/>
                <w:b/>
                <w:bCs/>
                <w:sz w:val="20"/>
                <w:szCs w:val="20"/>
              </w:rPr>
              <w:t>Viti akademik</w:t>
            </w:r>
          </w:p>
        </w:tc>
        <w:tc>
          <w:tcPr>
            <w:tcW w:w="960" w:type="dxa"/>
            <w:tcBorders>
              <w:top w:val="single" w:sz="4" w:space="0" w:color="auto"/>
              <w:left w:val="nil"/>
              <w:bottom w:val="nil"/>
              <w:right w:val="nil"/>
            </w:tcBorders>
            <w:shd w:val="clear" w:color="000000" w:fill="C0C0C0"/>
            <w:vAlign w:val="center"/>
            <w:hideMark/>
          </w:tcPr>
          <w:p w:rsidR="00B43D13" w:rsidRPr="00E97254" w:rsidRDefault="00FA5606" w:rsidP="000C0250">
            <w:pPr>
              <w:spacing w:after="0"/>
              <w:jc w:val="center"/>
              <w:rPr>
                <w:rFonts w:eastAsia="Times New Roman" w:cstheme="minorHAnsi"/>
                <w:b/>
                <w:bCs/>
                <w:sz w:val="20"/>
                <w:szCs w:val="20"/>
              </w:rPr>
            </w:pPr>
            <w:r w:rsidRPr="00FA5606">
              <w:rPr>
                <w:rFonts w:eastAsia="Times New Roman" w:cstheme="minorHAnsi"/>
                <w:b/>
                <w:bCs/>
                <w:sz w:val="20"/>
                <w:szCs w:val="20"/>
              </w:rPr>
              <w:t>2015-16</w:t>
            </w:r>
          </w:p>
        </w:tc>
        <w:tc>
          <w:tcPr>
            <w:tcW w:w="960" w:type="dxa"/>
            <w:tcBorders>
              <w:top w:val="single" w:sz="4" w:space="0" w:color="auto"/>
              <w:left w:val="nil"/>
              <w:bottom w:val="nil"/>
              <w:right w:val="nil"/>
            </w:tcBorders>
            <w:shd w:val="clear" w:color="000000" w:fill="C0C0C0"/>
            <w:vAlign w:val="center"/>
            <w:hideMark/>
          </w:tcPr>
          <w:p w:rsidR="00B43D13" w:rsidRPr="00E97254" w:rsidRDefault="00FA5606" w:rsidP="000C0250">
            <w:pPr>
              <w:spacing w:after="0"/>
              <w:jc w:val="center"/>
              <w:rPr>
                <w:rFonts w:eastAsia="Times New Roman" w:cstheme="minorHAnsi"/>
                <w:b/>
                <w:bCs/>
                <w:sz w:val="20"/>
                <w:szCs w:val="20"/>
              </w:rPr>
            </w:pPr>
            <w:r w:rsidRPr="00FA5606">
              <w:rPr>
                <w:rFonts w:eastAsia="Times New Roman" w:cstheme="minorHAnsi"/>
                <w:b/>
                <w:bCs/>
                <w:sz w:val="20"/>
                <w:szCs w:val="20"/>
              </w:rPr>
              <w:t>2016-17</w:t>
            </w:r>
          </w:p>
        </w:tc>
        <w:tc>
          <w:tcPr>
            <w:tcW w:w="960" w:type="dxa"/>
            <w:tcBorders>
              <w:top w:val="single" w:sz="4" w:space="0" w:color="auto"/>
              <w:left w:val="nil"/>
              <w:bottom w:val="nil"/>
              <w:right w:val="nil"/>
            </w:tcBorders>
            <w:shd w:val="clear" w:color="000000" w:fill="C0C0C0"/>
            <w:vAlign w:val="center"/>
            <w:hideMark/>
          </w:tcPr>
          <w:p w:rsidR="00B43D13" w:rsidRPr="00E97254" w:rsidRDefault="00FA5606" w:rsidP="000C0250">
            <w:pPr>
              <w:spacing w:after="0"/>
              <w:jc w:val="center"/>
              <w:rPr>
                <w:rFonts w:eastAsia="Times New Roman" w:cstheme="minorHAnsi"/>
                <w:b/>
                <w:bCs/>
                <w:sz w:val="20"/>
                <w:szCs w:val="20"/>
              </w:rPr>
            </w:pPr>
            <w:r w:rsidRPr="00FA5606">
              <w:rPr>
                <w:rFonts w:eastAsia="Times New Roman" w:cstheme="minorHAnsi"/>
                <w:b/>
                <w:bCs/>
                <w:sz w:val="20"/>
                <w:szCs w:val="20"/>
              </w:rPr>
              <w:t>2017-18</w:t>
            </w:r>
          </w:p>
        </w:tc>
        <w:tc>
          <w:tcPr>
            <w:tcW w:w="960" w:type="dxa"/>
            <w:tcBorders>
              <w:top w:val="single" w:sz="4" w:space="0" w:color="auto"/>
              <w:left w:val="nil"/>
              <w:bottom w:val="nil"/>
              <w:right w:val="nil"/>
            </w:tcBorders>
            <w:shd w:val="clear" w:color="000000" w:fill="C0C0C0"/>
            <w:vAlign w:val="center"/>
            <w:hideMark/>
          </w:tcPr>
          <w:p w:rsidR="00B43D13" w:rsidRPr="00E97254" w:rsidRDefault="00FA5606" w:rsidP="000C0250">
            <w:pPr>
              <w:spacing w:after="0"/>
              <w:jc w:val="center"/>
              <w:rPr>
                <w:rFonts w:eastAsia="Times New Roman" w:cstheme="minorHAnsi"/>
                <w:b/>
                <w:bCs/>
                <w:sz w:val="20"/>
                <w:szCs w:val="20"/>
              </w:rPr>
            </w:pPr>
            <w:r w:rsidRPr="00FA5606">
              <w:rPr>
                <w:rFonts w:eastAsia="Times New Roman" w:cstheme="minorHAnsi"/>
                <w:b/>
                <w:bCs/>
                <w:sz w:val="20"/>
                <w:szCs w:val="20"/>
              </w:rPr>
              <w:t>2018-19</w:t>
            </w:r>
          </w:p>
        </w:tc>
        <w:tc>
          <w:tcPr>
            <w:tcW w:w="960" w:type="dxa"/>
            <w:tcBorders>
              <w:top w:val="single" w:sz="4" w:space="0" w:color="auto"/>
              <w:left w:val="nil"/>
              <w:bottom w:val="nil"/>
              <w:right w:val="nil"/>
            </w:tcBorders>
            <w:shd w:val="clear" w:color="000000" w:fill="C0C0C0"/>
            <w:vAlign w:val="center"/>
            <w:hideMark/>
          </w:tcPr>
          <w:p w:rsidR="00B43D13" w:rsidRPr="00E97254" w:rsidRDefault="00FA5606" w:rsidP="000C0250">
            <w:pPr>
              <w:spacing w:after="0"/>
              <w:jc w:val="center"/>
              <w:rPr>
                <w:rFonts w:eastAsia="Times New Roman" w:cstheme="minorHAnsi"/>
                <w:b/>
                <w:bCs/>
                <w:sz w:val="20"/>
                <w:szCs w:val="20"/>
              </w:rPr>
            </w:pPr>
            <w:r w:rsidRPr="00FA5606">
              <w:rPr>
                <w:rFonts w:eastAsia="Times New Roman" w:cstheme="minorHAnsi"/>
                <w:b/>
                <w:bCs/>
                <w:sz w:val="20"/>
                <w:szCs w:val="20"/>
              </w:rPr>
              <w:t>2019-20</w:t>
            </w:r>
          </w:p>
        </w:tc>
      </w:tr>
      <w:tr w:rsidR="00B43D13" w:rsidRPr="00E97254" w:rsidTr="003C5AA8">
        <w:trPr>
          <w:trHeight w:val="240"/>
        </w:trPr>
        <w:tc>
          <w:tcPr>
            <w:tcW w:w="3820" w:type="dxa"/>
            <w:tcBorders>
              <w:top w:val="nil"/>
              <w:left w:val="nil"/>
              <w:bottom w:val="nil"/>
              <w:right w:val="nil"/>
            </w:tcBorders>
            <w:shd w:val="clear" w:color="auto" w:fill="auto"/>
            <w:noWrap/>
            <w:vAlign w:val="bottom"/>
            <w:hideMark/>
          </w:tcPr>
          <w:p w:rsidR="00B43D13" w:rsidRPr="00E97254" w:rsidRDefault="00FA5606" w:rsidP="000C0250">
            <w:pPr>
              <w:spacing w:after="0"/>
              <w:jc w:val="both"/>
              <w:rPr>
                <w:rFonts w:eastAsia="Times New Roman" w:cstheme="minorHAnsi"/>
                <w:b/>
                <w:bCs/>
                <w:sz w:val="20"/>
                <w:szCs w:val="20"/>
              </w:rPr>
            </w:pPr>
            <w:r w:rsidRPr="00FA5606">
              <w:rPr>
                <w:rFonts w:eastAsia="Times New Roman" w:cstheme="minorHAnsi"/>
                <w:b/>
                <w:bCs/>
                <w:sz w:val="20"/>
                <w:szCs w:val="20"/>
              </w:rPr>
              <w:t>Fushat e studimit</w:t>
            </w:r>
          </w:p>
        </w:tc>
        <w:tc>
          <w:tcPr>
            <w:tcW w:w="960" w:type="dxa"/>
            <w:tcBorders>
              <w:top w:val="nil"/>
              <w:left w:val="nil"/>
              <w:bottom w:val="nil"/>
              <w:right w:val="nil"/>
            </w:tcBorders>
            <w:shd w:val="clear" w:color="auto" w:fill="auto"/>
            <w:noWrap/>
            <w:vAlign w:val="bottom"/>
            <w:hideMark/>
          </w:tcPr>
          <w:p w:rsidR="00B43D13" w:rsidRPr="00E97254" w:rsidRDefault="00B43D13" w:rsidP="000C0250">
            <w:pPr>
              <w:keepNext/>
              <w:keepLines/>
              <w:spacing w:before="200" w:after="0"/>
              <w:jc w:val="both"/>
              <w:outlineLvl w:val="2"/>
              <w:rPr>
                <w:rFonts w:eastAsia="Times New Roman" w:cstheme="minorHAnsi"/>
                <w:b/>
                <w:bCs/>
                <w:sz w:val="20"/>
                <w:szCs w:val="20"/>
              </w:rPr>
            </w:pPr>
          </w:p>
        </w:tc>
        <w:tc>
          <w:tcPr>
            <w:tcW w:w="960" w:type="dxa"/>
            <w:tcBorders>
              <w:top w:val="nil"/>
              <w:left w:val="nil"/>
              <w:bottom w:val="nil"/>
              <w:right w:val="nil"/>
            </w:tcBorders>
            <w:shd w:val="clear" w:color="auto" w:fill="auto"/>
            <w:noWrap/>
            <w:vAlign w:val="bottom"/>
            <w:hideMark/>
          </w:tcPr>
          <w:p w:rsidR="00B43D13" w:rsidRPr="00E97254" w:rsidRDefault="00B43D13" w:rsidP="000C0250">
            <w:pPr>
              <w:keepNext/>
              <w:keepLines/>
              <w:spacing w:before="200" w:after="0"/>
              <w:jc w:val="both"/>
              <w:outlineLvl w:val="2"/>
              <w:rPr>
                <w:rFonts w:eastAsia="Times New Roman" w:cstheme="minorHAnsi"/>
                <w:sz w:val="20"/>
                <w:szCs w:val="20"/>
              </w:rPr>
            </w:pPr>
          </w:p>
        </w:tc>
        <w:tc>
          <w:tcPr>
            <w:tcW w:w="960" w:type="dxa"/>
            <w:tcBorders>
              <w:top w:val="nil"/>
              <w:left w:val="nil"/>
              <w:bottom w:val="nil"/>
              <w:right w:val="nil"/>
            </w:tcBorders>
            <w:shd w:val="clear" w:color="auto" w:fill="auto"/>
            <w:noWrap/>
            <w:vAlign w:val="bottom"/>
            <w:hideMark/>
          </w:tcPr>
          <w:p w:rsidR="00B43D13" w:rsidRPr="00E97254" w:rsidRDefault="00B43D13" w:rsidP="000C0250">
            <w:pPr>
              <w:keepNext/>
              <w:keepLines/>
              <w:spacing w:before="200" w:after="0"/>
              <w:jc w:val="both"/>
              <w:outlineLvl w:val="2"/>
              <w:rPr>
                <w:rFonts w:eastAsia="Times New Roman" w:cstheme="minorHAnsi"/>
                <w:sz w:val="20"/>
                <w:szCs w:val="20"/>
              </w:rPr>
            </w:pPr>
          </w:p>
        </w:tc>
        <w:tc>
          <w:tcPr>
            <w:tcW w:w="960" w:type="dxa"/>
            <w:tcBorders>
              <w:top w:val="nil"/>
              <w:left w:val="nil"/>
              <w:bottom w:val="nil"/>
              <w:right w:val="nil"/>
            </w:tcBorders>
            <w:shd w:val="clear" w:color="auto" w:fill="auto"/>
            <w:noWrap/>
            <w:vAlign w:val="bottom"/>
            <w:hideMark/>
          </w:tcPr>
          <w:p w:rsidR="00B43D13" w:rsidRPr="00E97254" w:rsidRDefault="00B43D13" w:rsidP="000C0250">
            <w:pPr>
              <w:keepNext/>
              <w:keepLines/>
              <w:spacing w:before="200" w:after="0"/>
              <w:jc w:val="both"/>
              <w:outlineLvl w:val="2"/>
              <w:rPr>
                <w:rFonts w:eastAsia="Times New Roman" w:cstheme="minorHAnsi"/>
                <w:sz w:val="20"/>
                <w:szCs w:val="20"/>
              </w:rPr>
            </w:pPr>
          </w:p>
        </w:tc>
        <w:tc>
          <w:tcPr>
            <w:tcW w:w="960" w:type="dxa"/>
            <w:tcBorders>
              <w:top w:val="nil"/>
              <w:left w:val="nil"/>
              <w:bottom w:val="nil"/>
              <w:right w:val="nil"/>
            </w:tcBorders>
            <w:shd w:val="clear" w:color="auto" w:fill="auto"/>
            <w:noWrap/>
            <w:vAlign w:val="bottom"/>
            <w:hideMark/>
          </w:tcPr>
          <w:p w:rsidR="00B43D13" w:rsidRPr="00E97254" w:rsidRDefault="00B43D13" w:rsidP="000C0250">
            <w:pPr>
              <w:keepNext/>
              <w:keepLines/>
              <w:spacing w:before="200" w:after="0"/>
              <w:jc w:val="both"/>
              <w:outlineLvl w:val="2"/>
              <w:rPr>
                <w:rFonts w:eastAsia="Times New Roman" w:cstheme="minorHAnsi"/>
                <w:sz w:val="20"/>
                <w:szCs w:val="20"/>
              </w:rPr>
            </w:pPr>
          </w:p>
        </w:tc>
      </w:tr>
      <w:tr w:rsidR="00B43D13" w:rsidRPr="00E97254" w:rsidTr="00403F5F">
        <w:trPr>
          <w:trHeight w:val="240"/>
        </w:trPr>
        <w:tc>
          <w:tcPr>
            <w:tcW w:w="3820" w:type="dxa"/>
            <w:tcBorders>
              <w:top w:val="nil"/>
              <w:left w:val="nil"/>
              <w:bottom w:val="nil"/>
              <w:right w:val="nil"/>
            </w:tcBorders>
            <w:shd w:val="clear" w:color="auto" w:fill="auto"/>
            <w:noWrap/>
            <w:vAlign w:val="bottom"/>
            <w:hideMark/>
          </w:tcPr>
          <w:p w:rsidR="00B43D13" w:rsidRPr="00E97254" w:rsidRDefault="00FA5606" w:rsidP="000C0250">
            <w:pPr>
              <w:spacing w:after="0"/>
              <w:rPr>
                <w:rFonts w:eastAsia="Times New Roman" w:cstheme="minorHAnsi"/>
                <w:sz w:val="20"/>
                <w:szCs w:val="20"/>
              </w:rPr>
            </w:pPr>
            <w:r w:rsidRPr="00FA5606">
              <w:rPr>
                <w:rFonts w:eastAsia="Times New Roman" w:cstheme="minorHAnsi"/>
                <w:sz w:val="20"/>
                <w:szCs w:val="20"/>
              </w:rPr>
              <w:t>Shkenca arsimi</w:t>
            </w:r>
          </w:p>
        </w:tc>
        <w:tc>
          <w:tcPr>
            <w:tcW w:w="960" w:type="dxa"/>
            <w:tcBorders>
              <w:top w:val="nil"/>
              <w:left w:val="nil"/>
              <w:bottom w:val="nil"/>
              <w:right w:val="nil"/>
            </w:tcBorders>
            <w:shd w:val="clear" w:color="auto" w:fill="auto"/>
            <w:noWrap/>
            <w:vAlign w:val="bottom"/>
            <w:hideMark/>
          </w:tcPr>
          <w:p w:rsidR="00B43D13" w:rsidRPr="00E97254" w:rsidRDefault="00FA5606" w:rsidP="000C0250">
            <w:pPr>
              <w:spacing w:after="0"/>
              <w:jc w:val="right"/>
              <w:rPr>
                <w:rFonts w:eastAsia="Times New Roman" w:cstheme="minorHAnsi"/>
                <w:sz w:val="20"/>
                <w:szCs w:val="20"/>
              </w:rPr>
            </w:pPr>
            <w:r w:rsidRPr="00FA5606">
              <w:rPr>
                <w:rFonts w:eastAsia="Times New Roman" w:cstheme="minorHAnsi"/>
                <w:sz w:val="20"/>
                <w:szCs w:val="20"/>
              </w:rPr>
              <w:t>11,236</w:t>
            </w:r>
          </w:p>
        </w:tc>
        <w:tc>
          <w:tcPr>
            <w:tcW w:w="960" w:type="dxa"/>
            <w:tcBorders>
              <w:top w:val="nil"/>
              <w:left w:val="nil"/>
              <w:bottom w:val="nil"/>
              <w:right w:val="nil"/>
            </w:tcBorders>
            <w:shd w:val="clear" w:color="auto" w:fill="auto"/>
            <w:noWrap/>
            <w:vAlign w:val="bottom"/>
            <w:hideMark/>
          </w:tcPr>
          <w:p w:rsidR="00B43D13" w:rsidRPr="00E97254" w:rsidRDefault="00FA5606" w:rsidP="000C0250">
            <w:pPr>
              <w:spacing w:after="0"/>
              <w:jc w:val="right"/>
              <w:rPr>
                <w:rFonts w:eastAsia="Times New Roman" w:cstheme="minorHAnsi"/>
                <w:sz w:val="20"/>
                <w:szCs w:val="20"/>
              </w:rPr>
            </w:pPr>
            <w:r w:rsidRPr="00FA5606">
              <w:rPr>
                <w:rFonts w:eastAsia="Times New Roman" w:cstheme="minorHAnsi"/>
                <w:sz w:val="20"/>
                <w:szCs w:val="20"/>
              </w:rPr>
              <w:t>11,779</w:t>
            </w:r>
          </w:p>
        </w:tc>
        <w:tc>
          <w:tcPr>
            <w:tcW w:w="960" w:type="dxa"/>
            <w:tcBorders>
              <w:top w:val="nil"/>
              <w:left w:val="nil"/>
              <w:bottom w:val="nil"/>
              <w:right w:val="nil"/>
            </w:tcBorders>
            <w:shd w:val="clear" w:color="auto" w:fill="auto"/>
            <w:noWrap/>
            <w:vAlign w:val="bottom"/>
            <w:hideMark/>
          </w:tcPr>
          <w:p w:rsidR="00B43D13" w:rsidRPr="00E97254" w:rsidRDefault="00FA5606" w:rsidP="000C0250">
            <w:pPr>
              <w:spacing w:after="0"/>
              <w:jc w:val="right"/>
              <w:rPr>
                <w:rFonts w:eastAsia="Times New Roman" w:cstheme="minorHAnsi"/>
                <w:sz w:val="20"/>
                <w:szCs w:val="20"/>
              </w:rPr>
            </w:pPr>
            <w:r w:rsidRPr="00FA5606">
              <w:rPr>
                <w:rFonts w:eastAsia="Times New Roman" w:cstheme="minorHAnsi"/>
                <w:sz w:val="20"/>
                <w:szCs w:val="20"/>
              </w:rPr>
              <w:t>10,689</w:t>
            </w:r>
          </w:p>
        </w:tc>
        <w:tc>
          <w:tcPr>
            <w:tcW w:w="960" w:type="dxa"/>
            <w:tcBorders>
              <w:top w:val="nil"/>
              <w:left w:val="nil"/>
              <w:bottom w:val="nil"/>
              <w:right w:val="nil"/>
            </w:tcBorders>
            <w:shd w:val="clear" w:color="auto" w:fill="auto"/>
            <w:noWrap/>
            <w:vAlign w:val="bottom"/>
            <w:hideMark/>
          </w:tcPr>
          <w:p w:rsidR="00B43D13" w:rsidRPr="00E97254" w:rsidRDefault="00FA5606" w:rsidP="000C0250">
            <w:pPr>
              <w:spacing w:after="0"/>
              <w:jc w:val="right"/>
              <w:rPr>
                <w:rFonts w:eastAsia="Times New Roman" w:cstheme="minorHAnsi"/>
                <w:sz w:val="20"/>
                <w:szCs w:val="20"/>
              </w:rPr>
            </w:pPr>
            <w:r w:rsidRPr="00FA5606">
              <w:rPr>
                <w:rFonts w:eastAsia="Times New Roman" w:cstheme="minorHAnsi"/>
                <w:sz w:val="20"/>
                <w:szCs w:val="20"/>
              </w:rPr>
              <w:t>10,062</w:t>
            </w:r>
          </w:p>
        </w:tc>
        <w:tc>
          <w:tcPr>
            <w:tcW w:w="960" w:type="dxa"/>
            <w:tcBorders>
              <w:top w:val="nil"/>
              <w:left w:val="nil"/>
              <w:bottom w:val="nil"/>
              <w:right w:val="nil"/>
            </w:tcBorders>
            <w:shd w:val="clear" w:color="auto" w:fill="auto"/>
            <w:noWrap/>
            <w:hideMark/>
          </w:tcPr>
          <w:p w:rsidR="00B43D13" w:rsidRPr="00E97254" w:rsidRDefault="00FA5606" w:rsidP="000C0250">
            <w:pPr>
              <w:spacing w:after="0"/>
              <w:jc w:val="right"/>
              <w:rPr>
                <w:rFonts w:eastAsia="Times New Roman" w:cstheme="minorHAnsi"/>
                <w:sz w:val="20"/>
                <w:szCs w:val="20"/>
              </w:rPr>
            </w:pPr>
            <w:r w:rsidRPr="00FA5606">
              <w:rPr>
                <w:sz w:val="20"/>
              </w:rPr>
              <w:t>9,062</w:t>
            </w:r>
          </w:p>
        </w:tc>
      </w:tr>
      <w:tr w:rsidR="00B43D13" w:rsidRPr="00E97254" w:rsidTr="00403F5F">
        <w:trPr>
          <w:trHeight w:val="240"/>
        </w:trPr>
        <w:tc>
          <w:tcPr>
            <w:tcW w:w="3820" w:type="dxa"/>
            <w:tcBorders>
              <w:top w:val="nil"/>
              <w:left w:val="nil"/>
              <w:bottom w:val="nil"/>
              <w:right w:val="nil"/>
            </w:tcBorders>
            <w:shd w:val="clear" w:color="auto" w:fill="auto"/>
            <w:noWrap/>
            <w:vAlign w:val="bottom"/>
            <w:hideMark/>
          </w:tcPr>
          <w:p w:rsidR="00B43D13" w:rsidRPr="00E97254" w:rsidRDefault="00FA5606" w:rsidP="000C0250">
            <w:pPr>
              <w:spacing w:after="0"/>
              <w:rPr>
                <w:rFonts w:eastAsia="Times New Roman" w:cstheme="minorHAnsi"/>
                <w:sz w:val="20"/>
                <w:szCs w:val="20"/>
              </w:rPr>
            </w:pPr>
            <w:r w:rsidRPr="00FA5606">
              <w:rPr>
                <w:rFonts w:eastAsia="Times New Roman" w:cstheme="minorHAnsi"/>
                <w:sz w:val="20"/>
                <w:szCs w:val="20"/>
              </w:rPr>
              <w:t>Arte dhe shkenca humane</w:t>
            </w:r>
          </w:p>
        </w:tc>
        <w:tc>
          <w:tcPr>
            <w:tcW w:w="960" w:type="dxa"/>
            <w:tcBorders>
              <w:top w:val="nil"/>
              <w:left w:val="nil"/>
              <w:bottom w:val="nil"/>
              <w:right w:val="nil"/>
            </w:tcBorders>
            <w:shd w:val="clear" w:color="auto" w:fill="auto"/>
            <w:noWrap/>
            <w:vAlign w:val="bottom"/>
            <w:hideMark/>
          </w:tcPr>
          <w:p w:rsidR="00B43D13" w:rsidRPr="00E97254" w:rsidRDefault="00FA5606" w:rsidP="000C0250">
            <w:pPr>
              <w:spacing w:after="0"/>
              <w:jc w:val="right"/>
              <w:rPr>
                <w:rFonts w:eastAsia="Times New Roman" w:cstheme="minorHAnsi"/>
                <w:sz w:val="20"/>
                <w:szCs w:val="20"/>
              </w:rPr>
            </w:pPr>
            <w:r w:rsidRPr="00FA5606">
              <w:rPr>
                <w:rFonts w:eastAsia="Times New Roman" w:cstheme="minorHAnsi"/>
                <w:sz w:val="20"/>
                <w:szCs w:val="20"/>
              </w:rPr>
              <w:t>17,095</w:t>
            </w:r>
          </w:p>
        </w:tc>
        <w:tc>
          <w:tcPr>
            <w:tcW w:w="960" w:type="dxa"/>
            <w:tcBorders>
              <w:top w:val="nil"/>
              <w:left w:val="nil"/>
              <w:bottom w:val="nil"/>
              <w:right w:val="nil"/>
            </w:tcBorders>
            <w:shd w:val="clear" w:color="auto" w:fill="auto"/>
            <w:noWrap/>
            <w:vAlign w:val="bottom"/>
            <w:hideMark/>
          </w:tcPr>
          <w:p w:rsidR="00B43D13" w:rsidRPr="00E97254" w:rsidRDefault="00FA5606" w:rsidP="000C0250">
            <w:pPr>
              <w:spacing w:after="0"/>
              <w:jc w:val="right"/>
              <w:rPr>
                <w:rFonts w:eastAsia="Times New Roman" w:cstheme="minorHAnsi"/>
                <w:sz w:val="20"/>
                <w:szCs w:val="20"/>
              </w:rPr>
            </w:pPr>
            <w:r w:rsidRPr="00FA5606">
              <w:rPr>
                <w:rFonts w:eastAsia="Times New Roman" w:cstheme="minorHAnsi"/>
                <w:sz w:val="20"/>
                <w:szCs w:val="20"/>
              </w:rPr>
              <w:t>17,278</w:t>
            </w:r>
          </w:p>
        </w:tc>
        <w:tc>
          <w:tcPr>
            <w:tcW w:w="960" w:type="dxa"/>
            <w:tcBorders>
              <w:top w:val="nil"/>
              <w:left w:val="nil"/>
              <w:bottom w:val="nil"/>
              <w:right w:val="nil"/>
            </w:tcBorders>
            <w:shd w:val="clear" w:color="auto" w:fill="auto"/>
            <w:noWrap/>
            <w:vAlign w:val="bottom"/>
            <w:hideMark/>
          </w:tcPr>
          <w:p w:rsidR="00B43D13" w:rsidRPr="00E97254" w:rsidRDefault="00FA5606" w:rsidP="000C0250">
            <w:pPr>
              <w:spacing w:after="0"/>
              <w:jc w:val="right"/>
              <w:rPr>
                <w:rFonts w:eastAsia="Times New Roman" w:cstheme="minorHAnsi"/>
                <w:sz w:val="20"/>
                <w:szCs w:val="20"/>
              </w:rPr>
            </w:pPr>
            <w:r w:rsidRPr="00FA5606">
              <w:rPr>
                <w:rFonts w:eastAsia="Times New Roman" w:cstheme="minorHAnsi"/>
                <w:sz w:val="20"/>
                <w:szCs w:val="20"/>
              </w:rPr>
              <w:t>15,441</w:t>
            </w:r>
          </w:p>
        </w:tc>
        <w:tc>
          <w:tcPr>
            <w:tcW w:w="960" w:type="dxa"/>
            <w:tcBorders>
              <w:top w:val="nil"/>
              <w:left w:val="nil"/>
              <w:bottom w:val="nil"/>
              <w:right w:val="nil"/>
            </w:tcBorders>
            <w:shd w:val="clear" w:color="auto" w:fill="auto"/>
            <w:noWrap/>
            <w:vAlign w:val="bottom"/>
            <w:hideMark/>
          </w:tcPr>
          <w:p w:rsidR="00B43D13" w:rsidRPr="00E97254" w:rsidRDefault="00FA5606" w:rsidP="000C0250">
            <w:pPr>
              <w:spacing w:after="0"/>
              <w:jc w:val="right"/>
              <w:rPr>
                <w:rFonts w:eastAsia="Times New Roman" w:cstheme="minorHAnsi"/>
                <w:sz w:val="20"/>
                <w:szCs w:val="20"/>
              </w:rPr>
            </w:pPr>
            <w:r w:rsidRPr="00FA5606">
              <w:rPr>
                <w:rFonts w:eastAsia="Times New Roman" w:cstheme="minorHAnsi"/>
                <w:sz w:val="20"/>
                <w:szCs w:val="20"/>
              </w:rPr>
              <w:t>14,348</w:t>
            </w:r>
          </w:p>
        </w:tc>
        <w:tc>
          <w:tcPr>
            <w:tcW w:w="960" w:type="dxa"/>
            <w:tcBorders>
              <w:top w:val="nil"/>
              <w:left w:val="nil"/>
              <w:bottom w:val="nil"/>
              <w:right w:val="nil"/>
            </w:tcBorders>
            <w:shd w:val="clear" w:color="auto" w:fill="auto"/>
            <w:noWrap/>
            <w:hideMark/>
          </w:tcPr>
          <w:p w:rsidR="00B43D13" w:rsidRPr="00E97254" w:rsidRDefault="00FA5606" w:rsidP="000C0250">
            <w:pPr>
              <w:spacing w:after="0"/>
              <w:jc w:val="right"/>
              <w:rPr>
                <w:rFonts w:eastAsia="Times New Roman" w:cstheme="minorHAnsi"/>
                <w:sz w:val="20"/>
                <w:szCs w:val="20"/>
              </w:rPr>
            </w:pPr>
            <w:r w:rsidRPr="00FA5606">
              <w:rPr>
                <w:sz w:val="20"/>
              </w:rPr>
              <w:t>12,537</w:t>
            </w:r>
          </w:p>
        </w:tc>
      </w:tr>
      <w:tr w:rsidR="00B43D13" w:rsidRPr="00E97254" w:rsidTr="00403F5F">
        <w:trPr>
          <w:trHeight w:val="240"/>
        </w:trPr>
        <w:tc>
          <w:tcPr>
            <w:tcW w:w="3820" w:type="dxa"/>
            <w:tcBorders>
              <w:top w:val="nil"/>
              <w:left w:val="nil"/>
              <w:bottom w:val="nil"/>
              <w:right w:val="nil"/>
            </w:tcBorders>
            <w:shd w:val="clear" w:color="auto" w:fill="auto"/>
            <w:noWrap/>
            <w:vAlign w:val="bottom"/>
            <w:hideMark/>
          </w:tcPr>
          <w:p w:rsidR="00B43D13" w:rsidRPr="00E97254" w:rsidRDefault="00FA5606" w:rsidP="000C0250">
            <w:pPr>
              <w:spacing w:after="0"/>
              <w:rPr>
                <w:rFonts w:eastAsia="Times New Roman" w:cstheme="minorHAnsi"/>
                <w:sz w:val="20"/>
                <w:szCs w:val="20"/>
              </w:rPr>
            </w:pPr>
            <w:r w:rsidRPr="00FA5606">
              <w:rPr>
                <w:rFonts w:eastAsia="Times New Roman" w:cstheme="minorHAnsi"/>
                <w:sz w:val="20"/>
                <w:szCs w:val="20"/>
              </w:rPr>
              <w:t>Shkenca sociale, gazetari dhe informacion</w:t>
            </w:r>
          </w:p>
        </w:tc>
        <w:tc>
          <w:tcPr>
            <w:tcW w:w="960" w:type="dxa"/>
            <w:tcBorders>
              <w:top w:val="nil"/>
              <w:left w:val="nil"/>
              <w:bottom w:val="nil"/>
              <w:right w:val="nil"/>
            </w:tcBorders>
            <w:shd w:val="clear" w:color="auto" w:fill="auto"/>
            <w:noWrap/>
            <w:vAlign w:val="bottom"/>
            <w:hideMark/>
          </w:tcPr>
          <w:p w:rsidR="00B43D13" w:rsidRPr="00E97254" w:rsidRDefault="00FA5606" w:rsidP="000C0250">
            <w:pPr>
              <w:spacing w:after="0"/>
              <w:jc w:val="right"/>
              <w:rPr>
                <w:rFonts w:eastAsia="Times New Roman" w:cstheme="minorHAnsi"/>
                <w:sz w:val="20"/>
                <w:szCs w:val="20"/>
              </w:rPr>
            </w:pPr>
            <w:r w:rsidRPr="00FA5606">
              <w:rPr>
                <w:rFonts w:eastAsia="Times New Roman" w:cstheme="minorHAnsi"/>
                <w:sz w:val="20"/>
                <w:szCs w:val="20"/>
              </w:rPr>
              <w:t>13,073</w:t>
            </w:r>
          </w:p>
        </w:tc>
        <w:tc>
          <w:tcPr>
            <w:tcW w:w="960" w:type="dxa"/>
            <w:tcBorders>
              <w:top w:val="nil"/>
              <w:left w:val="nil"/>
              <w:bottom w:val="nil"/>
              <w:right w:val="nil"/>
            </w:tcBorders>
            <w:shd w:val="clear" w:color="auto" w:fill="auto"/>
            <w:noWrap/>
            <w:vAlign w:val="bottom"/>
            <w:hideMark/>
          </w:tcPr>
          <w:p w:rsidR="00B43D13" w:rsidRPr="00E97254" w:rsidRDefault="00FA5606" w:rsidP="000C0250">
            <w:pPr>
              <w:spacing w:after="0"/>
              <w:jc w:val="right"/>
              <w:rPr>
                <w:rFonts w:eastAsia="Times New Roman" w:cstheme="minorHAnsi"/>
                <w:sz w:val="20"/>
                <w:szCs w:val="20"/>
              </w:rPr>
            </w:pPr>
            <w:r w:rsidRPr="00FA5606">
              <w:rPr>
                <w:rFonts w:eastAsia="Times New Roman" w:cstheme="minorHAnsi"/>
                <w:sz w:val="20"/>
                <w:szCs w:val="20"/>
              </w:rPr>
              <w:t>10,004</w:t>
            </w:r>
          </w:p>
        </w:tc>
        <w:tc>
          <w:tcPr>
            <w:tcW w:w="960" w:type="dxa"/>
            <w:tcBorders>
              <w:top w:val="nil"/>
              <w:left w:val="nil"/>
              <w:bottom w:val="nil"/>
              <w:right w:val="nil"/>
            </w:tcBorders>
            <w:shd w:val="clear" w:color="auto" w:fill="auto"/>
            <w:noWrap/>
            <w:vAlign w:val="bottom"/>
            <w:hideMark/>
          </w:tcPr>
          <w:p w:rsidR="00B43D13" w:rsidRPr="00E97254" w:rsidRDefault="00FA5606" w:rsidP="000C0250">
            <w:pPr>
              <w:spacing w:after="0"/>
              <w:jc w:val="right"/>
              <w:rPr>
                <w:rFonts w:eastAsia="Times New Roman" w:cstheme="minorHAnsi"/>
                <w:sz w:val="20"/>
                <w:szCs w:val="20"/>
              </w:rPr>
            </w:pPr>
            <w:r w:rsidRPr="00FA5606">
              <w:rPr>
                <w:rFonts w:eastAsia="Times New Roman" w:cstheme="minorHAnsi"/>
                <w:sz w:val="20"/>
                <w:szCs w:val="20"/>
              </w:rPr>
              <w:t>12,259</w:t>
            </w:r>
          </w:p>
        </w:tc>
        <w:tc>
          <w:tcPr>
            <w:tcW w:w="960" w:type="dxa"/>
            <w:tcBorders>
              <w:top w:val="nil"/>
              <w:left w:val="nil"/>
              <w:bottom w:val="nil"/>
              <w:right w:val="nil"/>
            </w:tcBorders>
            <w:shd w:val="clear" w:color="auto" w:fill="auto"/>
            <w:noWrap/>
            <w:vAlign w:val="bottom"/>
            <w:hideMark/>
          </w:tcPr>
          <w:p w:rsidR="00B43D13" w:rsidRPr="00E97254" w:rsidRDefault="00FA5606" w:rsidP="000C0250">
            <w:pPr>
              <w:spacing w:after="0"/>
              <w:jc w:val="right"/>
              <w:rPr>
                <w:rFonts w:eastAsia="Times New Roman" w:cstheme="minorHAnsi"/>
                <w:sz w:val="20"/>
                <w:szCs w:val="20"/>
              </w:rPr>
            </w:pPr>
            <w:r w:rsidRPr="00FA5606">
              <w:rPr>
                <w:rFonts w:eastAsia="Times New Roman" w:cstheme="minorHAnsi"/>
                <w:sz w:val="20"/>
                <w:szCs w:val="20"/>
              </w:rPr>
              <w:t>14,086</w:t>
            </w:r>
          </w:p>
        </w:tc>
        <w:tc>
          <w:tcPr>
            <w:tcW w:w="960" w:type="dxa"/>
            <w:tcBorders>
              <w:top w:val="nil"/>
              <w:left w:val="nil"/>
              <w:bottom w:val="nil"/>
              <w:right w:val="nil"/>
            </w:tcBorders>
            <w:shd w:val="clear" w:color="auto" w:fill="auto"/>
            <w:noWrap/>
            <w:hideMark/>
          </w:tcPr>
          <w:p w:rsidR="00B43D13" w:rsidRPr="00E97254" w:rsidRDefault="00FA5606" w:rsidP="000C0250">
            <w:pPr>
              <w:spacing w:after="0"/>
              <w:jc w:val="right"/>
              <w:rPr>
                <w:rFonts w:eastAsia="Times New Roman" w:cstheme="minorHAnsi"/>
                <w:sz w:val="20"/>
                <w:szCs w:val="20"/>
              </w:rPr>
            </w:pPr>
            <w:r w:rsidRPr="00FA5606">
              <w:rPr>
                <w:sz w:val="20"/>
              </w:rPr>
              <w:t>11,397</w:t>
            </w:r>
          </w:p>
        </w:tc>
      </w:tr>
      <w:tr w:rsidR="00B43D13" w:rsidRPr="00E97254" w:rsidTr="00403F5F">
        <w:trPr>
          <w:trHeight w:val="240"/>
        </w:trPr>
        <w:tc>
          <w:tcPr>
            <w:tcW w:w="3820" w:type="dxa"/>
            <w:tcBorders>
              <w:top w:val="nil"/>
              <w:left w:val="nil"/>
              <w:bottom w:val="nil"/>
              <w:right w:val="nil"/>
            </w:tcBorders>
            <w:shd w:val="clear" w:color="auto" w:fill="auto"/>
            <w:noWrap/>
            <w:vAlign w:val="bottom"/>
            <w:hideMark/>
          </w:tcPr>
          <w:p w:rsidR="00B43D13" w:rsidRPr="00E97254" w:rsidRDefault="00FA5606" w:rsidP="000C0250">
            <w:pPr>
              <w:spacing w:after="0"/>
              <w:rPr>
                <w:rFonts w:eastAsia="Times New Roman" w:cstheme="minorHAnsi"/>
                <w:sz w:val="20"/>
                <w:szCs w:val="20"/>
              </w:rPr>
            </w:pPr>
            <w:r w:rsidRPr="00FA5606">
              <w:rPr>
                <w:rFonts w:eastAsia="Times New Roman" w:cstheme="minorHAnsi"/>
                <w:sz w:val="20"/>
                <w:szCs w:val="20"/>
              </w:rPr>
              <w:t>Biznes, administrim dhe ligj</w:t>
            </w:r>
          </w:p>
        </w:tc>
        <w:tc>
          <w:tcPr>
            <w:tcW w:w="960" w:type="dxa"/>
            <w:tcBorders>
              <w:top w:val="nil"/>
              <w:left w:val="nil"/>
              <w:bottom w:val="nil"/>
              <w:right w:val="nil"/>
            </w:tcBorders>
            <w:shd w:val="clear" w:color="auto" w:fill="auto"/>
            <w:noWrap/>
            <w:vAlign w:val="bottom"/>
            <w:hideMark/>
          </w:tcPr>
          <w:p w:rsidR="00B43D13" w:rsidRPr="00E97254" w:rsidRDefault="00FA5606" w:rsidP="000C0250">
            <w:pPr>
              <w:spacing w:after="0"/>
              <w:jc w:val="right"/>
              <w:rPr>
                <w:rFonts w:eastAsia="Times New Roman" w:cstheme="minorHAnsi"/>
                <w:sz w:val="20"/>
                <w:szCs w:val="20"/>
              </w:rPr>
            </w:pPr>
            <w:r w:rsidRPr="00FA5606">
              <w:rPr>
                <w:rFonts w:eastAsia="Times New Roman" w:cstheme="minorHAnsi"/>
                <w:sz w:val="20"/>
                <w:szCs w:val="20"/>
              </w:rPr>
              <w:t>41,523</w:t>
            </w:r>
          </w:p>
        </w:tc>
        <w:tc>
          <w:tcPr>
            <w:tcW w:w="960" w:type="dxa"/>
            <w:tcBorders>
              <w:top w:val="nil"/>
              <w:left w:val="nil"/>
              <w:bottom w:val="nil"/>
              <w:right w:val="nil"/>
            </w:tcBorders>
            <w:shd w:val="clear" w:color="auto" w:fill="auto"/>
            <w:noWrap/>
            <w:vAlign w:val="bottom"/>
            <w:hideMark/>
          </w:tcPr>
          <w:p w:rsidR="00B43D13" w:rsidRPr="00E97254" w:rsidRDefault="00FA5606" w:rsidP="000C0250">
            <w:pPr>
              <w:spacing w:after="0"/>
              <w:jc w:val="right"/>
              <w:rPr>
                <w:rFonts w:eastAsia="Times New Roman" w:cstheme="minorHAnsi"/>
                <w:sz w:val="20"/>
                <w:szCs w:val="20"/>
              </w:rPr>
            </w:pPr>
            <w:r w:rsidRPr="00FA5606">
              <w:rPr>
                <w:rFonts w:eastAsia="Times New Roman" w:cstheme="minorHAnsi"/>
                <w:sz w:val="20"/>
                <w:szCs w:val="20"/>
              </w:rPr>
              <w:t>36,471</w:t>
            </w:r>
          </w:p>
        </w:tc>
        <w:tc>
          <w:tcPr>
            <w:tcW w:w="960" w:type="dxa"/>
            <w:tcBorders>
              <w:top w:val="nil"/>
              <w:left w:val="nil"/>
              <w:bottom w:val="nil"/>
              <w:right w:val="nil"/>
            </w:tcBorders>
            <w:shd w:val="clear" w:color="auto" w:fill="auto"/>
            <w:noWrap/>
            <w:vAlign w:val="bottom"/>
            <w:hideMark/>
          </w:tcPr>
          <w:p w:rsidR="00B43D13" w:rsidRPr="00E97254" w:rsidRDefault="00FA5606" w:rsidP="000C0250">
            <w:pPr>
              <w:spacing w:after="0"/>
              <w:jc w:val="right"/>
              <w:rPr>
                <w:rFonts w:eastAsia="Times New Roman" w:cstheme="minorHAnsi"/>
                <w:sz w:val="20"/>
                <w:szCs w:val="20"/>
              </w:rPr>
            </w:pPr>
            <w:r w:rsidRPr="00FA5606">
              <w:rPr>
                <w:rFonts w:eastAsia="Times New Roman" w:cstheme="minorHAnsi"/>
                <w:sz w:val="20"/>
                <w:szCs w:val="20"/>
              </w:rPr>
              <w:t>30,233</w:t>
            </w:r>
          </w:p>
        </w:tc>
        <w:tc>
          <w:tcPr>
            <w:tcW w:w="960" w:type="dxa"/>
            <w:tcBorders>
              <w:top w:val="nil"/>
              <w:left w:val="nil"/>
              <w:bottom w:val="nil"/>
              <w:right w:val="nil"/>
            </w:tcBorders>
            <w:shd w:val="clear" w:color="auto" w:fill="auto"/>
            <w:noWrap/>
            <w:vAlign w:val="bottom"/>
            <w:hideMark/>
          </w:tcPr>
          <w:p w:rsidR="00B43D13" w:rsidRPr="00E97254" w:rsidRDefault="00FA5606" w:rsidP="000C0250">
            <w:pPr>
              <w:spacing w:after="0"/>
              <w:jc w:val="right"/>
              <w:rPr>
                <w:rFonts w:eastAsia="Times New Roman" w:cstheme="minorHAnsi"/>
                <w:sz w:val="20"/>
                <w:szCs w:val="20"/>
              </w:rPr>
            </w:pPr>
            <w:r w:rsidRPr="00FA5606">
              <w:rPr>
                <w:rFonts w:eastAsia="Times New Roman" w:cstheme="minorHAnsi"/>
                <w:sz w:val="20"/>
                <w:szCs w:val="20"/>
              </w:rPr>
              <w:t>33,447</w:t>
            </w:r>
          </w:p>
        </w:tc>
        <w:tc>
          <w:tcPr>
            <w:tcW w:w="960" w:type="dxa"/>
            <w:tcBorders>
              <w:top w:val="nil"/>
              <w:left w:val="nil"/>
              <w:bottom w:val="nil"/>
              <w:right w:val="nil"/>
            </w:tcBorders>
            <w:shd w:val="clear" w:color="auto" w:fill="auto"/>
            <w:noWrap/>
            <w:hideMark/>
          </w:tcPr>
          <w:p w:rsidR="00B43D13" w:rsidRPr="00E97254" w:rsidRDefault="00FA5606" w:rsidP="000C0250">
            <w:pPr>
              <w:spacing w:after="0"/>
              <w:jc w:val="right"/>
              <w:rPr>
                <w:rFonts w:eastAsia="Times New Roman" w:cstheme="minorHAnsi"/>
                <w:sz w:val="20"/>
                <w:szCs w:val="20"/>
              </w:rPr>
            </w:pPr>
            <w:r w:rsidRPr="00FA5606">
              <w:rPr>
                <w:sz w:val="20"/>
              </w:rPr>
              <w:t>32,732</w:t>
            </w:r>
          </w:p>
        </w:tc>
      </w:tr>
      <w:tr w:rsidR="00B43D13" w:rsidRPr="00E97254" w:rsidTr="00403F5F">
        <w:trPr>
          <w:trHeight w:val="240"/>
        </w:trPr>
        <w:tc>
          <w:tcPr>
            <w:tcW w:w="3820" w:type="dxa"/>
            <w:tcBorders>
              <w:top w:val="nil"/>
              <w:left w:val="nil"/>
              <w:bottom w:val="nil"/>
              <w:right w:val="nil"/>
            </w:tcBorders>
            <w:shd w:val="clear" w:color="auto" w:fill="auto"/>
            <w:noWrap/>
            <w:vAlign w:val="bottom"/>
            <w:hideMark/>
          </w:tcPr>
          <w:p w:rsidR="00B43D13" w:rsidRPr="00E97254" w:rsidRDefault="00FA5606" w:rsidP="000C0250">
            <w:pPr>
              <w:spacing w:after="0"/>
              <w:rPr>
                <w:rFonts w:eastAsia="Times New Roman" w:cstheme="minorHAnsi"/>
                <w:sz w:val="20"/>
                <w:szCs w:val="20"/>
              </w:rPr>
            </w:pPr>
            <w:r w:rsidRPr="00FA5606">
              <w:rPr>
                <w:rFonts w:eastAsia="Times New Roman" w:cstheme="minorHAnsi"/>
                <w:sz w:val="20"/>
                <w:szCs w:val="20"/>
              </w:rPr>
              <w:t>Shkenca natyrore, matematikë dhe statistikë</w:t>
            </w:r>
          </w:p>
        </w:tc>
        <w:tc>
          <w:tcPr>
            <w:tcW w:w="960" w:type="dxa"/>
            <w:tcBorders>
              <w:top w:val="nil"/>
              <w:left w:val="nil"/>
              <w:bottom w:val="nil"/>
              <w:right w:val="nil"/>
            </w:tcBorders>
            <w:shd w:val="clear" w:color="auto" w:fill="auto"/>
            <w:noWrap/>
            <w:vAlign w:val="bottom"/>
            <w:hideMark/>
          </w:tcPr>
          <w:p w:rsidR="00B43D13" w:rsidRPr="00E97254" w:rsidRDefault="00FA5606" w:rsidP="000C0250">
            <w:pPr>
              <w:spacing w:after="0"/>
              <w:jc w:val="right"/>
              <w:rPr>
                <w:rFonts w:eastAsia="Times New Roman" w:cstheme="minorHAnsi"/>
                <w:sz w:val="20"/>
                <w:szCs w:val="20"/>
              </w:rPr>
            </w:pPr>
            <w:r w:rsidRPr="00FA5606">
              <w:rPr>
                <w:rFonts w:eastAsia="Times New Roman" w:cstheme="minorHAnsi"/>
                <w:sz w:val="20"/>
                <w:szCs w:val="20"/>
              </w:rPr>
              <w:t>6,719</w:t>
            </w:r>
          </w:p>
        </w:tc>
        <w:tc>
          <w:tcPr>
            <w:tcW w:w="960" w:type="dxa"/>
            <w:tcBorders>
              <w:top w:val="nil"/>
              <w:left w:val="nil"/>
              <w:bottom w:val="nil"/>
              <w:right w:val="nil"/>
            </w:tcBorders>
            <w:shd w:val="clear" w:color="auto" w:fill="auto"/>
            <w:noWrap/>
            <w:vAlign w:val="bottom"/>
            <w:hideMark/>
          </w:tcPr>
          <w:p w:rsidR="00B43D13" w:rsidRPr="00E97254" w:rsidRDefault="00FA5606" w:rsidP="000C0250">
            <w:pPr>
              <w:spacing w:after="0"/>
              <w:jc w:val="right"/>
              <w:rPr>
                <w:rFonts w:eastAsia="Times New Roman" w:cstheme="minorHAnsi"/>
                <w:sz w:val="20"/>
                <w:szCs w:val="20"/>
              </w:rPr>
            </w:pPr>
            <w:r w:rsidRPr="00FA5606">
              <w:rPr>
                <w:rFonts w:eastAsia="Times New Roman" w:cstheme="minorHAnsi"/>
                <w:sz w:val="20"/>
                <w:szCs w:val="20"/>
              </w:rPr>
              <w:t>7,816</w:t>
            </w:r>
          </w:p>
        </w:tc>
        <w:tc>
          <w:tcPr>
            <w:tcW w:w="960" w:type="dxa"/>
            <w:tcBorders>
              <w:top w:val="nil"/>
              <w:left w:val="nil"/>
              <w:bottom w:val="nil"/>
              <w:right w:val="nil"/>
            </w:tcBorders>
            <w:shd w:val="clear" w:color="auto" w:fill="auto"/>
            <w:noWrap/>
            <w:vAlign w:val="bottom"/>
            <w:hideMark/>
          </w:tcPr>
          <w:p w:rsidR="00B43D13" w:rsidRPr="00E97254" w:rsidRDefault="00FA5606" w:rsidP="000C0250">
            <w:pPr>
              <w:spacing w:after="0"/>
              <w:jc w:val="right"/>
              <w:rPr>
                <w:rFonts w:eastAsia="Times New Roman" w:cstheme="minorHAnsi"/>
                <w:sz w:val="20"/>
                <w:szCs w:val="20"/>
              </w:rPr>
            </w:pPr>
            <w:r w:rsidRPr="00FA5606">
              <w:rPr>
                <w:rFonts w:eastAsia="Times New Roman" w:cstheme="minorHAnsi"/>
                <w:sz w:val="20"/>
                <w:szCs w:val="20"/>
              </w:rPr>
              <w:t>6,325</w:t>
            </w:r>
          </w:p>
        </w:tc>
        <w:tc>
          <w:tcPr>
            <w:tcW w:w="960" w:type="dxa"/>
            <w:tcBorders>
              <w:top w:val="nil"/>
              <w:left w:val="nil"/>
              <w:bottom w:val="nil"/>
              <w:right w:val="nil"/>
            </w:tcBorders>
            <w:shd w:val="clear" w:color="auto" w:fill="auto"/>
            <w:noWrap/>
            <w:vAlign w:val="bottom"/>
            <w:hideMark/>
          </w:tcPr>
          <w:p w:rsidR="00B43D13" w:rsidRPr="00E97254" w:rsidRDefault="00FA5606" w:rsidP="000C0250">
            <w:pPr>
              <w:spacing w:after="0"/>
              <w:jc w:val="right"/>
              <w:rPr>
                <w:rFonts w:eastAsia="Times New Roman" w:cstheme="minorHAnsi"/>
                <w:sz w:val="20"/>
                <w:szCs w:val="20"/>
              </w:rPr>
            </w:pPr>
            <w:r w:rsidRPr="00FA5606">
              <w:rPr>
                <w:rFonts w:eastAsia="Times New Roman" w:cstheme="minorHAnsi"/>
                <w:sz w:val="20"/>
                <w:szCs w:val="20"/>
              </w:rPr>
              <w:t>7,060</w:t>
            </w:r>
          </w:p>
        </w:tc>
        <w:tc>
          <w:tcPr>
            <w:tcW w:w="960" w:type="dxa"/>
            <w:tcBorders>
              <w:top w:val="nil"/>
              <w:left w:val="nil"/>
              <w:bottom w:val="nil"/>
              <w:right w:val="nil"/>
            </w:tcBorders>
            <w:shd w:val="clear" w:color="auto" w:fill="auto"/>
            <w:noWrap/>
            <w:hideMark/>
          </w:tcPr>
          <w:p w:rsidR="00B43D13" w:rsidRPr="00E97254" w:rsidRDefault="00FA5606" w:rsidP="000C0250">
            <w:pPr>
              <w:spacing w:after="0"/>
              <w:jc w:val="right"/>
              <w:rPr>
                <w:rFonts w:eastAsia="Times New Roman" w:cstheme="minorHAnsi"/>
                <w:sz w:val="20"/>
                <w:szCs w:val="20"/>
              </w:rPr>
            </w:pPr>
            <w:r w:rsidRPr="00FA5606">
              <w:rPr>
                <w:sz w:val="20"/>
              </w:rPr>
              <w:t>5,962</w:t>
            </w:r>
          </w:p>
        </w:tc>
      </w:tr>
      <w:tr w:rsidR="00B43D13" w:rsidRPr="00E97254" w:rsidTr="00403F5F">
        <w:trPr>
          <w:trHeight w:val="240"/>
        </w:trPr>
        <w:tc>
          <w:tcPr>
            <w:tcW w:w="3820" w:type="dxa"/>
            <w:tcBorders>
              <w:top w:val="nil"/>
              <w:left w:val="nil"/>
              <w:bottom w:val="nil"/>
              <w:right w:val="nil"/>
            </w:tcBorders>
            <w:shd w:val="clear" w:color="auto" w:fill="auto"/>
            <w:noWrap/>
            <w:vAlign w:val="bottom"/>
            <w:hideMark/>
          </w:tcPr>
          <w:p w:rsidR="00B43D13" w:rsidRPr="00E97254" w:rsidRDefault="00FA5606" w:rsidP="000C0250">
            <w:pPr>
              <w:spacing w:after="0"/>
              <w:rPr>
                <w:rFonts w:eastAsia="Times New Roman" w:cstheme="minorHAnsi"/>
                <w:sz w:val="20"/>
                <w:szCs w:val="20"/>
              </w:rPr>
            </w:pPr>
            <w:r w:rsidRPr="00FA5606">
              <w:rPr>
                <w:rFonts w:eastAsia="Times New Roman" w:cstheme="minorHAnsi"/>
                <w:sz w:val="20"/>
                <w:szCs w:val="20"/>
              </w:rPr>
              <w:t>Teknologji e Informacionit dhe komunikimit</w:t>
            </w:r>
          </w:p>
        </w:tc>
        <w:tc>
          <w:tcPr>
            <w:tcW w:w="960" w:type="dxa"/>
            <w:tcBorders>
              <w:top w:val="nil"/>
              <w:left w:val="nil"/>
              <w:bottom w:val="nil"/>
              <w:right w:val="nil"/>
            </w:tcBorders>
            <w:shd w:val="clear" w:color="auto" w:fill="auto"/>
            <w:noWrap/>
            <w:vAlign w:val="bottom"/>
            <w:hideMark/>
          </w:tcPr>
          <w:p w:rsidR="00B43D13" w:rsidRPr="00E97254" w:rsidRDefault="00FA5606" w:rsidP="000C0250">
            <w:pPr>
              <w:spacing w:after="0"/>
              <w:jc w:val="right"/>
              <w:rPr>
                <w:rFonts w:eastAsia="Times New Roman" w:cstheme="minorHAnsi"/>
                <w:sz w:val="20"/>
                <w:szCs w:val="20"/>
              </w:rPr>
            </w:pPr>
            <w:r w:rsidRPr="00FA5606">
              <w:rPr>
                <w:rFonts w:eastAsia="Times New Roman" w:cstheme="minorHAnsi"/>
                <w:sz w:val="20"/>
                <w:szCs w:val="20"/>
              </w:rPr>
              <w:t>8,260</w:t>
            </w:r>
          </w:p>
        </w:tc>
        <w:tc>
          <w:tcPr>
            <w:tcW w:w="960" w:type="dxa"/>
            <w:tcBorders>
              <w:top w:val="nil"/>
              <w:left w:val="nil"/>
              <w:bottom w:val="nil"/>
              <w:right w:val="nil"/>
            </w:tcBorders>
            <w:shd w:val="clear" w:color="auto" w:fill="auto"/>
            <w:noWrap/>
            <w:vAlign w:val="bottom"/>
            <w:hideMark/>
          </w:tcPr>
          <w:p w:rsidR="00B43D13" w:rsidRPr="00E97254" w:rsidRDefault="00FA5606" w:rsidP="000C0250">
            <w:pPr>
              <w:spacing w:after="0"/>
              <w:jc w:val="right"/>
              <w:rPr>
                <w:rFonts w:eastAsia="Times New Roman" w:cstheme="minorHAnsi"/>
                <w:sz w:val="20"/>
                <w:szCs w:val="20"/>
              </w:rPr>
            </w:pPr>
            <w:r w:rsidRPr="00FA5606">
              <w:rPr>
                <w:rFonts w:eastAsia="Times New Roman" w:cstheme="minorHAnsi"/>
                <w:sz w:val="20"/>
                <w:szCs w:val="20"/>
              </w:rPr>
              <w:t>7,487</w:t>
            </w:r>
          </w:p>
        </w:tc>
        <w:tc>
          <w:tcPr>
            <w:tcW w:w="960" w:type="dxa"/>
            <w:tcBorders>
              <w:top w:val="nil"/>
              <w:left w:val="nil"/>
              <w:bottom w:val="nil"/>
              <w:right w:val="nil"/>
            </w:tcBorders>
            <w:shd w:val="clear" w:color="auto" w:fill="auto"/>
            <w:noWrap/>
            <w:vAlign w:val="bottom"/>
            <w:hideMark/>
          </w:tcPr>
          <w:p w:rsidR="00B43D13" w:rsidRPr="00E97254" w:rsidRDefault="00FA5606" w:rsidP="000C0250">
            <w:pPr>
              <w:spacing w:after="0"/>
              <w:jc w:val="right"/>
              <w:rPr>
                <w:rFonts w:eastAsia="Times New Roman" w:cstheme="minorHAnsi"/>
                <w:sz w:val="20"/>
                <w:szCs w:val="20"/>
              </w:rPr>
            </w:pPr>
            <w:r w:rsidRPr="00FA5606">
              <w:rPr>
                <w:rFonts w:eastAsia="Times New Roman" w:cstheme="minorHAnsi"/>
                <w:sz w:val="20"/>
                <w:szCs w:val="20"/>
              </w:rPr>
              <w:t>8,228</w:t>
            </w:r>
          </w:p>
        </w:tc>
        <w:tc>
          <w:tcPr>
            <w:tcW w:w="960" w:type="dxa"/>
            <w:tcBorders>
              <w:top w:val="nil"/>
              <w:left w:val="nil"/>
              <w:bottom w:val="nil"/>
              <w:right w:val="nil"/>
            </w:tcBorders>
            <w:shd w:val="clear" w:color="auto" w:fill="auto"/>
            <w:noWrap/>
            <w:vAlign w:val="bottom"/>
            <w:hideMark/>
          </w:tcPr>
          <w:p w:rsidR="00B43D13" w:rsidRPr="00E97254" w:rsidRDefault="00FA5606" w:rsidP="000C0250">
            <w:pPr>
              <w:spacing w:after="0"/>
              <w:jc w:val="right"/>
              <w:rPr>
                <w:rFonts w:eastAsia="Times New Roman" w:cstheme="minorHAnsi"/>
                <w:sz w:val="20"/>
                <w:szCs w:val="20"/>
              </w:rPr>
            </w:pPr>
            <w:r w:rsidRPr="00FA5606">
              <w:rPr>
                <w:rFonts w:eastAsia="Times New Roman" w:cstheme="minorHAnsi"/>
                <w:sz w:val="20"/>
                <w:szCs w:val="20"/>
              </w:rPr>
              <w:t>10,016</w:t>
            </w:r>
          </w:p>
        </w:tc>
        <w:tc>
          <w:tcPr>
            <w:tcW w:w="960" w:type="dxa"/>
            <w:tcBorders>
              <w:top w:val="nil"/>
              <w:left w:val="nil"/>
              <w:bottom w:val="nil"/>
              <w:right w:val="nil"/>
            </w:tcBorders>
            <w:shd w:val="clear" w:color="auto" w:fill="auto"/>
            <w:noWrap/>
            <w:hideMark/>
          </w:tcPr>
          <w:p w:rsidR="00B43D13" w:rsidRPr="00E97254" w:rsidRDefault="00FA5606" w:rsidP="000C0250">
            <w:pPr>
              <w:spacing w:after="0"/>
              <w:jc w:val="right"/>
              <w:rPr>
                <w:rFonts w:eastAsia="Times New Roman" w:cstheme="minorHAnsi"/>
                <w:sz w:val="20"/>
                <w:szCs w:val="20"/>
              </w:rPr>
            </w:pPr>
            <w:r w:rsidRPr="00FA5606">
              <w:rPr>
                <w:sz w:val="20"/>
              </w:rPr>
              <w:t>8,883</w:t>
            </w:r>
          </w:p>
        </w:tc>
      </w:tr>
      <w:tr w:rsidR="00B43D13" w:rsidRPr="00E97254" w:rsidTr="00403F5F">
        <w:trPr>
          <w:trHeight w:val="240"/>
        </w:trPr>
        <w:tc>
          <w:tcPr>
            <w:tcW w:w="3820" w:type="dxa"/>
            <w:tcBorders>
              <w:top w:val="nil"/>
              <w:left w:val="nil"/>
              <w:bottom w:val="nil"/>
              <w:right w:val="nil"/>
            </w:tcBorders>
            <w:shd w:val="clear" w:color="auto" w:fill="auto"/>
            <w:noWrap/>
            <w:vAlign w:val="bottom"/>
            <w:hideMark/>
          </w:tcPr>
          <w:p w:rsidR="00B43D13" w:rsidRPr="00E97254" w:rsidRDefault="00FA5606" w:rsidP="000C0250">
            <w:pPr>
              <w:spacing w:after="0"/>
              <w:rPr>
                <w:rFonts w:eastAsia="Times New Roman" w:cstheme="minorHAnsi"/>
                <w:sz w:val="20"/>
                <w:szCs w:val="20"/>
              </w:rPr>
            </w:pPr>
            <w:r w:rsidRPr="00FA5606">
              <w:rPr>
                <w:rFonts w:eastAsia="Times New Roman" w:cstheme="minorHAnsi"/>
                <w:sz w:val="20"/>
                <w:szCs w:val="20"/>
              </w:rPr>
              <w:t>Inxhinieri, prodhim dhe ndërtim</w:t>
            </w:r>
          </w:p>
        </w:tc>
        <w:tc>
          <w:tcPr>
            <w:tcW w:w="960" w:type="dxa"/>
            <w:tcBorders>
              <w:top w:val="nil"/>
              <w:left w:val="nil"/>
              <w:bottom w:val="nil"/>
              <w:right w:val="nil"/>
            </w:tcBorders>
            <w:shd w:val="clear" w:color="auto" w:fill="auto"/>
            <w:noWrap/>
            <w:vAlign w:val="bottom"/>
            <w:hideMark/>
          </w:tcPr>
          <w:p w:rsidR="00B43D13" w:rsidRPr="00E97254" w:rsidRDefault="00FA5606" w:rsidP="000C0250">
            <w:pPr>
              <w:spacing w:after="0"/>
              <w:jc w:val="right"/>
              <w:rPr>
                <w:rFonts w:eastAsia="Times New Roman" w:cstheme="minorHAnsi"/>
                <w:sz w:val="20"/>
                <w:szCs w:val="20"/>
              </w:rPr>
            </w:pPr>
            <w:r w:rsidRPr="00FA5606">
              <w:rPr>
                <w:rFonts w:eastAsia="Times New Roman" w:cstheme="minorHAnsi"/>
                <w:sz w:val="20"/>
                <w:szCs w:val="20"/>
              </w:rPr>
              <w:t>18,005</w:t>
            </w:r>
          </w:p>
        </w:tc>
        <w:tc>
          <w:tcPr>
            <w:tcW w:w="960" w:type="dxa"/>
            <w:tcBorders>
              <w:top w:val="nil"/>
              <w:left w:val="nil"/>
              <w:bottom w:val="nil"/>
              <w:right w:val="nil"/>
            </w:tcBorders>
            <w:shd w:val="clear" w:color="auto" w:fill="auto"/>
            <w:noWrap/>
            <w:vAlign w:val="bottom"/>
            <w:hideMark/>
          </w:tcPr>
          <w:p w:rsidR="00B43D13" w:rsidRPr="00E97254" w:rsidRDefault="00FA5606" w:rsidP="000C0250">
            <w:pPr>
              <w:spacing w:after="0"/>
              <w:jc w:val="right"/>
              <w:rPr>
                <w:rFonts w:eastAsia="Times New Roman" w:cstheme="minorHAnsi"/>
                <w:sz w:val="20"/>
                <w:szCs w:val="20"/>
              </w:rPr>
            </w:pPr>
            <w:r w:rsidRPr="00FA5606">
              <w:rPr>
                <w:rFonts w:eastAsia="Times New Roman" w:cstheme="minorHAnsi"/>
                <w:sz w:val="20"/>
                <w:szCs w:val="20"/>
              </w:rPr>
              <w:t>18,480</w:t>
            </w:r>
          </w:p>
        </w:tc>
        <w:tc>
          <w:tcPr>
            <w:tcW w:w="960" w:type="dxa"/>
            <w:tcBorders>
              <w:top w:val="nil"/>
              <w:left w:val="nil"/>
              <w:bottom w:val="nil"/>
              <w:right w:val="nil"/>
            </w:tcBorders>
            <w:shd w:val="clear" w:color="auto" w:fill="auto"/>
            <w:noWrap/>
            <w:vAlign w:val="bottom"/>
            <w:hideMark/>
          </w:tcPr>
          <w:p w:rsidR="00B43D13" w:rsidRPr="00E97254" w:rsidRDefault="00FA5606" w:rsidP="000C0250">
            <w:pPr>
              <w:spacing w:after="0"/>
              <w:jc w:val="right"/>
              <w:rPr>
                <w:rFonts w:eastAsia="Times New Roman" w:cstheme="minorHAnsi"/>
                <w:sz w:val="20"/>
                <w:szCs w:val="20"/>
              </w:rPr>
            </w:pPr>
            <w:r w:rsidRPr="00FA5606">
              <w:rPr>
                <w:rFonts w:eastAsia="Times New Roman" w:cstheme="minorHAnsi"/>
                <w:sz w:val="20"/>
                <w:szCs w:val="20"/>
              </w:rPr>
              <w:t>18,730</w:t>
            </w:r>
          </w:p>
        </w:tc>
        <w:tc>
          <w:tcPr>
            <w:tcW w:w="960" w:type="dxa"/>
            <w:tcBorders>
              <w:top w:val="nil"/>
              <w:left w:val="nil"/>
              <w:bottom w:val="nil"/>
              <w:right w:val="nil"/>
            </w:tcBorders>
            <w:shd w:val="clear" w:color="auto" w:fill="auto"/>
            <w:noWrap/>
            <w:vAlign w:val="bottom"/>
            <w:hideMark/>
          </w:tcPr>
          <w:p w:rsidR="00B43D13" w:rsidRPr="00E97254" w:rsidRDefault="00FA5606" w:rsidP="000C0250">
            <w:pPr>
              <w:spacing w:after="0"/>
              <w:jc w:val="right"/>
              <w:rPr>
                <w:rFonts w:eastAsia="Times New Roman" w:cstheme="minorHAnsi"/>
                <w:sz w:val="20"/>
                <w:szCs w:val="20"/>
              </w:rPr>
            </w:pPr>
            <w:r w:rsidRPr="00FA5606">
              <w:rPr>
                <w:rFonts w:eastAsia="Times New Roman" w:cstheme="minorHAnsi"/>
                <w:sz w:val="20"/>
                <w:szCs w:val="20"/>
              </w:rPr>
              <w:t>20,019</w:t>
            </w:r>
          </w:p>
        </w:tc>
        <w:tc>
          <w:tcPr>
            <w:tcW w:w="960" w:type="dxa"/>
            <w:tcBorders>
              <w:top w:val="nil"/>
              <w:left w:val="nil"/>
              <w:bottom w:val="nil"/>
              <w:right w:val="nil"/>
            </w:tcBorders>
            <w:shd w:val="clear" w:color="auto" w:fill="auto"/>
            <w:noWrap/>
            <w:hideMark/>
          </w:tcPr>
          <w:p w:rsidR="00B43D13" w:rsidRPr="00E97254" w:rsidRDefault="00FA5606" w:rsidP="000C0250">
            <w:pPr>
              <w:spacing w:after="0"/>
              <w:jc w:val="right"/>
              <w:rPr>
                <w:rFonts w:eastAsia="Times New Roman" w:cstheme="minorHAnsi"/>
                <w:sz w:val="20"/>
                <w:szCs w:val="20"/>
              </w:rPr>
            </w:pPr>
            <w:r w:rsidRPr="00FA5606">
              <w:rPr>
                <w:sz w:val="20"/>
              </w:rPr>
              <w:t>20,775</w:t>
            </w:r>
          </w:p>
        </w:tc>
      </w:tr>
      <w:tr w:rsidR="00B43D13" w:rsidRPr="00E97254" w:rsidTr="00403F5F">
        <w:trPr>
          <w:trHeight w:val="240"/>
        </w:trPr>
        <w:tc>
          <w:tcPr>
            <w:tcW w:w="3820" w:type="dxa"/>
            <w:tcBorders>
              <w:top w:val="nil"/>
              <w:left w:val="nil"/>
              <w:bottom w:val="nil"/>
              <w:right w:val="nil"/>
            </w:tcBorders>
            <w:shd w:val="clear" w:color="auto" w:fill="auto"/>
            <w:noWrap/>
            <w:vAlign w:val="bottom"/>
            <w:hideMark/>
          </w:tcPr>
          <w:p w:rsidR="00B43D13" w:rsidRPr="00E97254" w:rsidRDefault="00FA5606" w:rsidP="000C0250">
            <w:pPr>
              <w:spacing w:after="0"/>
              <w:rPr>
                <w:rFonts w:eastAsia="Times New Roman" w:cstheme="minorHAnsi"/>
                <w:sz w:val="20"/>
                <w:szCs w:val="20"/>
              </w:rPr>
            </w:pPr>
            <w:r w:rsidRPr="00FA5606">
              <w:rPr>
                <w:rFonts w:eastAsia="Times New Roman" w:cstheme="minorHAnsi"/>
                <w:sz w:val="20"/>
                <w:szCs w:val="20"/>
              </w:rPr>
              <w:t>Bujqësi, pyje, peshkim dhe veterinari</w:t>
            </w:r>
          </w:p>
        </w:tc>
        <w:tc>
          <w:tcPr>
            <w:tcW w:w="960" w:type="dxa"/>
            <w:tcBorders>
              <w:top w:val="nil"/>
              <w:left w:val="nil"/>
              <w:bottom w:val="nil"/>
              <w:right w:val="nil"/>
            </w:tcBorders>
            <w:shd w:val="clear" w:color="auto" w:fill="auto"/>
            <w:noWrap/>
            <w:vAlign w:val="bottom"/>
            <w:hideMark/>
          </w:tcPr>
          <w:p w:rsidR="00B43D13" w:rsidRPr="00E97254" w:rsidRDefault="00FA5606" w:rsidP="000C0250">
            <w:pPr>
              <w:spacing w:after="0"/>
              <w:jc w:val="right"/>
              <w:rPr>
                <w:rFonts w:eastAsia="Times New Roman" w:cstheme="minorHAnsi"/>
                <w:sz w:val="20"/>
                <w:szCs w:val="20"/>
              </w:rPr>
            </w:pPr>
            <w:r w:rsidRPr="00FA5606">
              <w:rPr>
                <w:rFonts w:eastAsia="Times New Roman" w:cstheme="minorHAnsi"/>
                <w:sz w:val="20"/>
                <w:szCs w:val="20"/>
              </w:rPr>
              <w:t>8,383</w:t>
            </w:r>
          </w:p>
        </w:tc>
        <w:tc>
          <w:tcPr>
            <w:tcW w:w="960" w:type="dxa"/>
            <w:tcBorders>
              <w:top w:val="nil"/>
              <w:left w:val="nil"/>
              <w:bottom w:val="nil"/>
              <w:right w:val="nil"/>
            </w:tcBorders>
            <w:shd w:val="clear" w:color="auto" w:fill="auto"/>
            <w:noWrap/>
            <w:vAlign w:val="bottom"/>
            <w:hideMark/>
          </w:tcPr>
          <w:p w:rsidR="00B43D13" w:rsidRPr="00E97254" w:rsidRDefault="00FA5606" w:rsidP="000C0250">
            <w:pPr>
              <w:spacing w:after="0"/>
              <w:jc w:val="right"/>
              <w:rPr>
                <w:rFonts w:eastAsia="Times New Roman" w:cstheme="minorHAnsi"/>
                <w:sz w:val="20"/>
                <w:szCs w:val="20"/>
              </w:rPr>
            </w:pPr>
            <w:r w:rsidRPr="00FA5606">
              <w:rPr>
                <w:rFonts w:eastAsia="Times New Roman" w:cstheme="minorHAnsi"/>
                <w:sz w:val="20"/>
                <w:szCs w:val="20"/>
              </w:rPr>
              <w:t>7,086</w:t>
            </w:r>
          </w:p>
        </w:tc>
        <w:tc>
          <w:tcPr>
            <w:tcW w:w="960" w:type="dxa"/>
            <w:tcBorders>
              <w:top w:val="nil"/>
              <w:left w:val="nil"/>
              <w:bottom w:val="nil"/>
              <w:right w:val="nil"/>
            </w:tcBorders>
            <w:shd w:val="clear" w:color="auto" w:fill="auto"/>
            <w:noWrap/>
            <w:vAlign w:val="bottom"/>
            <w:hideMark/>
          </w:tcPr>
          <w:p w:rsidR="00B43D13" w:rsidRPr="00E97254" w:rsidRDefault="00FA5606" w:rsidP="000C0250">
            <w:pPr>
              <w:spacing w:after="0"/>
              <w:jc w:val="right"/>
              <w:rPr>
                <w:rFonts w:eastAsia="Times New Roman" w:cstheme="minorHAnsi"/>
                <w:sz w:val="20"/>
                <w:szCs w:val="20"/>
              </w:rPr>
            </w:pPr>
            <w:r w:rsidRPr="00FA5606">
              <w:rPr>
                <w:rFonts w:eastAsia="Times New Roman" w:cstheme="minorHAnsi"/>
                <w:sz w:val="20"/>
                <w:szCs w:val="20"/>
              </w:rPr>
              <w:t>4,564</w:t>
            </w:r>
          </w:p>
        </w:tc>
        <w:tc>
          <w:tcPr>
            <w:tcW w:w="960" w:type="dxa"/>
            <w:tcBorders>
              <w:top w:val="nil"/>
              <w:left w:val="nil"/>
              <w:bottom w:val="nil"/>
              <w:right w:val="nil"/>
            </w:tcBorders>
            <w:shd w:val="clear" w:color="auto" w:fill="auto"/>
            <w:noWrap/>
            <w:vAlign w:val="bottom"/>
            <w:hideMark/>
          </w:tcPr>
          <w:p w:rsidR="00B43D13" w:rsidRPr="00E97254" w:rsidRDefault="00FA5606" w:rsidP="000C0250">
            <w:pPr>
              <w:spacing w:after="0"/>
              <w:jc w:val="right"/>
              <w:rPr>
                <w:rFonts w:eastAsia="Times New Roman" w:cstheme="minorHAnsi"/>
                <w:sz w:val="20"/>
                <w:szCs w:val="20"/>
              </w:rPr>
            </w:pPr>
            <w:r w:rsidRPr="00FA5606">
              <w:rPr>
                <w:rFonts w:eastAsia="Times New Roman" w:cstheme="minorHAnsi"/>
                <w:sz w:val="20"/>
                <w:szCs w:val="20"/>
              </w:rPr>
              <w:t>4,999</w:t>
            </w:r>
          </w:p>
        </w:tc>
        <w:tc>
          <w:tcPr>
            <w:tcW w:w="960" w:type="dxa"/>
            <w:tcBorders>
              <w:top w:val="nil"/>
              <w:left w:val="nil"/>
              <w:bottom w:val="nil"/>
              <w:right w:val="nil"/>
            </w:tcBorders>
            <w:shd w:val="clear" w:color="auto" w:fill="auto"/>
            <w:noWrap/>
            <w:hideMark/>
          </w:tcPr>
          <w:p w:rsidR="00B43D13" w:rsidRPr="00E97254" w:rsidRDefault="00FA5606" w:rsidP="000C0250">
            <w:pPr>
              <w:spacing w:after="0"/>
              <w:jc w:val="right"/>
              <w:rPr>
                <w:rFonts w:eastAsia="Times New Roman" w:cstheme="minorHAnsi"/>
                <w:sz w:val="20"/>
                <w:szCs w:val="20"/>
              </w:rPr>
            </w:pPr>
            <w:r w:rsidRPr="00FA5606">
              <w:rPr>
                <w:sz w:val="20"/>
              </w:rPr>
              <w:t>4,158</w:t>
            </w:r>
          </w:p>
        </w:tc>
      </w:tr>
      <w:tr w:rsidR="00B43D13" w:rsidRPr="00E97254" w:rsidTr="00403F5F">
        <w:trPr>
          <w:trHeight w:val="240"/>
        </w:trPr>
        <w:tc>
          <w:tcPr>
            <w:tcW w:w="3820" w:type="dxa"/>
            <w:tcBorders>
              <w:top w:val="nil"/>
              <w:left w:val="nil"/>
              <w:bottom w:val="nil"/>
              <w:right w:val="nil"/>
            </w:tcBorders>
            <w:shd w:val="clear" w:color="auto" w:fill="auto"/>
            <w:noWrap/>
            <w:vAlign w:val="bottom"/>
            <w:hideMark/>
          </w:tcPr>
          <w:p w:rsidR="00B43D13" w:rsidRPr="00E97254" w:rsidRDefault="00FA5606" w:rsidP="000C0250">
            <w:pPr>
              <w:spacing w:after="0"/>
              <w:rPr>
                <w:rFonts w:eastAsia="Times New Roman" w:cstheme="minorHAnsi"/>
                <w:sz w:val="20"/>
                <w:szCs w:val="20"/>
              </w:rPr>
            </w:pPr>
            <w:r w:rsidRPr="00FA5606">
              <w:rPr>
                <w:rFonts w:eastAsia="Times New Roman" w:cstheme="minorHAnsi"/>
                <w:sz w:val="20"/>
                <w:szCs w:val="20"/>
              </w:rPr>
              <w:t>Shëndet dhe mirëqenie</w:t>
            </w:r>
          </w:p>
        </w:tc>
        <w:tc>
          <w:tcPr>
            <w:tcW w:w="960" w:type="dxa"/>
            <w:tcBorders>
              <w:top w:val="nil"/>
              <w:left w:val="nil"/>
              <w:bottom w:val="nil"/>
              <w:right w:val="nil"/>
            </w:tcBorders>
            <w:shd w:val="clear" w:color="auto" w:fill="auto"/>
            <w:noWrap/>
            <w:vAlign w:val="bottom"/>
            <w:hideMark/>
          </w:tcPr>
          <w:p w:rsidR="00B43D13" w:rsidRPr="00E97254" w:rsidRDefault="00FA5606" w:rsidP="000C0250">
            <w:pPr>
              <w:spacing w:after="0"/>
              <w:jc w:val="right"/>
              <w:rPr>
                <w:rFonts w:eastAsia="Times New Roman" w:cstheme="minorHAnsi"/>
                <w:sz w:val="20"/>
                <w:szCs w:val="20"/>
              </w:rPr>
            </w:pPr>
            <w:r w:rsidRPr="00FA5606">
              <w:rPr>
                <w:rFonts w:eastAsia="Times New Roman" w:cstheme="minorHAnsi"/>
                <w:sz w:val="20"/>
                <w:szCs w:val="20"/>
              </w:rPr>
              <w:t>21,550</w:t>
            </w:r>
          </w:p>
        </w:tc>
        <w:tc>
          <w:tcPr>
            <w:tcW w:w="960" w:type="dxa"/>
            <w:tcBorders>
              <w:top w:val="nil"/>
              <w:left w:val="nil"/>
              <w:bottom w:val="nil"/>
              <w:right w:val="nil"/>
            </w:tcBorders>
            <w:shd w:val="clear" w:color="auto" w:fill="auto"/>
            <w:noWrap/>
            <w:vAlign w:val="bottom"/>
            <w:hideMark/>
          </w:tcPr>
          <w:p w:rsidR="00B43D13" w:rsidRPr="00E97254" w:rsidRDefault="00FA5606" w:rsidP="000C0250">
            <w:pPr>
              <w:spacing w:after="0"/>
              <w:jc w:val="right"/>
              <w:rPr>
                <w:rFonts w:eastAsia="Times New Roman" w:cstheme="minorHAnsi"/>
                <w:sz w:val="20"/>
                <w:szCs w:val="20"/>
              </w:rPr>
            </w:pPr>
            <w:r w:rsidRPr="00FA5606">
              <w:rPr>
                <w:rFonts w:eastAsia="Times New Roman" w:cstheme="minorHAnsi"/>
                <w:sz w:val="20"/>
                <w:szCs w:val="20"/>
              </w:rPr>
              <w:t>20,900</w:t>
            </w:r>
          </w:p>
        </w:tc>
        <w:tc>
          <w:tcPr>
            <w:tcW w:w="960" w:type="dxa"/>
            <w:tcBorders>
              <w:top w:val="nil"/>
              <w:left w:val="nil"/>
              <w:bottom w:val="nil"/>
              <w:right w:val="nil"/>
            </w:tcBorders>
            <w:shd w:val="clear" w:color="auto" w:fill="auto"/>
            <w:noWrap/>
            <w:vAlign w:val="bottom"/>
            <w:hideMark/>
          </w:tcPr>
          <w:p w:rsidR="00B43D13" w:rsidRPr="00E97254" w:rsidRDefault="00FA5606" w:rsidP="000C0250">
            <w:pPr>
              <w:spacing w:after="0"/>
              <w:jc w:val="right"/>
              <w:rPr>
                <w:rFonts w:eastAsia="Times New Roman" w:cstheme="minorHAnsi"/>
                <w:sz w:val="20"/>
                <w:szCs w:val="20"/>
              </w:rPr>
            </w:pPr>
            <w:r w:rsidRPr="00FA5606">
              <w:rPr>
                <w:rFonts w:eastAsia="Times New Roman" w:cstheme="minorHAnsi"/>
                <w:sz w:val="20"/>
                <w:szCs w:val="20"/>
              </w:rPr>
              <w:t>19,837</w:t>
            </w:r>
          </w:p>
        </w:tc>
        <w:tc>
          <w:tcPr>
            <w:tcW w:w="960" w:type="dxa"/>
            <w:tcBorders>
              <w:top w:val="nil"/>
              <w:left w:val="nil"/>
              <w:bottom w:val="nil"/>
              <w:right w:val="nil"/>
            </w:tcBorders>
            <w:shd w:val="clear" w:color="auto" w:fill="auto"/>
            <w:noWrap/>
            <w:vAlign w:val="bottom"/>
            <w:hideMark/>
          </w:tcPr>
          <w:p w:rsidR="00B43D13" w:rsidRPr="00E97254" w:rsidRDefault="00FA5606" w:rsidP="000C0250">
            <w:pPr>
              <w:spacing w:after="0"/>
              <w:jc w:val="right"/>
              <w:rPr>
                <w:rFonts w:eastAsia="Times New Roman" w:cstheme="minorHAnsi"/>
                <w:sz w:val="20"/>
                <w:szCs w:val="20"/>
              </w:rPr>
            </w:pPr>
            <w:r w:rsidRPr="00FA5606">
              <w:rPr>
                <w:rFonts w:eastAsia="Times New Roman" w:cstheme="minorHAnsi"/>
                <w:sz w:val="20"/>
                <w:szCs w:val="20"/>
              </w:rPr>
              <w:t>20,727</w:t>
            </w:r>
          </w:p>
        </w:tc>
        <w:tc>
          <w:tcPr>
            <w:tcW w:w="960" w:type="dxa"/>
            <w:tcBorders>
              <w:top w:val="nil"/>
              <w:left w:val="nil"/>
              <w:bottom w:val="nil"/>
              <w:right w:val="nil"/>
            </w:tcBorders>
            <w:shd w:val="clear" w:color="auto" w:fill="auto"/>
            <w:noWrap/>
            <w:hideMark/>
          </w:tcPr>
          <w:p w:rsidR="00B43D13" w:rsidRPr="00E97254" w:rsidRDefault="00FA5606" w:rsidP="000C0250">
            <w:pPr>
              <w:spacing w:after="0"/>
              <w:jc w:val="right"/>
              <w:rPr>
                <w:rFonts w:eastAsia="Times New Roman" w:cstheme="minorHAnsi"/>
                <w:sz w:val="20"/>
                <w:szCs w:val="20"/>
              </w:rPr>
            </w:pPr>
            <w:r w:rsidRPr="00FA5606">
              <w:rPr>
                <w:sz w:val="20"/>
              </w:rPr>
              <w:t>20,199</w:t>
            </w:r>
          </w:p>
        </w:tc>
      </w:tr>
      <w:tr w:rsidR="00B43D13" w:rsidRPr="00E97254" w:rsidTr="00403F5F">
        <w:trPr>
          <w:trHeight w:val="240"/>
        </w:trPr>
        <w:tc>
          <w:tcPr>
            <w:tcW w:w="3820" w:type="dxa"/>
            <w:tcBorders>
              <w:top w:val="nil"/>
              <w:left w:val="nil"/>
              <w:bottom w:val="nil"/>
              <w:right w:val="nil"/>
            </w:tcBorders>
            <w:shd w:val="clear" w:color="auto" w:fill="auto"/>
            <w:noWrap/>
            <w:vAlign w:val="bottom"/>
            <w:hideMark/>
          </w:tcPr>
          <w:p w:rsidR="00B43D13" w:rsidRPr="00E97254" w:rsidRDefault="00FA5606" w:rsidP="000C0250">
            <w:pPr>
              <w:spacing w:after="0"/>
              <w:rPr>
                <w:rFonts w:eastAsia="Times New Roman" w:cstheme="minorHAnsi"/>
                <w:sz w:val="20"/>
                <w:szCs w:val="20"/>
              </w:rPr>
            </w:pPr>
            <w:r w:rsidRPr="00FA5606">
              <w:rPr>
                <w:rFonts w:eastAsia="Times New Roman" w:cstheme="minorHAnsi"/>
                <w:sz w:val="20"/>
                <w:szCs w:val="20"/>
              </w:rPr>
              <w:lastRenderedPageBreak/>
              <w:t>Shërbime</w:t>
            </w:r>
          </w:p>
        </w:tc>
        <w:tc>
          <w:tcPr>
            <w:tcW w:w="960" w:type="dxa"/>
            <w:tcBorders>
              <w:top w:val="nil"/>
              <w:left w:val="nil"/>
              <w:bottom w:val="nil"/>
              <w:right w:val="nil"/>
            </w:tcBorders>
            <w:shd w:val="clear" w:color="auto" w:fill="auto"/>
            <w:noWrap/>
            <w:vAlign w:val="bottom"/>
            <w:hideMark/>
          </w:tcPr>
          <w:p w:rsidR="00B43D13" w:rsidRPr="00E97254" w:rsidRDefault="00FA5606" w:rsidP="000C0250">
            <w:pPr>
              <w:spacing w:after="0"/>
              <w:jc w:val="right"/>
              <w:rPr>
                <w:rFonts w:eastAsia="Times New Roman" w:cstheme="minorHAnsi"/>
                <w:sz w:val="20"/>
                <w:szCs w:val="20"/>
              </w:rPr>
            </w:pPr>
            <w:r w:rsidRPr="00FA5606">
              <w:rPr>
                <w:rFonts w:eastAsia="Times New Roman" w:cstheme="minorHAnsi"/>
                <w:sz w:val="20"/>
                <w:szCs w:val="20"/>
              </w:rPr>
              <w:t>2,433</w:t>
            </w:r>
          </w:p>
        </w:tc>
        <w:tc>
          <w:tcPr>
            <w:tcW w:w="960" w:type="dxa"/>
            <w:tcBorders>
              <w:top w:val="nil"/>
              <w:left w:val="nil"/>
              <w:bottom w:val="nil"/>
              <w:right w:val="nil"/>
            </w:tcBorders>
            <w:shd w:val="clear" w:color="auto" w:fill="auto"/>
            <w:noWrap/>
            <w:vAlign w:val="bottom"/>
            <w:hideMark/>
          </w:tcPr>
          <w:p w:rsidR="00B43D13" w:rsidRPr="00E97254" w:rsidRDefault="00FA5606" w:rsidP="000C0250">
            <w:pPr>
              <w:spacing w:after="0"/>
              <w:jc w:val="right"/>
              <w:rPr>
                <w:rFonts w:eastAsia="Times New Roman" w:cstheme="minorHAnsi"/>
                <w:sz w:val="20"/>
                <w:szCs w:val="20"/>
              </w:rPr>
            </w:pPr>
            <w:r w:rsidRPr="00FA5606">
              <w:rPr>
                <w:rFonts w:eastAsia="Times New Roman" w:cstheme="minorHAnsi"/>
                <w:sz w:val="20"/>
                <w:szCs w:val="20"/>
              </w:rPr>
              <w:t>2,306</w:t>
            </w:r>
          </w:p>
        </w:tc>
        <w:tc>
          <w:tcPr>
            <w:tcW w:w="960" w:type="dxa"/>
            <w:tcBorders>
              <w:top w:val="nil"/>
              <w:left w:val="nil"/>
              <w:bottom w:val="nil"/>
              <w:right w:val="nil"/>
            </w:tcBorders>
            <w:shd w:val="clear" w:color="auto" w:fill="auto"/>
            <w:noWrap/>
            <w:vAlign w:val="bottom"/>
            <w:hideMark/>
          </w:tcPr>
          <w:p w:rsidR="00B43D13" w:rsidRPr="00E97254" w:rsidRDefault="00FA5606" w:rsidP="000C0250">
            <w:pPr>
              <w:spacing w:after="0"/>
              <w:jc w:val="right"/>
              <w:rPr>
                <w:rFonts w:eastAsia="Times New Roman" w:cstheme="minorHAnsi"/>
                <w:sz w:val="20"/>
                <w:szCs w:val="20"/>
              </w:rPr>
            </w:pPr>
            <w:r w:rsidRPr="00FA5606">
              <w:rPr>
                <w:rFonts w:eastAsia="Times New Roman" w:cstheme="minorHAnsi"/>
                <w:sz w:val="20"/>
                <w:szCs w:val="20"/>
              </w:rPr>
              <w:t>3,088</w:t>
            </w:r>
          </w:p>
        </w:tc>
        <w:tc>
          <w:tcPr>
            <w:tcW w:w="960" w:type="dxa"/>
            <w:tcBorders>
              <w:top w:val="nil"/>
              <w:left w:val="nil"/>
              <w:bottom w:val="nil"/>
              <w:right w:val="nil"/>
            </w:tcBorders>
            <w:shd w:val="clear" w:color="auto" w:fill="auto"/>
            <w:noWrap/>
            <w:vAlign w:val="bottom"/>
            <w:hideMark/>
          </w:tcPr>
          <w:p w:rsidR="00B43D13" w:rsidRPr="00E97254" w:rsidRDefault="00FA5606" w:rsidP="000C0250">
            <w:pPr>
              <w:spacing w:after="0"/>
              <w:jc w:val="right"/>
              <w:rPr>
                <w:rFonts w:eastAsia="Times New Roman" w:cstheme="minorHAnsi"/>
                <w:sz w:val="20"/>
                <w:szCs w:val="20"/>
              </w:rPr>
            </w:pPr>
            <w:r w:rsidRPr="00FA5606">
              <w:rPr>
                <w:rFonts w:eastAsia="Times New Roman" w:cstheme="minorHAnsi"/>
                <w:sz w:val="20"/>
                <w:szCs w:val="20"/>
              </w:rPr>
              <w:t>4,279</w:t>
            </w:r>
          </w:p>
        </w:tc>
        <w:tc>
          <w:tcPr>
            <w:tcW w:w="960" w:type="dxa"/>
            <w:tcBorders>
              <w:top w:val="nil"/>
              <w:left w:val="nil"/>
              <w:bottom w:val="nil"/>
              <w:right w:val="nil"/>
            </w:tcBorders>
            <w:shd w:val="clear" w:color="auto" w:fill="auto"/>
            <w:noWrap/>
            <w:hideMark/>
          </w:tcPr>
          <w:p w:rsidR="00B43D13" w:rsidRPr="00E97254" w:rsidRDefault="00FA5606" w:rsidP="000C0250">
            <w:pPr>
              <w:spacing w:after="0"/>
              <w:jc w:val="right"/>
              <w:rPr>
                <w:rFonts w:eastAsia="Times New Roman" w:cstheme="minorHAnsi"/>
                <w:sz w:val="20"/>
                <w:szCs w:val="20"/>
              </w:rPr>
            </w:pPr>
            <w:r w:rsidRPr="00FA5606">
              <w:rPr>
                <w:sz w:val="20"/>
              </w:rPr>
              <w:t>4,559</w:t>
            </w:r>
          </w:p>
        </w:tc>
      </w:tr>
      <w:tr w:rsidR="00B43D13" w:rsidRPr="00E97254" w:rsidTr="003C5AA8">
        <w:trPr>
          <w:trHeight w:val="240"/>
        </w:trPr>
        <w:tc>
          <w:tcPr>
            <w:tcW w:w="3820" w:type="dxa"/>
            <w:tcBorders>
              <w:top w:val="nil"/>
              <w:left w:val="nil"/>
              <w:bottom w:val="single" w:sz="4" w:space="0" w:color="auto"/>
              <w:right w:val="nil"/>
            </w:tcBorders>
            <w:shd w:val="clear" w:color="auto" w:fill="auto"/>
            <w:noWrap/>
            <w:vAlign w:val="bottom"/>
            <w:hideMark/>
          </w:tcPr>
          <w:p w:rsidR="00B43D13" w:rsidRPr="00E97254" w:rsidRDefault="00FA5606" w:rsidP="000C0250">
            <w:pPr>
              <w:spacing w:after="0"/>
              <w:jc w:val="both"/>
              <w:rPr>
                <w:rFonts w:eastAsia="Times New Roman" w:cstheme="minorHAnsi"/>
                <w:b/>
                <w:sz w:val="20"/>
                <w:szCs w:val="20"/>
              </w:rPr>
            </w:pPr>
            <w:r w:rsidRPr="00FA5606">
              <w:rPr>
                <w:rFonts w:eastAsia="Times New Roman" w:cstheme="minorHAnsi"/>
                <w:b/>
                <w:sz w:val="20"/>
                <w:szCs w:val="20"/>
              </w:rPr>
              <w:t>Gjithsej</w:t>
            </w:r>
          </w:p>
        </w:tc>
        <w:tc>
          <w:tcPr>
            <w:tcW w:w="960" w:type="dxa"/>
            <w:tcBorders>
              <w:top w:val="nil"/>
              <w:left w:val="nil"/>
              <w:bottom w:val="single" w:sz="4" w:space="0" w:color="auto"/>
              <w:right w:val="nil"/>
            </w:tcBorders>
            <w:shd w:val="clear" w:color="auto" w:fill="auto"/>
            <w:noWrap/>
            <w:vAlign w:val="bottom"/>
            <w:hideMark/>
          </w:tcPr>
          <w:p w:rsidR="00B43D13" w:rsidRPr="00E97254" w:rsidRDefault="00FA5606" w:rsidP="000C0250">
            <w:pPr>
              <w:spacing w:after="0"/>
              <w:jc w:val="right"/>
              <w:rPr>
                <w:rFonts w:eastAsia="Times New Roman" w:cstheme="minorHAnsi"/>
                <w:b/>
                <w:sz w:val="20"/>
                <w:szCs w:val="20"/>
              </w:rPr>
            </w:pPr>
            <w:r w:rsidRPr="00FA5606">
              <w:rPr>
                <w:rFonts w:eastAsia="Times New Roman" w:cstheme="minorHAnsi"/>
                <w:b/>
                <w:sz w:val="20"/>
                <w:szCs w:val="20"/>
              </w:rPr>
              <w:t>148,277</w:t>
            </w:r>
          </w:p>
        </w:tc>
        <w:tc>
          <w:tcPr>
            <w:tcW w:w="960" w:type="dxa"/>
            <w:tcBorders>
              <w:top w:val="nil"/>
              <w:left w:val="nil"/>
              <w:bottom w:val="single" w:sz="4" w:space="0" w:color="auto"/>
              <w:right w:val="nil"/>
            </w:tcBorders>
            <w:shd w:val="clear" w:color="auto" w:fill="auto"/>
            <w:noWrap/>
            <w:vAlign w:val="bottom"/>
            <w:hideMark/>
          </w:tcPr>
          <w:p w:rsidR="00B43D13" w:rsidRPr="00E97254" w:rsidRDefault="00FA5606" w:rsidP="000C0250">
            <w:pPr>
              <w:spacing w:after="0"/>
              <w:jc w:val="right"/>
              <w:rPr>
                <w:rFonts w:eastAsia="Times New Roman" w:cstheme="minorHAnsi"/>
                <w:b/>
                <w:sz w:val="20"/>
                <w:szCs w:val="20"/>
              </w:rPr>
            </w:pPr>
            <w:r w:rsidRPr="00FA5606">
              <w:rPr>
                <w:rFonts w:eastAsia="Times New Roman" w:cstheme="minorHAnsi"/>
                <w:b/>
                <w:sz w:val="20"/>
                <w:szCs w:val="20"/>
              </w:rPr>
              <w:t>141,410</w:t>
            </w:r>
          </w:p>
        </w:tc>
        <w:tc>
          <w:tcPr>
            <w:tcW w:w="960" w:type="dxa"/>
            <w:tcBorders>
              <w:top w:val="nil"/>
              <w:left w:val="nil"/>
              <w:bottom w:val="single" w:sz="4" w:space="0" w:color="auto"/>
              <w:right w:val="nil"/>
            </w:tcBorders>
            <w:shd w:val="clear" w:color="auto" w:fill="auto"/>
            <w:noWrap/>
            <w:vAlign w:val="bottom"/>
            <w:hideMark/>
          </w:tcPr>
          <w:p w:rsidR="00B43D13" w:rsidRPr="00E97254" w:rsidRDefault="00FA5606" w:rsidP="000C0250">
            <w:pPr>
              <w:spacing w:after="0"/>
              <w:jc w:val="right"/>
              <w:rPr>
                <w:rFonts w:eastAsia="Times New Roman" w:cstheme="minorHAnsi"/>
                <w:b/>
                <w:sz w:val="20"/>
                <w:szCs w:val="20"/>
              </w:rPr>
            </w:pPr>
            <w:r w:rsidRPr="00FA5606">
              <w:rPr>
                <w:rFonts w:eastAsia="Times New Roman" w:cstheme="minorHAnsi"/>
                <w:b/>
                <w:sz w:val="20"/>
                <w:szCs w:val="20"/>
              </w:rPr>
              <w:t>131,833</w:t>
            </w:r>
          </w:p>
        </w:tc>
        <w:tc>
          <w:tcPr>
            <w:tcW w:w="960" w:type="dxa"/>
            <w:tcBorders>
              <w:top w:val="nil"/>
              <w:left w:val="nil"/>
              <w:bottom w:val="single" w:sz="4" w:space="0" w:color="auto"/>
              <w:right w:val="nil"/>
            </w:tcBorders>
            <w:shd w:val="clear" w:color="auto" w:fill="auto"/>
            <w:noWrap/>
            <w:vAlign w:val="bottom"/>
            <w:hideMark/>
          </w:tcPr>
          <w:p w:rsidR="00B43D13" w:rsidRPr="00E97254" w:rsidRDefault="00FA5606" w:rsidP="000C0250">
            <w:pPr>
              <w:spacing w:after="0"/>
              <w:jc w:val="right"/>
              <w:rPr>
                <w:rFonts w:eastAsia="Times New Roman" w:cstheme="minorHAnsi"/>
                <w:b/>
                <w:sz w:val="20"/>
                <w:szCs w:val="20"/>
              </w:rPr>
            </w:pPr>
            <w:r w:rsidRPr="00FA5606">
              <w:rPr>
                <w:rFonts w:eastAsia="Times New Roman" w:cstheme="minorHAnsi"/>
                <w:b/>
                <w:sz w:val="20"/>
                <w:szCs w:val="20"/>
              </w:rPr>
              <w:t>139,043</w:t>
            </w:r>
          </w:p>
        </w:tc>
        <w:tc>
          <w:tcPr>
            <w:tcW w:w="960" w:type="dxa"/>
            <w:tcBorders>
              <w:top w:val="nil"/>
              <w:left w:val="nil"/>
              <w:bottom w:val="single" w:sz="4" w:space="0" w:color="auto"/>
              <w:right w:val="nil"/>
            </w:tcBorders>
            <w:shd w:val="clear" w:color="auto" w:fill="auto"/>
            <w:noWrap/>
            <w:vAlign w:val="bottom"/>
            <w:hideMark/>
          </w:tcPr>
          <w:p w:rsidR="00B43D13" w:rsidRPr="00E97254" w:rsidRDefault="00FA5606" w:rsidP="000C0250">
            <w:pPr>
              <w:spacing w:after="0"/>
              <w:jc w:val="right"/>
              <w:rPr>
                <w:rFonts w:eastAsia="Times New Roman" w:cstheme="minorHAnsi"/>
                <w:b/>
                <w:sz w:val="20"/>
                <w:szCs w:val="20"/>
              </w:rPr>
            </w:pPr>
            <w:r w:rsidRPr="00FA5606">
              <w:rPr>
                <w:rFonts w:eastAsia="Times New Roman" w:cstheme="minorHAnsi"/>
                <w:b/>
                <w:sz w:val="20"/>
                <w:szCs w:val="20"/>
              </w:rPr>
              <w:t>130,264</w:t>
            </w:r>
          </w:p>
        </w:tc>
      </w:tr>
    </w:tbl>
    <w:p w:rsidR="006C7360" w:rsidRPr="00E97254" w:rsidRDefault="00FA5606" w:rsidP="000C0250">
      <w:pPr>
        <w:autoSpaceDE w:val="0"/>
        <w:autoSpaceDN w:val="0"/>
        <w:adjustRightInd w:val="0"/>
        <w:spacing w:before="120" w:after="0"/>
        <w:jc w:val="both"/>
        <w:rPr>
          <w:rFonts w:ascii="Calibri" w:hAnsi="Calibri" w:cs="Calibri"/>
        </w:rPr>
      </w:pPr>
      <w:r w:rsidRPr="00FA5606">
        <w:rPr>
          <w:rFonts w:ascii="Calibri" w:hAnsi="Calibri" w:cs="Calibri"/>
        </w:rPr>
        <w:t xml:space="preserve">Kurrikulat nuk u janë përshtatur me shpejtësi ndryshimeve socio-ekonomike dhe zhvillimeve të tregut. për pasojë, ato nuk kanë qenë gjithmonë efektive. Ka pasur mungesë të një politike të zhvillimit të kurrikulave me synimin për t’i bazuar ato në kompetenca ose rezultate të të nxënit, si dhe për t’i orientuar të rinjtë sa më mirë drejt tregut të punës. Në fakt, Shqipëria, krahas Qipros dhe Bjellorusisë, është një nga tre vendet anëtare të Procesit të Bolonjës që nuk aplikon qasjen e bazuar në rezultate të të nxënit në arsimin e lartë, ndërkohë që në shumicën e vendeve anëtare të Procesit mbi 50% e programeve të studimit ndërtohen mbi rezultatet e të nxënit </w:t>
      </w:r>
      <w:sdt>
        <w:sdtPr>
          <w:rPr>
            <w:rFonts w:ascii="Calibri" w:hAnsi="Calibri" w:cs="Calibri"/>
          </w:rPr>
          <w:id w:val="590902128"/>
          <w:citation/>
        </w:sdtPr>
        <w:sdtEndPr/>
        <w:sdtContent>
          <w:r w:rsidR="00EC56B7" w:rsidRPr="00E97254">
            <w:rPr>
              <w:rFonts w:ascii="Calibri" w:hAnsi="Calibri" w:cs="Calibri"/>
            </w:rPr>
            <w:fldChar w:fldCharType="begin"/>
          </w:r>
          <w:r w:rsidRPr="00FA5606">
            <w:rPr>
              <w:rFonts w:ascii="Calibri" w:hAnsi="Calibri" w:cs="Calibri"/>
            </w:rPr>
            <w:instrText xml:space="preserve"> CITATION Eur1801 \l 1033 </w:instrText>
          </w:r>
          <w:r w:rsidR="00EC56B7" w:rsidRPr="00E97254">
            <w:rPr>
              <w:rFonts w:ascii="Calibri" w:hAnsi="Calibri" w:cs="Calibri"/>
            </w:rPr>
            <w:fldChar w:fldCharType="separate"/>
          </w:r>
          <w:r w:rsidR="00724BCC" w:rsidRPr="00E97254">
            <w:rPr>
              <w:rFonts w:ascii="Calibri" w:hAnsi="Calibri" w:cs="Calibri"/>
            </w:rPr>
            <w:t>[68]</w:t>
          </w:r>
          <w:r w:rsidR="00EC56B7" w:rsidRPr="00E97254">
            <w:rPr>
              <w:rFonts w:ascii="Calibri" w:hAnsi="Calibri" w:cs="Calibri"/>
            </w:rPr>
            <w:fldChar w:fldCharType="end"/>
          </w:r>
        </w:sdtContent>
      </w:sdt>
      <w:r w:rsidR="00174D5E" w:rsidRPr="00E97254">
        <w:rPr>
          <w:rFonts w:ascii="Calibri" w:hAnsi="Calibri" w:cs="Calibri"/>
        </w:rPr>
        <w:t xml:space="preserve">. </w:t>
      </w:r>
    </w:p>
    <w:p w:rsidR="00565BD3" w:rsidRPr="00E97254" w:rsidRDefault="00565BD3" w:rsidP="000C0250">
      <w:pPr>
        <w:autoSpaceDE w:val="0"/>
        <w:autoSpaceDN w:val="0"/>
        <w:adjustRightInd w:val="0"/>
        <w:spacing w:after="0"/>
        <w:jc w:val="both"/>
        <w:rPr>
          <w:rFonts w:ascii="Calibri" w:hAnsi="Calibri" w:cs="Calibri"/>
        </w:rPr>
      </w:pPr>
      <w:r w:rsidRPr="00E97254">
        <w:rPr>
          <w:rFonts w:ascii="Calibri" w:hAnsi="Calibri" w:cs="Calibri"/>
        </w:rPr>
        <w:t xml:space="preserve">Hendeku teori-praktikë në formimin e studentëve është një tjetër </w:t>
      </w:r>
      <w:r w:rsidR="00FA5606" w:rsidRPr="00FA5606">
        <w:rPr>
          <w:rFonts w:ascii="Calibri" w:hAnsi="Calibri" w:cs="Calibri"/>
        </w:rPr>
        <w:t xml:space="preserve">problematikë që krijon vështirësi për përfshirjen e tyre në tregun e punës. Organizimi i praktikave të studentëve </w:t>
      </w:r>
      <w:r w:rsidR="00A50A43">
        <w:rPr>
          <w:rFonts w:ascii="Calibri" w:hAnsi="Calibri" w:cs="Calibri"/>
        </w:rPr>
        <w:t>nëpërmjet</w:t>
      </w:r>
      <w:r w:rsidR="00FA5606" w:rsidRPr="00FA5606">
        <w:rPr>
          <w:rFonts w:ascii="Calibri" w:hAnsi="Calibri" w:cs="Calibri"/>
        </w:rPr>
        <w:t xml:space="preserve"> marrëveshjeve të formalizuara që institucionet të arsimit të lartë zhvillojnë m</w:t>
      </w:r>
      <w:r w:rsidR="00F87048">
        <w:rPr>
          <w:rFonts w:ascii="Calibri" w:hAnsi="Calibri" w:cs="Calibri"/>
        </w:rPr>
        <w:t>e</w:t>
      </w:r>
      <w:r w:rsidR="00FA5606" w:rsidRPr="00FA5606">
        <w:rPr>
          <w:rFonts w:ascii="Calibri" w:hAnsi="Calibri" w:cs="Calibri"/>
        </w:rPr>
        <w:t xml:space="preserve"> institucionet publike, agjencitë, bizneset dhe kompanitë private, si dhe zhvillimi i më shumë programeve ndërdisiplinore të studimit, është garanci për një ndërlidhje më të mirë të programeve të studimit me nevojat e shoqërisë, ekonominë dhe kërkesat e tregut të punës.</w:t>
      </w:r>
    </w:p>
    <w:p w:rsidR="004C1C67" w:rsidRPr="00E97254" w:rsidRDefault="00FA5606" w:rsidP="000C0250">
      <w:pPr>
        <w:autoSpaceDE w:val="0"/>
        <w:autoSpaceDN w:val="0"/>
        <w:adjustRightInd w:val="0"/>
        <w:spacing w:after="0"/>
        <w:jc w:val="both"/>
        <w:rPr>
          <w:rFonts w:ascii="Calibri" w:hAnsi="Calibri" w:cs="Calibri"/>
          <w:spacing w:val="-3"/>
        </w:rPr>
      </w:pPr>
      <w:r w:rsidRPr="00FA5606">
        <w:rPr>
          <w:rFonts w:ascii="Calibri" w:hAnsi="Calibri" w:cs="Calibri"/>
        </w:rPr>
        <w:t xml:space="preserve">Platforma </w:t>
      </w:r>
      <w:hyperlink r:id="rId23" w:tgtFrame="_blank" w:history="1">
        <w:r w:rsidR="004C1C67" w:rsidRPr="00E97254">
          <w:rPr>
            <w:rStyle w:val="Strong"/>
            <w:rFonts w:ascii="Calibri" w:hAnsi="Calibri" w:cs="Calibri"/>
            <w:b w:val="0"/>
            <w:u w:val="single"/>
          </w:rPr>
          <w:t>punetembare.al</w:t>
        </w:r>
      </w:hyperlink>
      <w:r w:rsidR="004C1C67" w:rsidRPr="00E97254">
        <w:rPr>
          <w:rFonts w:ascii="Calibri" w:hAnsi="Calibri" w:cs="Calibri"/>
        </w:rPr>
        <w:t xml:space="preserve"> është e dedikuar posaçërisht dhe tërësisht </w:t>
      </w:r>
      <w:r w:rsidR="00F87048">
        <w:rPr>
          <w:rFonts w:ascii="Calibri" w:hAnsi="Calibri" w:cs="Calibri"/>
        </w:rPr>
        <w:t xml:space="preserve">ndaj </w:t>
      </w:r>
      <w:r w:rsidR="004C1C67" w:rsidRPr="00E97254">
        <w:rPr>
          <w:rFonts w:ascii="Calibri" w:hAnsi="Calibri" w:cs="Calibri"/>
        </w:rPr>
        <w:t xml:space="preserve">punësimit </w:t>
      </w:r>
      <w:r w:rsidR="004C1C67" w:rsidRPr="00E97254">
        <w:rPr>
          <w:rFonts w:ascii="Calibri" w:hAnsi="Calibri" w:cs="Calibri"/>
          <w:spacing w:val="-3"/>
        </w:rPr>
        <w:t>të studentëve të ekselencës në administratë. Mundësi punësimi janë ofruar për studentët e ekselencës të diplomuar brenda dhe jashtë vendit, duke filluar nga viti 2017 e në vijim, të cilët ishin në kërkim të një eksperience në administratën publike. Të rinjtë duhet të kishin mbaruar minimali</w:t>
      </w:r>
      <w:r w:rsidRPr="00FA5606">
        <w:rPr>
          <w:rFonts w:ascii="Calibri" w:hAnsi="Calibri" w:cs="Calibri"/>
          <w:spacing w:val="-3"/>
        </w:rPr>
        <w:t>sht ciklin e parë të studimeve Bachelor dhe/ose master profesional/shkencor me mesatare 9-10 (ose të barasvlershme me to) në secilin prej cikleve të studimit. </w:t>
      </w:r>
    </w:p>
    <w:p w:rsidR="004C1C67" w:rsidRPr="00E97254" w:rsidRDefault="00FA5606" w:rsidP="000C0250">
      <w:pPr>
        <w:autoSpaceDE w:val="0"/>
        <w:autoSpaceDN w:val="0"/>
        <w:adjustRightInd w:val="0"/>
        <w:spacing w:after="0"/>
        <w:jc w:val="both"/>
        <w:rPr>
          <w:rFonts w:cstheme="minorHAnsi"/>
          <w:spacing w:val="-3"/>
        </w:rPr>
      </w:pPr>
      <w:r w:rsidRPr="00FA5606">
        <w:rPr>
          <w:rFonts w:cstheme="minorHAnsi"/>
          <w:spacing w:val="-3"/>
        </w:rPr>
        <w:t>Përveç praktikës së ofruar nga fakultetet ku studentët kanë kryer studimet</w:t>
      </w:r>
      <w:r w:rsidRPr="00FA5606">
        <w:rPr>
          <w:rFonts w:cs="Calibri"/>
          <w:spacing w:val="-3"/>
        </w:rPr>
        <w:t>,</w:t>
      </w:r>
      <w:r w:rsidRPr="00FA5606">
        <w:rPr>
          <w:rFonts w:cstheme="minorHAnsi"/>
          <w:spacing w:val="-3"/>
        </w:rPr>
        <w:t xml:space="preserve"> student</w:t>
      </w:r>
      <w:r w:rsidR="00F87048" w:rsidRPr="004E1F53">
        <w:rPr>
          <w:rFonts w:eastAsia="Garamond" w:cstheme="minorHAnsi"/>
          <w:spacing w:val="-2"/>
        </w:rPr>
        <w:t>ë</w:t>
      </w:r>
      <w:r w:rsidRPr="00FA5606">
        <w:rPr>
          <w:rFonts w:cstheme="minorHAnsi"/>
          <w:spacing w:val="-3"/>
        </w:rPr>
        <w:t>ve dhe profesionist</w:t>
      </w:r>
      <w:r w:rsidR="00F87048" w:rsidRPr="004E1F53">
        <w:rPr>
          <w:rFonts w:eastAsia="Garamond" w:cstheme="minorHAnsi"/>
          <w:spacing w:val="-2"/>
        </w:rPr>
        <w:t>ë</w:t>
      </w:r>
      <w:r w:rsidRPr="00FA5606">
        <w:rPr>
          <w:rFonts w:cstheme="minorHAnsi"/>
          <w:spacing w:val="-3"/>
        </w:rPr>
        <w:t xml:space="preserve">ve të rinj deri në moshën 26 vjeçare u mundësohet pjesëmarrja në </w:t>
      </w:r>
      <w:r w:rsidRPr="00FA5606">
        <w:rPr>
          <w:rFonts w:eastAsia="Garamond" w:cstheme="minorHAnsi"/>
          <w:spacing w:val="-3"/>
        </w:rPr>
        <w:t>P</w:t>
      </w:r>
      <w:r w:rsidRPr="00FA5606">
        <w:rPr>
          <w:rFonts w:eastAsia="Garamond" w:cstheme="minorHAnsi"/>
          <w:spacing w:val="-6"/>
        </w:rPr>
        <w:t>r</w:t>
      </w:r>
      <w:r w:rsidRPr="00FA5606">
        <w:rPr>
          <w:rFonts w:eastAsia="Garamond" w:cstheme="minorHAnsi"/>
          <w:spacing w:val="-5"/>
        </w:rPr>
        <w:t>o</w:t>
      </w:r>
      <w:r w:rsidRPr="00FA5606">
        <w:rPr>
          <w:rFonts w:eastAsia="Garamond" w:cstheme="minorHAnsi"/>
          <w:spacing w:val="-2"/>
        </w:rPr>
        <w:t>g</w:t>
      </w:r>
      <w:r w:rsidRPr="00FA5606">
        <w:rPr>
          <w:rFonts w:eastAsia="Garamond" w:cstheme="minorHAnsi"/>
          <w:spacing w:val="-6"/>
        </w:rPr>
        <w:t>r</w:t>
      </w:r>
      <w:r w:rsidRPr="00FA5606">
        <w:rPr>
          <w:rFonts w:eastAsia="Garamond" w:cstheme="minorHAnsi"/>
          <w:spacing w:val="-4"/>
        </w:rPr>
        <w:t>a</w:t>
      </w:r>
      <w:r w:rsidRPr="00FA5606">
        <w:rPr>
          <w:rFonts w:eastAsia="Garamond" w:cstheme="minorHAnsi"/>
          <w:spacing w:val="-5"/>
        </w:rPr>
        <w:t>m</w:t>
      </w:r>
      <w:r w:rsidRPr="00FA5606">
        <w:rPr>
          <w:rFonts w:eastAsia="Garamond" w:cstheme="minorHAnsi"/>
          <w:spacing w:val="-2"/>
        </w:rPr>
        <w:t>in</w:t>
      </w:r>
      <w:r w:rsidRPr="00FA5606">
        <w:rPr>
          <w:rFonts w:eastAsia="Garamond" w:cstheme="minorHAnsi"/>
          <w:spacing w:val="3"/>
        </w:rPr>
        <w:t xml:space="preserve"> </w:t>
      </w:r>
      <w:r w:rsidRPr="00FA5606">
        <w:rPr>
          <w:rFonts w:eastAsia="Garamond" w:cstheme="minorHAnsi"/>
          <w:spacing w:val="-5"/>
        </w:rPr>
        <w:t>Komb</w:t>
      </w:r>
      <w:r w:rsidRPr="00FA5606">
        <w:rPr>
          <w:rFonts w:eastAsia="Garamond" w:cstheme="minorHAnsi"/>
          <w:spacing w:val="-2"/>
        </w:rPr>
        <w:t>ë</w:t>
      </w:r>
      <w:r w:rsidRPr="00FA5606">
        <w:rPr>
          <w:rFonts w:eastAsia="Garamond" w:cstheme="minorHAnsi"/>
          <w:spacing w:val="-5"/>
        </w:rPr>
        <w:t>t</w:t>
      </w:r>
      <w:r w:rsidRPr="00FA5606">
        <w:rPr>
          <w:rFonts w:eastAsia="Garamond" w:cstheme="minorHAnsi"/>
          <w:spacing w:val="-1"/>
        </w:rPr>
        <w:t>a</w:t>
      </w:r>
      <w:r w:rsidRPr="00FA5606">
        <w:rPr>
          <w:rFonts w:eastAsia="Garamond" w:cstheme="minorHAnsi"/>
        </w:rPr>
        <w:t xml:space="preserve">r </w:t>
      </w:r>
      <w:r w:rsidRPr="00FA5606">
        <w:rPr>
          <w:rFonts w:eastAsia="Garamond" w:cstheme="minorHAnsi"/>
          <w:spacing w:val="-5"/>
        </w:rPr>
        <w:t>t</w:t>
      </w:r>
      <w:r w:rsidR="00F87048" w:rsidRPr="004E1F53">
        <w:rPr>
          <w:rFonts w:eastAsia="Garamond" w:cstheme="minorHAnsi"/>
          <w:spacing w:val="-2"/>
        </w:rPr>
        <w:t>ë</w:t>
      </w:r>
      <w:r w:rsidRPr="00FA5606">
        <w:rPr>
          <w:rFonts w:eastAsia="Garamond" w:cstheme="minorHAnsi"/>
          <w:spacing w:val="4"/>
        </w:rPr>
        <w:t xml:space="preserve"> </w:t>
      </w:r>
      <w:r w:rsidRPr="00FA5606">
        <w:rPr>
          <w:rFonts w:eastAsia="Garamond" w:cstheme="minorHAnsi"/>
          <w:spacing w:val="-3"/>
        </w:rPr>
        <w:t>P</w:t>
      </w:r>
      <w:r w:rsidRPr="00FA5606">
        <w:rPr>
          <w:rFonts w:eastAsia="Garamond" w:cstheme="minorHAnsi"/>
          <w:spacing w:val="-6"/>
        </w:rPr>
        <w:t>r</w:t>
      </w:r>
      <w:r w:rsidRPr="00FA5606">
        <w:rPr>
          <w:rFonts w:eastAsia="Garamond" w:cstheme="minorHAnsi"/>
          <w:spacing w:val="-4"/>
        </w:rPr>
        <w:t>a</w:t>
      </w:r>
      <w:r w:rsidRPr="00FA5606">
        <w:rPr>
          <w:rFonts w:eastAsia="Garamond" w:cstheme="minorHAnsi"/>
          <w:spacing w:val="-5"/>
        </w:rPr>
        <w:t>k</w:t>
      </w:r>
      <w:r w:rsidRPr="00FA5606">
        <w:rPr>
          <w:rFonts w:eastAsia="Garamond" w:cstheme="minorHAnsi"/>
          <w:spacing w:val="-3"/>
        </w:rPr>
        <w:t>t</w:t>
      </w:r>
      <w:r w:rsidRPr="00FA5606">
        <w:rPr>
          <w:rFonts w:eastAsia="Garamond" w:cstheme="minorHAnsi"/>
          <w:spacing w:val="-5"/>
        </w:rPr>
        <w:t>ik</w:t>
      </w:r>
      <w:r w:rsidRPr="00FA5606">
        <w:rPr>
          <w:rFonts w:eastAsia="Garamond" w:cstheme="minorHAnsi"/>
          <w:spacing w:val="-4"/>
        </w:rPr>
        <w:t>a</w:t>
      </w:r>
      <w:r w:rsidRPr="00FA5606">
        <w:rPr>
          <w:rFonts w:eastAsia="Garamond" w:cstheme="minorHAnsi"/>
          <w:spacing w:val="-5"/>
        </w:rPr>
        <w:t>v</w:t>
      </w:r>
      <w:r w:rsidRPr="00FA5606">
        <w:rPr>
          <w:rFonts w:eastAsia="Garamond" w:cstheme="minorHAnsi"/>
        </w:rPr>
        <w:t>e</w:t>
      </w:r>
      <w:r w:rsidRPr="00FA5606">
        <w:rPr>
          <w:rFonts w:eastAsia="Garamond" w:cstheme="minorHAnsi"/>
          <w:spacing w:val="4"/>
        </w:rPr>
        <w:t xml:space="preserve"> </w:t>
      </w:r>
      <w:r w:rsidRPr="00FA5606">
        <w:rPr>
          <w:rFonts w:eastAsia="Garamond" w:cstheme="minorHAnsi"/>
          <w:spacing w:val="-3"/>
        </w:rPr>
        <w:t>t</w:t>
      </w:r>
      <w:r w:rsidRPr="00FA5606">
        <w:rPr>
          <w:rFonts w:eastAsia="Garamond" w:cstheme="minorHAnsi"/>
        </w:rPr>
        <w:t>ë</w:t>
      </w:r>
      <w:r w:rsidRPr="00FA5606">
        <w:rPr>
          <w:rFonts w:eastAsia="Garamond" w:cstheme="minorHAnsi"/>
          <w:spacing w:val="2"/>
        </w:rPr>
        <w:t xml:space="preserve"> </w:t>
      </w:r>
      <w:r w:rsidRPr="00FA5606">
        <w:rPr>
          <w:rFonts w:eastAsia="Garamond" w:cstheme="minorHAnsi"/>
          <w:spacing w:val="-5"/>
        </w:rPr>
        <w:t>Pun</w:t>
      </w:r>
      <w:r w:rsidRPr="00FA5606">
        <w:rPr>
          <w:rFonts w:eastAsia="Garamond" w:cstheme="minorHAnsi"/>
          <w:spacing w:val="-2"/>
        </w:rPr>
        <w:t>ë</w:t>
      </w:r>
      <w:r w:rsidRPr="00FA5606">
        <w:rPr>
          <w:rFonts w:eastAsia="Garamond" w:cstheme="minorHAnsi"/>
        </w:rPr>
        <w:t xml:space="preserve">s </w:t>
      </w:r>
      <w:sdt>
        <w:sdtPr>
          <w:rPr>
            <w:rFonts w:eastAsia="Garamond" w:cstheme="minorHAnsi"/>
          </w:rPr>
          <w:id w:val="-11763383"/>
          <w:citation/>
        </w:sdtPr>
        <w:sdtEndPr/>
        <w:sdtContent>
          <w:r w:rsidR="00EC56B7" w:rsidRPr="00E97254">
            <w:rPr>
              <w:rFonts w:eastAsia="Garamond" w:cstheme="minorHAnsi"/>
            </w:rPr>
            <w:fldChar w:fldCharType="begin"/>
          </w:r>
          <w:r w:rsidRPr="00FA5606">
            <w:rPr>
              <w:rFonts w:eastAsia="Garamond" w:cstheme="minorHAnsi"/>
            </w:rPr>
            <w:instrText xml:space="preserve"> CITATION Kës152 \l 1033 </w:instrText>
          </w:r>
          <w:r w:rsidR="00EC56B7" w:rsidRPr="00E97254">
            <w:rPr>
              <w:rFonts w:eastAsia="Garamond" w:cstheme="minorHAnsi"/>
            </w:rPr>
            <w:fldChar w:fldCharType="separate"/>
          </w:r>
          <w:r w:rsidR="00724BCC" w:rsidRPr="00E97254">
            <w:rPr>
              <w:rFonts w:eastAsia="Garamond" w:cstheme="minorHAnsi"/>
            </w:rPr>
            <w:t>[69]</w:t>
          </w:r>
          <w:r w:rsidR="00EC56B7" w:rsidRPr="00E97254">
            <w:rPr>
              <w:rFonts w:eastAsia="Garamond" w:cstheme="minorHAnsi"/>
            </w:rPr>
            <w:fldChar w:fldCharType="end"/>
          </w:r>
        </w:sdtContent>
      </w:sdt>
      <w:r w:rsidR="004C1C67" w:rsidRPr="00E97254">
        <w:rPr>
          <w:rFonts w:eastAsia="Garamond" w:cstheme="minorHAnsi"/>
          <w:spacing w:val="2"/>
        </w:rPr>
        <w:t xml:space="preserve"> </w:t>
      </w:r>
      <w:r w:rsidR="004C1C67" w:rsidRPr="00E97254">
        <w:rPr>
          <w:rFonts w:eastAsia="Garamond" w:cstheme="minorHAnsi"/>
          <w:spacing w:val="-5"/>
        </w:rPr>
        <w:t>n</w:t>
      </w:r>
      <w:r w:rsidR="004C1C67" w:rsidRPr="00E97254">
        <w:rPr>
          <w:rFonts w:eastAsia="Garamond" w:cstheme="minorHAnsi"/>
        </w:rPr>
        <w:t>ë</w:t>
      </w:r>
      <w:r w:rsidR="004C1C67" w:rsidRPr="00E97254">
        <w:rPr>
          <w:rFonts w:eastAsia="Garamond" w:cstheme="minorHAnsi"/>
          <w:spacing w:val="2"/>
        </w:rPr>
        <w:t xml:space="preserve"> </w:t>
      </w:r>
      <w:r w:rsidRPr="00FA5606">
        <w:rPr>
          <w:rFonts w:eastAsia="Garamond" w:cstheme="minorHAnsi"/>
          <w:spacing w:val="-4"/>
        </w:rPr>
        <w:t>a</w:t>
      </w:r>
      <w:r w:rsidRPr="00FA5606">
        <w:rPr>
          <w:rFonts w:eastAsia="Garamond" w:cstheme="minorHAnsi"/>
          <w:spacing w:val="-2"/>
        </w:rPr>
        <w:t>d</w:t>
      </w:r>
      <w:r w:rsidRPr="00FA5606">
        <w:rPr>
          <w:rFonts w:eastAsia="Garamond" w:cstheme="minorHAnsi"/>
          <w:spacing w:val="-5"/>
        </w:rPr>
        <w:t>mi</w:t>
      </w:r>
      <w:r w:rsidRPr="00FA5606">
        <w:rPr>
          <w:rFonts w:eastAsia="Garamond" w:cstheme="minorHAnsi"/>
          <w:spacing w:val="-2"/>
        </w:rPr>
        <w:t>n</w:t>
      </w:r>
      <w:r w:rsidRPr="00FA5606">
        <w:rPr>
          <w:rFonts w:eastAsia="Garamond" w:cstheme="minorHAnsi"/>
          <w:spacing w:val="-5"/>
        </w:rPr>
        <w:t>i</w:t>
      </w:r>
      <w:r w:rsidRPr="00FA5606">
        <w:rPr>
          <w:rFonts w:eastAsia="Garamond" w:cstheme="minorHAnsi"/>
          <w:spacing w:val="-4"/>
        </w:rPr>
        <w:t>s</w:t>
      </w:r>
      <w:r w:rsidRPr="00FA5606">
        <w:rPr>
          <w:rFonts w:eastAsia="Garamond" w:cstheme="minorHAnsi"/>
          <w:spacing w:val="-3"/>
        </w:rPr>
        <w:t>t</w:t>
      </w:r>
      <w:r w:rsidRPr="00FA5606">
        <w:rPr>
          <w:rFonts w:eastAsia="Garamond" w:cstheme="minorHAnsi"/>
          <w:spacing w:val="-6"/>
        </w:rPr>
        <w:t>r</w:t>
      </w:r>
      <w:r w:rsidRPr="00FA5606">
        <w:rPr>
          <w:rFonts w:eastAsia="Garamond" w:cstheme="minorHAnsi"/>
          <w:spacing w:val="-4"/>
        </w:rPr>
        <w:t>a</w:t>
      </w:r>
      <w:r w:rsidRPr="00FA5606">
        <w:rPr>
          <w:rFonts w:eastAsia="Garamond" w:cstheme="minorHAnsi"/>
          <w:spacing w:val="-5"/>
        </w:rPr>
        <w:t>t</w:t>
      </w:r>
      <w:r w:rsidRPr="00FA5606">
        <w:rPr>
          <w:rFonts w:eastAsia="Garamond" w:cstheme="minorHAnsi"/>
          <w:spacing w:val="-4"/>
        </w:rPr>
        <w:t>ë</w:t>
      </w:r>
      <w:r w:rsidRPr="00FA5606">
        <w:rPr>
          <w:rFonts w:eastAsia="Garamond" w:cstheme="minorHAnsi"/>
        </w:rPr>
        <w:t>n</w:t>
      </w:r>
      <w:r w:rsidRPr="00FA5606">
        <w:rPr>
          <w:rFonts w:eastAsia="Garamond" w:cstheme="minorHAnsi"/>
          <w:spacing w:val="3"/>
        </w:rPr>
        <w:t xml:space="preserve"> </w:t>
      </w:r>
      <w:r w:rsidRPr="00FA5606">
        <w:rPr>
          <w:rFonts w:eastAsia="Garamond" w:cstheme="minorHAnsi"/>
          <w:spacing w:val="-6"/>
        </w:rPr>
        <w:t>s</w:t>
      </w:r>
      <w:r w:rsidRPr="00FA5606">
        <w:rPr>
          <w:rFonts w:eastAsia="Garamond" w:cstheme="minorHAnsi"/>
          <w:spacing w:val="-2"/>
        </w:rPr>
        <w:t>h</w:t>
      </w:r>
      <w:r w:rsidRPr="00FA5606">
        <w:rPr>
          <w:rFonts w:eastAsia="Garamond" w:cstheme="minorHAnsi"/>
          <w:spacing w:val="-5"/>
        </w:rPr>
        <w:t>t</w:t>
      </w:r>
      <w:r w:rsidRPr="00FA5606">
        <w:rPr>
          <w:rFonts w:eastAsia="Garamond" w:cstheme="minorHAnsi"/>
          <w:spacing w:val="-4"/>
        </w:rPr>
        <w:t>e</w:t>
      </w:r>
      <w:r w:rsidRPr="00FA5606">
        <w:rPr>
          <w:rFonts w:eastAsia="Garamond" w:cstheme="minorHAnsi"/>
          <w:spacing w:val="-5"/>
        </w:rPr>
        <w:t>t</w:t>
      </w:r>
      <w:r w:rsidRPr="00FA5606">
        <w:rPr>
          <w:rFonts w:eastAsia="Garamond" w:cstheme="minorHAnsi"/>
          <w:spacing w:val="-2"/>
        </w:rPr>
        <w:t>ë</w:t>
      </w:r>
      <w:r w:rsidRPr="00FA5606">
        <w:rPr>
          <w:rFonts w:eastAsia="Garamond" w:cstheme="minorHAnsi"/>
          <w:spacing w:val="-6"/>
        </w:rPr>
        <w:t>r</w:t>
      </w:r>
      <w:r w:rsidRPr="00FA5606">
        <w:rPr>
          <w:rFonts w:eastAsia="Garamond" w:cstheme="minorHAnsi"/>
          <w:spacing w:val="-2"/>
        </w:rPr>
        <w:t>o</w:t>
      </w:r>
      <w:r w:rsidRPr="00FA5606">
        <w:rPr>
          <w:rFonts w:eastAsia="Garamond" w:cstheme="minorHAnsi"/>
          <w:spacing w:val="-6"/>
        </w:rPr>
        <w:t>r</w:t>
      </w:r>
      <w:r w:rsidRPr="00FA5606">
        <w:rPr>
          <w:rFonts w:eastAsia="Garamond" w:cstheme="minorHAnsi"/>
          <w:spacing w:val="-4"/>
        </w:rPr>
        <w:t>e</w:t>
      </w:r>
      <w:r w:rsidRPr="00FA5606">
        <w:rPr>
          <w:rFonts w:eastAsia="Garamond" w:cstheme="minorHAnsi"/>
        </w:rPr>
        <w:t>,</w:t>
      </w:r>
      <w:r w:rsidRPr="00FA5606">
        <w:rPr>
          <w:rFonts w:eastAsia="Garamond" w:cstheme="minorHAnsi"/>
          <w:spacing w:val="3"/>
        </w:rPr>
        <w:t xml:space="preserve"> </w:t>
      </w:r>
      <w:r w:rsidRPr="00FA5606">
        <w:rPr>
          <w:rFonts w:eastAsia="Garamond" w:cstheme="minorHAnsi"/>
          <w:spacing w:val="-5"/>
        </w:rPr>
        <w:t>n</w:t>
      </w:r>
      <w:r w:rsidRPr="00FA5606">
        <w:rPr>
          <w:rFonts w:eastAsia="Garamond" w:cstheme="minorHAnsi"/>
        </w:rPr>
        <w:t>ë</w:t>
      </w:r>
      <w:r w:rsidRPr="00FA5606">
        <w:rPr>
          <w:rFonts w:eastAsia="Garamond" w:cstheme="minorHAnsi"/>
          <w:spacing w:val="2"/>
        </w:rPr>
        <w:t xml:space="preserve"> </w:t>
      </w:r>
      <w:r w:rsidRPr="00FA5606">
        <w:rPr>
          <w:rFonts w:eastAsia="Garamond" w:cstheme="minorHAnsi"/>
          <w:spacing w:val="-2"/>
        </w:rPr>
        <w:t>n</w:t>
      </w:r>
      <w:r w:rsidRPr="00FA5606">
        <w:rPr>
          <w:rFonts w:eastAsia="Garamond" w:cstheme="minorHAnsi"/>
          <w:spacing w:val="-5"/>
        </w:rPr>
        <w:t>i</w:t>
      </w:r>
      <w:r w:rsidRPr="00FA5606">
        <w:rPr>
          <w:rFonts w:eastAsia="Garamond" w:cstheme="minorHAnsi"/>
          <w:spacing w:val="-4"/>
        </w:rPr>
        <w:t>ve</w:t>
      </w:r>
      <w:r w:rsidRPr="00FA5606">
        <w:rPr>
          <w:rFonts w:eastAsia="Garamond" w:cstheme="minorHAnsi"/>
        </w:rPr>
        <w:t xml:space="preserve">l </w:t>
      </w:r>
      <w:r w:rsidRPr="00FA5606">
        <w:rPr>
          <w:rFonts w:eastAsia="Garamond" w:cstheme="minorHAnsi"/>
          <w:spacing w:val="-5"/>
        </w:rPr>
        <w:t>q</w:t>
      </w:r>
      <w:r w:rsidRPr="00FA5606">
        <w:rPr>
          <w:rFonts w:eastAsia="Garamond" w:cstheme="minorHAnsi"/>
          <w:spacing w:val="-4"/>
        </w:rPr>
        <w:t>e</w:t>
      </w:r>
      <w:r w:rsidRPr="00FA5606">
        <w:rPr>
          <w:rFonts w:eastAsia="Garamond" w:cstheme="minorHAnsi"/>
          <w:spacing w:val="-5"/>
        </w:rPr>
        <w:t>n</w:t>
      </w:r>
      <w:r w:rsidRPr="00FA5606">
        <w:rPr>
          <w:rFonts w:eastAsia="Garamond" w:cstheme="minorHAnsi"/>
          <w:spacing w:val="-2"/>
        </w:rPr>
        <w:t>d</w:t>
      </w:r>
      <w:r w:rsidRPr="00FA5606">
        <w:rPr>
          <w:rFonts w:eastAsia="Garamond" w:cstheme="minorHAnsi"/>
          <w:spacing w:val="-6"/>
        </w:rPr>
        <w:t>r</w:t>
      </w:r>
      <w:r w:rsidRPr="00FA5606">
        <w:rPr>
          <w:rFonts w:eastAsia="Garamond" w:cstheme="minorHAnsi"/>
          <w:spacing w:val="-2"/>
        </w:rPr>
        <w:t>o</w:t>
      </w:r>
      <w:r w:rsidRPr="00FA5606">
        <w:rPr>
          <w:rFonts w:eastAsia="Garamond" w:cstheme="minorHAnsi"/>
        </w:rPr>
        <w:t xml:space="preserve">r </w:t>
      </w:r>
      <w:r w:rsidRPr="00FA5606">
        <w:rPr>
          <w:rFonts w:eastAsia="Garamond" w:cstheme="minorHAnsi"/>
          <w:spacing w:val="-5"/>
        </w:rPr>
        <w:t>dh</w:t>
      </w:r>
      <w:r w:rsidRPr="00FA5606">
        <w:rPr>
          <w:rFonts w:eastAsia="Garamond" w:cstheme="minorHAnsi"/>
        </w:rPr>
        <w:t>e</w:t>
      </w:r>
      <w:r w:rsidRPr="00FA5606">
        <w:rPr>
          <w:rFonts w:eastAsia="Garamond" w:cstheme="minorHAnsi"/>
          <w:spacing w:val="2"/>
        </w:rPr>
        <w:t xml:space="preserve"> </w:t>
      </w:r>
      <w:r w:rsidRPr="00FA5606">
        <w:rPr>
          <w:rFonts w:eastAsia="Garamond" w:cstheme="minorHAnsi"/>
          <w:spacing w:val="-4"/>
        </w:rPr>
        <w:t>v</w:t>
      </w:r>
      <w:r w:rsidRPr="00FA5606">
        <w:rPr>
          <w:rFonts w:eastAsia="Garamond" w:cstheme="minorHAnsi"/>
          <w:spacing w:val="-2"/>
        </w:rPr>
        <w:t>e</w:t>
      </w:r>
      <w:r w:rsidRPr="00FA5606">
        <w:rPr>
          <w:rFonts w:eastAsia="Garamond" w:cstheme="minorHAnsi"/>
          <w:spacing w:val="-5"/>
        </w:rPr>
        <w:t>nd</w:t>
      </w:r>
      <w:r w:rsidRPr="00FA5606">
        <w:rPr>
          <w:rFonts w:eastAsia="Garamond" w:cstheme="minorHAnsi"/>
          <w:spacing w:val="-2"/>
        </w:rPr>
        <w:t>o</w:t>
      </w:r>
      <w:r w:rsidRPr="00FA5606">
        <w:rPr>
          <w:rFonts w:eastAsia="Garamond" w:cstheme="minorHAnsi"/>
          <w:spacing w:val="-6"/>
        </w:rPr>
        <w:t>r</w:t>
      </w:r>
      <w:r w:rsidRPr="00FA5606">
        <w:rPr>
          <w:rFonts w:eastAsia="Garamond" w:cstheme="minorHAnsi"/>
        </w:rPr>
        <w:t>,</w:t>
      </w:r>
      <w:r w:rsidRPr="00FA5606">
        <w:rPr>
          <w:rFonts w:eastAsia="Garamond" w:cstheme="minorHAnsi"/>
          <w:spacing w:val="4"/>
        </w:rPr>
        <w:t xml:space="preserve"> </w:t>
      </w:r>
      <w:r w:rsidRPr="00FA5606">
        <w:rPr>
          <w:rFonts w:eastAsia="Garamond" w:cstheme="minorHAnsi"/>
          <w:spacing w:val="-5"/>
        </w:rPr>
        <w:t>dh</w:t>
      </w:r>
      <w:r w:rsidRPr="00FA5606">
        <w:rPr>
          <w:rFonts w:eastAsia="Garamond" w:cstheme="minorHAnsi"/>
        </w:rPr>
        <w:t>e</w:t>
      </w:r>
      <w:r w:rsidRPr="00FA5606">
        <w:rPr>
          <w:rFonts w:eastAsia="Garamond" w:cstheme="minorHAnsi"/>
          <w:spacing w:val="4"/>
        </w:rPr>
        <w:t xml:space="preserve"> </w:t>
      </w:r>
      <w:r w:rsidRPr="00FA5606">
        <w:rPr>
          <w:rFonts w:eastAsia="Garamond" w:cstheme="minorHAnsi"/>
          <w:spacing w:val="-5"/>
        </w:rPr>
        <w:t>in</w:t>
      </w:r>
      <w:r w:rsidRPr="00FA5606">
        <w:rPr>
          <w:rFonts w:eastAsia="Garamond" w:cstheme="minorHAnsi"/>
          <w:spacing w:val="-4"/>
        </w:rPr>
        <w:t>s</w:t>
      </w:r>
      <w:r w:rsidRPr="00FA5606">
        <w:rPr>
          <w:rFonts w:eastAsia="Garamond" w:cstheme="minorHAnsi"/>
          <w:spacing w:val="-5"/>
        </w:rPr>
        <w:t>ti</w:t>
      </w:r>
      <w:r w:rsidRPr="00FA5606">
        <w:rPr>
          <w:rFonts w:eastAsia="Garamond" w:cstheme="minorHAnsi"/>
          <w:spacing w:val="-3"/>
        </w:rPr>
        <w:t>t</w:t>
      </w:r>
      <w:r w:rsidRPr="00FA5606">
        <w:rPr>
          <w:rFonts w:eastAsia="Garamond" w:cstheme="minorHAnsi"/>
          <w:spacing w:val="-5"/>
        </w:rPr>
        <w:t>u</w:t>
      </w:r>
      <w:r w:rsidRPr="00FA5606">
        <w:rPr>
          <w:rFonts w:eastAsia="Garamond" w:cstheme="minorHAnsi"/>
          <w:spacing w:val="-4"/>
        </w:rPr>
        <w:t>c</w:t>
      </w:r>
      <w:r w:rsidRPr="00FA5606">
        <w:rPr>
          <w:rFonts w:eastAsia="Garamond" w:cstheme="minorHAnsi"/>
          <w:spacing w:val="-5"/>
        </w:rPr>
        <w:t>i</w:t>
      </w:r>
      <w:r w:rsidRPr="00FA5606">
        <w:rPr>
          <w:rFonts w:eastAsia="Garamond" w:cstheme="minorHAnsi"/>
          <w:spacing w:val="-2"/>
        </w:rPr>
        <w:t>o</w:t>
      </w:r>
      <w:r w:rsidRPr="00FA5606">
        <w:rPr>
          <w:rFonts w:eastAsia="Garamond" w:cstheme="minorHAnsi"/>
          <w:spacing w:val="-5"/>
        </w:rPr>
        <w:t>n</w:t>
      </w:r>
      <w:r w:rsidRPr="00FA5606">
        <w:rPr>
          <w:rFonts w:eastAsia="Garamond" w:cstheme="minorHAnsi"/>
          <w:spacing w:val="-4"/>
        </w:rPr>
        <w:t>e</w:t>
      </w:r>
      <w:r w:rsidRPr="00FA5606">
        <w:rPr>
          <w:rFonts w:eastAsia="Garamond" w:cstheme="minorHAnsi"/>
        </w:rPr>
        <w:t>t</w:t>
      </w:r>
      <w:r w:rsidRPr="00FA5606">
        <w:rPr>
          <w:rFonts w:eastAsia="Garamond" w:cstheme="minorHAnsi"/>
          <w:spacing w:val="1"/>
        </w:rPr>
        <w:t xml:space="preserve"> </w:t>
      </w:r>
      <w:r w:rsidRPr="00FA5606">
        <w:rPr>
          <w:rFonts w:eastAsia="Garamond" w:cstheme="minorHAnsi"/>
        </w:rPr>
        <w:t>e</w:t>
      </w:r>
      <w:r w:rsidRPr="00FA5606">
        <w:rPr>
          <w:rFonts w:eastAsia="Garamond" w:cstheme="minorHAnsi"/>
          <w:spacing w:val="2"/>
        </w:rPr>
        <w:t xml:space="preserve"> </w:t>
      </w:r>
      <w:r w:rsidRPr="00FA5606">
        <w:rPr>
          <w:rFonts w:eastAsia="Garamond" w:cstheme="minorHAnsi"/>
          <w:spacing w:val="-3"/>
        </w:rPr>
        <w:t>t</w:t>
      </w:r>
      <w:r w:rsidRPr="00FA5606">
        <w:rPr>
          <w:rFonts w:eastAsia="Garamond" w:cstheme="minorHAnsi"/>
          <w:spacing w:val="-5"/>
        </w:rPr>
        <w:t>j</w:t>
      </w:r>
      <w:r w:rsidRPr="00FA5606">
        <w:rPr>
          <w:rFonts w:eastAsia="Garamond" w:cstheme="minorHAnsi"/>
          <w:spacing w:val="-4"/>
        </w:rPr>
        <w:t>e</w:t>
      </w:r>
      <w:r w:rsidRPr="00FA5606">
        <w:rPr>
          <w:rFonts w:eastAsia="Garamond" w:cstheme="minorHAnsi"/>
          <w:spacing w:val="-6"/>
        </w:rPr>
        <w:t>r</w:t>
      </w:r>
      <w:r w:rsidRPr="00FA5606">
        <w:rPr>
          <w:rFonts w:eastAsia="Garamond" w:cstheme="minorHAnsi"/>
        </w:rPr>
        <w:t>a</w:t>
      </w:r>
      <w:r w:rsidRPr="00FA5606">
        <w:rPr>
          <w:rFonts w:eastAsia="Garamond" w:cstheme="minorHAnsi"/>
          <w:spacing w:val="4"/>
        </w:rPr>
        <w:t xml:space="preserve"> </w:t>
      </w:r>
      <w:r w:rsidRPr="00FA5606">
        <w:rPr>
          <w:rFonts w:eastAsia="Garamond" w:cstheme="minorHAnsi"/>
          <w:spacing w:val="-5"/>
        </w:rPr>
        <w:t>pub</w:t>
      </w:r>
      <w:r w:rsidRPr="00FA5606">
        <w:rPr>
          <w:rFonts w:eastAsia="Garamond" w:cstheme="minorHAnsi"/>
          <w:spacing w:val="-2"/>
        </w:rPr>
        <w:t>l</w:t>
      </w:r>
      <w:r w:rsidRPr="00FA5606">
        <w:rPr>
          <w:rFonts w:eastAsia="Garamond" w:cstheme="minorHAnsi"/>
          <w:spacing w:val="-5"/>
        </w:rPr>
        <w:t>ik</w:t>
      </w:r>
      <w:r w:rsidRPr="00FA5606">
        <w:rPr>
          <w:rFonts w:eastAsia="Garamond" w:cstheme="minorHAnsi"/>
        </w:rPr>
        <w:t>e</w:t>
      </w:r>
      <w:r w:rsidRPr="00FA5606">
        <w:rPr>
          <w:rFonts w:eastAsia="Garamond" w:cstheme="minorHAnsi"/>
          <w:spacing w:val="2"/>
        </w:rPr>
        <w:t xml:space="preserve"> </w:t>
      </w:r>
      <w:r w:rsidRPr="00FA5606">
        <w:rPr>
          <w:rFonts w:eastAsia="Garamond" w:cstheme="minorHAnsi"/>
          <w:spacing w:val="-5"/>
        </w:rPr>
        <w:t>p</w:t>
      </w:r>
      <w:r w:rsidRPr="00FA5606">
        <w:rPr>
          <w:rFonts w:eastAsia="Garamond" w:cstheme="minorHAnsi"/>
          <w:spacing w:val="-4"/>
        </w:rPr>
        <w:t>ë</w:t>
      </w:r>
      <w:r w:rsidRPr="00FA5606">
        <w:rPr>
          <w:rFonts w:eastAsia="Garamond" w:cstheme="minorHAnsi"/>
        </w:rPr>
        <w:t>r</w:t>
      </w:r>
      <w:r w:rsidRPr="00FA5606">
        <w:rPr>
          <w:rFonts w:eastAsia="Garamond" w:cstheme="minorHAnsi"/>
          <w:spacing w:val="3"/>
        </w:rPr>
        <w:t xml:space="preserve"> </w:t>
      </w:r>
      <w:r w:rsidRPr="00FA5606">
        <w:rPr>
          <w:rFonts w:eastAsia="Garamond" w:cstheme="minorHAnsi"/>
          <w:spacing w:val="-5"/>
        </w:rPr>
        <w:t>p</w:t>
      </w:r>
      <w:r w:rsidRPr="00FA5606">
        <w:rPr>
          <w:rFonts w:eastAsia="Garamond" w:cstheme="minorHAnsi"/>
          <w:spacing w:val="-3"/>
        </w:rPr>
        <w:t>r</w:t>
      </w:r>
      <w:r w:rsidRPr="00FA5606">
        <w:rPr>
          <w:rFonts w:eastAsia="Garamond" w:cstheme="minorHAnsi"/>
          <w:spacing w:val="-5"/>
        </w:rPr>
        <w:t>of</w:t>
      </w:r>
      <w:r w:rsidRPr="00FA5606">
        <w:rPr>
          <w:rFonts w:eastAsia="Garamond" w:cstheme="minorHAnsi"/>
          <w:spacing w:val="-2"/>
        </w:rPr>
        <w:t>e</w:t>
      </w:r>
      <w:r w:rsidRPr="00FA5606">
        <w:rPr>
          <w:rFonts w:eastAsia="Garamond" w:cstheme="minorHAnsi"/>
          <w:spacing w:val="-6"/>
        </w:rPr>
        <w:t>s</w:t>
      </w:r>
      <w:r w:rsidRPr="00FA5606">
        <w:rPr>
          <w:rFonts w:eastAsia="Garamond" w:cstheme="minorHAnsi"/>
          <w:spacing w:val="-2"/>
        </w:rPr>
        <w:t>i</w:t>
      </w:r>
      <w:r w:rsidRPr="00FA5606">
        <w:rPr>
          <w:rFonts w:eastAsia="Garamond" w:cstheme="minorHAnsi"/>
          <w:spacing w:val="-5"/>
        </w:rPr>
        <w:t>on</w:t>
      </w:r>
      <w:r w:rsidRPr="00FA5606">
        <w:rPr>
          <w:rFonts w:eastAsia="Garamond" w:cstheme="minorHAnsi"/>
          <w:spacing w:val="-2"/>
        </w:rPr>
        <w:t>i</w:t>
      </w:r>
      <w:r w:rsidRPr="00FA5606">
        <w:rPr>
          <w:rFonts w:eastAsia="Garamond" w:cstheme="minorHAnsi"/>
          <w:spacing w:val="-4"/>
        </w:rPr>
        <w:t>s</w:t>
      </w:r>
      <w:r w:rsidRPr="00FA5606">
        <w:rPr>
          <w:rFonts w:eastAsia="Garamond" w:cstheme="minorHAnsi"/>
          <w:spacing w:val="-5"/>
        </w:rPr>
        <w:t>t</w:t>
      </w:r>
      <w:r w:rsidRPr="00FA5606">
        <w:rPr>
          <w:rFonts w:eastAsia="Garamond" w:cstheme="minorHAnsi"/>
        </w:rPr>
        <w:t>ë</w:t>
      </w:r>
      <w:r w:rsidRPr="00FA5606">
        <w:rPr>
          <w:rFonts w:eastAsia="Garamond" w:cstheme="minorHAnsi"/>
          <w:spacing w:val="2"/>
        </w:rPr>
        <w:t xml:space="preserve"> </w:t>
      </w:r>
      <w:r w:rsidRPr="00FA5606">
        <w:rPr>
          <w:rFonts w:eastAsia="Garamond" w:cstheme="minorHAnsi"/>
          <w:spacing w:val="-5"/>
        </w:rPr>
        <w:t>t</w:t>
      </w:r>
      <w:r w:rsidRPr="00FA5606">
        <w:rPr>
          <w:rFonts w:eastAsia="Garamond" w:cstheme="minorHAnsi"/>
        </w:rPr>
        <w:t>ë</w:t>
      </w:r>
      <w:r w:rsidRPr="00FA5606">
        <w:rPr>
          <w:rFonts w:eastAsia="Garamond" w:cstheme="minorHAnsi"/>
          <w:spacing w:val="2"/>
        </w:rPr>
        <w:t xml:space="preserve"> </w:t>
      </w:r>
      <w:r w:rsidRPr="00FA5606">
        <w:rPr>
          <w:rFonts w:eastAsia="Garamond" w:cstheme="minorHAnsi"/>
          <w:spacing w:val="-3"/>
        </w:rPr>
        <w:t>r</w:t>
      </w:r>
      <w:r w:rsidRPr="00FA5606">
        <w:rPr>
          <w:rFonts w:eastAsia="Garamond" w:cstheme="minorHAnsi"/>
          <w:spacing w:val="-2"/>
        </w:rPr>
        <w:t>i</w:t>
      </w:r>
      <w:r w:rsidRPr="00FA5606">
        <w:rPr>
          <w:rFonts w:eastAsia="Garamond" w:cstheme="minorHAnsi"/>
          <w:spacing w:val="-5"/>
        </w:rPr>
        <w:t>n</w:t>
      </w:r>
      <w:r w:rsidRPr="00FA5606">
        <w:rPr>
          <w:rFonts w:eastAsia="Garamond" w:cstheme="minorHAnsi"/>
        </w:rPr>
        <w:t xml:space="preserve">j. </w:t>
      </w:r>
      <w:r w:rsidRPr="00FA5606">
        <w:rPr>
          <w:rFonts w:eastAsia="Garamond" w:cstheme="minorHAnsi"/>
          <w:spacing w:val="-3"/>
        </w:rPr>
        <w:t>P</w:t>
      </w:r>
      <w:r w:rsidRPr="00FA5606">
        <w:rPr>
          <w:rFonts w:eastAsia="Garamond" w:cstheme="minorHAnsi"/>
          <w:spacing w:val="-6"/>
        </w:rPr>
        <w:t>r</w:t>
      </w:r>
      <w:r w:rsidRPr="00FA5606">
        <w:rPr>
          <w:rFonts w:eastAsia="Garamond" w:cstheme="minorHAnsi"/>
          <w:spacing w:val="-2"/>
        </w:rPr>
        <w:t>o</w:t>
      </w:r>
      <w:r w:rsidRPr="00FA5606">
        <w:rPr>
          <w:rFonts w:eastAsia="Garamond" w:cstheme="minorHAnsi"/>
          <w:spacing w:val="-4"/>
        </w:rPr>
        <w:t>g</w:t>
      </w:r>
      <w:r w:rsidRPr="00FA5606">
        <w:rPr>
          <w:rFonts w:eastAsia="Garamond" w:cstheme="minorHAnsi"/>
          <w:spacing w:val="-6"/>
        </w:rPr>
        <w:t>r</w:t>
      </w:r>
      <w:r w:rsidRPr="00FA5606">
        <w:rPr>
          <w:rFonts w:eastAsia="Garamond" w:cstheme="minorHAnsi"/>
          <w:spacing w:val="-2"/>
        </w:rPr>
        <w:t>a</w:t>
      </w:r>
      <w:r w:rsidRPr="00FA5606">
        <w:rPr>
          <w:rFonts w:eastAsia="Garamond" w:cstheme="minorHAnsi"/>
          <w:spacing w:val="-5"/>
        </w:rPr>
        <w:t>m</w:t>
      </w:r>
      <w:r w:rsidRPr="00FA5606">
        <w:rPr>
          <w:rFonts w:eastAsia="Garamond" w:cstheme="minorHAnsi"/>
        </w:rPr>
        <w:t xml:space="preserve">i </w:t>
      </w:r>
      <w:r w:rsidRPr="00FA5606">
        <w:rPr>
          <w:rFonts w:eastAsia="Garamond" w:cstheme="minorHAnsi"/>
          <w:spacing w:val="-5"/>
        </w:rPr>
        <w:t>Ko</w:t>
      </w:r>
      <w:r w:rsidRPr="00FA5606">
        <w:rPr>
          <w:rFonts w:eastAsia="Garamond" w:cstheme="minorHAnsi"/>
          <w:spacing w:val="-3"/>
        </w:rPr>
        <w:t>m</w:t>
      </w:r>
      <w:r w:rsidRPr="00FA5606">
        <w:rPr>
          <w:rFonts w:eastAsia="Garamond" w:cstheme="minorHAnsi"/>
          <w:spacing w:val="-5"/>
        </w:rPr>
        <w:t>b</w:t>
      </w:r>
      <w:r w:rsidRPr="00FA5606">
        <w:rPr>
          <w:rFonts w:eastAsia="Garamond" w:cstheme="minorHAnsi"/>
          <w:spacing w:val="-4"/>
        </w:rPr>
        <w:t>ë</w:t>
      </w:r>
      <w:r w:rsidRPr="00FA5606">
        <w:rPr>
          <w:rFonts w:eastAsia="Garamond" w:cstheme="minorHAnsi"/>
          <w:spacing w:val="-5"/>
        </w:rPr>
        <w:t>t</w:t>
      </w:r>
      <w:r w:rsidRPr="00FA5606">
        <w:rPr>
          <w:rFonts w:eastAsia="Garamond" w:cstheme="minorHAnsi"/>
          <w:spacing w:val="-1"/>
        </w:rPr>
        <w:t>a</w:t>
      </w:r>
      <w:r w:rsidRPr="00FA5606">
        <w:rPr>
          <w:rFonts w:eastAsia="Garamond" w:cstheme="minorHAnsi"/>
        </w:rPr>
        <w:t>r</w:t>
      </w:r>
      <w:r w:rsidRPr="00FA5606">
        <w:rPr>
          <w:rFonts w:eastAsia="Garamond" w:cstheme="minorHAnsi"/>
          <w:spacing w:val="-1"/>
        </w:rPr>
        <w:t xml:space="preserve"> </w:t>
      </w:r>
      <w:r w:rsidRPr="00FA5606">
        <w:rPr>
          <w:rFonts w:eastAsia="Garamond" w:cstheme="minorHAnsi"/>
        </w:rPr>
        <w:t xml:space="preserve">i </w:t>
      </w:r>
      <w:r w:rsidRPr="00FA5606">
        <w:rPr>
          <w:rFonts w:eastAsia="Garamond" w:cstheme="minorHAnsi"/>
          <w:spacing w:val="-5"/>
        </w:rPr>
        <w:t>P</w:t>
      </w:r>
      <w:r w:rsidRPr="00FA5606">
        <w:rPr>
          <w:rFonts w:eastAsia="Garamond" w:cstheme="minorHAnsi"/>
          <w:spacing w:val="-3"/>
        </w:rPr>
        <w:t>r</w:t>
      </w:r>
      <w:r w:rsidRPr="00FA5606">
        <w:rPr>
          <w:rFonts w:eastAsia="Garamond" w:cstheme="minorHAnsi"/>
          <w:spacing w:val="-4"/>
        </w:rPr>
        <w:t>a</w:t>
      </w:r>
      <w:r w:rsidRPr="00FA5606">
        <w:rPr>
          <w:rFonts w:eastAsia="Garamond" w:cstheme="minorHAnsi"/>
          <w:spacing w:val="-5"/>
        </w:rPr>
        <w:t>kti</w:t>
      </w:r>
      <w:r w:rsidRPr="00FA5606">
        <w:rPr>
          <w:rFonts w:eastAsia="Garamond" w:cstheme="minorHAnsi"/>
          <w:spacing w:val="-4"/>
        </w:rPr>
        <w:t>ka</w:t>
      </w:r>
      <w:r w:rsidRPr="00FA5606">
        <w:rPr>
          <w:rFonts w:eastAsia="Garamond" w:cstheme="minorHAnsi"/>
          <w:spacing w:val="-5"/>
        </w:rPr>
        <w:t>v</w:t>
      </w:r>
      <w:r w:rsidRPr="00FA5606">
        <w:rPr>
          <w:rFonts w:eastAsia="Garamond" w:cstheme="minorHAnsi"/>
        </w:rPr>
        <w:t xml:space="preserve">e </w:t>
      </w:r>
      <w:r w:rsidRPr="00FA5606">
        <w:rPr>
          <w:rFonts w:eastAsia="Garamond" w:cstheme="minorHAnsi"/>
          <w:spacing w:val="-5"/>
        </w:rPr>
        <w:t>t</w:t>
      </w:r>
      <w:r w:rsidRPr="00FA5606">
        <w:rPr>
          <w:rFonts w:eastAsia="Garamond" w:cstheme="minorHAnsi"/>
        </w:rPr>
        <w:t xml:space="preserve">ë </w:t>
      </w:r>
      <w:r w:rsidRPr="00FA5606">
        <w:rPr>
          <w:rFonts w:eastAsia="Garamond" w:cstheme="minorHAnsi"/>
          <w:spacing w:val="-5"/>
        </w:rPr>
        <w:t>Punës ka</w:t>
      </w:r>
      <w:r w:rsidRPr="00FA5606">
        <w:rPr>
          <w:rFonts w:eastAsia="Garamond" w:cstheme="minorHAnsi"/>
          <w:spacing w:val="-6"/>
        </w:rPr>
        <w:t xml:space="preserve"> përfshirë te rinjtë</w:t>
      </w:r>
      <w:r w:rsidR="00F87048">
        <w:rPr>
          <w:rFonts w:eastAsia="Garamond" w:cstheme="minorHAnsi"/>
          <w:spacing w:val="-6"/>
        </w:rPr>
        <w:t xml:space="preserve"> e</w:t>
      </w:r>
      <w:r w:rsidRPr="00FA5606">
        <w:rPr>
          <w:rFonts w:eastAsia="Garamond" w:cstheme="minorHAnsi"/>
          <w:spacing w:val="-6"/>
        </w:rPr>
        <w:t xml:space="preserve"> studentët</w:t>
      </w:r>
      <w:r w:rsidRPr="00FA5606">
        <w:rPr>
          <w:rFonts w:eastAsia="Garamond" w:cstheme="minorHAnsi"/>
        </w:rPr>
        <w:t xml:space="preserve"> </w:t>
      </w:r>
      <w:r w:rsidRPr="00FA5606">
        <w:rPr>
          <w:rFonts w:eastAsia="Garamond" w:cstheme="minorHAnsi"/>
          <w:spacing w:val="-5"/>
        </w:rPr>
        <w:t>n</w:t>
      </w:r>
      <w:r w:rsidRPr="00FA5606">
        <w:rPr>
          <w:rFonts w:eastAsia="Garamond" w:cstheme="minorHAnsi"/>
        </w:rPr>
        <w:t xml:space="preserve">ë </w:t>
      </w:r>
      <w:r w:rsidRPr="00FA5606">
        <w:rPr>
          <w:rFonts w:eastAsia="Garamond" w:cstheme="minorHAnsi"/>
          <w:spacing w:val="-2"/>
        </w:rPr>
        <w:t>n</w:t>
      </w:r>
      <w:r w:rsidRPr="00FA5606">
        <w:rPr>
          <w:rFonts w:eastAsia="Garamond" w:cstheme="minorHAnsi"/>
          <w:spacing w:val="-5"/>
        </w:rPr>
        <w:t>j</w:t>
      </w:r>
      <w:r w:rsidRPr="00FA5606">
        <w:rPr>
          <w:rFonts w:eastAsia="Garamond" w:cstheme="minorHAnsi"/>
        </w:rPr>
        <w:t>ë</w:t>
      </w:r>
      <w:r w:rsidRPr="00FA5606">
        <w:rPr>
          <w:rFonts w:eastAsia="Garamond" w:cstheme="minorHAnsi"/>
          <w:spacing w:val="-2"/>
        </w:rPr>
        <w:t xml:space="preserve"> </w:t>
      </w:r>
      <w:r w:rsidRPr="00FA5606">
        <w:rPr>
          <w:rFonts w:eastAsia="Garamond" w:cstheme="minorHAnsi"/>
          <w:spacing w:val="-4"/>
        </w:rPr>
        <w:t>e</w:t>
      </w:r>
      <w:r w:rsidRPr="00FA5606">
        <w:rPr>
          <w:rFonts w:eastAsia="Garamond" w:cstheme="minorHAnsi"/>
          <w:spacing w:val="-2"/>
        </w:rPr>
        <w:t>k</w:t>
      </w:r>
      <w:r w:rsidRPr="00FA5606">
        <w:rPr>
          <w:rFonts w:eastAsia="Garamond" w:cstheme="minorHAnsi"/>
          <w:spacing w:val="-6"/>
        </w:rPr>
        <w:t>s</w:t>
      </w:r>
      <w:r w:rsidRPr="00FA5606">
        <w:rPr>
          <w:rFonts w:eastAsia="Garamond" w:cstheme="minorHAnsi"/>
          <w:spacing w:val="-5"/>
        </w:rPr>
        <w:t>p</w:t>
      </w:r>
      <w:r w:rsidRPr="00FA5606">
        <w:rPr>
          <w:rFonts w:eastAsia="Garamond" w:cstheme="minorHAnsi"/>
          <w:spacing w:val="-2"/>
        </w:rPr>
        <w:t>e</w:t>
      </w:r>
      <w:r w:rsidRPr="00FA5606">
        <w:rPr>
          <w:rFonts w:eastAsia="Garamond" w:cstheme="minorHAnsi"/>
          <w:spacing w:val="-6"/>
        </w:rPr>
        <w:t>r</w:t>
      </w:r>
      <w:r w:rsidRPr="00FA5606">
        <w:rPr>
          <w:rFonts w:eastAsia="Garamond" w:cstheme="minorHAnsi"/>
          <w:spacing w:val="-5"/>
        </w:rPr>
        <w:t>i</w:t>
      </w:r>
      <w:r w:rsidRPr="00FA5606">
        <w:rPr>
          <w:rFonts w:eastAsia="Garamond" w:cstheme="minorHAnsi"/>
          <w:spacing w:val="-4"/>
        </w:rPr>
        <w:t>e</w:t>
      </w:r>
      <w:r w:rsidRPr="00FA5606">
        <w:rPr>
          <w:rFonts w:eastAsia="Garamond" w:cstheme="minorHAnsi"/>
          <w:spacing w:val="-5"/>
        </w:rPr>
        <w:t>n</w:t>
      </w:r>
      <w:r w:rsidRPr="00FA5606">
        <w:rPr>
          <w:rFonts w:eastAsia="Garamond" w:cstheme="minorHAnsi"/>
          <w:spacing w:val="-4"/>
        </w:rPr>
        <w:t>c</w:t>
      </w:r>
      <w:r w:rsidRPr="00FA5606">
        <w:rPr>
          <w:rFonts w:eastAsia="Garamond" w:cstheme="minorHAnsi"/>
        </w:rPr>
        <w:t xml:space="preserve">ë </w:t>
      </w:r>
      <w:r w:rsidRPr="00FA5606">
        <w:rPr>
          <w:rFonts w:eastAsia="Garamond" w:cstheme="minorHAnsi"/>
          <w:spacing w:val="-5"/>
        </w:rPr>
        <w:t>p</w:t>
      </w:r>
      <w:r w:rsidRPr="00FA5606">
        <w:rPr>
          <w:rFonts w:eastAsia="Garamond" w:cstheme="minorHAnsi"/>
          <w:spacing w:val="-2"/>
        </w:rPr>
        <w:t>u</w:t>
      </w:r>
      <w:r w:rsidRPr="00FA5606">
        <w:rPr>
          <w:rFonts w:eastAsia="Garamond" w:cstheme="minorHAnsi"/>
          <w:spacing w:val="-5"/>
        </w:rPr>
        <w:t>n</w:t>
      </w:r>
      <w:r w:rsidRPr="00FA5606">
        <w:rPr>
          <w:rFonts w:eastAsia="Garamond" w:cstheme="minorHAnsi"/>
        </w:rPr>
        <w:t xml:space="preserve">e </w:t>
      </w:r>
      <w:r w:rsidRPr="00FA5606">
        <w:rPr>
          <w:rFonts w:eastAsia="Garamond" w:cstheme="minorHAnsi"/>
          <w:spacing w:val="-5"/>
        </w:rPr>
        <w:t>t</w:t>
      </w:r>
      <w:r w:rsidRPr="00FA5606">
        <w:rPr>
          <w:rFonts w:eastAsia="Garamond" w:cstheme="minorHAnsi"/>
        </w:rPr>
        <w:t>ë</w:t>
      </w:r>
      <w:r w:rsidRPr="00FA5606">
        <w:rPr>
          <w:rFonts w:eastAsia="Garamond" w:cstheme="minorHAnsi"/>
          <w:spacing w:val="1"/>
        </w:rPr>
        <w:t xml:space="preserve"> </w:t>
      </w:r>
      <w:r w:rsidRPr="00FA5606">
        <w:rPr>
          <w:rFonts w:eastAsia="Garamond" w:cstheme="minorHAnsi"/>
          <w:spacing w:val="-5"/>
        </w:rPr>
        <w:t>int</w:t>
      </w:r>
      <w:r w:rsidRPr="00FA5606">
        <w:rPr>
          <w:rFonts w:eastAsia="Garamond" w:cstheme="minorHAnsi"/>
          <w:spacing w:val="-4"/>
        </w:rPr>
        <w:t>e</w:t>
      </w:r>
      <w:r w:rsidRPr="00FA5606">
        <w:rPr>
          <w:rFonts w:eastAsia="Garamond" w:cstheme="minorHAnsi"/>
          <w:spacing w:val="-2"/>
        </w:rPr>
        <w:t>g</w:t>
      </w:r>
      <w:r w:rsidRPr="00FA5606">
        <w:rPr>
          <w:rFonts w:eastAsia="Garamond" w:cstheme="minorHAnsi"/>
          <w:spacing w:val="-6"/>
        </w:rPr>
        <w:t>r</w:t>
      </w:r>
      <w:r w:rsidRPr="00FA5606">
        <w:rPr>
          <w:rFonts w:eastAsia="Garamond" w:cstheme="minorHAnsi"/>
          <w:spacing w:val="-5"/>
        </w:rPr>
        <w:t>u</w:t>
      </w:r>
      <w:r w:rsidRPr="00FA5606">
        <w:rPr>
          <w:rFonts w:eastAsia="Garamond" w:cstheme="minorHAnsi"/>
          <w:spacing w:val="-2"/>
        </w:rPr>
        <w:t>a</w:t>
      </w:r>
      <w:r w:rsidRPr="00FA5606">
        <w:rPr>
          <w:rFonts w:eastAsia="Garamond" w:cstheme="minorHAnsi"/>
        </w:rPr>
        <w:t>r e</w:t>
      </w:r>
      <w:r w:rsidRPr="00FA5606">
        <w:rPr>
          <w:rFonts w:eastAsia="Garamond" w:cstheme="minorHAnsi"/>
          <w:spacing w:val="1"/>
        </w:rPr>
        <w:t xml:space="preserve"> </w:t>
      </w:r>
      <w:r w:rsidRPr="00FA5606">
        <w:rPr>
          <w:rFonts w:eastAsia="Garamond" w:cstheme="minorHAnsi"/>
          <w:spacing w:val="-5"/>
        </w:rPr>
        <w:t>n</w:t>
      </w:r>
      <w:r w:rsidRPr="00FA5606">
        <w:rPr>
          <w:rFonts w:eastAsia="Garamond" w:cstheme="minorHAnsi"/>
        </w:rPr>
        <w:t>ë</w:t>
      </w:r>
      <w:r w:rsidRPr="00FA5606">
        <w:rPr>
          <w:rFonts w:eastAsia="Garamond" w:cstheme="minorHAnsi"/>
          <w:spacing w:val="1"/>
        </w:rPr>
        <w:t xml:space="preserve"> </w:t>
      </w:r>
      <w:r w:rsidRPr="00FA5606">
        <w:rPr>
          <w:rFonts w:eastAsia="Garamond" w:cstheme="minorHAnsi"/>
          <w:spacing w:val="-5"/>
        </w:rPr>
        <w:t>nd</w:t>
      </w:r>
      <w:r w:rsidRPr="00FA5606">
        <w:rPr>
          <w:rFonts w:eastAsia="Garamond" w:cstheme="minorHAnsi"/>
          <w:spacing w:val="-4"/>
        </w:rPr>
        <w:t>ë</w:t>
      </w:r>
      <w:r w:rsidRPr="00FA5606">
        <w:rPr>
          <w:rFonts w:eastAsia="Garamond" w:cstheme="minorHAnsi"/>
          <w:spacing w:val="-3"/>
        </w:rPr>
        <w:t>r</w:t>
      </w:r>
      <w:r w:rsidRPr="00FA5606">
        <w:rPr>
          <w:rFonts w:eastAsia="Garamond" w:cstheme="minorHAnsi"/>
          <w:spacing w:val="-4"/>
        </w:rPr>
        <w:t>ve</w:t>
      </w:r>
      <w:r w:rsidRPr="00FA5606">
        <w:rPr>
          <w:rFonts w:eastAsia="Garamond" w:cstheme="minorHAnsi"/>
          <w:spacing w:val="-2"/>
        </w:rPr>
        <w:t>p</w:t>
      </w:r>
      <w:r w:rsidRPr="00FA5606">
        <w:rPr>
          <w:rFonts w:eastAsia="Garamond" w:cstheme="minorHAnsi"/>
          <w:spacing w:val="-6"/>
        </w:rPr>
        <w:t>r</w:t>
      </w:r>
      <w:r w:rsidRPr="00FA5606">
        <w:rPr>
          <w:rFonts w:eastAsia="Garamond" w:cstheme="minorHAnsi"/>
          <w:spacing w:val="-2"/>
        </w:rPr>
        <w:t>i</w:t>
      </w:r>
      <w:r w:rsidRPr="00FA5606">
        <w:rPr>
          <w:rFonts w:eastAsia="Garamond" w:cstheme="minorHAnsi"/>
        </w:rPr>
        <w:t xml:space="preserve">m </w:t>
      </w:r>
      <w:r w:rsidRPr="00FA5606">
        <w:rPr>
          <w:rFonts w:eastAsia="Garamond" w:cstheme="minorHAnsi"/>
          <w:spacing w:val="-5"/>
        </w:rPr>
        <w:t>m</w:t>
      </w:r>
      <w:r w:rsidRPr="00FA5606">
        <w:rPr>
          <w:rFonts w:eastAsia="Garamond" w:cstheme="minorHAnsi"/>
        </w:rPr>
        <w:t>e</w:t>
      </w:r>
      <w:r w:rsidRPr="00FA5606">
        <w:rPr>
          <w:rFonts w:eastAsia="Garamond" w:cstheme="minorHAnsi"/>
          <w:spacing w:val="1"/>
        </w:rPr>
        <w:t xml:space="preserve"> </w:t>
      </w:r>
      <w:r w:rsidRPr="00FA5606">
        <w:rPr>
          <w:rFonts w:eastAsia="Garamond" w:cstheme="minorHAnsi"/>
          <w:spacing w:val="-5"/>
        </w:rPr>
        <w:t>p</w:t>
      </w:r>
      <w:r w:rsidRPr="00FA5606">
        <w:rPr>
          <w:rFonts w:eastAsia="Garamond" w:cstheme="minorHAnsi"/>
          <w:spacing w:val="-6"/>
        </w:rPr>
        <w:t>r</w:t>
      </w:r>
      <w:r w:rsidRPr="00FA5606">
        <w:rPr>
          <w:rFonts w:eastAsia="Garamond" w:cstheme="minorHAnsi"/>
          <w:spacing w:val="-2"/>
        </w:rPr>
        <w:t>o</w:t>
      </w:r>
      <w:r w:rsidRPr="00FA5606">
        <w:rPr>
          <w:rFonts w:eastAsia="Garamond" w:cstheme="minorHAnsi"/>
          <w:spacing w:val="-5"/>
        </w:rPr>
        <w:t>f</w:t>
      </w:r>
      <w:r w:rsidRPr="00FA5606">
        <w:rPr>
          <w:rFonts w:eastAsia="Garamond" w:cstheme="minorHAnsi"/>
          <w:spacing w:val="-2"/>
        </w:rPr>
        <w:t>e</w:t>
      </w:r>
      <w:r w:rsidRPr="00FA5606">
        <w:rPr>
          <w:rFonts w:eastAsia="Garamond" w:cstheme="minorHAnsi"/>
          <w:spacing w:val="-6"/>
        </w:rPr>
        <w:t>s</w:t>
      </w:r>
      <w:r w:rsidRPr="00FA5606">
        <w:rPr>
          <w:rFonts w:eastAsia="Garamond" w:cstheme="minorHAnsi"/>
          <w:spacing w:val="-5"/>
        </w:rPr>
        <w:t>i</w:t>
      </w:r>
      <w:r w:rsidRPr="00FA5606">
        <w:rPr>
          <w:rFonts w:eastAsia="Garamond" w:cstheme="minorHAnsi"/>
          <w:spacing w:val="-2"/>
        </w:rPr>
        <w:t>o</w:t>
      </w:r>
      <w:r w:rsidRPr="00FA5606">
        <w:rPr>
          <w:rFonts w:eastAsia="Garamond" w:cstheme="minorHAnsi"/>
          <w:spacing w:val="-5"/>
        </w:rPr>
        <w:t>n</w:t>
      </w:r>
      <w:r w:rsidRPr="00FA5606">
        <w:rPr>
          <w:rFonts w:eastAsia="Garamond" w:cstheme="minorHAnsi"/>
          <w:spacing w:val="-2"/>
        </w:rPr>
        <w:t>i</w:t>
      </w:r>
      <w:r w:rsidRPr="00FA5606">
        <w:rPr>
          <w:rFonts w:eastAsia="Garamond" w:cstheme="minorHAnsi"/>
          <w:spacing w:val="-6"/>
        </w:rPr>
        <w:t>s</w:t>
      </w:r>
      <w:r w:rsidRPr="00FA5606">
        <w:rPr>
          <w:rFonts w:eastAsia="Garamond" w:cstheme="minorHAnsi"/>
          <w:spacing w:val="-5"/>
        </w:rPr>
        <w:t>t</w:t>
      </w:r>
      <w:r w:rsidRPr="00FA5606">
        <w:rPr>
          <w:rFonts w:eastAsia="Garamond" w:cstheme="minorHAnsi"/>
        </w:rPr>
        <w:t>ë</w:t>
      </w:r>
      <w:r w:rsidRPr="00FA5606">
        <w:rPr>
          <w:rFonts w:eastAsia="Garamond" w:cstheme="minorHAnsi"/>
          <w:spacing w:val="1"/>
        </w:rPr>
        <w:t xml:space="preserve"> </w:t>
      </w:r>
      <w:r w:rsidRPr="00FA5606">
        <w:rPr>
          <w:rFonts w:eastAsia="Garamond" w:cstheme="minorHAnsi"/>
          <w:spacing w:val="-5"/>
        </w:rPr>
        <w:t>k</w:t>
      </w:r>
      <w:r w:rsidRPr="00FA5606">
        <w:rPr>
          <w:rFonts w:eastAsia="Garamond" w:cstheme="minorHAnsi"/>
          <w:spacing w:val="-1"/>
        </w:rPr>
        <w:t>a</w:t>
      </w:r>
      <w:r w:rsidRPr="00FA5606">
        <w:rPr>
          <w:rFonts w:eastAsia="Garamond" w:cstheme="minorHAnsi"/>
          <w:spacing w:val="-6"/>
        </w:rPr>
        <w:t>r</w:t>
      </w:r>
      <w:r w:rsidRPr="00FA5606">
        <w:rPr>
          <w:rFonts w:eastAsia="Garamond" w:cstheme="minorHAnsi"/>
          <w:spacing w:val="-3"/>
        </w:rPr>
        <w:t>r</w:t>
      </w:r>
      <w:r w:rsidRPr="00FA5606">
        <w:rPr>
          <w:rFonts w:eastAsia="Garamond" w:cstheme="minorHAnsi"/>
          <w:spacing w:val="-5"/>
        </w:rPr>
        <w:t>i</w:t>
      </w:r>
      <w:r w:rsidRPr="00FA5606">
        <w:rPr>
          <w:rFonts w:eastAsia="Garamond" w:cstheme="minorHAnsi"/>
          <w:spacing w:val="-4"/>
        </w:rPr>
        <w:t>e</w:t>
      </w:r>
      <w:r w:rsidRPr="00FA5606">
        <w:rPr>
          <w:rFonts w:eastAsia="Garamond" w:cstheme="minorHAnsi"/>
          <w:spacing w:val="-3"/>
        </w:rPr>
        <w:t>r</w:t>
      </w:r>
      <w:r w:rsidRPr="00FA5606">
        <w:rPr>
          <w:rFonts w:eastAsia="Garamond" w:cstheme="minorHAnsi"/>
        </w:rPr>
        <w:t>e</w:t>
      </w:r>
      <w:r w:rsidRPr="00FA5606">
        <w:rPr>
          <w:rFonts w:eastAsia="Garamond" w:cstheme="minorHAnsi"/>
          <w:spacing w:val="1"/>
        </w:rPr>
        <w:t xml:space="preserve"> </w:t>
      </w:r>
      <w:r w:rsidRPr="00FA5606">
        <w:rPr>
          <w:rFonts w:eastAsia="Garamond" w:cstheme="minorHAnsi"/>
          <w:spacing w:val="-5"/>
        </w:rPr>
        <w:t>n</w:t>
      </w:r>
      <w:r w:rsidRPr="00FA5606">
        <w:rPr>
          <w:rFonts w:eastAsia="Garamond" w:cstheme="minorHAnsi"/>
        </w:rPr>
        <w:t>ë</w:t>
      </w:r>
      <w:r w:rsidRPr="00FA5606">
        <w:rPr>
          <w:rFonts w:eastAsia="Garamond" w:cstheme="minorHAnsi"/>
          <w:spacing w:val="1"/>
        </w:rPr>
        <w:t xml:space="preserve"> </w:t>
      </w:r>
      <w:r w:rsidRPr="00FA5606">
        <w:rPr>
          <w:rFonts w:eastAsia="Garamond" w:cstheme="minorHAnsi"/>
          <w:spacing w:val="-4"/>
        </w:rPr>
        <w:t>a</w:t>
      </w:r>
      <w:r w:rsidRPr="00FA5606">
        <w:rPr>
          <w:rFonts w:eastAsia="Garamond" w:cstheme="minorHAnsi"/>
          <w:spacing w:val="-5"/>
        </w:rPr>
        <w:t>dmin</w:t>
      </w:r>
      <w:r w:rsidRPr="00FA5606">
        <w:rPr>
          <w:rFonts w:eastAsia="Garamond" w:cstheme="minorHAnsi"/>
          <w:spacing w:val="-2"/>
        </w:rPr>
        <w:t>i</w:t>
      </w:r>
      <w:r w:rsidRPr="00FA5606">
        <w:rPr>
          <w:rFonts w:eastAsia="Garamond" w:cstheme="minorHAnsi"/>
          <w:spacing w:val="-6"/>
        </w:rPr>
        <w:t>s</w:t>
      </w:r>
      <w:r w:rsidRPr="00FA5606">
        <w:rPr>
          <w:rFonts w:eastAsia="Garamond" w:cstheme="minorHAnsi"/>
          <w:spacing w:val="-3"/>
        </w:rPr>
        <w:t>t</w:t>
      </w:r>
      <w:r w:rsidRPr="00FA5606">
        <w:rPr>
          <w:rFonts w:eastAsia="Garamond" w:cstheme="minorHAnsi"/>
          <w:spacing w:val="-6"/>
        </w:rPr>
        <w:t>r</w:t>
      </w:r>
      <w:r w:rsidRPr="00FA5606">
        <w:rPr>
          <w:rFonts w:eastAsia="Garamond" w:cstheme="minorHAnsi"/>
          <w:spacing w:val="-4"/>
        </w:rPr>
        <w:t>a</w:t>
      </w:r>
      <w:r w:rsidRPr="00FA5606">
        <w:rPr>
          <w:rFonts w:eastAsia="Garamond" w:cstheme="minorHAnsi"/>
          <w:spacing w:val="-5"/>
        </w:rPr>
        <w:t>t</w:t>
      </w:r>
      <w:r w:rsidRPr="00FA5606">
        <w:rPr>
          <w:rFonts w:eastAsia="Garamond" w:cstheme="minorHAnsi"/>
          <w:spacing w:val="-2"/>
        </w:rPr>
        <w:t>ë</w:t>
      </w:r>
      <w:r w:rsidRPr="00FA5606">
        <w:rPr>
          <w:rFonts w:eastAsia="Garamond" w:cstheme="minorHAnsi"/>
        </w:rPr>
        <w:t xml:space="preserve">n </w:t>
      </w:r>
      <w:r w:rsidRPr="00FA5606">
        <w:rPr>
          <w:rFonts w:eastAsia="Garamond" w:cstheme="minorHAnsi"/>
          <w:spacing w:val="-5"/>
        </w:rPr>
        <w:t>pu</w:t>
      </w:r>
      <w:r w:rsidRPr="00FA5606">
        <w:rPr>
          <w:rFonts w:eastAsia="Garamond" w:cstheme="minorHAnsi"/>
          <w:spacing w:val="-2"/>
        </w:rPr>
        <w:t>b</w:t>
      </w:r>
      <w:r w:rsidRPr="00FA5606">
        <w:rPr>
          <w:rFonts w:eastAsia="Garamond" w:cstheme="minorHAnsi"/>
          <w:spacing w:val="-5"/>
        </w:rPr>
        <w:t>lik</w:t>
      </w:r>
      <w:r w:rsidRPr="00FA5606">
        <w:rPr>
          <w:rFonts w:eastAsia="Garamond" w:cstheme="minorHAnsi"/>
          <w:spacing w:val="-4"/>
        </w:rPr>
        <w:t>e</w:t>
      </w:r>
      <w:r w:rsidRPr="00FA5606">
        <w:rPr>
          <w:rFonts w:eastAsia="Garamond" w:cstheme="minorHAnsi"/>
        </w:rPr>
        <w:t>,</w:t>
      </w:r>
      <w:r w:rsidRPr="00FA5606">
        <w:rPr>
          <w:rFonts w:eastAsia="Garamond" w:cstheme="minorHAnsi"/>
          <w:spacing w:val="3"/>
        </w:rPr>
        <w:t xml:space="preserve"> </w:t>
      </w:r>
      <w:r w:rsidR="003F1AEA">
        <w:rPr>
          <w:rFonts w:eastAsia="Garamond" w:cstheme="minorHAnsi"/>
          <w:spacing w:val="-5"/>
        </w:rPr>
        <w:t>p</w:t>
      </w:r>
      <w:r w:rsidR="003F1AEA">
        <w:rPr>
          <w:rFonts w:cstheme="minorHAnsi"/>
        </w:rPr>
        <w:t>ër</w:t>
      </w:r>
      <w:r w:rsidRPr="00FA5606">
        <w:rPr>
          <w:rFonts w:eastAsia="Garamond" w:cstheme="minorHAnsi"/>
        </w:rPr>
        <w:t xml:space="preserve"> </w:t>
      </w:r>
      <w:r w:rsidRPr="00FA5606">
        <w:rPr>
          <w:rFonts w:eastAsia="Garamond" w:cstheme="minorHAnsi"/>
          <w:spacing w:val="-5"/>
        </w:rPr>
        <w:t>p</w:t>
      </w:r>
      <w:r w:rsidRPr="00FA5606">
        <w:rPr>
          <w:rFonts w:eastAsia="Garamond" w:cstheme="minorHAnsi"/>
          <w:spacing w:val="-2"/>
        </w:rPr>
        <w:t>ë</w:t>
      </w:r>
      <w:r w:rsidRPr="00FA5606">
        <w:rPr>
          <w:rFonts w:eastAsia="Garamond" w:cstheme="minorHAnsi"/>
          <w:spacing w:val="-6"/>
        </w:rPr>
        <w:t>r</w:t>
      </w:r>
      <w:r w:rsidRPr="00FA5606">
        <w:rPr>
          <w:rFonts w:eastAsia="Garamond" w:cstheme="minorHAnsi"/>
          <w:spacing w:val="-5"/>
        </w:rPr>
        <w:t>f</w:t>
      </w:r>
      <w:r w:rsidRPr="00FA5606">
        <w:rPr>
          <w:rFonts w:eastAsia="Garamond" w:cstheme="minorHAnsi"/>
          <w:spacing w:val="-2"/>
        </w:rPr>
        <w:t>i</w:t>
      </w:r>
      <w:r w:rsidRPr="00FA5606">
        <w:rPr>
          <w:rFonts w:eastAsia="Garamond" w:cstheme="minorHAnsi"/>
          <w:spacing w:val="-5"/>
        </w:rPr>
        <w:t>t</w:t>
      </w:r>
      <w:r w:rsidRPr="00FA5606">
        <w:rPr>
          <w:rFonts w:eastAsia="Garamond" w:cstheme="minorHAnsi"/>
          <w:spacing w:val="-2"/>
        </w:rPr>
        <w:t>i</w:t>
      </w:r>
      <w:r w:rsidRPr="00FA5606">
        <w:rPr>
          <w:rFonts w:eastAsia="Garamond" w:cstheme="minorHAnsi"/>
          <w:spacing w:val="-5"/>
        </w:rPr>
        <w:t>mi</w:t>
      </w:r>
      <w:r w:rsidRPr="00FA5606">
        <w:rPr>
          <w:rFonts w:eastAsia="Garamond" w:cstheme="minorHAnsi"/>
        </w:rPr>
        <w:t xml:space="preserve">n e </w:t>
      </w:r>
      <w:r w:rsidRPr="00FA5606">
        <w:rPr>
          <w:rFonts w:eastAsia="Garamond" w:cstheme="minorHAnsi"/>
          <w:spacing w:val="-5"/>
        </w:rPr>
        <w:t>nj</w:t>
      </w:r>
      <w:r w:rsidRPr="00FA5606">
        <w:rPr>
          <w:rFonts w:eastAsia="Garamond" w:cstheme="minorHAnsi"/>
        </w:rPr>
        <w:t>ë</w:t>
      </w:r>
      <w:r w:rsidRPr="00FA5606">
        <w:rPr>
          <w:rFonts w:eastAsia="Garamond" w:cstheme="minorHAnsi"/>
          <w:spacing w:val="1"/>
        </w:rPr>
        <w:t xml:space="preserve"> </w:t>
      </w:r>
      <w:r w:rsidRPr="00FA5606">
        <w:rPr>
          <w:rFonts w:eastAsia="Garamond" w:cstheme="minorHAnsi"/>
          <w:spacing w:val="-5"/>
        </w:rPr>
        <w:t>p</w:t>
      </w:r>
      <w:r w:rsidRPr="00FA5606">
        <w:rPr>
          <w:rFonts w:eastAsia="Garamond" w:cstheme="minorHAnsi"/>
          <w:spacing w:val="-4"/>
        </w:rPr>
        <w:t>ë</w:t>
      </w:r>
      <w:r w:rsidRPr="00FA5606">
        <w:rPr>
          <w:rFonts w:eastAsia="Garamond" w:cstheme="minorHAnsi"/>
          <w:spacing w:val="-6"/>
        </w:rPr>
        <w:t>r</w:t>
      </w:r>
      <w:r w:rsidRPr="00FA5606">
        <w:rPr>
          <w:rFonts w:eastAsia="Garamond" w:cstheme="minorHAnsi"/>
          <w:spacing w:val="-2"/>
        </w:rPr>
        <w:t>v</w:t>
      </w:r>
      <w:r w:rsidRPr="00FA5606">
        <w:rPr>
          <w:rFonts w:eastAsia="Garamond" w:cstheme="minorHAnsi"/>
          <w:spacing w:val="-5"/>
        </w:rPr>
        <w:t>oj</w:t>
      </w:r>
      <w:r w:rsidRPr="00FA5606">
        <w:rPr>
          <w:rFonts w:eastAsia="Garamond" w:cstheme="minorHAnsi"/>
        </w:rPr>
        <w:t>e</w:t>
      </w:r>
      <w:r w:rsidRPr="00FA5606">
        <w:rPr>
          <w:rFonts w:eastAsia="Garamond" w:cstheme="minorHAnsi"/>
          <w:spacing w:val="1"/>
        </w:rPr>
        <w:t xml:space="preserve"> </w:t>
      </w:r>
      <w:r w:rsidRPr="00FA5606">
        <w:rPr>
          <w:rFonts w:eastAsia="Garamond" w:cstheme="minorHAnsi"/>
          <w:spacing w:val="-4"/>
        </w:rPr>
        <w:t>kua</w:t>
      </w:r>
      <w:r w:rsidRPr="00FA5606">
        <w:rPr>
          <w:rFonts w:eastAsia="Garamond" w:cstheme="minorHAnsi"/>
          <w:spacing w:val="-2"/>
        </w:rPr>
        <w:t>l</w:t>
      </w:r>
      <w:r w:rsidRPr="00FA5606">
        <w:rPr>
          <w:rFonts w:eastAsia="Garamond" w:cstheme="minorHAnsi"/>
          <w:spacing w:val="-5"/>
        </w:rPr>
        <w:t>if</w:t>
      </w:r>
      <w:r w:rsidRPr="00FA5606">
        <w:rPr>
          <w:rFonts w:eastAsia="Garamond" w:cstheme="minorHAnsi"/>
          <w:spacing w:val="-2"/>
        </w:rPr>
        <w:t>i</w:t>
      </w:r>
      <w:r w:rsidRPr="00FA5606">
        <w:rPr>
          <w:rFonts w:eastAsia="Garamond" w:cstheme="minorHAnsi"/>
          <w:spacing w:val="-4"/>
        </w:rPr>
        <w:t>k</w:t>
      </w:r>
      <w:r w:rsidRPr="00FA5606">
        <w:rPr>
          <w:rFonts w:eastAsia="Garamond" w:cstheme="minorHAnsi"/>
          <w:spacing w:val="-5"/>
        </w:rPr>
        <w:t>u</w:t>
      </w:r>
      <w:r w:rsidRPr="00FA5606">
        <w:rPr>
          <w:rFonts w:eastAsia="Garamond" w:cstheme="minorHAnsi"/>
          <w:spacing w:val="-2"/>
        </w:rPr>
        <w:t>e</w:t>
      </w:r>
      <w:r w:rsidRPr="00FA5606">
        <w:rPr>
          <w:rFonts w:eastAsia="Garamond" w:cstheme="minorHAnsi"/>
          <w:spacing w:val="-6"/>
        </w:rPr>
        <w:t>s</w:t>
      </w:r>
      <w:r w:rsidRPr="00FA5606">
        <w:rPr>
          <w:rFonts w:eastAsia="Garamond" w:cstheme="minorHAnsi"/>
        </w:rPr>
        <w:t>e</w:t>
      </w:r>
      <w:r w:rsidRPr="00FA5606">
        <w:rPr>
          <w:rFonts w:eastAsia="Garamond" w:cstheme="minorHAnsi"/>
          <w:spacing w:val="1"/>
        </w:rPr>
        <w:t xml:space="preserve"> </w:t>
      </w:r>
      <w:r w:rsidRPr="00FA5606">
        <w:rPr>
          <w:rFonts w:eastAsia="Garamond" w:cstheme="minorHAnsi"/>
          <w:spacing w:val="-2"/>
        </w:rPr>
        <w:t>q</w:t>
      </w:r>
      <w:r w:rsidRPr="00FA5606">
        <w:rPr>
          <w:rFonts w:eastAsia="Garamond" w:cstheme="minorHAnsi"/>
        </w:rPr>
        <w:t>ë</w:t>
      </w:r>
      <w:r w:rsidRPr="00FA5606">
        <w:rPr>
          <w:rFonts w:eastAsia="Garamond" w:cstheme="minorHAnsi"/>
          <w:spacing w:val="1"/>
        </w:rPr>
        <w:t xml:space="preserve"> </w:t>
      </w:r>
      <w:r w:rsidRPr="00FA5606">
        <w:rPr>
          <w:rFonts w:eastAsia="Garamond" w:cstheme="minorHAnsi"/>
          <w:spacing w:val="-5"/>
        </w:rPr>
        <w:t>ndi</w:t>
      </w:r>
      <w:r w:rsidRPr="00FA5606">
        <w:rPr>
          <w:rFonts w:eastAsia="Garamond" w:cstheme="minorHAnsi"/>
          <w:spacing w:val="-4"/>
        </w:rPr>
        <w:t>k</w:t>
      </w:r>
      <w:r w:rsidRPr="00FA5606">
        <w:rPr>
          <w:rFonts w:eastAsia="Garamond" w:cstheme="minorHAnsi"/>
          <w:spacing w:val="-5"/>
        </w:rPr>
        <w:t>o</w:t>
      </w:r>
      <w:r w:rsidRPr="00FA5606">
        <w:rPr>
          <w:rFonts w:eastAsia="Garamond" w:cstheme="minorHAnsi"/>
        </w:rPr>
        <w:t xml:space="preserve">n </w:t>
      </w:r>
      <w:r w:rsidRPr="00FA5606">
        <w:rPr>
          <w:rFonts w:eastAsia="Garamond" w:cstheme="minorHAnsi"/>
          <w:spacing w:val="-5"/>
        </w:rPr>
        <w:t>n</w:t>
      </w:r>
      <w:r w:rsidRPr="00FA5606">
        <w:rPr>
          <w:rFonts w:eastAsia="Garamond" w:cstheme="minorHAnsi"/>
        </w:rPr>
        <w:t>ë</w:t>
      </w:r>
      <w:r w:rsidRPr="00FA5606">
        <w:rPr>
          <w:rFonts w:eastAsia="Garamond" w:cstheme="minorHAnsi"/>
          <w:spacing w:val="1"/>
        </w:rPr>
        <w:t xml:space="preserve"> </w:t>
      </w:r>
      <w:r w:rsidRPr="00FA5606">
        <w:rPr>
          <w:rFonts w:eastAsia="Garamond" w:cstheme="minorHAnsi"/>
          <w:spacing w:val="-4"/>
        </w:rPr>
        <w:t>z</w:t>
      </w:r>
      <w:r w:rsidRPr="00FA5606">
        <w:rPr>
          <w:rFonts w:eastAsia="Garamond" w:cstheme="minorHAnsi"/>
          <w:spacing w:val="-2"/>
        </w:rPr>
        <w:t>h</w:t>
      </w:r>
      <w:r w:rsidRPr="00FA5606">
        <w:rPr>
          <w:rFonts w:eastAsia="Garamond" w:cstheme="minorHAnsi"/>
          <w:spacing w:val="-5"/>
        </w:rPr>
        <w:t>vil</w:t>
      </w:r>
      <w:r w:rsidRPr="00FA5606">
        <w:rPr>
          <w:rFonts w:eastAsia="Garamond" w:cstheme="minorHAnsi"/>
          <w:spacing w:val="-2"/>
        </w:rPr>
        <w:t>l</w:t>
      </w:r>
      <w:r w:rsidRPr="00FA5606">
        <w:rPr>
          <w:rFonts w:eastAsia="Garamond" w:cstheme="minorHAnsi"/>
          <w:spacing w:val="-5"/>
        </w:rPr>
        <w:t>im</w:t>
      </w:r>
      <w:r w:rsidRPr="00FA5606">
        <w:rPr>
          <w:rFonts w:eastAsia="Garamond" w:cstheme="minorHAnsi"/>
          <w:spacing w:val="-2"/>
        </w:rPr>
        <w:t>i</w:t>
      </w:r>
      <w:r w:rsidRPr="00FA5606">
        <w:rPr>
          <w:rFonts w:eastAsia="Garamond" w:cstheme="minorHAnsi"/>
        </w:rPr>
        <w:t>n e</w:t>
      </w:r>
      <w:r w:rsidRPr="00FA5606">
        <w:rPr>
          <w:rFonts w:eastAsia="Garamond" w:cstheme="minorHAnsi"/>
          <w:spacing w:val="1"/>
        </w:rPr>
        <w:t xml:space="preserve"> </w:t>
      </w:r>
      <w:r w:rsidRPr="00FA5606">
        <w:rPr>
          <w:rFonts w:eastAsia="Garamond" w:cstheme="minorHAnsi"/>
          <w:spacing w:val="-4"/>
        </w:rPr>
        <w:t>a</w:t>
      </w:r>
      <w:r w:rsidRPr="00FA5606">
        <w:rPr>
          <w:rFonts w:eastAsia="Garamond" w:cstheme="minorHAnsi"/>
          <w:spacing w:val="-5"/>
        </w:rPr>
        <w:t>ft</w:t>
      </w:r>
      <w:r w:rsidRPr="00FA5606">
        <w:rPr>
          <w:rFonts w:eastAsia="Garamond" w:cstheme="minorHAnsi"/>
          <w:spacing w:val="-2"/>
        </w:rPr>
        <w:t>ë</w:t>
      </w:r>
      <w:r w:rsidRPr="00FA5606">
        <w:rPr>
          <w:rFonts w:eastAsia="Garamond" w:cstheme="minorHAnsi"/>
          <w:spacing w:val="-6"/>
        </w:rPr>
        <w:t>s</w:t>
      </w:r>
      <w:r w:rsidRPr="00FA5606">
        <w:rPr>
          <w:rFonts w:eastAsia="Garamond" w:cstheme="minorHAnsi"/>
          <w:spacing w:val="-5"/>
        </w:rPr>
        <w:t>iv</w:t>
      </w:r>
      <w:r w:rsidRPr="00FA5606">
        <w:rPr>
          <w:rFonts w:eastAsia="Garamond" w:cstheme="minorHAnsi"/>
        </w:rPr>
        <w:t>e</w:t>
      </w:r>
      <w:r w:rsidRPr="00FA5606">
        <w:rPr>
          <w:rFonts w:eastAsia="Garamond" w:cstheme="minorHAnsi"/>
          <w:spacing w:val="1"/>
        </w:rPr>
        <w:t xml:space="preserve"> </w:t>
      </w:r>
      <w:r w:rsidRPr="00FA5606">
        <w:rPr>
          <w:rFonts w:eastAsia="Garamond" w:cstheme="minorHAnsi"/>
          <w:spacing w:val="-5"/>
        </w:rPr>
        <w:t>t</w:t>
      </w:r>
      <w:r w:rsidRPr="00FA5606">
        <w:rPr>
          <w:rFonts w:eastAsia="Garamond" w:cstheme="minorHAnsi"/>
        </w:rPr>
        <w:t>ë</w:t>
      </w:r>
      <w:r w:rsidRPr="00FA5606">
        <w:rPr>
          <w:rFonts w:eastAsia="Garamond" w:cstheme="minorHAnsi"/>
          <w:spacing w:val="1"/>
        </w:rPr>
        <w:t xml:space="preserve"> </w:t>
      </w:r>
      <w:r w:rsidRPr="00FA5606">
        <w:rPr>
          <w:rFonts w:eastAsia="Garamond" w:cstheme="minorHAnsi"/>
          <w:spacing w:val="-5"/>
        </w:rPr>
        <w:t>t</w:t>
      </w:r>
      <w:r w:rsidRPr="00FA5606">
        <w:rPr>
          <w:rFonts w:eastAsia="Garamond" w:cstheme="minorHAnsi"/>
          <w:spacing w:val="-2"/>
        </w:rPr>
        <w:t>y</w:t>
      </w:r>
      <w:r w:rsidRPr="00FA5606">
        <w:rPr>
          <w:rFonts w:eastAsia="Garamond" w:cstheme="minorHAnsi"/>
          <w:spacing w:val="-6"/>
        </w:rPr>
        <w:t>r</w:t>
      </w:r>
      <w:r w:rsidRPr="00FA5606">
        <w:rPr>
          <w:rFonts w:eastAsia="Garamond" w:cstheme="minorHAnsi"/>
        </w:rPr>
        <w:t>e</w:t>
      </w:r>
      <w:r w:rsidRPr="00FA5606">
        <w:rPr>
          <w:rFonts w:eastAsia="Garamond" w:cstheme="minorHAnsi"/>
          <w:spacing w:val="1"/>
        </w:rPr>
        <w:t xml:space="preserve"> </w:t>
      </w:r>
      <w:r w:rsidRPr="00FA5606">
        <w:rPr>
          <w:rFonts w:eastAsia="Garamond" w:cstheme="minorHAnsi"/>
          <w:spacing w:val="-2"/>
        </w:rPr>
        <w:t>p</w:t>
      </w:r>
      <w:r w:rsidRPr="00FA5606">
        <w:rPr>
          <w:rFonts w:eastAsia="Garamond" w:cstheme="minorHAnsi"/>
          <w:spacing w:val="-6"/>
        </w:rPr>
        <w:t>r</w:t>
      </w:r>
      <w:r w:rsidRPr="00FA5606">
        <w:rPr>
          <w:rFonts w:eastAsia="Garamond" w:cstheme="minorHAnsi"/>
          <w:spacing w:val="-2"/>
        </w:rPr>
        <w:t>o</w:t>
      </w:r>
      <w:r w:rsidRPr="00FA5606">
        <w:rPr>
          <w:rFonts w:eastAsia="Garamond" w:cstheme="minorHAnsi"/>
          <w:spacing w:val="-5"/>
        </w:rPr>
        <w:t>f</w:t>
      </w:r>
      <w:r w:rsidRPr="00FA5606">
        <w:rPr>
          <w:rFonts w:eastAsia="Garamond" w:cstheme="minorHAnsi"/>
          <w:spacing w:val="-2"/>
        </w:rPr>
        <w:t>e</w:t>
      </w:r>
      <w:r w:rsidRPr="00FA5606">
        <w:rPr>
          <w:rFonts w:eastAsia="Garamond" w:cstheme="minorHAnsi"/>
          <w:spacing w:val="-6"/>
        </w:rPr>
        <w:t>s</w:t>
      </w:r>
      <w:r w:rsidRPr="00FA5606">
        <w:rPr>
          <w:rFonts w:eastAsia="Garamond" w:cstheme="minorHAnsi"/>
          <w:spacing w:val="-5"/>
        </w:rPr>
        <w:t>i</w:t>
      </w:r>
      <w:r w:rsidRPr="00FA5606">
        <w:rPr>
          <w:rFonts w:eastAsia="Garamond" w:cstheme="minorHAnsi"/>
          <w:spacing w:val="-2"/>
        </w:rPr>
        <w:t>o</w:t>
      </w:r>
      <w:r w:rsidRPr="00FA5606">
        <w:rPr>
          <w:rFonts w:eastAsia="Garamond" w:cstheme="minorHAnsi"/>
          <w:spacing w:val="-5"/>
        </w:rPr>
        <w:t>n</w:t>
      </w:r>
      <w:r w:rsidRPr="00FA5606">
        <w:rPr>
          <w:rFonts w:eastAsia="Garamond" w:cstheme="minorHAnsi"/>
          <w:spacing w:val="-4"/>
        </w:rPr>
        <w:t>a</w:t>
      </w:r>
      <w:r w:rsidRPr="00FA5606">
        <w:rPr>
          <w:rFonts w:eastAsia="Garamond" w:cstheme="minorHAnsi"/>
          <w:spacing w:val="-2"/>
        </w:rPr>
        <w:t>l</w:t>
      </w:r>
      <w:r w:rsidRPr="00FA5606">
        <w:rPr>
          <w:rFonts w:eastAsia="Garamond" w:cstheme="minorHAnsi"/>
        </w:rPr>
        <w:t>e</w:t>
      </w:r>
      <w:r w:rsidRPr="00FA5606">
        <w:rPr>
          <w:rFonts w:eastAsia="Garamond" w:cstheme="minorHAnsi"/>
          <w:spacing w:val="1"/>
        </w:rPr>
        <w:t xml:space="preserve"> </w:t>
      </w:r>
      <w:r w:rsidRPr="00FA5606">
        <w:rPr>
          <w:rFonts w:eastAsia="Garamond" w:cstheme="minorHAnsi"/>
        </w:rPr>
        <w:t>e</w:t>
      </w:r>
      <w:r w:rsidRPr="00FA5606">
        <w:rPr>
          <w:rFonts w:eastAsia="Garamond" w:cstheme="minorHAnsi"/>
          <w:spacing w:val="1"/>
        </w:rPr>
        <w:t xml:space="preserve"> </w:t>
      </w:r>
      <w:r w:rsidRPr="00FA5606">
        <w:rPr>
          <w:rFonts w:eastAsia="Garamond" w:cstheme="minorHAnsi"/>
          <w:spacing w:val="-5"/>
        </w:rPr>
        <w:t>t</w:t>
      </w:r>
      <w:r w:rsidRPr="00FA5606">
        <w:rPr>
          <w:rFonts w:eastAsia="Garamond" w:cstheme="minorHAnsi"/>
        </w:rPr>
        <w:t>ë</w:t>
      </w:r>
      <w:r w:rsidRPr="00FA5606">
        <w:rPr>
          <w:rFonts w:eastAsia="Garamond" w:cstheme="minorHAnsi"/>
          <w:spacing w:val="1"/>
        </w:rPr>
        <w:t xml:space="preserve"> </w:t>
      </w:r>
      <w:r w:rsidRPr="00FA5606">
        <w:rPr>
          <w:rFonts w:eastAsia="Garamond" w:cstheme="minorHAnsi"/>
          <w:spacing w:val="-6"/>
        </w:rPr>
        <w:t>s</w:t>
      </w:r>
      <w:r w:rsidRPr="00FA5606">
        <w:rPr>
          <w:rFonts w:eastAsia="Garamond" w:cstheme="minorHAnsi"/>
          <w:spacing w:val="-5"/>
        </w:rPr>
        <w:t>hp</w:t>
      </w:r>
      <w:r w:rsidRPr="00FA5606">
        <w:rPr>
          <w:rFonts w:eastAsia="Garamond" w:cstheme="minorHAnsi"/>
          <w:spacing w:val="-6"/>
        </w:rPr>
        <w:t>r</w:t>
      </w:r>
      <w:r w:rsidRPr="00FA5606">
        <w:rPr>
          <w:rFonts w:eastAsia="Garamond" w:cstheme="minorHAnsi"/>
          <w:spacing w:val="-2"/>
        </w:rPr>
        <w:t>e</w:t>
      </w:r>
      <w:r w:rsidRPr="00FA5606">
        <w:rPr>
          <w:rFonts w:eastAsia="Garamond" w:cstheme="minorHAnsi"/>
          <w:spacing w:val="-5"/>
        </w:rPr>
        <w:t>hiv</w:t>
      </w:r>
      <w:r w:rsidRPr="00FA5606">
        <w:rPr>
          <w:rFonts w:eastAsia="Garamond" w:cstheme="minorHAnsi"/>
        </w:rPr>
        <w:t>e</w:t>
      </w:r>
      <w:r w:rsidRPr="00FA5606">
        <w:rPr>
          <w:rFonts w:eastAsia="Garamond" w:cstheme="minorHAnsi"/>
          <w:spacing w:val="1"/>
        </w:rPr>
        <w:t xml:space="preserve"> </w:t>
      </w:r>
      <w:r w:rsidRPr="00FA5606">
        <w:rPr>
          <w:rFonts w:eastAsia="Garamond" w:cstheme="minorHAnsi"/>
          <w:spacing w:val="-5"/>
        </w:rPr>
        <w:t>t</w:t>
      </w:r>
      <w:r w:rsidRPr="00FA5606">
        <w:rPr>
          <w:rFonts w:eastAsia="Garamond" w:cstheme="minorHAnsi"/>
        </w:rPr>
        <w:t>ë</w:t>
      </w:r>
      <w:r w:rsidRPr="00FA5606">
        <w:rPr>
          <w:rFonts w:eastAsia="Garamond" w:cstheme="minorHAnsi"/>
          <w:spacing w:val="1"/>
        </w:rPr>
        <w:t xml:space="preserve"> </w:t>
      </w:r>
      <w:r w:rsidRPr="00FA5606">
        <w:rPr>
          <w:rFonts w:eastAsia="Garamond" w:cstheme="minorHAnsi"/>
          <w:spacing w:val="-5"/>
        </w:rPr>
        <w:t>t</w:t>
      </w:r>
      <w:r w:rsidRPr="00FA5606">
        <w:rPr>
          <w:rFonts w:eastAsia="Garamond" w:cstheme="minorHAnsi"/>
          <w:spacing w:val="-2"/>
        </w:rPr>
        <w:t>y</w:t>
      </w:r>
      <w:r w:rsidRPr="00FA5606">
        <w:rPr>
          <w:rFonts w:eastAsia="Garamond" w:cstheme="minorHAnsi"/>
          <w:spacing w:val="-6"/>
        </w:rPr>
        <w:t>r</w:t>
      </w:r>
      <w:r w:rsidRPr="00FA5606">
        <w:rPr>
          <w:rFonts w:eastAsia="Garamond" w:cstheme="minorHAnsi"/>
        </w:rPr>
        <w:t xml:space="preserve">e </w:t>
      </w:r>
      <w:r w:rsidRPr="00FA5606">
        <w:rPr>
          <w:rFonts w:eastAsia="Garamond" w:cstheme="minorHAnsi"/>
          <w:spacing w:val="-5"/>
        </w:rPr>
        <w:t>p</w:t>
      </w:r>
      <w:r w:rsidRPr="00FA5606">
        <w:rPr>
          <w:rFonts w:eastAsia="Garamond" w:cstheme="minorHAnsi"/>
          <w:spacing w:val="-6"/>
        </w:rPr>
        <w:t>r</w:t>
      </w:r>
      <w:r w:rsidRPr="00FA5606">
        <w:rPr>
          <w:rFonts w:eastAsia="Garamond" w:cstheme="minorHAnsi"/>
          <w:spacing w:val="-4"/>
        </w:rPr>
        <w:t>a</w:t>
      </w:r>
      <w:r w:rsidRPr="00FA5606">
        <w:rPr>
          <w:rFonts w:eastAsia="Garamond" w:cstheme="minorHAnsi"/>
          <w:spacing w:val="-2"/>
        </w:rPr>
        <w:t>k</w:t>
      </w:r>
      <w:r w:rsidRPr="00FA5606">
        <w:rPr>
          <w:rFonts w:eastAsia="Garamond" w:cstheme="minorHAnsi"/>
          <w:spacing w:val="-5"/>
        </w:rPr>
        <w:t>ti</w:t>
      </w:r>
      <w:r w:rsidRPr="00FA5606">
        <w:rPr>
          <w:rFonts w:eastAsia="Garamond" w:cstheme="minorHAnsi"/>
          <w:spacing w:val="-4"/>
        </w:rPr>
        <w:t>k</w:t>
      </w:r>
      <w:r w:rsidRPr="00FA5606">
        <w:rPr>
          <w:rFonts w:eastAsia="Garamond" w:cstheme="minorHAnsi"/>
        </w:rPr>
        <w:t>e</w:t>
      </w:r>
      <w:r w:rsidRPr="00FA5606">
        <w:rPr>
          <w:rFonts w:eastAsia="Garamond" w:cstheme="minorHAnsi"/>
          <w:spacing w:val="-6"/>
        </w:rPr>
        <w:t xml:space="preserve"> </w:t>
      </w:r>
      <w:r w:rsidRPr="00FA5606">
        <w:rPr>
          <w:rFonts w:eastAsia="Garamond" w:cstheme="minorHAnsi"/>
          <w:spacing w:val="-5"/>
        </w:rPr>
        <w:t>n</w:t>
      </w:r>
      <w:r w:rsidRPr="00FA5606">
        <w:rPr>
          <w:rFonts w:eastAsia="Garamond" w:cstheme="minorHAnsi"/>
        </w:rPr>
        <w:t>ë</w:t>
      </w:r>
      <w:r w:rsidRPr="00FA5606">
        <w:rPr>
          <w:rFonts w:eastAsia="Garamond" w:cstheme="minorHAnsi"/>
          <w:spacing w:val="-6"/>
        </w:rPr>
        <w:t xml:space="preserve"> </w:t>
      </w:r>
      <w:r w:rsidRPr="00FA5606">
        <w:rPr>
          <w:rFonts w:eastAsia="Garamond" w:cstheme="minorHAnsi"/>
          <w:spacing w:val="-5"/>
        </w:rPr>
        <w:t>njo</w:t>
      </w:r>
      <w:r w:rsidRPr="00FA5606">
        <w:rPr>
          <w:rFonts w:eastAsia="Garamond" w:cstheme="minorHAnsi"/>
          <w:spacing w:val="-2"/>
        </w:rPr>
        <w:t>h</w:t>
      </w:r>
      <w:r w:rsidRPr="00FA5606">
        <w:rPr>
          <w:rFonts w:eastAsia="Garamond" w:cstheme="minorHAnsi"/>
          <w:spacing w:val="-5"/>
        </w:rPr>
        <w:t>j</w:t>
      </w:r>
      <w:r w:rsidRPr="00FA5606">
        <w:rPr>
          <w:rFonts w:eastAsia="Garamond" w:cstheme="minorHAnsi"/>
        </w:rPr>
        <w:t>e</w:t>
      </w:r>
      <w:r w:rsidRPr="00FA5606">
        <w:rPr>
          <w:rFonts w:eastAsia="Garamond" w:cstheme="minorHAnsi"/>
          <w:spacing w:val="-9"/>
        </w:rPr>
        <w:t xml:space="preserve"> </w:t>
      </w:r>
      <w:r w:rsidR="00F87048">
        <w:rPr>
          <w:rFonts w:eastAsia="Garamond" w:cstheme="minorHAnsi"/>
          <w:spacing w:val="-5"/>
        </w:rPr>
        <w:t>t</w:t>
      </w:r>
      <w:r w:rsidR="00F87048" w:rsidRPr="004E1F53">
        <w:rPr>
          <w:rFonts w:eastAsia="Garamond" w:cstheme="minorHAnsi"/>
          <w:spacing w:val="-2"/>
        </w:rPr>
        <w:t>ë</w:t>
      </w:r>
      <w:r w:rsidRPr="00FA5606">
        <w:rPr>
          <w:rFonts w:eastAsia="Garamond" w:cstheme="minorHAnsi"/>
          <w:spacing w:val="-4"/>
        </w:rPr>
        <w:t xml:space="preserve"> </w:t>
      </w:r>
      <w:r w:rsidRPr="00FA5606">
        <w:rPr>
          <w:rFonts w:eastAsia="Garamond" w:cstheme="minorHAnsi"/>
          <w:spacing w:val="-6"/>
        </w:rPr>
        <w:t>s</w:t>
      </w:r>
      <w:r w:rsidRPr="00FA5606">
        <w:rPr>
          <w:rFonts w:eastAsia="Garamond" w:cstheme="minorHAnsi"/>
          <w:spacing w:val="-2"/>
        </w:rPr>
        <w:t>i</w:t>
      </w:r>
      <w:r w:rsidRPr="00FA5606">
        <w:rPr>
          <w:rFonts w:eastAsia="Garamond" w:cstheme="minorHAnsi"/>
          <w:spacing w:val="-6"/>
        </w:rPr>
        <w:t>s</w:t>
      </w:r>
      <w:r w:rsidRPr="00FA5606">
        <w:rPr>
          <w:rFonts w:eastAsia="Garamond" w:cstheme="minorHAnsi"/>
          <w:spacing w:val="-5"/>
        </w:rPr>
        <w:t>t</w:t>
      </w:r>
      <w:r w:rsidRPr="00FA5606">
        <w:rPr>
          <w:rFonts w:eastAsia="Garamond" w:cstheme="minorHAnsi"/>
          <w:spacing w:val="-2"/>
        </w:rPr>
        <w:t>e</w:t>
      </w:r>
      <w:r w:rsidRPr="00FA5606">
        <w:rPr>
          <w:rFonts w:eastAsia="Garamond" w:cstheme="minorHAnsi"/>
          <w:spacing w:val="-5"/>
        </w:rPr>
        <w:t>mi</w:t>
      </w:r>
      <w:r w:rsidR="00F87048">
        <w:rPr>
          <w:rFonts w:eastAsia="Garamond" w:cstheme="minorHAnsi"/>
        </w:rPr>
        <w:t>t</w:t>
      </w:r>
      <w:r w:rsidRPr="00FA5606">
        <w:rPr>
          <w:rFonts w:eastAsia="Garamond" w:cstheme="minorHAnsi"/>
          <w:spacing w:val="-10"/>
        </w:rPr>
        <w:t xml:space="preserve"> </w:t>
      </w:r>
      <w:r w:rsidRPr="00FA5606">
        <w:rPr>
          <w:rFonts w:eastAsia="Garamond" w:cstheme="minorHAnsi"/>
          <w:spacing w:val="-1"/>
        </w:rPr>
        <w:t>a</w:t>
      </w:r>
      <w:r w:rsidRPr="00FA5606">
        <w:rPr>
          <w:rFonts w:eastAsia="Garamond" w:cstheme="minorHAnsi"/>
          <w:spacing w:val="-5"/>
        </w:rPr>
        <w:t>dm</w:t>
      </w:r>
      <w:r w:rsidRPr="00FA5606">
        <w:rPr>
          <w:rFonts w:eastAsia="Garamond" w:cstheme="minorHAnsi"/>
          <w:spacing w:val="-2"/>
        </w:rPr>
        <w:t>i</w:t>
      </w:r>
      <w:r w:rsidRPr="00FA5606">
        <w:rPr>
          <w:rFonts w:eastAsia="Garamond" w:cstheme="minorHAnsi"/>
          <w:spacing w:val="-5"/>
        </w:rPr>
        <w:t>n</w:t>
      </w:r>
      <w:r w:rsidRPr="00FA5606">
        <w:rPr>
          <w:rFonts w:eastAsia="Garamond" w:cstheme="minorHAnsi"/>
          <w:spacing w:val="-2"/>
        </w:rPr>
        <w:t>i</w:t>
      </w:r>
      <w:r w:rsidRPr="00FA5606">
        <w:rPr>
          <w:rFonts w:eastAsia="Garamond" w:cstheme="minorHAnsi"/>
          <w:spacing w:val="-6"/>
        </w:rPr>
        <w:t>s</w:t>
      </w:r>
      <w:r w:rsidRPr="00FA5606">
        <w:rPr>
          <w:rFonts w:eastAsia="Garamond" w:cstheme="minorHAnsi"/>
          <w:spacing w:val="-3"/>
        </w:rPr>
        <w:t>t</w:t>
      </w:r>
      <w:r w:rsidRPr="00FA5606">
        <w:rPr>
          <w:rFonts w:eastAsia="Garamond" w:cstheme="minorHAnsi"/>
          <w:spacing w:val="-6"/>
        </w:rPr>
        <w:t>r</w:t>
      </w:r>
      <w:r w:rsidRPr="00FA5606">
        <w:rPr>
          <w:rFonts w:eastAsia="Garamond" w:cstheme="minorHAnsi"/>
          <w:spacing w:val="-4"/>
        </w:rPr>
        <w:t>a</w:t>
      </w:r>
      <w:r w:rsidRPr="00FA5606">
        <w:rPr>
          <w:rFonts w:eastAsia="Garamond" w:cstheme="minorHAnsi"/>
          <w:spacing w:val="-3"/>
        </w:rPr>
        <w:t>t</w:t>
      </w:r>
      <w:r w:rsidRPr="00FA5606">
        <w:rPr>
          <w:rFonts w:eastAsia="Garamond" w:cstheme="minorHAnsi"/>
          <w:spacing w:val="-5"/>
        </w:rPr>
        <w:t>i</w:t>
      </w:r>
      <w:r w:rsidRPr="00FA5606">
        <w:rPr>
          <w:rFonts w:eastAsia="Garamond" w:cstheme="minorHAnsi"/>
        </w:rPr>
        <w:t>v</w:t>
      </w:r>
      <w:r w:rsidRPr="00FA5606">
        <w:rPr>
          <w:rFonts w:eastAsia="Garamond" w:cstheme="minorHAnsi"/>
          <w:spacing w:val="-7"/>
        </w:rPr>
        <w:t xml:space="preserve"> </w:t>
      </w:r>
      <w:r w:rsidRPr="00FA5606">
        <w:rPr>
          <w:rFonts w:eastAsia="Garamond" w:cstheme="minorHAnsi"/>
          <w:spacing w:val="-5"/>
        </w:rPr>
        <w:t>pub</w:t>
      </w:r>
      <w:r w:rsidRPr="00FA5606">
        <w:rPr>
          <w:rFonts w:eastAsia="Garamond" w:cstheme="minorHAnsi"/>
          <w:spacing w:val="-2"/>
        </w:rPr>
        <w:t>l</w:t>
      </w:r>
      <w:r w:rsidRPr="00FA5606">
        <w:rPr>
          <w:rFonts w:eastAsia="Garamond" w:cstheme="minorHAnsi"/>
          <w:spacing w:val="-5"/>
        </w:rPr>
        <w:t xml:space="preserve">ik. Ky program ka mundësuar një praktikë që ka </w:t>
      </w:r>
      <w:r w:rsidRPr="00FA5606">
        <w:rPr>
          <w:rFonts w:eastAsia="Garamond" w:cstheme="minorHAnsi"/>
          <w:spacing w:val="-4"/>
        </w:rPr>
        <w:t>zg</w:t>
      </w:r>
      <w:r w:rsidRPr="00FA5606">
        <w:rPr>
          <w:rFonts w:eastAsia="Garamond" w:cstheme="minorHAnsi"/>
          <w:spacing w:val="-5"/>
        </w:rPr>
        <w:t>j</w:t>
      </w:r>
      <w:r w:rsidRPr="00FA5606">
        <w:rPr>
          <w:rFonts w:eastAsia="Garamond" w:cstheme="minorHAnsi"/>
          <w:spacing w:val="-1"/>
        </w:rPr>
        <w:t>a</w:t>
      </w:r>
      <w:r w:rsidRPr="00FA5606">
        <w:rPr>
          <w:rFonts w:eastAsia="Garamond" w:cstheme="minorHAnsi"/>
        </w:rPr>
        <w:t>tur</w:t>
      </w:r>
      <w:r w:rsidRPr="00FA5606">
        <w:rPr>
          <w:rFonts w:eastAsia="Garamond" w:cstheme="minorHAnsi"/>
          <w:spacing w:val="3"/>
        </w:rPr>
        <w:t xml:space="preserve"> </w:t>
      </w:r>
      <w:r w:rsidRPr="00FA5606">
        <w:rPr>
          <w:rFonts w:eastAsia="Garamond" w:cstheme="minorHAnsi"/>
        </w:rPr>
        <w:t>3</w:t>
      </w:r>
      <w:r w:rsidRPr="00FA5606">
        <w:rPr>
          <w:rFonts w:eastAsia="Garamond" w:cstheme="minorHAnsi"/>
          <w:spacing w:val="1"/>
        </w:rPr>
        <w:t xml:space="preserve"> </w:t>
      </w:r>
      <w:r w:rsidRPr="00FA5606">
        <w:rPr>
          <w:rFonts w:eastAsia="Garamond" w:cstheme="minorHAnsi"/>
          <w:spacing w:val="-5"/>
        </w:rPr>
        <w:t>mu</w:t>
      </w:r>
      <w:r w:rsidRPr="00FA5606">
        <w:rPr>
          <w:rFonts w:eastAsia="Garamond" w:cstheme="minorHAnsi"/>
          <w:spacing w:val="-1"/>
        </w:rPr>
        <w:t>a</w:t>
      </w:r>
      <w:r w:rsidRPr="00FA5606">
        <w:rPr>
          <w:rFonts w:eastAsia="Garamond" w:cstheme="minorHAnsi"/>
        </w:rPr>
        <w:t>j</w:t>
      </w:r>
      <w:r w:rsidRPr="00FA5606">
        <w:rPr>
          <w:rFonts w:eastAsia="Garamond" w:cstheme="minorHAnsi"/>
          <w:spacing w:val="1"/>
        </w:rPr>
        <w:t xml:space="preserve"> </w:t>
      </w:r>
      <w:r w:rsidRPr="00FA5606">
        <w:rPr>
          <w:rFonts w:eastAsia="Garamond" w:cstheme="minorHAnsi"/>
        </w:rPr>
        <w:t>duke ofruar kështu në fund të praktikës dhe kontrata pune 1 vjeçare për 200 të rinj çdo vit. Deri tani k</w:t>
      </w:r>
      <w:r w:rsidRPr="00FA5606">
        <w:rPr>
          <w:rFonts w:eastAsia="Garamond" w:cstheme="minorHAnsi"/>
          <w:spacing w:val="-5"/>
        </w:rPr>
        <w:t xml:space="preserve">a përfshirë 1,740 studentë apo profesionistë te rinj/studentë të diplomuar. </w:t>
      </w:r>
      <w:r w:rsidRPr="00FA5606">
        <w:rPr>
          <w:rFonts w:cstheme="minorHAnsi"/>
          <w:spacing w:val="-3"/>
        </w:rPr>
        <w:t xml:space="preserve">Pavarësisht se praktikat profesionale ofrohen si mundësi për studentët e diplomuar, ka ende shumë hapësira që duhen shfrytëzuar brenda vetë administratës publike. Nga ana tjetër ka nevojë </w:t>
      </w:r>
      <w:r w:rsidR="00BE0258">
        <w:rPr>
          <w:rFonts w:cstheme="minorHAnsi"/>
          <w:spacing w:val="-3"/>
        </w:rPr>
        <w:t>t</w:t>
      </w:r>
      <w:r w:rsidR="00BE0258" w:rsidRPr="004E1F53">
        <w:rPr>
          <w:rFonts w:cstheme="minorHAnsi"/>
          <w:spacing w:val="-3"/>
        </w:rPr>
        <w:t>ë</w:t>
      </w:r>
      <w:r w:rsidRPr="00FA5606">
        <w:rPr>
          <w:rFonts w:cstheme="minorHAnsi"/>
          <w:spacing w:val="-3"/>
        </w:rPr>
        <w:t xml:space="preserve"> nxiten dhe mbështeten studentë</w:t>
      </w:r>
      <w:r w:rsidR="00BE0258">
        <w:rPr>
          <w:rFonts w:cstheme="minorHAnsi"/>
          <w:spacing w:val="-3"/>
        </w:rPr>
        <w:t>t</w:t>
      </w:r>
      <w:r w:rsidRPr="00FA5606">
        <w:rPr>
          <w:rFonts w:cstheme="minorHAnsi"/>
          <w:spacing w:val="-3"/>
        </w:rPr>
        <w:t xml:space="preserve"> për të zhvilluar praktikat profesionale edhe pranë kompanive private. </w:t>
      </w:r>
      <w:sdt>
        <w:sdtPr>
          <w:rPr>
            <w:rFonts w:cstheme="minorHAnsi"/>
            <w:spacing w:val="-3"/>
          </w:rPr>
          <w:id w:val="856539857"/>
          <w:citation/>
        </w:sdtPr>
        <w:sdtEndPr/>
        <w:sdtContent>
          <w:r w:rsidR="00EC56B7" w:rsidRPr="00E97254">
            <w:rPr>
              <w:rFonts w:cstheme="minorHAnsi"/>
              <w:spacing w:val="-3"/>
            </w:rPr>
            <w:fldChar w:fldCharType="begin"/>
          </w:r>
          <w:r w:rsidRPr="00FA5606">
            <w:rPr>
              <w:rFonts w:cstheme="minorHAnsi"/>
              <w:spacing w:val="-3"/>
            </w:rPr>
            <w:instrText xml:space="preserve"> CITATION Kës18 \l 1033 </w:instrText>
          </w:r>
          <w:r w:rsidR="00EC56B7" w:rsidRPr="00E97254">
            <w:rPr>
              <w:rFonts w:cstheme="minorHAnsi"/>
              <w:spacing w:val="-3"/>
            </w:rPr>
            <w:fldChar w:fldCharType="separate"/>
          </w:r>
          <w:r w:rsidR="00724BCC" w:rsidRPr="00E97254">
            <w:rPr>
              <w:rFonts w:cstheme="minorHAnsi"/>
              <w:spacing w:val="-3"/>
            </w:rPr>
            <w:t>[23]</w:t>
          </w:r>
          <w:r w:rsidR="00EC56B7" w:rsidRPr="00E97254">
            <w:rPr>
              <w:rFonts w:cstheme="minorHAnsi"/>
              <w:spacing w:val="-3"/>
            </w:rPr>
            <w:fldChar w:fldCharType="end"/>
          </w:r>
        </w:sdtContent>
      </w:sdt>
    </w:p>
    <w:p w:rsidR="00C44BF6" w:rsidRPr="00E97254" w:rsidRDefault="00C44BF6" w:rsidP="000C0250">
      <w:pPr>
        <w:spacing w:after="0"/>
        <w:jc w:val="both"/>
        <w:rPr>
          <w:rFonts w:ascii="Calibri" w:hAnsi="Calibri" w:cs="Calibri"/>
        </w:rPr>
      </w:pPr>
      <w:r w:rsidRPr="00E97254">
        <w:rPr>
          <w:rFonts w:ascii="Calibri" w:hAnsi="Calibri" w:cs="Calibri"/>
        </w:rPr>
        <w:t xml:space="preserve">Në vitin akademik </w:t>
      </w:r>
      <w:r w:rsidR="00D5577A" w:rsidRPr="00E97254">
        <w:rPr>
          <w:rFonts w:ascii="Calibri" w:hAnsi="Calibri" w:cs="Calibri"/>
        </w:rPr>
        <w:t xml:space="preserve">2018/19 personeli </w:t>
      </w:r>
      <w:r w:rsidR="00FA5606" w:rsidRPr="00FA5606">
        <w:rPr>
          <w:rFonts w:ascii="Calibri" w:hAnsi="Calibri" w:cs="Calibri"/>
        </w:rPr>
        <w:t xml:space="preserve">mësimor efektiv në IAL-të shqiptare përbëhej nga 4,844 pedagogë </w:t>
      </w:r>
      <w:sdt>
        <w:sdtPr>
          <w:rPr>
            <w:rFonts w:ascii="Calibri" w:hAnsi="Calibri" w:cs="Calibri"/>
          </w:rPr>
          <w:id w:val="-1026491764"/>
          <w:citation/>
        </w:sdtPr>
        <w:sdtEndPr/>
        <w:sdtContent>
          <w:r w:rsidR="00EC56B7" w:rsidRPr="00E97254">
            <w:rPr>
              <w:rFonts w:ascii="Calibri" w:hAnsi="Calibri" w:cs="Calibri"/>
            </w:rPr>
            <w:fldChar w:fldCharType="begin"/>
          </w:r>
          <w:r w:rsidR="00FA5606" w:rsidRPr="00FA5606">
            <w:rPr>
              <w:rFonts w:ascii="Calibri" w:hAnsi="Calibri" w:cs="Calibri"/>
            </w:rPr>
            <w:instrText xml:space="preserve"> CITATION INS192 \l 1033 </w:instrText>
          </w:r>
          <w:r w:rsidR="00EC56B7" w:rsidRPr="00E97254">
            <w:rPr>
              <w:rFonts w:ascii="Calibri" w:hAnsi="Calibri" w:cs="Calibri"/>
            </w:rPr>
            <w:fldChar w:fldCharType="separate"/>
          </w:r>
          <w:r w:rsidR="00724BCC" w:rsidRPr="00E97254">
            <w:rPr>
              <w:rFonts w:ascii="Calibri" w:hAnsi="Calibri" w:cs="Calibri"/>
            </w:rPr>
            <w:t>[33]</w:t>
          </w:r>
          <w:r w:rsidR="00EC56B7" w:rsidRPr="00E97254">
            <w:rPr>
              <w:rFonts w:ascii="Calibri" w:hAnsi="Calibri" w:cs="Calibri"/>
            </w:rPr>
            <w:fldChar w:fldCharType="end"/>
          </w:r>
        </w:sdtContent>
      </w:sdt>
      <w:r w:rsidRPr="00E97254">
        <w:rPr>
          <w:rFonts w:ascii="Calibri" w:hAnsi="Calibri" w:cs="Calibri"/>
        </w:rPr>
        <w:t xml:space="preserve"> ose 28.7 studentë për një pedagog. Në këtë aspekt, arsimi i lartë shqiptar është nën standardet e arsimit të lartë në BE, ku raporti student-pedagog është 15.4, si dhe në vendet kandidate si Turqia, Serbia e Maqedonia e Veriut ku numri i studentëve për një pedagog është 25.6, 24.2 dhe 15.3 përkatësisht</w:t>
      </w:r>
      <w:r w:rsidRPr="00E97254">
        <w:rPr>
          <w:rStyle w:val="FootnoteReference"/>
          <w:rFonts w:ascii="Calibri" w:hAnsi="Calibri" w:cs="Calibri"/>
        </w:rPr>
        <w:footnoteReference w:id="9"/>
      </w:r>
      <w:r w:rsidRPr="00E97254">
        <w:rPr>
          <w:rFonts w:ascii="Calibri" w:hAnsi="Calibri" w:cs="Calibri"/>
        </w:rPr>
        <w:t xml:space="preserve">. </w:t>
      </w:r>
      <w:r w:rsidRPr="00E97254">
        <w:rPr>
          <w:rFonts w:ascii="Calibri" w:hAnsi="Calibri" w:cs="Calibri"/>
        </w:rPr>
        <w:lastRenderedPageBreak/>
        <w:t xml:space="preserve">Pagat e pedagogëve në IAL nuk janë stimuluese, </w:t>
      </w:r>
      <w:r w:rsidR="00BE0258" w:rsidRPr="00E97254">
        <w:rPr>
          <w:rFonts w:ascii="Calibri" w:hAnsi="Calibri" w:cs="Calibri"/>
        </w:rPr>
        <w:t>ndër</w:t>
      </w:r>
      <w:r w:rsidR="00BE0258">
        <w:rPr>
          <w:rFonts w:ascii="Calibri" w:hAnsi="Calibri" w:cs="Calibri"/>
        </w:rPr>
        <w:t>sa</w:t>
      </w:r>
      <w:r w:rsidR="00BE0258" w:rsidRPr="00E97254">
        <w:rPr>
          <w:rFonts w:ascii="Calibri" w:hAnsi="Calibri" w:cs="Calibri"/>
        </w:rPr>
        <w:t xml:space="preserve"> </w:t>
      </w:r>
      <w:r w:rsidRPr="00E97254">
        <w:rPr>
          <w:rFonts w:ascii="Calibri" w:hAnsi="Calibri" w:cs="Calibri"/>
        </w:rPr>
        <w:t>ngarkesa mësimore e tyre është e konsiderueshme, duke lënë pak kohë për punë kërkimore.</w:t>
      </w:r>
      <w:r w:rsidR="002B257B" w:rsidRPr="00E97254">
        <w:rPr>
          <w:rFonts w:ascii="Calibri" w:hAnsi="Calibri" w:cs="Calibri"/>
        </w:rPr>
        <w:t xml:space="preserve"> </w:t>
      </w:r>
      <w:r w:rsidRPr="00E97254">
        <w:rPr>
          <w:rFonts w:ascii="Calibri" w:hAnsi="Calibri" w:cs="Calibri"/>
        </w:rPr>
        <w:t xml:space="preserve">Kërkimi shkencor në </w:t>
      </w:r>
      <w:r w:rsidR="00FA5606" w:rsidRPr="00FA5606">
        <w:rPr>
          <w:rFonts w:ascii="Calibri" w:hAnsi="Calibri" w:cs="Calibri"/>
        </w:rPr>
        <w:t xml:space="preserve">IAL është në nivel më të ulët krahasuar me IAL-të </w:t>
      </w:r>
      <w:r w:rsidR="00FA5606" w:rsidRPr="00FA5606">
        <w:rPr>
          <w:rFonts w:cs="Calibri"/>
        </w:rPr>
        <w:t>evropiane</w:t>
      </w:r>
      <w:r w:rsidR="00FA5606" w:rsidRPr="00FA5606">
        <w:rPr>
          <w:rFonts w:ascii="Calibri" w:hAnsi="Calibri" w:cs="Calibri"/>
        </w:rPr>
        <w:t xml:space="preserve"> dhe ato të rajonit, ndërsa puna kërkimore, të shumtën, është rezultat i nismave individuale të pedagogëve e jo aktivitet i institucionalizuar. Avancimi në karrierë i personelit akademik varet kryesisht nga rezultatet në punën kërkimore, ndërk</w:t>
      </w:r>
      <w:r w:rsidR="00BE0258">
        <w:rPr>
          <w:rFonts w:ascii="Calibri" w:hAnsi="Calibri" w:cs="Calibri"/>
        </w:rPr>
        <w:t>oh</w:t>
      </w:r>
      <w:r w:rsidR="00BE0258" w:rsidRPr="004E1F53">
        <w:rPr>
          <w:rFonts w:cstheme="minorHAnsi"/>
          <w:spacing w:val="-3"/>
        </w:rPr>
        <w:t>ë</w:t>
      </w:r>
      <w:r w:rsidR="00BE0258">
        <w:rPr>
          <w:rFonts w:cstheme="minorHAnsi"/>
          <w:spacing w:val="-3"/>
        </w:rPr>
        <w:t xml:space="preserve"> q</w:t>
      </w:r>
      <w:r w:rsidR="00BE0258" w:rsidRPr="004E1F53">
        <w:rPr>
          <w:rFonts w:cstheme="minorHAnsi"/>
          <w:spacing w:val="-3"/>
        </w:rPr>
        <w:t>ë</w:t>
      </w:r>
      <w:r w:rsidR="00FA5606" w:rsidRPr="00FA5606">
        <w:rPr>
          <w:rFonts w:ascii="Calibri" w:hAnsi="Calibri" w:cs="Calibri"/>
        </w:rPr>
        <w:t xml:space="preserve"> më pak kujdes i kushtohet performancës në mësimdhënie. Megjithatë, vitet e fundit ka progres në këtë drejtim, në veçanti </w:t>
      </w:r>
      <w:r w:rsidR="00A50A43">
        <w:rPr>
          <w:rFonts w:ascii="Calibri" w:hAnsi="Calibri" w:cs="Calibri"/>
        </w:rPr>
        <w:t>nëpërmjet</w:t>
      </w:r>
      <w:r w:rsidR="00FA5606" w:rsidRPr="00FA5606">
        <w:rPr>
          <w:rFonts w:ascii="Calibri" w:hAnsi="Calibri" w:cs="Calibri"/>
        </w:rPr>
        <w:t xml:space="preserve"> aplikimit të vlerësimit të mësimdhënies nga ana e studentëve, i cili realizohet </w:t>
      </w:r>
      <w:r w:rsidR="00A50A43">
        <w:rPr>
          <w:rFonts w:ascii="Calibri" w:hAnsi="Calibri" w:cs="Calibri"/>
        </w:rPr>
        <w:t>nëpërmjet</w:t>
      </w:r>
      <w:r w:rsidR="00FA5606" w:rsidRPr="00FA5606">
        <w:rPr>
          <w:rFonts w:ascii="Calibri" w:hAnsi="Calibri" w:cs="Calibri"/>
        </w:rPr>
        <w:t xml:space="preserve"> pyetësorëve anonimë </w:t>
      </w:r>
      <w:r w:rsidR="00FA5606" w:rsidRPr="00FA5606">
        <w:rPr>
          <w:rFonts w:cstheme="minorHAnsi"/>
          <w:szCs w:val="24"/>
        </w:rPr>
        <w:t>dhe nëpërmjet Sondazhit Kombëtar të Studentëve që realizohet nga ASCAL</w:t>
      </w:r>
      <w:r w:rsidR="00BE0258">
        <w:rPr>
          <w:rFonts w:cstheme="minorHAnsi"/>
          <w:szCs w:val="24"/>
        </w:rPr>
        <w:t>-i</w:t>
      </w:r>
      <w:r w:rsidR="00FA5606" w:rsidRPr="00FA5606">
        <w:rPr>
          <w:rFonts w:cstheme="minorHAnsi"/>
          <w:szCs w:val="24"/>
        </w:rPr>
        <w:t>, siç përcaktohet në vendimin nr. 783, datë 26.12.2018 të Këshillit të Ministrave “P</w:t>
      </w:r>
      <w:r w:rsidR="00FA5606" w:rsidRPr="00FA5606">
        <w:rPr>
          <w:rFonts w:cstheme="minorHAnsi"/>
          <w:bCs/>
          <w:szCs w:val="24"/>
        </w:rPr>
        <w:t>ër vlerësimin e performancës në mësimdhënie të personelit akademik në institucionet e arsimit të lartë, edhe nëpërmjet Sondazhit Kombëtar të Studentëve”</w:t>
      </w:r>
      <w:r w:rsidR="00FA5606" w:rsidRPr="00FA5606">
        <w:rPr>
          <w:rFonts w:ascii="Calibri" w:hAnsi="Calibri" w:cs="Calibri"/>
        </w:rPr>
        <w:t xml:space="preserve">. </w:t>
      </w:r>
      <w:r w:rsidR="00FA5606" w:rsidRPr="00FA5606">
        <w:rPr>
          <w:rFonts w:ascii="Calibri" w:hAnsi="Calibri" w:cs="Calibri"/>
          <w:color w:val="000000" w:themeColor="text1"/>
        </w:rPr>
        <w:t>Në fakt, në Shqipëri nuk ekziston asnjë formë e mbështetjes së organizuar për avancimin e mësimdhënies në arsimin e lartë.</w:t>
      </w:r>
    </w:p>
    <w:p w:rsidR="00226431" w:rsidRPr="00E97254" w:rsidRDefault="00FA5606" w:rsidP="007B6189">
      <w:pPr>
        <w:spacing w:after="0"/>
        <w:jc w:val="both"/>
        <w:rPr>
          <w:rFonts w:ascii="Calibri" w:hAnsi="Calibri" w:cs="Calibri"/>
          <w:sz w:val="32"/>
          <w:szCs w:val="32"/>
        </w:rPr>
      </w:pPr>
      <w:r w:rsidRPr="00FA5606">
        <w:rPr>
          <w:rFonts w:ascii="Calibri" w:hAnsi="Calibri" w:cs="Calibri"/>
        </w:rPr>
        <w:t>Në shumicën e institucioneve të arsimit të lartë, infrastruktura shfaq mangësi të theksuara që janë pasojë e mungesës së financimit, por edhe të mirëmbajtjes. Kjo ka të bëj</w:t>
      </w:r>
      <w:r w:rsidR="00BE0258" w:rsidRPr="004E1F53">
        <w:rPr>
          <w:rFonts w:cstheme="minorHAnsi"/>
          <w:spacing w:val="-3"/>
        </w:rPr>
        <w:t>ë</w:t>
      </w:r>
      <w:r w:rsidRPr="00FA5606">
        <w:rPr>
          <w:rFonts w:ascii="Calibri" w:hAnsi="Calibri" w:cs="Calibri"/>
        </w:rPr>
        <w:t xml:space="preserve"> me godinat, laboratorët, bibliotekat e mjediset</w:t>
      </w:r>
      <w:r w:rsidRPr="00FA5606">
        <w:rPr>
          <w:rFonts w:cs="Calibri"/>
        </w:rPr>
        <w:t xml:space="preserve"> e</w:t>
      </w:r>
      <w:r w:rsidRPr="00FA5606">
        <w:rPr>
          <w:rFonts w:ascii="Calibri" w:hAnsi="Calibri" w:cs="Calibri"/>
        </w:rPr>
        <w:t xml:space="preserve"> tjera të punës dhe ka ndikim të drejtpërdrejtë në cilësinë e studimeve dhe të kërkimit shkencor. Qeveria ka paguar aksesin në bibliotekën digjitale EBSCO, por aksesimi nuk ka qenë në nivelin e dëshiruar. Përveç kësaj, Qeveria është zotuar për investime domethënëse në kampuset e IAL-ve publike dhe në konvikte studentore.</w:t>
      </w:r>
      <w:bookmarkStart w:id="91" w:name="_Toc45624233"/>
    </w:p>
    <w:p w:rsidR="00C44536" w:rsidRPr="00E97254" w:rsidRDefault="00FA5606" w:rsidP="000C0250">
      <w:pPr>
        <w:pStyle w:val="Heading3"/>
        <w:jc w:val="both"/>
      </w:pPr>
      <w:bookmarkStart w:id="92" w:name="_Toc66802001"/>
      <w:r w:rsidRPr="00FA5606">
        <w:t>4.4.2. Integriteti dhe transparenca</w:t>
      </w:r>
      <w:bookmarkEnd w:id="91"/>
      <w:bookmarkEnd w:id="92"/>
    </w:p>
    <w:p w:rsidR="00B8633D" w:rsidRPr="00E97254" w:rsidRDefault="00FA5606" w:rsidP="000C0250">
      <w:pPr>
        <w:spacing w:before="120" w:after="0"/>
        <w:jc w:val="both"/>
        <w:rPr>
          <w:rFonts w:ascii="Calibri" w:hAnsi="Calibri" w:cs="Calibri"/>
        </w:rPr>
      </w:pPr>
      <w:r w:rsidRPr="00FA5606">
        <w:rPr>
          <w:rFonts w:ascii="Calibri" w:hAnsi="Calibri" w:cs="Calibri"/>
        </w:rPr>
        <w:t>Arsimi i lartë është një prej komponentëve thelbësorë të transformimeve shoqërore dhe politike, në veçanti në shoqëritë në tranzicion</w:t>
      </w:r>
      <w:r w:rsidR="00BE0258">
        <w:rPr>
          <w:rFonts w:ascii="Calibri" w:hAnsi="Calibri" w:cs="Calibri"/>
        </w:rPr>
        <w:t>,</w:t>
      </w:r>
      <w:r w:rsidRPr="00FA5606">
        <w:rPr>
          <w:rFonts w:ascii="Calibri" w:hAnsi="Calibri" w:cs="Calibri"/>
        </w:rPr>
        <w:t xml:space="preserve"> që ndikon, në mënyrë të drejtpërdrejtë, në zhvillimin e demokracisë dhe krijon parakushte për zhvillim ekonomik. Degradimi i vazhdueshëm i integritetit akademik është manifestuar në forma të ndryshme të pandershmërisë akademike, përfshirë plagjiarizmin dhe mashtrimin, nepotizimin dhe grupet e interesit në arsimin e lartë, si dhe avancimet jomeritore në tituj të lartë akademikë. Në shumë raste, njerëzit e afërt me politikën ose me grupet joformale brenda arsimit të lartë kanë qenë “përfituesit e drejtpërdrejtë” të çrregullimit të krijuar në arsimin e lartë, ku shumë prej tyre kanë shtruar rrugën e vet drejt karrierës akademike. Nepotizmi, grupet e interesit në arsimin e lartë dhe favorizimi në rekrutimin dhe promovimin e personelit akademik dhe jo-akademik në institucionet e arsimit të lartë dëmton meritokracinë dhe mund të ndikojë negativisht në cilësinë e mësimdhënies dhe kërkimit. </w:t>
      </w:r>
      <w:r w:rsidRPr="00FA5606">
        <w:t xml:space="preserve">Korniza rregullatore e arsimit të lartë duhet të promovojë llogaridhënie dhe transparencë, ndërsa është e domosdoshme që të </w:t>
      </w:r>
      <w:r w:rsidRPr="00FA5606">
        <w:rPr>
          <w:rFonts w:ascii="Calibri" w:hAnsi="Calibri" w:cs="Calibri"/>
        </w:rPr>
        <w:t>rriten kapacitetet e organeve kolegjiale të IAL-ve publike për të siguruar respektimin e parimeve të integritetit akademik, transparencës dhe llogaridhënies.</w:t>
      </w:r>
    </w:p>
    <w:p w:rsidR="00186F6B" w:rsidRPr="00E97254" w:rsidRDefault="00FA5606" w:rsidP="000C0250">
      <w:pPr>
        <w:spacing w:after="0"/>
        <w:jc w:val="both"/>
        <w:rPr>
          <w:rFonts w:ascii="Calibri" w:hAnsi="Calibri" w:cs="Calibri"/>
        </w:rPr>
      </w:pPr>
      <w:r w:rsidRPr="00FA5606">
        <w:rPr>
          <w:rFonts w:ascii="Calibri" w:hAnsi="Calibri" w:cs="Calibri"/>
        </w:rPr>
        <w:t>Në bazë të VKM</w:t>
      </w:r>
      <w:r w:rsidR="00BE0258">
        <w:rPr>
          <w:rFonts w:ascii="Calibri" w:hAnsi="Calibri" w:cs="Calibri"/>
        </w:rPr>
        <w:t>-s</w:t>
      </w:r>
      <w:r w:rsidR="00BE0258" w:rsidRPr="004E1F53">
        <w:rPr>
          <w:rFonts w:ascii="Calibri" w:hAnsi="Calibri" w:cs="Calibri"/>
        </w:rPr>
        <w:t>ë</w:t>
      </w:r>
      <w:r w:rsidRPr="00FA5606">
        <w:rPr>
          <w:rFonts w:ascii="Calibri" w:hAnsi="Calibri" w:cs="Calibri"/>
        </w:rPr>
        <w:t xml:space="preserve"> nr. 781/ datë 26.12.2018</w:t>
      </w:r>
      <w:r w:rsidR="00BE0258">
        <w:rPr>
          <w:rFonts w:ascii="Calibri" w:hAnsi="Calibri" w:cs="Calibri"/>
        </w:rPr>
        <w:t>,</w:t>
      </w:r>
      <w:r w:rsidRPr="00FA5606">
        <w:rPr>
          <w:rFonts w:ascii="Calibri" w:hAnsi="Calibri" w:cs="Calibri"/>
        </w:rPr>
        <w:t xml:space="preserve"> në prill 2019</w:t>
      </w:r>
      <w:r w:rsidR="00BE0258">
        <w:rPr>
          <w:rFonts w:ascii="Calibri" w:hAnsi="Calibri" w:cs="Calibri"/>
        </w:rPr>
        <w:t>,</w:t>
      </w:r>
      <w:r w:rsidRPr="00FA5606">
        <w:rPr>
          <w:rFonts w:ascii="Calibri" w:hAnsi="Calibri" w:cs="Calibri"/>
        </w:rPr>
        <w:t xml:space="preserve"> u krijua portali transparenca.al i cili përmban të dhëna për IAL-të publike, përfshirë: informacion mbi të ardhurat dhe shpenzimet, informacion mbi prokurimet, vendimet e rëndësishme të organeve të IAL</w:t>
      </w:r>
      <w:r w:rsidR="00BE0258">
        <w:rPr>
          <w:rFonts w:ascii="Calibri" w:hAnsi="Calibri" w:cs="Calibri"/>
        </w:rPr>
        <w:t>-ve</w:t>
      </w:r>
      <w:r w:rsidRPr="00FA5606">
        <w:rPr>
          <w:rFonts w:ascii="Calibri" w:hAnsi="Calibri" w:cs="Calibri"/>
        </w:rPr>
        <w:t>, CV-të e pedagogëve dhe anëtarëve të bordeve të administrimit, etj. Ndërkaq, referuar VKM</w:t>
      </w:r>
      <w:r w:rsidR="00BE0258">
        <w:rPr>
          <w:rFonts w:ascii="Calibri" w:hAnsi="Calibri" w:cs="Calibri"/>
        </w:rPr>
        <w:t>-s</w:t>
      </w:r>
      <w:r w:rsidR="00BE0258" w:rsidRPr="004E1F53">
        <w:rPr>
          <w:rFonts w:ascii="Calibri" w:hAnsi="Calibri" w:cs="Calibri"/>
        </w:rPr>
        <w:t>ë</w:t>
      </w:r>
      <w:r w:rsidRPr="00FA5606">
        <w:rPr>
          <w:rFonts w:ascii="Calibri" w:hAnsi="Calibri" w:cs="Calibri"/>
        </w:rPr>
        <w:t xml:space="preserve"> nr.777/2018</w:t>
      </w:r>
      <w:r w:rsidR="00BE0258">
        <w:rPr>
          <w:rFonts w:ascii="Calibri" w:hAnsi="Calibri" w:cs="Calibri"/>
        </w:rPr>
        <w:t>,</w:t>
      </w:r>
      <w:r w:rsidRPr="00FA5606">
        <w:rPr>
          <w:rFonts w:ascii="Calibri" w:hAnsi="Calibri" w:cs="Calibri"/>
        </w:rPr>
        <w:t xml:space="preserve"> u krijua arkivi digjital i </w:t>
      </w:r>
      <w:r w:rsidRPr="00FA5606">
        <w:rPr>
          <w:rFonts w:cs="Calibri"/>
        </w:rPr>
        <w:t>doktoratave</w:t>
      </w:r>
      <w:r w:rsidRPr="00FA5606">
        <w:rPr>
          <w:rFonts w:ascii="Calibri" w:hAnsi="Calibri" w:cs="Calibri"/>
        </w:rPr>
        <w:t xml:space="preserve"> pranë MASR</w:t>
      </w:r>
      <w:r w:rsidR="00BE0258">
        <w:rPr>
          <w:rFonts w:ascii="Calibri" w:hAnsi="Calibri" w:cs="Calibri"/>
        </w:rPr>
        <w:t>-s</w:t>
      </w:r>
      <w:r w:rsidR="00BE0258" w:rsidRPr="004E1F53">
        <w:rPr>
          <w:rFonts w:ascii="Calibri" w:hAnsi="Calibri" w:cs="Calibri"/>
        </w:rPr>
        <w:t>ë</w:t>
      </w:r>
      <w:r w:rsidRPr="00FA5606">
        <w:rPr>
          <w:rFonts w:ascii="Calibri" w:hAnsi="Calibri" w:cs="Calibri"/>
        </w:rPr>
        <w:t xml:space="preserve"> dhe</w:t>
      </w:r>
      <w:r w:rsidR="00BE0258">
        <w:rPr>
          <w:rFonts w:ascii="Calibri" w:hAnsi="Calibri" w:cs="Calibri"/>
        </w:rPr>
        <w:t>,</w:t>
      </w:r>
      <w:r w:rsidRPr="00FA5606">
        <w:rPr>
          <w:rFonts w:ascii="Calibri" w:hAnsi="Calibri" w:cs="Calibri"/>
        </w:rPr>
        <w:t xml:space="preserve"> në bazë të VKM nr.99/2020</w:t>
      </w:r>
      <w:r w:rsidR="00BE0258">
        <w:rPr>
          <w:rFonts w:ascii="Calibri" w:hAnsi="Calibri" w:cs="Calibri"/>
        </w:rPr>
        <w:t>,</w:t>
      </w:r>
      <w:r w:rsidRPr="00FA5606">
        <w:rPr>
          <w:rFonts w:ascii="Calibri" w:hAnsi="Calibri" w:cs="Calibri"/>
        </w:rPr>
        <w:t xml:space="preserve"> IAL-të kryejnë kontrollin digjital antiplagjiaturë të disertacioneve për marrjen e gradës shkencore, në përputhje me legjislacionin në fuqi, duke i dorëzuar ato që rezultojnë me probleme pranë IAL-ve përkatëse për të vlerësuar dhe marrë masat e duhura. MASR</w:t>
      </w:r>
      <w:r w:rsidR="00BE0258">
        <w:rPr>
          <w:rFonts w:ascii="Calibri" w:hAnsi="Calibri" w:cs="Calibri"/>
        </w:rPr>
        <w:t>-ja</w:t>
      </w:r>
      <w:r w:rsidRPr="00FA5606">
        <w:rPr>
          <w:rFonts w:ascii="Calibri" w:hAnsi="Calibri" w:cs="Calibri"/>
        </w:rPr>
        <w:t xml:space="preserve"> ka siguruar softuerin anti-plagjiaturë për përdorimin e të cilit tanimë janë mbajtur disa trajnime. Me </w:t>
      </w:r>
      <w:r w:rsidRPr="00FA5606">
        <w:rPr>
          <w:rFonts w:ascii="Calibri" w:hAnsi="Calibri" w:cs="Calibri"/>
        </w:rPr>
        <w:lastRenderedPageBreak/>
        <w:t>gjithë faktin se çështjet e integriteti</w:t>
      </w:r>
      <w:r w:rsidR="00BE0258">
        <w:rPr>
          <w:rFonts w:ascii="Calibri" w:hAnsi="Calibri" w:cs="Calibri"/>
        </w:rPr>
        <w:t>t</w:t>
      </w:r>
      <w:r w:rsidRPr="00FA5606">
        <w:rPr>
          <w:rFonts w:ascii="Calibri" w:hAnsi="Calibri" w:cs="Calibri"/>
        </w:rPr>
        <w:t xml:space="preserve"> dhe transparencës në arsimin e lartë kohë pas kohe janë temë e debatit publik në Shqipëri, deri tani kanë munguar hapat konkretë nga ana e institucioneve të arsimit të lartë për </w:t>
      </w:r>
      <w:r w:rsidR="00A50A43">
        <w:rPr>
          <w:rFonts w:ascii="Calibri" w:hAnsi="Calibri" w:cs="Calibri"/>
        </w:rPr>
        <w:t>trajt</w:t>
      </w:r>
      <w:r w:rsidRPr="00FA5606">
        <w:rPr>
          <w:rFonts w:ascii="Calibri" w:hAnsi="Calibri" w:cs="Calibri"/>
        </w:rPr>
        <w:t>imin e tyre.</w:t>
      </w:r>
    </w:p>
    <w:p w:rsidR="00C44536" w:rsidRPr="00E97254" w:rsidRDefault="00FA5606" w:rsidP="000C0250">
      <w:pPr>
        <w:pStyle w:val="Heading3"/>
        <w:jc w:val="both"/>
      </w:pPr>
      <w:bookmarkStart w:id="93" w:name="_Toc45624234"/>
      <w:bookmarkStart w:id="94" w:name="_Toc66802002"/>
      <w:r w:rsidRPr="00FA5606">
        <w:t>4.4.3. Studentët</w:t>
      </w:r>
      <w:bookmarkEnd w:id="93"/>
      <w:bookmarkEnd w:id="94"/>
    </w:p>
    <w:p w:rsidR="006D6B7A" w:rsidRPr="00E97254" w:rsidRDefault="00FA5606" w:rsidP="000C0250">
      <w:pPr>
        <w:spacing w:before="120" w:after="0"/>
        <w:jc w:val="both"/>
        <w:rPr>
          <w:rFonts w:ascii="Calibri" w:hAnsi="Calibri" w:cs="Calibri"/>
          <w:spacing w:val="-3"/>
        </w:rPr>
      </w:pPr>
      <w:r w:rsidRPr="00FA5606">
        <w:rPr>
          <w:rFonts w:ascii="Calibri" w:hAnsi="Calibri" w:cs="Calibri"/>
        </w:rPr>
        <w:t xml:space="preserve">Kriteret e pranimit, të vendosura nga IAL-të, mbështeten kryesisht në arritjet e maturantëve dhe kandidatëve në arsimin e mesëm të lartë. Aplikimi i kandidatëve për studentë nëpërmjet portalit UAlbania ka bërë të mundur ruajtjen e parimit bazë “meritë-preferencë”. Vendosja e pragut hyrës  të mesatares të Arsimit të mesëm të lartë  ka rritur cilësinë e studentëve të regjistruar në programet “Bachelor”. </w:t>
      </w:r>
      <w:r w:rsidRPr="00FA5606">
        <w:rPr>
          <w:rFonts w:ascii="Calibri" w:hAnsi="Calibri" w:cs="Calibri"/>
          <w:spacing w:val="-3"/>
        </w:rPr>
        <w:t xml:space="preserve">Të dhënat nga </w:t>
      </w:r>
      <w:r w:rsidR="008D102D">
        <w:fldChar w:fldCharType="begin"/>
      </w:r>
      <w:r w:rsidR="008D102D">
        <w:instrText xml:space="preserve"> REF _Ref44616461 \h  \* MERGEFORMAT </w:instrText>
      </w:r>
      <w:r w:rsidR="008D102D">
        <w:fldChar w:fldCharType="separate"/>
      </w:r>
      <w:r w:rsidR="005A6200" w:rsidRPr="00E97254">
        <w:rPr>
          <w:rFonts w:ascii="Calibri" w:hAnsi="Calibri" w:cs="Calibri"/>
        </w:rPr>
        <w:t>Tabela 11</w:t>
      </w:r>
      <w:r w:rsidR="008D102D">
        <w:fldChar w:fldCharType="end"/>
      </w:r>
      <w:r w:rsidR="00476CA2" w:rsidRPr="00E97254">
        <w:rPr>
          <w:rFonts w:ascii="Calibri" w:hAnsi="Calibri" w:cs="Calibri"/>
          <w:spacing w:val="-3"/>
        </w:rPr>
        <w:t xml:space="preserve"> </w:t>
      </w:r>
      <w:r w:rsidR="006D6B7A" w:rsidRPr="00E97254">
        <w:rPr>
          <w:rFonts w:ascii="Calibri" w:hAnsi="Calibri" w:cs="Calibri"/>
          <w:spacing w:val="-3"/>
        </w:rPr>
        <w:t>tregojnë për një ulje të numrit të studentëve të regjistruar në IAL-të publike dhe një rritje të studentëve të regjistruar në IAL-të jo-publike</w:t>
      </w:r>
      <w:r w:rsidR="00B82A86" w:rsidRPr="00E97254">
        <w:rPr>
          <w:rFonts w:ascii="Calibri" w:hAnsi="Calibri" w:cs="Calibri"/>
          <w:spacing w:val="-3"/>
        </w:rPr>
        <w:t xml:space="preserve"> në tr</w:t>
      </w:r>
      <w:r w:rsidRPr="00FA5606">
        <w:rPr>
          <w:rFonts w:ascii="Calibri" w:hAnsi="Calibri" w:cs="Calibri"/>
          <w:spacing w:val="-3"/>
        </w:rPr>
        <w:t>e vitet e fundit akademike. Nga tabela shihet se femrat përbëjnë rreth 2/3 e studentëve të regjistruar në IAL-të publike, ndërsa në ato private numri i studentëve të rinj meshkuj dhe femra është i balancuar.</w:t>
      </w:r>
    </w:p>
    <w:p w:rsidR="00F85CE2" w:rsidRPr="00E97254" w:rsidRDefault="00FA5606" w:rsidP="000C0250">
      <w:pPr>
        <w:pStyle w:val="Caption"/>
        <w:spacing w:before="120" w:after="120" w:line="276" w:lineRule="auto"/>
        <w:jc w:val="both"/>
        <w:rPr>
          <w:rFonts w:ascii="Calibri" w:hAnsi="Calibri" w:cs="Calibri"/>
          <w:b w:val="0"/>
          <w:color w:val="auto"/>
          <w:spacing w:val="-3"/>
          <w:sz w:val="22"/>
          <w:szCs w:val="22"/>
        </w:rPr>
      </w:pPr>
      <w:bookmarkStart w:id="95" w:name="_Ref44616461"/>
      <w:bookmarkStart w:id="96" w:name="_Toc66802045"/>
      <w:r w:rsidRPr="00FA5606">
        <w:rPr>
          <w:rFonts w:ascii="Calibri" w:hAnsi="Calibri" w:cs="Calibri"/>
          <w:color w:val="auto"/>
          <w:sz w:val="22"/>
          <w:szCs w:val="22"/>
        </w:rPr>
        <w:t xml:space="preserve">Tabela </w:t>
      </w:r>
      <w:r w:rsidR="00EC56B7" w:rsidRPr="00FA5606">
        <w:rPr>
          <w:rFonts w:ascii="Calibri" w:hAnsi="Calibri" w:cs="Calibri"/>
          <w:bCs w:val="0"/>
          <w:color w:val="auto"/>
          <w:sz w:val="22"/>
          <w:szCs w:val="22"/>
        </w:rPr>
        <w:fldChar w:fldCharType="begin"/>
      </w:r>
      <w:r w:rsidRPr="00FA5606">
        <w:rPr>
          <w:rFonts w:ascii="Calibri" w:hAnsi="Calibri" w:cs="Calibri"/>
          <w:color w:val="auto"/>
          <w:sz w:val="22"/>
          <w:szCs w:val="22"/>
        </w:rPr>
        <w:instrText xml:space="preserve"> SEQ Tabela \* ARABIC </w:instrText>
      </w:r>
      <w:r w:rsidR="00EC56B7" w:rsidRPr="00FA5606">
        <w:rPr>
          <w:rFonts w:ascii="Calibri" w:hAnsi="Calibri" w:cs="Calibri"/>
          <w:bCs w:val="0"/>
          <w:color w:val="auto"/>
          <w:sz w:val="22"/>
          <w:szCs w:val="22"/>
        </w:rPr>
        <w:fldChar w:fldCharType="separate"/>
      </w:r>
      <w:r w:rsidRPr="00FA5606">
        <w:rPr>
          <w:rFonts w:ascii="Calibri" w:hAnsi="Calibri" w:cs="Calibri"/>
          <w:color w:val="auto"/>
          <w:sz w:val="22"/>
          <w:szCs w:val="22"/>
        </w:rPr>
        <w:t>11</w:t>
      </w:r>
      <w:r w:rsidR="00EC56B7" w:rsidRPr="00FA5606">
        <w:rPr>
          <w:rFonts w:ascii="Calibri" w:hAnsi="Calibri" w:cs="Calibri"/>
          <w:bCs w:val="0"/>
          <w:color w:val="auto"/>
          <w:sz w:val="22"/>
          <w:szCs w:val="22"/>
        </w:rPr>
        <w:fldChar w:fldCharType="end"/>
      </w:r>
      <w:bookmarkEnd w:id="95"/>
      <w:r w:rsidRPr="00FA5606">
        <w:rPr>
          <w:rFonts w:ascii="Calibri" w:hAnsi="Calibri" w:cs="Calibri"/>
          <w:color w:val="auto"/>
          <w:sz w:val="22"/>
          <w:szCs w:val="22"/>
        </w:rPr>
        <w:t>.</w:t>
      </w:r>
      <w:r w:rsidRPr="00FA5606">
        <w:rPr>
          <w:rFonts w:ascii="Calibri" w:hAnsi="Calibri" w:cs="Calibri"/>
          <w:b w:val="0"/>
          <w:color w:val="auto"/>
          <w:sz w:val="22"/>
          <w:szCs w:val="22"/>
        </w:rPr>
        <w:t xml:space="preserve"> </w:t>
      </w:r>
      <w:r w:rsidRPr="00FA5606">
        <w:rPr>
          <w:rFonts w:ascii="Calibri" w:hAnsi="Calibri" w:cs="Calibri"/>
          <w:b w:val="0"/>
          <w:color w:val="auto"/>
          <w:spacing w:val="-3"/>
          <w:sz w:val="22"/>
          <w:szCs w:val="22"/>
        </w:rPr>
        <w:t>Programet e studimit dhe studentët e regjistruar në IAL publike dhe jo-publike për ciklin e parë të studimeve</w:t>
      </w:r>
      <w:bookmarkEnd w:id="9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6"/>
        <w:gridCol w:w="1278"/>
        <w:gridCol w:w="1513"/>
        <w:gridCol w:w="905"/>
        <w:gridCol w:w="805"/>
        <w:gridCol w:w="714"/>
        <w:gridCol w:w="797"/>
        <w:gridCol w:w="714"/>
        <w:gridCol w:w="731"/>
      </w:tblGrid>
      <w:tr w:rsidR="00B73674" w:rsidRPr="00E97254" w:rsidTr="00F85CE2">
        <w:trPr>
          <w:trHeight w:val="108"/>
        </w:trPr>
        <w:tc>
          <w:tcPr>
            <w:tcW w:w="1943" w:type="dxa"/>
            <w:vMerge w:val="restart"/>
            <w:shd w:val="clear" w:color="auto" w:fill="auto"/>
          </w:tcPr>
          <w:p w:rsidR="00B73674" w:rsidRPr="00E97254" w:rsidRDefault="00FA5606" w:rsidP="000C0250">
            <w:pPr>
              <w:spacing w:after="0"/>
              <w:jc w:val="center"/>
              <w:rPr>
                <w:rFonts w:ascii="Calibri" w:hAnsi="Calibri" w:cs="Calibri"/>
                <w:b/>
                <w:spacing w:val="-3"/>
                <w:sz w:val="20"/>
              </w:rPr>
            </w:pPr>
            <w:r w:rsidRPr="00FA5606">
              <w:rPr>
                <w:rFonts w:ascii="Calibri" w:hAnsi="Calibri" w:cs="Calibri"/>
                <w:b/>
                <w:spacing w:val="-3"/>
                <w:sz w:val="20"/>
              </w:rPr>
              <w:t>Viti akademik</w:t>
            </w:r>
          </w:p>
        </w:tc>
        <w:tc>
          <w:tcPr>
            <w:tcW w:w="2895" w:type="dxa"/>
            <w:gridSpan w:val="2"/>
            <w:shd w:val="clear" w:color="auto" w:fill="auto"/>
          </w:tcPr>
          <w:p w:rsidR="00B73674" w:rsidRPr="00E97254" w:rsidRDefault="00FA5606" w:rsidP="000C0250">
            <w:pPr>
              <w:spacing w:after="0"/>
              <w:jc w:val="center"/>
              <w:rPr>
                <w:rFonts w:ascii="Calibri" w:hAnsi="Calibri" w:cs="Calibri"/>
                <w:b/>
                <w:spacing w:val="-3"/>
                <w:sz w:val="20"/>
              </w:rPr>
            </w:pPr>
            <w:r w:rsidRPr="00FA5606">
              <w:rPr>
                <w:rFonts w:ascii="Calibri" w:hAnsi="Calibri" w:cs="Calibri"/>
                <w:b/>
                <w:spacing w:val="-3"/>
                <w:sz w:val="20"/>
              </w:rPr>
              <w:t>Programe studimi</w:t>
            </w:r>
          </w:p>
        </w:tc>
        <w:tc>
          <w:tcPr>
            <w:tcW w:w="4711" w:type="dxa"/>
            <w:gridSpan w:val="6"/>
            <w:shd w:val="clear" w:color="auto" w:fill="auto"/>
          </w:tcPr>
          <w:p w:rsidR="00B73674" w:rsidRPr="00E97254" w:rsidRDefault="00FA5606" w:rsidP="000C0250">
            <w:pPr>
              <w:spacing w:after="0"/>
              <w:jc w:val="center"/>
              <w:rPr>
                <w:rFonts w:ascii="Calibri" w:hAnsi="Calibri" w:cs="Calibri"/>
                <w:b/>
                <w:spacing w:val="-3"/>
                <w:sz w:val="20"/>
              </w:rPr>
            </w:pPr>
            <w:r w:rsidRPr="00FA5606">
              <w:rPr>
                <w:rFonts w:ascii="Calibri" w:hAnsi="Calibri" w:cs="Calibri"/>
                <w:b/>
                <w:spacing w:val="-3"/>
                <w:sz w:val="20"/>
              </w:rPr>
              <w:t>Studentë të regjistruar</w:t>
            </w:r>
          </w:p>
        </w:tc>
      </w:tr>
      <w:tr w:rsidR="00B73674" w:rsidRPr="00E97254" w:rsidTr="00F85CE2">
        <w:trPr>
          <w:trHeight w:val="201"/>
        </w:trPr>
        <w:tc>
          <w:tcPr>
            <w:tcW w:w="1943" w:type="dxa"/>
            <w:vMerge/>
            <w:shd w:val="clear" w:color="auto" w:fill="auto"/>
          </w:tcPr>
          <w:p w:rsidR="00B73674" w:rsidRPr="00E97254" w:rsidRDefault="00B73674" w:rsidP="000C0250">
            <w:pPr>
              <w:keepNext/>
              <w:keepLines/>
              <w:spacing w:before="480" w:after="0"/>
              <w:jc w:val="center"/>
              <w:outlineLvl w:val="0"/>
              <w:rPr>
                <w:rFonts w:ascii="Calibri" w:hAnsi="Calibri" w:cs="Calibri"/>
                <w:b/>
                <w:spacing w:val="-3"/>
                <w:sz w:val="20"/>
              </w:rPr>
            </w:pPr>
          </w:p>
        </w:tc>
        <w:tc>
          <w:tcPr>
            <w:tcW w:w="1320" w:type="dxa"/>
            <w:vMerge w:val="restart"/>
            <w:shd w:val="clear" w:color="auto" w:fill="auto"/>
          </w:tcPr>
          <w:p w:rsidR="00B73674" w:rsidRPr="00E97254" w:rsidRDefault="00FA5606" w:rsidP="000C0250">
            <w:pPr>
              <w:spacing w:after="0"/>
              <w:jc w:val="center"/>
              <w:rPr>
                <w:rFonts w:ascii="Calibri" w:hAnsi="Calibri" w:cs="Calibri"/>
                <w:b/>
                <w:spacing w:val="-3"/>
                <w:sz w:val="20"/>
              </w:rPr>
            </w:pPr>
            <w:r w:rsidRPr="00FA5606">
              <w:rPr>
                <w:rFonts w:ascii="Calibri" w:hAnsi="Calibri" w:cs="Calibri"/>
                <w:b/>
                <w:spacing w:val="-3"/>
                <w:sz w:val="20"/>
              </w:rPr>
              <w:t>IAL-publike</w:t>
            </w:r>
          </w:p>
        </w:tc>
        <w:tc>
          <w:tcPr>
            <w:tcW w:w="1575" w:type="dxa"/>
            <w:vMerge w:val="restart"/>
            <w:shd w:val="clear" w:color="auto" w:fill="auto"/>
          </w:tcPr>
          <w:p w:rsidR="00B73674" w:rsidRPr="00E97254" w:rsidRDefault="00FA5606" w:rsidP="000C0250">
            <w:pPr>
              <w:spacing w:after="0"/>
              <w:jc w:val="center"/>
              <w:rPr>
                <w:rFonts w:ascii="Calibri" w:hAnsi="Calibri" w:cs="Calibri"/>
                <w:b/>
                <w:spacing w:val="-3"/>
                <w:sz w:val="20"/>
              </w:rPr>
            </w:pPr>
            <w:r w:rsidRPr="00FA5606">
              <w:rPr>
                <w:rFonts w:ascii="Calibri" w:hAnsi="Calibri" w:cs="Calibri"/>
                <w:b/>
                <w:spacing w:val="-3"/>
                <w:sz w:val="20"/>
              </w:rPr>
              <w:t>IAL-jo publike</w:t>
            </w:r>
          </w:p>
        </w:tc>
        <w:tc>
          <w:tcPr>
            <w:tcW w:w="2446" w:type="dxa"/>
            <w:gridSpan w:val="3"/>
            <w:shd w:val="clear" w:color="auto" w:fill="auto"/>
          </w:tcPr>
          <w:p w:rsidR="00B73674" w:rsidRPr="00E97254" w:rsidRDefault="00FA5606" w:rsidP="000C0250">
            <w:pPr>
              <w:spacing w:after="0"/>
              <w:jc w:val="center"/>
              <w:rPr>
                <w:rFonts w:ascii="Calibri" w:hAnsi="Calibri" w:cs="Calibri"/>
                <w:b/>
                <w:spacing w:val="-3"/>
                <w:sz w:val="20"/>
              </w:rPr>
            </w:pPr>
            <w:r w:rsidRPr="00FA5606">
              <w:rPr>
                <w:rFonts w:ascii="Calibri" w:hAnsi="Calibri" w:cs="Calibri"/>
                <w:b/>
                <w:spacing w:val="-3"/>
                <w:sz w:val="20"/>
              </w:rPr>
              <w:t>IAL-publike</w:t>
            </w:r>
          </w:p>
        </w:tc>
        <w:tc>
          <w:tcPr>
            <w:tcW w:w="2265" w:type="dxa"/>
            <w:gridSpan w:val="3"/>
            <w:shd w:val="clear" w:color="auto" w:fill="auto"/>
          </w:tcPr>
          <w:p w:rsidR="00B73674" w:rsidRPr="00E97254" w:rsidRDefault="00FA5606" w:rsidP="000C0250">
            <w:pPr>
              <w:spacing w:after="0"/>
              <w:jc w:val="center"/>
              <w:rPr>
                <w:rFonts w:ascii="Calibri" w:hAnsi="Calibri" w:cs="Calibri"/>
                <w:b/>
                <w:spacing w:val="-3"/>
                <w:sz w:val="20"/>
              </w:rPr>
            </w:pPr>
            <w:r w:rsidRPr="00FA5606">
              <w:rPr>
                <w:rFonts w:ascii="Calibri" w:hAnsi="Calibri" w:cs="Calibri"/>
                <w:b/>
                <w:spacing w:val="-3"/>
                <w:sz w:val="20"/>
              </w:rPr>
              <w:t>IAL-jo publike</w:t>
            </w:r>
          </w:p>
        </w:tc>
      </w:tr>
      <w:tr w:rsidR="00B73674" w:rsidRPr="00E97254" w:rsidTr="00F85CE2">
        <w:trPr>
          <w:trHeight w:val="201"/>
        </w:trPr>
        <w:tc>
          <w:tcPr>
            <w:tcW w:w="1943" w:type="dxa"/>
            <w:vMerge/>
            <w:shd w:val="clear" w:color="auto" w:fill="auto"/>
          </w:tcPr>
          <w:p w:rsidR="00B73674" w:rsidRPr="00E97254" w:rsidRDefault="00B73674" w:rsidP="000C0250">
            <w:pPr>
              <w:keepNext/>
              <w:keepLines/>
              <w:spacing w:before="480" w:after="0"/>
              <w:jc w:val="center"/>
              <w:outlineLvl w:val="0"/>
              <w:rPr>
                <w:rFonts w:ascii="Calibri" w:hAnsi="Calibri" w:cs="Calibri"/>
                <w:b/>
                <w:spacing w:val="-3"/>
                <w:sz w:val="20"/>
              </w:rPr>
            </w:pPr>
          </w:p>
        </w:tc>
        <w:tc>
          <w:tcPr>
            <w:tcW w:w="1320" w:type="dxa"/>
            <w:vMerge/>
            <w:shd w:val="clear" w:color="auto" w:fill="auto"/>
          </w:tcPr>
          <w:p w:rsidR="00B73674" w:rsidRPr="00E97254" w:rsidRDefault="00B73674" w:rsidP="000C0250">
            <w:pPr>
              <w:keepNext/>
              <w:keepLines/>
              <w:spacing w:before="480" w:after="0"/>
              <w:jc w:val="center"/>
              <w:outlineLvl w:val="0"/>
              <w:rPr>
                <w:rFonts w:ascii="Calibri" w:hAnsi="Calibri" w:cs="Calibri"/>
                <w:b/>
                <w:spacing w:val="-3"/>
                <w:sz w:val="20"/>
              </w:rPr>
            </w:pPr>
          </w:p>
        </w:tc>
        <w:tc>
          <w:tcPr>
            <w:tcW w:w="1575" w:type="dxa"/>
            <w:vMerge/>
            <w:shd w:val="clear" w:color="auto" w:fill="auto"/>
          </w:tcPr>
          <w:p w:rsidR="00B73674" w:rsidRPr="00E97254" w:rsidRDefault="00B73674" w:rsidP="000C0250">
            <w:pPr>
              <w:keepNext/>
              <w:keepLines/>
              <w:spacing w:before="480" w:after="0"/>
              <w:jc w:val="center"/>
              <w:outlineLvl w:val="0"/>
              <w:rPr>
                <w:rFonts w:ascii="Calibri" w:hAnsi="Calibri" w:cs="Calibri"/>
                <w:b/>
                <w:spacing w:val="-3"/>
                <w:sz w:val="20"/>
              </w:rPr>
            </w:pPr>
          </w:p>
        </w:tc>
        <w:tc>
          <w:tcPr>
            <w:tcW w:w="918" w:type="dxa"/>
            <w:shd w:val="clear" w:color="auto" w:fill="auto"/>
          </w:tcPr>
          <w:p w:rsidR="00B73674" w:rsidRPr="00E97254" w:rsidRDefault="00FA5606" w:rsidP="000C0250">
            <w:pPr>
              <w:spacing w:after="0"/>
              <w:jc w:val="center"/>
              <w:rPr>
                <w:rFonts w:ascii="Calibri" w:hAnsi="Calibri" w:cs="Calibri"/>
                <w:b/>
                <w:spacing w:val="-3"/>
                <w:sz w:val="20"/>
              </w:rPr>
            </w:pPr>
            <w:r w:rsidRPr="00FA5606">
              <w:rPr>
                <w:rFonts w:ascii="Calibri" w:hAnsi="Calibri" w:cs="Calibri"/>
                <w:b/>
                <w:spacing w:val="-3"/>
                <w:sz w:val="20"/>
              </w:rPr>
              <w:t>Total</w:t>
            </w:r>
          </w:p>
        </w:tc>
        <w:tc>
          <w:tcPr>
            <w:tcW w:w="809" w:type="dxa"/>
            <w:shd w:val="clear" w:color="auto" w:fill="auto"/>
          </w:tcPr>
          <w:p w:rsidR="00B73674" w:rsidRPr="00E97254" w:rsidRDefault="00FA5606" w:rsidP="000C0250">
            <w:pPr>
              <w:spacing w:after="0"/>
              <w:jc w:val="center"/>
              <w:rPr>
                <w:rFonts w:ascii="Calibri" w:hAnsi="Calibri" w:cs="Calibri"/>
                <w:b/>
                <w:spacing w:val="-3"/>
                <w:sz w:val="20"/>
              </w:rPr>
            </w:pPr>
            <w:r w:rsidRPr="00FA5606">
              <w:rPr>
                <w:rFonts w:ascii="Calibri" w:hAnsi="Calibri" w:cs="Calibri"/>
                <w:b/>
                <w:spacing w:val="-3"/>
                <w:sz w:val="20"/>
              </w:rPr>
              <w:t>F</w:t>
            </w:r>
          </w:p>
        </w:tc>
        <w:tc>
          <w:tcPr>
            <w:tcW w:w="719" w:type="dxa"/>
            <w:shd w:val="clear" w:color="auto" w:fill="auto"/>
          </w:tcPr>
          <w:p w:rsidR="00B73674" w:rsidRPr="00E97254" w:rsidRDefault="00FA5606" w:rsidP="000C0250">
            <w:pPr>
              <w:spacing w:after="0"/>
              <w:jc w:val="center"/>
              <w:rPr>
                <w:rFonts w:ascii="Calibri" w:hAnsi="Calibri" w:cs="Calibri"/>
                <w:b/>
                <w:spacing w:val="-3"/>
                <w:sz w:val="20"/>
              </w:rPr>
            </w:pPr>
            <w:r w:rsidRPr="00FA5606">
              <w:rPr>
                <w:rFonts w:ascii="Calibri" w:hAnsi="Calibri" w:cs="Calibri"/>
                <w:b/>
                <w:spacing w:val="-3"/>
                <w:sz w:val="20"/>
              </w:rPr>
              <w:t>M</w:t>
            </w:r>
          </w:p>
        </w:tc>
        <w:tc>
          <w:tcPr>
            <w:tcW w:w="809" w:type="dxa"/>
            <w:shd w:val="clear" w:color="auto" w:fill="auto"/>
          </w:tcPr>
          <w:p w:rsidR="00B73674" w:rsidRPr="00E97254" w:rsidRDefault="00FA5606" w:rsidP="000C0250">
            <w:pPr>
              <w:spacing w:after="0"/>
              <w:jc w:val="center"/>
              <w:rPr>
                <w:rFonts w:ascii="Calibri" w:hAnsi="Calibri" w:cs="Calibri"/>
                <w:b/>
                <w:spacing w:val="-3"/>
                <w:sz w:val="20"/>
              </w:rPr>
            </w:pPr>
            <w:r w:rsidRPr="00FA5606">
              <w:rPr>
                <w:rFonts w:ascii="Calibri" w:hAnsi="Calibri" w:cs="Calibri"/>
                <w:b/>
                <w:spacing w:val="-3"/>
                <w:sz w:val="20"/>
              </w:rPr>
              <w:t>Total</w:t>
            </w:r>
          </w:p>
        </w:tc>
        <w:tc>
          <w:tcPr>
            <w:tcW w:w="719" w:type="dxa"/>
            <w:shd w:val="clear" w:color="auto" w:fill="auto"/>
          </w:tcPr>
          <w:p w:rsidR="00B73674" w:rsidRPr="00E97254" w:rsidRDefault="00FA5606" w:rsidP="000C0250">
            <w:pPr>
              <w:spacing w:after="0"/>
              <w:jc w:val="center"/>
              <w:rPr>
                <w:rFonts w:ascii="Calibri" w:hAnsi="Calibri" w:cs="Calibri"/>
                <w:b/>
                <w:spacing w:val="-3"/>
                <w:sz w:val="20"/>
              </w:rPr>
            </w:pPr>
            <w:r w:rsidRPr="00FA5606">
              <w:rPr>
                <w:rFonts w:ascii="Calibri" w:hAnsi="Calibri" w:cs="Calibri"/>
                <w:b/>
                <w:spacing w:val="-3"/>
                <w:sz w:val="20"/>
              </w:rPr>
              <w:t>F</w:t>
            </w:r>
          </w:p>
        </w:tc>
        <w:tc>
          <w:tcPr>
            <w:tcW w:w="737" w:type="dxa"/>
            <w:shd w:val="clear" w:color="auto" w:fill="auto"/>
          </w:tcPr>
          <w:p w:rsidR="00B73674" w:rsidRPr="00E97254" w:rsidRDefault="00FA5606" w:rsidP="000C0250">
            <w:pPr>
              <w:spacing w:after="0"/>
              <w:jc w:val="center"/>
              <w:rPr>
                <w:rFonts w:ascii="Calibri" w:hAnsi="Calibri" w:cs="Calibri"/>
                <w:b/>
                <w:spacing w:val="-3"/>
                <w:sz w:val="20"/>
              </w:rPr>
            </w:pPr>
            <w:r w:rsidRPr="00FA5606">
              <w:rPr>
                <w:rFonts w:ascii="Calibri" w:hAnsi="Calibri" w:cs="Calibri"/>
                <w:b/>
                <w:spacing w:val="-3"/>
                <w:sz w:val="20"/>
              </w:rPr>
              <w:t>M</w:t>
            </w:r>
          </w:p>
        </w:tc>
      </w:tr>
      <w:tr w:rsidR="00B73674" w:rsidRPr="00E97254" w:rsidTr="00F85CE2">
        <w:tc>
          <w:tcPr>
            <w:tcW w:w="1943" w:type="dxa"/>
            <w:shd w:val="clear" w:color="auto" w:fill="auto"/>
          </w:tcPr>
          <w:p w:rsidR="00B73674" w:rsidRPr="00E97254" w:rsidRDefault="00FA5606" w:rsidP="000C0250">
            <w:pPr>
              <w:spacing w:after="0"/>
              <w:jc w:val="center"/>
              <w:rPr>
                <w:rFonts w:ascii="Calibri" w:hAnsi="Calibri" w:cs="Calibri"/>
                <w:spacing w:val="-3"/>
                <w:sz w:val="20"/>
              </w:rPr>
            </w:pPr>
            <w:r w:rsidRPr="00FA5606">
              <w:rPr>
                <w:rFonts w:ascii="Calibri" w:hAnsi="Calibri" w:cs="Calibri"/>
                <w:spacing w:val="-3"/>
                <w:sz w:val="20"/>
              </w:rPr>
              <w:t>2017 - 2018</w:t>
            </w:r>
          </w:p>
        </w:tc>
        <w:tc>
          <w:tcPr>
            <w:tcW w:w="1320" w:type="dxa"/>
            <w:shd w:val="clear" w:color="auto" w:fill="auto"/>
          </w:tcPr>
          <w:p w:rsidR="00B73674" w:rsidRPr="00E97254" w:rsidRDefault="00FA5606" w:rsidP="000C0250">
            <w:pPr>
              <w:spacing w:after="0"/>
              <w:jc w:val="center"/>
              <w:rPr>
                <w:rFonts w:ascii="Calibri" w:hAnsi="Calibri" w:cs="Calibri"/>
                <w:spacing w:val="-3"/>
                <w:sz w:val="20"/>
              </w:rPr>
            </w:pPr>
            <w:r w:rsidRPr="00FA5606">
              <w:rPr>
                <w:rFonts w:ascii="Calibri" w:hAnsi="Calibri" w:cs="Calibri"/>
                <w:spacing w:val="-3"/>
                <w:sz w:val="20"/>
              </w:rPr>
              <w:t>294</w:t>
            </w:r>
          </w:p>
        </w:tc>
        <w:tc>
          <w:tcPr>
            <w:tcW w:w="1575" w:type="dxa"/>
            <w:shd w:val="clear" w:color="auto" w:fill="auto"/>
          </w:tcPr>
          <w:p w:rsidR="00B73674" w:rsidRPr="00E97254" w:rsidRDefault="00FA5606" w:rsidP="000C0250">
            <w:pPr>
              <w:spacing w:after="0"/>
              <w:jc w:val="center"/>
              <w:rPr>
                <w:rFonts w:ascii="Calibri" w:hAnsi="Calibri" w:cs="Calibri"/>
                <w:spacing w:val="-3"/>
                <w:sz w:val="20"/>
              </w:rPr>
            </w:pPr>
            <w:r w:rsidRPr="00FA5606">
              <w:rPr>
                <w:rFonts w:ascii="Calibri" w:hAnsi="Calibri" w:cs="Calibri"/>
                <w:spacing w:val="-3"/>
                <w:sz w:val="20"/>
              </w:rPr>
              <w:t>160</w:t>
            </w:r>
          </w:p>
        </w:tc>
        <w:tc>
          <w:tcPr>
            <w:tcW w:w="918" w:type="dxa"/>
            <w:shd w:val="clear" w:color="auto" w:fill="auto"/>
          </w:tcPr>
          <w:p w:rsidR="00B73674" w:rsidRPr="00E97254" w:rsidRDefault="00FA5606" w:rsidP="000C0250">
            <w:pPr>
              <w:spacing w:after="0"/>
              <w:jc w:val="right"/>
              <w:rPr>
                <w:rFonts w:ascii="Calibri" w:hAnsi="Calibri" w:cs="Calibri"/>
                <w:spacing w:val="-3"/>
                <w:sz w:val="20"/>
              </w:rPr>
            </w:pPr>
            <w:r w:rsidRPr="00FA5606">
              <w:rPr>
                <w:rFonts w:ascii="Calibri" w:hAnsi="Calibri" w:cs="Calibri"/>
                <w:spacing w:val="-3"/>
                <w:sz w:val="20"/>
              </w:rPr>
              <w:t>18,364</w:t>
            </w:r>
          </w:p>
        </w:tc>
        <w:tc>
          <w:tcPr>
            <w:tcW w:w="809" w:type="dxa"/>
            <w:shd w:val="clear" w:color="auto" w:fill="auto"/>
          </w:tcPr>
          <w:p w:rsidR="00B73674" w:rsidRPr="00E97254" w:rsidRDefault="00FA5606" w:rsidP="000C0250">
            <w:pPr>
              <w:spacing w:after="0"/>
              <w:jc w:val="right"/>
              <w:rPr>
                <w:rFonts w:ascii="Calibri" w:hAnsi="Calibri" w:cs="Calibri"/>
                <w:spacing w:val="-3"/>
                <w:sz w:val="20"/>
              </w:rPr>
            </w:pPr>
            <w:r w:rsidRPr="00FA5606">
              <w:rPr>
                <w:rFonts w:ascii="Calibri" w:hAnsi="Calibri" w:cs="Calibri"/>
                <w:spacing w:val="-3"/>
                <w:sz w:val="20"/>
              </w:rPr>
              <w:t>12,216</w:t>
            </w:r>
          </w:p>
        </w:tc>
        <w:tc>
          <w:tcPr>
            <w:tcW w:w="719" w:type="dxa"/>
            <w:shd w:val="clear" w:color="auto" w:fill="auto"/>
          </w:tcPr>
          <w:p w:rsidR="00B73674" w:rsidRPr="00E97254" w:rsidRDefault="00FA5606" w:rsidP="000C0250">
            <w:pPr>
              <w:spacing w:after="0"/>
              <w:jc w:val="right"/>
              <w:rPr>
                <w:rFonts w:ascii="Calibri" w:hAnsi="Calibri" w:cs="Calibri"/>
                <w:spacing w:val="-3"/>
                <w:sz w:val="20"/>
              </w:rPr>
            </w:pPr>
            <w:r w:rsidRPr="00FA5606">
              <w:rPr>
                <w:rFonts w:ascii="Calibri" w:hAnsi="Calibri" w:cs="Calibri"/>
                <w:spacing w:val="-3"/>
                <w:sz w:val="20"/>
              </w:rPr>
              <w:t>6,148</w:t>
            </w:r>
          </w:p>
        </w:tc>
        <w:tc>
          <w:tcPr>
            <w:tcW w:w="809" w:type="dxa"/>
            <w:shd w:val="clear" w:color="auto" w:fill="auto"/>
          </w:tcPr>
          <w:p w:rsidR="00B73674" w:rsidRPr="00E97254" w:rsidRDefault="00FA5606" w:rsidP="000C0250">
            <w:pPr>
              <w:spacing w:after="0"/>
              <w:jc w:val="right"/>
              <w:rPr>
                <w:rFonts w:ascii="Calibri" w:hAnsi="Calibri" w:cs="Calibri"/>
                <w:spacing w:val="-3"/>
                <w:sz w:val="20"/>
              </w:rPr>
            </w:pPr>
            <w:r w:rsidRPr="00FA5606">
              <w:rPr>
                <w:rFonts w:ascii="Calibri" w:hAnsi="Calibri" w:cs="Calibri"/>
                <w:spacing w:val="-3"/>
                <w:sz w:val="20"/>
              </w:rPr>
              <w:t>4,054</w:t>
            </w:r>
          </w:p>
        </w:tc>
        <w:tc>
          <w:tcPr>
            <w:tcW w:w="719" w:type="dxa"/>
            <w:shd w:val="clear" w:color="auto" w:fill="auto"/>
          </w:tcPr>
          <w:p w:rsidR="00B73674" w:rsidRPr="00E97254" w:rsidRDefault="00FA5606" w:rsidP="000C0250">
            <w:pPr>
              <w:spacing w:after="0"/>
              <w:jc w:val="right"/>
              <w:rPr>
                <w:rFonts w:ascii="Calibri" w:hAnsi="Calibri" w:cs="Calibri"/>
                <w:spacing w:val="-3"/>
                <w:sz w:val="20"/>
              </w:rPr>
            </w:pPr>
            <w:r w:rsidRPr="00FA5606">
              <w:rPr>
                <w:rFonts w:ascii="Calibri" w:hAnsi="Calibri" w:cs="Calibri"/>
                <w:spacing w:val="-3"/>
                <w:sz w:val="20"/>
              </w:rPr>
              <w:t>1,830</w:t>
            </w:r>
          </w:p>
        </w:tc>
        <w:tc>
          <w:tcPr>
            <w:tcW w:w="737" w:type="dxa"/>
            <w:shd w:val="clear" w:color="auto" w:fill="auto"/>
          </w:tcPr>
          <w:p w:rsidR="00B73674" w:rsidRPr="00E97254" w:rsidRDefault="00FA5606" w:rsidP="000C0250">
            <w:pPr>
              <w:spacing w:after="0"/>
              <w:jc w:val="right"/>
              <w:rPr>
                <w:rFonts w:ascii="Calibri" w:hAnsi="Calibri" w:cs="Calibri"/>
                <w:spacing w:val="-3"/>
                <w:sz w:val="20"/>
              </w:rPr>
            </w:pPr>
            <w:r w:rsidRPr="00FA5606">
              <w:rPr>
                <w:rFonts w:ascii="Calibri" w:hAnsi="Calibri" w:cs="Calibri"/>
                <w:spacing w:val="-3"/>
                <w:sz w:val="20"/>
              </w:rPr>
              <w:t>2,224</w:t>
            </w:r>
          </w:p>
        </w:tc>
      </w:tr>
      <w:tr w:rsidR="00B73674" w:rsidRPr="00E97254" w:rsidTr="00F85CE2">
        <w:tc>
          <w:tcPr>
            <w:tcW w:w="1943" w:type="dxa"/>
            <w:shd w:val="clear" w:color="auto" w:fill="auto"/>
          </w:tcPr>
          <w:p w:rsidR="00B73674" w:rsidRPr="00E97254" w:rsidRDefault="00FA5606" w:rsidP="000C0250">
            <w:pPr>
              <w:spacing w:after="0"/>
              <w:jc w:val="center"/>
              <w:rPr>
                <w:rFonts w:ascii="Calibri" w:hAnsi="Calibri" w:cs="Calibri"/>
                <w:spacing w:val="-3"/>
                <w:sz w:val="20"/>
              </w:rPr>
            </w:pPr>
            <w:r w:rsidRPr="00FA5606">
              <w:rPr>
                <w:rFonts w:ascii="Calibri" w:hAnsi="Calibri" w:cs="Calibri"/>
                <w:spacing w:val="-3"/>
                <w:sz w:val="20"/>
              </w:rPr>
              <w:t>2018 – 2019</w:t>
            </w:r>
          </w:p>
        </w:tc>
        <w:tc>
          <w:tcPr>
            <w:tcW w:w="1320" w:type="dxa"/>
            <w:shd w:val="clear" w:color="auto" w:fill="auto"/>
          </w:tcPr>
          <w:p w:rsidR="00B73674" w:rsidRPr="00E97254" w:rsidRDefault="00FA5606" w:rsidP="000C0250">
            <w:pPr>
              <w:spacing w:after="0"/>
              <w:jc w:val="center"/>
              <w:rPr>
                <w:rFonts w:ascii="Calibri" w:hAnsi="Calibri" w:cs="Calibri"/>
                <w:spacing w:val="-3"/>
                <w:sz w:val="20"/>
              </w:rPr>
            </w:pPr>
            <w:r w:rsidRPr="00FA5606">
              <w:rPr>
                <w:rFonts w:ascii="Calibri" w:hAnsi="Calibri" w:cs="Calibri"/>
                <w:spacing w:val="-3"/>
                <w:sz w:val="20"/>
              </w:rPr>
              <w:t>304</w:t>
            </w:r>
          </w:p>
        </w:tc>
        <w:tc>
          <w:tcPr>
            <w:tcW w:w="1575" w:type="dxa"/>
            <w:shd w:val="clear" w:color="auto" w:fill="auto"/>
          </w:tcPr>
          <w:p w:rsidR="00B73674" w:rsidRPr="00E97254" w:rsidRDefault="00FA5606" w:rsidP="000C0250">
            <w:pPr>
              <w:spacing w:after="0"/>
              <w:jc w:val="center"/>
              <w:rPr>
                <w:rFonts w:ascii="Calibri" w:hAnsi="Calibri" w:cs="Calibri"/>
                <w:spacing w:val="-3"/>
                <w:sz w:val="20"/>
              </w:rPr>
            </w:pPr>
            <w:r w:rsidRPr="00FA5606">
              <w:rPr>
                <w:rFonts w:ascii="Calibri" w:hAnsi="Calibri" w:cs="Calibri"/>
                <w:spacing w:val="-3"/>
                <w:sz w:val="20"/>
              </w:rPr>
              <w:t>213</w:t>
            </w:r>
          </w:p>
        </w:tc>
        <w:tc>
          <w:tcPr>
            <w:tcW w:w="918" w:type="dxa"/>
            <w:shd w:val="clear" w:color="auto" w:fill="auto"/>
          </w:tcPr>
          <w:p w:rsidR="00B73674" w:rsidRPr="00E97254" w:rsidRDefault="00FA5606" w:rsidP="000C0250">
            <w:pPr>
              <w:spacing w:after="0"/>
              <w:jc w:val="right"/>
              <w:rPr>
                <w:rFonts w:ascii="Calibri" w:hAnsi="Calibri" w:cs="Calibri"/>
                <w:spacing w:val="-3"/>
                <w:sz w:val="20"/>
              </w:rPr>
            </w:pPr>
            <w:r w:rsidRPr="00FA5606">
              <w:rPr>
                <w:rFonts w:ascii="Calibri" w:hAnsi="Calibri" w:cs="Calibri"/>
                <w:spacing w:val="-3"/>
                <w:sz w:val="20"/>
              </w:rPr>
              <w:t>17,535</w:t>
            </w:r>
          </w:p>
        </w:tc>
        <w:tc>
          <w:tcPr>
            <w:tcW w:w="809" w:type="dxa"/>
            <w:shd w:val="clear" w:color="auto" w:fill="auto"/>
          </w:tcPr>
          <w:p w:rsidR="00B73674" w:rsidRPr="00E97254" w:rsidRDefault="00FA5606" w:rsidP="000C0250">
            <w:pPr>
              <w:spacing w:after="0"/>
              <w:jc w:val="right"/>
              <w:rPr>
                <w:rFonts w:ascii="Calibri" w:hAnsi="Calibri" w:cs="Calibri"/>
                <w:spacing w:val="-3"/>
                <w:sz w:val="20"/>
              </w:rPr>
            </w:pPr>
            <w:r w:rsidRPr="00FA5606">
              <w:rPr>
                <w:rFonts w:ascii="Calibri" w:hAnsi="Calibri" w:cs="Calibri"/>
                <w:spacing w:val="-3"/>
                <w:sz w:val="20"/>
              </w:rPr>
              <w:t>11,814</w:t>
            </w:r>
          </w:p>
        </w:tc>
        <w:tc>
          <w:tcPr>
            <w:tcW w:w="719" w:type="dxa"/>
            <w:shd w:val="clear" w:color="auto" w:fill="auto"/>
          </w:tcPr>
          <w:p w:rsidR="00B73674" w:rsidRPr="00E97254" w:rsidRDefault="00FA5606" w:rsidP="000C0250">
            <w:pPr>
              <w:spacing w:after="0"/>
              <w:jc w:val="right"/>
              <w:rPr>
                <w:rFonts w:ascii="Calibri" w:hAnsi="Calibri" w:cs="Calibri"/>
                <w:spacing w:val="-3"/>
                <w:sz w:val="20"/>
              </w:rPr>
            </w:pPr>
            <w:r w:rsidRPr="00FA5606">
              <w:rPr>
                <w:rFonts w:ascii="Calibri" w:hAnsi="Calibri" w:cs="Calibri"/>
                <w:spacing w:val="-3"/>
                <w:sz w:val="20"/>
              </w:rPr>
              <w:t>5,721</w:t>
            </w:r>
          </w:p>
        </w:tc>
        <w:tc>
          <w:tcPr>
            <w:tcW w:w="809" w:type="dxa"/>
            <w:shd w:val="clear" w:color="auto" w:fill="auto"/>
          </w:tcPr>
          <w:p w:rsidR="00B73674" w:rsidRPr="00E97254" w:rsidRDefault="00FA5606" w:rsidP="000C0250">
            <w:pPr>
              <w:spacing w:after="0"/>
              <w:jc w:val="right"/>
              <w:rPr>
                <w:rFonts w:ascii="Calibri" w:hAnsi="Calibri" w:cs="Calibri"/>
                <w:spacing w:val="-3"/>
                <w:sz w:val="20"/>
              </w:rPr>
            </w:pPr>
            <w:r w:rsidRPr="00FA5606">
              <w:rPr>
                <w:rFonts w:ascii="Calibri" w:hAnsi="Calibri" w:cs="Calibri"/>
                <w:spacing w:val="-3"/>
                <w:sz w:val="20"/>
              </w:rPr>
              <w:t>4,718</w:t>
            </w:r>
          </w:p>
        </w:tc>
        <w:tc>
          <w:tcPr>
            <w:tcW w:w="719" w:type="dxa"/>
            <w:shd w:val="clear" w:color="auto" w:fill="auto"/>
          </w:tcPr>
          <w:p w:rsidR="00B73674" w:rsidRPr="00E97254" w:rsidRDefault="00FA5606" w:rsidP="000C0250">
            <w:pPr>
              <w:spacing w:after="0"/>
              <w:jc w:val="right"/>
              <w:rPr>
                <w:rFonts w:ascii="Calibri" w:hAnsi="Calibri" w:cs="Calibri"/>
                <w:spacing w:val="-3"/>
                <w:sz w:val="20"/>
              </w:rPr>
            </w:pPr>
            <w:r w:rsidRPr="00FA5606">
              <w:rPr>
                <w:rFonts w:ascii="Calibri" w:hAnsi="Calibri" w:cs="Calibri"/>
                <w:spacing w:val="-3"/>
                <w:sz w:val="20"/>
              </w:rPr>
              <w:t>2,365</w:t>
            </w:r>
          </w:p>
        </w:tc>
        <w:tc>
          <w:tcPr>
            <w:tcW w:w="737" w:type="dxa"/>
            <w:shd w:val="clear" w:color="auto" w:fill="auto"/>
          </w:tcPr>
          <w:p w:rsidR="00B73674" w:rsidRPr="00E97254" w:rsidRDefault="00FA5606" w:rsidP="000C0250">
            <w:pPr>
              <w:spacing w:after="0"/>
              <w:jc w:val="right"/>
              <w:rPr>
                <w:rFonts w:ascii="Calibri" w:hAnsi="Calibri" w:cs="Calibri"/>
                <w:spacing w:val="-3"/>
                <w:sz w:val="20"/>
              </w:rPr>
            </w:pPr>
            <w:r w:rsidRPr="00FA5606">
              <w:rPr>
                <w:rFonts w:ascii="Calibri" w:hAnsi="Calibri" w:cs="Calibri"/>
                <w:spacing w:val="-3"/>
                <w:sz w:val="20"/>
              </w:rPr>
              <w:t>2,353</w:t>
            </w:r>
          </w:p>
        </w:tc>
      </w:tr>
      <w:tr w:rsidR="00B73674" w:rsidRPr="00E97254" w:rsidTr="00F85CE2">
        <w:tc>
          <w:tcPr>
            <w:tcW w:w="1943" w:type="dxa"/>
            <w:shd w:val="clear" w:color="auto" w:fill="auto"/>
          </w:tcPr>
          <w:p w:rsidR="00B73674" w:rsidRPr="00E97254" w:rsidRDefault="00FA5606" w:rsidP="000C0250">
            <w:pPr>
              <w:spacing w:after="0"/>
              <w:jc w:val="center"/>
              <w:rPr>
                <w:rFonts w:ascii="Calibri" w:hAnsi="Calibri" w:cs="Calibri"/>
                <w:spacing w:val="-3"/>
                <w:sz w:val="20"/>
              </w:rPr>
            </w:pPr>
            <w:r w:rsidRPr="00FA5606">
              <w:rPr>
                <w:rFonts w:ascii="Calibri" w:hAnsi="Calibri" w:cs="Calibri"/>
                <w:spacing w:val="-3"/>
                <w:sz w:val="20"/>
              </w:rPr>
              <w:t>2019 - 2020</w:t>
            </w:r>
          </w:p>
        </w:tc>
        <w:tc>
          <w:tcPr>
            <w:tcW w:w="1320" w:type="dxa"/>
            <w:shd w:val="clear" w:color="auto" w:fill="auto"/>
          </w:tcPr>
          <w:p w:rsidR="00B73674" w:rsidRPr="00E97254" w:rsidRDefault="00FA5606" w:rsidP="000C0250">
            <w:pPr>
              <w:spacing w:after="0"/>
              <w:jc w:val="center"/>
              <w:rPr>
                <w:rFonts w:ascii="Calibri" w:hAnsi="Calibri" w:cs="Calibri"/>
                <w:spacing w:val="-3"/>
                <w:sz w:val="20"/>
              </w:rPr>
            </w:pPr>
            <w:r w:rsidRPr="00FA5606">
              <w:rPr>
                <w:rFonts w:ascii="Calibri" w:hAnsi="Calibri" w:cs="Calibri"/>
                <w:spacing w:val="-3"/>
                <w:sz w:val="20"/>
              </w:rPr>
              <w:t>307</w:t>
            </w:r>
          </w:p>
        </w:tc>
        <w:tc>
          <w:tcPr>
            <w:tcW w:w="1575" w:type="dxa"/>
            <w:shd w:val="clear" w:color="auto" w:fill="auto"/>
          </w:tcPr>
          <w:p w:rsidR="00B73674" w:rsidRPr="00E97254" w:rsidRDefault="00FA5606" w:rsidP="000C0250">
            <w:pPr>
              <w:spacing w:after="0"/>
              <w:jc w:val="center"/>
              <w:rPr>
                <w:rFonts w:ascii="Calibri" w:hAnsi="Calibri" w:cs="Calibri"/>
                <w:spacing w:val="-3"/>
                <w:sz w:val="20"/>
              </w:rPr>
            </w:pPr>
            <w:r w:rsidRPr="00FA5606">
              <w:rPr>
                <w:rFonts w:ascii="Calibri" w:hAnsi="Calibri" w:cs="Calibri"/>
                <w:spacing w:val="-3"/>
                <w:sz w:val="20"/>
              </w:rPr>
              <w:t>212</w:t>
            </w:r>
          </w:p>
        </w:tc>
        <w:tc>
          <w:tcPr>
            <w:tcW w:w="918" w:type="dxa"/>
            <w:shd w:val="clear" w:color="auto" w:fill="auto"/>
          </w:tcPr>
          <w:p w:rsidR="00B73674" w:rsidRPr="00E97254" w:rsidRDefault="00FA5606" w:rsidP="000C0250">
            <w:pPr>
              <w:spacing w:after="0"/>
              <w:jc w:val="right"/>
              <w:rPr>
                <w:rFonts w:ascii="Calibri" w:hAnsi="Calibri" w:cs="Calibri"/>
                <w:spacing w:val="-3"/>
                <w:sz w:val="20"/>
              </w:rPr>
            </w:pPr>
            <w:r w:rsidRPr="00FA5606">
              <w:rPr>
                <w:rFonts w:ascii="Calibri" w:hAnsi="Calibri" w:cs="Calibri"/>
                <w:spacing w:val="-3"/>
                <w:sz w:val="20"/>
              </w:rPr>
              <w:t>15,610</w:t>
            </w:r>
          </w:p>
        </w:tc>
        <w:tc>
          <w:tcPr>
            <w:tcW w:w="809" w:type="dxa"/>
            <w:shd w:val="clear" w:color="auto" w:fill="auto"/>
          </w:tcPr>
          <w:p w:rsidR="00B73674" w:rsidRPr="00E97254" w:rsidRDefault="00FA5606" w:rsidP="000C0250">
            <w:pPr>
              <w:spacing w:after="0"/>
              <w:jc w:val="right"/>
              <w:rPr>
                <w:rFonts w:ascii="Calibri" w:hAnsi="Calibri" w:cs="Calibri"/>
                <w:spacing w:val="-3"/>
                <w:sz w:val="20"/>
              </w:rPr>
            </w:pPr>
            <w:r w:rsidRPr="00FA5606">
              <w:rPr>
                <w:rFonts w:ascii="Calibri" w:hAnsi="Calibri" w:cs="Calibri"/>
                <w:spacing w:val="-3"/>
                <w:sz w:val="20"/>
              </w:rPr>
              <w:t>10,574</w:t>
            </w:r>
          </w:p>
        </w:tc>
        <w:tc>
          <w:tcPr>
            <w:tcW w:w="719" w:type="dxa"/>
            <w:shd w:val="clear" w:color="auto" w:fill="auto"/>
          </w:tcPr>
          <w:p w:rsidR="00B73674" w:rsidRPr="00E97254" w:rsidRDefault="00FA5606" w:rsidP="000C0250">
            <w:pPr>
              <w:spacing w:after="0"/>
              <w:jc w:val="right"/>
              <w:rPr>
                <w:rFonts w:ascii="Calibri" w:hAnsi="Calibri" w:cs="Calibri"/>
                <w:spacing w:val="-3"/>
                <w:sz w:val="20"/>
              </w:rPr>
            </w:pPr>
            <w:r w:rsidRPr="00FA5606">
              <w:rPr>
                <w:rFonts w:ascii="Calibri" w:hAnsi="Calibri" w:cs="Calibri"/>
                <w:spacing w:val="-3"/>
                <w:sz w:val="20"/>
              </w:rPr>
              <w:t>5,036</w:t>
            </w:r>
          </w:p>
        </w:tc>
        <w:tc>
          <w:tcPr>
            <w:tcW w:w="809" w:type="dxa"/>
            <w:shd w:val="clear" w:color="auto" w:fill="auto"/>
          </w:tcPr>
          <w:p w:rsidR="00B73674" w:rsidRPr="00E97254" w:rsidRDefault="00FA5606" w:rsidP="000C0250">
            <w:pPr>
              <w:spacing w:after="0"/>
              <w:jc w:val="right"/>
              <w:rPr>
                <w:rFonts w:ascii="Calibri" w:hAnsi="Calibri" w:cs="Calibri"/>
                <w:spacing w:val="-3"/>
                <w:sz w:val="20"/>
              </w:rPr>
            </w:pPr>
            <w:r w:rsidRPr="00FA5606">
              <w:rPr>
                <w:rFonts w:ascii="Calibri" w:hAnsi="Calibri" w:cs="Calibri"/>
                <w:spacing w:val="-3"/>
                <w:sz w:val="20"/>
              </w:rPr>
              <w:t>5,736</w:t>
            </w:r>
          </w:p>
        </w:tc>
        <w:tc>
          <w:tcPr>
            <w:tcW w:w="719" w:type="dxa"/>
            <w:shd w:val="clear" w:color="auto" w:fill="auto"/>
          </w:tcPr>
          <w:p w:rsidR="00B73674" w:rsidRPr="00E97254" w:rsidRDefault="00FA5606" w:rsidP="000C0250">
            <w:pPr>
              <w:spacing w:after="0"/>
              <w:jc w:val="right"/>
              <w:rPr>
                <w:rFonts w:ascii="Calibri" w:hAnsi="Calibri" w:cs="Calibri"/>
                <w:spacing w:val="-3"/>
                <w:sz w:val="20"/>
              </w:rPr>
            </w:pPr>
            <w:r w:rsidRPr="00FA5606">
              <w:rPr>
                <w:rFonts w:ascii="Calibri" w:hAnsi="Calibri" w:cs="Calibri"/>
                <w:spacing w:val="-3"/>
                <w:sz w:val="20"/>
              </w:rPr>
              <w:t>2,895</w:t>
            </w:r>
          </w:p>
        </w:tc>
        <w:tc>
          <w:tcPr>
            <w:tcW w:w="737" w:type="dxa"/>
            <w:shd w:val="clear" w:color="auto" w:fill="auto"/>
          </w:tcPr>
          <w:p w:rsidR="00B73674" w:rsidRPr="00E97254" w:rsidRDefault="00FA5606" w:rsidP="000C0250">
            <w:pPr>
              <w:spacing w:after="0"/>
              <w:jc w:val="right"/>
              <w:rPr>
                <w:rFonts w:ascii="Calibri" w:hAnsi="Calibri" w:cs="Calibri"/>
                <w:spacing w:val="-3"/>
                <w:sz w:val="20"/>
              </w:rPr>
            </w:pPr>
            <w:r w:rsidRPr="00FA5606">
              <w:rPr>
                <w:rFonts w:ascii="Calibri" w:hAnsi="Calibri" w:cs="Calibri"/>
                <w:spacing w:val="-3"/>
                <w:sz w:val="20"/>
              </w:rPr>
              <w:t>2,841</w:t>
            </w:r>
          </w:p>
        </w:tc>
      </w:tr>
    </w:tbl>
    <w:p w:rsidR="006D6B7A" w:rsidRPr="00E97254" w:rsidRDefault="00FA5606" w:rsidP="000C0250">
      <w:pPr>
        <w:jc w:val="both"/>
      </w:pPr>
      <w:r w:rsidRPr="00FA5606">
        <w:t xml:space="preserve">(Burimi: </w:t>
      </w:r>
      <w:sdt>
        <w:sdtPr>
          <w:id w:val="96758180"/>
          <w:citation/>
        </w:sdtPr>
        <w:sdtEndPr/>
        <w:sdtContent>
          <w:r w:rsidR="00EC56B7" w:rsidRPr="00E97254">
            <w:fldChar w:fldCharType="begin"/>
          </w:r>
          <w:r w:rsidRPr="00FA5606">
            <w:instrText xml:space="preserve"> CITATION QSh171 \l 1033 </w:instrText>
          </w:r>
          <w:r w:rsidR="00EC56B7" w:rsidRPr="00E97254">
            <w:fldChar w:fldCharType="separate"/>
          </w:r>
          <w:r w:rsidR="00724BCC" w:rsidRPr="00E97254">
            <w:t>[70]</w:t>
          </w:r>
          <w:r w:rsidR="00EC56B7" w:rsidRPr="00E97254">
            <w:fldChar w:fldCharType="end"/>
          </w:r>
        </w:sdtContent>
      </w:sdt>
      <w:sdt>
        <w:sdtPr>
          <w:id w:val="-2105344149"/>
          <w:citation/>
        </w:sdtPr>
        <w:sdtEndPr/>
        <w:sdtContent>
          <w:r w:rsidR="00EC56B7" w:rsidRPr="00FA5606">
            <w:fldChar w:fldCharType="begin"/>
          </w:r>
          <w:r w:rsidRPr="00FA5606">
            <w:instrText xml:space="preserve"> CITATION QSh18 \l 1033 </w:instrText>
          </w:r>
          <w:r w:rsidR="00EC56B7" w:rsidRPr="00FA5606">
            <w:fldChar w:fldCharType="separate"/>
          </w:r>
          <w:r w:rsidRPr="00FA5606">
            <w:t xml:space="preserve"> [71]</w:t>
          </w:r>
          <w:r w:rsidR="00EC56B7" w:rsidRPr="00FA5606">
            <w:fldChar w:fldCharType="end"/>
          </w:r>
        </w:sdtContent>
      </w:sdt>
      <w:sdt>
        <w:sdtPr>
          <w:rPr>
            <w:rFonts w:cstheme="minorHAnsi"/>
          </w:rPr>
          <w:id w:val="-1368903082"/>
          <w:citation/>
        </w:sdtPr>
        <w:sdtEndPr/>
        <w:sdtContent/>
      </w:sdt>
      <w:sdt>
        <w:sdtPr>
          <w:id w:val="-530346261"/>
          <w:citation/>
        </w:sdtPr>
        <w:sdtEndPr/>
        <w:sdtContent>
          <w:r w:rsidR="00EC56B7" w:rsidRPr="00FA5606">
            <w:fldChar w:fldCharType="begin"/>
          </w:r>
          <w:r w:rsidRPr="00FA5606">
            <w:instrText xml:space="preserve"> CITATION QSh19 \l 1033 </w:instrText>
          </w:r>
          <w:r w:rsidR="00EC56B7" w:rsidRPr="00FA5606">
            <w:fldChar w:fldCharType="separate"/>
          </w:r>
          <w:r w:rsidRPr="00FA5606">
            <w:t xml:space="preserve"> [72]</w:t>
          </w:r>
          <w:r w:rsidR="00EC56B7" w:rsidRPr="00FA5606">
            <w:fldChar w:fldCharType="end"/>
          </w:r>
        </w:sdtContent>
      </w:sdt>
      <w:r w:rsidR="00B5068C" w:rsidRPr="00E97254">
        <w:t>)</w:t>
      </w:r>
    </w:p>
    <w:p w:rsidR="006D6B7A" w:rsidRPr="00E97254" w:rsidRDefault="006D6B7A" w:rsidP="000C0250">
      <w:pPr>
        <w:autoSpaceDE w:val="0"/>
        <w:autoSpaceDN w:val="0"/>
        <w:adjustRightInd w:val="0"/>
        <w:spacing w:before="120" w:after="0"/>
        <w:jc w:val="both"/>
        <w:rPr>
          <w:rFonts w:ascii="Calibri" w:hAnsi="Calibri" w:cs="Calibri"/>
          <w:spacing w:val="-3"/>
        </w:rPr>
      </w:pPr>
      <w:r w:rsidRPr="00E97254">
        <w:rPr>
          <w:rFonts w:ascii="Calibri" w:hAnsi="Calibri" w:cs="Calibri"/>
          <w:spacing w:val="-3"/>
        </w:rPr>
        <w:t>Pakti për Universitetin mundësoi përgjysmimin e tarifës për të gjithë studentët që janë në cikël të parë apo të integruar të studimeve</w:t>
      </w:r>
      <w:r w:rsidR="00FA5606" w:rsidRPr="00FA5606">
        <w:rPr>
          <w:rFonts w:ascii="Calibri" w:hAnsi="Calibri" w:cs="Calibri"/>
          <w:spacing w:val="-3"/>
        </w:rPr>
        <w:t xml:space="preserve"> në IAL</w:t>
      </w:r>
      <w:r w:rsidR="00BE0258">
        <w:rPr>
          <w:rFonts w:ascii="Calibri" w:hAnsi="Calibri" w:cs="Calibri"/>
          <w:spacing w:val="-3"/>
        </w:rPr>
        <w:t>-t</w:t>
      </w:r>
      <w:r w:rsidR="00BE0258" w:rsidRPr="00E97254">
        <w:rPr>
          <w:rFonts w:ascii="Calibri" w:hAnsi="Calibri" w:cs="Calibri"/>
          <w:spacing w:val="-3"/>
        </w:rPr>
        <w:t>ë</w:t>
      </w:r>
      <w:r w:rsidR="00BE0258">
        <w:rPr>
          <w:rFonts w:ascii="Calibri" w:hAnsi="Calibri" w:cs="Calibri"/>
          <w:spacing w:val="-3"/>
        </w:rPr>
        <w:t xml:space="preserve"> </w:t>
      </w:r>
      <w:r w:rsidR="00FA5606" w:rsidRPr="00FA5606">
        <w:rPr>
          <w:rFonts w:ascii="Calibri" w:hAnsi="Calibri" w:cs="Calibri"/>
          <w:spacing w:val="-3"/>
        </w:rPr>
        <w:t xml:space="preserve">publike, përjashtimin nga tarifa të gjithë studentëve që janë ekselentë, që kanë mesatare nga 9-10, si dhe të studentëve që vijnë nga kategori në nevojë, pra ose janë me </w:t>
      </w:r>
      <w:r w:rsidR="00FA5606" w:rsidRPr="00FA5606">
        <w:rPr>
          <w:rFonts w:cs="Calibri"/>
          <w:spacing w:val="-3"/>
        </w:rPr>
        <w:t>ndihmë</w:t>
      </w:r>
      <w:r w:rsidR="00FA5606" w:rsidRPr="00FA5606">
        <w:rPr>
          <w:rFonts w:ascii="Calibri" w:hAnsi="Calibri" w:cs="Calibri"/>
          <w:spacing w:val="-3"/>
        </w:rPr>
        <w:t xml:space="preserve"> ekonomike, ose kanë nevoja të veçanta, ose i përkasin ndonjë kategorie tjetër në nevojë. Studentët, të cilët rezultojnë me notë mesatare nën 6 në përfundim të vitit të parë akademik, nga viti akademik 2019-2020 e në vijim, paguajnë tarifën e plotë të studimit. Po ashtu, përgjysmohen tarifat e studimeve edhe për disa kategori të studentëve të ciklit të dytë. Përveç kësaj, përﬁtojnë bursë studentët e pranuar në vitin e parë akademik, për çdo program studimi në Institucionet publike të Arsimit të Lartë, me notë mesatare vjetore mbi 9 nga sistemi i arsimit të mesëm dhe studentët e regjistruar në çdo program studimi, në vitet pas të parit, me kriterin e notës mesatare mbi 9.</w:t>
      </w:r>
    </w:p>
    <w:p w:rsidR="00161F6C" w:rsidRPr="00E97254" w:rsidRDefault="00FA5606" w:rsidP="000C0250">
      <w:pPr>
        <w:spacing w:after="0"/>
        <w:ind w:right="202"/>
        <w:jc w:val="both"/>
        <w:rPr>
          <w:rFonts w:ascii="Calibri" w:hAnsi="Calibri" w:cs="Calibri"/>
          <w:spacing w:val="-3"/>
        </w:rPr>
      </w:pPr>
      <w:r w:rsidRPr="00FA5606">
        <w:rPr>
          <w:rFonts w:ascii="Calibri" w:hAnsi="Calibri" w:cs="Calibri"/>
          <w:spacing w:val="-3"/>
        </w:rPr>
        <w:t>Ligji për Arsimin e Lartë e organizon pjesëmarrjen e studentëve në vendimmarrje nëpërmjet katër elementëve: 1) Përfaqësimi i studentëve në Senatin Akademik në masën 10%. 2) Pjesëmarrja në zgjedhje për rektor dhe dekan - kuotat e studentëve në përzgjedhjen llogariten në masën 10% të totalit të përgjithshëm të votave. 3) Ligji u njeh të drejtën studentëve të përfaqësohen në të gjitha komisionet e përhershme që organizohen në nivel Universiteti dhe në nivel Fakulteti 4) Ligji u njeh studentëve të drejtën të organizohen në këshilla studentor</w:t>
      </w:r>
      <w:r w:rsidR="006F5C14">
        <w:rPr>
          <w:rFonts w:ascii="Calibri" w:hAnsi="Calibri" w:cs="Calibri"/>
          <w:spacing w:val="-3"/>
        </w:rPr>
        <w:t>e</w:t>
      </w:r>
      <w:r w:rsidRPr="00FA5606">
        <w:rPr>
          <w:rFonts w:ascii="Calibri" w:hAnsi="Calibri" w:cs="Calibri"/>
          <w:spacing w:val="-3"/>
        </w:rPr>
        <w:t xml:space="preserve"> në nivel të institucionit të arsimit të lartë, si edhe në nivel kombëtar.</w:t>
      </w:r>
    </w:p>
    <w:p w:rsidR="006D6B7A" w:rsidRPr="00E97254" w:rsidRDefault="00FA5606" w:rsidP="000C0250">
      <w:pPr>
        <w:spacing w:before="120" w:after="0"/>
        <w:ind w:right="202"/>
        <w:jc w:val="both"/>
        <w:rPr>
          <w:rFonts w:ascii="Calibri" w:hAnsi="Calibri" w:cs="Calibri"/>
          <w:spacing w:val="-3"/>
        </w:rPr>
      </w:pPr>
      <w:r w:rsidRPr="00FA5606">
        <w:rPr>
          <w:rFonts w:ascii="Calibri" w:hAnsi="Calibri" w:cs="Calibri"/>
          <w:spacing w:val="-3"/>
        </w:rPr>
        <w:lastRenderedPageBreak/>
        <w:t>Në masë të madhe</w:t>
      </w:r>
      <w:r w:rsidR="006F5C14">
        <w:rPr>
          <w:rFonts w:ascii="Calibri" w:hAnsi="Calibri" w:cs="Calibri"/>
          <w:spacing w:val="-3"/>
        </w:rPr>
        <w:t>,</w:t>
      </w:r>
      <w:r w:rsidRPr="00FA5606">
        <w:rPr>
          <w:rFonts w:ascii="Calibri" w:hAnsi="Calibri" w:cs="Calibri"/>
          <w:spacing w:val="-3"/>
        </w:rPr>
        <w:t xml:space="preserve"> Këshillat Studentor</w:t>
      </w:r>
      <w:r w:rsidR="006F5C14">
        <w:rPr>
          <w:rFonts w:ascii="Calibri" w:hAnsi="Calibri" w:cs="Calibri"/>
          <w:spacing w:val="-3"/>
        </w:rPr>
        <w:t>e</w:t>
      </w:r>
      <w:r w:rsidRPr="00FA5606">
        <w:rPr>
          <w:rFonts w:ascii="Calibri" w:hAnsi="Calibri" w:cs="Calibri"/>
          <w:spacing w:val="-3"/>
        </w:rPr>
        <w:t xml:space="preserve"> dhe Komisionet e Përhershme nuk janë ngritur. Këto institucione janë konceptuar për të qenë pika më e afërt dhe më e shpeshtë </w:t>
      </w:r>
      <w:r w:rsidR="006F5C14" w:rsidRPr="004E1F53">
        <w:rPr>
          <w:rFonts w:ascii="Calibri" w:hAnsi="Calibri" w:cs="Calibri"/>
          <w:spacing w:val="-3"/>
        </w:rPr>
        <w:t xml:space="preserve">e takimit </w:t>
      </w:r>
      <w:r w:rsidRPr="00FA5606">
        <w:rPr>
          <w:rFonts w:ascii="Calibri" w:hAnsi="Calibri" w:cs="Calibri"/>
          <w:spacing w:val="-3"/>
        </w:rPr>
        <w:t>për problematikat e studentëve. Mungesa e tyre ka sjellë tek studentët ndjesinë e nënpërfaqësimit dhe për rrjedhojë, kërkesën për rritje të përfaqësimit</w:t>
      </w:r>
      <w:sdt>
        <w:sdtPr>
          <w:rPr>
            <w:rFonts w:ascii="Calibri" w:hAnsi="Calibri" w:cs="Calibri"/>
            <w:spacing w:val="-3"/>
          </w:rPr>
          <w:id w:val="-1411153224"/>
          <w:citation/>
        </w:sdtPr>
        <w:sdtEndPr/>
        <w:sdtContent>
          <w:r w:rsidR="00EC56B7" w:rsidRPr="00E97254">
            <w:rPr>
              <w:rFonts w:ascii="Calibri" w:hAnsi="Calibri" w:cs="Calibri"/>
              <w:spacing w:val="-3"/>
            </w:rPr>
            <w:fldChar w:fldCharType="begin"/>
          </w:r>
          <w:r w:rsidRPr="00FA5606">
            <w:rPr>
              <w:rFonts w:ascii="Calibri" w:hAnsi="Calibri" w:cs="Calibri"/>
              <w:spacing w:val="-3"/>
            </w:rPr>
            <w:instrText xml:space="preserve"> CITATION Kës18 \l 1033 </w:instrText>
          </w:r>
          <w:r w:rsidR="00EC56B7" w:rsidRPr="00E97254">
            <w:rPr>
              <w:rFonts w:ascii="Calibri" w:hAnsi="Calibri" w:cs="Calibri"/>
              <w:spacing w:val="-3"/>
            </w:rPr>
            <w:fldChar w:fldCharType="separate"/>
          </w:r>
          <w:r w:rsidR="00724BCC" w:rsidRPr="00E97254">
            <w:rPr>
              <w:rFonts w:ascii="Calibri" w:hAnsi="Calibri" w:cs="Calibri"/>
              <w:spacing w:val="-3"/>
            </w:rPr>
            <w:t xml:space="preserve"> [23]</w:t>
          </w:r>
          <w:r w:rsidR="00EC56B7" w:rsidRPr="00E97254">
            <w:rPr>
              <w:rFonts w:ascii="Calibri" w:hAnsi="Calibri" w:cs="Calibri"/>
              <w:spacing w:val="-3"/>
            </w:rPr>
            <w:fldChar w:fldCharType="end"/>
          </w:r>
        </w:sdtContent>
      </w:sdt>
      <w:r w:rsidR="006D6B7A" w:rsidRPr="00E97254">
        <w:rPr>
          <w:rFonts w:ascii="Calibri" w:hAnsi="Calibri" w:cs="Calibri"/>
          <w:spacing w:val="-3"/>
        </w:rPr>
        <w:t>.</w:t>
      </w:r>
    </w:p>
    <w:p w:rsidR="00B80CDA" w:rsidRPr="00E97254" w:rsidRDefault="002C6E6B" w:rsidP="000C0250">
      <w:pPr>
        <w:spacing w:after="0"/>
        <w:ind w:right="206"/>
        <w:jc w:val="both"/>
        <w:rPr>
          <w:rFonts w:ascii="Calibri" w:hAnsi="Calibri" w:cs="Calibri"/>
          <w:spacing w:val="-3"/>
        </w:rPr>
      </w:pPr>
      <w:r w:rsidRPr="00E97254">
        <w:rPr>
          <w:rFonts w:ascii="Calibri" w:hAnsi="Calibri" w:cs="Calibri"/>
          <w:spacing w:val="-3"/>
        </w:rPr>
        <w:t>Pajisja</w:t>
      </w:r>
      <w:r w:rsidR="006D6B7A" w:rsidRPr="00E97254">
        <w:rPr>
          <w:rFonts w:ascii="Calibri" w:hAnsi="Calibri" w:cs="Calibri"/>
          <w:spacing w:val="-3"/>
        </w:rPr>
        <w:t xml:space="preserve"> e studentëve me kartën</w:t>
      </w:r>
      <w:r w:rsidR="00476CA2" w:rsidRPr="00E97254">
        <w:rPr>
          <w:rFonts w:ascii="Calibri" w:hAnsi="Calibri" w:cs="Calibri"/>
          <w:spacing w:val="-3"/>
        </w:rPr>
        <w:t xml:space="preserve"> </w:t>
      </w:r>
      <w:r w:rsidR="00FA5606" w:rsidRPr="00FA5606">
        <w:rPr>
          <w:rFonts w:ascii="Calibri" w:hAnsi="Calibri" w:cs="Calibri"/>
          <w:spacing w:val="-3"/>
        </w:rPr>
        <w:t>e studentit ishte një nga nismat e Paktit për Universitetin. Shqipëria nuk ka traditë të ofrimit të favorizuar të shërbimeve për studentët. Ndaj</w:t>
      </w:r>
      <w:r w:rsidR="006F5C14">
        <w:rPr>
          <w:rFonts w:ascii="Calibri" w:hAnsi="Calibri" w:cs="Calibri"/>
          <w:spacing w:val="-3"/>
        </w:rPr>
        <w:t>,</w:t>
      </w:r>
      <w:r w:rsidR="00FA5606" w:rsidRPr="00FA5606">
        <w:rPr>
          <w:rFonts w:ascii="Calibri" w:hAnsi="Calibri" w:cs="Calibri"/>
          <w:spacing w:val="-3"/>
        </w:rPr>
        <w:t xml:space="preserve"> nga shkurti 2018 e në vazhdim</w:t>
      </w:r>
      <w:r w:rsidR="006F5C14">
        <w:rPr>
          <w:rFonts w:ascii="Calibri" w:hAnsi="Calibri" w:cs="Calibri"/>
          <w:spacing w:val="-3"/>
        </w:rPr>
        <w:t>,</w:t>
      </w:r>
      <w:r w:rsidR="00FA5606" w:rsidRPr="00FA5606">
        <w:rPr>
          <w:rFonts w:ascii="Calibri" w:hAnsi="Calibri" w:cs="Calibri"/>
          <w:spacing w:val="-3"/>
        </w:rPr>
        <w:t xml:space="preserve"> ka pasur një sërë komunikimesh me Komisionin </w:t>
      </w:r>
      <w:r w:rsidR="00FA5606" w:rsidRPr="00FA5606">
        <w:rPr>
          <w:rFonts w:cs="Calibri"/>
          <w:spacing w:val="-3"/>
        </w:rPr>
        <w:t>Evropian</w:t>
      </w:r>
      <w:r w:rsidR="00FA5606" w:rsidRPr="00FA5606">
        <w:rPr>
          <w:rFonts w:ascii="Calibri" w:hAnsi="Calibri" w:cs="Calibri"/>
          <w:spacing w:val="-3"/>
        </w:rPr>
        <w:t xml:space="preserve"> për përfshirjen e Shqipërisë në Kartën </w:t>
      </w:r>
      <w:r w:rsidR="00FA5606" w:rsidRPr="00FA5606">
        <w:rPr>
          <w:rFonts w:cs="Calibri"/>
          <w:spacing w:val="-3"/>
        </w:rPr>
        <w:t>Evropiane</w:t>
      </w:r>
      <w:r w:rsidR="00FA5606" w:rsidRPr="00FA5606">
        <w:rPr>
          <w:rFonts w:ascii="Calibri" w:hAnsi="Calibri" w:cs="Calibri"/>
          <w:spacing w:val="-3"/>
        </w:rPr>
        <w:t xml:space="preserve"> të Studentit. Në nëntor 2018 është lidhur marrëveshja dypalëshe mes dy agjencive homologe, Centre national des œuvres universitaires et scolaires (CNOUS) dhe Qendrës së Shërbimeve Arsimore (QSHA), </w:t>
      </w:r>
      <w:r w:rsidR="003F1AEA">
        <w:rPr>
          <w:rFonts w:ascii="Calibri" w:hAnsi="Calibri" w:cs="Calibri"/>
          <w:spacing w:val="-3"/>
        </w:rPr>
        <w:t>p</w:t>
      </w:r>
      <w:r w:rsidR="003F1AEA">
        <w:rPr>
          <w:rFonts w:cstheme="minorHAnsi"/>
        </w:rPr>
        <w:t>ër</w:t>
      </w:r>
      <w:r w:rsidR="00FA5606" w:rsidRPr="00FA5606">
        <w:rPr>
          <w:rFonts w:ascii="Calibri" w:hAnsi="Calibri" w:cs="Calibri"/>
          <w:spacing w:val="-3"/>
        </w:rPr>
        <w:t xml:space="preserve"> përgatitjen dhe implementimin e European Student Card në Shqipëri. Shpërndarja e kartave të studentit është realizuar në disa qytete</w:t>
      </w:r>
      <w:r w:rsidR="006F5C14">
        <w:rPr>
          <w:rFonts w:ascii="Calibri" w:hAnsi="Calibri" w:cs="Calibri"/>
          <w:spacing w:val="-3"/>
        </w:rPr>
        <w:t>,</w:t>
      </w:r>
      <w:r w:rsidR="00FA5606" w:rsidRPr="00FA5606">
        <w:rPr>
          <w:rFonts w:ascii="Calibri" w:hAnsi="Calibri" w:cs="Calibri"/>
          <w:spacing w:val="-3"/>
        </w:rPr>
        <w:t xml:space="preserve"> si Tirana, Elbasani, Vlora, etj. Edhe pse vitet e fundit ka një vëmendje të shtuar për përmirësimin e shërbimeve të studentëve si ato të mbështetjes financiare, bibliotekat, etj., akoma ka nevojë për shërbime të reja për studentët si: këshilla dhe ndihmë për studentët që kërkojnë punë me kohë të pjesshme ose eksperiencë vullnetarizmi gjatë studimit, shërbimet e mbështetjes së aftësisë së kufizuar, etj.</w:t>
      </w:r>
    </w:p>
    <w:p w:rsidR="00386F04" w:rsidRPr="00E97254" w:rsidRDefault="00FA5606" w:rsidP="000C0250">
      <w:pPr>
        <w:spacing w:after="0"/>
        <w:ind w:right="206"/>
        <w:jc w:val="both"/>
        <w:rPr>
          <w:rFonts w:ascii="Calibri" w:hAnsi="Calibri" w:cs="Calibri"/>
          <w:spacing w:val="-3"/>
        </w:rPr>
      </w:pPr>
      <w:r w:rsidRPr="00FA5606">
        <w:rPr>
          <w:rFonts w:ascii="Calibri" w:hAnsi="Calibri" w:cs="Calibri"/>
          <w:spacing w:val="-3"/>
        </w:rPr>
        <w:t xml:space="preserve">Një tjetër shërbim i rëndësishëm është edhe ai i mentorimit të studentëve, që realizohet nga strukturat e karrierës të ngritura në IAL. Ky shërbim siguron një mbështetje për studentët në momentet kritike në jetën e tyre studentore, duke ju ofruar një sërë përfitimesh si këshillim, përfshirje në praktika të ndryshme kërkimore dhe profesionale, rrjetëzim me profesionistë të tjerë, zhvillimin e </w:t>
      </w:r>
      <w:r w:rsidRPr="00FA5606">
        <w:rPr>
          <w:rFonts w:cs="Calibri"/>
          <w:spacing w:val="-3"/>
        </w:rPr>
        <w:t>aftësive</w:t>
      </w:r>
      <w:r w:rsidRPr="00FA5606">
        <w:rPr>
          <w:rFonts w:ascii="Calibri" w:hAnsi="Calibri" w:cs="Calibri"/>
          <w:spacing w:val="-3"/>
        </w:rPr>
        <w:t xml:space="preserve"> të transferueshme që do </w:t>
      </w:r>
      <w:r w:rsidRPr="00FA5606">
        <w:rPr>
          <w:rFonts w:cs="Calibri"/>
          <w:spacing w:val="-3"/>
        </w:rPr>
        <w:t>t’i</w:t>
      </w:r>
      <w:r w:rsidRPr="00FA5606">
        <w:rPr>
          <w:rFonts w:ascii="Calibri" w:hAnsi="Calibri" w:cs="Calibri"/>
          <w:spacing w:val="-3"/>
        </w:rPr>
        <w:t xml:space="preserve"> ndihmojë ata gjatë kohës në IAL dhe më gjerë. Këto mundësi u sjellin përfitim studentëve duke i lejuar ata të eksplorojnë rrugët e karrierës në mjediset e botës reale.</w:t>
      </w:r>
    </w:p>
    <w:p w:rsidR="00C44536" w:rsidRPr="00E97254" w:rsidRDefault="00FA5606" w:rsidP="000C0250">
      <w:pPr>
        <w:pStyle w:val="Heading3"/>
        <w:jc w:val="both"/>
      </w:pPr>
      <w:bookmarkStart w:id="97" w:name="_Toc45624235"/>
      <w:bookmarkStart w:id="98" w:name="_Toc66802003"/>
      <w:r w:rsidRPr="00FA5606">
        <w:t>4.4.4. Ndërkombëtarizimi i arsimit të lartë</w:t>
      </w:r>
      <w:bookmarkEnd w:id="97"/>
      <w:bookmarkEnd w:id="98"/>
    </w:p>
    <w:p w:rsidR="006D6B7A" w:rsidRPr="00E97254" w:rsidRDefault="00FA5606" w:rsidP="000C0250">
      <w:pPr>
        <w:spacing w:before="120" w:after="0"/>
        <w:ind w:right="80"/>
        <w:jc w:val="both"/>
        <w:rPr>
          <w:rFonts w:ascii="Calibri" w:eastAsia="Arial" w:hAnsi="Calibri" w:cs="Calibri"/>
        </w:rPr>
      </w:pPr>
      <w:r w:rsidRPr="00FA5606">
        <w:rPr>
          <w:rFonts w:ascii="Calibri" w:eastAsia="Arial" w:hAnsi="Calibri" w:cs="Calibri"/>
        </w:rPr>
        <w:t xml:space="preserve">Bashkëpunimi ndërkombëtar në institucionet e arsimit të lartë menaxhohet nga zyrat e marrëdhënieve ndërkombëtare. Këto zyra janë ngritur pothuajse në të gjitha IAL-të shqiptare dhe bashkëpunojnë ngushtë me IAL-të e huaja për njohjen e lëvizshmërisë (mobilitetit) dhe diplomave të huaja të studentëve, legalizimin e dokumenteve, transferimin e studimeve dhe marrëveshjet e ndërsjella. Zyrat e marrëdhënieve ndërkombëtare mbulojnë zbatimin e marrëveshjeve bilaterale dhe shumëpalëshe dhe zbatimin e projekteve ndërkombëtare. Këto zyra bashkëpunojnë ngushtë me Zyrën Shqiptare Erasmus + </w:t>
      </w:r>
      <w:r w:rsidR="00A50A43">
        <w:rPr>
          <w:rFonts w:ascii="Calibri" w:eastAsia="Arial" w:hAnsi="Calibri" w:cs="Calibri"/>
        </w:rPr>
        <w:t>nëpërmjet</w:t>
      </w:r>
      <w:r w:rsidRPr="00FA5606">
        <w:rPr>
          <w:rFonts w:ascii="Calibri" w:eastAsia="Arial" w:hAnsi="Calibri" w:cs="Calibri"/>
        </w:rPr>
        <w:t xml:space="preserve"> aktiviteteve të tilla si: organizimi i ditëve të Erasmus +, </w:t>
      </w:r>
      <w:r w:rsidR="006F5C14">
        <w:rPr>
          <w:rFonts w:ascii="Calibri" w:eastAsia="Arial" w:hAnsi="Calibri" w:cs="Calibri"/>
        </w:rPr>
        <w:t>i</w:t>
      </w:r>
      <w:r w:rsidRPr="00FA5606">
        <w:rPr>
          <w:rFonts w:ascii="Calibri" w:eastAsia="Arial" w:hAnsi="Calibri" w:cs="Calibri"/>
        </w:rPr>
        <w:t>nformacionit, seminareve të ekspertëve, seancave informuese në vend për programet e BE-së, etj.</w:t>
      </w:r>
      <w:sdt>
        <w:sdtPr>
          <w:rPr>
            <w:rFonts w:eastAsia="Arial" w:cstheme="minorHAnsi"/>
          </w:rPr>
          <w:id w:val="1847285459"/>
          <w:citation/>
        </w:sdtPr>
        <w:sdtEndPr/>
        <w:sdtContent/>
      </w:sdt>
      <w:sdt>
        <w:sdtPr>
          <w:rPr>
            <w:rFonts w:ascii="Calibri" w:eastAsia="Arial" w:hAnsi="Calibri" w:cs="Calibri"/>
          </w:rPr>
          <w:id w:val="1987042651"/>
          <w:citation/>
        </w:sdtPr>
        <w:sdtEndPr/>
        <w:sdtContent>
          <w:r w:rsidR="00EC56B7" w:rsidRPr="00FA5606">
            <w:rPr>
              <w:rFonts w:ascii="Calibri" w:eastAsia="Arial" w:hAnsi="Calibri" w:cs="Calibri"/>
            </w:rPr>
            <w:fldChar w:fldCharType="begin"/>
          </w:r>
          <w:r w:rsidRPr="00FA5606">
            <w:rPr>
              <w:rFonts w:ascii="Calibri" w:eastAsia="Arial" w:hAnsi="Calibri" w:cs="Calibri"/>
            </w:rPr>
            <w:instrText xml:space="preserve"> CITATION Eur17 \l 1033 </w:instrText>
          </w:r>
          <w:r w:rsidR="00EC56B7" w:rsidRPr="00FA5606">
            <w:rPr>
              <w:rFonts w:ascii="Calibri" w:eastAsia="Arial" w:hAnsi="Calibri" w:cs="Calibri"/>
            </w:rPr>
            <w:fldChar w:fldCharType="separate"/>
          </w:r>
          <w:r w:rsidRPr="00FA5606">
            <w:rPr>
              <w:rFonts w:ascii="Calibri" w:eastAsia="Arial" w:hAnsi="Calibri" w:cs="Calibri"/>
            </w:rPr>
            <w:t xml:space="preserve"> [73]</w:t>
          </w:r>
          <w:r w:rsidR="00EC56B7" w:rsidRPr="00FA5606">
            <w:rPr>
              <w:rFonts w:ascii="Calibri" w:eastAsia="Arial" w:hAnsi="Calibri" w:cs="Calibri"/>
            </w:rPr>
            <w:fldChar w:fldCharType="end"/>
          </w:r>
        </w:sdtContent>
      </w:sdt>
    </w:p>
    <w:p w:rsidR="00C50DDE" w:rsidRPr="00E97254" w:rsidRDefault="00FD6CFC" w:rsidP="000C0250">
      <w:pPr>
        <w:spacing w:after="0"/>
        <w:ind w:right="77"/>
        <w:jc w:val="both"/>
        <w:rPr>
          <w:rStyle w:val="tlid-translation"/>
        </w:rPr>
      </w:pPr>
      <w:r w:rsidRPr="00E97254">
        <w:rPr>
          <w:rStyle w:val="tlid-translation"/>
        </w:rPr>
        <w:t xml:space="preserve">Që nga viti 2015, Erasmus + ka </w:t>
      </w:r>
      <w:r w:rsidR="00C67937" w:rsidRPr="00E97254">
        <w:rPr>
          <w:rStyle w:val="tlid-translation"/>
        </w:rPr>
        <w:t>bërë të mundur</w:t>
      </w:r>
      <w:r w:rsidR="004E1F53">
        <w:rPr>
          <w:rStyle w:val="tlid-translation"/>
        </w:rPr>
        <w:t xml:space="preserve"> mobilitetin afatshkurtër në Evropë nga pjesë të tjera të botës për studentë, kërkues dhe staf (</w:t>
      </w:r>
      <w:r w:rsidR="008D102D">
        <w:fldChar w:fldCharType="begin"/>
      </w:r>
      <w:r w:rsidR="008D102D">
        <w:instrText xml:space="preserve"> REF _Ref56169817 \h  \* MERGEFORMAT </w:instrText>
      </w:r>
      <w:r w:rsidR="008D102D">
        <w:fldChar w:fldCharType="separate"/>
      </w:r>
      <w:r w:rsidR="005A6200" w:rsidRPr="00E97254">
        <w:t>Tabela 12</w:t>
      </w:r>
      <w:r w:rsidR="008D102D">
        <w:fldChar w:fldCharType="end"/>
      </w:r>
      <w:r w:rsidR="00C67937" w:rsidRPr="00E97254">
        <w:rPr>
          <w:rStyle w:val="tlid-translation"/>
        </w:rPr>
        <w:t>)</w:t>
      </w:r>
      <w:r w:rsidRPr="00E97254">
        <w:rPr>
          <w:rStyle w:val="tlid-translation"/>
        </w:rPr>
        <w:t>.</w:t>
      </w:r>
    </w:p>
    <w:p w:rsidR="00226431" w:rsidRPr="00E97254" w:rsidRDefault="00403F5F" w:rsidP="000C0250">
      <w:pPr>
        <w:spacing w:after="0"/>
        <w:ind w:right="77"/>
        <w:jc w:val="both"/>
        <w:rPr>
          <w:rFonts w:ascii="Calibri" w:eastAsia="Arial" w:hAnsi="Calibri" w:cs="Calibri"/>
        </w:rPr>
      </w:pPr>
      <w:r w:rsidRPr="00E97254">
        <w:rPr>
          <w:rFonts w:ascii="Calibri" w:eastAsia="Arial" w:hAnsi="Calibri" w:cs="Calibri"/>
        </w:rPr>
        <w:t xml:space="preserve">Projektet </w:t>
      </w:r>
      <w:r w:rsidR="006F5C14">
        <w:rPr>
          <w:rFonts w:ascii="Calibri" w:eastAsia="Arial" w:hAnsi="Calibri" w:cs="Calibri"/>
        </w:rPr>
        <w:t xml:space="preserve">e </w:t>
      </w:r>
      <w:r w:rsidRPr="00E97254">
        <w:rPr>
          <w:rFonts w:ascii="Calibri" w:eastAsia="Arial" w:hAnsi="Calibri" w:cs="Calibri"/>
        </w:rPr>
        <w:t>Ndërtimi</w:t>
      </w:r>
      <w:r w:rsidR="006F5C14">
        <w:rPr>
          <w:rFonts w:ascii="Calibri" w:eastAsia="Arial" w:hAnsi="Calibri" w:cs="Calibri"/>
        </w:rPr>
        <w:t>t</w:t>
      </w:r>
      <w:r w:rsidRPr="00E97254">
        <w:rPr>
          <w:rFonts w:ascii="Calibri" w:eastAsia="Arial" w:hAnsi="Calibri" w:cs="Calibri"/>
        </w:rPr>
        <w:t xml:space="preserve"> </w:t>
      </w:r>
      <w:r w:rsidR="006F5C14">
        <w:rPr>
          <w:rFonts w:ascii="Calibri" w:eastAsia="Arial" w:hAnsi="Calibri" w:cs="Calibri"/>
        </w:rPr>
        <w:t>të</w:t>
      </w:r>
      <w:r w:rsidR="006F5C14" w:rsidRPr="00E97254">
        <w:rPr>
          <w:rFonts w:ascii="Calibri" w:eastAsia="Arial" w:hAnsi="Calibri" w:cs="Calibri"/>
        </w:rPr>
        <w:t xml:space="preserve"> </w:t>
      </w:r>
      <w:r w:rsidRPr="00E97254">
        <w:rPr>
          <w:rFonts w:ascii="Calibri" w:eastAsia="Arial" w:hAnsi="Calibri" w:cs="Calibri"/>
        </w:rPr>
        <w:t>Kapaciteteve në Arsimin e Lartë (NKAL) Erasmus +, të cilat zgja</w:t>
      </w:r>
      <w:r w:rsidR="004E1F53">
        <w:rPr>
          <w:rFonts w:ascii="Calibri" w:eastAsia="Arial" w:hAnsi="Calibri" w:cs="Calibri"/>
        </w:rPr>
        <w:t xml:space="preserve">sin nga dy deri në tre vjet, kanë për qëllim modernizimin dhe reformimin e institucioneve të arsimit të lartë, zhvillimin e kurrikulave të reja dhe ndërtimin e marrëdhënieve midis institucioneve të arsimit të lartë dhe sipërmarrjeve. Për vendet e Ballkanit Perëndimor është caktuar rreth 9% e buxhetit vjetor global për projektet Erasmus + NKAL. Gjatë periudhës 2015-2019, Shqipëria ka marr pjesë në 114 projekte të Erasmus +. Megjithatë, jo të gjitha IAL-të arrijnë që të fitojnë mjaftueshëm projekte për shkak të mungesës së zyrave të projekteve në IAL-të, të cilat do të jenë të dedikuara në rritjen e partneriteteve në nivele rajonale dhe </w:t>
      </w:r>
      <w:r w:rsidR="004E1F53">
        <w:rPr>
          <w:rFonts w:eastAsia="Arial" w:cs="Calibri"/>
        </w:rPr>
        <w:t>evropiane</w:t>
      </w:r>
      <w:r w:rsidR="004E1F53">
        <w:rPr>
          <w:rFonts w:ascii="Calibri" w:eastAsia="Arial" w:hAnsi="Calibri" w:cs="Calibri"/>
        </w:rPr>
        <w:t xml:space="preserve"> dhe për ngritjen e fondeve në fushën e mësimdhënies dhe kërkimit.</w:t>
      </w:r>
    </w:p>
    <w:p w:rsidR="007D0EE4" w:rsidRPr="00E97254" w:rsidRDefault="007D0EE4" w:rsidP="000C0250">
      <w:pPr>
        <w:pStyle w:val="Caption"/>
        <w:keepNext/>
        <w:spacing w:before="120" w:after="120" w:line="276" w:lineRule="auto"/>
        <w:jc w:val="both"/>
        <w:rPr>
          <w:color w:val="auto"/>
          <w:sz w:val="22"/>
          <w:szCs w:val="22"/>
        </w:rPr>
      </w:pPr>
      <w:bookmarkStart w:id="99" w:name="_Ref56169817"/>
      <w:bookmarkStart w:id="100" w:name="_Toc66802046"/>
    </w:p>
    <w:p w:rsidR="00DB2EC9" w:rsidRPr="00E97254" w:rsidRDefault="00FA5606" w:rsidP="000C0250">
      <w:pPr>
        <w:pStyle w:val="Caption"/>
        <w:keepNext/>
        <w:spacing w:before="120" w:after="120" w:line="276" w:lineRule="auto"/>
        <w:jc w:val="both"/>
        <w:rPr>
          <w:rStyle w:val="tlid-translation"/>
          <w:b w:val="0"/>
          <w:color w:val="auto"/>
          <w:sz w:val="22"/>
          <w:szCs w:val="22"/>
        </w:rPr>
      </w:pPr>
      <w:r w:rsidRPr="00FA5606">
        <w:rPr>
          <w:color w:val="auto"/>
          <w:sz w:val="22"/>
          <w:szCs w:val="22"/>
        </w:rPr>
        <w:t xml:space="preserve">Tabela </w:t>
      </w:r>
      <w:r w:rsidR="00EC56B7" w:rsidRPr="00FA5606">
        <w:rPr>
          <w:color w:val="auto"/>
          <w:sz w:val="22"/>
          <w:szCs w:val="22"/>
        </w:rPr>
        <w:fldChar w:fldCharType="begin"/>
      </w:r>
      <w:r w:rsidRPr="00FA5606">
        <w:rPr>
          <w:color w:val="auto"/>
          <w:sz w:val="22"/>
          <w:szCs w:val="22"/>
        </w:rPr>
        <w:instrText xml:space="preserve"> SEQ Tabela \* ARABIC </w:instrText>
      </w:r>
      <w:r w:rsidR="00EC56B7" w:rsidRPr="00FA5606">
        <w:rPr>
          <w:color w:val="auto"/>
          <w:sz w:val="22"/>
          <w:szCs w:val="22"/>
        </w:rPr>
        <w:fldChar w:fldCharType="separate"/>
      </w:r>
      <w:r w:rsidRPr="00FA5606">
        <w:rPr>
          <w:color w:val="auto"/>
          <w:sz w:val="22"/>
          <w:szCs w:val="22"/>
        </w:rPr>
        <w:t>12</w:t>
      </w:r>
      <w:r w:rsidR="00EC56B7" w:rsidRPr="00FA5606">
        <w:rPr>
          <w:color w:val="auto"/>
          <w:sz w:val="22"/>
          <w:szCs w:val="22"/>
        </w:rPr>
        <w:fldChar w:fldCharType="end"/>
      </w:r>
      <w:bookmarkEnd w:id="99"/>
      <w:r w:rsidRPr="00FA5606">
        <w:rPr>
          <w:color w:val="auto"/>
          <w:sz w:val="22"/>
          <w:szCs w:val="22"/>
        </w:rPr>
        <w:t>.</w:t>
      </w:r>
      <w:r w:rsidR="004E1F53" w:rsidRPr="004E1F53">
        <w:rPr>
          <w:b w:val="0"/>
          <w:color w:val="auto"/>
          <w:sz w:val="22"/>
          <w:szCs w:val="22"/>
        </w:rPr>
        <w:t xml:space="preserve"> </w:t>
      </w:r>
      <w:r w:rsidR="004E1F53" w:rsidRPr="004E1F53">
        <w:rPr>
          <w:rStyle w:val="tlid-translation"/>
          <w:b w:val="0"/>
          <w:color w:val="auto"/>
          <w:sz w:val="22"/>
          <w:szCs w:val="22"/>
        </w:rPr>
        <w:t xml:space="preserve">Mobiliteti ndërkombëtar i studentëve dhe stafit </w:t>
      </w:r>
      <w:sdt>
        <w:sdtPr>
          <w:rPr>
            <w:rFonts w:ascii="Calibri" w:eastAsia="Arial" w:hAnsi="Calibri" w:cs="Calibri"/>
            <w:b w:val="0"/>
            <w:color w:val="auto"/>
          </w:rPr>
          <w:id w:val="804279544"/>
          <w:citation/>
        </w:sdtPr>
        <w:sdtEndPr/>
        <w:sdtContent>
          <w:r w:rsidR="00EC56B7" w:rsidRPr="00FA5606">
            <w:rPr>
              <w:rFonts w:ascii="Calibri" w:eastAsia="Arial" w:hAnsi="Calibri" w:cs="Calibri"/>
              <w:b w:val="0"/>
              <w:color w:val="auto"/>
            </w:rPr>
            <w:fldChar w:fldCharType="begin"/>
          </w:r>
          <w:r w:rsidRPr="00FA5606">
            <w:rPr>
              <w:rFonts w:ascii="Calibri" w:eastAsia="Arial" w:hAnsi="Calibri" w:cs="Calibri"/>
              <w:b w:val="0"/>
              <w:color w:val="auto"/>
            </w:rPr>
            <w:instrText xml:space="preserve"> CITATION Eur20 \l 1033 </w:instrText>
          </w:r>
          <w:r w:rsidR="00EC56B7" w:rsidRPr="00FA5606">
            <w:rPr>
              <w:rFonts w:ascii="Calibri" w:eastAsia="Arial" w:hAnsi="Calibri" w:cs="Calibri"/>
              <w:b w:val="0"/>
              <w:color w:val="auto"/>
            </w:rPr>
            <w:fldChar w:fldCharType="separate"/>
          </w:r>
          <w:r w:rsidRPr="00FA5606">
            <w:rPr>
              <w:rFonts w:ascii="Calibri" w:eastAsia="Arial" w:hAnsi="Calibri" w:cs="Calibri"/>
              <w:color w:val="auto"/>
            </w:rPr>
            <w:t>[74]</w:t>
          </w:r>
          <w:r w:rsidR="00EC56B7" w:rsidRPr="00FA5606">
            <w:rPr>
              <w:rFonts w:ascii="Calibri" w:eastAsia="Arial" w:hAnsi="Calibri" w:cs="Calibri"/>
              <w:b w:val="0"/>
              <w:color w:val="auto"/>
            </w:rPr>
            <w:fldChar w:fldCharType="end"/>
          </w:r>
        </w:sdtContent>
      </w:sdt>
      <w:bookmarkEnd w:id="10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22"/>
        <w:gridCol w:w="928"/>
        <w:gridCol w:w="994"/>
        <w:gridCol w:w="923"/>
        <w:gridCol w:w="990"/>
        <w:gridCol w:w="923"/>
        <w:gridCol w:w="869"/>
        <w:gridCol w:w="774"/>
      </w:tblGrid>
      <w:tr w:rsidR="00603C45" w:rsidRPr="00E97254" w:rsidTr="004D2453">
        <w:tc>
          <w:tcPr>
            <w:tcW w:w="3063" w:type="dxa"/>
            <w:vAlign w:val="center"/>
          </w:tcPr>
          <w:p w:rsidR="00603C45" w:rsidRPr="00E97254" w:rsidRDefault="004E1F53" w:rsidP="000C0250">
            <w:pPr>
              <w:spacing w:after="0"/>
              <w:ind w:right="77"/>
              <w:jc w:val="center"/>
              <w:rPr>
                <w:rFonts w:ascii="Calibri" w:eastAsia="Arial" w:hAnsi="Calibri" w:cs="Calibri"/>
                <w:sz w:val="20"/>
                <w:szCs w:val="20"/>
              </w:rPr>
            </w:pPr>
            <w:r>
              <w:rPr>
                <w:rFonts w:ascii="Calibri" w:eastAsia="Arial" w:hAnsi="Calibri" w:cs="Calibri"/>
                <w:sz w:val="20"/>
                <w:szCs w:val="20"/>
              </w:rPr>
              <w:t>Përfituesit</w:t>
            </w:r>
          </w:p>
        </w:tc>
        <w:tc>
          <w:tcPr>
            <w:tcW w:w="942" w:type="dxa"/>
            <w:vAlign w:val="center"/>
          </w:tcPr>
          <w:p w:rsidR="00603C45" w:rsidRPr="00E97254" w:rsidRDefault="004E1F53" w:rsidP="000C0250">
            <w:pPr>
              <w:spacing w:after="0"/>
              <w:ind w:right="77"/>
              <w:jc w:val="center"/>
              <w:rPr>
                <w:rFonts w:ascii="Calibri" w:eastAsia="Arial" w:hAnsi="Calibri" w:cs="Calibri"/>
                <w:b/>
                <w:sz w:val="20"/>
                <w:szCs w:val="20"/>
              </w:rPr>
            </w:pPr>
            <w:r>
              <w:rPr>
                <w:rFonts w:ascii="Calibri" w:eastAsia="Arial" w:hAnsi="Calibri" w:cs="Calibri"/>
                <w:b/>
                <w:sz w:val="20"/>
                <w:szCs w:val="20"/>
              </w:rPr>
              <w:t>Total</w:t>
            </w:r>
          </w:p>
        </w:tc>
        <w:tc>
          <w:tcPr>
            <w:tcW w:w="1013" w:type="dxa"/>
            <w:vAlign w:val="center"/>
          </w:tcPr>
          <w:p w:rsidR="00603C45" w:rsidRPr="00E97254" w:rsidRDefault="004E1F53" w:rsidP="000C0250">
            <w:pPr>
              <w:spacing w:after="0"/>
              <w:ind w:right="77"/>
              <w:jc w:val="center"/>
              <w:rPr>
                <w:rFonts w:ascii="Calibri" w:eastAsia="Arial" w:hAnsi="Calibri" w:cs="Calibri"/>
                <w:sz w:val="20"/>
                <w:szCs w:val="20"/>
              </w:rPr>
            </w:pPr>
            <w:r>
              <w:rPr>
                <w:rFonts w:ascii="Calibri" w:eastAsia="Arial" w:hAnsi="Calibri" w:cs="Calibri"/>
                <w:sz w:val="20"/>
                <w:szCs w:val="20"/>
              </w:rPr>
              <w:t>2019</w:t>
            </w:r>
          </w:p>
        </w:tc>
        <w:tc>
          <w:tcPr>
            <w:tcW w:w="941" w:type="dxa"/>
            <w:vAlign w:val="center"/>
          </w:tcPr>
          <w:p w:rsidR="00603C45" w:rsidRPr="00E97254" w:rsidRDefault="004E1F53" w:rsidP="000C0250">
            <w:pPr>
              <w:spacing w:after="0"/>
              <w:ind w:right="77"/>
              <w:jc w:val="center"/>
              <w:rPr>
                <w:rFonts w:ascii="Calibri" w:eastAsia="Arial" w:hAnsi="Calibri" w:cs="Calibri"/>
                <w:sz w:val="20"/>
                <w:szCs w:val="20"/>
              </w:rPr>
            </w:pPr>
            <w:r>
              <w:rPr>
                <w:rFonts w:ascii="Calibri" w:eastAsia="Arial" w:hAnsi="Calibri" w:cs="Calibri"/>
                <w:sz w:val="20"/>
                <w:szCs w:val="20"/>
              </w:rPr>
              <w:t>2018</w:t>
            </w:r>
          </w:p>
        </w:tc>
        <w:tc>
          <w:tcPr>
            <w:tcW w:w="1013" w:type="dxa"/>
            <w:vAlign w:val="center"/>
          </w:tcPr>
          <w:p w:rsidR="00603C45" w:rsidRPr="00E97254" w:rsidRDefault="004E1F53" w:rsidP="000C0250">
            <w:pPr>
              <w:spacing w:after="0"/>
              <w:ind w:right="77"/>
              <w:jc w:val="center"/>
              <w:rPr>
                <w:rFonts w:ascii="Calibri" w:eastAsia="Arial" w:hAnsi="Calibri" w:cs="Calibri"/>
                <w:sz w:val="20"/>
                <w:szCs w:val="20"/>
              </w:rPr>
            </w:pPr>
            <w:r>
              <w:rPr>
                <w:rFonts w:ascii="Calibri" w:eastAsia="Arial" w:hAnsi="Calibri" w:cs="Calibri"/>
                <w:sz w:val="20"/>
                <w:szCs w:val="20"/>
              </w:rPr>
              <w:t>2017</w:t>
            </w:r>
          </w:p>
        </w:tc>
        <w:tc>
          <w:tcPr>
            <w:tcW w:w="941" w:type="dxa"/>
            <w:vAlign w:val="center"/>
          </w:tcPr>
          <w:p w:rsidR="00603C45" w:rsidRPr="00E97254" w:rsidRDefault="004E1F53" w:rsidP="000C0250">
            <w:pPr>
              <w:spacing w:after="0"/>
              <w:ind w:right="77"/>
              <w:jc w:val="center"/>
              <w:rPr>
                <w:rFonts w:ascii="Calibri" w:eastAsia="Arial" w:hAnsi="Calibri" w:cs="Calibri"/>
                <w:sz w:val="20"/>
                <w:szCs w:val="20"/>
              </w:rPr>
            </w:pPr>
            <w:r>
              <w:rPr>
                <w:rFonts w:ascii="Calibri" w:eastAsia="Arial" w:hAnsi="Calibri" w:cs="Calibri"/>
                <w:sz w:val="20"/>
                <w:szCs w:val="20"/>
              </w:rPr>
              <w:t>2016</w:t>
            </w:r>
          </w:p>
        </w:tc>
        <w:tc>
          <w:tcPr>
            <w:tcW w:w="883" w:type="dxa"/>
            <w:vAlign w:val="center"/>
          </w:tcPr>
          <w:p w:rsidR="00603C45" w:rsidRPr="00E97254" w:rsidRDefault="004E1F53" w:rsidP="000C0250">
            <w:pPr>
              <w:spacing w:after="0"/>
              <w:ind w:right="77"/>
              <w:jc w:val="center"/>
              <w:rPr>
                <w:rFonts w:ascii="Calibri" w:eastAsia="Arial" w:hAnsi="Calibri" w:cs="Calibri"/>
                <w:sz w:val="20"/>
                <w:szCs w:val="20"/>
              </w:rPr>
            </w:pPr>
            <w:r>
              <w:rPr>
                <w:rFonts w:ascii="Calibri" w:eastAsia="Arial" w:hAnsi="Calibri" w:cs="Calibri"/>
                <w:sz w:val="20"/>
                <w:szCs w:val="20"/>
              </w:rPr>
              <w:t>2015</w:t>
            </w:r>
          </w:p>
        </w:tc>
        <w:tc>
          <w:tcPr>
            <w:tcW w:w="780" w:type="dxa"/>
            <w:vAlign w:val="center"/>
          </w:tcPr>
          <w:p w:rsidR="00603C45" w:rsidRPr="00E97254" w:rsidRDefault="004E1F53" w:rsidP="000C0250">
            <w:pPr>
              <w:spacing w:after="0"/>
              <w:ind w:right="77"/>
              <w:jc w:val="center"/>
              <w:rPr>
                <w:rFonts w:ascii="Calibri" w:eastAsia="Arial" w:hAnsi="Calibri" w:cs="Calibri"/>
                <w:sz w:val="20"/>
                <w:szCs w:val="20"/>
              </w:rPr>
            </w:pPr>
            <w:r>
              <w:rPr>
                <w:rFonts w:ascii="Calibri" w:eastAsia="Arial" w:hAnsi="Calibri" w:cs="Calibri"/>
                <w:sz w:val="20"/>
                <w:szCs w:val="20"/>
              </w:rPr>
              <w:t>2014</w:t>
            </w:r>
          </w:p>
        </w:tc>
      </w:tr>
      <w:tr w:rsidR="00603C45" w:rsidRPr="00E97254" w:rsidTr="004D2453">
        <w:tc>
          <w:tcPr>
            <w:tcW w:w="3063" w:type="dxa"/>
            <w:vAlign w:val="center"/>
          </w:tcPr>
          <w:p w:rsidR="00603C45" w:rsidRPr="00E97254" w:rsidRDefault="004E1F53" w:rsidP="000C0250">
            <w:pPr>
              <w:spacing w:after="0"/>
              <w:ind w:right="77"/>
              <w:rPr>
                <w:rFonts w:ascii="Calibri" w:eastAsia="Arial" w:hAnsi="Calibri" w:cs="Calibri"/>
                <w:sz w:val="20"/>
                <w:szCs w:val="20"/>
              </w:rPr>
            </w:pPr>
            <w:r>
              <w:rPr>
                <w:rFonts w:ascii="Calibri" w:eastAsia="Arial" w:hAnsi="Calibri" w:cs="Calibri"/>
                <w:sz w:val="20"/>
                <w:szCs w:val="20"/>
              </w:rPr>
              <w:t>Student</w:t>
            </w:r>
            <w:r>
              <w:rPr>
                <w:rStyle w:val="tlid-translation"/>
                <w:sz w:val="20"/>
                <w:szCs w:val="20"/>
              </w:rPr>
              <w:t>ë dhe staf që kanë lëvizur në Evropë</w:t>
            </w:r>
          </w:p>
        </w:tc>
        <w:tc>
          <w:tcPr>
            <w:tcW w:w="942" w:type="dxa"/>
            <w:vAlign w:val="center"/>
          </w:tcPr>
          <w:p w:rsidR="00603C45" w:rsidRPr="00E97254" w:rsidRDefault="004E1F53" w:rsidP="000C0250">
            <w:pPr>
              <w:spacing w:after="0"/>
              <w:ind w:right="77"/>
              <w:jc w:val="right"/>
              <w:rPr>
                <w:rFonts w:ascii="Calibri" w:eastAsia="Arial" w:hAnsi="Calibri" w:cs="Calibri"/>
                <w:b/>
                <w:sz w:val="20"/>
                <w:szCs w:val="20"/>
              </w:rPr>
            </w:pPr>
            <w:r>
              <w:rPr>
                <w:rFonts w:ascii="Calibri" w:eastAsia="Arial" w:hAnsi="Calibri" w:cs="Calibri"/>
                <w:b/>
                <w:bCs/>
                <w:sz w:val="20"/>
                <w:szCs w:val="20"/>
              </w:rPr>
              <w:t>5,552</w:t>
            </w:r>
          </w:p>
        </w:tc>
        <w:tc>
          <w:tcPr>
            <w:tcW w:w="1013" w:type="dxa"/>
            <w:vAlign w:val="center"/>
          </w:tcPr>
          <w:p w:rsidR="00603C45" w:rsidRPr="00E97254" w:rsidRDefault="004E1F53" w:rsidP="000C0250">
            <w:pPr>
              <w:spacing w:after="0"/>
              <w:ind w:right="77"/>
              <w:jc w:val="right"/>
              <w:rPr>
                <w:rFonts w:ascii="Calibri" w:eastAsia="Arial" w:hAnsi="Calibri" w:cs="Calibri"/>
                <w:sz w:val="20"/>
                <w:szCs w:val="20"/>
              </w:rPr>
            </w:pPr>
            <w:r>
              <w:rPr>
                <w:rFonts w:ascii="Calibri" w:eastAsia="Arial" w:hAnsi="Calibri" w:cs="Calibri"/>
                <w:sz w:val="20"/>
                <w:szCs w:val="20"/>
              </w:rPr>
              <w:t>2,118</w:t>
            </w:r>
          </w:p>
        </w:tc>
        <w:tc>
          <w:tcPr>
            <w:tcW w:w="941" w:type="dxa"/>
            <w:vAlign w:val="center"/>
          </w:tcPr>
          <w:p w:rsidR="00603C45" w:rsidRPr="00E97254" w:rsidRDefault="004E1F53" w:rsidP="000C0250">
            <w:pPr>
              <w:spacing w:after="0"/>
              <w:ind w:right="77"/>
              <w:jc w:val="right"/>
              <w:rPr>
                <w:rFonts w:ascii="Calibri" w:eastAsia="Arial" w:hAnsi="Calibri" w:cs="Calibri"/>
                <w:sz w:val="20"/>
                <w:szCs w:val="20"/>
              </w:rPr>
            </w:pPr>
            <w:r>
              <w:rPr>
                <w:rFonts w:ascii="Calibri" w:eastAsia="Arial" w:hAnsi="Calibri" w:cs="Calibri"/>
                <w:sz w:val="20"/>
                <w:szCs w:val="20"/>
              </w:rPr>
              <w:t>1 225</w:t>
            </w:r>
          </w:p>
        </w:tc>
        <w:tc>
          <w:tcPr>
            <w:tcW w:w="1013" w:type="dxa"/>
            <w:vAlign w:val="center"/>
          </w:tcPr>
          <w:p w:rsidR="00603C45" w:rsidRPr="00E97254" w:rsidRDefault="004E1F53" w:rsidP="000C0250">
            <w:pPr>
              <w:spacing w:after="0"/>
              <w:ind w:right="77"/>
              <w:jc w:val="right"/>
              <w:rPr>
                <w:rFonts w:ascii="Calibri" w:eastAsia="Arial" w:hAnsi="Calibri" w:cs="Calibri"/>
                <w:sz w:val="20"/>
                <w:szCs w:val="20"/>
              </w:rPr>
            </w:pPr>
            <w:r>
              <w:rPr>
                <w:rFonts w:ascii="Calibri" w:eastAsia="Arial" w:hAnsi="Calibri" w:cs="Calibri"/>
                <w:sz w:val="20"/>
                <w:szCs w:val="20"/>
              </w:rPr>
              <w:t>838</w:t>
            </w:r>
          </w:p>
        </w:tc>
        <w:tc>
          <w:tcPr>
            <w:tcW w:w="941" w:type="dxa"/>
            <w:vAlign w:val="center"/>
          </w:tcPr>
          <w:p w:rsidR="00603C45" w:rsidRPr="00E97254" w:rsidRDefault="004E1F53" w:rsidP="000C0250">
            <w:pPr>
              <w:spacing w:after="0"/>
              <w:ind w:right="77"/>
              <w:jc w:val="right"/>
              <w:rPr>
                <w:rFonts w:ascii="Calibri" w:eastAsia="Arial" w:hAnsi="Calibri" w:cs="Calibri"/>
                <w:sz w:val="20"/>
                <w:szCs w:val="20"/>
              </w:rPr>
            </w:pPr>
            <w:r>
              <w:rPr>
                <w:rFonts w:ascii="Calibri" w:eastAsia="Arial" w:hAnsi="Calibri" w:cs="Calibri"/>
                <w:sz w:val="20"/>
                <w:szCs w:val="20"/>
              </w:rPr>
              <w:t>817</w:t>
            </w:r>
          </w:p>
        </w:tc>
        <w:tc>
          <w:tcPr>
            <w:tcW w:w="883" w:type="dxa"/>
            <w:vAlign w:val="center"/>
          </w:tcPr>
          <w:p w:rsidR="00603C45" w:rsidRPr="00E97254" w:rsidRDefault="004E1F53" w:rsidP="000C0250">
            <w:pPr>
              <w:spacing w:after="0"/>
              <w:ind w:right="77"/>
              <w:jc w:val="right"/>
              <w:rPr>
                <w:rFonts w:ascii="Calibri" w:eastAsia="Arial" w:hAnsi="Calibri" w:cs="Calibri"/>
                <w:sz w:val="20"/>
                <w:szCs w:val="20"/>
              </w:rPr>
            </w:pPr>
            <w:r>
              <w:rPr>
                <w:rFonts w:ascii="Calibri" w:eastAsia="Arial" w:hAnsi="Calibri" w:cs="Calibri"/>
                <w:sz w:val="20"/>
                <w:szCs w:val="20"/>
              </w:rPr>
              <w:t>554</w:t>
            </w:r>
          </w:p>
        </w:tc>
        <w:tc>
          <w:tcPr>
            <w:tcW w:w="780" w:type="dxa"/>
            <w:vAlign w:val="center"/>
          </w:tcPr>
          <w:p w:rsidR="00603C45" w:rsidRPr="00E97254" w:rsidRDefault="004E1F53" w:rsidP="000C0250">
            <w:pPr>
              <w:spacing w:after="0"/>
              <w:ind w:right="77"/>
              <w:jc w:val="right"/>
              <w:rPr>
                <w:rFonts w:ascii="Calibri" w:eastAsia="Arial" w:hAnsi="Calibri" w:cs="Calibri"/>
                <w:sz w:val="20"/>
                <w:szCs w:val="20"/>
              </w:rPr>
            </w:pPr>
            <w:r>
              <w:rPr>
                <w:rFonts w:ascii="Calibri" w:eastAsia="Arial" w:hAnsi="Calibri" w:cs="Calibri"/>
                <w:sz w:val="20"/>
                <w:szCs w:val="20"/>
              </w:rPr>
              <w:t>n/a</w:t>
            </w:r>
          </w:p>
        </w:tc>
      </w:tr>
      <w:tr w:rsidR="00603C45" w:rsidRPr="00E97254" w:rsidTr="004D2453">
        <w:tc>
          <w:tcPr>
            <w:tcW w:w="3063" w:type="dxa"/>
            <w:vAlign w:val="center"/>
          </w:tcPr>
          <w:p w:rsidR="00603C45" w:rsidRPr="00E97254" w:rsidRDefault="004E1F53" w:rsidP="000C0250">
            <w:pPr>
              <w:spacing w:after="0"/>
              <w:ind w:right="77"/>
              <w:rPr>
                <w:rFonts w:ascii="Calibri" w:eastAsia="Arial" w:hAnsi="Calibri" w:cs="Calibri"/>
                <w:sz w:val="20"/>
                <w:szCs w:val="20"/>
              </w:rPr>
            </w:pPr>
            <w:r>
              <w:rPr>
                <w:rFonts w:ascii="Calibri" w:eastAsia="Arial" w:hAnsi="Calibri" w:cs="Calibri"/>
                <w:sz w:val="20"/>
                <w:szCs w:val="20"/>
              </w:rPr>
              <w:t>Studentët dhe staf që kan</w:t>
            </w:r>
            <w:r>
              <w:rPr>
                <w:rStyle w:val="tlid-translation"/>
                <w:sz w:val="20"/>
                <w:szCs w:val="20"/>
              </w:rPr>
              <w:t xml:space="preserve">ë </w:t>
            </w:r>
            <w:r>
              <w:rPr>
                <w:rFonts w:ascii="Calibri" w:eastAsia="Arial" w:hAnsi="Calibri" w:cs="Calibri"/>
                <w:sz w:val="20"/>
                <w:szCs w:val="20"/>
              </w:rPr>
              <w:t>lëvizur në Shqipëri</w:t>
            </w:r>
          </w:p>
        </w:tc>
        <w:tc>
          <w:tcPr>
            <w:tcW w:w="942" w:type="dxa"/>
            <w:vAlign w:val="center"/>
          </w:tcPr>
          <w:p w:rsidR="00603C45" w:rsidRPr="00E97254" w:rsidRDefault="004E1F53" w:rsidP="000C0250">
            <w:pPr>
              <w:spacing w:after="0"/>
              <w:ind w:right="77"/>
              <w:jc w:val="right"/>
              <w:rPr>
                <w:rFonts w:ascii="Calibri" w:eastAsia="Arial" w:hAnsi="Calibri" w:cs="Calibri"/>
                <w:b/>
                <w:sz w:val="20"/>
                <w:szCs w:val="20"/>
              </w:rPr>
            </w:pPr>
            <w:r>
              <w:rPr>
                <w:rFonts w:ascii="Calibri" w:eastAsia="Arial" w:hAnsi="Calibri" w:cs="Calibri"/>
                <w:b/>
                <w:sz w:val="20"/>
                <w:szCs w:val="20"/>
              </w:rPr>
              <w:t>3,281</w:t>
            </w:r>
          </w:p>
        </w:tc>
        <w:tc>
          <w:tcPr>
            <w:tcW w:w="1013" w:type="dxa"/>
            <w:vAlign w:val="center"/>
          </w:tcPr>
          <w:p w:rsidR="00603C45" w:rsidRPr="00E97254" w:rsidRDefault="004E1F53" w:rsidP="000C0250">
            <w:pPr>
              <w:spacing w:after="0"/>
              <w:ind w:right="77"/>
              <w:jc w:val="right"/>
              <w:rPr>
                <w:rFonts w:ascii="Calibri" w:eastAsia="Arial" w:hAnsi="Calibri" w:cs="Calibri"/>
                <w:sz w:val="20"/>
                <w:szCs w:val="20"/>
              </w:rPr>
            </w:pPr>
            <w:r>
              <w:rPr>
                <w:rFonts w:ascii="Calibri" w:eastAsia="Arial" w:hAnsi="Calibri" w:cs="Calibri"/>
                <w:sz w:val="20"/>
                <w:szCs w:val="20"/>
              </w:rPr>
              <w:t>1,329</w:t>
            </w:r>
          </w:p>
        </w:tc>
        <w:tc>
          <w:tcPr>
            <w:tcW w:w="941" w:type="dxa"/>
            <w:vAlign w:val="center"/>
          </w:tcPr>
          <w:p w:rsidR="00603C45" w:rsidRPr="00E97254" w:rsidRDefault="004E1F53" w:rsidP="000C0250">
            <w:pPr>
              <w:spacing w:after="0"/>
              <w:ind w:right="77"/>
              <w:jc w:val="right"/>
              <w:rPr>
                <w:rFonts w:ascii="Calibri" w:eastAsia="Arial" w:hAnsi="Calibri" w:cs="Calibri"/>
                <w:sz w:val="20"/>
                <w:szCs w:val="20"/>
              </w:rPr>
            </w:pPr>
            <w:r>
              <w:rPr>
                <w:rFonts w:ascii="Calibri" w:eastAsia="Arial" w:hAnsi="Calibri" w:cs="Calibri"/>
                <w:sz w:val="20"/>
                <w:szCs w:val="20"/>
              </w:rPr>
              <w:t>728</w:t>
            </w:r>
          </w:p>
        </w:tc>
        <w:tc>
          <w:tcPr>
            <w:tcW w:w="1013" w:type="dxa"/>
            <w:vAlign w:val="center"/>
          </w:tcPr>
          <w:p w:rsidR="00603C45" w:rsidRPr="00E97254" w:rsidRDefault="004E1F53" w:rsidP="000C0250">
            <w:pPr>
              <w:spacing w:after="0"/>
              <w:ind w:right="77"/>
              <w:jc w:val="right"/>
              <w:rPr>
                <w:rFonts w:ascii="Calibri" w:eastAsia="Arial" w:hAnsi="Calibri" w:cs="Calibri"/>
                <w:sz w:val="20"/>
                <w:szCs w:val="20"/>
              </w:rPr>
            </w:pPr>
            <w:r>
              <w:rPr>
                <w:rFonts w:ascii="Calibri" w:eastAsia="Arial" w:hAnsi="Calibri" w:cs="Calibri"/>
                <w:sz w:val="20"/>
                <w:szCs w:val="20"/>
              </w:rPr>
              <w:t>509</w:t>
            </w:r>
          </w:p>
        </w:tc>
        <w:tc>
          <w:tcPr>
            <w:tcW w:w="941" w:type="dxa"/>
            <w:vAlign w:val="center"/>
          </w:tcPr>
          <w:p w:rsidR="00603C45" w:rsidRPr="00E97254" w:rsidRDefault="004E1F53" w:rsidP="000C0250">
            <w:pPr>
              <w:spacing w:after="0"/>
              <w:ind w:right="77"/>
              <w:jc w:val="right"/>
              <w:rPr>
                <w:rFonts w:ascii="Calibri" w:eastAsia="Arial" w:hAnsi="Calibri" w:cs="Calibri"/>
                <w:sz w:val="20"/>
                <w:szCs w:val="20"/>
              </w:rPr>
            </w:pPr>
            <w:r>
              <w:rPr>
                <w:rFonts w:ascii="Calibri" w:eastAsia="Arial" w:hAnsi="Calibri" w:cs="Calibri"/>
                <w:sz w:val="20"/>
                <w:szCs w:val="20"/>
              </w:rPr>
              <w:t>376</w:t>
            </w:r>
          </w:p>
        </w:tc>
        <w:tc>
          <w:tcPr>
            <w:tcW w:w="883" w:type="dxa"/>
            <w:vAlign w:val="center"/>
          </w:tcPr>
          <w:p w:rsidR="00603C45" w:rsidRPr="00E97254" w:rsidRDefault="004E1F53" w:rsidP="000C0250">
            <w:pPr>
              <w:spacing w:after="0"/>
              <w:ind w:right="77"/>
              <w:jc w:val="right"/>
              <w:rPr>
                <w:rFonts w:ascii="Calibri" w:eastAsia="Arial" w:hAnsi="Calibri" w:cs="Calibri"/>
                <w:sz w:val="20"/>
                <w:szCs w:val="20"/>
              </w:rPr>
            </w:pPr>
            <w:r>
              <w:rPr>
                <w:rFonts w:ascii="Calibri" w:eastAsia="Arial" w:hAnsi="Calibri" w:cs="Calibri"/>
                <w:sz w:val="20"/>
                <w:szCs w:val="20"/>
              </w:rPr>
              <w:t>339</w:t>
            </w:r>
          </w:p>
        </w:tc>
        <w:tc>
          <w:tcPr>
            <w:tcW w:w="780" w:type="dxa"/>
            <w:vAlign w:val="center"/>
          </w:tcPr>
          <w:p w:rsidR="00603C45" w:rsidRPr="00E97254" w:rsidRDefault="004E1F53" w:rsidP="000C0250">
            <w:pPr>
              <w:spacing w:after="0"/>
              <w:ind w:right="77"/>
              <w:jc w:val="right"/>
              <w:rPr>
                <w:rFonts w:ascii="Calibri" w:eastAsia="Arial" w:hAnsi="Calibri" w:cs="Calibri"/>
                <w:sz w:val="20"/>
                <w:szCs w:val="20"/>
              </w:rPr>
            </w:pPr>
            <w:r>
              <w:rPr>
                <w:rFonts w:ascii="Calibri" w:eastAsia="Arial" w:hAnsi="Calibri" w:cs="Calibri"/>
                <w:sz w:val="20"/>
                <w:szCs w:val="20"/>
              </w:rPr>
              <w:t>n/a</w:t>
            </w:r>
          </w:p>
        </w:tc>
      </w:tr>
      <w:tr w:rsidR="00DB2EC9" w:rsidRPr="00E97254" w:rsidTr="004D2453">
        <w:tc>
          <w:tcPr>
            <w:tcW w:w="3063" w:type="dxa"/>
            <w:vAlign w:val="center"/>
          </w:tcPr>
          <w:p w:rsidR="00DB2EC9" w:rsidRPr="00E97254" w:rsidRDefault="004E1F53" w:rsidP="000C0250">
            <w:pPr>
              <w:spacing w:after="0"/>
              <w:ind w:right="77"/>
              <w:rPr>
                <w:rFonts w:ascii="Calibri" w:eastAsia="Arial" w:hAnsi="Calibri" w:cs="Calibri"/>
                <w:sz w:val="20"/>
                <w:szCs w:val="20"/>
              </w:rPr>
            </w:pPr>
            <w:r>
              <w:rPr>
                <w:rFonts w:ascii="Calibri" w:eastAsia="Arial" w:hAnsi="Calibri" w:cs="Calibri"/>
                <w:sz w:val="20"/>
                <w:szCs w:val="20"/>
              </w:rPr>
              <w:t>Përqindja e buxhetit rajonal</w:t>
            </w:r>
          </w:p>
        </w:tc>
        <w:tc>
          <w:tcPr>
            <w:tcW w:w="942" w:type="dxa"/>
            <w:vAlign w:val="center"/>
          </w:tcPr>
          <w:p w:rsidR="00DB2EC9" w:rsidRPr="00E97254" w:rsidRDefault="004E1F53" w:rsidP="000C0250">
            <w:pPr>
              <w:spacing w:after="0"/>
              <w:ind w:right="77"/>
              <w:jc w:val="right"/>
              <w:rPr>
                <w:rFonts w:ascii="Calibri" w:eastAsia="Arial" w:hAnsi="Calibri" w:cs="Calibri"/>
                <w:b/>
                <w:sz w:val="20"/>
                <w:szCs w:val="20"/>
              </w:rPr>
            </w:pPr>
            <w:r>
              <w:rPr>
                <w:rFonts w:ascii="Calibri" w:eastAsia="Arial" w:hAnsi="Calibri" w:cs="Calibri"/>
                <w:b/>
                <w:sz w:val="20"/>
                <w:szCs w:val="20"/>
              </w:rPr>
              <w:t>24</w:t>
            </w:r>
          </w:p>
        </w:tc>
        <w:tc>
          <w:tcPr>
            <w:tcW w:w="1013" w:type="dxa"/>
            <w:vAlign w:val="center"/>
          </w:tcPr>
          <w:p w:rsidR="00DB2EC9" w:rsidRPr="00E97254" w:rsidRDefault="004E1F53" w:rsidP="000C0250">
            <w:pPr>
              <w:spacing w:after="0"/>
              <w:ind w:right="77"/>
              <w:jc w:val="right"/>
              <w:rPr>
                <w:rFonts w:ascii="Calibri" w:eastAsia="Arial" w:hAnsi="Calibri" w:cs="Calibri"/>
                <w:sz w:val="20"/>
                <w:szCs w:val="20"/>
              </w:rPr>
            </w:pPr>
            <w:r>
              <w:rPr>
                <w:rFonts w:ascii="Calibri" w:eastAsia="Arial" w:hAnsi="Calibri" w:cs="Calibri"/>
                <w:sz w:val="20"/>
                <w:szCs w:val="20"/>
              </w:rPr>
              <w:t>35.1</w:t>
            </w:r>
          </w:p>
        </w:tc>
        <w:tc>
          <w:tcPr>
            <w:tcW w:w="941" w:type="dxa"/>
            <w:vAlign w:val="center"/>
          </w:tcPr>
          <w:p w:rsidR="00DB2EC9" w:rsidRPr="00E97254" w:rsidRDefault="004E1F53" w:rsidP="000C0250">
            <w:pPr>
              <w:spacing w:after="0"/>
              <w:ind w:right="77"/>
              <w:jc w:val="right"/>
              <w:rPr>
                <w:rFonts w:ascii="Calibri" w:eastAsia="Arial" w:hAnsi="Calibri" w:cs="Calibri"/>
                <w:sz w:val="20"/>
                <w:szCs w:val="20"/>
              </w:rPr>
            </w:pPr>
            <w:r>
              <w:rPr>
                <w:rFonts w:ascii="Calibri" w:eastAsia="Arial" w:hAnsi="Calibri" w:cs="Calibri"/>
                <w:sz w:val="20"/>
                <w:szCs w:val="20"/>
              </w:rPr>
              <w:t>24.7</w:t>
            </w:r>
          </w:p>
        </w:tc>
        <w:tc>
          <w:tcPr>
            <w:tcW w:w="1013" w:type="dxa"/>
            <w:vAlign w:val="center"/>
          </w:tcPr>
          <w:p w:rsidR="00DB2EC9" w:rsidRPr="00E97254" w:rsidRDefault="004E1F53" w:rsidP="000C0250">
            <w:pPr>
              <w:spacing w:after="0"/>
              <w:ind w:right="77"/>
              <w:jc w:val="right"/>
              <w:rPr>
                <w:rFonts w:ascii="Calibri" w:eastAsia="Arial" w:hAnsi="Calibri" w:cs="Calibri"/>
                <w:sz w:val="20"/>
                <w:szCs w:val="20"/>
              </w:rPr>
            </w:pPr>
            <w:r>
              <w:rPr>
                <w:rFonts w:ascii="Calibri" w:eastAsia="Arial" w:hAnsi="Calibri" w:cs="Calibri"/>
                <w:sz w:val="20"/>
                <w:szCs w:val="20"/>
              </w:rPr>
              <w:t>17.6</w:t>
            </w:r>
          </w:p>
        </w:tc>
        <w:tc>
          <w:tcPr>
            <w:tcW w:w="941" w:type="dxa"/>
            <w:vAlign w:val="center"/>
          </w:tcPr>
          <w:p w:rsidR="00DB2EC9" w:rsidRPr="00E97254" w:rsidRDefault="004E1F53" w:rsidP="000C0250">
            <w:pPr>
              <w:spacing w:after="0"/>
              <w:ind w:right="77"/>
              <w:jc w:val="right"/>
              <w:rPr>
                <w:rFonts w:ascii="Calibri" w:eastAsia="Arial" w:hAnsi="Calibri" w:cs="Calibri"/>
                <w:sz w:val="20"/>
                <w:szCs w:val="20"/>
              </w:rPr>
            </w:pPr>
            <w:r>
              <w:rPr>
                <w:rFonts w:ascii="Calibri" w:eastAsia="Arial" w:hAnsi="Calibri" w:cs="Calibri"/>
                <w:sz w:val="20"/>
                <w:szCs w:val="20"/>
              </w:rPr>
              <w:t>19.7</w:t>
            </w:r>
          </w:p>
        </w:tc>
        <w:tc>
          <w:tcPr>
            <w:tcW w:w="883" w:type="dxa"/>
            <w:vAlign w:val="center"/>
          </w:tcPr>
          <w:p w:rsidR="00DB2EC9" w:rsidRPr="00E97254" w:rsidRDefault="004E1F53" w:rsidP="000C0250">
            <w:pPr>
              <w:spacing w:after="0"/>
              <w:ind w:right="77"/>
              <w:jc w:val="right"/>
              <w:rPr>
                <w:rFonts w:ascii="Calibri" w:eastAsia="Arial" w:hAnsi="Calibri" w:cs="Calibri"/>
                <w:sz w:val="20"/>
                <w:szCs w:val="20"/>
              </w:rPr>
            </w:pPr>
            <w:r>
              <w:rPr>
                <w:rFonts w:ascii="Calibri" w:eastAsia="Arial" w:hAnsi="Calibri" w:cs="Calibri"/>
                <w:sz w:val="20"/>
                <w:szCs w:val="20"/>
              </w:rPr>
              <w:t>17.2</w:t>
            </w:r>
          </w:p>
        </w:tc>
        <w:tc>
          <w:tcPr>
            <w:tcW w:w="780" w:type="dxa"/>
            <w:vAlign w:val="center"/>
          </w:tcPr>
          <w:p w:rsidR="00DB2EC9" w:rsidRPr="00E97254" w:rsidRDefault="004E1F53" w:rsidP="000C0250">
            <w:pPr>
              <w:spacing w:after="0"/>
              <w:ind w:right="77"/>
              <w:jc w:val="right"/>
              <w:rPr>
                <w:rFonts w:ascii="Calibri" w:eastAsia="Arial" w:hAnsi="Calibri" w:cs="Calibri"/>
                <w:sz w:val="20"/>
                <w:szCs w:val="20"/>
              </w:rPr>
            </w:pPr>
            <w:r>
              <w:rPr>
                <w:rFonts w:ascii="Calibri" w:eastAsia="Arial" w:hAnsi="Calibri" w:cs="Calibri"/>
                <w:sz w:val="20"/>
                <w:szCs w:val="20"/>
              </w:rPr>
              <w:t>n/a</w:t>
            </w:r>
          </w:p>
        </w:tc>
      </w:tr>
      <w:tr w:rsidR="00603C45" w:rsidRPr="00E97254" w:rsidTr="004D2453">
        <w:tc>
          <w:tcPr>
            <w:tcW w:w="3063" w:type="dxa"/>
            <w:vAlign w:val="center"/>
          </w:tcPr>
          <w:p w:rsidR="00603C45" w:rsidRPr="00E97254" w:rsidRDefault="004E1F53" w:rsidP="000C0250">
            <w:pPr>
              <w:spacing w:after="0"/>
              <w:ind w:right="77"/>
              <w:rPr>
                <w:rFonts w:ascii="Calibri" w:eastAsia="Arial" w:hAnsi="Calibri" w:cs="Calibri"/>
                <w:sz w:val="20"/>
                <w:szCs w:val="20"/>
              </w:rPr>
            </w:pPr>
            <w:r>
              <w:rPr>
                <w:rFonts w:ascii="Calibri" w:eastAsia="Arial" w:hAnsi="Calibri" w:cs="Calibri"/>
                <w:sz w:val="20"/>
                <w:szCs w:val="20"/>
              </w:rPr>
              <w:t>Fitues të bursave Erasmus Mundus nga Shqipëria</w:t>
            </w:r>
          </w:p>
        </w:tc>
        <w:tc>
          <w:tcPr>
            <w:tcW w:w="942" w:type="dxa"/>
            <w:vAlign w:val="center"/>
          </w:tcPr>
          <w:p w:rsidR="00603C45" w:rsidRPr="00E97254" w:rsidRDefault="004E1F53" w:rsidP="000C0250">
            <w:pPr>
              <w:spacing w:after="0"/>
              <w:ind w:right="77"/>
              <w:jc w:val="right"/>
              <w:rPr>
                <w:rFonts w:ascii="Calibri" w:eastAsia="Arial" w:hAnsi="Calibri" w:cs="Calibri"/>
                <w:b/>
                <w:sz w:val="20"/>
                <w:szCs w:val="20"/>
              </w:rPr>
            </w:pPr>
            <w:r>
              <w:rPr>
                <w:rFonts w:ascii="Calibri" w:eastAsia="Arial" w:hAnsi="Calibri" w:cs="Calibri"/>
                <w:b/>
                <w:sz w:val="20"/>
                <w:szCs w:val="20"/>
              </w:rPr>
              <w:t>64</w:t>
            </w:r>
          </w:p>
        </w:tc>
        <w:tc>
          <w:tcPr>
            <w:tcW w:w="1013" w:type="dxa"/>
            <w:vAlign w:val="center"/>
          </w:tcPr>
          <w:p w:rsidR="00603C45" w:rsidRPr="00E97254" w:rsidRDefault="004E1F53" w:rsidP="000C0250">
            <w:pPr>
              <w:spacing w:after="0"/>
              <w:ind w:right="77"/>
              <w:jc w:val="right"/>
              <w:rPr>
                <w:rFonts w:ascii="Calibri" w:eastAsia="Arial" w:hAnsi="Calibri" w:cs="Calibri"/>
                <w:sz w:val="20"/>
                <w:szCs w:val="20"/>
              </w:rPr>
            </w:pPr>
            <w:r>
              <w:rPr>
                <w:rFonts w:ascii="Calibri" w:eastAsia="Arial" w:hAnsi="Calibri" w:cs="Calibri"/>
                <w:sz w:val="20"/>
                <w:szCs w:val="20"/>
              </w:rPr>
              <w:t>11</w:t>
            </w:r>
          </w:p>
        </w:tc>
        <w:tc>
          <w:tcPr>
            <w:tcW w:w="941" w:type="dxa"/>
            <w:vAlign w:val="center"/>
          </w:tcPr>
          <w:p w:rsidR="00603C45" w:rsidRPr="00E97254" w:rsidRDefault="004E1F53" w:rsidP="000C0250">
            <w:pPr>
              <w:spacing w:after="0"/>
              <w:ind w:right="77"/>
              <w:jc w:val="right"/>
              <w:rPr>
                <w:rFonts w:ascii="Calibri" w:eastAsia="Arial" w:hAnsi="Calibri" w:cs="Calibri"/>
                <w:sz w:val="20"/>
                <w:szCs w:val="20"/>
              </w:rPr>
            </w:pPr>
            <w:r>
              <w:rPr>
                <w:rFonts w:ascii="Calibri" w:eastAsia="Arial" w:hAnsi="Calibri" w:cs="Calibri"/>
                <w:sz w:val="20"/>
                <w:szCs w:val="20"/>
              </w:rPr>
              <w:t>8</w:t>
            </w:r>
          </w:p>
        </w:tc>
        <w:tc>
          <w:tcPr>
            <w:tcW w:w="1013" w:type="dxa"/>
            <w:vAlign w:val="center"/>
          </w:tcPr>
          <w:p w:rsidR="00603C45" w:rsidRPr="00E97254" w:rsidRDefault="004E1F53" w:rsidP="000C0250">
            <w:pPr>
              <w:spacing w:after="0"/>
              <w:ind w:right="77"/>
              <w:jc w:val="right"/>
              <w:rPr>
                <w:rFonts w:ascii="Calibri" w:eastAsia="Arial" w:hAnsi="Calibri" w:cs="Calibri"/>
                <w:sz w:val="20"/>
                <w:szCs w:val="20"/>
              </w:rPr>
            </w:pPr>
            <w:r>
              <w:rPr>
                <w:rFonts w:ascii="Calibri" w:eastAsia="Arial" w:hAnsi="Calibri" w:cs="Calibri"/>
                <w:sz w:val="20"/>
                <w:szCs w:val="20"/>
              </w:rPr>
              <w:t>10</w:t>
            </w:r>
          </w:p>
        </w:tc>
        <w:tc>
          <w:tcPr>
            <w:tcW w:w="941" w:type="dxa"/>
            <w:vAlign w:val="center"/>
          </w:tcPr>
          <w:p w:rsidR="00603C45" w:rsidRPr="00E97254" w:rsidRDefault="004E1F53" w:rsidP="000C0250">
            <w:pPr>
              <w:spacing w:after="0"/>
              <w:ind w:right="77"/>
              <w:jc w:val="right"/>
              <w:rPr>
                <w:rFonts w:ascii="Calibri" w:eastAsia="Arial" w:hAnsi="Calibri" w:cs="Calibri"/>
                <w:sz w:val="20"/>
                <w:szCs w:val="20"/>
              </w:rPr>
            </w:pPr>
            <w:r>
              <w:rPr>
                <w:rFonts w:ascii="Calibri" w:eastAsia="Arial" w:hAnsi="Calibri" w:cs="Calibri"/>
                <w:sz w:val="20"/>
                <w:szCs w:val="20"/>
              </w:rPr>
              <w:t>15</w:t>
            </w:r>
          </w:p>
        </w:tc>
        <w:tc>
          <w:tcPr>
            <w:tcW w:w="883" w:type="dxa"/>
            <w:vAlign w:val="center"/>
          </w:tcPr>
          <w:p w:rsidR="00603C45" w:rsidRPr="00E97254" w:rsidRDefault="004E1F53" w:rsidP="000C0250">
            <w:pPr>
              <w:spacing w:after="0"/>
              <w:ind w:right="77"/>
              <w:jc w:val="right"/>
              <w:rPr>
                <w:rFonts w:ascii="Calibri" w:eastAsia="Arial" w:hAnsi="Calibri" w:cs="Calibri"/>
                <w:sz w:val="20"/>
                <w:szCs w:val="20"/>
              </w:rPr>
            </w:pPr>
            <w:r>
              <w:rPr>
                <w:rFonts w:ascii="Calibri" w:eastAsia="Arial" w:hAnsi="Calibri" w:cs="Calibri"/>
                <w:sz w:val="20"/>
                <w:szCs w:val="20"/>
              </w:rPr>
              <w:t>4</w:t>
            </w:r>
          </w:p>
        </w:tc>
        <w:tc>
          <w:tcPr>
            <w:tcW w:w="780" w:type="dxa"/>
            <w:vAlign w:val="center"/>
          </w:tcPr>
          <w:p w:rsidR="00603C45" w:rsidRPr="00E97254" w:rsidRDefault="004E1F53" w:rsidP="000C0250">
            <w:pPr>
              <w:spacing w:after="0"/>
              <w:ind w:right="77"/>
              <w:jc w:val="right"/>
              <w:rPr>
                <w:rFonts w:ascii="Calibri" w:eastAsia="Arial" w:hAnsi="Calibri" w:cs="Calibri"/>
                <w:sz w:val="20"/>
                <w:szCs w:val="20"/>
              </w:rPr>
            </w:pPr>
            <w:r>
              <w:rPr>
                <w:rFonts w:ascii="Calibri" w:eastAsia="Arial" w:hAnsi="Calibri" w:cs="Calibri"/>
                <w:sz w:val="20"/>
                <w:szCs w:val="20"/>
              </w:rPr>
              <w:t>16</w:t>
            </w:r>
          </w:p>
        </w:tc>
      </w:tr>
    </w:tbl>
    <w:p w:rsidR="007D0EE4" w:rsidRPr="00E97254" w:rsidRDefault="007D0EE4" w:rsidP="000C0250">
      <w:pPr>
        <w:spacing w:before="120" w:after="0"/>
        <w:ind w:right="77"/>
        <w:jc w:val="both"/>
        <w:rPr>
          <w:rFonts w:ascii="Calibri" w:eastAsia="Arial" w:hAnsi="Calibri" w:cs="Calibri"/>
        </w:rPr>
      </w:pPr>
    </w:p>
    <w:p w:rsidR="006D6B7A" w:rsidRPr="00E97254" w:rsidRDefault="004E1F53" w:rsidP="000C0250">
      <w:pPr>
        <w:spacing w:before="120" w:after="0"/>
        <w:ind w:right="77"/>
        <w:jc w:val="both"/>
        <w:rPr>
          <w:rFonts w:ascii="Calibri" w:eastAsia="Arial" w:hAnsi="Calibri" w:cs="Calibri"/>
        </w:rPr>
      </w:pPr>
      <w:r>
        <w:rPr>
          <w:rFonts w:ascii="Calibri" w:eastAsia="Arial" w:hAnsi="Calibri" w:cs="Calibri"/>
        </w:rPr>
        <w:t xml:space="preserve">Institucionet e arsimit të lartë në Shqipëri kanë marrë pjesë në shumë projekte të Erasmus Mundus, veçanërisht në atë pjesë të programit i cili mbështet bashkëpunimin akademik dhe shkëmbimet e studentëve dhe akademikëve </w:t>
      </w:r>
      <w:r w:rsidR="00A50A43">
        <w:rPr>
          <w:rFonts w:ascii="Calibri" w:eastAsia="Arial" w:hAnsi="Calibri" w:cs="Calibri"/>
        </w:rPr>
        <w:t>nëpërmjet</w:t>
      </w:r>
      <w:r>
        <w:rPr>
          <w:rFonts w:ascii="Calibri" w:eastAsia="Arial" w:hAnsi="Calibri" w:cs="Calibri"/>
        </w:rPr>
        <w:t xml:space="preserve"> krijimit të rrjeteve të shkëmbimit midis institucioneve të arsimit të lartë nga Ballkani Perëndimor dhe BE. Në periudhën 2014-2017 rreth 268 studentë shqiptarë kanë përfituar nga shkëmbimet e mobilitetit në kuadër të programeve ndërkombëtare në nivelin “Bachelor” dhe “Doktoratë” dhe rreth 80 persona nga stafi akademik dhe administrativ kanë përfituar nga mobiliteti për qëllime trajnimi. Për më tepër, gjatë dhjetë viteve të kaluara, më shumë se 140 studentë nga Shqipëria kanë fituar bursa për të ndjekur kurset e përbashkëta “Master” dhe “Doktoratë” të Erasmus Mundus në IAL-të prestigjioze të BE</w:t>
      </w:r>
      <w:sdt>
        <w:sdtPr>
          <w:rPr>
            <w:rFonts w:ascii="Calibri" w:eastAsia="Arial" w:hAnsi="Calibri" w:cs="Calibri"/>
          </w:rPr>
          <w:id w:val="-1924396292"/>
          <w:citation/>
        </w:sdtPr>
        <w:sdtEndPr/>
        <w:sdtContent>
          <w:r w:rsidR="00EC56B7" w:rsidRPr="00E97254">
            <w:rPr>
              <w:rFonts w:ascii="Calibri" w:eastAsia="Arial" w:hAnsi="Calibri" w:cs="Calibri"/>
            </w:rPr>
            <w:fldChar w:fldCharType="begin"/>
          </w:r>
          <w:r>
            <w:rPr>
              <w:rFonts w:ascii="Calibri" w:eastAsia="Arial" w:hAnsi="Calibri" w:cs="Calibri"/>
            </w:rPr>
            <w:instrText xml:space="preserve"> CITATION Eur17 \l 1033 </w:instrText>
          </w:r>
          <w:r w:rsidR="00EC56B7" w:rsidRPr="00E97254">
            <w:rPr>
              <w:rFonts w:ascii="Calibri" w:eastAsia="Arial" w:hAnsi="Calibri" w:cs="Calibri"/>
            </w:rPr>
            <w:fldChar w:fldCharType="separate"/>
          </w:r>
          <w:r w:rsidR="00724BCC" w:rsidRPr="00E97254">
            <w:rPr>
              <w:rFonts w:ascii="Calibri" w:eastAsia="Arial" w:hAnsi="Calibri" w:cs="Calibri"/>
            </w:rPr>
            <w:t xml:space="preserve"> [73]</w:t>
          </w:r>
          <w:r w:rsidR="00EC56B7" w:rsidRPr="00E97254">
            <w:rPr>
              <w:rFonts w:ascii="Calibri" w:eastAsia="Arial" w:hAnsi="Calibri" w:cs="Calibri"/>
            </w:rPr>
            <w:fldChar w:fldCharType="end"/>
          </w:r>
        </w:sdtContent>
      </w:sdt>
      <w:r w:rsidR="006D6B7A" w:rsidRPr="00E97254">
        <w:rPr>
          <w:rFonts w:ascii="Calibri" w:eastAsia="Arial" w:hAnsi="Calibri" w:cs="Calibri"/>
        </w:rPr>
        <w:t>.</w:t>
      </w:r>
      <w:r w:rsidR="00400FA7" w:rsidRPr="00E97254">
        <w:rPr>
          <w:rFonts w:ascii="Calibri" w:eastAsia="Arial" w:hAnsi="Calibri" w:cs="Calibri"/>
        </w:rPr>
        <w:t xml:space="preserve"> Megjithatë, </w:t>
      </w:r>
      <w:r w:rsidR="005C412B" w:rsidRPr="00E97254">
        <w:rPr>
          <w:rFonts w:ascii="Calibri" w:eastAsia="Arial" w:hAnsi="Calibri" w:cs="Calibri"/>
        </w:rPr>
        <w:t xml:space="preserve">IAL-të </w:t>
      </w:r>
      <w:r>
        <w:rPr>
          <w:rFonts w:ascii="Calibri" w:eastAsia="Arial" w:hAnsi="Calibri" w:cs="Calibri"/>
        </w:rPr>
        <w:t>shqiptare nuk ia dalin të tërheqin numër domethënës të studentëve të huaj, përveç shqiptarëve nga vendet fqinje.</w:t>
      </w:r>
    </w:p>
    <w:p w:rsidR="006D6B7A" w:rsidRPr="00E97254" w:rsidRDefault="004E1F53" w:rsidP="000C0250">
      <w:pPr>
        <w:spacing w:after="0"/>
        <w:ind w:right="77"/>
        <w:jc w:val="both"/>
        <w:rPr>
          <w:rFonts w:ascii="Calibri" w:eastAsia="Arial" w:hAnsi="Calibri" w:cs="Calibri"/>
        </w:rPr>
      </w:pPr>
      <w:r>
        <w:rPr>
          <w:rFonts w:ascii="Calibri" w:eastAsia="Arial" w:hAnsi="Calibri" w:cs="Calibri"/>
        </w:rPr>
        <w:t xml:space="preserve">"Fondi i Ekselencës" i krijuar </w:t>
      </w:r>
      <w:r>
        <w:t xml:space="preserve">me vendim të Këshillit të Ministrave që autorizohet drejtpërdrejt nga Ligji nr. 80/2015 </w:t>
      </w:r>
      <w:r>
        <w:rPr>
          <w:rFonts w:ascii="Calibri" w:eastAsia="Arial" w:hAnsi="Calibri" w:cs="Calibri"/>
        </w:rPr>
        <w:t>dhe që drejtohet nga MASR</w:t>
      </w:r>
      <w:r w:rsidR="003C73B8">
        <w:rPr>
          <w:rFonts w:ascii="Calibri" w:eastAsia="Arial" w:hAnsi="Calibri" w:cs="Calibri"/>
        </w:rPr>
        <w:t>-ja</w:t>
      </w:r>
      <w:r>
        <w:rPr>
          <w:rFonts w:ascii="Calibri" w:eastAsia="Arial" w:hAnsi="Calibri" w:cs="Calibri"/>
        </w:rPr>
        <w:t xml:space="preserve">, </w:t>
      </w:r>
      <w:r>
        <w:rPr>
          <w:rFonts w:eastAsia="Arial" w:cs="Calibri"/>
        </w:rPr>
        <w:t>mbështet</w:t>
      </w:r>
      <w:r>
        <w:rPr>
          <w:rFonts w:ascii="Calibri" w:eastAsia="Arial" w:hAnsi="Calibri" w:cs="Calibri"/>
        </w:rPr>
        <w:t xml:space="preserve"> studentë dhe shkencëtarë të rinj të shkëlqyeshëm që pranojnë të ndjekin një program studimi master ose doktoratë në një nga 15 IAL-të më të mirë të botës, sipas renditjes së Times Higher Education (</w:t>
      </w:r>
      <w:r>
        <w:rPr>
          <w:rFonts w:ascii="Calibri" w:hAnsi="Calibri" w:cs="Calibri"/>
        </w:rPr>
        <w:t>QS – World University Rankings)</w:t>
      </w:r>
      <w:r>
        <w:rPr>
          <w:rFonts w:ascii="Calibri" w:eastAsia="Arial" w:hAnsi="Calibri" w:cs="Calibri"/>
        </w:rPr>
        <w:t xml:space="preserve">për vitin më të fundit. </w:t>
      </w:r>
    </w:p>
    <w:p w:rsidR="006D6B7A" w:rsidRPr="00E97254" w:rsidRDefault="004E1F53" w:rsidP="000C0250">
      <w:pPr>
        <w:spacing w:after="0"/>
        <w:ind w:right="77"/>
        <w:jc w:val="both"/>
        <w:rPr>
          <w:rFonts w:ascii="Calibri" w:eastAsia="Arial" w:hAnsi="Calibri" w:cs="Calibri"/>
        </w:rPr>
      </w:pPr>
      <w:r>
        <w:rPr>
          <w:rFonts w:ascii="Calibri" w:eastAsia="Arial" w:hAnsi="Calibri" w:cs="Calibri"/>
        </w:rPr>
        <w:t>Pothuajse të gjitha IAL-të shqiptare kanë krijuar marrëveshje bashkëpunimi bilaterale dhe multilaterale me IAL-t kryesisht nga Ballkani Perëndimor dhe vendet e BE-së, por në shumë raste edhe me IAL-të nga Rusia, SHBA</w:t>
      </w:r>
      <w:r w:rsidR="00236E03">
        <w:rPr>
          <w:rFonts w:ascii="Calibri" w:eastAsia="Arial" w:hAnsi="Calibri" w:cs="Calibri"/>
        </w:rPr>
        <w:t>-ja</w:t>
      </w:r>
      <w:r>
        <w:rPr>
          <w:rFonts w:eastAsia="Arial" w:cs="Calibri"/>
        </w:rPr>
        <w:t>,</w:t>
      </w:r>
      <w:r>
        <w:rPr>
          <w:rFonts w:ascii="Calibri" w:eastAsia="Arial" w:hAnsi="Calibri" w:cs="Calibri"/>
        </w:rPr>
        <w:t xml:space="preserve"> Turqia, etj. Ky bashkëpunim synon kryesisht rritjen e pjesëmarrjes së përbashkët në projekte</w:t>
      </w:r>
      <w:r w:rsidR="00236E03">
        <w:rPr>
          <w:rFonts w:ascii="Calibri" w:eastAsia="Arial" w:hAnsi="Calibri" w:cs="Calibri"/>
        </w:rPr>
        <w:t>t</w:t>
      </w:r>
      <w:r>
        <w:rPr>
          <w:rFonts w:ascii="Calibri" w:eastAsia="Arial" w:hAnsi="Calibri" w:cs="Calibri"/>
        </w:rPr>
        <w:t xml:space="preserve"> e BE-së</w:t>
      </w:r>
      <w:r w:rsidR="00236E03">
        <w:rPr>
          <w:rFonts w:ascii="Calibri" w:eastAsia="Arial" w:hAnsi="Calibri" w:cs="Calibri"/>
        </w:rPr>
        <w:t>,</w:t>
      </w:r>
      <w:r>
        <w:rPr>
          <w:rFonts w:ascii="Calibri" w:eastAsia="Arial" w:hAnsi="Calibri" w:cs="Calibri"/>
        </w:rPr>
        <w:t xml:space="preserve"> të tilla si Erasmus + dhe ofrimin e programeve të studimit të përbashkëta, duke rritur lëvizshmërinë për stafin dhe studentët. Shumica e IAL-ve shqiptare marrin pjesë në disa Rrjete për Arsimin e </w:t>
      </w:r>
      <w:r w:rsidR="00236E03">
        <w:rPr>
          <w:rFonts w:ascii="Calibri" w:eastAsia="Arial" w:hAnsi="Calibri" w:cs="Calibri"/>
        </w:rPr>
        <w:t xml:space="preserve">Lartë, </w:t>
      </w:r>
      <w:r>
        <w:rPr>
          <w:rFonts w:ascii="Calibri" w:eastAsia="Arial" w:hAnsi="Calibri" w:cs="Calibri"/>
        </w:rPr>
        <w:t>si Rrjeti i IAL-ve shqipfolëse, Rrjeti i IAL-ve nga Kryeqytetet Evropiane, Shoqata e IAL-ve Evropiane, Shoqata e IAL-ve Ekonomike të Evropës Jugore dhe Lindore dhe rajonit të Detit të Zi, etj.</w:t>
      </w:r>
      <w:sdt>
        <w:sdtPr>
          <w:rPr>
            <w:rFonts w:eastAsia="Arial" w:cstheme="minorHAnsi"/>
          </w:rPr>
          <w:id w:val="549034904"/>
          <w:citation/>
        </w:sdtPr>
        <w:sdtEndPr/>
        <w:sdtContent/>
      </w:sdt>
      <w:sdt>
        <w:sdtPr>
          <w:rPr>
            <w:rFonts w:ascii="Calibri" w:eastAsia="Arial" w:hAnsi="Calibri" w:cs="Calibri"/>
          </w:rPr>
          <w:id w:val="749551558"/>
          <w:citation/>
        </w:sdtPr>
        <w:sdtEndPr/>
        <w:sdtContent>
          <w:r w:rsidR="00EC56B7" w:rsidRPr="00FA5606">
            <w:rPr>
              <w:rFonts w:ascii="Calibri" w:eastAsia="Arial" w:hAnsi="Calibri" w:cs="Calibri"/>
            </w:rPr>
            <w:fldChar w:fldCharType="begin"/>
          </w:r>
          <w:r>
            <w:rPr>
              <w:rStyle w:val="FootnoteReference"/>
              <w:rFonts w:ascii="Calibri" w:eastAsia="Arial" w:hAnsi="Calibri" w:cs="Calibri"/>
            </w:rPr>
            <w:instrText xml:space="preserve"> CITATION Eur17 \l 1033 </w:instrText>
          </w:r>
          <w:r w:rsidR="00EC56B7" w:rsidRPr="00FA5606">
            <w:rPr>
              <w:rFonts w:ascii="Calibri" w:eastAsia="Arial" w:hAnsi="Calibri" w:cs="Calibri"/>
            </w:rPr>
            <w:fldChar w:fldCharType="separate"/>
          </w:r>
          <w:r>
            <w:rPr>
              <w:rStyle w:val="FootnoteReference"/>
              <w:rFonts w:ascii="Calibri" w:eastAsia="Arial" w:hAnsi="Calibri" w:cs="Calibri"/>
            </w:rPr>
            <w:t xml:space="preserve"> </w:t>
          </w:r>
          <w:r w:rsidR="00FA5606" w:rsidRPr="00FA5606">
            <w:rPr>
              <w:rFonts w:ascii="Calibri" w:eastAsia="Arial" w:hAnsi="Calibri" w:cs="Calibri"/>
            </w:rPr>
            <w:t>[73]</w:t>
          </w:r>
          <w:r w:rsidR="00EC56B7" w:rsidRPr="00FA5606">
            <w:rPr>
              <w:rFonts w:ascii="Calibri" w:eastAsia="Arial" w:hAnsi="Calibri" w:cs="Calibri"/>
            </w:rPr>
            <w:fldChar w:fldCharType="end"/>
          </w:r>
        </w:sdtContent>
      </w:sdt>
      <w:r w:rsidR="00C67937" w:rsidRPr="00E97254">
        <w:rPr>
          <w:rFonts w:ascii="Calibri" w:eastAsia="Arial" w:hAnsi="Calibri" w:cs="Calibri"/>
        </w:rPr>
        <w:t xml:space="preserve">. </w:t>
      </w:r>
      <w:r w:rsidR="00F97AE0" w:rsidRPr="00E97254">
        <w:rPr>
          <w:rFonts w:ascii="Calibri" w:eastAsia="Arial" w:hAnsi="Calibri" w:cs="Calibri"/>
        </w:rPr>
        <w:t>Studentët kanë raportuar edhe problematika të mosnjohjes së kurseve/krediteve të mobilitetit gjë që krijon ulje të numrit të studentëve që marrin pjesë në programe të lëvizshmërisë.</w:t>
      </w:r>
    </w:p>
    <w:p w:rsidR="003D71F2" w:rsidRPr="00E97254" w:rsidRDefault="00FA5606" w:rsidP="000B1598">
      <w:pPr>
        <w:spacing w:after="0"/>
        <w:ind w:right="77"/>
        <w:jc w:val="both"/>
        <w:rPr>
          <w:rFonts w:ascii="Calibri" w:eastAsia="Arial" w:hAnsi="Calibri" w:cs="Calibri"/>
        </w:rPr>
      </w:pPr>
      <w:r w:rsidRPr="00FA5606">
        <w:rPr>
          <w:rFonts w:ascii="Calibri" w:eastAsia="Arial" w:hAnsi="Calibri" w:cs="Calibri"/>
        </w:rPr>
        <w:t>Shqipëria u bë pjesë e rrjetit AdReN, një rrjet ku Shqipëria, Bosnja dhe Hercegovina, Kroacia, Italia dhe Maqedonia janë qendrat përgjegjëse për procedurat e njohjes së diplomave (qendrat ENIC/NARIC). Ky rrjet synon të krijojë një zonë të njohjes automatike në rajonin e Adriatikut dhe të rrisë mobilitetin e stafit akademik. Në periudhën në vijim  do të punohet, në bashkëpunim me vendet e tjera palë e rrjetit</w:t>
      </w:r>
      <w:r w:rsidR="00236E03">
        <w:rPr>
          <w:rFonts w:ascii="Calibri" w:eastAsia="Arial" w:hAnsi="Calibri" w:cs="Calibri"/>
        </w:rPr>
        <w:t>,</w:t>
      </w:r>
      <w:r w:rsidRPr="00FA5606">
        <w:rPr>
          <w:rFonts w:ascii="Calibri" w:eastAsia="Arial" w:hAnsi="Calibri" w:cs="Calibri"/>
        </w:rPr>
        <w:t xml:space="preserve"> për të vijuar me njohjen automatike të kualifikimeve akademike.</w:t>
      </w:r>
      <w:bookmarkStart w:id="101" w:name="_Toc45624236"/>
    </w:p>
    <w:p w:rsidR="00C44536" w:rsidRPr="00E97254" w:rsidRDefault="00FA5606" w:rsidP="000C0250">
      <w:pPr>
        <w:pStyle w:val="Heading3"/>
        <w:jc w:val="both"/>
      </w:pPr>
      <w:bookmarkStart w:id="102" w:name="_Toc66802004"/>
      <w:r w:rsidRPr="00FA5606">
        <w:lastRenderedPageBreak/>
        <w:t>4.4.5. Shërbimet digjitale</w:t>
      </w:r>
      <w:bookmarkEnd w:id="101"/>
      <w:bookmarkEnd w:id="102"/>
    </w:p>
    <w:p w:rsidR="00B6350B" w:rsidRPr="00E97254" w:rsidRDefault="00FA5606" w:rsidP="000C0250">
      <w:pPr>
        <w:spacing w:before="120" w:after="0"/>
        <w:jc w:val="both"/>
        <w:rPr>
          <w:rFonts w:ascii="Calibri" w:hAnsi="Calibri" w:cs="Calibri"/>
        </w:rPr>
      </w:pPr>
      <w:r w:rsidRPr="00FA5606">
        <w:rPr>
          <w:rFonts w:ascii="Calibri" w:hAnsi="Calibri" w:cs="Calibri"/>
        </w:rPr>
        <w:t xml:space="preserve">Rankimi i vetëm ndërkombëtar që </w:t>
      </w:r>
      <w:r w:rsidRPr="00FA5606">
        <w:rPr>
          <w:rFonts w:cs="Calibri"/>
        </w:rPr>
        <w:t>përfshin</w:t>
      </w:r>
      <w:r w:rsidRPr="00FA5606">
        <w:rPr>
          <w:rFonts w:ascii="Calibri" w:hAnsi="Calibri" w:cs="Calibri"/>
        </w:rPr>
        <w:t>, pa diskriminim, të gjitha institucionet e arsimit të lartë në Shqipëri është Webometrics</w:t>
      </w:r>
      <w:r w:rsidR="00236E03">
        <w:rPr>
          <w:rFonts w:ascii="Calibri" w:hAnsi="Calibri" w:cs="Calibri"/>
        </w:rPr>
        <w:t>,</w:t>
      </w:r>
      <w:r w:rsidRPr="00FA5606">
        <w:rPr>
          <w:rFonts w:ascii="Calibri" w:hAnsi="Calibri" w:cs="Calibri"/>
        </w:rPr>
        <w:t xml:space="preserve"> i cili mat prezencën dhe vizibilitetin në </w:t>
      </w:r>
      <w:r w:rsidR="001C728F">
        <w:rPr>
          <w:rFonts w:ascii="Calibri" w:hAnsi="Calibri" w:cs="Calibri"/>
        </w:rPr>
        <w:t>internet</w:t>
      </w:r>
      <w:r w:rsidRPr="00FA5606">
        <w:rPr>
          <w:rFonts w:ascii="Calibri" w:hAnsi="Calibri" w:cs="Calibri"/>
        </w:rPr>
        <w:t xml:space="preserve"> të këtyre institucioneve dhe shquhet </w:t>
      </w:r>
      <w:r w:rsidR="00236E03">
        <w:rPr>
          <w:rFonts w:ascii="Calibri" w:hAnsi="Calibri" w:cs="Calibri"/>
        </w:rPr>
        <w:t>p</w:t>
      </w:r>
      <w:r w:rsidR="00236E03" w:rsidRPr="004E1F53">
        <w:rPr>
          <w:rFonts w:ascii="Calibri" w:hAnsi="Calibri" w:cs="Calibri"/>
        </w:rPr>
        <w:t>ë</w:t>
      </w:r>
      <w:r w:rsidR="00236E03">
        <w:rPr>
          <w:rFonts w:ascii="Calibri" w:hAnsi="Calibri" w:cs="Calibri"/>
        </w:rPr>
        <w:t>r</w:t>
      </w:r>
      <w:r w:rsidRPr="00FA5606">
        <w:rPr>
          <w:rFonts w:ascii="Calibri" w:hAnsi="Calibri" w:cs="Calibri"/>
        </w:rPr>
        <w:t xml:space="preserve"> një korrelacion mjaft të mirë me rankimet</w:t>
      </w:r>
      <w:r w:rsidR="00236E03">
        <w:rPr>
          <w:rFonts w:ascii="Calibri" w:hAnsi="Calibri" w:cs="Calibri"/>
        </w:rPr>
        <w:t xml:space="preserve"> e</w:t>
      </w:r>
      <w:r w:rsidRPr="00FA5606">
        <w:rPr>
          <w:rFonts w:ascii="Calibri" w:hAnsi="Calibri" w:cs="Calibri"/>
        </w:rPr>
        <w:t xml:space="preserve"> tjera ndërkombëtare </w:t>
      </w:r>
      <w:r w:rsidR="00236E03">
        <w:rPr>
          <w:rFonts w:ascii="Calibri" w:hAnsi="Calibri" w:cs="Calibri"/>
        </w:rPr>
        <w:t>t</w:t>
      </w:r>
      <w:r w:rsidR="00236E03" w:rsidRPr="004E1F53">
        <w:rPr>
          <w:rFonts w:ascii="Calibri" w:hAnsi="Calibri" w:cs="Calibri"/>
        </w:rPr>
        <w:t>ë</w:t>
      </w:r>
      <w:r w:rsidRPr="00FA5606">
        <w:rPr>
          <w:rFonts w:ascii="Calibri" w:hAnsi="Calibri" w:cs="Calibri"/>
        </w:rPr>
        <w:t xml:space="preserve"> IAL-ve më prestigjioze. Në edicionin e janarit të vitit 2020, listën e IAL-ve shqiptare e </w:t>
      </w:r>
      <w:r w:rsidRPr="00FA5606">
        <w:rPr>
          <w:rFonts w:cs="Calibri"/>
        </w:rPr>
        <w:t>kryeson</w:t>
      </w:r>
      <w:r w:rsidRPr="00FA5606">
        <w:rPr>
          <w:rFonts w:ascii="Calibri" w:hAnsi="Calibri" w:cs="Calibri"/>
        </w:rPr>
        <w:t xml:space="preserve"> Universiteti “Epoka” i radhitur në vendin 4,500, i pasuar nga Universiteti i Tiranës në vendin 4,711, Universiteti Bujqësor i Tiranës – 4,751, Universiteti Politeknik i Tiranës – 5,711, e kështu me radhë. Me gjithë mangësitë e rankimit Webometrics, një krahasim i thjeshtë me IAL-të më të mira të vendeve të Rajonit tregon se institucionet shqiptare të arsimit të lartë janë shumë prapa tyre edhe nga këndvështrimi i prezencës dhe vizibilitetit në </w:t>
      </w:r>
      <w:r w:rsidR="001C728F">
        <w:rPr>
          <w:rFonts w:ascii="Calibri" w:hAnsi="Calibri" w:cs="Calibri"/>
        </w:rPr>
        <w:t xml:space="preserve">internet </w:t>
      </w:r>
      <w:r w:rsidRPr="00FA5606">
        <w:rPr>
          <w:rFonts w:ascii="Calibri" w:hAnsi="Calibri" w:cs="Calibri"/>
        </w:rPr>
        <w:t>(</w:t>
      </w:r>
      <w:r w:rsidR="008D102D">
        <w:fldChar w:fldCharType="begin"/>
      </w:r>
      <w:r w:rsidR="008D102D">
        <w:instrText xml:space="preserve"> REF _Ref43991552 \h  \* MERGEFORMAT </w:instrText>
      </w:r>
      <w:r w:rsidR="008D102D">
        <w:fldChar w:fldCharType="separate"/>
      </w:r>
      <w:r w:rsidR="005A6200" w:rsidRPr="00E97254">
        <w:rPr>
          <w:rFonts w:ascii="Calibri" w:hAnsi="Calibri" w:cs="Calibri"/>
        </w:rPr>
        <w:t>Figura 10</w:t>
      </w:r>
      <w:r w:rsidR="008D102D">
        <w:fldChar w:fldCharType="end"/>
      </w:r>
      <w:r w:rsidR="00C953AD" w:rsidRPr="00E97254">
        <w:rPr>
          <w:rFonts w:ascii="Calibri" w:hAnsi="Calibri" w:cs="Calibri"/>
        </w:rPr>
        <w:t>).</w:t>
      </w:r>
      <w:r w:rsidR="00236E03">
        <w:rPr>
          <w:rFonts w:ascii="Calibri" w:hAnsi="Calibri" w:cs="Calibri"/>
        </w:rPr>
        <w:t xml:space="preserve"> </w:t>
      </w:r>
    </w:p>
    <w:p w:rsidR="007D0EE4" w:rsidRPr="00E97254" w:rsidRDefault="007D0EE4" w:rsidP="000C0250">
      <w:pPr>
        <w:pStyle w:val="Caption"/>
        <w:keepNext/>
        <w:spacing w:before="120" w:after="0" w:line="276" w:lineRule="auto"/>
        <w:jc w:val="both"/>
        <w:rPr>
          <w:rFonts w:ascii="Calibri" w:hAnsi="Calibri" w:cs="Calibri"/>
          <w:color w:val="auto"/>
          <w:sz w:val="22"/>
          <w:szCs w:val="22"/>
        </w:rPr>
      </w:pPr>
      <w:bookmarkStart w:id="103" w:name="_Ref43991552"/>
      <w:bookmarkStart w:id="104" w:name="_Toc66802063"/>
    </w:p>
    <w:p w:rsidR="00C953AD" w:rsidRPr="00E97254" w:rsidRDefault="00C953AD" w:rsidP="000C0250">
      <w:pPr>
        <w:pStyle w:val="Caption"/>
        <w:keepNext/>
        <w:spacing w:before="120" w:after="0" w:line="276" w:lineRule="auto"/>
        <w:jc w:val="both"/>
        <w:rPr>
          <w:rFonts w:ascii="Calibri" w:hAnsi="Calibri" w:cs="Calibri"/>
          <w:b w:val="0"/>
          <w:color w:val="auto"/>
          <w:sz w:val="22"/>
          <w:szCs w:val="22"/>
        </w:rPr>
      </w:pPr>
      <w:r w:rsidRPr="00E97254">
        <w:rPr>
          <w:rFonts w:ascii="Calibri" w:hAnsi="Calibri" w:cs="Calibri"/>
          <w:color w:val="auto"/>
          <w:sz w:val="22"/>
          <w:szCs w:val="22"/>
        </w:rPr>
        <w:t xml:space="preserve">Figura </w:t>
      </w:r>
      <w:r w:rsidR="00EC56B7" w:rsidRPr="00FA5606">
        <w:rPr>
          <w:rFonts w:ascii="Calibri" w:hAnsi="Calibri" w:cs="Calibri"/>
          <w:color w:val="auto"/>
          <w:sz w:val="22"/>
          <w:szCs w:val="22"/>
        </w:rPr>
        <w:fldChar w:fldCharType="begin"/>
      </w:r>
      <w:r w:rsidR="00FA5606" w:rsidRPr="00FA5606">
        <w:rPr>
          <w:rFonts w:ascii="Calibri" w:hAnsi="Calibri" w:cs="Calibri"/>
          <w:color w:val="auto"/>
          <w:sz w:val="22"/>
          <w:szCs w:val="22"/>
        </w:rPr>
        <w:instrText xml:space="preserve"> SEQ Figura \* ARABIC </w:instrText>
      </w:r>
      <w:r w:rsidR="00EC56B7" w:rsidRPr="00FA5606">
        <w:rPr>
          <w:rFonts w:ascii="Calibri" w:hAnsi="Calibri" w:cs="Calibri"/>
          <w:color w:val="auto"/>
          <w:sz w:val="22"/>
          <w:szCs w:val="22"/>
        </w:rPr>
        <w:fldChar w:fldCharType="separate"/>
      </w:r>
      <w:r w:rsidR="00FA5606" w:rsidRPr="00FA5606">
        <w:rPr>
          <w:rFonts w:ascii="Calibri" w:hAnsi="Calibri" w:cs="Calibri"/>
          <w:color w:val="auto"/>
          <w:sz w:val="22"/>
          <w:szCs w:val="22"/>
        </w:rPr>
        <w:t>10</w:t>
      </w:r>
      <w:r w:rsidR="00EC56B7" w:rsidRPr="00FA5606">
        <w:rPr>
          <w:rFonts w:ascii="Calibri" w:hAnsi="Calibri" w:cs="Calibri"/>
          <w:color w:val="auto"/>
          <w:sz w:val="22"/>
          <w:szCs w:val="22"/>
        </w:rPr>
        <w:fldChar w:fldCharType="end"/>
      </w:r>
      <w:bookmarkEnd w:id="103"/>
      <w:r w:rsidR="00FA5606" w:rsidRPr="00FA5606">
        <w:rPr>
          <w:rFonts w:ascii="Calibri" w:hAnsi="Calibri" w:cs="Calibri"/>
          <w:color w:val="auto"/>
          <w:sz w:val="22"/>
          <w:szCs w:val="22"/>
        </w:rPr>
        <w:t>.</w:t>
      </w:r>
      <w:r w:rsidR="00FA5606" w:rsidRPr="00FA5606">
        <w:rPr>
          <w:rFonts w:ascii="Calibri" w:hAnsi="Calibri" w:cs="Calibri"/>
          <w:b w:val="0"/>
          <w:color w:val="auto"/>
          <w:sz w:val="22"/>
          <w:szCs w:val="22"/>
        </w:rPr>
        <w:t xml:space="preserve"> Rankimi Webometrics i IAL-ve të rajonit</w:t>
      </w:r>
      <w:bookmarkEnd w:id="104"/>
    </w:p>
    <w:p w:rsidR="00C953AD" w:rsidRPr="00E97254" w:rsidRDefault="00B91568" w:rsidP="000C0250">
      <w:pPr>
        <w:spacing w:after="0"/>
        <w:jc w:val="both"/>
        <w:rPr>
          <w:sz w:val="32"/>
          <w:szCs w:val="32"/>
        </w:rPr>
      </w:pPr>
      <w:r w:rsidRPr="00E97254">
        <w:rPr>
          <w:noProof/>
          <w:sz w:val="32"/>
          <w:szCs w:val="32"/>
          <w:lang w:val="en-US"/>
        </w:rPr>
        <w:drawing>
          <wp:inline distT="0" distB="0" distL="0" distR="0">
            <wp:extent cx="5056505" cy="2827655"/>
            <wp:effectExtent l="0" t="0" r="0" b="0"/>
            <wp:docPr id="479" name="Chart 2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B63233" w:rsidRPr="00E97254" w:rsidRDefault="00B63233" w:rsidP="000C0250">
      <w:pPr>
        <w:spacing w:after="0"/>
        <w:jc w:val="both"/>
        <w:rPr>
          <w:rFonts w:ascii="Calibri" w:hAnsi="Calibri" w:cs="Calibri"/>
        </w:rPr>
      </w:pPr>
      <w:r w:rsidRPr="00E97254">
        <w:rPr>
          <w:rFonts w:ascii="Calibri" w:hAnsi="Calibri" w:cs="Calibri"/>
        </w:rPr>
        <w:t xml:space="preserve">Burimi: </w:t>
      </w:r>
      <w:hyperlink r:id="rId25" w:history="1">
        <w:r w:rsidRPr="00E97254">
          <w:rPr>
            <w:rStyle w:val="Hyperlink"/>
            <w:rFonts w:ascii="Calibri" w:hAnsi="Calibri" w:cs="Calibri"/>
          </w:rPr>
          <w:t>www.webometrics.info</w:t>
        </w:r>
      </w:hyperlink>
      <w:r w:rsidRPr="00E97254">
        <w:rPr>
          <w:rFonts w:ascii="Calibri" w:hAnsi="Calibri" w:cs="Calibri"/>
        </w:rPr>
        <w:t>, rankimi i janarit 2020</w:t>
      </w:r>
    </w:p>
    <w:p w:rsidR="00226431" w:rsidRPr="00E97254" w:rsidRDefault="00226431" w:rsidP="000C0250">
      <w:pPr>
        <w:spacing w:before="120" w:after="120"/>
        <w:jc w:val="both"/>
        <w:rPr>
          <w:rFonts w:ascii="Calibri" w:hAnsi="Calibri" w:cs="Calibri"/>
        </w:rPr>
      </w:pPr>
      <w:r w:rsidRPr="00E97254">
        <w:rPr>
          <w:rFonts w:ascii="Calibri" w:hAnsi="Calibri" w:cs="Calibri"/>
        </w:rPr>
        <w:t xml:space="preserve">Ky është një tregues i përdorimit të pamjaftueshëm të teknologjisë së informacionit dhe komunikimit në arsimin e lartë të Shqipërisë. Të shumtën e rasteve, faqet </w:t>
      </w:r>
      <w:r w:rsidR="00236E03">
        <w:rPr>
          <w:rFonts w:ascii="Calibri" w:hAnsi="Calibri" w:cs="Calibri"/>
        </w:rPr>
        <w:t>n</w:t>
      </w:r>
      <w:r w:rsidR="00236E03" w:rsidRPr="004E1F53">
        <w:rPr>
          <w:rFonts w:ascii="Calibri" w:hAnsi="Calibri" w:cs="Calibri"/>
        </w:rPr>
        <w:t>ë</w:t>
      </w:r>
      <w:r w:rsidR="00236E03">
        <w:rPr>
          <w:rFonts w:ascii="Calibri" w:hAnsi="Calibri" w:cs="Calibri"/>
        </w:rPr>
        <w:t xml:space="preserve"> </w:t>
      </w:r>
      <w:r w:rsidR="001C728F">
        <w:rPr>
          <w:rFonts w:ascii="Calibri" w:hAnsi="Calibri" w:cs="Calibri"/>
        </w:rPr>
        <w:t>internet</w:t>
      </w:r>
      <w:r w:rsidR="00236E03" w:rsidRPr="00E97254">
        <w:rPr>
          <w:rFonts w:ascii="Calibri" w:hAnsi="Calibri" w:cs="Calibri"/>
        </w:rPr>
        <w:t xml:space="preserve"> </w:t>
      </w:r>
      <w:r w:rsidR="00236E03">
        <w:rPr>
          <w:rFonts w:ascii="Calibri" w:hAnsi="Calibri" w:cs="Calibri"/>
        </w:rPr>
        <w:t>t</w:t>
      </w:r>
      <w:r w:rsidR="00236E03" w:rsidRPr="004E1F53">
        <w:rPr>
          <w:rFonts w:ascii="Calibri" w:hAnsi="Calibri" w:cs="Calibri"/>
        </w:rPr>
        <w:t>ë</w:t>
      </w:r>
      <w:r w:rsidR="00236E03" w:rsidRPr="00E97254">
        <w:rPr>
          <w:rFonts w:ascii="Calibri" w:hAnsi="Calibri" w:cs="Calibri"/>
        </w:rPr>
        <w:t xml:space="preserve"> </w:t>
      </w:r>
      <w:r w:rsidRPr="00E97254">
        <w:rPr>
          <w:rFonts w:ascii="Calibri" w:hAnsi="Calibri" w:cs="Calibri"/>
        </w:rPr>
        <w:t>institucioneve të arsimit të lartë nuk përmbajnë informacionin e duhur për punën e institucionit, ndërsa shërbimet digjit</w:t>
      </w:r>
      <w:r w:rsidR="00FA5606" w:rsidRPr="00FA5606">
        <w:rPr>
          <w:rFonts w:ascii="Calibri" w:hAnsi="Calibri" w:cs="Calibri"/>
        </w:rPr>
        <w:t xml:space="preserve">ale për studentë janë të kufizuara. Kjo kushtëzohet nga mungesa e infrastrukturës </w:t>
      </w:r>
      <w:r w:rsidR="004A79F5">
        <w:rPr>
          <w:rFonts w:ascii="Calibri" w:hAnsi="Calibri" w:cs="Calibri"/>
        </w:rPr>
        <w:t>s</w:t>
      </w:r>
      <w:r w:rsidR="004A79F5" w:rsidRPr="00CF4646">
        <w:rPr>
          <w:rFonts w:ascii="Calibri" w:hAnsi="Calibri" w:cs="Calibri"/>
        </w:rPr>
        <w:t>ë</w:t>
      </w:r>
      <w:r w:rsidR="004A79F5">
        <w:rPr>
          <w:rFonts w:ascii="Calibri" w:hAnsi="Calibri" w:cs="Calibri"/>
        </w:rPr>
        <w:t xml:space="preserve"> p</w:t>
      </w:r>
      <w:r w:rsidR="004A79F5" w:rsidRPr="00CF4646">
        <w:rPr>
          <w:rFonts w:ascii="Calibri" w:hAnsi="Calibri" w:cs="Calibri"/>
        </w:rPr>
        <w:t>ë</w:t>
      </w:r>
      <w:r w:rsidR="004A79F5">
        <w:rPr>
          <w:rFonts w:ascii="Calibri" w:hAnsi="Calibri" w:cs="Calibri"/>
        </w:rPr>
        <w:t>rshtatshme</w:t>
      </w:r>
      <w:r w:rsidR="00FA5606" w:rsidRPr="00FA5606">
        <w:rPr>
          <w:rFonts w:ascii="Calibri" w:hAnsi="Calibri" w:cs="Calibri"/>
        </w:rPr>
        <w:t xml:space="preserve"> harduerike dhe softuerike, por edhe </w:t>
      </w:r>
      <w:r w:rsidR="00236E03">
        <w:rPr>
          <w:rFonts w:ascii="Calibri" w:hAnsi="Calibri" w:cs="Calibri"/>
        </w:rPr>
        <w:t xml:space="preserve">nga </w:t>
      </w:r>
      <w:r w:rsidR="00FA5606" w:rsidRPr="00FA5606">
        <w:rPr>
          <w:rFonts w:ascii="Calibri" w:hAnsi="Calibri" w:cs="Calibri"/>
        </w:rPr>
        <w:t xml:space="preserve">mungesa e nismave për digjitalizimin e shërbimeve. Mësimi nga distanca u </w:t>
      </w:r>
      <w:r w:rsidR="00FA5606" w:rsidRPr="00FA5606">
        <w:rPr>
          <w:rFonts w:cs="Calibri"/>
        </w:rPr>
        <w:t>organizua</w:t>
      </w:r>
      <w:r w:rsidR="00FA5606" w:rsidRPr="00FA5606">
        <w:rPr>
          <w:rFonts w:ascii="Calibri" w:hAnsi="Calibri" w:cs="Calibri"/>
        </w:rPr>
        <w:t xml:space="preserve"> gjatë pandemisë COVID-19, por vetëm në formë të leksioneve në kohë reale. Ndërkaq, nuk ka informacion </w:t>
      </w:r>
      <w:r w:rsidR="00FA5606" w:rsidRPr="00FA5606">
        <w:rPr>
          <w:rFonts w:cs="Calibri"/>
        </w:rPr>
        <w:t>nëse</w:t>
      </w:r>
      <w:r w:rsidR="00FA5606" w:rsidRPr="00FA5606">
        <w:rPr>
          <w:rFonts w:ascii="Calibri" w:hAnsi="Calibri" w:cs="Calibri"/>
        </w:rPr>
        <w:t xml:space="preserve"> ndonjë program ose lëndë në kuadër të një programi ofrohet në formatin e përshtatshëm për mësimin nga distanca. Institucionet publike të arsimit të lartë shfrytëzojnë shërbimet e </w:t>
      </w:r>
      <w:r w:rsidR="00FA5606" w:rsidRPr="00FA5606">
        <w:rPr>
          <w:rFonts w:cs="Calibri"/>
        </w:rPr>
        <w:t>RASH</w:t>
      </w:r>
      <w:r w:rsidR="00236E03">
        <w:rPr>
          <w:rFonts w:cs="Calibri"/>
        </w:rPr>
        <w:t>-it</w:t>
      </w:r>
      <w:r w:rsidR="00FA5606" w:rsidRPr="00FA5606">
        <w:rPr>
          <w:rFonts w:ascii="Calibri" w:hAnsi="Calibri" w:cs="Calibri"/>
        </w:rPr>
        <w:t xml:space="preserve">, por jo të gjitha. </w:t>
      </w:r>
    </w:p>
    <w:p w:rsidR="00226431" w:rsidRPr="00E97254" w:rsidRDefault="00FA5606" w:rsidP="000B1598">
      <w:pPr>
        <w:spacing w:after="0"/>
        <w:jc w:val="both"/>
        <w:rPr>
          <w:rFonts w:ascii="Calibri" w:hAnsi="Calibri" w:cs="Calibri"/>
        </w:rPr>
      </w:pPr>
      <w:r w:rsidRPr="00FA5606">
        <w:rPr>
          <w:rFonts w:ascii="Calibri" w:hAnsi="Calibri" w:cs="Calibri"/>
        </w:rPr>
        <w:t xml:space="preserve">Për të përgatitur të rinjtë mjaftueshëm për sfidat dhe mundësitë e një ekonomie të globalizuar, arsimi i lartë ka përgjegjësinë për t’u ofruar mundësinë e zhvillimit të kompetencës digjitale të një niveli të </w:t>
      </w:r>
      <w:r w:rsidRPr="00FA5606">
        <w:rPr>
          <w:rFonts w:ascii="Calibri" w:hAnsi="Calibri" w:cs="Calibri"/>
        </w:rPr>
        <w:lastRenderedPageBreak/>
        <w:t xml:space="preserve">avancuar, </w:t>
      </w:r>
      <w:r w:rsidR="00236E03">
        <w:rPr>
          <w:rFonts w:ascii="Calibri" w:hAnsi="Calibri" w:cs="Calibri"/>
        </w:rPr>
        <w:t>n</w:t>
      </w:r>
      <w:r w:rsidR="00236E03" w:rsidRPr="004E1F53">
        <w:rPr>
          <w:rFonts w:ascii="Calibri" w:hAnsi="Calibri" w:cs="Calibri"/>
        </w:rPr>
        <w:t>ë</w:t>
      </w:r>
      <w:r w:rsidR="00236E03">
        <w:rPr>
          <w:rFonts w:ascii="Calibri" w:hAnsi="Calibri" w:cs="Calibri"/>
        </w:rPr>
        <w:t xml:space="preserve"> p</w:t>
      </w:r>
      <w:r w:rsidR="00236E03" w:rsidRPr="004E1F53">
        <w:rPr>
          <w:rFonts w:ascii="Calibri" w:hAnsi="Calibri" w:cs="Calibri"/>
        </w:rPr>
        <w:t>ë</w:t>
      </w:r>
      <w:r w:rsidR="00236E03">
        <w:rPr>
          <w:rFonts w:ascii="Calibri" w:hAnsi="Calibri" w:cs="Calibri"/>
        </w:rPr>
        <w:t>rshtatje me</w:t>
      </w:r>
      <w:r w:rsidRPr="00FA5606">
        <w:rPr>
          <w:rFonts w:ascii="Calibri" w:hAnsi="Calibri" w:cs="Calibri"/>
        </w:rPr>
        <w:t xml:space="preserve"> “Kuadri</w:t>
      </w:r>
      <w:r w:rsidR="00236E03">
        <w:rPr>
          <w:rFonts w:ascii="Calibri" w:hAnsi="Calibri" w:cs="Calibri"/>
        </w:rPr>
        <w:t>n</w:t>
      </w:r>
      <w:r w:rsidRPr="00FA5606">
        <w:rPr>
          <w:rFonts w:ascii="Calibri" w:hAnsi="Calibri" w:cs="Calibri"/>
        </w:rPr>
        <w:t xml:space="preserve"> </w:t>
      </w:r>
      <w:r w:rsidRPr="00FA5606">
        <w:rPr>
          <w:rFonts w:cs="Calibri"/>
        </w:rPr>
        <w:t>Evropian</w:t>
      </w:r>
      <w:r w:rsidRPr="00FA5606">
        <w:rPr>
          <w:rFonts w:ascii="Calibri" w:hAnsi="Calibri" w:cs="Calibri"/>
        </w:rPr>
        <w:t xml:space="preserve"> për Kompetencën Digjitale”, i cili përcakton pesë fusha të kompetencës dhe tetë nivele për arritjen e tyre </w:t>
      </w:r>
      <w:sdt>
        <w:sdtPr>
          <w:rPr>
            <w:rFonts w:ascii="Calibri" w:hAnsi="Calibri" w:cs="Calibri"/>
          </w:rPr>
          <w:id w:val="-1127161438"/>
          <w:citation/>
        </w:sdtPr>
        <w:sdtEndPr/>
        <w:sdtContent>
          <w:r w:rsidR="00EC56B7" w:rsidRPr="00E97254">
            <w:rPr>
              <w:rFonts w:ascii="Calibri" w:hAnsi="Calibri" w:cs="Calibri"/>
            </w:rPr>
            <w:fldChar w:fldCharType="begin"/>
          </w:r>
          <w:r w:rsidRPr="00FA5606">
            <w:rPr>
              <w:rFonts w:ascii="Calibri" w:hAnsi="Calibri" w:cs="Calibri"/>
            </w:rPr>
            <w:instrText xml:space="preserve"> CITATION Car17 \l 1033 </w:instrText>
          </w:r>
          <w:r w:rsidR="00EC56B7" w:rsidRPr="00E97254">
            <w:rPr>
              <w:rFonts w:ascii="Calibri" w:hAnsi="Calibri" w:cs="Calibri"/>
            </w:rPr>
            <w:fldChar w:fldCharType="separate"/>
          </w:r>
          <w:r w:rsidR="00724BCC" w:rsidRPr="00E97254">
            <w:rPr>
              <w:rFonts w:ascii="Calibri" w:hAnsi="Calibri" w:cs="Calibri"/>
            </w:rPr>
            <w:t>[75]</w:t>
          </w:r>
          <w:r w:rsidR="00EC56B7" w:rsidRPr="00E97254">
            <w:rPr>
              <w:rFonts w:ascii="Calibri" w:hAnsi="Calibri" w:cs="Calibri"/>
            </w:rPr>
            <w:fldChar w:fldCharType="end"/>
          </w:r>
        </w:sdtContent>
      </w:sdt>
      <w:r w:rsidR="00226431" w:rsidRPr="00E97254">
        <w:rPr>
          <w:rFonts w:ascii="Calibri" w:hAnsi="Calibri" w:cs="Calibri"/>
        </w:rPr>
        <w:t xml:space="preserve">. Rezultatet e një sondazhi të zhvilluar me 14,000 studentë </w:t>
      </w:r>
      <w:r w:rsidR="00BF5F50" w:rsidRPr="00E97254">
        <w:rPr>
          <w:rFonts w:ascii="Calibri" w:hAnsi="Calibri" w:cs="Calibri"/>
        </w:rPr>
        <w:t xml:space="preserve">shqiptarë në muajin maj 2020 </w:t>
      </w:r>
      <w:r w:rsidR="00226431" w:rsidRPr="00E97254">
        <w:rPr>
          <w:rFonts w:ascii="Calibri" w:hAnsi="Calibri" w:cs="Calibri"/>
        </w:rPr>
        <w:t xml:space="preserve"> tregojnë se vetëm 22% e tyre </w:t>
      </w:r>
      <w:r w:rsidRPr="00FA5606">
        <w:rPr>
          <w:rFonts w:ascii="Calibri" w:hAnsi="Calibri" w:cs="Calibri"/>
        </w:rPr>
        <w:t>kanë laptop</w:t>
      </w:r>
      <w:r w:rsidR="00236E03">
        <w:rPr>
          <w:rFonts w:ascii="Calibri" w:hAnsi="Calibri" w:cs="Calibri"/>
        </w:rPr>
        <w:t>, gj</w:t>
      </w:r>
      <w:r w:rsidR="00236E03" w:rsidRPr="004E1F53">
        <w:rPr>
          <w:rFonts w:ascii="Calibri" w:hAnsi="Calibri" w:cs="Calibri"/>
        </w:rPr>
        <w:t>ë</w:t>
      </w:r>
      <w:r w:rsidRPr="00FA5606">
        <w:rPr>
          <w:rFonts w:ascii="Calibri" w:hAnsi="Calibri" w:cs="Calibri"/>
        </w:rPr>
        <w:t xml:space="preserve"> që flet për shfrytëzim të kufizuar të mundësive që ofron teknologjia. Ofrimi i shërbimeve digjitale të avancuara nga ana e IAL-ve, përfshirë forma të ndryshme të mësimit online, e-sekretarinë, shfrytëzimin e platformave për komunikim elektronik, e të tjera, do të kontribuonte në zhvillimin e shkathtësive digjitale të studentëve dhe personelit, si dhe në ngritjen e përgjithshme të cilësisë së arsimit të lartë në vend.</w:t>
      </w:r>
    </w:p>
    <w:p w:rsidR="000B1598" w:rsidRPr="00E97254" w:rsidRDefault="000B1598" w:rsidP="000B1598">
      <w:pPr>
        <w:spacing w:after="0"/>
        <w:jc w:val="both"/>
        <w:rPr>
          <w:rFonts w:ascii="Calibri" w:hAnsi="Calibri" w:cs="Calibri"/>
        </w:rPr>
      </w:pPr>
    </w:p>
    <w:p w:rsidR="005E153C" w:rsidRPr="00E97254" w:rsidRDefault="00FA5606" w:rsidP="000C0250">
      <w:pPr>
        <w:pStyle w:val="Heading2"/>
        <w:jc w:val="both"/>
      </w:pPr>
      <w:bookmarkStart w:id="105" w:name="_Toc66802005"/>
      <w:bookmarkStart w:id="106" w:name="_Toc45624237"/>
      <w:r w:rsidRPr="00FA5606">
        <w:t>4.5. Çështje të barazisë gjinore</w:t>
      </w:r>
      <w:bookmarkEnd w:id="105"/>
    </w:p>
    <w:p w:rsidR="005E153C" w:rsidRPr="00E97254" w:rsidRDefault="00FA5606" w:rsidP="000C0250">
      <w:pPr>
        <w:spacing w:before="120" w:after="0"/>
        <w:jc w:val="both"/>
        <w:rPr>
          <w:rFonts w:cstheme="minorHAnsi"/>
        </w:rPr>
      </w:pPr>
      <w:r w:rsidRPr="00FA5606">
        <w:rPr>
          <w:rFonts w:cstheme="minorHAnsi"/>
        </w:rPr>
        <w:t xml:space="preserve">Raporti i parë i Indeksit të Barazisë Gjinore 2020, synon të dokumentojë arritjet e Qeverisë Shqiptare, në lidhje me përparimin e bërë për fuqizimin e grave dhe barazinë gjinore në Shqipëri. Indeksi i Barazisë Gjinore si instrument i Institutit Evropian për Barazinë Gjinore (EIGE) mat pabarazitë gjinore në Bashkimin Evropian (BE) në përputhje me kontekstin e politikave të BE-së. Indeksi i përgjithshëm i Barazisë Gjinore për Republikën e Shqipërisë për vitin 2017 shënoi 60.4, duke demonstruar një hendek gjinor të konsiderueshëm. Kjo gjetje konfirmon nevojën për ripërtëritjen e angazhimeve dhe përpjekjeve të aktorëve të ndryshëm, duke përfshirë edhe qeverinë, sektorin privat, shoqërinë civile dhe qytetarët për arritjen e barazisë së plotë gjinore </w:t>
      </w:r>
      <w:sdt>
        <w:sdtPr>
          <w:rPr>
            <w:rFonts w:ascii="Times New Roman" w:hAnsi="Times New Roman" w:cs="Times New Roman"/>
            <w:sz w:val="20"/>
            <w:szCs w:val="20"/>
          </w:rPr>
          <w:id w:val="-222597575"/>
          <w:citation/>
        </w:sdtPr>
        <w:sdtEndPr/>
        <w:sdtContent>
          <w:r w:rsidR="00EC56B7" w:rsidRPr="00E97254">
            <w:rPr>
              <w:rFonts w:ascii="Times New Roman" w:hAnsi="Times New Roman" w:cs="Times New Roman"/>
              <w:sz w:val="20"/>
              <w:szCs w:val="20"/>
            </w:rPr>
            <w:fldChar w:fldCharType="begin"/>
          </w:r>
          <w:r w:rsidRPr="00FA5606">
            <w:rPr>
              <w:rFonts w:ascii="Times New Roman" w:hAnsi="Times New Roman" w:cs="Times New Roman"/>
              <w:sz w:val="20"/>
              <w:szCs w:val="20"/>
            </w:rPr>
            <w:instrText xml:space="preserve"> CITATION INS20 \l 1033 </w:instrText>
          </w:r>
          <w:r w:rsidR="00EC56B7" w:rsidRPr="00E97254">
            <w:rPr>
              <w:rFonts w:ascii="Times New Roman" w:hAnsi="Times New Roman" w:cs="Times New Roman"/>
              <w:sz w:val="20"/>
              <w:szCs w:val="20"/>
            </w:rPr>
            <w:fldChar w:fldCharType="separate"/>
          </w:r>
          <w:r w:rsidR="00724BCC" w:rsidRPr="00E97254">
            <w:rPr>
              <w:rFonts w:ascii="Times New Roman" w:hAnsi="Times New Roman" w:cs="Times New Roman"/>
              <w:sz w:val="20"/>
              <w:szCs w:val="20"/>
            </w:rPr>
            <w:t>[76]</w:t>
          </w:r>
          <w:r w:rsidR="00EC56B7" w:rsidRPr="00E97254">
            <w:rPr>
              <w:rFonts w:ascii="Times New Roman" w:hAnsi="Times New Roman" w:cs="Times New Roman"/>
              <w:sz w:val="20"/>
              <w:szCs w:val="20"/>
            </w:rPr>
            <w:fldChar w:fldCharType="end"/>
          </w:r>
        </w:sdtContent>
      </w:sdt>
      <w:r w:rsidR="005E153C" w:rsidRPr="00E97254">
        <w:rPr>
          <w:rFonts w:cstheme="minorHAnsi"/>
        </w:rPr>
        <w:t xml:space="preserve">. Në të vërtetë, Indeksi i Barazisë Gjinore për Shqipërinë është 7 pikë më poshtë se mesatarja e BE-28 (67.4), me përjashtim të fushës së qeverisjes, ku Shqipëria ka më shumë barazi gjinore sesa BE-28. Mangësitë më të mëdha në krahasim me BE-28 hasen në fushat e njohurive, parasë dhe kohës, kurse të ngjashme janë </w:t>
      </w:r>
      <w:r w:rsidR="00980054" w:rsidRPr="00E97254">
        <w:rPr>
          <w:rFonts w:cstheme="minorHAnsi"/>
        </w:rPr>
        <w:t xml:space="preserve">rezultatet </w:t>
      </w:r>
      <w:r w:rsidR="005E153C" w:rsidRPr="00E97254">
        <w:rPr>
          <w:rFonts w:cstheme="minorHAnsi"/>
        </w:rPr>
        <w:t>në fushën e punës dhe shëndetit.</w:t>
      </w:r>
    </w:p>
    <w:p w:rsidR="007D0EE4" w:rsidRPr="00E97254" w:rsidRDefault="00FA5606" w:rsidP="000B1598">
      <w:pPr>
        <w:spacing w:after="0"/>
        <w:jc w:val="both"/>
        <w:rPr>
          <w:rFonts w:cstheme="minorHAnsi"/>
        </w:rPr>
      </w:pPr>
      <w:r w:rsidRPr="00FA5606">
        <w:rPr>
          <w:rFonts w:cstheme="minorHAnsi"/>
        </w:rPr>
        <w:t>Në fushën e dijes, rezultati prej 55.6 tregon një hendek ende të madh gjinor në të dy këto nënfusha: arritjet dhe pjesëmarrja, dhe ndarja e punës. Përqindja e personave me arsim të lartë është më e lartë mes grave se sa burrave (18.2 për qind përkundrejt 14.5 për qind).Ndonëse ka më shumë gra të arsimuara sesa burra në Shqipëri, ato zënë një vend relativisht më të vogël krahasuar me nivelet e BE-së dhe objektivat kombëtar</w:t>
      </w:r>
      <w:r w:rsidR="00513AF3">
        <w:rPr>
          <w:rFonts w:cstheme="minorHAnsi"/>
        </w:rPr>
        <w:t>e</w:t>
      </w:r>
      <w:r w:rsidRPr="00FA5606">
        <w:rPr>
          <w:rFonts w:cstheme="minorHAnsi"/>
        </w:rPr>
        <w:t xml:space="preserve">. Ndarja sipas fushave të arsimit është ende e dukshme, ku studentet femra që ndjekin arsimin e lartë përqendrohen në fushat e arsimit, shëndetësisë dhe mirëqenies, shkencave humane dhe arteve, ndërsa studentët meshkuj që studiojnë në këto fusha janë të pakët </w:t>
      </w:r>
      <w:sdt>
        <w:sdtPr>
          <w:rPr>
            <w:rFonts w:ascii="Times New Roman" w:hAnsi="Times New Roman" w:cs="Times New Roman"/>
            <w:sz w:val="20"/>
            <w:szCs w:val="20"/>
          </w:rPr>
          <w:id w:val="764500851"/>
          <w:citation/>
        </w:sdtPr>
        <w:sdtEndPr/>
        <w:sdtContent>
          <w:r w:rsidR="00EC56B7" w:rsidRPr="00E97254">
            <w:rPr>
              <w:rFonts w:ascii="Times New Roman" w:hAnsi="Times New Roman" w:cs="Times New Roman"/>
              <w:sz w:val="20"/>
              <w:szCs w:val="20"/>
            </w:rPr>
            <w:fldChar w:fldCharType="begin"/>
          </w:r>
          <w:r w:rsidRPr="00FA5606">
            <w:rPr>
              <w:rFonts w:ascii="Times New Roman" w:hAnsi="Times New Roman" w:cs="Times New Roman"/>
              <w:sz w:val="20"/>
              <w:szCs w:val="20"/>
            </w:rPr>
            <w:instrText xml:space="preserve"> CITATION INS20 \l 1033 </w:instrText>
          </w:r>
          <w:r w:rsidR="00EC56B7" w:rsidRPr="00E97254">
            <w:rPr>
              <w:rFonts w:ascii="Times New Roman" w:hAnsi="Times New Roman" w:cs="Times New Roman"/>
              <w:sz w:val="20"/>
              <w:szCs w:val="20"/>
            </w:rPr>
            <w:fldChar w:fldCharType="separate"/>
          </w:r>
          <w:r w:rsidR="00724BCC" w:rsidRPr="00E97254">
            <w:rPr>
              <w:rFonts w:ascii="Times New Roman" w:hAnsi="Times New Roman" w:cs="Times New Roman"/>
              <w:sz w:val="20"/>
              <w:szCs w:val="20"/>
            </w:rPr>
            <w:t>[76]</w:t>
          </w:r>
          <w:r w:rsidR="00EC56B7" w:rsidRPr="00E97254">
            <w:rPr>
              <w:rFonts w:ascii="Times New Roman" w:hAnsi="Times New Roman" w:cs="Times New Roman"/>
              <w:sz w:val="20"/>
              <w:szCs w:val="20"/>
            </w:rPr>
            <w:fldChar w:fldCharType="end"/>
          </w:r>
        </w:sdtContent>
      </w:sdt>
      <w:r w:rsidR="00627AC7" w:rsidRPr="00E97254">
        <w:rPr>
          <w:rFonts w:cstheme="minorHAnsi"/>
        </w:rPr>
        <w:t>.</w:t>
      </w:r>
      <w:bookmarkStart w:id="107" w:name="_Ref55473276"/>
      <w:bookmarkStart w:id="108" w:name="_Toc66802064"/>
    </w:p>
    <w:p w:rsidR="00D8332D" w:rsidRPr="00E97254" w:rsidRDefault="00D8332D" w:rsidP="000C0250">
      <w:pPr>
        <w:spacing w:before="240" w:after="0"/>
        <w:jc w:val="both"/>
        <w:rPr>
          <w:rFonts w:ascii="Calibri" w:hAnsi="Calibri" w:cs="Calibri"/>
          <w:szCs w:val="32"/>
        </w:rPr>
      </w:pPr>
      <w:r w:rsidRPr="00E97254">
        <w:rPr>
          <w:rFonts w:ascii="Calibri" w:hAnsi="Calibri" w:cs="Calibri"/>
          <w:b/>
          <w:szCs w:val="32"/>
        </w:rPr>
        <w:t xml:space="preserve">Figura </w:t>
      </w:r>
      <w:r w:rsidR="00EC56B7" w:rsidRPr="00E97254">
        <w:rPr>
          <w:rFonts w:ascii="Calibri" w:hAnsi="Calibri" w:cs="Calibri"/>
          <w:b/>
          <w:szCs w:val="32"/>
        </w:rPr>
        <w:fldChar w:fldCharType="begin"/>
      </w:r>
      <w:r w:rsidR="00FA5606" w:rsidRPr="00FA5606">
        <w:rPr>
          <w:rFonts w:ascii="Calibri" w:hAnsi="Calibri" w:cs="Calibri"/>
          <w:b/>
          <w:szCs w:val="32"/>
        </w:rPr>
        <w:instrText xml:space="preserve"> SEQ Figura \* ARABIC </w:instrText>
      </w:r>
      <w:r w:rsidR="00EC56B7" w:rsidRPr="00E97254">
        <w:rPr>
          <w:rFonts w:ascii="Calibri" w:hAnsi="Calibri" w:cs="Calibri"/>
          <w:b/>
          <w:szCs w:val="32"/>
        </w:rPr>
        <w:fldChar w:fldCharType="separate"/>
      </w:r>
      <w:r w:rsidR="005A6200" w:rsidRPr="00E97254">
        <w:rPr>
          <w:rFonts w:ascii="Calibri" w:hAnsi="Calibri" w:cs="Calibri"/>
          <w:b/>
          <w:szCs w:val="32"/>
        </w:rPr>
        <w:t>11</w:t>
      </w:r>
      <w:r w:rsidR="00EC56B7" w:rsidRPr="00E97254">
        <w:rPr>
          <w:rFonts w:ascii="Calibri" w:hAnsi="Calibri" w:cs="Calibri"/>
          <w:b/>
          <w:szCs w:val="32"/>
        </w:rPr>
        <w:fldChar w:fldCharType="end"/>
      </w:r>
      <w:bookmarkEnd w:id="107"/>
      <w:r w:rsidRPr="00E97254">
        <w:rPr>
          <w:rFonts w:ascii="Calibri" w:hAnsi="Calibri" w:cs="Calibri"/>
          <w:b/>
          <w:szCs w:val="32"/>
        </w:rPr>
        <w:t>.</w:t>
      </w:r>
      <w:r w:rsidRPr="00E97254">
        <w:rPr>
          <w:rFonts w:ascii="Calibri" w:hAnsi="Calibri" w:cs="Calibri"/>
          <w:szCs w:val="32"/>
        </w:rPr>
        <w:t xml:space="preserve"> Pjesëmarrja në arsim sipas niveleve arsimore dhe seksit </w:t>
      </w:r>
      <w:sdt>
        <w:sdtPr>
          <w:rPr>
            <w:rFonts w:ascii="Calibri" w:hAnsi="Calibri" w:cs="Calibri"/>
            <w:szCs w:val="32"/>
          </w:rPr>
          <w:id w:val="1572474284"/>
          <w:citation/>
        </w:sdtPr>
        <w:sdtEndPr/>
        <w:sdtContent>
          <w:r w:rsidR="00EC56B7" w:rsidRPr="00E97254">
            <w:rPr>
              <w:rFonts w:ascii="Calibri" w:hAnsi="Calibri" w:cs="Calibri"/>
              <w:szCs w:val="32"/>
            </w:rPr>
            <w:fldChar w:fldCharType="begin"/>
          </w:r>
          <w:r w:rsidR="00FA5606" w:rsidRPr="00FA5606">
            <w:rPr>
              <w:rFonts w:ascii="Calibri" w:hAnsi="Calibri" w:cs="Calibri"/>
              <w:szCs w:val="32"/>
            </w:rPr>
            <w:instrText xml:space="preserve"> CITATION INS203 \l 1033 </w:instrText>
          </w:r>
          <w:r w:rsidR="00EC56B7" w:rsidRPr="00E97254">
            <w:rPr>
              <w:rFonts w:ascii="Calibri" w:hAnsi="Calibri" w:cs="Calibri"/>
              <w:szCs w:val="32"/>
            </w:rPr>
            <w:fldChar w:fldCharType="separate"/>
          </w:r>
          <w:r w:rsidR="00724BCC" w:rsidRPr="00E97254">
            <w:rPr>
              <w:rFonts w:ascii="Calibri" w:hAnsi="Calibri" w:cs="Calibri"/>
              <w:szCs w:val="32"/>
            </w:rPr>
            <w:t>[66]</w:t>
          </w:r>
          <w:r w:rsidR="00EC56B7" w:rsidRPr="00E97254">
            <w:rPr>
              <w:rFonts w:ascii="Calibri" w:hAnsi="Calibri" w:cs="Calibri"/>
              <w:szCs w:val="32"/>
            </w:rPr>
            <w:fldChar w:fldCharType="end"/>
          </w:r>
        </w:sdtContent>
      </w:sdt>
      <w:bookmarkEnd w:id="108"/>
    </w:p>
    <w:p w:rsidR="00D8332D" w:rsidRPr="00E97254" w:rsidRDefault="00B91568" w:rsidP="000C0250">
      <w:pPr>
        <w:autoSpaceDE w:val="0"/>
        <w:autoSpaceDN w:val="0"/>
        <w:adjustRightInd w:val="0"/>
        <w:spacing w:before="120" w:after="0"/>
        <w:jc w:val="both"/>
        <w:rPr>
          <w:rFonts w:cs="Calibri"/>
        </w:rPr>
      </w:pPr>
      <w:r w:rsidRPr="00E97254">
        <w:rPr>
          <w:noProof/>
          <w:lang w:val="en-US"/>
        </w:rPr>
        <w:lastRenderedPageBreak/>
        <w:drawing>
          <wp:inline distT="0" distB="0" distL="0" distR="0">
            <wp:extent cx="5721985" cy="2673684"/>
            <wp:effectExtent l="0" t="0" r="18415" b="6350"/>
            <wp:docPr id="480" name="Chart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7D0EE4" w:rsidRPr="00E97254" w:rsidRDefault="007D0EE4" w:rsidP="000C0250">
      <w:pPr>
        <w:spacing w:before="120" w:after="0"/>
        <w:jc w:val="both"/>
        <w:rPr>
          <w:rFonts w:ascii="Calibri" w:hAnsi="Calibri" w:cs="Calibri"/>
        </w:rPr>
      </w:pPr>
    </w:p>
    <w:p w:rsidR="001B0AD5" w:rsidRPr="00E97254" w:rsidRDefault="001B0AD5" w:rsidP="000C0250">
      <w:pPr>
        <w:spacing w:before="120" w:after="0"/>
        <w:jc w:val="both"/>
        <w:rPr>
          <w:rFonts w:cstheme="minorHAnsi"/>
        </w:rPr>
      </w:pPr>
      <w:r w:rsidRPr="00E97254">
        <w:rPr>
          <w:rFonts w:ascii="Calibri" w:hAnsi="Calibri" w:cs="Calibri"/>
        </w:rPr>
        <w:t xml:space="preserve">Duke analizuar </w:t>
      </w:r>
      <w:r w:rsidR="00FA5606" w:rsidRPr="00FA5606">
        <w:rPr>
          <w:rFonts w:ascii="Calibri" w:hAnsi="Calibri" w:cs="Calibri"/>
        </w:rPr>
        <w:t xml:space="preserve">regjistrimin bruto në arsim sipas nivelit (GER), gjatë vitit akademik 2018/19., nga </w:t>
      </w:r>
      <w:r w:rsidR="008D102D">
        <w:fldChar w:fldCharType="begin"/>
      </w:r>
      <w:r w:rsidR="008D102D">
        <w:instrText xml:space="preserve"> REF _Ref55473276 \h  \* MERGEFORMAT </w:instrText>
      </w:r>
      <w:r w:rsidR="008D102D">
        <w:fldChar w:fldCharType="separate"/>
      </w:r>
      <w:r w:rsidR="005A6200" w:rsidRPr="00E97254">
        <w:rPr>
          <w:rFonts w:ascii="Calibri" w:hAnsi="Calibri" w:cs="Calibri"/>
          <w:szCs w:val="32"/>
        </w:rPr>
        <w:t>Figura 11</w:t>
      </w:r>
      <w:r w:rsidR="008D102D">
        <w:fldChar w:fldCharType="end"/>
      </w:r>
      <w:r w:rsidRPr="00E97254">
        <w:rPr>
          <w:rFonts w:ascii="Calibri" w:hAnsi="Calibri" w:cs="Calibri"/>
        </w:rPr>
        <w:t xml:space="preserve"> vihet re se rreth 80.3 % e fëmijëve djem dhe 76.3 % e vajzave shkojnë në kopsht. Niveli i pjesëmarrjes bruto në arsimin e detyrueshëm është 102.6 % për djemtë dhe 97.2 % për vajzat. Edhe pjesëmarrja në arsimin e mesëm është më e lartë për djemtë se për vajzat, përkatësisht 99.3 % dhe 91.7 %, ndërsa në nivelin universitar raporti përmbyset, ku pjesëmarrja është më e lartë për vajzat, me 71.8 % sesa për djemtë, me 48.7 %. Pjesëmarrja sipas gjinisë në ciklet arsimore tregon për ekzistencën e diferencave gjinore në nivelet e ndryshme të arsimit. Ka një raport më të lartë të djemve krahasuar me vajzat në arsimin parauniversitar ndërkohë që në arsimin e lartë 59.7 % e studentëve të këtij cikli janë vajza. Kjo reflektohet dhe në indeksin e barazisë gjinore (mbi GER</w:t>
      </w:r>
      <w:r w:rsidR="006E7153">
        <w:rPr>
          <w:rFonts w:ascii="Calibri" w:hAnsi="Calibri" w:cs="Calibri"/>
        </w:rPr>
        <w:t>-in</w:t>
      </w:r>
      <w:r w:rsidRPr="00E97254">
        <w:rPr>
          <w:rFonts w:ascii="Calibri" w:hAnsi="Calibri" w:cs="Calibri"/>
        </w:rPr>
        <w:t xml:space="preserve">) që për arsimin e lartë ka vlerën 1,48 </w:t>
      </w:r>
      <w:sdt>
        <w:sdtPr>
          <w:rPr>
            <w:rFonts w:ascii="Calibri" w:hAnsi="Calibri" w:cs="Calibri"/>
            <w:szCs w:val="32"/>
          </w:rPr>
          <w:id w:val="-126172316"/>
          <w:citation/>
        </w:sdtPr>
        <w:sdtEndPr/>
        <w:sdtContent>
          <w:r w:rsidR="00EC56B7" w:rsidRPr="00E97254">
            <w:rPr>
              <w:rFonts w:ascii="Calibri" w:hAnsi="Calibri" w:cs="Calibri"/>
              <w:szCs w:val="32"/>
            </w:rPr>
            <w:fldChar w:fldCharType="begin"/>
          </w:r>
          <w:r w:rsidR="00FA5606" w:rsidRPr="00FA5606">
            <w:rPr>
              <w:rFonts w:ascii="Calibri" w:hAnsi="Calibri" w:cs="Calibri"/>
              <w:szCs w:val="32"/>
            </w:rPr>
            <w:instrText xml:space="preserve"> CITATION INS203 \l 1033 </w:instrText>
          </w:r>
          <w:r w:rsidR="00EC56B7" w:rsidRPr="00E97254">
            <w:rPr>
              <w:rFonts w:ascii="Calibri" w:hAnsi="Calibri" w:cs="Calibri"/>
              <w:szCs w:val="32"/>
            </w:rPr>
            <w:fldChar w:fldCharType="separate"/>
          </w:r>
          <w:r w:rsidR="00724BCC" w:rsidRPr="00E97254">
            <w:rPr>
              <w:rFonts w:ascii="Calibri" w:hAnsi="Calibri" w:cs="Calibri"/>
              <w:szCs w:val="32"/>
            </w:rPr>
            <w:t>[66]</w:t>
          </w:r>
          <w:r w:rsidR="00EC56B7" w:rsidRPr="00E97254">
            <w:rPr>
              <w:rFonts w:ascii="Calibri" w:hAnsi="Calibri" w:cs="Calibri"/>
              <w:szCs w:val="32"/>
            </w:rPr>
            <w:fldChar w:fldCharType="end"/>
          </w:r>
        </w:sdtContent>
      </w:sdt>
      <w:r w:rsidRPr="00E97254">
        <w:rPr>
          <w:rFonts w:ascii="Calibri" w:hAnsi="Calibri" w:cs="Calibri"/>
        </w:rPr>
        <w:t xml:space="preserve">. </w:t>
      </w:r>
      <w:r w:rsidRPr="00E97254">
        <w:rPr>
          <w:rFonts w:cstheme="minorHAnsi"/>
        </w:rPr>
        <w:t>Në vendet e OECD</w:t>
      </w:r>
      <w:r w:rsidR="006E7153">
        <w:rPr>
          <w:rFonts w:cstheme="minorHAnsi"/>
        </w:rPr>
        <w:t>-s</w:t>
      </w:r>
      <w:r w:rsidR="006E7153" w:rsidRPr="004E1F53">
        <w:rPr>
          <w:rFonts w:ascii="Calibri" w:hAnsi="Calibri" w:cs="Calibri"/>
        </w:rPr>
        <w:t>ë</w:t>
      </w:r>
      <w:r w:rsidR="006E7153">
        <w:rPr>
          <w:rFonts w:ascii="Calibri" w:hAnsi="Calibri" w:cs="Calibri"/>
        </w:rPr>
        <w:t>,</w:t>
      </w:r>
      <w:r w:rsidRPr="00E97254">
        <w:rPr>
          <w:rFonts w:cstheme="minorHAnsi"/>
        </w:rPr>
        <w:t xml:space="preserve"> mesatarisht, këto boshllëqe janë pak më të vogla, me barazi (98%) në grupmoshën e arsimit të detyrueshëm dhe një ndryshim prej 3 për qind (84% përkundrejt 81%) në favor të femrave në arsimin e mesëm të lartë. </w:t>
      </w:r>
    </w:p>
    <w:p w:rsidR="005113EC" w:rsidRPr="00E97254" w:rsidRDefault="00FA5606" w:rsidP="000C0250">
      <w:pPr>
        <w:spacing w:after="0"/>
        <w:jc w:val="both"/>
        <w:rPr>
          <w:rFonts w:cstheme="minorHAnsi"/>
        </w:rPr>
      </w:pPr>
      <w:r w:rsidRPr="00FA5606">
        <w:rPr>
          <w:rFonts w:ascii="Calibri" w:hAnsi="Calibri" w:cs="Calibri"/>
        </w:rPr>
        <w:t>Megjithëse hendeku i barazisë gjinore është ulur, çështje që kanë të bëjnë me edukimin gjinor në shkolla kanë qenë dhe duhet të jenë në vëmendje të MASR</w:t>
      </w:r>
      <w:r w:rsidR="006E7153">
        <w:rPr>
          <w:rFonts w:ascii="Calibri" w:hAnsi="Calibri" w:cs="Calibri"/>
        </w:rPr>
        <w:t>-s</w:t>
      </w:r>
      <w:r w:rsidR="006E7153" w:rsidRPr="004E1F53">
        <w:rPr>
          <w:rFonts w:ascii="Calibri" w:hAnsi="Calibri" w:cs="Calibri"/>
        </w:rPr>
        <w:t>ë</w:t>
      </w:r>
      <w:r w:rsidRPr="00FA5606">
        <w:rPr>
          <w:rFonts w:ascii="Calibri" w:hAnsi="Calibri" w:cs="Calibri"/>
        </w:rPr>
        <w:t>. Edukimi gjinor është parë si një mënyrë për t’i dhënë brezit të ri aftësi për të kuptuar barazinë gjinore, stereotipat gjinorë dhe për mos ushtrimin e dhunës të çdo lloj forme ndaj vajzave. Sipas studimit të UNICEF</w:t>
      </w:r>
      <w:r w:rsidR="006E7153">
        <w:rPr>
          <w:rFonts w:ascii="Calibri" w:hAnsi="Calibri" w:cs="Calibri"/>
        </w:rPr>
        <w:t>-it</w:t>
      </w:r>
      <w:r w:rsidR="005113EC" w:rsidRPr="00E97254">
        <w:rPr>
          <w:rStyle w:val="FootnoteReference"/>
          <w:rFonts w:cs="Calibri"/>
        </w:rPr>
        <w:footnoteReference w:id="10"/>
      </w:r>
      <w:r w:rsidR="005113EC" w:rsidRPr="00E97254">
        <w:rPr>
          <w:rFonts w:ascii="Calibri" w:hAnsi="Calibri" w:cs="Calibri"/>
        </w:rPr>
        <w:t xml:space="preserve"> raportohet që martesa</w:t>
      </w:r>
      <w:r w:rsidR="00627AC7" w:rsidRPr="00E97254">
        <w:rPr>
          <w:rFonts w:ascii="Calibri" w:hAnsi="Calibri" w:cs="Calibri"/>
        </w:rPr>
        <w:t>t</w:t>
      </w:r>
      <w:r w:rsidR="005113EC" w:rsidRPr="00E97254">
        <w:rPr>
          <w:rFonts w:ascii="Calibri" w:hAnsi="Calibri" w:cs="Calibri"/>
        </w:rPr>
        <w:t xml:space="preserve"> e f</w:t>
      </w:r>
      <w:r w:rsidRPr="00FA5606">
        <w:rPr>
          <w:rFonts w:ascii="Calibri" w:hAnsi="Calibri" w:cs="Calibri"/>
        </w:rPr>
        <w:t>ëmijëve nën 18 vjeç në komunitetin rom vazhdojnë, për shkak të një kombinimi kompleks të pritshmërive të forta shoqërore, besimit në rëndësinë e martesës së fëmijëve si zakon ose traditë dhe për të siguruar 'nder</w:t>
      </w:r>
      <w:r w:rsidR="006E7153">
        <w:rPr>
          <w:rFonts w:ascii="Calibri" w:hAnsi="Calibri" w:cs="Calibri"/>
        </w:rPr>
        <w:t>in</w:t>
      </w:r>
      <w:r w:rsidRPr="00FA5606">
        <w:rPr>
          <w:rFonts w:ascii="Calibri" w:hAnsi="Calibri" w:cs="Calibri"/>
        </w:rPr>
        <w:t>' dhe të jetuarit në varfëri. Martesat në moshë të hershme përbëjnë një faktor risku për braktis</w:t>
      </w:r>
      <w:r w:rsidR="006E7153">
        <w:rPr>
          <w:rFonts w:ascii="Calibri" w:hAnsi="Calibri" w:cs="Calibri"/>
        </w:rPr>
        <w:t xml:space="preserve">jen e </w:t>
      </w:r>
      <w:r w:rsidRPr="00FA5606">
        <w:rPr>
          <w:rFonts w:ascii="Calibri" w:hAnsi="Calibri" w:cs="Calibri"/>
        </w:rPr>
        <w:t>shkollë</w:t>
      </w:r>
      <w:r w:rsidR="006E7153">
        <w:rPr>
          <w:rFonts w:ascii="Calibri" w:hAnsi="Calibri" w:cs="Calibri"/>
        </w:rPr>
        <w:t>s</w:t>
      </w:r>
      <w:r w:rsidR="006E7153" w:rsidRPr="006E7153">
        <w:rPr>
          <w:rFonts w:ascii="Calibri" w:hAnsi="Calibri" w:cs="Calibri"/>
        </w:rPr>
        <w:t xml:space="preserve"> </w:t>
      </w:r>
      <w:r w:rsidR="006E7153">
        <w:rPr>
          <w:rFonts w:ascii="Calibri" w:hAnsi="Calibri" w:cs="Calibri"/>
        </w:rPr>
        <w:t>nga</w:t>
      </w:r>
      <w:r w:rsidR="006E7153" w:rsidRPr="004E1F53">
        <w:rPr>
          <w:rFonts w:ascii="Calibri" w:hAnsi="Calibri" w:cs="Calibri"/>
        </w:rPr>
        <w:t xml:space="preserve"> vajzat</w:t>
      </w:r>
      <w:r w:rsidRPr="00FA5606">
        <w:rPr>
          <w:rFonts w:ascii="Calibri" w:hAnsi="Calibri" w:cs="Calibri"/>
        </w:rPr>
        <w:t>.</w:t>
      </w:r>
    </w:p>
    <w:p w:rsidR="005E153C" w:rsidRPr="00E97254" w:rsidRDefault="00FA5606" w:rsidP="000C0250">
      <w:pPr>
        <w:spacing w:before="120" w:after="0"/>
        <w:jc w:val="both"/>
        <w:rPr>
          <w:rFonts w:cstheme="minorHAnsi"/>
        </w:rPr>
      </w:pPr>
      <w:r w:rsidRPr="00FA5606">
        <w:rPr>
          <w:rFonts w:cstheme="minorHAnsi"/>
        </w:rPr>
        <w:lastRenderedPageBreak/>
        <w:t>Femrat në Shqipëri gjithashtu kanë më shumë të ngjarë të diplomohen në nivele të ndryshme arsimore dhe të kryejnë më shumë shkollim sesa meshkujt. Hendeku në raportin e diplomës bruto midis femrave dhe meshkujve është më i madh në nivele më të larta arsimi dhe femrat pritet të përfundojnë rreth 1.3 vjet arsim shtesë krahasuar me meshkujt (15.5 vjet përkundrejt 14.2 vjet)</w:t>
      </w:r>
      <w:r w:rsidR="005E153C" w:rsidRPr="00E97254">
        <w:rPr>
          <w:rStyle w:val="FootnoteReference"/>
          <w:rFonts w:asciiTheme="minorHAnsi" w:hAnsiTheme="minorHAnsi" w:cstheme="minorHAnsi"/>
        </w:rPr>
        <w:footnoteReference w:id="11"/>
      </w:r>
      <w:r w:rsidR="005E153C" w:rsidRPr="00E97254">
        <w:rPr>
          <w:rFonts w:cstheme="minorHAnsi"/>
        </w:rPr>
        <w:t>.</w:t>
      </w:r>
      <w:r w:rsidR="002B257B" w:rsidRPr="00E97254">
        <w:rPr>
          <w:rFonts w:cstheme="minorHAnsi"/>
        </w:rPr>
        <w:t xml:space="preserve"> </w:t>
      </w:r>
      <w:r w:rsidR="005E153C" w:rsidRPr="00E97254">
        <w:rPr>
          <w:rFonts w:cstheme="minorHAnsi"/>
        </w:rPr>
        <w:t>Kjo diferencë është më e lartë se mesatarja në vendet e O</w:t>
      </w:r>
      <w:r w:rsidRPr="00FA5606">
        <w:rPr>
          <w:rFonts w:cstheme="minorHAnsi"/>
        </w:rPr>
        <w:t>ECD</w:t>
      </w:r>
      <w:r w:rsidR="006E7153">
        <w:rPr>
          <w:rFonts w:cstheme="minorHAnsi"/>
        </w:rPr>
        <w:t>-s</w:t>
      </w:r>
      <w:r w:rsidR="006E7153" w:rsidRPr="004E1F53">
        <w:rPr>
          <w:rFonts w:ascii="Calibri" w:hAnsi="Calibri" w:cs="Calibri"/>
        </w:rPr>
        <w:t>ë</w:t>
      </w:r>
      <w:r w:rsidRPr="00FA5606">
        <w:rPr>
          <w:rFonts w:cstheme="minorHAnsi"/>
        </w:rPr>
        <w:t xml:space="preserve"> (17.6 për femrat përkundrejt 16.8 për meshkujt).</w:t>
      </w:r>
    </w:p>
    <w:p w:rsidR="005E153C" w:rsidRPr="00E97254" w:rsidRDefault="00FA5606" w:rsidP="000C0250">
      <w:pPr>
        <w:spacing w:after="0"/>
        <w:jc w:val="both"/>
        <w:rPr>
          <w:rFonts w:cstheme="minorHAnsi"/>
        </w:rPr>
      </w:pPr>
      <w:r w:rsidRPr="00FA5606">
        <w:rPr>
          <w:rFonts w:cstheme="minorHAnsi"/>
        </w:rPr>
        <w:t xml:space="preserve">Të dhënat nga PISA 2018 tregojnë performancë dukshëm më të lartë për femrat sesa për meshkujt në fushat e leximit dhe shkencës. Në matematikë, ndryshimi në performancën midis femrave dhe meshkujve nuk është i rëndësishëm në Shqipëri, ndërsa mesatarisht në vendet e OECD femrat performojnë më pak se meshkujt. Për më tepër, </w:t>
      </w:r>
      <w:r w:rsidR="006E7153">
        <w:rPr>
          <w:rFonts w:cstheme="minorHAnsi"/>
        </w:rPr>
        <w:t>ka m</w:t>
      </w:r>
      <w:r w:rsidR="006E7153" w:rsidRPr="004E1F53">
        <w:rPr>
          <w:rFonts w:ascii="Calibri" w:hAnsi="Calibri" w:cs="Calibri"/>
        </w:rPr>
        <w:t>ë</w:t>
      </w:r>
      <w:r w:rsidR="006E7153">
        <w:rPr>
          <w:rFonts w:ascii="Calibri" w:hAnsi="Calibri" w:cs="Calibri"/>
        </w:rPr>
        <w:t xml:space="preserve"> shum</w:t>
      </w:r>
      <w:r w:rsidR="006E7153" w:rsidRPr="004E1F53">
        <w:rPr>
          <w:rFonts w:ascii="Calibri" w:hAnsi="Calibri" w:cs="Calibri"/>
        </w:rPr>
        <w:t>ë</w:t>
      </w:r>
      <w:r w:rsidR="006E7153">
        <w:rPr>
          <w:rFonts w:ascii="Calibri" w:hAnsi="Calibri" w:cs="Calibri"/>
        </w:rPr>
        <w:t xml:space="preserve"> meshkuj </w:t>
      </w:r>
      <w:r w:rsidR="006E7153">
        <w:rPr>
          <w:rFonts w:cstheme="minorHAnsi"/>
        </w:rPr>
        <w:t>se</w:t>
      </w:r>
      <w:r w:rsidRPr="00FA5606">
        <w:rPr>
          <w:rFonts w:cstheme="minorHAnsi"/>
        </w:rPr>
        <w:t xml:space="preserve"> femra </w:t>
      </w:r>
      <w:r w:rsidR="006E7153">
        <w:rPr>
          <w:rFonts w:cstheme="minorHAnsi"/>
        </w:rPr>
        <w:t>që</w:t>
      </w:r>
      <w:r w:rsidR="006E7153">
        <w:rPr>
          <w:rFonts w:ascii="Calibri" w:hAnsi="Calibri" w:cs="Calibri"/>
        </w:rPr>
        <w:t xml:space="preserve"> </w:t>
      </w:r>
      <w:r w:rsidRPr="00FA5606">
        <w:rPr>
          <w:rFonts w:cstheme="minorHAnsi"/>
        </w:rPr>
        <w:t>nuk kanë aftësi themelore të shkencës dhe të leximit (d.m.th. përqindja e femrave që janë arritëse të ulëta është më e vogël se ajo e meshkujve). Ky hendek në përqindje në favor të femrave është më i madh në Shqipëri (10.7 në shkencë dhe 20.1 në lexim) sesa mesatarisht në vendet e OECD</w:t>
      </w:r>
      <w:r w:rsidR="006E7153">
        <w:rPr>
          <w:rFonts w:cstheme="minorHAnsi"/>
        </w:rPr>
        <w:t>-s</w:t>
      </w:r>
      <w:r w:rsidR="006E7153" w:rsidRPr="004E1F53">
        <w:rPr>
          <w:rFonts w:ascii="Calibri" w:hAnsi="Calibri" w:cs="Calibri"/>
        </w:rPr>
        <w:t>ë</w:t>
      </w:r>
      <w:r w:rsidRPr="00FA5606">
        <w:rPr>
          <w:rFonts w:cstheme="minorHAnsi"/>
        </w:rPr>
        <w:t xml:space="preserve"> (2.4 në shkencë dhe 10.2 në lexim) </w:t>
      </w:r>
      <w:sdt>
        <w:sdtPr>
          <w:rPr>
            <w:rFonts w:cstheme="minorHAnsi"/>
          </w:rPr>
          <w:id w:val="1607769438"/>
          <w:citation/>
        </w:sdtPr>
        <w:sdtEndPr/>
        <w:sdtContent>
          <w:r w:rsidR="00EC56B7" w:rsidRPr="00E97254">
            <w:rPr>
              <w:rFonts w:cstheme="minorHAnsi"/>
            </w:rPr>
            <w:fldChar w:fldCharType="begin"/>
          </w:r>
          <w:r w:rsidRPr="00FA5606">
            <w:rPr>
              <w:rFonts w:cstheme="minorHAnsi"/>
            </w:rPr>
            <w:instrText xml:space="preserve"> CITATION OEC \l 1033 </w:instrText>
          </w:r>
          <w:r w:rsidR="00EC56B7" w:rsidRPr="00E97254">
            <w:rPr>
              <w:rFonts w:cstheme="minorHAnsi"/>
            </w:rPr>
            <w:fldChar w:fldCharType="separate"/>
          </w:r>
          <w:r w:rsidR="00724BCC" w:rsidRPr="00E97254">
            <w:rPr>
              <w:rFonts w:cstheme="minorHAnsi"/>
            </w:rPr>
            <w:t>[63]</w:t>
          </w:r>
          <w:r w:rsidR="00EC56B7" w:rsidRPr="00E97254">
            <w:rPr>
              <w:rFonts w:cstheme="minorHAnsi"/>
            </w:rPr>
            <w:fldChar w:fldCharType="end"/>
          </w:r>
        </w:sdtContent>
      </w:sdt>
      <w:r w:rsidR="005E153C" w:rsidRPr="00E97254">
        <w:rPr>
          <w:rFonts w:cstheme="minorHAnsi"/>
        </w:rPr>
        <w:t>.</w:t>
      </w:r>
    </w:p>
    <w:p w:rsidR="001B0AD5" w:rsidRPr="00E97254" w:rsidRDefault="001B0AD5" w:rsidP="000C0250">
      <w:pPr>
        <w:pStyle w:val="Heading2"/>
        <w:jc w:val="both"/>
      </w:pPr>
    </w:p>
    <w:p w:rsidR="00C44536" w:rsidRPr="00E97254" w:rsidRDefault="001B1677" w:rsidP="000C0250">
      <w:pPr>
        <w:pStyle w:val="Heading2"/>
        <w:jc w:val="both"/>
      </w:pPr>
      <w:bookmarkStart w:id="109" w:name="_Toc66802006"/>
      <w:r w:rsidRPr="00E97254">
        <w:t>4</w:t>
      </w:r>
      <w:r w:rsidR="00C44536" w:rsidRPr="00E97254">
        <w:t>.</w:t>
      </w:r>
      <w:r w:rsidR="00FA5606" w:rsidRPr="00FA5606">
        <w:t>6. Financimi i arsimit</w:t>
      </w:r>
      <w:bookmarkEnd w:id="106"/>
      <w:bookmarkEnd w:id="109"/>
    </w:p>
    <w:p w:rsidR="004F21C0" w:rsidRPr="00E97254" w:rsidRDefault="00FA5606" w:rsidP="000C0250">
      <w:pPr>
        <w:autoSpaceDE w:val="0"/>
        <w:autoSpaceDN w:val="0"/>
        <w:adjustRightInd w:val="0"/>
        <w:spacing w:before="120" w:after="0"/>
        <w:jc w:val="both"/>
        <w:rPr>
          <w:rFonts w:ascii="Calibri" w:hAnsi="Calibri" w:cs="Calibri"/>
          <w:color w:val="000000"/>
        </w:rPr>
      </w:pPr>
      <w:r w:rsidRPr="00FA5606">
        <w:rPr>
          <w:rFonts w:ascii="Calibri" w:hAnsi="Calibri" w:cs="Calibri"/>
          <w:color w:val="000000"/>
        </w:rPr>
        <w:t xml:space="preserve">Në përgjithësi, nivelet e ulëta të shpenzimeve për arsimin ngrenë problematika lidhur me nivelet e aksesit, gjithëpërfshirjes dhe efikasitetit të arsimit. Në vitin 2017, shpenzimet totale për arsimin arritën në 4 % (3. 1% shpenzime publike dhe 0.9% private) të PBB-së, përqindje që është shumë poshtë mesatares së OECD-së prej 6.3%. Shpenzimet për arsimin janë ulur nga 11.3 % e shpenzimeve buxhetore totale në vitin 2010, në 10.9 % në vitin 2018. </w:t>
      </w:r>
      <w:sdt>
        <w:sdtPr>
          <w:rPr>
            <w:rFonts w:ascii="Calibri" w:hAnsi="Calibri" w:cs="Calibri"/>
            <w:color w:val="000000"/>
          </w:rPr>
          <w:id w:val="-401668659"/>
          <w:citation/>
        </w:sdtPr>
        <w:sdtEndPr/>
        <w:sdtContent>
          <w:r w:rsidR="00EC56B7" w:rsidRPr="00E97254">
            <w:rPr>
              <w:rFonts w:ascii="Calibri" w:hAnsi="Calibri" w:cs="Calibri"/>
              <w:color w:val="000000"/>
            </w:rPr>
            <w:fldChar w:fldCharType="begin"/>
          </w:r>
          <w:r w:rsidRPr="00FA5606">
            <w:rPr>
              <w:rFonts w:ascii="Calibri" w:hAnsi="Calibri" w:cs="Calibri"/>
              <w:color w:val="000000"/>
            </w:rPr>
            <w:instrText xml:space="preserve"> CITATION Wor19 \l 1033 </w:instrText>
          </w:r>
          <w:r w:rsidR="00EC56B7" w:rsidRPr="00E97254">
            <w:rPr>
              <w:rFonts w:ascii="Calibri" w:hAnsi="Calibri" w:cs="Calibri"/>
              <w:color w:val="000000"/>
            </w:rPr>
            <w:fldChar w:fldCharType="separate"/>
          </w:r>
          <w:r w:rsidR="00724BCC" w:rsidRPr="00E97254">
            <w:rPr>
              <w:rFonts w:ascii="Calibri" w:hAnsi="Calibri" w:cs="Calibri"/>
              <w:color w:val="000000"/>
            </w:rPr>
            <w:t>[37]</w:t>
          </w:r>
          <w:r w:rsidR="00EC56B7" w:rsidRPr="00E97254">
            <w:rPr>
              <w:rFonts w:ascii="Calibri" w:hAnsi="Calibri" w:cs="Calibri"/>
              <w:color w:val="000000"/>
            </w:rPr>
            <w:fldChar w:fldCharType="end"/>
          </w:r>
        </w:sdtContent>
      </w:sdt>
      <w:sdt>
        <w:sdtPr>
          <w:rPr>
            <w:rFonts w:ascii="Calibri" w:hAnsi="Calibri" w:cs="Calibri"/>
            <w:color w:val="000000"/>
          </w:rPr>
          <w:id w:val="1932848445"/>
          <w:citation/>
        </w:sdtPr>
        <w:sdtEndPr/>
        <w:sdtContent/>
      </w:sdt>
      <w:sdt>
        <w:sdtPr>
          <w:rPr>
            <w:rFonts w:ascii="Calibri" w:hAnsi="Calibri" w:cs="Calibri"/>
            <w:color w:val="000000"/>
          </w:rPr>
          <w:id w:val="-5377971"/>
          <w:citation/>
        </w:sdtPr>
        <w:sdtEndPr/>
        <w:sdtContent>
          <w:r w:rsidR="00EC56B7" w:rsidRPr="00FA5606">
            <w:rPr>
              <w:rFonts w:ascii="Calibri" w:hAnsi="Calibri" w:cs="Calibri"/>
              <w:color w:val="000000"/>
            </w:rPr>
            <w:fldChar w:fldCharType="begin"/>
          </w:r>
          <w:r w:rsidRPr="00FA5606">
            <w:rPr>
              <w:rFonts w:ascii="Calibri" w:hAnsi="Calibri" w:cs="Calibri"/>
              <w:color w:val="000000"/>
            </w:rPr>
            <w:instrText xml:space="preserve"> CITATION INS192 \l 1033 </w:instrText>
          </w:r>
          <w:r w:rsidR="00EC56B7" w:rsidRPr="00FA5606">
            <w:rPr>
              <w:rFonts w:ascii="Calibri" w:hAnsi="Calibri" w:cs="Calibri"/>
              <w:color w:val="000000"/>
            </w:rPr>
            <w:fldChar w:fldCharType="separate"/>
          </w:r>
          <w:r w:rsidRPr="00FA5606">
            <w:rPr>
              <w:rFonts w:ascii="Calibri" w:hAnsi="Calibri" w:cs="Calibri"/>
              <w:color w:val="000000"/>
            </w:rPr>
            <w:t xml:space="preserve"> [33]</w:t>
          </w:r>
          <w:r w:rsidR="00EC56B7" w:rsidRPr="00FA5606">
            <w:rPr>
              <w:rFonts w:ascii="Calibri" w:hAnsi="Calibri" w:cs="Calibri"/>
              <w:color w:val="000000"/>
            </w:rPr>
            <w:fldChar w:fldCharType="end"/>
          </w:r>
        </w:sdtContent>
      </w:sdt>
    </w:p>
    <w:p w:rsidR="004F21C0" w:rsidRPr="00E97254" w:rsidRDefault="00FD731E" w:rsidP="000C0250">
      <w:pPr>
        <w:spacing w:after="0"/>
        <w:jc w:val="both"/>
        <w:rPr>
          <w:rFonts w:ascii="Calibri" w:hAnsi="Calibri" w:cs="Calibri"/>
          <w:color w:val="000000"/>
        </w:rPr>
      </w:pPr>
      <w:r w:rsidRPr="00E97254">
        <w:rPr>
          <w:rFonts w:ascii="Calibri" w:hAnsi="Calibri" w:cs="Calibri"/>
          <w:color w:val="000000"/>
        </w:rPr>
        <w:t>Shpenzimet publike për arsimin p</w:t>
      </w:r>
      <w:r w:rsidR="004F21C0" w:rsidRPr="00E97254">
        <w:rPr>
          <w:rFonts w:ascii="Calibri" w:hAnsi="Calibri" w:cs="Calibri"/>
          <w:color w:val="000000"/>
        </w:rPr>
        <w:t>arauniversitar</w:t>
      </w:r>
      <w:r w:rsidR="00FA5606" w:rsidRPr="00FA5606">
        <w:rPr>
          <w:rFonts w:ascii="Calibri" w:hAnsi="Calibri" w:cs="Calibri"/>
          <w:color w:val="000000"/>
        </w:rPr>
        <w:t xml:space="preserve">, duke përfshirë Arsimin dhe Formimin Profesional (AFP) dhe arsimin parashkollor, në vitin 2018 ishin 39.2 miliardë Lekë ose 2.38% e PBB-së me diferencat e parashikuara për tre vitet pasardhëse (2019 – 2.40%, 2020 – 2.44%, 2021 – 2.34%, 2021 – 2.30%). Ndërkaq, shpenzimet për nxënës në vitin 2018 ishin 85,865 Lekë (~ $780) duke arritur në 18.9% të PBB-së për frymë, përqindje që përkon me nivelin e Bullgarisë – 19% (2012), më e ulët se në Itali – 20.6% (2012), Serbi – 50.9% (2010), Slloveni – 30% (2011), dhe më e lartë se në Rumani – 11.6% (2012). </w:t>
      </w:r>
      <w:sdt>
        <w:sdtPr>
          <w:rPr>
            <w:rFonts w:ascii="Calibri" w:hAnsi="Calibri" w:cs="Calibri"/>
            <w:color w:val="000000"/>
          </w:rPr>
          <w:id w:val="-906301598"/>
          <w:citation/>
        </w:sdtPr>
        <w:sdtEndPr/>
        <w:sdtContent>
          <w:r w:rsidR="00EC56B7" w:rsidRPr="00E97254">
            <w:rPr>
              <w:rFonts w:ascii="Calibri" w:hAnsi="Calibri" w:cs="Calibri"/>
              <w:color w:val="000000"/>
            </w:rPr>
            <w:fldChar w:fldCharType="begin"/>
          </w:r>
          <w:r w:rsidR="00FA5606" w:rsidRPr="00FA5606">
            <w:rPr>
              <w:rFonts w:ascii="Calibri" w:hAnsi="Calibri" w:cs="Calibri"/>
              <w:color w:val="000000"/>
            </w:rPr>
            <w:instrText xml:space="preserve"> CITATION Wor19 \l 1033 </w:instrText>
          </w:r>
          <w:r w:rsidR="00EC56B7" w:rsidRPr="00E97254">
            <w:rPr>
              <w:rFonts w:ascii="Calibri" w:hAnsi="Calibri" w:cs="Calibri"/>
              <w:color w:val="000000"/>
            </w:rPr>
            <w:fldChar w:fldCharType="separate"/>
          </w:r>
          <w:r w:rsidR="00724BCC" w:rsidRPr="00E97254">
            <w:rPr>
              <w:rFonts w:ascii="Calibri" w:hAnsi="Calibri" w:cs="Calibri"/>
              <w:color w:val="000000"/>
            </w:rPr>
            <w:t>[37]</w:t>
          </w:r>
          <w:r w:rsidR="00EC56B7" w:rsidRPr="00E97254">
            <w:rPr>
              <w:rFonts w:ascii="Calibri" w:hAnsi="Calibri" w:cs="Calibri"/>
              <w:color w:val="000000"/>
            </w:rPr>
            <w:fldChar w:fldCharType="end"/>
          </w:r>
        </w:sdtContent>
      </w:sdt>
    </w:p>
    <w:p w:rsidR="005E63F4" w:rsidRPr="00E97254" w:rsidRDefault="00F461D4" w:rsidP="000C0250">
      <w:pPr>
        <w:spacing w:after="0"/>
        <w:jc w:val="both"/>
        <w:rPr>
          <w:rFonts w:ascii="Calibri" w:hAnsi="Calibri" w:cs="Calibri"/>
        </w:rPr>
      </w:pPr>
      <w:r w:rsidRPr="00E97254">
        <w:rPr>
          <w:rFonts w:ascii="Calibri" w:hAnsi="Calibri" w:cs="Calibri"/>
        </w:rPr>
        <w:t xml:space="preserve">Bazuar në të dhënat nga </w:t>
      </w:r>
      <w:r w:rsidR="008D102D">
        <w:fldChar w:fldCharType="begin"/>
      </w:r>
      <w:r w:rsidR="008D102D">
        <w:instrText xml:space="preserve"> REF _Ref56255731 \h  \* MERGEFORMAT </w:instrText>
      </w:r>
      <w:r w:rsidR="008D102D">
        <w:fldChar w:fldCharType="separate"/>
      </w:r>
      <w:r w:rsidR="005A6200" w:rsidRPr="00E97254">
        <w:rPr>
          <w:rFonts w:ascii="Calibri" w:hAnsi="Calibri" w:cs="Calibri"/>
        </w:rPr>
        <w:t>Tabela 13</w:t>
      </w:r>
      <w:r w:rsidR="008D102D">
        <w:fldChar w:fldCharType="end"/>
      </w:r>
      <w:r w:rsidRPr="00E97254">
        <w:rPr>
          <w:rFonts w:ascii="Calibri" w:hAnsi="Calibri" w:cs="Calibri"/>
        </w:rPr>
        <w:t>, në vitin 2020 shpenzimet për arsim</w:t>
      </w:r>
      <w:r w:rsidR="00BE6912">
        <w:rPr>
          <w:rFonts w:ascii="Calibri" w:hAnsi="Calibri" w:cs="Calibri"/>
        </w:rPr>
        <w:t>in</w:t>
      </w:r>
      <w:r w:rsidRPr="00E97254">
        <w:rPr>
          <w:rFonts w:ascii="Calibri" w:hAnsi="Calibri" w:cs="Calibri"/>
        </w:rPr>
        <w:t xml:space="preserve"> do të arrijnë nivelin </w:t>
      </w:r>
      <w:r w:rsidR="009F3F3C" w:rsidRPr="00E97254">
        <w:rPr>
          <w:rFonts w:ascii="Calibri" w:hAnsi="Calibri" w:cs="Calibri"/>
        </w:rPr>
        <w:t>maksimal</w:t>
      </w:r>
      <w:r w:rsidR="00FA5606" w:rsidRPr="00FA5606">
        <w:rPr>
          <w:rFonts w:ascii="Calibri" w:hAnsi="Calibri" w:cs="Calibri"/>
        </w:rPr>
        <w:t xml:space="preserve"> përgjatë periudhës 2018-2023, si përqindje e PBB-së – 3.64% dhe nivelin minimal si përqindje e shpenzimeve të përgjithshme publike – 9.93%. Sipas parashikimit, në periudhën 2021-2023 do të ketë rritje nominale të fondeve për arsim në raport me vitin paraprak: 4.7% në vitin 2021, 1.9% (2022) dhe 3.0% (2023). Mirëpo, në periudhën 2021-2023 nuk parashikohet rritje e fondeve për arsim si përqindje e PBB-së, por, përkundrazi një zvogëlim i moderuar deri në nivelin e vitit 2018 – 3.21%. Po ashtu, pjesëmarrja e fondeve për arsim në strukturën e përgjithshme të shërbimeve publike do të jetë nën nivelin e viteve 2018 dhe 2019: 10.84% në vitin 2021, 10.85% (2022), 10.61% (2023). </w:t>
      </w:r>
    </w:p>
    <w:p w:rsidR="007D0EE4" w:rsidRPr="00E97254" w:rsidRDefault="007D0EE4" w:rsidP="000C0250">
      <w:pPr>
        <w:spacing w:after="0"/>
        <w:jc w:val="both"/>
        <w:rPr>
          <w:rFonts w:ascii="Calibri" w:hAnsi="Calibri" w:cs="Calibri"/>
        </w:rPr>
      </w:pPr>
    </w:p>
    <w:p w:rsidR="00CC4EC1" w:rsidRPr="00E97254" w:rsidRDefault="00FA5606" w:rsidP="000C0250">
      <w:pPr>
        <w:pStyle w:val="Caption"/>
        <w:spacing w:before="120" w:after="120" w:line="276" w:lineRule="auto"/>
        <w:rPr>
          <w:rFonts w:ascii="Calibri" w:hAnsi="Calibri" w:cs="Calibri"/>
          <w:b w:val="0"/>
          <w:color w:val="auto"/>
          <w:spacing w:val="-3"/>
          <w:sz w:val="22"/>
          <w:szCs w:val="22"/>
        </w:rPr>
      </w:pPr>
      <w:bookmarkStart w:id="110" w:name="_Ref56255731"/>
      <w:bookmarkStart w:id="111" w:name="_Toc66802047"/>
      <w:r w:rsidRPr="00FA5606">
        <w:rPr>
          <w:rFonts w:ascii="Calibri" w:hAnsi="Calibri" w:cs="Calibri"/>
          <w:color w:val="auto"/>
          <w:sz w:val="22"/>
          <w:szCs w:val="22"/>
        </w:rPr>
        <w:lastRenderedPageBreak/>
        <w:t xml:space="preserve">Tabela </w:t>
      </w:r>
      <w:r w:rsidR="00EC56B7" w:rsidRPr="00FA5606">
        <w:rPr>
          <w:rFonts w:ascii="Calibri" w:hAnsi="Calibri" w:cs="Calibri"/>
          <w:color w:val="auto"/>
          <w:sz w:val="22"/>
          <w:szCs w:val="22"/>
        </w:rPr>
        <w:fldChar w:fldCharType="begin"/>
      </w:r>
      <w:r w:rsidRPr="00FA5606">
        <w:rPr>
          <w:rFonts w:ascii="Calibri" w:hAnsi="Calibri" w:cs="Calibri"/>
          <w:color w:val="auto"/>
          <w:sz w:val="22"/>
          <w:szCs w:val="22"/>
        </w:rPr>
        <w:instrText xml:space="preserve"> SEQ Tabela \* ARABIC </w:instrText>
      </w:r>
      <w:r w:rsidR="00EC56B7" w:rsidRPr="00FA5606">
        <w:rPr>
          <w:rFonts w:ascii="Calibri" w:hAnsi="Calibri" w:cs="Calibri"/>
          <w:color w:val="auto"/>
          <w:sz w:val="22"/>
          <w:szCs w:val="22"/>
        </w:rPr>
        <w:fldChar w:fldCharType="separate"/>
      </w:r>
      <w:r w:rsidRPr="00FA5606">
        <w:rPr>
          <w:rFonts w:ascii="Calibri" w:hAnsi="Calibri" w:cs="Calibri"/>
          <w:color w:val="auto"/>
          <w:sz w:val="22"/>
          <w:szCs w:val="22"/>
        </w:rPr>
        <w:t>13</w:t>
      </w:r>
      <w:r w:rsidR="00EC56B7" w:rsidRPr="00FA5606">
        <w:rPr>
          <w:rFonts w:ascii="Calibri" w:hAnsi="Calibri" w:cs="Calibri"/>
          <w:color w:val="auto"/>
          <w:sz w:val="22"/>
          <w:szCs w:val="22"/>
        </w:rPr>
        <w:fldChar w:fldCharType="end"/>
      </w:r>
      <w:bookmarkEnd w:id="110"/>
      <w:r w:rsidRPr="00FA5606">
        <w:rPr>
          <w:rFonts w:ascii="Calibri" w:hAnsi="Calibri" w:cs="Calibri"/>
          <w:color w:val="auto"/>
          <w:sz w:val="22"/>
          <w:szCs w:val="22"/>
        </w:rPr>
        <w:t>.</w:t>
      </w:r>
      <w:r w:rsidRPr="00FA5606">
        <w:rPr>
          <w:rFonts w:ascii="Calibri" w:hAnsi="Calibri" w:cs="Calibri"/>
          <w:b w:val="0"/>
          <w:color w:val="auto"/>
          <w:sz w:val="22"/>
          <w:szCs w:val="22"/>
        </w:rPr>
        <w:t xml:space="preserve"> </w:t>
      </w:r>
      <w:r w:rsidRPr="00FA5606">
        <w:rPr>
          <w:rFonts w:ascii="Calibri" w:hAnsi="Calibri" w:cs="Calibri"/>
          <w:b w:val="0"/>
          <w:color w:val="auto"/>
          <w:spacing w:val="-3"/>
          <w:sz w:val="22"/>
          <w:szCs w:val="22"/>
        </w:rPr>
        <w:t xml:space="preserve">Shpenzimet për arsim 2018-2023 (në 000 lekë) </w:t>
      </w:r>
      <w:sdt>
        <w:sdtPr>
          <w:rPr>
            <w:rFonts w:ascii="Calibri" w:hAnsi="Calibri" w:cs="Calibri"/>
            <w:b w:val="0"/>
            <w:color w:val="auto"/>
            <w:spacing w:val="-3"/>
            <w:sz w:val="22"/>
            <w:szCs w:val="22"/>
          </w:rPr>
          <w:id w:val="-678896516"/>
          <w:citation/>
        </w:sdtPr>
        <w:sdtEndPr/>
        <w:sdtContent>
          <w:r w:rsidR="00EC56B7" w:rsidRPr="00FA5606">
            <w:rPr>
              <w:rFonts w:ascii="Calibri" w:hAnsi="Calibri" w:cs="Calibri"/>
              <w:b w:val="0"/>
              <w:color w:val="auto"/>
              <w:spacing w:val="-3"/>
              <w:sz w:val="22"/>
              <w:szCs w:val="22"/>
            </w:rPr>
            <w:fldChar w:fldCharType="begin"/>
          </w:r>
          <w:r w:rsidRPr="00FA5606">
            <w:rPr>
              <w:rFonts w:ascii="Calibri" w:hAnsi="Calibri" w:cs="Calibri"/>
              <w:b w:val="0"/>
              <w:color w:val="auto"/>
              <w:spacing w:val="-3"/>
              <w:sz w:val="22"/>
              <w:szCs w:val="22"/>
            </w:rPr>
            <w:instrText xml:space="preserve"> CITATION MAS195 \l 1033 </w:instrText>
          </w:r>
          <w:r w:rsidR="00EC56B7" w:rsidRPr="00FA5606">
            <w:rPr>
              <w:rFonts w:ascii="Calibri" w:hAnsi="Calibri" w:cs="Calibri"/>
              <w:b w:val="0"/>
              <w:color w:val="auto"/>
              <w:spacing w:val="-3"/>
              <w:sz w:val="22"/>
              <w:szCs w:val="22"/>
            </w:rPr>
            <w:fldChar w:fldCharType="separate"/>
          </w:r>
          <w:r w:rsidRPr="00FA5606">
            <w:rPr>
              <w:rFonts w:ascii="Calibri" w:hAnsi="Calibri" w:cs="Calibri"/>
              <w:color w:val="auto"/>
              <w:spacing w:val="-3"/>
              <w:sz w:val="22"/>
              <w:szCs w:val="22"/>
            </w:rPr>
            <w:t>[77]</w:t>
          </w:r>
          <w:r w:rsidR="00EC56B7" w:rsidRPr="00FA5606">
            <w:rPr>
              <w:rFonts w:ascii="Calibri" w:hAnsi="Calibri" w:cs="Calibri"/>
              <w:b w:val="0"/>
              <w:color w:val="auto"/>
              <w:spacing w:val="-3"/>
              <w:sz w:val="22"/>
              <w:szCs w:val="22"/>
            </w:rPr>
            <w:fldChar w:fldCharType="end"/>
          </w:r>
        </w:sdtContent>
      </w:sdt>
      <w:bookmarkEnd w:id="111"/>
      <w:r w:rsidRPr="00FA5606">
        <w:rPr>
          <w:rFonts w:ascii="Calibri" w:hAnsi="Calibri" w:cs="Calibri"/>
          <w:b w:val="0"/>
          <w:color w:val="auto"/>
          <w:spacing w:val="-3"/>
          <w:sz w:val="22"/>
          <w:szCs w:val="22"/>
        </w:rPr>
        <w:t xml:space="preserve"> </w:t>
      </w:r>
    </w:p>
    <w:tbl>
      <w:tblPr>
        <w:tblW w:w="881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6"/>
        <w:gridCol w:w="1039"/>
        <w:gridCol w:w="1039"/>
        <w:gridCol w:w="1039"/>
        <w:gridCol w:w="1039"/>
        <w:gridCol w:w="1039"/>
        <w:gridCol w:w="1039"/>
      </w:tblGrid>
      <w:tr w:rsidR="007E2F24" w:rsidRPr="00E97254" w:rsidTr="007E2F24">
        <w:tc>
          <w:tcPr>
            <w:tcW w:w="2576" w:type="dxa"/>
          </w:tcPr>
          <w:p w:rsidR="007E2F24" w:rsidRPr="00E97254" w:rsidRDefault="00FA5606" w:rsidP="000C0250">
            <w:pPr>
              <w:spacing w:after="0"/>
              <w:jc w:val="center"/>
              <w:rPr>
                <w:rFonts w:cstheme="minorHAnsi"/>
                <w:b/>
                <w:sz w:val="18"/>
                <w:szCs w:val="18"/>
              </w:rPr>
            </w:pPr>
            <w:r w:rsidRPr="00FA5606">
              <w:rPr>
                <w:rFonts w:cstheme="minorHAnsi"/>
                <w:b/>
                <w:sz w:val="18"/>
                <w:szCs w:val="18"/>
              </w:rPr>
              <w:t>Kategoria</w:t>
            </w:r>
          </w:p>
        </w:tc>
        <w:tc>
          <w:tcPr>
            <w:tcW w:w="1039" w:type="dxa"/>
          </w:tcPr>
          <w:p w:rsidR="007E2F24" w:rsidRPr="00E97254" w:rsidRDefault="00FA5606" w:rsidP="000C0250">
            <w:pPr>
              <w:spacing w:after="0"/>
              <w:jc w:val="center"/>
              <w:rPr>
                <w:rFonts w:cstheme="minorHAnsi"/>
                <w:b/>
                <w:sz w:val="18"/>
                <w:szCs w:val="18"/>
              </w:rPr>
            </w:pPr>
            <w:r w:rsidRPr="00FA5606">
              <w:rPr>
                <w:rFonts w:cstheme="minorHAnsi"/>
                <w:b/>
                <w:sz w:val="18"/>
                <w:szCs w:val="18"/>
              </w:rPr>
              <w:t>2018</w:t>
            </w:r>
          </w:p>
        </w:tc>
        <w:tc>
          <w:tcPr>
            <w:tcW w:w="1039" w:type="dxa"/>
          </w:tcPr>
          <w:p w:rsidR="007E2F24" w:rsidRPr="00E97254" w:rsidRDefault="00FA5606" w:rsidP="000C0250">
            <w:pPr>
              <w:spacing w:after="0"/>
              <w:jc w:val="center"/>
              <w:rPr>
                <w:rFonts w:cstheme="minorHAnsi"/>
                <w:b/>
                <w:sz w:val="18"/>
                <w:szCs w:val="18"/>
              </w:rPr>
            </w:pPr>
            <w:r w:rsidRPr="00FA5606">
              <w:rPr>
                <w:rFonts w:cstheme="minorHAnsi"/>
                <w:b/>
                <w:sz w:val="18"/>
                <w:szCs w:val="18"/>
              </w:rPr>
              <w:t>2019</w:t>
            </w:r>
          </w:p>
        </w:tc>
        <w:tc>
          <w:tcPr>
            <w:tcW w:w="1039" w:type="dxa"/>
          </w:tcPr>
          <w:p w:rsidR="007E2F24" w:rsidRPr="00E97254" w:rsidRDefault="00FA5606" w:rsidP="000C0250">
            <w:pPr>
              <w:spacing w:after="0"/>
              <w:jc w:val="center"/>
              <w:rPr>
                <w:rFonts w:cstheme="minorHAnsi"/>
                <w:b/>
                <w:sz w:val="18"/>
                <w:szCs w:val="18"/>
              </w:rPr>
            </w:pPr>
            <w:r w:rsidRPr="00FA5606">
              <w:rPr>
                <w:rFonts w:cstheme="minorHAnsi"/>
                <w:b/>
                <w:sz w:val="18"/>
                <w:szCs w:val="18"/>
              </w:rPr>
              <w:t>2020</w:t>
            </w:r>
          </w:p>
        </w:tc>
        <w:tc>
          <w:tcPr>
            <w:tcW w:w="1039" w:type="dxa"/>
          </w:tcPr>
          <w:p w:rsidR="007E2F24" w:rsidRPr="00E97254" w:rsidRDefault="00FA5606" w:rsidP="000C0250">
            <w:pPr>
              <w:spacing w:after="0"/>
              <w:jc w:val="center"/>
              <w:rPr>
                <w:rFonts w:cstheme="minorHAnsi"/>
                <w:b/>
                <w:sz w:val="18"/>
                <w:szCs w:val="18"/>
              </w:rPr>
            </w:pPr>
            <w:r w:rsidRPr="00FA5606">
              <w:rPr>
                <w:rFonts w:cstheme="minorHAnsi"/>
                <w:b/>
                <w:sz w:val="18"/>
                <w:szCs w:val="18"/>
              </w:rPr>
              <w:t>2021</w:t>
            </w:r>
          </w:p>
        </w:tc>
        <w:tc>
          <w:tcPr>
            <w:tcW w:w="1039" w:type="dxa"/>
          </w:tcPr>
          <w:p w:rsidR="007E2F24" w:rsidRPr="00E97254" w:rsidRDefault="00FA5606" w:rsidP="000C0250">
            <w:pPr>
              <w:spacing w:after="0"/>
              <w:jc w:val="center"/>
              <w:rPr>
                <w:rFonts w:cstheme="minorHAnsi"/>
                <w:b/>
                <w:sz w:val="18"/>
                <w:szCs w:val="18"/>
              </w:rPr>
            </w:pPr>
            <w:r w:rsidRPr="00FA5606">
              <w:rPr>
                <w:rFonts w:cstheme="minorHAnsi"/>
                <w:b/>
                <w:sz w:val="18"/>
                <w:szCs w:val="18"/>
              </w:rPr>
              <w:t>2022</w:t>
            </w:r>
          </w:p>
        </w:tc>
        <w:tc>
          <w:tcPr>
            <w:tcW w:w="1039" w:type="dxa"/>
          </w:tcPr>
          <w:p w:rsidR="007E2F24" w:rsidRPr="00E97254" w:rsidRDefault="00FA5606" w:rsidP="000C0250">
            <w:pPr>
              <w:spacing w:after="0"/>
              <w:jc w:val="center"/>
              <w:rPr>
                <w:rFonts w:cstheme="minorHAnsi"/>
                <w:b/>
                <w:sz w:val="18"/>
                <w:szCs w:val="18"/>
              </w:rPr>
            </w:pPr>
            <w:r w:rsidRPr="00FA5606">
              <w:rPr>
                <w:rFonts w:cstheme="minorHAnsi"/>
                <w:b/>
                <w:sz w:val="18"/>
                <w:szCs w:val="18"/>
              </w:rPr>
              <w:t>2023</w:t>
            </w:r>
          </w:p>
        </w:tc>
      </w:tr>
      <w:tr w:rsidR="007E2F24" w:rsidRPr="00E97254" w:rsidTr="007E2F24">
        <w:tc>
          <w:tcPr>
            <w:tcW w:w="2576" w:type="dxa"/>
          </w:tcPr>
          <w:p w:rsidR="007E2F24" w:rsidRPr="00E97254" w:rsidRDefault="00FA5606" w:rsidP="000C0250">
            <w:pPr>
              <w:spacing w:after="0"/>
              <w:rPr>
                <w:rFonts w:cstheme="minorHAnsi"/>
                <w:sz w:val="18"/>
                <w:szCs w:val="18"/>
              </w:rPr>
            </w:pPr>
            <w:r w:rsidRPr="00FA5606">
              <w:rPr>
                <w:rFonts w:cstheme="minorHAnsi"/>
                <w:sz w:val="18"/>
                <w:szCs w:val="18"/>
              </w:rPr>
              <w:t>Buxheti i MASR</w:t>
            </w:r>
            <w:r w:rsidR="00AD0911">
              <w:rPr>
                <w:rFonts w:cstheme="minorHAnsi"/>
                <w:sz w:val="18"/>
                <w:szCs w:val="18"/>
              </w:rPr>
              <w:t>-s</w:t>
            </w:r>
            <w:r w:rsidR="00AD0911" w:rsidRPr="004E1F53">
              <w:rPr>
                <w:rFonts w:cstheme="minorHAnsi"/>
                <w:sz w:val="18"/>
                <w:szCs w:val="18"/>
              </w:rPr>
              <w:t>ë</w:t>
            </w:r>
            <w:r w:rsidRPr="00FA5606">
              <w:rPr>
                <w:rFonts w:cstheme="minorHAnsi"/>
                <w:sz w:val="18"/>
                <w:szCs w:val="18"/>
              </w:rPr>
              <w:t xml:space="preserve"> për arsimin</w:t>
            </w:r>
          </w:p>
        </w:tc>
        <w:tc>
          <w:tcPr>
            <w:tcW w:w="1039" w:type="dxa"/>
          </w:tcPr>
          <w:p w:rsidR="007E2F24" w:rsidRPr="00E97254" w:rsidRDefault="00FA5606" w:rsidP="000C0250">
            <w:pPr>
              <w:spacing w:after="0"/>
              <w:jc w:val="right"/>
              <w:rPr>
                <w:rFonts w:cstheme="minorHAnsi"/>
                <w:sz w:val="18"/>
                <w:szCs w:val="18"/>
              </w:rPr>
            </w:pPr>
            <w:r w:rsidRPr="00FA5606">
              <w:rPr>
                <w:rFonts w:cstheme="minorHAnsi"/>
                <w:sz w:val="18"/>
                <w:szCs w:val="18"/>
              </w:rPr>
              <w:t>37,485,407</w:t>
            </w:r>
          </w:p>
        </w:tc>
        <w:tc>
          <w:tcPr>
            <w:tcW w:w="1039" w:type="dxa"/>
          </w:tcPr>
          <w:p w:rsidR="007E2F24" w:rsidRPr="00E97254" w:rsidRDefault="00FA5606" w:rsidP="000C0250">
            <w:pPr>
              <w:spacing w:after="0"/>
              <w:jc w:val="right"/>
              <w:rPr>
                <w:rFonts w:cstheme="minorHAnsi"/>
                <w:sz w:val="18"/>
                <w:szCs w:val="18"/>
              </w:rPr>
            </w:pPr>
            <w:r w:rsidRPr="00FA5606">
              <w:rPr>
                <w:rFonts w:cstheme="minorHAnsi"/>
                <w:sz w:val="18"/>
                <w:szCs w:val="18"/>
              </w:rPr>
              <w:t>39,923,715</w:t>
            </w:r>
          </w:p>
        </w:tc>
        <w:tc>
          <w:tcPr>
            <w:tcW w:w="1039" w:type="dxa"/>
          </w:tcPr>
          <w:p w:rsidR="007E2F24" w:rsidRPr="00E97254" w:rsidRDefault="00FA5606" w:rsidP="000C0250">
            <w:pPr>
              <w:spacing w:after="0"/>
              <w:jc w:val="right"/>
              <w:rPr>
                <w:rFonts w:cstheme="minorHAnsi"/>
                <w:sz w:val="18"/>
                <w:szCs w:val="18"/>
              </w:rPr>
            </w:pPr>
            <w:r w:rsidRPr="00FA5606">
              <w:rPr>
                <w:rFonts w:cstheme="minorHAnsi"/>
                <w:sz w:val="18"/>
                <w:szCs w:val="18"/>
              </w:rPr>
              <w:t xml:space="preserve">41,568,963 </w:t>
            </w:r>
          </w:p>
        </w:tc>
        <w:tc>
          <w:tcPr>
            <w:tcW w:w="1039" w:type="dxa"/>
          </w:tcPr>
          <w:p w:rsidR="007E2F24" w:rsidRPr="00E97254" w:rsidRDefault="00FA5606" w:rsidP="000C0250">
            <w:pPr>
              <w:spacing w:after="0"/>
              <w:jc w:val="right"/>
              <w:rPr>
                <w:rFonts w:cstheme="minorHAnsi"/>
                <w:sz w:val="18"/>
                <w:szCs w:val="18"/>
              </w:rPr>
            </w:pPr>
            <w:r w:rsidRPr="00FA5606">
              <w:rPr>
                <w:rFonts w:cstheme="minorHAnsi"/>
                <w:sz w:val="18"/>
                <w:szCs w:val="18"/>
              </w:rPr>
              <w:t>43,852,073</w:t>
            </w:r>
          </w:p>
        </w:tc>
        <w:tc>
          <w:tcPr>
            <w:tcW w:w="1039" w:type="dxa"/>
          </w:tcPr>
          <w:p w:rsidR="007E2F24" w:rsidRPr="00E97254" w:rsidRDefault="00FA5606" w:rsidP="000C0250">
            <w:pPr>
              <w:spacing w:after="0"/>
              <w:jc w:val="right"/>
              <w:rPr>
                <w:rFonts w:cstheme="minorHAnsi"/>
                <w:sz w:val="18"/>
                <w:szCs w:val="18"/>
              </w:rPr>
            </w:pPr>
            <w:r w:rsidRPr="00FA5606">
              <w:rPr>
                <w:rFonts w:cstheme="minorHAnsi"/>
                <w:sz w:val="18"/>
                <w:szCs w:val="18"/>
              </w:rPr>
              <w:t>44,431,000</w:t>
            </w:r>
          </w:p>
        </w:tc>
        <w:tc>
          <w:tcPr>
            <w:tcW w:w="1039" w:type="dxa"/>
          </w:tcPr>
          <w:p w:rsidR="007E2F24" w:rsidRPr="00E97254" w:rsidRDefault="00FA5606" w:rsidP="000C0250">
            <w:pPr>
              <w:spacing w:after="0"/>
              <w:jc w:val="right"/>
              <w:rPr>
                <w:rFonts w:cstheme="minorHAnsi"/>
                <w:sz w:val="18"/>
                <w:szCs w:val="18"/>
              </w:rPr>
            </w:pPr>
            <w:r w:rsidRPr="00FA5606">
              <w:rPr>
                <w:rFonts w:cstheme="minorHAnsi"/>
                <w:sz w:val="18"/>
                <w:szCs w:val="18"/>
              </w:rPr>
              <w:t>45,512,500</w:t>
            </w:r>
          </w:p>
        </w:tc>
      </w:tr>
      <w:tr w:rsidR="007E2F24" w:rsidRPr="00E97254" w:rsidTr="007E2F24">
        <w:tc>
          <w:tcPr>
            <w:tcW w:w="2576" w:type="dxa"/>
          </w:tcPr>
          <w:p w:rsidR="007E2F24" w:rsidRPr="00E97254" w:rsidRDefault="00FA5606" w:rsidP="000C0250">
            <w:pPr>
              <w:spacing w:after="0"/>
              <w:rPr>
                <w:rFonts w:cstheme="minorHAnsi"/>
                <w:sz w:val="18"/>
                <w:szCs w:val="18"/>
              </w:rPr>
            </w:pPr>
            <w:r w:rsidRPr="00FA5606">
              <w:rPr>
                <w:rFonts w:cstheme="minorHAnsi"/>
                <w:sz w:val="18"/>
                <w:szCs w:val="18"/>
              </w:rPr>
              <w:t>Fonde të tjera për arsimin nga MFE, MD, MB, MM</w:t>
            </w:r>
          </w:p>
        </w:tc>
        <w:tc>
          <w:tcPr>
            <w:tcW w:w="1039" w:type="dxa"/>
          </w:tcPr>
          <w:p w:rsidR="007E2F24" w:rsidRPr="00E97254" w:rsidRDefault="00FA5606" w:rsidP="000C0250">
            <w:pPr>
              <w:spacing w:after="0"/>
              <w:jc w:val="right"/>
              <w:rPr>
                <w:rFonts w:cstheme="minorHAnsi"/>
                <w:sz w:val="18"/>
                <w:szCs w:val="18"/>
              </w:rPr>
            </w:pPr>
            <w:r w:rsidRPr="00FA5606">
              <w:rPr>
                <w:rFonts w:cstheme="minorHAnsi"/>
                <w:sz w:val="18"/>
                <w:szCs w:val="18"/>
              </w:rPr>
              <w:t xml:space="preserve">3,716,000 </w:t>
            </w:r>
          </w:p>
        </w:tc>
        <w:tc>
          <w:tcPr>
            <w:tcW w:w="1039" w:type="dxa"/>
          </w:tcPr>
          <w:p w:rsidR="007E2F24" w:rsidRPr="00E97254" w:rsidRDefault="00FA5606" w:rsidP="000C0250">
            <w:pPr>
              <w:spacing w:after="0"/>
              <w:jc w:val="right"/>
              <w:rPr>
                <w:rFonts w:cstheme="minorHAnsi"/>
                <w:sz w:val="18"/>
                <w:szCs w:val="18"/>
              </w:rPr>
            </w:pPr>
            <w:r w:rsidRPr="00FA5606">
              <w:rPr>
                <w:rFonts w:cstheme="minorHAnsi"/>
                <w:sz w:val="18"/>
                <w:szCs w:val="18"/>
              </w:rPr>
              <w:t>3,716,000</w:t>
            </w:r>
          </w:p>
        </w:tc>
        <w:tc>
          <w:tcPr>
            <w:tcW w:w="1039" w:type="dxa"/>
          </w:tcPr>
          <w:p w:rsidR="007E2F24" w:rsidRPr="00E97254" w:rsidRDefault="00FA5606" w:rsidP="000C0250">
            <w:pPr>
              <w:spacing w:after="0"/>
              <w:jc w:val="right"/>
              <w:rPr>
                <w:rFonts w:cstheme="minorHAnsi"/>
                <w:sz w:val="18"/>
                <w:szCs w:val="18"/>
              </w:rPr>
            </w:pPr>
            <w:r w:rsidRPr="00FA5606">
              <w:rPr>
                <w:rFonts w:cstheme="minorHAnsi"/>
                <w:sz w:val="18"/>
                <w:szCs w:val="18"/>
              </w:rPr>
              <w:t>4,095,000</w:t>
            </w:r>
          </w:p>
        </w:tc>
        <w:tc>
          <w:tcPr>
            <w:tcW w:w="1039" w:type="dxa"/>
          </w:tcPr>
          <w:p w:rsidR="007E2F24" w:rsidRPr="00E97254" w:rsidRDefault="00FA5606" w:rsidP="000C0250">
            <w:pPr>
              <w:spacing w:after="0"/>
              <w:jc w:val="right"/>
              <w:rPr>
                <w:rFonts w:cstheme="minorHAnsi"/>
                <w:sz w:val="18"/>
                <w:szCs w:val="18"/>
              </w:rPr>
            </w:pPr>
            <w:r w:rsidRPr="00FA5606">
              <w:rPr>
                <w:rFonts w:cstheme="minorHAnsi"/>
                <w:sz w:val="18"/>
                <w:szCs w:val="18"/>
              </w:rPr>
              <w:t>4,095,000</w:t>
            </w:r>
          </w:p>
        </w:tc>
        <w:tc>
          <w:tcPr>
            <w:tcW w:w="1039" w:type="dxa"/>
          </w:tcPr>
          <w:p w:rsidR="007E2F24" w:rsidRPr="00E97254" w:rsidRDefault="00FA5606" w:rsidP="000C0250">
            <w:pPr>
              <w:spacing w:after="0"/>
              <w:jc w:val="right"/>
              <w:rPr>
                <w:rFonts w:cstheme="minorHAnsi"/>
                <w:sz w:val="18"/>
                <w:szCs w:val="18"/>
              </w:rPr>
            </w:pPr>
            <w:r w:rsidRPr="00FA5606">
              <w:rPr>
                <w:rFonts w:cstheme="minorHAnsi"/>
                <w:sz w:val="18"/>
                <w:szCs w:val="18"/>
              </w:rPr>
              <w:t>4,188,779</w:t>
            </w:r>
          </w:p>
        </w:tc>
        <w:tc>
          <w:tcPr>
            <w:tcW w:w="1039" w:type="dxa"/>
          </w:tcPr>
          <w:p w:rsidR="007E2F24" w:rsidRPr="00E97254" w:rsidRDefault="00FA5606" w:rsidP="000C0250">
            <w:pPr>
              <w:spacing w:after="0"/>
              <w:jc w:val="right"/>
              <w:rPr>
                <w:rFonts w:cstheme="minorHAnsi"/>
                <w:sz w:val="18"/>
                <w:szCs w:val="18"/>
              </w:rPr>
            </w:pPr>
            <w:r w:rsidRPr="00FA5606">
              <w:rPr>
                <w:rFonts w:cstheme="minorHAnsi"/>
                <w:sz w:val="18"/>
                <w:szCs w:val="18"/>
              </w:rPr>
              <w:t>4,428,779</w:t>
            </w:r>
          </w:p>
        </w:tc>
      </w:tr>
      <w:tr w:rsidR="007E2F24" w:rsidRPr="00E97254" w:rsidTr="007E2F24">
        <w:tc>
          <w:tcPr>
            <w:tcW w:w="2576" w:type="dxa"/>
          </w:tcPr>
          <w:p w:rsidR="007E2F24" w:rsidRPr="00E97254" w:rsidRDefault="00FA5606" w:rsidP="000C0250">
            <w:pPr>
              <w:spacing w:after="0"/>
              <w:rPr>
                <w:rFonts w:cstheme="minorHAnsi"/>
                <w:sz w:val="18"/>
                <w:szCs w:val="18"/>
              </w:rPr>
            </w:pPr>
            <w:r w:rsidRPr="00FA5606">
              <w:rPr>
                <w:rFonts w:cstheme="minorHAnsi"/>
                <w:sz w:val="18"/>
                <w:szCs w:val="18"/>
              </w:rPr>
              <w:t>Fonde për arsimin të NJQV-ve</w:t>
            </w:r>
          </w:p>
        </w:tc>
        <w:tc>
          <w:tcPr>
            <w:tcW w:w="1039" w:type="dxa"/>
          </w:tcPr>
          <w:p w:rsidR="007E2F24" w:rsidRPr="00E97254" w:rsidRDefault="00FA5606" w:rsidP="000C0250">
            <w:pPr>
              <w:spacing w:after="0"/>
              <w:jc w:val="right"/>
              <w:rPr>
                <w:rFonts w:cstheme="minorHAnsi"/>
                <w:sz w:val="18"/>
                <w:szCs w:val="18"/>
              </w:rPr>
            </w:pPr>
            <w:r w:rsidRPr="00FA5606">
              <w:rPr>
                <w:rFonts w:cstheme="minorHAnsi"/>
                <w:sz w:val="18"/>
                <w:szCs w:val="18"/>
              </w:rPr>
              <w:t>8,207,000</w:t>
            </w:r>
          </w:p>
        </w:tc>
        <w:tc>
          <w:tcPr>
            <w:tcW w:w="1039" w:type="dxa"/>
          </w:tcPr>
          <w:p w:rsidR="007E2F24" w:rsidRPr="00E97254" w:rsidRDefault="00FA5606" w:rsidP="000C0250">
            <w:pPr>
              <w:spacing w:after="0"/>
              <w:jc w:val="right"/>
              <w:rPr>
                <w:rFonts w:cstheme="minorHAnsi"/>
                <w:sz w:val="18"/>
                <w:szCs w:val="18"/>
              </w:rPr>
            </w:pPr>
            <w:r w:rsidRPr="00FA5606">
              <w:rPr>
                <w:rFonts w:cstheme="minorHAnsi"/>
                <w:sz w:val="18"/>
                <w:szCs w:val="18"/>
              </w:rPr>
              <w:t>9,000,000</w:t>
            </w:r>
          </w:p>
        </w:tc>
        <w:tc>
          <w:tcPr>
            <w:tcW w:w="1039" w:type="dxa"/>
          </w:tcPr>
          <w:p w:rsidR="007E2F24" w:rsidRPr="00E97254" w:rsidRDefault="00FA5606" w:rsidP="000C0250">
            <w:pPr>
              <w:spacing w:after="0"/>
              <w:jc w:val="right"/>
              <w:rPr>
                <w:rFonts w:cstheme="minorHAnsi"/>
                <w:sz w:val="18"/>
                <w:szCs w:val="18"/>
              </w:rPr>
            </w:pPr>
            <w:r w:rsidRPr="00FA5606">
              <w:rPr>
                <w:rFonts w:cstheme="minorHAnsi"/>
                <w:sz w:val="18"/>
                <w:szCs w:val="18"/>
              </w:rPr>
              <w:t>9,450,000</w:t>
            </w:r>
          </w:p>
        </w:tc>
        <w:tc>
          <w:tcPr>
            <w:tcW w:w="1039" w:type="dxa"/>
          </w:tcPr>
          <w:p w:rsidR="007E2F24" w:rsidRPr="00E97254" w:rsidRDefault="00FA5606" w:rsidP="000C0250">
            <w:pPr>
              <w:spacing w:after="0"/>
              <w:jc w:val="right"/>
              <w:rPr>
                <w:rFonts w:cstheme="minorHAnsi"/>
                <w:sz w:val="18"/>
                <w:szCs w:val="18"/>
              </w:rPr>
            </w:pPr>
            <w:r w:rsidRPr="00FA5606">
              <w:rPr>
                <w:rFonts w:cstheme="minorHAnsi"/>
                <w:sz w:val="18"/>
                <w:szCs w:val="18"/>
              </w:rPr>
              <w:t>9,922,500</w:t>
            </w:r>
          </w:p>
        </w:tc>
        <w:tc>
          <w:tcPr>
            <w:tcW w:w="1039" w:type="dxa"/>
          </w:tcPr>
          <w:p w:rsidR="007E2F24" w:rsidRPr="00E97254" w:rsidRDefault="00FA5606" w:rsidP="000C0250">
            <w:pPr>
              <w:spacing w:after="0"/>
              <w:jc w:val="right"/>
              <w:rPr>
                <w:rFonts w:cstheme="minorHAnsi"/>
                <w:sz w:val="18"/>
                <w:szCs w:val="18"/>
              </w:rPr>
            </w:pPr>
            <w:r w:rsidRPr="00FA5606">
              <w:rPr>
                <w:rFonts w:cstheme="minorHAnsi"/>
                <w:sz w:val="18"/>
                <w:szCs w:val="18"/>
              </w:rPr>
              <w:t>10,418,625</w:t>
            </w:r>
          </w:p>
        </w:tc>
        <w:tc>
          <w:tcPr>
            <w:tcW w:w="1039" w:type="dxa"/>
          </w:tcPr>
          <w:p w:rsidR="007E2F24" w:rsidRPr="00E97254" w:rsidRDefault="00FA5606" w:rsidP="000C0250">
            <w:pPr>
              <w:spacing w:after="0"/>
              <w:jc w:val="right"/>
              <w:rPr>
                <w:rFonts w:cstheme="minorHAnsi"/>
                <w:sz w:val="18"/>
                <w:szCs w:val="18"/>
              </w:rPr>
            </w:pPr>
            <w:r w:rsidRPr="00FA5606">
              <w:rPr>
                <w:rFonts w:cstheme="minorHAnsi"/>
                <w:sz w:val="18"/>
                <w:szCs w:val="18"/>
              </w:rPr>
              <w:t>10,939,556</w:t>
            </w:r>
          </w:p>
        </w:tc>
      </w:tr>
      <w:tr w:rsidR="007E2F24" w:rsidRPr="00E97254" w:rsidTr="007E2F24">
        <w:trPr>
          <w:trHeight w:val="291"/>
        </w:trPr>
        <w:tc>
          <w:tcPr>
            <w:tcW w:w="2576" w:type="dxa"/>
          </w:tcPr>
          <w:p w:rsidR="007E2F24" w:rsidRPr="00E97254" w:rsidRDefault="00FA5606" w:rsidP="000C0250">
            <w:pPr>
              <w:spacing w:after="0"/>
              <w:rPr>
                <w:rFonts w:cstheme="minorHAnsi"/>
                <w:sz w:val="18"/>
                <w:szCs w:val="18"/>
              </w:rPr>
            </w:pPr>
            <w:r w:rsidRPr="00FA5606">
              <w:rPr>
                <w:rFonts w:cstheme="minorHAnsi"/>
                <w:sz w:val="18"/>
                <w:szCs w:val="18"/>
              </w:rPr>
              <w:t>Të ardhurat e IAL-ve publike</w:t>
            </w:r>
          </w:p>
        </w:tc>
        <w:tc>
          <w:tcPr>
            <w:tcW w:w="1039" w:type="dxa"/>
          </w:tcPr>
          <w:p w:rsidR="007E2F24" w:rsidRPr="00E97254" w:rsidRDefault="00FA5606" w:rsidP="000C0250">
            <w:pPr>
              <w:spacing w:after="0"/>
              <w:jc w:val="right"/>
              <w:rPr>
                <w:rFonts w:cstheme="minorHAnsi"/>
                <w:sz w:val="18"/>
                <w:szCs w:val="18"/>
              </w:rPr>
            </w:pPr>
            <w:r w:rsidRPr="00FA5606">
              <w:rPr>
                <w:rFonts w:cstheme="minorHAnsi"/>
                <w:sz w:val="18"/>
                <w:szCs w:val="18"/>
              </w:rPr>
              <w:t>3,399,500</w:t>
            </w:r>
          </w:p>
        </w:tc>
        <w:tc>
          <w:tcPr>
            <w:tcW w:w="1039" w:type="dxa"/>
          </w:tcPr>
          <w:p w:rsidR="007E2F24" w:rsidRPr="00E97254" w:rsidRDefault="00FA5606" w:rsidP="000C0250">
            <w:pPr>
              <w:spacing w:after="0"/>
              <w:jc w:val="right"/>
              <w:rPr>
                <w:rFonts w:cstheme="minorHAnsi"/>
                <w:sz w:val="18"/>
                <w:szCs w:val="18"/>
              </w:rPr>
            </w:pPr>
            <w:r w:rsidRPr="00FA5606">
              <w:rPr>
                <w:rFonts w:cstheme="minorHAnsi"/>
                <w:sz w:val="18"/>
                <w:szCs w:val="18"/>
              </w:rPr>
              <w:t>2,993,344</w:t>
            </w:r>
          </w:p>
        </w:tc>
        <w:tc>
          <w:tcPr>
            <w:tcW w:w="1039" w:type="dxa"/>
          </w:tcPr>
          <w:p w:rsidR="007E2F24" w:rsidRPr="00E97254" w:rsidRDefault="00FA5606" w:rsidP="000C0250">
            <w:pPr>
              <w:spacing w:after="0"/>
              <w:jc w:val="right"/>
              <w:rPr>
                <w:rFonts w:cstheme="minorHAnsi"/>
                <w:sz w:val="18"/>
                <w:szCs w:val="18"/>
              </w:rPr>
            </w:pPr>
            <w:r w:rsidRPr="00FA5606">
              <w:rPr>
                <w:rFonts w:cstheme="minorHAnsi"/>
                <w:sz w:val="18"/>
                <w:szCs w:val="18"/>
              </w:rPr>
              <w:t>2,450,000</w:t>
            </w:r>
          </w:p>
        </w:tc>
        <w:tc>
          <w:tcPr>
            <w:tcW w:w="1039" w:type="dxa"/>
          </w:tcPr>
          <w:p w:rsidR="007E2F24" w:rsidRPr="00E97254" w:rsidRDefault="00FA5606" w:rsidP="000C0250">
            <w:pPr>
              <w:spacing w:after="0"/>
              <w:jc w:val="right"/>
              <w:rPr>
                <w:rFonts w:cstheme="minorHAnsi"/>
                <w:sz w:val="18"/>
                <w:szCs w:val="18"/>
              </w:rPr>
            </w:pPr>
            <w:r w:rsidRPr="00FA5606">
              <w:rPr>
                <w:rFonts w:cstheme="minorHAnsi"/>
                <w:sz w:val="18"/>
                <w:szCs w:val="18"/>
              </w:rPr>
              <w:t>2,450,000</w:t>
            </w:r>
          </w:p>
        </w:tc>
        <w:tc>
          <w:tcPr>
            <w:tcW w:w="1039" w:type="dxa"/>
          </w:tcPr>
          <w:p w:rsidR="007E2F24" w:rsidRPr="00E97254" w:rsidRDefault="00FA5606" w:rsidP="000C0250">
            <w:pPr>
              <w:spacing w:after="0"/>
              <w:jc w:val="right"/>
              <w:rPr>
                <w:rFonts w:cstheme="minorHAnsi"/>
                <w:sz w:val="18"/>
                <w:szCs w:val="18"/>
              </w:rPr>
            </w:pPr>
            <w:r w:rsidRPr="00FA5606">
              <w:rPr>
                <w:rFonts w:cstheme="minorHAnsi"/>
                <w:sz w:val="18"/>
                <w:szCs w:val="18"/>
              </w:rPr>
              <w:t>2,450,000</w:t>
            </w:r>
          </w:p>
        </w:tc>
        <w:tc>
          <w:tcPr>
            <w:tcW w:w="1039" w:type="dxa"/>
          </w:tcPr>
          <w:p w:rsidR="007E2F24" w:rsidRPr="00E97254" w:rsidRDefault="00FA5606" w:rsidP="000C0250">
            <w:pPr>
              <w:spacing w:after="0"/>
              <w:jc w:val="right"/>
              <w:rPr>
                <w:rFonts w:cstheme="minorHAnsi"/>
                <w:sz w:val="18"/>
                <w:szCs w:val="18"/>
              </w:rPr>
            </w:pPr>
            <w:r w:rsidRPr="00FA5606">
              <w:rPr>
                <w:rFonts w:cstheme="minorHAnsi"/>
                <w:sz w:val="18"/>
                <w:szCs w:val="18"/>
              </w:rPr>
              <w:t>2,450,000</w:t>
            </w:r>
          </w:p>
        </w:tc>
      </w:tr>
      <w:tr w:rsidR="007E2F24" w:rsidRPr="00E97254" w:rsidTr="007E2F24">
        <w:tc>
          <w:tcPr>
            <w:tcW w:w="2576" w:type="dxa"/>
          </w:tcPr>
          <w:p w:rsidR="007E2F24" w:rsidRPr="00E97254" w:rsidRDefault="00FA5606" w:rsidP="000C0250">
            <w:pPr>
              <w:spacing w:after="0"/>
              <w:rPr>
                <w:rFonts w:cstheme="minorHAnsi"/>
                <w:b/>
                <w:sz w:val="18"/>
                <w:szCs w:val="18"/>
              </w:rPr>
            </w:pPr>
            <w:r w:rsidRPr="00FA5606">
              <w:rPr>
                <w:rFonts w:cstheme="minorHAnsi"/>
                <w:b/>
                <w:sz w:val="18"/>
                <w:szCs w:val="18"/>
              </w:rPr>
              <w:t>Gjithsej fonde për arsimin</w:t>
            </w:r>
          </w:p>
        </w:tc>
        <w:tc>
          <w:tcPr>
            <w:tcW w:w="1039" w:type="dxa"/>
          </w:tcPr>
          <w:p w:rsidR="007E2F24" w:rsidRPr="00E97254" w:rsidRDefault="00FA5606" w:rsidP="000C0250">
            <w:pPr>
              <w:spacing w:after="0"/>
              <w:jc w:val="right"/>
              <w:rPr>
                <w:rFonts w:cstheme="minorHAnsi"/>
                <w:b/>
                <w:sz w:val="18"/>
                <w:szCs w:val="18"/>
              </w:rPr>
            </w:pPr>
            <w:r w:rsidRPr="00FA5606">
              <w:rPr>
                <w:rFonts w:cstheme="minorHAnsi"/>
                <w:b/>
                <w:sz w:val="18"/>
                <w:szCs w:val="18"/>
              </w:rPr>
              <w:t xml:space="preserve">52,807,907 </w:t>
            </w:r>
          </w:p>
        </w:tc>
        <w:tc>
          <w:tcPr>
            <w:tcW w:w="1039" w:type="dxa"/>
          </w:tcPr>
          <w:p w:rsidR="007E2F24" w:rsidRPr="00E97254" w:rsidRDefault="00FA5606" w:rsidP="000C0250">
            <w:pPr>
              <w:spacing w:after="0"/>
              <w:jc w:val="right"/>
              <w:rPr>
                <w:rFonts w:cstheme="minorHAnsi"/>
                <w:b/>
                <w:sz w:val="18"/>
                <w:szCs w:val="18"/>
              </w:rPr>
            </w:pPr>
            <w:r w:rsidRPr="00FA5606">
              <w:rPr>
                <w:rFonts w:cstheme="minorHAnsi"/>
                <w:b/>
                <w:sz w:val="18"/>
                <w:szCs w:val="18"/>
              </w:rPr>
              <w:t>55,633,060</w:t>
            </w:r>
          </w:p>
        </w:tc>
        <w:tc>
          <w:tcPr>
            <w:tcW w:w="1039" w:type="dxa"/>
          </w:tcPr>
          <w:p w:rsidR="007E2F24" w:rsidRPr="00E97254" w:rsidRDefault="00FA5606" w:rsidP="000C0250">
            <w:pPr>
              <w:spacing w:after="0"/>
              <w:jc w:val="right"/>
              <w:rPr>
                <w:rFonts w:cstheme="minorHAnsi"/>
                <w:b/>
                <w:sz w:val="18"/>
                <w:szCs w:val="18"/>
              </w:rPr>
            </w:pPr>
            <w:r w:rsidRPr="00FA5606">
              <w:rPr>
                <w:rFonts w:cstheme="minorHAnsi"/>
                <w:b/>
                <w:sz w:val="18"/>
                <w:szCs w:val="18"/>
              </w:rPr>
              <w:t>57,563,963</w:t>
            </w:r>
          </w:p>
        </w:tc>
        <w:tc>
          <w:tcPr>
            <w:tcW w:w="1039" w:type="dxa"/>
          </w:tcPr>
          <w:p w:rsidR="007E2F24" w:rsidRPr="00E97254" w:rsidRDefault="00FA5606" w:rsidP="000C0250">
            <w:pPr>
              <w:spacing w:after="0"/>
              <w:jc w:val="right"/>
              <w:rPr>
                <w:rFonts w:cstheme="minorHAnsi"/>
                <w:b/>
                <w:sz w:val="18"/>
                <w:szCs w:val="18"/>
              </w:rPr>
            </w:pPr>
            <w:r w:rsidRPr="00FA5606">
              <w:rPr>
                <w:rFonts w:cstheme="minorHAnsi"/>
                <w:b/>
                <w:sz w:val="18"/>
                <w:szCs w:val="18"/>
              </w:rPr>
              <w:t>60,319,573</w:t>
            </w:r>
          </w:p>
        </w:tc>
        <w:tc>
          <w:tcPr>
            <w:tcW w:w="1039" w:type="dxa"/>
          </w:tcPr>
          <w:p w:rsidR="007E2F24" w:rsidRPr="00E97254" w:rsidRDefault="00FA5606" w:rsidP="000C0250">
            <w:pPr>
              <w:spacing w:after="0"/>
              <w:jc w:val="right"/>
              <w:rPr>
                <w:rFonts w:cstheme="minorHAnsi"/>
                <w:b/>
                <w:sz w:val="18"/>
                <w:szCs w:val="18"/>
              </w:rPr>
            </w:pPr>
            <w:r w:rsidRPr="00FA5606">
              <w:rPr>
                <w:rFonts w:cstheme="minorHAnsi"/>
                <w:b/>
                <w:sz w:val="18"/>
                <w:szCs w:val="18"/>
              </w:rPr>
              <w:t>61,488,404</w:t>
            </w:r>
          </w:p>
        </w:tc>
        <w:tc>
          <w:tcPr>
            <w:tcW w:w="1039" w:type="dxa"/>
          </w:tcPr>
          <w:p w:rsidR="007E2F24" w:rsidRPr="00E97254" w:rsidRDefault="00FA5606" w:rsidP="000C0250">
            <w:pPr>
              <w:spacing w:after="0"/>
              <w:jc w:val="right"/>
              <w:rPr>
                <w:rFonts w:cstheme="minorHAnsi"/>
                <w:b/>
                <w:sz w:val="18"/>
                <w:szCs w:val="18"/>
              </w:rPr>
            </w:pPr>
            <w:r w:rsidRPr="00FA5606">
              <w:rPr>
                <w:rFonts w:cstheme="minorHAnsi"/>
                <w:b/>
                <w:sz w:val="18"/>
                <w:szCs w:val="18"/>
              </w:rPr>
              <w:t>63,330,835</w:t>
            </w:r>
          </w:p>
        </w:tc>
      </w:tr>
      <w:tr w:rsidR="007E2F24" w:rsidRPr="00E97254" w:rsidTr="007E2F24">
        <w:tc>
          <w:tcPr>
            <w:tcW w:w="2576" w:type="dxa"/>
          </w:tcPr>
          <w:p w:rsidR="007E2F24" w:rsidRPr="00E97254" w:rsidRDefault="00FA5606" w:rsidP="000C0250">
            <w:pPr>
              <w:spacing w:after="0"/>
              <w:rPr>
                <w:rFonts w:cstheme="minorHAnsi"/>
                <w:sz w:val="18"/>
                <w:szCs w:val="18"/>
              </w:rPr>
            </w:pPr>
            <w:r w:rsidRPr="00FA5606">
              <w:rPr>
                <w:rFonts w:cstheme="minorHAnsi"/>
                <w:sz w:val="18"/>
                <w:szCs w:val="18"/>
              </w:rPr>
              <w:t>Shpenzime për arsimin në % ndaj PBB-së</w:t>
            </w:r>
          </w:p>
        </w:tc>
        <w:tc>
          <w:tcPr>
            <w:tcW w:w="1039" w:type="dxa"/>
          </w:tcPr>
          <w:p w:rsidR="007E2F24" w:rsidRPr="00E97254" w:rsidRDefault="00FA5606" w:rsidP="000C0250">
            <w:pPr>
              <w:spacing w:after="0"/>
              <w:jc w:val="right"/>
              <w:rPr>
                <w:rFonts w:cstheme="minorHAnsi"/>
                <w:sz w:val="18"/>
                <w:szCs w:val="18"/>
              </w:rPr>
            </w:pPr>
            <w:r w:rsidRPr="00FA5606">
              <w:rPr>
                <w:rFonts w:cstheme="minorHAnsi"/>
                <w:sz w:val="18"/>
                <w:szCs w:val="18"/>
              </w:rPr>
              <w:t>3.23%</w:t>
            </w:r>
          </w:p>
          <w:p w:rsidR="007E2F24" w:rsidRPr="00E97254" w:rsidRDefault="007E2F24" w:rsidP="000C0250">
            <w:pPr>
              <w:keepNext/>
              <w:keepLines/>
              <w:spacing w:before="200" w:after="0"/>
              <w:outlineLvl w:val="1"/>
              <w:rPr>
                <w:rFonts w:cstheme="minorHAnsi"/>
                <w:sz w:val="18"/>
                <w:szCs w:val="18"/>
              </w:rPr>
            </w:pPr>
          </w:p>
        </w:tc>
        <w:tc>
          <w:tcPr>
            <w:tcW w:w="1039" w:type="dxa"/>
          </w:tcPr>
          <w:p w:rsidR="007E2F24" w:rsidRPr="00E97254" w:rsidRDefault="00FA5606" w:rsidP="000C0250">
            <w:pPr>
              <w:spacing w:after="0"/>
              <w:jc w:val="right"/>
              <w:rPr>
                <w:rFonts w:cstheme="minorHAnsi"/>
                <w:sz w:val="18"/>
                <w:szCs w:val="18"/>
              </w:rPr>
            </w:pPr>
            <w:r w:rsidRPr="00FA5606">
              <w:rPr>
                <w:rFonts w:cstheme="minorHAnsi"/>
                <w:sz w:val="18"/>
                <w:szCs w:val="18"/>
              </w:rPr>
              <w:t>3.31%</w:t>
            </w:r>
          </w:p>
          <w:p w:rsidR="007E2F24" w:rsidRPr="00E97254" w:rsidRDefault="007E2F24" w:rsidP="000C0250">
            <w:pPr>
              <w:keepNext/>
              <w:keepLines/>
              <w:spacing w:before="200" w:after="0"/>
              <w:jc w:val="right"/>
              <w:outlineLvl w:val="1"/>
              <w:rPr>
                <w:rFonts w:cstheme="minorHAnsi"/>
                <w:sz w:val="18"/>
                <w:szCs w:val="18"/>
              </w:rPr>
            </w:pPr>
          </w:p>
        </w:tc>
        <w:tc>
          <w:tcPr>
            <w:tcW w:w="1039" w:type="dxa"/>
          </w:tcPr>
          <w:p w:rsidR="007E2F24" w:rsidRPr="00E97254" w:rsidRDefault="00FA5606" w:rsidP="000C0250">
            <w:pPr>
              <w:spacing w:after="0"/>
              <w:jc w:val="right"/>
              <w:rPr>
                <w:rFonts w:cstheme="minorHAnsi"/>
                <w:sz w:val="18"/>
                <w:szCs w:val="18"/>
              </w:rPr>
            </w:pPr>
            <w:r w:rsidRPr="00FA5606">
              <w:rPr>
                <w:rFonts w:cstheme="minorHAnsi"/>
                <w:sz w:val="18"/>
                <w:szCs w:val="18"/>
              </w:rPr>
              <w:t>3.64%</w:t>
            </w:r>
          </w:p>
          <w:p w:rsidR="007E2F24" w:rsidRPr="00E97254" w:rsidRDefault="007E2F24" w:rsidP="000C0250">
            <w:pPr>
              <w:keepNext/>
              <w:keepLines/>
              <w:spacing w:before="200" w:after="0"/>
              <w:jc w:val="right"/>
              <w:outlineLvl w:val="1"/>
              <w:rPr>
                <w:rFonts w:cstheme="minorHAnsi"/>
                <w:sz w:val="18"/>
                <w:szCs w:val="18"/>
              </w:rPr>
            </w:pPr>
          </w:p>
        </w:tc>
        <w:tc>
          <w:tcPr>
            <w:tcW w:w="1039" w:type="dxa"/>
          </w:tcPr>
          <w:p w:rsidR="007E2F24" w:rsidRPr="00E97254" w:rsidRDefault="00FA5606" w:rsidP="000C0250">
            <w:pPr>
              <w:spacing w:after="0"/>
              <w:jc w:val="right"/>
              <w:rPr>
                <w:rFonts w:cstheme="minorHAnsi"/>
                <w:sz w:val="18"/>
                <w:szCs w:val="18"/>
              </w:rPr>
            </w:pPr>
            <w:r w:rsidRPr="00FA5606">
              <w:rPr>
                <w:rFonts w:cstheme="minorHAnsi"/>
                <w:sz w:val="18"/>
                <w:szCs w:val="18"/>
              </w:rPr>
              <w:t>3.50%</w:t>
            </w:r>
          </w:p>
          <w:p w:rsidR="007E2F24" w:rsidRPr="00E97254" w:rsidRDefault="007E2F24" w:rsidP="000C0250">
            <w:pPr>
              <w:keepNext/>
              <w:keepLines/>
              <w:spacing w:before="200" w:after="0"/>
              <w:jc w:val="right"/>
              <w:outlineLvl w:val="1"/>
              <w:rPr>
                <w:rFonts w:cstheme="minorHAnsi"/>
                <w:sz w:val="18"/>
                <w:szCs w:val="18"/>
              </w:rPr>
            </w:pPr>
          </w:p>
        </w:tc>
        <w:tc>
          <w:tcPr>
            <w:tcW w:w="1039" w:type="dxa"/>
          </w:tcPr>
          <w:p w:rsidR="007E2F24" w:rsidRPr="00E97254" w:rsidRDefault="00FA5606" w:rsidP="000C0250">
            <w:pPr>
              <w:spacing w:after="0"/>
              <w:jc w:val="right"/>
              <w:rPr>
                <w:rFonts w:cstheme="minorHAnsi"/>
                <w:sz w:val="18"/>
                <w:szCs w:val="18"/>
              </w:rPr>
            </w:pPr>
            <w:r w:rsidRPr="00FA5606">
              <w:rPr>
                <w:rFonts w:cstheme="minorHAnsi"/>
                <w:sz w:val="18"/>
                <w:szCs w:val="18"/>
              </w:rPr>
              <w:t>3.34%</w:t>
            </w:r>
          </w:p>
        </w:tc>
        <w:tc>
          <w:tcPr>
            <w:tcW w:w="1039" w:type="dxa"/>
          </w:tcPr>
          <w:p w:rsidR="007E2F24" w:rsidRPr="00E97254" w:rsidRDefault="00FA5606" w:rsidP="000C0250">
            <w:pPr>
              <w:spacing w:after="0"/>
              <w:jc w:val="right"/>
              <w:rPr>
                <w:rFonts w:cstheme="minorHAnsi"/>
                <w:sz w:val="18"/>
                <w:szCs w:val="18"/>
              </w:rPr>
            </w:pPr>
            <w:r w:rsidRPr="00FA5606">
              <w:rPr>
                <w:rFonts w:cstheme="minorHAnsi"/>
                <w:sz w:val="18"/>
                <w:szCs w:val="18"/>
              </w:rPr>
              <w:t>3.21%</w:t>
            </w:r>
          </w:p>
        </w:tc>
      </w:tr>
      <w:tr w:rsidR="007E2F24" w:rsidRPr="00E97254" w:rsidTr="007E2F24">
        <w:tc>
          <w:tcPr>
            <w:tcW w:w="2576" w:type="dxa"/>
          </w:tcPr>
          <w:p w:rsidR="007E2F24" w:rsidRPr="00E97254" w:rsidRDefault="00FA5606" w:rsidP="000C0250">
            <w:pPr>
              <w:spacing w:after="0"/>
              <w:rPr>
                <w:rFonts w:cstheme="minorHAnsi"/>
                <w:sz w:val="18"/>
                <w:szCs w:val="18"/>
              </w:rPr>
            </w:pPr>
            <w:r w:rsidRPr="00FA5606">
              <w:rPr>
                <w:rFonts w:cstheme="minorHAnsi"/>
                <w:sz w:val="18"/>
                <w:szCs w:val="18"/>
              </w:rPr>
              <w:t>Shpenzime për arsimin në % ndaj shpenzimeve publike</w:t>
            </w:r>
          </w:p>
        </w:tc>
        <w:tc>
          <w:tcPr>
            <w:tcW w:w="1039" w:type="dxa"/>
          </w:tcPr>
          <w:p w:rsidR="007E2F24" w:rsidRPr="00E97254" w:rsidRDefault="00FA5606" w:rsidP="000C0250">
            <w:pPr>
              <w:spacing w:after="0"/>
              <w:jc w:val="right"/>
              <w:rPr>
                <w:rFonts w:cstheme="minorHAnsi"/>
                <w:sz w:val="18"/>
                <w:szCs w:val="18"/>
              </w:rPr>
            </w:pPr>
            <w:r w:rsidRPr="00FA5606">
              <w:rPr>
                <w:rFonts w:cstheme="minorHAnsi"/>
                <w:sz w:val="18"/>
                <w:szCs w:val="18"/>
              </w:rPr>
              <w:t xml:space="preserve">11.09% </w:t>
            </w:r>
          </w:p>
        </w:tc>
        <w:tc>
          <w:tcPr>
            <w:tcW w:w="1039" w:type="dxa"/>
          </w:tcPr>
          <w:p w:rsidR="007E2F24" w:rsidRPr="00E97254" w:rsidRDefault="00FA5606" w:rsidP="000C0250">
            <w:pPr>
              <w:spacing w:after="0"/>
              <w:jc w:val="right"/>
              <w:rPr>
                <w:rFonts w:cstheme="minorHAnsi"/>
                <w:sz w:val="18"/>
                <w:szCs w:val="18"/>
              </w:rPr>
            </w:pPr>
            <w:r w:rsidRPr="00FA5606">
              <w:rPr>
                <w:rFonts w:cstheme="minorHAnsi"/>
                <w:sz w:val="18"/>
                <w:szCs w:val="18"/>
              </w:rPr>
              <w:t>11.31%</w:t>
            </w:r>
          </w:p>
        </w:tc>
        <w:tc>
          <w:tcPr>
            <w:tcW w:w="1039" w:type="dxa"/>
          </w:tcPr>
          <w:p w:rsidR="007E2F24" w:rsidRPr="00E97254" w:rsidRDefault="00FA5606" w:rsidP="000C0250">
            <w:pPr>
              <w:spacing w:after="0"/>
              <w:jc w:val="right"/>
              <w:rPr>
                <w:rFonts w:cstheme="minorHAnsi"/>
                <w:sz w:val="18"/>
                <w:szCs w:val="18"/>
              </w:rPr>
            </w:pPr>
            <w:r w:rsidRPr="00FA5606">
              <w:rPr>
                <w:rFonts w:cstheme="minorHAnsi"/>
                <w:sz w:val="18"/>
                <w:szCs w:val="18"/>
              </w:rPr>
              <w:t>9.93%</w:t>
            </w:r>
          </w:p>
        </w:tc>
        <w:tc>
          <w:tcPr>
            <w:tcW w:w="1039" w:type="dxa"/>
          </w:tcPr>
          <w:p w:rsidR="007E2F24" w:rsidRPr="00E97254" w:rsidRDefault="00FA5606" w:rsidP="000C0250">
            <w:pPr>
              <w:spacing w:after="0"/>
              <w:jc w:val="right"/>
              <w:rPr>
                <w:rFonts w:cstheme="minorHAnsi"/>
                <w:sz w:val="18"/>
                <w:szCs w:val="18"/>
              </w:rPr>
            </w:pPr>
            <w:r w:rsidRPr="00FA5606">
              <w:rPr>
                <w:rFonts w:cstheme="minorHAnsi"/>
                <w:sz w:val="18"/>
                <w:szCs w:val="18"/>
              </w:rPr>
              <w:t>10.44%</w:t>
            </w:r>
          </w:p>
        </w:tc>
        <w:tc>
          <w:tcPr>
            <w:tcW w:w="1039" w:type="dxa"/>
          </w:tcPr>
          <w:p w:rsidR="007E2F24" w:rsidRPr="00E97254" w:rsidRDefault="00FA5606" w:rsidP="000C0250">
            <w:pPr>
              <w:spacing w:after="0"/>
              <w:jc w:val="right"/>
              <w:rPr>
                <w:rFonts w:cstheme="minorHAnsi"/>
                <w:sz w:val="18"/>
                <w:szCs w:val="18"/>
              </w:rPr>
            </w:pPr>
            <w:r w:rsidRPr="00FA5606">
              <w:rPr>
                <w:rFonts w:cstheme="minorHAnsi"/>
                <w:sz w:val="18"/>
                <w:szCs w:val="18"/>
              </w:rPr>
              <w:t>10.85%</w:t>
            </w:r>
          </w:p>
        </w:tc>
        <w:tc>
          <w:tcPr>
            <w:tcW w:w="1039" w:type="dxa"/>
          </w:tcPr>
          <w:p w:rsidR="007E2F24" w:rsidRPr="00E97254" w:rsidRDefault="00FA5606" w:rsidP="000C0250">
            <w:pPr>
              <w:spacing w:after="0"/>
              <w:jc w:val="right"/>
              <w:rPr>
                <w:rFonts w:cstheme="minorHAnsi"/>
                <w:sz w:val="18"/>
                <w:szCs w:val="18"/>
              </w:rPr>
            </w:pPr>
            <w:r w:rsidRPr="00FA5606">
              <w:rPr>
                <w:rFonts w:cstheme="minorHAnsi"/>
                <w:sz w:val="18"/>
                <w:szCs w:val="18"/>
              </w:rPr>
              <w:t>10.61%</w:t>
            </w:r>
          </w:p>
        </w:tc>
      </w:tr>
    </w:tbl>
    <w:p w:rsidR="007E2F24" w:rsidRPr="00E97254" w:rsidRDefault="00FA5606" w:rsidP="000C0250">
      <w:pPr>
        <w:rPr>
          <w:sz w:val="18"/>
        </w:rPr>
      </w:pPr>
      <w:r w:rsidRPr="00FA5606">
        <w:rPr>
          <w:sz w:val="18"/>
        </w:rPr>
        <w:t>MFE-Ministria e Financave dhe Ekonomisë, MD-Ministria e Drejtësisë, MB-Ministria e Brendshme, MM-Ministria e Mbrojtjes</w:t>
      </w:r>
    </w:p>
    <w:p w:rsidR="007D0EE4" w:rsidRPr="00E97254" w:rsidRDefault="00FA5606" w:rsidP="000B1598">
      <w:r w:rsidRPr="00FA5606">
        <w:t>Për vitin 2021 nga buxheti i shtetit dhe donatorët janë siguruar fonde shtesë prej 11.84</w:t>
      </w:r>
      <w:r w:rsidR="00E8227C">
        <w:t xml:space="preserve"> miliardë </w:t>
      </w:r>
      <w:r w:rsidRPr="00FA5606">
        <w:t>lekë për rindërtimin e objekeve arsimore të dëmtuara nga tërmeti i datës 26 nëntor 2019.</w:t>
      </w:r>
      <w:bookmarkStart w:id="112" w:name="_Toc66802007"/>
    </w:p>
    <w:p w:rsidR="00FB30BA" w:rsidRPr="00E97254" w:rsidRDefault="00FA5606" w:rsidP="000C0250">
      <w:pPr>
        <w:pStyle w:val="Heading1"/>
        <w:spacing w:before="0"/>
        <w:jc w:val="both"/>
      </w:pPr>
      <w:r w:rsidRPr="00FA5606">
        <w:t>5. Vizioni i Strategjisë</w:t>
      </w:r>
      <w:bookmarkEnd w:id="112"/>
    </w:p>
    <w:p w:rsidR="00B362BF" w:rsidRPr="00E97254" w:rsidRDefault="00FA5606" w:rsidP="000C0250">
      <w:pPr>
        <w:spacing w:before="120" w:after="0"/>
        <w:jc w:val="both"/>
      </w:pPr>
      <w:r w:rsidRPr="00FA5606">
        <w:t>Ky dokument strategjik jep vizionin për sektorin e arsimit në vitin 2026, me të cilin përcaktohet se ku do të jetë sektori në fund të periudhës. Vizioni është ndërtuar në bazë të analizës së nevojave në kohën e përgatitjes së dokumentit dhe ri-afirmon vizionin për arsimin të shprehur në SKZHI II: “Një sistem arsimor që ka për bazë nevojat dhe interesat e nxënësve; që krijon kushtet dhe mundësitë për studentët për të ndërtuar dhe zhvilluar njohuritë e tyre, aftësitë dhe vlerat e kërkuara nga shoqëria; që lejon nxënësit të zhvillohen në mënyrë të pavarur dhe për të kontribuar për mirëqenien e tyre dhe të shoqërisë dhe në mënyrë konstruktive të përballen me sfidat e jetës”</w:t>
      </w:r>
      <w:sdt>
        <w:sdtPr>
          <w:id w:val="856851569"/>
          <w:citation/>
        </w:sdtPr>
        <w:sdtEndPr/>
        <w:sdtContent>
          <w:r w:rsidR="00EC56B7" w:rsidRPr="00E97254">
            <w:fldChar w:fldCharType="begin"/>
          </w:r>
          <w:r w:rsidR="004E1F53">
            <w:instrText xml:space="preserve"> CITATION QBZ161 \l 1033 </w:instrText>
          </w:r>
          <w:r w:rsidR="00EC56B7" w:rsidRPr="00E97254">
            <w:fldChar w:fldCharType="separate"/>
          </w:r>
          <w:r w:rsidR="00724BCC" w:rsidRPr="00E97254">
            <w:t xml:space="preserve"> [1</w:t>
          </w:r>
          <w:r w:rsidR="004E1F53">
            <w:t>]</w:t>
          </w:r>
          <w:r w:rsidR="00EC56B7" w:rsidRPr="00E97254">
            <w:fldChar w:fldCharType="end"/>
          </w:r>
        </w:sdtContent>
      </w:sdt>
      <w:r w:rsidR="003D5A47" w:rsidRPr="00E97254">
        <w:t>.</w:t>
      </w:r>
      <w:r w:rsidR="002B257B" w:rsidRPr="00E97254">
        <w:t xml:space="preserve"> </w:t>
      </w:r>
    </w:p>
    <w:p w:rsidR="00B362BF" w:rsidRPr="00E97254" w:rsidRDefault="00B362BF" w:rsidP="000C0250">
      <w:pPr>
        <w:spacing w:after="0"/>
        <w:jc w:val="both"/>
      </w:pPr>
    </w:p>
    <w:p w:rsidR="00FB30BA" w:rsidRPr="00E97254" w:rsidRDefault="00FA5606" w:rsidP="000C0250">
      <w:pPr>
        <w:pStyle w:val="Heading2"/>
        <w:spacing w:before="0"/>
        <w:jc w:val="both"/>
      </w:pPr>
      <w:bookmarkStart w:id="113" w:name="_Toc66802008"/>
      <w:r w:rsidRPr="00FA5606">
        <w:t>5.1. Vizioni</w:t>
      </w:r>
      <w:bookmarkEnd w:id="113"/>
    </w:p>
    <w:p w:rsidR="00FE56FF" w:rsidRPr="00E97254" w:rsidRDefault="003A44C5" w:rsidP="00D17ECD">
      <w:pPr>
        <w:tabs>
          <w:tab w:val="left" w:pos="1985"/>
        </w:tabs>
        <w:spacing w:before="120" w:after="0"/>
        <w:jc w:val="both"/>
        <w:rPr>
          <w:rFonts w:cstheme="minorHAnsi"/>
        </w:rPr>
      </w:pPr>
      <w:r>
        <w:rPr>
          <w:noProof/>
        </w:rPr>
        <mc:AlternateContent>
          <mc:Choice Requires="wps">
            <w:drawing>
              <wp:inline distT="0" distB="0" distL="0" distR="0">
                <wp:extent cx="5943600" cy="628650"/>
                <wp:effectExtent l="12700" t="12700" r="0" b="6350"/>
                <wp:docPr id="20"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43600" cy="628650"/>
                        </a:xfrm>
                        <a:prstGeom prst="rect">
                          <a:avLst/>
                        </a:prstGeom>
                        <a:solidFill>
                          <a:srgbClr val="EBF1DE"/>
                        </a:solidFill>
                        <a:ln w="25400">
                          <a:solidFill>
                            <a:srgbClr val="8064A2"/>
                          </a:solidFill>
                          <a:miter lim="800000"/>
                          <a:headEnd/>
                          <a:tailEnd/>
                        </a:ln>
                      </wps:spPr>
                      <wps:txbx>
                        <w:txbxContent>
                          <w:p w:rsidR="00753C65" w:rsidRPr="00FE56FF" w:rsidRDefault="00753C65" w:rsidP="003A2FBF">
                            <w:pPr>
                              <w:pStyle w:val="Default"/>
                              <w:rPr>
                                <w:color w:val="FF0000"/>
                                <w:sz w:val="20"/>
                                <w:szCs w:val="22"/>
                              </w:rPr>
                            </w:pPr>
                            <w:r w:rsidRPr="00FE56FF">
                              <w:rPr>
                                <w:sz w:val="22"/>
                              </w:rPr>
                              <w:t>Sistem arsimor gjithëpërfshirës dhe i bazuar në parimet e barazisë dhe mësimit gjatë gjithë jetës,</w:t>
                            </w:r>
                            <w:r>
                              <w:rPr>
                                <w:sz w:val="22"/>
                              </w:rPr>
                              <w:t xml:space="preserve"> </w:t>
                            </w:r>
                            <w:r w:rsidRPr="00FE56FF">
                              <w:rPr>
                                <w:sz w:val="22"/>
                              </w:rPr>
                              <w:t>që mundëson formimin cilësor të të gjithë individëve, duke kontribuar në mirëqenien personale të tyre, si dhe në forcimin e demokracisë dhe integrimin e vendit në Bashkimin E</w:t>
                            </w:r>
                            <w:r>
                              <w:rPr>
                                <w:sz w:val="22"/>
                              </w:rPr>
                              <w:t>v</w:t>
                            </w:r>
                            <w:r w:rsidRPr="00FE56FF">
                              <w:rPr>
                                <w:sz w:val="22"/>
                              </w:rPr>
                              <w:t>ropian.</w:t>
                            </w:r>
                          </w:p>
                        </w:txbxContent>
                      </wps:txbx>
                      <wps:bodyPr rot="0" vert="horz" wrap="square" lIns="91440" tIns="45720" rIns="91440" bIns="45720" anchor="t" anchorCtr="0" upright="1">
                        <a:spAutoFit/>
                      </wps:bodyPr>
                    </wps:wsp>
                  </a:graphicData>
                </a:graphic>
              </wp:inline>
            </w:drawing>
          </mc:Choice>
          <mc:Fallback>
            <w:pict>
              <v:shape id="Text Box 53" o:spid="_x0000_s1061" type="#_x0000_t202" style="width:468pt;height:4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" fillcolor="#ebf1de" strokecolor="#8064a2" strokeweight="2pt">
                <v:path arrowok="t"/>
                <v:textbox style="mso-fit-shape-to-text:t">
                  <w:txbxContent>
                    <w:p w:rsidR="00753C65" w:rsidRPr="00FE56FF" w:rsidRDefault="00753C65" w:rsidP="003A2FBF">
                      <w:pPr>
                        <w:pStyle w:val="Default"/>
                        <w:rPr>
                          <w:color w:val="FF0000"/>
                          <w:sz w:val="20"/>
                          <w:szCs w:val="22"/>
                        </w:rPr>
                      </w:pPr>
                      <w:r w:rsidRPr="00FE56FF">
                        <w:rPr>
                          <w:sz w:val="22"/>
                        </w:rPr>
                        <w:t>Sistem arsimor gjithëpërfshirës dhe i bazuar në parimet e barazisë dhe mësimit gjatë gjithë jetës,</w:t>
                      </w:r>
                      <w:r>
                        <w:rPr>
                          <w:sz w:val="22"/>
                        </w:rPr>
                        <w:t xml:space="preserve"> </w:t>
                      </w:r>
                      <w:r w:rsidRPr="00FE56FF">
                        <w:rPr>
                          <w:sz w:val="22"/>
                        </w:rPr>
                        <w:t>që mundëson formimin cilësor të të gjithë individëve, duke kontribuar në mirëqenien personale të tyre, si dhe në forcimin e demokracisë dhe integrimin e vendit në Bashkimin E</w:t>
                      </w:r>
                      <w:r>
                        <w:rPr>
                          <w:sz w:val="22"/>
                        </w:rPr>
                        <w:t>v</w:t>
                      </w:r>
                      <w:r w:rsidRPr="00FE56FF">
                        <w:rPr>
                          <w:sz w:val="22"/>
                        </w:rPr>
                        <w:t>ropian.</w:t>
                      </w:r>
                    </w:p>
                  </w:txbxContent>
                </v:textbox>
                <w10:anchorlock/>
              </v:shape>
            </w:pict>
          </mc:Fallback>
        </mc:AlternateContent>
      </w:r>
      <w:r w:rsidR="00FE56FF" w:rsidRPr="00E97254">
        <w:rPr>
          <w:rFonts w:ascii="Calibri" w:hAnsi="Calibri" w:cs="Calibri"/>
        </w:rPr>
        <w:t xml:space="preserve">Vizioni për sektorin e arsimit synon ndërtimin e një sistemi arsimor gjithëpërfshirës, i cili </w:t>
      </w:r>
      <w:r w:rsidR="00A50A43">
        <w:rPr>
          <w:rFonts w:ascii="Calibri" w:hAnsi="Calibri" w:cs="Calibri"/>
        </w:rPr>
        <w:t>trajt</w:t>
      </w:r>
      <w:r w:rsidR="00FE56FF" w:rsidRPr="00E97254">
        <w:rPr>
          <w:rFonts w:ascii="Calibri" w:hAnsi="Calibri" w:cs="Calibri"/>
        </w:rPr>
        <w:t xml:space="preserve">on me sukses nevojat individuale të të gjithë fëmijëve, nxënësve e studentëve, duke i trajtuar ata në mënyrë të barabartë dhe me respekt për diversitetin. Gjithëpërfshirja dhe barazia janë parakushte të domosdoshme për të siguruar formimin cilësor të të gjithë individëve dhe për të ngushtuar hendekun e arritjeve arsimore </w:t>
      </w:r>
      <w:r w:rsidR="00D17ECD">
        <w:rPr>
          <w:rFonts w:ascii="Calibri" w:hAnsi="Calibri" w:cs="Calibri"/>
        </w:rPr>
        <w:t>midis</w:t>
      </w:r>
      <w:r w:rsidR="00FE56FF" w:rsidRPr="00E97254">
        <w:rPr>
          <w:rFonts w:ascii="Calibri" w:hAnsi="Calibri" w:cs="Calibri"/>
        </w:rPr>
        <w:t xml:space="preserve"> grupeve të ndryshme sociale.</w:t>
      </w:r>
      <w:r w:rsidR="002B257B" w:rsidRPr="00E97254">
        <w:rPr>
          <w:rFonts w:ascii="Calibri" w:hAnsi="Calibri" w:cs="Calibri"/>
        </w:rPr>
        <w:t xml:space="preserve"> </w:t>
      </w:r>
      <w:r w:rsidR="004E1F53">
        <w:rPr>
          <w:rFonts w:ascii="Calibri" w:hAnsi="Calibri" w:cs="Calibri"/>
        </w:rPr>
        <w:t xml:space="preserve">Strategjia bazohet në paradigmën e mësimit gjatë gjithë jetës, e cila </w:t>
      </w:r>
      <w:r w:rsidR="004E1F53">
        <w:rPr>
          <w:rFonts w:cs="Calibri"/>
        </w:rPr>
        <w:t>përfshin</w:t>
      </w:r>
      <w:r w:rsidR="004E1F53">
        <w:rPr>
          <w:rFonts w:ascii="Calibri" w:hAnsi="Calibri" w:cs="Calibri"/>
        </w:rPr>
        <w:t xml:space="preserve"> të gjitha fazat e të mësuarit, duke filluar nga arsimi parashkollor deri tek periudha pas </w:t>
      </w:r>
      <w:r w:rsidR="004E1F53">
        <w:rPr>
          <w:rFonts w:cs="Calibri"/>
        </w:rPr>
        <w:t>daljes në pension</w:t>
      </w:r>
      <w:r w:rsidR="004E1F53">
        <w:rPr>
          <w:rFonts w:ascii="Calibri" w:hAnsi="Calibri" w:cs="Calibri"/>
        </w:rPr>
        <w:t xml:space="preserve"> dhe mbulon të gjitha format e të mësuarit: formal, joformal dhe informal. Nxitja e mundësive për mësim gjatë gjithë jetës përfshihet edhe në objektivin për zhvillim të qëndrueshëm 4 (</w:t>
      </w:r>
      <w:r w:rsidR="00A50A43">
        <w:rPr>
          <w:rFonts w:ascii="Calibri" w:hAnsi="Calibri" w:cs="Calibri"/>
        </w:rPr>
        <w:t>OZHQ</w:t>
      </w:r>
      <w:r w:rsidR="004E1F53">
        <w:rPr>
          <w:rFonts w:ascii="Calibri" w:hAnsi="Calibri" w:cs="Calibri"/>
        </w:rPr>
        <w:t xml:space="preserve">4) të </w:t>
      </w:r>
      <w:r w:rsidR="004E1F53">
        <w:rPr>
          <w:rFonts w:cstheme="minorHAnsi"/>
        </w:rPr>
        <w:t xml:space="preserve">Agjendës 2030 për Zhvillim të Qëndrueshëm </w:t>
      </w:r>
      <w:sdt>
        <w:sdtPr>
          <w:rPr>
            <w:rFonts w:cstheme="minorHAnsi"/>
          </w:rPr>
          <w:id w:val="1818380022"/>
          <w:citation/>
        </w:sdtPr>
        <w:sdtEndPr/>
        <w:sdtContent>
          <w:r w:rsidR="00EC56B7" w:rsidRPr="00E97254">
            <w:rPr>
              <w:rFonts w:cstheme="minorHAnsi"/>
            </w:rPr>
            <w:fldChar w:fldCharType="begin"/>
          </w:r>
          <w:r w:rsidR="004E1F53">
            <w:rPr>
              <w:rFonts w:cstheme="minorHAnsi"/>
            </w:rPr>
            <w:instrText xml:space="preserve"> CITATION UNE171 \l 1033 </w:instrText>
          </w:r>
          <w:r w:rsidR="00EC56B7" w:rsidRPr="00E97254">
            <w:rPr>
              <w:rFonts w:cstheme="minorHAnsi"/>
            </w:rPr>
            <w:fldChar w:fldCharType="separate"/>
          </w:r>
          <w:r w:rsidR="00724BCC" w:rsidRPr="00E97254">
            <w:rPr>
              <w:rFonts w:cstheme="minorHAnsi"/>
            </w:rPr>
            <w:t>[6]</w:t>
          </w:r>
          <w:r w:rsidR="00EC56B7" w:rsidRPr="00E97254">
            <w:rPr>
              <w:rFonts w:cstheme="minorHAnsi"/>
            </w:rPr>
            <w:fldChar w:fldCharType="end"/>
          </w:r>
        </w:sdtContent>
      </w:sdt>
      <w:r w:rsidR="00FE56FF" w:rsidRPr="00E97254">
        <w:rPr>
          <w:rFonts w:cstheme="minorHAnsi"/>
        </w:rPr>
        <w:t xml:space="preserve">. Ndërkaq, kompetencat për mësim gjatë gjithë jetës, të cilat janë </w:t>
      </w:r>
      <w:r w:rsidR="00FE56FF" w:rsidRPr="00E97254">
        <w:rPr>
          <w:rFonts w:cstheme="minorHAnsi"/>
        </w:rPr>
        <w:lastRenderedPageBreak/>
        <w:t>të domosdoshme në shekullin XXI, zhvillohen në kontekste të ndryshme</w:t>
      </w:r>
      <w:r w:rsidR="00D874FD" w:rsidRPr="00E97254">
        <w:rPr>
          <w:rFonts w:cstheme="minorHAnsi"/>
        </w:rPr>
        <w:t xml:space="preserve"> formale, joformale e informale</w:t>
      </w:r>
      <w:r w:rsidR="004E1F53">
        <w:rPr>
          <w:rFonts w:cstheme="minorHAnsi"/>
        </w:rPr>
        <w:t xml:space="preserve">, në veçanti </w:t>
      </w:r>
      <w:r w:rsidR="00A50A43">
        <w:rPr>
          <w:rFonts w:cstheme="minorHAnsi"/>
        </w:rPr>
        <w:t>nëpërmjet</w:t>
      </w:r>
      <w:r w:rsidR="004E1F53">
        <w:rPr>
          <w:rFonts w:cstheme="minorHAnsi"/>
        </w:rPr>
        <w:t xml:space="preserve"> arsimit cilësor </w:t>
      </w:r>
      <w:sdt>
        <w:sdtPr>
          <w:rPr>
            <w:rFonts w:cstheme="minorHAnsi"/>
          </w:rPr>
          <w:id w:val="718468858"/>
          <w:citation/>
        </w:sdtPr>
        <w:sdtEndPr/>
        <w:sdtContent>
          <w:r w:rsidR="00EC56B7" w:rsidRPr="00E97254">
            <w:rPr>
              <w:rFonts w:cstheme="minorHAnsi"/>
            </w:rPr>
            <w:fldChar w:fldCharType="begin"/>
          </w:r>
          <w:r w:rsidR="004E1F53">
            <w:rPr>
              <w:rFonts w:cstheme="minorHAnsi"/>
            </w:rPr>
            <w:instrText xml:space="preserve"> CITATION Eur181 \l 1033 </w:instrText>
          </w:r>
          <w:r w:rsidR="00EC56B7" w:rsidRPr="00E97254">
            <w:rPr>
              <w:rFonts w:cstheme="minorHAnsi"/>
            </w:rPr>
            <w:fldChar w:fldCharType="separate"/>
          </w:r>
          <w:r w:rsidR="00724BCC" w:rsidRPr="00E97254">
            <w:rPr>
              <w:rFonts w:cstheme="minorHAnsi"/>
            </w:rPr>
            <w:t>[4]</w:t>
          </w:r>
          <w:r w:rsidR="00EC56B7" w:rsidRPr="00E97254">
            <w:rPr>
              <w:rFonts w:cstheme="minorHAnsi"/>
            </w:rPr>
            <w:fldChar w:fldCharType="end"/>
          </w:r>
        </w:sdtContent>
      </w:sdt>
      <w:r w:rsidR="00FE56FF" w:rsidRPr="00E97254">
        <w:rPr>
          <w:rFonts w:cstheme="minorHAnsi"/>
        </w:rPr>
        <w:t xml:space="preserve">. </w:t>
      </w:r>
    </w:p>
    <w:p w:rsidR="00FE56FF" w:rsidRPr="00E97254" w:rsidRDefault="00FE56FF" w:rsidP="000C0250">
      <w:pPr>
        <w:spacing w:after="0"/>
        <w:jc w:val="both"/>
        <w:rPr>
          <w:rFonts w:cstheme="minorHAnsi"/>
        </w:rPr>
      </w:pPr>
      <w:r w:rsidRPr="00E97254">
        <w:rPr>
          <w:rFonts w:cstheme="minorHAnsi"/>
        </w:rPr>
        <w:t xml:space="preserve">Arsimi cilësor i kontribuon mirëqenies së individit, duke e përgatitur atë për përfshirje në tregun e punës, </w:t>
      </w:r>
      <w:r w:rsidR="00A50A43">
        <w:rPr>
          <w:rFonts w:cstheme="minorHAnsi"/>
        </w:rPr>
        <w:t>nëpërmjet</w:t>
      </w:r>
      <w:r w:rsidRPr="00E97254">
        <w:rPr>
          <w:rFonts w:cstheme="minorHAnsi"/>
        </w:rPr>
        <w:t xml:space="preserve"> së cilës i kontribuon edhe zhvillimit ekonomik të vendit. Mirëpo, arsimi nuk është vetëm mjet për arritjen e një qëllimi utilitar, por edhe qëllim më vete, sepse është në funksion të përmbushjes personale të secilit ind</w:t>
      </w:r>
      <w:r w:rsidR="004E1F53">
        <w:rPr>
          <w:rFonts w:cstheme="minorHAnsi"/>
        </w:rPr>
        <w:t xml:space="preserve">ivid dhe të ndërtimit të vlerave të qytetarisë demokratike. Në këtë formë arsimi i kontribuon edhe forcimit të demokracisë dhe integrimit të vendit në Bashkimin </w:t>
      </w:r>
      <w:r w:rsidR="004E1F53">
        <w:rPr>
          <w:rFonts w:cs="Calibri"/>
        </w:rPr>
        <w:t>Evropian</w:t>
      </w:r>
      <w:r w:rsidR="004E1F53">
        <w:rPr>
          <w:rFonts w:cstheme="minorHAnsi"/>
        </w:rPr>
        <w:t xml:space="preserve">. </w:t>
      </w:r>
    </w:p>
    <w:p w:rsidR="00FB30BA" w:rsidRPr="00E97254" w:rsidRDefault="004E1F53" w:rsidP="000C0250">
      <w:pPr>
        <w:spacing w:before="120" w:after="0"/>
        <w:jc w:val="both"/>
        <w:rPr>
          <w:rFonts w:ascii="Calibri" w:hAnsi="Calibri" w:cs="Calibri"/>
          <w:sz w:val="32"/>
          <w:szCs w:val="32"/>
        </w:rPr>
      </w:pPr>
      <w:r>
        <w:rPr>
          <w:rFonts w:ascii="Calibri" w:hAnsi="Calibri" w:cs="Calibri"/>
        </w:rPr>
        <w:t xml:space="preserve"> </w:t>
      </w:r>
    </w:p>
    <w:p w:rsidR="00FB30BA" w:rsidRPr="00E97254" w:rsidRDefault="00FA5606" w:rsidP="000C0250">
      <w:pPr>
        <w:pStyle w:val="Heading2"/>
        <w:spacing w:before="0"/>
        <w:jc w:val="both"/>
      </w:pPr>
      <w:bookmarkStart w:id="114" w:name="_Toc66802009"/>
      <w:r w:rsidRPr="00FA5606">
        <w:t>5.2. Treguesit e impaktit</w:t>
      </w:r>
      <w:bookmarkEnd w:id="114"/>
    </w:p>
    <w:p w:rsidR="00FB30BA" w:rsidRPr="00E97254" w:rsidRDefault="004E1F53" w:rsidP="000C0250">
      <w:pPr>
        <w:spacing w:before="120" w:after="0"/>
        <w:jc w:val="both"/>
        <w:rPr>
          <w:rFonts w:ascii="Calibri" w:hAnsi="Calibri" w:cs="Calibri"/>
        </w:rPr>
      </w:pPr>
      <w:r>
        <w:rPr>
          <w:rFonts w:ascii="Calibri" w:hAnsi="Calibri" w:cs="Calibri"/>
        </w:rPr>
        <w:t>Treguesit kryesorë të impaktit janë:</w:t>
      </w:r>
    </w:p>
    <w:p w:rsidR="00E30D9C" w:rsidRPr="00E97254" w:rsidRDefault="004E1F53" w:rsidP="000C0250">
      <w:pPr>
        <w:spacing w:after="0"/>
        <w:jc w:val="both"/>
      </w:pPr>
      <w:r>
        <w:t>1. Raporti bruto dhe neto i regjistrimit (GER dhe NER) sipas niveleve të ISCED</w:t>
      </w:r>
      <w:r w:rsidR="00A132DA">
        <w:t>-it</w:t>
      </w:r>
      <w:r>
        <w:t>,</w:t>
      </w:r>
    </w:p>
    <w:p w:rsidR="00E30D9C" w:rsidRPr="00E97254" w:rsidRDefault="004E1F53" w:rsidP="000C0250">
      <w:pPr>
        <w:spacing w:after="0"/>
        <w:jc w:val="both"/>
      </w:pPr>
      <w:r>
        <w:t>2. Indeksi i paritetit gjinor sipas niveleve të ISCED</w:t>
      </w:r>
      <w:r w:rsidR="00A132DA">
        <w:t>-it</w:t>
      </w:r>
      <w:r>
        <w:t>,</w:t>
      </w:r>
    </w:p>
    <w:p w:rsidR="00E30D9C" w:rsidRPr="00E97254" w:rsidRDefault="004E1F53" w:rsidP="000C0250">
      <w:pPr>
        <w:spacing w:after="0"/>
        <w:jc w:val="both"/>
      </w:pPr>
      <w:r>
        <w:t>3. Përqindja e popullsisë të moshës 30-34 vjeç që ka ndjekur arsimin e lartë.</w:t>
      </w:r>
    </w:p>
    <w:p w:rsidR="00C95CEB" w:rsidRPr="00E97254" w:rsidRDefault="00C95CEB" w:rsidP="000C0250">
      <w:pPr>
        <w:spacing w:after="0"/>
        <w:jc w:val="both"/>
      </w:pPr>
    </w:p>
    <w:p w:rsidR="00C95CEB" w:rsidRPr="00E97254" w:rsidRDefault="004E1F53" w:rsidP="000C0250">
      <w:pPr>
        <w:spacing w:after="0"/>
        <w:jc w:val="both"/>
      </w:pPr>
      <w:r>
        <w:t>Treguesi 1 jep të dhëna për përfshirjen në sistemin e arsimit sipas niveleve të ISCED</w:t>
      </w:r>
      <w:r w:rsidR="00A132DA">
        <w:t>-it</w:t>
      </w:r>
      <w:r>
        <w:t xml:space="preserve"> dhe bën të mundur krahasimin me vendet e tjera. Treguesi raportohet nga INSTAT</w:t>
      </w:r>
      <w:r w:rsidR="00A132DA">
        <w:t>-i</w:t>
      </w:r>
      <w:r>
        <w:t xml:space="preserve"> në baza vjetore.</w:t>
      </w:r>
    </w:p>
    <w:p w:rsidR="00C95CEB" w:rsidRPr="00E97254" w:rsidRDefault="004E1F53" w:rsidP="000C0250">
      <w:pPr>
        <w:spacing w:after="0"/>
        <w:jc w:val="both"/>
      </w:pPr>
      <w:r>
        <w:t xml:space="preserve">Treguesi 2 flet për barazinë gjinore. Është një nga treguesit e </w:t>
      </w:r>
      <w:r w:rsidR="00A50A43">
        <w:t>OZHQ</w:t>
      </w:r>
      <w:r>
        <w:t>4</w:t>
      </w:r>
      <w:r w:rsidR="00A132DA">
        <w:t>-</w:t>
      </w:r>
      <w:r w:rsidR="00A132DA" w:rsidRPr="004E1F53">
        <w:t>ë</w:t>
      </w:r>
      <w:r w:rsidR="00A132DA">
        <w:t>s</w:t>
      </w:r>
      <w:r>
        <w:t xml:space="preserve"> dhe përllogaritet si herës i numrit të femrave dhe meshkujve të regjistruar në nivelin e caktuar të ISCED</w:t>
      </w:r>
      <w:r w:rsidR="00A132DA">
        <w:t>-it</w:t>
      </w:r>
      <w:r>
        <w:t>.</w:t>
      </w:r>
    </w:p>
    <w:p w:rsidR="003228E8" w:rsidRPr="00E97254" w:rsidRDefault="004E1F53" w:rsidP="00B27D92">
      <w:pPr>
        <w:spacing w:after="0"/>
        <w:jc w:val="both"/>
      </w:pPr>
      <w:r>
        <w:t xml:space="preserve">Treguesi 3 është nga dokumenti i BE “Education&amp;Training 2020” dhe flet për nivelin arsimor të popullsisë. Të dhënat mblidhen </w:t>
      </w:r>
      <w:r w:rsidR="00A50A43">
        <w:t>nëpërmjet</w:t>
      </w:r>
      <w:r>
        <w:t xml:space="preserve"> anketës së forcës së punës. Në Shqipëri, të dhënat për </w:t>
      </w:r>
      <w:r>
        <w:rPr>
          <w:color w:val="000000"/>
        </w:rPr>
        <w:t>përqindjen e popullsisë të moshës 30-34 vjeç që ka ndjekur ose është duke ndjekur arsimin e lartë</w:t>
      </w:r>
      <w:r>
        <w:t xml:space="preserve"> mund të nxirren nga Censusi. Treguesi bën të mundur krahasimin me vendet e BE.</w:t>
      </w:r>
      <w:bookmarkStart w:id="115" w:name="_Toc66802010"/>
      <w:r>
        <w:t xml:space="preserve"> 6. </w:t>
      </w:r>
    </w:p>
    <w:p w:rsidR="007D0EE4" w:rsidRPr="00E97254" w:rsidRDefault="007D0EE4" w:rsidP="000C0250">
      <w:pPr>
        <w:rPr>
          <w:rFonts w:ascii="Times New Roman" w:hAnsi="Times New Roman" w:cs="Times New Roman"/>
          <w:b/>
          <w:sz w:val="20"/>
          <w:szCs w:val="20"/>
        </w:rPr>
      </w:pPr>
    </w:p>
    <w:p w:rsidR="003228E8" w:rsidRPr="00E97254" w:rsidRDefault="00AB227E" w:rsidP="000C0250">
      <w:pPr>
        <w:pStyle w:val="Heading1"/>
        <w:jc w:val="both"/>
        <w:rPr>
          <w:rFonts w:asciiTheme="minorHAnsi" w:hAnsiTheme="minorHAnsi" w:cstheme="minorHAnsi"/>
          <w:color w:val="548DD4" w:themeColor="text2" w:themeTint="99"/>
        </w:rPr>
      </w:pPr>
      <w:hyperlink w:anchor="_Toc57367052" w:history="1">
        <w:r w:rsidR="00FA5606" w:rsidRPr="00FA5606">
          <w:rPr>
            <w:rStyle w:val="Hyperlink"/>
            <w:rFonts w:asciiTheme="minorHAnsi" w:hAnsiTheme="minorHAnsi" w:cstheme="minorHAnsi"/>
            <w:color w:val="548DD4" w:themeColor="text2" w:themeTint="99"/>
          </w:rPr>
          <w:t>PJESA II – QËLLIMI I POLITIKAVE DHE OBJEKTIVAT SPECIFIK</w:t>
        </w:r>
        <w:r w:rsidR="00513AF3">
          <w:rPr>
            <w:rStyle w:val="Hyperlink"/>
            <w:rFonts w:asciiTheme="minorHAnsi" w:hAnsiTheme="minorHAnsi" w:cstheme="minorHAnsi"/>
            <w:color w:val="548DD4" w:themeColor="text2" w:themeTint="99"/>
          </w:rPr>
          <w:t>E</w:t>
        </w:r>
        <w:r w:rsidR="00FA5606" w:rsidRPr="00FA5606">
          <w:rPr>
            <w:rStyle w:val="Hyperlink"/>
            <w:rFonts w:asciiTheme="minorHAnsi" w:hAnsiTheme="minorHAnsi" w:cstheme="minorHAnsi"/>
            <w:color w:val="548DD4" w:themeColor="text2" w:themeTint="99"/>
          </w:rPr>
          <w:t xml:space="preserve"> TË STRATEGJISË</w:t>
        </w:r>
        <w:r w:rsidR="00FA5606" w:rsidRPr="00FA5606">
          <w:rPr>
            <w:rStyle w:val="Hyperlink"/>
            <w:rFonts w:asciiTheme="minorHAnsi" w:hAnsiTheme="minorHAnsi" w:cstheme="minorHAnsi"/>
            <w:webHidden/>
            <w:color w:val="548DD4" w:themeColor="text2" w:themeTint="99"/>
          </w:rPr>
          <w:t xml:space="preserve">  </w:t>
        </w:r>
      </w:hyperlink>
    </w:p>
    <w:bookmarkEnd w:id="115"/>
    <w:p w:rsidR="007D0EE4" w:rsidRPr="00E97254" w:rsidRDefault="00FA5606" w:rsidP="000C0250">
      <w:pPr>
        <w:spacing w:before="120" w:after="120"/>
        <w:jc w:val="both"/>
      </w:pPr>
      <w:r w:rsidRPr="00FA5606">
        <w:t xml:space="preserve">Vizioni i Strategjisë Kombëtare të Arsimit 2021-2026 është zbërthyer në gjithsej tri qëllime të politikave siç shihet nga </w:t>
      </w:r>
      <w:r w:rsidR="008D102D">
        <w:fldChar w:fldCharType="begin"/>
      </w:r>
      <w:r w:rsidR="008D102D">
        <w:instrText xml:space="preserve"> REF _Ref52186049 \h  \* MERGEFORMAT </w:instrText>
      </w:r>
      <w:r w:rsidR="008D102D">
        <w:fldChar w:fldCharType="separate"/>
      </w:r>
      <w:r w:rsidR="005A6200" w:rsidRPr="00E97254">
        <w:rPr>
          <w:rFonts w:ascii="Calibri" w:hAnsi="Calibri" w:cs="Calibri"/>
        </w:rPr>
        <w:t>Figura 12</w:t>
      </w:r>
      <w:r w:rsidR="008D102D">
        <w:fldChar w:fldCharType="end"/>
      </w:r>
      <w:r w:rsidR="00C95CEB" w:rsidRPr="00E97254">
        <w:t>.</w:t>
      </w:r>
      <w:bookmarkStart w:id="116" w:name="_Ref52186049"/>
      <w:bookmarkStart w:id="117" w:name="_Toc66802065"/>
    </w:p>
    <w:p w:rsidR="007D0EE4" w:rsidRPr="00E97254" w:rsidRDefault="00C95CEB" w:rsidP="000C0250">
      <w:pPr>
        <w:spacing w:before="120" w:after="120"/>
      </w:pPr>
      <w:r w:rsidRPr="00E97254">
        <w:rPr>
          <w:rFonts w:ascii="Calibri" w:hAnsi="Calibri" w:cs="Calibri"/>
        </w:rPr>
        <w:lastRenderedPageBreak/>
        <w:t xml:space="preserve">Figura </w:t>
      </w:r>
      <w:r w:rsidR="00EC56B7" w:rsidRPr="00E97254">
        <w:rPr>
          <w:rFonts w:ascii="Calibri" w:hAnsi="Calibri" w:cs="Calibri"/>
        </w:rPr>
        <w:fldChar w:fldCharType="begin"/>
      </w:r>
      <w:r w:rsidR="00FA5606" w:rsidRPr="00FA5606">
        <w:rPr>
          <w:rFonts w:ascii="Calibri" w:hAnsi="Calibri" w:cs="Calibri"/>
        </w:rPr>
        <w:instrText xml:space="preserve"> SEQ Figura \* ARABIC </w:instrText>
      </w:r>
      <w:r w:rsidR="00EC56B7" w:rsidRPr="00E97254">
        <w:rPr>
          <w:rFonts w:ascii="Calibri" w:hAnsi="Calibri" w:cs="Calibri"/>
        </w:rPr>
        <w:fldChar w:fldCharType="separate"/>
      </w:r>
      <w:r w:rsidR="005A6200" w:rsidRPr="00E97254">
        <w:rPr>
          <w:rFonts w:ascii="Calibri" w:hAnsi="Calibri" w:cs="Calibri"/>
        </w:rPr>
        <w:t>12</w:t>
      </w:r>
      <w:r w:rsidR="00EC56B7" w:rsidRPr="00E97254">
        <w:rPr>
          <w:rFonts w:ascii="Calibri" w:hAnsi="Calibri" w:cs="Calibri"/>
        </w:rPr>
        <w:fldChar w:fldCharType="end"/>
      </w:r>
      <w:bookmarkEnd w:id="116"/>
      <w:r w:rsidRPr="00E97254">
        <w:rPr>
          <w:rFonts w:ascii="Calibri" w:hAnsi="Calibri" w:cs="Calibri"/>
        </w:rPr>
        <w:t>.</w:t>
      </w:r>
      <w:r w:rsidR="002B257B" w:rsidRPr="00E97254">
        <w:rPr>
          <w:rFonts w:ascii="Calibri" w:hAnsi="Calibri" w:cs="Calibri"/>
          <w:b/>
        </w:rPr>
        <w:t xml:space="preserve"> </w:t>
      </w:r>
      <w:r w:rsidR="00647B06" w:rsidRPr="00E97254">
        <w:rPr>
          <w:rFonts w:ascii="Calibri" w:hAnsi="Calibri" w:cs="Calibri"/>
          <w:b/>
        </w:rPr>
        <w:t xml:space="preserve">Qëllimet e politikave </w:t>
      </w:r>
      <w:r w:rsidRPr="00E97254">
        <w:rPr>
          <w:rFonts w:ascii="Calibri" w:hAnsi="Calibri" w:cs="Calibri"/>
          <w:b/>
        </w:rPr>
        <w:t xml:space="preserve">të </w:t>
      </w:r>
      <w:r w:rsidR="00444A79" w:rsidRPr="00E97254">
        <w:rPr>
          <w:rFonts w:ascii="Calibri" w:hAnsi="Calibri" w:cs="Calibri"/>
          <w:b/>
        </w:rPr>
        <w:t>Strategjisë</w:t>
      </w:r>
      <w:bookmarkEnd w:id="117"/>
      <w:r w:rsidR="00B91568" w:rsidRPr="00E97254">
        <w:rPr>
          <w:noProof/>
          <w:lang w:val="en-US"/>
        </w:rPr>
        <w:drawing>
          <wp:inline distT="0" distB="0" distL="0" distR="0">
            <wp:extent cx="5110480" cy="2726055"/>
            <wp:effectExtent l="25400" t="0" r="20320" b="4445"/>
            <wp:docPr id="482" name="Diagram 8"/>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7" r:lo="rId28" r:qs="rId29" r:cs="rId30"/>
              </a:graphicData>
            </a:graphic>
          </wp:inline>
        </w:drawing>
      </w:r>
    </w:p>
    <w:p w:rsidR="00565BD3" w:rsidRPr="00E97254" w:rsidRDefault="00565BD3" w:rsidP="000C0250">
      <w:pPr>
        <w:spacing w:before="120" w:after="120"/>
        <w:jc w:val="both"/>
      </w:pPr>
      <w:r w:rsidRPr="00E97254">
        <w:t>Qëllimet e politikave të prezantuara këtu përputh</w:t>
      </w:r>
      <w:r w:rsidR="00851CF2" w:rsidRPr="00E97254">
        <w:t>en</w:t>
      </w:r>
      <w:r w:rsidRPr="00E97254">
        <w:t xml:space="preserve"> me qëllimet e politikave të programeve që paraqiten në Programin Buxhetor Afatmesëm 2021-2023:</w:t>
      </w:r>
    </w:p>
    <w:p w:rsidR="00565BD3" w:rsidRPr="00E97254" w:rsidRDefault="00565BD3" w:rsidP="000C0250">
      <w:pPr>
        <w:pStyle w:val="ListParagraph"/>
        <w:numPr>
          <w:ilvl w:val="0"/>
          <w:numId w:val="27"/>
        </w:numPr>
        <w:jc w:val="both"/>
      </w:pPr>
      <w:r w:rsidRPr="00E97254">
        <w:t xml:space="preserve">Qëllimi i politikës </w:t>
      </w:r>
      <w:r w:rsidR="00D121A6" w:rsidRPr="00E97254">
        <w:t xml:space="preserve">A </w:t>
      </w:r>
      <w:r w:rsidRPr="00E97254">
        <w:t>përputhet me qëllimet e politikave të programeve “09120 – Arsimi bazë (përfshirë parashkollor</w:t>
      </w:r>
      <w:r w:rsidR="00FA5606" w:rsidRPr="00FA5606">
        <w:t>in)” dhe “09230 – Arsimi i mesëm i lartë”;</w:t>
      </w:r>
    </w:p>
    <w:p w:rsidR="00565BD3" w:rsidRPr="00E97254" w:rsidRDefault="00FA5606" w:rsidP="000C0250">
      <w:pPr>
        <w:pStyle w:val="ListParagraph"/>
        <w:numPr>
          <w:ilvl w:val="0"/>
          <w:numId w:val="27"/>
        </w:numPr>
        <w:jc w:val="both"/>
      </w:pPr>
      <w:r w:rsidRPr="00FA5606">
        <w:t xml:space="preserve">Qëllimi i politikës B përputhet me qëllimin e politikës </w:t>
      </w:r>
      <w:r w:rsidR="00D17ECD">
        <w:t>s</w:t>
      </w:r>
      <w:r w:rsidRPr="00FA5606">
        <w:t>ë programit “01110-Planifikimi, menaxhimi dhe administrimi”.</w:t>
      </w:r>
    </w:p>
    <w:p w:rsidR="00565BD3" w:rsidRPr="00E97254" w:rsidRDefault="00FA5606" w:rsidP="000C0250">
      <w:pPr>
        <w:jc w:val="both"/>
      </w:pPr>
      <w:r w:rsidRPr="00FA5606">
        <w:t xml:space="preserve">Qëllimi i politikës C përputhet me qëllimin e politikës </w:t>
      </w:r>
      <w:r w:rsidR="00D17ECD">
        <w:t>s</w:t>
      </w:r>
      <w:r w:rsidRPr="00FA5606">
        <w:t>ë programit “09450 – Arsimi i lartë”.</w:t>
      </w:r>
    </w:p>
    <w:p w:rsidR="001862A8" w:rsidRPr="00E97254" w:rsidRDefault="00FA5606" w:rsidP="000C0250">
      <w:pPr>
        <w:jc w:val="both"/>
      </w:pPr>
      <w:r w:rsidRPr="00FA5606">
        <w:t>Më tutje, secili qëllim i politikës është zbërthyer në objektiva specifik</w:t>
      </w:r>
      <w:r w:rsidR="00513AF3">
        <w:t>e</w:t>
      </w:r>
      <w:r w:rsidRPr="00FA5606">
        <w:t>, të cilat zbërthehen në produkte (rezultate të pritshme), ndërsa produktet zbërthehen në masa (</w:t>
      </w:r>
      <w:r w:rsidR="008D102D">
        <w:fldChar w:fldCharType="begin"/>
      </w:r>
      <w:r w:rsidR="008D102D">
        <w:instrText xml:space="preserve"> REF _Ref52187145 \h  \* MERGEFORMAT </w:instrText>
      </w:r>
      <w:r w:rsidR="008D102D">
        <w:fldChar w:fldCharType="separate"/>
      </w:r>
      <w:r w:rsidR="005A6200" w:rsidRPr="00E97254">
        <w:rPr>
          <w:rFonts w:ascii="Calibri" w:hAnsi="Calibri" w:cs="Calibri"/>
        </w:rPr>
        <w:t>Figura 13</w:t>
      </w:r>
      <w:r w:rsidR="008D102D">
        <w:fldChar w:fldCharType="end"/>
      </w:r>
      <w:r w:rsidR="00CC05FE" w:rsidRPr="00E97254">
        <w:t xml:space="preserve">). Për secilin objektiv specifik janë dhënë treguesit të cilët ofrojnë informacion objektiv për progresin e zbatimit të Strategjisë. </w:t>
      </w:r>
    </w:p>
    <w:p w:rsidR="00CC05FE" w:rsidRPr="00E97254" w:rsidRDefault="00CC05FE" w:rsidP="000C0250">
      <w:pPr>
        <w:pStyle w:val="Caption"/>
        <w:keepNext/>
        <w:spacing w:before="120" w:after="120" w:line="276" w:lineRule="auto"/>
        <w:jc w:val="both"/>
        <w:rPr>
          <w:rFonts w:ascii="Calibri" w:hAnsi="Calibri" w:cs="Calibri"/>
          <w:b w:val="0"/>
          <w:color w:val="auto"/>
          <w:sz w:val="22"/>
          <w:szCs w:val="22"/>
        </w:rPr>
      </w:pPr>
      <w:bookmarkStart w:id="118" w:name="_Ref52187145"/>
      <w:bookmarkStart w:id="119" w:name="_Toc66802066"/>
      <w:r w:rsidRPr="00E97254">
        <w:rPr>
          <w:rFonts w:ascii="Calibri" w:hAnsi="Calibri" w:cs="Calibri"/>
          <w:color w:val="auto"/>
          <w:sz w:val="22"/>
          <w:szCs w:val="22"/>
        </w:rPr>
        <w:t xml:space="preserve">Figura </w:t>
      </w:r>
      <w:r w:rsidR="00EC56B7" w:rsidRPr="00FA5606">
        <w:rPr>
          <w:rFonts w:ascii="Calibri" w:hAnsi="Calibri" w:cs="Calibri"/>
          <w:color w:val="auto"/>
          <w:sz w:val="22"/>
          <w:szCs w:val="22"/>
        </w:rPr>
        <w:fldChar w:fldCharType="begin"/>
      </w:r>
      <w:r w:rsidR="00FA5606" w:rsidRPr="00FA5606">
        <w:rPr>
          <w:rFonts w:ascii="Calibri" w:hAnsi="Calibri" w:cs="Calibri"/>
          <w:color w:val="auto"/>
          <w:sz w:val="22"/>
          <w:szCs w:val="22"/>
        </w:rPr>
        <w:instrText xml:space="preserve"> SEQ Figura \* ARABIC </w:instrText>
      </w:r>
      <w:r w:rsidR="00EC56B7" w:rsidRPr="00FA5606">
        <w:rPr>
          <w:rFonts w:ascii="Calibri" w:hAnsi="Calibri" w:cs="Calibri"/>
          <w:color w:val="auto"/>
          <w:sz w:val="22"/>
          <w:szCs w:val="22"/>
        </w:rPr>
        <w:fldChar w:fldCharType="separate"/>
      </w:r>
      <w:r w:rsidR="00FA5606" w:rsidRPr="00FA5606">
        <w:rPr>
          <w:rFonts w:ascii="Calibri" w:hAnsi="Calibri" w:cs="Calibri"/>
          <w:color w:val="auto"/>
          <w:sz w:val="22"/>
          <w:szCs w:val="22"/>
        </w:rPr>
        <w:t>13</w:t>
      </w:r>
      <w:r w:rsidR="00EC56B7" w:rsidRPr="00FA5606">
        <w:rPr>
          <w:rFonts w:ascii="Calibri" w:hAnsi="Calibri" w:cs="Calibri"/>
          <w:color w:val="auto"/>
          <w:sz w:val="22"/>
          <w:szCs w:val="22"/>
        </w:rPr>
        <w:fldChar w:fldCharType="end"/>
      </w:r>
      <w:bookmarkEnd w:id="118"/>
      <w:r w:rsidR="00FA5606" w:rsidRPr="00FA5606">
        <w:rPr>
          <w:rFonts w:ascii="Calibri" w:hAnsi="Calibri" w:cs="Calibri"/>
          <w:color w:val="auto"/>
          <w:sz w:val="22"/>
          <w:szCs w:val="22"/>
        </w:rPr>
        <w:t>.</w:t>
      </w:r>
      <w:r w:rsidR="00FA5606" w:rsidRPr="00FA5606">
        <w:rPr>
          <w:rFonts w:ascii="Calibri" w:hAnsi="Calibri" w:cs="Calibri"/>
          <w:b w:val="0"/>
          <w:color w:val="auto"/>
          <w:sz w:val="22"/>
          <w:szCs w:val="22"/>
        </w:rPr>
        <w:t xml:space="preserve"> Hierarkia e objektivave të Strategjisë</w:t>
      </w:r>
      <w:bookmarkEnd w:id="119"/>
    </w:p>
    <w:p w:rsidR="00DD04BB" w:rsidRPr="00E97254" w:rsidRDefault="00B91568" w:rsidP="000C0250">
      <w:pPr>
        <w:jc w:val="both"/>
      </w:pPr>
      <w:r w:rsidRPr="00E97254">
        <w:rPr>
          <w:noProof/>
          <w:lang w:val="en-US"/>
        </w:rPr>
        <w:drawing>
          <wp:inline distT="0" distB="0" distL="0" distR="0">
            <wp:extent cx="4059555" cy="2203450"/>
            <wp:effectExtent l="0" t="12700" r="0" b="19050"/>
            <wp:docPr id="483" name="Diagram 10"/>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2" r:lo="rId33" r:qs="rId34" r:cs="rId35"/>
              </a:graphicData>
            </a:graphic>
          </wp:inline>
        </w:drawing>
      </w:r>
    </w:p>
    <w:p w:rsidR="00CC05FE" w:rsidRPr="00E97254" w:rsidRDefault="00184916" w:rsidP="000C0250">
      <w:pPr>
        <w:jc w:val="both"/>
      </w:pPr>
      <w:r w:rsidRPr="00E97254">
        <w:lastRenderedPageBreak/>
        <w:t>Plani Kombëtar për Integrimin E</w:t>
      </w:r>
      <w:r w:rsidR="008112B5" w:rsidRPr="00E97254">
        <w:t>v</w:t>
      </w:r>
      <w:r w:rsidRPr="00E97254">
        <w:t>ropian 2020-2022 i referohet, në mënyrë të përgjithësuar, zbatimit të strategjisë për arsimin parauniversitar dhe reformës së arsimit të lartë, si një ndër prioritetet e kapitu</w:t>
      </w:r>
      <w:r w:rsidR="003A12EA" w:rsidRPr="00E97254">
        <w:t>jve</w:t>
      </w:r>
      <w:r w:rsidRPr="00E97254">
        <w:t xml:space="preserve"> </w:t>
      </w:r>
      <w:r w:rsidR="00FA5606" w:rsidRPr="00FA5606">
        <w:t>25 dhe 26, me fokus në “sigurimin e arsimit gjithëpërfshirës dhe cilësor në të gjitha nivelet, si në zonat urbane ashtu edhe ato rurale”</w:t>
      </w:r>
      <w:sdt>
        <w:sdtPr>
          <w:id w:val="-1315643966"/>
          <w:citation/>
        </w:sdtPr>
        <w:sdtEndPr/>
        <w:sdtContent>
          <w:r w:rsidR="00EC56B7" w:rsidRPr="00E97254">
            <w:fldChar w:fldCharType="begin"/>
          </w:r>
          <w:r w:rsidR="00FA5606" w:rsidRPr="00FA5606">
            <w:instrText xml:space="preserve"> CITATION Kës3 \l 1033 </w:instrText>
          </w:r>
          <w:r w:rsidR="00EC56B7" w:rsidRPr="00E97254">
            <w:fldChar w:fldCharType="separate"/>
          </w:r>
          <w:r w:rsidR="00724BCC" w:rsidRPr="00E97254">
            <w:t xml:space="preserve"> [18]</w:t>
          </w:r>
          <w:r w:rsidR="00EC56B7" w:rsidRPr="00E97254">
            <w:fldChar w:fldCharType="end"/>
          </w:r>
        </w:sdtContent>
      </w:sdt>
      <w:r w:rsidRPr="00E97254">
        <w:t xml:space="preserve"> .</w:t>
      </w:r>
    </w:p>
    <w:p w:rsidR="001862A8" w:rsidRPr="00E97254" w:rsidRDefault="001862A8" w:rsidP="000C0250">
      <w:pPr>
        <w:jc w:val="both"/>
      </w:pPr>
    </w:p>
    <w:p w:rsidR="00FB30BA" w:rsidRPr="00E97254" w:rsidRDefault="00FB30BA" w:rsidP="000C0250">
      <w:pPr>
        <w:pStyle w:val="Heading2"/>
        <w:jc w:val="both"/>
      </w:pPr>
      <w:bookmarkStart w:id="120" w:name="_Toc66802011"/>
      <w:r w:rsidRPr="00E97254">
        <w:t xml:space="preserve">6.1. Qëllimi i Politikës </w:t>
      </w:r>
      <w:r w:rsidR="00D121A6" w:rsidRPr="00E97254">
        <w:t>A</w:t>
      </w:r>
      <w:r w:rsidRPr="00E97254">
        <w:t>: Arsim</w:t>
      </w:r>
      <w:r w:rsidR="00383110" w:rsidRPr="00E97254">
        <w:t>i</w:t>
      </w:r>
      <w:r w:rsidR="00FA5606" w:rsidRPr="00FA5606">
        <w:t xml:space="preserve"> parauniversitar</w:t>
      </w:r>
      <w:bookmarkEnd w:id="120"/>
      <w:r w:rsidR="00FA5606" w:rsidRPr="00FA5606">
        <w:t xml:space="preserve"> </w:t>
      </w:r>
    </w:p>
    <w:p w:rsidR="005D2A13" w:rsidRPr="00E97254" w:rsidRDefault="00FA5606" w:rsidP="000C0250">
      <w:pPr>
        <w:spacing w:before="120" w:after="0"/>
        <w:jc w:val="both"/>
      </w:pPr>
      <w:r w:rsidRPr="00FA5606">
        <w:t>Sipas Ligjit për sistemin arsimor parauniversitar, qëllimi i sistemi</w:t>
      </w:r>
      <w:r w:rsidR="00513AF3">
        <w:t>t</w:t>
      </w:r>
      <w:r w:rsidRPr="00FA5606">
        <w:t xml:space="preserve"> arsimor parauniversitar është “krijimi i kushteve dhe mundësive që nxënësit: a) të ndërtojnë dhe të zhvillojnë njohuri, shkathtësi, qëndrime dhe vlera që kërkon shoqëria demokratike; b) të zhvillohen në mënyrë të pavarur e të gjithanshme; c) të kontribuojnë në ndërtimin dhe mirëqenien vetjake dhe të shoqërisë shqiptare dhe të përballen në mënyrë konstruktive me sfidat e jetës”</w:t>
      </w:r>
      <w:sdt>
        <w:sdtPr>
          <w:id w:val="-455879883"/>
          <w:citation/>
        </w:sdtPr>
        <w:sdtEndPr/>
        <w:sdtContent>
          <w:r w:rsidR="00EC56B7" w:rsidRPr="00E97254">
            <w:fldChar w:fldCharType="begin"/>
          </w:r>
          <w:r w:rsidRPr="00FA5606">
            <w:instrText xml:space="preserve"> CITATION QBZ19 \l 1033 </w:instrText>
          </w:r>
          <w:r w:rsidR="00EC56B7" w:rsidRPr="00E97254">
            <w:fldChar w:fldCharType="separate"/>
          </w:r>
          <w:r w:rsidR="00724BCC" w:rsidRPr="00E97254">
            <w:t xml:space="preserve"> [25]</w:t>
          </w:r>
          <w:r w:rsidR="00EC56B7" w:rsidRPr="00E97254">
            <w:fldChar w:fldCharType="end"/>
          </w:r>
        </w:sdtContent>
      </w:sdt>
      <w:r w:rsidR="009E79F1" w:rsidRPr="00E97254">
        <w:t>.</w:t>
      </w:r>
      <w:r w:rsidR="001B5DC1" w:rsidRPr="00E97254">
        <w:t xml:space="preserve"> Nga ky formulim buron edhe qëllimi i politikës që ndërlidh</w:t>
      </w:r>
      <w:r w:rsidR="008112B5" w:rsidRPr="00E97254">
        <w:t>et</w:t>
      </w:r>
      <w:r w:rsidR="001B5DC1" w:rsidRPr="00E97254">
        <w:t xml:space="preserve"> me sistemin arsimor parauniversitar:</w:t>
      </w:r>
      <w:r w:rsidR="009E79F1" w:rsidRPr="00E97254">
        <w:t xml:space="preserve"> </w:t>
      </w:r>
    </w:p>
    <w:p w:rsidR="005D2A13" w:rsidRPr="00E97254" w:rsidRDefault="003A44C5" w:rsidP="000C0250">
      <w:pPr>
        <w:spacing w:after="0"/>
        <w:jc w:val="both"/>
        <w:rPr>
          <w:highlight w:val="yellow"/>
        </w:rPr>
      </w:pPr>
      <w:r>
        <w:rPr>
          <w:noProof/>
        </w:rPr>
        <mc:AlternateContent>
          <mc:Choice Requires="wps">
            <w:drawing>
              <wp:inline distT="0" distB="0" distL="0" distR="0">
                <wp:extent cx="5943600" cy="798830"/>
                <wp:effectExtent l="12700" t="12700" r="0" b="1270"/>
                <wp:docPr id="19"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43600" cy="798830"/>
                        </a:xfrm>
                        <a:prstGeom prst="rect">
                          <a:avLst/>
                        </a:prstGeom>
                        <a:solidFill>
                          <a:srgbClr val="EBF1DE"/>
                        </a:solidFill>
                        <a:ln w="25400">
                          <a:solidFill>
                            <a:srgbClr val="8064A2"/>
                          </a:solidFill>
                          <a:miter lim="800000"/>
                          <a:headEnd/>
                          <a:tailEnd/>
                        </a:ln>
                      </wps:spPr>
                      <wps:txbx>
                        <w:txbxContent>
                          <w:p w:rsidR="00753C65" w:rsidRPr="00643E81" w:rsidRDefault="00753C65" w:rsidP="003A2FBF">
                            <w:pPr>
                              <w:pStyle w:val="Default"/>
                              <w:rPr>
                                <w:color w:val="FF0000"/>
                                <w:sz w:val="22"/>
                                <w:szCs w:val="22"/>
                                <w:lang w:val="sq-AL"/>
                              </w:rPr>
                            </w:pPr>
                            <w:r w:rsidRPr="00EC56B7">
                              <w:rPr>
                                <w:b/>
                                <w:sz w:val="22"/>
                                <w:lang w:val="sq-AL"/>
                              </w:rPr>
                              <w:t>Qëllimi i politikës A:</w:t>
                            </w:r>
                            <w:r w:rsidRPr="00EC56B7">
                              <w:rPr>
                                <w:sz w:val="22"/>
                                <w:lang w:val="sq-AL"/>
                              </w:rPr>
                              <w:t xml:space="preserve"> Arsim parauniversitar cilësor dhe gjithëpërfshirës që krijon kushte që nxënësit të zhvillojnë njohuri, shkathtësi, qëndrime dhe vlera në pajtim me kërkesat e shoqërisë demokratike; të përballen në mënyrë konstruktive me sfidat e jetës, si dhe të kontribuojnë në ndërtimin e mirëqenies vetjake dhe të shoqërisë</w:t>
                            </w:r>
                          </w:p>
                        </w:txbxContent>
                      </wps:txbx>
                      <wps:bodyPr rot="0" vert="horz" wrap="square" lIns="91440" tIns="45720" rIns="91440" bIns="45720" anchor="t" anchorCtr="0" upright="1">
                        <a:spAutoFit/>
                      </wps:bodyPr>
                    </wps:wsp>
                  </a:graphicData>
                </a:graphic>
              </wp:inline>
            </w:drawing>
          </mc:Choice>
          <mc:Fallback>
            <w:pict>
              <v:shape id="Text Box 52" o:spid="_x0000_s1062" type="#_x0000_t202" style="width:468pt;height:62.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" fillcolor="#ebf1de" strokecolor="#8064a2" strokeweight="2pt">
                <v:path arrowok="t"/>
                <v:textbox style="mso-fit-shape-to-text:t">
                  <w:txbxContent>
                    <w:p w:rsidR="00753C65" w:rsidRPr="00643E81" w:rsidRDefault="00753C65" w:rsidP="003A2FBF">
                      <w:pPr>
                        <w:pStyle w:val="Default"/>
                        <w:rPr>
                          <w:color w:val="FF0000"/>
                          <w:sz w:val="22"/>
                          <w:szCs w:val="22"/>
                          <w:lang w:val="sq-AL"/>
                        </w:rPr>
                      </w:pPr>
                      <w:r w:rsidRPr="00EC56B7">
                        <w:rPr>
                          <w:b/>
                          <w:sz w:val="22"/>
                          <w:lang w:val="sq-AL"/>
                        </w:rPr>
                        <w:t>Qëllimi i politikës A:</w:t>
                      </w:r>
                      <w:r w:rsidRPr="00EC56B7">
                        <w:rPr>
                          <w:sz w:val="22"/>
                          <w:lang w:val="sq-AL"/>
                        </w:rPr>
                        <w:t xml:space="preserve"> Arsim parauniversitar cilësor dhe gjithëpërfshirës që krijon kushte që nxënësit të zhvillojnë njohuri, shkathtësi, qëndrime dhe vlera në pajtim me kërkesat e shoqërisë demokratike; të përballen në mënyrë konstruktive me sfidat e jetës, si dhe të kontribuojnë në ndërtimin e mirëqenies vetjake dhe të shoqërisë</w:t>
                      </w:r>
                    </w:p>
                  </w:txbxContent>
                </v:textbox>
                <w10:anchorlock/>
              </v:shape>
            </w:pict>
          </mc:Fallback>
        </mc:AlternateContent>
      </w:r>
    </w:p>
    <w:p w:rsidR="001B5DC1" w:rsidRPr="00E97254" w:rsidRDefault="001B5DC1" w:rsidP="000C0250">
      <w:pPr>
        <w:spacing w:before="120" w:after="0"/>
        <w:jc w:val="both"/>
      </w:pPr>
      <w:r w:rsidRPr="00E97254">
        <w:t>Janë katër objektiva specifik</w:t>
      </w:r>
      <w:r w:rsidR="00513AF3">
        <w:t>e</w:t>
      </w:r>
      <w:r w:rsidRPr="00E97254">
        <w:t xml:space="preserve"> që ndërlidhen me këtë qëllim të politikës:</w:t>
      </w:r>
    </w:p>
    <w:p w:rsidR="001B5DC1" w:rsidRPr="00E97254" w:rsidRDefault="001B5DC1" w:rsidP="000C0250">
      <w:pPr>
        <w:spacing w:after="0"/>
        <w:jc w:val="both"/>
      </w:pPr>
      <w:r w:rsidRPr="00E97254">
        <w:t xml:space="preserve">Objektivi specifik </w:t>
      </w:r>
      <w:r w:rsidR="006C7ECC" w:rsidRPr="00E97254">
        <w:t>A</w:t>
      </w:r>
      <w:r w:rsidRPr="00E97254">
        <w:t>1. Sigurohet përfshirja e plotë në klasën përgatitore dhe në arsimin e detyrueshëm, si dhe rritet aksesi në arsimin parashkollor dhe t</w:t>
      </w:r>
      <w:r w:rsidR="00A45C61" w:rsidRPr="004E1F53">
        <w:t>ë</w:t>
      </w:r>
      <w:r w:rsidRPr="00E97254">
        <w:t xml:space="preserve"> mesëm të lartë, </w:t>
      </w:r>
      <w:r w:rsidR="00A50A43">
        <w:t>nëpërmjet</w:t>
      </w:r>
      <w:r w:rsidRPr="00E97254">
        <w:t xml:space="preserve"> krijimit të kushteve të përshtatshme infrastrukturore dhe m</w:t>
      </w:r>
      <w:r w:rsidR="00FA5606" w:rsidRPr="00FA5606">
        <w:t>jediseve shkollore miqësore.</w:t>
      </w:r>
    </w:p>
    <w:p w:rsidR="001B5DC1" w:rsidRPr="00E97254" w:rsidRDefault="00FA5606" w:rsidP="000C0250">
      <w:pPr>
        <w:spacing w:after="0"/>
        <w:jc w:val="both"/>
      </w:pPr>
      <w:r w:rsidRPr="00FA5606">
        <w:t xml:space="preserve">Objektivi specifik A2. Krijimi i mundësive për formimin cilësor të mësuesve dhe përmirësimi i sistemit të karrierës që </w:t>
      </w:r>
      <w:r w:rsidR="00A45C61">
        <w:t xml:space="preserve">i </w:t>
      </w:r>
      <w:r w:rsidRPr="00FA5606">
        <w:t>inkurajon ata të zhvillojnë nivele më të larta të aftësive për mësimdhënie.</w:t>
      </w:r>
    </w:p>
    <w:p w:rsidR="001B5DC1" w:rsidRPr="00E97254" w:rsidRDefault="00FA5606" w:rsidP="000C0250">
      <w:pPr>
        <w:spacing w:after="0"/>
        <w:jc w:val="both"/>
      </w:pPr>
      <w:r w:rsidRPr="00FA5606">
        <w:t xml:space="preserve">Objektivi specifik A3. Zbatimi i plotë i kurrikulës së bazuar në kompetenca </w:t>
      </w:r>
      <w:r w:rsidR="00A50A43">
        <w:t>nëpërmjet</w:t>
      </w:r>
      <w:r w:rsidRPr="00FA5606">
        <w:t xml:space="preserve"> mësimdhënies efektive dhe shfrytëzimit të burimeve të cilësisë së lartë.</w:t>
      </w:r>
    </w:p>
    <w:p w:rsidR="001B5DC1" w:rsidRPr="00E97254" w:rsidRDefault="00FA5606" w:rsidP="000C0250">
      <w:pPr>
        <w:spacing w:after="0"/>
        <w:jc w:val="both"/>
      </w:pPr>
      <w:r w:rsidRPr="00FA5606">
        <w:t xml:space="preserve">Objektivi specifik A4. Zhvillimi i kompetencës digjitale </w:t>
      </w:r>
      <w:r w:rsidR="00A50A43">
        <w:t>nëpërmjet</w:t>
      </w:r>
      <w:r w:rsidRPr="00FA5606">
        <w:t xml:space="preserve"> shfrytëzimit më të mirë të teknologjisë së informacionit dhe komunikimit për mësimdhënie dhe të </w:t>
      </w:r>
      <w:r w:rsidR="00643E81">
        <w:t>m</w:t>
      </w:r>
      <w:r w:rsidR="00643E81" w:rsidRPr="000434A3">
        <w:t>ë</w:t>
      </w:r>
      <w:r w:rsidR="00643E81">
        <w:t>suarit</w:t>
      </w:r>
      <w:r w:rsidRPr="00FA5606">
        <w:t>.</w:t>
      </w:r>
    </w:p>
    <w:p w:rsidR="001B5DC1" w:rsidRPr="00E97254" w:rsidRDefault="00FA5606" w:rsidP="000C0250">
      <w:pPr>
        <w:spacing w:after="0"/>
        <w:jc w:val="both"/>
        <w:rPr>
          <w:rFonts w:ascii="Calibri" w:hAnsi="Calibri" w:cs="Calibri"/>
        </w:rPr>
      </w:pPr>
      <w:r w:rsidRPr="00FA5606">
        <w:t xml:space="preserve">Për secilën nga 4 fushat tematike të arsimit parauniversitar të </w:t>
      </w:r>
      <w:r w:rsidR="00A45C61">
        <w:t>p</w:t>
      </w:r>
      <w:r w:rsidR="00A45C61" w:rsidRPr="004E1F53">
        <w:t>ë</w:t>
      </w:r>
      <w:r w:rsidR="00A45C61">
        <w:t>rcaktuara</w:t>
      </w:r>
      <w:r w:rsidRPr="00FA5606">
        <w:t xml:space="preserve"> në seksionin 4.3 është marrë nga një objektiv specifik. Kështu, objektivi A1 i përgjigjet fushës tematike “Gjithëpërfshirja dhe barazia në arsim”, objektivi A2 </w:t>
      </w:r>
      <w:r w:rsidR="00A45C61">
        <w:t xml:space="preserve">- </w:t>
      </w:r>
      <w:r w:rsidRPr="00FA5606">
        <w:t xml:space="preserve">fushës “Mësuesit”, objektivi A3 </w:t>
      </w:r>
      <w:r w:rsidR="00A45C61">
        <w:t xml:space="preserve">- </w:t>
      </w:r>
      <w:r w:rsidRPr="00FA5606">
        <w:t>fushës “</w:t>
      </w:r>
      <w:r w:rsidRPr="00FA5606">
        <w:rPr>
          <w:rFonts w:ascii="Calibri" w:hAnsi="Calibri" w:cs="Calibri"/>
        </w:rPr>
        <w:t>Zotërimi i kompetencave të të nxënit gjatë gjithë jetës”, ndërsa objektivi A4 lidhet me fushën “Digjitalizimi i arsimit”.</w:t>
      </w:r>
    </w:p>
    <w:p w:rsidR="007D0EE4" w:rsidRPr="00E97254" w:rsidRDefault="007D0EE4" w:rsidP="000C0250">
      <w:pPr>
        <w:pStyle w:val="Heading3"/>
        <w:jc w:val="both"/>
        <w:rPr>
          <w:rFonts w:asciiTheme="minorHAnsi" w:eastAsia="MS Mincho" w:hAnsiTheme="minorHAnsi" w:cstheme="minorBidi"/>
          <w:b w:val="0"/>
          <w:bCs w:val="0"/>
          <w:color w:val="auto"/>
        </w:rPr>
      </w:pPr>
      <w:bookmarkStart w:id="121" w:name="_Toc66802012"/>
    </w:p>
    <w:p w:rsidR="003A2491" w:rsidRPr="00E97254" w:rsidRDefault="00FA5606" w:rsidP="000C0250">
      <w:pPr>
        <w:pStyle w:val="Heading3"/>
        <w:jc w:val="both"/>
      </w:pPr>
      <w:r w:rsidRPr="00FA5606">
        <w:t>Objektivi specifik A1: Gjithëpërfshirja dhe barazia në arsim</w:t>
      </w:r>
      <w:bookmarkEnd w:id="121"/>
    </w:p>
    <w:p w:rsidR="007D0EE4" w:rsidRPr="00E97254" w:rsidRDefault="003A44C5" w:rsidP="000C0250">
      <w:pPr>
        <w:spacing w:before="120" w:after="0"/>
        <w:jc w:val="both"/>
      </w:pPr>
      <w:r>
        <w:rPr>
          <w:noProof/>
        </w:rPr>
        <mc:AlternateContent>
          <mc:Choice Requires="wps">
            <w:drawing>
              <wp:inline distT="0" distB="0" distL="0" distR="0">
                <wp:extent cx="5943600" cy="628650"/>
                <wp:effectExtent l="12700" t="12700" r="0" b="6350"/>
                <wp:docPr id="18"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43600" cy="628650"/>
                        </a:xfrm>
                        <a:prstGeom prst="rect">
                          <a:avLst/>
                        </a:prstGeom>
                        <a:solidFill>
                          <a:srgbClr val="EBF1DE"/>
                        </a:solidFill>
                        <a:ln w="25400">
                          <a:solidFill>
                            <a:srgbClr val="8064A2"/>
                          </a:solidFill>
                          <a:miter lim="800000"/>
                          <a:headEnd/>
                          <a:tailEnd/>
                        </a:ln>
                      </wps:spPr>
                      <wps:txbx>
                        <w:txbxContent>
                          <w:p w:rsidR="00753C65" w:rsidRPr="00A45C61" w:rsidRDefault="00753C65" w:rsidP="003A2FBF">
                            <w:pPr>
                              <w:pStyle w:val="Default"/>
                              <w:rPr>
                                <w:color w:val="FF0000"/>
                                <w:sz w:val="22"/>
                                <w:szCs w:val="22"/>
                                <w:lang w:val="sq-AL"/>
                              </w:rPr>
                            </w:pPr>
                            <w:r w:rsidRPr="00EC56B7">
                              <w:rPr>
                                <w:sz w:val="22"/>
                                <w:lang w:val="sq-AL"/>
                              </w:rPr>
                              <w:t>Sigurohet përfshirja e plotë në klasën përgatitore dhe në arsimin e detyrueshëm, si dhe rritet aksesi në arsimin parashkollor dhe te mesëm të lartë, nëpërmjet krijimit të kushteve të përshtatshme infrastrukturore dhe mjediseve shkollore miqësore.</w:t>
                            </w:r>
                          </w:p>
                        </w:txbxContent>
                      </wps:txbx>
                      <wps:bodyPr rot="0" vert="horz" wrap="square" lIns="91440" tIns="45720" rIns="91440" bIns="45720" anchor="t" anchorCtr="0" upright="1">
                        <a:spAutoFit/>
                      </wps:bodyPr>
                    </wps:wsp>
                  </a:graphicData>
                </a:graphic>
              </wp:inline>
            </w:drawing>
          </mc:Choice>
          <mc:Fallback>
            <w:pict>
              <v:shape id="Text Box 51" o:spid="_x0000_s1063" type="#_x0000_t202" style="width:468pt;height:4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" fillcolor="#ebf1de" strokecolor="#8064a2" strokeweight="2pt">
                <v:path arrowok="t"/>
                <v:textbox style="mso-fit-shape-to-text:t">
                  <w:txbxContent>
                    <w:p w:rsidR="00753C65" w:rsidRPr="00A45C61" w:rsidRDefault="00753C65" w:rsidP="003A2FBF">
                      <w:pPr>
                        <w:pStyle w:val="Default"/>
                        <w:rPr>
                          <w:color w:val="FF0000"/>
                          <w:sz w:val="22"/>
                          <w:szCs w:val="22"/>
                          <w:lang w:val="sq-AL"/>
                        </w:rPr>
                      </w:pPr>
                      <w:r w:rsidRPr="00EC56B7">
                        <w:rPr>
                          <w:sz w:val="22"/>
                          <w:lang w:val="sq-AL"/>
                        </w:rPr>
                        <w:t>Sigurohet përfshirja e plotë në klasën përgatitore dhe në arsimin e detyrueshëm, si dhe rritet aksesi në arsimin parashkollor dhe te mesëm të lartë, nëpërmjet krijimit të kushteve të përshtatshme infrastrukturore dhe mjediseve shkollore miqësore.</w:t>
                      </w:r>
                    </w:p>
                  </w:txbxContent>
                </v:textbox>
                <w10:anchorlock/>
              </v:shape>
            </w:pict>
          </mc:Fallback>
        </mc:AlternateContent>
      </w:r>
    </w:p>
    <w:p w:rsidR="00C46620" w:rsidRPr="00E97254" w:rsidRDefault="0019563D" w:rsidP="000C0250">
      <w:pPr>
        <w:spacing w:before="120" w:after="0"/>
        <w:jc w:val="both"/>
      </w:pPr>
      <w:r w:rsidRPr="00E97254">
        <w:lastRenderedPageBreak/>
        <w:t xml:space="preserve">Edhe pse Shqipëria ka shkallë të lakmueshme të përfshirjes së fëmijëve të moshës 5-6 vjeç në arsimin parashkollor, si dhe të fëmijëve 6-15 vjeç në arsimin bazë, me </w:t>
      </w:r>
      <w:r w:rsidR="00FA5606" w:rsidRPr="00FA5606">
        <w:t>k</w:t>
      </w:r>
      <w:r w:rsidR="00FA5606" w:rsidRPr="00FA5606">
        <w:rPr>
          <w:rFonts w:ascii="Segoe UI Symbol" w:hAnsi="Segoe UI Symbol"/>
          <w:lang w:eastAsia="ja-JP"/>
        </w:rPr>
        <w:t>ë</w:t>
      </w:r>
      <w:r w:rsidR="00FA5606" w:rsidRPr="00FA5606">
        <w:t xml:space="preserve">të Strategji synohet që kjo përfshirje të jetë e plotë. Me “klasë përgatitore” nënkuptohen klasat për fëmijë të moshës 5-6 vjeç që nuk kanë ndjekur arsimin parashkollor, të atashuara pranë shkollave të arsimit bazë, por edhe grupet e 3-ta në arsimin parashkollor, ku punohet me program të njëjtë. Po ashtu, synohet të rritet aksesi në arsimin parashkollor, për fëmijët e moshës 3-5 vjeç, si dhe në arsimin e mesëm të lartë, ku, përkundër pjesëmarrjes së lartë nga arsimi bazë (rreth 92.5%), përfshirja është më e ulët se në vendet </w:t>
      </w:r>
      <w:r w:rsidR="00040D92">
        <w:t xml:space="preserve">e </w:t>
      </w:r>
      <w:r w:rsidR="00FA5606" w:rsidRPr="00FA5606">
        <w:t xml:space="preserve">tjera të Rajonit për shkak të braktisjes. Kujdesi i veçantë do t’i kushtohet vajzave dhe djemve në rrezik braktisje si dhe atyre nga grupet vulnerabël: fëmijëve me aftësi të kufizuara, vajzave dhe djemve që rikthehen nga emigracioni, fëmijëve në konflikt me ligjin, si dhe pjesëtarëve të pakicës rome dhe egjiptiane. </w:t>
      </w:r>
    </w:p>
    <w:p w:rsidR="00EF477E" w:rsidRPr="00E97254" w:rsidRDefault="00DC4C19" w:rsidP="000C0250">
      <w:pPr>
        <w:spacing w:after="0"/>
        <w:jc w:val="both"/>
        <w:rPr>
          <w:b/>
        </w:rPr>
      </w:pPr>
      <w:r>
        <w:t xml:space="preserve">Analiza e situatës </w:t>
      </w:r>
      <w:r w:rsidR="00FA5606" w:rsidRPr="00FA5606">
        <w:t xml:space="preserve">në fushën që mbulon ky objektiv specifik është dhënë në seksionin 4.3.1, ndërsa </w:t>
      </w:r>
      <w:r w:rsidR="00FA5606" w:rsidRPr="00FA5606">
        <w:rPr>
          <w:b/>
        </w:rPr>
        <w:t>sfidat kryesore</w:t>
      </w:r>
      <w:r w:rsidR="00FA5606" w:rsidRPr="00FA5606">
        <w:t xml:space="preserve"> që dalin nga analiza janë:</w:t>
      </w:r>
    </w:p>
    <w:p w:rsidR="00EF477E" w:rsidRPr="00E97254" w:rsidRDefault="00FA5606" w:rsidP="000C0250">
      <w:pPr>
        <w:numPr>
          <w:ilvl w:val="0"/>
          <w:numId w:val="22"/>
        </w:numPr>
        <w:spacing w:after="0"/>
        <w:ind w:left="360"/>
        <w:jc w:val="both"/>
        <w:rPr>
          <w:rFonts w:ascii="Noto Sans Symbols" w:eastAsia="Noto Sans Symbols" w:hAnsi="Noto Sans Symbols" w:cs="Noto Sans Symbols"/>
        </w:rPr>
      </w:pPr>
      <w:r w:rsidRPr="00FA5606">
        <w:t xml:space="preserve">Përfshirja në arsimin parauniversitar është e krahasueshme me vendet </w:t>
      </w:r>
      <w:r w:rsidR="00040D92">
        <w:t xml:space="preserve">e </w:t>
      </w:r>
      <w:r w:rsidRPr="00FA5606">
        <w:t xml:space="preserve">Evropës Qendrore dhe Lindore, por ka </w:t>
      </w:r>
      <w:r w:rsidR="00040D92">
        <w:t>pabarazi</w:t>
      </w:r>
      <w:r w:rsidRPr="00FA5606">
        <w:t xml:space="preserve"> të theksuar gjinor</w:t>
      </w:r>
      <w:r w:rsidR="00040D92">
        <w:t>e</w:t>
      </w:r>
      <w:r w:rsidRPr="00FA5606">
        <w:t xml:space="preserve"> në arsimin e mesëm të lartë, ku pjesëmarrja bruto e djemve është 99.3%, ndërsa e vajzave 91.7%. </w:t>
      </w:r>
    </w:p>
    <w:p w:rsidR="00EF477E" w:rsidRPr="00E97254" w:rsidRDefault="00FA5606" w:rsidP="000C0250">
      <w:pPr>
        <w:numPr>
          <w:ilvl w:val="0"/>
          <w:numId w:val="22"/>
        </w:numPr>
        <w:spacing w:after="0"/>
        <w:ind w:left="360"/>
        <w:jc w:val="both"/>
        <w:rPr>
          <w:rFonts w:ascii="Noto Sans Symbols" w:eastAsia="Noto Sans Symbols" w:hAnsi="Noto Sans Symbols" w:cs="Noto Sans Symbols"/>
        </w:rPr>
      </w:pPr>
      <w:r w:rsidRPr="00FA5606">
        <w:t xml:space="preserve">Zhvillimi në fëmijërinë e hershme administrohet nga pushteti vendor nën mbikëqyrje të dy </w:t>
      </w:r>
      <w:r w:rsidR="00A9722D">
        <w:t>institucioneve</w:t>
      </w:r>
      <w:r w:rsidRPr="00FA5606">
        <w:t xml:space="preserve"> të ndryshme qeveritare (Ministria e Shëndetësisë dhe Mbrojtjes Sociale për moshën 0-3 vjeç dhe Ministria e Arsimit, Rinisë dhe Sportit për moshën 3-6 vjeç) dhe mungojnë politika të koordinimit ndërsektorial në këtë fushë.</w:t>
      </w:r>
    </w:p>
    <w:p w:rsidR="00EF477E" w:rsidRPr="00E97254" w:rsidRDefault="00FA5606" w:rsidP="000C0250">
      <w:pPr>
        <w:numPr>
          <w:ilvl w:val="0"/>
          <w:numId w:val="22"/>
        </w:numPr>
        <w:spacing w:after="0"/>
        <w:ind w:left="360"/>
        <w:jc w:val="both"/>
        <w:rPr>
          <w:rFonts w:ascii="Noto Sans Symbols" w:eastAsia="Noto Sans Symbols" w:hAnsi="Noto Sans Symbols" w:cs="Noto Sans Symbols"/>
        </w:rPr>
      </w:pPr>
      <w:r w:rsidRPr="00FA5606">
        <w:t>Përfshirja e ulët e fëmijëve me aftësi të kufizuara në sistemin e arsimit dhe niveli jo i kënaqshëm i arritjeve akademike. Në vitin shkollor 2019-20 në shkollat e zakonshme ishin të regjistruar 4,573 fëmijë, ndërsa në shkollat speciale edhe 652 të tjerë që është ndjeshëm nën parashikimet e numrit total të fëmijëve me aftësi të kufizuara të moshës shkollore.</w:t>
      </w:r>
    </w:p>
    <w:p w:rsidR="00EF477E" w:rsidRPr="00E97254" w:rsidRDefault="00FA5606" w:rsidP="000C0250">
      <w:pPr>
        <w:numPr>
          <w:ilvl w:val="0"/>
          <w:numId w:val="22"/>
        </w:numPr>
        <w:spacing w:after="0"/>
        <w:ind w:left="360"/>
        <w:jc w:val="both"/>
        <w:rPr>
          <w:rFonts w:ascii="Noto Sans Symbols" w:eastAsia="Noto Sans Symbols" w:hAnsi="Noto Sans Symbols" w:cs="Noto Sans Symbols"/>
        </w:rPr>
      </w:pPr>
      <w:r w:rsidRPr="00FA5606">
        <w:t>Me gjithë rritjen e ndjeshme të numrit të mësuesve ndihmës në shkollat e zakonshme dhe trajnimet e zhvilluara, kapacitetet e tyre profesionale nuk janë akoma në nivelin e kërkuar në raport me rolin që kanë.</w:t>
      </w:r>
    </w:p>
    <w:p w:rsidR="00EF477E" w:rsidRPr="00E97254" w:rsidRDefault="00FA5606" w:rsidP="000C0250">
      <w:pPr>
        <w:numPr>
          <w:ilvl w:val="0"/>
          <w:numId w:val="22"/>
        </w:numPr>
        <w:spacing w:after="0"/>
        <w:ind w:left="360"/>
        <w:jc w:val="both"/>
        <w:rPr>
          <w:rFonts w:ascii="Noto Sans Symbols" w:eastAsia="Noto Sans Symbols" w:hAnsi="Noto Sans Symbols" w:cs="Noto Sans Symbols"/>
        </w:rPr>
      </w:pPr>
      <w:r w:rsidRPr="00FA5606">
        <w:t xml:space="preserve">Arritjet mësimore të fëmijëve nga grupet vulnerabël, në veçanti të pjesëtarëve të pakicave rome dhe egjiptiane, si dhe fëmijëve me aftësi të kufizuara, vazhdojnë të jenë nën nivelin e mesatares së vendit. </w:t>
      </w:r>
    </w:p>
    <w:p w:rsidR="00EF477E" w:rsidRPr="00E97254" w:rsidRDefault="00FA5606" w:rsidP="000C0250">
      <w:pPr>
        <w:numPr>
          <w:ilvl w:val="0"/>
          <w:numId w:val="22"/>
        </w:numPr>
        <w:spacing w:after="0"/>
        <w:ind w:left="360"/>
        <w:jc w:val="both"/>
        <w:rPr>
          <w:rFonts w:ascii="Noto Sans Symbols" w:eastAsia="Noto Sans Symbols" w:hAnsi="Noto Sans Symbols" w:cs="Noto Sans Symbols"/>
        </w:rPr>
      </w:pPr>
      <w:r w:rsidRPr="00FA5606">
        <w:t>Me gjithë shtimin e vazhdueshëm të numrit të psikologëve dhe punonjësve socialë, shërbimet psiko-sociale në institucione arsimore nuk janë akoma të konsoliduara, sidomos në nivelin parashkollor.</w:t>
      </w:r>
    </w:p>
    <w:p w:rsidR="00EF477E" w:rsidRPr="00E97254" w:rsidRDefault="00FA5606" w:rsidP="000C0250">
      <w:pPr>
        <w:numPr>
          <w:ilvl w:val="0"/>
          <w:numId w:val="22"/>
        </w:numPr>
        <w:spacing w:after="0"/>
        <w:ind w:left="360"/>
        <w:jc w:val="both"/>
        <w:rPr>
          <w:rFonts w:ascii="Noto Sans Symbols" w:eastAsia="Noto Sans Symbols" w:hAnsi="Noto Sans Symbols" w:cs="Noto Sans Symbols"/>
        </w:rPr>
      </w:pPr>
      <w:r w:rsidRPr="00FA5606">
        <w:t xml:space="preserve">Rrjeti i shkollave nuk i përshtatet tablosë demografike të viteve të fundit, ndërkaq në vitin shkollor 2019/20, 8.56% e nxënësve të arsimit bazë vijonin mësimin në klasa të bashkuara kolektive. </w:t>
      </w:r>
    </w:p>
    <w:p w:rsidR="00EF477E" w:rsidRPr="00E97254" w:rsidRDefault="00FA5606" w:rsidP="000C0250">
      <w:pPr>
        <w:numPr>
          <w:ilvl w:val="0"/>
          <w:numId w:val="22"/>
        </w:numPr>
        <w:spacing w:after="0"/>
        <w:ind w:left="360"/>
        <w:jc w:val="both"/>
        <w:rPr>
          <w:rFonts w:ascii="Noto Sans Symbols" w:eastAsia="Noto Sans Symbols" w:hAnsi="Noto Sans Symbols" w:cs="Noto Sans Symbols"/>
        </w:rPr>
      </w:pPr>
      <w:r w:rsidRPr="00FA5606">
        <w:t>P</w:t>
      </w:r>
      <w:r w:rsidR="00040D92">
        <w:t>avar</w:t>
      </w:r>
      <w:r w:rsidR="00040D92" w:rsidRPr="000434A3">
        <w:t>ë</w:t>
      </w:r>
      <w:r w:rsidR="00040D92">
        <w:t xml:space="preserve">sisht </w:t>
      </w:r>
      <w:r w:rsidRPr="00FA5606">
        <w:t xml:space="preserve">përmirësimeve, infrastruktura shkollore nuk i plotëson standardet e përcaktuara nga shteti. Ndërkaq, për shkak të hapësirës së pamjaftueshme shkollore, në zonat urbane ka </w:t>
      </w:r>
      <w:r w:rsidRPr="00FA5606">
        <w:rPr>
          <w:color w:val="000000"/>
        </w:rPr>
        <w:t xml:space="preserve">mbingarkesë </w:t>
      </w:r>
      <w:r w:rsidRPr="00FA5606">
        <w:t>të klasave me nxënës. Vlerësohet se tërmeti i dt. 26 nëntor 2019 ka shkaktuar dëmtime në 321 institucione arsimore në vlerë të përgjithshme prej 94.83 mil. EUR. Ndërk</w:t>
      </w:r>
      <w:r w:rsidR="00040D92">
        <w:t>oh</w:t>
      </w:r>
      <w:r w:rsidR="00040D92" w:rsidRPr="000434A3">
        <w:t>ë</w:t>
      </w:r>
      <w:r w:rsidRPr="00FA5606">
        <w:t>, nga të dhënat e MASR</w:t>
      </w:r>
      <w:r w:rsidR="00040D92">
        <w:t>-s</w:t>
      </w:r>
      <w:r w:rsidR="00040D92" w:rsidRPr="000434A3">
        <w:t>ë</w:t>
      </w:r>
      <w:r w:rsidR="003F1AEA">
        <w:t>,</w:t>
      </w:r>
      <w:r w:rsidRPr="00FA5606">
        <w:t xml:space="preserve"> </w:t>
      </w:r>
      <w:r w:rsidR="003F1AEA">
        <w:t>del</w:t>
      </w:r>
      <w:r w:rsidRPr="00FA5606">
        <w:t xml:space="preserve"> se vetëm 16% e shkollave kanë rampa. </w:t>
      </w:r>
    </w:p>
    <w:p w:rsidR="00EF477E" w:rsidRPr="00E97254" w:rsidRDefault="00FA5606" w:rsidP="000C0250">
      <w:pPr>
        <w:numPr>
          <w:ilvl w:val="0"/>
          <w:numId w:val="22"/>
        </w:numPr>
        <w:spacing w:after="0"/>
        <w:ind w:left="360"/>
        <w:jc w:val="both"/>
        <w:rPr>
          <w:rFonts w:ascii="Noto Sans Symbols" w:eastAsia="Noto Sans Symbols" w:hAnsi="Noto Sans Symbols" w:cs="Noto Sans Symbols"/>
        </w:rPr>
      </w:pPr>
      <w:r w:rsidRPr="00FA5606">
        <w:t>Prania e rasteve të dhunës, bullizmit dhe ekstremizmit në shkolla. Sipas një raporti të UNESCO</w:t>
      </w:r>
      <w:r w:rsidR="00040D92">
        <w:t>-s</w:t>
      </w:r>
      <w:r w:rsidRPr="00FA5606">
        <w:t>, rreth 20% e nxënësve shqiptarë të moshës 9-15 vjeç kanë qenë viktima të bullizmit në shkolla, që është nën nivelin global prej 32% dhe atë evropian prej 25%.</w:t>
      </w:r>
      <w:r w:rsidR="00040D92">
        <w:t xml:space="preserve"> </w:t>
      </w:r>
    </w:p>
    <w:p w:rsidR="00EF477E" w:rsidRPr="00E97254" w:rsidRDefault="00EF477E" w:rsidP="000C0250">
      <w:pPr>
        <w:spacing w:after="0"/>
        <w:jc w:val="both"/>
        <w:rPr>
          <w:highlight w:val="yellow"/>
        </w:rPr>
      </w:pPr>
    </w:p>
    <w:p w:rsidR="00EF477E" w:rsidRPr="00E97254" w:rsidRDefault="00FA5606" w:rsidP="000C0250">
      <w:pPr>
        <w:spacing w:after="0"/>
        <w:jc w:val="both"/>
      </w:pPr>
      <w:r w:rsidRPr="00FA5606">
        <w:rPr>
          <w:b/>
        </w:rPr>
        <w:t>Produktet/Rezultatet e pritshme</w:t>
      </w:r>
      <w:r w:rsidRPr="00FA5606">
        <w:t xml:space="preserve"> </w:t>
      </w:r>
      <w:r w:rsidRPr="00FA5606">
        <w:rPr>
          <w:b/>
        </w:rPr>
        <w:t>dhe aktivitetet.</w:t>
      </w:r>
      <w:r w:rsidRPr="00FA5606">
        <w:rPr>
          <w:b/>
        </w:rPr>
        <w:softHyphen/>
      </w:r>
      <w:r w:rsidRPr="00FA5606">
        <w:t>- Në vijim janë dhënë produktet dhe aktivitetet e ndërlidhura me objektivin specifik A1.</w:t>
      </w:r>
    </w:p>
    <w:p w:rsidR="00EF477E" w:rsidRPr="00E97254" w:rsidRDefault="00EF477E" w:rsidP="000C0250">
      <w:pPr>
        <w:spacing w:after="0"/>
        <w:jc w:val="both"/>
      </w:pPr>
    </w:p>
    <w:p w:rsidR="00EF477E" w:rsidRPr="00E97254" w:rsidRDefault="00FA5606" w:rsidP="000C0250">
      <w:pPr>
        <w:spacing w:after="0"/>
        <w:jc w:val="both"/>
      </w:pPr>
      <w:r w:rsidRPr="00FA5606">
        <w:rPr>
          <w:u w:val="single"/>
        </w:rPr>
        <w:t>Produkti A1.1</w:t>
      </w:r>
      <w:r w:rsidRPr="00FA5606">
        <w:t xml:space="preserve">. Rritja e aksesit në arsimin parashkollor </w:t>
      </w:r>
    </w:p>
    <w:p w:rsidR="007D0EE4" w:rsidRPr="00E97254" w:rsidRDefault="00FA5606" w:rsidP="000C0250">
      <w:pPr>
        <w:spacing w:after="0"/>
        <w:jc w:val="both"/>
        <w:rPr>
          <w:rFonts w:ascii="Times New Roman" w:eastAsia="Times New Roman" w:hAnsi="Times New Roman" w:cs="Times New Roman"/>
          <w:color w:val="000000" w:themeColor="text1"/>
          <w:sz w:val="24"/>
          <w:szCs w:val="24"/>
        </w:rPr>
      </w:pPr>
      <w:r w:rsidRPr="00FA5606">
        <w:rPr>
          <w:color w:val="000000" w:themeColor="text1"/>
        </w:rPr>
        <w:t>A</w:t>
      </w:r>
      <w:r w:rsidRPr="00FA5606">
        <w:t>1.</w:t>
      </w:r>
      <w:r w:rsidRPr="00FA5606">
        <w:rPr>
          <w:color w:val="000000" w:themeColor="text1"/>
        </w:rPr>
        <w:t xml:space="preserve">1.1. Ndërgjegjësimi i prindërve dhe komunitetit për rëndësinë e arsimit parashkollor </w:t>
      </w:r>
      <w:r w:rsidRPr="00FA5606">
        <w:rPr>
          <w:i/>
          <w:color w:val="000000" w:themeColor="text1"/>
        </w:rPr>
        <w:t xml:space="preserve">do të bëhet </w:t>
      </w:r>
      <w:r w:rsidR="00A50A43">
        <w:rPr>
          <w:i/>
          <w:color w:val="000000" w:themeColor="text1"/>
        </w:rPr>
        <w:t>nëpërmjet</w:t>
      </w:r>
      <w:r w:rsidRPr="00FA5606">
        <w:rPr>
          <w:i/>
          <w:color w:val="000000" w:themeColor="text1"/>
        </w:rPr>
        <w:t xml:space="preserve"> veprimtarive të mirëplanifikuara në nivel të zyrave vendore të arsimit dhe institucioneve parashkollore, si dhe të shkollave të arsimit bazë pranë të cilave janë atashuar klasat përgatitore, në bashkëpunim edhe me pushtetin vendor. Po ashtu, do të mbështeten aktivitetet e ndërgjegjësimit të organizatave të shoqërisë civile dhe partnerëve </w:t>
      </w:r>
      <w:r w:rsidRPr="00FA5606">
        <w:rPr>
          <w:i/>
          <w:color w:val="000000"/>
        </w:rPr>
        <w:t>ndërkombëtarë</w:t>
      </w:r>
      <w:r w:rsidRPr="00FA5606">
        <w:rPr>
          <w:i/>
          <w:color w:val="000000" w:themeColor="text1"/>
        </w:rPr>
        <w:t>.</w:t>
      </w:r>
    </w:p>
    <w:p w:rsidR="002025BA" w:rsidRPr="00E97254" w:rsidRDefault="00FA5606" w:rsidP="000C0250">
      <w:pPr>
        <w:spacing w:after="0"/>
        <w:jc w:val="both"/>
        <w:rPr>
          <w:rFonts w:ascii="Times New Roman" w:eastAsia="Times New Roman" w:hAnsi="Times New Roman" w:cs="Times New Roman"/>
          <w:color w:val="000000" w:themeColor="text1"/>
          <w:sz w:val="24"/>
          <w:szCs w:val="24"/>
        </w:rPr>
      </w:pPr>
      <w:r w:rsidRPr="00FA5606">
        <w:rPr>
          <w:color w:val="000000" w:themeColor="text1"/>
        </w:rPr>
        <w:t>A</w:t>
      </w:r>
      <w:r w:rsidRPr="00FA5606">
        <w:t>1.</w:t>
      </w:r>
      <w:r w:rsidRPr="00FA5606">
        <w:rPr>
          <w:color w:val="000000" w:themeColor="text1"/>
        </w:rPr>
        <w:t>1.2. Avancimi i koordinimit ndërmjet MASR</w:t>
      </w:r>
      <w:r w:rsidR="00040D92">
        <w:rPr>
          <w:color w:val="000000" w:themeColor="text1"/>
        </w:rPr>
        <w:t>-s</w:t>
      </w:r>
      <w:r w:rsidR="00040D92" w:rsidRPr="000434A3">
        <w:t>ë</w:t>
      </w:r>
      <w:r w:rsidRPr="00FA5606">
        <w:rPr>
          <w:color w:val="000000" w:themeColor="text1"/>
        </w:rPr>
        <w:t>, MSH</w:t>
      </w:r>
      <w:r w:rsidR="00040D92">
        <w:rPr>
          <w:color w:val="000000" w:themeColor="text1"/>
        </w:rPr>
        <w:t>-s</w:t>
      </w:r>
      <w:r w:rsidR="00040D92" w:rsidRPr="000434A3">
        <w:t>ë</w:t>
      </w:r>
      <w:r w:rsidRPr="00FA5606">
        <w:rPr>
          <w:color w:val="000000" w:themeColor="text1"/>
        </w:rPr>
        <w:t xml:space="preserve"> dhe pushtetit vendor për edukimin në fëmijërinë e hershme, bazuar në evidencë dhe studime. </w:t>
      </w:r>
      <w:r w:rsidRPr="00FA5606">
        <w:rPr>
          <w:i/>
          <w:color w:val="000000" w:themeColor="text1"/>
        </w:rPr>
        <w:t>Masa përfshin një</w:t>
      </w:r>
      <w:r w:rsidRPr="00FA5606">
        <w:rPr>
          <w:color w:val="000000" w:themeColor="text1"/>
        </w:rPr>
        <w:t xml:space="preserve"> </w:t>
      </w:r>
      <w:r w:rsidRPr="00FA5606">
        <w:rPr>
          <w:i/>
          <w:color w:val="000000" w:themeColor="text1"/>
        </w:rPr>
        <w:t xml:space="preserve">studim që do të realizohet në bashkëpunim me partnerët </w:t>
      </w:r>
      <w:r w:rsidRPr="00FA5606">
        <w:rPr>
          <w:i/>
          <w:color w:val="000000"/>
        </w:rPr>
        <w:t>ndërkombëtarë</w:t>
      </w:r>
      <w:r w:rsidRPr="00FA5606">
        <w:rPr>
          <w:i/>
          <w:color w:val="000000" w:themeColor="text1"/>
        </w:rPr>
        <w:t xml:space="preserve"> të Qeverisë dhe pritet të ofrojë rekomandime për një bashkërendi</w:t>
      </w:r>
      <w:r w:rsidR="00A9722D">
        <w:rPr>
          <w:i/>
          <w:color w:val="000000" w:themeColor="text1"/>
        </w:rPr>
        <w:t>m</w:t>
      </w:r>
      <w:r w:rsidRPr="00FA5606">
        <w:rPr>
          <w:i/>
          <w:color w:val="000000" w:themeColor="text1"/>
        </w:rPr>
        <w:t xml:space="preserve"> më të mirë të veprimtarive </w:t>
      </w:r>
      <w:r w:rsidRPr="00FA5606">
        <w:rPr>
          <w:i/>
          <w:color w:val="000000"/>
        </w:rPr>
        <w:t>midis</w:t>
      </w:r>
      <w:r w:rsidRPr="00FA5606">
        <w:rPr>
          <w:i/>
          <w:color w:val="000000" w:themeColor="text1"/>
        </w:rPr>
        <w:t xml:space="preserve"> ministrive përgjegjëse për edukimin parashkollor dhe pushtetit vendor, </w:t>
      </w:r>
      <w:r w:rsidR="003F1AEA">
        <w:rPr>
          <w:i/>
          <w:color w:val="000000" w:themeColor="text1"/>
        </w:rPr>
        <w:t>p</w:t>
      </w:r>
      <w:r w:rsidR="003F1AEA">
        <w:rPr>
          <w:rFonts w:cstheme="minorHAnsi"/>
        </w:rPr>
        <w:t>ër</w:t>
      </w:r>
      <w:r w:rsidRPr="00FA5606">
        <w:rPr>
          <w:i/>
          <w:color w:val="000000" w:themeColor="text1"/>
        </w:rPr>
        <w:t xml:space="preserve"> avancimi</w:t>
      </w:r>
      <w:r w:rsidR="003F1AEA">
        <w:rPr>
          <w:i/>
          <w:color w:val="000000" w:themeColor="text1"/>
        </w:rPr>
        <w:t>n</w:t>
      </w:r>
      <w:r w:rsidRPr="00FA5606">
        <w:rPr>
          <w:i/>
          <w:color w:val="000000" w:themeColor="text1"/>
        </w:rPr>
        <w:t xml:space="preserve"> </w:t>
      </w:r>
      <w:r w:rsidR="003F1AEA">
        <w:rPr>
          <w:i/>
          <w:color w:val="000000" w:themeColor="text1"/>
        </w:rPr>
        <w:t>e</w:t>
      </w:r>
      <w:r w:rsidRPr="00FA5606">
        <w:rPr>
          <w:i/>
          <w:color w:val="000000" w:themeColor="text1"/>
        </w:rPr>
        <w:t xml:space="preserve"> menaxhimit të këtij sektori.</w:t>
      </w:r>
      <w:r w:rsidR="00040D92">
        <w:rPr>
          <w:i/>
          <w:color w:val="000000" w:themeColor="text1"/>
        </w:rPr>
        <w:t xml:space="preserve"> </w:t>
      </w:r>
    </w:p>
    <w:p w:rsidR="002025BA" w:rsidRPr="00E97254" w:rsidRDefault="00FA5606" w:rsidP="000C0250">
      <w:pPr>
        <w:spacing w:after="0"/>
        <w:jc w:val="both"/>
        <w:rPr>
          <w:rFonts w:ascii="Times New Roman" w:eastAsia="Times New Roman" w:hAnsi="Times New Roman" w:cs="Times New Roman"/>
          <w:i/>
          <w:color w:val="000000" w:themeColor="text1"/>
          <w:sz w:val="24"/>
          <w:szCs w:val="24"/>
        </w:rPr>
      </w:pPr>
      <w:r w:rsidRPr="00FA5606">
        <w:rPr>
          <w:color w:val="000000" w:themeColor="text1"/>
        </w:rPr>
        <w:t>A</w:t>
      </w:r>
      <w:r w:rsidRPr="00FA5606">
        <w:t>1.</w:t>
      </w:r>
      <w:r w:rsidRPr="00FA5606">
        <w:rPr>
          <w:color w:val="000000" w:themeColor="text1"/>
        </w:rPr>
        <w:t xml:space="preserve">1.3. Përfshirja e të gjithë fëmijëve të moshës 5-6 vjeç në grupet e 3-ta në kopshte ose në klasa përgatitore. </w:t>
      </w:r>
      <w:r w:rsidRPr="00FA5606">
        <w:rPr>
          <w:i/>
          <w:color w:val="000000" w:themeColor="text1"/>
        </w:rPr>
        <w:t xml:space="preserve">Në pesë vitet e ardhshme do të krijohen kushtet që të gjithë fëmijët e moshës 5-6 vjeç të kenë akses në arsimin parashkollor, qoftë </w:t>
      </w:r>
      <w:r w:rsidR="00A50A43">
        <w:rPr>
          <w:i/>
          <w:color w:val="000000" w:themeColor="text1"/>
        </w:rPr>
        <w:t>nëpërmjet</w:t>
      </w:r>
      <w:r w:rsidRPr="00FA5606">
        <w:rPr>
          <w:i/>
          <w:color w:val="000000" w:themeColor="text1"/>
        </w:rPr>
        <w:t xml:space="preserve"> regjistrimit në grupet e 3-ta në kopshte</w:t>
      </w:r>
      <w:r w:rsidR="00040D92">
        <w:rPr>
          <w:i/>
          <w:color w:val="000000" w:themeColor="text1"/>
        </w:rPr>
        <w:t>,</w:t>
      </w:r>
      <w:r w:rsidRPr="00FA5606">
        <w:rPr>
          <w:i/>
          <w:color w:val="000000" w:themeColor="text1"/>
        </w:rPr>
        <w:t xml:space="preserve"> ose në klasa përgatitore. </w:t>
      </w:r>
    </w:p>
    <w:p w:rsidR="004E72E5" w:rsidRPr="00E97254" w:rsidRDefault="004E72E5" w:rsidP="000C0250">
      <w:pPr>
        <w:spacing w:after="0"/>
        <w:jc w:val="both"/>
      </w:pPr>
    </w:p>
    <w:p w:rsidR="00B81798" w:rsidRPr="00E97254" w:rsidRDefault="00FA5606" w:rsidP="000C0250">
      <w:pPr>
        <w:spacing w:after="0"/>
        <w:jc w:val="both"/>
        <w:rPr>
          <w:rFonts w:ascii="Times New Roman" w:eastAsia="Times New Roman" w:hAnsi="Times New Roman" w:cs="Times New Roman"/>
          <w:sz w:val="24"/>
          <w:szCs w:val="24"/>
        </w:rPr>
      </w:pPr>
      <w:r w:rsidRPr="00FA5606">
        <w:rPr>
          <w:u w:val="single"/>
        </w:rPr>
        <w:t>Produkti A1.2</w:t>
      </w:r>
      <w:r w:rsidRPr="00FA5606">
        <w:t>. Rritja e pjesëmarrjes në arsimin parauniversitar</w:t>
      </w:r>
      <w:r w:rsidRPr="00FA5606">
        <w:rPr>
          <w:b/>
        </w:rPr>
        <w:t> </w:t>
      </w:r>
    </w:p>
    <w:p w:rsidR="002025BA" w:rsidRPr="00E97254" w:rsidRDefault="00FA5606" w:rsidP="000C0250">
      <w:pPr>
        <w:spacing w:after="0"/>
        <w:jc w:val="both"/>
        <w:rPr>
          <w:rFonts w:ascii="Times New Roman" w:eastAsia="Times New Roman" w:hAnsi="Times New Roman" w:cs="Times New Roman"/>
          <w:i/>
          <w:sz w:val="24"/>
          <w:szCs w:val="24"/>
        </w:rPr>
      </w:pPr>
      <w:r w:rsidRPr="00FA5606">
        <w:rPr>
          <w:color w:val="000000" w:themeColor="text1"/>
        </w:rPr>
        <w:t>A</w:t>
      </w:r>
      <w:r w:rsidRPr="00FA5606">
        <w:t>1.2.1. Krijimi i sistemit për parandalim dhe reagim ndaj mos</w:t>
      </w:r>
      <w:r w:rsidR="00040D92">
        <w:t>-</w:t>
      </w:r>
      <w:r w:rsidRPr="00FA5606">
        <w:t xml:space="preserve">regjistrimit në shkollë dhe braktisjes së nxënësve në arsimin fillor, të mesëm të ulët dhe të lartë. </w:t>
      </w:r>
      <w:r w:rsidRPr="00FA5606">
        <w:rPr>
          <w:i/>
        </w:rPr>
        <w:t>Në shkollat 9-vjeçare dhe të mesme të larta, si dhe në ZVAP do të krijohen grupe për parandalim dhe reagim ndaj mos</w:t>
      </w:r>
      <w:r w:rsidR="00040D92">
        <w:rPr>
          <w:i/>
        </w:rPr>
        <w:t>-</w:t>
      </w:r>
      <w:r w:rsidRPr="00FA5606">
        <w:rPr>
          <w:i/>
        </w:rPr>
        <w:t>regjistrimit në klasën e parë dhe braktisjes</w:t>
      </w:r>
      <w:r w:rsidR="00FB3BCF">
        <w:rPr>
          <w:i/>
        </w:rPr>
        <w:t>,</w:t>
      </w:r>
      <w:r w:rsidRPr="00FA5606">
        <w:rPr>
          <w:i/>
        </w:rPr>
        <w:t xml:space="preserve"> të përbëra nga mësuesit dhe përfaqësuesit e komunitetit. Do të zhvillohen protokolle të veçanta pune për këto grupe dhe do të ndërtohet një sistem raportimi për rastet e mos regjistrimit dhe braktisjes së shkollimit. Po ashtu, do të punohet në ndërtimin e kapacitetit të grupeve të tilla.</w:t>
      </w:r>
    </w:p>
    <w:p w:rsidR="002025BA" w:rsidRPr="00E97254" w:rsidRDefault="00FA5606" w:rsidP="000C0250">
      <w:pPr>
        <w:spacing w:after="0"/>
        <w:jc w:val="both"/>
        <w:rPr>
          <w:i/>
          <w:color w:val="000000"/>
        </w:rPr>
      </w:pPr>
      <w:r w:rsidRPr="00FA5606">
        <w:rPr>
          <w:color w:val="000000" w:themeColor="text1"/>
        </w:rPr>
        <w:t>A</w:t>
      </w:r>
      <w:r w:rsidRPr="00FA5606">
        <w:t xml:space="preserve">1.2.2. Ofrimi i transportit për nxënësit e shkollave të mesme të larta në </w:t>
      </w:r>
      <w:r w:rsidRPr="00FA5606">
        <w:rPr>
          <w:color w:val="000000"/>
        </w:rPr>
        <w:t xml:space="preserve">nevojë që plotësojnë kriteret e përcaktuara. </w:t>
      </w:r>
      <w:r w:rsidRPr="00FA5606">
        <w:rPr>
          <w:i/>
          <w:color w:val="000000"/>
        </w:rPr>
        <w:t>Qëllimi është që të rritet pjesëmarrja në arsimin e mesëm të lartë, prandaj nxënësve të këtij niveli që plotësojnë kritere të caktuara do t</w:t>
      </w:r>
      <w:r w:rsidR="00FB3BCF">
        <w:rPr>
          <w:i/>
          <w:color w:val="000000"/>
        </w:rPr>
        <w:t>’</w:t>
      </w:r>
      <w:r w:rsidRPr="00FA5606">
        <w:rPr>
          <w:i/>
          <w:color w:val="000000"/>
        </w:rPr>
        <w:t>u ofrohet transporti falas deri në shkollë. Besohet se një masë e tillë do të ndikojë në rritjen e pjesëmarrjes së vajzave nga zonat rurale në shkollimin e mesëm të lartë.</w:t>
      </w:r>
    </w:p>
    <w:p w:rsidR="00EF477E" w:rsidRPr="00E97254" w:rsidRDefault="00EF477E" w:rsidP="000C0250">
      <w:pPr>
        <w:spacing w:after="0"/>
        <w:jc w:val="both"/>
        <w:rPr>
          <w:u w:val="single"/>
        </w:rPr>
      </w:pPr>
    </w:p>
    <w:p w:rsidR="00B81798" w:rsidRPr="00E97254" w:rsidRDefault="00FA5606" w:rsidP="000C0250">
      <w:pPr>
        <w:spacing w:after="0"/>
        <w:jc w:val="both"/>
        <w:rPr>
          <w:rFonts w:ascii="Times New Roman" w:eastAsia="Times New Roman" w:hAnsi="Times New Roman" w:cs="Times New Roman"/>
          <w:sz w:val="24"/>
          <w:szCs w:val="24"/>
        </w:rPr>
      </w:pPr>
      <w:r w:rsidRPr="00FA5606">
        <w:rPr>
          <w:u w:val="single"/>
        </w:rPr>
        <w:t>Produkti A1.3</w:t>
      </w:r>
      <w:r w:rsidRPr="00FA5606">
        <w:t>. Sigurimi i arsimit cilësor për fëmijët nga grupet vulnerabël</w:t>
      </w:r>
    </w:p>
    <w:p w:rsidR="00A104BE" w:rsidRPr="00E97254" w:rsidRDefault="00FA5606" w:rsidP="000C0250">
      <w:pPr>
        <w:spacing w:after="0"/>
        <w:jc w:val="both"/>
        <w:rPr>
          <w:i/>
        </w:rPr>
      </w:pPr>
      <w:r w:rsidRPr="00FA5606">
        <w:rPr>
          <w:color w:val="000000" w:themeColor="text1"/>
        </w:rPr>
        <w:t>A</w:t>
      </w:r>
      <w:r w:rsidRPr="00FA5606">
        <w:t xml:space="preserve">1.3.1. Sigurimi i mësuesve ndihmës për nxënësit me aftësi të kufizuara dhe i mësuesve që njohin gjuhën e shenjave shqipe për nxënësit që nuk dëgjojnë. </w:t>
      </w:r>
      <w:r w:rsidRPr="00FA5606">
        <w:rPr>
          <w:i/>
        </w:rPr>
        <w:t xml:space="preserve">Duhet të </w:t>
      </w:r>
      <w:r w:rsidR="00A50A43">
        <w:rPr>
          <w:i/>
        </w:rPr>
        <w:t>trajt</w:t>
      </w:r>
      <w:r w:rsidRPr="00FA5606">
        <w:rPr>
          <w:i/>
        </w:rPr>
        <w:t>ohet më tej numri i pamjaftueshëm i mësuesve ndihmës në rajone ku numri i nxënësve me aftësi të kufizuara për mësues është më i lartë, siç janë Tirana, Durrësi dhe Kamza, duke siguruar që të jenë 2-3 nxënës me aftësi të kufizuara për një mësues ndihmës.</w:t>
      </w:r>
    </w:p>
    <w:p w:rsidR="00A104BE" w:rsidRPr="00E97254" w:rsidRDefault="00FA5606" w:rsidP="000C0250">
      <w:pPr>
        <w:spacing w:after="0"/>
        <w:jc w:val="both"/>
        <w:rPr>
          <w:i/>
        </w:rPr>
      </w:pPr>
      <w:r w:rsidRPr="00FA5606">
        <w:rPr>
          <w:color w:val="000000" w:themeColor="text1"/>
        </w:rPr>
        <w:t>A</w:t>
      </w:r>
      <w:r w:rsidRPr="00FA5606">
        <w:t xml:space="preserve">1.3.2. Zhvillimi i kapaciteteve të mësuesve ndihmës, si dhe i mësuesve që njohin gjuhën e shenjave shqipe. </w:t>
      </w:r>
      <w:r w:rsidRPr="00FA5606">
        <w:rPr>
          <w:i/>
        </w:rPr>
        <w:t xml:space="preserve">Do të hartohen programe të zhvillimit profesional për mësuesit ndihmës, për t'i trajnuar ata në </w:t>
      </w:r>
      <w:r w:rsidRPr="00FA5606">
        <w:rPr>
          <w:i/>
        </w:rPr>
        <w:lastRenderedPageBreak/>
        <w:t>fusha të veçanta të aftësisë së kufizuar, në mënyrë që të mund t’i mbështesin më shumë nxënësit dhe shkollat.</w:t>
      </w:r>
    </w:p>
    <w:p w:rsidR="002025BA" w:rsidRPr="00E97254" w:rsidRDefault="00FA5606" w:rsidP="000C0250">
      <w:pPr>
        <w:spacing w:after="0"/>
        <w:jc w:val="both"/>
        <w:rPr>
          <w:i/>
        </w:rPr>
      </w:pPr>
      <w:r w:rsidRPr="00FA5606">
        <w:rPr>
          <w:color w:val="000000" w:themeColor="text1"/>
        </w:rPr>
        <w:t>A</w:t>
      </w:r>
      <w:r w:rsidRPr="00FA5606">
        <w:t xml:space="preserve">1.3.3. Fuqizimi i shkollave speciale dhe kthimi i tyre në qendra burimore për aftësinë e kufizuar. </w:t>
      </w:r>
      <w:r w:rsidRPr="00FA5606">
        <w:rPr>
          <w:i/>
        </w:rPr>
        <w:t>Duhe</w:t>
      </w:r>
      <w:r w:rsidR="00FB3BCF">
        <w:rPr>
          <w:i/>
        </w:rPr>
        <w:t>n</w:t>
      </w:r>
      <w:r w:rsidRPr="00FA5606">
        <w:rPr>
          <w:i/>
        </w:rPr>
        <w:t xml:space="preserve"> zhvilluar role të reja për shkollat speciale duke i konvertuar ato në qendra burimore me një diapazon të gjerë funksionesh në dobi të mbështetjes së arsimimit të fëmijëve me aftësi të kufizuar. Në ato rajone ku mungojnë shkollat speciale, do të caktohen, fillimisht në formë pilotimi, shkollat që duhet të funksionojnë si qendra burimore për gjithë rajonin, duke marrë për bazë modele tashmë të pilotuara në disa zona të vendit. </w:t>
      </w:r>
    </w:p>
    <w:p w:rsidR="002025BA" w:rsidRPr="00E97254" w:rsidRDefault="00FA5606" w:rsidP="000C0250">
      <w:pPr>
        <w:spacing w:after="0"/>
        <w:jc w:val="both"/>
      </w:pPr>
      <w:r w:rsidRPr="00FA5606">
        <w:rPr>
          <w:color w:val="000000" w:themeColor="text1"/>
        </w:rPr>
        <w:t>A</w:t>
      </w:r>
      <w:r w:rsidRPr="00FA5606">
        <w:t>1.3.4. Pajisja e shkollave me mjete dhe programe teknologjike për t’</w:t>
      </w:r>
      <w:r w:rsidR="00FB3BCF">
        <w:t>u</w:t>
      </w:r>
      <w:r w:rsidRPr="00FA5606">
        <w:t xml:space="preserve"> ardhur në ndihmë fëmijëve me aftësi të kufizuara. </w:t>
      </w:r>
      <w:r w:rsidRPr="00FA5606">
        <w:rPr>
          <w:i/>
        </w:rPr>
        <w:t>Disa nga programet teknologjike dhe mjetet e nevojshme për fëmijët me aftësi të kufizuara janë: programe kompjuterike të ndryshme për fëmijët me vështirësi në shikim, dëgjim, vështirësi në të folur; makina llogaritëse për fëmijët që vuajnë nga diskalkulia; libra audio; monitor/ekran me prekje; set me puzzle/ngjyra/lodra/fletore; libra me figura; i-pad</w:t>
      </w:r>
      <w:r w:rsidR="00FB3BCF">
        <w:rPr>
          <w:i/>
        </w:rPr>
        <w:t>-e</w:t>
      </w:r>
      <w:r w:rsidRPr="00FA5606">
        <w:rPr>
          <w:i/>
        </w:rPr>
        <w:t>; pecs (komunikim nëpërmjet figurave),etj.</w:t>
      </w:r>
    </w:p>
    <w:p w:rsidR="002025BA" w:rsidRPr="00E97254" w:rsidRDefault="00FA5606" w:rsidP="000C0250">
      <w:pPr>
        <w:spacing w:after="0"/>
        <w:jc w:val="both"/>
        <w:rPr>
          <w:i/>
        </w:rPr>
      </w:pPr>
      <w:r w:rsidRPr="00FA5606">
        <w:rPr>
          <w:color w:val="000000" w:themeColor="text1"/>
        </w:rPr>
        <w:t>A</w:t>
      </w:r>
      <w:r w:rsidRPr="00FA5606">
        <w:t xml:space="preserve">1.3.5. Përmirësimi i aksesueshmërisë së fëmijëve me aftësi të kufizuara në çdo shkollë dhe në të gjitha mjediset e shkollës. </w:t>
      </w:r>
      <w:r w:rsidRPr="00FA5606">
        <w:rPr>
          <w:i/>
        </w:rPr>
        <w:t>Për të gjitha investimet nga fonde publike do të zbatohet standardi i ndërtimit të godinave shkollore të përshtatshme për nxënësit me aftësi të kufizuara në mënyrë që këta nxënës të kenë akses të plotë në të gjitha mjediset e shkollës. Standardi do të zbatohet edhe me rastin e rinovimit të godinave shkollore.</w:t>
      </w:r>
    </w:p>
    <w:p w:rsidR="00EF477E" w:rsidRPr="00E97254" w:rsidRDefault="00FA5606" w:rsidP="000C0250">
      <w:pPr>
        <w:spacing w:after="0"/>
        <w:jc w:val="both"/>
      </w:pPr>
      <w:r w:rsidRPr="00FA5606">
        <w:rPr>
          <w:color w:val="000000" w:themeColor="text1"/>
        </w:rPr>
        <w:t>A</w:t>
      </w:r>
      <w:r w:rsidRPr="00FA5606">
        <w:t xml:space="preserve">1.3.6. Mbështetje financiare për nxënësit romë, egjiptianë dhe grupet vulnerabël. </w:t>
      </w:r>
      <w:r w:rsidRPr="00FA5606">
        <w:rPr>
          <w:i/>
        </w:rPr>
        <w:t>MASR</w:t>
      </w:r>
      <w:r w:rsidR="00EC6A41">
        <w:rPr>
          <w:i/>
        </w:rPr>
        <w:t>-ja</w:t>
      </w:r>
      <w:r w:rsidRPr="00FA5606">
        <w:rPr>
          <w:i/>
        </w:rPr>
        <w:t xml:space="preserve"> do të konsolidojë një program të bursave për nxënësit romë dhe egjiptianë të shkollave të mesme nga familjet në kushte të vështira ekonomike. Bursat do të jenë të kushtëzuara me vijimin e rregullt të shkollës, ndërsa përparësi do të kenë vajzat dhe kandidatët me performancë të mirë në mësime.</w:t>
      </w:r>
      <w:r w:rsidRPr="00FA5606">
        <w:t> </w:t>
      </w:r>
    </w:p>
    <w:p w:rsidR="00EF477E" w:rsidRPr="00E97254" w:rsidRDefault="00FA5606" w:rsidP="000C0250">
      <w:pPr>
        <w:spacing w:after="0"/>
        <w:jc w:val="both"/>
      </w:pPr>
      <w:r w:rsidRPr="00FA5606">
        <w:t xml:space="preserve">A1.3.7. </w:t>
      </w:r>
      <w:r w:rsidRPr="00FA5606">
        <w:rPr>
          <w:w w:val="105"/>
        </w:rPr>
        <w:t>Trajnime</w:t>
      </w:r>
      <w:r w:rsidRPr="00FA5606">
        <w:rPr>
          <w:spacing w:val="-5"/>
          <w:w w:val="105"/>
        </w:rPr>
        <w:t xml:space="preserve"> </w:t>
      </w:r>
      <w:r w:rsidRPr="00FA5606">
        <w:rPr>
          <w:w w:val="105"/>
        </w:rPr>
        <w:t>për</w:t>
      </w:r>
      <w:r w:rsidRPr="00FA5606">
        <w:rPr>
          <w:spacing w:val="-4"/>
          <w:w w:val="105"/>
        </w:rPr>
        <w:t xml:space="preserve"> </w:t>
      </w:r>
      <w:r w:rsidRPr="00FA5606">
        <w:rPr>
          <w:w w:val="105"/>
        </w:rPr>
        <w:t>historinë</w:t>
      </w:r>
      <w:r w:rsidRPr="00FA5606">
        <w:rPr>
          <w:spacing w:val="-7"/>
          <w:w w:val="105"/>
        </w:rPr>
        <w:t xml:space="preserve"> </w:t>
      </w:r>
      <w:r w:rsidRPr="00FA5606">
        <w:rPr>
          <w:w w:val="105"/>
        </w:rPr>
        <w:t>dhe</w:t>
      </w:r>
      <w:r w:rsidRPr="00FA5606">
        <w:rPr>
          <w:spacing w:val="-7"/>
          <w:w w:val="105"/>
        </w:rPr>
        <w:t xml:space="preserve"> </w:t>
      </w:r>
      <w:r w:rsidRPr="00FA5606">
        <w:rPr>
          <w:w w:val="105"/>
        </w:rPr>
        <w:t>kulturën</w:t>
      </w:r>
      <w:r w:rsidRPr="00FA5606">
        <w:rPr>
          <w:spacing w:val="-7"/>
          <w:w w:val="105"/>
        </w:rPr>
        <w:t xml:space="preserve"> </w:t>
      </w:r>
      <w:r w:rsidRPr="00FA5606">
        <w:rPr>
          <w:w w:val="105"/>
        </w:rPr>
        <w:t>rome.</w:t>
      </w:r>
      <w:r w:rsidRPr="00FA5606">
        <w:rPr>
          <w:i/>
          <w:w w:val="105"/>
        </w:rPr>
        <w:t xml:space="preserve"> Në trajnime do të përfshihen mësuesit, edukatorët, drejtorët e shkollave, etj.</w:t>
      </w:r>
    </w:p>
    <w:p w:rsidR="00EF477E" w:rsidRPr="00E97254" w:rsidRDefault="00FA5606" w:rsidP="000C0250">
      <w:pPr>
        <w:spacing w:after="0"/>
        <w:jc w:val="both"/>
        <w:rPr>
          <w:i/>
        </w:rPr>
      </w:pPr>
      <w:r w:rsidRPr="00FA5606">
        <w:t xml:space="preserve">A1.3.8. Zhvillimi i kapaciteteve të mësuesve, drejtuesve të shkollave, punonjësve socialë/psikologëve shkollorë, autorëve të teksteve mbi çështjet gjinore. </w:t>
      </w:r>
      <w:r w:rsidRPr="00FA5606">
        <w:rPr>
          <w:i/>
        </w:rPr>
        <w:t>Do të hartohen programe trajnimi që kanë në fokus rritjen e njohurive dhe aftësive gjinore për zvogëlimin e stereotipave dhe diskriminimit gjinor dhe parandalimin e dhunës me bazë gjinore.</w:t>
      </w:r>
    </w:p>
    <w:p w:rsidR="00EF477E" w:rsidRPr="00E97254" w:rsidRDefault="00FA5606" w:rsidP="000C0250">
      <w:pPr>
        <w:spacing w:after="0"/>
        <w:jc w:val="both"/>
      </w:pPr>
      <w:r w:rsidRPr="00FA5606">
        <w:t xml:space="preserve">A1.3.9. Edukimi gjinor i nxënësve </w:t>
      </w:r>
      <w:r w:rsidR="00A50A43">
        <w:t>nëpërmjet</w:t>
      </w:r>
      <w:r w:rsidRPr="00FA5606">
        <w:t xml:space="preserve"> përfshirjes në kurrikul</w:t>
      </w:r>
      <w:r w:rsidR="00EC6A41">
        <w:t>a</w:t>
      </w:r>
      <w:r w:rsidRPr="00FA5606">
        <w:t xml:space="preserve"> të përmbajtjeve mësimore që synojnë edukimin gjinor. </w:t>
      </w:r>
      <w:r w:rsidRPr="00FA5606">
        <w:rPr>
          <w:i/>
        </w:rPr>
        <w:t xml:space="preserve">Hartimi i kurrikulës/orëve mësimore të edukimit gjinor. Nxënësit do të marrin informacion mbi barazinë gjinore, stereotipat gjinorë, dhunën me bazë gjinore dhe dhunën në familje </w:t>
      </w:r>
      <w:r w:rsidR="00A50A43">
        <w:rPr>
          <w:i/>
        </w:rPr>
        <w:t>nëpërmjet</w:t>
      </w:r>
      <w:r w:rsidRPr="00FA5606">
        <w:rPr>
          <w:i/>
        </w:rPr>
        <w:t xml:space="preserve"> kurrikulës/orëve mësimore</w:t>
      </w:r>
      <w:r w:rsidRPr="00FA5606">
        <w:t>.</w:t>
      </w:r>
    </w:p>
    <w:p w:rsidR="004E72E5" w:rsidRPr="00E97254" w:rsidRDefault="004E72E5" w:rsidP="000C0250">
      <w:pPr>
        <w:spacing w:after="0"/>
        <w:jc w:val="both"/>
      </w:pPr>
    </w:p>
    <w:p w:rsidR="00EF477E" w:rsidRPr="00E97254" w:rsidRDefault="00FA5606" w:rsidP="000C0250">
      <w:pPr>
        <w:spacing w:after="0"/>
        <w:jc w:val="both"/>
        <w:rPr>
          <w:rFonts w:ascii="Times New Roman" w:eastAsia="Times New Roman" w:hAnsi="Times New Roman" w:cs="Times New Roman"/>
          <w:sz w:val="24"/>
          <w:szCs w:val="24"/>
        </w:rPr>
      </w:pPr>
      <w:r w:rsidRPr="00FA5606">
        <w:rPr>
          <w:u w:val="single"/>
        </w:rPr>
        <w:t>Produkti A1.4</w:t>
      </w:r>
      <w:r w:rsidRPr="00FA5606">
        <w:t>. Rritja e cilësisë së shërbimit psiko-social për të gjithë nxënësit</w:t>
      </w:r>
    </w:p>
    <w:p w:rsidR="00EF477E" w:rsidRPr="00E97254" w:rsidRDefault="00FA5606" w:rsidP="000C0250">
      <w:pPr>
        <w:spacing w:after="0"/>
        <w:jc w:val="both"/>
      </w:pPr>
      <w:r w:rsidRPr="00FA5606">
        <w:t xml:space="preserve">A1.4.1. Sigurimi i punonjësve psiko-socialë në shkolla. </w:t>
      </w:r>
      <w:r w:rsidRPr="00FA5606">
        <w:rPr>
          <w:i/>
        </w:rPr>
        <w:t xml:space="preserve">Në periudhën 2021-2026 do të rritet numri i psikologëve dhe punonjësve socialë në shkolla </w:t>
      </w:r>
      <w:r w:rsidR="00EC6A41">
        <w:rPr>
          <w:i/>
        </w:rPr>
        <w:t>sipas</w:t>
      </w:r>
      <w:r w:rsidRPr="00FA5606">
        <w:rPr>
          <w:i/>
        </w:rPr>
        <w:t xml:space="preserve"> standardit të përcaktuar nga shteti:</w:t>
      </w:r>
      <w:r w:rsidRPr="00FA5606">
        <w:t xml:space="preserve"> </w:t>
      </w:r>
      <w:r w:rsidRPr="00FA5606">
        <w:rPr>
          <w:i/>
        </w:rPr>
        <w:t>një punonjës socialë/psikolog për 700 nxënës; dy punonjës socialë/psikolog për çdo shkollë me mbi 700 nxënës; një punonjës socialë/psikolog për çdo shkollë që ka të paktën 10 nxënës me aftësi të kufizuara të përcaktuar me raport të Komisionit Mjeko-Ligjor; një psikolog për çdo shkollë të arsimit special; një punonjës socialë/psikolog do të mbulojë disa shkolla në rastet kur shkollat janë me numër më të vogël se 500 nxënës</w:t>
      </w:r>
      <w:r w:rsidR="00EC6A41">
        <w:rPr>
          <w:i/>
        </w:rPr>
        <w:t>.</w:t>
      </w:r>
    </w:p>
    <w:p w:rsidR="00EF477E" w:rsidRPr="00E97254" w:rsidRDefault="00FA5606" w:rsidP="000C0250">
      <w:pPr>
        <w:spacing w:after="0"/>
        <w:jc w:val="both"/>
      </w:pPr>
      <w:r w:rsidRPr="00FA5606">
        <w:rPr>
          <w:color w:val="000000" w:themeColor="text1"/>
        </w:rPr>
        <w:lastRenderedPageBreak/>
        <w:t>A</w:t>
      </w:r>
      <w:r w:rsidRPr="00FA5606">
        <w:t xml:space="preserve">1.4.2. Sigurimi i kushteve optimale te punës për shërbimin psiko-social. </w:t>
      </w:r>
      <w:r w:rsidRPr="00FA5606">
        <w:rPr>
          <w:i/>
        </w:rPr>
        <w:t>Me ndihmën e partnerëve ndërkombëtarë do të ngrihen kabinetet e SHPS</w:t>
      </w:r>
      <w:r w:rsidR="00EC6A41">
        <w:rPr>
          <w:i/>
        </w:rPr>
        <w:t>-s</w:t>
      </w:r>
      <w:r w:rsidR="00EC6A41" w:rsidRPr="000434A3">
        <w:t>ë</w:t>
      </w:r>
      <w:r w:rsidRPr="00FA5606">
        <w:rPr>
          <w:i/>
        </w:rPr>
        <w:t xml:space="preserve"> në të gjitha shkollat  e arsimit parauniversitar dhe do të sigurohen pajisjet përkatëse për psikologët dhe punonjësit socialë në shkolla.</w:t>
      </w:r>
      <w:r w:rsidRPr="00FA5606">
        <w:rPr>
          <w:i/>
          <w:strike/>
        </w:rPr>
        <w:t xml:space="preserve"> </w:t>
      </w:r>
    </w:p>
    <w:p w:rsidR="00EF477E" w:rsidRPr="00E97254" w:rsidRDefault="00FA5606" w:rsidP="000C0250">
      <w:pPr>
        <w:spacing w:after="0"/>
        <w:jc w:val="both"/>
        <w:rPr>
          <w:rFonts w:ascii="Times New Roman" w:eastAsia="Times New Roman" w:hAnsi="Times New Roman" w:cs="Times New Roman"/>
          <w:sz w:val="24"/>
          <w:szCs w:val="24"/>
        </w:rPr>
      </w:pPr>
      <w:r w:rsidRPr="00FA5606">
        <w:rPr>
          <w:color w:val="000000" w:themeColor="text1"/>
        </w:rPr>
        <w:t>A</w:t>
      </w:r>
      <w:r w:rsidRPr="00FA5606">
        <w:t xml:space="preserve">1.4.3. Hartimi i protokolleve te punës për shërbimin psiko-social. </w:t>
      </w:r>
      <w:r w:rsidRPr="00FA5606">
        <w:rPr>
          <w:i/>
        </w:rPr>
        <w:t xml:space="preserve">Këto dokumente do të përfshijnë parimet, standardet, format e vlerësimit, testet e standardizuara psikologjike, etj. që ju nevojiten profesionistëve gjatë punës me nxënësit, stafet e shkollës, prindërit, komunitetin dhe aktorë të tjerë që të gjithë profesionistët të punojnë në mënyrë të </w:t>
      </w:r>
      <w:r w:rsidR="00EC6A41" w:rsidRPr="00EC6A41">
        <w:rPr>
          <w:i/>
        </w:rPr>
        <w:t>nj</w:t>
      </w:r>
      <w:r w:rsidRPr="00FA5606">
        <w:rPr>
          <w:i/>
        </w:rPr>
        <w:t>ësuar.</w:t>
      </w:r>
    </w:p>
    <w:p w:rsidR="00EF477E" w:rsidRPr="00E97254" w:rsidRDefault="00FA5606" w:rsidP="000C0250">
      <w:pPr>
        <w:spacing w:after="0"/>
        <w:jc w:val="both"/>
        <w:rPr>
          <w:i/>
        </w:rPr>
      </w:pPr>
      <w:r w:rsidRPr="00FA5606">
        <w:rPr>
          <w:color w:val="000000" w:themeColor="text1"/>
        </w:rPr>
        <w:t>A</w:t>
      </w:r>
      <w:r w:rsidRPr="00FA5606">
        <w:t xml:space="preserve">1.4.4. Zhvillimi i kapaciteteve te punonjësve te shërbimit psiko-social. </w:t>
      </w:r>
      <w:r w:rsidRPr="00FA5606">
        <w:rPr>
          <w:i/>
        </w:rPr>
        <w:t>Psikologëve dhe punonjësve socialë do</w:t>
      </w:r>
      <w:r w:rsidR="00EC6A41">
        <w:rPr>
          <w:i/>
        </w:rPr>
        <w:t xml:space="preserve"> t‘u</w:t>
      </w:r>
      <w:r w:rsidRPr="00FA5606">
        <w:rPr>
          <w:i/>
        </w:rPr>
        <w:t xml:space="preserve"> ofrohen mundësi për zhvillim profesional për të avancuar cilësinë e shërbimit psiko-social në institucione arsimore. </w:t>
      </w:r>
    </w:p>
    <w:p w:rsidR="004E72E5" w:rsidRPr="00E97254" w:rsidRDefault="004E72E5" w:rsidP="000C0250">
      <w:pPr>
        <w:spacing w:after="0"/>
        <w:jc w:val="both"/>
      </w:pPr>
    </w:p>
    <w:p w:rsidR="00EF477E" w:rsidRPr="00E97254" w:rsidRDefault="00FA5606" w:rsidP="000C0250">
      <w:pPr>
        <w:spacing w:after="0"/>
        <w:jc w:val="both"/>
        <w:rPr>
          <w:rFonts w:ascii="Times New Roman" w:eastAsia="Times New Roman" w:hAnsi="Times New Roman" w:cs="Times New Roman"/>
          <w:sz w:val="24"/>
          <w:szCs w:val="24"/>
        </w:rPr>
      </w:pPr>
      <w:r w:rsidRPr="00FA5606">
        <w:rPr>
          <w:u w:val="single"/>
        </w:rPr>
        <w:t>Produkti A1.5</w:t>
      </w:r>
      <w:r w:rsidRPr="00FA5606">
        <w:t>. Racionalizimi i rrjetit të shkollave</w:t>
      </w:r>
    </w:p>
    <w:p w:rsidR="00EF477E" w:rsidRPr="00E97254" w:rsidRDefault="00FA5606" w:rsidP="000C0250">
      <w:pPr>
        <w:spacing w:after="0"/>
        <w:jc w:val="both"/>
        <w:rPr>
          <w:i/>
        </w:rPr>
      </w:pPr>
      <w:r w:rsidRPr="00FA5606">
        <w:rPr>
          <w:color w:val="000000" w:themeColor="text1"/>
        </w:rPr>
        <w:t>A</w:t>
      </w:r>
      <w:r w:rsidRPr="00FA5606">
        <w:t xml:space="preserve">1.5.1. </w:t>
      </w:r>
      <w:r w:rsidR="00EC6A41">
        <w:t>Pak</w:t>
      </w:r>
      <w:r w:rsidR="00EC6A41" w:rsidRPr="000434A3">
        <w:t>ë</w:t>
      </w:r>
      <w:r w:rsidR="00EC6A41">
        <w:t>simi</w:t>
      </w:r>
      <w:r w:rsidRPr="00FA5606">
        <w:t xml:space="preserve"> i numrit të nxënësve që mësojnë me klasa kolektive. </w:t>
      </w:r>
      <w:r w:rsidRPr="00FA5606">
        <w:rPr>
          <w:i/>
        </w:rPr>
        <w:t xml:space="preserve">Do të vazhdohet me realizimin e planit për transferimin e nxënësve nga klasat kolektive në shkolla ku mund të arsimohen në klasa normale, me bashkëmoshatarë të tyre. Vendimet do të merren në bazë të projeksioneve demografike dhe mundësive për sigurimin e transportit deri në shkollën tjetër. Kujdes i veçantë do t’i kushtohet sensibilizimit të prindërve dhe komunitetit për këtë proces, duke bashkëpunuar me njësitë e vetëqeverisjes vendore dhe organizatat e shoqërisë civile. Transferimet e tilla do të </w:t>
      </w:r>
      <w:r w:rsidR="003F1AEA">
        <w:rPr>
          <w:i/>
        </w:rPr>
        <w:t>sjellin</w:t>
      </w:r>
      <w:r w:rsidRPr="00FA5606">
        <w:rPr>
          <w:i/>
        </w:rPr>
        <w:t xml:space="preserve"> mbylljen e një numri të shkollave në zona më pak të banuara.</w:t>
      </w:r>
    </w:p>
    <w:p w:rsidR="00A104BE" w:rsidRPr="00E97254" w:rsidRDefault="00A104BE" w:rsidP="000C0250">
      <w:pPr>
        <w:spacing w:before="120" w:after="0"/>
        <w:jc w:val="both"/>
      </w:pPr>
    </w:p>
    <w:p w:rsidR="00A104BE" w:rsidRPr="00E97254" w:rsidRDefault="00FA5606" w:rsidP="000C0250">
      <w:pPr>
        <w:spacing w:after="0"/>
        <w:jc w:val="both"/>
        <w:rPr>
          <w:rFonts w:ascii="Times New Roman" w:eastAsia="Times New Roman" w:hAnsi="Times New Roman" w:cs="Times New Roman"/>
          <w:sz w:val="24"/>
          <w:szCs w:val="24"/>
        </w:rPr>
      </w:pPr>
      <w:r w:rsidRPr="00FA5606">
        <w:rPr>
          <w:u w:val="single"/>
        </w:rPr>
        <w:t>Produkti A1.6</w:t>
      </w:r>
      <w:r w:rsidRPr="00FA5606">
        <w:t>. Përmirësimi dhe përshtatja e infrastrukturës shkollore</w:t>
      </w:r>
    </w:p>
    <w:p w:rsidR="009121C7" w:rsidRPr="00E97254" w:rsidRDefault="00FA5606" w:rsidP="000C0250">
      <w:pPr>
        <w:spacing w:after="0"/>
        <w:jc w:val="both"/>
        <w:rPr>
          <w:i/>
        </w:rPr>
      </w:pPr>
      <w:r w:rsidRPr="00FA5606">
        <w:rPr>
          <w:color w:val="000000" w:themeColor="text1"/>
        </w:rPr>
        <w:t>A</w:t>
      </w:r>
      <w:r w:rsidRPr="00FA5606">
        <w:t xml:space="preserve">1.6.1. Investime për përmirësimin dhe përshtatjen e infrastrukturës shkollore. </w:t>
      </w:r>
      <w:r w:rsidRPr="00FA5606">
        <w:rPr>
          <w:i/>
        </w:rPr>
        <w:t xml:space="preserve">Përparësi do t’i jepet rindërtimit dhe rinovimit të godinave të dëmtuara nga tërmeti i dt. 26 nëntor 2019, si dhe ndërtimit të godinave të reja shkollore në zonat urbane, ku përqendrimi i nxënësve është i madh, </w:t>
      </w:r>
      <w:r w:rsidR="00EC6A41">
        <w:rPr>
          <w:i/>
        </w:rPr>
        <w:t>q</w:t>
      </w:r>
      <w:r w:rsidR="00EC6A41" w:rsidRPr="000434A3">
        <w:t>ë</w:t>
      </w:r>
      <w:r w:rsidRPr="00FA5606">
        <w:rPr>
          <w:i/>
        </w:rPr>
        <w:t xml:space="preserve">, brenda vitit 2025, të mos ketë asnjë shkollë me dy turne. Infrastruktura e re do të jetë në përputhje me normat dhe standardet për ndërtimin e godinave shkollore, duke ofruar kushte për mësim cilësor dhe gjithëpërfshirës në shkolla. Kjo infrastrukturë do të përshtatet për aksesin e nxënësve me aftësi të kufizuara fizike, por edhe sa i takon aspekteve të higjienës, duke respektuar nevojat e veçanta të vajzave dhe djemve, si dhe aspekteve të sigurisë. </w:t>
      </w:r>
    </w:p>
    <w:p w:rsidR="009121C7" w:rsidRPr="00E97254" w:rsidRDefault="009121C7" w:rsidP="000C0250">
      <w:pPr>
        <w:spacing w:after="0"/>
        <w:jc w:val="both"/>
        <w:rPr>
          <w:u w:val="single"/>
        </w:rPr>
      </w:pPr>
    </w:p>
    <w:p w:rsidR="00EF477E" w:rsidRPr="00E97254" w:rsidRDefault="00FA5606" w:rsidP="000C0250">
      <w:pPr>
        <w:spacing w:after="0"/>
        <w:jc w:val="both"/>
      </w:pPr>
      <w:r w:rsidRPr="00FA5606">
        <w:rPr>
          <w:u w:val="single"/>
        </w:rPr>
        <w:t>Produkti A1.7</w:t>
      </w:r>
      <w:r w:rsidRPr="00FA5606">
        <w:t xml:space="preserve">. Konsolidimi i mjediseve të sigurta dhe miqësore për fëmijët në shkollë </w:t>
      </w:r>
    </w:p>
    <w:p w:rsidR="00EF477E" w:rsidRPr="00E97254" w:rsidRDefault="00FA5606" w:rsidP="000C0250">
      <w:pPr>
        <w:spacing w:after="0"/>
        <w:jc w:val="both"/>
        <w:rPr>
          <w:i/>
        </w:rPr>
      </w:pPr>
      <w:r w:rsidRPr="00FA5606">
        <w:rPr>
          <w:color w:val="000000" w:themeColor="text1"/>
        </w:rPr>
        <w:t>A</w:t>
      </w:r>
      <w:r w:rsidRPr="00FA5606">
        <w:t xml:space="preserve">1.7.1. Krijimi i sistemit për identifikimin, parandalimin dhe raportimin e dhunës, bullizmit dhe ekstremizmit në shkolla. </w:t>
      </w:r>
      <w:r w:rsidRPr="00FA5606">
        <w:rPr>
          <w:i/>
        </w:rPr>
        <w:t>Në bashkëpunim me partnerët, MASR</w:t>
      </w:r>
      <w:r w:rsidR="00EC6A41">
        <w:rPr>
          <w:i/>
        </w:rPr>
        <w:t>-ja</w:t>
      </w:r>
      <w:r w:rsidRPr="00FA5606">
        <w:rPr>
          <w:i/>
        </w:rPr>
        <w:t xml:space="preserve"> do të zhvillojë një protokoll gjithëpërfshirës për parandalimin dhe raportimin e të gjitha formave të dhunës (fizike, psikologjike, seksuale, neglizhimin, ngacmimin seksual, shfrytëzimin), homofobisë, bullizmit dhe ekstremizmit në shkolla. Duke ndjekur praktikat më të mira në rajon, në shkolla </w:t>
      </w:r>
      <w:r w:rsidRPr="00FA5606">
        <w:rPr>
          <w:i/>
          <w:color w:val="000000" w:themeColor="text1"/>
        </w:rPr>
        <w:t xml:space="preserve">janë  krijuar ekipe të përbëra nga mësuesit, nxënësit dhe prindërit që kanë për synim krijimin e mjediseve pa dhunë dhe zgjidhjen paqësore të konflikteve midis nxënësve. </w:t>
      </w:r>
      <w:r w:rsidRPr="00FA5606">
        <w:rPr>
          <w:color w:val="000000" w:themeColor="text1"/>
        </w:rPr>
        <w:t xml:space="preserve"> </w:t>
      </w:r>
      <w:r w:rsidRPr="00FA5606">
        <w:rPr>
          <w:i/>
          <w:color w:val="000000" w:themeColor="text1"/>
        </w:rPr>
        <w:t>Nisur nga p</w:t>
      </w:r>
      <w:r w:rsidR="00EC6A41" w:rsidRPr="000434A3">
        <w:t>ë</w:t>
      </w:r>
      <w:r w:rsidRPr="00FA5606">
        <w:rPr>
          <w:i/>
          <w:color w:val="000000" w:themeColor="text1"/>
        </w:rPr>
        <w:t xml:space="preserve">rvoja  e </w:t>
      </w:r>
      <w:r w:rsidR="00EC6A41" w:rsidRPr="000434A3">
        <w:rPr>
          <w:i/>
          <w:color w:val="000000" w:themeColor="text1"/>
        </w:rPr>
        <w:t>projekteve</w:t>
      </w:r>
      <w:r w:rsidRPr="00FA5606">
        <w:rPr>
          <w:i/>
          <w:color w:val="000000" w:themeColor="text1"/>
        </w:rPr>
        <w:t xml:space="preserve"> me Këshillin e Evropës për bullizmin dhe edukimin për qytetari demokratike në proces, këto iniciativa të përfituara nga zbatimi i projekteve do të shtrihen në të gjitha shkollat duke krijuar shkolla demokratike dhe miqësore. </w:t>
      </w:r>
      <w:r w:rsidRPr="00FA5606">
        <w:rPr>
          <w:i/>
        </w:rPr>
        <w:t xml:space="preserve">Do të investohet në ndërtimin </w:t>
      </w:r>
      <w:r w:rsidRPr="00FA5606">
        <w:rPr>
          <w:i/>
        </w:rPr>
        <w:lastRenderedPageBreak/>
        <w:t>e kapacitetit të ekipeve të tilla dhe në koordinimin e tyre nga ZVAP-të. MASR</w:t>
      </w:r>
      <w:r w:rsidR="00EC6A41">
        <w:rPr>
          <w:i/>
        </w:rPr>
        <w:t>-ja</w:t>
      </w:r>
      <w:r w:rsidRPr="00FA5606">
        <w:rPr>
          <w:i/>
        </w:rPr>
        <w:t xml:space="preserve"> do të vazhdoj</w:t>
      </w:r>
      <w:r w:rsidR="00EC6A41" w:rsidRPr="000434A3">
        <w:t>ë</w:t>
      </w:r>
      <w:r w:rsidRPr="00FA5606">
        <w:rPr>
          <w:i/>
        </w:rPr>
        <w:t xml:space="preserve"> gjithashtu, në bashkëpunim me partnerët ndërkombëtar, programet për ndërhyrjet që sjellin një përmirësim të klimës në shkollë, si parakusht për parandalimin e dhunës.</w:t>
      </w:r>
    </w:p>
    <w:p w:rsidR="00EF477E" w:rsidRPr="00E97254" w:rsidRDefault="00FA5606" w:rsidP="000C0250">
      <w:pPr>
        <w:spacing w:after="0"/>
        <w:jc w:val="both"/>
        <w:rPr>
          <w:i/>
        </w:rPr>
      </w:pPr>
      <w:r w:rsidRPr="00FA5606">
        <w:rPr>
          <w:color w:val="000000" w:themeColor="text1"/>
        </w:rPr>
        <w:t>A</w:t>
      </w:r>
      <w:r w:rsidRPr="00FA5606">
        <w:t>1.7.2. Fuqizimi i rrjetit të shkollave</w:t>
      </w:r>
      <w:r w:rsidR="00EC6A41">
        <w:t>-</w:t>
      </w:r>
      <w:r w:rsidRPr="00FA5606">
        <w:t xml:space="preserve">qendra komunitare. </w:t>
      </w:r>
      <w:r w:rsidRPr="00FA5606">
        <w:rPr>
          <w:i/>
        </w:rPr>
        <w:t>Do të vazhdohet mbështetja për shkollat-qendra komunitare e filluar me Strategjinë e Arsimit Parauniversitar 2014-2020, ndërsa fokusi në periudhën 2021-2026 do të jetë në fuqizimin e rrjetit të këtyre shkollave në nivel të ZVAP-ve, DRAP-ve dhe në nivel vendi. Në këtë formë synohet që të shtohen mundësitë për shkëmbim të përvojave midis shkollave-qendra komunitare,</w:t>
      </w:r>
      <w:r w:rsidRPr="00FA5606">
        <w:rPr>
          <w:i/>
          <w:color w:val="FF0000"/>
        </w:rPr>
        <w:t xml:space="preserve"> </w:t>
      </w:r>
      <w:r w:rsidRPr="00FA5606">
        <w:rPr>
          <w:i/>
          <w:color w:val="000000" w:themeColor="text1"/>
        </w:rPr>
        <w:t xml:space="preserve">bashkëpunimi me komunitetet lokale, partnerët dhe pushtetin vendor </w:t>
      </w:r>
      <w:r w:rsidRPr="00FA5606">
        <w:rPr>
          <w:i/>
        </w:rPr>
        <w:t>duke i nxitur ato për përmirësim të vazhdueshëm të performancës së tyre.</w:t>
      </w:r>
    </w:p>
    <w:p w:rsidR="00D45823" w:rsidRPr="00E97254" w:rsidRDefault="00FA5606" w:rsidP="000C0250">
      <w:pPr>
        <w:spacing w:after="0"/>
        <w:jc w:val="both"/>
        <w:rPr>
          <w:color w:val="000000" w:themeColor="text1"/>
        </w:rPr>
      </w:pPr>
      <w:r w:rsidRPr="00FA5606">
        <w:rPr>
          <w:color w:val="000000" w:themeColor="text1"/>
        </w:rPr>
        <w:t xml:space="preserve">A1.7.3. Fuqizimi i rrjetit të shkollave me klasa të profilizuara në sport (klasat sportive). </w:t>
      </w:r>
      <w:r w:rsidRPr="00FA5606">
        <w:rPr>
          <w:i/>
          <w:color w:val="000000" w:themeColor="text1"/>
        </w:rPr>
        <w:t>Do të vazhdohet mbështetja për shkollat 9-vjeçare për shtrirjen e nismës për klasat e profilizuara në sport. Në periudhën 2021-2026, fokusi do të jetë në shtrirjen e rrjetit të këtyre shkollave në nivel të ZVAP-ve, DRAP-ve dhe në nivel vendi</w:t>
      </w:r>
      <w:r w:rsidR="00EC6A41">
        <w:rPr>
          <w:i/>
          <w:color w:val="000000" w:themeColor="text1"/>
        </w:rPr>
        <w:t>,</w:t>
      </w:r>
      <w:r w:rsidRPr="00FA5606">
        <w:rPr>
          <w:i/>
          <w:color w:val="000000" w:themeColor="text1"/>
        </w:rPr>
        <w:t xml:space="preserve"> dhe shtimin e disiplinave sportive, në bazë të të cilave do të krijohen klasat e profilizuara në sport, si gjimnastikë, atletikë etj. Në këtë formë synohet që të shtohen mundësitë për gjithëpërfshirje të nxënësve dhe për orientimin e investimeve në infrastrukturën sportive në sistemin arsimor parauniversitar sipas standardeve të miratuara shtetërore.</w:t>
      </w:r>
    </w:p>
    <w:p w:rsidR="00EF477E" w:rsidRPr="00E97254" w:rsidRDefault="00FA5606" w:rsidP="000C0250">
      <w:pPr>
        <w:spacing w:after="0"/>
        <w:jc w:val="both"/>
        <w:rPr>
          <w:i/>
        </w:rPr>
      </w:pPr>
      <w:r w:rsidRPr="00FA5606">
        <w:rPr>
          <w:color w:val="000000" w:themeColor="text1"/>
        </w:rPr>
        <w:t>A</w:t>
      </w:r>
      <w:r w:rsidRPr="00FA5606">
        <w:t>1.</w:t>
      </w:r>
      <w:r w:rsidRPr="00FA5606">
        <w:rPr>
          <w:color w:val="000000" w:themeColor="text1"/>
        </w:rPr>
        <w:t>7.</w:t>
      </w:r>
      <w:r w:rsidRPr="00FA5606">
        <w:t xml:space="preserve">4. Shtimi i numrit të oficerëve të sigurisë në shkolla. </w:t>
      </w:r>
      <w:r w:rsidRPr="00FA5606">
        <w:rPr>
          <w:i/>
        </w:rPr>
        <w:t>MASR</w:t>
      </w:r>
      <w:r w:rsidR="00EC6A41">
        <w:rPr>
          <w:i/>
        </w:rPr>
        <w:t>-ja</w:t>
      </w:r>
      <w:r w:rsidRPr="00FA5606">
        <w:rPr>
          <w:i/>
        </w:rPr>
        <w:t xml:space="preserve">, në bashkëpunim me Ministrinë e Brendshme, , do të </w:t>
      </w:r>
      <w:r w:rsidR="00EC6A41">
        <w:rPr>
          <w:i/>
        </w:rPr>
        <w:t>nxjerr</w:t>
      </w:r>
      <w:r w:rsidR="00EC6A41" w:rsidRPr="000434A3">
        <w:t>ë</w:t>
      </w:r>
      <w:r w:rsidR="00EC6A41">
        <w:t xml:space="preserve"> nj</w:t>
      </w:r>
      <w:r w:rsidR="00EC6A41" w:rsidRPr="000434A3">
        <w:t>ë</w:t>
      </w:r>
      <w:r w:rsidRPr="00FA5606">
        <w:rPr>
          <w:i/>
        </w:rPr>
        <w:t xml:space="preserve"> akt nënligjor të ri për punësimin e oficerëve të sigurisë në të gjitha institucionet e arsimit të mesëm  të lartë, si dhe në shkollat e arsimit bazë që plotësojnë kritere të caktuara në kuptim të numrit të nxënësve, vendndodhjes, vlerësimit të sigurisë, etj. Trajnimi i kandidatëve të pranuar do të bëhet nga Akademia e Sigurisë. </w:t>
      </w:r>
    </w:p>
    <w:p w:rsidR="00EF477E" w:rsidRPr="00E97254" w:rsidRDefault="00FA5606" w:rsidP="000C0250">
      <w:pPr>
        <w:spacing w:after="0"/>
        <w:jc w:val="both"/>
        <w:rPr>
          <w:b/>
        </w:rPr>
      </w:pPr>
      <w:r w:rsidRPr="00FA5606">
        <w:rPr>
          <w:b/>
        </w:rPr>
        <w:t>Treguesit</w:t>
      </w:r>
    </w:p>
    <w:p w:rsidR="00EF477E" w:rsidRPr="00E97254" w:rsidRDefault="00FA5606" w:rsidP="000C0250">
      <w:pPr>
        <w:numPr>
          <w:ilvl w:val="0"/>
          <w:numId w:val="26"/>
        </w:numPr>
        <w:spacing w:after="0"/>
        <w:jc w:val="both"/>
      </w:pPr>
      <w:r w:rsidRPr="00FA5606">
        <w:t>Përqindja e fëmijëve nga mosha 3-6 vjeç të përfshirë në edukimin në fëmijërinë e hershme</w:t>
      </w:r>
    </w:p>
    <w:p w:rsidR="00EF477E" w:rsidRPr="00E97254" w:rsidRDefault="00FA5606" w:rsidP="000C0250">
      <w:pPr>
        <w:numPr>
          <w:ilvl w:val="0"/>
          <w:numId w:val="26"/>
        </w:numPr>
        <w:spacing w:after="0"/>
        <w:jc w:val="both"/>
      </w:pPr>
      <w:r w:rsidRPr="00FA5606">
        <w:t xml:space="preserve">Shkalla e pjesëmarrjes </w:t>
      </w:r>
      <w:r w:rsidR="00EC6A41">
        <w:t>s</w:t>
      </w:r>
      <w:r w:rsidRPr="00FA5606">
        <w:t>ë fëmijëve 5-6 vjeç në klasat përgatitore dhe grupet e 3-ta të kopshteve,</w:t>
      </w:r>
      <w:r w:rsidRPr="00FA5606">
        <w:rPr>
          <w:rFonts w:ascii="Arial" w:eastAsia="Arial" w:hAnsi="Arial" w:cs="Arial"/>
          <w:sz w:val="25"/>
          <w:szCs w:val="25"/>
        </w:rPr>
        <w:t xml:space="preserve"> </w:t>
      </w:r>
      <w:r w:rsidRPr="00FA5606">
        <w:t>sipas gjinisë</w:t>
      </w:r>
      <w:r w:rsidRPr="00FA5606">
        <w:rPr>
          <w:rFonts w:ascii="Arial" w:eastAsia="Arial" w:hAnsi="Arial" w:cs="Arial"/>
          <w:sz w:val="25"/>
          <w:szCs w:val="25"/>
        </w:rPr>
        <w:t xml:space="preserve"> </w:t>
      </w:r>
      <w:r w:rsidRPr="00FA5606">
        <w:t>(</w:t>
      </w:r>
      <w:r w:rsidR="00A50A43">
        <w:t>OZHQ</w:t>
      </w:r>
      <w:r w:rsidRPr="00FA5606">
        <w:t>4.2.2)</w:t>
      </w:r>
    </w:p>
    <w:p w:rsidR="00EF477E" w:rsidRPr="00E97254" w:rsidRDefault="00FA5606" w:rsidP="000C0250">
      <w:pPr>
        <w:numPr>
          <w:ilvl w:val="0"/>
          <w:numId w:val="26"/>
        </w:numPr>
        <w:spacing w:after="0"/>
        <w:jc w:val="both"/>
      </w:pPr>
      <w:r w:rsidRPr="00FA5606">
        <w:t>Përqindja e fëmijëve jashtë shkolle (arsimi fillor, arsimi i mesëm i ulët, arsimi i mesëm i lartë) (</w:t>
      </w:r>
      <w:r w:rsidR="00A50A43">
        <w:t>OZHQ</w:t>
      </w:r>
      <w:r w:rsidRPr="00FA5606">
        <w:t>4.1.5)</w:t>
      </w:r>
    </w:p>
    <w:p w:rsidR="00EF477E" w:rsidRPr="00E97254" w:rsidRDefault="00FA5606" w:rsidP="000C0250">
      <w:pPr>
        <w:numPr>
          <w:ilvl w:val="0"/>
          <w:numId w:val="26"/>
        </w:numPr>
        <w:spacing w:after="0"/>
        <w:jc w:val="both"/>
      </w:pPr>
      <w:r w:rsidRPr="00FA5606">
        <w:t>Raporti bruto i regjistrimeve në klasën e pestë dhe të nëntë (</w:t>
      </w:r>
      <w:r w:rsidR="00A50A43">
        <w:t>OZHQ</w:t>
      </w:r>
      <w:r w:rsidRPr="00FA5606">
        <w:t>4.1.3)</w:t>
      </w:r>
    </w:p>
    <w:p w:rsidR="00EF477E" w:rsidRPr="00E97254" w:rsidRDefault="00FA5606" w:rsidP="000C0250">
      <w:pPr>
        <w:numPr>
          <w:ilvl w:val="0"/>
          <w:numId w:val="26"/>
        </w:numPr>
        <w:spacing w:after="0"/>
        <w:jc w:val="both"/>
      </w:pPr>
      <w:r w:rsidRPr="00FA5606">
        <w:t>Përqindja e fëmijëve të moshës më të madhe për klasën përkatëse në arsimin fillor dhe në arsimin e mesëm të ulët (</w:t>
      </w:r>
      <w:r w:rsidR="00A50A43">
        <w:t>OZHQ</w:t>
      </w:r>
      <w:r w:rsidRPr="00FA5606">
        <w:t>4.1.6)</w:t>
      </w:r>
    </w:p>
    <w:p w:rsidR="00EF477E" w:rsidRPr="00E97254" w:rsidRDefault="00FA5606" w:rsidP="000C0250">
      <w:pPr>
        <w:numPr>
          <w:ilvl w:val="0"/>
          <w:numId w:val="26"/>
        </w:numPr>
        <w:spacing w:after="0"/>
        <w:jc w:val="both"/>
      </w:pPr>
      <w:r w:rsidRPr="00FA5606">
        <w:t>Numri i fëmijëve romë dhe egjiptianë që ndjekin arsimin bazë</w:t>
      </w:r>
    </w:p>
    <w:p w:rsidR="00EF477E" w:rsidRPr="00E97254" w:rsidRDefault="00FA5606" w:rsidP="000C0250">
      <w:pPr>
        <w:numPr>
          <w:ilvl w:val="0"/>
          <w:numId w:val="26"/>
        </w:numPr>
        <w:spacing w:after="0"/>
        <w:jc w:val="both"/>
        <w:rPr>
          <w:color w:val="000000" w:themeColor="text1"/>
        </w:rPr>
      </w:pPr>
      <w:r w:rsidRPr="00FA5606">
        <w:t xml:space="preserve">Përqindja e nxënësve romë dhe egjiptianë në arsimin bazë që e përfundojnë atë </w:t>
      </w:r>
      <w:r w:rsidRPr="00FA5606">
        <w:rPr>
          <w:color w:val="000000" w:themeColor="text1"/>
        </w:rPr>
        <w:t>(Synimi: 90%)</w:t>
      </w:r>
    </w:p>
    <w:p w:rsidR="00EF477E" w:rsidRPr="00E97254" w:rsidRDefault="00FA5606" w:rsidP="000C0250">
      <w:pPr>
        <w:numPr>
          <w:ilvl w:val="0"/>
          <w:numId w:val="26"/>
        </w:numPr>
        <w:spacing w:after="0"/>
        <w:jc w:val="both"/>
        <w:rPr>
          <w:color w:val="000000" w:themeColor="text1"/>
        </w:rPr>
      </w:pPr>
      <w:r w:rsidRPr="00FA5606">
        <w:rPr>
          <w:color w:val="000000" w:themeColor="text1"/>
        </w:rPr>
        <w:t>Përqindja e nxënësve romë dhe egjiptianë në arsimin e mesëm të lartë që e përfundojnë atë (Synimi: 50%)</w:t>
      </w:r>
    </w:p>
    <w:p w:rsidR="00EF477E" w:rsidRPr="00E97254" w:rsidRDefault="00FA5606" w:rsidP="000C0250">
      <w:pPr>
        <w:numPr>
          <w:ilvl w:val="0"/>
          <w:numId w:val="26"/>
        </w:numPr>
        <w:spacing w:after="0"/>
        <w:jc w:val="both"/>
        <w:rPr>
          <w:color w:val="000000" w:themeColor="text1"/>
        </w:rPr>
      </w:pPr>
      <w:r w:rsidRPr="00FA5606">
        <w:rPr>
          <w:color w:val="000000" w:themeColor="text1"/>
        </w:rPr>
        <w:t>Numri i fëmijëve me aftësi të kufizuara që ndjekin arsimin parauniversitar</w:t>
      </w:r>
      <w:r w:rsidR="00EF477E" w:rsidRPr="00E97254">
        <w:rPr>
          <w:color w:val="000000" w:themeColor="text1"/>
          <w:vertAlign w:val="superscript"/>
        </w:rPr>
        <w:footnoteReference w:id="12"/>
      </w:r>
      <w:r w:rsidR="00EF477E" w:rsidRPr="00E97254">
        <w:rPr>
          <w:color w:val="000000" w:themeColor="text1"/>
        </w:rPr>
        <w:t xml:space="preserve"> </w:t>
      </w:r>
    </w:p>
    <w:p w:rsidR="00EF477E" w:rsidRPr="00E97254" w:rsidRDefault="00EF477E" w:rsidP="000C0250">
      <w:pPr>
        <w:numPr>
          <w:ilvl w:val="0"/>
          <w:numId w:val="26"/>
        </w:numPr>
        <w:spacing w:after="0"/>
        <w:jc w:val="both"/>
        <w:rPr>
          <w:color w:val="000000" w:themeColor="text1"/>
        </w:rPr>
      </w:pPr>
      <w:r w:rsidRPr="00E97254">
        <w:rPr>
          <w:color w:val="000000" w:themeColor="text1"/>
        </w:rPr>
        <w:t>Fëmijët me aftësi të kufizuara të integruar në shkollat publike jospeciale në raport me totalin e nxënësve me aftësi të kufizuara që ndjekin arsimim (ERP)</w:t>
      </w:r>
    </w:p>
    <w:p w:rsidR="00EF477E" w:rsidRPr="00E97254" w:rsidRDefault="00FA5606" w:rsidP="000C0250">
      <w:pPr>
        <w:numPr>
          <w:ilvl w:val="0"/>
          <w:numId w:val="26"/>
        </w:numPr>
        <w:spacing w:after="0"/>
        <w:jc w:val="both"/>
      </w:pPr>
      <w:r w:rsidRPr="00FA5606">
        <w:lastRenderedPageBreak/>
        <w:t xml:space="preserve">Vëllimi i fluksit të ndihmës zyrtare për </w:t>
      </w:r>
      <w:r w:rsidRPr="00FA5606">
        <w:rPr>
          <w:color w:val="000000"/>
        </w:rPr>
        <w:t>zhvillim</w:t>
      </w:r>
      <w:r w:rsidRPr="00FA5606">
        <w:t>, për bursa sipas sektorit dhe llojit të studimit (</w:t>
      </w:r>
      <w:r w:rsidR="00A50A43">
        <w:t>OZHQ</w:t>
      </w:r>
      <w:r w:rsidRPr="00FA5606">
        <w:t>4.B1)</w:t>
      </w:r>
    </w:p>
    <w:p w:rsidR="00EF477E" w:rsidRPr="00E97254" w:rsidRDefault="00FA5606" w:rsidP="000C0250">
      <w:pPr>
        <w:numPr>
          <w:ilvl w:val="0"/>
          <w:numId w:val="26"/>
        </w:numPr>
        <w:spacing w:after="0"/>
        <w:jc w:val="both"/>
      </w:pPr>
      <w:r w:rsidRPr="00FA5606">
        <w:t>Përqindja e shkollave me infrastrukturën dhe materialet e përshtatura për nxënësit me aftësi të kufizuara (</w:t>
      </w:r>
      <w:r w:rsidR="00A50A43">
        <w:t>OZHQ</w:t>
      </w:r>
      <w:r w:rsidRPr="00FA5606">
        <w:t>4.A1)</w:t>
      </w:r>
    </w:p>
    <w:p w:rsidR="00EF477E" w:rsidRPr="00E97254" w:rsidRDefault="00FA5606" w:rsidP="000C0250">
      <w:pPr>
        <w:numPr>
          <w:ilvl w:val="0"/>
          <w:numId w:val="26"/>
        </w:numPr>
        <w:spacing w:after="0"/>
        <w:jc w:val="both"/>
      </w:pPr>
      <w:r w:rsidRPr="00FA5606">
        <w:t xml:space="preserve">Numri i mësuesve ndihmës për fëmijët me aftësi të kufizuara në shkollat </w:t>
      </w:r>
      <w:r w:rsidRPr="00FA5606">
        <w:rPr>
          <w:color w:val="000000" w:themeColor="text1"/>
        </w:rPr>
        <w:t>publike (ERP)</w:t>
      </w:r>
    </w:p>
    <w:p w:rsidR="00EF477E" w:rsidRPr="00E97254" w:rsidRDefault="00FA5606" w:rsidP="000C0250">
      <w:pPr>
        <w:numPr>
          <w:ilvl w:val="0"/>
          <w:numId w:val="26"/>
        </w:numPr>
        <w:spacing w:after="0"/>
        <w:jc w:val="both"/>
      </w:pPr>
      <w:r w:rsidRPr="00FA5606">
        <w:t>Numri i psikologëve dhe punonjësve socialë</w:t>
      </w:r>
      <w:r w:rsidR="00EF477E" w:rsidRPr="00E97254">
        <w:rPr>
          <w:vertAlign w:val="superscript"/>
        </w:rPr>
        <w:footnoteReference w:id="13"/>
      </w:r>
      <w:r w:rsidR="00EF477E" w:rsidRPr="00E97254">
        <w:t xml:space="preserve"> (ose: Raporti nxënës-psikolog/punonjës social</w:t>
      </w:r>
      <w:r w:rsidR="00AD4624" w:rsidRPr="00CF4646">
        <w:t>ë</w:t>
      </w:r>
      <w:r w:rsidR="00EF477E" w:rsidRPr="00E97254">
        <w:t xml:space="preserve"> në arsimin parashkollor, arsimin bazë dhe arsimin e mesëm të lartë)</w:t>
      </w:r>
    </w:p>
    <w:p w:rsidR="00EF477E" w:rsidRPr="00E97254" w:rsidRDefault="00EF477E" w:rsidP="000C0250">
      <w:pPr>
        <w:numPr>
          <w:ilvl w:val="0"/>
          <w:numId w:val="26"/>
        </w:numPr>
        <w:spacing w:after="0"/>
        <w:jc w:val="both"/>
      </w:pPr>
      <w:r w:rsidRPr="00E97254">
        <w:t>Numri i nxënësve në klasa kolektive të transferuar në shkollat e afërta me cilësi më të mir</w:t>
      </w:r>
      <w:r w:rsidR="00EC6A41" w:rsidRPr="000434A3">
        <w:t>ë</w:t>
      </w:r>
      <w:r w:rsidRPr="00E97254">
        <w:t xml:space="preserve"> </w:t>
      </w:r>
      <w:r w:rsidR="00FA5606" w:rsidRPr="00FA5606">
        <w:rPr>
          <w:color w:val="000000" w:themeColor="text1"/>
        </w:rPr>
        <w:t>(ERP)</w:t>
      </w:r>
    </w:p>
    <w:p w:rsidR="00867AC2" w:rsidRPr="00E97254" w:rsidRDefault="00FA5606" w:rsidP="000C0250">
      <w:pPr>
        <w:numPr>
          <w:ilvl w:val="0"/>
          <w:numId w:val="26"/>
        </w:numPr>
        <w:spacing w:after="0"/>
        <w:jc w:val="both"/>
      </w:pPr>
      <w:r w:rsidRPr="00FA5606">
        <w:t xml:space="preserve">Numri i shkollave të rinovuara dhe të ndërtuara </w:t>
      </w:r>
    </w:p>
    <w:p w:rsidR="00EF477E" w:rsidRPr="00E97254" w:rsidRDefault="00FA5606" w:rsidP="000C0250">
      <w:pPr>
        <w:numPr>
          <w:ilvl w:val="0"/>
          <w:numId w:val="26"/>
        </w:numPr>
        <w:spacing w:after="0"/>
        <w:jc w:val="both"/>
      </w:pPr>
      <w:r w:rsidRPr="00FA5606">
        <w:t>Përqindja e shkollave që kanë akses në: (a) energji elektrike; (b) internet për qëllime pedagogjike; dhe (c) kompjuter</w:t>
      </w:r>
      <w:r w:rsidR="00EC6A41">
        <w:t>a</w:t>
      </w:r>
      <w:r w:rsidRPr="00FA5606">
        <w:t xml:space="preserve"> për qëllime pedagogjike (</w:t>
      </w:r>
      <w:r w:rsidR="00A50A43">
        <w:t>OZHQ</w:t>
      </w:r>
      <w:r w:rsidRPr="00FA5606">
        <w:t>4.A1)</w:t>
      </w:r>
    </w:p>
    <w:p w:rsidR="00EF477E" w:rsidRPr="00E97254" w:rsidRDefault="00FA5606" w:rsidP="000C0250">
      <w:pPr>
        <w:numPr>
          <w:ilvl w:val="0"/>
          <w:numId w:val="26"/>
        </w:numPr>
        <w:spacing w:after="0"/>
        <w:jc w:val="both"/>
      </w:pPr>
      <w:r w:rsidRPr="00FA5606">
        <w:t>Numri i rasteve të menaxhuara të dhunës, bullizmit dhe ekstremizmit të identifikuar në shkolla</w:t>
      </w:r>
    </w:p>
    <w:p w:rsidR="00235F9E" w:rsidRPr="00E97254" w:rsidRDefault="00FA5606" w:rsidP="000C0250">
      <w:pPr>
        <w:numPr>
          <w:ilvl w:val="0"/>
          <w:numId w:val="26"/>
        </w:numPr>
        <w:spacing w:after="0"/>
        <w:jc w:val="both"/>
      </w:pPr>
      <w:r w:rsidRPr="00FA5606">
        <w:t>Numri i oficerëve të sigurisë në shkolla</w:t>
      </w:r>
    </w:p>
    <w:p w:rsidR="00D545FC" w:rsidRPr="00E97254" w:rsidRDefault="00D545FC" w:rsidP="000C0250">
      <w:pPr>
        <w:spacing w:after="0"/>
        <w:jc w:val="both"/>
      </w:pPr>
    </w:p>
    <w:p w:rsidR="00F27EEE" w:rsidRPr="00E97254" w:rsidRDefault="00FA5606" w:rsidP="000C0250">
      <w:pPr>
        <w:pStyle w:val="Heading3"/>
        <w:spacing w:before="0" w:after="120"/>
        <w:jc w:val="both"/>
      </w:pPr>
      <w:bookmarkStart w:id="122" w:name="_Toc66802013"/>
      <w:r w:rsidRPr="00FA5606">
        <w:t>Objektivi specifik A2: Mësuesit</w:t>
      </w:r>
      <w:bookmarkEnd w:id="122"/>
    </w:p>
    <w:p w:rsidR="00F27EEE" w:rsidRPr="00E97254" w:rsidRDefault="003A44C5" w:rsidP="000C0250">
      <w:pPr>
        <w:spacing w:after="0"/>
        <w:jc w:val="both"/>
      </w:pPr>
      <w:r>
        <w:rPr>
          <w:noProof/>
        </w:rPr>
        <mc:AlternateContent>
          <mc:Choice Requires="wps">
            <w:drawing>
              <wp:inline distT="0" distB="0" distL="0" distR="0">
                <wp:extent cx="5943600" cy="488950"/>
                <wp:effectExtent l="12700" t="12700" r="0" b="6350"/>
                <wp:docPr id="17"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43600" cy="488950"/>
                        </a:xfrm>
                        <a:prstGeom prst="rect">
                          <a:avLst/>
                        </a:prstGeom>
                        <a:solidFill>
                          <a:srgbClr val="EBF1DE"/>
                        </a:solidFill>
                        <a:ln w="25400">
                          <a:solidFill>
                            <a:srgbClr val="8064A2"/>
                          </a:solidFill>
                          <a:miter lim="800000"/>
                          <a:headEnd/>
                          <a:tailEnd/>
                        </a:ln>
                      </wps:spPr>
                      <wps:txbx>
                        <w:txbxContent>
                          <w:p w:rsidR="00753C65" w:rsidRPr="003D71F2" w:rsidRDefault="00753C65" w:rsidP="003A2FBF">
                            <w:pPr>
                              <w:pStyle w:val="Default"/>
                              <w:rPr>
                                <w:color w:val="FF0000"/>
                                <w:sz w:val="22"/>
                                <w:szCs w:val="22"/>
                              </w:rPr>
                            </w:pPr>
                            <w:r w:rsidRPr="00F27EEE">
                              <w:t>Krijimi i mundësive për formimin cilësor të mësuesve dhe përmirësimi i sistemit të karrierës që</w:t>
                            </w:r>
                            <w:r>
                              <w:t xml:space="preserve"> i</w:t>
                            </w:r>
                            <w:r w:rsidRPr="00F27EEE">
                              <w:t xml:space="preserve"> inkurajon të zhvillojnë nivele më të larta të aftësive për mësimdhënie</w:t>
                            </w:r>
                          </w:p>
                        </w:txbxContent>
                      </wps:txbx>
                      <wps:bodyPr rot="0" vert="horz" wrap="square" lIns="91440" tIns="45720" rIns="91440" bIns="45720" anchor="t" anchorCtr="0" upright="1">
                        <a:spAutoFit/>
                      </wps:bodyPr>
                    </wps:wsp>
                  </a:graphicData>
                </a:graphic>
              </wp:inline>
            </w:drawing>
          </mc:Choice>
          <mc:Fallback>
            <w:pict>
              <v:shape id="Text Box 50" o:spid="_x0000_s1064" type="#_x0000_t202" style="width:468pt;height:3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" fillcolor="#ebf1de" strokecolor="#8064a2" strokeweight="2pt">
                <v:path arrowok="t"/>
                <v:textbox style="mso-fit-shape-to-text:t">
                  <w:txbxContent>
                    <w:p w:rsidR="00753C65" w:rsidRPr="003D71F2" w:rsidRDefault="00753C65" w:rsidP="003A2FBF">
                      <w:pPr>
                        <w:pStyle w:val="Default"/>
                        <w:rPr>
                          <w:color w:val="FF0000"/>
                          <w:sz w:val="22"/>
                          <w:szCs w:val="22"/>
                        </w:rPr>
                      </w:pPr>
                      <w:r w:rsidRPr="00F27EEE">
                        <w:t>Krijimi i mundësive për formimin cilësor të mësuesve dhe përmirësimi i sistemit të karrierës që</w:t>
                      </w:r>
                      <w:r>
                        <w:t xml:space="preserve"> i</w:t>
                      </w:r>
                      <w:r w:rsidRPr="00F27EEE">
                        <w:t xml:space="preserve"> inkurajon të zhvillojnë nivele më të larta të aftësive për mësimdhënie</w:t>
                      </w:r>
                    </w:p>
                  </w:txbxContent>
                </v:textbox>
                <w10:anchorlock/>
              </v:shape>
            </w:pict>
          </mc:Fallback>
        </mc:AlternateContent>
      </w:r>
    </w:p>
    <w:p w:rsidR="00F27EEE" w:rsidRPr="00E97254" w:rsidRDefault="0040069E" w:rsidP="000C0250">
      <w:pPr>
        <w:jc w:val="both"/>
      </w:pPr>
      <w:r w:rsidRPr="00E97254">
        <w:t>Të gjitha hulumtimet tregojnë se cilësia e mësimdhënies është faktor përcaktues për arritjet e nxënësve.</w:t>
      </w:r>
      <w:r w:rsidR="002B257B" w:rsidRPr="00E97254">
        <w:t xml:space="preserve"> </w:t>
      </w:r>
      <w:r w:rsidR="00FA5606" w:rsidRPr="00FA5606">
        <w:t>Prandaj, Strategjia i kushton vëmendje</w:t>
      </w:r>
      <w:r w:rsidR="00EC6A41">
        <w:t>,</w:t>
      </w:r>
      <w:r w:rsidR="00FA5606" w:rsidRPr="00FA5606">
        <w:t xml:space="preserve"> si formimit fillestar të mësuesve i cili zhvillohet në IAL, ashtu edhe zhvillimit profesional të vazhdueshëm. Një aspekt tjetër i rëndësishëm është ngritja e një sistemi të mirëfilltë të karrierës për mësuesit, i cili duhet të mbështetet në vlerësimin e performancës në raport me plotësimin e standardeve profesionale të mësuesit. </w:t>
      </w:r>
    </w:p>
    <w:p w:rsidR="009867CB" w:rsidRPr="00E97254" w:rsidRDefault="00FA5606" w:rsidP="000C0250">
      <w:pPr>
        <w:spacing w:before="120" w:after="0"/>
        <w:jc w:val="both"/>
      </w:pPr>
      <w:r w:rsidRPr="00FA5606">
        <w:rPr>
          <w:b/>
        </w:rPr>
        <w:t xml:space="preserve">Sfidat kryesore </w:t>
      </w:r>
      <w:r w:rsidRPr="00FA5606">
        <w:t>për këtë objektiv specifik</w:t>
      </w:r>
      <w:r w:rsidRPr="00FA5606">
        <w:rPr>
          <w:b/>
        </w:rPr>
        <w:t xml:space="preserve"> </w:t>
      </w:r>
      <w:r w:rsidRPr="00FA5606">
        <w:t xml:space="preserve">dalin nga </w:t>
      </w:r>
      <w:r w:rsidR="00DC4C19">
        <w:t xml:space="preserve">analiza e situatës </w:t>
      </w:r>
      <w:r w:rsidRPr="00FA5606">
        <w:t>e dhënë në seksionin 4.3.2:</w:t>
      </w:r>
    </w:p>
    <w:p w:rsidR="009867CB" w:rsidRPr="00E97254" w:rsidRDefault="00FA5606" w:rsidP="000C0250">
      <w:pPr>
        <w:numPr>
          <w:ilvl w:val="0"/>
          <w:numId w:val="23"/>
        </w:numPr>
        <w:spacing w:before="120" w:after="0"/>
        <w:jc w:val="both"/>
        <w:rPr>
          <w:rFonts w:ascii="Noto Sans Symbols" w:eastAsia="Noto Sans Symbols" w:hAnsi="Noto Sans Symbols" w:cs="Noto Sans Symbols"/>
        </w:rPr>
      </w:pPr>
      <w:r w:rsidRPr="00FA5606">
        <w:t xml:space="preserve">Numri i lartë i mësuesve në raport me numrin e nxënësve dhe mungesa e profileve të caktuara në disa zona te </w:t>
      </w:r>
      <w:r w:rsidRPr="00FA5606">
        <w:rPr>
          <w:color w:val="000000"/>
        </w:rPr>
        <w:t>vendit</w:t>
      </w:r>
      <w:r w:rsidRPr="00FA5606">
        <w:t xml:space="preserve">. Me </w:t>
      </w:r>
      <w:r w:rsidR="00685361">
        <w:t>tendencat</w:t>
      </w:r>
      <w:r w:rsidRPr="00FA5606">
        <w:t xml:space="preserve"> aktuale demografike, kërkohet shpërndarje më racionale e mësuesve në raport me numrin e nxënësve dhe plotësimi i nevojave për të gjitha profilet e </w:t>
      </w:r>
      <w:r w:rsidR="00685361" w:rsidRPr="000434A3">
        <w:t>mësuesisë</w:t>
      </w:r>
      <w:r w:rsidRPr="00FA5606">
        <w:t>.</w:t>
      </w:r>
      <w:r w:rsidR="004E1F53">
        <w:rPr>
          <w:rStyle w:val="CommentReference"/>
        </w:rPr>
        <w:t xml:space="preserve"> </w:t>
      </w:r>
    </w:p>
    <w:p w:rsidR="009867CB" w:rsidRPr="00E97254" w:rsidRDefault="00FA5606" w:rsidP="000C0250">
      <w:pPr>
        <w:numPr>
          <w:ilvl w:val="0"/>
          <w:numId w:val="23"/>
        </w:numPr>
        <w:spacing w:after="0"/>
        <w:jc w:val="both"/>
        <w:rPr>
          <w:rFonts w:ascii="Noto Sans Symbols" w:eastAsia="Noto Sans Symbols" w:hAnsi="Noto Sans Symbols" w:cs="Noto Sans Symbols"/>
        </w:rPr>
      </w:pPr>
      <w:r w:rsidRPr="00FA5606">
        <w:t>Programet e formimit fillestar nuk janë në përputhje me standardet profesionale të mësuesit. Përveç kësaj, akoma nuk është përmbushur detyrimi ligjor për përafrimin e përmbajtjeve programore deri në 80%.</w:t>
      </w:r>
    </w:p>
    <w:p w:rsidR="009867CB" w:rsidRPr="00E97254" w:rsidRDefault="00FA5606" w:rsidP="000C0250">
      <w:pPr>
        <w:numPr>
          <w:ilvl w:val="0"/>
          <w:numId w:val="23"/>
        </w:numPr>
        <w:spacing w:after="0"/>
        <w:jc w:val="both"/>
        <w:rPr>
          <w:rFonts w:ascii="Noto Sans Symbols" w:eastAsia="Noto Sans Symbols" w:hAnsi="Noto Sans Symbols" w:cs="Noto Sans Symbols"/>
        </w:rPr>
      </w:pPr>
      <w:r w:rsidRPr="00FA5606">
        <w:t>Përmirësimi i raportit teori-praktikë në programet e formimit fillestar të mësuesve me synim zhvillimin e kompetencave profesionale të mësuesit.</w:t>
      </w:r>
    </w:p>
    <w:p w:rsidR="009867CB" w:rsidRPr="00E97254" w:rsidRDefault="00FA5606" w:rsidP="000C0250">
      <w:pPr>
        <w:numPr>
          <w:ilvl w:val="0"/>
          <w:numId w:val="23"/>
        </w:numPr>
        <w:spacing w:after="0"/>
        <w:jc w:val="both"/>
        <w:rPr>
          <w:rFonts w:ascii="Noto Sans Symbols" w:eastAsia="Noto Sans Symbols" w:hAnsi="Noto Sans Symbols" w:cs="Noto Sans Symbols"/>
        </w:rPr>
      </w:pPr>
      <w:r w:rsidRPr="00FA5606">
        <w:t xml:space="preserve">Cilësia e programeve për formimin fillestar të mësuesve. </w:t>
      </w:r>
    </w:p>
    <w:p w:rsidR="009867CB" w:rsidRPr="00E97254" w:rsidRDefault="00FA5606" w:rsidP="000C0250">
      <w:pPr>
        <w:numPr>
          <w:ilvl w:val="0"/>
          <w:numId w:val="23"/>
        </w:numPr>
        <w:spacing w:after="0"/>
        <w:jc w:val="both"/>
      </w:pPr>
      <w:r w:rsidRPr="00FA5606">
        <w:t>Qasja e kufizuar në programe trajnimi falas të zhvillimit profesional të vazhdueshëm. Gjatë periudhës 2018-2019 janë zhvilluar trajnime për mësues me gjithsej 43,623 pjesëmarrës, nga të cilët 51% janë përfshirë në trajnimet e organizuara nga ASCAP</w:t>
      </w:r>
      <w:r w:rsidR="00AD4624">
        <w:t>-i</w:t>
      </w:r>
      <w:r w:rsidRPr="00FA5606">
        <w:t xml:space="preserve"> në bashkëpunim me MASR</w:t>
      </w:r>
      <w:r w:rsidR="00AD4624">
        <w:t>-n</w:t>
      </w:r>
      <w:r w:rsidR="00AD4624" w:rsidRPr="00CF4646">
        <w:t>ë</w:t>
      </w:r>
      <w:r w:rsidRPr="00FA5606">
        <w:t xml:space="preserve"> dhe donatorë, 33% </w:t>
      </w:r>
      <w:r w:rsidRPr="00FA5606">
        <w:lastRenderedPageBreak/>
        <w:t>nga agjenci trajnuese, 12 % nga institucione të arsimit të lartë publike dhe private dhe 4% nga organizata të tjera jofitimprurëse</w:t>
      </w:r>
      <w:r w:rsidR="00AD4624">
        <w:t>.</w:t>
      </w:r>
    </w:p>
    <w:p w:rsidR="009867CB" w:rsidRPr="00E97254" w:rsidRDefault="00FA5606" w:rsidP="000C0250">
      <w:pPr>
        <w:numPr>
          <w:ilvl w:val="0"/>
          <w:numId w:val="23"/>
        </w:numPr>
        <w:spacing w:after="0"/>
        <w:jc w:val="both"/>
        <w:rPr>
          <w:rFonts w:ascii="Noto Sans Symbols" w:eastAsia="Noto Sans Symbols" w:hAnsi="Noto Sans Symbols" w:cs="Noto Sans Symbols"/>
        </w:rPr>
      </w:pPr>
      <w:r w:rsidRPr="00FA5606">
        <w:t>Zhvillimi profesional i punonjësve arsimorë është realiz</w:t>
      </w:r>
      <w:r w:rsidR="00AD4624">
        <w:t>uar</w:t>
      </w:r>
      <w:r w:rsidRPr="00FA5606">
        <w:t xml:space="preserve"> edhe </w:t>
      </w:r>
      <w:r w:rsidR="00AD4624" w:rsidRPr="00CF4646">
        <w:t>nëpërmjet</w:t>
      </w:r>
      <w:r w:rsidRPr="00FA5606">
        <w:t xml:space="preserve">  trajnimit  nga agjenci trajnuese të cilat kanë akredituar modulet e trajnimit. </w:t>
      </w:r>
      <w:r w:rsidR="00AD4624">
        <w:t>L</w:t>
      </w:r>
      <w:r w:rsidRPr="00FA5606">
        <w:t xml:space="preserve">idhur me  </w:t>
      </w:r>
      <w:r w:rsidR="00AD4624" w:rsidRPr="00CF4646">
        <w:t>këtë</w:t>
      </w:r>
      <w:r w:rsidR="00AD4624">
        <w:t xml:space="preserve">, </w:t>
      </w:r>
      <w:r w:rsidR="00AD4624" w:rsidRPr="00CF4646">
        <w:t>për</w:t>
      </w:r>
      <w:r w:rsidRPr="00FA5606">
        <w:t xml:space="preserve"> t</w:t>
      </w:r>
      <w:r w:rsidR="00AD4624" w:rsidRPr="00CF4646">
        <w:t>ë</w:t>
      </w:r>
      <w:r w:rsidRPr="00FA5606">
        <w:t xml:space="preserve"> matur efektivitetin e trajnimeve dhe zbatimin në klasë të aftësive që fiton mësuesi gjatë këtyre trajnimeve apo </w:t>
      </w:r>
      <w:r w:rsidR="00AD4624">
        <w:t>zbatimin</w:t>
      </w:r>
      <w:r w:rsidRPr="00FA5606">
        <w:t xml:space="preserve">  e tyre në procesin e mësimdhënie – nxënies duhet t</w:t>
      </w:r>
      <w:r w:rsidR="00AD4624" w:rsidRPr="00CF4646">
        <w:t>ë</w:t>
      </w:r>
      <w:r w:rsidRPr="00FA5606">
        <w:t xml:space="preserve"> ket</w:t>
      </w:r>
      <w:r w:rsidR="00AD4624" w:rsidRPr="00CF4646">
        <w:t>ë</w:t>
      </w:r>
      <w:r w:rsidRPr="00FA5606">
        <w:t xml:space="preserve"> m</w:t>
      </w:r>
      <w:r w:rsidR="00AD4624" w:rsidRPr="00CF4646">
        <w:t>ë</w:t>
      </w:r>
      <w:r w:rsidRPr="00FA5606">
        <w:t xml:space="preserve"> shum</w:t>
      </w:r>
      <w:r w:rsidR="00AD4624" w:rsidRPr="00CF4646">
        <w:t>ë</w:t>
      </w:r>
      <w:r w:rsidRPr="00FA5606">
        <w:t xml:space="preserve"> monitorime dhe </w:t>
      </w:r>
      <w:r w:rsidR="00AD4624" w:rsidRPr="00CF4646">
        <w:t>vlerësime</w:t>
      </w:r>
      <w:r w:rsidRPr="00FA5606">
        <w:t xml:space="preserve"> nga struktura</w:t>
      </w:r>
      <w:r w:rsidR="00AD4624">
        <w:t>t</w:t>
      </w:r>
      <w:r w:rsidRPr="00FA5606">
        <w:t xml:space="preserve"> </w:t>
      </w:r>
      <w:r w:rsidR="00AD4624" w:rsidRPr="00CF4646">
        <w:t>përgj</w:t>
      </w:r>
      <w:r w:rsidR="00AD4624">
        <w:t>e</w:t>
      </w:r>
      <w:r w:rsidR="00AD4624" w:rsidRPr="00CF4646">
        <w:t>gjëse</w:t>
      </w:r>
      <w:r w:rsidR="00AD4624">
        <w:t>,</w:t>
      </w:r>
      <w:r w:rsidRPr="00FA5606">
        <w:t xml:space="preserve"> si dhe raporte me gjetje dhe rekomandime</w:t>
      </w:r>
      <w:r w:rsidR="00AD4624">
        <w:t>.</w:t>
      </w:r>
    </w:p>
    <w:p w:rsidR="009867CB" w:rsidRPr="00E97254" w:rsidRDefault="00FA5606" w:rsidP="000C0250">
      <w:pPr>
        <w:numPr>
          <w:ilvl w:val="0"/>
          <w:numId w:val="23"/>
        </w:numPr>
        <w:spacing w:after="0"/>
        <w:jc w:val="both"/>
        <w:rPr>
          <w:rFonts w:ascii="Noto Sans Symbols" w:eastAsia="Noto Sans Symbols" w:hAnsi="Noto Sans Symbols" w:cs="Noto Sans Symbols"/>
        </w:rPr>
      </w:pPr>
      <w:r w:rsidRPr="00FA5606">
        <w:t xml:space="preserve">Bashkërendimi, mbikëqyrja dhe mbështetja e rrjeteve të zhvillimit profesional të mësuesve. </w:t>
      </w:r>
      <w:r w:rsidRPr="00FA5606">
        <w:rPr>
          <w:rFonts w:ascii="Calibri" w:hAnsi="Calibri" w:cs="Calibri"/>
        </w:rPr>
        <w:t>Në Shqipëri ekzistojnë rreth 1,200 rrjete profesionale, që bazohen te fushat lëndore, klasat dhe tematikat. Në</w:t>
      </w:r>
      <w:r w:rsidR="00AD4624">
        <w:rPr>
          <w:rFonts w:ascii="Calibri" w:hAnsi="Calibri" w:cs="Calibri"/>
        </w:rPr>
        <w:t xml:space="preserve"> </w:t>
      </w:r>
      <w:r w:rsidRPr="00FA5606">
        <w:rPr>
          <w:rFonts w:ascii="Calibri" w:hAnsi="Calibri" w:cs="Calibri"/>
        </w:rPr>
        <w:t xml:space="preserve">këto rrjete </w:t>
      </w:r>
      <w:r w:rsidR="00AD4624">
        <w:rPr>
          <w:rFonts w:ascii="Calibri" w:hAnsi="Calibri" w:cs="Calibri"/>
        </w:rPr>
        <w:t>p</w:t>
      </w:r>
      <w:r w:rsidR="00AD4624" w:rsidRPr="00CF4646">
        <w:t>ë</w:t>
      </w:r>
      <w:r w:rsidR="00AD4624">
        <w:t xml:space="preserve">rfshihen </w:t>
      </w:r>
      <w:r w:rsidRPr="00FA5606">
        <w:rPr>
          <w:rFonts w:ascii="Calibri" w:hAnsi="Calibri" w:cs="Calibri"/>
        </w:rPr>
        <w:t xml:space="preserve">edhe rrjetet profesionale të mësuesve ndihmës si dhe mësuesit që japin mësim në klasat kolektive.  </w:t>
      </w:r>
    </w:p>
    <w:p w:rsidR="009867CB" w:rsidRPr="00E97254" w:rsidRDefault="00FA5606" w:rsidP="000C0250">
      <w:pPr>
        <w:numPr>
          <w:ilvl w:val="0"/>
          <w:numId w:val="23"/>
        </w:numPr>
        <w:spacing w:after="0"/>
        <w:jc w:val="both"/>
        <w:rPr>
          <w:rFonts w:ascii="Noto Sans Symbols" w:eastAsia="Noto Sans Symbols" w:hAnsi="Noto Sans Symbols" w:cs="Noto Sans Symbols"/>
        </w:rPr>
      </w:pPr>
      <w:r w:rsidRPr="00FA5606">
        <w:t xml:space="preserve"> Ngritja nga ana profesionale ose kualifikimi i mësuesve bazohet më së shumti në plotësimin</w:t>
      </w:r>
      <w:r w:rsidRPr="00FA5606">
        <w:rPr>
          <w:rFonts w:ascii="Calibri" w:hAnsi="Calibri" w:cs="Calibri"/>
          <w:bCs/>
        </w:rPr>
        <w:t xml:space="preserve"> e </w:t>
      </w:r>
      <w:r w:rsidRPr="00FA5606">
        <w:t>viteve</w:t>
      </w:r>
      <w:r w:rsidRPr="00FA5606">
        <w:rPr>
          <w:rFonts w:ascii="Calibri" w:hAnsi="Calibri" w:cs="Calibri"/>
        </w:rPr>
        <w:t xml:space="preserve"> në detyrë si </w:t>
      </w:r>
      <w:r w:rsidRPr="00FA5606">
        <w:t xml:space="preserve">parakusht për të hyrë në procesin e kualifikimit, </w:t>
      </w:r>
      <w:r w:rsidRPr="00FA5606">
        <w:rPr>
          <w:rFonts w:ascii="Calibri" w:hAnsi="Calibri" w:cs="Calibri"/>
        </w:rPr>
        <w:t>si dhe në kalimin e provimit të kualifikimit. Ndërkohë</w:t>
      </w:r>
      <w:r w:rsidR="00AD4624">
        <w:rPr>
          <w:rFonts w:ascii="Calibri" w:hAnsi="Calibri" w:cs="Calibri"/>
        </w:rPr>
        <w:t>,</w:t>
      </w:r>
      <w:r w:rsidRPr="00FA5606">
        <w:rPr>
          <w:rFonts w:ascii="Calibri" w:hAnsi="Calibri" w:cs="Calibri"/>
        </w:rPr>
        <w:t xml:space="preserve"> </w:t>
      </w:r>
      <w:r w:rsidR="00AD4624" w:rsidRPr="00CF4646">
        <w:t>ë</w:t>
      </w:r>
      <w:r w:rsidR="00AD4624">
        <w:t>sht</w:t>
      </w:r>
      <w:r w:rsidR="00AD4624" w:rsidRPr="00CF4646">
        <w:t>ë</w:t>
      </w:r>
      <w:r w:rsidR="00AD4624">
        <w:t xml:space="preserve"> e </w:t>
      </w:r>
      <w:r w:rsidRPr="00FA5606">
        <w:rPr>
          <w:rFonts w:ascii="Calibri" w:hAnsi="Calibri" w:cs="Calibri"/>
        </w:rPr>
        <w:t>nevoj</w:t>
      </w:r>
      <w:r w:rsidR="00AD4624">
        <w:rPr>
          <w:rFonts w:ascii="Calibri" w:hAnsi="Calibri" w:cs="Calibri"/>
        </w:rPr>
        <w:t>shme</w:t>
      </w:r>
      <w:r w:rsidRPr="00FA5606">
        <w:rPr>
          <w:rFonts w:ascii="Calibri" w:hAnsi="Calibri" w:cs="Calibri"/>
        </w:rPr>
        <w:t xml:space="preserve"> të përfshi</w:t>
      </w:r>
      <w:r w:rsidR="00AD4624">
        <w:rPr>
          <w:rFonts w:ascii="Calibri" w:hAnsi="Calibri" w:cs="Calibri"/>
        </w:rPr>
        <w:t>het</w:t>
      </w:r>
      <w:r w:rsidRPr="00FA5606">
        <w:rPr>
          <w:rFonts w:ascii="Calibri" w:hAnsi="Calibri" w:cs="Calibri"/>
        </w:rPr>
        <w:t xml:space="preserve"> në këtë proces edhe praktika e mësuesit në procesin e mësimdhënie – nxënies gjatë punës së tij m</w:t>
      </w:r>
      <w:r w:rsidR="00AD4624">
        <w:rPr>
          <w:rFonts w:ascii="Calibri" w:hAnsi="Calibri" w:cs="Calibri"/>
        </w:rPr>
        <w:t>e</w:t>
      </w:r>
      <w:r w:rsidRPr="00FA5606">
        <w:rPr>
          <w:rFonts w:ascii="Calibri" w:hAnsi="Calibri" w:cs="Calibri"/>
        </w:rPr>
        <w:t xml:space="preserve"> nxënësit. </w:t>
      </w:r>
    </w:p>
    <w:p w:rsidR="009867CB" w:rsidRPr="00E97254" w:rsidRDefault="00FA5606" w:rsidP="000C0250">
      <w:pPr>
        <w:numPr>
          <w:ilvl w:val="0"/>
          <w:numId w:val="23"/>
        </w:numPr>
        <w:spacing w:after="0"/>
        <w:jc w:val="both"/>
        <w:rPr>
          <w:rFonts w:ascii="Noto Sans Symbols" w:eastAsia="Noto Sans Symbols" w:hAnsi="Noto Sans Symbols" w:cs="Noto Sans Symbols"/>
        </w:rPr>
      </w:pPr>
      <w:r w:rsidRPr="00FA5606">
        <w:t>Vlerësimi i performancës së mësuesve duhet të përfshijë nevojat për zhvillimin profesional dhe të bazohet në standardet profesionale të mësuesit të miratuara me urdhër 246 dat</w:t>
      </w:r>
      <w:r w:rsidR="00AD4624" w:rsidRPr="00CF4646">
        <w:t>ë</w:t>
      </w:r>
      <w:r w:rsidRPr="00FA5606">
        <w:t xml:space="preserve"> 24.07.02020 dhe n</w:t>
      </w:r>
      <w:r w:rsidR="00AD4624" w:rsidRPr="00CF4646">
        <w:t>ë</w:t>
      </w:r>
      <w:r w:rsidRPr="00FA5606">
        <w:t xml:space="preserve"> rezultate</w:t>
      </w:r>
      <w:r w:rsidR="00AD4624">
        <w:t>t</w:t>
      </w:r>
      <w:r w:rsidRPr="00FA5606">
        <w:t xml:space="preserve"> </w:t>
      </w:r>
      <w:r w:rsidR="00AD4624">
        <w:t>e</w:t>
      </w:r>
      <w:r w:rsidRPr="00FA5606">
        <w:t xml:space="preserve"> arritjeve të nxënësve të tyre.</w:t>
      </w:r>
    </w:p>
    <w:p w:rsidR="009867CB" w:rsidRPr="00E97254" w:rsidRDefault="009867CB" w:rsidP="000C0250">
      <w:pPr>
        <w:spacing w:after="0"/>
        <w:jc w:val="both"/>
        <w:rPr>
          <w:b/>
        </w:rPr>
      </w:pPr>
    </w:p>
    <w:p w:rsidR="009867CB" w:rsidRPr="00E97254" w:rsidRDefault="00FA5606" w:rsidP="000C0250">
      <w:pPr>
        <w:spacing w:after="0"/>
        <w:jc w:val="both"/>
      </w:pPr>
      <w:r w:rsidRPr="00FA5606">
        <w:rPr>
          <w:b/>
        </w:rPr>
        <w:t>Produktet/Rezultatet e pritshme</w:t>
      </w:r>
      <w:r w:rsidRPr="00FA5606">
        <w:t xml:space="preserve"> </w:t>
      </w:r>
      <w:r w:rsidRPr="00FA5606">
        <w:rPr>
          <w:b/>
        </w:rPr>
        <w:t>dhe masat.</w:t>
      </w:r>
      <w:r w:rsidRPr="00FA5606">
        <w:rPr>
          <w:b/>
        </w:rPr>
        <w:softHyphen/>
      </w:r>
      <w:r w:rsidRPr="00FA5606">
        <w:t>- Në vijim janë dhënë produktet dhe masat e ndërlidhura me objektivin specifik A2.</w:t>
      </w:r>
    </w:p>
    <w:p w:rsidR="009867CB" w:rsidRPr="00E97254" w:rsidRDefault="00FA5606" w:rsidP="000C0250">
      <w:pPr>
        <w:spacing w:after="0"/>
        <w:jc w:val="both"/>
        <w:rPr>
          <w:rFonts w:ascii="Times New Roman" w:eastAsia="Times New Roman" w:hAnsi="Times New Roman" w:cs="Times New Roman"/>
          <w:sz w:val="24"/>
          <w:szCs w:val="24"/>
        </w:rPr>
      </w:pPr>
      <w:r w:rsidRPr="00FA5606">
        <w:rPr>
          <w:u w:val="single"/>
        </w:rPr>
        <w:t>Produkti A2.1</w:t>
      </w:r>
      <w:r w:rsidRPr="00FA5606">
        <w:t>. Përmirësimi i cilësisë së programeve për formimin fillestar të mësuesve </w:t>
      </w:r>
    </w:p>
    <w:p w:rsidR="009867CB" w:rsidRPr="00E97254" w:rsidRDefault="00FA5606" w:rsidP="000C0250">
      <w:pPr>
        <w:spacing w:after="0"/>
        <w:jc w:val="both"/>
        <w:rPr>
          <w:i/>
        </w:rPr>
      </w:pPr>
      <w:r w:rsidRPr="00FA5606">
        <w:t xml:space="preserve">A2.1.1. Harmonizimi i kurrikulave të formimit fillestar të mësuesve të IAL bazuar në kërkesat e Ligjit të Arsimit të Lartë si dhe me kurrikulën që ofrohet në arsimin parauniversitar. </w:t>
      </w:r>
      <w:r w:rsidRPr="00FA5606">
        <w:rPr>
          <w:i/>
        </w:rPr>
        <w:t xml:space="preserve">Ky proces duhet të shfrytëzohet për </w:t>
      </w:r>
      <w:r w:rsidR="00AD4624" w:rsidRPr="00CF4646">
        <w:rPr>
          <w:i/>
        </w:rPr>
        <w:t>përshtatjen</w:t>
      </w:r>
      <w:r w:rsidRPr="00FA5606">
        <w:rPr>
          <w:i/>
        </w:rPr>
        <w:t xml:space="preserve"> e kurrikulave, në përputhje me praktikat më të mira ndërkombëtare, në veçanti me rekomandimet e BE-së </w:t>
      </w:r>
      <w:sdt>
        <w:sdtPr>
          <w:rPr>
            <w:i/>
          </w:rPr>
          <w:id w:val="-1373455053"/>
          <w:citation/>
        </w:sdtPr>
        <w:sdtEndPr/>
        <w:sdtContent>
          <w:r w:rsidR="00EC56B7" w:rsidRPr="00E97254">
            <w:rPr>
              <w:i/>
            </w:rPr>
            <w:fldChar w:fldCharType="begin"/>
          </w:r>
          <w:r w:rsidRPr="00FA5606">
            <w:rPr>
              <w:i/>
            </w:rPr>
            <w:instrText xml:space="preserve"> CITATION Eur14 \l 1033 </w:instrText>
          </w:r>
          <w:r w:rsidR="00EC56B7" w:rsidRPr="00E97254">
            <w:rPr>
              <w:i/>
            </w:rPr>
            <w:fldChar w:fldCharType="separate"/>
          </w:r>
          <w:r w:rsidR="00724BCC" w:rsidRPr="00E97254">
            <w:t>[78]</w:t>
          </w:r>
          <w:r w:rsidR="00EC56B7" w:rsidRPr="00E97254">
            <w:rPr>
              <w:i/>
            </w:rPr>
            <w:fldChar w:fldCharType="end"/>
          </w:r>
        </w:sdtContent>
      </w:sdt>
      <w:r w:rsidR="009867CB" w:rsidRPr="00E97254">
        <w:rPr>
          <w:i/>
        </w:rPr>
        <w:t xml:space="preserve">, duke përcaktuar një balancë të drejtë midis </w:t>
      </w:r>
      <w:r w:rsidR="00AD4624">
        <w:rPr>
          <w:i/>
        </w:rPr>
        <w:t>p</w:t>
      </w:r>
      <w:r w:rsidR="00AD4624" w:rsidRPr="00CF4646">
        <w:t>ë</w:t>
      </w:r>
      <w:r w:rsidR="00AD4624">
        <w:t>rmbajtjes</w:t>
      </w:r>
      <w:r w:rsidR="00AD4624" w:rsidRPr="00E97254">
        <w:rPr>
          <w:i/>
        </w:rPr>
        <w:t xml:space="preserve"> </w:t>
      </w:r>
      <w:r w:rsidR="009867CB" w:rsidRPr="00E97254">
        <w:rPr>
          <w:i/>
        </w:rPr>
        <w:t xml:space="preserve">lëndore, asaj pedagogjike, si dhe punës praktike të integruar në programin e studimeve. </w:t>
      </w:r>
      <w:r w:rsidR="00AD4624">
        <w:rPr>
          <w:i/>
        </w:rPr>
        <w:t>Sipas</w:t>
      </w:r>
      <w:r w:rsidR="00AD4624" w:rsidRPr="00E97254">
        <w:rPr>
          <w:i/>
        </w:rPr>
        <w:t xml:space="preserve"> </w:t>
      </w:r>
      <w:r w:rsidR="009867CB" w:rsidRPr="00E97254">
        <w:rPr>
          <w:i/>
        </w:rPr>
        <w:t xml:space="preserve">këtyre rekomandimeve, programet për formimin fillestar të mësuesve duhet t’i pajisin mësuesit e ardhshëm me kompetencat </w:t>
      </w:r>
      <w:r w:rsidR="00AD4624">
        <w:rPr>
          <w:i/>
        </w:rPr>
        <w:t>themelore,</w:t>
      </w:r>
      <w:r w:rsidR="00AD4624" w:rsidRPr="00E97254">
        <w:rPr>
          <w:i/>
        </w:rPr>
        <w:t xml:space="preserve"> </w:t>
      </w:r>
      <w:r w:rsidR="009867CB" w:rsidRPr="00E97254">
        <w:rPr>
          <w:i/>
        </w:rPr>
        <w:t xml:space="preserve">të nevojshme për mësimdhënie cilësore, por edhe t’i motivojnë ata që këto kompetenca t’i zhvillojnë edhe më tej gjatë karrierës së tyre. Në veçanti, këto programe duhet t’i kushtojnë rëndësi aftësimit të mësuesve të ardhshëm për t’i zhvilluar kompetencat kyç </w:t>
      </w:r>
      <w:r w:rsidR="00AD4624">
        <w:rPr>
          <w:i/>
        </w:rPr>
        <w:t>nd</w:t>
      </w:r>
      <w:r w:rsidR="00AD4624" w:rsidRPr="00CF4646">
        <w:t>ë</w:t>
      </w:r>
      <w:r w:rsidR="00AD4624">
        <w:t>r</w:t>
      </w:r>
      <w:r w:rsidR="009867CB" w:rsidRPr="00E97254">
        <w:rPr>
          <w:i/>
        </w:rPr>
        <w:t xml:space="preserve">-kurrikulare tek nxënësit, siç janë: kompetenca digjitale, kompetenca e të mësuarit për të nxënë, kompetenca e sipërmarrjes, si dhe ajo </w:t>
      </w:r>
      <w:r w:rsidRPr="00FA5606">
        <w:rPr>
          <w:i/>
        </w:rPr>
        <w:t>e lexim-shkrimit. Po ashtu, mësuesit duhet të aftësohen të punojnë me grupe të ndryshme të nxënësve, përfshirë nxënësit me aftësi të kufizuara dhe ata nga grupet vulnerabël.</w:t>
      </w:r>
    </w:p>
    <w:p w:rsidR="009867CB" w:rsidRPr="00E97254" w:rsidRDefault="00FA5606" w:rsidP="000C0250">
      <w:pPr>
        <w:spacing w:after="0"/>
        <w:jc w:val="both"/>
      </w:pPr>
      <w:r w:rsidRPr="00FA5606">
        <w:rPr>
          <w:u w:val="single"/>
        </w:rPr>
        <w:t>Produkti A2.2</w:t>
      </w:r>
      <w:r w:rsidRPr="00FA5606">
        <w:t>. Shtimi i mundësive për zhvillimin profesional të mësuesve (aftësitë pedagogjike, kompetenca digjitale, arsimi gjithëpërfshirës)</w:t>
      </w:r>
    </w:p>
    <w:p w:rsidR="009867CB" w:rsidRPr="00E97254" w:rsidRDefault="00FA5606" w:rsidP="000C0250">
      <w:pPr>
        <w:spacing w:after="0"/>
        <w:jc w:val="both"/>
        <w:rPr>
          <w:rFonts w:ascii="Times New Roman" w:eastAsia="Times New Roman" w:hAnsi="Times New Roman" w:cs="Times New Roman"/>
          <w:i/>
          <w:sz w:val="24"/>
          <w:szCs w:val="24"/>
        </w:rPr>
      </w:pPr>
      <w:r w:rsidRPr="00FA5606">
        <w:t xml:space="preserve">A2.2.1. Zhvillimi i moduleve të trajnimit të bazuara në standardet profesionale të mësuesit dhe në koherencë me kurrikulën bazuar në kompetenca. </w:t>
      </w:r>
      <w:r w:rsidRPr="00FA5606">
        <w:rPr>
          <w:i/>
        </w:rPr>
        <w:t>MASR</w:t>
      </w:r>
      <w:r w:rsidR="00AD4624">
        <w:rPr>
          <w:i/>
        </w:rPr>
        <w:t>-ja</w:t>
      </w:r>
      <w:r w:rsidRPr="00FA5606">
        <w:rPr>
          <w:i/>
        </w:rPr>
        <w:t>, në bashkëpunim me ASCAP</w:t>
      </w:r>
      <w:r w:rsidR="00AD4624">
        <w:rPr>
          <w:i/>
        </w:rPr>
        <w:t>-in</w:t>
      </w:r>
      <w:r w:rsidRPr="00FA5606">
        <w:rPr>
          <w:i/>
        </w:rPr>
        <w:t>, DPAP</w:t>
      </w:r>
      <w:r w:rsidR="00AD4624">
        <w:rPr>
          <w:i/>
        </w:rPr>
        <w:t>-in</w:t>
      </w:r>
      <w:r w:rsidRPr="00FA5606">
        <w:rPr>
          <w:i/>
        </w:rPr>
        <w:t xml:space="preserve"> dhe IAL-të publike do të iniciojë zhvillimin e moduleve që janë me interes për zhvillimin profesional të mësuesve bazuar në raportin kombëtar të </w:t>
      </w:r>
      <w:r w:rsidR="00AD4624" w:rsidRPr="00CF4646">
        <w:rPr>
          <w:i/>
        </w:rPr>
        <w:t>identifikimit</w:t>
      </w:r>
      <w:r w:rsidRPr="00FA5606">
        <w:rPr>
          <w:i/>
        </w:rPr>
        <w:t xml:space="preserve"> të nevojave, duke u dhënë përparësi programeve që</w:t>
      </w:r>
      <w:r w:rsidR="00AD4624">
        <w:rPr>
          <w:i/>
        </w:rPr>
        <w:t xml:space="preserve"> </w:t>
      </w:r>
      <w:r w:rsidRPr="00FA5606">
        <w:rPr>
          <w:i/>
        </w:rPr>
        <w:t xml:space="preserve">kontribuojnë në përmbushjen e standardeve profesionale të mësuesit dhe zbatimit të kurrikulës me </w:t>
      </w:r>
      <w:r w:rsidRPr="00FA5606">
        <w:rPr>
          <w:i/>
        </w:rPr>
        <w:lastRenderedPageBreak/>
        <w:t>kompetenca. Edhe agjencitë trajnuese do të inkurajohen të zhvillojnë programe të tilla, ndërsa, aty ku paraqitet nevoja, pjesëmarrja e mësuesve në këto trajnime do të financohet nga fondet publike.</w:t>
      </w:r>
    </w:p>
    <w:p w:rsidR="009867CB" w:rsidRPr="00E97254" w:rsidRDefault="00FA5606" w:rsidP="000C0250">
      <w:pPr>
        <w:spacing w:after="0"/>
        <w:jc w:val="both"/>
        <w:rPr>
          <w:i/>
        </w:rPr>
      </w:pPr>
      <w:r w:rsidRPr="00FA5606">
        <w:t xml:space="preserve">A2.2.2. Mbështetja e rrjeteve profesionale dhe anëtarëve të tyre, në veçanti rrjeteve profesionale të gjuhës shqipe, matematikës dhe shkencave, në përputhje me aftësitë që kërkohen në provimin ndërkombëtar PISA, PIRLS dhe TIMSS. </w:t>
      </w:r>
      <w:r w:rsidRPr="00FA5606">
        <w:rPr>
          <w:i/>
        </w:rPr>
        <w:t>Rrjetet profesionale ngrihen nga ZVAP-të dhe DRAP-të, në përputhje me prioritetet e tyre dhe ato mbështesin mirëfunksionimin e tyre. Ndërkaq, për rrjetet nga fushat prioritare në nivel vendi do të hartohen udhëzime të veçanta dhe materiale ndihmëse nga ASCAP-i që të maksimizohet efekti i punës së tyre.</w:t>
      </w:r>
    </w:p>
    <w:p w:rsidR="009867CB" w:rsidRPr="00E97254" w:rsidRDefault="00FA5606" w:rsidP="000C0250">
      <w:pPr>
        <w:spacing w:after="0"/>
        <w:jc w:val="both"/>
        <w:rPr>
          <w:i/>
        </w:rPr>
      </w:pPr>
      <w:r w:rsidRPr="00FA5606">
        <w:t xml:space="preserve">A2.2.3. Nxitja e mobilitetit të mësuesve </w:t>
      </w:r>
      <w:r w:rsidR="00A50A43">
        <w:t>nëpërmjet</w:t>
      </w:r>
      <w:r w:rsidRPr="00FA5606">
        <w:t xml:space="preserve"> pjesëmarrjes së institucioneve të arsimit parauniversitar në Erasmus+ dhe programe të tjera. </w:t>
      </w:r>
      <w:r w:rsidRPr="00FA5606">
        <w:rPr>
          <w:i/>
        </w:rPr>
        <w:t xml:space="preserve">Në bashkëpunim me Zyrën Kombëtare Erasmus+ do të zhvillohet një fushatë informimi në shkolla për mundësitë e aplikimit në këtë program evropian, duke siguruar mundësi për bashkëpunim me shkolla nga vendet tjera evropiane dhe mundësi për mobilitetin e mësuesve. </w:t>
      </w:r>
    </w:p>
    <w:p w:rsidR="009867CB" w:rsidRPr="00E97254" w:rsidRDefault="00FA5606" w:rsidP="000C0250">
      <w:pPr>
        <w:spacing w:after="0"/>
        <w:jc w:val="both"/>
      </w:pPr>
      <w:r w:rsidRPr="00FA5606">
        <w:rPr>
          <w:u w:val="single"/>
        </w:rPr>
        <w:t>Produkti A2.3</w:t>
      </w:r>
      <w:r w:rsidRPr="00FA5606">
        <w:t xml:space="preserve">. Përmirësimi i pozicionit të mësuesit </w:t>
      </w:r>
      <w:r w:rsidR="00A50A43">
        <w:t>nëpërmjet</w:t>
      </w:r>
      <w:r w:rsidRPr="00FA5606">
        <w:t xml:space="preserve"> rritjes së pagave dhe sistemit të kualifkimit (ngritjes nga ana profesionale) bazuar në standardet e vlerësimit të mësuesve</w:t>
      </w:r>
    </w:p>
    <w:p w:rsidR="009A1CFC" w:rsidRPr="00E97254" w:rsidRDefault="00FA5606" w:rsidP="000C0250">
      <w:pPr>
        <w:spacing w:after="0"/>
        <w:jc w:val="both"/>
        <w:rPr>
          <w:i/>
        </w:rPr>
      </w:pPr>
      <w:r w:rsidRPr="00FA5606">
        <w:t xml:space="preserve">A2.3.1. Rritja e pagave të mësuesve. </w:t>
      </w:r>
      <w:r w:rsidRPr="00FA5606">
        <w:rPr>
          <w:i/>
        </w:rPr>
        <w:t xml:space="preserve">Për ta përmirësuar në vazhdimësi pozicionin e mësuesit në shoqëri, deri në vitin 2025 pagat e mësuesve do të rriten deri me 40% në raport me nivelin e pagave në janarin e vitit 2021. </w:t>
      </w:r>
    </w:p>
    <w:p w:rsidR="009867CB" w:rsidRPr="00E97254" w:rsidRDefault="00FA5606" w:rsidP="000C0250">
      <w:pPr>
        <w:spacing w:after="0"/>
        <w:jc w:val="both"/>
        <w:rPr>
          <w:i/>
        </w:rPr>
      </w:pPr>
      <w:r w:rsidRPr="00FA5606">
        <w:t xml:space="preserve">A2.3.2. Ndërtimi i një sistemi të ri të ngritjes nga ana profesionale--kualifikimit të bazuar edhe në vlerësimin e performancës së mësuesit në shkollë. </w:t>
      </w:r>
      <w:r w:rsidRPr="00FA5606">
        <w:rPr>
          <w:i/>
        </w:rPr>
        <w:t>Vlerësimi i performancës duhet të jetë më i fokusuar në praktikat e mësimdhënies, si dhe të ofrojë informacion reflektues për identifikimin e nevojave për zhvillimi</w:t>
      </w:r>
      <w:r w:rsidR="00AD4624">
        <w:rPr>
          <w:i/>
        </w:rPr>
        <w:t>n</w:t>
      </w:r>
      <w:r w:rsidRPr="00FA5606">
        <w:rPr>
          <w:i/>
        </w:rPr>
        <w:t xml:space="preserve"> profesional. Përveç kontrollit të dokumentacionit shkollor, vlerësimi i performancës duhet të përfshijë edhe vëzhgimin e mësuesit në klasë, si dhe kontrollin e portofolit që dokumenton praktikat e mësimdhënies. Që një sistem i tillë të jetë funksional, duhe</w:t>
      </w:r>
      <w:r w:rsidR="00AD4624">
        <w:rPr>
          <w:i/>
        </w:rPr>
        <w:t>n</w:t>
      </w:r>
      <w:r w:rsidRPr="00FA5606">
        <w:rPr>
          <w:i/>
        </w:rPr>
        <w:t xml:space="preserve"> hartuar udhëzues që bazohen në standardet e mësuesit dhe përmbajnë instrumente për vlerësimin e aspekteve të ndryshme të performancës, të cilat paraprakisht duhen pilotuar. Po ashtu, është me rëndësi ndërtimi i kapaciteteteve të vlerësuesve dhe ofrimi i mbështetjes për ta nga specialistët e ASCAP</w:t>
      </w:r>
      <w:r w:rsidR="00AD4624">
        <w:rPr>
          <w:i/>
        </w:rPr>
        <w:t>-it</w:t>
      </w:r>
      <w:r w:rsidRPr="00FA5606">
        <w:rPr>
          <w:i/>
        </w:rPr>
        <w:t>.</w:t>
      </w:r>
    </w:p>
    <w:p w:rsidR="009867CB" w:rsidRPr="00E97254" w:rsidRDefault="00FA5606" w:rsidP="000C0250">
      <w:pPr>
        <w:keepNext/>
        <w:spacing w:after="0"/>
        <w:jc w:val="both"/>
        <w:rPr>
          <w:b/>
        </w:rPr>
      </w:pPr>
      <w:r w:rsidRPr="00FA5606">
        <w:rPr>
          <w:b/>
        </w:rPr>
        <w:t>Treguesit</w:t>
      </w:r>
    </w:p>
    <w:p w:rsidR="009867CB" w:rsidRPr="00E97254" w:rsidRDefault="00FA5606" w:rsidP="000C0250">
      <w:pPr>
        <w:numPr>
          <w:ilvl w:val="0"/>
          <w:numId w:val="28"/>
        </w:numPr>
        <w:spacing w:after="0"/>
        <w:ind w:left="360"/>
        <w:jc w:val="both"/>
      </w:pPr>
      <w:r w:rsidRPr="00FA5606">
        <w:t>Përqindja e programeve të akredituara për formimin fillestar t</w:t>
      </w:r>
      <w:r w:rsidR="00AD4624" w:rsidRPr="00CF4646">
        <w:t>ë</w:t>
      </w:r>
      <w:r w:rsidRPr="00FA5606">
        <w:t xml:space="preserve"> mësuesve në universitetet publike</w:t>
      </w:r>
    </w:p>
    <w:p w:rsidR="009867CB" w:rsidRPr="00E97254" w:rsidRDefault="00FA5606" w:rsidP="000C0250">
      <w:pPr>
        <w:numPr>
          <w:ilvl w:val="0"/>
          <w:numId w:val="28"/>
        </w:numPr>
        <w:spacing w:after="0"/>
        <w:ind w:left="360"/>
        <w:jc w:val="both"/>
      </w:pPr>
      <w:r w:rsidRPr="00FA5606">
        <w:t>Përqindja e mësuesve të: (a) arsimit parashkollor; (b) arsimit fillor; (c) arsimit të mesëm të ulët; (d) arsimit të mesëm të lartë që kanë marrë së paku minimumin e trajnimit të detyruar të mësuesve (p.sh. trajnim në aspekte pedagogjik) para emërimit në detyrë ose që janë në detyrë të kërkuar për mësimdhënie në nivelin përkatës (</w:t>
      </w:r>
      <w:r w:rsidR="00A50A43">
        <w:t>OZHQ</w:t>
      </w:r>
      <w:r w:rsidR="00965850">
        <w:t xml:space="preserve"> </w:t>
      </w:r>
      <w:r w:rsidRPr="00FA5606">
        <w:t>4.C1)</w:t>
      </w:r>
    </w:p>
    <w:p w:rsidR="009867CB" w:rsidRPr="00E97254" w:rsidRDefault="00FA5606" w:rsidP="000C0250">
      <w:pPr>
        <w:numPr>
          <w:ilvl w:val="0"/>
          <w:numId w:val="28"/>
        </w:numPr>
        <w:spacing w:after="0"/>
        <w:ind w:left="360"/>
        <w:jc w:val="both"/>
      </w:pPr>
      <w:r w:rsidRPr="00FA5606">
        <w:t>Përqindja e mësuesve që kanë marrë trajnim gjatë punës në 12 muajt e fundit sipas llojit të trajnimit (</w:t>
      </w:r>
      <w:r w:rsidR="00A50A43">
        <w:t>OZHQ</w:t>
      </w:r>
      <w:r w:rsidR="00965850">
        <w:t xml:space="preserve"> </w:t>
      </w:r>
      <w:r w:rsidRPr="00FA5606">
        <w:t>4.C7)</w:t>
      </w:r>
    </w:p>
    <w:p w:rsidR="009867CB" w:rsidRPr="00E97254" w:rsidRDefault="00FA5606" w:rsidP="000C0250">
      <w:pPr>
        <w:numPr>
          <w:ilvl w:val="0"/>
          <w:numId w:val="28"/>
        </w:numPr>
        <w:spacing w:after="0"/>
        <w:ind w:left="360"/>
        <w:jc w:val="both"/>
      </w:pPr>
      <w:r w:rsidRPr="00FA5606">
        <w:t xml:space="preserve">Përqindja e mësuesve që kanë plotësuar në nivel të lartë standardet profesionale të mësuesit dhe kanë </w:t>
      </w:r>
      <w:r w:rsidR="00F919F3">
        <w:t>p</w:t>
      </w:r>
      <w:r w:rsidR="00F919F3" w:rsidRPr="00CF4646">
        <w:t>ë</w:t>
      </w:r>
      <w:r w:rsidR="00F919F3">
        <w:t>rparuar</w:t>
      </w:r>
      <w:r w:rsidRPr="00FA5606">
        <w:t xml:space="preserve"> në kategoritë e kualifikimit.</w:t>
      </w:r>
    </w:p>
    <w:p w:rsidR="0040069E" w:rsidRPr="00E97254" w:rsidRDefault="0040069E" w:rsidP="000C0250">
      <w:pPr>
        <w:jc w:val="both"/>
      </w:pPr>
    </w:p>
    <w:p w:rsidR="00F27EEE" w:rsidRPr="00E97254" w:rsidRDefault="00FA5606" w:rsidP="000C0250">
      <w:pPr>
        <w:pStyle w:val="Heading3"/>
        <w:spacing w:before="120" w:after="120"/>
        <w:jc w:val="both"/>
      </w:pPr>
      <w:bookmarkStart w:id="123" w:name="_Toc66802014"/>
      <w:r w:rsidRPr="00FA5606">
        <w:lastRenderedPageBreak/>
        <w:t>Objektivi specifik A3: Zotërimi i kompetencave të të nxënit gjatë gjithë jetës</w:t>
      </w:r>
      <w:bookmarkEnd w:id="123"/>
    </w:p>
    <w:p w:rsidR="00F27EEE" w:rsidRPr="00E97254" w:rsidRDefault="003A44C5" w:rsidP="000C0250">
      <w:pPr>
        <w:spacing w:after="0"/>
        <w:jc w:val="both"/>
      </w:pPr>
      <w:r>
        <w:rPr>
          <w:noProof/>
        </w:rPr>
        <mc:AlternateContent>
          <mc:Choice Requires="wps">
            <w:drawing>
              <wp:inline distT="0" distB="0" distL="0" distR="0">
                <wp:extent cx="5943600" cy="488950"/>
                <wp:effectExtent l="12700" t="12700" r="0" b="6350"/>
                <wp:docPr id="16"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43600" cy="488950"/>
                        </a:xfrm>
                        <a:prstGeom prst="rect">
                          <a:avLst/>
                        </a:prstGeom>
                        <a:solidFill>
                          <a:srgbClr val="EBF1DE"/>
                        </a:solidFill>
                        <a:ln w="25400">
                          <a:solidFill>
                            <a:srgbClr val="8064A2"/>
                          </a:solidFill>
                          <a:miter lim="800000"/>
                          <a:headEnd/>
                          <a:tailEnd/>
                        </a:ln>
                      </wps:spPr>
                      <wps:txbx>
                        <w:txbxContent>
                          <w:p w:rsidR="00753C65" w:rsidRPr="00F27EEE" w:rsidRDefault="00753C65" w:rsidP="003A2FBF">
                            <w:pPr>
                              <w:pStyle w:val="Default"/>
                            </w:pPr>
                            <w:r w:rsidRPr="00F27EEE">
                              <w:t xml:space="preserve">Zbatimi i plotë i kurrikulës së bazuar në kompetenca </w:t>
                            </w:r>
                            <w:r>
                              <w:t>nëpërmjet</w:t>
                            </w:r>
                            <w:r w:rsidRPr="00F27EEE">
                              <w:t xml:space="preserve"> mësimdhënies efektive dhe shfrytëzimit të burimeve të cilësisë së lartë</w:t>
                            </w:r>
                          </w:p>
                        </w:txbxContent>
                      </wps:txbx>
                      <wps:bodyPr rot="0" vert="horz" wrap="square" lIns="91440" tIns="45720" rIns="91440" bIns="45720" anchor="t" anchorCtr="0" upright="1">
                        <a:spAutoFit/>
                      </wps:bodyPr>
                    </wps:wsp>
                  </a:graphicData>
                </a:graphic>
              </wp:inline>
            </w:drawing>
          </mc:Choice>
          <mc:Fallback>
            <w:pict>
              <v:shape id="Text Box 49" o:spid="_x0000_s1065" type="#_x0000_t202" style="width:468pt;height:3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" fillcolor="#ebf1de" strokecolor="#8064a2" strokeweight="2pt">
                <v:path arrowok="t"/>
                <v:textbox style="mso-fit-shape-to-text:t">
                  <w:txbxContent>
                    <w:p w:rsidR="00753C65" w:rsidRPr="00F27EEE" w:rsidRDefault="00753C65" w:rsidP="003A2FBF">
                      <w:pPr>
                        <w:pStyle w:val="Default"/>
                      </w:pPr>
                      <w:r w:rsidRPr="00F27EEE">
                        <w:t xml:space="preserve">Zbatimi i plotë i kurrikulës së bazuar në kompetenca </w:t>
                      </w:r>
                      <w:r>
                        <w:t>nëpërmjet</w:t>
                      </w:r>
                      <w:r w:rsidRPr="00F27EEE">
                        <w:t xml:space="preserve"> mësimdhënies efektive dhe shfrytëzimit të burimeve të cilësisë së lartë</w:t>
                      </w:r>
                    </w:p>
                  </w:txbxContent>
                </v:textbox>
                <w10:anchorlock/>
              </v:shape>
            </w:pict>
          </mc:Fallback>
        </mc:AlternateContent>
      </w:r>
    </w:p>
    <w:p w:rsidR="00CE31A8" w:rsidRPr="00E97254" w:rsidRDefault="00C652E5" w:rsidP="000C0250">
      <w:pPr>
        <w:spacing w:after="0"/>
        <w:jc w:val="both"/>
        <w:rPr>
          <w:color w:val="000000" w:themeColor="text1"/>
        </w:rPr>
      </w:pPr>
      <w:r w:rsidRPr="00E97254">
        <w:t xml:space="preserve">Kompetencat </w:t>
      </w:r>
      <w:r w:rsidR="00F919F3">
        <w:t>themelore</w:t>
      </w:r>
      <w:r w:rsidR="00F919F3" w:rsidRPr="00E97254">
        <w:t xml:space="preserve"> </w:t>
      </w:r>
      <w:r w:rsidRPr="00E97254">
        <w:t xml:space="preserve">për të </w:t>
      </w:r>
      <w:r w:rsidR="00E8227C" w:rsidRPr="00E97254">
        <w:t>nxën</w:t>
      </w:r>
      <w:r w:rsidR="00E8227C">
        <w:t>it</w:t>
      </w:r>
      <w:r w:rsidR="00E8227C" w:rsidRPr="00E97254">
        <w:t xml:space="preserve"> </w:t>
      </w:r>
      <w:r w:rsidRPr="00E97254">
        <w:t xml:space="preserve">gjatë gjithë jetës zhvillohen në kontekste të ndryshme jetësore, një prej të cilëve është edhe puna </w:t>
      </w:r>
      <w:r w:rsidR="00FA5606" w:rsidRPr="00FA5606">
        <w:rPr>
          <w:color w:val="000000" w:themeColor="text1"/>
        </w:rPr>
        <w:t xml:space="preserve">që bëhet në arsimin </w:t>
      </w:r>
      <w:r w:rsidR="00FA5606" w:rsidRPr="00FA5606">
        <w:t xml:space="preserve">parauniversitar. Kurrikula e re për arsimin parauniversitar është e orientuar pikërisht drejt zhvillimit të këtyre kompetencave, ndërsa suksesi varet nga cilësia e procesit të mësimdhënies - nxënies, teksteve dhe mjeteve mësimore.  Është shumë e  rëndësishme që sistemi i arsimit parauniversitar, të ofrojë mbështetjen e duhur për mësimdhënie cilësore,  </w:t>
      </w:r>
      <w:r w:rsidR="00FA5606" w:rsidRPr="00FA5606">
        <w:rPr>
          <w:color w:val="000000" w:themeColor="text1"/>
        </w:rPr>
        <w:t xml:space="preserve">duke i përmirësuar më tej praktikat e vlerësimit, </w:t>
      </w:r>
      <w:r w:rsidR="00A50A43">
        <w:rPr>
          <w:color w:val="000000" w:themeColor="text1"/>
        </w:rPr>
        <w:t>nëpërmjet</w:t>
      </w:r>
      <w:r w:rsidR="00FA5606" w:rsidRPr="00FA5606">
        <w:rPr>
          <w:color w:val="000000" w:themeColor="text1"/>
        </w:rPr>
        <w:t xml:space="preserve"> të cilave sigurohet informacion për progresin e nxënësve. Gjithashtu, monitorimi i vazhdueshëm i zbatimit të kurrikulës në çdo aspekt është një instrument tjetër i domosdoshëm për sigurimin e informacioneve të nevojshme, i cili bën të mundur marrjen në kohë të masave për tejkalimin e problemeve që shfaqen gjatë zbatimit të kurrikulës së re.</w:t>
      </w:r>
    </w:p>
    <w:p w:rsidR="00812570" w:rsidRPr="00E97254" w:rsidRDefault="00812570" w:rsidP="000C0250">
      <w:pPr>
        <w:spacing w:after="0"/>
        <w:jc w:val="both"/>
        <w:rPr>
          <w:b/>
        </w:rPr>
      </w:pPr>
    </w:p>
    <w:p w:rsidR="004B37C1" w:rsidRPr="00E97254" w:rsidRDefault="00FA5606" w:rsidP="000C0250">
      <w:pPr>
        <w:spacing w:after="0"/>
        <w:jc w:val="both"/>
      </w:pPr>
      <w:r w:rsidRPr="00FA5606">
        <w:rPr>
          <w:b/>
        </w:rPr>
        <w:t xml:space="preserve">Sfidat kryesore </w:t>
      </w:r>
      <w:r w:rsidRPr="00FA5606">
        <w:t>për këtë objektiv specifik</w:t>
      </w:r>
      <w:r w:rsidRPr="00FA5606">
        <w:rPr>
          <w:b/>
        </w:rPr>
        <w:t xml:space="preserve"> </w:t>
      </w:r>
      <w:r w:rsidRPr="00FA5606">
        <w:t xml:space="preserve">dalin nga </w:t>
      </w:r>
      <w:r w:rsidR="00DC4C19">
        <w:t xml:space="preserve">analiza e situatës </w:t>
      </w:r>
      <w:r w:rsidRPr="00FA5606">
        <w:t>e dhënë në seksionin 4.3.3:</w:t>
      </w:r>
    </w:p>
    <w:p w:rsidR="00C652E5" w:rsidRPr="00E97254" w:rsidRDefault="00FA5606" w:rsidP="000C0250">
      <w:pPr>
        <w:numPr>
          <w:ilvl w:val="0"/>
          <w:numId w:val="23"/>
        </w:numPr>
        <w:spacing w:before="120" w:after="0"/>
        <w:jc w:val="both"/>
        <w:rPr>
          <w:rFonts w:ascii="Noto Sans Symbols" w:eastAsia="Noto Sans Symbols" w:hAnsi="Noto Sans Symbols" w:cs="Noto Sans Symbols"/>
          <w:color w:val="000000" w:themeColor="text1"/>
        </w:rPr>
      </w:pPr>
      <w:r w:rsidRPr="00FA5606">
        <w:rPr>
          <w:color w:val="000000" w:themeColor="text1"/>
        </w:rPr>
        <w:t>Investime në mjete dhe materiale mësimore. Pavarësisht investimeve vjetore prej 70-90</w:t>
      </w:r>
      <w:r w:rsidR="00E8227C">
        <w:rPr>
          <w:color w:val="000000" w:themeColor="text1"/>
        </w:rPr>
        <w:t xml:space="preserve"> milionë </w:t>
      </w:r>
      <w:r w:rsidRPr="00FA5606">
        <w:rPr>
          <w:color w:val="000000" w:themeColor="text1"/>
        </w:rPr>
        <w:t>lekë në laboratorë fizike, kimie dhe biologjie për arsimin parauniversitar, si dhe 30</w:t>
      </w:r>
      <w:r w:rsidR="00E8227C">
        <w:rPr>
          <w:color w:val="000000" w:themeColor="text1"/>
        </w:rPr>
        <w:t xml:space="preserve"> milionë </w:t>
      </w:r>
      <w:r w:rsidRPr="00FA5606">
        <w:rPr>
          <w:color w:val="000000" w:themeColor="text1"/>
        </w:rPr>
        <w:t xml:space="preserve">lekë për pajisje mësimore-didaktike për parashkollorët, përsëri ka nevojë për  mjete dhe materiale  mësimore për të mbështetur zbatimin e kurrikulës së re, </w:t>
      </w:r>
    </w:p>
    <w:p w:rsidR="00C652E5" w:rsidRPr="00E97254" w:rsidRDefault="00FA5606" w:rsidP="000C0250">
      <w:pPr>
        <w:numPr>
          <w:ilvl w:val="0"/>
          <w:numId w:val="23"/>
        </w:numPr>
        <w:spacing w:after="0"/>
        <w:jc w:val="both"/>
        <w:rPr>
          <w:rFonts w:ascii="Noto Sans Symbols" w:eastAsia="Noto Sans Symbols" w:hAnsi="Noto Sans Symbols" w:cs="Noto Sans Symbols"/>
          <w:color w:val="000000" w:themeColor="text1"/>
        </w:rPr>
      </w:pPr>
      <w:r w:rsidRPr="00FA5606">
        <w:rPr>
          <w:color w:val="000000" w:themeColor="text1"/>
        </w:rPr>
        <w:t xml:space="preserve">Forcimi i kapaciteteve në nivel lokal për monitorimin e zbatimit të kurrikulës së re. Përveç analizave të përgjithshme të zbatimit të kurrikulës së re dhe monitorimeve në nivel qendror, ka nevojë për më shumë mbështetje për forcimin e kapaciteteve të monitorimit në nivel lokal që do të identifikojnë probleme të veçanta në zbatimin e kurrikulës së re, për të bërë të mundur </w:t>
      </w:r>
      <w:r w:rsidR="00A50A43">
        <w:rPr>
          <w:color w:val="000000" w:themeColor="text1"/>
        </w:rPr>
        <w:t>trajt</w:t>
      </w:r>
      <w:r w:rsidRPr="00FA5606">
        <w:rPr>
          <w:color w:val="000000" w:themeColor="text1"/>
        </w:rPr>
        <w:t>imin e tyre.</w:t>
      </w:r>
    </w:p>
    <w:p w:rsidR="00C652E5" w:rsidRPr="00E97254" w:rsidRDefault="00FA5606" w:rsidP="000C0250">
      <w:pPr>
        <w:numPr>
          <w:ilvl w:val="0"/>
          <w:numId w:val="23"/>
        </w:numPr>
        <w:spacing w:after="0"/>
        <w:jc w:val="both"/>
        <w:rPr>
          <w:rFonts w:ascii="Noto Sans Symbols" w:eastAsia="Noto Sans Symbols" w:hAnsi="Noto Sans Symbols" w:cs="Noto Sans Symbols"/>
          <w:color w:val="000000" w:themeColor="text1"/>
        </w:rPr>
      </w:pPr>
      <w:r w:rsidRPr="00FA5606">
        <w:rPr>
          <w:color w:val="000000" w:themeColor="text1"/>
        </w:rPr>
        <w:t xml:space="preserve"> Mbështetje e vazhdueshme e mësuesve për të zbatuar format e reja të mësimdhënies, të bazuara në kërkesat e kurrikulës me kompetenca. </w:t>
      </w:r>
    </w:p>
    <w:p w:rsidR="00C652E5" w:rsidRPr="00E97254" w:rsidRDefault="00FA5606" w:rsidP="000C0250">
      <w:pPr>
        <w:numPr>
          <w:ilvl w:val="0"/>
          <w:numId w:val="23"/>
        </w:numPr>
        <w:spacing w:after="0"/>
        <w:jc w:val="both"/>
        <w:rPr>
          <w:rFonts w:ascii="Noto Sans Symbols" w:eastAsia="Noto Sans Symbols" w:hAnsi="Noto Sans Symbols" w:cs="Noto Sans Symbols"/>
          <w:color w:val="000000" w:themeColor="text1"/>
        </w:rPr>
      </w:pPr>
      <w:r w:rsidRPr="00FA5606">
        <w:rPr>
          <w:color w:val="000000" w:themeColor="text1"/>
        </w:rPr>
        <w:t>Përmirësimi i vazhdueshëm i teksteve shkollore në përputhje me përmirësimet që mund të bëhen në kurrikula.</w:t>
      </w:r>
    </w:p>
    <w:p w:rsidR="00C652E5" w:rsidRPr="00E97254" w:rsidRDefault="00FA5606" w:rsidP="000C0250">
      <w:pPr>
        <w:numPr>
          <w:ilvl w:val="0"/>
          <w:numId w:val="23"/>
        </w:numPr>
        <w:spacing w:after="0"/>
        <w:jc w:val="both"/>
        <w:rPr>
          <w:rFonts w:ascii="Noto Sans Symbols" w:eastAsia="Noto Sans Symbols" w:hAnsi="Noto Sans Symbols" w:cs="Noto Sans Symbols"/>
          <w:color w:val="000000" w:themeColor="text1"/>
        </w:rPr>
      </w:pPr>
      <w:r w:rsidRPr="00FA5606">
        <w:rPr>
          <w:color w:val="000000" w:themeColor="text1"/>
        </w:rPr>
        <w:t xml:space="preserve">Përmirësimi i vazhdueshëm i aftësive të nxënësve në fushën e lexim-shkrimit, matematikë dhe shkenca. </w:t>
      </w:r>
    </w:p>
    <w:p w:rsidR="00C652E5" w:rsidRPr="00E97254" w:rsidRDefault="00FA5606" w:rsidP="000C0250">
      <w:pPr>
        <w:numPr>
          <w:ilvl w:val="0"/>
          <w:numId w:val="23"/>
        </w:numPr>
        <w:spacing w:after="0"/>
        <w:jc w:val="both"/>
        <w:rPr>
          <w:rFonts w:ascii="Noto Sans Symbols" w:eastAsia="Noto Sans Symbols" w:hAnsi="Noto Sans Symbols" w:cs="Noto Sans Symbols"/>
          <w:color w:val="000000" w:themeColor="text1"/>
        </w:rPr>
      </w:pPr>
      <w:r w:rsidRPr="00FA5606">
        <w:rPr>
          <w:color w:val="000000" w:themeColor="text1"/>
        </w:rPr>
        <w:t>Gjenerimi i të dhënave të besueshme mbi rezultatet e të nxënit në nivel sistemi dhe shkolle. Si vlerësimi i arritjeve të nxënësve në arsimin fillor (VANAF) dhe provimet kombëtare të arsimit bazë (PKAB), ashtu edhe provimi i maturës, janë vlerësime të konsoliduara, që do të përfitonin nga përmirësimi i besueshmërisë, në veçanti nga përmirësimi i cilësisë së korrigjimit të dy të parave që bëhen në nivel të  zyrave vendore të arsimit parauniversitar.</w:t>
      </w:r>
    </w:p>
    <w:p w:rsidR="004B37C1" w:rsidRPr="00E97254" w:rsidRDefault="00FA5606" w:rsidP="000C0250">
      <w:pPr>
        <w:numPr>
          <w:ilvl w:val="0"/>
          <w:numId w:val="23"/>
        </w:numPr>
        <w:spacing w:after="0"/>
        <w:jc w:val="both"/>
        <w:rPr>
          <w:rFonts w:ascii="Noto Sans Symbols" w:eastAsia="Noto Sans Symbols" w:hAnsi="Noto Sans Symbols" w:cs="Noto Sans Symbols"/>
          <w:color w:val="000000" w:themeColor="text1"/>
        </w:rPr>
      </w:pPr>
      <w:r w:rsidRPr="00FA5606">
        <w:rPr>
          <w:color w:val="000000" w:themeColor="text1"/>
        </w:rPr>
        <w:t>Mbështetja dhe monitorimi i mësuesve për llojet  dhe teknikat e vlerësimit që matin kompetencat.</w:t>
      </w:r>
    </w:p>
    <w:p w:rsidR="004B37C1" w:rsidRPr="00E97254" w:rsidRDefault="004B37C1" w:rsidP="000C0250">
      <w:pPr>
        <w:spacing w:before="120" w:after="0"/>
        <w:jc w:val="both"/>
      </w:pPr>
    </w:p>
    <w:p w:rsidR="004B37C1" w:rsidRPr="00E97254" w:rsidRDefault="00FA5606" w:rsidP="000C0250">
      <w:pPr>
        <w:spacing w:after="0"/>
        <w:jc w:val="both"/>
      </w:pPr>
      <w:r w:rsidRPr="00FA5606">
        <w:rPr>
          <w:b/>
        </w:rPr>
        <w:t>Produktet/Rezultatet e pritshme</w:t>
      </w:r>
      <w:r w:rsidRPr="00FA5606">
        <w:t xml:space="preserve"> </w:t>
      </w:r>
      <w:r w:rsidRPr="00FA5606">
        <w:rPr>
          <w:b/>
        </w:rPr>
        <w:t>dhe masat.</w:t>
      </w:r>
      <w:r w:rsidRPr="00FA5606">
        <w:rPr>
          <w:b/>
        </w:rPr>
        <w:softHyphen/>
      </w:r>
      <w:r w:rsidRPr="00FA5606">
        <w:t>- Në vijim janë dhënë produktet dhe masat e ndërlidhura me objektivin specifik A3.</w:t>
      </w:r>
    </w:p>
    <w:p w:rsidR="00C652E5" w:rsidRPr="00E97254" w:rsidRDefault="00FA5606" w:rsidP="000C0250">
      <w:pPr>
        <w:widowControl w:val="0"/>
        <w:spacing w:after="0"/>
        <w:jc w:val="both"/>
        <w:rPr>
          <w:color w:val="000000" w:themeColor="text1"/>
        </w:rPr>
      </w:pPr>
      <w:r w:rsidRPr="00FA5606">
        <w:rPr>
          <w:color w:val="000000" w:themeColor="text1"/>
          <w:u w:val="single"/>
        </w:rPr>
        <w:t>Produkti A3.1</w:t>
      </w:r>
      <w:r w:rsidRPr="00FA5606">
        <w:rPr>
          <w:color w:val="000000" w:themeColor="text1"/>
        </w:rPr>
        <w:t>. Pajisja e shkollave me mjete mësimore për zbatimin e kurrikulës me kompetenca.</w:t>
      </w:r>
    </w:p>
    <w:p w:rsidR="00C652E5" w:rsidRPr="00E97254" w:rsidRDefault="00FA5606" w:rsidP="000C0250">
      <w:pPr>
        <w:widowControl w:val="0"/>
        <w:spacing w:after="0"/>
        <w:jc w:val="both"/>
        <w:rPr>
          <w:i/>
          <w:color w:val="000000" w:themeColor="text1"/>
        </w:rPr>
      </w:pPr>
      <w:r w:rsidRPr="00FA5606">
        <w:rPr>
          <w:color w:val="000000" w:themeColor="text1"/>
        </w:rPr>
        <w:t xml:space="preserve">A3.1.1. Përcaktimi i përmbajtjes minimale të paketës mësimore. </w:t>
      </w:r>
      <w:r w:rsidRPr="00FA5606">
        <w:rPr>
          <w:i/>
          <w:color w:val="000000" w:themeColor="text1"/>
        </w:rPr>
        <w:t xml:space="preserve">Paketa  mësimore do të përmbajë mjetet </w:t>
      </w:r>
      <w:r w:rsidRPr="00FA5606">
        <w:rPr>
          <w:i/>
          <w:color w:val="000000" w:themeColor="text1"/>
        </w:rPr>
        <w:lastRenderedPageBreak/>
        <w:t>dhe materialet e nevojshme për realizmin e kurrikulës së re të bazuar në kompetenca. Përmbajtja minimale e paketës përcaktohet varësisht nga numri i nxënësve të grupmoshave të ndryshme dhe nevojave të çdo lënde. ( në paketë nuk përfshihen pajisjet e TIK-ut për të cilat bëhet fjalë në objektivin specifik 1.4.  tek objektivi për digjitalizimin)</w:t>
      </w:r>
    </w:p>
    <w:p w:rsidR="00C652E5" w:rsidRPr="00E97254" w:rsidRDefault="00FA5606" w:rsidP="000C0250">
      <w:pPr>
        <w:widowControl w:val="0"/>
        <w:spacing w:after="0"/>
        <w:jc w:val="both"/>
        <w:rPr>
          <w:i/>
          <w:color w:val="000000" w:themeColor="text1"/>
        </w:rPr>
      </w:pPr>
      <w:r w:rsidRPr="00FA5606">
        <w:rPr>
          <w:color w:val="000000" w:themeColor="text1"/>
        </w:rPr>
        <w:t xml:space="preserve">A3.1.2. Shpërndarja e paketave me mjete mësimore në shkolla. </w:t>
      </w:r>
      <w:r w:rsidRPr="00FA5606">
        <w:rPr>
          <w:i/>
          <w:color w:val="000000" w:themeColor="text1"/>
        </w:rPr>
        <w:t xml:space="preserve">Pasi të jetë përcaktuar përmbajtja minimale e paketës mësimore, do të evidentohen mjetet që janë në përdorim në shkolla dhe do të hartohet një plan i furnizimit të shkollave me mjetet mësimore që mungojnë. </w:t>
      </w:r>
    </w:p>
    <w:p w:rsidR="00C652E5" w:rsidRPr="00E97254" w:rsidRDefault="00FA5606" w:rsidP="000C0250">
      <w:pPr>
        <w:widowControl w:val="0"/>
        <w:spacing w:before="120" w:after="0"/>
        <w:jc w:val="both"/>
        <w:rPr>
          <w:i/>
          <w:color w:val="000000" w:themeColor="text1"/>
        </w:rPr>
      </w:pPr>
      <w:r w:rsidRPr="00FA5606">
        <w:rPr>
          <w:color w:val="000000" w:themeColor="text1"/>
        </w:rPr>
        <w:t xml:space="preserve">A3.1.3. Mbështetja dhe këshillimi i mësuesve për përdorimin e paketave mësimore. </w:t>
      </w:r>
      <w:r w:rsidRPr="00FA5606">
        <w:rPr>
          <w:i/>
          <w:color w:val="000000" w:themeColor="text1"/>
        </w:rPr>
        <w:t>Furnizimi i shkollave me mjete mësimore do të shoqërohet me hartimin e udhëzuesve për përdorimin e mjeteve që janë më specifike dhe, sipas nevojës, do të organizohen edhe sesione për këshillimin e mësuesve për përdorimin e tyre. Një formë tjetër e mundshme është hartimi i video-udhëzimeve për përdorimin e paketave mësimore.</w:t>
      </w:r>
    </w:p>
    <w:p w:rsidR="004E72E5" w:rsidRPr="00E97254" w:rsidRDefault="004E72E5" w:rsidP="000C0250">
      <w:pPr>
        <w:widowControl w:val="0"/>
        <w:spacing w:after="0"/>
        <w:jc w:val="both"/>
        <w:rPr>
          <w:color w:val="000000" w:themeColor="text1"/>
          <w:u w:val="single"/>
        </w:rPr>
      </w:pPr>
    </w:p>
    <w:p w:rsidR="00C652E5" w:rsidRPr="00E97254" w:rsidRDefault="00FA5606" w:rsidP="000C0250">
      <w:pPr>
        <w:widowControl w:val="0"/>
        <w:spacing w:after="0"/>
        <w:jc w:val="both"/>
        <w:rPr>
          <w:color w:val="000000" w:themeColor="text1"/>
        </w:rPr>
      </w:pPr>
      <w:r w:rsidRPr="00FA5606">
        <w:rPr>
          <w:color w:val="000000" w:themeColor="text1"/>
          <w:u w:val="single"/>
        </w:rPr>
        <w:t>Produkti A3.2</w:t>
      </w:r>
      <w:r w:rsidRPr="00FA5606">
        <w:rPr>
          <w:color w:val="000000" w:themeColor="text1"/>
        </w:rPr>
        <w:t>. Mbështetje e vazhdueshme për mësuesit për zbatimin e kurrikulës së re .</w:t>
      </w:r>
    </w:p>
    <w:p w:rsidR="00C652E5" w:rsidRPr="00E97254" w:rsidRDefault="00FA5606" w:rsidP="000C0250">
      <w:pPr>
        <w:widowControl w:val="0"/>
        <w:spacing w:after="0"/>
        <w:jc w:val="both"/>
        <w:rPr>
          <w:color w:val="000000" w:themeColor="text1"/>
        </w:rPr>
      </w:pPr>
      <w:r w:rsidRPr="00FA5606">
        <w:rPr>
          <w:color w:val="000000" w:themeColor="text1"/>
        </w:rPr>
        <w:t xml:space="preserve">A3.2.1. Përmirësimi/Hartimi i udhëzuesve për monitorimin e zbatimit të kurrikulës në nivel institucioni arsimor, si dhe në nivel lokal dhe qendror. </w:t>
      </w:r>
      <w:r w:rsidR="00F919F3">
        <w:rPr>
          <w:i/>
          <w:color w:val="000000" w:themeColor="text1"/>
        </w:rPr>
        <w:t>N</w:t>
      </w:r>
      <w:r w:rsidR="00F919F3" w:rsidRPr="00CF4646">
        <w:t>ë</w:t>
      </w:r>
      <w:r w:rsidR="00F919F3">
        <w:t xml:space="preserve"> p</w:t>
      </w:r>
      <w:r w:rsidR="00F919F3" w:rsidRPr="00CF4646">
        <w:t>ë</w:t>
      </w:r>
      <w:r w:rsidR="00F919F3">
        <w:t>rputhje me</w:t>
      </w:r>
      <w:r w:rsidRPr="00FA5606">
        <w:rPr>
          <w:i/>
          <w:color w:val="000000" w:themeColor="text1"/>
        </w:rPr>
        <w:t xml:space="preserve"> roli</w:t>
      </w:r>
      <w:r w:rsidR="00F919F3">
        <w:rPr>
          <w:i/>
          <w:color w:val="000000" w:themeColor="text1"/>
        </w:rPr>
        <w:t>n</w:t>
      </w:r>
      <w:r w:rsidRPr="00FA5606">
        <w:rPr>
          <w:i/>
          <w:color w:val="000000" w:themeColor="text1"/>
        </w:rPr>
        <w:t xml:space="preserve"> </w:t>
      </w:r>
      <w:r w:rsidR="00F919F3">
        <w:rPr>
          <w:i/>
          <w:color w:val="000000" w:themeColor="text1"/>
        </w:rPr>
        <w:t>e</w:t>
      </w:r>
      <w:r w:rsidRPr="00FA5606">
        <w:rPr>
          <w:i/>
          <w:color w:val="000000" w:themeColor="text1"/>
        </w:rPr>
        <w:t xml:space="preserve"> vet për zhvillimin dhe vlerësimin e zbatimit të kurrikulës, ASCAP</w:t>
      </w:r>
      <w:r w:rsidR="00F919F3">
        <w:rPr>
          <w:i/>
          <w:color w:val="000000" w:themeColor="text1"/>
        </w:rPr>
        <w:t>-i</w:t>
      </w:r>
      <w:r w:rsidRPr="00FA5606">
        <w:rPr>
          <w:i/>
          <w:color w:val="000000" w:themeColor="text1"/>
        </w:rPr>
        <w:t xml:space="preserve"> do të përmirësojë\hartojë udhëzues për monitorimin e zbatimit të kurrikulës nga DPAP</w:t>
      </w:r>
      <w:r w:rsidR="00F919F3">
        <w:rPr>
          <w:i/>
          <w:color w:val="000000" w:themeColor="text1"/>
        </w:rPr>
        <w:t>-ja</w:t>
      </w:r>
      <w:r w:rsidRPr="00FA5606">
        <w:rPr>
          <w:i/>
          <w:color w:val="000000" w:themeColor="text1"/>
        </w:rPr>
        <w:t>, DRAP</w:t>
      </w:r>
      <w:r w:rsidR="00F919F3">
        <w:rPr>
          <w:i/>
          <w:color w:val="000000" w:themeColor="text1"/>
        </w:rPr>
        <w:t>-in</w:t>
      </w:r>
      <w:r w:rsidRPr="00FA5606">
        <w:rPr>
          <w:i/>
          <w:color w:val="000000" w:themeColor="text1"/>
        </w:rPr>
        <w:t xml:space="preserve"> dhe ZVAP</w:t>
      </w:r>
      <w:r w:rsidR="00F919F3">
        <w:rPr>
          <w:i/>
          <w:color w:val="000000" w:themeColor="text1"/>
        </w:rPr>
        <w:t>-in</w:t>
      </w:r>
      <w:r w:rsidRPr="00FA5606">
        <w:rPr>
          <w:i/>
          <w:color w:val="000000" w:themeColor="text1"/>
        </w:rPr>
        <w:t>,  të cilat kanë sektorë të veçantë për kurrikulat</w:t>
      </w:r>
      <w:r w:rsidRPr="00FA5606">
        <w:rPr>
          <w:color w:val="000000" w:themeColor="text1"/>
        </w:rPr>
        <w:t>. Informacioni i mbledhur do të shfrytëzohet nga ASCAP</w:t>
      </w:r>
      <w:r w:rsidR="00F919F3">
        <w:rPr>
          <w:color w:val="000000" w:themeColor="text1"/>
        </w:rPr>
        <w:t>-i</w:t>
      </w:r>
      <w:r w:rsidRPr="00FA5606">
        <w:rPr>
          <w:color w:val="000000" w:themeColor="text1"/>
        </w:rPr>
        <w:t>, DPAP</w:t>
      </w:r>
      <w:r w:rsidR="00F919F3">
        <w:rPr>
          <w:color w:val="000000" w:themeColor="text1"/>
        </w:rPr>
        <w:t>-ja</w:t>
      </w:r>
      <w:r w:rsidRPr="00FA5606">
        <w:rPr>
          <w:color w:val="000000" w:themeColor="text1"/>
        </w:rPr>
        <w:t>, DRAP</w:t>
      </w:r>
      <w:r w:rsidR="00F919F3">
        <w:rPr>
          <w:color w:val="000000" w:themeColor="text1"/>
        </w:rPr>
        <w:t>-i</w:t>
      </w:r>
      <w:r w:rsidRPr="00FA5606">
        <w:rPr>
          <w:color w:val="000000" w:themeColor="text1"/>
        </w:rPr>
        <w:t>, ZVAP</w:t>
      </w:r>
      <w:r w:rsidR="00F919F3">
        <w:rPr>
          <w:color w:val="000000" w:themeColor="text1"/>
        </w:rPr>
        <w:t>-i</w:t>
      </w:r>
      <w:r w:rsidRPr="00FA5606">
        <w:rPr>
          <w:color w:val="000000" w:themeColor="text1"/>
        </w:rPr>
        <w:t xml:space="preserve"> dhe institucionet arsimore parauniversitare për të vlerësuar zbatimin e kurrikulës dhe për ndërmarrjen e masave për përmirësim aty ku paraqitet nevoja.</w:t>
      </w:r>
    </w:p>
    <w:p w:rsidR="00C652E5" w:rsidRPr="00E97254" w:rsidRDefault="00FA5606" w:rsidP="000C0250">
      <w:pPr>
        <w:widowControl w:val="0"/>
        <w:spacing w:after="0"/>
        <w:jc w:val="both"/>
        <w:rPr>
          <w:i/>
          <w:color w:val="000000" w:themeColor="text1"/>
        </w:rPr>
      </w:pPr>
      <w:r w:rsidRPr="00FA5606">
        <w:rPr>
          <w:color w:val="000000" w:themeColor="text1"/>
        </w:rPr>
        <w:t xml:space="preserve">A3.2.2. Forcimi i kapaciteteve njerëzore në sektorët e kurrikulës në nivel të DRAP-ve dhe ZVAP-ve, në funksion të mbështetjes së shkollave për zbatimin e kurrikulës me kompetenca. </w:t>
      </w:r>
      <w:r w:rsidRPr="00FA5606">
        <w:rPr>
          <w:i/>
          <w:color w:val="000000" w:themeColor="text1"/>
        </w:rPr>
        <w:t>Sipas organikës, DPAP</w:t>
      </w:r>
      <w:r w:rsidR="00F919F3">
        <w:rPr>
          <w:i/>
          <w:color w:val="000000" w:themeColor="text1"/>
        </w:rPr>
        <w:t>-ja</w:t>
      </w:r>
      <w:r w:rsidRPr="00FA5606">
        <w:rPr>
          <w:i/>
          <w:color w:val="000000" w:themeColor="text1"/>
        </w:rPr>
        <w:t xml:space="preserve"> duhet t</w:t>
      </w:r>
      <w:r w:rsidR="00F919F3" w:rsidRPr="00CF4646">
        <w:rPr>
          <w:color w:val="000000" w:themeColor="text1"/>
        </w:rPr>
        <w:t>ë</w:t>
      </w:r>
      <w:r w:rsidR="00F919F3">
        <w:rPr>
          <w:color w:val="000000" w:themeColor="text1"/>
        </w:rPr>
        <w:t xml:space="preserve"> </w:t>
      </w:r>
      <w:r w:rsidRPr="00FA5606">
        <w:rPr>
          <w:i/>
          <w:color w:val="000000" w:themeColor="text1"/>
        </w:rPr>
        <w:t>ketë 261 specialistë në sektorët e monitorimit të kurrikulës dhe zhvillimit profesional të nivelit qendror, rajonal dhe vendor: 239 specialistë në 52  ZVAP-të, 16 specialistë në katër DRAP-të dhe 6 në Drejtorinë Qendrore të DPAP-së. ASCAP</w:t>
      </w:r>
      <w:r w:rsidR="00F919F3">
        <w:rPr>
          <w:i/>
          <w:color w:val="000000" w:themeColor="text1"/>
        </w:rPr>
        <w:t>-i</w:t>
      </w:r>
      <w:r w:rsidRPr="00FA5606">
        <w:rPr>
          <w:i/>
          <w:color w:val="000000" w:themeColor="text1"/>
        </w:rPr>
        <w:t xml:space="preserve"> do të ofrojë mbështetje të vazhduar për zhvillimin e kapaciteteve të specialistëve në sektorët e kurrikulës në DRAP-e dhe ZVAP-e, si dhe këshillime të vazhdueshme për DPAP-në në mënyrë që të mund të ofrojnë mbështetje efektive për shkollat për zbatimin e kurrikulës me kompetenca. </w:t>
      </w:r>
    </w:p>
    <w:p w:rsidR="00C652E5" w:rsidRPr="00E97254" w:rsidRDefault="00FA5606" w:rsidP="000C0250">
      <w:pPr>
        <w:widowControl w:val="0"/>
        <w:spacing w:after="0"/>
        <w:jc w:val="both"/>
        <w:rPr>
          <w:color w:val="000000" w:themeColor="text1"/>
        </w:rPr>
      </w:pPr>
      <w:r w:rsidRPr="00FA5606">
        <w:rPr>
          <w:color w:val="000000" w:themeColor="text1"/>
        </w:rPr>
        <w:t xml:space="preserve">A3.2.3. Monitorimi sistematik i zbatimit të kurrikulës. </w:t>
      </w:r>
      <w:r w:rsidRPr="00FA5606">
        <w:rPr>
          <w:i/>
          <w:color w:val="000000" w:themeColor="text1"/>
        </w:rPr>
        <w:t xml:space="preserve">Procesi i monitorimit do të organizohet nga DPAP-ja, </w:t>
      </w:r>
      <w:r w:rsidR="00A50A43">
        <w:rPr>
          <w:i/>
          <w:color w:val="000000" w:themeColor="text1"/>
        </w:rPr>
        <w:t>nëpërmjet</w:t>
      </w:r>
      <w:r w:rsidRPr="00FA5606">
        <w:rPr>
          <w:i/>
          <w:color w:val="000000" w:themeColor="text1"/>
        </w:rPr>
        <w:t xml:space="preserve"> DRAP-ve dhe ZVAP-ve, në bazë të udhëzimeve të hartuara nga ASCAP. </w:t>
      </w:r>
    </w:p>
    <w:p w:rsidR="00C652E5" w:rsidRPr="00E97254" w:rsidRDefault="00FA5606" w:rsidP="000C0250">
      <w:pPr>
        <w:widowControl w:val="0"/>
        <w:spacing w:after="0"/>
        <w:jc w:val="both"/>
        <w:rPr>
          <w:rFonts w:ascii="Times New Roman" w:eastAsia="Times New Roman" w:hAnsi="Times New Roman" w:cs="Times New Roman"/>
          <w:color w:val="000000" w:themeColor="text1"/>
          <w:sz w:val="24"/>
          <w:szCs w:val="24"/>
        </w:rPr>
      </w:pPr>
      <w:r w:rsidRPr="00FA5606">
        <w:rPr>
          <w:color w:val="000000" w:themeColor="text1"/>
        </w:rPr>
        <w:t xml:space="preserve">A3.2.4. Këshillimi i mësuesve për zbatimin e kurrikulës. </w:t>
      </w:r>
      <w:r w:rsidRPr="00FA5606">
        <w:rPr>
          <w:i/>
          <w:color w:val="000000" w:themeColor="text1"/>
        </w:rPr>
        <w:t>Specialistët e kurrikulave nga ZVAP-të do të kryejnë vizita në shkolla për t’i mbështetur mësuesit në klasat e tyre nëpërmjet udhëzimeve praktike, në mënyrë që ata të nd</w:t>
      </w:r>
      <w:r w:rsidR="00F919F3">
        <w:rPr>
          <w:i/>
          <w:color w:val="000000" w:themeColor="text1"/>
        </w:rPr>
        <w:t>ih</w:t>
      </w:r>
      <w:r w:rsidRPr="00FA5606">
        <w:rPr>
          <w:i/>
          <w:color w:val="000000" w:themeColor="text1"/>
        </w:rPr>
        <w:t>en të mbështetur për nevojat e tyre dhe të zbatojnë me efektivitet kurrikulën.</w:t>
      </w:r>
      <w:r w:rsidRPr="00FA5606">
        <w:rPr>
          <w:color w:val="000000" w:themeColor="text1"/>
        </w:rPr>
        <w:t xml:space="preserve"> </w:t>
      </w:r>
      <w:r w:rsidRPr="00FA5606">
        <w:rPr>
          <w:i/>
          <w:color w:val="000000" w:themeColor="text1"/>
        </w:rPr>
        <w:t xml:space="preserve"> Po ashtu, këshillimi do të realizohet edhe </w:t>
      </w:r>
      <w:r w:rsidR="00A50A43">
        <w:rPr>
          <w:i/>
          <w:color w:val="000000" w:themeColor="text1"/>
        </w:rPr>
        <w:t>nëpërmjet</w:t>
      </w:r>
      <w:r w:rsidRPr="00FA5606">
        <w:rPr>
          <w:i/>
          <w:color w:val="000000" w:themeColor="text1"/>
        </w:rPr>
        <w:t xml:space="preserve"> punës me rrjetet e mësuesve.</w:t>
      </w:r>
    </w:p>
    <w:p w:rsidR="004E72E5" w:rsidRPr="00E97254" w:rsidRDefault="004E72E5" w:rsidP="000C0250">
      <w:pPr>
        <w:widowControl w:val="0"/>
        <w:spacing w:after="0"/>
        <w:jc w:val="both"/>
        <w:rPr>
          <w:color w:val="000000" w:themeColor="text1"/>
          <w:u w:val="single"/>
        </w:rPr>
      </w:pPr>
    </w:p>
    <w:p w:rsidR="00C652E5" w:rsidRPr="00E97254" w:rsidRDefault="00FA5606" w:rsidP="000C0250">
      <w:pPr>
        <w:widowControl w:val="0"/>
        <w:spacing w:after="0"/>
        <w:jc w:val="both"/>
        <w:rPr>
          <w:color w:val="000000" w:themeColor="text1"/>
        </w:rPr>
      </w:pPr>
      <w:r w:rsidRPr="00FA5606">
        <w:rPr>
          <w:color w:val="000000" w:themeColor="text1"/>
          <w:u w:val="single"/>
        </w:rPr>
        <w:t>Produkti  A3.3</w:t>
      </w:r>
      <w:r w:rsidRPr="00FA5606">
        <w:rPr>
          <w:color w:val="000000" w:themeColor="text1"/>
        </w:rPr>
        <w:t>. Përmirësimi i aftësive të nxënësve në lexim-shkrim, matematikë dhe shkencë.</w:t>
      </w:r>
    </w:p>
    <w:p w:rsidR="00C652E5" w:rsidRPr="00E97254" w:rsidRDefault="00FA5606" w:rsidP="000C0250">
      <w:pPr>
        <w:widowControl w:val="0"/>
        <w:spacing w:after="0"/>
        <w:jc w:val="both"/>
        <w:rPr>
          <w:color w:val="000000" w:themeColor="text1"/>
        </w:rPr>
      </w:pPr>
      <w:r w:rsidRPr="00FA5606">
        <w:rPr>
          <w:color w:val="000000" w:themeColor="text1"/>
        </w:rPr>
        <w:t xml:space="preserve">A3.3.1. Mbështetja e zbatimit  të praktikave të reja të vlerësimit të nxënësve. </w:t>
      </w:r>
      <w:r w:rsidR="00F919F3">
        <w:rPr>
          <w:i/>
          <w:color w:val="000000" w:themeColor="text1"/>
        </w:rPr>
        <w:t>N</w:t>
      </w:r>
      <w:r w:rsidR="00F919F3" w:rsidRPr="00CF4646">
        <w:rPr>
          <w:color w:val="000000" w:themeColor="text1"/>
        </w:rPr>
        <w:t>ë</w:t>
      </w:r>
      <w:r w:rsidR="00F919F3">
        <w:rPr>
          <w:color w:val="000000" w:themeColor="text1"/>
        </w:rPr>
        <w:t xml:space="preserve"> p</w:t>
      </w:r>
      <w:r w:rsidR="00F919F3" w:rsidRPr="00CF4646">
        <w:rPr>
          <w:color w:val="000000" w:themeColor="text1"/>
        </w:rPr>
        <w:t>ë</w:t>
      </w:r>
      <w:r w:rsidR="00F919F3">
        <w:rPr>
          <w:color w:val="000000" w:themeColor="text1"/>
        </w:rPr>
        <w:t>rputhje me</w:t>
      </w:r>
      <w:r w:rsidRPr="00FA5606">
        <w:rPr>
          <w:i/>
          <w:color w:val="000000" w:themeColor="text1"/>
        </w:rPr>
        <w:t xml:space="preserve"> rekomandime</w:t>
      </w:r>
      <w:r w:rsidR="00F919F3">
        <w:rPr>
          <w:i/>
          <w:color w:val="000000" w:themeColor="text1"/>
        </w:rPr>
        <w:t>t</w:t>
      </w:r>
      <w:r w:rsidRPr="00FA5606">
        <w:rPr>
          <w:i/>
          <w:color w:val="000000" w:themeColor="text1"/>
        </w:rPr>
        <w:t xml:space="preserve"> </w:t>
      </w:r>
      <w:r w:rsidR="00F919F3">
        <w:rPr>
          <w:i/>
          <w:color w:val="000000" w:themeColor="text1"/>
        </w:rPr>
        <w:t>e</w:t>
      </w:r>
      <w:r w:rsidRPr="00FA5606">
        <w:rPr>
          <w:i/>
          <w:color w:val="000000" w:themeColor="text1"/>
        </w:rPr>
        <w:t xml:space="preserve"> OECD</w:t>
      </w:r>
      <w:r w:rsidR="00F919F3">
        <w:rPr>
          <w:i/>
          <w:color w:val="000000" w:themeColor="text1"/>
        </w:rPr>
        <w:t>-s</w:t>
      </w:r>
      <w:r w:rsidR="00F919F3" w:rsidRPr="00CF4646">
        <w:rPr>
          <w:color w:val="000000" w:themeColor="text1"/>
        </w:rPr>
        <w:t>ë</w:t>
      </w:r>
      <w:r w:rsidRPr="00FA5606">
        <w:rPr>
          <w:i/>
          <w:color w:val="000000" w:themeColor="text1"/>
        </w:rPr>
        <w:t>, do të mbështeten mësuesit në mënyrë të vazhdueshme, duke vënë theksin në vlerësimin formues dhe mënyrën e shfrytëzimit të rezultateve të tij për të përmirësuar të nxënit.</w:t>
      </w:r>
      <w:r w:rsidRPr="00FA5606">
        <w:rPr>
          <w:color w:val="000000" w:themeColor="text1"/>
        </w:rPr>
        <w:t xml:space="preserve"> </w:t>
      </w:r>
    </w:p>
    <w:p w:rsidR="00C652E5" w:rsidRPr="00E97254" w:rsidRDefault="00FA5606" w:rsidP="000C0250">
      <w:pPr>
        <w:widowControl w:val="0"/>
        <w:spacing w:after="0"/>
        <w:jc w:val="both"/>
        <w:rPr>
          <w:i/>
          <w:color w:val="000000" w:themeColor="text1"/>
        </w:rPr>
      </w:pPr>
      <w:r w:rsidRPr="00FA5606">
        <w:rPr>
          <w:color w:val="000000" w:themeColor="text1"/>
        </w:rPr>
        <w:t xml:space="preserve">A3.3.2. Hartimi i udhëzuesve dhe materialeve ndihmëse për mësues për fushat </w:t>
      </w:r>
      <w:r w:rsidR="00F919F3">
        <w:rPr>
          <w:color w:val="000000" w:themeColor="text1"/>
        </w:rPr>
        <w:t xml:space="preserve">e </w:t>
      </w:r>
      <w:r w:rsidRPr="00FA5606">
        <w:rPr>
          <w:color w:val="000000" w:themeColor="text1"/>
        </w:rPr>
        <w:t>gjuhë</w:t>
      </w:r>
      <w:r w:rsidR="00F919F3">
        <w:rPr>
          <w:color w:val="000000" w:themeColor="text1"/>
        </w:rPr>
        <w:t>s</w:t>
      </w:r>
      <w:r w:rsidRPr="00FA5606">
        <w:rPr>
          <w:color w:val="000000" w:themeColor="text1"/>
        </w:rPr>
        <w:t xml:space="preserve"> dhe komunikimi</w:t>
      </w:r>
      <w:r w:rsidR="00F919F3">
        <w:rPr>
          <w:color w:val="000000" w:themeColor="text1"/>
        </w:rPr>
        <w:t>t</w:t>
      </w:r>
      <w:r w:rsidRPr="00FA5606">
        <w:rPr>
          <w:color w:val="000000" w:themeColor="text1"/>
        </w:rPr>
        <w:t>, matematikë</w:t>
      </w:r>
      <w:r w:rsidR="00F919F3">
        <w:rPr>
          <w:color w:val="000000" w:themeColor="text1"/>
        </w:rPr>
        <w:t>s</w:t>
      </w:r>
      <w:r w:rsidRPr="00FA5606">
        <w:rPr>
          <w:color w:val="000000" w:themeColor="text1"/>
        </w:rPr>
        <w:t xml:space="preserve"> dhe shkenca</w:t>
      </w:r>
      <w:r w:rsidR="00F919F3">
        <w:rPr>
          <w:color w:val="000000" w:themeColor="text1"/>
        </w:rPr>
        <w:t>ve</w:t>
      </w:r>
      <w:r w:rsidRPr="00FA5606">
        <w:rPr>
          <w:color w:val="000000" w:themeColor="text1"/>
        </w:rPr>
        <w:t xml:space="preserve"> </w:t>
      </w:r>
      <w:r w:rsidR="00F919F3">
        <w:rPr>
          <w:color w:val="000000" w:themeColor="text1"/>
        </w:rPr>
        <w:t>t</w:t>
      </w:r>
      <w:r w:rsidR="00F919F3" w:rsidRPr="00CF4646">
        <w:rPr>
          <w:color w:val="000000" w:themeColor="text1"/>
        </w:rPr>
        <w:t>ë</w:t>
      </w:r>
      <w:r w:rsidRPr="00FA5606">
        <w:rPr>
          <w:color w:val="000000" w:themeColor="text1"/>
        </w:rPr>
        <w:t xml:space="preserve"> natyrës. </w:t>
      </w:r>
      <w:r w:rsidRPr="00FA5606">
        <w:rPr>
          <w:i/>
          <w:color w:val="000000" w:themeColor="text1"/>
        </w:rPr>
        <w:t>ASCAP</w:t>
      </w:r>
      <w:r w:rsidR="00F919F3">
        <w:rPr>
          <w:i/>
          <w:color w:val="000000" w:themeColor="text1"/>
        </w:rPr>
        <w:t>-i</w:t>
      </w:r>
      <w:r w:rsidRPr="00FA5606">
        <w:rPr>
          <w:i/>
          <w:color w:val="000000" w:themeColor="text1"/>
        </w:rPr>
        <w:t xml:space="preserve">, në bashkëpunim me ekspertë të fushave përkatëse, do </w:t>
      </w:r>
      <w:r w:rsidRPr="00FA5606">
        <w:rPr>
          <w:i/>
          <w:color w:val="000000" w:themeColor="text1"/>
        </w:rPr>
        <w:lastRenderedPageBreak/>
        <w:t>të zhvillojë materiale ndihmëse për mësuesit për fushat prioritare të kurrikulës: Gjuhët dhe komunikimi, Matematikë dhe Shkencat e natyrës. Materialet ndihmëse do të ofrojnë udhëzime për zhvillimin e aftësive të lexim-shkrimit, matematikore dhe shkencore te nxënësit, si dhe për vlerësimin e tyre.</w:t>
      </w:r>
    </w:p>
    <w:p w:rsidR="00C652E5" w:rsidRPr="00E97254" w:rsidRDefault="00C652E5" w:rsidP="000C0250">
      <w:pPr>
        <w:widowControl w:val="0"/>
        <w:spacing w:after="0"/>
        <w:jc w:val="both"/>
        <w:rPr>
          <w:color w:val="000000" w:themeColor="text1"/>
          <w:u w:val="single"/>
        </w:rPr>
      </w:pPr>
    </w:p>
    <w:p w:rsidR="00C652E5" w:rsidRPr="00E97254" w:rsidRDefault="00FA5606" w:rsidP="000C0250">
      <w:pPr>
        <w:widowControl w:val="0"/>
        <w:spacing w:after="0"/>
        <w:jc w:val="both"/>
        <w:rPr>
          <w:color w:val="000000" w:themeColor="text1"/>
        </w:rPr>
      </w:pPr>
      <w:r w:rsidRPr="00FA5606">
        <w:rPr>
          <w:color w:val="000000" w:themeColor="text1"/>
          <w:u w:val="single"/>
        </w:rPr>
        <w:t>Produkti  A3.4</w:t>
      </w:r>
      <w:r w:rsidRPr="00FA5606">
        <w:rPr>
          <w:color w:val="000000" w:themeColor="text1"/>
        </w:rPr>
        <w:t>. Sigurimi i besueshmërisë së vlerësimeve kombëtare</w:t>
      </w:r>
    </w:p>
    <w:p w:rsidR="00B15A31" w:rsidRPr="00E97254" w:rsidRDefault="00FA5606" w:rsidP="000C0250">
      <w:pPr>
        <w:widowControl w:val="0"/>
        <w:spacing w:after="0"/>
        <w:jc w:val="both"/>
        <w:rPr>
          <w:i/>
          <w:color w:val="000000" w:themeColor="text1"/>
        </w:rPr>
      </w:pPr>
      <w:r w:rsidRPr="00FA5606">
        <w:rPr>
          <w:color w:val="000000" w:themeColor="text1"/>
        </w:rPr>
        <w:t>A3.4.1. P</w:t>
      </w:r>
      <w:r w:rsidRPr="00FA5606">
        <w:rPr>
          <w:rFonts w:ascii="Times New Roman" w:eastAsia="Times New Roman" w:hAnsi="Times New Roman" w:cs="Times New Roman"/>
          <w:color w:val="000000" w:themeColor="text1"/>
        </w:rPr>
        <w:t>ë</w:t>
      </w:r>
      <w:r w:rsidRPr="00FA5606">
        <w:rPr>
          <w:color w:val="000000" w:themeColor="text1"/>
        </w:rPr>
        <w:t xml:space="preserve">rmirësimi i administrimit dhe cilësisë së provimeve bazuar në kompetenca. </w:t>
      </w:r>
      <w:r w:rsidRPr="00FA5606">
        <w:rPr>
          <w:i/>
          <w:color w:val="000000" w:themeColor="text1"/>
        </w:rPr>
        <w:t xml:space="preserve">Për të gjitha provimet kombëtare, përfshirë maturën shtetërore, testi do të jetë i bazuar në rezultatet e të nxënit dhe kompetenca; përdorimin e llojeve të ndryshme të pyetjeve, të cilat do të krijojnë mundësi për vlerësimin e kompetencave; hartimin e materialeve ndihmëse për nxënësit ku të përfshihen formati </w:t>
      </w:r>
      <w:r w:rsidR="006913F5">
        <w:rPr>
          <w:i/>
          <w:color w:val="000000" w:themeColor="text1"/>
        </w:rPr>
        <w:t>i</w:t>
      </w:r>
      <w:r w:rsidRPr="00FA5606">
        <w:rPr>
          <w:i/>
          <w:color w:val="000000" w:themeColor="text1"/>
        </w:rPr>
        <w:t xml:space="preserve"> testit, struktura e testit, pikëzimi, modele lloje pyetjesh, modele testesh që vlerësojnë kompetencat dhe sqarime për vlerësimin, përmirësimin e administrimit të të gjithë provimeve kombëtare, duke përfshirë dhe variantin online. Kujdes i vazhdueshëm duhet të tregohet nga zyrat vendore të arsimit parauniversitar, të cilat janë përgjegjëse për organizimin e korrigjimit të VANAF</w:t>
      </w:r>
      <w:r w:rsidR="006913F5">
        <w:rPr>
          <w:i/>
          <w:color w:val="000000" w:themeColor="text1"/>
        </w:rPr>
        <w:t>-it</w:t>
      </w:r>
      <w:r w:rsidRPr="00FA5606">
        <w:rPr>
          <w:i/>
          <w:color w:val="000000" w:themeColor="text1"/>
        </w:rPr>
        <w:t xml:space="preserve"> dhe PKAB</w:t>
      </w:r>
      <w:r w:rsidR="006913F5">
        <w:rPr>
          <w:i/>
          <w:color w:val="000000" w:themeColor="text1"/>
        </w:rPr>
        <w:t>-s</w:t>
      </w:r>
      <w:r w:rsidR="006913F5" w:rsidRPr="00CF4646">
        <w:rPr>
          <w:color w:val="000000" w:themeColor="text1"/>
        </w:rPr>
        <w:t>ë</w:t>
      </w:r>
      <w:r w:rsidRPr="00FA5606">
        <w:rPr>
          <w:i/>
          <w:color w:val="000000" w:themeColor="text1"/>
        </w:rPr>
        <w:t>.</w:t>
      </w:r>
    </w:p>
    <w:p w:rsidR="00CE31A8" w:rsidRDefault="00FA5606" w:rsidP="000C0250">
      <w:pPr>
        <w:widowControl w:val="0"/>
        <w:spacing w:after="0"/>
        <w:jc w:val="both"/>
        <w:rPr>
          <w:i/>
          <w:color w:val="000000" w:themeColor="text1"/>
        </w:rPr>
      </w:pPr>
      <w:r w:rsidRPr="00FA5606">
        <w:rPr>
          <w:color w:val="000000" w:themeColor="text1"/>
        </w:rPr>
        <w:t>A3.4.2. Raportimi i rezultateve të VANAF</w:t>
      </w:r>
      <w:r w:rsidR="006913F5">
        <w:rPr>
          <w:color w:val="000000" w:themeColor="text1"/>
        </w:rPr>
        <w:t>-it</w:t>
      </w:r>
      <w:r w:rsidRPr="00FA5606">
        <w:rPr>
          <w:color w:val="000000" w:themeColor="text1"/>
        </w:rPr>
        <w:t xml:space="preserve"> dhe PKAB</w:t>
      </w:r>
      <w:r w:rsidR="006913F5">
        <w:rPr>
          <w:color w:val="000000" w:themeColor="text1"/>
        </w:rPr>
        <w:t>-s</w:t>
      </w:r>
      <w:r w:rsidR="006913F5" w:rsidRPr="00CF4646">
        <w:rPr>
          <w:color w:val="000000" w:themeColor="text1"/>
        </w:rPr>
        <w:t>ë</w:t>
      </w:r>
      <w:r w:rsidRPr="00FA5606">
        <w:rPr>
          <w:color w:val="000000" w:themeColor="text1"/>
        </w:rPr>
        <w:t xml:space="preserve"> </w:t>
      </w:r>
      <w:r w:rsidRPr="00FA5606">
        <w:rPr>
          <w:i/>
          <w:color w:val="000000" w:themeColor="text1"/>
        </w:rPr>
        <w:t>Ideja e VANAF</w:t>
      </w:r>
      <w:r w:rsidR="006913F5">
        <w:rPr>
          <w:i/>
          <w:color w:val="000000" w:themeColor="text1"/>
        </w:rPr>
        <w:t>-it</w:t>
      </w:r>
      <w:r w:rsidRPr="00FA5606">
        <w:rPr>
          <w:i/>
          <w:color w:val="000000" w:themeColor="text1"/>
        </w:rPr>
        <w:t xml:space="preserve"> është që të jetë mjet për monitorimin e sistemit, por mund të shërbejë edhe si pikë referimi për mësuesit që të vlerësojnë drejt progresin e nxënësve. Prandaj, pasi të jetë përmirësuar besueshmëria e VANAF</w:t>
      </w:r>
      <w:r w:rsidR="006913F5" w:rsidRPr="006913F5">
        <w:rPr>
          <w:i/>
          <w:color w:val="000000" w:themeColor="text1"/>
        </w:rPr>
        <w:t>-it</w:t>
      </w:r>
      <w:r w:rsidRPr="00FA5606">
        <w:rPr>
          <w:i/>
          <w:color w:val="000000" w:themeColor="text1"/>
        </w:rPr>
        <w:t>, QSHA</w:t>
      </w:r>
      <w:r w:rsidR="006913F5" w:rsidRPr="006913F5">
        <w:rPr>
          <w:i/>
          <w:color w:val="000000" w:themeColor="text1"/>
        </w:rPr>
        <w:t>-ja</w:t>
      </w:r>
      <w:r w:rsidRPr="00FA5606">
        <w:rPr>
          <w:i/>
          <w:color w:val="000000" w:themeColor="text1"/>
        </w:rPr>
        <w:t xml:space="preserve"> do të ofrojë informacion të hollësishëm për arritjen e rezultateve specifike të të nxënit në nivel kombëtar, rajonal, në nivel të shkollës dhe në nivel individual, që mësuesit të jenë në gjendje t’i krahasojnë rezultatet dhe të bëjnë përmirësimet e duhura. Në mënyrë të njëjtë do të veprohet edhe me PKAB</w:t>
      </w:r>
      <w:r w:rsidR="006913F5" w:rsidRPr="006913F5">
        <w:rPr>
          <w:i/>
          <w:color w:val="000000" w:themeColor="text1"/>
        </w:rPr>
        <w:t>-n</w:t>
      </w:r>
      <w:r w:rsidRPr="00FA5606">
        <w:rPr>
          <w:i/>
          <w:color w:val="000000" w:themeColor="text1"/>
        </w:rPr>
        <w:t>ë. Kjo ndërlidhet me njërin nga prioritetit e PKIE</w:t>
      </w:r>
      <w:r w:rsidR="006913F5" w:rsidRPr="006913F5">
        <w:rPr>
          <w:i/>
          <w:color w:val="000000" w:themeColor="text1"/>
        </w:rPr>
        <w:t>-s</w:t>
      </w:r>
      <w:r w:rsidRPr="00FA5606">
        <w:rPr>
          <w:i/>
          <w:color w:val="000000" w:themeColor="text1"/>
        </w:rPr>
        <w:t>ë: “Komuniko</w:t>
      </w:r>
      <w:r w:rsidR="006913F5" w:rsidRPr="006913F5">
        <w:rPr>
          <w:i/>
          <w:color w:val="000000" w:themeColor="text1"/>
        </w:rPr>
        <w:t>ji</w:t>
      </w:r>
      <w:r w:rsidRPr="00FA5606">
        <w:rPr>
          <w:i/>
          <w:color w:val="000000" w:themeColor="text1"/>
        </w:rPr>
        <w:t xml:space="preserve">ni rezultatet e vlerësimit të jashtëm secilës shkollë në mënyrë që </w:t>
      </w:r>
      <w:r w:rsidR="006913F5" w:rsidRPr="006913F5">
        <w:rPr>
          <w:i/>
          <w:color w:val="000000" w:themeColor="text1"/>
        </w:rPr>
        <w:t>t</w:t>
      </w:r>
      <w:r w:rsidRPr="00FA5606">
        <w:rPr>
          <w:i/>
          <w:color w:val="000000" w:themeColor="text1"/>
        </w:rPr>
        <w:t xml:space="preserve">ë mund të krahasohen në nivelin lokal, rajonal dhe kombëtar”. </w:t>
      </w:r>
      <w:sdt>
        <w:sdtPr>
          <w:rPr>
            <w:i/>
            <w:color w:val="000000" w:themeColor="text1"/>
          </w:rPr>
          <w:id w:val="-1812779736"/>
          <w:citation/>
        </w:sdtPr>
        <w:sdtEndPr/>
        <w:sdtContent>
          <w:r w:rsidR="00EC56B7" w:rsidRPr="006913F5">
            <w:rPr>
              <w:i/>
              <w:color w:val="000000" w:themeColor="text1"/>
            </w:rPr>
            <w:fldChar w:fldCharType="begin"/>
          </w:r>
          <w:r w:rsidRPr="00FA5606">
            <w:rPr>
              <w:i/>
              <w:color w:val="000000" w:themeColor="text1"/>
            </w:rPr>
            <w:instrText xml:space="preserve"> CITATION Kës3 \l 1033 </w:instrText>
          </w:r>
          <w:r w:rsidR="00EC56B7" w:rsidRPr="006913F5">
            <w:rPr>
              <w:i/>
              <w:color w:val="000000" w:themeColor="text1"/>
            </w:rPr>
            <w:fldChar w:fldCharType="separate"/>
          </w:r>
          <w:r w:rsidRPr="00FA5606">
            <w:rPr>
              <w:i/>
              <w:color w:val="000000" w:themeColor="text1"/>
            </w:rPr>
            <w:t>[18]</w:t>
          </w:r>
          <w:r w:rsidR="00EC56B7" w:rsidRPr="006913F5">
            <w:rPr>
              <w:i/>
              <w:color w:val="000000" w:themeColor="text1"/>
            </w:rPr>
            <w:fldChar w:fldCharType="end"/>
          </w:r>
        </w:sdtContent>
      </w:sdt>
    </w:p>
    <w:p w:rsidR="00020834" w:rsidRPr="006913F5" w:rsidRDefault="00020834" w:rsidP="000C0250">
      <w:pPr>
        <w:widowControl w:val="0"/>
        <w:spacing w:after="0"/>
        <w:jc w:val="both"/>
        <w:rPr>
          <w:i/>
          <w:color w:val="000000" w:themeColor="text1"/>
        </w:rPr>
      </w:pPr>
    </w:p>
    <w:p w:rsidR="00FE309E" w:rsidRPr="00E97254" w:rsidRDefault="00FE309E" w:rsidP="000C0250">
      <w:pPr>
        <w:widowControl w:val="0"/>
        <w:spacing w:after="0"/>
        <w:jc w:val="both"/>
        <w:rPr>
          <w:color w:val="000000" w:themeColor="text1"/>
          <w:u w:val="single"/>
        </w:rPr>
      </w:pPr>
    </w:p>
    <w:p w:rsidR="00DC7F51" w:rsidRPr="00E97254" w:rsidRDefault="00DC7F51" w:rsidP="000C0250">
      <w:pPr>
        <w:widowControl w:val="0"/>
        <w:spacing w:after="0"/>
        <w:jc w:val="both"/>
        <w:rPr>
          <w:color w:val="000000" w:themeColor="text1"/>
        </w:rPr>
      </w:pPr>
      <w:r w:rsidRPr="00E97254">
        <w:rPr>
          <w:color w:val="000000" w:themeColor="text1"/>
          <w:u w:val="single"/>
        </w:rPr>
        <w:t xml:space="preserve">Produkti  </w:t>
      </w:r>
      <w:r w:rsidR="00FA5606" w:rsidRPr="00FA5606">
        <w:rPr>
          <w:color w:val="000000" w:themeColor="text1"/>
          <w:u w:val="single"/>
        </w:rPr>
        <w:t>A3.5</w:t>
      </w:r>
      <w:r w:rsidR="00FA5606" w:rsidRPr="00FA5606">
        <w:rPr>
          <w:color w:val="000000" w:themeColor="text1"/>
        </w:rPr>
        <w:t>. Të mësuarit e gjuhës angleze nga mosha 5 vjeç</w:t>
      </w:r>
    </w:p>
    <w:p w:rsidR="00CE31A8" w:rsidRDefault="00FA5606" w:rsidP="000C0250">
      <w:pPr>
        <w:widowControl w:val="0"/>
        <w:spacing w:after="0"/>
        <w:jc w:val="both"/>
        <w:rPr>
          <w:i/>
          <w:color w:val="000000" w:themeColor="text1"/>
        </w:rPr>
      </w:pPr>
      <w:r w:rsidRPr="00FA5606">
        <w:rPr>
          <w:color w:val="000000" w:themeColor="text1"/>
        </w:rPr>
        <w:t xml:space="preserve">A3.5.1. </w:t>
      </w:r>
      <w:r w:rsidRPr="00FA5606">
        <w:rPr>
          <w:i/>
          <w:color w:val="000000" w:themeColor="text1"/>
        </w:rPr>
        <w:t xml:space="preserve">Gjuha angleze do të mësohet nga fëmijët duke filluar nga mosha 5 vjeç. Kjo gjuhë do të jetë lëndë e veçantë edhe në klasën e parë dhe të dytë të arsimit bazë. Vëmendje do t`i kushtohet hartimit të programeve  të gjuhës angleze për këto klasa si dhe forcimit të kapaciteteve të mësimdhënies në këtë lëndë. </w:t>
      </w:r>
    </w:p>
    <w:p w:rsidR="00494766" w:rsidRDefault="00494766" w:rsidP="000C0250">
      <w:pPr>
        <w:widowControl w:val="0"/>
        <w:spacing w:after="0"/>
        <w:jc w:val="both"/>
        <w:rPr>
          <w:i/>
          <w:color w:val="000000" w:themeColor="text1"/>
        </w:rPr>
      </w:pPr>
    </w:p>
    <w:p w:rsidR="00CB78E6" w:rsidRPr="00B21F3F" w:rsidRDefault="00CB78E6" w:rsidP="00CB78E6">
      <w:pPr>
        <w:widowControl w:val="0"/>
        <w:spacing w:after="0"/>
        <w:jc w:val="both"/>
        <w:rPr>
          <w:i/>
          <w:color w:val="000000" w:themeColor="text1"/>
        </w:rPr>
      </w:pPr>
      <w:r w:rsidRPr="00CB78E6">
        <w:rPr>
          <w:color w:val="000000" w:themeColor="text1"/>
        </w:rPr>
        <w:t xml:space="preserve">A3.5.2 Futja e gjuhës së huaj të dytë nga klasa e tretë. </w:t>
      </w:r>
      <w:r w:rsidRPr="00CB78E6">
        <w:rPr>
          <w:i/>
          <w:color w:val="000000" w:themeColor="text1"/>
        </w:rPr>
        <w:t>Në sistemin arsimor parauniversitar shqiptar</w:t>
      </w:r>
      <w:r>
        <w:rPr>
          <w:i/>
          <w:color w:val="000000" w:themeColor="text1"/>
        </w:rPr>
        <w:t>,</w:t>
      </w:r>
      <w:r w:rsidRPr="00CB78E6">
        <w:rPr>
          <w:i/>
          <w:color w:val="000000" w:themeColor="text1"/>
        </w:rPr>
        <w:t xml:space="preserve"> do të fillojë të mësohet edhe gjuha e huaj e dytë nga klasa III e arsimit fillor deri në klasën e XII të arsimit të mesëm të lartë. </w:t>
      </w:r>
      <w:r>
        <w:rPr>
          <w:i/>
          <w:color w:val="000000" w:themeColor="text1"/>
        </w:rPr>
        <w:t>K</w:t>
      </w:r>
      <w:r w:rsidRPr="00CB78E6">
        <w:rPr>
          <w:i/>
          <w:color w:val="000000" w:themeColor="text1"/>
        </w:rPr>
        <w:t>ë</w:t>
      </w:r>
      <w:r>
        <w:rPr>
          <w:i/>
          <w:color w:val="000000" w:themeColor="text1"/>
        </w:rPr>
        <w:t xml:space="preserve">shtu, u jepet </w:t>
      </w:r>
      <w:r w:rsidRPr="00CB78E6">
        <w:rPr>
          <w:i/>
          <w:color w:val="000000" w:themeColor="text1"/>
        </w:rPr>
        <w:t>mundësi</w:t>
      </w:r>
      <w:r>
        <w:rPr>
          <w:i/>
          <w:color w:val="000000" w:themeColor="text1"/>
        </w:rPr>
        <w:t xml:space="preserve">a </w:t>
      </w:r>
      <w:r w:rsidRPr="00CB78E6">
        <w:rPr>
          <w:i/>
          <w:color w:val="000000" w:themeColor="text1"/>
        </w:rPr>
        <w:t xml:space="preserve">nxënësve shqiptarë të zgjedhin gjuhën e huaj që dëshirojnë të japin provim në Provimet Kombëtare të Arsimit Bazë dhe në Maturën Shtetërore, si dhe </w:t>
      </w:r>
      <w:r>
        <w:rPr>
          <w:i/>
          <w:color w:val="000000" w:themeColor="text1"/>
        </w:rPr>
        <w:t>sigurohet</w:t>
      </w:r>
      <w:r w:rsidRPr="00CB78E6">
        <w:rPr>
          <w:i/>
          <w:color w:val="000000" w:themeColor="text1"/>
        </w:rPr>
        <w:t xml:space="preserve"> parimi </w:t>
      </w:r>
      <w:r>
        <w:rPr>
          <w:i/>
          <w:color w:val="000000" w:themeColor="text1"/>
        </w:rPr>
        <w:t>i</w:t>
      </w:r>
      <w:r w:rsidRPr="00CB78E6">
        <w:rPr>
          <w:i/>
          <w:color w:val="000000" w:themeColor="text1"/>
        </w:rPr>
        <w:t xml:space="preserve"> shumëgjuhësisë në sistemin arsimor par</w:t>
      </w:r>
      <w:r>
        <w:rPr>
          <w:i/>
          <w:color w:val="000000" w:themeColor="text1"/>
        </w:rPr>
        <w:t>a</w:t>
      </w:r>
      <w:r w:rsidRPr="00CB78E6">
        <w:rPr>
          <w:i/>
          <w:color w:val="000000" w:themeColor="text1"/>
        </w:rPr>
        <w:t>universitar shqiptar.</w:t>
      </w:r>
      <w:r w:rsidRPr="00B21F3F">
        <w:rPr>
          <w:i/>
          <w:color w:val="000000" w:themeColor="text1"/>
        </w:rPr>
        <w:t xml:space="preserve"> </w:t>
      </w:r>
    </w:p>
    <w:p w:rsidR="00CB78E6" w:rsidRPr="00E97254" w:rsidRDefault="00CB78E6" w:rsidP="000C0250">
      <w:pPr>
        <w:widowControl w:val="0"/>
        <w:spacing w:after="0"/>
        <w:jc w:val="both"/>
        <w:rPr>
          <w:i/>
          <w:color w:val="000000" w:themeColor="text1"/>
        </w:rPr>
      </w:pPr>
    </w:p>
    <w:p w:rsidR="00283F11" w:rsidRPr="00E97254" w:rsidRDefault="00FA5606" w:rsidP="000C0250">
      <w:pPr>
        <w:widowControl w:val="0"/>
        <w:spacing w:after="0"/>
        <w:jc w:val="both"/>
        <w:rPr>
          <w:color w:val="000000" w:themeColor="text1"/>
        </w:rPr>
      </w:pPr>
      <w:r w:rsidRPr="00FA5606">
        <w:rPr>
          <w:color w:val="000000" w:themeColor="text1"/>
          <w:u w:val="single"/>
        </w:rPr>
        <w:t>Produkti  A3.6</w:t>
      </w:r>
      <w:r w:rsidRPr="00FA5606">
        <w:rPr>
          <w:color w:val="000000" w:themeColor="text1"/>
        </w:rPr>
        <w:t>. Të mësuarit e zejeve dhe të arteve në arsimin e mesëm të lartë në kuadrin e kurrikulës me zgjedhje.</w:t>
      </w:r>
    </w:p>
    <w:p w:rsidR="00C652E5" w:rsidRPr="00E97254" w:rsidRDefault="00FA5606" w:rsidP="000C0250">
      <w:pPr>
        <w:widowControl w:val="0"/>
        <w:spacing w:after="0"/>
        <w:jc w:val="both"/>
        <w:rPr>
          <w:color w:val="000000" w:themeColor="text1"/>
        </w:rPr>
      </w:pPr>
      <w:r w:rsidRPr="00FA5606">
        <w:rPr>
          <w:color w:val="000000" w:themeColor="text1"/>
        </w:rPr>
        <w:t xml:space="preserve">A3.6.1. Hartimi </w:t>
      </w:r>
      <w:r w:rsidR="00F44893">
        <w:rPr>
          <w:color w:val="000000" w:themeColor="text1"/>
        </w:rPr>
        <w:t xml:space="preserve">i </w:t>
      </w:r>
      <w:r w:rsidRPr="00FA5606">
        <w:rPr>
          <w:color w:val="000000" w:themeColor="text1"/>
        </w:rPr>
        <w:t>moduleve kurrikulare dhe profesionale për zeje dhe arte, t</w:t>
      </w:r>
      <w:r w:rsidRPr="00FA5606">
        <w:rPr>
          <w:i/>
          <w:color w:val="000000" w:themeColor="text1"/>
        </w:rPr>
        <w:t>ë cilat do të zhvillohen në kuadrin e kurrikulës me zgjedhje në arsimin e mesëm të lartë. Në varësi të interesave dhe të pasioneve të tyre, nxënësit do të kenë mundësi të zgjedhin nga një “menu” modulesh një zeje ose një lloj arti për të mësuar</w:t>
      </w:r>
      <w:r w:rsidRPr="00FA5606">
        <w:rPr>
          <w:color w:val="000000" w:themeColor="text1"/>
        </w:rPr>
        <w:t xml:space="preserve">. </w:t>
      </w:r>
    </w:p>
    <w:p w:rsidR="00C652E5" w:rsidRPr="00E97254" w:rsidRDefault="00FA5606" w:rsidP="000C0250">
      <w:pPr>
        <w:widowControl w:val="0"/>
        <w:spacing w:after="0"/>
        <w:jc w:val="both"/>
        <w:rPr>
          <w:color w:val="000000" w:themeColor="text1"/>
        </w:rPr>
      </w:pPr>
      <w:r w:rsidRPr="00FA5606">
        <w:rPr>
          <w:color w:val="000000" w:themeColor="text1"/>
        </w:rPr>
        <w:lastRenderedPageBreak/>
        <w:t>A3.6.2. Trajnimi i mësuesve që do të zhvillojnë modulet për zejet dhe artet në arsimin e mesëm të lartë</w:t>
      </w:r>
      <w:r w:rsidRPr="00FA5606">
        <w:rPr>
          <w:i/>
          <w:color w:val="000000" w:themeColor="text1"/>
        </w:rPr>
        <w:t xml:space="preserve"> në lidhje me përmbajtjen mësimore, metodologjinë dhe vlerësimin e këtyre moduleve</w:t>
      </w:r>
      <w:r w:rsidRPr="00FA5606">
        <w:rPr>
          <w:color w:val="000000" w:themeColor="text1"/>
        </w:rPr>
        <w:t>.</w:t>
      </w:r>
    </w:p>
    <w:p w:rsidR="004C345A" w:rsidRPr="00E97254" w:rsidRDefault="004C345A" w:rsidP="000C0250">
      <w:pPr>
        <w:spacing w:before="120" w:after="0"/>
        <w:jc w:val="both"/>
        <w:rPr>
          <w:color w:val="000000" w:themeColor="text1"/>
        </w:rPr>
      </w:pPr>
    </w:p>
    <w:p w:rsidR="004C345A" w:rsidRPr="00E97254" w:rsidRDefault="00FA5606" w:rsidP="000C0250">
      <w:pPr>
        <w:widowControl w:val="0"/>
        <w:spacing w:after="0"/>
        <w:jc w:val="both"/>
        <w:rPr>
          <w:b/>
          <w:color w:val="000000" w:themeColor="text1"/>
        </w:rPr>
      </w:pPr>
      <w:r w:rsidRPr="00FA5606">
        <w:rPr>
          <w:b/>
          <w:color w:val="000000" w:themeColor="text1"/>
        </w:rPr>
        <w:t>Treguesit</w:t>
      </w:r>
    </w:p>
    <w:p w:rsidR="00C652E5" w:rsidRPr="00E97254" w:rsidRDefault="00FA5606" w:rsidP="000C0250">
      <w:pPr>
        <w:pStyle w:val="ListParagraph"/>
        <w:widowControl w:val="0"/>
        <w:numPr>
          <w:ilvl w:val="0"/>
          <w:numId w:val="29"/>
        </w:numPr>
        <w:spacing w:after="0"/>
        <w:ind w:left="357" w:hanging="357"/>
        <w:contextualSpacing w:val="0"/>
        <w:jc w:val="both"/>
        <w:rPr>
          <w:color w:val="000000" w:themeColor="text1"/>
        </w:rPr>
      </w:pPr>
      <w:r w:rsidRPr="00FA5606">
        <w:rPr>
          <w:color w:val="000000" w:themeColor="text1"/>
        </w:rPr>
        <w:t xml:space="preserve">Numri i paketave me mjete mësimore të shpërndara në shkolla dhe </w:t>
      </w:r>
      <w:r w:rsidR="00F44893">
        <w:rPr>
          <w:color w:val="000000" w:themeColor="text1"/>
        </w:rPr>
        <w:t xml:space="preserve">institucione </w:t>
      </w:r>
      <w:r w:rsidRPr="00FA5606">
        <w:rPr>
          <w:color w:val="000000" w:themeColor="text1"/>
        </w:rPr>
        <w:t>parashkollor</w:t>
      </w:r>
      <w:r w:rsidR="00F44893">
        <w:rPr>
          <w:color w:val="000000" w:themeColor="text1"/>
        </w:rPr>
        <w:t>e</w:t>
      </w:r>
      <w:r w:rsidRPr="00FA5606">
        <w:rPr>
          <w:color w:val="000000" w:themeColor="text1"/>
        </w:rPr>
        <w:t>.</w:t>
      </w:r>
    </w:p>
    <w:p w:rsidR="00C652E5" w:rsidRPr="00E97254" w:rsidRDefault="00FA5606" w:rsidP="000C0250">
      <w:pPr>
        <w:pStyle w:val="ListParagraph"/>
        <w:widowControl w:val="0"/>
        <w:numPr>
          <w:ilvl w:val="0"/>
          <w:numId w:val="29"/>
        </w:numPr>
        <w:spacing w:after="0"/>
        <w:ind w:left="357" w:hanging="357"/>
        <w:contextualSpacing w:val="0"/>
        <w:jc w:val="both"/>
        <w:rPr>
          <w:color w:val="000000" w:themeColor="text1"/>
        </w:rPr>
      </w:pPr>
      <w:r w:rsidRPr="00FA5606">
        <w:rPr>
          <w:color w:val="000000" w:themeColor="text1"/>
        </w:rPr>
        <w:t xml:space="preserve">Numri i mësuesve të përfshirë në aktivitete këshillimi dhe monitorimi për zbatimin e kurrikulës së re me kompetenca në të gjithë </w:t>
      </w:r>
      <w:r w:rsidR="00F44893">
        <w:rPr>
          <w:color w:val="000000" w:themeColor="text1"/>
        </w:rPr>
        <w:t>p</w:t>
      </w:r>
      <w:r w:rsidR="00F44893" w:rsidRPr="00CF4646">
        <w:rPr>
          <w:color w:val="000000" w:themeColor="text1"/>
        </w:rPr>
        <w:t>ë</w:t>
      </w:r>
      <w:r w:rsidR="00F44893">
        <w:rPr>
          <w:color w:val="000000" w:themeColor="text1"/>
        </w:rPr>
        <w:t>rb</w:t>
      </w:r>
      <w:r w:rsidR="00F44893" w:rsidRPr="00CF4646">
        <w:rPr>
          <w:color w:val="000000" w:themeColor="text1"/>
        </w:rPr>
        <w:t>ë</w:t>
      </w:r>
      <w:r w:rsidR="00F44893">
        <w:rPr>
          <w:color w:val="000000" w:themeColor="text1"/>
        </w:rPr>
        <w:t>r</w:t>
      </w:r>
      <w:r w:rsidR="00F44893" w:rsidRPr="00CF4646">
        <w:rPr>
          <w:color w:val="000000" w:themeColor="text1"/>
        </w:rPr>
        <w:t>ë</w:t>
      </w:r>
      <w:r w:rsidR="00F44893">
        <w:rPr>
          <w:color w:val="000000" w:themeColor="text1"/>
        </w:rPr>
        <w:t>sit</w:t>
      </w:r>
      <w:r w:rsidRPr="00FA5606">
        <w:rPr>
          <w:color w:val="000000" w:themeColor="text1"/>
        </w:rPr>
        <w:t xml:space="preserve"> e saj.</w:t>
      </w:r>
    </w:p>
    <w:p w:rsidR="00C652E5" w:rsidRPr="00E97254" w:rsidRDefault="00FA5606" w:rsidP="000C0250">
      <w:pPr>
        <w:pStyle w:val="ListParagraph"/>
        <w:widowControl w:val="0"/>
        <w:numPr>
          <w:ilvl w:val="0"/>
          <w:numId w:val="29"/>
        </w:numPr>
        <w:spacing w:after="0"/>
        <w:ind w:left="357" w:hanging="357"/>
        <w:contextualSpacing w:val="0"/>
        <w:jc w:val="both"/>
        <w:rPr>
          <w:b/>
          <w:color w:val="000000" w:themeColor="text1"/>
        </w:rPr>
      </w:pPr>
      <w:r w:rsidRPr="00FA5606">
        <w:rPr>
          <w:color w:val="000000" w:themeColor="text1"/>
        </w:rPr>
        <w:t>Rezultatet e nxënësve 15-vjeçarë në lexim-shkrim, matematikë dhe shkenca.</w:t>
      </w:r>
    </w:p>
    <w:p w:rsidR="00C652E5" w:rsidRPr="00E97254" w:rsidRDefault="00FA5606" w:rsidP="000C0250">
      <w:pPr>
        <w:pStyle w:val="ListParagraph"/>
        <w:widowControl w:val="0"/>
        <w:numPr>
          <w:ilvl w:val="0"/>
          <w:numId w:val="29"/>
        </w:numPr>
        <w:spacing w:after="0"/>
        <w:ind w:left="357" w:hanging="357"/>
        <w:contextualSpacing w:val="0"/>
        <w:jc w:val="both"/>
        <w:rPr>
          <w:b/>
          <w:color w:val="000000" w:themeColor="text1"/>
        </w:rPr>
      </w:pPr>
      <w:r w:rsidRPr="00FA5606">
        <w:rPr>
          <w:color w:val="000000" w:themeColor="text1"/>
        </w:rPr>
        <w:t>Përqindja e fëmijëve dhe të rinjve në fund të (a) arsimit fillor (b) të arsimit të mesëm të ulët</w:t>
      </w:r>
      <w:r w:rsidR="00F44893">
        <w:rPr>
          <w:color w:val="000000" w:themeColor="text1"/>
        </w:rPr>
        <w:t>,</w:t>
      </w:r>
      <w:r w:rsidRPr="00FA5606">
        <w:rPr>
          <w:color w:val="000000" w:themeColor="text1"/>
        </w:rPr>
        <w:t xml:space="preserve"> të paktën</w:t>
      </w:r>
      <w:r w:rsidR="00F44893">
        <w:rPr>
          <w:color w:val="000000" w:themeColor="text1"/>
        </w:rPr>
        <w:t xml:space="preserve"> </w:t>
      </w:r>
      <w:r w:rsidRPr="00FA5606">
        <w:rPr>
          <w:color w:val="000000" w:themeColor="text1"/>
        </w:rPr>
        <w:t>me një nivel minimal të aftësisë në lexim dhe matematikë, sipas gjinisë</w:t>
      </w:r>
      <w:r w:rsidR="004E1F53">
        <w:rPr>
          <w:rFonts w:ascii="Arial" w:eastAsia="Arial" w:hAnsi="Arial" w:cs="Arial"/>
          <w:color w:val="000000" w:themeColor="text1"/>
          <w:sz w:val="25"/>
          <w:szCs w:val="25"/>
        </w:rPr>
        <w:t xml:space="preserve"> </w:t>
      </w:r>
      <w:r w:rsidRPr="00FA5606">
        <w:rPr>
          <w:color w:val="000000" w:themeColor="text1"/>
        </w:rPr>
        <w:t>(</w:t>
      </w:r>
      <w:r w:rsidR="00A50A43">
        <w:rPr>
          <w:color w:val="000000" w:themeColor="text1"/>
        </w:rPr>
        <w:t>OZHQ</w:t>
      </w:r>
      <w:r w:rsidRPr="00FA5606">
        <w:rPr>
          <w:color w:val="000000" w:themeColor="text1"/>
        </w:rPr>
        <w:t>4.1.1).</w:t>
      </w:r>
    </w:p>
    <w:p w:rsidR="00C652E5" w:rsidRPr="00E97254" w:rsidRDefault="00FA5606" w:rsidP="000C0250">
      <w:pPr>
        <w:pStyle w:val="ListParagraph"/>
        <w:widowControl w:val="0"/>
        <w:numPr>
          <w:ilvl w:val="0"/>
          <w:numId w:val="29"/>
        </w:numPr>
        <w:spacing w:after="0"/>
        <w:ind w:left="357" w:hanging="357"/>
        <w:contextualSpacing w:val="0"/>
        <w:jc w:val="both"/>
        <w:rPr>
          <w:color w:val="000000" w:themeColor="text1"/>
        </w:rPr>
      </w:pPr>
      <w:r w:rsidRPr="00FA5606">
        <w:rPr>
          <w:color w:val="000000" w:themeColor="text1"/>
        </w:rPr>
        <w:t>Numri i monitorimeve të zhvilluara në shkolla për zbatimin e kurrikulës me kompetenca.</w:t>
      </w:r>
    </w:p>
    <w:p w:rsidR="00C652E5" w:rsidRPr="00E97254" w:rsidRDefault="00FA5606" w:rsidP="000C0250">
      <w:pPr>
        <w:pStyle w:val="ListParagraph"/>
        <w:widowControl w:val="0"/>
        <w:numPr>
          <w:ilvl w:val="0"/>
          <w:numId w:val="29"/>
        </w:numPr>
        <w:spacing w:after="0"/>
        <w:ind w:left="357" w:hanging="357"/>
        <w:jc w:val="both"/>
        <w:rPr>
          <w:color w:val="000000" w:themeColor="text1"/>
        </w:rPr>
      </w:pPr>
      <w:r w:rsidRPr="00FA5606">
        <w:rPr>
          <w:color w:val="000000" w:themeColor="text1"/>
        </w:rPr>
        <w:t>Përqindja e nxënësve që do të mësojnë zeje dhe arte në arsimin e mesëm të lartë.</w:t>
      </w:r>
    </w:p>
    <w:p w:rsidR="00812570" w:rsidRPr="00E97254" w:rsidRDefault="00812570" w:rsidP="000C0250">
      <w:pPr>
        <w:widowControl w:val="0"/>
        <w:spacing w:before="120" w:after="0"/>
        <w:jc w:val="both"/>
        <w:rPr>
          <w:b/>
        </w:rPr>
      </w:pPr>
    </w:p>
    <w:p w:rsidR="00F27EEE" w:rsidRPr="00E97254" w:rsidRDefault="00FA5606" w:rsidP="000C0250">
      <w:pPr>
        <w:pStyle w:val="Heading3"/>
        <w:spacing w:before="120" w:after="120"/>
        <w:jc w:val="both"/>
      </w:pPr>
      <w:bookmarkStart w:id="124" w:name="_Toc66802015"/>
      <w:r w:rsidRPr="00FA5606">
        <w:t>Objektivi specifik A4: Digjitalizimi i arsimit</w:t>
      </w:r>
      <w:bookmarkEnd w:id="124"/>
    </w:p>
    <w:p w:rsidR="00F27EEE" w:rsidRPr="00E97254" w:rsidRDefault="003A44C5" w:rsidP="000C0250">
      <w:pPr>
        <w:spacing w:after="0"/>
        <w:jc w:val="both"/>
      </w:pPr>
      <w:r>
        <w:rPr>
          <w:noProof/>
        </w:rPr>
        <mc:AlternateContent>
          <mc:Choice Requires="wps">
            <w:drawing>
              <wp:inline distT="0" distB="0" distL="0" distR="0">
                <wp:extent cx="5943600" cy="488950"/>
                <wp:effectExtent l="12700" t="12700" r="0" b="6350"/>
                <wp:docPr id="15"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43600" cy="488950"/>
                        </a:xfrm>
                        <a:prstGeom prst="rect">
                          <a:avLst/>
                        </a:prstGeom>
                        <a:solidFill>
                          <a:srgbClr val="EBF1DE"/>
                        </a:solidFill>
                        <a:ln w="25400">
                          <a:solidFill>
                            <a:srgbClr val="8064A2"/>
                          </a:solidFill>
                          <a:miter lim="800000"/>
                          <a:headEnd/>
                          <a:tailEnd/>
                        </a:ln>
                      </wps:spPr>
                      <wps:txbx>
                        <w:txbxContent>
                          <w:p w:rsidR="00753C65" w:rsidRPr="003D71F2" w:rsidRDefault="00753C65" w:rsidP="0015325C">
                            <w:pPr>
                              <w:pStyle w:val="Default"/>
                              <w:rPr>
                                <w:color w:val="FF0000"/>
                                <w:sz w:val="22"/>
                                <w:szCs w:val="22"/>
                              </w:rPr>
                            </w:pPr>
                            <w:r w:rsidRPr="00F27EEE">
                              <w:t xml:space="preserve">Zhvillimi i kompetencës digjitale </w:t>
                            </w:r>
                            <w:r>
                              <w:t>nëpërmjet</w:t>
                            </w:r>
                            <w:r w:rsidRPr="00F27EEE">
                              <w:t xml:space="preserve"> shfrytëzimit më të mirë të teknologjisë së informacionit dhe komunikimit për mësimdhënie dhe të nxënë</w:t>
                            </w:r>
                            <w:r w:rsidRPr="00061FA5">
                              <w:t>.</w:t>
                            </w:r>
                          </w:p>
                        </w:txbxContent>
                      </wps:txbx>
                      <wps:bodyPr rot="0" vert="horz" wrap="square" lIns="91440" tIns="45720" rIns="91440" bIns="45720" anchor="t" anchorCtr="0" upright="1">
                        <a:spAutoFit/>
                      </wps:bodyPr>
                    </wps:wsp>
                  </a:graphicData>
                </a:graphic>
              </wp:inline>
            </w:drawing>
          </mc:Choice>
          <mc:Fallback>
            <w:pict>
              <v:shape id="Text Box 48" o:spid="_x0000_s1066" type="#_x0000_t202" style="width:468pt;height:3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" fillcolor="#ebf1de" strokecolor="#8064a2" strokeweight="2pt">
                <v:path arrowok="t"/>
                <v:textbox style="mso-fit-shape-to-text:t">
                  <w:txbxContent>
                    <w:p w:rsidR="00753C65" w:rsidRPr="003D71F2" w:rsidRDefault="00753C65" w:rsidP="0015325C">
                      <w:pPr>
                        <w:pStyle w:val="Default"/>
                        <w:rPr>
                          <w:color w:val="FF0000"/>
                          <w:sz w:val="22"/>
                          <w:szCs w:val="22"/>
                        </w:rPr>
                      </w:pPr>
                      <w:r w:rsidRPr="00F27EEE">
                        <w:t xml:space="preserve">Zhvillimi i kompetencës digjitale </w:t>
                      </w:r>
                      <w:r>
                        <w:t>nëpërmjet</w:t>
                      </w:r>
                      <w:r w:rsidRPr="00F27EEE">
                        <w:t xml:space="preserve"> shfrytëzimit më të mirë të teknologjisë së informacionit dhe komunikimit për mësimdhënie dhe të nxënë</w:t>
                      </w:r>
                      <w:r w:rsidRPr="00061FA5">
                        <w:t>.</w:t>
                      </w:r>
                    </w:p>
                  </w:txbxContent>
                </v:textbox>
                <w10:anchorlock/>
              </v:shape>
            </w:pict>
          </mc:Fallback>
        </mc:AlternateContent>
      </w:r>
    </w:p>
    <w:p w:rsidR="006A6664" w:rsidRPr="00E97254" w:rsidRDefault="006A6664" w:rsidP="000C0250">
      <w:pPr>
        <w:spacing w:after="0"/>
        <w:jc w:val="both"/>
        <w:rPr>
          <w:color w:val="244061" w:themeColor="accent1" w:themeShade="80"/>
        </w:rPr>
      </w:pPr>
      <w:r w:rsidRPr="00E97254">
        <w:t>Teknologjia e informacionit dhe</w:t>
      </w:r>
      <w:r w:rsidR="00F2214F" w:rsidRPr="00E97254">
        <w:t xml:space="preserve"> e</w:t>
      </w:r>
      <w:r w:rsidR="00FA5606" w:rsidRPr="00FA5606">
        <w:t xml:space="preserve"> komunikimit (TIK), ku bëjnë pjesë kompjuter</w:t>
      </w:r>
      <w:r w:rsidR="00F44893">
        <w:t>a</w:t>
      </w:r>
      <w:r w:rsidR="00FA5606" w:rsidRPr="00FA5606">
        <w:t>t, tablet</w:t>
      </w:r>
      <w:r w:rsidR="00F44893">
        <w:t>a</w:t>
      </w:r>
      <w:r w:rsidR="00FA5606" w:rsidRPr="00FA5606">
        <w:t xml:space="preserve">t, telefonat SMART, tabelat interaktive dhe aksesorët </w:t>
      </w:r>
      <w:r w:rsidR="00F44893">
        <w:t xml:space="preserve">e </w:t>
      </w:r>
      <w:r w:rsidR="00FA5606" w:rsidRPr="00FA5606">
        <w:t>tjerë, mund të kenë ndikim pozitiv në përmirësimin e cilësisë së mësimdhënies, në shtimin e motivimit dhe përmirësimin e performancës së nxënësve, duke siguruar që të gjithë nxënësit të përfitojnë nivele të caktuara të kompetencës digjitale për t’iu përshtatur kërkesave të shoqërive të dijes të shekullit XXI. Në rastin e situatave të paparashikueshme siç është pandemia ose fatkeqësitë natyrore, TIK-u ofron mundësi për organizimin e mësimit në distancë, ndërkaq, në situata normale</w:t>
      </w:r>
      <w:r w:rsidR="004A79F5">
        <w:t>,</w:t>
      </w:r>
      <w:r w:rsidR="00FA5606" w:rsidRPr="00FA5606">
        <w:t xml:space="preserve"> teknologjia mund të shfrytëzohet për avancimin e procesit mësimor në shkolla.</w:t>
      </w:r>
    </w:p>
    <w:p w:rsidR="00AB775A" w:rsidRPr="00E97254" w:rsidRDefault="00AB775A" w:rsidP="000C0250">
      <w:pPr>
        <w:autoSpaceDE w:val="0"/>
        <w:autoSpaceDN w:val="0"/>
        <w:adjustRightInd w:val="0"/>
        <w:spacing w:after="0"/>
        <w:jc w:val="both"/>
        <w:rPr>
          <w:rFonts w:ascii="Times New Roman" w:hAnsi="Times New Roman" w:cs="Times New Roman"/>
        </w:rPr>
      </w:pPr>
    </w:p>
    <w:p w:rsidR="00CE31A8" w:rsidRPr="00E97254" w:rsidRDefault="00FA5606" w:rsidP="000C0250">
      <w:pPr>
        <w:spacing w:after="0"/>
        <w:jc w:val="both"/>
      </w:pPr>
      <w:r w:rsidRPr="00FA5606">
        <w:rPr>
          <w:b/>
        </w:rPr>
        <w:t xml:space="preserve">Sfidat kryesore </w:t>
      </w:r>
      <w:r w:rsidRPr="00FA5606">
        <w:t>për këtë objektiv specifik</w:t>
      </w:r>
      <w:r w:rsidRPr="00FA5606">
        <w:rPr>
          <w:b/>
        </w:rPr>
        <w:t xml:space="preserve"> </w:t>
      </w:r>
      <w:r w:rsidRPr="00FA5606">
        <w:t xml:space="preserve">dalin nga </w:t>
      </w:r>
      <w:r w:rsidR="00DC4C19">
        <w:t xml:space="preserve">analiza e situatës </w:t>
      </w:r>
      <w:r w:rsidRPr="00FA5606">
        <w:t>e dhënë në seksionin 4.3.4:</w:t>
      </w:r>
    </w:p>
    <w:p w:rsidR="00A30070" w:rsidRPr="00E97254" w:rsidRDefault="00FA5606" w:rsidP="000C0250">
      <w:pPr>
        <w:pStyle w:val="Default"/>
        <w:numPr>
          <w:ilvl w:val="0"/>
          <w:numId w:val="17"/>
        </w:numPr>
        <w:spacing w:line="276" w:lineRule="auto"/>
        <w:jc w:val="both"/>
        <w:rPr>
          <w:sz w:val="22"/>
          <w:szCs w:val="22"/>
          <w:lang w:val="sq-AL"/>
        </w:rPr>
      </w:pPr>
      <w:r w:rsidRPr="00FA5606">
        <w:rPr>
          <w:rFonts w:eastAsia="Calibri"/>
          <w:color w:val="auto"/>
          <w:spacing w:val="1"/>
          <w:sz w:val="22"/>
          <w:szCs w:val="22"/>
          <w:lang w:val="sq-AL"/>
        </w:rPr>
        <w:t xml:space="preserve">Numër i pamjaftueshëm i pajisjeve të TIK-ut në shkolla. </w:t>
      </w:r>
      <w:r w:rsidRPr="00FA5606">
        <w:rPr>
          <w:sz w:val="22"/>
          <w:szCs w:val="22"/>
          <w:lang w:val="sq-AL"/>
        </w:rPr>
        <w:t xml:space="preserve">Në vitin 2017, në shkollat e nivelit parauniversitar raporti kompjuter-nxënës ka qenë 1:27 që është larg nga standardet e vendeve të BE ku 1 kompjuter është në dispozicion për 3-7 nxënës. </w:t>
      </w:r>
    </w:p>
    <w:p w:rsidR="00A30070" w:rsidRPr="00E97254" w:rsidRDefault="00FA5606" w:rsidP="000C0250">
      <w:pPr>
        <w:pStyle w:val="Default"/>
        <w:numPr>
          <w:ilvl w:val="0"/>
          <w:numId w:val="17"/>
        </w:numPr>
        <w:spacing w:line="276" w:lineRule="auto"/>
        <w:jc w:val="both"/>
        <w:rPr>
          <w:rFonts w:eastAsia="Calibri"/>
          <w:color w:val="auto"/>
          <w:spacing w:val="1"/>
          <w:sz w:val="22"/>
          <w:szCs w:val="22"/>
          <w:lang w:val="sq-AL"/>
        </w:rPr>
      </w:pPr>
      <w:r w:rsidRPr="00FA5606">
        <w:rPr>
          <w:rFonts w:eastAsia="Calibri"/>
          <w:color w:val="auto"/>
          <w:spacing w:val="1"/>
          <w:sz w:val="22"/>
          <w:szCs w:val="22"/>
          <w:lang w:val="sq-AL"/>
        </w:rPr>
        <w:t xml:space="preserve">Konektiviteti/Shpejtësia e internetit në shkollë. Çdo shkollë ka lidhje të dedikuar broadband, por kjo është vetëm në ambientet e laboratorëve kompjuterikë. Shërbimet e lidhjes me internetin në shkolla nuk janë pjesë e shërbimeve publike kombëtare, por në fakt drejtohen nga shoqëri private. Për më tepër, cilësia e shërbimeve dhe infrastrukturave të rrjetit nuk garantohet nga udhëzimet kombëtare, as nuk matet. </w:t>
      </w:r>
      <w:sdt>
        <w:sdtPr>
          <w:rPr>
            <w:rFonts w:eastAsia="Calibri"/>
            <w:color w:val="auto"/>
            <w:spacing w:val="1"/>
            <w:sz w:val="22"/>
            <w:szCs w:val="22"/>
            <w:lang w:val="sq-AL"/>
          </w:rPr>
          <w:id w:val="1643392095"/>
          <w:citation/>
        </w:sdtPr>
        <w:sdtEndPr/>
        <w:sdtContent>
          <w:r w:rsidR="00EC56B7" w:rsidRPr="00FA5606">
            <w:rPr>
              <w:rFonts w:eastAsia="Calibri"/>
              <w:color w:val="auto"/>
              <w:spacing w:val="1"/>
              <w:sz w:val="22"/>
              <w:szCs w:val="22"/>
              <w:lang w:val="sq-AL"/>
            </w:rPr>
            <w:fldChar w:fldCharType="begin"/>
          </w:r>
          <w:r w:rsidRPr="00FA5606">
            <w:rPr>
              <w:rFonts w:eastAsia="Calibri"/>
              <w:color w:val="auto"/>
              <w:spacing w:val="1"/>
              <w:sz w:val="22"/>
              <w:szCs w:val="22"/>
              <w:lang w:val="sq-AL"/>
            </w:rPr>
            <w:instrText xml:space="preserve"> CITATION UNE17 \l 1033 </w:instrText>
          </w:r>
          <w:r w:rsidR="00EC56B7" w:rsidRPr="00FA5606">
            <w:rPr>
              <w:rFonts w:eastAsia="Calibri"/>
              <w:color w:val="auto"/>
              <w:spacing w:val="1"/>
              <w:sz w:val="22"/>
              <w:szCs w:val="22"/>
              <w:lang w:val="sq-AL"/>
            </w:rPr>
            <w:fldChar w:fldCharType="separate"/>
          </w:r>
          <w:r w:rsidRPr="00FA5606">
            <w:rPr>
              <w:rFonts w:eastAsia="Calibri"/>
              <w:color w:val="auto"/>
              <w:spacing w:val="1"/>
              <w:sz w:val="22"/>
              <w:szCs w:val="22"/>
              <w:lang w:val="sq-AL"/>
            </w:rPr>
            <w:t>[58]</w:t>
          </w:r>
          <w:r w:rsidR="00EC56B7" w:rsidRPr="00FA5606">
            <w:rPr>
              <w:rFonts w:eastAsia="Calibri"/>
              <w:color w:val="auto"/>
              <w:spacing w:val="1"/>
              <w:sz w:val="22"/>
              <w:szCs w:val="22"/>
              <w:lang w:val="sq-AL"/>
            </w:rPr>
            <w:fldChar w:fldCharType="end"/>
          </w:r>
        </w:sdtContent>
      </w:sdt>
    </w:p>
    <w:p w:rsidR="00A30070" w:rsidRPr="00E97254" w:rsidRDefault="00FA5606" w:rsidP="000C0250">
      <w:pPr>
        <w:pStyle w:val="Footer"/>
        <w:numPr>
          <w:ilvl w:val="0"/>
          <w:numId w:val="3"/>
        </w:numPr>
        <w:spacing w:line="276" w:lineRule="auto"/>
        <w:jc w:val="both"/>
        <w:rPr>
          <w:rFonts w:eastAsia="Calibri"/>
          <w:spacing w:val="1"/>
        </w:rPr>
      </w:pPr>
      <w:r w:rsidRPr="00FA5606">
        <w:rPr>
          <w:rFonts w:eastAsia="Calibri"/>
          <w:spacing w:val="1"/>
        </w:rPr>
        <w:t xml:space="preserve">Aksesimi i kufizuar në pajisje të TIK-ut dhe Internet brenda laboratorëve të specializuar në shkolla. </w:t>
      </w:r>
      <w:r w:rsidRPr="00FA5606">
        <w:rPr>
          <w:rFonts w:ascii="Calibri" w:hAnsi="Calibri" w:cs="Calibri"/>
        </w:rPr>
        <w:t>Mundësitë për shfrytëzimin e pajisjeve brenda klasave janë shumë të kufizuara, pasi mungojnë projektorët, rrjeti wireless dhe aksesorët e tjerë të dedikuar për këtë qëllim.</w:t>
      </w:r>
    </w:p>
    <w:p w:rsidR="00A30070" w:rsidRPr="00E97254" w:rsidRDefault="00FA5606" w:rsidP="000C0250">
      <w:pPr>
        <w:pStyle w:val="Default"/>
        <w:numPr>
          <w:ilvl w:val="0"/>
          <w:numId w:val="17"/>
        </w:numPr>
        <w:spacing w:line="276" w:lineRule="auto"/>
        <w:jc w:val="both"/>
        <w:rPr>
          <w:rFonts w:eastAsia="Calibri"/>
          <w:color w:val="auto"/>
          <w:spacing w:val="1"/>
          <w:sz w:val="22"/>
          <w:szCs w:val="22"/>
          <w:lang w:val="sq-AL"/>
        </w:rPr>
      </w:pPr>
      <w:r w:rsidRPr="00FA5606">
        <w:rPr>
          <w:rFonts w:eastAsia="Calibri"/>
          <w:color w:val="auto"/>
          <w:spacing w:val="1"/>
          <w:sz w:val="22"/>
          <w:szCs w:val="22"/>
          <w:lang w:val="sq-AL"/>
        </w:rPr>
        <w:lastRenderedPageBreak/>
        <w:t xml:space="preserve">Mungesë e mirëmbajtjes së pajisjeve të TIK-ut. Nga shkollat e arsimit bazë publik raportohen 15,731 kompjuterë personalë, nga të cilët 11,331 janë funksionalë, ndërsa 4,400 janë jofunksionalë. Shkollat raportojnë 1,631 laptopë, nga të cilët 432 janë jashtë funksionit </w:t>
      </w:r>
      <w:sdt>
        <w:sdtPr>
          <w:rPr>
            <w:rFonts w:eastAsia="Calibri"/>
            <w:color w:val="auto"/>
            <w:spacing w:val="1"/>
            <w:sz w:val="22"/>
            <w:szCs w:val="22"/>
            <w:lang w:val="sq-AL"/>
          </w:rPr>
          <w:id w:val="785853269"/>
          <w:citation/>
        </w:sdtPr>
        <w:sdtEndPr/>
        <w:sdtContent>
          <w:r w:rsidR="00EC56B7" w:rsidRPr="00FA5606">
            <w:rPr>
              <w:rFonts w:eastAsia="Calibri"/>
              <w:color w:val="auto"/>
              <w:spacing w:val="1"/>
              <w:sz w:val="22"/>
              <w:szCs w:val="22"/>
              <w:lang w:val="sq-AL"/>
            </w:rPr>
            <w:fldChar w:fldCharType="begin"/>
          </w:r>
          <w:r w:rsidRPr="00FA5606">
            <w:rPr>
              <w:rFonts w:eastAsia="Calibri"/>
              <w:color w:val="auto"/>
              <w:spacing w:val="1"/>
              <w:sz w:val="22"/>
              <w:szCs w:val="22"/>
              <w:lang w:val="sq-AL"/>
            </w:rPr>
            <w:instrText xml:space="preserve"> CITATION Kës151 \l 1033 </w:instrText>
          </w:r>
          <w:r w:rsidR="00EC56B7" w:rsidRPr="00FA5606">
            <w:rPr>
              <w:rFonts w:eastAsia="Calibri"/>
              <w:color w:val="auto"/>
              <w:spacing w:val="1"/>
              <w:sz w:val="22"/>
              <w:szCs w:val="22"/>
              <w:lang w:val="sq-AL"/>
            </w:rPr>
            <w:fldChar w:fldCharType="separate"/>
          </w:r>
          <w:r w:rsidRPr="00FA5606">
            <w:rPr>
              <w:rFonts w:eastAsia="Calibri"/>
              <w:color w:val="auto"/>
              <w:spacing w:val="1"/>
              <w:sz w:val="22"/>
              <w:szCs w:val="22"/>
              <w:lang w:val="sq-AL"/>
            </w:rPr>
            <w:t>[16]</w:t>
          </w:r>
          <w:r w:rsidR="00EC56B7" w:rsidRPr="00FA5606">
            <w:rPr>
              <w:rFonts w:eastAsia="Calibri"/>
              <w:color w:val="auto"/>
              <w:spacing w:val="1"/>
              <w:sz w:val="22"/>
              <w:szCs w:val="22"/>
              <w:lang w:val="sq-AL"/>
            </w:rPr>
            <w:fldChar w:fldCharType="end"/>
          </w:r>
        </w:sdtContent>
      </w:sdt>
      <w:r w:rsidRPr="00FA5606">
        <w:rPr>
          <w:rFonts w:eastAsia="Calibri"/>
          <w:color w:val="auto"/>
          <w:spacing w:val="1"/>
          <w:sz w:val="22"/>
          <w:szCs w:val="22"/>
          <w:lang w:val="sq-AL"/>
        </w:rPr>
        <w:t>.</w:t>
      </w:r>
    </w:p>
    <w:p w:rsidR="00A30070" w:rsidRPr="00E97254" w:rsidRDefault="00FA5606" w:rsidP="000C0250">
      <w:pPr>
        <w:pStyle w:val="Default"/>
        <w:numPr>
          <w:ilvl w:val="0"/>
          <w:numId w:val="17"/>
        </w:numPr>
        <w:spacing w:line="276" w:lineRule="auto"/>
        <w:jc w:val="both"/>
        <w:rPr>
          <w:rFonts w:eastAsia="Calibri"/>
          <w:color w:val="auto"/>
          <w:spacing w:val="1"/>
          <w:sz w:val="22"/>
          <w:szCs w:val="22"/>
          <w:lang w:val="sq-AL"/>
        </w:rPr>
      </w:pPr>
      <w:r w:rsidRPr="00FA5606">
        <w:rPr>
          <w:rFonts w:eastAsia="Calibri"/>
          <w:color w:val="auto"/>
          <w:spacing w:val="1"/>
          <w:sz w:val="22"/>
          <w:szCs w:val="22"/>
          <w:lang w:val="sq-AL"/>
        </w:rPr>
        <w:t>Përgatitja e pamjaftueshme e mësuesve për të integruar TIK-un në mësimdhënie. Rezultati i U-Report nga seksioni 4.2 tregon se 49% e të rinjve të anketuar konsiderojnë se përgatitja e mësuesve për shfrytëzimin e TIK-ut duhet të trajtohet me përparësi.</w:t>
      </w:r>
    </w:p>
    <w:p w:rsidR="00A30070" w:rsidRPr="00E97254" w:rsidRDefault="00FA5606" w:rsidP="000C0250">
      <w:pPr>
        <w:pStyle w:val="Default"/>
        <w:numPr>
          <w:ilvl w:val="0"/>
          <w:numId w:val="17"/>
        </w:numPr>
        <w:spacing w:line="276" w:lineRule="auto"/>
        <w:jc w:val="both"/>
        <w:rPr>
          <w:rFonts w:eastAsia="Calibri"/>
          <w:color w:val="auto"/>
          <w:spacing w:val="1"/>
          <w:sz w:val="22"/>
          <w:szCs w:val="22"/>
          <w:lang w:val="sq-AL"/>
        </w:rPr>
      </w:pPr>
      <w:r w:rsidRPr="00FA5606">
        <w:rPr>
          <w:rFonts w:eastAsia="Calibri"/>
          <w:color w:val="auto"/>
          <w:spacing w:val="1"/>
          <w:sz w:val="22"/>
          <w:szCs w:val="22"/>
          <w:lang w:val="sq-AL"/>
        </w:rPr>
        <w:t xml:space="preserve">Mungesë e përmbajtjeve digjitale. Disa përmbajtje digjitale në gjuhën shqipe janë në dispozicion </w:t>
      </w:r>
      <w:r w:rsidR="00A50A43">
        <w:rPr>
          <w:rFonts w:eastAsia="Calibri"/>
          <w:color w:val="auto"/>
          <w:spacing w:val="1"/>
          <w:sz w:val="22"/>
          <w:szCs w:val="22"/>
          <w:lang w:val="sq-AL"/>
        </w:rPr>
        <w:t>nëpërmjet</w:t>
      </w:r>
      <w:r w:rsidRPr="00FA5606">
        <w:rPr>
          <w:rFonts w:eastAsia="Calibri"/>
          <w:color w:val="auto"/>
          <w:spacing w:val="1"/>
          <w:sz w:val="22"/>
          <w:szCs w:val="22"/>
          <w:lang w:val="sq-AL"/>
        </w:rPr>
        <w:t xml:space="preserve"> portaleve komerciale</w:t>
      </w:r>
      <w:r w:rsidR="004A79F5">
        <w:rPr>
          <w:rFonts w:eastAsia="Calibri"/>
          <w:color w:val="auto"/>
          <w:spacing w:val="1"/>
          <w:sz w:val="22"/>
          <w:szCs w:val="22"/>
          <w:lang w:val="sq-AL"/>
        </w:rPr>
        <w:t>.</w:t>
      </w:r>
    </w:p>
    <w:p w:rsidR="00A30070" w:rsidRPr="00E97254" w:rsidRDefault="00FA5606" w:rsidP="000C0250">
      <w:pPr>
        <w:pStyle w:val="Default"/>
        <w:numPr>
          <w:ilvl w:val="0"/>
          <w:numId w:val="17"/>
        </w:numPr>
        <w:spacing w:line="276" w:lineRule="auto"/>
        <w:jc w:val="both"/>
        <w:rPr>
          <w:rFonts w:eastAsia="Calibri"/>
          <w:color w:val="auto"/>
          <w:spacing w:val="1"/>
          <w:sz w:val="22"/>
          <w:szCs w:val="22"/>
          <w:lang w:val="sq-AL"/>
        </w:rPr>
      </w:pPr>
      <w:r w:rsidRPr="00FA5606">
        <w:rPr>
          <w:rFonts w:eastAsia="Calibri"/>
          <w:color w:val="auto"/>
          <w:spacing w:val="1"/>
          <w:sz w:val="22"/>
          <w:szCs w:val="22"/>
          <w:lang w:val="sq-AL"/>
        </w:rPr>
        <w:t>Mbrojtja e fëmijëve dhe të rinjve nga dhuna, abuzimi dhe shfrytëzimi online. Shfrytëzimi i Internetit nga ana e fëmijëve mund të ketë efekte pozitive në rezultatet e të nxënit dhe në përfshirjen sociale, por edhe mund t’i ekspozojë ndaj rreziqeve të botës virtuale.</w:t>
      </w:r>
    </w:p>
    <w:p w:rsidR="00A67933" w:rsidRPr="00E97254" w:rsidRDefault="00A67933" w:rsidP="000C0250">
      <w:pPr>
        <w:spacing w:after="0"/>
        <w:jc w:val="both"/>
        <w:rPr>
          <w:b/>
        </w:rPr>
      </w:pPr>
    </w:p>
    <w:p w:rsidR="00CE31A8" w:rsidRPr="00E97254" w:rsidRDefault="00FA5606" w:rsidP="000C0250">
      <w:pPr>
        <w:spacing w:after="0"/>
        <w:jc w:val="both"/>
      </w:pPr>
      <w:r w:rsidRPr="00FA5606">
        <w:rPr>
          <w:b/>
        </w:rPr>
        <w:t>Produktet/Rezultatet e pritshme</w:t>
      </w:r>
      <w:r w:rsidRPr="00FA5606">
        <w:t xml:space="preserve"> </w:t>
      </w:r>
      <w:r w:rsidRPr="00FA5606">
        <w:rPr>
          <w:b/>
        </w:rPr>
        <w:t>dhe masat.</w:t>
      </w:r>
      <w:r w:rsidRPr="00FA5606">
        <w:rPr>
          <w:b/>
        </w:rPr>
        <w:softHyphen/>
      </w:r>
      <w:r w:rsidRPr="00FA5606">
        <w:t>- Në vijim janë dhënë produktet dhe masat e ndërlidhura me objektivin specifik A4.</w:t>
      </w:r>
    </w:p>
    <w:p w:rsidR="00CE31A8" w:rsidRPr="00E97254" w:rsidRDefault="00FA5606" w:rsidP="000C0250">
      <w:pPr>
        <w:pBdr>
          <w:top w:val="nil"/>
          <w:left w:val="nil"/>
          <w:bottom w:val="nil"/>
          <w:right w:val="nil"/>
          <w:between w:val="nil"/>
        </w:pBdr>
        <w:spacing w:after="0"/>
        <w:jc w:val="both"/>
      </w:pPr>
      <w:r w:rsidRPr="00FA5606">
        <w:rPr>
          <w:u w:val="single"/>
        </w:rPr>
        <w:t>Produkti A4.1</w:t>
      </w:r>
      <w:r w:rsidRPr="00FA5606">
        <w:t>. Krijimi i infrastrukturës së përshtatshme për shfrytëzimin e TIK-ut në shkolla dhe mirëmbajtja e saj</w:t>
      </w:r>
      <w:r w:rsidR="004A79F5">
        <w:t>.</w:t>
      </w:r>
    </w:p>
    <w:p w:rsidR="00CE31A8" w:rsidRPr="00E97254" w:rsidRDefault="00FA5606" w:rsidP="000C0250">
      <w:pPr>
        <w:pBdr>
          <w:top w:val="nil"/>
          <w:left w:val="nil"/>
          <w:bottom w:val="nil"/>
          <w:right w:val="nil"/>
          <w:between w:val="nil"/>
        </w:pBdr>
        <w:spacing w:after="0"/>
        <w:jc w:val="both"/>
      </w:pPr>
      <w:r w:rsidRPr="00FA5606">
        <w:t xml:space="preserve">A4.1.1. Përcaktimi i standardeve për pajisjet e TIK-ut në shkolla. </w:t>
      </w:r>
      <w:r w:rsidRPr="00FA5606">
        <w:rPr>
          <w:i/>
        </w:rPr>
        <w:t xml:space="preserve">Shqipëria do të vazhdojë të investojë në pajisje digjitale dhe </w:t>
      </w:r>
      <w:r w:rsidR="004A79F5">
        <w:rPr>
          <w:i/>
        </w:rPr>
        <w:t>n</w:t>
      </w:r>
      <w:r w:rsidRPr="00FA5606">
        <w:rPr>
          <w:i/>
        </w:rPr>
        <w:t>ë</w:t>
      </w:r>
      <w:r w:rsidR="004A79F5" w:rsidRPr="004A79F5">
        <w:rPr>
          <w:i/>
        </w:rPr>
        <w:t xml:space="preserve"> </w:t>
      </w:r>
      <w:r w:rsidRPr="00FA5606">
        <w:rPr>
          <w:i/>
        </w:rPr>
        <w:t>aksesin në internet për shkollën. Me këtë rast, duhet të garantohet ekuilibr</w:t>
      </w:r>
      <w:r w:rsidR="004A79F5">
        <w:rPr>
          <w:i/>
        </w:rPr>
        <w:t>i</w:t>
      </w:r>
      <w:r w:rsidRPr="00FA5606">
        <w:rPr>
          <w:i/>
        </w:rPr>
        <w:t xml:space="preserve"> midis investimeve në lidhje me shpenzimet për pajisje</w:t>
      </w:r>
      <w:r w:rsidR="004A79F5">
        <w:rPr>
          <w:i/>
        </w:rPr>
        <w:t xml:space="preserve"> dhe</w:t>
      </w:r>
      <w:r w:rsidRPr="00FA5606">
        <w:rPr>
          <w:i/>
        </w:rPr>
        <w:t xml:space="preserve"> aksesin në internet dhe shpenzime</w:t>
      </w:r>
      <w:r w:rsidR="004A79F5">
        <w:rPr>
          <w:i/>
        </w:rPr>
        <w:t>ve</w:t>
      </w:r>
      <w:r w:rsidRPr="00FA5606">
        <w:rPr>
          <w:i/>
        </w:rPr>
        <w:t xml:space="preserve"> për mirëmbajtjen teknike. Kjo përpjekje duhet të shoqërohet nga vendosja e pajisjeve në klasa, duke rritur ndjeshëm numrin e kompjuter</w:t>
      </w:r>
      <w:r w:rsidR="004A79F5">
        <w:rPr>
          <w:i/>
        </w:rPr>
        <w:t>a</w:t>
      </w:r>
      <w:r w:rsidRPr="00FA5606">
        <w:rPr>
          <w:i/>
        </w:rPr>
        <w:t>ve tërësisht funksional</w:t>
      </w:r>
      <w:r w:rsidR="004A79F5">
        <w:rPr>
          <w:i/>
        </w:rPr>
        <w:t>e e</w:t>
      </w:r>
      <w:r w:rsidRPr="00FA5606">
        <w:rPr>
          <w:i/>
        </w:rPr>
        <w:t xml:space="preserve"> të </w:t>
      </w:r>
      <w:r w:rsidR="004A79F5">
        <w:rPr>
          <w:i/>
        </w:rPr>
        <w:t>p</w:t>
      </w:r>
      <w:r w:rsidR="004A79F5" w:rsidRPr="00CF4646">
        <w:rPr>
          <w:i/>
        </w:rPr>
        <w:t>ë</w:t>
      </w:r>
      <w:r w:rsidR="004A79F5">
        <w:rPr>
          <w:i/>
        </w:rPr>
        <w:t>rdorsh</w:t>
      </w:r>
      <w:r w:rsidR="00965850">
        <w:rPr>
          <w:i/>
        </w:rPr>
        <w:t>me</w:t>
      </w:r>
      <w:r w:rsidRPr="00FA5606">
        <w:rPr>
          <w:i/>
        </w:rPr>
        <w:t xml:space="preserve"> </w:t>
      </w:r>
      <w:r w:rsidR="004A79F5">
        <w:rPr>
          <w:i/>
        </w:rPr>
        <w:t>nga</w:t>
      </w:r>
      <w:r w:rsidRPr="00FA5606">
        <w:rPr>
          <w:i/>
        </w:rPr>
        <w:t xml:space="preserve"> nxënës</w:t>
      </w:r>
      <w:r w:rsidR="004A79F5">
        <w:rPr>
          <w:i/>
        </w:rPr>
        <w:t>it</w:t>
      </w:r>
      <w:r w:rsidRPr="00FA5606">
        <w:rPr>
          <w:i/>
        </w:rPr>
        <w:t xml:space="preserve"> </w:t>
      </w:r>
      <w:r w:rsidR="004A79F5">
        <w:rPr>
          <w:i/>
        </w:rPr>
        <w:t>n</w:t>
      </w:r>
      <w:r w:rsidR="004A79F5" w:rsidRPr="00CF4646">
        <w:rPr>
          <w:i/>
        </w:rPr>
        <w:t>ë</w:t>
      </w:r>
      <w:r w:rsidRPr="00FA5606">
        <w:rPr>
          <w:i/>
        </w:rPr>
        <w:t xml:space="preserve"> shkoll</w:t>
      </w:r>
      <w:r w:rsidR="004A79F5">
        <w:rPr>
          <w:i/>
        </w:rPr>
        <w:t>a</w:t>
      </w:r>
      <w:r w:rsidRPr="00FA5606">
        <w:rPr>
          <w:i/>
        </w:rPr>
        <w:t>. Do të përcaktohen standarde në lidhje me numrin e nxënësve dhe mësuesve për kompjuter, numrin e kompjuter</w:t>
      </w:r>
      <w:r w:rsidR="004A79F5">
        <w:rPr>
          <w:i/>
        </w:rPr>
        <w:t>a</w:t>
      </w:r>
      <w:r w:rsidRPr="00FA5606">
        <w:rPr>
          <w:i/>
        </w:rPr>
        <w:t xml:space="preserve">ve të lidhur me internetin dhe shpejtësinë e lidhjes, mirëmbajtjen teknike të pajisjeve, etj. Standardet do të përfshijnë edhe parametrat e sigurisë, softuerin që përdoret në shkolla, si dhe aksesibilitetin, në mënyrë që edhe fëmijët me aftësi të kufizuara të kenë akses në infrastrukturën e TIK-ut. </w:t>
      </w:r>
    </w:p>
    <w:p w:rsidR="00CE31A8" w:rsidRPr="00E97254" w:rsidRDefault="00FA5606" w:rsidP="000C0250">
      <w:pPr>
        <w:pBdr>
          <w:top w:val="nil"/>
          <w:left w:val="nil"/>
          <w:bottom w:val="nil"/>
          <w:right w:val="nil"/>
          <w:between w:val="nil"/>
        </w:pBdr>
        <w:spacing w:after="0"/>
        <w:jc w:val="both"/>
        <w:rPr>
          <w:i/>
        </w:rPr>
      </w:pPr>
      <w:r w:rsidRPr="00FA5606">
        <w:t xml:space="preserve">A4.1.2. Instalimi i rrjeteve wireless në shkolla </w:t>
      </w:r>
      <w:r w:rsidRPr="00FA5606">
        <w:rPr>
          <w:i/>
        </w:rPr>
        <w:t>do të jetë në funksion të shfrytëzimit të pajisjeve nga nxënësit dhe mësuesit. Rrjete</w:t>
      </w:r>
      <w:r w:rsidR="004A79F5">
        <w:rPr>
          <w:i/>
        </w:rPr>
        <w:t xml:space="preserve"> t</w:t>
      </w:r>
      <w:r w:rsidR="004A79F5" w:rsidRPr="004A79F5">
        <w:rPr>
          <w:i/>
        </w:rPr>
        <w:t>ë</w:t>
      </w:r>
      <w:r w:rsidRPr="00FA5606">
        <w:rPr>
          <w:i/>
        </w:rPr>
        <w:t xml:space="preserve"> tilla duhet të sigurojnë mbulueshmëri të klasave, bibliotekave, laboratorëve dhe hapësirave të tjera ku zhvillohet mësimi.</w:t>
      </w:r>
    </w:p>
    <w:p w:rsidR="00CE31A8" w:rsidRPr="00E97254" w:rsidRDefault="00FA5606" w:rsidP="000C0250">
      <w:pPr>
        <w:pBdr>
          <w:top w:val="nil"/>
          <w:left w:val="nil"/>
          <w:bottom w:val="nil"/>
          <w:right w:val="nil"/>
          <w:between w:val="nil"/>
        </w:pBdr>
        <w:spacing w:after="0"/>
        <w:jc w:val="both"/>
        <w:rPr>
          <w:i/>
        </w:rPr>
      </w:pPr>
      <w:r w:rsidRPr="00FA5606">
        <w:t xml:space="preserve">A4.1.3. Investim për shtimin e pajisjeve digjitale në shkolla. </w:t>
      </w:r>
      <w:r w:rsidRPr="00FA5606">
        <w:rPr>
          <w:i/>
        </w:rPr>
        <w:t>Duke u nisur nga standardet për pajisjet e TIK-ut në shkolla</w:t>
      </w:r>
      <w:r w:rsidR="004A79F5">
        <w:rPr>
          <w:i/>
        </w:rPr>
        <w:t>,</w:t>
      </w:r>
      <w:r w:rsidRPr="00FA5606">
        <w:rPr>
          <w:i/>
        </w:rPr>
        <w:t xml:space="preserve"> do të hartohet një plan për shtimin e pajisjeve digjitale në shkolla, përfshirë kompjuterët, projektorët, tabelat interaktive, rrjetet wireless, dhe aksesorët e ndryshëm. </w:t>
      </w:r>
    </w:p>
    <w:p w:rsidR="00CE31A8" w:rsidRPr="00E97254" w:rsidRDefault="00FA5606" w:rsidP="000C0250">
      <w:pPr>
        <w:spacing w:after="0"/>
        <w:jc w:val="both"/>
        <w:rPr>
          <w:i/>
        </w:rPr>
      </w:pPr>
      <w:r w:rsidRPr="00FA5606">
        <w:t xml:space="preserve">A4.1.4. Mirëmbajtja teknike e pajisjeve të TIK-ut </w:t>
      </w:r>
      <w:r w:rsidR="00A50A43">
        <w:t>nëpërmjet</w:t>
      </w:r>
      <w:r w:rsidRPr="00FA5606">
        <w:t xml:space="preserve"> klubeve t</w:t>
      </w:r>
      <w:r w:rsidR="004A79F5" w:rsidRPr="00CF4646">
        <w:t>ë</w:t>
      </w:r>
      <w:r w:rsidRPr="00FA5606">
        <w:t xml:space="preserve"> nxënësve dhe strukturës arsimore lokale. </w:t>
      </w:r>
      <w:r w:rsidRPr="00FA5606">
        <w:rPr>
          <w:i/>
        </w:rPr>
        <w:t>Në shkolla do të krijohen klube të nxënësve, të cil</w:t>
      </w:r>
      <w:r w:rsidR="00E94645" w:rsidRPr="00CF4646">
        <w:rPr>
          <w:i/>
        </w:rPr>
        <w:t>ë</w:t>
      </w:r>
      <w:r w:rsidRPr="00FA5606">
        <w:rPr>
          <w:i/>
        </w:rPr>
        <w:t>t, bashkë me mësuesit e informatikës, do të përkujdesen për mirëmbajtjen elementare teknike të pajisjeve të TIK-ut, përfshirë instalimin dhe përditësimin e softuerit, konfigurimin e pajisjeve, si dhe evitimin e defekteve të vogla. Do të hartohen udhëzues të veçantë për këto klube dhe do të mbahen trajnime për mësuesit drejtues të klubeve. Po ashtu, do të krijohen njësi të specializuara të mirëmbajtjes pranë strukturave arsimore lokale.</w:t>
      </w:r>
      <w:r w:rsidR="00E94645">
        <w:rPr>
          <w:i/>
        </w:rPr>
        <w:t xml:space="preserve"> </w:t>
      </w:r>
    </w:p>
    <w:p w:rsidR="00E041FC" w:rsidRPr="00E97254" w:rsidRDefault="00FA5606" w:rsidP="000C0250">
      <w:pPr>
        <w:spacing w:after="0"/>
        <w:jc w:val="both"/>
        <w:rPr>
          <w:i/>
        </w:rPr>
      </w:pPr>
      <w:r w:rsidRPr="00FA5606">
        <w:t xml:space="preserve">A4.1.5. Zhvillimi i politikave të përdorimit të TIK-ut në nivel shkolle. </w:t>
      </w:r>
      <w:r w:rsidRPr="00FA5606">
        <w:rPr>
          <w:i/>
        </w:rPr>
        <w:t>MASR</w:t>
      </w:r>
      <w:r w:rsidR="00E94645">
        <w:rPr>
          <w:i/>
        </w:rPr>
        <w:t>-ja</w:t>
      </w:r>
      <w:r w:rsidRPr="00FA5606">
        <w:rPr>
          <w:i/>
        </w:rPr>
        <w:t>, në bashkëpunim me AKSHI</w:t>
      </w:r>
      <w:r w:rsidR="00E94645">
        <w:rPr>
          <w:i/>
        </w:rPr>
        <w:t>-n</w:t>
      </w:r>
      <w:r w:rsidR="00E94645" w:rsidRPr="00CF4646">
        <w:rPr>
          <w:i/>
        </w:rPr>
        <w:t>ë</w:t>
      </w:r>
      <w:r w:rsidRPr="00FA5606">
        <w:rPr>
          <w:i/>
        </w:rPr>
        <w:t xml:space="preserve">, do të hartojë një politikë për përdorimin i teknologjisë në nivel shkolle, e cila rregullon sigurimin dhe mirëmbajtjen e pajisjeve dhe infrastrukturës së TIK-ut, përdorimin e pajisjeve nga ana e personelit të </w:t>
      </w:r>
      <w:r w:rsidRPr="00FA5606">
        <w:rPr>
          <w:i/>
        </w:rPr>
        <w:lastRenderedPageBreak/>
        <w:t>shkollës dhe nxënësve, mbrojtjen e fëmijëve nga rreziqet në Internet, komunikimin elektronik, etj. Duke marrë parasysh se një numër i konsiderueshëm i nxënësve dhe mësuesve kanë pajisje personale si laptopë, tablet</w:t>
      </w:r>
      <w:r w:rsidR="00E94645">
        <w:rPr>
          <w:i/>
        </w:rPr>
        <w:t>a</w:t>
      </w:r>
      <w:r w:rsidRPr="00FA5606">
        <w:rPr>
          <w:i/>
        </w:rPr>
        <w:t xml:space="preserve"> ose telefona SMART, me politika të tilla duhet inkurajuar shfrytëzimi i tyre në mjedisin shkollor.</w:t>
      </w:r>
    </w:p>
    <w:p w:rsidR="00CE31A8" w:rsidRPr="00E97254" w:rsidRDefault="00CE31A8" w:rsidP="000C0250">
      <w:pPr>
        <w:pBdr>
          <w:top w:val="nil"/>
          <w:left w:val="nil"/>
          <w:bottom w:val="nil"/>
          <w:right w:val="nil"/>
          <w:between w:val="nil"/>
        </w:pBdr>
        <w:spacing w:after="0"/>
        <w:jc w:val="both"/>
        <w:rPr>
          <w:u w:val="single"/>
        </w:rPr>
      </w:pPr>
    </w:p>
    <w:p w:rsidR="00CE31A8" w:rsidRPr="00E97254" w:rsidRDefault="00FA5606" w:rsidP="000C0250">
      <w:pPr>
        <w:pBdr>
          <w:top w:val="nil"/>
          <w:left w:val="nil"/>
          <w:bottom w:val="nil"/>
          <w:right w:val="nil"/>
          <w:between w:val="nil"/>
        </w:pBdr>
        <w:spacing w:after="0"/>
        <w:jc w:val="both"/>
      </w:pPr>
      <w:r w:rsidRPr="00FA5606">
        <w:rPr>
          <w:u w:val="single"/>
        </w:rPr>
        <w:t>Produkti A4.2</w:t>
      </w:r>
      <w:r w:rsidRPr="00FA5606">
        <w:t xml:space="preserve">. Zhvillimi i kompetencës digjitale </w:t>
      </w:r>
      <w:r w:rsidR="00A50A43">
        <w:t>nëpërmjet</w:t>
      </w:r>
      <w:r w:rsidRPr="00FA5606">
        <w:t xml:space="preserve"> shfrytëzimit të shtuar të TIK-ut në të gjitha lëndët</w:t>
      </w:r>
      <w:r w:rsidR="00E94645">
        <w:t>.</w:t>
      </w:r>
    </w:p>
    <w:p w:rsidR="00CE31A8" w:rsidRPr="00E97254" w:rsidRDefault="00FA5606" w:rsidP="000C0250">
      <w:pPr>
        <w:spacing w:after="0"/>
        <w:jc w:val="both"/>
      </w:pPr>
      <w:r w:rsidRPr="00FA5606">
        <w:t xml:space="preserve">A4.2.1. Përfshirja e kompetencës digjitale në standardet e mësuesit. </w:t>
      </w:r>
      <w:r w:rsidRPr="00FA5606">
        <w:rPr>
          <w:i/>
        </w:rPr>
        <w:t>Mësuesit luajnë rol të rëndësishëm në përdorimin e efektshëm të TIK-ut për qëllime arsimore. Formimi fillestar i mësuesve, trajnimi për mësuesit në detyrë dhe para caktimit në detyrë dhe zhvillimi profesional, të gjithë këta faktorë kontribuojnë në krijimin e kompetencave digjitale të mësuesve. Për këtë arsye, kompetenca digjitale do të përfshihet në standardet profesionale të mësuesit, të cilat shërbejnë si orientim për hartimin e programeve për formimin fillestar të mësuesve dhe zhvillimin profesional, si dhe për vlerësimin e performancës së tyre.</w:t>
      </w:r>
    </w:p>
    <w:p w:rsidR="00CE31A8" w:rsidRPr="00E97254" w:rsidRDefault="00FA5606" w:rsidP="000C0250">
      <w:pPr>
        <w:spacing w:after="0"/>
        <w:jc w:val="both"/>
      </w:pPr>
      <w:r w:rsidRPr="00FA5606">
        <w:t>A4.2.2. Pilotimi i SELFIE</w:t>
      </w:r>
      <w:r w:rsidR="00CE31A8" w:rsidRPr="00E97254">
        <w:rPr>
          <w:vertAlign w:val="superscript"/>
        </w:rPr>
        <w:footnoteReference w:id="14"/>
      </w:r>
      <w:r w:rsidR="00C62D8D" w:rsidRPr="00E97254">
        <w:t xml:space="preserve">. </w:t>
      </w:r>
      <w:r w:rsidR="00C62D8D" w:rsidRPr="00E97254">
        <w:rPr>
          <w:i/>
        </w:rPr>
        <w:t xml:space="preserve">SELFIE (Self-reflection on Effective Learning by Fostering the use of Innovative Educational Technologies), është një aplikacion i </w:t>
      </w:r>
      <w:r w:rsidRPr="00FA5606">
        <w:rPr>
          <w:i/>
        </w:rPr>
        <w:t>diz</w:t>
      </w:r>
      <w:r w:rsidR="00E94645">
        <w:rPr>
          <w:i/>
        </w:rPr>
        <w:t>e</w:t>
      </w:r>
      <w:r w:rsidRPr="00FA5606">
        <w:rPr>
          <w:i/>
        </w:rPr>
        <w:t>n</w:t>
      </w:r>
      <w:r w:rsidR="00E94645">
        <w:rPr>
          <w:i/>
        </w:rPr>
        <w:t>j</w:t>
      </w:r>
      <w:r w:rsidRPr="00FA5606">
        <w:rPr>
          <w:i/>
        </w:rPr>
        <w:t xml:space="preserve">uar për të ndihmuar shkollat në përfshirjen e teknologjive digjitale në mësimdhënie, </w:t>
      </w:r>
      <w:r w:rsidR="00E94645">
        <w:rPr>
          <w:i/>
        </w:rPr>
        <w:t>m</w:t>
      </w:r>
      <w:r w:rsidR="00E94645" w:rsidRPr="00CF4646">
        <w:rPr>
          <w:i/>
        </w:rPr>
        <w:t>ë</w:t>
      </w:r>
      <w:r w:rsidR="00E94645">
        <w:rPr>
          <w:i/>
        </w:rPr>
        <w:t>sim</w:t>
      </w:r>
      <w:r w:rsidRPr="00FA5606">
        <w:rPr>
          <w:i/>
        </w:rPr>
        <w:t>nxën</w:t>
      </w:r>
      <w:r w:rsidR="00E94645">
        <w:rPr>
          <w:i/>
        </w:rPr>
        <w:t>ie</w:t>
      </w:r>
      <w:r w:rsidRPr="00FA5606">
        <w:rPr>
          <w:i/>
        </w:rPr>
        <w:t xml:space="preserve"> dhe vlerësim. Bazuar në të dhënat e mbledhura nga sondazhi me mësues dhe nxënës, aplikacioni gjeneron një raport "SELFIE" që zbulon pikat e forta dhe të dobëta në lidhje me përdorimin e teknologjive digjitale në shkollë, duke përcaktuar rrugën për përmirësim në këtë drejtim. Meqë SELFIE është në dispozicion edhe në gjuhën shqipe do të nxitet pilotimi i aplikacionit në shkollat shqiptare. </w:t>
      </w:r>
    </w:p>
    <w:p w:rsidR="00A14C44" w:rsidRPr="00E97254" w:rsidRDefault="00FA5606" w:rsidP="000C0250">
      <w:pPr>
        <w:spacing w:after="0"/>
        <w:jc w:val="both"/>
      </w:pPr>
      <w:r w:rsidRPr="00FA5606">
        <w:t xml:space="preserve">A4.2.3. Ndërgjegjësimi i nxënësve për sigurinë në Internet. </w:t>
      </w:r>
      <w:r w:rsidR="003F1AEA">
        <w:rPr>
          <w:i/>
        </w:rPr>
        <w:t>P</w:t>
      </w:r>
      <w:r w:rsidRPr="00FA5606">
        <w:rPr>
          <w:rFonts w:cstheme="minorHAnsi"/>
          <w:i/>
        </w:rPr>
        <w:t>ër</w:t>
      </w:r>
      <w:r w:rsidRPr="00FA5606">
        <w:rPr>
          <w:i/>
        </w:rPr>
        <w:t xml:space="preserve"> trajtimin e sfidës së përdorimit të internetit, stafet e shkollave do të trajnohen për çështjen e sigurisë së fëmijëve në internet. Po ashtu, do të hartohen materiale promovuese për sigurinë në Internet dhe do të organizohen aktivitete vetëdijesimi duke ndjekur praktikat më të mira evropiane. Ka rëndësi te veçantë të ofrohet mbështetja për mësuesit, duke përfshirë aksesin në burime, trajnime dhe seminare për t’iu mundësuar të ofrojnë udhëzime dhe mbështetje efikase ndaj nxënësve dhe prindërve mbi privatësinë, mbrojtjen e të dhënave personale dhe problemet e mbrojtjes së fëmijëve online.</w:t>
      </w:r>
    </w:p>
    <w:p w:rsidR="00CE31A8" w:rsidRPr="00E97254" w:rsidRDefault="00FA5606" w:rsidP="000C0250">
      <w:pPr>
        <w:spacing w:after="0"/>
        <w:jc w:val="both"/>
        <w:rPr>
          <w:i/>
        </w:rPr>
      </w:pPr>
      <w:r w:rsidRPr="00FA5606">
        <w:t xml:space="preserve">A4.2.4. Përcaktimi i standardeve për arritjen e kompetencës digjitale sipas formatit të Bashkimit Evropian. </w:t>
      </w:r>
      <w:r w:rsidRPr="00FA5606">
        <w:rPr>
          <w:i/>
        </w:rPr>
        <w:t>MASR</w:t>
      </w:r>
      <w:r w:rsidR="00E94645">
        <w:rPr>
          <w:i/>
        </w:rPr>
        <w:t>-ja</w:t>
      </w:r>
      <w:r w:rsidRPr="00FA5606">
        <w:rPr>
          <w:i/>
        </w:rPr>
        <w:t>, në bashkëpunim me AKSHI</w:t>
      </w:r>
      <w:r w:rsidR="00E94645">
        <w:rPr>
          <w:i/>
        </w:rPr>
        <w:t>-n</w:t>
      </w:r>
      <w:r w:rsidRPr="00FA5606">
        <w:rPr>
          <w:i/>
        </w:rPr>
        <w:t>, do t’i zhvillojë standardet për arritjen e kompetencës digjitale bazuar në Kornizën për kompetencën digjitale të BE</w:t>
      </w:r>
      <w:r w:rsidR="00E94645">
        <w:rPr>
          <w:i/>
        </w:rPr>
        <w:t>-s</w:t>
      </w:r>
      <w:r w:rsidR="00E94645" w:rsidRPr="00CF4646">
        <w:rPr>
          <w:i/>
        </w:rPr>
        <w:t>ë</w:t>
      </w:r>
      <w:r w:rsidRPr="00FA5606">
        <w:rPr>
          <w:i/>
        </w:rPr>
        <w:t xml:space="preserve"> </w:t>
      </w:r>
      <w:sdt>
        <w:sdtPr>
          <w:rPr>
            <w:i/>
          </w:rPr>
          <w:id w:val="207999202"/>
          <w:citation/>
        </w:sdtPr>
        <w:sdtEndPr/>
        <w:sdtContent>
          <w:r w:rsidR="00EC56B7" w:rsidRPr="00E97254">
            <w:rPr>
              <w:i/>
            </w:rPr>
            <w:fldChar w:fldCharType="begin"/>
          </w:r>
          <w:r w:rsidRPr="00FA5606">
            <w:rPr>
              <w:i/>
            </w:rPr>
            <w:instrText xml:space="preserve"> CITATION Car17 \l 1033 </w:instrText>
          </w:r>
          <w:r w:rsidR="00EC56B7" w:rsidRPr="00E97254">
            <w:rPr>
              <w:i/>
            </w:rPr>
            <w:fldChar w:fldCharType="separate"/>
          </w:r>
          <w:r w:rsidR="00724BCC" w:rsidRPr="00E97254">
            <w:t>[75]</w:t>
          </w:r>
          <w:r w:rsidR="00EC56B7" w:rsidRPr="00E97254">
            <w:rPr>
              <w:i/>
            </w:rPr>
            <w:fldChar w:fldCharType="end"/>
          </w:r>
        </w:sdtContent>
      </w:sdt>
      <w:r w:rsidR="00424AED" w:rsidRPr="00E97254">
        <w:t xml:space="preserve">. </w:t>
      </w:r>
      <w:r w:rsidR="00424AED" w:rsidRPr="00E97254">
        <w:rPr>
          <w:i/>
        </w:rPr>
        <w:t xml:space="preserve">Këto standarde do të jenë udhërrëfyes për shfrytëzimin e TIK-ut në </w:t>
      </w:r>
      <w:r w:rsidRPr="00FA5606">
        <w:rPr>
          <w:i/>
        </w:rPr>
        <w:t>shkolla.</w:t>
      </w:r>
    </w:p>
    <w:p w:rsidR="000856CF" w:rsidRPr="00E97254" w:rsidRDefault="00FA5606" w:rsidP="000C0250">
      <w:pPr>
        <w:spacing w:after="0"/>
        <w:jc w:val="both"/>
        <w:rPr>
          <w:i/>
        </w:rPr>
      </w:pPr>
      <w:r w:rsidRPr="00FA5606">
        <w:t xml:space="preserve">A4.2.5.Përfshirja e nxënësve të arsimit të mesëm të ulët e të lartë në programin kombëtar të kodimit, </w:t>
      </w:r>
      <w:r w:rsidRPr="00FA5606">
        <w:rPr>
          <w:i/>
        </w:rPr>
        <w:t>nëpërmjet angazhimeve tërësore për përfshirjen e tyre në qendra të specializuara në mbështetje të zhvillimit të kompetencave digjitale të kodimit për këtë grupmoshë. Shkollat do të angazhohen për pjesëmarrje aktive në EU Code Week, inisiativë e Komisionit Evropian për një përqasje të re të zhvillimit të kapaciteteve në këtë drejtim. Do të fuqizohet rrjeti eTwinning si një mundesi konkrete e përfshirjes aktive të mësuesve e nxënësve në projekte kurri</w:t>
      </w:r>
      <w:r w:rsidR="00E94645">
        <w:rPr>
          <w:i/>
        </w:rPr>
        <w:t>k</w:t>
      </w:r>
      <w:r w:rsidRPr="00FA5606">
        <w:rPr>
          <w:i/>
        </w:rPr>
        <w:t>ulare binjakëzuese të bazuara në zhvillimin e kompetencave të qëndrueshme të TIK</w:t>
      </w:r>
      <w:r w:rsidR="00E94645">
        <w:rPr>
          <w:i/>
        </w:rPr>
        <w:t>-ut</w:t>
      </w:r>
      <w:r w:rsidRPr="00FA5606">
        <w:rPr>
          <w:i/>
        </w:rPr>
        <w:t xml:space="preserve"> edhe në aspektin e kodimit.</w:t>
      </w:r>
    </w:p>
    <w:p w:rsidR="00CE31A8" w:rsidRPr="00E97254" w:rsidRDefault="00CE31A8" w:rsidP="000C0250">
      <w:pPr>
        <w:pBdr>
          <w:top w:val="nil"/>
          <w:left w:val="nil"/>
          <w:bottom w:val="nil"/>
          <w:right w:val="nil"/>
          <w:between w:val="nil"/>
        </w:pBdr>
        <w:spacing w:after="0"/>
        <w:jc w:val="both"/>
      </w:pPr>
    </w:p>
    <w:p w:rsidR="00CE31A8" w:rsidRPr="00E97254" w:rsidRDefault="00FA5606" w:rsidP="000C0250">
      <w:pPr>
        <w:pBdr>
          <w:top w:val="nil"/>
          <w:left w:val="nil"/>
          <w:bottom w:val="nil"/>
          <w:right w:val="nil"/>
          <w:between w:val="nil"/>
        </w:pBdr>
        <w:spacing w:after="0"/>
        <w:jc w:val="both"/>
      </w:pPr>
      <w:r w:rsidRPr="00FA5606">
        <w:rPr>
          <w:u w:val="single"/>
        </w:rPr>
        <w:t>Produkti A4.3</w:t>
      </w:r>
      <w:r w:rsidRPr="00FA5606">
        <w:t>. Ofrimi i shërbimeve cilësore të TIK-ut për sistemin e arsimit parauniversitar</w:t>
      </w:r>
    </w:p>
    <w:p w:rsidR="00CE31A8" w:rsidRPr="00E97254" w:rsidRDefault="00FA5606" w:rsidP="000C0250">
      <w:pPr>
        <w:spacing w:after="0"/>
        <w:jc w:val="both"/>
      </w:pPr>
      <w:r w:rsidRPr="00FA5606">
        <w:t xml:space="preserve">A4.3.1. Kontraktimi shërbimit të internetit për shkollat. </w:t>
      </w:r>
      <w:r w:rsidRPr="00FA5606">
        <w:rPr>
          <w:i/>
        </w:rPr>
        <w:t xml:space="preserve">Godinat shkollore duhet të kenë qasje në Internet broadband, </w:t>
      </w:r>
      <w:r w:rsidR="003F1AEA">
        <w:rPr>
          <w:i/>
        </w:rPr>
        <w:t>p</w:t>
      </w:r>
      <w:r w:rsidR="003F1AEA" w:rsidRPr="00CF4646">
        <w:rPr>
          <w:i/>
        </w:rPr>
        <w:t>ë</w:t>
      </w:r>
      <w:r w:rsidR="003F1AEA">
        <w:rPr>
          <w:i/>
        </w:rPr>
        <w:t>r</w:t>
      </w:r>
      <w:r w:rsidRPr="00FA5606">
        <w:rPr>
          <w:i/>
        </w:rPr>
        <w:t xml:space="preserve"> shfrytëzimi</w:t>
      </w:r>
      <w:r w:rsidR="003F1AEA">
        <w:rPr>
          <w:i/>
        </w:rPr>
        <w:t>n</w:t>
      </w:r>
      <w:r w:rsidRPr="00FA5606">
        <w:rPr>
          <w:i/>
        </w:rPr>
        <w:t xml:space="preserve"> efektiv të burimeve nga Interneti. Investimet për lidhje cilësore me internetin në shkolla në zona të thella, janë të kushtueshme, megjithatë, janë shpenzime të nevojshme për të siguruar shfrytëzimin e TIK-ut në shkolla.</w:t>
      </w:r>
    </w:p>
    <w:p w:rsidR="00A41EE1" w:rsidRPr="00E97254" w:rsidRDefault="00FA5606" w:rsidP="000C0250">
      <w:pPr>
        <w:pBdr>
          <w:top w:val="nil"/>
          <w:left w:val="nil"/>
          <w:bottom w:val="nil"/>
          <w:right w:val="nil"/>
          <w:between w:val="nil"/>
        </w:pBdr>
        <w:spacing w:after="0"/>
        <w:jc w:val="both"/>
        <w:rPr>
          <w:i/>
        </w:rPr>
      </w:pPr>
      <w:r w:rsidRPr="00FA5606">
        <w:t xml:space="preserve">A4.3.2. Hartimi i metodologjisë për mësimin online. </w:t>
      </w:r>
      <w:r w:rsidRPr="00FA5606">
        <w:rPr>
          <w:i/>
        </w:rPr>
        <w:t>ASCAP</w:t>
      </w:r>
      <w:r w:rsidR="00E94645">
        <w:rPr>
          <w:i/>
        </w:rPr>
        <w:t>-i</w:t>
      </w:r>
      <w:r w:rsidRPr="00FA5606">
        <w:rPr>
          <w:i/>
        </w:rPr>
        <w:t xml:space="preserve"> do të hartojë metodologjinë për zhvillimin e mësimit online, si në kushte normale, ashtu edhe në raste të emergjencave. Përparësi do të ketë qasja e</w:t>
      </w:r>
      <w:r w:rsidR="006429F1">
        <w:rPr>
          <w:i/>
        </w:rPr>
        <w:t xml:space="preserve"> </w:t>
      </w:r>
      <w:r w:rsidR="00D963DF">
        <w:rPr>
          <w:i/>
        </w:rPr>
        <w:t>nx</w:t>
      </w:r>
      <w:r w:rsidR="00D963DF" w:rsidRPr="00C36C5E">
        <w:t>ë</w:t>
      </w:r>
      <w:r w:rsidR="00D963DF">
        <w:t>nit</w:t>
      </w:r>
      <w:r w:rsidR="006429F1">
        <w:rPr>
          <w:i/>
        </w:rPr>
        <w:t xml:space="preserve"> t</w:t>
      </w:r>
      <w:r w:rsidR="006429F1" w:rsidRPr="0087696E">
        <w:rPr>
          <w:i/>
        </w:rPr>
        <w:t>ë</w:t>
      </w:r>
      <w:r w:rsidRPr="00FA5606">
        <w:rPr>
          <w:i/>
        </w:rPr>
        <w:t xml:space="preserve"> kombinuar, por sistemi duhet të jetë i përgatitur edhe për të ofruar mësim të plotë online në situatat e jashtëzakonshme siç janë: pandemitë, fatkeqësitë natyrore, e të ngjashme. </w:t>
      </w:r>
    </w:p>
    <w:p w:rsidR="00CE31A8" w:rsidRPr="00E97254" w:rsidRDefault="00FA5606" w:rsidP="000C0250">
      <w:pPr>
        <w:pBdr>
          <w:top w:val="nil"/>
          <w:left w:val="nil"/>
          <w:bottom w:val="nil"/>
          <w:right w:val="nil"/>
          <w:between w:val="nil"/>
        </w:pBdr>
        <w:spacing w:after="0"/>
        <w:jc w:val="both"/>
        <w:rPr>
          <w:i/>
        </w:rPr>
      </w:pPr>
      <w:r w:rsidRPr="00FA5606">
        <w:rPr>
          <w:b/>
        </w:rPr>
        <w:t>Treguesit</w:t>
      </w:r>
    </w:p>
    <w:p w:rsidR="00BA2D59" w:rsidRPr="00E97254" w:rsidRDefault="00FA5606" w:rsidP="000C0250">
      <w:pPr>
        <w:numPr>
          <w:ilvl w:val="0"/>
          <w:numId w:val="30"/>
        </w:numPr>
        <w:pBdr>
          <w:top w:val="nil"/>
          <w:left w:val="nil"/>
          <w:bottom w:val="nil"/>
          <w:right w:val="nil"/>
          <w:between w:val="nil"/>
        </w:pBdr>
        <w:spacing w:after="0"/>
        <w:jc w:val="both"/>
      </w:pPr>
      <w:r w:rsidRPr="00FA5606">
        <w:t>Përqindja e shkollave që kanë akses në: (a) energji elektrike; (b) internet për qëllime pedagogjike; dhe (c) kompjuter</w:t>
      </w:r>
      <w:r w:rsidR="00E94645">
        <w:t>a</w:t>
      </w:r>
      <w:r w:rsidRPr="00FA5606">
        <w:t xml:space="preserve"> për qëllime pedagogjike (</w:t>
      </w:r>
      <w:r w:rsidR="00A50A43">
        <w:t>OZHQ</w:t>
      </w:r>
      <w:r w:rsidR="00965850">
        <w:t xml:space="preserve"> </w:t>
      </w:r>
      <w:r w:rsidRPr="00FA5606">
        <w:t>4.a.1)</w:t>
      </w:r>
    </w:p>
    <w:p w:rsidR="00CE31A8" w:rsidRPr="00E97254" w:rsidRDefault="00FA5606" w:rsidP="000C0250">
      <w:pPr>
        <w:numPr>
          <w:ilvl w:val="0"/>
          <w:numId w:val="30"/>
        </w:numPr>
        <w:pBdr>
          <w:top w:val="nil"/>
          <w:left w:val="nil"/>
          <w:bottom w:val="nil"/>
          <w:right w:val="nil"/>
          <w:between w:val="nil"/>
        </w:pBdr>
        <w:spacing w:after="0"/>
        <w:jc w:val="both"/>
      </w:pPr>
      <w:r w:rsidRPr="00FA5606">
        <w:t>Raporti kompjuter-nxënës në shkolla</w:t>
      </w:r>
    </w:p>
    <w:p w:rsidR="00CE31A8" w:rsidRPr="00E97254" w:rsidRDefault="00FA5606" w:rsidP="000C0250">
      <w:pPr>
        <w:numPr>
          <w:ilvl w:val="0"/>
          <w:numId w:val="30"/>
        </w:numPr>
        <w:pBdr>
          <w:top w:val="nil"/>
          <w:left w:val="nil"/>
          <w:bottom w:val="nil"/>
          <w:right w:val="nil"/>
          <w:between w:val="nil"/>
        </w:pBdr>
        <w:spacing w:after="0"/>
        <w:jc w:val="both"/>
      </w:pPr>
      <w:r w:rsidRPr="00FA5606">
        <w:t>Numri i shkollave me shërbim wireless</w:t>
      </w:r>
    </w:p>
    <w:p w:rsidR="00CE31A8" w:rsidRPr="00E97254" w:rsidRDefault="00FA5606" w:rsidP="000C0250">
      <w:pPr>
        <w:numPr>
          <w:ilvl w:val="0"/>
          <w:numId w:val="30"/>
        </w:numPr>
        <w:pBdr>
          <w:top w:val="nil"/>
          <w:left w:val="nil"/>
          <w:bottom w:val="nil"/>
          <w:right w:val="nil"/>
          <w:between w:val="nil"/>
        </w:pBdr>
        <w:spacing w:after="0"/>
        <w:jc w:val="both"/>
      </w:pPr>
      <w:r w:rsidRPr="00FA5606">
        <w:t>Numri i shkollave që kanë faqen e tyre në internet, rrjete sociale</w:t>
      </w:r>
    </w:p>
    <w:p w:rsidR="00565BD3" w:rsidRPr="00E97254" w:rsidRDefault="00FA5606" w:rsidP="000C0250">
      <w:pPr>
        <w:numPr>
          <w:ilvl w:val="0"/>
          <w:numId w:val="30"/>
        </w:numPr>
        <w:pBdr>
          <w:top w:val="nil"/>
          <w:left w:val="nil"/>
          <w:bottom w:val="nil"/>
          <w:right w:val="nil"/>
          <w:between w:val="nil"/>
        </w:pBdr>
        <w:spacing w:after="0"/>
        <w:jc w:val="both"/>
      </w:pPr>
      <w:r w:rsidRPr="00FA5606">
        <w:t>Shpejtësia e internetit në shkolla</w:t>
      </w:r>
    </w:p>
    <w:p w:rsidR="00A14C44" w:rsidRPr="00E97254" w:rsidRDefault="00FA5606" w:rsidP="000C0250">
      <w:pPr>
        <w:numPr>
          <w:ilvl w:val="0"/>
          <w:numId w:val="30"/>
        </w:numPr>
        <w:pBdr>
          <w:top w:val="nil"/>
          <w:left w:val="nil"/>
          <w:bottom w:val="nil"/>
          <w:right w:val="nil"/>
          <w:between w:val="nil"/>
        </w:pBdr>
        <w:spacing w:after="0"/>
        <w:jc w:val="both"/>
      </w:pPr>
      <w:r w:rsidRPr="00FA5606">
        <w:t xml:space="preserve">Përqindja e shkollave që përdorin platformat online </w:t>
      </w:r>
    </w:p>
    <w:p w:rsidR="00CE31A8" w:rsidRPr="00E97254" w:rsidRDefault="00CE31A8" w:rsidP="000C0250">
      <w:pPr>
        <w:pBdr>
          <w:top w:val="nil"/>
          <w:left w:val="nil"/>
          <w:bottom w:val="nil"/>
          <w:right w:val="nil"/>
          <w:between w:val="nil"/>
        </w:pBdr>
        <w:spacing w:after="0"/>
        <w:ind w:left="360"/>
        <w:jc w:val="both"/>
      </w:pPr>
    </w:p>
    <w:p w:rsidR="00F27EEE" w:rsidRPr="00E97254" w:rsidRDefault="00FA5606" w:rsidP="000C0250">
      <w:pPr>
        <w:pStyle w:val="Heading2"/>
        <w:jc w:val="both"/>
      </w:pPr>
      <w:bookmarkStart w:id="125" w:name="_Toc66802016"/>
      <w:r w:rsidRPr="00FA5606">
        <w:t>6.2. Qëllimi i Politikës B: Menaxhimi dhe sigurimi i cilësisë</w:t>
      </w:r>
      <w:bookmarkEnd w:id="125"/>
    </w:p>
    <w:p w:rsidR="00751AD7" w:rsidRPr="00E97254" w:rsidRDefault="003A44C5" w:rsidP="000C0250">
      <w:pPr>
        <w:spacing w:before="120" w:after="0"/>
        <w:jc w:val="both"/>
        <w:rPr>
          <w:rFonts w:cstheme="minorHAnsi"/>
          <w:color w:val="222222"/>
          <w:shd w:val="clear" w:color="auto" w:fill="FFFFFF"/>
        </w:rPr>
      </w:pPr>
      <w:r>
        <w:rPr>
          <w:noProof/>
        </w:rPr>
        <mc:AlternateContent>
          <mc:Choice Requires="wps">
            <w:drawing>
              <wp:inline distT="0" distB="0" distL="0" distR="0">
                <wp:extent cx="5943600" cy="488950"/>
                <wp:effectExtent l="12700" t="12700" r="0" b="6350"/>
                <wp:docPr id="14"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43600" cy="488950"/>
                        </a:xfrm>
                        <a:prstGeom prst="rect">
                          <a:avLst/>
                        </a:prstGeom>
                        <a:solidFill>
                          <a:srgbClr val="EBF1DE"/>
                        </a:solidFill>
                        <a:ln w="25400">
                          <a:solidFill>
                            <a:srgbClr val="8064A2"/>
                          </a:solidFill>
                          <a:miter lim="800000"/>
                          <a:headEnd/>
                          <a:tailEnd/>
                        </a:ln>
                      </wps:spPr>
                      <wps:txbx>
                        <w:txbxContent>
                          <w:p w:rsidR="00753C65" w:rsidRPr="003D71F2" w:rsidRDefault="00753C65" w:rsidP="003F2434">
                            <w:pPr>
                              <w:pStyle w:val="Default"/>
                              <w:rPr>
                                <w:color w:val="FF0000"/>
                                <w:sz w:val="22"/>
                                <w:szCs w:val="22"/>
                              </w:rPr>
                            </w:pPr>
                            <w:r w:rsidRPr="009E79F1">
                              <w:rPr>
                                <w:b/>
                                <w:sz w:val="22"/>
                              </w:rPr>
                              <w:t xml:space="preserve">Qëllimi i politikës </w:t>
                            </w:r>
                            <w:r>
                              <w:rPr>
                                <w:b/>
                                <w:sz w:val="22"/>
                              </w:rPr>
                              <w:t>B</w:t>
                            </w:r>
                            <w:r w:rsidRPr="009E79F1">
                              <w:rPr>
                                <w:b/>
                                <w:sz w:val="22"/>
                              </w:rPr>
                              <w:t>:</w:t>
                            </w:r>
                            <w:r w:rsidRPr="009E79F1">
                              <w:rPr>
                                <w:sz w:val="22"/>
                              </w:rPr>
                              <w:t xml:space="preserve"> </w:t>
                            </w:r>
                            <w:r w:rsidRPr="00061FA5">
                              <w:t>Menaxhim efektiv dhe eficient i sistemit të arsimit në të gjitha nivelet, i bazuar në mekanizma funksional</w:t>
                            </w:r>
                            <w:r>
                              <w:t>e</w:t>
                            </w:r>
                            <w:r w:rsidRPr="00061FA5">
                              <w:t xml:space="preserve"> për sigurimin e cilësisë, transparencës dhe llogaridhënies</w:t>
                            </w:r>
                          </w:p>
                        </w:txbxContent>
                      </wps:txbx>
                      <wps:bodyPr rot="0" vert="horz" wrap="square" lIns="91440" tIns="45720" rIns="91440" bIns="45720" anchor="t" anchorCtr="0" upright="1">
                        <a:spAutoFit/>
                      </wps:bodyPr>
                    </wps:wsp>
                  </a:graphicData>
                </a:graphic>
              </wp:inline>
            </w:drawing>
          </mc:Choice>
          <mc:Fallback>
            <w:pict>
              <v:shape id="Text Box 47" o:spid="_x0000_s1067" type="#_x0000_t202" style="width:468pt;height:3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" fillcolor="#ebf1de" strokecolor="#8064a2" strokeweight="2pt">
                <v:path arrowok="t"/>
                <v:textbox style="mso-fit-shape-to-text:t">
                  <w:txbxContent>
                    <w:p w:rsidR="00753C65" w:rsidRPr="003D71F2" w:rsidRDefault="00753C65" w:rsidP="003F2434">
                      <w:pPr>
                        <w:pStyle w:val="Default"/>
                        <w:rPr>
                          <w:color w:val="FF0000"/>
                          <w:sz w:val="22"/>
                          <w:szCs w:val="22"/>
                        </w:rPr>
                      </w:pPr>
                      <w:r w:rsidRPr="009E79F1">
                        <w:rPr>
                          <w:b/>
                          <w:sz w:val="22"/>
                        </w:rPr>
                        <w:t xml:space="preserve">Qëllimi i politikës </w:t>
                      </w:r>
                      <w:r>
                        <w:rPr>
                          <w:b/>
                          <w:sz w:val="22"/>
                        </w:rPr>
                        <w:t>B</w:t>
                      </w:r>
                      <w:r w:rsidRPr="009E79F1">
                        <w:rPr>
                          <w:b/>
                          <w:sz w:val="22"/>
                        </w:rPr>
                        <w:t>:</w:t>
                      </w:r>
                      <w:r w:rsidRPr="009E79F1">
                        <w:rPr>
                          <w:sz w:val="22"/>
                        </w:rPr>
                        <w:t xml:space="preserve"> </w:t>
                      </w:r>
                      <w:r w:rsidRPr="00061FA5">
                        <w:t>Menaxhim efektiv dhe eficient i sistemit të arsimit në të gjitha nivelet, i bazuar në mekanizma funksional</w:t>
                      </w:r>
                      <w:r>
                        <w:t>e</w:t>
                      </w:r>
                      <w:r w:rsidRPr="00061FA5">
                        <w:t xml:space="preserve"> për sigurimin e cilësisë, transparencës dhe llogaridhënies</w:t>
                      </w:r>
                    </w:p>
                  </w:txbxContent>
                </v:textbox>
                <w10:anchorlock/>
              </v:shape>
            </w:pict>
          </mc:Fallback>
        </mc:AlternateContent>
      </w:r>
      <w:r w:rsidR="00751AD7" w:rsidRPr="00E97254">
        <w:rPr>
          <w:rFonts w:cstheme="minorHAnsi"/>
          <w:color w:val="222222"/>
          <w:shd w:val="clear" w:color="auto" w:fill="FFFFFF"/>
        </w:rPr>
        <w:t>Menaxhimi i referohet admi</w:t>
      </w:r>
      <w:r w:rsidR="00FB3E6E" w:rsidRPr="00E97254">
        <w:rPr>
          <w:rFonts w:cstheme="minorHAnsi"/>
          <w:color w:val="222222"/>
          <w:shd w:val="clear" w:color="auto" w:fill="FFFFFF"/>
        </w:rPr>
        <w:t>nis</w:t>
      </w:r>
      <w:r w:rsidR="00751AD7" w:rsidRPr="00E97254">
        <w:rPr>
          <w:rFonts w:cstheme="minorHAnsi"/>
          <w:color w:val="222222"/>
          <w:shd w:val="clear" w:color="auto" w:fill="FFFFFF"/>
        </w:rPr>
        <w:t>trimit të sistemit të arsimit dhe</w:t>
      </w:r>
      <w:r w:rsidR="00FA5606" w:rsidRPr="00FA5606">
        <w:rPr>
          <w:rFonts w:cstheme="minorHAnsi"/>
          <w:color w:val="222222"/>
          <w:shd w:val="clear" w:color="auto" w:fill="FFFFFF"/>
        </w:rPr>
        <w:t xml:space="preserve"> të institucioneve arsimore që mobilizon burimet njerëzore dhe materiale </w:t>
      </w:r>
      <w:r w:rsidR="003F1AEA">
        <w:rPr>
          <w:rFonts w:cstheme="minorHAnsi"/>
          <w:color w:val="222222"/>
          <w:shd w:val="clear" w:color="auto" w:fill="FFFFFF"/>
        </w:rPr>
        <w:t>p</w:t>
      </w:r>
      <w:r w:rsidR="003F1AEA" w:rsidRPr="00CF4646">
        <w:rPr>
          <w:rFonts w:cstheme="minorHAnsi"/>
          <w:color w:val="222222"/>
          <w:shd w:val="clear" w:color="auto" w:fill="FFFFFF"/>
        </w:rPr>
        <w:t>ë</w:t>
      </w:r>
      <w:r w:rsidR="003F1AEA">
        <w:rPr>
          <w:rFonts w:cstheme="minorHAnsi"/>
          <w:color w:val="222222"/>
          <w:shd w:val="clear" w:color="auto" w:fill="FFFFFF"/>
        </w:rPr>
        <w:t>r</w:t>
      </w:r>
      <w:r w:rsidR="00FA5606" w:rsidRPr="00FA5606">
        <w:rPr>
          <w:rFonts w:cstheme="minorHAnsi"/>
          <w:color w:val="222222"/>
          <w:shd w:val="clear" w:color="auto" w:fill="FFFFFF"/>
        </w:rPr>
        <w:t xml:space="preserve"> të planifik</w:t>
      </w:r>
      <w:r w:rsidR="003F1AEA">
        <w:rPr>
          <w:rFonts w:cstheme="minorHAnsi"/>
          <w:color w:val="222222"/>
          <w:shd w:val="clear" w:color="auto" w:fill="FFFFFF"/>
        </w:rPr>
        <w:t>uar</w:t>
      </w:r>
      <w:r w:rsidR="00FA5606" w:rsidRPr="00FA5606">
        <w:rPr>
          <w:rFonts w:cstheme="minorHAnsi"/>
          <w:color w:val="222222"/>
          <w:shd w:val="clear" w:color="auto" w:fill="FFFFFF"/>
        </w:rPr>
        <w:t>, mbikëqyr</w:t>
      </w:r>
      <w:r w:rsidR="003F1AEA">
        <w:rPr>
          <w:rFonts w:cstheme="minorHAnsi"/>
          <w:color w:val="222222"/>
          <w:shd w:val="clear" w:color="auto" w:fill="FFFFFF"/>
        </w:rPr>
        <w:t>ur</w:t>
      </w:r>
      <w:r w:rsidR="00FA5606" w:rsidRPr="00FA5606">
        <w:rPr>
          <w:rFonts w:cstheme="minorHAnsi"/>
          <w:color w:val="222222"/>
          <w:shd w:val="clear" w:color="auto" w:fill="FFFFFF"/>
        </w:rPr>
        <w:t xml:space="preserve"> dhe drejt</w:t>
      </w:r>
      <w:r w:rsidR="003F1AEA">
        <w:rPr>
          <w:rFonts w:cstheme="minorHAnsi"/>
          <w:color w:val="222222"/>
          <w:shd w:val="clear" w:color="auto" w:fill="FFFFFF"/>
        </w:rPr>
        <w:t>uar</w:t>
      </w:r>
      <w:r w:rsidR="00FA5606" w:rsidRPr="00FA5606">
        <w:rPr>
          <w:rFonts w:cstheme="minorHAnsi"/>
          <w:color w:val="222222"/>
          <w:shd w:val="clear" w:color="auto" w:fill="FFFFFF"/>
        </w:rPr>
        <w:t xml:space="preserve"> procese</w:t>
      </w:r>
      <w:r w:rsidR="003F1AEA">
        <w:rPr>
          <w:rFonts w:cstheme="minorHAnsi"/>
          <w:color w:val="222222"/>
          <w:shd w:val="clear" w:color="auto" w:fill="FFFFFF"/>
        </w:rPr>
        <w:t>t</w:t>
      </w:r>
      <w:r w:rsidR="00FA5606" w:rsidRPr="00FA5606">
        <w:rPr>
          <w:rFonts w:cstheme="minorHAnsi"/>
          <w:color w:val="222222"/>
          <w:shd w:val="clear" w:color="auto" w:fill="FFFFFF"/>
        </w:rPr>
        <w:t xml:space="preserve"> brenda sistemit dhe institucioneve përkatësisht. Menaxhimi është proces i bazuar në objektiva të përcaktuara që siguron mirëfunksionimin e sistemit të arsimit dhe të institucioneve arsimore. Sigurimi i cilësisë nënkupton rishikimin sistematik të ofertës arsimore </w:t>
      </w:r>
      <w:r w:rsidR="003F1AEA">
        <w:rPr>
          <w:rFonts w:cstheme="minorHAnsi"/>
          <w:color w:val="222222"/>
          <w:shd w:val="clear" w:color="auto" w:fill="FFFFFF"/>
        </w:rPr>
        <w:t>p</w:t>
      </w:r>
      <w:r w:rsidR="003F1AEA" w:rsidRPr="00CF4646">
        <w:rPr>
          <w:rFonts w:cstheme="minorHAnsi"/>
          <w:color w:val="222222"/>
          <w:shd w:val="clear" w:color="auto" w:fill="FFFFFF"/>
        </w:rPr>
        <w:t>ë</w:t>
      </w:r>
      <w:r w:rsidR="003F1AEA">
        <w:rPr>
          <w:rFonts w:cstheme="minorHAnsi"/>
          <w:color w:val="222222"/>
          <w:shd w:val="clear" w:color="auto" w:fill="FFFFFF"/>
        </w:rPr>
        <w:t>r</w:t>
      </w:r>
      <w:r w:rsidR="00FA5606" w:rsidRPr="00FA5606">
        <w:rPr>
          <w:rFonts w:cstheme="minorHAnsi"/>
          <w:color w:val="222222"/>
          <w:shd w:val="clear" w:color="auto" w:fill="FFFFFF"/>
        </w:rPr>
        <w:t xml:space="preserve"> të përmirës</w:t>
      </w:r>
      <w:r w:rsidR="003F1AEA">
        <w:rPr>
          <w:rFonts w:cstheme="minorHAnsi"/>
          <w:color w:val="222222"/>
          <w:shd w:val="clear" w:color="auto" w:fill="FFFFFF"/>
        </w:rPr>
        <w:t>uar</w:t>
      </w:r>
      <w:r w:rsidR="00FA5606" w:rsidRPr="00FA5606">
        <w:rPr>
          <w:rFonts w:cstheme="minorHAnsi"/>
          <w:color w:val="222222"/>
          <w:shd w:val="clear" w:color="auto" w:fill="FFFFFF"/>
        </w:rPr>
        <w:t xml:space="preserve"> cilësi</w:t>
      </w:r>
      <w:r w:rsidR="003F1AEA">
        <w:rPr>
          <w:rFonts w:cstheme="minorHAnsi"/>
          <w:color w:val="222222"/>
          <w:shd w:val="clear" w:color="auto" w:fill="FFFFFF"/>
        </w:rPr>
        <w:t>n</w:t>
      </w:r>
      <w:r w:rsidR="00FA5606" w:rsidRPr="00FA5606">
        <w:rPr>
          <w:rFonts w:cstheme="minorHAnsi"/>
          <w:color w:val="222222"/>
          <w:shd w:val="clear" w:color="auto" w:fill="FFFFFF"/>
        </w:rPr>
        <w:t>ë dhe efektiviteti</w:t>
      </w:r>
      <w:r w:rsidR="003F1AEA">
        <w:rPr>
          <w:rFonts w:cstheme="minorHAnsi"/>
          <w:color w:val="222222"/>
          <w:shd w:val="clear" w:color="auto" w:fill="FFFFFF"/>
        </w:rPr>
        <w:t>n</w:t>
      </w:r>
      <w:r w:rsidR="00FA5606" w:rsidRPr="00FA5606">
        <w:rPr>
          <w:rFonts w:cstheme="minorHAnsi"/>
          <w:color w:val="222222"/>
          <w:shd w:val="clear" w:color="auto" w:fill="FFFFFF"/>
        </w:rPr>
        <w:t xml:space="preserve">. Në nivel të shkollës, sigurimi i cilësisë </w:t>
      </w:r>
      <w:r w:rsidR="00FA5606" w:rsidRPr="00FA5606">
        <w:rPr>
          <w:rFonts w:cs="Calibri"/>
          <w:color w:val="222222"/>
          <w:shd w:val="clear" w:color="auto" w:fill="FFFFFF"/>
        </w:rPr>
        <w:t>përfshin</w:t>
      </w:r>
      <w:r w:rsidR="00FA5606" w:rsidRPr="00FA5606">
        <w:rPr>
          <w:rFonts w:cstheme="minorHAnsi"/>
          <w:color w:val="222222"/>
          <w:shd w:val="clear" w:color="auto" w:fill="FFFFFF"/>
        </w:rPr>
        <w:t>: vetëvlerësimin, vlerësimin e jashtëm, inspektimin, vlerësimin e mësuesve dhe drejtuesve të shkollave, si dhe vlerësimin e nxënësve. Ndërkaq, në nivel</w:t>
      </w:r>
      <w:r w:rsidR="003F1AEA">
        <w:rPr>
          <w:rFonts w:cstheme="minorHAnsi"/>
          <w:color w:val="222222"/>
          <w:shd w:val="clear" w:color="auto" w:fill="FFFFFF"/>
        </w:rPr>
        <w:t>in</w:t>
      </w:r>
      <w:r w:rsidR="00FA5606" w:rsidRPr="00FA5606">
        <w:rPr>
          <w:rFonts w:cstheme="minorHAnsi"/>
          <w:color w:val="222222"/>
          <w:shd w:val="clear" w:color="auto" w:fill="FFFFFF"/>
        </w:rPr>
        <w:t xml:space="preserve"> </w:t>
      </w:r>
      <w:r w:rsidR="003F1AEA">
        <w:rPr>
          <w:rFonts w:cstheme="minorHAnsi"/>
          <w:color w:val="222222"/>
          <w:shd w:val="clear" w:color="auto" w:fill="FFFFFF"/>
        </w:rPr>
        <w:t>e</w:t>
      </w:r>
      <w:r w:rsidR="00FA5606" w:rsidRPr="00FA5606">
        <w:rPr>
          <w:rFonts w:cstheme="minorHAnsi"/>
          <w:color w:val="222222"/>
          <w:shd w:val="clear" w:color="auto" w:fill="FFFFFF"/>
        </w:rPr>
        <w:t xml:space="preserve"> sistemit të arsimit, sigurimi i cilësisë nënkupton përcjelljen e progresit të realizimit të objektivave të përcaktuara, </w:t>
      </w:r>
      <w:r w:rsidR="00A50A43">
        <w:rPr>
          <w:rFonts w:cstheme="minorHAnsi"/>
          <w:color w:val="222222"/>
          <w:shd w:val="clear" w:color="auto" w:fill="FFFFFF"/>
        </w:rPr>
        <w:t>nëpërmjet</w:t>
      </w:r>
      <w:r w:rsidR="00FA5606" w:rsidRPr="00FA5606">
        <w:rPr>
          <w:rFonts w:cstheme="minorHAnsi"/>
          <w:color w:val="222222"/>
          <w:shd w:val="clear" w:color="auto" w:fill="FFFFFF"/>
        </w:rPr>
        <w:t xml:space="preserve"> një procesi të konsoliduar mirë dhe nxjerrjen e përfundimeve </w:t>
      </w:r>
      <w:r w:rsidR="003F1AEA">
        <w:rPr>
          <w:rFonts w:cstheme="minorHAnsi"/>
          <w:color w:val="222222"/>
          <w:shd w:val="clear" w:color="auto" w:fill="FFFFFF"/>
        </w:rPr>
        <w:t>p</w:t>
      </w:r>
      <w:r w:rsidR="003F1AEA" w:rsidRPr="00CF4646">
        <w:rPr>
          <w:rFonts w:cstheme="minorHAnsi"/>
          <w:color w:val="222222"/>
          <w:shd w:val="clear" w:color="auto" w:fill="FFFFFF"/>
        </w:rPr>
        <w:t>ë</w:t>
      </w:r>
      <w:r w:rsidR="003F1AEA">
        <w:rPr>
          <w:rFonts w:cstheme="minorHAnsi"/>
          <w:color w:val="222222"/>
          <w:shd w:val="clear" w:color="auto" w:fill="FFFFFF"/>
        </w:rPr>
        <w:t>r</w:t>
      </w:r>
      <w:r w:rsidR="00FA5606" w:rsidRPr="00FA5606">
        <w:rPr>
          <w:rFonts w:cstheme="minorHAnsi"/>
          <w:color w:val="222222"/>
          <w:shd w:val="clear" w:color="auto" w:fill="FFFFFF"/>
        </w:rPr>
        <w:t xml:space="preserve"> përmirësimi</w:t>
      </w:r>
      <w:r w:rsidR="003F1AEA">
        <w:rPr>
          <w:rFonts w:cstheme="minorHAnsi"/>
          <w:color w:val="222222"/>
          <w:shd w:val="clear" w:color="auto" w:fill="FFFFFF"/>
        </w:rPr>
        <w:t>n</w:t>
      </w:r>
      <w:r w:rsidR="00FA5606" w:rsidRPr="00FA5606">
        <w:rPr>
          <w:rFonts w:cstheme="minorHAnsi"/>
          <w:color w:val="222222"/>
          <w:shd w:val="clear" w:color="auto" w:fill="FFFFFF"/>
        </w:rPr>
        <w:t xml:space="preserve"> </w:t>
      </w:r>
      <w:r w:rsidR="003F1AEA">
        <w:rPr>
          <w:rFonts w:cstheme="minorHAnsi"/>
          <w:color w:val="222222"/>
          <w:shd w:val="clear" w:color="auto" w:fill="FFFFFF"/>
        </w:rPr>
        <w:t>e</w:t>
      </w:r>
      <w:r w:rsidR="00FA5606" w:rsidRPr="00FA5606">
        <w:rPr>
          <w:rFonts w:cstheme="minorHAnsi"/>
          <w:color w:val="222222"/>
          <w:shd w:val="clear" w:color="auto" w:fill="FFFFFF"/>
        </w:rPr>
        <w:t xml:space="preserve"> performancës së sistemit. Transparenca dhe llogaridhënia janë kuptime të ndërlidhura </w:t>
      </w:r>
      <w:r w:rsidR="00FA5606" w:rsidRPr="00FA5606">
        <w:rPr>
          <w:rFonts w:cs="Calibri"/>
          <w:color w:val="222222"/>
          <w:shd w:val="clear" w:color="auto" w:fill="FFFFFF"/>
        </w:rPr>
        <w:t>midis tyre</w:t>
      </w:r>
      <w:r w:rsidR="00FA5606" w:rsidRPr="00FA5606">
        <w:rPr>
          <w:rFonts w:cstheme="minorHAnsi"/>
          <w:color w:val="222222"/>
          <w:shd w:val="clear" w:color="auto" w:fill="FFFFFF"/>
        </w:rPr>
        <w:t xml:space="preserve"> – nëse sistemi i arsimit dhe institucionet arsimore janë transparente, atëherë ato janë edhe llogaridhënëse, </w:t>
      </w:r>
      <w:r w:rsidR="003F1AEA">
        <w:rPr>
          <w:rFonts w:cstheme="minorHAnsi"/>
          <w:color w:val="222222"/>
          <w:shd w:val="clear" w:color="auto" w:fill="FFFFFF"/>
        </w:rPr>
        <w:t>lidhur me</w:t>
      </w:r>
      <w:r w:rsidR="00FA5606" w:rsidRPr="00FA5606">
        <w:rPr>
          <w:rFonts w:cstheme="minorHAnsi"/>
          <w:color w:val="222222"/>
          <w:shd w:val="clear" w:color="auto" w:fill="FFFFFF"/>
        </w:rPr>
        <w:t xml:space="preserve"> përgjegjësi</w:t>
      </w:r>
      <w:r w:rsidR="003F1AEA">
        <w:rPr>
          <w:rFonts w:cstheme="minorHAnsi"/>
          <w:color w:val="222222"/>
          <w:shd w:val="clear" w:color="auto" w:fill="FFFFFF"/>
        </w:rPr>
        <w:t>n</w:t>
      </w:r>
      <w:r w:rsidR="00FA5606" w:rsidRPr="00FA5606">
        <w:rPr>
          <w:rFonts w:cstheme="minorHAnsi"/>
          <w:color w:val="222222"/>
          <w:shd w:val="clear" w:color="auto" w:fill="FFFFFF"/>
        </w:rPr>
        <w:t xml:space="preserve">ë publike për rezultatet e tyre. </w:t>
      </w:r>
    </w:p>
    <w:p w:rsidR="00C631F2" w:rsidRPr="00E97254" w:rsidRDefault="00FA5606" w:rsidP="000C0250">
      <w:pPr>
        <w:spacing w:after="0"/>
        <w:jc w:val="both"/>
      </w:pPr>
      <w:r w:rsidRPr="00FA5606">
        <w:t>Qëllimi i politikës është të sigurohet menaxhim efektiv në nivelin e sistemit të arsimit, si dhe në nivel shkolle, duke ndërtuar dhe avancuar mekanizma për sigurimin e cilësisë, transparencës dhe llogaridhënies. Ky qëllim i politikës ka dy objektiva specifik</w:t>
      </w:r>
      <w:r w:rsidR="00513AF3">
        <w:t>e</w:t>
      </w:r>
      <w:r w:rsidRPr="00FA5606">
        <w:t>, një për nivelin e shkollës dhe tjetrin për nivelin e sistemit të arsimit:</w:t>
      </w:r>
    </w:p>
    <w:p w:rsidR="00C631F2" w:rsidRPr="00E97254" w:rsidRDefault="00FA5606" w:rsidP="000C0250">
      <w:pPr>
        <w:spacing w:after="0"/>
        <w:jc w:val="both"/>
      </w:pPr>
      <w:r w:rsidRPr="00FA5606">
        <w:lastRenderedPageBreak/>
        <w:t xml:space="preserve">Objektivi specifik B1. Rritja e performancës së shkollës </w:t>
      </w:r>
      <w:r w:rsidR="00A50A43">
        <w:t>nëpërmjet</w:t>
      </w:r>
      <w:r w:rsidRPr="00FA5606">
        <w:t xml:space="preserve"> drejtimit dhe menaxhimit profesional dhe të përgjegjshëm dhe sigurimit të cilësisë.</w:t>
      </w:r>
    </w:p>
    <w:p w:rsidR="002D734F" w:rsidRPr="00E97254" w:rsidRDefault="00FA5606" w:rsidP="000C0250">
      <w:pPr>
        <w:spacing w:after="0"/>
        <w:jc w:val="both"/>
      </w:pPr>
      <w:r w:rsidRPr="00FA5606">
        <w:t xml:space="preserve">Objektivi specifik B2. Garantimi i performancës së sistemit të arsimit </w:t>
      </w:r>
      <w:r w:rsidR="00A50A43">
        <w:t>nëpërmjet</w:t>
      </w:r>
      <w:r w:rsidRPr="00FA5606">
        <w:t xml:space="preserve"> ndërtimit të një kornize gjithëpërfshirëse të vlerësimit dhe kapaciteteve për zbatimin e saj.</w:t>
      </w:r>
    </w:p>
    <w:p w:rsidR="00F706B2" w:rsidRPr="00E97254" w:rsidRDefault="00FA5606" w:rsidP="000C0250">
      <w:pPr>
        <w:spacing w:before="120" w:after="0"/>
        <w:jc w:val="both"/>
      </w:pPr>
      <w:r w:rsidRPr="00FA5606">
        <w:t>Plani Kombëtar për Integrimi</w:t>
      </w:r>
      <w:r w:rsidR="003F1AEA">
        <w:t>n</w:t>
      </w:r>
      <w:r w:rsidRPr="00FA5606">
        <w:t xml:space="preserve"> Evropian 2020-2022 </w:t>
      </w:r>
      <w:sdt>
        <w:sdtPr>
          <w:id w:val="538251013"/>
          <w:citation/>
        </w:sdtPr>
        <w:sdtEndPr/>
        <w:sdtContent>
          <w:r w:rsidR="00EC56B7" w:rsidRPr="00E97254">
            <w:fldChar w:fldCharType="begin"/>
          </w:r>
          <w:r w:rsidR="004E1F53">
            <w:instrText xml:space="preserve"> CITATION Kës3 \l 1033 </w:instrText>
          </w:r>
          <w:r w:rsidR="00EC56B7" w:rsidRPr="00E97254">
            <w:fldChar w:fldCharType="separate"/>
          </w:r>
          <w:r w:rsidR="00724BCC" w:rsidRPr="00E97254">
            <w:t>[18]</w:t>
          </w:r>
          <w:r w:rsidR="00EC56B7" w:rsidRPr="00E97254">
            <w:fldChar w:fldCharType="end"/>
          </w:r>
        </w:sdtContent>
      </w:sdt>
      <w:r w:rsidR="0098768B" w:rsidRPr="00E97254">
        <w:t xml:space="preserve"> përcakton disa prioritete për sigurimin e cilësisë, të cilat janë reflektuar në produktet dhe </w:t>
      </w:r>
      <w:r w:rsidR="00F23C33" w:rsidRPr="00E97254">
        <w:t>masat</w:t>
      </w:r>
      <w:r w:rsidR="004E1F53">
        <w:t xml:space="preserve"> e dy objektivave </w:t>
      </w:r>
      <w:r w:rsidR="00513AF3">
        <w:t>specifike</w:t>
      </w:r>
      <w:r w:rsidR="004E1F53">
        <w:t>:</w:t>
      </w:r>
    </w:p>
    <w:p w:rsidR="005D2A13" w:rsidRPr="00E97254" w:rsidRDefault="004E1F53" w:rsidP="000C0250">
      <w:pPr>
        <w:numPr>
          <w:ilvl w:val="0"/>
          <w:numId w:val="25"/>
        </w:numPr>
        <w:spacing w:after="0"/>
        <w:jc w:val="both"/>
        <w:rPr>
          <w:rFonts w:cstheme="minorHAnsi"/>
        </w:rPr>
      </w:pPr>
      <w:r>
        <w:rPr>
          <w:rFonts w:cstheme="minorHAnsi"/>
        </w:rPr>
        <w:t>“Dy institucione të riorganizuara, ASCAP</w:t>
      </w:r>
      <w:r w:rsidR="003F1AEA">
        <w:rPr>
          <w:rFonts w:cstheme="minorHAnsi"/>
        </w:rPr>
        <w:t>-i</w:t>
      </w:r>
      <w:r>
        <w:rPr>
          <w:rFonts w:cstheme="minorHAnsi"/>
        </w:rPr>
        <w:t xml:space="preserve"> dhe DPAP</w:t>
      </w:r>
      <w:r w:rsidR="003F1AEA">
        <w:rPr>
          <w:rFonts w:cstheme="minorHAnsi"/>
        </w:rPr>
        <w:t>-i</w:t>
      </w:r>
      <w:r>
        <w:rPr>
          <w:rFonts w:cstheme="minorHAnsi"/>
        </w:rPr>
        <w:t>, duhet të krijojnë bashkëpunim të ngushtë në monitorimin e sektorit të arsimit parauniversitar dhe sigurimin e cilësisë së shërbimeve arsimore” (Objektivi specifik B1, Produkti B1.1).</w:t>
      </w:r>
    </w:p>
    <w:p w:rsidR="005D2A13" w:rsidRPr="00E97254" w:rsidRDefault="004E1F53" w:rsidP="000C0250">
      <w:pPr>
        <w:numPr>
          <w:ilvl w:val="0"/>
          <w:numId w:val="25"/>
        </w:numPr>
        <w:spacing w:after="0"/>
        <w:jc w:val="both"/>
        <w:rPr>
          <w:rFonts w:cstheme="minorHAnsi"/>
        </w:rPr>
      </w:pPr>
      <w:r>
        <w:rPr>
          <w:rFonts w:cstheme="minorHAnsi"/>
        </w:rPr>
        <w:t>“Shqipëria do të prezantojë një përmbledhje të plotë vjetore të sektorit të plotë (JASR) si mjet për monitorimin e sistemit arsimor parauniversitar” (Objektivi specifik B2, Produkti B2.4).</w:t>
      </w:r>
    </w:p>
    <w:p w:rsidR="005D2A13" w:rsidRPr="00E97254" w:rsidRDefault="004E1F53" w:rsidP="000C0250">
      <w:pPr>
        <w:numPr>
          <w:ilvl w:val="0"/>
          <w:numId w:val="25"/>
        </w:numPr>
        <w:spacing w:after="0"/>
        <w:jc w:val="both"/>
        <w:rPr>
          <w:rFonts w:cstheme="minorHAnsi"/>
        </w:rPr>
      </w:pPr>
      <w:r>
        <w:rPr>
          <w:rFonts w:cstheme="minorHAnsi"/>
        </w:rPr>
        <w:t>“Përcaktimi i një sërë indikatorësh kombëtarë të arsimit bazuar në standardet e UNESCO-s dhe EUROSTAT</w:t>
      </w:r>
      <w:r w:rsidR="003F1AEA">
        <w:rPr>
          <w:rFonts w:cstheme="minorHAnsi"/>
        </w:rPr>
        <w:t>-it</w:t>
      </w:r>
      <w:r>
        <w:rPr>
          <w:rFonts w:cstheme="minorHAnsi"/>
        </w:rPr>
        <w:t xml:space="preserve"> dhe përfshirja e atyre treguesve në Programin e Statistikave Zyrtare”. (Objektivi specifik B2, Produkti B2.3) </w:t>
      </w:r>
    </w:p>
    <w:p w:rsidR="00F706B2" w:rsidRPr="00E97254" w:rsidRDefault="00F706B2" w:rsidP="000C0250">
      <w:pPr>
        <w:spacing w:after="0"/>
        <w:jc w:val="both"/>
      </w:pPr>
    </w:p>
    <w:p w:rsidR="00F27EEE" w:rsidRPr="00E97254" w:rsidRDefault="00FA5606" w:rsidP="000C0250">
      <w:pPr>
        <w:pStyle w:val="Heading3"/>
        <w:jc w:val="both"/>
      </w:pPr>
      <w:bookmarkStart w:id="126" w:name="_Toc66802017"/>
      <w:r w:rsidRPr="00FA5606">
        <w:t>Objektivi specifik B1: Niveli i shkollës</w:t>
      </w:r>
      <w:bookmarkEnd w:id="126"/>
    </w:p>
    <w:p w:rsidR="00266706" w:rsidRPr="00E97254" w:rsidRDefault="003A44C5" w:rsidP="000C0250">
      <w:pPr>
        <w:spacing w:before="120" w:after="0"/>
        <w:jc w:val="both"/>
      </w:pPr>
      <w:r>
        <w:rPr>
          <w:noProof/>
        </w:rPr>
        <mc:AlternateContent>
          <mc:Choice Requires="wps">
            <w:drawing>
              <wp:inline distT="0" distB="0" distL="0" distR="0">
                <wp:extent cx="5943600" cy="488950"/>
                <wp:effectExtent l="12700" t="12700" r="0" b="6350"/>
                <wp:docPr id="13"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43600" cy="488950"/>
                        </a:xfrm>
                        <a:prstGeom prst="rect">
                          <a:avLst/>
                        </a:prstGeom>
                        <a:solidFill>
                          <a:srgbClr val="EBF1DE"/>
                        </a:solidFill>
                        <a:ln w="25400">
                          <a:solidFill>
                            <a:srgbClr val="8064A2"/>
                          </a:solidFill>
                          <a:miter lim="800000"/>
                          <a:headEnd/>
                          <a:tailEnd/>
                        </a:ln>
                      </wps:spPr>
                      <wps:txbx>
                        <w:txbxContent>
                          <w:p w:rsidR="00753C65" w:rsidRPr="003D71F2" w:rsidRDefault="00753C65" w:rsidP="003F2434">
                            <w:pPr>
                              <w:pStyle w:val="Default"/>
                              <w:rPr>
                                <w:color w:val="FF0000"/>
                                <w:sz w:val="22"/>
                                <w:szCs w:val="22"/>
                              </w:rPr>
                            </w:pPr>
                            <w:r w:rsidRPr="00F27EEE">
                              <w:t xml:space="preserve">Rritja e performancës së shkollës </w:t>
                            </w:r>
                            <w:r>
                              <w:t>nëpërmjet</w:t>
                            </w:r>
                            <w:r w:rsidRPr="00F27EEE">
                              <w:t xml:space="preserve"> drejtimit dhe menaxhimit profesional dhe të përgjegjshëm dhe sigurimit të cilësisë</w:t>
                            </w:r>
                            <w:r>
                              <w:t>.</w:t>
                            </w:r>
                          </w:p>
                        </w:txbxContent>
                      </wps:txbx>
                      <wps:bodyPr rot="0" vert="horz" wrap="square" lIns="91440" tIns="45720" rIns="91440" bIns="45720" anchor="t" anchorCtr="0" upright="1">
                        <a:spAutoFit/>
                      </wps:bodyPr>
                    </wps:wsp>
                  </a:graphicData>
                </a:graphic>
              </wp:inline>
            </w:drawing>
          </mc:Choice>
          <mc:Fallback>
            <w:pict>
              <v:shape id="Text Box 46" o:spid="_x0000_s1068" type="#_x0000_t202" style="width:468pt;height:3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" fillcolor="#ebf1de" strokecolor="#8064a2" strokeweight="2pt">
                <v:path arrowok="t"/>
                <v:textbox style="mso-fit-shape-to-text:t">
                  <w:txbxContent>
                    <w:p w:rsidR="00753C65" w:rsidRPr="003D71F2" w:rsidRDefault="00753C65" w:rsidP="003F2434">
                      <w:pPr>
                        <w:pStyle w:val="Default"/>
                        <w:rPr>
                          <w:color w:val="FF0000"/>
                          <w:sz w:val="22"/>
                          <w:szCs w:val="22"/>
                        </w:rPr>
                      </w:pPr>
                      <w:r w:rsidRPr="00F27EEE">
                        <w:t xml:space="preserve">Rritja e performancës së shkollës </w:t>
                      </w:r>
                      <w:r>
                        <w:t>nëpërmjet</w:t>
                      </w:r>
                      <w:r w:rsidRPr="00F27EEE">
                        <w:t xml:space="preserve"> drejtimit dhe menaxhimit profesional dhe të përgjegjshëm dhe sigurimit të cilësisë</w:t>
                      </w:r>
                      <w:r>
                        <w:t>.</w:t>
                      </w:r>
                    </w:p>
                  </w:txbxContent>
                </v:textbox>
                <w10:anchorlock/>
              </v:shape>
            </w:pict>
          </mc:Fallback>
        </mc:AlternateContent>
      </w:r>
      <w:r w:rsidR="004670DF" w:rsidRPr="00E97254">
        <w:t>Ky objektiv përqendrohet tek menaxhimi i shkollës dhe vle</w:t>
      </w:r>
      <w:r w:rsidR="00C067BF" w:rsidRPr="00E97254">
        <w:t>rësimi i shkollës si instrument</w:t>
      </w:r>
      <w:r w:rsidR="004E1F53">
        <w:t xml:space="preserve"> për përmirësimin e performancës së saj. Duke marrë parasysh rolin e drejtuesit të shkollës, shumë vende janë duke marrë masa për profesionalizimin e pozitës së drejtuesit të shkollës, duke përcaktuar standarde dhe duke ofruar programe certifikimi për drejtues. Për të kontribuar në sigurimin e cilësisë, drejtuesi i shkollës duhet të kenë njohuri të thellë për mësimdhënien dhe të nxënit, meqë është përgjegjës për vëzhgimin e mësuesve, bashkëpunimin me ta për përmirësimin e mësimdhënies, si dhe për ofrimin e mbështetjes për zhvillimin profesional të mësuesve. </w:t>
      </w:r>
    </w:p>
    <w:p w:rsidR="00266706" w:rsidRPr="00E97254" w:rsidRDefault="004E1F53" w:rsidP="000C0250">
      <w:pPr>
        <w:spacing w:after="0"/>
        <w:jc w:val="both"/>
      </w:pPr>
      <w:r>
        <w:t xml:space="preserve">Sigurimi i cilësisë në Shqipëri ka kaluar nëpër ndryshime të rëndësishme. Tanimë ekziston një agjenci qendrore e cila është përgjegjëse për kornizën e vlerësimit të cilësisë dhe trajnimin e vlerësuesve të jashtëm (ASCAP). Po ashtu, ekziston një agjenci tjetër (DPAP) që bën vlerësime të jashtme </w:t>
      </w:r>
      <w:r w:rsidR="00A50A43">
        <w:t>nëpërmjet</w:t>
      </w:r>
      <w:r>
        <w:t xml:space="preserve"> njësive të veta rajonale dhe ofron mbështetje për shkollat, në bazë të gjetjeve të vlerësimit të jashtëm. Qëllimi i një strukture të tillë është të bëhen sa më shumë vlerësime të jashtme që do të ndikojnë në përmirësimin e performancës së shkollës. Procesit të vlerësimit të jashtëm i paraprin vlerësimi i brendshëm, i cili, që të jetë efektiv, kërkon lidership të fortë në nivel shkolle dhe proces rigoroz të përcaktimit të objektivave, monitorimit dhe vlerësimit të arritjes së tyre. </w:t>
      </w:r>
    </w:p>
    <w:p w:rsidR="00A41EE1" w:rsidRPr="00E97254" w:rsidRDefault="00A41EE1" w:rsidP="000C0250">
      <w:pPr>
        <w:spacing w:after="0"/>
        <w:jc w:val="both"/>
      </w:pPr>
    </w:p>
    <w:p w:rsidR="003D133F" w:rsidRPr="00E97254" w:rsidRDefault="004E1F53" w:rsidP="000C0250">
      <w:pPr>
        <w:spacing w:after="0"/>
        <w:jc w:val="both"/>
      </w:pPr>
      <w:r>
        <w:rPr>
          <w:b/>
        </w:rPr>
        <w:t xml:space="preserve">Sfidat kryesore </w:t>
      </w:r>
      <w:r>
        <w:t>për këtë objektiv specifik</w:t>
      </w:r>
      <w:r>
        <w:rPr>
          <w:b/>
        </w:rPr>
        <w:t xml:space="preserve"> </w:t>
      </w:r>
      <w:r>
        <w:t xml:space="preserve">dalin nga </w:t>
      </w:r>
      <w:r w:rsidR="00DC4C19">
        <w:t xml:space="preserve">analiza e situatës </w:t>
      </w:r>
      <w:r>
        <w:t>e dhënë në seksionin 4.3.5:</w:t>
      </w:r>
    </w:p>
    <w:p w:rsidR="002A7AB7" w:rsidRPr="00E97254" w:rsidRDefault="004E1F53" w:rsidP="000C0250">
      <w:pPr>
        <w:numPr>
          <w:ilvl w:val="0"/>
          <w:numId w:val="31"/>
        </w:numPr>
        <w:pBdr>
          <w:top w:val="nil"/>
          <w:left w:val="nil"/>
          <w:bottom w:val="nil"/>
          <w:right w:val="nil"/>
          <w:between w:val="nil"/>
        </w:pBdr>
        <w:spacing w:after="0"/>
        <w:jc w:val="both"/>
      </w:pPr>
      <w:r>
        <w:t xml:space="preserve">Kapacitete të kufizuara për inspektim. Me organikën e DPAP-së parashikohet që të jenë gjithsej 23 punonjës të Sektorit të Inspektimit dhe të Vlerësimit të Cilësisë, prej të cilëve 7 në Drejtorinë </w:t>
      </w:r>
      <w:r>
        <w:lastRenderedPageBreak/>
        <w:t>Qendrore të DPAP-së dhe 16 në 4 DRAP-të. Ndërkaq, në sistemin parauniversitar të Republikës së Shqipërisë operojnë mbi 3,800 institucione arsimore.</w:t>
      </w:r>
    </w:p>
    <w:p w:rsidR="002A7AB7" w:rsidRPr="00E97254" w:rsidRDefault="004E1F53" w:rsidP="000C0250">
      <w:pPr>
        <w:numPr>
          <w:ilvl w:val="0"/>
          <w:numId w:val="31"/>
        </w:numPr>
        <w:pBdr>
          <w:top w:val="nil"/>
          <w:left w:val="nil"/>
          <w:bottom w:val="nil"/>
          <w:right w:val="nil"/>
          <w:between w:val="nil"/>
        </w:pBdr>
        <w:spacing w:after="0"/>
        <w:jc w:val="both"/>
      </w:pPr>
      <w:r>
        <w:t xml:space="preserve">Drejtimi dhe menaxhimi jo i mirë i institucioneve arsimore. </w:t>
      </w:r>
      <w:r>
        <w:rPr>
          <w:rFonts w:ascii="Calibri" w:hAnsi="Calibri" w:cs="Calibri"/>
        </w:rPr>
        <w:t xml:space="preserve">Drejtuesit e shkollave në Shqipëri shihen si hallka të dobëta të sistemit të arsimit. Ata janë të përqendruar </w:t>
      </w:r>
      <w:r w:rsidR="003F1AEA">
        <w:rPr>
          <w:rFonts w:ascii="Calibri" w:hAnsi="Calibri" w:cs="Calibri"/>
        </w:rPr>
        <w:t xml:space="preserve">më shumë </w:t>
      </w:r>
      <w:r>
        <w:rPr>
          <w:rFonts w:ascii="Calibri" w:hAnsi="Calibri" w:cs="Calibri"/>
        </w:rPr>
        <w:t xml:space="preserve">në kryerjen e detyrave administrative sesa në udhëheqjen e procesit mësimor, ndërkohë që ju mungon trajnimi </w:t>
      </w:r>
      <w:r>
        <w:rPr>
          <w:rFonts w:cs="Calibri"/>
        </w:rPr>
        <w:t>i duhur</w:t>
      </w:r>
      <w:r>
        <w:rPr>
          <w:rFonts w:ascii="Calibri" w:hAnsi="Calibri" w:cs="Calibri"/>
        </w:rPr>
        <w:t xml:space="preserve"> për kryerjen e funksioneve të tilla.</w:t>
      </w:r>
    </w:p>
    <w:p w:rsidR="002A7AB7" w:rsidRPr="00E97254" w:rsidRDefault="004E1F53" w:rsidP="000C0250">
      <w:pPr>
        <w:numPr>
          <w:ilvl w:val="0"/>
          <w:numId w:val="31"/>
        </w:numPr>
        <w:pBdr>
          <w:top w:val="nil"/>
          <w:left w:val="nil"/>
          <w:bottom w:val="nil"/>
          <w:right w:val="nil"/>
          <w:between w:val="nil"/>
        </w:pBdr>
        <w:spacing w:after="0"/>
        <w:jc w:val="both"/>
      </w:pPr>
      <w:r>
        <w:t xml:space="preserve">Lëvizjet e shpeshta të drejtorëve të shkollave edhe nga ndikimet politike. </w:t>
      </w:r>
      <w:r>
        <w:rPr>
          <w:rFonts w:ascii="Calibri" w:hAnsi="Calibri" w:cs="Calibri"/>
        </w:rPr>
        <w:t xml:space="preserve">Të shumtën e rasteve, </w:t>
      </w:r>
      <w:r>
        <w:rPr>
          <w:rFonts w:cs="Calibri"/>
        </w:rPr>
        <w:t>pozicioni i</w:t>
      </w:r>
      <w:r>
        <w:rPr>
          <w:rFonts w:ascii="Calibri" w:hAnsi="Calibri" w:cs="Calibri"/>
        </w:rPr>
        <w:t xml:space="preserve"> drejtuesit të shkollës shihet si </w:t>
      </w:r>
      <w:r>
        <w:rPr>
          <w:rFonts w:cs="Calibri"/>
        </w:rPr>
        <w:t>i përkohshëm</w:t>
      </w:r>
      <w:r>
        <w:rPr>
          <w:rFonts w:ascii="Calibri" w:hAnsi="Calibri" w:cs="Calibri"/>
        </w:rPr>
        <w:t xml:space="preserve"> dhe ndërrimet e drejtorëve janë të shpeshta. Prej vitit 2012 zbatohet një procedurë më transparente për rekrutimin e drejtorit </w:t>
      </w:r>
      <w:r w:rsidR="003F1AEA">
        <w:rPr>
          <w:rFonts w:ascii="Calibri" w:hAnsi="Calibri" w:cs="Calibri"/>
        </w:rPr>
        <w:t xml:space="preserve">të </w:t>
      </w:r>
      <w:r>
        <w:rPr>
          <w:rFonts w:ascii="Calibri" w:hAnsi="Calibri" w:cs="Calibri"/>
        </w:rPr>
        <w:t>shkollës, por vendimi final merret nga drejtori i DRAP-</w:t>
      </w:r>
      <w:r w:rsidR="003F1AEA">
        <w:rPr>
          <w:rFonts w:ascii="Calibri" w:hAnsi="Calibri" w:cs="Calibri"/>
        </w:rPr>
        <w:t xml:space="preserve">it </w:t>
      </w:r>
      <w:r>
        <w:rPr>
          <w:rFonts w:ascii="Calibri" w:hAnsi="Calibri" w:cs="Calibri"/>
        </w:rPr>
        <w:t>dhe kjo shihet si mundësi për ndërhyrje politike.</w:t>
      </w:r>
    </w:p>
    <w:p w:rsidR="002A7AB7" w:rsidRPr="00E97254" w:rsidRDefault="004E1F53" w:rsidP="000C0250">
      <w:pPr>
        <w:numPr>
          <w:ilvl w:val="0"/>
          <w:numId w:val="31"/>
        </w:numPr>
        <w:pBdr>
          <w:top w:val="nil"/>
          <w:left w:val="nil"/>
          <w:bottom w:val="nil"/>
          <w:right w:val="nil"/>
          <w:between w:val="nil"/>
        </w:pBdr>
        <w:spacing w:after="0"/>
        <w:jc w:val="both"/>
      </w:pPr>
      <w:r>
        <w:t>Planifikimi afatmesëm dhe vlerësimi i brendshëm i shkollës janë të karakterizuara me formalizëm dhe pa ndërlidhje të qartë n</w:t>
      </w:r>
      <w:r w:rsidR="00D17ECD">
        <w:t>d</w:t>
      </w:r>
      <w:r w:rsidR="00D17ECD" w:rsidRPr="000434A3">
        <w:t>ë</w:t>
      </w:r>
      <w:r w:rsidR="00D17ECD">
        <w:t xml:space="preserve">rmjet </w:t>
      </w:r>
      <w:r>
        <w:t xml:space="preserve">tyre. Edhe pse të menduara si hapa drejt shtimit të autonomisë së shkollës, përkundër udhëzimeve të Ministrisë, jo të gjitha shkollat i kanë të qarta detyrimet e veta në lidhje me planifikimin afatmesëm dhe </w:t>
      </w:r>
      <w:r w:rsidR="003F1AEA">
        <w:t xml:space="preserve">vlerësimin e </w:t>
      </w:r>
      <w:r>
        <w:t xml:space="preserve">brendshëm </w:t>
      </w:r>
      <w:sdt>
        <w:sdtPr>
          <w:id w:val="1071774474"/>
          <w:citation/>
        </w:sdtPr>
        <w:sdtEndPr/>
        <w:sdtContent>
          <w:r w:rsidR="00EC56B7" w:rsidRPr="00E97254">
            <w:fldChar w:fldCharType="begin"/>
          </w:r>
          <w:r>
            <w:instrText xml:space="preserve"> CITATION OEC \l 1033 </w:instrText>
          </w:r>
          <w:r w:rsidR="00EC56B7" w:rsidRPr="00E97254">
            <w:fldChar w:fldCharType="separate"/>
          </w:r>
          <w:r w:rsidR="00724BCC" w:rsidRPr="00E97254">
            <w:t>[63]</w:t>
          </w:r>
          <w:r w:rsidR="00EC56B7" w:rsidRPr="00E97254">
            <w:fldChar w:fldCharType="end"/>
          </w:r>
        </w:sdtContent>
      </w:sdt>
      <w:r w:rsidR="002A7AB7" w:rsidRPr="00E97254">
        <w:t xml:space="preserve">. </w:t>
      </w:r>
    </w:p>
    <w:p w:rsidR="003D133F" w:rsidRPr="00E97254" w:rsidRDefault="002A7AB7" w:rsidP="000C0250">
      <w:pPr>
        <w:numPr>
          <w:ilvl w:val="0"/>
          <w:numId w:val="31"/>
        </w:numPr>
        <w:pBdr>
          <w:top w:val="nil"/>
          <w:left w:val="nil"/>
          <w:bottom w:val="nil"/>
          <w:right w:val="nil"/>
          <w:between w:val="nil"/>
        </w:pBdr>
        <w:spacing w:after="0"/>
        <w:jc w:val="both"/>
      </w:pPr>
      <w:r w:rsidRPr="00E97254">
        <w:t>Vënia e vlerësimi</w:t>
      </w:r>
      <w:r w:rsidR="00970AB7" w:rsidRPr="00E97254">
        <w:t>t</w:t>
      </w:r>
      <w:r w:rsidR="004E1F53">
        <w:t xml:space="preserve"> të jashtëm të shkollës në funksion të përmirësimit të saj. Nga shkollat nuk kërkohet t’i </w:t>
      </w:r>
      <w:r w:rsidR="00A50A43">
        <w:t>trajt</w:t>
      </w:r>
      <w:r w:rsidR="004E1F53">
        <w:t xml:space="preserve">ojnë përfundimet e vlerësimit të jashtëm në planet afatmesme të tyre dhe, për pasojë, vlerësimet e jashtme kanë shumë pak </w:t>
      </w:r>
      <w:r w:rsidR="00DC4C19">
        <w:t xml:space="preserve">ndikim </w:t>
      </w:r>
      <w:r w:rsidR="004E1F53">
        <w:t xml:space="preserve">në përmirësimin e </w:t>
      </w:r>
      <w:r w:rsidR="00DC4C19">
        <w:t xml:space="preserve">situatës </w:t>
      </w:r>
      <w:r w:rsidR="004E1F53">
        <w:t xml:space="preserve">në shkollë </w:t>
      </w:r>
      <w:sdt>
        <w:sdtPr>
          <w:id w:val="-1974894212"/>
          <w:citation/>
        </w:sdtPr>
        <w:sdtEndPr/>
        <w:sdtContent>
          <w:r w:rsidR="00EC56B7" w:rsidRPr="00E97254">
            <w:fldChar w:fldCharType="begin"/>
          </w:r>
          <w:r w:rsidR="004E1F53">
            <w:instrText xml:space="preserve"> CITATION OEC \l 1033 </w:instrText>
          </w:r>
          <w:r w:rsidR="00EC56B7" w:rsidRPr="00E97254">
            <w:fldChar w:fldCharType="separate"/>
          </w:r>
          <w:r w:rsidR="00724BCC" w:rsidRPr="00E97254">
            <w:t>[63]</w:t>
          </w:r>
          <w:r w:rsidR="00EC56B7" w:rsidRPr="00E97254">
            <w:fldChar w:fldCharType="end"/>
          </w:r>
        </w:sdtContent>
      </w:sdt>
      <w:r w:rsidRPr="00E97254">
        <w:t xml:space="preserve">. </w:t>
      </w:r>
    </w:p>
    <w:p w:rsidR="005B655C" w:rsidRPr="00E97254" w:rsidRDefault="005B655C" w:rsidP="000C0250">
      <w:pPr>
        <w:spacing w:after="0"/>
        <w:jc w:val="both"/>
        <w:rPr>
          <w:b/>
        </w:rPr>
      </w:pPr>
    </w:p>
    <w:p w:rsidR="003D133F" w:rsidRPr="00E97254" w:rsidRDefault="004E1F53" w:rsidP="000C0250">
      <w:pPr>
        <w:spacing w:after="0"/>
        <w:jc w:val="both"/>
      </w:pPr>
      <w:r>
        <w:rPr>
          <w:b/>
        </w:rPr>
        <w:t>Produktet/Rezultatet e pritshme</w:t>
      </w:r>
      <w:r>
        <w:t xml:space="preserve"> </w:t>
      </w:r>
      <w:r>
        <w:rPr>
          <w:b/>
        </w:rPr>
        <w:t>dhe masat.</w:t>
      </w:r>
      <w:r>
        <w:rPr>
          <w:b/>
        </w:rPr>
        <w:softHyphen/>
      </w:r>
      <w:r>
        <w:t>- Në vijim janë dhënë produktet dhe masat e ndërlidhura me objektivin specifik B1.</w:t>
      </w:r>
    </w:p>
    <w:p w:rsidR="003D133F" w:rsidRPr="00E97254" w:rsidRDefault="004E1F53" w:rsidP="000C0250">
      <w:pPr>
        <w:pBdr>
          <w:top w:val="nil"/>
          <w:left w:val="nil"/>
          <w:bottom w:val="nil"/>
          <w:right w:val="nil"/>
          <w:between w:val="nil"/>
        </w:pBdr>
        <w:spacing w:after="0"/>
        <w:jc w:val="both"/>
      </w:pPr>
      <w:r>
        <w:rPr>
          <w:u w:val="single"/>
        </w:rPr>
        <w:t>Produkti B1.1</w:t>
      </w:r>
      <w:r>
        <w:t>. Rritja e kapaciteteve inspektuese/monitoruese me fokus rritjen e cilësisë</w:t>
      </w:r>
    </w:p>
    <w:p w:rsidR="003D133F" w:rsidRPr="00E97254" w:rsidRDefault="004E1F53" w:rsidP="000C0250">
      <w:pPr>
        <w:pBdr>
          <w:top w:val="nil"/>
          <w:left w:val="nil"/>
          <w:bottom w:val="nil"/>
          <w:right w:val="nil"/>
          <w:between w:val="nil"/>
        </w:pBdr>
        <w:spacing w:before="120" w:after="0"/>
        <w:jc w:val="both"/>
        <w:rPr>
          <w:i/>
        </w:rPr>
      </w:pPr>
      <w:r>
        <w:t xml:space="preserve">B1.1. Trajnimi i inspektorëve. </w:t>
      </w:r>
      <w:r>
        <w:rPr>
          <w:i/>
        </w:rPr>
        <w:t>ASCAP</w:t>
      </w:r>
      <w:r w:rsidR="003F1AEA">
        <w:rPr>
          <w:i/>
        </w:rPr>
        <w:t>-i</w:t>
      </w:r>
      <w:r>
        <w:rPr>
          <w:i/>
        </w:rPr>
        <w:t>, në bashkëpunim me DPAP</w:t>
      </w:r>
      <w:r w:rsidR="003F1AEA">
        <w:rPr>
          <w:i/>
        </w:rPr>
        <w:t>-në</w:t>
      </w:r>
      <w:r>
        <w:rPr>
          <w:i/>
        </w:rPr>
        <w:t xml:space="preserve">, do të analizojë në vazhdimësi nevojat për zhvillim profesional të inspektorëve dhe do të zhvillojë module trajnimi </w:t>
      </w:r>
      <w:r w:rsidR="003F1AEA" w:rsidRPr="003F1AEA">
        <w:rPr>
          <w:i/>
        </w:rPr>
        <w:t>p</w:t>
      </w:r>
      <w:r w:rsidR="00FA5606" w:rsidRPr="00FA5606">
        <w:rPr>
          <w:rFonts w:cstheme="minorHAnsi"/>
          <w:i/>
          <w:color w:val="222222"/>
          <w:shd w:val="clear" w:color="auto" w:fill="FFFFFF"/>
        </w:rPr>
        <w:t>ër</w:t>
      </w:r>
      <w:r>
        <w:rPr>
          <w:i/>
        </w:rPr>
        <w:t xml:space="preserve"> </w:t>
      </w:r>
      <w:r w:rsidR="00A50A43">
        <w:rPr>
          <w:i/>
        </w:rPr>
        <w:t>trajt</w:t>
      </w:r>
      <w:r>
        <w:rPr>
          <w:i/>
        </w:rPr>
        <w:t>imi</w:t>
      </w:r>
      <w:r w:rsidR="003F1AEA">
        <w:rPr>
          <w:i/>
        </w:rPr>
        <w:t>n</w:t>
      </w:r>
      <w:r>
        <w:rPr>
          <w:i/>
        </w:rPr>
        <w:t xml:space="preserve"> </w:t>
      </w:r>
      <w:r w:rsidR="003F1AEA">
        <w:rPr>
          <w:i/>
        </w:rPr>
        <w:t xml:space="preserve">e </w:t>
      </w:r>
      <w:r>
        <w:rPr>
          <w:i/>
        </w:rPr>
        <w:t>tyre. Inspektimet e ASCAP</w:t>
      </w:r>
      <w:r w:rsidR="003F1AEA">
        <w:rPr>
          <w:i/>
        </w:rPr>
        <w:t>-it</w:t>
      </w:r>
      <w:r>
        <w:rPr>
          <w:i/>
        </w:rPr>
        <w:t>, që ndërmerren në bazë të vlerësimit të rrezikut, do të jenë burim i rëndësishëm i informacionit për analiza të kësaj natyre.</w:t>
      </w:r>
    </w:p>
    <w:p w:rsidR="003D133F" w:rsidRPr="00E97254" w:rsidRDefault="003D133F" w:rsidP="000C0250">
      <w:pPr>
        <w:pBdr>
          <w:top w:val="nil"/>
          <w:left w:val="nil"/>
          <w:bottom w:val="nil"/>
          <w:right w:val="nil"/>
          <w:between w:val="nil"/>
        </w:pBdr>
        <w:spacing w:after="0"/>
        <w:ind w:left="720"/>
        <w:jc w:val="both"/>
        <w:rPr>
          <w:u w:val="single"/>
        </w:rPr>
      </w:pPr>
    </w:p>
    <w:p w:rsidR="003D133F" w:rsidRPr="00E97254" w:rsidRDefault="004E1F53" w:rsidP="000C0250">
      <w:pPr>
        <w:pBdr>
          <w:top w:val="nil"/>
          <w:left w:val="nil"/>
          <w:bottom w:val="nil"/>
          <w:right w:val="nil"/>
          <w:between w:val="nil"/>
        </w:pBdr>
        <w:spacing w:after="0"/>
        <w:jc w:val="both"/>
      </w:pPr>
      <w:r>
        <w:rPr>
          <w:u w:val="single"/>
        </w:rPr>
        <w:t>Produkti B1.2</w:t>
      </w:r>
      <w:r>
        <w:t>. Përmirësimi i drejtimit dhe menaxhimit të institucioneve arsimore</w:t>
      </w:r>
    </w:p>
    <w:p w:rsidR="003D133F" w:rsidRPr="00E97254" w:rsidRDefault="004E1F53" w:rsidP="000C0250">
      <w:pPr>
        <w:pBdr>
          <w:top w:val="nil"/>
          <w:left w:val="nil"/>
          <w:bottom w:val="nil"/>
          <w:right w:val="nil"/>
          <w:between w:val="nil"/>
        </w:pBdr>
        <w:spacing w:after="0"/>
        <w:jc w:val="both"/>
        <w:rPr>
          <w:i/>
        </w:rPr>
      </w:pPr>
      <w:r>
        <w:t xml:space="preserve">B1.2.1. Trajnimi i drejtuesve të shkollave. </w:t>
      </w:r>
      <w:r>
        <w:rPr>
          <w:i/>
        </w:rPr>
        <w:t xml:space="preserve">Trajnimet e drejtuesve të shkollave do të bëhen nga Shkolla e Drejtorëve, e cila ofron programe për trajnimin e detyrueshëm përgatitor që </w:t>
      </w:r>
      <w:r w:rsidR="003F1AEA">
        <w:rPr>
          <w:i/>
        </w:rPr>
        <w:t>sjellin</w:t>
      </w:r>
      <w:r>
        <w:rPr>
          <w:i/>
        </w:rPr>
        <w:t xml:space="preserve"> certifikimin për drejtues të shkollës, si dhe programe të zhvillimit profesional të vazhdueshëm për drejtues të shkollave. </w:t>
      </w:r>
    </w:p>
    <w:p w:rsidR="00E766C3" w:rsidRPr="00E97254" w:rsidRDefault="004E1F53" w:rsidP="000C0250">
      <w:pPr>
        <w:pBdr>
          <w:top w:val="nil"/>
          <w:left w:val="nil"/>
          <w:bottom w:val="nil"/>
          <w:right w:val="nil"/>
          <w:between w:val="nil"/>
        </w:pBdr>
        <w:spacing w:after="0"/>
        <w:jc w:val="both"/>
      </w:pPr>
      <w:r>
        <w:t xml:space="preserve">B1.2.2. Avancimi i kritereve dhe hartimi i udhëzimeve për emërimin e drejtuesve të shkollave. </w:t>
      </w:r>
      <w:r>
        <w:rPr>
          <w:i/>
        </w:rPr>
        <w:t>MASR</w:t>
      </w:r>
      <w:r w:rsidR="003F1AEA">
        <w:rPr>
          <w:i/>
        </w:rPr>
        <w:t>-ja</w:t>
      </w:r>
      <w:r>
        <w:rPr>
          <w:i/>
        </w:rPr>
        <w:t xml:space="preserve"> do t’i rishikojë standardet për drejtuesit e shkollave, duke i përshtatur ato me kërkesat e kurrikulës së re dhe nevojat e shkollës bashkëkohore.</w:t>
      </w:r>
      <w:r>
        <w:t xml:space="preserve"> </w:t>
      </w:r>
    </w:p>
    <w:p w:rsidR="003D133F" w:rsidRPr="00E97254" w:rsidRDefault="004E1F53" w:rsidP="000C0250">
      <w:pPr>
        <w:pBdr>
          <w:top w:val="nil"/>
          <w:left w:val="nil"/>
          <w:bottom w:val="nil"/>
          <w:right w:val="nil"/>
          <w:between w:val="nil"/>
        </w:pBdr>
        <w:spacing w:after="0"/>
        <w:jc w:val="both"/>
        <w:rPr>
          <w:i/>
        </w:rPr>
      </w:pPr>
      <w:r>
        <w:t xml:space="preserve">B1.2.3. Vlerësimi i drejtuesve të shkollave. </w:t>
      </w:r>
      <w:r>
        <w:rPr>
          <w:i/>
        </w:rPr>
        <w:t>Standardet e rishikuar për drejtuesit e shkollave do të shërbejnë si bazë për vlerësimin e performancës së tyre. Për vlerësimin e performancës do të nxirret një urdhër i veçantë i Ministrit.</w:t>
      </w:r>
      <w:r>
        <w:t xml:space="preserve"> </w:t>
      </w:r>
    </w:p>
    <w:p w:rsidR="003D133F" w:rsidRPr="00E97254" w:rsidRDefault="003D133F" w:rsidP="000C0250">
      <w:pPr>
        <w:pBdr>
          <w:top w:val="nil"/>
          <w:left w:val="nil"/>
          <w:bottom w:val="nil"/>
          <w:right w:val="nil"/>
          <w:between w:val="nil"/>
        </w:pBdr>
        <w:spacing w:after="0"/>
        <w:jc w:val="both"/>
      </w:pPr>
    </w:p>
    <w:p w:rsidR="003D133F" w:rsidRPr="00E97254" w:rsidRDefault="004E1F53" w:rsidP="000C0250">
      <w:pPr>
        <w:pBdr>
          <w:top w:val="nil"/>
          <w:left w:val="nil"/>
          <w:bottom w:val="nil"/>
          <w:right w:val="nil"/>
          <w:between w:val="nil"/>
        </w:pBdr>
        <w:spacing w:after="0"/>
        <w:jc w:val="both"/>
      </w:pPr>
      <w:r>
        <w:rPr>
          <w:u w:val="single"/>
        </w:rPr>
        <w:t>Produkti B1.3</w:t>
      </w:r>
      <w:r>
        <w:t>. Vlerësimi i jashtëm dhe i brendshëm janë në funksion të përmirësimit të shkollës</w:t>
      </w:r>
    </w:p>
    <w:p w:rsidR="003D133F" w:rsidRPr="00E97254" w:rsidRDefault="004E1F53" w:rsidP="000C0250">
      <w:pPr>
        <w:pBdr>
          <w:top w:val="nil"/>
          <w:left w:val="nil"/>
          <w:bottom w:val="nil"/>
          <w:right w:val="nil"/>
          <w:between w:val="nil"/>
        </w:pBdr>
        <w:spacing w:after="0"/>
        <w:jc w:val="both"/>
        <w:rPr>
          <w:i/>
        </w:rPr>
      </w:pPr>
      <w:r>
        <w:t xml:space="preserve">B1.3.1. Trajnimi i inspektorëve dhe drejtuesve e stafeve të shkollave lidhur me kornizën e vlerësimit të cilësisë. </w:t>
      </w:r>
      <w:r>
        <w:rPr>
          <w:i/>
        </w:rPr>
        <w:t xml:space="preserve">Trajnimi i inspektorëve të DRAP-ve që do të jenë të ngarkuar me vlerësimin e jashtëm të shkollave </w:t>
      </w:r>
      <w:r>
        <w:rPr>
          <w:i/>
        </w:rPr>
        <w:lastRenderedPageBreak/>
        <w:t>do të organizohet nga ASCAP</w:t>
      </w:r>
      <w:r w:rsidR="005C1AC1">
        <w:rPr>
          <w:i/>
        </w:rPr>
        <w:t>-i</w:t>
      </w:r>
      <w:r>
        <w:rPr>
          <w:i/>
        </w:rPr>
        <w:t xml:space="preserve">, duke mbuluar tema kyçe si shfrytëzimi i treguesve të cilësisë nga “Korniza për vlerësimin e shkollës”, mbledhja e të dhënave </w:t>
      </w:r>
      <w:r w:rsidR="00A45C61">
        <w:rPr>
          <w:i/>
        </w:rPr>
        <w:t>përkatës</w:t>
      </w:r>
      <w:r>
        <w:rPr>
          <w:i/>
        </w:rPr>
        <w:t>e dhe dhënia e informacioneve reflektuese. Trajnimi do të bazohet në shembuj nga praktika dhe do të përfshijë në vete edhe punën praktike në terren nën mbikëqyrjen e specialistëve të ASCAP</w:t>
      </w:r>
      <w:r w:rsidR="005C1AC1">
        <w:rPr>
          <w:i/>
        </w:rPr>
        <w:t>-it</w:t>
      </w:r>
      <w:r>
        <w:rPr>
          <w:i/>
        </w:rPr>
        <w:t xml:space="preserve">. Trajnime do të organizohen edhe për drejtues dhe stafe të shkollave me fokus në përmirësimin e vlerësimit të brendshëm të cilësisë. </w:t>
      </w:r>
    </w:p>
    <w:p w:rsidR="003D133F" w:rsidRPr="00E97254" w:rsidRDefault="004E1F53" w:rsidP="000C0250">
      <w:pPr>
        <w:pBdr>
          <w:top w:val="nil"/>
          <w:left w:val="nil"/>
          <w:bottom w:val="nil"/>
          <w:right w:val="nil"/>
          <w:between w:val="nil"/>
        </w:pBdr>
        <w:spacing w:after="0"/>
        <w:jc w:val="both"/>
        <w:rPr>
          <w:i/>
        </w:rPr>
      </w:pPr>
      <w:r>
        <w:t xml:space="preserve">B1.3.2. Mbështetja e vazhdueshme e shkollave me performancë të ulët </w:t>
      </w:r>
      <w:r w:rsidR="003F1AEA">
        <w:t>p</w:t>
      </w:r>
      <w:r w:rsidR="003F1AEA" w:rsidRPr="00E97254">
        <w:rPr>
          <w:rFonts w:cs="Times New Roman"/>
          <w:shd w:val="clear" w:color="auto" w:fill="FFFFFF"/>
        </w:rPr>
        <w:t>ë</w:t>
      </w:r>
      <w:r w:rsidR="003F1AEA">
        <w:t>r</w:t>
      </w:r>
      <w:r>
        <w:t xml:space="preserve"> përmirësimin e tyre. </w:t>
      </w:r>
      <w:r>
        <w:rPr>
          <w:i/>
        </w:rPr>
        <w:t xml:space="preserve">Shkollave me performancë më të ulët do t’u ofrohet mbështetje e veçantë për përmirësim nga ZVAP-të dhe DRAP-të përkatëse. Kjo mund të arrihet </w:t>
      </w:r>
      <w:r w:rsidR="00A50A43">
        <w:rPr>
          <w:i/>
        </w:rPr>
        <w:t>nëpërmjet</w:t>
      </w:r>
      <w:r>
        <w:rPr>
          <w:i/>
        </w:rPr>
        <w:t xml:space="preserve"> mbikëqyrjeve dhe këshillimit të shtuar, por edhe krijimit të rrjeteve të shkollave në nivel lokal </w:t>
      </w:r>
      <w:r w:rsidR="003F1AEA">
        <w:rPr>
          <w:i/>
        </w:rPr>
        <w:t>p</w:t>
      </w:r>
      <w:r w:rsidR="00FA5606" w:rsidRPr="00FA5606">
        <w:rPr>
          <w:rFonts w:cs="Times New Roman"/>
          <w:i/>
          <w:shd w:val="clear" w:color="auto" w:fill="FFFFFF"/>
        </w:rPr>
        <w:t>ër</w:t>
      </w:r>
      <w:r>
        <w:rPr>
          <w:i/>
        </w:rPr>
        <w:t xml:space="preserve"> </w:t>
      </w:r>
      <w:r w:rsidR="003F1AEA">
        <w:rPr>
          <w:i/>
        </w:rPr>
        <w:t xml:space="preserve">ofrimin e </w:t>
      </w:r>
      <w:r>
        <w:rPr>
          <w:i/>
        </w:rPr>
        <w:t xml:space="preserve">ndihmës së nevojshme për përmirësim të performancës. </w:t>
      </w:r>
    </w:p>
    <w:p w:rsidR="003D133F" w:rsidRPr="00E97254" w:rsidRDefault="004E1F53" w:rsidP="000C0250">
      <w:pPr>
        <w:spacing w:after="0"/>
        <w:jc w:val="both"/>
        <w:rPr>
          <w:i/>
        </w:rPr>
      </w:pPr>
      <w:r>
        <w:t xml:space="preserve">B1.3.3. Kontrolli i cilësisë të vlerësimeve të jashtme i bazuar në risk. </w:t>
      </w:r>
      <w:r w:rsidR="00F919F3">
        <w:rPr>
          <w:i/>
        </w:rPr>
        <w:t>Në përputhje me</w:t>
      </w:r>
      <w:r>
        <w:rPr>
          <w:i/>
        </w:rPr>
        <w:t xml:space="preserve"> </w:t>
      </w:r>
      <w:r w:rsidR="00F919F3">
        <w:rPr>
          <w:i/>
        </w:rPr>
        <w:t xml:space="preserve">detyrat e </w:t>
      </w:r>
      <w:r>
        <w:rPr>
          <w:i/>
        </w:rPr>
        <w:t>veta, Drejtoria e Vlerësimit të Cilësisë të ASCAP</w:t>
      </w:r>
      <w:r w:rsidR="005C1AC1">
        <w:rPr>
          <w:i/>
        </w:rPr>
        <w:t>-it</w:t>
      </w:r>
      <w:r>
        <w:rPr>
          <w:i/>
        </w:rPr>
        <w:t xml:space="preserve"> do të bëj</w:t>
      </w:r>
      <w:r w:rsidR="005C1AC1">
        <w:rPr>
          <w:i/>
        </w:rPr>
        <w:t>ë</w:t>
      </w:r>
      <w:r>
        <w:rPr>
          <w:i/>
        </w:rPr>
        <w:t xml:space="preserve"> vlerësime të jashtme të shkollave të bazuara në risk, </w:t>
      </w:r>
      <w:r w:rsidR="00A50A43">
        <w:rPr>
          <w:i/>
        </w:rPr>
        <w:t>nëpërmjet</w:t>
      </w:r>
      <w:r>
        <w:rPr>
          <w:i/>
        </w:rPr>
        <w:t xml:space="preserve"> të cilave do të realizohet edhe një kontroll i cilësisë i vlerësimeve të jashtme të realizuara nga DRAP-të. </w:t>
      </w:r>
    </w:p>
    <w:p w:rsidR="00E30D9C" w:rsidRPr="00E97254" w:rsidRDefault="004E1F53" w:rsidP="000C0250">
      <w:pPr>
        <w:spacing w:after="0"/>
        <w:jc w:val="both"/>
        <w:rPr>
          <w:b/>
        </w:rPr>
      </w:pPr>
      <w:r>
        <w:rPr>
          <w:b/>
        </w:rPr>
        <w:t>Treguesit</w:t>
      </w:r>
    </w:p>
    <w:p w:rsidR="00E30D9C" w:rsidRPr="00E97254" w:rsidRDefault="004E1F53" w:rsidP="000C0250">
      <w:pPr>
        <w:pStyle w:val="ListParagraph"/>
        <w:numPr>
          <w:ilvl w:val="0"/>
          <w:numId w:val="32"/>
        </w:numPr>
        <w:spacing w:after="0"/>
        <w:jc w:val="both"/>
        <w:rPr>
          <w:color w:val="000000" w:themeColor="text1"/>
        </w:rPr>
      </w:pPr>
      <w:r>
        <w:rPr>
          <w:color w:val="000000" w:themeColor="text1"/>
        </w:rPr>
        <w:t>Numri i inspektorëve të trajnuar</w:t>
      </w:r>
    </w:p>
    <w:p w:rsidR="00E30D9C" w:rsidRPr="00E97254" w:rsidRDefault="004E1F53" w:rsidP="000C0250">
      <w:pPr>
        <w:pStyle w:val="ListParagraph"/>
        <w:numPr>
          <w:ilvl w:val="0"/>
          <w:numId w:val="32"/>
        </w:numPr>
        <w:spacing w:after="0"/>
        <w:jc w:val="both"/>
        <w:rPr>
          <w:color w:val="000000" w:themeColor="text1"/>
        </w:rPr>
      </w:pPr>
      <w:r>
        <w:rPr>
          <w:color w:val="000000" w:themeColor="text1"/>
        </w:rPr>
        <w:t>Numri i të certifikuarve nga Shkolla e Drejtorëve</w:t>
      </w:r>
    </w:p>
    <w:p w:rsidR="00E30D9C" w:rsidRPr="00E97254" w:rsidRDefault="004E1F53" w:rsidP="000C0250">
      <w:pPr>
        <w:pStyle w:val="ListParagraph"/>
        <w:numPr>
          <w:ilvl w:val="0"/>
          <w:numId w:val="32"/>
        </w:numPr>
        <w:spacing w:after="0"/>
        <w:jc w:val="both"/>
        <w:rPr>
          <w:color w:val="000000" w:themeColor="text1"/>
        </w:rPr>
      </w:pPr>
      <w:r>
        <w:rPr>
          <w:color w:val="000000" w:themeColor="text1"/>
        </w:rPr>
        <w:t>Numri i vlerësimeve të performancës së drejtorëve</w:t>
      </w:r>
    </w:p>
    <w:p w:rsidR="00E30D9C" w:rsidRPr="00E97254" w:rsidRDefault="004E1F53" w:rsidP="000C0250">
      <w:pPr>
        <w:pStyle w:val="ListParagraph"/>
        <w:numPr>
          <w:ilvl w:val="0"/>
          <w:numId w:val="32"/>
        </w:numPr>
        <w:spacing w:after="0"/>
        <w:jc w:val="both"/>
        <w:rPr>
          <w:color w:val="000000" w:themeColor="text1"/>
        </w:rPr>
      </w:pPr>
      <w:r>
        <w:rPr>
          <w:color w:val="000000" w:themeColor="text1"/>
        </w:rPr>
        <w:t>Numri i vlerësimeve të jashtme të shkollave</w:t>
      </w:r>
    </w:p>
    <w:p w:rsidR="00E30D9C" w:rsidRPr="00E97254" w:rsidRDefault="004E1F53" w:rsidP="000C0250">
      <w:pPr>
        <w:pStyle w:val="ListParagraph"/>
        <w:numPr>
          <w:ilvl w:val="0"/>
          <w:numId w:val="32"/>
        </w:numPr>
        <w:spacing w:after="0"/>
        <w:jc w:val="both"/>
        <w:rPr>
          <w:color w:val="000000" w:themeColor="text1"/>
        </w:rPr>
      </w:pPr>
      <w:r>
        <w:rPr>
          <w:color w:val="000000" w:themeColor="text1"/>
        </w:rPr>
        <w:t>Numri i vlerësimeve nga ASCAP</w:t>
      </w:r>
      <w:r w:rsidR="005C1AC1">
        <w:rPr>
          <w:color w:val="000000" w:themeColor="text1"/>
        </w:rPr>
        <w:t>-i</w:t>
      </w:r>
      <w:r>
        <w:rPr>
          <w:color w:val="000000" w:themeColor="text1"/>
        </w:rPr>
        <w:t xml:space="preserve"> i bazuar në risk</w:t>
      </w:r>
    </w:p>
    <w:p w:rsidR="00E30D9C" w:rsidRPr="00E97254" w:rsidRDefault="00E30D9C" w:rsidP="000C0250">
      <w:pPr>
        <w:spacing w:after="0"/>
        <w:jc w:val="both"/>
      </w:pPr>
    </w:p>
    <w:p w:rsidR="00E30D9C" w:rsidRPr="00E97254" w:rsidRDefault="00E30D9C" w:rsidP="000C0250">
      <w:pPr>
        <w:spacing w:after="0"/>
        <w:jc w:val="both"/>
      </w:pPr>
    </w:p>
    <w:p w:rsidR="00F27EEE" w:rsidRPr="00E97254" w:rsidRDefault="00FA5606" w:rsidP="000C0250">
      <w:pPr>
        <w:pStyle w:val="Heading3"/>
        <w:spacing w:after="120"/>
        <w:jc w:val="both"/>
      </w:pPr>
      <w:bookmarkStart w:id="127" w:name="_Toc66802018"/>
      <w:r w:rsidRPr="00FA5606">
        <w:t>Objektivi specifik B2: Niveli i sistemit</w:t>
      </w:r>
      <w:bookmarkEnd w:id="127"/>
    </w:p>
    <w:p w:rsidR="00266706" w:rsidRPr="00E97254" w:rsidRDefault="003A44C5" w:rsidP="000C0250">
      <w:pPr>
        <w:spacing w:before="240" w:after="0"/>
        <w:jc w:val="both"/>
      </w:pPr>
      <w:r>
        <w:rPr>
          <w:noProof/>
        </w:rPr>
        <mc:AlternateContent>
          <mc:Choice Requires="wps">
            <w:drawing>
              <wp:inline distT="0" distB="0" distL="0" distR="0">
                <wp:extent cx="5943600" cy="488950"/>
                <wp:effectExtent l="12700" t="12700" r="0" b="6350"/>
                <wp:docPr id="12"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43600" cy="488950"/>
                        </a:xfrm>
                        <a:prstGeom prst="rect">
                          <a:avLst/>
                        </a:prstGeom>
                        <a:solidFill>
                          <a:srgbClr val="EBF1DE"/>
                        </a:solidFill>
                        <a:ln w="25400">
                          <a:solidFill>
                            <a:srgbClr val="8064A2"/>
                          </a:solidFill>
                          <a:miter lim="800000"/>
                          <a:headEnd/>
                          <a:tailEnd/>
                        </a:ln>
                      </wps:spPr>
                      <wps:txbx>
                        <w:txbxContent>
                          <w:p w:rsidR="00753C65" w:rsidRPr="003D71F2" w:rsidRDefault="00753C65" w:rsidP="008442A3">
                            <w:pPr>
                              <w:pStyle w:val="Default"/>
                              <w:rPr>
                                <w:color w:val="FF0000"/>
                                <w:sz w:val="22"/>
                                <w:szCs w:val="22"/>
                              </w:rPr>
                            </w:pPr>
                            <w:r w:rsidRPr="00F27EEE">
                              <w:t>Garantimi i perfo</w:t>
                            </w:r>
                            <w:r>
                              <w:t>rmancës së sistemit të arsimit nëpërmjet</w:t>
                            </w:r>
                            <w:r w:rsidRPr="00F27EEE">
                              <w:t xml:space="preserve"> ndërtimit të një kornize gjithëpërfshirëse të vlerësimit dhe kapaciteteve për zbatimin e saj</w:t>
                            </w:r>
                            <w:r>
                              <w:t>.</w:t>
                            </w:r>
                          </w:p>
                        </w:txbxContent>
                      </wps:txbx>
                      <wps:bodyPr rot="0" vert="horz" wrap="square" lIns="91440" tIns="45720" rIns="91440" bIns="45720" anchor="t" anchorCtr="0" upright="1">
                        <a:spAutoFit/>
                      </wps:bodyPr>
                    </wps:wsp>
                  </a:graphicData>
                </a:graphic>
              </wp:inline>
            </w:drawing>
          </mc:Choice>
          <mc:Fallback>
            <w:pict>
              <v:shape id="Text Box 45" o:spid="_x0000_s1069" type="#_x0000_t202" style="width:468pt;height:3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" fillcolor="#ebf1de" strokecolor="#8064a2" strokeweight="2pt">
                <v:path arrowok="t"/>
                <v:textbox style="mso-fit-shape-to-text:t">
                  <w:txbxContent>
                    <w:p w:rsidR="00753C65" w:rsidRPr="003D71F2" w:rsidRDefault="00753C65" w:rsidP="008442A3">
                      <w:pPr>
                        <w:pStyle w:val="Default"/>
                        <w:rPr>
                          <w:color w:val="FF0000"/>
                          <w:sz w:val="22"/>
                          <w:szCs w:val="22"/>
                        </w:rPr>
                      </w:pPr>
                      <w:r w:rsidRPr="00F27EEE">
                        <w:t>Garantimi i perfo</w:t>
                      </w:r>
                      <w:r>
                        <w:t>rmancës së sistemit të arsimit nëpërmjet</w:t>
                      </w:r>
                      <w:r w:rsidRPr="00F27EEE">
                        <w:t xml:space="preserve"> ndërtimit të një kornize gjithëpërfshirëse të vlerësimit dhe kapaciteteve për zbatimin e saj</w:t>
                      </w:r>
                      <w:r>
                        <w:t>.</w:t>
                      </w:r>
                    </w:p>
                  </w:txbxContent>
                </v:textbox>
                <w10:anchorlock/>
              </v:shape>
            </w:pict>
          </mc:Fallback>
        </mc:AlternateContent>
      </w:r>
      <w:r w:rsidR="00266706" w:rsidRPr="00E97254">
        <w:t>Vlerësimi i performancës së sistemit të arsimit ka dy qëllime kryesore: 1) të nxisë llogaridhënien e aktorëve të sistemit të arsimit për arritjen e objektivave të përcaktuara; 2) të bëj</w:t>
      </w:r>
      <w:r w:rsidR="005C1AC1">
        <w:rPr>
          <w:i/>
        </w:rPr>
        <w:t>ë</w:t>
      </w:r>
      <w:r w:rsidR="00266706" w:rsidRPr="00E97254">
        <w:t xml:space="preserve"> përmirësime në politikat arsimore dhe rezultatet e sistemit të arsimit, duke krijuar dhe shfrytëzuar informacionin për gjendjen e sistemit. Vlerësimi i performancës së sistemit po bëhet gjithnjë e më i rëndësishëm në dekadat e fundit për shkak të rritjes së presionit ndaj qeverive që të arsyetojnë shpenzimin e përgjegjshëm dhe efektiv të parasë publike. Shqi</w:t>
      </w:r>
      <w:r w:rsidR="004E1F53">
        <w:t xml:space="preserve">përia tanimë ka bërë hapat e parë drejt vlerësimit të performancës së sistemit të arsimit duke krijuar një drejtori të veçantë për performancën e sistemit parauniversitar brenda ASCAP-it, si dhe duke avancuar në krijimin e një sistemi të mirëfilltë të menaxhimit të informacioneve në arsimin parauniversitar. Ky objektiv specifik përcakton masat e tjera që duhet marrë që vlerësimi i performancës së sistemit të arsimit të realizohet në kuptimin e plotë të fjalës dhe në përputhje me praktikat më të mira ndërkombëtare. </w:t>
      </w:r>
    </w:p>
    <w:p w:rsidR="008C0BA0" w:rsidRPr="00E97254" w:rsidRDefault="004E1F53" w:rsidP="000C0250">
      <w:pPr>
        <w:spacing w:after="0"/>
        <w:jc w:val="both"/>
      </w:pPr>
      <w:r>
        <w:rPr>
          <w:b/>
        </w:rPr>
        <w:t xml:space="preserve">Sfidat kryesore </w:t>
      </w:r>
      <w:r>
        <w:t>për këtë objektiv specifik</w:t>
      </w:r>
      <w:r>
        <w:rPr>
          <w:b/>
        </w:rPr>
        <w:t xml:space="preserve"> </w:t>
      </w:r>
      <w:r>
        <w:t xml:space="preserve">dalin nga </w:t>
      </w:r>
      <w:r w:rsidR="00DC4C19">
        <w:t xml:space="preserve">analiza e situatës </w:t>
      </w:r>
      <w:r>
        <w:t>e dhënë në seksionin 4.3.5:</w:t>
      </w:r>
    </w:p>
    <w:p w:rsidR="008C0BA0" w:rsidRPr="00E97254" w:rsidRDefault="004E1F53" w:rsidP="000C0250">
      <w:pPr>
        <w:pStyle w:val="ListParagraph"/>
        <w:numPr>
          <w:ilvl w:val="0"/>
          <w:numId w:val="31"/>
        </w:numPr>
        <w:pBdr>
          <w:top w:val="nil"/>
          <w:left w:val="nil"/>
          <w:bottom w:val="nil"/>
          <w:right w:val="nil"/>
          <w:between w:val="nil"/>
        </w:pBdr>
        <w:spacing w:after="0"/>
        <w:jc w:val="both"/>
      </w:pPr>
      <w:r>
        <w:t xml:space="preserve">Mungesa e një sistemi të mirëfilltë të menaxhimit të informacioneve në arsim. Për momentin, </w:t>
      </w:r>
      <w:r>
        <w:rPr>
          <w:rFonts w:ascii="Calibri" w:hAnsi="Calibri" w:cs="Calibri"/>
        </w:rPr>
        <w:t xml:space="preserve">QSHA-ja mbledh të dhëna për çdo nxënës nga shkollat publike nëpërmjet </w:t>
      </w:r>
      <w:r>
        <w:t xml:space="preserve">Sistemit të Menaxhimit të </w:t>
      </w:r>
      <w:r>
        <w:lastRenderedPageBreak/>
        <w:t>Informacionit Parauniversitar (SMIP)</w:t>
      </w:r>
      <w:r>
        <w:rPr>
          <w:rFonts w:ascii="Calibri" w:hAnsi="Calibri" w:cs="Calibri"/>
        </w:rPr>
        <w:t xml:space="preserve">, i cili është në zhvillim e sipër. Ndërkaq, një sistem i tillë nuk ekziston për arsimin e lartë, gjë që </w:t>
      </w:r>
      <w:r w:rsidR="003F1AEA">
        <w:rPr>
          <w:rFonts w:ascii="Calibri" w:hAnsi="Calibri" w:cs="Calibri"/>
        </w:rPr>
        <w:t xml:space="preserve">sjell </w:t>
      </w:r>
      <w:r>
        <w:rPr>
          <w:rFonts w:ascii="Calibri" w:hAnsi="Calibri" w:cs="Calibri"/>
        </w:rPr>
        <w:t xml:space="preserve">mungesën e informacionit </w:t>
      </w:r>
      <w:r w:rsidR="00A45C61">
        <w:rPr>
          <w:rFonts w:ascii="Calibri" w:hAnsi="Calibri" w:cs="Calibri"/>
        </w:rPr>
        <w:t>përkatës</w:t>
      </w:r>
      <w:r>
        <w:rPr>
          <w:rFonts w:ascii="Calibri" w:hAnsi="Calibri" w:cs="Calibri"/>
        </w:rPr>
        <w:t xml:space="preserve"> në këtë sektor dhe pamundësinë e nxjerrjes së treguesve të cilët do të bënin të mundur krahasimin me vendet tjera. Në fakt, në arsimin e lartë ekziston sistemi UAlbania i menaxhuar nga RASH</w:t>
      </w:r>
      <w:r w:rsidR="005C1AC1">
        <w:rPr>
          <w:rFonts w:ascii="Calibri" w:hAnsi="Calibri" w:cs="Calibri"/>
        </w:rPr>
        <w:t>-i</w:t>
      </w:r>
      <w:r>
        <w:rPr>
          <w:rFonts w:ascii="Calibri" w:hAnsi="Calibri" w:cs="Calibri"/>
        </w:rPr>
        <w:t xml:space="preserve"> për pranimin në IAL-të shqiptare i cili mund të shërbej</w:t>
      </w:r>
      <w:r w:rsidR="00FA5606" w:rsidRPr="00FA5606">
        <w:t>ë</w:t>
      </w:r>
      <w:r>
        <w:rPr>
          <w:rFonts w:ascii="Calibri" w:hAnsi="Calibri" w:cs="Calibri"/>
        </w:rPr>
        <w:t xml:space="preserve"> si bërthamë për një sistem të mirëfilltë të menaxhimit të informacionit në arsimin e lartë, pasi ka informacion të plotë për </w:t>
      </w:r>
      <w:r w:rsidR="005C1AC1">
        <w:rPr>
          <w:rFonts w:ascii="Calibri" w:hAnsi="Calibri" w:cs="Calibri"/>
        </w:rPr>
        <w:t>studentët</w:t>
      </w:r>
      <w:r>
        <w:rPr>
          <w:rFonts w:ascii="Calibri" w:hAnsi="Calibri" w:cs="Calibri"/>
        </w:rPr>
        <w:t xml:space="preserve"> që regjistrohen në IAL. Por, ky sistem duhet plotësuar edhe me module që bëjnë të mundur përditësimin e të dhënave nga IAL-të gjatë periudhës së studimeve, si dhe me matrikulimin dhe regjistrimin e diplomës. </w:t>
      </w:r>
    </w:p>
    <w:p w:rsidR="008C0BA0" w:rsidRPr="00E97254" w:rsidRDefault="004E1F53" w:rsidP="000C0250">
      <w:pPr>
        <w:numPr>
          <w:ilvl w:val="0"/>
          <w:numId w:val="31"/>
        </w:numPr>
        <w:pBdr>
          <w:top w:val="nil"/>
          <w:left w:val="nil"/>
          <w:bottom w:val="nil"/>
          <w:right w:val="nil"/>
          <w:between w:val="nil"/>
        </w:pBdr>
        <w:spacing w:after="0"/>
        <w:jc w:val="both"/>
      </w:pPr>
      <w:r>
        <w:t xml:space="preserve">Shqipëria nuk ka realizuar analizën e performancës dhe nuk ka hartuar raporte për performancën e sistemit arsimor. </w:t>
      </w:r>
      <w:r>
        <w:rPr>
          <w:rFonts w:ascii="Calibri" w:hAnsi="Calibri" w:cs="Calibri"/>
        </w:rPr>
        <w:t>Në këtë drejtim mungon një proces konsultimi me palët kyç të interesit në Sistemin Arsimor që do të çonte në vlerësim të besueshëm të performancës, dhe do të nxiste llogaridhënien dhe përgjegjësinë e ndarë për rezultatet.</w:t>
      </w:r>
    </w:p>
    <w:p w:rsidR="003D133F" w:rsidRPr="00E97254" w:rsidRDefault="003D133F" w:rsidP="000C0250">
      <w:pPr>
        <w:pBdr>
          <w:top w:val="nil"/>
          <w:left w:val="nil"/>
          <w:bottom w:val="nil"/>
          <w:right w:val="nil"/>
          <w:between w:val="nil"/>
        </w:pBdr>
        <w:spacing w:before="120" w:after="0"/>
        <w:jc w:val="both"/>
      </w:pPr>
    </w:p>
    <w:p w:rsidR="003D133F" w:rsidRPr="00E97254" w:rsidRDefault="004E1F53" w:rsidP="000C0250">
      <w:pPr>
        <w:spacing w:after="0"/>
        <w:jc w:val="both"/>
      </w:pPr>
      <w:r>
        <w:rPr>
          <w:b/>
        </w:rPr>
        <w:t>Produktet/Rezultatet e pritshme</w:t>
      </w:r>
      <w:r>
        <w:t xml:space="preserve"> </w:t>
      </w:r>
      <w:r>
        <w:rPr>
          <w:b/>
        </w:rPr>
        <w:t>dhe masat.</w:t>
      </w:r>
      <w:r>
        <w:rPr>
          <w:b/>
        </w:rPr>
        <w:softHyphen/>
      </w:r>
      <w:r>
        <w:t>- Në vijim janë dhënë produktet dhe masat e ndërlidhura me objektivin specifik B2.</w:t>
      </w:r>
    </w:p>
    <w:p w:rsidR="003D133F" w:rsidRPr="00E97254" w:rsidRDefault="004E1F53" w:rsidP="000C0250">
      <w:pPr>
        <w:spacing w:after="0"/>
        <w:jc w:val="both"/>
      </w:pPr>
      <w:r>
        <w:rPr>
          <w:u w:val="single"/>
        </w:rPr>
        <w:t>Produkti B2.1</w:t>
      </w:r>
      <w:r>
        <w:t>. Funksionalizimi i plotë i Sistemit të Menaxhimit të Informacionit Parauniversitar (SMIP)</w:t>
      </w:r>
    </w:p>
    <w:p w:rsidR="001C1421" w:rsidRPr="00E97254" w:rsidRDefault="004E1F53" w:rsidP="000C0250">
      <w:pPr>
        <w:spacing w:after="0"/>
        <w:jc w:val="both"/>
        <w:rPr>
          <w:i/>
        </w:rPr>
      </w:pPr>
      <w:r>
        <w:t>B2.1.1. Konsolidimi i SMIP</w:t>
      </w:r>
      <w:r w:rsidR="005C1AC1">
        <w:t>-it</w:t>
      </w:r>
      <w:r>
        <w:t xml:space="preserve"> për ofrimin e të dhënave të nevojshme për vendimmarrje. </w:t>
      </w:r>
      <w:r>
        <w:rPr>
          <w:i/>
        </w:rPr>
        <w:t>Sistemi i Menaxhimit të Informacionit Parauniversitar (SMIP) do të jetë baza e parë e të dhënave në Shqipëri që kombinon të dhënat administrative me rezultatet e të nxënit në nivelin qendror. Platforma bën të mundur futjen e të dhënave nga shkollat dhe me funksionalizimin e saj do të hiqen nga përdorimi tabelat e Excel</w:t>
      </w:r>
      <w:r w:rsidR="005C1AC1">
        <w:rPr>
          <w:i/>
        </w:rPr>
        <w:t>-</w:t>
      </w:r>
      <w:r>
        <w:rPr>
          <w:i/>
        </w:rPr>
        <w:t xml:space="preserve">it që janë tani në përdorim. Që të dhënat të jenë të besueshme, do të trajnohet personeli përgjegjës në shkolla dhe do të përcaktohen procedura të qarta të sigurimit të cilësisë që bëjnë të mundur identifikimin dhe evitimin e gabimeve në të dhëna. </w:t>
      </w:r>
    </w:p>
    <w:p w:rsidR="00877B35" w:rsidRPr="00E97254" w:rsidRDefault="00877B35" w:rsidP="000C0250">
      <w:pPr>
        <w:spacing w:after="0"/>
        <w:jc w:val="both"/>
        <w:rPr>
          <w:u w:val="single"/>
        </w:rPr>
      </w:pPr>
    </w:p>
    <w:p w:rsidR="003D133F" w:rsidRPr="00E97254" w:rsidRDefault="004E1F53" w:rsidP="000C0250">
      <w:pPr>
        <w:spacing w:after="0"/>
        <w:jc w:val="both"/>
      </w:pPr>
      <w:r>
        <w:rPr>
          <w:u w:val="single"/>
        </w:rPr>
        <w:t>Produkti B2.2</w:t>
      </w:r>
      <w:r>
        <w:t>. Krijimi i Sistemit për Menaxhimin e Informacionit në Arsimin e Lartë (SMIAL)</w:t>
      </w:r>
    </w:p>
    <w:p w:rsidR="00877B35" w:rsidRPr="00E97254" w:rsidRDefault="004E1F53" w:rsidP="000C0250">
      <w:pPr>
        <w:spacing w:after="0"/>
        <w:jc w:val="both"/>
        <w:rPr>
          <w:i/>
        </w:rPr>
      </w:pPr>
      <w:r>
        <w:t>B2.2.1. Zhvillimi dhe zbatimi i SMIAL</w:t>
      </w:r>
      <w:r w:rsidR="005C1AC1">
        <w:t>-it</w:t>
      </w:r>
      <w:r>
        <w:t xml:space="preserve">. </w:t>
      </w:r>
      <w:r>
        <w:rPr>
          <w:i/>
        </w:rPr>
        <w:t>Sistemi për Menaxhimin e Informacionit në Arsimin e Lartë (SMIAL) do të zhvillohet në përputhje me udhëzimet e UNESCO</w:t>
      </w:r>
      <w:r w:rsidR="005C1AC1">
        <w:rPr>
          <w:i/>
        </w:rPr>
        <w:t>-s</w:t>
      </w:r>
      <w:r>
        <w:rPr>
          <w:i/>
        </w:rPr>
        <w:t xml:space="preserve"> IIEP </w:t>
      </w:r>
      <w:sdt>
        <w:sdtPr>
          <w:rPr>
            <w:i/>
          </w:rPr>
          <w:id w:val="-1673178963"/>
          <w:citation/>
        </w:sdtPr>
        <w:sdtEndPr/>
        <w:sdtContent>
          <w:r w:rsidR="00EC56B7" w:rsidRPr="00E97254">
            <w:rPr>
              <w:i/>
            </w:rPr>
            <w:fldChar w:fldCharType="begin"/>
          </w:r>
          <w:r>
            <w:rPr>
              <w:i/>
            </w:rPr>
            <w:instrText xml:space="preserve">CITATION Mar11 \l 1033 </w:instrText>
          </w:r>
          <w:r w:rsidR="00EC56B7" w:rsidRPr="00E97254">
            <w:rPr>
              <w:i/>
            </w:rPr>
            <w:fldChar w:fldCharType="separate"/>
          </w:r>
          <w:r w:rsidR="00724BCC" w:rsidRPr="00E97254">
            <w:t>[79]</w:t>
          </w:r>
          <w:r w:rsidR="00EC56B7" w:rsidRPr="00E97254">
            <w:rPr>
              <w:i/>
            </w:rPr>
            <w:fldChar w:fldCharType="end"/>
          </w:r>
        </w:sdtContent>
      </w:sdt>
      <w:r w:rsidR="001C1421" w:rsidRPr="00E97254">
        <w:rPr>
          <w:i/>
        </w:rPr>
        <w:t xml:space="preserve"> dhe praktikat më të mira ndërkombëtare, duke shërbyer për kryerjen e tre funksioneve të autoriteteve përgjegjëse: 1) informimi për gjendjen në sistemin e arsimit të lartë; 2) monitorimi i progresit të zbatimit të politikave arsimore; 3) menaxhimi i sistemit të arsimit të lartë. </w:t>
      </w:r>
    </w:p>
    <w:p w:rsidR="003D133F" w:rsidRPr="00E97254" w:rsidRDefault="004E1F53" w:rsidP="000C0250">
      <w:pPr>
        <w:spacing w:after="0"/>
        <w:jc w:val="both"/>
      </w:pPr>
      <w:r>
        <w:rPr>
          <w:u w:val="single"/>
        </w:rPr>
        <w:t>Produkti B2.3</w:t>
      </w:r>
      <w:r>
        <w:t xml:space="preserve">. Përcaktimi i treguesve kombëtarë të arsimit </w:t>
      </w:r>
    </w:p>
    <w:p w:rsidR="00877B35" w:rsidRPr="00E97254" w:rsidRDefault="004E1F53" w:rsidP="000C0250">
      <w:pPr>
        <w:spacing w:after="0"/>
        <w:jc w:val="both"/>
        <w:rPr>
          <w:i/>
        </w:rPr>
      </w:pPr>
      <w:r>
        <w:t xml:space="preserve">B2.3.1. Zhvillimi i paketës së treguesve kombëtarë të arsimit. </w:t>
      </w:r>
      <w:r>
        <w:rPr>
          <w:i/>
        </w:rPr>
        <w:t xml:space="preserve">Ministria do të zhvillojë kornizën e treguesve kombëtarë të arsimit që është në përputhje me Strategjinë Kombëtare të Arsimit dhe udhëzon mbledhjen e të dhënave të ndryshme nga sistemi i arsimit. Saktësimi i burimeve të informacionit mund të ndihmojë edhe sistemet për menaxhimin e informacioneve në arsimin parauniversitar dhe të lartë që të bëjnë përmirësime në procesin e mbledhjes së të dhënave. Në veçanti duhet t’i kushtohet kujdes treguesve për rezultatet e të nxënit. </w:t>
      </w:r>
    </w:p>
    <w:p w:rsidR="003D133F" w:rsidRPr="00E97254" w:rsidRDefault="004E1F53" w:rsidP="000C0250">
      <w:pPr>
        <w:spacing w:after="0"/>
        <w:jc w:val="both"/>
      </w:pPr>
      <w:r>
        <w:rPr>
          <w:u w:val="single"/>
        </w:rPr>
        <w:t>Produkti B2.4</w:t>
      </w:r>
      <w:r>
        <w:t>. Ndërtimi i kapaciteteve për vlerësimin e performancës së sistemit</w:t>
      </w:r>
    </w:p>
    <w:p w:rsidR="00E9178B" w:rsidRPr="00E97254" w:rsidRDefault="004E1F53" w:rsidP="000C0250">
      <w:pPr>
        <w:autoSpaceDE w:val="0"/>
        <w:autoSpaceDN w:val="0"/>
        <w:adjustRightInd w:val="0"/>
        <w:spacing w:after="0"/>
        <w:jc w:val="both"/>
        <w:rPr>
          <w:i/>
        </w:rPr>
      </w:pPr>
      <w:r>
        <w:t xml:space="preserve">B2.4.1. Përcaktimi i metodologjisë për analizën e performancës së sistemit. </w:t>
      </w:r>
      <w:r>
        <w:rPr>
          <w:i/>
        </w:rPr>
        <w:t>Drejtoria e Performancës e ASCAP</w:t>
      </w:r>
      <w:r w:rsidR="005C1AC1">
        <w:rPr>
          <w:i/>
        </w:rPr>
        <w:t>-it</w:t>
      </w:r>
      <w:r>
        <w:rPr>
          <w:i/>
        </w:rPr>
        <w:t xml:space="preserve"> do të zhvillojë një metodologji për analizën vjetore të performancës së sistemit të arsimit të </w:t>
      </w:r>
      <w:r>
        <w:rPr>
          <w:i/>
        </w:rPr>
        <w:lastRenderedPageBreak/>
        <w:t>bazuar në paketën e treguesve kombëtarë të arsimit dhe në praktikat më të mira ndërkombëtare. Ky proces do të integrohet me rishikimin e përbashkët të sektorit (Joint Sector Review) sipas modelit të UNESCO</w:t>
      </w:r>
      <w:r w:rsidR="005C1AC1">
        <w:rPr>
          <w:i/>
        </w:rPr>
        <w:t>-s</w:t>
      </w:r>
      <w:r>
        <w:rPr>
          <w:i/>
        </w:rPr>
        <w:t>/Global Partnership for Education (GPE)</w:t>
      </w:r>
      <w:sdt>
        <w:sdtPr>
          <w:rPr>
            <w:i/>
          </w:rPr>
          <w:id w:val="1930534339"/>
          <w:citation/>
        </w:sdtPr>
        <w:sdtEndPr/>
        <w:sdtContent>
          <w:r w:rsidR="00EC56B7" w:rsidRPr="00E97254">
            <w:rPr>
              <w:i/>
            </w:rPr>
            <w:fldChar w:fldCharType="begin"/>
          </w:r>
          <w:r>
            <w:rPr>
              <w:i/>
            </w:rPr>
            <w:instrText xml:space="preserve"> CITATION GPE18 \l 1033 </w:instrText>
          </w:r>
          <w:r w:rsidR="00EC56B7" w:rsidRPr="00E97254">
            <w:rPr>
              <w:i/>
            </w:rPr>
            <w:fldChar w:fldCharType="separate"/>
          </w:r>
          <w:r w:rsidR="00724BCC" w:rsidRPr="00E97254">
            <w:rPr>
              <w:i/>
            </w:rPr>
            <w:t xml:space="preserve"> </w:t>
          </w:r>
          <w:r>
            <w:t>[80]</w:t>
          </w:r>
          <w:r w:rsidR="00EC56B7" w:rsidRPr="00E97254">
            <w:rPr>
              <w:i/>
            </w:rPr>
            <w:fldChar w:fldCharType="end"/>
          </w:r>
        </w:sdtContent>
      </w:sdt>
      <w:r w:rsidR="00E9178B" w:rsidRPr="00E97254">
        <w:t xml:space="preserve">. </w:t>
      </w:r>
      <w:r w:rsidR="00E9178B" w:rsidRPr="00E97254">
        <w:rPr>
          <w:i/>
        </w:rPr>
        <w:t xml:space="preserve">Rishikimi i tillë do të organizohet në formë të dialogut </w:t>
      </w:r>
      <w:r w:rsidR="00D17ECD">
        <w:rPr>
          <w:i/>
        </w:rPr>
        <w:t>midis</w:t>
      </w:r>
      <w:r w:rsidR="00E9178B" w:rsidRPr="00E97254">
        <w:rPr>
          <w:i/>
        </w:rPr>
        <w:t xml:space="preserve"> palëve kyç </w:t>
      </w:r>
      <w:r w:rsidR="00A9722D">
        <w:rPr>
          <w:i/>
        </w:rPr>
        <w:t>t</w:t>
      </w:r>
      <w:r w:rsidR="00A9722D" w:rsidRPr="004E1F53">
        <w:t>ë</w:t>
      </w:r>
      <w:r w:rsidR="00A9722D" w:rsidRPr="00E97254">
        <w:rPr>
          <w:i/>
        </w:rPr>
        <w:t xml:space="preserve"> </w:t>
      </w:r>
      <w:r w:rsidR="00E9178B" w:rsidRPr="00E97254">
        <w:rPr>
          <w:i/>
        </w:rPr>
        <w:t>interes</w:t>
      </w:r>
      <w:r w:rsidR="00A9722D">
        <w:rPr>
          <w:i/>
        </w:rPr>
        <w:t>it</w:t>
      </w:r>
      <w:r w:rsidR="00E9178B" w:rsidRPr="00E97254">
        <w:rPr>
          <w:i/>
        </w:rPr>
        <w:t xml:space="preserve"> dhe do t’i hedh</w:t>
      </w:r>
      <w:r w:rsidR="00A9722D" w:rsidRPr="004E1F53">
        <w:t>ë</w:t>
      </w:r>
      <w:r w:rsidR="00E9178B" w:rsidRPr="00E97254">
        <w:rPr>
          <w:i/>
        </w:rPr>
        <w:t xml:space="preserve"> një vështrim kritik të </w:t>
      </w:r>
      <w:r>
        <w:rPr>
          <w:i/>
        </w:rPr>
        <w:t xml:space="preserve">rezultateve dhe problemeve në fushën e arsimit në periudhën e kaluar, duke propozuar veprime konkrete për periudhën vijuese, rëndom njëvjeçare. </w:t>
      </w:r>
    </w:p>
    <w:p w:rsidR="003D133F" w:rsidRPr="00E97254" w:rsidRDefault="004E1F53" w:rsidP="000C0250">
      <w:pPr>
        <w:autoSpaceDE w:val="0"/>
        <w:autoSpaceDN w:val="0"/>
        <w:adjustRightInd w:val="0"/>
        <w:spacing w:after="0"/>
        <w:jc w:val="both"/>
        <w:rPr>
          <w:i/>
        </w:rPr>
      </w:pPr>
      <w:r>
        <w:t xml:space="preserve">B2.4.2. Analiza vjetore e performancës së sistemit. </w:t>
      </w:r>
      <w:r>
        <w:rPr>
          <w:i/>
        </w:rPr>
        <w:t>Analizat vjetore të performancës së sistemit do të organizohen në bazë të metodologjisë së përcaktuar, ndërsa produkti do të jetë raporti analitik i progresit në raport me objektivat e përcaktuara. Raportet e tilla do të publikohen dhe do të shërbejnë si mjet për sigurimin e transparencës dhe vendimmarrjes së informuar.</w:t>
      </w:r>
    </w:p>
    <w:p w:rsidR="00F676E3" w:rsidRPr="00E97254" w:rsidRDefault="004E1F53" w:rsidP="000C0250">
      <w:pPr>
        <w:spacing w:after="0"/>
        <w:jc w:val="both"/>
        <w:rPr>
          <w:b/>
        </w:rPr>
      </w:pPr>
      <w:r>
        <w:rPr>
          <w:b/>
        </w:rPr>
        <w:t>Treguesit</w:t>
      </w:r>
    </w:p>
    <w:p w:rsidR="00F676E3" w:rsidRPr="00E97254" w:rsidRDefault="004E1F53" w:rsidP="000C0250">
      <w:pPr>
        <w:pStyle w:val="ListParagraph"/>
        <w:numPr>
          <w:ilvl w:val="0"/>
          <w:numId w:val="33"/>
        </w:numPr>
        <w:spacing w:after="0"/>
        <w:ind w:left="357" w:hanging="357"/>
        <w:contextualSpacing w:val="0"/>
        <w:jc w:val="both"/>
      </w:pPr>
      <w:r>
        <w:t>Publikohen të dhëna për treguesit kombëtarë të arsimit</w:t>
      </w:r>
    </w:p>
    <w:p w:rsidR="00F676E3" w:rsidRPr="00E97254" w:rsidRDefault="004E1F53" w:rsidP="000C0250">
      <w:pPr>
        <w:pStyle w:val="ListParagraph"/>
        <w:numPr>
          <w:ilvl w:val="0"/>
          <w:numId w:val="33"/>
        </w:numPr>
        <w:spacing w:after="0"/>
        <w:ind w:left="357" w:hanging="357"/>
        <w:contextualSpacing w:val="0"/>
        <w:jc w:val="both"/>
        <w:rPr>
          <w:b/>
        </w:rPr>
      </w:pPr>
      <w:r>
        <w:t>Analiza e performancës së sistemit bëhet në baza vjetore</w:t>
      </w:r>
    </w:p>
    <w:p w:rsidR="003D133F" w:rsidRPr="00E97254" w:rsidRDefault="003D133F" w:rsidP="000C0250">
      <w:pPr>
        <w:pBdr>
          <w:top w:val="nil"/>
          <w:left w:val="nil"/>
          <w:bottom w:val="nil"/>
          <w:right w:val="nil"/>
          <w:between w:val="nil"/>
        </w:pBdr>
        <w:spacing w:after="0"/>
        <w:jc w:val="both"/>
      </w:pPr>
    </w:p>
    <w:p w:rsidR="00F27EEE" w:rsidRPr="00E97254" w:rsidRDefault="00FA5606" w:rsidP="000C0250">
      <w:pPr>
        <w:pStyle w:val="Heading2"/>
        <w:jc w:val="both"/>
      </w:pPr>
      <w:bookmarkStart w:id="128" w:name="_Toc66802019"/>
      <w:r w:rsidRPr="00FA5606">
        <w:t>6.3. Qëllimi i Politikës C: Arsimi i lartë</w:t>
      </w:r>
      <w:bookmarkEnd w:id="128"/>
    </w:p>
    <w:p w:rsidR="00565BD3" w:rsidRPr="00E97254" w:rsidRDefault="004E1F53" w:rsidP="000C0250">
      <w:pPr>
        <w:spacing w:before="120" w:after="120"/>
        <w:jc w:val="both"/>
        <w:rPr>
          <w:sz w:val="32"/>
          <w:szCs w:val="32"/>
        </w:rPr>
      </w:pPr>
      <w:r>
        <w:t xml:space="preserve">Arsimi i lartë dhe lidhjet e tij me kërkimin dhe inovacionin luajnë rol kyç në zhvillimin individual dhe shoqëror, duke përgatitur specialistë që i nevojiten vendit për të siguruar rritjen ekonomike dhe prosperitetin e shoqërisë. Sot në Evropë, arsimi i lartë është e mirë publike, por edhe përgjegjësi publike, ndërkaq ofruesit e arsimit të lartë gëzojnë një shkallë të konsiderueshme të autonomisë institucionale dhe autonomi të plotë akademike. Roli i shtetit është të përcaktojë kuadrin ligjor për arsimin e lartë, duke garantuar mundësi të barabarta për të gjithë, përfshirë edhe kuadrin për sigurimin e cilësisë, për të cilin ekzistojnë standarde brenda Hapësirës Evropiane të Arsimit të Lartë (HEAL). Një kuadër i tillë përcaktohet me </w:t>
      </w:r>
      <w:r>
        <w:rPr>
          <w:rFonts w:ascii="Calibri" w:hAnsi="Calibri" w:cs="Calibri"/>
        </w:rPr>
        <w:t xml:space="preserve">ligjin  nr.  80/2015 Për arsimin e lartë dhe kërkimin shkencor institucionet e arsimit të lartë  në Republikën e Shqipërisë </w:t>
      </w:r>
      <w:sdt>
        <w:sdtPr>
          <w:rPr>
            <w:rFonts w:ascii="Calibri" w:hAnsi="Calibri" w:cs="Calibri"/>
          </w:rPr>
          <w:id w:val="15204763"/>
          <w:citation/>
        </w:sdtPr>
        <w:sdtEndPr/>
        <w:sdtContent>
          <w:r w:rsidR="00EC56B7" w:rsidRPr="00E97254">
            <w:rPr>
              <w:rFonts w:ascii="Calibri" w:hAnsi="Calibri" w:cs="Calibri"/>
            </w:rPr>
            <w:fldChar w:fldCharType="begin"/>
          </w:r>
          <w:r>
            <w:rPr>
              <w:rFonts w:ascii="Calibri" w:hAnsi="Calibri" w:cs="Calibri"/>
            </w:rPr>
            <w:instrText xml:space="preserve"> CITATION QBZ15 \l 1033 </w:instrText>
          </w:r>
          <w:r w:rsidR="00EC56B7" w:rsidRPr="00E97254">
            <w:rPr>
              <w:rFonts w:ascii="Calibri" w:hAnsi="Calibri" w:cs="Calibri"/>
            </w:rPr>
            <w:fldChar w:fldCharType="separate"/>
          </w:r>
          <w:r w:rsidR="00724BCC" w:rsidRPr="00E97254">
            <w:rPr>
              <w:rFonts w:ascii="Calibri" w:hAnsi="Calibri" w:cs="Calibri"/>
            </w:rPr>
            <w:t>[26]</w:t>
          </w:r>
          <w:r w:rsidR="00EC56B7" w:rsidRPr="00E97254">
            <w:rPr>
              <w:rFonts w:ascii="Calibri" w:hAnsi="Calibri" w:cs="Calibri"/>
            </w:rPr>
            <w:fldChar w:fldCharType="end"/>
          </w:r>
        </w:sdtContent>
      </w:sdt>
      <w:r w:rsidR="00D11D30" w:rsidRPr="00E97254">
        <w:rPr>
          <w:rFonts w:ascii="Calibri" w:hAnsi="Calibri" w:cs="Calibri"/>
        </w:rPr>
        <w:t xml:space="preserve"> dhe aktet nënligjore përkatëse.</w:t>
      </w:r>
      <w:r w:rsidR="002B257B" w:rsidRPr="00E97254">
        <w:rPr>
          <w:rFonts w:ascii="Calibri" w:hAnsi="Calibri" w:cs="Calibri"/>
        </w:rPr>
        <w:t xml:space="preserve"> </w:t>
      </w:r>
      <w:r w:rsidR="00D11D30" w:rsidRPr="00E97254">
        <w:rPr>
          <w:rFonts w:ascii="Calibri" w:hAnsi="Calibri" w:cs="Calibri"/>
        </w:rPr>
        <w:t>Ndërkaq, Pakti për Universitetin</w:t>
      </w:r>
      <w:r>
        <w:rPr>
          <w:rFonts w:ascii="Calibri" w:hAnsi="Calibri" w:cs="Calibri"/>
        </w:rPr>
        <w:t xml:space="preserve"> </w:t>
      </w:r>
      <w:sdt>
        <w:sdtPr>
          <w:rPr>
            <w:rFonts w:ascii="Calibri" w:hAnsi="Calibri" w:cs="Calibri"/>
          </w:rPr>
          <w:id w:val="-1442845867"/>
          <w:citation/>
        </w:sdtPr>
        <w:sdtEndPr/>
        <w:sdtContent>
          <w:r w:rsidR="00EC56B7" w:rsidRPr="00E97254">
            <w:rPr>
              <w:rFonts w:ascii="Calibri" w:hAnsi="Calibri" w:cs="Calibri"/>
            </w:rPr>
            <w:fldChar w:fldCharType="begin"/>
          </w:r>
          <w:r>
            <w:rPr>
              <w:rFonts w:ascii="Calibri" w:hAnsi="Calibri" w:cs="Calibri"/>
            </w:rPr>
            <w:instrText xml:space="preserve"> CITATION Kës18 \l 1033 </w:instrText>
          </w:r>
          <w:r w:rsidR="00EC56B7" w:rsidRPr="00E97254">
            <w:rPr>
              <w:rFonts w:ascii="Calibri" w:hAnsi="Calibri" w:cs="Calibri"/>
            </w:rPr>
            <w:fldChar w:fldCharType="separate"/>
          </w:r>
          <w:r w:rsidR="00724BCC" w:rsidRPr="00E97254">
            <w:rPr>
              <w:rFonts w:ascii="Calibri" w:hAnsi="Calibri" w:cs="Calibri"/>
            </w:rPr>
            <w:t>[23]</w:t>
          </w:r>
          <w:r w:rsidR="00EC56B7" w:rsidRPr="00E97254">
            <w:rPr>
              <w:rFonts w:ascii="Calibri" w:hAnsi="Calibri" w:cs="Calibri"/>
            </w:rPr>
            <w:fldChar w:fldCharType="end"/>
          </w:r>
        </w:sdtContent>
      </w:sdt>
      <w:r w:rsidR="00B01A55" w:rsidRPr="00E97254">
        <w:rPr>
          <w:rFonts w:ascii="Calibri" w:hAnsi="Calibri" w:cs="Calibri"/>
        </w:rPr>
        <w:t xml:space="preserve"> </w:t>
      </w:r>
      <w:r w:rsidR="00D11D30" w:rsidRPr="00E97254">
        <w:rPr>
          <w:rFonts w:cstheme="minorHAnsi"/>
        </w:rPr>
        <w:t xml:space="preserve">paraqet një deklaratë politike të Qeverisë Shqiptare në përgjigje të kërkesave të studentëve për kushte më të mira të studimeve, ngritje të cilësisë, integritet akademik, transparencë dhe llogaridhënie në arsimin e lartë dhe </w:t>
      </w:r>
      <w:r>
        <w:rPr>
          <w:rFonts w:cs="Calibri"/>
        </w:rPr>
        <w:t>tashmë</w:t>
      </w:r>
      <w:r>
        <w:rPr>
          <w:rFonts w:cstheme="minorHAnsi"/>
        </w:rPr>
        <w:t xml:space="preserve"> është shoqëruar me hapa konkretë për përmbushjen e zotimeve që përmban. Nga të gjitha këto buron edhe formulimi i qëllimit të politikës që lidhet me arsimin e lartë:</w:t>
      </w:r>
      <w:r>
        <w:rPr>
          <w:sz w:val="32"/>
          <w:szCs w:val="32"/>
        </w:rPr>
        <w:t xml:space="preserve"> </w:t>
      </w:r>
    </w:p>
    <w:p w:rsidR="00D11D30" w:rsidRPr="00E97254" w:rsidRDefault="003A44C5" w:rsidP="000C0250">
      <w:pPr>
        <w:spacing w:before="120" w:after="120"/>
        <w:jc w:val="both"/>
        <w:rPr>
          <w:rFonts w:cs="Calibri"/>
        </w:rPr>
      </w:pPr>
      <w:r>
        <w:rPr>
          <w:noProof/>
        </w:rPr>
        <mc:AlternateContent>
          <mc:Choice Requires="wps">
            <w:drawing>
              <wp:inline distT="0" distB="0" distL="0" distR="0">
                <wp:extent cx="5943600" cy="628650"/>
                <wp:effectExtent l="12700" t="12700" r="0" b="6350"/>
                <wp:docPr id="11"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43600" cy="628650"/>
                        </a:xfrm>
                        <a:prstGeom prst="rect">
                          <a:avLst/>
                        </a:prstGeom>
                        <a:solidFill>
                          <a:srgbClr val="EBF1DE"/>
                        </a:solidFill>
                        <a:ln w="25400">
                          <a:solidFill>
                            <a:srgbClr val="8064A2"/>
                          </a:solidFill>
                          <a:miter lim="800000"/>
                          <a:headEnd/>
                          <a:tailEnd/>
                        </a:ln>
                      </wps:spPr>
                      <wps:txbx>
                        <w:txbxContent>
                          <w:p w:rsidR="00753C65" w:rsidRPr="00027B14" w:rsidRDefault="00753C65" w:rsidP="003724FA">
                            <w:pPr>
                              <w:pStyle w:val="Default"/>
                              <w:rPr>
                                <w:sz w:val="22"/>
                              </w:rPr>
                            </w:pPr>
                            <w:r w:rsidRPr="009E79F1">
                              <w:rPr>
                                <w:b/>
                                <w:sz w:val="22"/>
                              </w:rPr>
                              <w:t xml:space="preserve">Qëllimi i politikës </w:t>
                            </w:r>
                            <w:r>
                              <w:rPr>
                                <w:b/>
                                <w:sz w:val="22"/>
                              </w:rPr>
                              <w:t>C</w:t>
                            </w:r>
                            <w:r w:rsidRPr="009E79F1">
                              <w:rPr>
                                <w:b/>
                                <w:sz w:val="22"/>
                              </w:rPr>
                              <w:t>:</w:t>
                            </w:r>
                            <w:r w:rsidRPr="009E79F1">
                              <w:rPr>
                                <w:sz w:val="22"/>
                              </w:rPr>
                              <w:t xml:space="preserve"> </w:t>
                            </w:r>
                            <w:r w:rsidRPr="00027B14">
                              <w:rPr>
                                <w:sz w:val="22"/>
                              </w:rPr>
                              <w:t>Arsim i lartë gjithëpërfshirës që plotëson standardet ndërkombëtare të cilësisë, integriteti</w:t>
                            </w:r>
                            <w:r>
                              <w:rPr>
                                <w:sz w:val="22"/>
                              </w:rPr>
                              <w:t>t</w:t>
                            </w:r>
                            <w:r w:rsidRPr="00027B14">
                              <w:rPr>
                                <w:sz w:val="22"/>
                              </w:rPr>
                              <w:t xml:space="preserve"> akademik e transparencës, dhe është promotor i zhvillimit ekonomik dhe shoqëror të vendit.</w:t>
                            </w:r>
                          </w:p>
                        </w:txbxContent>
                      </wps:txbx>
                      <wps:bodyPr rot="0" vert="horz" wrap="square" lIns="91440" tIns="45720" rIns="91440" bIns="45720" anchor="t" anchorCtr="0" upright="1">
                        <a:spAutoFit/>
                      </wps:bodyPr>
                    </wps:wsp>
                  </a:graphicData>
                </a:graphic>
              </wp:inline>
            </w:drawing>
          </mc:Choice>
          <mc:Fallback>
            <w:pict>
              <v:shape id="Text Box 44" o:spid="_x0000_s1070" type="#_x0000_t202" style="width:468pt;height:4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" fillcolor="#ebf1de" strokecolor="#8064a2" strokeweight="2pt">
                <v:path arrowok="t"/>
                <v:textbox style="mso-fit-shape-to-text:t">
                  <w:txbxContent>
                    <w:p w:rsidR="00753C65" w:rsidRPr="00027B14" w:rsidRDefault="00753C65" w:rsidP="003724FA">
                      <w:pPr>
                        <w:pStyle w:val="Default"/>
                        <w:rPr>
                          <w:sz w:val="22"/>
                        </w:rPr>
                      </w:pPr>
                      <w:r w:rsidRPr="009E79F1">
                        <w:rPr>
                          <w:b/>
                          <w:sz w:val="22"/>
                        </w:rPr>
                        <w:t xml:space="preserve">Qëllimi i politikës </w:t>
                      </w:r>
                      <w:r>
                        <w:rPr>
                          <w:b/>
                          <w:sz w:val="22"/>
                        </w:rPr>
                        <w:t>C</w:t>
                      </w:r>
                      <w:r w:rsidRPr="009E79F1">
                        <w:rPr>
                          <w:b/>
                          <w:sz w:val="22"/>
                        </w:rPr>
                        <w:t>:</w:t>
                      </w:r>
                      <w:r w:rsidRPr="009E79F1">
                        <w:rPr>
                          <w:sz w:val="22"/>
                        </w:rPr>
                        <w:t xml:space="preserve"> </w:t>
                      </w:r>
                      <w:r w:rsidRPr="00027B14">
                        <w:rPr>
                          <w:sz w:val="22"/>
                        </w:rPr>
                        <w:t>Arsim i lartë gjithëpërfshirës që plotëson standardet ndërkombëtare të cilësisë, integriteti</w:t>
                      </w:r>
                      <w:r>
                        <w:rPr>
                          <w:sz w:val="22"/>
                        </w:rPr>
                        <w:t>t</w:t>
                      </w:r>
                      <w:r w:rsidRPr="00027B14">
                        <w:rPr>
                          <w:sz w:val="22"/>
                        </w:rPr>
                        <w:t xml:space="preserve"> akademik e transparencës, dhe është promotor i zhvillimit ekonomik dhe shoqëror të vendit.</w:t>
                      </w:r>
                    </w:p>
                  </w:txbxContent>
                </v:textbox>
                <w10:anchorlock/>
              </v:shape>
            </w:pict>
          </mc:Fallback>
        </mc:AlternateContent>
      </w:r>
    </w:p>
    <w:p w:rsidR="00D11D30" w:rsidRPr="00E97254" w:rsidRDefault="00D11D30" w:rsidP="000C0250">
      <w:pPr>
        <w:spacing w:after="0"/>
        <w:jc w:val="both"/>
        <w:rPr>
          <w:rFonts w:ascii="Calibri" w:hAnsi="Calibri" w:cs="Calibri"/>
        </w:rPr>
      </w:pPr>
      <w:r w:rsidRPr="00E97254">
        <w:t xml:space="preserve">Ky qëllim i politikës është </w:t>
      </w:r>
      <w:r w:rsidR="00AF5D7C" w:rsidRPr="00E97254">
        <w:t>zbërthyer</w:t>
      </w:r>
      <w:r w:rsidR="004E1F53">
        <w:t xml:space="preserve"> në shtatë objektiva </w:t>
      </w:r>
      <w:r w:rsidR="00513AF3">
        <w:t>specifike</w:t>
      </w:r>
      <w:r w:rsidR="004E1F53">
        <w:t xml:space="preserve">, prej të cilëve tre të parët </w:t>
      </w:r>
      <w:r w:rsidR="00A50A43">
        <w:t>trajt</w:t>
      </w:r>
      <w:r w:rsidR="004E1F53">
        <w:t>ojnë problemet e identifikuara në kuadër të fushës “Cilësia në arsimin e lartë”, ndërsa katër të tjerët kanë të bëjnë me fushat tematike “</w:t>
      </w:r>
      <w:r w:rsidR="004E1F53">
        <w:rPr>
          <w:rFonts w:ascii="Calibri" w:hAnsi="Calibri" w:cs="Calibri"/>
        </w:rPr>
        <w:t>Integriteti dhe transparenca”, “Studentët”, “Ndërkombëtarizimi i arsimit të lartë” dhe “Shërbimet digjitale” përkatësisht:</w:t>
      </w:r>
    </w:p>
    <w:p w:rsidR="00D11D30" w:rsidRPr="00E97254" w:rsidRDefault="004E1F53" w:rsidP="000C0250">
      <w:pPr>
        <w:spacing w:after="0"/>
        <w:jc w:val="both"/>
        <w:rPr>
          <w:rFonts w:ascii="Calibri" w:hAnsi="Calibri" w:cs="Calibri"/>
        </w:rPr>
      </w:pPr>
      <w:r>
        <w:rPr>
          <w:rFonts w:ascii="Calibri" w:hAnsi="Calibri" w:cs="Calibri"/>
        </w:rPr>
        <w:t xml:space="preserve">Objektivi specifik C1. Rritja e cilësisë së arsimit të lartë </w:t>
      </w:r>
      <w:r w:rsidR="00A50A43">
        <w:rPr>
          <w:rFonts w:ascii="Calibri" w:hAnsi="Calibri" w:cs="Calibri"/>
        </w:rPr>
        <w:t>nëpërmjet</w:t>
      </w:r>
      <w:r>
        <w:rPr>
          <w:rFonts w:ascii="Calibri" w:hAnsi="Calibri" w:cs="Calibri"/>
        </w:rPr>
        <w:t xml:space="preserve"> </w:t>
      </w:r>
      <w:r>
        <w:rPr>
          <w:rFonts w:cs="Calibri"/>
        </w:rPr>
        <w:t>riorganizimit</w:t>
      </w:r>
      <w:r>
        <w:rPr>
          <w:rFonts w:ascii="Calibri" w:hAnsi="Calibri" w:cs="Calibri"/>
        </w:rPr>
        <w:t xml:space="preserve"> të programeve të studimit, modernizimit të infrastrukturës akademike dhe aplikimit të standardeve të larta të vlerësimit institucional dhe të programeve të studimit.</w:t>
      </w:r>
    </w:p>
    <w:p w:rsidR="00D11D30" w:rsidRPr="00E97254" w:rsidRDefault="004E1F53" w:rsidP="000C0250">
      <w:pPr>
        <w:spacing w:after="0"/>
        <w:jc w:val="both"/>
        <w:rPr>
          <w:rFonts w:ascii="Calibri" w:hAnsi="Calibri" w:cs="Calibri"/>
        </w:rPr>
      </w:pPr>
      <w:r>
        <w:rPr>
          <w:rFonts w:ascii="Calibri" w:hAnsi="Calibri" w:cs="Calibri"/>
        </w:rPr>
        <w:lastRenderedPageBreak/>
        <w:t>Objektivi specifik C2. Nxitja e përsosmërisë në mësimdhënie dhe kërkim shkencor.</w:t>
      </w:r>
    </w:p>
    <w:p w:rsidR="00D11D30" w:rsidRPr="00E97254" w:rsidRDefault="004E1F53" w:rsidP="000C0250">
      <w:pPr>
        <w:spacing w:after="0"/>
        <w:jc w:val="both"/>
        <w:rPr>
          <w:rFonts w:ascii="Calibri" w:hAnsi="Calibri" w:cs="Calibri"/>
        </w:rPr>
      </w:pPr>
      <w:r>
        <w:rPr>
          <w:rFonts w:ascii="Calibri" w:hAnsi="Calibri" w:cs="Calibri"/>
        </w:rPr>
        <w:t>Objektivi specifik C3. Ndërlidhja më e mirë e arsimit të lartë me tregun e punës.</w:t>
      </w:r>
    </w:p>
    <w:p w:rsidR="00D11D30" w:rsidRPr="00E97254" w:rsidRDefault="004E1F53" w:rsidP="000C0250">
      <w:pPr>
        <w:spacing w:before="120" w:after="0"/>
        <w:jc w:val="both"/>
        <w:rPr>
          <w:rFonts w:ascii="Calibri" w:hAnsi="Calibri" w:cs="Calibri"/>
        </w:rPr>
      </w:pPr>
      <w:r>
        <w:rPr>
          <w:rFonts w:ascii="Calibri" w:hAnsi="Calibri" w:cs="Calibri"/>
        </w:rPr>
        <w:t>Objektivi specifik C4. Sigurimi i integritetit akademik, transparencës dhe llogaridhënies në sektorin e arsimit të lartë.</w:t>
      </w:r>
    </w:p>
    <w:p w:rsidR="00D11D30" w:rsidRPr="00E97254" w:rsidRDefault="004E1F53" w:rsidP="000C0250">
      <w:pPr>
        <w:spacing w:after="0"/>
        <w:jc w:val="both"/>
        <w:rPr>
          <w:rFonts w:ascii="Calibri" w:hAnsi="Calibri" w:cs="Calibri"/>
        </w:rPr>
      </w:pPr>
      <w:r>
        <w:rPr>
          <w:rFonts w:ascii="Calibri" w:hAnsi="Calibri" w:cs="Calibri"/>
        </w:rPr>
        <w:t xml:space="preserve">Objektivi specifik C5. Përmirësimi i statusit socio-ekonomik të studentëve </w:t>
      </w:r>
      <w:r w:rsidR="00A50A43">
        <w:rPr>
          <w:rFonts w:ascii="Calibri" w:hAnsi="Calibri" w:cs="Calibri"/>
        </w:rPr>
        <w:t>nëpërmjet</w:t>
      </w:r>
      <w:r>
        <w:rPr>
          <w:rFonts w:ascii="Calibri" w:hAnsi="Calibri" w:cs="Calibri"/>
        </w:rPr>
        <w:t xml:space="preserve"> ofrimit të shërbimeve cilësore dhe formave të ndryshme të </w:t>
      </w:r>
      <w:r>
        <w:rPr>
          <w:rFonts w:cs="Calibri"/>
        </w:rPr>
        <w:t>ndihmës</w:t>
      </w:r>
      <w:r>
        <w:rPr>
          <w:rFonts w:ascii="Calibri" w:hAnsi="Calibri" w:cs="Calibri"/>
        </w:rPr>
        <w:t xml:space="preserve"> financiare.</w:t>
      </w:r>
    </w:p>
    <w:p w:rsidR="00680114" w:rsidRPr="00E97254" w:rsidRDefault="004E1F53" w:rsidP="000C0250">
      <w:pPr>
        <w:spacing w:after="0"/>
        <w:jc w:val="both"/>
        <w:rPr>
          <w:rFonts w:ascii="Calibri" w:hAnsi="Calibri" w:cs="Calibri"/>
        </w:rPr>
      </w:pPr>
      <w:r>
        <w:rPr>
          <w:rFonts w:ascii="Calibri" w:hAnsi="Calibri" w:cs="Calibri"/>
        </w:rPr>
        <w:t xml:space="preserve">Objektivi specifik C6. Ndërkombëtarizimi i arsimit të lartë në Shqipëri dhe integrimi në Hapësirën </w:t>
      </w:r>
      <w:r>
        <w:rPr>
          <w:rFonts w:cs="Calibri"/>
        </w:rPr>
        <w:t>Evropiane</w:t>
      </w:r>
      <w:r>
        <w:rPr>
          <w:rFonts w:ascii="Calibri" w:hAnsi="Calibri" w:cs="Calibri"/>
        </w:rPr>
        <w:t xml:space="preserve"> të Arsimit të Lartë (EHEA).</w:t>
      </w:r>
    </w:p>
    <w:p w:rsidR="00D11D30" w:rsidRPr="00E97254" w:rsidRDefault="004E1F53" w:rsidP="000C0250">
      <w:pPr>
        <w:spacing w:after="0"/>
        <w:jc w:val="both"/>
        <w:rPr>
          <w:rFonts w:ascii="Calibri" w:hAnsi="Calibri" w:cs="Calibri"/>
        </w:rPr>
      </w:pPr>
      <w:r>
        <w:rPr>
          <w:rFonts w:ascii="Calibri" w:hAnsi="Calibri" w:cs="Calibri"/>
        </w:rPr>
        <w:t>Objektivi specifik C7. Avancimi i infrastrukturës së TIK-ut dhe i shërbimeve digjitale për IAL-të publike.</w:t>
      </w:r>
    </w:p>
    <w:p w:rsidR="00D11D30" w:rsidRPr="00E97254" w:rsidRDefault="00D11D30" w:rsidP="000C0250">
      <w:pPr>
        <w:spacing w:after="0"/>
        <w:jc w:val="both"/>
      </w:pPr>
    </w:p>
    <w:p w:rsidR="00D11D30" w:rsidRPr="00E97254" w:rsidRDefault="004E1F53" w:rsidP="000C0250">
      <w:pPr>
        <w:spacing w:after="0"/>
        <w:jc w:val="both"/>
      </w:pPr>
      <w:r>
        <w:t xml:space="preserve">Prioritetet e Planit Kombëtar për Integrimin Evropian 2020-2022 </w:t>
      </w:r>
      <w:sdt>
        <w:sdtPr>
          <w:id w:val="-795222885"/>
          <w:citation/>
        </w:sdtPr>
        <w:sdtEndPr/>
        <w:sdtContent>
          <w:r w:rsidR="00EC56B7" w:rsidRPr="00E97254">
            <w:fldChar w:fldCharType="begin"/>
          </w:r>
          <w:r>
            <w:instrText xml:space="preserve"> CITATION Kës3 \l 1033 </w:instrText>
          </w:r>
          <w:r w:rsidR="00EC56B7" w:rsidRPr="00E97254">
            <w:fldChar w:fldCharType="separate"/>
          </w:r>
          <w:r w:rsidR="00724BCC" w:rsidRPr="00E97254">
            <w:t>[18]</w:t>
          </w:r>
          <w:r w:rsidR="00EC56B7" w:rsidRPr="00E97254">
            <w:fldChar w:fldCharType="end"/>
          </w:r>
        </w:sdtContent>
      </w:sdt>
      <w:r w:rsidR="002B257B" w:rsidRPr="00E97254">
        <w:t xml:space="preserve"> </w:t>
      </w:r>
      <w:r w:rsidR="00D11D30" w:rsidRPr="00E97254">
        <w:t xml:space="preserve">për arsimin e lartë ndërlidhen me sigurimin e cilësisë dhe përfshihen në produktin </w:t>
      </w:r>
      <w:r>
        <w:t>C1.1 të objektivit specifik C1:</w:t>
      </w:r>
    </w:p>
    <w:p w:rsidR="00D11D30" w:rsidRPr="00E97254" w:rsidRDefault="004E1F53" w:rsidP="000C0250">
      <w:pPr>
        <w:pStyle w:val="ListParagraph"/>
        <w:numPr>
          <w:ilvl w:val="0"/>
          <w:numId w:val="35"/>
        </w:numPr>
        <w:spacing w:after="0"/>
        <w:ind w:left="357" w:hanging="357"/>
        <w:contextualSpacing w:val="0"/>
        <w:jc w:val="both"/>
      </w:pPr>
      <w:r>
        <w:t>Hartimi i kornizës ligjore në mënyrë që të lejojë zbatimin e plotë të SUE</w:t>
      </w:r>
      <w:r w:rsidR="005C1AC1">
        <w:t>-s</w:t>
      </w:r>
      <w:r>
        <w:t>;</w:t>
      </w:r>
    </w:p>
    <w:p w:rsidR="00D11D30" w:rsidRPr="00E97254" w:rsidRDefault="004E1F53" w:rsidP="000C0250">
      <w:pPr>
        <w:pStyle w:val="ListParagraph"/>
        <w:numPr>
          <w:ilvl w:val="0"/>
          <w:numId w:val="35"/>
        </w:numPr>
        <w:spacing w:after="0"/>
        <w:contextualSpacing w:val="0"/>
        <w:jc w:val="both"/>
      </w:pPr>
      <w:r>
        <w:t>Rishikimi i Kodit të Cilësisë për të pasqyruar standardet e SUE</w:t>
      </w:r>
      <w:r w:rsidR="005C1AC1">
        <w:t>-s</w:t>
      </w:r>
      <w:r>
        <w:t>;</w:t>
      </w:r>
    </w:p>
    <w:p w:rsidR="00D11D30" w:rsidRPr="00E97254" w:rsidRDefault="004E1F53" w:rsidP="000C0250">
      <w:pPr>
        <w:pStyle w:val="ListParagraph"/>
        <w:numPr>
          <w:ilvl w:val="0"/>
          <w:numId w:val="35"/>
        </w:numPr>
        <w:spacing w:after="0"/>
        <w:contextualSpacing w:val="0"/>
        <w:jc w:val="both"/>
      </w:pPr>
      <w:r>
        <w:t>Ristrukturimi i Sistemit të sigurimit të cilësisë për të siguruar pavarësinë nga ndikimi i jashtëm dhe për të garantuar zbatimin e SUE</w:t>
      </w:r>
      <w:r w:rsidR="005C1AC1">
        <w:t>-s</w:t>
      </w:r>
      <w:r>
        <w:t>;</w:t>
      </w:r>
    </w:p>
    <w:p w:rsidR="00F07E9B" w:rsidRPr="00E97254" w:rsidRDefault="004E1F53" w:rsidP="000C0250">
      <w:pPr>
        <w:pStyle w:val="ListParagraph"/>
        <w:numPr>
          <w:ilvl w:val="0"/>
          <w:numId w:val="35"/>
        </w:numPr>
        <w:spacing w:after="0"/>
        <w:contextualSpacing w:val="0"/>
        <w:jc w:val="both"/>
      </w:pPr>
      <w:r>
        <w:t>Gjetja e mekanizmit për të garantuar përfshirjen më të gjerë të palëve të interesuara në sigurimin e brendshëm dhe të jashtëm të cilësisë;</w:t>
      </w:r>
    </w:p>
    <w:p w:rsidR="00D11D30" w:rsidRPr="00E97254" w:rsidRDefault="004E1F53" w:rsidP="000C0250">
      <w:pPr>
        <w:pStyle w:val="ListParagraph"/>
        <w:numPr>
          <w:ilvl w:val="0"/>
          <w:numId w:val="35"/>
        </w:numPr>
        <w:spacing w:after="0"/>
        <w:contextualSpacing w:val="0"/>
        <w:jc w:val="both"/>
      </w:pPr>
      <w:r>
        <w:t>Hartimin e kornizës ligjore për sigurimin e cilësisë në arsimin e lartë në rrafshin ndërkufitar dhe akreditimin e programeve të përbashkëta.</w:t>
      </w:r>
    </w:p>
    <w:p w:rsidR="00565BD3" w:rsidRPr="00E97254" w:rsidRDefault="00565BD3" w:rsidP="000C0250">
      <w:pPr>
        <w:pStyle w:val="Heading3"/>
        <w:jc w:val="both"/>
      </w:pPr>
    </w:p>
    <w:p w:rsidR="00F27EEE" w:rsidRPr="00E97254" w:rsidRDefault="00FA5606" w:rsidP="000C0250">
      <w:pPr>
        <w:pStyle w:val="Heading3"/>
        <w:jc w:val="both"/>
      </w:pPr>
      <w:bookmarkStart w:id="129" w:name="_Toc66802020"/>
      <w:r w:rsidRPr="00FA5606">
        <w:t>Objektivi specifik C1: Rritja e cilësisë</w:t>
      </w:r>
      <w:bookmarkEnd w:id="129"/>
    </w:p>
    <w:p w:rsidR="00F27EEE" w:rsidRPr="00E97254" w:rsidRDefault="003A44C5" w:rsidP="000C0250">
      <w:pPr>
        <w:spacing w:after="0"/>
        <w:jc w:val="both"/>
      </w:pPr>
      <w:r>
        <w:rPr>
          <w:noProof/>
        </w:rPr>
        <mc:AlternateContent>
          <mc:Choice Requires="wps">
            <w:drawing>
              <wp:inline distT="0" distB="0" distL="0" distR="0">
                <wp:extent cx="5943600" cy="675005"/>
                <wp:effectExtent l="12700" t="12700" r="0" b="0"/>
                <wp:docPr id="10"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43600" cy="675005"/>
                        </a:xfrm>
                        <a:prstGeom prst="rect">
                          <a:avLst/>
                        </a:prstGeom>
                        <a:solidFill>
                          <a:srgbClr val="EBF1DE"/>
                        </a:solidFill>
                        <a:ln w="25400">
                          <a:solidFill>
                            <a:srgbClr val="8064A2"/>
                          </a:solidFill>
                          <a:miter lim="800000"/>
                          <a:headEnd/>
                          <a:tailEnd/>
                        </a:ln>
                      </wps:spPr>
                      <wps:txbx>
                        <w:txbxContent>
                          <w:p w:rsidR="00753C65" w:rsidRPr="003D71F2" w:rsidRDefault="00753C65" w:rsidP="003724FA">
                            <w:pPr>
                              <w:pStyle w:val="Default"/>
                              <w:rPr>
                                <w:color w:val="FF0000"/>
                                <w:sz w:val="22"/>
                                <w:szCs w:val="22"/>
                              </w:rPr>
                            </w:pPr>
                            <w:r w:rsidRPr="00383110">
                              <w:t xml:space="preserve">Rritja e cilësisë së arsimit të lartë </w:t>
                            </w:r>
                            <w:r>
                              <w:t>nëpërmjet</w:t>
                            </w:r>
                            <w:r w:rsidRPr="00383110">
                              <w:t xml:space="preserve"> </w:t>
                            </w:r>
                            <w:r>
                              <w:t>riorganizimit</w:t>
                            </w:r>
                            <w:r w:rsidRPr="00383110">
                              <w:t xml:space="preserve"> të programeve </w:t>
                            </w:r>
                            <w:r>
                              <w:t xml:space="preserve">të </w:t>
                            </w:r>
                            <w:r w:rsidRPr="00383110">
                              <w:t>studim</w:t>
                            </w:r>
                            <w:r>
                              <w:t>it</w:t>
                            </w:r>
                            <w:r w:rsidRPr="00383110">
                              <w:t xml:space="preserve">, modernizimit të infrastrukturës akademike dhe aplikimit të standardeve të larta të vlerësimit institucional dhe </w:t>
                            </w:r>
                            <w:r>
                              <w:rPr>
                                <w:lang w:val="sq-AL"/>
                              </w:rPr>
                              <w:t>të programeve të studimit</w:t>
                            </w:r>
                            <w:r w:rsidRPr="00383110">
                              <w:t>.</w:t>
                            </w:r>
                          </w:p>
                        </w:txbxContent>
                      </wps:txbx>
                      <wps:bodyPr rot="0" vert="horz" wrap="square" lIns="91440" tIns="45720" rIns="91440" bIns="45720" anchor="t" anchorCtr="0" upright="1">
                        <a:spAutoFit/>
                      </wps:bodyPr>
                    </wps:wsp>
                  </a:graphicData>
                </a:graphic>
              </wp:inline>
            </w:drawing>
          </mc:Choice>
          <mc:Fallback>
            <w:pict>
              <v:shape id="Text Box 43" o:spid="_x0000_s1071" type="#_x0000_t202" style="width:468pt;height:53.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" fillcolor="#ebf1de" strokecolor="#8064a2" strokeweight="2pt">
                <v:path arrowok="t"/>
                <v:textbox style="mso-fit-shape-to-text:t">
                  <w:txbxContent>
                    <w:p w:rsidR="00753C65" w:rsidRPr="003D71F2" w:rsidRDefault="00753C65" w:rsidP="003724FA">
                      <w:pPr>
                        <w:pStyle w:val="Default"/>
                        <w:rPr>
                          <w:color w:val="FF0000"/>
                          <w:sz w:val="22"/>
                          <w:szCs w:val="22"/>
                        </w:rPr>
                      </w:pPr>
                      <w:r w:rsidRPr="00383110">
                        <w:t xml:space="preserve">Rritja e cilësisë së arsimit të lartë </w:t>
                      </w:r>
                      <w:r>
                        <w:t>nëpërmjet</w:t>
                      </w:r>
                      <w:r w:rsidRPr="00383110">
                        <w:t xml:space="preserve"> </w:t>
                      </w:r>
                      <w:r>
                        <w:t>riorganizimit</w:t>
                      </w:r>
                      <w:r w:rsidRPr="00383110">
                        <w:t xml:space="preserve"> të programeve </w:t>
                      </w:r>
                      <w:r>
                        <w:t xml:space="preserve">të </w:t>
                      </w:r>
                      <w:r w:rsidRPr="00383110">
                        <w:t>studim</w:t>
                      </w:r>
                      <w:r>
                        <w:t>it</w:t>
                      </w:r>
                      <w:r w:rsidRPr="00383110">
                        <w:t xml:space="preserve">, modernizimit të infrastrukturës akademike dhe aplikimit të standardeve të larta të vlerësimit institucional dhe </w:t>
                      </w:r>
                      <w:r>
                        <w:rPr>
                          <w:lang w:val="sq-AL"/>
                        </w:rPr>
                        <w:t>të programeve të studimit</w:t>
                      </w:r>
                      <w:r w:rsidRPr="00383110">
                        <w:t>.</w:t>
                      </w:r>
                    </w:p>
                  </w:txbxContent>
                </v:textbox>
                <w10:anchorlock/>
              </v:shape>
            </w:pict>
          </mc:Fallback>
        </mc:AlternateContent>
      </w:r>
    </w:p>
    <w:p w:rsidR="00D52D5E" w:rsidRPr="00E97254" w:rsidRDefault="00D52D5E" w:rsidP="000C0250">
      <w:pPr>
        <w:spacing w:before="120" w:after="0"/>
        <w:jc w:val="both"/>
      </w:pPr>
      <w:r w:rsidRPr="00E97254">
        <w:t xml:space="preserve">Institucionet shqiptare të arsimit të lartë </w:t>
      </w:r>
      <w:r w:rsidR="00AF5D7C" w:rsidRPr="00E97254">
        <w:t>ofrojnë</w:t>
      </w:r>
      <w:r w:rsidR="004E1F53">
        <w:t xml:space="preserve"> rreth 1,300 programe studimi që, nga aspekti strukturor, ndjekin praktikat e vendeve anëtare të Procesit të Bolonjës. Si të tilla, këto programe kanë nevojë për rishikim të vazhdueshëm dhe përshtatje me nevojat e kohës. Ndërkaq, infrastrukturën akademike e përbëjnë godinat, pajisjet, kabinetet, laboratorët e bibliotekat që janë në shërbim të personelit akademik dhe të studentëve. Modernizimi i kësaj infrastrukture ndikon edhe në cilësinë e realizimit të programeve të studimit. </w:t>
      </w:r>
    </w:p>
    <w:p w:rsidR="00F97AE0" w:rsidRPr="00E97254" w:rsidRDefault="004E1F53" w:rsidP="000C0250">
      <w:pPr>
        <w:spacing w:after="0"/>
        <w:jc w:val="both"/>
      </w:pPr>
      <w:r>
        <w:t>Sigurimi i cilësisë në arsimin e lartë ka evoluar për t'u bërë një nga përparësitë kryesore të politikave të arsimit të lartë në nivel kombëtar dhe ndërkombëtar. Sigurimi i brendshëm i cilësisë është detyrim ligjor i institucioneve të arsimit të lartë, të cilat janë përgjegjëse për hartimin e politikave dhe procedurave për sigurimin e cilësisë. Aplikimi i proceseve të brendshme të sigurimit të cilësisë synon përmirësimin e cilësisë së mësimdhënies dhe të mësuarit në institucionet e arsimit të lartë. Ndërkaq, sigurimi i jashtëm i cilësisë është përgjegjësi e ASCAL</w:t>
      </w:r>
      <w:r w:rsidR="005C1AC1">
        <w:t>-it</w:t>
      </w:r>
      <w:r>
        <w:t xml:space="preserve"> dhe realizohet </w:t>
      </w:r>
      <w:r w:rsidR="00A50A43">
        <w:t>nëpërmjet</w:t>
      </w:r>
      <w:r>
        <w:t xml:space="preserve"> akreditimit institucional dhe të programeve të </w:t>
      </w:r>
      <w:r>
        <w:lastRenderedPageBreak/>
        <w:t>studimit. ASCAL</w:t>
      </w:r>
      <w:r w:rsidR="005C1AC1">
        <w:t>-i</w:t>
      </w:r>
      <w:r>
        <w:t xml:space="preserve"> synon të jetë </w:t>
      </w:r>
      <w:r>
        <w:rPr>
          <w:rFonts w:ascii="Calibri" w:hAnsi="Calibri" w:cs="Calibri"/>
        </w:rPr>
        <w:t xml:space="preserve">anëtare me të drejta të plota e rrjeteve </w:t>
      </w:r>
      <w:r>
        <w:rPr>
          <w:rFonts w:cs="Calibri"/>
        </w:rPr>
        <w:t>evropiane</w:t>
      </w:r>
      <w:r>
        <w:rPr>
          <w:rFonts w:ascii="Calibri" w:hAnsi="Calibri" w:cs="Calibri"/>
        </w:rPr>
        <w:t xml:space="preserve"> të sigurimit të cilësisë, ENQA dhe </w:t>
      </w:r>
      <w:r>
        <w:t xml:space="preserve">EQAR. </w:t>
      </w:r>
    </w:p>
    <w:p w:rsidR="00F97AE0" w:rsidRPr="00E97254" w:rsidRDefault="00DC4C19" w:rsidP="000C0250">
      <w:pPr>
        <w:spacing w:after="0"/>
        <w:jc w:val="both"/>
        <w:rPr>
          <w:rFonts w:ascii="Calibri" w:hAnsi="Calibri" w:cs="Calibri"/>
          <w:spacing w:val="-3"/>
        </w:rPr>
      </w:pPr>
      <w:r>
        <w:rPr>
          <w:rFonts w:ascii="Calibri" w:hAnsi="Calibri" w:cs="Calibri"/>
          <w:spacing w:val="-3"/>
        </w:rPr>
        <w:t xml:space="preserve">Analiza e situatës </w:t>
      </w:r>
      <w:r w:rsidR="004E1F53">
        <w:rPr>
          <w:rFonts w:ascii="Calibri" w:hAnsi="Calibri" w:cs="Calibri"/>
          <w:spacing w:val="-3"/>
        </w:rPr>
        <w:t xml:space="preserve">në fushën që mbulon ky objektiv specifik është dhënë në seksionin 4.4.1, ndërsa </w:t>
      </w:r>
      <w:r w:rsidR="004E1F53">
        <w:rPr>
          <w:rFonts w:ascii="Calibri" w:hAnsi="Calibri" w:cs="Calibri"/>
          <w:b/>
          <w:spacing w:val="-3"/>
        </w:rPr>
        <w:t>sfidat kryesore</w:t>
      </w:r>
      <w:r w:rsidR="004E1F53">
        <w:rPr>
          <w:rFonts w:ascii="Calibri" w:hAnsi="Calibri" w:cs="Calibri"/>
          <w:spacing w:val="-3"/>
        </w:rPr>
        <w:t xml:space="preserve"> që dalin nga analiza janë:</w:t>
      </w:r>
    </w:p>
    <w:p w:rsidR="00F97AE0" w:rsidRPr="00E97254" w:rsidRDefault="004E1F53" w:rsidP="000C0250">
      <w:pPr>
        <w:pStyle w:val="ListParagraph"/>
        <w:numPr>
          <w:ilvl w:val="0"/>
          <w:numId w:val="36"/>
        </w:numPr>
        <w:spacing w:after="0"/>
        <w:ind w:left="714" w:hanging="357"/>
        <w:contextualSpacing w:val="0"/>
        <w:jc w:val="both"/>
        <w:rPr>
          <w:rFonts w:ascii="Calibri" w:hAnsi="Calibri" w:cs="Calibri"/>
          <w:spacing w:val="-3"/>
        </w:rPr>
      </w:pPr>
      <w:r>
        <w:rPr>
          <w:rFonts w:ascii="Calibri" w:hAnsi="Calibri" w:cs="Calibri"/>
          <w:spacing w:val="-3"/>
        </w:rPr>
        <w:t>Me gjithë ndryshimet që kanë ndodhur gjatë këtyre viteve në IAL-të, akoma ka programe mësimore të vjetruara që nuk bazohen në kompetenca ose rezultate të të nxënit.</w:t>
      </w:r>
    </w:p>
    <w:p w:rsidR="00F97AE0" w:rsidRPr="00E97254" w:rsidRDefault="004E1F53" w:rsidP="000C0250">
      <w:pPr>
        <w:pStyle w:val="ListParagraph"/>
        <w:numPr>
          <w:ilvl w:val="0"/>
          <w:numId w:val="36"/>
        </w:numPr>
        <w:ind w:left="714" w:hanging="357"/>
        <w:contextualSpacing w:val="0"/>
        <w:jc w:val="both"/>
        <w:rPr>
          <w:rFonts w:ascii="Calibri" w:hAnsi="Calibri" w:cs="Calibri"/>
          <w:spacing w:val="-3"/>
        </w:rPr>
      </w:pPr>
      <w:r>
        <w:rPr>
          <w:rFonts w:ascii="Calibri" w:hAnsi="Calibri" w:cs="Calibri"/>
          <w:spacing w:val="-3"/>
        </w:rPr>
        <w:t>Qasja në literaturë të përditësuar në bibliotekat e institucioneve të arsimit të lartë mbetet një sfidë, pavarësisht përpjekjeve individuale të pedagogëve.</w:t>
      </w:r>
    </w:p>
    <w:p w:rsidR="00F97AE0" w:rsidRPr="00E97254" w:rsidRDefault="004E1F53" w:rsidP="000C0250">
      <w:pPr>
        <w:pStyle w:val="ListParagraph"/>
        <w:numPr>
          <w:ilvl w:val="0"/>
          <w:numId w:val="36"/>
        </w:numPr>
        <w:spacing w:after="0"/>
        <w:ind w:left="714" w:hanging="357"/>
        <w:contextualSpacing w:val="0"/>
        <w:jc w:val="both"/>
        <w:rPr>
          <w:rFonts w:ascii="Calibri" w:hAnsi="Calibri" w:cs="Calibri"/>
          <w:spacing w:val="-3"/>
        </w:rPr>
      </w:pPr>
      <w:r>
        <w:rPr>
          <w:rFonts w:ascii="Calibri" w:hAnsi="Calibri" w:cs="Calibri"/>
          <w:spacing w:val="-3"/>
        </w:rPr>
        <w:t>Ka një numër shumë të kufizuar të laboratorëve në IAL dhe nga ana tjetër infrastruktura dhe pajisjet e përshtatshme janë të nevojshme për të përmirësuar cilësinë e mësimdhënies dhe të kërkimit.</w:t>
      </w:r>
    </w:p>
    <w:p w:rsidR="00F97AE0" w:rsidRPr="00E97254" w:rsidRDefault="004E1F53" w:rsidP="000C0250">
      <w:pPr>
        <w:pStyle w:val="ListParagraph"/>
        <w:numPr>
          <w:ilvl w:val="0"/>
          <w:numId w:val="36"/>
        </w:numPr>
        <w:spacing w:after="0"/>
        <w:ind w:left="714" w:hanging="357"/>
        <w:contextualSpacing w:val="0"/>
        <w:jc w:val="both"/>
        <w:rPr>
          <w:rFonts w:ascii="Calibri" w:hAnsi="Calibri" w:cs="Calibri"/>
          <w:spacing w:val="-3"/>
        </w:rPr>
      </w:pPr>
      <w:r>
        <w:rPr>
          <w:rFonts w:ascii="Calibri" w:hAnsi="Calibri" w:cs="Calibri"/>
          <w:spacing w:val="-3"/>
        </w:rPr>
        <w:t>ASCAL</w:t>
      </w:r>
      <w:r w:rsidR="005C1AC1">
        <w:rPr>
          <w:rFonts w:ascii="Calibri" w:hAnsi="Calibri" w:cs="Calibri"/>
          <w:spacing w:val="-3"/>
        </w:rPr>
        <w:t>-i</w:t>
      </w:r>
      <w:r>
        <w:rPr>
          <w:rFonts w:ascii="Calibri" w:hAnsi="Calibri" w:cs="Calibri"/>
          <w:spacing w:val="-3"/>
        </w:rPr>
        <w:t xml:space="preserve"> nuk është akoma anëtare me të drejta të plota e ENQA</w:t>
      </w:r>
      <w:r w:rsidR="005C1AC1">
        <w:rPr>
          <w:rFonts w:ascii="Calibri" w:hAnsi="Calibri" w:cs="Calibri"/>
          <w:spacing w:val="-3"/>
        </w:rPr>
        <w:t>-së</w:t>
      </w:r>
      <w:r>
        <w:rPr>
          <w:rFonts w:ascii="Calibri" w:hAnsi="Calibri" w:cs="Calibri"/>
          <w:spacing w:val="-3"/>
        </w:rPr>
        <w:t xml:space="preserve"> dhe EQAR</w:t>
      </w:r>
      <w:r w:rsidR="005C1AC1">
        <w:rPr>
          <w:rFonts w:ascii="Calibri" w:hAnsi="Calibri" w:cs="Calibri"/>
          <w:spacing w:val="-3"/>
        </w:rPr>
        <w:t>-it</w:t>
      </w:r>
      <w:r>
        <w:rPr>
          <w:rFonts w:ascii="Calibri" w:hAnsi="Calibri" w:cs="Calibri"/>
          <w:spacing w:val="-3"/>
        </w:rPr>
        <w:t xml:space="preserve">, të cilat kanë si fokus sigurimin e cilësisë në arsimin e lartë, duke përfshirë mjedisin e mësimit dhe lidhjet </w:t>
      </w:r>
      <w:r w:rsidR="00A45C61">
        <w:rPr>
          <w:rFonts w:ascii="Calibri" w:hAnsi="Calibri" w:cs="Calibri"/>
          <w:spacing w:val="-3"/>
        </w:rPr>
        <w:t>përkatës</w:t>
      </w:r>
      <w:r>
        <w:rPr>
          <w:rFonts w:ascii="Calibri" w:hAnsi="Calibri" w:cs="Calibri"/>
          <w:spacing w:val="-3"/>
        </w:rPr>
        <w:t>e me hulumtim</w:t>
      </w:r>
      <w:r w:rsidR="005C1AC1">
        <w:rPr>
          <w:rFonts w:ascii="Calibri" w:hAnsi="Calibri" w:cs="Calibri"/>
          <w:spacing w:val="-3"/>
        </w:rPr>
        <w:t>in</w:t>
      </w:r>
      <w:r>
        <w:rPr>
          <w:rFonts w:ascii="Calibri" w:hAnsi="Calibri" w:cs="Calibri"/>
          <w:spacing w:val="-3"/>
        </w:rPr>
        <w:t xml:space="preserve"> dhe inovacion</w:t>
      </w:r>
      <w:r w:rsidR="005C1AC1">
        <w:rPr>
          <w:rFonts w:ascii="Calibri" w:hAnsi="Calibri" w:cs="Calibri"/>
          <w:spacing w:val="-3"/>
        </w:rPr>
        <w:t>in</w:t>
      </w:r>
      <w:r>
        <w:rPr>
          <w:rFonts w:ascii="Calibri" w:hAnsi="Calibri" w:cs="Calibri"/>
          <w:spacing w:val="-3"/>
        </w:rPr>
        <w:t>.</w:t>
      </w:r>
    </w:p>
    <w:p w:rsidR="00F97AE0" w:rsidRPr="00E97254" w:rsidRDefault="004E1F53" w:rsidP="000C0250">
      <w:pPr>
        <w:pStyle w:val="ListParagraph"/>
        <w:numPr>
          <w:ilvl w:val="0"/>
          <w:numId w:val="36"/>
        </w:numPr>
        <w:spacing w:after="0"/>
        <w:ind w:left="714" w:hanging="357"/>
        <w:contextualSpacing w:val="0"/>
        <w:jc w:val="both"/>
        <w:rPr>
          <w:rFonts w:ascii="Calibri" w:hAnsi="Calibri" w:cs="Calibri"/>
          <w:spacing w:val="-3"/>
        </w:rPr>
      </w:pPr>
      <w:r>
        <w:rPr>
          <w:rFonts w:ascii="Calibri" w:hAnsi="Calibri" w:cs="Calibri"/>
          <w:spacing w:val="-3"/>
        </w:rPr>
        <w:t>Procesi i akreditimit nuk shoqërohet me mbikëqyrje të vazhdueshme të institucioneve të arsimit të lartë për t’u siguruar se ato i përmbahen kushteve të akreditimit.</w:t>
      </w:r>
    </w:p>
    <w:p w:rsidR="00F97AE0" w:rsidRPr="00E97254" w:rsidRDefault="00F97AE0" w:rsidP="000C0250">
      <w:pPr>
        <w:spacing w:after="0"/>
        <w:jc w:val="both"/>
      </w:pPr>
    </w:p>
    <w:p w:rsidR="00A41EE1" w:rsidRPr="00E97254" w:rsidRDefault="004E1F53" w:rsidP="000C0250">
      <w:pPr>
        <w:spacing w:after="0"/>
        <w:jc w:val="both"/>
      </w:pPr>
      <w:r>
        <w:rPr>
          <w:b/>
        </w:rPr>
        <w:t>Produktet/Rezultatet e pritshme dhe masat</w:t>
      </w:r>
      <w:r>
        <w:t>. – Në vijim janë dhënë produktet dhe masat e ndërlidhura me objektivin specifik C1.</w:t>
      </w:r>
    </w:p>
    <w:p w:rsidR="00F97AE0" w:rsidRPr="00E97254" w:rsidRDefault="004E1F53" w:rsidP="000C0250">
      <w:pPr>
        <w:spacing w:after="0"/>
        <w:jc w:val="both"/>
      </w:pPr>
      <w:r>
        <w:rPr>
          <w:u w:val="single"/>
        </w:rPr>
        <w:t>Produkti C1.1</w:t>
      </w:r>
      <w:r>
        <w:t>. Programet e IAL-ve ndërtohen mbi rezultatet e të nxënit dhe janë të krahasueshme me programet e IAL-ve evropiane.</w:t>
      </w:r>
    </w:p>
    <w:p w:rsidR="00F97AE0" w:rsidRPr="00E97254" w:rsidRDefault="004E1F53" w:rsidP="000C0250">
      <w:pPr>
        <w:spacing w:after="0"/>
        <w:jc w:val="both"/>
      </w:pPr>
      <w:r>
        <w:t xml:space="preserve">C1.1.1. Përcaktimi i metodologjisë për rishikimin e programeve studimore </w:t>
      </w:r>
      <w:r>
        <w:rPr>
          <w:i/>
        </w:rPr>
        <w:t>do të përfshij</w:t>
      </w:r>
      <w:r w:rsidR="00FA5606" w:rsidRPr="00FA5606">
        <w:rPr>
          <w:rFonts w:ascii="Calibri" w:hAnsi="Calibri" w:cs="Calibri"/>
          <w:i/>
          <w:spacing w:val="-3"/>
        </w:rPr>
        <w:t>ë</w:t>
      </w:r>
      <w:r>
        <w:rPr>
          <w:i/>
        </w:rPr>
        <w:t xml:space="preserve"> procedurat që do të ndiqen si dhe procesin, fushat dhe kriteret në të cilat duhet të mbështetet një institucion i arsimit të lartë. </w:t>
      </w:r>
    </w:p>
    <w:p w:rsidR="00F97AE0" w:rsidRPr="00E97254" w:rsidRDefault="004E1F53" w:rsidP="000C0250">
      <w:pPr>
        <w:tabs>
          <w:tab w:val="left" w:pos="0"/>
        </w:tabs>
        <w:spacing w:after="0"/>
        <w:jc w:val="both"/>
      </w:pPr>
      <w:r>
        <w:t xml:space="preserve">C1.1.2. Rishikimi, racionalizimi dhe hartimi i programeve të studimit në përputhje me modelin e bazuar në rezultatet e të nxënit. </w:t>
      </w:r>
      <w:r>
        <w:rPr>
          <w:i/>
        </w:rPr>
        <w:t>Të gjitha programet e studimit do të rishikohen që të mbështeten në rezultatet e të nxënit që studentët duhet të arrijnë në përfundim të studimeve.</w:t>
      </w:r>
      <w:r>
        <w:t xml:space="preserve"> </w:t>
      </w:r>
      <w:r>
        <w:rPr>
          <w:i/>
        </w:rPr>
        <w:t>Në harmoni me praktikat më të mira evropiane, edhe ngarkesa e krediteve ECTS duhet të lidhet me rezultatet e të nxënit, e jo vetëm me ngarkesën e projektuar të studentit.</w:t>
      </w:r>
      <w:r>
        <w:t xml:space="preserve"> </w:t>
      </w:r>
    </w:p>
    <w:p w:rsidR="006A41EB" w:rsidRPr="00E97254" w:rsidRDefault="004E1F53" w:rsidP="000C0250">
      <w:pPr>
        <w:jc w:val="both"/>
        <w:rPr>
          <w:rFonts w:eastAsia="Times New Roman" w:cs="Times New Roman"/>
        </w:rPr>
      </w:pPr>
      <w:r>
        <w:t xml:space="preserve">C1.1.3. Bëhet kodifikimi i programeve të studimit. </w:t>
      </w:r>
      <w:r>
        <w:rPr>
          <w:i/>
        </w:rPr>
        <w:t xml:space="preserve">Në përputhje me nenin 86 të Ligjit për Arsimin e Lartë programet e studimit do të organizohen dhe grupohen në kode që identifikojnë fusha të ngjashme studimi në nivel kombëtar. </w:t>
      </w:r>
      <w:r>
        <w:rPr>
          <w:rFonts w:eastAsia="Times New Roman" w:cs="Times New Roman"/>
        </w:rPr>
        <w:t>Programet e studimit, që ofrohen në të njëjtën fushë studimi, cikël si dhe me të njëjtën emërtesë, duhet të kenë përmbajtje të ngjashme në nivel, së paku 70 për qind.</w:t>
      </w:r>
      <w:r>
        <w:t xml:space="preserve"> </w:t>
      </w:r>
      <w:r>
        <w:rPr>
          <w:rFonts w:eastAsia="Times New Roman" w:cs="Times New Roman"/>
        </w:rPr>
        <w:t>Specifikimet dhe përmbajtja për kodifikimin e programeve të studimit përcaktohen me vendim të Këshillit të Ministrave.</w:t>
      </w:r>
    </w:p>
    <w:p w:rsidR="00F97AE0" w:rsidRPr="00E97254" w:rsidRDefault="004E1F53" w:rsidP="000C0250">
      <w:pPr>
        <w:spacing w:before="120" w:after="0"/>
        <w:ind w:left="720"/>
        <w:jc w:val="both"/>
      </w:pPr>
      <w:r>
        <w:tab/>
      </w:r>
      <w:r>
        <w:tab/>
      </w:r>
      <w:r>
        <w:tab/>
      </w:r>
      <w:r>
        <w:tab/>
      </w:r>
      <w:r>
        <w:tab/>
      </w:r>
      <w:r>
        <w:tab/>
      </w:r>
      <w:r>
        <w:tab/>
      </w:r>
      <w:r>
        <w:tab/>
      </w:r>
      <w:r>
        <w:tab/>
      </w:r>
      <w:r>
        <w:tab/>
      </w:r>
      <w:r>
        <w:tab/>
      </w:r>
    </w:p>
    <w:p w:rsidR="00A41EE1" w:rsidRPr="00E97254" w:rsidRDefault="004E1F53" w:rsidP="000C0250">
      <w:pPr>
        <w:spacing w:after="120"/>
        <w:jc w:val="both"/>
      </w:pPr>
      <w:r>
        <w:rPr>
          <w:u w:val="single"/>
        </w:rPr>
        <w:t>Produkti C1.2</w:t>
      </w:r>
      <w:r>
        <w:t>. Përmirësimi i infrastrukturës akademike</w:t>
      </w:r>
    </w:p>
    <w:p w:rsidR="00F97AE0" w:rsidRPr="00E97254" w:rsidRDefault="004E1F53" w:rsidP="000C0250">
      <w:pPr>
        <w:spacing w:after="120"/>
        <w:jc w:val="both"/>
      </w:pPr>
      <w:r>
        <w:t xml:space="preserve">C1.2.1. Investime në zgjerimin dhe përmirësimin e infrastrukturës akademike (godinat, kampuset, laboratorët, bibliotekat, etj.). </w:t>
      </w:r>
      <w:r>
        <w:rPr>
          <w:i/>
        </w:rPr>
        <w:t xml:space="preserve"> Në periudhën 2021-2026 do të ndërtohen tre kampuse të reja të IA</w:t>
      </w:r>
      <w:r w:rsidR="005C1AC1">
        <w:rPr>
          <w:i/>
        </w:rPr>
        <w:t>L-</w:t>
      </w:r>
      <w:r>
        <w:rPr>
          <w:i/>
        </w:rPr>
        <w:t>ve publike: Kampusi i Universitetit të Tiranës, i Akademisë së Arteve dhe i Akademisë së Sigurisë. Ndërkohë, pritet të përfundoj</w:t>
      </w:r>
      <w:r w:rsidR="005C1AC1">
        <w:rPr>
          <w:rFonts w:ascii="Calibri" w:hAnsi="Calibri" w:cs="Calibri"/>
          <w:spacing w:val="-3"/>
        </w:rPr>
        <w:t>ë</w:t>
      </w:r>
      <w:r>
        <w:rPr>
          <w:i/>
        </w:rPr>
        <w:t xml:space="preserve"> ndërtimi i kampusit të ri të Universitetit Bujqësor të Tiranës. Vlera e përafërt e këtyre </w:t>
      </w:r>
      <w:r>
        <w:rPr>
          <w:i/>
        </w:rPr>
        <w:lastRenderedPageBreak/>
        <w:t>investimeve do të jetë 65-70</w:t>
      </w:r>
      <w:r w:rsidR="00E8227C">
        <w:rPr>
          <w:i/>
        </w:rPr>
        <w:t xml:space="preserve"> milionë </w:t>
      </w:r>
      <w:r>
        <w:rPr>
          <w:i/>
        </w:rPr>
        <w:t>euro</w:t>
      </w:r>
      <w:r w:rsidR="005C1AC1">
        <w:rPr>
          <w:i/>
        </w:rPr>
        <w:t>,</w:t>
      </w:r>
      <w:r>
        <w:rPr>
          <w:i/>
        </w:rPr>
        <w:t xml:space="preserve"> që është investimi më i madh i bërë ndonjëherë në arsimin e lartë shqiptar.</w:t>
      </w:r>
    </w:p>
    <w:p w:rsidR="00F97AE0" w:rsidRPr="00E97254" w:rsidRDefault="004E1F53" w:rsidP="000C0250">
      <w:pPr>
        <w:spacing w:before="120" w:after="0"/>
        <w:jc w:val="both"/>
      </w:pPr>
      <w:r>
        <w:rPr>
          <w:u w:val="single"/>
        </w:rPr>
        <w:t>Produkti C1.3</w:t>
      </w:r>
      <w:r>
        <w:t>. Aplikimi i standardeve të larta akademike për akreditimin e IAL-ve dhe të programeve studimore</w:t>
      </w:r>
    </w:p>
    <w:p w:rsidR="00781E0F" w:rsidRPr="00E97254" w:rsidRDefault="004E1F53" w:rsidP="000C0250">
      <w:pPr>
        <w:spacing w:after="0"/>
        <w:jc w:val="both"/>
      </w:pPr>
      <w:r>
        <w:t>C1.3.1. Ristrukturimi i Sistemit të Sigurimit të Cilësisë për të siguruar pavarësinë dhe për të garantuar zbatimin e SUE</w:t>
      </w:r>
      <w:r w:rsidR="005C1AC1">
        <w:t>-s</w:t>
      </w:r>
      <w:r>
        <w:t xml:space="preserve">. </w:t>
      </w:r>
      <w:r>
        <w:rPr>
          <w:i/>
        </w:rPr>
        <w:t>Do të rishikohet korniza ligjore në mënyrë që të lejojë zbatimin e plotë të SUE</w:t>
      </w:r>
      <w:r w:rsidR="005C1AC1">
        <w:rPr>
          <w:i/>
        </w:rPr>
        <w:t>-s</w:t>
      </w:r>
      <w:r>
        <w:rPr>
          <w:i/>
        </w:rPr>
        <w:t>, si dhe do të bëhet rishikimi i Kodit të Cilësisë për të pasqyruar standardet e SUE</w:t>
      </w:r>
      <w:r w:rsidR="005C1AC1">
        <w:rPr>
          <w:i/>
        </w:rPr>
        <w:t>-s</w:t>
      </w:r>
      <w:r>
        <w:rPr>
          <w:i/>
        </w:rPr>
        <w:t xml:space="preserve">. </w:t>
      </w:r>
      <w:r w:rsidR="00F919F3" w:rsidRPr="00F919F3">
        <w:rPr>
          <w:i/>
        </w:rPr>
        <w:t>Në përputhje me</w:t>
      </w:r>
      <w:r>
        <w:rPr>
          <w:i/>
        </w:rPr>
        <w:t xml:space="preserve"> </w:t>
      </w:r>
      <w:r w:rsidR="00F919F3">
        <w:rPr>
          <w:i/>
        </w:rPr>
        <w:t xml:space="preserve">praktikat </w:t>
      </w:r>
      <w:r>
        <w:rPr>
          <w:i/>
        </w:rPr>
        <w:t>më të mira evropiane do të ndërtohen mekanizma për të garantuar përfshirjen më të gjerë të palëve të interesuara në sigurimin e brendshëm dhe të jashtëm të cilësisë.</w:t>
      </w:r>
    </w:p>
    <w:p w:rsidR="00F97AE0" w:rsidRPr="00E97254" w:rsidRDefault="004E1F53" w:rsidP="000C0250">
      <w:pPr>
        <w:spacing w:after="0"/>
        <w:jc w:val="both"/>
        <w:rPr>
          <w:i/>
        </w:rPr>
      </w:pPr>
      <w:r>
        <w:t xml:space="preserve">C1.3.2. Akreditimi i IAL-ve dhe programeve në bazë të standardeve ndërkombëtare dhe mbikëqyrja e vazhdueshme e institucioneve dhe programeve të akredituara </w:t>
      </w:r>
      <w:r>
        <w:rPr>
          <w:i/>
        </w:rPr>
        <w:t xml:space="preserve">do të garantojnë përmirësim të përputhshmërisë të cilësisë së arsimit të lartë me standardet dhe udhëzuesit për sigurim të cilësisë në Hapësirën Evropiane të Arsimit të Lartë. </w:t>
      </w:r>
    </w:p>
    <w:p w:rsidR="00D222C6" w:rsidRPr="00E97254" w:rsidRDefault="004E1F53" w:rsidP="000C0250">
      <w:pPr>
        <w:spacing w:after="0"/>
        <w:jc w:val="both"/>
      </w:pPr>
      <w:r>
        <w:t>C1.3.3. Aplikimi për anëtarësim të ASCAL</w:t>
      </w:r>
      <w:r w:rsidR="005C1AC1">
        <w:t>-it</w:t>
      </w:r>
      <w:r>
        <w:t xml:space="preserve"> me të drejta të plota në ENQA dhe EQAR. </w:t>
      </w:r>
      <w:r>
        <w:rPr>
          <w:i/>
        </w:rPr>
        <w:t xml:space="preserve">Agjencia për Sigurimin e Cilësisë në Arsimin e Lartë do të zhvillojë një strategji për përmbushjen e kushteve për anëtarësim në dy rrjetet evropiane të sigurimit të cilësisë – ENQA dhe EQAR. </w:t>
      </w:r>
    </w:p>
    <w:p w:rsidR="00F97AE0" w:rsidRPr="00E97254" w:rsidRDefault="004E1F53" w:rsidP="000C0250">
      <w:pPr>
        <w:spacing w:after="0"/>
        <w:jc w:val="both"/>
        <w:rPr>
          <w:b/>
        </w:rPr>
      </w:pPr>
      <w:r>
        <w:rPr>
          <w:b/>
        </w:rPr>
        <w:t>Treguesit</w:t>
      </w:r>
    </w:p>
    <w:p w:rsidR="00E643E4" w:rsidRPr="00E97254" w:rsidRDefault="004E1F53" w:rsidP="000C0250">
      <w:pPr>
        <w:pStyle w:val="ListParagraph"/>
        <w:numPr>
          <w:ilvl w:val="0"/>
          <w:numId w:val="36"/>
        </w:numPr>
        <w:spacing w:after="0"/>
        <w:jc w:val="both"/>
        <w:rPr>
          <w:rFonts w:ascii="Calibri" w:hAnsi="Calibri" w:cs="Calibri"/>
          <w:spacing w:val="-3"/>
        </w:rPr>
      </w:pPr>
      <w:r>
        <w:rPr>
          <w:rFonts w:ascii="Calibri" w:hAnsi="Calibri" w:cs="Calibri"/>
          <w:spacing w:val="-3"/>
        </w:rPr>
        <w:t xml:space="preserve">50% të programeve të akredituara bazohen mbi rezultatet e të nxënit </w:t>
      </w:r>
    </w:p>
    <w:p w:rsidR="00F97AE0" w:rsidRPr="00E97254" w:rsidRDefault="004E1F53" w:rsidP="000C0250">
      <w:pPr>
        <w:pStyle w:val="ListParagraph"/>
        <w:numPr>
          <w:ilvl w:val="0"/>
          <w:numId w:val="36"/>
        </w:numPr>
        <w:spacing w:after="0"/>
        <w:jc w:val="both"/>
        <w:rPr>
          <w:rFonts w:ascii="Calibri" w:hAnsi="Calibri" w:cs="Calibri"/>
          <w:spacing w:val="-3"/>
        </w:rPr>
      </w:pPr>
      <w:r>
        <w:rPr>
          <w:rFonts w:ascii="Calibri" w:hAnsi="Calibri" w:cs="Calibri"/>
          <w:spacing w:val="-3"/>
        </w:rPr>
        <w:t xml:space="preserve">Infrastrukturë akademike që </w:t>
      </w:r>
      <w:r>
        <w:rPr>
          <w:rFonts w:cs="Calibri"/>
          <w:spacing w:val="-3"/>
        </w:rPr>
        <w:t>përmbush</w:t>
      </w:r>
      <w:r>
        <w:rPr>
          <w:rFonts w:ascii="Calibri" w:hAnsi="Calibri" w:cs="Calibri"/>
          <w:spacing w:val="-3"/>
        </w:rPr>
        <w:t xml:space="preserve"> standardet </w:t>
      </w:r>
    </w:p>
    <w:p w:rsidR="00D54ECB" w:rsidRPr="00E97254" w:rsidRDefault="004E1F53" w:rsidP="000C0250">
      <w:pPr>
        <w:pStyle w:val="ListParagraph"/>
        <w:numPr>
          <w:ilvl w:val="0"/>
          <w:numId w:val="36"/>
        </w:numPr>
        <w:spacing w:after="0"/>
        <w:jc w:val="both"/>
        <w:rPr>
          <w:rFonts w:ascii="Calibri" w:hAnsi="Calibri" w:cs="Calibri"/>
          <w:color w:val="7030A0"/>
          <w:spacing w:val="-3"/>
        </w:rPr>
      </w:pPr>
      <w:r>
        <w:rPr>
          <w:rFonts w:ascii="Calibri" w:hAnsi="Calibri" w:cs="Calibri"/>
          <w:spacing w:val="-3"/>
        </w:rPr>
        <w:t>Anëtarësimi i ASCAL në ENQA dhe EQAR</w:t>
      </w:r>
    </w:p>
    <w:p w:rsidR="00F27EEE" w:rsidRPr="00E97254" w:rsidRDefault="00F27EEE" w:rsidP="000C0250">
      <w:pPr>
        <w:spacing w:after="0"/>
        <w:jc w:val="both"/>
      </w:pPr>
    </w:p>
    <w:p w:rsidR="0072310B" w:rsidRPr="00E97254" w:rsidRDefault="0072310B" w:rsidP="000C0250">
      <w:pPr>
        <w:spacing w:after="0"/>
        <w:jc w:val="both"/>
      </w:pPr>
    </w:p>
    <w:p w:rsidR="00F27EEE" w:rsidRPr="00E97254" w:rsidRDefault="00FA5606" w:rsidP="000C0250">
      <w:pPr>
        <w:pStyle w:val="Heading3"/>
        <w:spacing w:before="0" w:after="120"/>
        <w:jc w:val="both"/>
      </w:pPr>
      <w:bookmarkStart w:id="130" w:name="_Toc66802021"/>
      <w:r w:rsidRPr="00FA5606">
        <w:t>Objektivi specifik C2: Përsosmëria në mësimdhënie dhe kërkim</w:t>
      </w:r>
      <w:bookmarkEnd w:id="130"/>
    </w:p>
    <w:p w:rsidR="00F97AE0" w:rsidRPr="00E97254" w:rsidRDefault="003A44C5" w:rsidP="000C0250">
      <w:pPr>
        <w:spacing w:before="120" w:after="0"/>
        <w:jc w:val="both"/>
      </w:pPr>
      <w:r>
        <w:rPr>
          <w:noProof/>
        </w:rPr>
        <mc:AlternateContent>
          <mc:Choice Requires="wps">
            <w:drawing>
              <wp:inline distT="0" distB="0" distL="0" distR="0">
                <wp:extent cx="5943600" cy="302895"/>
                <wp:effectExtent l="12700" t="12700" r="0" b="1905"/>
                <wp:docPr id="9"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43600" cy="302895"/>
                        </a:xfrm>
                        <a:prstGeom prst="rect">
                          <a:avLst/>
                        </a:prstGeom>
                        <a:solidFill>
                          <a:srgbClr val="EBF1DE"/>
                        </a:solidFill>
                        <a:ln w="25400">
                          <a:solidFill>
                            <a:srgbClr val="8064A2"/>
                          </a:solidFill>
                          <a:miter lim="800000"/>
                          <a:headEnd/>
                          <a:tailEnd/>
                        </a:ln>
                      </wps:spPr>
                      <wps:txbx>
                        <w:txbxContent>
                          <w:p w:rsidR="00753C65" w:rsidRPr="003D71F2" w:rsidRDefault="00753C65" w:rsidP="00D222C6">
                            <w:pPr>
                              <w:pStyle w:val="Default"/>
                              <w:rPr>
                                <w:color w:val="FF0000"/>
                                <w:sz w:val="22"/>
                                <w:szCs w:val="22"/>
                              </w:rPr>
                            </w:pPr>
                            <w:r w:rsidRPr="00383110">
                              <w:t>Nxitja e përsosmërisë në mësimdhënie dhe kërkim</w:t>
                            </w:r>
                            <w:r>
                              <w:t>.</w:t>
                            </w:r>
                          </w:p>
                        </w:txbxContent>
                      </wps:txbx>
                      <wps:bodyPr rot="0" vert="horz" wrap="square" lIns="91440" tIns="45720" rIns="91440" bIns="45720" anchor="t" anchorCtr="0" upright="1">
                        <a:spAutoFit/>
                      </wps:bodyPr>
                    </wps:wsp>
                  </a:graphicData>
                </a:graphic>
              </wp:inline>
            </w:drawing>
          </mc:Choice>
          <mc:Fallback>
            <w:pict>
              <v:shape id="Text Box 42" o:spid="_x0000_s1072" type="#_x0000_t202" style="width:468pt;height:23.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" fillcolor="#ebf1de" strokecolor="#8064a2" strokeweight="2pt">
                <v:path arrowok="t"/>
                <v:textbox style="mso-fit-shape-to-text:t">
                  <w:txbxContent>
                    <w:p w:rsidR="00753C65" w:rsidRPr="003D71F2" w:rsidRDefault="00753C65" w:rsidP="00D222C6">
                      <w:pPr>
                        <w:pStyle w:val="Default"/>
                        <w:rPr>
                          <w:color w:val="FF0000"/>
                          <w:sz w:val="22"/>
                          <w:szCs w:val="22"/>
                        </w:rPr>
                      </w:pPr>
                      <w:r w:rsidRPr="00383110">
                        <w:t>Nxitja e përsosmërisë në mësimdhënie dhe kërkim</w:t>
                      </w:r>
                      <w:r>
                        <w:t>.</w:t>
                      </w:r>
                    </w:p>
                  </w:txbxContent>
                </v:textbox>
                <w10:anchorlock/>
              </v:shape>
            </w:pict>
          </mc:Fallback>
        </mc:AlternateContent>
      </w:r>
      <w:r w:rsidR="00F97AE0" w:rsidRPr="00E97254">
        <w:t xml:space="preserve">Nevoja për t'i dhënë theks më të lartë mësimdhënies cilësore, të mësuarit me në qendër studentin dhe përdorimit të metodave inovative të mësimdhënies janë tashmë domosdoshmëri në praktikat institucionale të mësimdhënies. Synohet përmirësimi i përmbajtjes së kërkimit shkencor, mbështetur </w:t>
      </w:r>
      <w:r w:rsidR="003E6947" w:rsidRPr="00E97254">
        <w:t>në</w:t>
      </w:r>
      <w:r w:rsidR="004E1F53">
        <w:t xml:space="preserve"> përparësitë kombëtare dhe nën optikën e përparësive aktuale të zhvillimit të vendit. Veprimtaria kërkimore-shkencore, synon rritjen e cilësisë së arsimit, duke krijuar mundësi që personeli akademik dhe studentët të fitojnë aftësi për kërkime të pavarura, në funksion të zhvillimit të qëndrueshëm profesional dhe të karrierës akademike.</w:t>
      </w:r>
    </w:p>
    <w:p w:rsidR="00F97AE0" w:rsidRPr="00E97254" w:rsidRDefault="00DC4C19" w:rsidP="000C0250">
      <w:pPr>
        <w:spacing w:after="0"/>
        <w:jc w:val="both"/>
        <w:rPr>
          <w:rFonts w:ascii="Calibri" w:hAnsi="Calibri" w:cs="Calibri"/>
          <w:spacing w:val="-3"/>
        </w:rPr>
      </w:pPr>
      <w:r>
        <w:rPr>
          <w:rFonts w:ascii="Calibri" w:hAnsi="Calibri" w:cs="Calibri"/>
          <w:spacing w:val="-3"/>
        </w:rPr>
        <w:t xml:space="preserve">Analiza e situatës </w:t>
      </w:r>
      <w:r w:rsidR="004E1F53">
        <w:rPr>
          <w:rFonts w:ascii="Calibri" w:hAnsi="Calibri" w:cs="Calibri"/>
          <w:spacing w:val="-3"/>
        </w:rPr>
        <w:t>në fushën që mbulon ky objektiv specifik është dhënë në seksionin 4.4.1, ndërsa sfidat kryesore që dalin nga analiza janë:</w:t>
      </w:r>
    </w:p>
    <w:p w:rsidR="00F97AE0" w:rsidRPr="00E97254" w:rsidRDefault="004E1F53" w:rsidP="000C0250">
      <w:pPr>
        <w:pStyle w:val="ListParagraph"/>
        <w:numPr>
          <w:ilvl w:val="0"/>
          <w:numId w:val="36"/>
        </w:numPr>
        <w:spacing w:after="0"/>
        <w:ind w:hanging="357"/>
        <w:contextualSpacing w:val="0"/>
        <w:jc w:val="both"/>
        <w:rPr>
          <w:rFonts w:ascii="Calibri" w:hAnsi="Calibri" w:cs="Calibri"/>
          <w:spacing w:val="-3"/>
        </w:rPr>
      </w:pPr>
      <w:r>
        <w:rPr>
          <w:rFonts w:ascii="Calibri" w:hAnsi="Calibri" w:cs="Calibri"/>
          <w:spacing w:val="-3"/>
        </w:rPr>
        <w:t>Kërkimi shkencor, si komponent i rëndësishëm kyç për institucionet e arsimit të lartë, është veprimtari që varet nga nismat individuale.</w:t>
      </w:r>
    </w:p>
    <w:p w:rsidR="00F97AE0" w:rsidRPr="00E97254" w:rsidRDefault="004E1F53" w:rsidP="000C0250">
      <w:pPr>
        <w:pStyle w:val="ListParagraph"/>
        <w:numPr>
          <w:ilvl w:val="0"/>
          <w:numId w:val="36"/>
        </w:numPr>
        <w:spacing w:after="0"/>
        <w:ind w:hanging="357"/>
        <w:contextualSpacing w:val="0"/>
        <w:jc w:val="both"/>
        <w:rPr>
          <w:rFonts w:ascii="Calibri" w:hAnsi="Calibri" w:cs="Calibri"/>
          <w:spacing w:val="-3"/>
        </w:rPr>
      </w:pPr>
      <w:r>
        <w:rPr>
          <w:rFonts w:ascii="Calibri" w:hAnsi="Calibri" w:cs="Calibri"/>
          <w:spacing w:val="-3"/>
        </w:rPr>
        <w:t>Në disa programe vazhdojnë të përdoren gjerësisht metodat e vjetruara të mësimdhënies që fokusohen në memorizim dhe riprodhimin e fakteve, duke neglizhuar nevojën për aftësimin e studentëve që të nxënë gjatë gjithë jetës dhe të zgjidhin probleme komplekse nga fusha e tyre e specializimit.</w:t>
      </w:r>
    </w:p>
    <w:p w:rsidR="00F97AE0" w:rsidRPr="00E97254" w:rsidRDefault="004E1F53" w:rsidP="000C0250">
      <w:pPr>
        <w:pStyle w:val="ListParagraph"/>
        <w:numPr>
          <w:ilvl w:val="0"/>
          <w:numId w:val="36"/>
        </w:numPr>
        <w:spacing w:after="0"/>
        <w:ind w:hanging="357"/>
        <w:contextualSpacing w:val="0"/>
        <w:jc w:val="both"/>
        <w:rPr>
          <w:rFonts w:ascii="Calibri" w:hAnsi="Calibri" w:cs="Calibri"/>
          <w:spacing w:val="-3"/>
        </w:rPr>
      </w:pPr>
      <w:r>
        <w:rPr>
          <w:rFonts w:ascii="Calibri" w:hAnsi="Calibri" w:cs="Calibri"/>
          <w:spacing w:val="-3"/>
        </w:rPr>
        <w:lastRenderedPageBreak/>
        <w:t>Avancimi në karrierën akademike mbështet</w:t>
      </w:r>
      <w:r w:rsidR="00484C0C">
        <w:rPr>
          <w:rFonts w:ascii="Calibri" w:hAnsi="Calibri" w:cs="Calibri"/>
          <w:spacing w:val="-3"/>
        </w:rPr>
        <w:t>et</w:t>
      </w:r>
      <w:r>
        <w:rPr>
          <w:rFonts w:ascii="Calibri" w:hAnsi="Calibri" w:cs="Calibri"/>
          <w:spacing w:val="-3"/>
        </w:rPr>
        <w:t xml:space="preserve"> në tregues që kanë të bëjnë me publikimet</w:t>
      </w:r>
      <w:r w:rsidR="00484C0C">
        <w:rPr>
          <w:rFonts w:ascii="Calibri" w:hAnsi="Calibri" w:cs="Calibri"/>
          <w:spacing w:val="-3"/>
        </w:rPr>
        <w:t>,</w:t>
      </w:r>
      <w:r>
        <w:rPr>
          <w:rFonts w:ascii="Calibri" w:hAnsi="Calibri" w:cs="Calibri"/>
          <w:spacing w:val="-3"/>
        </w:rPr>
        <w:t xml:space="preserve"> përfshirjen në projekte të ndryshme kërkimore shkencore</w:t>
      </w:r>
      <w:r w:rsidR="00484C0C">
        <w:rPr>
          <w:rFonts w:ascii="Calibri" w:hAnsi="Calibri" w:cs="Calibri"/>
          <w:spacing w:val="-3"/>
        </w:rPr>
        <w:t>,</w:t>
      </w:r>
      <w:r>
        <w:rPr>
          <w:rFonts w:ascii="Calibri" w:hAnsi="Calibri" w:cs="Calibri"/>
          <w:spacing w:val="-3"/>
        </w:rPr>
        <w:t xml:space="preserve"> kombëtare dhe ndërkombëtare, </w:t>
      </w:r>
      <w:r w:rsidR="00484C0C">
        <w:rPr>
          <w:rFonts w:ascii="Calibri" w:hAnsi="Calibri" w:cs="Calibri"/>
          <w:spacing w:val="-3"/>
        </w:rPr>
        <w:t xml:space="preserve">ndërsa </w:t>
      </w:r>
      <w:r>
        <w:rPr>
          <w:rFonts w:ascii="Calibri" w:hAnsi="Calibri" w:cs="Calibri"/>
          <w:spacing w:val="-3"/>
        </w:rPr>
        <w:t>performanca në fushën e mësimdhënies konsiderohet si kriter dytësor.</w:t>
      </w:r>
    </w:p>
    <w:p w:rsidR="00F97AE0" w:rsidRPr="00E97254" w:rsidRDefault="00F97AE0" w:rsidP="000C0250">
      <w:pPr>
        <w:spacing w:after="0"/>
        <w:jc w:val="both"/>
        <w:rPr>
          <w:rFonts w:ascii="Calibri" w:hAnsi="Calibri" w:cs="Calibri"/>
        </w:rPr>
      </w:pPr>
    </w:p>
    <w:p w:rsidR="00F97AE0" w:rsidRPr="00E97254" w:rsidRDefault="004E1F53" w:rsidP="000C0250">
      <w:pPr>
        <w:spacing w:after="0"/>
        <w:jc w:val="both"/>
      </w:pPr>
      <w:r>
        <w:rPr>
          <w:b/>
        </w:rPr>
        <w:t>Produktet/Rezultatet e pritshme dhe masat</w:t>
      </w:r>
      <w:r>
        <w:t>. – Në vijim janë dhënë produktet dhe masat e ndërlidhura me objektivin specifik C2.</w:t>
      </w:r>
    </w:p>
    <w:p w:rsidR="00F97AE0" w:rsidRPr="00E97254" w:rsidRDefault="004E1F53" w:rsidP="000C0250">
      <w:pPr>
        <w:spacing w:before="120" w:after="0"/>
        <w:jc w:val="both"/>
      </w:pPr>
      <w:r>
        <w:rPr>
          <w:u w:val="single"/>
        </w:rPr>
        <w:t>Produkti C2.1</w:t>
      </w:r>
      <w:r>
        <w:t xml:space="preserve">. </w:t>
      </w:r>
      <w:r>
        <w:rPr>
          <w:rFonts w:ascii="Calibri" w:hAnsi="Calibri" w:cs="Calibri"/>
          <w:spacing w:val="-3"/>
        </w:rPr>
        <w:t>Përmirësimi i kapacitetit të personelit akademik për mësimdhënie dhe kërkim shkencor</w:t>
      </w:r>
    </w:p>
    <w:p w:rsidR="00F97AE0" w:rsidRPr="00E97254" w:rsidRDefault="004E1F53" w:rsidP="000C0250">
      <w:pPr>
        <w:spacing w:after="0"/>
        <w:jc w:val="both"/>
        <w:rPr>
          <w:rFonts w:ascii="Calibri" w:hAnsi="Calibri" w:cs="Calibri"/>
          <w:spacing w:val="-3"/>
        </w:rPr>
      </w:pPr>
      <w:r>
        <w:rPr>
          <w:rFonts w:ascii="Calibri" w:hAnsi="Calibri" w:cs="Calibri"/>
          <w:spacing w:val="-3"/>
        </w:rPr>
        <w:t xml:space="preserve">C2.1.1. Nxitja e krijimit </w:t>
      </w:r>
      <w:r>
        <w:rPr>
          <w:rFonts w:cs="Calibri"/>
          <w:spacing w:val="-3"/>
        </w:rPr>
        <w:t>të</w:t>
      </w:r>
      <w:r>
        <w:rPr>
          <w:rFonts w:ascii="Calibri" w:hAnsi="Calibri" w:cs="Calibri"/>
          <w:spacing w:val="-3"/>
        </w:rPr>
        <w:t xml:space="preserve"> qendrave në IAL për trajnimin në mësimdhënie dhe kërkim. </w:t>
      </w:r>
      <w:r>
        <w:rPr>
          <w:rFonts w:ascii="Calibri" w:hAnsi="Calibri" w:cs="Calibri"/>
          <w:i/>
          <w:spacing w:val="-3"/>
        </w:rPr>
        <w:t xml:space="preserve">IAL-të duhet të identifikojnë nevojat e stafeve akademike për zhvillim profesional në mësimdhënie dhe kërkim shkencor dhe të ofrojnë trajnime për rritjen e kapaciteteve. </w:t>
      </w:r>
    </w:p>
    <w:p w:rsidR="00F97AE0" w:rsidRPr="00E97254" w:rsidRDefault="004E1F53" w:rsidP="000C0250">
      <w:pPr>
        <w:spacing w:after="0"/>
        <w:jc w:val="both"/>
        <w:rPr>
          <w:rFonts w:ascii="Calibri" w:hAnsi="Calibri" w:cs="Calibri"/>
          <w:spacing w:val="-3"/>
        </w:rPr>
      </w:pPr>
      <w:r>
        <w:rPr>
          <w:rFonts w:ascii="Calibri" w:hAnsi="Calibri" w:cs="Calibri"/>
          <w:spacing w:val="-3"/>
        </w:rPr>
        <w:t>C2.1.2. Zbatimi i incentivave për rezultate në punën shkencore</w:t>
      </w:r>
    </w:p>
    <w:p w:rsidR="00F97AE0" w:rsidRPr="00E97254" w:rsidRDefault="004E1F53" w:rsidP="000C0250">
      <w:pPr>
        <w:numPr>
          <w:ilvl w:val="1"/>
          <w:numId w:val="24"/>
        </w:numPr>
        <w:spacing w:after="0"/>
        <w:jc w:val="both"/>
      </w:pPr>
      <w:r>
        <w:rPr>
          <w:rFonts w:ascii="Calibri" w:hAnsi="Calibri" w:cs="Calibri"/>
          <w:spacing w:val="-3"/>
        </w:rPr>
        <w:t>Ngarkesa mësimore e pedagogëve në IAL</w:t>
      </w:r>
      <w:r w:rsidR="00484C0C">
        <w:rPr>
          <w:rFonts w:ascii="Calibri" w:hAnsi="Calibri" w:cs="Calibri"/>
          <w:spacing w:val="-3"/>
        </w:rPr>
        <w:t>-të</w:t>
      </w:r>
      <w:r>
        <w:rPr>
          <w:rFonts w:ascii="Calibri" w:hAnsi="Calibri" w:cs="Calibri"/>
          <w:spacing w:val="-3"/>
        </w:rPr>
        <w:t xml:space="preserve"> publike </w:t>
      </w:r>
      <w:r>
        <w:rPr>
          <w:rFonts w:cs="Calibri"/>
          <w:spacing w:val="-3"/>
        </w:rPr>
        <w:t>përfshin</w:t>
      </w:r>
      <w:r>
        <w:rPr>
          <w:rFonts w:ascii="Calibri" w:hAnsi="Calibri" w:cs="Calibri"/>
          <w:spacing w:val="-3"/>
        </w:rPr>
        <w:t xml:space="preserve"> edhe angazhimin në punën</w:t>
      </w:r>
      <w:r>
        <w:t xml:space="preserve"> kërkimore. </w:t>
      </w:r>
      <w:r>
        <w:rPr>
          <w:i/>
        </w:rPr>
        <w:t>Kjo nënkupton zvogëlimin e ngarkesës në mësimdhënie për pedagogët që angazhohen në realizimin e projekteve kërkimore ose shënojnë arritje të larta në punën e tyre kërkimore</w:t>
      </w:r>
      <w:r>
        <w:rPr>
          <w:rFonts w:ascii="Calibri" w:hAnsi="Calibri" w:cs="Calibri"/>
          <w:i/>
          <w:spacing w:val="-3"/>
        </w:rPr>
        <w:t>.</w:t>
      </w:r>
      <w:r>
        <w:rPr>
          <w:i/>
        </w:rPr>
        <w:t xml:space="preserve"> </w:t>
      </w:r>
    </w:p>
    <w:p w:rsidR="00F97AE0" w:rsidRPr="00E97254" w:rsidRDefault="004E1F53" w:rsidP="000C0250">
      <w:pPr>
        <w:numPr>
          <w:ilvl w:val="1"/>
          <w:numId w:val="24"/>
        </w:numPr>
        <w:spacing w:after="0"/>
        <w:jc w:val="both"/>
      </w:pPr>
      <w:r>
        <w:rPr>
          <w:rFonts w:ascii="Calibri" w:hAnsi="Calibri" w:cs="Calibri"/>
          <w:spacing w:val="-3"/>
        </w:rPr>
        <w:t xml:space="preserve">Financimi i publikimeve në revista ndërkombëtare. </w:t>
      </w:r>
      <w:r>
        <w:rPr>
          <w:rFonts w:ascii="Calibri" w:hAnsi="Calibri" w:cs="Calibri"/>
          <w:i/>
          <w:spacing w:val="-3"/>
        </w:rPr>
        <w:t>Mbështetja e personelit akademik të IAL</w:t>
      </w:r>
      <w:r w:rsidR="00484C0C">
        <w:rPr>
          <w:rFonts w:ascii="Calibri" w:hAnsi="Calibri" w:cs="Calibri"/>
          <w:i/>
          <w:spacing w:val="-3"/>
        </w:rPr>
        <w:t>-ve</w:t>
      </w:r>
      <w:r>
        <w:rPr>
          <w:rFonts w:ascii="Calibri" w:hAnsi="Calibri" w:cs="Calibri"/>
          <w:i/>
          <w:spacing w:val="-3"/>
        </w:rPr>
        <w:t xml:space="preserve"> për publikim të punës shkencore në revista shkencore ndërkombëtare dhe pjesëmarrje e tyre në konferenca ndërkombëtare. </w:t>
      </w:r>
    </w:p>
    <w:p w:rsidR="00F97AE0" w:rsidRPr="00E97254" w:rsidRDefault="004E1F53" w:rsidP="000C0250">
      <w:pPr>
        <w:spacing w:after="0"/>
        <w:jc w:val="both"/>
        <w:rPr>
          <w:b/>
        </w:rPr>
      </w:pPr>
      <w:r>
        <w:rPr>
          <w:b/>
        </w:rPr>
        <w:t>Treguesit</w:t>
      </w:r>
    </w:p>
    <w:p w:rsidR="00F97AE0" w:rsidRPr="00E97254" w:rsidRDefault="004E1F53" w:rsidP="000C0250">
      <w:pPr>
        <w:pStyle w:val="ListParagraph"/>
        <w:numPr>
          <w:ilvl w:val="0"/>
          <w:numId w:val="36"/>
        </w:numPr>
        <w:spacing w:after="0"/>
        <w:jc w:val="both"/>
        <w:rPr>
          <w:rFonts w:ascii="Calibri" w:hAnsi="Calibri" w:cs="Calibri"/>
          <w:spacing w:val="-3"/>
        </w:rPr>
      </w:pPr>
      <w:r>
        <w:rPr>
          <w:rFonts w:ascii="Calibri" w:hAnsi="Calibri" w:cs="Calibri"/>
          <w:spacing w:val="-3"/>
        </w:rPr>
        <w:t xml:space="preserve">Numri total i personelit akademik të trajnuar për mësimdhënie cilësore </w:t>
      </w:r>
    </w:p>
    <w:p w:rsidR="00F97AE0" w:rsidRPr="00E97254" w:rsidRDefault="004E1F53" w:rsidP="000C0250">
      <w:pPr>
        <w:pStyle w:val="ListParagraph"/>
        <w:numPr>
          <w:ilvl w:val="0"/>
          <w:numId w:val="36"/>
        </w:numPr>
        <w:spacing w:after="0"/>
        <w:jc w:val="both"/>
        <w:rPr>
          <w:rFonts w:ascii="Calibri" w:hAnsi="Calibri" w:cs="Calibri"/>
          <w:spacing w:val="-3"/>
        </w:rPr>
      </w:pPr>
      <w:r>
        <w:rPr>
          <w:rFonts w:ascii="Calibri" w:hAnsi="Calibri" w:cs="Calibri"/>
          <w:spacing w:val="-3"/>
        </w:rPr>
        <w:t xml:space="preserve">Numri i punimeve në revista të indeksuara në Scopus dhe WoS </w:t>
      </w:r>
    </w:p>
    <w:p w:rsidR="00F97AE0" w:rsidRPr="00E97254" w:rsidRDefault="00F97AE0" w:rsidP="000C0250">
      <w:pPr>
        <w:jc w:val="both"/>
      </w:pPr>
    </w:p>
    <w:p w:rsidR="00383110" w:rsidRPr="00E97254" w:rsidRDefault="00FA5606" w:rsidP="000C0250">
      <w:pPr>
        <w:pStyle w:val="Heading3"/>
        <w:spacing w:before="0" w:after="120"/>
        <w:jc w:val="both"/>
      </w:pPr>
      <w:bookmarkStart w:id="131" w:name="_Toc66802022"/>
      <w:r w:rsidRPr="00FA5606">
        <w:t>Objektivi specifik C3: Ndërlidhja me tregun e punës</w:t>
      </w:r>
      <w:bookmarkEnd w:id="131"/>
    </w:p>
    <w:p w:rsidR="00383110" w:rsidRPr="00E97254" w:rsidRDefault="003A44C5" w:rsidP="000C0250">
      <w:pPr>
        <w:spacing w:after="0"/>
        <w:jc w:val="both"/>
      </w:pPr>
      <w:r>
        <w:rPr>
          <w:noProof/>
        </w:rPr>
        <mc:AlternateContent>
          <mc:Choice Requires="wps">
            <w:drawing>
              <wp:inline distT="0" distB="0" distL="0" distR="0">
                <wp:extent cx="5943600" cy="302895"/>
                <wp:effectExtent l="12700" t="12700" r="0" b="1905"/>
                <wp:docPr id="8"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43600" cy="302895"/>
                        </a:xfrm>
                        <a:prstGeom prst="rect">
                          <a:avLst/>
                        </a:prstGeom>
                        <a:solidFill>
                          <a:srgbClr val="EBF1DE"/>
                        </a:solidFill>
                        <a:ln w="25400">
                          <a:solidFill>
                            <a:srgbClr val="8064A2"/>
                          </a:solidFill>
                          <a:miter lim="800000"/>
                          <a:headEnd/>
                          <a:tailEnd/>
                        </a:ln>
                      </wps:spPr>
                      <wps:txbx>
                        <w:txbxContent>
                          <w:p w:rsidR="00753C65" w:rsidRPr="0095528D" w:rsidRDefault="00753C65" w:rsidP="00853CF3">
                            <w:pPr>
                              <w:pStyle w:val="Default"/>
                              <w:rPr>
                                <w:color w:val="FF0000"/>
                                <w:sz w:val="22"/>
                                <w:szCs w:val="22"/>
                                <w:lang w:val="es-ES"/>
                              </w:rPr>
                            </w:pPr>
                            <w:r w:rsidRPr="0095528D">
                              <w:rPr>
                                <w:lang w:val="es-ES"/>
                              </w:rPr>
                              <w:t>Ndërlidhja më e mirë e arsimit të lartë me tregun e punës.</w:t>
                            </w:r>
                          </w:p>
                        </w:txbxContent>
                      </wps:txbx>
                      <wps:bodyPr rot="0" vert="horz" wrap="square" lIns="91440" tIns="45720" rIns="91440" bIns="45720" anchor="t" anchorCtr="0" upright="1">
                        <a:spAutoFit/>
                      </wps:bodyPr>
                    </wps:wsp>
                  </a:graphicData>
                </a:graphic>
              </wp:inline>
            </w:drawing>
          </mc:Choice>
          <mc:Fallback>
            <w:pict>
              <v:shape id="Text Box 41" o:spid="_x0000_s1073" type="#_x0000_t202" style="width:468pt;height:23.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" fillcolor="#ebf1de" strokecolor="#8064a2" strokeweight="2pt">
                <v:path arrowok="t"/>
                <v:textbox style="mso-fit-shape-to-text:t">
                  <w:txbxContent>
                    <w:p w:rsidR="00753C65" w:rsidRPr="0095528D" w:rsidRDefault="00753C65" w:rsidP="00853CF3">
                      <w:pPr>
                        <w:pStyle w:val="Default"/>
                        <w:rPr>
                          <w:color w:val="FF0000"/>
                          <w:sz w:val="22"/>
                          <w:szCs w:val="22"/>
                          <w:lang w:val="es-ES"/>
                        </w:rPr>
                      </w:pPr>
                      <w:r w:rsidRPr="0095528D">
                        <w:rPr>
                          <w:lang w:val="es-ES"/>
                        </w:rPr>
                        <w:t>Ndërlidhja më e mirë e arsimit të lartë me tregun e punës.</w:t>
                      </w:r>
                    </w:p>
                  </w:txbxContent>
                </v:textbox>
                <w10:anchorlock/>
              </v:shape>
            </w:pict>
          </mc:Fallback>
        </mc:AlternateContent>
      </w:r>
    </w:p>
    <w:p w:rsidR="00F97AE0" w:rsidRPr="00E97254" w:rsidRDefault="00F97AE0" w:rsidP="000C0250">
      <w:pPr>
        <w:spacing w:after="0"/>
        <w:jc w:val="both"/>
      </w:pPr>
      <w:r w:rsidRPr="00E97254">
        <w:t xml:space="preserve">Arsimi i lartë synon që t'u sigurojë të diplomuarve aftësitë e nevojshme për të </w:t>
      </w:r>
      <w:r w:rsidR="00AF5D7C" w:rsidRPr="00E97254">
        <w:t>pasur</w:t>
      </w:r>
      <w:r w:rsidR="004E1F53">
        <w:t xml:space="preserve"> sukses në tregun e punës </w:t>
      </w:r>
      <w:r w:rsidR="00A50A43">
        <w:t>nëpërmjet</w:t>
      </w:r>
      <w:r w:rsidR="004E1F53">
        <w:t xml:space="preserve"> zhvillimit të kurrikulave që i përgjigjen kontekstit të ekonomive të sotme të globalizuara, të drejtuara nga inovacioni dhe të bazuara në aftësi. Sistemet e arsimit të lartë përpiqen të prodhojnë të diplomuar me njohuri dhe aftësi të theksuara teknike, profesionale dhe të disiplinës specifike, cilado qoftë fusha e tyre e studimit. Përveç kësaj, sistemet e arsimit të lartë kërkojnë të zhvillojnë një kategori të dytë të gjerë të aftësive, të referuara si aftësi transversale që përfshijnë një sërë aftësish që nevojiten për të kryer detyra në një shumëllojshmëri mjedisesh të vendit të punës. At</w:t>
      </w:r>
      <w:r w:rsidR="00484C0C">
        <w:t>o</w:t>
      </w:r>
      <w:r w:rsidR="004E1F53">
        <w:t xml:space="preserve"> u mundësojnë studentëve përshtatjen me ndryshimin e kërkesave brenda një pune ose lëvizjen lehtësisht nga një punë ose rol në tjetrin gjatë karrierës së tyre</w:t>
      </w:r>
      <w:r w:rsidR="00484C0C">
        <w:t>,</w:t>
      </w:r>
      <w:r w:rsidR="004E1F53">
        <w:t xml:space="preserve"> ndërsa tregu i punës evoluon.</w:t>
      </w:r>
    </w:p>
    <w:p w:rsidR="00F97AE0" w:rsidRPr="00E97254" w:rsidRDefault="00DC4C19" w:rsidP="000C0250">
      <w:pPr>
        <w:spacing w:after="0"/>
        <w:jc w:val="both"/>
        <w:rPr>
          <w:rFonts w:ascii="Calibri" w:hAnsi="Calibri" w:cs="Calibri"/>
          <w:spacing w:val="-3"/>
        </w:rPr>
      </w:pPr>
      <w:r>
        <w:rPr>
          <w:rFonts w:ascii="Calibri" w:hAnsi="Calibri" w:cs="Calibri"/>
          <w:spacing w:val="-3"/>
        </w:rPr>
        <w:t xml:space="preserve">Analiza e situatës </w:t>
      </w:r>
      <w:r w:rsidR="004E1F53">
        <w:rPr>
          <w:rFonts w:ascii="Calibri" w:hAnsi="Calibri" w:cs="Calibri"/>
          <w:spacing w:val="-3"/>
        </w:rPr>
        <w:t>në fushën që mbulon ky objektiv specifik është dhënë në seksionin 4.4.1, ndërsa sfidat kryesore që dalin nga analiza janë:</w:t>
      </w:r>
    </w:p>
    <w:p w:rsidR="00853CF3" w:rsidRPr="00E97254" w:rsidRDefault="004E1F53" w:rsidP="000C0250">
      <w:pPr>
        <w:pStyle w:val="ListParagraph"/>
        <w:numPr>
          <w:ilvl w:val="0"/>
          <w:numId w:val="36"/>
        </w:numPr>
        <w:spacing w:after="0"/>
        <w:ind w:hanging="357"/>
        <w:contextualSpacing w:val="0"/>
        <w:jc w:val="both"/>
        <w:rPr>
          <w:rFonts w:ascii="Calibri" w:hAnsi="Calibri" w:cs="Calibri"/>
          <w:spacing w:val="-3"/>
        </w:rPr>
      </w:pPr>
      <w:r>
        <w:rPr>
          <w:rFonts w:ascii="Calibri" w:hAnsi="Calibri" w:cs="Calibri"/>
        </w:rPr>
        <w:t xml:space="preserve">Kurrikulat nuk u janë përshtatur gjithnjë ndryshimeve shoqërore-ekonomike dhe nevojave të kohës, për pasojë, ato nuk kanë qenë gjithmonë </w:t>
      </w:r>
      <w:r w:rsidR="00A45C61">
        <w:rPr>
          <w:rFonts w:ascii="Calibri" w:hAnsi="Calibri" w:cs="Calibri"/>
        </w:rPr>
        <w:t>të rëndësishm</w:t>
      </w:r>
      <w:r>
        <w:rPr>
          <w:rFonts w:ascii="Calibri" w:hAnsi="Calibri" w:cs="Calibri"/>
        </w:rPr>
        <w:t xml:space="preserve">e për tregun e punës. </w:t>
      </w:r>
    </w:p>
    <w:p w:rsidR="00F97AE0" w:rsidRPr="00E97254" w:rsidRDefault="004E1F53" w:rsidP="000C0250">
      <w:pPr>
        <w:pStyle w:val="ListParagraph"/>
        <w:numPr>
          <w:ilvl w:val="0"/>
          <w:numId w:val="36"/>
        </w:numPr>
        <w:spacing w:after="0"/>
        <w:ind w:hanging="357"/>
        <w:contextualSpacing w:val="0"/>
        <w:jc w:val="both"/>
        <w:rPr>
          <w:rFonts w:ascii="Calibri" w:hAnsi="Calibri" w:cs="Calibri"/>
          <w:spacing w:val="-3"/>
        </w:rPr>
      </w:pPr>
      <w:r>
        <w:rPr>
          <w:rFonts w:ascii="Calibri" w:hAnsi="Calibri" w:cs="Calibri"/>
          <w:spacing w:val="-3"/>
        </w:rPr>
        <w:lastRenderedPageBreak/>
        <w:t>Ka një numër fare të vogël të programeve të studimit ndërdisiplinore, duke mos reflektuar nevojat që ka tregu i punës.</w:t>
      </w:r>
    </w:p>
    <w:p w:rsidR="00F97AE0" w:rsidRPr="00E97254" w:rsidRDefault="004E1F53" w:rsidP="000C0250">
      <w:pPr>
        <w:pStyle w:val="ListParagraph"/>
        <w:numPr>
          <w:ilvl w:val="0"/>
          <w:numId w:val="36"/>
        </w:numPr>
        <w:spacing w:after="0"/>
        <w:ind w:hanging="357"/>
        <w:contextualSpacing w:val="0"/>
        <w:jc w:val="both"/>
        <w:rPr>
          <w:rFonts w:ascii="Calibri" w:hAnsi="Calibri" w:cs="Calibri"/>
          <w:spacing w:val="-3"/>
        </w:rPr>
      </w:pPr>
      <w:r>
        <w:rPr>
          <w:rFonts w:ascii="Calibri" w:hAnsi="Calibri" w:cs="Calibri"/>
          <w:spacing w:val="-3"/>
        </w:rPr>
        <w:t xml:space="preserve">Megjithëse zhvillimi i programeve studimore që nga aspekti i përmbajtjes nuk reflekton nevojat e tregut të punës, interesimi për programet STEM (shkencë, teknologji, inxhinieri dhe matematikë) është në rritje të vazhdueshme dhe në vitin akademik 2018-19, 26.7% të studentëve vijojnë programe në shkenca natyrore, matematikë dhe statistikë; Teknologji e Informacionit dhe komunikimit; si dhe Inxhinieri, prodhim dhe ndërtim. </w:t>
      </w:r>
    </w:p>
    <w:p w:rsidR="00186E50" w:rsidRPr="00E97254" w:rsidRDefault="004E1F53" w:rsidP="000C0250">
      <w:pPr>
        <w:pStyle w:val="ListParagraph"/>
        <w:numPr>
          <w:ilvl w:val="0"/>
          <w:numId w:val="36"/>
        </w:numPr>
        <w:spacing w:after="0"/>
        <w:ind w:hanging="357"/>
        <w:contextualSpacing w:val="0"/>
        <w:jc w:val="both"/>
        <w:rPr>
          <w:rFonts w:ascii="Calibri" w:hAnsi="Calibri" w:cs="Calibri"/>
          <w:spacing w:val="-3"/>
        </w:rPr>
      </w:pPr>
      <w:r>
        <w:rPr>
          <w:rFonts w:ascii="Calibri" w:hAnsi="Calibri" w:cs="Calibri"/>
          <w:spacing w:val="-3"/>
        </w:rPr>
        <w:t xml:space="preserve">Institucionet e arsimit të lartë nuk shfrytëzojnë mundësinë ligjore për të ofruar programe të formimit të vazhduar, si formë e të mësuarit gjatë të gjithë jetës. </w:t>
      </w:r>
    </w:p>
    <w:p w:rsidR="00A41EE1" w:rsidRPr="00E97254" w:rsidRDefault="00A41EE1" w:rsidP="000C0250">
      <w:pPr>
        <w:spacing w:after="0"/>
        <w:jc w:val="both"/>
        <w:rPr>
          <w:rFonts w:ascii="Calibri" w:hAnsi="Calibri" w:cs="Calibri"/>
          <w:spacing w:val="-3"/>
        </w:rPr>
      </w:pPr>
    </w:p>
    <w:p w:rsidR="00F97AE0" w:rsidRPr="00E97254" w:rsidRDefault="004E1F53" w:rsidP="000C0250">
      <w:pPr>
        <w:spacing w:after="0"/>
        <w:jc w:val="both"/>
      </w:pPr>
      <w:r>
        <w:rPr>
          <w:b/>
        </w:rPr>
        <w:t>Produktet/Rezultatet e pritshme dhe masat</w:t>
      </w:r>
      <w:r>
        <w:t>. – Në vijim janë dhënë produktet dhe masat e ndërlidhura me objektivin specifik C3:</w:t>
      </w:r>
    </w:p>
    <w:p w:rsidR="00F97AE0" w:rsidRPr="00E97254" w:rsidRDefault="004E1F53" w:rsidP="000C0250">
      <w:pPr>
        <w:spacing w:before="120" w:after="0"/>
        <w:jc w:val="both"/>
      </w:pPr>
      <w:r>
        <w:rPr>
          <w:u w:val="single"/>
        </w:rPr>
        <w:t>Produkti C3.1</w:t>
      </w:r>
      <w:r>
        <w:t>. Harmonizohen programet në IAL me kërkesat e tregut të punës</w:t>
      </w:r>
    </w:p>
    <w:p w:rsidR="00F97AE0" w:rsidRPr="00E97254" w:rsidRDefault="004E1F53" w:rsidP="000C0250">
      <w:pPr>
        <w:spacing w:after="0"/>
        <w:jc w:val="both"/>
        <w:rPr>
          <w:i/>
        </w:rPr>
      </w:pPr>
      <w:r>
        <w:t xml:space="preserve">C3.1.1. Pasurohet oferta e programeve profesionale. </w:t>
      </w:r>
      <w:r>
        <w:rPr>
          <w:i/>
        </w:rPr>
        <w:t xml:space="preserve">Zhvillimi i programeve të reja profesionale të nivelit 5 në institucionet publike të arsimit të lartë do të mundësojë që më shumë të rinj e të reja të fitojnë kualifikime të larta brenda një kohe më të shkurtër, si dhe një </w:t>
      </w:r>
      <w:r w:rsidR="00484C0C">
        <w:rPr>
          <w:i/>
        </w:rPr>
        <w:t xml:space="preserve">tranzicion </w:t>
      </w:r>
      <w:r>
        <w:rPr>
          <w:i/>
        </w:rPr>
        <w:t xml:space="preserve">më të shpejtë në tregun e punës. </w:t>
      </w:r>
    </w:p>
    <w:p w:rsidR="00AD1AFF" w:rsidRPr="00E97254" w:rsidRDefault="004E1F53" w:rsidP="000C0250">
      <w:pPr>
        <w:spacing w:after="0"/>
        <w:jc w:val="both"/>
        <w:rPr>
          <w:i/>
        </w:rPr>
      </w:pPr>
      <w:r>
        <w:t xml:space="preserve">C3.1.2. Paketa e programit të Inovacionit dhe ekselencës në manifakturë dhe IT. </w:t>
      </w:r>
      <w:r>
        <w:rPr>
          <w:i/>
        </w:rPr>
        <w:t xml:space="preserve">Ideja është të ofrohen kualifikime në inovacion, dizajn marketing, kërkim dhe zhvillim, nëpërmjet mbulimit të kostove 100% nga qeveria. Kostot rimbursohen 50 % direkt dhe 50 % si dyfish i tatimit të zbritshëm ndaj shoqërive ku është i punësuar apo i punësueshëm përfituesi. </w:t>
      </w:r>
    </w:p>
    <w:p w:rsidR="00F97AE0" w:rsidRPr="00E97254" w:rsidRDefault="004E1F53" w:rsidP="000C0250">
      <w:pPr>
        <w:spacing w:after="0"/>
        <w:jc w:val="both"/>
      </w:pPr>
      <w:r>
        <w:t>C3.1.3. Krijimi i një regjistri qendror të studentëve të diplomuar në IAL-të shqiptare,</w:t>
      </w:r>
      <w:r>
        <w:rPr>
          <w:i/>
        </w:rPr>
        <w:t xml:space="preserve"> do të krijoj</w:t>
      </w:r>
      <w:r w:rsidR="00FA5606" w:rsidRPr="00FA5606">
        <w:rPr>
          <w:rFonts w:ascii="Calibri" w:hAnsi="Calibri" w:cs="Calibri"/>
          <w:i/>
          <w:spacing w:val="-3"/>
        </w:rPr>
        <w:t>ë</w:t>
      </w:r>
      <w:r>
        <w:rPr>
          <w:i/>
        </w:rPr>
        <w:t xml:space="preserve"> mundësinë e menaxhimit më të shpejtë të informacionit dhe përpunimit të të dhënave dhe raporteve të ndryshme kombëtare, në veçanti për të harmonizuar ofertën e arsimit të lartë kërkesën e tregut të punës. </w:t>
      </w:r>
    </w:p>
    <w:p w:rsidR="00BF5F50" w:rsidRPr="00E97254" w:rsidRDefault="004E1F53" w:rsidP="000C0250">
      <w:pPr>
        <w:spacing w:after="0"/>
        <w:jc w:val="both"/>
        <w:rPr>
          <w:i/>
        </w:rPr>
      </w:pPr>
      <w:r>
        <w:t xml:space="preserve">C3.1.4. Analiza e vazhdueshme e ecurisë së studentëve të diplomuar sipas sektorëve, </w:t>
      </w:r>
      <w:r>
        <w:rPr>
          <w:i/>
        </w:rPr>
        <w:t>do të krijojë mundësinë e orientimit të kuotave sipas degëve përkatëse, në raport me kërkesat e tregut dhe të shoqërisë. Këto studime duhet të jenë të përvitshme dhe të realizohen edhe në nivelin qendror, duke përdorur të dhëna administrative.</w:t>
      </w:r>
    </w:p>
    <w:p w:rsidR="00595755" w:rsidRPr="00E97254" w:rsidRDefault="004E1F53" w:rsidP="000C0250">
      <w:pPr>
        <w:spacing w:after="0"/>
        <w:jc w:val="both"/>
        <w:rPr>
          <w:i/>
        </w:rPr>
      </w:pPr>
      <w:r>
        <w:t xml:space="preserve">C3.1.5. Ofrimi i programeve të formimit të vazhduar. </w:t>
      </w:r>
      <w:r>
        <w:rPr>
          <w:i/>
        </w:rPr>
        <w:t>Institucionet e arsimit të lartë do të inkurajohen të hartojnë dhe ofrojnë programe të formimit të vazhduar, si formë e të mësuarit gjatë gjithë jetës. Këto programe shërbejnë për plotësim, thellim e konsolidim të njohurive dhe mund të ofrohen si kurse kualifikimi e rikualifikimi, shkolla verore dhe veprimtari të ngjashme. Në përfundim të programeve të tilla, institucionet e arsimit të lartë lëshojnë certifikatat përkatëse, në përputhje me Ligjin.</w:t>
      </w:r>
    </w:p>
    <w:p w:rsidR="00AC242D" w:rsidRPr="00E97254" w:rsidRDefault="004E1F53" w:rsidP="000C0250">
      <w:pPr>
        <w:spacing w:after="0"/>
        <w:jc w:val="both"/>
      </w:pPr>
      <w:r>
        <w:t xml:space="preserve">C3.1.6. Krijimi i projekteve të përbashkëta të bashkëpunimit midis shoqatave të biznesit dhe universiteteve, </w:t>
      </w:r>
      <w:r>
        <w:rPr>
          <w:i/>
        </w:rPr>
        <w:t xml:space="preserve">me asistencën e partnerëve </w:t>
      </w:r>
      <w:r w:rsidR="00484C0C">
        <w:rPr>
          <w:i/>
        </w:rPr>
        <w:t>ndërkombëtarë</w:t>
      </w:r>
      <w:r>
        <w:rPr>
          <w:i/>
        </w:rPr>
        <w:t>, nëpërmjet formave të ndryshime të transferimit të teknologjisë që ndikojnë si në përmirësimin e kurrikulave, ashtu edhe të një përgatitje më të mirë e të diplomuarve për tregun e punës</w:t>
      </w:r>
      <w:r>
        <w:t xml:space="preserve">. </w:t>
      </w:r>
    </w:p>
    <w:p w:rsidR="00F97AE0" w:rsidRPr="00E97254" w:rsidRDefault="004E1F53" w:rsidP="000C0250">
      <w:pPr>
        <w:spacing w:before="120" w:after="0"/>
        <w:jc w:val="both"/>
      </w:pPr>
      <w:r>
        <w:rPr>
          <w:u w:val="single"/>
        </w:rPr>
        <w:t>Produkti C3.2</w:t>
      </w:r>
      <w:r>
        <w:t>. Rritja e mundësive për punë praktike në studimet e larta</w:t>
      </w:r>
    </w:p>
    <w:p w:rsidR="00F97AE0" w:rsidRPr="00E97254" w:rsidRDefault="004E1F53" w:rsidP="000C0250">
      <w:pPr>
        <w:spacing w:after="0"/>
        <w:jc w:val="both"/>
      </w:pPr>
      <w:r>
        <w:t xml:space="preserve">C3.2.1. Krijimi/Funksionalizimi i zyrave të karrierës në IAL-të publike. </w:t>
      </w:r>
      <w:r>
        <w:rPr>
          <w:i/>
        </w:rPr>
        <w:t>Zyrat e karrierës do të vënë në zbatim rolin e tyre duke iu dedikuar edukimit, këshillimit dhe sigurimit të mundësive për praktikën ose punë gjatë verës dhe pas diplomimit në mënyrë që të nxisë zhvillim intelektual, social dhe personal të studentëve.</w:t>
      </w:r>
    </w:p>
    <w:p w:rsidR="00F97AE0" w:rsidRPr="00E97254" w:rsidRDefault="004E1F53" w:rsidP="000C0250">
      <w:pPr>
        <w:spacing w:after="0"/>
        <w:jc w:val="both"/>
      </w:pPr>
      <w:r>
        <w:rPr>
          <w:u w:val="single"/>
        </w:rPr>
        <w:lastRenderedPageBreak/>
        <w:t>Produkti C3.3</w:t>
      </w:r>
      <w:r>
        <w:t>. Promovimi i ndërdisiplinaritetit dhe programeve STEM</w:t>
      </w:r>
    </w:p>
    <w:p w:rsidR="00F97AE0" w:rsidRPr="00E97254" w:rsidRDefault="004E1F53" w:rsidP="000C0250">
      <w:pPr>
        <w:spacing w:after="0"/>
        <w:jc w:val="both"/>
      </w:pPr>
      <w:r>
        <w:t xml:space="preserve">C3.3.1. Zhvillimi/reformimi i programeve ndërdisiplinore dhe programeve STEM </w:t>
      </w:r>
      <w:r>
        <w:rPr>
          <w:i/>
        </w:rPr>
        <w:t xml:space="preserve">do të jetë në funksion të drejtpërdrejtë të nxitjes së zhvillimit ekonomik të vendit, pasi krijojnë specialistë që kërkohen nga punëdhënësit. Këto programe ndihmojnë të rinjtë të zhvillojnë aftësi transversale, siç janë kompetencat digjitale, të menduarit kritik, zgjidhja e problemeve, aftësitë e menaxhimit dhe sipërmarrjes. </w:t>
      </w:r>
    </w:p>
    <w:p w:rsidR="00A41EE1" w:rsidRPr="00E97254" w:rsidRDefault="00A41EE1" w:rsidP="000C0250">
      <w:pPr>
        <w:spacing w:after="0"/>
        <w:jc w:val="both"/>
        <w:rPr>
          <w:b/>
        </w:rPr>
      </w:pPr>
    </w:p>
    <w:p w:rsidR="00F97AE0" w:rsidRPr="00E97254" w:rsidRDefault="004E1F53" w:rsidP="000C0250">
      <w:pPr>
        <w:spacing w:after="0"/>
        <w:jc w:val="both"/>
        <w:rPr>
          <w:b/>
        </w:rPr>
      </w:pPr>
      <w:r>
        <w:rPr>
          <w:b/>
        </w:rPr>
        <w:t>Treguesit</w:t>
      </w:r>
    </w:p>
    <w:p w:rsidR="00F97AE0" w:rsidRPr="00E97254" w:rsidRDefault="004E1F53" w:rsidP="000C0250">
      <w:pPr>
        <w:pStyle w:val="ListParagraph"/>
        <w:numPr>
          <w:ilvl w:val="0"/>
          <w:numId w:val="36"/>
        </w:numPr>
        <w:spacing w:after="0"/>
        <w:jc w:val="both"/>
        <w:rPr>
          <w:rFonts w:ascii="Calibri" w:hAnsi="Calibri" w:cs="Calibri"/>
        </w:rPr>
      </w:pPr>
      <w:r>
        <w:rPr>
          <w:rFonts w:ascii="Calibri" w:hAnsi="Calibri" w:cs="Calibri"/>
        </w:rPr>
        <w:t>Struktura e të diplomuarve sipas fushave të studimit është e përafërt me BE</w:t>
      </w:r>
      <w:r w:rsidR="00484C0C">
        <w:rPr>
          <w:rFonts w:ascii="Calibri" w:hAnsi="Calibri" w:cs="Calibri"/>
        </w:rPr>
        <w:t>-në</w:t>
      </w:r>
      <w:r>
        <w:rPr>
          <w:rFonts w:ascii="Calibri" w:hAnsi="Calibri" w:cs="Calibri"/>
        </w:rPr>
        <w:t xml:space="preserve"> </w:t>
      </w:r>
    </w:p>
    <w:p w:rsidR="00F97AE0" w:rsidRPr="00E97254" w:rsidRDefault="004E1F53" w:rsidP="000C0250">
      <w:pPr>
        <w:pStyle w:val="ListParagraph"/>
        <w:numPr>
          <w:ilvl w:val="0"/>
          <w:numId w:val="36"/>
        </w:numPr>
        <w:spacing w:after="0"/>
        <w:jc w:val="both"/>
        <w:rPr>
          <w:rFonts w:ascii="Calibri" w:hAnsi="Calibri" w:cs="Calibri"/>
        </w:rPr>
      </w:pPr>
      <w:r>
        <w:rPr>
          <w:rFonts w:ascii="Calibri" w:hAnsi="Calibri" w:cs="Calibri"/>
        </w:rPr>
        <w:t xml:space="preserve">Përqindja e studentëve në programet e nivelit KKK 5 </w:t>
      </w:r>
    </w:p>
    <w:p w:rsidR="004D2453" w:rsidRPr="00E97254" w:rsidRDefault="004E1F53" w:rsidP="000C0250">
      <w:pPr>
        <w:pStyle w:val="ListParagraph"/>
        <w:numPr>
          <w:ilvl w:val="0"/>
          <w:numId w:val="36"/>
        </w:numPr>
        <w:spacing w:after="0"/>
        <w:jc w:val="both"/>
        <w:rPr>
          <w:rFonts w:ascii="Calibri" w:hAnsi="Calibri" w:cs="Calibri"/>
          <w:color w:val="7030A0"/>
        </w:rPr>
      </w:pPr>
      <w:r>
        <w:rPr>
          <w:rFonts w:ascii="Calibri" w:hAnsi="Calibri" w:cs="Calibri"/>
        </w:rPr>
        <w:t>Shkalla e përfundimit (Completion rate)</w:t>
      </w:r>
      <w:r>
        <w:rPr>
          <w:rFonts w:ascii="Calibri" w:hAnsi="Calibri" w:cs="Calibri"/>
          <w:vertAlign w:val="superscript"/>
        </w:rPr>
        <w:footnoteReference w:id="15"/>
      </w:r>
      <w:r>
        <w:rPr>
          <w:rFonts w:ascii="Calibri" w:hAnsi="Calibri" w:cs="Calibri"/>
          <w:vertAlign w:val="superscript"/>
        </w:rPr>
        <w:t xml:space="preserve"> </w:t>
      </w:r>
    </w:p>
    <w:p w:rsidR="00F97AE0" w:rsidRPr="00E97254" w:rsidRDefault="004E1F53" w:rsidP="000C0250">
      <w:pPr>
        <w:pStyle w:val="ListParagraph"/>
        <w:numPr>
          <w:ilvl w:val="0"/>
          <w:numId w:val="36"/>
        </w:numPr>
        <w:spacing w:after="0"/>
        <w:jc w:val="both"/>
        <w:rPr>
          <w:rFonts w:ascii="Calibri" w:hAnsi="Calibri" w:cs="Calibri"/>
        </w:rPr>
      </w:pPr>
      <w:r>
        <w:rPr>
          <w:rFonts w:ascii="Calibri" w:hAnsi="Calibri" w:cs="Calibri"/>
        </w:rPr>
        <w:t>Përqindja e studentëve të regjistruar në programet STEM.</w:t>
      </w:r>
    </w:p>
    <w:p w:rsidR="004D2453" w:rsidRPr="00E97254" w:rsidRDefault="004D2453" w:rsidP="000C0250">
      <w:pPr>
        <w:pStyle w:val="Heading3"/>
        <w:jc w:val="both"/>
      </w:pPr>
    </w:p>
    <w:p w:rsidR="00383110" w:rsidRPr="00E97254" w:rsidRDefault="00FA5606" w:rsidP="000C0250">
      <w:pPr>
        <w:pStyle w:val="Heading3"/>
        <w:jc w:val="both"/>
      </w:pPr>
      <w:bookmarkStart w:id="132" w:name="_Toc66802023"/>
      <w:r w:rsidRPr="00FA5606">
        <w:t>Objektivi specifik C4: Integriteti dhe transparenca</w:t>
      </w:r>
      <w:bookmarkEnd w:id="132"/>
    </w:p>
    <w:p w:rsidR="00383110" w:rsidRPr="00E97254" w:rsidRDefault="003A44C5" w:rsidP="000C0250">
      <w:pPr>
        <w:spacing w:after="0"/>
        <w:jc w:val="both"/>
      </w:pPr>
      <w:r>
        <w:rPr>
          <w:noProof/>
        </w:rPr>
        <mc:AlternateContent>
          <mc:Choice Requires="wps">
            <w:drawing>
              <wp:inline distT="0" distB="0" distL="0" distR="0">
                <wp:extent cx="5943600" cy="488950"/>
                <wp:effectExtent l="12700" t="12700" r="0" b="6350"/>
                <wp:docPr id="7"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43600" cy="488950"/>
                        </a:xfrm>
                        <a:prstGeom prst="rect">
                          <a:avLst/>
                        </a:prstGeom>
                        <a:solidFill>
                          <a:srgbClr val="EBF1DE"/>
                        </a:solidFill>
                        <a:ln w="25400">
                          <a:solidFill>
                            <a:srgbClr val="8064A2"/>
                          </a:solidFill>
                          <a:miter lim="800000"/>
                          <a:headEnd/>
                          <a:tailEnd/>
                        </a:ln>
                      </wps:spPr>
                      <wps:txbx>
                        <w:txbxContent>
                          <w:p w:rsidR="00753C65" w:rsidRPr="003D71F2" w:rsidRDefault="00753C65" w:rsidP="00853CF3">
                            <w:pPr>
                              <w:pStyle w:val="Default"/>
                              <w:rPr>
                                <w:color w:val="FF0000"/>
                                <w:sz w:val="22"/>
                                <w:szCs w:val="22"/>
                              </w:rPr>
                            </w:pPr>
                            <w:r w:rsidRPr="00383110">
                              <w:t>Sigurimi i integritetit akademik, transparencës dhe llogaridhënies në sektorin e arsimit të lartë</w:t>
                            </w:r>
                            <w:r>
                              <w:t>.</w:t>
                            </w:r>
                          </w:p>
                        </w:txbxContent>
                      </wps:txbx>
                      <wps:bodyPr rot="0" vert="horz" wrap="square" lIns="91440" tIns="45720" rIns="91440" bIns="45720" anchor="t" anchorCtr="0" upright="1">
                        <a:spAutoFit/>
                      </wps:bodyPr>
                    </wps:wsp>
                  </a:graphicData>
                </a:graphic>
              </wp:inline>
            </w:drawing>
          </mc:Choice>
          <mc:Fallback>
            <w:pict>
              <v:shape id="Text Box 40" o:spid="_x0000_s1074" type="#_x0000_t202" style="width:468pt;height:3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" fillcolor="#ebf1de" strokecolor="#8064a2" strokeweight="2pt">
                <v:path arrowok="t"/>
                <v:textbox style="mso-fit-shape-to-text:t">
                  <w:txbxContent>
                    <w:p w:rsidR="00753C65" w:rsidRPr="003D71F2" w:rsidRDefault="00753C65" w:rsidP="00853CF3">
                      <w:pPr>
                        <w:pStyle w:val="Default"/>
                        <w:rPr>
                          <w:color w:val="FF0000"/>
                          <w:sz w:val="22"/>
                          <w:szCs w:val="22"/>
                        </w:rPr>
                      </w:pPr>
                      <w:r w:rsidRPr="00383110">
                        <w:t>Sigurimi i integritetit akademik, transparencës dhe llogaridhënies në sektorin e arsimit të lartë</w:t>
                      </w:r>
                      <w:r>
                        <w:t>.</w:t>
                      </w:r>
                    </w:p>
                  </w:txbxContent>
                </v:textbox>
                <w10:anchorlock/>
              </v:shape>
            </w:pict>
          </mc:Fallback>
        </mc:AlternateContent>
      </w:r>
    </w:p>
    <w:p w:rsidR="00F97AE0" w:rsidRPr="00E97254" w:rsidRDefault="00247F93" w:rsidP="000C0250">
      <w:pPr>
        <w:ind w:right="80"/>
        <w:jc w:val="both"/>
      </w:pPr>
      <w:r w:rsidRPr="00E97254">
        <w:t>Korniza</w:t>
      </w:r>
      <w:r w:rsidR="00F97AE0" w:rsidRPr="00E97254">
        <w:t xml:space="preserve"> rregullatore </w:t>
      </w:r>
      <w:r w:rsidR="004E1F53">
        <w:t xml:space="preserve">e arsimit të lartë duhet të promovojë integritetin akademik, transparencën dhe llogaridhënien si pjesë e standardeve të performancës </w:t>
      </w:r>
      <w:r w:rsidR="00D17ECD">
        <w:t xml:space="preserve">së </w:t>
      </w:r>
      <w:r w:rsidR="004E1F53">
        <w:t xml:space="preserve">sektorit të arsimit të lartë. Nxitja e transparencës dhe e llogaridhënies ndaj publikut si nga ana e institucioneve qeveritare, ashtu edhe nga ana e IAL-ve do të ndihmojë aktorët të përmbushin përgjegjësitë dhe të arrijnë qëllimet, të sigurojnë zbatimin e parimeve dhe standardeve evropiane, si dhe ndërtimin e instrumenteve konkrete e funksionale të monitorimit të performancës së sektorit dhe të IAL-ve.                                                                                           </w:t>
      </w:r>
      <w:r w:rsidR="00DC4C19">
        <w:rPr>
          <w:rFonts w:ascii="Calibri" w:hAnsi="Calibri" w:cs="Calibri"/>
          <w:spacing w:val="-3"/>
        </w:rPr>
        <w:t xml:space="preserve">Analiza e situatës </w:t>
      </w:r>
      <w:r w:rsidR="004E1F53">
        <w:rPr>
          <w:rFonts w:ascii="Calibri" w:hAnsi="Calibri" w:cs="Calibri"/>
          <w:spacing w:val="-3"/>
        </w:rPr>
        <w:t>në fushën që mbulon ky objektiv specifik është dhënë në seksionin 4.4.2, ndërsa sfidat kryesore që dalin nga analiza janë:</w:t>
      </w:r>
    </w:p>
    <w:p w:rsidR="00B8633D" w:rsidRPr="00E97254" w:rsidRDefault="004E1F53" w:rsidP="000C0250">
      <w:pPr>
        <w:pStyle w:val="ListParagraph"/>
        <w:numPr>
          <w:ilvl w:val="0"/>
          <w:numId w:val="37"/>
        </w:numPr>
        <w:spacing w:after="0"/>
        <w:ind w:left="714" w:hanging="357"/>
        <w:contextualSpacing w:val="0"/>
        <w:jc w:val="both"/>
        <w:rPr>
          <w:rFonts w:ascii="Calibri" w:hAnsi="Calibri" w:cs="Calibri"/>
        </w:rPr>
      </w:pPr>
      <w:r>
        <w:rPr>
          <w:rFonts w:ascii="Calibri" w:hAnsi="Calibri" w:cs="Calibri"/>
        </w:rPr>
        <w:t>Grupet e interesit në arsimin e lartë dhe favorizimi në rekrutimin dhe promovimin e personelit akademik dhe jo-akademik në institucionet e arsimit të lartë dëmto</w:t>
      </w:r>
      <w:r w:rsidR="00AF15E4">
        <w:rPr>
          <w:rFonts w:ascii="Calibri" w:hAnsi="Calibri" w:cs="Calibri"/>
        </w:rPr>
        <w:t>j</w:t>
      </w:r>
      <w:r>
        <w:rPr>
          <w:rFonts w:ascii="Calibri" w:hAnsi="Calibri" w:cs="Calibri"/>
        </w:rPr>
        <w:t>n</w:t>
      </w:r>
      <w:r w:rsidR="00AF15E4">
        <w:rPr>
          <w:rFonts w:ascii="Calibri" w:hAnsi="Calibri" w:cs="Calibri"/>
        </w:rPr>
        <w:t>ë</w:t>
      </w:r>
      <w:r>
        <w:rPr>
          <w:rFonts w:ascii="Calibri" w:hAnsi="Calibri" w:cs="Calibri"/>
        </w:rPr>
        <w:t xml:space="preserve"> meritokracinë dhe mund të ndikoj</w:t>
      </w:r>
      <w:r w:rsidR="00AF15E4">
        <w:rPr>
          <w:rFonts w:ascii="Calibri" w:hAnsi="Calibri" w:cs="Calibri"/>
        </w:rPr>
        <w:t>n</w:t>
      </w:r>
      <w:r>
        <w:rPr>
          <w:rFonts w:ascii="Calibri" w:hAnsi="Calibri" w:cs="Calibri"/>
        </w:rPr>
        <w:t>ë negativisht në cilësinë e mësimdhënies dhe të kërkimit.</w:t>
      </w:r>
    </w:p>
    <w:p w:rsidR="00F97AE0" w:rsidRPr="00E97254" w:rsidRDefault="004E1F53" w:rsidP="000C0250">
      <w:pPr>
        <w:pStyle w:val="ListParagraph"/>
        <w:numPr>
          <w:ilvl w:val="0"/>
          <w:numId w:val="37"/>
        </w:numPr>
        <w:spacing w:after="0"/>
        <w:ind w:left="714" w:hanging="357"/>
        <w:contextualSpacing w:val="0"/>
        <w:jc w:val="both"/>
        <w:rPr>
          <w:rFonts w:ascii="Calibri" w:hAnsi="Calibri" w:cs="Calibri"/>
        </w:rPr>
      </w:pPr>
      <w:r>
        <w:rPr>
          <w:rFonts w:ascii="Calibri" w:hAnsi="Calibri" w:cs="Calibri"/>
        </w:rPr>
        <w:t xml:space="preserve">Me gjithë vëmendjen e madhe për rritjen e cilësisë në arsimin e lartë, degradimi i vazhdueshëm i integritetit akademik është manifestuar në forma të ndryshme të pandershmërisë akademike, përfshirë plagjiarizmin, si dhe avancimet </w:t>
      </w:r>
      <w:r>
        <w:rPr>
          <w:rFonts w:cs="Calibri"/>
        </w:rPr>
        <w:t>jo t</w:t>
      </w:r>
      <w:r>
        <w:rPr>
          <w:rFonts w:ascii="Sylfaen" w:hAnsi="Sylfaen" w:cs="Calibri"/>
        </w:rPr>
        <w:t xml:space="preserve">ë </w:t>
      </w:r>
      <w:r>
        <w:rPr>
          <w:rFonts w:cs="Calibri"/>
        </w:rPr>
        <w:t>merituara</w:t>
      </w:r>
      <w:r>
        <w:rPr>
          <w:rFonts w:ascii="Calibri" w:hAnsi="Calibri" w:cs="Calibri"/>
        </w:rPr>
        <w:t xml:space="preserve"> në tituj të lartë akademikë. Plagjiarizmi në IAL vazhdon të mbetet problem pavarësisht se MASR</w:t>
      </w:r>
      <w:r w:rsidR="00AF15E4">
        <w:rPr>
          <w:rFonts w:ascii="Calibri" w:hAnsi="Calibri" w:cs="Calibri"/>
        </w:rPr>
        <w:t>-ja</w:t>
      </w:r>
      <w:r>
        <w:rPr>
          <w:rFonts w:ascii="Calibri" w:hAnsi="Calibri" w:cs="Calibri"/>
        </w:rPr>
        <w:t xml:space="preserve"> ka siguruar softuerin anti-plagjiaturë.</w:t>
      </w:r>
    </w:p>
    <w:p w:rsidR="00F97AE0" w:rsidRPr="00E97254" w:rsidRDefault="004E1F53" w:rsidP="000C0250">
      <w:pPr>
        <w:pStyle w:val="ListParagraph"/>
        <w:numPr>
          <w:ilvl w:val="0"/>
          <w:numId w:val="37"/>
        </w:numPr>
        <w:spacing w:after="0"/>
        <w:ind w:left="714" w:hanging="357"/>
        <w:contextualSpacing w:val="0"/>
        <w:jc w:val="both"/>
        <w:rPr>
          <w:rFonts w:ascii="Calibri" w:hAnsi="Calibri" w:cs="Calibri"/>
        </w:rPr>
      </w:pPr>
      <w:r>
        <w:lastRenderedPageBreak/>
        <w:t>K</w:t>
      </w:r>
      <w:r>
        <w:rPr>
          <w:rFonts w:ascii="Calibri" w:hAnsi="Calibri" w:cs="Calibri"/>
        </w:rPr>
        <w:t>apacitetet e kufizuara të organeve kolegjiale të IAL-ve publike për të siguruar respektimin e parimeve të integritetit akademik, transparencës dhe llogaridhënies.</w:t>
      </w:r>
    </w:p>
    <w:p w:rsidR="00F97AE0" w:rsidRPr="00E97254" w:rsidRDefault="004E1F53" w:rsidP="000C0250">
      <w:pPr>
        <w:pStyle w:val="ListParagraph"/>
        <w:numPr>
          <w:ilvl w:val="0"/>
          <w:numId w:val="37"/>
        </w:numPr>
        <w:spacing w:after="0"/>
        <w:ind w:left="714" w:hanging="357"/>
        <w:contextualSpacing w:val="0"/>
        <w:jc w:val="both"/>
        <w:rPr>
          <w:rFonts w:ascii="Calibri" w:hAnsi="Calibri" w:cs="Calibri"/>
        </w:rPr>
      </w:pPr>
      <w:r>
        <w:rPr>
          <w:rFonts w:ascii="Calibri" w:hAnsi="Calibri" w:cs="Calibri"/>
        </w:rPr>
        <w:t xml:space="preserve">Me gjithë faktin se çështjet e llogaridhënies dhe transparencës në arsimin e lartë kohë pas kohe janë temë e debatit publik në Shqipëri, deri tani kanë munguar hapat konkretë nga ana e institucioneve të arsimit të lartë për </w:t>
      </w:r>
      <w:r w:rsidR="00A50A43">
        <w:rPr>
          <w:rFonts w:ascii="Calibri" w:hAnsi="Calibri" w:cs="Calibri"/>
        </w:rPr>
        <w:t>trajt</w:t>
      </w:r>
      <w:r>
        <w:rPr>
          <w:rFonts w:ascii="Calibri" w:hAnsi="Calibri" w:cs="Calibri"/>
        </w:rPr>
        <w:t>imin e tyre.</w:t>
      </w:r>
    </w:p>
    <w:p w:rsidR="00247F93" w:rsidRPr="00E97254" w:rsidRDefault="00247F93" w:rsidP="000C0250">
      <w:pPr>
        <w:spacing w:after="0"/>
        <w:jc w:val="both"/>
        <w:rPr>
          <w:b/>
        </w:rPr>
      </w:pPr>
    </w:p>
    <w:p w:rsidR="00F97AE0" w:rsidRPr="00E97254" w:rsidRDefault="004E1F53" w:rsidP="000C0250">
      <w:pPr>
        <w:spacing w:after="0"/>
        <w:jc w:val="both"/>
      </w:pPr>
      <w:r>
        <w:rPr>
          <w:b/>
        </w:rPr>
        <w:t>Produktet/Rezultatet e pritshme dhe masat</w:t>
      </w:r>
      <w:r>
        <w:t>. – Në vijim janë dhënë produktet dhe masat e ndërlidhura me objektivin specifik 3.4.</w:t>
      </w:r>
    </w:p>
    <w:p w:rsidR="00F97AE0" w:rsidRPr="00E97254" w:rsidRDefault="004E1F53" w:rsidP="000C0250">
      <w:pPr>
        <w:spacing w:before="120" w:after="0"/>
        <w:jc w:val="both"/>
      </w:pPr>
      <w:r>
        <w:rPr>
          <w:u w:val="single"/>
        </w:rPr>
        <w:t>Produkti C4.1</w:t>
      </w:r>
      <w:r>
        <w:t>. Sigurimi i transparencës dhe zbatimi i praktikave të mira të integritetit akademik në IAL</w:t>
      </w:r>
    </w:p>
    <w:p w:rsidR="00F97AE0" w:rsidRPr="00E97254" w:rsidRDefault="004E1F53" w:rsidP="000C0250">
      <w:pPr>
        <w:spacing w:after="0"/>
        <w:jc w:val="both"/>
      </w:pPr>
      <w:r>
        <w:t xml:space="preserve">C4.1.1. Zhvillimi i rregulloreve për publikimin e të dhënave dhe dokumenteve </w:t>
      </w:r>
      <w:r w:rsidR="00A45C61">
        <w:t>përkatës</w:t>
      </w:r>
      <w:r>
        <w:t>e në faqe</w:t>
      </w:r>
      <w:r w:rsidR="001C728F">
        <w:t xml:space="preserve">t në internet </w:t>
      </w:r>
      <w:r>
        <w:t xml:space="preserve">të IAL-ve (Open Data). </w:t>
      </w:r>
      <w:r>
        <w:rPr>
          <w:i/>
        </w:rPr>
        <w:t>Rregulloret do të përcaktojnë hapat që do të ndiqen për publikimin e të dhënave duke respektuar të drejtën e pronësisë intelektuale dhe mbrojtjen e të dhënave personale si dhe krijimit të një sistemi të unifikuar në të gjitha IAL-të. Për një periudhë kalimtare, të dhënat do të publikohen në portalin u-transparenca siç parashihet me VKM</w:t>
      </w:r>
      <w:r w:rsidR="00AF15E4">
        <w:rPr>
          <w:i/>
        </w:rPr>
        <w:t>-n</w:t>
      </w:r>
      <w:r w:rsidR="00AF15E4">
        <w:rPr>
          <w:rFonts w:ascii="Calibri" w:hAnsi="Calibri" w:cs="Calibri"/>
        </w:rPr>
        <w:t>ë</w:t>
      </w:r>
      <w:r>
        <w:rPr>
          <w:i/>
        </w:rPr>
        <w:t xml:space="preserve"> nr. 781, datë 26.12.2018 ‘Për garantimin e transparencës në institucionet publike të arsimit të lartë’.</w:t>
      </w:r>
    </w:p>
    <w:p w:rsidR="00F97AE0" w:rsidRPr="00E97254" w:rsidRDefault="004E1F53" w:rsidP="000C0250">
      <w:pPr>
        <w:spacing w:after="0"/>
        <w:jc w:val="both"/>
      </w:pPr>
      <w:r>
        <w:t xml:space="preserve">C4.1.2. Miratimi i kodeve etike institucionale në të gjitha IAL-të. </w:t>
      </w:r>
      <w:r>
        <w:rPr>
          <w:i/>
        </w:rPr>
        <w:t>Kodi i etikës do të ofrojë kuadrin për një model praktik për sjelljen etike të drejtuesve, stafeve dhe administratorëve të institucioneve të arsimit të lartë</w:t>
      </w:r>
    </w:p>
    <w:p w:rsidR="0012765F" w:rsidRPr="00E97254" w:rsidRDefault="004E1F53" w:rsidP="000C0250">
      <w:pPr>
        <w:spacing w:after="0"/>
        <w:jc w:val="both"/>
      </w:pPr>
      <w:r>
        <w:t xml:space="preserve">C4.1.3. Instalimi i softuerit anti-plagjiaturë në IAL-të publike. </w:t>
      </w:r>
      <w:r>
        <w:rPr>
          <w:i/>
        </w:rPr>
        <w:t>Softueri do të bëjë të mundur kontrollin për plagjiaturë të punimeve të diplomës bachelor dhe master, të punimeve të doktoratës, si dhe të punimeve të tjera që shërbejnë për përmbushjen e kërkesave të programit të studimeve, siç janë punimet e seminareve. Në këtë mënyrë do të sigurohet respektimi i minimumit të standardeve akademike.</w:t>
      </w:r>
    </w:p>
    <w:p w:rsidR="00680114" w:rsidRPr="00E97254" w:rsidRDefault="004E1F53" w:rsidP="000C0250">
      <w:pPr>
        <w:spacing w:after="0"/>
        <w:jc w:val="both"/>
      </w:pPr>
      <w:r>
        <w:t xml:space="preserve">C4.1.4. Ndërtimi i kapacitetit të organeve kolegjiale të IAL-ve publike për të siguruar respektimin e parimeve të integritetit akademik, transparencës dhe llogaridhënies. </w:t>
      </w:r>
    </w:p>
    <w:p w:rsidR="00680114" w:rsidRPr="00E97254" w:rsidRDefault="004E1F53" w:rsidP="000C0250">
      <w:pPr>
        <w:spacing w:after="0"/>
        <w:jc w:val="both"/>
        <w:rPr>
          <w:b/>
        </w:rPr>
      </w:pPr>
      <w:r>
        <w:rPr>
          <w:b/>
        </w:rPr>
        <w:t>Treguesit</w:t>
      </w:r>
    </w:p>
    <w:p w:rsidR="00680114" w:rsidRPr="00E97254" w:rsidRDefault="004E1F53" w:rsidP="000C0250">
      <w:pPr>
        <w:pStyle w:val="ListParagraph"/>
        <w:numPr>
          <w:ilvl w:val="0"/>
          <w:numId w:val="37"/>
        </w:numPr>
        <w:spacing w:after="0"/>
        <w:jc w:val="both"/>
        <w:rPr>
          <w:rFonts w:ascii="Calibri" w:hAnsi="Calibri" w:cs="Calibri"/>
        </w:rPr>
      </w:pPr>
      <w:r>
        <w:rPr>
          <w:rFonts w:ascii="Calibri" w:hAnsi="Calibri" w:cs="Calibri"/>
        </w:rPr>
        <w:t>IAL-të publikojnë në faqet e tyre</w:t>
      </w:r>
      <w:r w:rsidR="001C728F">
        <w:rPr>
          <w:rFonts w:ascii="Calibri" w:hAnsi="Calibri" w:cs="Calibri"/>
        </w:rPr>
        <w:t xml:space="preserve"> n</w:t>
      </w:r>
      <w:r w:rsidR="001C728F">
        <w:t>ë internet</w:t>
      </w:r>
      <w:r>
        <w:rPr>
          <w:rFonts w:ascii="Calibri" w:hAnsi="Calibri" w:cs="Calibri"/>
        </w:rPr>
        <w:t xml:space="preserve"> të gjitha të dhënat dhe dokumentet </w:t>
      </w:r>
      <w:r w:rsidR="00A45C61">
        <w:rPr>
          <w:rFonts w:ascii="Calibri" w:hAnsi="Calibri" w:cs="Calibri"/>
        </w:rPr>
        <w:t>përkatës</w:t>
      </w:r>
      <w:r>
        <w:rPr>
          <w:rFonts w:ascii="Calibri" w:hAnsi="Calibri" w:cs="Calibri"/>
        </w:rPr>
        <w:t>e</w:t>
      </w:r>
    </w:p>
    <w:p w:rsidR="00680114" w:rsidRPr="00E97254" w:rsidRDefault="004E1F53" w:rsidP="000C0250">
      <w:pPr>
        <w:pStyle w:val="ListParagraph"/>
        <w:numPr>
          <w:ilvl w:val="0"/>
          <w:numId w:val="37"/>
        </w:numPr>
        <w:spacing w:before="120" w:after="0"/>
        <w:jc w:val="both"/>
        <w:rPr>
          <w:rFonts w:ascii="Calibri" w:hAnsi="Calibri" w:cs="Calibri"/>
        </w:rPr>
      </w:pPr>
      <w:r>
        <w:rPr>
          <w:rFonts w:ascii="Calibri" w:hAnsi="Calibri" w:cs="Calibri"/>
        </w:rPr>
        <w:t>Kontrolli anti-plagjiaturë bëhet në mënyrë rutinë në të gjitha IAL-të</w:t>
      </w:r>
    </w:p>
    <w:p w:rsidR="00383110" w:rsidRPr="00E97254" w:rsidRDefault="00383110" w:rsidP="000C0250">
      <w:pPr>
        <w:jc w:val="both"/>
      </w:pPr>
    </w:p>
    <w:p w:rsidR="00383110" w:rsidRPr="00E97254" w:rsidRDefault="00FA5606" w:rsidP="000C0250">
      <w:pPr>
        <w:pStyle w:val="Heading3"/>
        <w:spacing w:before="0" w:after="120"/>
        <w:jc w:val="both"/>
      </w:pPr>
      <w:bookmarkStart w:id="133" w:name="_Toc66802024"/>
      <w:r w:rsidRPr="00FA5606">
        <w:t>Objektivi specifik C5: Studentët</w:t>
      </w:r>
      <w:bookmarkEnd w:id="133"/>
    </w:p>
    <w:p w:rsidR="00383110" w:rsidRPr="00E97254" w:rsidRDefault="003A44C5" w:rsidP="000C0250">
      <w:pPr>
        <w:spacing w:after="0"/>
        <w:jc w:val="both"/>
      </w:pPr>
      <w:r>
        <w:rPr>
          <w:noProof/>
        </w:rPr>
        <mc:AlternateContent>
          <mc:Choice Requires="wps">
            <w:drawing>
              <wp:inline distT="0" distB="0" distL="0" distR="0">
                <wp:extent cx="5943600" cy="488950"/>
                <wp:effectExtent l="12700" t="12700" r="0" b="6350"/>
                <wp:docPr id="5"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43600" cy="488950"/>
                        </a:xfrm>
                        <a:prstGeom prst="rect">
                          <a:avLst/>
                        </a:prstGeom>
                        <a:solidFill>
                          <a:srgbClr val="EBF1DE"/>
                        </a:solidFill>
                        <a:ln w="25400">
                          <a:solidFill>
                            <a:srgbClr val="8064A2"/>
                          </a:solidFill>
                          <a:miter lim="800000"/>
                          <a:headEnd/>
                          <a:tailEnd/>
                        </a:ln>
                      </wps:spPr>
                      <wps:txbx>
                        <w:txbxContent>
                          <w:p w:rsidR="00753C65" w:rsidRPr="003D71F2" w:rsidRDefault="00753C65" w:rsidP="00853CF3">
                            <w:pPr>
                              <w:pStyle w:val="Default"/>
                              <w:rPr>
                                <w:color w:val="FF0000"/>
                                <w:sz w:val="22"/>
                                <w:szCs w:val="22"/>
                              </w:rPr>
                            </w:pPr>
                            <w:r w:rsidRPr="00383110">
                              <w:t xml:space="preserve">Përmirësimi i statusit socio-ekonomik të studentëve </w:t>
                            </w:r>
                            <w:r>
                              <w:t>nëpërmjet</w:t>
                            </w:r>
                            <w:r w:rsidRPr="00383110">
                              <w:t xml:space="preserve"> ofrimit të shërbimeve cilësore dhe formave të ndryshme të asistencës financiare.</w:t>
                            </w:r>
                          </w:p>
                        </w:txbxContent>
                      </wps:txbx>
                      <wps:bodyPr rot="0" vert="horz" wrap="square" lIns="91440" tIns="45720" rIns="91440" bIns="45720" anchor="t" anchorCtr="0" upright="1">
                        <a:spAutoFit/>
                      </wps:bodyPr>
                    </wps:wsp>
                  </a:graphicData>
                </a:graphic>
              </wp:inline>
            </w:drawing>
          </mc:Choice>
          <mc:Fallback>
            <w:pict>
              <v:shape id="Text Box 39" o:spid="_x0000_s1075" type="#_x0000_t202" style="width:468pt;height:3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" fillcolor="#ebf1de" strokecolor="#8064a2" strokeweight="2pt">
                <v:path arrowok="t"/>
                <v:textbox style="mso-fit-shape-to-text:t">
                  <w:txbxContent>
                    <w:p w:rsidR="00753C65" w:rsidRPr="003D71F2" w:rsidRDefault="00753C65" w:rsidP="00853CF3">
                      <w:pPr>
                        <w:pStyle w:val="Default"/>
                        <w:rPr>
                          <w:color w:val="FF0000"/>
                          <w:sz w:val="22"/>
                          <w:szCs w:val="22"/>
                        </w:rPr>
                      </w:pPr>
                      <w:r w:rsidRPr="00383110">
                        <w:t xml:space="preserve">Përmirësimi i statusit socio-ekonomik të studentëve </w:t>
                      </w:r>
                      <w:r>
                        <w:t>nëpërmjet</w:t>
                      </w:r>
                      <w:r w:rsidRPr="00383110">
                        <w:t xml:space="preserve"> ofrimit të shërbimeve cilësore dhe formave të ndryshme të asistencës financiare.</w:t>
                      </w:r>
                    </w:p>
                  </w:txbxContent>
                </v:textbox>
                <w10:anchorlock/>
              </v:shape>
            </w:pict>
          </mc:Fallback>
        </mc:AlternateContent>
      </w:r>
    </w:p>
    <w:p w:rsidR="00F97AE0" w:rsidRPr="00E97254" w:rsidRDefault="00F97AE0" w:rsidP="000C0250">
      <w:pPr>
        <w:spacing w:after="0"/>
        <w:jc w:val="both"/>
        <w:rPr>
          <w:rFonts w:ascii="Calibri" w:hAnsi="Calibri" w:cs="Calibri"/>
          <w:spacing w:val="-3"/>
        </w:rPr>
      </w:pPr>
    </w:p>
    <w:p w:rsidR="00F97AE0" w:rsidRPr="00E97254" w:rsidRDefault="00DC4C19" w:rsidP="000C0250">
      <w:pPr>
        <w:spacing w:after="0"/>
        <w:jc w:val="both"/>
        <w:rPr>
          <w:rFonts w:ascii="Calibri" w:hAnsi="Calibri" w:cs="Calibri"/>
          <w:spacing w:val="-3"/>
        </w:rPr>
      </w:pPr>
      <w:r>
        <w:rPr>
          <w:rFonts w:ascii="Calibri" w:hAnsi="Calibri" w:cs="Calibri"/>
          <w:spacing w:val="-3"/>
        </w:rPr>
        <w:t xml:space="preserve">Analiza e situatës </w:t>
      </w:r>
      <w:r w:rsidR="004E1F53">
        <w:rPr>
          <w:rFonts w:ascii="Calibri" w:hAnsi="Calibri" w:cs="Calibri"/>
          <w:spacing w:val="-3"/>
        </w:rPr>
        <w:t>në fushën që mbulon ky objektiv specifik është dhënë në seksionin 4.4.3., ndërsa sfidat kryesore që dalin nga analiza janë:</w:t>
      </w:r>
    </w:p>
    <w:p w:rsidR="00B8633D" w:rsidRPr="00E97254" w:rsidRDefault="004E1F53" w:rsidP="000C0250">
      <w:pPr>
        <w:pStyle w:val="ListParagraph"/>
        <w:numPr>
          <w:ilvl w:val="0"/>
          <w:numId w:val="38"/>
        </w:numPr>
        <w:spacing w:after="0"/>
        <w:ind w:left="714" w:hanging="357"/>
        <w:contextualSpacing w:val="0"/>
        <w:jc w:val="both"/>
        <w:rPr>
          <w:rFonts w:ascii="Calibri" w:hAnsi="Calibri" w:cs="Calibri"/>
          <w:spacing w:val="-3"/>
        </w:rPr>
      </w:pPr>
      <w:r>
        <w:rPr>
          <w:rFonts w:ascii="Calibri" w:hAnsi="Calibri" w:cs="Calibri"/>
          <w:spacing w:val="-3"/>
        </w:rPr>
        <w:lastRenderedPageBreak/>
        <w:t xml:space="preserve">Pakti për Universitetin mundësoi përgjysmimin e tarifës për të gjithë studentët që janë në cikël të parë apo të integruar të studimeve në IAL publike, si dhe </w:t>
      </w:r>
      <w:r>
        <w:t>VKM</w:t>
      </w:r>
      <w:r w:rsidR="00AF15E4">
        <w:t>-ja</w:t>
      </w:r>
      <w:r>
        <w:t xml:space="preserve"> nr.269, datë 29.03.2017</w:t>
      </w:r>
      <w:r>
        <w:rPr>
          <w:rStyle w:val="FootnoteReference"/>
        </w:rPr>
        <w:footnoteReference w:id="16"/>
      </w:r>
      <w:r w:rsidR="00FA5606" w:rsidRPr="00FA5606">
        <w:t xml:space="preserve"> e ndryshuar</w:t>
      </w:r>
      <w:r w:rsidR="00AF15E4">
        <w:t>,</w:t>
      </w:r>
      <w:r w:rsidR="00FA5606" w:rsidRPr="00FA5606">
        <w:t xml:space="preserve"> parashikon përjashtimin nga tarifa vjetore e shkollimit për disa kategori studentësh</w:t>
      </w:r>
      <w:r w:rsidR="00AF15E4">
        <w:t>,</w:t>
      </w:r>
      <w:r w:rsidR="00FA5606" w:rsidRPr="00FA5606">
        <w:t xml:space="preserve"> </w:t>
      </w:r>
      <w:r w:rsidR="00FA5606" w:rsidRPr="00FA5606">
        <w:rPr>
          <w:rFonts w:ascii="Calibri" w:hAnsi="Calibri" w:cs="Calibri"/>
          <w:spacing w:val="-3"/>
        </w:rPr>
        <w:t>por</w:t>
      </w:r>
      <w:r w:rsidR="00AF15E4">
        <w:rPr>
          <w:rFonts w:ascii="Calibri" w:hAnsi="Calibri" w:cs="Calibri"/>
          <w:spacing w:val="-3"/>
        </w:rPr>
        <w:t>,</w:t>
      </w:r>
      <w:r w:rsidR="00FA5606" w:rsidRPr="00FA5606">
        <w:rPr>
          <w:rFonts w:ascii="Calibri" w:hAnsi="Calibri" w:cs="Calibri"/>
          <w:spacing w:val="-3"/>
        </w:rPr>
        <w:t xml:space="preserve"> nga ana tjetër</w:t>
      </w:r>
      <w:r w:rsidR="00AF15E4">
        <w:rPr>
          <w:rFonts w:ascii="Calibri" w:hAnsi="Calibri" w:cs="Calibri"/>
          <w:spacing w:val="-3"/>
        </w:rPr>
        <w:t xml:space="preserve">, </w:t>
      </w:r>
      <w:r w:rsidR="00FA5606" w:rsidRPr="00FA5606">
        <w:rPr>
          <w:rFonts w:ascii="Calibri" w:hAnsi="Calibri" w:cs="Calibri"/>
          <w:spacing w:val="-3"/>
        </w:rPr>
        <w:t xml:space="preserve">duhet të parashikohen edhe skema të tjera të </w:t>
      </w:r>
      <w:r w:rsidR="00FA5606" w:rsidRPr="00FA5606">
        <w:rPr>
          <w:rFonts w:cs="Calibri"/>
          <w:spacing w:val="-3"/>
        </w:rPr>
        <w:t>ndihmës</w:t>
      </w:r>
      <w:r w:rsidR="00FA5606" w:rsidRPr="00FA5606">
        <w:rPr>
          <w:rFonts w:ascii="Calibri" w:hAnsi="Calibri" w:cs="Calibri"/>
          <w:spacing w:val="-3"/>
        </w:rPr>
        <w:t xml:space="preserve"> financiare për studentët.</w:t>
      </w:r>
    </w:p>
    <w:p w:rsidR="00F97AE0" w:rsidRPr="00E97254" w:rsidRDefault="00FA5606" w:rsidP="000C0250">
      <w:pPr>
        <w:pStyle w:val="ListParagraph"/>
        <w:numPr>
          <w:ilvl w:val="0"/>
          <w:numId w:val="38"/>
        </w:numPr>
        <w:spacing w:after="0"/>
        <w:ind w:left="714" w:hanging="357"/>
        <w:contextualSpacing w:val="0"/>
        <w:jc w:val="both"/>
        <w:rPr>
          <w:rFonts w:ascii="Calibri" w:hAnsi="Calibri" w:cs="Calibri"/>
          <w:spacing w:val="-3"/>
        </w:rPr>
      </w:pPr>
      <w:r w:rsidRPr="00FA5606">
        <w:rPr>
          <w:rFonts w:ascii="Calibri" w:hAnsi="Calibri" w:cs="Calibri"/>
          <w:spacing w:val="-3"/>
        </w:rPr>
        <w:t>Me gjithë vëmendjen e shtuar në vitet e fundit për përmirësimin e shërbimeve të studentëve</w:t>
      </w:r>
      <w:r w:rsidR="00AF15E4">
        <w:rPr>
          <w:rFonts w:ascii="Calibri" w:hAnsi="Calibri" w:cs="Calibri"/>
          <w:spacing w:val="-3"/>
        </w:rPr>
        <w:t>,</w:t>
      </w:r>
      <w:r w:rsidRPr="00FA5606">
        <w:rPr>
          <w:rFonts w:ascii="Calibri" w:hAnsi="Calibri" w:cs="Calibri"/>
          <w:spacing w:val="-3"/>
        </w:rPr>
        <w:t xml:space="preserve"> ka nevojë për zgjerimin e gamës së shërbimeve të tilla, </w:t>
      </w:r>
      <w:r w:rsidR="00F919F3">
        <w:rPr>
          <w:rFonts w:ascii="Calibri" w:hAnsi="Calibri" w:cs="Calibri"/>
          <w:spacing w:val="-3"/>
        </w:rPr>
        <w:t>n</w:t>
      </w:r>
      <w:r w:rsidR="00F919F3" w:rsidRPr="00F919F3">
        <w:rPr>
          <w:rFonts w:ascii="Calibri" w:hAnsi="Calibri" w:cs="Calibri"/>
          <w:spacing w:val="-3"/>
        </w:rPr>
        <w:t>ë përputhje me</w:t>
      </w:r>
      <w:r w:rsidRPr="00FA5606">
        <w:rPr>
          <w:rFonts w:ascii="Calibri" w:hAnsi="Calibri" w:cs="Calibri"/>
          <w:spacing w:val="-3"/>
        </w:rPr>
        <w:t xml:space="preserve"> praktika</w:t>
      </w:r>
      <w:r w:rsidR="00F919F3">
        <w:rPr>
          <w:rFonts w:ascii="Calibri" w:hAnsi="Calibri" w:cs="Calibri"/>
          <w:spacing w:val="-3"/>
        </w:rPr>
        <w:t>t</w:t>
      </w:r>
      <w:r w:rsidRPr="00FA5606">
        <w:rPr>
          <w:rFonts w:ascii="Calibri" w:hAnsi="Calibri" w:cs="Calibri"/>
          <w:spacing w:val="-3"/>
        </w:rPr>
        <w:t xml:space="preserve"> më të mira të IAL-ve </w:t>
      </w:r>
      <w:r w:rsidRPr="00FA5606">
        <w:rPr>
          <w:rFonts w:cs="Calibri"/>
          <w:spacing w:val="-3"/>
        </w:rPr>
        <w:t>evropiane</w:t>
      </w:r>
      <w:r w:rsidRPr="00FA5606">
        <w:rPr>
          <w:rFonts w:ascii="Calibri" w:hAnsi="Calibri" w:cs="Calibri"/>
          <w:spacing w:val="-3"/>
        </w:rPr>
        <w:t xml:space="preserve">. </w:t>
      </w:r>
    </w:p>
    <w:p w:rsidR="00F97AE0" w:rsidRPr="00E97254" w:rsidRDefault="00FA5606" w:rsidP="000C0250">
      <w:pPr>
        <w:pStyle w:val="ListParagraph"/>
        <w:numPr>
          <w:ilvl w:val="0"/>
          <w:numId w:val="38"/>
        </w:numPr>
        <w:spacing w:after="0"/>
        <w:ind w:left="714" w:hanging="357"/>
        <w:contextualSpacing w:val="0"/>
        <w:jc w:val="both"/>
        <w:rPr>
          <w:rFonts w:ascii="Calibri" w:hAnsi="Calibri" w:cs="Calibri"/>
          <w:spacing w:val="-3"/>
        </w:rPr>
      </w:pPr>
      <w:r w:rsidRPr="00FA5606">
        <w:rPr>
          <w:rFonts w:ascii="Calibri" w:hAnsi="Calibri" w:cs="Calibri"/>
          <w:spacing w:val="-3"/>
        </w:rPr>
        <w:t xml:space="preserve">Shërbimi i mentorimit të studentëve duhet avancuar më tej që studentët të zhvillojnë njohuritë dhe aftësitë profesionale. </w:t>
      </w:r>
    </w:p>
    <w:p w:rsidR="00F97AE0" w:rsidRPr="00E97254" w:rsidRDefault="00FA5606" w:rsidP="000C0250">
      <w:pPr>
        <w:spacing w:before="120" w:after="0"/>
        <w:jc w:val="both"/>
      </w:pPr>
      <w:r w:rsidRPr="00FA5606">
        <w:rPr>
          <w:b/>
        </w:rPr>
        <w:t>Produktet/Rezultatet e pritshme dhe masat</w:t>
      </w:r>
      <w:r w:rsidRPr="00FA5606">
        <w:t>. – Në vijim janë dhënë produktet dhe masat e ndërlidhura me objektivin specifik C5:</w:t>
      </w:r>
    </w:p>
    <w:p w:rsidR="00F97AE0" w:rsidRPr="00E97254" w:rsidRDefault="00FA5606" w:rsidP="000C0250">
      <w:pPr>
        <w:spacing w:before="120" w:after="0"/>
        <w:jc w:val="both"/>
      </w:pPr>
      <w:r w:rsidRPr="00FA5606">
        <w:rPr>
          <w:u w:val="single"/>
        </w:rPr>
        <w:t>Produkti C5.1</w:t>
      </w:r>
      <w:r w:rsidRPr="00FA5606">
        <w:t>. Pasurimi dhe përmirësimi i shërbimeve për studentë</w:t>
      </w:r>
    </w:p>
    <w:p w:rsidR="00F97AE0" w:rsidRPr="00E97254" w:rsidRDefault="00FA5606" w:rsidP="000C0250">
      <w:pPr>
        <w:spacing w:after="0"/>
        <w:jc w:val="both"/>
      </w:pPr>
      <w:r w:rsidRPr="00FA5606">
        <w:t xml:space="preserve">C5.1.1. Dhënia e bursave për studentë ekselentë dhe studentë në nevojë. </w:t>
      </w:r>
      <w:r w:rsidRPr="00FA5606">
        <w:rPr>
          <w:i/>
        </w:rPr>
        <w:t>Mbështetje me bursa e studentëve ekselentë që zgjedhin të studiojnë në IAL</w:t>
      </w:r>
      <w:r w:rsidR="00963672">
        <w:rPr>
          <w:i/>
        </w:rPr>
        <w:t>-t</w:t>
      </w:r>
      <w:r w:rsidR="00963672" w:rsidRPr="00CF4646">
        <w:rPr>
          <w:i/>
        </w:rPr>
        <w:t>ë</w:t>
      </w:r>
      <w:r w:rsidRPr="00FA5606">
        <w:rPr>
          <w:i/>
        </w:rPr>
        <w:t xml:space="preserve"> publike shqiptare, si dhe mbështetja me bursë edhe e studentëve në nevojë për t’iu dhënë mundësinë që të ndjekin arsimin e lartë dhe të rrisin shanset e integrimit në tregun e punës. Me këtë rast duhet dhënë përparësi tërheqjes së studentëve ekselentë në programet prioritare, siç janë ato të mësuesisë, që do të kishte efekt afatgjatë në përmirësimin e cilësisë së arsimit parauniversitar. Programet prioritare do të përcaktohen nga analizat e ecurisë së studentëve të diplomuar (masa C3.1.1) dhe analizat e nevojave të tregut të punës që ndërmerren nga institucionet publike dhe shoqatat e biznesit. </w:t>
      </w:r>
    </w:p>
    <w:p w:rsidR="00F97AE0" w:rsidRPr="00E97254" w:rsidRDefault="00FA5606" w:rsidP="000C0250">
      <w:pPr>
        <w:spacing w:after="0"/>
        <w:jc w:val="both"/>
      </w:pPr>
      <w:r w:rsidRPr="00FA5606">
        <w:t xml:space="preserve">C5.1.2. Ndërmjetësim për punësimin e studentëve. </w:t>
      </w:r>
      <w:r w:rsidRPr="00FA5606">
        <w:rPr>
          <w:i/>
        </w:rPr>
        <w:t xml:space="preserve">Një ndihmë e tillë do të ofrohet nga zyrat e karrierës në IAL-të publike dhe do të ndihmojë studentët për gjetjen e një vendi pune që </w:t>
      </w:r>
      <w:r w:rsidR="00963672">
        <w:rPr>
          <w:i/>
        </w:rPr>
        <w:t>u</w:t>
      </w:r>
      <w:r w:rsidRPr="00FA5606">
        <w:rPr>
          <w:i/>
        </w:rPr>
        <w:t xml:space="preserve"> përshtatet dëshirave, formimit, aftësive dhe cilësive të tyre. </w:t>
      </w:r>
    </w:p>
    <w:p w:rsidR="00A41EE1" w:rsidRPr="00E97254" w:rsidRDefault="00FA5606" w:rsidP="000C0250">
      <w:pPr>
        <w:spacing w:after="0"/>
        <w:jc w:val="both"/>
      </w:pPr>
      <w:r w:rsidRPr="00FA5606">
        <w:t xml:space="preserve">C5.1.3. Zgjerimi i listës së shërbimeve të favorizuara për studentë mbi bazën e kartës studentore. </w:t>
      </w:r>
      <w:r w:rsidRPr="00FA5606">
        <w:rPr>
          <w:i/>
        </w:rPr>
        <w:t>Identifikimi i shërbimeve të reja të ofruara nga institucionet publike ashtu dhe nga subjektet privatë nga të cilat studentët mund të përfitojnë ulje dhe oferta të dedikuara për ata.</w:t>
      </w:r>
      <w:r w:rsidRPr="00FA5606">
        <w:t xml:space="preserve"> </w:t>
      </w:r>
    </w:p>
    <w:p w:rsidR="00F97AE0" w:rsidRPr="00E97254" w:rsidRDefault="00FA5606" w:rsidP="000C0250">
      <w:pPr>
        <w:spacing w:after="0"/>
        <w:jc w:val="both"/>
      </w:pPr>
      <w:r w:rsidRPr="00FA5606">
        <w:rPr>
          <w:u w:val="single"/>
        </w:rPr>
        <w:t>Produkti C5.2</w:t>
      </w:r>
      <w:r w:rsidRPr="00FA5606">
        <w:t xml:space="preserve">. Mbështetja e studentëve për përmirësimin e arritjeve akademike </w:t>
      </w:r>
    </w:p>
    <w:p w:rsidR="00F97AE0" w:rsidRPr="00E97254" w:rsidRDefault="00FA5606" w:rsidP="000C0250">
      <w:pPr>
        <w:spacing w:after="0"/>
        <w:jc w:val="both"/>
        <w:rPr>
          <w:i/>
        </w:rPr>
      </w:pPr>
      <w:r w:rsidRPr="00FA5606">
        <w:t xml:space="preserve">C5.2.1. Tutorimi/mentorimi i studentëve në të gjitha IAL-të. </w:t>
      </w:r>
      <w:r w:rsidRPr="00FA5606">
        <w:rPr>
          <w:i/>
        </w:rPr>
        <w:t>Shërbimi i mentorimit duhet të ofrohet në mënyrë sistematike sipas nevojave dhe specifikave të studentëve që të mund të përfitojnë maksimalisht nga mësimdhënia, kërkimi</w:t>
      </w:r>
      <w:r w:rsidR="00963672">
        <w:rPr>
          <w:i/>
        </w:rPr>
        <w:t xml:space="preserve"> dhe </w:t>
      </w:r>
      <w:r w:rsidRPr="00FA5606">
        <w:rPr>
          <w:i/>
        </w:rPr>
        <w:t>praktika gjatë kohës së studimit.</w:t>
      </w:r>
    </w:p>
    <w:p w:rsidR="00F97AE0" w:rsidRPr="00E97254" w:rsidRDefault="00FA5606" w:rsidP="000C0250">
      <w:pPr>
        <w:keepNext/>
        <w:spacing w:after="0"/>
        <w:jc w:val="both"/>
        <w:rPr>
          <w:b/>
        </w:rPr>
      </w:pPr>
      <w:r w:rsidRPr="00FA5606">
        <w:rPr>
          <w:b/>
        </w:rPr>
        <w:t>Treguesit</w:t>
      </w:r>
    </w:p>
    <w:p w:rsidR="00F97AE0" w:rsidRPr="00E97254" w:rsidRDefault="00FA5606" w:rsidP="000C0250">
      <w:pPr>
        <w:pStyle w:val="ListParagraph"/>
        <w:numPr>
          <w:ilvl w:val="0"/>
          <w:numId w:val="38"/>
        </w:numPr>
        <w:spacing w:after="0"/>
        <w:jc w:val="both"/>
        <w:rPr>
          <w:rFonts w:ascii="Calibri" w:hAnsi="Calibri" w:cs="Calibri"/>
          <w:spacing w:val="-3"/>
        </w:rPr>
      </w:pPr>
      <w:r w:rsidRPr="00FA5606">
        <w:rPr>
          <w:rFonts w:ascii="Calibri" w:hAnsi="Calibri" w:cs="Calibri"/>
          <w:spacing w:val="-3"/>
        </w:rPr>
        <w:t xml:space="preserve">Numri i studentëve që punësohen në subjekte publike e private </w:t>
      </w:r>
      <w:r w:rsidR="00A50A43">
        <w:rPr>
          <w:rFonts w:ascii="Calibri" w:hAnsi="Calibri" w:cs="Calibri"/>
          <w:spacing w:val="-3"/>
        </w:rPr>
        <w:t>nëpërmjet</w:t>
      </w:r>
      <w:r w:rsidRPr="00FA5606">
        <w:rPr>
          <w:rFonts w:ascii="Calibri" w:hAnsi="Calibri" w:cs="Calibri"/>
          <w:spacing w:val="-3"/>
        </w:rPr>
        <w:t xml:space="preserve"> marrëveshjeve institucionale me IAL-të përkatëse disagreguar sipas seksit. </w:t>
      </w:r>
    </w:p>
    <w:p w:rsidR="00F97AE0" w:rsidRPr="00E97254" w:rsidRDefault="00FA5606" w:rsidP="000C0250">
      <w:pPr>
        <w:pStyle w:val="ListParagraph"/>
        <w:numPr>
          <w:ilvl w:val="0"/>
          <w:numId w:val="38"/>
        </w:numPr>
        <w:spacing w:after="0"/>
        <w:jc w:val="both"/>
        <w:rPr>
          <w:rFonts w:ascii="Calibri" w:hAnsi="Calibri" w:cs="Calibri"/>
          <w:spacing w:val="-3"/>
        </w:rPr>
      </w:pPr>
      <w:r w:rsidRPr="00FA5606">
        <w:rPr>
          <w:rFonts w:ascii="Calibri" w:hAnsi="Calibri" w:cs="Calibri"/>
          <w:spacing w:val="-3"/>
        </w:rPr>
        <w:lastRenderedPageBreak/>
        <w:t>Vëllimi i fluksit të ndihmës zyrtare për zhvillim, për bursa sipas sektorit dhe llojit të studimit (</w:t>
      </w:r>
      <w:r w:rsidR="00A50A43">
        <w:rPr>
          <w:rFonts w:ascii="Calibri" w:hAnsi="Calibri" w:cs="Calibri"/>
          <w:spacing w:val="-3"/>
        </w:rPr>
        <w:t>OZHQ</w:t>
      </w:r>
      <w:r w:rsidR="00963672">
        <w:rPr>
          <w:rFonts w:ascii="Calibri" w:hAnsi="Calibri" w:cs="Calibri"/>
          <w:spacing w:val="-3"/>
        </w:rPr>
        <w:t xml:space="preserve"> </w:t>
      </w:r>
      <w:r w:rsidRPr="00FA5606">
        <w:rPr>
          <w:rFonts w:ascii="Calibri" w:hAnsi="Calibri" w:cs="Calibri"/>
          <w:spacing w:val="-3"/>
        </w:rPr>
        <w:t xml:space="preserve">4.B1) </w:t>
      </w:r>
    </w:p>
    <w:p w:rsidR="00F97AE0" w:rsidRPr="00E97254" w:rsidRDefault="00FA5606" w:rsidP="000C0250">
      <w:pPr>
        <w:pStyle w:val="ListParagraph"/>
        <w:numPr>
          <w:ilvl w:val="0"/>
          <w:numId w:val="38"/>
        </w:numPr>
        <w:spacing w:after="0"/>
        <w:jc w:val="both"/>
        <w:rPr>
          <w:rFonts w:ascii="Calibri" w:hAnsi="Calibri" w:cs="Calibri"/>
          <w:spacing w:val="-3"/>
        </w:rPr>
      </w:pPr>
      <w:r w:rsidRPr="00FA5606">
        <w:rPr>
          <w:rFonts w:ascii="Calibri" w:hAnsi="Calibri" w:cs="Calibri"/>
          <w:spacing w:val="-3"/>
        </w:rPr>
        <w:t xml:space="preserve">Numri i marrëveshjeve për shërbime të favorizuara për studentë me subjekte publike dhe private në vend </w:t>
      </w:r>
    </w:p>
    <w:p w:rsidR="005C6220" w:rsidRPr="00E97254" w:rsidRDefault="00FA5606" w:rsidP="000C0250">
      <w:pPr>
        <w:pStyle w:val="ListParagraph"/>
        <w:numPr>
          <w:ilvl w:val="0"/>
          <w:numId w:val="38"/>
        </w:numPr>
        <w:spacing w:after="0"/>
        <w:jc w:val="both"/>
        <w:rPr>
          <w:rFonts w:ascii="Calibri" w:hAnsi="Calibri" w:cs="Calibri"/>
          <w:spacing w:val="-3"/>
        </w:rPr>
      </w:pPr>
      <w:r w:rsidRPr="00FA5606">
        <w:rPr>
          <w:rFonts w:ascii="Calibri" w:hAnsi="Calibri" w:cs="Calibri"/>
          <w:spacing w:val="-3"/>
        </w:rPr>
        <w:t xml:space="preserve">Numri i studentëve të mentoruar </w:t>
      </w:r>
    </w:p>
    <w:p w:rsidR="005C6220" w:rsidRPr="00E97254" w:rsidRDefault="005C6220" w:rsidP="000C0250">
      <w:pPr>
        <w:pStyle w:val="Heading3"/>
        <w:jc w:val="both"/>
      </w:pPr>
    </w:p>
    <w:p w:rsidR="00383110" w:rsidRPr="00E97254" w:rsidRDefault="00FA5606" w:rsidP="000C0250">
      <w:pPr>
        <w:pStyle w:val="Heading3"/>
        <w:spacing w:before="0" w:after="120"/>
        <w:jc w:val="both"/>
      </w:pPr>
      <w:bookmarkStart w:id="134" w:name="_Toc66802025"/>
      <w:r w:rsidRPr="00FA5606">
        <w:t>Objektivi specifik C6: Ndërkombëtarizimi i arsimit të lartë</w:t>
      </w:r>
      <w:bookmarkEnd w:id="134"/>
    </w:p>
    <w:p w:rsidR="00383110" w:rsidRPr="00E97254" w:rsidRDefault="003A44C5" w:rsidP="000C0250">
      <w:pPr>
        <w:spacing w:after="0"/>
        <w:jc w:val="both"/>
      </w:pPr>
      <w:r>
        <w:rPr>
          <w:noProof/>
        </w:rPr>
        <mc:AlternateContent>
          <mc:Choice Requires="wps">
            <w:drawing>
              <wp:inline distT="0" distB="0" distL="0" distR="0">
                <wp:extent cx="5943600" cy="488950"/>
                <wp:effectExtent l="12700" t="12700" r="0" b="6350"/>
                <wp:docPr id="3"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43600" cy="488950"/>
                        </a:xfrm>
                        <a:prstGeom prst="rect">
                          <a:avLst/>
                        </a:prstGeom>
                        <a:solidFill>
                          <a:srgbClr val="EBF1DE"/>
                        </a:solidFill>
                        <a:ln w="25400">
                          <a:solidFill>
                            <a:srgbClr val="8064A2"/>
                          </a:solidFill>
                          <a:miter lim="800000"/>
                          <a:headEnd/>
                          <a:tailEnd/>
                        </a:ln>
                      </wps:spPr>
                      <wps:txbx>
                        <w:txbxContent>
                          <w:p w:rsidR="00753C65" w:rsidRPr="003D71F2" w:rsidRDefault="00753C65" w:rsidP="00853CF3">
                            <w:pPr>
                              <w:pStyle w:val="Default"/>
                              <w:rPr>
                                <w:color w:val="FF0000"/>
                                <w:sz w:val="22"/>
                                <w:szCs w:val="22"/>
                              </w:rPr>
                            </w:pPr>
                            <w:r w:rsidRPr="00383110">
                              <w:t xml:space="preserve">Ndërkombëtarizimi i arsimit të lartë në Shqipëri dhe integrimi në </w:t>
                            </w:r>
                            <w:r>
                              <w:t>Zon</w:t>
                            </w:r>
                            <w:r w:rsidRPr="00383110">
                              <w:t>ën E</w:t>
                            </w:r>
                            <w:r>
                              <w:t>v</w:t>
                            </w:r>
                            <w:r w:rsidRPr="00383110">
                              <w:t>ropiane të Arsimit të Lartë (EHEA)</w:t>
                            </w:r>
                            <w:r>
                              <w:t>.</w:t>
                            </w:r>
                          </w:p>
                        </w:txbxContent>
                      </wps:txbx>
                      <wps:bodyPr rot="0" vert="horz" wrap="square" lIns="91440" tIns="45720" rIns="91440" bIns="45720" anchor="t" anchorCtr="0" upright="1">
                        <a:spAutoFit/>
                      </wps:bodyPr>
                    </wps:wsp>
                  </a:graphicData>
                </a:graphic>
              </wp:inline>
            </w:drawing>
          </mc:Choice>
          <mc:Fallback>
            <w:pict>
              <v:shape id="Text Box 38" o:spid="_x0000_s1076" type="#_x0000_t202" style="width:468pt;height:3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" fillcolor="#ebf1de" strokecolor="#8064a2" strokeweight="2pt">
                <v:path arrowok="t"/>
                <v:textbox style="mso-fit-shape-to-text:t">
                  <w:txbxContent>
                    <w:p w:rsidR="00753C65" w:rsidRPr="003D71F2" w:rsidRDefault="00753C65" w:rsidP="00853CF3">
                      <w:pPr>
                        <w:pStyle w:val="Default"/>
                        <w:rPr>
                          <w:color w:val="FF0000"/>
                          <w:sz w:val="22"/>
                          <w:szCs w:val="22"/>
                        </w:rPr>
                      </w:pPr>
                      <w:r w:rsidRPr="00383110">
                        <w:t xml:space="preserve">Ndërkombëtarizimi i arsimit të lartë në Shqipëri dhe integrimi në </w:t>
                      </w:r>
                      <w:r>
                        <w:t>Zon</w:t>
                      </w:r>
                      <w:r w:rsidRPr="00383110">
                        <w:t>ën E</w:t>
                      </w:r>
                      <w:r>
                        <w:t>v</w:t>
                      </w:r>
                      <w:r w:rsidRPr="00383110">
                        <w:t>ropiane të Arsimit të Lartë (EHEA)</w:t>
                      </w:r>
                      <w:r>
                        <w:t>.</w:t>
                      </w:r>
                    </w:p>
                  </w:txbxContent>
                </v:textbox>
                <w10:anchorlock/>
              </v:shape>
            </w:pict>
          </mc:Fallback>
        </mc:AlternateContent>
      </w:r>
    </w:p>
    <w:p w:rsidR="00380108" w:rsidRPr="00E97254" w:rsidRDefault="00380108" w:rsidP="000C0250">
      <w:pPr>
        <w:spacing w:before="120" w:after="0"/>
        <w:jc w:val="both"/>
        <w:rPr>
          <w:rFonts w:ascii="Calibri" w:hAnsi="Calibri" w:cs="Calibri"/>
          <w:spacing w:val="-3"/>
        </w:rPr>
      </w:pPr>
      <w:r w:rsidRPr="00E97254">
        <w:rPr>
          <w:rFonts w:ascii="Calibri" w:hAnsi="Calibri" w:cs="Calibri"/>
          <w:spacing w:val="-3"/>
        </w:rPr>
        <w:t xml:space="preserve">Ndërkombëtarizimi i arsimit të lartë është një koncept relativisht i ri që ndërlidhet me mobilitetin e shtuar të studentëve, stafit akademik dhe fuqisë punëtore të kualifikuar. Në 30 vitet e fundit, Bashkimi </w:t>
      </w:r>
      <w:r w:rsidRPr="00E97254">
        <w:rPr>
          <w:rFonts w:cs="Calibri"/>
          <w:spacing w:val="-3"/>
        </w:rPr>
        <w:t>E</w:t>
      </w:r>
      <w:r w:rsidR="00FA5606" w:rsidRPr="00FA5606">
        <w:rPr>
          <w:rFonts w:cs="Calibri"/>
          <w:spacing w:val="-3"/>
        </w:rPr>
        <w:t>vropian</w:t>
      </w:r>
      <w:r w:rsidR="00FA5606" w:rsidRPr="00FA5606">
        <w:rPr>
          <w:rFonts w:ascii="Calibri" w:hAnsi="Calibri" w:cs="Calibri"/>
          <w:spacing w:val="-3"/>
        </w:rPr>
        <w:t xml:space="preserve"> i ka dhënë shumë rëndësi mobilitetit të studentëve, stafit akademik dhe hulumtuesve, duke krijuar për këtë qëllim programe të veçanta si: Tempus, Erasmus+, Marie Curie, etj. Nga këndvështrimi i një vendi në </w:t>
      </w:r>
      <w:r w:rsidR="00FA5606" w:rsidRPr="00FA5606">
        <w:rPr>
          <w:rFonts w:cs="Calibri"/>
          <w:spacing w:val="-3"/>
        </w:rPr>
        <w:t>tranzicion</w:t>
      </w:r>
      <w:r w:rsidR="00FA5606" w:rsidRPr="00FA5606">
        <w:rPr>
          <w:rFonts w:ascii="Calibri" w:hAnsi="Calibri" w:cs="Calibri"/>
          <w:spacing w:val="-3"/>
        </w:rPr>
        <w:t xml:space="preserve"> siç është Shqipëria, qëllimi i programeve të tilla është ekspozimi i studentëve dhe stafit akademik ndaj përvojave më të mira </w:t>
      </w:r>
      <w:r w:rsidR="00FA5606" w:rsidRPr="00FA5606">
        <w:rPr>
          <w:rFonts w:cs="Calibri"/>
          <w:spacing w:val="-3"/>
        </w:rPr>
        <w:t>evropiane</w:t>
      </w:r>
      <w:r w:rsidR="00FA5606" w:rsidRPr="00FA5606">
        <w:rPr>
          <w:rFonts w:ascii="Calibri" w:hAnsi="Calibri" w:cs="Calibri"/>
          <w:spacing w:val="-3"/>
        </w:rPr>
        <w:t xml:space="preserve">, si dhe krijimi i raporteve të bashkëpunimit </w:t>
      </w:r>
      <w:r w:rsidR="00FA5606" w:rsidRPr="00FA5606">
        <w:rPr>
          <w:rFonts w:cs="Calibri"/>
          <w:spacing w:val="-3"/>
        </w:rPr>
        <w:t>midis</w:t>
      </w:r>
      <w:r w:rsidR="00FA5606" w:rsidRPr="00FA5606">
        <w:rPr>
          <w:rFonts w:ascii="Calibri" w:hAnsi="Calibri" w:cs="Calibri"/>
          <w:spacing w:val="-3"/>
        </w:rPr>
        <w:t xml:space="preserve"> IAL-ve shqiptare dhe atyre </w:t>
      </w:r>
      <w:r w:rsidR="00FA5606" w:rsidRPr="00FA5606">
        <w:rPr>
          <w:rFonts w:cs="Calibri"/>
          <w:spacing w:val="-3"/>
        </w:rPr>
        <w:t>evropiane</w:t>
      </w:r>
      <w:r w:rsidR="00FA5606" w:rsidRPr="00FA5606">
        <w:rPr>
          <w:rFonts w:ascii="Calibri" w:hAnsi="Calibri" w:cs="Calibri"/>
          <w:spacing w:val="-3"/>
        </w:rPr>
        <w:t xml:space="preserve">, duke i kontribuar kështu integrimit sa më të mirë të Shqipërisë në Hapësirën </w:t>
      </w:r>
      <w:r w:rsidR="00FA5606" w:rsidRPr="00FA5606">
        <w:rPr>
          <w:rFonts w:cs="Calibri"/>
          <w:spacing w:val="-3"/>
        </w:rPr>
        <w:t>Evropiane</w:t>
      </w:r>
      <w:r w:rsidR="00FA5606" w:rsidRPr="00FA5606">
        <w:rPr>
          <w:rFonts w:ascii="Calibri" w:hAnsi="Calibri" w:cs="Calibri"/>
          <w:spacing w:val="-3"/>
        </w:rPr>
        <w:t xml:space="preserve"> të Arsimit të Lartë. Shqipëria do të përfitonte nga krijimi i programeve të përbashkëta të IAL-ve shqiptare me ato të Bashkimit </w:t>
      </w:r>
      <w:r w:rsidR="00FA5606" w:rsidRPr="00FA5606">
        <w:rPr>
          <w:rFonts w:cs="Calibri"/>
          <w:spacing w:val="-3"/>
        </w:rPr>
        <w:t>Evropian</w:t>
      </w:r>
      <w:r w:rsidR="00FA5606" w:rsidRPr="00FA5606">
        <w:rPr>
          <w:rFonts w:ascii="Calibri" w:hAnsi="Calibri" w:cs="Calibri"/>
          <w:spacing w:val="-3"/>
        </w:rPr>
        <w:t xml:space="preserve"> që do të ndikonin në rritjen e cilësisë së ofertës në vend, ndërkaq</w:t>
      </w:r>
      <w:r w:rsidR="00963672">
        <w:rPr>
          <w:rFonts w:ascii="Calibri" w:hAnsi="Calibri" w:cs="Calibri"/>
          <w:spacing w:val="-3"/>
        </w:rPr>
        <w:t>,</w:t>
      </w:r>
      <w:r w:rsidR="00FA5606" w:rsidRPr="00FA5606">
        <w:rPr>
          <w:rFonts w:ascii="Calibri" w:hAnsi="Calibri" w:cs="Calibri"/>
          <w:spacing w:val="-3"/>
        </w:rPr>
        <w:t xml:space="preserve"> nëse këto programe janë në gjuhën angleze do të mund të ishin tërheqës edhe për studentë të huaj, prania e të cilëve do të ishte një vlerë e shtuar për arsimin e lartë shqiptar.</w:t>
      </w:r>
    </w:p>
    <w:p w:rsidR="00F97AE0" w:rsidRPr="00E97254" w:rsidRDefault="00DC4C19" w:rsidP="000C0250">
      <w:pPr>
        <w:spacing w:before="120" w:after="0"/>
        <w:jc w:val="both"/>
        <w:rPr>
          <w:rFonts w:ascii="Calibri" w:hAnsi="Calibri" w:cs="Calibri"/>
          <w:spacing w:val="-3"/>
        </w:rPr>
      </w:pPr>
      <w:r>
        <w:rPr>
          <w:rFonts w:ascii="Calibri" w:hAnsi="Calibri" w:cs="Calibri"/>
          <w:spacing w:val="-3"/>
        </w:rPr>
        <w:t xml:space="preserve">Analiza e situatës </w:t>
      </w:r>
      <w:r w:rsidR="00FA5606" w:rsidRPr="00FA5606">
        <w:rPr>
          <w:rFonts w:ascii="Calibri" w:hAnsi="Calibri" w:cs="Calibri"/>
          <w:spacing w:val="-3"/>
        </w:rPr>
        <w:t>në fushën që mbulon ky objektiv specifik është dhënë në seksionin 4.4.4, ndërsa sfidat kryesore që dalin nga analiza janë:</w:t>
      </w:r>
    </w:p>
    <w:p w:rsidR="00F97AE0" w:rsidRPr="00E97254" w:rsidRDefault="00FA5606" w:rsidP="000C0250">
      <w:pPr>
        <w:pStyle w:val="ListParagraph"/>
        <w:numPr>
          <w:ilvl w:val="0"/>
          <w:numId w:val="39"/>
        </w:numPr>
        <w:spacing w:after="0"/>
        <w:ind w:left="714" w:hanging="357"/>
        <w:contextualSpacing w:val="0"/>
        <w:jc w:val="both"/>
        <w:rPr>
          <w:rFonts w:ascii="Calibri" w:hAnsi="Calibri" w:cs="Calibri"/>
          <w:spacing w:val="-3"/>
        </w:rPr>
      </w:pPr>
      <w:r w:rsidRPr="00FA5606">
        <w:rPr>
          <w:spacing w:val="-3"/>
        </w:rPr>
        <w:t>IAL-të</w:t>
      </w:r>
      <w:r w:rsidRPr="00FA5606">
        <w:rPr>
          <w:rFonts w:ascii="Calibri" w:hAnsi="Calibri" w:cs="Calibri"/>
          <w:spacing w:val="-3"/>
        </w:rPr>
        <w:t xml:space="preserve"> shqiptare nuk ia dalin të tërheqin numër domethënës të studentëve të huaj, përveç shqiptarëve nga vendet fqinje</w:t>
      </w:r>
      <w:r w:rsidRPr="00FA5606">
        <w:rPr>
          <w:spacing w:val="-3"/>
        </w:rPr>
        <w:t xml:space="preserve">. Ka pak programe që ofrohen edhe në gjuhë të huaj. </w:t>
      </w:r>
    </w:p>
    <w:p w:rsidR="00F97AE0" w:rsidRPr="00E97254" w:rsidRDefault="00FA5606" w:rsidP="000C0250">
      <w:pPr>
        <w:pStyle w:val="ListParagraph"/>
        <w:numPr>
          <w:ilvl w:val="0"/>
          <w:numId w:val="39"/>
        </w:numPr>
        <w:spacing w:before="120" w:after="0"/>
        <w:ind w:left="714" w:hanging="357"/>
        <w:contextualSpacing w:val="0"/>
        <w:jc w:val="both"/>
        <w:rPr>
          <w:rFonts w:ascii="Calibri" w:hAnsi="Calibri" w:cs="Calibri"/>
          <w:spacing w:val="-3"/>
        </w:rPr>
      </w:pPr>
      <w:r w:rsidRPr="00FA5606">
        <w:rPr>
          <w:rFonts w:ascii="Calibri" w:eastAsia="Arial" w:hAnsi="Calibri" w:cs="Calibri"/>
        </w:rPr>
        <w:t>IAL-të akoma nuk arrijnë që të fitojnë mjaftueshëm projekte për shkak të mungesës së zyrave të projekteve në IAL</w:t>
      </w:r>
      <w:r w:rsidR="00963672">
        <w:rPr>
          <w:rFonts w:ascii="Calibri" w:eastAsia="Arial" w:hAnsi="Calibri" w:cs="Calibri"/>
        </w:rPr>
        <w:t>-t</w:t>
      </w:r>
      <w:r w:rsidRPr="00FA5606">
        <w:t>ë</w:t>
      </w:r>
      <w:r w:rsidRPr="00FA5606">
        <w:rPr>
          <w:rFonts w:ascii="Calibri" w:eastAsia="Arial" w:hAnsi="Calibri" w:cs="Calibri"/>
        </w:rPr>
        <w:t xml:space="preserve">, të cilat do të jenë të dedikuara </w:t>
      </w:r>
      <w:r w:rsidR="00963672">
        <w:rPr>
          <w:rFonts w:ascii="Calibri" w:eastAsia="Arial" w:hAnsi="Calibri" w:cs="Calibri"/>
        </w:rPr>
        <w:t>p</w:t>
      </w:r>
      <w:r w:rsidRPr="00FA5606">
        <w:rPr>
          <w:rFonts w:ascii="Calibri" w:eastAsia="Arial" w:hAnsi="Calibri" w:cs="Calibri"/>
        </w:rPr>
        <w:t>ë</w:t>
      </w:r>
      <w:r w:rsidR="00963672">
        <w:rPr>
          <w:rFonts w:ascii="Calibri" w:eastAsia="Arial" w:hAnsi="Calibri" w:cs="Calibri"/>
        </w:rPr>
        <w:t>r</w:t>
      </w:r>
      <w:r w:rsidRPr="00FA5606">
        <w:rPr>
          <w:rFonts w:ascii="Calibri" w:eastAsia="Arial" w:hAnsi="Calibri" w:cs="Calibri"/>
        </w:rPr>
        <w:t xml:space="preserve"> rritjen e partneriteteve në nivele rajonale dhe </w:t>
      </w:r>
      <w:r w:rsidRPr="00FA5606">
        <w:rPr>
          <w:rFonts w:eastAsia="Arial" w:cs="Calibri"/>
        </w:rPr>
        <w:t>evropiane</w:t>
      </w:r>
      <w:r w:rsidRPr="00FA5606">
        <w:rPr>
          <w:rFonts w:ascii="Calibri" w:eastAsia="Arial" w:hAnsi="Calibri" w:cs="Calibri"/>
        </w:rPr>
        <w:t xml:space="preserve"> dhe për ngritjen e fondeve në fushën e mësimdhënies dhe kërkimit. </w:t>
      </w:r>
      <w:r w:rsidRPr="00FA5606">
        <w:rPr>
          <w:rFonts w:ascii="Calibri" w:hAnsi="Calibri" w:cs="Calibri"/>
          <w:spacing w:val="-3"/>
        </w:rPr>
        <w:t xml:space="preserve">Numri jo i lartë i aplikimeve të fituara nga IAL-të, tregon që ka një nevojë për rritjen e kapaciteteve të stafeve për thithjen e fondeve nga projekte të ndryshme ndërkombëtare. </w:t>
      </w:r>
    </w:p>
    <w:p w:rsidR="00F97AE0" w:rsidRPr="00E97254" w:rsidRDefault="00FA5606" w:rsidP="000C0250">
      <w:pPr>
        <w:pStyle w:val="ListParagraph"/>
        <w:numPr>
          <w:ilvl w:val="0"/>
          <w:numId w:val="39"/>
        </w:numPr>
        <w:spacing w:before="120" w:after="0"/>
        <w:ind w:left="714" w:hanging="357"/>
        <w:contextualSpacing w:val="0"/>
        <w:jc w:val="both"/>
        <w:rPr>
          <w:rFonts w:ascii="Calibri" w:hAnsi="Calibri" w:cs="Calibri"/>
          <w:spacing w:val="-3"/>
        </w:rPr>
      </w:pPr>
      <w:r w:rsidRPr="00FA5606">
        <w:rPr>
          <w:rFonts w:ascii="Calibri" w:eastAsia="Arial" w:hAnsi="Calibri" w:cs="Calibri"/>
        </w:rPr>
        <w:t>Megjithëse në vitet e fundit është shtuar numri i studentëve dhe stafeve akademike që marrin pjesë në programet e shkëmbimit, është e rëndësishme që të rritet numri i aplikantëve të cilët kanë mundësinë të jenë pjesë e përvojave të ndryshme ndërkombëtare</w:t>
      </w:r>
    </w:p>
    <w:p w:rsidR="00F97AE0" w:rsidRPr="00E97254" w:rsidRDefault="00FA5606" w:rsidP="000C0250">
      <w:pPr>
        <w:pStyle w:val="ListParagraph"/>
        <w:numPr>
          <w:ilvl w:val="0"/>
          <w:numId w:val="39"/>
        </w:numPr>
        <w:spacing w:before="120" w:after="0"/>
        <w:ind w:left="714" w:hanging="357"/>
        <w:contextualSpacing w:val="0"/>
        <w:jc w:val="both"/>
        <w:rPr>
          <w:rFonts w:ascii="Calibri" w:hAnsi="Calibri" w:cs="Calibri"/>
          <w:spacing w:val="-3"/>
        </w:rPr>
      </w:pPr>
      <w:r w:rsidRPr="00FA5606">
        <w:rPr>
          <w:rFonts w:ascii="Calibri" w:hAnsi="Calibri" w:cs="Calibri"/>
          <w:spacing w:val="-3"/>
        </w:rPr>
        <w:t>Eksperiencat dhe praktikat e para të shkëmbimit të studentëve kanë krijuar problematika me mosnjohjen e kurseve/krediteve të mobilitetit, element i cili duhet vlerësuar me kujdes që në fazat kur studenti aplikon dhe zgjedh lëndët që do të ndjek</w:t>
      </w:r>
      <w:r w:rsidR="00963672" w:rsidRPr="00CF4646">
        <w:rPr>
          <w:rFonts w:ascii="Calibri" w:hAnsi="Calibri" w:cs="Calibri"/>
          <w:spacing w:val="-3"/>
        </w:rPr>
        <w:t>ë</w:t>
      </w:r>
      <w:r w:rsidRPr="00FA5606">
        <w:rPr>
          <w:rFonts w:ascii="Calibri" w:hAnsi="Calibri" w:cs="Calibri"/>
          <w:spacing w:val="-3"/>
        </w:rPr>
        <w:t xml:space="preserve"> gjatë programit të shkëmbimit.</w:t>
      </w:r>
    </w:p>
    <w:p w:rsidR="00F97AE0" w:rsidRPr="00E97254" w:rsidRDefault="00FA5606" w:rsidP="000C0250">
      <w:pPr>
        <w:spacing w:before="120" w:after="0"/>
        <w:jc w:val="both"/>
      </w:pPr>
      <w:r w:rsidRPr="00FA5606">
        <w:rPr>
          <w:b/>
        </w:rPr>
        <w:lastRenderedPageBreak/>
        <w:t>Produktet/Rezultatet e pritshme dhe masat</w:t>
      </w:r>
      <w:r w:rsidRPr="00FA5606">
        <w:t>. – Në vijim janë dhënë produktet dhe masat e ndërlidhura me objektivin specifik C6.</w:t>
      </w:r>
    </w:p>
    <w:p w:rsidR="00F97AE0" w:rsidRPr="00E97254" w:rsidRDefault="00FA5606" w:rsidP="000C0250">
      <w:pPr>
        <w:spacing w:before="120" w:after="0"/>
        <w:jc w:val="both"/>
      </w:pPr>
      <w:r w:rsidRPr="00FA5606">
        <w:rPr>
          <w:u w:val="single"/>
        </w:rPr>
        <w:t>Produkti C6.1</w:t>
      </w:r>
      <w:r w:rsidRPr="00FA5606">
        <w:t>. Nxitja e IAL-ve për të hapur programe studimi të përbashkëta me IAL-të evropiane ose programe në gjuhën angleze</w:t>
      </w:r>
    </w:p>
    <w:p w:rsidR="00F97AE0" w:rsidRPr="00E97254" w:rsidRDefault="00FA5606" w:rsidP="000C0250">
      <w:pPr>
        <w:spacing w:after="0"/>
        <w:jc w:val="both"/>
      </w:pPr>
      <w:r w:rsidRPr="00FA5606">
        <w:t>C6.1.1/C6.2.1. Krijimi i fondit për bashkëfinancimin e projekteve ndërkombëtare të bashkëpunimit akademik, përfshirë programet studimore të përbashkëta të IAL-ve shqiptare me IAL-të evropiane. Qeveria shqiptare do të vë</w:t>
      </w:r>
      <w:r w:rsidR="00963672">
        <w:t>r</w:t>
      </w:r>
      <w:r w:rsidR="00963672" w:rsidRPr="00CF4646">
        <w:rPr>
          <w:rFonts w:ascii="Calibri" w:hAnsi="Calibri" w:cs="Calibri"/>
          <w:spacing w:val="-3"/>
        </w:rPr>
        <w:t>ë</w:t>
      </w:r>
      <w:r w:rsidRPr="00FA5606">
        <w:t xml:space="preserve"> në dispozicion </w:t>
      </w:r>
      <w:r w:rsidR="00963672">
        <w:t>nj</w:t>
      </w:r>
      <w:r w:rsidR="00963672" w:rsidRPr="00CF4646">
        <w:rPr>
          <w:rFonts w:ascii="Calibri" w:hAnsi="Calibri" w:cs="Calibri"/>
          <w:spacing w:val="-3"/>
        </w:rPr>
        <w:t>ë</w:t>
      </w:r>
      <w:r w:rsidR="00963672">
        <w:rPr>
          <w:rFonts w:ascii="Calibri" w:hAnsi="Calibri" w:cs="Calibri"/>
          <w:spacing w:val="-3"/>
        </w:rPr>
        <w:t xml:space="preserve"> </w:t>
      </w:r>
      <w:r w:rsidRPr="00FA5606">
        <w:t>fond prej 10</w:t>
      </w:r>
      <w:r w:rsidR="00E8227C">
        <w:t xml:space="preserve"> milionë </w:t>
      </w:r>
      <w:r w:rsidRPr="00FA5606">
        <w:t>euro në vit për të stimuluar  IAL</w:t>
      </w:r>
      <w:r w:rsidR="00963672">
        <w:t>-t</w:t>
      </w:r>
      <w:r w:rsidR="00963672" w:rsidRPr="00CF4646">
        <w:rPr>
          <w:rFonts w:ascii="Calibri" w:hAnsi="Calibri" w:cs="Calibri"/>
          <w:spacing w:val="-3"/>
        </w:rPr>
        <w:t>ë</w:t>
      </w:r>
      <w:r w:rsidR="00963672">
        <w:rPr>
          <w:rFonts w:ascii="Calibri" w:hAnsi="Calibri" w:cs="Calibri"/>
          <w:spacing w:val="-3"/>
        </w:rPr>
        <w:t xml:space="preserve"> </w:t>
      </w:r>
      <w:r w:rsidRPr="00FA5606">
        <w:t xml:space="preserve">publike vendase për hapjen dhe ofrimin e programeve të </w:t>
      </w:r>
      <w:r w:rsidR="00963672" w:rsidRPr="00CF4646">
        <w:t>përbashkëta</w:t>
      </w:r>
      <w:r w:rsidRPr="00FA5606">
        <w:t xml:space="preserve"> të studimit me  IAL</w:t>
      </w:r>
      <w:r w:rsidR="00963672">
        <w:t>-t</w:t>
      </w:r>
      <w:r w:rsidR="00963672" w:rsidRPr="00CF4646">
        <w:rPr>
          <w:rFonts w:ascii="Calibri" w:hAnsi="Calibri" w:cs="Calibri"/>
          <w:spacing w:val="-3"/>
        </w:rPr>
        <w:t>ë</w:t>
      </w:r>
      <w:r w:rsidRPr="00FA5606">
        <w:t xml:space="preserve"> e Bashkimit Evropian, si dhe do te mbështetet dhe financohet pa rezervë çdo sinergji e plotë mes  IAL</w:t>
      </w:r>
      <w:r w:rsidR="00963672">
        <w:t>-ve</w:t>
      </w:r>
      <w:r w:rsidRPr="00FA5606">
        <w:t xml:space="preserve"> vendase </w:t>
      </w:r>
      <w:r w:rsidR="00963672">
        <w:t xml:space="preserve">dhe </w:t>
      </w:r>
      <w:r w:rsidRPr="00FA5606">
        <w:t>universi</w:t>
      </w:r>
      <w:r w:rsidR="00965850">
        <w:t>te</w:t>
      </w:r>
      <w:r w:rsidR="00963672">
        <w:t>teve</w:t>
      </w:r>
      <w:r w:rsidRPr="00FA5606">
        <w:t xml:space="preserve"> të huaj</w:t>
      </w:r>
      <w:r w:rsidR="00963672">
        <w:t>a</w:t>
      </w:r>
      <w:r w:rsidRPr="00FA5606">
        <w:t xml:space="preserve"> publike</w:t>
      </w:r>
      <w:r w:rsidR="00963672">
        <w:t>.</w:t>
      </w:r>
    </w:p>
    <w:p w:rsidR="00F97AE0" w:rsidRPr="00E97254" w:rsidRDefault="00FA5606" w:rsidP="000C0250">
      <w:pPr>
        <w:spacing w:before="120" w:after="0"/>
        <w:jc w:val="both"/>
      </w:pPr>
      <w:r w:rsidRPr="00FA5606">
        <w:rPr>
          <w:u w:val="single"/>
        </w:rPr>
        <w:t>Produkti C6.2</w:t>
      </w:r>
      <w:r w:rsidRPr="00FA5606">
        <w:t>. Nxitja e IAL-ve për pjesëmarrje në projekte ndërkombëtare të bashkëpunimit akademik</w:t>
      </w:r>
    </w:p>
    <w:p w:rsidR="00F97AE0" w:rsidRPr="00E97254" w:rsidRDefault="00FA5606" w:rsidP="000C0250">
      <w:pPr>
        <w:spacing w:after="0"/>
        <w:jc w:val="both"/>
      </w:pPr>
      <w:r w:rsidRPr="00FA5606">
        <w:t>C6.1.2/C6.2.2. Ngritja e zyrave te projekteve ne IAL-të publike.</w:t>
      </w:r>
      <w:r w:rsidRPr="00FA5606">
        <w:rPr>
          <w:i/>
        </w:rPr>
        <w:t xml:space="preserve"> Mbështetja e IAL-ve për ngritjen e zyrave për zhvillimin dhe koordinimin e projekteve, si dhe ofrimin e shërbimeve profesionale. Zyrat e projekteve do të lehtësojnë dhe mbështesin stafet akademike për zhvillimin e projekteve kërkimore shkencore dhe ndërtimin e partneriteteve ndërkombëtare.</w:t>
      </w:r>
    </w:p>
    <w:p w:rsidR="00AD1AFF" w:rsidRPr="00E97254" w:rsidRDefault="00FA5606" w:rsidP="000C0250">
      <w:pPr>
        <w:spacing w:before="120" w:after="0"/>
        <w:jc w:val="both"/>
      </w:pPr>
      <w:r w:rsidRPr="00FA5606">
        <w:rPr>
          <w:u w:val="single"/>
        </w:rPr>
        <w:t>Produkti C6.3</w:t>
      </w:r>
      <w:r w:rsidRPr="00FA5606">
        <w:t xml:space="preserve">. Ofrimi i programeve studimore ndërkombëtare në Shqipëri </w:t>
      </w:r>
    </w:p>
    <w:p w:rsidR="00AD1AFF" w:rsidRPr="00E97254" w:rsidRDefault="00FA5606" w:rsidP="000C0250">
      <w:pPr>
        <w:spacing w:after="0"/>
        <w:jc w:val="both"/>
        <w:rPr>
          <w:rFonts w:ascii="Calibri" w:hAnsi="Calibri" w:cs="Calibri"/>
          <w:i/>
          <w:spacing w:val="-3"/>
        </w:rPr>
      </w:pPr>
      <w:r w:rsidRPr="00FA5606">
        <w:t xml:space="preserve">C63.1. Mbështetja e hapjes së degëve/programeve të IAL vendase. </w:t>
      </w:r>
      <w:r w:rsidRPr="00FA5606">
        <w:rPr>
          <w:i/>
        </w:rPr>
        <w:t>Qeveria do të ofroj</w:t>
      </w:r>
      <w:r w:rsidR="00963672" w:rsidRPr="00CF4646">
        <w:rPr>
          <w:i/>
        </w:rPr>
        <w:t>ë</w:t>
      </w:r>
      <w:r w:rsidRPr="00FA5606">
        <w:rPr>
          <w:i/>
        </w:rPr>
        <w:t xml:space="preserve"> mbështetje për  IAL e huaja</w:t>
      </w:r>
      <w:r w:rsidR="00963672">
        <w:rPr>
          <w:i/>
        </w:rPr>
        <w:t xml:space="preserve"> </w:t>
      </w:r>
      <w:r w:rsidRPr="00FA5606">
        <w:rPr>
          <w:i/>
        </w:rPr>
        <w:t xml:space="preserve">që duan të hapin degët e tyre ose të ofrojnë programe studimi në territorin e Republikës së Shqipërisë. Forma kryesore e mbështetjes do të jetë dhënia në shfrytëzim falas e objekteve ose tokës publike, duke krijuar kështu mundësi të reja për studentët shqiptarë, por edhe ata nga rajoni dhe vendet tjera. </w:t>
      </w:r>
    </w:p>
    <w:p w:rsidR="00AD1AFF" w:rsidRPr="00E97254" w:rsidRDefault="00AD1AFF" w:rsidP="000C0250">
      <w:pPr>
        <w:spacing w:before="120" w:after="0"/>
        <w:jc w:val="both"/>
        <w:rPr>
          <w:u w:val="single"/>
        </w:rPr>
      </w:pPr>
    </w:p>
    <w:p w:rsidR="00F97AE0" w:rsidRPr="00E97254" w:rsidRDefault="00FA5606" w:rsidP="000C0250">
      <w:pPr>
        <w:spacing w:before="120" w:after="0"/>
        <w:jc w:val="both"/>
        <w:rPr>
          <w:rFonts w:ascii="Calibri" w:hAnsi="Calibri" w:cs="Calibri"/>
          <w:spacing w:val="-3"/>
        </w:rPr>
      </w:pPr>
      <w:r w:rsidRPr="00FA5606">
        <w:rPr>
          <w:u w:val="single"/>
        </w:rPr>
        <w:t>Produkti C6.4</w:t>
      </w:r>
      <w:r w:rsidRPr="00FA5606">
        <w:t>. Shtimi i mobilitetit të studentëve dhe personelit akademik</w:t>
      </w:r>
    </w:p>
    <w:p w:rsidR="00F97AE0" w:rsidRPr="00E97254" w:rsidRDefault="00FA5606" w:rsidP="000C0250">
      <w:pPr>
        <w:spacing w:after="0"/>
        <w:jc w:val="both"/>
      </w:pPr>
      <w:r w:rsidRPr="00FA5606">
        <w:t xml:space="preserve">C6.4.1. Dhënia e bursave  për mobilitet të stafit akademik dhe studentëve mbi baza të meritokracisë. </w:t>
      </w:r>
      <w:r w:rsidRPr="00FA5606">
        <w:rPr>
          <w:i/>
        </w:rPr>
        <w:t>Informimi i studentëve dhe stafeve akademike mbi kriteret që duhet të plotësojnë për të aplikuar për bursat e mobilitetit.</w:t>
      </w:r>
      <w:r w:rsidRPr="00FA5606">
        <w:t xml:space="preserve"> </w:t>
      </w:r>
    </w:p>
    <w:p w:rsidR="00F97AE0" w:rsidRPr="00E97254" w:rsidRDefault="00FA5606" w:rsidP="000C0250">
      <w:pPr>
        <w:spacing w:after="0"/>
        <w:jc w:val="both"/>
      </w:pPr>
      <w:r w:rsidRPr="00FA5606">
        <w:t xml:space="preserve">C6.4.2. Krijimi i parakushteve për njohjen e krediteve të mobilitetit </w:t>
      </w:r>
      <w:r w:rsidR="00A50A43">
        <w:t>nëpërmjet</w:t>
      </w:r>
      <w:r w:rsidRPr="00FA5606">
        <w:t xml:space="preserve"> përcaktimit të procedurave të qarta. </w:t>
      </w:r>
      <w:r w:rsidRPr="00FA5606">
        <w:rPr>
          <w:i/>
        </w:rPr>
        <w:t>Informimi i studentëve për procedurat/hapat që duhet të ndjekin për njohjen e krediteve të mobilitetit. Mbështetja e studentëve gjatë fazës së aplikimit dhe përzgjedhjes së lëndëve që ata duan të studiojnë gjatë mobilitetit.</w:t>
      </w:r>
      <w:r w:rsidRPr="00FA5606">
        <w:t xml:space="preserve"> </w:t>
      </w:r>
    </w:p>
    <w:p w:rsidR="00F97AE0" w:rsidRPr="00E97254" w:rsidRDefault="00FA5606" w:rsidP="000C0250">
      <w:pPr>
        <w:spacing w:after="0"/>
        <w:jc w:val="both"/>
        <w:rPr>
          <w:b/>
        </w:rPr>
      </w:pPr>
      <w:r w:rsidRPr="00FA5606">
        <w:rPr>
          <w:b/>
        </w:rPr>
        <w:t>Treguesit</w:t>
      </w:r>
    </w:p>
    <w:p w:rsidR="00F97AE0" w:rsidRPr="00E97254" w:rsidRDefault="00FA5606" w:rsidP="000C0250">
      <w:pPr>
        <w:pStyle w:val="ListParagraph"/>
        <w:numPr>
          <w:ilvl w:val="0"/>
          <w:numId w:val="39"/>
        </w:numPr>
        <w:spacing w:after="0"/>
        <w:jc w:val="both"/>
        <w:rPr>
          <w:rFonts w:ascii="Calibri" w:eastAsia="Arial" w:hAnsi="Calibri" w:cs="Calibri"/>
        </w:rPr>
      </w:pPr>
      <w:r w:rsidRPr="00FA5606">
        <w:rPr>
          <w:rFonts w:ascii="Calibri" w:eastAsia="Arial" w:hAnsi="Calibri" w:cs="Calibri"/>
        </w:rPr>
        <w:t>Numri i programeve t</w:t>
      </w:r>
      <w:r w:rsidR="00963672" w:rsidRPr="00CF4646">
        <w:rPr>
          <w:i/>
        </w:rPr>
        <w:t>ë</w:t>
      </w:r>
      <w:r w:rsidRPr="00FA5606">
        <w:rPr>
          <w:rFonts w:ascii="Calibri" w:eastAsia="Arial" w:hAnsi="Calibri" w:cs="Calibri"/>
        </w:rPr>
        <w:t xml:space="preserve"> studimit që janë rezultat i bashkëpunimit me IAL-të </w:t>
      </w:r>
      <w:r w:rsidRPr="00FA5606">
        <w:rPr>
          <w:rFonts w:eastAsia="Arial" w:cs="Calibri"/>
        </w:rPr>
        <w:t>evropiane</w:t>
      </w:r>
      <w:r w:rsidRPr="00FA5606">
        <w:rPr>
          <w:rFonts w:ascii="Calibri" w:eastAsia="Arial" w:hAnsi="Calibri" w:cs="Calibri"/>
        </w:rPr>
        <w:t xml:space="preserve"> ose zhvillohen në gjuhën angleze;</w:t>
      </w:r>
    </w:p>
    <w:p w:rsidR="005C30C2" w:rsidRPr="00E97254" w:rsidRDefault="00FA5606" w:rsidP="000C0250">
      <w:pPr>
        <w:pStyle w:val="ListParagraph"/>
        <w:numPr>
          <w:ilvl w:val="0"/>
          <w:numId w:val="39"/>
        </w:numPr>
        <w:spacing w:after="0"/>
        <w:jc w:val="both"/>
        <w:rPr>
          <w:rFonts w:ascii="Calibri" w:eastAsia="Arial" w:hAnsi="Calibri" w:cs="Calibri"/>
        </w:rPr>
      </w:pPr>
      <w:r w:rsidRPr="00FA5606">
        <w:rPr>
          <w:rFonts w:ascii="Calibri" w:eastAsia="Arial" w:hAnsi="Calibri" w:cs="Calibri"/>
        </w:rPr>
        <w:t>Numri i programeve të  IAL</w:t>
      </w:r>
      <w:r w:rsidR="00963672">
        <w:rPr>
          <w:rFonts w:ascii="Calibri" w:eastAsia="Arial" w:hAnsi="Calibri" w:cs="Calibri"/>
        </w:rPr>
        <w:t>-ve</w:t>
      </w:r>
      <w:r w:rsidRPr="00FA5606">
        <w:rPr>
          <w:rFonts w:ascii="Calibri" w:eastAsia="Arial" w:hAnsi="Calibri" w:cs="Calibri"/>
        </w:rPr>
        <w:t xml:space="preserve"> të huaja që ofrohen në Shqipëri</w:t>
      </w:r>
    </w:p>
    <w:p w:rsidR="00F97AE0" w:rsidRPr="00E97254" w:rsidRDefault="00FA5606" w:rsidP="000C0250">
      <w:pPr>
        <w:pStyle w:val="ListParagraph"/>
        <w:numPr>
          <w:ilvl w:val="0"/>
          <w:numId w:val="39"/>
        </w:numPr>
        <w:spacing w:after="0"/>
        <w:jc w:val="both"/>
        <w:rPr>
          <w:rFonts w:ascii="Calibri" w:eastAsia="Arial" w:hAnsi="Calibri" w:cs="Calibri"/>
        </w:rPr>
      </w:pPr>
      <w:r w:rsidRPr="00FA5606">
        <w:rPr>
          <w:rFonts w:ascii="Calibri" w:eastAsia="Arial" w:hAnsi="Calibri" w:cs="Calibri"/>
        </w:rPr>
        <w:lastRenderedPageBreak/>
        <w:t>Numri studentëve të huaj si përqindje e numrit total të studentëve në arsimin e lartë në Shqipëri;</w:t>
      </w:r>
      <w:r w:rsidR="004E1F53">
        <w:rPr>
          <w:rFonts w:ascii="Calibri" w:eastAsia="Arial" w:hAnsi="Calibri" w:cs="Calibri"/>
          <w:vertAlign w:val="superscript"/>
        </w:rPr>
        <w:footnoteReference w:id="17"/>
      </w:r>
      <w:r w:rsidR="004E1F53">
        <w:rPr>
          <w:rFonts w:ascii="Calibri" w:eastAsia="Arial" w:hAnsi="Calibri" w:cs="Calibri"/>
          <w:vertAlign w:val="superscript"/>
        </w:rPr>
        <w:t xml:space="preserve"> </w:t>
      </w:r>
    </w:p>
    <w:p w:rsidR="00F97AE0" w:rsidRPr="00E97254" w:rsidRDefault="00FA5606" w:rsidP="000C0250">
      <w:pPr>
        <w:pStyle w:val="ListParagraph"/>
        <w:numPr>
          <w:ilvl w:val="0"/>
          <w:numId w:val="39"/>
        </w:numPr>
        <w:spacing w:after="0"/>
        <w:jc w:val="both"/>
        <w:rPr>
          <w:rFonts w:ascii="Calibri" w:eastAsia="Arial" w:hAnsi="Calibri" w:cs="Calibri"/>
        </w:rPr>
      </w:pPr>
      <w:r w:rsidRPr="00FA5606">
        <w:rPr>
          <w:rFonts w:ascii="Calibri" w:eastAsia="Arial" w:hAnsi="Calibri" w:cs="Calibri"/>
        </w:rPr>
        <w:t xml:space="preserve">Shuma totale e buxhetit për projektet ndërkombëtare të bashkëpunimit akademik e disbursuar nga IAL-të shqiptare; </w:t>
      </w:r>
    </w:p>
    <w:p w:rsidR="00F97AE0" w:rsidRPr="00E97254" w:rsidRDefault="00FA5606" w:rsidP="000C0250">
      <w:pPr>
        <w:pStyle w:val="ListParagraph"/>
        <w:numPr>
          <w:ilvl w:val="0"/>
          <w:numId w:val="39"/>
        </w:numPr>
        <w:spacing w:after="0"/>
        <w:jc w:val="both"/>
        <w:rPr>
          <w:rFonts w:ascii="Calibri" w:eastAsia="Arial" w:hAnsi="Calibri" w:cs="Calibri"/>
        </w:rPr>
      </w:pPr>
      <w:r w:rsidRPr="00FA5606">
        <w:rPr>
          <w:rFonts w:ascii="Calibri" w:eastAsia="Arial" w:hAnsi="Calibri" w:cs="Calibri"/>
        </w:rPr>
        <w:t>Numri i muajve të mobilitetit për personelin akademik të IAL</w:t>
      </w:r>
      <w:r w:rsidR="00B14AAD">
        <w:rPr>
          <w:rFonts w:ascii="Calibri" w:eastAsia="Arial" w:hAnsi="Calibri" w:cs="Calibri"/>
        </w:rPr>
        <w:t>-ve</w:t>
      </w:r>
      <w:r w:rsidRPr="00FA5606">
        <w:rPr>
          <w:rFonts w:ascii="Calibri" w:eastAsia="Arial" w:hAnsi="Calibri" w:cs="Calibri"/>
        </w:rPr>
        <w:t xml:space="preserve"> shqiptare; </w:t>
      </w:r>
    </w:p>
    <w:p w:rsidR="00105DBA" w:rsidRPr="00E97254" w:rsidRDefault="00FA5606" w:rsidP="000C0250">
      <w:pPr>
        <w:pStyle w:val="ListParagraph"/>
        <w:numPr>
          <w:ilvl w:val="0"/>
          <w:numId w:val="39"/>
        </w:numPr>
        <w:spacing w:after="0"/>
        <w:jc w:val="both"/>
        <w:rPr>
          <w:rFonts w:ascii="Calibri" w:eastAsia="Arial" w:hAnsi="Calibri" w:cs="Calibri"/>
        </w:rPr>
      </w:pPr>
      <w:r w:rsidRPr="00FA5606">
        <w:rPr>
          <w:rFonts w:ascii="Calibri" w:eastAsia="Arial" w:hAnsi="Calibri" w:cs="Calibri"/>
        </w:rPr>
        <w:t xml:space="preserve">Numri i muajve të mobilitetit për studentët e IAL-ve shqiptare; </w:t>
      </w:r>
    </w:p>
    <w:p w:rsidR="00F97AE0" w:rsidRPr="00E97254" w:rsidRDefault="00FA5606" w:rsidP="000C0250">
      <w:pPr>
        <w:pStyle w:val="ListParagraph"/>
        <w:numPr>
          <w:ilvl w:val="0"/>
          <w:numId w:val="39"/>
        </w:numPr>
        <w:spacing w:after="0"/>
        <w:jc w:val="both"/>
        <w:rPr>
          <w:rFonts w:ascii="Calibri" w:eastAsia="Arial" w:hAnsi="Calibri" w:cs="Calibri"/>
        </w:rPr>
      </w:pPr>
      <w:r w:rsidRPr="00FA5606">
        <w:rPr>
          <w:rFonts w:ascii="Calibri" w:eastAsia="Arial" w:hAnsi="Calibri" w:cs="Calibri"/>
        </w:rPr>
        <w:t>Numri i shqiptarëve që studiojnë jashtë vendit si përqindje e numrit total të studentëve në arsimin e lartë në Shqipëri (UNESCO).</w:t>
      </w:r>
      <w:r w:rsidRPr="00FA5606">
        <w:rPr>
          <w:vertAlign w:val="superscript"/>
        </w:rPr>
        <w:footnoteReference w:id="18"/>
      </w:r>
    </w:p>
    <w:p w:rsidR="00383110" w:rsidRPr="00E97254" w:rsidRDefault="00FA5606" w:rsidP="000C0250">
      <w:pPr>
        <w:pStyle w:val="Heading3"/>
        <w:spacing w:after="120"/>
        <w:jc w:val="both"/>
      </w:pPr>
      <w:bookmarkStart w:id="135" w:name="_Toc66802026"/>
      <w:r w:rsidRPr="00FA5606">
        <w:t>Objektivi specifik C7: Shërbimet digjitale</w:t>
      </w:r>
      <w:bookmarkEnd w:id="135"/>
    </w:p>
    <w:p w:rsidR="00D54ECB" w:rsidRPr="00E97254" w:rsidRDefault="003A44C5" w:rsidP="000C0250">
      <w:pPr>
        <w:spacing w:after="0"/>
        <w:jc w:val="both"/>
        <w:rPr>
          <w:color w:val="244061"/>
        </w:rPr>
      </w:pPr>
      <w:r>
        <w:rPr>
          <w:noProof/>
        </w:rPr>
        <mc:AlternateContent>
          <mc:Choice Requires="wps">
            <w:drawing>
              <wp:inline distT="0" distB="0" distL="0" distR="0">
                <wp:extent cx="5943600" cy="302895"/>
                <wp:effectExtent l="12700" t="12700" r="0" b="1905"/>
                <wp:docPr id="1"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43600" cy="302895"/>
                        </a:xfrm>
                        <a:prstGeom prst="rect">
                          <a:avLst/>
                        </a:prstGeom>
                        <a:solidFill>
                          <a:srgbClr val="EBF1DE"/>
                        </a:solidFill>
                        <a:ln w="25400">
                          <a:solidFill>
                            <a:srgbClr val="8064A2"/>
                          </a:solidFill>
                          <a:miter lim="800000"/>
                          <a:headEnd/>
                          <a:tailEnd/>
                        </a:ln>
                      </wps:spPr>
                      <wps:txbx>
                        <w:txbxContent>
                          <w:p w:rsidR="00753C65" w:rsidRPr="003D71F2" w:rsidRDefault="00753C65" w:rsidP="00853CF3">
                            <w:pPr>
                              <w:pStyle w:val="Default"/>
                              <w:rPr>
                                <w:color w:val="FF0000"/>
                                <w:sz w:val="22"/>
                                <w:szCs w:val="22"/>
                              </w:rPr>
                            </w:pPr>
                            <w:r w:rsidRPr="00383110">
                              <w:t>Avancimi i infrastrukturës së TIK-ut dhe i shërbimeve digjitale për IAL-të publike</w:t>
                            </w:r>
                            <w:r>
                              <w:t>.</w:t>
                            </w:r>
                          </w:p>
                        </w:txbxContent>
                      </wps:txbx>
                      <wps:bodyPr rot="0" vert="horz" wrap="square" lIns="91440" tIns="45720" rIns="91440" bIns="45720" anchor="t" anchorCtr="0" upright="1">
                        <a:spAutoFit/>
                      </wps:bodyPr>
                    </wps:wsp>
                  </a:graphicData>
                </a:graphic>
              </wp:inline>
            </w:drawing>
          </mc:Choice>
          <mc:Fallback>
            <w:pict>
              <v:shape id="Text Box 37" o:spid="_x0000_s1077" type="#_x0000_t202" style="width:468pt;height:23.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" fillcolor="#ebf1de" strokecolor="#8064a2" strokeweight="2pt">
                <v:path arrowok="t"/>
                <v:textbox style="mso-fit-shape-to-text:t">
                  <w:txbxContent>
                    <w:p w:rsidR="00753C65" w:rsidRPr="003D71F2" w:rsidRDefault="00753C65" w:rsidP="00853CF3">
                      <w:pPr>
                        <w:pStyle w:val="Default"/>
                        <w:rPr>
                          <w:color w:val="FF0000"/>
                          <w:sz w:val="22"/>
                          <w:szCs w:val="22"/>
                        </w:rPr>
                      </w:pPr>
                      <w:r w:rsidRPr="00383110">
                        <w:t>Avancimi i infrastrukturës së TIK-ut dhe i shërbimeve digjitale për IAL-të publike</w:t>
                      </w:r>
                      <w:r>
                        <w:t>.</w:t>
                      </w:r>
                    </w:p>
                  </w:txbxContent>
                </v:textbox>
                <w10:anchorlock/>
              </v:shape>
            </w:pict>
          </mc:Fallback>
        </mc:AlternateContent>
      </w:r>
    </w:p>
    <w:p w:rsidR="00F676E3" w:rsidRPr="00E97254" w:rsidRDefault="005C4583" w:rsidP="000C0250">
      <w:pPr>
        <w:spacing w:after="0"/>
        <w:jc w:val="both"/>
      </w:pPr>
      <w:r w:rsidRPr="00E97254">
        <w:t>Shfrytëzimi i teknologjisë së informacionit dhe komunikimit ka ndikuar dukshëm në avancimin e arsimit të lartë, si nga aspekti i përmbajtjes së programeve studimore, ashtu edhe i mënyrës së studimit. Kështu, falë TIK-ut</w:t>
      </w:r>
      <w:r w:rsidR="00B14AAD">
        <w:t>,</w:t>
      </w:r>
      <w:r w:rsidRPr="00E97254">
        <w:t xml:space="preserve"> studentët sot kanë </w:t>
      </w:r>
      <w:r w:rsidR="00FA5606" w:rsidRPr="00FA5606">
        <w:t>akses në materiale mësimore cilësore, ndërsa programet e studimit në distancë dhe ato të kombinuara ofrojnë mundësi për fleksibilitet maksimal sa i përket impenjimeve kohore. Po ashtu, TIK-u ka ndikuar edhe në përmirësimin e shërbimeve të tjera për studentë</w:t>
      </w:r>
      <w:r w:rsidR="00B14AAD">
        <w:t>t</w:t>
      </w:r>
      <w:r w:rsidR="00FA5606" w:rsidRPr="00FA5606">
        <w:t xml:space="preserve"> siç janë ato të sekretarisë. Prandaj, është me rëndësi që infrastruktura e TIK-ut dhe shërbimet digjitale në arsimin e lartë të avancohen në vazhdimësi. </w:t>
      </w:r>
    </w:p>
    <w:p w:rsidR="00F676E3" w:rsidRPr="00E97254" w:rsidRDefault="00FA5606" w:rsidP="000C0250">
      <w:pPr>
        <w:spacing w:after="0"/>
        <w:jc w:val="both"/>
      </w:pPr>
      <w:r w:rsidRPr="00FA5606">
        <w:rPr>
          <w:b/>
        </w:rPr>
        <w:t xml:space="preserve">Sfidat kryesore </w:t>
      </w:r>
      <w:r w:rsidRPr="00FA5606">
        <w:t>për këtë objektiv specifik</w:t>
      </w:r>
      <w:r w:rsidRPr="00FA5606">
        <w:rPr>
          <w:b/>
        </w:rPr>
        <w:t xml:space="preserve"> </w:t>
      </w:r>
      <w:r w:rsidRPr="00FA5606">
        <w:t xml:space="preserve">dalin nga </w:t>
      </w:r>
      <w:r w:rsidR="00DC4C19">
        <w:t xml:space="preserve">analiza e situatës </w:t>
      </w:r>
      <w:r w:rsidRPr="00FA5606">
        <w:t>e dhënë në seksionin 4.4.5:</w:t>
      </w:r>
    </w:p>
    <w:p w:rsidR="00004F86" w:rsidRPr="00E97254" w:rsidRDefault="00FA5606" w:rsidP="000C0250">
      <w:pPr>
        <w:numPr>
          <w:ilvl w:val="0"/>
          <w:numId w:val="24"/>
        </w:numPr>
        <w:pBdr>
          <w:top w:val="nil"/>
          <w:left w:val="nil"/>
          <w:bottom w:val="nil"/>
          <w:right w:val="nil"/>
          <w:between w:val="nil"/>
        </w:pBdr>
        <w:spacing w:after="0"/>
        <w:jc w:val="both"/>
      </w:pPr>
      <w:r w:rsidRPr="00FA5606">
        <w:t xml:space="preserve">Përdorimi i pamjaftueshëm i TIK-ut në arsimin e lartë. Kjo mund të shihet nga </w:t>
      </w:r>
      <w:r w:rsidR="00B14AAD">
        <w:rPr>
          <w:rFonts w:ascii="Calibri" w:hAnsi="Calibri" w:cs="Calibri"/>
        </w:rPr>
        <w:t>ueb-</w:t>
      </w:r>
      <w:r w:rsidRPr="00FA5606">
        <w:rPr>
          <w:rFonts w:ascii="Calibri" w:hAnsi="Calibri" w:cs="Calibri"/>
        </w:rPr>
        <w:t>faqet e institucioneve të arsimit të lartë që, të shumtën e rasteve nuk përmbajnë informacionin e duhur për punën e institucionit, ndërkohë që shërbimet digjitale për studentë janë të kufizuara.</w:t>
      </w:r>
    </w:p>
    <w:p w:rsidR="00004F86" w:rsidRPr="00E97254" w:rsidRDefault="00FA5606" w:rsidP="000C0250">
      <w:pPr>
        <w:numPr>
          <w:ilvl w:val="0"/>
          <w:numId w:val="24"/>
        </w:numPr>
        <w:pBdr>
          <w:top w:val="nil"/>
          <w:left w:val="nil"/>
          <w:bottom w:val="nil"/>
          <w:right w:val="nil"/>
          <w:between w:val="nil"/>
        </w:pBdr>
        <w:spacing w:after="0"/>
        <w:jc w:val="both"/>
      </w:pPr>
      <w:r w:rsidRPr="00FA5606">
        <w:t xml:space="preserve">Mungesa e infrastrukturës adekuate harduerike dhe softuerike. Infrastruktura ekzistuese harduerike dhe softuerike në institucionet publike të arsimit të lartë nuk mundëson përdorimin efektiv të TIK-ut për qëllime mësimore dhe kërkimore. </w:t>
      </w:r>
    </w:p>
    <w:p w:rsidR="00586A4E" w:rsidRPr="00E97254" w:rsidRDefault="00FA5606" w:rsidP="000C0250">
      <w:pPr>
        <w:numPr>
          <w:ilvl w:val="0"/>
          <w:numId w:val="24"/>
        </w:numPr>
        <w:pBdr>
          <w:top w:val="nil"/>
          <w:left w:val="nil"/>
          <w:bottom w:val="nil"/>
          <w:right w:val="nil"/>
          <w:between w:val="nil"/>
        </w:pBdr>
        <w:spacing w:after="0"/>
        <w:jc w:val="both"/>
      </w:pPr>
      <w:r w:rsidRPr="00FA5606">
        <w:t xml:space="preserve">Mungesë e programeve të studimit nga distanca dhe programeve të </w:t>
      </w:r>
      <w:r w:rsidR="00D963DF">
        <w:t>t</w:t>
      </w:r>
      <w:r w:rsidR="00D963DF" w:rsidRPr="00C36C5E">
        <w:t>ë</w:t>
      </w:r>
      <w:r w:rsidR="00D963DF">
        <w:t xml:space="preserve"> nx</w:t>
      </w:r>
      <w:r w:rsidR="00D963DF" w:rsidRPr="00C36C5E">
        <w:t>ë</w:t>
      </w:r>
      <w:r w:rsidR="00D963DF">
        <w:t>nit</w:t>
      </w:r>
      <w:r w:rsidRPr="00FA5606">
        <w:t xml:space="preserve"> të</w:t>
      </w:r>
      <w:r w:rsidR="006429F1">
        <w:rPr>
          <w:i/>
        </w:rPr>
        <w:t xml:space="preserve"> </w:t>
      </w:r>
      <w:r w:rsidRPr="00FA5606">
        <w:t xml:space="preserve">kombinuar (“blended learning”). Për momentin, në Shqipëri nuk ekziston asnjë program mësimor i arsimit të lartë që ofrohet nga distanca ose në formë të kombinuar. Ndërkaq, mësimi nga distanca gjatë vitit 2020 është realizuar në formë plotësisht sinkrone, </w:t>
      </w:r>
      <w:r w:rsidR="00A50A43">
        <w:t>nëpërmjet</w:t>
      </w:r>
      <w:r w:rsidRPr="00FA5606">
        <w:t xml:space="preserve"> leksioneve në kohë reale. </w:t>
      </w:r>
    </w:p>
    <w:p w:rsidR="00F676E3" w:rsidRPr="00E97254" w:rsidRDefault="00FA5606" w:rsidP="000C0250">
      <w:pPr>
        <w:numPr>
          <w:ilvl w:val="0"/>
          <w:numId w:val="3"/>
        </w:numPr>
        <w:pBdr>
          <w:top w:val="nil"/>
          <w:left w:val="nil"/>
          <w:bottom w:val="nil"/>
          <w:right w:val="nil"/>
          <w:between w:val="nil"/>
        </w:pBdr>
        <w:spacing w:after="0"/>
        <w:jc w:val="both"/>
      </w:pPr>
      <w:r w:rsidRPr="00FA5606">
        <w:t xml:space="preserve">Kompetenca digjitale e studentëve dhe pedagogëve. </w:t>
      </w:r>
      <w:r w:rsidRPr="00FA5606">
        <w:rPr>
          <w:rFonts w:ascii="Calibri" w:hAnsi="Calibri" w:cs="Calibri"/>
        </w:rPr>
        <w:t>Rezultatet e një sondazhi të zhvilluar me 14,000 studentë shqiptarë tregojnë se vetëm 22% e tyre kanë laptop</w:t>
      </w:r>
      <w:r w:rsidR="00B14AAD">
        <w:rPr>
          <w:rFonts w:ascii="Calibri" w:hAnsi="Calibri" w:cs="Calibri"/>
        </w:rPr>
        <w:t>, gj</w:t>
      </w:r>
      <w:r w:rsidR="00B14AAD" w:rsidRPr="00CF4646">
        <w:rPr>
          <w:rFonts w:ascii="Calibri" w:hAnsi="Calibri" w:cs="Calibri"/>
        </w:rPr>
        <w:t>ë</w:t>
      </w:r>
      <w:r w:rsidRPr="00FA5606">
        <w:rPr>
          <w:rFonts w:ascii="Calibri" w:hAnsi="Calibri" w:cs="Calibri"/>
        </w:rPr>
        <w:t xml:space="preserve"> që flet për shfrytëzim të kufizuar të mundësive që ofron teknologjia. Kompanitë private nga fusha e TIK-ut e shohin mungesën e aftësive digjitale të avancuara si pengesë për rritjen e tyre </w:t>
      </w:r>
      <w:sdt>
        <w:sdtPr>
          <w:rPr>
            <w:rFonts w:ascii="Calibri" w:hAnsi="Calibri" w:cs="Calibri"/>
          </w:rPr>
          <w:id w:val="1267816295"/>
          <w:citation/>
        </w:sdtPr>
        <w:sdtEndPr/>
        <w:sdtContent>
          <w:r w:rsidR="00EC56B7" w:rsidRPr="00E97254">
            <w:rPr>
              <w:rFonts w:ascii="Calibri" w:hAnsi="Calibri" w:cs="Calibri"/>
            </w:rPr>
            <w:fldChar w:fldCharType="begin"/>
          </w:r>
          <w:r w:rsidRPr="00FA5606">
            <w:rPr>
              <w:rFonts w:ascii="Calibri" w:hAnsi="Calibri" w:cs="Calibri"/>
            </w:rPr>
            <w:instrText xml:space="preserve"> CITATION RCC18 \l 1033 </w:instrText>
          </w:r>
          <w:r w:rsidR="00EC56B7" w:rsidRPr="00E97254">
            <w:rPr>
              <w:rFonts w:ascii="Calibri" w:hAnsi="Calibri" w:cs="Calibri"/>
            </w:rPr>
            <w:fldChar w:fldCharType="separate"/>
          </w:r>
          <w:r w:rsidR="00724BCC" w:rsidRPr="00E97254">
            <w:rPr>
              <w:rFonts w:ascii="Calibri" w:hAnsi="Calibri" w:cs="Calibri"/>
            </w:rPr>
            <w:t>[81]</w:t>
          </w:r>
          <w:r w:rsidR="00EC56B7" w:rsidRPr="00E97254">
            <w:rPr>
              <w:rFonts w:ascii="Calibri" w:hAnsi="Calibri" w:cs="Calibri"/>
            </w:rPr>
            <w:fldChar w:fldCharType="end"/>
          </w:r>
        </w:sdtContent>
      </w:sdt>
      <w:r w:rsidR="00004F86" w:rsidRPr="00E97254">
        <w:rPr>
          <w:rFonts w:ascii="Calibri" w:hAnsi="Calibri" w:cs="Calibri"/>
        </w:rPr>
        <w:t xml:space="preserve">. </w:t>
      </w:r>
    </w:p>
    <w:p w:rsidR="00A41EE1" w:rsidRPr="00E97254" w:rsidRDefault="00A41EE1" w:rsidP="000C0250">
      <w:pPr>
        <w:spacing w:after="0"/>
        <w:jc w:val="both"/>
        <w:rPr>
          <w:color w:val="434343"/>
        </w:rPr>
      </w:pPr>
    </w:p>
    <w:p w:rsidR="00F676E3" w:rsidRPr="00E97254" w:rsidRDefault="00FA5606" w:rsidP="000C0250">
      <w:pPr>
        <w:spacing w:after="0"/>
        <w:jc w:val="both"/>
      </w:pPr>
      <w:r w:rsidRPr="00FA5606">
        <w:rPr>
          <w:b/>
        </w:rPr>
        <w:lastRenderedPageBreak/>
        <w:t>Produktet/Rezultatet e pritshme</w:t>
      </w:r>
      <w:r w:rsidRPr="00FA5606">
        <w:t xml:space="preserve"> </w:t>
      </w:r>
      <w:r w:rsidRPr="00FA5606">
        <w:rPr>
          <w:b/>
        </w:rPr>
        <w:t>dhe masat.</w:t>
      </w:r>
      <w:r w:rsidRPr="00FA5606">
        <w:rPr>
          <w:b/>
        </w:rPr>
        <w:softHyphen/>
      </w:r>
      <w:r w:rsidRPr="00FA5606">
        <w:t>- Në vijim janë dhënë produktet dhe masat e ndërlidhura me objektivin specifik C7.</w:t>
      </w:r>
    </w:p>
    <w:p w:rsidR="00F676E3" w:rsidRPr="00E97254" w:rsidRDefault="00F676E3" w:rsidP="000C0250">
      <w:pPr>
        <w:pBdr>
          <w:top w:val="nil"/>
          <w:left w:val="nil"/>
          <w:bottom w:val="nil"/>
          <w:right w:val="nil"/>
          <w:between w:val="nil"/>
        </w:pBdr>
        <w:spacing w:after="0"/>
        <w:jc w:val="both"/>
        <w:rPr>
          <w:u w:val="single"/>
        </w:rPr>
      </w:pPr>
    </w:p>
    <w:p w:rsidR="007C4DEA" w:rsidRPr="00E97254" w:rsidRDefault="00FA5606" w:rsidP="000C0250">
      <w:pPr>
        <w:pBdr>
          <w:top w:val="nil"/>
          <w:left w:val="nil"/>
          <w:bottom w:val="nil"/>
          <w:right w:val="nil"/>
          <w:between w:val="nil"/>
        </w:pBdr>
        <w:spacing w:after="0"/>
        <w:jc w:val="both"/>
      </w:pPr>
      <w:r w:rsidRPr="00FA5606">
        <w:rPr>
          <w:u w:val="single"/>
        </w:rPr>
        <w:t>Produkti C7.1</w:t>
      </w:r>
      <w:r w:rsidRPr="00FA5606">
        <w:t xml:space="preserve">. Përmirësimi i infrastrukturës së TIK-ut në IAL dhe </w:t>
      </w:r>
      <w:r w:rsidR="00B14AAD">
        <w:t xml:space="preserve">i </w:t>
      </w:r>
      <w:r w:rsidRPr="00FA5606">
        <w:t>vi</w:t>
      </w:r>
      <w:r w:rsidR="00B14AAD">
        <w:t>z</w:t>
      </w:r>
      <w:r w:rsidRPr="00FA5606">
        <w:t xml:space="preserve">ibilitetit në </w:t>
      </w:r>
      <w:r w:rsidR="00B14AAD">
        <w:t>u</w:t>
      </w:r>
      <w:r w:rsidRPr="00FA5606">
        <w:t>eb</w:t>
      </w:r>
    </w:p>
    <w:p w:rsidR="00F676E3" w:rsidRPr="00E97254" w:rsidRDefault="00FA5606" w:rsidP="000C0250">
      <w:pPr>
        <w:spacing w:before="120" w:after="0"/>
        <w:jc w:val="both"/>
        <w:rPr>
          <w:color w:val="000000"/>
        </w:rPr>
      </w:pPr>
      <w:r w:rsidRPr="00FA5606">
        <w:rPr>
          <w:color w:val="000000"/>
        </w:rPr>
        <w:t>C7.1.1. Investime në përmirësimin e infrastrukturës së TIK-ut në AL.</w:t>
      </w:r>
      <w:r w:rsidRPr="00FA5606">
        <w:rPr>
          <w:color w:val="FF0000"/>
        </w:rPr>
        <w:t xml:space="preserve"> </w:t>
      </w:r>
      <w:r w:rsidRPr="00FA5606">
        <w:rPr>
          <w:i/>
        </w:rPr>
        <w:t>Mbështetje e veçantë do të ofrohet për përmirësimin e infrastrukturës së fakulteteve të teknologjisë dhe informacionit, përfshirë programet e mësuesisë në fushën e TIK-ut.</w:t>
      </w:r>
    </w:p>
    <w:p w:rsidR="00F676E3" w:rsidRPr="00E97254" w:rsidRDefault="00FA5606" w:rsidP="000C0250">
      <w:pPr>
        <w:spacing w:after="0"/>
        <w:jc w:val="both"/>
        <w:rPr>
          <w:i/>
          <w:color w:val="000000"/>
        </w:rPr>
      </w:pPr>
      <w:r w:rsidRPr="00FA5606">
        <w:rPr>
          <w:color w:val="000000"/>
        </w:rPr>
        <w:t>C7.1.2. Ofrimi i ndihmës IAL-ve për hartimin e politikave për zhvillimin dhe mirëmbajtjen e faqeve të tyre</w:t>
      </w:r>
      <w:r w:rsidR="00843C5F">
        <w:rPr>
          <w:color w:val="000000"/>
        </w:rPr>
        <w:t xml:space="preserve"> t</w:t>
      </w:r>
      <w:r w:rsidR="00843C5F" w:rsidRPr="006770AF">
        <w:rPr>
          <w:color w:val="000000"/>
        </w:rPr>
        <w:t>ë</w:t>
      </w:r>
      <w:r w:rsidR="00843C5F">
        <w:rPr>
          <w:color w:val="000000"/>
        </w:rPr>
        <w:t xml:space="preserve"> internetit</w:t>
      </w:r>
      <w:r w:rsidRPr="00FA5606">
        <w:rPr>
          <w:color w:val="000000"/>
        </w:rPr>
        <w:t xml:space="preserve">. </w:t>
      </w:r>
      <w:r w:rsidRPr="00FA5606">
        <w:rPr>
          <w:i/>
          <w:color w:val="000000"/>
        </w:rPr>
        <w:t>RASH</w:t>
      </w:r>
      <w:r w:rsidR="00B14AAD">
        <w:rPr>
          <w:i/>
          <w:color w:val="000000"/>
        </w:rPr>
        <w:t>-i</w:t>
      </w:r>
      <w:r w:rsidRPr="00FA5606">
        <w:rPr>
          <w:i/>
          <w:color w:val="000000"/>
        </w:rPr>
        <w:t>, në bashkëpunim me AKSHI</w:t>
      </w:r>
      <w:r w:rsidR="00B14AAD">
        <w:rPr>
          <w:i/>
          <w:color w:val="000000"/>
        </w:rPr>
        <w:t>-n</w:t>
      </w:r>
      <w:r w:rsidRPr="00FA5606">
        <w:rPr>
          <w:i/>
          <w:color w:val="000000"/>
        </w:rPr>
        <w:t>, do t’</w:t>
      </w:r>
      <w:r w:rsidR="00B14AAD">
        <w:rPr>
          <w:i/>
          <w:color w:val="000000"/>
        </w:rPr>
        <w:t>u</w:t>
      </w:r>
      <w:r w:rsidRPr="00FA5606">
        <w:rPr>
          <w:i/>
          <w:color w:val="000000"/>
        </w:rPr>
        <w:t xml:space="preserve"> ofrojë institucioneve të arsimit të lartë ndihmë për hartimin e politikave për zhvillimin dhe mirëmbajtjen e </w:t>
      </w:r>
      <w:r w:rsidR="00843C5F" w:rsidRPr="006770AF">
        <w:rPr>
          <w:color w:val="000000"/>
        </w:rPr>
        <w:t>faqeve të tyre</w:t>
      </w:r>
      <w:r w:rsidR="00843C5F">
        <w:rPr>
          <w:color w:val="000000"/>
        </w:rPr>
        <w:t xml:space="preserve"> t</w:t>
      </w:r>
      <w:r w:rsidR="00843C5F" w:rsidRPr="006770AF">
        <w:rPr>
          <w:color w:val="000000"/>
        </w:rPr>
        <w:t>ë</w:t>
      </w:r>
      <w:r w:rsidR="00843C5F">
        <w:rPr>
          <w:color w:val="000000"/>
        </w:rPr>
        <w:t xml:space="preserve"> internetit</w:t>
      </w:r>
      <w:r w:rsidRPr="00FA5606">
        <w:rPr>
          <w:i/>
          <w:color w:val="000000"/>
        </w:rPr>
        <w:t xml:space="preserve">, në emër të shtimit të transparencës dhe të vizibilitetit në Internet. </w:t>
      </w:r>
    </w:p>
    <w:p w:rsidR="00F676E3" w:rsidRPr="00E97254" w:rsidRDefault="00FA5606" w:rsidP="000C0250">
      <w:pPr>
        <w:pBdr>
          <w:top w:val="nil"/>
          <w:left w:val="nil"/>
          <w:bottom w:val="nil"/>
          <w:right w:val="nil"/>
          <w:between w:val="nil"/>
        </w:pBdr>
        <w:spacing w:after="0"/>
        <w:jc w:val="both"/>
        <w:rPr>
          <w:i/>
        </w:rPr>
      </w:pPr>
      <w:r w:rsidRPr="00FA5606">
        <w:rPr>
          <w:u w:val="single"/>
        </w:rPr>
        <w:t>Produkti C7.2</w:t>
      </w:r>
      <w:r w:rsidRPr="00FA5606">
        <w:t>. Nxitja e IAL</w:t>
      </w:r>
      <w:r w:rsidR="00B14AAD">
        <w:t>-ve</w:t>
      </w:r>
      <w:r w:rsidRPr="00FA5606">
        <w:t xml:space="preserve"> për të organizuar mësimin në distancë dhe </w:t>
      </w:r>
      <w:r w:rsidR="00D963DF">
        <w:t>t</w:t>
      </w:r>
      <w:r w:rsidR="00D963DF" w:rsidRPr="00C36C5E">
        <w:t>ë</w:t>
      </w:r>
      <w:r w:rsidR="00D963DF">
        <w:t xml:space="preserve"> nx</w:t>
      </w:r>
      <w:r w:rsidR="00D963DF" w:rsidRPr="00C36C5E">
        <w:t>ë</w:t>
      </w:r>
      <w:r w:rsidR="00D963DF">
        <w:t>nin</w:t>
      </w:r>
      <w:r w:rsidR="006429F1">
        <w:t xml:space="preserve"> e kombinuar</w:t>
      </w:r>
      <w:r w:rsidRPr="00FA5606">
        <w:t xml:space="preserve">. </w:t>
      </w:r>
    </w:p>
    <w:p w:rsidR="00C64E8F" w:rsidRPr="00E97254" w:rsidRDefault="00FA5606" w:rsidP="000C0250">
      <w:pPr>
        <w:spacing w:after="0"/>
        <w:jc w:val="both"/>
        <w:rPr>
          <w:i/>
          <w:color w:val="000000"/>
        </w:rPr>
      </w:pPr>
      <w:r w:rsidRPr="00FA5606">
        <w:rPr>
          <w:color w:val="000000"/>
        </w:rPr>
        <w:t xml:space="preserve">C7.2.1. Sigurimi i aksesit në ndonjë nga platformat LMS për IAL-të publike. </w:t>
      </w:r>
      <w:r w:rsidRPr="00FA5606">
        <w:rPr>
          <w:i/>
          <w:color w:val="000000"/>
        </w:rPr>
        <w:t>Rrjeti Akademik Shqiptar do të krijojë mundësitë për akses në ndonjë nga platformat LMS për IAL-të publike, duke krijuar kushte për organizimin e mësimit në distancë. Vendimi për platformën m</w:t>
      </w:r>
      <w:r w:rsidR="00B14AAD" w:rsidRPr="00CF4646">
        <w:rPr>
          <w:i/>
          <w:color w:val="000000"/>
        </w:rPr>
        <w:t>ë</w:t>
      </w:r>
      <w:r w:rsidRPr="00FA5606">
        <w:rPr>
          <w:i/>
          <w:color w:val="000000"/>
        </w:rPr>
        <w:t xml:space="preserve"> të përshtatshme do të merret pas një analize të hollësishme të nevojave, por preferohet që platformat të jenë pa pagesë, siç është rasti me Moodle, G Suite for Education, etj. Po ashtu, duhet të shqyrtohen ndryshimet e nevojshme në kuadrin ligjor për të legjitimuar mësimin në distancë dhe </w:t>
      </w:r>
      <w:r w:rsidR="00D963DF">
        <w:rPr>
          <w:i/>
          <w:color w:val="000000"/>
        </w:rPr>
        <w:t>t</w:t>
      </w:r>
      <w:r w:rsidR="00D963DF" w:rsidRPr="00C36C5E">
        <w:t>ë</w:t>
      </w:r>
      <w:r w:rsidR="00D963DF">
        <w:t xml:space="preserve"> nx</w:t>
      </w:r>
      <w:r w:rsidR="00D963DF" w:rsidRPr="00C36C5E">
        <w:t>ë</w:t>
      </w:r>
      <w:r w:rsidR="00D963DF">
        <w:t>nin</w:t>
      </w:r>
      <w:r w:rsidR="006429F1">
        <w:t xml:space="preserve"> e kombinuar.</w:t>
      </w:r>
      <w:r w:rsidR="00B14AAD">
        <w:rPr>
          <w:i/>
          <w:color w:val="000000"/>
        </w:rPr>
        <w:t xml:space="preserve"> </w:t>
      </w:r>
    </w:p>
    <w:p w:rsidR="00F676E3" w:rsidRPr="00E97254" w:rsidRDefault="00FA5606" w:rsidP="000C0250">
      <w:pPr>
        <w:spacing w:after="0"/>
        <w:jc w:val="both"/>
        <w:rPr>
          <w:i/>
          <w:color w:val="000000"/>
        </w:rPr>
      </w:pPr>
      <w:r w:rsidRPr="00FA5606">
        <w:rPr>
          <w:color w:val="000000"/>
        </w:rPr>
        <w:t xml:space="preserve">C7.2.2. Trajnim i stafit akademik për shfrytëzimin e platformave LMS. </w:t>
      </w:r>
      <w:r w:rsidRPr="00FA5606">
        <w:rPr>
          <w:i/>
          <w:color w:val="000000"/>
        </w:rPr>
        <w:t xml:space="preserve">Pas përzgjedhjes së platformës LMS do të mbahen trajnime për stafin akademik për shfrytëzimin e platformës. </w:t>
      </w:r>
    </w:p>
    <w:p w:rsidR="00F676E3" w:rsidRPr="00E97254" w:rsidRDefault="00FA5606" w:rsidP="000C0250">
      <w:pPr>
        <w:pBdr>
          <w:top w:val="nil"/>
          <w:left w:val="nil"/>
          <w:bottom w:val="nil"/>
          <w:right w:val="nil"/>
          <w:between w:val="nil"/>
        </w:pBdr>
        <w:spacing w:after="0"/>
        <w:jc w:val="both"/>
      </w:pPr>
      <w:r w:rsidRPr="00FA5606">
        <w:rPr>
          <w:u w:val="single"/>
        </w:rPr>
        <w:t>Produkti C7.3</w:t>
      </w:r>
      <w:r w:rsidRPr="00FA5606">
        <w:t>. Ofrimi i shërbimeve digjitale cilësore për studentë</w:t>
      </w:r>
    </w:p>
    <w:p w:rsidR="00F676E3" w:rsidRPr="00E97254" w:rsidRDefault="00FA5606" w:rsidP="000C0250">
      <w:pPr>
        <w:spacing w:after="0"/>
        <w:jc w:val="both"/>
        <w:rPr>
          <w:i/>
          <w:color w:val="000000"/>
        </w:rPr>
      </w:pPr>
      <w:r w:rsidRPr="00FA5606">
        <w:rPr>
          <w:color w:val="000000"/>
        </w:rPr>
        <w:t xml:space="preserve">C7.3.1. Sigurimi i aksesit në biblioteka digjitale. </w:t>
      </w:r>
      <w:r w:rsidRPr="00FA5606">
        <w:rPr>
          <w:i/>
          <w:color w:val="000000"/>
        </w:rPr>
        <w:t>RASH</w:t>
      </w:r>
      <w:r w:rsidR="00B14AAD">
        <w:rPr>
          <w:i/>
          <w:color w:val="000000"/>
        </w:rPr>
        <w:t>-i</w:t>
      </w:r>
      <w:r w:rsidRPr="00FA5606">
        <w:rPr>
          <w:i/>
          <w:color w:val="000000"/>
        </w:rPr>
        <w:t xml:space="preserve"> do të </w:t>
      </w:r>
      <w:r w:rsidR="00B14AAD">
        <w:rPr>
          <w:i/>
          <w:color w:val="000000"/>
        </w:rPr>
        <w:t>krijoj</w:t>
      </w:r>
      <w:r w:rsidR="00B14AAD" w:rsidRPr="00CF4646">
        <w:rPr>
          <w:i/>
          <w:color w:val="000000"/>
        </w:rPr>
        <w:t>ë</w:t>
      </w:r>
      <w:r w:rsidRPr="00FA5606">
        <w:rPr>
          <w:i/>
          <w:color w:val="000000"/>
        </w:rPr>
        <w:t xml:space="preserve"> kontakt me ofruesit ndërkombëtarë të bibliotekave digjitale për të shqyrtuar opsionet e abonimit në bibliotekat që sjellin më së shumti material</w:t>
      </w:r>
      <w:r w:rsidR="00B14AAD">
        <w:rPr>
          <w:i/>
          <w:color w:val="000000"/>
        </w:rPr>
        <w:t>e</w:t>
      </w:r>
      <w:r w:rsidRPr="00FA5606">
        <w:rPr>
          <w:i/>
          <w:color w:val="000000"/>
        </w:rPr>
        <w:t xml:space="preserve"> të nevojshme për studentët shqiptarë. Aksesi do të jetë falas për të gjithë studentët e institucioneve publike të arsimit të lartë. </w:t>
      </w:r>
      <w:r w:rsidR="00B14AAD">
        <w:rPr>
          <w:i/>
          <w:color w:val="000000"/>
        </w:rPr>
        <w:t xml:space="preserve"> </w:t>
      </w:r>
    </w:p>
    <w:p w:rsidR="00F676E3" w:rsidRPr="00E97254" w:rsidRDefault="00FA5606" w:rsidP="000C0250">
      <w:pPr>
        <w:spacing w:after="0"/>
        <w:jc w:val="both"/>
        <w:rPr>
          <w:i/>
          <w:color w:val="000000"/>
        </w:rPr>
      </w:pPr>
      <w:r w:rsidRPr="00FA5606">
        <w:rPr>
          <w:color w:val="000000"/>
        </w:rPr>
        <w:t xml:space="preserve">C7.3.2. Mbështetje për studentët për blerjen e pajisjeve personale. </w:t>
      </w:r>
      <w:r w:rsidRPr="00FA5606">
        <w:rPr>
          <w:i/>
          <w:color w:val="000000"/>
        </w:rPr>
        <w:t>Meqë studentët e IAL-ve publike janë të pajisur me kartën studentore, do të merren masa që të lidhen kontrata me furnizuesit e pajisjeve të TIK-ut për blerjen e pajisjeve personale për studentë me kushte më të përshtatshme, përfshirë uljen e çmimeve dhe pagesën me këste.</w:t>
      </w:r>
    </w:p>
    <w:p w:rsidR="00F676E3" w:rsidRPr="00E97254" w:rsidRDefault="00FA5606" w:rsidP="000C0250">
      <w:pPr>
        <w:pBdr>
          <w:top w:val="nil"/>
          <w:left w:val="nil"/>
          <w:bottom w:val="nil"/>
          <w:right w:val="nil"/>
          <w:between w:val="nil"/>
        </w:pBdr>
        <w:spacing w:after="0"/>
        <w:jc w:val="both"/>
        <w:rPr>
          <w:i/>
          <w:color w:val="000000"/>
        </w:rPr>
      </w:pPr>
      <w:r w:rsidRPr="00FA5606">
        <w:rPr>
          <w:color w:val="000000"/>
        </w:rPr>
        <w:t xml:space="preserve">C7.3.3. Digjitalizimi i sekretarive në të gjitha IAL-të publike. </w:t>
      </w:r>
      <w:r w:rsidRPr="00FA5606">
        <w:rPr>
          <w:i/>
          <w:color w:val="000000"/>
        </w:rPr>
        <w:t>RASH</w:t>
      </w:r>
      <w:r w:rsidR="00B14AAD">
        <w:rPr>
          <w:i/>
          <w:color w:val="000000"/>
        </w:rPr>
        <w:t>-i</w:t>
      </w:r>
      <w:r w:rsidRPr="00FA5606">
        <w:rPr>
          <w:i/>
          <w:color w:val="000000"/>
        </w:rPr>
        <w:t xml:space="preserve"> tanimë</w:t>
      </w:r>
      <w:r w:rsidR="00B14AAD">
        <w:rPr>
          <w:i/>
          <w:color w:val="000000"/>
        </w:rPr>
        <w:t xml:space="preserve"> </w:t>
      </w:r>
      <w:r w:rsidRPr="00FA5606">
        <w:rPr>
          <w:i/>
          <w:color w:val="000000"/>
        </w:rPr>
        <w:t>ka zhvilluar disa produkte softuerike për menaxhimin e Universitetit n</w:t>
      </w:r>
      <w:r w:rsidR="00B14AAD" w:rsidRPr="00CF4646">
        <w:rPr>
          <w:i/>
          <w:color w:val="000000"/>
        </w:rPr>
        <w:t>ë</w:t>
      </w:r>
      <w:r w:rsidRPr="00FA5606">
        <w:rPr>
          <w:i/>
          <w:color w:val="000000"/>
        </w:rPr>
        <w:t xml:space="preserve"> aspektin akademik dhe administrativ që perfshin modulet: “Pitagora”- Sekretaria online, Ufinanca, </w:t>
      </w:r>
      <w:r w:rsidRPr="00FA5606">
        <w:rPr>
          <w:i/>
          <w:color w:val="000000"/>
        </w:rPr>
        <w:tab/>
        <w:t>UCRIS (katalogu i kërkimit shkencor), HR (burimet njerëzore) dhe Uadministrata. Me përfundimin e këtyre moduleve dhe instalimin e tyre në IAL-të publike do të avancohen aspektet administrativ</w:t>
      </w:r>
      <w:r w:rsidR="00B14AAD">
        <w:rPr>
          <w:i/>
          <w:color w:val="000000"/>
        </w:rPr>
        <w:t>e</w:t>
      </w:r>
      <w:r w:rsidRPr="00FA5606">
        <w:rPr>
          <w:i/>
          <w:color w:val="000000"/>
        </w:rPr>
        <w:t xml:space="preserve"> të punës brenda këtyre institucioneve. </w:t>
      </w:r>
    </w:p>
    <w:p w:rsidR="00F676E3" w:rsidRPr="00E97254" w:rsidRDefault="00FA5606" w:rsidP="000C0250">
      <w:pPr>
        <w:keepNext/>
        <w:spacing w:after="0"/>
        <w:jc w:val="both"/>
        <w:rPr>
          <w:b/>
        </w:rPr>
      </w:pPr>
      <w:r w:rsidRPr="00FA5606">
        <w:rPr>
          <w:b/>
        </w:rPr>
        <w:t>Treguesit</w:t>
      </w:r>
    </w:p>
    <w:p w:rsidR="00F676E3" w:rsidRPr="00E97254" w:rsidRDefault="00FA5606" w:rsidP="000C0250">
      <w:pPr>
        <w:numPr>
          <w:ilvl w:val="0"/>
          <w:numId w:val="34"/>
        </w:numPr>
        <w:pBdr>
          <w:top w:val="nil"/>
          <w:left w:val="nil"/>
          <w:bottom w:val="nil"/>
          <w:right w:val="nil"/>
          <w:between w:val="nil"/>
        </w:pBdr>
        <w:spacing w:after="0"/>
        <w:jc w:val="both"/>
      </w:pPr>
      <w:r w:rsidRPr="00FA5606">
        <w:t>Përmirësimi i rankimit të IAL-ve shqiptare në Webometrics</w:t>
      </w:r>
    </w:p>
    <w:p w:rsidR="00F676E3" w:rsidRPr="00E97254" w:rsidRDefault="00FA5606" w:rsidP="000C0250">
      <w:pPr>
        <w:numPr>
          <w:ilvl w:val="0"/>
          <w:numId w:val="34"/>
        </w:numPr>
        <w:pBdr>
          <w:top w:val="nil"/>
          <w:left w:val="nil"/>
          <w:bottom w:val="nil"/>
          <w:right w:val="nil"/>
          <w:between w:val="nil"/>
        </w:pBdr>
        <w:spacing w:after="0"/>
        <w:jc w:val="both"/>
      </w:pPr>
      <w:r w:rsidRPr="00FA5606">
        <w:t xml:space="preserve">Numri i kurseve në distancë dhe </w:t>
      </w:r>
      <w:r w:rsidR="00D963DF">
        <w:t>t</w:t>
      </w:r>
      <w:r w:rsidR="00D963DF" w:rsidRPr="00C36C5E">
        <w:t>ë</w:t>
      </w:r>
      <w:r w:rsidR="00D963DF">
        <w:t xml:space="preserve"> nx</w:t>
      </w:r>
      <w:r w:rsidR="00D963DF" w:rsidRPr="00C36C5E">
        <w:t>ë</w:t>
      </w:r>
      <w:r w:rsidR="00D963DF">
        <w:t>nit</w:t>
      </w:r>
      <w:r w:rsidR="006429F1">
        <w:t xml:space="preserve"> e kombinuar</w:t>
      </w:r>
      <w:r w:rsidRPr="00FA5606">
        <w:t xml:space="preserve"> sipas fushave</w:t>
      </w:r>
    </w:p>
    <w:p w:rsidR="00B951B1" w:rsidRPr="00E61612" w:rsidRDefault="00FA5606" w:rsidP="00B951B1">
      <w:pPr>
        <w:pStyle w:val="Heading1"/>
      </w:pPr>
      <w:r w:rsidRPr="00FA5606">
        <w:rPr>
          <w:rFonts w:asciiTheme="minorHAnsi" w:hAnsiTheme="minorHAnsi"/>
          <w:color w:val="auto"/>
        </w:rPr>
        <w:lastRenderedPageBreak/>
        <w:t>Kënaqësia e studentëve me shërbimet digjitale</w:t>
      </w:r>
      <w:bookmarkStart w:id="136" w:name="_Toc66802027"/>
      <w:r w:rsidR="00B951B1" w:rsidRPr="00E61612">
        <w:t>7. PJESA III – ZBATIMI, PËRGJEGJËSIA E INSTITUCIONEVE, LLOGARIDHËNIA, RAPORTIMI DHE MONITORIMI</w:t>
      </w:r>
    </w:p>
    <w:p w:rsidR="00B951B1" w:rsidRPr="00E61612" w:rsidRDefault="00B951B1" w:rsidP="00B951B1">
      <w:pPr>
        <w:pStyle w:val="Heading2"/>
      </w:pPr>
      <w:bookmarkStart w:id="137" w:name="_Toc66802028"/>
      <w:r w:rsidRPr="00E61612">
        <w:t>7.1. Zbatimi i Strategjisë</w:t>
      </w:r>
      <w:bookmarkEnd w:id="137"/>
    </w:p>
    <w:p w:rsidR="00B951B1" w:rsidRPr="00E61612" w:rsidRDefault="00B951B1" w:rsidP="00B951B1">
      <w:pPr>
        <w:autoSpaceDE w:val="0"/>
        <w:autoSpaceDN w:val="0"/>
        <w:adjustRightInd w:val="0"/>
        <w:spacing w:before="120" w:after="0"/>
        <w:jc w:val="both"/>
        <w:rPr>
          <w:rFonts w:ascii="Calibri-Light" w:hAnsi="Calibri-Light" w:cs="Calibri-Light"/>
          <w:sz w:val="24"/>
          <w:szCs w:val="24"/>
        </w:rPr>
      </w:pPr>
      <w:r w:rsidRPr="00E61612">
        <w:rPr>
          <w:color w:val="000000"/>
        </w:rPr>
        <w:t xml:space="preserve">Strategjia Kombëtare e Arsimit </w:t>
      </w:r>
      <w:r>
        <w:rPr>
          <w:color w:val="000000"/>
        </w:rPr>
        <w:t xml:space="preserve">do të </w:t>
      </w:r>
      <w:r w:rsidRPr="00E61612">
        <w:rPr>
          <w:color w:val="000000"/>
        </w:rPr>
        <w:t xml:space="preserve">zbatohet në periudhën 2021-2026.  Rol udhëheqës në zbatimin e saj </w:t>
      </w:r>
      <w:r>
        <w:rPr>
          <w:color w:val="000000"/>
        </w:rPr>
        <w:t>do të ketë</w:t>
      </w:r>
      <w:r w:rsidRPr="00E61612">
        <w:rPr>
          <w:color w:val="000000"/>
        </w:rPr>
        <w:t xml:space="preserve"> Ministri</w:t>
      </w:r>
      <w:r>
        <w:rPr>
          <w:color w:val="000000"/>
        </w:rPr>
        <w:t xml:space="preserve">a e </w:t>
      </w:r>
      <w:r w:rsidRPr="00E61612">
        <w:rPr>
          <w:color w:val="000000"/>
        </w:rPr>
        <w:t>Arsimit, Sportit dhe Rinis</w:t>
      </w:r>
      <w:r>
        <w:rPr>
          <w:color w:val="000000"/>
        </w:rPr>
        <w:t>ë</w:t>
      </w:r>
      <w:r w:rsidRPr="00E61612">
        <w:rPr>
          <w:color w:val="000000"/>
        </w:rPr>
        <w:t xml:space="preserve"> (MASR) si </w:t>
      </w:r>
      <w:r>
        <w:rPr>
          <w:color w:val="000000"/>
        </w:rPr>
        <w:t>institucioni</w:t>
      </w:r>
      <w:r w:rsidRPr="00E61612">
        <w:rPr>
          <w:color w:val="000000"/>
        </w:rPr>
        <w:t xml:space="preserve"> përgjegjës për fushën e arsimit parauniversitar </w:t>
      </w:r>
      <w:r>
        <w:rPr>
          <w:color w:val="000000"/>
        </w:rPr>
        <w:t>në përputhje me</w:t>
      </w:r>
      <w:r w:rsidRPr="00E61612">
        <w:rPr>
          <w:color w:val="000000"/>
        </w:rPr>
        <w:t xml:space="preserve"> neni</w:t>
      </w:r>
      <w:r>
        <w:rPr>
          <w:color w:val="000000"/>
        </w:rPr>
        <w:t>n</w:t>
      </w:r>
      <w:r w:rsidRPr="00E61612">
        <w:rPr>
          <w:color w:val="000000"/>
        </w:rPr>
        <w:t xml:space="preserve"> 26 </w:t>
      </w:r>
      <w:r>
        <w:rPr>
          <w:color w:val="000000"/>
        </w:rPr>
        <w:t>të</w:t>
      </w:r>
      <w:r w:rsidRPr="00E61612">
        <w:rPr>
          <w:color w:val="000000"/>
        </w:rPr>
        <w:t xml:space="preserve"> Ligjit  </w:t>
      </w:r>
      <w:r w:rsidRPr="00E61612">
        <w:rPr>
          <w:rFonts w:cs="Calibri"/>
        </w:rPr>
        <w:t xml:space="preserve">Nr. 69/2012 </w:t>
      </w:r>
      <w:r>
        <w:t>"P</w:t>
      </w:r>
      <w:r w:rsidRPr="00E61612">
        <w:t>ër sistemin arsimor parauniversitar</w:t>
      </w:r>
      <w:r>
        <w:t>"</w:t>
      </w:r>
      <w:r w:rsidRPr="00E61612">
        <w:t xml:space="preserve"> (i ndryshuar) </w:t>
      </w:r>
      <w:r w:rsidRPr="00E61612">
        <w:rPr>
          <w:rFonts w:cs="Calibri"/>
        </w:rPr>
        <w:t xml:space="preserve">[25] dhe </w:t>
      </w:r>
      <w:r>
        <w:rPr>
          <w:rFonts w:cs="Calibri"/>
        </w:rPr>
        <w:t>"P</w:t>
      </w:r>
      <w:r w:rsidRPr="00E61612">
        <w:rPr>
          <w:rFonts w:cs="Calibri"/>
        </w:rPr>
        <w:t>ër arsimin e lartë</w:t>
      </w:r>
      <w:r>
        <w:rPr>
          <w:rFonts w:cs="Calibri"/>
        </w:rPr>
        <w:t>"</w:t>
      </w:r>
      <w:r w:rsidRPr="00E61612">
        <w:rPr>
          <w:rFonts w:cs="Calibri"/>
        </w:rPr>
        <w:t xml:space="preserve"> - neni 7 i Ligjit Nr. 80/2015 </w:t>
      </w:r>
      <w:r>
        <w:rPr>
          <w:rFonts w:cs="Calibri"/>
        </w:rPr>
        <w:t>"</w:t>
      </w:r>
      <w:r>
        <w:t>P</w:t>
      </w:r>
      <w:r w:rsidRPr="00E61612">
        <w:t>ër arsimin e lartë dhe kërkimin shkencor</w:t>
      </w:r>
      <w:r>
        <w:t>"</w:t>
      </w:r>
      <w:r w:rsidRPr="00E61612">
        <w:rPr>
          <w:rFonts w:cs="Calibri"/>
        </w:rPr>
        <w:t xml:space="preserve"> [26]. Përgjegjësia për zbatimin e </w:t>
      </w:r>
      <w:r>
        <w:rPr>
          <w:rFonts w:cs="Calibri"/>
        </w:rPr>
        <w:t>secilës</w:t>
      </w:r>
      <w:r w:rsidRPr="00E61612">
        <w:rPr>
          <w:rFonts w:cs="Calibri"/>
        </w:rPr>
        <w:t xml:space="preserve"> masë është përcaktuar </w:t>
      </w:r>
      <w:r>
        <w:rPr>
          <w:rFonts w:cs="Calibri"/>
        </w:rPr>
        <w:t>në</w:t>
      </w:r>
      <w:r w:rsidRPr="00E61612">
        <w:rPr>
          <w:rFonts w:cs="Calibri"/>
        </w:rPr>
        <w:t xml:space="preserve"> planin e veprimit të </w:t>
      </w:r>
      <w:r>
        <w:rPr>
          <w:rFonts w:cs="Calibri"/>
        </w:rPr>
        <w:t>paraqitur</w:t>
      </w:r>
      <w:r w:rsidRPr="00E61612">
        <w:rPr>
          <w:rFonts w:cs="Calibri"/>
        </w:rPr>
        <w:t xml:space="preserve"> në Aneksin 1 dhe ndahet </w:t>
      </w:r>
      <w:r>
        <w:rPr>
          <w:rFonts w:cs="Calibri"/>
        </w:rPr>
        <w:t>ndërmjet</w:t>
      </w:r>
      <w:r w:rsidRPr="00E61612">
        <w:rPr>
          <w:rFonts w:cs="Calibri"/>
        </w:rPr>
        <w:t xml:space="preserve"> MASR, institucioneve vartëse, institucioneve arsimore, pushtetit vendor dhe aktorëve të tjerë. Për shkak të natyrës së masave</w:t>
      </w:r>
      <w:r>
        <w:rPr>
          <w:rFonts w:cs="Calibri"/>
        </w:rPr>
        <w:t>,</w:t>
      </w:r>
      <w:r w:rsidRPr="00E61612">
        <w:rPr>
          <w:rFonts w:cs="Calibri"/>
        </w:rPr>
        <w:t xml:space="preserve"> duhet të ekzistojë një </w:t>
      </w:r>
      <w:r>
        <w:rPr>
          <w:rFonts w:cs="Calibri"/>
        </w:rPr>
        <w:t>bashkërendim</w:t>
      </w:r>
      <w:r w:rsidRPr="00E61612">
        <w:rPr>
          <w:rFonts w:cs="Calibri"/>
        </w:rPr>
        <w:t xml:space="preserve"> </w:t>
      </w:r>
      <w:r>
        <w:rPr>
          <w:rFonts w:cs="Calibri"/>
        </w:rPr>
        <w:t>i</w:t>
      </w:r>
      <w:r w:rsidRPr="00E61612">
        <w:rPr>
          <w:rFonts w:cs="Calibri"/>
        </w:rPr>
        <w:t xml:space="preserve"> mirë me nismat e partnerëve zhvillimorë të Qeverisë, ku bëjnë pjesë donatorët, si dhe organizatat vendore dhe ndërkombëtare që, në një mënyrë ose tjetër, shprehin gatishmëri për </w:t>
      </w:r>
      <w:r>
        <w:rPr>
          <w:rFonts w:cs="Calibri"/>
        </w:rPr>
        <w:t>të</w:t>
      </w:r>
      <w:r w:rsidRPr="00E61612">
        <w:rPr>
          <w:rFonts w:cs="Calibri"/>
        </w:rPr>
        <w:t xml:space="preserve"> kontribuar </w:t>
      </w:r>
      <w:r>
        <w:rPr>
          <w:rFonts w:cs="Calibri"/>
        </w:rPr>
        <w:t xml:space="preserve">te </w:t>
      </w:r>
      <w:r w:rsidRPr="00E61612">
        <w:rPr>
          <w:rFonts w:cs="Calibri"/>
        </w:rPr>
        <w:t xml:space="preserve">zbatimi </w:t>
      </w:r>
      <w:r>
        <w:rPr>
          <w:rFonts w:cs="Calibri"/>
        </w:rPr>
        <w:t>i</w:t>
      </w:r>
      <w:r w:rsidRPr="00E61612">
        <w:rPr>
          <w:rFonts w:cs="Calibri"/>
        </w:rPr>
        <w:t xml:space="preserve"> Strategjisë.</w:t>
      </w:r>
    </w:p>
    <w:p w:rsidR="00B951B1" w:rsidRPr="00E61612" w:rsidRDefault="00B951B1" w:rsidP="00B951B1">
      <w:pPr>
        <w:autoSpaceDE w:val="0"/>
        <w:autoSpaceDN w:val="0"/>
        <w:adjustRightInd w:val="0"/>
        <w:spacing w:after="0"/>
        <w:jc w:val="both"/>
      </w:pPr>
      <w:r w:rsidRPr="00E61612">
        <w:t>MASR do të krijojë Grupin Koordinues për Zbatimin e SKA 2021-2026</w:t>
      </w:r>
      <w:r>
        <w:t>,</w:t>
      </w:r>
      <w:r w:rsidRPr="00E61612">
        <w:t xml:space="preserve"> i cili</w:t>
      </w:r>
      <w:r>
        <w:t xml:space="preserve"> do të</w:t>
      </w:r>
      <w:r w:rsidRPr="00E61612">
        <w:t xml:space="preserve"> drejtohet nga Ministri</w:t>
      </w:r>
      <w:r w:rsidRPr="00E61612">
        <w:rPr>
          <w:b/>
        </w:rPr>
        <w:t xml:space="preserve"> </w:t>
      </w:r>
      <w:r w:rsidRPr="00E61612">
        <w:t xml:space="preserve">(ose Zëvendësministri në emër të tij/saj), </w:t>
      </w:r>
      <w:r>
        <w:t>dhe përbëhet</w:t>
      </w:r>
      <w:r w:rsidRPr="00E61612">
        <w:t xml:space="preserve"> nga zyrtarë përgjegjës të njësive organizative </w:t>
      </w:r>
      <w:r>
        <w:t>përkatëse</w:t>
      </w:r>
      <w:r w:rsidRPr="00E61612">
        <w:t xml:space="preserve"> të MASR, si dhe të institucioneve vartëse (DPAPU, ASCAP, QSHA, ASCAL) dhe institucioneve tjera </w:t>
      </w:r>
      <w:r>
        <w:t>përkatëse</w:t>
      </w:r>
      <w:r w:rsidRPr="00E61612">
        <w:t xml:space="preserve"> (RASH, ASHI, etj.). Shërbimet e sekretarisë për Grupin Koordinues do të ofrohen nga Drejtoria e Përgjithshme e Politikave dhe Zhvillimit. Detyrat dhe përgjegjësitë e Grupit Koordinues janë: </w:t>
      </w:r>
    </w:p>
    <w:p w:rsidR="00B951B1" w:rsidRPr="00E61612" w:rsidRDefault="00B951B1" w:rsidP="00B951B1">
      <w:pPr>
        <w:numPr>
          <w:ilvl w:val="0"/>
          <w:numId w:val="42"/>
        </w:numPr>
        <w:spacing w:after="0"/>
        <w:jc w:val="both"/>
      </w:pPr>
      <w:r w:rsidRPr="00E61612">
        <w:t>Hartimi i planeve vjetore të veprimit për zbatimin e SKA 2021-2026;</w:t>
      </w:r>
    </w:p>
    <w:p w:rsidR="00B951B1" w:rsidRPr="00E61612" w:rsidRDefault="00B951B1" w:rsidP="00B951B1">
      <w:pPr>
        <w:numPr>
          <w:ilvl w:val="0"/>
          <w:numId w:val="42"/>
        </w:numPr>
        <w:spacing w:after="0"/>
        <w:jc w:val="both"/>
      </w:pPr>
      <w:r w:rsidRPr="00E61612">
        <w:t xml:space="preserve">Hartimi i buxhetit vjetor për zbatimin e SKA 2021-2026 në kuadër të </w:t>
      </w:r>
      <w:r w:rsidRPr="00C82965">
        <w:t>tavaneve</w:t>
      </w:r>
      <w:r w:rsidRPr="00E61612">
        <w:t xml:space="preserve"> të përcaktuara me udhëzimet buxhetore përkatëse;</w:t>
      </w:r>
    </w:p>
    <w:p w:rsidR="00B951B1" w:rsidRPr="00E61612" w:rsidRDefault="00B951B1" w:rsidP="00B951B1">
      <w:pPr>
        <w:numPr>
          <w:ilvl w:val="0"/>
          <w:numId w:val="42"/>
        </w:numPr>
        <w:spacing w:after="0"/>
        <w:jc w:val="both"/>
      </w:pPr>
      <w:r w:rsidRPr="00E61612">
        <w:t>Analiza e progresit në zbatimin e SKA 2021-2026, në bazë të informatave të mbledhura nga MASR dhe burimet e tjera;</w:t>
      </w:r>
    </w:p>
    <w:p w:rsidR="00B951B1" w:rsidRPr="00E61612" w:rsidRDefault="00B951B1" w:rsidP="00B951B1">
      <w:pPr>
        <w:numPr>
          <w:ilvl w:val="0"/>
          <w:numId w:val="42"/>
        </w:numPr>
        <w:spacing w:after="0"/>
        <w:jc w:val="both"/>
      </w:pPr>
      <w:r w:rsidRPr="00E61612">
        <w:t>Shqyrtimi dhe miratimi i masave plotësuese për të siguruar zbatimin e SKA 2021-2026;</w:t>
      </w:r>
    </w:p>
    <w:p w:rsidR="00B951B1" w:rsidRPr="00E61612" w:rsidRDefault="00B951B1" w:rsidP="00B951B1">
      <w:pPr>
        <w:numPr>
          <w:ilvl w:val="0"/>
          <w:numId w:val="42"/>
        </w:numPr>
        <w:spacing w:after="0"/>
        <w:jc w:val="both"/>
      </w:pPr>
      <w:r w:rsidRPr="00E61612">
        <w:t xml:space="preserve">Hartimi i kërkesave për mbështetje nga programet e donatorëve me qëllim </w:t>
      </w:r>
      <w:r>
        <w:t>garantimin</w:t>
      </w:r>
      <w:r w:rsidRPr="00E61612">
        <w:t xml:space="preserve"> </w:t>
      </w:r>
      <w:r>
        <w:t>i</w:t>
      </w:r>
      <w:r w:rsidRPr="00E61612">
        <w:t xml:space="preserve"> zbatimit të SKA 2021-2026.</w:t>
      </w:r>
    </w:p>
    <w:p w:rsidR="00B951B1" w:rsidRPr="00E61612" w:rsidRDefault="00B951B1" w:rsidP="00B951B1">
      <w:pPr>
        <w:spacing w:after="0"/>
        <w:jc w:val="both"/>
      </w:pPr>
      <w:r w:rsidRPr="00E61612">
        <w:t xml:space="preserve">Takimet e Grupit Koordinues do të mbahen të paktën 4 herë në vit dhe, sipas nevojës, do të ftohen edhe pjesëmarrës të tjerë.   </w:t>
      </w:r>
    </w:p>
    <w:p w:rsidR="00B951B1" w:rsidRPr="00E61612" w:rsidRDefault="00B951B1" w:rsidP="00B951B1">
      <w:pPr>
        <w:spacing w:after="0"/>
        <w:jc w:val="both"/>
      </w:pPr>
      <w:r w:rsidRPr="00E61612">
        <w:rPr>
          <w:rFonts w:cs="Calibri"/>
        </w:rPr>
        <w:t xml:space="preserve">Strategjia do të jetë pjesë </w:t>
      </w:r>
      <w:r>
        <w:rPr>
          <w:rFonts w:cs="Calibri"/>
        </w:rPr>
        <w:t>përbërëse</w:t>
      </w:r>
      <w:r w:rsidRPr="00E61612">
        <w:rPr>
          <w:rFonts w:cs="Calibri"/>
        </w:rPr>
        <w:t xml:space="preserve"> e Sistemit të Planifikimit të Integruar (SPI) sipas Urdhrit të Kryeministrit nr. 157, miratuar </w:t>
      </w:r>
      <w:r>
        <w:rPr>
          <w:rFonts w:cs="Calibri"/>
        </w:rPr>
        <w:t>më</w:t>
      </w:r>
      <w:r w:rsidRPr="00E61612">
        <w:rPr>
          <w:rFonts w:cs="Calibri"/>
        </w:rPr>
        <w:t xml:space="preserve"> datë 22.10.2018 ‘</w:t>
      </w:r>
      <w:r w:rsidRPr="00E61612">
        <w:rPr>
          <w:rFonts w:cs="Calibri"/>
          <w:i/>
        </w:rPr>
        <w:t>Për marrjen e masave për zbatimin e qasjes ndërsektoriale, si dhe ngritjen dhe funksionimin e mekanizmit sektorial/ndërsektorial të integruar’</w:t>
      </w:r>
      <w:r w:rsidRPr="00E61612">
        <w:rPr>
          <w:rFonts w:cs="Calibri"/>
        </w:rPr>
        <w:t xml:space="preserve">. Ky mekanizëm është në funksion të Sistemit të Planifikimit të Integruar si sistemi kryesor që përcakton mjetet dhe mekanizmat për një planifikim të integruar të politikave publike. SPI funksionin nëpërmjet Grupeve të Menaxhimit të Integruar të Politikave (GMIP) dhe Komitetet Drejtuese Sektoriale (KDS) anëtare e së cilave është MASR sipas përcaktimeve </w:t>
      </w:r>
      <w:r>
        <w:rPr>
          <w:rFonts w:cs="Calibri"/>
        </w:rPr>
        <w:t>të këtij</w:t>
      </w:r>
      <w:r w:rsidRPr="00E61612">
        <w:rPr>
          <w:rFonts w:cs="Calibri"/>
        </w:rPr>
        <w:t xml:space="preserve"> Urdh</w:t>
      </w:r>
      <w:r>
        <w:rPr>
          <w:rFonts w:cs="Calibri"/>
        </w:rPr>
        <w:t>ri</w:t>
      </w:r>
      <w:r w:rsidRPr="00E61612">
        <w:rPr>
          <w:rFonts w:cs="Calibri"/>
        </w:rPr>
        <w:t>.</w:t>
      </w:r>
    </w:p>
    <w:p w:rsidR="00B951B1" w:rsidRPr="00E61612" w:rsidRDefault="00B951B1" w:rsidP="00B951B1">
      <w:pPr>
        <w:pStyle w:val="Heading2"/>
      </w:pPr>
      <w:bookmarkStart w:id="138" w:name="_Toc66802029"/>
      <w:r w:rsidRPr="00E61612">
        <w:lastRenderedPageBreak/>
        <w:t>7.2. Monitorimi dhe raportimi</w:t>
      </w:r>
      <w:bookmarkEnd w:id="138"/>
    </w:p>
    <w:p w:rsidR="00B951B1" w:rsidRPr="00E61612" w:rsidRDefault="00B951B1" w:rsidP="00B951B1">
      <w:pPr>
        <w:spacing w:before="120" w:after="0"/>
        <w:jc w:val="both"/>
        <w:rPr>
          <w:rFonts w:cs="Calibri"/>
        </w:rPr>
      </w:pPr>
      <w:r w:rsidRPr="00E61612">
        <w:rPr>
          <w:rFonts w:cs="Calibri"/>
        </w:rPr>
        <w:t xml:space="preserve">Monitorimi i Strategjisë do të realizohet sipas metodologjisë së konfirmuar nga njësia përgjegjëse në </w:t>
      </w:r>
      <w:r>
        <w:rPr>
          <w:rFonts w:cs="Calibri"/>
        </w:rPr>
        <w:t>Kryeministri</w:t>
      </w:r>
      <w:r w:rsidRPr="00E61612">
        <w:rPr>
          <w:rFonts w:cs="Calibri"/>
        </w:rPr>
        <w:t xml:space="preserve"> në zbatim të  Vendimit të Këshillit të Ministrave  nr. 290, datë 11.4.2020 ‘</w:t>
      </w:r>
      <w:r w:rsidRPr="00E61612">
        <w:rPr>
          <w:rFonts w:cs="Calibri"/>
          <w:i/>
        </w:rPr>
        <w:t>Për krijimin e bazës të të dhënave shtetërore të sistemit informatik të planifikimit të integruar (SIPSI/IPSIS</w:t>
      </w:r>
      <w:r w:rsidRPr="00E61612">
        <w:rPr>
          <w:rFonts w:cs="Calibri"/>
        </w:rPr>
        <w:t>)”</w:t>
      </w:r>
      <w:r>
        <w:rPr>
          <w:rFonts w:cs="Calibri"/>
        </w:rPr>
        <w:t>,</w:t>
      </w:r>
      <w:r w:rsidRPr="00E61612">
        <w:rPr>
          <w:rFonts w:cs="Calibri"/>
        </w:rPr>
        <w:t xml:space="preserve"> i cili</w:t>
      </w:r>
      <w:r>
        <w:rPr>
          <w:rFonts w:cs="Calibri"/>
        </w:rPr>
        <w:t>,</w:t>
      </w:r>
      <w:r w:rsidRPr="00E61612">
        <w:rPr>
          <w:rFonts w:cs="Calibri"/>
        </w:rPr>
        <w:t xml:space="preserve"> ndër të tjera</w:t>
      </w:r>
      <w:r>
        <w:rPr>
          <w:rFonts w:cs="Calibri"/>
        </w:rPr>
        <w:t>,</w:t>
      </w:r>
      <w:r w:rsidRPr="00E61612">
        <w:rPr>
          <w:rFonts w:cs="Calibri"/>
        </w:rPr>
        <w:t xml:space="preserve"> është sistemi kryesor për monitorimin e performancës së arritur kundrejt politikave dhe objektivave të planifikuar</w:t>
      </w:r>
      <w:r>
        <w:rPr>
          <w:rFonts w:cs="Calibri"/>
        </w:rPr>
        <w:t>a</w:t>
      </w:r>
      <w:r w:rsidRPr="00E61612">
        <w:rPr>
          <w:rFonts w:cs="Calibri"/>
        </w:rPr>
        <w:t xml:space="preserve"> në dokumentet strategjike. </w:t>
      </w:r>
    </w:p>
    <w:p w:rsidR="00B951B1" w:rsidRPr="00E61612" w:rsidRDefault="00B951B1" w:rsidP="00B951B1">
      <w:pPr>
        <w:spacing w:after="0"/>
        <w:jc w:val="both"/>
        <w:rPr>
          <w:rFonts w:cs="Calibri"/>
        </w:rPr>
      </w:pPr>
      <w:r w:rsidRPr="00E61612">
        <w:rPr>
          <w:rFonts w:cs="Calibri"/>
        </w:rPr>
        <w:t xml:space="preserve">Monitorimi duhet kuptuar si proces që synon të sigurojë informacion për MASR dhe palët </w:t>
      </w:r>
      <w:r>
        <w:rPr>
          <w:rFonts w:cs="Calibri"/>
        </w:rPr>
        <w:t>e interesuara</w:t>
      </w:r>
      <w:r w:rsidRPr="00E61612">
        <w:rPr>
          <w:rFonts w:cs="Calibri"/>
        </w:rPr>
        <w:t xml:space="preserve"> për progresin drejt arritjes së objektivave specifik</w:t>
      </w:r>
      <w:r>
        <w:rPr>
          <w:rFonts w:cs="Calibri"/>
        </w:rPr>
        <w:t>e</w:t>
      </w:r>
      <w:r w:rsidRPr="00E61612">
        <w:rPr>
          <w:rFonts w:cs="Calibri"/>
        </w:rPr>
        <w:t xml:space="preserve">. </w:t>
      </w:r>
      <w:r>
        <w:rPr>
          <w:rFonts w:cs="Calibri"/>
        </w:rPr>
        <w:t>Ai</w:t>
      </w:r>
      <w:r w:rsidRPr="00E61612">
        <w:rPr>
          <w:rFonts w:cs="Calibri"/>
        </w:rPr>
        <w:t xml:space="preserve"> do të bazohet në një sistem të mbledhjes së informacionit dhe analizës së treguesve të monitorimit në sistemin IPSIS. Monitorimi nënkupton mbledhjen në vazhdimësi të të dhënave në lidhje me Strategjinë, si të atyre statistikore, ashtu edhe të dhënave tjera qe japin informacion për zbatimin e Strategjisë. Në pasaportat e indikatorëve (Aneksi 3)</w:t>
      </w:r>
      <w:r>
        <w:rPr>
          <w:rFonts w:cs="Calibri"/>
        </w:rPr>
        <w:t>,</w:t>
      </w:r>
      <w:r w:rsidRPr="00E61612">
        <w:rPr>
          <w:rFonts w:cs="Calibri"/>
        </w:rPr>
        <w:t xml:space="preserve"> për secilin tregues është përcaktuar përgjegjësia për mbledhjen e të dhënave, ndërsa roli mbikëqyrës dhe koordinues i takon </w:t>
      </w:r>
      <w:r w:rsidRPr="00E61612">
        <w:t>Drejtorisë së Përgjithshme të Politikave dhe Zhvillimit.</w:t>
      </w:r>
    </w:p>
    <w:p w:rsidR="00B951B1" w:rsidRPr="00E61612" w:rsidRDefault="00B951B1" w:rsidP="00B951B1">
      <w:pPr>
        <w:spacing w:after="0"/>
        <w:jc w:val="both"/>
      </w:pPr>
      <w:r w:rsidRPr="00E61612">
        <w:t>Vet Strategjia përmban masa që avancojnë mbledhjen dhe përpunimin e të dhënave në fushën e arsimit,  të cilat mund të shfrytëzohen për qëllime monitorimi. Për shembull,  Sistemi për Menaxhimin e Informacionit Parauniversitar (SMIP), i përfshirë në Strategji (Produkti B2.1), është burim i rëndësishëm i të dhënave për përcjelljen e progresit në fushën e arsimit parauniversitar. Po ashtu, me krijimin e Sistemit për Menaxhimin e Informacionit në Arsimin e Lartë (SMIAL) (Produkti B2.2) do të sigurohen të dhëna të nevojshme për monitorimin e progresit në sektorin e arsimit të lartë.</w:t>
      </w:r>
    </w:p>
    <w:p w:rsidR="00B951B1" w:rsidRPr="00E61612" w:rsidRDefault="00B951B1" w:rsidP="00B951B1">
      <w:pPr>
        <w:pStyle w:val="Heading2"/>
      </w:pPr>
      <w:bookmarkStart w:id="139" w:name="_Toc66802030"/>
      <w:r w:rsidRPr="00E61612">
        <w:t>7.3. Vlerësimi</w:t>
      </w:r>
      <w:bookmarkEnd w:id="139"/>
    </w:p>
    <w:p w:rsidR="00B951B1" w:rsidRPr="00E61612" w:rsidRDefault="00B951B1" w:rsidP="00B951B1">
      <w:pPr>
        <w:spacing w:before="120" w:after="0"/>
        <w:jc w:val="both"/>
        <w:rPr>
          <w:color w:val="000000"/>
        </w:rPr>
      </w:pPr>
      <w:r w:rsidRPr="00E61612">
        <w:rPr>
          <w:color w:val="000000"/>
        </w:rPr>
        <w:t xml:space="preserve">Vlerësimi është procesi më i hollësishëm i analizës së suksesit në zbatimit të Strategjisë, duke identifikuar se çfarë ka shkuar mirë, duke shqyrtuar arsyet </w:t>
      </w:r>
      <w:r>
        <w:rPr>
          <w:color w:val="000000"/>
        </w:rPr>
        <w:t>të çfarë nuk ka shkuar mirë</w:t>
      </w:r>
      <w:r w:rsidRPr="00E61612">
        <w:rPr>
          <w:color w:val="000000"/>
        </w:rPr>
        <w:t xml:space="preserve"> dhe pastaj duke ripërshtatur drejtimin strategjik në </w:t>
      </w:r>
      <w:r>
        <w:rPr>
          <w:color w:val="000000"/>
        </w:rPr>
        <w:t>varësi të</w:t>
      </w:r>
      <w:r w:rsidRPr="00E61612">
        <w:rPr>
          <w:color w:val="000000"/>
        </w:rPr>
        <w:t xml:space="preserve"> rrethana</w:t>
      </w:r>
      <w:r>
        <w:rPr>
          <w:color w:val="000000"/>
        </w:rPr>
        <w:t>ve</w:t>
      </w:r>
      <w:r w:rsidRPr="00E61612">
        <w:rPr>
          <w:color w:val="000000"/>
        </w:rPr>
        <w:t xml:space="preserve">. </w:t>
      </w:r>
      <w:r>
        <w:rPr>
          <w:color w:val="000000"/>
        </w:rPr>
        <w:t>Projektimi</w:t>
      </w:r>
      <w:r w:rsidRPr="00E61612">
        <w:rPr>
          <w:color w:val="000000"/>
        </w:rPr>
        <w:t xml:space="preserve"> dhe ekzekutimi i fazës së vlerësimit zakonisht është i pavarur nga korniza e </w:t>
      </w:r>
      <w:r>
        <w:rPr>
          <w:color w:val="000000"/>
        </w:rPr>
        <w:t>zakonshme</w:t>
      </w:r>
      <w:r w:rsidRPr="00E61612">
        <w:rPr>
          <w:color w:val="000000"/>
        </w:rPr>
        <w:t xml:space="preserve"> e monitorimit dhe raportimit. Vlerësimi përfshin përpilimin e pyetjeve të vlerësimit, mbledhjen dhe analizën e të dhënave që </w:t>
      </w:r>
      <w:r>
        <w:rPr>
          <w:color w:val="000000"/>
        </w:rPr>
        <w:t>i japin</w:t>
      </w:r>
      <w:r w:rsidRPr="00E61612">
        <w:rPr>
          <w:color w:val="000000"/>
        </w:rPr>
        <w:t xml:space="preserve"> përgjigje </w:t>
      </w:r>
      <w:r>
        <w:rPr>
          <w:color w:val="000000"/>
        </w:rPr>
        <w:t>këtyre</w:t>
      </w:r>
      <w:r w:rsidRPr="00E61612">
        <w:rPr>
          <w:color w:val="000000"/>
        </w:rPr>
        <w:t xml:space="preserve"> pyetje</w:t>
      </w:r>
      <w:r>
        <w:rPr>
          <w:color w:val="000000"/>
        </w:rPr>
        <w:t>ve</w:t>
      </w:r>
      <w:r w:rsidRPr="00E61612">
        <w:rPr>
          <w:color w:val="000000"/>
        </w:rPr>
        <w:t>, si dhe mbledhjen e provave për të formuluar përfundimet dhe rekomandimet.</w:t>
      </w:r>
    </w:p>
    <w:p w:rsidR="00B951B1" w:rsidRPr="00E61612" w:rsidRDefault="00B951B1" w:rsidP="00B951B1">
      <w:pPr>
        <w:spacing w:after="0"/>
        <w:jc w:val="both"/>
        <w:rPr>
          <w:color w:val="000000"/>
        </w:rPr>
      </w:pPr>
      <w:r w:rsidRPr="00E61612">
        <w:rPr>
          <w:color w:val="000000"/>
        </w:rPr>
        <w:t xml:space="preserve">Vlerësimi i zbatimit të SKA 2021-2026 do të bëhet në kuadër të procesit të vlerësimit vjetor të performancës së sistemit (Masa B2.4.2). Këtij procesi i paraprin hartimi i metodologjisë për vlerësimin e performancës së sistemit (Masa B2.4.1) bazuar në </w:t>
      </w:r>
      <w:r w:rsidRPr="00E61612">
        <w:t xml:space="preserve">modelin e </w:t>
      </w:r>
      <w:r w:rsidR="00753C65">
        <w:t>Analizës</w:t>
      </w:r>
      <w:r w:rsidRPr="00E61612">
        <w:t xml:space="preserve"> </w:t>
      </w:r>
      <w:r w:rsidR="00753C65">
        <w:t>s</w:t>
      </w:r>
      <w:r w:rsidRPr="00E61612">
        <w:t>ë Përbashkët të Sektorit (Joint Sector Review) të UNESCO/Global Partnership for Education (GPE) [80]</w:t>
      </w:r>
      <w:r w:rsidRPr="00E61612">
        <w:rPr>
          <w:color w:val="000000"/>
        </w:rPr>
        <w:t xml:space="preserve"> . Metodologjia do të zhvillohet gjatë vitit 2021, ndërsa </w:t>
      </w:r>
      <w:r w:rsidR="00753C65">
        <w:rPr>
          <w:color w:val="000000"/>
        </w:rPr>
        <w:t>Analiza e</w:t>
      </w:r>
      <w:r w:rsidRPr="00E61612">
        <w:rPr>
          <w:color w:val="000000"/>
        </w:rPr>
        <w:t xml:space="preserve"> parë do të bëhet në vitin 2022. Raporti i monitorimit për vitin 2021 do të shërbej</w:t>
      </w:r>
      <w:r>
        <w:rPr>
          <w:color w:val="000000"/>
        </w:rPr>
        <w:t>ë</w:t>
      </w:r>
      <w:r w:rsidRPr="00E61612">
        <w:rPr>
          <w:color w:val="000000"/>
        </w:rPr>
        <w:t xml:space="preserve"> si bazë për procesin e </w:t>
      </w:r>
      <w:r w:rsidR="00F74263">
        <w:t>Analizës s</w:t>
      </w:r>
      <w:r w:rsidRPr="00E61612">
        <w:t xml:space="preserve">ë Përbashkët të Sektorit. Me zhvillimin e paketës së treguesve kombëtarë të arsimit (Produkti B2.3), procesi i Rishikimit të Përbashkët të Sektorit do të jetë akoma më i strukturuar dhe i mbështetur në të dhëna </w:t>
      </w:r>
      <w:r>
        <w:t>të krahasueshme</w:t>
      </w:r>
      <w:r w:rsidRPr="00E61612">
        <w:t xml:space="preserve"> me vendet tjera. </w:t>
      </w:r>
    </w:p>
    <w:p w:rsidR="00B951B1" w:rsidRPr="00E61612" w:rsidRDefault="00B951B1" w:rsidP="00B951B1">
      <w:pPr>
        <w:pStyle w:val="Heading1"/>
      </w:pPr>
      <w:bookmarkStart w:id="140" w:name="_Toc66802031"/>
      <w:r w:rsidRPr="00E61612">
        <w:t>8.  Plani i veprimit dhe burimet financiare për zbatim</w:t>
      </w:r>
      <w:bookmarkEnd w:id="140"/>
      <w:r>
        <w:t>in</w:t>
      </w:r>
    </w:p>
    <w:p w:rsidR="00B951B1" w:rsidRPr="00E61612" w:rsidRDefault="00B951B1" w:rsidP="00B951B1">
      <w:pPr>
        <w:autoSpaceDE w:val="0"/>
        <w:autoSpaceDN w:val="0"/>
        <w:adjustRightInd w:val="0"/>
        <w:spacing w:before="120" w:after="0"/>
        <w:jc w:val="both"/>
        <w:rPr>
          <w:rFonts w:eastAsia="Calibri" w:cs="Calibri"/>
        </w:rPr>
      </w:pPr>
      <w:r w:rsidRPr="00E61612">
        <w:rPr>
          <w:rFonts w:eastAsia="Calibri" w:cs="Calibri"/>
        </w:rPr>
        <w:t xml:space="preserve">Kostimi i Strategjisë është realizuar </w:t>
      </w:r>
      <w:r>
        <w:rPr>
          <w:rFonts w:eastAsia="Calibri" w:cs="Calibri"/>
        </w:rPr>
        <w:t>në bazë të</w:t>
      </w:r>
      <w:r w:rsidRPr="00E61612">
        <w:rPr>
          <w:rFonts w:eastAsia="Calibri" w:cs="Calibri"/>
        </w:rPr>
        <w:t xml:space="preserve"> metodologji</w:t>
      </w:r>
      <w:r>
        <w:rPr>
          <w:rFonts w:eastAsia="Calibri" w:cs="Calibri"/>
        </w:rPr>
        <w:t>ve</w:t>
      </w:r>
      <w:r w:rsidRPr="00E61612">
        <w:rPr>
          <w:rFonts w:eastAsia="Calibri" w:cs="Calibri"/>
        </w:rPr>
        <w:t xml:space="preserve"> dhe praktikë</w:t>
      </w:r>
      <w:r>
        <w:rPr>
          <w:rFonts w:eastAsia="Calibri" w:cs="Calibri"/>
        </w:rPr>
        <w:t>s</w:t>
      </w:r>
      <w:r w:rsidRPr="00E61612">
        <w:rPr>
          <w:rFonts w:eastAsia="Calibri" w:cs="Calibri"/>
        </w:rPr>
        <w:t xml:space="preserve"> </w:t>
      </w:r>
      <w:r>
        <w:rPr>
          <w:rFonts w:eastAsia="Calibri" w:cs="Calibri"/>
        </w:rPr>
        <w:t>së</w:t>
      </w:r>
      <w:r w:rsidRPr="00E61612">
        <w:rPr>
          <w:rFonts w:eastAsia="Calibri" w:cs="Calibri"/>
        </w:rPr>
        <w:t xml:space="preserve"> planifikimit buxhetor, me qëllim përcaktimi</w:t>
      </w:r>
      <w:r>
        <w:rPr>
          <w:rFonts w:eastAsia="Calibri" w:cs="Calibri"/>
        </w:rPr>
        <w:t>n</w:t>
      </w:r>
      <w:r w:rsidRPr="00E61612">
        <w:rPr>
          <w:rFonts w:eastAsia="Calibri" w:cs="Calibri"/>
        </w:rPr>
        <w:t xml:space="preserve"> </w:t>
      </w:r>
      <w:r>
        <w:rPr>
          <w:rFonts w:eastAsia="Calibri" w:cs="Calibri"/>
        </w:rPr>
        <w:t>e</w:t>
      </w:r>
      <w:r w:rsidRPr="00E61612">
        <w:rPr>
          <w:rFonts w:eastAsia="Calibri" w:cs="Calibri"/>
        </w:rPr>
        <w:t xml:space="preserve"> kostos shtesë për zbatimin e Strategjisë dhe hendekut financiar në raport me fondet </w:t>
      </w:r>
      <w:r w:rsidRPr="00E61612">
        <w:rPr>
          <w:rFonts w:eastAsia="Calibri" w:cs="Calibri"/>
        </w:rPr>
        <w:lastRenderedPageBreak/>
        <w:t xml:space="preserve">buxhetore të planifikuara </w:t>
      </w:r>
      <w:r>
        <w:rPr>
          <w:rFonts w:eastAsia="Calibri" w:cs="Calibri"/>
        </w:rPr>
        <w:t>në</w:t>
      </w:r>
      <w:r w:rsidRPr="00E61612">
        <w:rPr>
          <w:rFonts w:eastAsia="Calibri" w:cs="Calibri"/>
        </w:rPr>
        <w:t xml:space="preserve"> PBA 2021-2023 dhe nga financimi i donatorëve. </w:t>
      </w:r>
      <w:r>
        <w:rPr>
          <w:rFonts w:eastAsia="Calibri" w:cs="Calibri"/>
        </w:rPr>
        <w:t>Përllogaritjet</w:t>
      </w:r>
      <w:r w:rsidRPr="00E61612">
        <w:rPr>
          <w:rFonts w:eastAsia="Calibri" w:cs="Calibri"/>
        </w:rPr>
        <w:t xml:space="preserve"> buxhetore janë bërë duke </w:t>
      </w:r>
      <w:r>
        <w:rPr>
          <w:rFonts w:eastAsia="Calibri" w:cs="Calibri"/>
        </w:rPr>
        <w:t>përdorur</w:t>
      </w:r>
      <w:r w:rsidRPr="00E61612">
        <w:rPr>
          <w:rFonts w:eastAsia="Calibri" w:cs="Calibri"/>
        </w:rPr>
        <w:t xml:space="preserve"> instrumentin e rekomanduar nga IPSIS [82], të përshtatur sipas udhëzimeve përkatëse.</w:t>
      </w:r>
    </w:p>
    <w:p w:rsidR="00B951B1" w:rsidRPr="00E61612" w:rsidRDefault="00B951B1" w:rsidP="00B951B1">
      <w:pPr>
        <w:autoSpaceDE w:val="0"/>
        <w:autoSpaceDN w:val="0"/>
        <w:adjustRightInd w:val="0"/>
        <w:spacing w:after="0"/>
        <w:jc w:val="both"/>
      </w:pPr>
      <w:r w:rsidRPr="00E61612">
        <w:t>Hapi i parë në këtë proces ka qenë identifikimi i shpenzimeve për secil</w:t>
      </w:r>
      <w:r>
        <w:t>ën</w:t>
      </w:r>
      <w:r w:rsidRPr="00E61612">
        <w:t xml:space="preserve"> masë dhe klasifikimi i tyre në kategori shpenzuese të paracaktuara. Për shpenzimet që përsëriten më shpesh janë përcaktuar kostot standarde përmes </w:t>
      </w:r>
      <w:r>
        <w:t>studimit</w:t>
      </w:r>
      <w:r w:rsidRPr="00E61612">
        <w:t xml:space="preserve"> të tregut dhe konsultimeve me ekspertë, p.sh. kosto për organizime të trajnimeve, paga, pajisje të ndryshme, si dhe materiale dhe shërbime të tjera. </w:t>
      </w:r>
      <w:r>
        <w:t>Më pas</w:t>
      </w:r>
      <w:r w:rsidRPr="00E61612">
        <w:t xml:space="preserve">, është bërë </w:t>
      </w:r>
      <w:r>
        <w:t>përllogaritja</w:t>
      </w:r>
      <w:r w:rsidRPr="00E61612">
        <w:t xml:space="preserve"> </w:t>
      </w:r>
      <w:r>
        <w:t>e</w:t>
      </w:r>
      <w:r w:rsidRPr="00E61612">
        <w:t xml:space="preserve"> kostos sipas viteve, duke bërë kujdes që hendeku për vitet 2021-2023 të jetë sa më i vogël. </w:t>
      </w:r>
    </w:p>
    <w:p w:rsidR="00B951B1" w:rsidRPr="00E61612" w:rsidRDefault="00B951B1" w:rsidP="00B951B1">
      <w:pPr>
        <w:spacing w:after="0"/>
        <w:jc w:val="both"/>
        <w:rPr>
          <w:rFonts w:cs="Calibri"/>
        </w:rPr>
      </w:pPr>
      <w:r w:rsidRPr="00E61612">
        <w:rPr>
          <w:rFonts w:cs="Calibri"/>
        </w:rPr>
        <w:t xml:space="preserve">Kostoja totale për zbatimin e Strategjisë është </w:t>
      </w:r>
      <w:r w:rsidR="00FA5606" w:rsidRPr="00FA5606">
        <w:rPr>
          <w:rFonts w:cstheme="minorHAnsi"/>
        </w:rPr>
        <w:t>51.54</w:t>
      </w:r>
      <w:r w:rsidR="00CB78E6" w:rsidRPr="000E13A7">
        <w:rPr>
          <w:rFonts w:ascii="Calibri" w:hAnsi="Calibri" w:cstheme="minorHAnsi"/>
        </w:rPr>
        <w:t xml:space="preserve"> </w:t>
      </w:r>
      <w:r w:rsidRPr="00E61612">
        <w:rPr>
          <w:rFonts w:cs="Calibri"/>
        </w:rPr>
        <w:t>miliard</w:t>
      </w:r>
      <w:r>
        <w:rPr>
          <w:rFonts w:cs="Calibri"/>
        </w:rPr>
        <w:t>ë</w:t>
      </w:r>
      <w:r w:rsidRPr="00E61612">
        <w:rPr>
          <w:rFonts w:cs="Calibri"/>
        </w:rPr>
        <w:t xml:space="preserve"> lekë, prej të cilave </w:t>
      </w:r>
      <w:r w:rsidR="00CB78E6" w:rsidRPr="008E2BF1">
        <w:rPr>
          <w:rFonts w:cstheme="minorHAnsi"/>
          <w:highlight w:val="yellow"/>
        </w:rPr>
        <w:t>36.23</w:t>
      </w:r>
      <w:r w:rsidR="00CB78E6" w:rsidRPr="000E13A7">
        <w:rPr>
          <w:rFonts w:ascii="Calibri" w:hAnsi="Calibri" w:cstheme="minorHAnsi"/>
        </w:rPr>
        <w:t xml:space="preserve"> </w:t>
      </w:r>
      <w:r w:rsidRPr="00E61612">
        <w:rPr>
          <w:rFonts w:cs="Calibri"/>
        </w:rPr>
        <w:t>miliard</w:t>
      </w:r>
      <w:r>
        <w:rPr>
          <w:rFonts w:cs="Calibri"/>
        </w:rPr>
        <w:t>ë</w:t>
      </w:r>
      <w:r w:rsidRPr="00E61612">
        <w:rPr>
          <w:rFonts w:cs="Calibri"/>
        </w:rPr>
        <w:t xml:space="preserve"> (</w:t>
      </w:r>
      <w:r w:rsidR="00CB78E6" w:rsidRPr="008E2BF1">
        <w:rPr>
          <w:rFonts w:cstheme="minorHAnsi"/>
          <w:highlight w:val="yellow"/>
        </w:rPr>
        <w:t>70.3%</w:t>
      </w:r>
      <w:r w:rsidRPr="00E61612">
        <w:rPr>
          <w:rFonts w:cs="Calibri"/>
        </w:rPr>
        <w:t>) për Arsimin Parauniversitar (Qëllimi i politikës A), 135.04 milionë (0.3%) për Menaxhimin e Sistemit të Arsimit (Qëllimi i politikës B) dhe 15.17 miliard</w:t>
      </w:r>
      <w:r>
        <w:rPr>
          <w:rFonts w:cs="Calibri"/>
        </w:rPr>
        <w:t>ë</w:t>
      </w:r>
      <w:r w:rsidRPr="00E61612">
        <w:rPr>
          <w:rFonts w:cs="Calibri"/>
        </w:rPr>
        <w:t xml:space="preserve"> (29.8%) për Arsimin e Lartë (Qëllimi i politikës C) (</w:t>
      </w:r>
      <w:fldSimple w:instr=" REF _Ref64467134  \* MERGEFORMAT ">
        <w:r w:rsidRPr="00E61612">
          <w:t>Tabela 14</w:t>
        </w:r>
      </w:fldSimple>
      <w:r w:rsidRPr="00E61612">
        <w:rPr>
          <w:rFonts w:cs="Calibri"/>
        </w:rPr>
        <w:t>).</w:t>
      </w:r>
    </w:p>
    <w:p w:rsidR="00B951B1" w:rsidRPr="00E61612" w:rsidRDefault="00B951B1" w:rsidP="00B951B1">
      <w:pPr>
        <w:pStyle w:val="Caption"/>
        <w:spacing w:before="120" w:after="120" w:line="276" w:lineRule="auto"/>
        <w:rPr>
          <w:rFonts w:cs="Calibri"/>
          <w:b w:val="0"/>
          <w:color w:val="auto"/>
          <w:sz w:val="22"/>
        </w:rPr>
      </w:pPr>
      <w:bookmarkStart w:id="141" w:name="_Ref64467134"/>
      <w:bookmarkStart w:id="142" w:name="_Toc66802048"/>
      <w:r w:rsidRPr="00E61612">
        <w:rPr>
          <w:color w:val="auto"/>
          <w:sz w:val="22"/>
        </w:rPr>
        <w:t xml:space="preserve">Tabela </w:t>
      </w:r>
      <w:r w:rsidR="00EC56B7" w:rsidRPr="00E61612">
        <w:rPr>
          <w:color w:val="auto"/>
          <w:sz w:val="22"/>
        </w:rPr>
        <w:fldChar w:fldCharType="begin"/>
      </w:r>
      <w:r w:rsidRPr="00E61612">
        <w:rPr>
          <w:color w:val="auto"/>
          <w:sz w:val="22"/>
        </w:rPr>
        <w:instrText xml:space="preserve"> SEQ Tabela \* ARABIC </w:instrText>
      </w:r>
      <w:r w:rsidR="00EC56B7" w:rsidRPr="00E61612">
        <w:rPr>
          <w:color w:val="auto"/>
          <w:sz w:val="22"/>
        </w:rPr>
        <w:fldChar w:fldCharType="separate"/>
      </w:r>
      <w:r w:rsidRPr="00E61612">
        <w:rPr>
          <w:color w:val="auto"/>
          <w:sz w:val="22"/>
        </w:rPr>
        <w:t>14</w:t>
      </w:r>
      <w:r w:rsidR="00EC56B7" w:rsidRPr="00E61612">
        <w:rPr>
          <w:color w:val="auto"/>
          <w:sz w:val="22"/>
        </w:rPr>
        <w:fldChar w:fldCharType="end"/>
      </w:r>
      <w:bookmarkEnd w:id="141"/>
      <w:r w:rsidRPr="00E61612">
        <w:rPr>
          <w:color w:val="auto"/>
          <w:sz w:val="22"/>
        </w:rPr>
        <w:t>.</w:t>
      </w:r>
      <w:r w:rsidRPr="00E61612">
        <w:rPr>
          <w:rFonts w:cs="Calibri"/>
          <w:color w:val="auto"/>
          <w:sz w:val="22"/>
        </w:rPr>
        <w:t xml:space="preserve"> </w:t>
      </w:r>
      <w:r w:rsidRPr="00E61612">
        <w:rPr>
          <w:rFonts w:cs="Calibri"/>
          <w:b w:val="0"/>
          <w:color w:val="auto"/>
          <w:sz w:val="22"/>
        </w:rPr>
        <w:t>Kostoja indikative e SKA 2021-2026 në vite (në 000 lekë)</w:t>
      </w:r>
      <w:bookmarkEnd w:id="142"/>
    </w:p>
    <w:tbl>
      <w:tblPr>
        <w:tblW w:w="5000" w:type="pct"/>
        <w:tblLayout w:type="fixed"/>
        <w:tblLook w:val="04A0" w:firstRow="1" w:lastRow="0" w:firstColumn="1" w:lastColumn="0" w:noHBand="0" w:noVBand="1"/>
      </w:tblPr>
      <w:tblGrid>
        <w:gridCol w:w="238"/>
        <w:gridCol w:w="1551"/>
        <w:gridCol w:w="1225"/>
        <w:gridCol w:w="970"/>
        <w:gridCol w:w="1109"/>
        <w:gridCol w:w="1108"/>
        <w:gridCol w:w="1108"/>
        <w:gridCol w:w="964"/>
        <w:gridCol w:w="1050"/>
      </w:tblGrid>
      <w:tr w:rsidR="00576DF2" w:rsidRPr="00E61612" w:rsidTr="00576DF2">
        <w:trPr>
          <w:trHeight w:val="420"/>
          <w:tblHeader/>
        </w:trPr>
        <w:tc>
          <w:tcPr>
            <w:tcW w:w="96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B951B1" w:rsidRPr="00E61612" w:rsidRDefault="00B951B1" w:rsidP="000774C6">
            <w:pPr>
              <w:spacing w:after="0"/>
              <w:jc w:val="center"/>
              <w:rPr>
                <w:rFonts w:cs="Calibri"/>
                <w:b/>
                <w:bCs/>
                <w:color w:val="000000"/>
                <w:sz w:val="18"/>
                <w:szCs w:val="18"/>
              </w:rPr>
            </w:pPr>
            <w:r w:rsidRPr="00E61612">
              <w:rPr>
                <w:rFonts w:cs="Calibri"/>
                <w:b/>
                <w:bCs/>
                <w:color w:val="000000"/>
                <w:sz w:val="18"/>
                <w:szCs w:val="18"/>
              </w:rPr>
              <w:t>Qëllimi i politikës</w:t>
            </w:r>
          </w:p>
        </w:tc>
        <w:tc>
          <w:tcPr>
            <w:tcW w:w="657" w:type="pct"/>
            <w:tcBorders>
              <w:top w:val="single" w:sz="4" w:space="0" w:color="auto"/>
              <w:left w:val="nil"/>
              <w:bottom w:val="single" w:sz="4" w:space="0" w:color="auto"/>
              <w:right w:val="single" w:sz="4" w:space="0" w:color="auto"/>
            </w:tcBorders>
            <w:shd w:val="clear" w:color="000000" w:fill="FFFFFF"/>
            <w:hideMark/>
          </w:tcPr>
          <w:p w:rsidR="00B951B1" w:rsidRPr="00E61612" w:rsidRDefault="00B951B1" w:rsidP="000774C6">
            <w:pPr>
              <w:spacing w:after="0"/>
              <w:jc w:val="center"/>
              <w:rPr>
                <w:rFonts w:cs="Calibri"/>
                <w:b/>
                <w:bCs/>
                <w:color w:val="000000"/>
                <w:sz w:val="18"/>
                <w:szCs w:val="18"/>
              </w:rPr>
            </w:pPr>
            <w:r w:rsidRPr="00E61612">
              <w:rPr>
                <w:rFonts w:cs="Calibri"/>
                <w:b/>
                <w:bCs/>
                <w:color w:val="000000"/>
                <w:sz w:val="18"/>
                <w:szCs w:val="18"/>
              </w:rPr>
              <w:t>Totali 2021-2026</w:t>
            </w:r>
          </w:p>
        </w:tc>
        <w:tc>
          <w:tcPr>
            <w:tcW w:w="520" w:type="pct"/>
            <w:tcBorders>
              <w:top w:val="single" w:sz="4" w:space="0" w:color="auto"/>
              <w:left w:val="nil"/>
              <w:bottom w:val="single" w:sz="4" w:space="0" w:color="auto"/>
              <w:right w:val="single" w:sz="4" w:space="0" w:color="auto"/>
            </w:tcBorders>
            <w:shd w:val="clear" w:color="000000" w:fill="DDEBF7"/>
            <w:hideMark/>
          </w:tcPr>
          <w:p w:rsidR="00B951B1" w:rsidRPr="00E61612" w:rsidRDefault="00B951B1" w:rsidP="000774C6">
            <w:pPr>
              <w:spacing w:after="0"/>
              <w:jc w:val="center"/>
              <w:rPr>
                <w:rFonts w:cs="Calibri"/>
                <w:b/>
                <w:bCs/>
                <w:color w:val="000000"/>
                <w:sz w:val="18"/>
                <w:szCs w:val="18"/>
              </w:rPr>
            </w:pPr>
            <w:r w:rsidRPr="00E61612">
              <w:rPr>
                <w:rFonts w:cs="Calibri"/>
                <w:b/>
                <w:bCs/>
                <w:color w:val="000000"/>
                <w:sz w:val="18"/>
                <w:szCs w:val="18"/>
              </w:rPr>
              <w:t>Viti 2021</w:t>
            </w:r>
          </w:p>
        </w:tc>
        <w:tc>
          <w:tcPr>
            <w:tcW w:w="595" w:type="pct"/>
            <w:tcBorders>
              <w:top w:val="single" w:sz="4" w:space="0" w:color="auto"/>
              <w:left w:val="nil"/>
              <w:bottom w:val="single" w:sz="4" w:space="0" w:color="auto"/>
              <w:right w:val="single" w:sz="4" w:space="0" w:color="auto"/>
            </w:tcBorders>
            <w:shd w:val="clear" w:color="000000" w:fill="FCE4D6"/>
            <w:hideMark/>
          </w:tcPr>
          <w:p w:rsidR="00B951B1" w:rsidRPr="00E61612" w:rsidRDefault="00B951B1" w:rsidP="000774C6">
            <w:pPr>
              <w:spacing w:after="0"/>
              <w:jc w:val="center"/>
              <w:rPr>
                <w:rFonts w:cs="Calibri"/>
                <w:b/>
                <w:bCs/>
                <w:color w:val="000000"/>
                <w:sz w:val="18"/>
                <w:szCs w:val="18"/>
              </w:rPr>
            </w:pPr>
            <w:r w:rsidRPr="00E61612">
              <w:rPr>
                <w:rFonts w:cs="Calibri"/>
                <w:b/>
                <w:bCs/>
                <w:color w:val="000000"/>
                <w:sz w:val="18"/>
                <w:szCs w:val="18"/>
              </w:rPr>
              <w:t>Viti 2022</w:t>
            </w:r>
          </w:p>
        </w:tc>
        <w:tc>
          <w:tcPr>
            <w:tcW w:w="594" w:type="pct"/>
            <w:tcBorders>
              <w:top w:val="single" w:sz="4" w:space="0" w:color="auto"/>
              <w:left w:val="nil"/>
              <w:bottom w:val="single" w:sz="4" w:space="0" w:color="auto"/>
              <w:right w:val="single" w:sz="4" w:space="0" w:color="auto"/>
            </w:tcBorders>
            <w:shd w:val="clear" w:color="000000" w:fill="DDEBF7"/>
            <w:hideMark/>
          </w:tcPr>
          <w:p w:rsidR="00B951B1" w:rsidRPr="00E61612" w:rsidRDefault="00B951B1" w:rsidP="000774C6">
            <w:pPr>
              <w:spacing w:after="0"/>
              <w:jc w:val="center"/>
              <w:rPr>
                <w:rFonts w:cs="Calibri"/>
                <w:b/>
                <w:bCs/>
                <w:color w:val="000000"/>
                <w:sz w:val="18"/>
                <w:szCs w:val="18"/>
              </w:rPr>
            </w:pPr>
            <w:r w:rsidRPr="00E61612">
              <w:rPr>
                <w:rFonts w:cs="Calibri"/>
                <w:b/>
                <w:bCs/>
                <w:color w:val="000000"/>
                <w:sz w:val="18"/>
                <w:szCs w:val="18"/>
              </w:rPr>
              <w:t>Viti 2023</w:t>
            </w:r>
          </w:p>
        </w:tc>
        <w:tc>
          <w:tcPr>
            <w:tcW w:w="594" w:type="pct"/>
            <w:tcBorders>
              <w:top w:val="single" w:sz="4" w:space="0" w:color="auto"/>
              <w:left w:val="nil"/>
              <w:bottom w:val="single" w:sz="4" w:space="0" w:color="auto"/>
              <w:right w:val="single" w:sz="4" w:space="0" w:color="auto"/>
            </w:tcBorders>
            <w:shd w:val="clear" w:color="000000" w:fill="FCE4D6"/>
            <w:hideMark/>
          </w:tcPr>
          <w:p w:rsidR="00B951B1" w:rsidRPr="00E61612" w:rsidRDefault="00B951B1" w:rsidP="000774C6">
            <w:pPr>
              <w:spacing w:after="0"/>
              <w:jc w:val="center"/>
              <w:rPr>
                <w:rFonts w:cs="Calibri"/>
                <w:b/>
                <w:bCs/>
                <w:color w:val="000000"/>
                <w:sz w:val="18"/>
                <w:szCs w:val="18"/>
              </w:rPr>
            </w:pPr>
            <w:r w:rsidRPr="00E61612">
              <w:rPr>
                <w:rFonts w:cs="Calibri"/>
                <w:b/>
                <w:bCs/>
                <w:color w:val="000000"/>
                <w:sz w:val="18"/>
                <w:szCs w:val="18"/>
              </w:rPr>
              <w:t>Viti 2024</w:t>
            </w:r>
          </w:p>
        </w:tc>
        <w:tc>
          <w:tcPr>
            <w:tcW w:w="517" w:type="pct"/>
            <w:tcBorders>
              <w:top w:val="single" w:sz="4" w:space="0" w:color="auto"/>
              <w:left w:val="nil"/>
              <w:bottom w:val="single" w:sz="4" w:space="0" w:color="auto"/>
              <w:right w:val="single" w:sz="4" w:space="0" w:color="auto"/>
            </w:tcBorders>
            <w:shd w:val="clear" w:color="000000" w:fill="DDEBF7"/>
            <w:hideMark/>
          </w:tcPr>
          <w:p w:rsidR="00B951B1" w:rsidRPr="00E61612" w:rsidRDefault="00B951B1" w:rsidP="000774C6">
            <w:pPr>
              <w:spacing w:after="0"/>
              <w:jc w:val="center"/>
              <w:rPr>
                <w:rFonts w:cs="Calibri"/>
                <w:b/>
                <w:bCs/>
                <w:color w:val="000000"/>
                <w:sz w:val="18"/>
                <w:szCs w:val="18"/>
              </w:rPr>
            </w:pPr>
            <w:r w:rsidRPr="00E61612">
              <w:rPr>
                <w:rFonts w:cs="Calibri"/>
                <w:b/>
                <w:bCs/>
                <w:color w:val="000000"/>
                <w:sz w:val="18"/>
                <w:szCs w:val="18"/>
              </w:rPr>
              <w:t>Viti 2025</w:t>
            </w:r>
          </w:p>
        </w:tc>
        <w:tc>
          <w:tcPr>
            <w:tcW w:w="564" w:type="pct"/>
            <w:tcBorders>
              <w:top w:val="single" w:sz="4" w:space="0" w:color="auto"/>
              <w:left w:val="nil"/>
              <w:bottom w:val="single" w:sz="4" w:space="0" w:color="auto"/>
              <w:right w:val="single" w:sz="4" w:space="0" w:color="auto"/>
            </w:tcBorders>
            <w:shd w:val="clear" w:color="000000" w:fill="FCE4D6"/>
            <w:hideMark/>
          </w:tcPr>
          <w:p w:rsidR="00B951B1" w:rsidRPr="00E61612" w:rsidRDefault="00B951B1" w:rsidP="000774C6">
            <w:pPr>
              <w:spacing w:after="0"/>
              <w:jc w:val="center"/>
              <w:rPr>
                <w:rFonts w:cs="Calibri"/>
                <w:b/>
                <w:bCs/>
                <w:color w:val="000000"/>
                <w:sz w:val="18"/>
                <w:szCs w:val="18"/>
              </w:rPr>
            </w:pPr>
            <w:r w:rsidRPr="00E61612">
              <w:rPr>
                <w:rFonts w:cs="Calibri"/>
                <w:b/>
                <w:bCs/>
                <w:color w:val="000000"/>
                <w:sz w:val="18"/>
                <w:szCs w:val="18"/>
              </w:rPr>
              <w:t>Viti 2026</w:t>
            </w:r>
          </w:p>
        </w:tc>
      </w:tr>
      <w:tr w:rsidR="00576DF2" w:rsidRPr="00E61612" w:rsidTr="00576DF2">
        <w:trPr>
          <w:trHeight w:val="270"/>
        </w:trPr>
        <w:tc>
          <w:tcPr>
            <w:tcW w:w="960" w:type="pct"/>
            <w:gridSpan w:val="2"/>
            <w:tcBorders>
              <w:top w:val="single" w:sz="4" w:space="0" w:color="auto"/>
              <w:left w:val="single" w:sz="4" w:space="0" w:color="auto"/>
              <w:bottom w:val="single" w:sz="4" w:space="0" w:color="auto"/>
              <w:right w:val="single" w:sz="4" w:space="0" w:color="auto"/>
            </w:tcBorders>
            <w:shd w:val="clear" w:color="000000" w:fill="FFFFFF"/>
            <w:hideMark/>
          </w:tcPr>
          <w:p w:rsidR="00576DF2" w:rsidRPr="00E61612" w:rsidRDefault="00576DF2" w:rsidP="000774C6">
            <w:pPr>
              <w:spacing w:after="0"/>
              <w:rPr>
                <w:rFonts w:cs="Calibri"/>
                <w:color w:val="000000"/>
                <w:sz w:val="18"/>
                <w:szCs w:val="18"/>
              </w:rPr>
            </w:pPr>
            <w:r w:rsidRPr="00E61612">
              <w:rPr>
                <w:rFonts w:cs="Calibri"/>
                <w:color w:val="000000"/>
                <w:sz w:val="18"/>
                <w:szCs w:val="18"/>
              </w:rPr>
              <w:t xml:space="preserve">Qëllimi i politikës A: Arsim parauniversitar cilësor dhe gjithëpërfshirës që krijon kushte </w:t>
            </w:r>
            <w:r>
              <w:rPr>
                <w:rFonts w:cs="Calibri"/>
                <w:color w:val="000000"/>
                <w:sz w:val="18"/>
                <w:szCs w:val="18"/>
              </w:rPr>
              <w:t xml:space="preserve">në mënyrë </w:t>
            </w:r>
            <w:r w:rsidRPr="00E61612">
              <w:rPr>
                <w:rFonts w:cs="Calibri"/>
                <w:color w:val="000000"/>
                <w:sz w:val="18"/>
                <w:szCs w:val="18"/>
              </w:rPr>
              <w:t xml:space="preserve">që nxënësit të zhvillojnë njohuri, shkathtësi, qëndrime dhe vlera në </w:t>
            </w:r>
            <w:r>
              <w:rPr>
                <w:rFonts w:cs="Calibri"/>
                <w:color w:val="000000"/>
                <w:sz w:val="18"/>
                <w:szCs w:val="18"/>
              </w:rPr>
              <w:t>përputhje</w:t>
            </w:r>
            <w:r w:rsidRPr="00E61612">
              <w:rPr>
                <w:rFonts w:cs="Calibri"/>
                <w:color w:val="000000"/>
                <w:sz w:val="18"/>
                <w:szCs w:val="18"/>
              </w:rPr>
              <w:t xml:space="preserve"> me kërkesat e shoqërisë demokratike; të përballen në mënyrë konstruktive me sfidat e jetës, si dhe të kontribuojnë në ndërtimin e mirëqenies vetjake dhe të shoqërisë</w:t>
            </w:r>
          </w:p>
        </w:tc>
        <w:tc>
          <w:tcPr>
            <w:tcW w:w="657" w:type="pct"/>
            <w:tcBorders>
              <w:top w:val="nil"/>
              <w:left w:val="nil"/>
              <w:bottom w:val="single" w:sz="4" w:space="0" w:color="auto"/>
              <w:right w:val="single" w:sz="4" w:space="0" w:color="auto"/>
            </w:tcBorders>
            <w:shd w:val="clear" w:color="000000" w:fill="FFFFFF"/>
            <w:noWrap/>
            <w:hideMark/>
          </w:tcPr>
          <w:p w:rsidR="00576DF2" w:rsidRPr="00576DF2" w:rsidRDefault="00576DF2" w:rsidP="000774C6">
            <w:pPr>
              <w:spacing w:after="0"/>
              <w:jc w:val="right"/>
              <w:rPr>
                <w:rFonts w:cs="Calibri"/>
                <w:sz w:val="18"/>
                <w:szCs w:val="18"/>
              </w:rPr>
            </w:pPr>
            <w:r w:rsidRPr="00576DF2">
              <w:rPr>
                <w:rFonts w:ascii="Calibri" w:hAnsi="Calibri" w:cs="Calibri"/>
                <w:sz w:val="18"/>
                <w:szCs w:val="18"/>
              </w:rPr>
              <w:t xml:space="preserve">        </w:t>
            </w:r>
            <w:r w:rsidR="00FA5606" w:rsidRPr="00FA5606">
              <w:rPr>
                <w:rFonts w:ascii="Calibri" w:hAnsi="Calibri" w:cs="Calibri"/>
                <w:sz w:val="18"/>
                <w:szCs w:val="18"/>
              </w:rPr>
              <w:t>36,234,000</w:t>
            </w:r>
            <w:r w:rsidRPr="00576DF2">
              <w:rPr>
                <w:rFonts w:ascii="Calibri" w:hAnsi="Calibri" w:cs="Calibri"/>
                <w:sz w:val="18"/>
                <w:szCs w:val="18"/>
              </w:rPr>
              <w:t xml:space="preserve"> </w:t>
            </w:r>
          </w:p>
        </w:tc>
        <w:tc>
          <w:tcPr>
            <w:tcW w:w="520" w:type="pct"/>
            <w:tcBorders>
              <w:top w:val="nil"/>
              <w:left w:val="nil"/>
              <w:bottom w:val="single" w:sz="4" w:space="0" w:color="auto"/>
              <w:right w:val="single" w:sz="4" w:space="0" w:color="auto"/>
            </w:tcBorders>
            <w:shd w:val="clear" w:color="000000" w:fill="FFFFFF"/>
            <w:noWrap/>
            <w:hideMark/>
          </w:tcPr>
          <w:p w:rsidR="00576DF2" w:rsidRPr="00576DF2" w:rsidRDefault="00576DF2" w:rsidP="000774C6">
            <w:pPr>
              <w:spacing w:after="0"/>
              <w:jc w:val="right"/>
              <w:rPr>
                <w:rFonts w:cs="Calibri"/>
                <w:sz w:val="18"/>
                <w:szCs w:val="18"/>
              </w:rPr>
            </w:pPr>
            <w:r w:rsidRPr="00576DF2">
              <w:rPr>
                <w:rFonts w:ascii="Calibri" w:hAnsi="Calibri" w:cs="Calibri"/>
                <w:sz w:val="18"/>
                <w:szCs w:val="18"/>
              </w:rPr>
              <w:t xml:space="preserve">          4,697,269 </w:t>
            </w:r>
          </w:p>
        </w:tc>
        <w:tc>
          <w:tcPr>
            <w:tcW w:w="595" w:type="pct"/>
            <w:tcBorders>
              <w:top w:val="nil"/>
              <w:left w:val="nil"/>
              <w:bottom w:val="single" w:sz="4" w:space="0" w:color="auto"/>
              <w:right w:val="single" w:sz="4" w:space="0" w:color="auto"/>
            </w:tcBorders>
            <w:shd w:val="clear" w:color="000000" w:fill="FFFFFF"/>
            <w:noWrap/>
            <w:hideMark/>
          </w:tcPr>
          <w:p w:rsidR="00576DF2" w:rsidRPr="00576DF2" w:rsidRDefault="00576DF2" w:rsidP="000774C6">
            <w:pPr>
              <w:spacing w:after="0"/>
              <w:jc w:val="right"/>
              <w:rPr>
                <w:rFonts w:cs="Calibri"/>
                <w:sz w:val="18"/>
                <w:szCs w:val="18"/>
              </w:rPr>
            </w:pPr>
            <w:r w:rsidRPr="00576DF2">
              <w:rPr>
                <w:rFonts w:ascii="Calibri" w:hAnsi="Calibri" w:cs="Calibri"/>
                <w:sz w:val="18"/>
                <w:szCs w:val="18"/>
              </w:rPr>
              <w:t xml:space="preserve">       </w:t>
            </w:r>
            <w:r w:rsidR="00FA5606" w:rsidRPr="00FA5606">
              <w:rPr>
                <w:rFonts w:ascii="Calibri" w:hAnsi="Calibri" w:cs="Calibri"/>
                <w:sz w:val="18"/>
                <w:szCs w:val="18"/>
              </w:rPr>
              <w:t>4,480,413</w:t>
            </w:r>
            <w:r w:rsidRPr="00576DF2">
              <w:rPr>
                <w:rFonts w:ascii="Calibri" w:hAnsi="Calibri" w:cs="Calibri"/>
                <w:sz w:val="18"/>
                <w:szCs w:val="18"/>
              </w:rPr>
              <w:t xml:space="preserve"> </w:t>
            </w:r>
          </w:p>
        </w:tc>
        <w:tc>
          <w:tcPr>
            <w:tcW w:w="594" w:type="pct"/>
            <w:tcBorders>
              <w:top w:val="nil"/>
              <w:left w:val="nil"/>
              <w:bottom w:val="single" w:sz="4" w:space="0" w:color="auto"/>
              <w:right w:val="single" w:sz="4" w:space="0" w:color="auto"/>
            </w:tcBorders>
            <w:shd w:val="clear" w:color="000000" w:fill="FFFFFF"/>
            <w:noWrap/>
            <w:hideMark/>
          </w:tcPr>
          <w:p w:rsidR="00576DF2" w:rsidRPr="00576DF2" w:rsidRDefault="00576DF2" w:rsidP="000774C6">
            <w:pPr>
              <w:spacing w:after="0"/>
              <w:jc w:val="right"/>
              <w:rPr>
                <w:rFonts w:cs="Calibri"/>
                <w:sz w:val="18"/>
                <w:szCs w:val="18"/>
              </w:rPr>
            </w:pPr>
            <w:r w:rsidRPr="00576DF2">
              <w:rPr>
                <w:rFonts w:ascii="Calibri" w:hAnsi="Calibri" w:cs="Calibri"/>
                <w:sz w:val="18"/>
                <w:szCs w:val="18"/>
              </w:rPr>
              <w:t xml:space="preserve">         </w:t>
            </w:r>
            <w:r w:rsidR="00FA5606" w:rsidRPr="00FA5606">
              <w:rPr>
                <w:rFonts w:ascii="Calibri" w:hAnsi="Calibri" w:cs="Calibri"/>
                <w:sz w:val="18"/>
                <w:szCs w:val="18"/>
              </w:rPr>
              <w:t>6,205,183</w:t>
            </w:r>
            <w:r w:rsidRPr="00576DF2">
              <w:rPr>
                <w:rFonts w:ascii="Calibri" w:hAnsi="Calibri" w:cs="Calibri"/>
                <w:sz w:val="18"/>
                <w:szCs w:val="18"/>
              </w:rPr>
              <w:t xml:space="preserve"> </w:t>
            </w:r>
          </w:p>
        </w:tc>
        <w:tc>
          <w:tcPr>
            <w:tcW w:w="594" w:type="pct"/>
            <w:tcBorders>
              <w:top w:val="nil"/>
              <w:left w:val="nil"/>
              <w:bottom w:val="single" w:sz="4" w:space="0" w:color="auto"/>
              <w:right w:val="single" w:sz="4" w:space="0" w:color="auto"/>
            </w:tcBorders>
            <w:shd w:val="clear" w:color="000000" w:fill="FFFFFF"/>
            <w:noWrap/>
            <w:hideMark/>
          </w:tcPr>
          <w:p w:rsidR="00576DF2" w:rsidRPr="00576DF2" w:rsidRDefault="00576DF2" w:rsidP="000774C6">
            <w:pPr>
              <w:spacing w:after="0"/>
              <w:jc w:val="right"/>
              <w:rPr>
                <w:rFonts w:cs="Calibri"/>
                <w:sz w:val="18"/>
                <w:szCs w:val="18"/>
              </w:rPr>
            </w:pPr>
            <w:r w:rsidRPr="00576DF2">
              <w:rPr>
                <w:rFonts w:ascii="Calibri" w:hAnsi="Calibri" w:cs="Calibri"/>
                <w:sz w:val="18"/>
                <w:szCs w:val="18"/>
              </w:rPr>
              <w:t xml:space="preserve">       </w:t>
            </w:r>
            <w:r w:rsidR="00FA5606" w:rsidRPr="00FA5606">
              <w:rPr>
                <w:rFonts w:ascii="Calibri" w:hAnsi="Calibri" w:cs="Calibri"/>
                <w:sz w:val="18"/>
                <w:szCs w:val="18"/>
              </w:rPr>
              <w:t>6,577,634</w:t>
            </w:r>
            <w:r w:rsidRPr="00576DF2">
              <w:rPr>
                <w:rFonts w:ascii="Calibri" w:hAnsi="Calibri" w:cs="Calibri"/>
                <w:sz w:val="18"/>
                <w:szCs w:val="18"/>
              </w:rPr>
              <w:t xml:space="preserve"> </w:t>
            </w:r>
          </w:p>
        </w:tc>
        <w:tc>
          <w:tcPr>
            <w:tcW w:w="517" w:type="pct"/>
            <w:tcBorders>
              <w:top w:val="nil"/>
              <w:left w:val="nil"/>
              <w:bottom w:val="single" w:sz="4" w:space="0" w:color="auto"/>
              <w:right w:val="single" w:sz="4" w:space="0" w:color="auto"/>
            </w:tcBorders>
            <w:shd w:val="clear" w:color="000000" w:fill="FFFFFF"/>
            <w:noWrap/>
            <w:hideMark/>
          </w:tcPr>
          <w:p w:rsidR="00576DF2" w:rsidRPr="00576DF2" w:rsidRDefault="00576DF2" w:rsidP="000774C6">
            <w:pPr>
              <w:spacing w:after="0"/>
              <w:jc w:val="right"/>
              <w:rPr>
                <w:rFonts w:cs="Calibri"/>
                <w:sz w:val="18"/>
                <w:szCs w:val="18"/>
              </w:rPr>
            </w:pPr>
            <w:r w:rsidRPr="00576DF2">
              <w:rPr>
                <w:rFonts w:ascii="Calibri" w:hAnsi="Calibri" w:cs="Calibri"/>
                <w:sz w:val="18"/>
                <w:szCs w:val="18"/>
              </w:rPr>
              <w:t xml:space="preserve">       </w:t>
            </w:r>
            <w:r w:rsidR="00FA5606" w:rsidRPr="00FA5606">
              <w:rPr>
                <w:rFonts w:ascii="Calibri" w:hAnsi="Calibri" w:cs="Calibri"/>
                <w:sz w:val="18"/>
                <w:szCs w:val="18"/>
              </w:rPr>
              <w:t>7,046,938</w:t>
            </w:r>
            <w:r w:rsidRPr="00576DF2">
              <w:rPr>
                <w:rFonts w:ascii="Calibri" w:hAnsi="Calibri" w:cs="Calibri"/>
                <w:sz w:val="18"/>
                <w:szCs w:val="18"/>
              </w:rPr>
              <w:t xml:space="preserve"> </w:t>
            </w:r>
          </w:p>
        </w:tc>
        <w:tc>
          <w:tcPr>
            <w:tcW w:w="564" w:type="pct"/>
            <w:tcBorders>
              <w:top w:val="nil"/>
              <w:left w:val="nil"/>
              <w:bottom w:val="single" w:sz="4" w:space="0" w:color="auto"/>
              <w:right w:val="single" w:sz="4" w:space="0" w:color="auto"/>
            </w:tcBorders>
            <w:shd w:val="clear" w:color="000000" w:fill="FFFFFF"/>
            <w:noWrap/>
            <w:hideMark/>
          </w:tcPr>
          <w:p w:rsidR="00576DF2" w:rsidRPr="00576DF2" w:rsidRDefault="00576DF2" w:rsidP="000774C6">
            <w:pPr>
              <w:spacing w:after="0"/>
              <w:jc w:val="right"/>
              <w:rPr>
                <w:rFonts w:cs="Calibri"/>
                <w:sz w:val="18"/>
                <w:szCs w:val="18"/>
              </w:rPr>
            </w:pPr>
            <w:r w:rsidRPr="00576DF2">
              <w:rPr>
                <w:rFonts w:ascii="Calibri" w:hAnsi="Calibri" w:cs="Calibri"/>
                <w:sz w:val="18"/>
                <w:szCs w:val="18"/>
              </w:rPr>
              <w:t xml:space="preserve">           </w:t>
            </w:r>
            <w:r w:rsidR="00FA5606" w:rsidRPr="00FA5606">
              <w:rPr>
                <w:rFonts w:ascii="Calibri" w:hAnsi="Calibri" w:cs="Calibri"/>
                <w:sz w:val="18"/>
                <w:szCs w:val="18"/>
              </w:rPr>
              <w:t>7,226,563</w:t>
            </w:r>
            <w:r w:rsidRPr="00576DF2">
              <w:rPr>
                <w:rFonts w:ascii="Calibri" w:hAnsi="Calibri" w:cs="Calibri"/>
                <w:sz w:val="18"/>
                <w:szCs w:val="18"/>
              </w:rPr>
              <w:t xml:space="preserve"> </w:t>
            </w:r>
          </w:p>
        </w:tc>
      </w:tr>
      <w:tr w:rsidR="00576DF2" w:rsidRPr="00E61612" w:rsidTr="00576DF2">
        <w:trPr>
          <w:trHeight w:val="1226"/>
        </w:trPr>
        <w:tc>
          <w:tcPr>
            <w:tcW w:w="960" w:type="pct"/>
            <w:gridSpan w:val="2"/>
            <w:tcBorders>
              <w:top w:val="single" w:sz="4" w:space="0" w:color="auto"/>
              <w:left w:val="single" w:sz="4" w:space="0" w:color="auto"/>
              <w:bottom w:val="single" w:sz="4" w:space="0" w:color="auto"/>
              <w:right w:val="single" w:sz="4" w:space="0" w:color="auto"/>
            </w:tcBorders>
            <w:shd w:val="clear" w:color="000000" w:fill="FFFFFF"/>
            <w:hideMark/>
          </w:tcPr>
          <w:p w:rsidR="00B951B1" w:rsidRPr="00E61612" w:rsidRDefault="00B951B1" w:rsidP="000774C6">
            <w:pPr>
              <w:spacing w:after="0"/>
              <w:rPr>
                <w:rFonts w:cs="Calibri"/>
                <w:color w:val="000000"/>
                <w:sz w:val="18"/>
                <w:szCs w:val="18"/>
              </w:rPr>
            </w:pPr>
            <w:r w:rsidRPr="00E61612">
              <w:rPr>
                <w:rFonts w:cs="Calibri"/>
                <w:color w:val="000000"/>
                <w:sz w:val="18"/>
                <w:szCs w:val="18"/>
              </w:rPr>
              <w:t xml:space="preserve">Qëllimi i politikës B: Menaxhim </w:t>
            </w:r>
            <w:r>
              <w:rPr>
                <w:rFonts w:cs="Calibri"/>
                <w:color w:val="000000"/>
                <w:sz w:val="18"/>
                <w:szCs w:val="18"/>
              </w:rPr>
              <w:t>efikas</w:t>
            </w:r>
            <w:r w:rsidRPr="00E61612">
              <w:rPr>
                <w:rFonts w:cs="Calibri"/>
                <w:color w:val="000000"/>
                <w:sz w:val="18"/>
                <w:szCs w:val="18"/>
              </w:rPr>
              <w:t xml:space="preserve"> dhe eficient i sistemit të arsimit në të gjitha nivelet, i bazuar në mekanizma funksionalë për sigurimin e cilësisë, transparencës dhe llogaridhënies</w:t>
            </w:r>
          </w:p>
        </w:tc>
        <w:tc>
          <w:tcPr>
            <w:tcW w:w="657" w:type="pct"/>
            <w:tcBorders>
              <w:top w:val="nil"/>
              <w:left w:val="nil"/>
              <w:bottom w:val="single" w:sz="4" w:space="0" w:color="auto"/>
              <w:right w:val="single" w:sz="4" w:space="0" w:color="auto"/>
            </w:tcBorders>
            <w:shd w:val="clear" w:color="000000" w:fill="FFFFFF"/>
            <w:noWrap/>
            <w:hideMark/>
          </w:tcPr>
          <w:p w:rsidR="00B951B1" w:rsidRPr="00E61612" w:rsidRDefault="00B951B1" w:rsidP="000774C6">
            <w:pPr>
              <w:spacing w:after="0"/>
              <w:jc w:val="right"/>
              <w:rPr>
                <w:rFonts w:cs="Calibri"/>
                <w:sz w:val="18"/>
                <w:szCs w:val="18"/>
              </w:rPr>
            </w:pPr>
            <w:r w:rsidRPr="00E61612">
              <w:rPr>
                <w:rFonts w:cs="Calibri"/>
                <w:sz w:val="18"/>
                <w:szCs w:val="18"/>
              </w:rPr>
              <w:t>135,036</w:t>
            </w:r>
          </w:p>
        </w:tc>
        <w:tc>
          <w:tcPr>
            <w:tcW w:w="520" w:type="pct"/>
            <w:tcBorders>
              <w:top w:val="nil"/>
              <w:left w:val="nil"/>
              <w:bottom w:val="single" w:sz="4" w:space="0" w:color="auto"/>
              <w:right w:val="single" w:sz="4" w:space="0" w:color="auto"/>
            </w:tcBorders>
            <w:shd w:val="clear" w:color="000000" w:fill="FFFFFF"/>
            <w:noWrap/>
            <w:hideMark/>
          </w:tcPr>
          <w:p w:rsidR="00B951B1" w:rsidRPr="00E61612" w:rsidRDefault="00B951B1" w:rsidP="000774C6">
            <w:pPr>
              <w:spacing w:after="0"/>
              <w:jc w:val="right"/>
              <w:rPr>
                <w:rFonts w:cs="Calibri"/>
                <w:sz w:val="18"/>
                <w:szCs w:val="18"/>
              </w:rPr>
            </w:pPr>
            <w:r w:rsidRPr="00E61612">
              <w:rPr>
                <w:rFonts w:cs="Calibri"/>
                <w:sz w:val="18"/>
                <w:szCs w:val="18"/>
              </w:rPr>
              <w:t>13,752</w:t>
            </w:r>
          </w:p>
        </w:tc>
        <w:tc>
          <w:tcPr>
            <w:tcW w:w="595" w:type="pct"/>
            <w:tcBorders>
              <w:top w:val="nil"/>
              <w:left w:val="nil"/>
              <w:bottom w:val="single" w:sz="4" w:space="0" w:color="auto"/>
              <w:right w:val="single" w:sz="4" w:space="0" w:color="auto"/>
            </w:tcBorders>
            <w:shd w:val="clear" w:color="000000" w:fill="FFFFFF"/>
            <w:noWrap/>
            <w:hideMark/>
          </w:tcPr>
          <w:p w:rsidR="00B951B1" w:rsidRPr="00E61612" w:rsidRDefault="00B951B1" w:rsidP="000774C6">
            <w:pPr>
              <w:spacing w:after="0"/>
              <w:jc w:val="right"/>
              <w:rPr>
                <w:rFonts w:cs="Calibri"/>
                <w:sz w:val="18"/>
                <w:szCs w:val="18"/>
              </w:rPr>
            </w:pPr>
            <w:r w:rsidRPr="00E61612">
              <w:rPr>
                <w:rFonts w:cs="Calibri"/>
                <w:sz w:val="18"/>
                <w:szCs w:val="18"/>
              </w:rPr>
              <w:t>34,032</w:t>
            </w:r>
          </w:p>
        </w:tc>
        <w:tc>
          <w:tcPr>
            <w:tcW w:w="594" w:type="pct"/>
            <w:tcBorders>
              <w:top w:val="nil"/>
              <w:left w:val="nil"/>
              <w:bottom w:val="single" w:sz="4" w:space="0" w:color="auto"/>
              <w:right w:val="single" w:sz="4" w:space="0" w:color="auto"/>
            </w:tcBorders>
            <w:shd w:val="clear" w:color="000000" w:fill="FFFFFF"/>
            <w:noWrap/>
            <w:hideMark/>
          </w:tcPr>
          <w:p w:rsidR="00B951B1" w:rsidRPr="00E61612" w:rsidRDefault="00B951B1" w:rsidP="000774C6">
            <w:pPr>
              <w:spacing w:after="0"/>
              <w:jc w:val="right"/>
              <w:rPr>
                <w:rFonts w:cs="Calibri"/>
                <w:sz w:val="18"/>
                <w:szCs w:val="18"/>
              </w:rPr>
            </w:pPr>
            <w:r w:rsidRPr="00E61612">
              <w:rPr>
                <w:rFonts w:cs="Calibri"/>
                <w:sz w:val="18"/>
                <w:szCs w:val="18"/>
              </w:rPr>
              <w:t>37,473</w:t>
            </w:r>
          </w:p>
        </w:tc>
        <w:tc>
          <w:tcPr>
            <w:tcW w:w="594" w:type="pct"/>
            <w:tcBorders>
              <w:top w:val="nil"/>
              <w:left w:val="nil"/>
              <w:bottom w:val="single" w:sz="4" w:space="0" w:color="auto"/>
              <w:right w:val="single" w:sz="4" w:space="0" w:color="auto"/>
            </w:tcBorders>
            <w:shd w:val="clear" w:color="000000" w:fill="FFFFFF"/>
            <w:noWrap/>
            <w:hideMark/>
          </w:tcPr>
          <w:p w:rsidR="00B951B1" w:rsidRPr="00E61612" w:rsidRDefault="00B951B1" w:rsidP="000774C6">
            <w:pPr>
              <w:spacing w:after="0"/>
              <w:jc w:val="right"/>
              <w:rPr>
                <w:rFonts w:cs="Calibri"/>
                <w:sz w:val="18"/>
                <w:szCs w:val="18"/>
              </w:rPr>
            </w:pPr>
            <w:r w:rsidRPr="00E61612">
              <w:rPr>
                <w:rFonts w:cs="Calibri"/>
                <w:sz w:val="18"/>
                <w:szCs w:val="18"/>
              </w:rPr>
              <w:t>17,353</w:t>
            </w:r>
          </w:p>
        </w:tc>
        <w:tc>
          <w:tcPr>
            <w:tcW w:w="517" w:type="pct"/>
            <w:tcBorders>
              <w:top w:val="nil"/>
              <w:left w:val="nil"/>
              <w:bottom w:val="single" w:sz="4" w:space="0" w:color="auto"/>
              <w:right w:val="single" w:sz="4" w:space="0" w:color="auto"/>
            </w:tcBorders>
            <w:shd w:val="clear" w:color="000000" w:fill="FFFFFF"/>
            <w:noWrap/>
            <w:hideMark/>
          </w:tcPr>
          <w:p w:rsidR="00B951B1" w:rsidRPr="00E61612" w:rsidRDefault="00B951B1" w:rsidP="000774C6">
            <w:pPr>
              <w:spacing w:after="0"/>
              <w:jc w:val="right"/>
              <w:rPr>
                <w:rFonts w:cs="Calibri"/>
                <w:sz w:val="18"/>
                <w:szCs w:val="18"/>
              </w:rPr>
            </w:pPr>
            <w:r w:rsidRPr="00E61612">
              <w:rPr>
                <w:rFonts w:cs="Calibri"/>
                <w:sz w:val="18"/>
                <w:szCs w:val="18"/>
              </w:rPr>
              <w:t>17,068</w:t>
            </w:r>
          </w:p>
        </w:tc>
        <w:tc>
          <w:tcPr>
            <w:tcW w:w="564" w:type="pct"/>
            <w:tcBorders>
              <w:top w:val="nil"/>
              <w:left w:val="nil"/>
              <w:bottom w:val="single" w:sz="4" w:space="0" w:color="auto"/>
              <w:right w:val="single" w:sz="4" w:space="0" w:color="auto"/>
            </w:tcBorders>
            <w:shd w:val="clear" w:color="000000" w:fill="FFFFFF"/>
            <w:noWrap/>
            <w:hideMark/>
          </w:tcPr>
          <w:p w:rsidR="00B951B1" w:rsidRPr="00E61612" w:rsidRDefault="00B951B1" w:rsidP="000774C6">
            <w:pPr>
              <w:spacing w:after="0"/>
              <w:jc w:val="right"/>
              <w:rPr>
                <w:rFonts w:cs="Calibri"/>
                <w:sz w:val="18"/>
                <w:szCs w:val="18"/>
              </w:rPr>
            </w:pPr>
            <w:r w:rsidRPr="00E61612">
              <w:rPr>
                <w:rFonts w:cs="Calibri"/>
                <w:sz w:val="18"/>
                <w:szCs w:val="18"/>
              </w:rPr>
              <w:t>15,358</w:t>
            </w:r>
          </w:p>
        </w:tc>
      </w:tr>
      <w:tr w:rsidR="00576DF2" w:rsidRPr="00E61612" w:rsidTr="00576DF2">
        <w:trPr>
          <w:trHeight w:val="1303"/>
        </w:trPr>
        <w:tc>
          <w:tcPr>
            <w:tcW w:w="960" w:type="pct"/>
            <w:gridSpan w:val="2"/>
            <w:tcBorders>
              <w:top w:val="single" w:sz="4" w:space="0" w:color="auto"/>
              <w:left w:val="single" w:sz="4" w:space="0" w:color="auto"/>
              <w:bottom w:val="single" w:sz="4" w:space="0" w:color="auto"/>
              <w:right w:val="single" w:sz="4" w:space="0" w:color="auto"/>
            </w:tcBorders>
            <w:shd w:val="clear" w:color="000000" w:fill="FFFFFF"/>
            <w:hideMark/>
          </w:tcPr>
          <w:p w:rsidR="00B951B1" w:rsidRPr="00E61612" w:rsidRDefault="00B951B1" w:rsidP="000774C6">
            <w:pPr>
              <w:spacing w:after="0"/>
              <w:rPr>
                <w:rFonts w:cs="Calibri"/>
                <w:color w:val="000000"/>
                <w:sz w:val="18"/>
                <w:szCs w:val="18"/>
              </w:rPr>
            </w:pPr>
            <w:r w:rsidRPr="00E61612">
              <w:rPr>
                <w:rFonts w:cs="Calibri"/>
                <w:color w:val="000000"/>
                <w:sz w:val="18"/>
                <w:szCs w:val="18"/>
              </w:rPr>
              <w:lastRenderedPageBreak/>
              <w:t xml:space="preserve">Qëllimi i politikës C: Arsim i lartë gjithëpërfshirës që </w:t>
            </w:r>
            <w:r>
              <w:rPr>
                <w:rFonts w:cs="Calibri"/>
                <w:color w:val="000000"/>
                <w:sz w:val="18"/>
                <w:szCs w:val="18"/>
              </w:rPr>
              <w:t>përmbush</w:t>
            </w:r>
            <w:r w:rsidRPr="00E61612">
              <w:rPr>
                <w:rFonts w:cs="Calibri"/>
                <w:color w:val="000000"/>
                <w:sz w:val="18"/>
                <w:szCs w:val="18"/>
              </w:rPr>
              <w:t xml:space="preserve"> standardet ndërkombëtare të cilësisë, integriteti</w:t>
            </w:r>
            <w:r>
              <w:rPr>
                <w:rFonts w:cs="Calibri"/>
                <w:color w:val="000000"/>
                <w:sz w:val="18"/>
                <w:szCs w:val="18"/>
              </w:rPr>
              <w:t>t</w:t>
            </w:r>
            <w:r w:rsidRPr="00E61612">
              <w:rPr>
                <w:rFonts w:cs="Calibri"/>
                <w:color w:val="000000"/>
                <w:sz w:val="18"/>
                <w:szCs w:val="18"/>
              </w:rPr>
              <w:t xml:space="preserve"> akademik e transparencës, dhe është </w:t>
            </w:r>
            <w:r>
              <w:rPr>
                <w:rFonts w:cs="Calibri"/>
                <w:color w:val="000000"/>
                <w:sz w:val="18"/>
                <w:szCs w:val="18"/>
              </w:rPr>
              <w:t>nxitës</w:t>
            </w:r>
            <w:r w:rsidRPr="00E61612">
              <w:rPr>
                <w:rFonts w:cs="Calibri"/>
                <w:color w:val="000000"/>
                <w:sz w:val="18"/>
                <w:szCs w:val="18"/>
              </w:rPr>
              <w:t xml:space="preserve"> i zhvillimit ekonomik dhe shoqëror të vendit</w:t>
            </w:r>
          </w:p>
        </w:tc>
        <w:tc>
          <w:tcPr>
            <w:tcW w:w="657" w:type="pct"/>
            <w:tcBorders>
              <w:top w:val="nil"/>
              <w:left w:val="nil"/>
              <w:bottom w:val="single" w:sz="4" w:space="0" w:color="auto"/>
              <w:right w:val="single" w:sz="4" w:space="0" w:color="auto"/>
            </w:tcBorders>
            <w:shd w:val="clear" w:color="000000" w:fill="FFFFFF"/>
            <w:noWrap/>
            <w:hideMark/>
          </w:tcPr>
          <w:p w:rsidR="00B951B1" w:rsidRPr="00E61612" w:rsidRDefault="00B951B1" w:rsidP="000774C6">
            <w:pPr>
              <w:spacing w:after="0"/>
              <w:jc w:val="right"/>
              <w:rPr>
                <w:rFonts w:cs="Calibri"/>
                <w:sz w:val="18"/>
                <w:szCs w:val="18"/>
              </w:rPr>
            </w:pPr>
            <w:r w:rsidRPr="00E61612">
              <w:rPr>
                <w:rFonts w:cs="Calibri"/>
                <w:sz w:val="18"/>
                <w:szCs w:val="18"/>
              </w:rPr>
              <w:t>15,171,397</w:t>
            </w:r>
          </w:p>
        </w:tc>
        <w:tc>
          <w:tcPr>
            <w:tcW w:w="520" w:type="pct"/>
            <w:tcBorders>
              <w:top w:val="nil"/>
              <w:left w:val="nil"/>
              <w:bottom w:val="single" w:sz="4" w:space="0" w:color="auto"/>
              <w:right w:val="single" w:sz="4" w:space="0" w:color="auto"/>
            </w:tcBorders>
            <w:shd w:val="clear" w:color="000000" w:fill="FFFFFF"/>
            <w:noWrap/>
            <w:hideMark/>
          </w:tcPr>
          <w:p w:rsidR="00B951B1" w:rsidRPr="00E61612" w:rsidRDefault="00B951B1" w:rsidP="000774C6">
            <w:pPr>
              <w:spacing w:after="0"/>
              <w:jc w:val="right"/>
              <w:rPr>
                <w:rFonts w:cs="Calibri"/>
                <w:sz w:val="18"/>
                <w:szCs w:val="18"/>
              </w:rPr>
            </w:pPr>
            <w:r w:rsidRPr="00E61612">
              <w:rPr>
                <w:rFonts w:cs="Calibri"/>
                <w:sz w:val="18"/>
                <w:szCs w:val="18"/>
              </w:rPr>
              <w:t>2,912,702</w:t>
            </w:r>
          </w:p>
        </w:tc>
        <w:tc>
          <w:tcPr>
            <w:tcW w:w="595" w:type="pct"/>
            <w:tcBorders>
              <w:top w:val="nil"/>
              <w:left w:val="nil"/>
              <w:bottom w:val="single" w:sz="4" w:space="0" w:color="auto"/>
              <w:right w:val="single" w:sz="4" w:space="0" w:color="auto"/>
            </w:tcBorders>
            <w:shd w:val="clear" w:color="000000" w:fill="FFFFFF"/>
            <w:noWrap/>
            <w:hideMark/>
          </w:tcPr>
          <w:p w:rsidR="00B951B1" w:rsidRPr="00E61612" w:rsidRDefault="00B951B1" w:rsidP="000774C6">
            <w:pPr>
              <w:spacing w:after="0"/>
              <w:jc w:val="right"/>
              <w:rPr>
                <w:rFonts w:cs="Calibri"/>
                <w:sz w:val="18"/>
                <w:szCs w:val="18"/>
              </w:rPr>
            </w:pPr>
            <w:r w:rsidRPr="00E61612">
              <w:rPr>
                <w:rFonts w:cs="Calibri"/>
                <w:sz w:val="18"/>
                <w:szCs w:val="18"/>
              </w:rPr>
              <w:t>2,375,879</w:t>
            </w:r>
          </w:p>
        </w:tc>
        <w:tc>
          <w:tcPr>
            <w:tcW w:w="594" w:type="pct"/>
            <w:tcBorders>
              <w:top w:val="nil"/>
              <w:left w:val="nil"/>
              <w:bottom w:val="single" w:sz="4" w:space="0" w:color="auto"/>
              <w:right w:val="single" w:sz="4" w:space="0" w:color="auto"/>
            </w:tcBorders>
            <w:shd w:val="clear" w:color="000000" w:fill="FFFFFF"/>
            <w:noWrap/>
            <w:hideMark/>
          </w:tcPr>
          <w:p w:rsidR="00B951B1" w:rsidRPr="00E61612" w:rsidRDefault="00B951B1" w:rsidP="000774C6">
            <w:pPr>
              <w:spacing w:after="0"/>
              <w:jc w:val="right"/>
              <w:rPr>
                <w:rFonts w:cs="Calibri"/>
                <w:sz w:val="18"/>
                <w:szCs w:val="18"/>
              </w:rPr>
            </w:pPr>
            <w:r w:rsidRPr="00E61612">
              <w:rPr>
                <w:rFonts w:cs="Calibri"/>
                <w:sz w:val="18"/>
                <w:szCs w:val="18"/>
              </w:rPr>
              <w:t>2,485,387</w:t>
            </w:r>
          </w:p>
        </w:tc>
        <w:tc>
          <w:tcPr>
            <w:tcW w:w="594" w:type="pct"/>
            <w:tcBorders>
              <w:top w:val="nil"/>
              <w:left w:val="nil"/>
              <w:bottom w:val="single" w:sz="4" w:space="0" w:color="auto"/>
              <w:right w:val="single" w:sz="4" w:space="0" w:color="auto"/>
            </w:tcBorders>
            <w:shd w:val="clear" w:color="000000" w:fill="FFFFFF"/>
            <w:noWrap/>
            <w:hideMark/>
          </w:tcPr>
          <w:p w:rsidR="00B951B1" w:rsidRPr="00E61612" w:rsidRDefault="00B951B1" w:rsidP="000774C6">
            <w:pPr>
              <w:spacing w:after="0"/>
              <w:jc w:val="right"/>
              <w:rPr>
                <w:rFonts w:cs="Calibri"/>
                <w:sz w:val="18"/>
                <w:szCs w:val="18"/>
              </w:rPr>
            </w:pPr>
            <w:r w:rsidRPr="00E61612">
              <w:rPr>
                <w:rFonts w:cs="Calibri"/>
                <w:sz w:val="18"/>
                <w:szCs w:val="18"/>
              </w:rPr>
              <w:t>2,468,449</w:t>
            </w:r>
          </w:p>
        </w:tc>
        <w:tc>
          <w:tcPr>
            <w:tcW w:w="517" w:type="pct"/>
            <w:tcBorders>
              <w:top w:val="nil"/>
              <w:left w:val="nil"/>
              <w:bottom w:val="single" w:sz="4" w:space="0" w:color="auto"/>
              <w:right w:val="single" w:sz="4" w:space="0" w:color="auto"/>
            </w:tcBorders>
            <w:shd w:val="clear" w:color="000000" w:fill="FFFFFF"/>
            <w:noWrap/>
            <w:hideMark/>
          </w:tcPr>
          <w:p w:rsidR="00B951B1" w:rsidRPr="00E61612" w:rsidRDefault="00B951B1" w:rsidP="000774C6">
            <w:pPr>
              <w:spacing w:after="0"/>
              <w:jc w:val="right"/>
              <w:rPr>
                <w:rFonts w:cs="Calibri"/>
                <w:sz w:val="18"/>
                <w:szCs w:val="18"/>
              </w:rPr>
            </w:pPr>
            <w:r w:rsidRPr="00E61612">
              <w:rPr>
                <w:rFonts w:cs="Calibri"/>
                <w:sz w:val="18"/>
                <w:szCs w:val="18"/>
              </w:rPr>
              <w:t>2,464,490</w:t>
            </w:r>
          </w:p>
        </w:tc>
        <w:tc>
          <w:tcPr>
            <w:tcW w:w="564" w:type="pct"/>
            <w:tcBorders>
              <w:top w:val="nil"/>
              <w:left w:val="nil"/>
              <w:bottom w:val="single" w:sz="4" w:space="0" w:color="auto"/>
              <w:right w:val="single" w:sz="4" w:space="0" w:color="auto"/>
            </w:tcBorders>
            <w:shd w:val="clear" w:color="000000" w:fill="FFFFFF"/>
            <w:noWrap/>
            <w:hideMark/>
          </w:tcPr>
          <w:p w:rsidR="00B951B1" w:rsidRPr="00E61612" w:rsidRDefault="00B951B1" w:rsidP="000774C6">
            <w:pPr>
              <w:spacing w:after="0"/>
              <w:jc w:val="right"/>
              <w:rPr>
                <w:rFonts w:cs="Calibri"/>
                <w:sz w:val="18"/>
                <w:szCs w:val="18"/>
              </w:rPr>
            </w:pPr>
            <w:r w:rsidRPr="00E61612">
              <w:rPr>
                <w:rFonts w:cs="Calibri"/>
                <w:sz w:val="18"/>
                <w:szCs w:val="18"/>
              </w:rPr>
              <w:t>2,464,490</w:t>
            </w:r>
          </w:p>
        </w:tc>
      </w:tr>
      <w:tr w:rsidR="00576DF2" w:rsidRPr="00E61612" w:rsidTr="00576DF2">
        <w:trPr>
          <w:trHeight w:val="299"/>
        </w:trPr>
        <w:tc>
          <w:tcPr>
            <w:tcW w:w="128" w:type="pct"/>
            <w:tcBorders>
              <w:top w:val="nil"/>
              <w:left w:val="nil"/>
              <w:bottom w:val="nil"/>
              <w:right w:val="nil"/>
            </w:tcBorders>
            <w:shd w:val="clear" w:color="auto" w:fill="auto"/>
            <w:noWrap/>
            <w:hideMark/>
          </w:tcPr>
          <w:p w:rsidR="00576DF2" w:rsidRPr="00E61612" w:rsidRDefault="00576DF2" w:rsidP="000774C6">
            <w:pPr>
              <w:spacing w:after="0"/>
              <w:jc w:val="center"/>
              <w:rPr>
                <w:rFonts w:cs="Calibri"/>
                <w:sz w:val="18"/>
                <w:szCs w:val="18"/>
              </w:rPr>
            </w:pPr>
          </w:p>
        </w:tc>
        <w:tc>
          <w:tcPr>
            <w:tcW w:w="832" w:type="pct"/>
            <w:tcBorders>
              <w:top w:val="nil"/>
              <w:left w:val="nil"/>
              <w:bottom w:val="nil"/>
              <w:right w:val="nil"/>
            </w:tcBorders>
            <w:shd w:val="clear" w:color="auto" w:fill="auto"/>
            <w:noWrap/>
            <w:hideMark/>
          </w:tcPr>
          <w:p w:rsidR="00576DF2" w:rsidRPr="00576DF2" w:rsidRDefault="00576DF2" w:rsidP="000774C6">
            <w:pPr>
              <w:spacing w:after="0"/>
              <w:rPr>
                <w:rFonts w:cs="Calibri"/>
                <w:color w:val="000000"/>
                <w:sz w:val="18"/>
                <w:szCs w:val="18"/>
              </w:rPr>
            </w:pPr>
            <w:r w:rsidRPr="00576DF2">
              <w:rPr>
                <w:rFonts w:cs="Calibri"/>
                <w:color w:val="000000"/>
                <w:sz w:val="18"/>
                <w:szCs w:val="18"/>
              </w:rPr>
              <w:t>Totali</w:t>
            </w:r>
          </w:p>
        </w:tc>
        <w:tc>
          <w:tcPr>
            <w:tcW w:w="657" w:type="pct"/>
            <w:tcBorders>
              <w:top w:val="nil"/>
              <w:left w:val="nil"/>
              <w:bottom w:val="nil"/>
              <w:right w:val="nil"/>
            </w:tcBorders>
            <w:shd w:val="clear" w:color="auto" w:fill="auto"/>
            <w:noWrap/>
            <w:vAlign w:val="bottom"/>
            <w:hideMark/>
          </w:tcPr>
          <w:p w:rsidR="00576DF2" w:rsidRPr="00576DF2" w:rsidRDefault="00FA5606" w:rsidP="000774C6">
            <w:pPr>
              <w:spacing w:after="0"/>
              <w:jc w:val="right"/>
              <w:rPr>
                <w:rFonts w:cs="Calibri"/>
                <w:color w:val="000000"/>
                <w:sz w:val="18"/>
                <w:szCs w:val="18"/>
              </w:rPr>
            </w:pPr>
            <w:r w:rsidRPr="00FA5606">
              <w:rPr>
                <w:rFonts w:ascii="Calibri" w:hAnsi="Calibri" w:cs="Calibri"/>
                <w:color w:val="000000"/>
                <w:sz w:val="18"/>
                <w:szCs w:val="18"/>
              </w:rPr>
              <w:t>51,540,433</w:t>
            </w:r>
          </w:p>
        </w:tc>
        <w:tc>
          <w:tcPr>
            <w:tcW w:w="520" w:type="pct"/>
            <w:tcBorders>
              <w:top w:val="nil"/>
              <w:left w:val="nil"/>
              <w:bottom w:val="nil"/>
              <w:right w:val="nil"/>
            </w:tcBorders>
            <w:shd w:val="clear" w:color="auto" w:fill="auto"/>
            <w:noWrap/>
            <w:vAlign w:val="bottom"/>
            <w:hideMark/>
          </w:tcPr>
          <w:p w:rsidR="00576DF2" w:rsidRPr="00576DF2" w:rsidRDefault="00576DF2" w:rsidP="000774C6">
            <w:pPr>
              <w:spacing w:after="0"/>
              <w:jc w:val="right"/>
              <w:rPr>
                <w:rFonts w:cs="Calibri"/>
                <w:color w:val="000000"/>
                <w:sz w:val="18"/>
                <w:szCs w:val="18"/>
              </w:rPr>
            </w:pPr>
            <w:r w:rsidRPr="00576DF2">
              <w:rPr>
                <w:rFonts w:ascii="Calibri" w:hAnsi="Calibri" w:cs="Calibri"/>
                <w:color w:val="000000"/>
                <w:sz w:val="18"/>
                <w:szCs w:val="18"/>
              </w:rPr>
              <w:t>7,623,723</w:t>
            </w:r>
          </w:p>
        </w:tc>
        <w:tc>
          <w:tcPr>
            <w:tcW w:w="595" w:type="pct"/>
            <w:tcBorders>
              <w:top w:val="nil"/>
              <w:left w:val="nil"/>
              <w:bottom w:val="nil"/>
              <w:right w:val="nil"/>
            </w:tcBorders>
            <w:shd w:val="clear" w:color="auto" w:fill="auto"/>
            <w:noWrap/>
            <w:vAlign w:val="bottom"/>
            <w:hideMark/>
          </w:tcPr>
          <w:p w:rsidR="00576DF2" w:rsidRPr="00576DF2" w:rsidRDefault="00FA5606" w:rsidP="000774C6">
            <w:pPr>
              <w:spacing w:after="0"/>
              <w:jc w:val="right"/>
              <w:rPr>
                <w:rFonts w:cs="Calibri"/>
                <w:color w:val="000000"/>
                <w:sz w:val="18"/>
                <w:szCs w:val="18"/>
              </w:rPr>
            </w:pPr>
            <w:r w:rsidRPr="00FA5606">
              <w:rPr>
                <w:rFonts w:ascii="Calibri" w:hAnsi="Calibri" w:cs="Calibri"/>
                <w:color w:val="000000"/>
                <w:sz w:val="18"/>
                <w:szCs w:val="18"/>
              </w:rPr>
              <w:t>6,890,324</w:t>
            </w:r>
          </w:p>
        </w:tc>
        <w:tc>
          <w:tcPr>
            <w:tcW w:w="594" w:type="pct"/>
            <w:tcBorders>
              <w:top w:val="nil"/>
              <w:left w:val="nil"/>
              <w:bottom w:val="nil"/>
              <w:right w:val="nil"/>
            </w:tcBorders>
            <w:shd w:val="clear" w:color="auto" w:fill="auto"/>
            <w:noWrap/>
            <w:vAlign w:val="bottom"/>
            <w:hideMark/>
          </w:tcPr>
          <w:p w:rsidR="00576DF2" w:rsidRPr="00576DF2" w:rsidRDefault="00FA5606" w:rsidP="000774C6">
            <w:pPr>
              <w:spacing w:after="0"/>
              <w:jc w:val="right"/>
              <w:rPr>
                <w:rFonts w:cs="Calibri"/>
                <w:color w:val="000000"/>
                <w:sz w:val="18"/>
                <w:szCs w:val="18"/>
              </w:rPr>
            </w:pPr>
            <w:r w:rsidRPr="00FA5606">
              <w:rPr>
                <w:rFonts w:ascii="Calibri" w:hAnsi="Calibri" w:cs="Calibri"/>
                <w:color w:val="000000"/>
                <w:sz w:val="18"/>
                <w:szCs w:val="18"/>
              </w:rPr>
              <w:t>8,728,043</w:t>
            </w:r>
          </w:p>
        </w:tc>
        <w:tc>
          <w:tcPr>
            <w:tcW w:w="594" w:type="pct"/>
            <w:tcBorders>
              <w:top w:val="nil"/>
              <w:left w:val="nil"/>
              <w:bottom w:val="nil"/>
              <w:right w:val="nil"/>
            </w:tcBorders>
            <w:shd w:val="clear" w:color="auto" w:fill="auto"/>
            <w:noWrap/>
            <w:vAlign w:val="bottom"/>
            <w:hideMark/>
          </w:tcPr>
          <w:p w:rsidR="00576DF2" w:rsidRPr="00576DF2" w:rsidRDefault="00FA5606" w:rsidP="000774C6">
            <w:pPr>
              <w:spacing w:after="0"/>
              <w:jc w:val="right"/>
              <w:rPr>
                <w:rFonts w:cs="Calibri"/>
                <w:color w:val="000000"/>
                <w:sz w:val="18"/>
                <w:szCs w:val="18"/>
              </w:rPr>
            </w:pPr>
            <w:r w:rsidRPr="00FA5606">
              <w:rPr>
                <w:rFonts w:ascii="Calibri" w:hAnsi="Calibri" w:cs="Calibri"/>
                <w:color w:val="000000"/>
                <w:sz w:val="18"/>
                <w:szCs w:val="18"/>
              </w:rPr>
              <w:t>9,063,436</w:t>
            </w:r>
          </w:p>
        </w:tc>
        <w:tc>
          <w:tcPr>
            <w:tcW w:w="517" w:type="pct"/>
            <w:tcBorders>
              <w:top w:val="nil"/>
              <w:left w:val="nil"/>
              <w:bottom w:val="nil"/>
              <w:right w:val="nil"/>
            </w:tcBorders>
            <w:shd w:val="clear" w:color="auto" w:fill="auto"/>
            <w:noWrap/>
            <w:vAlign w:val="bottom"/>
            <w:hideMark/>
          </w:tcPr>
          <w:p w:rsidR="00576DF2" w:rsidRPr="00576DF2" w:rsidRDefault="00FA5606" w:rsidP="000774C6">
            <w:pPr>
              <w:spacing w:after="0"/>
              <w:jc w:val="right"/>
              <w:rPr>
                <w:rFonts w:cs="Calibri"/>
                <w:color w:val="000000"/>
                <w:sz w:val="18"/>
                <w:szCs w:val="18"/>
              </w:rPr>
            </w:pPr>
            <w:r w:rsidRPr="00FA5606">
              <w:rPr>
                <w:rFonts w:ascii="Calibri" w:hAnsi="Calibri" w:cs="Calibri"/>
                <w:color w:val="000000"/>
                <w:sz w:val="18"/>
                <w:szCs w:val="18"/>
              </w:rPr>
              <w:t>9,528,496</w:t>
            </w:r>
          </w:p>
        </w:tc>
        <w:tc>
          <w:tcPr>
            <w:tcW w:w="564" w:type="pct"/>
            <w:tcBorders>
              <w:top w:val="nil"/>
              <w:left w:val="nil"/>
              <w:bottom w:val="nil"/>
              <w:right w:val="nil"/>
            </w:tcBorders>
            <w:shd w:val="clear" w:color="auto" w:fill="auto"/>
            <w:noWrap/>
            <w:vAlign w:val="bottom"/>
            <w:hideMark/>
          </w:tcPr>
          <w:p w:rsidR="00576DF2" w:rsidRPr="00E61612" w:rsidRDefault="00FA5606" w:rsidP="000774C6">
            <w:pPr>
              <w:spacing w:after="0"/>
              <w:jc w:val="right"/>
              <w:rPr>
                <w:rFonts w:cs="Calibri"/>
                <w:color w:val="000000"/>
                <w:sz w:val="18"/>
                <w:szCs w:val="18"/>
              </w:rPr>
            </w:pPr>
            <w:r w:rsidRPr="00FA5606">
              <w:rPr>
                <w:rFonts w:ascii="Calibri" w:hAnsi="Calibri" w:cs="Calibri"/>
                <w:color w:val="000000"/>
                <w:sz w:val="18"/>
                <w:szCs w:val="18"/>
              </w:rPr>
              <w:t>9,706,411</w:t>
            </w:r>
          </w:p>
        </w:tc>
      </w:tr>
    </w:tbl>
    <w:p w:rsidR="00B951B1" w:rsidRPr="00E61612" w:rsidRDefault="00B951B1" w:rsidP="00B951B1">
      <w:pPr>
        <w:pStyle w:val="Caption"/>
        <w:spacing w:after="0" w:line="276" w:lineRule="auto"/>
        <w:rPr>
          <w:rFonts w:cs="Calibri"/>
        </w:rPr>
      </w:pPr>
      <w:r w:rsidRPr="00E61612">
        <w:rPr>
          <w:rFonts w:cs="Calibri"/>
        </w:rPr>
        <w:t xml:space="preserve"> </w:t>
      </w:r>
    </w:p>
    <w:p w:rsidR="00B951B1" w:rsidRPr="00E61612" w:rsidRDefault="00B951B1" w:rsidP="00B951B1">
      <w:pPr>
        <w:jc w:val="both"/>
        <w:rPr>
          <w:rFonts w:cs="Calibri"/>
        </w:rPr>
      </w:pPr>
      <w:r w:rsidRPr="00E61612">
        <w:rPr>
          <w:rFonts w:cs="Calibri"/>
        </w:rPr>
        <w:t xml:space="preserve">Për </w:t>
      </w:r>
      <w:r w:rsidRPr="00576DF2">
        <w:rPr>
          <w:rFonts w:cs="Calibri"/>
        </w:rPr>
        <w:t xml:space="preserve">periudhën afatmesme 2021-2023, kostoja është vlerësuar në </w:t>
      </w:r>
      <w:r w:rsidR="00FA5606" w:rsidRPr="00FA5606">
        <w:rPr>
          <w:rFonts w:cstheme="minorHAnsi"/>
        </w:rPr>
        <w:t>23.24</w:t>
      </w:r>
      <w:r w:rsidR="00576DF2" w:rsidRPr="00576DF2">
        <w:rPr>
          <w:rFonts w:ascii="Calibri" w:hAnsi="Calibri" w:cstheme="minorHAnsi"/>
        </w:rPr>
        <w:t xml:space="preserve"> </w:t>
      </w:r>
      <w:r w:rsidRPr="00576DF2">
        <w:rPr>
          <w:rFonts w:cs="Calibri"/>
        </w:rPr>
        <w:t xml:space="preserve">miliardë lekë, nga të cilat 21.15 miliardë lekë janë planifikuar në Programin Buxhetor Afatmesëm, 159.60 milionë lekë do të sigurohen nga financimi i huaj, ndërsa hendeku financiar është </w:t>
      </w:r>
      <w:r w:rsidR="00FA5606" w:rsidRPr="00FA5606">
        <w:rPr>
          <w:rFonts w:cstheme="minorHAnsi"/>
        </w:rPr>
        <w:t>1.93</w:t>
      </w:r>
      <w:r w:rsidR="00576DF2" w:rsidRPr="00576DF2">
        <w:rPr>
          <w:rFonts w:ascii="Calibri" w:hAnsi="Calibri" w:cstheme="minorHAnsi"/>
        </w:rPr>
        <w:t xml:space="preserve"> </w:t>
      </w:r>
      <w:r w:rsidRPr="00576DF2">
        <w:rPr>
          <w:rFonts w:cs="Calibri"/>
        </w:rPr>
        <w:t xml:space="preserve">miliard lekë ose </w:t>
      </w:r>
      <w:r w:rsidR="00FA5606" w:rsidRPr="00FA5606">
        <w:rPr>
          <w:rFonts w:cstheme="minorHAnsi"/>
        </w:rPr>
        <w:t>8.30%</w:t>
      </w:r>
      <w:r w:rsidR="00576DF2" w:rsidRPr="00576DF2">
        <w:rPr>
          <w:rFonts w:ascii="Calibri" w:hAnsi="Calibri" w:cstheme="minorHAnsi"/>
        </w:rPr>
        <w:t xml:space="preserve"> </w:t>
      </w:r>
      <w:r w:rsidRPr="00576DF2">
        <w:rPr>
          <w:rFonts w:cs="Calibri"/>
        </w:rPr>
        <w:t>e kostos indikative për këtë periudhë (</w:t>
      </w:r>
      <w:fldSimple w:instr=" REF _Ref64467382  \* MERGEFORMAT ">
        <w:r w:rsidRPr="00576DF2">
          <w:t>Tabela 15</w:t>
        </w:r>
      </w:fldSimple>
      <w:r w:rsidRPr="00576DF2">
        <w:rPr>
          <w:rFonts w:cs="Calibri"/>
        </w:rPr>
        <w:t xml:space="preserve">). Për periudhën afatmesme 2024-2026, kostoja indikative për zbatimin e Strategjisë është </w:t>
      </w:r>
      <w:r w:rsidR="00FA5606" w:rsidRPr="00FA5606">
        <w:rPr>
          <w:rFonts w:cstheme="minorHAnsi"/>
        </w:rPr>
        <w:t>28.30</w:t>
      </w:r>
      <w:r w:rsidR="00FA5606" w:rsidRPr="00FA5606">
        <w:rPr>
          <w:rFonts w:ascii="Calibri" w:hAnsi="Calibri" w:cstheme="minorHAnsi"/>
        </w:rPr>
        <w:t xml:space="preserve"> </w:t>
      </w:r>
      <w:r w:rsidRPr="00576DF2">
        <w:rPr>
          <w:rFonts w:cs="Calibri"/>
        </w:rPr>
        <w:t>miliardë lekë. Duke qenë se për këtë periudhë nuk është bërë akoma planifikimi buxhetor, është supozuar se për zëra të caktuar të buxhetit të Strategjisë do të jenë në dispozicion fondet nga Buxheti i Shtetit në nivelin e periudhës afatmesme 2021-2023, edhe pse ka gjasa reale që këto fonde të rriten</w:t>
      </w:r>
      <w:r w:rsidRPr="00576DF2">
        <w:rPr>
          <w:rStyle w:val="FootnoteReference"/>
          <w:rFonts w:cs="Calibri"/>
        </w:rPr>
        <w:footnoteReference w:id="19"/>
      </w:r>
      <w:r w:rsidRPr="00576DF2">
        <w:rPr>
          <w:rFonts w:cs="Calibri"/>
        </w:rPr>
        <w:t xml:space="preserve">. Me këtë supozim, hendeku financiar për periudhën 2024-2026 është </w:t>
      </w:r>
      <w:r w:rsidR="00FA5606" w:rsidRPr="00FA5606">
        <w:rPr>
          <w:rFonts w:cstheme="minorHAnsi"/>
        </w:rPr>
        <w:t>7.60</w:t>
      </w:r>
      <w:r w:rsidR="00576DF2" w:rsidRPr="00576DF2">
        <w:rPr>
          <w:rFonts w:ascii="Calibri" w:hAnsi="Calibri" w:cstheme="minorHAnsi"/>
        </w:rPr>
        <w:t xml:space="preserve"> </w:t>
      </w:r>
      <w:r w:rsidRPr="00576DF2">
        <w:rPr>
          <w:rFonts w:cs="Calibri"/>
        </w:rPr>
        <w:t xml:space="preserve">miliardë lekë ose </w:t>
      </w:r>
      <w:r w:rsidR="00FA5606" w:rsidRPr="00FA5606">
        <w:rPr>
          <w:rFonts w:cstheme="minorHAnsi"/>
        </w:rPr>
        <w:t>26.86%</w:t>
      </w:r>
      <w:r w:rsidR="00576DF2" w:rsidRPr="00576DF2">
        <w:rPr>
          <w:rFonts w:ascii="Calibri" w:hAnsi="Calibri" w:cstheme="minorHAnsi"/>
        </w:rPr>
        <w:t xml:space="preserve"> </w:t>
      </w:r>
      <w:r w:rsidRPr="00576DF2">
        <w:rPr>
          <w:rFonts w:cs="Calibri"/>
        </w:rPr>
        <w:t>e kostos indikative.</w:t>
      </w:r>
    </w:p>
    <w:p w:rsidR="00B951B1" w:rsidRPr="00E61612" w:rsidRDefault="00B951B1" w:rsidP="00B951B1">
      <w:pPr>
        <w:spacing w:before="120" w:after="120"/>
        <w:rPr>
          <w:rFonts w:cs="Calibri"/>
        </w:rPr>
      </w:pPr>
      <w:bookmarkStart w:id="143" w:name="_Ref64467382"/>
      <w:bookmarkStart w:id="144" w:name="_Toc66802049"/>
      <w:r w:rsidRPr="00E61612">
        <w:rPr>
          <w:b/>
        </w:rPr>
        <w:t xml:space="preserve">Tabela </w:t>
      </w:r>
      <w:r w:rsidR="00EC56B7" w:rsidRPr="00E61612">
        <w:rPr>
          <w:b/>
        </w:rPr>
        <w:fldChar w:fldCharType="begin"/>
      </w:r>
      <w:r w:rsidRPr="00E61612">
        <w:rPr>
          <w:b/>
        </w:rPr>
        <w:instrText xml:space="preserve"> SEQ Tabela \* ARABIC </w:instrText>
      </w:r>
      <w:r w:rsidR="00EC56B7" w:rsidRPr="00E61612">
        <w:rPr>
          <w:b/>
        </w:rPr>
        <w:fldChar w:fldCharType="separate"/>
      </w:r>
      <w:r w:rsidRPr="00E61612">
        <w:rPr>
          <w:b/>
        </w:rPr>
        <w:t>15</w:t>
      </w:r>
      <w:r w:rsidR="00EC56B7" w:rsidRPr="00E61612">
        <w:rPr>
          <w:b/>
        </w:rPr>
        <w:fldChar w:fldCharType="end"/>
      </w:r>
      <w:bookmarkEnd w:id="143"/>
      <w:r w:rsidRPr="00E61612">
        <w:rPr>
          <w:b/>
        </w:rPr>
        <w:t>.</w:t>
      </w:r>
      <w:r w:rsidRPr="00E61612">
        <w:rPr>
          <w:rFonts w:cs="Calibri"/>
        </w:rPr>
        <w:t xml:space="preserve">  Burimet e financimit dhe hendeku financiar për SKA 2021-2026 (në 000 lekë)</w:t>
      </w:r>
      <w:bookmarkEnd w:id="144"/>
    </w:p>
    <w:tbl>
      <w:tblPr>
        <w:tblW w:w="10429" w:type="dxa"/>
        <w:tblLook w:val="04A0" w:firstRow="1" w:lastRow="0" w:firstColumn="1" w:lastColumn="0" w:noHBand="0" w:noVBand="1"/>
      </w:tblPr>
      <w:tblGrid>
        <w:gridCol w:w="1696"/>
        <w:gridCol w:w="1036"/>
        <w:gridCol w:w="1036"/>
        <w:gridCol w:w="936"/>
        <w:gridCol w:w="1145"/>
        <w:gridCol w:w="1145"/>
        <w:gridCol w:w="1145"/>
        <w:gridCol w:w="1145"/>
        <w:gridCol w:w="1145"/>
      </w:tblGrid>
      <w:tr w:rsidR="00B951B1" w:rsidRPr="00E61612" w:rsidTr="00CB78E6">
        <w:trPr>
          <w:trHeight w:val="335"/>
        </w:trPr>
        <w:tc>
          <w:tcPr>
            <w:tcW w:w="1696" w:type="dxa"/>
            <w:vMerge w:val="restart"/>
            <w:tcBorders>
              <w:top w:val="single" w:sz="4" w:space="0" w:color="auto"/>
              <w:left w:val="single" w:sz="4" w:space="0" w:color="auto"/>
              <w:bottom w:val="single" w:sz="4" w:space="0" w:color="auto"/>
              <w:right w:val="single" w:sz="4" w:space="0" w:color="auto"/>
            </w:tcBorders>
            <w:shd w:val="clear" w:color="auto" w:fill="auto"/>
          </w:tcPr>
          <w:p w:rsidR="00B951B1" w:rsidRPr="00E61612" w:rsidRDefault="00B951B1" w:rsidP="00CB78E6">
            <w:pPr>
              <w:spacing w:after="0"/>
              <w:jc w:val="center"/>
              <w:rPr>
                <w:rFonts w:cs="Calibri"/>
                <w:b/>
                <w:bCs/>
                <w:color w:val="000000"/>
                <w:sz w:val="18"/>
                <w:szCs w:val="18"/>
              </w:rPr>
            </w:pPr>
            <w:r w:rsidRPr="00E61612">
              <w:rPr>
                <w:rFonts w:cs="Calibri"/>
                <w:b/>
                <w:bCs/>
                <w:color w:val="000000"/>
                <w:sz w:val="18"/>
                <w:szCs w:val="18"/>
              </w:rPr>
              <w:t>Qëllimi i politikës</w:t>
            </w:r>
          </w:p>
        </w:tc>
        <w:tc>
          <w:tcPr>
            <w:tcW w:w="4153" w:type="dxa"/>
            <w:gridSpan w:val="4"/>
            <w:tcBorders>
              <w:top w:val="single" w:sz="4" w:space="0" w:color="auto"/>
              <w:left w:val="single" w:sz="4" w:space="0" w:color="auto"/>
              <w:bottom w:val="single" w:sz="4" w:space="0" w:color="auto"/>
              <w:right w:val="single" w:sz="4" w:space="0" w:color="auto"/>
            </w:tcBorders>
            <w:shd w:val="clear" w:color="auto" w:fill="auto"/>
          </w:tcPr>
          <w:p w:rsidR="00B951B1" w:rsidRPr="00E61612" w:rsidRDefault="00B951B1" w:rsidP="00CB78E6">
            <w:pPr>
              <w:spacing w:after="0"/>
              <w:jc w:val="center"/>
              <w:rPr>
                <w:rFonts w:cs="Calibri"/>
                <w:b/>
                <w:bCs/>
                <w:color w:val="000000"/>
                <w:sz w:val="18"/>
                <w:szCs w:val="18"/>
              </w:rPr>
            </w:pPr>
            <w:r w:rsidRPr="00E61612">
              <w:rPr>
                <w:rFonts w:cs="Calibri"/>
                <w:b/>
                <w:bCs/>
                <w:color w:val="000000"/>
                <w:sz w:val="18"/>
                <w:szCs w:val="18"/>
              </w:rPr>
              <w:t>Periudha 2021-2026</w:t>
            </w:r>
          </w:p>
        </w:tc>
        <w:tc>
          <w:tcPr>
            <w:tcW w:w="4580" w:type="dxa"/>
            <w:gridSpan w:val="4"/>
            <w:tcBorders>
              <w:top w:val="single" w:sz="4" w:space="0" w:color="auto"/>
              <w:left w:val="single" w:sz="4" w:space="0" w:color="auto"/>
              <w:bottom w:val="single" w:sz="4" w:space="0" w:color="auto"/>
              <w:right w:val="single" w:sz="4" w:space="0" w:color="auto"/>
            </w:tcBorders>
            <w:shd w:val="clear" w:color="auto" w:fill="E5DFEC"/>
          </w:tcPr>
          <w:p w:rsidR="00B951B1" w:rsidRPr="00E61612" w:rsidRDefault="00B951B1" w:rsidP="00CB78E6">
            <w:pPr>
              <w:spacing w:after="0"/>
              <w:jc w:val="center"/>
              <w:rPr>
                <w:rFonts w:cs="Calibri"/>
                <w:b/>
                <w:bCs/>
                <w:color w:val="000000"/>
                <w:sz w:val="18"/>
                <w:szCs w:val="18"/>
              </w:rPr>
            </w:pPr>
            <w:r w:rsidRPr="00E61612">
              <w:rPr>
                <w:rFonts w:cs="Calibri"/>
                <w:b/>
                <w:bCs/>
                <w:color w:val="000000"/>
                <w:sz w:val="18"/>
                <w:szCs w:val="18"/>
              </w:rPr>
              <w:t>Periudha afatmesme 2021-2023</w:t>
            </w:r>
          </w:p>
        </w:tc>
      </w:tr>
      <w:tr w:rsidR="00B951B1" w:rsidRPr="00E61612" w:rsidTr="00CB78E6">
        <w:trPr>
          <w:trHeight w:val="424"/>
        </w:trPr>
        <w:tc>
          <w:tcPr>
            <w:tcW w:w="1696" w:type="dxa"/>
            <w:vMerge/>
            <w:tcBorders>
              <w:top w:val="single" w:sz="4" w:space="0" w:color="auto"/>
              <w:left w:val="single" w:sz="4" w:space="0" w:color="auto"/>
              <w:bottom w:val="single" w:sz="4" w:space="0" w:color="auto"/>
              <w:right w:val="single" w:sz="4" w:space="0" w:color="auto"/>
            </w:tcBorders>
            <w:shd w:val="clear" w:color="auto" w:fill="auto"/>
            <w:hideMark/>
          </w:tcPr>
          <w:p w:rsidR="00B951B1" w:rsidRPr="00E61612" w:rsidRDefault="00B951B1" w:rsidP="00CB78E6">
            <w:pPr>
              <w:spacing w:after="0"/>
              <w:jc w:val="center"/>
              <w:rPr>
                <w:rFonts w:cs="Calibri"/>
                <w:b/>
                <w:bCs/>
                <w:color w:val="000000"/>
                <w:sz w:val="18"/>
                <w:szCs w:val="18"/>
              </w:rPr>
            </w:pPr>
          </w:p>
        </w:tc>
        <w:tc>
          <w:tcPr>
            <w:tcW w:w="103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951B1" w:rsidRPr="00E61612" w:rsidRDefault="00B951B1" w:rsidP="00CB78E6">
            <w:pPr>
              <w:spacing w:after="0"/>
              <w:jc w:val="center"/>
              <w:rPr>
                <w:rFonts w:cs="Calibri"/>
                <w:b/>
                <w:bCs/>
                <w:color w:val="000000"/>
                <w:sz w:val="18"/>
                <w:szCs w:val="18"/>
              </w:rPr>
            </w:pPr>
            <w:r w:rsidRPr="00E61612">
              <w:rPr>
                <w:rFonts w:cs="Calibri"/>
                <w:b/>
                <w:bCs/>
                <w:color w:val="000000"/>
                <w:sz w:val="18"/>
                <w:szCs w:val="18"/>
              </w:rPr>
              <w:t>Kosto indikative</w:t>
            </w:r>
          </w:p>
        </w:tc>
        <w:tc>
          <w:tcPr>
            <w:tcW w:w="1972" w:type="dxa"/>
            <w:gridSpan w:val="2"/>
            <w:tcBorders>
              <w:top w:val="single" w:sz="4" w:space="0" w:color="auto"/>
              <w:left w:val="nil"/>
              <w:bottom w:val="single" w:sz="4" w:space="0" w:color="auto"/>
              <w:right w:val="single" w:sz="4" w:space="0" w:color="auto"/>
            </w:tcBorders>
            <w:shd w:val="clear" w:color="auto" w:fill="auto"/>
            <w:hideMark/>
          </w:tcPr>
          <w:p w:rsidR="00B951B1" w:rsidRPr="00E61612" w:rsidRDefault="00753C65" w:rsidP="00CB78E6">
            <w:pPr>
              <w:spacing w:after="0"/>
              <w:jc w:val="center"/>
              <w:rPr>
                <w:rFonts w:cs="Calibri"/>
                <w:b/>
                <w:bCs/>
                <w:color w:val="000000"/>
                <w:sz w:val="18"/>
                <w:szCs w:val="18"/>
              </w:rPr>
            </w:pPr>
            <w:r>
              <w:rPr>
                <w:rFonts w:cs="Calibri"/>
                <w:b/>
                <w:bCs/>
                <w:color w:val="000000"/>
                <w:sz w:val="18"/>
                <w:szCs w:val="18"/>
              </w:rPr>
              <w:t>Burimi i financimit</w:t>
            </w:r>
          </w:p>
        </w:tc>
        <w:tc>
          <w:tcPr>
            <w:tcW w:w="1145" w:type="dxa"/>
            <w:tcBorders>
              <w:top w:val="single" w:sz="4" w:space="0" w:color="auto"/>
              <w:left w:val="single" w:sz="4" w:space="0" w:color="auto"/>
              <w:bottom w:val="single" w:sz="4" w:space="0" w:color="auto"/>
              <w:right w:val="single" w:sz="4" w:space="0" w:color="auto"/>
            </w:tcBorders>
            <w:shd w:val="clear" w:color="auto" w:fill="auto"/>
            <w:hideMark/>
          </w:tcPr>
          <w:p w:rsidR="00B951B1" w:rsidRPr="00E61612" w:rsidRDefault="00B951B1" w:rsidP="00CB78E6">
            <w:pPr>
              <w:spacing w:after="0"/>
              <w:jc w:val="center"/>
              <w:rPr>
                <w:rFonts w:cs="Calibri"/>
                <w:b/>
                <w:bCs/>
                <w:color w:val="000000"/>
                <w:sz w:val="18"/>
                <w:szCs w:val="18"/>
              </w:rPr>
            </w:pPr>
            <w:r w:rsidRPr="00E61612">
              <w:rPr>
                <w:rFonts w:cs="Calibri"/>
                <w:b/>
                <w:bCs/>
                <w:color w:val="000000"/>
                <w:sz w:val="18"/>
                <w:szCs w:val="18"/>
              </w:rPr>
              <w:t>Hendeku financiar</w:t>
            </w:r>
          </w:p>
        </w:tc>
        <w:tc>
          <w:tcPr>
            <w:tcW w:w="1145" w:type="dxa"/>
            <w:vMerge w:val="restart"/>
            <w:tcBorders>
              <w:top w:val="single" w:sz="4" w:space="0" w:color="auto"/>
              <w:left w:val="single" w:sz="4" w:space="0" w:color="auto"/>
              <w:right w:val="single" w:sz="4" w:space="0" w:color="auto"/>
            </w:tcBorders>
            <w:shd w:val="clear" w:color="auto" w:fill="E5DFEC"/>
          </w:tcPr>
          <w:p w:rsidR="00B951B1" w:rsidRPr="00E61612" w:rsidRDefault="00B951B1" w:rsidP="00CB78E6">
            <w:pPr>
              <w:spacing w:after="0"/>
              <w:jc w:val="center"/>
              <w:rPr>
                <w:rFonts w:cs="Calibri"/>
                <w:b/>
                <w:bCs/>
                <w:color w:val="000000"/>
                <w:sz w:val="18"/>
                <w:szCs w:val="18"/>
              </w:rPr>
            </w:pPr>
            <w:r w:rsidRPr="00E61612">
              <w:rPr>
                <w:rFonts w:cs="Calibri"/>
                <w:b/>
                <w:bCs/>
                <w:color w:val="000000"/>
                <w:sz w:val="18"/>
                <w:szCs w:val="18"/>
              </w:rPr>
              <w:t>Kosto indikative</w:t>
            </w:r>
          </w:p>
        </w:tc>
        <w:tc>
          <w:tcPr>
            <w:tcW w:w="2290" w:type="dxa"/>
            <w:gridSpan w:val="2"/>
            <w:tcBorders>
              <w:top w:val="single" w:sz="4" w:space="0" w:color="auto"/>
              <w:left w:val="single" w:sz="4" w:space="0" w:color="auto"/>
              <w:bottom w:val="single" w:sz="4" w:space="0" w:color="auto"/>
              <w:right w:val="single" w:sz="4" w:space="0" w:color="auto"/>
            </w:tcBorders>
            <w:shd w:val="clear" w:color="auto" w:fill="E5DFEC"/>
          </w:tcPr>
          <w:p w:rsidR="00B951B1" w:rsidRPr="00E61612" w:rsidRDefault="00753C65" w:rsidP="00CB78E6">
            <w:pPr>
              <w:spacing w:after="0"/>
              <w:jc w:val="center"/>
              <w:rPr>
                <w:rFonts w:cs="Calibri"/>
                <w:b/>
                <w:bCs/>
                <w:color w:val="000000"/>
                <w:sz w:val="18"/>
                <w:szCs w:val="18"/>
              </w:rPr>
            </w:pPr>
            <w:r>
              <w:rPr>
                <w:rFonts w:cs="Calibri"/>
                <w:b/>
                <w:bCs/>
                <w:color w:val="000000"/>
                <w:sz w:val="18"/>
                <w:szCs w:val="18"/>
              </w:rPr>
              <w:t>Burimi i financimit</w:t>
            </w:r>
          </w:p>
        </w:tc>
        <w:tc>
          <w:tcPr>
            <w:tcW w:w="1145" w:type="dxa"/>
            <w:tcBorders>
              <w:top w:val="single" w:sz="4" w:space="0" w:color="auto"/>
              <w:left w:val="single" w:sz="4" w:space="0" w:color="auto"/>
              <w:bottom w:val="single" w:sz="4" w:space="0" w:color="auto"/>
              <w:right w:val="single" w:sz="4" w:space="0" w:color="auto"/>
            </w:tcBorders>
            <w:shd w:val="clear" w:color="auto" w:fill="E5DFEC"/>
          </w:tcPr>
          <w:p w:rsidR="00B951B1" w:rsidRPr="00E61612" w:rsidRDefault="00B951B1" w:rsidP="00CB78E6">
            <w:pPr>
              <w:spacing w:after="0"/>
              <w:jc w:val="center"/>
              <w:rPr>
                <w:rFonts w:cs="Calibri"/>
                <w:b/>
                <w:bCs/>
                <w:color w:val="000000"/>
                <w:sz w:val="18"/>
                <w:szCs w:val="18"/>
              </w:rPr>
            </w:pPr>
            <w:r w:rsidRPr="00E61612">
              <w:rPr>
                <w:rFonts w:cs="Calibri"/>
                <w:b/>
                <w:bCs/>
                <w:color w:val="000000"/>
                <w:sz w:val="18"/>
                <w:szCs w:val="18"/>
              </w:rPr>
              <w:t>Hendeku financiar</w:t>
            </w:r>
          </w:p>
        </w:tc>
      </w:tr>
      <w:tr w:rsidR="00B951B1" w:rsidRPr="00E61612" w:rsidTr="00CB78E6">
        <w:trPr>
          <w:trHeight w:val="437"/>
        </w:trPr>
        <w:tc>
          <w:tcPr>
            <w:tcW w:w="1696" w:type="dxa"/>
            <w:vMerge/>
            <w:tcBorders>
              <w:top w:val="single" w:sz="4" w:space="0" w:color="auto"/>
              <w:left w:val="single" w:sz="4" w:space="0" w:color="auto"/>
              <w:bottom w:val="single" w:sz="4" w:space="0" w:color="auto"/>
              <w:right w:val="single" w:sz="4" w:space="0" w:color="auto"/>
            </w:tcBorders>
            <w:hideMark/>
          </w:tcPr>
          <w:p w:rsidR="00B951B1" w:rsidRPr="00E61612" w:rsidRDefault="00B951B1" w:rsidP="00CB78E6">
            <w:pPr>
              <w:spacing w:after="0"/>
              <w:rPr>
                <w:rFonts w:cs="Calibri"/>
                <w:b/>
                <w:bCs/>
                <w:color w:val="000000"/>
                <w:sz w:val="18"/>
                <w:szCs w:val="18"/>
              </w:rPr>
            </w:pPr>
          </w:p>
        </w:tc>
        <w:tc>
          <w:tcPr>
            <w:tcW w:w="1036" w:type="dxa"/>
            <w:vMerge/>
            <w:tcBorders>
              <w:top w:val="single" w:sz="4" w:space="0" w:color="auto"/>
              <w:left w:val="single" w:sz="4" w:space="0" w:color="auto"/>
              <w:bottom w:val="single" w:sz="4" w:space="0" w:color="auto"/>
              <w:right w:val="single" w:sz="4" w:space="0" w:color="auto"/>
            </w:tcBorders>
            <w:hideMark/>
          </w:tcPr>
          <w:p w:rsidR="00B951B1" w:rsidRPr="00E61612" w:rsidRDefault="00B951B1" w:rsidP="00CB78E6">
            <w:pPr>
              <w:spacing w:after="0"/>
              <w:rPr>
                <w:rFonts w:cs="Calibri"/>
                <w:b/>
                <w:bCs/>
                <w:color w:val="000000"/>
                <w:sz w:val="18"/>
                <w:szCs w:val="18"/>
              </w:rPr>
            </w:pPr>
          </w:p>
        </w:tc>
        <w:tc>
          <w:tcPr>
            <w:tcW w:w="1036" w:type="dxa"/>
            <w:tcBorders>
              <w:top w:val="single" w:sz="4" w:space="0" w:color="auto"/>
              <w:left w:val="nil"/>
              <w:bottom w:val="single" w:sz="4" w:space="0" w:color="auto"/>
              <w:right w:val="single" w:sz="4" w:space="0" w:color="auto"/>
            </w:tcBorders>
            <w:shd w:val="clear" w:color="auto" w:fill="auto"/>
            <w:hideMark/>
          </w:tcPr>
          <w:p w:rsidR="00B951B1" w:rsidRPr="00E61612" w:rsidRDefault="00B951B1" w:rsidP="00CB78E6">
            <w:pPr>
              <w:spacing w:after="0"/>
              <w:jc w:val="center"/>
              <w:rPr>
                <w:rFonts w:cs="Calibri"/>
                <w:b/>
                <w:bCs/>
                <w:color w:val="000000"/>
                <w:sz w:val="18"/>
                <w:szCs w:val="18"/>
              </w:rPr>
            </w:pPr>
            <w:r w:rsidRPr="00E61612">
              <w:rPr>
                <w:rFonts w:cs="Calibri"/>
                <w:b/>
                <w:bCs/>
                <w:color w:val="000000"/>
                <w:sz w:val="18"/>
                <w:szCs w:val="18"/>
              </w:rPr>
              <w:t>Buxheti i Shtetit</w:t>
            </w:r>
          </w:p>
        </w:tc>
        <w:tc>
          <w:tcPr>
            <w:tcW w:w="936" w:type="dxa"/>
            <w:tcBorders>
              <w:top w:val="single" w:sz="4" w:space="0" w:color="auto"/>
              <w:left w:val="nil"/>
              <w:bottom w:val="single" w:sz="4" w:space="0" w:color="auto"/>
              <w:right w:val="single" w:sz="4" w:space="0" w:color="auto"/>
            </w:tcBorders>
            <w:shd w:val="clear" w:color="auto" w:fill="auto"/>
            <w:hideMark/>
          </w:tcPr>
          <w:p w:rsidR="00B951B1" w:rsidRPr="00E61612" w:rsidRDefault="00B951B1" w:rsidP="00CB78E6">
            <w:pPr>
              <w:spacing w:after="0"/>
              <w:jc w:val="center"/>
              <w:rPr>
                <w:rFonts w:cs="Calibri"/>
                <w:b/>
                <w:bCs/>
                <w:color w:val="000000"/>
                <w:sz w:val="18"/>
                <w:szCs w:val="18"/>
              </w:rPr>
            </w:pPr>
            <w:r w:rsidRPr="00E61612">
              <w:rPr>
                <w:rFonts w:cs="Calibri"/>
                <w:b/>
                <w:bCs/>
                <w:color w:val="000000"/>
                <w:sz w:val="18"/>
                <w:szCs w:val="18"/>
              </w:rPr>
              <w:t>Financimi i huaj</w:t>
            </w:r>
          </w:p>
        </w:tc>
        <w:tc>
          <w:tcPr>
            <w:tcW w:w="1145" w:type="dxa"/>
            <w:tcBorders>
              <w:top w:val="single" w:sz="4" w:space="0" w:color="auto"/>
              <w:left w:val="single" w:sz="4" w:space="0" w:color="auto"/>
              <w:bottom w:val="single" w:sz="4" w:space="0" w:color="auto"/>
              <w:right w:val="single" w:sz="4" w:space="0" w:color="auto"/>
            </w:tcBorders>
          </w:tcPr>
          <w:p w:rsidR="00B951B1" w:rsidRPr="00E61612" w:rsidRDefault="00B951B1" w:rsidP="00CB78E6">
            <w:pPr>
              <w:spacing w:after="0"/>
              <w:rPr>
                <w:rFonts w:cs="Calibri"/>
                <w:b/>
                <w:bCs/>
                <w:color w:val="000000"/>
                <w:sz w:val="18"/>
                <w:szCs w:val="18"/>
              </w:rPr>
            </w:pPr>
          </w:p>
        </w:tc>
        <w:tc>
          <w:tcPr>
            <w:tcW w:w="1145" w:type="dxa"/>
            <w:vMerge/>
            <w:tcBorders>
              <w:left w:val="single" w:sz="4" w:space="0" w:color="auto"/>
              <w:bottom w:val="single" w:sz="4" w:space="0" w:color="auto"/>
              <w:right w:val="single" w:sz="4" w:space="0" w:color="auto"/>
            </w:tcBorders>
            <w:shd w:val="clear" w:color="auto" w:fill="E5DFEC"/>
          </w:tcPr>
          <w:p w:rsidR="00B951B1" w:rsidRPr="00E61612" w:rsidRDefault="00B951B1" w:rsidP="00CB78E6">
            <w:pPr>
              <w:spacing w:after="0"/>
              <w:jc w:val="center"/>
              <w:rPr>
                <w:rFonts w:cs="Calibri"/>
                <w:b/>
                <w:bCs/>
                <w:color w:val="000000"/>
                <w:sz w:val="18"/>
                <w:szCs w:val="18"/>
              </w:rPr>
            </w:pPr>
          </w:p>
        </w:tc>
        <w:tc>
          <w:tcPr>
            <w:tcW w:w="1145" w:type="dxa"/>
            <w:tcBorders>
              <w:top w:val="single" w:sz="4" w:space="0" w:color="auto"/>
              <w:left w:val="single" w:sz="4" w:space="0" w:color="auto"/>
              <w:bottom w:val="single" w:sz="4" w:space="0" w:color="auto"/>
              <w:right w:val="single" w:sz="4" w:space="0" w:color="auto"/>
            </w:tcBorders>
            <w:shd w:val="clear" w:color="auto" w:fill="E5DFEC"/>
          </w:tcPr>
          <w:p w:rsidR="00B951B1" w:rsidRPr="00E61612" w:rsidRDefault="00B951B1" w:rsidP="00CB78E6">
            <w:pPr>
              <w:spacing w:after="0"/>
              <w:jc w:val="center"/>
              <w:rPr>
                <w:rFonts w:cs="Calibri"/>
                <w:b/>
                <w:bCs/>
                <w:color w:val="000000"/>
                <w:sz w:val="18"/>
                <w:szCs w:val="18"/>
              </w:rPr>
            </w:pPr>
            <w:r w:rsidRPr="00E61612">
              <w:rPr>
                <w:rFonts w:cs="Calibri"/>
                <w:b/>
                <w:bCs/>
                <w:color w:val="000000"/>
                <w:sz w:val="18"/>
                <w:szCs w:val="18"/>
              </w:rPr>
              <w:t>Buxheti i Shtetit</w:t>
            </w:r>
          </w:p>
        </w:tc>
        <w:tc>
          <w:tcPr>
            <w:tcW w:w="1145" w:type="dxa"/>
            <w:tcBorders>
              <w:top w:val="single" w:sz="4" w:space="0" w:color="auto"/>
              <w:left w:val="single" w:sz="4" w:space="0" w:color="auto"/>
              <w:bottom w:val="single" w:sz="4" w:space="0" w:color="auto"/>
              <w:right w:val="single" w:sz="4" w:space="0" w:color="auto"/>
            </w:tcBorders>
            <w:shd w:val="clear" w:color="auto" w:fill="E5DFEC"/>
          </w:tcPr>
          <w:p w:rsidR="00B951B1" w:rsidRPr="00E61612" w:rsidRDefault="00B951B1" w:rsidP="00CB78E6">
            <w:pPr>
              <w:spacing w:after="0"/>
              <w:jc w:val="center"/>
              <w:rPr>
                <w:rFonts w:cs="Calibri"/>
                <w:b/>
                <w:bCs/>
                <w:color w:val="000000"/>
                <w:sz w:val="18"/>
                <w:szCs w:val="18"/>
              </w:rPr>
            </w:pPr>
            <w:r w:rsidRPr="00E61612">
              <w:rPr>
                <w:rFonts w:cs="Calibri"/>
                <w:b/>
                <w:bCs/>
                <w:color w:val="000000"/>
                <w:sz w:val="18"/>
                <w:szCs w:val="18"/>
              </w:rPr>
              <w:t>Financimi i huaj</w:t>
            </w:r>
          </w:p>
        </w:tc>
        <w:tc>
          <w:tcPr>
            <w:tcW w:w="1145" w:type="dxa"/>
            <w:tcBorders>
              <w:top w:val="single" w:sz="4" w:space="0" w:color="auto"/>
              <w:left w:val="single" w:sz="4" w:space="0" w:color="auto"/>
              <w:bottom w:val="single" w:sz="4" w:space="0" w:color="auto"/>
              <w:right w:val="single" w:sz="4" w:space="0" w:color="auto"/>
            </w:tcBorders>
            <w:shd w:val="clear" w:color="auto" w:fill="E5DFEC"/>
            <w:hideMark/>
          </w:tcPr>
          <w:p w:rsidR="00B951B1" w:rsidRPr="00E61612" w:rsidRDefault="00B951B1" w:rsidP="00CB78E6">
            <w:pPr>
              <w:spacing w:after="0"/>
              <w:rPr>
                <w:rFonts w:cs="Calibri"/>
                <w:b/>
                <w:bCs/>
                <w:color w:val="000000"/>
                <w:sz w:val="18"/>
                <w:szCs w:val="18"/>
              </w:rPr>
            </w:pPr>
          </w:p>
        </w:tc>
      </w:tr>
      <w:tr w:rsidR="00576DF2" w:rsidRPr="00576DF2" w:rsidTr="000774C6">
        <w:trPr>
          <w:trHeight w:val="391"/>
        </w:trPr>
        <w:tc>
          <w:tcPr>
            <w:tcW w:w="1696" w:type="dxa"/>
            <w:tcBorders>
              <w:top w:val="single" w:sz="4" w:space="0" w:color="auto"/>
              <w:left w:val="single" w:sz="4" w:space="0" w:color="auto"/>
              <w:bottom w:val="single" w:sz="4" w:space="0" w:color="auto"/>
              <w:right w:val="single" w:sz="4" w:space="0" w:color="auto"/>
            </w:tcBorders>
            <w:shd w:val="clear" w:color="000000" w:fill="FFFFFF"/>
          </w:tcPr>
          <w:p w:rsidR="00576DF2" w:rsidRPr="00576DF2" w:rsidRDefault="00576DF2" w:rsidP="000774C6">
            <w:pPr>
              <w:spacing w:after="0"/>
              <w:rPr>
                <w:rFonts w:cstheme="minorHAnsi"/>
                <w:color w:val="000000"/>
                <w:sz w:val="18"/>
                <w:szCs w:val="18"/>
              </w:rPr>
            </w:pPr>
            <w:r w:rsidRPr="00576DF2">
              <w:rPr>
                <w:rFonts w:cstheme="minorHAnsi"/>
                <w:color w:val="000000"/>
                <w:sz w:val="18"/>
                <w:szCs w:val="18"/>
              </w:rPr>
              <w:t>Qëllimi</w:t>
            </w:r>
            <w:r w:rsidRPr="00576DF2">
              <w:rPr>
                <w:rFonts w:ascii="Calibri" w:hAnsi="Calibri" w:cstheme="minorHAnsi"/>
                <w:color w:val="000000"/>
                <w:sz w:val="18"/>
                <w:szCs w:val="18"/>
              </w:rPr>
              <w:t xml:space="preserve"> </w:t>
            </w:r>
            <w:r w:rsidRPr="00576DF2">
              <w:rPr>
                <w:rFonts w:cstheme="minorHAnsi"/>
                <w:color w:val="000000"/>
                <w:sz w:val="18"/>
                <w:szCs w:val="18"/>
              </w:rPr>
              <w:t>i</w:t>
            </w:r>
            <w:r w:rsidRPr="00576DF2">
              <w:rPr>
                <w:rFonts w:ascii="Calibri" w:hAnsi="Calibri" w:cstheme="minorHAnsi"/>
                <w:color w:val="000000"/>
                <w:sz w:val="18"/>
                <w:szCs w:val="18"/>
              </w:rPr>
              <w:t xml:space="preserve"> </w:t>
            </w:r>
            <w:r w:rsidRPr="00576DF2">
              <w:rPr>
                <w:rFonts w:cstheme="minorHAnsi"/>
                <w:color w:val="000000"/>
                <w:sz w:val="18"/>
                <w:szCs w:val="18"/>
              </w:rPr>
              <w:t>politikës</w:t>
            </w:r>
            <w:r w:rsidRPr="00576DF2">
              <w:rPr>
                <w:rFonts w:ascii="Calibri" w:hAnsi="Calibri" w:cstheme="minorHAnsi"/>
                <w:color w:val="000000"/>
                <w:sz w:val="18"/>
                <w:szCs w:val="18"/>
              </w:rPr>
              <w:t xml:space="preserve"> </w:t>
            </w:r>
            <w:r w:rsidRPr="00576DF2">
              <w:rPr>
                <w:rFonts w:cstheme="minorHAnsi"/>
                <w:color w:val="000000"/>
                <w:sz w:val="18"/>
                <w:szCs w:val="18"/>
              </w:rPr>
              <w:t>A</w:t>
            </w:r>
          </w:p>
        </w:tc>
        <w:tc>
          <w:tcPr>
            <w:tcW w:w="1036" w:type="dxa"/>
            <w:tcBorders>
              <w:top w:val="single" w:sz="4" w:space="0" w:color="auto"/>
              <w:left w:val="single" w:sz="4" w:space="0" w:color="auto"/>
              <w:bottom w:val="single" w:sz="4" w:space="0" w:color="auto"/>
              <w:right w:val="single" w:sz="4" w:space="0" w:color="auto"/>
            </w:tcBorders>
            <w:shd w:val="clear" w:color="000000" w:fill="FFFFFF"/>
            <w:noWrap/>
          </w:tcPr>
          <w:p w:rsidR="00576DF2" w:rsidRPr="00576DF2" w:rsidRDefault="00FA5606" w:rsidP="000774C6">
            <w:pPr>
              <w:spacing w:after="0"/>
              <w:jc w:val="right"/>
              <w:rPr>
                <w:rFonts w:ascii="Calibri" w:hAnsi="Calibri" w:cs="Calibri"/>
                <w:sz w:val="18"/>
                <w:szCs w:val="18"/>
              </w:rPr>
            </w:pPr>
            <w:r w:rsidRPr="00FA5606">
              <w:rPr>
                <w:rFonts w:ascii="Calibri" w:hAnsi="Calibri" w:cs="Calibri"/>
                <w:sz w:val="18"/>
                <w:szCs w:val="18"/>
              </w:rPr>
              <w:t>36,234,000</w:t>
            </w:r>
          </w:p>
        </w:tc>
        <w:tc>
          <w:tcPr>
            <w:tcW w:w="1036" w:type="dxa"/>
            <w:tcBorders>
              <w:top w:val="single" w:sz="4" w:space="0" w:color="auto"/>
              <w:left w:val="single" w:sz="4" w:space="0" w:color="auto"/>
              <w:bottom w:val="single" w:sz="4" w:space="0" w:color="auto"/>
              <w:right w:val="single" w:sz="4" w:space="0" w:color="auto"/>
            </w:tcBorders>
            <w:shd w:val="clear" w:color="000000" w:fill="FFFFFF"/>
            <w:noWrap/>
          </w:tcPr>
          <w:p w:rsidR="00576DF2" w:rsidRPr="00576DF2" w:rsidRDefault="00576DF2" w:rsidP="000774C6">
            <w:pPr>
              <w:spacing w:after="0"/>
              <w:jc w:val="right"/>
              <w:rPr>
                <w:rFonts w:ascii="Calibri" w:hAnsi="Calibri" w:cs="Calibri"/>
                <w:sz w:val="18"/>
                <w:szCs w:val="18"/>
              </w:rPr>
            </w:pPr>
            <w:r w:rsidRPr="00576DF2">
              <w:rPr>
                <w:rFonts w:ascii="Calibri" w:hAnsi="Calibri" w:cs="Calibri"/>
                <w:sz w:val="18"/>
                <w:szCs w:val="18"/>
              </w:rPr>
              <w:t>27,122,039</w:t>
            </w:r>
          </w:p>
        </w:tc>
        <w:tc>
          <w:tcPr>
            <w:tcW w:w="936" w:type="dxa"/>
            <w:tcBorders>
              <w:top w:val="single" w:sz="4" w:space="0" w:color="auto"/>
              <w:left w:val="single" w:sz="4" w:space="0" w:color="auto"/>
              <w:bottom w:val="single" w:sz="4" w:space="0" w:color="auto"/>
              <w:right w:val="single" w:sz="4" w:space="0" w:color="auto"/>
            </w:tcBorders>
            <w:shd w:val="clear" w:color="000000" w:fill="FFFFFF"/>
            <w:noWrap/>
          </w:tcPr>
          <w:p w:rsidR="00576DF2" w:rsidRPr="00576DF2" w:rsidRDefault="00576DF2" w:rsidP="000774C6">
            <w:pPr>
              <w:spacing w:after="0"/>
              <w:jc w:val="right"/>
              <w:rPr>
                <w:rFonts w:ascii="Calibri" w:hAnsi="Calibri" w:cs="Calibri"/>
                <w:sz w:val="18"/>
                <w:szCs w:val="18"/>
              </w:rPr>
            </w:pPr>
            <w:r w:rsidRPr="00576DF2">
              <w:rPr>
                <w:rFonts w:ascii="Calibri" w:hAnsi="Calibri" w:cs="Calibri"/>
                <w:sz w:val="18"/>
                <w:szCs w:val="18"/>
              </w:rPr>
              <w:t>150,724</w:t>
            </w:r>
          </w:p>
        </w:tc>
        <w:tc>
          <w:tcPr>
            <w:tcW w:w="1145" w:type="dxa"/>
            <w:tcBorders>
              <w:top w:val="single" w:sz="4" w:space="0" w:color="auto"/>
              <w:left w:val="single" w:sz="4" w:space="0" w:color="auto"/>
              <w:bottom w:val="single" w:sz="4" w:space="0" w:color="auto"/>
              <w:right w:val="single" w:sz="4" w:space="0" w:color="auto"/>
            </w:tcBorders>
            <w:shd w:val="clear" w:color="000000" w:fill="FFFFFF"/>
          </w:tcPr>
          <w:p w:rsidR="00576DF2" w:rsidRPr="00576DF2" w:rsidRDefault="00FA5606" w:rsidP="000774C6">
            <w:pPr>
              <w:spacing w:after="0"/>
              <w:jc w:val="right"/>
              <w:rPr>
                <w:rFonts w:ascii="Calibri" w:hAnsi="Calibri" w:cs="Calibri"/>
                <w:sz w:val="18"/>
                <w:szCs w:val="18"/>
              </w:rPr>
            </w:pPr>
            <w:r w:rsidRPr="00FA5606">
              <w:rPr>
                <w:rFonts w:ascii="Calibri" w:hAnsi="Calibri" w:cs="Calibri"/>
                <w:sz w:val="18"/>
                <w:szCs w:val="18"/>
              </w:rPr>
              <w:t>(8,961,237</w:t>
            </w:r>
            <w:r w:rsidR="00576DF2" w:rsidRPr="00576DF2">
              <w:rPr>
                <w:rFonts w:ascii="Calibri" w:hAnsi="Calibri" w:cs="Calibri"/>
                <w:sz w:val="18"/>
                <w:szCs w:val="18"/>
              </w:rPr>
              <w:t>)</w:t>
            </w:r>
          </w:p>
        </w:tc>
        <w:tc>
          <w:tcPr>
            <w:tcW w:w="1145" w:type="dxa"/>
            <w:tcBorders>
              <w:top w:val="single" w:sz="4" w:space="0" w:color="auto"/>
              <w:left w:val="single" w:sz="4" w:space="0" w:color="auto"/>
              <w:bottom w:val="single" w:sz="4" w:space="0" w:color="auto"/>
              <w:right w:val="single" w:sz="4" w:space="0" w:color="auto"/>
            </w:tcBorders>
            <w:shd w:val="clear" w:color="auto" w:fill="E5DFEC" w:themeFill="accent4" w:themeFillTint="33"/>
          </w:tcPr>
          <w:p w:rsidR="00576DF2" w:rsidRPr="00576DF2" w:rsidRDefault="00FA5606" w:rsidP="000774C6">
            <w:pPr>
              <w:spacing w:after="0"/>
              <w:jc w:val="right"/>
              <w:rPr>
                <w:rFonts w:ascii="Calibri" w:hAnsi="Calibri" w:cs="Calibri"/>
                <w:sz w:val="18"/>
                <w:szCs w:val="18"/>
              </w:rPr>
            </w:pPr>
            <w:r w:rsidRPr="00FA5606">
              <w:rPr>
                <w:rFonts w:ascii="Calibri" w:hAnsi="Calibri" w:cs="Calibri"/>
                <w:sz w:val="18"/>
                <w:szCs w:val="18"/>
              </w:rPr>
              <w:t>15,382,865</w:t>
            </w:r>
          </w:p>
        </w:tc>
        <w:tc>
          <w:tcPr>
            <w:tcW w:w="1145" w:type="dxa"/>
            <w:tcBorders>
              <w:top w:val="single" w:sz="4" w:space="0" w:color="auto"/>
              <w:left w:val="single" w:sz="4" w:space="0" w:color="auto"/>
              <w:bottom w:val="single" w:sz="4" w:space="0" w:color="auto"/>
              <w:right w:val="single" w:sz="4" w:space="0" w:color="auto"/>
            </w:tcBorders>
            <w:shd w:val="clear" w:color="auto" w:fill="E5DFEC" w:themeFill="accent4" w:themeFillTint="33"/>
          </w:tcPr>
          <w:p w:rsidR="00576DF2" w:rsidRPr="00576DF2" w:rsidRDefault="00576DF2" w:rsidP="000774C6">
            <w:pPr>
              <w:spacing w:after="0"/>
              <w:jc w:val="right"/>
              <w:rPr>
                <w:rFonts w:ascii="Calibri" w:hAnsi="Calibri" w:cs="Calibri"/>
                <w:sz w:val="18"/>
                <w:szCs w:val="18"/>
              </w:rPr>
            </w:pPr>
            <w:r w:rsidRPr="00576DF2">
              <w:rPr>
                <w:rFonts w:ascii="Calibri" w:hAnsi="Calibri" w:cs="Calibri"/>
                <w:sz w:val="18"/>
                <w:szCs w:val="18"/>
              </w:rPr>
              <w:t>13,532,905</w:t>
            </w:r>
          </w:p>
        </w:tc>
        <w:tc>
          <w:tcPr>
            <w:tcW w:w="1145" w:type="dxa"/>
            <w:tcBorders>
              <w:top w:val="single" w:sz="4" w:space="0" w:color="auto"/>
              <w:left w:val="single" w:sz="4" w:space="0" w:color="auto"/>
              <w:bottom w:val="single" w:sz="4" w:space="0" w:color="auto"/>
              <w:right w:val="single" w:sz="4" w:space="0" w:color="auto"/>
            </w:tcBorders>
            <w:shd w:val="clear" w:color="auto" w:fill="E5DFEC" w:themeFill="accent4" w:themeFillTint="33"/>
          </w:tcPr>
          <w:p w:rsidR="00576DF2" w:rsidRPr="00576DF2" w:rsidRDefault="00576DF2" w:rsidP="000774C6">
            <w:pPr>
              <w:spacing w:after="0"/>
              <w:jc w:val="right"/>
              <w:rPr>
                <w:rFonts w:ascii="Calibri" w:hAnsi="Calibri" w:cs="Calibri"/>
                <w:sz w:val="18"/>
                <w:szCs w:val="18"/>
              </w:rPr>
            </w:pPr>
            <w:r w:rsidRPr="00576DF2">
              <w:rPr>
                <w:rFonts w:ascii="Calibri" w:hAnsi="Calibri" w:cs="Calibri"/>
                <w:sz w:val="18"/>
                <w:szCs w:val="18"/>
              </w:rPr>
              <w:t>124,224</w:t>
            </w:r>
          </w:p>
        </w:tc>
        <w:tc>
          <w:tcPr>
            <w:tcW w:w="1145" w:type="dxa"/>
            <w:tcBorders>
              <w:top w:val="single" w:sz="4" w:space="0" w:color="auto"/>
              <w:left w:val="single" w:sz="4" w:space="0" w:color="auto"/>
              <w:bottom w:val="single" w:sz="4" w:space="0" w:color="auto"/>
              <w:right w:val="single" w:sz="4" w:space="0" w:color="auto"/>
            </w:tcBorders>
            <w:shd w:val="clear" w:color="auto" w:fill="E5DFEC" w:themeFill="accent4" w:themeFillTint="33"/>
            <w:noWrap/>
          </w:tcPr>
          <w:p w:rsidR="00576DF2" w:rsidRPr="00576DF2" w:rsidRDefault="00576DF2" w:rsidP="000774C6">
            <w:pPr>
              <w:spacing w:after="0"/>
              <w:jc w:val="right"/>
              <w:rPr>
                <w:rFonts w:ascii="Calibri" w:hAnsi="Calibri" w:cs="Calibri"/>
                <w:sz w:val="18"/>
                <w:szCs w:val="18"/>
              </w:rPr>
            </w:pPr>
            <w:r w:rsidRPr="00576DF2">
              <w:rPr>
                <w:rFonts w:ascii="Calibri" w:hAnsi="Calibri" w:cs="Calibri"/>
                <w:sz w:val="18"/>
                <w:szCs w:val="18"/>
              </w:rPr>
              <w:t>(</w:t>
            </w:r>
            <w:r w:rsidR="00FA5606" w:rsidRPr="00FA5606">
              <w:rPr>
                <w:rFonts w:ascii="Calibri" w:hAnsi="Calibri" w:cs="Calibri"/>
                <w:sz w:val="18"/>
                <w:szCs w:val="18"/>
              </w:rPr>
              <w:t>1,725,736</w:t>
            </w:r>
            <w:r w:rsidRPr="00576DF2">
              <w:rPr>
                <w:rFonts w:ascii="Calibri" w:hAnsi="Calibri" w:cs="Calibri"/>
                <w:sz w:val="18"/>
                <w:szCs w:val="18"/>
              </w:rPr>
              <w:t>)</w:t>
            </w:r>
          </w:p>
        </w:tc>
      </w:tr>
      <w:tr w:rsidR="00B951B1" w:rsidRPr="00576DF2" w:rsidTr="00CB78E6">
        <w:trPr>
          <w:trHeight w:val="391"/>
        </w:trPr>
        <w:tc>
          <w:tcPr>
            <w:tcW w:w="1696" w:type="dxa"/>
            <w:tcBorders>
              <w:top w:val="single" w:sz="4" w:space="0" w:color="auto"/>
              <w:left w:val="single" w:sz="4" w:space="0" w:color="auto"/>
              <w:bottom w:val="single" w:sz="4" w:space="0" w:color="auto"/>
              <w:right w:val="single" w:sz="4" w:space="0" w:color="auto"/>
            </w:tcBorders>
            <w:shd w:val="clear" w:color="000000" w:fill="FFFFFF"/>
          </w:tcPr>
          <w:p w:rsidR="00B951B1" w:rsidRPr="00576DF2" w:rsidRDefault="00B951B1" w:rsidP="00CB78E6">
            <w:pPr>
              <w:spacing w:after="0"/>
              <w:rPr>
                <w:rFonts w:cs="Calibri"/>
                <w:color w:val="000000"/>
                <w:sz w:val="18"/>
                <w:szCs w:val="18"/>
              </w:rPr>
            </w:pPr>
            <w:r w:rsidRPr="00576DF2">
              <w:rPr>
                <w:rFonts w:cs="Calibri"/>
                <w:color w:val="000000"/>
                <w:sz w:val="18"/>
                <w:szCs w:val="18"/>
              </w:rPr>
              <w:t>Qëllimi i politikës A</w:t>
            </w:r>
          </w:p>
        </w:tc>
        <w:tc>
          <w:tcPr>
            <w:tcW w:w="1036" w:type="dxa"/>
            <w:tcBorders>
              <w:top w:val="single" w:sz="4" w:space="0" w:color="auto"/>
              <w:left w:val="single" w:sz="4" w:space="0" w:color="auto"/>
              <w:bottom w:val="single" w:sz="4" w:space="0" w:color="auto"/>
              <w:right w:val="single" w:sz="4" w:space="0" w:color="auto"/>
            </w:tcBorders>
            <w:shd w:val="clear" w:color="000000" w:fill="FFFFFF"/>
            <w:noWrap/>
          </w:tcPr>
          <w:p w:rsidR="00B951B1" w:rsidRPr="00576DF2" w:rsidRDefault="00B951B1" w:rsidP="00CB78E6">
            <w:pPr>
              <w:spacing w:after="0"/>
              <w:jc w:val="right"/>
              <w:rPr>
                <w:rFonts w:cs="Calibri"/>
                <w:sz w:val="18"/>
                <w:szCs w:val="18"/>
              </w:rPr>
            </w:pPr>
            <w:r w:rsidRPr="00576DF2">
              <w:rPr>
                <w:rFonts w:cs="Calibri"/>
                <w:sz w:val="18"/>
                <w:szCs w:val="18"/>
              </w:rPr>
              <w:t>35,576,226</w:t>
            </w:r>
          </w:p>
        </w:tc>
        <w:tc>
          <w:tcPr>
            <w:tcW w:w="1036" w:type="dxa"/>
            <w:tcBorders>
              <w:top w:val="single" w:sz="4" w:space="0" w:color="auto"/>
              <w:left w:val="single" w:sz="4" w:space="0" w:color="auto"/>
              <w:bottom w:val="single" w:sz="4" w:space="0" w:color="auto"/>
              <w:right w:val="single" w:sz="4" w:space="0" w:color="auto"/>
            </w:tcBorders>
            <w:shd w:val="clear" w:color="000000" w:fill="FFFFFF"/>
            <w:noWrap/>
          </w:tcPr>
          <w:p w:rsidR="00B951B1" w:rsidRPr="00576DF2" w:rsidRDefault="00B951B1" w:rsidP="00CB78E6">
            <w:pPr>
              <w:spacing w:after="0"/>
              <w:jc w:val="right"/>
              <w:rPr>
                <w:rFonts w:cs="Calibri"/>
                <w:sz w:val="18"/>
                <w:szCs w:val="18"/>
              </w:rPr>
            </w:pPr>
            <w:r w:rsidRPr="00576DF2">
              <w:rPr>
                <w:rFonts w:cs="Calibri"/>
                <w:sz w:val="18"/>
                <w:szCs w:val="18"/>
              </w:rPr>
              <w:t>27,122,039</w:t>
            </w:r>
          </w:p>
        </w:tc>
        <w:tc>
          <w:tcPr>
            <w:tcW w:w="936" w:type="dxa"/>
            <w:tcBorders>
              <w:top w:val="single" w:sz="4" w:space="0" w:color="auto"/>
              <w:left w:val="single" w:sz="4" w:space="0" w:color="auto"/>
              <w:bottom w:val="single" w:sz="4" w:space="0" w:color="auto"/>
              <w:right w:val="single" w:sz="4" w:space="0" w:color="auto"/>
            </w:tcBorders>
            <w:shd w:val="clear" w:color="000000" w:fill="FFFFFF"/>
            <w:noWrap/>
          </w:tcPr>
          <w:p w:rsidR="00B951B1" w:rsidRPr="00576DF2" w:rsidRDefault="00B951B1" w:rsidP="00CB78E6">
            <w:pPr>
              <w:spacing w:after="0"/>
              <w:jc w:val="right"/>
              <w:rPr>
                <w:rFonts w:cs="Calibri"/>
                <w:sz w:val="18"/>
                <w:szCs w:val="18"/>
              </w:rPr>
            </w:pPr>
            <w:r w:rsidRPr="00576DF2">
              <w:rPr>
                <w:rFonts w:cs="Calibri"/>
                <w:sz w:val="18"/>
                <w:szCs w:val="18"/>
              </w:rPr>
              <w:t>150,724</w:t>
            </w:r>
          </w:p>
        </w:tc>
        <w:tc>
          <w:tcPr>
            <w:tcW w:w="1145" w:type="dxa"/>
            <w:tcBorders>
              <w:top w:val="single" w:sz="4" w:space="0" w:color="auto"/>
              <w:left w:val="single" w:sz="4" w:space="0" w:color="auto"/>
              <w:bottom w:val="single" w:sz="4" w:space="0" w:color="auto"/>
              <w:right w:val="single" w:sz="4" w:space="0" w:color="auto"/>
            </w:tcBorders>
            <w:shd w:val="clear" w:color="000000" w:fill="FFFFFF"/>
          </w:tcPr>
          <w:p w:rsidR="00B951B1" w:rsidRPr="00576DF2" w:rsidRDefault="00B951B1" w:rsidP="00CB78E6">
            <w:pPr>
              <w:spacing w:after="0"/>
              <w:jc w:val="right"/>
              <w:rPr>
                <w:rFonts w:cs="Calibri"/>
                <w:sz w:val="18"/>
                <w:szCs w:val="18"/>
              </w:rPr>
            </w:pPr>
            <w:r w:rsidRPr="00576DF2">
              <w:rPr>
                <w:rFonts w:cs="Calibri"/>
                <w:sz w:val="18"/>
                <w:szCs w:val="18"/>
              </w:rPr>
              <w:t>(8,303,462)</w:t>
            </w:r>
          </w:p>
        </w:tc>
        <w:tc>
          <w:tcPr>
            <w:tcW w:w="1145" w:type="dxa"/>
            <w:tcBorders>
              <w:top w:val="single" w:sz="4" w:space="0" w:color="auto"/>
              <w:left w:val="single" w:sz="4" w:space="0" w:color="auto"/>
              <w:bottom w:val="single" w:sz="4" w:space="0" w:color="auto"/>
              <w:right w:val="single" w:sz="4" w:space="0" w:color="auto"/>
            </w:tcBorders>
            <w:shd w:val="clear" w:color="auto" w:fill="E5DFEC"/>
          </w:tcPr>
          <w:p w:rsidR="00B951B1" w:rsidRPr="00576DF2" w:rsidRDefault="00B951B1" w:rsidP="00CB78E6">
            <w:pPr>
              <w:spacing w:after="0"/>
              <w:jc w:val="right"/>
              <w:rPr>
                <w:rFonts w:cs="Calibri"/>
                <w:sz w:val="18"/>
                <w:szCs w:val="18"/>
              </w:rPr>
            </w:pPr>
            <w:r w:rsidRPr="00576DF2">
              <w:rPr>
                <w:rFonts w:cs="Calibri"/>
                <w:sz w:val="18"/>
                <w:szCs w:val="18"/>
              </w:rPr>
              <w:t>15,278,019</w:t>
            </w:r>
          </w:p>
        </w:tc>
        <w:tc>
          <w:tcPr>
            <w:tcW w:w="1145" w:type="dxa"/>
            <w:tcBorders>
              <w:top w:val="single" w:sz="4" w:space="0" w:color="auto"/>
              <w:left w:val="single" w:sz="4" w:space="0" w:color="auto"/>
              <w:bottom w:val="single" w:sz="4" w:space="0" w:color="auto"/>
              <w:right w:val="single" w:sz="4" w:space="0" w:color="auto"/>
            </w:tcBorders>
            <w:shd w:val="clear" w:color="auto" w:fill="E5DFEC"/>
          </w:tcPr>
          <w:p w:rsidR="00B951B1" w:rsidRPr="00576DF2" w:rsidRDefault="00B951B1" w:rsidP="00CB78E6">
            <w:pPr>
              <w:spacing w:after="0"/>
              <w:jc w:val="right"/>
              <w:rPr>
                <w:rFonts w:cs="Calibri"/>
                <w:sz w:val="18"/>
                <w:szCs w:val="18"/>
              </w:rPr>
            </w:pPr>
            <w:r w:rsidRPr="00576DF2">
              <w:rPr>
                <w:rFonts w:cs="Calibri"/>
                <w:sz w:val="18"/>
                <w:szCs w:val="18"/>
              </w:rPr>
              <w:t>13,532,905</w:t>
            </w:r>
          </w:p>
        </w:tc>
        <w:tc>
          <w:tcPr>
            <w:tcW w:w="1145" w:type="dxa"/>
            <w:tcBorders>
              <w:top w:val="single" w:sz="4" w:space="0" w:color="auto"/>
              <w:left w:val="single" w:sz="4" w:space="0" w:color="auto"/>
              <w:bottom w:val="single" w:sz="4" w:space="0" w:color="auto"/>
              <w:right w:val="single" w:sz="4" w:space="0" w:color="auto"/>
            </w:tcBorders>
            <w:shd w:val="clear" w:color="auto" w:fill="E5DFEC"/>
          </w:tcPr>
          <w:p w:rsidR="00B951B1" w:rsidRPr="00576DF2" w:rsidRDefault="00B951B1" w:rsidP="00CB78E6">
            <w:pPr>
              <w:spacing w:after="0"/>
              <w:jc w:val="right"/>
              <w:rPr>
                <w:rFonts w:cs="Calibri"/>
                <w:sz w:val="18"/>
                <w:szCs w:val="18"/>
              </w:rPr>
            </w:pPr>
            <w:r w:rsidRPr="00576DF2">
              <w:rPr>
                <w:rFonts w:cs="Calibri"/>
                <w:sz w:val="18"/>
                <w:szCs w:val="18"/>
              </w:rPr>
              <w:t>124,224</w:t>
            </w:r>
          </w:p>
        </w:tc>
        <w:tc>
          <w:tcPr>
            <w:tcW w:w="1145" w:type="dxa"/>
            <w:tcBorders>
              <w:top w:val="single" w:sz="4" w:space="0" w:color="auto"/>
              <w:left w:val="single" w:sz="4" w:space="0" w:color="auto"/>
              <w:bottom w:val="single" w:sz="4" w:space="0" w:color="auto"/>
              <w:right w:val="single" w:sz="4" w:space="0" w:color="auto"/>
            </w:tcBorders>
            <w:shd w:val="clear" w:color="auto" w:fill="E5DFEC"/>
            <w:noWrap/>
          </w:tcPr>
          <w:p w:rsidR="00B951B1" w:rsidRPr="00576DF2" w:rsidRDefault="00B951B1" w:rsidP="00CB78E6">
            <w:pPr>
              <w:spacing w:after="0"/>
              <w:jc w:val="right"/>
              <w:rPr>
                <w:rFonts w:cs="Calibri"/>
                <w:sz w:val="18"/>
                <w:szCs w:val="18"/>
              </w:rPr>
            </w:pPr>
            <w:r w:rsidRPr="00576DF2">
              <w:rPr>
                <w:rFonts w:cs="Calibri"/>
                <w:sz w:val="18"/>
                <w:szCs w:val="18"/>
              </w:rPr>
              <w:t>(1,620,890)</w:t>
            </w:r>
          </w:p>
        </w:tc>
      </w:tr>
      <w:tr w:rsidR="00B951B1" w:rsidRPr="00576DF2" w:rsidTr="00CB78E6">
        <w:trPr>
          <w:trHeight w:val="411"/>
        </w:trPr>
        <w:tc>
          <w:tcPr>
            <w:tcW w:w="1696" w:type="dxa"/>
            <w:tcBorders>
              <w:top w:val="single" w:sz="4" w:space="0" w:color="auto"/>
              <w:left w:val="single" w:sz="4" w:space="0" w:color="auto"/>
              <w:bottom w:val="single" w:sz="4" w:space="0" w:color="auto"/>
              <w:right w:val="single" w:sz="4" w:space="0" w:color="auto"/>
            </w:tcBorders>
            <w:shd w:val="clear" w:color="000000" w:fill="FFFFFF"/>
            <w:hideMark/>
          </w:tcPr>
          <w:p w:rsidR="00B951B1" w:rsidRPr="00576DF2" w:rsidRDefault="00B951B1" w:rsidP="00CB78E6">
            <w:pPr>
              <w:spacing w:after="0"/>
              <w:rPr>
                <w:rFonts w:cs="Calibri"/>
                <w:color w:val="000000"/>
                <w:sz w:val="18"/>
                <w:szCs w:val="18"/>
              </w:rPr>
            </w:pPr>
            <w:r w:rsidRPr="00576DF2">
              <w:rPr>
                <w:rFonts w:cs="Calibri"/>
                <w:color w:val="000000"/>
                <w:sz w:val="18"/>
                <w:szCs w:val="18"/>
              </w:rPr>
              <w:t>Qëllimi i politikës B</w:t>
            </w:r>
          </w:p>
        </w:tc>
        <w:tc>
          <w:tcPr>
            <w:tcW w:w="1036" w:type="dxa"/>
            <w:tcBorders>
              <w:top w:val="single" w:sz="4" w:space="0" w:color="auto"/>
              <w:left w:val="single" w:sz="4" w:space="0" w:color="auto"/>
              <w:bottom w:val="single" w:sz="4" w:space="0" w:color="auto"/>
              <w:right w:val="single" w:sz="4" w:space="0" w:color="auto"/>
            </w:tcBorders>
            <w:shd w:val="clear" w:color="000000" w:fill="FFFFFF"/>
            <w:noWrap/>
            <w:hideMark/>
          </w:tcPr>
          <w:p w:rsidR="00B951B1" w:rsidRPr="00576DF2" w:rsidRDefault="00B951B1" w:rsidP="00CB78E6">
            <w:pPr>
              <w:spacing w:after="0"/>
              <w:jc w:val="right"/>
              <w:rPr>
                <w:rFonts w:cs="Calibri"/>
                <w:sz w:val="18"/>
                <w:szCs w:val="18"/>
              </w:rPr>
            </w:pPr>
            <w:r w:rsidRPr="00576DF2">
              <w:rPr>
                <w:rFonts w:cs="Calibri"/>
                <w:sz w:val="18"/>
                <w:szCs w:val="18"/>
              </w:rPr>
              <w:t>135,036</w:t>
            </w:r>
          </w:p>
        </w:tc>
        <w:tc>
          <w:tcPr>
            <w:tcW w:w="1036" w:type="dxa"/>
            <w:tcBorders>
              <w:top w:val="single" w:sz="4" w:space="0" w:color="auto"/>
              <w:left w:val="single" w:sz="4" w:space="0" w:color="auto"/>
              <w:bottom w:val="single" w:sz="4" w:space="0" w:color="auto"/>
              <w:right w:val="single" w:sz="4" w:space="0" w:color="auto"/>
            </w:tcBorders>
            <w:shd w:val="clear" w:color="000000" w:fill="FFFFFF"/>
            <w:noWrap/>
            <w:hideMark/>
          </w:tcPr>
          <w:p w:rsidR="00B951B1" w:rsidRPr="00576DF2" w:rsidRDefault="00B951B1" w:rsidP="00CB78E6">
            <w:pPr>
              <w:spacing w:after="0"/>
              <w:jc w:val="right"/>
              <w:rPr>
                <w:rFonts w:cs="Calibri"/>
                <w:sz w:val="18"/>
                <w:szCs w:val="18"/>
              </w:rPr>
            </w:pPr>
            <w:r w:rsidRPr="00576DF2">
              <w:rPr>
                <w:rFonts w:cs="Calibri"/>
                <w:sz w:val="18"/>
                <w:szCs w:val="18"/>
              </w:rPr>
              <w:t>55,200</w:t>
            </w:r>
          </w:p>
        </w:tc>
        <w:tc>
          <w:tcPr>
            <w:tcW w:w="936" w:type="dxa"/>
            <w:tcBorders>
              <w:top w:val="single" w:sz="4" w:space="0" w:color="auto"/>
              <w:left w:val="single" w:sz="4" w:space="0" w:color="auto"/>
              <w:bottom w:val="single" w:sz="4" w:space="0" w:color="auto"/>
              <w:right w:val="single" w:sz="4" w:space="0" w:color="auto"/>
            </w:tcBorders>
            <w:shd w:val="clear" w:color="000000" w:fill="FFFFFF"/>
            <w:noWrap/>
            <w:hideMark/>
          </w:tcPr>
          <w:p w:rsidR="00B951B1" w:rsidRPr="00576DF2" w:rsidRDefault="00B951B1" w:rsidP="00CB78E6">
            <w:pPr>
              <w:spacing w:after="0"/>
              <w:jc w:val="right"/>
              <w:rPr>
                <w:rFonts w:cs="Calibri"/>
                <w:sz w:val="18"/>
                <w:szCs w:val="18"/>
              </w:rPr>
            </w:pPr>
            <w:r w:rsidRPr="00576DF2">
              <w:rPr>
                <w:rFonts w:cs="Calibri"/>
                <w:sz w:val="18"/>
                <w:szCs w:val="18"/>
              </w:rPr>
              <w:t>18,672</w:t>
            </w:r>
          </w:p>
        </w:tc>
        <w:tc>
          <w:tcPr>
            <w:tcW w:w="1145" w:type="dxa"/>
            <w:tcBorders>
              <w:top w:val="single" w:sz="4" w:space="0" w:color="auto"/>
              <w:left w:val="single" w:sz="4" w:space="0" w:color="auto"/>
              <w:bottom w:val="single" w:sz="4" w:space="0" w:color="auto"/>
              <w:right w:val="single" w:sz="4" w:space="0" w:color="auto"/>
            </w:tcBorders>
            <w:shd w:val="clear" w:color="000000" w:fill="FFFFFF"/>
          </w:tcPr>
          <w:p w:rsidR="00B951B1" w:rsidRPr="00576DF2" w:rsidRDefault="00B951B1" w:rsidP="00CB78E6">
            <w:pPr>
              <w:spacing w:after="0"/>
              <w:jc w:val="right"/>
              <w:rPr>
                <w:rFonts w:cs="Calibri"/>
                <w:sz w:val="18"/>
                <w:szCs w:val="18"/>
              </w:rPr>
            </w:pPr>
            <w:r w:rsidRPr="00576DF2">
              <w:rPr>
                <w:rFonts w:cs="Calibri"/>
                <w:sz w:val="18"/>
                <w:szCs w:val="18"/>
              </w:rPr>
              <w:t>(61,164)</w:t>
            </w:r>
          </w:p>
        </w:tc>
        <w:tc>
          <w:tcPr>
            <w:tcW w:w="1145" w:type="dxa"/>
            <w:tcBorders>
              <w:top w:val="single" w:sz="4" w:space="0" w:color="auto"/>
              <w:left w:val="single" w:sz="4" w:space="0" w:color="auto"/>
              <w:bottom w:val="single" w:sz="4" w:space="0" w:color="auto"/>
              <w:right w:val="single" w:sz="4" w:space="0" w:color="auto"/>
            </w:tcBorders>
            <w:shd w:val="clear" w:color="auto" w:fill="E5DFEC"/>
          </w:tcPr>
          <w:p w:rsidR="00B951B1" w:rsidRPr="00576DF2" w:rsidRDefault="00B951B1" w:rsidP="00CB78E6">
            <w:pPr>
              <w:spacing w:after="0"/>
              <w:jc w:val="right"/>
              <w:rPr>
                <w:rFonts w:cs="Calibri"/>
                <w:sz w:val="18"/>
                <w:szCs w:val="18"/>
              </w:rPr>
            </w:pPr>
            <w:r w:rsidRPr="00576DF2">
              <w:rPr>
                <w:rFonts w:cs="Calibri"/>
                <w:sz w:val="18"/>
                <w:szCs w:val="18"/>
              </w:rPr>
              <w:t>85,257</w:t>
            </w:r>
          </w:p>
        </w:tc>
        <w:tc>
          <w:tcPr>
            <w:tcW w:w="1145" w:type="dxa"/>
            <w:tcBorders>
              <w:top w:val="single" w:sz="4" w:space="0" w:color="auto"/>
              <w:left w:val="single" w:sz="4" w:space="0" w:color="auto"/>
              <w:bottom w:val="single" w:sz="4" w:space="0" w:color="auto"/>
              <w:right w:val="single" w:sz="4" w:space="0" w:color="auto"/>
            </w:tcBorders>
            <w:shd w:val="clear" w:color="auto" w:fill="E5DFEC"/>
          </w:tcPr>
          <w:p w:rsidR="00B951B1" w:rsidRPr="00576DF2" w:rsidRDefault="00B951B1" w:rsidP="00CB78E6">
            <w:pPr>
              <w:spacing w:after="0"/>
              <w:jc w:val="right"/>
              <w:rPr>
                <w:rFonts w:cs="Calibri"/>
                <w:sz w:val="18"/>
                <w:szCs w:val="18"/>
              </w:rPr>
            </w:pPr>
            <w:r w:rsidRPr="00576DF2">
              <w:rPr>
                <w:rFonts w:cs="Calibri"/>
                <w:sz w:val="18"/>
                <w:szCs w:val="18"/>
              </w:rPr>
              <w:t>27,600</w:t>
            </w:r>
          </w:p>
        </w:tc>
        <w:tc>
          <w:tcPr>
            <w:tcW w:w="1145" w:type="dxa"/>
            <w:tcBorders>
              <w:top w:val="single" w:sz="4" w:space="0" w:color="auto"/>
              <w:left w:val="single" w:sz="4" w:space="0" w:color="auto"/>
              <w:bottom w:val="single" w:sz="4" w:space="0" w:color="auto"/>
              <w:right w:val="single" w:sz="4" w:space="0" w:color="auto"/>
            </w:tcBorders>
            <w:shd w:val="clear" w:color="auto" w:fill="E5DFEC"/>
          </w:tcPr>
          <w:p w:rsidR="00B951B1" w:rsidRPr="00576DF2" w:rsidRDefault="00B951B1" w:rsidP="00CB78E6">
            <w:pPr>
              <w:spacing w:after="0"/>
              <w:jc w:val="right"/>
              <w:rPr>
                <w:rFonts w:cs="Calibri"/>
                <w:sz w:val="18"/>
                <w:szCs w:val="18"/>
              </w:rPr>
            </w:pPr>
            <w:r w:rsidRPr="00576DF2">
              <w:rPr>
                <w:rFonts w:cs="Calibri"/>
                <w:sz w:val="18"/>
                <w:szCs w:val="18"/>
              </w:rPr>
              <w:t>13,656</w:t>
            </w:r>
          </w:p>
        </w:tc>
        <w:tc>
          <w:tcPr>
            <w:tcW w:w="1145" w:type="dxa"/>
            <w:tcBorders>
              <w:top w:val="single" w:sz="4" w:space="0" w:color="auto"/>
              <w:left w:val="single" w:sz="4" w:space="0" w:color="auto"/>
              <w:bottom w:val="single" w:sz="4" w:space="0" w:color="auto"/>
              <w:right w:val="single" w:sz="4" w:space="0" w:color="auto"/>
            </w:tcBorders>
            <w:shd w:val="clear" w:color="auto" w:fill="E5DFEC"/>
            <w:noWrap/>
          </w:tcPr>
          <w:p w:rsidR="00B951B1" w:rsidRPr="00576DF2" w:rsidRDefault="00B951B1" w:rsidP="00CB78E6">
            <w:pPr>
              <w:spacing w:after="0"/>
              <w:jc w:val="right"/>
              <w:rPr>
                <w:rFonts w:cs="Calibri"/>
                <w:sz w:val="18"/>
                <w:szCs w:val="18"/>
              </w:rPr>
            </w:pPr>
            <w:r w:rsidRPr="00576DF2">
              <w:rPr>
                <w:rFonts w:cs="Calibri"/>
                <w:sz w:val="18"/>
                <w:szCs w:val="18"/>
              </w:rPr>
              <w:t>(44,001)</w:t>
            </w:r>
          </w:p>
        </w:tc>
      </w:tr>
      <w:tr w:rsidR="00B951B1" w:rsidRPr="00576DF2" w:rsidTr="00CB78E6">
        <w:trPr>
          <w:trHeight w:val="416"/>
        </w:trPr>
        <w:tc>
          <w:tcPr>
            <w:tcW w:w="1696" w:type="dxa"/>
            <w:tcBorders>
              <w:top w:val="single" w:sz="4" w:space="0" w:color="auto"/>
              <w:left w:val="single" w:sz="4" w:space="0" w:color="auto"/>
              <w:bottom w:val="single" w:sz="4" w:space="0" w:color="auto"/>
              <w:right w:val="single" w:sz="4" w:space="0" w:color="auto"/>
            </w:tcBorders>
            <w:shd w:val="clear" w:color="000000" w:fill="FFFFFF"/>
            <w:hideMark/>
          </w:tcPr>
          <w:p w:rsidR="00B951B1" w:rsidRPr="00576DF2" w:rsidRDefault="00B951B1" w:rsidP="00CB78E6">
            <w:pPr>
              <w:spacing w:after="0"/>
              <w:rPr>
                <w:rFonts w:cs="Calibri"/>
                <w:color w:val="000000"/>
                <w:sz w:val="18"/>
                <w:szCs w:val="18"/>
              </w:rPr>
            </w:pPr>
            <w:r w:rsidRPr="00576DF2">
              <w:rPr>
                <w:rFonts w:cs="Calibri"/>
                <w:color w:val="000000"/>
                <w:sz w:val="18"/>
                <w:szCs w:val="18"/>
              </w:rPr>
              <w:t>Qëllimi i politikës C</w:t>
            </w:r>
          </w:p>
        </w:tc>
        <w:tc>
          <w:tcPr>
            <w:tcW w:w="1036" w:type="dxa"/>
            <w:tcBorders>
              <w:top w:val="single" w:sz="4" w:space="0" w:color="auto"/>
              <w:left w:val="single" w:sz="4" w:space="0" w:color="auto"/>
              <w:bottom w:val="single" w:sz="4" w:space="0" w:color="auto"/>
              <w:right w:val="single" w:sz="4" w:space="0" w:color="auto"/>
            </w:tcBorders>
            <w:shd w:val="clear" w:color="000000" w:fill="FFFFFF"/>
            <w:noWrap/>
            <w:hideMark/>
          </w:tcPr>
          <w:p w:rsidR="00B951B1" w:rsidRPr="00576DF2" w:rsidRDefault="00B951B1" w:rsidP="00CB78E6">
            <w:pPr>
              <w:spacing w:after="0"/>
              <w:jc w:val="right"/>
              <w:rPr>
                <w:rFonts w:cs="Calibri"/>
                <w:sz w:val="18"/>
                <w:szCs w:val="18"/>
              </w:rPr>
            </w:pPr>
            <w:r w:rsidRPr="00576DF2">
              <w:rPr>
                <w:rFonts w:cs="Calibri"/>
                <w:sz w:val="18"/>
                <w:szCs w:val="18"/>
              </w:rPr>
              <w:t>15,171,397</w:t>
            </w:r>
          </w:p>
        </w:tc>
        <w:tc>
          <w:tcPr>
            <w:tcW w:w="1036" w:type="dxa"/>
            <w:tcBorders>
              <w:top w:val="single" w:sz="4" w:space="0" w:color="auto"/>
              <w:left w:val="single" w:sz="4" w:space="0" w:color="auto"/>
              <w:bottom w:val="single" w:sz="4" w:space="0" w:color="auto"/>
              <w:right w:val="single" w:sz="4" w:space="0" w:color="auto"/>
            </w:tcBorders>
            <w:shd w:val="clear" w:color="000000" w:fill="FFFFFF"/>
            <w:noWrap/>
            <w:hideMark/>
          </w:tcPr>
          <w:p w:rsidR="00B951B1" w:rsidRPr="00576DF2" w:rsidRDefault="00B951B1" w:rsidP="00CB78E6">
            <w:pPr>
              <w:spacing w:after="0"/>
              <w:jc w:val="right"/>
              <w:rPr>
                <w:rFonts w:cs="Calibri"/>
                <w:sz w:val="18"/>
                <w:szCs w:val="18"/>
              </w:rPr>
            </w:pPr>
            <w:r w:rsidRPr="00576DF2">
              <w:rPr>
                <w:rFonts w:cs="Calibri"/>
                <w:sz w:val="18"/>
                <w:szCs w:val="18"/>
              </w:rPr>
              <w:t>14,643,648</w:t>
            </w:r>
          </w:p>
        </w:tc>
        <w:tc>
          <w:tcPr>
            <w:tcW w:w="936" w:type="dxa"/>
            <w:tcBorders>
              <w:top w:val="single" w:sz="4" w:space="0" w:color="auto"/>
              <w:left w:val="single" w:sz="4" w:space="0" w:color="auto"/>
              <w:bottom w:val="single" w:sz="4" w:space="0" w:color="auto"/>
              <w:right w:val="single" w:sz="4" w:space="0" w:color="auto"/>
            </w:tcBorders>
            <w:shd w:val="clear" w:color="000000" w:fill="FFFFFF"/>
            <w:noWrap/>
            <w:hideMark/>
          </w:tcPr>
          <w:p w:rsidR="00B951B1" w:rsidRPr="00576DF2" w:rsidRDefault="00B951B1" w:rsidP="00CB78E6">
            <w:pPr>
              <w:spacing w:after="0"/>
              <w:jc w:val="right"/>
              <w:rPr>
                <w:rFonts w:cs="Calibri"/>
                <w:sz w:val="18"/>
                <w:szCs w:val="18"/>
              </w:rPr>
            </w:pPr>
            <w:r w:rsidRPr="00576DF2">
              <w:rPr>
                <w:rFonts w:cs="Calibri"/>
                <w:sz w:val="18"/>
                <w:szCs w:val="18"/>
              </w:rPr>
              <w:t>24,772</w:t>
            </w:r>
          </w:p>
        </w:tc>
        <w:tc>
          <w:tcPr>
            <w:tcW w:w="1145" w:type="dxa"/>
            <w:tcBorders>
              <w:top w:val="single" w:sz="4" w:space="0" w:color="auto"/>
              <w:left w:val="single" w:sz="4" w:space="0" w:color="auto"/>
              <w:bottom w:val="single" w:sz="4" w:space="0" w:color="auto"/>
              <w:right w:val="single" w:sz="4" w:space="0" w:color="auto"/>
            </w:tcBorders>
            <w:shd w:val="clear" w:color="000000" w:fill="FFFFFF"/>
          </w:tcPr>
          <w:p w:rsidR="00B951B1" w:rsidRPr="00576DF2" w:rsidRDefault="00B951B1" w:rsidP="00CB78E6">
            <w:pPr>
              <w:spacing w:after="0"/>
              <w:jc w:val="right"/>
              <w:rPr>
                <w:rFonts w:cs="Calibri"/>
                <w:sz w:val="18"/>
                <w:szCs w:val="18"/>
              </w:rPr>
            </w:pPr>
            <w:r w:rsidRPr="00576DF2">
              <w:rPr>
                <w:rFonts w:cs="Calibri"/>
                <w:sz w:val="18"/>
                <w:szCs w:val="18"/>
              </w:rPr>
              <w:t>(502,977)</w:t>
            </w:r>
          </w:p>
        </w:tc>
        <w:tc>
          <w:tcPr>
            <w:tcW w:w="1145" w:type="dxa"/>
            <w:tcBorders>
              <w:top w:val="single" w:sz="4" w:space="0" w:color="auto"/>
              <w:left w:val="single" w:sz="4" w:space="0" w:color="auto"/>
              <w:bottom w:val="single" w:sz="4" w:space="0" w:color="auto"/>
              <w:right w:val="single" w:sz="4" w:space="0" w:color="auto"/>
            </w:tcBorders>
            <w:shd w:val="clear" w:color="auto" w:fill="E5DFEC"/>
          </w:tcPr>
          <w:p w:rsidR="00B951B1" w:rsidRPr="00576DF2" w:rsidRDefault="00B951B1" w:rsidP="00CB78E6">
            <w:pPr>
              <w:spacing w:after="0"/>
              <w:jc w:val="right"/>
              <w:rPr>
                <w:rFonts w:cs="Calibri"/>
                <w:sz w:val="18"/>
                <w:szCs w:val="18"/>
              </w:rPr>
            </w:pPr>
            <w:r w:rsidRPr="00576DF2">
              <w:rPr>
                <w:rFonts w:cs="Calibri"/>
                <w:sz w:val="18"/>
                <w:szCs w:val="18"/>
              </w:rPr>
              <w:t>7,773,968</w:t>
            </w:r>
          </w:p>
        </w:tc>
        <w:tc>
          <w:tcPr>
            <w:tcW w:w="1145" w:type="dxa"/>
            <w:tcBorders>
              <w:top w:val="single" w:sz="4" w:space="0" w:color="auto"/>
              <w:left w:val="single" w:sz="4" w:space="0" w:color="auto"/>
              <w:bottom w:val="single" w:sz="4" w:space="0" w:color="auto"/>
              <w:right w:val="single" w:sz="4" w:space="0" w:color="auto"/>
            </w:tcBorders>
            <w:shd w:val="clear" w:color="auto" w:fill="E5DFEC"/>
          </w:tcPr>
          <w:p w:rsidR="00B951B1" w:rsidRPr="00576DF2" w:rsidRDefault="00B951B1" w:rsidP="00CB78E6">
            <w:pPr>
              <w:spacing w:after="0"/>
              <w:jc w:val="right"/>
              <w:rPr>
                <w:rFonts w:cs="Calibri"/>
                <w:sz w:val="18"/>
                <w:szCs w:val="18"/>
              </w:rPr>
            </w:pPr>
            <w:r w:rsidRPr="00576DF2">
              <w:rPr>
                <w:rFonts w:cs="Calibri"/>
                <w:sz w:val="18"/>
                <w:szCs w:val="18"/>
              </w:rPr>
              <w:t>7,592,328</w:t>
            </w:r>
          </w:p>
        </w:tc>
        <w:tc>
          <w:tcPr>
            <w:tcW w:w="1145" w:type="dxa"/>
            <w:tcBorders>
              <w:top w:val="single" w:sz="4" w:space="0" w:color="auto"/>
              <w:left w:val="single" w:sz="4" w:space="0" w:color="auto"/>
              <w:bottom w:val="single" w:sz="4" w:space="0" w:color="auto"/>
              <w:right w:val="single" w:sz="4" w:space="0" w:color="auto"/>
            </w:tcBorders>
            <w:shd w:val="clear" w:color="auto" w:fill="E5DFEC"/>
          </w:tcPr>
          <w:p w:rsidR="00B951B1" w:rsidRPr="00576DF2" w:rsidRDefault="00B951B1" w:rsidP="00CB78E6">
            <w:pPr>
              <w:spacing w:after="0"/>
              <w:jc w:val="right"/>
              <w:rPr>
                <w:rFonts w:cs="Calibri"/>
                <w:sz w:val="18"/>
                <w:szCs w:val="18"/>
              </w:rPr>
            </w:pPr>
            <w:r w:rsidRPr="00576DF2">
              <w:rPr>
                <w:rFonts w:cs="Calibri"/>
                <w:sz w:val="18"/>
                <w:szCs w:val="18"/>
              </w:rPr>
              <w:t>21,765</w:t>
            </w:r>
          </w:p>
        </w:tc>
        <w:tc>
          <w:tcPr>
            <w:tcW w:w="1145" w:type="dxa"/>
            <w:tcBorders>
              <w:top w:val="single" w:sz="4" w:space="0" w:color="auto"/>
              <w:left w:val="single" w:sz="4" w:space="0" w:color="auto"/>
              <w:bottom w:val="single" w:sz="4" w:space="0" w:color="auto"/>
              <w:right w:val="single" w:sz="4" w:space="0" w:color="auto"/>
            </w:tcBorders>
            <w:shd w:val="clear" w:color="auto" w:fill="E5DFEC"/>
            <w:noWrap/>
          </w:tcPr>
          <w:p w:rsidR="00B951B1" w:rsidRPr="00576DF2" w:rsidRDefault="00B951B1" w:rsidP="00CB78E6">
            <w:pPr>
              <w:spacing w:after="0"/>
              <w:jc w:val="right"/>
              <w:rPr>
                <w:rFonts w:cs="Calibri"/>
                <w:sz w:val="18"/>
                <w:szCs w:val="18"/>
              </w:rPr>
            </w:pPr>
            <w:r w:rsidRPr="00576DF2">
              <w:rPr>
                <w:rFonts w:cs="Calibri"/>
                <w:sz w:val="18"/>
                <w:szCs w:val="18"/>
              </w:rPr>
              <w:t>(159,875)</w:t>
            </w:r>
          </w:p>
        </w:tc>
      </w:tr>
      <w:tr w:rsidR="00576DF2" w:rsidRPr="00A445DC" w:rsidTr="000774C6">
        <w:trPr>
          <w:trHeight w:val="213"/>
        </w:trPr>
        <w:tc>
          <w:tcPr>
            <w:tcW w:w="1696" w:type="dxa"/>
            <w:tcBorders>
              <w:top w:val="nil"/>
              <w:left w:val="nil"/>
              <w:bottom w:val="nil"/>
              <w:right w:val="nil"/>
            </w:tcBorders>
            <w:shd w:val="clear" w:color="auto" w:fill="auto"/>
            <w:noWrap/>
            <w:hideMark/>
          </w:tcPr>
          <w:p w:rsidR="00576DF2" w:rsidRPr="00576DF2" w:rsidRDefault="00576DF2" w:rsidP="000774C6">
            <w:pPr>
              <w:autoSpaceDE w:val="0"/>
              <w:autoSpaceDN w:val="0"/>
              <w:adjustRightInd w:val="0"/>
              <w:spacing w:after="0"/>
              <w:jc w:val="center"/>
              <w:rPr>
                <w:rFonts w:ascii="Calibri" w:eastAsiaTheme="minorHAnsi" w:hAnsi="Calibri" w:cs="Calibri"/>
                <w:color w:val="000000"/>
                <w:sz w:val="18"/>
                <w:szCs w:val="18"/>
              </w:rPr>
            </w:pPr>
            <w:r w:rsidRPr="00576DF2">
              <w:rPr>
                <w:rFonts w:ascii="Calibri" w:eastAsiaTheme="minorHAnsi" w:hAnsi="Calibri" w:cs="Calibri"/>
                <w:color w:val="000000"/>
                <w:sz w:val="18"/>
                <w:szCs w:val="18"/>
              </w:rPr>
              <w:t>Totali</w:t>
            </w:r>
          </w:p>
        </w:tc>
        <w:tc>
          <w:tcPr>
            <w:tcW w:w="1036" w:type="dxa"/>
            <w:tcBorders>
              <w:top w:val="nil"/>
              <w:left w:val="nil"/>
              <w:bottom w:val="nil"/>
              <w:right w:val="nil"/>
            </w:tcBorders>
            <w:shd w:val="clear" w:color="auto" w:fill="auto"/>
            <w:noWrap/>
            <w:vAlign w:val="bottom"/>
          </w:tcPr>
          <w:p w:rsidR="00576DF2" w:rsidRPr="00576DF2" w:rsidRDefault="00FA5606" w:rsidP="000774C6">
            <w:pPr>
              <w:spacing w:after="0"/>
              <w:jc w:val="right"/>
              <w:rPr>
                <w:rFonts w:ascii="Calibri" w:hAnsi="Calibri" w:cs="Calibri"/>
                <w:color w:val="000000"/>
                <w:sz w:val="18"/>
                <w:szCs w:val="18"/>
              </w:rPr>
            </w:pPr>
            <w:r w:rsidRPr="00FA5606">
              <w:rPr>
                <w:rFonts w:ascii="Calibri" w:hAnsi="Calibri" w:cs="Calibri"/>
                <w:color w:val="000000"/>
                <w:sz w:val="18"/>
                <w:szCs w:val="18"/>
              </w:rPr>
              <w:t>51,540,433</w:t>
            </w:r>
          </w:p>
        </w:tc>
        <w:tc>
          <w:tcPr>
            <w:tcW w:w="1036" w:type="dxa"/>
            <w:tcBorders>
              <w:top w:val="nil"/>
              <w:left w:val="nil"/>
              <w:bottom w:val="nil"/>
              <w:right w:val="nil"/>
            </w:tcBorders>
            <w:shd w:val="clear" w:color="auto" w:fill="auto"/>
            <w:noWrap/>
            <w:vAlign w:val="bottom"/>
          </w:tcPr>
          <w:p w:rsidR="00576DF2" w:rsidRPr="00576DF2" w:rsidRDefault="00576DF2" w:rsidP="000774C6">
            <w:pPr>
              <w:spacing w:after="0"/>
              <w:jc w:val="right"/>
              <w:rPr>
                <w:rFonts w:ascii="Calibri" w:hAnsi="Calibri" w:cs="Calibri"/>
                <w:color w:val="000000"/>
                <w:sz w:val="18"/>
                <w:szCs w:val="18"/>
              </w:rPr>
            </w:pPr>
            <w:r w:rsidRPr="00576DF2">
              <w:rPr>
                <w:rFonts w:ascii="Calibri" w:hAnsi="Calibri" w:cs="Calibri"/>
                <w:color w:val="000000"/>
                <w:sz w:val="18"/>
                <w:szCs w:val="18"/>
              </w:rPr>
              <w:t>41,820,888</w:t>
            </w:r>
          </w:p>
        </w:tc>
        <w:tc>
          <w:tcPr>
            <w:tcW w:w="936" w:type="dxa"/>
            <w:tcBorders>
              <w:top w:val="nil"/>
              <w:left w:val="nil"/>
              <w:bottom w:val="nil"/>
              <w:right w:val="nil"/>
            </w:tcBorders>
            <w:shd w:val="clear" w:color="auto" w:fill="auto"/>
            <w:noWrap/>
            <w:vAlign w:val="bottom"/>
          </w:tcPr>
          <w:p w:rsidR="00576DF2" w:rsidRPr="00576DF2" w:rsidRDefault="00FA5606" w:rsidP="000774C6">
            <w:pPr>
              <w:spacing w:after="0"/>
              <w:jc w:val="right"/>
              <w:rPr>
                <w:rFonts w:ascii="Calibri" w:hAnsi="Calibri" w:cs="Calibri"/>
                <w:color w:val="000000"/>
                <w:sz w:val="18"/>
                <w:szCs w:val="18"/>
              </w:rPr>
            </w:pPr>
            <w:r w:rsidRPr="00FA5606">
              <w:rPr>
                <w:rFonts w:ascii="Calibri" w:hAnsi="Calibri" w:cs="Calibri"/>
                <w:color w:val="000000"/>
                <w:sz w:val="18"/>
                <w:szCs w:val="18"/>
              </w:rPr>
              <w:t>194,168</w:t>
            </w:r>
          </w:p>
        </w:tc>
        <w:tc>
          <w:tcPr>
            <w:tcW w:w="1145" w:type="dxa"/>
            <w:tcBorders>
              <w:top w:val="nil"/>
              <w:left w:val="nil"/>
              <w:bottom w:val="nil"/>
              <w:right w:val="nil"/>
            </w:tcBorders>
            <w:vAlign w:val="bottom"/>
          </w:tcPr>
          <w:p w:rsidR="00576DF2" w:rsidRPr="00576DF2" w:rsidRDefault="00FA5606" w:rsidP="000774C6">
            <w:pPr>
              <w:spacing w:after="0"/>
              <w:jc w:val="right"/>
              <w:rPr>
                <w:rFonts w:ascii="Calibri" w:hAnsi="Calibri" w:cs="Calibri"/>
                <w:color w:val="000000"/>
                <w:sz w:val="18"/>
                <w:szCs w:val="18"/>
              </w:rPr>
            </w:pPr>
            <w:r w:rsidRPr="00FA5606">
              <w:rPr>
                <w:rFonts w:ascii="Calibri" w:hAnsi="Calibri" w:cs="Calibri"/>
                <w:color w:val="000000"/>
                <w:sz w:val="18"/>
                <w:szCs w:val="18"/>
              </w:rPr>
              <w:t>(9,525,378)</w:t>
            </w:r>
          </w:p>
        </w:tc>
        <w:tc>
          <w:tcPr>
            <w:tcW w:w="1145" w:type="dxa"/>
            <w:tcBorders>
              <w:top w:val="nil"/>
              <w:left w:val="nil"/>
              <w:bottom w:val="nil"/>
              <w:right w:val="nil"/>
            </w:tcBorders>
            <w:shd w:val="clear" w:color="auto" w:fill="E5DFEC" w:themeFill="accent4" w:themeFillTint="33"/>
            <w:vAlign w:val="bottom"/>
          </w:tcPr>
          <w:p w:rsidR="00576DF2" w:rsidRPr="00576DF2" w:rsidRDefault="00FA5606" w:rsidP="000774C6">
            <w:pPr>
              <w:spacing w:after="0"/>
              <w:jc w:val="right"/>
              <w:rPr>
                <w:rFonts w:ascii="Calibri" w:hAnsi="Calibri" w:cs="Calibri"/>
                <w:color w:val="000000"/>
                <w:sz w:val="18"/>
                <w:szCs w:val="18"/>
              </w:rPr>
            </w:pPr>
            <w:r w:rsidRPr="00FA5606">
              <w:rPr>
                <w:rFonts w:ascii="Calibri" w:hAnsi="Calibri" w:cs="Calibri"/>
                <w:color w:val="000000"/>
                <w:sz w:val="18"/>
                <w:szCs w:val="18"/>
              </w:rPr>
              <w:t>23,242,090</w:t>
            </w:r>
          </w:p>
        </w:tc>
        <w:tc>
          <w:tcPr>
            <w:tcW w:w="1145" w:type="dxa"/>
            <w:tcBorders>
              <w:top w:val="nil"/>
              <w:left w:val="nil"/>
              <w:bottom w:val="nil"/>
              <w:right w:val="nil"/>
            </w:tcBorders>
            <w:shd w:val="clear" w:color="auto" w:fill="E5DFEC" w:themeFill="accent4" w:themeFillTint="33"/>
            <w:vAlign w:val="bottom"/>
          </w:tcPr>
          <w:p w:rsidR="00576DF2" w:rsidRPr="00576DF2" w:rsidRDefault="00576DF2" w:rsidP="000774C6">
            <w:pPr>
              <w:spacing w:after="0"/>
              <w:jc w:val="right"/>
              <w:rPr>
                <w:rFonts w:ascii="Calibri" w:hAnsi="Calibri" w:cs="Calibri"/>
                <w:color w:val="000000"/>
                <w:sz w:val="18"/>
                <w:szCs w:val="18"/>
              </w:rPr>
            </w:pPr>
            <w:r w:rsidRPr="00576DF2">
              <w:rPr>
                <w:rFonts w:ascii="Calibri" w:hAnsi="Calibri" w:cs="Calibri"/>
                <w:color w:val="000000"/>
                <w:sz w:val="18"/>
                <w:szCs w:val="18"/>
              </w:rPr>
              <w:t>21,152,833</w:t>
            </w:r>
          </w:p>
        </w:tc>
        <w:tc>
          <w:tcPr>
            <w:tcW w:w="1145" w:type="dxa"/>
            <w:tcBorders>
              <w:top w:val="nil"/>
              <w:left w:val="nil"/>
              <w:bottom w:val="nil"/>
              <w:right w:val="nil"/>
            </w:tcBorders>
            <w:shd w:val="clear" w:color="auto" w:fill="E5DFEC" w:themeFill="accent4" w:themeFillTint="33"/>
            <w:vAlign w:val="bottom"/>
          </w:tcPr>
          <w:p w:rsidR="00576DF2" w:rsidRPr="00576DF2" w:rsidRDefault="00576DF2" w:rsidP="000774C6">
            <w:pPr>
              <w:spacing w:after="0"/>
              <w:jc w:val="right"/>
              <w:rPr>
                <w:rFonts w:ascii="Calibri" w:hAnsi="Calibri" w:cs="Calibri"/>
                <w:color w:val="000000"/>
                <w:sz w:val="18"/>
                <w:szCs w:val="18"/>
              </w:rPr>
            </w:pPr>
            <w:r w:rsidRPr="00576DF2">
              <w:rPr>
                <w:rFonts w:ascii="Calibri" w:hAnsi="Calibri" w:cs="Calibri"/>
                <w:color w:val="000000"/>
                <w:sz w:val="18"/>
                <w:szCs w:val="18"/>
              </w:rPr>
              <w:t>159,645</w:t>
            </w:r>
          </w:p>
        </w:tc>
        <w:tc>
          <w:tcPr>
            <w:tcW w:w="1145" w:type="dxa"/>
            <w:tcBorders>
              <w:top w:val="nil"/>
              <w:left w:val="nil"/>
              <w:bottom w:val="nil"/>
              <w:right w:val="nil"/>
            </w:tcBorders>
            <w:shd w:val="clear" w:color="auto" w:fill="E5DFEC" w:themeFill="accent4" w:themeFillTint="33"/>
            <w:noWrap/>
            <w:vAlign w:val="bottom"/>
          </w:tcPr>
          <w:p w:rsidR="00576DF2" w:rsidRPr="00A445DC" w:rsidRDefault="00FA5606" w:rsidP="000774C6">
            <w:pPr>
              <w:spacing w:after="0"/>
              <w:jc w:val="right"/>
              <w:rPr>
                <w:rFonts w:ascii="Calibri" w:hAnsi="Calibri" w:cs="Calibri"/>
                <w:color w:val="000000"/>
                <w:sz w:val="18"/>
                <w:szCs w:val="18"/>
              </w:rPr>
            </w:pPr>
            <w:r w:rsidRPr="00FA5606">
              <w:rPr>
                <w:rFonts w:ascii="Calibri" w:hAnsi="Calibri" w:cs="Calibri"/>
                <w:color w:val="000000"/>
                <w:sz w:val="18"/>
                <w:szCs w:val="18"/>
              </w:rPr>
              <w:t>(1,929,612)</w:t>
            </w:r>
          </w:p>
        </w:tc>
      </w:tr>
    </w:tbl>
    <w:p w:rsidR="00B951B1" w:rsidRPr="00E61612" w:rsidRDefault="008D102D" w:rsidP="00B951B1">
      <w:pPr>
        <w:spacing w:after="120"/>
        <w:jc w:val="both"/>
        <w:rPr>
          <w:b/>
        </w:rPr>
      </w:pPr>
      <w:fldSimple w:instr=" REF _Ref64467594  \* MERGEFORMAT ">
        <w:r w:rsidR="00B951B1" w:rsidRPr="00E61612">
          <w:t>Tabela 16</w:t>
        </w:r>
      </w:fldSimple>
      <w:r w:rsidR="00B951B1" w:rsidRPr="00E61612">
        <w:rPr>
          <w:rFonts w:cs="Calibri"/>
        </w:rPr>
        <w:t xml:space="preserve"> jep një pasqyrë të hendekut financiar sipas viteve. Hendeku financiar është më i vogël në vitin 2021 – 8.13 milion</w:t>
      </w:r>
      <w:r w:rsidR="00B951B1">
        <w:rPr>
          <w:rFonts w:cs="Calibri"/>
        </w:rPr>
        <w:t>ë</w:t>
      </w:r>
      <w:r w:rsidR="00B951B1" w:rsidRPr="00E61612">
        <w:rPr>
          <w:rFonts w:cs="Calibri"/>
        </w:rPr>
        <w:t xml:space="preserve"> lekë (0.11% e kostos indikative për këtë vit), për t’u rritur </w:t>
      </w:r>
      <w:r w:rsidR="00B951B1" w:rsidRPr="00FB1B0F">
        <w:rPr>
          <w:rFonts w:cs="Calibri"/>
        </w:rPr>
        <w:t xml:space="preserve">në </w:t>
      </w:r>
      <w:r w:rsidR="00FA5606" w:rsidRPr="00FA5606">
        <w:rPr>
          <w:rFonts w:cstheme="minorHAnsi"/>
        </w:rPr>
        <w:t>248.22</w:t>
      </w:r>
      <w:r w:rsidR="00576DF2" w:rsidRPr="00FB1B0F">
        <w:rPr>
          <w:rFonts w:ascii="Calibri" w:hAnsi="Calibri" w:cstheme="minorHAnsi"/>
        </w:rPr>
        <w:t xml:space="preserve"> </w:t>
      </w:r>
      <w:r w:rsidR="00B951B1" w:rsidRPr="00FB1B0F">
        <w:rPr>
          <w:rFonts w:cs="Calibri"/>
        </w:rPr>
        <w:t>milionë lekë në vitin 2022 (</w:t>
      </w:r>
      <w:r w:rsidR="00FA5606" w:rsidRPr="00FA5606">
        <w:rPr>
          <w:rFonts w:cstheme="minorHAnsi"/>
        </w:rPr>
        <w:t>3.60%</w:t>
      </w:r>
      <w:r w:rsidR="00576DF2" w:rsidRPr="00FB1B0F">
        <w:rPr>
          <w:rFonts w:ascii="Calibri" w:hAnsi="Calibri" w:cstheme="minorHAnsi"/>
        </w:rPr>
        <w:t xml:space="preserve"> </w:t>
      </w:r>
      <w:r w:rsidR="00B951B1" w:rsidRPr="00FB1B0F">
        <w:rPr>
          <w:rFonts w:cs="Calibri"/>
        </w:rPr>
        <w:t xml:space="preserve">e kostos indikative për këtë vit) dhe në </w:t>
      </w:r>
      <w:r w:rsidR="00FA5606" w:rsidRPr="00FA5606">
        <w:rPr>
          <w:rFonts w:cstheme="minorHAnsi"/>
        </w:rPr>
        <w:t>1.67</w:t>
      </w:r>
      <w:r w:rsidR="00576DF2" w:rsidRPr="00FB1B0F">
        <w:rPr>
          <w:rFonts w:ascii="Calibri" w:hAnsi="Calibri" w:cstheme="minorHAnsi"/>
        </w:rPr>
        <w:t xml:space="preserve"> </w:t>
      </w:r>
      <w:r w:rsidR="00B951B1" w:rsidRPr="00FB1B0F">
        <w:rPr>
          <w:rFonts w:cs="Calibri"/>
        </w:rPr>
        <w:t>miliard lekë në vitin 2023 (</w:t>
      </w:r>
      <w:r w:rsidR="00FA5606" w:rsidRPr="00FA5606">
        <w:rPr>
          <w:rFonts w:cstheme="minorHAnsi"/>
        </w:rPr>
        <w:t>19.17%</w:t>
      </w:r>
      <w:r w:rsidR="00576DF2" w:rsidRPr="00FB1B0F">
        <w:rPr>
          <w:rFonts w:ascii="Calibri" w:hAnsi="Calibri" w:cstheme="minorHAnsi"/>
        </w:rPr>
        <w:t xml:space="preserve"> </w:t>
      </w:r>
      <w:r w:rsidR="00B951B1" w:rsidRPr="00FB1B0F">
        <w:rPr>
          <w:rFonts w:cs="Calibri"/>
        </w:rPr>
        <w:t xml:space="preserve">e kostos indikative për këtë vit). Duke qenë se për vitet 2021 dhe 2022 shuma e nevojshme mund të sigurohet me rishikimin e buxhetit, nevojitet një planifikim më i mirë buxhetor për periudhën 2023-2026. Hendeku prej </w:t>
      </w:r>
      <w:r w:rsidR="00FA5606" w:rsidRPr="00FA5606">
        <w:rPr>
          <w:rFonts w:cstheme="minorHAnsi"/>
        </w:rPr>
        <w:t>1.67</w:t>
      </w:r>
      <w:r w:rsidR="00576DF2" w:rsidRPr="00FB1B0F">
        <w:rPr>
          <w:rFonts w:ascii="Calibri" w:hAnsi="Calibri" w:cstheme="minorHAnsi"/>
        </w:rPr>
        <w:t xml:space="preserve"> </w:t>
      </w:r>
      <w:r w:rsidR="00B951B1" w:rsidRPr="00FB1B0F">
        <w:rPr>
          <w:rFonts w:cs="Calibri"/>
        </w:rPr>
        <w:t xml:space="preserve">miliard lekë në vitin 2023 përbën </w:t>
      </w:r>
      <w:r w:rsidR="00FA5606" w:rsidRPr="00FA5606">
        <w:rPr>
          <w:rFonts w:cstheme="minorHAnsi"/>
        </w:rPr>
        <w:t>2.50%</w:t>
      </w:r>
      <w:r w:rsidR="00FB1B0F" w:rsidRPr="00FB1B0F">
        <w:rPr>
          <w:rFonts w:ascii="Calibri" w:hAnsi="Calibri" w:cstheme="minorHAnsi"/>
        </w:rPr>
        <w:t xml:space="preserve"> </w:t>
      </w:r>
      <w:r w:rsidR="00B951B1" w:rsidRPr="00FB1B0F">
        <w:rPr>
          <w:rFonts w:cs="Calibri"/>
        </w:rPr>
        <w:t>të fondeve të planifikuara për arsimin në po atë vit - 66.93 miliardë lekë, përkatësisht 0.08% të PBB-së (1,929.66 miliard lekë)</w:t>
      </w:r>
      <w:r w:rsidR="00B951B1" w:rsidRPr="00FB1B0F">
        <w:rPr>
          <w:rStyle w:val="FootnoteReference"/>
          <w:rFonts w:cs="Calibri"/>
        </w:rPr>
        <w:footnoteReference w:id="20"/>
      </w:r>
      <w:r w:rsidR="00B951B1" w:rsidRPr="00FB1B0F">
        <w:rPr>
          <w:rFonts w:cs="Calibri"/>
        </w:rPr>
        <w:t xml:space="preserve">. Hendeku për vitet 2024, 2025 dhe 2026 përbën </w:t>
      </w:r>
      <w:r w:rsidR="00FA5606" w:rsidRPr="00FA5606">
        <w:rPr>
          <w:rFonts w:cstheme="minorHAnsi"/>
        </w:rPr>
        <w:t>3.20%,</w:t>
      </w:r>
      <w:r w:rsidR="00FA5606" w:rsidRPr="00FA5606">
        <w:rPr>
          <w:rFonts w:ascii="Calibri" w:hAnsi="Calibri" w:cstheme="minorHAnsi"/>
        </w:rPr>
        <w:t xml:space="preserve"> </w:t>
      </w:r>
      <w:r w:rsidR="00FA5606" w:rsidRPr="00FA5606">
        <w:rPr>
          <w:rFonts w:cstheme="minorHAnsi"/>
        </w:rPr>
        <w:t>3.94%</w:t>
      </w:r>
      <w:r w:rsidR="00FA5606" w:rsidRPr="00FA5606">
        <w:rPr>
          <w:rFonts w:ascii="Calibri" w:hAnsi="Calibri" w:cstheme="minorHAnsi"/>
        </w:rPr>
        <w:t xml:space="preserve"> </w:t>
      </w:r>
      <w:r w:rsidR="00FA5606" w:rsidRPr="00FA5606">
        <w:rPr>
          <w:rFonts w:cstheme="minorHAnsi"/>
        </w:rPr>
        <w:t>dhe</w:t>
      </w:r>
      <w:r w:rsidR="00FA5606" w:rsidRPr="00FA5606">
        <w:rPr>
          <w:rFonts w:ascii="Calibri" w:hAnsi="Calibri" w:cstheme="minorHAnsi"/>
        </w:rPr>
        <w:t xml:space="preserve"> </w:t>
      </w:r>
      <w:r w:rsidR="00FA5606" w:rsidRPr="00FA5606">
        <w:rPr>
          <w:rFonts w:cstheme="minorHAnsi"/>
        </w:rPr>
        <w:t>4.21%</w:t>
      </w:r>
      <w:r w:rsidR="00FA5606" w:rsidRPr="00FA5606">
        <w:rPr>
          <w:rFonts w:ascii="Calibri" w:hAnsi="Calibri" w:cstheme="minorHAnsi"/>
        </w:rPr>
        <w:t xml:space="preserve"> </w:t>
      </w:r>
      <w:r w:rsidR="00FA5606" w:rsidRPr="00FA5606">
        <w:rPr>
          <w:rFonts w:cstheme="minorHAnsi"/>
        </w:rPr>
        <w:t>të</w:t>
      </w:r>
      <w:r w:rsidR="00FB1B0F" w:rsidRPr="00FB1B0F">
        <w:rPr>
          <w:rFonts w:ascii="Calibri" w:hAnsi="Calibri" w:cstheme="minorHAnsi"/>
        </w:rPr>
        <w:t xml:space="preserve"> </w:t>
      </w:r>
      <w:r w:rsidR="00B951B1" w:rsidRPr="00FB1B0F">
        <w:rPr>
          <w:rFonts w:cs="Calibri"/>
        </w:rPr>
        <w:t>fondeve të planifikuara për sektorin e arsimit në vitin 2023, përkatësisht 0.</w:t>
      </w:r>
      <w:r w:rsidR="00FA5606" w:rsidRPr="00FA5606">
        <w:rPr>
          <w:rFonts w:cstheme="minorHAnsi"/>
        </w:rPr>
        <w:t xml:space="preserve"> .11%,</w:t>
      </w:r>
      <w:r w:rsidR="00FA5606" w:rsidRPr="00FA5606">
        <w:rPr>
          <w:rFonts w:ascii="Calibri" w:hAnsi="Calibri" w:cstheme="minorHAnsi"/>
        </w:rPr>
        <w:t xml:space="preserve"> </w:t>
      </w:r>
      <w:r w:rsidR="00FA5606" w:rsidRPr="00FA5606">
        <w:rPr>
          <w:rFonts w:cstheme="minorHAnsi"/>
        </w:rPr>
        <w:t>0.14%</w:t>
      </w:r>
      <w:r w:rsidR="00FA5606" w:rsidRPr="00FA5606">
        <w:rPr>
          <w:rFonts w:ascii="Calibri" w:hAnsi="Calibri" w:cstheme="minorHAnsi"/>
        </w:rPr>
        <w:t xml:space="preserve"> </w:t>
      </w:r>
      <w:r w:rsidR="00FA5606" w:rsidRPr="00FA5606">
        <w:rPr>
          <w:rFonts w:cstheme="minorHAnsi"/>
        </w:rPr>
        <w:t>dhe</w:t>
      </w:r>
      <w:r w:rsidR="00FA5606" w:rsidRPr="00FA5606">
        <w:rPr>
          <w:rFonts w:ascii="Calibri" w:hAnsi="Calibri" w:cstheme="minorHAnsi"/>
        </w:rPr>
        <w:t xml:space="preserve"> </w:t>
      </w:r>
      <w:r w:rsidR="00FA5606" w:rsidRPr="00FA5606">
        <w:rPr>
          <w:rFonts w:cstheme="minorHAnsi"/>
        </w:rPr>
        <w:t>0.15</w:t>
      </w:r>
      <w:r w:rsidR="00B951B1" w:rsidRPr="00FB1B0F">
        <w:rPr>
          <w:rFonts w:cs="Calibri"/>
        </w:rPr>
        <w:t>% të PBB-së së vitit 2023.</w:t>
      </w:r>
    </w:p>
    <w:p w:rsidR="00B951B1" w:rsidRPr="00E61612" w:rsidRDefault="00B951B1" w:rsidP="00B951B1">
      <w:pPr>
        <w:spacing w:after="120"/>
        <w:rPr>
          <w:rFonts w:cs="Calibri"/>
        </w:rPr>
      </w:pPr>
      <w:bookmarkStart w:id="145" w:name="_Ref64467594"/>
      <w:bookmarkStart w:id="146" w:name="_Toc66802050"/>
      <w:r w:rsidRPr="00E61612">
        <w:rPr>
          <w:b/>
        </w:rPr>
        <w:t xml:space="preserve">Tabela </w:t>
      </w:r>
      <w:r w:rsidR="00EC56B7" w:rsidRPr="00E61612">
        <w:rPr>
          <w:b/>
        </w:rPr>
        <w:fldChar w:fldCharType="begin"/>
      </w:r>
      <w:r w:rsidRPr="00E61612">
        <w:rPr>
          <w:b/>
        </w:rPr>
        <w:instrText xml:space="preserve"> SEQ Tabela \* ARABIC </w:instrText>
      </w:r>
      <w:r w:rsidR="00EC56B7" w:rsidRPr="00E61612">
        <w:rPr>
          <w:b/>
        </w:rPr>
        <w:fldChar w:fldCharType="separate"/>
      </w:r>
      <w:r w:rsidRPr="00E61612">
        <w:rPr>
          <w:b/>
        </w:rPr>
        <w:t>16</w:t>
      </w:r>
      <w:r w:rsidR="00EC56B7" w:rsidRPr="00E61612">
        <w:rPr>
          <w:b/>
        </w:rPr>
        <w:fldChar w:fldCharType="end"/>
      </w:r>
      <w:bookmarkEnd w:id="145"/>
      <w:r w:rsidRPr="00E61612">
        <w:rPr>
          <w:b/>
        </w:rPr>
        <w:t>.</w:t>
      </w:r>
      <w:r w:rsidRPr="00E61612">
        <w:rPr>
          <w:rFonts w:cs="Calibri"/>
        </w:rPr>
        <w:t xml:space="preserve">  Hendeku financiar për buxhetin e SKA 2021-2026 në vite (në 000 lekë)</w:t>
      </w:r>
      <w:bookmarkEnd w:id="146"/>
    </w:p>
    <w:tbl>
      <w:tblPr>
        <w:tblW w:w="10405" w:type="dxa"/>
        <w:tblInd w:w="-147" w:type="dxa"/>
        <w:tblLook w:val="04A0" w:firstRow="1" w:lastRow="0" w:firstColumn="1" w:lastColumn="0" w:noHBand="0" w:noVBand="1"/>
      </w:tblPr>
      <w:tblGrid>
        <w:gridCol w:w="2689"/>
        <w:gridCol w:w="1145"/>
        <w:gridCol w:w="1123"/>
        <w:gridCol w:w="1134"/>
        <w:gridCol w:w="1134"/>
        <w:gridCol w:w="1054"/>
        <w:gridCol w:w="1072"/>
        <w:gridCol w:w="1054"/>
      </w:tblGrid>
      <w:tr w:rsidR="00FB1B0F" w:rsidRPr="00FB1B0F" w:rsidTr="000774C6">
        <w:trPr>
          <w:trHeight w:val="240"/>
        </w:trPr>
        <w:tc>
          <w:tcPr>
            <w:tcW w:w="2689" w:type="dxa"/>
            <w:tcBorders>
              <w:top w:val="single" w:sz="4" w:space="0" w:color="auto"/>
              <w:left w:val="single" w:sz="4" w:space="0" w:color="auto"/>
              <w:bottom w:val="single" w:sz="4" w:space="0" w:color="auto"/>
              <w:right w:val="single" w:sz="4" w:space="0" w:color="auto"/>
            </w:tcBorders>
            <w:shd w:val="clear" w:color="auto" w:fill="auto"/>
            <w:noWrap/>
            <w:hideMark/>
          </w:tcPr>
          <w:p w:rsidR="00FB1B0F" w:rsidRPr="00FB1B0F" w:rsidRDefault="00FB1B0F" w:rsidP="000774C6">
            <w:pPr>
              <w:spacing w:after="0"/>
              <w:jc w:val="center"/>
              <w:rPr>
                <w:rFonts w:cstheme="minorHAnsi"/>
                <w:b/>
                <w:bCs/>
                <w:color w:val="000000"/>
                <w:sz w:val="18"/>
                <w:szCs w:val="18"/>
              </w:rPr>
            </w:pPr>
            <w:r w:rsidRPr="00FB1B0F">
              <w:rPr>
                <w:rFonts w:cstheme="minorHAnsi"/>
                <w:b/>
                <w:bCs/>
                <w:color w:val="000000"/>
                <w:sz w:val="18"/>
                <w:szCs w:val="18"/>
              </w:rPr>
              <w:t>Qëllimi</w:t>
            </w:r>
            <w:r w:rsidRPr="00FB1B0F">
              <w:rPr>
                <w:rFonts w:ascii="Calibri" w:hAnsi="Calibri" w:cstheme="minorHAnsi"/>
                <w:b/>
                <w:bCs/>
                <w:color w:val="000000"/>
                <w:sz w:val="18"/>
                <w:szCs w:val="18"/>
              </w:rPr>
              <w:t xml:space="preserve"> </w:t>
            </w:r>
            <w:r w:rsidRPr="00FB1B0F">
              <w:rPr>
                <w:rFonts w:cstheme="minorHAnsi"/>
                <w:b/>
                <w:bCs/>
                <w:color w:val="000000"/>
                <w:sz w:val="18"/>
                <w:szCs w:val="18"/>
              </w:rPr>
              <w:t>i</w:t>
            </w:r>
            <w:r w:rsidRPr="00FB1B0F">
              <w:rPr>
                <w:rFonts w:ascii="Calibri" w:hAnsi="Calibri" w:cstheme="minorHAnsi"/>
                <w:b/>
                <w:bCs/>
                <w:color w:val="000000"/>
                <w:sz w:val="18"/>
                <w:szCs w:val="18"/>
              </w:rPr>
              <w:t xml:space="preserve"> </w:t>
            </w:r>
            <w:r w:rsidRPr="00FB1B0F">
              <w:rPr>
                <w:rFonts w:cstheme="minorHAnsi"/>
                <w:b/>
                <w:bCs/>
                <w:color w:val="000000"/>
                <w:sz w:val="18"/>
                <w:szCs w:val="18"/>
              </w:rPr>
              <w:t>politikës</w:t>
            </w:r>
            <w:r w:rsidRPr="00FB1B0F">
              <w:rPr>
                <w:rFonts w:ascii="Calibri" w:hAnsi="Calibri" w:cstheme="minorHAnsi"/>
                <w:b/>
                <w:bCs/>
                <w:color w:val="000000"/>
                <w:sz w:val="18"/>
                <w:szCs w:val="18"/>
              </w:rPr>
              <w:t> </w:t>
            </w:r>
          </w:p>
        </w:tc>
        <w:tc>
          <w:tcPr>
            <w:tcW w:w="1145" w:type="dxa"/>
            <w:tcBorders>
              <w:top w:val="single" w:sz="4" w:space="0" w:color="auto"/>
              <w:left w:val="nil"/>
              <w:bottom w:val="single" w:sz="4" w:space="0" w:color="auto"/>
              <w:right w:val="single" w:sz="4" w:space="0" w:color="auto"/>
            </w:tcBorders>
            <w:shd w:val="clear" w:color="000000" w:fill="FFFFFF"/>
            <w:hideMark/>
          </w:tcPr>
          <w:p w:rsidR="00FB1B0F" w:rsidRPr="00FB1B0F" w:rsidRDefault="00FB1B0F" w:rsidP="000774C6">
            <w:pPr>
              <w:spacing w:after="0"/>
              <w:jc w:val="center"/>
              <w:rPr>
                <w:rFonts w:cstheme="minorHAnsi"/>
                <w:b/>
                <w:bCs/>
                <w:color w:val="000000"/>
                <w:sz w:val="18"/>
                <w:szCs w:val="18"/>
              </w:rPr>
            </w:pPr>
            <w:r w:rsidRPr="00FB1B0F">
              <w:rPr>
                <w:rFonts w:cstheme="minorHAnsi"/>
                <w:b/>
                <w:bCs/>
                <w:color w:val="000000"/>
                <w:sz w:val="18"/>
                <w:szCs w:val="18"/>
              </w:rPr>
              <w:t>Totali</w:t>
            </w:r>
            <w:r w:rsidRPr="00FB1B0F">
              <w:rPr>
                <w:rFonts w:ascii="Calibri" w:hAnsi="Calibri" w:cstheme="minorHAnsi"/>
                <w:b/>
                <w:bCs/>
                <w:color w:val="000000"/>
                <w:sz w:val="18"/>
                <w:szCs w:val="18"/>
              </w:rPr>
              <w:t xml:space="preserve"> </w:t>
            </w:r>
            <w:r w:rsidRPr="00FB1B0F">
              <w:rPr>
                <w:rFonts w:cstheme="minorHAnsi"/>
                <w:b/>
                <w:bCs/>
                <w:color w:val="000000"/>
                <w:sz w:val="18"/>
                <w:szCs w:val="18"/>
              </w:rPr>
              <w:t>2021-2026</w:t>
            </w:r>
          </w:p>
        </w:tc>
        <w:tc>
          <w:tcPr>
            <w:tcW w:w="1123" w:type="dxa"/>
            <w:tcBorders>
              <w:top w:val="single" w:sz="4" w:space="0" w:color="auto"/>
              <w:left w:val="nil"/>
              <w:bottom w:val="single" w:sz="4" w:space="0" w:color="auto"/>
              <w:right w:val="single" w:sz="4" w:space="0" w:color="auto"/>
            </w:tcBorders>
            <w:shd w:val="clear" w:color="000000" w:fill="DDEBF7"/>
            <w:hideMark/>
          </w:tcPr>
          <w:p w:rsidR="00FB1B0F" w:rsidRPr="00FB1B0F" w:rsidRDefault="00FB1B0F" w:rsidP="000774C6">
            <w:pPr>
              <w:spacing w:after="0"/>
              <w:jc w:val="center"/>
              <w:rPr>
                <w:rFonts w:cstheme="minorHAnsi"/>
                <w:b/>
                <w:bCs/>
                <w:color w:val="000000"/>
                <w:sz w:val="18"/>
                <w:szCs w:val="18"/>
              </w:rPr>
            </w:pPr>
            <w:r w:rsidRPr="00FB1B0F">
              <w:rPr>
                <w:rFonts w:cstheme="minorHAnsi"/>
                <w:b/>
                <w:bCs/>
                <w:color w:val="000000"/>
                <w:sz w:val="18"/>
                <w:szCs w:val="18"/>
              </w:rPr>
              <w:t>Viti</w:t>
            </w:r>
            <w:r w:rsidRPr="00FB1B0F">
              <w:rPr>
                <w:rFonts w:ascii="Calibri" w:hAnsi="Calibri" w:cstheme="minorHAnsi"/>
                <w:b/>
                <w:bCs/>
                <w:color w:val="000000"/>
                <w:sz w:val="18"/>
                <w:szCs w:val="18"/>
              </w:rPr>
              <w:t xml:space="preserve"> </w:t>
            </w:r>
            <w:r w:rsidRPr="00FB1B0F">
              <w:rPr>
                <w:rFonts w:cstheme="minorHAnsi"/>
                <w:b/>
                <w:bCs/>
                <w:color w:val="000000"/>
                <w:sz w:val="18"/>
                <w:szCs w:val="18"/>
              </w:rPr>
              <w:t>2021</w:t>
            </w:r>
          </w:p>
        </w:tc>
        <w:tc>
          <w:tcPr>
            <w:tcW w:w="1134" w:type="dxa"/>
            <w:tcBorders>
              <w:top w:val="single" w:sz="4" w:space="0" w:color="auto"/>
              <w:left w:val="nil"/>
              <w:bottom w:val="single" w:sz="4" w:space="0" w:color="auto"/>
              <w:right w:val="single" w:sz="4" w:space="0" w:color="auto"/>
            </w:tcBorders>
            <w:shd w:val="clear" w:color="000000" w:fill="FCE4D6"/>
            <w:hideMark/>
          </w:tcPr>
          <w:p w:rsidR="00FB1B0F" w:rsidRPr="00FB1B0F" w:rsidRDefault="00FB1B0F" w:rsidP="000774C6">
            <w:pPr>
              <w:spacing w:after="0"/>
              <w:jc w:val="center"/>
              <w:rPr>
                <w:rFonts w:cstheme="minorHAnsi"/>
                <w:b/>
                <w:bCs/>
                <w:color w:val="000000"/>
                <w:sz w:val="18"/>
                <w:szCs w:val="18"/>
              </w:rPr>
            </w:pPr>
            <w:r w:rsidRPr="00FB1B0F">
              <w:rPr>
                <w:rFonts w:cstheme="minorHAnsi"/>
                <w:b/>
                <w:bCs/>
                <w:color w:val="000000"/>
                <w:sz w:val="18"/>
                <w:szCs w:val="18"/>
              </w:rPr>
              <w:t>Viti</w:t>
            </w:r>
            <w:r w:rsidRPr="00FB1B0F">
              <w:rPr>
                <w:rFonts w:ascii="Calibri" w:hAnsi="Calibri" w:cstheme="minorHAnsi"/>
                <w:b/>
                <w:bCs/>
                <w:color w:val="000000"/>
                <w:sz w:val="18"/>
                <w:szCs w:val="18"/>
              </w:rPr>
              <w:t xml:space="preserve"> </w:t>
            </w:r>
            <w:r w:rsidRPr="00FB1B0F">
              <w:rPr>
                <w:rFonts w:cstheme="minorHAnsi"/>
                <w:b/>
                <w:bCs/>
                <w:color w:val="000000"/>
                <w:sz w:val="18"/>
                <w:szCs w:val="18"/>
              </w:rPr>
              <w:t>2022</w:t>
            </w:r>
          </w:p>
        </w:tc>
        <w:tc>
          <w:tcPr>
            <w:tcW w:w="1134" w:type="dxa"/>
            <w:tcBorders>
              <w:top w:val="single" w:sz="4" w:space="0" w:color="auto"/>
              <w:left w:val="nil"/>
              <w:bottom w:val="single" w:sz="4" w:space="0" w:color="auto"/>
              <w:right w:val="single" w:sz="4" w:space="0" w:color="auto"/>
            </w:tcBorders>
            <w:shd w:val="clear" w:color="000000" w:fill="DDEBF7"/>
            <w:hideMark/>
          </w:tcPr>
          <w:p w:rsidR="00FB1B0F" w:rsidRPr="00FB1B0F" w:rsidRDefault="00FB1B0F" w:rsidP="000774C6">
            <w:pPr>
              <w:spacing w:after="0"/>
              <w:jc w:val="center"/>
              <w:rPr>
                <w:rFonts w:cstheme="minorHAnsi"/>
                <w:b/>
                <w:bCs/>
                <w:color w:val="000000"/>
                <w:sz w:val="18"/>
                <w:szCs w:val="18"/>
              </w:rPr>
            </w:pPr>
            <w:r w:rsidRPr="00FB1B0F">
              <w:rPr>
                <w:rFonts w:cstheme="minorHAnsi"/>
                <w:b/>
                <w:bCs/>
                <w:color w:val="000000"/>
                <w:sz w:val="18"/>
                <w:szCs w:val="18"/>
              </w:rPr>
              <w:t>Viti</w:t>
            </w:r>
            <w:r w:rsidRPr="00FB1B0F">
              <w:rPr>
                <w:rFonts w:ascii="Calibri" w:hAnsi="Calibri" w:cstheme="minorHAnsi"/>
                <w:b/>
                <w:bCs/>
                <w:color w:val="000000"/>
                <w:sz w:val="18"/>
                <w:szCs w:val="18"/>
              </w:rPr>
              <w:t xml:space="preserve"> </w:t>
            </w:r>
            <w:r w:rsidRPr="00FB1B0F">
              <w:rPr>
                <w:rFonts w:cstheme="minorHAnsi"/>
                <w:b/>
                <w:bCs/>
                <w:color w:val="000000"/>
                <w:sz w:val="18"/>
                <w:szCs w:val="18"/>
              </w:rPr>
              <w:t>2023</w:t>
            </w:r>
          </w:p>
        </w:tc>
        <w:tc>
          <w:tcPr>
            <w:tcW w:w="1054" w:type="dxa"/>
            <w:tcBorders>
              <w:top w:val="single" w:sz="4" w:space="0" w:color="auto"/>
              <w:left w:val="nil"/>
              <w:bottom w:val="single" w:sz="4" w:space="0" w:color="auto"/>
              <w:right w:val="single" w:sz="4" w:space="0" w:color="auto"/>
            </w:tcBorders>
            <w:shd w:val="clear" w:color="000000" w:fill="FCE4D6"/>
            <w:hideMark/>
          </w:tcPr>
          <w:p w:rsidR="00FB1B0F" w:rsidRPr="00FB1B0F" w:rsidRDefault="00FB1B0F" w:rsidP="000774C6">
            <w:pPr>
              <w:spacing w:after="0"/>
              <w:jc w:val="center"/>
              <w:rPr>
                <w:rFonts w:cstheme="minorHAnsi"/>
                <w:b/>
                <w:bCs/>
                <w:color w:val="000000"/>
                <w:sz w:val="18"/>
                <w:szCs w:val="18"/>
              </w:rPr>
            </w:pPr>
            <w:r w:rsidRPr="00FB1B0F">
              <w:rPr>
                <w:rFonts w:cstheme="minorHAnsi"/>
                <w:b/>
                <w:bCs/>
                <w:color w:val="000000"/>
                <w:sz w:val="18"/>
                <w:szCs w:val="18"/>
              </w:rPr>
              <w:t>Viti</w:t>
            </w:r>
            <w:r w:rsidRPr="00FB1B0F">
              <w:rPr>
                <w:rFonts w:ascii="Calibri" w:hAnsi="Calibri" w:cstheme="minorHAnsi"/>
                <w:b/>
                <w:bCs/>
                <w:color w:val="000000"/>
                <w:sz w:val="18"/>
                <w:szCs w:val="18"/>
              </w:rPr>
              <w:t xml:space="preserve"> </w:t>
            </w:r>
            <w:r w:rsidRPr="00FB1B0F">
              <w:rPr>
                <w:rFonts w:cstheme="minorHAnsi"/>
                <w:b/>
                <w:bCs/>
                <w:color w:val="000000"/>
                <w:sz w:val="18"/>
                <w:szCs w:val="18"/>
              </w:rPr>
              <w:t>2024</w:t>
            </w:r>
          </w:p>
        </w:tc>
        <w:tc>
          <w:tcPr>
            <w:tcW w:w="1072" w:type="dxa"/>
            <w:tcBorders>
              <w:top w:val="single" w:sz="4" w:space="0" w:color="auto"/>
              <w:left w:val="nil"/>
              <w:bottom w:val="single" w:sz="4" w:space="0" w:color="auto"/>
              <w:right w:val="single" w:sz="4" w:space="0" w:color="auto"/>
            </w:tcBorders>
            <w:shd w:val="clear" w:color="000000" w:fill="DDEBF7"/>
            <w:hideMark/>
          </w:tcPr>
          <w:p w:rsidR="00FB1B0F" w:rsidRPr="00FB1B0F" w:rsidRDefault="00FB1B0F" w:rsidP="000774C6">
            <w:pPr>
              <w:spacing w:after="0"/>
              <w:jc w:val="center"/>
              <w:rPr>
                <w:rFonts w:cstheme="minorHAnsi"/>
                <w:b/>
                <w:bCs/>
                <w:color w:val="000000"/>
                <w:sz w:val="18"/>
                <w:szCs w:val="18"/>
              </w:rPr>
            </w:pPr>
            <w:r w:rsidRPr="00FB1B0F">
              <w:rPr>
                <w:rFonts w:cstheme="minorHAnsi"/>
                <w:b/>
                <w:bCs/>
                <w:color w:val="000000"/>
                <w:sz w:val="18"/>
                <w:szCs w:val="18"/>
              </w:rPr>
              <w:t>Viti</w:t>
            </w:r>
            <w:r w:rsidRPr="00FB1B0F">
              <w:rPr>
                <w:rFonts w:ascii="Calibri" w:hAnsi="Calibri" w:cstheme="minorHAnsi"/>
                <w:b/>
                <w:bCs/>
                <w:color w:val="000000"/>
                <w:sz w:val="18"/>
                <w:szCs w:val="18"/>
              </w:rPr>
              <w:t xml:space="preserve"> </w:t>
            </w:r>
            <w:r w:rsidRPr="00FB1B0F">
              <w:rPr>
                <w:rFonts w:cstheme="minorHAnsi"/>
                <w:b/>
                <w:bCs/>
                <w:color w:val="000000"/>
                <w:sz w:val="18"/>
                <w:szCs w:val="18"/>
              </w:rPr>
              <w:t>2025</w:t>
            </w:r>
          </w:p>
        </w:tc>
        <w:tc>
          <w:tcPr>
            <w:tcW w:w="1054" w:type="dxa"/>
            <w:tcBorders>
              <w:top w:val="single" w:sz="4" w:space="0" w:color="auto"/>
              <w:left w:val="nil"/>
              <w:bottom w:val="single" w:sz="4" w:space="0" w:color="auto"/>
              <w:right w:val="single" w:sz="4" w:space="0" w:color="auto"/>
            </w:tcBorders>
            <w:shd w:val="clear" w:color="000000" w:fill="FCE4D6"/>
            <w:hideMark/>
          </w:tcPr>
          <w:p w:rsidR="00FB1B0F" w:rsidRPr="00FB1B0F" w:rsidRDefault="00FB1B0F" w:rsidP="000774C6">
            <w:pPr>
              <w:spacing w:after="0"/>
              <w:jc w:val="center"/>
              <w:rPr>
                <w:rFonts w:cstheme="minorHAnsi"/>
                <w:b/>
                <w:bCs/>
                <w:color w:val="000000"/>
                <w:sz w:val="18"/>
                <w:szCs w:val="18"/>
              </w:rPr>
            </w:pPr>
            <w:r w:rsidRPr="00FB1B0F">
              <w:rPr>
                <w:rFonts w:cstheme="minorHAnsi"/>
                <w:b/>
                <w:bCs/>
                <w:color w:val="000000"/>
                <w:sz w:val="18"/>
                <w:szCs w:val="18"/>
              </w:rPr>
              <w:t>Viti</w:t>
            </w:r>
            <w:r w:rsidRPr="00FB1B0F">
              <w:rPr>
                <w:rFonts w:ascii="Calibri" w:hAnsi="Calibri" w:cstheme="minorHAnsi"/>
                <w:b/>
                <w:bCs/>
                <w:color w:val="000000"/>
                <w:sz w:val="18"/>
                <w:szCs w:val="18"/>
              </w:rPr>
              <w:t xml:space="preserve"> </w:t>
            </w:r>
            <w:r w:rsidRPr="00FB1B0F">
              <w:rPr>
                <w:rFonts w:cstheme="minorHAnsi"/>
                <w:b/>
                <w:bCs/>
                <w:color w:val="000000"/>
                <w:sz w:val="18"/>
                <w:szCs w:val="18"/>
              </w:rPr>
              <w:t>2026</w:t>
            </w:r>
          </w:p>
        </w:tc>
      </w:tr>
      <w:tr w:rsidR="00FB1B0F" w:rsidRPr="00FB1B0F" w:rsidTr="000774C6">
        <w:trPr>
          <w:trHeight w:val="193"/>
        </w:trPr>
        <w:tc>
          <w:tcPr>
            <w:tcW w:w="2689" w:type="dxa"/>
            <w:tcBorders>
              <w:top w:val="single" w:sz="4" w:space="0" w:color="auto"/>
              <w:left w:val="single" w:sz="4" w:space="0" w:color="auto"/>
              <w:bottom w:val="single" w:sz="4" w:space="0" w:color="auto"/>
              <w:right w:val="single" w:sz="4" w:space="0" w:color="auto"/>
            </w:tcBorders>
            <w:shd w:val="clear" w:color="000000" w:fill="FFFFFF"/>
            <w:hideMark/>
          </w:tcPr>
          <w:p w:rsidR="00FB1B0F" w:rsidRPr="00FB1B0F" w:rsidRDefault="00FB1B0F" w:rsidP="000774C6">
            <w:pPr>
              <w:spacing w:after="0"/>
              <w:rPr>
                <w:rFonts w:cstheme="minorHAnsi"/>
                <w:color w:val="000000"/>
                <w:sz w:val="18"/>
                <w:szCs w:val="18"/>
              </w:rPr>
            </w:pPr>
            <w:r w:rsidRPr="00FB1B0F">
              <w:rPr>
                <w:rFonts w:cstheme="minorHAnsi"/>
                <w:color w:val="000000"/>
                <w:sz w:val="18"/>
                <w:szCs w:val="18"/>
              </w:rPr>
              <w:t>Qëllimi</w:t>
            </w:r>
            <w:r w:rsidRPr="00FB1B0F">
              <w:rPr>
                <w:rFonts w:ascii="Calibri" w:hAnsi="Calibri" w:cstheme="minorHAnsi"/>
                <w:color w:val="000000"/>
                <w:sz w:val="18"/>
                <w:szCs w:val="18"/>
              </w:rPr>
              <w:t xml:space="preserve"> </w:t>
            </w:r>
            <w:r w:rsidRPr="00FB1B0F">
              <w:rPr>
                <w:rFonts w:cstheme="minorHAnsi"/>
                <w:color w:val="000000"/>
                <w:sz w:val="18"/>
                <w:szCs w:val="18"/>
              </w:rPr>
              <w:t>i</w:t>
            </w:r>
            <w:r w:rsidRPr="00FB1B0F">
              <w:rPr>
                <w:rFonts w:ascii="Calibri" w:hAnsi="Calibri" w:cstheme="minorHAnsi"/>
                <w:color w:val="000000"/>
                <w:sz w:val="18"/>
                <w:szCs w:val="18"/>
              </w:rPr>
              <w:t xml:space="preserve"> </w:t>
            </w:r>
            <w:r w:rsidRPr="00FB1B0F">
              <w:rPr>
                <w:rFonts w:cstheme="minorHAnsi"/>
                <w:color w:val="000000"/>
                <w:sz w:val="18"/>
                <w:szCs w:val="18"/>
              </w:rPr>
              <w:t>politikës</w:t>
            </w:r>
            <w:r w:rsidRPr="00FB1B0F">
              <w:rPr>
                <w:rFonts w:ascii="Calibri" w:hAnsi="Calibri" w:cstheme="minorHAnsi"/>
                <w:color w:val="000000"/>
                <w:sz w:val="18"/>
                <w:szCs w:val="18"/>
              </w:rPr>
              <w:t xml:space="preserve"> </w:t>
            </w:r>
            <w:r w:rsidRPr="00FB1B0F">
              <w:rPr>
                <w:rFonts w:cstheme="minorHAnsi"/>
                <w:color w:val="000000"/>
                <w:sz w:val="18"/>
                <w:szCs w:val="18"/>
              </w:rPr>
              <w:t>A</w:t>
            </w:r>
          </w:p>
        </w:tc>
        <w:tc>
          <w:tcPr>
            <w:tcW w:w="1145" w:type="dxa"/>
            <w:tcBorders>
              <w:top w:val="nil"/>
              <w:left w:val="nil"/>
              <w:bottom w:val="single" w:sz="4" w:space="0" w:color="auto"/>
              <w:right w:val="single" w:sz="4" w:space="0" w:color="auto"/>
            </w:tcBorders>
            <w:shd w:val="clear" w:color="000000" w:fill="FFFFFF"/>
            <w:noWrap/>
            <w:hideMark/>
          </w:tcPr>
          <w:p w:rsidR="00FB1B0F" w:rsidRPr="00FB1B0F" w:rsidRDefault="00FA5606" w:rsidP="000774C6">
            <w:pPr>
              <w:autoSpaceDE w:val="0"/>
              <w:autoSpaceDN w:val="0"/>
              <w:adjustRightInd w:val="0"/>
              <w:spacing w:after="0"/>
              <w:jc w:val="right"/>
              <w:rPr>
                <w:rFonts w:eastAsiaTheme="minorHAnsi" w:cstheme="minorHAnsi"/>
                <w:color w:val="000000"/>
                <w:sz w:val="18"/>
                <w:szCs w:val="18"/>
              </w:rPr>
            </w:pPr>
            <w:r w:rsidRPr="00FA5606">
              <w:rPr>
                <w:rFonts w:ascii="Calibri" w:hAnsi="Calibri" w:cs="Calibri"/>
                <w:sz w:val="18"/>
                <w:szCs w:val="18"/>
              </w:rPr>
              <w:t>(8,961,237)</w:t>
            </w:r>
          </w:p>
        </w:tc>
        <w:tc>
          <w:tcPr>
            <w:tcW w:w="1123" w:type="dxa"/>
            <w:tcBorders>
              <w:top w:val="nil"/>
              <w:left w:val="nil"/>
              <w:bottom w:val="single" w:sz="4" w:space="0" w:color="auto"/>
              <w:right w:val="single" w:sz="4" w:space="0" w:color="auto"/>
            </w:tcBorders>
            <w:shd w:val="clear" w:color="000000" w:fill="FFFFFF"/>
            <w:noWrap/>
            <w:hideMark/>
          </w:tcPr>
          <w:p w:rsidR="00FB1B0F" w:rsidRPr="00FB1B0F" w:rsidRDefault="00FB1B0F" w:rsidP="000774C6">
            <w:pPr>
              <w:autoSpaceDE w:val="0"/>
              <w:autoSpaceDN w:val="0"/>
              <w:adjustRightInd w:val="0"/>
              <w:spacing w:after="0"/>
              <w:jc w:val="right"/>
              <w:rPr>
                <w:rFonts w:eastAsiaTheme="minorHAnsi" w:cstheme="minorHAnsi"/>
                <w:color w:val="000000"/>
                <w:sz w:val="18"/>
                <w:szCs w:val="18"/>
              </w:rPr>
            </w:pPr>
            <w:r w:rsidRPr="00FB1B0F">
              <w:rPr>
                <w:rFonts w:ascii="Calibri" w:hAnsi="Calibri" w:cs="Calibri"/>
                <w:sz w:val="18"/>
                <w:szCs w:val="18"/>
              </w:rPr>
              <w:t>(8,126)</w:t>
            </w:r>
          </w:p>
        </w:tc>
        <w:tc>
          <w:tcPr>
            <w:tcW w:w="1134" w:type="dxa"/>
            <w:tcBorders>
              <w:top w:val="nil"/>
              <w:left w:val="nil"/>
              <w:bottom w:val="single" w:sz="4" w:space="0" w:color="auto"/>
              <w:right w:val="single" w:sz="4" w:space="0" w:color="auto"/>
            </w:tcBorders>
            <w:shd w:val="clear" w:color="000000" w:fill="FFFFFF"/>
            <w:noWrap/>
            <w:hideMark/>
          </w:tcPr>
          <w:p w:rsidR="00FB1B0F" w:rsidRPr="00FB1B0F" w:rsidRDefault="00FA5606" w:rsidP="000774C6">
            <w:pPr>
              <w:autoSpaceDE w:val="0"/>
              <w:autoSpaceDN w:val="0"/>
              <w:adjustRightInd w:val="0"/>
              <w:spacing w:after="0"/>
              <w:jc w:val="right"/>
              <w:rPr>
                <w:rFonts w:eastAsiaTheme="minorHAnsi" w:cstheme="minorHAnsi"/>
                <w:color w:val="000000"/>
                <w:sz w:val="18"/>
                <w:szCs w:val="18"/>
              </w:rPr>
            </w:pPr>
            <w:r w:rsidRPr="00FA5606">
              <w:rPr>
                <w:rFonts w:ascii="Calibri" w:hAnsi="Calibri" w:cs="Calibri"/>
                <w:sz w:val="18"/>
                <w:szCs w:val="18"/>
              </w:rPr>
              <w:t>(181,658)</w:t>
            </w:r>
          </w:p>
        </w:tc>
        <w:tc>
          <w:tcPr>
            <w:tcW w:w="1134" w:type="dxa"/>
            <w:tcBorders>
              <w:top w:val="nil"/>
              <w:left w:val="nil"/>
              <w:bottom w:val="single" w:sz="4" w:space="0" w:color="auto"/>
              <w:right w:val="single" w:sz="4" w:space="0" w:color="auto"/>
            </w:tcBorders>
            <w:shd w:val="clear" w:color="000000" w:fill="FFFFFF"/>
            <w:noWrap/>
            <w:hideMark/>
          </w:tcPr>
          <w:p w:rsidR="00FB1B0F" w:rsidRPr="00FB1B0F" w:rsidRDefault="00FA5606" w:rsidP="000774C6">
            <w:pPr>
              <w:autoSpaceDE w:val="0"/>
              <w:autoSpaceDN w:val="0"/>
              <w:adjustRightInd w:val="0"/>
              <w:spacing w:after="0"/>
              <w:jc w:val="right"/>
              <w:rPr>
                <w:rFonts w:eastAsiaTheme="minorHAnsi" w:cstheme="minorHAnsi"/>
                <w:color w:val="000000"/>
                <w:sz w:val="18"/>
                <w:szCs w:val="18"/>
              </w:rPr>
            </w:pPr>
            <w:r w:rsidRPr="00FA5606">
              <w:rPr>
                <w:rFonts w:ascii="Calibri" w:hAnsi="Calibri" w:cs="Calibri"/>
                <w:sz w:val="18"/>
                <w:szCs w:val="18"/>
              </w:rPr>
              <w:t>(1,535,952)</w:t>
            </w:r>
          </w:p>
        </w:tc>
        <w:tc>
          <w:tcPr>
            <w:tcW w:w="1054" w:type="dxa"/>
            <w:tcBorders>
              <w:top w:val="nil"/>
              <w:left w:val="nil"/>
              <w:bottom w:val="single" w:sz="4" w:space="0" w:color="auto"/>
              <w:right w:val="single" w:sz="4" w:space="0" w:color="auto"/>
            </w:tcBorders>
            <w:shd w:val="clear" w:color="000000" w:fill="FFFFFF"/>
            <w:noWrap/>
            <w:hideMark/>
          </w:tcPr>
          <w:p w:rsidR="00FB1B0F" w:rsidRPr="00FB1B0F" w:rsidRDefault="00FA5606" w:rsidP="000774C6">
            <w:pPr>
              <w:autoSpaceDE w:val="0"/>
              <w:autoSpaceDN w:val="0"/>
              <w:adjustRightInd w:val="0"/>
              <w:spacing w:after="0"/>
              <w:jc w:val="right"/>
              <w:rPr>
                <w:rFonts w:eastAsiaTheme="minorHAnsi" w:cstheme="minorHAnsi"/>
                <w:color w:val="000000"/>
                <w:sz w:val="18"/>
                <w:szCs w:val="18"/>
              </w:rPr>
            </w:pPr>
            <w:r w:rsidRPr="00FA5606">
              <w:rPr>
                <w:rFonts w:ascii="Calibri" w:hAnsi="Calibri" w:cs="Calibri"/>
                <w:sz w:val="18"/>
                <w:szCs w:val="18"/>
              </w:rPr>
              <w:t>(2,023,222)</w:t>
            </w:r>
          </w:p>
        </w:tc>
        <w:tc>
          <w:tcPr>
            <w:tcW w:w="1072" w:type="dxa"/>
            <w:tcBorders>
              <w:top w:val="nil"/>
              <w:left w:val="nil"/>
              <w:bottom w:val="single" w:sz="4" w:space="0" w:color="auto"/>
              <w:right w:val="single" w:sz="4" w:space="0" w:color="auto"/>
            </w:tcBorders>
            <w:shd w:val="clear" w:color="000000" w:fill="FFFFFF"/>
            <w:noWrap/>
            <w:hideMark/>
          </w:tcPr>
          <w:p w:rsidR="00FB1B0F" w:rsidRPr="00FB1B0F" w:rsidRDefault="00FA5606" w:rsidP="000774C6">
            <w:pPr>
              <w:autoSpaceDE w:val="0"/>
              <w:autoSpaceDN w:val="0"/>
              <w:adjustRightInd w:val="0"/>
              <w:spacing w:after="0"/>
              <w:jc w:val="right"/>
              <w:rPr>
                <w:rFonts w:eastAsiaTheme="minorHAnsi" w:cstheme="minorHAnsi"/>
                <w:color w:val="000000"/>
                <w:sz w:val="18"/>
                <w:szCs w:val="18"/>
              </w:rPr>
            </w:pPr>
            <w:r w:rsidRPr="00FA5606">
              <w:rPr>
                <w:rFonts w:ascii="Calibri" w:hAnsi="Calibri" w:cs="Calibri"/>
                <w:sz w:val="18"/>
                <w:szCs w:val="18"/>
              </w:rPr>
              <w:t>(2,515,427)</w:t>
            </w:r>
          </w:p>
        </w:tc>
        <w:tc>
          <w:tcPr>
            <w:tcW w:w="1054" w:type="dxa"/>
            <w:tcBorders>
              <w:top w:val="nil"/>
              <w:left w:val="nil"/>
              <w:bottom w:val="single" w:sz="4" w:space="0" w:color="auto"/>
              <w:right w:val="single" w:sz="4" w:space="0" w:color="auto"/>
            </w:tcBorders>
            <w:shd w:val="clear" w:color="000000" w:fill="FFFFFF"/>
            <w:noWrap/>
            <w:hideMark/>
          </w:tcPr>
          <w:p w:rsidR="00FB1B0F" w:rsidRPr="00FB1B0F" w:rsidRDefault="00FA5606" w:rsidP="000774C6">
            <w:pPr>
              <w:autoSpaceDE w:val="0"/>
              <w:autoSpaceDN w:val="0"/>
              <w:adjustRightInd w:val="0"/>
              <w:spacing w:after="0"/>
              <w:jc w:val="right"/>
              <w:rPr>
                <w:rFonts w:eastAsiaTheme="minorHAnsi" w:cstheme="minorHAnsi"/>
                <w:color w:val="000000"/>
                <w:sz w:val="18"/>
                <w:szCs w:val="18"/>
              </w:rPr>
            </w:pPr>
            <w:r w:rsidRPr="00FA5606">
              <w:rPr>
                <w:rFonts w:ascii="Calibri" w:hAnsi="Calibri" w:cs="Calibri"/>
                <w:sz w:val="18"/>
                <w:szCs w:val="18"/>
              </w:rPr>
              <w:t>(2,696,851)</w:t>
            </w:r>
          </w:p>
        </w:tc>
      </w:tr>
      <w:tr w:rsidR="00FB1B0F" w:rsidRPr="00FB1B0F" w:rsidTr="000774C6">
        <w:trPr>
          <w:trHeight w:val="253"/>
        </w:trPr>
        <w:tc>
          <w:tcPr>
            <w:tcW w:w="2689" w:type="dxa"/>
            <w:tcBorders>
              <w:top w:val="single" w:sz="4" w:space="0" w:color="auto"/>
              <w:left w:val="single" w:sz="4" w:space="0" w:color="auto"/>
              <w:bottom w:val="single" w:sz="4" w:space="0" w:color="auto"/>
              <w:right w:val="single" w:sz="4" w:space="0" w:color="auto"/>
            </w:tcBorders>
            <w:shd w:val="clear" w:color="000000" w:fill="FFFFFF"/>
            <w:hideMark/>
          </w:tcPr>
          <w:p w:rsidR="00FB1B0F" w:rsidRPr="00FB1B0F" w:rsidRDefault="00FB1B0F" w:rsidP="000774C6">
            <w:pPr>
              <w:spacing w:after="0"/>
              <w:rPr>
                <w:rFonts w:cstheme="minorHAnsi"/>
                <w:color w:val="000000"/>
                <w:sz w:val="18"/>
                <w:szCs w:val="18"/>
              </w:rPr>
            </w:pPr>
            <w:r w:rsidRPr="00FB1B0F">
              <w:rPr>
                <w:rFonts w:cstheme="minorHAnsi"/>
                <w:color w:val="000000"/>
                <w:sz w:val="18"/>
                <w:szCs w:val="18"/>
              </w:rPr>
              <w:t>Qëllimi</w:t>
            </w:r>
            <w:r w:rsidRPr="00FB1B0F">
              <w:rPr>
                <w:rFonts w:ascii="Calibri" w:hAnsi="Calibri" w:cstheme="minorHAnsi"/>
                <w:color w:val="000000"/>
                <w:sz w:val="18"/>
                <w:szCs w:val="18"/>
              </w:rPr>
              <w:t xml:space="preserve"> </w:t>
            </w:r>
            <w:r w:rsidRPr="00FB1B0F">
              <w:rPr>
                <w:rFonts w:cstheme="minorHAnsi"/>
                <w:color w:val="000000"/>
                <w:sz w:val="18"/>
                <w:szCs w:val="18"/>
              </w:rPr>
              <w:t>i</w:t>
            </w:r>
            <w:r w:rsidRPr="00FB1B0F">
              <w:rPr>
                <w:rFonts w:ascii="Calibri" w:hAnsi="Calibri" w:cstheme="minorHAnsi"/>
                <w:color w:val="000000"/>
                <w:sz w:val="18"/>
                <w:szCs w:val="18"/>
              </w:rPr>
              <w:t xml:space="preserve"> </w:t>
            </w:r>
            <w:r w:rsidRPr="00FB1B0F">
              <w:rPr>
                <w:rFonts w:cstheme="minorHAnsi"/>
                <w:color w:val="000000"/>
                <w:sz w:val="18"/>
                <w:szCs w:val="18"/>
              </w:rPr>
              <w:t>politikës</w:t>
            </w:r>
            <w:r w:rsidRPr="00FB1B0F">
              <w:rPr>
                <w:rFonts w:ascii="Calibri" w:hAnsi="Calibri" w:cstheme="minorHAnsi"/>
                <w:color w:val="000000"/>
                <w:sz w:val="18"/>
                <w:szCs w:val="18"/>
              </w:rPr>
              <w:t xml:space="preserve"> </w:t>
            </w:r>
            <w:r w:rsidRPr="00FB1B0F">
              <w:rPr>
                <w:rFonts w:cstheme="minorHAnsi"/>
                <w:color w:val="000000"/>
                <w:sz w:val="18"/>
                <w:szCs w:val="18"/>
              </w:rPr>
              <w:t>B</w:t>
            </w:r>
          </w:p>
        </w:tc>
        <w:tc>
          <w:tcPr>
            <w:tcW w:w="1145" w:type="dxa"/>
            <w:tcBorders>
              <w:top w:val="nil"/>
              <w:left w:val="nil"/>
              <w:bottom w:val="single" w:sz="4" w:space="0" w:color="auto"/>
              <w:right w:val="single" w:sz="4" w:space="0" w:color="auto"/>
            </w:tcBorders>
            <w:shd w:val="clear" w:color="000000" w:fill="FFFFFF"/>
            <w:noWrap/>
            <w:hideMark/>
          </w:tcPr>
          <w:p w:rsidR="00FB1B0F" w:rsidRPr="00FB1B0F" w:rsidRDefault="00FB1B0F" w:rsidP="000774C6">
            <w:pPr>
              <w:autoSpaceDE w:val="0"/>
              <w:autoSpaceDN w:val="0"/>
              <w:adjustRightInd w:val="0"/>
              <w:spacing w:after="0"/>
              <w:jc w:val="right"/>
              <w:rPr>
                <w:rFonts w:eastAsiaTheme="minorHAnsi" w:cstheme="minorHAnsi"/>
                <w:color w:val="000000"/>
                <w:sz w:val="18"/>
                <w:szCs w:val="18"/>
              </w:rPr>
            </w:pPr>
            <w:r w:rsidRPr="00FB1B0F">
              <w:rPr>
                <w:rFonts w:ascii="Calibri" w:hAnsi="Calibri" w:cs="Calibri"/>
                <w:sz w:val="18"/>
                <w:szCs w:val="18"/>
              </w:rPr>
              <w:t>(61,164)</w:t>
            </w:r>
          </w:p>
        </w:tc>
        <w:tc>
          <w:tcPr>
            <w:tcW w:w="1123" w:type="dxa"/>
            <w:tcBorders>
              <w:top w:val="nil"/>
              <w:left w:val="nil"/>
              <w:bottom w:val="single" w:sz="4" w:space="0" w:color="auto"/>
              <w:right w:val="single" w:sz="4" w:space="0" w:color="auto"/>
            </w:tcBorders>
            <w:shd w:val="clear" w:color="000000" w:fill="FFFFFF"/>
            <w:noWrap/>
            <w:hideMark/>
          </w:tcPr>
          <w:p w:rsidR="00FB1B0F" w:rsidRPr="00FB1B0F" w:rsidRDefault="00FB1B0F" w:rsidP="000774C6">
            <w:pPr>
              <w:autoSpaceDE w:val="0"/>
              <w:autoSpaceDN w:val="0"/>
              <w:adjustRightInd w:val="0"/>
              <w:spacing w:after="0"/>
              <w:jc w:val="right"/>
              <w:rPr>
                <w:rFonts w:eastAsiaTheme="minorHAnsi" w:cstheme="minorHAnsi"/>
                <w:color w:val="000000"/>
                <w:sz w:val="18"/>
                <w:szCs w:val="18"/>
              </w:rPr>
            </w:pPr>
            <w:r w:rsidRPr="00FB1B0F">
              <w:rPr>
                <w:rFonts w:ascii="Calibri" w:hAnsi="Calibri" w:cs="Calibri"/>
                <w:sz w:val="18"/>
                <w:szCs w:val="18"/>
              </w:rPr>
              <w:t>-</w:t>
            </w:r>
          </w:p>
        </w:tc>
        <w:tc>
          <w:tcPr>
            <w:tcW w:w="1134" w:type="dxa"/>
            <w:tcBorders>
              <w:top w:val="nil"/>
              <w:left w:val="nil"/>
              <w:bottom w:val="single" w:sz="4" w:space="0" w:color="auto"/>
              <w:right w:val="single" w:sz="4" w:space="0" w:color="auto"/>
            </w:tcBorders>
            <w:shd w:val="clear" w:color="000000" w:fill="FFFFFF"/>
            <w:noWrap/>
            <w:hideMark/>
          </w:tcPr>
          <w:p w:rsidR="00FB1B0F" w:rsidRPr="00FB1B0F" w:rsidRDefault="00FB1B0F" w:rsidP="000774C6">
            <w:pPr>
              <w:autoSpaceDE w:val="0"/>
              <w:autoSpaceDN w:val="0"/>
              <w:adjustRightInd w:val="0"/>
              <w:spacing w:after="0"/>
              <w:jc w:val="right"/>
              <w:rPr>
                <w:rFonts w:eastAsiaTheme="minorHAnsi" w:cstheme="minorHAnsi"/>
                <w:color w:val="000000"/>
                <w:sz w:val="18"/>
                <w:szCs w:val="18"/>
              </w:rPr>
            </w:pPr>
            <w:r w:rsidRPr="00FB1B0F">
              <w:rPr>
                <w:rFonts w:ascii="Calibri" w:hAnsi="Calibri" w:cs="Calibri"/>
                <w:sz w:val="18"/>
                <w:szCs w:val="18"/>
              </w:rPr>
              <w:t>(20,280)</w:t>
            </w:r>
          </w:p>
        </w:tc>
        <w:tc>
          <w:tcPr>
            <w:tcW w:w="1134" w:type="dxa"/>
            <w:tcBorders>
              <w:top w:val="nil"/>
              <w:left w:val="nil"/>
              <w:bottom w:val="single" w:sz="4" w:space="0" w:color="auto"/>
              <w:right w:val="single" w:sz="4" w:space="0" w:color="auto"/>
            </w:tcBorders>
            <w:shd w:val="clear" w:color="000000" w:fill="FFFFFF"/>
            <w:noWrap/>
            <w:hideMark/>
          </w:tcPr>
          <w:p w:rsidR="00FB1B0F" w:rsidRPr="00FB1B0F" w:rsidRDefault="00FB1B0F" w:rsidP="000774C6">
            <w:pPr>
              <w:autoSpaceDE w:val="0"/>
              <w:autoSpaceDN w:val="0"/>
              <w:adjustRightInd w:val="0"/>
              <w:spacing w:after="0"/>
              <w:jc w:val="right"/>
              <w:rPr>
                <w:rFonts w:eastAsiaTheme="minorHAnsi" w:cstheme="minorHAnsi"/>
                <w:color w:val="000000"/>
                <w:sz w:val="18"/>
                <w:szCs w:val="18"/>
              </w:rPr>
            </w:pPr>
            <w:r w:rsidRPr="00FB1B0F">
              <w:rPr>
                <w:rFonts w:ascii="Calibri" w:hAnsi="Calibri" w:cs="Calibri"/>
                <w:sz w:val="18"/>
                <w:szCs w:val="18"/>
              </w:rPr>
              <w:t>(23,721)</w:t>
            </w:r>
          </w:p>
        </w:tc>
        <w:tc>
          <w:tcPr>
            <w:tcW w:w="1054" w:type="dxa"/>
            <w:tcBorders>
              <w:top w:val="nil"/>
              <w:left w:val="nil"/>
              <w:bottom w:val="single" w:sz="4" w:space="0" w:color="auto"/>
              <w:right w:val="single" w:sz="4" w:space="0" w:color="auto"/>
            </w:tcBorders>
            <w:shd w:val="clear" w:color="000000" w:fill="FFFFFF"/>
            <w:noWrap/>
            <w:hideMark/>
          </w:tcPr>
          <w:p w:rsidR="00FB1B0F" w:rsidRPr="00FB1B0F" w:rsidRDefault="00FB1B0F" w:rsidP="000774C6">
            <w:pPr>
              <w:autoSpaceDE w:val="0"/>
              <w:autoSpaceDN w:val="0"/>
              <w:adjustRightInd w:val="0"/>
              <w:spacing w:after="0"/>
              <w:jc w:val="right"/>
              <w:rPr>
                <w:rFonts w:eastAsiaTheme="minorHAnsi" w:cstheme="minorHAnsi"/>
                <w:color w:val="000000"/>
                <w:sz w:val="18"/>
                <w:szCs w:val="18"/>
              </w:rPr>
            </w:pPr>
            <w:r w:rsidRPr="00FB1B0F">
              <w:rPr>
                <w:rFonts w:ascii="Calibri" w:hAnsi="Calibri" w:cs="Calibri"/>
                <w:sz w:val="18"/>
                <w:szCs w:val="18"/>
              </w:rPr>
              <w:t>(6,481)</w:t>
            </w:r>
          </w:p>
        </w:tc>
        <w:tc>
          <w:tcPr>
            <w:tcW w:w="1072" w:type="dxa"/>
            <w:tcBorders>
              <w:top w:val="nil"/>
              <w:left w:val="nil"/>
              <w:bottom w:val="single" w:sz="4" w:space="0" w:color="auto"/>
              <w:right w:val="single" w:sz="4" w:space="0" w:color="auto"/>
            </w:tcBorders>
            <w:shd w:val="clear" w:color="000000" w:fill="FFFFFF"/>
            <w:noWrap/>
            <w:hideMark/>
          </w:tcPr>
          <w:p w:rsidR="00FB1B0F" w:rsidRPr="00FB1B0F" w:rsidRDefault="00FB1B0F" w:rsidP="000774C6">
            <w:pPr>
              <w:autoSpaceDE w:val="0"/>
              <w:autoSpaceDN w:val="0"/>
              <w:adjustRightInd w:val="0"/>
              <w:spacing w:after="0"/>
              <w:jc w:val="right"/>
              <w:rPr>
                <w:rFonts w:eastAsiaTheme="minorHAnsi" w:cstheme="minorHAnsi"/>
                <w:color w:val="000000"/>
                <w:sz w:val="18"/>
                <w:szCs w:val="18"/>
              </w:rPr>
            </w:pPr>
            <w:r w:rsidRPr="00FB1B0F">
              <w:rPr>
                <w:rFonts w:ascii="Calibri" w:hAnsi="Calibri" w:cs="Calibri"/>
                <w:sz w:val="18"/>
                <w:szCs w:val="18"/>
              </w:rPr>
              <w:t>(6,196)</w:t>
            </w:r>
          </w:p>
        </w:tc>
        <w:tc>
          <w:tcPr>
            <w:tcW w:w="1054" w:type="dxa"/>
            <w:tcBorders>
              <w:top w:val="nil"/>
              <w:left w:val="nil"/>
              <w:bottom w:val="single" w:sz="4" w:space="0" w:color="auto"/>
              <w:right w:val="single" w:sz="4" w:space="0" w:color="auto"/>
            </w:tcBorders>
            <w:shd w:val="clear" w:color="000000" w:fill="FFFFFF"/>
            <w:noWrap/>
            <w:hideMark/>
          </w:tcPr>
          <w:p w:rsidR="00FB1B0F" w:rsidRPr="00FB1B0F" w:rsidRDefault="00FB1B0F" w:rsidP="000774C6">
            <w:pPr>
              <w:autoSpaceDE w:val="0"/>
              <w:autoSpaceDN w:val="0"/>
              <w:adjustRightInd w:val="0"/>
              <w:spacing w:after="0"/>
              <w:jc w:val="right"/>
              <w:rPr>
                <w:rFonts w:eastAsiaTheme="minorHAnsi" w:cstheme="minorHAnsi"/>
                <w:color w:val="000000"/>
                <w:sz w:val="18"/>
                <w:szCs w:val="18"/>
              </w:rPr>
            </w:pPr>
            <w:r w:rsidRPr="00FB1B0F">
              <w:rPr>
                <w:rFonts w:ascii="Calibri" w:hAnsi="Calibri" w:cs="Calibri"/>
                <w:sz w:val="18"/>
                <w:szCs w:val="18"/>
              </w:rPr>
              <w:t>(4,486)</w:t>
            </w:r>
          </w:p>
        </w:tc>
      </w:tr>
      <w:tr w:rsidR="00FB1B0F" w:rsidRPr="00FB1B0F" w:rsidTr="000774C6">
        <w:trPr>
          <w:trHeight w:val="271"/>
        </w:trPr>
        <w:tc>
          <w:tcPr>
            <w:tcW w:w="2689" w:type="dxa"/>
            <w:tcBorders>
              <w:top w:val="single" w:sz="4" w:space="0" w:color="auto"/>
              <w:left w:val="single" w:sz="4" w:space="0" w:color="auto"/>
              <w:bottom w:val="single" w:sz="4" w:space="0" w:color="auto"/>
              <w:right w:val="single" w:sz="4" w:space="0" w:color="auto"/>
            </w:tcBorders>
            <w:shd w:val="clear" w:color="000000" w:fill="FFFFFF"/>
            <w:hideMark/>
          </w:tcPr>
          <w:p w:rsidR="00FB1B0F" w:rsidRPr="00FB1B0F" w:rsidRDefault="00FB1B0F" w:rsidP="000774C6">
            <w:pPr>
              <w:spacing w:after="0"/>
              <w:rPr>
                <w:rFonts w:cstheme="minorHAnsi"/>
                <w:color w:val="000000"/>
                <w:sz w:val="18"/>
                <w:szCs w:val="18"/>
              </w:rPr>
            </w:pPr>
            <w:r w:rsidRPr="00FB1B0F">
              <w:rPr>
                <w:rFonts w:cstheme="minorHAnsi"/>
                <w:color w:val="000000"/>
                <w:sz w:val="18"/>
                <w:szCs w:val="18"/>
              </w:rPr>
              <w:t>Qëllimi</w:t>
            </w:r>
            <w:r w:rsidRPr="00FB1B0F">
              <w:rPr>
                <w:rFonts w:ascii="Calibri" w:hAnsi="Calibri" w:cstheme="minorHAnsi"/>
                <w:color w:val="000000"/>
                <w:sz w:val="18"/>
                <w:szCs w:val="18"/>
              </w:rPr>
              <w:t xml:space="preserve"> </w:t>
            </w:r>
            <w:r w:rsidRPr="00FB1B0F">
              <w:rPr>
                <w:rFonts w:cstheme="minorHAnsi"/>
                <w:color w:val="000000"/>
                <w:sz w:val="18"/>
                <w:szCs w:val="18"/>
              </w:rPr>
              <w:t>i</w:t>
            </w:r>
            <w:r w:rsidRPr="00FB1B0F">
              <w:rPr>
                <w:rFonts w:ascii="Calibri" w:hAnsi="Calibri" w:cstheme="minorHAnsi"/>
                <w:color w:val="000000"/>
                <w:sz w:val="18"/>
                <w:szCs w:val="18"/>
              </w:rPr>
              <w:t xml:space="preserve"> </w:t>
            </w:r>
            <w:r w:rsidRPr="00FB1B0F">
              <w:rPr>
                <w:rFonts w:cstheme="minorHAnsi"/>
                <w:color w:val="000000"/>
                <w:sz w:val="18"/>
                <w:szCs w:val="18"/>
              </w:rPr>
              <w:t>politikës</w:t>
            </w:r>
            <w:r w:rsidRPr="00FB1B0F">
              <w:rPr>
                <w:rFonts w:ascii="Calibri" w:hAnsi="Calibri" w:cstheme="minorHAnsi"/>
                <w:color w:val="000000"/>
                <w:sz w:val="18"/>
                <w:szCs w:val="18"/>
              </w:rPr>
              <w:t xml:space="preserve"> </w:t>
            </w:r>
            <w:r w:rsidRPr="00FB1B0F">
              <w:rPr>
                <w:rFonts w:cstheme="minorHAnsi"/>
                <w:color w:val="000000"/>
                <w:sz w:val="18"/>
                <w:szCs w:val="18"/>
              </w:rPr>
              <w:t>C</w:t>
            </w:r>
          </w:p>
        </w:tc>
        <w:tc>
          <w:tcPr>
            <w:tcW w:w="1145" w:type="dxa"/>
            <w:tcBorders>
              <w:top w:val="nil"/>
              <w:left w:val="nil"/>
              <w:bottom w:val="single" w:sz="4" w:space="0" w:color="auto"/>
              <w:right w:val="single" w:sz="4" w:space="0" w:color="auto"/>
            </w:tcBorders>
            <w:shd w:val="clear" w:color="000000" w:fill="FFFFFF"/>
            <w:noWrap/>
            <w:hideMark/>
          </w:tcPr>
          <w:p w:rsidR="00FB1B0F" w:rsidRPr="00FB1B0F" w:rsidRDefault="00FB1B0F" w:rsidP="000774C6">
            <w:pPr>
              <w:autoSpaceDE w:val="0"/>
              <w:autoSpaceDN w:val="0"/>
              <w:adjustRightInd w:val="0"/>
              <w:spacing w:after="0"/>
              <w:jc w:val="right"/>
              <w:rPr>
                <w:rFonts w:eastAsiaTheme="minorHAnsi" w:cstheme="minorHAnsi"/>
                <w:color w:val="000000"/>
                <w:sz w:val="18"/>
                <w:szCs w:val="18"/>
              </w:rPr>
            </w:pPr>
            <w:r w:rsidRPr="00FB1B0F">
              <w:rPr>
                <w:rFonts w:ascii="Calibri" w:hAnsi="Calibri" w:cs="Calibri"/>
                <w:sz w:val="18"/>
                <w:szCs w:val="18"/>
              </w:rPr>
              <w:t>(502,977)</w:t>
            </w:r>
          </w:p>
        </w:tc>
        <w:tc>
          <w:tcPr>
            <w:tcW w:w="1123" w:type="dxa"/>
            <w:tcBorders>
              <w:top w:val="nil"/>
              <w:left w:val="nil"/>
              <w:bottom w:val="single" w:sz="4" w:space="0" w:color="auto"/>
              <w:right w:val="single" w:sz="4" w:space="0" w:color="auto"/>
            </w:tcBorders>
            <w:shd w:val="clear" w:color="000000" w:fill="FFFFFF"/>
            <w:noWrap/>
            <w:hideMark/>
          </w:tcPr>
          <w:p w:rsidR="00FB1B0F" w:rsidRPr="00FB1B0F" w:rsidRDefault="00FB1B0F" w:rsidP="000774C6">
            <w:pPr>
              <w:autoSpaceDE w:val="0"/>
              <w:autoSpaceDN w:val="0"/>
              <w:adjustRightInd w:val="0"/>
              <w:spacing w:after="0"/>
              <w:jc w:val="right"/>
              <w:rPr>
                <w:rFonts w:eastAsiaTheme="minorHAnsi" w:cstheme="minorHAnsi"/>
                <w:color w:val="000000"/>
                <w:sz w:val="18"/>
                <w:szCs w:val="18"/>
              </w:rPr>
            </w:pPr>
            <w:r w:rsidRPr="00FB1B0F">
              <w:rPr>
                <w:rFonts w:ascii="Calibri" w:hAnsi="Calibri" w:cs="Calibri"/>
                <w:sz w:val="18"/>
                <w:szCs w:val="18"/>
              </w:rPr>
              <w:t>-</w:t>
            </w:r>
          </w:p>
        </w:tc>
        <w:tc>
          <w:tcPr>
            <w:tcW w:w="1134" w:type="dxa"/>
            <w:tcBorders>
              <w:top w:val="nil"/>
              <w:left w:val="nil"/>
              <w:bottom w:val="single" w:sz="4" w:space="0" w:color="auto"/>
              <w:right w:val="single" w:sz="4" w:space="0" w:color="auto"/>
            </w:tcBorders>
            <w:shd w:val="clear" w:color="000000" w:fill="FFFFFF"/>
            <w:noWrap/>
            <w:hideMark/>
          </w:tcPr>
          <w:p w:rsidR="00FB1B0F" w:rsidRPr="00FB1B0F" w:rsidRDefault="00FB1B0F" w:rsidP="000774C6">
            <w:pPr>
              <w:autoSpaceDE w:val="0"/>
              <w:autoSpaceDN w:val="0"/>
              <w:adjustRightInd w:val="0"/>
              <w:spacing w:after="0"/>
              <w:jc w:val="right"/>
              <w:rPr>
                <w:rFonts w:eastAsiaTheme="minorHAnsi" w:cstheme="minorHAnsi"/>
                <w:color w:val="000000"/>
                <w:sz w:val="18"/>
                <w:szCs w:val="18"/>
              </w:rPr>
            </w:pPr>
            <w:r w:rsidRPr="00FB1B0F">
              <w:rPr>
                <w:rFonts w:ascii="Calibri" w:hAnsi="Calibri" w:cs="Calibri"/>
                <w:sz w:val="18"/>
                <w:szCs w:val="18"/>
              </w:rPr>
              <w:t>(46,281)</w:t>
            </w:r>
          </w:p>
        </w:tc>
        <w:tc>
          <w:tcPr>
            <w:tcW w:w="1134" w:type="dxa"/>
            <w:tcBorders>
              <w:top w:val="nil"/>
              <w:left w:val="nil"/>
              <w:bottom w:val="single" w:sz="4" w:space="0" w:color="auto"/>
              <w:right w:val="single" w:sz="4" w:space="0" w:color="auto"/>
            </w:tcBorders>
            <w:shd w:val="clear" w:color="000000" w:fill="FFFFFF"/>
            <w:noWrap/>
            <w:hideMark/>
          </w:tcPr>
          <w:p w:rsidR="00FB1B0F" w:rsidRPr="00FB1B0F" w:rsidRDefault="00FB1B0F" w:rsidP="000774C6">
            <w:pPr>
              <w:autoSpaceDE w:val="0"/>
              <w:autoSpaceDN w:val="0"/>
              <w:adjustRightInd w:val="0"/>
              <w:spacing w:after="0"/>
              <w:jc w:val="right"/>
              <w:rPr>
                <w:rFonts w:eastAsiaTheme="minorHAnsi" w:cstheme="minorHAnsi"/>
                <w:color w:val="000000"/>
                <w:sz w:val="18"/>
                <w:szCs w:val="18"/>
              </w:rPr>
            </w:pPr>
            <w:r w:rsidRPr="00FB1B0F">
              <w:rPr>
                <w:rFonts w:ascii="Calibri" w:hAnsi="Calibri" w:cs="Calibri"/>
                <w:sz w:val="18"/>
                <w:szCs w:val="18"/>
              </w:rPr>
              <w:t>(113,594)</w:t>
            </w:r>
          </w:p>
        </w:tc>
        <w:tc>
          <w:tcPr>
            <w:tcW w:w="1054" w:type="dxa"/>
            <w:tcBorders>
              <w:top w:val="nil"/>
              <w:left w:val="nil"/>
              <w:bottom w:val="single" w:sz="4" w:space="0" w:color="auto"/>
              <w:right w:val="single" w:sz="4" w:space="0" w:color="auto"/>
            </w:tcBorders>
            <w:shd w:val="clear" w:color="000000" w:fill="FFFFFF"/>
            <w:noWrap/>
            <w:hideMark/>
          </w:tcPr>
          <w:p w:rsidR="00FB1B0F" w:rsidRPr="00FB1B0F" w:rsidRDefault="00FB1B0F" w:rsidP="000774C6">
            <w:pPr>
              <w:autoSpaceDE w:val="0"/>
              <w:autoSpaceDN w:val="0"/>
              <w:adjustRightInd w:val="0"/>
              <w:spacing w:after="0"/>
              <w:jc w:val="right"/>
              <w:rPr>
                <w:rFonts w:eastAsiaTheme="minorHAnsi" w:cstheme="minorHAnsi"/>
                <w:color w:val="000000"/>
                <w:sz w:val="18"/>
                <w:szCs w:val="18"/>
              </w:rPr>
            </w:pPr>
            <w:r w:rsidRPr="00FB1B0F">
              <w:rPr>
                <w:rFonts w:ascii="Calibri" w:hAnsi="Calibri" w:cs="Calibri"/>
                <w:sz w:val="18"/>
                <w:szCs w:val="18"/>
              </w:rPr>
              <w:t>(115,002)</w:t>
            </w:r>
          </w:p>
        </w:tc>
        <w:tc>
          <w:tcPr>
            <w:tcW w:w="1072" w:type="dxa"/>
            <w:tcBorders>
              <w:top w:val="nil"/>
              <w:left w:val="nil"/>
              <w:bottom w:val="single" w:sz="4" w:space="0" w:color="auto"/>
              <w:right w:val="single" w:sz="4" w:space="0" w:color="auto"/>
            </w:tcBorders>
            <w:shd w:val="clear" w:color="000000" w:fill="FFFFFF"/>
            <w:noWrap/>
            <w:hideMark/>
          </w:tcPr>
          <w:p w:rsidR="00FB1B0F" w:rsidRPr="00FB1B0F" w:rsidRDefault="00FB1B0F" w:rsidP="000774C6">
            <w:pPr>
              <w:autoSpaceDE w:val="0"/>
              <w:autoSpaceDN w:val="0"/>
              <w:adjustRightInd w:val="0"/>
              <w:spacing w:after="0"/>
              <w:jc w:val="right"/>
              <w:rPr>
                <w:rFonts w:eastAsiaTheme="minorHAnsi" w:cstheme="minorHAnsi"/>
                <w:color w:val="000000"/>
                <w:sz w:val="18"/>
                <w:szCs w:val="18"/>
              </w:rPr>
            </w:pPr>
            <w:r w:rsidRPr="00FB1B0F">
              <w:rPr>
                <w:rFonts w:ascii="Calibri" w:hAnsi="Calibri" w:cs="Calibri"/>
                <w:sz w:val="18"/>
                <w:szCs w:val="18"/>
              </w:rPr>
              <w:t>(114,050)</w:t>
            </w:r>
          </w:p>
        </w:tc>
        <w:tc>
          <w:tcPr>
            <w:tcW w:w="1054" w:type="dxa"/>
            <w:tcBorders>
              <w:top w:val="nil"/>
              <w:left w:val="nil"/>
              <w:bottom w:val="single" w:sz="4" w:space="0" w:color="auto"/>
              <w:right w:val="single" w:sz="4" w:space="0" w:color="auto"/>
            </w:tcBorders>
            <w:shd w:val="clear" w:color="000000" w:fill="FFFFFF"/>
            <w:noWrap/>
            <w:hideMark/>
          </w:tcPr>
          <w:p w:rsidR="00FB1B0F" w:rsidRPr="00FB1B0F" w:rsidRDefault="00FB1B0F" w:rsidP="000774C6">
            <w:pPr>
              <w:autoSpaceDE w:val="0"/>
              <w:autoSpaceDN w:val="0"/>
              <w:adjustRightInd w:val="0"/>
              <w:spacing w:after="0"/>
              <w:jc w:val="right"/>
              <w:rPr>
                <w:rFonts w:eastAsiaTheme="minorHAnsi" w:cstheme="minorHAnsi"/>
                <w:color w:val="000000"/>
                <w:sz w:val="18"/>
                <w:szCs w:val="18"/>
              </w:rPr>
            </w:pPr>
            <w:r w:rsidRPr="00FB1B0F">
              <w:rPr>
                <w:rFonts w:ascii="Calibri" w:hAnsi="Calibri" w:cs="Calibri"/>
                <w:sz w:val="18"/>
                <w:szCs w:val="18"/>
              </w:rPr>
              <w:t>(114,050)</w:t>
            </w:r>
          </w:p>
        </w:tc>
      </w:tr>
      <w:tr w:rsidR="00FB1B0F" w:rsidRPr="00FB1B0F" w:rsidTr="000774C6">
        <w:trPr>
          <w:trHeight w:val="240"/>
        </w:trPr>
        <w:tc>
          <w:tcPr>
            <w:tcW w:w="2689" w:type="dxa"/>
            <w:tcBorders>
              <w:top w:val="nil"/>
              <w:left w:val="nil"/>
              <w:bottom w:val="nil"/>
              <w:right w:val="nil"/>
            </w:tcBorders>
            <w:shd w:val="clear" w:color="auto" w:fill="auto"/>
            <w:noWrap/>
            <w:hideMark/>
          </w:tcPr>
          <w:p w:rsidR="00FB1B0F" w:rsidRPr="00FB1B0F" w:rsidRDefault="00FB1B0F" w:rsidP="000774C6">
            <w:pPr>
              <w:spacing w:after="0"/>
              <w:rPr>
                <w:rFonts w:cstheme="minorHAnsi"/>
                <w:color w:val="000000"/>
                <w:sz w:val="18"/>
                <w:szCs w:val="18"/>
              </w:rPr>
            </w:pPr>
            <w:r w:rsidRPr="00FB1B0F">
              <w:rPr>
                <w:rFonts w:cstheme="minorHAnsi"/>
                <w:color w:val="000000"/>
                <w:sz w:val="18"/>
                <w:szCs w:val="18"/>
              </w:rPr>
              <w:t>Totali</w:t>
            </w:r>
          </w:p>
        </w:tc>
        <w:tc>
          <w:tcPr>
            <w:tcW w:w="1145" w:type="dxa"/>
            <w:tcBorders>
              <w:top w:val="nil"/>
              <w:left w:val="nil"/>
              <w:bottom w:val="nil"/>
              <w:right w:val="nil"/>
            </w:tcBorders>
            <w:shd w:val="clear" w:color="auto" w:fill="auto"/>
            <w:noWrap/>
            <w:vAlign w:val="bottom"/>
            <w:hideMark/>
          </w:tcPr>
          <w:p w:rsidR="00FB1B0F" w:rsidRPr="00FB1B0F" w:rsidRDefault="00FA5606" w:rsidP="000774C6">
            <w:pPr>
              <w:autoSpaceDE w:val="0"/>
              <w:autoSpaceDN w:val="0"/>
              <w:adjustRightInd w:val="0"/>
              <w:spacing w:after="0"/>
              <w:jc w:val="right"/>
              <w:rPr>
                <w:rFonts w:eastAsiaTheme="minorHAnsi" w:cstheme="minorHAnsi"/>
                <w:color w:val="000000"/>
                <w:sz w:val="18"/>
                <w:szCs w:val="18"/>
              </w:rPr>
            </w:pPr>
            <w:r w:rsidRPr="00FA5606">
              <w:rPr>
                <w:rFonts w:ascii="Calibri" w:hAnsi="Calibri" w:cs="Calibri"/>
                <w:color w:val="000000"/>
                <w:sz w:val="18"/>
                <w:szCs w:val="18"/>
              </w:rPr>
              <w:t>(9,525,378)</w:t>
            </w:r>
          </w:p>
        </w:tc>
        <w:tc>
          <w:tcPr>
            <w:tcW w:w="1123" w:type="dxa"/>
            <w:tcBorders>
              <w:top w:val="nil"/>
              <w:left w:val="nil"/>
              <w:bottom w:val="nil"/>
              <w:right w:val="nil"/>
            </w:tcBorders>
            <w:shd w:val="clear" w:color="auto" w:fill="auto"/>
            <w:noWrap/>
            <w:vAlign w:val="bottom"/>
            <w:hideMark/>
          </w:tcPr>
          <w:p w:rsidR="00FB1B0F" w:rsidRPr="00FB1B0F" w:rsidRDefault="00FA5606" w:rsidP="000774C6">
            <w:pPr>
              <w:autoSpaceDE w:val="0"/>
              <w:autoSpaceDN w:val="0"/>
              <w:adjustRightInd w:val="0"/>
              <w:spacing w:after="0"/>
              <w:jc w:val="right"/>
              <w:rPr>
                <w:rFonts w:eastAsiaTheme="minorHAnsi" w:cstheme="minorHAnsi"/>
                <w:color w:val="000000"/>
                <w:sz w:val="18"/>
                <w:szCs w:val="18"/>
              </w:rPr>
            </w:pPr>
            <w:r w:rsidRPr="00FA5606">
              <w:rPr>
                <w:rFonts w:ascii="Calibri" w:hAnsi="Calibri" w:cs="Calibri"/>
                <w:color w:val="000000"/>
                <w:sz w:val="18"/>
                <w:szCs w:val="18"/>
              </w:rPr>
              <w:t>(8,126)</w:t>
            </w:r>
          </w:p>
        </w:tc>
        <w:tc>
          <w:tcPr>
            <w:tcW w:w="1134" w:type="dxa"/>
            <w:tcBorders>
              <w:top w:val="nil"/>
              <w:left w:val="nil"/>
              <w:bottom w:val="nil"/>
              <w:right w:val="nil"/>
            </w:tcBorders>
            <w:shd w:val="clear" w:color="auto" w:fill="auto"/>
            <w:noWrap/>
            <w:vAlign w:val="bottom"/>
            <w:hideMark/>
          </w:tcPr>
          <w:p w:rsidR="00FB1B0F" w:rsidRPr="00FB1B0F" w:rsidRDefault="00FA5606" w:rsidP="000774C6">
            <w:pPr>
              <w:autoSpaceDE w:val="0"/>
              <w:autoSpaceDN w:val="0"/>
              <w:adjustRightInd w:val="0"/>
              <w:spacing w:after="0"/>
              <w:jc w:val="right"/>
              <w:rPr>
                <w:rFonts w:eastAsiaTheme="minorHAnsi" w:cstheme="minorHAnsi"/>
                <w:color w:val="000000"/>
                <w:sz w:val="18"/>
                <w:szCs w:val="18"/>
              </w:rPr>
            </w:pPr>
            <w:r w:rsidRPr="00FA5606">
              <w:rPr>
                <w:rFonts w:ascii="Calibri" w:hAnsi="Calibri" w:cs="Calibri"/>
                <w:color w:val="000000"/>
                <w:sz w:val="18"/>
                <w:szCs w:val="18"/>
              </w:rPr>
              <w:t>(248,219)</w:t>
            </w:r>
          </w:p>
        </w:tc>
        <w:tc>
          <w:tcPr>
            <w:tcW w:w="1134" w:type="dxa"/>
            <w:tcBorders>
              <w:top w:val="nil"/>
              <w:left w:val="nil"/>
              <w:bottom w:val="nil"/>
              <w:right w:val="nil"/>
            </w:tcBorders>
            <w:shd w:val="clear" w:color="auto" w:fill="auto"/>
            <w:noWrap/>
            <w:vAlign w:val="bottom"/>
            <w:hideMark/>
          </w:tcPr>
          <w:p w:rsidR="00FB1B0F" w:rsidRPr="00FB1B0F" w:rsidRDefault="00FA5606" w:rsidP="000774C6">
            <w:pPr>
              <w:autoSpaceDE w:val="0"/>
              <w:autoSpaceDN w:val="0"/>
              <w:adjustRightInd w:val="0"/>
              <w:spacing w:after="0"/>
              <w:jc w:val="right"/>
              <w:rPr>
                <w:rFonts w:eastAsiaTheme="minorHAnsi" w:cstheme="minorHAnsi"/>
                <w:color w:val="000000"/>
                <w:sz w:val="18"/>
                <w:szCs w:val="18"/>
              </w:rPr>
            </w:pPr>
            <w:r w:rsidRPr="00FA5606">
              <w:rPr>
                <w:rFonts w:ascii="Calibri" w:hAnsi="Calibri" w:cs="Calibri"/>
                <w:color w:val="000000"/>
                <w:sz w:val="18"/>
                <w:szCs w:val="18"/>
              </w:rPr>
              <w:t>(1,673,267)</w:t>
            </w:r>
          </w:p>
        </w:tc>
        <w:tc>
          <w:tcPr>
            <w:tcW w:w="1054" w:type="dxa"/>
            <w:tcBorders>
              <w:top w:val="nil"/>
              <w:left w:val="nil"/>
              <w:bottom w:val="nil"/>
              <w:right w:val="nil"/>
            </w:tcBorders>
            <w:shd w:val="clear" w:color="auto" w:fill="auto"/>
            <w:noWrap/>
            <w:vAlign w:val="bottom"/>
            <w:hideMark/>
          </w:tcPr>
          <w:p w:rsidR="00FB1B0F" w:rsidRPr="00FB1B0F" w:rsidRDefault="00FA5606" w:rsidP="000774C6">
            <w:pPr>
              <w:autoSpaceDE w:val="0"/>
              <w:autoSpaceDN w:val="0"/>
              <w:adjustRightInd w:val="0"/>
              <w:spacing w:after="0"/>
              <w:jc w:val="right"/>
              <w:rPr>
                <w:rFonts w:eastAsiaTheme="minorHAnsi" w:cstheme="minorHAnsi"/>
                <w:color w:val="000000"/>
                <w:sz w:val="18"/>
                <w:szCs w:val="18"/>
              </w:rPr>
            </w:pPr>
            <w:r w:rsidRPr="00FA5606">
              <w:rPr>
                <w:rFonts w:ascii="Calibri" w:hAnsi="Calibri" w:cs="Calibri"/>
                <w:color w:val="000000"/>
                <w:sz w:val="18"/>
                <w:szCs w:val="18"/>
              </w:rPr>
              <w:t>(2,144,705)</w:t>
            </w:r>
          </w:p>
        </w:tc>
        <w:tc>
          <w:tcPr>
            <w:tcW w:w="1072" w:type="dxa"/>
            <w:tcBorders>
              <w:top w:val="nil"/>
              <w:left w:val="nil"/>
              <w:bottom w:val="nil"/>
              <w:right w:val="nil"/>
            </w:tcBorders>
            <w:shd w:val="clear" w:color="auto" w:fill="auto"/>
            <w:noWrap/>
            <w:vAlign w:val="bottom"/>
            <w:hideMark/>
          </w:tcPr>
          <w:p w:rsidR="00FB1B0F" w:rsidRPr="00FB1B0F" w:rsidRDefault="00FA5606" w:rsidP="000774C6">
            <w:pPr>
              <w:autoSpaceDE w:val="0"/>
              <w:autoSpaceDN w:val="0"/>
              <w:adjustRightInd w:val="0"/>
              <w:spacing w:after="0"/>
              <w:jc w:val="right"/>
              <w:rPr>
                <w:rFonts w:eastAsiaTheme="minorHAnsi" w:cstheme="minorHAnsi"/>
                <w:color w:val="000000"/>
                <w:sz w:val="18"/>
                <w:szCs w:val="18"/>
              </w:rPr>
            </w:pPr>
            <w:r w:rsidRPr="00FA5606">
              <w:rPr>
                <w:rFonts w:ascii="Calibri" w:hAnsi="Calibri" w:cs="Calibri"/>
                <w:color w:val="000000"/>
                <w:sz w:val="18"/>
                <w:szCs w:val="18"/>
              </w:rPr>
              <w:t>(2,635,673)</w:t>
            </w:r>
          </w:p>
        </w:tc>
        <w:tc>
          <w:tcPr>
            <w:tcW w:w="1054" w:type="dxa"/>
            <w:tcBorders>
              <w:top w:val="nil"/>
              <w:left w:val="nil"/>
              <w:bottom w:val="nil"/>
              <w:right w:val="nil"/>
            </w:tcBorders>
            <w:shd w:val="clear" w:color="auto" w:fill="auto"/>
            <w:noWrap/>
            <w:vAlign w:val="bottom"/>
            <w:hideMark/>
          </w:tcPr>
          <w:p w:rsidR="00FB1B0F" w:rsidRPr="00FB1B0F" w:rsidRDefault="00FA5606" w:rsidP="000774C6">
            <w:pPr>
              <w:autoSpaceDE w:val="0"/>
              <w:autoSpaceDN w:val="0"/>
              <w:adjustRightInd w:val="0"/>
              <w:spacing w:after="0"/>
              <w:jc w:val="right"/>
              <w:rPr>
                <w:rFonts w:eastAsiaTheme="minorHAnsi" w:cstheme="minorHAnsi"/>
                <w:color w:val="000000"/>
                <w:sz w:val="18"/>
                <w:szCs w:val="18"/>
              </w:rPr>
            </w:pPr>
            <w:r w:rsidRPr="00FA5606">
              <w:rPr>
                <w:rFonts w:ascii="Calibri" w:hAnsi="Calibri" w:cs="Calibri"/>
                <w:color w:val="000000"/>
                <w:sz w:val="18"/>
                <w:szCs w:val="18"/>
              </w:rPr>
              <w:t>(2,815,387)</w:t>
            </w:r>
          </w:p>
        </w:tc>
      </w:tr>
      <w:tr w:rsidR="00FB1B0F" w:rsidRPr="00FB1B0F" w:rsidTr="000774C6">
        <w:trPr>
          <w:trHeight w:val="119"/>
        </w:trPr>
        <w:tc>
          <w:tcPr>
            <w:tcW w:w="2689" w:type="dxa"/>
            <w:tcBorders>
              <w:top w:val="nil"/>
              <w:left w:val="nil"/>
              <w:bottom w:val="nil"/>
              <w:right w:val="nil"/>
            </w:tcBorders>
            <w:shd w:val="clear" w:color="auto" w:fill="auto"/>
            <w:noWrap/>
          </w:tcPr>
          <w:p w:rsidR="00FB1B0F" w:rsidRPr="00FB1B0F" w:rsidRDefault="00FB1B0F" w:rsidP="000774C6">
            <w:pPr>
              <w:spacing w:after="0"/>
              <w:rPr>
                <w:rFonts w:cstheme="minorHAnsi"/>
                <w:color w:val="000000"/>
                <w:sz w:val="18"/>
                <w:szCs w:val="18"/>
              </w:rPr>
            </w:pPr>
            <w:r w:rsidRPr="00FB1B0F">
              <w:rPr>
                <w:rFonts w:cstheme="minorHAnsi"/>
                <w:color w:val="FF0000"/>
                <w:sz w:val="18"/>
                <w:szCs w:val="18"/>
              </w:rPr>
              <w:t>Hendeku</w:t>
            </w:r>
            <w:r w:rsidRPr="00FB1B0F">
              <w:rPr>
                <w:rFonts w:ascii="Calibri" w:hAnsi="Calibri" w:cstheme="minorHAnsi"/>
                <w:color w:val="FF0000"/>
                <w:sz w:val="18"/>
                <w:szCs w:val="18"/>
              </w:rPr>
              <w:t xml:space="preserve"> </w:t>
            </w:r>
            <w:r w:rsidRPr="00FB1B0F">
              <w:rPr>
                <w:rFonts w:cstheme="minorHAnsi"/>
                <w:color w:val="FF0000"/>
                <w:sz w:val="18"/>
                <w:szCs w:val="18"/>
              </w:rPr>
              <w:t>si</w:t>
            </w:r>
            <w:r w:rsidRPr="00FB1B0F">
              <w:rPr>
                <w:rFonts w:ascii="Calibri" w:hAnsi="Calibri" w:cstheme="minorHAnsi"/>
                <w:color w:val="FF0000"/>
                <w:sz w:val="18"/>
                <w:szCs w:val="18"/>
              </w:rPr>
              <w:t xml:space="preserve"> </w:t>
            </w:r>
            <w:r w:rsidRPr="00FB1B0F">
              <w:rPr>
                <w:rFonts w:cstheme="minorHAnsi"/>
                <w:color w:val="FF0000"/>
                <w:sz w:val="18"/>
                <w:szCs w:val="18"/>
              </w:rPr>
              <w:t>%</w:t>
            </w:r>
            <w:r w:rsidRPr="00FB1B0F">
              <w:rPr>
                <w:rFonts w:ascii="Calibri" w:hAnsi="Calibri" w:cstheme="minorHAnsi"/>
                <w:color w:val="FF0000"/>
                <w:sz w:val="18"/>
                <w:szCs w:val="18"/>
              </w:rPr>
              <w:t xml:space="preserve"> </w:t>
            </w:r>
            <w:r w:rsidRPr="00FB1B0F">
              <w:rPr>
                <w:rFonts w:cstheme="minorHAnsi"/>
                <w:color w:val="FF0000"/>
                <w:sz w:val="18"/>
                <w:szCs w:val="18"/>
              </w:rPr>
              <w:t>e</w:t>
            </w:r>
            <w:r w:rsidRPr="00FB1B0F">
              <w:rPr>
                <w:rFonts w:ascii="Calibri" w:hAnsi="Calibri" w:cstheme="minorHAnsi"/>
                <w:color w:val="FF0000"/>
                <w:sz w:val="18"/>
                <w:szCs w:val="18"/>
              </w:rPr>
              <w:t xml:space="preserve"> </w:t>
            </w:r>
            <w:r w:rsidRPr="00FB1B0F">
              <w:rPr>
                <w:rFonts w:cstheme="minorHAnsi"/>
                <w:color w:val="FF0000"/>
                <w:sz w:val="18"/>
                <w:szCs w:val="18"/>
              </w:rPr>
              <w:t>kostos</w:t>
            </w:r>
            <w:r w:rsidRPr="00FB1B0F">
              <w:rPr>
                <w:rFonts w:ascii="Calibri" w:hAnsi="Calibri" w:cstheme="minorHAnsi"/>
                <w:color w:val="FF0000"/>
                <w:sz w:val="18"/>
                <w:szCs w:val="18"/>
              </w:rPr>
              <w:t xml:space="preserve"> </w:t>
            </w:r>
            <w:r w:rsidRPr="00FB1B0F">
              <w:rPr>
                <w:rFonts w:cstheme="minorHAnsi"/>
                <w:color w:val="FF0000"/>
                <w:sz w:val="18"/>
                <w:szCs w:val="18"/>
              </w:rPr>
              <w:t>indikative</w:t>
            </w:r>
          </w:p>
        </w:tc>
        <w:tc>
          <w:tcPr>
            <w:tcW w:w="1145" w:type="dxa"/>
            <w:tcBorders>
              <w:top w:val="nil"/>
              <w:left w:val="nil"/>
              <w:bottom w:val="nil"/>
              <w:right w:val="nil"/>
            </w:tcBorders>
            <w:shd w:val="clear" w:color="auto" w:fill="auto"/>
            <w:noWrap/>
            <w:vAlign w:val="bottom"/>
          </w:tcPr>
          <w:p w:rsidR="00FB1B0F" w:rsidRPr="00FB1B0F" w:rsidRDefault="00FA5606" w:rsidP="000774C6">
            <w:pPr>
              <w:spacing w:after="0"/>
              <w:jc w:val="right"/>
              <w:rPr>
                <w:rFonts w:cstheme="minorHAnsi"/>
                <w:color w:val="FF0000"/>
                <w:sz w:val="18"/>
                <w:szCs w:val="18"/>
              </w:rPr>
            </w:pPr>
            <w:r w:rsidRPr="00FA5606">
              <w:rPr>
                <w:rFonts w:ascii="Calibri" w:hAnsi="Calibri" w:cs="Calibri"/>
                <w:color w:val="FF0000"/>
                <w:sz w:val="18"/>
                <w:szCs w:val="18"/>
              </w:rPr>
              <w:t>18.48%</w:t>
            </w:r>
          </w:p>
        </w:tc>
        <w:tc>
          <w:tcPr>
            <w:tcW w:w="1123" w:type="dxa"/>
            <w:tcBorders>
              <w:top w:val="nil"/>
              <w:left w:val="nil"/>
              <w:bottom w:val="nil"/>
              <w:right w:val="nil"/>
            </w:tcBorders>
            <w:shd w:val="clear" w:color="auto" w:fill="auto"/>
            <w:noWrap/>
            <w:vAlign w:val="bottom"/>
          </w:tcPr>
          <w:p w:rsidR="00FB1B0F" w:rsidRPr="00FB1B0F" w:rsidRDefault="00FA5606" w:rsidP="000774C6">
            <w:pPr>
              <w:spacing w:after="0"/>
              <w:jc w:val="right"/>
              <w:rPr>
                <w:rFonts w:cstheme="minorHAnsi"/>
                <w:color w:val="FF0000"/>
                <w:sz w:val="18"/>
                <w:szCs w:val="18"/>
              </w:rPr>
            </w:pPr>
            <w:r w:rsidRPr="00FA5606">
              <w:rPr>
                <w:rFonts w:ascii="Calibri" w:hAnsi="Calibri" w:cs="Calibri"/>
                <w:color w:val="FF0000"/>
                <w:sz w:val="18"/>
                <w:szCs w:val="18"/>
              </w:rPr>
              <w:t>0.11%</w:t>
            </w:r>
          </w:p>
        </w:tc>
        <w:tc>
          <w:tcPr>
            <w:tcW w:w="1134" w:type="dxa"/>
            <w:tcBorders>
              <w:top w:val="nil"/>
              <w:left w:val="nil"/>
              <w:bottom w:val="nil"/>
              <w:right w:val="nil"/>
            </w:tcBorders>
            <w:shd w:val="clear" w:color="auto" w:fill="auto"/>
            <w:noWrap/>
            <w:vAlign w:val="bottom"/>
          </w:tcPr>
          <w:p w:rsidR="00FB1B0F" w:rsidRPr="00FB1B0F" w:rsidRDefault="00FA5606" w:rsidP="000774C6">
            <w:pPr>
              <w:spacing w:after="0"/>
              <w:jc w:val="right"/>
              <w:rPr>
                <w:rFonts w:cstheme="minorHAnsi"/>
                <w:color w:val="FF0000"/>
                <w:sz w:val="18"/>
                <w:szCs w:val="18"/>
              </w:rPr>
            </w:pPr>
            <w:r w:rsidRPr="00FA5606">
              <w:rPr>
                <w:rFonts w:ascii="Calibri" w:hAnsi="Calibri" w:cs="Calibri"/>
                <w:color w:val="FF0000"/>
                <w:sz w:val="18"/>
                <w:szCs w:val="18"/>
              </w:rPr>
              <w:t>3.60%</w:t>
            </w:r>
          </w:p>
        </w:tc>
        <w:tc>
          <w:tcPr>
            <w:tcW w:w="1134" w:type="dxa"/>
            <w:tcBorders>
              <w:top w:val="nil"/>
              <w:left w:val="nil"/>
              <w:bottom w:val="nil"/>
              <w:right w:val="nil"/>
            </w:tcBorders>
            <w:shd w:val="clear" w:color="auto" w:fill="auto"/>
            <w:noWrap/>
            <w:vAlign w:val="bottom"/>
          </w:tcPr>
          <w:p w:rsidR="00FB1B0F" w:rsidRPr="00FB1B0F" w:rsidRDefault="00FA5606" w:rsidP="000774C6">
            <w:pPr>
              <w:spacing w:after="0"/>
              <w:jc w:val="right"/>
              <w:rPr>
                <w:rFonts w:cstheme="minorHAnsi"/>
                <w:color w:val="FF0000"/>
                <w:sz w:val="18"/>
                <w:szCs w:val="18"/>
              </w:rPr>
            </w:pPr>
            <w:r w:rsidRPr="00FA5606">
              <w:rPr>
                <w:rFonts w:ascii="Calibri" w:hAnsi="Calibri" w:cs="Calibri"/>
                <w:color w:val="FF0000"/>
                <w:sz w:val="18"/>
                <w:szCs w:val="18"/>
              </w:rPr>
              <w:t>19.17%</w:t>
            </w:r>
          </w:p>
        </w:tc>
        <w:tc>
          <w:tcPr>
            <w:tcW w:w="1054" w:type="dxa"/>
            <w:tcBorders>
              <w:top w:val="nil"/>
              <w:left w:val="nil"/>
              <w:bottom w:val="nil"/>
              <w:right w:val="nil"/>
            </w:tcBorders>
            <w:shd w:val="clear" w:color="auto" w:fill="auto"/>
            <w:noWrap/>
            <w:vAlign w:val="bottom"/>
          </w:tcPr>
          <w:p w:rsidR="00FB1B0F" w:rsidRPr="00FB1B0F" w:rsidRDefault="00FA5606" w:rsidP="000774C6">
            <w:pPr>
              <w:spacing w:after="0"/>
              <w:jc w:val="right"/>
              <w:rPr>
                <w:rFonts w:cstheme="minorHAnsi"/>
                <w:color w:val="FF0000"/>
                <w:sz w:val="18"/>
                <w:szCs w:val="18"/>
              </w:rPr>
            </w:pPr>
            <w:r w:rsidRPr="00FA5606">
              <w:rPr>
                <w:rFonts w:ascii="Calibri" w:hAnsi="Calibri" w:cs="Calibri"/>
                <w:color w:val="FF0000"/>
                <w:sz w:val="18"/>
                <w:szCs w:val="18"/>
              </w:rPr>
              <w:t>23.66%</w:t>
            </w:r>
          </w:p>
        </w:tc>
        <w:tc>
          <w:tcPr>
            <w:tcW w:w="1072" w:type="dxa"/>
            <w:tcBorders>
              <w:top w:val="nil"/>
              <w:left w:val="nil"/>
              <w:bottom w:val="nil"/>
              <w:right w:val="nil"/>
            </w:tcBorders>
            <w:shd w:val="clear" w:color="auto" w:fill="auto"/>
            <w:noWrap/>
            <w:vAlign w:val="bottom"/>
          </w:tcPr>
          <w:p w:rsidR="00FB1B0F" w:rsidRPr="00FB1B0F" w:rsidRDefault="00FA5606" w:rsidP="000774C6">
            <w:pPr>
              <w:spacing w:after="0"/>
              <w:jc w:val="right"/>
              <w:rPr>
                <w:rFonts w:cstheme="minorHAnsi"/>
                <w:color w:val="FF0000"/>
                <w:sz w:val="18"/>
                <w:szCs w:val="18"/>
              </w:rPr>
            </w:pPr>
            <w:r w:rsidRPr="00FA5606">
              <w:rPr>
                <w:rFonts w:ascii="Calibri" w:hAnsi="Calibri" w:cs="Calibri"/>
                <w:color w:val="FF0000"/>
                <w:sz w:val="18"/>
                <w:szCs w:val="18"/>
              </w:rPr>
              <w:t>27.66%</w:t>
            </w:r>
          </w:p>
        </w:tc>
        <w:tc>
          <w:tcPr>
            <w:tcW w:w="1054" w:type="dxa"/>
            <w:tcBorders>
              <w:top w:val="nil"/>
              <w:left w:val="nil"/>
              <w:bottom w:val="nil"/>
              <w:right w:val="nil"/>
            </w:tcBorders>
            <w:shd w:val="clear" w:color="auto" w:fill="auto"/>
            <w:noWrap/>
            <w:vAlign w:val="bottom"/>
          </w:tcPr>
          <w:p w:rsidR="00FB1B0F" w:rsidRPr="00FB1B0F" w:rsidRDefault="00FA5606" w:rsidP="000774C6">
            <w:pPr>
              <w:spacing w:after="0"/>
              <w:jc w:val="right"/>
              <w:rPr>
                <w:rFonts w:cstheme="minorHAnsi"/>
                <w:color w:val="FF0000"/>
                <w:sz w:val="18"/>
                <w:szCs w:val="18"/>
              </w:rPr>
            </w:pPr>
            <w:r w:rsidRPr="00FA5606">
              <w:rPr>
                <w:rFonts w:ascii="Calibri" w:hAnsi="Calibri" w:cs="Calibri"/>
                <w:color w:val="FF0000"/>
                <w:sz w:val="18"/>
                <w:szCs w:val="18"/>
              </w:rPr>
              <w:t>29.01%</w:t>
            </w:r>
          </w:p>
        </w:tc>
      </w:tr>
    </w:tbl>
    <w:p w:rsidR="00B951B1" w:rsidRPr="00E61612" w:rsidRDefault="00B951B1" w:rsidP="00B951B1">
      <w:pPr>
        <w:spacing w:before="120" w:after="120"/>
        <w:jc w:val="both"/>
        <w:rPr>
          <w:rFonts w:cs="Calibri"/>
        </w:rPr>
      </w:pPr>
      <w:r w:rsidRPr="00E61612">
        <w:rPr>
          <w:rFonts w:cs="Calibri"/>
        </w:rPr>
        <w:t xml:space="preserve">Në </w:t>
      </w:r>
      <w:r w:rsidR="00B86FFD">
        <w:rPr>
          <w:rFonts w:cs="Calibri"/>
        </w:rPr>
        <w:t>përllogaritjen</w:t>
      </w:r>
      <w:r w:rsidRPr="00E61612">
        <w:rPr>
          <w:rFonts w:cs="Calibri"/>
        </w:rPr>
        <w:t xml:space="preserve"> buxhetor</w:t>
      </w:r>
      <w:r>
        <w:rPr>
          <w:rFonts w:cs="Calibri"/>
        </w:rPr>
        <w:t>e</w:t>
      </w:r>
      <w:r w:rsidRPr="00E61612">
        <w:rPr>
          <w:rFonts w:cs="Calibri"/>
        </w:rPr>
        <w:t xml:space="preserve"> nuk janë përfshirë tre </w:t>
      </w:r>
      <w:r>
        <w:rPr>
          <w:rFonts w:cs="Calibri"/>
        </w:rPr>
        <w:t>ndërhyrje</w:t>
      </w:r>
      <w:r w:rsidRPr="00E61612">
        <w:rPr>
          <w:rFonts w:cs="Calibri"/>
        </w:rPr>
        <w:t xml:space="preserve"> me kosto të lartë që pritet të ndodhin në periudhën e zbatimit të Strategjisë:</w:t>
      </w:r>
    </w:p>
    <w:p w:rsidR="00B951B1" w:rsidRPr="00E61612" w:rsidRDefault="00B951B1" w:rsidP="00B951B1">
      <w:pPr>
        <w:pStyle w:val="ListParagraph"/>
        <w:numPr>
          <w:ilvl w:val="0"/>
          <w:numId w:val="45"/>
        </w:numPr>
        <w:spacing w:after="0"/>
        <w:ind w:left="357" w:hanging="357"/>
        <w:contextualSpacing w:val="0"/>
        <w:jc w:val="both"/>
        <w:rPr>
          <w:rFonts w:cs="Calibri"/>
        </w:rPr>
      </w:pPr>
      <w:r w:rsidRPr="00E61612">
        <w:rPr>
          <w:rFonts w:cs="Calibri"/>
        </w:rPr>
        <w:t>Rritja e pagave të mësuesve në arsimin parauniversitar deri në 40% (Masa A2.3.1)</w:t>
      </w:r>
    </w:p>
    <w:p w:rsidR="00B951B1" w:rsidRPr="00E61612" w:rsidRDefault="00B951B1" w:rsidP="00B951B1">
      <w:pPr>
        <w:pStyle w:val="ListParagraph"/>
        <w:ind w:left="357"/>
        <w:contextualSpacing w:val="0"/>
        <w:jc w:val="both"/>
        <w:rPr>
          <w:rFonts w:cs="Calibri"/>
          <w:i/>
        </w:rPr>
      </w:pPr>
      <w:r w:rsidRPr="00E61612">
        <w:rPr>
          <w:rFonts w:cs="Calibri"/>
          <w:i/>
        </w:rPr>
        <w:t xml:space="preserve">Sipas VKM Nr. 119, datë 3 mars 2021 </w:t>
      </w:r>
      <w:r>
        <w:rPr>
          <w:rFonts w:cs="Calibri"/>
          <w:i/>
        </w:rPr>
        <w:t>“P</w:t>
      </w:r>
      <w:r w:rsidRPr="00E61612">
        <w:rPr>
          <w:rFonts w:cs="Calibri"/>
          <w:i/>
        </w:rPr>
        <w:t>ër miratimin e tavaneve përgatitore të shpenzimeve të PBA 2022-2024</w:t>
      </w:r>
      <w:r>
        <w:rPr>
          <w:rFonts w:cs="Calibri"/>
          <w:i/>
        </w:rPr>
        <w:t>”</w:t>
      </w:r>
      <w:r w:rsidRPr="00E61612">
        <w:rPr>
          <w:rFonts w:cs="Calibri"/>
          <w:i/>
        </w:rPr>
        <w:t>, fondi i miratuar i pagave për arsimin parauniversitar për vitin 2021 është 28.39 miliard</w:t>
      </w:r>
      <w:r>
        <w:rPr>
          <w:rFonts w:cs="Calibri"/>
          <w:i/>
        </w:rPr>
        <w:t>ë</w:t>
      </w:r>
      <w:r w:rsidRPr="00E61612">
        <w:rPr>
          <w:rFonts w:cs="Calibri"/>
          <w:i/>
        </w:rPr>
        <w:t xml:space="preserve"> lekë, ndërsa tavanet e pagave për vitet </w:t>
      </w:r>
      <w:r>
        <w:rPr>
          <w:rFonts w:cs="Calibri"/>
          <w:i/>
        </w:rPr>
        <w:t>e ardhshme</w:t>
      </w:r>
      <w:r w:rsidRPr="00E61612">
        <w:rPr>
          <w:rFonts w:cs="Calibri"/>
          <w:i/>
        </w:rPr>
        <w:t xml:space="preserve"> janë: 29.55 mlrd.  (2022), 29.67 mlrd. (2023) dhe 29.96 mlrd. (2024). Rritja e këtij fondi me 40% ose 11.36 </w:t>
      </w:r>
      <w:r w:rsidR="00B86FFD" w:rsidRPr="00E61612">
        <w:rPr>
          <w:rFonts w:cs="Calibri"/>
          <w:i/>
        </w:rPr>
        <w:t>miliar</w:t>
      </w:r>
      <w:r w:rsidR="00B86FFD">
        <w:rPr>
          <w:rFonts w:cs="Calibri"/>
          <w:i/>
        </w:rPr>
        <w:t>dë</w:t>
      </w:r>
      <w:r w:rsidRPr="00E61612">
        <w:rPr>
          <w:rFonts w:cs="Calibri"/>
          <w:i/>
        </w:rPr>
        <w:t xml:space="preserve"> lekë/vit duhet të materializohet në vitet </w:t>
      </w:r>
      <w:r>
        <w:rPr>
          <w:rFonts w:cs="Calibri"/>
          <w:i/>
        </w:rPr>
        <w:t>e ardhshme</w:t>
      </w:r>
      <w:r w:rsidRPr="00E61612">
        <w:rPr>
          <w:rFonts w:cs="Calibri"/>
          <w:i/>
        </w:rPr>
        <w:t xml:space="preserve">, si dhe të përcaktohet dinamika vjetore e rritjes. </w:t>
      </w:r>
    </w:p>
    <w:p w:rsidR="00B951B1" w:rsidRPr="00E61612" w:rsidRDefault="00B951B1" w:rsidP="00B951B1">
      <w:pPr>
        <w:pStyle w:val="ListParagraph"/>
        <w:numPr>
          <w:ilvl w:val="0"/>
          <w:numId w:val="45"/>
        </w:numPr>
        <w:spacing w:after="0"/>
        <w:ind w:left="357"/>
        <w:contextualSpacing w:val="0"/>
        <w:jc w:val="both"/>
        <w:rPr>
          <w:rFonts w:cs="Calibri"/>
        </w:rPr>
      </w:pPr>
      <w:r w:rsidRPr="00E61612">
        <w:rPr>
          <w:rFonts w:cs="Calibri"/>
        </w:rPr>
        <w:t>Kampusi i ri i Universitetit të Tiranës, Akademisë së Arteve dhe Akademisë së Sigurisë (Masa C1.2.1)</w:t>
      </w:r>
    </w:p>
    <w:p w:rsidR="00B951B1" w:rsidRPr="00E61612" w:rsidRDefault="00B951B1" w:rsidP="00B951B1">
      <w:pPr>
        <w:pStyle w:val="ListParagraph"/>
        <w:ind w:left="357"/>
        <w:contextualSpacing w:val="0"/>
        <w:jc w:val="both"/>
        <w:rPr>
          <w:rFonts w:cs="Calibri"/>
        </w:rPr>
      </w:pPr>
      <w:r w:rsidRPr="00E61612">
        <w:rPr>
          <w:rFonts w:cs="Calibri"/>
        </w:rPr>
        <w:t>Në buxhetin e vitit 2021</w:t>
      </w:r>
      <w:r>
        <w:rPr>
          <w:rFonts w:cs="Calibri"/>
        </w:rPr>
        <w:t>,</w:t>
      </w:r>
      <w:r w:rsidRPr="00E61612">
        <w:rPr>
          <w:rFonts w:cs="Calibri"/>
        </w:rPr>
        <w:t xml:space="preserve"> është plani</w:t>
      </w:r>
      <w:r w:rsidR="00B86FFD">
        <w:rPr>
          <w:rFonts w:cs="Calibri"/>
        </w:rPr>
        <w:t>fi</w:t>
      </w:r>
      <w:r w:rsidRPr="00E61612">
        <w:rPr>
          <w:rFonts w:cs="Calibri"/>
        </w:rPr>
        <w:t>kuar fondi prej 500 milion</w:t>
      </w:r>
      <w:r>
        <w:rPr>
          <w:rFonts w:cs="Calibri"/>
        </w:rPr>
        <w:t>ë</w:t>
      </w:r>
      <w:r w:rsidRPr="00E61612">
        <w:rPr>
          <w:rFonts w:cs="Calibri"/>
        </w:rPr>
        <w:t xml:space="preserve"> lekë për hartimin e projekteve për Universitetin e Tiranës, Akademinë e Arteve dhe Akademinë e sigurisë. R</w:t>
      </w:r>
      <w:r>
        <w:rPr>
          <w:rFonts w:cs="Calibri"/>
        </w:rPr>
        <w:t>e</w:t>
      </w:r>
      <w:r w:rsidRPr="00E61612">
        <w:rPr>
          <w:rFonts w:cs="Calibri"/>
        </w:rPr>
        <w:t>feruar VKM nr. 641, datë, 29 korrik 2020, Bashk</w:t>
      </w:r>
      <w:r>
        <w:rPr>
          <w:rFonts w:cs="Calibri"/>
        </w:rPr>
        <w:t>i</w:t>
      </w:r>
      <w:r w:rsidRPr="00E61612">
        <w:rPr>
          <w:rFonts w:cs="Calibri"/>
        </w:rPr>
        <w:t xml:space="preserve">a Tiranë është përcaktuar </w:t>
      </w:r>
      <w:r>
        <w:rPr>
          <w:rFonts w:cs="Calibri"/>
        </w:rPr>
        <w:t xml:space="preserve">si </w:t>
      </w:r>
      <w:r w:rsidRPr="00E61612">
        <w:rPr>
          <w:rFonts w:cs="Calibri"/>
        </w:rPr>
        <w:t xml:space="preserve">autoritet </w:t>
      </w:r>
      <w:r w:rsidR="00B86FFD" w:rsidRPr="00E61612">
        <w:rPr>
          <w:rFonts w:cs="Calibri"/>
        </w:rPr>
        <w:t>kontrakt</w:t>
      </w:r>
      <w:r w:rsidR="00B86FFD">
        <w:rPr>
          <w:rFonts w:cs="Calibri"/>
        </w:rPr>
        <w:t>ues</w:t>
      </w:r>
      <w:r w:rsidR="00B86FFD" w:rsidRPr="00E61612">
        <w:rPr>
          <w:rFonts w:cs="Calibri"/>
        </w:rPr>
        <w:t xml:space="preserve"> </w:t>
      </w:r>
      <w:r w:rsidRPr="00E61612">
        <w:rPr>
          <w:rFonts w:cs="Calibri"/>
        </w:rPr>
        <w:t>për të zhvilluar procedurën e prokurimit. Për momentin, vlerësohet se kosto e përafërt për të tre kampuset mund të jetë 65-70 milion</w:t>
      </w:r>
      <w:r>
        <w:rPr>
          <w:rFonts w:cs="Calibri"/>
        </w:rPr>
        <w:t>ë</w:t>
      </w:r>
      <w:r w:rsidRPr="00E61612">
        <w:rPr>
          <w:rFonts w:cs="Calibri"/>
        </w:rPr>
        <w:t xml:space="preserve"> euro, ndërsa vlerësimi më i saktë mund të bëhet pas përfundimit të projektimit. </w:t>
      </w:r>
    </w:p>
    <w:p w:rsidR="00B951B1" w:rsidRPr="00E61612" w:rsidRDefault="00B951B1" w:rsidP="00B951B1">
      <w:pPr>
        <w:pStyle w:val="ListParagraph"/>
        <w:keepNext/>
        <w:numPr>
          <w:ilvl w:val="0"/>
          <w:numId w:val="45"/>
        </w:numPr>
        <w:spacing w:after="0"/>
        <w:ind w:left="351" w:hanging="357"/>
        <w:contextualSpacing w:val="0"/>
        <w:jc w:val="both"/>
        <w:rPr>
          <w:rFonts w:cs="Calibri"/>
        </w:rPr>
      </w:pPr>
      <w:r w:rsidRPr="00E61612">
        <w:rPr>
          <w:rFonts w:cs="Calibri"/>
        </w:rPr>
        <w:t>Hapja e programeve të përbashkëta me IAL</w:t>
      </w:r>
      <w:r>
        <w:rPr>
          <w:rFonts w:cs="Calibri"/>
        </w:rPr>
        <w:t>-të</w:t>
      </w:r>
      <w:r w:rsidRPr="00E61612">
        <w:rPr>
          <w:rFonts w:cs="Calibri"/>
        </w:rPr>
        <w:t xml:space="preserve"> e Bashkimit Evropian (Masa C6.1.1)</w:t>
      </w:r>
    </w:p>
    <w:p w:rsidR="00B951B1" w:rsidRPr="00E61612" w:rsidRDefault="00B951B1" w:rsidP="00B951B1">
      <w:pPr>
        <w:pStyle w:val="ListParagraph"/>
        <w:ind w:left="357"/>
        <w:contextualSpacing w:val="0"/>
        <w:jc w:val="both"/>
        <w:rPr>
          <w:rFonts w:cs="Calibri"/>
          <w:i/>
        </w:rPr>
      </w:pPr>
      <w:r w:rsidRPr="00E61612">
        <w:rPr>
          <w:rFonts w:cs="Calibri"/>
          <w:i/>
        </w:rPr>
        <w:t>Qeveria shqiptare do të vë në dispozicion fondin prej 10 milion</w:t>
      </w:r>
      <w:r>
        <w:rPr>
          <w:rFonts w:cs="Calibri"/>
          <w:i/>
        </w:rPr>
        <w:t>ë</w:t>
      </w:r>
      <w:r w:rsidRPr="00E61612">
        <w:rPr>
          <w:rFonts w:cs="Calibri"/>
          <w:i/>
        </w:rPr>
        <w:t xml:space="preserve"> euro në vit për të stimuluar  IAL</w:t>
      </w:r>
      <w:r>
        <w:rPr>
          <w:rFonts w:cs="Calibri"/>
          <w:i/>
        </w:rPr>
        <w:t xml:space="preserve">-të </w:t>
      </w:r>
      <w:r w:rsidRPr="00E61612">
        <w:rPr>
          <w:rFonts w:cs="Calibri"/>
          <w:i/>
        </w:rPr>
        <w:t xml:space="preserve">publike vendase për hapjen dhe ofrimin e programeve të </w:t>
      </w:r>
      <w:r w:rsidR="00B86FFD" w:rsidRPr="00E61612">
        <w:rPr>
          <w:rFonts w:cs="Calibri"/>
          <w:i/>
        </w:rPr>
        <w:t>përbashkëta</w:t>
      </w:r>
      <w:r w:rsidRPr="00E61612">
        <w:rPr>
          <w:rFonts w:cs="Calibri"/>
          <w:i/>
        </w:rPr>
        <w:t xml:space="preserve"> të studimit me  IAL</w:t>
      </w:r>
      <w:r>
        <w:rPr>
          <w:rFonts w:cs="Calibri"/>
          <w:i/>
        </w:rPr>
        <w:t>-të</w:t>
      </w:r>
      <w:r w:rsidRPr="00E61612">
        <w:rPr>
          <w:rFonts w:cs="Calibri"/>
          <w:i/>
        </w:rPr>
        <w:t xml:space="preserve"> e Bashkimit Evropian, si dhe do te mbështetet dhe financohet pa rezervë </w:t>
      </w:r>
      <w:r w:rsidRPr="00C82965">
        <w:rPr>
          <w:rFonts w:cs="Calibri"/>
          <w:i/>
        </w:rPr>
        <w:t xml:space="preserve">çdo </w:t>
      </w:r>
      <w:r w:rsidR="00FA5606" w:rsidRPr="00FA5606">
        <w:rPr>
          <w:rFonts w:cs="Calibri"/>
          <w:i/>
        </w:rPr>
        <w:t>nismë</w:t>
      </w:r>
      <w:r w:rsidRPr="00C82965">
        <w:rPr>
          <w:rFonts w:cs="Calibri"/>
          <w:i/>
        </w:rPr>
        <w:t xml:space="preserve"> </w:t>
      </w:r>
      <w:r>
        <w:rPr>
          <w:rFonts w:cs="Calibri"/>
          <w:i/>
        </w:rPr>
        <w:t xml:space="preserve">bashkëpunimi </w:t>
      </w:r>
      <w:r w:rsidR="00FA5606" w:rsidRPr="00FA5606">
        <w:rPr>
          <w:rFonts w:cs="Calibri"/>
          <w:i/>
        </w:rPr>
        <w:t>midis</w:t>
      </w:r>
      <w:r w:rsidRPr="00C82965">
        <w:rPr>
          <w:rFonts w:cs="Calibri"/>
          <w:i/>
        </w:rPr>
        <w:t xml:space="preserve"> </w:t>
      </w:r>
      <w:r w:rsidRPr="00C82965">
        <w:rPr>
          <w:rFonts w:cs="Calibri"/>
          <w:i/>
        </w:rPr>
        <w:lastRenderedPageBreak/>
        <w:t>një  IAL vendas</w:t>
      </w:r>
      <w:r>
        <w:rPr>
          <w:rFonts w:cs="Calibri"/>
          <w:i/>
        </w:rPr>
        <w:t>e</w:t>
      </w:r>
      <w:r w:rsidRPr="00C82965">
        <w:rPr>
          <w:rFonts w:cs="Calibri"/>
          <w:i/>
        </w:rPr>
        <w:t xml:space="preserve"> dhe </w:t>
      </w:r>
      <w:r>
        <w:rPr>
          <w:rFonts w:cs="Calibri"/>
          <w:i/>
        </w:rPr>
        <w:t xml:space="preserve">një IAL </w:t>
      </w:r>
      <w:r w:rsidRPr="00C82965">
        <w:rPr>
          <w:rFonts w:cs="Calibri"/>
          <w:i/>
        </w:rPr>
        <w:t>të huaj publik</w:t>
      </w:r>
      <w:r>
        <w:rPr>
          <w:rFonts w:cs="Calibri"/>
          <w:i/>
        </w:rPr>
        <w:t>e</w:t>
      </w:r>
      <w:r w:rsidRPr="00E61612">
        <w:rPr>
          <w:rFonts w:cs="Calibri"/>
          <w:i/>
        </w:rPr>
        <w:t xml:space="preserve">. Megjithatë, shpenzimi i këtij fondi varet nga gatishmëria e  IAL-ve publike dhe atyre evropiane për të hapur programe të përbashkëta, prandaj </w:t>
      </w:r>
      <w:r>
        <w:rPr>
          <w:rFonts w:cs="Calibri"/>
          <w:i/>
        </w:rPr>
        <w:t>alokimi</w:t>
      </w:r>
      <w:r w:rsidRPr="00E61612">
        <w:rPr>
          <w:rFonts w:cs="Calibri"/>
          <w:i/>
        </w:rPr>
        <w:t xml:space="preserve"> i fondeve do të bëhet në momentin kur kjo të materializohet.</w:t>
      </w:r>
    </w:p>
    <w:p w:rsidR="00B951B1" w:rsidRPr="00E61612" w:rsidRDefault="00B951B1" w:rsidP="00B951B1">
      <w:pPr>
        <w:spacing w:after="120"/>
        <w:jc w:val="both"/>
        <w:rPr>
          <w:rFonts w:cs="Calibri"/>
        </w:rPr>
      </w:pPr>
      <w:r w:rsidRPr="00E61612">
        <w:rPr>
          <w:rFonts w:cs="Calibri"/>
        </w:rPr>
        <w:t>Shpenzimet kapitale përbëjnë 55.81% të kostos indikative, pagat – 23.49%, ndërsa materialet dhe shërbimet – 20.70% (</w:t>
      </w:r>
      <w:fldSimple w:instr=" REF _Ref64467701  \* MERGEFORMAT ">
        <w:r w:rsidRPr="00E61612">
          <w:t>Tabela 17</w:t>
        </w:r>
      </w:fldSimple>
      <w:r w:rsidRPr="00E61612">
        <w:rPr>
          <w:rFonts w:cs="Calibri"/>
        </w:rPr>
        <w:t>).</w:t>
      </w:r>
    </w:p>
    <w:p w:rsidR="00B951B1" w:rsidRPr="00E61612" w:rsidRDefault="00B951B1" w:rsidP="00B951B1">
      <w:pPr>
        <w:spacing w:after="120"/>
        <w:rPr>
          <w:rFonts w:cs="Calibri"/>
        </w:rPr>
      </w:pPr>
      <w:bookmarkStart w:id="147" w:name="_Ref64467701"/>
      <w:bookmarkStart w:id="148" w:name="_Toc66802051"/>
      <w:r w:rsidRPr="00E61612">
        <w:rPr>
          <w:b/>
        </w:rPr>
        <w:t xml:space="preserve">Tabela </w:t>
      </w:r>
      <w:r w:rsidR="00EC56B7" w:rsidRPr="00E61612">
        <w:rPr>
          <w:b/>
        </w:rPr>
        <w:fldChar w:fldCharType="begin"/>
      </w:r>
      <w:r w:rsidRPr="00E61612">
        <w:rPr>
          <w:b/>
        </w:rPr>
        <w:instrText xml:space="preserve"> SEQ Tabela \* ARABIC </w:instrText>
      </w:r>
      <w:r w:rsidR="00EC56B7" w:rsidRPr="00E61612">
        <w:rPr>
          <w:b/>
        </w:rPr>
        <w:fldChar w:fldCharType="separate"/>
      </w:r>
      <w:r w:rsidRPr="00E61612">
        <w:rPr>
          <w:b/>
        </w:rPr>
        <w:t>17</w:t>
      </w:r>
      <w:r w:rsidR="00EC56B7" w:rsidRPr="00E61612">
        <w:rPr>
          <w:b/>
        </w:rPr>
        <w:fldChar w:fldCharType="end"/>
      </w:r>
      <w:bookmarkEnd w:id="147"/>
      <w:r w:rsidRPr="00E61612">
        <w:rPr>
          <w:b/>
        </w:rPr>
        <w:t>.</w:t>
      </w:r>
      <w:r w:rsidRPr="00E61612">
        <w:rPr>
          <w:rFonts w:cs="Calibri"/>
        </w:rPr>
        <w:t xml:space="preserve">  Buxheti i SKA 2021-2026 sipas llojit të shpenzimeve (në 000 lekë)</w:t>
      </w:r>
      <w:bookmarkEnd w:id="148"/>
    </w:p>
    <w:tbl>
      <w:tblPr>
        <w:tblW w:w="8075" w:type="dxa"/>
        <w:jc w:val="center"/>
        <w:tblLook w:val="04A0" w:firstRow="1" w:lastRow="0" w:firstColumn="1" w:lastColumn="0" w:noHBand="0" w:noVBand="1"/>
      </w:tblPr>
      <w:tblGrid>
        <w:gridCol w:w="2141"/>
        <w:gridCol w:w="628"/>
        <w:gridCol w:w="1342"/>
        <w:gridCol w:w="1271"/>
        <w:gridCol w:w="1417"/>
        <w:gridCol w:w="1276"/>
      </w:tblGrid>
      <w:tr w:rsidR="00B951B1" w:rsidRPr="00E61612" w:rsidTr="00CB78E6">
        <w:trPr>
          <w:trHeight w:val="240"/>
          <w:jc w:val="center"/>
        </w:trPr>
        <w:tc>
          <w:tcPr>
            <w:tcW w:w="2769" w:type="dxa"/>
            <w:gridSpan w:val="2"/>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B951B1" w:rsidRPr="00E61612" w:rsidRDefault="00B951B1" w:rsidP="00CB78E6">
            <w:pPr>
              <w:spacing w:after="0"/>
              <w:jc w:val="center"/>
              <w:rPr>
                <w:rFonts w:cs="Calibri"/>
                <w:b/>
                <w:bCs/>
                <w:color w:val="000000"/>
                <w:sz w:val="18"/>
                <w:szCs w:val="18"/>
              </w:rPr>
            </w:pPr>
            <w:r w:rsidRPr="00E61612">
              <w:rPr>
                <w:rFonts w:cs="Calibri"/>
                <w:b/>
                <w:bCs/>
                <w:color w:val="000000"/>
                <w:sz w:val="18"/>
                <w:szCs w:val="18"/>
              </w:rPr>
              <w:t>Qëllimi i politikës </w:t>
            </w:r>
          </w:p>
        </w:tc>
        <w:tc>
          <w:tcPr>
            <w:tcW w:w="5306" w:type="dxa"/>
            <w:gridSpan w:val="4"/>
            <w:tcBorders>
              <w:top w:val="single" w:sz="4" w:space="0" w:color="auto"/>
              <w:left w:val="nil"/>
              <w:bottom w:val="single" w:sz="4" w:space="0" w:color="auto"/>
              <w:right w:val="single" w:sz="4" w:space="0" w:color="auto"/>
            </w:tcBorders>
            <w:shd w:val="clear" w:color="000000" w:fill="FFFFFF"/>
            <w:vAlign w:val="center"/>
            <w:hideMark/>
          </w:tcPr>
          <w:p w:rsidR="00B951B1" w:rsidRPr="00E61612" w:rsidRDefault="00B951B1" w:rsidP="00CB78E6">
            <w:pPr>
              <w:spacing w:after="0"/>
              <w:jc w:val="center"/>
              <w:rPr>
                <w:rFonts w:cs="Calibri"/>
                <w:b/>
                <w:bCs/>
                <w:color w:val="000000"/>
                <w:sz w:val="18"/>
                <w:szCs w:val="18"/>
              </w:rPr>
            </w:pPr>
            <w:r w:rsidRPr="00E61612">
              <w:rPr>
                <w:rFonts w:cs="Calibri"/>
                <w:b/>
                <w:bCs/>
                <w:color w:val="000000"/>
                <w:sz w:val="18"/>
                <w:szCs w:val="18"/>
              </w:rPr>
              <w:t>Totali 2021-2026</w:t>
            </w:r>
          </w:p>
        </w:tc>
      </w:tr>
      <w:tr w:rsidR="00B951B1" w:rsidRPr="00E61612" w:rsidTr="00CB78E6">
        <w:trPr>
          <w:trHeight w:val="705"/>
          <w:jc w:val="center"/>
        </w:trPr>
        <w:tc>
          <w:tcPr>
            <w:tcW w:w="2769" w:type="dxa"/>
            <w:gridSpan w:val="2"/>
            <w:vMerge/>
            <w:tcBorders>
              <w:top w:val="single" w:sz="4" w:space="0" w:color="auto"/>
              <w:left w:val="single" w:sz="4" w:space="0" w:color="auto"/>
              <w:bottom w:val="single" w:sz="4" w:space="0" w:color="auto"/>
              <w:right w:val="single" w:sz="4" w:space="0" w:color="auto"/>
            </w:tcBorders>
            <w:vAlign w:val="center"/>
            <w:hideMark/>
          </w:tcPr>
          <w:p w:rsidR="00B951B1" w:rsidRPr="00E61612" w:rsidRDefault="00B951B1" w:rsidP="00CB78E6">
            <w:pPr>
              <w:spacing w:after="0"/>
              <w:rPr>
                <w:rFonts w:cs="Calibri"/>
                <w:b/>
                <w:bCs/>
                <w:color w:val="000000"/>
                <w:sz w:val="18"/>
                <w:szCs w:val="18"/>
              </w:rPr>
            </w:pPr>
          </w:p>
        </w:tc>
        <w:tc>
          <w:tcPr>
            <w:tcW w:w="1342" w:type="dxa"/>
            <w:tcBorders>
              <w:top w:val="nil"/>
              <w:left w:val="nil"/>
              <w:bottom w:val="single" w:sz="4" w:space="0" w:color="auto"/>
              <w:right w:val="single" w:sz="4" w:space="0" w:color="auto"/>
            </w:tcBorders>
            <w:shd w:val="clear" w:color="auto" w:fill="auto"/>
            <w:vAlign w:val="center"/>
            <w:hideMark/>
          </w:tcPr>
          <w:p w:rsidR="00B951B1" w:rsidRPr="00E61612" w:rsidRDefault="00B951B1" w:rsidP="00CB78E6">
            <w:pPr>
              <w:spacing w:after="0"/>
              <w:jc w:val="center"/>
              <w:rPr>
                <w:rFonts w:cs="Calibri"/>
                <w:b/>
                <w:bCs/>
                <w:color w:val="000000"/>
                <w:sz w:val="18"/>
                <w:szCs w:val="18"/>
              </w:rPr>
            </w:pPr>
            <w:r w:rsidRPr="00E61612">
              <w:rPr>
                <w:rFonts w:cs="Calibri"/>
                <w:b/>
                <w:bCs/>
                <w:color w:val="000000"/>
                <w:sz w:val="18"/>
                <w:szCs w:val="18"/>
              </w:rPr>
              <w:t>Kosto indikative</w:t>
            </w:r>
          </w:p>
        </w:tc>
        <w:tc>
          <w:tcPr>
            <w:tcW w:w="1271" w:type="dxa"/>
            <w:tcBorders>
              <w:top w:val="nil"/>
              <w:left w:val="nil"/>
              <w:bottom w:val="single" w:sz="4" w:space="0" w:color="auto"/>
              <w:right w:val="single" w:sz="4" w:space="0" w:color="auto"/>
            </w:tcBorders>
            <w:shd w:val="clear" w:color="auto" w:fill="auto"/>
            <w:vAlign w:val="center"/>
            <w:hideMark/>
          </w:tcPr>
          <w:p w:rsidR="00B951B1" w:rsidRPr="00E61612" w:rsidRDefault="00B951B1" w:rsidP="00CB78E6">
            <w:pPr>
              <w:spacing w:after="0"/>
              <w:jc w:val="center"/>
              <w:rPr>
                <w:rFonts w:cs="Calibri"/>
                <w:b/>
                <w:bCs/>
                <w:color w:val="000000"/>
                <w:sz w:val="18"/>
                <w:szCs w:val="18"/>
              </w:rPr>
            </w:pPr>
            <w:r w:rsidRPr="00E61612">
              <w:rPr>
                <w:rFonts w:cs="Calibri"/>
                <w:b/>
                <w:bCs/>
                <w:color w:val="000000"/>
                <w:sz w:val="18"/>
                <w:szCs w:val="18"/>
              </w:rPr>
              <w:t>Pagat</w:t>
            </w:r>
          </w:p>
        </w:tc>
        <w:tc>
          <w:tcPr>
            <w:tcW w:w="1417" w:type="dxa"/>
            <w:tcBorders>
              <w:top w:val="nil"/>
              <w:left w:val="nil"/>
              <w:bottom w:val="single" w:sz="4" w:space="0" w:color="auto"/>
              <w:right w:val="single" w:sz="4" w:space="0" w:color="auto"/>
            </w:tcBorders>
            <w:shd w:val="clear" w:color="auto" w:fill="auto"/>
            <w:vAlign w:val="center"/>
            <w:hideMark/>
          </w:tcPr>
          <w:p w:rsidR="00B951B1" w:rsidRPr="00E61612" w:rsidRDefault="00B951B1" w:rsidP="00CB78E6">
            <w:pPr>
              <w:spacing w:after="0"/>
              <w:jc w:val="center"/>
              <w:rPr>
                <w:rFonts w:cs="Calibri"/>
                <w:b/>
                <w:bCs/>
                <w:color w:val="000000"/>
                <w:sz w:val="18"/>
                <w:szCs w:val="18"/>
              </w:rPr>
            </w:pPr>
            <w:r w:rsidRPr="00E61612">
              <w:rPr>
                <w:rFonts w:cs="Calibri"/>
                <w:b/>
                <w:bCs/>
                <w:color w:val="000000"/>
                <w:sz w:val="18"/>
                <w:szCs w:val="18"/>
              </w:rPr>
              <w:t>Materialet dhe Shërbimet</w:t>
            </w:r>
          </w:p>
        </w:tc>
        <w:tc>
          <w:tcPr>
            <w:tcW w:w="1276" w:type="dxa"/>
            <w:tcBorders>
              <w:top w:val="nil"/>
              <w:left w:val="nil"/>
              <w:bottom w:val="single" w:sz="4" w:space="0" w:color="auto"/>
              <w:right w:val="single" w:sz="4" w:space="0" w:color="auto"/>
            </w:tcBorders>
            <w:shd w:val="clear" w:color="auto" w:fill="auto"/>
            <w:vAlign w:val="center"/>
            <w:hideMark/>
          </w:tcPr>
          <w:p w:rsidR="00B951B1" w:rsidRPr="00E61612" w:rsidRDefault="00B951B1" w:rsidP="00CB78E6">
            <w:pPr>
              <w:spacing w:after="0"/>
              <w:jc w:val="center"/>
              <w:rPr>
                <w:rFonts w:cs="Calibri"/>
                <w:b/>
                <w:bCs/>
                <w:color w:val="000000"/>
                <w:sz w:val="18"/>
                <w:szCs w:val="18"/>
              </w:rPr>
            </w:pPr>
            <w:r w:rsidRPr="00E61612">
              <w:rPr>
                <w:rFonts w:cs="Calibri"/>
                <w:b/>
                <w:bCs/>
                <w:color w:val="000000"/>
                <w:sz w:val="18"/>
                <w:szCs w:val="18"/>
              </w:rPr>
              <w:t>Shpenzimet kapitale</w:t>
            </w:r>
          </w:p>
        </w:tc>
      </w:tr>
      <w:tr w:rsidR="00B951B1" w:rsidRPr="00E61612" w:rsidTr="00CB78E6">
        <w:trPr>
          <w:trHeight w:val="294"/>
          <w:jc w:val="center"/>
        </w:trPr>
        <w:tc>
          <w:tcPr>
            <w:tcW w:w="2769"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B951B1" w:rsidRPr="00E61612" w:rsidRDefault="00B951B1" w:rsidP="00CB78E6">
            <w:pPr>
              <w:spacing w:after="0"/>
              <w:rPr>
                <w:rFonts w:cs="Calibri"/>
                <w:color w:val="000000"/>
                <w:sz w:val="18"/>
                <w:szCs w:val="18"/>
              </w:rPr>
            </w:pPr>
            <w:r w:rsidRPr="00E61612">
              <w:rPr>
                <w:rFonts w:cs="Calibri"/>
                <w:color w:val="000000"/>
                <w:sz w:val="18"/>
                <w:szCs w:val="18"/>
              </w:rPr>
              <w:t>Qëllimi i politikës A</w:t>
            </w:r>
          </w:p>
        </w:tc>
        <w:tc>
          <w:tcPr>
            <w:tcW w:w="1342" w:type="dxa"/>
            <w:tcBorders>
              <w:top w:val="nil"/>
              <w:left w:val="nil"/>
              <w:bottom w:val="single" w:sz="4" w:space="0" w:color="auto"/>
              <w:right w:val="single" w:sz="4" w:space="0" w:color="auto"/>
            </w:tcBorders>
            <w:shd w:val="clear" w:color="000000" w:fill="FFFFFF"/>
            <w:noWrap/>
          </w:tcPr>
          <w:p w:rsidR="00B951B1" w:rsidRPr="00E61612" w:rsidRDefault="00B951B1" w:rsidP="00CB78E6">
            <w:pPr>
              <w:spacing w:after="0"/>
              <w:jc w:val="right"/>
              <w:rPr>
                <w:rFonts w:cs="Calibri"/>
                <w:sz w:val="18"/>
                <w:szCs w:val="18"/>
              </w:rPr>
            </w:pPr>
            <w:r w:rsidRPr="00E61612">
              <w:rPr>
                <w:rFonts w:cs="Calibri"/>
                <w:sz w:val="18"/>
                <w:szCs w:val="18"/>
              </w:rPr>
              <w:t xml:space="preserve">     35,576,226 </w:t>
            </w:r>
          </w:p>
        </w:tc>
        <w:tc>
          <w:tcPr>
            <w:tcW w:w="1271" w:type="dxa"/>
            <w:tcBorders>
              <w:top w:val="nil"/>
              <w:left w:val="nil"/>
              <w:bottom w:val="single" w:sz="4" w:space="0" w:color="auto"/>
              <w:right w:val="single" w:sz="4" w:space="0" w:color="auto"/>
            </w:tcBorders>
            <w:shd w:val="clear" w:color="000000" w:fill="FFFFFF"/>
            <w:noWrap/>
          </w:tcPr>
          <w:p w:rsidR="00B951B1" w:rsidRPr="00E61612" w:rsidRDefault="00B951B1" w:rsidP="00CB78E6">
            <w:pPr>
              <w:spacing w:after="0"/>
              <w:jc w:val="right"/>
              <w:rPr>
                <w:rFonts w:cs="Calibri"/>
                <w:sz w:val="18"/>
                <w:szCs w:val="18"/>
              </w:rPr>
            </w:pPr>
            <w:r w:rsidRPr="00E61612">
              <w:rPr>
                <w:rFonts w:cs="Calibri"/>
                <w:sz w:val="18"/>
                <w:szCs w:val="18"/>
              </w:rPr>
              <w:t xml:space="preserve">     11,930,826 </w:t>
            </w:r>
          </w:p>
        </w:tc>
        <w:tc>
          <w:tcPr>
            <w:tcW w:w="1417" w:type="dxa"/>
            <w:tcBorders>
              <w:top w:val="nil"/>
              <w:left w:val="nil"/>
              <w:bottom w:val="single" w:sz="4" w:space="0" w:color="auto"/>
              <w:right w:val="single" w:sz="4" w:space="0" w:color="auto"/>
            </w:tcBorders>
            <w:shd w:val="clear" w:color="000000" w:fill="FFFFFF"/>
            <w:noWrap/>
          </w:tcPr>
          <w:p w:rsidR="00B951B1" w:rsidRPr="00E61612" w:rsidRDefault="00B951B1" w:rsidP="00CB78E6">
            <w:pPr>
              <w:spacing w:after="0"/>
              <w:jc w:val="right"/>
              <w:rPr>
                <w:rFonts w:cs="Calibri"/>
                <w:sz w:val="18"/>
                <w:szCs w:val="18"/>
              </w:rPr>
            </w:pPr>
            <w:r w:rsidRPr="00E61612">
              <w:rPr>
                <w:rFonts w:cs="Calibri"/>
                <w:sz w:val="18"/>
                <w:szCs w:val="18"/>
              </w:rPr>
              <w:t xml:space="preserve">      3,207,098 </w:t>
            </w:r>
          </w:p>
        </w:tc>
        <w:tc>
          <w:tcPr>
            <w:tcW w:w="1276" w:type="dxa"/>
            <w:tcBorders>
              <w:top w:val="nil"/>
              <w:left w:val="nil"/>
              <w:bottom w:val="single" w:sz="4" w:space="0" w:color="auto"/>
              <w:right w:val="single" w:sz="4" w:space="0" w:color="auto"/>
            </w:tcBorders>
            <w:shd w:val="clear" w:color="000000" w:fill="FFFFFF"/>
            <w:noWrap/>
          </w:tcPr>
          <w:p w:rsidR="00B951B1" w:rsidRPr="00E61612" w:rsidRDefault="00B951B1" w:rsidP="00CB78E6">
            <w:pPr>
              <w:spacing w:after="0"/>
              <w:jc w:val="right"/>
              <w:rPr>
                <w:rFonts w:cs="Calibri"/>
                <w:sz w:val="18"/>
                <w:szCs w:val="18"/>
              </w:rPr>
            </w:pPr>
            <w:r w:rsidRPr="00E61612">
              <w:rPr>
                <w:rFonts w:cs="Calibri"/>
                <w:sz w:val="18"/>
                <w:szCs w:val="18"/>
              </w:rPr>
              <w:t xml:space="preserve">     20,438,302 </w:t>
            </w:r>
          </w:p>
        </w:tc>
      </w:tr>
      <w:tr w:rsidR="00B951B1" w:rsidRPr="00E61612" w:rsidTr="00CB78E6">
        <w:trPr>
          <w:trHeight w:val="281"/>
          <w:jc w:val="center"/>
        </w:trPr>
        <w:tc>
          <w:tcPr>
            <w:tcW w:w="2769"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B951B1" w:rsidRPr="00E61612" w:rsidRDefault="00B951B1" w:rsidP="00CB78E6">
            <w:pPr>
              <w:spacing w:after="0"/>
              <w:rPr>
                <w:rFonts w:cs="Calibri"/>
                <w:color w:val="000000"/>
                <w:sz w:val="18"/>
                <w:szCs w:val="18"/>
              </w:rPr>
            </w:pPr>
            <w:r w:rsidRPr="00E61612">
              <w:rPr>
                <w:rFonts w:cs="Calibri"/>
                <w:color w:val="000000"/>
                <w:sz w:val="18"/>
                <w:szCs w:val="18"/>
              </w:rPr>
              <w:t>Qëllimi i politikës B</w:t>
            </w:r>
          </w:p>
        </w:tc>
        <w:tc>
          <w:tcPr>
            <w:tcW w:w="1342" w:type="dxa"/>
            <w:tcBorders>
              <w:top w:val="nil"/>
              <w:left w:val="nil"/>
              <w:bottom w:val="single" w:sz="4" w:space="0" w:color="auto"/>
              <w:right w:val="single" w:sz="4" w:space="0" w:color="auto"/>
            </w:tcBorders>
            <w:shd w:val="clear" w:color="000000" w:fill="FFFFFF"/>
            <w:noWrap/>
          </w:tcPr>
          <w:p w:rsidR="00B951B1" w:rsidRPr="00E61612" w:rsidRDefault="00B951B1" w:rsidP="00CB78E6">
            <w:pPr>
              <w:spacing w:after="0"/>
              <w:jc w:val="right"/>
              <w:rPr>
                <w:rFonts w:cs="Calibri"/>
                <w:sz w:val="18"/>
                <w:szCs w:val="18"/>
              </w:rPr>
            </w:pPr>
            <w:r w:rsidRPr="00E61612">
              <w:rPr>
                <w:rFonts w:cs="Calibri"/>
                <w:sz w:val="18"/>
                <w:szCs w:val="18"/>
              </w:rPr>
              <w:t xml:space="preserve">          135,036 </w:t>
            </w:r>
          </w:p>
        </w:tc>
        <w:tc>
          <w:tcPr>
            <w:tcW w:w="1271" w:type="dxa"/>
            <w:tcBorders>
              <w:top w:val="nil"/>
              <w:left w:val="nil"/>
              <w:bottom w:val="single" w:sz="4" w:space="0" w:color="auto"/>
              <w:right w:val="single" w:sz="4" w:space="0" w:color="auto"/>
            </w:tcBorders>
            <w:shd w:val="clear" w:color="000000" w:fill="FFFFFF"/>
            <w:noWrap/>
          </w:tcPr>
          <w:p w:rsidR="00B951B1" w:rsidRPr="00E61612" w:rsidRDefault="00B951B1" w:rsidP="00CB78E6">
            <w:pPr>
              <w:spacing w:after="0"/>
              <w:jc w:val="right"/>
              <w:rPr>
                <w:rFonts w:cs="Calibri"/>
                <w:sz w:val="18"/>
                <w:szCs w:val="18"/>
              </w:rPr>
            </w:pPr>
            <w:r w:rsidRPr="00E61612">
              <w:rPr>
                <w:rFonts w:cs="Calibri"/>
                <w:sz w:val="18"/>
                <w:szCs w:val="18"/>
              </w:rPr>
              <w:t xml:space="preserve">                      - </w:t>
            </w:r>
          </w:p>
        </w:tc>
        <w:tc>
          <w:tcPr>
            <w:tcW w:w="1417" w:type="dxa"/>
            <w:tcBorders>
              <w:top w:val="nil"/>
              <w:left w:val="nil"/>
              <w:bottom w:val="single" w:sz="4" w:space="0" w:color="auto"/>
              <w:right w:val="single" w:sz="4" w:space="0" w:color="auto"/>
            </w:tcBorders>
            <w:shd w:val="clear" w:color="000000" w:fill="FFFFFF"/>
            <w:noWrap/>
          </w:tcPr>
          <w:p w:rsidR="00B951B1" w:rsidRPr="00E61612" w:rsidRDefault="00B951B1" w:rsidP="00CB78E6">
            <w:pPr>
              <w:spacing w:after="0"/>
              <w:jc w:val="right"/>
              <w:rPr>
                <w:rFonts w:cs="Calibri"/>
                <w:sz w:val="18"/>
                <w:szCs w:val="18"/>
              </w:rPr>
            </w:pPr>
            <w:r w:rsidRPr="00E61612">
              <w:rPr>
                <w:rFonts w:cs="Calibri"/>
                <w:sz w:val="18"/>
                <w:szCs w:val="18"/>
              </w:rPr>
              <w:t xml:space="preserve">           99,036 </w:t>
            </w:r>
          </w:p>
        </w:tc>
        <w:tc>
          <w:tcPr>
            <w:tcW w:w="1276" w:type="dxa"/>
            <w:tcBorders>
              <w:top w:val="nil"/>
              <w:left w:val="nil"/>
              <w:bottom w:val="single" w:sz="4" w:space="0" w:color="auto"/>
              <w:right w:val="single" w:sz="4" w:space="0" w:color="auto"/>
            </w:tcBorders>
            <w:shd w:val="clear" w:color="000000" w:fill="FFFFFF"/>
            <w:noWrap/>
          </w:tcPr>
          <w:p w:rsidR="00B951B1" w:rsidRPr="00E61612" w:rsidRDefault="00B951B1" w:rsidP="00CB78E6">
            <w:pPr>
              <w:spacing w:after="0"/>
              <w:jc w:val="right"/>
              <w:rPr>
                <w:rFonts w:cs="Calibri"/>
                <w:sz w:val="18"/>
                <w:szCs w:val="18"/>
              </w:rPr>
            </w:pPr>
            <w:r w:rsidRPr="00E61612">
              <w:rPr>
                <w:rFonts w:cs="Calibri"/>
                <w:sz w:val="18"/>
                <w:szCs w:val="18"/>
              </w:rPr>
              <w:t xml:space="preserve">            36,000 </w:t>
            </w:r>
          </w:p>
        </w:tc>
      </w:tr>
      <w:tr w:rsidR="00B951B1" w:rsidRPr="00E61612" w:rsidTr="00CB78E6">
        <w:trPr>
          <w:trHeight w:val="131"/>
          <w:jc w:val="center"/>
        </w:trPr>
        <w:tc>
          <w:tcPr>
            <w:tcW w:w="2769"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B951B1" w:rsidRPr="00E61612" w:rsidRDefault="00B951B1" w:rsidP="00CB78E6">
            <w:pPr>
              <w:spacing w:after="0"/>
              <w:rPr>
                <w:rFonts w:cs="Calibri"/>
                <w:color w:val="000000"/>
                <w:sz w:val="18"/>
                <w:szCs w:val="18"/>
              </w:rPr>
            </w:pPr>
            <w:r w:rsidRPr="00E61612">
              <w:rPr>
                <w:rFonts w:cs="Calibri"/>
                <w:color w:val="000000"/>
                <w:sz w:val="18"/>
                <w:szCs w:val="18"/>
              </w:rPr>
              <w:t>Qëllimi i politikës C</w:t>
            </w:r>
          </w:p>
        </w:tc>
        <w:tc>
          <w:tcPr>
            <w:tcW w:w="1342" w:type="dxa"/>
            <w:tcBorders>
              <w:top w:val="nil"/>
              <w:left w:val="nil"/>
              <w:bottom w:val="single" w:sz="4" w:space="0" w:color="auto"/>
              <w:right w:val="single" w:sz="4" w:space="0" w:color="auto"/>
            </w:tcBorders>
            <w:shd w:val="clear" w:color="000000" w:fill="FFFFFF"/>
            <w:noWrap/>
          </w:tcPr>
          <w:p w:rsidR="00B951B1" w:rsidRPr="00E61612" w:rsidRDefault="00B951B1" w:rsidP="00CB78E6">
            <w:pPr>
              <w:spacing w:after="0"/>
              <w:jc w:val="right"/>
              <w:rPr>
                <w:rFonts w:cs="Calibri"/>
                <w:sz w:val="18"/>
                <w:szCs w:val="18"/>
              </w:rPr>
            </w:pPr>
            <w:r w:rsidRPr="00E61612">
              <w:rPr>
                <w:rFonts w:cs="Calibri"/>
                <w:sz w:val="18"/>
                <w:szCs w:val="18"/>
              </w:rPr>
              <w:t xml:space="preserve">     15,171,397 </w:t>
            </w:r>
          </w:p>
        </w:tc>
        <w:tc>
          <w:tcPr>
            <w:tcW w:w="1271" w:type="dxa"/>
            <w:tcBorders>
              <w:top w:val="nil"/>
              <w:left w:val="nil"/>
              <w:bottom w:val="single" w:sz="4" w:space="0" w:color="auto"/>
              <w:right w:val="single" w:sz="4" w:space="0" w:color="auto"/>
            </w:tcBorders>
            <w:shd w:val="clear" w:color="000000" w:fill="FFFFFF"/>
            <w:noWrap/>
          </w:tcPr>
          <w:p w:rsidR="00B951B1" w:rsidRPr="00E61612" w:rsidRDefault="00B951B1" w:rsidP="00CB78E6">
            <w:pPr>
              <w:spacing w:after="0"/>
              <w:jc w:val="right"/>
              <w:rPr>
                <w:rFonts w:cs="Calibri"/>
                <w:sz w:val="18"/>
                <w:szCs w:val="18"/>
              </w:rPr>
            </w:pPr>
            <w:r w:rsidRPr="00E61612">
              <w:rPr>
                <w:rFonts w:cs="Calibri"/>
                <w:sz w:val="18"/>
                <w:szCs w:val="18"/>
              </w:rPr>
              <w:t xml:space="preserve">            22,700 </w:t>
            </w:r>
          </w:p>
        </w:tc>
        <w:tc>
          <w:tcPr>
            <w:tcW w:w="1417" w:type="dxa"/>
            <w:tcBorders>
              <w:top w:val="nil"/>
              <w:left w:val="nil"/>
              <w:bottom w:val="single" w:sz="4" w:space="0" w:color="auto"/>
              <w:right w:val="single" w:sz="4" w:space="0" w:color="auto"/>
            </w:tcBorders>
            <w:shd w:val="clear" w:color="000000" w:fill="FFFFFF"/>
            <w:noWrap/>
          </w:tcPr>
          <w:p w:rsidR="00B951B1" w:rsidRPr="00E61612" w:rsidRDefault="00B951B1" w:rsidP="00CB78E6">
            <w:pPr>
              <w:spacing w:after="0"/>
              <w:jc w:val="right"/>
              <w:rPr>
                <w:rFonts w:cs="Calibri"/>
                <w:sz w:val="18"/>
                <w:szCs w:val="18"/>
              </w:rPr>
            </w:pPr>
            <w:r w:rsidRPr="00E61612">
              <w:rPr>
                <w:rFonts w:cs="Calibri"/>
                <w:sz w:val="18"/>
                <w:szCs w:val="18"/>
              </w:rPr>
              <w:t xml:space="preserve">      7,225,619 </w:t>
            </w:r>
          </w:p>
        </w:tc>
        <w:tc>
          <w:tcPr>
            <w:tcW w:w="1276" w:type="dxa"/>
            <w:tcBorders>
              <w:top w:val="nil"/>
              <w:left w:val="nil"/>
              <w:bottom w:val="single" w:sz="4" w:space="0" w:color="auto"/>
              <w:right w:val="single" w:sz="4" w:space="0" w:color="auto"/>
            </w:tcBorders>
            <w:shd w:val="clear" w:color="000000" w:fill="FFFFFF"/>
            <w:noWrap/>
          </w:tcPr>
          <w:p w:rsidR="00B951B1" w:rsidRPr="00E61612" w:rsidRDefault="00B951B1" w:rsidP="00CB78E6">
            <w:pPr>
              <w:spacing w:after="0"/>
              <w:jc w:val="right"/>
              <w:rPr>
                <w:rFonts w:cs="Calibri"/>
                <w:sz w:val="18"/>
                <w:szCs w:val="18"/>
              </w:rPr>
            </w:pPr>
            <w:r w:rsidRPr="00E61612">
              <w:rPr>
                <w:rFonts w:cs="Calibri"/>
                <w:sz w:val="18"/>
                <w:szCs w:val="18"/>
              </w:rPr>
              <w:t xml:space="preserve">       7,923,078 </w:t>
            </w:r>
          </w:p>
        </w:tc>
      </w:tr>
      <w:tr w:rsidR="00B951B1" w:rsidRPr="00E61612" w:rsidTr="00CB78E6">
        <w:trPr>
          <w:trHeight w:val="240"/>
          <w:jc w:val="center"/>
        </w:trPr>
        <w:tc>
          <w:tcPr>
            <w:tcW w:w="2141" w:type="dxa"/>
            <w:tcBorders>
              <w:top w:val="nil"/>
              <w:left w:val="nil"/>
              <w:bottom w:val="nil"/>
              <w:right w:val="nil"/>
            </w:tcBorders>
            <w:shd w:val="clear" w:color="auto" w:fill="auto"/>
            <w:noWrap/>
            <w:vAlign w:val="bottom"/>
            <w:hideMark/>
          </w:tcPr>
          <w:p w:rsidR="00B951B1" w:rsidRPr="00E61612" w:rsidRDefault="00B951B1" w:rsidP="00CB78E6">
            <w:pPr>
              <w:spacing w:after="0"/>
              <w:jc w:val="center"/>
              <w:rPr>
                <w:rFonts w:cs="Calibri"/>
                <w:sz w:val="18"/>
                <w:szCs w:val="18"/>
              </w:rPr>
            </w:pPr>
          </w:p>
        </w:tc>
        <w:tc>
          <w:tcPr>
            <w:tcW w:w="628" w:type="dxa"/>
            <w:tcBorders>
              <w:top w:val="nil"/>
              <w:left w:val="nil"/>
              <w:bottom w:val="nil"/>
              <w:right w:val="nil"/>
            </w:tcBorders>
            <w:shd w:val="clear" w:color="auto" w:fill="auto"/>
            <w:noWrap/>
            <w:vAlign w:val="bottom"/>
            <w:hideMark/>
          </w:tcPr>
          <w:p w:rsidR="00B951B1" w:rsidRPr="00E61612" w:rsidRDefault="00B951B1" w:rsidP="00CB78E6">
            <w:pPr>
              <w:spacing w:after="0"/>
              <w:rPr>
                <w:color w:val="000000"/>
                <w:sz w:val="18"/>
                <w:szCs w:val="18"/>
              </w:rPr>
            </w:pPr>
            <w:r w:rsidRPr="00E61612">
              <w:rPr>
                <w:color w:val="000000"/>
                <w:sz w:val="18"/>
                <w:szCs w:val="18"/>
              </w:rPr>
              <w:t>Totali</w:t>
            </w:r>
          </w:p>
        </w:tc>
        <w:tc>
          <w:tcPr>
            <w:tcW w:w="1342" w:type="dxa"/>
            <w:tcBorders>
              <w:top w:val="nil"/>
              <w:left w:val="nil"/>
              <w:bottom w:val="nil"/>
              <w:right w:val="nil"/>
            </w:tcBorders>
            <w:shd w:val="clear" w:color="auto" w:fill="auto"/>
            <w:noWrap/>
            <w:vAlign w:val="bottom"/>
          </w:tcPr>
          <w:p w:rsidR="00B951B1" w:rsidRPr="00E61612" w:rsidRDefault="00B951B1" w:rsidP="00CB78E6">
            <w:pPr>
              <w:spacing w:after="0"/>
              <w:jc w:val="right"/>
              <w:rPr>
                <w:rFonts w:cs="Calibri"/>
                <w:color w:val="000000"/>
                <w:sz w:val="18"/>
                <w:szCs w:val="18"/>
              </w:rPr>
            </w:pPr>
            <w:r w:rsidRPr="00E61612">
              <w:rPr>
                <w:rFonts w:cs="Calibri"/>
                <w:color w:val="000000"/>
                <w:sz w:val="18"/>
                <w:szCs w:val="18"/>
              </w:rPr>
              <w:t xml:space="preserve">     50,882,659 </w:t>
            </w:r>
          </w:p>
        </w:tc>
        <w:tc>
          <w:tcPr>
            <w:tcW w:w="1271" w:type="dxa"/>
            <w:tcBorders>
              <w:top w:val="nil"/>
              <w:left w:val="nil"/>
              <w:bottom w:val="nil"/>
              <w:right w:val="nil"/>
            </w:tcBorders>
            <w:shd w:val="clear" w:color="auto" w:fill="auto"/>
            <w:noWrap/>
            <w:vAlign w:val="bottom"/>
          </w:tcPr>
          <w:p w:rsidR="00B951B1" w:rsidRPr="00E61612" w:rsidRDefault="00B951B1" w:rsidP="00CB78E6">
            <w:pPr>
              <w:spacing w:after="0"/>
              <w:jc w:val="right"/>
              <w:rPr>
                <w:rFonts w:cs="Calibri"/>
                <w:color w:val="000000"/>
                <w:sz w:val="18"/>
                <w:szCs w:val="18"/>
              </w:rPr>
            </w:pPr>
            <w:r w:rsidRPr="00E61612">
              <w:rPr>
                <w:rFonts w:cs="Calibri"/>
                <w:color w:val="000000"/>
                <w:sz w:val="18"/>
                <w:szCs w:val="18"/>
              </w:rPr>
              <w:t xml:space="preserve">     11,953,526 </w:t>
            </w:r>
          </w:p>
        </w:tc>
        <w:tc>
          <w:tcPr>
            <w:tcW w:w="1417" w:type="dxa"/>
            <w:tcBorders>
              <w:top w:val="nil"/>
              <w:left w:val="nil"/>
              <w:bottom w:val="nil"/>
              <w:right w:val="nil"/>
            </w:tcBorders>
            <w:shd w:val="clear" w:color="auto" w:fill="auto"/>
            <w:noWrap/>
            <w:vAlign w:val="bottom"/>
          </w:tcPr>
          <w:p w:rsidR="00B951B1" w:rsidRPr="00E61612" w:rsidRDefault="00B951B1" w:rsidP="00CB78E6">
            <w:pPr>
              <w:spacing w:after="0"/>
              <w:jc w:val="right"/>
              <w:rPr>
                <w:rFonts w:cs="Calibri"/>
                <w:color w:val="000000"/>
                <w:sz w:val="18"/>
                <w:szCs w:val="18"/>
              </w:rPr>
            </w:pPr>
            <w:r w:rsidRPr="00E61612">
              <w:rPr>
                <w:rFonts w:cs="Calibri"/>
                <w:color w:val="000000"/>
                <w:sz w:val="18"/>
                <w:szCs w:val="18"/>
              </w:rPr>
              <w:t xml:space="preserve">    10,531,753 </w:t>
            </w:r>
          </w:p>
        </w:tc>
        <w:tc>
          <w:tcPr>
            <w:tcW w:w="1276" w:type="dxa"/>
            <w:tcBorders>
              <w:top w:val="nil"/>
              <w:left w:val="nil"/>
              <w:bottom w:val="nil"/>
              <w:right w:val="nil"/>
            </w:tcBorders>
            <w:shd w:val="clear" w:color="auto" w:fill="auto"/>
            <w:noWrap/>
            <w:vAlign w:val="bottom"/>
          </w:tcPr>
          <w:p w:rsidR="00B951B1" w:rsidRPr="00E61612" w:rsidRDefault="00B951B1" w:rsidP="00CB78E6">
            <w:pPr>
              <w:spacing w:after="0"/>
              <w:jc w:val="right"/>
              <w:rPr>
                <w:rFonts w:cs="Calibri"/>
                <w:color w:val="000000"/>
                <w:sz w:val="18"/>
                <w:szCs w:val="18"/>
              </w:rPr>
            </w:pPr>
            <w:r w:rsidRPr="00E61612">
              <w:rPr>
                <w:rFonts w:cs="Calibri"/>
                <w:color w:val="000000"/>
                <w:sz w:val="18"/>
                <w:szCs w:val="18"/>
              </w:rPr>
              <w:t xml:space="preserve">     28,397,380 </w:t>
            </w:r>
          </w:p>
        </w:tc>
      </w:tr>
    </w:tbl>
    <w:p w:rsidR="00B951B1" w:rsidRPr="00E61612" w:rsidRDefault="00B951B1" w:rsidP="00B951B1">
      <w:pPr>
        <w:jc w:val="both"/>
        <w:rPr>
          <w:rFonts w:cs="Calibri"/>
        </w:rPr>
      </w:pPr>
      <w:r w:rsidRPr="00E61612">
        <w:rPr>
          <w:rFonts w:cs="Calibri"/>
        </w:rPr>
        <w:t>Kostimi i Strategjisë është bërë për çdo masë të veçantë, duke përcaktuar llojin dhe kategorinë e shpenzimeve, si dhe në harmoni me planin e zbatimit të masave. Në tabelën vijuese</w:t>
      </w:r>
      <w:r>
        <w:rPr>
          <w:rFonts w:cs="Calibri"/>
        </w:rPr>
        <w:t>,</w:t>
      </w:r>
      <w:r w:rsidRPr="00E61612">
        <w:rPr>
          <w:rFonts w:cs="Calibri"/>
        </w:rPr>
        <w:t xml:space="preserve"> është dhënë  kostoja indikative e SKA 2021-2026 sipas qëllimeve të politikave, objektivave specifik</w:t>
      </w:r>
      <w:r w:rsidR="00DC4C19">
        <w:rPr>
          <w:rFonts w:cs="Calibri"/>
        </w:rPr>
        <w:t>e</w:t>
      </w:r>
      <w:r w:rsidRPr="00E61612">
        <w:rPr>
          <w:rFonts w:cs="Calibri"/>
        </w:rPr>
        <w:t xml:space="preserve"> dhe produkteve</w:t>
      </w:r>
    </w:p>
    <w:p w:rsidR="00B951B1" w:rsidRPr="00E61612" w:rsidRDefault="00B951B1" w:rsidP="00B951B1">
      <w:pPr>
        <w:jc w:val="both"/>
        <w:rPr>
          <w:rFonts w:cs="Calibri"/>
        </w:rPr>
      </w:pPr>
      <w:bookmarkStart w:id="149" w:name="_Toc66802052"/>
      <w:r w:rsidRPr="00E61612">
        <w:rPr>
          <w:b/>
        </w:rPr>
        <w:t xml:space="preserve">Tabela </w:t>
      </w:r>
      <w:r w:rsidR="00EC56B7" w:rsidRPr="00E61612">
        <w:rPr>
          <w:b/>
        </w:rPr>
        <w:fldChar w:fldCharType="begin"/>
      </w:r>
      <w:r w:rsidRPr="00E61612">
        <w:rPr>
          <w:b/>
        </w:rPr>
        <w:instrText xml:space="preserve"> SEQ Tabela \* ARABIC </w:instrText>
      </w:r>
      <w:r w:rsidR="00EC56B7" w:rsidRPr="00E61612">
        <w:rPr>
          <w:b/>
        </w:rPr>
        <w:fldChar w:fldCharType="separate"/>
      </w:r>
      <w:r w:rsidRPr="00E61612">
        <w:rPr>
          <w:b/>
        </w:rPr>
        <w:t>18</w:t>
      </w:r>
      <w:r w:rsidR="00EC56B7" w:rsidRPr="00E61612">
        <w:rPr>
          <w:b/>
        </w:rPr>
        <w:fldChar w:fldCharType="end"/>
      </w:r>
      <w:r w:rsidRPr="00E61612">
        <w:rPr>
          <w:b/>
        </w:rPr>
        <w:t>.</w:t>
      </w:r>
      <w:r w:rsidRPr="00E61612">
        <w:rPr>
          <w:rFonts w:cs="Calibri"/>
        </w:rPr>
        <w:t xml:space="preserve">  Kostoja indikative e SKA 2021-2026 sipas qëllimeve të politikave, objektivave specifik</w:t>
      </w:r>
      <w:r w:rsidR="00DC4C19">
        <w:rPr>
          <w:rFonts w:cs="Calibri"/>
        </w:rPr>
        <w:t>e</w:t>
      </w:r>
      <w:r w:rsidRPr="00E61612">
        <w:rPr>
          <w:rFonts w:cs="Calibri"/>
        </w:rPr>
        <w:t xml:space="preserve"> dhe produkteve (në 000 lekë)</w:t>
      </w:r>
      <w:bookmarkEnd w:id="149"/>
    </w:p>
    <w:p w:rsidR="00B951B1" w:rsidRPr="00E61612" w:rsidRDefault="00B951B1" w:rsidP="00B951B1">
      <w:pPr>
        <w:spacing w:after="160"/>
        <w:jc w:val="both"/>
        <w:rPr>
          <w:rFonts w:cs="Calibri"/>
        </w:rPr>
      </w:pPr>
      <w:r w:rsidRPr="00E61612">
        <w:rPr>
          <w:rFonts w:cs="Calibri"/>
          <w:b/>
        </w:rPr>
        <w:t>Qëllimi i politikës A:</w:t>
      </w:r>
      <w:r w:rsidRPr="00E61612">
        <w:rPr>
          <w:rFonts w:cs="Calibri"/>
        </w:rPr>
        <w:t xml:space="preserve"> Arsim parauniversitar cilësor dhe gjithëpërfshirës që krijon kushte </w:t>
      </w:r>
      <w:r>
        <w:rPr>
          <w:rFonts w:cs="Calibri"/>
        </w:rPr>
        <w:t xml:space="preserve">në mënyrë </w:t>
      </w:r>
      <w:r w:rsidRPr="00E61612">
        <w:rPr>
          <w:rFonts w:cs="Calibri"/>
        </w:rPr>
        <w:t xml:space="preserve">që nxënësit të zhvillojnë njohuri, shkathtësi, qëndrime dhe vlera në </w:t>
      </w:r>
      <w:r>
        <w:rPr>
          <w:rFonts w:cs="Calibri"/>
        </w:rPr>
        <w:t>përputhje</w:t>
      </w:r>
      <w:r w:rsidRPr="00E61612">
        <w:rPr>
          <w:rFonts w:cs="Calibri"/>
        </w:rPr>
        <w:t xml:space="preserve"> me kërkesat e shoqërisë demokratike; të përballen në mënyrë konstruktive me sfidat e jetës, si dhe të kontribuojnë në ndërtimin e mirëqenies vetjake dhe të shoqërisë</w:t>
      </w:r>
    </w:p>
    <w:tbl>
      <w:tblPr>
        <w:tblW w:w="9488" w:type="dxa"/>
        <w:tblInd w:w="118" w:type="dxa"/>
        <w:tblLook w:val="04A0" w:firstRow="1" w:lastRow="0" w:firstColumn="1" w:lastColumn="0" w:noHBand="0" w:noVBand="1"/>
      </w:tblPr>
      <w:tblGrid>
        <w:gridCol w:w="698"/>
        <w:gridCol w:w="3403"/>
        <w:gridCol w:w="1559"/>
        <w:gridCol w:w="1253"/>
        <w:gridCol w:w="1015"/>
        <w:gridCol w:w="1560"/>
      </w:tblGrid>
      <w:tr w:rsidR="00B951B1" w:rsidRPr="00E61612" w:rsidTr="00CB78E6">
        <w:trPr>
          <w:trHeight w:val="371"/>
          <w:tblHeader/>
        </w:trPr>
        <w:tc>
          <w:tcPr>
            <w:tcW w:w="698" w:type="dxa"/>
            <w:vMerge w:val="restart"/>
            <w:tcBorders>
              <w:top w:val="single" w:sz="8" w:space="0" w:color="auto"/>
              <w:left w:val="single" w:sz="8" w:space="0" w:color="auto"/>
              <w:bottom w:val="single" w:sz="4" w:space="0" w:color="auto"/>
              <w:right w:val="single" w:sz="4" w:space="0" w:color="auto"/>
            </w:tcBorders>
            <w:shd w:val="clear" w:color="auto" w:fill="auto"/>
            <w:hideMark/>
          </w:tcPr>
          <w:p w:rsidR="00B951B1" w:rsidRPr="00E61612" w:rsidRDefault="00B951B1" w:rsidP="00CB78E6">
            <w:pPr>
              <w:spacing w:after="0"/>
              <w:jc w:val="center"/>
              <w:rPr>
                <w:rFonts w:cs="Calibri"/>
                <w:b/>
                <w:bCs/>
                <w:color w:val="000000"/>
                <w:sz w:val="20"/>
                <w:szCs w:val="20"/>
              </w:rPr>
            </w:pPr>
            <w:r w:rsidRPr="00E61612">
              <w:rPr>
                <w:rFonts w:cs="Calibri"/>
                <w:b/>
                <w:bCs/>
                <w:color w:val="000000"/>
                <w:sz w:val="20"/>
                <w:szCs w:val="20"/>
              </w:rPr>
              <w:t>Nr.</w:t>
            </w:r>
          </w:p>
        </w:tc>
        <w:tc>
          <w:tcPr>
            <w:tcW w:w="3403" w:type="dxa"/>
            <w:vMerge w:val="restart"/>
            <w:tcBorders>
              <w:top w:val="single" w:sz="8" w:space="0" w:color="auto"/>
              <w:left w:val="single" w:sz="4" w:space="0" w:color="auto"/>
              <w:bottom w:val="single" w:sz="4" w:space="0" w:color="auto"/>
              <w:right w:val="single" w:sz="4" w:space="0" w:color="auto"/>
            </w:tcBorders>
            <w:shd w:val="clear" w:color="auto" w:fill="auto"/>
            <w:hideMark/>
          </w:tcPr>
          <w:p w:rsidR="00B951B1" w:rsidRPr="00E61612" w:rsidRDefault="00B951B1" w:rsidP="00CB78E6">
            <w:pPr>
              <w:spacing w:after="0"/>
              <w:jc w:val="center"/>
              <w:rPr>
                <w:rFonts w:cs="Calibri"/>
                <w:b/>
                <w:bCs/>
                <w:color w:val="000000"/>
                <w:sz w:val="20"/>
                <w:szCs w:val="20"/>
              </w:rPr>
            </w:pPr>
            <w:r w:rsidRPr="00E61612">
              <w:rPr>
                <w:rFonts w:cs="Calibri"/>
                <w:b/>
                <w:bCs/>
                <w:color w:val="000000"/>
                <w:sz w:val="20"/>
                <w:szCs w:val="20"/>
              </w:rPr>
              <w:t> Objektivi specifik, produkti </w:t>
            </w:r>
          </w:p>
        </w:tc>
        <w:tc>
          <w:tcPr>
            <w:tcW w:w="1559" w:type="dxa"/>
            <w:vMerge w:val="restart"/>
            <w:tcBorders>
              <w:top w:val="single" w:sz="8" w:space="0" w:color="auto"/>
              <w:left w:val="single" w:sz="4" w:space="0" w:color="auto"/>
              <w:bottom w:val="single" w:sz="4" w:space="0" w:color="000000"/>
              <w:right w:val="single" w:sz="4" w:space="0" w:color="auto"/>
            </w:tcBorders>
            <w:shd w:val="clear" w:color="auto" w:fill="auto"/>
            <w:hideMark/>
          </w:tcPr>
          <w:p w:rsidR="00B951B1" w:rsidRPr="00E61612" w:rsidRDefault="00B951B1" w:rsidP="00CB78E6">
            <w:pPr>
              <w:spacing w:after="0"/>
              <w:jc w:val="center"/>
              <w:rPr>
                <w:rFonts w:cs="Calibri"/>
                <w:b/>
                <w:bCs/>
                <w:color w:val="000000"/>
                <w:sz w:val="20"/>
                <w:szCs w:val="20"/>
              </w:rPr>
            </w:pPr>
            <w:r w:rsidRPr="00E61612">
              <w:rPr>
                <w:rFonts w:cs="Calibri"/>
                <w:b/>
                <w:bCs/>
                <w:color w:val="000000"/>
                <w:sz w:val="20"/>
                <w:szCs w:val="20"/>
              </w:rPr>
              <w:t>Kosto indikative</w:t>
            </w:r>
          </w:p>
        </w:tc>
        <w:tc>
          <w:tcPr>
            <w:tcW w:w="2268" w:type="dxa"/>
            <w:gridSpan w:val="2"/>
            <w:tcBorders>
              <w:top w:val="single" w:sz="8" w:space="0" w:color="auto"/>
              <w:left w:val="nil"/>
              <w:bottom w:val="single" w:sz="4" w:space="0" w:color="auto"/>
              <w:right w:val="single" w:sz="4" w:space="0" w:color="000000"/>
            </w:tcBorders>
            <w:shd w:val="clear" w:color="auto" w:fill="auto"/>
            <w:hideMark/>
          </w:tcPr>
          <w:p w:rsidR="00B951B1" w:rsidRPr="00E61612" w:rsidRDefault="00753C65" w:rsidP="00CB78E6">
            <w:pPr>
              <w:spacing w:after="0"/>
              <w:jc w:val="center"/>
              <w:rPr>
                <w:rFonts w:cs="Calibri"/>
                <w:b/>
                <w:bCs/>
                <w:color w:val="000000"/>
                <w:sz w:val="20"/>
                <w:szCs w:val="20"/>
              </w:rPr>
            </w:pPr>
            <w:r>
              <w:rPr>
                <w:rFonts w:cs="Calibri"/>
                <w:b/>
                <w:bCs/>
                <w:color w:val="000000"/>
                <w:sz w:val="20"/>
                <w:szCs w:val="20"/>
              </w:rPr>
              <w:t>Burimi i financimit</w:t>
            </w:r>
          </w:p>
        </w:tc>
        <w:tc>
          <w:tcPr>
            <w:tcW w:w="1560" w:type="dxa"/>
            <w:vMerge w:val="restart"/>
            <w:tcBorders>
              <w:top w:val="single" w:sz="8" w:space="0" w:color="auto"/>
              <w:left w:val="single" w:sz="4" w:space="0" w:color="auto"/>
              <w:bottom w:val="single" w:sz="4" w:space="0" w:color="auto"/>
              <w:right w:val="single" w:sz="8" w:space="0" w:color="auto"/>
            </w:tcBorders>
            <w:shd w:val="clear" w:color="auto" w:fill="auto"/>
            <w:hideMark/>
          </w:tcPr>
          <w:p w:rsidR="00B951B1" w:rsidRPr="00E61612" w:rsidRDefault="00B951B1" w:rsidP="00CB78E6">
            <w:pPr>
              <w:spacing w:after="0"/>
              <w:jc w:val="center"/>
              <w:rPr>
                <w:rFonts w:cs="Calibri"/>
                <w:b/>
                <w:bCs/>
                <w:color w:val="000000"/>
                <w:sz w:val="20"/>
                <w:szCs w:val="20"/>
              </w:rPr>
            </w:pPr>
            <w:r w:rsidRPr="00E61612">
              <w:rPr>
                <w:rFonts w:cs="Calibri"/>
                <w:b/>
                <w:bCs/>
                <w:color w:val="000000"/>
                <w:sz w:val="20"/>
                <w:szCs w:val="20"/>
              </w:rPr>
              <w:t>Hendeku financiar</w:t>
            </w:r>
          </w:p>
        </w:tc>
      </w:tr>
      <w:tr w:rsidR="00B951B1" w:rsidRPr="00E61612" w:rsidTr="00CB78E6">
        <w:trPr>
          <w:trHeight w:val="551"/>
          <w:tblHeader/>
        </w:trPr>
        <w:tc>
          <w:tcPr>
            <w:tcW w:w="698" w:type="dxa"/>
            <w:vMerge/>
            <w:tcBorders>
              <w:top w:val="single" w:sz="8" w:space="0" w:color="auto"/>
              <w:left w:val="single" w:sz="8" w:space="0" w:color="auto"/>
              <w:bottom w:val="single" w:sz="4" w:space="0" w:color="auto"/>
              <w:right w:val="single" w:sz="4" w:space="0" w:color="auto"/>
            </w:tcBorders>
            <w:hideMark/>
          </w:tcPr>
          <w:p w:rsidR="00B951B1" w:rsidRPr="00E61612" w:rsidRDefault="00B951B1" w:rsidP="00CB78E6">
            <w:pPr>
              <w:spacing w:after="0"/>
              <w:rPr>
                <w:rFonts w:cs="Calibri"/>
                <w:b/>
                <w:bCs/>
                <w:color w:val="000000"/>
                <w:sz w:val="20"/>
                <w:szCs w:val="20"/>
              </w:rPr>
            </w:pPr>
          </w:p>
        </w:tc>
        <w:tc>
          <w:tcPr>
            <w:tcW w:w="3403" w:type="dxa"/>
            <w:vMerge/>
            <w:tcBorders>
              <w:top w:val="single" w:sz="8" w:space="0" w:color="auto"/>
              <w:left w:val="single" w:sz="4" w:space="0" w:color="auto"/>
              <w:bottom w:val="single" w:sz="4" w:space="0" w:color="auto"/>
              <w:right w:val="single" w:sz="4" w:space="0" w:color="auto"/>
            </w:tcBorders>
            <w:hideMark/>
          </w:tcPr>
          <w:p w:rsidR="00B951B1" w:rsidRPr="00E61612" w:rsidRDefault="00B951B1" w:rsidP="00CB78E6">
            <w:pPr>
              <w:spacing w:after="0"/>
              <w:rPr>
                <w:rFonts w:cs="Calibri"/>
                <w:b/>
                <w:bCs/>
                <w:color w:val="000000"/>
                <w:sz w:val="20"/>
                <w:szCs w:val="20"/>
              </w:rPr>
            </w:pPr>
          </w:p>
        </w:tc>
        <w:tc>
          <w:tcPr>
            <w:tcW w:w="1559" w:type="dxa"/>
            <w:vMerge/>
            <w:tcBorders>
              <w:top w:val="single" w:sz="8" w:space="0" w:color="auto"/>
              <w:left w:val="single" w:sz="4" w:space="0" w:color="auto"/>
              <w:bottom w:val="single" w:sz="4" w:space="0" w:color="000000"/>
              <w:right w:val="single" w:sz="4" w:space="0" w:color="auto"/>
            </w:tcBorders>
            <w:hideMark/>
          </w:tcPr>
          <w:p w:rsidR="00B951B1" w:rsidRPr="00E61612" w:rsidRDefault="00B951B1" w:rsidP="00CB78E6">
            <w:pPr>
              <w:spacing w:after="0"/>
              <w:rPr>
                <w:rFonts w:cs="Calibri"/>
                <w:b/>
                <w:bCs/>
                <w:color w:val="000000"/>
                <w:sz w:val="20"/>
                <w:szCs w:val="20"/>
              </w:rPr>
            </w:pPr>
          </w:p>
        </w:tc>
        <w:tc>
          <w:tcPr>
            <w:tcW w:w="1253" w:type="dxa"/>
            <w:tcBorders>
              <w:top w:val="nil"/>
              <w:left w:val="nil"/>
              <w:bottom w:val="single" w:sz="4" w:space="0" w:color="auto"/>
              <w:right w:val="single" w:sz="4" w:space="0" w:color="auto"/>
            </w:tcBorders>
            <w:shd w:val="clear" w:color="auto" w:fill="auto"/>
            <w:hideMark/>
          </w:tcPr>
          <w:p w:rsidR="00B951B1" w:rsidRPr="00E61612" w:rsidRDefault="00B951B1" w:rsidP="00CB78E6">
            <w:pPr>
              <w:spacing w:after="0"/>
              <w:jc w:val="center"/>
              <w:rPr>
                <w:rFonts w:cs="Calibri"/>
                <w:b/>
                <w:bCs/>
                <w:color w:val="000000"/>
                <w:sz w:val="20"/>
                <w:szCs w:val="20"/>
              </w:rPr>
            </w:pPr>
            <w:r w:rsidRPr="00E61612">
              <w:rPr>
                <w:rFonts w:cs="Calibri"/>
                <w:b/>
                <w:bCs/>
                <w:color w:val="000000"/>
                <w:sz w:val="20"/>
                <w:szCs w:val="20"/>
              </w:rPr>
              <w:t>Buxheti i Shtetit</w:t>
            </w:r>
          </w:p>
        </w:tc>
        <w:tc>
          <w:tcPr>
            <w:tcW w:w="1015" w:type="dxa"/>
            <w:tcBorders>
              <w:top w:val="nil"/>
              <w:left w:val="nil"/>
              <w:bottom w:val="single" w:sz="4" w:space="0" w:color="auto"/>
              <w:right w:val="single" w:sz="4" w:space="0" w:color="auto"/>
            </w:tcBorders>
            <w:shd w:val="clear" w:color="auto" w:fill="auto"/>
            <w:hideMark/>
          </w:tcPr>
          <w:p w:rsidR="00B951B1" w:rsidRPr="00E61612" w:rsidRDefault="00B951B1" w:rsidP="00CB78E6">
            <w:pPr>
              <w:spacing w:after="0"/>
              <w:jc w:val="center"/>
              <w:rPr>
                <w:rFonts w:cs="Calibri"/>
                <w:b/>
                <w:bCs/>
                <w:color w:val="000000"/>
                <w:sz w:val="20"/>
                <w:szCs w:val="20"/>
              </w:rPr>
            </w:pPr>
            <w:r w:rsidRPr="00E61612">
              <w:rPr>
                <w:rFonts w:cs="Calibri"/>
                <w:b/>
                <w:bCs/>
                <w:color w:val="000000"/>
                <w:sz w:val="20"/>
                <w:szCs w:val="20"/>
              </w:rPr>
              <w:t>Financimi i huaj</w:t>
            </w:r>
          </w:p>
        </w:tc>
        <w:tc>
          <w:tcPr>
            <w:tcW w:w="1560" w:type="dxa"/>
            <w:vMerge/>
            <w:tcBorders>
              <w:top w:val="single" w:sz="8" w:space="0" w:color="auto"/>
              <w:left w:val="single" w:sz="4" w:space="0" w:color="auto"/>
              <w:bottom w:val="single" w:sz="4" w:space="0" w:color="auto"/>
              <w:right w:val="single" w:sz="8" w:space="0" w:color="auto"/>
            </w:tcBorders>
            <w:hideMark/>
          </w:tcPr>
          <w:p w:rsidR="00B951B1" w:rsidRPr="00E61612" w:rsidRDefault="00B951B1" w:rsidP="00CB78E6">
            <w:pPr>
              <w:spacing w:after="0"/>
              <w:rPr>
                <w:rFonts w:cs="Calibri"/>
                <w:b/>
                <w:bCs/>
                <w:color w:val="000000"/>
                <w:sz w:val="20"/>
                <w:szCs w:val="20"/>
              </w:rPr>
            </w:pPr>
          </w:p>
        </w:tc>
      </w:tr>
      <w:tr w:rsidR="00B951B1" w:rsidRPr="00E61612" w:rsidTr="00CB78E6">
        <w:trPr>
          <w:trHeight w:val="1380"/>
        </w:trPr>
        <w:tc>
          <w:tcPr>
            <w:tcW w:w="698" w:type="dxa"/>
            <w:tcBorders>
              <w:top w:val="nil"/>
              <w:left w:val="single" w:sz="8" w:space="0" w:color="auto"/>
              <w:bottom w:val="single" w:sz="4" w:space="0" w:color="auto"/>
              <w:right w:val="single" w:sz="4" w:space="0" w:color="auto"/>
            </w:tcBorders>
            <w:shd w:val="clear" w:color="000000" w:fill="D9D9D9"/>
            <w:hideMark/>
          </w:tcPr>
          <w:p w:rsidR="00B951B1" w:rsidRPr="00E61612" w:rsidRDefault="00B951B1" w:rsidP="00CB78E6">
            <w:pPr>
              <w:spacing w:after="0"/>
              <w:jc w:val="center"/>
              <w:rPr>
                <w:rFonts w:cs="Calibri"/>
                <w:b/>
                <w:bCs/>
                <w:color w:val="000000"/>
                <w:sz w:val="20"/>
                <w:szCs w:val="20"/>
              </w:rPr>
            </w:pPr>
            <w:r w:rsidRPr="00E61612">
              <w:rPr>
                <w:rFonts w:cs="Calibri"/>
                <w:b/>
                <w:bCs/>
                <w:color w:val="000000"/>
                <w:sz w:val="20"/>
                <w:szCs w:val="20"/>
              </w:rPr>
              <w:t>A1</w:t>
            </w:r>
          </w:p>
        </w:tc>
        <w:tc>
          <w:tcPr>
            <w:tcW w:w="3403" w:type="dxa"/>
            <w:tcBorders>
              <w:top w:val="nil"/>
              <w:left w:val="nil"/>
              <w:bottom w:val="single" w:sz="4" w:space="0" w:color="auto"/>
              <w:right w:val="single" w:sz="4" w:space="0" w:color="auto"/>
            </w:tcBorders>
            <w:shd w:val="clear" w:color="000000" w:fill="D9D9D9"/>
            <w:hideMark/>
          </w:tcPr>
          <w:p w:rsidR="00B951B1" w:rsidRPr="00E61612" w:rsidRDefault="00B951B1" w:rsidP="00CB78E6">
            <w:pPr>
              <w:spacing w:after="0"/>
              <w:rPr>
                <w:rFonts w:cs="Calibri"/>
                <w:sz w:val="20"/>
                <w:szCs w:val="20"/>
              </w:rPr>
            </w:pPr>
            <w:r w:rsidRPr="00E61612">
              <w:rPr>
                <w:rFonts w:cs="Calibri"/>
                <w:sz w:val="20"/>
                <w:szCs w:val="20"/>
              </w:rPr>
              <w:t>Sigurohet përfshirja e plotë në klasën përgatitore dhe në arsimin e detyrueshëm, si dhe rritet aksesi në arsimin parashkollor dhe te mesëm të lartë, përmes krijimit të kushteve të përshtatshme infrastrukturore dhe mjediseve shkollore miqësore</w:t>
            </w:r>
          </w:p>
        </w:tc>
        <w:tc>
          <w:tcPr>
            <w:tcW w:w="1559" w:type="dxa"/>
            <w:tcBorders>
              <w:top w:val="nil"/>
              <w:left w:val="nil"/>
              <w:bottom w:val="single" w:sz="4" w:space="0" w:color="auto"/>
              <w:right w:val="single" w:sz="4" w:space="0" w:color="auto"/>
            </w:tcBorders>
            <w:shd w:val="clear" w:color="000000" w:fill="D9D9D9"/>
            <w:noWrap/>
            <w:hideMark/>
          </w:tcPr>
          <w:p w:rsidR="00B951B1" w:rsidRPr="00E61612" w:rsidRDefault="00B951B1" w:rsidP="00CB78E6">
            <w:pPr>
              <w:spacing w:after="0"/>
              <w:jc w:val="right"/>
              <w:rPr>
                <w:rFonts w:cs="Calibri"/>
                <w:color w:val="000000"/>
                <w:sz w:val="20"/>
                <w:szCs w:val="20"/>
              </w:rPr>
            </w:pPr>
            <w:r w:rsidRPr="00E61612">
              <w:rPr>
                <w:rFonts w:cs="Calibri"/>
                <w:color w:val="000000"/>
                <w:sz w:val="20"/>
                <w:szCs w:val="20"/>
              </w:rPr>
              <w:t>27,390,756</w:t>
            </w:r>
          </w:p>
        </w:tc>
        <w:tc>
          <w:tcPr>
            <w:tcW w:w="1253" w:type="dxa"/>
            <w:tcBorders>
              <w:top w:val="nil"/>
              <w:left w:val="nil"/>
              <w:bottom w:val="single" w:sz="4" w:space="0" w:color="auto"/>
              <w:right w:val="single" w:sz="4" w:space="0" w:color="auto"/>
            </w:tcBorders>
            <w:shd w:val="clear" w:color="000000" w:fill="D9D9D9"/>
            <w:noWrap/>
            <w:hideMark/>
          </w:tcPr>
          <w:p w:rsidR="00B951B1" w:rsidRPr="00E61612" w:rsidRDefault="00B951B1" w:rsidP="00CB78E6">
            <w:pPr>
              <w:spacing w:after="0"/>
              <w:jc w:val="right"/>
              <w:rPr>
                <w:rFonts w:cs="Calibri"/>
                <w:color w:val="000000"/>
                <w:sz w:val="20"/>
                <w:szCs w:val="20"/>
              </w:rPr>
            </w:pPr>
            <w:r w:rsidRPr="00E61612">
              <w:rPr>
                <w:rFonts w:cs="Calibri"/>
                <w:color w:val="000000"/>
                <w:sz w:val="20"/>
                <w:szCs w:val="20"/>
              </w:rPr>
              <w:t>25,494,813</w:t>
            </w:r>
          </w:p>
        </w:tc>
        <w:tc>
          <w:tcPr>
            <w:tcW w:w="1015" w:type="dxa"/>
            <w:tcBorders>
              <w:top w:val="nil"/>
              <w:left w:val="nil"/>
              <w:bottom w:val="single" w:sz="4" w:space="0" w:color="auto"/>
              <w:right w:val="single" w:sz="4" w:space="0" w:color="auto"/>
            </w:tcBorders>
            <w:shd w:val="clear" w:color="000000" w:fill="D9D9D9"/>
            <w:noWrap/>
            <w:hideMark/>
          </w:tcPr>
          <w:p w:rsidR="00B951B1" w:rsidRPr="00E61612" w:rsidRDefault="00B951B1" w:rsidP="00CB78E6">
            <w:pPr>
              <w:spacing w:after="0"/>
              <w:jc w:val="right"/>
              <w:rPr>
                <w:rFonts w:cs="Calibri"/>
                <w:color w:val="000000"/>
                <w:sz w:val="20"/>
                <w:szCs w:val="20"/>
              </w:rPr>
            </w:pPr>
            <w:r w:rsidRPr="00E61612">
              <w:rPr>
                <w:rFonts w:cs="Calibri"/>
                <w:color w:val="000000"/>
                <w:sz w:val="20"/>
                <w:szCs w:val="20"/>
              </w:rPr>
              <w:t>60,732</w:t>
            </w:r>
          </w:p>
        </w:tc>
        <w:tc>
          <w:tcPr>
            <w:tcW w:w="1560" w:type="dxa"/>
            <w:tcBorders>
              <w:top w:val="nil"/>
              <w:left w:val="nil"/>
              <w:bottom w:val="single" w:sz="4" w:space="0" w:color="auto"/>
              <w:right w:val="single" w:sz="8" w:space="0" w:color="auto"/>
            </w:tcBorders>
            <w:shd w:val="clear" w:color="000000" w:fill="D9D9D9"/>
            <w:noWrap/>
            <w:hideMark/>
          </w:tcPr>
          <w:p w:rsidR="00B951B1" w:rsidRPr="00E61612" w:rsidRDefault="00B951B1" w:rsidP="00CB78E6">
            <w:pPr>
              <w:spacing w:after="0"/>
              <w:jc w:val="right"/>
              <w:rPr>
                <w:rFonts w:cs="Calibri"/>
                <w:color w:val="000000"/>
                <w:sz w:val="20"/>
                <w:szCs w:val="20"/>
              </w:rPr>
            </w:pPr>
            <w:r w:rsidRPr="00E61612">
              <w:rPr>
                <w:rFonts w:cs="Calibri"/>
                <w:color w:val="000000"/>
                <w:sz w:val="20"/>
                <w:szCs w:val="20"/>
              </w:rPr>
              <w:t>(1,835,211)</w:t>
            </w:r>
          </w:p>
        </w:tc>
      </w:tr>
      <w:tr w:rsidR="00B951B1" w:rsidRPr="00E61612" w:rsidTr="00CB78E6">
        <w:trPr>
          <w:trHeight w:val="735"/>
        </w:trPr>
        <w:tc>
          <w:tcPr>
            <w:tcW w:w="698" w:type="dxa"/>
            <w:tcBorders>
              <w:top w:val="single" w:sz="4" w:space="0" w:color="auto"/>
              <w:left w:val="single" w:sz="8" w:space="0" w:color="auto"/>
              <w:bottom w:val="single" w:sz="4" w:space="0" w:color="auto"/>
              <w:right w:val="single" w:sz="4" w:space="0" w:color="auto"/>
            </w:tcBorders>
            <w:shd w:val="clear" w:color="000000" w:fill="FFFFFF"/>
            <w:hideMark/>
          </w:tcPr>
          <w:p w:rsidR="00B951B1" w:rsidRPr="00E61612" w:rsidRDefault="00B951B1" w:rsidP="00CB78E6">
            <w:pPr>
              <w:spacing w:after="0"/>
              <w:jc w:val="center"/>
              <w:rPr>
                <w:rFonts w:cs="Calibri"/>
                <w:b/>
                <w:bCs/>
                <w:color w:val="000000"/>
                <w:sz w:val="20"/>
                <w:szCs w:val="20"/>
              </w:rPr>
            </w:pPr>
            <w:r w:rsidRPr="00E61612">
              <w:rPr>
                <w:rFonts w:cs="Calibri"/>
                <w:b/>
                <w:bCs/>
                <w:color w:val="000000"/>
                <w:sz w:val="20"/>
                <w:szCs w:val="20"/>
              </w:rPr>
              <w:t>A1.1</w:t>
            </w:r>
          </w:p>
        </w:tc>
        <w:tc>
          <w:tcPr>
            <w:tcW w:w="3403" w:type="dxa"/>
            <w:tcBorders>
              <w:top w:val="single" w:sz="4" w:space="0" w:color="auto"/>
              <w:left w:val="nil"/>
              <w:bottom w:val="single" w:sz="4" w:space="0" w:color="auto"/>
              <w:right w:val="single" w:sz="4" w:space="0" w:color="auto"/>
            </w:tcBorders>
            <w:shd w:val="clear" w:color="000000" w:fill="FFFFFF"/>
            <w:hideMark/>
          </w:tcPr>
          <w:p w:rsidR="00B951B1" w:rsidRPr="00E61612" w:rsidRDefault="00B951B1" w:rsidP="00CB78E6">
            <w:pPr>
              <w:spacing w:after="0"/>
              <w:rPr>
                <w:rFonts w:cs="Calibri"/>
                <w:sz w:val="20"/>
                <w:szCs w:val="20"/>
              </w:rPr>
            </w:pPr>
            <w:r w:rsidRPr="00E61612">
              <w:rPr>
                <w:rFonts w:cs="Calibri"/>
                <w:sz w:val="20"/>
                <w:szCs w:val="20"/>
              </w:rPr>
              <w:t xml:space="preserve"> Rritja e aksesit në arsimin parashkollor</w:t>
            </w:r>
          </w:p>
        </w:tc>
        <w:tc>
          <w:tcPr>
            <w:tcW w:w="1559" w:type="dxa"/>
            <w:tcBorders>
              <w:top w:val="single" w:sz="4" w:space="0" w:color="auto"/>
              <w:left w:val="nil"/>
              <w:bottom w:val="single" w:sz="4" w:space="0" w:color="auto"/>
              <w:right w:val="single" w:sz="4" w:space="0" w:color="auto"/>
            </w:tcBorders>
            <w:shd w:val="clear" w:color="000000" w:fill="FFFFFF"/>
            <w:noWrap/>
            <w:hideMark/>
          </w:tcPr>
          <w:p w:rsidR="00B951B1" w:rsidRPr="00E61612" w:rsidRDefault="00B951B1" w:rsidP="00CB78E6">
            <w:pPr>
              <w:spacing w:after="0"/>
              <w:jc w:val="right"/>
              <w:rPr>
                <w:rFonts w:cs="Calibri"/>
                <w:color w:val="000000"/>
                <w:sz w:val="20"/>
                <w:szCs w:val="20"/>
              </w:rPr>
            </w:pPr>
            <w:r w:rsidRPr="00E61612">
              <w:rPr>
                <w:rFonts w:cs="Calibri"/>
                <w:color w:val="000000"/>
                <w:sz w:val="20"/>
                <w:szCs w:val="20"/>
              </w:rPr>
              <w:t>152,587</w:t>
            </w:r>
          </w:p>
        </w:tc>
        <w:tc>
          <w:tcPr>
            <w:tcW w:w="1253" w:type="dxa"/>
            <w:tcBorders>
              <w:top w:val="single" w:sz="4" w:space="0" w:color="auto"/>
              <w:left w:val="nil"/>
              <w:bottom w:val="single" w:sz="4" w:space="0" w:color="auto"/>
              <w:right w:val="single" w:sz="4" w:space="0" w:color="auto"/>
            </w:tcBorders>
            <w:shd w:val="clear" w:color="000000" w:fill="FFFFFF"/>
            <w:noWrap/>
            <w:hideMark/>
          </w:tcPr>
          <w:p w:rsidR="00B951B1" w:rsidRPr="00E61612" w:rsidRDefault="00B951B1" w:rsidP="00CB78E6">
            <w:pPr>
              <w:spacing w:after="0"/>
              <w:jc w:val="right"/>
              <w:rPr>
                <w:rFonts w:cs="Calibri"/>
                <w:color w:val="000000"/>
                <w:sz w:val="20"/>
                <w:szCs w:val="20"/>
              </w:rPr>
            </w:pPr>
            <w:r w:rsidRPr="00E61612">
              <w:rPr>
                <w:rFonts w:cs="Calibri"/>
                <w:color w:val="000000"/>
                <w:sz w:val="20"/>
                <w:szCs w:val="20"/>
              </w:rPr>
              <w:t>-</w:t>
            </w:r>
          </w:p>
        </w:tc>
        <w:tc>
          <w:tcPr>
            <w:tcW w:w="1015" w:type="dxa"/>
            <w:tcBorders>
              <w:top w:val="single" w:sz="4" w:space="0" w:color="auto"/>
              <w:left w:val="nil"/>
              <w:bottom w:val="single" w:sz="4" w:space="0" w:color="auto"/>
              <w:right w:val="single" w:sz="4" w:space="0" w:color="auto"/>
            </w:tcBorders>
            <w:shd w:val="clear" w:color="000000" w:fill="FFFFFF"/>
            <w:noWrap/>
            <w:hideMark/>
          </w:tcPr>
          <w:p w:rsidR="00B951B1" w:rsidRPr="00E61612" w:rsidRDefault="00B951B1" w:rsidP="00CB78E6">
            <w:pPr>
              <w:spacing w:after="0"/>
              <w:jc w:val="right"/>
              <w:rPr>
                <w:rFonts w:cs="Calibri"/>
                <w:color w:val="000000"/>
                <w:sz w:val="20"/>
                <w:szCs w:val="20"/>
              </w:rPr>
            </w:pPr>
            <w:r w:rsidRPr="00E61612">
              <w:rPr>
                <w:rFonts w:cs="Calibri"/>
                <w:color w:val="000000"/>
                <w:sz w:val="20"/>
                <w:szCs w:val="20"/>
              </w:rPr>
              <w:t>10,080</w:t>
            </w:r>
          </w:p>
        </w:tc>
        <w:tc>
          <w:tcPr>
            <w:tcW w:w="1560" w:type="dxa"/>
            <w:tcBorders>
              <w:top w:val="single" w:sz="4" w:space="0" w:color="auto"/>
              <w:left w:val="nil"/>
              <w:bottom w:val="single" w:sz="4" w:space="0" w:color="auto"/>
              <w:right w:val="single" w:sz="8" w:space="0" w:color="auto"/>
            </w:tcBorders>
            <w:shd w:val="clear" w:color="000000" w:fill="FFFFFF"/>
            <w:noWrap/>
            <w:hideMark/>
          </w:tcPr>
          <w:p w:rsidR="00B951B1" w:rsidRPr="00E61612" w:rsidRDefault="00B951B1" w:rsidP="00CB78E6">
            <w:pPr>
              <w:spacing w:after="0"/>
              <w:jc w:val="right"/>
              <w:rPr>
                <w:rFonts w:cs="Calibri"/>
                <w:color w:val="000000"/>
                <w:sz w:val="20"/>
                <w:szCs w:val="20"/>
              </w:rPr>
            </w:pPr>
            <w:r w:rsidRPr="00E61612">
              <w:rPr>
                <w:rFonts w:cs="Calibri"/>
                <w:color w:val="000000"/>
                <w:sz w:val="20"/>
                <w:szCs w:val="20"/>
              </w:rPr>
              <w:t>(142,507)</w:t>
            </w:r>
          </w:p>
        </w:tc>
      </w:tr>
      <w:tr w:rsidR="00B951B1" w:rsidRPr="00E61612" w:rsidTr="00CB78E6">
        <w:trPr>
          <w:trHeight w:val="705"/>
        </w:trPr>
        <w:tc>
          <w:tcPr>
            <w:tcW w:w="698" w:type="dxa"/>
            <w:tcBorders>
              <w:top w:val="single" w:sz="4" w:space="0" w:color="auto"/>
              <w:left w:val="single" w:sz="8" w:space="0" w:color="auto"/>
              <w:bottom w:val="single" w:sz="4" w:space="0" w:color="auto"/>
              <w:right w:val="single" w:sz="4" w:space="0" w:color="auto"/>
            </w:tcBorders>
            <w:shd w:val="clear" w:color="000000" w:fill="FFFFFF"/>
            <w:hideMark/>
          </w:tcPr>
          <w:p w:rsidR="00B951B1" w:rsidRPr="00E61612" w:rsidRDefault="00B951B1" w:rsidP="00CB78E6">
            <w:pPr>
              <w:spacing w:after="0"/>
              <w:jc w:val="center"/>
              <w:rPr>
                <w:rFonts w:cs="Calibri"/>
                <w:b/>
                <w:bCs/>
                <w:color w:val="000000"/>
                <w:sz w:val="20"/>
                <w:szCs w:val="20"/>
              </w:rPr>
            </w:pPr>
            <w:r w:rsidRPr="00E61612">
              <w:rPr>
                <w:rFonts w:cs="Calibri"/>
                <w:b/>
                <w:bCs/>
                <w:color w:val="000000"/>
                <w:sz w:val="20"/>
                <w:szCs w:val="20"/>
              </w:rPr>
              <w:t>A1.2</w:t>
            </w:r>
          </w:p>
        </w:tc>
        <w:tc>
          <w:tcPr>
            <w:tcW w:w="3403" w:type="dxa"/>
            <w:tcBorders>
              <w:top w:val="single" w:sz="4" w:space="0" w:color="auto"/>
              <w:left w:val="nil"/>
              <w:bottom w:val="single" w:sz="4" w:space="0" w:color="auto"/>
              <w:right w:val="single" w:sz="4" w:space="0" w:color="auto"/>
            </w:tcBorders>
            <w:shd w:val="clear" w:color="000000" w:fill="FFFFFF"/>
            <w:hideMark/>
          </w:tcPr>
          <w:p w:rsidR="00B951B1" w:rsidRPr="00E61612" w:rsidRDefault="00B951B1" w:rsidP="00CB78E6">
            <w:pPr>
              <w:spacing w:after="0"/>
              <w:rPr>
                <w:rFonts w:cs="Calibri"/>
                <w:sz w:val="20"/>
                <w:szCs w:val="20"/>
              </w:rPr>
            </w:pPr>
            <w:r w:rsidRPr="00E61612">
              <w:rPr>
                <w:rFonts w:cs="Calibri"/>
                <w:sz w:val="20"/>
                <w:szCs w:val="20"/>
              </w:rPr>
              <w:t>Rritja e pjesëmarrjes në arsimin parauniversitar</w:t>
            </w:r>
          </w:p>
        </w:tc>
        <w:tc>
          <w:tcPr>
            <w:tcW w:w="1559" w:type="dxa"/>
            <w:tcBorders>
              <w:top w:val="single" w:sz="4" w:space="0" w:color="auto"/>
              <w:left w:val="nil"/>
              <w:bottom w:val="single" w:sz="4" w:space="0" w:color="auto"/>
              <w:right w:val="single" w:sz="4" w:space="0" w:color="auto"/>
            </w:tcBorders>
            <w:shd w:val="clear" w:color="000000" w:fill="FFFFFF"/>
            <w:noWrap/>
            <w:hideMark/>
          </w:tcPr>
          <w:p w:rsidR="00B951B1" w:rsidRPr="00E61612" w:rsidRDefault="00B951B1" w:rsidP="00CB78E6">
            <w:pPr>
              <w:spacing w:after="0"/>
              <w:jc w:val="right"/>
              <w:rPr>
                <w:rFonts w:cs="Calibri"/>
                <w:color w:val="000000"/>
                <w:sz w:val="20"/>
                <w:szCs w:val="20"/>
              </w:rPr>
            </w:pPr>
            <w:r w:rsidRPr="00E61612">
              <w:rPr>
                <w:rFonts w:cs="Calibri"/>
                <w:color w:val="000000"/>
                <w:sz w:val="20"/>
                <w:szCs w:val="20"/>
              </w:rPr>
              <w:t>114,814</w:t>
            </w:r>
          </w:p>
        </w:tc>
        <w:tc>
          <w:tcPr>
            <w:tcW w:w="1253" w:type="dxa"/>
            <w:tcBorders>
              <w:top w:val="single" w:sz="4" w:space="0" w:color="auto"/>
              <w:left w:val="nil"/>
              <w:bottom w:val="single" w:sz="4" w:space="0" w:color="auto"/>
              <w:right w:val="single" w:sz="4" w:space="0" w:color="auto"/>
            </w:tcBorders>
            <w:shd w:val="clear" w:color="000000" w:fill="FFFFFF"/>
            <w:noWrap/>
            <w:hideMark/>
          </w:tcPr>
          <w:p w:rsidR="00B951B1" w:rsidRPr="00E61612" w:rsidRDefault="00B951B1" w:rsidP="00CB78E6">
            <w:pPr>
              <w:spacing w:after="0"/>
              <w:jc w:val="right"/>
              <w:rPr>
                <w:rFonts w:cs="Calibri"/>
                <w:color w:val="000000"/>
                <w:sz w:val="20"/>
                <w:szCs w:val="20"/>
              </w:rPr>
            </w:pPr>
            <w:r w:rsidRPr="00E61612">
              <w:rPr>
                <w:rFonts w:cs="Calibri"/>
                <w:color w:val="000000"/>
                <w:sz w:val="20"/>
                <w:szCs w:val="20"/>
              </w:rPr>
              <w:t>-</w:t>
            </w:r>
          </w:p>
        </w:tc>
        <w:tc>
          <w:tcPr>
            <w:tcW w:w="1015" w:type="dxa"/>
            <w:tcBorders>
              <w:top w:val="single" w:sz="4" w:space="0" w:color="auto"/>
              <w:left w:val="nil"/>
              <w:bottom w:val="single" w:sz="4" w:space="0" w:color="auto"/>
              <w:right w:val="single" w:sz="4" w:space="0" w:color="auto"/>
            </w:tcBorders>
            <w:shd w:val="clear" w:color="000000" w:fill="FFFFFF"/>
            <w:noWrap/>
            <w:hideMark/>
          </w:tcPr>
          <w:p w:rsidR="00B951B1" w:rsidRPr="00E61612" w:rsidRDefault="00B951B1" w:rsidP="00CB78E6">
            <w:pPr>
              <w:spacing w:after="0"/>
              <w:jc w:val="right"/>
              <w:rPr>
                <w:rFonts w:cs="Calibri"/>
                <w:color w:val="000000"/>
                <w:sz w:val="20"/>
                <w:szCs w:val="20"/>
              </w:rPr>
            </w:pPr>
            <w:r w:rsidRPr="00E61612">
              <w:rPr>
                <w:rFonts w:cs="Calibri"/>
                <w:color w:val="000000"/>
                <w:sz w:val="20"/>
                <w:szCs w:val="20"/>
              </w:rPr>
              <w:t>6,814</w:t>
            </w:r>
          </w:p>
        </w:tc>
        <w:tc>
          <w:tcPr>
            <w:tcW w:w="1560" w:type="dxa"/>
            <w:tcBorders>
              <w:top w:val="single" w:sz="4" w:space="0" w:color="auto"/>
              <w:left w:val="nil"/>
              <w:bottom w:val="single" w:sz="4" w:space="0" w:color="auto"/>
              <w:right w:val="single" w:sz="8" w:space="0" w:color="auto"/>
            </w:tcBorders>
            <w:shd w:val="clear" w:color="000000" w:fill="FFFFFF"/>
            <w:noWrap/>
            <w:hideMark/>
          </w:tcPr>
          <w:p w:rsidR="00B951B1" w:rsidRPr="00E61612" w:rsidRDefault="00B951B1" w:rsidP="00CB78E6">
            <w:pPr>
              <w:spacing w:after="0"/>
              <w:jc w:val="right"/>
              <w:rPr>
                <w:rFonts w:cs="Calibri"/>
                <w:color w:val="000000"/>
                <w:sz w:val="20"/>
                <w:szCs w:val="20"/>
              </w:rPr>
            </w:pPr>
            <w:r w:rsidRPr="00E61612">
              <w:rPr>
                <w:rFonts w:cs="Calibri"/>
                <w:color w:val="000000"/>
                <w:sz w:val="20"/>
                <w:szCs w:val="20"/>
              </w:rPr>
              <w:t>(108,000)</w:t>
            </w:r>
          </w:p>
        </w:tc>
      </w:tr>
      <w:tr w:rsidR="00B951B1" w:rsidRPr="00E61612" w:rsidTr="00CB78E6">
        <w:trPr>
          <w:trHeight w:val="705"/>
        </w:trPr>
        <w:tc>
          <w:tcPr>
            <w:tcW w:w="698" w:type="dxa"/>
            <w:tcBorders>
              <w:top w:val="single" w:sz="4" w:space="0" w:color="auto"/>
              <w:left w:val="single" w:sz="8" w:space="0" w:color="auto"/>
              <w:bottom w:val="single" w:sz="4" w:space="0" w:color="auto"/>
              <w:right w:val="single" w:sz="4" w:space="0" w:color="auto"/>
            </w:tcBorders>
            <w:shd w:val="clear" w:color="000000" w:fill="FFFFFF"/>
            <w:hideMark/>
          </w:tcPr>
          <w:p w:rsidR="00B951B1" w:rsidRPr="00E61612" w:rsidRDefault="00B951B1" w:rsidP="00CB78E6">
            <w:pPr>
              <w:spacing w:after="0"/>
              <w:jc w:val="center"/>
              <w:rPr>
                <w:rFonts w:cs="Calibri"/>
                <w:b/>
                <w:bCs/>
                <w:color w:val="000000"/>
                <w:sz w:val="20"/>
                <w:szCs w:val="20"/>
              </w:rPr>
            </w:pPr>
            <w:r w:rsidRPr="00E61612">
              <w:rPr>
                <w:rFonts w:cs="Calibri"/>
                <w:b/>
                <w:bCs/>
                <w:color w:val="000000"/>
                <w:sz w:val="20"/>
                <w:szCs w:val="20"/>
              </w:rPr>
              <w:lastRenderedPageBreak/>
              <w:t>A1.3</w:t>
            </w:r>
          </w:p>
        </w:tc>
        <w:tc>
          <w:tcPr>
            <w:tcW w:w="3403" w:type="dxa"/>
            <w:tcBorders>
              <w:top w:val="single" w:sz="4" w:space="0" w:color="auto"/>
              <w:left w:val="nil"/>
              <w:bottom w:val="single" w:sz="4" w:space="0" w:color="auto"/>
              <w:right w:val="single" w:sz="4" w:space="0" w:color="auto"/>
            </w:tcBorders>
            <w:shd w:val="clear" w:color="000000" w:fill="FFFFFF"/>
            <w:hideMark/>
          </w:tcPr>
          <w:p w:rsidR="00B951B1" w:rsidRPr="00E61612" w:rsidRDefault="00B951B1" w:rsidP="00CB78E6">
            <w:pPr>
              <w:spacing w:after="0"/>
              <w:rPr>
                <w:rFonts w:cs="Calibri"/>
                <w:sz w:val="20"/>
                <w:szCs w:val="20"/>
              </w:rPr>
            </w:pPr>
            <w:r w:rsidRPr="00E61612">
              <w:rPr>
                <w:rFonts w:cs="Calibri"/>
                <w:sz w:val="20"/>
                <w:szCs w:val="20"/>
              </w:rPr>
              <w:t>Sigurimi i arsimit cilësor për fëmijët nga grupet vulnerabël</w:t>
            </w:r>
          </w:p>
        </w:tc>
        <w:tc>
          <w:tcPr>
            <w:tcW w:w="1559" w:type="dxa"/>
            <w:tcBorders>
              <w:top w:val="single" w:sz="4" w:space="0" w:color="auto"/>
              <w:left w:val="nil"/>
              <w:bottom w:val="single" w:sz="4" w:space="0" w:color="auto"/>
              <w:right w:val="single" w:sz="4" w:space="0" w:color="auto"/>
            </w:tcBorders>
            <w:shd w:val="clear" w:color="000000" w:fill="FFFFFF"/>
            <w:noWrap/>
            <w:hideMark/>
          </w:tcPr>
          <w:p w:rsidR="00B951B1" w:rsidRPr="00E61612" w:rsidRDefault="00B951B1" w:rsidP="00CB78E6">
            <w:pPr>
              <w:spacing w:after="0"/>
              <w:jc w:val="right"/>
              <w:rPr>
                <w:rFonts w:cs="Calibri"/>
                <w:color w:val="000000"/>
                <w:sz w:val="20"/>
                <w:szCs w:val="20"/>
              </w:rPr>
            </w:pPr>
            <w:r w:rsidRPr="00E61612">
              <w:rPr>
                <w:rFonts w:cs="Calibri"/>
                <w:color w:val="000000"/>
                <w:sz w:val="20"/>
                <w:szCs w:val="20"/>
              </w:rPr>
              <w:t>7,268,512</w:t>
            </w:r>
          </w:p>
        </w:tc>
        <w:tc>
          <w:tcPr>
            <w:tcW w:w="1253" w:type="dxa"/>
            <w:tcBorders>
              <w:top w:val="single" w:sz="4" w:space="0" w:color="auto"/>
              <w:left w:val="nil"/>
              <w:bottom w:val="single" w:sz="4" w:space="0" w:color="auto"/>
              <w:right w:val="single" w:sz="4" w:space="0" w:color="auto"/>
            </w:tcBorders>
            <w:shd w:val="clear" w:color="000000" w:fill="FFFFFF"/>
            <w:noWrap/>
            <w:hideMark/>
          </w:tcPr>
          <w:p w:rsidR="00B951B1" w:rsidRPr="00E61612" w:rsidRDefault="00B951B1" w:rsidP="00CB78E6">
            <w:pPr>
              <w:spacing w:after="0"/>
              <w:jc w:val="right"/>
              <w:rPr>
                <w:rFonts w:cs="Calibri"/>
                <w:color w:val="000000"/>
                <w:sz w:val="20"/>
                <w:szCs w:val="20"/>
              </w:rPr>
            </w:pPr>
            <w:r w:rsidRPr="00E61612">
              <w:rPr>
                <w:rFonts w:cs="Calibri"/>
                <w:color w:val="000000"/>
                <w:sz w:val="20"/>
                <w:szCs w:val="20"/>
              </w:rPr>
              <w:t>6,441,360</w:t>
            </w:r>
          </w:p>
        </w:tc>
        <w:tc>
          <w:tcPr>
            <w:tcW w:w="1015" w:type="dxa"/>
            <w:tcBorders>
              <w:top w:val="single" w:sz="4" w:space="0" w:color="auto"/>
              <w:left w:val="nil"/>
              <w:bottom w:val="single" w:sz="4" w:space="0" w:color="auto"/>
              <w:right w:val="single" w:sz="4" w:space="0" w:color="auto"/>
            </w:tcBorders>
            <w:shd w:val="clear" w:color="000000" w:fill="FFFFFF"/>
            <w:noWrap/>
            <w:hideMark/>
          </w:tcPr>
          <w:p w:rsidR="00B951B1" w:rsidRPr="00E61612" w:rsidRDefault="00B951B1" w:rsidP="00CB78E6">
            <w:pPr>
              <w:spacing w:after="0"/>
              <w:jc w:val="right"/>
              <w:rPr>
                <w:rFonts w:cs="Calibri"/>
                <w:color w:val="000000"/>
                <w:sz w:val="20"/>
                <w:szCs w:val="20"/>
              </w:rPr>
            </w:pPr>
            <w:r w:rsidRPr="00E61612">
              <w:rPr>
                <w:rFonts w:cs="Calibri"/>
                <w:color w:val="000000"/>
                <w:sz w:val="20"/>
                <w:szCs w:val="20"/>
              </w:rPr>
              <w:t>32,914</w:t>
            </w:r>
          </w:p>
        </w:tc>
        <w:tc>
          <w:tcPr>
            <w:tcW w:w="1560" w:type="dxa"/>
            <w:tcBorders>
              <w:top w:val="single" w:sz="4" w:space="0" w:color="auto"/>
              <w:left w:val="nil"/>
              <w:bottom w:val="single" w:sz="4" w:space="0" w:color="auto"/>
              <w:right w:val="single" w:sz="8" w:space="0" w:color="auto"/>
            </w:tcBorders>
            <w:shd w:val="clear" w:color="000000" w:fill="FFFFFF"/>
            <w:noWrap/>
            <w:hideMark/>
          </w:tcPr>
          <w:p w:rsidR="00B951B1" w:rsidRPr="00E61612" w:rsidRDefault="00B951B1" w:rsidP="00CB78E6">
            <w:pPr>
              <w:spacing w:after="0"/>
              <w:jc w:val="right"/>
              <w:rPr>
                <w:rFonts w:cs="Calibri"/>
                <w:color w:val="000000"/>
                <w:sz w:val="20"/>
                <w:szCs w:val="20"/>
              </w:rPr>
            </w:pPr>
            <w:r w:rsidRPr="00E61612">
              <w:rPr>
                <w:rFonts w:cs="Calibri"/>
                <w:color w:val="000000"/>
                <w:sz w:val="20"/>
                <w:szCs w:val="20"/>
              </w:rPr>
              <w:t>(794,238)</w:t>
            </w:r>
          </w:p>
        </w:tc>
      </w:tr>
      <w:tr w:rsidR="00B951B1" w:rsidRPr="00E61612" w:rsidTr="00CB78E6">
        <w:trPr>
          <w:trHeight w:val="705"/>
        </w:trPr>
        <w:tc>
          <w:tcPr>
            <w:tcW w:w="698" w:type="dxa"/>
            <w:tcBorders>
              <w:top w:val="single" w:sz="4" w:space="0" w:color="auto"/>
              <w:left w:val="single" w:sz="8" w:space="0" w:color="auto"/>
              <w:bottom w:val="single" w:sz="4" w:space="0" w:color="auto"/>
              <w:right w:val="single" w:sz="4" w:space="0" w:color="auto"/>
            </w:tcBorders>
            <w:shd w:val="clear" w:color="000000" w:fill="FFFFFF"/>
            <w:hideMark/>
          </w:tcPr>
          <w:p w:rsidR="00B951B1" w:rsidRPr="00E61612" w:rsidRDefault="00B951B1" w:rsidP="00CB78E6">
            <w:pPr>
              <w:spacing w:after="0"/>
              <w:jc w:val="center"/>
              <w:rPr>
                <w:rFonts w:cs="Calibri"/>
                <w:b/>
                <w:bCs/>
                <w:color w:val="000000"/>
                <w:sz w:val="20"/>
                <w:szCs w:val="20"/>
              </w:rPr>
            </w:pPr>
            <w:r w:rsidRPr="00E61612">
              <w:rPr>
                <w:rFonts w:cs="Calibri"/>
                <w:b/>
                <w:bCs/>
                <w:color w:val="000000"/>
                <w:sz w:val="20"/>
                <w:szCs w:val="20"/>
              </w:rPr>
              <w:t>A1.4</w:t>
            </w:r>
          </w:p>
        </w:tc>
        <w:tc>
          <w:tcPr>
            <w:tcW w:w="3403" w:type="dxa"/>
            <w:tcBorders>
              <w:top w:val="single" w:sz="4" w:space="0" w:color="auto"/>
              <w:left w:val="nil"/>
              <w:bottom w:val="single" w:sz="4" w:space="0" w:color="auto"/>
              <w:right w:val="single" w:sz="4" w:space="0" w:color="auto"/>
            </w:tcBorders>
            <w:shd w:val="clear" w:color="000000" w:fill="FFFFFF"/>
            <w:hideMark/>
          </w:tcPr>
          <w:p w:rsidR="00B951B1" w:rsidRPr="00E61612" w:rsidRDefault="00B951B1" w:rsidP="00CB78E6">
            <w:pPr>
              <w:spacing w:after="0"/>
              <w:rPr>
                <w:rFonts w:cs="Calibri"/>
                <w:sz w:val="20"/>
                <w:szCs w:val="20"/>
              </w:rPr>
            </w:pPr>
            <w:r w:rsidRPr="00E61612">
              <w:rPr>
                <w:rFonts w:cs="Calibri"/>
                <w:sz w:val="20"/>
                <w:szCs w:val="20"/>
              </w:rPr>
              <w:t>Rritja e cilësisë së shërbimit psiko-social për të gjithë nxënësit</w:t>
            </w:r>
          </w:p>
        </w:tc>
        <w:tc>
          <w:tcPr>
            <w:tcW w:w="1559" w:type="dxa"/>
            <w:tcBorders>
              <w:top w:val="single" w:sz="4" w:space="0" w:color="auto"/>
              <w:left w:val="nil"/>
              <w:bottom w:val="single" w:sz="4" w:space="0" w:color="auto"/>
              <w:right w:val="single" w:sz="4" w:space="0" w:color="auto"/>
            </w:tcBorders>
            <w:shd w:val="clear" w:color="000000" w:fill="FFFFFF"/>
            <w:noWrap/>
            <w:hideMark/>
          </w:tcPr>
          <w:p w:rsidR="00B951B1" w:rsidRPr="00E61612" w:rsidRDefault="00B951B1" w:rsidP="00CB78E6">
            <w:pPr>
              <w:spacing w:after="0"/>
              <w:jc w:val="right"/>
              <w:rPr>
                <w:rFonts w:cs="Calibri"/>
                <w:color w:val="000000"/>
                <w:sz w:val="20"/>
                <w:szCs w:val="20"/>
              </w:rPr>
            </w:pPr>
            <w:r w:rsidRPr="00E61612">
              <w:rPr>
                <w:rFonts w:cs="Calibri"/>
                <w:color w:val="000000"/>
                <w:sz w:val="20"/>
                <w:szCs w:val="20"/>
              </w:rPr>
              <w:t>2,801,291</w:t>
            </w:r>
          </w:p>
        </w:tc>
        <w:tc>
          <w:tcPr>
            <w:tcW w:w="1253" w:type="dxa"/>
            <w:tcBorders>
              <w:top w:val="single" w:sz="4" w:space="0" w:color="auto"/>
              <w:left w:val="nil"/>
              <w:bottom w:val="single" w:sz="4" w:space="0" w:color="auto"/>
              <w:right w:val="single" w:sz="4" w:space="0" w:color="auto"/>
            </w:tcBorders>
            <w:shd w:val="clear" w:color="000000" w:fill="FFFFFF"/>
            <w:noWrap/>
            <w:hideMark/>
          </w:tcPr>
          <w:p w:rsidR="00B951B1" w:rsidRPr="00E61612" w:rsidRDefault="00B951B1" w:rsidP="00CB78E6">
            <w:pPr>
              <w:spacing w:after="0"/>
              <w:jc w:val="right"/>
              <w:rPr>
                <w:rFonts w:cs="Calibri"/>
                <w:color w:val="000000"/>
                <w:sz w:val="20"/>
                <w:szCs w:val="20"/>
              </w:rPr>
            </w:pPr>
            <w:r w:rsidRPr="00E61612">
              <w:rPr>
                <w:rFonts w:cs="Calibri"/>
                <w:color w:val="000000"/>
                <w:sz w:val="20"/>
                <w:szCs w:val="20"/>
              </w:rPr>
              <w:t>2,536,751</w:t>
            </w:r>
          </w:p>
        </w:tc>
        <w:tc>
          <w:tcPr>
            <w:tcW w:w="1015" w:type="dxa"/>
            <w:tcBorders>
              <w:top w:val="single" w:sz="4" w:space="0" w:color="auto"/>
              <w:left w:val="nil"/>
              <w:bottom w:val="single" w:sz="4" w:space="0" w:color="auto"/>
              <w:right w:val="single" w:sz="4" w:space="0" w:color="auto"/>
            </w:tcBorders>
            <w:shd w:val="clear" w:color="000000" w:fill="FFFFFF"/>
            <w:noWrap/>
            <w:hideMark/>
          </w:tcPr>
          <w:p w:rsidR="00B951B1" w:rsidRPr="00E61612" w:rsidRDefault="00B951B1" w:rsidP="00CB78E6">
            <w:pPr>
              <w:spacing w:after="0"/>
              <w:jc w:val="right"/>
              <w:rPr>
                <w:rFonts w:cs="Calibri"/>
                <w:color w:val="000000"/>
                <w:sz w:val="20"/>
                <w:szCs w:val="20"/>
              </w:rPr>
            </w:pPr>
            <w:r w:rsidRPr="00E61612">
              <w:rPr>
                <w:rFonts w:cs="Calibri"/>
                <w:color w:val="000000"/>
                <w:sz w:val="20"/>
                <w:szCs w:val="20"/>
              </w:rPr>
              <w:t>3,510</w:t>
            </w:r>
          </w:p>
        </w:tc>
        <w:tc>
          <w:tcPr>
            <w:tcW w:w="1560" w:type="dxa"/>
            <w:tcBorders>
              <w:top w:val="single" w:sz="4" w:space="0" w:color="auto"/>
              <w:left w:val="nil"/>
              <w:bottom w:val="single" w:sz="4" w:space="0" w:color="auto"/>
              <w:right w:val="single" w:sz="8" w:space="0" w:color="auto"/>
            </w:tcBorders>
            <w:shd w:val="clear" w:color="000000" w:fill="FFFFFF"/>
            <w:noWrap/>
            <w:hideMark/>
          </w:tcPr>
          <w:p w:rsidR="00B951B1" w:rsidRPr="00E61612" w:rsidRDefault="00B951B1" w:rsidP="00CB78E6">
            <w:pPr>
              <w:spacing w:after="0"/>
              <w:jc w:val="right"/>
              <w:rPr>
                <w:rFonts w:cs="Calibri"/>
                <w:color w:val="000000"/>
                <w:sz w:val="20"/>
                <w:szCs w:val="20"/>
              </w:rPr>
            </w:pPr>
            <w:r w:rsidRPr="00E61612">
              <w:rPr>
                <w:rFonts w:cs="Calibri"/>
                <w:color w:val="000000"/>
                <w:sz w:val="20"/>
                <w:szCs w:val="20"/>
              </w:rPr>
              <w:t>(261,030)</w:t>
            </w:r>
          </w:p>
        </w:tc>
      </w:tr>
      <w:tr w:rsidR="00B951B1" w:rsidRPr="00E61612" w:rsidTr="00CB78E6">
        <w:trPr>
          <w:trHeight w:val="705"/>
        </w:trPr>
        <w:tc>
          <w:tcPr>
            <w:tcW w:w="698" w:type="dxa"/>
            <w:tcBorders>
              <w:top w:val="single" w:sz="4" w:space="0" w:color="auto"/>
              <w:left w:val="single" w:sz="8" w:space="0" w:color="auto"/>
              <w:bottom w:val="single" w:sz="4" w:space="0" w:color="auto"/>
              <w:right w:val="single" w:sz="4" w:space="0" w:color="auto"/>
            </w:tcBorders>
            <w:shd w:val="clear" w:color="000000" w:fill="FFFFFF"/>
            <w:hideMark/>
          </w:tcPr>
          <w:p w:rsidR="00B951B1" w:rsidRPr="00E61612" w:rsidRDefault="00B951B1" w:rsidP="00CB78E6">
            <w:pPr>
              <w:spacing w:after="0"/>
              <w:jc w:val="center"/>
              <w:rPr>
                <w:rFonts w:cs="Calibri"/>
                <w:b/>
                <w:bCs/>
                <w:color w:val="000000"/>
                <w:sz w:val="20"/>
                <w:szCs w:val="20"/>
              </w:rPr>
            </w:pPr>
            <w:r w:rsidRPr="00E61612">
              <w:rPr>
                <w:rFonts w:cs="Calibri"/>
                <w:b/>
                <w:bCs/>
                <w:color w:val="000000"/>
                <w:sz w:val="20"/>
                <w:szCs w:val="20"/>
              </w:rPr>
              <w:t>A1.5</w:t>
            </w:r>
          </w:p>
        </w:tc>
        <w:tc>
          <w:tcPr>
            <w:tcW w:w="3403" w:type="dxa"/>
            <w:tcBorders>
              <w:top w:val="single" w:sz="4" w:space="0" w:color="auto"/>
              <w:left w:val="nil"/>
              <w:bottom w:val="single" w:sz="4" w:space="0" w:color="auto"/>
              <w:right w:val="single" w:sz="4" w:space="0" w:color="auto"/>
            </w:tcBorders>
            <w:shd w:val="clear" w:color="000000" w:fill="FFFFFF"/>
            <w:hideMark/>
          </w:tcPr>
          <w:p w:rsidR="00B951B1" w:rsidRPr="00E61612" w:rsidRDefault="00B951B1" w:rsidP="00CB78E6">
            <w:pPr>
              <w:spacing w:after="0"/>
              <w:rPr>
                <w:rFonts w:cs="Calibri"/>
                <w:sz w:val="20"/>
                <w:szCs w:val="20"/>
              </w:rPr>
            </w:pPr>
            <w:r w:rsidRPr="00E61612">
              <w:rPr>
                <w:rFonts w:cs="Calibri"/>
                <w:sz w:val="20"/>
                <w:szCs w:val="20"/>
              </w:rPr>
              <w:t>Racionalizimi i rrjetit të shkollave</w:t>
            </w:r>
          </w:p>
        </w:tc>
        <w:tc>
          <w:tcPr>
            <w:tcW w:w="1559" w:type="dxa"/>
            <w:tcBorders>
              <w:top w:val="single" w:sz="4" w:space="0" w:color="auto"/>
              <w:left w:val="nil"/>
              <w:bottom w:val="single" w:sz="4" w:space="0" w:color="auto"/>
              <w:right w:val="single" w:sz="4" w:space="0" w:color="auto"/>
            </w:tcBorders>
            <w:shd w:val="clear" w:color="000000" w:fill="FFFFFF"/>
            <w:noWrap/>
            <w:hideMark/>
          </w:tcPr>
          <w:p w:rsidR="00B951B1" w:rsidRPr="00E61612" w:rsidRDefault="00B951B1" w:rsidP="00CB78E6">
            <w:pPr>
              <w:spacing w:after="0"/>
              <w:jc w:val="right"/>
              <w:rPr>
                <w:rFonts w:cs="Calibri"/>
                <w:color w:val="000000"/>
                <w:sz w:val="20"/>
                <w:szCs w:val="20"/>
              </w:rPr>
            </w:pPr>
            <w:r w:rsidRPr="00E61612">
              <w:rPr>
                <w:rFonts w:cs="Calibri"/>
                <w:color w:val="000000"/>
                <w:sz w:val="20"/>
                <w:szCs w:val="20"/>
              </w:rPr>
              <w:t>-</w:t>
            </w:r>
          </w:p>
        </w:tc>
        <w:tc>
          <w:tcPr>
            <w:tcW w:w="1253" w:type="dxa"/>
            <w:tcBorders>
              <w:top w:val="single" w:sz="4" w:space="0" w:color="auto"/>
              <w:left w:val="nil"/>
              <w:bottom w:val="single" w:sz="4" w:space="0" w:color="auto"/>
              <w:right w:val="single" w:sz="4" w:space="0" w:color="auto"/>
            </w:tcBorders>
            <w:shd w:val="clear" w:color="000000" w:fill="FFFFFF"/>
            <w:noWrap/>
            <w:hideMark/>
          </w:tcPr>
          <w:p w:rsidR="00B951B1" w:rsidRPr="00E61612" w:rsidRDefault="00B951B1" w:rsidP="00CB78E6">
            <w:pPr>
              <w:spacing w:after="0"/>
              <w:jc w:val="right"/>
              <w:rPr>
                <w:rFonts w:cs="Calibri"/>
                <w:color w:val="000000"/>
                <w:sz w:val="20"/>
                <w:szCs w:val="20"/>
              </w:rPr>
            </w:pPr>
            <w:r w:rsidRPr="00E61612">
              <w:rPr>
                <w:rFonts w:cs="Calibri"/>
                <w:color w:val="000000"/>
                <w:sz w:val="20"/>
                <w:szCs w:val="20"/>
              </w:rPr>
              <w:t>-</w:t>
            </w:r>
          </w:p>
        </w:tc>
        <w:tc>
          <w:tcPr>
            <w:tcW w:w="1015" w:type="dxa"/>
            <w:tcBorders>
              <w:top w:val="single" w:sz="4" w:space="0" w:color="auto"/>
              <w:left w:val="nil"/>
              <w:bottom w:val="single" w:sz="4" w:space="0" w:color="auto"/>
              <w:right w:val="single" w:sz="4" w:space="0" w:color="auto"/>
            </w:tcBorders>
            <w:shd w:val="clear" w:color="000000" w:fill="FFFFFF"/>
            <w:noWrap/>
            <w:hideMark/>
          </w:tcPr>
          <w:p w:rsidR="00B951B1" w:rsidRPr="00E61612" w:rsidRDefault="00B951B1" w:rsidP="00CB78E6">
            <w:pPr>
              <w:spacing w:after="0"/>
              <w:jc w:val="right"/>
              <w:rPr>
                <w:rFonts w:cs="Calibri"/>
                <w:color w:val="000000"/>
                <w:sz w:val="20"/>
                <w:szCs w:val="20"/>
              </w:rPr>
            </w:pPr>
            <w:r w:rsidRPr="00E61612">
              <w:rPr>
                <w:rFonts w:cs="Calibri"/>
                <w:color w:val="000000"/>
                <w:sz w:val="20"/>
                <w:szCs w:val="20"/>
              </w:rPr>
              <w:t>-</w:t>
            </w:r>
          </w:p>
        </w:tc>
        <w:tc>
          <w:tcPr>
            <w:tcW w:w="1560" w:type="dxa"/>
            <w:tcBorders>
              <w:top w:val="single" w:sz="4" w:space="0" w:color="auto"/>
              <w:left w:val="nil"/>
              <w:bottom w:val="single" w:sz="4" w:space="0" w:color="auto"/>
              <w:right w:val="single" w:sz="8" w:space="0" w:color="auto"/>
            </w:tcBorders>
            <w:shd w:val="clear" w:color="000000" w:fill="FFFFFF"/>
            <w:noWrap/>
            <w:hideMark/>
          </w:tcPr>
          <w:p w:rsidR="00B951B1" w:rsidRPr="00E61612" w:rsidRDefault="00B951B1" w:rsidP="00CB78E6">
            <w:pPr>
              <w:spacing w:after="0"/>
              <w:jc w:val="right"/>
              <w:rPr>
                <w:rFonts w:cs="Calibri"/>
                <w:color w:val="000000"/>
                <w:sz w:val="20"/>
                <w:szCs w:val="20"/>
              </w:rPr>
            </w:pPr>
            <w:r w:rsidRPr="00E61612">
              <w:rPr>
                <w:rFonts w:cs="Calibri"/>
                <w:color w:val="000000"/>
                <w:sz w:val="20"/>
                <w:szCs w:val="20"/>
              </w:rPr>
              <w:t>-</w:t>
            </w:r>
          </w:p>
        </w:tc>
      </w:tr>
      <w:tr w:rsidR="00B951B1" w:rsidRPr="00E61612" w:rsidTr="00CB78E6">
        <w:trPr>
          <w:trHeight w:val="705"/>
        </w:trPr>
        <w:tc>
          <w:tcPr>
            <w:tcW w:w="698" w:type="dxa"/>
            <w:tcBorders>
              <w:top w:val="single" w:sz="4" w:space="0" w:color="auto"/>
              <w:left w:val="single" w:sz="8" w:space="0" w:color="auto"/>
              <w:bottom w:val="single" w:sz="4" w:space="0" w:color="auto"/>
              <w:right w:val="single" w:sz="4" w:space="0" w:color="auto"/>
            </w:tcBorders>
            <w:shd w:val="clear" w:color="000000" w:fill="FFFFFF"/>
            <w:hideMark/>
          </w:tcPr>
          <w:p w:rsidR="00B951B1" w:rsidRPr="00E61612" w:rsidRDefault="00B951B1" w:rsidP="00CB78E6">
            <w:pPr>
              <w:spacing w:after="0"/>
              <w:jc w:val="center"/>
              <w:rPr>
                <w:rFonts w:cs="Calibri"/>
                <w:b/>
                <w:bCs/>
                <w:color w:val="000000"/>
                <w:sz w:val="20"/>
                <w:szCs w:val="20"/>
              </w:rPr>
            </w:pPr>
            <w:r w:rsidRPr="00E61612">
              <w:rPr>
                <w:rFonts w:cs="Calibri"/>
                <w:b/>
                <w:bCs/>
                <w:color w:val="000000"/>
                <w:sz w:val="20"/>
                <w:szCs w:val="20"/>
              </w:rPr>
              <w:t>A1.6</w:t>
            </w:r>
          </w:p>
        </w:tc>
        <w:tc>
          <w:tcPr>
            <w:tcW w:w="3403" w:type="dxa"/>
            <w:tcBorders>
              <w:top w:val="single" w:sz="4" w:space="0" w:color="auto"/>
              <w:left w:val="nil"/>
              <w:bottom w:val="single" w:sz="4" w:space="0" w:color="auto"/>
              <w:right w:val="single" w:sz="4" w:space="0" w:color="auto"/>
            </w:tcBorders>
            <w:shd w:val="clear" w:color="000000" w:fill="FFFFFF"/>
            <w:hideMark/>
          </w:tcPr>
          <w:p w:rsidR="00B951B1" w:rsidRPr="00E61612" w:rsidRDefault="00B951B1" w:rsidP="00CB78E6">
            <w:pPr>
              <w:spacing w:after="0"/>
              <w:rPr>
                <w:rFonts w:cs="Calibri"/>
                <w:sz w:val="20"/>
                <w:szCs w:val="20"/>
              </w:rPr>
            </w:pPr>
            <w:r w:rsidRPr="00E61612">
              <w:rPr>
                <w:rFonts w:cs="Calibri"/>
                <w:sz w:val="20"/>
                <w:szCs w:val="20"/>
              </w:rPr>
              <w:t>Përmirësimi dhe përshtatja e infrastrukturës shkollore</w:t>
            </w:r>
          </w:p>
        </w:tc>
        <w:tc>
          <w:tcPr>
            <w:tcW w:w="1559" w:type="dxa"/>
            <w:tcBorders>
              <w:top w:val="single" w:sz="4" w:space="0" w:color="auto"/>
              <w:left w:val="nil"/>
              <w:bottom w:val="single" w:sz="4" w:space="0" w:color="auto"/>
              <w:right w:val="single" w:sz="4" w:space="0" w:color="auto"/>
            </w:tcBorders>
            <w:shd w:val="clear" w:color="000000" w:fill="FFFFFF"/>
            <w:noWrap/>
            <w:hideMark/>
          </w:tcPr>
          <w:p w:rsidR="00B951B1" w:rsidRPr="00E61612" w:rsidRDefault="00B951B1" w:rsidP="00CB78E6">
            <w:pPr>
              <w:spacing w:after="0"/>
              <w:jc w:val="right"/>
              <w:rPr>
                <w:rFonts w:cs="Calibri"/>
                <w:color w:val="000000"/>
                <w:sz w:val="20"/>
                <w:szCs w:val="20"/>
              </w:rPr>
            </w:pPr>
            <w:r w:rsidRPr="00E61612">
              <w:rPr>
                <w:rFonts w:cs="Calibri"/>
                <w:color w:val="000000"/>
                <w:sz w:val="20"/>
                <w:szCs w:val="20"/>
              </w:rPr>
              <w:t>15,836,000</w:t>
            </w:r>
          </w:p>
        </w:tc>
        <w:tc>
          <w:tcPr>
            <w:tcW w:w="1253" w:type="dxa"/>
            <w:tcBorders>
              <w:top w:val="single" w:sz="4" w:space="0" w:color="auto"/>
              <w:left w:val="nil"/>
              <w:bottom w:val="single" w:sz="4" w:space="0" w:color="auto"/>
              <w:right w:val="single" w:sz="4" w:space="0" w:color="auto"/>
            </w:tcBorders>
            <w:shd w:val="clear" w:color="000000" w:fill="FFFFFF"/>
            <w:noWrap/>
            <w:hideMark/>
          </w:tcPr>
          <w:p w:rsidR="00B951B1" w:rsidRPr="00E61612" w:rsidRDefault="00B951B1" w:rsidP="00CB78E6">
            <w:pPr>
              <w:spacing w:after="0"/>
              <w:jc w:val="right"/>
              <w:rPr>
                <w:rFonts w:cs="Calibri"/>
                <w:color w:val="000000"/>
                <w:sz w:val="20"/>
                <w:szCs w:val="20"/>
              </w:rPr>
            </w:pPr>
            <w:r w:rsidRPr="00E61612">
              <w:rPr>
                <w:rFonts w:cs="Calibri"/>
                <w:color w:val="000000"/>
                <w:sz w:val="20"/>
                <w:szCs w:val="20"/>
              </w:rPr>
              <w:t>15,836,000</w:t>
            </w:r>
          </w:p>
        </w:tc>
        <w:tc>
          <w:tcPr>
            <w:tcW w:w="1015" w:type="dxa"/>
            <w:tcBorders>
              <w:top w:val="single" w:sz="4" w:space="0" w:color="auto"/>
              <w:left w:val="nil"/>
              <w:bottom w:val="single" w:sz="4" w:space="0" w:color="auto"/>
              <w:right w:val="single" w:sz="4" w:space="0" w:color="auto"/>
            </w:tcBorders>
            <w:shd w:val="clear" w:color="000000" w:fill="FFFFFF"/>
            <w:noWrap/>
            <w:hideMark/>
          </w:tcPr>
          <w:p w:rsidR="00B951B1" w:rsidRPr="00E61612" w:rsidRDefault="00B951B1" w:rsidP="00CB78E6">
            <w:pPr>
              <w:spacing w:after="0"/>
              <w:jc w:val="right"/>
              <w:rPr>
                <w:rFonts w:cs="Calibri"/>
                <w:color w:val="000000"/>
                <w:sz w:val="20"/>
                <w:szCs w:val="20"/>
              </w:rPr>
            </w:pPr>
            <w:r w:rsidRPr="00E61612">
              <w:rPr>
                <w:rFonts w:cs="Calibri"/>
                <w:color w:val="000000"/>
                <w:sz w:val="20"/>
                <w:szCs w:val="20"/>
              </w:rPr>
              <w:t>-</w:t>
            </w:r>
          </w:p>
        </w:tc>
        <w:tc>
          <w:tcPr>
            <w:tcW w:w="1560" w:type="dxa"/>
            <w:tcBorders>
              <w:top w:val="single" w:sz="4" w:space="0" w:color="auto"/>
              <w:left w:val="nil"/>
              <w:bottom w:val="single" w:sz="4" w:space="0" w:color="auto"/>
              <w:right w:val="single" w:sz="8" w:space="0" w:color="auto"/>
            </w:tcBorders>
            <w:shd w:val="clear" w:color="000000" w:fill="FFFFFF"/>
            <w:noWrap/>
            <w:hideMark/>
          </w:tcPr>
          <w:p w:rsidR="00B951B1" w:rsidRPr="00E61612" w:rsidRDefault="00B951B1" w:rsidP="00CB78E6">
            <w:pPr>
              <w:spacing w:after="0"/>
              <w:jc w:val="right"/>
              <w:rPr>
                <w:rFonts w:cs="Calibri"/>
                <w:color w:val="000000"/>
                <w:sz w:val="20"/>
                <w:szCs w:val="20"/>
              </w:rPr>
            </w:pPr>
            <w:r w:rsidRPr="00E61612">
              <w:rPr>
                <w:rFonts w:cs="Calibri"/>
                <w:color w:val="000000"/>
                <w:sz w:val="20"/>
                <w:szCs w:val="20"/>
              </w:rPr>
              <w:t>-</w:t>
            </w:r>
          </w:p>
        </w:tc>
      </w:tr>
      <w:tr w:rsidR="00B951B1" w:rsidRPr="00E61612" w:rsidTr="00CB78E6">
        <w:trPr>
          <w:trHeight w:val="705"/>
        </w:trPr>
        <w:tc>
          <w:tcPr>
            <w:tcW w:w="698" w:type="dxa"/>
            <w:tcBorders>
              <w:top w:val="single" w:sz="4" w:space="0" w:color="auto"/>
              <w:left w:val="single" w:sz="8" w:space="0" w:color="auto"/>
              <w:bottom w:val="single" w:sz="4" w:space="0" w:color="auto"/>
              <w:right w:val="single" w:sz="4" w:space="0" w:color="auto"/>
            </w:tcBorders>
            <w:shd w:val="clear" w:color="000000" w:fill="FFFFFF"/>
            <w:hideMark/>
          </w:tcPr>
          <w:p w:rsidR="00B951B1" w:rsidRPr="00E61612" w:rsidRDefault="00B951B1" w:rsidP="00CB78E6">
            <w:pPr>
              <w:spacing w:after="0"/>
              <w:jc w:val="center"/>
              <w:rPr>
                <w:rFonts w:cs="Calibri"/>
                <w:b/>
                <w:bCs/>
                <w:color w:val="000000"/>
                <w:sz w:val="20"/>
                <w:szCs w:val="20"/>
              </w:rPr>
            </w:pPr>
            <w:r w:rsidRPr="00E61612">
              <w:rPr>
                <w:rFonts w:cs="Calibri"/>
                <w:b/>
                <w:bCs/>
                <w:color w:val="000000"/>
                <w:sz w:val="20"/>
                <w:szCs w:val="20"/>
              </w:rPr>
              <w:t>A1.7</w:t>
            </w:r>
          </w:p>
        </w:tc>
        <w:tc>
          <w:tcPr>
            <w:tcW w:w="3403" w:type="dxa"/>
            <w:tcBorders>
              <w:top w:val="single" w:sz="4" w:space="0" w:color="auto"/>
              <w:left w:val="nil"/>
              <w:bottom w:val="single" w:sz="4" w:space="0" w:color="auto"/>
              <w:right w:val="single" w:sz="4" w:space="0" w:color="auto"/>
            </w:tcBorders>
            <w:shd w:val="clear" w:color="000000" w:fill="FFFFFF"/>
            <w:hideMark/>
          </w:tcPr>
          <w:p w:rsidR="00B951B1" w:rsidRPr="00E61612" w:rsidRDefault="00B951B1" w:rsidP="00CB78E6">
            <w:pPr>
              <w:spacing w:after="0"/>
              <w:rPr>
                <w:rFonts w:cs="Calibri"/>
                <w:sz w:val="20"/>
                <w:szCs w:val="20"/>
              </w:rPr>
            </w:pPr>
            <w:r w:rsidRPr="00E61612">
              <w:rPr>
                <w:rFonts w:cs="Calibri"/>
                <w:sz w:val="20"/>
                <w:szCs w:val="20"/>
              </w:rPr>
              <w:t>Konsolidimi i mjediseve të sigurta dhe miqësore për fëmijët në shkollë</w:t>
            </w:r>
          </w:p>
        </w:tc>
        <w:tc>
          <w:tcPr>
            <w:tcW w:w="1559" w:type="dxa"/>
            <w:tcBorders>
              <w:top w:val="single" w:sz="4" w:space="0" w:color="auto"/>
              <w:left w:val="nil"/>
              <w:bottom w:val="single" w:sz="4" w:space="0" w:color="auto"/>
              <w:right w:val="single" w:sz="4" w:space="0" w:color="auto"/>
            </w:tcBorders>
            <w:shd w:val="clear" w:color="000000" w:fill="FFFFFF"/>
            <w:noWrap/>
            <w:hideMark/>
          </w:tcPr>
          <w:p w:rsidR="00B951B1" w:rsidRPr="00E61612" w:rsidRDefault="00B951B1" w:rsidP="00CB78E6">
            <w:pPr>
              <w:spacing w:after="0"/>
              <w:jc w:val="right"/>
              <w:rPr>
                <w:rFonts w:cs="Calibri"/>
                <w:color w:val="000000"/>
                <w:sz w:val="20"/>
                <w:szCs w:val="20"/>
              </w:rPr>
            </w:pPr>
            <w:r w:rsidRPr="00E61612">
              <w:rPr>
                <w:rFonts w:cs="Calibri"/>
                <w:color w:val="000000"/>
                <w:sz w:val="20"/>
                <w:szCs w:val="20"/>
              </w:rPr>
              <w:t>1,217,552</w:t>
            </w:r>
          </w:p>
        </w:tc>
        <w:tc>
          <w:tcPr>
            <w:tcW w:w="1253" w:type="dxa"/>
            <w:tcBorders>
              <w:top w:val="single" w:sz="4" w:space="0" w:color="auto"/>
              <w:left w:val="nil"/>
              <w:bottom w:val="single" w:sz="4" w:space="0" w:color="auto"/>
              <w:right w:val="single" w:sz="4" w:space="0" w:color="auto"/>
            </w:tcBorders>
            <w:shd w:val="clear" w:color="000000" w:fill="FFFFFF"/>
            <w:noWrap/>
            <w:hideMark/>
          </w:tcPr>
          <w:p w:rsidR="00B951B1" w:rsidRPr="00E61612" w:rsidRDefault="00B951B1" w:rsidP="00CB78E6">
            <w:pPr>
              <w:spacing w:after="0"/>
              <w:jc w:val="right"/>
              <w:rPr>
                <w:rFonts w:cs="Calibri"/>
                <w:color w:val="000000"/>
                <w:sz w:val="20"/>
                <w:szCs w:val="20"/>
              </w:rPr>
            </w:pPr>
            <w:r w:rsidRPr="00E61612">
              <w:rPr>
                <w:rFonts w:cs="Calibri"/>
                <w:color w:val="000000"/>
                <w:sz w:val="20"/>
                <w:szCs w:val="20"/>
              </w:rPr>
              <w:t>680,702</w:t>
            </w:r>
          </w:p>
        </w:tc>
        <w:tc>
          <w:tcPr>
            <w:tcW w:w="1015" w:type="dxa"/>
            <w:tcBorders>
              <w:top w:val="single" w:sz="4" w:space="0" w:color="auto"/>
              <w:left w:val="nil"/>
              <w:bottom w:val="single" w:sz="4" w:space="0" w:color="auto"/>
              <w:right w:val="single" w:sz="4" w:space="0" w:color="auto"/>
            </w:tcBorders>
            <w:shd w:val="clear" w:color="000000" w:fill="FFFFFF"/>
            <w:noWrap/>
            <w:hideMark/>
          </w:tcPr>
          <w:p w:rsidR="00B951B1" w:rsidRPr="00E61612" w:rsidRDefault="00B951B1" w:rsidP="00CB78E6">
            <w:pPr>
              <w:spacing w:after="0"/>
              <w:jc w:val="right"/>
              <w:rPr>
                <w:rFonts w:cs="Calibri"/>
                <w:color w:val="000000"/>
                <w:sz w:val="20"/>
                <w:szCs w:val="20"/>
              </w:rPr>
            </w:pPr>
            <w:r w:rsidRPr="00E61612">
              <w:rPr>
                <w:rFonts w:cs="Calibri"/>
                <w:color w:val="000000"/>
                <w:sz w:val="20"/>
                <w:szCs w:val="20"/>
              </w:rPr>
              <w:t>7,414</w:t>
            </w:r>
          </w:p>
        </w:tc>
        <w:tc>
          <w:tcPr>
            <w:tcW w:w="1560" w:type="dxa"/>
            <w:tcBorders>
              <w:top w:val="single" w:sz="4" w:space="0" w:color="auto"/>
              <w:left w:val="nil"/>
              <w:bottom w:val="single" w:sz="4" w:space="0" w:color="auto"/>
              <w:right w:val="single" w:sz="8" w:space="0" w:color="auto"/>
            </w:tcBorders>
            <w:shd w:val="clear" w:color="000000" w:fill="FFFFFF"/>
            <w:noWrap/>
            <w:hideMark/>
          </w:tcPr>
          <w:p w:rsidR="00B951B1" w:rsidRPr="00E61612" w:rsidRDefault="00B951B1" w:rsidP="00CB78E6">
            <w:pPr>
              <w:spacing w:after="0"/>
              <w:jc w:val="right"/>
              <w:rPr>
                <w:rFonts w:cs="Calibri"/>
                <w:color w:val="000000"/>
                <w:sz w:val="20"/>
                <w:szCs w:val="20"/>
              </w:rPr>
            </w:pPr>
            <w:r w:rsidRPr="00E61612">
              <w:rPr>
                <w:rFonts w:cs="Calibri"/>
                <w:color w:val="000000"/>
                <w:sz w:val="20"/>
                <w:szCs w:val="20"/>
              </w:rPr>
              <w:t>(529,435)</w:t>
            </w:r>
          </w:p>
        </w:tc>
      </w:tr>
      <w:tr w:rsidR="00B951B1" w:rsidRPr="00E61612" w:rsidTr="00CB78E6">
        <w:trPr>
          <w:trHeight w:val="1380"/>
        </w:trPr>
        <w:tc>
          <w:tcPr>
            <w:tcW w:w="698" w:type="dxa"/>
            <w:tcBorders>
              <w:top w:val="nil"/>
              <w:left w:val="single" w:sz="8" w:space="0" w:color="auto"/>
              <w:bottom w:val="single" w:sz="4" w:space="0" w:color="auto"/>
              <w:right w:val="single" w:sz="4" w:space="0" w:color="auto"/>
            </w:tcBorders>
            <w:shd w:val="clear" w:color="000000" w:fill="D9D9D9"/>
            <w:hideMark/>
          </w:tcPr>
          <w:p w:rsidR="00B951B1" w:rsidRPr="00E61612" w:rsidRDefault="00B951B1" w:rsidP="00CB78E6">
            <w:pPr>
              <w:spacing w:after="0"/>
              <w:jc w:val="center"/>
              <w:rPr>
                <w:rFonts w:cs="Calibri"/>
                <w:b/>
                <w:bCs/>
                <w:color w:val="000000"/>
                <w:sz w:val="20"/>
                <w:szCs w:val="20"/>
              </w:rPr>
            </w:pPr>
            <w:r w:rsidRPr="00E61612">
              <w:rPr>
                <w:rFonts w:cs="Calibri"/>
                <w:b/>
                <w:bCs/>
                <w:color w:val="000000"/>
                <w:sz w:val="20"/>
                <w:szCs w:val="20"/>
              </w:rPr>
              <w:t>A2</w:t>
            </w:r>
          </w:p>
        </w:tc>
        <w:tc>
          <w:tcPr>
            <w:tcW w:w="3403" w:type="dxa"/>
            <w:tcBorders>
              <w:top w:val="nil"/>
              <w:left w:val="nil"/>
              <w:bottom w:val="single" w:sz="4" w:space="0" w:color="auto"/>
              <w:right w:val="single" w:sz="4" w:space="0" w:color="auto"/>
            </w:tcBorders>
            <w:shd w:val="clear" w:color="000000" w:fill="D9D9D9"/>
            <w:hideMark/>
          </w:tcPr>
          <w:p w:rsidR="00B951B1" w:rsidRPr="00E61612" w:rsidRDefault="00B951B1" w:rsidP="00CB78E6">
            <w:pPr>
              <w:spacing w:after="0"/>
              <w:rPr>
                <w:rFonts w:cs="Calibri"/>
                <w:sz w:val="20"/>
                <w:szCs w:val="20"/>
              </w:rPr>
            </w:pPr>
            <w:r w:rsidRPr="00E61612">
              <w:rPr>
                <w:rFonts w:cs="Calibri"/>
                <w:sz w:val="20"/>
                <w:szCs w:val="20"/>
              </w:rPr>
              <w:t xml:space="preserve">Krijimi i mundësive për formimin cilësor të mësuesve dhe përmirësimi i sistemit të karrierës që </w:t>
            </w:r>
            <w:r>
              <w:rPr>
                <w:rFonts w:cs="Calibri"/>
                <w:sz w:val="20"/>
                <w:szCs w:val="20"/>
              </w:rPr>
              <w:t xml:space="preserve">i </w:t>
            </w:r>
            <w:r w:rsidRPr="00E61612">
              <w:rPr>
                <w:rFonts w:cs="Calibri"/>
                <w:sz w:val="20"/>
                <w:szCs w:val="20"/>
              </w:rPr>
              <w:t xml:space="preserve">inkurajon ata të zhvillojnë nivele më të larta të aftësive </w:t>
            </w:r>
            <w:r>
              <w:rPr>
                <w:rFonts w:cs="Calibri"/>
                <w:sz w:val="20"/>
                <w:szCs w:val="20"/>
              </w:rPr>
              <w:t>në</w:t>
            </w:r>
            <w:r w:rsidRPr="00E61612">
              <w:rPr>
                <w:rFonts w:cs="Calibri"/>
                <w:sz w:val="20"/>
                <w:szCs w:val="20"/>
              </w:rPr>
              <w:t xml:space="preserve"> mësimdhënie</w:t>
            </w:r>
          </w:p>
        </w:tc>
        <w:tc>
          <w:tcPr>
            <w:tcW w:w="1559" w:type="dxa"/>
            <w:tcBorders>
              <w:top w:val="nil"/>
              <w:left w:val="nil"/>
              <w:bottom w:val="single" w:sz="4" w:space="0" w:color="auto"/>
              <w:right w:val="single" w:sz="4" w:space="0" w:color="auto"/>
            </w:tcBorders>
            <w:shd w:val="clear" w:color="000000" w:fill="D9D9D9"/>
            <w:noWrap/>
            <w:hideMark/>
          </w:tcPr>
          <w:p w:rsidR="00B951B1" w:rsidRPr="00E61612" w:rsidRDefault="00B951B1" w:rsidP="00CB78E6">
            <w:pPr>
              <w:spacing w:after="0"/>
              <w:jc w:val="right"/>
              <w:rPr>
                <w:rFonts w:cs="Calibri"/>
                <w:color w:val="000000"/>
                <w:sz w:val="20"/>
                <w:szCs w:val="20"/>
              </w:rPr>
            </w:pPr>
            <w:r w:rsidRPr="00E61612">
              <w:rPr>
                <w:rFonts w:cs="Calibri"/>
                <w:color w:val="000000"/>
                <w:sz w:val="20"/>
                <w:szCs w:val="20"/>
              </w:rPr>
              <w:t>477,006</w:t>
            </w:r>
          </w:p>
        </w:tc>
        <w:tc>
          <w:tcPr>
            <w:tcW w:w="1253" w:type="dxa"/>
            <w:tcBorders>
              <w:top w:val="nil"/>
              <w:left w:val="nil"/>
              <w:bottom w:val="single" w:sz="4" w:space="0" w:color="auto"/>
              <w:right w:val="single" w:sz="4" w:space="0" w:color="auto"/>
            </w:tcBorders>
            <w:shd w:val="clear" w:color="000000" w:fill="D9D9D9"/>
            <w:noWrap/>
            <w:hideMark/>
          </w:tcPr>
          <w:p w:rsidR="00B951B1" w:rsidRPr="00E61612" w:rsidRDefault="00B951B1" w:rsidP="00CB78E6">
            <w:pPr>
              <w:spacing w:after="0"/>
              <w:jc w:val="right"/>
              <w:rPr>
                <w:rFonts w:cs="Calibri"/>
                <w:color w:val="000000"/>
                <w:sz w:val="20"/>
                <w:szCs w:val="20"/>
              </w:rPr>
            </w:pPr>
            <w:r w:rsidRPr="00E61612">
              <w:rPr>
                <w:rFonts w:cs="Calibri"/>
                <w:color w:val="000000"/>
                <w:sz w:val="20"/>
                <w:szCs w:val="20"/>
              </w:rPr>
              <w:t>468,000</w:t>
            </w:r>
          </w:p>
        </w:tc>
        <w:tc>
          <w:tcPr>
            <w:tcW w:w="1015" w:type="dxa"/>
            <w:tcBorders>
              <w:top w:val="nil"/>
              <w:left w:val="nil"/>
              <w:bottom w:val="single" w:sz="4" w:space="0" w:color="auto"/>
              <w:right w:val="single" w:sz="4" w:space="0" w:color="auto"/>
            </w:tcBorders>
            <w:shd w:val="clear" w:color="000000" w:fill="D9D9D9"/>
            <w:noWrap/>
            <w:hideMark/>
          </w:tcPr>
          <w:p w:rsidR="00B951B1" w:rsidRPr="00E61612" w:rsidRDefault="00B951B1" w:rsidP="00CB78E6">
            <w:pPr>
              <w:spacing w:after="0"/>
              <w:jc w:val="right"/>
              <w:rPr>
                <w:rFonts w:cs="Calibri"/>
                <w:color w:val="000000"/>
                <w:sz w:val="20"/>
                <w:szCs w:val="20"/>
              </w:rPr>
            </w:pPr>
            <w:r w:rsidRPr="00E61612">
              <w:rPr>
                <w:rFonts w:cs="Calibri"/>
                <w:color w:val="000000"/>
                <w:sz w:val="20"/>
                <w:szCs w:val="20"/>
              </w:rPr>
              <w:t>9,006</w:t>
            </w:r>
          </w:p>
        </w:tc>
        <w:tc>
          <w:tcPr>
            <w:tcW w:w="1560" w:type="dxa"/>
            <w:tcBorders>
              <w:top w:val="nil"/>
              <w:left w:val="nil"/>
              <w:bottom w:val="single" w:sz="4" w:space="0" w:color="auto"/>
              <w:right w:val="single" w:sz="8" w:space="0" w:color="auto"/>
            </w:tcBorders>
            <w:shd w:val="clear" w:color="000000" w:fill="D9D9D9"/>
            <w:noWrap/>
            <w:hideMark/>
          </w:tcPr>
          <w:p w:rsidR="00B951B1" w:rsidRPr="00E61612" w:rsidRDefault="00B951B1" w:rsidP="00CB78E6">
            <w:pPr>
              <w:spacing w:after="0"/>
              <w:jc w:val="right"/>
              <w:rPr>
                <w:rFonts w:cs="Calibri"/>
                <w:color w:val="000000"/>
                <w:sz w:val="20"/>
                <w:szCs w:val="20"/>
              </w:rPr>
            </w:pPr>
            <w:r w:rsidRPr="00E61612">
              <w:rPr>
                <w:rFonts w:cs="Calibri"/>
                <w:color w:val="000000"/>
                <w:sz w:val="20"/>
                <w:szCs w:val="20"/>
              </w:rPr>
              <w:t>-</w:t>
            </w:r>
          </w:p>
        </w:tc>
      </w:tr>
      <w:tr w:rsidR="00B951B1" w:rsidRPr="00E61612" w:rsidTr="00CB78E6">
        <w:trPr>
          <w:trHeight w:val="705"/>
        </w:trPr>
        <w:tc>
          <w:tcPr>
            <w:tcW w:w="698" w:type="dxa"/>
            <w:tcBorders>
              <w:top w:val="single" w:sz="4" w:space="0" w:color="auto"/>
              <w:left w:val="single" w:sz="8" w:space="0" w:color="auto"/>
              <w:bottom w:val="single" w:sz="4" w:space="0" w:color="auto"/>
              <w:right w:val="single" w:sz="4" w:space="0" w:color="auto"/>
            </w:tcBorders>
            <w:shd w:val="clear" w:color="000000" w:fill="FFFFFF"/>
            <w:hideMark/>
          </w:tcPr>
          <w:p w:rsidR="00B951B1" w:rsidRPr="00E61612" w:rsidRDefault="00B951B1" w:rsidP="00CB78E6">
            <w:pPr>
              <w:spacing w:after="0"/>
              <w:jc w:val="center"/>
              <w:rPr>
                <w:rFonts w:cs="Calibri"/>
                <w:b/>
                <w:bCs/>
                <w:color w:val="000000"/>
                <w:sz w:val="20"/>
                <w:szCs w:val="20"/>
              </w:rPr>
            </w:pPr>
            <w:r w:rsidRPr="00E61612">
              <w:rPr>
                <w:rFonts w:cs="Calibri"/>
                <w:b/>
                <w:bCs/>
                <w:color w:val="000000"/>
                <w:sz w:val="20"/>
                <w:szCs w:val="20"/>
              </w:rPr>
              <w:t>A2.1</w:t>
            </w:r>
          </w:p>
        </w:tc>
        <w:tc>
          <w:tcPr>
            <w:tcW w:w="3403" w:type="dxa"/>
            <w:tcBorders>
              <w:top w:val="single" w:sz="4" w:space="0" w:color="auto"/>
              <w:left w:val="nil"/>
              <w:bottom w:val="single" w:sz="4" w:space="0" w:color="auto"/>
              <w:right w:val="single" w:sz="4" w:space="0" w:color="auto"/>
            </w:tcBorders>
            <w:shd w:val="clear" w:color="000000" w:fill="FFFFFF"/>
            <w:hideMark/>
          </w:tcPr>
          <w:p w:rsidR="00B951B1" w:rsidRPr="00E61612" w:rsidRDefault="00B951B1" w:rsidP="00CB78E6">
            <w:pPr>
              <w:spacing w:after="0"/>
              <w:rPr>
                <w:rFonts w:cs="Calibri"/>
                <w:sz w:val="20"/>
                <w:szCs w:val="20"/>
              </w:rPr>
            </w:pPr>
            <w:r w:rsidRPr="00E61612">
              <w:rPr>
                <w:rFonts w:cs="Calibri"/>
                <w:sz w:val="20"/>
                <w:szCs w:val="20"/>
              </w:rPr>
              <w:t xml:space="preserve">Përmirësimi i cilësisë së programeve për formimin fillestar të mësuesve </w:t>
            </w:r>
          </w:p>
        </w:tc>
        <w:tc>
          <w:tcPr>
            <w:tcW w:w="1559" w:type="dxa"/>
            <w:tcBorders>
              <w:top w:val="single" w:sz="4" w:space="0" w:color="auto"/>
              <w:left w:val="nil"/>
              <w:bottom w:val="single" w:sz="4" w:space="0" w:color="auto"/>
              <w:right w:val="single" w:sz="4" w:space="0" w:color="auto"/>
            </w:tcBorders>
            <w:shd w:val="clear" w:color="000000" w:fill="FFFFFF"/>
            <w:noWrap/>
            <w:hideMark/>
          </w:tcPr>
          <w:p w:rsidR="00B951B1" w:rsidRPr="00E61612" w:rsidRDefault="00B951B1" w:rsidP="00CB78E6">
            <w:pPr>
              <w:spacing w:after="0"/>
              <w:jc w:val="right"/>
              <w:rPr>
                <w:rFonts w:cs="Calibri"/>
                <w:color w:val="000000"/>
                <w:sz w:val="20"/>
                <w:szCs w:val="20"/>
              </w:rPr>
            </w:pPr>
            <w:r w:rsidRPr="00E61612">
              <w:rPr>
                <w:rFonts w:cs="Calibri"/>
                <w:color w:val="000000"/>
                <w:sz w:val="20"/>
                <w:szCs w:val="20"/>
              </w:rPr>
              <w:t>-</w:t>
            </w:r>
          </w:p>
        </w:tc>
        <w:tc>
          <w:tcPr>
            <w:tcW w:w="1253" w:type="dxa"/>
            <w:tcBorders>
              <w:top w:val="single" w:sz="4" w:space="0" w:color="auto"/>
              <w:left w:val="nil"/>
              <w:bottom w:val="single" w:sz="4" w:space="0" w:color="auto"/>
              <w:right w:val="single" w:sz="4" w:space="0" w:color="auto"/>
            </w:tcBorders>
            <w:shd w:val="clear" w:color="000000" w:fill="FFFFFF"/>
            <w:noWrap/>
            <w:hideMark/>
          </w:tcPr>
          <w:p w:rsidR="00B951B1" w:rsidRPr="00E61612" w:rsidRDefault="00B951B1" w:rsidP="00CB78E6">
            <w:pPr>
              <w:spacing w:after="0"/>
              <w:jc w:val="right"/>
              <w:rPr>
                <w:rFonts w:cs="Calibri"/>
                <w:color w:val="000000"/>
                <w:sz w:val="20"/>
                <w:szCs w:val="20"/>
              </w:rPr>
            </w:pPr>
            <w:r w:rsidRPr="00E61612">
              <w:rPr>
                <w:rFonts w:cs="Calibri"/>
                <w:color w:val="000000"/>
                <w:sz w:val="20"/>
                <w:szCs w:val="20"/>
              </w:rPr>
              <w:t>-</w:t>
            </w:r>
          </w:p>
        </w:tc>
        <w:tc>
          <w:tcPr>
            <w:tcW w:w="1015" w:type="dxa"/>
            <w:tcBorders>
              <w:top w:val="single" w:sz="4" w:space="0" w:color="auto"/>
              <w:left w:val="nil"/>
              <w:bottom w:val="single" w:sz="4" w:space="0" w:color="auto"/>
              <w:right w:val="single" w:sz="4" w:space="0" w:color="auto"/>
            </w:tcBorders>
            <w:shd w:val="clear" w:color="000000" w:fill="FFFFFF"/>
            <w:noWrap/>
            <w:hideMark/>
          </w:tcPr>
          <w:p w:rsidR="00B951B1" w:rsidRPr="00E61612" w:rsidRDefault="00B951B1" w:rsidP="00CB78E6">
            <w:pPr>
              <w:spacing w:after="0"/>
              <w:jc w:val="right"/>
              <w:rPr>
                <w:rFonts w:cs="Calibri"/>
                <w:color w:val="000000"/>
                <w:sz w:val="20"/>
                <w:szCs w:val="20"/>
              </w:rPr>
            </w:pPr>
            <w:r w:rsidRPr="00E61612">
              <w:rPr>
                <w:rFonts w:cs="Calibri"/>
                <w:color w:val="000000"/>
                <w:sz w:val="20"/>
                <w:szCs w:val="20"/>
              </w:rPr>
              <w:t>-</w:t>
            </w:r>
          </w:p>
        </w:tc>
        <w:tc>
          <w:tcPr>
            <w:tcW w:w="1560" w:type="dxa"/>
            <w:tcBorders>
              <w:top w:val="single" w:sz="4" w:space="0" w:color="auto"/>
              <w:left w:val="nil"/>
              <w:bottom w:val="single" w:sz="4" w:space="0" w:color="auto"/>
              <w:right w:val="single" w:sz="8" w:space="0" w:color="auto"/>
            </w:tcBorders>
            <w:shd w:val="clear" w:color="000000" w:fill="FFFFFF"/>
            <w:noWrap/>
            <w:hideMark/>
          </w:tcPr>
          <w:p w:rsidR="00B951B1" w:rsidRPr="00E61612" w:rsidRDefault="00B951B1" w:rsidP="00CB78E6">
            <w:pPr>
              <w:spacing w:after="0"/>
              <w:jc w:val="right"/>
              <w:rPr>
                <w:rFonts w:cs="Calibri"/>
                <w:color w:val="000000"/>
                <w:sz w:val="20"/>
                <w:szCs w:val="20"/>
              </w:rPr>
            </w:pPr>
            <w:r w:rsidRPr="00E61612">
              <w:rPr>
                <w:rFonts w:cs="Calibri"/>
                <w:color w:val="000000"/>
                <w:sz w:val="20"/>
                <w:szCs w:val="20"/>
              </w:rPr>
              <w:t>-</w:t>
            </w:r>
          </w:p>
        </w:tc>
      </w:tr>
      <w:tr w:rsidR="00B951B1" w:rsidRPr="00E61612" w:rsidTr="00CB78E6">
        <w:trPr>
          <w:trHeight w:val="705"/>
        </w:trPr>
        <w:tc>
          <w:tcPr>
            <w:tcW w:w="698" w:type="dxa"/>
            <w:tcBorders>
              <w:top w:val="single" w:sz="4" w:space="0" w:color="auto"/>
              <w:left w:val="single" w:sz="8" w:space="0" w:color="auto"/>
              <w:bottom w:val="single" w:sz="4" w:space="0" w:color="auto"/>
              <w:right w:val="single" w:sz="4" w:space="0" w:color="auto"/>
            </w:tcBorders>
            <w:shd w:val="clear" w:color="000000" w:fill="FFFFFF"/>
            <w:hideMark/>
          </w:tcPr>
          <w:p w:rsidR="00B951B1" w:rsidRPr="00E61612" w:rsidRDefault="00B951B1" w:rsidP="00CB78E6">
            <w:pPr>
              <w:spacing w:after="0"/>
              <w:jc w:val="center"/>
              <w:rPr>
                <w:rFonts w:cs="Calibri"/>
                <w:b/>
                <w:bCs/>
                <w:color w:val="000000"/>
                <w:sz w:val="20"/>
                <w:szCs w:val="20"/>
              </w:rPr>
            </w:pPr>
            <w:r w:rsidRPr="00E61612">
              <w:rPr>
                <w:rFonts w:cs="Calibri"/>
                <w:b/>
                <w:bCs/>
                <w:color w:val="000000"/>
                <w:sz w:val="20"/>
                <w:szCs w:val="20"/>
              </w:rPr>
              <w:t>A2.2</w:t>
            </w:r>
          </w:p>
        </w:tc>
        <w:tc>
          <w:tcPr>
            <w:tcW w:w="3403" w:type="dxa"/>
            <w:tcBorders>
              <w:top w:val="single" w:sz="4" w:space="0" w:color="auto"/>
              <w:left w:val="nil"/>
              <w:bottom w:val="single" w:sz="4" w:space="0" w:color="auto"/>
              <w:right w:val="single" w:sz="4" w:space="0" w:color="auto"/>
            </w:tcBorders>
            <w:shd w:val="clear" w:color="000000" w:fill="FFFFFF"/>
            <w:hideMark/>
          </w:tcPr>
          <w:p w:rsidR="00B951B1" w:rsidRPr="00E61612" w:rsidRDefault="00B951B1" w:rsidP="00CB78E6">
            <w:pPr>
              <w:spacing w:after="0"/>
              <w:rPr>
                <w:rFonts w:cs="Calibri"/>
                <w:sz w:val="20"/>
                <w:szCs w:val="20"/>
              </w:rPr>
            </w:pPr>
            <w:r w:rsidRPr="00E61612">
              <w:rPr>
                <w:rFonts w:cs="Calibri"/>
                <w:sz w:val="20"/>
                <w:szCs w:val="20"/>
              </w:rPr>
              <w:t>Shtimi i mundësive për zhvillimin profesional të mësuesve (aftësitë pedagogjike, kompetenca digjitale, arsimi gjithëpërfshirës)</w:t>
            </w:r>
          </w:p>
        </w:tc>
        <w:tc>
          <w:tcPr>
            <w:tcW w:w="1559" w:type="dxa"/>
            <w:tcBorders>
              <w:top w:val="single" w:sz="4" w:space="0" w:color="auto"/>
              <w:left w:val="nil"/>
              <w:bottom w:val="single" w:sz="4" w:space="0" w:color="auto"/>
              <w:right w:val="single" w:sz="4" w:space="0" w:color="auto"/>
            </w:tcBorders>
            <w:shd w:val="clear" w:color="000000" w:fill="FFFFFF"/>
            <w:noWrap/>
            <w:hideMark/>
          </w:tcPr>
          <w:p w:rsidR="00B951B1" w:rsidRPr="00E61612" w:rsidRDefault="00B951B1" w:rsidP="00CB78E6">
            <w:pPr>
              <w:spacing w:after="0"/>
              <w:jc w:val="right"/>
              <w:rPr>
                <w:rFonts w:cs="Calibri"/>
                <w:color w:val="000000"/>
                <w:sz w:val="20"/>
                <w:szCs w:val="20"/>
              </w:rPr>
            </w:pPr>
            <w:r w:rsidRPr="00E61612">
              <w:rPr>
                <w:rFonts w:cs="Calibri"/>
                <w:color w:val="000000"/>
                <w:sz w:val="20"/>
                <w:szCs w:val="20"/>
              </w:rPr>
              <w:t>468,000</w:t>
            </w:r>
          </w:p>
        </w:tc>
        <w:tc>
          <w:tcPr>
            <w:tcW w:w="1253" w:type="dxa"/>
            <w:tcBorders>
              <w:top w:val="single" w:sz="4" w:space="0" w:color="auto"/>
              <w:left w:val="nil"/>
              <w:bottom w:val="single" w:sz="4" w:space="0" w:color="auto"/>
              <w:right w:val="single" w:sz="4" w:space="0" w:color="auto"/>
            </w:tcBorders>
            <w:shd w:val="clear" w:color="000000" w:fill="FFFFFF"/>
            <w:noWrap/>
            <w:hideMark/>
          </w:tcPr>
          <w:p w:rsidR="00B951B1" w:rsidRPr="00E61612" w:rsidRDefault="00B951B1" w:rsidP="00CB78E6">
            <w:pPr>
              <w:spacing w:after="0"/>
              <w:jc w:val="right"/>
              <w:rPr>
                <w:rFonts w:cs="Calibri"/>
                <w:color w:val="000000"/>
                <w:sz w:val="20"/>
                <w:szCs w:val="20"/>
              </w:rPr>
            </w:pPr>
            <w:r w:rsidRPr="00E61612">
              <w:rPr>
                <w:rFonts w:cs="Calibri"/>
                <w:color w:val="000000"/>
                <w:sz w:val="20"/>
                <w:szCs w:val="20"/>
              </w:rPr>
              <w:t>468,000</w:t>
            </w:r>
          </w:p>
        </w:tc>
        <w:tc>
          <w:tcPr>
            <w:tcW w:w="1015" w:type="dxa"/>
            <w:tcBorders>
              <w:top w:val="single" w:sz="4" w:space="0" w:color="auto"/>
              <w:left w:val="nil"/>
              <w:bottom w:val="single" w:sz="4" w:space="0" w:color="auto"/>
              <w:right w:val="single" w:sz="4" w:space="0" w:color="auto"/>
            </w:tcBorders>
            <w:shd w:val="clear" w:color="000000" w:fill="FFFFFF"/>
            <w:noWrap/>
            <w:hideMark/>
          </w:tcPr>
          <w:p w:rsidR="00B951B1" w:rsidRPr="00E61612" w:rsidRDefault="00B951B1" w:rsidP="00CB78E6">
            <w:pPr>
              <w:spacing w:after="0"/>
              <w:jc w:val="right"/>
              <w:rPr>
                <w:rFonts w:cs="Calibri"/>
                <w:color w:val="000000"/>
                <w:sz w:val="20"/>
                <w:szCs w:val="20"/>
              </w:rPr>
            </w:pPr>
            <w:r w:rsidRPr="00E61612">
              <w:rPr>
                <w:rFonts w:cs="Calibri"/>
                <w:color w:val="000000"/>
                <w:sz w:val="20"/>
                <w:szCs w:val="20"/>
              </w:rPr>
              <w:t>-</w:t>
            </w:r>
          </w:p>
        </w:tc>
        <w:tc>
          <w:tcPr>
            <w:tcW w:w="1560" w:type="dxa"/>
            <w:tcBorders>
              <w:top w:val="single" w:sz="4" w:space="0" w:color="auto"/>
              <w:left w:val="nil"/>
              <w:bottom w:val="single" w:sz="4" w:space="0" w:color="auto"/>
              <w:right w:val="single" w:sz="8" w:space="0" w:color="auto"/>
            </w:tcBorders>
            <w:shd w:val="clear" w:color="000000" w:fill="FFFFFF"/>
            <w:noWrap/>
            <w:hideMark/>
          </w:tcPr>
          <w:p w:rsidR="00B951B1" w:rsidRPr="00E61612" w:rsidRDefault="00B951B1" w:rsidP="00CB78E6">
            <w:pPr>
              <w:spacing w:after="0"/>
              <w:jc w:val="right"/>
              <w:rPr>
                <w:rFonts w:cs="Calibri"/>
                <w:color w:val="000000"/>
                <w:sz w:val="20"/>
                <w:szCs w:val="20"/>
              </w:rPr>
            </w:pPr>
            <w:r w:rsidRPr="00E61612">
              <w:rPr>
                <w:rFonts w:cs="Calibri"/>
                <w:color w:val="000000"/>
                <w:sz w:val="20"/>
                <w:szCs w:val="20"/>
              </w:rPr>
              <w:t>-</w:t>
            </w:r>
          </w:p>
        </w:tc>
      </w:tr>
      <w:tr w:rsidR="00B951B1" w:rsidRPr="00E61612" w:rsidTr="00CB78E6">
        <w:trPr>
          <w:trHeight w:val="1530"/>
        </w:trPr>
        <w:tc>
          <w:tcPr>
            <w:tcW w:w="698" w:type="dxa"/>
            <w:tcBorders>
              <w:top w:val="single" w:sz="4" w:space="0" w:color="auto"/>
              <w:left w:val="single" w:sz="8" w:space="0" w:color="auto"/>
              <w:bottom w:val="single" w:sz="4" w:space="0" w:color="auto"/>
              <w:right w:val="single" w:sz="4" w:space="0" w:color="auto"/>
            </w:tcBorders>
            <w:shd w:val="clear" w:color="000000" w:fill="FFFFFF"/>
            <w:hideMark/>
          </w:tcPr>
          <w:p w:rsidR="00B951B1" w:rsidRPr="00E61612" w:rsidRDefault="00B951B1" w:rsidP="00CB78E6">
            <w:pPr>
              <w:spacing w:after="0"/>
              <w:jc w:val="center"/>
              <w:rPr>
                <w:rFonts w:cs="Calibri"/>
                <w:b/>
                <w:bCs/>
                <w:color w:val="000000"/>
                <w:sz w:val="20"/>
                <w:szCs w:val="20"/>
              </w:rPr>
            </w:pPr>
            <w:r w:rsidRPr="00E61612">
              <w:rPr>
                <w:rFonts w:cs="Calibri"/>
                <w:b/>
                <w:bCs/>
                <w:color w:val="000000"/>
                <w:sz w:val="20"/>
                <w:szCs w:val="20"/>
              </w:rPr>
              <w:t>A2.3</w:t>
            </w:r>
          </w:p>
        </w:tc>
        <w:tc>
          <w:tcPr>
            <w:tcW w:w="3403" w:type="dxa"/>
            <w:tcBorders>
              <w:top w:val="single" w:sz="4" w:space="0" w:color="auto"/>
              <w:left w:val="nil"/>
              <w:bottom w:val="single" w:sz="4" w:space="0" w:color="auto"/>
              <w:right w:val="single" w:sz="4" w:space="0" w:color="auto"/>
            </w:tcBorders>
            <w:shd w:val="clear" w:color="000000" w:fill="FFFFFF"/>
            <w:hideMark/>
          </w:tcPr>
          <w:p w:rsidR="00B951B1" w:rsidRPr="00E61612" w:rsidRDefault="00B951B1" w:rsidP="00CB78E6">
            <w:pPr>
              <w:spacing w:after="0"/>
              <w:rPr>
                <w:rFonts w:cs="Calibri"/>
                <w:sz w:val="20"/>
                <w:szCs w:val="20"/>
              </w:rPr>
            </w:pPr>
            <w:r w:rsidRPr="00E61612">
              <w:rPr>
                <w:rFonts w:cs="Calibri"/>
                <w:sz w:val="20"/>
                <w:szCs w:val="20"/>
              </w:rPr>
              <w:t>Përmirësimi i pozicionit të mësuesit përmes rritjes së pagave dhe sistemit të kualif</w:t>
            </w:r>
            <w:r>
              <w:rPr>
                <w:rFonts w:cs="Calibri"/>
                <w:sz w:val="20"/>
                <w:szCs w:val="20"/>
              </w:rPr>
              <w:t>i</w:t>
            </w:r>
            <w:r w:rsidRPr="00E61612">
              <w:rPr>
                <w:rFonts w:cs="Calibri"/>
                <w:sz w:val="20"/>
                <w:szCs w:val="20"/>
              </w:rPr>
              <w:t xml:space="preserve">kimit (ngritjes nga ana profesionale) bazuar në standardet e vlerësimit të mësuesve </w:t>
            </w:r>
          </w:p>
        </w:tc>
        <w:tc>
          <w:tcPr>
            <w:tcW w:w="1559" w:type="dxa"/>
            <w:tcBorders>
              <w:top w:val="single" w:sz="4" w:space="0" w:color="auto"/>
              <w:left w:val="nil"/>
              <w:bottom w:val="single" w:sz="4" w:space="0" w:color="auto"/>
              <w:right w:val="single" w:sz="4" w:space="0" w:color="auto"/>
            </w:tcBorders>
            <w:shd w:val="clear" w:color="000000" w:fill="FFFFFF"/>
            <w:noWrap/>
            <w:hideMark/>
          </w:tcPr>
          <w:p w:rsidR="00B951B1" w:rsidRPr="00E61612" w:rsidRDefault="00B951B1" w:rsidP="00CB78E6">
            <w:pPr>
              <w:spacing w:after="0"/>
              <w:jc w:val="right"/>
              <w:rPr>
                <w:rFonts w:cs="Calibri"/>
                <w:color w:val="000000"/>
                <w:sz w:val="20"/>
                <w:szCs w:val="20"/>
              </w:rPr>
            </w:pPr>
            <w:r w:rsidRPr="00E61612">
              <w:rPr>
                <w:rFonts w:cs="Calibri"/>
                <w:color w:val="000000"/>
                <w:sz w:val="20"/>
                <w:szCs w:val="20"/>
              </w:rPr>
              <w:t>9,006</w:t>
            </w:r>
          </w:p>
        </w:tc>
        <w:tc>
          <w:tcPr>
            <w:tcW w:w="1253" w:type="dxa"/>
            <w:tcBorders>
              <w:top w:val="single" w:sz="4" w:space="0" w:color="auto"/>
              <w:left w:val="nil"/>
              <w:bottom w:val="single" w:sz="4" w:space="0" w:color="auto"/>
              <w:right w:val="single" w:sz="4" w:space="0" w:color="auto"/>
            </w:tcBorders>
            <w:shd w:val="clear" w:color="000000" w:fill="FFFFFF"/>
            <w:noWrap/>
            <w:hideMark/>
          </w:tcPr>
          <w:p w:rsidR="00B951B1" w:rsidRPr="00E61612" w:rsidRDefault="00B951B1" w:rsidP="00CB78E6">
            <w:pPr>
              <w:spacing w:after="0"/>
              <w:jc w:val="right"/>
              <w:rPr>
                <w:rFonts w:cs="Calibri"/>
                <w:color w:val="000000"/>
                <w:sz w:val="20"/>
                <w:szCs w:val="20"/>
              </w:rPr>
            </w:pPr>
            <w:r w:rsidRPr="00E61612">
              <w:rPr>
                <w:rFonts w:cs="Calibri"/>
                <w:color w:val="000000"/>
                <w:sz w:val="20"/>
                <w:szCs w:val="20"/>
              </w:rPr>
              <w:t>-</w:t>
            </w:r>
          </w:p>
        </w:tc>
        <w:tc>
          <w:tcPr>
            <w:tcW w:w="1015" w:type="dxa"/>
            <w:tcBorders>
              <w:top w:val="single" w:sz="4" w:space="0" w:color="auto"/>
              <w:left w:val="nil"/>
              <w:bottom w:val="single" w:sz="4" w:space="0" w:color="auto"/>
              <w:right w:val="single" w:sz="4" w:space="0" w:color="auto"/>
            </w:tcBorders>
            <w:shd w:val="clear" w:color="000000" w:fill="FFFFFF"/>
            <w:noWrap/>
            <w:hideMark/>
          </w:tcPr>
          <w:p w:rsidR="00B951B1" w:rsidRPr="00E61612" w:rsidRDefault="00B951B1" w:rsidP="00CB78E6">
            <w:pPr>
              <w:spacing w:after="0"/>
              <w:jc w:val="right"/>
              <w:rPr>
                <w:rFonts w:cs="Calibri"/>
                <w:color w:val="000000"/>
                <w:sz w:val="20"/>
                <w:szCs w:val="20"/>
              </w:rPr>
            </w:pPr>
            <w:r w:rsidRPr="00E61612">
              <w:rPr>
                <w:rFonts w:cs="Calibri"/>
                <w:color w:val="000000"/>
                <w:sz w:val="20"/>
                <w:szCs w:val="20"/>
              </w:rPr>
              <w:t>9,006</w:t>
            </w:r>
          </w:p>
        </w:tc>
        <w:tc>
          <w:tcPr>
            <w:tcW w:w="1560" w:type="dxa"/>
            <w:tcBorders>
              <w:top w:val="single" w:sz="4" w:space="0" w:color="auto"/>
              <w:left w:val="nil"/>
              <w:bottom w:val="single" w:sz="4" w:space="0" w:color="auto"/>
              <w:right w:val="single" w:sz="8" w:space="0" w:color="auto"/>
            </w:tcBorders>
            <w:shd w:val="clear" w:color="000000" w:fill="FFFFFF"/>
            <w:noWrap/>
            <w:hideMark/>
          </w:tcPr>
          <w:p w:rsidR="00B951B1" w:rsidRPr="00E61612" w:rsidRDefault="00B951B1" w:rsidP="00CB78E6">
            <w:pPr>
              <w:spacing w:after="0"/>
              <w:jc w:val="right"/>
              <w:rPr>
                <w:rFonts w:cs="Calibri"/>
                <w:color w:val="000000"/>
                <w:sz w:val="20"/>
                <w:szCs w:val="20"/>
              </w:rPr>
            </w:pPr>
            <w:r w:rsidRPr="00E61612">
              <w:rPr>
                <w:rFonts w:cs="Calibri"/>
                <w:color w:val="000000"/>
                <w:sz w:val="20"/>
                <w:szCs w:val="20"/>
              </w:rPr>
              <w:t>-</w:t>
            </w:r>
          </w:p>
        </w:tc>
      </w:tr>
      <w:tr w:rsidR="00B951B1" w:rsidRPr="00E61612" w:rsidTr="00CB78E6">
        <w:trPr>
          <w:trHeight w:val="1137"/>
        </w:trPr>
        <w:tc>
          <w:tcPr>
            <w:tcW w:w="698" w:type="dxa"/>
            <w:tcBorders>
              <w:top w:val="nil"/>
              <w:left w:val="single" w:sz="8" w:space="0" w:color="auto"/>
              <w:bottom w:val="single" w:sz="4" w:space="0" w:color="auto"/>
              <w:right w:val="single" w:sz="4" w:space="0" w:color="auto"/>
            </w:tcBorders>
            <w:shd w:val="clear" w:color="000000" w:fill="D9D9D9"/>
            <w:hideMark/>
          </w:tcPr>
          <w:p w:rsidR="00B951B1" w:rsidRPr="00E61612" w:rsidRDefault="00B951B1" w:rsidP="00CB78E6">
            <w:pPr>
              <w:spacing w:after="0"/>
              <w:jc w:val="center"/>
              <w:rPr>
                <w:rFonts w:cs="Calibri"/>
                <w:b/>
                <w:bCs/>
                <w:color w:val="000000"/>
                <w:sz w:val="20"/>
                <w:szCs w:val="20"/>
              </w:rPr>
            </w:pPr>
            <w:r w:rsidRPr="00E61612">
              <w:rPr>
                <w:rFonts w:cs="Calibri"/>
                <w:b/>
                <w:bCs/>
                <w:color w:val="000000"/>
                <w:sz w:val="20"/>
                <w:szCs w:val="20"/>
              </w:rPr>
              <w:t>A3</w:t>
            </w:r>
          </w:p>
        </w:tc>
        <w:tc>
          <w:tcPr>
            <w:tcW w:w="3403" w:type="dxa"/>
            <w:tcBorders>
              <w:top w:val="nil"/>
              <w:left w:val="nil"/>
              <w:bottom w:val="single" w:sz="4" w:space="0" w:color="auto"/>
              <w:right w:val="single" w:sz="4" w:space="0" w:color="auto"/>
            </w:tcBorders>
            <w:shd w:val="clear" w:color="000000" w:fill="D9D9D9"/>
            <w:hideMark/>
          </w:tcPr>
          <w:p w:rsidR="00B951B1" w:rsidRPr="00E61612" w:rsidRDefault="00B951B1" w:rsidP="00CB78E6">
            <w:pPr>
              <w:spacing w:after="0"/>
              <w:rPr>
                <w:rFonts w:cs="Calibri"/>
                <w:sz w:val="20"/>
                <w:szCs w:val="20"/>
              </w:rPr>
            </w:pPr>
            <w:r w:rsidRPr="00E61612">
              <w:rPr>
                <w:rFonts w:cs="Calibri"/>
                <w:sz w:val="20"/>
                <w:szCs w:val="20"/>
              </w:rPr>
              <w:t xml:space="preserve">Zbatimi i plotë i kurrikulës së bazuar në kompetenca përmes mësimdhënies </w:t>
            </w:r>
            <w:r>
              <w:rPr>
                <w:rFonts w:cs="Calibri"/>
                <w:sz w:val="20"/>
                <w:szCs w:val="20"/>
              </w:rPr>
              <w:t>efikase</w:t>
            </w:r>
            <w:r w:rsidRPr="00E61612">
              <w:rPr>
                <w:rFonts w:cs="Calibri"/>
                <w:sz w:val="20"/>
                <w:szCs w:val="20"/>
              </w:rPr>
              <w:t xml:space="preserve"> dhe shfrytëzimit të burimeve të cilësisë së lartë</w:t>
            </w:r>
          </w:p>
        </w:tc>
        <w:tc>
          <w:tcPr>
            <w:tcW w:w="1559" w:type="dxa"/>
            <w:tcBorders>
              <w:top w:val="nil"/>
              <w:left w:val="nil"/>
              <w:bottom w:val="single" w:sz="4" w:space="0" w:color="auto"/>
              <w:right w:val="single" w:sz="4" w:space="0" w:color="auto"/>
            </w:tcBorders>
            <w:shd w:val="clear" w:color="000000" w:fill="D9D9D9"/>
            <w:noWrap/>
            <w:hideMark/>
          </w:tcPr>
          <w:p w:rsidR="00B951B1" w:rsidRPr="00E61612" w:rsidRDefault="00B951B1" w:rsidP="00CB78E6">
            <w:pPr>
              <w:spacing w:after="0"/>
              <w:jc w:val="right"/>
              <w:rPr>
                <w:rFonts w:cs="Calibri"/>
                <w:color w:val="000000"/>
                <w:sz w:val="20"/>
                <w:szCs w:val="20"/>
              </w:rPr>
            </w:pPr>
            <w:r w:rsidRPr="00E61612">
              <w:rPr>
                <w:rFonts w:cs="Calibri"/>
                <w:color w:val="000000"/>
                <w:sz w:val="20"/>
                <w:szCs w:val="20"/>
              </w:rPr>
              <w:t>1,336,036</w:t>
            </w:r>
          </w:p>
        </w:tc>
        <w:tc>
          <w:tcPr>
            <w:tcW w:w="1253" w:type="dxa"/>
            <w:tcBorders>
              <w:top w:val="nil"/>
              <w:left w:val="nil"/>
              <w:bottom w:val="single" w:sz="4" w:space="0" w:color="auto"/>
              <w:right w:val="single" w:sz="4" w:space="0" w:color="auto"/>
            </w:tcBorders>
            <w:shd w:val="clear" w:color="000000" w:fill="D9D9D9"/>
            <w:noWrap/>
            <w:hideMark/>
          </w:tcPr>
          <w:p w:rsidR="00B951B1" w:rsidRPr="00E61612" w:rsidRDefault="00B951B1" w:rsidP="00CB78E6">
            <w:pPr>
              <w:spacing w:after="0"/>
              <w:jc w:val="right"/>
              <w:rPr>
                <w:rFonts w:cs="Calibri"/>
                <w:color w:val="000000"/>
                <w:sz w:val="20"/>
                <w:szCs w:val="20"/>
              </w:rPr>
            </w:pPr>
            <w:r w:rsidRPr="00E61612">
              <w:rPr>
                <w:rFonts w:cs="Calibri"/>
                <w:color w:val="000000"/>
                <w:sz w:val="20"/>
                <w:szCs w:val="20"/>
              </w:rPr>
              <w:t>250,000</w:t>
            </w:r>
          </w:p>
        </w:tc>
        <w:tc>
          <w:tcPr>
            <w:tcW w:w="1015" w:type="dxa"/>
            <w:tcBorders>
              <w:top w:val="nil"/>
              <w:left w:val="nil"/>
              <w:bottom w:val="single" w:sz="4" w:space="0" w:color="auto"/>
              <w:right w:val="single" w:sz="4" w:space="0" w:color="auto"/>
            </w:tcBorders>
            <w:shd w:val="clear" w:color="000000" w:fill="D9D9D9"/>
            <w:noWrap/>
            <w:hideMark/>
          </w:tcPr>
          <w:p w:rsidR="00B951B1" w:rsidRPr="00E61612" w:rsidRDefault="00B951B1" w:rsidP="00CB78E6">
            <w:pPr>
              <w:spacing w:after="0"/>
              <w:jc w:val="right"/>
              <w:rPr>
                <w:rFonts w:cs="Calibri"/>
                <w:color w:val="000000"/>
                <w:sz w:val="20"/>
                <w:szCs w:val="20"/>
              </w:rPr>
            </w:pPr>
            <w:r w:rsidRPr="00E61612">
              <w:rPr>
                <w:rFonts w:cs="Calibri"/>
                <w:color w:val="000000"/>
                <w:sz w:val="20"/>
                <w:szCs w:val="20"/>
              </w:rPr>
              <w:t>11,926</w:t>
            </w:r>
          </w:p>
        </w:tc>
        <w:tc>
          <w:tcPr>
            <w:tcW w:w="1560" w:type="dxa"/>
            <w:tcBorders>
              <w:top w:val="nil"/>
              <w:left w:val="nil"/>
              <w:bottom w:val="single" w:sz="4" w:space="0" w:color="auto"/>
              <w:right w:val="single" w:sz="8" w:space="0" w:color="auto"/>
            </w:tcBorders>
            <w:shd w:val="clear" w:color="000000" w:fill="D9D9D9"/>
            <w:noWrap/>
            <w:hideMark/>
          </w:tcPr>
          <w:p w:rsidR="00B951B1" w:rsidRPr="00E61612" w:rsidRDefault="00B951B1" w:rsidP="00CB78E6">
            <w:pPr>
              <w:spacing w:after="0"/>
              <w:jc w:val="right"/>
              <w:rPr>
                <w:rFonts w:cs="Calibri"/>
                <w:color w:val="000000"/>
                <w:sz w:val="20"/>
                <w:szCs w:val="20"/>
              </w:rPr>
            </w:pPr>
            <w:r w:rsidRPr="00E61612">
              <w:rPr>
                <w:rFonts w:cs="Calibri"/>
                <w:color w:val="000000"/>
                <w:sz w:val="20"/>
                <w:szCs w:val="20"/>
              </w:rPr>
              <w:t>(1,074,110)</w:t>
            </w:r>
          </w:p>
        </w:tc>
      </w:tr>
      <w:tr w:rsidR="00B951B1" w:rsidRPr="00E61612" w:rsidTr="00CB78E6">
        <w:trPr>
          <w:trHeight w:val="705"/>
        </w:trPr>
        <w:tc>
          <w:tcPr>
            <w:tcW w:w="698" w:type="dxa"/>
            <w:tcBorders>
              <w:top w:val="single" w:sz="4" w:space="0" w:color="auto"/>
              <w:left w:val="single" w:sz="8" w:space="0" w:color="auto"/>
              <w:bottom w:val="single" w:sz="4" w:space="0" w:color="auto"/>
              <w:right w:val="single" w:sz="4" w:space="0" w:color="auto"/>
            </w:tcBorders>
            <w:shd w:val="clear" w:color="000000" w:fill="FFFFFF"/>
            <w:hideMark/>
          </w:tcPr>
          <w:p w:rsidR="00B951B1" w:rsidRPr="00E61612" w:rsidRDefault="00B951B1" w:rsidP="00CB78E6">
            <w:pPr>
              <w:spacing w:after="0"/>
              <w:jc w:val="center"/>
              <w:rPr>
                <w:rFonts w:cs="Calibri"/>
                <w:b/>
                <w:bCs/>
                <w:color w:val="000000"/>
                <w:sz w:val="20"/>
                <w:szCs w:val="20"/>
              </w:rPr>
            </w:pPr>
            <w:r w:rsidRPr="00E61612">
              <w:rPr>
                <w:rFonts w:cs="Calibri"/>
                <w:b/>
                <w:bCs/>
                <w:color w:val="000000"/>
                <w:sz w:val="20"/>
                <w:szCs w:val="20"/>
              </w:rPr>
              <w:t>A3.1</w:t>
            </w:r>
          </w:p>
        </w:tc>
        <w:tc>
          <w:tcPr>
            <w:tcW w:w="3403" w:type="dxa"/>
            <w:tcBorders>
              <w:top w:val="single" w:sz="4" w:space="0" w:color="auto"/>
              <w:left w:val="nil"/>
              <w:bottom w:val="single" w:sz="4" w:space="0" w:color="auto"/>
              <w:right w:val="single" w:sz="4" w:space="0" w:color="auto"/>
            </w:tcBorders>
            <w:shd w:val="clear" w:color="000000" w:fill="FFFFFF"/>
            <w:hideMark/>
          </w:tcPr>
          <w:p w:rsidR="00B951B1" w:rsidRPr="00E61612" w:rsidRDefault="00B951B1" w:rsidP="00CB78E6">
            <w:pPr>
              <w:spacing w:after="0"/>
              <w:rPr>
                <w:rFonts w:cs="Calibri"/>
                <w:sz w:val="20"/>
                <w:szCs w:val="20"/>
              </w:rPr>
            </w:pPr>
            <w:r w:rsidRPr="00E61612">
              <w:rPr>
                <w:rFonts w:cs="Calibri"/>
                <w:sz w:val="20"/>
                <w:szCs w:val="20"/>
              </w:rPr>
              <w:t xml:space="preserve">Pajisja e shkollave me mjete mësimore për zbatimin e kurrikulës </w:t>
            </w:r>
            <w:r>
              <w:rPr>
                <w:rFonts w:cs="Calibri"/>
                <w:sz w:val="20"/>
                <w:szCs w:val="20"/>
              </w:rPr>
              <w:t>bazuar në</w:t>
            </w:r>
            <w:r w:rsidRPr="00E61612">
              <w:rPr>
                <w:rFonts w:cs="Calibri"/>
                <w:sz w:val="20"/>
                <w:szCs w:val="20"/>
              </w:rPr>
              <w:t xml:space="preserve"> kompetenca</w:t>
            </w:r>
          </w:p>
        </w:tc>
        <w:tc>
          <w:tcPr>
            <w:tcW w:w="1559" w:type="dxa"/>
            <w:tcBorders>
              <w:top w:val="single" w:sz="4" w:space="0" w:color="auto"/>
              <w:left w:val="nil"/>
              <w:bottom w:val="single" w:sz="4" w:space="0" w:color="auto"/>
              <w:right w:val="single" w:sz="4" w:space="0" w:color="auto"/>
            </w:tcBorders>
            <w:shd w:val="clear" w:color="000000" w:fill="FFFFFF"/>
            <w:noWrap/>
            <w:hideMark/>
          </w:tcPr>
          <w:p w:rsidR="00B951B1" w:rsidRPr="00E61612" w:rsidRDefault="00B951B1" w:rsidP="00CB78E6">
            <w:pPr>
              <w:spacing w:after="0"/>
              <w:jc w:val="right"/>
              <w:rPr>
                <w:rFonts w:cs="Calibri"/>
                <w:color w:val="000000"/>
                <w:sz w:val="20"/>
                <w:szCs w:val="20"/>
              </w:rPr>
            </w:pPr>
            <w:r w:rsidRPr="00E61612">
              <w:rPr>
                <w:rFonts w:cs="Calibri"/>
                <w:color w:val="000000"/>
                <w:sz w:val="20"/>
                <w:szCs w:val="20"/>
              </w:rPr>
              <w:t>279,376</w:t>
            </w:r>
          </w:p>
        </w:tc>
        <w:tc>
          <w:tcPr>
            <w:tcW w:w="1253" w:type="dxa"/>
            <w:tcBorders>
              <w:top w:val="single" w:sz="4" w:space="0" w:color="auto"/>
              <w:left w:val="nil"/>
              <w:bottom w:val="single" w:sz="4" w:space="0" w:color="auto"/>
              <w:right w:val="single" w:sz="4" w:space="0" w:color="auto"/>
            </w:tcBorders>
            <w:shd w:val="clear" w:color="000000" w:fill="FFFFFF"/>
            <w:noWrap/>
            <w:hideMark/>
          </w:tcPr>
          <w:p w:rsidR="00B951B1" w:rsidRPr="00E61612" w:rsidRDefault="00B951B1" w:rsidP="00CB78E6">
            <w:pPr>
              <w:spacing w:after="0"/>
              <w:jc w:val="right"/>
              <w:rPr>
                <w:rFonts w:cs="Calibri"/>
                <w:color w:val="000000"/>
                <w:sz w:val="20"/>
                <w:szCs w:val="20"/>
              </w:rPr>
            </w:pPr>
            <w:r w:rsidRPr="00E61612">
              <w:rPr>
                <w:rFonts w:cs="Calibri"/>
                <w:color w:val="000000"/>
                <w:sz w:val="20"/>
                <w:szCs w:val="20"/>
              </w:rPr>
              <w:t>250,000</w:t>
            </w:r>
          </w:p>
        </w:tc>
        <w:tc>
          <w:tcPr>
            <w:tcW w:w="1015" w:type="dxa"/>
            <w:tcBorders>
              <w:top w:val="single" w:sz="4" w:space="0" w:color="auto"/>
              <w:left w:val="nil"/>
              <w:bottom w:val="single" w:sz="4" w:space="0" w:color="auto"/>
              <w:right w:val="single" w:sz="4" w:space="0" w:color="auto"/>
            </w:tcBorders>
            <w:shd w:val="clear" w:color="000000" w:fill="FFFFFF"/>
            <w:noWrap/>
            <w:hideMark/>
          </w:tcPr>
          <w:p w:rsidR="00B951B1" w:rsidRPr="00E61612" w:rsidRDefault="00B951B1" w:rsidP="00CB78E6">
            <w:pPr>
              <w:spacing w:after="0"/>
              <w:jc w:val="right"/>
              <w:rPr>
                <w:rFonts w:cs="Calibri"/>
                <w:color w:val="000000"/>
                <w:sz w:val="20"/>
                <w:szCs w:val="20"/>
              </w:rPr>
            </w:pPr>
            <w:r w:rsidRPr="00E61612">
              <w:rPr>
                <w:rFonts w:cs="Calibri"/>
                <w:color w:val="000000"/>
                <w:sz w:val="20"/>
                <w:szCs w:val="20"/>
              </w:rPr>
              <w:t>5,776</w:t>
            </w:r>
          </w:p>
        </w:tc>
        <w:tc>
          <w:tcPr>
            <w:tcW w:w="1560" w:type="dxa"/>
            <w:tcBorders>
              <w:top w:val="single" w:sz="4" w:space="0" w:color="auto"/>
              <w:left w:val="nil"/>
              <w:bottom w:val="single" w:sz="4" w:space="0" w:color="auto"/>
              <w:right w:val="single" w:sz="8" w:space="0" w:color="auto"/>
            </w:tcBorders>
            <w:shd w:val="clear" w:color="000000" w:fill="FFFFFF"/>
            <w:noWrap/>
            <w:hideMark/>
          </w:tcPr>
          <w:p w:rsidR="00B951B1" w:rsidRPr="00E61612" w:rsidRDefault="00B951B1" w:rsidP="00CB78E6">
            <w:pPr>
              <w:spacing w:after="0"/>
              <w:jc w:val="right"/>
              <w:rPr>
                <w:rFonts w:cs="Calibri"/>
                <w:color w:val="000000"/>
                <w:sz w:val="20"/>
                <w:szCs w:val="20"/>
              </w:rPr>
            </w:pPr>
            <w:r w:rsidRPr="00E61612">
              <w:rPr>
                <w:rFonts w:cs="Calibri"/>
                <w:color w:val="000000"/>
                <w:sz w:val="20"/>
                <w:szCs w:val="20"/>
              </w:rPr>
              <w:t>(23,600)</w:t>
            </w:r>
          </w:p>
        </w:tc>
      </w:tr>
      <w:tr w:rsidR="00B951B1" w:rsidRPr="00E61612" w:rsidTr="00CB78E6">
        <w:trPr>
          <w:trHeight w:val="705"/>
        </w:trPr>
        <w:tc>
          <w:tcPr>
            <w:tcW w:w="698" w:type="dxa"/>
            <w:tcBorders>
              <w:top w:val="single" w:sz="4" w:space="0" w:color="auto"/>
              <w:left w:val="single" w:sz="8" w:space="0" w:color="auto"/>
              <w:bottom w:val="single" w:sz="4" w:space="0" w:color="auto"/>
              <w:right w:val="single" w:sz="4" w:space="0" w:color="auto"/>
            </w:tcBorders>
            <w:shd w:val="clear" w:color="000000" w:fill="FFFFFF"/>
            <w:hideMark/>
          </w:tcPr>
          <w:p w:rsidR="00B951B1" w:rsidRPr="00E61612" w:rsidRDefault="00B951B1" w:rsidP="00CB78E6">
            <w:pPr>
              <w:spacing w:after="0"/>
              <w:jc w:val="center"/>
              <w:rPr>
                <w:rFonts w:cs="Calibri"/>
                <w:b/>
                <w:bCs/>
                <w:color w:val="000000"/>
                <w:sz w:val="20"/>
                <w:szCs w:val="20"/>
              </w:rPr>
            </w:pPr>
            <w:r w:rsidRPr="00E61612">
              <w:rPr>
                <w:rFonts w:cs="Calibri"/>
                <w:b/>
                <w:bCs/>
                <w:color w:val="000000"/>
                <w:sz w:val="20"/>
                <w:szCs w:val="20"/>
              </w:rPr>
              <w:t>A3.2</w:t>
            </w:r>
          </w:p>
        </w:tc>
        <w:tc>
          <w:tcPr>
            <w:tcW w:w="3403" w:type="dxa"/>
            <w:tcBorders>
              <w:top w:val="single" w:sz="4" w:space="0" w:color="auto"/>
              <w:left w:val="nil"/>
              <w:bottom w:val="single" w:sz="4" w:space="0" w:color="auto"/>
              <w:right w:val="single" w:sz="4" w:space="0" w:color="auto"/>
            </w:tcBorders>
            <w:shd w:val="clear" w:color="000000" w:fill="FFFFFF"/>
            <w:hideMark/>
          </w:tcPr>
          <w:p w:rsidR="00B951B1" w:rsidRPr="00E61612" w:rsidRDefault="00B951B1" w:rsidP="00CB78E6">
            <w:pPr>
              <w:spacing w:after="0"/>
              <w:rPr>
                <w:rFonts w:cs="Calibri"/>
                <w:sz w:val="20"/>
                <w:szCs w:val="20"/>
              </w:rPr>
            </w:pPr>
            <w:r w:rsidRPr="00E61612">
              <w:rPr>
                <w:rFonts w:cs="Calibri"/>
                <w:sz w:val="20"/>
                <w:szCs w:val="20"/>
              </w:rPr>
              <w:t>Mbështetje e shtuar për mësuesit për zbatimin e kurrikulës së re dhe përmirësimin e praktikave të vlerësimit</w:t>
            </w:r>
          </w:p>
        </w:tc>
        <w:tc>
          <w:tcPr>
            <w:tcW w:w="1559" w:type="dxa"/>
            <w:tcBorders>
              <w:top w:val="single" w:sz="4" w:space="0" w:color="auto"/>
              <w:left w:val="nil"/>
              <w:bottom w:val="single" w:sz="4" w:space="0" w:color="auto"/>
              <w:right w:val="single" w:sz="4" w:space="0" w:color="auto"/>
            </w:tcBorders>
            <w:shd w:val="clear" w:color="000000" w:fill="FFFFFF"/>
            <w:noWrap/>
            <w:hideMark/>
          </w:tcPr>
          <w:p w:rsidR="00B951B1" w:rsidRPr="00E61612" w:rsidRDefault="00B951B1" w:rsidP="00CB78E6">
            <w:pPr>
              <w:spacing w:after="0"/>
              <w:jc w:val="right"/>
              <w:rPr>
                <w:rFonts w:cs="Calibri"/>
                <w:color w:val="000000"/>
                <w:sz w:val="20"/>
                <w:szCs w:val="20"/>
              </w:rPr>
            </w:pPr>
            <w:r w:rsidRPr="00E61612">
              <w:rPr>
                <w:rFonts w:cs="Calibri"/>
                <w:color w:val="000000"/>
                <w:sz w:val="20"/>
                <w:szCs w:val="20"/>
              </w:rPr>
              <w:t>4,410</w:t>
            </w:r>
          </w:p>
        </w:tc>
        <w:tc>
          <w:tcPr>
            <w:tcW w:w="1253" w:type="dxa"/>
            <w:tcBorders>
              <w:top w:val="single" w:sz="4" w:space="0" w:color="auto"/>
              <w:left w:val="nil"/>
              <w:bottom w:val="single" w:sz="4" w:space="0" w:color="auto"/>
              <w:right w:val="single" w:sz="4" w:space="0" w:color="auto"/>
            </w:tcBorders>
            <w:shd w:val="clear" w:color="000000" w:fill="FFFFFF"/>
            <w:noWrap/>
            <w:hideMark/>
          </w:tcPr>
          <w:p w:rsidR="00B951B1" w:rsidRPr="00E61612" w:rsidRDefault="00B951B1" w:rsidP="00CB78E6">
            <w:pPr>
              <w:spacing w:after="0"/>
              <w:jc w:val="right"/>
              <w:rPr>
                <w:rFonts w:cs="Calibri"/>
                <w:color w:val="000000"/>
                <w:sz w:val="20"/>
                <w:szCs w:val="20"/>
              </w:rPr>
            </w:pPr>
            <w:r w:rsidRPr="00E61612">
              <w:rPr>
                <w:rFonts w:cs="Calibri"/>
                <w:color w:val="000000"/>
                <w:sz w:val="20"/>
                <w:szCs w:val="20"/>
              </w:rPr>
              <w:t>-</w:t>
            </w:r>
          </w:p>
        </w:tc>
        <w:tc>
          <w:tcPr>
            <w:tcW w:w="1015" w:type="dxa"/>
            <w:tcBorders>
              <w:top w:val="single" w:sz="4" w:space="0" w:color="auto"/>
              <w:left w:val="nil"/>
              <w:bottom w:val="single" w:sz="4" w:space="0" w:color="auto"/>
              <w:right w:val="single" w:sz="4" w:space="0" w:color="auto"/>
            </w:tcBorders>
            <w:shd w:val="clear" w:color="000000" w:fill="FFFFFF"/>
            <w:noWrap/>
            <w:hideMark/>
          </w:tcPr>
          <w:p w:rsidR="00B951B1" w:rsidRPr="00E61612" w:rsidRDefault="00B951B1" w:rsidP="00CB78E6">
            <w:pPr>
              <w:spacing w:after="0"/>
              <w:jc w:val="right"/>
              <w:rPr>
                <w:rFonts w:cs="Calibri"/>
                <w:color w:val="000000"/>
                <w:sz w:val="20"/>
                <w:szCs w:val="20"/>
              </w:rPr>
            </w:pPr>
            <w:r w:rsidRPr="00E61612">
              <w:rPr>
                <w:rFonts w:cs="Calibri"/>
                <w:color w:val="000000"/>
                <w:sz w:val="20"/>
                <w:szCs w:val="20"/>
              </w:rPr>
              <w:t>-</w:t>
            </w:r>
          </w:p>
        </w:tc>
        <w:tc>
          <w:tcPr>
            <w:tcW w:w="1560" w:type="dxa"/>
            <w:tcBorders>
              <w:top w:val="single" w:sz="4" w:space="0" w:color="auto"/>
              <w:left w:val="nil"/>
              <w:bottom w:val="single" w:sz="4" w:space="0" w:color="auto"/>
              <w:right w:val="single" w:sz="8" w:space="0" w:color="auto"/>
            </w:tcBorders>
            <w:shd w:val="clear" w:color="000000" w:fill="FFFFFF"/>
            <w:noWrap/>
            <w:hideMark/>
          </w:tcPr>
          <w:p w:rsidR="00B951B1" w:rsidRPr="00E61612" w:rsidRDefault="00B951B1" w:rsidP="00CB78E6">
            <w:pPr>
              <w:spacing w:after="0"/>
              <w:jc w:val="right"/>
              <w:rPr>
                <w:rFonts w:cs="Calibri"/>
                <w:color w:val="000000"/>
                <w:sz w:val="20"/>
                <w:szCs w:val="20"/>
              </w:rPr>
            </w:pPr>
            <w:r w:rsidRPr="00E61612">
              <w:rPr>
                <w:rFonts w:cs="Calibri"/>
                <w:color w:val="000000"/>
                <w:sz w:val="20"/>
                <w:szCs w:val="20"/>
              </w:rPr>
              <w:t>(4,410)</w:t>
            </w:r>
          </w:p>
        </w:tc>
      </w:tr>
      <w:tr w:rsidR="00B951B1" w:rsidRPr="00E61612" w:rsidTr="00CB78E6">
        <w:trPr>
          <w:trHeight w:val="705"/>
        </w:trPr>
        <w:tc>
          <w:tcPr>
            <w:tcW w:w="698" w:type="dxa"/>
            <w:tcBorders>
              <w:top w:val="single" w:sz="4" w:space="0" w:color="auto"/>
              <w:left w:val="single" w:sz="8" w:space="0" w:color="auto"/>
              <w:bottom w:val="single" w:sz="4" w:space="0" w:color="auto"/>
              <w:right w:val="single" w:sz="4" w:space="0" w:color="auto"/>
            </w:tcBorders>
            <w:shd w:val="clear" w:color="000000" w:fill="FFFFFF"/>
            <w:hideMark/>
          </w:tcPr>
          <w:p w:rsidR="00B951B1" w:rsidRPr="00E61612" w:rsidRDefault="00B951B1" w:rsidP="00CB78E6">
            <w:pPr>
              <w:spacing w:after="0"/>
              <w:jc w:val="center"/>
              <w:rPr>
                <w:rFonts w:cs="Calibri"/>
                <w:b/>
                <w:bCs/>
                <w:color w:val="000000"/>
                <w:sz w:val="20"/>
                <w:szCs w:val="20"/>
              </w:rPr>
            </w:pPr>
            <w:r w:rsidRPr="00E61612">
              <w:rPr>
                <w:rFonts w:cs="Calibri"/>
                <w:b/>
                <w:bCs/>
                <w:color w:val="000000"/>
                <w:sz w:val="20"/>
                <w:szCs w:val="20"/>
              </w:rPr>
              <w:lastRenderedPageBreak/>
              <w:t>A3.3</w:t>
            </w:r>
          </w:p>
        </w:tc>
        <w:tc>
          <w:tcPr>
            <w:tcW w:w="3403" w:type="dxa"/>
            <w:tcBorders>
              <w:top w:val="single" w:sz="4" w:space="0" w:color="auto"/>
              <w:left w:val="nil"/>
              <w:bottom w:val="single" w:sz="4" w:space="0" w:color="auto"/>
              <w:right w:val="single" w:sz="4" w:space="0" w:color="auto"/>
            </w:tcBorders>
            <w:shd w:val="clear" w:color="000000" w:fill="FFFFFF"/>
            <w:hideMark/>
          </w:tcPr>
          <w:p w:rsidR="00B951B1" w:rsidRPr="00E61612" w:rsidRDefault="00B951B1" w:rsidP="00CB78E6">
            <w:pPr>
              <w:spacing w:after="0"/>
              <w:rPr>
                <w:rFonts w:cs="Calibri"/>
                <w:sz w:val="20"/>
                <w:szCs w:val="20"/>
              </w:rPr>
            </w:pPr>
            <w:r w:rsidRPr="00E61612">
              <w:rPr>
                <w:rFonts w:cs="Calibri"/>
                <w:sz w:val="20"/>
                <w:szCs w:val="20"/>
              </w:rPr>
              <w:t>Përmirësimi i aftësive të nxënësve në gjuhë dhe komunikim, matematikë dhe shkencë</w:t>
            </w:r>
          </w:p>
        </w:tc>
        <w:tc>
          <w:tcPr>
            <w:tcW w:w="1559" w:type="dxa"/>
            <w:tcBorders>
              <w:top w:val="single" w:sz="4" w:space="0" w:color="auto"/>
              <w:left w:val="nil"/>
              <w:bottom w:val="single" w:sz="4" w:space="0" w:color="auto"/>
              <w:right w:val="single" w:sz="4" w:space="0" w:color="auto"/>
            </w:tcBorders>
            <w:shd w:val="clear" w:color="000000" w:fill="FFFFFF"/>
            <w:noWrap/>
            <w:hideMark/>
          </w:tcPr>
          <w:p w:rsidR="00B951B1" w:rsidRPr="00E61612" w:rsidRDefault="00B951B1" w:rsidP="00CB78E6">
            <w:pPr>
              <w:spacing w:after="0"/>
              <w:jc w:val="right"/>
              <w:rPr>
                <w:rFonts w:cs="Calibri"/>
                <w:color w:val="000000"/>
                <w:sz w:val="20"/>
                <w:szCs w:val="20"/>
              </w:rPr>
            </w:pPr>
            <w:r w:rsidRPr="00E61612">
              <w:rPr>
                <w:rFonts w:cs="Calibri"/>
                <w:color w:val="000000"/>
                <w:sz w:val="20"/>
                <w:szCs w:val="20"/>
              </w:rPr>
              <w:t>3,660</w:t>
            </w:r>
          </w:p>
        </w:tc>
        <w:tc>
          <w:tcPr>
            <w:tcW w:w="1253" w:type="dxa"/>
            <w:tcBorders>
              <w:top w:val="single" w:sz="4" w:space="0" w:color="auto"/>
              <w:left w:val="nil"/>
              <w:bottom w:val="single" w:sz="4" w:space="0" w:color="auto"/>
              <w:right w:val="single" w:sz="4" w:space="0" w:color="auto"/>
            </w:tcBorders>
            <w:shd w:val="clear" w:color="000000" w:fill="FFFFFF"/>
            <w:noWrap/>
            <w:hideMark/>
          </w:tcPr>
          <w:p w:rsidR="00B951B1" w:rsidRPr="00E61612" w:rsidRDefault="00B951B1" w:rsidP="00CB78E6">
            <w:pPr>
              <w:spacing w:after="0"/>
              <w:jc w:val="right"/>
              <w:rPr>
                <w:rFonts w:cs="Calibri"/>
                <w:color w:val="000000"/>
                <w:sz w:val="20"/>
                <w:szCs w:val="20"/>
              </w:rPr>
            </w:pPr>
            <w:r w:rsidRPr="00E61612">
              <w:rPr>
                <w:rFonts w:cs="Calibri"/>
                <w:color w:val="000000"/>
                <w:sz w:val="20"/>
                <w:szCs w:val="20"/>
              </w:rPr>
              <w:t>-</w:t>
            </w:r>
          </w:p>
        </w:tc>
        <w:tc>
          <w:tcPr>
            <w:tcW w:w="1015" w:type="dxa"/>
            <w:tcBorders>
              <w:top w:val="single" w:sz="4" w:space="0" w:color="auto"/>
              <w:left w:val="nil"/>
              <w:bottom w:val="single" w:sz="4" w:space="0" w:color="auto"/>
              <w:right w:val="single" w:sz="4" w:space="0" w:color="auto"/>
            </w:tcBorders>
            <w:shd w:val="clear" w:color="000000" w:fill="FFFFFF"/>
            <w:noWrap/>
            <w:hideMark/>
          </w:tcPr>
          <w:p w:rsidR="00B951B1" w:rsidRPr="00E61612" w:rsidRDefault="00B951B1" w:rsidP="00CB78E6">
            <w:pPr>
              <w:spacing w:after="0"/>
              <w:jc w:val="right"/>
              <w:rPr>
                <w:rFonts w:cs="Calibri"/>
                <w:color w:val="000000"/>
                <w:sz w:val="20"/>
                <w:szCs w:val="20"/>
              </w:rPr>
            </w:pPr>
            <w:r w:rsidRPr="00E61612">
              <w:rPr>
                <w:rFonts w:cs="Calibri"/>
                <w:color w:val="000000"/>
                <w:sz w:val="20"/>
                <w:szCs w:val="20"/>
              </w:rPr>
              <w:t>-</w:t>
            </w:r>
          </w:p>
        </w:tc>
        <w:tc>
          <w:tcPr>
            <w:tcW w:w="1560" w:type="dxa"/>
            <w:tcBorders>
              <w:top w:val="single" w:sz="4" w:space="0" w:color="auto"/>
              <w:left w:val="nil"/>
              <w:bottom w:val="single" w:sz="4" w:space="0" w:color="auto"/>
              <w:right w:val="single" w:sz="8" w:space="0" w:color="auto"/>
            </w:tcBorders>
            <w:shd w:val="clear" w:color="000000" w:fill="FFFFFF"/>
            <w:noWrap/>
            <w:hideMark/>
          </w:tcPr>
          <w:p w:rsidR="00B951B1" w:rsidRPr="00E61612" w:rsidRDefault="00B951B1" w:rsidP="00CB78E6">
            <w:pPr>
              <w:spacing w:after="0"/>
              <w:jc w:val="right"/>
              <w:rPr>
                <w:rFonts w:cs="Calibri"/>
                <w:color w:val="000000"/>
                <w:sz w:val="20"/>
                <w:szCs w:val="20"/>
              </w:rPr>
            </w:pPr>
            <w:r w:rsidRPr="00E61612">
              <w:rPr>
                <w:rFonts w:cs="Calibri"/>
                <w:color w:val="000000"/>
                <w:sz w:val="20"/>
                <w:szCs w:val="20"/>
              </w:rPr>
              <w:t>(3,660)</w:t>
            </w:r>
          </w:p>
        </w:tc>
      </w:tr>
      <w:tr w:rsidR="00B951B1" w:rsidRPr="00E61612" w:rsidTr="00CB78E6">
        <w:trPr>
          <w:trHeight w:val="705"/>
        </w:trPr>
        <w:tc>
          <w:tcPr>
            <w:tcW w:w="698" w:type="dxa"/>
            <w:tcBorders>
              <w:top w:val="single" w:sz="4" w:space="0" w:color="auto"/>
              <w:left w:val="single" w:sz="8" w:space="0" w:color="auto"/>
              <w:bottom w:val="single" w:sz="4" w:space="0" w:color="auto"/>
              <w:right w:val="single" w:sz="4" w:space="0" w:color="auto"/>
            </w:tcBorders>
            <w:shd w:val="clear" w:color="000000" w:fill="FFFFFF"/>
            <w:hideMark/>
          </w:tcPr>
          <w:p w:rsidR="00B951B1" w:rsidRPr="00E61612" w:rsidRDefault="00B951B1" w:rsidP="00CB78E6">
            <w:pPr>
              <w:spacing w:after="0"/>
              <w:jc w:val="center"/>
              <w:rPr>
                <w:rFonts w:cs="Calibri"/>
                <w:b/>
                <w:bCs/>
                <w:color w:val="000000"/>
                <w:sz w:val="20"/>
                <w:szCs w:val="20"/>
              </w:rPr>
            </w:pPr>
            <w:r w:rsidRPr="00E61612">
              <w:rPr>
                <w:rFonts w:cs="Calibri"/>
                <w:b/>
                <w:bCs/>
                <w:color w:val="000000"/>
                <w:sz w:val="20"/>
                <w:szCs w:val="20"/>
              </w:rPr>
              <w:t>A3.4</w:t>
            </w:r>
          </w:p>
        </w:tc>
        <w:tc>
          <w:tcPr>
            <w:tcW w:w="3403" w:type="dxa"/>
            <w:tcBorders>
              <w:top w:val="single" w:sz="4" w:space="0" w:color="auto"/>
              <w:left w:val="nil"/>
              <w:bottom w:val="single" w:sz="4" w:space="0" w:color="auto"/>
              <w:right w:val="single" w:sz="4" w:space="0" w:color="auto"/>
            </w:tcBorders>
            <w:shd w:val="clear" w:color="000000" w:fill="FFFFFF"/>
            <w:hideMark/>
          </w:tcPr>
          <w:p w:rsidR="00B951B1" w:rsidRPr="00E61612" w:rsidRDefault="00B951B1" w:rsidP="00CB78E6">
            <w:pPr>
              <w:spacing w:after="0"/>
              <w:rPr>
                <w:rFonts w:cs="Calibri"/>
                <w:sz w:val="20"/>
                <w:szCs w:val="20"/>
              </w:rPr>
            </w:pPr>
            <w:r>
              <w:rPr>
                <w:rFonts w:cs="Calibri"/>
                <w:sz w:val="20"/>
                <w:szCs w:val="20"/>
              </w:rPr>
              <w:t>Garantimi</w:t>
            </w:r>
            <w:r w:rsidRPr="00E61612">
              <w:rPr>
                <w:rFonts w:cs="Calibri"/>
                <w:sz w:val="20"/>
                <w:szCs w:val="20"/>
              </w:rPr>
              <w:t xml:space="preserve"> i besueshmërisë së vlerësimeve kombëtare</w:t>
            </w:r>
          </w:p>
        </w:tc>
        <w:tc>
          <w:tcPr>
            <w:tcW w:w="1559" w:type="dxa"/>
            <w:tcBorders>
              <w:top w:val="single" w:sz="4" w:space="0" w:color="auto"/>
              <w:left w:val="nil"/>
              <w:bottom w:val="single" w:sz="4" w:space="0" w:color="auto"/>
              <w:right w:val="single" w:sz="4" w:space="0" w:color="auto"/>
            </w:tcBorders>
            <w:shd w:val="clear" w:color="000000" w:fill="FFFFFF"/>
            <w:noWrap/>
            <w:hideMark/>
          </w:tcPr>
          <w:p w:rsidR="00B951B1" w:rsidRPr="00E61612" w:rsidRDefault="00B951B1" w:rsidP="00CB78E6">
            <w:pPr>
              <w:spacing w:after="0"/>
              <w:jc w:val="right"/>
              <w:rPr>
                <w:rFonts w:cs="Calibri"/>
                <w:color w:val="000000"/>
                <w:sz w:val="20"/>
                <w:szCs w:val="20"/>
              </w:rPr>
            </w:pPr>
            <w:r w:rsidRPr="00E61612">
              <w:rPr>
                <w:rFonts w:cs="Calibri"/>
                <w:color w:val="000000"/>
                <w:sz w:val="20"/>
                <w:szCs w:val="20"/>
              </w:rPr>
              <w:t>9,480</w:t>
            </w:r>
          </w:p>
        </w:tc>
        <w:tc>
          <w:tcPr>
            <w:tcW w:w="1253" w:type="dxa"/>
            <w:tcBorders>
              <w:top w:val="single" w:sz="4" w:space="0" w:color="auto"/>
              <w:left w:val="nil"/>
              <w:bottom w:val="single" w:sz="4" w:space="0" w:color="auto"/>
              <w:right w:val="single" w:sz="4" w:space="0" w:color="auto"/>
            </w:tcBorders>
            <w:shd w:val="clear" w:color="000000" w:fill="FFFFFF"/>
            <w:noWrap/>
            <w:hideMark/>
          </w:tcPr>
          <w:p w:rsidR="00B951B1" w:rsidRPr="00E61612" w:rsidRDefault="00B951B1" w:rsidP="00CB78E6">
            <w:pPr>
              <w:spacing w:after="0"/>
              <w:jc w:val="right"/>
              <w:rPr>
                <w:rFonts w:cs="Calibri"/>
                <w:color w:val="000000"/>
                <w:sz w:val="20"/>
                <w:szCs w:val="20"/>
              </w:rPr>
            </w:pPr>
            <w:r w:rsidRPr="00E61612">
              <w:rPr>
                <w:rFonts w:cs="Calibri"/>
                <w:color w:val="000000"/>
                <w:sz w:val="20"/>
                <w:szCs w:val="20"/>
              </w:rPr>
              <w:t>-</w:t>
            </w:r>
          </w:p>
        </w:tc>
        <w:tc>
          <w:tcPr>
            <w:tcW w:w="1015" w:type="dxa"/>
            <w:tcBorders>
              <w:top w:val="single" w:sz="4" w:space="0" w:color="auto"/>
              <w:left w:val="nil"/>
              <w:bottom w:val="single" w:sz="4" w:space="0" w:color="auto"/>
              <w:right w:val="single" w:sz="4" w:space="0" w:color="auto"/>
            </w:tcBorders>
            <w:shd w:val="clear" w:color="000000" w:fill="FFFFFF"/>
            <w:noWrap/>
            <w:hideMark/>
          </w:tcPr>
          <w:p w:rsidR="00B951B1" w:rsidRPr="00E61612" w:rsidRDefault="00B951B1" w:rsidP="00CB78E6">
            <w:pPr>
              <w:spacing w:after="0"/>
              <w:jc w:val="right"/>
              <w:rPr>
                <w:rFonts w:cs="Calibri"/>
                <w:color w:val="000000"/>
                <w:sz w:val="20"/>
                <w:szCs w:val="20"/>
              </w:rPr>
            </w:pPr>
            <w:r w:rsidRPr="00E61612">
              <w:rPr>
                <w:rFonts w:cs="Calibri"/>
                <w:color w:val="000000"/>
                <w:sz w:val="20"/>
                <w:szCs w:val="20"/>
              </w:rPr>
              <w:t>-</w:t>
            </w:r>
          </w:p>
        </w:tc>
        <w:tc>
          <w:tcPr>
            <w:tcW w:w="1560" w:type="dxa"/>
            <w:tcBorders>
              <w:top w:val="single" w:sz="4" w:space="0" w:color="auto"/>
              <w:left w:val="nil"/>
              <w:bottom w:val="single" w:sz="4" w:space="0" w:color="auto"/>
              <w:right w:val="single" w:sz="8" w:space="0" w:color="auto"/>
            </w:tcBorders>
            <w:shd w:val="clear" w:color="000000" w:fill="FFFFFF"/>
            <w:noWrap/>
            <w:hideMark/>
          </w:tcPr>
          <w:p w:rsidR="00B951B1" w:rsidRPr="00E61612" w:rsidRDefault="00B951B1" w:rsidP="00CB78E6">
            <w:pPr>
              <w:spacing w:after="0"/>
              <w:jc w:val="right"/>
              <w:rPr>
                <w:rFonts w:cs="Calibri"/>
                <w:color w:val="000000"/>
                <w:sz w:val="20"/>
                <w:szCs w:val="20"/>
              </w:rPr>
            </w:pPr>
            <w:r w:rsidRPr="00E61612">
              <w:rPr>
                <w:rFonts w:cs="Calibri"/>
                <w:color w:val="000000"/>
                <w:sz w:val="20"/>
                <w:szCs w:val="20"/>
              </w:rPr>
              <w:t>(9,480)</w:t>
            </w:r>
          </w:p>
        </w:tc>
      </w:tr>
      <w:tr w:rsidR="00B951B1" w:rsidRPr="00E61612" w:rsidTr="00CB78E6">
        <w:trPr>
          <w:trHeight w:val="705"/>
        </w:trPr>
        <w:tc>
          <w:tcPr>
            <w:tcW w:w="698" w:type="dxa"/>
            <w:tcBorders>
              <w:top w:val="single" w:sz="4" w:space="0" w:color="auto"/>
              <w:left w:val="single" w:sz="8" w:space="0" w:color="auto"/>
              <w:bottom w:val="single" w:sz="4" w:space="0" w:color="auto"/>
              <w:right w:val="single" w:sz="4" w:space="0" w:color="auto"/>
            </w:tcBorders>
            <w:shd w:val="clear" w:color="000000" w:fill="FFFFFF"/>
            <w:hideMark/>
          </w:tcPr>
          <w:p w:rsidR="00B951B1" w:rsidRPr="00E61612" w:rsidRDefault="00B951B1" w:rsidP="00CB78E6">
            <w:pPr>
              <w:spacing w:after="0"/>
              <w:jc w:val="center"/>
              <w:rPr>
                <w:rFonts w:cs="Calibri"/>
                <w:b/>
                <w:bCs/>
                <w:color w:val="000000"/>
                <w:sz w:val="20"/>
                <w:szCs w:val="20"/>
              </w:rPr>
            </w:pPr>
            <w:r w:rsidRPr="00E61612">
              <w:rPr>
                <w:rFonts w:cs="Calibri"/>
                <w:b/>
                <w:bCs/>
                <w:color w:val="000000"/>
                <w:sz w:val="20"/>
                <w:szCs w:val="20"/>
              </w:rPr>
              <w:t>A3.5</w:t>
            </w:r>
          </w:p>
        </w:tc>
        <w:tc>
          <w:tcPr>
            <w:tcW w:w="3403" w:type="dxa"/>
            <w:tcBorders>
              <w:top w:val="single" w:sz="4" w:space="0" w:color="auto"/>
              <w:left w:val="nil"/>
              <w:bottom w:val="single" w:sz="4" w:space="0" w:color="auto"/>
              <w:right w:val="single" w:sz="4" w:space="0" w:color="auto"/>
            </w:tcBorders>
            <w:shd w:val="clear" w:color="000000" w:fill="FFFFFF"/>
            <w:hideMark/>
          </w:tcPr>
          <w:p w:rsidR="00B951B1" w:rsidRPr="00E61612" w:rsidRDefault="00B951B1" w:rsidP="00CB78E6">
            <w:pPr>
              <w:spacing w:after="0"/>
              <w:rPr>
                <w:rFonts w:cs="Calibri"/>
                <w:sz w:val="20"/>
                <w:szCs w:val="20"/>
              </w:rPr>
            </w:pPr>
            <w:r w:rsidRPr="00E61612">
              <w:rPr>
                <w:rFonts w:cs="Calibri"/>
                <w:sz w:val="20"/>
                <w:szCs w:val="20"/>
              </w:rPr>
              <w:t>Të mësuarit e gjuhës angleze nga mosha 5</w:t>
            </w:r>
            <w:r>
              <w:rPr>
                <w:rFonts w:cs="Calibri"/>
                <w:sz w:val="20"/>
                <w:szCs w:val="20"/>
              </w:rPr>
              <w:t>-</w:t>
            </w:r>
            <w:r w:rsidRPr="00E61612">
              <w:rPr>
                <w:rFonts w:cs="Calibri"/>
                <w:sz w:val="20"/>
                <w:szCs w:val="20"/>
              </w:rPr>
              <w:t>vjeç</w:t>
            </w:r>
            <w:r>
              <w:rPr>
                <w:rFonts w:cs="Calibri"/>
                <w:sz w:val="20"/>
                <w:szCs w:val="20"/>
              </w:rPr>
              <w:t>are</w:t>
            </w:r>
          </w:p>
        </w:tc>
        <w:tc>
          <w:tcPr>
            <w:tcW w:w="1559" w:type="dxa"/>
            <w:tcBorders>
              <w:top w:val="single" w:sz="4" w:space="0" w:color="auto"/>
              <w:left w:val="nil"/>
              <w:bottom w:val="single" w:sz="4" w:space="0" w:color="auto"/>
              <w:right w:val="single" w:sz="4" w:space="0" w:color="auto"/>
            </w:tcBorders>
            <w:shd w:val="clear" w:color="000000" w:fill="FFFFFF"/>
            <w:noWrap/>
            <w:hideMark/>
          </w:tcPr>
          <w:p w:rsidR="00B951B1" w:rsidRPr="00E61612" w:rsidRDefault="00B951B1" w:rsidP="00CB78E6">
            <w:pPr>
              <w:spacing w:after="0"/>
              <w:jc w:val="right"/>
              <w:rPr>
                <w:rFonts w:cs="Calibri"/>
                <w:color w:val="000000"/>
                <w:sz w:val="20"/>
                <w:szCs w:val="20"/>
              </w:rPr>
            </w:pPr>
            <w:r w:rsidRPr="00E61612">
              <w:rPr>
                <w:rFonts w:cs="Calibri"/>
                <w:color w:val="000000"/>
                <w:sz w:val="20"/>
                <w:szCs w:val="20"/>
              </w:rPr>
              <w:t>1,032,960</w:t>
            </w:r>
          </w:p>
        </w:tc>
        <w:tc>
          <w:tcPr>
            <w:tcW w:w="1253" w:type="dxa"/>
            <w:tcBorders>
              <w:top w:val="single" w:sz="4" w:space="0" w:color="auto"/>
              <w:left w:val="nil"/>
              <w:bottom w:val="single" w:sz="4" w:space="0" w:color="auto"/>
              <w:right w:val="single" w:sz="4" w:space="0" w:color="auto"/>
            </w:tcBorders>
            <w:shd w:val="clear" w:color="000000" w:fill="FFFFFF"/>
            <w:noWrap/>
            <w:hideMark/>
          </w:tcPr>
          <w:p w:rsidR="00B951B1" w:rsidRPr="00E61612" w:rsidRDefault="00B951B1" w:rsidP="00CB78E6">
            <w:pPr>
              <w:spacing w:after="0"/>
              <w:jc w:val="right"/>
              <w:rPr>
                <w:rFonts w:cs="Calibri"/>
                <w:color w:val="000000"/>
                <w:sz w:val="20"/>
                <w:szCs w:val="20"/>
              </w:rPr>
            </w:pPr>
            <w:r w:rsidRPr="00E61612">
              <w:rPr>
                <w:rFonts w:cs="Calibri"/>
                <w:color w:val="000000"/>
                <w:sz w:val="20"/>
                <w:szCs w:val="20"/>
              </w:rPr>
              <w:t>-</w:t>
            </w:r>
          </w:p>
        </w:tc>
        <w:tc>
          <w:tcPr>
            <w:tcW w:w="1015" w:type="dxa"/>
            <w:tcBorders>
              <w:top w:val="single" w:sz="4" w:space="0" w:color="auto"/>
              <w:left w:val="nil"/>
              <w:bottom w:val="single" w:sz="4" w:space="0" w:color="auto"/>
              <w:right w:val="single" w:sz="4" w:space="0" w:color="auto"/>
            </w:tcBorders>
            <w:shd w:val="clear" w:color="000000" w:fill="FFFFFF"/>
            <w:noWrap/>
            <w:hideMark/>
          </w:tcPr>
          <w:p w:rsidR="00B951B1" w:rsidRPr="00E61612" w:rsidRDefault="00B951B1" w:rsidP="00CB78E6">
            <w:pPr>
              <w:spacing w:after="0"/>
              <w:jc w:val="right"/>
              <w:rPr>
                <w:rFonts w:cs="Calibri"/>
                <w:color w:val="000000"/>
                <w:sz w:val="20"/>
                <w:szCs w:val="20"/>
              </w:rPr>
            </w:pPr>
            <w:r w:rsidRPr="00E61612">
              <w:rPr>
                <w:rFonts w:cs="Calibri"/>
                <w:color w:val="000000"/>
                <w:sz w:val="20"/>
                <w:szCs w:val="20"/>
              </w:rPr>
              <w:t>-</w:t>
            </w:r>
          </w:p>
        </w:tc>
        <w:tc>
          <w:tcPr>
            <w:tcW w:w="1560" w:type="dxa"/>
            <w:tcBorders>
              <w:top w:val="single" w:sz="4" w:space="0" w:color="auto"/>
              <w:left w:val="nil"/>
              <w:bottom w:val="single" w:sz="4" w:space="0" w:color="auto"/>
              <w:right w:val="single" w:sz="8" w:space="0" w:color="auto"/>
            </w:tcBorders>
            <w:shd w:val="clear" w:color="000000" w:fill="FFFFFF"/>
            <w:noWrap/>
            <w:hideMark/>
          </w:tcPr>
          <w:p w:rsidR="00B951B1" w:rsidRPr="00E61612" w:rsidRDefault="00B951B1" w:rsidP="00CB78E6">
            <w:pPr>
              <w:spacing w:after="0"/>
              <w:jc w:val="right"/>
              <w:rPr>
                <w:rFonts w:cs="Calibri"/>
                <w:color w:val="000000"/>
                <w:sz w:val="20"/>
                <w:szCs w:val="20"/>
              </w:rPr>
            </w:pPr>
            <w:r w:rsidRPr="00E61612">
              <w:rPr>
                <w:rFonts w:cs="Calibri"/>
                <w:color w:val="000000"/>
                <w:sz w:val="20"/>
                <w:szCs w:val="20"/>
              </w:rPr>
              <w:t>(1,032,960)</w:t>
            </w:r>
          </w:p>
        </w:tc>
      </w:tr>
      <w:tr w:rsidR="00B951B1" w:rsidRPr="00E61612" w:rsidTr="00CB78E6">
        <w:trPr>
          <w:trHeight w:val="990"/>
        </w:trPr>
        <w:tc>
          <w:tcPr>
            <w:tcW w:w="698" w:type="dxa"/>
            <w:tcBorders>
              <w:top w:val="single" w:sz="4" w:space="0" w:color="auto"/>
              <w:left w:val="single" w:sz="8" w:space="0" w:color="auto"/>
              <w:bottom w:val="single" w:sz="4" w:space="0" w:color="auto"/>
              <w:right w:val="single" w:sz="4" w:space="0" w:color="auto"/>
            </w:tcBorders>
            <w:shd w:val="clear" w:color="000000" w:fill="FFFFFF"/>
            <w:hideMark/>
          </w:tcPr>
          <w:p w:rsidR="00B951B1" w:rsidRPr="00E61612" w:rsidRDefault="00B951B1" w:rsidP="00CB78E6">
            <w:pPr>
              <w:spacing w:after="0"/>
              <w:jc w:val="center"/>
              <w:rPr>
                <w:rFonts w:cs="Calibri"/>
                <w:b/>
                <w:bCs/>
                <w:color w:val="000000"/>
                <w:sz w:val="20"/>
                <w:szCs w:val="20"/>
              </w:rPr>
            </w:pPr>
            <w:r w:rsidRPr="00E61612">
              <w:rPr>
                <w:rFonts w:cs="Calibri"/>
                <w:b/>
                <w:bCs/>
                <w:color w:val="000000"/>
                <w:sz w:val="20"/>
                <w:szCs w:val="20"/>
              </w:rPr>
              <w:t>A3.6</w:t>
            </w:r>
          </w:p>
        </w:tc>
        <w:tc>
          <w:tcPr>
            <w:tcW w:w="3403" w:type="dxa"/>
            <w:tcBorders>
              <w:top w:val="single" w:sz="4" w:space="0" w:color="auto"/>
              <w:left w:val="nil"/>
              <w:bottom w:val="single" w:sz="4" w:space="0" w:color="auto"/>
              <w:right w:val="single" w:sz="4" w:space="0" w:color="auto"/>
            </w:tcBorders>
            <w:shd w:val="clear" w:color="000000" w:fill="FFFFFF"/>
            <w:hideMark/>
          </w:tcPr>
          <w:p w:rsidR="00B951B1" w:rsidRPr="00E61612" w:rsidRDefault="00B951B1" w:rsidP="00CB78E6">
            <w:pPr>
              <w:spacing w:after="0"/>
              <w:rPr>
                <w:rFonts w:cs="Calibri"/>
                <w:sz w:val="20"/>
                <w:szCs w:val="20"/>
              </w:rPr>
            </w:pPr>
            <w:r w:rsidRPr="00E61612">
              <w:rPr>
                <w:rFonts w:cs="Calibri"/>
                <w:sz w:val="20"/>
                <w:szCs w:val="20"/>
              </w:rPr>
              <w:t>Të mësuarit e zejeve dhe të arteve në arsimin e mesëm të lartë në kuadrin e kurrikulës me zgjedhje</w:t>
            </w:r>
          </w:p>
        </w:tc>
        <w:tc>
          <w:tcPr>
            <w:tcW w:w="1559" w:type="dxa"/>
            <w:tcBorders>
              <w:top w:val="single" w:sz="4" w:space="0" w:color="auto"/>
              <w:left w:val="nil"/>
              <w:bottom w:val="single" w:sz="4" w:space="0" w:color="auto"/>
              <w:right w:val="single" w:sz="4" w:space="0" w:color="auto"/>
            </w:tcBorders>
            <w:shd w:val="clear" w:color="000000" w:fill="FFFFFF"/>
            <w:noWrap/>
            <w:hideMark/>
          </w:tcPr>
          <w:p w:rsidR="00B951B1" w:rsidRPr="00E61612" w:rsidRDefault="00B951B1" w:rsidP="00CB78E6">
            <w:pPr>
              <w:spacing w:after="0"/>
              <w:jc w:val="right"/>
              <w:rPr>
                <w:rFonts w:cs="Calibri"/>
                <w:color w:val="000000"/>
                <w:sz w:val="20"/>
                <w:szCs w:val="20"/>
              </w:rPr>
            </w:pPr>
            <w:r w:rsidRPr="00E61612">
              <w:rPr>
                <w:rFonts w:cs="Calibri"/>
                <w:color w:val="000000"/>
                <w:sz w:val="20"/>
                <w:szCs w:val="20"/>
              </w:rPr>
              <w:t>6,150</w:t>
            </w:r>
          </w:p>
        </w:tc>
        <w:tc>
          <w:tcPr>
            <w:tcW w:w="1253" w:type="dxa"/>
            <w:tcBorders>
              <w:top w:val="single" w:sz="4" w:space="0" w:color="auto"/>
              <w:left w:val="nil"/>
              <w:bottom w:val="single" w:sz="4" w:space="0" w:color="auto"/>
              <w:right w:val="single" w:sz="4" w:space="0" w:color="auto"/>
            </w:tcBorders>
            <w:shd w:val="clear" w:color="000000" w:fill="FFFFFF"/>
            <w:noWrap/>
            <w:hideMark/>
          </w:tcPr>
          <w:p w:rsidR="00B951B1" w:rsidRPr="00E61612" w:rsidRDefault="00B951B1" w:rsidP="00CB78E6">
            <w:pPr>
              <w:spacing w:after="0"/>
              <w:jc w:val="right"/>
              <w:rPr>
                <w:rFonts w:cs="Calibri"/>
                <w:color w:val="000000"/>
                <w:sz w:val="20"/>
                <w:szCs w:val="20"/>
              </w:rPr>
            </w:pPr>
            <w:r w:rsidRPr="00E61612">
              <w:rPr>
                <w:rFonts w:cs="Calibri"/>
                <w:color w:val="000000"/>
                <w:sz w:val="20"/>
                <w:szCs w:val="20"/>
              </w:rPr>
              <w:t>-</w:t>
            </w:r>
          </w:p>
        </w:tc>
        <w:tc>
          <w:tcPr>
            <w:tcW w:w="1015" w:type="dxa"/>
            <w:tcBorders>
              <w:top w:val="single" w:sz="4" w:space="0" w:color="auto"/>
              <w:left w:val="nil"/>
              <w:bottom w:val="single" w:sz="4" w:space="0" w:color="auto"/>
              <w:right w:val="single" w:sz="4" w:space="0" w:color="auto"/>
            </w:tcBorders>
            <w:shd w:val="clear" w:color="000000" w:fill="FFFFFF"/>
            <w:noWrap/>
            <w:hideMark/>
          </w:tcPr>
          <w:p w:rsidR="00B951B1" w:rsidRPr="00E61612" w:rsidRDefault="00B951B1" w:rsidP="00CB78E6">
            <w:pPr>
              <w:spacing w:after="0"/>
              <w:jc w:val="right"/>
              <w:rPr>
                <w:rFonts w:cs="Calibri"/>
                <w:color w:val="000000"/>
                <w:sz w:val="20"/>
                <w:szCs w:val="20"/>
              </w:rPr>
            </w:pPr>
            <w:r w:rsidRPr="00E61612">
              <w:rPr>
                <w:rFonts w:cs="Calibri"/>
                <w:color w:val="000000"/>
                <w:sz w:val="20"/>
                <w:szCs w:val="20"/>
              </w:rPr>
              <w:t>6,150</w:t>
            </w:r>
          </w:p>
        </w:tc>
        <w:tc>
          <w:tcPr>
            <w:tcW w:w="1560" w:type="dxa"/>
            <w:tcBorders>
              <w:top w:val="single" w:sz="4" w:space="0" w:color="auto"/>
              <w:left w:val="nil"/>
              <w:bottom w:val="single" w:sz="4" w:space="0" w:color="auto"/>
              <w:right w:val="single" w:sz="8" w:space="0" w:color="auto"/>
            </w:tcBorders>
            <w:shd w:val="clear" w:color="000000" w:fill="FFFFFF"/>
            <w:noWrap/>
            <w:hideMark/>
          </w:tcPr>
          <w:p w:rsidR="00B951B1" w:rsidRPr="00E61612" w:rsidRDefault="00B951B1" w:rsidP="00CB78E6">
            <w:pPr>
              <w:spacing w:after="0"/>
              <w:jc w:val="right"/>
              <w:rPr>
                <w:rFonts w:cs="Calibri"/>
                <w:color w:val="000000"/>
                <w:sz w:val="20"/>
                <w:szCs w:val="20"/>
              </w:rPr>
            </w:pPr>
            <w:r w:rsidRPr="00E61612">
              <w:rPr>
                <w:rFonts w:cs="Calibri"/>
                <w:color w:val="000000"/>
                <w:sz w:val="20"/>
                <w:szCs w:val="20"/>
              </w:rPr>
              <w:t>-</w:t>
            </w:r>
          </w:p>
        </w:tc>
      </w:tr>
      <w:tr w:rsidR="00B951B1" w:rsidRPr="00E61612" w:rsidTr="00CB78E6">
        <w:trPr>
          <w:trHeight w:val="1380"/>
        </w:trPr>
        <w:tc>
          <w:tcPr>
            <w:tcW w:w="698" w:type="dxa"/>
            <w:tcBorders>
              <w:top w:val="nil"/>
              <w:left w:val="single" w:sz="8" w:space="0" w:color="auto"/>
              <w:bottom w:val="single" w:sz="4" w:space="0" w:color="auto"/>
              <w:right w:val="single" w:sz="4" w:space="0" w:color="auto"/>
            </w:tcBorders>
            <w:shd w:val="clear" w:color="000000" w:fill="D9D9D9"/>
            <w:hideMark/>
          </w:tcPr>
          <w:p w:rsidR="00B951B1" w:rsidRPr="00E61612" w:rsidRDefault="00B951B1" w:rsidP="00CB78E6">
            <w:pPr>
              <w:spacing w:after="0"/>
              <w:jc w:val="center"/>
              <w:rPr>
                <w:rFonts w:cs="Calibri"/>
                <w:b/>
                <w:bCs/>
                <w:color w:val="000000"/>
                <w:sz w:val="20"/>
                <w:szCs w:val="20"/>
              </w:rPr>
            </w:pPr>
            <w:r w:rsidRPr="00E61612">
              <w:rPr>
                <w:rFonts w:cs="Calibri"/>
                <w:b/>
                <w:bCs/>
                <w:color w:val="000000"/>
                <w:sz w:val="20"/>
                <w:szCs w:val="20"/>
              </w:rPr>
              <w:t>A4</w:t>
            </w:r>
          </w:p>
        </w:tc>
        <w:tc>
          <w:tcPr>
            <w:tcW w:w="3403" w:type="dxa"/>
            <w:tcBorders>
              <w:top w:val="nil"/>
              <w:left w:val="nil"/>
              <w:bottom w:val="single" w:sz="4" w:space="0" w:color="auto"/>
              <w:right w:val="single" w:sz="4" w:space="0" w:color="auto"/>
            </w:tcBorders>
            <w:shd w:val="clear" w:color="000000" w:fill="D9D9D9"/>
            <w:hideMark/>
          </w:tcPr>
          <w:p w:rsidR="00B951B1" w:rsidRPr="00E61612" w:rsidRDefault="00B951B1" w:rsidP="00CB78E6">
            <w:pPr>
              <w:spacing w:after="0"/>
              <w:rPr>
                <w:rFonts w:cs="Calibri"/>
                <w:sz w:val="20"/>
                <w:szCs w:val="20"/>
              </w:rPr>
            </w:pPr>
            <w:r w:rsidRPr="00E61612">
              <w:rPr>
                <w:rFonts w:cs="Calibri"/>
                <w:sz w:val="20"/>
                <w:szCs w:val="20"/>
              </w:rPr>
              <w:t xml:space="preserve">Zhvillimi i kompetencës digjitale përmes shfrytëzimit më të mirë të teknologjisë së informacionit dhe komunikimit </w:t>
            </w:r>
            <w:r>
              <w:rPr>
                <w:rFonts w:cs="Calibri"/>
                <w:sz w:val="20"/>
                <w:szCs w:val="20"/>
              </w:rPr>
              <w:t>në</w:t>
            </w:r>
            <w:r w:rsidRPr="00E61612">
              <w:rPr>
                <w:rFonts w:cs="Calibri"/>
                <w:sz w:val="20"/>
                <w:szCs w:val="20"/>
              </w:rPr>
              <w:t xml:space="preserve"> mësimdhënie dhe të nxën</w:t>
            </w:r>
            <w:r>
              <w:rPr>
                <w:rFonts w:cs="Calibri"/>
                <w:sz w:val="20"/>
                <w:szCs w:val="20"/>
              </w:rPr>
              <w:t>it</w:t>
            </w:r>
          </w:p>
        </w:tc>
        <w:tc>
          <w:tcPr>
            <w:tcW w:w="1559" w:type="dxa"/>
            <w:tcBorders>
              <w:top w:val="nil"/>
              <w:left w:val="nil"/>
              <w:bottom w:val="single" w:sz="4" w:space="0" w:color="auto"/>
              <w:right w:val="single" w:sz="4" w:space="0" w:color="auto"/>
            </w:tcBorders>
            <w:shd w:val="clear" w:color="000000" w:fill="D9D9D9"/>
            <w:noWrap/>
            <w:hideMark/>
          </w:tcPr>
          <w:p w:rsidR="00B951B1" w:rsidRPr="00E61612" w:rsidRDefault="00B951B1" w:rsidP="00CB78E6">
            <w:pPr>
              <w:spacing w:after="0"/>
              <w:jc w:val="right"/>
              <w:rPr>
                <w:rFonts w:cs="Calibri"/>
                <w:color w:val="000000"/>
                <w:sz w:val="20"/>
                <w:szCs w:val="20"/>
              </w:rPr>
            </w:pPr>
            <w:r w:rsidRPr="00E61612">
              <w:rPr>
                <w:rFonts w:cs="Calibri"/>
                <w:color w:val="000000"/>
                <w:sz w:val="20"/>
                <w:szCs w:val="20"/>
              </w:rPr>
              <w:t>6,372,428</w:t>
            </w:r>
          </w:p>
        </w:tc>
        <w:tc>
          <w:tcPr>
            <w:tcW w:w="1253" w:type="dxa"/>
            <w:tcBorders>
              <w:top w:val="nil"/>
              <w:left w:val="nil"/>
              <w:bottom w:val="single" w:sz="4" w:space="0" w:color="auto"/>
              <w:right w:val="single" w:sz="4" w:space="0" w:color="auto"/>
            </w:tcBorders>
            <w:shd w:val="clear" w:color="000000" w:fill="D9D9D9"/>
            <w:noWrap/>
            <w:hideMark/>
          </w:tcPr>
          <w:p w:rsidR="00B951B1" w:rsidRPr="00E61612" w:rsidRDefault="00B951B1" w:rsidP="00CB78E6">
            <w:pPr>
              <w:spacing w:after="0"/>
              <w:jc w:val="right"/>
              <w:rPr>
                <w:rFonts w:cs="Calibri"/>
                <w:color w:val="000000"/>
                <w:sz w:val="20"/>
                <w:szCs w:val="20"/>
              </w:rPr>
            </w:pPr>
            <w:r w:rsidRPr="00E61612">
              <w:rPr>
                <w:rFonts w:cs="Calibri"/>
                <w:color w:val="000000"/>
                <w:sz w:val="20"/>
                <w:szCs w:val="20"/>
              </w:rPr>
              <w:t>909,226</w:t>
            </w:r>
          </w:p>
        </w:tc>
        <w:tc>
          <w:tcPr>
            <w:tcW w:w="1015" w:type="dxa"/>
            <w:tcBorders>
              <w:top w:val="nil"/>
              <w:left w:val="nil"/>
              <w:bottom w:val="single" w:sz="4" w:space="0" w:color="auto"/>
              <w:right w:val="single" w:sz="4" w:space="0" w:color="auto"/>
            </w:tcBorders>
            <w:shd w:val="clear" w:color="000000" w:fill="D9D9D9"/>
            <w:noWrap/>
            <w:hideMark/>
          </w:tcPr>
          <w:p w:rsidR="00B951B1" w:rsidRPr="00E61612" w:rsidRDefault="00B951B1" w:rsidP="00CB78E6">
            <w:pPr>
              <w:spacing w:after="0"/>
              <w:jc w:val="right"/>
              <w:rPr>
                <w:rFonts w:cs="Calibri"/>
                <w:color w:val="000000"/>
                <w:sz w:val="20"/>
                <w:szCs w:val="20"/>
              </w:rPr>
            </w:pPr>
            <w:r w:rsidRPr="00E61612">
              <w:rPr>
                <w:rFonts w:cs="Calibri"/>
                <w:color w:val="000000"/>
                <w:sz w:val="20"/>
                <w:szCs w:val="20"/>
              </w:rPr>
              <w:t>69,060</w:t>
            </w:r>
          </w:p>
        </w:tc>
        <w:tc>
          <w:tcPr>
            <w:tcW w:w="1560" w:type="dxa"/>
            <w:tcBorders>
              <w:top w:val="nil"/>
              <w:left w:val="nil"/>
              <w:bottom w:val="single" w:sz="4" w:space="0" w:color="auto"/>
              <w:right w:val="single" w:sz="8" w:space="0" w:color="auto"/>
            </w:tcBorders>
            <w:shd w:val="clear" w:color="000000" w:fill="D9D9D9"/>
            <w:noWrap/>
            <w:hideMark/>
          </w:tcPr>
          <w:p w:rsidR="00B951B1" w:rsidRPr="00E61612" w:rsidRDefault="00B951B1" w:rsidP="00CB78E6">
            <w:pPr>
              <w:spacing w:after="0"/>
              <w:jc w:val="right"/>
              <w:rPr>
                <w:rFonts w:cs="Calibri"/>
                <w:color w:val="000000"/>
                <w:sz w:val="20"/>
                <w:szCs w:val="20"/>
              </w:rPr>
            </w:pPr>
            <w:r w:rsidRPr="00E61612">
              <w:rPr>
                <w:rFonts w:cs="Calibri"/>
                <w:color w:val="000000"/>
                <w:sz w:val="20"/>
                <w:szCs w:val="20"/>
              </w:rPr>
              <w:t>(5,394,142)</w:t>
            </w:r>
          </w:p>
        </w:tc>
      </w:tr>
      <w:tr w:rsidR="00B951B1" w:rsidRPr="00E61612" w:rsidTr="00CB78E6">
        <w:trPr>
          <w:trHeight w:val="705"/>
        </w:trPr>
        <w:tc>
          <w:tcPr>
            <w:tcW w:w="698" w:type="dxa"/>
            <w:tcBorders>
              <w:top w:val="single" w:sz="4" w:space="0" w:color="auto"/>
              <w:left w:val="single" w:sz="8" w:space="0" w:color="auto"/>
              <w:bottom w:val="single" w:sz="4" w:space="0" w:color="auto"/>
              <w:right w:val="single" w:sz="4" w:space="0" w:color="auto"/>
            </w:tcBorders>
            <w:shd w:val="clear" w:color="000000" w:fill="FFFFFF"/>
            <w:hideMark/>
          </w:tcPr>
          <w:p w:rsidR="00B951B1" w:rsidRPr="00E61612" w:rsidRDefault="00B951B1" w:rsidP="00CB78E6">
            <w:pPr>
              <w:spacing w:after="0"/>
              <w:jc w:val="center"/>
              <w:rPr>
                <w:rFonts w:cs="Calibri"/>
                <w:b/>
                <w:bCs/>
                <w:color w:val="000000"/>
                <w:sz w:val="20"/>
                <w:szCs w:val="20"/>
              </w:rPr>
            </w:pPr>
            <w:r w:rsidRPr="00E61612">
              <w:rPr>
                <w:rFonts w:cs="Calibri"/>
                <w:b/>
                <w:bCs/>
                <w:color w:val="000000"/>
                <w:sz w:val="20"/>
                <w:szCs w:val="20"/>
              </w:rPr>
              <w:t>A4.1</w:t>
            </w:r>
          </w:p>
        </w:tc>
        <w:tc>
          <w:tcPr>
            <w:tcW w:w="3403" w:type="dxa"/>
            <w:tcBorders>
              <w:top w:val="single" w:sz="4" w:space="0" w:color="auto"/>
              <w:left w:val="nil"/>
              <w:bottom w:val="single" w:sz="4" w:space="0" w:color="auto"/>
              <w:right w:val="single" w:sz="4" w:space="0" w:color="auto"/>
            </w:tcBorders>
            <w:shd w:val="clear" w:color="000000" w:fill="FFFFFF"/>
            <w:hideMark/>
          </w:tcPr>
          <w:p w:rsidR="00B951B1" w:rsidRPr="00E61612" w:rsidRDefault="00B951B1" w:rsidP="00CB78E6">
            <w:pPr>
              <w:spacing w:after="0"/>
              <w:rPr>
                <w:rFonts w:cs="Calibri"/>
                <w:sz w:val="20"/>
                <w:szCs w:val="20"/>
              </w:rPr>
            </w:pPr>
            <w:r w:rsidRPr="00E61612">
              <w:rPr>
                <w:rFonts w:cs="Calibri"/>
                <w:sz w:val="20"/>
                <w:szCs w:val="20"/>
              </w:rPr>
              <w:t>Krijimi i infrastrukturës së përshtatshme për shfrytëzimin e TIK-ut në shkolla dhe mirëmbajtja e saj</w:t>
            </w:r>
          </w:p>
        </w:tc>
        <w:tc>
          <w:tcPr>
            <w:tcW w:w="1559" w:type="dxa"/>
            <w:tcBorders>
              <w:top w:val="single" w:sz="4" w:space="0" w:color="auto"/>
              <w:left w:val="nil"/>
              <w:bottom w:val="single" w:sz="4" w:space="0" w:color="auto"/>
              <w:right w:val="single" w:sz="4" w:space="0" w:color="auto"/>
            </w:tcBorders>
            <w:shd w:val="clear" w:color="000000" w:fill="FFFFFF"/>
            <w:noWrap/>
            <w:hideMark/>
          </w:tcPr>
          <w:p w:rsidR="00B951B1" w:rsidRPr="00E61612" w:rsidRDefault="00B951B1" w:rsidP="00CB78E6">
            <w:pPr>
              <w:spacing w:after="0"/>
              <w:jc w:val="right"/>
              <w:rPr>
                <w:rFonts w:cs="Calibri"/>
                <w:color w:val="000000"/>
                <w:sz w:val="20"/>
                <w:szCs w:val="20"/>
              </w:rPr>
            </w:pPr>
            <w:r w:rsidRPr="00E61612">
              <w:rPr>
                <w:rFonts w:cs="Calibri"/>
                <w:color w:val="000000"/>
                <w:sz w:val="20"/>
                <w:szCs w:val="20"/>
              </w:rPr>
              <w:t>4,838,852</w:t>
            </w:r>
          </w:p>
        </w:tc>
        <w:tc>
          <w:tcPr>
            <w:tcW w:w="1253" w:type="dxa"/>
            <w:tcBorders>
              <w:top w:val="single" w:sz="4" w:space="0" w:color="auto"/>
              <w:left w:val="nil"/>
              <w:bottom w:val="single" w:sz="4" w:space="0" w:color="auto"/>
              <w:right w:val="single" w:sz="4" w:space="0" w:color="auto"/>
            </w:tcBorders>
            <w:shd w:val="clear" w:color="000000" w:fill="FFFFFF"/>
            <w:noWrap/>
            <w:hideMark/>
          </w:tcPr>
          <w:p w:rsidR="00B951B1" w:rsidRPr="00E61612" w:rsidRDefault="00B951B1" w:rsidP="00CB78E6">
            <w:pPr>
              <w:spacing w:after="0"/>
              <w:jc w:val="right"/>
              <w:rPr>
                <w:rFonts w:cs="Calibri"/>
                <w:color w:val="000000"/>
                <w:sz w:val="20"/>
                <w:szCs w:val="20"/>
              </w:rPr>
            </w:pPr>
            <w:r w:rsidRPr="00E61612">
              <w:rPr>
                <w:rFonts w:cs="Calibri"/>
                <w:color w:val="000000"/>
                <w:sz w:val="20"/>
                <w:szCs w:val="20"/>
              </w:rPr>
              <w:t>473,770</w:t>
            </w:r>
          </w:p>
        </w:tc>
        <w:tc>
          <w:tcPr>
            <w:tcW w:w="1015" w:type="dxa"/>
            <w:tcBorders>
              <w:top w:val="single" w:sz="4" w:space="0" w:color="auto"/>
              <w:left w:val="nil"/>
              <w:bottom w:val="single" w:sz="4" w:space="0" w:color="auto"/>
              <w:right w:val="single" w:sz="4" w:space="0" w:color="auto"/>
            </w:tcBorders>
            <w:shd w:val="clear" w:color="000000" w:fill="FFFFFF"/>
            <w:noWrap/>
            <w:hideMark/>
          </w:tcPr>
          <w:p w:rsidR="00B951B1" w:rsidRPr="00E61612" w:rsidRDefault="00B951B1" w:rsidP="00CB78E6">
            <w:pPr>
              <w:spacing w:after="0"/>
              <w:jc w:val="right"/>
              <w:rPr>
                <w:rFonts w:cs="Calibri"/>
                <w:color w:val="000000"/>
                <w:sz w:val="20"/>
                <w:szCs w:val="20"/>
              </w:rPr>
            </w:pPr>
            <w:r w:rsidRPr="00E61612">
              <w:rPr>
                <w:rFonts w:cs="Calibri"/>
                <w:color w:val="000000"/>
                <w:sz w:val="20"/>
                <w:szCs w:val="20"/>
              </w:rPr>
              <w:t>65,340</w:t>
            </w:r>
          </w:p>
        </w:tc>
        <w:tc>
          <w:tcPr>
            <w:tcW w:w="1560" w:type="dxa"/>
            <w:tcBorders>
              <w:top w:val="single" w:sz="4" w:space="0" w:color="auto"/>
              <w:left w:val="nil"/>
              <w:bottom w:val="single" w:sz="4" w:space="0" w:color="auto"/>
              <w:right w:val="single" w:sz="8" w:space="0" w:color="auto"/>
            </w:tcBorders>
            <w:shd w:val="clear" w:color="000000" w:fill="FFFFFF"/>
            <w:noWrap/>
            <w:hideMark/>
          </w:tcPr>
          <w:p w:rsidR="00B951B1" w:rsidRPr="00E61612" w:rsidRDefault="00B951B1" w:rsidP="00CB78E6">
            <w:pPr>
              <w:spacing w:after="0"/>
              <w:jc w:val="right"/>
              <w:rPr>
                <w:rFonts w:cs="Calibri"/>
                <w:color w:val="000000"/>
                <w:sz w:val="20"/>
                <w:szCs w:val="20"/>
              </w:rPr>
            </w:pPr>
            <w:r w:rsidRPr="00E61612">
              <w:rPr>
                <w:rFonts w:cs="Calibri"/>
                <w:color w:val="000000"/>
                <w:sz w:val="20"/>
                <w:szCs w:val="20"/>
              </w:rPr>
              <w:t>(4,299,742)</w:t>
            </w:r>
          </w:p>
        </w:tc>
      </w:tr>
      <w:tr w:rsidR="00B951B1" w:rsidRPr="00E61612" w:rsidTr="00CB78E6">
        <w:trPr>
          <w:trHeight w:val="705"/>
        </w:trPr>
        <w:tc>
          <w:tcPr>
            <w:tcW w:w="698" w:type="dxa"/>
            <w:tcBorders>
              <w:top w:val="single" w:sz="4" w:space="0" w:color="auto"/>
              <w:left w:val="single" w:sz="8" w:space="0" w:color="auto"/>
              <w:bottom w:val="single" w:sz="4" w:space="0" w:color="auto"/>
              <w:right w:val="single" w:sz="4" w:space="0" w:color="auto"/>
            </w:tcBorders>
            <w:shd w:val="clear" w:color="000000" w:fill="FFFFFF"/>
            <w:hideMark/>
          </w:tcPr>
          <w:p w:rsidR="00B951B1" w:rsidRPr="00E61612" w:rsidRDefault="00B951B1" w:rsidP="00CB78E6">
            <w:pPr>
              <w:spacing w:after="0"/>
              <w:jc w:val="center"/>
              <w:rPr>
                <w:rFonts w:cs="Calibri"/>
                <w:b/>
                <w:bCs/>
                <w:color w:val="000000"/>
                <w:sz w:val="20"/>
                <w:szCs w:val="20"/>
              </w:rPr>
            </w:pPr>
            <w:r w:rsidRPr="00E61612">
              <w:rPr>
                <w:rFonts w:cs="Calibri"/>
                <w:b/>
                <w:bCs/>
                <w:color w:val="000000"/>
                <w:sz w:val="20"/>
                <w:szCs w:val="20"/>
              </w:rPr>
              <w:t>A4.2</w:t>
            </w:r>
          </w:p>
        </w:tc>
        <w:tc>
          <w:tcPr>
            <w:tcW w:w="3403" w:type="dxa"/>
            <w:tcBorders>
              <w:top w:val="single" w:sz="4" w:space="0" w:color="auto"/>
              <w:left w:val="nil"/>
              <w:bottom w:val="single" w:sz="4" w:space="0" w:color="auto"/>
              <w:right w:val="single" w:sz="4" w:space="0" w:color="auto"/>
            </w:tcBorders>
            <w:shd w:val="clear" w:color="000000" w:fill="FFFFFF"/>
            <w:hideMark/>
          </w:tcPr>
          <w:p w:rsidR="00B951B1" w:rsidRPr="00E61612" w:rsidRDefault="00B951B1" w:rsidP="00CB78E6">
            <w:pPr>
              <w:spacing w:after="0"/>
              <w:rPr>
                <w:rFonts w:cs="Calibri"/>
                <w:sz w:val="20"/>
                <w:szCs w:val="20"/>
              </w:rPr>
            </w:pPr>
            <w:r w:rsidRPr="00E61612">
              <w:rPr>
                <w:rFonts w:cs="Calibri"/>
                <w:sz w:val="20"/>
                <w:szCs w:val="20"/>
              </w:rPr>
              <w:t>Zhvillimi i kompetencës digjitale përmes shfrytëzimit të shtuar të TIK-ut në të gjitha lëndët</w:t>
            </w:r>
          </w:p>
        </w:tc>
        <w:tc>
          <w:tcPr>
            <w:tcW w:w="1559" w:type="dxa"/>
            <w:tcBorders>
              <w:top w:val="single" w:sz="4" w:space="0" w:color="auto"/>
              <w:left w:val="nil"/>
              <w:bottom w:val="single" w:sz="4" w:space="0" w:color="auto"/>
              <w:right w:val="single" w:sz="4" w:space="0" w:color="auto"/>
            </w:tcBorders>
            <w:shd w:val="clear" w:color="000000" w:fill="FFFFFF"/>
            <w:noWrap/>
            <w:hideMark/>
          </w:tcPr>
          <w:p w:rsidR="00B951B1" w:rsidRPr="00E61612" w:rsidRDefault="00B951B1" w:rsidP="00CB78E6">
            <w:pPr>
              <w:spacing w:after="0"/>
              <w:jc w:val="right"/>
              <w:rPr>
                <w:rFonts w:cs="Calibri"/>
                <w:color w:val="000000"/>
                <w:sz w:val="20"/>
                <w:szCs w:val="20"/>
              </w:rPr>
            </w:pPr>
            <w:r w:rsidRPr="00E61612">
              <w:rPr>
                <w:rFonts w:cs="Calibri"/>
                <w:color w:val="000000"/>
                <w:sz w:val="20"/>
                <w:szCs w:val="20"/>
              </w:rPr>
              <w:t>3,720</w:t>
            </w:r>
          </w:p>
        </w:tc>
        <w:tc>
          <w:tcPr>
            <w:tcW w:w="1253" w:type="dxa"/>
            <w:tcBorders>
              <w:top w:val="single" w:sz="4" w:space="0" w:color="auto"/>
              <w:left w:val="nil"/>
              <w:bottom w:val="single" w:sz="4" w:space="0" w:color="auto"/>
              <w:right w:val="single" w:sz="4" w:space="0" w:color="auto"/>
            </w:tcBorders>
            <w:shd w:val="clear" w:color="000000" w:fill="FFFFFF"/>
            <w:noWrap/>
            <w:hideMark/>
          </w:tcPr>
          <w:p w:rsidR="00B951B1" w:rsidRPr="00E61612" w:rsidRDefault="00B951B1" w:rsidP="00CB78E6">
            <w:pPr>
              <w:spacing w:after="0"/>
              <w:jc w:val="right"/>
              <w:rPr>
                <w:rFonts w:cs="Calibri"/>
                <w:color w:val="000000"/>
                <w:sz w:val="20"/>
                <w:szCs w:val="20"/>
              </w:rPr>
            </w:pPr>
            <w:r w:rsidRPr="00E61612">
              <w:rPr>
                <w:rFonts w:cs="Calibri"/>
                <w:color w:val="000000"/>
                <w:sz w:val="20"/>
                <w:szCs w:val="20"/>
              </w:rPr>
              <w:t>-</w:t>
            </w:r>
          </w:p>
        </w:tc>
        <w:tc>
          <w:tcPr>
            <w:tcW w:w="1015" w:type="dxa"/>
            <w:tcBorders>
              <w:top w:val="single" w:sz="4" w:space="0" w:color="auto"/>
              <w:left w:val="nil"/>
              <w:bottom w:val="single" w:sz="4" w:space="0" w:color="auto"/>
              <w:right w:val="single" w:sz="4" w:space="0" w:color="auto"/>
            </w:tcBorders>
            <w:shd w:val="clear" w:color="000000" w:fill="FFFFFF"/>
            <w:noWrap/>
            <w:hideMark/>
          </w:tcPr>
          <w:p w:rsidR="00B951B1" w:rsidRPr="00E61612" w:rsidRDefault="00B951B1" w:rsidP="00CB78E6">
            <w:pPr>
              <w:spacing w:after="0"/>
              <w:jc w:val="right"/>
              <w:rPr>
                <w:rFonts w:cs="Calibri"/>
                <w:color w:val="000000"/>
                <w:sz w:val="20"/>
                <w:szCs w:val="20"/>
              </w:rPr>
            </w:pPr>
            <w:r w:rsidRPr="00E61612">
              <w:rPr>
                <w:rFonts w:cs="Calibri"/>
                <w:color w:val="000000"/>
                <w:sz w:val="20"/>
                <w:szCs w:val="20"/>
              </w:rPr>
              <w:t>3,720</w:t>
            </w:r>
          </w:p>
        </w:tc>
        <w:tc>
          <w:tcPr>
            <w:tcW w:w="1560" w:type="dxa"/>
            <w:tcBorders>
              <w:top w:val="single" w:sz="4" w:space="0" w:color="auto"/>
              <w:left w:val="nil"/>
              <w:bottom w:val="single" w:sz="4" w:space="0" w:color="auto"/>
              <w:right w:val="single" w:sz="8" w:space="0" w:color="auto"/>
            </w:tcBorders>
            <w:shd w:val="clear" w:color="000000" w:fill="FFFFFF"/>
            <w:noWrap/>
            <w:hideMark/>
          </w:tcPr>
          <w:p w:rsidR="00B951B1" w:rsidRPr="00E61612" w:rsidRDefault="00B951B1" w:rsidP="00CB78E6">
            <w:pPr>
              <w:spacing w:after="0"/>
              <w:jc w:val="right"/>
              <w:rPr>
                <w:rFonts w:cs="Calibri"/>
                <w:color w:val="000000"/>
                <w:sz w:val="20"/>
                <w:szCs w:val="20"/>
              </w:rPr>
            </w:pPr>
            <w:r w:rsidRPr="00E61612">
              <w:rPr>
                <w:rFonts w:cs="Calibri"/>
                <w:color w:val="000000"/>
                <w:sz w:val="20"/>
                <w:szCs w:val="20"/>
              </w:rPr>
              <w:t>-</w:t>
            </w:r>
          </w:p>
        </w:tc>
      </w:tr>
      <w:tr w:rsidR="00B951B1" w:rsidRPr="00E61612" w:rsidTr="00CB78E6">
        <w:trPr>
          <w:trHeight w:val="705"/>
        </w:trPr>
        <w:tc>
          <w:tcPr>
            <w:tcW w:w="698" w:type="dxa"/>
            <w:tcBorders>
              <w:top w:val="single" w:sz="4" w:space="0" w:color="auto"/>
              <w:left w:val="single" w:sz="8" w:space="0" w:color="auto"/>
              <w:bottom w:val="single" w:sz="4" w:space="0" w:color="auto"/>
              <w:right w:val="single" w:sz="4" w:space="0" w:color="auto"/>
            </w:tcBorders>
            <w:shd w:val="clear" w:color="000000" w:fill="FFFFFF"/>
            <w:hideMark/>
          </w:tcPr>
          <w:p w:rsidR="00B951B1" w:rsidRPr="00E61612" w:rsidRDefault="00B951B1" w:rsidP="00CB78E6">
            <w:pPr>
              <w:spacing w:after="0"/>
              <w:jc w:val="center"/>
              <w:rPr>
                <w:rFonts w:cs="Calibri"/>
                <w:b/>
                <w:bCs/>
                <w:color w:val="000000"/>
                <w:sz w:val="20"/>
                <w:szCs w:val="20"/>
              </w:rPr>
            </w:pPr>
            <w:r w:rsidRPr="00E61612">
              <w:rPr>
                <w:rFonts w:cs="Calibri"/>
                <w:b/>
                <w:bCs/>
                <w:color w:val="000000"/>
                <w:sz w:val="20"/>
                <w:szCs w:val="20"/>
              </w:rPr>
              <w:t>A4.3</w:t>
            </w:r>
          </w:p>
        </w:tc>
        <w:tc>
          <w:tcPr>
            <w:tcW w:w="3403" w:type="dxa"/>
            <w:tcBorders>
              <w:top w:val="single" w:sz="4" w:space="0" w:color="auto"/>
              <w:left w:val="nil"/>
              <w:bottom w:val="single" w:sz="4" w:space="0" w:color="auto"/>
              <w:right w:val="single" w:sz="4" w:space="0" w:color="auto"/>
            </w:tcBorders>
            <w:shd w:val="clear" w:color="000000" w:fill="FFFFFF"/>
            <w:hideMark/>
          </w:tcPr>
          <w:p w:rsidR="00B951B1" w:rsidRPr="00E61612" w:rsidRDefault="00B951B1" w:rsidP="00CB78E6">
            <w:pPr>
              <w:spacing w:after="0"/>
              <w:rPr>
                <w:rFonts w:cs="Calibri"/>
                <w:sz w:val="20"/>
                <w:szCs w:val="20"/>
              </w:rPr>
            </w:pPr>
            <w:r w:rsidRPr="00E61612">
              <w:rPr>
                <w:rFonts w:cs="Calibri"/>
                <w:sz w:val="20"/>
                <w:szCs w:val="20"/>
              </w:rPr>
              <w:t>Ofrimi i shërbimeve cilësore të TIK-ut për sistemin e arsimit parauniversitar</w:t>
            </w:r>
          </w:p>
        </w:tc>
        <w:tc>
          <w:tcPr>
            <w:tcW w:w="1559" w:type="dxa"/>
            <w:tcBorders>
              <w:top w:val="single" w:sz="4" w:space="0" w:color="auto"/>
              <w:left w:val="nil"/>
              <w:bottom w:val="single" w:sz="4" w:space="0" w:color="auto"/>
              <w:right w:val="single" w:sz="4" w:space="0" w:color="auto"/>
            </w:tcBorders>
            <w:shd w:val="clear" w:color="000000" w:fill="FFFFFF"/>
            <w:noWrap/>
            <w:hideMark/>
          </w:tcPr>
          <w:p w:rsidR="00B951B1" w:rsidRPr="00E61612" w:rsidRDefault="00B951B1" w:rsidP="00CB78E6">
            <w:pPr>
              <w:spacing w:after="0"/>
              <w:jc w:val="right"/>
              <w:rPr>
                <w:rFonts w:cs="Calibri"/>
                <w:color w:val="000000"/>
                <w:sz w:val="20"/>
                <w:szCs w:val="20"/>
              </w:rPr>
            </w:pPr>
            <w:r w:rsidRPr="00E61612">
              <w:rPr>
                <w:rFonts w:cs="Calibri"/>
                <w:color w:val="000000"/>
                <w:sz w:val="20"/>
                <w:szCs w:val="20"/>
              </w:rPr>
              <w:t>1,529,856</w:t>
            </w:r>
          </w:p>
        </w:tc>
        <w:tc>
          <w:tcPr>
            <w:tcW w:w="1253" w:type="dxa"/>
            <w:tcBorders>
              <w:top w:val="single" w:sz="4" w:space="0" w:color="auto"/>
              <w:left w:val="nil"/>
              <w:bottom w:val="single" w:sz="4" w:space="0" w:color="auto"/>
              <w:right w:val="single" w:sz="4" w:space="0" w:color="auto"/>
            </w:tcBorders>
            <w:shd w:val="clear" w:color="000000" w:fill="FFFFFF"/>
            <w:noWrap/>
            <w:hideMark/>
          </w:tcPr>
          <w:p w:rsidR="00B951B1" w:rsidRPr="00E61612" w:rsidRDefault="00B951B1" w:rsidP="00CB78E6">
            <w:pPr>
              <w:spacing w:after="0"/>
              <w:jc w:val="right"/>
              <w:rPr>
                <w:rFonts w:cs="Calibri"/>
                <w:color w:val="000000"/>
                <w:sz w:val="20"/>
                <w:szCs w:val="20"/>
              </w:rPr>
            </w:pPr>
            <w:r w:rsidRPr="00E61612">
              <w:rPr>
                <w:rFonts w:cs="Calibri"/>
                <w:color w:val="000000"/>
                <w:sz w:val="20"/>
                <w:szCs w:val="20"/>
              </w:rPr>
              <w:t>435,456</w:t>
            </w:r>
          </w:p>
        </w:tc>
        <w:tc>
          <w:tcPr>
            <w:tcW w:w="1015" w:type="dxa"/>
            <w:tcBorders>
              <w:top w:val="single" w:sz="4" w:space="0" w:color="auto"/>
              <w:left w:val="nil"/>
              <w:bottom w:val="single" w:sz="4" w:space="0" w:color="auto"/>
              <w:right w:val="single" w:sz="4" w:space="0" w:color="auto"/>
            </w:tcBorders>
            <w:shd w:val="clear" w:color="000000" w:fill="FFFFFF"/>
            <w:noWrap/>
            <w:hideMark/>
          </w:tcPr>
          <w:p w:rsidR="00B951B1" w:rsidRPr="00E61612" w:rsidRDefault="00B951B1" w:rsidP="00CB78E6">
            <w:pPr>
              <w:spacing w:after="0"/>
              <w:jc w:val="right"/>
              <w:rPr>
                <w:rFonts w:cs="Calibri"/>
                <w:color w:val="000000"/>
                <w:sz w:val="20"/>
                <w:szCs w:val="20"/>
              </w:rPr>
            </w:pPr>
            <w:r w:rsidRPr="00E61612">
              <w:rPr>
                <w:rFonts w:cs="Calibri"/>
                <w:color w:val="000000"/>
                <w:sz w:val="20"/>
                <w:szCs w:val="20"/>
              </w:rPr>
              <w:t>-</w:t>
            </w:r>
          </w:p>
        </w:tc>
        <w:tc>
          <w:tcPr>
            <w:tcW w:w="1560" w:type="dxa"/>
            <w:tcBorders>
              <w:top w:val="single" w:sz="4" w:space="0" w:color="auto"/>
              <w:left w:val="nil"/>
              <w:bottom w:val="single" w:sz="4" w:space="0" w:color="auto"/>
              <w:right w:val="single" w:sz="8" w:space="0" w:color="auto"/>
            </w:tcBorders>
            <w:shd w:val="clear" w:color="000000" w:fill="FFFFFF"/>
            <w:noWrap/>
            <w:hideMark/>
          </w:tcPr>
          <w:p w:rsidR="00B951B1" w:rsidRPr="00E61612" w:rsidRDefault="00B951B1" w:rsidP="00CB78E6">
            <w:pPr>
              <w:spacing w:after="0"/>
              <w:jc w:val="right"/>
              <w:rPr>
                <w:rFonts w:cs="Calibri"/>
                <w:color w:val="000000"/>
                <w:sz w:val="20"/>
                <w:szCs w:val="20"/>
              </w:rPr>
            </w:pPr>
            <w:r w:rsidRPr="00E61612">
              <w:rPr>
                <w:rFonts w:cs="Calibri"/>
                <w:color w:val="000000"/>
                <w:sz w:val="20"/>
                <w:szCs w:val="20"/>
              </w:rPr>
              <w:t>(1,094,400)</w:t>
            </w:r>
          </w:p>
        </w:tc>
      </w:tr>
      <w:tr w:rsidR="00B951B1" w:rsidRPr="00E61612" w:rsidTr="00CB78E6">
        <w:trPr>
          <w:trHeight w:val="253"/>
        </w:trPr>
        <w:tc>
          <w:tcPr>
            <w:tcW w:w="4101" w:type="dxa"/>
            <w:gridSpan w:val="2"/>
            <w:tcBorders>
              <w:top w:val="single" w:sz="4" w:space="0" w:color="auto"/>
              <w:left w:val="single" w:sz="8" w:space="0" w:color="auto"/>
              <w:bottom w:val="single" w:sz="4" w:space="0" w:color="auto"/>
              <w:right w:val="single" w:sz="4" w:space="0" w:color="auto"/>
            </w:tcBorders>
            <w:shd w:val="clear" w:color="000000" w:fill="FFFFFF"/>
          </w:tcPr>
          <w:p w:rsidR="00B951B1" w:rsidRPr="00E61612" w:rsidRDefault="00B951B1" w:rsidP="00CB78E6">
            <w:pPr>
              <w:spacing w:after="0"/>
              <w:jc w:val="right"/>
              <w:rPr>
                <w:rFonts w:cs="Calibri"/>
                <w:sz w:val="20"/>
                <w:szCs w:val="20"/>
              </w:rPr>
            </w:pPr>
            <w:r w:rsidRPr="00E61612">
              <w:rPr>
                <w:rFonts w:cs="Calibri"/>
                <w:b/>
                <w:bCs/>
                <w:color w:val="000000"/>
                <w:sz w:val="20"/>
                <w:szCs w:val="20"/>
              </w:rPr>
              <w:t>TOTALI Qëllimi i politikës A</w:t>
            </w:r>
          </w:p>
        </w:tc>
        <w:tc>
          <w:tcPr>
            <w:tcW w:w="1559" w:type="dxa"/>
            <w:tcBorders>
              <w:top w:val="single" w:sz="4" w:space="0" w:color="auto"/>
              <w:left w:val="nil"/>
              <w:bottom w:val="single" w:sz="4" w:space="0" w:color="auto"/>
              <w:right w:val="single" w:sz="4" w:space="0" w:color="auto"/>
            </w:tcBorders>
            <w:shd w:val="clear" w:color="000000" w:fill="FFFFFF"/>
            <w:noWrap/>
          </w:tcPr>
          <w:p w:rsidR="00B951B1" w:rsidRPr="00E61612" w:rsidRDefault="00B951B1" w:rsidP="00CB78E6">
            <w:pPr>
              <w:spacing w:after="0"/>
              <w:jc w:val="right"/>
              <w:rPr>
                <w:rFonts w:cs="Calibri"/>
                <w:b/>
                <w:color w:val="000000"/>
                <w:sz w:val="20"/>
                <w:szCs w:val="20"/>
              </w:rPr>
            </w:pPr>
            <w:r w:rsidRPr="00E61612">
              <w:rPr>
                <w:rFonts w:cs="Calibri"/>
                <w:b/>
                <w:bCs/>
                <w:sz w:val="20"/>
                <w:szCs w:val="20"/>
              </w:rPr>
              <w:t>35,576,226</w:t>
            </w:r>
          </w:p>
        </w:tc>
        <w:tc>
          <w:tcPr>
            <w:tcW w:w="1253" w:type="dxa"/>
            <w:tcBorders>
              <w:top w:val="single" w:sz="4" w:space="0" w:color="auto"/>
              <w:left w:val="nil"/>
              <w:bottom w:val="single" w:sz="4" w:space="0" w:color="auto"/>
              <w:right w:val="single" w:sz="4" w:space="0" w:color="auto"/>
            </w:tcBorders>
            <w:shd w:val="clear" w:color="000000" w:fill="FFFFFF"/>
            <w:noWrap/>
          </w:tcPr>
          <w:p w:rsidR="00B951B1" w:rsidRPr="00E61612" w:rsidRDefault="00B951B1" w:rsidP="00CB78E6">
            <w:pPr>
              <w:spacing w:after="0"/>
              <w:jc w:val="right"/>
              <w:rPr>
                <w:rFonts w:cs="Calibri"/>
                <w:b/>
                <w:color w:val="000000"/>
                <w:sz w:val="20"/>
                <w:szCs w:val="20"/>
              </w:rPr>
            </w:pPr>
            <w:r w:rsidRPr="00E61612">
              <w:rPr>
                <w:rFonts w:cs="Calibri"/>
                <w:b/>
                <w:color w:val="000000"/>
                <w:sz w:val="20"/>
                <w:szCs w:val="20"/>
              </w:rPr>
              <w:t>27,122,039</w:t>
            </w:r>
          </w:p>
        </w:tc>
        <w:tc>
          <w:tcPr>
            <w:tcW w:w="1015" w:type="dxa"/>
            <w:tcBorders>
              <w:top w:val="single" w:sz="4" w:space="0" w:color="auto"/>
              <w:left w:val="nil"/>
              <w:bottom w:val="single" w:sz="4" w:space="0" w:color="auto"/>
              <w:right w:val="single" w:sz="4" w:space="0" w:color="auto"/>
            </w:tcBorders>
            <w:shd w:val="clear" w:color="000000" w:fill="FFFFFF"/>
            <w:noWrap/>
          </w:tcPr>
          <w:p w:rsidR="00B951B1" w:rsidRPr="00E61612" w:rsidRDefault="00B951B1" w:rsidP="00CB78E6">
            <w:pPr>
              <w:spacing w:after="0"/>
              <w:jc w:val="right"/>
              <w:rPr>
                <w:rFonts w:cs="Calibri"/>
                <w:b/>
                <w:color w:val="000000"/>
                <w:sz w:val="20"/>
                <w:szCs w:val="20"/>
              </w:rPr>
            </w:pPr>
            <w:r w:rsidRPr="00E61612">
              <w:rPr>
                <w:rFonts w:cs="Calibri"/>
                <w:b/>
                <w:color w:val="000000"/>
                <w:sz w:val="20"/>
                <w:szCs w:val="20"/>
              </w:rPr>
              <w:t>150,724</w:t>
            </w:r>
          </w:p>
        </w:tc>
        <w:tc>
          <w:tcPr>
            <w:tcW w:w="1560" w:type="dxa"/>
            <w:tcBorders>
              <w:top w:val="single" w:sz="4" w:space="0" w:color="auto"/>
              <w:left w:val="nil"/>
              <w:bottom w:val="single" w:sz="4" w:space="0" w:color="auto"/>
              <w:right w:val="single" w:sz="8" w:space="0" w:color="auto"/>
            </w:tcBorders>
            <w:shd w:val="clear" w:color="000000" w:fill="FFFFFF"/>
            <w:noWrap/>
          </w:tcPr>
          <w:p w:rsidR="00B951B1" w:rsidRPr="00E61612" w:rsidRDefault="00B951B1" w:rsidP="00CB78E6">
            <w:pPr>
              <w:spacing w:after="0"/>
              <w:jc w:val="right"/>
              <w:rPr>
                <w:rFonts w:cs="Calibri"/>
                <w:b/>
                <w:color w:val="000000"/>
                <w:sz w:val="20"/>
                <w:szCs w:val="20"/>
              </w:rPr>
            </w:pPr>
            <w:r w:rsidRPr="00E61612">
              <w:rPr>
                <w:rFonts w:cs="Calibri"/>
                <w:b/>
                <w:color w:val="000000"/>
                <w:sz w:val="20"/>
                <w:szCs w:val="20"/>
              </w:rPr>
              <w:t>(8,303,462)</w:t>
            </w:r>
          </w:p>
        </w:tc>
      </w:tr>
    </w:tbl>
    <w:p w:rsidR="00B951B1" w:rsidRPr="00E61612" w:rsidRDefault="00B951B1" w:rsidP="00B951B1">
      <w:pPr>
        <w:spacing w:after="160"/>
        <w:rPr>
          <w:rFonts w:cs="Calibri"/>
        </w:rPr>
      </w:pPr>
    </w:p>
    <w:p w:rsidR="00B951B1" w:rsidRPr="00E61612" w:rsidRDefault="00B951B1" w:rsidP="00B951B1">
      <w:pPr>
        <w:jc w:val="both"/>
        <w:rPr>
          <w:rFonts w:cs="Calibri"/>
        </w:rPr>
      </w:pPr>
      <w:r w:rsidRPr="00E61612">
        <w:rPr>
          <w:rFonts w:cs="Calibri"/>
          <w:b/>
        </w:rPr>
        <w:t>Qëllimi i politikës B:</w:t>
      </w:r>
      <w:r w:rsidRPr="00E61612">
        <w:rPr>
          <w:rFonts w:cs="Calibri"/>
        </w:rPr>
        <w:t xml:space="preserve"> Menaxhim </w:t>
      </w:r>
      <w:r>
        <w:rPr>
          <w:rFonts w:cs="Calibri"/>
        </w:rPr>
        <w:t>efikas</w:t>
      </w:r>
      <w:r w:rsidRPr="00E61612">
        <w:rPr>
          <w:rFonts w:cs="Calibri"/>
        </w:rPr>
        <w:t xml:space="preserve"> dhe eficient i sistemit të arsimit në të gjitha nivelet, i bazuar në mekanizma funksionalë për sigurimin e cilësisë, transparencës dhe llogaridhënies</w:t>
      </w:r>
    </w:p>
    <w:tbl>
      <w:tblPr>
        <w:tblW w:w="5000" w:type="pct"/>
        <w:tblLook w:val="04A0" w:firstRow="1" w:lastRow="0" w:firstColumn="1" w:lastColumn="0" w:noHBand="0" w:noVBand="1"/>
      </w:tblPr>
      <w:tblGrid>
        <w:gridCol w:w="739"/>
        <w:gridCol w:w="3457"/>
        <w:gridCol w:w="1509"/>
        <w:gridCol w:w="1131"/>
        <w:gridCol w:w="1039"/>
        <w:gridCol w:w="1438"/>
      </w:tblGrid>
      <w:tr w:rsidR="00B951B1" w:rsidRPr="00E61612" w:rsidTr="00CB78E6">
        <w:trPr>
          <w:trHeight w:val="344"/>
          <w:tblHeader/>
        </w:trPr>
        <w:tc>
          <w:tcPr>
            <w:tcW w:w="397" w:type="pct"/>
            <w:vMerge w:val="restart"/>
            <w:tcBorders>
              <w:top w:val="single" w:sz="8" w:space="0" w:color="auto"/>
              <w:left w:val="single" w:sz="8" w:space="0" w:color="auto"/>
              <w:bottom w:val="single" w:sz="4" w:space="0" w:color="auto"/>
              <w:right w:val="single" w:sz="4" w:space="0" w:color="auto"/>
            </w:tcBorders>
            <w:shd w:val="clear" w:color="auto" w:fill="auto"/>
            <w:hideMark/>
          </w:tcPr>
          <w:p w:rsidR="00B951B1" w:rsidRPr="00E61612" w:rsidRDefault="00B951B1" w:rsidP="00CB78E6">
            <w:pPr>
              <w:jc w:val="center"/>
              <w:rPr>
                <w:rFonts w:cs="Calibri"/>
                <w:b/>
                <w:bCs/>
                <w:color w:val="000000"/>
                <w:sz w:val="20"/>
                <w:szCs w:val="20"/>
              </w:rPr>
            </w:pPr>
            <w:r w:rsidRPr="00E61612">
              <w:rPr>
                <w:rFonts w:cs="Calibri"/>
                <w:b/>
                <w:bCs/>
                <w:color w:val="000000"/>
                <w:sz w:val="20"/>
                <w:szCs w:val="20"/>
              </w:rPr>
              <w:t>Nr.</w:t>
            </w:r>
          </w:p>
        </w:tc>
        <w:tc>
          <w:tcPr>
            <w:tcW w:w="1856" w:type="pct"/>
            <w:vMerge w:val="restart"/>
            <w:tcBorders>
              <w:top w:val="single" w:sz="8" w:space="0" w:color="auto"/>
              <w:left w:val="single" w:sz="4" w:space="0" w:color="auto"/>
              <w:bottom w:val="single" w:sz="4" w:space="0" w:color="auto"/>
              <w:right w:val="single" w:sz="4" w:space="0" w:color="auto"/>
            </w:tcBorders>
            <w:shd w:val="clear" w:color="auto" w:fill="auto"/>
            <w:hideMark/>
          </w:tcPr>
          <w:p w:rsidR="00B951B1" w:rsidRPr="00E61612" w:rsidRDefault="00B951B1" w:rsidP="00CB78E6">
            <w:pPr>
              <w:jc w:val="center"/>
              <w:rPr>
                <w:rFonts w:cs="Calibri"/>
                <w:b/>
                <w:bCs/>
                <w:color w:val="000000"/>
                <w:sz w:val="20"/>
                <w:szCs w:val="20"/>
              </w:rPr>
            </w:pPr>
            <w:r w:rsidRPr="00E61612">
              <w:rPr>
                <w:rFonts w:cs="Calibri"/>
                <w:b/>
                <w:bCs/>
                <w:color w:val="000000"/>
                <w:sz w:val="20"/>
                <w:szCs w:val="20"/>
              </w:rPr>
              <w:t> Objektivi specifik, produkti</w:t>
            </w:r>
          </w:p>
        </w:tc>
        <w:tc>
          <w:tcPr>
            <w:tcW w:w="810" w:type="pct"/>
            <w:vMerge w:val="restart"/>
            <w:tcBorders>
              <w:top w:val="single" w:sz="8" w:space="0" w:color="auto"/>
              <w:left w:val="single" w:sz="4" w:space="0" w:color="auto"/>
              <w:bottom w:val="single" w:sz="4" w:space="0" w:color="000000"/>
              <w:right w:val="single" w:sz="4" w:space="0" w:color="auto"/>
            </w:tcBorders>
            <w:shd w:val="clear" w:color="auto" w:fill="auto"/>
            <w:hideMark/>
          </w:tcPr>
          <w:p w:rsidR="00B951B1" w:rsidRPr="00E61612" w:rsidRDefault="00B951B1" w:rsidP="00CB78E6">
            <w:pPr>
              <w:jc w:val="center"/>
              <w:rPr>
                <w:rFonts w:cs="Calibri"/>
                <w:b/>
                <w:bCs/>
                <w:color w:val="000000"/>
                <w:sz w:val="20"/>
                <w:szCs w:val="20"/>
              </w:rPr>
            </w:pPr>
            <w:r w:rsidRPr="00E61612">
              <w:rPr>
                <w:rFonts w:cs="Calibri"/>
                <w:b/>
                <w:bCs/>
                <w:color w:val="000000"/>
                <w:sz w:val="20"/>
                <w:szCs w:val="20"/>
              </w:rPr>
              <w:t>Kosto indikative</w:t>
            </w:r>
          </w:p>
        </w:tc>
        <w:tc>
          <w:tcPr>
            <w:tcW w:w="1165" w:type="pct"/>
            <w:gridSpan w:val="2"/>
            <w:tcBorders>
              <w:top w:val="single" w:sz="8" w:space="0" w:color="auto"/>
              <w:left w:val="nil"/>
              <w:bottom w:val="single" w:sz="4" w:space="0" w:color="auto"/>
              <w:right w:val="single" w:sz="4" w:space="0" w:color="000000"/>
            </w:tcBorders>
            <w:shd w:val="clear" w:color="auto" w:fill="auto"/>
            <w:hideMark/>
          </w:tcPr>
          <w:p w:rsidR="00B951B1" w:rsidRPr="00E61612" w:rsidRDefault="00753C65" w:rsidP="00CB78E6">
            <w:pPr>
              <w:jc w:val="center"/>
              <w:rPr>
                <w:rFonts w:cs="Calibri"/>
                <w:b/>
                <w:bCs/>
                <w:color w:val="000000"/>
                <w:sz w:val="20"/>
                <w:szCs w:val="20"/>
              </w:rPr>
            </w:pPr>
            <w:r>
              <w:rPr>
                <w:rFonts w:cs="Calibri"/>
                <w:b/>
                <w:bCs/>
                <w:color w:val="000000"/>
                <w:sz w:val="20"/>
                <w:szCs w:val="20"/>
              </w:rPr>
              <w:t>Burimi i financimit</w:t>
            </w:r>
          </w:p>
        </w:tc>
        <w:tc>
          <w:tcPr>
            <w:tcW w:w="772" w:type="pct"/>
            <w:vMerge w:val="restart"/>
            <w:tcBorders>
              <w:top w:val="single" w:sz="8" w:space="0" w:color="auto"/>
              <w:left w:val="single" w:sz="4" w:space="0" w:color="auto"/>
              <w:bottom w:val="single" w:sz="4" w:space="0" w:color="auto"/>
              <w:right w:val="single" w:sz="8" w:space="0" w:color="auto"/>
            </w:tcBorders>
            <w:shd w:val="clear" w:color="auto" w:fill="auto"/>
            <w:hideMark/>
          </w:tcPr>
          <w:p w:rsidR="00B951B1" w:rsidRPr="00E61612" w:rsidRDefault="00B951B1" w:rsidP="00CB78E6">
            <w:pPr>
              <w:jc w:val="center"/>
              <w:rPr>
                <w:rFonts w:cs="Calibri"/>
                <w:b/>
                <w:bCs/>
                <w:color w:val="000000"/>
                <w:sz w:val="20"/>
                <w:szCs w:val="20"/>
              </w:rPr>
            </w:pPr>
            <w:r w:rsidRPr="00E61612">
              <w:rPr>
                <w:rFonts w:cs="Calibri"/>
                <w:b/>
                <w:bCs/>
                <w:color w:val="000000"/>
                <w:sz w:val="20"/>
                <w:szCs w:val="20"/>
              </w:rPr>
              <w:t>Hendeku financiar</w:t>
            </w:r>
          </w:p>
        </w:tc>
      </w:tr>
      <w:tr w:rsidR="00B951B1" w:rsidRPr="00E61612" w:rsidTr="00CB78E6">
        <w:trPr>
          <w:trHeight w:val="548"/>
        </w:trPr>
        <w:tc>
          <w:tcPr>
            <w:tcW w:w="397" w:type="pct"/>
            <w:vMerge/>
            <w:tcBorders>
              <w:top w:val="single" w:sz="8" w:space="0" w:color="auto"/>
              <w:left w:val="single" w:sz="8" w:space="0" w:color="auto"/>
              <w:bottom w:val="single" w:sz="4" w:space="0" w:color="auto"/>
              <w:right w:val="single" w:sz="4" w:space="0" w:color="auto"/>
            </w:tcBorders>
            <w:hideMark/>
          </w:tcPr>
          <w:p w:rsidR="00B951B1" w:rsidRPr="00E61612" w:rsidRDefault="00B951B1" w:rsidP="00CB78E6">
            <w:pPr>
              <w:rPr>
                <w:rFonts w:cs="Calibri"/>
                <w:b/>
                <w:bCs/>
                <w:color w:val="000000"/>
                <w:sz w:val="20"/>
                <w:szCs w:val="20"/>
              </w:rPr>
            </w:pPr>
          </w:p>
        </w:tc>
        <w:tc>
          <w:tcPr>
            <w:tcW w:w="1856" w:type="pct"/>
            <w:vMerge/>
            <w:tcBorders>
              <w:top w:val="single" w:sz="8" w:space="0" w:color="auto"/>
              <w:left w:val="single" w:sz="4" w:space="0" w:color="auto"/>
              <w:bottom w:val="single" w:sz="4" w:space="0" w:color="auto"/>
              <w:right w:val="single" w:sz="4" w:space="0" w:color="auto"/>
            </w:tcBorders>
            <w:hideMark/>
          </w:tcPr>
          <w:p w:rsidR="00B951B1" w:rsidRPr="00E61612" w:rsidRDefault="00B951B1" w:rsidP="00CB78E6">
            <w:pPr>
              <w:rPr>
                <w:rFonts w:cs="Calibri"/>
                <w:b/>
                <w:bCs/>
                <w:color w:val="000000"/>
                <w:sz w:val="20"/>
                <w:szCs w:val="20"/>
              </w:rPr>
            </w:pPr>
          </w:p>
        </w:tc>
        <w:tc>
          <w:tcPr>
            <w:tcW w:w="810" w:type="pct"/>
            <w:vMerge/>
            <w:tcBorders>
              <w:top w:val="single" w:sz="8" w:space="0" w:color="auto"/>
              <w:left w:val="single" w:sz="4" w:space="0" w:color="auto"/>
              <w:bottom w:val="single" w:sz="4" w:space="0" w:color="000000"/>
              <w:right w:val="single" w:sz="4" w:space="0" w:color="auto"/>
            </w:tcBorders>
            <w:hideMark/>
          </w:tcPr>
          <w:p w:rsidR="00B951B1" w:rsidRPr="00E61612" w:rsidRDefault="00B951B1" w:rsidP="00CB78E6">
            <w:pPr>
              <w:rPr>
                <w:rFonts w:cs="Calibri"/>
                <w:b/>
                <w:bCs/>
                <w:color w:val="000000"/>
                <w:sz w:val="20"/>
                <w:szCs w:val="20"/>
              </w:rPr>
            </w:pPr>
          </w:p>
        </w:tc>
        <w:tc>
          <w:tcPr>
            <w:tcW w:w="607" w:type="pct"/>
            <w:tcBorders>
              <w:top w:val="nil"/>
              <w:left w:val="nil"/>
              <w:bottom w:val="single" w:sz="4" w:space="0" w:color="auto"/>
              <w:right w:val="single" w:sz="4" w:space="0" w:color="auto"/>
            </w:tcBorders>
            <w:shd w:val="clear" w:color="auto" w:fill="auto"/>
            <w:hideMark/>
          </w:tcPr>
          <w:p w:rsidR="00B951B1" w:rsidRPr="00E61612" w:rsidRDefault="00B951B1" w:rsidP="00CB78E6">
            <w:pPr>
              <w:jc w:val="center"/>
              <w:rPr>
                <w:rFonts w:cs="Calibri"/>
                <w:b/>
                <w:bCs/>
                <w:color w:val="000000"/>
                <w:sz w:val="20"/>
                <w:szCs w:val="20"/>
              </w:rPr>
            </w:pPr>
            <w:r w:rsidRPr="00E61612">
              <w:rPr>
                <w:rFonts w:cs="Calibri"/>
                <w:b/>
                <w:bCs/>
                <w:color w:val="000000"/>
                <w:sz w:val="20"/>
                <w:szCs w:val="20"/>
              </w:rPr>
              <w:t>Buxheti i Shtetit</w:t>
            </w:r>
          </w:p>
        </w:tc>
        <w:tc>
          <w:tcPr>
            <w:tcW w:w="558" w:type="pct"/>
            <w:tcBorders>
              <w:top w:val="nil"/>
              <w:left w:val="nil"/>
              <w:bottom w:val="single" w:sz="4" w:space="0" w:color="auto"/>
              <w:right w:val="single" w:sz="4" w:space="0" w:color="auto"/>
            </w:tcBorders>
            <w:shd w:val="clear" w:color="auto" w:fill="auto"/>
            <w:hideMark/>
          </w:tcPr>
          <w:p w:rsidR="00B951B1" w:rsidRPr="00E61612" w:rsidRDefault="00B951B1" w:rsidP="00CB78E6">
            <w:pPr>
              <w:jc w:val="center"/>
              <w:rPr>
                <w:rFonts w:cs="Calibri"/>
                <w:b/>
                <w:bCs/>
                <w:color w:val="000000"/>
                <w:sz w:val="20"/>
                <w:szCs w:val="20"/>
              </w:rPr>
            </w:pPr>
            <w:r w:rsidRPr="00E61612">
              <w:rPr>
                <w:rFonts w:cs="Calibri"/>
                <w:b/>
                <w:bCs/>
                <w:color w:val="000000"/>
                <w:sz w:val="20"/>
                <w:szCs w:val="20"/>
              </w:rPr>
              <w:t>Financimi i huaj</w:t>
            </w:r>
          </w:p>
        </w:tc>
        <w:tc>
          <w:tcPr>
            <w:tcW w:w="772" w:type="pct"/>
            <w:vMerge/>
            <w:tcBorders>
              <w:top w:val="single" w:sz="8" w:space="0" w:color="auto"/>
              <w:left w:val="single" w:sz="4" w:space="0" w:color="auto"/>
              <w:bottom w:val="single" w:sz="4" w:space="0" w:color="auto"/>
              <w:right w:val="single" w:sz="8" w:space="0" w:color="auto"/>
            </w:tcBorders>
            <w:hideMark/>
          </w:tcPr>
          <w:p w:rsidR="00B951B1" w:rsidRPr="00E61612" w:rsidRDefault="00B951B1" w:rsidP="00CB78E6">
            <w:pPr>
              <w:rPr>
                <w:rFonts w:cs="Calibri"/>
                <w:b/>
                <w:bCs/>
                <w:color w:val="000000"/>
                <w:sz w:val="20"/>
                <w:szCs w:val="20"/>
              </w:rPr>
            </w:pPr>
          </w:p>
        </w:tc>
      </w:tr>
      <w:tr w:rsidR="00B951B1" w:rsidRPr="00E61612" w:rsidTr="00CB78E6">
        <w:trPr>
          <w:trHeight w:val="1115"/>
        </w:trPr>
        <w:tc>
          <w:tcPr>
            <w:tcW w:w="397" w:type="pct"/>
            <w:tcBorders>
              <w:top w:val="nil"/>
              <w:left w:val="single" w:sz="8" w:space="0" w:color="auto"/>
              <w:bottom w:val="single" w:sz="4" w:space="0" w:color="auto"/>
              <w:right w:val="single" w:sz="4" w:space="0" w:color="auto"/>
            </w:tcBorders>
            <w:shd w:val="clear" w:color="000000" w:fill="D9D9D9"/>
            <w:hideMark/>
          </w:tcPr>
          <w:p w:rsidR="00B951B1" w:rsidRPr="00E61612" w:rsidRDefault="00B951B1" w:rsidP="00CB78E6">
            <w:pPr>
              <w:jc w:val="center"/>
              <w:rPr>
                <w:rFonts w:cs="Calibri"/>
                <w:b/>
                <w:bCs/>
                <w:color w:val="000000"/>
                <w:sz w:val="20"/>
                <w:szCs w:val="20"/>
              </w:rPr>
            </w:pPr>
            <w:r w:rsidRPr="00E61612">
              <w:rPr>
                <w:rFonts w:cs="Calibri"/>
                <w:b/>
                <w:bCs/>
                <w:color w:val="000000"/>
                <w:sz w:val="20"/>
                <w:szCs w:val="20"/>
              </w:rPr>
              <w:t>B1</w:t>
            </w:r>
          </w:p>
        </w:tc>
        <w:tc>
          <w:tcPr>
            <w:tcW w:w="1856" w:type="pct"/>
            <w:tcBorders>
              <w:top w:val="nil"/>
              <w:left w:val="nil"/>
              <w:bottom w:val="single" w:sz="4" w:space="0" w:color="auto"/>
              <w:right w:val="single" w:sz="4" w:space="0" w:color="auto"/>
            </w:tcBorders>
            <w:shd w:val="clear" w:color="000000" w:fill="D9D9D9"/>
            <w:hideMark/>
          </w:tcPr>
          <w:p w:rsidR="00B951B1" w:rsidRPr="00E61612" w:rsidRDefault="00B951B1" w:rsidP="00CB78E6">
            <w:pPr>
              <w:rPr>
                <w:rFonts w:cs="Calibri"/>
                <w:sz w:val="20"/>
                <w:szCs w:val="20"/>
              </w:rPr>
            </w:pPr>
            <w:r w:rsidRPr="00E61612">
              <w:rPr>
                <w:rFonts w:cs="Calibri"/>
                <w:sz w:val="20"/>
                <w:szCs w:val="20"/>
              </w:rPr>
              <w:t>Rritja e performancës së shkollës përmes drejtimit dhe menaxhimit profesional dhe të përgjegjshëm dhe sigurimit të cilësisë</w:t>
            </w:r>
          </w:p>
        </w:tc>
        <w:tc>
          <w:tcPr>
            <w:tcW w:w="810" w:type="pct"/>
            <w:tcBorders>
              <w:top w:val="nil"/>
              <w:left w:val="nil"/>
              <w:bottom w:val="single" w:sz="4" w:space="0" w:color="auto"/>
              <w:right w:val="single" w:sz="4" w:space="0" w:color="auto"/>
            </w:tcBorders>
            <w:shd w:val="clear" w:color="000000" w:fill="D9D9D9"/>
            <w:noWrap/>
            <w:hideMark/>
          </w:tcPr>
          <w:p w:rsidR="00B951B1" w:rsidRPr="00E61612" w:rsidRDefault="00B951B1" w:rsidP="00CB78E6">
            <w:pPr>
              <w:jc w:val="right"/>
              <w:rPr>
                <w:rFonts w:cs="Calibri"/>
                <w:color w:val="000000"/>
                <w:sz w:val="20"/>
                <w:szCs w:val="20"/>
              </w:rPr>
            </w:pPr>
            <w:r w:rsidRPr="00E61612">
              <w:rPr>
                <w:rFonts w:cs="Calibri"/>
                <w:color w:val="000000"/>
                <w:sz w:val="20"/>
                <w:szCs w:val="20"/>
              </w:rPr>
              <w:t>21,256</w:t>
            </w:r>
          </w:p>
        </w:tc>
        <w:tc>
          <w:tcPr>
            <w:tcW w:w="607" w:type="pct"/>
            <w:tcBorders>
              <w:top w:val="nil"/>
              <w:left w:val="nil"/>
              <w:bottom w:val="single" w:sz="4" w:space="0" w:color="auto"/>
              <w:right w:val="single" w:sz="4" w:space="0" w:color="auto"/>
            </w:tcBorders>
            <w:shd w:val="clear" w:color="000000" w:fill="D9D9D9"/>
            <w:noWrap/>
            <w:hideMark/>
          </w:tcPr>
          <w:p w:rsidR="00B951B1" w:rsidRPr="00E61612" w:rsidRDefault="00B951B1" w:rsidP="00CB78E6">
            <w:pPr>
              <w:jc w:val="right"/>
              <w:rPr>
                <w:rFonts w:cs="Calibri"/>
                <w:color w:val="000000"/>
                <w:sz w:val="20"/>
                <w:szCs w:val="20"/>
              </w:rPr>
            </w:pPr>
            <w:r w:rsidRPr="00E61612">
              <w:rPr>
                <w:rFonts w:cs="Calibri"/>
                <w:color w:val="000000"/>
                <w:sz w:val="20"/>
                <w:szCs w:val="20"/>
              </w:rPr>
              <w:t>-</w:t>
            </w:r>
          </w:p>
        </w:tc>
        <w:tc>
          <w:tcPr>
            <w:tcW w:w="558" w:type="pct"/>
            <w:tcBorders>
              <w:top w:val="nil"/>
              <w:left w:val="nil"/>
              <w:bottom w:val="single" w:sz="4" w:space="0" w:color="auto"/>
              <w:right w:val="single" w:sz="4" w:space="0" w:color="auto"/>
            </w:tcBorders>
            <w:shd w:val="clear" w:color="000000" w:fill="D9D9D9"/>
            <w:noWrap/>
            <w:hideMark/>
          </w:tcPr>
          <w:p w:rsidR="00B951B1" w:rsidRPr="00E61612" w:rsidRDefault="00B951B1" w:rsidP="00CB78E6">
            <w:pPr>
              <w:jc w:val="right"/>
              <w:rPr>
                <w:rFonts w:cs="Calibri"/>
                <w:color w:val="000000"/>
                <w:sz w:val="20"/>
                <w:szCs w:val="20"/>
              </w:rPr>
            </w:pPr>
            <w:r w:rsidRPr="00E61612">
              <w:rPr>
                <w:rFonts w:cs="Calibri"/>
                <w:color w:val="000000"/>
                <w:sz w:val="20"/>
                <w:szCs w:val="20"/>
              </w:rPr>
              <w:t>10,032</w:t>
            </w:r>
          </w:p>
        </w:tc>
        <w:tc>
          <w:tcPr>
            <w:tcW w:w="772" w:type="pct"/>
            <w:tcBorders>
              <w:top w:val="nil"/>
              <w:left w:val="nil"/>
              <w:bottom w:val="single" w:sz="4" w:space="0" w:color="auto"/>
              <w:right w:val="single" w:sz="8" w:space="0" w:color="auto"/>
            </w:tcBorders>
            <w:shd w:val="clear" w:color="000000" w:fill="D9D9D9"/>
            <w:noWrap/>
            <w:hideMark/>
          </w:tcPr>
          <w:p w:rsidR="00B951B1" w:rsidRPr="00E61612" w:rsidRDefault="00B951B1" w:rsidP="00CB78E6">
            <w:pPr>
              <w:jc w:val="right"/>
              <w:rPr>
                <w:rFonts w:cs="Calibri"/>
                <w:color w:val="000000"/>
                <w:sz w:val="20"/>
                <w:szCs w:val="20"/>
              </w:rPr>
            </w:pPr>
            <w:r w:rsidRPr="00E61612">
              <w:rPr>
                <w:rFonts w:cs="Calibri"/>
                <w:color w:val="000000"/>
                <w:sz w:val="20"/>
                <w:szCs w:val="20"/>
              </w:rPr>
              <w:t xml:space="preserve">            (11,224)</w:t>
            </w:r>
          </w:p>
        </w:tc>
      </w:tr>
      <w:tr w:rsidR="00B951B1" w:rsidRPr="00E61612" w:rsidTr="00CB78E6">
        <w:trPr>
          <w:trHeight w:val="735"/>
        </w:trPr>
        <w:tc>
          <w:tcPr>
            <w:tcW w:w="397" w:type="pct"/>
            <w:tcBorders>
              <w:top w:val="single" w:sz="4" w:space="0" w:color="auto"/>
              <w:left w:val="single" w:sz="8" w:space="0" w:color="auto"/>
              <w:bottom w:val="single" w:sz="4" w:space="0" w:color="auto"/>
              <w:right w:val="single" w:sz="4" w:space="0" w:color="auto"/>
            </w:tcBorders>
            <w:shd w:val="clear" w:color="000000" w:fill="auto"/>
            <w:hideMark/>
          </w:tcPr>
          <w:p w:rsidR="00B951B1" w:rsidRPr="00E61612" w:rsidRDefault="00B951B1" w:rsidP="00CB78E6">
            <w:pPr>
              <w:jc w:val="center"/>
              <w:rPr>
                <w:rFonts w:cs="Calibri"/>
                <w:b/>
                <w:bCs/>
                <w:color w:val="000000"/>
                <w:sz w:val="20"/>
                <w:szCs w:val="20"/>
              </w:rPr>
            </w:pPr>
            <w:r w:rsidRPr="00E61612">
              <w:rPr>
                <w:rFonts w:cs="Calibri"/>
                <w:b/>
                <w:bCs/>
                <w:color w:val="000000"/>
                <w:sz w:val="20"/>
                <w:szCs w:val="20"/>
              </w:rPr>
              <w:lastRenderedPageBreak/>
              <w:t>B1.1</w:t>
            </w:r>
          </w:p>
        </w:tc>
        <w:tc>
          <w:tcPr>
            <w:tcW w:w="1856" w:type="pct"/>
            <w:tcBorders>
              <w:top w:val="single" w:sz="4" w:space="0" w:color="auto"/>
              <w:left w:val="nil"/>
              <w:bottom w:val="single" w:sz="4" w:space="0" w:color="auto"/>
              <w:right w:val="single" w:sz="4" w:space="0" w:color="auto"/>
            </w:tcBorders>
            <w:shd w:val="clear" w:color="000000" w:fill="auto"/>
            <w:hideMark/>
          </w:tcPr>
          <w:p w:rsidR="00B951B1" w:rsidRPr="00E61612" w:rsidRDefault="00B951B1" w:rsidP="00CB78E6">
            <w:pPr>
              <w:rPr>
                <w:rFonts w:cs="Calibri"/>
                <w:sz w:val="20"/>
                <w:szCs w:val="20"/>
              </w:rPr>
            </w:pPr>
            <w:r w:rsidRPr="00E61612">
              <w:rPr>
                <w:rFonts w:cs="Calibri"/>
                <w:sz w:val="20"/>
                <w:szCs w:val="20"/>
              </w:rPr>
              <w:t xml:space="preserve">Rritja e kapaciteteve inspektuese/monitoruese me fokus </w:t>
            </w:r>
            <w:r>
              <w:rPr>
                <w:rFonts w:cs="Calibri"/>
                <w:sz w:val="20"/>
                <w:szCs w:val="20"/>
              </w:rPr>
              <w:t xml:space="preserve">te </w:t>
            </w:r>
            <w:r w:rsidRPr="00E61612">
              <w:rPr>
                <w:rFonts w:cs="Calibri"/>
                <w:sz w:val="20"/>
                <w:szCs w:val="20"/>
              </w:rPr>
              <w:t>rritj</w:t>
            </w:r>
            <w:r>
              <w:rPr>
                <w:rFonts w:cs="Calibri"/>
                <w:sz w:val="20"/>
                <w:szCs w:val="20"/>
              </w:rPr>
              <w:t>a</w:t>
            </w:r>
            <w:r w:rsidRPr="00E61612">
              <w:rPr>
                <w:rFonts w:cs="Calibri"/>
                <w:sz w:val="20"/>
                <w:szCs w:val="20"/>
              </w:rPr>
              <w:t xml:space="preserve"> e cilësisë</w:t>
            </w:r>
          </w:p>
        </w:tc>
        <w:tc>
          <w:tcPr>
            <w:tcW w:w="810" w:type="pct"/>
            <w:tcBorders>
              <w:top w:val="single" w:sz="4" w:space="0" w:color="auto"/>
              <w:left w:val="nil"/>
              <w:bottom w:val="single" w:sz="4" w:space="0" w:color="auto"/>
              <w:right w:val="single" w:sz="4" w:space="0" w:color="auto"/>
            </w:tcBorders>
            <w:shd w:val="clear" w:color="000000" w:fill="auto"/>
            <w:noWrap/>
            <w:hideMark/>
          </w:tcPr>
          <w:p w:rsidR="00B951B1" w:rsidRPr="00E61612" w:rsidRDefault="00B951B1" w:rsidP="00CB78E6">
            <w:pPr>
              <w:jc w:val="right"/>
              <w:rPr>
                <w:rFonts w:cs="Calibri"/>
                <w:color w:val="000000"/>
                <w:sz w:val="20"/>
                <w:szCs w:val="20"/>
              </w:rPr>
            </w:pPr>
            <w:r w:rsidRPr="00E61612">
              <w:rPr>
                <w:rFonts w:cs="Calibri"/>
                <w:color w:val="000000"/>
                <w:sz w:val="20"/>
                <w:szCs w:val="20"/>
              </w:rPr>
              <w:t>3,210</w:t>
            </w:r>
          </w:p>
        </w:tc>
        <w:tc>
          <w:tcPr>
            <w:tcW w:w="607" w:type="pct"/>
            <w:tcBorders>
              <w:top w:val="single" w:sz="4" w:space="0" w:color="auto"/>
              <w:left w:val="nil"/>
              <w:bottom w:val="single" w:sz="4" w:space="0" w:color="auto"/>
              <w:right w:val="single" w:sz="4" w:space="0" w:color="auto"/>
            </w:tcBorders>
            <w:shd w:val="clear" w:color="000000" w:fill="auto"/>
            <w:noWrap/>
            <w:hideMark/>
          </w:tcPr>
          <w:p w:rsidR="00B951B1" w:rsidRPr="00E61612" w:rsidRDefault="00B951B1" w:rsidP="00CB78E6">
            <w:pPr>
              <w:jc w:val="right"/>
              <w:rPr>
                <w:rFonts w:cs="Calibri"/>
                <w:color w:val="000000"/>
                <w:sz w:val="20"/>
                <w:szCs w:val="20"/>
              </w:rPr>
            </w:pPr>
            <w:r w:rsidRPr="00E61612">
              <w:rPr>
                <w:rFonts w:cs="Calibri"/>
                <w:color w:val="000000"/>
                <w:sz w:val="20"/>
                <w:szCs w:val="20"/>
              </w:rPr>
              <w:t>-</w:t>
            </w:r>
          </w:p>
        </w:tc>
        <w:tc>
          <w:tcPr>
            <w:tcW w:w="558" w:type="pct"/>
            <w:tcBorders>
              <w:top w:val="single" w:sz="4" w:space="0" w:color="auto"/>
              <w:left w:val="nil"/>
              <w:bottom w:val="single" w:sz="4" w:space="0" w:color="auto"/>
              <w:right w:val="single" w:sz="4" w:space="0" w:color="auto"/>
            </w:tcBorders>
            <w:shd w:val="clear" w:color="000000" w:fill="auto"/>
            <w:noWrap/>
            <w:hideMark/>
          </w:tcPr>
          <w:p w:rsidR="00B951B1" w:rsidRPr="00E61612" w:rsidRDefault="00B951B1" w:rsidP="00CB78E6">
            <w:pPr>
              <w:jc w:val="right"/>
              <w:rPr>
                <w:rFonts w:cs="Calibri"/>
                <w:color w:val="000000"/>
                <w:sz w:val="20"/>
                <w:szCs w:val="20"/>
              </w:rPr>
            </w:pPr>
            <w:r w:rsidRPr="00E61612">
              <w:rPr>
                <w:rFonts w:cs="Calibri"/>
                <w:color w:val="000000"/>
                <w:sz w:val="20"/>
                <w:szCs w:val="20"/>
              </w:rPr>
              <w:t>-</w:t>
            </w:r>
          </w:p>
        </w:tc>
        <w:tc>
          <w:tcPr>
            <w:tcW w:w="772" w:type="pct"/>
            <w:tcBorders>
              <w:top w:val="single" w:sz="4" w:space="0" w:color="auto"/>
              <w:left w:val="nil"/>
              <w:bottom w:val="single" w:sz="4" w:space="0" w:color="auto"/>
              <w:right w:val="single" w:sz="8" w:space="0" w:color="auto"/>
            </w:tcBorders>
            <w:shd w:val="clear" w:color="000000" w:fill="auto"/>
            <w:noWrap/>
            <w:hideMark/>
          </w:tcPr>
          <w:p w:rsidR="00B951B1" w:rsidRPr="00E61612" w:rsidRDefault="00B951B1" w:rsidP="00CB78E6">
            <w:pPr>
              <w:jc w:val="right"/>
              <w:rPr>
                <w:rFonts w:cs="Calibri"/>
                <w:color w:val="000000"/>
                <w:sz w:val="20"/>
                <w:szCs w:val="20"/>
              </w:rPr>
            </w:pPr>
            <w:r w:rsidRPr="00E61612">
              <w:rPr>
                <w:rFonts w:cs="Calibri"/>
                <w:color w:val="000000"/>
                <w:sz w:val="20"/>
                <w:szCs w:val="20"/>
              </w:rPr>
              <w:t xml:space="preserve">              (3,210)</w:t>
            </w:r>
          </w:p>
        </w:tc>
      </w:tr>
      <w:tr w:rsidR="00B951B1" w:rsidRPr="00E61612" w:rsidTr="00CB78E6">
        <w:trPr>
          <w:trHeight w:val="735"/>
        </w:trPr>
        <w:tc>
          <w:tcPr>
            <w:tcW w:w="397" w:type="pct"/>
            <w:tcBorders>
              <w:top w:val="single" w:sz="4" w:space="0" w:color="auto"/>
              <w:left w:val="single" w:sz="8" w:space="0" w:color="auto"/>
              <w:bottom w:val="single" w:sz="4" w:space="0" w:color="auto"/>
              <w:right w:val="single" w:sz="4" w:space="0" w:color="auto"/>
            </w:tcBorders>
            <w:shd w:val="clear" w:color="000000" w:fill="auto"/>
            <w:hideMark/>
          </w:tcPr>
          <w:p w:rsidR="00B951B1" w:rsidRPr="00E61612" w:rsidRDefault="00B951B1" w:rsidP="00CB78E6">
            <w:pPr>
              <w:jc w:val="center"/>
              <w:rPr>
                <w:rFonts w:cs="Calibri"/>
                <w:b/>
                <w:bCs/>
                <w:color w:val="000000"/>
                <w:sz w:val="20"/>
                <w:szCs w:val="20"/>
              </w:rPr>
            </w:pPr>
            <w:r w:rsidRPr="00E61612">
              <w:rPr>
                <w:rFonts w:cs="Calibri"/>
                <w:b/>
                <w:bCs/>
                <w:color w:val="000000"/>
                <w:sz w:val="20"/>
                <w:szCs w:val="20"/>
              </w:rPr>
              <w:t>B1.2</w:t>
            </w:r>
          </w:p>
        </w:tc>
        <w:tc>
          <w:tcPr>
            <w:tcW w:w="1856" w:type="pct"/>
            <w:tcBorders>
              <w:top w:val="single" w:sz="4" w:space="0" w:color="auto"/>
              <w:left w:val="nil"/>
              <w:bottom w:val="single" w:sz="4" w:space="0" w:color="auto"/>
              <w:right w:val="single" w:sz="4" w:space="0" w:color="auto"/>
            </w:tcBorders>
            <w:shd w:val="clear" w:color="000000" w:fill="auto"/>
            <w:hideMark/>
          </w:tcPr>
          <w:p w:rsidR="00B951B1" w:rsidRPr="00E61612" w:rsidRDefault="00B951B1" w:rsidP="00CB78E6">
            <w:pPr>
              <w:rPr>
                <w:rFonts w:cs="Calibri"/>
                <w:sz w:val="20"/>
                <w:szCs w:val="20"/>
              </w:rPr>
            </w:pPr>
            <w:r w:rsidRPr="00E61612">
              <w:rPr>
                <w:rFonts w:cs="Calibri"/>
                <w:sz w:val="20"/>
                <w:szCs w:val="20"/>
              </w:rPr>
              <w:t>Përmirësimi i drejtimit dhe menaxhimit të institucioneve arsimore</w:t>
            </w:r>
          </w:p>
        </w:tc>
        <w:tc>
          <w:tcPr>
            <w:tcW w:w="810" w:type="pct"/>
            <w:tcBorders>
              <w:top w:val="single" w:sz="4" w:space="0" w:color="auto"/>
              <w:left w:val="nil"/>
              <w:bottom w:val="single" w:sz="4" w:space="0" w:color="auto"/>
              <w:right w:val="single" w:sz="4" w:space="0" w:color="auto"/>
            </w:tcBorders>
            <w:shd w:val="clear" w:color="000000" w:fill="auto"/>
            <w:noWrap/>
            <w:hideMark/>
          </w:tcPr>
          <w:p w:rsidR="00B951B1" w:rsidRPr="00E61612" w:rsidRDefault="00B951B1" w:rsidP="00CB78E6">
            <w:pPr>
              <w:jc w:val="right"/>
              <w:rPr>
                <w:rFonts w:cs="Calibri"/>
                <w:color w:val="000000"/>
                <w:sz w:val="20"/>
                <w:szCs w:val="20"/>
              </w:rPr>
            </w:pPr>
            <w:r w:rsidRPr="00E61612">
              <w:rPr>
                <w:rFonts w:cs="Calibri"/>
                <w:color w:val="000000"/>
                <w:sz w:val="20"/>
                <w:szCs w:val="20"/>
              </w:rPr>
              <w:t>10,512</w:t>
            </w:r>
          </w:p>
        </w:tc>
        <w:tc>
          <w:tcPr>
            <w:tcW w:w="607" w:type="pct"/>
            <w:tcBorders>
              <w:top w:val="single" w:sz="4" w:space="0" w:color="auto"/>
              <w:left w:val="nil"/>
              <w:bottom w:val="single" w:sz="4" w:space="0" w:color="auto"/>
              <w:right w:val="single" w:sz="4" w:space="0" w:color="auto"/>
            </w:tcBorders>
            <w:shd w:val="clear" w:color="000000" w:fill="auto"/>
            <w:noWrap/>
            <w:hideMark/>
          </w:tcPr>
          <w:p w:rsidR="00B951B1" w:rsidRPr="00E61612" w:rsidRDefault="00B951B1" w:rsidP="00CB78E6">
            <w:pPr>
              <w:jc w:val="right"/>
              <w:rPr>
                <w:rFonts w:cs="Calibri"/>
                <w:color w:val="000000"/>
                <w:sz w:val="20"/>
                <w:szCs w:val="20"/>
              </w:rPr>
            </w:pPr>
            <w:r w:rsidRPr="00E61612">
              <w:rPr>
                <w:rFonts w:cs="Calibri"/>
                <w:color w:val="000000"/>
                <w:sz w:val="20"/>
                <w:szCs w:val="20"/>
              </w:rPr>
              <w:t>-</w:t>
            </w:r>
          </w:p>
        </w:tc>
        <w:tc>
          <w:tcPr>
            <w:tcW w:w="558" w:type="pct"/>
            <w:tcBorders>
              <w:top w:val="single" w:sz="4" w:space="0" w:color="auto"/>
              <w:left w:val="nil"/>
              <w:bottom w:val="single" w:sz="4" w:space="0" w:color="auto"/>
              <w:right w:val="single" w:sz="4" w:space="0" w:color="auto"/>
            </w:tcBorders>
            <w:shd w:val="clear" w:color="000000" w:fill="auto"/>
            <w:noWrap/>
            <w:hideMark/>
          </w:tcPr>
          <w:p w:rsidR="00B951B1" w:rsidRPr="00E61612" w:rsidRDefault="00B951B1" w:rsidP="00CB78E6">
            <w:pPr>
              <w:jc w:val="right"/>
              <w:rPr>
                <w:rFonts w:cs="Calibri"/>
                <w:color w:val="000000"/>
                <w:sz w:val="20"/>
                <w:szCs w:val="20"/>
              </w:rPr>
            </w:pPr>
            <w:r w:rsidRPr="00E61612">
              <w:rPr>
                <w:rFonts w:cs="Calibri"/>
                <w:color w:val="000000"/>
                <w:sz w:val="20"/>
                <w:szCs w:val="20"/>
              </w:rPr>
              <w:t>10,032</w:t>
            </w:r>
          </w:p>
        </w:tc>
        <w:tc>
          <w:tcPr>
            <w:tcW w:w="772" w:type="pct"/>
            <w:tcBorders>
              <w:top w:val="single" w:sz="4" w:space="0" w:color="auto"/>
              <w:left w:val="nil"/>
              <w:bottom w:val="single" w:sz="4" w:space="0" w:color="auto"/>
              <w:right w:val="single" w:sz="8" w:space="0" w:color="auto"/>
            </w:tcBorders>
            <w:shd w:val="clear" w:color="000000" w:fill="auto"/>
            <w:noWrap/>
            <w:hideMark/>
          </w:tcPr>
          <w:p w:rsidR="00B951B1" w:rsidRPr="00E61612" w:rsidRDefault="00B951B1" w:rsidP="00CB78E6">
            <w:pPr>
              <w:jc w:val="right"/>
              <w:rPr>
                <w:rFonts w:cs="Calibri"/>
                <w:color w:val="000000"/>
                <w:sz w:val="20"/>
                <w:szCs w:val="20"/>
              </w:rPr>
            </w:pPr>
            <w:r w:rsidRPr="00E61612">
              <w:rPr>
                <w:rFonts w:cs="Calibri"/>
                <w:color w:val="000000"/>
                <w:sz w:val="20"/>
                <w:szCs w:val="20"/>
              </w:rPr>
              <w:t xml:space="preserve">                 (480)</w:t>
            </w:r>
          </w:p>
        </w:tc>
      </w:tr>
      <w:tr w:rsidR="00B951B1" w:rsidRPr="00E61612" w:rsidTr="00CB78E6">
        <w:trPr>
          <w:trHeight w:val="735"/>
        </w:trPr>
        <w:tc>
          <w:tcPr>
            <w:tcW w:w="397" w:type="pct"/>
            <w:tcBorders>
              <w:top w:val="single" w:sz="4" w:space="0" w:color="auto"/>
              <w:left w:val="single" w:sz="8" w:space="0" w:color="auto"/>
              <w:bottom w:val="single" w:sz="4" w:space="0" w:color="auto"/>
              <w:right w:val="single" w:sz="4" w:space="0" w:color="auto"/>
            </w:tcBorders>
            <w:shd w:val="clear" w:color="000000" w:fill="auto"/>
            <w:hideMark/>
          </w:tcPr>
          <w:p w:rsidR="00B951B1" w:rsidRPr="00E61612" w:rsidRDefault="00B951B1" w:rsidP="00CB78E6">
            <w:pPr>
              <w:jc w:val="center"/>
              <w:rPr>
                <w:rFonts w:cs="Calibri"/>
                <w:b/>
                <w:bCs/>
                <w:color w:val="000000"/>
                <w:sz w:val="20"/>
                <w:szCs w:val="20"/>
              </w:rPr>
            </w:pPr>
            <w:r w:rsidRPr="00E61612">
              <w:rPr>
                <w:rFonts w:cs="Calibri"/>
                <w:b/>
                <w:bCs/>
                <w:color w:val="000000"/>
                <w:sz w:val="20"/>
                <w:szCs w:val="20"/>
              </w:rPr>
              <w:t>B1.3</w:t>
            </w:r>
          </w:p>
        </w:tc>
        <w:tc>
          <w:tcPr>
            <w:tcW w:w="1856" w:type="pct"/>
            <w:tcBorders>
              <w:top w:val="single" w:sz="4" w:space="0" w:color="auto"/>
              <w:left w:val="nil"/>
              <w:bottom w:val="single" w:sz="4" w:space="0" w:color="auto"/>
              <w:right w:val="single" w:sz="4" w:space="0" w:color="auto"/>
            </w:tcBorders>
            <w:shd w:val="clear" w:color="000000" w:fill="auto"/>
            <w:hideMark/>
          </w:tcPr>
          <w:p w:rsidR="00B951B1" w:rsidRPr="00E61612" w:rsidRDefault="00B951B1" w:rsidP="00CB78E6">
            <w:pPr>
              <w:rPr>
                <w:rFonts w:cs="Calibri"/>
                <w:sz w:val="20"/>
                <w:szCs w:val="20"/>
              </w:rPr>
            </w:pPr>
            <w:r w:rsidRPr="00E61612">
              <w:rPr>
                <w:rFonts w:cs="Calibri"/>
                <w:sz w:val="20"/>
                <w:szCs w:val="20"/>
              </w:rPr>
              <w:t>Vlerësimi i jashtëm dhe i brendshëm janë në funksion të përmirësimit të shkollës</w:t>
            </w:r>
          </w:p>
        </w:tc>
        <w:tc>
          <w:tcPr>
            <w:tcW w:w="810" w:type="pct"/>
            <w:tcBorders>
              <w:top w:val="single" w:sz="4" w:space="0" w:color="auto"/>
              <w:left w:val="nil"/>
              <w:bottom w:val="single" w:sz="4" w:space="0" w:color="auto"/>
              <w:right w:val="single" w:sz="4" w:space="0" w:color="auto"/>
            </w:tcBorders>
            <w:shd w:val="clear" w:color="000000" w:fill="auto"/>
            <w:noWrap/>
            <w:hideMark/>
          </w:tcPr>
          <w:p w:rsidR="00B951B1" w:rsidRPr="00E61612" w:rsidRDefault="00B951B1" w:rsidP="00CB78E6">
            <w:pPr>
              <w:jc w:val="right"/>
              <w:rPr>
                <w:rFonts w:cs="Calibri"/>
                <w:color w:val="000000"/>
                <w:sz w:val="20"/>
                <w:szCs w:val="20"/>
              </w:rPr>
            </w:pPr>
            <w:r w:rsidRPr="00E61612">
              <w:rPr>
                <w:rFonts w:cs="Calibri"/>
                <w:color w:val="000000"/>
                <w:sz w:val="20"/>
                <w:szCs w:val="20"/>
              </w:rPr>
              <w:t>7,534</w:t>
            </w:r>
          </w:p>
        </w:tc>
        <w:tc>
          <w:tcPr>
            <w:tcW w:w="607" w:type="pct"/>
            <w:tcBorders>
              <w:top w:val="single" w:sz="4" w:space="0" w:color="auto"/>
              <w:left w:val="nil"/>
              <w:bottom w:val="single" w:sz="4" w:space="0" w:color="auto"/>
              <w:right w:val="single" w:sz="4" w:space="0" w:color="auto"/>
            </w:tcBorders>
            <w:shd w:val="clear" w:color="000000" w:fill="auto"/>
            <w:noWrap/>
            <w:hideMark/>
          </w:tcPr>
          <w:p w:rsidR="00B951B1" w:rsidRPr="00E61612" w:rsidRDefault="00B951B1" w:rsidP="00CB78E6">
            <w:pPr>
              <w:jc w:val="right"/>
              <w:rPr>
                <w:rFonts w:cs="Calibri"/>
                <w:color w:val="000000"/>
                <w:sz w:val="20"/>
                <w:szCs w:val="20"/>
              </w:rPr>
            </w:pPr>
            <w:r w:rsidRPr="00E61612">
              <w:rPr>
                <w:rFonts w:cs="Calibri"/>
                <w:color w:val="000000"/>
                <w:sz w:val="20"/>
                <w:szCs w:val="20"/>
              </w:rPr>
              <w:t>-</w:t>
            </w:r>
          </w:p>
        </w:tc>
        <w:tc>
          <w:tcPr>
            <w:tcW w:w="558" w:type="pct"/>
            <w:tcBorders>
              <w:top w:val="single" w:sz="4" w:space="0" w:color="auto"/>
              <w:left w:val="nil"/>
              <w:bottom w:val="single" w:sz="4" w:space="0" w:color="auto"/>
              <w:right w:val="single" w:sz="4" w:space="0" w:color="auto"/>
            </w:tcBorders>
            <w:shd w:val="clear" w:color="000000" w:fill="auto"/>
            <w:noWrap/>
            <w:hideMark/>
          </w:tcPr>
          <w:p w:rsidR="00B951B1" w:rsidRPr="00E61612" w:rsidRDefault="00B951B1" w:rsidP="00CB78E6">
            <w:pPr>
              <w:jc w:val="right"/>
              <w:rPr>
                <w:rFonts w:cs="Calibri"/>
                <w:color w:val="000000"/>
                <w:sz w:val="20"/>
                <w:szCs w:val="20"/>
              </w:rPr>
            </w:pPr>
            <w:r w:rsidRPr="00E61612">
              <w:rPr>
                <w:rFonts w:cs="Calibri"/>
                <w:color w:val="000000"/>
                <w:sz w:val="20"/>
                <w:szCs w:val="20"/>
              </w:rPr>
              <w:t>-</w:t>
            </w:r>
          </w:p>
        </w:tc>
        <w:tc>
          <w:tcPr>
            <w:tcW w:w="772" w:type="pct"/>
            <w:tcBorders>
              <w:top w:val="single" w:sz="4" w:space="0" w:color="auto"/>
              <w:left w:val="nil"/>
              <w:bottom w:val="single" w:sz="4" w:space="0" w:color="auto"/>
              <w:right w:val="single" w:sz="8" w:space="0" w:color="auto"/>
            </w:tcBorders>
            <w:shd w:val="clear" w:color="000000" w:fill="auto"/>
            <w:noWrap/>
            <w:hideMark/>
          </w:tcPr>
          <w:p w:rsidR="00B951B1" w:rsidRPr="00E61612" w:rsidRDefault="00B951B1" w:rsidP="00CB78E6">
            <w:pPr>
              <w:jc w:val="right"/>
              <w:rPr>
                <w:rFonts w:cs="Calibri"/>
                <w:color w:val="000000"/>
                <w:sz w:val="20"/>
                <w:szCs w:val="20"/>
              </w:rPr>
            </w:pPr>
            <w:r w:rsidRPr="00E61612">
              <w:rPr>
                <w:rFonts w:cs="Calibri"/>
                <w:color w:val="000000"/>
                <w:sz w:val="20"/>
                <w:szCs w:val="20"/>
              </w:rPr>
              <w:t xml:space="preserve">              (7,534)</w:t>
            </w:r>
          </w:p>
        </w:tc>
      </w:tr>
      <w:tr w:rsidR="00B951B1" w:rsidRPr="00E61612" w:rsidTr="00CB78E6">
        <w:trPr>
          <w:trHeight w:val="996"/>
        </w:trPr>
        <w:tc>
          <w:tcPr>
            <w:tcW w:w="397" w:type="pct"/>
            <w:tcBorders>
              <w:top w:val="nil"/>
              <w:left w:val="single" w:sz="8" w:space="0" w:color="auto"/>
              <w:bottom w:val="single" w:sz="4" w:space="0" w:color="auto"/>
              <w:right w:val="single" w:sz="4" w:space="0" w:color="auto"/>
            </w:tcBorders>
            <w:shd w:val="clear" w:color="000000" w:fill="D9D9D9"/>
            <w:hideMark/>
          </w:tcPr>
          <w:p w:rsidR="00B951B1" w:rsidRPr="00E61612" w:rsidRDefault="00B951B1" w:rsidP="00CB78E6">
            <w:pPr>
              <w:jc w:val="center"/>
              <w:rPr>
                <w:rFonts w:cs="Calibri"/>
                <w:b/>
                <w:bCs/>
                <w:color w:val="000000"/>
                <w:sz w:val="20"/>
                <w:szCs w:val="20"/>
              </w:rPr>
            </w:pPr>
            <w:r w:rsidRPr="00E61612">
              <w:rPr>
                <w:rFonts w:cs="Calibri"/>
                <w:b/>
                <w:bCs/>
                <w:color w:val="000000"/>
                <w:sz w:val="20"/>
                <w:szCs w:val="20"/>
              </w:rPr>
              <w:t>B2</w:t>
            </w:r>
          </w:p>
        </w:tc>
        <w:tc>
          <w:tcPr>
            <w:tcW w:w="1856" w:type="pct"/>
            <w:tcBorders>
              <w:top w:val="nil"/>
              <w:left w:val="nil"/>
              <w:bottom w:val="single" w:sz="4" w:space="0" w:color="auto"/>
              <w:right w:val="single" w:sz="4" w:space="0" w:color="auto"/>
            </w:tcBorders>
            <w:shd w:val="clear" w:color="000000" w:fill="D9D9D9"/>
            <w:hideMark/>
          </w:tcPr>
          <w:p w:rsidR="00B951B1" w:rsidRPr="00E61612" w:rsidRDefault="00B951B1" w:rsidP="00CB78E6">
            <w:pPr>
              <w:rPr>
                <w:rFonts w:cs="Calibri"/>
                <w:sz w:val="20"/>
                <w:szCs w:val="20"/>
              </w:rPr>
            </w:pPr>
            <w:r w:rsidRPr="00E61612">
              <w:rPr>
                <w:rFonts w:cs="Calibri"/>
                <w:sz w:val="20"/>
                <w:szCs w:val="20"/>
              </w:rPr>
              <w:t>Garantimi i performancës së sistemit të arsimit përmes ndërtimit të një kornize gjithëpërfshirëse të vlerësimit dhe kapaciteteve për zbatimin e saj</w:t>
            </w:r>
          </w:p>
        </w:tc>
        <w:tc>
          <w:tcPr>
            <w:tcW w:w="810" w:type="pct"/>
            <w:tcBorders>
              <w:top w:val="nil"/>
              <w:left w:val="nil"/>
              <w:bottom w:val="single" w:sz="4" w:space="0" w:color="auto"/>
              <w:right w:val="single" w:sz="4" w:space="0" w:color="auto"/>
            </w:tcBorders>
            <w:shd w:val="clear" w:color="000000" w:fill="D9D9D9"/>
            <w:noWrap/>
            <w:hideMark/>
          </w:tcPr>
          <w:p w:rsidR="00B951B1" w:rsidRPr="00E61612" w:rsidRDefault="00B951B1" w:rsidP="00CB78E6">
            <w:pPr>
              <w:jc w:val="right"/>
              <w:rPr>
                <w:rFonts w:cs="Calibri"/>
                <w:color w:val="000000"/>
                <w:sz w:val="20"/>
                <w:szCs w:val="20"/>
              </w:rPr>
            </w:pPr>
            <w:r w:rsidRPr="00E61612">
              <w:rPr>
                <w:rFonts w:cs="Calibri"/>
                <w:color w:val="000000"/>
                <w:sz w:val="20"/>
                <w:szCs w:val="20"/>
              </w:rPr>
              <w:t>113,780</w:t>
            </w:r>
          </w:p>
        </w:tc>
        <w:tc>
          <w:tcPr>
            <w:tcW w:w="607" w:type="pct"/>
            <w:tcBorders>
              <w:top w:val="nil"/>
              <w:left w:val="nil"/>
              <w:bottom w:val="single" w:sz="4" w:space="0" w:color="auto"/>
              <w:right w:val="single" w:sz="4" w:space="0" w:color="auto"/>
            </w:tcBorders>
            <w:shd w:val="clear" w:color="000000" w:fill="D9D9D9"/>
            <w:noWrap/>
            <w:hideMark/>
          </w:tcPr>
          <w:p w:rsidR="00B951B1" w:rsidRPr="00E61612" w:rsidRDefault="00B951B1" w:rsidP="00CB78E6">
            <w:pPr>
              <w:jc w:val="right"/>
              <w:rPr>
                <w:rFonts w:cs="Calibri"/>
                <w:color w:val="000000"/>
                <w:sz w:val="20"/>
                <w:szCs w:val="20"/>
              </w:rPr>
            </w:pPr>
            <w:r w:rsidRPr="00E61612">
              <w:rPr>
                <w:rFonts w:cs="Calibri"/>
                <w:color w:val="000000"/>
                <w:sz w:val="20"/>
                <w:szCs w:val="20"/>
              </w:rPr>
              <w:t>55,200</w:t>
            </w:r>
          </w:p>
        </w:tc>
        <w:tc>
          <w:tcPr>
            <w:tcW w:w="558" w:type="pct"/>
            <w:tcBorders>
              <w:top w:val="nil"/>
              <w:left w:val="nil"/>
              <w:bottom w:val="single" w:sz="4" w:space="0" w:color="auto"/>
              <w:right w:val="single" w:sz="4" w:space="0" w:color="auto"/>
            </w:tcBorders>
            <w:shd w:val="clear" w:color="000000" w:fill="D9D9D9"/>
            <w:noWrap/>
            <w:hideMark/>
          </w:tcPr>
          <w:p w:rsidR="00B951B1" w:rsidRPr="00E61612" w:rsidRDefault="00B951B1" w:rsidP="00CB78E6">
            <w:pPr>
              <w:jc w:val="right"/>
              <w:rPr>
                <w:rFonts w:cs="Calibri"/>
                <w:color w:val="000000"/>
                <w:sz w:val="20"/>
                <w:szCs w:val="20"/>
              </w:rPr>
            </w:pPr>
            <w:r w:rsidRPr="00E61612">
              <w:rPr>
                <w:rFonts w:cs="Calibri"/>
                <w:color w:val="000000"/>
                <w:sz w:val="20"/>
                <w:szCs w:val="20"/>
              </w:rPr>
              <w:t>8,640</w:t>
            </w:r>
          </w:p>
        </w:tc>
        <w:tc>
          <w:tcPr>
            <w:tcW w:w="772" w:type="pct"/>
            <w:tcBorders>
              <w:top w:val="nil"/>
              <w:left w:val="nil"/>
              <w:bottom w:val="single" w:sz="4" w:space="0" w:color="auto"/>
              <w:right w:val="single" w:sz="8" w:space="0" w:color="auto"/>
            </w:tcBorders>
            <w:shd w:val="clear" w:color="000000" w:fill="D9D9D9"/>
            <w:noWrap/>
            <w:hideMark/>
          </w:tcPr>
          <w:p w:rsidR="00B951B1" w:rsidRPr="00E61612" w:rsidRDefault="00B951B1" w:rsidP="00CB78E6">
            <w:pPr>
              <w:jc w:val="right"/>
              <w:rPr>
                <w:rFonts w:cs="Calibri"/>
                <w:color w:val="000000"/>
                <w:sz w:val="20"/>
                <w:szCs w:val="20"/>
              </w:rPr>
            </w:pPr>
            <w:r w:rsidRPr="00E61612">
              <w:rPr>
                <w:rFonts w:cs="Calibri"/>
                <w:color w:val="000000"/>
                <w:sz w:val="20"/>
                <w:szCs w:val="20"/>
              </w:rPr>
              <w:t xml:space="preserve">            (49,940)</w:t>
            </w:r>
          </w:p>
        </w:tc>
      </w:tr>
      <w:tr w:rsidR="00B951B1" w:rsidRPr="00E61612" w:rsidTr="00CB78E6">
        <w:trPr>
          <w:trHeight w:val="735"/>
        </w:trPr>
        <w:tc>
          <w:tcPr>
            <w:tcW w:w="397" w:type="pct"/>
            <w:tcBorders>
              <w:top w:val="single" w:sz="4" w:space="0" w:color="auto"/>
              <w:left w:val="single" w:sz="8" w:space="0" w:color="auto"/>
              <w:bottom w:val="single" w:sz="4" w:space="0" w:color="auto"/>
              <w:right w:val="single" w:sz="4" w:space="0" w:color="auto"/>
            </w:tcBorders>
            <w:shd w:val="clear" w:color="000000" w:fill="auto"/>
            <w:hideMark/>
          </w:tcPr>
          <w:p w:rsidR="00B951B1" w:rsidRPr="00E61612" w:rsidRDefault="00B951B1" w:rsidP="00CB78E6">
            <w:pPr>
              <w:jc w:val="center"/>
              <w:rPr>
                <w:rFonts w:cs="Calibri"/>
                <w:b/>
                <w:bCs/>
                <w:color w:val="000000"/>
                <w:sz w:val="20"/>
                <w:szCs w:val="20"/>
              </w:rPr>
            </w:pPr>
            <w:r w:rsidRPr="00E61612">
              <w:rPr>
                <w:rFonts w:cs="Calibri"/>
                <w:b/>
                <w:bCs/>
                <w:color w:val="000000"/>
                <w:sz w:val="20"/>
                <w:szCs w:val="20"/>
              </w:rPr>
              <w:t>B2.1</w:t>
            </w:r>
          </w:p>
        </w:tc>
        <w:tc>
          <w:tcPr>
            <w:tcW w:w="1856" w:type="pct"/>
            <w:tcBorders>
              <w:top w:val="single" w:sz="4" w:space="0" w:color="auto"/>
              <w:left w:val="nil"/>
              <w:bottom w:val="single" w:sz="4" w:space="0" w:color="auto"/>
              <w:right w:val="single" w:sz="4" w:space="0" w:color="auto"/>
            </w:tcBorders>
            <w:shd w:val="clear" w:color="000000" w:fill="auto"/>
            <w:hideMark/>
          </w:tcPr>
          <w:p w:rsidR="00B951B1" w:rsidRPr="00E61612" w:rsidRDefault="00B951B1" w:rsidP="00CB78E6">
            <w:pPr>
              <w:rPr>
                <w:rFonts w:cs="Calibri"/>
                <w:sz w:val="20"/>
                <w:szCs w:val="20"/>
              </w:rPr>
            </w:pPr>
            <w:r w:rsidRPr="00E61612">
              <w:rPr>
                <w:rFonts w:cs="Calibri"/>
                <w:sz w:val="20"/>
                <w:szCs w:val="20"/>
              </w:rPr>
              <w:t>Funksionalizimi i plotë i Sistemit të Menaxhimit të Informacionit Parauniversitar (SMIP)</w:t>
            </w:r>
          </w:p>
        </w:tc>
        <w:tc>
          <w:tcPr>
            <w:tcW w:w="810" w:type="pct"/>
            <w:tcBorders>
              <w:top w:val="single" w:sz="4" w:space="0" w:color="auto"/>
              <w:left w:val="nil"/>
              <w:bottom w:val="single" w:sz="4" w:space="0" w:color="auto"/>
              <w:right w:val="single" w:sz="4" w:space="0" w:color="auto"/>
            </w:tcBorders>
            <w:shd w:val="clear" w:color="000000" w:fill="auto"/>
            <w:noWrap/>
            <w:hideMark/>
          </w:tcPr>
          <w:p w:rsidR="00B951B1" w:rsidRPr="00E61612" w:rsidRDefault="00B951B1" w:rsidP="00CB78E6">
            <w:pPr>
              <w:jc w:val="right"/>
              <w:rPr>
                <w:rFonts w:cs="Calibri"/>
                <w:color w:val="000000"/>
                <w:sz w:val="20"/>
                <w:szCs w:val="20"/>
              </w:rPr>
            </w:pPr>
            <w:r w:rsidRPr="00E61612">
              <w:rPr>
                <w:rFonts w:cs="Calibri"/>
                <w:color w:val="000000"/>
                <w:sz w:val="20"/>
                <w:szCs w:val="20"/>
              </w:rPr>
              <w:t>55,200</w:t>
            </w:r>
          </w:p>
        </w:tc>
        <w:tc>
          <w:tcPr>
            <w:tcW w:w="607" w:type="pct"/>
            <w:tcBorders>
              <w:top w:val="single" w:sz="4" w:space="0" w:color="auto"/>
              <w:left w:val="nil"/>
              <w:bottom w:val="single" w:sz="4" w:space="0" w:color="auto"/>
              <w:right w:val="single" w:sz="4" w:space="0" w:color="auto"/>
            </w:tcBorders>
            <w:shd w:val="clear" w:color="000000" w:fill="auto"/>
            <w:noWrap/>
            <w:hideMark/>
          </w:tcPr>
          <w:p w:rsidR="00B951B1" w:rsidRPr="00E61612" w:rsidRDefault="00B951B1" w:rsidP="00CB78E6">
            <w:pPr>
              <w:jc w:val="right"/>
              <w:rPr>
                <w:rFonts w:cs="Calibri"/>
                <w:color w:val="000000"/>
                <w:sz w:val="20"/>
                <w:szCs w:val="20"/>
              </w:rPr>
            </w:pPr>
            <w:r w:rsidRPr="00E61612">
              <w:rPr>
                <w:rFonts w:cs="Calibri"/>
                <w:color w:val="000000"/>
                <w:sz w:val="20"/>
                <w:szCs w:val="20"/>
              </w:rPr>
              <w:t>55,200</w:t>
            </w:r>
          </w:p>
        </w:tc>
        <w:tc>
          <w:tcPr>
            <w:tcW w:w="558" w:type="pct"/>
            <w:tcBorders>
              <w:top w:val="single" w:sz="4" w:space="0" w:color="auto"/>
              <w:left w:val="nil"/>
              <w:bottom w:val="single" w:sz="4" w:space="0" w:color="auto"/>
              <w:right w:val="single" w:sz="4" w:space="0" w:color="auto"/>
            </w:tcBorders>
            <w:shd w:val="clear" w:color="000000" w:fill="auto"/>
            <w:noWrap/>
            <w:hideMark/>
          </w:tcPr>
          <w:p w:rsidR="00B951B1" w:rsidRPr="00E61612" w:rsidRDefault="00B951B1" w:rsidP="00CB78E6">
            <w:pPr>
              <w:jc w:val="right"/>
              <w:rPr>
                <w:rFonts w:cs="Calibri"/>
                <w:color w:val="000000"/>
                <w:sz w:val="20"/>
                <w:szCs w:val="20"/>
              </w:rPr>
            </w:pPr>
            <w:r w:rsidRPr="00E61612">
              <w:rPr>
                <w:rFonts w:cs="Calibri"/>
                <w:color w:val="000000"/>
                <w:sz w:val="20"/>
                <w:szCs w:val="20"/>
              </w:rPr>
              <w:t>-</w:t>
            </w:r>
          </w:p>
        </w:tc>
        <w:tc>
          <w:tcPr>
            <w:tcW w:w="772" w:type="pct"/>
            <w:tcBorders>
              <w:top w:val="single" w:sz="4" w:space="0" w:color="auto"/>
              <w:left w:val="nil"/>
              <w:bottom w:val="single" w:sz="4" w:space="0" w:color="auto"/>
              <w:right w:val="single" w:sz="8" w:space="0" w:color="auto"/>
            </w:tcBorders>
            <w:shd w:val="clear" w:color="000000" w:fill="auto"/>
            <w:noWrap/>
            <w:hideMark/>
          </w:tcPr>
          <w:p w:rsidR="00B951B1" w:rsidRPr="00E61612" w:rsidRDefault="00B951B1" w:rsidP="00CB78E6">
            <w:pPr>
              <w:jc w:val="right"/>
              <w:rPr>
                <w:rFonts w:cs="Calibri"/>
                <w:color w:val="000000"/>
                <w:sz w:val="20"/>
                <w:szCs w:val="20"/>
              </w:rPr>
            </w:pPr>
            <w:r w:rsidRPr="00E61612">
              <w:rPr>
                <w:rFonts w:cs="Calibri"/>
                <w:color w:val="000000"/>
                <w:sz w:val="20"/>
                <w:szCs w:val="20"/>
              </w:rPr>
              <w:t xml:space="preserve">                       -   </w:t>
            </w:r>
          </w:p>
        </w:tc>
      </w:tr>
      <w:tr w:rsidR="00B951B1" w:rsidRPr="00E61612" w:rsidTr="00CB78E6">
        <w:trPr>
          <w:trHeight w:val="735"/>
        </w:trPr>
        <w:tc>
          <w:tcPr>
            <w:tcW w:w="397" w:type="pct"/>
            <w:tcBorders>
              <w:top w:val="single" w:sz="4" w:space="0" w:color="auto"/>
              <w:left w:val="single" w:sz="8" w:space="0" w:color="auto"/>
              <w:bottom w:val="single" w:sz="4" w:space="0" w:color="auto"/>
              <w:right w:val="single" w:sz="4" w:space="0" w:color="auto"/>
            </w:tcBorders>
            <w:shd w:val="clear" w:color="000000" w:fill="auto"/>
            <w:hideMark/>
          </w:tcPr>
          <w:p w:rsidR="00B951B1" w:rsidRPr="00E61612" w:rsidRDefault="00B951B1" w:rsidP="00CB78E6">
            <w:pPr>
              <w:jc w:val="center"/>
              <w:rPr>
                <w:rFonts w:cs="Calibri"/>
                <w:b/>
                <w:bCs/>
                <w:color w:val="000000"/>
                <w:sz w:val="20"/>
                <w:szCs w:val="20"/>
              </w:rPr>
            </w:pPr>
            <w:r w:rsidRPr="00E61612">
              <w:rPr>
                <w:rFonts w:cs="Calibri"/>
                <w:b/>
                <w:bCs/>
                <w:color w:val="000000"/>
                <w:sz w:val="20"/>
                <w:szCs w:val="20"/>
              </w:rPr>
              <w:t>B2.2</w:t>
            </w:r>
          </w:p>
        </w:tc>
        <w:tc>
          <w:tcPr>
            <w:tcW w:w="1856" w:type="pct"/>
            <w:tcBorders>
              <w:top w:val="single" w:sz="4" w:space="0" w:color="auto"/>
              <w:left w:val="nil"/>
              <w:bottom w:val="single" w:sz="4" w:space="0" w:color="auto"/>
              <w:right w:val="single" w:sz="4" w:space="0" w:color="auto"/>
            </w:tcBorders>
            <w:shd w:val="clear" w:color="000000" w:fill="auto"/>
            <w:hideMark/>
          </w:tcPr>
          <w:p w:rsidR="00B951B1" w:rsidRPr="00E61612" w:rsidRDefault="00B951B1" w:rsidP="00CB78E6">
            <w:pPr>
              <w:rPr>
                <w:rFonts w:cs="Calibri"/>
                <w:sz w:val="20"/>
                <w:szCs w:val="20"/>
              </w:rPr>
            </w:pPr>
            <w:r w:rsidRPr="00E61612">
              <w:rPr>
                <w:rFonts w:cs="Calibri"/>
                <w:sz w:val="20"/>
                <w:szCs w:val="20"/>
              </w:rPr>
              <w:t>Krijimi i Sistemit për Menaxhimin e Informacionit në Arsimin e Lartë (SMIAL)</w:t>
            </w:r>
          </w:p>
        </w:tc>
        <w:tc>
          <w:tcPr>
            <w:tcW w:w="810" w:type="pct"/>
            <w:tcBorders>
              <w:top w:val="single" w:sz="4" w:space="0" w:color="auto"/>
              <w:left w:val="nil"/>
              <w:bottom w:val="single" w:sz="4" w:space="0" w:color="auto"/>
              <w:right w:val="single" w:sz="4" w:space="0" w:color="auto"/>
            </w:tcBorders>
            <w:shd w:val="clear" w:color="000000" w:fill="auto"/>
            <w:noWrap/>
            <w:hideMark/>
          </w:tcPr>
          <w:p w:rsidR="00B951B1" w:rsidRPr="00E61612" w:rsidRDefault="00B951B1" w:rsidP="00CB78E6">
            <w:pPr>
              <w:jc w:val="right"/>
              <w:rPr>
                <w:rFonts w:cs="Calibri"/>
                <w:color w:val="000000"/>
                <w:sz w:val="20"/>
                <w:szCs w:val="20"/>
              </w:rPr>
            </w:pPr>
            <w:r w:rsidRPr="00E61612">
              <w:rPr>
                <w:rFonts w:cs="Calibri"/>
                <w:color w:val="000000"/>
                <w:sz w:val="20"/>
                <w:szCs w:val="20"/>
              </w:rPr>
              <w:t>45,000</w:t>
            </w:r>
          </w:p>
        </w:tc>
        <w:tc>
          <w:tcPr>
            <w:tcW w:w="607" w:type="pct"/>
            <w:tcBorders>
              <w:top w:val="single" w:sz="4" w:space="0" w:color="auto"/>
              <w:left w:val="nil"/>
              <w:bottom w:val="single" w:sz="4" w:space="0" w:color="auto"/>
              <w:right w:val="single" w:sz="4" w:space="0" w:color="auto"/>
            </w:tcBorders>
            <w:shd w:val="clear" w:color="000000" w:fill="auto"/>
            <w:noWrap/>
            <w:hideMark/>
          </w:tcPr>
          <w:p w:rsidR="00B951B1" w:rsidRPr="00E61612" w:rsidRDefault="00B951B1" w:rsidP="00CB78E6">
            <w:pPr>
              <w:jc w:val="right"/>
              <w:rPr>
                <w:rFonts w:cs="Calibri"/>
                <w:color w:val="000000"/>
                <w:sz w:val="20"/>
                <w:szCs w:val="20"/>
              </w:rPr>
            </w:pPr>
            <w:r w:rsidRPr="00E61612">
              <w:rPr>
                <w:rFonts w:cs="Calibri"/>
                <w:color w:val="000000"/>
                <w:sz w:val="20"/>
                <w:szCs w:val="20"/>
              </w:rPr>
              <w:t>-</w:t>
            </w:r>
          </w:p>
        </w:tc>
        <w:tc>
          <w:tcPr>
            <w:tcW w:w="558" w:type="pct"/>
            <w:tcBorders>
              <w:top w:val="single" w:sz="4" w:space="0" w:color="auto"/>
              <w:left w:val="nil"/>
              <w:bottom w:val="single" w:sz="4" w:space="0" w:color="auto"/>
              <w:right w:val="single" w:sz="4" w:space="0" w:color="auto"/>
            </w:tcBorders>
            <w:shd w:val="clear" w:color="000000" w:fill="auto"/>
            <w:noWrap/>
            <w:hideMark/>
          </w:tcPr>
          <w:p w:rsidR="00B951B1" w:rsidRPr="00E61612" w:rsidRDefault="00B951B1" w:rsidP="00CB78E6">
            <w:pPr>
              <w:jc w:val="right"/>
              <w:rPr>
                <w:rFonts w:cs="Calibri"/>
                <w:color w:val="000000"/>
                <w:sz w:val="20"/>
                <w:szCs w:val="20"/>
              </w:rPr>
            </w:pPr>
            <w:r w:rsidRPr="00E61612">
              <w:rPr>
                <w:rFonts w:cs="Calibri"/>
                <w:color w:val="000000"/>
                <w:sz w:val="20"/>
                <w:szCs w:val="20"/>
              </w:rPr>
              <w:t>-</w:t>
            </w:r>
          </w:p>
        </w:tc>
        <w:tc>
          <w:tcPr>
            <w:tcW w:w="772" w:type="pct"/>
            <w:tcBorders>
              <w:top w:val="single" w:sz="4" w:space="0" w:color="auto"/>
              <w:left w:val="nil"/>
              <w:bottom w:val="single" w:sz="4" w:space="0" w:color="auto"/>
              <w:right w:val="single" w:sz="8" w:space="0" w:color="auto"/>
            </w:tcBorders>
            <w:shd w:val="clear" w:color="000000" w:fill="auto"/>
            <w:noWrap/>
            <w:hideMark/>
          </w:tcPr>
          <w:p w:rsidR="00B951B1" w:rsidRPr="00E61612" w:rsidRDefault="00B951B1" w:rsidP="00CB78E6">
            <w:pPr>
              <w:jc w:val="right"/>
              <w:rPr>
                <w:rFonts w:cs="Calibri"/>
                <w:color w:val="000000"/>
                <w:sz w:val="20"/>
                <w:szCs w:val="20"/>
              </w:rPr>
            </w:pPr>
            <w:r w:rsidRPr="00E61612">
              <w:rPr>
                <w:rFonts w:cs="Calibri"/>
                <w:color w:val="000000"/>
                <w:sz w:val="20"/>
                <w:szCs w:val="20"/>
              </w:rPr>
              <w:t xml:space="preserve">            (45,000)</w:t>
            </w:r>
          </w:p>
        </w:tc>
      </w:tr>
      <w:tr w:rsidR="00B951B1" w:rsidRPr="00E61612" w:rsidTr="00CB78E6">
        <w:trPr>
          <w:trHeight w:val="735"/>
        </w:trPr>
        <w:tc>
          <w:tcPr>
            <w:tcW w:w="397" w:type="pct"/>
            <w:tcBorders>
              <w:top w:val="single" w:sz="4" w:space="0" w:color="auto"/>
              <w:left w:val="single" w:sz="8" w:space="0" w:color="auto"/>
              <w:bottom w:val="single" w:sz="4" w:space="0" w:color="auto"/>
              <w:right w:val="single" w:sz="4" w:space="0" w:color="auto"/>
            </w:tcBorders>
            <w:shd w:val="clear" w:color="000000" w:fill="auto"/>
            <w:hideMark/>
          </w:tcPr>
          <w:p w:rsidR="00B951B1" w:rsidRPr="00E61612" w:rsidRDefault="00B951B1" w:rsidP="00CB78E6">
            <w:pPr>
              <w:jc w:val="center"/>
              <w:rPr>
                <w:rFonts w:cs="Calibri"/>
                <w:b/>
                <w:bCs/>
                <w:color w:val="000000"/>
                <w:sz w:val="20"/>
                <w:szCs w:val="20"/>
              </w:rPr>
            </w:pPr>
            <w:r w:rsidRPr="00E61612">
              <w:rPr>
                <w:rFonts w:cs="Calibri"/>
                <w:b/>
                <w:bCs/>
                <w:color w:val="000000"/>
                <w:sz w:val="20"/>
                <w:szCs w:val="20"/>
              </w:rPr>
              <w:t>B2.3</w:t>
            </w:r>
          </w:p>
        </w:tc>
        <w:tc>
          <w:tcPr>
            <w:tcW w:w="1856" w:type="pct"/>
            <w:tcBorders>
              <w:top w:val="single" w:sz="4" w:space="0" w:color="auto"/>
              <w:left w:val="nil"/>
              <w:bottom w:val="single" w:sz="4" w:space="0" w:color="auto"/>
              <w:right w:val="single" w:sz="4" w:space="0" w:color="auto"/>
            </w:tcBorders>
            <w:shd w:val="clear" w:color="000000" w:fill="auto"/>
            <w:hideMark/>
          </w:tcPr>
          <w:p w:rsidR="00B951B1" w:rsidRPr="00E61612" w:rsidRDefault="00B951B1" w:rsidP="00CB78E6">
            <w:pPr>
              <w:rPr>
                <w:rFonts w:cs="Calibri"/>
                <w:sz w:val="20"/>
                <w:szCs w:val="20"/>
              </w:rPr>
            </w:pPr>
            <w:r w:rsidRPr="00E61612">
              <w:rPr>
                <w:rFonts w:cs="Calibri"/>
                <w:sz w:val="20"/>
                <w:szCs w:val="20"/>
              </w:rPr>
              <w:t>Përcaktimi i treguesve kombëtarë të arsimit</w:t>
            </w:r>
          </w:p>
        </w:tc>
        <w:tc>
          <w:tcPr>
            <w:tcW w:w="810" w:type="pct"/>
            <w:tcBorders>
              <w:top w:val="single" w:sz="4" w:space="0" w:color="auto"/>
              <w:left w:val="nil"/>
              <w:bottom w:val="single" w:sz="4" w:space="0" w:color="auto"/>
              <w:right w:val="single" w:sz="4" w:space="0" w:color="auto"/>
            </w:tcBorders>
            <w:shd w:val="clear" w:color="000000" w:fill="auto"/>
            <w:noWrap/>
            <w:hideMark/>
          </w:tcPr>
          <w:p w:rsidR="00B951B1" w:rsidRPr="00E61612" w:rsidRDefault="00B951B1" w:rsidP="00CB78E6">
            <w:pPr>
              <w:jc w:val="right"/>
              <w:rPr>
                <w:rFonts w:cs="Calibri"/>
                <w:color w:val="000000"/>
                <w:sz w:val="20"/>
                <w:szCs w:val="20"/>
              </w:rPr>
            </w:pPr>
            <w:r w:rsidRPr="00E61612">
              <w:rPr>
                <w:rFonts w:cs="Calibri"/>
                <w:color w:val="000000"/>
                <w:sz w:val="20"/>
                <w:szCs w:val="20"/>
              </w:rPr>
              <w:t>5,760</w:t>
            </w:r>
          </w:p>
        </w:tc>
        <w:tc>
          <w:tcPr>
            <w:tcW w:w="607" w:type="pct"/>
            <w:tcBorders>
              <w:top w:val="single" w:sz="4" w:space="0" w:color="auto"/>
              <w:left w:val="nil"/>
              <w:bottom w:val="single" w:sz="4" w:space="0" w:color="auto"/>
              <w:right w:val="single" w:sz="4" w:space="0" w:color="auto"/>
            </w:tcBorders>
            <w:shd w:val="clear" w:color="000000" w:fill="auto"/>
            <w:noWrap/>
            <w:hideMark/>
          </w:tcPr>
          <w:p w:rsidR="00B951B1" w:rsidRPr="00E61612" w:rsidRDefault="00B951B1" w:rsidP="00CB78E6">
            <w:pPr>
              <w:jc w:val="right"/>
              <w:rPr>
                <w:rFonts w:cs="Calibri"/>
                <w:color w:val="000000"/>
                <w:sz w:val="20"/>
                <w:szCs w:val="20"/>
              </w:rPr>
            </w:pPr>
            <w:r w:rsidRPr="00E61612">
              <w:rPr>
                <w:rFonts w:cs="Calibri"/>
                <w:color w:val="000000"/>
                <w:sz w:val="20"/>
                <w:szCs w:val="20"/>
              </w:rPr>
              <w:t>-</w:t>
            </w:r>
          </w:p>
        </w:tc>
        <w:tc>
          <w:tcPr>
            <w:tcW w:w="558" w:type="pct"/>
            <w:tcBorders>
              <w:top w:val="single" w:sz="4" w:space="0" w:color="auto"/>
              <w:left w:val="nil"/>
              <w:bottom w:val="single" w:sz="4" w:space="0" w:color="auto"/>
              <w:right w:val="single" w:sz="4" w:space="0" w:color="auto"/>
            </w:tcBorders>
            <w:shd w:val="clear" w:color="000000" w:fill="auto"/>
            <w:noWrap/>
            <w:hideMark/>
          </w:tcPr>
          <w:p w:rsidR="00B951B1" w:rsidRPr="00E61612" w:rsidRDefault="00B951B1" w:rsidP="00CB78E6">
            <w:pPr>
              <w:jc w:val="right"/>
              <w:rPr>
                <w:rFonts w:cs="Calibri"/>
                <w:color w:val="000000"/>
                <w:sz w:val="20"/>
                <w:szCs w:val="20"/>
              </w:rPr>
            </w:pPr>
            <w:r w:rsidRPr="00E61612">
              <w:rPr>
                <w:rFonts w:cs="Calibri"/>
                <w:color w:val="000000"/>
                <w:sz w:val="20"/>
                <w:szCs w:val="20"/>
              </w:rPr>
              <w:t>5,760</w:t>
            </w:r>
          </w:p>
        </w:tc>
        <w:tc>
          <w:tcPr>
            <w:tcW w:w="772" w:type="pct"/>
            <w:tcBorders>
              <w:top w:val="single" w:sz="4" w:space="0" w:color="auto"/>
              <w:left w:val="nil"/>
              <w:bottom w:val="single" w:sz="4" w:space="0" w:color="auto"/>
              <w:right w:val="single" w:sz="8" w:space="0" w:color="auto"/>
            </w:tcBorders>
            <w:shd w:val="clear" w:color="000000" w:fill="auto"/>
            <w:noWrap/>
            <w:hideMark/>
          </w:tcPr>
          <w:p w:rsidR="00B951B1" w:rsidRPr="00E61612" w:rsidRDefault="00B951B1" w:rsidP="00CB78E6">
            <w:pPr>
              <w:jc w:val="right"/>
              <w:rPr>
                <w:rFonts w:cs="Calibri"/>
                <w:color w:val="000000"/>
                <w:sz w:val="20"/>
                <w:szCs w:val="20"/>
              </w:rPr>
            </w:pPr>
            <w:r w:rsidRPr="00E61612">
              <w:rPr>
                <w:rFonts w:cs="Calibri"/>
                <w:color w:val="000000"/>
                <w:sz w:val="20"/>
                <w:szCs w:val="20"/>
              </w:rPr>
              <w:t xml:space="preserve">                       -   </w:t>
            </w:r>
          </w:p>
        </w:tc>
      </w:tr>
      <w:tr w:rsidR="00B951B1" w:rsidRPr="00E61612" w:rsidTr="00CB78E6">
        <w:trPr>
          <w:trHeight w:val="735"/>
        </w:trPr>
        <w:tc>
          <w:tcPr>
            <w:tcW w:w="397" w:type="pct"/>
            <w:tcBorders>
              <w:top w:val="single" w:sz="4" w:space="0" w:color="auto"/>
              <w:left w:val="single" w:sz="8" w:space="0" w:color="auto"/>
              <w:bottom w:val="single" w:sz="4" w:space="0" w:color="auto"/>
              <w:right w:val="single" w:sz="4" w:space="0" w:color="auto"/>
            </w:tcBorders>
            <w:shd w:val="clear" w:color="000000" w:fill="auto"/>
            <w:hideMark/>
          </w:tcPr>
          <w:p w:rsidR="00B951B1" w:rsidRPr="00E61612" w:rsidRDefault="00B951B1" w:rsidP="00CB78E6">
            <w:pPr>
              <w:jc w:val="center"/>
              <w:rPr>
                <w:rFonts w:cs="Calibri"/>
                <w:b/>
                <w:bCs/>
                <w:color w:val="000000"/>
                <w:sz w:val="20"/>
                <w:szCs w:val="20"/>
              </w:rPr>
            </w:pPr>
            <w:r w:rsidRPr="00E61612">
              <w:rPr>
                <w:rFonts w:cs="Calibri"/>
                <w:b/>
                <w:bCs/>
                <w:color w:val="000000"/>
                <w:sz w:val="20"/>
                <w:szCs w:val="20"/>
              </w:rPr>
              <w:t>B2.4</w:t>
            </w:r>
          </w:p>
        </w:tc>
        <w:tc>
          <w:tcPr>
            <w:tcW w:w="1856" w:type="pct"/>
            <w:tcBorders>
              <w:top w:val="single" w:sz="4" w:space="0" w:color="auto"/>
              <w:left w:val="nil"/>
              <w:bottom w:val="single" w:sz="4" w:space="0" w:color="auto"/>
              <w:right w:val="single" w:sz="4" w:space="0" w:color="auto"/>
            </w:tcBorders>
            <w:shd w:val="clear" w:color="000000" w:fill="auto"/>
            <w:hideMark/>
          </w:tcPr>
          <w:p w:rsidR="00B951B1" w:rsidRPr="00E61612" w:rsidRDefault="00B951B1" w:rsidP="00CB78E6">
            <w:pPr>
              <w:rPr>
                <w:rFonts w:cs="Calibri"/>
                <w:sz w:val="20"/>
                <w:szCs w:val="20"/>
              </w:rPr>
            </w:pPr>
            <w:r w:rsidRPr="00E61612">
              <w:rPr>
                <w:rFonts w:cs="Calibri"/>
                <w:sz w:val="20"/>
                <w:szCs w:val="20"/>
              </w:rPr>
              <w:t>Ndërtimi i kapaciteteve për vlerësimin e performancës së sistemit</w:t>
            </w:r>
          </w:p>
        </w:tc>
        <w:tc>
          <w:tcPr>
            <w:tcW w:w="810" w:type="pct"/>
            <w:tcBorders>
              <w:top w:val="single" w:sz="4" w:space="0" w:color="auto"/>
              <w:left w:val="nil"/>
              <w:bottom w:val="single" w:sz="4" w:space="0" w:color="auto"/>
              <w:right w:val="single" w:sz="4" w:space="0" w:color="auto"/>
            </w:tcBorders>
            <w:shd w:val="clear" w:color="000000" w:fill="auto"/>
            <w:noWrap/>
            <w:hideMark/>
          </w:tcPr>
          <w:p w:rsidR="00B951B1" w:rsidRPr="00E61612" w:rsidRDefault="00B951B1" w:rsidP="00CB78E6">
            <w:pPr>
              <w:jc w:val="right"/>
              <w:rPr>
                <w:rFonts w:cs="Calibri"/>
                <w:color w:val="000000"/>
                <w:sz w:val="20"/>
                <w:szCs w:val="20"/>
              </w:rPr>
            </w:pPr>
            <w:r w:rsidRPr="00E61612">
              <w:rPr>
                <w:rFonts w:cs="Calibri"/>
                <w:color w:val="000000"/>
                <w:sz w:val="20"/>
                <w:szCs w:val="20"/>
              </w:rPr>
              <w:t>7,820</w:t>
            </w:r>
          </w:p>
        </w:tc>
        <w:tc>
          <w:tcPr>
            <w:tcW w:w="607" w:type="pct"/>
            <w:tcBorders>
              <w:top w:val="single" w:sz="4" w:space="0" w:color="auto"/>
              <w:left w:val="nil"/>
              <w:bottom w:val="single" w:sz="4" w:space="0" w:color="auto"/>
              <w:right w:val="single" w:sz="4" w:space="0" w:color="auto"/>
            </w:tcBorders>
            <w:shd w:val="clear" w:color="000000" w:fill="auto"/>
            <w:noWrap/>
            <w:hideMark/>
          </w:tcPr>
          <w:p w:rsidR="00B951B1" w:rsidRPr="00E61612" w:rsidRDefault="00B951B1" w:rsidP="00CB78E6">
            <w:pPr>
              <w:jc w:val="right"/>
              <w:rPr>
                <w:rFonts w:cs="Calibri"/>
                <w:color w:val="000000"/>
                <w:sz w:val="20"/>
                <w:szCs w:val="20"/>
              </w:rPr>
            </w:pPr>
            <w:r w:rsidRPr="00E61612">
              <w:rPr>
                <w:rFonts w:cs="Calibri"/>
                <w:color w:val="000000"/>
                <w:sz w:val="20"/>
                <w:szCs w:val="20"/>
              </w:rPr>
              <w:t>-</w:t>
            </w:r>
          </w:p>
        </w:tc>
        <w:tc>
          <w:tcPr>
            <w:tcW w:w="558" w:type="pct"/>
            <w:tcBorders>
              <w:top w:val="single" w:sz="4" w:space="0" w:color="auto"/>
              <w:left w:val="nil"/>
              <w:bottom w:val="single" w:sz="4" w:space="0" w:color="auto"/>
              <w:right w:val="single" w:sz="4" w:space="0" w:color="auto"/>
            </w:tcBorders>
            <w:shd w:val="clear" w:color="000000" w:fill="auto"/>
            <w:noWrap/>
            <w:hideMark/>
          </w:tcPr>
          <w:p w:rsidR="00B951B1" w:rsidRPr="00E61612" w:rsidRDefault="00B951B1" w:rsidP="00CB78E6">
            <w:pPr>
              <w:jc w:val="right"/>
              <w:rPr>
                <w:rFonts w:cs="Calibri"/>
                <w:color w:val="000000"/>
                <w:sz w:val="20"/>
                <w:szCs w:val="20"/>
              </w:rPr>
            </w:pPr>
            <w:r w:rsidRPr="00E61612">
              <w:rPr>
                <w:rFonts w:cs="Calibri"/>
                <w:color w:val="000000"/>
                <w:sz w:val="20"/>
                <w:szCs w:val="20"/>
              </w:rPr>
              <w:t>2,880</w:t>
            </w:r>
          </w:p>
        </w:tc>
        <w:tc>
          <w:tcPr>
            <w:tcW w:w="772" w:type="pct"/>
            <w:tcBorders>
              <w:top w:val="single" w:sz="4" w:space="0" w:color="auto"/>
              <w:left w:val="nil"/>
              <w:bottom w:val="single" w:sz="4" w:space="0" w:color="auto"/>
              <w:right w:val="single" w:sz="8" w:space="0" w:color="auto"/>
            </w:tcBorders>
            <w:shd w:val="clear" w:color="000000" w:fill="auto"/>
            <w:noWrap/>
            <w:hideMark/>
          </w:tcPr>
          <w:p w:rsidR="00B951B1" w:rsidRPr="00E61612" w:rsidRDefault="00B951B1" w:rsidP="00CB78E6">
            <w:pPr>
              <w:jc w:val="right"/>
              <w:rPr>
                <w:rFonts w:cs="Calibri"/>
                <w:color w:val="000000"/>
                <w:sz w:val="20"/>
                <w:szCs w:val="20"/>
              </w:rPr>
            </w:pPr>
            <w:r w:rsidRPr="00E61612">
              <w:rPr>
                <w:rFonts w:cs="Calibri"/>
                <w:color w:val="000000"/>
                <w:sz w:val="20"/>
                <w:szCs w:val="20"/>
              </w:rPr>
              <w:t xml:space="preserve">              (4,940)</w:t>
            </w:r>
          </w:p>
        </w:tc>
      </w:tr>
      <w:tr w:rsidR="00B951B1" w:rsidRPr="00E61612" w:rsidTr="00CB78E6">
        <w:trPr>
          <w:trHeight w:val="265"/>
        </w:trPr>
        <w:tc>
          <w:tcPr>
            <w:tcW w:w="2253" w:type="pct"/>
            <w:gridSpan w:val="2"/>
            <w:tcBorders>
              <w:top w:val="single" w:sz="4" w:space="0" w:color="auto"/>
              <w:left w:val="single" w:sz="4" w:space="0" w:color="auto"/>
              <w:bottom w:val="single" w:sz="4" w:space="0" w:color="auto"/>
              <w:right w:val="single" w:sz="4" w:space="0" w:color="auto"/>
            </w:tcBorders>
            <w:shd w:val="clear" w:color="000000" w:fill="FFFFFF"/>
            <w:hideMark/>
          </w:tcPr>
          <w:p w:rsidR="00B951B1" w:rsidRPr="00E61612" w:rsidRDefault="00B951B1" w:rsidP="00CB78E6">
            <w:pPr>
              <w:jc w:val="right"/>
              <w:rPr>
                <w:rFonts w:cs="Calibri"/>
                <w:b/>
                <w:bCs/>
                <w:color w:val="000000"/>
                <w:sz w:val="20"/>
                <w:szCs w:val="20"/>
              </w:rPr>
            </w:pPr>
            <w:r w:rsidRPr="00E61612">
              <w:rPr>
                <w:rFonts w:cs="Calibri"/>
                <w:b/>
                <w:bCs/>
                <w:color w:val="000000"/>
                <w:sz w:val="20"/>
                <w:szCs w:val="20"/>
              </w:rPr>
              <w:t>TOTALI Qëllimi i politikës B</w:t>
            </w:r>
          </w:p>
        </w:tc>
        <w:tc>
          <w:tcPr>
            <w:tcW w:w="810" w:type="pct"/>
            <w:tcBorders>
              <w:top w:val="single" w:sz="4" w:space="0" w:color="auto"/>
              <w:left w:val="single" w:sz="4" w:space="0" w:color="auto"/>
              <w:bottom w:val="single" w:sz="4" w:space="0" w:color="auto"/>
              <w:right w:val="single" w:sz="4" w:space="0" w:color="auto"/>
            </w:tcBorders>
            <w:shd w:val="clear" w:color="000000" w:fill="FFFFFF"/>
            <w:noWrap/>
            <w:hideMark/>
          </w:tcPr>
          <w:p w:rsidR="00B951B1" w:rsidRPr="00E61612" w:rsidRDefault="00B951B1" w:rsidP="00CB78E6">
            <w:pPr>
              <w:jc w:val="right"/>
              <w:rPr>
                <w:rFonts w:cs="Calibri"/>
                <w:b/>
                <w:bCs/>
                <w:sz w:val="20"/>
                <w:szCs w:val="20"/>
              </w:rPr>
            </w:pPr>
            <w:r w:rsidRPr="00E61612">
              <w:rPr>
                <w:rFonts w:cs="Calibri"/>
                <w:b/>
                <w:bCs/>
                <w:sz w:val="20"/>
                <w:szCs w:val="20"/>
              </w:rPr>
              <w:t xml:space="preserve">              135,036 </w:t>
            </w:r>
          </w:p>
        </w:tc>
        <w:tc>
          <w:tcPr>
            <w:tcW w:w="607" w:type="pct"/>
            <w:tcBorders>
              <w:top w:val="single" w:sz="4" w:space="0" w:color="auto"/>
              <w:left w:val="single" w:sz="4" w:space="0" w:color="auto"/>
              <w:bottom w:val="single" w:sz="4" w:space="0" w:color="auto"/>
              <w:right w:val="single" w:sz="4" w:space="0" w:color="auto"/>
            </w:tcBorders>
            <w:shd w:val="clear" w:color="000000" w:fill="FFFFFF"/>
            <w:noWrap/>
            <w:hideMark/>
          </w:tcPr>
          <w:p w:rsidR="00B951B1" w:rsidRPr="00E61612" w:rsidRDefault="00B951B1" w:rsidP="00CB78E6">
            <w:pPr>
              <w:jc w:val="right"/>
              <w:rPr>
                <w:rFonts w:cs="Calibri"/>
                <w:b/>
                <w:color w:val="000000"/>
                <w:sz w:val="20"/>
                <w:szCs w:val="20"/>
              </w:rPr>
            </w:pPr>
            <w:r w:rsidRPr="00E61612">
              <w:rPr>
                <w:rFonts w:cs="Calibri"/>
                <w:b/>
                <w:color w:val="000000"/>
                <w:sz w:val="20"/>
                <w:szCs w:val="20"/>
              </w:rPr>
              <w:t>55,200</w:t>
            </w:r>
          </w:p>
        </w:tc>
        <w:tc>
          <w:tcPr>
            <w:tcW w:w="558" w:type="pct"/>
            <w:tcBorders>
              <w:top w:val="single" w:sz="4" w:space="0" w:color="auto"/>
              <w:left w:val="single" w:sz="4" w:space="0" w:color="auto"/>
              <w:bottom w:val="single" w:sz="4" w:space="0" w:color="auto"/>
              <w:right w:val="single" w:sz="4" w:space="0" w:color="auto"/>
            </w:tcBorders>
            <w:shd w:val="clear" w:color="000000" w:fill="FFFFFF"/>
            <w:noWrap/>
            <w:hideMark/>
          </w:tcPr>
          <w:p w:rsidR="00B951B1" w:rsidRPr="00E61612" w:rsidRDefault="00B951B1" w:rsidP="00CB78E6">
            <w:pPr>
              <w:jc w:val="right"/>
              <w:rPr>
                <w:rFonts w:cs="Calibri"/>
                <w:b/>
                <w:color w:val="000000"/>
                <w:sz w:val="20"/>
                <w:szCs w:val="20"/>
              </w:rPr>
            </w:pPr>
            <w:r w:rsidRPr="00E61612">
              <w:rPr>
                <w:rFonts w:cs="Calibri"/>
                <w:b/>
                <w:color w:val="000000"/>
                <w:sz w:val="20"/>
                <w:szCs w:val="20"/>
              </w:rPr>
              <w:t>18,672</w:t>
            </w:r>
          </w:p>
        </w:tc>
        <w:tc>
          <w:tcPr>
            <w:tcW w:w="772" w:type="pct"/>
            <w:tcBorders>
              <w:top w:val="single" w:sz="4" w:space="0" w:color="auto"/>
              <w:left w:val="single" w:sz="4" w:space="0" w:color="auto"/>
              <w:bottom w:val="single" w:sz="4" w:space="0" w:color="auto"/>
              <w:right w:val="single" w:sz="4" w:space="0" w:color="auto"/>
            </w:tcBorders>
            <w:shd w:val="clear" w:color="000000" w:fill="FFFFFF"/>
            <w:noWrap/>
            <w:hideMark/>
          </w:tcPr>
          <w:p w:rsidR="00B951B1" w:rsidRPr="00E61612" w:rsidRDefault="00B951B1" w:rsidP="00CB78E6">
            <w:pPr>
              <w:jc w:val="right"/>
              <w:rPr>
                <w:rFonts w:cs="Calibri"/>
                <w:b/>
                <w:color w:val="000000"/>
                <w:sz w:val="20"/>
                <w:szCs w:val="20"/>
              </w:rPr>
            </w:pPr>
            <w:r w:rsidRPr="00E61612">
              <w:rPr>
                <w:rFonts w:cs="Calibri"/>
                <w:b/>
                <w:color w:val="000000"/>
                <w:sz w:val="20"/>
                <w:szCs w:val="20"/>
              </w:rPr>
              <w:t>(61,164)</w:t>
            </w:r>
          </w:p>
        </w:tc>
      </w:tr>
    </w:tbl>
    <w:p w:rsidR="00B951B1" w:rsidRPr="00E61612" w:rsidRDefault="00B951B1" w:rsidP="00B951B1">
      <w:pPr>
        <w:rPr>
          <w:rFonts w:cs="Calibri"/>
          <w:b/>
        </w:rPr>
      </w:pPr>
    </w:p>
    <w:p w:rsidR="00B951B1" w:rsidRPr="00E61612" w:rsidRDefault="00B951B1" w:rsidP="00B951B1">
      <w:pPr>
        <w:jc w:val="both"/>
        <w:rPr>
          <w:rFonts w:cs="Calibri"/>
        </w:rPr>
      </w:pPr>
      <w:r w:rsidRPr="00E61612">
        <w:rPr>
          <w:rFonts w:cs="Calibri"/>
          <w:b/>
        </w:rPr>
        <w:t xml:space="preserve">Qëllimi i politikës C: </w:t>
      </w:r>
      <w:r w:rsidRPr="00E61612">
        <w:rPr>
          <w:rFonts w:cs="Calibri"/>
        </w:rPr>
        <w:t xml:space="preserve">Arsim i lartë gjithëpërfshirës që </w:t>
      </w:r>
      <w:r>
        <w:rPr>
          <w:rFonts w:cs="Calibri"/>
        </w:rPr>
        <w:t>përmbush</w:t>
      </w:r>
      <w:r w:rsidRPr="00E61612">
        <w:rPr>
          <w:rFonts w:cs="Calibri"/>
        </w:rPr>
        <w:t xml:space="preserve"> standardet ndërkombëtare të cilësisë, integriteti</w:t>
      </w:r>
      <w:r>
        <w:rPr>
          <w:rFonts w:cs="Calibri"/>
        </w:rPr>
        <w:t>t</w:t>
      </w:r>
      <w:r w:rsidRPr="00E61612">
        <w:rPr>
          <w:rFonts w:cs="Calibri"/>
        </w:rPr>
        <w:t xml:space="preserve"> akademik e transparencës, dhe është </w:t>
      </w:r>
      <w:r>
        <w:rPr>
          <w:rFonts w:cs="Calibri"/>
        </w:rPr>
        <w:t>nxitës</w:t>
      </w:r>
      <w:r w:rsidRPr="00E61612">
        <w:rPr>
          <w:rFonts w:cs="Calibri"/>
        </w:rPr>
        <w:t xml:space="preserve"> i zhvillimit ekonomik dhe shoqëror të vendit</w:t>
      </w:r>
    </w:p>
    <w:tbl>
      <w:tblPr>
        <w:tblW w:w="9204" w:type="dxa"/>
        <w:tblLook w:val="04A0" w:firstRow="1" w:lastRow="0" w:firstColumn="1" w:lastColumn="0" w:noHBand="0" w:noVBand="1"/>
      </w:tblPr>
      <w:tblGrid>
        <w:gridCol w:w="980"/>
        <w:gridCol w:w="3263"/>
        <w:gridCol w:w="1417"/>
        <w:gridCol w:w="1134"/>
        <w:gridCol w:w="1134"/>
        <w:gridCol w:w="1276"/>
      </w:tblGrid>
      <w:tr w:rsidR="00B951B1" w:rsidRPr="00E61612" w:rsidTr="00CB78E6">
        <w:trPr>
          <w:trHeight w:val="381"/>
          <w:tblHeader/>
        </w:trPr>
        <w:tc>
          <w:tcPr>
            <w:tcW w:w="980" w:type="dxa"/>
            <w:vMerge w:val="restart"/>
            <w:tcBorders>
              <w:top w:val="single" w:sz="8" w:space="0" w:color="auto"/>
              <w:left w:val="single" w:sz="8" w:space="0" w:color="auto"/>
              <w:bottom w:val="single" w:sz="4" w:space="0" w:color="auto"/>
              <w:right w:val="single" w:sz="4" w:space="0" w:color="auto"/>
            </w:tcBorders>
            <w:shd w:val="clear" w:color="auto" w:fill="auto"/>
            <w:hideMark/>
          </w:tcPr>
          <w:p w:rsidR="00B951B1" w:rsidRPr="00E61612" w:rsidRDefault="00B951B1" w:rsidP="00CB78E6">
            <w:pPr>
              <w:spacing w:after="120"/>
              <w:jc w:val="center"/>
              <w:rPr>
                <w:rFonts w:cs="Calibri"/>
                <w:b/>
                <w:bCs/>
                <w:color w:val="000000"/>
                <w:sz w:val="20"/>
                <w:szCs w:val="20"/>
              </w:rPr>
            </w:pPr>
            <w:r w:rsidRPr="00E61612">
              <w:rPr>
                <w:rFonts w:cs="Calibri"/>
                <w:b/>
                <w:bCs/>
                <w:color w:val="000000"/>
                <w:sz w:val="20"/>
                <w:szCs w:val="20"/>
              </w:rPr>
              <w:lastRenderedPageBreak/>
              <w:t>Nr.</w:t>
            </w:r>
          </w:p>
        </w:tc>
        <w:tc>
          <w:tcPr>
            <w:tcW w:w="3263" w:type="dxa"/>
            <w:vMerge w:val="restart"/>
            <w:tcBorders>
              <w:top w:val="single" w:sz="8" w:space="0" w:color="auto"/>
              <w:left w:val="single" w:sz="4" w:space="0" w:color="auto"/>
              <w:bottom w:val="single" w:sz="4" w:space="0" w:color="auto"/>
              <w:right w:val="single" w:sz="4" w:space="0" w:color="auto"/>
            </w:tcBorders>
            <w:shd w:val="clear" w:color="auto" w:fill="auto"/>
            <w:hideMark/>
          </w:tcPr>
          <w:p w:rsidR="00B951B1" w:rsidRPr="00E61612" w:rsidRDefault="00B951B1" w:rsidP="00CB78E6">
            <w:pPr>
              <w:spacing w:after="120"/>
              <w:jc w:val="center"/>
              <w:rPr>
                <w:rFonts w:cs="Calibri"/>
                <w:b/>
                <w:bCs/>
                <w:color w:val="000000"/>
                <w:sz w:val="20"/>
                <w:szCs w:val="20"/>
              </w:rPr>
            </w:pPr>
            <w:r w:rsidRPr="00E61612">
              <w:rPr>
                <w:rFonts w:cs="Calibri"/>
                <w:b/>
                <w:bCs/>
                <w:color w:val="000000"/>
                <w:sz w:val="20"/>
                <w:szCs w:val="20"/>
              </w:rPr>
              <w:t>  Objektivi specifik, produkti</w:t>
            </w:r>
          </w:p>
        </w:tc>
        <w:tc>
          <w:tcPr>
            <w:tcW w:w="1417" w:type="dxa"/>
            <w:vMerge w:val="restart"/>
            <w:tcBorders>
              <w:top w:val="single" w:sz="8" w:space="0" w:color="auto"/>
              <w:left w:val="single" w:sz="4" w:space="0" w:color="auto"/>
              <w:bottom w:val="single" w:sz="4" w:space="0" w:color="000000"/>
              <w:right w:val="single" w:sz="4" w:space="0" w:color="auto"/>
            </w:tcBorders>
            <w:shd w:val="clear" w:color="auto" w:fill="auto"/>
            <w:hideMark/>
          </w:tcPr>
          <w:p w:rsidR="00B951B1" w:rsidRPr="00E61612" w:rsidRDefault="00B951B1" w:rsidP="00CB78E6">
            <w:pPr>
              <w:spacing w:after="120"/>
              <w:jc w:val="center"/>
              <w:rPr>
                <w:rFonts w:cs="Calibri"/>
                <w:b/>
                <w:bCs/>
                <w:color w:val="000000"/>
                <w:sz w:val="20"/>
                <w:szCs w:val="20"/>
              </w:rPr>
            </w:pPr>
            <w:r w:rsidRPr="00E61612">
              <w:rPr>
                <w:rFonts w:cs="Calibri"/>
                <w:b/>
                <w:bCs/>
                <w:color w:val="000000"/>
                <w:sz w:val="20"/>
                <w:szCs w:val="20"/>
              </w:rPr>
              <w:t>Kosto indikative</w:t>
            </w:r>
          </w:p>
        </w:tc>
        <w:tc>
          <w:tcPr>
            <w:tcW w:w="2268" w:type="dxa"/>
            <w:gridSpan w:val="2"/>
            <w:tcBorders>
              <w:top w:val="single" w:sz="8" w:space="0" w:color="auto"/>
              <w:left w:val="nil"/>
              <w:bottom w:val="single" w:sz="4" w:space="0" w:color="auto"/>
              <w:right w:val="single" w:sz="4" w:space="0" w:color="000000"/>
            </w:tcBorders>
            <w:shd w:val="clear" w:color="auto" w:fill="auto"/>
            <w:hideMark/>
          </w:tcPr>
          <w:p w:rsidR="00B951B1" w:rsidRPr="00E61612" w:rsidRDefault="00753C65" w:rsidP="00CB78E6">
            <w:pPr>
              <w:spacing w:after="120"/>
              <w:jc w:val="center"/>
              <w:rPr>
                <w:rFonts w:cs="Calibri"/>
                <w:b/>
                <w:bCs/>
                <w:color w:val="000000"/>
                <w:sz w:val="20"/>
                <w:szCs w:val="20"/>
              </w:rPr>
            </w:pPr>
            <w:r>
              <w:rPr>
                <w:rFonts w:cs="Calibri"/>
                <w:b/>
                <w:bCs/>
                <w:color w:val="000000"/>
                <w:sz w:val="20"/>
                <w:szCs w:val="20"/>
              </w:rPr>
              <w:t>Burimi i financimit</w:t>
            </w:r>
          </w:p>
        </w:tc>
        <w:tc>
          <w:tcPr>
            <w:tcW w:w="1276" w:type="dxa"/>
            <w:vMerge w:val="restart"/>
            <w:tcBorders>
              <w:top w:val="single" w:sz="8" w:space="0" w:color="auto"/>
              <w:left w:val="single" w:sz="4" w:space="0" w:color="auto"/>
              <w:bottom w:val="single" w:sz="4" w:space="0" w:color="auto"/>
              <w:right w:val="single" w:sz="8" w:space="0" w:color="auto"/>
            </w:tcBorders>
            <w:shd w:val="clear" w:color="auto" w:fill="auto"/>
            <w:hideMark/>
          </w:tcPr>
          <w:p w:rsidR="00B951B1" w:rsidRPr="00E61612" w:rsidRDefault="00B951B1" w:rsidP="00CB78E6">
            <w:pPr>
              <w:spacing w:after="120"/>
              <w:jc w:val="center"/>
              <w:rPr>
                <w:rFonts w:cs="Calibri"/>
                <w:b/>
                <w:bCs/>
                <w:color w:val="000000"/>
                <w:sz w:val="20"/>
                <w:szCs w:val="20"/>
              </w:rPr>
            </w:pPr>
            <w:r w:rsidRPr="00E61612">
              <w:rPr>
                <w:rFonts w:cs="Calibri"/>
                <w:b/>
                <w:bCs/>
                <w:color w:val="000000"/>
                <w:sz w:val="20"/>
                <w:szCs w:val="20"/>
              </w:rPr>
              <w:t>Hendeku financiar</w:t>
            </w:r>
          </w:p>
        </w:tc>
      </w:tr>
      <w:tr w:rsidR="00B951B1" w:rsidRPr="00E61612" w:rsidTr="00CB78E6">
        <w:trPr>
          <w:trHeight w:val="541"/>
          <w:tblHeader/>
        </w:trPr>
        <w:tc>
          <w:tcPr>
            <w:tcW w:w="980" w:type="dxa"/>
            <w:vMerge/>
            <w:tcBorders>
              <w:top w:val="single" w:sz="8" w:space="0" w:color="auto"/>
              <w:left w:val="single" w:sz="8" w:space="0" w:color="auto"/>
              <w:bottom w:val="single" w:sz="4" w:space="0" w:color="auto"/>
              <w:right w:val="single" w:sz="4" w:space="0" w:color="auto"/>
            </w:tcBorders>
            <w:hideMark/>
          </w:tcPr>
          <w:p w:rsidR="00B951B1" w:rsidRPr="00E61612" w:rsidRDefault="00B951B1" w:rsidP="00CB78E6">
            <w:pPr>
              <w:spacing w:after="120"/>
              <w:rPr>
                <w:rFonts w:cs="Calibri"/>
                <w:b/>
                <w:bCs/>
                <w:color w:val="000000"/>
                <w:sz w:val="20"/>
                <w:szCs w:val="20"/>
              </w:rPr>
            </w:pPr>
          </w:p>
        </w:tc>
        <w:tc>
          <w:tcPr>
            <w:tcW w:w="3263" w:type="dxa"/>
            <w:vMerge/>
            <w:tcBorders>
              <w:top w:val="single" w:sz="8" w:space="0" w:color="auto"/>
              <w:left w:val="single" w:sz="4" w:space="0" w:color="auto"/>
              <w:bottom w:val="single" w:sz="4" w:space="0" w:color="auto"/>
              <w:right w:val="single" w:sz="4" w:space="0" w:color="auto"/>
            </w:tcBorders>
            <w:hideMark/>
          </w:tcPr>
          <w:p w:rsidR="00B951B1" w:rsidRPr="00E61612" w:rsidRDefault="00B951B1" w:rsidP="00CB78E6">
            <w:pPr>
              <w:spacing w:after="120"/>
              <w:rPr>
                <w:rFonts w:cs="Calibri"/>
                <w:b/>
                <w:bCs/>
                <w:color w:val="000000"/>
                <w:sz w:val="20"/>
                <w:szCs w:val="20"/>
              </w:rPr>
            </w:pPr>
          </w:p>
        </w:tc>
        <w:tc>
          <w:tcPr>
            <w:tcW w:w="1417" w:type="dxa"/>
            <w:vMerge/>
            <w:tcBorders>
              <w:top w:val="single" w:sz="8" w:space="0" w:color="auto"/>
              <w:left w:val="single" w:sz="4" w:space="0" w:color="auto"/>
              <w:bottom w:val="single" w:sz="4" w:space="0" w:color="000000"/>
              <w:right w:val="single" w:sz="4" w:space="0" w:color="auto"/>
            </w:tcBorders>
            <w:hideMark/>
          </w:tcPr>
          <w:p w:rsidR="00B951B1" w:rsidRPr="00E61612" w:rsidRDefault="00B951B1" w:rsidP="00CB78E6">
            <w:pPr>
              <w:spacing w:after="120"/>
              <w:rPr>
                <w:rFonts w:cs="Calibri"/>
                <w:b/>
                <w:bCs/>
                <w:color w:val="000000"/>
                <w:sz w:val="20"/>
                <w:szCs w:val="20"/>
              </w:rPr>
            </w:pPr>
          </w:p>
        </w:tc>
        <w:tc>
          <w:tcPr>
            <w:tcW w:w="1134" w:type="dxa"/>
            <w:tcBorders>
              <w:top w:val="nil"/>
              <w:left w:val="nil"/>
              <w:bottom w:val="single" w:sz="4" w:space="0" w:color="auto"/>
              <w:right w:val="single" w:sz="4" w:space="0" w:color="auto"/>
            </w:tcBorders>
            <w:shd w:val="clear" w:color="auto" w:fill="auto"/>
            <w:hideMark/>
          </w:tcPr>
          <w:p w:rsidR="00B951B1" w:rsidRPr="00E61612" w:rsidRDefault="00B951B1" w:rsidP="00CB78E6">
            <w:pPr>
              <w:spacing w:after="120"/>
              <w:jc w:val="center"/>
              <w:rPr>
                <w:rFonts w:cs="Calibri"/>
                <w:b/>
                <w:bCs/>
                <w:color w:val="000000"/>
                <w:sz w:val="20"/>
                <w:szCs w:val="20"/>
              </w:rPr>
            </w:pPr>
            <w:r w:rsidRPr="00E61612">
              <w:rPr>
                <w:rFonts w:cs="Calibri"/>
                <w:b/>
                <w:bCs/>
                <w:color w:val="000000"/>
                <w:sz w:val="20"/>
                <w:szCs w:val="20"/>
              </w:rPr>
              <w:t>Buxheti i Shtetit</w:t>
            </w:r>
          </w:p>
        </w:tc>
        <w:tc>
          <w:tcPr>
            <w:tcW w:w="1134" w:type="dxa"/>
            <w:tcBorders>
              <w:top w:val="nil"/>
              <w:left w:val="nil"/>
              <w:bottom w:val="single" w:sz="4" w:space="0" w:color="auto"/>
              <w:right w:val="single" w:sz="4" w:space="0" w:color="auto"/>
            </w:tcBorders>
            <w:shd w:val="clear" w:color="auto" w:fill="auto"/>
            <w:hideMark/>
          </w:tcPr>
          <w:p w:rsidR="00B951B1" w:rsidRPr="00E61612" w:rsidRDefault="00B951B1" w:rsidP="00CB78E6">
            <w:pPr>
              <w:spacing w:after="120"/>
              <w:jc w:val="center"/>
              <w:rPr>
                <w:rFonts w:cs="Calibri"/>
                <w:b/>
                <w:bCs/>
                <w:color w:val="000000"/>
                <w:sz w:val="20"/>
                <w:szCs w:val="20"/>
              </w:rPr>
            </w:pPr>
            <w:r w:rsidRPr="00E61612">
              <w:rPr>
                <w:rFonts w:cs="Calibri"/>
                <w:b/>
                <w:bCs/>
                <w:color w:val="000000"/>
                <w:sz w:val="20"/>
                <w:szCs w:val="20"/>
              </w:rPr>
              <w:t>Financimi i huaj</w:t>
            </w:r>
          </w:p>
        </w:tc>
        <w:tc>
          <w:tcPr>
            <w:tcW w:w="1276" w:type="dxa"/>
            <w:vMerge/>
            <w:tcBorders>
              <w:top w:val="single" w:sz="8" w:space="0" w:color="auto"/>
              <w:left w:val="single" w:sz="4" w:space="0" w:color="auto"/>
              <w:bottom w:val="single" w:sz="4" w:space="0" w:color="auto"/>
              <w:right w:val="single" w:sz="8" w:space="0" w:color="auto"/>
            </w:tcBorders>
            <w:hideMark/>
          </w:tcPr>
          <w:p w:rsidR="00B951B1" w:rsidRPr="00E61612" w:rsidRDefault="00B951B1" w:rsidP="00CB78E6">
            <w:pPr>
              <w:spacing w:after="120"/>
              <w:rPr>
                <w:rFonts w:cs="Calibri"/>
                <w:b/>
                <w:bCs/>
                <w:color w:val="000000"/>
                <w:sz w:val="20"/>
                <w:szCs w:val="20"/>
              </w:rPr>
            </w:pPr>
          </w:p>
        </w:tc>
      </w:tr>
      <w:tr w:rsidR="00B951B1" w:rsidRPr="00E61612" w:rsidTr="00CB78E6">
        <w:trPr>
          <w:trHeight w:val="1380"/>
        </w:trPr>
        <w:tc>
          <w:tcPr>
            <w:tcW w:w="980" w:type="dxa"/>
            <w:tcBorders>
              <w:top w:val="nil"/>
              <w:left w:val="single" w:sz="8" w:space="0" w:color="auto"/>
              <w:bottom w:val="single" w:sz="4" w:space="0" w:color="auto"/>
              <w:right w:val="single" w:sz="4" w:space="0" w:color="auto"/>
            </w:tcBorders>
            <w:shd w:val="clear" w:color="000000" w:fill="D9D9D9"/>
            <w:hideMark/>
          </w:tcPr>
          <w:p w:rsidR="00B951B1" w:rsidRPr="00E61612" w:rsidRDefault="00B951B1" w:rsidP="00CB78E6">
            <w:pPr>
              <w:spacing w:after="120"/>
              <w:jc w:val="center"/>
              <w:rPr>
                <w:rFonts w:cs="Calibri"/>
                <w:b/>
                <w:bCs/>
                <w:color w:val="000000"/>
                <w:sz w:val="20"/>
                <w:szCs w:val="20"/>
              </w:rPr>
            </w:pPr>
            <w:r w:rsidRPr="00E61612">
              <w:rPr>
                <w:rFonts w:cs="Calibri"/>
                <w:b/>
                <w:bCs/>
                <w:color w:val="000000"/>
                <w:sz w:val="20"/>
                <w:szCs w:val="20"/>
              </w:rPr>
              <w:t>C1</w:t>
            </w:r>
          </w:p>
        </w:tc>
        <w:tc>
          <w:tcPr>
            <w:tcW w:w="3263" w:type="dxa"/>
            <w:tcBorders>
              <w:top w:val="nil"/>
              <w:left w:val="nil"/>
              <w:bottom w:val="single" w:sz="4" w:space="0" w:color="auto"/>
              <w:right w:val="single" w:sz="4" w:space="0" w:color="auto"/>
            </w:tcBorders>
            <w:shd w:val="clear" w:color="000000" w:fill="D9D9D9"/>
            <w:hideMark/>
          </w:tcPr>
          <w:p w:rsidR="00B951B1" w:rsidRPr="00E61612" w:rsidRDefault="00B951B1" w:rsidP="00CB78E6">
            <w:pPr>
              <w:spacing w:after="120"/>
              <w:rPr>
                <w:rFonts w:cs="Calibri"/>
                <w:sz w:val="20"/>
                <w:szCs w:val="20"/>
              </w:rPr>
            </w:pPr>
            <w:r w:rsidRPr="00E61612">
              <w:rPr>
                <w:rFonts w:cs="Calibri"/>
                <w:sz w:val="20"/>
                <w:szCs w:val="20"/>
              </w:rPr>
              <w:t xml:space="preserve">Rritja e cilësisë së arsimit të lartë përmes riorganizimit të programeve të studimit, modernizimit të infrastrukturës akademike dhe </w:t>
            </w:r>
            <w:r>
              <w:rPr>
                <w:rFonts w:cs="Calibri"/>
                <w:sz w:val="20"/>
                <w:szCs w:val="20"/>
              </w:rPr>
              <w:t>zbatimit</w:t>
            </w:r>
            <w:r w:rsidRPr="00E61612">
              <w:rPr>
                <w:rFonts w:cs="Calibri"/>
                <w:sz w:val="20"/>
                <w:szCs w:val="20"/>
              </w:rPr>
              <w:t xml:space="preserve"> të standardeve të larta të vlerësimit institucional dhe të programeve të studimit</w:t>
            </w:r>
          </w:p>
        </w:tc>
        <w:tc>
          <w:tcPr>
            <w:tcW w:w="1417" w:type="dxa"/>
            <w:tcBorders>
              <w:top w:val="nil"/>
              <w:left w:val="nil"/>
              <w:bottom w:val="single" w:sz="4" w:space="0" w:color="auto"/>
              <w:right w:val="single" w:sz="4" w:space="0" w:color="auto"/>
            </w:tcBorders>
            <w:shd w:val="clear" w:color="000000" w:fill="D9D9D9"/>
            <w:noWrap/>
          </w:tcPr>
          <w:p w:rsidR="00B951B1" w:rsidRPr="00E61612" w:rsidRDefault="00B951B1" w:rsidP="00CB78E6">
            <w:pPr>
              <w:spacing w:after="120"/>
              <w:jc w:val="right"/>
              <w:rPr>
                <w:rFonts w:cs="Calibri"/>
                <w:color w:val="000000"/>
                <w:sz w:val="20"/>
                <w:szCs w:val="20"/>
              </w:rPr>
            </w:pPr>
            <w:r w:rsidRPr="00E61612">
              <w:rPr>
                <w:color w:val="000000"/>
                <w:sz w:val="20"/>
                <w:szCs w:val="20"/>
              </w:rPr>
              <w:t>7,958,808</w:t>
            </w:r>
          </w:p>
        </w:tc>
        <w:tc>
          <w:tcPr>
            <w:tcW w:w="1134" w:type="dxa"/>
            <w:tcBorders>
              <w:top w:val="nil"/>
              <w:left w:val="nil"/>
              <w:bottom w:val="single" w:sz="4" w:space="0" w:color="auto"/>
              <w:right w:val="single" w:sz="4" w:space="0" w:color="auto"/>
            </w:tcBorders>
            <w:shd w:val="clear" w:color="000000" w:fill="D9D9D9"/>
            <w:noWrap/>
          </w:tcPr>
          <w:p w:rsidR="00B951B1" w:rsidRPr="00E61612" w:rsidRDefault="00B951B1" w:rsidP="00CB78E6">
            <w:pPr>
              <w:spacing w:after="120"/>
              <w:jc w:val="right"/>
              <w:rPr>
                <w:rFonts w:cs="Calibri"/>
                <w:color w:val="000000"/>
                <w:sz w:val="20"/>
                <w:szCs w:val="20"/>
              </w:rPr>
            </w:pPr>
            <w:r w:rsidRPr="00E61612">
              <w:rPr>
                <w:color w:val="000000"/>
                <w:sz w:val="20"/>
                <w:szCs w:val="20"/>
              </w:rPr>
              <w:t>7,953,648</w:t>
            </w:r>
          </w:p>
        </w:tc>
        <w:tc>
          <w:tcPr>
            <w:tcW w:w="1134" w:type="dxa"/>
            <w:tcBorders>
              <w:top w:val="nil"/>
              <w:left w:val="nil"/>
              <w:bottom w:val="single" w:sz="4" w:space="0" w:color="auto"/>
              <w:right w:val="single" w:sz="4" w:space="0" w:color="auto"/>
            </w:tcBorders>
            <w:shd w:val="clear" w:color="000000" w:fill="D9D9D9"/>
            <w:noWrap/>
          </w:tcPr>
          <w:p w:rsidR="00B951B1" w:rsidRPr="00E61612" w:rsidRDefault="00B951B1" w:rsidP="00CB78E6">
            <w:pPr>
              <w:spacing w:after="120"/>
              <w:jc w:val="right"/>
              <w:rPr>
                <w:rFonts w:cs="Calibri"/>
                <w:color w:val="000000"/>
                <w:sz w:val="20"/>
                <w:szCs w:val="20"/>
              </w:rPr>
            </w:pPr>
            <w:r w:rsidRPr="00E61612">
              <w:rPr>
                <w:color w:val="000000"/>
                <w:sz w:val="20"/>
                <w:szCs w:val="20"/>
              </w:rPr>
              <w:t>2,880</w:t>
            </w:r>
          </w:p>
        </w:tc>
        <w:tc>
          <w:tcPr>
            <w:tcW w:w="1276" w:type="dxa"/>
            <w:tcBorders>
              <w:top w:val="nil"/>
              <w:left w:val="nil"/>
              <w:bottom w:val="single" w:sz="4" w:space="0" w:color="auto"/>
              <w:right w:val="single" w:sz="8" w:space="0" w:color="auto"/>
            </w:tcBorders>
            <w:shd w:val="clear" w:color="000000" w:fill="D9D9D9"/>
            <w:noWrap/>
          </w:tcPr>
          <w:p w:rsidR="00B951B1" w:rsidRPr="00E61612" w:rsidRDefault="00B951B1" w:rsidP="00CB78E6">
            <w:pPr>
              <w:spacing w:after="120"/>
              <w:jc w:val="right"/>
              <w:rPr>
                <w:rFonts w:cs="Calibri"/>
                <w:color w:val="000000"/>
                <w:sz w:val="20"/>
                <w:szCs w:val="20"/>
              </w:rPr>
            </w:pPr>
            <w:r w:rsidRPr="00E61612">
              <w:rPr>
                <w:color w:val="000000"/>
                <w:sz w:val="20"/>
                <w:szCs w:val="20"/>
              </w:rPr>
              <w:t>(2,280)</w:t>
            </w:r>
          </w:p>
        </w:tc>
      </w:tr>
      <w:tr w:rsidR="00B951B1" w:rsidRPr="00E61612" w:rsidTr="00CB78E6">
        <w:trPr>
          <w:trHeight w:val="735"/>
        </w:trPr>
        <w:tc>
          <w:tcPr>
            <w:tcW w:w="980" w:type="dxa"/>
            <w:tcBorders>
              <w:top w:val="single" w:sz="4" w:space="0" w:color="auto"/>
              <w:left w:val="single" w:sz="8" w:space="0" w:color="auto"/>
              <w:bottom w:val="single" w:sz="4" w:space="0" w:color="auto"/>
              <w:right w:val="single" w:sz="4" w:space="0" w:color="auto"/>
            </w:tcBorders>
            <w:shd w:val="clear" w:color="000000" w:fill="auto"/>
            <w:hideMark/>
          </w:tcPr>
          <w:p w:rsidR="00B951B1" w:rsidRPr="00E61612" w:rsidRDefault="00B951B1" w:rsidP="00CB78E6">
            <w:pPr>
              <w:spacing w:after="120"/>
              <w:jc w:val="center"/>
              <w:rPr>
                <w:rFonts w:cs="Calibri"/>
                <w:b/>
                <w:bCs/>
                <w:color w:val="000000"/>
                <w:sz w:val="20"/>
                <w:szCs w:val="20"/>
              </w:rPr>
            </w:pPr>
            <w:r w:rsidRPr="00E61612">
              <w:rPr>
                <w:rFonts w:cs="Calibri"/>
                <w:b/>
                <w:bCs/>
                <w:color w:val="000000"/>
                <w:sz w:val="20"/>
                <w:szCs w:val="20"/>
              </w:rPr>
              <w:t>C1.1</w:t>
            </w:r>
          </w:p>
        </w:tc>
        <w:tc>
          <w:tcPr>
            <w:tcW w:w="3263" w:type="dxa"/>
            <w:tcBorders>
              <w:top w:val="single" w:sz="4" w:space="0" w:color="auto"/>
              <w:left w:val="nil"/>
              <w:bottom w:val="single" w:sz="4" w:space="0" w:color="auto"/>
              <w:right w:val="single" w:sz="4" w:space="0" w:color="auto"/>
            </w:tcBorders>
            <w:shd w:val="clear" w:color="000000" w:fill="auto"/>
            <w:hideMark/>
          </w:tcPr>
          <w:p w:rsidR="00B951B1" w:rsidRPr="00E61612" w:rsidRDefault="00B951B1" w:rsidP="00CB78E6">
            <w:pPr>
              <w:spacing w:after="120"/>
              <w:rPr>
                <w:rFonts w:cs="Calibri"/>
                <w:sz w:val="20"/>
                <w:szCs w:val="20"/>
              </w:rPr>
            </w:pPr>
            <w:r w:rsidRPr="00E61612">
              <w:rPr>
                <w:rFonts w:cs="Calibri"/>
                <w:sz w:val="20"/>
                <w:szCs w:val="20"/>
              </w:rPr>
              <w:t>Programet e IAL</w:t>
            </w:r>
            <w:r>
              <w:rPr>
                <w:rFonts w:cs="Calibri"/>
                <w:sz w:val="20"/>
                <w:szCs w:val="20"/>
              </w:rPr>
              <w:t>-ve</w:t>
            </w:r>
            <w:r w:rsidRPr="00E61612">
              <w:rPr>
                <w:rFonts w:cs="Calibri"/>
                <w:sz w:val="20"/>
                <w:szCs w:val="20"/>
              </w:rPr>
              <w:t xml:space="preserve"> ndërtohen mbi rezultatet e të nxënit dhe janë të krahasueshme me programet e IAL-ve evropiane</w:t>
            </w:r>
          </w:p>
        </w:tc>
        <w:tc>
          <w:tcPr>
            <w:tcW w:w="1417" w:type="dxa"/>
            <w:tcBorders>
              <w:top w:val="single" w:sz="4" w:space="0" w:color="auto"/>
              <w:left w:val="nil"/>
              <w:bottom w:val="single" w:sz="4" w:space="0" w:color="auto"/>
              <w:right w:val="single" w:sz="4" w:space="0" w:color="auto"/>
            </w:tcBorders>
            <w:shd w:val="clear" w:color="000000" w:fill="auto"/>
            <w:noWrap/>
          </w:tcPr>
          <w:p w:rsidR="00B951B1" w:rsidRPr="00E61612" w:rsidRDefault="00B951B1" w:rsidP="00CB78E6">
            <w:pPr>
              <w:spacing w:after="120"/>
              <w:jc w:val="right"/>
              <w:rPr>
                <w:rFonts w:cs="Calibri"/>
                <w:color w:val="000000"/>
                <w:sz w:val="20"/>
                <w:szCs w:val="20"/>
              </w:rPr>
            </w:pPr>
            <w:r w:rsidRPr="00E61612">
              <w:rPr>
                <w:color w:val="000000"/>
                <w:sz w:val="20"/>
                <w:szCs w:val="20"/>
              </w:rPr>
              <w:t>5,160</w:t>
            </w:r>
          </w:p>
        </w:tc>
        <w:tc>
          <w:tcPr>
            <w:tcW w:w="1134" w:type="dxa"/>
            <w:tcBorders>
              <w:top w:val="single" w:sz="4" w:space="0" w:color="auto"/>
              <w:left w:val="nil"/>
              <w:bottom w:val="single" w:sz="4" w:space="0" w:color="auto"/>
              <w:right w:val="single" w:sz="4" w:space="0" w:color="auto"/>
            </w:tcBorders>
            <w:shd w:val="clear" w:color="000000" w:fill="auto"/>
            <w:noWrap/>
          </w:tcPr>
          <w:p w:rsidR="00B951B1" w:rsidRPr="00E61612" w:rsidRDefault="00B951B1" w:rsidP="00CB78E6">
            <w:pPr>
              <w:spacing w:after="120"/>
              <w:jc w:val="right"/>
              <w:rPr>
                <w:rFonts w:cs="Calibri"/>
                <w:color w:val="000000"/>
                <w:sz w:val="20"/>
                <w:szCs w:val="20"/>
              </w:rPr>
            </w:pPr>
            <w:r w:rsidRPr="00E61612">
              <w:rPr>
                <w:color w:val="000000"/>
                <w:sz w:val="20"/>
                <w:szCs w:val="20"/>
              </w:rPr>
              <w:t>-</w:t>
            </w:r>
          </w:p>
        </w:tc>
        <w:tc>
          <w:tcPr>
            <w:tcW w:w="1134" w:type="dxa"/>
            <w:tcBorders>
              <w:top w:val="single" w:sz="4" w:space="0" w:color="auto"/>
              <w:left w:val="nil"/>
              <w:bottom w:val="single" w:sz="4" w:space="0" w:color="auto"/>
              <w:right w:val="single" w:sz="4" w:space="0" w:color="auto"/>
            </w:tcBorders>
            <w:shd w:val="clear" w:color="000000" w:fill="auto"/>
            <w:noWrap/>
          </w:tcPr>
          <w:p w:rsidR="00B951B1" w:rsidRPr="00E61612" w:rsidRDefault="00B951B1" w:rsidP="00CB78E6">
            <w:pPr>
              <w:spacing w:after="120"/>
              <w:jc w:val="right"/>
              <w:rPr>
                <w:rFonts w:cs="Calibri"/>
                <w:color w:val="000000"/>
                <w:sz w:val="20"/>
                <w:szCs w:val="20"/>
              </w:rPr>
            </w:pPr>
            <w:r w:rsidRPr="00E61612">
              <w:rPr>
                <w:color w:val="000000"/>
                <w:sz w:val="20"/>
                <w:szCs w:val="20"/>
              </w:rPr>
              <w:t>2,880</w:t>
            </w:r>
          </w:p>
        </w:tc>
        <w:tc>
          <w:tcPr>
            <w:tcW w:w="1276" w:type="dxa"/>
            <w:tcBorders>
              <w:top w:val="single" w:sz="4" w:space="0" w:color="auto"/>
              <w:left w:val="nil"/>
              <w:bottom w:val="single" w:sz="4" w:space="0" w:color="auto"/>
              <w:right w:val="single" w:sz="8" w:space="0" w:color="auto"/>
            </w:tcBorders>
            <w:shd w:val="clear" w:color="000000" w:fill="auto"/>
            <w:noWrap/>
          </w:tcPr>
          <w:p w:rsidR="00B951B1" w:rsidRPr="00E61612" w:rsidRDefault="00B951B1" w:rsidP="00CB78E6">
            <w:pPr>
              <w:spacing w:after="120"/>
              <w:jc w:val="right"/>
              <w:rPr>
                <w:rFonts w:cs="Calibri"/>
                <w:color w:val="000000"/>
                <w:sz w:val="20"/>
                <w:szCs w:val="20"/>
              </w:rPr>
            </w:pPr>
            <w:r w:rsidRPr="00E61612">
              <w:rPr>
                <w:color w:val="000000"/>
                <w:sz w:val="20"/>
                <w:szCs w:val="20"/>
              </w:rPr>
              <w:t>(2,280)</w:t>
            </w:r>
          </w:p>
        </w:tc>
      </w:tr>
      <w:tr w:rsidR="00B951B1" w:rsidRPr="00E61612" w:rsidTr="00CB78E6">
        <w:trPr>
          <w:trHeight w:val="735"/>
        </w:trPr>
        <w:tc>
          <w:tcPr>
            <w:tcW w:w="980" w:type="dxa"/>
            <w:tcBorders>
              <w:top w:val="single" w:sz="4" w:space="0" w:color="auto"/>
              <w:left w:val="single" w:sz="8" w:space="0" w:color="auto"/>
              <w:bottom w:val="single" w:sz="4" w:space="0" w:color="auto"/>
              <w:right w:val="single" w:sz="4" w:space="0" w:color="auto"/>
            </w:tcBorders>
            <w:shd w:val="clear" w:color="000000" w:fill="auto"/>
            <w:hideMark/>
          </w:tcPr>
          <w:p w:rsidR="00B951B1" w:rsidRPr="00E61612" w:rsidRDefault="00B951B1" w:rsidP="00CB78E6">
            <w:pPr>
              <w:spacing w:after="120"/>
              <w:jc w:val="center"/>
              <w:rPr>
                <w:rFonts w:cs="Calibri"/>
                <w:b/>
                <w:bCs/>
                <w:color w:val="000000"/>
                <w:sz w:val="20"/>
                <w:szCs w:val="20"/>
              </w:rPr>
            </w:pPr>
            <w:r w:rsidRPr="00E61612">
              <w:rPr>
                <w:rFonts w:cs="Calibri"/>
                <w:b/>
                <w:bCs/>
                <w:color w:val="000000"/>
                <w:sz w:val="20"/>
                <w:szCs w:val="20"/>
              </w:rPr>
              <w:t>C1.2</w:t>
            </w:r>
          </w:p>
        </w:tc>
        <w:tc>
          <w:tcPr>
            <w:tcW w:w="3263" w:type="dxa"/>
            <w:tcBorders>
              <w:top w:val="single" w:sz="4" w:space="0" w:color="auto"/>
              <w:left w:val="nil"/>
              <w:bottom w:val="single" w:sz="4" w:space="0" w:color="auto"/>
              <w:right w:val="single" w:sz="4" w:space="0" w:color="auto"/>
            </w:tcBorders>
            <w:shd w:val="clear" w:color="000000" w:fill="auto"/>
            <w:hideMark/>
          </w:tcPr>
          <w:p w:rsidR="00B951B1" w:rsidRPr="00E61612" w:rsidRDefault="00B951B1" w:rsidP="00CB78E6">
            <w:pPr>
              <w:spacing w:after="120"/>
              <w:rPr>
                <w:rFonts w:cs="Calibri"/>
                <w:sz w:val="20"/>
                <w:szCs w:val="20"/>
              </w:rPr>
            </w:pPr>
            <w:r w:rsidRPr="00E61612">
              <w:rPr>
                <w:rFonts w:cs="Calibri"/>
                <w:sz w:val="20"/>
                <w:szCs w:val="20"/>
              </w:rPr>
              <w:t>Përmirësimi i infrastrukturës akademike</w:t>
            </w:r>
          </w:p>
        </w:tc>
        <w:tc>
          <w:tcPr>
            <w:tcW w:w="1417" w:type="dxa"/>
            <w:tcBorders>
              <w:top w:val="single" w:sz="4" w:space="0" w:color="auto"/>
              <w:left w:val="nil"/>
              <w:bottom w:val="single" w:sz="4" w:space="0" w:color="auto"/>
              <w:right w:val="single" w:sz="4" w:space="0" w:color="auto"/>
            </w:tcBorders>
            <w:shd w:val="clear" w:color="000000" w:fill="auto"/>
            <w:noWrap/>
          </w:tcPr>
          <w:p w:rsidR="00B951B1" w:rsidRPr="00E61612" w:rsidRDefault="00B951B1" w:rsidP="00CB78E6">
            <w:pPr>
              <w:spacing w:after="120"/>
              <w:jc w:val="right"/>
              <w:rPr>
                <w:rFonts w:cs="Calibri"/>
                <w:color w:val="000000"/>
                <w:sz w:val="20"/>
                <w:szCs w:val="20"/>
              </w:rPr>
            </w:pPr>
            <w:r w:rsidRPr="00E61612">
              <w:rPr>
                <w:color w:val="000000"/>
                <w:sz w:val="20"/>
                <w:szCs w:val="20"/>
              </w:rPr>
              <w:t>7,912,000</w:t>
            </w:r>
          </w:p>
        </w:tc>
        <w:tc>
          <w:tcPr>
            <w:tcW w:w="1134" w:type="dxa"/>
            <w:tcBorders>
              <w:top w:val="single" w:sz="4" w:space="0" w:color="auto"/>
              <w:left w:val="nil"/>
              <w:bottom w:val="single" w:sz="4" w:space="0" w:color="auto"/>
              <w:right w:val="single" w:sz="4" w:space="0" w:color="auto"/>
            </w:tcBorders>
            <w:shd w:val="clear" w:color="000000" w:fill="auto"/>
            <w:noWrap/>
          </w:tcPr>
          <w:p w:rsidR="00B951B1" w:rsidRPr="00E61612" w:rsidRDefault="00B951B1" w:rsidP="00CB78E6">
            <w:pPr>
              <w:spacing w:after="120"/>
              <w:jc w:val="right"/>
              <w:rPr>
                <w:rFonts w:cs="Calibri"/>
                <w:color w:val="000000"/>
                <w:sz w:val="20"/>
                <w:szCs w:val="20"/>
              </w:rPr>
            </w:pPr>
            <w:r w:rsidRPr="00E61612">
              <w:rPr>
                <w:color w:val="000000"/>
                <w:sz w:val="20"/>
                <w:szCs w:val="20"/>
              </w:rPr>
              <w:t>7,912,000</w:t>
            </w:r>
          </w:p>
        </w:tc>
        <w:tc>
          <w:tcPr>
            <w:tcW w:w="1134" w:type="dxa"/>
            <w:tcBorders>
              <w:top w:val="single" w:sz="4" w:space="0" w:color="auto"/>
              <w:left w:val="nil"/>
              <w:bottom w:val="single" w:sz="4" w:space="0" w:color="auto"/>
              <w:right w:val="single" w:sz="4" w:space="0" w:color="auto"/>
            </w:tcBorders>
            <w:shd w:val="clear" w:color="000000" w:fill="auto"/>
            <w:noWrap/>
          </w:tcPr>
          <w:p w:rsidR="00B951B1" w:rsidRPr="00E61612" w:rsidRDefault="00B951B1" w:rsidP="00CB78E6">
            <w:pPr>
              <w:spacing w:after="120"/>
              <w:jc w:val="right"/>
              <w:rPr>
                <w:rFonts w:cs="Calibri"/>
                <w:color w:val="000000"/>
                <w:sz w:val="20"/>
                <w:szCs w:val="20"/>
              </w:rPr>
            </w:pPr>
            <w:r w:rsidRPr="00E61612">
              <w:rPr>
                <w:color w:val="000000"/>
                <w:sz w:val="20"/>
                <w:szCs w:val="20"/>
              </w:rPr>
              <w:t>-</w:t>
            </w:r>
          </w:p>
        </w:tc>
        <w:tc>
          <w:tcPr>
            <w:tcW w:w="1276" w:type="dxa"/>
            <w:tcBorders>
              <w:top w:val="single" w:sz="4" w:space="0" w:color="auto"/>
              <w:left w:val="nil"/>
              <w:bottom w:val="single" w:sz="4" w:space="0" w:color="auto"/>
              <w:right w:val="single" w:sz="8" w:space="0" w:color="auto"/>
            </w:tcBorders>
            <w:shd w:val="clear" w:color="000000" w:fill="auto"/>
            <w:noWrap/>
          </w:tcPr>
          <w:p w:rsidR="00B951B1" w:rsidRPr="00E61612" w:rsidRDefault="00B951B1" w:rsidP="00CB78E6">
            <w:pPr>
              <w:spacing w:after="120"/>
              <w:jc w:val="right"/>
              <w:rPr>
                <w:rFonts w:cs="Calibri"/>
                <w:color w:val="000000"/>
                <w:sz w:val="20"/>
                <w:szCs w:val="20"/>
              </w:rPr>
            </w:pPr>
            <w:r w:rsidRPr="00E61612">
              <w:rPr>
                <w:color w:val="000000"/>
                <w:sz w:val="20"/>
                <w:szCs w:val="20"/>
              </w:rPr>
              <w:t>-</w:t>
            </w:r>
          </w:p>
        </w:tc>
      </w:tr>
      <w:tr w:rsidR="00B951B1" w:rsidRPr="00E61612" w:rsidTr="00CB78E6">
        <w:trPr>
          <w:trHeight w:val="735"/>
        </w:trPr>
        <w:tc>
          <w:tcPr>
            <w:tcW w:w="980" w:type="dxa"/>
            <w:tcBorders>
              <w:top w:val="single" w:sz="4" w:space="0" w:color="auto"/>
              <w:left w:val="single" w:sz="8" w:space="0" w:color="auto"/>
              <w:bottom w:val="single" w:sz="4" w:space="0" w:color="auto"/>
              <w:right w:val="single" w:sz="4" w:space="0" w:color="auto"/>
            </w:tcBorders>
            <w:shd w:val="clear" w:color="000000" w:fill="auto"/>
            <w:hideMark/>
          </w:tcPr>
          <w:p w:rsidR="00B951B1" w:rsidRPr="00E61612" w:rsidRDefault="00B951B1" w:rsidP="00CB78E6">
            <w:pPr>
              <w:spacing w:after="120"/>
              <w:jc w:val="center"/>
              <w:rPr>
                <w:rFonts w:cs="Calibri"/>
                <w:b/>
                <w:bCs/>
                <w:color w:val="000000"/>
                <w:sz w:val="20"/>
                <w:szCs w:val="20"/>
              </w:rPr>
            </w:pPr>
            <w:r w:rsidRPr="00E61612">
              <w:rPr>
                <w:rFonts w:cs="Calibri"/>
                <w:b/>
                <w:bCs/>
                <w:color w:val="000000"/>
                <w:sz w:val="20"/>
                <w:szCs w:val="20"/>
              </w:rPr>
              <w:t>C1.3</w:t>
            </w:r>
          </w:p>
        </w:tc>
        <w:tc>
          <w:tcPr>
            <w:tcW w:w="3263" w:type="dxa"/>
            <w:tcBorders>
              <w:top w:val="single" w:sz="4" w:space="0" w:color="auto"/>
              <w:left w:val="nil"/>
              <w:bottom w:val="single" w:sz="4" w:space="0" w:color="auto"/>
              <w:right w:val="single" w:sz="4" w:space="0" w:color="auto"/>
            </w:tcBorders>
            <w:shd w:val="clear" w:color="000000" w:fill="auto"/>
            <w:hideMark/>
          </w:tcPr>
          <w:p w:rsidR="00B951B1" w:rsidRPr="00E61612" w:rsidRDefault="00B951B1" w:rsidP="00CB78E6">
            <w:pPr>
              <w:spacing w:after="120"/>
              <w:rPr>
                <w:rFonts w:cs="Calibri"/>
                <w:sz w:val="20"/>
                <w:szCs w:val="20"/>
              </w:rPr>
            </w:pPr>
            <w:r w:rsidRPr="00E61612">
              <w:rPr>
                <w:rFonts w:cs="Calibri"/>
                <w:sz w:val="20"/>
                <w:szCs w:val="20"/>
              </w:rPr>
              <w:t>Aplikimi i standardeve të larta akademike për akreditimin e IAL-ve dhe të programeve studimore</w:t>
            </w:r>
          </w:p>
        </w:tc>
        <w:tc>
          <w:tcPr>
            <w:tcW w:w="1417" w:type="dxa"/>
            <w:tcBorders>
              <w:top w:val="single" w:sz="4" w:space="0" w:color="auto"/>
              <w:left w:val="nil"/>
              <w:bottom w:val="single" w:sz="4" w:space="0" w:color="auto"/>
              <w:right w:val="single" w:sz="4" w:space="0" w:color="auto"/>
            </w:tcBorders>
            <w:shd w:val="clear" w:color="000000" w:fill="auto"/>
            <w:noWrap/>
          </w:tcPr>
          <w:p w:rsidR="00B951B1" w:rsidRPr="00E61612" w:rsidRDefault="00B951B1" w:rsidP="00CB78E6">
            <w:pPr>
              <w:spacing w:after="120"/>
              <w:jc w:val="right"/>
              <w:rPr>
                <w:rFonts w:cs="Calibri"/>
                <w:color w:val="000000"/>
                <w:sz w:val="20"/>
                <w:szCs w:val="20"/>
              </w:rPr>
            </w:pPr>
            <w:r w:rsidRPr="00E61612">
              <w:rPr>
                <w:color w:val="000000"/>
                <w:sz w:val="20"/>
                <w:szCs w:val="20"/>
              </w:rPr>
              <w:t>41,648</w:t>
            </w:r>
          </w:p>
        </w:tc>
        <w:tc>
          <w:tcPr>
            <w:tcW w:w="1134" w:type="dxa"/>
            <w:tcBorders>
              <w:top w:val="single" w:sz="4" w:space="0" w:color="auto"/>
              <w:left w:val="nil"/>
              <w:bottom w:val="single" w:sz="4" w:space="0" w:color="auto"/>
              <w:right w:val="single" w:sz="4" w:space="0" w:color="auto"/>
            </w:tcBorders>
            <w:shd w:val="clear" w:color="000000" w:fill="auto"/>
            <w:noWrap/>
          </w:tcPr>
          <w:p w:rsidR="00B951B1" w:rsidRPr="00E61612" w:rsidRDefault="00B951B1" w:rsidP="00CB78E6">
            <w:pPr>
              <w:spacing w:after="120"/>
              <w:jc w:val="right"/>
              <w:rPr>
                <w:rFonts w:cs="Calibri"/>
                <w:color w:val="000000"/>
                <w:sz w:val="20"/>
                <w:szCs w:val="20"/>
              </w:rPr>
            </w:pPr>
            <w:r w:rsidRPr="00E61612">
              <w:rPr>
                <w:color w:val="000000"/>
                <w:sz w:val="20"/>
                <w:szCs w:val="20"/>
              </w:rPr>
              <w:t>41,648</w:t>
            </w:r>
          </w:p>
        </w:tc>
        <w:tc>
          <w:tcPr>
            <w:tcW w:w="1134" w:type="dxa"/>
            <w:tcBorders>
              <w:top w:val="single" w:sz="4" w:space="0" w:color="auto"/>
              <w:left w:val="nil"/>
              <w:bottom w:val="single" w:sz="4" w:space="0" w:color="auto"/>
              <w:right w:val="single" w:sz="4" w:space="0" w:color="auto"/>
            </w:tcBorders>
            <w:shd w:val="clear" w:color="000000" w:fill="auto"/>
            <w:noWrap/>
          </w:tcPr>
          <w:p w:rsidR="00B951B1" w:rsidRPr="00E61612" w:rsidRDefault="00B951B1" w:rsidP="00CB78E6">
            <w:pPr>
              <w:spacing w:after="120"/>
              <w:jc w:val="right"/>
              <w:rPr>
                <w:rFonts w:cs="Calibri"/>
                <w:color w:val="000000"/>
                <w:sz w:val="20"/>
                <w:szCs w:val="20"/>
              </w:rPr>
            </w:pPr>
            <w:r w:rsidRPr="00E61612">
              <w:rPr>
                <w:color w:val="000000"/>
                <w:sz w:val="20"/>
                <w:szCs w:val="20"/>
              </w:rPr>
              <w:t>-</w:t>
            </w:r>
          </w:p>
        </w:tc>
        <w:tc>
          <w:tcPr>
            <w:tcW w:w="1276" w:type="dxa"/>
            <w:tcBorders>
              <w:top w:val="single" w:sz="4" w:space="0" w:color="auto"/>
              <w:left w:val="nil"/>
              <w:bottom w:val="single" w:sz="4" w:space="0" w:color="auto"/>
              <w:right w:val="single" w:sz="8" w:space="0" w:color="auto"/>
            </w:tcBorders>
            <w:shd w:val="clear" w:color="000000" w:fill="auto"/>
            <w:noWrap/>
          </w:tcPr>
          <w:p w:rsidR="00B951B1" w:rsidRPr="00E61612" w:rsidRDefault="00B951B1" w:rsidP="00CB78E6">
            <w:pPr>
              <w:spacing w:after="120"/>
              <w:jc w:val="right"/>
              <w:rPr>
                <w:rFonts w:cs="Calibri"/>
                <w:color w:val="000000"/>
                <w:sz w:val="20"/>
                <w:szCs w:val="20"/>
              </w:rPr>
            </w:pPr>
            <w:r w:rsidRPr="00E61612">
              <w:rPr>
                <w:color w:val="000000"/>
                <w:sz w:val="20"/>
                <w:szCs w:val="20"/>
              </w:rPr>
              <w:t>-</w:t>
            </w:r>
          </w:p>
        </w:tc>
      </w:tr>
      <w:tr w:rsidR="00B951B1" w:rsidRPr="00E61612" w:rsidTr="00CB78E6">
        <w:trPr>
          <w:trHeight w:val="535"/>
        </w:trPr>
        <w:tc>
          <w:tcPr>
            <w:tcW w:w="980" w:type="dxa"/>
            <w:tcBorders>
              <w:top w:val="nil"/>
              <w:left w:val="single" w:sz="8" w:space="0" w:color="auto"/>
              <w:bottom w:val="single" w:sz="4" w:space="0" w:color="auto"/>
              <w:right w:val="single" w:sz="4" w:space="0" w:color="auto"/>
            </w:tcBorders>
            <w:shd w:val="clear" w:color="000000" w:fill="D9D9D9"/>
            <w:hideMark/>
          </w:tcPr>
          <w:p w:rsidR="00B951B1" w:rsidRPr="00E61612" w:rsidRDefault="00B951B1" w:rsidP="00CB78E6">
            <w:pPr>
              <w:spacing w:after="120"/>
              <w:jc w:val="center"/>
              <w:rPr>
                <w:rFonts w:cs="Calibri"/>
                <w:b/>
                <w:bCs/>
                <w:color w:val="000000"/>
                <w:sz w:val="20"/>
                <w:szCs w:val="20"/>
              </w:rPr>
            </w:pPr>
            <w:r w:rsidRPr="00E61612">
              <w:rPr>
                <w:rFonts w:cs="Calibri"/>
                <w:b/>
                <w:bCs/>
                <w:color w:val="000000"/>
                <w:sz w:val="20"/>
                <w:szCs w:val="20"/>
              </w:rPr>
              <w:t>C2</w:t>
            </w:r>
          </w:p>
        </w:tc>
        <w:tc>
          <w:tcPr>
            <w:tcW w:w="3263" w:type="dxa"/>
            <w:tcBorders>
              <w:top w:val="nil"/>
              <w:left w:val="nil"/>
              <w:bottom w:val="single" w:sz="4" w:space="0" w:color="auto"/>
              <w:right w:val="single" w:sz="4" w:space="0" w:color="auto"/>
            </w:tcBorders>
            <w:shd w:val="clear" w:color="000000" w:fill="D9D9D9"/>
            <w:hideMark/>
          </w:tcPr>
          <w:p w:rsidR="00B951B1" w:rsidRPr="00E61612" w:rsidRDefault="00B951B1" w:rsidP="00CB78E6">
            <w:pPr>
              <w:spacing w:after="120"/>
              <w:rPr>
                <w:rFonts w:cs="Calibri"/>
                <w:sz w:val="20"/>
                <w:szCs w:val="20"/>
              </w:rPr>
            </w:pPr>
            <w:r w:rsidRPr="00E61612">
              <w:rPr>
                <w:rFonts w:cs="Calibri"/>
                <w:sz w:val="20"/>
                <w:szCs w:val="20"/>
              </w:rPr>
              <w:t>Nxitja e përsosmërisë në mësimdhënie dhe kërkim</w:t>
            </w:r>
          </w:p>
        </w:tc>
        <w:tc>
          <w:tcPr>
            <w:tcW w:w="1417" w:type="dxa"/>
            <w:tcBorders>
              <w:top w:val="nil"/>
              <w:left w:val="nil"/>
              <w:bottom w:val="single" w:sz="4" w:space="0" w:color="auto"/>
              <w:right w:val="single" w:sz="4" w:space="0" w:color="auto"/>
            </w:tcBorders>
            <w:shd w:val="clear" w:color="000000" w:fill="D9D9D9"/>
            <w:noWrap/>
          </w:tcPr>
          <w:p w:rsidR="00B951B1" w:rsidRPr="00E61612" w:rsidRDefault="00B951B1" w:rsidP="00CB78E6">
            <w:pPr>
              <w:spacing w:after="120"/>
              <w:jc w:val="right"/>
              <w:rPr>
                <w:rFonts w:cs="Calibri"/>
                <w:color w:val="000000"/>
                <w:sz w:val="20"/>
                <w:szCs w:val="20"/>
              </w:rPr>
            </w:pPr>
            <w:r w:rsidRPr="00E61612">
              <w:rPr>
                <w:color w:val="000000"/>
                <w:sz w:val="20"/>
                <w:szCs w:val="20"/>
              </w:rPr>
              <w:t>17,092</w:t>
            </w:r>
          </w:p>
        </w:tc>
        <w:tc>
          <w:tcPr>
            <w:tcW w:w="1134" w:type="dxa"/>
            <w:tcBorders>
              <w:top w:val="nil"/>
              <w:left w:val="nil"/>
              <w:bottom w:val="single" w:sz="4" w:space="0" w:color="auto"/>
              <w:right w:val="single" w:sz="4" w:space="0" w:color="auto"/>
            </w:tcBorders>
            <w:shd w:val="clear" w:color="000000" w:fill="D9D9D9"/>
            <w:noWrap/>
          </w:tcPr>
          <w:p w:rsidR="00B951B1" w:rsidRPr="00E61612" w:rsidRDefault="00B951B1" w:rsidP="00CB78E6">
            <w:pPr>
              <w:spacing w:after="120"/>
              <w:jc w:val="right"/>
              <w:rPr>
                <w:rFonts w:cs="Calibri"/>
                <w:color w:val="000000"/>
                <w:sz w:val="20"/>
                <w:szCs w:val="20"/>
              </w:rPr>
            </w:pPr>
            <w:r w:rsidRPr="00E61612">
              <w:rPr>
                <w:color w:val="000000"/>
                <w:sz w:val="20"/>
                <w:szCs w:val="20"/>
              </w:rPr>
              <w:t>-</w:t>
            </w:r>
          </w:p>
        </w:tc>
        <w:tc>
          <w:tcPr>
            <w:tcW w:w="1134" w:type="dxa"/>
            <w:tcBorders>
              <w:top w:val="nil"/>
              <w:left w:val="nil"/>
              <w:bottom w:val="single" w:sz="4" w:space="0" w:color="auto"/>
              <w:right w:val="single" w:sz="4" w:space="0" w:color="auto"/>
            </w:tcBorders>
            <w:shd w:val="clear" w:color="000000" w:fill="D9D9D9"/>
            <w:noWrap/>
          </w:tcPr>
          <w:p w:rsidR="00B951B1" w:rsidRPr="00E61612" w:rsidRDefault="00B951B1" w:rsidP="00CB78E6">
            <w:pPr>
              <w:spacing w:after="120"/>
              <w:jc w:val="right"/>
              <w:rPr>
                <w:rFonts w:cs="Calibri"/>
                <w:color w:val="000000"/>
                <w:sz w:val="20"/>
                <w:szCs w:val="20"/>
              </w:rPr>
            </w:pPr>
            <w:r w:rsidRPr="00E61612">
              <w:rPr>
                <w:color w:val="000000"/>
                <w:sz w:val="20"/>
                <w:szCs w:val="20"/>
              </w:rPr>
              <w:t>17,092</w:t>
            </w:r>
          </w:p>
        </w:tc>
        <w:tc>
          <w:tcPr>
            <w:tcW w:w="1276" w:type="dxa"/>
            <w:tcBorders>
              <w:top w:val="nil"/>
              <w:left w:val="nil"/>
              <w:bottom w:val="single" w:sz="4" w:space="0" w:color="auto"/>
              <w:right w:val="single" w:sz="8" w:space="0" w:color="auto"/>
            </w:tcBorders>
            <w:shd w:val="clear" w:color="000000" w:fill="D9D9D9"/>
            <w:noWrap/>
          </w:tcPr>
          <w:p w:rsidR="00B951B1" w:rsidRPr="00E61612" w:rsidRDefault="00B951B1" w:rsidP="00CB78E6">
            <w:pPr>
              <w:spacing w:after="120"/>
              <w:jc w:val="right"/>
              <w:rPr>
                <w:rFonts w:cs="Calibri"/>
                <w:color w:val="000000"/>
                <w:sz w:val="20"/>
                <w:szCs w:val="20"/>
              </w:rPr>
            </w:pPr>
            <w:r w:rsidRPr="00E61612">
              <w:rPr>
                <w:color w:val="000000"/>
                <w:sz w:val="20"/>
                <w:szCs w:val="20"/>
              </w:rPr>
              <w:t>-</w:t>
            </w:r>
          </w:p>
        </w:tc>
      </w:tr>
      <w:tr w:rsidR="00B951B1" w:rsidRPr="00E61612" w:rsidTr="00CB78E6">
        <w:trPr>
          <w:trHeight w:val="735"/>
        </w:trPr>
        <w:tc>
          <w:tcPr>
            <w:tcW w:w="980" w:type="dxa"/>
            <w:tcBorders>
              <w:top w:val="single" w:sz="4" w:space="0" w:color="auto"/>
              <w:left w:val="single" w:sz="8" w:space="0" w:color="auto"/>
              <w:bottom w:val="single" w:sz="4" w:space="0" w:color="auto"/>
              <w:right w:val="single" w:sz="4" w:space="0" w:color="auto"/>
            </w:tcBorders>
            <w:shd w:val="clear" w:color="000000" w:fill="auto"/>
            <w:hideMark/>
          </w:tcPr>
          <w:p w:rsidR="00B951B1" w:rsidRPr="00E61612" w:rsidRDefault="00B951B1" w:rsidP="00CB78E6">
            <w:pPr>
              <w:spacing w:after="120"/>
              <w:jc w:val="center"/>
              <w:rPr>
                <w:rFonts w:cs="Calibri"/>
                <w:b/>
                <w:bCs/>
                <w:color w:val="000000"/>
                <w:sz w:val="20"/>
                <w:szCs w:val="20"/>
              </w:rPr>
            </w:pPr>
            <w:r w:rsidRPr="00E61612">
              <w:rPr>
                <w:rFonts w:cs="Calibri"/>
                <w:b/>
                <w:bCs/>
                <w:color w:val="000000"/>
                <w:sz w:val="20"/>
                <w:szCs w:val="20"/>
              </w:rPr>
              <w:t>C2.1</w:t>
            </w:r>
          </w:p>
        </w:tc>
        <w:tc>
          <w:tcPr>
            <w:tcW w:w="3263" w:type="dxa"/>
            <w:tcBorders>
              <w:top w:val="single" w:sz="4" w:space="0" w:color="auto"/>
              <w:left w:val="nil"/>
              <w:bottom w:val="single" w:sz="4" w:space="0" w:color="auto"/>
              <w:right w:val="single" w:sz="4" w:space="0" w:color="auto"/>
            </w:tcBorders>
            <w:shd w:val="clear" w:color="000000" w:fill="auto"/>
            <w:hideMark/>
          </w:tcPr>
          <w:p w:rsidR="00B951B1" w:rsidRPr="00E61612" w:rsidRDefault="00B951B1" w:rsidP="00CB78E6">
            <w:pPr>
              <w:spacing w:after="120"/>
              <w:rPr>
                <w:rFonts w:cs="Calibri"/>
                <w:sz w:val="20"/>
                <w:szCs w:val="20"/>
              </w:rPr>
            </w:pPr>
            <w:r w:rsidRPr="00E61612">
              <w:rPr>
                <w:rFonts w:cs="Calibri"/>
                <w:sz w:val="20"/>
                <w:szCs w:val="20"/>
              </w:rPr>
              <w:t xml:space="preserve">Përmirësimi i kapacitetit të personelit akademik </w:t>
            </w:r>
            <w:r>
              <w:rPr>
                <w:rFonts w:cs="Calibri"/>
                <w:sz w:val="20"/>
                <w:szCs w:val="20"/>
              </w:rPr>
              <w:t>në</w:t>
            </w:r>
            <w:r w:rsidRPr="00E61612">
              <w:rPr>
                <w:rFonts w:cs="Calibri"/>
                <w:sz w:val="20"/>
                <w:szCs w:val="20"/>
              </w:rPr>
              <w:t xml:space="preserve"> mësimdhënie dhe kërkim shkencor</w:t>
            </w:r>
          </w:p>
        </w:tc>
        <w:tc>
          <w:tcPr>
            <w:tcW w:w="1417" w:type="dxa"/>
            <w:tcBorders>
              <w:top w:val="single" w:sz="4" w:space="0" w:color="auto"/>
              <w:left w:val="nil"/>
              <w:bottom w:val="single" w:sz="4" w:space="0" w:color="auto"/>
              <w:right w:val="single" w:sz="4" w:space="0" w:color="auto"/>
            </w:tcBorders>
            <w:shd w:val="clear" w:color="000000" w:fill="auto"/>
            <w:noWrap/>
          </w:tcPr>
          <w:p w:rsidR="00B951B1" w:rsidRPr="00E61612" w:rsidRDefault="00B951B1" w:rsidP="00CB78E6">
            <w:pPr>
              <w:spacing w:after="120"/>
              <w:jc w:val="right"/>
              <w:rPr>
                <w:rFonts w:cs="Calibri"/>
                <w:color w:val="000000"/>
                <w:sz w:val="20"/>
                <w:szCs w:val="20"/>
              </w:rPr>
            </w:pPr>
            <w:r w:rsidRPr="00E61612">
              <w:rPr>
                <w:color w:val="000000"/>
                <w:sz w:val="20"/>
                <w:szCs w:val="20"/>
              </w:rPr>
              <w:t>17,092</w:t>
            </w:r>
          </w:p>
        </w:tc>
        <w:tc>
          <w:tcPr>
            <w:tcW w:w="1134" w:type="dxa"/>
            <w:tcBorders>
              <w:top w:val="single" w:sz="4" w:space="0" w:color="auto"/>
              <w:left w:val="nil"/>
              <w:bottom w:val="single" w:sz="4" w:space="0" w:color="auto"/>
              <w:right w:val="single" w:sz="4" w:space="0" w:color="auto"/>
            </w:tcBorders>
            <w:shd w:val="clear" w:color="000000" w:fill="auto"/>
            <w:noWrap/>
          </w:tcPr>
          <w:p w:rsidR="00B951B1" w:rsidRPr="00E61612" w:rsidRDefault="00B951B1" w:rsidP="00CB78E6">
            <w:pPr>
              <w:spacing w:after="120"/>
              <w:jc w:val="right"/>
              <w:rPr>
                <w:rFonts w:cs="Calibri"/>
                <w:color w:val="000000"/>
                <w:sz w:val="20"/>
                <w:szCs w:val="20"/>
              </w:rPr>
            </w:pPr>
            <w:r w:rsidRPr="00E61612">
              <w:rPr>
                <w:color w:val="000000"/>
                <w:sz w:val="20"/>
                <w:szCs w:val="20"/>
              </w:rPr>
              <w:t>-</w:t>
            </w:r>
          </w:p>
        </w:tc>
        <w:tc>
          <w:tcPr>
            <w:tcW w:w="1134" w:type="dxa"/>
            <w:tcBorders>
              <w:top w:val="single" w:sz="4" w:space="0" w:color="auto"/>
              <w:left w:val="nil"/>
              <w:bottom w:val="single" w:sz="4" w:space="0" w:color="auto"/>
              <w:right w:val="single" w:sz="4" w:space="0" w:color="auto"/>
            </w:tcBorders>
            <w:shd w:val="clear" w:color="000000" w:fill="auto"/>
            <w:noWrap/>
          </w:tcPr>
          <w:p w:rsidR="00B951B1" w:rsidRPr="00E61612" w:rsidRDefault="00B951B1" w:rsidP="00CB78E6">
            <w:pPr>
              <w:spacing w:after="120"/>
              <w:jc w:val="right"/>
              <w:rPr>
                <w:rFonts w:cs="Calibri"/>
                <w:color w:val="000000"/>
                <w:sz w:val="20"/>
                <w:szCs w:val="20"/>
              </w:rPr>
            </w:pPr>
            <w:r w:rsidRPr="00E61612">
              <w:rPr>
                <w:color w:val="000000"/>
                <w:sz w:val="20"/>
                <w:szCs w:val="20"/>
              </w:rPr>
              <w:t>17,092</w:t>
            </w:r>
          </w:p>
        </w:tc>
        <w:tc>
          <w:tcPr>
            <w:tcW w:w="1276" w:type="dxa"/>
            <w:tcBorders>
              <w:top w:val="single" w:sz="4" w:space="0" w:color="auto"/>
              <w:left w:val="nil"/>
              <w:bottom w:val="single" w:sz="4" w:space="0" w:color="auto"/>
              <w:right w:val="single" w:sz="8" w:space="0" w:color="auto"/>
            </w:tcBorders>
            <w:shd w:val="clear" w:color="000000" w:fill="auto"/>
            <w:noWrap/>
          </w:tcPr>
          <w:p w:rsidR="00B951B1" w:rsidRPr="00E61612" w:rsidRDefault="00B951B1" w:rsidP="00CB78E6">
            <w:pPr>
              <w:spacing w:after="120"/>
              <w:jc w:val="right"/>
              <w:rPr>
                <w:rFonts w:cs="Calibri"/>
                <w:color w:val="000000"/>
                <w:sz w:val="20"/>
                <w:szCs w:val="20"/>
              </w:rPr>
            </w:pPr>
            <w:r w:rsidRPr="00E61612">
              <w:rPr>
                <w:color w:val="000000"/>
                <w:sz w:val="20"/>
                <w:szCs w:val="20"/>
              </w:rPr>
              <w:t>-</w:t>
            </w:r>
          </w:p>
        </w:tc>
      </w:tr>
      <w:tr w:rsidR="00B951B1" w:rsidRPr="00E61612" w:rsidTr="00CB78E6">
        <w:trPr>
          <w:trHeight w:val="1380"/>
        </w:trPr>
        <w:tc>
          <w:tcPr>
            <w:tcW w:w="980" w:type="dxa"/>
            <w:tcBorders>
              <w:top w:val="nil"/>
              <w:left w:val="single" w:sz="8" w:space="0" w:color="auto"/>
              <w:bottom w:val="single" w:sz="4" w:space="0" w:color="auto"/>
              <w:right w:val="single" w:sz="4" w:space="0" w:color="auto"/>
            </w:tcBorders>
            <w:shd w:val="clear" w:color="000000" w:fill="D9D9D9"/>
            <w:hideMark/>
          </w:tcPr>
          <w:p w:rsidR="00B951B1" w:rsidRPr="00E61612" w:rsidRDefault="00B951B1" w:rsidP="00CB78E6">
            <w:pPr>
              <w:spacing w:after="120"/>
              <w:jc w:val="center"/>
              <w:rPr>
                <w:rFonts w:cs="Calibri"/>
                <w:b/>
                <w:bCs/>
                <w:color w:val="000000"/>
                <w:sz w:val="20"/>
                <w:szCs w:val="20"/>
              </w:rPr>
            </w:pPr>
            <w:r w:rsidRPr="00E61612">
              <w:rPr>
                <w:rFonts w:cs="Calibri"/>
                <w:b/>
                <w:bCs/>
                <w:color w:val="000000"/>
                <w:sz w:val="20"/>
                <w:szCs w:val="20"/>
              </w:rPr>
              <w:t>C3</w:t>
            </w:r>
          </w:p>
        </w:tc>
        <w:tc>
          <w:tcPr>
            <w:tcW w:w="3263" w:type="dxa"/>
            <w:tcBorders>
              <w:top w:val="nil"/>
              <w:left w:val="nil"/>
              <w:bottom w:val="single" w:sz="4" w:space="0" w:color="auto"/>
              <w:right w:val="single" w:sz="4" w:space="0" w:color="auto"/>
            </w:tcBorders>
            <w:shd w:val="clear" w:color="000000" w:fill="D9D9D9"/>
            <w:hideMark/>
          </w:tcPr>
          <w:p w:rsidR="00B951B1" w:rsidRPr="00E61612" w:rsidRDefault="00B951B1" w:rsidP="00CB78E6">
            <w:pPr>
              <w:spacing w:after="120"/>
              <w:rPr>
                <w:rFonts w:cs="Calibri"/>
                <w:sz w:val="20"/>
                <w:szCs w:val="20"/>
              </w:rPr>
            </w:pPr>
            <w:r w:rsidRPr="00E61612">
              <w:rPr>
                <w:rFonts w:cs="Calibri"/>
                <w:sz w:val="20"/>
                <w:szCs w:val="20"/>
              </w:rPr>
              <w:t>Ndërlidhja më e mirë e arsimit të lartë me tregun e punës</w:t>
            </w:r>
          </w:p>
        </w:tc>
        <w:tc>
          <w:tcPr>
            <w:tcW w:w="1417" w:type="dxa"/>
            <w:tcBorders>
              <w:top w:val="nil"/>
              <w:left w:val="nil"/>
              <w:bottom w:val="single" w:sz="4" w:space="0" w:color="auto"/>
              <w:right w:val="single" w:sz="4" w:space="0" w:color="auto"/>
            </w:tcBorders>
            <w:shd w:val="clear" w:color="000000" w:fill="D9D9D9"/>
            <w:noWrap/>
          </w:tcPr>
          <w:p w:rsidR="00B951B1" w:rsidRPr="00E61612" w:rsidRDefault="00B951B1" w:rsidP="00CB78E6">
            <w:pPr>
              <w:spacing w:after="120"/>
              <w:jc w:val="right"/>
              <w:rPr>
                <w:rFonts w:cs="Calibri"/>
                <w:color w:val="000000"/>
                <w:sz w:val="20"/>
                <w:szCs w:val="20"/>
              </w:rPr>
            </w:pPr>
            <w:r w:rsidRPr="00E61612">
              <w:rPr>
                <w:color w:val="000000"/>
                <w:sz w:val="20"/>
                <w:szCs w:val="20"/>
              </w:rPr>
              <w:t>4,800</w:t>
            </w:r>
          </w:p>
        </w:tc>
        <w:tc>
          <w:tcPr>
            <w:tcW w:w="1134" w:type="dxa"/>
            <w:tcBorders>
              <w:top w:val="nil"/>
              <w:left w:val="nil"/>
              <w:bottom w:val="single" w:sz="4" w:space="0" w:color="auto"/>
              <w:right w:val="single" w:sz="4" w:space="0" w:color="auto"/>
            </w:tcBorders>
            <w:shd w:val="clear" w:color="000000" w:fill="D9D9D9"/>
            <w:noWrap/>
          </w:tcPr>
          <w:p w:rsidR="00B951B1" w:rsidRPr="00E61612" w:rsidRDefault="00B951B1" w:rsidP="00CB78E6">
            <w:pPr>
              <w:spacing w:after="120"/>
              <w:jc w:val="right"/>
              <w:rPr>
                <w:rFonts w:cs="Calibri"/>
                <w:color w:val="000000"/>
                <w:sz w:val="20"/>
                <w:szCs w:val="20"/>
              </w:rPr>
            </w:pPr>
            <w:r w:rsidRPr="00E61612">
              <w:rPr>
                <w:color w:val="000000"/>
                <w:sz w:val="20"/>
                <w:szCs w:val="20"/>
              </w:rPr>
              <w:t>-</w:t>
            </w:r>
          </w:p>
        </w:tc>
        <w:tc>
          <w:tcPr>
            <w:tcW w:w="1134" w:type="dxa"/>
            <w:tcBorders>
              <w:top w:val="nil"/>
              <w:left w:val="nil"/>
              <w:bottom w:val="single" w:sz="4" w:space="0" w:color="auto"/>
              <w:right w:val="single" w:sz="4" w:space="0" w:color="auto"/>
            </w:tcBorders>
            <w:shd w:val="clear" w:color="000000" w:fill="D9D9D9"/>
            <w:noWrap/>
          </w:tcPr>
          <w:p w:rsidR="00B951B1" w:rsidRPr="00E61612" w:rsidRDefault="00B951B1" w:rsidP="00CB78E6">
            <w:pPr>
              <w:spacing w:after="120"/>
              <w:jc w:val="right"/>
              <w:rPr>
                <w:rFonts w:cs="Calibri"/>
                <w:color w:val="000000"/>
                <w:sz w:val="20"/>
                <w:szCs w:val="20"/>
              </w:rPr>
            </w:pPr>
            <w:r w:rsidRPr="00E61612">
              <w:rPr>
                <w:color w:val="000000"/>
                <w:sz w:val="20"/>
                <w:szCs w:val="20"/>
              </w:rPr>
              <w:t>4,800</w:t>
            </w:r>
          </w:p>
        </w:tc>
        <w:tc>
          <w:tcPr>
            <w:tcW w:w="1276" w:type="dxa"/>
            <w:tcBorders>
              <w:top w:val="nil"/>
              <w:left w:val="nil"/>
              <w:bottom w:val="single" w:sz="4" w:space="0" w:color="auto"/>
              <w:right w:val="single" w:sz="8" w:space="0" w:color="auto"/>
            </w:tcBorders>
            <w:shd w:val="clear" w:color="000000" w:fill="D9D9D9"/>
            <w:noWrap/>
          </w:tcPr>
          <w:p w:rsidR="00B951B1" w:rsidRPr="00E61612" w:rsidRDefault="00B951B1" w:rsidP="00CB78E6">
            <w:pPr>
              <w:spacing w:after="120"/>
              <w:jc w:val="right"/>
              <w:rPr>
                <w:rFonts w:cs="Calibri"/>
                <w:color w:val="000000"/>
                <w:sz w:val="20"/>
                <w:szCs w:val="20"/>
              </w:rPr>
            </w:pPr>
            <w:r w:rsidRPr="00E61612">
              <w:rPr>
                <w:color w:val="000000"/>
                <w:sz w:val="20"/>
                <w:szCs w:val="20"/>
              </w:rPr>
              <w:t>-</w:t>
            </w:r>
          </w:p>
        </w:tc>
      </w:tr>
      <w:tr w:rsidR="00B951B1" w:rsidRPr="00E61612" w:rsidTr="00CB78E6">
        <w:trPr>
          <w:trHeight w:val="735"/>
        </w:trPr>
        <w:tc>
          <w:tcPr>
            <w:tcW w:w="980" w:type="dxa"/>
            <w:tcBorders>
              <w:top w:val="single" w:sz="4" w:space="0" w:color="auto"/>
              <w:left w:val="single" w:sz="8" w:space="0" w:color="auto"/>
              <w:bottom w:val="single" w:sz="4" w:space="0" w:color="auto"/>
              <w:right w:val="single" w:sz="4" w:space="0" w:color="auto"/>
            </w:tcBorders>
            <w:shd w:val="clear" w:color="000000" w:fill="auto"/>
            <w:hideMark/>
          </w:tcPr>
          <w:p w:rsidR="00B951B1" w:rsidRPr="00E61612" w:rsidRDefault="00B951B1" w:rsidP="00CB78E6">
            <w:pPr>
              <w:spacing w:after="120"/>
              <w:jc w:val="center"/>
              <w:rPr>
                <w:rFonts w:cs="Calibri"/>
                <w:b/>
                <w:bCs/>
                <w:color w:val="000000"/>
                <w:sz w:val="20"/>
                <w:szCs w:val="20"/>
              </w:rPr>
            </w:pPr>
            <w:r w:rsidRPr="00E61612">
              <w:rPr>
                <w:rFonts w:cs="Calibri"/>
                <w:b/>
                <w:bCs/>
                <w:color w:val="000000"/>
                <w:sz w:val="20"/>
                <w:szCs w:val="20"/>
              </w:rPr>
              <w:t>C3.1</w:t>
            </w:r>
          </w:p>
        </w:tc>
        <w:tc>
          <w:tcPr>
            <w:tcW w:w="3263" w:type="dxa"/>
            <w:tcBorders>
              <w:top w:val="single" w:sz="4" w:space="0" w:color="auto"/>
              <w:left w:val="nil"/>
              <w:bottom w:val="single" w:sz="4" w:space="0" w:color="auto"/>
              <w:right w:val="single" w:sz="4" w:space="0" w:color="auto"/>
            </w:tcBorders>
            <w:shd w:val="clear" w:color="000000" w:fill="auto"/>
            <w:hideMark/>
          </w:tcPr>
          <w:p w:rsidR="00B951B1" w:rsidRPr="00E61612" w:rsidRDefault="00B951B1" w:rsidP="00CB78E6">
            <w:pPr>
              <w:spacing w:after="120"/>
              <w:rPr>
                <w:rFonts w:cs="Calibri"/>
                <w:sz w:val="20"/>
                <w:szCs w:val="20"/>
              </w:rPr>
            </w:pPr>
            <w:r w:rsidRPr="00E61612">
              <w:rPr>
                <w:rFonts w:cs="Calibri"/>
                <w:sz w:val="20"/>
                <w:szCs w:val="20"/>
              </w:rPr>
              <w:t>Harmoniz</w:t>
            </w:r>
            <w:r>
              <w:rPr>
                <w:rFonts w:cs="Calibri"/>
                <w:sz w:val="20"/>
                <w:szCs w:val="20"/>
              </w:rPr>
              <w:t>imi i</w:t>
            </w:r>
            <w:r w:rsidRPr="00E61612">
              <w:rPr>
                <w:rFonts w:cs="Calibri"/>
                <w:sz w:val="20"/>
                <w:szCs w:val="20"/>
              </w:rPr>
              <w:t xml:space="preserve"> programe</w:t>
            </w:r>
            <w:r>
              <w:rPr>
                <w:rFonts w:cs="Calibri"/>
                <w:sz w:val="20"/>
                <w:szCs w:val="20"/>
              </w:rPr>
              <w:t>ve</w:t>
            </w:r>
            <w:r w:rsidRPr="00E61612">
              <w:rPr>
                <w:rFonts w:cs="Calibri"/>
                <w:sz w:val="20"/>
                <w:szCs w:val="20"/>
              </w:rPr>
              <w:t xml:space="preserve"> në IAL</w:t>
            </w:r>
            <w:r>
              <w:rPr>
                <w:rFonts w:cs="Calibri"/>
                <w:sz w:val="20"/>
                <w:szCs w:val="20"/>
              </w:rPr>
              <w:t>-të</w:t>
            </w:r>
            <w:r w:rsidRPr="00E61612">
              <w:rPr>
                <w:rFonts w:cs="Calibri"/>
                <w:sz w:val="20"/>
                <w:szCs w:val="20"/>
              </w:rPr>
              <w:t xml:space="preserve"> me kërkesat e tregut të punës</w:t>
            </w:r>
          </w:p>
        </w:tc>
        <w:tc>
          <w:tcPr>
            <w:tcW w:w="1417" w:type="dxa"/>
            <w:tcBorders>
              <w:top w:val="single" w:sz="4" w:space="0" w:color="auto"/>
              <w:left w:val="nil"/>
              <w:bottom w:val="single" w:sz="4" w:space="0" w:color="auto"/>
              <w:right w:val="single" w:sz="4" w:space="0" w:color="auto"/>
            </w:tcBorders>
            <w:shd w:val="clear" w:color="000000" w:fill="auto"/>
            <w:noWrap/>
          </w:tcPr>
          <w:p w:rsidR="00B951B1" w:rsidRPr="00E61612" w:rsidRDefault="00B951B1" w:rsidP="00CB78E6">
            <w:pPr>
              <w:spacing w:after="120"/>
              <w:jc w:val="right"/>
              <w:rPr>
                <w:rFonts w:cs="Calibri"/>
                <w:color w:val="000000"/>
                <w:sz w:val="20"/>
                <w:szCs w:val="20"/>
              </w:rPr>
            </w:pPr>
            <w:r w:rsidRPr="00E61612">
              <w:rPr>
                <w:color w:val="000000"/>
                <w:sz w:val="20"/>
                <w:szCs w:val="20"/>
              </w:rPr>
              <w:t>4,800</w:t>
            </w:r>
          </w:p>
        </w:tc>
        <w:tc>
          <w:tcPr>
            <w:tcW w:w="1134" w:type="dxa"/>
            <w:tcBorders>
              <w:top w:val="single" w:sz="4" w:space="0" w:color="auto"/>
              <w:left w:val="nil"/>
              <w:bottom w:val="single" w:sz="4" w:space="0" w:color="auto"/>
              <w:right w:val="single" w:sz="4" w:space="0" w:color="auto"/>
            </w:tcBorders>
            <w:shd w:val="clear" w:color="000000" w:fill="auto"/>
            <w:noWrap/>
          </w:tcPr>
          <w:p w:rsidR="00B951B1" w:rsidRPr="00E61612" w:rsidRDefault="00B951B1" w:rsidP="00CB78E6">
            <w:pPr>
              <w:spacing w:after="120"/>
              <w:jc w:val="right"/>
              <w:rPr>
                <w:rFonts w:cs="Calibri"/>
                <w:color w:val="000000"/>
                <w:sz w:val="20"/>
                <w:szCs w:val="20"/>
              </w:rPr>
            </w:pPr>
            <w:r w:rsidRPr="00E61612">
              <w:rPr>
                <w:color w:val="000000"/>
                <w:sz w:val="20"/>
                <w:szCs w:val="20"/>
              </w:rPr>
              <w:t>-</w:t>
            </w:r>
          </w:p>
        </w:tc>
        <w:tc>
          <w:tcPr>
            <w:tcW w:w="1134" w:type="dxa"/>
            <w:tcBorders>
              <w:top w:val="single" w:sz="4" w:space="0" w:color="auto"/>
              <w:left w:val="nil"/>
              <w:bottom w:val="single" w:sz="4" w:space="0" w:color="auto"/>
              <w:right w:val="single" w:sz="4" w:space="0" w:color="auto"/>
            </w:tcBorders>
            <w:shd w:val="clear" w:color="000000" w:fill="auto"/>
            <w:noWrap/>
          </w:tcPr>
          <w:p w:rsidR="00B951B1" w:rsidRPr="00E61612" w:rsidRDefault="00B951B1" w:rsidP="00CB78E6">
            <w:pPr>
              <w:spacing w:after="120"/>
              <w:jc w:val="right"/>
              <w:rPr>
                <w:rFonts w:cs="Calibri"/>
                <w:color w:val="000000"/>
                <w:sz w:val="20"/>
                <w:szCs w:val="20"/>
              </w:rPr>
            </w:pPr>
            <w:r w:rsidRPr="00E61612">
              <w:rPr>
                <w:color w:val="000000"/>
                <w:sz w:val="20"/>
                <w:szCs w:val="20"/>
              </w:rPr>
              <w:t>4,800</w:t>
            </w:r>
          </w:p>
        </w:tc>
        <w:tc>
          <w:tcPr>
            <w:tcW w:w="1276" w:type="dxa"/>
            <w:tcBorders>
              <w:top w:val="single" w:sz="4" w:space="0" w:color="auto"/>
              <w:left w:val="nil"/>
              <w:bottom w:val="single" w:sz="4" w:space="0" w:color="auto"/>
              <w:right w:val="single" w:sz="8" w:space="0" w:color="auto"/>
            </w:tcBorders>
            <w:shd w:val="clear" w:color="000000" w:fill="auto"/>
            <w:noWrap/>
          </w:tcPr>
          <w:p w:rsidR="00B951B1" w:rsidRPr="00E61612" w:rsidRDefault="00B951B1" w:rsidP="00CB78E6">
            <w:pPr>
              <w:spacing w:after="120"/>
              <w:jc w:val="right"/>
              <w:rPr>
                <w:rFonts w:cs="Calibri"/>
                <w:color w:val="000000"/>
                <w:sz w:val="20"/>
                <w:szCs w:val="20"/>
              </w:rPr>
            </w:pPr>
            <w:r w:rsidRPr="00E61612">
              <w:rPr>
                <w:color w:val="000000"/>
                <w:sz w:val="20"/>
                <w:szCs w:val="20"/>
              </w:rPr>
              <w:t>-</w:t>
            </w:r>
          </w:p>
        </w:tc>
      </w:tr>
      <w:tr w:rsidR="00B951B1" w:rsidRPr="00E61612" w:rsidTr="00CB78E6">
        <w:trPr>
          <w:trHeight w:val="735"/>
        </w:trPr>
        <w:tc>
          <w:tcPr>
            <w:tcW w:w="980" w:type="dxa"/>
            <w:tcBorders>
              <w:top w:val="single" w:sz="4" w:space="0" w:color="auto"/>
              <w:left w:val="single" w:sz="8" w:space="0" w:color="auto"/>
              <w:bottom w:val="single" w:sz="4" w:space="0" w:color="auto"/>
              <w:right w:val="single" w:sz="4" w:space="0" w:color="auto"/>
            </w:tcBorders>
            <w:shd w:val="clear" w:color="000000" w:fill="auto"/>
            <w:hideMark/>
          </w:tcPr>
          <w:p w:rsidR="00B951B1" w:rsidRPr="00E61612" w:rsidRDefault="00B951B1" w:rsidP="00CB78E6">
            <w:pPr>
              <w:spacing w:after="120"/>
              <w:jc w:val="center"/>
              <w:rPr>
                <w:rFonts w:cs="Calibri"/>
                <w:b/>
                <w:bCs/>
                <w:color w:val="000000"/>
                <w:sz w:val="20"/>
                <w:szCs w:val="20"/>
              </w:rPr>
            </w:pPr>
            <w:r w:rsidRPr="00E61612">
              <w:rPr>
                <w:rFonts w:cs="Calibri"/>
                <w:b/>
                <w:bCs/>
                <w:color w:val="000000"/>
                <w:sz w:val="20"/>
                <w:szCs w:val="20"/>
              </w:rPr>
              <w:t>C3.2</w:t>
            </w:r>
          </w:p>
        </w:tc>
        <w:tc>
          <w:tcPr>
            <w:tcW w:w="3263" w:type="dxa"/>
            <w:tcBorders>
              <w:top w:val="single" w:sz="4" w:space="0" w:color="auto"/>
              <w:left w:val="nil"/>
              <w:bottom w:val="single" w:sz="4" w:space="0" w:color="auto"/>
              <w:right w:val="single" w:sz="4" w:space="0" w:color="auto"/>
            </w:tcBorders>
            <w:shd w:val="clear" w:color="000000" w:fill="auto"/>
            <w:hideMark/>
          </w:tcPr>
          <w:p w:rsidR="00B951B1" w:rsidRPr="00E61612" w:rsidRDefault="00B951B1" w:rsidP="00CB78E6">
            <w:pPr>
              <w:spacing w:after="120"/>
              <w:rPr>
                <w:rFonts w:cs="Calibri"/>
                <w:sz w:val="20"/>
                <w:szCs w:val="20"/>
              </w:rPr>
            </w:pPr>
            <w:r w:rsidRPr="00E61612">
              <w:rPr>
                <w:rFonts w:cs="Calibri"/>
                <w:sz w:val="20"/>
                <w:szCs w:val="20"/>
              </w:rPr>
              <w:t>Rritja e mundësive për punë praktike në studimet e larta</w:t>
            </w:r>
          </w:p>
        </w:tc>
        <w:tc>
          <w:tcPr>
            <w:tcW w:w="1417" w:type="dxa"/>
            <w:tcBorders>
              <w:top w:val="single" w:sz="4" w:space="0" w:color="auto"/>
              <w:left w:val="nil"/>
              <w:bottom w:val="single" w:sz="4" w:space="0" w:color="auto"/>
              <w:right w:val="single" w:sz="4" w:space="0" w:color="auto"/>
            </w:tcBorders>
            <w:shd w:val="clear" w:color="000000" w:fill="auto"/>
            <w:noWrap/>
          </w:tcPr>
          <w:p w:rsidR="00B951B1" w:rsidRPr="00E61612" w:rsidRDefault="00B951B1" w:rsidP="00CB78E6">
            <w:pPr>
              <w:spacing w:after="120"/>
              <w:jc w:val="right"/>
              <w:rPr>
                <w:rFonts w:cs="Calibri"/>
                <w:color w:val="000000"/>
                <w:sz w:val="20"/>
                <w:szCs w:val="20"/>
              </w:rPr>
            </w:pPr>
            <w:r w:rsidRPr="00E61612">
              <w:rPr>
                <w:color w:val="000000"/>
                <w:sz w:val="20"/>
                <w:szCs w:val="20"/>
              </w:rPr>
              <w:t>-</w:t>
            </w:r>
          </w:p>
        </w:tc>
        <w:tc>
          <w:tcPr>
            <w:tcW w:w="1134" w:type="dxa"/>
            <w:tcBorders>
              <w:top w:val="single" w:sz="4" w:space="0" w:color="auto"/>
              <w:left w:val="nil"/>
              <w:bottom w:val="single" w:sz="4" w:space="0" w:color="auto"/>
              <w:right w:val="single" w:sz="4" w:space="0" w:color="auto"/>
            </w:tcBorders>
            <w:shd w:val="clear" w:color="000000" w:fill="auto"/>
            <w:noWrap/>
          </w:tcPr>
          <w:p w:rsidR="00B951B1" w:rsidRPr="00E61612" w:rsidRDefault="00B951B1" w:rsidP="00CB78E6">
            <w:pPr>
              <w:spacing w:after="120"/>
              <w:jc w:val="right"/>
              <w:rPr>
                <w:rFonts w:cs="Calibri"/>
                <w:color w:val="000000"/>
                <w:sz w:val="20"/>
                <w:szCs w:val="20"/>
              </w:rPr>
            </w:pPr>
            <w:r w:rsidRPr="00E61612">
              <w:rPr>
                <w:color w:val="000000"/>
                <w:sz w:val="20"/>
                <w:szCs w:val="20"/>
              </w:rPr>
              <w:t>-</w:t>
            </w:r>
          </w:p>
        </w:tc>
        <w:tc>
          <w:tcPr>
            <w:tcW w:w="1134" w:type="dxa"/>
            <w:tcBorders>
              <w:top w:val="single" w:sz="4" w:space="0" w:color="auto"/>
              <w:left w:val="nil"/>
              <w:bottom w:val="single" w:sz="4" w:space="0" w:color="auto"/>
              <w:right w:val="single" w:sz="4" w:space="0" w:color="auto"/>
            </w:tcBorders>
            <w:shd w:val="clear" w:color="000000" w:fill="auto"/>
            <w:noWrap/>
          </w:tcPr>
          <w:p w:rsidR="00B951B1" w:rsidRPr="00E61612" w:rsidRDefault="00B951B1" w:rsidP="00CB78E6">
            <w:pPr>
              <w:spacing w:after="120"/>
              <w:jc w:val="right"/>
              <w:rPr>
                <w:rFonts w:cs="Calibri"/>
                <w:color w:val="000000"/>
                <w:sz w:val="20"/>
                <w:szCs w:val="20"/>
              </w:rPr>
            </w:pPr>
            <w:r w:rsidRPr="00E61612">
              <w:rPr>
                <w:color w:val="000000"/>
                <w:sz w:val="20"/>
                <w:szCs w:val="20"/>
              </w:rPr>
              <w:t>-</w:t>
            </w:r>
          </w:p>
        </w:tc>
        <w:tc>
          <w:tcPr>
            <w:tcW w:w="1276" w:type="dxa"/>
            <w:tcBorders>
              <w:top w:val="single" w:sz="4" w:space="0" w:color="auto"/>
              <w:left w:val="nil"/>
              <w:bottom w:val="single" w:sz="4" w:space="0" w:color="auto"/>
              <w:right w:val="single" w:sz="8" w:space="0" w:color="auto"/>
            </w:tcBorders>
            <w:shd w:val="clear" w:color="000000" w:fill="auto"/>
            <w:noWrap/>
          </w:tcPr>
          <w:p w:rsidR="00B951B1" w:rsidRPr="00E61612" w:rsidRDefault="00B951B1" w:rsidP="00CB78E6">
            <w:pPr>
              <w:spacing w:after="120"/>
              <w:jc w:val="right"/>
              <w:rPr>
                <w:rFonts w:cs="Calibri"/>
                <w:color w:val="000000"/>
                <w:sz w:val="20"/>
                <w:szCs w:val="20"/>
              </w:rPr>
            </w:pPr>
            <w:r w:rsidRPr="00E61612">
              <w:rPr>
                <w:color w:val="000000"/>
                <w:sz w:val="20"/>
                <w:szCs w:val="20"/>
              </w:rPr>
              <w:t>-</w:t>
            </w:r>
          </w:p>
        </w:tc>
      </w:tr>
      <w:tr w:rsidR="00B951B1" w:rsidRPr="00E61612" w:rsidTr="00CB78E6">
        <w:trPr>
          <w:trHeight w:val="735"/>
        </w:trPr>
        <w:tc>
          <w:tcPr>
            <w:tcW w:w="980" w:type="dxa"/>
            <w:tcBorders>
              <w:top w:val="single" w:sz="4" w:space="0" w:color="auto"/>
              <w:left w:val="single" w:sz="8" w:space="0" w:color="auto"/>
              <w:bottom w:val="single" w:sz="4" w:space="0" w:color="auto"/>
              <w:right w:val="single" w:sz="4" w:space="0" w:color="auto"/>
            </w:tcBorders>
            <w:shd w:val="clear" w:color="000000" w:fill="auto"/>
            <w:hideMark/>
          </w:tcPr>
          <w:p w:rsidR="00B951B1" w:rsidRPr="00E61612" w:rsidRDefault="00B951B1" w:rsidP="00CB78E6">
            <w:pPr>
              <w:spacing w:after="120"/>
              <w:jc w:val="center"/>
              <w:rPr>
                <w:rFonts w:cs="Calibri"/>
                <w:b/>
                <w:bCs/>
                <w:color w:val="000000"/>
                <w:sz w:val="20"/>
                <w:szCs w:val="20"/>
              </w:rPr>
            </w:pPr>
            <w:r w:rsidRPr="00E61612">
              <w:rPr>
                <w:rFonts w:cs="Calibri"/>
                <w:b/>
                <w:bCs/>
                <w:color w:val="000000"/>
                <w:sz w:val="20"/>
                <w:szCs w:val="20"/>
              </w:rPr>
              <w:t>C3.3</w:t>
            </w:r>
          </w:p>
        </w:tc>
        <w:tc>
          <w:tcPr>
            <w:tcW w:w="3263" w:type="dxa"/>
            <w:tcBorders>
              <w:top w:val="single" w:sz="4" w:space="0" w:color="auto"/>
              <w:left w:val="nil"/>
              <w:bottom w:val="single" w:sz="4" w:space="0" w:color="auto"/>
              <w:right w:val="single" w:sz="4" w:space="0" w:color="auto"/>
            </w:tcBorders>
            <w:shd w:val="clear" w:color="000000" w:fill="auto"/>
            <w:hideMark/>
          </w:tcPr>
          <w:p w:rsidR="00B951B1" w:rsidRPr="00E61612" w:rsidRDefault="00B951B1" w:rsidP="00CB78E6">
            <w:pPr>
              <w:spacing w:after="120"/>
              <w:rPr>
                <w:rFonts w:cs="Calibri"/>
                <w:sz w:val="20"/>
                <w:szCs w:val="20"/>
              </w:rPr>
            </w:pPr>
            <w:r w:rsidRPr="00E61612">
              <w:rPr>
                <w:rFonts w:cs="Calibri"/>
                <w:sz w:val="20"/>
                <w:szCs w:val="20"/>
              </w:rPr>
              <w:t xml:space="preserve">Promovimi i </w:t>
            </w:r>
            <w:r w:rsidRPr="00FD67BE">
              <w:rPr>
                <w:rFonts w:cs="Calibri"/>
                <w:sz w:val="20"/>
                <w:szCs w:val="20"/>
              </w:rPr>
              <w:t>ndërdisiplinaritetit</w:t>
            </w:r>
            <w:r w:rsidRPr="00E61612">
              <w:rPr>
                <w:rFonts w:cs="Calibri"/>
                <w:sz w:val="20"/>
                <w:szCs w:val="20"/>
              </w:rPr>
              <w:t xml:space="preserve"> dhe programeve STEM</w:t>
            </w:r>
          </w:p>
        </w:tc>
        <w:tc>
          <w:tcPr>
            <w:tcW w:w="1417" w:type="dxa"/>
            <w:tcBorders>
              <w:top w:val="single" w:sz="4" w:space="0" w:color="auto"/>
              <w:left w:val="nil"/>
              <w:bottom w:val="single" w:sz="4" w:space="0" w:color="auto"/>
              <w:right w:val="single" w:sz="4" w:space="0" w:color="auto"/>
            </w:tcBorders>
            <w:shd w:val="clear" w:color="000000" w:fill="auto"/>
            <w:noWrap/>
          </w:tcPr>
          <w:p w:rsidR="00B951B1" w:rsidRPr="00E61612" w:rsidRDefault="00B951B1" w:rsidP="00CB78E6">
            <w:pPr>
              <w:spacing w:after="120"/>
              <w:jc w:val="right"/>
              <w:rPr>
                <w:rFonts w:cs="Calibri"/>
                <w:color w:val="000000"/>
                <w:sz w:val="20"/>
                <w:szCs w:val="20"/>
              </w:rPr>
            </w:pPr>
            <w:r w:rsidRPr="00E61612">
              <w:rPr>
                <w:color w:val="000000"/>
                <w:sz w:val="20"/>
                <w:szCs w:val="20"/>
              </w:rPr>
              <w:t>-</w:t>
            </w:r>
          </w:p>
        </w:tc>
        <w:tc>
          <w:tcPr>
            <w:tcW w:w="1134" w:type="dxa"/>
            <w:tcBorders>
              <w:top w:val="single" w:sz="4" w:space="0" w:color="auto"/>
              <w:left w:val="nil"/>
              <w:bottom w:val="single" w:sz="4" w:space="0" w:color="auto"/>
              <w:right w:val="single" w:sz="4" w:space="0" w:color="auto"/>
            </w:tcBorders>
            <w:shd w:val="clear" w:color="000000" w:fill="auto"/>
            <w:noWrap/>
          </w:tcPr>
          <w:p w:rsidR="00B951B1" w:rsidRPr="00E61612" w:rsidRDefault="00B951B1" w:rsidP="00CB78E6">
            <w:pPr>
              <w:spacing w:after="120"/>
              <w:jc w:val="right"/>
              <w:rPr>
                <w:rFonts w:cs="Calibri"/>
                <w:color w:val="000000"/>
                <w:sz w:val="20"/>
                <w:szCs w:val="20"/>
              </w:rPr>
            </w:pPr>
            <w:r w:rsidRPr="00E61612">
              <w:rPr>
                <w:color w:val="000000"/>
                <w:sz w:val="20"/>
                <w:szCs w:val="20"/>
              </w:rPr>
              <w:t>-</w:t>
            </w:r>
          </w:p>
        </w:tc>
        <w:tc>
          <w:tcPr>
            <w:tcW w:w="1134" w:type="dxa"/>
            <w:tcBorders>
              <w:top w:val="single" w:sz="4" w:space="0" w:color="auto"/>
              <w:left w:val="nil"/>
              <w:bottom w:val="single" w:sz="4" w:space="0" w:color="auto"/>
              <w:right w:val="single" w:sz="4" w:space="0" w:color="auto"/>
            </w:tcBorders>
            <w:shd w:val="clear" w:color="000000" w:fill="auto"/>
            <w:noWrap/>
          </w:tcPr>
          <w:p w:rsidR="00B951B1" w:rsidRPr="00E61612" w:rsidRDefault="00B951B1" w:rsidP="00CB78E6">
            <w:pPr>
              <w:spacing w:after="120"/>
              <w:jc w:val="right"/>
              <w:rPr>
                <w:rFonts w:cs="Calibri"/>
                <w:color w:val="000000"/>
                <w:sz w:val="20"/>
                <w:szCs w:val="20"/>
              </w:rPr>
            </w:pPr>
            <w:r w:rsidRPr="00E61612">
              <w:rPr>
                <w:color w:val="000000"/>
                <w:sz w:val="20"/>
                <w:szCs w:val="20"/>
              </w:rPr>
              <w:t>-</w:t>
            </w:r>
          </w:p>
        </w:tc>
        <w:tc>
          <w:tcPr>
            <w:tcW w:w="1276" w:type="dxa"/>
            <w:tcBorders>
              <w:top w:val="single" w:sz="4" w:space="0" w:color="auto"/>
              <w:left w:val="nil"/>
              <w:bottom w:val="single" w:sz="4" w:space="0" w:color="auto"/>
              <w:right w:val="single" w:sz="8" w:space="0" w:color="auto"/>
            </w:tcBorders>
            <w:shd w:val="clear" w:color="000000" w:fill="auto"/>
            <w:noWrap/>
          </w:tcPr>
          <w:p w:rsidR="00B951B1" w:rsidRPr="00E61612" w:rsidRDefault="00B951B1" w:rsidP="00CB78E6">
            <w:pPr>
              <w:spacing w:after="120"/>
              <w:jc w:val="right"/>
              <w:rPr>
                <w:rFonts w:cs="Calibri"/>
                <w:color w:val="000000"/>
                <w:sz w:val="20"/>
                <w:szCs w:val="20"/>
              </w:rPr>
            </w:pPr>
            <w:r w:rsidRPr="00E61612">
              <w:rPr>
                <w:color w:val="000000"/>
                <w:sz w:val="20"/>
                <w:szCs w:val="20"/>
              </w:rPr>
              <w:t>-</w:t>
            </w:r>
          </w:p>
        </w:tc>
      </w:tr>
      <w:tr w:rsidR="00B951B1" w:rsidRPr="00E61612" w:rsidTr="00CB78E6">
        <w:trPr>
          <w:trHeight w:val="815"/>
        </w:trPr>
        <w:tc>
          <w:tcPr>
            <w:tcW w:w="980" w:type="dxa"/>
            <w:tcBorders>
              <w:top w:val="nil"/>
              <w:left w:val="single" w:sz="8" w:space="0" w:color="auto"/>
              <w:bottom w:val="single" w:sz="4" w:space="0" w:color="auto"/>
              <w:right w:val="single" w:sz="4" w:space="0" w:color="auto"/>
            </w:tcBorders>
            <w:shd w:val="clear" w:color="000000" w:fill="D9D9D9"/>
            <w:hideMark/>
          </w:tcPr>
          <w:p w:rsidR="00B951B1" w:rsidRPr="00E61612" w:rsidRDefault="00B951B1" w:rsidP="00CB78E6">
            <w:pPr>
              <w:spacing w:after="120"/>
              <w:jc w:val="center"/>
              <w:rPr>
                <w:rFonts w:cs="Calibri"/>
                <w:b/>
                <w:bCs/>
                <w:color w:val="000000"/>
                <w:sz w:val="20"/>
                <w:szCs w:val="20"/>
              </w:rPr>
            </w:pPr>
            <w:r w:rsidRPr="00E61612">
              <w:rPr>
                <w:rFonts w:cs="Calibri"/>
                <w:b/>
                <w:bCs/>
                <w:color w:val="000000"/>
                <w:sz w:val="20"/>
                <w:szCs w:val="20"/>
              </w:rPr>
              <w:t>C4</w:t>
            </w:r>
          </w:p>
        </w:tc>
        <w:tc>
          <w:tcPr>
            <w:tcW w:w="3263" w:type="dxa"/>
            <w:tcBorders>
              <w:top w:val="nil"/>
              <w:left w:val="nil"/>
              <w:bottom w:val="single" w:sz="4" w:space="0" w:color="auto"/>
              <w:right w:val="single" w:sz="4" w:space="0" w:color="auto"/>
            </w:tcBorders>
            <w:shd w:val="clear" w:color="000000" w:fill="D9D9D9"/>
            <w:hideMark/>
          </w:tcPr>
          <w:p w:rsidR="00B951B1" w:rsidRPr="00E61612" w:rsidRDefault="00B951B1" w:rsidP="00CB78E6">
            <w:pPr>
              <w:spacing w:after="120"/>
              <w:rPr>
                <w:rFonts w:cs="Calibri"/>
                <w:sz w:val="20"/>
                <w:szCs w:val="20"/>
              </w:rPr>
            </w:pPr>
            <w:r w:rsidRPr="00E61612">
              <w:rPr>
                <w:rFonts w:cs="Calibri"/>
                <w:sz w:val="20"/>
                <w:szCs w:val="20"/>
              </w:rPr>
              <w:t>Sigurimi i integritetit akademik, transparencës dhe llogaridhënies në sektorin e arsimit të lartë</w:t>
            </w:r>
          </w:p>
        </w:tc>
        <w:tc>
          <w:tcPr>
            <w:tcW w:w="1417" w:type="dxa"/>
            <w:tcBorders>
              <w:top w:val="nil"/>
              <w:left w:val="nil"/>
              <w:bottom w:val="single" w:sz="4" w:space="0" w:color="auto"/>
              <w:right w:val="single" w:sz="4" w:space="0" w:color="auto"/>
            </w:tcBorders>
            <w:shd w:val="clear" w:color="000000" w:fill="D9D9D9"/>
            <w:noWrap/>
          </w:tcPr>
          <w:p w:rsidR="00B951B1" w:rsidRPr="00E61612" w:rsidRDefault="00B951B1" w:rsidP="00CB78E6">
            <w:pPr>
              <w:spacing w:after="120"/>
              <w:jc w:val="right"/>
              <w:rPr>
                <w:rFonts w:cs="Calibri"/>
                <w:color w:val="000000"/>
                <w:sz w:val="20"/>
                <w:szCs w:val="20"/>
              </w:rPr>
            </w:pPr>
            <w:r w:rsidRPr="00E61612">
              <w:rPr>
                <w:color w:val="000000"/>
                <w:sz w:val="20"/>
                <w:szCs w:val="20"/>
              </w:rPr>
              <w:t>64,560</w:t>
            </w:r>
          </w:p>
        </w:tc>
        <w:tc>
          <w:tcPr>
            <w:tcW w:w="1134" w:type="dxa"/>
            <w:tcBorders>
              <w:top w:val="nil"/>
              <w:left w:val="nil"/>
              <w:bottom w:val="single" w:sz="4" w:space="0" w:color="auto"/>
              <w:right w:val="single" w:sz="4" w:space="0" w:color="auto"/>
            </w:tcBorders>
            <w:shd w:val="clear" w:color="000000" w:fill="D9D9D9"/>
            <w:noWrap/>
          </w:tcPr>
          <w:p w:rsidR="00B951B1" w:rsidRPr="00E61612" w:rsidRDefault="00B951B1" w:rsidP="00CB78E6">
            <w:pPr>
              <w:spacing w:after="120"/>
              <w:jc w:val="right"/>
              <w:rPr>
                <w:rFonts w:cs="Calibri"/>
                <w:color w:val="000000"/>
                <w:sz w:val="20"/>
                <w:szCs w:val="20"/>
              </w:rPr>
            </w:pPr>
            <w:r w:rsidRPr="00E61612">
              <w:rPr>
                <w:color w:val="000000"/>
                <w:sz w:val="20"/>
                <w:szCs w:val="20"/>
              </w:rPr>
              <w:t>-</w:t>
            </w:r>
          </w:p>
        </w:tc>
        <w:tc>
          <w:tcPr>
            <w:tcW w:w="1134" w:type="dxa"/>
            <w:tcBorders>
              <w:top w:val="nil"/>
              <w:left w:val="nil"/>
              <w:bottom w:val="single" w:sz="4" w:space="0" w:color="auto"/>
              <w:right w:val="single" w:sz="4" w:space="0" w:color="auto"/>
            </w:tcBorders>
            <w:shd w:val="clear" w:color="000000" w:fill="D9D9D9"/>
            <w:noWrap/>
          </w:tcPr>
          <w:p w:rsidR="00B951B1" w:rsidRPr="00E61612" w:rsidRDefault="00B951B1" w:rsidP="00CB78E6">
            <w:pPr>
              <w:spacing w:after="120"/>
              <w:jc w:val="right"/>
              <w:rPr>
                <w:rFonts w:cs="Calibri"/>
                <w:color w:val="000000"/>
                <w:sz w:val="20"/>
                <w:szCs w:val="20"/>
              </w:rPr>
            </w:pPr>
            <w:r w:rsidRPr="00E61612">
              <w:rPr>
                <w:color w:val="000000"/>
                <w:sz w:val="20"/>
                <w:szCs w:val="20"/>
              </w:rPr>
              <w:t>-</w:t>
            </w:r>
          </w:p>
        </w:tc>
        <w:tc>
          <w:tcPr>
            <w:tcW w:w="1276" w:type="dxa"/>
            <w:tcBorders>
              <w:top w:val="nil"/>
              <w:left w:val="nil"/>
              <w:bottom w:val="single" w:sz="4" w:space="0" w:color="auto"/>
              <w:right w:val="single" w:sz="8" w:space="0" w:color="auto"/>
            </w:tcBorders>
            <w:shd w:val="clear" w:color="000000" w:fill="D9D9D9"/>
            <w:noWrap/>
          </w:tcPr>
          <w:p w:rsidR="00B951B1" w:rsidRPr="00E61612" w:rsidRDefault="00B951B1" w:rsidP="00CB78E6">
            <w:pPr>
              <w:spacing w:after="120"/>
              <w:jc w:val="right"/>
              <w:rPr>
                <w:rFonts w:cs="Calibri"/>
                <w:color w:val="000000"/>
                <w:sz w:val="20"/>
                <w:szCs w:val="20"/>
              </w:rPr>
            </w:pPr>
            <w:r w:rsidRPr="00E61612">
              <w:rPr>
                <w:color w:val="000000"/>
                <w:sz w:val="20"/>
                <w:szCs w:val="20"/>
              </w:rPr>
              <w:t>(64,560)</w:t>
            </w:r>
          </w:p>
        </w:tc>
      </w:tr>
      <w:tr w:rsidR="00B951B1" w:rsidRPr="00E61612" w:rsidTr="00CB78E6">
        <w:trPr>
          <w:trHeight w:val="705"/>
        </w:trPr>
        <w:tc>
          <w:tcPr>
            <w:tcW w:w="980" w:type="dxa"/>
            <w:tcBorders>
              <w:top w:val="single" w:sz="4" w:space="0" w:color="auto"/>
              <w:left w:val="single" w:sz="8" w:space="0" w:color="auto"/>
              <w:bottom w:val="single" w:sz="4" w:space="0" w:color="auto"/>
              <w:right w:val="single" w:sz="4" w:space="0" w:color="auto"/>
            </w:tcBorders>
            <w:shd w:val="clear" w:color="000000" w:fill="auto"/>
            <w:hideMark/>
          </w:tcPr>
          <w:p w:rsidR="00B951B1" w:rsidRPr="00E61612" w:rsidRDefault="00B951B1" w:rsidP="00CB78E6">
            <w:pPr>
              <w:spacing w:after="120"/>
              <w:jc w:val="center"/>
              <w:rPr>
                <w:rFonts w:cs="Calibri"/>
                <w:b/>
                <w:bCs/>
                <w:color w:val="000000"/>
                <w:sz w:val="20"/>
                <w:szCs w:val="20"/>
              </w:rPr>
            </w:pPr>
            <w:r w:rsidRPr="00E61612">
              <w:rPr>
                <w:rFonts w:cs="Calibri"/>
                <w:b/>
                <w:bCs/>
                <w:color w:val="000000"/>
                <w:sz w:val="20"/>
                <w:szCs w:val="20"/>
              </w:rPr>
              <w:lastRenderedPageBreak/>
              <w:t>C4.1</w:t>
            </w:r>
          </w:p>
        </w:tc>
        <w:tc>
          <w:tcPr>
            <w:tcW w:w="3263" w:type="dxa"/>
            <w:tcBorders>
              <w:top w:val="single" w:sz="4" w:space="0" w:color="auto"/>
              <w:left w:val="nil"/>
              <w:bottom w:val="single" w:sz="4" w:space="0" w:color="auto"/>
              <w:right w:val="single" w:sz="4" w:space="0" w:color="auto"/>
            </w:tcBorders>
            <w:shd w:val="clear" w:color="000000" w:fill="auto"/>
            <w:hideMark/>
          </w:tcPr>
          <w:p w:rsidR="00B951B1" w:rsidRPr="00E61612" w:rsidRDefault="00B951B1" w:rsidP="00CB78E6">
            <w:pPr>
              <w:spacing w:after="120"/>
              <w:rPr>
                <w:rFonts w:cs="Calibri"/>
                <w:sz w:val="20"/>
                <w:szCs w:val="20"/>
              </w:rPr>
            </w:pPr>
            <w:r w:rsidRPr="00E61612">
              <w:rPr>
                <w:rFonts w:cs="Calibri"/>
                <w:sz w:val="20"/>
                <w:szCs w:val="20"/>
              </w:rPr>
              <w:t>Sigurimi i transparencës dhe zbatimi i praktikave të mira të integritetit akademik në IAL</w:t>
            </w:r>
          </w:p>
        </w:tc>
        <w:tc>
          <w:tcPr>
            <w:tcW w:w="1417" w:type="dxa"/>
            <w:tcBorders>
              <w:top w:val="single" w:sz="4" w:space="0" w:color="auto"/>
              <w:left w:val="nil"/>
              <w:bottom w:val="single" w:sz="4" w:space="0" w:color="auto"/>
              <w:right w:val="single" w:sz="4" w:space="0" w:color="auto"/>
            </w:tcBorders>
            <w:shd w:val="clear" w:color="000000" w:fill="auto"/>
            <w:noWrap/>
          </w:tcPr>
          <w:p w:rsidR="00B951B1" w:rsidRPr="00E61612" w:rsidRDefault="00B951B1" w:rsidP="00CB78E6">
            <w:pPr>
              <w:spacing w:after="120"/>
              <w:jc w:val="right"/>
              <w:rPr>
                <w:rFonts w:cs="Calibri"/>
                <w:color w:val="000000"/>
                <w:sz w:val="20"/>
                <w:szCs w:val="20"/>
              </w:rPr>
            </w:pPr>
            <w:r w:rsidRPr="00E61612">
              <w:rPr>
                <w:color w:val="000000"/>
                <w:sz w:val="20"/>
                <w:szCs w:val="20"/>
              </w:rPr>
              <w:t>64,560</w:t>
            </w:r>
          </w:p>
        </w:tc>
        <w:tc>
          <w:tcPr>
            <w:tcW w:w="1134" w:type="dxa"/>
            <w:tcBorders>
              <w:top w:val="single" w:sz="4" w:space="0" w:color="auto"/>
              <w:left w:val="nil"/>
              <w:bottom w:val="single" w:sz="4" w:space="0" w:color="auto"/>
              <w:right w:val="single" w:sz="4" w:space="0" w:color="auto"/>
            </w:tcBorders>
            <w:shd w:val="clear" w:color="000000" w:fill="auto"/>
            <w:noWrap/>
          </w:tcPr>
          <w:p w:rsidR="00B951B1" w:rsidRPr="00E61612" w:rsidRDefault="00B951B1" w:rsidP="00CB78E6">
            <w:pPr>
              <w:spacing w:after="120"/>
              <w:jc w:val="right"/>
              <w:rPr>
                <w:rFonts w:cs="Calibri"/>
                <w:color w:val="000000"/>
                <w:sz w:val="20"/>
                <w:szCs w:val="20"/>
              </w:rPr>
            </w:pPr>
            <w:r w:rsidRPr="00E61612">
              <w:rPr>
                <w:color w:val="000000"/>
                <w:sz w:val="20"/>
                <w:szCs w:val="20"/>
              </w:rPr>
              <w:t>-</w:t>
            </w:r>
          </w:p>
        </w:tc>
        <w:tc>
          <w:tcPr>
            <w:tcW w:w="1134" w:type="dxa"/>
            <w:tcBorders>
              <w:top w:val="single" w:sz="4" w:space="0" w:color="auto"/>
              <w:left w:val="nil"/>
              <w:bottom w:val="single" w:sz="4" w:space="0" w:color="auto"/>
              <w:right w:val="single" w:sz="4" w:space="0" w:color="auto"/>
            </w:tcBorders>
            <w:shd w:val="clear" w:color="000000" w:fill="auto"/>
            <w:noWrap/>
          </w:tcPr>
          <w:p w:rsidR="00B951B1" w:rsidRPr="00E61612" w:rsidRDefault="00B951B1" w:rsidP="00CB78E6">
            <w:pPr>
              <w:spacing w:after="120"/>
              <w:jc w:val="right"/>
              <w:rPr>
                <w:rFonts w:cs="Calibri"/>
                <w:color w:val="000000"/>
                <w:sz w:val="20"/>
                <w:szCs w:val="20"/>
              </w:rPr>
            </w:pPr>
            <w:r w:rsidRPr="00E61612">
              <w:rPr>
                <w:color w:val="000000"/>
                <w:sz w:val="20"/>
                <w:szCs w:val="20"/>
              </w:rPr>
              <w:t>-</w:t>
            </w:r>
          </w:p>
        </w:tc>
        <w:tc>
          <w:tcPr>
            <w:tcW w:w="1276" w:type="dxa"/>
            <w:tcBorders>
              <w:top w:val="single" w:sz="4" w:space="0" w:color="auto"/>
              <w:left w:val="nil"/>
              <w:bottom w:val="single" w:sz="4" w:space="0" w:color="auto"/>
              <w:right w:val="single" w:sz="8" w:space="0" w:color="auto"/>
            </w:tcBorders>
            <w:shd w:val="clear" w:color="000000" w:fill="auto"/>
            <w:noWrap/>
          </w:tcPr>
          <w:p w:rsidR="00B951B1" w:rsidRPr="00E61612" w:rsidRDefault="00B951B1" w:rsidP="00CB78E6">
            <w:pPr>
              <w:spacing w:after="120"/>
              <w:jc w:val="right"/>
              <w:rPr>
                <w:rFonts w:cs="Calibri"/>
                <w:color w:val="000000"/>
                <w:sz w:val="20"/>
                <w:szCs w:val="20"/>
              </w:rPr>
            </w:pPr>
            <w:r w:rsidRPr="00E61612">
              <w:rPr>
                <w:color w:val="000000"/>
                <w:sz w:val="20"/>
                <w:szCs w:val="20"/>
              </w:rPr>
              <w:t>(64,560)</w:t>
            </w:r>
          </w:p>
        </w:tc>
      </w:tr>
      <w:tr w:rsidR="00B951B1" w:rsidRPr="00E61612" w:rsidTr="00CB78E6">
        <w:trPr>
          <w:trHeight w:val="1082"/>
        </w:trPr>
        <w:tc>
          <w:tcPr>
            <w:tcW w:w="980" w:type="dxa"/>
            <w:tcBorders>
              <w:top w:val="nil"/>
              <w:left w:val="single" w:sz="8" w:space="0" w:color="auto"/>
              <w:bottom w:val="single" w:sz="4" w:space="0" w:color="auto"/>
              <w:right w:val="single" w:sz="4" w:space="0" w:color="auto"/>
            </w:tcBorders>
            <w:shd w:val="clear" w:color="000000" w:fill="D9D9D9"/>
            <w:hideMark/>
          </w:tcPr>
          <w:p w:rsidR="00B951B1" w:rsidRPr="00E61612" w:rsidRDefault="00B951B1" w:rsidP="00CB78E6">
            <w:pPr>
              <w:spacing w:after="120"/>
              <w:jc w:val="center"/>
              <w:rPr>
                <w:rFonts w:cs="Calibri"/>
                <w:b/>
                <w:bCs/>
                <w:color w:val="000000"/>
                <w:sz w:val="20"/>
                <w:szCs w:val="20"/>
              </w:rPr>
            </w:pPr>
            <w:r w:rsidRPr="00E61612">
              <w:rPr>
                <w:rFonts w:cs="Calibri"/>
                <w:b/>
                <w:bCs/>
                <w:color w:val="000000"/>
                <w:sz w:val="20"/>
                <w:szCs w:val="20"/>
              </w:rPr>
              <w:t>C5</w:t>
            </w:r>
          </w:p>
        </w:tc>
        <w:tc>
          <w:tcPr>
            <w:tcW w:w="3263" w:type="dxa"/>
            <w:tcBorders>
              <w:top w:val="nil"/>
              <w:left w:val="nil"/>
              <w:bottom w:val="single" w:sz="4" w:space="0" w:color="auto"/>
              <w:right w:val="single" w:sz="4" w:space="0" w:color="auto"/>
            </w:tcBorders>
            <w:shd w:val="clear" w:color="000000" w:fill="D9D9D9"/>
            <w:hideMark/>
          </w:tcPr>
          <w:p w:rsidR="00B951B1" w:rsidRPr="00E61612" w:rsidRDefault="00B951B1" w:rsidP="00CB78E6">
            <w:pPr>
              <w:spacing w:after="120"/>
              <w:rPr>
                <w:rFonts w:cs="Calibri"/>
                <w:sz w:val="20"/>
                <w:szCs w:val="20"/>
              </w:rPr>
            </w:pPr>
            <w:r w:rsidRPr="00E61612">
              <w:rPr>
                <w:rFonts w:cs="Calibri"/>
                <w:sz w:val="20"/>
                <w:szCs w:val="20"/>
              </w:rPr>
              <w:t>Përmirësimi i statusit socio-ekonomik të studentëve përmes ofrimit të shërbimeve cilësore dhe formave të ndryshme të ndihmës financiare</w:t>
            </w:r>
          </w:p>
        </w:tc>
        <w:tc>
          <w:tcPr>
            <w:tcW w:w="1417" w:type="dxa"/>
            <w:tcBorders>
              <w:top w:val="nil"/>
              <w:left w:val="nil"/>
              <w:bottom w:val="single" w:sz="4" w:space="0" w:color="auto"/>
              <w:right w:val="single" w:sz="4" w:space="0" w:color="auto"/>
            </w:tcBorders>
            <w:shd w:val="clear" w:color="000000" w:fill="D9D9D9"/>
            <w:noWrap/>
          </w:tcPr>
          <w:p w:rsidR="00B951B1" w:rsidRPr="00E61612" w:rsidRDefault="00B951B1" w:rsidP="00CB78E6">
            <w:pPr>
              <w:spacing w:after="120"/>
              <w:jc w:val="right"/>
              <w:rPr>
                <w:rFonts w:cs="Calibri"/>
                <w:color w:val="000000"/>
                <w:sz w:val="20"/>
                <w:szCs w:val="20"/>
              </w:rPr>
            </w:pPr>
            <w:r w:rsidRPr="00E61612">
              <w:rPr>
                <w:color w:val="000000"/>
                <w:sz w:val="20"/>
                <w:szCs w:val="20"/>
              </w:rPr>
              <w:t>6,601,020</w:t>
            </w:r>
          </w:p>
        </w:tc>
        <w:tc>
          <w:tcPr>
            <w:tcW w:w="1134" w:type="dxa"/>
            <w:tcBorders>
              <w:top w:val="nil"/>
              <w:left w:val="nil"/>
              <w:bottom w:val="single" w:sz="4" w:space="0" w:color="auto"/>
              <w:right w:val="single" w:sz="4" w:space="0" w:color="auto"/>
            </w:tcBorders>
            <w:shd w:val="clear" w:color="000000" w:fill="D9D9D9"/>
            <w:noWrap/>
          </w:tcPr>
          <w:p w:rsidR="00B951B1" w:rsidRPr="00E61612" w:rsidRDefault="00B951B1" w:rsidP="00CB78E6">
            <w:pPr>
              <w:spacing w:after="120"/>
              <w:jc w:val="right"/>
              <w:rPr>
                <w:rFonts w:cs="Calibri"/>
                <w:color w:val="000000"/>
                <w:sz w:val="20"/>
                <w:szCs w:val="20"/>
              </w:rPr>
            </w:pPr>
            <w:r w:rsidRPr="00E61612">
              <w:rPr>
                <w:color w:val="000000"/>
                <w:sz w:val="20"/>
                <w:szCs w:val="20"/>
              </w:rPr>
              <w:t>6,600,000</w:t>
            </w:r>
          </w:p>
        </w:tc>
        <w:tc>
          <w:tcPr>
            <w:tcW w:w="1134" w:type="dxa"/>
            <w:tcBorders>
              <w:top w:val="nil"/>
              <w:left w:val="nil"/>
              <w:bottom w:val="single" w:sz="4" w:space="0" w:color="auto"/>
              <w:right w:val="single" w:sz="4" w:space="0" w:color="auto"/>
            </w:tcBorders>
            <w:shd w:val="clear" w:color="000000" w:fill="D9D9D9"/>
            <w:noWrap/>
          </w:tcPr>
          <w:p w:rsidR="00B951B1" w:rsidRPr="00E61612" w:rsidRDefault="00B951B1" w:rsidP="00CB78E6">
            <w:pPr>
              <w:spacing w:after="120"/>
              <w:jc w:val="right"/>
              <w:rPr>
                <w:rFonts w:cs="Calibri"/>
                <w:color w:val="000000"/>
                <w:sz w:val="20"/>
                <w:szCs w:val="20"/>
              </w:rPr>
            </w:pPr>
            <w:r w:rsidRPr="00E61612">
              <w:rPr>
                <w:color w:val="000000"/>
                <w:sz w:val="20"/>
                <w:szCs w:val="20"/>
              </w:rPr>
              <w:t>-</w:t>
            </w:r>
          </w:p>
        </w:tc>
        <w:tc>
          <w:tcPr>
            <w:tcW w:w="1276" w:type="dxa"/>
            <w:tcBorders>
              <w:top w:val="nil"/>
              <w:left w:val="nil"/>
              <w:bottom w:val="single" w:sz="4" w:space="0" w:color="auto"/>
              <w:right w:val="single" w:sz="8" w:space="0" w:color="auto"/>
            </w:tcBorders>
            <w:shd w:val="clear" w:color="000000" w:fill="D9D9D9"/>
            <w:noWrap/>
          </w:tcPr>
          <w:p w:rsidR="00B951B1" w:rsidRPr="00E61612" w:rsidRDefault="00B951B1" w:rsidP="00CB78E6">
            <w:pPr>
              <w:spacing w:after="120"/>
              <w:jc w:val="right"/>
              <w:rPr>
                <w:rFonts w:cs="Calibri"/>
                <w:color w:val="000000"/>
                <w:sz w:val="20"/>
                <w:szCs w:val="20"/>
              </w:rPr>
            </w:pPr>
            <w:r w:rsidRPr="00E61612">
              <w:rPr>
                <w:color w:val="000000"/>
                <w:sz w:val="20"/>
                <w:szCs w:val="20"/>
              </w:rPr>
              <w:t>(1,020)</w:t>
            </w:r>
          </w:p>
        </w:tc>
      </w:tr>
      <w:tr w:rsidR="00B951B1" w:rsidRPr="00E61612" w:rsidTr="00CB78E6">
        <w:trPr>
          <w:trHeight w:val="705"/>
        </w:trPr>
        <w:tc>
          <w:tcPr>
            <w:tcW w:w="980" w:type="dxa"/>
            <w:tcBorders>
              <w:top w:val="single" w:sz="4" w:space="0" w:color="auto"/>
              <w:left w:val="single" w:sz="8" w:space="0" w:color="auto"/>
              <w:bottom w:val="single" w:sz="4" w:space="0" w:color="auto"/>
              <w:right w:val="single" w:sz="4" w:space="0" w:color="auto"/>
            </w:tcBorders>
            <w:shd w:val="clear" w:color="000000" w:fill="auto"/>
            <w:hideMark/>
          </w:tcPr>
          <w:p w:rsidR="00B951B1" w:rsidRPr="00E61612" w:rsidRDefault="00B951B1" w:rsidP="00CB78E6">
            <w:pPr>
              <w:spacing w:after="120"/>
              <w:jc w:val="center"/>
              <w:rPr>
                <w:rFonts w:cs="Calibri"/>
                <w:b/>
                <w:bCs/>
                <w:color w:val="000000"/>
                <w:sz w:val="20"/>
                <w:szCs w:val="20"/>
              </w:rPr>
            </w:pPr>
            <w:r w:rsidRPr="00E61612">
              <w:rPr>
                <w:rFonts w:cs="Calibri"/>
                <w:b/>
                <w:bCs/>
                <w:color w:val="000000"/>
                <w:sz w:val="20"/>
                <w:szCs w:val="20"/>
              </w:rPr>
              <w:t>C5.1</w:t>
            </w:r>
          </w:p>
        </w:tc>
        <w:tc>
          <w:tcPr>
            <w:tcW w:w="3263" w:type="dxa"/>
            <w:tcBorders>
              <w:top w:val="single" w:sz="4" w:space="0" w:color="auto"/>
              <w:left w:val="nil"/>
              <w:bottom w:val="single" w:sz="4" w:space="0" w:color="auto"/>
              <w:right w:val="single" w:sz="4" w:space="0" w:color="auto"/>
            </w:tcBorders>
            <w:shd w:val="clear" w:color="000000" w:fill="auto"/>
            <w:hideMark/>
          </w:tcPr>
          <w:p w:rsidR="00B951B1" w:rsidRPr="00E61612" w:rsidRDefault="00B951B1" w:rsidP="00CB78E6">
            <w:pPr>
              <w:spacing w:after="120"/>
              <w:rPr>
                <w:rFonts w:cs="Calibri"/>
                <w:sz w:val="20"/>
                <w:szCs w:val="20"/>
              </w:rPr>
            </w:pPr>
            <w:r w:rsidRPr="00E61612">
              <w:rPr>
                <w:rFonts w:cs="Calibri"/>
                <w:sz w:val="20"/>
                <w:szCs w:val="20"/>
              </w:rPr>
              <w:t>Pasurimi dhe përmirësimi i shërbimeve për studentë</w:t>
            </w:r>
            <w:r>
              <w:rPr>
                <w:rFonts w:cs="Calibri"/>
                <w:sz w:val="20"/>
                <w:szCs w:val="20"/>
              </w:rPr>
              <w:t>t</w:t>
            </w:r>
          </w:p>
        </w:tc>
        <w:tc>
          <w:tcPr>
            <w:tcW w:w="1417" w:type="dxa"/>
            <w:tcBorders>
              <w:top w:val="single" w:sz="4" w:space="0" w:color="auto"/>
              <w:left w:val="nil"/>
              <w:bottom w:val="single" w:sz="4" w:space="0" w:color="auto"/>
              <w:right w:val="single" w:sz="4" w:space="0" w:color="auto"/>
            </w:tcBorders>
            <w:shd w:val="clear" w:color="000000" w:fill="auto"/>
            <w:noWrap/>
          </w:tcPr>
          <w:p w:rsidR="00B951B1" w:rsidRPr="00E61612" w:rsidRDefault="00B951B1" w:rsidP="00CB78E6">
            <w:pPr>
              <w:spacing w:after="120"/>
              <w:jc w:val="right"/>
              <w:rPr>
                <w:rFonts w:cs="Calibri"/>
                <w:color w:val="000000"/>
                <w:sz w:val="20"/>
                <w:szCs w:val="20"/>
              </w:rPr>
            </w:pPr>
            <w:r w:rsidRPr="00E61612">
              <w:rPr>
                <w:color w:val="000000"/>
                <w:sz w:val="20"/>
                <w:szCs w:val="20"/>
              </w:rPr>
              <w:t>6,600,000</w:t>
            </w:r>
          </w:p>
        </w:tc>
        <w:tc>
          <w:tcPr>
            <w:tcW w:w="1134" w:type="dxa"/>
            <w:tcBorders>
              <w:top w:val="single" w:sz="4" w:space="0" w:color="auto"/>
              <w:left w:val="nil"/>
              <w:bottom w:val="single" w:sz="4" w:space="0" w:color="auto"/>
              <w:right w:val="single" w:sz="4" w:space="0" w:color="auto"/>
            </w:tcBorders>
            <w:shd w:val="clear" w:color="000000" w:fill="auto"/>
            <w:noWrap/>
          </w:tcPr>
          <w:p w:rsidR="00B951B1" w:rsidRPr="00E61612" w:rsidRDefault="00B951B1" w:rsidP="00CB78E6">
            <w:pPr>
              <w:spacing w:after="120"/>
              <w:jc w:val="right"/>
              <w:rPr>
                <w:rFonts w:cs="Calibri"/>
                <w:color w:val="000000"/>
                <w:sz w:val="20"/>
                <w:szCs w:val="20"/>
              </w:rPr>
            </w:pPr>
            <w:r w:rsidRPr="00E61612">
              <w:rPr>
                <w:color w:val="000000"/>
                <w:sz w:val="20"/>
                <w:szCs w:val="20"/>
              </w:rPr>
              <w:t>6,600,000</w:t>
            </w:r>
          </w:p>
        </w:tc>
        <w:tc>
          <w:tcPr>
            <w:tcW w:w="1134" w:type="dxa"/>
            <w:tcBorders>
              <w:top w:val="single" w:sz="4" w:space="0" w:color="auto"/>
              <w:left w:val="nil"/>
              <w:bottom w:val="single" w:sz="4" w:space="0" w:color="auto"/>
              <w:right w:val="single" w:sz="4" w:space="0" w:color="auto"/>
            </w:tcBorders>
            <w:shd w:val="clear" w:color="000000" w:fill="auto"/>
            <w:noWrap/>
          </w:tcPr>
          <w:p w:rsidR="00B951B1" w:rsidRPr="00E61612" w:rsidRDefault="00B951B1" w:rsidP="00CB78E6">
            <w:pPr>
              <w:spacing w:after="120"/>
              <w:jc w:val="right"/>
              <w:rPr>
                <w:rFonts w:cs="Calibri"/>
                <w:color w:val="000000"/>
                <w:sz w:val="20"/>
                <w:szCs w:val="20"/>
              </w:rPr>
            </w:pPr>
            <w:r w:rsidRPr="00E61612">
              <w:rPr>
                <w:color w:val="000000"/>
                <w:sz w:val="20"/>
                <w:szCs w:val="20"/>
              </w:rPr>
              <w:t>-</w:t>
            </w:r>
          </w:p>
        </w:tc>
        <w:tc>
          <w:tcPr>
            <w:tcW w:w="1276" w:type="dxa"/>
            <w:tcBorders>
              <w:top w:val="single" w:sz="4" w:space="0" w:color="auto"/>
              <w:left w:val="nil"/>
              <w:bottom w:val="single" w:sz="4" w:space="0" w:color="auto"/>
              <w:right w:val="single" w:sz="8" w:space="0" w:color="auto"/>
            </w:tcBorders>
            <w:shd w:val="clear" w:color="000000" w:fill="auto"/>
            <w:noWrap/>
          </w:tcPr>
          <w:p w:rsidR="00B951B1" w:rsidRPr="00E61612" w:rsidRDefault="00B951B1" w:rsidP="00CB78E6">
            <w:pPr>
              <w:spacing w:after="120"/>
              <w:jc w:val="right"/>
              <w:rPr>
                <w:rFonts w:cs="Calibri"/>
                <w:color w:val="000000"/>
                <w:sz w:val="20"/>
                <w:szCs w:val="20"/>
              </w:rPr>
            </w:pPr>
            <w:r w:rsidRPr="00E61612">
              <w:rPr>
                <w:color w:val="000000"/>
                <w:sz w:val="20"/>
                <w:szCs w:val="20"/>
              </w:rPr>
              <w:t>-</w:t>
            </w:r>
          </w:p>
        </w:tc>
      </w:tr>
      <w:tr w:rsidR="00B951B1" w:rsidRPr="00E61612" w:rsidTr="00CB78E6">
        <w:trPr>
          <w:trHeight w:val="705"/>
        </w:trPr>
        <w:tc>
          <w:tcPr>
            <w:tcW w:w="980" w:type="dxa"/>
            <w:tcBorders>
              <w:top w:val="single" w:sz="4" w:space="0" w:color="auto"/>
              <w:left w:val="single" w:sz="8" w:space="0" w:color="auto"/>
              <w:bottom w:val="single" w:sz="4" w:space="0" w:color="auto"/>
              <w:right w:val="single" w:sz="4" w:space="0" w:color="auto"/>
            </w:tcBorders>
            <w:shd w:val="clear" w:color="000000" w:fill="auto"/>
            <w:hideMark/>
          </w:tcPr>
          <w:p w:rsidR="00B951B1" w:rsidRPr="00E61612" w:rsidRDefault="00B951B1" w:rsidP="00CB78E6">
            <w:pPr>
              <w:spacing w:after="120"/>
              <w:jc w:val="center"/>
              <w:rPr>
                <w:rFonts w:cs="Calibri"/>
                <w:b/>
                <w:bCs/>
                <w:color w:val="000000"/>
                <w:sz w:val="20"/>
                <w:szCs w:val="20"/>
              </w:rPr>
            </w:pPr>
            <w:r w:rsidRPr="00E61612">
              <w:rPr>
                <w:rFonts w:cs="Calibri"/>
                <w:b/>
                <w:bCs/>
                <w:color w:val="000000"/>
                <w:sz w:val="20"/>
                <w:szCs w:val="20"/>
              </w:rPr>
              <w:t>C5.2</w:t>
            </w:r>
          </w:p>
        </w:tc>
        <w:tc>
          <w:tcPr>
            <w:tcW w:w="3263" w:type="dxa"/>
            <w:tcBorders>
              <w:top w:val="single" w:sz="4" w:space="0" w:color="auto"/>
              <w:left w:val="nil"/>
              <w:bottom w:val="single" w:sz="4" w:space="0" w:color="auto"/>
              <w:right w:val="single" w:sz="4" w:space="0" w:color="auto"/>
            </w:tcBorders>
            <w:shd w:val="clear" w:color="000000" w:fill="auto"/>
            <w:hideMark/>
          </w:tcPr>
          <w:p w:rsidR="00B951B1" w:rsidRPr="00E61612" w:rsidRDefault="00B951B1" w:rsidP="00CB78E6">
            <w:pPr>
              <w:spacing w:after="120"/>
              <w:rPr>
                <w:rFonts w:cs="Calibri"/>
                <w:sz w:val="20"/>
                <w:szCs w:val="20"/>
              </w:rPr>
            </w:pPr>
            <w:r w:rsidRPr="00E61612">
              <w:rPr>
                <w:rFonts w:cs="Calibri"/>
                <w:sz w:val="20"/>
                <w:szCs w:val="20"/>
              </w:rPr>
              <w:t>Mbështetja e studentëve për përmirësimin e arritjeve akademike</w:t>
            </w:r>
          </w:p>
        </w:tc>
        <w:tc>
          <w:tcPr>
            <w:tcW w:w="1417" w:type="dxa"/>
            <w:tcBorders>
              <w:top w:val="single" w:sz="4" w:space="0" w:color="auto"/>
              <w:left w:val="nil"/>
              <w:bottom w:val="single" w:sz="4" w:space="0" w:color="auto"/>
              <w:right w:val="single" w:sz="4" w:space="0" w:color="auto"/>
            </w:tcBorders>
            <w:shd w:val="clear" w:color="000000" w:fill="auto"/>
            <w:noWrap/>
          </w:tcPr>
          <w:p w:rsidR="00B951B1" w:rsidRPr="00E61612" w:rsidRDefault="00B951B1" w:rsidP="00CB78E6">
            <w:pPr>
              <w:spacing w:after="120"/>
              <w:jc w:val="right"/>
              <w:rPr>
                <w:rFonts w:cs="Calibri"/>
                <w:color w:val="000000"/>
                <w:sz w:val="20"/>
                <w:szCs w:val="20"/>
              </w:rPr>
            </w:pPr>
            <w:r w:rsidRPr="00E61612">
              <w:rPr>
                <w:color w:val="000000"/>
                <w:sz w:val="20"/>
                <w:szCs w:val="20"/>
              </w:rPr>
              <w:t>1,020</w:t>
            </w:r>
          </w:p>
        </w:tc>
        <w:tc>
          <w:tcPr>
            <w:tcW w:w="1134" w:type="dxa"/>
            <w:tcBorders>
              <w:top w:val="single" w:sz="4" w:space="0" w:color="auto"/>
              <w:left w:val="nil"/>
              <w:bottom w:val="single" w:sz="4" w:space="0" w:color="auto"/>
              <w:right w:val="single" w:sz="4" w:space="0" w:color="auto"/>
            </w:tcBorders>
            <w:shd w:val="clear" w:color="000000" w:fill="auto"/>
            <w:noWrap/>
          </w:tcPr>
          <w:p w:rsidR="00B951B1" w:rsidRPr="00E61612" w:rsidRDefault="00B951B1" w:rsidP="00CB78E6">
            <w:pPr>
              <w:spacing w:after="120"/>
              <w:jc w:val="right"/>
              <w:rPr>
                <w:rFonts w:cs="Calibri"/>
                <w:color w:val="000000"/>
                <w:sz w:val="20"/>
                <w:szCs w:val="20"/>
              </w:rPr>
            </w:pPr>
            <w:r w:rsidRPr="00E61612">
              <w:rPr>
                <w:color w:val="000000"/>
                <w:sz w:val="20"/>
                <w:szCs w:val="20"/>
              </w:rPr>
              <w:t>-</w:t>
            </w:r>
          </w:p>
        </w:tc>
        <w:tc>
          <w:tcPr>
            <w:tcW w:w="1134" w:type="dxa"/>
            <w:tcBorders>
              <w:top w:val="single" w:sz="4" w:space="0" w:color="auto"/>
              <w:left w:val="nil"/>
              <w:bottom w:val="single" w:sz="4" w:space="0" w:color="auto"/>
              <w:right w:val="single" w:sz="4" w:space="0" w:color="auto"/>
            </w:tcBorders>
            <w:shd w:val="clear" w:color="000000" w:fill="auto"/>
            <w:noWrap/>
          </w:tcPr>
          <w:p w:rsidR="00B951B1" w:rsidRPr="00E61612" w:rsidRDefault="00B951B1" w:rsidP="00CB78E6">
            <w:pPr>
              <w:spacing w:after="120"/>
              <w:jc w:val="right"/>
              <w:rPr>
                <w:rFonts w:cs="Calibri"/>
                <w:color w:val="000000"/>
                <w:sz w:val="20"/>
                <w:szCs w:val="20"/>
              </w:rPr>
            </w:pPr>
            <w:r w:rsidRPr="00E61612">
              <w:rPr>
                <w:color w:val="000000"/>
                <w:sz w:val="20"/>
                <w:szCs w:val="20"/>
              </w:rPr>
              <w:t>-</w:t>
            </w:r>
          </w:p>
        </w:tc>
        <w:tc>
          <w:tcPr>
            <w:tcW w:w="1276" w:type="dxa"/>
            <w:tcBorders>
              <w:top w:val="single" w:sz="4" w:space="0" w:color="auto"/>
              <w:left w:val="nil"/>
              <w:bottom w:val="single" w:sz="4" w:space="0" w:color="auto"/>
              <w:right w:val="single" w:sz="8" w:space="0" w:color="auto"/>
            </w:tcBorders>
            <w:shd w:val="clear" w:color="000000" w:fill="auto"/>
            <w:noWrap/>
          </w:tcPr>
          <w:p w:rsidR="00B951B1" w:rsidRPr="00E61612" w:rsidRDefault="00B951B1" w:rsidP="00CB78E6">
            <w:pPr>
              <w:spacing w:after="120"/>
              <w:jc w:val="right"/>
              <w:rPr>
                <w:rFonts w:cs="Calibri"/>
                <w:color w:val="000000"/>
                <w:sz w:val="20"/>
                <w:szCs w:val="20"/>
              </w:rPr>
            </w:pPr>
            <w:r w:rsidRPr="00E61612">
              <w:rPr>
                <w:color w:val="000000"/>
                <w:sz w:val="20"/>
                <w:szCs w:val="20"/>
              </w:rPr>
              <w:t>(1,020)</w:t>
            </w:r>
          </w:p>
        </w:tc>
      </w:tr>
      <w:tr w:rsidR="00B951B1" w:rsidRPr="00E61612" w:rsidTr="00CB78E6">
        <w:trPr>
          <w:trHeight w:val="823"/>
        </w:trPr>
        <w:tc>
          <w:tcPr>
            <w:tcW w:w="980" w:type="dxa"/>
            <w:tcBorders>
              <w:top w:val="nil"/>
              <w:left w:val="single" w:sz="8" w:space="0" w:color="auto"/>
              <w:bottom w:val="single" w:sz="4" w:space="0" w:color="auto"/>
              <w:right w:val="single" w:sz="4" w:space="0" w:color="auto"/>
            </w:tcBorders>
            <w:shd w:val="clear" w:color="000000" w:fill="D9D9D9"/>
            <w:hideMark/>
          </w:tcPr>
          <w:p w:rsidR="00B951B1" w:rsidRPr="00E61612" w:rsidRDefault="00B951B1" w:rsidP="00CB78E6">
            <w:pPr>
              <w:spacing w:after="120"/>
              <w:jc w:val="center"/>
              <w:rPr>
                <w:rFonts w:cs="Calibri"/>
                <w:b/>
                <w:bCs/>
                <w:color w:val="000000"/>
                <w:sz w:val="20"/>
                <w:szCs w:val="20"/>
              </w:rPr>
            </w:pPr>
            <w:r w:rsidRPr="00E61612">
              <w:rPr>
                <w:rFonts w:cs="Calibri"/>
                <w:b/>
                <w:bCs/>
                <w:color w:val="000000"/>
                <w:sz w:val="20"/>
                <w:szCs w:val="20"/>
              </w:rPr>
              <w:t>C6</w:t>
            </w:r>
          </w:p>
        </w:tc>
        <w:tc>
          <w:tcPr>
            <w:tcW w:w="3263" w:type="dxa"/>
            <w:tcBorders>
              <w:top w:val="nil"/>
              <w:left w:val="nil"/>
              <w:bottom w:val="single" w:sz="4" w:space="0" w:color="auto"/>
              <w:right w:val="single" w:sz="4" w:space="0" w:color="auto"/>
            </w:tcBorders>
            <w:shd w:val="clear" w:color="000000" w:fill="D9D9D9"/>
            <w:hideMark/>
          </w:tcPr>
          <w:p w:rsidR="00B951B1" w:rsidRPr="00E61612" w:rsidRDefault="00B951B1" w:rsidP="00CB78E6">
            <w:pPr>
              <w:spacing w:after="120"/>
              <w:rPr>
                <w:rFonts w:cs="Calibri"/>
                <w:sz w:val="20"/>
                <w:szCs w:val="20"/>
              </w:rPr>
            </w:pPr>
            <w:r w:rsidRPr="00E61612">
              <w:rPr>
                <w:rFonts w:cs="Calibri"/>
                <w:sz w:val="20"/>
                <w:szCs w:val="20"/>
              </w:rPr>
              <w:t>Ndërkombëtarizimi i arsimit të lartë në Shqipëri dhe integrimi në Hapësirën Evropiane të Arsimit të Lartë (EHEA)</w:t>
            </w:r>
          </w:p>
        </w:tc>
        <w:tc>
          <w:tcPr>
            <w:tcW w:w="1417" w:type="dxa"/>
            <w:tcBorders>
              <w:top w:val="nil"/>
              <w:left w:val="nil"/>
              <w:bottom w:val="single" w:sz="4" w:space="0" w:color="auto"/>
              <w:right w:val="single" w:sz="4" w:space="0" w:color="auto"/>
            </w:tcBorders>
            <w:shd w:val="clear" w:color="000000" w:fill="D9D9D9"/>
            <w:noWrap/>
          </w:tcPr>
          <w:p w:rsidR="00B951B1" w:rsidRPr="00E61612" w:rsidRDefault="00B951B1" w:rsidP="00CB78E6">
            <w:pPr>
              <w:spacing w:after="120"/>
              <w:jc w:val="right"/>
              <w:rPr>
                <w:rFonts w:cs="Calibri"/>
                <w:color w:val="000000"/>
                <w:sz w:val="20"/>
                <w:szCs w:val="20"/>
              </w:rPr>
            </w:pPr>
            <w:r w:rsidRPr="00E61612">
              <w:rPr>
                <w:color w:val="000000"/>
                <w:sz w:val="20"/>
                <w:szCs w:val="20"/>
              </w:rPr>
              <w:t>106,977</w:t>
            </w:r>
          </w:p>
        </w:tc>
        <w:tc>
          <w:tcPr>
            <w:tcW w:w="1134" w:type="dxa"/>
            <w:tcBorders>
              <w:top w:val="nil"/>
              <w:left w:val="nil"/>
              <w:bottom w:val="single" w:sz="4" w:space="0" w:color="auto"/>
              <w:right w:val="single" w:sz="4" w:space="0" w:color="auto"/>
            </w:tcBorders>
            <w:shd w:val="clear" w:color="000000" w:fill="D9D9D9"/>
            <w:noWrap/>
          </w:tcPr>
          <w:p w:rsidR="00B951B1" w:rsidRPr="00E61612" w:rsidRDefault="00B951B1" w:rsidP="00CB78E6">
            <w:pPr>
              <w:spacing w:after="120"/>
              <w:jc w:val="right"/>
              <w:rPr>
                <w:rFonts w:cs="Calibri"/>
                <w:color w:val="000000"/>
                <w:sz w:val="20"/>
                <w:szCs w:val="20"/>
              </w:rPr>
            </w:pPr>
            <w:r w:rsidRPr="00E61612">
              <w:rPr>
                <w:color w:val="000000"/>
                <w:sz w:val="20"/>
                <w:szCs w:val="20"/>
              </w:rPr>
              <w:t>90,000</w:t>
            </w:r>
          </w:p>
        </w:tc>
        <w:tc>
          <w:tcPr>
            <w:tcW w:w="1134" w:type="dxa"/>
            <w:tcBorders>
              <w:top w:val="nil"/>
              <w:left w:val="nil"/>
              <w:bottom w:val="single" w:sz="4" w:space="0" w:color="auto"/>
              <w:right w:val="single" w:sz="4" w:space="0" w:color="auto"/>
            </w:tcBorders>
            <w:shd w:val="clear" w:color="000000" w:fill="D9D9D9"/>
            <w:noWrap/>
          </w:tcPr>
          <w:p w:rsidR="00B951B1" w:rsidRPr="00E61612" w:rsidRDefault="00B951B1" w:rsidP="00CB78E6">
            <w:pPr>
              <w:spacing w:after="120"/>
              <w:jc w:val="right"/>
              <w:rPr>
                <w:rFonts w:cs="Calibri"/>
                <w:color w:val="000000"/>
                <w:sz w:val="20"/>
                <w:szCs w:val="20"/>
              </w:rPr>
            </w:pPr>
            <w:r w:rsidRPr="00E61612">
              <w:rPr>
                <w:color w:val="000000"/>
                <w:sz w:val="20"/>
                <w:szCs w:val="20"/>
              </w:rPr>
              <w:t>-</w:t>
            </w:r>
          </w:p>
        </w:tc>
        <w:tc>
          <w:tcPr>
            <w:tcW w:w="1276" w:type="dxa"/>
            <w:tcBorders>
              <w:top w:val="nil"/>
              <w:left w:val="nil"/>
              <w:bottom w:val="single" w:sz="4" w:space="0" w:color="auto"/>
              <w:right w:val="single" w:sz="8" w:space="0" w:color="auto"/>
            </w:tcBorders>
            <w:shd w:val="clear" w:color="000000" w:fill="D9D9D9"/>
            <w:noWrap/>
          </w:tcPr>
          <w:p w:rsidR="00B951B1" w:rsidRPr="00E61612" w:rsidRDefault="00B951B1" w:rsidP="00CB78E6">
            <w:pPr>
              <w:spacing w:after="120"/>
              <w:jc w:val="right"/>
              <w:rPr>
                <w:rFonts w:cs="Calibri"/>
                <w:color w:val="000000"/>
                <w:sz w:val="20"/>
                <w:szCs w:val="20"/>
              </w:rPr>
            </w:pPr>
            <w:r w:rsidRPr="00E61612">
              <w:rPr>
                <w:color w:val="000000"/>
                <w:sz w:val="20"/>
                <w:szCs w:val="20"/>
              </w:rPr>
              <w:t>(16,977)</w:t>
            </w:r>
          </w:p>
        </w:tc>
      </w:tr>
      <w:tr w:rsidR="00B951B1" w:rsidRPr="00E61612" w:rsidTr="00CB78E6">
        <w:trPr>
          <w:trHeight w:val="705"/>
        </w:trPr>
        <w:tc>
          <w:tcPr>
            <w:tcW w:w="980" w:type="dxa"/>
            <w:tcBorders>
              <w:top w:val="single" w:sz="4" w:space="0" w:color="auto"/>
              <w:left w:val="single" w:sz="8" w:space="0" w:color="auto"/>
              <w:bottom w:val="single" w:sz="4" w:space="0" w:color="auto"/>
              <w:right w:val="single" w:sz="4" w:space="0" w:color="auto"/>
            </w:tcBorders>
            <w:shd w:val="clear" w:color="000000" w:fill="auto"/>
            <w:hideMark/>
          </w:tcPr>
          <w:p w:rsidR="00B951B1" w:rsidRPr="00E61612" w:rsidRDefault="00B951B1" w:rsidP="00CB78E6">
            <w:pPr>
              <w:spacing w:after="120"/>
              <w:jc w:val="center"/>
              <w:rPr>
                <w:rFonts w:cs="Calibri"/>
                <w:b/>
                <w:bCs/>
                <w:color w:val="000000"/>
                <w:sz w:val="20"/>
                <w:szCs w:val="20"/>
              </w:rPr>
            </w:pPr>
            <w:r w:rsidRPr="00E61612">
              <w:rPr>
                <w:rFonts w:cs="Calibri"/>
                <w:b/>
                <w:bCs/>
                <w:color w:val="000000"/>
                <w:sz w:val="20"/>
                <w:szCs w:val="20"/>
              </w:rPr>
              <w:t>C6.1</w:t>
            </w:r>
          </w:p>
        </w:tc>
        <w:tc>
          <w:tcPr>
            <w:tcW w:w="3263" w:type="dxa"/>
            <w:tcBorders>
              <w:top w:val="single" w:sz="4" w:space="0" w:color="auto"/>
              <w:left w:val="nil"/>
              <w:bottom w:val="single" w:sz="4" w:space="0" w:color="auto"/>
              <w:right w:val="single" w:sz="4" w:space="0" w:color="auto"/>
            </w:tcBorders>
            <w:shd w:val="clear" w:color="000000" w:fill="auto"/>
            <w:hideMark/>
          </w:tcPr>
          <w:p w:rsidR="00B951B1" w:rsidRPr="00E61612" w:rsidRDefault="00B951B1" w:rsidP="00CB78E6">
            <w:pPr>
              <w:spacing w:after="120"/>
              <w:rPr>
                <w:rFonts w:cs="Calibri"/>
                <w:sz w:val="20"/>
                <w:szCs w:val="20"/>
              </w:rPr>
            </w:pPr>
            <w:r w:rsidRPr="00E61612">
              <w:rPr>
                <w:rFonts w:cs="Calibri"/>
                <w:sz w:val="20"/>
                <w:szCs w:val="20"/>
              </w:rPr>
              <w:t>Nxitja e IAL-ve për të hapur programe studimi të përbashkëta me IAL-të evropiane ose programe në gjuhën angleze</w:t>
            </w:r>
          </w:p>
        </w:tc>
        <w:tc>
          <w:tcPr>
            <w:tcW w:w="1417" w:type="dxa"/>
            <w:tcBorders>
              <w:top w:val="single" w:sz="4" w:space="0" w:color="auto"/>
              <w:left w:val="nil"/>
              <w:bottom w:val="single" w:sz="4" w:space="0" w:color="auto"/>
              <w:right w:val="single" w:sz="4" w:space="0" w:color="auto"/>
            </w:tcBorders>
            <w:shd w:val="clear" w:color="000000" w:fill="auto"/>
            <w:noWrap/>
          </w:tcPr>
          <w:p w:rsidR="00B951B1" w:rsidRPr="00E61612" w:rsidRDefault="00B951B1" w:rsidP="00CB78E6">
            <w:pPr>
              <w:spacing w:after="120"/>
              <w:jc w:val="right"/>
              <w:rPr>
                <w:rFonts w:cs="Calibri"/>
                <w:color w:val="000000"/>
                <w:sz w:val="20"/>
                <w:szCs w:val="20"/>
              </w:rPr>
            </w:pPr>
            <w:r w:rsidRPr="00E61612">
              <w:rPr>
                <w:color w:val="000000"/>
                <w:sz w:val="20"/>
                <w:szCs w:val="20"/>
              </w:rPr>
              <w:t>105,000</w:t>
            </w:r>
          </w:p>
        </w:tc>
        <w:tc>
          <w:tcPr>
            <w:tcW w:w="1134" w:type="dxa"/>
            <w:tcBorders>
              <w:top w:val="single" w:sz="4" w:space="0" w:color="auto"/>
              <w:left w:val="nil"/>
              <w:bottom w:val="single" w:sz="4" w:space="0" w:color="auto"/>
              <w:right w:val="single" w:sz="4" w:space="0" w:color="auto"/>
            </w:tcBorders>
            <w:shd w:val="clear" w:color="000000" w:fill="auto"/>
            <w:noWrap/>
          </w:tcPr>
          <w:p w:rsidR="00B951B1" w:rsidRPr="00E61612" w:rsidRDefault="00B951B1" w:rsidP="00CB78E6">
            <w:pPr>
              <w:spacing w:after="120"/>
              <w:jc w:val="right"/>
              <w:rPr>
                <w:rFonts w:cs="Calibri"/>
                <w:color w:val="000000"/>
                <w:sz w:val="20"/>
                <w:szCs w:val="20"/>
              </w:rPr>
            </w:pPr>
            <w:r w:rsidRPr="00E61612">
              <w:rPr>
                <w:color w:val="000000"/>
                <w:sz w:val="20"/>
                <w:szCs w:val="20"/>
              </w:rPr>
              <w:t>90,000</w:t>
            </w:r>
          </w:p>
        </w:tc>
        <w:tc>
          <w:tcPr>
            <w:tcW w:w="1134" w:type="dxa"/>
            <w:tcBorders>
              <w:top w:val="single" w:sz="4" w:space="0" w:color="auto"/>
              <w:left w:val="nil"/>
              <w:bottom w:val="single" w:sz="4" w:space="0" w:color="auto"/>
              <w:right w:val="single" w:sz="4" w:space="0" w:color="auto"/>
            </w:tcBorders>
            <w:shd w:val="clear" w:color="000000" w:fill="auto"/>
            <w:noWrap/>
          </w:tcPr>
          <w:p w:rsidR="00B951B1" w:rsidRPr="00E61612" w:rsidRDefault="00B951B1" w:rsidP="00CB78E6">
            <w:pPr>
              <w:spacing w:after="120"/>
              <w:jc w:val="right"/>
              <w:rPr>
                <w:rFonts w:cs="Calibri"/>
                <w:color w:val="000000"/>
                <w:sz w:val="20"/>
                <w:szCs w:val="20"/>
              </w:rPr>
            </w:pPr>
            <w:r w:rsidRPr="00E61612">
              <w:rPr>
                <w:color w:val="000000"/>
                <w:sz w:val="20"/>
                <w:szCs w:val="20"/>
              </w:rPr>
              <w:t>-</w:t>
            </w:r>
          </w:p>
        </w:tc>
        <w:tc>
          <w:tcPr>
            <w:tcW w:w="1276" w:type="dxa"/>
            <w:tcBorders>
              <w:top w:val="single" w:sz="4" w:space="0" w:color="auto"/>
              <w:left w:val="nil"/>
              <w:bottom w:val="single" w:sz="4" w:space="0" w:color="auto"/>
              <w:right w:val="single" w:sz="8" w:space="0" w:color="auto"/>
            </w:tcBorders>
            <w:shd w:val="clear" w:color="000000" w:fill="auto"/>
            <w:noWrap/>
          </w:tcPr>
          <w:p w:rsidR="00B951B1" w:rsidRPr="00E61612" w:rsidRDefault="00B951B1" w:rsidP="00CB78E6">
            <w:pPr>
              <w:spacing w:after="120"/>
              <w:jc w:val="right"/>
              <w:rPr>
                <w:rFonts w:cs="Calibri"/>
                <w:color w:val="000000"/>
                <w:sz w:val="20"/>
                <w:szCs w:val="20"/>
              </w:rPr>
            </w:pPr>
            <w:r w:rsidRPr="00E61612">
              <w:rPr>
                <w:color w:val="000000"/>
                <w:sz w:val="20"/>
                <w:szCs w:val="20"/>
              </w:rPr>
              <w:t>(15,000)</w:t>
            </w:r>
          </w:p>
        </w:tc>
      </w:tr>
      <w:tr w:rsidR="00B951B1" w:rsidRPr="00E61612" w:rsidTr="00CB78E6">
        <w:trPr>
          <w:trHeight w:val="705"/>
        </w:trPr>
        <w:tc>
          <w:tcPr>
            <w:tcW w:w="980" w:type="dxa"/>
            <w:tcBorders>
              <w:top w:val="single" w:sz="4" w:space="0" w:color="auto"/>
              <w:left w:val="single" w:sz="8" w:space="0" w:color="auto"/>
              <w:bottom w:val="single" w:sz="4" w:space="0" w:color="auto"/>
              <w:right w:val="single" w:sz="4" w:space="0" w:color="auto"/>
            </w:tcBorders>
            <w:shd w:val="clear" w:color="000000" w:fill="auto"/>
            <w:hideMark/>
          </w:tcPr>
          <w:p w:rsidR="00B951B1" w:rsidRPr="00E61612" w:rsidRDefault="00B951B1" w:rsidP="00CB78E6">
            <w:pPr>
              <w:spacing w:after="120"/>
              <w:jc w:val="center"/>
              <w:rPr>
                <w:rFonts w:cs="Calibri"/>
                <w:b/>
                <w:bCs/>
                <w:color w:val="000000"/>
                <w:sz w:val="20"/>
                <w:szCs w:val="20"/>
              </w:rPr>
            </w:pPr>
            <w:r w:rsidRPr="00E61612">
              <w:rPr>
                <w:rFonts w:cs="Calibri"/>
                <w:b/>
                <w:bCs/>
                <w:color w:val="000000"/>
                <w:sz w:val="20"/>
                <w:szCs w:val="20"/>
              </w:rPr>
              <w:t>C6.2</w:t>
            </w:r>
          </w:p>
        </w:tc>
        <w:tc>
          <w:tcPr>
            <w:tcW w:w="3263" w:type="dxa"/>
            <w:tcBorders>
              <w:top w:val="single" w:sz="4" w:space="0" w:color="auto"/>
              <w:left w:val="nil"/>
              <w:bottom w:val="single" w:sz="4" w:space="0" w:color="auto"/>
              <w:right w:val="single" w:sz="4" w:space="0" w:color="auto"/>
            </w:tcBorders>
            <w:shd w:val="clear" w:color="000000" w:fill="auto"/>
            <w:hideMark/>
          </w:tcPr>
          <w:p w:rsidR="00B951B1" w:rsidRPr="00E61612" w:rsidRDefault="00B951B1" w:rsidP="00CB78E6">
            <w:pPr>
              <w:spacing w:after="120"/>
              <w:rPr>
                <w:rFonts w:cs="Calibri"/>
                <w:sz w:val="20"/>
                <w:szCs w:val="20"/>
              </w:rPr>
            </w:pPr>
            <w:r w:rsidRPr="00E61612">
              <w:rPr>
                <w:rFonts w:cs="Calibri"/>
                <w:sz w:val="20"/>
                <w:szCs w:val="20"/>
              </w:rPr>
              <w:t>Nxitja e IAL-ve për pjesëmarrje në projekte ndërkombëtare të bashkëpunimit akademik</w:t>
            </w:r>
          </w:p>
        </w:tc>
        <w:tc>
          <w:tcPr>
            <w:tcW w:w="1417" w:type="dxa"/>
            <w:tcBorders>
              <w:top w:val="single" w:sz="4" w:space="0" w:color="auto"/>
              <w:left w:val="nil"/>
              <w:bottom w:val="single" w:sz="4" w:space="0" w:color="auto"/>
              <w:right w:val="single" w:sz="4" w:space="0" w:color="auto"/>
            </w:tcBorders>
            <w:shd w:val="clear" w:color="000000" w:fill="auto"/>
            <w:noWrap/>
          </w:tcPr>
          <w:p w:rsidR="00B951B1" w:rsidRPr="00E61612" w:rsidRDefault="00B951B1" w:rsidP="00CB78E6">
            <w:pPr>
              <w:spacing w:after="120"/>
              <w:jc w:val="right"/>
              <w:rPr>
                <w:rFonts w:cs="Calibri"/>
                <w:color w:val="000000"/>
                <w:sz w:val="20"/>
                <w:szCs w:val="20"/>
              </w:rPr>
            </w:pPr>
            <w:r w:rsidRPr="00E61612">
              <w:rPr>
                <w:color w:val="000000"/>
                <w:sz w:val="20"/>
                <w:szCs w:val="20"/>
              </w:rPr>
              <w:t>720</w:t>
            </w:r>
          </w:p>
        </w:tc>
        <w:tc>
          <w:tcPr>
            <w:tcW w:w="1134" w:type="dxa"/>
            <w:tcBorders>
              <w:top w:val="single" w:sz="4" w:space="0" w:color="auto"/>
              <w:left w:val="nil"/>
              <w:bottom w:val="single" w:sz="4" w:space="0" w:color="auto"/>
              <w:right w:val="single" w:sz="4" w:space="0" w:color="auto"/>
            </w:tcBorders>
            <w:shd w:val="clear" w:color="000000" w:fill="auto"/>
            <w:noWrap/>
          </w:tcPr>
          <w:p w:rsidR="00B951B1" w:rsidRPr="00E61612" w:rsidRDefault="00B951B1" w:rsidP="00CB78E6">
            <w:pPr>
              <w:spacing w:after="120"/>
              <w:jc w:val="right"/>
              <w:rPr>
                <w:rFonts w:cs="Calibri"/>
                <w:color w:val="000000"/>
                <w:sz w:val="20"/>
                <w:szCs w:val="20"/>
              </w:rPr>
            </w:pPr>
            <w:r w:rsidRPr="00E61612">
              <w:rPr>
                <w:color w:val="000000"/>
                <w:sz w:val="20"/>
                <w:szCs w:val="20"/>
              </w:rPr>
              <w:t>-</w:t>
            </w:r>
          </w:p>
        </w:tc>
        <w:tc>
          <w:tcPr>
            <w:tcW w:w="1134" w:type="dxa"/>
            <w:tcBorders>
              <w:top w:val="single" w:sz="4" w:space="0" w:color="auto"/>
              <w:left w:val="nil"/>
              <w:bottom w:val="single" w:sz="4" w:space="0" w:color="auto"/>
              <w:right w:val="single" w:sz="4" w:space="0" w:color="auto"/>
            </w:tcBorders>
            <w:shd w:val="clear" w:color="000000" w:fill="auto"/>
            <w:noWrap/>
          </w:tcPr>
          <w:p w:rsidR="00B951B1" w:rsidRPr="00E61612" w:rsidRDefault="00B951B1" w:rsidP="00CB78E6">
            <w:pPr>
              <w:spacing w:after="120"/>
              <w:jc w:val="right"/>
              <w:rPr>
                <w:rFonts w:cs="Calibri"/>
                <w:color w:val="000000"/>
                <w:sz w:val="20"/>
                <w:szCs w:val="20"/>
              </w:rPr>
            </w:pPr>
            <w:r w:rsidRPr="00E61612">
              <w:rPr>
                <w:color w:val="000000"/>
                <w:sz w:val="20"/>
                <w:szCs w:val="20"/>
              </w:rPr>
              <w:t>-</w:t>
            </w:r>
          </w:p>
        </w:tc>
        <w:tc>
          <w:tcPr>
            <w:tcW w:w="1276" w:type="dxa"/>
            <w:tcBorders>
              <w:top w:val="single" w:sz="4" w:space="0" w:color="auto"/>
              <w:left w:val="nil"/>
              <w:bottom w:val="single" w:sz="4" w:space="0" w:color="auto"/>
              <w:right w:val="single" w:sz="8" w:space="0" w:color="auto"/>
            </w:tcBorders>
            <w:shd w:val="clear" w:color="000000" w:fill="auto"/>
            <w:noWrap/>
          </w:tcPr>
          <w:p w:rsidR="00B951B1" w:rsidRPr="00E61612" w:rsidRDefault="00B951B1" w:rsidP="00CB78E6">
            <w:pPr>
              <w:spacing w:after="120"/>
              <w:jc w:val="right"/>
              <w:rPr>
                <w:rFonts w:cs="Calibri"/>
                <w:color w:val="000000"/>
                <w:sz w:val="20"/>
                <w:szCs w:val="20"/>
              </w:rPr>
            </w:pPr>
            <w:r w:rsidRPr="00E61612">
              <w:rPr>
                <w:color w:val="000000"/>
                <w:sz w:val="20"/>
                <w:szCs w:val="20"/>
              </w:rPr>
              <w:t>(720)</w:t>
            </w:r>
          </w:p>
        </w:tc>
      </w:tr>
      <w:tr w:rsidR="00B951B1" w:rsidRPr="00E61612" w:rsidTr="00CB78E6">
        <w:trPr>
          <w:trHeight w:val="705"/>
        </w:trPr>
        <w:tc>
          <w:tcPr>
            <w:tcW w:w="980" w:type="dxa"/>
            <w:tcBorders>
              <w:top w:val="single" w:sz="4" w:space="0" w:color="auto"/>
              <w:left w:val="single" w:sz="8" w:space="0" w:color="auto"/>
              <w:bottom w:val="single" w:sz="4" w:space="0" w:color="auto"/>
              <w:right w:val="single" w:sz="4" w:space="0" w:color="auto"/>
            </w:tcBorders>
            <w:shd w:val="clear" w:color="000000" w:fill="auto"/>
          </w:tcPr>
          <w:p w:rsidR="00B951B1" w:rsidRPr="00E61612" w:rsidRDefault="00B951B1" w:rsidP="00CB78E6">
            <w:pPr>
              <w:spacing w:after="120"/>
              <w:jc w:val="center"/>
              <w:rPr>
                <w:rFonts w:cs="Calibri"/>
                <w:b/>
                <w:bCs/>
                <w:color w:val="000000"/>
                <w:sz w:val="20"/>
                <w:szCs w:val="20"/>
              </w:rPr>
            </w:pPr>
            <w:r w:rsidRPr="00E61612">
              <w:rPr>
                <w:rFonts w:cs="Calibri"/>
                <w:b/>
                <w:bCs/>
                <w:color w:val="000000"/>
                <w:sz w:val="20"/>
                <w:szCs w:val="20"/>
              </w:rPr>
              <w:t>C6.3</w:t>
            </w:r>
          </w:p>
        </w:tc>
        <w:tc>
          <w:tcPr>
            <w:tcW w:w="3263" w:type="dxa"/>
            <w:tcBorders>
              <w:top w:val="single" w:sz="4" w:space="0" w:color="auto"/>
              <w:left w:val="nil"/>
              <w:bottom w:val="single" w:sz="4" w:space="0" w:color="auto"/>
              <w:right w:val="single" w:sz="4" w:space="0" w:color="auto"/>
            </w:tcBorders>
            <w:shd w:val="clear" w:color="000000" w:fill="auto"/>
          </w:tcPr>
          <w:p w:rsidR="00B951B1" w:rsidRPr="00E61612" w:rsidRDefault="00B951B1" w:rsidP="00CB78E6">
            <w:pPr>
              <w:spacing w:after="120"/>
              <w:rPr>
                <w:rFonts w:cs="Calibri"/>
                <w:sz w:val="20"/>
                <w:szCs w:val="20"/>
              </w:rPr>
            </w:pPr>
            <w:r w:rsidRPr="00E61612">
              <w:rPr>
                <w:rFonts w:cs="Calibri"/>
                <w:sz w:val="20"/>
                <w:szCs w:val="20"/>
              </w:rPr>
              <w:t xml:space="preserve">Ofrimi i programeve studimore ndërkombëtare në Shqipëri </w:t>
            </w:r>
          </w:p>
        </w:tc>
        <w:tc>
          <w:tcPr>
            <w:tcW w:w="1417" w:type="dxa"/>
            <w:tcBorders>
              <w:top w:val="single" w:sz="4" w:space="0" w:color="auto"/>
              <w:left w:val="nil"/>
              <w:bottom w:val="single" w:sz="4" w:space="0" w:color="auto"/>
              <w:right w:val="single" w:sz="4" w:space="0" w:color="auto"/>
            </w:tcBorders>
            <w:shd w:val="clear" w:color="000000" w:fill="auto"/>
            <w:noWrap/>
          </w:tcPr>
          <w:p w:rsidR="00B951B1" w:rsidRPr="00E61612" w:rsidRDefault="00B951B1" w:rsidP="00CB78E6">
            <w:pPr>
              <w:spacing w:after="120"/>
              <w:jc w:val="right"/>
              <w:rPr>
                <w:rFonts w:cs="Calibri"/>
                <w:color w:val="000000"/>
                <w:sz w:val="20"/>
                <w:szCs w:val="20"/>
              </w:rPr>
            </w:pPr>
            <w:r w:rsidRPr="00E61612">
              <w:rPr>
                <w:color w:val="000000"/>
                <w:sz w:val="20"/>
                <w:szCs w:val="20"/>
              </w:rPr>
              <w:t>-</w:t>
            </w:r>
          </w:p>
        </w:tc>
        <w:tc>
          <w:tcPr>
            <w:tcW w:w="1134" w:type="dxa"/>
            <w:tcBorders>
              <w:top w:val="single" w:sz="4" w:space="0" w:color="auto"/>
              <w:left w:val="nil"/>
              <w:bottom w:val="single" w:sz="4" w:space="0" w:color="auto"/>
              <w:right w:val="single" w:sz="4" w:space="0" w:color="auto"/>
            </w:tcBorders>
            <w:shd w:val="clear" w:color="000000" w:fill="auto"/>
            <w:noWrap/>
          </w:tcPr>
          <w:p w:rsidR="00B951B1" w:rsidRPr="00E61612" w:rsidRDefault="00B951B1" w:rsidP="00CB78E6">
            <w:pPr>
              <w:spacing w:after="120"/>
              <w:jc w:val="right"/>
              <w:rPr>
                <w:rFonts w:cs="Calibri"/>
                <w:color w:val="000000"/>
                <w:sz w:val="20"/>
                <w:szCs w:val="20"/>
              </w:rPr>
            </w:pPr>
            <w:r w:rsidRPr="00E61612">
              <w:rPr>
                <w:color w:val="000000"/>
                <w:sz w:val="20"/>
                <w:szCs w:val="20"/>
              </w:rPr>
              <w:t>-</w:t>
            </w:r>
          </w:p>
        </w:tc>
        <w:tc>
          <w:tcPr>
            <w:tcW w:w="1134" w:type="dxa"/>
            <w:tcBorders>
              <w:top w:val="single" w:sz="4" w:space="0" w:color="auto"/>
              <w:left w:val="nil"/>
              <w:bottom w:val="single" w:sz="4" w:space="0" w:color="auto"/>
              <w:right w:val="single" w:sz="4" w:space="0" w:color="auto"/>
            </w:tcBorders>
            <w:shd w:val="clear" w:color="000000" w:fill="auto"/>
            <w:noWrap/>
          </w:tcPr>
          <w:p w:rsidR="00B951B1" w:rsidRPr="00E61612" w:rsidRDefault="00B951B1" w:rsidP="00CB78E6">
            <w:pPr>
              <w:spacing w:after="120"/>
              <w:jc w:val="right"/>
              <w:rPr>
                <w:rFonts w:cs="Calibri"/>
                <w:color w:val="000000"/>
                <w:sz w:val="20"/>
                <w:szCs w:val="20"/>
              </w:rPr>
            </w:pPr>
            <w:r w:rsidRPr="00E61612">
              <w:rPr>
                <w:color w:val="000000"/>
                <w:sz w:val="20"/>
                <w:szCs w:val="20"/>
              </w:rPr>
              <w:t>-</w:t>
            </w:r>
          </w:p>
        </w:tc>
        <w:tc>
          <w:tcPr>
            <w:tcW w:w="1276" w:type="dxa"/>
            <w:tcBorders>
              <w:top w:val="single" w:sz="4" w:space="0" w:color="auto"/>
              <w:left w:val="nil"/>
              <w:bottom w:val="single" w:sz="4" w:space="0" w:color="auto"/>
              <w:right w:val="single" w:sz="8" w:space="0" w:color="auto"/>
            </w:tcBorders>
            <w:shd w:val="clear" w:color="000000" w:fill="auto"/>
            <w:noWrap/>
          </w:tcPr>
          <w:p w:rsidR="00B951B1" w:rsidRPr="00E61612" w:rsidRDefault="00B951B1" w:rsidP="00CB78E6">
            <w:pPr>
              <w:spacing w:after="120"/>
              <w:jc w:val="right"/>
              <w:rPr>
                <w:rFonts w:cs="Calibri"/>
                <w:color w:val="000000"/>
                <w:sz w:val="20"/>
                <w:szCs w:val="20"/>
              </w:rPr>
            </w:pPr>
            <w:r w:rsidRPr="00E61612">
              <w:rPr>
                <w:color w:val="000000"/>
                <w:sz w:val="20"/>
                <w:szCs w:val="20"/>
              </w:rPr>
              <w:t>-</w:t>
            </w:r>
          </w:p>
        </w:tc>
      </w:tr>
      <w:tr w:rsidR="00B951B1" w:rsidRPr="00E61612" w:rsidTr="00CB78E6">
        <w:trPr>
          <w:trHeight w:val="705"/>
        </w:trPr>
        <w:tc>
          <w:tcPr>
            <w:tcW w:w="980" w:type="dxa"/>
            <w:tcBorders>
              <w:top w:val="single" w:sz="4" w:space="0" w:color="auto"/>
              <w:left w:val="single" w:sz="8" w:space="0" w:color="auto"/>
              <w:bottom w:val="single" w:sz="4" w:space="0" w:color="auto"/>
              <w:right w:val="single" w:sz="4" w:space="0" w:color="auto"/>
            </w:tcBorders>
            <w:shd w:val="clear" w:color="000000" w:fill="auto"/>
            <w:hideMark/>
          </w:tcPr>
          <w:p w:rsidR="00B951B1" w:rsidRPr="00E61612" w:rsidRDefault="00B951B1" w:rsidP="00CB78E6">
            <w:pPr>
              <w:spacing w:after="120"/>
              <w:jc w:val="center"/>
              <w:rPr>
                <w:rFonts w:cs="Calibri"/>
                <w:b/>
                <w:bCs/>
                <w:color w:val="000000"/>
                <w:sz w:val="20"/>
                <w:szCs w:val="20"/>
              </w:rPr>
            </w:pPr>
            <w:r w:rsidRPr="00E61612">
              <w:rPr>
                <w:rFonts w:cs="Calibri"/>
                <w:b/>
                <w:bCs/>
                <w:color w:val="000000"/>
                <w:sz w:val="20"/>
                <w:szCs w:val="20"/>
              </w:rPr>
              <w:t>C6.4</w:t>
            </w:r>
          </w:p>
        </w:tc>
        <w:tc>
          <w:tcPr>
            <w:tcW w:w="3263" w:type="dxa"/>
            <w:tcBorders>
              <w:top w:val="single" w:sz="4" w:space="0" w:color="auto"/>
              <w:left w:val="nil"/>
              <w:bottom w:val="single" w:sz="4" w:space="0" w:color="auto"/>
              <w:right w:val="single" w:sz="4" w:space="0" w:color="auto"/>
            </w:tcBorders>
            <w:shd w:val="clear" w:color="000000" w:fill="auto"/>
            <w:hideMark/>
          </w:tcPr>
          <w:p w:rsidR="00B951B1" w:rsidRPr="00E61612" w:rsidRDefault="00B951B1" w:rsidP="00CB78E6">
            <w:pPr>
              <w:spacing w:after="120"/>
              <w:rPr>
                <w:rFonts w:cs="Calibri"/>
                <w:sz w:val="20"/>
                <w:szCs w:val="20"/>
              </w:rPr>
            </w:pPr>
            <w:r w:rsidRPr="00E61612">
              <w:rPr>
                <w:rFonts w:cs="Calibri"/>
                <w:sz w:val="20"/>
                <w:szCs w:val="20"/>
              </w:rPr>
              <w:t>Shtimi i mobilitetit të studentëve dhe personelit akademik</w:t>
            </w:r>
          </w:p>
        </w:tc>
        <w:tc>
          <w:tcPr>
            <w:tcW w:w="1417" w:type="dxa"/>
            <w:tcBorders>
              <w:top w:val="single" w:sz="4" w:space="0" w:color="auto"/>
              <w:left w:val="nil"/>
              <w:bottom w:val="single" w:sz="4" w:space="0" w:color="auto"/>
              <w:right w:val="single" w:sz="4" w:space="0" w:color="auto"/>
            </w:tcBorders>
            <w:shd w:val="clear" w:color="000000" w:fill="auto"/>
            <w:noWrap/>
          </w:tcPr>
          <w:p w:rsidR="00B951B1" w:rsidRPr="00E61612" w:rsidRDefault="00B951B1" w:rsidP="00CB78E6">
            <w:pPr>
              <w:spacing w:after="120"/>
              <w:jc w:val="right"/>
              <w:rPr>
                <w:rFonts w:cs="Calibri"/>
                <w:color w:val="000000"/>
                <w:sz w:val="20"/>
                <w:szCs w:val="20"/>
              </w:rPr>
            </w:pPr>
            <w:r w:rsidRPr="00E61612">
              <w:rPr>
                <w:color w:val="000000"/>
                <w:sz w:val="20"/>
                <w:szCs w:val="20"/>
              </w:rPr>
              <w:t>1,257</w:t>
            </w:r>
          </w:p>
        </w:tc>
        <w:tc>
          <w:tcPr>
            <w:tcW w:w="1134" w:type="dxa"/>
            <w:tcBorders>
              <w:top w:val="single" w:sz="4" w:space="0" w:color="auto"/>
              <w:left w:val="nil"/>
              <w:bottom w:val="single" w:sz="4" w:space="0" w:color="auto"/>
              <w:right w:val="single" w:sz="4" w:space="0" w:color="auto"/>
            </w:tcBorders>
            <w:shd w:val="clear" w:color="000000" w:fill="auto"/>
            <w:noWrap/>
          </w:tcPr>
          <w:p w:rsidR="00B951B1" w:rsidRPr="00E61612" w:rsidRDefault="00B951B1" w:rsidP="00CB78E6">
            <w:pPr>
              <w:spacing w:after="120"/>
              <w:jc w:val="right"/>
              <w:rPr>
                <w:rFonts w:cs="Calibri"/>
                <w:color w:val="000000"/>
                <w:sz w:val="20"/>
                <w:szCs w:val="20"/>
              </w:rPr>
            </w:pPr>
            <w:r w:rsidRPr="00E61612">
              <w:rPr>
                <w:color w:val="000000"/>
                <w:sz w:val="20"/>
                <w:szCs w:val="20"/>
              </w:rPr>
              <w:t>-</w:t>
            </w:r>
          </w:p>
        </w:tc>
        <w:tc>
          <w:tcPr>
            <w:tcW w:w="1134" w:type="dxa"/>
            <w:tcBorders>
              <w:top w:val="single" w:sz="4" w:space="0" w:color="auto"/>
              <w:left w:val="nil"/>
              <w:bottom w:val="single" w:sz="4" w:space="0" w:color="auto"/>
              <w:right w:val="single" w:sz="4" w:space="0" w:color="auto"/>
            </w:tcBorders>
            <w:shd w:val="clear" w:color="000000" w:fill="auto"/>
            <w:noWrap/>
          </w:tcPr>
          <w:p w:rsidR="00B951B1" w:rsidRPr="00E61612" w:rsidRDefault="00B951B1" w:rsidP="00CB78E6">
            <w:pPr>
              <w:spacing w:after="120"/>
              <w:jc w:val="right"/>
              <w:rPr>
                <w:rFonts w:cs="Calibri"/>
                <w:color w:val="000000"/>
                <w:sz w:val="20"/>
                <w:szCs w:val="20"/>
              </w:rPr>
            </w:pPr>
            <w:r w:rsidRPr="00E61612">
              <w:rPr>
                <w:color w:val="000000"/>
                <w:sz w:val="20"/>
                <w:szCs w:val="20"/>
              </w:rPr>
              <w:t>-</w:t>
            </w:r>
          </w:p>
        </w:tc>
        <w:tc>
          <w:tcPr>
            <w:tcW w:w="1276" w:type="dxa"/>
            <w:tcBorders>
              <w:top w:val="single" w:sz="4" w:space="0" w:color="auto"/>
              <w:left w:val="nil"/>
              <w:bottom w:val="single" w:sz="4" w:space="0" w:color="auto"/>
              <w:right w:val="single" w:sz="8" w:space="0" w:color="auto"/>
            </w:tcBorders>
            <w:shd w:val="clear" w:color="000000" w:fill="auto"/>
            <w:noWrap/>
          </w:tcPr>
          <w:p w:rsidR="00B951B1" w:rsidRPr="00E61612" w:rsidRDefault="00B951B1" w:rsidP="00CB78E6">
            <w:pPr>
              <w:spacing w:after="120"/>
              <w:jc w:val="right"/>
              <w:rPr>
                <w:rFonts w:cs="Calibri"/>
                <w:color w:val="000000"/>
                <w:sz w:val="20"/>
                <w:szCs w:val="20"/>
              </w:rPr>
            </w:pPr>
            <w:r w:rsidRPr="00E61612">
              <w:rPr>
                <w:color w:val="000000"/>
                <w:sz w:val="20"/>
                <w:szCs w:val="20"/>
              </w:rPr>
              <w:t>(1,257)</w:t>
            </w:r>
          </w:p>
        </w:tc>
      </w:tr>
      <w:tr w:rsidR="00B951B1" w:rsidRPr="00E61612" w:rsidTr="00CB78E6">
        <w:trPr>
          <w:trHeight w:val="925"/>
        </w:trPr>
        <w:tc>
          <w:tcPr>
            <w:tcW w:w="980" w:type="dxa"/>
            <w:tcBorders>
              <w:top w:val="nil"/>
              <w:left w:val="single" w:sz="8" w:space="0" w:color="auto"/>
              <w:bottom w:val="single" w:sz="4" w:space="0" w:color="auto"/>
              <w:right w:val="single" w:sz="4" w:space="0" w:color="auto"/>
            </w:tcBorders>
            <w:shd w:val="clear" w:color="000000" w:fill="D9D9D9"/>
            <w:hideMark/>
          </w:tcPr>
          <w:p w:rsidR="00B951B1" w:rsidRPr="00E61612" w:rsidRDefault="00B951B1" w:rsidP="00CB78E6">
            <w:pPr>
              <w:spacing w:after="120"/>
              <w:jc w:val="center"/>
              <w:rPr>
                <w:rFonts w:cs="Calibri"/>
                <w:b/>
                <w:bCs/>
                <w:color w:val="000000"/>
                <w:sz w:val="20"/>
                <w:szCs w:val="20"/>
              </w:rPr>
            </w:pPr>
            <w:r w:rsidRPr="00E61612">
              <w:rPr>
                <w:rFonts w:cs="Calibri"/>
                <w:b/>
                <w:bCs/>
                <w:color w:val="000000"/>
                <w:sz w:val="20"/>
                <w:szCs w:val="20"/>
              </w:rPr>
              <w:t>C7</w:t>
            </w:r>
          </w:p>
        </w:tc>
        <w:tc>
          <w:tcPr>
            <w:tcW w:w="3263" w:type="dxa"/>
            <w:tcBorders>
              <w:top w:val="nil"/>
              <w:left w:val="nil"/>
              <w:bottom w:val="single" w:sz="4" w:space="0" w:color="auto"/>
              <w:right w:val="single" w:sz="4" w:space="0" w:color="auto"/>
            </w:tcBorders>
            <w:shd w:val="clear" w:color="000000" w:fill="D9D9D9"/>
            <w:hideMark/>
          </w:tcPr>
          <w:p w:rsidR="00B951B1" w:rsidRPr="00E61612" w:rsidRDefault="00B951B1" w:rsidP="00CB78E6">
            <w:pPr>
              <w:spacing w:after="120"/>
              <w:rPr>
                <w:rFonts w:cs="Calibri"/>
                <w:sz w:val="20"/>
                <w:szCs w:val="20"/>
              </w:rPr>
            </w:pPr>
            <w:r w:rsidRPr="00E61612">
              <w:rPr>
                <w:rFonts w:cs="Calibri"/>
                <w:sz w:val="20"/>
                <w:szCs w:val="20"/>
              </w:rPr>
              <w:t>Avancimi i infrastrukturës së TIK-ut dhe i shërbimeve digjitale për IAL-të publike</w:t>
            </w:r>
          </w:p>
        </w:tc>
        <w:tc>
          <w:tcPr>
            <w:tcW w:w="1417" w:type="dxa"/>
            <w:tcBorders>
              <w:top w:val="nil"/>
              <w:left w:val="nil"/>
              <w:bottom w:val="single" w:sz="4" w:space="0" w:color="auto"/>
              <w:right w:val="single" w:sz="4" w:space="0" w:color="auto"/>
            </w:tcBorders>
            <w:shd w:val="clear" w:color="000000" w:fill="D9D9D9"/>
            <w:noWrap/>
          </w:tcPr>
          <w:p w:rsidR="00B951B1" w:rsidRPr="00E61612" w:rsidRDefault="00B951B1" w:rsidP="00CB78E6">
            <w:pPr>
              <w:spacing w:after="120"/>
              <w:jc w:val="right"/>
              <w:rPr>
                <w:rFonts w:cs="Calibri"/>
                <w:color w:val="000000"/>
                <w:sz w:val="20"/>
                <w:szCs w:val="20"/>
              </w:rPr>
            </w:pPr>
            <w:r w:rsidRPr="00E61612">
              <w:rPr>
                <w:color w:val="000000"/>
                <w:sz w:val="20"/>
                <w:szCs w:val="20"/>
              </w:rPr>
              <w:t>418,140</w:t>
            </w:r>
          </w:p>
        </w:tc>
        <w:tc>
          <w:tcPr>
            <w:tcW w:w="1134" w:type="dxa"/>
            <w:tcBorders>
              <w:top w:val="nil"/>
              <w:left w:val="nil"/>
              <w:bottom w:val="single" w:sz="4" w:space="0" w:color="auto"/>
              <w:right w:val="single" w:sz="4" w:space="0" w:color="auto"/>
            </w:tcBorders>
            <w:shd w:val="clear" w:color="000000" w:fill="D9D9D9"/>
            <w:noWrap/>
          </w:tcPr>
          <w:p w:rsidR="00B951B1" w:rsidRPr="00E61612" w:rsidRDefault="00B951B1" w:rsidP="00CB78E6">
            <w:pPr>
              <w:spacing w:after="120"/>
              <w:jc w:val="right"/>
              <w:rPr>
                <w:rFonts w:cs="Calibri"/>
                <w:color w:val="000000"/>
                <w:sz w:val="20"/>
                <w:szCs w:val="20"/>
              </w:rPr>
            </w:pPr>
            <w:r w:rsidRPr="00E61612">
              <w:rPr>
                <w:color w:val="000000"/>
                <w:sz w:val="20"/>
                <w:szCs w:val="20"/>
              </w:rPr>
              <w:t>-</w:t>
            </w:r>
          </w:p>
        </w:tc>
        <w:tc>
          <w:tcPr>
            <w:tcW w:w="1134" w:type="dxa"/>
            <w:tcBorders>
              <w:top w:val="nil"/>
              <w:left w:val="nil"/>
              <w:bottom w:val="single" w:sz="4" w:space="0" w:color="auto"/>
              <w:right w:val="single" w:sz="4" w:space="0" w:color="auto"/>
            </w:tcBorders>
            <w:shd w:val="clear" w:color="000000" w:fill="D9D9D9"/>
            <w:noWrap/>
          </w:tcPr>
          <w:p w:rsidR="00B951B1" w:rsidRPr="00E61612" w:rsidRDefault="00B951B1" w:rsidP="00CB78E6">
            <w:pPr>
              <w:spacing w:after="120"/>
              <w:jc w:val="right"/>
              <w:rPr>
                <w:rFonts w:cs="Calibri"/>
                <w:color w:val="000000"/>
                <w:sz w:val="20"/>
                <w:szCs w:val="20"/>
              </w:rPr>
            </w:pPr>
            <w:r w:rsidRPr="00E61612">
              <w:rPr>
                <w:color w:val="000000"/>
                <w:sz w:val="20"/>
                <w:szCs w:val="20"/>
              </w:rPr>
              <w:t>-</w:t>
            </w:r>
          </w:p>
        </w:tc>
        <w:tc>
          <w:tcPr>
            <w:tcW w:w="1276" w:type="dxa"/>
            <w:tcBorders>
              <w:top w:val="nil"/>
              <w:left w:val="nil"/>
              <w:bottom w:val="single" w:sz="4" w:space="0" w:color="auto"/>
              <w:right w:val="single" w:sz="8" w:space="0" w:color="auto"/>
            </w:tcBorders>
            <w:shd w:val="clear" w:color="000000" w:fill="D9D9D9"/>
            <w:noWrap/>
          </w:tcPr>
          <w:p w:rsidR="00B951B1" w:rsidRPr="00E61612" w:rsidRDefault="00B951B1" w:rsidP="00CB78E6">
            <w:pPr>
              <w:spacing w:after="120"/>
              <w:jc w:val="right"/>
              <w:rPr>
                <w:rFonts w:cs="Calibri"/>
                <w:color w:val="000000"/>
                <w:sz w:val="20"/>
                <w:szCs w:val="20"/>
              </w:rPr>
            </w:pPr>
            <w:r w:rsidRPr="00E61612">
              <w:rPr>
                <w:color w:val="000000"/>
                <w:sz w:val="20"/>
                <w:szCs w:val="20"/>
              </w:rPr>
              <w:t>(418,140)</w:t>
            </w:r>
          </w:p>
        </w:tc>
      </w:tr>
      <w:tr w:rsidR="00B951B1" w:rsidRPr="00E61612" w:rsidTr="00CB78E6">
        <w:trPr>
          <w:trHeight w:val="705"/>
        </w:trPr>
        <w:tc>
          <w:tcPr>
            <w:tcW w:w="980" w:type="dxa"/>
            <w:tcBorders>
              <w:top w:val="single" w:sz="4" w:space="0" w:color="auto"/>
              <w:left w:val="single" w:sz="8" w:space="0" w:color="auto"/>
              <w:bottom w:val="single" w:sz="4" w:space="0" w:color="auto"/>
              <w:right w:val="single" w:sz="4" w:space="0" w:color="auto"/>
            </w:tcBorders>
            <w:shd w:val="clear" w:color="auto" w:fill="auto"/>
            <w:hideMark/>
          </w:tcPr>
          <w:p w:rsidR="00B951B1" w:rsidRPr="00E61612" w:rsidRDefault="00B951B1" w:rsidP="00CB78E6">
            <w:pPr>
              <w:spacing w:after="120"/>
              <w:jc w:val="center"/>
              <w:rPr>
                <w:rFonts w:cs="Calibri"/>
                <w:b/>
                <w:bCs/>
                <w:color w:val="000000"/>
                <w:sz w:val="20"/>
                <w:szCs w:val="20"/>
              </w:rPr>
            </w:pPr>
            <w:r w:rsidRPr="00E61612">
              <w:rPr>
                <w:rFonts w:cs="Calibri"/>
                <w:b/>
                <w:bCs/>
                <w:color w:val="000000"/>
                <w:sz w:val="20"/>
                <w:szCs w:val="20"/>
              </w:rPr>
              <w:t>C7.1</w:t>
            </w:r>
          </w:p>
        </w:tc>
        <w:tc>
          <w:tcPr>
            <w:tcW w:w="3263" w:type="dxa"/>
            <w:tcBorders>
              <w:top w:val="single" w:sz="4" w:space="0" w:color="auto"/>
              <w:left w:val="nil"/>
              <w:bottom w:val="single" w:sz="4" w:space="0" w:color="auto"/>
              <w:right w:val="single" w:sz="4" w:space="0" w:color="auto"/>
            </w:tcBorders>
            <w:shd w:val="clear" w:color="auto" w:fill="auto"/>
            <w:hideMark/>
          </w:tcPr>
          <w:p w:rsidR="00B951B1" w:rsidRPr="00E61612" w:rsidRDefault="00B951B1" w:rsidP="00CB78E6">
            <w:pPr>
              <w:spacing w:after="120"/>
              <w:rPr>
                <w:rFonts w:cs="Calibri"/>
                <w:sz w:val="20"/>
                <w:szCs w:val="20"/>
              </w:rPr>
            </w:pPr>
            <w:r w:rsidRPr="00E61612">
              <w:rPr>
                <w:rFonts w:cs="Calibri"/>
                <w:sz w:val="20"/>
                <w:szCs w:val="20"/>
              </w:rPr>
              <w:t xml:space="preserve">Përmirësimi i infrastrukturës së TIK-ut në IAL dhe visibilitetit në </w:t>
            </w:r>
            <w:r>
              <w:rPr>
                <w:rFonts w:cs="Calibri"/>
                <w:sz w:val="20"/>
                <w:szCs w:val="20"/>
              </w:rPr>
              <w:t>internet</w:t>
            </w:r>
          </w:p>
        </w:tc>
        <w:tc>
          <w:tcPr>
            <w:tcW w:w="1417" w:type="dxa"/>
            <w:tcBorders>
              <w:top w:val="single" w:sz="4" w:space="0" w:color="auto"/>
              <w:left w:val="nil"/>
              <w:bottom w:val="single" w:sz="4" w:space="0" w:color="auto"/>
              <w:right w:val="single" w:sz="4" w:space="0" w:color="auto"/>
            </w:tcBorders>
            <w:shd w:val="clear" w:color="auto" w:fill="auto"/>
            <w:noWrap/>
          </w:tcPr>
          <w:p w:rsidR="00B951B1" w:rsidRPr="00E61612" w:rsidRDefault="00B951B1" w:rsidP="00CB78E6">
            <w:pPr>
              <w:spacing w:after="120"/>
              <w:jc w:val="right"/>
              <w:rPr>
                <w:rFonts w:cs="Calibri"/>
                <w:color w:val="000000"/>
                <w:sz w:val="20"/>
                <w:szCs w:val="20"/>
              </w:rPr>
            </w:pPr>
            <w:r w:rsidRPr="00E61612">
              <w:rPr>
                <w:color w:val="000000"/>
                <w:sz w:val="20"/>
                <w:szCs w:val="20"/>
              </w:rPr>
              <w:t>1,920</w:t>
            </w:r>
          </w:p>
        </w:tc>
        <w:tc>
          <w:tcPr>
            <w:tcW w:w="1134" w:type="dxa"/>
            <w:tcBorders>
              <w:top w:val="single" w:sz="4" w:space="0" w:color="auto"/>
              <w:left w:val="nil"/>
              <w:bottom w:val="single" w:sz="4" w:space="0" w:color="auto"/>
              <w:right w:val="single" w:sz="4" w:space="0" w:color="auto"/>
            </w:tcBorders>
            <w:shd w:val="clear" w:color="auto" w:fill="auto"/>
            <w:noWrap/>
          </w:tcPr>
          <w:p w:rsidR="00B951B1" w:rsidRPr="00E61612" w:rsidRDefault="00B951B1" w:rsidP="00CB78E6">
            <w:pPr>
              <w:spacing w:after="120"/>
              <w:jc w:val="right"/>
              <w:rPr>
                <w:rFonts w:cs="Calibri"/>
                <w:color w:val="000000"/>
                <w:sz w:val="20"/>
                <w:szCs w:val="20"/>
              </w:rPr>
            </w:pPr>
            <w:r w:rsidRPr="00E61612">
              <w:rPr>
                <w:color w:val="000000"/>
                <w:sz w:val="20"/>
                <w:szCs w:val="20"/>
              </w:rPr>
              <w:t>-</w:t>
            </w:r>
          </w:p>
        </w:tc>
        <w:tc>
          <w:tcPr>
            <w:tcW w:w="1134" w:type="dxa"/>
            <w:tcBorders>
              <w:top w:val="single" w:sz="4" w:space="0" w:color="auto"/>
              <w:left w:val="nil"/>
              <w:bottom w:val="single" w:sz="4" w:space="0" w:color="auto"/>
              <w:right w:val="single" w:sz="4" w:space="0" w:color="auto"/>
            </w:tcBorders>
            <w:shd w:val="clear" w:color="auto" w:fill="auto"/>
            <w:noWrap/>
          </w:tcPr>
          <w:p w:rsidR="00B951B1" w:rsidRPr="00E61612" w:rsidRDefault="00B951B1" w:rsidP="00CB78E6">
            <w:pPr>
              <w:spacing w:after="120"/>
              <w:jc w:val="right"/>
              <w:rPr>
                <w:rFonts w:cs="Calibri"/>
                <w:color w:val="000000"/>
                <w:sz w:val="20"/>
                <w:szCs w:val="20"/>
              </w:rPr>
            </w:pPr>
            <w:r w:rsidRPr="00E61612">
              <w:rPr>
                <w:color w:val="000000"/>
                <w:sz w:val="20"/>
                <w:szCs w:val="20"/>
              </w:rPr>
              <w:t>-</w:t>
            </w:r>
          </w:p>
        </w:tc>
        <w:tc>
          <w:tcPr>
            <w:tcW w:w="1276" w:type="dxa"/>
            <w:tcBorders>
              <w:top w:val="single" w:sz="4" w:space="0" w:color="auto"/>
              <w:left w:val="nil"/>
              <w:bottom w:val="single" w:sz="4" w:space="0" w:color="auto"/>
              <w:right w:val="single" w:sz="8" w:space="0" w:color="auto"/>
            </w:tcBorders>
            <w:shd w:val="clear" w:color="auto" w:fill="auto"/>
            <w:noWrap/>
          </w:tcPr>
          <w:p w:rsidR="00B951B1" w:rsidRPr="00E61612" w:rsidRDefault="00B951B1" w:rsidP="00CB78E6">
            <w:pPr>
              <w:spacing w:after="120"/>
              <w:jc w:val="right"/>
              <w:rPr>
                <w:rFonts w:cs="Calibri"/>
                <w:color w:val="000000"/>
                <w:sz w:val="20"/>
                <w:szCs w:val="20"/>
              </w:rPr>
            </w:pPr>
            <w:r w:rsidRPr="00E61612">
              <w:rPr>
                <w:color w:val="000000"/>
                <w:sz w:val="20"/>
                <w:szCs w:val="20"/>
              </w:rPr>
              <w:t>(1,920)</w:t>
            </w:r>
          </w:p>
        </w:tc>
      </w:tr>
      <w:tr w:rsidR="00B951B1" w:rsidRPr="00E61612" w:rsidTr="00CB78E6">
        <w:trPr>
          <w:trHeight w:val="705"/>
        </w:trPr>
        <w:tc>
          <w:tcPr>
            <w:tcW w:w="980" w:type="dxa"/>
            <w:tcBorders>
              <w:top w:val="nil"/>
              <w:left w:val="single" w:sz="8" w:space="0" w:color="auto"/>
              <w:bottom w:val="single" w:sz="4" w:space="0" w:color="auto"/>
              <w:right w:val="single" w:sz="4" w:space="0" w:color="auto"/>
            </w:tcBorders>
            <w:shd w:val="clear" w:color="auto" w:fill="auto"/>
            <w:hideMark/>
          </w:tcPr>
          <w:p w:rsidR="00B951B1" w:rsidRPr="00E61612" w:rsidRDefault="00B951B1" w:rsidP="00CB78E6">
            <w:pPr>
              <w:spacing w:after="120"/>
              <w:jc w:val="center"/>
              <w:rPr>
                <w:rFonts w:cs="Calibri"/>
                <w:b/>
                <w:bCs/>
                <w:color w:val="000000"/>
                <w:sz w:val="20"/>
                <w:szCs w:val="20"/>
              </w:rPr>
            </w:pPr>
            <w:r w:rsidRPr="00E61612">
              <w:rPr>
                <w:rFonts w:cs="Calibri"/>
                <w:b/>
                <w:bCs/>
                <w:color w:val="000000"/>
                <w:sz w:val="20"/>
                <w:szCs w:val="20"/>
              </w:rPr>
              <w:t>C7.2</w:t>
            </w:r>
          </w:p>
        </w:tc>
        <w:tc>
          <w:tcPr>
            <w:tcW w:w="3263" w:type="dxa"/>
            <w:tcBorders>
              <w:top w:val="nil"/>
              <w:left w:val="nil"/>
              <w:bottom w:val="single" w:sz="4" w:space="0" w:color="auto"/>
              <w:right w:val="single" w:sz="4" w:space="0" w:color="auto"/>
            </w:tcBorders>
            <w:shd w:val="clear" w:color="auto" w:fill="auto"/>
            <w:hideMark/>
          </w:tcPr>
          <w:p w:rsidR="00B951B1" w:rsidRPr="00E61612" w:rsidRDefault="00B951B1" w:rsidP="00CB78E6">
            <w:pPr>
              <w:spacing w:after="120"/>
              <w:rPr>
                <w:rFonts w:cs="Calibri"/>
                <w:sz w:val="20"/>
                <w:szCs w:val="20"/>
              </w:rPr>
            </w:pPr>
            <w:r w:rsidRPr="00E61612">
              <w:rPr>
                <w:rFonts w:cs="Calibri"/>
                <w:sz w:val="20"/>
                <w:szCs w:val="20"/>
              </w:rPr>
              <w:t>Nxitja e IAL</w:t>
            </w:r>
            <w:r>
              <w:rPr>
                <w:rFonts w:cs="Calibri"/>
                <w:sz w:val="20"/>
                <w:szCs w:val="20"/>
              </w:rPr>
              <w:t>-ve</w:t>
            </w:r>
            <w:r w:rsidRPr="00E61612">
              <w:rPr>
                <w:rFonts w:cs="Calibri"/>
                <w:sz w:val="20"/>
                <w:szCs w:val="20"/>
              </w:rPr>
              <w:t xml:space="preserve"> për të organizuar mësimin në distancë dhe “</w:t>
            </w:r>
            <w:r>
              <w:rPr>
                <w:rFonts w:cs="Calibri"/>
                <w:sz w:val="20"/>
                <w:szCs w:val="20"/>
              </w:rPr>
              <w:t>të nxënit e kombinuar</w:t>
            </w:r>
            <w:r w:rsidRPr="00E61612">
              <w:rPr>
                <w:rFonts w:cs="Calibri"/>
                <w:sz w:val="20"/>
                <w:szCs w:val="20"/>
              </w:rPr>
              <w:t>”</w:t>
            </w:r>
          </w:p>
        </w:tc>
        <w:tc>
          <w:tcPr>
            <w:tcW w:w="1417" w:type="dxa"/>
            <w:tcBorders>
              <w:top w:val="nil"/>
              <w:left w:val="nil"/>
              <w:bottom w:val="single" w:sz="4" w:space="0" w:color="auto"/>
              <w:right w:val="single" w:sz="4" w:space="0" w:color="auto"/>
            </w:tcBorders>
            <w:shd w:val="clear" w:color="auto" w:fill="auto"/>
            <w:noWrap/>
          </w:tcPr>
          <w:p w:rsidR="00B951B1" w:rsidRPr="00E61612" w:rsidRDefault="00B951B1" w:rsidP="00CB78E6">
            <w:pPr>
              <w:spacing w:after="120"/>
              <w:jc w:val="right"/>
              <w:rPr>
                <w:rFonts w:cs="Calibri"/>
                <w:color w:val="000000"/>
                <w:sz w:val="20"/>
                <w:szCs w:val="20"/>
              </w:rPr>
            </w:pPr>
            <w:r w:rsidRPr="00E61612">
              <w:rPr>
                <w:color w:val="000000"/>
                <w:sz w:val="20"/>
                <w:szCs w:val="20"/>
              </w:rPr>
              <w:t>63,240</w:t>
            </w:r>
          </w:p>
        </w:tc>
        <w:tc>
          <w:tcPr>
            <w:tcW w:w="1134" w:type="dxa"/>
            <w:tcBorders>
              <w:top w:val="nil"/>
              <w:left w:val="nil"/>
              <w:bottom w:val="single" w:sz="4" w:space="0" w:color="auto"/>
              <w:right w:val="single" w:sz="4" w:space="0" w:color="auto"/>
            </w:tcBorders>
            <w:shd w:val="clear" w:color="auto" w:fill="auto"/>
            <w:noWrap/>
          </w:tcPr>
          <w:p w:rsidR="00B951B1" w:rsidRPr="00E61612" w:rsidRDefault="00B951B1" w:rsidP="00CB78E6">
            <w:pPr>
              <w:spacing w:after="120"/>
              <w:jc w:val="right"/>
              <w:rPr>
                <w:rFonts w:cs="Calibri"/>
                <w:color w:val="000000"/>
                <w:sz w:val="20"/>
                <w:szCs w:val="20"/>
              </w:rPr>
            </w:pPr>
            <w:r w:rsidRPr="00E61612">
              <w:rPr>
                <w:color w:val="000000"/>
                <w:sz w:val="20"/>
                <w:szCs w:val="20"/>
              </w:rPr>
              <w:t>-</w:t>
            </w:r>
          </w:p>
        </w:tc>
        <w:tc>
          <w:tcPr>
            <w:tcW w:w="1134" w:type="dxa"/>
            <w:tcBorders>
              <w:top w:val="nil"/>
              <w:left w:val="nil"/>
              <w:bottom w:val="single" w:sz="4" w:space="0" w:color="auto"/>
              <w:right w:val="single" w:sz="4" w:space="0" w:color="auto"/>
            </w:tcBorders>
            <w:shd w:val="clear" w:color="auto" w:fill="auto"/>
            <w:noWrap/>
          </w:tcPr>
          <w:p w:rsidR="00B951B1" w:rsidRPr="00E61612" w:rsidRDefault="00B951B1" w:rsidP="00CB78E6">
            <w:pPr>
              <w:spacing w:after="120"/>
              <w:jc w:val="right"/>
              <w:rPr>
                <w:rFonts w:cs="Calibri"/>
                <w:color w:val="000000"/>
                <w:sz w:val="20"/>
                <w:szCs w:val="20"/>
              </w:rPr>
            </w:pPr>
            <w:r w:rsidRPr="00E61612">
              <w:rPr>
                <w:color w:val="000000"/>
                <w:sz w:val="20"/>
                <w:szCs w:val="20"/>
              </w:rPr>
              <w:t>-</w:t>
            </w:r>
          </w:p>
        </w:tc>
        <w:tc>
          <w:tcPr>
            <w:tcW w:w="1276" w:type="dxa"/>
            <w:tcBorders>
              <w:top w:val="nil"/>
              <w:left w:val="nil"/>
              <w:bottom w:val="single" w:sz="4" w:space="0" w:color="auto"/>
              <w:right w:val="single" w:sz="8" w:space="0" w:color="auto"/>
            </w:tcBorders>
            <w:shd w:val="clear" w:color="auto" w:fill="auto"/>
            <w:noWrap/>
          </w:tcPr>
          <w:p w:rsidR="00B951B1" w:rsidRPr="00E61612" w:rsidRDefault="00B951B1" w:rsidP="00CB78E6">
            <w:pPr>
              <w:spacing w:after="120"/>
              <w:jc w:val="right"/>
              <w:rPr>
                <w:rFonts w:cs="Calibri"/>
                <w:color w:val="000000"/>
                <w:sz w:val="20"/>
                <w:szCs w:val="20"/>
              </w:rPr>
            </w:pPr>
            <w:r w:rsidRPr="00E61612">
              <w:rPr>
                <w:color w:val="000000"/>
                <w:sz w:val="20"/>
                <w:szCs w:val="20"/>
              </w:rPr>
              <w:t>(63,240)</w:t>
            </w:r>
          </w:p>
        </w:tc>
      </w:tr>
      <w:tr w:rsidR="00B951B1" w:rsidRPr="00E61612" w:rsidTr="00CB78E6">
        <w:trPr>
          <w:trHeight w:val="705"/>
        </w:trPr>
        <w:tc>
          <w:tcPr>
            <w:tcW w:w="980" w:type="dxa"/>
            <w:tcBorders>
              <w:top w:val="nil"/>
              <w:left w:val="single" w:sz="8" w:space="0" w:color="auto"/>
              <w:bottom w:val="single" w:sz="4" w:space="0" w:color="auto"/>
              <w:right w:val="single" w:sz="4" w:space="0" w:color="auto"/>
            </w:tcBorders>
            <w:shd w:val="clear" w:color="auto" w:fill="auto"/>
            <w:hideMark/>
          </w:tcPr>
          <w:p w:rsidR="00B951B1" w:rsidRPr="00E61612" w:rsidRDefault="00B951B1" w:rsidP="00CB78E6">
            <w:pPr>
              <w:spacing w:after="120"/>
              <w:jc w:val="center"/>
              <w:rPr>
                <w:rFonts w:cs="Calibri"/>
                <w:b/>
                <w:bCs/>
                <w:color w:val="000000"/>
                <w:sz w:val="20"/>
                <w:szCs w:val="20"/>
              </w:rPr>
            </w:pPr>
            <w:r w:rsidRPr="00E61612">
              <w:rPr>
                <w:rFonts w:cs="Calibri"/>
                <w:b/>
                <w:bCs/>
                <w:color w:val="000000"/>
                <w:sz w:val="20"/>
                <w:szCs w:val="20"/>
              </w:rPr>
              <w:lastRenderedPageBreak/>
              <w:t>C7.3</w:t>
            </w:r>
          </w:p>
        </w:tc>
        <w:tc>
          <w:tcPr>
            <w:tcW w:w="3263" w:type="dxa"/>
            <w:tcBorders>
              <w:top w:val="nil"/>
              <w:left w:val="nil"/>
              <w:bottom w:val="single" w:sz="4" w:space="0" w:color="auto"/>
              <w:right w:val="single" w:sz="4" w:space="0" w:color="auto"/>
            </w:tcBorders>
            <w:shd w:val="clear" w:color="auto" w:fill="auto"/>
            <w:hideMark/>
          </w:tcPr>
          <w:p w:rsidR="00B951B1" w:rsidRPr="00E61612" w:rsidRDefault="00B951B1" w:rsidP="00CB78E6">
            <w:pPr>
              <w:spacing w:after="120"/>
              <w:rPr>
                <w:rFonts w:cs="Calibri"/>
                <w:sz w:val="20"/>
                <w:szCs w:val="20"/>
              </w:rPr>
            </w:pPr>
            <w:r w:rsidRPr="00E61612">
              <w:rPr>
                <w:rFonts w:cs="Calibri"/>
                <w:sz w:val="20"/>
                <w:szCs w:val="20"/>
              </w:rPr>
              <w:t>Ofrimi i shërbimeve digjitale cilësore për studentë</w:t>
            </w:r>
          </w:p>
        </w:tc>
        <w:tc>
          <w:tcPr>
            <w:tcW w:w="1417" w:type="dxa"/>
            <w:tcBorders>
              <w:top w:val="nil"/>
              <w:left w:val="nil"/>
              <w:bottom w:val="single" w:sz="4" w:space="0" w:color="auto"/>
              <w:right w:val="single" w:sz="4" w:space="0" w:color="auto"/>
            </w:tcBorders>
            <w:shd w:val="clear" w:color="auto" w:fill="auto"/>
            <w:noWrap/>
          </w:tcPr>
          <w:p w:rsidR="00B951B1" w:rsidRPr="00E61612" w:rsidRDefault="00B951B1" w:rsidP="00CB78E6">
            <w:pPr>
              <w:spacing w:after="120"/>
              <w:jc w:val="right"/>
              <w:rPr>
                <w:rFonts w:cs="Calibri"/>
                <w:color w:val="000000"/>
                <w:sz w:val="20"/>
                <w:szCs w:val="20"/>
              </w:rPr>
            </w:pPr>
            <w:r w:rsidRPr="00E61612">
              <w:rPr>
                <w:color w:val="000000"/>
                <w:sz w:val="20"/>
                <w:szCs w:val="20"/>
              </w:rPr>
              <w:t>352,980</w:t>
            </w:r>
          </w:p>
        </w:tc>
        <w:tc>
          <w:tcPr>
            <w:tcW w:w="1134" w:type="dxa"/>
            <w:tcBorders>
              <w:top w:val="nil"/>
              <w:left w:val="nil"/>
              <w:bottom w:val="single" w:sz="4" w:space="0" w:color="auto"/>
              <w:right w:val="single" w:sz="4" w:space="0" w:color="auto"/>
            </w:tcBorders>
            <w:shd w:val="clear" w:color="auto" w:fill="auto"/>
            <w:noWrap/>
          </w:tcPr>
          <w:p w:rsidR="00B951B1" w:rsidRPr="00E61612" w:rsidRDefault="00B951B1" w:rsidP="00CB78E6">
            <w:pPr>
              <w:spacing w:after="120"/>
              <w:jc w:val="right"/>
              <w:rPr>
                <w:rFonts w:cs="Calibri"/>
                <w:color w:val="000000"/>
                <w:sz w:val="20"/>
                <w:szCs w:val="20"/>
              </w:rPr>
            </w:pPr>
            <w:r w:rsidRPr="00E61612">
              <w:rPr>
                <w:color w:val="000000"/>
                <w:sz w:val="20"/>
                <w:szCs w:val="20"/>
              </w:rPr>
              <w:t>-</w:t>
            </w:r>
          </w:p>
        </w:tc>
        <w:tc>
          <w:tcPr>
            <w:tcW w:w="1134" w:type="dxa"/>
            <w:tcBorders>
              <w:top w:val="nil"/>
              <w:left w:val="nil"/>
              <w:bottom w:val="single" w:sz="4" w:space="0" w:color="auto"/>
              <w:right w:val="single" w:sz="4" w:space="0" w:color="auto"/>
            </w:tcBorders>
            <w:shd w:val="clear" w:color="auto" w:fill="auto"/>
            <w:noWrap/>
          </w:tcPr>
          <w:p w:rsidR="00B951B1" w:rsidRPr="00E61612" w:rsidRDefault="00B951B1" w:rsidP="00CB78E6">
            <w:pPr>
              <w:spacing w:after="120"/>
              <w:jc w:val="right"/>
              <w:rPr>
                <w:rFonts w:cs="Calibri"/>
                <w:color w:val="000000"/>
                <w:sz w:val="20"/>
                <w:szCs w:val="20"/>
              </w:rPr>
            </w:pPr>
            <w:r w:rsidRPr="00E61612">
              <w:rPr>
                <w:color w:val="000000"/>
                <w:sz w:val="20"/>
                <w:szCs w:val="20"/>
              </w:rPr>
              <w:t>-</w:t>
            </w:r>
          </w:p>
        </w:tc>
        <w:tc>
          <w:tcPr>
            <w:tcW w:w="1276" w:type="dxa"/>
            <w:tcBorders>
              <w:top w:val="nil"/>
              <w:left w:val="nil"/>
              <w:bottom w:val="single" w:sz="4" w:space="0" w:color="auto"/>
              <w:right w:val="single" w:sz="8" w:space="0" w:color="auto"/>
            </w:tcBorders>
            <w:shd w:val="clear" w:color="auto" w:fill="auto"/>
            <w:noWrap/>
          </w:tcPr>
          <w:p w:rsidR="00B951B1" w:rsidRPr="00E61612" w:rsidRDefault="00B951B1" w:rsidP="00CB78E6">
            <w:pPr>
              <w:spacing w:after="120"/>
              <w:jc w:val="right"/>
              <w:rPr>
                <w:rFonts w:cs="Calibri"/>
                <w:color w:val="000000"/>
                <w:sz w:val="20"/>
                <w:szCs w:val="20"/>
              </w:rPr>
            </w:pPr>
            <w:r w:rsidRPr="00E61612">
              <w:rPr>
                <w:color w:val="000000"/>
                <w:sz w:val="20"/>
                <w:szCs w:val="20"/>
              </w:rPr>
              <w:t>(352,980)</w:t>
            </w:r>
          </w:p>
        </w:tc>
      </w:tr>
      <w:tr w:rsidR="00B951B1" w:rsidRPr="00E61612" w:rsidTr="00CB78E6">
        <w:trPr>
          <w:trHeight w:val="195"/>
        </w:trPr>
        <w:tc>
          <w:tcPr>
            <w:tcW w:w="4243" w:type="dxa"/>
            <w:gridSpan w:val="2"/>
            <w:tcBorders>
              <w:top w:val="single" w:sz="4" w:space="0" w:color="auto"/>
              <w:left w:val="single" w:sz="4" w:space="0" w:color="auto"/>
              <w:bottom w:val="single" w:sz="4" w:space="0" w:color="auto"/>
              <w:right w:val="single" w:sz="4" w:space="0" w:color="auto"/>
            </w:tcBorders>
            <w:shd w:val="clear" w:color="auto" w:fill="auto"/>
            <w:hideMark/>
          </w:tcPr>
          <w:p w:rsidR="00B951B1" w:rsidRPr="00E61612" w:rsidRDefault="00B951B1" w:rsidP="00CB78E6">
            <w:pPr>
              <w:spacing w:after="120"/>
              <w:jc w:val="right"/>
              <w:rPr>
                <w:rFonts w:cs="Calibri"/>
                <w:b/>
                <w:bCs/>
                <w:color w:val="000000"/>
                <w:sz w:val="20"/>
                <w:szCs w:val="20"/>
              </w:rPr>
            </w:pPr>
            <w:r w:rsidRPr="00E61612">
              <w:rPr>
                <w:rFonts w:cs="Calibri"/>
                <w:b/>
                <w:bCs/>
                <w:color w:val="000000"/>
                <w:sz w:val="20"/>
                <w:szCs w:val="20"/>
              </w:rPr>
              <w:t>TOTALI Qëllimi i politikës C</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B951B1" w:rsidRPr="00E61612" w:rsidRDefault="00B951B1" w:rsidP="00CB78E6">
            <w:pPr>
              <w:spacing w:after="120"/>
              <w:jc w:val="right"/>
              <w:rPr>
                <w:rFonts w:cs="Calibri"/>
                <w:b/>
                <w:bCs/>
                <w:sz w:val="20"/>
                <w:szCs w:val="20"/>
              </w:rPr>
            </w:pPr>
            <w:r w:rsidRPr="00E61612">
              <w:rPr>
                <w:b/>
                <w:bCs/>
                <w:sz w:val="20"/>
                <w:szCs w:val="20"/>
              </w:rPr>
              <w:t>15,171,397</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B951B1" w:rsidRPr="00E61612" w:rsidRDefault="00B951B1" w:rsidP="00CB78E6">
            <w:pPr>
              <w:spacing w:after="120"/>
              <w:jc w:val="right"/>
              <w:rPr>
                <w:rFonts w:cs="Calibri"/>
                <w:b/>
                <w:color w:val="000000"/>
                <w:sz w:val="20"/>
                <w:szCs w:val="20"/>
              </w:rPr>
            </w:pPr>
            <w:r w:rsidRPr="00E61612">
              <w:rPr>
                <w:b/>
                <w:color w:val="000000"/>
                <w:sz w:val="20"/>
                <w:szCs w:val="20"/>
              </w:rPr>
              <w:t>14,643,648</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B951B1" w:rsidRPr="00E61612" w:rsidRDefault="00B951B1" w:rsidP="00CB78E6">
            <w:pPr>
              <w:spacing w:after="120"/>
              <w:jc w:val="right"/>
              <w:rPr>
                <w:rFonts w:cs="Calibri"/>
                <w:b/>
                <w:color w:val="000000"/>
                <w:sz w:val="20"/>
                <w:szCs w:val="20"/>
              </w:rPr>
            </w:pPr>
            <w:r w:rsidRPr="00E61612">
              <w:rPr>
                <w:b/>
                <w:color w:val="000000"/>
                <w:sz w:val="20"/>
                <w:szCs w:val="20"/>
              </w:rPr>
              <w:t>24,772</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B951B1" w:rsidRPr="00E61612" w:rsidRDefault="00B951B1" w:rsidP="00CB78E6">
            <w:pPr>
              <w:spacing w:after="120"/>
              <w:jc w:val="right"/>
              <w:rPr>
                <w:rFonts w:cs="Calibri"/>
                <w:b/>
                <w:color w:val="000000"/>
                <w:sz w:val="20"/>
                <w:szCs w:val="20"/>
              </w:rPr>
            </w:pPr>
            <w:r w:rsidRPr="00E61612">
              <w:rPr>
                <w:b/>
                <w:color w:val="000000"/>
                <w:sz w:val="20"/>
                <w:szCs w:val="20"/>
              </w:rPr>
              <w:t>(502,977)</w:t>
            </w:r>
          </w:p>
        </w:tc>
      </w:tr>
    </w:tbl>
    <w:p w:rsidR="00B951B1" w:rsidRPr="00E61612" w:rsidRDefault="00B951B1" w:rsidP="00B951B1">
      <w:pPr>
        <w:rPr>
          <w:rFonts w:cs="Calibri"/>
        </w:rPr>
      </w:pPr>
    </w:p>
    <w:p w:rsidR="00B951B1" w:rsidRPr="00E61612" w:rsidRDefault="00B951B1" w:rsidP="00B951B1">
      <w:pPr>
        <w:rPr>
          <w:rFonts w:cs="Calibri"/>
        </w:rPr>
      </w:pPr>
      <w:r w:rsidRPr="00E61612">
        <w:rPr>
          <w:rFonts w:cs="Calibri"/>
        </w:rPr>
        <w:t>Në tabelën vijuese</w:t>
      </w:r>
      <w:r>
        <w:rPr>
          <w:rFonts w:cs="Calibri"/>
        </w:rPr>
        <w:t>,</w:t>
      </w:r>
      <w:r w:rsidRPr="00E61612">
        <w:rPr>
          <w:rFonts w:cs="Calibri"/>
        </w:rPr>
        <w:t xml:space="preserve"> </w:t>
      </w:r>
      <w:r>
        <w:rPr>
          <w:rFonts w:cs="Calibri"/>
        </w:rPr>
        <w:t>jepet</w:t>
      </w:r>
      <w:r w:rsidRPr="00E61612">
        <w:rPr>
          <w:rFonts w:cs="Calibri"/>
        </w:rPr>
        <w:t xml:space="preserve"> një pasqyrë e masave me kosto të konsiderueshme, ku hendeku financiar është më i lartë. Këto masa përbëjnë 29.7% të kostos së përgjithshme të Strategjisë, ndërsa hendeku për financimin e tyre përbën 85.23% </w:t>
      </w:r>
      <w:r>
        <w:rPr>
          <w:rFonts w:cs="Calibri"/>
        </w:rPr>
        <w:t>të</w:t>
      </w:r>
      <w:r w:rsidRPr="00E61612">
        <w:rPr>
          <w:rFonts w:cs="Calibri"/>
        </w:rPr>
        <w:t xml:space="preserve"> totalit të hendekut financiar të Strategjisë. Për këto masa ekziston hendeku financiar prej 118.16 milion</w:t>
      </w:r>
      <w:r>
        <w:rPr>
          <w:rFonts w:cs="Calibri"/>
        </w:rPr>
        <w:t>ë</w:t>
      </w:r>
      <w:r w:rsidRPr="00E61612">
        <w:rPr>
          <w:rFonts w:cs="Calibri"/>
        </w:rPr>
        <w:t xml:space="preserve"> lekë në vitin 2022 (që përbën 51.99% të totalit të hendekut financiar të Strategjisë për këtë vit) dhe 1.33 miliard lekë në vitin 2023 (83.46% e totalit). Ndërkaq, hendeku financiar prej 8.13 milionë lekë për vitin 2021 ka të bëj</w:t>
      </w:r>
      <w:r>
        <w:rPr>
          <w:rFonts w:cs="Calibri"/>
        </w:rPr>
        <w:t>ë</w:t>
      </w:r>
      <w:r w:rsidRPr="00E61612">
        <w:rPr>
          <w:rFonts w:cs="Calibri"/>
        </w:rPr>
        <w:t xml:space="preserve"> me masën “A1.4.2. Sigurimi i kushteve optimale te punës për shërbimin psiko-social” i cili </w:t>
      </w:r>
      <w:r>
        <w:rPr>
          <w:rFonts w:cs="Calibri"/>
        </w:rPr>
        <w:t>parashikon</w:t>
      </w:r>
      <w:r w:rsidRPr="00E61612">
        <w:rPr>
          <w:rFonts w:cs="Calibri"/>
        </w:rPr>
        <w:t xml:space="preserve"> rregullimin e ambienteve për 50 punonjës psiko-socialë në shkolla. </w:t>
      </w:r>
    </w:p>
    <w:p w:rsidR="00B951B1" w:rsidRPr="00E61612" w:rsidRDefault="00B951B1" w:rsidP="00B951B1">
      <w:pPr>
        <w:rPr>
          <w:rFonts w:cs="Calibri"/>
        </w:rPr>
      </w:pPr>
      <w:bookmarkStart w:id="150" w:name="_Toc66802053"/>
      <w:r w:rsidRPr="00E61612">
        <w:rPr>
          <w:b/>
        </w:rPr>
        <w:t xml:space="preserve">Tabela </w:t>
      </w:r>
      <w:r w:rsidR="00EC56B7" w:rsidRPr="00E61612">
        <w:rPr>
          <w:b/>
        </w:rPr>
        <w:fldChar w:fldCharType="begin"/>
      </w:r>
      <w:r w:rsidRPr="00E61612">
        <w:rPr>
          <w:b/>
        </w:rPr>
        <w:instrText xml:space="preserve"> SEQ Tabela \* ARABIC </w:instrText>
      </w:r>
      <w:r w:rsidR="00EC56B7" w:rsidRPr="00E61612">
        <w:rPr>
          <w:b/>
        </w:rPr>
        <w:fldChar w:fldCharType="separate"/>
      </w:r>
      <w:r w:rsidRPr="00E61612">
        <w:rPr>
          <w:b/>
        </w:rPr>
        <w:t>19</w:t>
      </w:r>
      <w:r w:rsidR="00EC56B7" w:rsidRPr="00E61612">
        <w:rPr>
          <w:b/>
        </w:rPr>
        <w:fldChar w:fldCharType="end"/>
      </w:r>
      <w:r w:rsidRPr="00E61612">
        <w:rPr>
          <w:rFonts w:cs="Calibri"/>
          <w:b/>
        </w:rPr>
        <w:t>.</w:t>
      </w:r>
      <w:r w:rsidRPr="00E61612">
        <w:rPr>
          <w:rFonts w:cs="Calibri"/>
        </w:rPr>
        <w:t xml:space="preserve"> Masat </w:t>
      </w:r>
      <w:r>
        <w:rPr>
          <w:rFonts w:cs="Calibri"/>
        </w:rPr>
        <w:t>për</w:t>
      </w:r>
      <w:r w:rsidRPr="00E61612">
        <w:rPr>
          <w:rFonts w:cs="Calibri"/>
        </w:rPr>
        <w:t xml:space="preserve"> hendekun financiar më të lartë</w:t>
      </w:r>
      <w:bookmarkEnd w:id="150"/>
    </w:p>
    <w:tbl>
      <w:tblPr>
        <w:tblW w:w="9549" w:type="dxa"/>
        <w:jc w:val="center"/>
        <w:tblLook w:val="04A0" w:firstRow="1" w:lastRow="0" w:firstColumn="1" w:lastColumn="0" w:noHBand="0" w:noVBand="1"/>
      </w:tblPr>
      <w:tblGrid>
        <w:gridCol w:w="817"/>
        <w:gridCol w:w="4383"/>
        <w:gridCol w:w="1092"/>
        <w:gridCol w:w="1128"/>
        <w:gridCol w:w="988"/>
        <w:gridCol w:w="1141"/>
      </w:tblGrid>
      <w:tr w:rsidR="00B951B1" w:rsidRPr="00E61612" w:rsidTr="00CB78E6">
        <w:trPr>
          <w:trHeight w:val="330"/>
          <w:jc w:val="center"/>
        </w:trPr>
        <w:tc>
          <w:tcPr>
            <w:tcW w:w="817" w:type="dxa"/>
            <w:tcBorders>
              <w:top w:val="nil"/>
              <w:left w:val="nil"/>
              <w:bottom w:val="nil"/>
              <w:right w:val="nil"/>
            </w:tcBorders>
            <w:shd w:val="clear" w:color="000000" w:fill="FFFFFF"/>
            <w:hideMark/>
          </w:tcPr>
          <w:p w:rsidR="00B951B1" w:rsidRPr="00E61612" w:rsidRDefault="00B951B1" w:rsidP="00CB78E6">
            <w:pPr>
              <w:jc w:val="center"/>
              <w:rPr>
                <w:rFonts w:cs="Calibri"/>
                <w:b/>
                <w:bCs/>
                <w:color w:val="000000"/>
                <w:sz w:val="18"/>
                <w:szCs w:val="18"/>
              </w:rPr>
            </w:pPr>
            <w:r w:rsidRPr="00E61612">
              <w:rPr>
                <w:rFonts w:cs="Calibri"/>
                <w:b/>
                <w:bCs/>
                <w:color w:val="000000"/>
                <w:sz w:val="18"/>
                <w:szCs w:val="18"/>
              </w:rPr>
              <w:t> </w:t>
            </w:r>
          </w:p>
        </w:tc>
        <w:tc>
          <w:tcPr>
            <w:tcW w:w="4383" w:type="dxa"/>
            <w:tcBorders>
              <w:top w:val="nil"/>
              <w:left w:val="nil"/>
              <w:bottom w:val="nil"/>
              <w:right w:val="nil"/>
            </w:tcBorders>
            <w:shd w:val="clear" w:color="000000" w:fill="FFFFFF"/>
            <w:hideMark/>
          </w:tcPr>
          <w:p w:rsidR="00B951B1" w:rsidRPr="00E61612" w:rsidRDefault="00B951B1" w:rsidP="00CB78E6">
            <w:pPr>
              <w:jc w:val="center"/>
              <w:rPr>
                <w:rFonts w:cs="Calibri"/>
                <w:b/>
                <w:bCs/>
                <w:color w:val="000000"/>
                <w:sz w:val="18"/>
                <w:szCs w:val="18"/>
              </w:rPr>
            </w:pPr>
            <w:r w:rsidRPr="00E61612">
              <w:rPr>
                <w:rFonts w:cs="Calibri"/>
                <w:b/>
                <w:bCs/>
                <w:color w:val="000000"/>
                <w:sz w:val="18"/>
                <w:szCs w:val="18"/>
              </w:rPr>
              <w:t> </w:t>
            </w:r>
          </w:p>
        </w:tc>
        <w:tc>
          <w:tcPr>
            <w:tcW w:w="4349" w:type="dxa"/>
            <w:gridSpan w:val="4"/>
            <w:tcBorders>
              <w:top w:val="single" w:sz="8" w:space="0" w:color="auto"/>
              <w:left w:val="single" w:sz="8" w:space="0" w:color="auto"/>
              <w:bottom w:val="single" w:sz="8" w:space="0" w:color="auto"/>
              <w:right w:val="single" w:sz="8" w:space="0" w:color="000000"/>
            </w:tcBorders>
            <w:shd w:val="clear" w:color="000000" w:fill="FFFFFF"/>
            <w:hideMark/>
          </w:tcPr>
          <w:p w:rsidR="00B951B1" w:rsidRPr="00E61612" w:rsidRDefault="00B951B1" w:rsidP="00CB78E6">
            <w:pPr>
              <w:jc w:val="center"/>
              <w:rPr>
                <w:rFonts w:cs="Calibri"/>
                <w:b/>
                <w:bCs/>
                <w:color w:val="000000"/>
                <w:sz w:val="18"/>
                <w:szCs w:val="18"/>
              </w:rPr>
            </w:pPr>
            <w:r w:rsidRPr="00E61612">
              <w:rPr>
                <w:rFonts w:cs="Calibri"/>
                <w:b/>
                <w:bCs/>
                <w:color w:val="000000"/>
                <w:sz w:val="18"/>
                <w:szCs w:val="18"/>
              </w:rPr>
              <w:t>Totali 2021-2026</w:t>
            </w:r>
          </w:p>
        </w:tc>
      </w:tr>
      <w:tr w:rsidR="00B951B1" w:rsidRPr="00E61612" w:rsidTr="00CB78E6">
        <w:trPr>
          <w:trHeight w:val="241"/>
          <w:jc w:val="center"/>
        </w:trPr>
        <w:tc>
          <w:tcPr>
            <w:tcW w:w="817" w:type="dxa"/>
            <w:vMerge w:val="restart"/>
            <w:tcBorders>
              <w:top w:val="single" w:sz="8" w:space="0" w:color="auto"/>
              <w:left w:val="single" w:sz="8" w:space="0" w:color="auto"/>
              <w:bottom w:val="single" w:sz="4" w:space="0" w:color="auto"/>
              <w:right w:val="single" w:sz="4" w:space="0" w:color="auto"/>
            </w:tcBorders>
            <w:shd w:val="clear" w:color="auto" w:fill="auto"/>
            <w:hideMark/>
          </w:tcPr>
          <w:p w:rsidR="00B951B1" w:rsidRPr="00E61612" w:rsidRDefault="00B951B1" w:rsidP="00CB78E6">
            <w:pPr>
              <w:jc w:val="center"/>
              <w:rPr>
                <w:rFonts w:cs="Calibri"/>
                <w:b/>
                <w:bCs/>
                <w:color w:val="000000"/>
                <w:sz w:val="18"/>
                <w:szCs w:val="18"/>
              </w:rPr>
            </w:pPr>
            <w:r w:rsidRPr="00E61612">
              <w:rPr>
                <w:rFonts w:cs="Calibri"/>
                <w:b/>
                <w:bCs/>
                <w:color w:val="000000"/>
                <w:sz w:val="18"/>
                <w:szCs w:val="18"/>
              </w:rPr>
              <w:t>Nr.</w:t>
            </w:r>
          </w:p>
        </w:tc>
        <w:tc>
          <w:tcPr>
            <w:tcW w:w="4383" w:type="dxa"/>
            <w:vMerge w:val="restart"/>
            <w:tcBorders>
              <w:top w:val="single" w:sz="8" w:space="0" w:color="auto"/>
              <w:left w:val="single" w:sz="4" w:space="0" w:color="auto"/>
              <w:bottom w:val="single" w:sz="4" w:space="0" w:color="auto"/>
              <w:right w:val="single" w:sz="4" w:space="0" w:color="auto"/>
            </w:tcBorders>
            <w:shd w:val="clear" w:color="auto" w:fill="auto"/>
            <w:hideMark/>
          </w:tcPr>
          <w:p w:rsidR="00B951B1" w:rsidRPr="00E61612" w:rsidRDefault="00B951B1" w:rsidP="00CB78E6">
            <w:pPr>
              <w:jc w:val="center"/>
              <w:rPr>
                <w:rFonts w:cs="Calibri"/>
                <w:b/>
                <w:bCs/>
                <w:color w:val="000000"/>
                <w:sz w:val="18"/>
                <w:szCs w:val="18"/>
              </w:rPr>
            </w:pPr>
            <w:r w:rsidRPr="00E61612">
              <w:rPr>
                <w:rFonts w:cs="Calibri"/>
                <w:b/>
                <w:bCs/>
                <w:color w:val="000000"/>
                <w:sz w:val="18"/>
                <w:szCs w:val="18"/>
              </w:rPr>
              <w:t> </w:t>
            </w:r>
          </w:p>
        </w:tc>
        <w:tc>
          <w:tcPr>
            <w:tcW w:w="1092" w:type="dxa"/>
            <w:vMerge w:val="restart"/>
            <w:tcBorders>
              <w:top w:val="nil"/>
              <w:left w:val="single" w:sz="4" w:space="0" w:color="auto"/>
              <w:bottom w:val="single" w:sz="4" w:space="0" w:color="000000"/>
              <w:right w:val="single" w:sz="4" w:space="0" w:color="auto"/>
            </w:tcBorders>
            <w:shd w:val="clear" w:color="auto" w:fill="auto"/>
            <w:hideMark/>
          </w:tcPr>
          <w:p w:rsidR="00B951B1" w:rsidRPr="00E61612" w:rsidRDefault="00B951B1" w:rsidP="00CB78E6">
            <w:pPr>
              <w:jc w:val="center"/>
              <w:rPr>
                <w:rFonts w:cs="Calibri"/>
                <w:b/>
                <w:bCs/>
                <w:color w:val="000000"/>
                <w:sz w:val="18"/>
                <w:szCs w:val="18"/>
              </w:rPr>
            </w:pPr>
            <w:r w:rsidRPr="00E61612">
              <w:rPr>
                <w:rFonts w:cs="Calibri"/>
                <w:b/>
                <w:bCs/>
                <w:color w:val="000000"/>
                <w:sz w:val="18"/>
                <w:szCs w:val="18"/>
              </w:rPr>
              <w:t>Kosto indikative</w:t>
            </w:r>
          </w:p>
        </w:tc>
        <w:tc>
          <w:tcPr>
            <w:tcW w:w="2116" w:type="dxa"/>
            <w:gridSpan w:val="2"/>
            <w:tcBorders>
              <w:top w:val="single" w:sz="8" w:space="0" w:color="auto"/>
              <w:left w:val="nil"/>
              <w:bottom w:val="single" w:sz="4" w:space="0" w:color="auto"/>
              <w:right w:val="single" w:sz="4" w:space="0" w:color="000000"/>
            </w:tcBorders>
            <w:shd w:val="clear" w:color="auto" w:fill="auto"/>
            <w:hideMark/>
          </w:tcPr>
          <w:p w:rsidR="00B951B1" w:rsidRPr="00E61612" w:rsidRDefault="00753C65" w:rsidP="00CB78E6">
            <w:pPr>
              <w:jc w:val="center"/>
              <w:rPr>
                <w:rFonts w:cs="Calibri"/>
                <w:b/>
                <w:bCs/>
                <w:color w:val="000000"/>
                <w:sz w:val="18"/>
                <w:szCs w:val="18"/>
              </w:rPr>
            </w:pPr>
            <w:r>
              <w:rPr>
                <w:rFonts w:cs="Calibri"/>
                <w:b/>
                <w:bCs/>
                <w:color w:val="000000"/>
                <w:sz w:val="18"/>
                <w:szCs w:val="18"/>
              </w:rPr>
              <w:t>Burimi i financimit</w:t>
            </w:r>
          </w:p>
        </w:tc>
        <w:tc>
          <w:tcPr>
            <w:tcW w:w="1141" w:type="dxa"/>
            <w:vMerge w:val="restart"/>
            <w:tcBorders>
              <w:top w:val="nil"/>
              <w:left w:val="single" w:sz="4" w:space="0" w:color="auto"/>
              <w:bottom w:val="single" w:sz="4" w:space="0" w:color="auto"/>
              <w:right w:val="single" w:sz="8" w:space="0" w:color="auto"/>
            </w:tcBorders>
            <w:shd w:val="clear" w:color="auto" w:fill="auto"/>
            <w:hideMark/>
          </w:tcPr>
          <w:p w:rsidR="00B951B1" w:rsidRPr="00E61612" w:rsidRDefault="00B951B1" w:rsidP="00CB78E6">
            <w:pPr>
              <w:jc w:val="center"/>
              <w:rPr>
                <w:rFonts w:cs="Calibri"/>
                <w:b/>
                <w:bCs/>
                <w:color w:val="000000"/>
                <w:sz w:val="18"/>
                <w:szCs w:val="18"/>
              </w:rPr>
            </w:pPr>
            <w:r w:rsidRPr="00E61612">
              <w:rPr>
                <w:rFonts w:cs="Calibri"/>
                <w:b/>
                <w:bCs/>
                <w:color w:val="000000"/>
                <w:sz w:val="18"/>
                <w:szCs w:val="18"/>
              </w:rPr>
              <w:t>Hendeku financiar</w:t>
            </w:r>
          </w:p>
        </w:tc>
      </w:tr>
      <w:tr w:rsidR="00B951B1" w:rsidRPr="00E61612" w:rsidTr="00CB78E6">
        <w:trPr>
          <w:trHeight w:val="449"/>
          <w:jc w:val="center"/>
        </w:trPr>
        <w:tc>
          <w:tcPr>
            <w:tcW w:w="817" w:type="dxa"/>
            <w:vMerge/>
            <w:tcBorders>
              <w:top w:val="single" w:sz="8" w:space="0" w:color="auto"/>
              <w:left w:val="single" w:sz="8" w:space="0" w:color="auto"/>
              <w:bottom w:val="single" w:sz="4" w:space="0" w:color="auto"/>
              <w:right w:val="single" w:sz="4" w:space="0" w:color="auto"/>
            </w:tcBorders>
            <w:hideMark/>
          </w:tcPr>
          <w:p w:rsidR="00B951B1" w:rsidRPr="00E61612" w:rsidRDefault="00B951B1" w:rsidP="00CB78E6">
            <w:pPr>
              <w:rPr>
                <w:rFonts w:cs="Calibri"/>
                <w:b/>
                <w:bCs/>
                <w:color w:val="000000"/>
                <w:sz w:val="18"/>
                <w:szCs w:val="18"/>
              </w:rPr>
            </w:pPr>
          </w:p>
        </w:tc>
        <w:tc>
          <w:tcPr>
            <w:tcW w:w="4383" w:type="dxa"/>
            <w:vMerge/>
            <w:tcBorders>
              <w:top w:val="single" w:sz="8" w:space="0" w:color="auto"/>
              <w:left w:val="single" w:sz="4" w:space="0" w:color="auto"/>
              <w:bottom w:val="single" w:sz="4" w:space="0" w:color="auto"/>
              <w:right w:val="single" w:sz="4" w:space="0" w:color="auto"/>
            </w:tcBorders>
            <w:hideMark/>
          </w:tcPr>
          <w:p w:rsidR="00B951B1" w:rsidRPr="00E61612" w:rsidRDefault="00B951B1" w:rsidP="00CB78E6">
            <w:pPr>
              <w:rPr>
                <w:rFonts w:cs="Calibri"/>
                <w:b/>
                <w:bCs/>
                <w:color w:val="000000"/>
                <w:sz w:val="18"/>
                <w:szCs w:val="18"/>
              </w:rPr>
            </w:pPr>
          </w:p>
        </w:tc>
        <w:tc>
          <w:tcPr>
            <w:tcW w:w="1092" w:type="dxa"/>
            <w:vMerge/>
            <w:tcBorders>
              <w:top w:val="nil"/>
              <w:left w:val="single" w:sz="4" w:space="0" w:color="auto"/>
              <w:bottom w:val="single" w:sz="4" w:space="0" w:color="000000"/>
              <w:right w:val="single" w:sz="4" w:space="0" w:color="auto"/>
            </w:tcBorders>
            <w:hideMark/>
          </w:tcPr>
          <w:p w:rsidR="00B951B1" w:rsidRPr="00E61612" w:rsidRDefault="00B951B1" w:rsidP="00CB78E6">
            <w:pPr>
              <w:rPr>
                <w:rFonts w:cs="Calibri"/>
                <w:b/>
                <w:bCs/>
                <w:color w:val="000000"/>
                <w:sz w:val="18"/>
                <w:szCs w:val="18"/>
              </w:rPr>
            </w:pPr>
          </w:p>
        </w:tc>
        <w:tc>
          <w:tcPr>
            <w:tcW w:w="1128" w:type="dxa"/>
            <w:tcBorders>
              <w:top w:val="nil"/>
              <w:left w:val="nil"/>
              <w:bottom w:val="single" w:sz="4" w:space="0" w:color="auto"/>
              <w:right w:val="single" w:sz="4" w:space="0" w:color="auto"/>
            </w:tcBorders>
            <w:shd w:val="clear" w:color="auto" w:fill="auto"/>
            <w:hideMark/>
          </w:tcPr>
          <w:p w:rsidR="00B951B1" w:rsidRPr="00E61612" w:rsidRDefault="00B951B1" w:rsidP="00CB78E6">
            <w:pPr>
              <w:jc w:val="center"/>
              <w:rPr>
                <w:rFonts w:cs="Calibri"/>
                <w:b/>
                <w:bCs/>
                <w:color w:val="000000"/>
                <w:sz w:val="18"/>
                <w:szCs w:val="18"/>
              </w:rPr>
            </w:pPr>
            <w:r w:rsidRPr="00E61612">
              <w:rPr>
                <w:rFonts w:cs="Calibri"/>
                <w:b/>
                <w:bCs/>
                <w:color w:val="000000"/>
                <w:sz w:val="18"/>
                <w:szCs w:val="18"/>
              </w:rPr>
              <w:t>Buxheti i Shtetit</w:t>
            </w:r>
          </w:p>
        </w:tc>
        <w:tc>
          <w:tcPr>
            <w:tcW w:w="988" w:type="dxa"/>
            <w:tcBorders>
              <w:top w:val="nil"/>
              <w:left w:val="nil"/>
              <w:bottom w:val="single" w:sz="4" w:space="0" w:color="auto"/>
              <w:right w:val="single" w:sz="4" w:space="0" w:color="auto"/>
            </w:tcBorders>
            <w:shd w:val="clear" w:color="auto" w:fill="auto"/>
            <w:hideMark/>
          </w:tcPr>
          <w:p w:rsidR="00B951B1" w:rsidRPr="00E61612" w:rsidRDefault="00B951B1" w:rsidP="00CB78E6">
            <w:pPr>
              <w:jc w:val="center"/>
              <w:rPr>
                <w:rFonts w:cs="Calibri"/>
                <w:b/>
                <w:bCs/>
                <w:color w:val="000000"/>
                <w:sz w:val="18"/>
                <w:szCs w:val="18"/>
              </w:rPr>
            </w:pPr>
            <w:r w:rsidRPr="00E61612">
              <w:rPr>
                <w:rFonts w:cs="Calibri"/>
                <w:b/>
                <w:bCs/>
                <w:color w:val="000000"/>
                <w:sz w:val="18"/>
                <w:szCs w:val="18"/>
              </w:rPr>
              <w:t>Financimi i huaj</w:t>
            </w:r>
          </w:p>
        </w:tc>
        <w:tc>
          <w:tcPr>
            <w:tcW w:w="1141" w:type="dxa"/>
            <w:vMerge/>
            <w:tcBorders>
              <w:top w:val="nil"/>
              <w:left w:val="single" w:sz="4" w:space="0" w:color="auto"/>
              <w:bottom w:val="single" w:sz="4" w:space="0" w:color="auto"/>
              <w:right w:val="single" w:sz="8" w:space="0" w:color="auto"/>
            </w:tcBorders>
            <w:hideMark/>
          </w:tcPr>
          <w:p w:rsidR="00B951B1" w:rsidRPr="00E61612" w:rsidRDefault="00B951B1" w:rsidP="00CB78E6">
            <w:pPr>
              <w:rPr>
                <w:rFonts w:cs="Calibri"/>
                <w:b/>
                <w:bCs/>
                <w:color w:val="000000"/>
                <w:sz w:val="18"/>
                <w:szCs w:val="18"/>
              </w:rPr>
            </w:pPr>
          </w:p>
        </w:tc>
      </w:tr>
      <w:tr w:rsidR="00B951B1" w:rsidRPr="00E61612" w:rsidTr="00CB78E6">
        <w:trPr>
          <w:trHeight w:val="644"/>
          <w:jc w:val="center"/>
        </w:trPr>
        <w:tc>
          <w:tcPr>
            <w:tcW w:w="817" w:type="dxa"/>
            <w:tcBorders>
              <w:top w:val="nil"/>
              <w:left w:val="single" w:sz="8" w:space="0" w:color="auto"/>
              <w:bottom w:val="single" w:sz="4" w:space="0" w:color="auto"/>
              <w:right w:val="single" w:sz="4" w:space="0" w:color="auto"/>
            </w:tcBorders>
            <w:shd w:val="clear" w:color="auto" w:fill="auto"/>
            <w:hideMark/>
          </w:tcPr>
          <w:p w:rsidR="00B951B1" w:rsidRPr="00E61612" w:rsidRDefault="00B951B1" w:rsidP="00CB78E6">
            <w:pPr>
              <w:jc w:val="center"/>
              <w:rPr>
                <w:rFonts w:cs="Calibri"/>
                <w:b/>
                <w:bCs/>
                <w:color w:val="000000"/>
                <w:sz w:val="18"/>
                <w:szCs w:val="18"/>
              </w:rPr>
            </w:pPr>
            <w:r w:rsidRPr="00E61612">
              <w:rPr>
                <w:rFonts w:cs="Calibri"/>
                <w:b/>
                <w:bCs/>
                <w:color w:val="000000"/>
                <w:sz w:val="18"/>
                <w:szCs w:val="18"/>
              </w:rPr>
              <w:t>A1.3.1</w:t>
            </w:r>
          </w:p>
        </w:tc>
        <w:tc>
          <w:tcPr>
            <w:tcW w:w="4383" w:type="dxa"/>
            <w:tcBorders>
              <w:top w:val="nil"/>
              <w:left w:val="nil"/>
              <w:bottom w:val="single" w:sz="4" w:space="0" w:color="auto"/>
              <w:right w:val="single" w:sz="4" w:space="0" w:color="auto"/>
            </w:tcBorders>
            <w:shd w:val="clear" w:color="auto" w:fill="auto"/>
            <w:hideMark/>
          </w:tcPr>
          <w:p w:rsidR="00B951B1" w:rsidRPr="00E61612" w:rsidRDefault="00B951B1" w:rsidP="00CB78E6">
            <w:pPr>
              <w:rPr>
                <w:rFonts w:cs="Calibri"/>
                <w:sz w:val="18"/>
                <w:szCs w:val="18"/>
              </w:rPr>
            </w:pPr>
            <w:r w:rsidRPr="00E61612">
              <w:rPr>
                <w:rFonts w:cs="Calibri"/>
                <w:sz w:val="18"/>
                <w:szCs w:val="18"/>
              </w:rPr>
              <w:t xml:space="preserve">Sigurimi i mësuesve ndihmës për nxënësit me aftësi të kufizuara dhe i mësuesve që njohin gjuhën e shenjave </w:t>
            </w:r>
            <w:r>
              <w:rPr>
                <w:rFonts w:cs="Calibri"/>
                <w:sz w:val="18"/>
                <w:szCs w:val="18"/>
              </w:rPr>
              <w:t xml:space="preserve">në </w:t>
            </w:r>
            <w:r w:rsidRPr="00E61612">
              <w:rPr>
                <w:rFonts w:cs="Calibri"/>
                <w:sz w:val="18"/>
                <w:szCs w:val="18"/>
              </w:rPr>
              <w:t>shqip për nxënësit që nuk dëgjojnë</w:t>
            </w:r>
          </w:p>
        </w:tc>
        <w:tc>
          <w:tcPr>
            <w:tcW w:w="1092" w:type="dxa"/>
            <w:tcBorders>
              <w:top w:val="nil"/>
              <w:left w:val="nil"/>
              <w:bottom w:val="single" w:sz="4" w:space="0" w:color="auto"/>
              <w:right w:val="single" w:sz="4" w:space="0" w:color="auto"/>
            </w:tcBorders>
            <w:shd w:val="clear" w:color="000000" w:fill="FFFFFF"/>
            <w:noWrap/>
            <w:hideMark/>
          </w:tcPr>
          <w:p w:rsidR="00B951B1" w:rsidRPr="00E61612" w:rsidRDefault="00B951B1" w:rsidP="00CB78E6">
            <w:pPr>
              <w:jc w:val="right"/>
              <w:rPr>
                <w:rFonts w:cs="Calibri"/>
                <w:color w:val="000000"/>
                <w:sz w:val="18"/>
                <w:szCs w:val="18"/>
              </w:rPr>
            </w:pPr>
            <w:r w:rsidRPr="00E61612">
              <w:rPr>
                <w:color w:val="000000"/>
                <w:sz w:val="18"/>
                <w:szCs w:val="18"/>
              </w:rPr>
              <w:t>6,515,110</w:t>
            </w:r>
          </w:p>
        </w:tc>
        <w:tc>
          <w:tcPr>
            <w:tcW w:w="1128" w:type="dxa"/>
            <w:tcBorders>
              <w:top w:val="nil"/>
              <w:left w:val="nil"/>
              <w:bottom w:val="single" w:sz="4" w:space="0" w:color="auto"/>
              <w:right w:val="single" w:sz="4" w:space="0" w:color="auto"/>
            </w:tcBorders>
            <w:shd w:val="clear" w:color="000000" w:fill="FFFFFF"/>
            <w:noWrap/>
            <w:hideMark/>
          </w:tcPr>
          <w:p w:rsidR="00B951B1" w:rsidRPr="00E61612" w:rsidRDefault="00B951B1" w:rsidP="00CB78E6">
            <w:pPr>
              <w:jc w:val="right"/>
              <w:rPr>
                <w:rFonts w:cs="Calibri"/>
                <w:color w:val="000000"/>
                <w:sz w:val="18"/>
                <w:szCs w:val="18"/>
              </w:rPr>
            </w:pPr>
            <w:r w:rsidRPr="00E61612">
              <w:rPr>
                <w:color w:val="000000"/>
                <w:sz w:val="18"/>
                <w:szCs w:val="18"/>
              </w:rPr>
              <w:t>5,908,002</w:t>
            </w:r>
          </w:p>
        </w:tc>
        <w:tc>
          <w:tcPr>
            <w:tcW w:w="988" w:type="dxa"/>
            <w:tcBorders>
              <w:top w:val="nil"/>
              <w:left w:val="nil"/>
              <w:bottom w:val="single" w:sz="4" w:space="0" w:color="auto"/>
              <w:right w:val="single" w:sz="4" w:space="0" w:color="auto"/>
            </w:tcBorders>
            <w:shd w:val="clear" w:color="000000" w:fill="FFFFFF"/>
            <w:noWrap/>
            <w:hideMark/>
          </w:tcPr>
          <w:p w:rsidR="00B951B1" w:rsidRPr="00E61612" w:rsidRDefault="00B951B1" w:rsidP="00CB78E6">
            <w:pPr>
              <w:jc w:val="right"/>
              <w:rPr>
                <w:rFonts w:cs="Calibri"/>
                <w:color w:val="000000"/>
                <w:sz w:val="18"/>
                <w:szCs w:val="18"/>
              </w:rPr>
            </w:pPr>
            <w:r w:rsidRPr="00E61612">
              <w:rPr>
                <w:color w:val="000000"/>
                <w:sz w:val="18"/>
                <w:szCs w:val="18"/>
              </w:rPr>
              <w:t>-</w:t>
            </w:r>
          </w:p>
        </w:tc>
        <w:tc>
          <w:tcPr>
            <w:tcW w:w="1141" w:type="dxa"/>
            <w:tcBorders>
              <w:top w:val="nil"/>
              <w:left w:val="nil"/>
              <w:bottom w:val="single" w:sz="4" w:space="0" w:color="auto"/>
              <w:right w:val="single" w:sz="8" w:space="0" w:color="auto"/>
            </w:tcBorders>
            <w:shd w:val="clear" w:color="000000" w:fill="FFFFFF"/>
            <w:noWrap/>
            <w:hideMark/>
          </w:tcPr>
          <w:p w:rsidR="00B951B1" w:rsidRPr="00E61612" w:rsidRDefault="00B951B1" w:rsidP="00CB78E6">
            <w:pPr>
              <w:jc w:val="right"/>
              <w:rPr>
                <w:rFonts w:cs="Calibri"/>
                <w:color w:val="000000"/>
                <w:sz w:val="18"/>
                <w:szCs w:val="18"/>
              </w:rPr>
            </w:pPr>
            <w:r w:rsidRPr="00E61612">
              <w:rPr>
                <w:color w:val="000000"/>
                <w:sz w:val="18"/>
                <w:szCs w:val="18"/>
              </w:rPr>
              <w:t>(607,108)</w:t>
            </w:r>
          </w:p>
        </w:tc>
      </w:tr>
      <w:tr w:rsidR="00B951B1" w:rsidRPr="00E61612" w:rsidTr="00CB78E6">
        <w:trPr>
          <w:trHeight w:val="341"/>
          <w:jc w:val="center"/>
        </w:trPr>
        <w:tc>
          <w:tcPr>
            <w:tcW w:w="817" w:type="dxa"/>
            <w:tcBorders>
              <w:top w:val="nil"/>
              <w:left w:val="single" w:sz="8" w:space="0" w:color="auto"/>
              <w:bottom w:val="single" w:sz="4" w:space="0" w:color="auto"/>
              <w:right w:val="single" w:sz="4" w:space="0" w:color="auto"/>
            </w:tcBorders>
            <w:shd w:val="clear" w:color="auto" w:fill="auto"/>
            <w:hideMark/>
          </w:tcPr>
          <w:p w:rsidR="00B951B1" w:rsidRPr="00E61612" w:rsidRDefault="00B951B1" w:rsidP="00CB78E6">
            <w:pPr>
              <w:jc w:val="center"/>
              <w:rPr>
                <w:rFonts w:cs="Calibri"/>
                <w:b/>
                <w:bCs/>
                <w:color w:val="000000"/>
                <w:sz w:val="18"/>
                <w:szCs w:val="18"/>
              </w:rPr>
            </w:pPr>
            <w:r w:rsidRPr="00E61612">
              <w:rPr>
                <w:rFonts w:cs="Calibri"/>
                <w:b/>
                <w:bCs/>
                <w:color w:val="000000"/>
                <w:sz w:val="18"/>
                <w:szCs w:val="18"/>
              </w:rPr>
              <w:t>A1.7.3</w:t>
            </w:r>
          </w:p>
        </w:tc>
        <w:tc>
          <w:tcPr>
            <w:tcW w:w="4383" w:type="dxa"/>
            <w:tcBorders>
              <w:top w:val="nil"/>
              <w:left w:val="nil"/>
              <w:bottom w:val="single" w:sz="4" w:space="0" w:color="auto"/>
              <w:right w:val="single" w:sz="4" w:space="0" w:color="auto"/>
            </w:tcBorders>
            <w:shd w:val="clear" w:color="auto" w:fill="auto"/>
            <w:hideMark/>
          </w:tcPr>
          <w:p w:rsidR="00B951B1" w:rsidRPr="00E61612" w:rsidRDefault="00B951B1" w:rsidP="00CB78E6">
            <w:pPr>
              <w:rPr>
                <w:rFonts w:cs="Calibri"/>
                <w:sz w:val="18"/>
                <w:szCs w:val="18"/>
              </w:rPr>
            </w:pPr>
            <w:r w:rsidRPr="00E61612">
              <w:rPr>
                <w:rFonts w:cs="Calibri"/>
                <w:sz w:val="18"/>
                <w:szCs w:val="18"/>
              </w:rPr>
              <w:t>Shtimi i numrit të oficerëve të sigurisë në shkolla</w:t>
            </w:r>
          </w:p>
        </w:tc>
        <w:tc>
          <w:tcPr>
            <w:tcW w:w="1092" w:type="dxa"/>
            <w:tcBorders>
              <w:top w:val="nil"/>
              <w:left w:val="nil"/>
              <w:bottom w:val="single" w:sz="4" w:space="0" w:color="auto"/>
              <w:right w:val="single" w:sz="4" w:space="0" w:color="auto"/>
            </w:tcBorders>
            <w:shd w:val="clear" w:color="000000" w:fill="FFFFFF"/>
            <w:noWrap/>
            <w:hideMark/>
          </w:tcPr>
          <w:p w:rsidR="00B951B1" w:rsidRPr="00E61612" w:rsidRDefault="00B951B1" w:rsidP="00CB78E6">
            <w:pPr>
              <w:jc w:val="right"/>
              <w:rPr>
                <w:rFonts w:cs="Calibri"/>
                <w:color w:val="000000"/>
                <w:sz w:val="18"/>
                <w:szCs w:val="18"/>
              </w:rPr>
            </w:pPr>
            <w:r w:rsidRPr="00E61612">
              <w:rPr>
                <w:color w:val="000000"/>
                <w:sz w:val="18"/>
                <w:szCs w:val="18"/>
              </w:rPr>
              <w:t>1,210,138</w:t>
            </w:r>
          </w:p>
        </w:tc>
        <w:tc>
          <w:tcPr>
            <w:tcW w:w="1128" w:type="dxa"/>
            <w:tcBorders>
              <w:top w:val="nil"/>
              <w:left w:val="nil"/>
              <w:bottom w:val="single" w:sz="4" w:space="0" w:color="auto"/>
              <w:right w:val="single" w:sz="4" w:space="0" w:color="auto"/>
            </w:tcBorders>
            <w:shd w:val="clear" w:color="000000" w:fill="FFFFFF"/>
            <w:noWrap/>
            <w:hideMark/>
          </w:tcPr>
          <w:p w:rsidR="00B951B1" w:rsidRPr="00E61612" w:rsidRDefault="00B951B1" w:rsidP="00CB78E6">
            <w:pPr>
              <w:jc w:val="right"/>
              <w:rPr>
                <w:rFonts w:cs="Calibri"/>
                <w:color w:val="000000"/>
                <w:sz w:val="18"/>
                <w:szCs w:val="18"/>
              </w:rPr>
            </w:pPr>
            <w:r w:rsidRPr="00E61612">
              <w:rPr>
                <w:color w:val="000000"/>
                <w:sz w:val="18"/>
                <w:szCs w:val="18"/>
              </w:rPr>
              <w:t>680,702</w:t>
            </w:r>
          </w:p>
        </w:tc>
        <w:tc>
          <w:tcPr>
            <w:tcW w:w="988" w:type="dxa"/>
            <w:tcBorders>
              <w:top w:val="nil"/>
              <w:left w:val="nil"/>
              <w:bottom w:val="single" w:sz="4" w:space="0" w:color="auto"/>
              <w:right w:val="single" w:sz="4" w:space="0" w:color="auto"/>
            </w:tcBorders>
            <w:shd w:val="clear" w:color="000000" w:fill="FFFFFF"/>
            <w:noWrap/>
            <w:hideMark/>
          </w:tcPr>
          <w:p w:rsidR="00B951B1" w:rsidRPr="00E61612" w:rsidRDefault="00B951B1" w:rsidP="00CB78E6">
            <w:pPr>
              <w:jc w:val="right"/>
              <w:rPr>
                <w:rFonts w:cs="Calibri"/>
                <w:color w:val="000000"/>
                <w:sz w:val="18"/>
                <w:szCs w:val="18"/>
              </w:rPr>
            </w:pPr>
            <w:r w:rsidRPr="00E61612">
              <w:rPr>
                <w:color w:val="000000"/>
                <w:sz w:val="18"/>
                <w:szCs w:val="18"/>
              </w:rPr>
              <w:t>-</w:t>
            </w:r>
          </w:p>
        </w:tc>
        <w:tc>
          <w:tcPr>
            <w:tcW w:w="1141" w:type="dxa"/>
            <w:tcBorders>
              <w:top w:val="nil"/>
              <w:left w:val="nil"/>
              <w:bottom w:val="single" w:sz="4" w:space="0" w:color="auto"/>
              <w:right w:val="single" w:sz="8" w:space="0" w:color="auto"/>
            </w:tcBorders>
            <w:shd w:val="clear" w:color="000000" w:fill="FFFFFF"/>
            <w:noWrap/>
            <w:hideMark/>
          </w:tcPr>
          <w:p w:rsidR="00B951B1" w:rsidRPr="00E61612" w:rsidRDefault="00B951B1" w:rsidP="00CB78E6">
            <w:pPr>
              <w:jc w:val="right"/>
              <w:rPr>
                <w:rFonts w:cs="Calibri"/>
                <w:color w:val="000000"/>
                <w:sz w:val="18"/>
                <w:szCs w:val="18"/>
              </w:rPr>
            </w:pPr>
            <w:r w:rsidRPr="00E61612">
              <w:rPr>
                <w:color w:val="000000"/>
                <w:sz w:val="18"/>
                <w:szCs w:val="18"/>
              </w:rPr>
              <w:t>(529,435)</w:t>
            </w:r>
          </w:p>
        </w:tc>
      </w:tr>
      <w:tr w:rsidR="00B951B1" w:rsidRPr="00E61612" w:rsidTr="00CB78E6">
        <w:trPr>
          <w:trHeight w:val="469"/>
          <w:jc w:val="center"/>
        </w:trPr>
        <w:tc>
          <w:tcPr>
            <w:tcW w:w="817" w:type="dxa"/>
            <w:tcBorders>
              <w:top w:val="nil"/>
              <w:left w:val="single" w:sz="8" w:space="0" w:color="auto"/>
              <w:bottom w:val="single" w:sz="4" w:space="0" w:color="auto"/>
              <w:right w:val="single" w:sz="4" w:space="0" w:color="auto"/>
            </w:tcBorders>
            <w:shd w:val="clear" w:color="auto" w:fill="auto"/>
            <w:hideMark/>
          </w:tcPr>
          <w:p w:rsidR="00B951B1" w:rsidRPr="00E61612" w:rsidRDefault="00B951B1" w:rsidP="00CB78E6">
            <w:pPr>
              <w:jc w:val="center"/>
              <w:rPr>
                <w:rFonts w:cs="Calibri"/>
                <w:b/>
                <w:bCs/>
                <w:color w:val="000000"/>
                <w:sz w:val="18"/>
                <w:szCs w:val="18"/>
              </w:rPr>
            </w:pPr>
            <w:r w:rsidRPr="00E61612">
              <w:rPr>
                <w:rFonts w:cs="Calibri"/>
                <w:b/>
                <w:bCs/>
                <w:color w:val="000000"/>
                <w:sz w:val="18"/>
                <w:szCs w:val="18"/>
              </w:rPr>
              <w:t>A3.5.1</w:t>
            </w:r>
          </w:p>
        </w:tc>
        <w:tc>
          <w:tcPr>
            <w:tcW w:w="4383" w:type="dxa"/>
            <w:tcBorders>
              <w:top w:val="nil"/>
              <w:left w:val="nil"/>
              <w:bottom w:val="single" w:sz="4" w:space="0" w:color="auto"/>
              <w:right w:val="single" w:sz="4" w:space="0" w:color="auto"/>
            </w:tcBorders>
            <w:shd w:val="clear" w:color="auto" w:fill="auto"/>
            <w:hideMark/>
          </w:tcPr>
          <w:p w:rsidR="00B951B1" w:rsidRPr="00E61612" w:rsidRDefault="00B951B1" w:rsidP="00CB78E6">
            <w:pPr>
              <w:rPr>
                <w:rFonts w:cs="Calibri"/>
                <w:sz w:val="18"/>
                <w:szCs w:val="18"/>
              </w:rPr>
            </w:pPr>
            <w:r w:rsidRPr="00E61612">
              <w:rPr>
                <w:rFonts w:cs="Calibri"/>
                <w:sz w:val="18"/>
                <w:szCs w:val="18"/>
              </w:rPr>
              <w:t>Futja e gjuhës angleze si lëndë e detyruar nga mosha 5</w:t>
            </w:r>
            <w:r>
              <w:rPr>
                <w:rFonts w:cs="Calibri"/>
                <w:sz w:val="18"/>
                <w:szCs w:val="18"/>
              </w:rPr>
              <w:t>-</w:t>
            </w:r>
            <w:r w:rsidRPr="00E61612">
              <w:rPr>
                <w:rFonts w:cs="Calibri"/>
                <w:sz w:val="18"/>
                <w:szCs w:val="18"/>
              </w:rPr>
              <w:t>vjeç</w:t>
            </w:r>
            <w:r>
              <w:rPr>
                <w:rFonts w:cs="Calibri"/>
                <w:sz w:val="18"/>
                <w:szCs w:val="18"/>
              </w:rPr>
              <w:t>are</w:t>
            </w:r>
          </w:p>
        </w:tc>
        <w:tc>
          <w:tcPr>
            <w:tcW w:w="1092" w:type="dxa"/>
            <w:tcBorders>
              <w:top w:val="nil"/>
              <w:left w:val="nil"/>
              <w:bottom w:val="single" w:sz="4" w:space="0" w:color="auto"/>
              <w:right w:val="single" w:sz="4" w:space="0" w:color="auto"/>
            </w:tcBorders>
            <w:shd w:val="clear" w:color="000000" w:fill="FFFFFF"/>
            <w:noWrap/>
            <w:hideMark/>
          </w:tcPr>
          <w:p w:rsidR="00B951B1" w:rsidRPr="00E61612" w:rsidRDefault="00B951B1" w:rsidP="00CB78E6">
            <w:pPr>
              <w:jc w:val="right"/>
              <w:rPr>
                <w:rFonts w:cs="Calibri"/>
                <w:color w:val="000000"/>
                <w:sz w:val="18"/>
                <w:szCs w:val="18"/>
              </w:rPr>
            </w:pPr>
            <w:r w:rsidRPr="00E61612">
              <w:rPr>
                <w:color w:val="000000"/>
                <w:sz w:val="18"/>
                <w:szCs w:val="18"/>
              </w:rPr>
              <w:t>1,032,960</w:t>
            </w:r>
          </w:p>
        </w:tc>
        <w:tc>
          <w:tcPr>
            <w:tcW w:w="1128" w:type="dxa"/>
            <w:tcBorders>
              <w:top w:val="nil"/>
              <w:left w:val="nil"/>
              <w:bottom w:val="single" w:sz="4" w:space="0" w:color="auto"/>
              <w:right w:val="single" w:sz="4" w:space="0" w:color="auto"/>
            </w:tcBorders>
            <w:shd w:val="clear" w:color="000000" w:fill="FFFFFF"/>
            <w:noWrap/>
            <w:hideMark/>
          </w:tcPr>
          <w:p w:rsidR="00B951B1" w:rsidRPr="00E61612" w:rsidRDefault="00B951B1" w:rsidP="00CB78E6">
            <w:pPr>
              <w:jc w:val="right"/>
              <w:rPr>
                <w:rFonts w:cs="Calibri"/>
                <w:color w:val="000000"/>
                <w:sz w:val="18"/>
                <w:szCs w:val="18"/>
              </w:rPr>
            </w:pPr>
            <w:r w:rsidRPr="00E61612">
              <w:rPr>
                <w:color w:val="000000"/>
                <w:sz w:val="18"/>
                <w:szCs w:val="18"/>
              </w:rPr>
              <w:t>-</w:t>
            </w:r>
          </w:p>
        </w:tc>
        <w:tc>
          <w:tcPr>
            <w:tcW w:w="988" w:type="dxa"/>
            <w:tcBorders>
              <w:top w:val="nil"/>
              <w:left w:val="nil"/>
              <w:bottom w:val="single" w:sz="4" w:space="0" w:color="auto"/>
              <w:right w:val="single" w:sz="4" w:space="0" w:color="auto"/>
            </w:tcBorders>
            <w:shd w:val="clear" w:color="000000" w:fill="FFFFFF"/>
            <w:noWrap/>
            <w:hideMark/>
          </w:tcPr>
          <w:p w:rsidR="00B951B1" w:rsidRPr="00E61612" w:rsidRDefault="00B951B1" w:rsidP="00CB78E6">
            <w:pPr>
              <w:jc w:val="right"/>
              <w:rPr>
                <w:rFonts w:cs="Calibri"/>
                <w:color w:val="000000"/>
                <w:sz w:val="18"/>
                <w:szCs w:val="18"/>
              </w:rPr>
            </w:pPr>
            <w:r w:rsidRPr="00E61612">
              <w:rPr>
                <w:color w:val="000000"/>
                <w:sz w:val="18"/>
                <w:szCs w:val="18"/>
              </w:rPr>
              <w:t>-</w:t>
            </w:r>
          </w:p>
        </w:tc>
        <w:tc>
          <w:tcPr>
            <w:tcW w:w="1141" w:type="dxa"/>
            <w:tcBorders>
              <w:top w:val="nil"/>
              <w:left w:val="nil"/>
              <w:bottom w:val="single" w:sz="4" w:space="0" w:color="auto"/>
              <w:right w:val="single" w:sz="8" w:space="0" w:color="auto"/>
            </w:tcBorders>
            <w:shd w:val="clear" w:color="000000" w:fill="FFFFFF"/>
            <w:noWrap/>
            <w:hideMark/>
          </w:tcPr>
          <w:p w:rsidR="00B951B1" w:rsidRPr="00E61612" w:rsidRDefault="00B951B1" w:rsidP="00CB78E6">
            <w:pPr>
              <w:jc w:val="right"/>
              <w:rPr>
                <w:rFonts w:cs="Calibri"/>
                <w:color w:val="000000"/>
                <w:sz w:val="18"/>
                <w:szCs w:val="18"/>
              </w:rPr>
            </w:pPr>
            <w:r w:rsidRPr="00E61612">
              <w:rPr>
                <w:color w:val="000000"/>
                <w:sz w:val="18"/>
                <w:szCs w:val="18"/>
              </w:rPr>
              <w:t>(1,032,960)</w:t>
            </w:r>
          </w:p>
        </w:tc>
      </w:tr>
      <w:tr w:rsidR="00B951B1" w:rsidRPr="00E61612" w:rsidTr="00CB78E6">
        <w:trPr>
          <w:trHeight w:val="405"/>
          <w:jc w:val="center"/>
        </w:trPr>
        <w:tc>
          <w:tcPr>
            <w:tcW w:w="817" w:type="dxa"/>
            <w:tcBorders>
              <w:top w:val="nil"/>
              <w:left w:val="single" w:sz="8" w:space="0" w:color="auto"/>
              <w:bottom w:val="single" w:sz="4" w:space="0" w:color="auto"/>
              <w:right w:val="single" w:sz="4" w:space="0" w:color="auto"/>
            </w:tcBorders>
            <w:shd w:val="clear" w:color="auto" w:fill="auto"/>
            <w:hideMark/>
          </w:tcPr>
          <w:p w:rsidR="00B951B1" w:rsidRPr="00E61612" w:rsidRDefault="00B951B1" w:rsidP="00CB78E6">
            <w:pPr>
              <w:jc w:val="center"/>
              <w:rPr>
                <w:rFonts w:cs="Calibri"/>
                <w:b/>
                <w:bCs/>
                <w:color w:val="000000"/>
                <w:sz w:val="18"/>
                <w:szCs w:val="18"/>
              </w:rPr>
            </w:pPr>
            <w:r w:rsidRPr="00E61612">
              <w:rPr>
                <w:rFonts w:cs="Calibri"/>
                <w:b/>
                <w:bCs/>
                <w:color w:val="000000"/>
                <w:sz w:val="18"/>
                <w:szCs w:val="18"/>
              </w:rPr>
              <w:t>A4.1.2</w:t>
            </w:r>
          </w:p>
        </w:tc>
        <w:tc>
          <w:tcPr>
            <w:tcW w:w="4383" w:type="dxa"/>
            <w:tcBorders>
              <w:top w:val="nil"/>
              <w:left w:val="nil"/>
              <w:bottom w:val="single" w:sz="4" w:space="0" w:color="auto"/>
              <w:right w:val="single" w:sz="4" w:space="0" w:color="auto"/>
            </w:tcBorders>
            <w:shd w:val="clear" w:color="auto" w:fill="auto"/>
            <w:hideMark/>
          </w:tcPr>
          <w:p w:rsidR="00B951B1" w:rsidRPr="00E61612" w:rsidRDefault="00B951B1" w:rsidP="00CB78E6">
            <w:pPr>
              <w:rPr>
                <w:rFonts w:cs="Calibri"/>
                <w:sz w:val="18"/>
                <w:szCs w:val="18"/>
              </w:rPr>
            </w:pPr>
            <w:r w:rsidRPr="00E61612">
              <w:rPr>
                <w:rFonts w:cs="Calibri"/>
                <w:sz w:val="18"/>
                <w:szCs w:val="18"/>
              </w:rPr>
              <w:t>Instalimi i rrjeteve wireless ne shkolla</w:t>
            </w:r>
          </w:p>
        </w:tc>
        <w:tc>
          <w:tcPr>
            <w:tcW w:w="1092" w:type="dxa"/>
            <w:tcBorders>
              <w:top w:val="nil"/>
              <w:left w:val="nil"/>
              <w:bottom w:val="single" w:sz="4" w:space="0" w:color="auto"/>
              <w:right w:val="single" w:sz="4" w:space="0" w:color="auto"/>
            </w:tcBorders>
            <w:shd w:val="clear" w:color="000000" w:fill="FFFFFF"/>
            <w:noWrap/>
            <w:hideMark/>
          </w:tcPr>
          <w:p w:rsidR="00B951B1" w:rsidRPr="00E61612" w:rsidRDefault="00B951B1" w:rsidP="00CB78E6">
            <w:pPr>
              <w:jc w:val="right"/>
              <w:rPr>
                <w:rFonts w:cs="Calibri"/>
                <w:color w:val="000000"/>
                <w:sz w:val="18"/>
                <w:szCs w:val="18"/>
              </w:rPr>
            </w:pPr>
            <w:r w:rsidRPr="00E61612">
              <w:rPr>
                <w:color w:val="000000"/>
                <w:sz w:val="18"/>
                <w:szCs w:val="18"/>
              </w:rPr>
              <w:t>564,000</w:t>
            </w:r>
          </w:p>
        </w:tc>
        <w:tc>
          <w:tcPr>
            <w:tcW w:w="1128" w:type="dxa"/>
            <w:tcBorders>
              <w:top w:val="nil"/>
              <w:left w:val="nil"/>
              <w:bottom w:val="single" w:sz="4" w:space="0" w:color="auto"/>
              <w:right w:val="single" w:sz="4" w:space="0" w:color="auto"/>
            </w:tcBorders>
            <w:shd w:val="clear" w:color="000000" w:fill="FFFFFF"/>
            <w:noWrap/>
            <w:hideMark/>
          </w:tcPr>
          <w:p w:rsidR="00B951B1" w:rsidRPr="00E61612" w:rsidRDefault="00B951B1" w:rsidP="00CB78E6">
            <w:pPr>
              <w:jc w:val="right"/>
              <w:rPr>
                <w:rFonts w:cs="Calibri"/>
                <w:color w:val="000000"/>
                <w:sz w:val="18"/>
                <w:szCs w:val="18"/>
              </w:rPr>
            </w:pPr>
            <w:r w:rsidRPr="00E61612">
              <w:rPr>
                <w:color w:val="000000"/>
                <w:sz w:val="18"/>
                <w:szCs w:val="18"/>
              </w:rPr>
              <w:t>-</w:t>
            </w:r>
          </w:p>
        </w:tc>
        <w:tc>
          <w:tcPr>
            <w:tcW w:w="988" w:type="dxa"/>
            <w:tcBorders>
              <w:top w:val="nil"/>
              <w:left w:val="nil"/>
              <w:bottom w:val="single" w:sz="4" w:space="0" w:color="auto"/>
              <w:right w:val="single" w:sz="4" w:space="0" w:color="auto"/>
            </w:tcBorders>
            <w:shd w:val="clear" w:color="000000" w:fill="FFFFFF"/>
            <w:noWrap/>
            <w:hideMark/>
          </w:tcPr>
          <w:p w:rsidR="00B951B1" w:rsidRPr="00E61612" w:rsidRDefault="00B951B1" w:rsidP="00CB78E6">
            <w:pPr>
              <w:jc w:val="right"/>
              <w:rPr>
                <w:rFonts w:cs="Calibri"/>
                <w:color w:val="000000"/>
                <w:sz w:val="18"/>
                <w:szCs w:val="18"/>
              </w:rPr>
            </w:pPr>
            <w:r w:rsidRPr="00E61612">
              <w:rPr>
                <w:color w:val="000000"/>
                <w:sz w:val="18"/>
                <w:szCs w:val="18"/>
              </w:rPr>
              <w:t>60,000</w:t>
            </w:r>
          </w:p>
        </w:tc>
        <w:tc>
          <w:tcPr>
            <w:tcW w:w="1141" w:type="dxa"/>
            <w:tcBorders>
              <w:top w:val="nil"/>
              <w:left w:val="nil"/>
              <w:bottom w:val="single" w:sz="4" w:space="0" w:color="auto"/>
              <w:right w:val="single" w:sz="8" w:space="0" w:color="auto"/>
            </w:tcBorders>
            <w:shd w:val="clear" w:color="000000" w:fill="FFFFFF"/>
            <w:noWrap/>
            <w:hideMark/>
          </w:tcPr>
          <w:p w:rsidR="00B951B1" w:rsidRPr="00E61612" w:rsidRDefault="00B951B1" w:rsidP="00CB78E6">
            <w:pPr>
              <w:jc w:val="right"/>
              <w:rPr>
                <w:rFonts w:cs="Calibri"/>
                <w:color w:val="000000"/>
                <w:sz w:val="18"/>
                <w:szCs w:val="18"/>
              </w:rPr>
            </w:pPr>
            <w:r w:rsidRPr="00E61612">
              <w:rPr>
                <w:color w:val="000000"/>
                <w:sz w:val="18"/>
                <w:szCs w:val="18"/>
              </w:rPr>
              <w:t>(504,000)</w:t>
            </w:r>
          </w:p>
        </w:tc>
      </w:tr>
      <w:tr w:rsidR="00B951B1" w:rsidRPr="00E61612" w:rsidTr="00CB78E6">
        <w:trPr>
          <w:trHeight w:val="231"/>
          <w:jc w:val="center"/>
        </w:trPr>
        <w:tc>
          <w:tcPr>
            <w:tcW w:w="817" w:type="dxa"/>
            <w:tcBorders>
              <w:top w:val="nil"/>
              <w:left w:val="single" w:sz="8" w:space="0" w:color="auto"/>
              <w:bottom w:val="single" w:sz="4" w:space="0" w:color="auto"/>
              <w:right w:val="single" w:sz="4" w:space="0" w:color="auto"/>
            </w:tcBorders>
            <w:shd w:val="clear" w:color="auto" w:fill="auto"/>
            <w:hideMark/>
          </w:tcPr>
          <w:p w:rsidR="00B951B1" w:rsidRPr="00E61612" w:rsidRDefault="00B951B1" w:rsidP="00CB78E6">
            <w:pPr>
              <w:jc w:val="center"/>
              <w:rPr>
                <w:rFonts w:cs="Calibri"/>
                <w:b/>
                <w:bCs/>
                <w:color w:val="000000"/>
                <w:sz w:val="18"/>
                <w:szCs w:val="18"/>
              </w:rPr>
            </w:pPr>
            <w:r w:rsidRPr="00E61612">
              <w:rPr>
                <w:rFonts w:cs="Calibri"/>
                <w:b/>
                <w:bCs/>
                <w:color w:val="000000"/>
                <w:sz w:val="18"/>
                <w:szCs w:val="18"/>
              </w:rPr>
              <w:t>A4.1.3</w:t>
            </w:r>
          </w:p>
        </w:tc>
        <w:tc>
          <w:tcPr>
            <w:tcW w:w="4383" w:type="dxa"/>
            <w:tcBorders>
              <w:top w:val="nil"/>
              <w:left w:val="nil"/>
              <w:bottom w:val="single" w:sz="4" w:space="0" w:color="auto"/>
              <w:right w:val="single" w:sz="4" w:space="0" w:color="auto"/>
            </w:tcBorders>
            <w:shd w:val="clear" w:color="auto" w:fill="auto"/>
            <w:hideMark/>
          </w:tcPr>
          <w:p w:rsidR="00B951B1" w:rsidRPr="00E61612" w:rsidRDefault="00B951B1" w:rsidP="00CB78E6">
            <w:pPr>
              <w:rPr>
                <w:rFonts w:cs="Calibri"/>
                <w:sz w:val="18"/>
                <w:szCs w:val="18"/>
              </w:rPr>
            </w:pPr>
            <w:r w:rsidRPr="00E61612">
              <w:rPr>
                <w:rFonts w:cs="Calibri"/>
                <w:sz w:val="18"/>
                <w:szCs w:val="18"/>
              </w:rPr>
              <w:t>Investim për shtimin e pajisjeve digjitale në shkolla</w:t>
            </w:r>
          </w:p>
        </w:tc>
        <w:tc>
          <w:tcPr>
            <w:tcW w:w="1092" w:type="dxa"/>
            <w:tcBorders>
              <w:top w:val="nil"/>
              <w:left w:val="nil"/>
              <w:bottom w:val="single" w:sz="4" w:space="0" w:color="auto"/>
              <w:right w:val="single" w:sz="4" w:space="0" w:color="auto"/>
            </w:tcBorders>
            <w:shd w:val="clear" w:color="000000" w:fill="FFFFFF"/>
            <w:noWrap/>
            <w:hideMark/>
          </w:tcPr>
          <w:p w:rsidR="00B951B1" w:rsidRPr="00E61612" w:rsidRDefault="00B951B1" w:rsidP="00CB78E6">
            <w:pPr>
              <w:jc w:val="right"/>
              <w:rPr>
                <w:rFonts w:cs="Calibri"/>
                <w:color w:val="000000"/>
                <w:sz w:val="18"/>
                <w:szCs w:val="18"/>
              </w:rPr>
            </w:pPr>
            <w:r w:rsidRPr="00E61612">
              <w:rPr>
                <w:color w:val="000000"/>
                <w:sz w:val="18"/>
                <w:szCs w:val="18"/>
              </w:rPr>
              <w:t>3,707,197</w:t>
            </w:r>
          </w:p>
        </w:tc>
        <w:tc>
          <w:tcPr>
            <w:tcW w:w="1128" w:type="dxa"/>
            <w:tcBorders>
              <w:top w:val="nil"/>
              <w:left w:val="nil"/>
              <w:bottom w:val="single" w:sz="4" w:space="0" w:color="auto"/>
              <w:right w:val="single" w:sz="4" w:space="0" w:color="auto"/>
            </w:tcBorders>
            <w:shd w:val="clear" w:color="000000" w:fill="FFFFFF"/>
            <w:noWrap/>
            <w:hideMark/>
          </w:tcPr>
          <w:p w:rsidR="00B951B1" w:rsidRPr="00E61612" w:rsidRDefault="00B951B1" w:rsidP="00CB78E6">
            <w:pPr>
              <w:jc w:val="right"/>
              <w:rPr>
                <w:rFonts w:cs="Calibri"/>
                <w:color w:val="000000"/>
                <w:sz w:val="18"/>
                <w:szCs w:val="18"/>
              </w:rPr>
            </w:pPr>
            <w:r w:rsidRPr="00E61612">
              <w:rPr>
                <w:color w:val="000000"/>
                <w:sz w:val="18"/>
                <w:szCs w:val="18"/>
              </w:rPr>
              <w:t>473,770</w:t>
            </w:r>
          </w:p>
        </w:tc>
        <w:tc>
          <w:tcPr>
            <w:tcW w:w="988" w:type="dxa"/>
            <w:tcBorders>
              <w:top w:val="nil"/>
              <w:left w:val="nil"/>
              <w:bottom w:val="single" w:sz="4" w:space="0" w:color="auto"/>
              <w:right w:val="single" w:sz="4" w:space="0" w:color="auto"/>
            </w:tcBorders>
            <w:shd w:val="clear" w:color="000000" w:fill="FFFFFF"/>
            <w:noWrap/>
            <w:hideMark/>
          </w:tcPr>
          <w:p w:rsidR="00B951B1" w:rsidRPr="00E61612" w:rsidRDefault="00B951B1" w:rsidP="00CB78E6">
            <w:pPr>
              <w:jc w:val="right"/>
              <w:rPr>
                <w:rFonts w:cs="Calibri"/>
                <w:color w:val="000000"/>
                <w:sz w:val="18"/>
                <w:szCs w:val="18"/>
              </w:rPr>
            </w:pPr>
            <w:r w:rsidRPr="00E61612">
              <w:rPr>
                <w:color w:val="000000"/>
                <w:sz w:val="18"/>
                <w:szCs w:val="18"/>
              </w:rPr>
              <w:t>-</w:t>
            </w:r>
          </w:p>
        </w:tc>
        <w:tc>
          <w:tcPr>
            <w:tcW w:w="1141" w:type="dxa"/>
            <w:tcBorders>
              <w:top w:val="nil"/>
              <w:left w:val="nil"/>
              <w:bottom w:val="single" w:sz="4" w:space="0" w:color="auto"/>
              <w:right w:val="single" w:sz="8" w:space="0" w:color="auto"/>
            </w:tcBorders>
            <w:shd w:val="clear" w:color="000000" w:fill="FFFFFF"/>
            <w:noWrap/>
            <w:hideMark/>
          </w:tcPr>
          <w:p w:rsidR="00B951B1" w:rsidRPr="00E61612" w:rsidRDefault="00B951B1" w:rsidP="00CB78E6">
            <w:pPr>
              <w:jc w:val="right"/>
              <w:rPr>
                <w:rFonts w:cs="Calibri"/>
                <w:color w:val="000000"/>
                <w:sz w:val="18"/>
                <w:szCs w:val="18"/>
              </w:rPr>
            </w:pPr>
            <w:r w:rsidRPr="00E61612">
              <w:rPr>
                <w:color w:val="000000"/>
                <w:sz w:val="18"/>
                <w:szCs w:val="18"/>
              </w:rPr>
              <w:t>(3,233,427)</w:t>
            </w:r>
          </w:p>
        </w:tc>
      </w:tr>
      <w:tr w:rsidR="00B951B1" w:rsidRPr="00E61612" w:rsidTr="00CB78E6">
        <w:trPr>
          <w:trHeight w:val="560"/>
          <w:jc w:val="center"/>
        </w:trPr>
        <w:tc>
          <w:tcPr>
            <w:tcW w:w="817" w:type="dxa"/>
            <w:tcBorders>
              <w:top w:val="nil"/>
              <w:left w:val="single" w:sz="8" w:space="0" w:color="auto"/>
              <w:bottom w:val="single" w:sz="4" w:space="0" w:color="auto"/>
              <w:right w:val="single" w:sz="4" w:space="0" w:color="auto"/>
            </w:tcBorders>
            <w:shd w:val="clear" w:color="auto" w:fill="auto"/>
            <w:hideMark/>
          </w:tcPr>
          <w:p w:rsidR="00B951B1" w:rsidRPr="00E61612" w:rsidRDefault="00B951B1" w:rsidP="00CB78E6">
            <w:pPr>
              <w:jc w:val="center"/>
              <w:rPr>
                <w:rFonts w:cs="Calibri"/>
                <w:b/>
                <w:bCs/>
                <w:color w:val="000000"/>
                <w:sz w:val="18"/>
                <w:szCs w:val="18"/>
              </w:rPr>
            </w:pPr>
            <w:r w:rsidRPr="00E61612">
              <w:rPr>
                <w:rFonts w:cs="Calibri"/>
                <w:b/>
                <w:bCs/>
                <w:color w:val="000000"/>
                <w:sz w:val="18"/>
                <w:szCs w:val="18"/>
              </w:rPr>
              <w:t>A4.1.4</w:t>
            </w:r>
          </w:p>
        </w:tc>
        <w:tc>
          <w:tcPr>
            <w:tcW w:w="4383" w:type="dxa"/>
            <w:tcBorders>
              <w:top w:val="nil"/>
              <w:left w:val="nil"/>
              <w:bottom w:val="single" w:sz="4" w:space="0" w:color="auto"/>
              <w:right w:val="single" w:sz="4" w:space="0" w:color="auto"/>
            </w:tcBorders>
            <w:shd w:val="clear" w:color="auto" w:fill="auto"/>
            <w:hideMark/>
          </w:tcPr>
          <w:p w:rsidR="00B951B1" w:rsidRPr="00E61612" w:rsidRDefault="00B951B1" w:rsidP="00CB78E6">
            <w:pPr>
              <w:rPr>
                <w:rFonts w:cs="Calibri"/>
                <w:sz w:val="18"/>
                <w:szCs w:val="18"/>
              </w:rPr>
            </w:pPr>
            <w:r w:rsidRPr="00E61612">
              <w:rPr>
                <w:rFonts w:cs="Calibri"/>
                <w:sz w:val="18"/>
                <w:szCs w:val="18"/>
              </w:rPr>
              <w:t>Mirëmbajtja teknike e pajisjeve të TIK-ut përmes klubeve te nxënësve dhe strukturës arsimore lokale</w:t>
            </w:r>
          </w:p>
        </w:tc>
        <w:tc>
          <w:tcPr>
            <w:tcW w:w="1092" w:type="dxa"/>
            <w:tcBorders>
              <w:top w:val="nil"/>
              <w:left w:val="nil"/>
              <w:bottom w:val="single" w:sz="4" w:space="0" w:color="auto"/>
              <w:right w:val="single" w:sz="4" w:space="0" w:color="auto"/>
            </w:tcBorders>
            <w:shd w:val="clear" w:color="000000" w:fill="FFFFFF"/>
            <w:noWrap/>
            <w:hideMark/>
          </w:tcPr>
          <w:p w:rsidR="00B951B1" w:rsidRPr="00E61612" w:rsidRDefault="00B951B1" w:rsidP="00CB78E6">
            <w:pPr>
              <w:jc w:val="right"/>
              <w:rPr>
                <w:rFonts w:cs="Calibri"/>
                <w:color w:val="000000"/>
                <w:sz w:val="18"/>
                <w:szCs w:val="18"/>
              </w:rPr>
            </w:pPr>
            <w:r w:rsidRPr="00E61612">
              <w:rPr>
                <w:color w:val="000000"/>
                <w:sz w:val="18"/>
                <w:szCs w:val="18"/>
              </w:rPr>
              <w:t>562,315</w:t>
            </w:r>
          </w:p>
        </w:tc>
        <w:tc>
          <w:tcPr>
            <w:tcW w:w="1128" w:type="dxa"/>
            <w:tcBorders>
              <w:top w:val="nil"/>
              <w:left w:val="nil"/>
              <w:bottom w:val="single" w:sz="4" w:space="0" w:color="auto"/>
              <w:right w:val="single" w:sz="4" w:space="0" w:color="auto"/>
            </w:tcBorders>
            <w:shd w:val="clear" w:color="000000" w:fill="FFFFFF"/>
            <w:noWrap/>
            <w:hideMark/>
          </w:tcPr>
          <w:p w:rsidR="00B951B1" w:rsidRPr="00E61612" w:rsidRDefault="00B951B1" w:rsidP="00CB78E6">
            <w:pPr>
              <w:jc w:val="right"/>
              <w:rPr>
                <w:rFonts w:cs="Calibri"/>
                <w:color w:val="000000"/>
                <w:sz w:val="18"/>
                <w:szCs w:val="18"/>
              </w:rPr>
            </w:pPr>
            <w:r w:rsidRPr="00E61612">
              <w:rPr>
                <w:color w:val="000000"/>
                <w:sz w:val="18"/>
                <w:szCs w:val="18"/>
              </w:rPr>
              <w:t>-</w:t>
            </w:r>
          </w:p>
        </w:tc>
        <w:tc>
          <w:tcPr>
            <w:tcW w:w="988" w:type="dxa"/>
            <w:tcBorders>
              <w:top w:val="nil"/>
              <w:left w:val="nil"/>
              <w:bottom w:val="single" w:sz="4" w:space="0" w:color="auto"/>
              <w:right w:val="single" w:sz="4" w:space="0" w:color="auto"/>
            </w:tcBorders>
            <w:shd w:val="clear" w:color="000000" w:fill="FFFFFF"/>
            <w:noWrap/>
            <w:hideMark/>
          </w:tcPr>
          <w:p w:rsidR="00B951B1" w:rsidRPr="00E61612" w:rsidRDefault="00B951B1" w:rsidP="00CB78E6">
            <w:pPr>
              <w:jc w:val="right"/>
              <w:rPr>
                <w:rFonts w:cs="Calibri"/>
                <w:color w:val="000000"/>
                <w:sz w:val="18"/>
                <w:szCs w:val="18"/>
              </w:rPr>
            </w:pPr>
            <w:r w:rsidRPr="00E61612">
              <w:rPr>
                <w:color w:val="000000"/>
                <w:sz w:val="18"/>
                <w:szCs w:val="18"/>
              </w:rPr>
              <w:t>-</w:t>
            </w:r>
          </w:p>
        </w:tc>
        <w:tc>
          <w:tcPr>
            <w:tcW w:w="1141" w:type="dxa"/>
            <w:tcBorders>
              <w:top w:val="nil"/>
              <w:left w:val="nil"/>
              <w:bottom w:val="single" w:sz="4" w:space="0" w:color="auto"/>
              <w:right w:val="single" w:sz="8" w:space="0" w:color="auto"/>
            </w:tcBorders>
            <w:shd w:val="clear" w:color="000000" w:fill="FFFFFF"/>
            <w:noWrap/>
            <w:hideMark/>
          </w:tcPr>
          <w:p w:rsidR="00B951B1" w:rsidRPr="00E61612" w:rsidRDefault="00B951B1" w:rsidP="00CB78E6">
            <w:pPr>
              <w:jc w:val="right"/>
              <w:rPr>
                <w:rFonts w:cs="Calibri"/>
                <w:color w:val="000000"/>
                <w:sz w:val="18"/>
                <w:szCs w:val="18"/>
              </w:rPr>
            </w:pPr>
            <w:r w:rsidRPr="00E61612">
              <w:rPr>
                <w:color w:val="000000"/>
                <w:sz w:val="18"/>
                <w:szCs w:val="18"/>
              </w:rPr>
              <w:t>(562,315)</w:t>
            </w:r>
          </w:p>
        </w:tc>
      </w:tr>
      <w:tr w:rsidR="00B951B1" w:rsidRPr="00E61612" w:rsidTr="00CB78E6">
        <w:trPr>
          <w:trHeight w:val="412"/>
          <w:jc w:val="center"/>
        </w:trPr>
        <w:tc>
          <w:tcPr>
            <w:tcW w:w="817" w:type="dxa"/>
            <w:tcBorders>
              <w:top w:val="nil"/>
              <w:left w:val="single" w:sz="8" w:space="0" w:color="auto"/>
              <w:bottom w:val="single" w:sz="4" w:space="0" w:color="auto"/>
              <w:right w:val="single" w:sz="4" w:space="0" w:color="auto"/>
            </w:tcBorders>
            <w:shd w:val="clear" w:color="auto" w:fill="auto"/>
            <w:hideMark/>
          </w:tcPr>
          <w:p w:rsidR="00B951B1" w:rsidRPr="00E61612" w:rsidRDefault="00B951B1" w:rsidP="00CB78E6">
            <w:pPr>
              <w:jc w:val="center"/>
              <w:rPr>
                <w:rFonts w:cs="Calibri"/>
                <w:b/>
                <w:bCs/>
                <w:color w:val="000000"/>
                <w:sz w:val="18"/>
                <w:szCs w:val="18"/>
              </w:rPr>
            </w:pPr>
            <w:r w:rsidRPr="00E61612">
              <w:rPr>
                <w:rFonts w:cs="Calibri"/>
                <w:b/>
                <w:bCs/>
                <w:color w:val="000000"/>
                <w:sz w:val="18"/>
                <w:szCs w:val="18"/>
              </w:rPr>
              <w:t>A4.3.1</w:t>
            </w:r>
          </w:p>
        </w:tc>
        <w:tc>
          <w:tcPr>
            <w:tcW w:w="4383" w:type="dxa"/>
            <w:tcBorders>
              <w:top w:val="nil"/>
              <w:left w:val="nil"/>
              <w:bottom w:val="single" w:sz="4" w:space="0" w:color="auto"/>
              <w:right w:val="single" w:sz="4" w:space="0" w:color="auto"/>
            </w:tcBorders>
            <w:shd w:val="clear" w:color="auto" w:fill="auto"/>
            <w:hideMark/>
          </w:tcPr>
          <w:p w:rsidR="00B951B1" w:rsidRPr="00E61612" w:rsidRDefault="00B951B1" w:rsidP="00CB78E6">
            <w:pPr>
              <w:rPr>
                <w:rFonts w:cs="Calibri"/>
                <w:sz w:val="18"/>
                <w:szCs w:val="18"/>
              </w:rPr>
            </w:pPr>
            <w:r w:rsidRPr="00E61612">
              <w:rPr>
                <w:rFonts w:cs="Calibri"/>
                <w:sz w:val="18"/>
                <w:szCs w:val="18"/>
              </w:rPr>
              <w:t xml:space="preserve">Kontraktimi </w:t>
            </w:r>
            <w:r>
              <w:rPr>
                <w:rFonts w:cs="Calibri"/>
                <w:sz w:val="18"/>
                <w:szCs w:val="18"/>
              </w:rPr>
              <w:t xml:space="preserve">i </w:t>
            </w:r>
            <w:r w:rsidRPr="00E61612">
              <w:rPr>
                <w:rFonts w:cs="Calibri"/>
                <w:sz w:val="18"/>
                <w:szCs w:val="18"/>
              </w:rPr>
              <w:t>shërbimit të internetit për shkollat</w:t>
            </w:r>
          </w:p>
        </w:tc>
        <w:tc>
          <w:tcPr>
            <w:tcW w:w="1092" w:type="dxa"/>
            <w:tcBorders>
              <w:top w:val="nil"/>
              <w:left w:val="nil"/>
              <w:bottom w:val="single" w:sz="4" w:space="0" w:color="auto"/>
              <w:right w:val="single" w:sz="4" w:space="0" w:color="auto"/>
            </w:tcBorders>
            <w:shd w:val="clear" w:color="000000" w:fill="FFFFFF"/>
            <w:noWrap/>
            <w:hideMark/>
          </w:tcPr>
          <w:p w:rsidR="00B951B1" w:rsidRPr="00E61612" w:rsidRDefault="00B951B1" w:rsidP="00CB78E6">
            <w:pPr>
              <w:jc w:val="right"/>
              <w:rPr>
                <w:rFonts w:cs="Calibri"/>
                <w:color w:val="000000"/>
                <w:sz w:val="18"/>
                <w:szCs w:val="18"/>
              </w:rPr>
            </w:pPr>
            <w:r w:rsidRPr="00E61612">
              <w:rPr>
                <w:color w:val="000000"/>
                <w:sz w:val="18"/>
                <w:szCs w:val="18"/>
              </w:rPr>
              <w:t>1,524,096</w:t>
            </w:r>
          </w:p>
        </w:tc>
        <w:tc>
          <w:tcPr>
            <w:tcW w:w="1128" w:type="dxa"/>
            <w:tcBorders>
              <w:top w:val="nil"/>
              <w:left w:val="nil"/>
              <w:bottom w:val="single" w:sz="4" w:space="0" w:color="auto"/>
              <w:right w:val="single" w:sz="4" w:space="0" w:color="auto"/>
            </w:tcBorders>
            <w:shd w:val="clear" w:color="000000" w:fill="FFFFFF"/>
            <w:noWrap/>
            <w:hideMark/>
          </w:tcPr>
          <w:p w:rsidR="00B951B1" w:rsidRPr="00E61612" w:rsidRDefault="00B951B1" w:rsidP="00CB78E6">
            <w:pPr>
              <w:jc w:val="right"/>
              <w:rPr>
                <w:rFonts w:cs="Calibri"/>
                <w:color w:val="000000"/>
                <w:sz w:val="18"/>
                <w:szCs w:val="18"/>
              </w:rPr>
            </w:pPr>
            <w:r w:rsidRPr="00E61612">
              <w:rPr>
                <w:color w:val="000000"/>
                <w:sz w:val="18"/>
                <w:szCs w:val="18"/>
              </w:rPr>
              <w:t>435,456</w:t>
            </w:r>
          </w:p>
        </w:tc>
        <w:tc>
          <w:tcPr>
            <w:tcW w:w="988" w:type="dxa"/>
            <w:tcBorders>
              <w:top w:val="nil"/>
              <w:left w:val="nil"/>
              <w:bottom w:val="single" w:sz="4" w:space="0" w:color="auto"/>
              <w:right w:val="single" w:sz="4" w:space="0" w:color="auto"/>
            </w:tcBorders>
            <w:shd w:val="clear" w:color="000000" w:fill="FFFFFF"/>
            <w:noWrap/>
            <w:hideMark/>
          </w:tcPr>
          <w:p w:rsidR="00B951B1" w:rsidRPr="00E61612" w:rsidRDefault="00B951B1" w:rsidP="00CB78E6">
            <w:pPr>
              <w:jc w:val="right"/>
              <w:rPr>
                <w:rFonts w:cs="Calibri"/>
                <w:color w:val="000000"/>
                <w:sz w:val="18"/>
                <w:szCs w:val="18"/>
              </w:rPr>
            </w:pPr>
            <w:r w:rsidRPr="00E61612">
              <w:rPr>
                <w:color w:val="000000"/>
                <w:sz w:val="18"/>
                <w:szCs w:val="18"/>
              </w:rPr>
              <w:t>-</w:t>
            </w:r>
          </w:p>
        </w:tc>
        <w:tc>
          <w:tcPr>
            <w:tcW w:w="1141" w:type="dxa"/>
            <w:tcBorders>
              <w:top w:val="nil"/>
              <w:left w:val="nil"/>
              <w:bottom w:val="single" w:sz="4" w:space="0" w:color="auto"/>
              <w:right w:val="single" w:sz="8" w:space="0" w:color="auto"/>
            </w:tcBorders>
            <w:shd w:val="clear" w:color="000000" w:fill="FFFFFF"/>
            <w:noWrap/>
            <w:hideMark/>
          </w:tcPr>
          <w:p w:rsidR="00B951B1" w:rsidRPr="00E61612" w:rsidRDefault="00B951B1" w:rsidP="00CB78E6">
            <w:pPr>
              <w:jc w:val="right"/>
              <w:rPr>
                <w:rFonts w:cs="Calibri"/>
                <w:color w:val="000000"/>
                <w:sz w:val="18"/>
                <w:szCs w:val="18"/>
              </w:rPr>
            </w:pPr>
            <w:r w:rsidRPr="00E61612">
              <w:rPr>
                <w:color w:val="000000"/>
                <w:sz w:val="18"/>
                <w:szCs w:val="18"/>
              </w:rPr>
              <w:t>(1,088,640)</w:t>
            </w:r>
          </w:p>
        </w:tc>
      </w:tr>
      <w:tr w:rsidR="00B951B1" w:rsidRPr="00E61612" w:rsidTr="00CB78E6">
        <w:trPr>
          <w:trHeight w:val="255"/>
          <w:jc w:val="center"/>
        </w:trPr>
        <w:tc>
          <w:tcPr>
            <w:tcW w:w="817" w:type="dxa"/>
            <w:tcBorders>
              <w:top w:val="nil"/>
              <w:left w:val="nil"/>
              <w:bottom w:val="nil"/>
              <w:right w:val="nil"/>
            </w:tcBorders>
            <w:shd w:val="clear" w:color="auto" w:fill="auto"/>
            <w:noWrap/>
            <w:hideMark/>
          </w:tcPr>
          <w:p w:rsidR="00B951B1" w:rsidRPr="00E61612" w:rsidRDefault="00B951B1" w:rsidP="00CB78E6">
            <w:pPr>
              <w:rPr>
                <w:rFonts w:cs="Calibri"/>
                <w:sz w:val="18"/>
                <w:szCs w:val="18"/>
              </w:rPr>
            </w:pPr>
          </w:p>
        </w:tc>
        <w:tc>
          <w:tcPr>
            <w:tcW w:w="4383" w:type="dxa"/>
            <w:tcBorders>
              <w:top w:val="nil"/>
              <w:left w:val="nil"/>
              <w:bottom w:val="nil"/>
              <w:right w:val="nil"/>
            </w:tcBorders>
            <w:shd w:val="clear" w:color="auto" w:fill="auto"/>
            <w:noWrap/>
            <w:hideMark/>
          </w:tcPr>
          <w:p w:rsidR="00B951B1" w:rsidRPr="00E61612" w:rsidRDefault="00B951B1" w:rsidP="00CB78E6">
            <w:pPr>
              <w:jc w:val="right"/>
              <w:rPr>
                <w:rFonts w:cs="Calibri"/>
                <w:color w:val="000000"/>
                <w:sz w:val="18"/>
                <w:szCs w:val="18"/>
              </w:rPr>
            </w:pPr>
            <w:r w:rsidRPr="00E61612">
              <w:rPr>
                <w:rFonts w:cs="Calibri"/>
                <w:color w:val="000000"/>
                <w:sz w:val="18"/>
                <w:szCs w:val="18"/>
              </w:rPr>
              <w:t>Totali</w:t>
            </w:r>
          </w:p>
        </w:tc>
        <w:tc>
          <w:tcPr>
            <w:tcW w:w="1092" w:type="dxa"/>
            <w:tcBorders>
              <w:top w:val="nil"/>
              <w:left w:val="nil"/>
              <w:bottom w:val="nil"/>
              <w:right w:val="nil"/>
            </w:tcBorders>
            <w:shd w:val="clear" w:color="000000" w:fill="FFFFFF"/>
            <w:noWrap/>
            <w:hideMark/>
          </w:tcPr>
          <w:p w:rsidR="00B951B1" w:rsidRPr="00E61612" w:rsidRDefault="00EC56B7" w:rsidP="00CB78E6">
            <w:pPr>
              <w:jc w:val="right"/>
              <w:rPr>
                <w:rFonts w:cs="Calibri"/>
                <w:b/>
                <w:sz w:val="18"/>
                <w:szCs w:val="18"/>
              </w:rPr>
            </w:pPr>
            <w:r w:rsidRPr="00E61612">
              <w:rPr>
                <w:rFonts w:cs="Calibri"/>
                <w:b/>
                <w:sz w:val="18"/>
                <w:szCs w:val="18"/>
              </w:rPr>
              <w:fldChar w:fldCharType="begin"/>
            </w:r>
            <w:r w:rsidR="00B951B1" w:rsidRPr="00E61612">
              <w:rPr>
                <w:rFonts w:cs="Calibri"/>
                <w:b/>
                <w:sz w:val="18"/>
                <w:szCs w:val="18"/>
              </w:rPr>
              <w:instrText xml:space="preserve"> =SUM(ABOVE) </w:instrText>
            </w:r>
            <w:r w:rsidRPr="00E61612">
              <w:rPr>
                <w:rFonts w:cs="Calibri"/>
                <w:b/>
                <w:sz w:val="18"/>
                <w:szCs w:val="18"/>
              </w:rPr>
              <w:fldChar w:fldCharType="separate"/>
            </w:r>
            <w:r w:rsidR="00B951B1" w:rsidRPr="00E61612">
              <w:rPr>
                <w:rFonts w:cs="Calibri"/>
                <w:b/>
                <w:sz w:val="18"/>
                <w:szCs w:val="18"/>
              </w:rPr>
              <w:t>15,115,816</w:t>
            </w:r>
            <w:r w:rsidRPr="00E61612">
              <w:rPr>
                <w:rFonts w:cs="Calibri"/>
                <w:b/>
                <w:sz w:val="18"/>
                <w:szCs w:val="18"/>
              </w:rPr>
              <w:fldChar w:fldCharType="end"/>
            </w:r>
          </w:p>
        </w:tc>
        <w:tc>
          <w:tcPr>
            <w:tcW w:w="1128" w:type="dxa"/>
            <w:tcBorders>
              <w:top w:val="nil"/>
              <w:left w:val="nil"/>
              <w:bottom w:val="nil"/>
              <w:right w:val="nil"/>
            </w:tcBorders>
            <w:shd w:val="clear" w:color="000000" w:fill="FFFFFF"/>
            <w:noWrap/>
            <w:hideMark/>
          </w:tcPr>
          <w:p w:rsidR="00B951B1" w:rsidRPr="00E61612" w:rsidRDefault="00EC56B7" w:rsidP="00CB78E6">
            <w:pPr>
              <w:jc w:val="right"/>
              <w:rPr>
                <w:rFonts w:cs="Calibri"/>
                <w:b/>
                <w:sz w:val="18"/>
                <w:szCs w:val="18"/>
              </w:rPr>
            </w:pPr>
            <w:r w:rsidRPr="00E61612">
              <w:rPr>
                <w:rFonts w:cs="Calibri"/>
                <w:b/>
                <w:sz w:val="18"/>
                <w:szCs w:val="18"/>
              </w:rPr>
              <w:fldChar w:fldCharType="begin"/>
            </w:r>
            <w:r w:rsidR="00B951B1" w:rsidRPr="00E61612">
              <w:rPr>
                <w:rFonts w:cs="Calibri"/>
                <w:b/>
                <w:sz w:val="18"/>
                <w:szCs w:val="18"/>
              </w:rPr>
              <w:instrText xml:space="preserve"> =SUM(ABOVE) </w:instrText>
            </w:r>
            <w:r w:rsidRPr="00E61612">
              <w:rPr>
                <w:rFonts w:cs="Calibri"/>
                <w:b/>
                <w:sz w:val="18"/>
                <w:szCs w:val="18"/>
              </w:rPr>
              <w:fldChar w:fldCharType="separate"/>
            </w:r>
            <w:r w:rsidR="00B951B1" w:rsidRPr="00E61612">
              <w:rPr>
                <w:rFonts w:cs="Calibri"/>
                <w:b/>
                <w:sz w:val="18"/>
                <w:szCs w:val="18"/>
              </w:rPr>
              <w:t>435,456</w:t>
            </w:r>
            <w:r w:rsidRPr="00E61612">
              <w:rPr>
                <w:rFonts w:cs="Calibri"/>
                <w:b/>
                <w:sz w:val="18"/>
                <w:szCs w:val="18"/>
              </w:rPr>
              <w:fldChar w:fldCharType="end"/>
            </w:r>
          </w:p>
        </w:tc>
        <w:tc>
          <w:tcPr>
            <w:tcW w:w="988" w:type="dxa"/>
            <w:tcBorders>
              <w:top w:val="nil"/>
              <w:left w:val="nil"/>
              <w:bottom w:val="nil"/>
              <w:right w:val="nil"/>
            </w:tcBorders>
            <w:shd w:val="clear" w:color="000000" w:fill="FFFFFF"/>
            <w:noWrap/>
            <w:hideMark/>
          </w:tcPr>
          <w:p w:rsidR="00B951B1" w:rsidRPr="00E61612" w:rsidRDefault="00EC56B7" w:rsidP="00CB78E6">
            <w:pPr>
              <w:jc w:val="right"/>
              <w:rPr>
                <w:rFonts w:cs="Calibri"/>
                <w:b/>
                <w:sz w:val="18"/>
                <w:szCs w:val="18"/>
              </w:rPr>
            </w:pPr>
            <w:r w:rsidRPr="00E61612">
              <w:rPr>
                <w:rFonts w:cs="Calibri"/>
                <w:b/>
                <w:sz w:val="18"/>
                <w:szCs w:val="18"/>
              </w:rPr>
              <w:fldChar w:fldCharType="begin"/>
            </w:r>
            <w:r w:rsidR="00B951B1" w:rsidRPr="00E61612">
              <w:rPr>
                <w:rFonts w:cs="Calibri"/>
                <w:b/>
                <w:sz w:val="18"/>
                <w:szCs w:val="18"/>
              </w:rPr>
              <w:instrText xml:space="preserve"> =SUM(ABOVE) </w:instrText>
            </w:r>
            <w:r w:rsidRPr="00E61612">
              <w:rPr>
                <w:rFonts w:cs="Calibri"/>
                <w:b/>
                <w:sz w:val="18"/>
                <w:szCs w:val="18"/>
              </w:rPr>
              <w:fldChar w:fldCharType="separate"/>
            </w:r>
            <w:r w:rsidR="00B951B1" w:rsidRPr="00E61612">
              <w:rPr>
                <w:rFonts w:cs="Calibri"/>
                <w:b/>
                <w:sz w:val="18"/>
                <w:szCs w:val="18"/>
              </w:rPr>
              <w:t>60,000</w:t>
            </w:r>
            <w:r w:rsidRPr="00E61612">
              <w:rPr>
                <w:rFonts w:cs="Calibri"/>
                <w:b/>
                <w:sz w:val="18"/>
                <w:szCs w:val="18"/>
              </w:rPr>
              <w:fldChar w:fldCharType="end"/>
            </w:r>
          </w:p>
        </w:tc>
        <w:tc>
          <w:tcPr>
            <w:tcW w:w="1141" w:type="dxa"/>
            <w:tcBorders>
              <w:top w:val="nil"/>
              <w:left w:val="nil"/>
              <w:bottom w:val="nil"/>
              <w:right w:val="nil"/>
            </w:tcBorders>
            <w:shd w:val="clear" w:color="000000" w:fill="FFFFFF"/>
            <w:noWrap/>
            <w:hideMark/>
          </w:tcPr>
          <w:p w:rsidR="00B951B1" w:rsidRPr="00E61612" w:rsidRDefault="00EC56B7" w:rsidP="00CB78E6">
            <w:pPr>
              <w:jc w:val="right"/>
              <w:rPr>
                <w:rFonts w:cs="Calibri"/>
                <w:b/>
                <w:sz w:val="18"/>
                <w:szCs w:val="18"/>
              </w:rPr>
            </w:pPr>
            <w:r w:rsidRPr="00E61612">
              <w:rPr>
                <w:rFonts w:cs="Calibri"/>
                <w:b/>
                <w:sz w:val="18"/>
                <w:szCs w:val="18"/>
              </w:rPr>
              <w:fldChar w:fldCharType="begin"/>
            </w:r>
            <w:r w:rsidR="00B951B1" w:rsidRPr="00E61612">
              <w:rPr>
                <w:rFonts w:cs="Calibri"/>
                <w:b/>
                <w:sz w:val="18"/>
                <w:szCs w:val="18"/>
              </w:rPr>
              <w:instrText xml:space="preserve"> =SUM(ABOVE) </w:instrText>
            </w:r>
            <w:r w:rsidRPr="00E61612">
              <w:rPr>
                <w:rFonts w:cs="Calibri"/>
                <w:b/>
                <w:sz w:val="18"/>
                <w:szCs w:val="18"/>
              </w:rPr>
              <w:fldChar w:fldCharType="separate"/>
            </w:r>
            <w:r w:rsidR="00B951B1" w:rsidRPr="00E61612">
              <w:rPr>
                <w:rFonts w:cs="Calibri"/>
                <w:b/>
                <w:sz w:val="18"/>
                <w:szCs w:val="18"/>
              </w:rPr>
              <w:t>(7,557,885)</w:t>
            </w:r>
            <w:r w:rsidRPr="00E61612">
              <w:rPr>
                <w:rFonts w:cs="Calibri"/>
                <w:b/>
                <w:sz w:val="18"/>
                <w:szCs w:val="18"/>
              </w:rPr>
              <w:fldChar w:fldCharType="end"/>
            </w:r>
          </w:p>
        </w:tc>
      </w:tr>
    </w:tbl>
    <w:p w:rsidR="00B951B1" w:rsidRPr="00E61612" w:rsidRDefault="00B951B1" w:rsidP="00B951B1">
      <w:pPr>
        <w:rPr>
          <w:rFonts w:cs="Calibri"/>
        </w:rPr>
        <w:sectPr w:rsidR="00B951B1" w:rsidRPr="00E61612" w:rsidSect="008E0DF0">
          <w:headerReference w:type="even" r:id="rId37"/>
          <w:footerReference w:type="even" r:id="rId38"/>
          <w:footerReference w:type="default" r:id="rId39"/>
          <w:pgSz w:w="12240" w:h="15840" w:code="1"/>
          <w:pgMar w:top="1440" w:right="1467" w:bottom="1440" w:left="1440" w:header="720" w:footer="720" w:gutter="0"/>
          <w:cols w:space="720"/>
          <w:titlePg/>
          <w:docGrid w:linePitch="360"/>
        </w:sectPr>
      </w:pPr>
    </w:p>
    <w:p w:rsidR="00B951B1" w:rsidRPr="00E61612" w:rsidRDefault="00B951B1" w:rsidP="00B951B1">
      <w:pPr>
        <w:pStyle w:val="Heading1"/>
        <w:jc w:val="both"/>
      </w:pPr>
      <w:bookmarkStart w:id="151" w:name="_Toc66802032"/>
      <w:r w:rsidRPr="00E61612">
        <w:lastRenderedPageBreak/>
        <w:t xml:space="preserve">Aneksi 1: Formati i planit te veprimit </w:t>
      </w:r>
      <w:r>
        <w:t>i</w:t>
      </w:r>
      <w:r w:rsidRPr="00E61612">
        <w:t xml:space="preserve"> përmbledhur</w:t>
      </w:r>
      <w:bookmarkEnd w:id="151"/>
    </w:p>
    <w:p w:rsidR="00B951B1" w:rsidRPr="00E61612" w:rsidRDefault="00B951B1" w:rsidP="00B951B1">
      <w:pPr>
        <w:autoSpaceDE w:val="0"/>
        <w:autoSpaceDN w:val="0"/>
        <w:adjustRightInd w:val="0"/>
        <w:spacing w:after="0"/>
        <w:rPr>
          <w:rFonts w:ascii="Calibri-Light" w:hAnsi="Calibri-Light" w:cs="Calibri-Light"/>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50"/>
      </w:tblGrid>
      <w:tr w:rsidR="00B951B1" w:rsidRPr="00E61612" w:rsidTr="00CB78E6">
        <w:trPr>
          <w:trHeight w:val="375"/>
        </w:trPr>
        <w:tc>
          <w:tcPr>
            <w:tcW w:w="5000" w:type="pct"/>
            <w:shd w:val="clear" w:color="000000" w:fill="F2F2F2"/>
            <w:hideMark/>
          </w:tcPr>
          <w:p w:rsidR="00B951B1" w:rsidRPr="00E61612" w:rsidRDefault="00B951B1" w:rsidP="00CB78E6">
            <w:pPr>
              <w:spacing w:after="0"/>
              <w:jc w:val="center"/>
              <w:rPr>
                <w:rFonts w:eastAsia="Times New Roman" w:cs="Calibri"/>
                <w:b/>
                <w:bCs/>
                <w:color w:val="000000"/>
                <w:sz w:val="18"/>
                <w:szCs w:val="18"/>
              </w:rPr>
            </w:pPr>
            <w:r w:rsidRPr="00E61612">
              <w:rPr>
                <w:rFonts w:eastAsia="Times New Roman" w:cs="Calibri"/>
                <w:b/>
                <w:bCs/>
                <w:color w:val="000000"/>
                <w:sz w:val="18"/>
                <w:szCs w:val="18"/>
              </w:rPr>
              <w:t>PLANI I VEPRIMIT N</w:t>
            </w:r>
            <w:r>
              <w:rPr>
                <w:rFonts w:eastAsia="Times New Roman" w:cs="Calibri"/>
                <w:b/>
                <w:bCs/>
                <w:color w:val="000000"/>
                <w:sz w:val="18"/>
                <w:szCs w:val="18"/>
              </w:rPr>
              <w:t>Ë</w:t>
            </w:r>
            <w:r w:rsidRPr="00E61612">
              <w:rPr>
                <w:rFonts w:eastAsia="Times New Roman" w:cs="Calibri"/>
                <w:b/>
                <w:bCs/>
                <w:color w:val="000000"/>
                <w:sz w:val="18"/>
                <w:szCs w:val="18"/>
              </w:rPr>
              <w:t xml:space="preserve"> ZBATIM T</w:t>
            </w:r>
            <w:r>
              <w:rPr>
                <w:rFonts w:eastAsia="Times New Roman" w:cs="Calibri"/>
                <w:b/>
                <w:bCs/>
                <w:color w:val="000000"/>
                <w:sz w:val="18"/>
                <w:szCs w:val="18"/>
              </w:rPr>
              <w:t>Ë</w:t>
            </w:r>
            <w:r w:rsidRPr="00E61612">
              <w:rPr>
                <w:rFonts w:eastAsia="Times New Roman" w:cs="Calibri"/>
                <w:b/>
                <w:bCs/>
                <w:color w:val="000000"/>
                <w:sz w:val="18"/>
                <w:szCs w:val="18"/>
              </w:rPr>
              <w:t xml:space="preserve"> DOKUMENTIT STRATEGJIK   (2021-2026)</w:t>
            </w:r>
          </w:p>
        </w:tc>
      </w:tr>
      <w:tr w:rsidR="00B951B1" w:rsidRPr="00E61612" w:rsidTr="00CB78E6">
        <w:trPr>
          <w:trHeight w:val="504"/>
        </w:trPr>
        <w:tc>
          <w:tcPr>
            <w:tcW w:w="5000" w:type="pct"/>
            <w:shd w:val="clear" w:color="000000" w:fill="F2F2F2"/>
            <w:hideMark/>
          </w:tcPr>
          <w:p w:rsidR="00B951B1" w:rsidRPr="00E61612" w:rsidRDefault="00B951B1" w:rsidP="00CB78E6">
            <w:pPr>
              <w:spacing w:after="0"/>
              <w:rPr>
                <w:rFonts w:eastAsia="Times New Roman" w:cs="Calibri"/>
                <w:b/>
                <w:bCs/>
                <w:color w:val="000000"/>
                <w:sz w:val="18"/>
                <w:szCs w:val="18"/>
              </w:rPr>
            </w:pPr>
            <w:r w:rsidRPr="00E61612">
              <w:rPr>
                <w:rFonts w:eastAsia="Times New Roman" w:cs="Calibri"/>
                <w:b/>
                <w:bCs/>
                <w:color w:val="000000"/>
                <w:sz w:val="18"/>
                <w:szCs w:val="18"/>
              </w:rPr>
              <w:t>I. Q</w:t>
            </w:r>
            <w:r>
              <w:rPr>
                <w:rFonts w:eastAsia="Times New Roman" w:cs="Calibri"/>
                <w:b/>
                <w:bCs/>
                <w:color w:val="000000"/>
                <w:sz w:val="18"/>
                <w:szCs w:val="18"/>
              </w:rPr>
              <w:t>Ë</w:t>
            </w:r>
            <w:r w:rsidRPr="00E61612">
              <w:rPr>
                <w:rFonts w:eastAsia="Times New Roman" w:cs="Calibri"/>
                <w:b/>
                <w:bCs/>
                <w:color w:val="000000"/>
                <w:sz w:val="18"/>
                <w:szCs w:val="18"/>
              </w:rPr>
              <w:t xml:space="preserve">LLIMI STRATEGJIK </w:t>
            </w:r>
            <w:r w:rsidRPr="00E61612">
              <w:rPr>
                <w:rFonts w:eastAsia="Times New Roman" w:cs="Calibri"/>
                <w:color w:val="000000"/>
                <w:sz w:val="18"/>
                <w:szCs w:val="18"/>
              </w:rPr>
              <w:t xml:space="preserve">“Sistem arsimor gjithëpërfshirës dhe i bazuar në parimet e barazisë dhe mësimit gjatë gjithë jetës, që mundëson formimin cilësor të të gjithë individëve, duke kontribuar në mirëqenien personale të tyre, si dhe në forcimin e demokracisë dhe integrimin e vendit në Bashkimin Evropian” </w:t>
            </w:r>
          </w:p>
        </w:tc>
      </w:tr>
      <w:tr w:rsidR="00B951B1" w:rsidRPr="00E61612" w:rsidTr="00CB78E6">
        <w:trPr>
          <w:trHeight w:val="425"/>
        </w:trPr>
        <w:tc>
          <w:tcPr>
            <w:tcW w:w="5000" w:type="pct"/>
            <w:shd w:val="clear" w:color="000000" w:fill="F2F2F2"/>
            <w:hideMark/>
          </w:tcPr>
          <w:p w:rsidR="00B951B1" w:rsidRPr="00E61612" w:rsidRDefault="00B951B1" w:rsidP="00CB78E6">
            <w:pPr>
              <w:spacing w:after="0"/>
              <w:rPr>
                <w:rFonts w:eastAsia="Times New Roman" w:cs="Calibri"/>
                <w:b/>
                <w:bCs/>
                <w:color w:val="000000"/>
                <w:sz w:val="18"/>
                <w:szCs w:val="18"/>
              </w:rPr>
            </w:pPr>
            <w:r w:rsidRPr="00E61612">
              <w:rPr>
                <w:rFonts w:eastAsia="Times New Roman" w:cs="Calibri"/>
                <w:b/>
                <w:bCs/>
                <w:color w:val="000000"/>
                <w:sz w:val="18"/>
                <w:szCs w:val="18"/>
              </w:rPr>
              <w:t xml:space="preserve">II. Qëllimi i politikës A: </w:t>
            </w:r>
            <w:r w:rsidRPr="00E61612">
              <w:rPr>
                <w:rFonts w:eastAsia="Times New Roman" w:cs="Calibri"/>
                <w:color w:val="000000"/>
                <w:sz w:val="18"/>
                <w:szCs w:val="18"/>
              </w:rPr>
              <w:t xml:space="preserve">Arsim parauniversitar cilësor dhe gjithëpërfshirës që krijon kushte </w:t>
            </w:r>
            <w:r>
              <w:rPr>
                <w:rFonts w:eastAsia="Times New Roman" w:cs="Calibri"/>
                <w:color w:val="000000"/>
                <w:sz w:val="18"/>
                <w:szCs w:val="18"/>
              </w:rPr>
              <w:t xml:space="preserve">në mënyrë </w:t>
            </w:r>
            <w:r w:rsidRPr="00E61612">
              <w:rPr>
                <w:rFonts w:eastAsia="Times New Roman" w:cs="Calibri"/>
                <w:color w:val="000000"/>
                <w:sz w:val="18"/>
                <w:szCs w:val="18"/>
              </w:rPr>
              <w:t xml:space="preserve">që nxënësit të zhvillojnë njohuri, shkathtësi, qëndrime dhe vlera në </w:t>
            </w:r>
            <w:r>
              <w:rPr>
                <w:rFonts w:eastAsia="Times New Roman" w:cs="Calibri"/>
                <w:color w:val="000000"/>
                <w:sz w:val="18"/>
                <w:szCs w:val="18"/>
              </w:rPr>
              <w:t>përputhje</w:t>
            </w:r>
            <w:r w:rsidRPr="00E61612">
              <w:rPr>
                <w:rFonts w:eastAsia="Times New Roman" w:cs="Calibri"/>
                <w:color w:val="000000"/>
                <w:sz w:val="18"/>
                <w:szCs w:val="18"/>
              </w:rPr>
              <w:t xml:space="preserve"> me kërkesat e shoqërisë demokratike; të përballen në mënyrë konstruktive me sfidat e jetës, si dhe të kontribuojnë në ndërtimin e mirëqenies vetjake dhe të shoqërisë</w:t>
            </w:r>
          </w:p>
        </w:tc>
      </w:tr>
      <w:tr w:rsidR="00B951B1" w:rsidRPr="00E61612" w:rsidTr="00CB78E6">
        <w:trPr>
          <w:trHeight w:val="390"/>
        </w:trPr>
        <w:tc>
          <w:tcPr>
            <w:tcW w:w="5000" w:type="pct"/>
            <w:shd w:val="clear" w:color="000000" w:fill="E7E6E6"/>
            <w:hideMark/>
          </w:tcPr>
          <w:p w:rsidR="00B951B1" w:rsidRPr="00E61612" w:rsidRDefault="00B951B1" w:rsidP="00CB78E6">
            <w:pPr>
              <w:spacing w:after="0"/>
              <w:rPr>
                <w:rFonts w:eastAsia="Times New Roman" w:cs="Calibri"/>
                <w:b/>
                <w:bCs/>
                <w:color w:val="000000"/>
                <w:sz w:val="18"/>
                <w:szCs w:val="18"/>
              </w:rPr>
            </w:pPr>
            <w:r w:rsidRPr="00E61612">
              <w:rPr>
                <w:rFonts w:eastAsia="Times New Roman" w:cs="Calibri"/>
                <w:b/>
                <w:bCs/>
                <w:color w:val="000000"/>
                <w:sz w:val="18"/>
                <w:szCs w:val="18"/>
              </w:rPr>
              <w:t xml:space="preserve">III. PROGRAMI BUXHETOR:  </w:t>
            </w:r>
            <w:r w:rsidRPr="00E61612">
              <w:rPr>
                <w:rFonts w:eastAsia="Times New Roman" w:cs="Calibri"/>
                <w:color w:val="000000"/>
                <w:sz w:val="18"/>
                <w:szCs w:val="18"/>
              </w:rPr>
              <w:t>Programi buxhetor i MASR “09120 – Arsimi bazë (përfshirë parashkollorin)” dhe “09230 – Arsimi i mesëm i lartë”</w:t>
            </w:r>
          </w:p>
        </w:tc>
      </w:tr>
    </w:tbl>
    <w:p w:rsidR="00B951B1" w:rsidRPr="00E61612" w:rsidRDefault="00B951B1" w:rsidP="00B951B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0"/>
        <w:gridCol w:w="2492"/>
        <w:gridCol w:w="1154"/>
        <w:gridCol w:w="1080"/>
        <w:gridCol w:w="742"/>
        <w:gridCol w:w="934"/>
        <w:gridCol w:w="1768"/>
        <w:gridCol w:w="1345"/>
        <w:gridCol w:w="1243"/>
        <w:gridCol w:w="1442"/>
      </w:tblGrid>
      <w:tr w:rsidR="00B951B1" w:rsidRPr="00E61612" w:rsidTr="00CB78E6">
        <w:trPr>
          <w:trHeight w:val="330"/>
          <w:tblHeader/>
        </w:trPr>
        <w:tc>
          <w:tcPr>
            <w:tcW w:w="0" w:type="auto"/>
            <w:vMerge w:val="restart"/>
            <w:shd w:val="clear" w:color="000000" w:fill="FFFFFF"/>
            <w:hideMark/>
          </w:tcPr>
          <w:p w:rsidR="00B951B1" w:rsidRPr="00E61612" w:rsidRDefault="00B951B1" w:rsidP="00CB78E6">
            <w:pPr>
              <w:spacing w:after="0"/>
              <w:jc w:val="center"/>
              <w:rPr>
                <w:rFonts w:eastAsia="Times New Roman" w:cs="Calibri"/>
                <w:b/>
                <w:bCs/>
                <w:color w:val="000000"/>
                <w:sz w:val="18"/>
                <w:szCs w:val="18"/>
              </w:rPr>
            </w:pPr>
            <w:r w:rsidRPr="00E61612">
              <w:rPr>
                <w:rFonts w:eastAsia="Times New Roman" w:cs="Calibri"/>
                <w:b/>
                <w:bCs/>
                <w:color w:val="000000"/>
                <w:sz w:val="18"/>
                <w:szCs w:val="18"/>
              </w:rPr>
              <w:t> </w:t>
            </w:r>
          </w:p>
          <w:p w:rsidR="00B951B1" w:rsidRPr="00E61612" w:rsidRDefault="00B951B1" w:rsidP="00CB78E6">
            <w:pPr>
              <w:spacing w:after="0"/>
              <w:jc w:val="center"/>
              <w:rPr>
                <w:rFonts w:eastAsia="Times New Roman" w:cs="Calibri"/>
                <w:b/>
                <w:bCs/>
                <w:color w:val="000000"/>
                <w:sz w:val="18"/>
                <w:szCs w:val="18"/>
              </w:rPr>
            </w:pPr>
            <w:r w:rsidRPr="00E61612">
              <w:rPr>
                <w:rFonts w:eastAsia="Times New Roman" w:cs="Calibri"/>
                <w:b/>
                <w:bCs/>
                <w:color w:val="000000"/>
                <w:sz w:val="18"/>
                <w:szCs w:val="18"/>
              </w:rPr>
              <w:t>Nr.</w:t>
            </w:r>
          </w:p>
        </w:tc>
        <w:tc>
          <w:tcPr>
            <w:tcW w:w="0" w:type="auto"/>
            <w:vMerge w:val="restart"/>
            <w:shd w:val="clear" w:color="000000" w:fill="FFFFFF"/>
            <w:hideMark/>
          </w:tcPr>
          <w:p w:rsidR="00B951B1" w:rsidRPr="00E61612" w:rsidRDefault="00B951B1" w:rsidP="00CB78E6">
            <w:pPr>
              <w:spacing w:after="0"/>
              <w:jc w:val="center"/>
              <w:rPr>
                <w:rFonts w:eastAsia="Times New Roman" w:cs="Calibri"/>
                <w:b/>
                <w:bCs/>
                <w:color w:val="000000"/>
                <w:sz w:val="18"/>
                <w:szCs w:val="18"/>
              </w:rPr>
            </w:pPr>
            <w:r w:rsidRPr="00E61612">
              <w:rPr>
                <w:rFonts w:eastAsia="Times New Roman" w:cs="Calibri"/>
                <w:b/>
                <w:bCs/>
                <w:color w:val="000000"/>
                <w:sz w:val="18"/>
                <w:szCs w:val="18"/>
              </w:rPr>
              <w:t> </w:t>
            </w:r>
          </w:p>
          <w:p w:rsidR="00B951B1" w:rsidRPr="00E61612" w:rsidRDefault="00B951B1" w:rsidP="00CB78E6">
            <w:pPr>
              <w:spacing w:after="0"/>
              <w:jc w:val="center"/>
              <w:rPr>
                <w:rFonts w:eastAsia="Times New Roman" w:cs="Calibri"/>
                <w:b/>
                <w:bCs/>
                <w:color w:val="000000"/>
                <w:sz w:val="18"/>
                <w:szCs w:val="18"/>
              </w:rPr>
            </w:pPr>
            <w:r w:rsidRPr="00E61612">
              <w:rPr>
                <w:rFonts w:eastAsia="Times New Roman" w:cs="Calibri"/>
                <w:b/>
                <w:bCs/>
                <w:color w:val="000000"/>
                <w:sz w:val="18"/>
                <w:szCs w:val="18"/>
              </w:rPr>
              <w:t xml:space="preserve"> Objektivi specifik, produkti, </w:t>
            </w:r>
          </w:p>
          <w:p w:rsidR="00B951B1" w:rsidRPr="00E61612" w:rsidRDefault="00B951B1" w:rsidP="00CB78E6">
            <w:pPr>
              <w:spacing w:after="0"/>
              <w:jc w:val="center"/>
              <w:rPr>
                <w:rFonts w:eastAsia="Times New Roman" w:cs="Calibri"/>
                <w:b/>
                <w:bCs/>
                <w:color w:val="000000"/>
                <w:sz w:val="18"/>
                <w:szCs w:val="18"/>
              </w:rPr>
            </w:pPr>
            <w:r w:rsidRPr="00E61612">
              <w:rPr>
                <w:rFonts w:eastAsia="Times New Roman" w:cs="Calibri"/>
                <w:b/>
                <w:bCs/>
                <w:color w:val="000000"/>
                <w:sz w:val="18"/>
                <w:szCs w:val="18"/>
              </w:rPr>
              <w:t>masa</w:t>
            </w:r>
          </w:p>
        </w:tc>
        <w:tc>
          <w:tcPr>
            <w:tcW w:w="0" w:type="auto"/>
            <w:gridSpan w:val="2"/>
            <w:vMerge w:val="restart"/>
            <w:shd w:val="clear" w:color="000000" w:fill="FFFFFF"/>
            <w:hideMark/>
          </w:tcPr>
          <w:p w:rsidR="00B951B1" w:rsidRPr="00E61612" w:rsidRDefault="00B951B1" w:rsidP="00CB78E6">
            <w:pPr>
              <w:spacing w:after="0"/>
              <w:jc w:val="center"/>
              <w:rPr>
                <w:rFonts w:eastAsia="Times New Roman" w:cs="Calibri"/>
                <w:b/>
                <w:bCs/>
                <w:color w:val="000000"/>
                <w:sz w:val="18"/>
                <w:szCs w:val="18"/>
              </w:rPr>
            </w:pPr>
            <w:r w:rsidRPr="00E61612">
              <w:rPr>
                <w:rFonts w:eastAsia="Times New Roman" w:cs="Calibri"/>
                <w:b/>
                <w:bCs/>
                <w:color w:val="000000"/>
                <w:sz w:val="18"/>
                <w:szCs w:val="18"/>
              </w:rPr>
              <w:t> </w:t>
            </w:r>
          </w:p>
          <w:p w:rsidR="00B951B1" w:rsidRPr="00E61612" w:rsidRDefault="00B951B1" w:rsidP="00CB78E6">
            <w:pPr>
              <w:spacing w:after="0"/>
              <w:jc w:val="center"/>
              <w:rPr>
                <w:rFonts w:eastAsia="Times New Roman" w:cs="Calibri"/>
                <w:b/>
                <w:bCs/>
                <w:color w:val="000000"/>
                <w:sz w:val="18"/>
                <w:szCs w:val="18"/>
              </w:rPr>
            </w:pPr>
            <w:r w:rsidRPr="00E61612">
              <w:rPr>
                <w:rFonts w:eastAsia="Times New Roman" w:cs="Calibri"/>
                <w:b/>
                <w:bCs/>
                <w:color w:val="000000"/>
                <w:sz w:val="18"/>
                <w:szCs w:val="18"/>
              </w:rPr>
              <w:t> </w:t>
            </w:r>
          </w:p>
          <w:p w:rsidR="00B951B1" w:rsidRPr="00E61612" w:rsidRDefault="00B951B1" w:rsidP="00CB78E6">
            <w:pPr>
              <w:spacing w:after="0"/>
              <w:jc w:val="center"/>
              <w:rPr>
                <w:rFonts w:eastAsia="Times New Roman" w:cs="Calibri"/>
                <w:b/>
                <w:bCs/>
                <w:color w:val="000000"/>
                <w:sz w:val="18"/>
                <w:szCs w:val="18"/>
              </w:rPr>
            </w:pPr>
            <w:r w:rsidRPr="00E61612">
              <w:rPr>
                <w:rFonts w:eastAsia="Times New Roman" w:cs="Calibri"/>
                <w:b/>
                <w:bCs/>
                <w:color w:val="000000"/>
                <w:sz w:val="18"/>
                <w:szCs w:val="18"/>
              </w:rPr>
              <w:t xml:space="preserve">Institucionet përgjegjëse </w:t>
            </w:r>
          </w:p>
        </w:tc>
        <w:tc>
          <w:tcPr>
            <w:tcW w:w="0" w:type="auto"/>
            <w:gridSpan w:val="2"/>
            <w:vMerge w:val="restart"/>
            <w:shd w:val="clear" w:color="000000" w:fill="FFFFFF"/>
            <w:hideMark/>
          </w:tcPr>
          <w:p w:rsidR="00B951B1" w:rsidRPr="00E61612" w:rsidRDefault="00B951B1" w:rsidP="00CB78E6">
            <w:pPr>
              <w:spacing w:after="0"/>
              <w:jc w:val="center"/>
              <w:rPr>
                <w:rFonts w:eastAsia="Times New Roman" w:cs="Calibri"/>
                <w:b/>
                <w:bCs/>
                <w:color w:val="000000"/>
                <w:sz w:val="18"/>
                <w:szCs w:val="18"/>
              </w:rPr>
            </w:pPr>
            <w:r w:rsidRPr="00E61612">
              <w:rPr>
                <w:rFonts w:eastAsia="Times New Roman" w:cs="Calibri"/>
                <w:b/>
                <w:bCs/>
                <w:color w:val="000000"/>
                <w:sz w:val="18"/>
                <w:szCs w:val="18"/>
              </w:rPr>
              <w:t> </w:t>
            </w:r>
          </w:p>
          <w:p w:rsidR="00B951B1" w:rsidRPr="00E61612" w:rsidRDefault="00B951B1" w:rsidP="00CB78E6">
            <w:pPr>
              <w:spacing w:after="0"/>
              <w:jc w:val="center"/>
              <w:rPr>
                <w:rFonts w:eastAsia="Times New Roman" w:cs="Calibri"/>
                <w:b/>
                <w:bCs/>
                <w:color w:val="000000"/>
                <w:sz w:val="18"/>
                <w:szCs w:val="18"/>
              </w:rPr>
            </w:pPr>
            <w:r w:rsidRPr="00E61612">
              <w:rPr>
                <w:rFonts w:eastAsia="Times New Roman" w:cs="Calibri"/>
                <w:b/>
                <w:bCs/>
                <w:color w:val="000000"/>
                <w:sz w:val="18"/>
                <w:szCs w:val="18"/>
              </w:rPr>
              <w:t> </w:t>
            </w:r>
          </w:p>
          <w:p w:rsidR="00B951B1" w:rsidRPr="00E61612" w:rsidRDefault="00B951B1" w:rsidP="00CB78E6">
            <w:pPr>
              <w:spacing w:after="0"/>
              <w:jc w:val="center"/>
              <w:rPr>
                <w:rFonts w:eastAsia="Times New Roman" w:cs="Calibri"/>
                <w:b/>
                <w:bCs/>
                <w:color w:val="000000"/>
                <w:sz w:val="18"/>
                <w:szCs w:val="18"/>
              </w:rPr>
            </w:pPr>
            <w:r w:rsidRPr="00E61612">
              <w:rPr>
                <w:rFonts w:eastAsia="Times New Roman" w:cs="Calibri"/>
                <w:b/>
                <w:bCs/>
                <w:color w:val="000000"/>
                <w:sz w:val="18"/>
                <w:szCs w:val="18"/>
              </w:rPr>
              <w:t xml:space="preserve">Afati i zbatimit </w:t>
            </w:r>
          </w:p>
        </w:tc>
        <w:tc>
          <w:tcPr>
            <w:tcW w:w="0" w:type="auto"/>
            <w:gridSpan w:val="4"/>
            <w:shd w:val="clear" w:color="000000" w:fill="FFFFFF"/>
            <w:hideMark/>
          </w:tcPr>
          <w:p w:rsidR="00B951B1" w:rsidRPr="00E61612" w:rsidRDefault="00B951B1" w:rsidP="00CB78E6">
            <w:pPr>
              <w:spacing w:after="0"/>
              <w:jc w:val="center"/>
              <w:rPr>
                <w:rFonts w:eastAsia="Times New Roman" w:cs="Calibri"/>
                <w:b/>
                <w:bCs/>
                <w:color w:val="000000"/>
                <w:sz w:val="18"/>
                <w:szCs w:val="18"/>
              </w:rPr>
            </w:pPr>
            <w:r w:rsidRPr="00E61612">
              <w:rPr>
                <w:rFonts w:eastAsia="Times New Roman" w:cs="Calibri"/>
                <w:b/>
                <w:bCs/>
                <w:color w:val="000000"/>
                <w:sz w:val="18"/>
                <w:szCs w:val="18"/>
              </w:rPr>
              <w:t>Totali 2021-2026</w:t>
            </w:r>
          </w:p>
        </w:tc>
      </w:tr>
      <w:tr w:rsidR="00B951B1" w:rsidRPr="00E61612" w:rsidTr="00CB78E6">
        <w:trPr>
          <w:trHeight w:val="408"/>
          <w:tblHeader/>
        </w:trPr>
        <w:tc>
          <w:tcPr>
            <w:tcW w:w="0" w:type="auto"/>
            <w:vMerge/>
            <w:shd w:val="clear" w:color="auto" w:fill="auto"/>
            <w:hideMark/>
          </w:tcPr>
          <w:p w:rsidR="00B951B1" w:rsidRPr="00E61612" w:rsidRDefault="00B951B1" w:rsidP="00CB78E6">
            <w:pPr>
              <w:spacing w:after="0"/>
              <w:jc w:val="center"/>
              <w:rPr>
                <w:rFonts w:eastAsia="Times New Roman" w:cs="Calibri"/>
                <w:b/>
                <w:bCs/>
                <w:color w:val="000000"/>
                <w:sz w:val="18"/>
                <w:szCs w:val="18"/>
              </w:rPr>
            </w:pPr>
          </w:p>
        </w:tc>
        <w:tc>
          <w:tcPr>
            <w:tcW w:w="0" w:type="auto"/>
            <w:vMerge/>
            <w:shd w:val="clear" w:color="auto" w:fill="auto"/>
            <w:hideMark/>
          </w:tcPr>
          <w:p w:rsidR="00B951B1" w:rsidRPr="00E61612" w:rsidRDefault="00B951B1" w:rsidP="00CB78E6">
            <w:pPr>
              <w:spacing w:after="0"/>
              <w:jc w:val="center"/>
              <w:rPr>
                <w:rFonts w:eastAsia="Times New Roman" w:cs="Calibri"/>
                <w:b/>
                <w:bCs/>
                <w:color w:val="000000"/>
                <w:sz w:val="18"/>
                <w:szCs w:val="18"/>
              </w:rPr>
            </w:pPr>
          </w:p>
        </w:tc>
        <w:tc>
          <w:tcPr>
            <w:tcW w:w="0" w:type="auto"/>
            <w:gridSpan w:val="2"/>
            <w:vMerge/>
            <w:shd w:val="clear" w:color="auto" w:fill="auto"/>
            <w:hideMark/>
          </w:tcPr>
          <w:p w:rsidR="00B951B1" w:rsidRPr="00E61612" w:rsidRDefault="00B951B1" w:rsidP="00CB78E6">
            <w:pPr>
              <w:spacing w:after="0"/>
              <w:jc w:val="center"/>
              <w:rPr>
                <w:rFonts w:eastAsia="Times New Roman" w:cs="Calibri"/>
                <w:b/>
                <w:bCs/>
                <w:color w:val="000000"/>
                <w:sz w:val="18"/>
                <w:szCs w:val="18"/>
              </w:rPr>
            </w:pPr>
          </w:p>
        </w:tc>
        <w:tc>
          <w:tcPr>
            <w:tcW w:w="0" w:type="auto"/>
            <w:gridSpan w:val="2"/>
            <w:vMerge/>
            <w:shd w:val="clear" w:color="auto" w:fill="auto"/>
            <w:hideMark/>
          </w:tcPr>
          <w:p w:rsidR="00B951B1" w:rsidRPr="00E61612" w:rsidRDefault="00B951B1" w:rsidP="00CB78E6">
            <w:pPr>
              <w:spacing w:after="0"/>
              <w:jc w:val="center"/>
              <w:rPr>
                <w:rFonts w:eastAsia="Times New Roman" w:cs="Calibri"/>
                <w:b/>
                <w:bCs/>
                <w:color w:val="000000"/>
                <w:sz w:val="18"/>
                <w:szCs w:val="18"/>
              </w:rPr>
            </w:pPr>
          </w:p>
        </w:tc>
        <w:tc>
          <w:tcPr>
            <w:tcW w:w="0" w:type="auto"/>
            <w:vMerge w:val="restart"/>
            <w:shd w:val="clear" w:color="auto" w:fill="auto"/>
            <w:hideMark/>
          </w:tcPr>
          <w:p w:rsidR="00B951B1" w:rsidRPr="00E61612" w:rsidRDefault="00B951B1" w:rsidP="00CB78E6">
            <w:pPr>
              <w:spacing w:after="0"/>
              <w:jc w:val="center"/>
              <w:rPr>
                <w:rFonts w:eastAsia="Times New Roman" w:cs="Calibri"/>
                <w:b/>
                <w:bCs/>
                <w:color w:val="000000"/>
                <w:sz w:val="18"/>
                <w:szCs w:val="18"/>
              </w:rPr>
            </w:pPr>
            <w:r w:rsidRPr="00E61612">
              <w:rPr>
                <w:rFonts w:eastAsia="Times New Roman" w:cs="Calibri"/>
                <w:b/>
                <w:bCs/>
                <w:color w:val="000000"/>
                <w:sz w:val="18"/>
                <w:szCs w:val="18"/>
              </w:rPr>
              <w:t>Kosto indikative</w:t>
            </w:r>
          </w:p>
        </w:tc>
        <w:tc>
          <w:tcPr>
            <w:tcW w:w="0" w:type="auto"/>
            <w:gridSpan w:val="2"/>
            <w:shd w:val="clear" w:color="auto" w:fill="auto"/>
            <w:hideMark/>
          </w:tcPr>
          <w:p w:rsidR="00B951B1" w:rsidRPr="00E61612" w:rsidRDefault="00753C65" w:rsidP="00CB78E6">
            <w:pPr>
              <w:spacing w:after="0"/>
              <w:jc w:val="center"/>
              <w:rPr>
                <w:rFonts w:eastAsia="Times New Roman" w:cs="Calibri"/>
                <w:b/>
                <w:bCs/>
                <w:color w:val="000000"/>
                <w:sz w:val="18"/>
                <w:szCs w:val="18"/>
              </w:rPr>
            </w:pPr>
            <w:r>
              <w:rPr>
                <w:rFonts w:eastAsia="Times New Roman" w:cs="Calibri"/>
                <w:b/>
                <w:bCs/>
                <w:color w:val="000000"/>
                <w:sz w:val="18"/>
                <w:szCs w:val="18"/>
              </w:rPr>
              <w:t>Burimi i financimit</w:t>
            </w:r>
          </w:p>
        </w:tc>
        <w:tc>
          <w:tcPr>
            <w:tcW w:w="0" w:type="auto"/>
            <w:vMerge w:val="restart"/>
            <w:shd w:val="clear" w:color="auto" w:fill="auto"/>
            <w:hideMark/>
          </w:tcPr>
          <w:p w:rsidR="00B951B1" w:rsidRPr="00E61612" w:rsidRDefault="00B951B1" w:rsidP="00CB78E6">
            <w:pPr>
              <w:spacing w:after="0"/>
              <w:jc w:val="center"/>
              <w:rPr>
                <w:rFonts w:eastAsia="Times New Roman" w:cs="Calibri"/>
                <w:b/>
                <w:bCs/>
                <w:color w:val="000000"/>
                <w:sz w:val="18"/>
                <w:szCs w:val="18"/>
              </w:rPr>
            </w:pPr>
            <w:r w:rsidRPr="00E61612">
              <w:rPr>
                <w:rFonts w:eastAsia="Times New Roman" w:cs="Calibri"/>
                <w:b/>
                <w:bCs/>
                <w:color w:val="000000"/>
                <w:sz w:val="18"/>
                <w:szCs w:val="18"/>
              </w:rPr>
              <w:t>Hendeku financiar</w:t>
            </w:r>
          </w:p>
        </w:tc>
      </w:tr>
      <w:tr w:rsidR="00B951B1" w:rsidRPr="00E61612" w:rsidTr="00CB78E6">
        <w:trPr>
          <w:trHeight w:val="428"/>
          <w:tblHeader/>
        </w:trPr>
        <w:tc>
          <w:tcPr>
            <w:tcW w:w="0" w:type="auto"/>
            <w:vMerge/>
            <w:tcBorders>
              <w:bottom w:val="single" w:sz="4" w:space="0" w:color="auto"/>
            </w:tcBorders>
            <w:hideMark/>
          </w:tcPr>
          <w:p w:rsidR="00B951B1" w:rsidRPr="00E61612" w:rsidRDefault="00B951B1" w:rsidP="00CB78E6">
            <w:pPr>
              <w:spacing w:after="0"/>
              <w:rPr>
                <w:rFonts w:eastAsia="Times New Roman" w:cs="Calibri"/>
                <w:b/>
                <w:bCs/>
                <w:color w:val="000000"/>
                <w:sz w:val="18"/>
                <w:szCs w:val="18"/>
              </w:rPr>
            </w:pPr>
          </w:p>
        </w:tc>
        <w:tc>
          <w:tcPr>
            <w:tcW w:w="0" w:type="auto"/>
            <w:vMerge/>
            <w:tcBorders>
              <w:bottom w:val="single" w:sz="4" w:space="0" w:color="auto"/>
            </w:tcBorders>
            <w:hideMark/>
          </w:tcPr>
          <w:p w:rsidR="00B951B1" w:rsidRPr="00E61612" w:rsidRDefault="00B951B1" w:rsidP="00CB78E6">
            <w:pPr>
              <w:spacing w:after="0"/>
              <w:rPr>
                <w:rFonts w:eastAsia="Times New Roman" w:cs="Calibri"/>
                <w:b/>
                <w:bCs/>
                <w:color w:val="000000"/>
                <w:sz w:val="18"/>
                <w:szCs w:val="18"/>
              </w:rPr>
            </w:pPr>
          </w:p>
        </w:tc>
        <w:tc>
          <w:tcPr>
            <w:tcW w:w="0" w:type="auto"/>
            <w:tcBorders>
              <w:bottom w:val="single" w:sz="4" w:space="0" w:color="auto"/>
            </w:tcBorders>
            <w:shd w:val="clear" w:color="auto" w:fill="auto"/>
            <w:hideMark/>
          </w:tcPr>
          <w:p w:rsidR="00B951B1" w:rsidRPr="00E61612" w:rsidRDefault="00B951B1" w:rsidP="00CB78E6">
            <w:pPr>
              <w:spacing w:after="0"/>
              <w:jc w:val="center"/>
              <w:rPr>
                <w:rFonts w:eastAsia="Times New Roman" w:cs="Calibri"/>
                <w:color w:val="000000"/>
                <w:sz w:val="18"/>
                <w:szCs w:val="18"/>
              </w:rPr>
            </w:pPr>
            <w:r w:rsidRPr="00E61612">
              <w:rPr>
                <w:rFonts w:eastAsia="Times New Roman" w:cs="Calibri"/>
                <w:b/>
                <w:bCs/>
                <w:color w:val="000000"/>
                <w:sz w:val="18"/>
                <w:szCs w:val="18"/>
              </w:rPr>
              <w:t>Institucioni udhëheqës</w:t>
            </w:r>
          </w:p>
        </w:tc>
        <w:tc>
          <w:tcPr>
            <w:tcW w:w="0" w:type="auto"/>
            <w:tcBorders>
              <w:bottom w:val="single" w:sz="4" w:space="0" w:color="auto"/>
            </w:tcBorders>
            <w:shd w:val="clear" w:color="auto" w:fill="auto"/>
            <w:hideMark/>
          </w:tcPr>
          <w:p w:rsidR="00B951B1" w:rsidRPr="00E61612" w:rsidRDefault="00B951B1" w:rsidP="00CB78E6">
            <w:pPr>
              <w:spacing w:after="0"/>
              <w:jc w:val="center"/>
              <w:rPr>
                <w:rFonts w:eastAsia="Times New Roman" w:cs="Calibri"/>
                <w:color w:val="000000"/>
                <w:sz w:val="18"/>
                <w:szCs w:val="18"/>
              </w:rPr>
            </w:pPr>
            <w:r w:rsidRPr="00E61612">
              <w:rPr>
                <w:rFonts w:eastAsia="Times New Roman" w:cs="Calibri"/>
                <w:b/>
                <w:bCs/>
                <w:color w:val="000000"/>
                <w:sz w:val="18"/>
                <w:szCs w:val="18"/>
              </w:rPr>
              <w:t>Institucion kontribues</w:t>
            </w:r>
            <w:r w:rsidRPr="00E61612">
              <w:rPr>
                <w:rFonts w:eastAsia="Times New Roman" w:cs="Calibri"/>
                <w:color w:val="000000"/>
                <w:sz w:val="18"/>
                <w:szCs w:val="18"/>
              </w:rPr>
              <w:t xml:space="preserve"> </w:t>
            </w:r>
          </w:p>
        </w:tc>
        <w:tc>
          <w:tcPr>
            <w:tcW w:w="0" w:type="auto"/>
            <w:tcBorders>
              <w:bottom w:val="single" w:sz="4" w:space="0" w:color="auto"/>
            </w:tcBorders>
            <w:shd w:val="clear" w:color="auto" w:fill="auto"/>
            <w:hideMark/>
          </w:tcPr>
          <w:p w:rsidR="00B951B1" w:rsidRPr="00E61612" w:rsidRDefault="00B951B1" w:rsidP="00CB78E6">
            <w:pPr>
              <w:spacing w:after="0"/>
              <w:jc w:val="center"/>
              <w:rPr>
                <w:rFonts w:eastAsia="Times New Roman" w:cs="Calibri"/>
                <w:b/>
                <w:bCs/>
                <w:color w:val="000000"/>
                <w:sz w:val="18"/>
                <w:szCs w:val="18"/>
              </w:rPr>
            </w:pPr>
            <w:r w:rsidRPr="00E61612">
              <w:rPr>
                <w:rFonts w:eastAsia="Times New Roman" w:cs="Calibri"/>
                <w:b/>
                <w:bCs/>
                <w:color w:val="000000"/>
                <w:sz w:val="18"/>
                <w:szCs w:val="18"/>
              </w:rPr>
              <w:t>Afati Fillimit</w:t>
            </w:r>
          </w:p>
        </w:tc>
        <w:tc>
          <w:tcPr>
            <w:tcW w:w="0" w:type="auto"/>
            <w:tcBorders>
              <w:bottom w:val="single" w:sz="4" w:space="0" w:color="auto"/>
            </w:tcBorders>
            <w:shd w:val="clear" w:color="auto" w:fill="auto"/>
            <w:hideMark/>
          </w:tcPr>
          <w:p w:rsidR="00B951B1" w:rsidRPr="00E61612" w:rsidRDefault="00B951B1" w:rsidP="00CB78E6">
            <w:pPr>
              <w:spacing w:after="0"/>
              <w:rPr>
                <w:rFonts w:eastAsia="Times New Roman" w:cs="Calibri"/>
                <w:b/>
                <w:bCs/>
                <w:color w:val="000000"/>
                <w:sz w:val="18"/>
                <w:szCs w:val="18"/>
              </w:rPr>
            </w:pPr>
            <w:r w:rsidRPr="00E61612">
              <w:rPr>
                <w:rFonts w:eastAsia="Times New Roman" w:cs="Calibri"/>
                <w:b/>
                <w:bCs/>
                <w:color w:val="000000"/>
                <w:sz w:val="18"/>
                <w:szCs w:val="18"/>
              </w:rPr>
              <w:t>Afati Mbarimit</w:t>
            </w:r>
          </w:p>
        </w:tc>
        <w:tc>
          <w:tcPr>
            <w:tcW w:w="0" w:type="auto"/>
            <w:vMerge/>
            <w:tcBorders>
              <w:bottom w:val="single" w:sz="4" w:space="0" w:color="auto"/>
            </w:tcBorders>
            <w:hideMark/>
          </w:tcPr>
          <w:p w:rsidR="00B951B1" w:rsidRPr="00E61612" w:rsidRDefault="00B951B1" w:rsidP="00CB78E6">
            <w:pPr>
              <w:spacing w:after="0"/>
              <w:jc w:val="right"/>
              <w:rPr>
                <w:rFonts w:eastAsia="Times New Roman" w:cs="Calibri"/>
                <w:b/>
                <w:bCs/>
                <w:color w:val="000000"/>
                <w:sz w:val="18"/>
                <w:szCs w:val="18"/>
              </w:rPr>
            </w:pPr>
          </w:p>
        </w:tc>
        <w:tc>
          <w:tcPr>
            <w:tcW w:w="0" w:type="auto"/>
            <w:tcBorders>
              <w:bottom w:val="single" w:sz="4" w:space="0" w:color="auto"/>
            </w:tcBorders>
            <w:shd w:val="clear" w:color="auto" w:fill="auto"/>
            <w:hideMark/>
          </w:tcPr>
          <w:p w:rsidR="00B951B1" w:rsidRPr="00E61612" w:rsidRDefault="00B951B1" w:rsidP="00CB78E6">
            <w:pPr>
              <w:spacing w:after="0"/>
              <w:jc w:val="center"/>
              <w:rPr>
                <w:rFonts w:eastAsia="Times New Roman" w:cs="Calibri"/>
                <w:b/>
                <w:bCs/>
                <w:color w:val="000000"/>
                <w:sz w:val="18"/>
                <w:szCs w:val="18"/>
              </w:rPr>
            </w:pPr>
            <w:r w:rsidRPr="00E61612">
              <w:rPr>
                <w:rFonts w:eastAsia="Times New Roman" w:cs="Calibri"/>
                <w:b/>
                <w:bCs/>
                <w:color w:val="000000"/>
                <w:sz w:val="18"/>
                <w:szCs w:val="18"/>
              </w:rPr>
              <w:t>Buxheti i Shtetit</w:t>
            </w:r>
          </w:p>
        </w:tc>
        <w:tc>
          <w:tcPr>
            <w:tcW w:w="0" w:type="auto"/>
            <w:tcBorders>
              <w:bottom w:val="single" w:sz="4" w:space="0" w:color="auto"/>
            </w:tcBorders>
            <w:shd w:val="clear" w:color="auto" w:fill="auto"/>
            <w:hideMark/>
          </w:tcPr>
          <w:p w:rsidR="00B951B1" w:rsidRPr="00E61612" w:rsidRDefault="00B951B1" w:rsidP="00CB78E6">
            <w:pPr>
              <w:spacing w:after="0"/>
              <w:jc w:val="center"/>
              <w:rPr>
                <w:rFonts w:eastAsia="Times New Roman" w:cs="Calibri"/>
                <w:b/>
                <w:bCs/>
                <w:color w:val="000000"/>
                <w:sz w:val="18"/>
                <w:szCs w:val="18"/>
              </w:rPr>
            </w:pPr>
            <w:r w:rsidRPr="00E61612">
              <w:rPr>
                <w:rFonts w:eastAsia="Times New Roman" w:cs="Calibri"/>
                <w:b/>
                <w:bCs/>
                <w:color w:val="000000"/>
                <w:sz w:val="18"/>
                <w:szCs w:val="18"/>
              </w:rPr>
              <w:t>Financimi i huaj</w:t>
            </w:r>
          </w:p>
        </w:tc>
        <w:tc>
          <w:tcPr>
            <w:tcW w:w="0" w:type="auto"/>
            <w:vMerge/>
            <w:tcBorders>
              <w:bottom w:val="single" w:sz="4" w:space="0" w:color="auto"/>
            </w:tcBorders>
            <w:hideMark/>
          </w:tcPr>
          <w:p w:rsidR="00B951B1" w:rsidRPr="00E61612" w:rsidRDefault="00B951B1" w:rsidP="00CB78E6">
            <w:pPr>
              <w:spacing w:after="0"/>
              <w:jc w:val="right"/>
              <w:rPr>
                <w:rFonts w:eastAsia="Times New Roman" w:cs="Calibri"/>
                <w:b/>
                <w:bCs/>
                <w:color w:val="000000"/>
                <w:sz w:val="18"/>
                <w:szCs w:val="18"/>
              </w:rPr>
            </w:pPr>
          </w:p>
        </w:tc>
      </w:tr>
      <w:tr w:rsidR="00B951B1" w:rsidRPr="00E61612" w:rsidTr="00CB78E6">
        <w:trPr>
          <w:trHeight w:val="20"/>
        </w:trPr>
        <w:tc>
          <w:tcPr>
            <w:tcW w:w="0" w:type="auto"/>
            <w:tcBorders>
              <w:bottom w:val="single" w:sz="4" w:space="0" w:color="auto"/>
            </w:tcBorders>
            <w:shd w:val="clear" w:color="auto" w:fill="BFBFBF"/>
          </w:tcPr>
          <w:p w:rsidR="00B951B1" w:rsidRPr="00E61612" w:rsidRDefault="00B951B1" w:rsidP="00CB78E6">
            <w:pPr>
              <w:spacing w:after="0"/>
              <w:jc w:val="center"/>
              <w:rPr>
                <w:rFonts w:eastAsia="Times New Roman" w:cs="Calibri"/>
                <w:b/>
                <w:bCs/>
                <w:color w:val="000000"/>
                <w:sz w:val="18"/>
                <w:szCs w:val="18"/>
              </w:rPr>
            </w:pPr>
            <w:r w:rsidRPr="00E61612">
              <w:rPr>
                <w:b/>
                <w:bCs/>
                <w:color w:val="000000"/>
                <w:sz w:val="20"/>
                <w:szCs w:val="20"/>
              </w:rPr>
              <w:t>A1</w:t>
            </w:r>
          </w:p>
        </w:tc>
        <w:tc>
          <w:tcPr>
            <w:tcW w:w="0" w:type="auto"/>
            <w:tcBorders>
              <w:bottom w:val="single" w:sz="4" w:space="0" w:color="auto"/>
            </w:tcBorders>
            <w:shd w:val="clear" w:color="auto" w:fill="BFBFBF"/>
          </w:tcPr>
          <w:p w:rsidR="00B951B1" w:rsidRPr="00E61612" w:rsidRDefault="00B951B1" w:rsidP="00CB78E6">
            <w:pPr>
              <w:spacing w:after="0"/>
              <w:rPr>
                <w:rFonts w:eastAsia="Times New Roman" w:cs="Calibri"/>
                <w:sz w:val="18"/>
                <w:szCs w:val="18"/>
              </w:rPr>
            </w:pPr>
            <w:r>
              <w:rPr>
                <w:sz w:val="20"/>
                <w:szCs w:val="20"/>
              </w:rPr>
              <w:t>Sigurimi i</w:t>
            </w:r>
            <w:r w:rsidRPr="00E61612">
              <w:rPr>
                <w:sz w:val="20"/>
                <w:szCs w:val="20"/>
              </w:rPr>
              <w:t xml:space="preserve"> përfshirj</w:t>
            </w:r>
            <w:r>
              <w:rPr>
                <w:sz w:val="20"/>
                <w:szCs w:val="20"/>
              </w:rPr>
              <w:t>es</w:t>
            </w:r>
            <w:r w:rsidRPr="00E61612">
              <w:rPr>
                <w:sz w:val="20"/>
                <w:szCs w:val="20"/>
              </w:rPr>
              <w:t xml:space="preserve"> </w:t>
            </w:r>
            <w:r>
              <w:rPr>
                <w:sz w:val="20"/>
                <w:szCs w:val="20"/>
              </w:rPr>
              <w:t>së</w:t>
            </w:r>
            <w:r w:rsidRPr="00E61612">
              <w:rPr>
                <w:sz w:val="20"/>
                <w:szCs w:val="20"/>
              </w:rPr>
              <w:t xml:space="preserve"> plotë në klasën përgatitore dhe në arsimin e detyrueshëm, si dhe </w:t>
            </w:r>
            <w:r>
              <w:rPr>
                <w:sz w:val="20"/>
                <w:szCs w:val="20"/>
              </w:rPr>
              <w:t>rritja e</w:t>
            </w:r>
            <w:r w:rsidRPr="00E61612">
              <w:rPr>
                <w:sz w:val="20"/>
                <w:szCs w:val="20"/>
              </w:rPr>
              <w:t xml:space="preserve"> aksesi</w:t>
            </w:r>
            <w:r>
              <w:rPr>
                <w:sz w:val="20"/>
                <w:szCs w:val="20"/>
              </w:rPr>
              <w:t>t</w:t>
            </w:r>
            <w:r w:rsidRPr="00E61612">
              <w:rPr>
                <w:sz w:val="20"/>
                <w:szCs w:val="20"/>
              </w:rPr>
              <w:t xml:space="preserve"> në arsimin parashkollor dhe te mesëm të lartë, përmes krijimit të kushteve të përshtatshme infrastrukturore dhe mjediseve shkollore miqësore</w:t>
            </w:r>
          </w:p>
        </w:tc>
        <w:tc>
          <w:tcPr>
            <w:tcW w:w="0" w:type="auto"/>
            <w:tcBorders>
              <w:bottom w:val="single" w:sz="4" w:space="0" w:color="auto"/>
            </w:tcBorders>
            <w:shd w:val="clear" w:color="auto" w:fill="BFBFBF"/>
          </w:tcPr>
          <w:p w:rsidR="00B951B1" w:rsidRPr="00E61612" w:rsidRDefault="00B951B1" w:rsidP="00CB78E6">
            <w:pPr>
              <w:spacing w:after="0"/>
              <w:jc w:val="center"/>
              <w:rPr>
                <w:rFonts w:eastAsia="Times New Roman" w:cs="Calibri"/>
                <w:color w:val="000000"/>
                <w:sz w:val="18"/>
                <w:szCs w:val="18"/>
              </w:rPr>
            </w:pPr>
            <w:r w:rsidRPr="00E61612">
              <w:rPr>
                <w:color w:val="000000"/>
                <w:sz w:val="20"/>
                <w:szCs w:val="20"/>
              </w:rPr>
              <w:t>MASR, ASCAP, DPAP</w:t>
            </w:r>
          </w:p>
        </w:tc>
        <w:tc>
          <w:tcPr>
            <w:tcW w:w="0" w:type="auto"/>
            <w:tcBorders>
              <w:bottom w:val="single" w:sz="4" w:space="0" w:color="auto"/>
            </w:tcBorders>
            <w:shd w:val="clear" w:color="auto" w:fill="BFBFBF"/>
          </w:tcPr>
          <w:p w:rsidR="00B951B1" w:rsidRPr="00E61612" w:rsidRDefault="00B951B1" w:rsidP="00CB78E6">
            <w:pPr>
              <w:spacing w:after="0"/>
              <w:jc w:val="center"/>
              <w:rPr>
                <w:rFonts w:eastAsia="Times New Roman" w:cs="Calibri"/>
                <w:color w:val="000000"/>
                <w:sz w:val="18"/>
                <w:szCs w:val="18"/>
              </w:rPr>
            </w:pPr>
            <w:r w:rsidRPr="00E61612">
              <w:rPr>
                <w:color w:val="000000"/>
                <w:sz w:val="20"/>
                <w:szCs w:val="20"/>
              </w:rPr>
              <w:t xml:space="preserve">MSHMS ASCAP, DPAP, Bashkitë </w:t>
            </w:r>
          </w:p>
        </w:tc>
        <w:tc>
          <w:tcPr>
            <w:tcW w:w="0" w:type="auto"/>
            <w:tcBorders>
              <w:bottom w:val="single" w:sz="4" w:space="0" w:color="auto"/>
            </w:tcBorders>
            <w:shd w:val="clear" w:color="auto" w:fill="BFBFBF"/>
          </w:tcPr>
          <w:p w:rsidR="00B951B1" w:rsidRPr="00E61612" w:rsidRDefault="00B951B1" w:rsidP="00CB78E6">
            <w:pPr>
              <w:spacing w:after="0"/>
              <w:jc w:val="center"/>
              <w:rPr>
                <w:rFonts w:eastAsia="Times New Roman" w:cs="Calibri"/>
                <w:color w:val="000000"/>
                <w:sz w:val="18"/>
                <w:szCs w:val="18"/>
              </w:rPr>
            </w:pPr>
            <w:r w:rsidRPr="00E61612">
              <w:rPr>
                <w:color w:val="000000"/>
                <w:sz w:val="20"/>
                <w:szCs w:val="20"/>
              </w:rPr>
              <w:t>TM1-2021</w:t>
            </w:r>
          </w:p>
        </w:tc>
        <w:tc>
          <w:tcPr>
            <w:tcW w:w="0" w:type="auto"/>
            <w:tcBorders>
              <w:bottom w:val="single" w:sz="4" w:space="0" w:color="auto"/>
            </w:tcBorders>
            <w:shd w:val="clear" w:color="auto" w:fill="BFBFBF"/>
          </w:tcPr>
          <w:p w:rsidR="00B951B1" w:rsidRPr="00E61612" w:rsidRDefault="00B951B1" w:rsidP="00CB78E6">
            <w:pPr>
              <w:spacing w:after="0"/>
              <w:jc w:val="center"/>
              <w:rPr>
                <w:rFonts w:eastAsia="Times New Roman" w:cs="Calibri"/>
                <w:color w:val="000000"/>
                <w:sz w:val="18"/>
                <w:szCs w:val="18"/>
              </w:rPr>
            </w:pPr>
            <w:r w:rsidRPr="00E61612">
              <w:rPr>
                <w:color w:val="000000"/>
                <w:sz w:val="20"/>
                <w:szCs w:val="20"/>
              </w:rPr>
              <w:t>TM4-2026</w:t>
            </w:r>
          </w:p>
        </w:tc>
        <w:tc>
          <w:tcPr>
            <w:tcW w:w="0" w:type="auto"/>
            <w:tcBorders>
              <w:bottom w:val="single" w:sz="4" w:space="0" w:color="auto"/>
            </w:tcBorders>
            <w:shd w:val="clear" w:color="auto" w:fill="BFBFBF"/>
            <w:noWrap/>
          </w:tcPr>
          <w:p w:rsidR="00B951B1" w:rsidRPr="00E61612" w:rsidRDefault="00B951B1" w:rsidP="00CB78E6">
            <w:pPr>
              <w:spacing w:after="0"/>
              <w:jc w:val="right"/>
              <w:rPr>
                <w:rFonts w:eastAsia="Times New Roman" w:cs="Calibri"/>
                <w:color w:val="000000"/>
                <w:sz w:val="18"/>
                <w:szCs w:val="18"/>
              </w:rPr>
            </w:pPr>
            <w:r w:rsidRPr="00E61612">
              <w:rPr>
                <w:color w:val="000000"/>
                <w:sz w:val="20"/>
                <w:szCs w:val="20"/>
              </w:rPr>
              <w:t xml:space="preserve">              27,390,756 </w:t>
            </w:r>
          </w:p>
        </w:tc>
        <w:tc>
          <w:tcPr>
            <w:tcW w:w="0" w:type="auto"/>
            <w:tcBorders>
              <w:bottom w:val="single" w:sz="4" w:space="0" w:color="auto"/>
            </w:tcBorders>
            <w:shd w:val="clear" w:color="auto" w:fill="BFBFBF"/>
            <w:noWrap/>
          </w:tcPr>
          <w:p w:rsidR="00B951B1" w:rsidRPr="00E61612" w:rsidRDefault="00B951B1" w:rsidP="00CB78E6">
            <w:pPr>
              <w:spacing w:after="0"/>
              <w:jc w:val="right"/>
              <w:rPr>
                <w:rFonts w:eastAsia="Times New Roman" w:cs="Calibri"/>
                <w:color w:val="000000"/>
                <w:sz w:val="18"/>
                <w:szCs w:val="18"/>
              </w:rPr>
            </w:pPr>
            <w:r w:rsidRPr="00E61612">
              <w:rPr>
                <w:color w:val="000000"/>
                <w:sz w:val="20"/>
                <w:szCs w:val="20"/>
              </w:rPr>
              <w:t xml:space="preserve">    25,494,813 </w:t>
            </w:r>
          </w:p>
        </w:tc>
        <w:tc>
          <w:tcPr>
            <w:tcW w:w="0" w:type="auto"/>
            <w:tcBorders>
              <w:bottom w:val="single" w:sz="4" w:space="0" w:color="auto"/>
            </w:tcBorders>
            <w:shd w:val="clear" w:color="auto" w:fill="BFBFBF"/>
            <w:noWrap/>
          </w:tcPr>
          <w:p w:rsidR="00B951B1" w:rsidRPr="00E61612" w:rsidRDefault="00B951B1" w:rsidP="00CB78E6">
            <w:pPr>
              <w:spacing w:after="0"/>
              <w:jc w:val="right"/>
              <w:rPr>
                <w:rFonts w:eastAsia="Times New Roman" w:cs="Calibri"/>
                <w:color w:val="000000"/>
                <w:sz w:val="18"/>
                <w:szCs w:val="18"/>
              </w:rPr>
            </w:pPr>
            <w:r w:rsidRPr="00E61612">
              <w:rPr>
                <w:color w:val="000000"/>
                <w:sz w:val="20"/>
                <w:szCs w:val="20"/>
              </w:rPr>
              <w:t xml:space="preserve">          60,732 </w:t>
            </w:r>
          </w:p>
        </w:tc>
        <w:tc>
          <w:tcPr>
            <w:tcW w:w="0" w:type="auto"/>
            <w:tcBorders>
              <w:bottom w:val="single" w:sz="4" w:space="0" w:color="auto"/>
            </w:tcBorders>
            <w:shd w:val="clear" w:color="auto" w:fill="BFBFBF"/>
            <w:noWrap/>
          </w:tcPr>
          <w:p w:rsidR="00B951B1" w:rsidRPr="00E61612" w:rsidRDefault="00B951B1" w:rsidP="00CB78E6">
            <w:pPr>
              <w:spacing w:after="0"/>
              <w:jc w:val="right"/>
              <w:rPr>
                <w:rFonts w:eastAsia="Times New Roman" w:cs="Calibri"/>
                <w:color w:val="000000"/>
                <w:sz w:val="18"/>
                <w:szCs w:val="18"/>
              </w:rPr>
            </w:pPr>
            <w:r w:rsidRPr="00E61612">
              <w:rPr>
                <w:color w:val="000000"/>
                <w:sz w:val="20"/>
                <w:szCs w:val="20"/>
              </w:rPr>
              <w:t xml:space="preserve">      (1,835,211)</w:t>
            </w:r>
          </w:p>
        </w:tc>
      </w:tr>
      <w:tr w:rsidR="00B951B1" w:rsidRPr="00E61612" w:rsidTr="00CB78E6">
        <w:trPr>
          <w:trHeight w:val="20"/>
        </w:trPr>
        <w:tc>
          <w:tcPr>
            <w:tcW w:w="0" w:type="auto"/>
            <w:shd w:val="clear" w:color="auto" w:fill="D9D9D9"/>
          </w:tcPr>
          <w:p w:rsidR="00B951B1" w:rsidRPr="00E61612" w:rsidRDefault="00B951B1" w:rsidP="00CB78E6">
            <w:pPr>
              <w:spacing w:after="0"/>
              <w:jc w:val="center"/>
              <w:rPr>
                <w:rFonts w:eastAsia="Times New Roman" w:cs="Calibri"/>
                <w:b/>
                <w:bCs/>
                <w:color w:val="000000"/>
                <w:sz w:val="18"/>
                <w:szCs w:val="18"/>
              </w:rPr>
            </w:pPr>
            <w:r w:rsidRPr="00E61612">
              <w:rPr>
                <w:b/>
                <w:bCs/>
                <w:color w:val="000000"/>
                <w:sz w:val="20"/>
                <w:szCs w:val="20"/>
              </w:rPr>
              <w:t>A1.1</w:t>
            </w:r>
          </w:p>
        </w:tc>
        <w:tc>
          <w:tcPr>
            <w:tcW w:w="0" w:type="auto"/>
            <w:shd w:val="clear" w:color="auto" w:fill="D9D9D9"/>
          </w:tcPr>
          <w:p w:rsidR="00B951B1" w:rsidRPr="00E61612" w:rsidRDefault="00B951B1" w:rsidP="00CB78E6">
            <w:pPr>
              <w:spacing w:after="0"/>
              <w:rPr>
                <w:rFonts w:eastAsia="Times New Roman" w:cs="Calibri"/>
                <w:sz w:val="18"/>
                <w:szCs w:val="18"/>
              </w:rPr>
            </w:pPr>
            <w:r w:rsidRPr="00E61612">
              <w:rPr>
                <w:sz w:val="20"/>
                <w:szCs w:val="20"/>
              </w:rPr>
              <w:t xml:space="preserve"> Rritja e aksesit në arsimin parashkollor</w:t>
            </w:r>
          </w:p>
        </w:tc>
        <w:tc>
          <w:tcPr>
            <w:tcW w:w="0" w:type="auto"/>
            <w:shd w:val="clear" w:color="auto" w:fill="D9D9D9"/>
          </w:tcPr>
          <w:p w:rsidR="00B951B1" w:rsidRPr="00E61612" w:rsidRDefault="00B951B1" w:rsidP="00CB78E6">
            <w:pPr>
              <w:spacing w:after="0"/>
              <w:jc w:val="center"/>
              <w:rPr>
                <w:rFonts w:eastAsia="Times New Roman" w:cs="Calibri"/>
                <w:color w:val="000000"/>
                <w:sz w:val="18"/>
                <w:szCs w:val="18"/>
              </w:rPr>
            </w:pPr>
            <w:r w:rsidRPr="00E61612">
              <w:rPr>
                <w:color w:val="000000"/>
                <w:sz w:val="20"/>
                <w:szCs w:val="20"/>
              </w:rPr>
              <w:t>MASR</w:t>
            </w:r>
          </w:p>
        </w:tc>
        <w:tc>
          <w:tcPr>
            <w:tcW w:w="0" w:type="auto"/>
            <w:shd w:val="clear" w:color="auto" w:fill="D9D9D9"/>
          </w:tcPr>
          <w:p w:rsidR="00B951B1" w:rsidRPr="00E61612" w:rsidRDefault="00B951B1" w:rsidP="00CB78E6">
            <w:pPr>
              <w:spacing w:after="0"/>
              <w:jc w:val="center"/>
              <w:rPr>
                <w:rFonts w:eastAsia="Times New Roman" w:cs="Calibri"/>
                <w:color w:val="000000"/>
                <w:sz w:val="18"/>
                <w:szCs w:val="18"/>
              </w:rPr>
            </w:pPr>
            <w:r w:rsidRPr="00E61612">
              <w:rPr>
                <w:color w:val="000000"/>
                <w:sz w:val="20"/>
                <w:szCs w:val="20"/>
              </w:rPr>
              <w:t>ASCAP, MSHMS, DPAP</w:t>
            </w:r>
          </w:p>
        </w:tc>
        <w:tc>
          <w:tcPr>
            <w:tcW w:w="0" w:type="auto"/>
            <w:shd w:val="clear" w:color="auto" w:fill="D9D9D9"/>
          </w:tcPr>
          <w:p w:rsidR="00B951B1" w:rsidRPr="00E61612" w:rsidRDefault="00B951B1" w:rsidP="00CB78E6">
            <w:pPr>
              <w:spacing w:after="0"/>
              <w:jc w:val="center"/>
              <w:rPr>
                <w:rFonts w:eastAsia="Times New Roman" w:cs="Calibri"/>
                <w:color w:val="000000"/>
                <w:sz w:val="18"/>
                <w:szCs w:val="18"/>
              </w:rPr>
            </w:pPr>
            <w:r w:rsidRPr="00E61612">
              <w:rPr>
                <w:color w:val="000000"/>
                <w:sz w:val="20"/>
                <w:szCs w:val="20"/>
              </w:rPr>
              <w:t>TM1-2022</w:t>
            </w:r>
          </w:p>
        </w:tc>
        <w:tc>
          <w:tcPr>
            <w:tcW w:w="0" w:type="auto"/>
            <w:shd w:val="clear" w:color="auto" w:fill="D9D9D9"/>
          </w:tcPr>
          <w:p w:rsidR="00B951B1" w:rsidRPr="00E61612" w:rsidRDefault="00B951B1" w:rsidP="00CB78E6">
            <w:pPr>
              <w:spacing w:after="0"/>
              <w:jc w:val="center"/>
              <w:rPr>
                <w:rFonts w:eastAsia="Times New Roman" w:cs="Calibri"/>
                <w:color w:val="000000"/>
                <w:sz w:val="18"/>
                <w:szCs w:val="18"/>
              </w:rPr>
            </w:pPr>
            <w:r w:rsidRPr="00E61612">
              <w:rPr>
                <w:color w:val="000000"/>
                <w:sz w:val="20"/>
                <w:szCs w:val="20"/>
              </w:rPr>
              <w:t>TM4-2026</w:t>
            </w:r>
          </w:p>
        </w:tc>
        <w:tc>
          <w:tcPr>
            <w:tcW w:w="0" w:type="auto"/>
            <w:shd w:val="clear" w:color="auto" w:fill="D9D9D9"/>
            <w:noWrap/>
          </w:tcPr>
          <w:p w:rsidR="00B951B1" w:rsidRPr="00E61612" w:rsidRDefault="00B951B1" w:rsidP="00CB78E6">
            <w:pPr>
              <w:spacing w:after="0"/>
              <w:jc w:val="right"/>
              <w:rPr>
                <w:rFonts w:eastAsia="Times New Roman" w:cs="Calibri"/>
                <w:color w:val="000000"/>
                <w:sz w:val="18"/>
                <w:szCs w:val="18"/>
              </w:rPr>
            </w:pPr>
            <w:r w:rsidRPr="00E61612">
              <w:rPr>
                <w:color w:val="000000"/>
                <w:sz w:val="20"/>
                <w:szCs w:val="20"/>
              </w:rPr>
              <w:t xml:space="preserve">                   152,587 </w:t>
            </w:r>
          </w:p>
        </w:tc>
        <w:tc>
          <w:tcPr>
            <w:tcW w:w="0" w:type="auto"/>
            <w:shd w:val="clear" w:color="auto" w:fill="D9D9D9"/>
            <w:noWrap/>
          </w:tcPr>
          <w:p w:rsidR="00B951B1" w:rsidRPr="00E61612" w:rsidRDefault="00B951B1" w:rsidP="00CB78E6">
            <w:pPr>
              <w:spacing w:after="0"/>
              <w:jc w:val="right"/>
              <w:rPr>
                <w:rFonts w:eastAsia="Times New Roman" w:cs="Calibri"/>
                <w:color w:val="000000"/>
                <w:sz w:val="18"/>
                <w:szCs w:val="18"/>
              </w:rPr>
            </w:pPr>
            <w:r w:rsidRPr="00E61612">
              <w:rPr>
                <w:color w:val="000000"/>
                <w:sz w:val="20"/>
                <w:szCs w:val="20"/>
              </w:rPr>
              <w:t xml:space="preserve">                      -   </w:t>
            </w:r>
          </w:p>
        </w:tc>
        <w:tc>
          <w:tcPr>
            <w:tcW w:w="0" w:type="auto"/>
            <w:shd w:val="clear" w:color="auto" w:fill="D9D9D9"/>
            <w:noWrap/>
          </w:tcPr>
          <w:p w:rsidR="00B951B1" w:rsidRPr="00E61612" w:rsidRDefault="00B951B1" w:rsidP="00CB78E6">
            <w:pPr>
              <w:spacing w:after="0"/>
              <w:jc w:val="right"/>
              <w:rPr>
                <w:rFonts w:eastAsia="Times New Roman" w:cs="Calibri"/>
                <w:color w:val="000000"/>
                <w:sz w:val="18"/>
                <w:szCs w:val="18"/>
              </w:rPr>
            </w:pPr>
            <w:r w:rsidRPr="00E61612">
              <w:rPr>
                <w:color w:val="000000"/>
                <w:sz w:val="20"/>
                <w:szCs w:val="20"/>
              </w:rPr>
              <w:t xml:space="preserve">          10,080 </w:t>
            </w:r>
          </w:p>
        </w:tc>
        <w:tc>
          <w:tcPr>
            <w:tcW w:w="0" w:type="auto"/>
            <w:shd w:val="clear" w:color="auto" w:fill="D9D9D9"/>
            <w:noWrap/>
          </w:tcPr>
          <w:p w:rsidR="00B951B1" w:rsidRPr="00E61612" w:rsidRDefault="00B951B1" w:rsidP="00CB78E6">
            <w:pPr>
              <w:spacing w:after="0"/>
              <w:jc w:val="right"/>
              <w:rPr>
                <w:rFonts w:eastAsia="Times New Roman" w:cs="Calibri"/>
                <w:color w:val="000000"/>
                <w:sz w:val="18"/>
                <w:szCs w:val="18"/>
              </w:rPr>
            </w:pPr>
            <w:r w:rsidRPr="00E61612">
              <w:rPr>
                <w:color w:val="000000"/>
                <w:sz w:val="20"/>
                <w:szCs w:val="20"/>
              </w:rPr>
              <w:t xml:space="preserve">         (142,507)</w:t>
            </w:r>
          </w:p>
        </w:tc>
      </w:tr>
      <w:tr w:rsidR="00B951B1" w:rsidRPr="00E61612" w:rsidTr="00CB78E6">
        <w:trPr>
          <w:trHeight w:val="20"/>
        </w:trPr>
        <w:tc>
          <w:tcPr>
            <w:tcW w:w="0" w:type="auto"/>
            <w:shd w:val="clear" w:color="auto" w:fill="FFFFFF"/>
          </w:tcPr>
          <w:p w:rsidR="00B951B1" w:rsidRPr="00E61612" w:rsidRDefault="00B951B1" w:rsidP="00CB78E6">
            <w:pPr>
              <w:spacing w:after="0"/>
              <w:jc w:val="center"/>
              <w:rPr>
                <w:rFonts w:eastAsia="Times New Roman" w:cs="Calibri"/>
                <w:b/>
                <w:bCs/>
                <w:color w:val="000000"/>
                <w:sz w:val="18"/>
                <w:szCs w:val="18"/>
              </w:rPr>
            </w:pPr>
            <w:r w:rsidRPr="00E61612">
              <w:rPr>
                <w:b/>
                <w:bCs/>
                <w:color w:val="000000"/>
                <w:sz w:val="20"/>
                <w:szCs w:val="20"/>
              </w:rPr>
              <w:lastRenderedPageBreak/>
              <w:t>A1.1.1</w:t>
            </w:r>
          </w:p>
        </w:tc>
        <w:tc>
          <w:tcPr>
            <w:tcW w:w="0" w:type="auto"/>
            <w:shd w:val="clear" w:color="auto" w:fill="FFFFFF"/>
          </w:tcPr>
          <w:p w:rsidR="00B951B1" w:rsidRPr="00E61612" w:rsidRDefault="00B951B1" w:rsidP="00CB78E6">
            <w:pPr>
              <w:spacing w:after="0"/>
              <w:rPr>
                <w:rFonts w:eastAsia="Times New Roman" w:cs="Calibri"/>
                <w:sz w:val="18"/>
                <w:szCs w:val="18"/>
              </w:rPr>
            </w:pPr>
            <w:r w:rsidRPr="00E61612">
              <w:rPr>
                <w:sz w:val="20"/>
                <w:szCs w:val="20"/>
              </w:rPr>
              <w:t>Ndërgjegjësimi i prindërve dhe komunitetit për rëndësinë e arsimit parashkollor</w:t>
            </w:r>
          </w:p>
        </w:tc>
        <w:tc>
          <w:tcPr>
            <w:tcW w:w="0" w:type="auto"/>
            <w:shd w:val="clear" w:color="auto" w:fill="FFFFFF"/>
          </w:tcPr>
          <w:p w:rsidR="00B951B1" w:rsidRPr="00E61612" w:rsidRDefault="00B951B1" w:rsidP="00CB78E6">
            <w:pPr>
              <w:spacing w:after="0"/>
              <w:jc w:val="center"/>
              <w:rPr>
                <w:rFonts w:eastAsia="Times New Roman" w:cs="Calibri"/>
                <w:color w:val="000000"/>
                <w:sz w:val="18"/>
                <w:szCs w:val="18"/>
              </w:rPr>
            </w:pPr>
            <w:r w:rsidRPr="00E61612">
              <w:rPr>
                <w:color w:val="000000"/>
                <w:sz w:val="20"/>
                <w:szCs w:val="20"/>
              </w:rPr>
              <w:t>MASR</w:t>
            </w:r>
          </w:p>
        </w:tc>
        <w:tc>
          <w:tcPr>
            <w:tcW w:w="0" w:type="auto"/>
            <w:shd w:val="clear" w:color="auto" w:fill="FFFFFF"/>
          </w:tcPr>
          <w:p w:rsidR="00B951B1" w:rsidRPr="00E61612" w:rsidRDefault="00B951B1" w:rsidP="00CB78E6">
            <w:pPr>
              <w:spacing w:after="0"/>
              <w:jc w:val="center"/>
              <w:rPr>
                <w:rFonts w:eastAsia="Times New Roman" w:cs="Calibri"/>
                <w:color w:val="000000"/>
                <w:sz w:val="18"/>
                <w:szCs w:val="18"/>
              </w:rPr>
            </w:pPr>
            <w:r w:rsidRPr="00E61612">
              <w:rPr>
                <w:color w:val="000000"/>
                <w:sz w:val="20"/>
                <w:szCs w:val="20"/>
              </w:rPr>
              <w:t>ASCAP</w:t>
            </w:r>
          </w:p>
        </w:tc>
        <w:tc>
          <w:tcPr>
            <w:tcW w:w="0" w:type="auto"/>
            <w:shd w:val="clear" w:color="auto" w:fill="FFFFFF"/>
          </w:tcPr>
          <w:p w:rsidR="00B951B1" w:rsidRPr="00E61612" w:rsidRDefault="00B951B1" w:rsidP="00CB78E6">
            <w:pPr>
              <w:spacing w:after="0"/>
              <w:jc w:val="center"/>
              <w:rPr>
                <w:rFonts w:eastAsia="Times New Roman" w:cs="Calibri"/>
                <w:sz w:val="18"/>
                <w:szCs w:val="18"/>
              </w:rPr>
            </w:pPr>
            <w:r w:rsidRPr="00E61612">
              <w:rPr>
                <w:sz w:val="20"/>
                <w:szCs w:val="20"/>
              </w:rPr>
              <w:t>TM1-2022</w:t>
            </w:r>
          </w:p>
        </w:tc>
        <w:tc>
          <w:tcPr>
            <w:tcW w:w="0" w:type="auto"/>
            <w:shd w:val="clear" w:color="auto" w:fill="FFFFFF"/>
          </w:tcPr>
          <w:p w:rsidR="00B951B1" w:rsidRPr="00E61612" w:rsidRDefault="00B951B1" w:rsidP="00CB78E6">
            <w:pPr>
              <w:spacing w:after="0"/>
              <w:jc w:val="center"/>
              <w:rPr>
                <w:rFonts w:eastAsia="Times New Roman" w:cs="Calibri"/>
                <w:color w:val="000000"/>
                <w:sz w:val="18"/>
                <w:szCs w:val="18"/>
              </w:rPr>
            </w:pPr>
            <w:r w:rsidRPr="00E61612">
              <w:rPr>
                <w:color w:val="000000"/>
                <w:sz w:val="20"/>
                <w:szCs w:val="20"/>
              </w:rPr>
              <w:t>TM4-2024</w:t>
            </w:r>
          </w:p>
        </w:tc>
        <w:tc>
          <w:tcPr>
            <w:tcW w:w="0" w:type="auto"/>
            <w:shd w:val="clear" w:color="auto" w:fill="FFFFFF"/>
            <w:noWrap/>
          </w:tcPr>
          <w:p w:rsidR="00B951B1" w:rsidRPr="00E61612" w:rsidRDefault="00B951B1" w:rsidP="00CB78E6">
            <w:pPr>
              <w:spacing w:after="0"/>
              <w:jc w:val="right"/>
              <w:rPr>
                <w:rFonts w:eastAsia="Times New Roman" w:cs="Calibri"/>
                <w:color w:val="000000"/>
                <w:sz w:val="18"/>
                <w:szCs w:val="18"/>
              </w:rPr>
            </w:pPr>
            <w:r w:rsidRPr="00E61612">
              <w:rPr>
                <w:color w:val="000000"/>
                <w:sz w:val="20"/>
                <w:szCs w:val="20"/>
              </w:rPr>
              <w:t xml:space="preserve">                        7,200 </w:t>
            </w:r>
          </w:p>
        </w:tc>
        <w:tc>
          <w:tcPr>
            <w:tcW w:w="0" w:type="auto"/>
            <w:shd w:val="clear" w:color="auto" w:fill="FFFFFF"/>
            <w:noWrap/>
          </w:tcPr>
          <w:p w:rsidR="00B951B1" w:rsidRPr="00E61612" w:rsidRDefault="00B951B1" w:rsidP="00CB78E6">
            <w:pPr>
              <w:spacing w:after="0"/>
              <w:jc w:val="right"/>
              <w:rPr>
                <w:rFonts w:eastAsia="Times New Roman" w:cs="Calibri"/>
                <w:color w:val="000000"/>
                <w:sz w:val="18"/>
                <w:szCs w:val="18"/>
              </w:rPr>
            </w:pPr>
            <w:r w:rsidRPr="00E61612">
              <w:rPr>
                <w:color w:val="000000"/>
                <w:sz w:val="20"/>
                <w:szCs w:val="20"/>
              </w:rPr>
              <w:t xml:space="preserve">                      -   </w:t>
            </w:r>
          </w:p>
        </w:tc>
        <w:tc>
          <w:tcPr>
            <w:tcW w:w="0" w:type="auto"/>
            <w:shd w:val="clear" w:color="auto" w:fill="FFFFFF"/>
            <w:noWrap/>
          </w:tcPr>
          <w:p w:rsidR="00B951B1" w:rsidRPr="00E61612" w:rsidRDefault="00B951B1" w:rsidP="00CB78E6">
            <w:pPr>
              <w:spacing w:after="0"/>
              <w:jc w:val="right"/>
              <w:rPr>
                <w:rFonts w:eastAsia="Times New Roman" w:cs="Calibri"/>
                <w:color w:val="000000"/>
                <w:sz w:val="18"/>
                <w:szCs w:val="18"/>
              </w:rPr>
            </w:pPr>
            <w:r w:rsidRPr="00E61612">
              <w:rPr>
                <w:color w:val="000000"/>
                <w:sz w:val="20"/>
                <w:szCs w:val="20"/>
              </w:rPr>
              <w:t xml:space="preserve">            7,200 </w:t>
            </w:r>
          </w:p>
        </w:tc>
        <w:tc>
          <w:tcPr>
            <w:tcW w:w="0" w:type="auto"/>
            <w:shd w:val="clear" w:color="auto" w:fill="FFFFFF"/>
            <w:noWrap/>
          </w:tcPr>
          <w:p w:rsidR="00B951B1" w:rsidRPr="00E61612" w:rsidRDefault="00B951B1" w:rsidP="00CB78E6">
            <w:pPr>
              <w:spacing w:after="0"/>
              <w:jc w:val="right"/>
              <w:rPr>
                <w:rFonts w:eastAsia="Times New Roman" w:cs="Calibri"/>
                <w:color w:val="000000"/>
                <w:sz w:val="18"/>
                <w:szCs w:val="18"/>
              </w:rPr>
            </w:pPr>
            <w:r w:rsidRPr="00E61612">
              <w:rPr>
                <w:color w:val="000000"/>
                <w:sz w:val="20"/>
                <w:szCs w:val="20"/>
              </w:rPr>
              <w:t xml:space="preserve">                       -   </w:t>
            </w:r>
          </w:p>
        </w:tc>
      </w:tr>
      <w:tr w:rsidR="00B951B1" w:rsidRPr="00E61612" w:rsidTr="00CB78E6">
        <w:trPr>
          <w:trHeight w:val="20"/>
        </w:trPr>
        <w:tc>
          <w:tcPr>
            <w:tcW w:w="0" w:type="auto"/>
            <w:shd w:val="clear" w:color="auto" w:fill="FFFFFF"/>
          </w:tcPr>
          <w:p w:rsidR="00B951B1" w:rsidRPr="00E61612" w:rsidRDefault="00B951B1" w:rsidP="00CB78E6">
            <w:pPr>
              <w:spacing w:after="0"/>
              <w:jc w:val="center"/>
              <w:rPr>
                <w:rFonts w:eastAsia="Times New Roman" w:cs="Calibri"/>
                <w:b/>
                <w:bCs/>
                <w:color w:val="000000"/>
                <w:sz w:val="18"/>
                <w:szCs w:val="18"/>
              </w:rPr>
            </w:pPr>
            <w:r w:rsidRPr="00E61612">
              <w:rPr>
                <w:b/>
                <w:bCs/>
                <w:color w:val="000000"/>
                <w:sz w:val="20"/>
                <w:szCs w:val="20"/>
              </w:rPr>
              <w:t>A1.1.2</w:t>
            </w:r>
          </w:p>
        </w:tc>
        <w:tc>
          <w:tcPr>
            <w:tcW w:w="0" w:type="auto"/>
            <w:shd w:val="clear" w:color="auto" w:fill="FFFFFF"/>
          </w:tcPr>
          <w:p w:rsidR="00B951B1" w:rsidRPr="00E61612" w:rsidRDefault="00B951B1" w:rsidP="00CB78E6">
            <w:pPr>
              <w:spacing w:after="0"/>
              <w:rPr>
                <w:rFonts w:eastAsia="Times New Roman" w:cs="Calibri"/>
                <w:sz w:val="18"/>
                <w:szCs w:val="18"/>
              </w:rPr>
            </w:pPr>
            <w:r w:rsidRPr="00E61612">
              <w:rPr>
                <w:sz w:val="20"/>
                <w:szCs w:val="20"/>
              </w:rPr>
              <w:t>Avancimi i koordinimit ndërmjet MASR</w:t>
            </w:r>
            <w:r>
              <w:rPr>
                <w:sz w:val="20"/>
                <w:szCs w:val="20"/>
              </w:rPr>
              <w:t>-së</w:t>
            </w:r>
            <w:r w:rsidRPr="00E61612">
              <w:rPr>
                <w:sz w:val="20"/>
                <w:szCs w:val="20"/>
              </w:rPr>
              <w:t>, MSH</w:t>
            </w:r>
            <w:r>
              <w:rPr>
                <w:sz w:val="20"/>
                <w:szCs w:val="20"/>
              </w:rPr>
              <w:t>-së</w:t>
            </w:r>
            <w:r w:rsidRPr="00E61612">
              <w:rPr>
                <w:sz w:val="20"/>
                <w:szCs w:val="20"/>
              </w:rPr>
              <w:t xml:space="preserve"> dhe pushtetit </w:t>
            </w:r>
            <w:r>
              <w:rPr>
                <w:sz w:val="20"/>
                <w:szCs w:val="20"/>
              </w:rPr>
              <w:t>vendor</w:t>
            </w:r>
            <w:r w:rsidRPr="00E61612">
              <w:rPr>
                <w:sz w:val="20"/>
                <w:szCs w:val="20"/>
              </w:rPr>
              <w:t xml:space="preserve"> për edukimin në fëmijërinë e hershme, bazuar në evidencë dhe studime</w:t>
            </w:r>
          </w:p>
        </w:tc>
        <w:tc>
          <w:tcPr>
            <w:tcW w:w="0" w:type="auto"/>
            <w:shd w:val="clear" w:color="auto" w:fill="FFFFFF"/>
          </w:tcPr>
          <w:p w:rsidR="00B951B1" w:rsidRPr="00E61612" w:rsidRDefault="00B951B1" w:rsidP="00CB78E6">
            <w:pPr>
              <w:spacing w:after="0"/>
              <w:jc w:val="center"/>
              <w:rPr>
                <w:rFonts w:eastAsia="Times New Roman" w:cs="Calibri"/>
                <w:color w:val="000000"/>
                <w:sz w:val="18"/>
                <w:szCs w:val="18"/>
              </w:rPr>
            </w:pPr>
            <w:r w:rsidRPr="00E61612">
              <w:rPr>
                <w:color w:val="000000"/>
                <w:sz w:val="20"/>
                <w:szCs w:val="20"/>
              </w:rPr>
              <w:t>MASR</w:t>
            </w:r>
          </w:p>
        </w:tc>
        <w:tc>
          <w:tcPr>
            <w:tcW w:w="0" w:type="auto"/>
            <w:shd w:val="clear" w:color="auto" w:fill="FFFFFF"/>
          </w:tcPr>
          <w:p w:rsidR="00B951B1" w:rsidRPr="00E61612" w:rsidRDefault="00B951B1" w:rsidP="00CB78E6">
            <w:pPr>
              <w:spacing w:after="0"/>
              <w:jc w:val="center"/>
              <w:rPr>
                <w:rFonts w:eastAsia="Times New Roman" w:cs="Calibri"/>
                <w:color w:val="000000"/>
                <w:sz w:val="18"/>
                <w:szCs w:val="18"/>
              </w:rPr>
            </w:pPr>
            <w:r w:rsidRPr="00E61612">
              <w:rPr>
                <w:color w:val="000000"/>
                <w:sz w:val="20"/>
                <w:szCs w:val="20"/>
              </w:rPr>
              <w:t>MSHMS</w:t>
            </w:r>
          </w:p>
        </w:tc>
        <w:tc>
          <w:tcPr>
            <w:tcW w:w="0" w:type="auto"/>
            <w:shd w:val="clear" w:color="auto" w:fill="FFFFFF"/>
          </w:tcPr>
          <w:p w:rsidR="00B951B1" w:rsidRPr="00E61612" w:rsidRDefault="00B951B1" w:rsidP="00CB78E6">
            <w:pPr>
              <w:spacing w:after="0"/>
              <w:jc w:val="center"/>
              <w:rPr>
                <w:rFonts w:eastAsia="Times New Roman" w:cs="Calibri"/>
                <w:color w:val="000000"/>
                <w:sz w:val="18"/>
                <w:szCs w:val="18"/>
              </w:rPr>
            </w:pPr>
            <w:r w:rsidRPr="00E61612">
              <w:rPr>
                <w:color w:val="000000"/>
                <w:sz w:val="20"/>
                <w:szCs w:val="20"/>
              </w:rPr>
              <w:t>TM2-2022</w:t>
            </w:r>
          </w:p>
        </w:tc>
        <w:tc>
          <w:tcPr>
            <w:tcW w:w="0" w:type="auto"/>
            <w:shd w:val="clear" w:color="auto" w:fill="FFFFFF"/>
          </w:tcPr>
          <w:p w:rsidR="00B951B1" w:rsidRPr="00E61612" w:rsidRDefault="00B951B1" w:rsidP="00CB78E6">
            <w:pPr>
              <w:spacing w:after="0"/>
              <w:jc w:val="center"/>
              <w:rPr>
                <w:rFonts w:eastAsia="Times New Roman" w:cs="Calibri"/>
                <w:color w:val="000000"/>
                <w:sz w:val="18"/>
                <w:szCs w:val="18"/>
              </w:rPr>
            </w:pPr>
            <w:r w:rsidRPr="00E61612">
              <w:rPr>
                <w:color w:val="000000"/>
                <w:sz w:val="20"/>
                <w:szCs w:val="20"/>
              </w:rPr>
              <w:t>TM3-2022</w:t>
            </w:r>
          </w:p>
        </w:tc>
        <w:tc>
          <w:tcPr>
            <w:tcW w:w="0" w:type="auto"/>
            <w:shd w:val="clear" w:color="auto" w:fill="FFFFFF"/>
            <w:noWrap/>
          </w:tcPr>
          <w:p w:rsidR="00B951B1" w:rsidRPr="00E61612" w:rsidRDefault="00B951B1" w:rsidP="00CB78E6">
            <w:pPr>
              <w:spacing w:after="0"/>
              <w:jc w:val="right"/>
              <w:rPr>
                <w:rFonts w:eastAsia="Times New Roman" w:cs="Calibri"/>
                <w:color w:val="000000"/>
                <w:sz w:val="18"/>
                <w:szCs w:val="18"/>
              </w:rPr>
            </w:pPr>
            <w:r w:rsidRPr="00E61612">
              <w:rPr>
                <w:color w:val="000000"/>
                <w:sz w:val="20"/>
                <w:szCs w:val="20"/>
              </w:rPr>
              <w:t xml:space="preserve">                        2,880 </w:t>
            </w:r>
          </w:p>
        </w:tc>
        <w:tc>
          <w:tcPr>
            <w:tcW w:w="0" w:type="auto"/>
            <w:shd w:val="clear" w:color="auto" w:fill="FFFFFF"/>
            <w:noWrap/>
          </w:tcPr>
          <w:p w:rsidR="00B951B1" w:rsidRPr="00E61612" w:rsidRDefault="00B951B1" w:rsidP="00CB78E6">
            <w:pPr>
              <w:spacing w:after="0"/>
              <w:jc w:val="right"/>
              <w:rPr>
                <w:rFonts w:eastAsia="Times New Roman" w:cs="Calibri"/>
                <w:color w:val="000000"/>
                <w:sz w:val="18"/>
                <w:szCs w:val="18"/>
              </w:rPr>
            </w:pPr>
            <w:r w:rsidRPr="00E61612">
              <w:rPr>
                <w:color w:val="000000"/>
                <w:sz w:val="20"/>
                <w:szCs w:val="20"/>
              </w:rPr>
              <w:t xml:space="preserve">                      -   </w:t>
            </w:r>
          </w:p>
        </w:tc>
        <w:tc>
          <w:tcPr>
            <w:tcW w:w="0" w:type="auto"/>
            <w:shd w:val="clear" w:color="auto" w:fill="FFFFFF"/>
            <w:noWrap/>
          </w:tcPr>
          <w:p w:rsidR="00B951B1" w:rsidRPr="00E61612" w:rsidRDefault="00B951B1" w:rsidP="00CB78E6">
            <w:pPr>
              <w:spacing w:after="0"/>
              <w:jc w:val="right"/>
              <w:rPr>
                <w:rFonts w:eastAsia="Times New Roman" w:cs="Calibri"/>
                <w:color w:val="000000"/>
                <w:sz w:val="18"/>
                <w:szCs w:val="18"/>
              </w:rPr>
            </w:pPr>
            <w:r w:rsidRPr="00E61612">
              <w:rPr>
                <w:color w:val="000000"/>
                <w:sz w:val="20"/>
                <w:szCs w:val="20"/>
              </w:rPr>
              <w:t xml:space="preserve">            2,880 </w:t>
            </w:r>
          </w:p>
        </w:tc>
        <w:tc>
          <w:tcPr>
            <w:tcW w:w="0" w:type="auto"/>
            <w:shd w:val="clear" w:color="auto" w:fill="FFFFFF"/>
            <w:noWrap/>
          </w:tcPr>
          <w:p w:rsidR="00B951B1" w:rsidRPr="00E61612" w:rsidRDefault="00B951B1" w:rsidP="00CB78E6">
            <w:pPr>
              <w:spacing w:after="0"/>
              <w:jc w:val="right"/>
              <w:rPr>
                <w:rFonts w:eastAsia="Times New Roman" w:cs="Calibri"/>
                <w:color w:val="000000"/>
                <w:sz w:val="18"/>
                <w:szCs w:val="18"/>
              </w:rPr>
            </w:pPr>
            <w:r w:rsidRPr="00E61612">
              <w:rPr>
                <w:color w:val="000000"/>
                <w:sz w:val="20"/>
                <w:szCs w:val="20"/>
              </w:rPr>
              <w:t xml:space="preserve">                       -   </w:t>
            </w:r>
          </w:p>
        </w:tc>
      </w:tr>
      <w:tr w:rsidR="00B951B1" w:rsidRPr="00E61612" w:rsidTr="00CB78E6">
        <w:trPr>
          <w:trHeight w:val="20"/>
        </w:trPr>
        <w:tc>
          <w:tcPr>
            <w:tcW w:w="0" w:type="auto"/>
            <w:tcBorders>
              <w:bottom w:val="single" w:sz="4" w:space="0" w:color="auto"/>
            </w:tcBorders>
            <w:shd w:val="clear" w:color="auto" w:fill="FFFFFF"/>
          </w:tcPr>
          <w:p w:rsidR="00B951B1" w:rsidRPr="00E61612" w:rsidRDefault="00B951B1" w:rsidP="00CB78E6">
            <w:pPr>
              <w:spacing w:after="0"/>
              <w:jc w:val="center"/>
              <w:rPr>
                <w:rFonts w:eastAsia="Times New Roman" w:cs="Calibri"/>
                <w:b/>
                <w:bCs/>
                <w:color w:val="000000"/>
                <w:sz w:val="18"/>
                <w:szCs w:val="18"/>
              </w:rPr>
            </w:pPr>
            <w:r w:rsidRPr="00E61612">
              <w:rPr>
                <w:b/>
                <w:bCs/>
                <w:color w:val="000000"/>
                <w:sz w:val="20"/>
                <w:szCs w:val="20"/>
              </w:rPr>
              <w:t>A1.1.3</w:t>
            </w:r>
          </w:p>
        </w:tc>
        <w:tc>
          <w:tcPr>
            <w:tcW w:w="0" w:type="auto"/>
            <w:tcBorders>
              <w:bottom w:val="single" w:sz="4" w:space="0" w:color="auto"/>
            </w:tcBorders>
            <w:shd w:val="clear" w:color="auto" w:fill="FFFFFF"/>
          </w:tcPr>
          <w:p w:rsidR="00B951B1" w:rsidRPr="00E61612" w:rsidRDefault="00B951B1" w:rsidP="00CB78E6">
            <w:pPr>
              <w:spacing w:after="0"/>
              <w:rPr>
                <w:rFonts w:eastAsia="Times New Roman" w:cs="Calibri"/>
                <w:sz w:val="18"/>
                <w:szCs w:val="18"/>
              </w:rPr>
            </w:pPr>
            <w:r w:rsidRPr="00E61612">
              <w:rPr>
                <w:sz w:val="20"/>
                <w:szCs w:val="20"/>
              </w:rPr>
              <w:t>Përfshirja e të gjithë fëmijëve të moshës 5-6 vjeç</w:t>
            </w:r>
            <w:r>
              <w:rPr>
                <w:sz w:val="20"/>
                <w:szCs w:val="20"/>
              </w:rPr>
              <w:t>are</w:t>
            </w:r>
            <w:r w:rsidRPr="00E61612">
              <w:rPr>
                <w:sz w:val="20"/>
                <w:szCs w:val="20"/>
              </w:rPr>
              <w:t xml:space="preserve"> në grupet e 3-ta në kopshte ose në klasa përgatitore. </w:t>
            </w:r>
          </w:p>
        </w:tc>
        <w:tc>
          <w:tcPr>
            <w:tcW w:w="0" w:type="auto"/>
            <w:tcBorders>
              <w:bottom w:val="single" w:sz="4" w:space="0" w:color="auto"/>
            </w:tcBorders>
            <w:shd w:val="clear" w:color="auto" w:fill="FFFFFF"/>
          </w:tcPr>
          <w:p w:rsidR="00B951B1" w:rsidRPr="00E61612" w:rsidRDefault="00B951B1" w:rsidP="00CB78E6">
            <w:pPr>
              <w:spacing w:after="0"/>
              <w:jc w:val="center"/>
              <w:rPr>
                <w:rFonts w:eastAsia="Times New Roman" w:cs="Calibri"/>
                <w:color w:val="000000"/>
                <w:sz w:val="18"/>
                <w:szCs w:val="18"/>
              </w:rPr>
            </w:pPr>
            <w:r w:rsidRPr="00E61612">
              <w:rPr>
                <w:color w:val="000000"/>
                <w:sz w:val="20"/>
                <w:szCs w:val="20"/>
              </w:rPr>
              <w:t>MASR</w:t>
            </w:r>
          </w:p>
        </w:tc>
        <w:tc>
          <w:tcPr>
            <w:tcW w:w="0" w:type="auto"/>
            <w:tcBorders>
              <w:bottom w:val="single" w:sz="4" w:space="0" w:color="auto"/>
            </w:tcBorders>
            <w:shd w:val="clear" w:color="auto" w:fill="FFFFFF"/>
          </w:tcPr>
          <w:p w:rsidR="00B951B1" w:rsidRPr="00E61612" w:rsidRDefault="00B951B1" w:rsidP="00CB78E6">
            <w:pPr>
              <w:spacing w:after="0"/>
              <w:jc w:val="center"/>
              <w:rPr>
                <w:rFonts w:eastAsia="Times New Roman" w:cs="Calibri"/>
                <w:color w:val="000000"/>
                <w:sz w:val="18"/>
                <w:szCs w:val="18"/>
              </w:rPr>
            </w:pPr>
            <w:r w:rsidRPr="00E61612">
              <w:rPr>
                <w:color w:val="000000"/>
                <w:sz w:val="20"/>
                <w:szCs w:val="20"/>
              </w:rPr>
              <w:t>DPAP</w:t>
            </w:r>
          </w:p>
        </w:tc>
        <w:tc>
          <w:tcPr>
            <w:tcW w:w="0" w:type="auto"/>
            <w:tcBorders>
              <w:bottom w:val="single" w:sz="4" w:space="0" w:color="auto"/>
            </w:tcBorders>
            <w:shd w:val="clear" w:color="auto" w:fill="FFFFFF"/>
          </w:tcPr>
          <w:p w:rsidR="00B951B1" w:rsidRPr="00E61612" w:rsidRDefault="00B951B1" w:rsidP="00CB78E6">
            <w:pPr>
              <w:spacing w:after="0"/>
              <w:jc w:val="center"/>
              <w:rPr>
                <w:rFonts w:eastAsia="Times New Roman" w:cs="Calibri"/>
                <w:color w:val="000000"/>
                <w:sz w:val="18"/>
                <w:szCs w:val="18"/>
              </w:rPr>
            </w:pPr>
            <w:r w:rsidRPr="00E61612">
              <w:rPr>
                <w:color w:val="000000"/>
                <w:sz w:val="20"/>
                <w:szCs w:val="20"/>
              </w:rPr>
              <w:t>TM3-2022</w:t>
            </w:r>
          </w:p>
        </w:tc>
        <w:tc>
          <w:tcPr>
            <w:tcW w:w="0" w:type="auto"/>
            <w:tcBorders>
              <w:bottom w:val="single" w:sz="4" w:space="0" w:color="auto"/>
            </w:tcBorders>
            <w:shd w:val="clear" w:color="auto" w:fill="FFFFFF"/>
          </w:tcPr>
          <w:p w:rsidR="00B951B1" w:rsidRPr="00E61612" w:rsidRDefault="00B951B1" w:rsidP="00CB78E6">
            <w:pPr>
              <w:spacing w:after="0"/>
              <w:jc w:val="center"/>
              <w:rPr>
                <w:rFonts w:eastAsia="Times New Roman" w:cs="Calibri"/>
                <w:color w:val="000000"/>
                <w:sz w:val="18"/>
                <w:szCs w:val="18"/>
              </w:rPr>
            </w:pPr>
            <w:r w:rsidRPr="00E61612">
              <w:rPr>
                <w:color w:val="000000"/>
                <w:sz w:val="20"/>
                <w:szCs w:val="20"/>
              </w:rPr>
              <w:t>TM4-2026</w:t>
            </w:r>
          </w:p>
        </w:tc>
        <w:tc>
          <w:tcPr>
            <w:tcW w:w="0" w:type="auto"/>
            <w:tcBorders>
              <w:bottom w:val="single" w:sz="4" w:space="0" w:color="auto"/>
            </w:tcBorders>
            <w:shd w:val="clear" w:color="auto" w:fill="FFFFFF"/>
            <w:noWrap/>
          </w:tcPr>
          <w:p w:rsidR="00B951B1" w:rsidRPr="00E61612" w:rsidRDefault="00B951B1" w:rsidP="00CB78E6">
            <w:pPr>
              <w:spacing w:after="0"/>
              <w:jc w:val="right"/>
              <w:rPr>
                <w:rFonts w:eastAsia="Times New Roman" w:cs="Calibri"/>
                <w:color w:val="000000"/>
                <w:sz w:val="18"/>
                <w:szCs w:val="18"/>
              </w:rPr>
            </w:pPr>
            <w:r w:rsidRPr="00E61612">
              <w:rPr>
                <w:color w:val="000000"/>
                <w:sz w:val="20"/>
                <w:szCs w:val="20"/>
              </w:rPr>
              <w:t xml:space="preserve">                   142,507 </w:t>
            </w:r>
          </w:p>
        </w:tc>
        <w:tc>
          <w:tcPr>
            <w:tcW w:w="0" w:type="auto"/>
            <w:tcBorders>
              <w:bottom w:val="single" w:sz="4" w:space="0" w:color="auto"/>
            </w:tcBorders>
            <w:shd w:val="clear" w:color="auto" w:fill="FFFFFF"/>
            <w:noWrap/>
          </w:tcPr>
          <w:p w:rsidR="00B951B1" w:rsidRPr="00E61612" w:rsidRDefault="00B951B1" w:rsidP="00CB78E6">
            <w:pPr>
              <w:spacing w:after="0"/>
              <w:jc w:val="right"/>
              <w:rPr>
                <w:rFonts w:eastAsia="Times New Roman" w:cs="Calibri"/>
                <w:color w:val="000000"/>
                <w:sz w:val="18"/>
                <w:szCs w:val="18"/>
              </w:rPr>
            </w:pPr>
            <w:r w:rsidRPr="00E61612">
              <w:rPr>
                <w:color w:val="000000"/>
                <w:sz w:val="20"/>
                <w:szCs w:val="20"/>
              </w:rPr>
              <w:t xml:space="preserve">                      -   </w:t>
            </w:r>
          </w:p>
        </w:tc>
        <w:tc>
          <w:tcPr>
            <w:tcW w:w="0" w:type="auto"/>
            <w:tcBorders>
              <w:bottom w:val="single" w:sz="4" w:space="0" w:color="auto"/>
            </w:tcBorders>
            <w:shd w:val="clear" w:color="auto" w:fill="FFFFFF"/>
            <w:noWrap/>
          </w:tcPr>
          <w:p w:rsidR="00B951B1" w:rsidRPr="00E61612" w:rsidRDefault="00B951B1" w:rsidP="00CB78E6">
            <w:pPr>
              <w:spacing w:after="0"/>
              <w:jc w:val="right"/>
              <w:rPr>
                <w:rFonts w:eastAsia="Times New Roman" w:cs="Calibri"/>
                <w:color w:val="000000"/>
                <w:sz w:val="18"/>
                <w:szCs w:val="18"/>
              </w:rPr>
            </w:pPr>
            <w:r w:rsidRPr="00E61612">
              <w:rPr>
                <w:color w:val="000000"/>
                <w:sz w:val="20"/>
                <w:szCs w:val="20"/>
              </w:rPr>
              <w:t xml:space="preserve">                   -   </w:t>
            </w:r>
          </w:p>
        </w:tc>
        <w:tc>
          <w:tcPr>
            <w:tcW w:w="0" w:type="auto"/>
            <w:tcBorders>
              <w:bottom w:val="single" w:sz="4" w:space="0" w:color="auto"/>
            </w:tcBorders>
            <w:shd w:val="clear" w:color="auto" w:fill="FFFFFF"/>
            <w:noWrap/>
          </w:tcPr>
          <w:p w:rsidR="00B951B1" w:rsidRPr="00E61612" w:rsidRDefault="00B951B1" w:rsidP="00CB78E6">
            <w:pPr>
              <w:spacing w:after="0"/>
              <w:jc w:val="right"/>
              <w:rPr>
                <w:rFonts w:eastAsia="Times New Roman" w:cs="Calibri"/>
                <w:color w:val="000000"/>
                <w:sz w:val="18"/>
                <w:szCs w:val="18"/>
              </w:rPr>
            </w:pPr>
            <w:r w:rsidRPr="00E61612">
              <w:rPr>
                <w:color w:val="000000"/>
                <w:sz w:val="20"/>
                <w:szCs w:val="20"/>
              </w:rPr>
              <w:t xml:space="preserve">         (142,507)</w:t>
            </w:r>
          </w:p>
        </w:tc>
      </w:tr>
      <w:tr w:rsidR="00B951B1" w:rsidRPr="00E61612" w:rsidTr="00CB78E6">
        <w:trPr>
          <w:trHeight w:val="20"/>
        </w:trPr>
        <w:tc>
          <w:tcPr>
            <w:tcW w:w="0" w:type="auto"/>
            <w:shd w:val="clear" w:color="auto" w:fill="D9D9D9"/>
          </w:tcPr>
          <w:p w:rsidR="00B951B1" w:rsidRPr="00E61612" w:rsidRDefault="00B951B1" w:rsidP="00CB78E6">
            <w:pPr>
              <w:spacing w:after="0"/>
              <w:jc w:val="center"/>
              <w:rPr>
                <w:rFonts w:eastAsia="Times New Roman" w:cs="Calibri"/>
                <w:b/>
                <w:bCs/>
                <w:color w:val="000000"/>
                <w:sz w:val="18"/>
                <w:szCs w:val="18"/>
              </w:rPr>
            </w:pPr>
            <w:r w:rsidRPr="00E61612">
              <w:rPr>
                <w:b/>
                <w:bCs/>
                <w:color w:val="000000"/>
                <w:sz w:val="20"/>
                <w:szCs w:val="20"/>
              </w:rPr>
              <w:t>A1.2</w:t>
            </w:r>
          </w:p>
        </w:tc>
        <w:tc>
          <w:tcPr>
            <w:tcW w:w="0" w:type="auto"/>
            <w:shd w:val="clear" w:color="auto" w:fill="D9D9D9"/>
          </w:tcPr>
          <w:p w:rsidR="00B951B1" w:rsidRPr="00E61612" w:rsidRDefault="00B951B1" w:rsidP="00CB78E6">
            <w:pPr>
              <w:spacing w:after="0"/>
              <w:rPr>
                <w:rFonts w:eastAsia="Times New Roman" w:cs="Calibri"/>
                <w:sz w:val="18"/>
                <w:szCs w:val="18"/>
              </w:rPr>
            </w:pPr>
            <w:r w:rsidRPr="00E61612">
              <w:rPr>
                <w:sz w:val="20"/>
                <w:szCs w:val="20"/>
              </w:rPr>
              <w:t xml:space="preserve"> Rritja e pjesëmarrjes në arsimin parauniversitar</w:t>
            </w:r>
          </w:p>
        </w:tc>
        <w:tc>
          <w:tcPr>
            <w:tcW w:w="0" w:type="auto"/>
            <w:shd w:val="clear" w:color="auto" w:fill="D9D9D9"/>
          </w:tcPr>
          <w:p w:rsidR="00B951B1" w:rsidRPr="00E61612" w:rsidRDefault="00B951B1" w:rsidP="00CB78E6">
            <w:pPr>
              <w:spacing w:after="0"/>
              <w:jc w:val="center"/>
              <w:rPr>
                <w:rFonts w:eastAsia="Times New Roman" w:cs="Calibri"/>
                <w:color w:val="000000"/>
                <w:sz w:val="18"/>
                <w:szCs w:val="18"/>
              </w:rPr>
            </w:pPr>
            <w:r w:rsidRPr="00E61612">
              <w:rPr>
                <w:color w:val="000000"/>
                <w:sz w:val="20"/>
                <w:szCs w:val="20"/>
              </w:rPr>
              <w:t>MASR</w:t>
            </w:r>
          </w:p>
        </w:tc>
        <w:tc>
          <w:tcPr>
            <w:tcW w:w="0" w:type="auto"/>
            <w:shd w:val="clear" w:color="auto" w:fill="D9D9D9"/>
          </w:tcPr>
          <w:p w:rsidR="00B951B1" w:rsidRPr="00E61612" w:rsidRDefault="00B951B1" w:rsidP="00CB78E6">
            <w:pPr>
              <w:spacing w:after="0"/>
              <w:jc w:val="center"/>
              <w:rPr>
                <w:rFonts w:eastAsia="Times New Roman" w:cs="Calibri"/>
                <w:color w:val="000000"/>
                <w:sz w:val="18"/>
                <w:szCs w:val="18"/>
              </w:rPr>
            </w:pPr>
            <w:r w:rsidRPr="00E61612">
              <w:rPr>
                <w:color w:val="000000"/>
                <w:sz w:val="20"/>
                <w:szCs w:val="20"/>
              </w:rPr>
              <w:t>DPAP</w:t>
            </w:r>
          </w:p>
        </w:tc>
        <w:tc>
          <w:tcPr>
            <w:tcW w:w="0" w:type="auto"/>
            <w:shd w:val="clear" w:color="auto" w:fill="D9D9D9"/>
          </w:tcPr>
          <w:p w:rsidR="00B951B1" w:rsidRPr="00E61612" w:rsidRDefault="00B951B1" w:rsidP="00CB78E6">
            <w:pPr>
              <w:spacing w:after="0"/>
              <w:jc w:val="center"/>
              <w:rPr>
                <w:rFonts w:eastAsia="Times New Roman" w:cs="Calibri"/>
                <w:color w:val="000000"/>
                <w:sz w:val="18"/>
                <w:szCs w:val="18"/>
              </w:rPr>
            </w:pPr>
            <w:r w:rsidRPr="00E61612">
              <w:rPr>
                <w:color w:val="000000"/>
                <w:sz w:val="20"/>
                <w:szCs w:val="20"/>
              </w:rPr>
              <w:t>TM2-2022</w:t>
            </w:r>
          </w:p>
        </w:tc>
        <w:tc>
          <w:tcPr>
            <w:tcW w:w="0" w:type="auto"/>
            <w:shd w:val="clear" w:color="auto" w:fill="D9D9D9"/>
          </w:tcPr>
          <w:p w:rsidR="00B951B1" w:rsidRPr="00E61612" w:rsidRDefault="00B951B1" w:rsidP="00CB78E6">
            <w:pPr>
              <w:spacing w:after="0"/>
              <w:jc w:val="center"/>
              <w:rPr>
                <w:rFonts w:eastAsia="Times New Roman" w:cs="Calibri"/>
                <w:color w:val="000000"/>
                <w:sz w:val="18"/>
                <w:szCs w:val="18"/>
              </w:rPr>
            </w:pPr>
            <w:r w:rsidRPr="00E61612">
              <w:rPr>
                <w:color w:val="000000"/>
                <w:sz w:val="20"/>
                <w:szCs w:val="20"/>
              </w:rPr>
              <w:t>TM4-2026</w:t>
            </w:r>
          </w:p>
        </w:tc>
        <w:tc>
          <w:tcPr>
            <w:tcW w:w="0" w:type="auto"/>
            <w:shd w:val="clear" w:color="auto" w:fill="D9D9D9"/>
            <w:noWrap/>
          </w:tcPr>
          <w:p w:rsidR="00B951B1" w:rsidRPr="00E61612" w:rsidRDefault="00B951B1" w:rsidP="00CB78E6">
            <w:pPr>
              <w:spacing w:after="0"/>
              <w:jc w:val="right"/>
              <w:rPr>
                <w:rFonts w:eastAsia="Times New Roman" w:cs="Calibri"/>
                <w:color w:val="000000"/>
                <w:sz w:val="18"/>
                <w:szCs w:val="18"/>
              </w:rPr>
            </w:pPr>
            <w:r w:rsidRPr="00E61612">
              <w:rPr>
                <w:color w:val="000000"/>
                <w:sz w:val="20"/>
                <w:szCs w:val="20"/>
              </w:rPr>
              <w:t xml:space="preserve">                   114,814 </w:t>
            </w:r>
          </w:p>
        </w:tc>
        <w:tc>
          <w:tcPr>
            <w:tcW w:w="0" w:type="auto"/>
            <w:shd w:val="clear" w:color="auto" w:fill="D9D9D9"/>
            <w:noWrap/>
          </w:tcPr>
          <w:p w:rsidR="00B951B1" w:rsidRPr="00E61612" w:rsidRDefault="00B951B1" w:rsidP="00CB78E6">
            <w:pPr>
              <w:spacing w:after="0"/>
              <w:jc w:val="right"/>
              <w:rPr>
                <w:rFonts w:eastAsia="Times New Roman" w:cs="Calibri"/>
                <w:color w:val="000000"/>
                <w:sz w:val="18"/>
                <w:szCs w:val="18"/>
              </w:rPr>
            </w:pPr>
            <w:r w:rsidRPr="00E61612">
              <w:rPr>
                <w:color w:val="000000"/>
                <w:sz w:val="20"/>
                <w:szCs w:val="20"/>
              </w:rPr>
              <w:t xml:space="preserve">                      -   </w:t>
            </w:r>
          </w:p>
        </w:tc>
        <w:tc>
          <w:tcPr>
            <w:tcW w:w="0" w:type="auto"/>
            <w:shd w:val="clear" w:color="auto" w:fill="D9D9D9"/>
            <w:noWrap/>
          </w:tcPr>
          <w:p w:rsidR="00B951B1" w:rsidRPr="00E61612" w:rsidRDefault="00B951B1" w:rsidP="00CB78E6">
            <w:pPr>
              <w:spacing w:after="0"/>
              <w:jc w:val="right"/>
              <w:rPr>
                <w:rFonts w:eastAsia="Times New Roman" w:cs="Calibri"/>
                <w:color w:val="000000"/>
                <w:sz w:val="18"/>
                <w:szCs w:val="18"/>
              </w:rPr>
            </w:pPr>
            <w:r w:rsidRPr="00E61612">
              <w:rPr>
                <w:color w:val="000000"/>
                <w:sz w:val="20"/>
                <w:szCs w:val="20"/>
              </w:rPr>
              <w:t xml:space="preserve">            6,814 </w:t>
            </w:r>
          </w:p>
        </w:tc>
        <w:tc>
          <w:tcPr>
            <w:tcW w:w="0" w:type="auto"/>
            <w:shd w:val="clear" w:color="auto" w:fill="D9D9D9"/>
            <w:noWrap/>
          </w:tcPr>
          <w:p w:rsidR="00B951B1" w:rsidRPr="00E61612" w:rsidRDefault="00B951B1" w:rsidP="00CB78E6">
            <w:pPr>
              <w:spacing w:after="0"/>
              <w:jc w:val="right"/>
              <w:rPr>
                <w:rFonts w:eastAsia="Times New Roman" w:cs="Calibri"/>
                <w:color w:val="000000"/>
                <w:sz w:val="18"/>
                <w:szCs w:val="18"/>
              </w:rPr>
            </w:pPr>
            <w:r w:rsidRPr="00E61612">
              <w:rPr>
                <w:color w:val="000000"/>
                <w:sz w:val="20"/>
                <w:szCs w:val="20"/>
              </w:rPr>
              <w:t xml:space="preserve">         (108,000)</w:t>
            </w:r>
          </w:p>
        </w:tc>
      </w:tr>
      <w:tr w:rsidR="00B951B1" w:rsidRPr="00E61612" w:rsidTr="00CB78E6">
        <w:trPr>
          <w:trHeight w:val="20"/>
        </w:trPr>
        <w:tc>
          <w:tcPr>
            <w:tcW w:w="0" w:type="auto"/>
            <w:shd w:val="clear" w:color="auto" w:fill="FFFFFF"/>
          </w:tcPr>
          <w:p w:rsidR="00B951B1" w:rsidRPr="00E61612" w:rsidRDefault="00B951B1" w:rsidP="00CB78E6">
            <w:pPr>
              <w:spacing w:after="0"/>
              <w:jc w:val="center"/>
              <w:rPr>
                <w:rFonts w:eastAsia="Times New Roman" w:cs="Calibri"/>
                <w:b/>
                <w:bCs/>
                <w:color w:val="000000"/>
                <w:sz w:val="18"/>
                <w:szCs w:val="18"/>
              </w:rPr>
            </w:pPr>
            <w:r w:rsidRPr="00E61612">
              <w:rPr>
                <w:b/>
                <w:bCs/>
                <w:color w:val="000000"/>
                <w:sz w:val="20"/>
                <w:szCs w:val="20"/>
              </w:rPr>
              <w:t>A1.2.1</w:t>
            </w:r>
          </w:p>
        </w:tc>
        <w:tc>
          <w:tcPr>
            <w:tcW w:w="0" w:type="auto"/>
            <w:shd w:val="clear" w:color="auto" w:fill="FFFFFF"/>
          </w:tcPr>
          <w:p w:rsidR="00B951B1" w:rsidRPr="00E61612" w:rsidRDefault="00B951B1" w:rsidP="00CB78E6">
            <w:pPr>
              <w:spacing w:after="0"/>
              <w:rPr>
                <w:rFonts w:eastAsia="Times New Roman" w:cs="Calibri"/>
                <w:sz w:val="18"/>
                <w:szCs w:val="18"/>
              </w:rPr>
            </w:pPr>
            <w:r w:rsidRPr="00E61612">
              <w:rPr>
                <w:sz w:val="20"/>
                <w:szCs w:val="20"/>
              </w:rPr>
              <w:t>Krijimi i sistemit për parandalim dhe reagim ndaj mosregjistrimit në shkollë dhe braktisjes së arsimi</w:t>
            </w:r>
            <w:r>
              <w:rPr>
                <w:sz w:val="20"/>
                <w:szCs w:val="20"/>
              </w:rPr>
              <w:t>t</w:t>
            </w:r>
            <w:r w:rsidRPr="00E61612">
              <w:rPr>
                <w:sz w:val="20"/>
                <w:szCs w:val="20"/>
              </w:rPr>
              <w:t xml:space="preserve"> fillor, të mesëm të ulët dhe të lartë</w:t>
            </w:r>
          </w:p>
        </w:tc>
        <w:tc>
          <w:tcPr>
            <w:tcW w:w="0" w:type="auto"/>
            <w:shd w:val="clear" w:color="auto" w:fill="FFFFFF"/>
          </w:tcPr>
          <w:p w:rsidR="00B951B1" w:rsidRPr="00E61612" w:rsidRDefault="00B951B1" w:rsidP="00CB78E6">
            <w:pPr>
              <w:spacing w:after="0"/>
              <w:jc w:val="center"/>
              <w:rPr>
                <w:rFonts w:eastAsia="Times New Roman" w:cs="Calibri"/>
                <w:color w:val="000000"/>
                <w:sz w:val="18"/>
                <w:szCs w:val="18"/>
              </w:rPr>
            </w:pPr>
            <w:r w:rsidRPr="00E61612">
              <w:rPr>
                <w:color w:val="000000"/>
                <w:sz w:val="20"/>
                <w:szCs w:val="20"/>
              </w:rPr>
              <w:t>MASR</w:t>
            </w:r>
          </w:p>
        </w:tc>
        <w:tc>
          <w:tcPr>
            <w:tcW w:w="0" w:type="auto"/>
            <w:shd w:val="clear" w:color="auto" w:fill="FFFFFF"/>
          </w:tcPr>
          <w:p w:rsidR="00B951B1" w:rsidRPr="00E61612" w:rsidRDefault="00B951B1" w:rsidP="00CB78E6">
            <w:pPr>
              <w:spacing w:after="0"/>
              <w:jc w:val="center"/>
              <w:rPr>
                <w:rFonts w:eastAsia="Times New Roman" w:cs="Calibri"/>
                <w:color w:val="000000"/>
                <w:sz w:val="18"/>
                <w:szCs w:val="18"/>
              </w:rPr>
            </w:pPr>
            <w:r w:rsidRPr="00E61612">
              <w:rPr>
                <w:color w:val="000000"/>
                <w:sz w:val="20"/>
                <w:szCs w:val="20"/>
              </w:rPr>
              <w:t>DPAP</w:t>
            </w:r>
          </w:p>
        </w:tc>
        <w:tc>
          <w:tcPr>
            <w:tcW w:w="0" w:type="auto"/>
            <w:shd w:val="clear" w:color="auto" w:fill="FFFFFF"/>
          </w:tcPr>
          <w:p w:rsidR="00B951B1" w:rsidRPr="00E61612" w:rsidRDefault="00B951B1" w:rsidP="00CB78E6">
            <w:pPr>
              <w:spacing w:after="0"/>
              <w:jc w:val="center"/>
              <w:rPr>
                <w:rFonts w:eastAsia="Times New Roman" w:cs="Calibri"/>
                <w:color w:val="000000"/>
                <w:sz w:val="18"/>
                <w:szCs w:val="18"/>
              </w:rPr>
            </w:pPr>
            <w:r w:rsidRPr="00E61612">
              <w:rPr>
                <w:color w:val="000000"/>
                <w:sz w:val="20"/>
                <w:szCs w:val="20"/>
              </w:rPr>
              <w:t>TM2-2022</w:t>
            </w:r>
          </w:p>
        </w:tc>
        <w:tc>
          <w:tcPr>
            <w:tcW w:w="0" w:type="auto"/>
            <w:shd w:val="clear" w:color="auto" w:fill="FFFFFF"/>
          </w:tcPr>
          <w:p w:rsidR="00B951B1" w:rsidRPr="00E61612" w:rsidRDefault="00B951B1" w:rsidP="00CB78E6">
            <w:pPr>
              <w:spacing w:after="0"/>
              <w:jc w:val="center"/>
              <w:rPr>
                <w:rFonts w:eastAsia="Times New Roman" w:cs="Calibri"/>
                <w:color w:val="000000"/>
                <w:sz w:val="18"/>
                <w:szCs w:val="18"/>
              </w:rPr>
            </w:pPr>
            <w:r w:rsidRPr="00E61612">
              <w:rPr>
                <w:color w:val="000000"/>
                <w:sz w:val="20"/>
                <w:szCs w:val="20"/>
              </w:rPr>
              <w:t>TM3-2024</w:t>
            </w:r>
          </w:p>
        </w:tc>
        <w:tc>
          <w:tcPr>
            <w:tcW w:w="0" w:type="auto"/>
            <w:shd w:val="clear" w:color="auto" w:fill="FFFFFF"/>
            <w:noWrap/>
          </w:tcPr>
          <w:p w:rsidR="00B951B1" w:rsidRPr="00E61612" w:rsidRDefault="00B951B1" w:rsidP="00CB78E6">
            <w:pPr>
              <w:spacing w:after="0"/>
              <w:jc w:val="right"/>
              <w:rPr>
                <w:rFonts w:eastAsia="Times New Roman" w:cs="Calibri"/>
                <w:color w:val="000000"/>
                <w:sz w:val="18"/>
                <w:szCs w:val="18"/>
              </w:rPr>
            </w:pPr>
            <w:r w:rsidRPr="00E61612">
              <w:rPr>
                <w:color w:val="000000"/>
                <w:sz w:val="20"/>
                <w:szCs w:val="20"/>
              </w:rPr>
              <w:t xml:space="preserve">                        6,814 </w:t>
            </w:r>
          </w:p>
        </w:tc>
        <w:tc>
          <w:tcPr>
            <w:tcW w:w="0" w:type="auto"/>
            <w:shd w:val="clear" w:color="auto" w:fill="FFFFFF"/>
            <w:noWrap/>
          </w:tcPr>
          <w:p w:rsidR="00B951B1" w:rsidRPr="00E61612" w:rsidRDefault="00B951B1" w:rsidP="00CB78E6">
            <w:pPr>
              <w:spacing w:after="0"/>
              <w:jc w:val="right"/>
              <w:rPr>
                <w:rFonts w:eastAsia="Times New Roman" w:cs="Calibri"/>
                <w:color w:val="000000"/>
                <w:sz w:val="18"/>
                <w:szCs w:val="18"/>
              </w:rPr>
            </w:pPr>
            <w:r w:rsidRPr="00E61612">
              <w:rPr>
                <w:color w:val="000000"/>
                <w:sz w:val="20"/>
                <w:szCs w:val="20"/>
              </w:rPr>
              <w:t xml:space="preserve">                      -   </w:t>
            </w:r>
          </w:p>
        </w:tc>
        <w:tc>
          <w:tcPr>
            <w:tcW w:w="0" w:type="auto"/>
            <w:shd w:val="clear" w:color="auto" w:fill="FFFFFF"/>
            <w:noWrap/>
          </w:tcPr>
          <w:p w:rsidR="00B951B1" w:rsidRPr="00E61612" w:rsidRDefault="00B951B1" w:rsidP="00CB78E6">
            <w:pPr>
              <w:spacing w:after="0"/>
              <w:jc w:val="right"/>
              <w:rPr>
                <w:rFonts w:eastAsia="Times New Roman" w:cs="Calibri"/>
                <w:color w:val="000000"/>
                <w:sz w:val="18"/>
                <w:szCs w:val="18"/>
              </w:rPr>
            </w:pPr>
            <w:r w:rsidRPr="00E61612">
              <w:rPr>
                <w:color w:val="000000"/>
                <w:sz w:val="20"/>
                <w:szCs w:val="20"/>
              </w:rPr>
              <w:t xml:space="preserve">            6,814 </w:t>
            </w:r>
          </w:p>
        </w:tc>
        <w:tc>
          <w:tcPr>
            <w:tcW w:w="0" w:type="auto"/>
            <w:shd w:val="clear" w:color="auto" w:fill="FFFFFF"/>
            <w:noWrap/>
          </w:tcPr>
          <w:p w:rsidR="00B951B1" w:rsidRPr="00E61612" w:rsidRDefault="00B951B1" w:rsidP="00CB78E6">
            <w:pPr>
              <w:spacing w:after="0"/>
              <w:jc w:val="right"/>
              <w:rPr>
                <w:rFonts w:eastAsia="Times New Roman" w:cs="Calibri"/>
                <w:color w:val="000000"/>
                <w:sz w:val="18"/>
                <w:szCs w:val="18"/>
              </w:rPr>
            </w:pPr>
            <w:r w:rsidRPr="00E61612">
              <w:rPr>
                <w:color w:val="000000"/>
                <w:sz w:val="20"/>
                <w:szCs w:val="20"/>
              </w:rPr>
              <w:t xml:space="preserve">                       -   </w:t>
            </w:r>
          </w:p>
        </w:tc>
      </w:tr>
      <w:tr w:rsidR="00B951B1" w:rsidRPr="00E61612" w:rsidTr="00CB78E6">
        <w:trPr>
          <w:trHeight w:val="20"/>
        </w:trPr>
        <w:tc>
          <w:tcPr>
            <w:tcW w:w="0" w:type="auto"/>
            <w:tcBorders>
              <w:bottom w:val="single" w:sz="4" w:space="0" w:color="auto"/>
            </w:tcBorders>
            <w:shd w:val="clear" w:color="auto" w:fill="FFFFFF"/>
          </w:tcPr>
          <w:p w:rsidR="00B951B1" w:rsidRPr="00E61612" w:rsidRDefault="00B951B1" w:rsidP="00CB78E6">
            <w:pPr>
              <w:spacing w:after="0"/>
              <w:jc w:val="center"/>
              <w:rPr>
                <w:rFonts w:eastAsia="Times New Roman" w:cs="Calibri"/>
                <w:b/>
                <w:bCs/>
                <w:color w:val="000000"/>
                <w:sz w:val="18"/>
                <w:szCs w:val="18"/>
              </w:rPr>
            </w:pPr>
            <w:r w:rsidRPr="00E61612">
              <w:rPr>
                <w:b/>
                <w:bCs/>
                <w:color w:val="000000"/>
                <w:sz w:val="20"/>
                <w:szCs w:val="20"/>
              </w:rPr>
              <w:t>A1.2.2</w:t>
            </w:r>
          </w:p>
        </w:tc>
        <w:tc>
          <w:tcPr>
            <w:tcW w:w="0" w:type="auto"/>
            <w:tcBorders>
              <w:bottom w:val="single" w:sz="4" w:space="0" w:color="auto"/>
            </w:tcBorders>
            <w:shd w:val="clear" w:color="auto" w:fill="FFFFFF"/>
          </w:tcPr>
          <w:p w:rsidR="00B951B1" w:rsidRPr="00E61612" w:rsidRDefault="00B951B1" w:rsidP="00CB78E6">
            <w:pPr>
              <w:spacing w:after="0"/>
              <w:rPr>
                <w:rFonts w:eastAsia="Times New Roman" w:cs="Calibri"/>
                <w:sz w:val="18"/>
                <w:szCs w:val="18"/>
              </w:rPr>
            </w:pPr>
            <w:r w:rsidRPr="00E61612">
              <w:rPr>
                <w:sz w:val="20"/>
                <w:szCs w:val="20"/>
              </w:rPr>
              <w:t xml:space="preserve">Ofrimi i transportit për nxënësit e shkollave të mesme të larta në nevojë </w:t>
            </w:r>
            <w:r w:rsidRPr="00E61612">
              <w:rPr>
                <w:sz w:val="20"/>
                <w:szCs w:val="20"/>
              </w:rPr>
              <w:lastRenderedPageBreak/>
              <w:t>që plotësojnë kriteret e përcaktuara</w:t>
            </w:r>
          </w:p>
        </w:tc>
        <w:tc>
          <w:tcPr>
            <w:tcW w:w="0" w:type="auto"/>
            <w:tcBorders>
              <w:bottom w:val="single" w:sz="4" w:space="0" w:color="auto"/>
            </w:tcBorders>
            <w:shd w:val="clear" w:color="auto" w:fill="FFFFFF"/>
          </w:tcPr>
          <w:p w:rsidR="00B951B1" w:rsidRPr="00E61612" w:rsidRDefault="00B951B1" w:rsidP="00CB78E6">
            <w:pPr>
              <w:spacing w:after="0"/>
              <w:jc w:val="center"/>
              <w:rPr>
                <w:rFonts w:eastAsia="Times New Roman" w:cs="Calibri"/>
                <w:color w:val="000000"/>
                <w:sz w:val="18"/>
                <w:szCs w:val="18"/>
              </w:rPr>
            </w:pPr>
            <w:r w:rsidRPr="00E61612">
              <w:rPr>
                <w:color w:val="000000"/>
                <w:sz w:val="20"/>
                <w:szCs w:val="20"/>
              </w:rPr>
              <w:lastRenderedPageBreak/>
              <w:t>MASR</w:t>
            </w:r>
          </w:p>
        </w:tc>
        <w:tc>
          <w:tcPr>
            <w:tcW w:w="0" w:type="auto"/>
            <w:tcBorders>
              <w:bottom w:val="single" w:sz="4" w:space="0" w:color="auto"/>
            </w:tcBorders>
            <w:shd w:val="clear" w:color="auto" w:fill="FFFFFF"/>
          </w:tcPr>
          <w:p w:rsidR="00B951B1" w:rsidRPr="00E61612" w:rsidRDefault="00B951B1" w:rsidP="00CB78E6">
            <w:pPr>
              <w:spacing w:after="0"/>
              <w:jc w:val="center"/>
              <w:rPr>
                <w:rFonts w:eastAsia="Times New Roman" w:cs="Calibri"/>
                <w:color w:val="000000"/>
                <w:sz w:val="18"/>
                <w:szCs w:val="18"/>
              </w:rPr>
            </w:pPr>
            <w:r w:rsidRPr="00E61612">
              <w:rPr>
                <w:color w:val="000000"/>
                <w:sz w:val="20"/>
                <w:szCs w:val="20"/>
              </w:rPr>
              <w:t>DPAP</w:t>
            </w:r>
          </w:p>
        </w:tc>
        <w:tc>
          <w:tcPr>
            <w:tcW w:w="0" w:type="auto"/>
            <w:tcBorders>
              <w:bottom w:val="single" w:sz="4" w:space="0" w:color="auto"/>
            </w:tcBorders>
            <w:shd w:val="clear" w:color="auto" w:fill="FFFFFF"/>
          </w:tcPr>
          <w:p w:rsidR="00B951B1" w:rsidRPr="00E61612" w:rsidRDefault="00B951B1" w:rsidP="00CB78E6">
            <w:pPr>
              <w:spacing w:after="0"/>
              <w:jc w:val="center"/>
              <w:rPr>
                <w:rFonts w:eastAsia="Times New Roman" w:cs="Calibri"/>
                <w:color w:val="000000"/>
                <w:sz w:val="18"/>
                <w:szCs w:val="18"/>
              </w:rPr>
            </w:pPr>
            <w:r w:rsidRPr="00E61612">
              <w:rPr>
                <w:color w:val="000000"/>
                <w:sz w:val="20"/>
                <w:szCs w:val="20"/>
              </w:rPr>
              <w:t>TM2-2022</w:t>
            </w:r>
          </w:p>
        </w:tc>
        <w:tc>
          <w:tcPr>
            <w:tcW w:w="0" w:type="auto"/>
            <w:tcBorders>
              <w:bottom w:val="single" w:sz="4" w:space="0" w:color="auto"/>
            </w:tcBorders>
            <w:shd w:val="clear" w:color="auto" w:fill="FFFFFF"/>
          </w:tcPr>
          <w:p w:rsidR="00B951B1" w:rsidRPr="00E61612" w:rsidRDefault="00B951B1" w:rsidP="00CB78E6">
            <w:pPr>
              <w:spacing w:after="0"/>
              <w:jc w:val="center"/>
              <w:rPr>
                <w:rFonts w:eastAsia="Times New Roman" w:cs="Calibri"/>
                <w:color w:val="000000"/>
                <w:sz w:val="18"/>
                <w:szCs w:val="18"/>
              </w:rPr>
            </w:pPr>
            <w:r w:rsidRPr="00E61612">
              <w:rPr>
                <w:color w:val="000000"/>
                <w:sz w:val="20"/>
                <w:szCs w:val="20"/>
              </w:rPr>
              <w:t>TM4-2026</w:t>
            </w:r>
          </w:p>
        </w:tc>
        <w:tc>
          <w:tcPr>
            <w:tcW w:w="0" w:type="auto"/>
            <w:tcBorders>
              <w:bottom w:val="single" w:sz="4" w:space="0" w:color="auto"/>
            </w:tcBorders>
            <w:shd w:val="clear" w:color="auto" w:fill="FFFFFF"/>
            <w:noWrap/>
          </w:tcPr>
          <w:p w:rsidR="00B951B1" w:rsidRPr="00E61612" w:rsidRDefault="00B951B1" w:rsidP="00CB78E6">
            <w:pPr>
              <w:spacing w:after="0"/>
              <w:jc w:val="right"/>
              <w:rPr>
                <w:rFonts w:eastAsia="Times New Roman" w:cs="Calibri"/>
                <w:color w:val="000000"/>
                <w:sz w:val="18"/>
                <w:szCs w:val="18"/>
              </w:rPr>
            </w:pPr>
            <w:r w:rsidRPr="00E61612">
              <w:rPr>
                <w:color w:val="000000"/>
                <w:sz w:val="20"/>
                <w:szCs w:val="20"/>
              </w:rPr>
              <w:t xml:space="preserve">                   108,000 </w:t>
            </w:r>
          </w:p>
        </w:tc>
        <w:tc>
          <w:tcPr>
            <w:tcW w:w="0" w:type="auto"/>
            <w:tcBorders>
              <w:bottom w:val="single" w:sz="4" w:space="0" w:color="auto"/>
            </w:tcBorders>
            <w:shd w:val="clear" w:color="auto" w:fill="FFFFFF"/>
            <w:noWrap/>
          </w:tcPr>
          <w:p w:rsidR="00B951B1" w:rsidRPr="00E61612" w:rsidRDefault="00B951B1" w:rsidP="00CB78E6">
            <w:pPr>
              <w:spacing w:after="0"/>
              <w:jc w:val="right"/>
              <w:rPr>
                <w:rFonts w:eastAsia="Times New Roman" w:cs="Calibri"/>
                <w:color w:val="000000"/>
                <w:sz w:val="18"/>
                <w:szCs w:val="18"/>
              </w:rPr>
            </w:pPr>
            <w:r w:rsidRPr="00E61612">
              <w:rPr>
                <w:color w:val="000000"/>
                <w:sz w:val="20"/>
                <w:szCs w:val="20"/>
              </w:rPr>
              <w:t xml:space="preserve">                      -   </w:t>
            </w:r>
          </w:p>
        </w:tc>
        <w:tc>
          <w:tcPr>
            <w:tcW w:w="0" w:type="auto"/>
            <w:tcBorders>
              <w:bottom w:val="single" w:sz="4" w:space="0" w:color="auto"/>
            </w:tcBorders>
            <w:shd w:val="clear" w:color="auto" w:fill="FFFFFF"/>
            <w:noWrap/>
          </w:tcPr>
          <w:p w:rsidR="00B951B1" w:rsidRPr="00E61612" w:rsidRDefault="00B951B1" w:rsidP="00CB78E6">
            <w:pPr>
              <w:spacing w:after="0"/>
              <w:jc w:val="right"/>
              <w:rPr>
                <w:rFonts w:eastAsia="Times New Roman" w:cs="Calibri"/>
                <w:color w:val="000000"/>
                <w:sz w:val="18"/>
                <w:szCs w:val="18"/>
              </w:rPr>
            </w:pPr>
            <w:r w:rsidRPr="00E61612">
              <w:rPr>
                <w:color w:val="000000"/>
                <w:sz w:val="20"/>
                <w:szCs w:val="20"/>
              </w:rPr>
              <w:t xml:space="preserve">                   -   </w:t>
            </w:r>
          </w:p>
        </w:tc>
        <w:tc>
          <w:tcPr>
            <w:tcW w:w="0" w:type="auto"/>
            <w:tcBorders>
              <w:bottom w:val="single" w:sz="4" w:space="0" w:color="auto"/>
            </w:tcBorders>
            <w:shd w:val="clear" w:color="auto" w:fill="FFFFFF"/>
            <w:noWrap/>
          </w:tcPr>
          <w:p w:rsidR="00B951B1" w:rsidRPr="00E61612" w:rsidRDefault="00B951B1" w:rsidP="00CB78E6">
            <w:pPr>
              <w:spacing w:after="0"/>
              <w:jc w:val="right"/>
              <w:rPr>
                <w:rFonts w:eastAsia="Times New Roman" w:cs="Calibri"/>
                <w:color w:val="000000"/>
                <w:sz w:val="18"/>
                <w:szCs w:val="18"/>
              </w:rPr>
            </w:pPr>
            <w:r w:rsidRPr="00E61612">
              <w:rPr>
                <w:color w:val="000000"/>
                <w:sz w:val="20"/>
                <w:szCs w:val="20"/>
              </w:rPr>
              <w:t xml:space="preserve">         (108,000)</w:t>
            </w:r>
          </w:p>
        </w:tc>
      </w:tr>
      <w:tr w:rsidR="00B951B1" w:rsidRPr="00E61612" w:rsidTr="00CB78E6">
        <w:trPr>
          <w:trHeight w:val="20"/>
        </w:trPr>
        <w:tc>
          <w:tcPr>
            <w:tcW w:w="0" w:type="auto"/>
            <w:shd w:val="clear" w:color="auto" w:fill="D9D9D9"/>
          </w:tcPr>
          <w:p w:rsidR="00B951B1" w:rsidRPr="00E61612" w:rsidRDefault="00B951B1" w:rsidP="00CB78E6">
            <w:pPr>
              <w:spacing w:after="0"/>
              <w:jc w:val="center"/>
              <w:rPr>
                <w:rFonts w:eastAsia="Times New Roman" w:cs="Calibri"/>
                <w:b/>
                <w:bCs/>
                <w:color w:val="000000"/>
                <w:sz w:val="18"/>
                <w:szCs w:val="18"/>
              </w:rPr>
            </w:pPr>
            <w:r w:rsidRPr="00E61612">
              <w:rPr>
                <w:b/>
                <w:bCs/>
                <w:color w:val="000000"/>
                <w:sz w:val="20"/>
                <w:szCs w:val="20"/>
              </w:rPr>
              <w:t>A1.3</w:t>
            </w:r>
          </w:p>
        </w:tc>
        <w:tc>
          <w:tcPr>
            <w:tcW w:w="0" w:type="auto"/>
            <w:shd w:val="clear" w:color="auto" w:fill="D9D9D9"/>
          </w:tcPr>
          <w:p w:rsidR="00B951B1" w:rsidRPr="00E61612" w:rsidRDefault="00B951B1" w:rsidP="00CB78E6">
            <w:pPr>
              <w:spacing w:after="0"/>
              <w:rPr>
                <w:rFonts w:eastAsia="Times New Roman" w:cs="Calibri"/>
                <w:sz w:val="18"/>
                <w:szCs w:val="18"/>
              </w:rPr>
            </w:pPr>
            <w:r w:rsidRPr="00E61612">
              <w:rPr>
                <w:sz w:val="20"/>
                <w:szCs w:val="20"/>
              </w:rPr>
              <w:t xml:space="preserve"> Sigurimi i arsimit cilësor për fëmijët nga grupet vulnerabël</w:t>
            </w:r>
          </w:p>
        </w:tc>
        <w:tc>
          <w:tcPr>
            <w:tcW w:w="0" w:type="auto"/>
            <w:shd w:val="clear" w:color="auto" w:fill="D9D9D9"/>
          </w:tcPr>
          <w:p w:rsidR="00B951B1" w:rsidRPr="00E61612" w:rsidRDefault="00B951B1" w:rsidP="00CB78E6">
            <w:pPr>
              <w:spacing w:after="0"/>
              <w:jc w:val="center"/>
              <w:rPr>
                <w:rFonts w:eastAsia="Times New Roman" w:cs="Calibri"/>
                <w:color w:val="000000"/>
                <w:sz w:val="18"/>
                <w:szCs w:val="18"/>
              </w:rPr>
            </w:pPr>
            <w:r w:rsidRPr="00E61612">
              <w:rPr>
                <w:color w:val="000000"/>
                <w:sz w:val="20"/>
                <w:szCs w:val="20"/>
              </w:rPr>
              <w:t>MASR, ASCAP</w:t>
            </w:r>
          </w:p>
        </w:tc>
        <w:tc>
          <w:tcPr>
            <w:tcW w:w="0" w:type="auto"/>
            <w:shd w:val="clear" w:color="auto" w:fill="D9D9D9"/>
          </w:tcPr>
          <w:p w:rsidR="00B951B1" w:rsidRPr="00E61612" w:rsidRDefault="00B951B1" w:rsidP="00CB78E6">
            <w:pPr>
              <w:spacing w:after="0"/>
              <w:jc w:val="center"/>
              <w:rPr>
                <w:rFonts w:eastAsia="Times New Roman" w:cs="Calibri"/>
                <w:color w:val="000000"/>
                <w:sz w:val="18"/>
                <w:szCs w:val="18"/>
              </w:rPr>
            </w:pPr>
            <w:r w:rsidRPr="00E61612">
              <w:rPr>
                <w:color w:val="000000"/>
                <w:sz w:val="20"/>
                <w:szCs w:val="20"/>
              </w:rPr>
              <w:t>DPAP, ASCAP</w:t>
            </w:r>
          </w:p>
        </w:tc>
        <w:tc>
          <w:tcPr>
            <w:tcW w:w="0" w:type="auto"/>
            <w:shd w:val="clear" w:color="auto" w:fill="D9D9D9"/>
          </w:tcPr>
          <w:p w:rsidR="00B951B1" w:rsidRPr="00E61612" w:rsidRDefault="00B951B1" w:rsidP="00CB78E6">
            <w:pPr>
              <w:spacing w:after="0"/>
              <w:jc w:val="center"/>
              <w:rPr>
                <w:rFonts w:eastAsia="Times New Roman" w:cs="Calibri"/>
                <w:color w:val="000000"/>
                <w:sz w:val="18"/>
                <w:szCs w:val="18"/>
              </w:rPr>
            </w:pPr>
            <w:r w:rsidRPr="00E61612">
              <w:rPr>
                <w:color w:val="000000"/>
                <w:sz w:val="20"/>
                <w:szCs w:val="20"/>
              </w:rPr>
              <w:t>TM1-2021</w:t>
            </w:r>
          </w:p>
        </w:tc>
        <w:tc>
          <w:tcPr>
            <w:tcW w:w="0" w:type="auto"/>
            <w:shd w:val="clear" w:color="auto" w:fill="D9D9D9"/>
          </w:tcPr>
          <w:p w:rsidR="00B951B1" w:rsidRPr="00E61612" w:rsidRDefault="00B951B1" w:rsidP="00CB78E6">
            <w:pPr>
              <w:spacing w:after="0"/>
              <w:jc w:val="center"/>
              <w:rPr>
                <w:rFonts w:eastAsia="Times New Roman" w:cs="Calibri"/>
                <w:color w:val="000000"/>
                <w:sz w:val="18"/>
                <w:szCs w:val="18"/>
              </w:rPr>
            </w:pPr>
            <w:r w:rsidRPr="00E61612">
              <w:rPr>
                <w:color w:val="000000"/>
                <w:sz w:val="20"/>
                <w:szCs w:val="20"/>
              </w:rPr>
              <w:t>TM4-2026</w:t>
            </w:r>
          </w:p>
        </w:tc>
        <w:tc>
          <w:tcPr>
            <w:tcW w:w="0" w:type="auto"/>
            <w:shd w:val="clear" w:color="auto" w:fill="D9D9D9"/>
            <w:noWrap/>
          </w:tcPr>
          <w:p w:rsidR="00B951B1" w:rsidRPr="00E61612" w:rsidRDefault="00B951B1" w:rsidP="00CB78E6">
            <w:pPr>
              <w:spacing w:after="0"/>
              <w:jc w:val="right"/>
              <w:rPr>
                <w:rFonts w:eastAsia="Times New Roman" w:cs="Calibri"/>
                <w:color w:val="000000"/>
                <w:sz w:val="18"/>
                <w:szCs w:val="18"/>
              </w:rPr>
            </w:pPr>
            <w:r w:rsidRPr="00E61612">
              <w:rPr>
                <w:color w:val="000000"/>
                <w:sz w:val="20"/>
                <w:szCs w:val="20"/>
              </w:rPr>
              <w:t xml:space="preserve">                7,268,512 </w:t>
            </w:r>
          </w:p>
        </w:tc>
        <w:tc>
          <w:tcPr>
            <w:tcW w:w="0" w:type="auto"/>
            <w:shd w:val="clear" w:color="auto" w:fill="D9D9D9"/>
            <w:noWrap/>
          </w:tcPr>
          <w:p w:rsidR="00B951B1" w:rsidRPr="00E61612" w:rsidRDefault="00B951B1" w:rsidP="00CB78E6">
            <w:pPr>
              <w:spacing w:after="0"/>
              <w:jc w:val="right"/>
              <w:rPr>
                <w:rFonts w:eastAsia="Times New Roman" w:cs="Calibri"/>
                <w:color w:val="000000"/>
                <w:sz w:val="18"/>
                <w:szCs w:val="18"/>
              </w:rPr>
            </w:pPr>
            <w:r w:rsidRPr="00E61612">
              <w:rPr>
                <w:color w:val="000000"/>
                <w:sz w:val="20"/>
                <w:szCs w:val="20"/>
              </w:rPr>
              <w:t xml:space="preserve">       6,441,360 </w:t>
            </w:r>
          </w:p>
        </w:tc>
        <w:tc>
          <w:tcPr>
            <w:tcW w:w="0" w:type="auto"/>
            <w:shd w:val="clear" w:color="auto" w:fill="D9D9D9"/>
            <w:noWrap/>
          </w:tcPr>
          <w:p w:rsidR="00B951B1" w:rsidRPr="00E61612" w:rsidRDefault="00B951B1" w:rsidP="00CB78E6">
            <w:pPr>
              <w:spacing w:after="0"/>
              <w:jc w:val="right"/>
              <w:rPr>
                <w:rFonts w:eastAsia="Times New Roman" w:cs="Calibri"/>
                <w:color w:val="000000"/>
                <w:sz w:val="18"/>
                <w:szCs w:val="18"/>
              </w:rPr>
            </w:pPr>
            <w:r w:rsidRPr="00E61612">
              <w:rPr>
                <w:color w:val="000000"/>
                <w:sz w:val="20"/>
                <w:szCs w:val="20"/>
              </w:rPr>
              <w:t xml:space="preserve">          32,914 </w:t>
            </w:r>
          </w:p>
        </w:tc>
        <w:tc>
          <w:tcPr>
            <w:tcW w:w="0" w:type="auto"/>
            <w:shd w:val="clear" w:color="auto" w:fill="D9D9D9"/>
            <w:noWrap/>
          </w:tcPr>
          <w:p w:rsidR="00B951B1" w:rsidRPr="00E61612" w:rsidRDefault="00B951B1" w:rsidP="00CB78E6">
            <w:pPr>
              <w:spacing w:after="0"/>
              <w:jc w:val="right"/>
              <w:rPr>
                <w:rFonts w:eastAsia="Times New Roman" w:cs="Calibri"/>
                <w:color w:val="000000"/>
                <w:sz w:val="18"/>
                <w:szCs w:val="18"/>
              </w:rPr>
            </w:pPr>
            <w:r w:rsidRPr="00E61612">
              <w:rPr>
                <w:color w:val="000000"/>
                <w:sz w:val="20"/>
                <w:szCs w:val="20"/>
              </w:rPr>
              <w:t xml:space="preserve">         (794,238)</w:t>
            </w:r>
          </w:p>
        </w:tc>
      </w:tr>
      <w:tr w:rsidR="00B951B1" w:rsidRPr="00E61612" w:rsidTr="00CB78E6">
        <w:trPr>
          <w:trHeight w:val="20"/>
        </w:trPr>
        <w:tc>
          <w:tcPr>
            <w:tcW w:w="0" w:type="auto"/>
            <w:shd w:val="clear" w:color="auto" w:fill="FFFFFF"/>
          </w:tcPr>
          <w:p w:rsidR="00B951B1" w:rsidRPr="00E61612" w:rsidRDefault="00B951B1" w:rsidP="00CB78E6">
            <w:pPr>
              <w:spacing w:after="0"/>
              <w:jc w:val="center"/>
              <w:rPr>
                <w:rFonts w:eastAsia="Times New Roman" w:cs="Calibri"/>
                <w:b/>
                <w:bCs/>
                <w:color w:val="000000"/>
                <w:sz w:val="18"/>
                <w:szCs w:val="18"/>
              </w:rPr>
            </w:pPr>
            <w:r w:rsidRPr="00E61612">
              <w:rPr>
                <w:b/>
                <w:bCs/>
                <w:color w:val="000000"/>
                <w:sz w:val="20"/>
                <w:szCs w:val="20"/>
              </w:rPr>
              <w:t>A1.3.1</w:t>
            </w:r>
          </w:p>
        </w:tc>
        <w:tc>
          <w:tcPr>
            <w:tcW w:w="0" w:type="auto"/>
            <w:shd w:val="clear" w:color="auto" w:fill="FFFFFF"/>
          </w:tcPr>
          <w:p w:rsidR="00B951B1" w:rsidRPr="00E61612" w:rsidRDefault="00B951B1" w:rsidP="00CB78E6">
            <w:pPr>
              <w:spacing w:after="0"/>
              <w:rPr>
                <w:rFonts w:eastAsia="Times New Roman" w:cs="Calibri"/>
                <w:sz w:val="18"/>
                <w:szCs w:val="18"/>
              </w:rPr>
            </w:pPr>
            <w:r w:rsidRPr="00E61612">
              <w:rPr>
                <w:sz w:val="20"/>
                <w:szCs w:val="20"/>
              </w:rPr>
              <w:t xml:space="preserve">Sigurimi i mësuesve ndihmës për nxënësit me aftësi të kufizuara dhe i mësuesve që njohin gjuhën e shenjave </w:t>
            </w:r>
            <w:r>
              <w:rPr>
                <w:sz w:val="20"/>
                <w:szCs w:val="20"/>
              </w:rPr>
              <w:t xml:space="preserve">në </w:t>
            </w:r>
            <w:r w:rsidRPr="00E61612">
              <w:rPr>
                <w:sz w:val="20"/>
                <w:szCs w:val="20"/>
              </w:rPr>
              <w:t>shqip për nxënësit që nuk dëgjojnë</w:t>
            </w:r>
          </w:p>
        </w:tc>
        <w:tc>
          <w:tcPr>
            <w:tcW w:w="0" w:type="auto"/>
            <w:shd w:val="clear" w:color="auto" w:fill="FFFFFF"/>
          </w:tcPr>
          <w:p w:rsidR="00B951B1" w:rsidRPr="00E61612" w:rsidRDefault="00B951B1" w:rsidP="00CB78E6">
            <w:pPr>
              <w:spacing w:after="0"/>
              <w:jc w:val="center"/>
              <w:rPr>
                <w:rFonts w:eastAsia="Times New Roman" w:cs="Calibri"/>
                <w:color w:val="000000"/>
                <w:sz w:val="18"/>
                <w:szCs w:val="18"/>
              </w:rPr>
            </w:pPr>
            <w:r w:rsidRPr="00E61612">
              <w:rPr>
                <w:color w:val="000000"/>
                <w:sz w:val="20"/>
                <w:szCs w:val="20"/>
              </w:rPr>
              <w:t>MASR</w:t>
            </w:r>
          </w:p>
        </w:tc>
        <w:tc>
          <w:tcPr>
            <w:tcW w:w="0" w:type="auto"/>
            <w:shd w:val="clear" w:color="auto" w:fill="FFFFFF"/>
          </w:tcPr>
          <w:p w:rsidR="00B951B1" w:rsidRPr="00E61612" w:rsidRDefault="00B951B1" w:rsidP="00CB78E6">
            <w:pPr>
              <w:spacing w:after="0"/>
              <w:jc w:val="center"/>
              <w:rPr>
                <w:rFonts w:eastAsia="Times New Roman" w:cs="Calibri"/>
                <w:color w:val="000000"/>
                <w:sz w:val="18"/>
                <w:szCs w:val="18"/>
              </w:rPr>
            </w:pPr>
            <w:r w:rsidRPr="00E61612">
              <w:rPr>
                <w:color w:val="000000"/>
                <w:sz w:val="20"/>
                <w:szCs w:val="20"/>
              </w:rPr>
              <w:t>DPAP</w:t>
            </w:r>
          </w:p>
        </w:tc>
        <w:tc>
          <w:tcPr>
            <w:tcW w:w="0" w:type="auto"/>
            <w:shd w:val="clear" w:color="auto" w:fill="FFFFFF"/>
          </w:tcPr>
          <w:p w:rsidR="00B951B1" w:rsidRPr="00E61612" w:rsidRDefault="00B951B1" w:rsidP="00CB78E6">
            <w:pPr>
              <w:spacing w:after="0"/>
              <w:jc w:val="center"/>
              <w:rPr>
                <w:rFonts w:eastAsia="Times New Roman" w:cs="Calibri"/>
                <w:color w:val="000000"/>
                <w:sz w:val="18"/>
                <w:szCs w:val="18"/>
              </w:rPr>
            </w:pPr>
            <w:r w:rsidRPr="00E61612">
              <w:rPr>
                <w:color w:val="000000"/>
                <w:sz w:val="20"/>
                <w:szCs w:val="20"/>
              </w:rPr>
              <w:t>TM1-2021</w:t>
            </w:r>
          </w:p>
        </w:tc>
        <w:tc>
          <w:tcPr>
            <w:tcW w:w="0" w:type="auto"/>
            <w:shd w:val="clear" w:color="auto" w:fill="FFFFFF"/>
          </w:tcPr>
          <w:p w:rsidR="00B951B1" w:rsidRPr="00E61612" w:rsidRDefault="00B951B1" w:rsidP="00CB78E6">
            <w:pPr>
              <w:spacing w:after="0"/>
              <w:jc w:val="center"/>
              <w:rPr>
                <w:rFonts w:eastAsia="Times New Roman" w:cs="Calibri"/>
                <w:color w:val="000000"/>
                <w:sz w:val="18"/>
                <w:szCs w:val="18"/>
              </w:rPr>
            </w:pPr>
            <w:r w:rsidRPr="00E61612">
              <w:rPr>
                <w:color w:val="000000"/>
                <w:sz w:val="20"/>
                <w:szCs w:val="20"/>
              </w:rPr>
              <w:t>TM4-2026</w:t>
            </w:r>
          </w:p>
        </w:tc>
        <w:tc>
          <w:tcPr>
            <w:tcW w:w="0" w:type="auto"/>
            <w:shd w:val="clear" w:color="auto" w:fill="FFFFFF"/>
            <w:noWrap/>
          </w:tcPr>
          <w:p w:rsidR="00B951B1" w:rsidRPr="00E61612" w:rsidRDefault="00B951B1" w:rsidP="00CB78E6">
            <w:pPr>
              <w:spacing w:after="0"/>
              <w:jc w:val="right"/>
              <w:rPr>
                <w:rFonts w:eastAsia="Times New Roman" w:cs="Calibri"/>
                <w:color w:val="000000"/>
                <w:sz w:val="18"/>
                <w:szCs w:val="18"/>
              </w:rPr>
            </w:pPr>
            <w:r w:rsidRPr="00E61612">
              <w:rPr>
                <w:color w:val="000000"/>
                <w:sz w:val="20"/>
                <w:szCs w:val="20"/>
              </w:rPr>
              <w:t xml:space="preserve">                6,515,110 </w:t>
            </w:r>
          </w:p>
        </w:tc>
        <w:tc>
          <w:tcPr>
            <w:tcW w:w="0" w:type="auto"/>
            <w:shd w:val="clear" w:color="auto" w:fill="FFFFFF"/>
            <w:noWrap/>
          </w:tcPr>
          <w:p w:rsidR="00B951B1" w:rsidRPr="00E61612" w:rsidRDefault="00B951B1" w:rsidP="00CB78E6">
            <w:pPr>
              <w:spacing w:after="0"/>
              <w:jc w:val="right"/>
              <w:rPr>
                <w:rFonts w:eastAsia="Times New Roman" w:cs="Calibri"/>
                <w:color w:val="000000"/>
                <w:sz w:val="18"/>
                <w:szCs w:val="18"/>
              </w:rPr>
            </w:pPr>
            <w:r w:rsidRPr="00E61612">
              <w:rPr>
                <w:color w:val="000000"/>
                <w:sz w:val="20"/>
                <w:szCs w:val="20"/>
              </w:rPr>
              <w:t xml:space="preserve">       5,908,002 </w:t>
            </w:r>
          </w:p>
        </w:tc>
        <w:tc>
          <w:tcPr>
            <w:tcW w:w="0" w:type="auto"/>
            <w:shd w:val="clear" w:color="auto" w:fill="FFFFFF"/>
            <w:noWrap/>
          </w:tcPr>
          <w:p w:rsidR="00B951B1" w:rsidRPr="00E61612" w:rsidRDefault="00B951B1" w:rsidP="00CB78E6">
            <w:pPr>
              <w:spacing w:after="0"/>
              <w:jc w:val="right"/>
              <w:rPr>
                <w:rFonts w:eastAsia="Times New Roman" w:cs="Calibri"/>
                <w:color w:val="000000"/>
                <w:sz w:val="18"/>
                <w:szCs w:val="18"/>
              </w:rPr>
            </w:pPr>
            <w:r w:rsidRPr="00E61612">
              <w:rPr>
                <w:color w:val="000000"/>
                <w:sz w:val="20"/>
                <w:szCs w:val="20"/>
              </w:rPr>
              <w:t xml:space="preserve">                   -   </w:t>
            </w:r>
          </w:p>
        </w:tc>
        <w:tc>
          <w:tcPr>
            <w:tcW w:w="0" w:type="auto"/>
            <w:shd w:val="clear" w:color="auto" w:fill="FFFFFF"/>
            <w:noWrap/>
          </w:tcPr>
          <w:p w:rsidR="00B951B1" w:rsidRPr="00E61612" w:rsidRDefault="00B951B1" w:rsidP="00CB78E6">
            <w:pPr>
              <w:spacing w:after="0"/>
              <w:jc w:val="right"/>
              <w:rPr>
                <w:rFonts w:eastAsia="Times New Roman" w:cs="Calibri"/>
                <w:color w:val="000000"/>
                <w:sz w:val="18"/>
                <w:szCs w:val="18"/>
              </w:rPr>
            </w:pPr>
            <w:r w:rsidRPr="00E61612">
              <w:rPr>
                <w:color w:val="000000"/>
                <w:sz w:val="20"/>
                <w:szCs w:val="20"/>
              </w:rPr>
              <w:t xml:space="preserve">         (607,108)</w:t>
            </w:r>
          </w:p>
        </w:tc>
      </w:tr>
      <w:tr w:rsidR="00B951B1" w:rsidRPr="00E61612" w:rsidTr="00CB78E6">
        <w:trPr>
          <w:trHeight w:val="20"/>
        </w:trPr>
        <w:tc>
          <w:tcPr>
            <w:tcW w:w="0" w:type="auto"/>
            <w:shd w:val="clear" w:color="auto" w:fill="FFFFFF"/>
          </w:tcPr>
          <w:p w:rsidR="00B951B1" w:rsidRPr="00E61612" w:rsidRDefault="00B951B1" w:rsidP="00CB78E6">
            <w:pPr>
              <w:spacing w:after="0"/>
              <w:jc w:val="center"/>
              <w:rPr>
                <w:rFonts w:eastAsia="Times New Roman" w:cs="Calibri"/>
                <w:b/>
                <w:bCs/>
                <w:color w:val="000000"/>
                <w:sz w:val="18"/>
                <w:szCs w:val="18"/>
              </w:rPr>
            </w:pPr>
            <w:r w:rsidRPr="00E61612">
              <w:rPr>
                <w:b/>
                <w:bCs/>
                <w:color w:val="000000"/>
                <w:sz w:val="20"/>
                <w:szCs w:val="20"/>
              </w:rPr>
              <w:t>A1.3.2</w:t>
            </w:r>
          </w:p>
        </w:tc>
        <w:tc>
          <w:tcPr>
            <w:tcW w:w="0" w:type="auto"/>
            <w:shd w:val="clear" w:color="auto" w:fill="FFFFFF"/>
          </w:tcPr>
          <w:p w:rsidR="00B951B1" w:rsidRPr="00E61612" w:rsidRDefault="00B951B1" w:rsidP="00CB78E6">
            <w:pPr>
              <w:spacing w:after="0"/>
              <w:rPr>
                <w:rFonts w:eastAsia="Times New Roman" w:cs="Calibri"/>
                <w:sz w:val="18"/>
                <w:szCs w:val="18"/>
              </w:rPr>
            </w:pPr>
            <w:r w:rsidRPr="00E61612">
              <w:rPr>
                <w:sz w:val="20"/>
                <w:szCs w:val="20"/>
              </w:rPr>
              <w:t xml:space="preserve">Zhvillimi i kapaciteteve të mësuesve ndihmës, si dhe i mësuesve që njohin gjuhën e shenjave </w:t>
            </w:r>
            <w:r>
              <w:rPr>
                <w:sz w:val="20"/>
                <w:szCs w:val="20"/>
              </w:rPr>
              <w:t xml:space="preserve">në </w:t>
            </w:r>
            <w:r w:rsidRPr="00E61612">
              <w:rPr>
                <w:sz w:val="20"/>
                <w:szCs w:val="20"/>
              </w:rPr>
              <w:t>shqip</w:t>
            </w:r>
          </w:p>
        </w:tc>
        <w:tc>
          <w:tcPr>
            <w:tcW w:w="0" w:type="auto"/>
            <w:shd w:val="clear" w:color="auto" w:fill="FFFFFF"/>
          </w:tcPr>
          <w:p w:rsidR="00B951B1" w:rsidRPr="00E61612" w:rsidRDefault="00B951B1" w:rsidP="00CB78E6">
            <w:pPr>
              <w:spacing w:after="0"/>
              <w:jc w:val="center"/>
              <w:rPr>
                <w:rFonts w:eastAsia="Times New Roman" w:cs="Calibri"/>
                <w:color w:val="000000"/>
                <w:sz w:val="18"/>
                <w:szCs w:val="18"/>
              </w:rPr>
            </w:pPr>
            <w:r w:rsidRPr="00E61612">
              <w:rPr>
                <w:color w:val="000000"/>
                <w:sz w:val="20"/>
                <w:szCs w:val="20"/>
              </w:rPr>
              <w:t>MASR</w:t>
            </w:r>
          </w:p>
        </w:tc>
        <w:tc>
          <w:tcPr>
            <w:tcW w:w="0" w:type="auto"/>
            <w:shd w:val="clear" w:color="auto" w:fill="FFFFFF"/>
          </w:tcPr>
          <w:p w:rsidR="00B951B1" w:rsidRPr="00E61612" w:rsidRDefault="00B951B1" w:rsidP="00CB78E6">
            <w:pPr>
              <w:spacing w:after="0"/>
              <w:jc w:val="center"/>
              <w:rPr>
                <w:rFonts w:eastAsia="Times New Roman" w:cs="Calibri"/>
                <w:color w:val="000000"/>
                <w:sz w:val="18"/>
                <w:szCs w:val="18"/>
              </w:rPr>
            </w:pPr>
            <w:r w:rsidRPr="00E61612">
              <w:rPr>
                <w:color w:val="000000"/>
                <w:sz w:val="20"/>
                <w:szCs w:val="20"/>
              </w:rPr>
              <w:t>ASCAP</w:t>
            </w:r>
          </w:p>
        </w:tc>
        <w:tc>
          <w:tcPr>
            <w:tcW w:w="0" w:type="auto"/>
            <w:shd w:val="clear" w:color="auto" w:fill="FFFFFF"/>
          </w:tcPr>
          <w:p w:rsidR="00B951B1" w:rsidRPr="00E61612" w:rsidRDefault="00B951B1" w:rsidP="00CB78E6">
            <w:pPr>
              <w:spacing w:after="0"/>
              <w:jc w:val="center"/>
              <w:rPr>
                <w:rFonts w:eastAsia="Times New Roman" w:cs="Calibri"/>
                <w:color w:val="000000"/>
                <w:sz w:val="18"/>
                <w:szCs w:val="18"/>
              </w:rPr>
            </w:pPr>
            <w:r w:rsidRPr="00E61612">
              <w:rPr>
                <w:color w:val="000000"/>
                <w:sz w:val="20"/>
                <w:szCs w:val="20"/>
              </w:rPr>
              <w:t>TM2-2022</w:t>
            </w:r>
          </w:p>
        </w:tc>
        <w:tc>
          <w:tcPr>
            <w:tcW w:w="0" w:type="auto"/>
            <w:shd w:val="clear" w:color="auto" w:fill="FFFFFF"/>
          </w:tcPr>
          <w:p w:rsidR="00B951B1" w:rsidRPr="00E61612" w:rsidRDefault="00B951B1" w:rsidP="00CB78E6">
            <w:pPr>
              <w:spacing w:after="0"/>
              <w:jc w:val="center"/>
              <w:rPr>
                <w:rFonts w:eastAsia="Times New Roman" w:cs="Calibri"/>
                <w:color w:val="000000"/>
                <w:sz w:val="18"/>
                <w:szCs w:val="18"/>
              </w:rPr>
            </w:pPr>
            <w:r w:rsidRPr="00E61612">
              <w:rPr>
                <w:color w:val="000000"/>
                <w:sz w:val="20"/>
                <w:szCs w:val="20"/>
              </w:rPr>
              <w:t>TM3-2024</w:t>
            </w:r>
          </w:p>
        </w:tc>
        <w:tc>
          <w:tcPr>
            <w:tcW w:w="0" w:type="auto"/>
            <w:shd w:val="clear" w:color="auto" w:fill="FFFFFF"/>
            <w:noWrap/>
          </w:tcPr>
          <w:p w:rsidR="00B951B1" w:rsidRPr="00E61612" w:rsidRDefault="00B951B1" w:rsidP="00CB78E6">
            <w:pPr>
              <w:spacing w:after="0"/>
              <w:jc w:val="right"/>
              <w:rPr>
                <w:rFonts w:eastAsia="Times New Roman" w:cs="Calibri"/>
                <w:color w:val="000000"/>
                <w:sz w:val="18"/>
                <w:szCs w:val="18"/>
              </w:rPr>
            </w:pPr>
            <w:r w:rsidRPr="00E61612">
              <w:rPr>
                <w:color w:val="000000"/>
                <w:sz w:val="20"/>
                <w:szCs w:val="20"/>
              </w:rPr>
              <w:t xml:space="preserve">                        5,407 </w:t>
            </w:r>
          </w:p>
        </w:tc>
        <w:tc>
          <w:tcPr>
            <w:tcW w:w="0" w:type="auto"/>
            <w:shd w:val="clear" w:color="auto" w:fill="FFFFFF"/>
            <w:noWrap/>
          </w:tcPr>
          <w:p w:rsidR="00B951B1" w:rsidRPr="00E61612" w:rsidRDefault="00B951B1" w:rsidP="00CB78E6">
            <w:pPr>
              <w:spacing w:after="0"/>
              <w:jc w:val="right"/>
              <w:rPr>
                <w:rFonts w:eastAsia="Times New Roman" w:cs="Calibri"/>
                <w:color w:val="000000"/>
                <w:sz w:val="18"/>
                <w:szCs w:val="18"/>
              </w:rPr>
            </w:pPr>
            <w:r w:rsidRPr="00E61612">
              <w:rPr>
                <w:color w:val="000000"/>
                <w:sz w:val="20"/>
                <w:szCs w:val="20"/>
              </w:rPr>
              <w:t xml:space="preserve">                      -   </w:t>
            </w:r>
          </w:p>
        </w:tc>
        <w:tc>
          <w:tcPr>
            <w:tcW w:w="0" w:type="auto"/>
            <w:shd w:val="clear" w:color="auto" w:fill="FFFFFF"/>
            <w:noWrap/>
          </w:tcPr>
          <w:p w:rsidR="00B951B1" w:rsidRPr="00E61612" w:rsidRDefault="00B951B1" w:rsidP="00CB78E6">
            <w:pPr>
              <w:spacing w:after="0"/>
              <w:jc w:val="right"/>
              <w:rPr>
                <w:rFonts w:eastAsia="Times New Roman" w:cs="Calibri"/>
                <w:color w:val="000000"/>
                <w:sz w:val="18"/>
                <w:szCs w:val="18"/>
              </w:rPr>
            </w:pPr>
            <w:r w:rsidRPr="00E61612">
              <w:rPr>
                <w:color w:val="000000"/>
                <w:sz w:val="20"/>
                <w:szCs w:val="20"/>
              </w:rPr>
              <w:t xml:space="preserve">            5,407 </w:t>
            </w:r>
          </w:p>
        </w:tc>
        <w:tc>
          <w:tcPr>
            <w:tcW w:w="0" w:type="auto"/>
            <w:shd w:val="clear" w:color="auto" w:fill="FFFFFF"/>
            <w:noWrap/>
          </w:tcPr>
          <w:p w:rsidR="00B951B1" w:rsidRPr="00E61612" w:rsidRDefault="00B951B1" w:rsidP="00CB78E6">
            <w:pPr>
              <w:spacing w:after="0"/>
              <w:jc w:val="right"/>
              <w:rPr>
                <w:rFonts w:eastAsia="Times New Roman" w:cs="Calibri"/>
                <w:color w:val="000000"/>
                <w:sz w:val="18"/>
                <w:szCs w:val="18"/>
              </w:rPr>
            </w:pPr>
            <w:r w:rsidRPr="00E61612">
              <w:rPr>
                <w:color w:val="000000"/>
                <w:sz w:val="20"/>
                <w:szCs w:val="20"/>
              </w:rPr>
              <w:t xml:space="preserve">                       -   </w:t>
            </w:r>
          </w:p>
        </w:tc>
      </w:tr>
      <w:tr w:rsidR="00B951B1" w:rsidRPr="00E61612" w:rsidTr="00CB78E6">
        <w:trPr>
          <w:trHeight w:val="20"/>
        </w:trPr>
        <w:tc>
          <w:tcPr>
            <w:tcW w:w="0" w:type="auto"/>
            <w:shd w:val="clear" w:color="auto" w:fill="FFFFFF"/>
          </w:tcPr>
          <w:p w:rsidR="00B951B1" w:rsidRPr="00E61612" w:rsidRDefault="00B951B1" w:rsidP="00CB78E6">
            <w:pPr>
              <w:spacing w:after="0"/>
              <w:jc w:val="center"/>
              <w:rPr>
                <w:rFonts w:eastAsia="Times New Roman" w:cs="Calibri"/>
                <w:b/>
                <w:bCs/>
                <w:color w:val="000000"/>
                <w:sz w:val="18"/>
                <w:szCs w:val="18"/>
              </w:rPr>
            </w:pPr>
            <w:r w:rsidRPr="00E61612">
              <w:rPr>
                <w:b/>
                <w:bCs/>
                <w:color w:val="000000"/>
                <w:sz w:val="20"/>
                <w:szCs w:val="20"/>
              </w:rPr>
              <w:t>A1.3.3</w:t>
            </w:r>
          </w:p>
        </w:tc>
        <w:tc>
          <w:tcPr>
            <w:tcW w:w="0" w:type="auto"/>
            <w:shd w:val="clear" w:color="auto" w:fill="FFFFFF"/>
          </w:tcPr>
          <w:p w:rsidR="00B951B1" w:rsidRPr="00E61612" w:rsidRDefault="00B951B1" w:rsidP="00CB78E6">
            <w:pPr>
              <w:spacing w:after="0"/>
              <w:rPr>
                <w:rFonts w:eastAsia="Times New Roman" w:cs="Calibri"/>
                <w:sz w:val="18"/>
                <w:szCs w:val="18"/>
              </w:rPr>
            </w:pPr>
            <w:r w:rsidRPr="00E61612">
              <w:rPr>
                <w:sz w:val="20"/>
                <w:szCs w:val="20"/>
              </w:rPr>
              <w:t>Fuqizimi i shkollave speciale dhe kthimi i tyre në qendra burimore për aftësinë e kufizuar</w:t>
            </w:r>
          </w:p>
        </w:tc>
        <w:tc>
          <w:tcPr>
            <w:tcW w:w="0" w:type="auto"/>
            <w:shd w:val="clear" w:color="auto" w:fill="FFFFFF"/>
          </w:tcPr>
          <w:p w:rsidR="00B951B1" w:rsidRPr="00E61612" w:rsidRDefault="00B951B1" w:rsidP="00CB78E6">
            <w:pPr>
              <w:spacing w:after="0"/>
              <w:jc w:val="center"/>
              <w:rPr>
                <w:rFonts w:eastAsia="Times New Roman" w:cs="Calibri"/>
                <w:color w:val="000000"/>
                <w:sz w:val="18"/>
                <w:szCs w:val="18"/>
              </w:rPr>
            </w:pPr>
            <w:r w:rsidRPr="00E61612">
              <w:rPr>
                <w:color w:val="000000"/>
                <w:sz w:val="20"/>
                <w:szCs w:val="20"/>
              </w:rPr>
              <w:t>MASR</w:t>
            </w:r>
          </w:p>
        </w:tc>
        <w:tc>
          <w:tcPr>
            <w:tcW w:w="0" w:type="auto"/>
            <w:shd w:val="clear" w:color="auto" w:fill="FFFFFF"/>
          </w:tcPr>
          <w:p w:rsidR="00B951B1" w:rsidRPr="00E61612" w:rsidRDefault="00B951B1" w:rsidP="00CB78E6">
            <w:pPr>
              <w:spacing w:after="0"/>
              <w:jc w:val="center"/>
              <w:rPr>
                <w:rFonts w:eastAsia="Times New Roman" w:cs="Calibri"/>
                <w:color w:val="000000"/>
                <w:sz w:val="18"/>
                <w:szCs w:val="18"/>
              </w:rPr>
            </w:pPr>
            <w:r w:rsidRPr="00E61612">
              <w:rPr>
                <w:color w:val="000000"/>
                <w:sz w:val="20"/>
                <w:szCs w:val="20"/>
              </w:rPr>
              <w:t>ASCAP</w:t>
            </w:r>
            <w:r w:rsidRPr="00E61612">
              <w:rPr>
                <w:color w:val="000000"/>
                <w:sz w:val="20"/>
                <w:szCs w:val="20"/>
              </w:rPr>
              <w:br/>
              <w:t>DPAP</w:t>
            </w:r>
          </w:p>
        </w:tc>
        <w:tc>
          <w:tcPr>
            <w:tcW w:w="0" w:type="auto"/>
            <w:shd w:val="clear" w:color="auto" w:fill="FFFFFF"/>
          </w:tcPr>
          <w:p w:rsidR="00B951B1" w:rsidRPr="00E61612" w:rsidRDefault="00B951B1" w:rsidP="00CB78E6">
            <w:pPr>
              <w:spacing w:after="0"/>
              <w:jc w:val="center"/>
              <w:rPr>
                <w:rFonts w:eastAsia="Times New Roman" w:cs="Calibri"/>
                <w:color w:val="000000"/>
                <w:sz w:val="18"/>
                <w:szCs w:val="18"/>
              </w:rPr>
            </w:pPr>
            <w:r w:rsidRPr="00E61612">
              <w:rPr>
                <w:color w:val="000000"/>
                <w:sz w:val="20"/>
                <w:szCs w:val="20"/>
              </w:rPr>
              <w:t>TM1-2023</w:t>
            </w:r>
          </w:p>
        </w:tc>
        <w:tc>
          <w:tcPr>
            <w:tcW w:w="0" w:type="auto"/>
            <w:shd w:val="clear" w:color="auto" w:fill="FFFFFF"/>
          </w:tcPr>
          <w:p w:rsidR="00B951B1" w:rsidRPr="00E61612" w:rsidRDefault="00B951B1" w:rsidP="00CB78E6">
            <w:pPr>
              <w:spacing w:after="0"/>
              <w:jc w:val="center"/>
              <w:rPr>
                <w:rFonts w:eastAsia="Times New Roman" w:cs="Calibri"/>
                <w:color w:val="000000"/>
                <w:sz w:val="18"/>
                <w:szCs w:val="18"/>
              </w:rPr>
            </w:pPr>
            <w:r w:rsidRPr="00E61612">
              <w:rPr>
                <w:color w:val="000000"/>
                <w:sz w:val="20"/>
                <w:szCs w:val="20"/>
              </w:rPr>
              <w:t>TM3-2025</w:t>
            </w:r>
          </w:p>
        </w:tc>
        <w:tc>
          <w:tcPr>
            <w:tcW w:w="0" w:type="auto"/>
            <w:shd w:val="clear" w:color="auto" w:fill="FFFFFF"/>
            <w:noWrap/>
          </w:tcPr>
          <w:p w:rsidR="00B951B1" w:rsidRPr="00E61612" w:rsidRDefault="00B951B1" w:rsidP="00CB78E6">
            <w:pPr>
              <w:spacing w:after="0"/>
              <w:jc w:val="right"/>
              <w:rPr>
                <w:rFonts w:eastAsia="Times New Roman" w:cs="Calibri"/>
                <w:color w:val="000000"/>
                <w:sz w:val="18"/>
                <w:szCs w:val="18"/>
              </w:rPr>
            </w:pPr>
            <w:r w:rsidRPr="00E61612">
              <w:rPr>
                <w:color w:val="000000"/>
                <w:sz w:val="20"/>
                <w:szCs w:val="20"/>
              </w:rPr>
              <w:t xml:space="preserve">                      18,200 </w:t>
            </w:r>
          </w:p>
        </w:tc>
        <w:tc>
          <w:tcPr>
            <w:tcW w:w="0" w:type="auto"/>
            <w:shd w:val="clear" w:color="auto" w:fill="FFFFFF"/>
            <w:noWrap/>
          </w:tcPr>
          <w:p w:rsidR="00B951B1" w:rsidRPr="00E61612" w:rsidRDefault="00B951B1" w:rsidP="00CB78E6">
            <w:pPr>
              <w:spacing w:after="0"/>
              <w:jc w:val="right"/>
              <w:rPr>
                <w:rFonts w:eastAsia="Times New Roman" w:cs="Calibri"/>
                <w:color w:val="000000"/>
                <w:sz w:val="18"/>
                <w:szCs w:val="18"/>
              </w:rPr>
            </w:pPr>
            <w:r w:rsidRPr="00E61612">
              <w:rPr>
                <w:color w:val="000000"/>
                <w:sz w:val="20"/>
                <w:szCs w:val="20"/>
              </w:rPr>
              <w:t xml:space="preserve">                      -   </w:t>
            </w:r>
          </w:p>
        </w:tc>
        <w:tc>
          <w:tcPr>
            <w:tcW w:w="0" w:type="auto"/>
            <w:shd w:val="clear" w:color="auto" w:fill="FFFFFF"/>
            <w:noWrap/>
          </w:tcPr>
          <w:p w:rsidR="00B951B1" w:rsidRPr="00E61612" w:rsidRDefault="00B951B1" w:rsidP="00CB78E6">
            <w:pPr>
              <w:spacing w:after="0"/>
              <w:jc w:val="right"/>
              <w:rPr>
                <w:rFonts w:eastAsia="Times New Roman" w:cs="Calibri"/>
                <w:color w:val="000000"/>
                <w:sz w:val="18"/>
                <w:szCs w:val="18"/>
              </w:rPr>
            </w:pPr>
            <w:r w:rsidRPr="00E61612">
              <w:rPr>
                <w:color w:val="000000"/>
                <w:sz w:val="20"/>
                <w:szCs w:val="20"/>
              </w:rPr>
              <w:t xml:space="preserve">                   -   </w:t>
            </w:r>
          </w:p>
        </w:tc>
        <w:tc>
          <w:tcPr>
            <w:tcW w:w="0" w:type="auto"/>
            <w:shd w:val="clear" w:color="auto" w:fill="FFFFFF"/>
            <w:noWrap/>
          </w:tcPr>
          <w:p w:rsidR="00B951B1" w:rsidRPr="00E61612" w:rsidRDefault="00B951B1" w:rsidP="00CB78E6">
            <w:pPr>
              <w:spacing w:after="0"/>
              <w:jc w:val="right"/>
              <w:rPr>
                <w:rFonts w:eastAsia="Times New Roman" w:cs="Calibri"/>
                <w:color w:val="000000"/>
                <w:sz w:val="18"/>
                <w:szCs w:val="18"/>
              </w:rPr>
            </w:pPr>
            <w:r w:rsidRPr="00E61612">
              <w:rPr>
                <w:color w:val="000000"/>
                <w:sz w:val="20"/>
                <w:szCs w:val="20"/>
              </w:rPr>
              <w:t xml:space="preserve">            (18,200)</w:t>
            </w:r>
          </w:p>
        </w:tc>
      </w:tr>
      <w:tr w:rsidR="00B951B1" w:rsidRPr="00E61612" w:rsidTr="00CB78E6">
        <w:trPr>
          <w:trHeight w:val="20"/>
        </w:trPr>
        <w:tc>
          <w:tcPr>
            <w:tcW w:w="0" w:type="auto"/>
            <w:shd w:val="clear" w:color="auto" w:fill="FFFFFF"/>
          </w:tcPr>
          <w:p w:rsidR="00B951B1" w:rsidRPr="00E61612" w:rsidRDefault="00B951B1" w:rsidP="00CB78E6">
            <w:pPr>
              <w:spacing w:after="0"/>
              <w:jc w:val="center"/>
              <w:rPr>
                <w:rFonts w:eastAsia="Times New Roman" w:cs="Calibri"/>
                <w:b/>
                <w:bCs/>
                <w:color w:val="000000"/>
                <w:sz w:val="18"/>
                <w:szCs w:val="18"/>
              </w:rPr>
            </w:pPr>
            <w:r w:rsidRPr="00E61612">
              <w:rPr>
                <w:b/>
                <w:bCs/>
                <w:color w:val="000000"/>
                <w:sz w:val="20"/>
                <w:szCs w:val="20"/>
              </w:rPr>
              <w:t>A1.3.4</w:t>
            </w:r>
          </w:p>
        </w:tc>
        <w:tc>
          <w:tcPr>
            <w:tcW w:w="0" w:type="auto"/>
            <w:shd w:val="clear" w:color="auto" w:fill="FFFFFF"/>
          </w:tcPr>
          <w:p w:rsidR="00B951B1" w:rsidRPr="00E61612" w:rsidRDefault="00B951B1" w:rsidP="00CB78E6">
            <w:pPr>
              <w:spacing w:after="0"/>
              <w:rPr>
                <w:rFonts w:eastAsia="Times New Roman" w:cs="Calibri"/>
                <w:sz w:val="18"/>
                <w:szCs w:val="18"/>
              </w:rPr>
            </w:pPr>
            <w:r w:rsidRPr="00E61612">
              <w:rPr>
                <w:sz w:val="20"/>
                <w:szCs w:val="20"/>
              </w:rPr>
              <w:t>Pajisja e shkollave me mjete dhe programe teknologjike për t’i ardhur në ndihmë fëmijëve me aftësi të kufizuara</w:t>
            </w:r>
          </w:p>
        </w:tc>
        <w:tc>
          <w:tcPr>
            <w:tcW w:w="0" w:type="auto"/>
            <w:shd w:val="clear" w:color="auto" w:fill="FFFFFF"/>
          </w:tcPr>
          <w:p w:rsidR="00B951B1" w:rsidRPr="00E61612" w:rsidRDefault="00B951B1" w:rsidP="00CB78E6">
            <w:pPr>
              <w:spacing w:after="0"/>
              <w:jc w:val="center"/>
              <w:rPr>
                <w:rFonts w:eastAsia="Times New Roman" w:cs="Calibri"/>
                <w:color w:val="000000"/>
                <w:sz w:val="18"/>
                <w:szCs w:val="18"/>
              </w:rPr>
            </w:pPr>
            <w:r w:rsidRPr="00E61612">
              <w:rPr>
                <w:color w:val="000000"/>
                <w:sz w:val="20"/>
                <w:szCs w:val="20"/>
              </w:rPr>
              <w:t>MASR</w:t>
            </w:r>
          </w:p>
        </w:tc>
        <w:tc>
          <w:tcPr>
            <w:tcW w:w="0" w:type="auto"/>
            <w:shd w:val="clear" w:color="auto" w:fill="FFFFFF"/>
          </w:tcPr>
          <w:p w:rsidR="00B951B1" w:rsidRPr="00E61612" w:rsidRDefault="00B951B1" w:rsidP="00CB78E6">
            <w:pPr>
              <w:spacing w:after="0"/>
              <w:jc w:val="center"/>
              <w:rPr>
                <w:rFonts w:eastAsia="Times New Roman" w:cs="Calibri"/>
                <w:color w:val="000000"/>
                <w:sz w:val="18"/>
                <w:szCs w:val="18"/>
              </w:rPr>
            </w:pPr>
            <w:r w:rsidRPr="00E61612">
              <w:rPr>
                <w:color w:val="000000"/>
                <w:sz w:val="20"/>
                <w:szCs w:val="20"/>
              </w:rPr>
              <w:t>ASCAP</w:t>
            </w:r>
            <w:r w:rsidRPr="00E61612">
              <w:rPr>
                <w:color w:val="000000"/>
                <w:sz w:val="20"/>
                <w:szCs w:val="20"/>
              </w:rPr>
              <w:br/>
              <w:t>DPAP</w:t>
            </w:r>
          </w:p>
        </w:tc>
        <w:tc>
          <w:tcPr>
            <w:tcW w:w="0" w:type="auto"/>
            <w:shd w:val="clear" w:color="auto" w:fill="FFFFFF"/>
          </w:tcPr>
          <w:p w:rsidR="00B951B1" w:rsidRPr="00E61612" w:rsidRDefault="00B951B1" w:rsidP="00CB78E6">
            <w:pPr>
              <w:spacing w:after="0"/>
              <w:jc w:val="center"/>
              <w:rPr>
                <w:rFonts w:eastAsia="Times New Roman" w:cs="Calibri"/>
                <w:color w:val="000000"/>
                <w:sz w:val="18"/>
                <w:szCs w:val="18"/>
              </w:rPr>
            </w:pPr>
            <w:r w:rsidRPr="00E61612">
              <w:rPr>
                <w:color w:val="000000"/>
                <w:sz w:val="20"/>
                <w:szCs w:val="20"/>
              </w:rPr>
              <w:t>TM2-2022</w:t>
            </w:r>
          </w:p>
        </w:tc>
        <w:tc>
          <w:tcPr>
            <w:tcW w:w="0" w:type="auto"/>
            <w:shd w:val="clear" w:color="auto" w:fill="FFFFFF"/>
          </w:tcPr>
          <w:p w:rsidR="00B951B1" w:rsidRPr="00E61612" w:rsidRDefault="00B951B1" w:rsidP="00CB78E6">
            <w:pPr>
              <w:spacing w:after="0"/>
              <w:jc w:val="center"/>
              <w:rPr>
                <w:rFonts w:eastAsia="Times New Roman" w:cs="Calibri"/>
                <w:color w:val="000000"/>
                <w:sz w:val="18"/>
                <w:szCs w:val="18"/>
              </w:rPr>
            </w:pPr>
            <w:r w:rsidRPr="00E61612">
              <w:rPr>
                <w:color w:val="000000"/>
                <w:sz w:val="20"/>
                <w:szCs w:val="20"/>
              </w:rPr>
              <w:t>TM3-2025</w:t>
            </w:r>
          </w:p>
        </w:tc>
        <w:tc>
          <w:tcPr>
            <w:tcW w:w="0" w:type="auto"/>
            <w:shd w:val="clear" w:color="auto" w:fill="FFFFFF"/>
            <w:noWrap/>
          </w:tcPr>
          <w:p w:rsidR="00B951B1" w:rsidRPr="00E61612" w:rsidRDefault="00B951B1" w:rsidP="00CB78E6">
            <w:pPr>
              <w:spacing w:after="0"/>
              <w:jc w:val="right"/>
              <w:rPr>
                <w:rFonts w:eastAsia="Times New Roman" w:cs="Calibri"/>
                <w:color w:val="000000"/>
                <w:sz w:val="18"/>
                <w:szCs w:val="18"/>
              </w:rPr>
            </w:pPr>
            <w:r w:rsidRPr="00E61612">
              <w:rPr>
                <w:color w:val="000000"/>
                <w:sz w:val="20"/>
                <w:szCs w:val="20"/>
              </w:rPr>
              <w:t xml:space="preserve">                      60,480 </w:t>
            </w:r>
          </w:p>
        </w:tc>
        <w:tc>
          <w:tcPr>
            <w:tcW w:w="0" w:type="auto"/>
            <w:shd w:val="clear" w:color="auto" w:fill="FFFFFF"/>
            <w:noWrap/>
          </w:tcPr>
          <w:p w:rsidR="00B951B1" w:rsidRPr="00E61612" w:rsidRDefault="00B951B1" w:rsidP="00CB78E6">
            <w:pPr>
              <w:spacing w:after="0"/>
              <w:jc w:val="right"/>
              <w:rPr>
                <w:rFonts w:eastAsia="Times New Roman" w:cs="Calibri"/>
                <w:color w:val="000000"/>
                <w:sz w:val="18"/>
                <w:szCs w:val="18"/>
              </w:rPr>
            </w:pPr>
            <w:r w:rsidRPr="00E61612">
              <w:rPr>
                <w:color w:val="000000"/>
                <w:sz w:val="20"/>
                <w:szCs w:val="20"/>
              </w:rPr>
              <w:t xml:space="preserve">                      -   </w:t>
            </w:r>
          </w:p>
        </w:tc>
        <w:tc>
          <w:tcPr>
            <w:tcW w:w="0" w:type="auto"/>
            <w:shd w:val="clear" w:color="auto" w:fill="FFFFFF"/>
            <w:noWrap/>
          </w:tcPr>
          <w:p w:rsidR="00B951B1" w:rsidRPr="00E61612" w:rsidRDefault="00B951B1" w:rsidP="00CB78E6">
            <w:pPr>
              <w:spacing w:after="0"/>
              <w:jc w:val="right"/>
              <w:rPr>
                <w:rFonts w:eastAsia="Times New Roman" w:cs="Calibri"/>
                <w:color w:val="000000"/>
                <w:sz w:val="18"/>
                <w:szCs w:val="18"/>
              </w:rPr>
            </w:pPr>
            <w:r w:rsidRPr="00E61612">
              <w:rPr>
                <w:color w:val="000000"/>
                <w:sz w:val="20"/>
                <w:szCs w:val="20"/>
              </w:rPr>
              <w:t xml:space="preserve">          20,480 </w:t>
            </w:r>
          </w:p>
        </w:tc>
        <w:tc>
          <w:tcPr>
            <w:tcW w:w="0" w:type="auto"/>
            <w:shd w:val="clear" w:color="auto" w:fill="FFFFFF"/>
            <w:noWrap/>
          </w:tcPr>
          <w:p w:rsidR="00B951B1" w:rsidRPr="00E61612" w:rsidRDefault="00B951B1" w:rsidP="00CB78E6">
            <w:pPr>
              <w:spacing w:after="0"/>
              <w:jc w:val="right"/>
              <w:rPr>
                <w:rFonts w:eastAsia="Times New Roman" w:cs="Calibri"/>
                <w:color w:val="000000"/>
                <w:sz w:val="18"/>
                <w:szCs w:val="18"/>
              </w:rPr>
            </w:pPr>
            <w:r w:rsidRPr="00E61612">
              <w:rPr>
                <w:color w:val="000000"/>
                <w:sz w:val="20"/>
                <w:szCs w:val="20"/>
              </w:rPr>
              <w:t xml:space="preserve">            (40,000)</w:t>
            </w:r>
          </w:p>
        </w:tc>
      </w:tr>
      <w:tr w:rsidR="00B951B1" w:rsidRPr="00E61612" w:rsidTr="00CB78E6">
        <w:trPr>
          <w:trHeight w:val="20"/>
        </w:trPr>
        <w:tc>
          <w:tcPr>
            <w:tcW w:w="0" w:type="auto"/>
            <w:shd w:val="clear" w:color="auto" w:fill="FFFFFF"/>
          </w:tcPr>
          <w:p w:rsidR="00B951B1" w:rsidRPr="00E61612" w:rsidRDefault="00B951B1" w:rsidP="00CB78E6">
            <w:pPr>
              <w:spacing w:after="0"/>
              <w:jc w:val="center"/>
              <w:rPr>
                <w:rFonts w:eastAsia="Times New Roman" w:cs="Calibri"/>
                <w:b/>
                <w:bCs/>
                <w:color w:val="000000"/>
                <w:sz w:val="18"/>
                <w:szCs w:val="18"/>
              </w:rPr>
            </w:pPr>
            <w:r w:rsidRPr="00E61612">
              <w:rPr>
                <w:b/>
                <w:bCs/>
                <w:color w:val="000000"/>
                <w:sz w:val="20"/>
                <w:szCs w:val="20"/>
              </w:rPr>
              <w:t>A1.3.5</w:t>
            </w:r>
          </w:p>
        </w:tc>
        <w:tc>
          <w:tcPr>
            <w:tcW w:w="0" w:type="auto"/>
            <w:shd w:val="clear" w:color="auto" w:fill="FFFFFF"/>
          </w:tcPr>
          <w:p w:rsidR="00B951B1" w:rsidRPr="00E61612" w:rsidRDefault="00B951B1" w:rsidP="00CB78E6">
            <w:pPr>
              <w:spacing w:after="0"/>
              <w:rPr>
                <w:rFonts w:eastAsia="Times New Roman" w:cs="Calibri"/>
                <w:sz w:val="18"/>
                <w:szCs w:val="18"/>
              </w:rPr>
            </w:pPr>
            <w:r w:rsidRPr="00E61612">
              <w:rPr>
                <w:sz w:val="20"/>
                <w:szCs w:val="20"/>
              </w:rPr>
              <w:t xml:space="preserve">Përmirësimi i aksesueshmërisë së fëmijëve me aftësi të </w:t>
            </w:r>
            <w:r w:rsidRPr="00E61612">
              <w:rPr>
                <w:sz w:val="20"/>
                <w:szCs w:val="20"/>
              </w:rPr>
              <w:lastRenderedPageBreak/>
              <w:t>kufizuara në çdo shkollë dhe në të gjitha mjediset e shkollës</w:t>
            </w:r>
          </w:p>
        </w:tc>
        <w:tc>
          <w:tcPr>
            <w:tcW w:w="0" w:type="auto"/>
            <w:shd w:val="clear" w:color="auto" w:fill="FFFFFF"/>
          </w:tcPr>
          <w:p w:rsidR="00B951B1" w:rsidRPr="00E61612" w:rsidRDefault="00B951B1" w:rsidP="00CB78E6">
            <w:pPr>
              <w:spacing w:after="0"/>
              <w:jc w:val="center"/>
              <w:rPr>
                <w:rFonts w:eastAsia="Times New Roman" w:cs="Calibri"/>
                <w:color w:val="000000"/>
                <w:sz w:val="18"/>
                <w:szCs w:val="18"/>
              </w:rPr>
            </w:pPr>
            <w:r w:rsidRPr="00E61612">
              <w:rPr>
                <w:color w:val="000000"/>
                <w:sz w:val="20"/>
                <w:szCs w:val="20"/>
              </w:rPr>
              <w:lastRenderedPageBreak/>
              <w:t>MASR</w:t>
            </w:r>
          </w:p>
        </w:tc>
        <w:tc>
          <w:tcPr>
            <w:tcW w:w="0" w:type="auto"/>
            <w:shd w:val="clear" w:color="auto" w:fill="FFFFFF"/>
          </w:tcPr>
          <w:p w:rsidR="00B951B1" w:rsidRPr="00E61612" w:rsidRDefault="00B951B1" w:rsidP="00CB78E6">
            <w:pPr>
              <w:spacing w:after="0"/>
              <w:jc w:val="center"/>
              <w:rPr>
                <w:rFonts w:eastAsia="Times New Roman" w:cs="Calibri"/>
                <w:color w:val="000000"/>
                <w:sz w:val="18"/>
                <w:szCs w:val="18"/>
              </w:rPr>
            </w:pPr>
            <w:r w:rsidRPr="00E61612">
              <w:rPr>
                <w:color w:val="000000"/>
                <w:sz w:val="20"/>
                <w:szCs w:val="20"/>
              </w:rPr>
              <w:t>ASCAP</w:t>
            </w:r>
          </w:p>
        </w:tc>
        <w:tc>
          <w:tcPr>
            <w:tcW w:w="0" w:type="auto"/>
            <w:shd w:val="clear" w:color="auto" w:fill="FFFFFF"/>
          </w:tcPr>
          <w:p w:rsidR="00B951B1" w:rsidRPr="00E61612" w:rsidRDefault="00B951B1" w:rsidP="00CB78E6">
            <w:pPr>
              <w:spacing w:after="0"/>
              <w:jc w:val="center"/>
              <w:rPr>
                <w:rFonts w:eastAsia="Times New Roman" w:cs="Calibri"/>
                <w:color w:val="000000"/>
                <w:sz w:val="18"/>
                <w:szCs w:val="18"/>
              </w:rPr>
            </w:pPr>
            <w:r w:rsidRPr="00E61612">
              <w:rPr>
                <w:color w:val="000000"/>
                <w:sz w:val="20"/>
                <w:szCs w:val="20"/>
              </w:rPr>
              <w:t>TM3-2021</w:t>
            </w:r>
          </w:p>
        </w:tc>
        <w:tc>
          <w:tcPr>
            <w:tcW w:w="0" w:type="auto"/>
            <w:shd w:val="clear" w:color="auto" w:fill="FFFFFF"/>
          </w:tcPr>
          <w:p w:rsidR="00B951B1" w:rsidRPr="00E61612" w:rsidRDefault="00B951B1" w:rsidP="00CB78E6">
            <w:pPr>
              <w:spacing w:after="0"/>
              <w:jc w:val="center"/>
              <w:rPr>
                <w:rFonts w:eastAsia="Times New Roman" w:cs="Calibri"/>
                <w:color w:val="000000"/>
                <w:sz w:val="18"/>
                <w:szCs w:val="18"/>
              </w:rPr>
            </w:pPr>
            <w:r w:rsidRPr="00E61612">
              <w:rPr>
                <w:color w:val="000000"/>
                <w:sz w:val="20"/>
                <w:szCs w:val="20"/>
              </w:rPr>
              <w:t>TM2-2026</w:t>
            </w:r>
          </w:p>
        </w:tc>
        <w:tc>
          <w:tcPr>
            <w:tcW w:w="0" w:type="auto"/>
            <w:shd w:val="clear" w:color="auto" w:fill="FFFFFF"/>
            <w:noWrap/>
          </w:tcPr>
          <w:p w:rsidR="00B951B1" w:rsidRPr="00E61612" w:rsidRDefault="00B951B1" w:rsidP="00CB78E6">
            <w:pPr>
              <w:spacing w:after="0"/>
              <w:jc w:val="right"/>
              <w:rPr>
                <w:rFonts w:eastAsia="Times New Roman" w:cs="Calibri"/>
                <w:color w:val="000000"/>
                <w:sz w:val="18"/>
                <w:szCs w:val="18"/>
              </w:rPr>
            </w:pPr>
            <w:r w:rsidRPr="00E61612">
              <w:rPr>
                <w:color w:val="000000"/>
                <w:sz w:val="20"/>
                <w:szCs w:val="20"/>
              </w:rPr>
              <w:t xml:space="preserve">                               -   </w:t>
            </w:r>
          </w:p>
        </w:tc>
        <w:tc>
          <w:tcPr>
            <w:tcW w:w="0" w:type="auto"/>
            <w:shd w:val="clear" w:color="auto" w:fill="FFFFFF"/>
            <w:noWrap/>
          </w:tcPr>
          <w:p w:rsidR="00B951B1" w:rsidRPr="00E61612" w:rsidRDefault="00B951B1" w:rsidP="00CB78E6">
            <w:pPr>
              <w:spacing w:after="0"/>
              <w:jc w:val="right"/>
              <w:rPr>
                <w:rFonts w:eastAsia="Times New Roman" w:cs="Calibri"/>
                <w:color w:val="000000"/>
                <w:sz w:val="18"/>
                <w:szCs w:val="18"/>
              </w:rPr>
            </w:pPr>
            <w:r w:rsidRPr="00E61612">
              <w:rPr>
                <w:color w:val="000000"/>
                <w:sz w:val="20"/>
                <w:szCs w:val="20"/>
              </w:rPr>
              <w:t xml:space="preserve">                      -   </w:t>
            </w:r>
          </w:p>
        </w:tc>
        <w:tc>
          <w:tcPr>
            <w:tcW w:w="0" w:type="auto"/>
            <w:shd w:val="clear" w:color="auto" w:fill="FFFFFF"/>
            <w:noWrap/>
          </w:tcPr>
          <w:p w:rsidR="00B951B1" w:rsidRPr="00E61612" w:rsidRDefault="00B951B1" w:rsidP="00CB78E6">
            <w:pPr>
              <w:spacing w:after="0"/>
              <w:jc w:val="right"/>
              <w:rPr>
                <w:rFonts w:eastAsia="Times New Roman" w:cs="Calibri"/>
                <w:color w:val="000000"/>
                <w:sz w:val="18"/>
                <w:szCs w:val="18"/>
              </w:rPr>
            </w:pPr>
            <w:r w:rsidRPr="00E61612">
              <w:rPr>
                <w:color w:val="000000"/>
                <w:sz w:val="20"/>
                <w:szCs w:val="20"/>
              </w:rPr>
              <w:t xml:space="preserve">                   -   </w:t>
            </w:r>
          </w:p>
        </w:tc>
        <w:tc>
          <w:tcPr>
            <w:tcW w:w="0" w:type="auto"/>
            <w:shd w:val="clear" w:color="auto" w:fill="FFFFFF"/>
            <w:noWrap/>
          </w:tcPr>
          <w:p w:rsidR="00B951B1" w:rsidRPr="00E61612" w:rsidRDefault="00B951B1" w:rsidP="00CB78E6">
            <w:pPr>
              <w:spacing w:after="0"/>
              <w:jc w:val="right"/>
              <w:rPr>
                <w:rFonts w:eastAsia="Times New Roman" w:cs="Calibri"/>
                <w:color w:val="000000"/>
                <w:sz w:val="18"/>
                <w:szCs w:val="18"/>
              </w:rPr>
            </w:pPr>
            <w:r w:rsidRPr="00E61612">
              <w:rPr>
                <w:color w:val="000000"/>
                <w:sz w:val="20"/>
                <w:szCs w:val="20"/>
              </w:rPr>
              <w:t xml:space="preserve">                       -   </w:t>
            </w:r>
          </w:p>
        </w:tc>
      </w:tr>
      <w:tr w:rsidR="00B951B1" w:rsidRPr="00E61612" w:rsidTr="00CB78E6">
        <w:trPr>
          <w:trHeight w:val="20"/>
        </w:trPr>
        <w:tc>
          <w:tcPr>
            <w:tcW w:w="0" w:type="auto"/>
            <w:shd w:val="clear" w:color="auto" w:fill="FFFFFF"/>
          </w:tcPr>
          <w:p w:rsidR="00B951B1" w:rsidRPr="00E61612" w:rsidRDefault="00B951B1" w:rsidP="00CB78E6">
            <w:pPr>
              <w:spacing w:after="0"/>
              <w:jc w:val="center"/>
              <w:rPr>
                <w:rFonts w:eastAsia="Times New Roman" w:cs="Calibri"/>
                <w:b/>
                <w:bCs/>
                <w:color w:val="000000"/>
                <w:sz w:val="18"/>
                <w:szCs w:val="18"/>
              </w:rPr>
            </w:pPr>
            <w:r w:rsidRPr="00E61612">
              <w:rPr>
                <w:b/>
                <w:bCs/>
                <w:color w:val="000000"/>
                <w:sz w:val="20"/>
                <w:szCs w:val="20"/>
              </w:rPr>
              <w:t>A1.3.6</w:t>
            </w:r>
          </w:p>
        </w:tc>
        <w:tc>
          <w:tcPr>
            <w:tcW w:w="0" w:type="auto"/>
            <w:shd w:val="clear" w:color="auto" w:fill="FFFFFF"/>
          </w:tcPr>
          <w:p w:rsidR="00B951B1" w:rsidRPr="00E61612" w:rsidRDefault="00B951B1" w:rsidP="00CB78E6">
            <w:pPr>
              <w:spacing w:after="0"/>
              <w:rPr>
                <w:rFonts w:eastAsia="Times New Roman" w:cs="Calibri"/>
                <w:sz w:val="18"/>
                <w:szCs w:val="18"/>
              </w:rPr>
            </w:pPr>
            <w:r w:rsidRPr="00E61612">
              <w:rPr>
                <w:sz w:val="20"/>
                <w:szCs w:val="20"/>
              </w:rPr>
              <w:t>Mbështetje financiare për nxënësit romë, egjiptianë dhe grupet vulnerabël</w:t>
            </w:r>
          </w:p>
        </w:tc>
        <w:tc>
          <w:tcPr>
            <w:tcW w:w="0" w:type="auto"/>
            <w:shd w:val="clear" w:color="auto" w:fill="FFFFFF"/>
          </w:tcPr>
          <w:p w:rsidR="00B951B1" w:rsidRPr="00E61612" w:rsidRDefault="00B951B1" w:rsidP="00CB78E6">
            <w:pPr>
              <w:spacing w:after="0"/>
              <w:jc w:val="center"/>
              <w:rPr>
                <w:rFonts w:eastAsia="Times New Roman" w:cs="Calibri"/>
                <w:color w:val="000000"/>
                <w:sz w:val="18"/>
                <w:szCs w:val="18"/>
              </w:rPr>
            </w:pPr>
            <w:r w:rsidRPr="00E61612">
              <w:rPr>
                <w:color w:val="000000"/>
                <w:sz w:val="20"/>
                <w:szCs w:val="20"/>
              </w:rPr>
              <w:t>MASR</w:t>
            </w:r>
          </w:p>
        </w:tc>
        <w:tc>
          <w:tcPr>
            <w:tcW w:w="0" w:type="auto"/>
            <w:shd w:val="clear" w:color="auto" w:fill="FFFFFF"/>
          </w:tcPr>
          <w:p w:rsidR="00B951B1" w:rsidRPr="00E61612" w:rsidRDefault="00B951B1" w:rsidP="00CB78E6">
            <w:pPr>
              <w:spacing w:after="0"/>
              <w:jc w:val="center"/>
              <w:rPr>
                <w:rFonts w:eastAsia="Times New Roman" w:cs="Calibri"/>
                <w:color w:val="000000"/>
                <w:sz w:val="18"/>
                <w:szCs w:val="18"/>
              </w:rPr>
            </w:pPr>
            <w:r w:rsidRPr="00E61612">
              <w:rPr>
                <w:color w:val="000000"/>
                <w:sz w:val="20"/>
                <w:szCs w:val="20"/>
              </w:rPr>
              <w:t> </w:t>
            </w:r>
          </w:p>
        </w:tc>
        <w:tc>
          <w:tcPr>
            <w:tcW w:w="0" w:type="auto"/>
            <w:shd w:val="clear" w:color="auto" w:fill="FFFFFF"/>
          </w:tcPr>
          <w:p w:rsidR="00B951B1" w:rsidRPr="00E61612" w:rsidRDefault="00B951B1" w:rsidP="00CB78E6">
            <w:pPr>
              <w:spacing w:after="0"/>
              <w:jc w:val="center"/>
              <w:rPr>
                <w:rFonts w:eastAsia="Times New Roman" w:cs="Calibri"/>
                <w:color w:val="000000"/>
                <w:sz w:val="18"/>
                <w:szCs w:val="18"/>
              </w:rPr>
            </w:pPr>
            <w:r w:rsidRPr="00E61612">
              <w:rPr>
                <w:color w:val="000000"/>
                <w:sz w:val="20"/>
                <w:szCs w:val="20"/>
              </w:rPr>
              <w:t>TM1-2021</w:t>
            </w:r>
          </w:p>
        </w:tc>
        <w:tc>
          <w:tcPr>
            <w:tcW w:w="0" w:type="auto"/>
            <w:shd w:val="clear" w:color="auto" w:fill="FFFFFF"/>
          </w:tcPr>
          <w:p w:rsidR="00B951B1" w:rsidRPr="00E61612" w:rsidRDefault="00B951B1" w:rsidP="00CB78E6">
            <w:pPr>
              <w:spacing w:after="0"/>
              <w:jc w:val="center"/>
              <w:rPr>
                <w:rFonts w:eastAsia="Times New Roman" w:cs="Calibri"/>
                <w:color w:val="000000"/>
                <w:sz w:val="18"/>
                <w:szCs w:val="18"/>
              </w:rPr>
            </w:pPr>
            <w:r w:rsidRPr="00E61612">
              <w:rPr>
                <w:color w:val="000000"/>
                <w:sz w:val="20"/>
                <w:szCs w:val="20"/>
              </w:rPr>
              <w:t>TM4-2026</w:t>
            </w:r>
          </w:p>
        </w:tc>
        <w:tc>
          <w:tcPr>
            <w:tcW w:w="0" w:type="auto"/>
            <w:shd w:val="clear" w:color="auto" w:fill="FFFFFF"/>
            <w:noWrap/>
          </w:tcPr>
          <w:p w:rsidR="00B951B1" w:rsidRPr="00E61612" w:rsidRDefault="00B951B1" w:rsidP="00CB78E6">
            <w:pPr>
              <w:spacing w:after="0"/>
              <w:jc w:val="right"/>
              <w:rPr>
                <w:rFonts w:eastAsia="Times New Roman" w:cs="Calibri"/>
                <w:color w:val="000000"/>
                <w:sz w:val="18"/>
                <w:szCs w:val="18"/>
              </w:rPr>
            </w:pPr>
            <w:r w:rsidRPr="00E61612">
              <w:rPr>
                <w:color w:val="000000"/>
                <w:sz w:val="20"/>
                <w:szCs w:val="20"/>
              </w:rPr>
              <w:t xml:space="preserve">                   662,288 </w:t>
            </w:r>
          </w:p>
        </w:tc>
        <w:tc>
          <w:tcPr>
            <w:tcW w:w="0" w:type="auto"/>
            <w:shd w:val="clear" w:color="auto" w:fill="FFFFFF"/>
            <w:noWrap/>
          </w:tcPr>
          <w:p w:rsidR="00B951B1" w:rsidRPr="00E61612" w:rsidRDefault="00B951B1" w:rsidP="00CB78E6">
            <w:pPr>
              <w:spacing w:after="0"/>
              <w:jc w:val="right"/>
              <w:rPr>
                <w:rFonts w:eastAsia="Times New Roman" w:cs="Calibri"/>
                <w:color w:val="000000"/>
                <w:sz w:val="18"/>
                <w:szCs w:val="18"/>
              </w:rPr>
            </w:pPr>
            <w:r w:rsidRPr="00E61612">
              <w:rPr>
                <w:color w:val="000000"/>
                <w:sz w:val="20"/>
                <w:szCs w:val="20"/>
              </w:rPr>
              <w:t xml:space="preserve">          533,358 </w:t>
            </w:r>
          </w:p>
        </w:tc>
        <w:tc>
          <w:tcPr>
            <w:tcW w:w="0" w:type="auto"/>
            <w:shd w:val="clear" w:color="auto" w:fill="FFFFFF"/>
            <w:noWrap/>
          </w:tcPr>
          <w:p w:rsidR="00B951B1" w:rsidRPr="00E61612" w:rsidRDefault="00B951B1" w:rsidP="00CB78E6">
            <w:pPr>
              <w:spacing w:after="0"/>
              <w:jc w:val="right"/>
              <w:rPr>
                <w:rFonts w:eastAsia="Times New Roman" w:cs="Calibri"/>
                <w:color w:val="000000"/>
                <w:sz w:val="18"/>
                <w:szCs w:val="18"/>
              </w:rPr>
            </w:pPr>
            <w:r w:rsidRPr="00E61612">
              <w:rPr>
                <w:color w:val="000000"/>
                <w:sz w:val="20"/>
                <w:szCs w:val="20"/>
              </w:rPr>
              <w:t xml:space="preserve">                   -   </w:t>
            </w:r>
          </w:p>
        </w:tc>
        <w:tc>
          <w:tcPr>
            <w:tcW w:w="0" w:type="auto"/>
            <w:shd w:val="clear" w:color="auto" w:fill="FFFFFF"/>
            <w:noWrap/>
          </w:tcPr>
          <w:p w:rsidR="00B951B1" w:rsidRPr="00E61612" w:rsidRDefault="00B951B1" w:rsidP="00CB78E6">
            <w:pPr>
              <w:spacing w:after="0"/>
              <w:jc w:val="right"/>
              <w:rPr>
                <w:rFonts w:eastAsia="Times New Roman" w:cs="Calibri"/>
                <w:color w:val="000000"/>
                <w:sz w:val="18"/>
                <w:szCs w:val="18"/>
              </w:rPr>
            </w:pPr>
            <w:r w:rsidRPr="00E61612">
              <w:rPr>
                <w:color w:val="000000"/>
                <w:sz w:val="20"/>
                <w:szCs w:val="20"/>
              </w:rPr>
              <w:t xml:space="preserve">         (128,930)</w:t>
            </w:r>
          </w:p>
        </w:tc>
      </w:tr>
      <w:tr w:rsidR="00B951B1" w:rsidRPr="00E61612" w:rsidTr="00CB78E6">
        <w:trPr>
          <w:trHeight w:val="20"/>
        </w:trPr>
        <w:tc>
          <w:tcPr>
            <w:tcW w:w="0" w:type="auto"/>
            <w:shd w:val="clear" w:color="auto" w:fill="FFFFFF"/>
          </w:tcPr>
          <w:p w:rsidR="00B951B1" w:rsidRPr="00E61612" w:rsidRDefault="00B951B1" w:rsidP="00CB78E6">
            <w:pPr>
              <w:spacing w:after="0"/>
              <w:jc w:val="center"/>
              <w:rPr>
                <w:rFonts w:eastAsia="Times New Roman" w:cs="Calibri"/>
                <w:b/>
                <w:bCs/>
                <w:color w:val="000000"/>
                <w:sz w:val="18"/>
                <w:szCs w:val="18"/>
              </w:rPr>
            </w:pPr>
            <w:r w:rsidRPr="00E61612">
              <w:rPr>
                <w:b/>
                <w:bCs/>
                <w:color w:val="000000"/>
                <w:sz w:val="20"/>
                <w:szCs w:val="20"/>
              </w:rPr>
              <w:t>A1.3.7</w:t>
            </w:r>
          </w:p>
        </w:tc>
        <w:tc>
          <w:tcPr>
            <w:tcW w:w="0" w:type="auto"/>
            <w:shd w:val="clear" w:color="auto" w:fill="FFFFFF"/>
          </w:tcPr>
          <w:p w:rsidR="00B951B1" w:rsidRPr="00E61612" w:rsidRDefault="00B951B1" w:rsidP="00CB78E6">
            <w:pPr>
              <w:spacing w:after="0"/>
              <w:rPr>
                <w:rFonts w:eastAsia="Times New Roman" w:cs="Calibri"/>
                <w:sz w:val="18"/>
                <w:szCs w:val="18"/>
              </w:rPr>
            </w:pPr>
            <w:r w:rsidRPr="00E61612">
              <w:rPr>
                <w:sz w:val="20"/>
                <w:szCs w:val="20"/>
              </w:rPr>
              <w:t xml:space="preserve"> Trajnime për historinë dhe kulturën rome</w:t>
            </w:r>
          </w:p>
        </w:tc>
        <w:tc>
          <w:tcPr>
            <w:tcW w:w="0" w:type="auto"/>
            <w:shd w:val="clear" w:color="auto" w:fill="FFFFFF"/>
          </w:tcPr>
          <w:p w:rsidR="00B951B1" w:rsidRPr="00E61612" w:rsidRDefault="00B951B1" w:rsidP="00CB78E6">
            <w:pPr>
              <w:spacing w:after="0"/>
              <w:jc w:val="center"/>
              <w:rPr>
                <w:rFonts w:eastAsia="Times New Roman" w:cs="Calibri"/>
                <w:color w:val="000000"/>
                <w:sz w:val="18"/>
                <w:szCs w:val="18"/>
              </w:rPr>
            </w:pPr>
            <w:r w:rsidRPr="00E61612">
              <w:rPr>
                <w:color w:val="000000"/>
                <w:sz w:val="20"/>
                <w:szCs w:val="20"/>
              </w:rPr>
              <w:t>MASR</w:t>
            </w:r>
          </w:p>
        </w:tc>
        <w:tc>
          <w:tcPr>
            <w:tcW w:w="0" w:type="auto"/>
            <w:shd w:val="clear" w:color="auto" w:fill="FFFFFF"/>
          </w:tcPr>
          <w:p w:rsidR="00B951B1" w:rsidRPr="00E61612" w:rsidRDefault="00B951B1" w:rsidP="00CB78E6">
            <w:pPr>
              <w:spacing w:after="0"/>
              <w:jc w:val="center"/>
              <w:rPr>
                <w:rFonts w:eastAsia="Times New Roman" w:cs="Calibri"/>
                <w:color w:val="000000"/>
                <w:sz w:val="18"/>
                <w:szCs w:val="18"/>
              </w:rPr>
            </w:pPr>
            <w:r w:rsidRPr="00E61612">
              <w:rPr>
                <w:color w:val="000000"/>
                <w:sz w:val="20"/>
                <w:szCs w:val="20"/>
              </w:rPr>
              <w:t>ASCAP</w:t>
            </w:r>
          </w:p>
        </w:tc>
        <w:tc>
          <w:tcPr>
            <w:tcW w:w="0" w:type="auto"/>
            <w:shd w:val="clear" w:color="auto" w:fill="FFFFFF"/>
          </w:tcPr>
          <w:p w:rsidR="00B951B1" w:rsidRPr="00E61612" w:rsidRDefault="00B951B1" w:rsidP="00CB78E6">
            <w:pPr>
              <w:spacing w:after="0"/>
              <w:jc w:val="center"/>
              <w:rPr>
                <w:rFonts w:eastAsia="Times New Roman" w:cs="Calibri"/>
                <w:color w:val="000000"/>
                <w:sz w:val="18"/>
                <w:szCs w:val="18"/>
              </w:rPr>
            </w:pPr>
            <w:r w:rsidRPr="00E61612">
              <w:rPr>
                <w:color w:val="000000"/>
                <w:sz w:val="20"/>
                <w:szCs w:val="20"/>
              </w:rPr>
              <w:t>TM2-2022</w:t>
            </w:r>
          </w:p>
        </w:tc>
        <w:tc>
          <w:tcPr>
            <w:tcW w:w="0" w:type="auto"/>
            <w:shd w:val="clear" w:color="auto" w:fill="FFFFFF"/>
          </w:tcPr>
          <w:p w:rsidR="00B951B1" w:rsidRPr="00E61612" w:rsidRDefault="00B951B1" w:rsidP="00CB78E6">
            <w:pPr>
              <w:spacing w:after="0"/>
              <w:jc w:val="center"/>
              <w:rPr>
                <w:rFonts w:eastAsia="Times New Roman" w:cs="Calibri"/>
                <w:color w:val="000000"/>
                <w:sz w:val="18"/>
                <w:szCs w:val="18"/>
              </w:rPr>
            </w:pPr>
            <w:r w:rsidRPr="00E61612">
              <w:rPr>
                <w:color w:val="000000"/>
                <w:sz w:val="20"/>
                <w:szCs w:val="20"/>
              </w:rPr>
              <w:t>TM3-2024</w:t>
            </w:r>
          </w:p>
        </w:tc>
        <w:tc>
          <w:tcPr>
            <w:tcW w:w="0" w:type="auto"/>
            <w:shd w:val="clear" w:color="auto" w:fill="FFFFFF"/>
            <w:noWrap/>
          </w:tcPr>
          <w:p w:rsidR="00B951B1" w:rsidRPr="00E61612" w:rsidRDefault="00B951B1" w:rsidP="00CB78E6">
            <w:pPr>
              <w:spacing w:after="0"/>
              <w:jc w:val="right"/>
              <w:rPr>
                <w:rFonts w:eastAsia="Times New Roman" w:cs="Calibri"/>
                <w:color w:val="000000"/>
                <w:sz w:val="18"/>
                <w:szCs w:val="18"/>
              </w:rPr>
            </w:pPr>
            <w:r w:rsidRPr="00E61612">
              <w:rPr>
                <w:color w:val="000000"/>
                <w:sz w:val="20"/>
                <w:szCs w:val="20"/>
              </w:rPr>
              <w:t xml:space="preserve">                               -   </w:t>
            </w:r>
          </w:p>
        </w:tc>
        <w:tc>
          <w:tcPr>
            <w:tcW w:w="0" w:type="auto"/>
            <w:shd w:val="clear" w:color="auto" w:fill="FFFFFF"/>
            <w:noWrap/>
          </w:tcPr>
          <w:p w:rsidR="00B951B1" w:rsidRPr="00E61612" w:rsidRDefault="00B951B1" w:rsidP="00CB78E6">
            <w:pPr>
              <w:spacing w:after="0"/>
              <w:jc w:val="right"/>
              <w:rPr>
                <w:rFonts w:eastAsia="Times New Roman" w:cs="Calibri"/>
                <w:color w:val="000000"/>
                <w:sz w:val="18"/>
                <w:szCs w:val="18"/>
              </w:rPr>
            </w:pPr>
            <w:r w:rsidRPr="00E61612">
              <w:rPr>
                <w:color w:val="000000"/>
                <w:sz w:val="20"/>
                <w:szCs w:val="20"/>
              </w:rPr>
              <w:t xml:space="preserve">                      -   </w:t>
            </w:r>
          </w:p>
        </w:tc>
        <w:tc>
          <w:tcPr>
            <w:tcW w:w="0" w:type="auto"/>
            <w:shd w:val="clear" w:color="auto" w:fill="FFFFFF"/>
            <w:noWrap/>
          </w:tcPr>
          <w:p w:rsidR="00B951B1" w:rsidRPr="00E61612" w:rsidRDefault="00B951B1" w:rsidP="00CB78E6">
            <w:pPr>
              <w:spacing w:after="0"/>
              <w:jc w:val="right"/>
              <w:rPr>
                <w:rFonts w:eastAsia="Times New Roman" w:cs="Calibri"/>
                <w:color w:val="000000"/>
                <w:sz w:val="18"/>
                <w:szCs w:val="18"/>
              </w:rPr>
            </w:pPr>
            <w:r w:rsidRPr="00E61612">
              <w:rPr>
                <w:color w:val="000000"/>
                <w:sz w:val="20"/>
                <w:szCs w:val="20"/>
              </w:rPr>
              <w:t xml:space="preserve">                   -   </w:t>
            </w:r>
          </w:p>
        </w:tc>
        <w:tc>
          <w:tcPr>
            <w:tcW w:w="0" w:type="auto"/>
            <w:shd w:val="clear" w:color="auto" w:fill="FFFFFF"/>
            <w:noWrap/>
          </w:tcPr>
          <w:p w:rsidR="00B951B1" w:rsidRPr="00E61612" w:rsidRDefault="00B951B1" w:rsidP="00CB78E6">
            <w:pPr>
              <w:spacing w:after="0"/>
              <w:jc w:val="right"/>
              <w:rPr>
                <w:rFonts w:eastAsia="Times New Roman" w:cs="Calibri"/>
                <w:color w:val="000000"/>
                <w:sz w:val="18"/>
                <w:szCs w:val="18"/>
              </w:rPr>
            </w:pPr>
            <w:r w:rsidRPr="00E61612">
              <w:rPr>
                <w:color w:val="000000"/>
                <w:sz w:val="20"/>
                <w:szCs w:val="20"/>
              </w:rPr>
              <w:t xml:space="preserve">                       -   </w:t>
            </w:r>
          </w:p>
        </w:tc>
      </w:tr>
      <w:tr w:rsidR="00B951B1" w:rsidRPr="00E61612" w:rsidTr="00CB78E6">
        <w:trPr>
          <w:trHeight w:val="20"/>
        </w:trPr>
        <w:tc>
          <w:tcPr>
            <w:tcW w:w="0" w:type="auto"/>
            <w:shd w:val="clear" w:color="auto" w:fill="FFFFFF"/>
          </w:tcPr>
          <w:p w:rsidR="00B951B1" w:rsidRPr="00E61612" w:rsidRDefault="00B951B1" w:rsidP="00CB78E6">
            <w:pPr>
              <w:spacing w:after="0"/>
              <w:jc w:val="center"/>
              <w:rPr>
                <w:rFonts w:eastAsia="Times New Roman" w:cs="Calibri"/>
                <w:b/>
                <w:bCs/>
                <w:color w:val="000000"/>
                <w:sz w:val="18"/>
                <w:szCs w:val="18"/>
              </w:rPr>
            </w:pPr>
            <w:r w:rsidRPr="00E61612">
              <w:rPr>
                <w:b/>
                <w:bCs/>
                <w:color w:val="000000"/>
                <w:sz w:val="20"/>
                <w:szCs w:val="20"/>
              </w:rPr>
              <w:t>A1.3.8</w:t>
            </w:r>
          </w:p>
        </w:tc>
        <w:tc>
          <w:tcPr>
            <w:tcW w:w="0" w:type="auto"/>
            <w:shd w:val="clear" w:color="auto" w:fill="FFFFFF"/>
          </w:tcPr>
          <w:p w:rsidR="00B951B1" w:rsidRPr="00E61612" w:rsidRDefault="00B951B1" w:rsidP="00CB78E6">
            <w:pPr>
              <w:spacing w:after="0"/>
              <w:rPr>
                <w:rFonts w:eastAsia="Times New Roman" w:cs="Calibri"/>
                <w:sz w:val="18"/>
                <w:szCs w:val="18"/>
              </w:rPr>
            </w:pPr>
            <w:r w:rsidRPr="00E61612">
              <w:rPr>
                <w:sz w:val="20"/>
                <w:szCs w:val="20"/>
              </w:rPr>
              <w:t>Zhvillimi i kapaciteteve të mësuesve, drejtuesve të shkollave, punonjësve socialë/psikologëve shkollorë, autorëve të teksteve mbi çështjet gjinore</w:t>
            </w:r>
          </w:p>
        </w:tc>
        <w:tc>
          <w:tcPr>
            <w:tcW w:w="0" w:type="auto"/>
            <w:shd w:val="clear" w:color="auto" w:fill="FFFFFF"/>
          </w:tcPr>
          <w:p w:rsidR="00B951B1" w:rsidRPr="00E61612" w:rsidRDefault="00B951B1" w:rsidP="00CB78E6">
            <w:pPr>
              <w:spacing w:after="0"/>
              <w:jc w:val="center"/>
              <w:rPr>
                <w:rFonts w:eastAsia="Times New Roman" w:cs="Calibri"/>
                <w:color w:val="000000"/>
                <w:sz w:val="18"/>
                <w:szCs w:val="18"/>
              </w:rPr>
            </w:pPr>
            <w:r w:rsidRPr="00E61612">
              <w:rPr>
                <w:color w:val="000000"/>
                <w:sz w:val="20"/>
                <w:szCs w:val="20"/>
              </w:rPr>
              <w:t>ASCAP</w:t>
            </w:r>
          </w:p>
        </w:tc>
        <w:tc>
          <w:tcPr>
            <w:tcW w:w="0" w:type="auto"/>
            <w:shd w:val="clear" w:color="auto" w:fill="FFFFFF"/>
          </w:tcPr>
          <w:p w:rsidR="00B951B1" w:rsidRPr="00E61612" w:rsidRDefault="00B951B1" w:rsidP="00CB78E6">
            <w:pPr>
              <w:spacing w:after="0"/>
              <w:jc w:val="center"/>
              <w:rPr>
                <w:rFonts w:eastAsia="Times New Roman" w:cs="Calibri"/>
                <w:color w:val="000000"/>
                <w:sz w:val="18"/>
                <w:szCs w:val="18"/>
              </w:rPr>
            </w:pPr>
            <w:r w:rsidRPr="00E61612">
              <w:rPr>
                <w:color w:val="000000"/>
                <w:sz w:val="20"/>
                <w:szCs w:val="20"/>
              </w:rPr>
              <w:t>DPAP</w:t>
            </w:r>
          </w:p>
        </w:tc>
        <w:tc>
          <w:tcPr>
            <w:tcW w:w="0" w:type="auto"/>
            <w:shd w:val="clear" w:color="auto" w:fill="FFFFFF"/>
          </w:tcPr>
          <w:p w:rsidR="00B951B1" w:rsidRPr="00E61612" w:rsidRDefault="00B951B1" w:rsidP="00CB78E6">
            <w:pPr>
              <w:spacing w:after="0"/>
              <w:jc w:val="center"/>
              <w:rPr>
                <w:rFonts w:eastAsia="Times New Roman" w:cs="Calibri"/>
                <w:color w:val="000000"/>
                <w:sz w:val="18"/>
                <w:szCs w:val="18"/>
              </w:rPr>
            </w:pPr>
            <w:r w:rsidRPr="00E61612">
              <w:rPr>
                <w:color w:val="000000"/>
                <w:sz w:val="20"/>
                <w:szCs w:val="20"/>
              </w:rPr>
              <w:t>TM3-2022</w:t>
            </w:r>
          </w:p>
        </w:tc>
        <w:tc>
          <w:tcPr>
            <w:tcW w:w="0" w:type="auto"/>
            <w:shd w:val="clear" w:color="auto" w:fill="FFFFFF"/>
          </w:tcPr>
          <w:p w:rsidR="00B951B1" w:rsidRPr="00E61612" w:rsidRDefault="00B951B1" w:rsidP="00CB78E6">
            <w:pPr>
              <w:spacing w:after="0"/>
              <w:jc w:val="center"/>
              <w:rPr>
                <w:rFonts w:eastAsia="Times New Roman" w:cs="Calibri"/>
                <w:color w:val="000000"/>
                <w:sz w:val="18"/>
                <w:szCs w:val="18"/>
              </w:rPr>
            </w:pPr>
            <w:r w:rsidRPr="00E61612">
              <w:rPr>
                <w:color w:val="000000"/>
                <w:sz w:val="20"/>
                <w:szCs w:val="20"/>
              </w:rPr>
              <w:t>TM3-2024</w:t>
            </w:r>
          </w:p>
        </w:tc>
        <w:tc>
          <w:tcPr>
            <w:tcW w:w="0" w:type="auto"/>
            <w:shd w:val="clear" w:color="auto" w:fill="FFFFFF"/>
            <w:noWrap/>
          </w:tcPr>
          <w:p w:rsidR="00B951B1" w:rsidRPr="00E61612" w:rsidRDefault="00B951B1" w:rsidP="00CB78E6">
            <w:pPr>
              <w:spacing w:after="0"/>
              <w:jc w:val="right"/>
              <w:rPr>
                <w:rFonts w:eastAsia="Times New Roman" w:cs="Calibri"/>
                <w:color w:val="000000"/>
                <w:sz w:val="18"/>
                <w:szCs w:val="18"/>
              </w:rPr>
            </w:pPr>
            <w:r w:rsidRPr="00E61612">
              <w:rPr>
                <w:color w:val="000000"/>
                <w:sz w:val="20"/>
                <w:szCs w:val="20"/>
              </w:rPr>
              <w:t xml:space="preserve">                        7,027 </w:t>
            </w:r>
          </w:p>
        </w:tc>
        <w:tc>
          <w:tcPr>
            <w:tcW w:w="0" w:type="auto"/>
            <w:shd w:val="clear" w:color="auto" w:fill="FFFFFF"/>
            <w:noWrap/>
          </w:tcPr>
          <w:p w:rsidR="00B951B1" w:rsidRPr="00E61612" w:rsidRDefault="00B951B1" w:rsidP="00CB78E6">
            <w:pPr>
              <w:spacing w:after="0"/>
              <w:jc w:val="right"/>
              <w:rPr>
                <w:rFonts w:eastAsia="Times New Roman" w:cs="Calibri"/>
                <w:color w:val="000000"/>
                <w:sz w:val="18"/>
                <w:szCs w:val="18"/>
              </w:rPr>
            </w:pPr>
            <w:r w:rsidRPr="00E61612">
              <w:rPr>
                <w:color w:val="000000"/>
                <w:sz w:val="20"/>
                <w:szCs w:val="20"/>
              </w:rPr>
              <w:t xml:space="preserve">                      -   </w:t>
            </w:r>
          </w:p>
        </w:tc>
        <w:tc>
          <w:tcPr>
            <w:tcW w:w="0" w:type="auto"/>
            <w:shd w:val="clear" w:color="auto" w:fill="FFFFFF"/>
            <w:noWrap/>
          </w:tcPr>
          <w:p w:rsidR="00B951B1" w:rsidRPr="00E61612" w:rsidRDefault="00B951B1" w:rsidP="00CB78E6">
            <w:pPr>
              <w:spacing w:after="0"/>
              <w:jc w:val="right"/>
              <w:rPr>
                <w:rFonts w:eastAsia="Times New Roman" w:cs="Calibri"/>
                <w:color w:val="000000"/>
                <w:sz w:val="18"/>
                <w:szCs w:val="18"/>
              </w:rPr>
            </w:pPr>
            <w:r w:rsidRPr="00E61612">
              <w:rPr>
                <w:color w:val="000000"/>
                <w:sz w:val="20"/>
                <w:szCs w:val="20"/>
              </w:rPr>
              <w:t xml:space="preserve">            7,027 </w:t>
            </w:r>
          </w:p>
        </w:tc>
        <w:tc>
          <w:tcPr>
            <w:tcW w:w="0" w:type="auto"/>
            <w:shd w:val="clear" w:color="auto" w:fill="FFFFFF"/>
            <w:noWrap/>
          </w:tcPr>
          <w:p w:rsidR="00B951B1" w:rsidRPr="00E61612" w:rsidRDefault="00B951B1" w:rsidP="00CB78E6">
            <w:pPr>
              <w:spacing w:after="0"/>
              <w:jc w:val="right"/>
              <w:rPr>
                <w:rFonts w:eastAsia="Times New Roman" w:cs="Calibri"/>
                <w:color w:val="000000"/>
                <w:sz w:val="18"/>
                <w:szCs w:val="18"/>
              </w:rPr>
            </w:pPr>
            <w:r w:rsidRPr="00E61612">
              <w:rPr>
                <w:color w:val="000000"/>
                <w:sz w:val="20"/>
                <w:szCs w:val="20"/>
              </w:rPr>
              <w:t xml:space="preserve">                       -   </w:t>
            </w:r>
          </w:p>
        </w:tc>
      </w:tr>
      <w:tr w:rsidR="00B951B1" w:rsidRPr="00E61612" w:rsidTr="00CB78E6">
        <w:trPr>
          <w:trHeight w:val="20"/>
        </w:trPr>
        <w:tc>
          <w:tcPr>
            <w:tcW w:w="0" w:type="auto"/>
            <w:tcBorders>
              <w:bottom w:val="single" w:sz="4" w:space="0" w:color="auto"/>
            </w:tcBorders>
            <w:shd w:val="clear" w:color="auto" w:fill="FFFFFF"/>
          </w:tcPr>
          <w:p w:rsidR="00B951B1" w:rsidRPr="00E61612" w:rsidRDefault="00B951B1" w:rsidP="00CB78E6">
            <w:pPr>
              <w:spacing w:after="0"/>
              <w:jc w:val="center"/>
              <w:rPr>
                <w:rFonts w:eastAsia="Times New Roman" w:cs="Calibri"/>
                <w:b/>
                <w:bCs/>
                <w:color w:val="000000"/>
                <w:sz w:val="18"/>
                <w:szCs w:val="18"/>
              </w:rPr>
            </w:pPr>
            <w:r w:rsidRPr="00E61612">
              <w:rPr>
                <w:b/>
                <w:bCs/>
                <w:color w:val="000000"/>
                <w:sz w:val="20"/>
                <w:szCs w:val="20"/>
              </w:rPr>
              <w:t>A1.3.9</w:t>
            </w:r>
          </w:p>
        </w:tc>
        <w:tc>
          <w:tcPr>
            <w:tcW w:w="0" w:type="auto"/>
            <w:tcBorders>
              <w:bottom w:val="single" w:sz="4" w:space="0" w:color="auto"/>
            </w:tcBorders>
            <w:shd w:val="clear" w:color="auto" w:fill="FFFFFF"/>
          </w:tcPr>
          <w:p w:rsidR="00B951B1" w:rsidRPr="00E61612" w:rsidRDefault="00B951B1" w:rsidP="00CB78E6">
            <w:pPr>
              <w:spacing w:after="0"/>
              <w:rPr>
                <w:rFonts w:eastAsia="Times New Roman" w:cs="Calibri"/>
                <w:sz w:val="18"/>
                <w:szCs w:val="18"/>
              </w:rPr>
            </w:pPr>
            <w:r w:rsidRPr="00E61612">
              <w:rPr>
                <w:sz w:val="20"/>
                <w:szCs w:val="20"/>
              </w:rPr>
              <w:t>Edukimi gjinor i nxënësve përmes përfshirjes në kurrikulë të përmbajtjeve mësimore përkatëse</w:t>
            </w:r>
          </w:p>
        </w:tc>
        <w:tc>
          <w:tcPr>
            <w:tcW w:w="0" w:type="auto"/>
            <w:tcBorders>
              <w:bottom w:val="single" w:sz="4" w:space="0" w:color="auto"/>
            </w:tcBorders>
            <w:shd w:val="clear" w:color="auto" w:fill="FFFFFF"/>
          </w:tcPr>
          <w:p w:rsidR="00B951B1" w:rsidRPr="00E61612" w:rsidRDefault="00B951B1" w:rsidP="00CB78E6">
            <w:pPr>
              <w:spacing w:after="0"/>
              <w:jc w:val="center"/>
              <w:rPr>
                <w:rFonts w:eastAsia="Times New Roman" w:cs="Calibri"/>
                <w:color w:val="000000"/>
                <w:sz w:val="18"/>
                <w:szCs w:val="18"/>
              </w:rPr>
            </w:pPr>
            <w:r w:rsidRPr="00E61612">
              <w:rPr>
                <w:color w:val="000000"/>
                <w:sz w:val="20"/>
                <w:szCs w:val="20"/>
              </w:rPr>
              <w:t>ASCAP</w:t>
            </w:r>
          </w:p>
        </w:tc>
        <w:tc>
          <w:tcPr>
            <w:tcW w:w="0" w:type="auto"/>
            <w:tcBorders>
              <w:bottom w:val="single" w:sz="4" w:space="0" w:color="auto"/>
            </w:tcBorders>
            <w:shd w:val="clear" w:color="auto" w:fill="FFFFFF"/>
          </w:tcPr>
          <w:p w:rsidR="00B951B1" w:rsidRPr="00E61612" w:rsidRDefault="00B951B1" w:rsidP="00CB78E6">
            <w:pPr>
              <w:spacing w:after="0"/>
              <w:jc w:val="center"/>
              <w:rPr>
                <w:rFonts w:eastAsia="Times New Roman" w:cs="Calibri"/>
                <w:color w:val="000000"/>
                <w:sz w:val="18"/>
                <w:szCs w:val="18"/>
              </w:rPr>
            </w:pPr>
            <w:r w:rsidRPr="00E61612">
              <w:rPr>
                <w:color w:val="000000"/>
                <w:sz w:val="20"/>
                <w:szCs w:val="20"/>
              </w:rPr>
              <w:t>DPAP</w:t>
            </w:r>
          </w:p>
        </w:tc>
        <w:tc>
          <w:tcPr>
            <w:tcW w:w="0" w:type="auto"/>
            <w:tcBorders>
              <w:bottom w:val="single" w:sz="4" w:space="0" w:color="auto"/>
            </w:tcBorders>
            <w:shd w:val="clear" w:color="auto" w:fill="FFFFFF"/>
          </w:tcPr>
          <w:p w:rsidR="00B951B1" w:rsidRPr="00E61612" w:rsidRDefault="00B951B1" w:rsidP="00CB78E6">
            <w:pPr>
              <w:spacing w:after="0"/>
              <w:jc w:val="center"/>
              <w:rPr>
                <w:rFonts w:eastAsia="Times New Roman" w:cs="Calibri"/>
                <w:color w:val="000000"/>
                <w:sz w:val="18"/>
                <w:szCs w:val="18"/>
              </w:rPr>
            </w:pPr>
            <w:r w:rsidRPr="00E61612">
              <w:rPr>
                <w:color w:val="000000"/>
                <w:sz w:val="20"/>
                <w:szCs w:val="20"/>
              </w:rPr>
              <w:t>TM3-2022</w:t>
            </w:r>
          </w:p>
        </w:tc>
        <w:tc>
          <w:tcPr>
            <w:tcW w:w="0" w:type="auto"/>
            <w:tcBorders>
              <w:bottom w:val="single" w:sz="4" w:space="0" w:color="auto"/>
            </w:tcBorders>
            <w:shd w:val="clear" w:color="auto" w:fill="FFFFFF"/>
          </w:tcPr>
          <w:p w:rsidR="00B951B1" w:rsidRPr="00E61612" w:rsidRDefault="00B951B1" w:rsidP="00CB78E6">
            <w:pPr>
              <w:spacing w:after="0"/>
              <w:jc w:val="center"/>
              <w:rPr>
                <w:rFonts w:eastAsia="Times New Roman" w:cs="Calibri"/>
                <w:color w:val="000000"/>
                <w:sz w:val="18"/>
                <w:szCs w:val="18"/>
              </w:rPr>
            </w:pPr>
            <w:r w:rsidRPr="00E61612">
              <w:rPr>
                <w:color w:val="000000"/>
                <w:sz w:val="20"/>
                <w:szCs w:val="20"/>
              </w:rPr>
              <w:t>TM2-2023</w:t>
            </w:r>
          </w:p>
        </w:tc>
        <w:tc>
          <w:tcPr>
            <w:tcW w:w="0" w:type="auto"/>
            <w:tcBorders>
              <w:bottom w:val="single" w:sz="4" w:space="0" w:color="auto"/>
            </w:tcBorders>
            <w:shd w:val="clear" w:color="auto" w:fill="FFFFFF"/>
            <w:noWrap/>
          </w:tcPr>
          <w:p w:rsidR="00B951B1" w:rsidRPr="00E61612" w:rsidRDefault="00B951B1" w:rsidP="00CB78E6">
            <w:pPr>
              <w:spacing w:after="0"/>
              <w:jc w:val="right"/>
              <w:rPr>
                <w:rFonts w:eastAsia="Times New Roman" w:cs="Calibri"/>
                <w:color w:val="000000"/>
                <w:sz w:val="18"/>
                <w:szCs w:val="18"/>
              </w:rPr>
            </w:pPr>
            <w:r w:rsidRPr="00E61612">
              <w:rPr>
                <w:color w:val="000000"/>
                <w:sz w:val="20"/>
                <w:szCs w:val="20"/>
              </w:rPr>
              <w:t xml:space="preserve">                               -   </w:t>
            </w:r>
          </w:p>
        </w:tc>
        <w:tc>
          <w:tcPr>
            <w:tcW w:w="0" w:type="auto"/>
            <w:tcBorders>
              <w:bottom w:val="single" w:sz="4" w:space="0" w:color="auto"/>
            </w:tcBorders>
            <w:shd w:val="clear" w:color="auto" w:fill="FFFFFF"/>
            <w:noWrap/>
          </w:tcPr>
          <w:p w:rsidR="00B951B1" w:rsidRPr="00E61612" w:rsidRDefault="00B951B1" w:rsidP="00CB78E6">
            <w:pPr>
              <w:spacing w:after="0"/>
              <w:jc w:val="right"/>
              <w:rPr>
                <w:rFonts w:eastAsia="Times New Roman" w:cs="Calibri"/>
                <w:color w:val="000000"/>
                <w:sz w:val="18"/>
                <w:szCs w:val="18"/>
              </w:rPr>
            </w:pPr>
            <w:r w:rsidRPr="00E61612">
              <w:rPr>
                <w:color w:val="000000"/>
                <w:sz w:val="20"/>
                <w:szCs w:val="20"/>
              </w:rPr>
              <w:t xml:space="preserve">                      -   </w:t>
            </w:r>
          </w:p>
        </w:tc>
        <w:tc>
          <w:tcPr>
            <w:tcW w:w="0" w:type="auto"/>
            <w:tcBorders>
              <w:bottom w:val="single" w:sz="4" w:space="0" w:color="auto"/>
            </w:tcBorders>
            <w:shd w:val="clear" w:color="auto" w:fill="FFFFFF"/>
            <w:noWrap/>
          </w:tcPr>
          <w:p w:rsidR="00B951B1" w:rsidRPr="00E61612" w:rsidRDefault="00B951B1" w:rsidP="00CB78E6">
            <w:pPr>
              <w:spacing w:after="0"/>
              <w:jc w:val="right"/>
              <w:rPr>
                <w:rFonts w:eastAsia="Times New Roman" w:cs="Calibri"/>
                <w:color w:val="000000"/>
                <w:sz w:val="18"/>
                <w:szCs w:val="18"/>
              </w:rPr>
            </w:pPr>
            <w:r w:rsidRPr="00E61612">
              <w:rPr>
                <w:color w:val="000000"/>
                <w:sz w:val="20"/>
                <w:szCs w:val="20"/>
              </w:rPr>
              <w:t xml:space="preserve">                   -   </w:t>
            </w:r>
          </w:p>
        </w:tc>
        <w:tc>
          <w:tcPr>
            <w:tcW w:w="0" w:type="auto"/>
            <w:tcBorders>
              <w:bottom w:val="single" w:sz="4" w:space="0" w:color="auto"/>
            </w:tcBorders>
            <w:shd w:val="clear" w:color="auto" w:fill="FFFFFF"/>
            <w:noWrap/>
          </w:tcPr>
          <w:p w:rsidR="00B951B1" w:rsidRPr="00E61612" w:rsidRDefault="00B951B1" w:rsidP="00CB78E6">
            <w:pPr>
              <w:spacing w:after="0"/>
              <w:jc w:val="right"/>
              <w:rPr>
                <w:rFonts w:eastAsia="Times New Roman" w:cs="Calibri"/>
                <w:color w:val="000000"/>
                <w:sz w:val="18"/>
                <w:szCs w:val="18"/>
              </w:rPr>
            </w:pPr>
            <w:r w:rsidRPr="00E61612">
              <w:rPr>
                <w:color w:val="000000"/>
                <w:sz w:val="20"/>
                <w:szCs w:val="20"/>
              </w:rPr>
              <w:t xml:space="preserve">                       -   </w:t>
            </w:r>
          </w:p>
        </w:tc>
      </w:tr>
      <w:tr w:rsidR="00B951B1" w:rsidRPr="00E61612" w:rsidTr="00CB78E6">
        <w:trPr>
          <w:trHeight w:val="20"/>
        </w:trPr>
        <w:tc>
          <w:tcPr>
            <w:tcW w:w="0" w:type="auto"/>
            <w:shd w:val="clear" w:color="auto" w:fill="D9D9D9"/>
          </w:tcPr>
          <w:p w:rsidR="00B951B1" w:rsidRPr="00E61612" w:rsidRDefault="00B951B1" w:rsidP="00CB78E6">
            <w:pPr>
              <w:spacing w:after="0"/>
              <w:jc w:val="center"/>
              <w:rPr>
                <w:rFonts w:eastAsia="Times New Roman" w:cs="Calibri"/>
                <w:b/>
                <w:bCs/>
                <w:color w:val="000000"/>
                <w:sz w:val="18"/>
                <w:szCs w:val="18"/>
              </w:rPr>
            </w:pPr>
            <w:r w:rsidRPr="00E61612">
              <w:rPr>
                <w:b/>
                <w:bCs/>
                <w:color w:val="000000"/>
                <w:sz w:val="20"/>
                <w:szCs w:val="20"/>
              </w:rPr>
              <w:t>A1.4</w:t>
            </w:r>
          </w:p>
        </w:tc>
        <w:tc>
          <w:tcPr>
            <w:tcW w:w="0" w:type="auto"/>
            <w:shd w:val="clear" w:color="auto" w:fill="D9D9D9"/>
          </w:tcPr>
          <w:p w:rsidR="00B951B1" w:rsidRPr="00E61612" w:rsidRDefault="00B951B1" w:rsidP="00CB78E6">
            <w:pPr>
              <w:spacing w:after="0"/>
              <w:rPr>
                <w:rFonts w:eastAsia="Times New Roman" w:cs="Calibri"/>
                <w:sz w:val="18"/>
                <w:szCs w:val="18"/>
              </w:rPr>
            </w:pPr>
            <w:r w:rsidRPr="00E61612">
              <w:rPr>
                <w:sz w:val="20"/>
                <w:szCs w:val="20"/>
              </w:rPr>
              <w:t xml:space="preserve"> Rritja e cilësisë së shërbimit psiko-social për të gjithë nxënësit</w:t>
            </w:r>
          </w:p>
        </w:tc>
        <w:tc>
          <w:tcPr>
            <w:tcW w:w="0" w:type="auto"/>
            <w:shd w:val="clear" w:color="auto" w:fill="D9D9D9"/>
          </w:tcPr>
          <w:p w:rsidR="00B951B1" w:rsidRPr="00E61612" w:rsidRDefault="00B951B1" w:rsidP="00CB78E6">
            <w:pPr>
              <w:spacing w:after="0"/>
              <w:jc w:val="center"/>
              <w:rPr>
                <w:rFonts w:eastAsia="Times New Roman" w:cs="Calibri"/>
                <w:color w:val="000000"/>
                <w:sz w:val="18"/>
                <w:szCs w:val="18"/>
              </w:rPr>
            </w:pPr>
            <w:r w:rsidRPr="00E61612">
              <w:rPr>
                <w:color w:val="000000"/>
                <w:sz w:val="20"/>
                <w:szCs w:val="20"/>
              </w:rPr>
              <w:t>MASR. ASCAP, DPAP</w:t>
            </w:r>
          </w:p>
        </w:tc>
        <w:tc>
          <w:tcPr>
            <w:tcW w:w="0" w:type="auto"/>
            <w:shd w:val="clear" w:color="auto" w:fill="D9D9D9"/>
          </w:tcPr>
          <w:p w:rsidR="00B951B1" w:rsidRPr="00E61612" w:rsidRDefault="00B951B1" w:rsidP="00CB78E6">
            <w:pPr>
              <w:spacing w:after="0"/>
              <w:jc w:val="center"/>
              <w:rPr>
                <w:rFonts w:eastAsia="Times New Roman" w:cs="Calibri"/>
                <w:color w:val="000000"/>
                <w:sz w:val="18"/>
                <w:szCs w:val="18"/>
              </w:rPr>
            </w:pPr>
            <w:r w:rsidRPr="00E61612">
              <w:rPr>
                <w:color w:val="000000"/>
                <w:sz w:val="20"/>
                <w:szCs w:val="20"/>
              </w:rPr>
              <w:t>DPAP, Bashkitë</w:t>
            </w:r>
          </w:p>
        </w:tc>
        <w:tc>
          <w:tcPr>
            <w:tcW w:w="0" w:type="auto"/>
            <w:shd w:val="clear" w:color="auto" w:fill="D9D9D9"/>
          </w:tcPr>
          <w:p w:rsidR="00B951B1" w:rsidRPr="00E61612" w:rsidRDefault="00B951B1" w:rsidP="00CB78E6">
            <w:pPr>
              <w:spacing w:after="0"/>
              <w:jc w:val="center"/>
              <w:rPr>
                <w:rFonts w:eastAsia="Times New Roman" w:cs="Calibri"/>
                <w:color w:val="000000"/>
                <w:sz w:val="18"/>
                <w:szCs w:val="18"/>
              </w:rPr>
            </w:pPr>
            <w:r w:rsidRPr="00E61612">
              <w:rPr>
                <w:color w:val="000000"/>
                <w:sz w:val="20"/>
                <w:szCs w:val="20"/>
              </w:rPr>
              <w:t>TM1-2021</w:t>
            </w:r>
          </w:p>
        </w:tc>
        <w:tc>
          <w:tcPr>
            <w:tcW w:w="0" w:type="auto"/>
            <w:shd w:val="clear" w:color="auto" w:fill="D9D9D9"/>
          </w:tcPr>
          <w:p w:rsidR="00B951B1" w:rsidRPr="00E61612" w:rsidRDefault="00B951B1" w:rsidP="00CB78E6">
            <w:pPr>
              <w:spacing w:after="0"/>
              <w:jc w:val="center"/>
              <w:rPr>
                <w:rFonts w:eastAsia="Times New Roman" w:cs="Calibri"/>
                <w:color w:val="000000"/>
                <w:sz w:val="18"/>
                <w:szCs w:val="18"/>
              </w:rPr>
            </w:pPr>
            <w:r w:rsidRPr="00E61612">
              <w:rPr>
                <w:color w:val="000000"/>
                <w:sz w:val="20"/>
                <w:szCs w:val="20"/>
              </w:rPr>
              <w:t>TM3-2024</w:t>
            </w:r>
          </w:p>
        </w:tc>
        <w:tc>
          <w:tcPr>
            <w:tcW w:w="0" w:type="auto"/>
            <w:shd w:val="clear" w:color="auto" w:fill="D9D9D9"/>
            <w:noWrap/>
          </w:tcPr>
          <w:p w:rsidR="00B951B1" w:rsidRPr="00E61612" w:rsidRDefault="00B951B1" w:rsidP="00CB78E6">
            <w:pPr>
              <w:spacing w:after="0"/>
              <w:jc w:val="right"/>
              <w:rPr>
                <w:rFonts w:eastAsia="Times New Roman" w:cs="Calibri"/>
                <w:color w:val="000000"/>
                <w:sz w:val="18"/>
                <w:szCs w:val="18"/>
              </w:rPr>
            </w:pPr>
            <w:r w:rsidRPr="00E61612">
              <w:rPr>
                <w:color w:val="000000"/>
                <w:sz w:val="20"/>
                <w:szCs w:val="20"/>
              </w:rPr>
              <w:t xml:space="preserve">                2,801,291 </w:t>
            </w:r>
          </w:p>
        </w:tc>
        <w:tc>
          <w:tcPr>
            <w:tcW w:w="0" w:type="auto"/>
            <w:shd w:val="clear" w:color="auto" w:fill="D9D9D9"/>
            <w:noWrap/>
          </w:tcPr>
          <w:p w:rsidR="00B951B1" w:rsidRPr="00E61612" w:rsidRDefault="00B951B1" w:rsidP="00CB78E6">
            <w:pPr>
              <w:spacing w:after="0"/>
              <w:jc w:val="right"/>
              <w:rPr>
                <w:rFonts w:eastAsia="Times New Roman" w:cs="Calibri"/>
                <w:color w:val="000000"/>
                <w:sz w:val="18"/>
                <w:szCs w:val="18"/>
              </w:rPr>
            </w:pPr>
            <w:r w:rsidRPr="00E61612">
              <w:rPr>
                <w:color w:val="000000"/>
                <w:sz w:val="20"/>
                <w:szCs w:val="20"/>
              </w:rPr>
              <w:t xml:space="preserve">       2,536,751 </w:t>
            </w:r>
          </w:p>
        </w:tc>
        <w:tc>
          <w:tcPr>
            <w:tcW w:w="0" w:type="auto"/>
            <w:shd w:val="clear" w:color="auto" w:fill="D9D9D9"/>
            <w:noWrap/>
          </w:tcPr>
          <w:p w:rsidR="00B951B1" w:rsidRPr="00E61612" w:rsidRDefault="00B951B1" w:rsidP="00CB78E6">
            <w:pPr>
              <w:spacing w:after="0"/>
              <w:jc w:val="right"/>
              <w:rPr>
                <w:rFonts w:eastAsia="Times New Roman" w:cs="Calibri"/>
                <w:color w:val="000000"/>
                <w:sz w:val="18"/>
                <w:szCs w:val="18"/>
              </w:rPr>
            </w:pPr>
            <w:r w:rsidRPr="00E61612">
              <w:rPr>
                <w:color w:val="000000"/>
                <w:sz w:val="20"/>
                <w:szCs w:val="20"/>
              </w:rPr>
              <w:t xml:space="preserve">            3,510 </w:t>
            </w:r>
          </w:p>
        </w:tc>
        <w:tc>
          <w:tcPr>
            <w:tcW w:w="0" w:type="auto"/>
            <w:shd w:val="clear" w:color="auto" w:fill="D9D9D9"/>
            <w:noWrap/>
          </w:tcPr>
          <w:p w:rsidR="00B951B1" w:rsidRPr="00E61612" w:rsidRDefault="00B951B1" w:rsidP="00CB78E6">
            <w:pPr>
              <w:spacing w:after="0"/>
              <w:jc w:val="right"/>
              <w:rPr>
                <w:rFonts w:eastAsia="Times New Roman" w:cs="Calibri"/>
                <w:color w:val="000000"/>
                <w:sz w:val="18"/>
                <w:szCs w:val="18"/>
              </w:rPr>
            </w:pPr>
            <w:r w:rsidRPr="00E61612">
              <w:rPr>
                <w:color w:val="000000"/>
                <w:sz w:val="20"/>
                <w:szCs w:val="20"/>
              </w:rPr>
              <w:t xml:space="preserve">         (261,030)</w:t>
            </w:r>
          </w:p>
        </w:tc>
      </w:tr>
      <w:tr w:rsidR="00B951B1" w:rsidRPr="00E61612" w:rsidTr="00CB78E6">
        <w:trPr>
          <w:trHeight w:val="20"/>
        </w:trPr>
        <w:tc>
          <w:tcPr>
            <w:tcW w:w="0" w:type="auto"/>
            <w:shd w:val="clear" w:color="auto" w:fill="FFFFFF"/>
          </w:tcPr>
          <w:p w:rsidR="00B951B1" w:rsidRPr="00E61612" w:rsidRDefault="00B951B1" w:rsidP="00CB78E6">
            <w:pPr>
              <w:spacing w:after="0"/>
              <w:jc w:val="center"/>
              <w:rPr>
                <w:rFonts w:eastAsia="Times New Roman" w:cs="Calibri"/>
                <w:b/>
                <w:bCs/>
                <w:color w:val="000000"/>
                <w:sz w:val="18"/>
                <w:szCs w:val="18"/>
              </w:rPr>
            </w:pPr>
            <w:r w:rsidRPr="00E61612">
              <w:rPr>
                <w:b/>
                <w:bCs/>
                <w:color w:val="000000"/>
                <w:sz w:val="20"/>
                <w:szCs w:val="20"/>
              </w:rPr>
              <w:t>A1.4.1</w:t>
            </w:r>
          </w:p>
        </w:tc>
        <w:tc>
          <w:tcPr>
            <w:tcW w:w="0" w:type="auto"/>
            <w:shd w:val="clear" w:color="auto" w:fill="FFFFFF"/>
          </w:tcPr>
          <w:p w:rsidR="00B951B1" w:rsidRPr="00E61612" w:rsidRDefault="00B951B1" w:rsidP="00CB78E6">
            <w:pPr>
              <w:spacing w:after="0"/>
              <w:rPr>
                <w:rFonts w:eastAsia="Times New Roman" w:cs="Calibri"/>
                <w:sz w:val="18"/>
                <w:szCs w:val="18"/>
              </w:rPr>
            </w:pPr>
            <w:r w:rsidRPr="00E61612">
              <w:rPr>
                <w:sz w:val="20"/>
                <w:szCs w:val="20"/>
              </w:rPr>
              <w:t>Sigurimi i punonjësve psiko-socialë në shkolla</w:t>
            </w:r>
          </w:p>
        </w:tc>
        <w:tc>
          <w:tcPr>
            <w:tcW w:w="0" w:type="auto"/>
            <w:shd w:val="clear" w:color="auto" w:fill="FFFFFF"/>
          </w:tcPr>
          <w:p w:rsidR="00B951B1" w:rsidRPr="00E61612" w:rsidRDefault="00B951B1" w:rsidP="00CB78E6">
            <w:pPr>
              <w:spacing w:after="0"/>
              <w:jc w:val="center"/>
              <w:rPr>
                <w:rFonts w:eastAsia="Times New Roman" w:cs="Calibri"/>
                <w:color w:val="000000"/>
                <w:sz w:val="18"/>
                <w:szCs w:val="18"/>
              </w:rPr>
            </w:pPr>
            <w:r w:rsidRPr="00E61612">
              <w:rPr>
                <w:color w:val="000000"/>
                <w:sz w:val="20"/>
                <w:szCs w:val="20"/>
              </w:rPr>
              <w:t>MASR</w:t>
            </w:r>
          </w:p>
        </w:tc>
        <w:tc>
          <w:tcPr>
            <w:tcW w:w="0" w:type="auto"/>
            <w:shd w:val="clear" w:color="auto" w:fill="FFFFFF"/>
          </w:tcPr>
          <w:p w:rsidR="00B951B1" w:rsidRPr="00E61612" w:rsidRDefault="00B951B1" w:rsidP="00CB78E6">
            <w:pPr>
              <w:spacing w:after="0"/>
              <w:jc w:val="center"/>
              <w:rPr>
                <w:rFonts w:eastAsia="Times New Roman" w:cs="Calibri"/>
                <w:color w:val="000000"/>
                <w:sz w:val="18"/>
                <w:szCs w:val="18"/>
              </w:rPr>
            </w:pPr>
            <w:r w:rsidRPr="00E61612">
              <w:rPr>
                <w:color w:val="000000"/>
                <w:sz w:val="20"/>
                <w:szCs w:val="20"/>
              </w:rPr>
              <w:t>DPAP</w:t>
            </w:r>
          </w:p>
        </w:tc>
        <w:tc>
          <w:tcPr>
            <w:tcW w:w="0" w:type="auto"/>
            <w:shd w:val="clear" w:color="auto" w:fill="FFFFFF"/>
          </w:tcPr>
          <w:p w:rsidR="00B951B1" w:rsidRPr="00E61612" w:rsidRDefault="00B951B1" w:rsidP="00CB78E6">
            <w:pPr>
              <w:spacing w:after="0"/>
              <w:jc w:val="center"/>
              <w:rPr>
                <w:rFonts w:eastAsia="Times New Roman" w:cs="Calibri"/>
                <w:color w:val="000000"/>
                <w:sz w:val="18"/>
                <w:szCs w:val="18"/>
              </w:rPr>
            </w:pPr>
            <w:r w:rsidRPr="00E61612">
              <w:rPr>
                <w:color w:val="000000"/>
                <w:sz w:val="20"/>
                <w:szCs w:val="20"/>
              </w:rPr>
              <w:t>TM1-2021</w:t>
            </w:r>
          </w:p>
        </w:tc>
        <w:tc>
          <w:tcPr>
            <w:tcW w:w="0" w:type="auto"/>
            <w:shd w:val="clear" w:color="auto" w:fill="FFFFFF"/>
          </w:tcPr>
          <w:p w:rsidR="00B951B1" w:rsidRPr="00E61612" w:rsidRDefault="00B951B1" w:rsidP="00CB78E6">
            <w:pPr>
              <w:spacing w:after="0"/>
              <w:jc w:val="center"/>
              <w:rPr>
                <w:rFonts w:eastAsia="Times New Roman" w:cs="Calibri"/>
                <w:color w:val="000000"/>
                <w:sz w:val="18"/>
                <w:szCs w:val="18"/>
              </w:rPr>
            </w:pPr>
            <w:r w:rsidRPr="00E61612">
              <w:rPr>
                <w:color w:val="000000"/>
                <w:sz w:val="20"/>
                <w:szCs w:val="20"/>
              </w:rPr>
              <w:t>TM3-2023</w:t>
            </w:r>
          </w:p>
        </w:tc>
        <w:tc>
          <w:tcPr>
            <w:tcW w:w="0" w:type="auto"/>
            <w:shd w:val="clear" w:color="auto" w:fill="FFFFFF"/>
            <w:noWrap/>
          </w:tcPr>
          <w:p w:rsidR="00B951B1" w:rsidRPr="00E61612" w:rsidRDefault="00B951B1" w:rsidP="00CB78E6">
            <w:pPr>
              <w:spacing w:after="0"/>
              <w:jc w:val="right"/>
              <w:rPr>
                <w:rFonts w:eastAsia="Times New Roman" w:cs="Calibri"/>
                <w:color w:val="000000"/>
                <w:sz w:val="18"/>
                <w:szCs w:val="18"/>
              </w:rPr>
            </w:pPr>
            <w:r w:rsidRPr="00E61612">
              <w:rPr>
                <w:color w:val="000000"/>
                <w:sz w:val="20"/>
                <w:szCs w:val="20"/>
              </w:rPr>
              <w:t xml:space="preserve">                2,736,676 </w:t>
            </w:r>
          </w:p>
        </w:tc>
        <w:tc>
          <w:tcPr>
            <w:tcW w:w="0" w:type="auto"/>
            <w:shd w:val="clear" w:color="auto" w:fill="FFFFFF"/>
            <w:noWrap/>
          </w:tcPr>
          <w:p w:rsidR="00B951B1" w:rsidRPr="00E61612" w:rsidRDefault="00B951B1" w:rsidP="00CB78E6">
            <w:pPr>
              <w:spacing w:after="0"/>
              <w:jc w:val="right"/>
              <w:rPr>
                <w:rFonts w:eastAsia="Times New Roman" w:cs="Calibri"/>
                <w:color w:val="000000"/>
                <w:sz w:val="18"/>
                <w:szCs w:val="18"/>
              </w:rPr>
            </w:pPr>
            <w:r w:rsidRPr="00E61612">
              <w:rPr>
                <w:color w:val="000000"/>
                <w:sz w:val="20"/>
                <w:szCs w:val="20"/>
              </w:rPr>
              <w:t xml:space="preserve">       2,536,751 </w:t>
            </w:r>
          </w:p>
        </w:tc>
        <w:tc>
          <w:tcPr>
            <w:tcW w:w="0" w:type="auto"/>
            <w:shd w:val="clear" w:color="auto" w:fill="FFFFFF"/>
            <w:noWrap/>
          </w:tcPr>
          <w:p w:rsidR="00B951B1" w:rsidRPr="00E61612" w:rsidRDefault="00B951B1" w:rsidP="00CB78E6">
            <w:pPr>
              <w:spacing w:after="0"/>
              <w:jc w:val="right"/>
              <w:rPr>
                <w:rFonts w:eastAsia="Times New Roman" w:cs="Calibri"/>
                <w:color w:val="000000"/>
                <w:sz w:val="18"/>
                <w:szCs w:val="18"/>
              </w:rPr>
            </w:pPr>
            <w:r w:rsidRPr="00E61612">
              <w:rPr>
                <w:color w:val="000000"/>
                <w:sz w:val="20"/>
                <w:szCs w:val="20"/>
              </w:rPr>
              <w:t xml:space="preserve">                   -   </w:t>
            </w:r>
          </w:p>
        </w:tc>
        <w:tc>
          <w:tcPr>
            <w:tcW w:w="0" w:type="auto"/>
            <w:shd w:val="clear" w:color="auto" w:fill="FFFFFF"/>
            <w:noWrap/>
          </w:tcPr>
          <w:p w:rsidR="00B951B1" w:rsidRPr="00E61612" w:rsidRDefault="00B951B1" w:rsidP="00CB78E6">
            <w:pPr>
              <w:spacing w:after="0"/>
              <w:jc w:val="right"/>
              <w:rPr>
                <w:rFonts w:eastAsia="Times New Roman" w:cs="Calibri"/>
                <w:color w:val="000000"/>
                <w:sz w:val="18"/>
                <w:szCs w:val="18"/>
              </w:rPr>
            </w:pPr>
            <w:r w:rsidRPr="00E61612">
              <w:rPr>
                <w:color w:val="000000"/>
                <w:sz w:val="20"/>
                <w:szCs w:val="20"/>
              </w:rPr>
              <w:t xml:space="preserve">         (199,925)</w:t>
            </w:r>
          </w:p>
        </w:tc>
      </w:tr>
      <w:tr w:rsidR="00B951B1" w:rsidRPr="00E61612" w:rsidTr="00CB78E6">
        <w:trPr>
          <w:trHeight w:val="20"/>
        </w:trPr>
        <w:tc>
          <w:tcPr>
            <w:tcW w:w="0" w:type="auto"/>
            <w:shd w:val="clear" w:color="auto" w:fill="FFFFFF"/>
          </w:tcPr>
          <w:p w:rsidR="00B951B1" w:rsidRPr="00E61612" w:rsidRDefault="00B951B1" w:rsidP="00CB78E6">
            <w:pPr>
              <w:spacing w:after="0"/>
              <w:jc w:val="center"/>
              <w:rPr>
                <w:rFonts w:eastAsia="Times New Roman" w:cs="Calibri"/>
                <w:b/>
                <w:bCs/>
                <w:color w:val="000000"/>
                <w:sz w:val="18"/>
                <w:szCs w:val="18"/>
              </w:rPr>
            </w:pPr>
            <w:r w:rsidRPr="00E61612">
              <w:rPr>
                <w:b/>
                <w:bCs/>
                <w:color w:val="000000"/>
                <w:sz w:val="20"/>
                <w:szCs w:val="20"/>
              </w:rPr>
              <w:t>A1.4.2</w:t>
            </w:r>
          </w:p>
        </w:tc>
        <w:tc>
          <w:tcPr>
            <w:tcW w:w="0" w:type="auto"/>
            <w:shd w:val="clear" w:color="auto" w:fill="FFFFFF"/>
          </w:tcPr>
          <w:p w:rsidR="00B951B1" w:rsidRPr="00E61612" w:rsidRDefault="00B951B1" w:rsidP="00CB78E6">
            <w:pPr>
              <w:spacing w:after="0"/>
              <w:rPr>
                <w:rFonts w:eastAsia="Times New Roman" w:cs="Calibri"/>
                <w:sz w:val="18"/>
                <w:szCs w:val="18"/>
              </w:rPr>
            </w:pPr>
            <w:r w:rsidRPr="00E61612">
              <w:rPr>
                <w:sz w:val="20"/>
                <w:szCs w:val="20"/>
              </w:rPr>
              <w:t>Sigurimi i kushteve optimale te punës për shërbimin psiko-social</w:t>
            </w:r>
          </w:p>
        </w:tc>
        <w:tc>
          <w:tcPr>
            <w:tcW w:w="0" w:type="auto"/>
            <w:shd w:val="clear" w:color="auto" w:fill="FFFFFF"/>
          </w:tcPr>
          <w:p w:rsidR="00B951B1" w:rsidRPr="00E61612" w:rsidRDefault="00B951B1" w:rsidP="00CB78E6">
            <w:pPr>
              <w:spacing w:after="0"/>
              <w:jc w:val="center"/>
              <w:rPr>
                <w:rFonts w:eastAsia="Times New Roman" w:cs="Calibri"/>
                <w:color w:val="000000"/>
                <w:sz w:val="18"/>
                <w:szCs w:val="18"/>
              </w:rPr>
            </w:pPr>
            <w:r w:rsidRPr="00E61612">
              <w:rPr>
                <w:color w:val="000000"/>
                <w:sz w:val="20"/>
                <w:szCs w:val="20"/>
              </w:rPr>
              <w:t>DPAP</w:t>
            </w:r>
          </w:p>
        </w:tc>
        <w:tc>
          <w:tcPr>
            <w:tcW w:w="0" w:type="auto"/>
            <w:shd w:val="clear" w:color="auto" w:fill="FFFFFF"/>
          </w:tcPr>
          <w:p w:rsidR="00B951B1" w:rsidRPr="00E61612" w:rsidRDefault="00B951B1" w:rsidP="00CB78E6">
            <w:pPr>
              <w:spacing w:after="0"/>
              <w:jc w:val="center"/>
              <w:rPr>
                <w:rFonts w:eastAsia="Times New Roman" w:cs="Calibri"/>
                <w:color w:val="000000"/>
                <w:sz w:val="18"/>
                <w:szCs w:val="18"/>
              </w:rPr>
            </w:pPr>
            <w:r w:rsidRPr="00E61612">
              <w:rPr>
                <w:color w:val="000000"/>
                <w:sz w:val="20"/>
                <w:szCs w:val="20"/>
              </w:rPr>
              <w:t>Bashkitë</w:t>
            </w:r>
          </w:p>
        </w:tc>
        <w:tc>
          <w:tcPr>
            <w:tcW w:w="0" w:type="auto"/>
            <w:shd w:val="clear" w:color="auto" w:fill="FFFFFF"/>
          </w:tcPr>
          <w:p w:rsidR="00B951B1" w:rsidRPr="00E61612" w:rsidRDefault="00B951B1" w:rsidP="00CB78E6">
            <w:pPr>
              <w:spacing w:after="0"/>
              <w:jc w:val="center"/>
              <w:rPr>
                <w:rFonts w:eastAsia="Times New Roman" w:cs="Calibri"/>
                <w:color w:val="000000"/>
                <w:sz w:val="18"/>
                <w:szCs w:val="18"/>
              </w:rPr>
            </w:pPr>
            <w:r w:rsidRPr="00E61612">
              <w:rPr>
                <w:color w:val="000000"/>
                <w:sz w:val="20"/>
                <w:szCs w:val="20"/>
              </w:rPr>
              <w:t>TM3-2021</w:t>
            </w:r>
          </w:p>
        </w:tc>
        <w:tc>
          <w:tcPr>
            <w:tcW w:w="0" w:type="auto"/>
            <w:shd w:val="clear" w:color="auto" w:fill="FFFFFF"/>
          </w:tcPr>
          <w:p w:rsidR="00B951B1" w:rsidRPr="00E61612" w:rsidRDefault="00B951B1" w:rsidP="00CB78E6">
            <w:pPr>
              <w:spacing w:after="0"/>
              <w:jc w:val="center"/>
              <w:rPr>
                <w:rFonts w:eastAsia="Times New Roman" w:cs="Calibri"/>
                <w:color w:val="000000"/>
                <w:sz w:val="18"/>
                <w:szCs w:val="18"/>
              </w:rPr>
            </w:pPr>
            <w:r w:rsidRPr="00E61612">
              <w:rPr>
                <w:color w:val="000000"/>
                <w:sz w:val="20"/>
                <w:szCs w:val="20"/>
              </w:rPr>
              <w:t>TM3-2024</w:t>
            </w:r>
          </w:p>
        </w:tc>
        <w:tc>
          <w:tcPr>
            <w:tcW w:w="0" w:type="auto"/>
            <w:shd w:val="clear" w:color="auto" w:fill="FFFFFF"/>
            <w:noWrap/>
          </w:tcPr>
          <w:p w:rsidR="00B951B1" w:rsidRPr="00E61612" w:rsidRDefault="00B951B1" w:rsidP="00CB78E6">
            <w:pPr>
              <w:spacing w:after="0"/>
              <w:jc w:val="right"/>
              <w:rPr>
                <w:rFonts w:eastAsia="Times New Roman" w:cs="Calibri"/>
                <w:color w:val="000000"/>
                <w:sz w:val="18"/>
                <w:szCs w:val="18"/>
              </w:rPr>
            </w:pPr>
            <w:r w:rsidRPr="00E61612">
              <w:rPr>
                <w:color w:val="000000"/>
                <w:sz w:val="20"/>
                <w:szCs w:val="20"/>
              </w:rPr>
              <w:t xml:space="preserve">                      61,105 </w:t>
            </w:r>
          </w:p>
        </w:tc>
        <w:tc>
          <w:tcPr>
            <w:tcW w:w="0" w:type="auto"/>
            <w:shd w:val="clear" w:color="auto" w:fill="FFFFFF"/>
            <w:noWrap/>
          </w:tcPr>
          <w:p w:rsidR="00B951B1" w:rsidRPr="00E61612" w:rsidRDefault="00B951B1" w:rsidP="00CB78E6">
            <w:pPr>
              <w:spacing w:after="0"/>
              <w:jc w:val="right"/>
              <w:rPr>
                <w:rFonts w:eastAsia="Times New Roman" w:cs="Calibri"/>
                <w:color w:val="000000"/>
                <w:sz w:val="18"/>
                <w:szCs w:val="18"/>
              </w:rPr>
            </w:pPr>
            <w:r w:rsidRPr="00E61612">
              <w:rPr>
                <w:color w:val="000000"/>
                <w:sz w:val="20"/>
                <w:szCs w:val="20"/>
              </w:rPr>
              <w:t xml:space="preserve">                      -   </w:t>
            </w:r>
          </w:p>
        </w:tc>
        <w:tc>
          <w:tcPr>
            <w:tcW w:w="0" w:type="auto"/>
            <w:shd w:val="clear" w:color="auto" w:fill="FFFFFF"/>
            <w:noWrap/>
          </w:tcPr>
          <w:p w:rsidR="00B951B1" w:rsidRPr="00E61612" w:rsidRDefault="00B951B1" w:rsidP="00CB78E6">
            <w:pPr>
              <w:spacing w:after="0"/>
              <w:jc w:val="right"/>
              <w:rPr>
                <w:rFonts w:eastAsia="Times New Roman" w:cs="Calibri"/>
                <w:color w:val="000000"/>
                <w:sz w:val="18"/>
                <w:szCs w:val="18"/>
              </w:rPr>
            </w:pPr>
            <w:r w:rsidRPr="00E61612">
              <w:rPr>
                <w:color w:val="000000"/>
                <w:sz w:val="20"/>
                <w:szCs w:val="20"/>
              </w:rPr>
              <w:t xml:space="preserve">                   -   </w:t>
            </w:r>
          </w:p>
        </w:tc>
        <w:tc>
          <w:tcPr>
            <w:tcW w:w="0" w:type="auto"/>
            <w:shd w:val="clear" w:color="auto" w:fill="FFFFFF"/>
            <w:noWrap/>
          </w:tcPr>
          <w:p w:rsidR="00B951B1" w:rsidRPr="00E61612" w:rsidRDefault="00B951B1" w:rsidP="00CB78E6">
            <w:pPr>
              <w:spacing w:after="0"/>
              <w:jc w:val="right"/>
              <w:rPr>
                <w:rFonts w:eastAsia="Times New Roman" w:cs="Calibri"/>
                <w:color w:val="000000"/>
                <w:sz w:val="18"/>
                <w:szCs w:val="18"/>
              </w:rPr>
            </w:pPr>
            <w:r w:rsidRPr="00E61612">
              <w:rPr>
                <w:color w:val="000000"/>
                <w:sz w:val="20"/>
                <w:szCs w:val="20"/>
              </w:rPr>
              <w:t xml:space="preserve">            (61,105)</w:t>
            </w:r>
          </w:p>
        </w:tc>
      </w:tr>
      <w:tr w:rsidR="00B951B1" w:rsidRPr="00E61612" w:rsidTr="00CB78E6">
        <w:trPr>
          <w:trHeight w:val="20"/>
        </w:trPr>
        <w:tc>
          <w:tcPr>
            <w:tcW w:w="0" w:type="auto"/>
            <w:shd w:val="clear" w:color="auto" w:fill="FFFFFF"/>
          </w:tcPr>
          <w:p w:rsidR="00B951B1" w:rsidRPr="00E61612" w:rsidRDefault="00B951B1" w:rsidP="00CB78E6">
            <w:pPr>
              <w:spacing w:after="0"/>
              <w:jc w:val="center"/>
              <w:rPr>
                <w:rFonts w:eastAsia="Times New Roman" w:cs="Calibri"/>
                <w:b/>
                <w:bCs/>
                <w:color w:val="000000"/>
                <w:sz w:val="18"/>
                <w:szCs w:val="18"/>
              </w:rPr>
            </w:pPr>
            <w:r w:rsidRPr="00E61612">
              <w:rPr>
                <w:b/>
                <w:bCs/>
                <w:color w:val="000000"/>
                <w:sz w:val="20"/>
                <w:szCs w:val="20"/>
              </w:rPr>
              <w:lastRenderedPageBreak/>
              <w:t>A1.4.3</w:t>
            </w:r>
          </w:p>
        </w:tc>
        <w:tc>
          <w:tcPr>
            <w:tcW w:w="0" w:type="auto"/>
            <w:shd w:val="clear" w:color="auto" w:fill="FFFFFF"/>
          </w:tcPr>
          <w:p w:rsidR="00B951B1" w:rsidRPr="00E61612" w:rsidRDefault="00B951B1" w:rsidP="00CB78E6">
            <w:pPr>
              <w:spacing w:after="0"/>
              <w:rPr>
                <w:rFonts w:eastAsia="Times New Roman" w:cs="Calibri"/>
                <w:sz w:val="18"/>
                <w:szCs w:val="18"/>
              </w:rPr>
            </w:pPr>
            <w:r w:rsidRPr="00E61612">
              <w:rPr>
                <w:sz w:val="20"/>
                <w:szCs w:val="20"/>
              </w:rPr>
              <w:t>Hartimi i protokolleve t</w:t>
            </w:r>
            <w:r>
              <w:rPr>
                <w:sz w:val="20"/>
                <w:szCs w:val="20"/>
              </w:rPr>
              <w:t>ë</w:t>
            </w:r>
            <w:r w:rsidRPr="00E61612">
              <w:rPr>
                <w:sz w:val="20"/>
                <w:szCs w:val="20"/>
              </w:rPr>
              <w:t xml:space="preserve"> punës për shërbimin psiko-social</w:t>
            </w:r>
          </w:p>
        </w:tc>
        <w:tc>
          <w:tcPr>
            <w:tcW w:w="0" w:type="auto"/>
            <w:shd w:val="clear" w:color="auto" w:fill="FFFFFF"/>
          </w:tcPr>
          <w:p w:rsidR="00B951B1" w:rsidRPr="00E61612" w:rsidRDefault="00B951B1" w:rsidP="00CB78E6">
            <w:pPr>
              <w:spacing w:after="0"/>
              <w:jc w:val="center"/>
              <w:rPr>
                <w:rFonts w:eastAsia="Times New Roman" w:cs="Calibri"/>
                <w:color w:val="000000"/>
                <w:sz w:val="18"/>
                <w:szCs w:val="18"/>
              </w:rPr>
            </w:pPr>
            <w:r w:rsidRPr="00E61612">
              <w:rPr>
                <w:color w:val="000000"/>
                <w:sz w:val="20"/>
                <w:szCs w:val="20"/>
              </w:rPr>
              <w:t>ASCAP</w:t>
            </w:r>
          </w:p>
        </w:tc>
        <w:tc>
          <w:tcPr>
            <w:tcW w:w="0" w:type="auto"/>
            <w:shd w:val="clear" w:color="auto" w:fill="FFFFFF"/>
          </w:tcPr>
          <w:p w:rsidR="00B951B1" w:rsidRPr="00E61612" w:rsidRDefault="00B951B1" w:rsidP="00CB78E6">
            <w:pPr>
              <w:spacing w:after="0"/>
              <w:jc w:val="center"/>
              <w:rPr>
                <w:rFonts w:eastAsia="Times New Roman" w:cs="Calibri"/>
                <w:color w:val="000000"/>
                <w:sz w:val="18"/>
                <w:szCs w:val="18"/>
              </w:rPr>
            </w:pPr>
            <w:r w:rsidRPr="00E61612">
              <w:rPr>
                <w:color w:val="000000"/>
                <w:sz w:val="20"/>
                <w:szCs w:val="20"/>
              </w:rPr>
              <w:t> </w:t>
            </w:r>
          </w:p>
        </w:tc>
        <w:tc>
          <w:tcPr>
            <w:tcW w:w="0" w:type="auto"/>
            <w:shd w:val="clear" w:color="auto" w:fill="FFFFFF"/>
          </w:tcPr>
          <w:p w:rsidR="00B951B1" w:rsidRPr="00E61612" w:rsidRDefault="00B951B1" w:rsidP="00CB78E6">
            <w:pPr>
              <w:spacing w:after="0"/>
              <w:jc w:val="center"/>
              <w:rPr>
                <w:rFonts w:eastAsia="Times New Roman" w:cs="Calibri"/>
                <w:color w:val="000000"/>
                <w:sz w:val="18"/>
                <w:szCs w:val="18"/>
              </w:rPr>
            </w:pPr>
            <w:r w:rsidRPr="00E61612">
              <w:rPr>
                <w:color w:val="000000"/>
                <w:sz w:val="20"/>
                <w:szCs w:val="20"/>
              </w:rPr>
              <w:t>TM1-2022</w:t>
            </w:r>
          </w:p>
        </w:tc>
        <w:tc>
          <w:tcPr>
            <w:tcW w:w="0" w:type="auto"/>
            <w:shd w:val="clear" w:color="auto" w:fill="FFFFFF"/>
          </w:tcPr>
          <w:p w:rsidR="00B951B1" w:rsidRPr="00E61612" w:rsidRDefault="00B951B1" w:rsidP="00CB78E6">
            <w:pPr>
              <w:spacing w:after="0"/>
              <w:jc w:val="center"/>
              <w:rPr>
                <w:rFonts w:eastAsia="Times New Roman" w:cs="Calibri"/>
                <w:color w:val="000000"/>
                <w:sz w:val="18"/>
                <w:szCs w:val="18"/>
              </w:rPr>
            </w:pPr>
            <w:r w:rsidRPr="00E61612">
              <w:rPr>
                <w:color w:val="000000"/>
                <w:sz w:val="20"/>
                <w:szCs w:val="20"/>
              </w:rPr>
              <w:t>TM2-2022</w:t>
            </w:r>
          </w:p>
        </w:tc>
        <w:tc>
          <w:tcPr>
            <w:tcW w:w="0" w:type="auto"/>
            <w:shd w:val="clear" w:color="auto" w:fill="FFFFFF"/>
            <w:noWrap/>
          </w:tcPr>
          <w:p w:rsidR="00B951B1" w:rsidRPr="00E61612" w:rsidRDefault="00B951B1" w:rsidP="00CB78E6">
            <w:pPr>
              <w:spacing w:after="0"/>
              <w:jc w:val="right"/>
              <w:rPr>
                <w:rFonts w:eastAsia="Times New Roman" w:cs="Calibri"/>
                <w:color w:val="000000"/>
                <w:sz w:val="18"/>
                <w:szCs w:val="18"/>
              </w:rPr>
            </w:pPr>
            <w:r w:rsidRPr="00E61612">
              <w:rPr>
                <w:color w:val="000000"/>
                <w:sz w:val="20"/>
                <w:szCs w:val="20"/>
              </w:rPr>
              <w:t xml:space="preserve">                        1,440 </w:t>
            </w:r>
          </w:p>
        </w:tc>
        <w:tc>
          <w:tcPr>
            <w:tcW w:w="0" w:type="auto"/>
            <w:shd w:val="clear" w:color="auto" w:fill="FFFFFF"/>
            <w:noWrap/>
          </w:tcPr>
          <w:p w:rsidR="00B951B1" w:rsidRPr="00E61612" w:rsidRDefault="00B951B1" w:rsidP="00CB78E6">
            <w:pPr>
              <w:spacing w:after="0"/>
              <w:jc w:val="right"/>
              <w:rPr>
                <w:rFonts w:eastAsia="Times New Roman" w:cs="Calibri"/>
                <w:color w:val="000000"/>
                <w:sz w:val="18"/>
                <w:szCs w:val="18"/>
              </w:rPr>
            </w:pPr>
            <w:r w:rsidRPr="00E61612">
              <w:rPr>
                <w:color w:val="000000"/>
                <w:sz w:val="20"/>
                <w:szCs w:val="20"/>
              </w:rPr>
              <w:t xml:space="preserve">                      -   </w:t>
            </w:r>
          </w:p>
        </w:tc>
        <w:tc>
          <w:tcPr>
            <w:tcW w:w="0" w:type="auto"/>
            <w:shd w:val="clear" w:color="auto" w:fill="FFFFFF"/>
            <w:noWrap/>
          </w:tcPr>
          <w:p w:rsidR="00B951B1" w:rsidRPr="00E61612" w:rsidRDefault="00B951B1" w:rsidP="00CB78E6">
            <w:pPr>
              <w:spacing w:after="0"/>
              <w:jc w:val="right"/>
              <w:rPr>
                <w:rFonts w:eastAsia="Times New Roman" w:cs="Calibri"/>
                <w:color w:val="000000"/>
                <w:sz w:val="18"/>
                <w:szCs w:val="18"/>
              </w:rPr>
            </w:pPr>
            <w:r w:rsidRPr="00E61612">
              <w:rPr>
                <w:color w:val="000000"/>
                <w:sz w:val="20"/>
                <w:szCs w:val="20"/>
              </w:rPr>
              <w:t xml:space="preserve">            1,440 </w:t>
            </w:r>
          </w:p>
        </w:tc>
        <w:tc>
          <w:tcPr>
            <w:tcW w:w="0" w:type="auto"/>
            <w:shd w:val="clear" w:color="auto" w:fill="FFFFFF"/>
            <w:noWrap/>
          </w:tcPr>
          <w:p w:rsidR="00B951B1" w:rsidRPr="00E61612" w:rsidRDefault="00B951B1" w:rsidP="00CB78E6">
            <w:pPr>
              <w:spacing w:after="0"/>
              <w:jc w:val="right"/>
              <w:rPr>
                <w:rFonts w:eastAsia="Times New Roman" w:cs="Calibri"/>
                <w:color w:val="000000"/>
                <w:sz w:val="18"/>
                <w:szCs w:val="18"/>
              </w:rPr>
            </w:pPr>
            <w:r w:rsidRPr="00E61612">
              <w:rPr>
                <w:color w:val="000000"/>
                <w:sz w:val="20"/>
                <w:szCs w:val="20"/>
              </w:rPr>
              <w:t xml:space="preserve">                       -   </w:t>
            </w:r>
          </w:p>
        </w:tc>
      </w:tr>
      <w:tr w:rsidR="00B951B1" w:rsidRPr="00E61612" w:rsidTr="00CB78E6">
        <w:trPr>
          <w:trHeight w:val="20"/>
        </w:trPr>
        <w:tc>
          <w:tcPr>
            <w:tcW w:w="0" w:type="auto"/>
            <w:tcBorders>
              <w:bottom w:val="single" w:sz="4" w:space="0" w:color="auto"/>
            </w:tcBorders>
            <w:shd w:val="clear" w:color="auto" w:fill="FFFFFF"/>
          </w:tcPr>
          <w:p w:rsidR="00B951B1" w:rsidRPr="00E61612" w:rsidRDefault="00B951B1" w:rsidP="00CB78E6">
            <w:pPr>
              <w:spacing w:after="0"/>
              <w:jc w:val="center"/>
              <w:rPr>
                <w:rFonts w:eastAsia="Times New Roman" w:cs="Calibri"/>
                <w:b/>
                <w:bCs/>
                <w:color w:val="000000"/>
                <w:sz w:val="18"/>
                <w:szCs w:val="18"/>
              </w:rPr>
            </w:pPr>
            <w:r w:rsidRPr="00E61612">
              <w:rPr>
                <w:b/>
                <w:bCs/>
                <w:color w:val="000000"/>
                <w:sz w:val="20"/>
                <w:szCs w:val="20"/>
              </w:rPr>
              <w:t>A1.4.4</w:t>
            </w:r>
          </w:p>
        </w:tc>
        <w:tc>
          <w:tcPr>
            <w:tcW w:w="0" w:type="auto"/>
            <w:tcBorders>
              <w:bottom w:val="single" w:sz="4" w:space="0" w:color="auto"/>
            </w:tcBorders>
            <w:shd w:val="clear" w:color="auto" w:fill="FFFFFF"/>
          </w:tcPr>
          <w:p w:rsidR="00B951B1" w:rsidRPr="00E61612" w:rsidRDefault="00B951B1" w:rsidP="00CB78E6">
            <w:pPr>
              <w:spacing w:after="0"/>
              <w:rPr>
                <w:rFonts w:eastAsia="Times New Roman" w:cs="Calibri"/>
                <w:sz w:val="18"/>
                <w:szCs w:val="18"/>
              </w:rPr>
            </w:pPr>
            <w:r w:rsidRPr="00E61612">
              <w:rPr>
                <w:sz w:val="20"/>
                <w:szCs w:val="20"/>
              </w:rPr>
              <w:t>Zhvillimi i kapaciteteve t</w:t>
            </w:r>
            <w:r>
              <w:rPr>
                <w:sz w:val="20"/>
                <w:szCs w:val="20"/>
              </w:rPr>
              <w:t>ë</w:t>
            </w:r>
            <w:r w:rsidRPr="00E61612">
              <w:rPr>
                <w:sz w:val="20"/>
                <w:szCs w:val="20"/>
              </w:rPr>
              <w:t xml:space="preserve"> punonjësve t</w:t>
            </w:r>
            <w:r>
              <w:rPr>
                <w:sz w:val="20"/>
                <w:szCs w:val="20"/>
              </w:rPr>
              <w:t>ë</w:t>
            </w:r>
            <w:r w:rsidRPr="00E61612">
              <w:rPr>
                <w:sz w:val="20"/>
                <w:szCs w:val="20"/>
              </w:rPr>
              <w:t xml:space="preserve"> shërbimit psiko-social</w:t>
            </w:r>
          </w:p>
        </w:tc>
        <w:tc>
          <w:tcPr>
            <w:tcW w:w="0" w:type="auto"/>
            <w:tcBorders>
              <w:bottom w:val="single" w:sz="4" w:space="0" w:color="auto"/>
            </w:tcBorders>
            <w:shd w:val="clear" w:color="auto" w:fill="FFFFFF"/>
          </w:tcPr>
          <w:p w:rsidR="00B951B1" w:rsidRPr="00E61612" w:rsidRDefault="00B951B1" w:rsidP="00CB78E6">
            <w:pPr>
              <w:spacing w:after="0"/>
              <w:jc w:val="center"/>
              <w:rPr>
                <w:rFonts w:eastAsia="Times New Roman" w:cs="Calibri"/>
                <w:color w:val="000000"/>
                <w:sz w:val="18"/>
                <w:szCs w:val="18"/>
              </w:rPr>
            </w:pPr>
            <w:r w:rsidRPr="00E61612">
              <w:rPr>
                <w:color w:val="000000"/>
                <w:sz w:val="20"/>
                <w:szCs w:val="20"/>
              </w:rPr>
              <w:t>ASCAP</w:t>
            </w:r>
          </w:p>
        </w:tc>
        <w:tc>
          <w:tcPr>
            <w:tcW w:w="0" w:type="auto"/>
            <w:tcBorders>
              <w:bottom w:val="single" w:sz="4" w:space="0" w:color="auto"/>
            </w:tcBorders>
            <w:shd w:val="clear" w:color="auto" w:fill="FFFFFF"/>
          </w:tcPr>
          <w:p w:rsidR="00B951B1" w:rsidRPr="00E61612" w:rsidRDefault="00B951B1" w:rsidP="00CB78E6">
            <w:pPr>
              <w:spacing w:after="0"/>
              <w:jc w:val="center"/>
              <w:rPr>
                <w:rFonts w:eastAsia="Times New Roman" w:cs="Calibri"/>
                <w:color w:val="000000"/>
                <w:sz w:val="18"/>
                <w:szCs w:val="18"/>
              </w:rPr>
            </w:pPr>
            <w:r w:rsidRPr="00E61612">
              <w:rPr>
                <w:color w:val="000000"/>
                <w:sz w:val="20"/>
                <w:szCs w:val="20"/>
              </w:rPr>
              <w:t>DPAP</w:t>
            </w:r>
          </w:p>
        </w:tc>
        <w:tc>
          <w:tcPr>
            <w:tcW w:w="0" w:type="auto"/>
            <w:tcBorders>
              <w:bottom w:val="single" w:sz="4" w:space="0" w:color="auto"/>
            </w:tcBorders>
            <w:shd w:val="clear" w:color="auto" w:fill="FFFFFF"/>
          </w:tcPr>
          <w:p w:rsidR="00B951B1" w:rsidRPr="00E61612" w:rsidRDefault="00B951B1" w:rsidP="00CB78E6">
            <w:pPr>
              <w:spacing w:after="0"/>
              <w:jc w:val="center"/>
              <w:rPr>
                <w:rFonts w:eastAsia="Times New Roman" w:cs="Calibri"/>
                <w:color w:val="000000"/>
                <w:sz w:val="18"/>
                <w:szCs w:val="18"/>
              </w:rPr>
            </w:pPr>
            <w:r w:rsidRPr="00E61612">
              <w:rPr>
                <w:color w:val="000000"/>
                <w:sz w:val="20"/>
                <w:szCs w:val="20"/>
              </w:rPr>
              <w:t>TM3-2022</w:t>
            </w:r>
          </w:p>
        </w:tc>
        <w:tc>
          <w:tcPr>
            <w:tcW w:w="0" w:type="auto"/>
            <w:tcBorders>
              <w:bottom w:val="single" w:sz="4" w:space="0" w:color="auto"/>
            </w:tcBorders>
            <w:shd w:val="clear" w:color="auto" w:fill="FFFFFF"/>
          </w:tcPr>
          <w:p w:rsidR="00B951B1" w:rsidRPr="00E61612" w:rsidRDefault="00B951B1" w:rsidP="00CB78E6">
            <w:pPr>
              <w:spacing w:after="0"/>
              <w:jc w:val="center"/>
              <w:rPr>
                <w:rFonts w:eastAsia="Times New Roman" w:cs="Calibri"/>
                <w:color w:val="000000"/>
                <w:sz w:val="18"/>
                <w:szCs w:val="18"/>
              </w:rPr>
            </w:pPr>
            <w:r w:rsidRPr="00E61612">
              <w:rPr>
                <w:color w:val="000000"/>
                <w:sz w:val="20"/>
                <w:szCs w:val="20"/>
              </w:rPr>
              <w:t>TM3-2024</w:t>
            </w:r>
          </w:p>
        </w:tc>
        <w:tc>
          <w:tcPr>
            <w:tcW w:w="0" w:type="auto"/>
            <w:tcBorders>
              <w:bottom w:val="single" w:sz="4" w:space="0" w:color="auto"/>
            </w:tcBorders>
            <w:shd w:val="clear" w:color="auto" w:fill="FFFFFF"/>
            <w:noWrap/>
          </w:tcPr>
          <w:p w:rsidR="00B951B1" w:rsidRPr="00E61612" w:rsidRDefault="00B951B1" w:rsidP="00CB78E6">
            <w:pPr>
              <w:spacing w:after="0"/>
              <w:jc w:val="right"/>
              <w:rPr>
                <w:rFonts w:eastAsia="Times New Roman" w:cs="Calibri"/>
                <w:color w:val="000000"/>
                <w:sz w:val="18"/>
                <w:szCs w:val="18"/>
              </w:rPr>
            </w:pPr>
            <w:r w:rsidRPr="00E61612">
              <w:rPr>
                <w:color w:val="000000"/>
                <w:sz w:val="20"/>
                <w:szCs w:val="20"/>
              </w:rPr>
              <w:t xml:space="preserve">                        2,070 </w:t>
            </w:r>
          </w:p>
        </w:tc>
        <w:tc>
          <w:tcPr>
            <w:tcW w:w="0" w:type="auto"/>
            <w:tcBorders>
              <w:bottom w:val="single" w:sz="4" w:space="0" w:color="auto"/>
            </w:tcBorders>
            <w:shd w:val="clear" w:color="auto" w:fill="FFFFFF"/>
            <w:noWrap/>
          </w:tcPr>
          <w:p w:rsidR="00B951B1" w:rsidRPr="00E61612" w:rsidRDefault="00B951B1" w:rsidP="00CB78E6">
            <w:pPr>
              <w:spacing w:after="0"/>
              <w:jc w:val="right"/>
              <w:rPr>
                <w:rFonts w:eastAsia="Times New Roman" w:cs="Calibri"/>
                <w:color w:val="000000"/>
                <w:sz w:val="18"/>
                <w:szCs w:val="18"/>
              </w:rPr>
            </w:pPr>
            <w:r w:rsidRPr="00E61612">
              <w:rPr>
                <w:color w:val="000000"/>
                <w:sz w:val="20"/>
                <w:szCs w:val="20"/>
              </w:rPr>
              <w:t xml:space="preserve">                      -   </w:t>
            </w:r>
          </w:p>
        </w:tc>
        <w:tc>
          <w:tcPr>
            <w:tcW w:w="0" w:type="auto"/>
            <w:tcBorders>
              <w:bottom w:val="single" w:sz="4" w:space="0" w:color="auto"/>
            </w:tcBorders>
            <w:shd w:val="clear" w:color="auto" w:fill="FFFFFF"/>
            <w:noWrap/>
          </w:tcPr>
          <w:p w:rsidR="00B951B1" w:rsidRPr="00E61612" w:rsidRDefault="00B951B1" w:rsidP="00CB78E6">
            <w:pPr>
              <w:spacing w:after="0"/>
              <w:jc w:val="right"/>
              <w:rPr>
                <w:rFonts w:eastAsia="Times New Roman" w:cs="Calibri"/>
                <w:color w:val="000000"/>
                <w:sz w:val="18"/>
                <w:szCs w:val="18"/>
              </w:rPr>
            </w:pPr>
            <w:r w:rsidRPr="00E61612">
              <w:rPr>
                <w:color w:val="000000"/>
                <w:sz w:val="20"/>
                <w:szCs w:val="20"/>
              </w:rPr>
              <w:t xml:space="preserve">            2,070 </w:t>
            </w:r>
          </w:p>
        </w:tc>
        <w:tc>
          <w:tcPr>
            <w:tcW w:w="0" w:type="auto"/>
            <w:tcBorders>
              <w:bottom w:val="single" w:sz="4" w:space="0" w:color="auto"/>
            </w:tcBorders>
            <w:shd w:val="clear" w:color="auto" w:fill="FFFFFF"/>
            <w:noWrap/>
          </w:tcPr>
          <w:p w:rsidR="00B951B1" w:rsidRPr="00E61612" w:rsidRDefault="00B951B1" w:rsidP="00CB78E6">
            <w:pPr>
              <w:spacing w:after="0"/>
              <w:jc w:val="right"/>
              <w:rPr>
                <w:rFonts w:eastAsia="Times New Roman" w:cs="Calibri"/>
                <w:color w:val="000000"/>
                <w:sz w:val="18"/>
                <w:szCs w:val="18"/>
              </w:rPr>
            </w:pPr>
            <w:r w:rsidRPr="00E61612">
              <w:rPr>
                <w:color w:val="000000"/>
                <w:sz w:val="20"/>
                <w:szCs w:val="20"/>
              </w:rPr>
              <w:t xml:space="preserve">                       -   </w:t>
            </w:r>
          </w:p>
        </w:tc>
      </w:tr>
      <w:tr w:rsidR="00B951B1" w:rsidRPr="00E61612" w:rsidTr="00CB78E6">
        <w:trPr>
          <w:trHeight w:val="20"/>
        </w:trPr>
        <w:tc>
          <w:tcPr>
            <w:tcW w:w="0" w:type="auto"/>
            <w:shd w:val="clear" w:color="auto" w:fill="D9D9D9"/>
          </w:tcPr>
          <w:p w:rsidR="00B951B1" w:rsidRPr="00E61612" w:rsidRDefault="00B951B1" w:rsidP="00CB78E6">
            <w:pPr>
              <w:spacing w:after="0"/>
              <w:jc w:val="center"/>
              <w:rPr>
                <w:rFonts w:eastAsia="Times New Roman" w:cs="Calibri"/>
                <w:b/>
                <w:bCs/>
                <w:color w:val="000000"/>
                <w:sz w:val="18"/>
                <w:szCs w:val="18"/>
              </w:rPr>
            </w:pPr>
            <w:r w:rsidRPr="00E61612">
              <w:rPr>
                <w:b/>
                <w:bCs/>
                <w:color w:val="000000"/>
                <w:sz w:val="20"/>
                <w:szCs w:val="20"/>
              </w:rPr>
              <w:t>A1.5</w:t>
            </w:r>
          </w:p>
        </w:tc>
        <w:tc>
          <w:tcPr>
            <w:tcW w:w="0" w:type="auto"/>
            <w:shd w:val="clear" w:color="auto" w:fill="D9D9D9"/>
          </w:tcPr>
          <w:p w:rsidR="00B951B1" w:rsidRPr="00E61612" w:rsidRDefault="00B951B1" w:rsidP="00CB78E6">
            <w:pPr>
              <w:spacing w:after="0"/>
              <w:rPr>
                <w:rFonts w:eastAsia="Times New Roman" w:cs="Calibri"/>
                <w:sz w:val="18"/>
                <w:szCs w:val="18"/>
              </w:rPr>
            </w:pPr>
            <w:r w:rsidRPr="00E61612">
              <w:rPr>
                <w:sz w:val="20"/>
                <w:szCs w:val="20"/>
              </w:rPr>
              <w:t xml:space="preserve"> Racionalizimi i rrjetit të shkollave</w:t>
            </w:r>
          </w:p>
        </w:tc>
        <w:tc>
          <w:tcPr>
            <w:tcW w:w="0" w:type="auto"/>
            <w:shd w:val="clear" w:color="auto" w:fill="D9D9D9"/>
          </w:tcPr>
          <w:p w:rsidR="00B951B1" w:rsidRPr="00E61612" w:rsidRDefault="00B951B1" w:rsidP="00CB78E6">
            <w:pPr>
              <w:spacing w:after="0"/>
              <w:jc w:val="center"/>
              <w:rPr>
                <w:rFonts w:eastAsia="Times New Roman" w:cs="Calibri"/>
                <w:color w:val="000000"/>
                <w:sz w:val="18"/>
                <w:szCs w:val="18"/>
              </w:rPr>
            </w:pPr>
            <w:r w:rsidRPr="00E61612">
              <w:rPr>
                <w:color w:val="000000"/>
                <w:sz w:val="20"/>
                <w:szCs w:val="20"/>
              </w:rPr>
              <w:t>MASR</w:t>
            </w:r>
          </w:p>
        </w:tc>
        <w:tc>
          <w:tcPr>
            <w:tcW w:w="0" w:type="auto"/>
            <w:shd w:val="clear" w:color="auto" w:fill="D9D9D9"/>
          </w:tcPr>
          <w:p w:rsidR="00B951B1" w:rsidRPr="00E61612" w:rsidRDefault="00B951B1" w:rsidP="00CB78E6">
            <w:pPr>
              <w:spacing w:after="0"/>
              <w:jc w:val="center"/>
              <w:rPr>
                <w:rFonts w:eastAsia="Times New Roman" w:cs="Calibri"/>
                <w:color w:val="000000"/>
                <w:sz w:val="18"/>
                <w:szCs w:val="18"/>
              </w:rPr>
            </w:pPr>
            <w:r w:rsidRPr="00E61612">
              <w:rPr>
                <w:color w:val="000000"/>
                <w:sz w:val="20"/>
                <w:szCs w:val="20"/>
              </w:rPr>
              <w:t>DPAP, Bashkitë</w:t>
            </w:r>
          </w:p>
        </w:tc>
        <w:tc>
          <w:tcPr>
            <w:tcW w:w="0" w:type="auto"/>
            <w:shd w:val="clear" w:color="auto" w:fill="D9D9D9"/>
          </w:tcPr>
          <w:p w:rsidR="00B951B1" w:rsidRPr="00E61612" w:rsidRDefault="00B951B1" w:rsidP="00CB78E6">
            <w:pPr>
              <w:spacing w:after="0"/>
              <w:jc w:val="center"/>
              <w:rPr>
                <w:rFonts w:eastAsia="Times New Roman" w:cs="Calibri"/>
                <w:color w:val="000000"/>
                <w:sz w:val="18"/>
                <w:szCs w:val="18"/>
              </w:rPr>
            </w:pPr>
            <w:r w:rsidRPr="00E61612">
              <w:rPr>
                <w:color w:val="000000"/>
                <w:sz w:val="20"/>
                <w:szCs w:val="20"/>
              </w:rPr>
              <w:t>TM3-2021</w:t>
            </w:r>
          </w:p>
        </w:tc>
        <w:tc>
          <w:tcPr>
            <w:tcW w:w="0" w:type="auto"/>
            <w:shd w:val="clear" w:color="auto" w:fill="D9D9D9"/>
          </w:tcPr>
          <w:p w:rsidR="00B951B1" w:rsidRPr="00E61612" w:rsidRDefault="00B951B1" w:rsidP="00CB78E6">
            <w:pPr>
              <w:spacing w:after="0"/>
              <w:jc w:val="center"/>
              <w:rPr>
                <w:rFonts w:eastAsia="Times New Roman" w:cs="Calibri"/>
                <w:color w:val="000000"/>
                <w:sz w:val="18"/>
                <w:szCs w:val="18"/>
              </w:rPr>
            </w:pPr>
            <w:r w:rsidRPr="00E61612">
              <w:rPr>
                <w:color w:val="000000"/>
                <w:sz w:val="20"/>
                <w:szCs w:val="20"/>
              </w:rPr>
              <w:t>TM3-2026</w:t>
            </w:r>
          </w:p>
        </w:tc>
        <w:tc>
          <w:tcPr>
            <w:tcW w:w="0" w:type="auto"/>
            <w:shd w:val="clear" w:color="auto" w:fill="D9D9D9"/>
            <w:noWrap/>
          </w:tcPr>
          <w:p w:rsidR="00B951B1" w:rsidRPr="00E61612" w:rsidRDefault="00B951B1" w:rsidP="00CB78E6">
            <w:pPr>
              <w:spacing w:after="0"/>
              <w:jc w:val="right"/>
              <w:rPr>
                <w:rFonts w:eastAsia="Times New Roman" w:cs="Calibri"/>
                <w:color w:val="000000"/>
                <w:sz w:val="18"/>
                <w:szCs w:val="18"/>
              </w:rPr>
            </w:pPr>
            <w:r w:rsidRPr="00E61612">
              <w:rPr>
                <w:color w:val="000000"/>
                <w:sz w:val="20"/>
                <w:szCs w:val="20"/>
              </w:rPr>
              <w:t xml:space="preserve">                               -   </w:t>
            </w:r>
          </w:p>
        </w:tc>
        <w:tc>
          <w:tcPr>
            <w:tcW w:w="0" w:type="auto"/>
            <w:shd w:val="clear" w:color="auto" w:fill="D9D9D9"/>
            <w:noWrap/>
          </w:tcPr>
          <w:p w:rsidR="00B951B1" w:rsidRPr="00E61612" w:rsidRDefault="00B951B1" w:rsidP="00CB78E6">
            <w:pPr>
              <w:spacing w:after="0"/>
              <w:jc w:val="right"/>
              <w:rPr>
                <w:rFonts w:eastAsia="Times New Roman" w:cs="Calibri"/>
                <w:color w:val="000000"/>
                <w:sz w:val="18"/>
                <w:szCs w:val="18"/>
              </w:rPr>
            </w:pPr>
            <w:r w:rsidRPr="00E61612">
              <w:rPr>
                <w:color w:val="000000"/>
                <w:sz w:val="20"/>
                <w:szCs w:val="20"/>
              </w:rPr>
              <w:t xml:space="preserve">                      -   </w:t>
            </w:r>
          </w:p>
        </w:tc>
        <w:tc>
          <w:tcPr>
            <w:tcW w:w="0" w:type="auto"/>
            <w:shd w:val="clear" w:color="auto" w:fill="D9D9D9"/>
            <w:noWrap/>
          </w:tcPr>
          <w:p w:rsidR="00B951B1" w:rsidRPr="00E61612" w:rsidRDefault="00B951B1" w:rsidP="00CB78E6">
            <w:pPr>
              <w:spacing w:after="0"/>
              <w:jc w:val="right"/>
              <w:rPr>
                <w:rFonts w:eastAsia="Times New Roman" w:cs="Calibri"/>
                <w:color w:val="000000"/>
                <w:sz w:val="18"/>
                <w:szCs w:val="18"/>
              </w:rPr>
            </w:pPr>
            <w:r w:rsidRPr="00E61612">
              <w:rPr>
                <w:color w:val="000000"/>
                <w:sz w:val="20"/>
                <w:szCs w:val="20"/>
              </w:rPr>
              <w:t xml:space="preserve">                   -   </w:t>
            </w:r>
          </w:p>
        </w:tc>
        <w:tc>
          <w:tcPr>
            <w:tcW w:w="0" w:type="auto"/>
            <w:shd w:val="clear" w:color="auto" w:fill="D9D9D9"/>
            <w:noWrap/>
          </w:tcPr>
          <w:p w:rsidR="00B951B1" w:rsidRPr="00E61612" w:rsidRDefault="00B951B1" w:rsidP="00CB78E6">
            <w:pPr>
              <w:spacing w:after="0"/>
              <w:jc w:val="right"/>
              <w:rPr>
                <w:rFonts w:eastAsia="Times New Roman" w:cs="Calibri"/>
                <w:color w:val="000000"/>
                <w:sz w:val="18"/>
                <w:szCs w:val="18"/>
              </w:rPr>
            </w:pPr>
            <w:r w:rsidRPr="00E61612">
              <w:rPr>
                <w:color w:val="000000"/>
                <w:sz w:val="20"/>
                <w:szCs w:val="20"/>
              </w:rPr>
              <w:t xml:space="preserve">                       -   </w:t>
            </w:r>
          </w:p>
        </w:tc>
      </w:tr>
      <w:tr w:rsidR="00B951B1" w:rsidRPr="00E61612" w:rsidTr="00CB78E6">
        <w:trPr>
          <w:trHeight w:val="20"/>
        </w:trPr>
        <w:tc>
          <w:tcPr>
            <w:tcW w:w="0" w:type="auto"/>
            <w:tcBorders>
              <w:bottom w:val="single" w:sz="4" w:space="0" w:color="auto"/>
            </w:tcBorders>
            <w:shd w:val="clear" w:color="auto" w:fill="FFFFFF"/>
          </w:tcPr>
          <w:p w:rsidR="00B951B1" w:rsidRPr="00E61612" w:rsidRDefault="00B951B1" w:rsidP="00CB78E6">
            <w:pPr>
              <w:spacing w:after="0"/>
              <w:jc w:val="center"/>
              <w:rPr>
                <w:rFonts w:eastAsia="Times New Roman" w:cs="Calibri"/>
                <w:b/>
                <w:bCs/>
                <w:color w:val="000000"/>
                <w:sz w:val="18"/>
                <w:szCs w:val="18"/>
              </w:rPr>
            </w:pPr>
            <w:r w:rsidRPr="00E61612">
              <w:rPr>
                <w:b/>
                <w:bCs/>
                <w:color w:val="000000"/>
                <w:sz w:val="20"/>
                <w:szCs w:val="20"/>
              </w:rPr>
              <w:t>A1.5.1</w:t>
            </w:r>
          </w:p>
        </w:tc>
        <w:tc>
          <w:tcPr>
            <w:tcW w:w="0" w:type="auto"/>
            <w:tcBorders>
              <w:bottom w:val="single" w:sz="4" w:space="0" w:color="auto"/>
            </w:tcBorders>
            <w:shd w:val="clear" w:color="auto" w:fill="FFFFFF"/>
          </w:tcPr>
          <w:p w:rsidR="00B951B1" w:rsidRPr="00E61612" w:rsidRDefault="00B951B1" w:rsidP="00CB78E6">
            <w:pPr>
              <w:spacing w:after="0"/>
              <w:rPr>
                <w:rFonts w:eastAsia="Times New Roman" w:cs="Calibri"/>
                <w:sz w:val="18"/>
                <w:szCs w:val="18"/>
              </w:rPr>
            </w:pPr>
            <w:r w:rsidRPr="00E61612">
              <w:rPr>
                <w:sz w:val="20"/>
                <w:szCs w:val="20"/>
              </w:rPr>
              <w:t>Reduktimi i numrit të shkollave me klasa kolektive</w:t>
            </w:r>
          </w:p>
        </w:tc>
        <w:tc>
          <w:tcPr>
            <w:tcW w:w="0" w:type="auto"/>
            <w:tcBorders>
              <w:bottom w:val="single" w:sz="4" w:space="0" w:color="auto"/>
            </w:tcBorders>
            <w:shd w:val="clear" w:color="auto" w:fill="FFFFFF"/>
          </w:tcPr>
          <w:p w:rsidR="00B951B1" w:rsidRPr="00E61612" w:rsidRDefault="00B951B1" w:rsidP="00CB78E6">
            <w:pPr>
              <w:spacing w:after="0"/>
              <w:jc w:val="center"/>
              <w:rPr>
                <w:rFonts w:eastAsia="Times New Roman" w:cs="Calibri"/>
                <w:color w:val="000000"/>
                <w:sz w:val="18"/>
                <w:szCs w:val="18"/>
              </w:rPr>
            </w:pPr>
            <w:r w:rsidRPr="00E61612">
              <w:rPr>
                <w:color w:val="000000"/>
                <w:sz w:val="20"/>
                <w:szCs w:val="20"/>
              </w:rPr>
              <w:t>MASR</w:t>
            </w:r>
          </w:p>
        </w:tc>
        <w:tc>
          <w:tcPr>
            <w:tcW w:w="0" w:type="auto"/>
            <w:tcBorders>
              <w:bottom w:val="single" w:sz="4" w:space="0" w:color="auto"/>
            </w:tcBorders>
            <w:shd w:val="clear" w:color="auto" w:fill="FFFFFF"/>
          </w:tcPr>
          <w:p w:rsidR="00B951B1" w:rsidRPr="00E61612" w:rsidRDefault="00B951B1" w:rsidP="00CB78E6">
            <w:pPr>
              <w:spacing w:after="0"/>
              <w:jc w:val="center"/>
              <w:rPr>
                <w:rFonts w:eastAsia="Times New Roman" w:cs="Calibri"/>
                <w:color w:val="000000"/>
                <w:sz w:val="18"/>
                <w:szCs w:val="18"/>
              </w:rPr>
            </w:pPr>
            <w:r w:rsidRPr="00E61612">
              <w:rPr>
                <w:color w:val="000000"/>
                <w:sz w:val="20"/>
                <w:szCs w:val="20"/>
              </w:rPr>
              <w:t>DPAP, Bashkitë</w:t>
            </w:r>
          </w:p>
        </w:tc>
        <w:tc>
          <w:tcPr>
            <w:tcW w:w="0" w:type="auto"/>
            <w:tcBorders>
              <w:bottom w:val="single" w:sz="4" w:space="0" w:color="auto"/>
            </w:tcBorders>
            <w:shd w:val="clear" w:color="auto" w:fill="FFFFFF"/>
          </w:tcPr>
          <w:p w:rsidR="00B951B1" w:rsidRPr="00E61612" w:rsidRDefault="00B951B1" w:rsidP="00CB78E6">
            <w:pPr>
              <w:spacing w:after="0"/>
              <w:jc w:val="center"/>
              <w:rPr>
                <w:rFonts w:eastAsia="Times New Roman" w:cs="Calibri"/>
                <w:color w:val="000000"/>
                <w:sz w:val="18"/>
                <w:szCs w:val="18"/>
              </w:rPr>
            </w:pPr>
            <w:r w:rsidRPr="00E61612">
              <w:rPr>
                <w:color w:val="000000"/>
                <w:sz w:val="20"/>
                <w:szCs w:val="20"/>
              </w:rPr>
              <w:t>TM3-2021</w:t>
            </w:r>
          </w:p>
        </w:tc>
        <w:tc>
          <w:tcPr>
            <w:tcW w:w="0" w:type="auto"/>
            <w:tcBorders>
              <w:bottom w:val="single" w:sz="4" w:space="0" w:color="auto"/>
            </w:tcBorders>
            <w:shd w:val="clear" w:color="auto" w:fill="FFFFFF"/>
          </w:tcPr>
          <w:p w:rsidR="00B951B1" w:rsidRPr="00E61612" w:rsidRDefault="00B951B1" w:rsidP="00CB78E6">
            <w:pPr>
              <w:spacing w:after="0"/>
              <w:jc w:val="center"/>
              <w:rPr>
                <w:rFonts w:eastAsia="Times New Roman" w:cs="Calibri"/>
                <w:color w:val="000000"/>
                <w:sz w:val="18"/>
                <w:szCs w:val="18"/>
              </w:rPr>
            </w:pPr>
            <w:r w:rsidRPr="00E61612">
              <w:rPr>
                <w:color w:val="000000"/>
                <w:sz w:val="20"/>
                <w:szCs w:val="20"/>
              </w:rPr>
              <w:t>TM3-2026</w:t>
            </w:r>
          </w:p>
        </w:tc>
        <w:tc>
          <w:tcPr>
            <w:tcW w:w="0" w:type="auto"/>
            <w:tcBorders>
              <w:bottom w:val="single" w:sz="4" w:space="0" w:color="auto"/>
            </w:tcBorders>
            <w:shd w:val="clear" w:color="auto" w:fill="FFFFFF"/>
            <w:noWrap/>
          </w:tcPr>
          <w:p w:rsidR="00B951B1" w:rsidRPr="00E61612" w:rsidRDefault="00B951B1" w:rsidP="00CB78E6">
            <w:pPr>
              <w:spacing w:after="0"/>
              <w:jc w:val="right"/>
              <w:rPr>
                <w:rFonts w:eastAsia="Times New Roman" w:cs="Calibri"/>
                <w:color w:val="000000"/>
                <w:sz w:val="18"/>
                <w:szCs w:val="18"/>
              </w:rPr>
            </w:pPr>
            <w:r w:rsidRPr="00E61612">
              <w:rPr>
                <w:color w:val="000000"/>
                <w:sz w:val="20"/>
                <w:szCs w:val="20"/>
              </w:rPr>
              <w:t xml:space="preserve">                               -   </w:t>
            </w:r>
          </w:p>
        </w:tc>
        <w:tc>
          <w:tcPr>
            <w:tcW w:w="0" w:type="auto"/>
            <w:tcBorders>
              <w:bottom w:val="single" w:sz="4" w:space="0" w:color="auto"/>
            </w:tcBorders>
            <w:shd w:val="clear" w:color="auto" w:fill="FFFFFF"/>
            <w:noWrap/>
          </w:tcPr>
          <w:p w:rsidR="00B951B1" w:rsidRPr="00E61612" w:rsidRDefault="00B951B1" w:rsidP="00CB78E6">
            <w:pPr>
              <w:spacing w:after="0"/>
              <w:jc w:val="right"/>
              <w:rPr>
                <w:rFonts w:eastAsia="Times New Roman" w:cs="Calibri"/>
                <w:color w:val="000000"/>
                <w:sz w:val="18"/>
                <w:szCs w:val="18"/>
              </w:rPr>
            </w:pPr>
            <w:r w:rsidRPr="00E61612">
              <w:rPr>
                <w:color w:val="000000"/>
                <w:sz w:val="20"/>
                <w:szCs w:val="20"/>
              </w:rPr>
              <w:t xml:space="preserve">                      -   </w:t>
            </w:r>
          </w:p>
        </w:tc>
        <w:tc>
          <w:tcPr>
            <w:tcW w:w="0" w:type="auto"/>
            <w:tcBorders>
              <w:bottom w:val="single" w:sz="4" w:space="0" w:color="auto"/>
            </w:tcBorders>
            <w:shd w:val="clear" w:color="auto" w:fill="FFFFFF"/>
            <w:noWrap/>
          </w:tcPr>
          <w:p w:rsidR="00B951B1" w:rsidRPr="00E61612" w:rsidRDefault="00B951B1" w:rsidP="00CB78E6">
            <w:pPr>
              <w:spacing w:after="0"/>
              <w:jc w:val="right"/>
              <w:rPr>
                <w:rFonts w:eastAsia="Times New Roman" w:cs="Calibri"/>
                <w:color w:val="000000"/>
                <w:sz w:val="18"/>
                <w:szCs w:val="18"/>
              </w:rPr>
            </w:pPr>
            <w:r w:rsidRPr="00E61612">
              <w:rPr>
                <w:color w:val="000000"/>
                <w:sz w:val="20"/>
                <w:szCs w:val="20"/>
              </w:rPr>
              <w:t xml:space="preserve">                   -   </w:t>
            </w:r>
          </w:p>
        </w:tc>
        <w:tc>
          <w:tcPr>
            <w:tcW w:w="0" w:type="auto"/>
            <w:tcBorders>
              <w:bottom w:val="single" w:sz="4" w:space="0" w:color="auto"/>
            </w:tcBorders>
            <w:shd w:val="clear" w:color="auto" w:fill="FFFFFF"/>
            <w:noWrap/>
          </w:tcPr>
          <w:p w:rsidR="00B951B1" w:rsidRPr="00E61612" w:rsidRDefault="00B951B1" w:rsidP="00CB78E6">
            <w:pPr>
              <w:spacing w:after="0"/>
              <w:jc w:val="right"/>
              <w:rPr>
                <w:rFonts w:eastAsia="Times New Roman" w:cs="Calibri"/>
                <w:color w:val="000000"/>
                <w:sz w:val="18"/>
                <w:szCs w:val="18"/>
              </w:rPr>
            </w:pPr>
            <w:r w:rsidRPr="00E61612">
              <w:rPr>
                <w:color w:val="000000"/>
                <w:sz w:val="20"/>
                <w:szCs w:val="20"/>
              </w:rPr>
              <w:t xml:space="preserve">                       -   </w:t>
            </w:r>
          </w:p>
        </w:tc>
      </w:tr>
      <w:tr w:rsidR="00B951B1" w:rsidRPr="00E61612" w:rsidTr="00CB78E6">
        <w:trPr>
          <w:trHeight w:val="20"/>
        </w:trPr>
        <w:tc>
          <w:tcPr>
            <w:tcW w:w="0" w:type="auto"/>
            <w:shd w:val="clear" w:color="auto" w:fill="D9D9D9"/>
          </w:tcPr>
          <w:p w:rsidR="00B951B1" w:rsidRPr="00E61612" w:rsidRDefault="00B951B1" w:rsidP="00CB78E6">
            <w:pPr>
              <w:spacing w:after="0"/>
              <w:jc w:val="center"/>
              <w:rPr>
                <w:rFonts w:eastAsia="Times New Roman" w:cs="Calibri"/>
                <w:b/>
                <w:bCs/>
                <w:color w:val="000000"/>
                <w:sz w:val="18"/>
                <w:szCs w:val="18"/>
              </w:rPr>
            </w:pPr>
            <w:r w:rsidRPr="00E61612">
              <w:rPr>
                <w:b/>
                <w:bCs/>
                <w:color w:val="000000"/>
                <w:sz w:val="20"/>
                <w:szCs w:val="20"/>
              </w:rPr>
              <w:t>A1.6</w:t>
            </w:r>
          </w:p>
        </w:tc>
        <w:tc>
          <w:tcPr>
            <w:tcW w:w="0" w:type="auto"/>
            <w:shd w:val="clear" w:color="auto" w:fill="D9D9D9"/>
          </w:tcPr>
          <w:p w:rsidR="00B951B1" w:rsidRPr="00E61612" w:rsidRDefault="00B951B1" w:rsidP="00CB78E6">
            <w:pPr>
              <w:spacing w:after="0"/>
              <w:rPr>
                <w:rFonts w:eastAsia="Times New Roman" w:cs="Calibri"/>
                <w:sz w:val="18"/>
                <w:szCs w:val="18"/>
              </w:rPr>
            </w:pPr>
            <w:r w:rsidRPr="00E61612">
              <w:rPr>
                <w:sz w:val="20"/>
                <w:szCs w:val="20"/>
              </w:rPr>
              <w:t xml:space="preserve"> Përmirësimi dhe përshtatja e infrastrukturës shkollore</w:t>
            </w:r>
          </w:p>
        </w:tc>
        <w:tc>
          <w:tcPr>
            <w:tcW w:w="0" w:type="auto"/>
            <w:shd w:val="clear" w:color="auto" w:fill="D9D9D9"/>
          </w:tcPr>
          <w:p w:rsidR="00B951B1" w:rsidRPr="00E61612" w:rsidRDefault="00B951B1" w:rsidP="00CB78E6">
            <w:pPr>
              <w:spacing w:after="0"/>
              <w:jc w:val="center"/>
              <w:rPr>
                <w:rFonts w:eastAsia="Times New Roman" w:cs="Calibri"/>
                <w:color w:val="000000"/>
                <w:sz w:val="18"/>
                <w:szCs w:val="18"/>
              </w:rPr>
            </w:pPr>
            <w:r w:rsidRPr="00E61612">
              <w:rPr>
                <w:color w:val="000000"/>
                <w:sz w:val="20"/>
                <w:szCs w:val="20"/>
              </w:rPr>
              <w:t>MASR</w:t>
            </w:r>
          </w:p>
        </w:tc>
        <w:tc>
          <w:tcPr>
            <w:tcW w:w="0" w:type="auto"/>
            <w:shd w:val="clear" w:color="auto" w:fill="D9D9D9"/>
          </w:tcPr>
          <w:p w:rsidR="00B951B1" w:rsidRPr="00E61612" w:rsidRDefault="00B951B1" w:rsidP="00CB78E6">
            <w:pPr>
              <w:spacing w:after="0"/>
              <w:jc w:val="center"/>
              <w:rPr>
                <w:rFonts w:eastAsia="Times New Roman" w:cs="Calibri"/>
                <w:color w:val="000000"/>
                <w:sz w:val="18"/>
                <w:szCs w:val="18"/>
              </w:rPr>
            </w:pPr>
            <w:r w:rsidRPr="00E61612">
              <w:rPr>
                <w:color w:val="000000"/>
                <w:sz w:val="20"/>
                <w:szCs w:val="20"/>
              </w:rPr>
              <w:t> </w:t>
            </w:r>
          </w:p>
        </w:tc>
        <w:tc>
          <w:tcPr>
            <w:tcW w:w="0" w:type="auto"/>
            <w:shd w:val="clear" w:color="auto" w:fill="D9D9D9"/>
          </w:tcPr>
          <w:p w:rsidR="00B951B1" w:rsidRPr="00E61612" w:rsidRDefault="00B951B1" w:rsidP="00CB78E6">
            <w:pPr>
              <w:spacing w:after="0"/>
              <w:jc w:val="center"/>
              <w:rPr>
                <w:rFonts w:eastAsia="Times New Roman" w:cs="Calibri"/>
                <w:color w:val="000000"/>
                <w:sz w:val="18"/>
                <w:szCs w:val="18"/>
              </w:rPr>
            </w:pPr>
            <w:r w:rsidRPr="00E61612">
              <w:rPr>
                <w:color w:val="000000"/>
                <w:sz w:val="20"/>
                <w:szCs w:val="20"/>
              </w:rPr>
              <w:t>TM1-2021</w:t>
            </w:r>
          </w:p>
        </w:tc>
        <w:tc>
          <w:tcPr>
            <w:tcW w:w="0" w:type="auto"/>
            <w:shd w:val="clear" w:color="auto" w:fill="D9D9D9"/>
          </w:tcPr>
          <w:p w:rsidR="00B951B1" w:rsidRPr="00E61612" w:rsidRDefault="00B951B1" w:rsidP="00CB78E6">
            <w:pPr>
              <w:spacing w:after="0"/>
              <w:jc w:val="center"/>
              <w:rPr>
                <w:rFonts w:eastAsia="Times New Roman" w:cs="Calibri"/>
                <w:color w:val="000000"/>
                <w:sz w:val="18"/>
                <w:szCs w:val="18"/>
              </w:rPr>
            </w:pPr>
            <w:r w:rsidRPr="00E61612">
              <w:rPr>
                <w:color w:val="000000"/>
                <w:sz w:val="20"/>
                <w:szCs w:val="20"/>
              </w:rPr>
              <w:t>TM4-2026</w:t>
            </w:r>
          </w:p>
        </w:tc>
        <w:tc>
          <w:tcPr>
            <w:tcW w:w="0" w:type="auto"/>
            <w:shd w:val="clear" w:color="auto" w:fill="D9D9D9"/>
            <w:noWrap/>
          </w:tcPr>
          <w:p w:rsidR="00B951B1" w:rsidRPr="00E61612" w:rsidRDefault="00B951B1" w:rsidP="00CB78E6">
            <w:pPr>
              <w:spacing w:after="0"/>
              <w:jc w:val="right"/>
              <w:rPr>
                <w:rFonts w:eastAsia="Times New Roman" w:cs="Calibri"/>
                <w:color w:val="000000"/>
                <w:sz w:val="18"/>
                <w:szCs w:val="18"/>
              </w:rPr>
            </w:pPr>
            <w:r w:rsidRPr="00E61612">
              <w:rPr>
                <w:color w:val="000000"/>
                <w:sz w:val="20"/>
                <w:szCs w:val="20"/>
              </w:rPr>
              <w:t xml:space="preserve">              15,836,000 </w:t>
            </w:r>
          </w:p>
        </w:tc>
        <w:tc>
          <w:tcPr>
            <w:tcW w:w="0" w:type="auto"/>
            <w:shd w:val="clear" w:color="auto" w:fill="D9D9D9"/>
            <w:noWrap/>
          </w:tcPr>
          <w:p w:rsidR="00B951B1" w:rsidRPr="00E61612" w:rsidRDefault="00B951B1" w:rsidP="00CB78E6">
            <w:pPr>
              <w:spacing w:after="0"/>
              <w:jc w:val="right"/>
              <w:rPr>
                <w:rFonts w:eastAsia="Times New Roman" w:cs="Calibri"/>
                <w:color w:val="000000"/>
                <w:sz w:val="18"/>
                <w:szCs w:val="18"/>
              </w:rPr>
            </w:pPr>
            <w:r w:rsidRPr="00E61612">
              <w:rPr>
                <w:color w:val="000000"/>
                <w:sz w:val="20"/>
                <w:szCs w:val="20"/>
              </w:rPr>
              <w:t xml:space="preserve">    15,836,000 </w:t>
            </w:r>
          </w:p>
        </w:tc>
        <w:tc>
          <w:tcPr>
            <w:tcW w:w="0" w:type="auto"/>
            <w:shd w:val="clear" w:color="auto" w:fill="D9D9D9"/>
            <w:noWrap/>
          </w:tcPr>
          <w:p w:rsidR="00B951B1" w:rsidRPr="00E61612" w:rsidRDefault="00B951B1" w:rsidP="00CB78E6">
            <w:pPr>
              <w:spacing w:after="0"/>
              <w:jc w:val="right"/>
              <w:rPr>
                <w:rFonts w:eastAsia="Times New Roman" w:cs="Calibri"/>
                <w:color w:val="000000"/>
                <w:sz w:val="18"/>
                <w:szCs w:val="18"/>
              </w:rPr>
            </w:pPr>
            <w:r w:rsidRPr="00E61612">
              <w:rPr>
                <w:color w:val="000000"/>
                <w:sz w:val="20"/>
                <w:szCs w:val="20"/>
              </w:rPr>
              <w:t xml:space="preserve">                   -   </w:t>
            </w:r>
          </w:p>
        </w:tc>
        <w:tc>
          <w:tcPr>
            <w:tcW w:w="0" w:type="auto"/>
            <w:shd w:val="clear" w:color="auto" w:fill="D9D9D9"/>
            <w:noWrap/>
          </w:tcPr>
          <w:p w:rsidR="00B951B1" w:rsidRPr="00E61612" w:rsidRDefault="00B951B1" w:rsidP="00CB78E6">
            <w:pPr>
              <w:spacing w:after="0"/>
              <w:jc w:val="right"/>
              <w:rPr>
                <w:rFonts w:eastAsia="Times New Roman" w:cs="Calibri"/>
                <w:color w:val="000000"/>
                <w:sz w:val="18"/>
                <w:szCs w:val="18"/>
              </w:rPr>
            </w:pPr>
            <w:r w:rsidRPr="00E61612">
              <w:rPr>
                <w:color w:val="000000"/>
                <w:sz w:val="20"/>
                <w:szCs w:val="20"/>
              </w:rPr>
              <w:t xml:space="preserve">                       -   </w:t>
            </w:r>
          </w:p>
        </w:tc>
      </w:tr>
      <w:tr w:rsidR="00B951B1" w:rsidRPr="00E61612" w:rsidTr="00CB78E6">
        <w:trPr>
          <w:trHeight w:val="20"/>
        </w:trPr>
        <w:tc>
          <w:tcPr>
            <w:tcW w:w="0" w:type="auto"/>
            <w:tcBorders>
              <w:bottom w:val="single" w:sz="4" w:space="0" w:color="auto"/>
            </w:tcBorders>
            <w:shd w:val="clear" w:color="auto" w:fill="FFFFFF"/>
          </w:tcPr>
          <w:p w:rsidR="00B951B1" w:rsidRPr="00E61612" w:rsidRDefault="00B951B1" w:rsidP="00CB78E6">
            <w:pPr>
              <w:spacing w:after="0"/>
              <w:jc w:val="center"/>
              <w:rPr>
                <w:rFonts w:eastAsia="Times New Roman" w:cs="Calibri"/>
                <w:b/>
                <w:bCs/>
                <w:color w:val="000000"/>
                <w:sz w:val="18"/>
                <w:szCs w:val="18"/>
              </w:rPr>
            </w:pPr>
            <w:r w:rsidRPr="00E61612">
              <w:rPr>
                <w:b/>
                <w:bCs/>
                <w:color w:val="000000"/>
                <w:sz w:val="20"/>
                <w:szCs w:val="20"/>
              </w:rPr>
              <w:t>A1.6.1</w:t>
            </w:r>
          </w:p>
        </w:tc>
        <w:tc>
          <w:tcPr>
            <w:tcW w:w="0" w:type="auto"/>
            <w:tcBorders>
              <w:bottom w:val="single" w:sz="4" w:space="0" w:color="auto"/>
            </w:tcBorders>
            <w:shd w:val="clear" w:color="auto" w:fill="FFFFFF"/>
          </w:tcPr>
          <w:p w:rsidR="00B951B1" w:rsidRPr="00E61612" w:rsidRDefault="00B951B1" w:rsidP="00CB78E6">
            <w:pPr>
              <w:spacing w:after="0"/>
              <w:rPr>
                <w:rFonts w:eastAsia="Times New Roman" w:cs="Calibri"/>
                <w:sz w:val="18"/>
                <w:szCs w:val="18"/>
              </w:rPr>
            </w:pPr>
            <w:r w:rsidRPr="00E61612">
              <w:rPr>
                <w:sz w:val="20"/>
                <w:szCs w:val="20"/>
              </w:rPr>
              <w:t>Investime për përmirësimin dhe përshtatjen e infrastrukturës shkollore</w:t>
            </w:r>
          </w:p>
        </w:tc>
        <w:tc>
          <w:tcPr>
            <w:tcW w:w="0" w:type="auto"/>
            <w:tcBorders>
              <w:bottom w:val="single" w:sz="4" w:space="0" w:color="auto"/>
            </w:tcBorders>
            <w:shd w:val="clear" w:color="auto" w:fill="FFFFFF"/>
          </w:tcPr>
          <w:p w:rsidR="00B951B1" w:rsidRPr="00E61612" w:rsidRDefault="00B951B1" w:rsidP="00CB78E6">
            <w:pPr>
              <w:spacing w:after="0"/>
              <w:jc w:val="center"/>
              <w:rPr>
                <w:rFonts w:eastAsia="Times New Roman" w:cs="Calibri"/>
                <w:color w:val="000000"/>
                <w:sz w:val="18"/>
                <w:szCs w:val="18"/>
              </w:rPr>
            </w:pPr>
            <w:r w:rsidRPr="00E61612">
              <w:rPr>
                <w:color w:val="000000"/>
                <w:sz w:val="20"/>
                <w:szCs w:val="20"/>
              </w:rPr>
              <w:t>MASR</w:t>
            </w:r>
          </w:p>
        </w:tc>
        <w:tc>
          <w:tcPr>
            <w:tcW w:w="0" w:type="auto"/>
            <w:tcBorders>
              <w:bottom w:val="single" w:sz="4" w:space="0" w:color="auto"/>
            </w:tcBorders>
            <w:shd w:val="clear" w:color="auto" w:fill="FFFFFF"/>
          </w:tcPr>
          <w:p w:rsidR="00B951B1" w:rsidRPr="00E61612" w:rsidRDefault="00B951B1" w:rsidP="00CB78E6">
            <w:pPr>
              <w:spacing w:after="0"/>
              <w:jc w:val="center"/>
              <w:rPr>
                <w:rFonts w:eastAsia="Times New Roman" w:cs="Calibri"/>
                <w:color w:val="000000"/>
                <w:sz w:val="18"/>
                <w:szCs w:val="18"/>
              </w:rPr>
            </w:pPr>
            <w:r w:rsidRPr="00E61612">
              <w:rPr>
                <w:color w:val="000000"/>
                <w:sz w:val="20"/>
                <w:szCs w:val="20"/>
              </w:rPr>
              <w:t> </w:t>
            </w:r>
          </w:p>
        </w:tc>
        <w:tc>
          <w:tcPr>
            <w:tcW w:w="0" w:type="auto"/>
            <w:tcBorders>
              <w:bottom w:val="single" w:sz="4" w:space="0" w:color="auto"/>
            </w:tcBorders>
            <w:shd w:val="clear" w:color="auto" w:fill="FFFFFF"/>
          </w:tcPr>
          <w:p w:rsidR="00B951B1" w:rsidRPr="00E61612" w:rsidRDefault="00B951B1" w:rsidP="00CB78E6">
            <w:pPr>
              <w:spacing w:after="0"/>
              <w:jc w:val="center"/>
              <w:rPr>
                <w:rFonts w:eastAsia="Times New Roman" w:cs="Calibri"/>
                <w:color w:val="000000"/>
                <w:sz w:val="18"/>
                <w:szCs w:val="18"/>
              </w:rPr>
            </w:pPr>
            <w:r w:rsidRPr="00E61612">
              <w:rPr>
                <w:color w:val="000000"/>
                <w:sz w:val="20"/>
                <w:szCs w:val="20"/>
              </w:rPr>
              <w:t>TM1-2021</w:t>
            </w:r>
          </w:p>
        </w:tc>
        <w:tc>
          <w:tcPr>
            <w:tcW w:w="0" w:type="auto"/>
            <w:tcBorders>
              <w:bottom w:val="single" w:sz="4" w:space="0" w:color="auto"/>
            </w:tcBorders>
            <w:shd w:val="clear" w:color="auto" w:fill="FFFFFF"/>
          </w:tcPr>
          <w:p w:rsidR="00B951B1" w:rsidRPr="00E61612" w:rsidRDefault="00B951B1" w:rsidP="00CB78E6">
            <w:pPr>
              <w:spacing w:after="0"/>
              <w:jc w:val="center"/>
              <w:rPr>
                <w:rFonts w:eastAsia="Times New Roman" w:cs="Calibri"/>
                <w:color w:val="000000"/>
                <w:sz w:val="18"/>
                <w:szCs w:val="18"/>
              </w:rPr>
            </w:pPr>
            <w:r w:rsidRPr="00E61612">
              <w:rPr>
                <w:color w:val="000000"/>
                <w:sz w:val="20"/>
                <w:szCs w:val="20"/>
              </w:rPr>
              <w:t>TM4-2026</w:t>
            </w:r>
          </w:p>
        </w:tc>
        <w:tc>
          <w:tcPr>
            <w:tcW w:w="0" w:type="auto"/>
            <w:tcBorders>
              <w:bottom w:val="single" w:sz="4" w:space="0" w:color="auto"/>
            </w:tcBorders>
            <w:shd w:val="clear" w:color="auto" w:fill="FFFFFF"/>
            <w:noWrap/>
          </w:tcPr>
          <w:p w:rsidR="00B951B1" w:rsidRPr="00E61612" w:rsidRDefault="00B951B1" w:rsidP="00CB78E6">
            <w:pPr>
              <w:spacing w:after="0"/>
              <w:jc w:val="right"/>
              <w:rPr>
                <w:rFonts w:eastAsia="Times New Roman" w:cs="Calibri"/>
                <w:color w:val="000000"/>
                <w:sz w:val="18"/>
                <w:szCs w:val="18"/>
              </w:rPr>
            </w:pPr>
            <w:r w:rsidRPr="00E61612">
              <w:rPr>
                <w:color w:val="000000"/>
                <w:sz w:val="20"/>
                <w:szCs w:val="20"/>
              </w:rPr>
              <w:t xml:space="preserve">              15,836,000 </w:t>
            </w:r>
          </w:p>
        </w:tc>
        <w:tc>
          <w:tcPr>
            <w:tcW w:w="0" w:type="auto"/>
            <w:tcBorders>
              <w:bottom w:val="single" w:sz="4" w:space="0" w:color="auto"/>
            </w:tcBorders>
            <w:shd w:val="clear" w:color="auto" w:fill="FFFFFF"/>
            <w:noWrap/>
          </w:tcPr>
          <w:p w:rsidR="00B951B1" w:rsidRPr="00E61612" w:rsidRDefault="00B951B1" w:rsidP="00CB78E6">
            <w:pPr>
              <w:spacing w:after="0"/>
              <w:jc w:val="right"/>
              <w:rPr>
                <w:rFonts w:eastAsia="Times New Roman" w:cs="Calibri"/>
                <w:color w:val="000000"/>
                <w:sz w:val="18"/>
                <w:szCs w:val="18"/>
              </w:rPr>
            </w:pPr>
            <w:r w:rsidRPr="00E61612">
              <w:rPr>
                <w:color w:val="000000"/>
                <w:sz w:val="20"/>
                <w:szCs w:val="20"/>
              </w:rPr>
              <w:t xml:space="preserve">    15,836,000 </w:t>
            </w:r>
          </w:p>
        </w:tc>
        <w:tc>
          <w:tcPr>
            <w:tcW w:w="0" w:type="auto"/>
            <w:tcBorders>
              <w:bottom w:val="single" w:sz="4" w:space="0" w:color="auto"/>
            </w:tcBorders>
            <w:shd w:val="clear" w:color="auto" w:fill="FFFFFF"/>
            <w:noWrap/>
          </w:tcPr>
          <w:p w:rsidR="00B951B1" w:rsidRPr="00E61612" w:rsidRDefault="00B951B1" w:rsidP="00CB78E6">
            <w:pPr>
              <w:spacing w:after="0"/>
              <w:jc w:val="right"/>
              <w:rPr>
                <w:rFonts w:eastAsia="Times New Roman" w:cs="Calibri"/>
                <w:color w:val="000000"/>
                <w:sz w:val="18"/>
                <w:szCs w:val="18"/>
              </w:rPr>
            </w:pPr>
            <w:r w:rsidRPr="00E61612">
              <w:rPr>
                <w:color w:val="000000"/>
                <w:sz w:val="20"/>
                <w:szCs w:val="20"/>
              </w:rPr>
              <w:t xml:space="preserve">                   -   </w:t>
            </w:r>
          </w:p>
        </w:tc>
        <w:tc>
          <w:tcPr>
            <w:tcW w:w="0" w:type="auto"/>
            <w:tcBorders>
              <w:bottom w:val="single" w:sz="4" w:space="0" w:color="auto"/>
            </w:tcBorders>
            <w:shd w:val="clear" w:color="auto" w:fill="FFFFFF"/>
            <w:noWrap/>
          </w:tcPr>
          <w:p w:rsidR="00B951B1" w:rsidRPr="00E61612" w:rsidRDefault="00B951B1" w:rsidP="00CB78E6">
            <w:pPr>
              <w:spacing w:after="0"/>
              <w:jc w:val="right"/>
              <w:rPr>
                <w:rFonts w:eastAsia="Times New Roman" w:cs="Calibri"/>
                <w:color w:val="000000"/>
                <w:sz w:val="18"/>
                <w:szCs w:val="18"/>
              </w:rPr>
            </w:pPr>
            <w:r w:rsidRPr="00E61612">
              <w:rPr>
                <w:color w:val="000000"/>
                <w:sz w:val="20"/>
                <w:szCs w:val="20"/>
              </w:rPr>
              <w:t xml:space="preserve">                       -   </w:t>
            </w:r>
          </w:p>
        </w:tc>
      </w:tr>
      <w:tr w:rsidR="00B951B1" w:rsidRPr="00E61612" w:rsidTr="00CB78E6">
        <w:trPr>
          <w:trHeight w:val="20"/>
        </w:trPr>
        <w:tc>
          <w:tcPr>
            <w:tcW w:w="0" w:type="auto"/>
            <w:shd w:val="clear" w:color="auto" w:fill="D9D9D9"/>
          </w:tcPr>
          <w:p w:rsidR="00B951B1" w:rsidRPr="00E61612" w:rsidRDefault="00B951B1" w:rsidP="00CB78E6">
            <w:pPr>
              <w:spacing w:after="0"/>
              <w:jc w:val="center"/>
              <w:rPr>
                <w:rFonts w:eastAsia="Times New Roman" w:cs="Calibri"/>
                <w:b/>
                <w:bCs/>
                <w:color w:val="000000"/>
                <w:sz w:val="18"/>
                <w:szCs w:val="18"/>
              </w:rPr>
            </w:pPr>
            <w:r w:rsidRPr="00E61612">
              <w:rPr>
                <w:b/>
                <w:bCs/>
                <w:color w:val="000000"/>
                <w:sz w:val="20"/>
                <w:szCs w:val="20"/>
              </w:rPr>
              <w:t>A1.7</w:t>
            </w:r>
          </w:p>
        </w:tc>
        <w:tc>
          <w:tcPr>
            <w:tcW w:w="0" w:type="auto"/>
            <w:shd w:val="clear" w:color="auto" w:fill="D9D9D9"/>
          </w:tcPr>
          <w:p w:rsidR="00B951B1" w:rsidRPr="00E61612" w:rsidRDefault="00B951B1" w:rsidP="00CB78E6">
            <w:pPr>
              <w:spacing w:after="0"/>
              <w:rPr>
                <w:rFonts w:eastAsia="Times New Roman" w:cs="Calibri"/>
                <w:sz w:val="18"/>
                <w:szCs w:val="18"/>
              </w:rPr>
            </w:pPr>
            <w:r w:rsidRPr="00E61612">
              <w:rPr>
                <w:sz w:val="20"/>
                <w:szCs w:val="20"/>
              </w:rPr>
              <w:t xml:space="preserve"> Konsolidimi i mjediseve të sigurta dhe miqësore për fëmijët në shkollë</w:t>
            </w:r>
          </w:p>
        </w:tc>
        <w:tc>
          <w:tcPr>
            <w:tcW w:w="0" w:type="auto"/>
            <w:shd w:val="clear" w:color="auto" w:fill="D9D9D9"/>
          </w:tcPr>
          <w:p w:rsidR="00B951B1" w:rsidRPr="00E61612" w:rsidRDefault="00B951B1" w:rsidP="00CB78E6">
            <w:pPr>
              <w:spacing w:after="0"/>
              <w:jc w:val="center"/>
              <w:rPr>
                <w:rFonts w:eastAsia="Times New Roman" w:cs="Calibri"/>
                <w:color w:val="000000"/>
                <w:sz w:val="18"/>
                <w:szCs w:val="18"/>
              </w:rPr>
            </w:pPr>
            <w:r w:rsidRPr="00E61612">
              <w:rPr>
                <w:color w:val="000000"/>
                <w:sz w:val="20"/>
                <w:szCs w:val="20"/>
              </w:rPr>
              <w:t>MASR, DPAP</w:t>
            </w:r>
          </w:p>
        </w:tc>
        <w:tc>
          <w:tcPr>
            <w:tcW w:w="0" w:type="auto"/>
            <w:shd w:val="clear" w:color="auto" w:fill="D9D9D9"/>
          </w:tcPr>
          <w:p w:rsidR="00B951B1" w:rsidRPr="00E61612" w:rsidRDefault="00B951B1" w:rsidP="00CB78E6">
            <w:pPr>
              <w:spacing w:after="0"/>
              <w:jc w:val="center"/>
              <w:rPr>
                <w:rFonts w:eastAsia="Times New Roman" w:cs="Calibri"/>
                <w:color w:val="000000"/>
                <w:sz w:val="18"/>
                <w:szCs w:val="18"/>
              </w:rPr>
            </w:pPr>
            <w:r w:rsidRPr="00E61612">
              <w:rPr>
                <w:color w:val="000000"/>
                <w:sz w:val="20"/>
                <w:szCs w:val="20"/>
              </w:rPr>
              <w:t>DPAP, ASCAP</w:t>
            </w:r>
          </w:p>
        </w:tc>
        <w:tc>
          <w:tcPr>
            <w:tcW w:w="0" w:type="auto"/>
            <w:shd w:val="clear" w:color="auto" w:fill="D9D9D9"/>
          </w:tcPr>
          <w:p w:rsidR="00B951B1" w:rsidRPr="00E61612" w:rsidRDefault="00B951B1" w:rsidP="00CB78E6">
            <w:pPr>
              <w:spacing w:after="0"/>
              <w:jc w:val="center"/>
              <w:rPr>
                <w:rFonts w:eastAsia="Times New Roman" w:cs="Calibri"/>
                <w:color w:val="000000"/>
                <w:sz w:val="18"/>
                <w:szCs w:val="18"/>
              </w:rPr>
            </w:pPr>
            <w:r w:rsidRPr="00E61612">
              <w:rPr>
                <w:color w:val="000000"/>
                <w:sz w:val="20"/>
                <w:szCs w:val="20"/>
              </w:rPr>
              <w:t>TM1-2021</w:t>
            </w:r>
          </w:p>
        </w:tc>
        <w:tc>
          <w:tcPr>
            <w:tcW w:w="0" w:type="auto"/>
            <w:shd w:val="clear" w:color="auto" w:fill="D9D9D9"/>
          </w:tcPr>
          <w:p w:rsidR="00B951B1" w:rsidRPr="00E61612" w:rsidRDefault="00B951B1" w:rsidP="00CB78E6">
            <w:pPr>
              <w:spacing w:after="0"/>
              <w:jc w:val="center"/>
              <w:rPr>
                <w:rFonts w:eastAsia="Times New Roman" w:cs="Calibri"/>
                <w:color w:val="000000"/>
                <w:sz w:val="18"/>
                <w:szCs w:val="18"/>
              </w:rPr>
            </w:pPr>
            <w:r w:rsidRPr="00E61612">
              <w:rPr>
                <w:color w:val="000000"/>
                <w:sz w:val="20"/>
                <w:szCs w:val="20"/>
              </w:rPr>
              <w:t>TM4-2026</w:t>
            </w:r>
          </w:p>
        </w:tc>
        <w:tc>
          <w:tcPr>
            <w:tcW w:w="0" w:type="auto"/>
            <w:shd w:val="clear" w:color="auto" w:fill="D9D9D9"/>
            <w:noWrap/>
          </w:tcPr>
          <w:p w:rsidR="00B951B1" w:rsidRPr="00E61612" w:rsidRDefault="00B951B1" w:rsidP="00CB78E6">
            <w:pPr>
              <w:spacing w:after="0"/>
              <w:jc w:val="right"/>
              <w:rPr>
                <w:rFonts w:eastAsia="Times New Roman" w:cs="Calibri"/>
                <w:color w:val="000000"/>
                <w:sz w:val="18"/>
                <w:szCs w:val="18"/>
              </w:rPr>
            </w:pPr>
            <w:r w:rsidRPr="00E61612">
              <w:rPr>
                <w:color w:val="000000"/>
                <w:sz w:val="20"/>
                <w:szCs w:val="20"/>
              </w:rPr>
              <w:t xml:space="preserve">                1,217,552 </w:t>
            </w:r>
          </w:p>
        </w:tc>
        <w:tc>
          <w:tcPr>
            <w:tcW w:w="0" w:type="auto"/>
            <w:shd w:val="clear" w:color="auto" w:fill="D9D9D9"/>
            <w:noWrap/>
          </w:tcPr>
          <w:p w:rsidR="00B951B1" w:rsidRPr="00E61612" w:rsidRDefault="00B951B1" w:rsidP="00CB78E6">
            <w:pPr>
              <w:spacing w:after="0"/>
              <w:jc w:val="right"/>
              <w:rPr>
                <w:rFonts w:eastAsia="Times New Roman" w:cs="Calibri"/>
                <w:color w:val="000000"/>
                <w:sz w:val="18"/>
                <w:szCs w:val="18"/>
              </w:rPr>
            </w:pPr>
            <w:r w:rsidRPr="00E61612">
              <w:rPr>
                <w:color w:val="000000"/>
                <w:sz w:val="20"/>
                <w:szCs w:val="20"/>
              </w:rPr>
              <w:t xml:space="preserve">          680,702 </w:t>
            </w:r>
          </w:p>
        </w:tc>
        <w:tc>
          <w:tcPr>
            <w:tcW w:w="0" w:type="auto"/>
            <w:shd w:val="clear" w:color="auto" w:fill="D9D9D9"/>
            <w:noWrap/>
          </w:tcPr>
          <w:p w:rsidR="00B951B1" w:rsidRPr="00E61612" w:rsidRDefault="00B951B1" w:rsidP="00CB78E6">
            <w:pPr>
              <w:spacing w:after="0"/>
              <w:jc w:val="right"/>
              <w:rPr>
                <w:rFonts w:eastAsia="Times New Roman" w:cs="Calibri"/>
                <w:color w:val="000000"/>
                <w:sz w:val="18"/>
                <w:szCs w:val="18"/>
              </w:rPr>
            </w:pPr>
            <w:r w:rsidRPr="00E61612">
              <w:rPr>
                <w:color w:val="000000"/>
                <w:sz w:val="20"/>
                <w:szCs w:val="20"/>
              </w:rPr>
              <w:t xml:space="preserve">            7,414 </w:t>
            </w:r>
          </w:p>
        </w:tc>
        <w:tc>
          <w:tcPr>
            <w:tcW w:w="0" w:type="auto"/>
            <w:shd w:val="clear" w:color="auto" w:fill="D9D9D9"/>
            <w:noWrap/>
          </w:tcPr>
          <w:p w:rsidR="00B951B1" w:rsidRPr="00E61612" w:rsidRDefault="00B951B1" w:rsidP="00CB78E6">
            <w:pPr>
              <w:spacing w:after="0"/>
              <w:jc w:val="right"/>
              <w:rPr>
                <w:rFonts w:eastAsia="Times New Roman" w:cs="Calibri"/>
                <w:color w:val="000000"/>
                <w:sz w:val="18"/>
                <w:szCs w:val="18"/>
              </w:rPr>
            </w:pPr>
            <w:r w:rsidRPr="00E61612">
              <w:rPr>
                <w:color w:val="000000"/>
                <w:sz w:val="20"/>
                <w:szCs w:val="20"/>
              </w:rPr>
              <w:t xml:space="preserve">         (529,435)</w:t>
            </w:r>
          </w:p>
        </w:tc>
      </w:tr>
      <w:tr w:rsidR="00B951B1" w:rsidRPr="00E61612" w:rsidTr="00CB78E6">
        <w:trPr>
          <w:trHeight w:val="20"/>
        </w:trPr>
        <w:tc>
          <w:tcPr>
            <w:tcW w:w="0" w:type="auto"/>
            <w:shd w:val="clear" w:color="auto" w:fill="FFFFFF"/>
          </w:tcPr>
          <w:p w:rsidR="00B951B1" w:rsidRPr="00E61612" w:rsidRDefault="00B951B1" w:rsidP="00CB78E6">
            <w:pPr>
              <w:spacing w:after="0"/>
              <w:jc w:val="center"/>
              <w:rPr>
                <w:rFonts w:eastAsia="Times New Roman" w:cs="Calibri"/>
                <w:b/>
                <w:bCs/>
                <w:color w:val="000000"/>
                <w:sz w:val="18"/>
                <w:szCs w:val="18"/>
              </w:rPr>
            </w:pPr>
            <w:r w:rsidRPr="00E61612">
              <w:rPr>
                <w:b/>
                <w:bCs/>
                <w:color w:val="000000"/>
                <w:sz w:val="20"/>
                <w:szCs w:val="20"/>
              </w:rPr>
              <w:t>A1.7.1</w:t>
            </w:r>
          </w:p>
        </w:tc>
        <w:tc>
          <w:tcPr>
            <w:tcW w:w="0" w:type="auto"/>
            <w:shd w:val="clear" w:color="auto" w:fill="FFFFFF"/>
          </w:tcPr>
          <w:p w:rsidR="00B951B1" w:rsidRPr="00E61612" w:rsidRDefault="00B951B1" w:rsidP="00CB78E6">
            <w:pPr>
              <w:spacing w:after="0"/>
              <w:rPr>
                <w:rFonts w:eastAsia="Times New Roman" w:cs="Calibri"/>
                <w:sz w:val="18"/>
                <w:szCs w:val="18"/>
              </w:rPr>
            </w:pPr>
            <w:r w:rsidRPr="00E61612">
              <w:rPr>
                <w:sz w:val="20"/>
                <w:szCs w:val="20"/>
              </w:rPr>
              <w:t>Krijimi i sistemit për identifikimin, parandalimin dhe raportimin e dhunës, bullizmit dhe ekstremizmit në shkolla</w:t>
            </w:r>
          </w:p>
        </w:tc>
        <w:tc>
          <w:tcPr>
            <w:tcW w:w="0" w:type="auto"/>
            <w:shd w:val="clear" w:color="auto" w:fill="FFFFFF"/>
          </w:tcPr>
          <w:p w:rsidR="00B951B1" w:rsidRPr="00E61612" w:rsidRDefault="00B951B1" w:rsidP="00CB78E6">
            <w:pPr>
              <w:spacing w:after="0"/>
              <w:jc w:val="center"/>
              <w:rPr>
                <w:rFonts w:eastAsia="Times New Roman" w:cs="Calibri"/>
                <w:color w:val="000000"/>
                <w:sz w:val="18"/>
                <w:szCs w:val="18"/>
              </w:rPr>
            </w:pPr>
            <w:r w:rsidRPr="00E61612">
              <w:rPr>
                <w:color w:val="000000"/>
                <w:sz w:val="20"/>
                <w:szCs w:val="20"/>
              </w:rPr>
              <w:t>MASR</w:t>
            </w:r>
          </w:p>
        </w:tc>
        <w:tc>
          <w:tcPr>
            <w:tcW w:w="0" w:type="auto"/>
            <w:shd w:val="clear" w:color="auto" w:fill="FFFFFF"/>
          </w:tcPr>
          <w:p w:rsidR="00B951B1" w:rsidRPr="00E61612" w:rsidRDefault="00B951B1" w:rsidP="00CB78E6">
            <w:pPr>
              <w:spacing w:after="0"/>
              <w:jc w:val="center"/>
              <w:rPr>
                <w:rFonts w:eastAsia="Times New Roman" w:cs="Calibri"/>
                <w:color w:val="000000"/>
                <w:sz w:val="18"/>
                <w:szCs w:val="18"/>
              </w:rPr>
            </w:pPr>
            <w:r w:rsidRPr="00E61612">
              <w:rPr>
                <w:color w:val="000000"/>
                <w:sz w:val="20"/>
                <w:szCs w:val="20"/>
              </w:rPr>
              <w:t>DPAP, ASCAP</w:t>
            </w:r>
          </w:p>
        </w:tc>
        <w:tc>
          <w:tcPr>
            <w:tcW w:w="0" w:type="auto"/>
            <w:shd w:val="clear" w:color="auto" w:fill="FFFFFF"/>
          </w:tcPr>
          <w:p w:rsidR="00B951B1" w:rsidRPr="00E61612" w:rsidRDefault="00B951B1" w:rsidP="00CB78E6">
            <w:pPr>
              <w:spacing w:after="0"/>
              <w:jc w:val="center"/>
              <w:rPr>
                <w:rFonts w:eastAsia="Times New Roman" w:cs="Calibri"/>
                <w:color w:val="000000"/>
                <w:sz w:val="18"/>
                <w:szCs w:val="18"/>
              </w:rPr>
            </w:pPr>
            <w:r w:rsidRPr="00E61612">
              <w:rPr>
                <w:color w:val="000000"/>
                <w:sz w:val="20"/>
                <w:szCs w:val="20"/>
              </w:rPr>
              <w:t>TM2-2022</w:t>
            </w:r>
          </w:p>
        </w:tc>
        <w:tc>
          <w:tcPr>
            <w:tcW w:w="0" w:type="auto"/>
            <w:shd w:val="clear" w:color="auto" w:fill="FFFFFF"/>
          </w:tcPr>
          <w:p w:rsidR="00B951B1" w:rsidRPr="00E61612" w:rsidRDefault="00B951B1" w:rsidP="00CB78E6">
            <w:pPr>
              <w:spacing w:after="0"/>
              <w:jc w:val="center"/>
              <w:rPr>
                <w:rFonts w:eastAsia="Times New Roman" w:cs="Calibri"/>
                <w:color w:val="000000"/>
                <w:sz w:val="18"/>
                <w:szCs w:val="18"/>
              </w:rPr>
            </w:pPr>
            <w:r w:rsidRPr="00E61612">
              <w:rPr>
                <w:color w:val="000000"/>
                <w:sz w:val="20"/>
                <w:szCs w:val="20"/>
              </w:rPr>
              <w:t>TM3-2024</w:t>
            </w:r>
          </w:p>
        </w:tc>
        <w:tc>
          <w:tcPr>
            <w:tcW w:w="0" w:type="auto"/>
            <w:shd w:val="clear" w:color="auto" w:fill="FFFFFF"/>
            <w:noWrap/>
          </w:tcPr>
          <w:p w:rsidR="00B951B1" w:rsidRPr="00E61612" w:rsidRDefault="00B951B1" w:rsidP="00CB78E6">
            <w:pPr>
              <w:spacing w:after="0"/>
              <w:jc w:val="right"/>
              <w:rPr>
                <w:rFonts w:eastAsia="Times New Roman" w:cs="Calibri"/>
                <w:color w:val="000000"/>
                <w:sz w:val="18"/>
                <w:szCs w:val="18"/>
              </w:rPr>
            </w:pPr>
            <w:r w:rsidRPr="00E61612">
              <w:rPr>
                <w:color w:val="000000"/>
                <w:sz w:val="20"/>
                <w:szCs w:val="20"/>
              </w:rPr>
              <w:t xml:space="preserve">                        7,414 </w:t>
            </w:r>
          </w:p>
        </w:tc>
        <w:tc>
          <w:tcPr>
            <w:tcW w:w="0" w:type="auto"/>
            <w:shd w:val="clear" w:color="auto" w:fill="FFFFFF"/>
            <w:noWrap/>
          </w:tcPr>
          <w:p w:rsidR="00B951B1" w:rsidRPr="00E61612" w:rsidRDefault="00B951B1" w:rsidP="00CB78E6">
            <w:pPr>
              <w:spacing w:after="0"/>
              <w:jc w:val="right"/>
              <w:rPr>
                <w:rFonts w:eastAsia="Times New Roman" w:cs="Calibri"/>
                <w:color w:val="000000"/>
                <w:sz w:val="18"/>
                <w:szCs w:val="18"/>
              </w:rPr>
            </w:pPr>
            <w:r w:rsidRPr="00E61612">
              <w:rPr>
                <w:color w:val="000000"/>
                <w:sz w:val="20"/>
                <w:szCs w:val="20"/>
              </w:rPr>
              <w:t xml:space="preserve">                      -   </w:t>
            </w:r>
          </w:p>
        </w:tc>
        <w:tc>
          <w:tcPr>
            <w:tcW w:w="0" w:type="auto"/>
            <w:shd w:val="clear" w:color="auto" w:fill="FFFFFF"/>
            <w:noWrap/>
          </w:tcPr>
          <w:p w:rsidR="00B951B1" w:rsidRPr="00E61612" w:rsidRDefault="00B951B1" w:rsidP="00CB78E6">
            <w:pPr>
              <w:spacing w:after="0"/>
              <w:jc w:val="right"/>
              <w:rPr>
                <w:rFonts w:eastAsia="Times New Roman" w:cs="Calibri"/>
                <w:color w:val="000000"/>
                <w:sz w:val="18"/>
                <w:szCs w:val="18"/>
              </w:rPr>
            </w:pPr>
            <w:r w:rsidRPr="00E61612">
              <w:rPr>
                <w:color w:val="000000"/>
                <w:sz w:val="20"/>
                <w:szCs w:val="20"/>
              </w:rPr>
              <w:t xml:space="preserve">            7,414 </w:t>
            </w:r>
          </w:p>
        </w:tc>
        <w:tc>
          <w:tcPr>
            <w:tcW w:w="0" w:type="auto"/>
            <w:shd w:val="clear" w:color="auto" w:fill="FFFFFF"/>
            <w:noWrap/>
          </w:tcPr>
          <w:p w:rsidR="00B951B1" w:rsidRPr="00E61612" w:rsidRDefault="00B951B1" w:rsidP="00CB78E6">
            <w:pPr>
              <w:spacing w:after="0"/>
              <w:jc w:val="right"/>
              <w:rPr>
                <w:rFonts w:eastAsia="Times New Roman" w:cs="Calibri"/>
                <w:color w:val="000000"/>
                <w:sz w:val="18"/>
                <w:szCs w:val="18"/>
              </w:rPr>
            </w:pPr>
            <w:r w:rsidRPr="00E61612">
              <w:rPr>
                <w:color w:val="000000"/>
                <w:sz w:val="20"/>
                <w:szCs w:val="20"/>
              </w:rPr>
              <w:t xml:space="preserve">                       -   </w:t>
            </w:r>
          </w:p>
        </w:tc>
      </w:tr>
      <w:tr w:rsidR="00B951B1" w:rsidRPr="00E61612" w:rsidTr="00CB78E6">
        <w:trPr>
          <w:trHeight w:val="20"/>
        </w:trPr>
        <w:tc>
          <w:tcPr>
            <w:tcW w:w="0" w:type="auto"/>
            <w:shd w:val="clear" w:color="auto" w:fill="FFFFFF"/>
          </w:tcPr>
          <w:p w:rsidR="00B951B1" w:rsidRPr="00E61612" w:rsidRDefault="00B951B1" w:rsidP="00CB78E6">
            <w:pPr>
              <w:spacing w:after="0"/>
              <w:jc w:val="center"/>
              <w:rPr>
                <w:rFonts w:eastAsia="Times New Roman" w:cs="Calibri"/>
                <w:b/>
                <w:bCs/>
                <w:color w:val="000000"/>
                <w:sz w:val="18"/>
                <w:szCs w:val="18"/>
              </w:rPr>
            </w:pPr>
            <w:r w:rsidRPr="00E61612">
              <w:rPr>
                <w:b/>
                <w:bCs/>
                <w:color w:val="000000"/>
                <w:sz w:val="20"/>
                <w:szCs w:val="20"/>
              </w:rPr>
              <w:t>A1.7.2</w:t>
            </w:r>
          </w:p>
        </w:tc>
        <w:tc>
          <w:tcPr>
            <w:tcW w:w="0" w:type="auto"/>
            <w:shd w:val="clear" w:color="auto" w:fill="FFFFFF"/>
          </w:tcPr>
          <w:p w:rsidR="00B951B1" w:rsidRPr="00E61612" w:rsidRDefault="00B951B1" w:rsidP="00CB78E6">
            <w:pPr>
              <w:spacing w:after="0"/>
              <w:rPr>
                <w:rFonts w:eastAsia="Times New Roman" w:cs="Calibri"/>
                <w:sz w:val="18"/>
                <w:szCs w:val="18"/>
              </w:rPr>
            </w:pPr>
            <w:r w:rsidRPr="00E61612">
              <w:rPr>
                <w:sz w:val="20"/>
                <w:szCs w:val="20"/>
              </w:rPr>
              <w:t>Fuqizimi i rrjetit të shkollave</w:t>
            </w:r>
            <w:r>
              <w:rPr>
                <w:sz w:val="20"/>
                <w:szCs w:val="20"/>
              </w:rPr>
              <w:t xml:space="preserve"> si </w:t>
            </w:r>
            <w:r w:rsidRPr="00E61612">
              <w:rPr>
                <w:sz w:val="20"/>
                <w:szCs w:val="20"/>
              </w:rPr>
              <w:t>qendra komunitare</w:t>
            </w:r>
          </w:p>
        </w:tc>
        <w:tc>
          <w:tcPr>
            <w:tcW w:w="0" w:type="auto"/>
            <w:shd w:val="clear" w:color="auto" w:fill="FFFFFF"/>
          </w:tcPr>
          <w:p w:rsidR="00B951B1" w:rsidRPr="00E61612" w:rsidRDefault="00B951B1" w:rsidP="00CB78E6">
            <w:pPr>
              <w:spacing w:after="0"/>
              <w:jc w:val="center"/>
              <w:rPr>
                <w:rFonts w:eastAsia="Times New Roman" w:cs="Calibri"/>
                <w:color w:val="000000"/>
                <w:sz w:val="18"/>
                <w:szCs w:val="18"/>
              </w:rPr>
            </w:pPr>
            <w:r w:rsidRPr="00E61612">
              <w:rPr>
                <w:color w:val="000000"/>
                <w:sz w:val="20"/>
                <w:szCs w:val="20"/>
              </w:rPr>
              <w:t>MASR</w:t>
            </w:r>
          </w:p>
        </w:tc>
        <w:tc>
          <w:tcPr>
            <w:tcW w:w="0" w:type="auto"/>
            <w:shd w:val="clear" w:color="auto" w:fill="FFFFFF"/>
          </w:tcPr>
          <w:p w:rsidR="00B951B1" w:rsidRPr="00E61612" w:rsidRDefault="00B951B1" w:rsidP="00CB78E6">
            <w:pPr>
              <w:spacing w:after="0"/>
              <w:jc w:val="center"/>
              <w:rPr>
                <w:rFonts w:eastAsia="Times New Roman" w:cs="Calibri"/>
                <w:color w:val="000000"/>
                <w:sz w:val="18"/>
                <w:szCs w:val="18"/>
              </w:rPr>
            </w:pPr>
            <w:r w:rsidRPr="00E61612">
              <w:rPr>
                <w:color w:val="000000"/>
                <w:sz w:val="20"/>
                <w:szCs w:val="20"/>
              </w:rPr>
              <w:t>DPAP, ASCAP</w:t>
            </w:r>
          </w:p>
        </w:tc>
        <w:tc>
          <w:tcPr>
            <w:tcW w:w="0" w:type="auto"/>
            <w:shd w:val="clear" w:color="auto" w:fill="FFFFFF"/>
          </w:tcPr>
          <w:p w:rsidR="00B951B1" w:rsidRPr="00E61612" w:rsidRDefault="00B951B1" w:rsidP="00CB78E6">
            <w:pPr>
              <w:spacing w:after="0"/>
              <w:jc w:val="center"/>
              <w:rPr>
                <w:rFonts w:eastAsia="Times New Roman" w:cs="Calibri"/>
                <w:color w:val="000000"/>
                <w:sz w:val="18"/>
                <w:szCs w:val="18"/>
              </w:rPr>
            </w:pPr>
            <w:r w:rsidRPr="00E61612">
              <w:rPr>
                <w:color w:val="000000"/>
                <w:sz w:val="20"/>
                <w:szCs w:val="20"/>
              </w:rPr>
              <w:t>TM1-2021</w:t>
            </w:r>
          </w:p>
        </w:tc>
        <w:tc>
          <w:tcPr>
            <w:tcW w:w="0" w:type="auto"/>
            <w:shd w:val="clear" w:color="auto" w:fill="FFFFFF"/>
          </w:tcPr>
          <w:p w:rsidR="00B951B1" w:rsidRPr="00E61612" w:rsidRDefault="00B951B1" w:rsidP="00CB78E6">
            <w:pPr>
              <w:spacing w:after="0"/>
              <w:jc w:val="center"/>
              <w:rPr>
                <w:rFonts w:eastAsia="Times New Roman" w:cs="Calibri"/>
                <w:color w:val="000000"/>
                <w:sz w:val="18"/>
                <w:szCs w:val="18"/>
              </w:rPr>
            </w:pPr>
            <w:r w:rsidRPr="00E61612">
              <w:rPr>
                <w:color w:val="000000"/>
                <w:sz w:val="20"/>
                <w:szCs w:val="20"/>
              </w:rPr>
              <w:t>TM4-2026</w:t>
            </w:r>
          </w:p>
        </w:tc>
        <w:tc>
          <w:tcPr>
            <w:tcW w:w="0" w:type="auto"/>
            <w:shd w:val="clear" w:color="auto" w:fill="FFFFFF"/>
            <w:noWrap/>
          </w:tcPr>
          <w:p w:rsidR="00B951B1" w:rsidRPr="00E61612" w:rsidRDefault="00B951B1" w:rsidP="00CB78E6">
            <w:pPr>
              <w:spacing w:after="0"/>
              <w:jc w:val="right"/>
              <w:rPr>
                <w:rFonts w:eastAsia="Times New Roman" w:cs="Calibri"/>
                <w:color w:val="000000"/>
                <w:sz w:val="18"/>
                <w:szCs w:val="18"/>
              </w:rPr>
            </w:pPr>
            <w:r w:rsidRPr="00E61612">
              <w:rPr>
                <w:color w:val="000000"/>
                <w:sz w:val="20"/>
                <w:szCs w:val="20"/>
              </w:rPr>
              <w:t xml:space="preserve">                               -   </w:t>
            </w:r>
          </w:p>
        </w:tc>
        <w:tc>
          <w:tcPr>
            <w:tcW w:w="0" w:type="auto"/>
            <w:shd w:val="clear" w:color="auto" w:fill="FFFFFF"/>
            <w:noWrap/>
          </w:tcPr>
          <w:p w:rsidR="00B951B1" w:rsidRPr="00E61612" w:rsidRDefault="00B951B1" w:rsidP="00CB78E6">
            <w:pPr>
              <w:spacing w:after="0"/>
              <w:jc w:val="right"/>
              <w:rPr>
                <w:rFonts w:eastAsia="Times New Roman" w:cs="Calibri"/>
                <w:color w:val="000000"/>
                <w:sz w:val="18"/>
                <w:szCs w:val="18"/>
              </w:rPr>
            </w:pPr>
            <w:r w:rsidRPr="00E61612">
              <w:rPr>
                <w:color w:val="000000"/>
                <w:sz w:val="20"/>
                <w:szCs w:val="20"/>
              </w:rPr>
              <w:t xml:space="preserve">                      -   </w:t>
            </w:r>
          </w:p>
        </w:tc>
        <w:tc>
          <w:tcPr>
            <w:tcW w:w="0" w:type="auto"/>
            <w:shd w:val="clear" w:color="auto" w:fill="FFFFFF"/>
            <w:noWrap/>
          </w:tcPr>
          <w:p w:rsidR="00B951B1" w:rsidRPr="00E61612" w:rsidRDefault="00B951B1" w:rsidP="00CB78E6">
            <w:pPr>
              <w:spacing w:after="0"/>
              <w:jc w:val="right"/>
              <w:rPr>
                <w:rFonts w:eastAsia="Times New Roman" w:cs="Calibri"/>
                <w:color w:val="000000"/>
                <w:sz w:val="18"/>
                <w:szCs w:val="18"/>
              </w:rPr>
            </w:pPr>
            <w:r w:rsidRPr="00E61612">
              <w:rPr>
                <w:color w:val="000000"/>
                <w:sz w:val="20"/>
                <w:szCs w:val="20"/>
              </w:rPr>
              <w:t xml:space="preserve">                   -   </w:t>
            </w:r>
          </w:p>
        </w:tc>
        <w:tc>
          <w:tcPr>
            <w:tcW w:w="0" w:type="auto"/>
            <w:shd w:val="clear" w:color="auto" w:fill="FFFFFF"/>
            <w:noWrap/>
          </w:tcPr>
          <w:p w:rsidR="00B951B1" w:rsidRPr="00E61612" w:rsidRDefault="00B951B1" w:rsidP="00CB78E6">
            <w:pPr>
              <w:spacing w:after="0"/>
              <w:jc w:val="right"/>
              <w:rPr>
                <w:rFonts w:eastAsia="Times New Roman" w:cs="Calibri"/>
                <w:color w:val="000000"/>
                <w:sz w:val="18"/>
                <w:szCs w:val="18"/>
              </w:rPr>
            </w:pPr>
            <w:r w:rsidRPr="00E61612">
              <w:rPr>
                <w:color w:val="000000"/>
                <w:sz w:val="20"/>
                <w:szCs w:val="20"/>
              </w:rPr>
              <w:t xml:space="preserve">                       -   </w:t>
            </w:r>
          </w:p>
        </w:tc>
      </w:tr>
      <w:tr w:rsidR="00B951B1" w:rsidRPr="00E61612" w:rsidTr="00CB78E6">
        <w:trPr>
          <w:trHeight w:val="20"/>
        </w:trPr>
        <w:tc>
          <w:tcPr>
            <w:tcW w:w="0" w:type="auto"/>
            <w:shd w:val="clear" w:color="auto" w:fill="FFFFFF"/>
          </w:tcPr>
          <w:p w:rsidR="00B951B1" w:rsidRPr="00E61612" w:rsidRDefault="00B951B1" w:rsidP="00CB78E6">
            <w:pPr>
              <w:spacing w:after="0"/>
              <w:jc w:val="center"/>
              <w:rPr>
                <w:rFonts w:eastAsia="Times New Roman" w:cs="Calibri"/>
                <w:b/>
                <w:bCs/>
                <w:color w:val="000000"/>
                <w:sz w:val="18"/>
                <w:szCs w:val="18"/>
              </w:rPr>
            </w:pPr>
            <w:r w:rsidRPr="00E61612">
              <w:rPr>
                <w:b/>
                <w:bCs/>
                <w:color w:val="000000"/>
                <w:sz w:val="20"/>
                <w:szCs w:val="20"/>
              </w:rPr>
              <w:lastRenderedPageBreak/>
              <w:t>A1.7.3</w:t>
            </w:r>
          </w:p>
        </w:tc>
        <w:tc>
          <w:tcPr>
            <w:tcW w:w="0" w:type="auto"/>
            <w:shd w:val="clear" w:color="auto" w:fill="FFFFFF"/>
          </w:tcPr>
          <w:p w:rsidR="00B951B1" w:rsidRPr="00E61612" w:rsidRDefault="00B951B1" w:rsidP="00CB78E6">
            <w:pPr>
              <w:spacing w:after="0"/>
              <w:rPr>
                <w:rFonts w:eastAsia="Times New Roman" w:cs="Calibri"/>
                <w:sz w:val="18"/>
                <w:szCs w:val="18"/>
              </w:rPr>
            </w:pPr>
            <w:r w:rsidRPr="00E61612">
              <w:rPr>
                <w:sz w:val="20"/>
                <w:szCs w:val="20"/>
              </w:rPr>
              <w:t xml:space="preserve"> Fuqizimi i rrjetit të shkollave me klasa të profilizuara në sport (klasat sportive)</w:t>
            </w:r>
          </w:p>
        </w:tc>
        <w:tc>
          <w:tcPr>
            <w:tcW w:w="0" w:type="auto"/>
            <w:shd w:val="clear" w:color="auto" w:fill="FFFFFF"/>
          </w:tcPr>
          <w:p w:rsidR="00B951B1" w:rsidRPr="00E61612" w:rsidRDefault="00B951B1" w:rsidP="00CB78E6">
            <w:pPr>
              <w:spacing w:after="0"/>
              <w:jc w:val="center"/>
              <w:rPr>
                <w:rFonts w:eastAsia="Times New Roman" w:cs="Calibri"/>
                <w:color w:val="000000"/>
                <w:sz w:val="18"/>
                <w:szCs w:val="18"/>
              </w:rPr>
            </w:pPr>
            <w:r w:rsidRPr="00E61612">
              <w:rPr>
                <w:color w:val="000000"/>
                <w:sz w:val="20"/>
                <w:szCs w:val="20"/>
              </w:rPr>
              <w:t>MASR</w:t>
            </w:r>
          </w:p>
        </w:tc>
        <w:tc>
          <w:tcPr>
            <w:tcW w:w="0" w:type="auto"/>
            <w:shd w:val="clear" w:color="auto" w:fill="FFFFFF"/>
          </w:tcPr>
          <w:p w:rsidR="00B951B1" w:rsidRPr="00E61612" w:rsidRDefault="00B951B1" w:rsidP="00CB78E6">
            <w:pPr>
              <w:spacing w:after="0"/>
              <w:jc w:val="center"/>
              <w:rPr>
                <w:rFonts w:eastAsia="Times New Roman" w:cs="Calibri"/>
                <w:color w:val="000000"/>
                <w:sz w:val="18"/>
                <w:szCs w:val="18"/>
              </w:rPr>
            </w:pPr>
            <w:r w:rsidRPr="00E61612">
              <w:rPr>
                <w:color w:val="000000"/>
                <w:sz w:val="20"/>
                <w:szCs w:val="20"/>
              </w:rPr>
              <w:t>DPAP, ASCAP</w:t>
            </w:r>
          </w:p>
        </w:tc>
        <w:tc>
          <w:tcPr>
            <w:tcW w:w="0" w:type="auto"/>
            <w:shd w:val="clear" w:color="auto" w:fill="FFFFFF"/>
          </w:tcPr>
          <w:p w:rsidR="00B951B1" w:rsidRPr="00E61612" w:rsidRDefault="00B951B1" w:rsidP="00CB78E6">
            <w:pPr>
              <w:spacing w:after="0"/>
              <w:jc w:val="center"/>
              <w:rPr>
                <w:rFonts w:eastAsia="Times New Roman" w:cs="Calibri"/>
                <w:color w:val="000000"/>
                <w:sz w:val="18"/>
                <w:szCs w:val="18"/>
              </w:rPr>
            </w:pPr>
            <w:r w:rsidRPr="00E61612">
              <w:rPr>
                <w:color w:val="000000"/>
                <w:sz w:val="20"/>
                <w:szCs w:val="20"/>
              </w:rPr>
              <w:t>TM1-2021</w:t>
            </w:r>
          </w:p>
        </w:tc>
        <w:tc>
          <w:tcPr>
            <w:tcW w:w="0" w:type="auto"/>
            <w:shd w:val="clear" w:color="auto" w:fill="FFFFFF"/>
          </w:tcPr>
          <w:p w:rsidR="00B951B1" w:rsidRPr="00E61612" w:rsidRDefault="00B951B1" w:rsidP="00CB78E6">
            <w:pPr>
              <w:spacing w:after="0"/>
              <w:jc w:val="center"/>
              <w:rPr>
                <w:rFonts w:eastAsia="Times New Roman" w:cs="Calibri"/>
                <w:color w:val="000000"/>
                <w:sz w:val="18"/>
                <w:szCs w:val="18"/>
              </w:rPr>
            </w:pPr>
            <w:r w:rsidRPr="00E61612">
              <w:rPr>
                <w:color w:val="000000"/>
                <w:sz w:val="20"/>
                <w:szCs w:val="20"/>
              </w:rPr>
              <w:t>TM4-2026</w:t>
            </w:r>
          </w:p>
        </w:tc>
        <w:tc>
          <w:tcPr>
            <w:tcW w:w="0" w:type="auto"/>
            <w:shd w:val="clear" w:color="auto" w:fill="FFFFFF"/>
            <w:noWrap/>
          </w:tcPr>
          <w:p w:rsidR="00B951B1" w:rsidRPr="00E61612" w:rsidRDefault="00B951B1" w:rsidP="00CB78E6">
            <w:pPr>
              <w:spacing w:after="0"/>
              <w:jc w:val="right"/>
              <w:rPr>
                <w:rFonts w:eastAsia="Times New Roman" w:cs="Calibri"/>
                <w:color w:val="000000"/>
                <w:sz w:val="18"/>
                <w:szCs w:val="18"/>
              </w:rPr>
            </w:pPr>
            <w:r w:rsidRPr="00E61612">
              <w:rPr>
                <w:color w:val="000000"/>
                <w:sz w:val="20"/>
                <w:szCs w:val="20"/>
              </w:rPr>
              <w:t xml:space="preserve">                               -   </w:t>
            </w:r>
          </w:p>
        </w:tc>
        <w:tc>
          <w:tcPr>
            <w:tcW w:w="0" w:type="auto"/>
            <w:shd w:val="clear" w:color="auto" w:fill="FFFFFF"/>
            <w:noWrap/>
          </w:tcPr>
          <w:p w:rsidR="00B951B1" w:rsidRPr="00E61612" w:rsidRDefault="00B951B1" w:rsidP="00CB78E6">
            <w:pPr>
              <w:spacing w:after="0"/>
              <w:jc w:val="right"/>
              <w:rPr>
                <w:rFonts w:eastAsia="Times New Roman" w:cs="Calibri"/>
                <w:color w:val="000000"/>
                <w:sz w:val="18"/>
                <w:szCs w:val="18"/>
              </w:rPr>
            </w:pPr>
            <w:r w:rsidRPr="00E61612">
              <w:rPr>
                <w:color w:val="000000"/>
                <w:sz w:val="20"/>
                <w:szCs w:val="20"/>
              </w:rPr>
              <w:t xml:space="preserve">                      -   </w:t>
            </w:r>
          </w:p>
        </w:tc>
        <w:tc>
          <w:tcPr>
            <w:tcW w:w="0" w:type="auto"/>
            <w:shd w:val="clear" w:color="auto" w:fill="FFFFFF"/>
            <w:noWrap/>
          </w:tcPr>
          <w:p w:rsidR="00B951B1" w:rsidRPr="00E61612" w:rsidRDefault="00B951B1" w:rsidP="00CB78E6">
            <w:pPr>
              <w:spacing w:after="0"/>
              <w:jc w:val="right"/>
              <w:rPr>
                <w:rFonts w:eastAsia="Times New Roman" w:cs="Calibri"/>
                <w:color w:val="000000"/>
                <w:sz w:val="18"/>
                <w:szCs w:val="18"/>
              </w:rPr>
            </w:pPr>
            <w:r w:rsidRPr="00E61612">
              <w:rPr>
                <w:color w:val="000000"/>
                <w:sz w:val="20"/>
                <w:szCs w:val="20"/>
              </w:rPr>
              <w:t xml:space="preserve">                   -   </w:t>
            </w:r>
          </w:p>
        </w:tc>
        <w:tc>
          <w:tcPr>
            <w:tcW w:w="0" w:type="auto"/>
            <w:shd w:val="clear" w:color="auto" w:fill="FFFFFF"/>
            <w:noWrap/>
          </w:tcPr>
          <w:p w:rsidR="00B951B1" w:rsidRPr="00E61612" w:rsidRDefault="00B951B1" w:rsidP="00CB78E6">
            <w:pPr>
              <w:spacing w:after="0"/>
              <w:jc w:val="right"/>
              <w:rPr>
                <w:rFonts w:eastAsia="Times New Roman" w:cs="Calibri"/>
                <w:color w:val="000000"/>
                <w:sz w:val="18"/>
                <w:szCs w:val="18"/>
              </w:rPr>
            </w:pPr>
            <w:r w:rsidRPr="00E61612">
              <w:rPr>
                <w:color w:val="000000"/>
                <w:sz w:val="20"/>
                <w:szCs w:val="20"/>
              </w:rPr>
              <w:t xml:space="preserve">                       -   </w:t>
            </w:r>
          </w:p>
        </w:tc>
      </w:tr>
      <w:tr w:rsidR="00B951B1" w:rsidRPr="00E61612" w:rsidTr="00CB78E6">
        <w:trPr>
          <w:trHeight w:val="20"/>
        </w:trPr>
        <w:tc>
          <w:tcPr>
            <w:tcW w:w="0" w:type="auto"/>
            <w:tcBorders>
              <w:bottom w:val="single" w:sz="4" w:space="0" w:color="auto"/>
            </w:tcBorders>
            <w:shd w:val="clear" w:color="auto" w:fill="FFFFFF"/>
          </w:tcPr>
          <w:p w:rsidR="00B951B1" w:rsidRPr="00E61612" w:rsidRDefault="00B951B1" w:rsidP="00CB78E6">
            <w:pPr>
              <w:spacing w:after="0"/>
              <w:jc w:val="center"/>
              <w:rPr>
                <w:rFonts w:eastAsia="Times New Roman" w:cs="Calibri"/>
                <w:b/>
                <w:bCs/>
                <w:color w:val="000000"/>
                <w:sz w:val="18"/>
                <w:szCs w:val="18"/>
              </w:rPr>
            </w:pPr>
            <w:r w:rsidRPr="00E61612">
              <w:rPr>
                <w:b/>
                <w:bCs/>
                <w:color w:val="000000"/>
                <w:sz w:val="20"/>
                <w:szCs w:val="20"/>
              </w:rPr>
              <w:t>A1.7.4</w:t>
            </w:r>
          </w:p>
        </w:tc>
        <w:tc>
          <w:tcPr>
            <w:tcW w:w="0" w:type="auto"/>
            <w:tcBorders>
              <w:bottom w:val="single" w:sz="4" w:space="0" w:color="auto"/>
            </w:tcBorders>
            <w:shd w:val="clear" w:color="auto" w:fill="FFFFFF"/>
          </w:tcPr>
          <w:p w:rsidR="00B951B1" w:rsidRPr="00E61612" w:rsidRDefault="00B951B1" w:rsidP="00CB78E6">
            <w:pPr>
              <w:spacing w:after="0"/>
              <w:rPr>
                <w:rFonts w:eastAsia="Times New Roman" w:cs="Calibri"/>
                <w:sz w:val="18"/>
                <w:szCs w:val="18"/>
              </w:rPr>
            </w:pPr>
            <w:r w:rsidRPr="00E61612">
              <w:rPr>
                <w:sz w:val="20"/>
                <w:szCs w:val="20"/>
              </w:rPr>
              <w:t>Shtimi i numrit të oficerëve të sigurisë në shkolla</w:t>
            </w:r>
          </w:p>
        </w:tc>
        <w:tc>
          <w:tcPr>
            <w:tcW w:w="0" w:type="auto"/>
            <w:tcBorders>
              <w:bottom w:val="single" w:sz="4" w:space="0" w:color="auto"/>
            </w:tcBorders>
            <w:shd w:val="clear" w:color="auto" w:fill="FFFFFF"/>
          </w:tcPr>
          <w:p w:rsidR="00B951B1" w:rsidRPr="00E61612" w:rsidRDefault="00B951B1" w:rsidP="00CB78E6">
            <w:pPr>
              <w:spacing w:after="0"/>
              <w:jc w:val="center"/>
              <w:rPr>
                <w:rFonts w:eastAsia="Times New Roman" w:cs="Calibri"/>
                <w:color w:val="000000"/>
                <w:sz w:val="18"/>
                <w:szCs w:val="18"/>
              </w:rPr>
            </w:pPr>
            <w:r w:rsidRPr="00E61612">
              <w:rPr>
                <w:color w:val="000000"/>
                <w:sz w:val="20"/>
                <w:szCs w:val="20"/>
              </w:rPr>
              <w:t>DPAP</w:t>
            </w:r>
          </w:p>
        </w:tc>
        <w:tc>
          <w:tcPr>
            <w:tcW w:w="0" w:type="auto"/>
            <w:tcBorders>
              <w:bottom w:val="single" w:sz="4" w:space="0" w:color="auto"/>
            </w:tcBorders>
            <w:shd w:val="clear" w:color="auto" w:fill="FFFFFF"/>
          </w:tcPr>
          <w:p w:rsidR="00B951B1" w:rsidRPr="00E61612" w:rsidRDefault="00B951B1" w:rsidP="00CB78E6">
            <w:pPr>
              <w:spacing w:after="0"/>
              <w:jc w:val="center"/>
              <w:rPr>
                <w:rFonts w:eastAsia="Times New Roman" w:cs="Calibri"/>
                <w:color w:val="000000"/>
                <w:sz w:val="18"/>
                <w:szCs w:val="18"/>
              </w:rPr>
            </w:pPr>
            <w:r w:rsidRPr="00E61612">
              <w:rPr>
                <w:color w:val="000000"/>
                <w:sz w:val="20"/>
                <w:szCs w:val="20"/>
              </w:rPr>
              <w:t> </w:t>
            </w:r>
          </w:p>
        </w:tc>
        <w:tc>
          <w:tcPr>
            <w:tcW w:w="0" w:type="auto"/>
            <w:tcBorders>
              <w:bottom w:val="single" w:sz="4" w:space="0" w:color="auto"/>
            </w:tcBorders>
            <w:shd w:val="clear" w:color="auto" w:fill="FFFFFF"/>
          </w:tcPr>
          <w:p w:rsidR="00B951B1" w:rsidRPr="00E61612" w:rsidRDefault="00B951B1" w:rsidP="00CB78E6">
            <w:pPr>
              <w:spacing w:after="0"/>
              <w:jc w:val="center"/>
              <w:rPr>
                <w:rFonts w:eastAsia="Times New Roman" w:cs="Calibri"/>
                <w:color w:val="000000"/>
                <w:sz w:val="18"/>
                <w:szCs w:val="18"/>
              </w:rPr>
            </w:pPr>
            <w:r w:rsidRPr="00E61612">
              <w:rPr>
                <w:color w:val="000000"/>
                <w:sz w:val="20"/>
                <w:szCs w:val="20"/>
              </w:rPr>
              <w:t>TM3-2021</w:t>
            </w:r>
          </w:p>
        </w:tc>
        <w:tc>
          <w:tcPr>
            <w:tcW w:w="0" w:type="auto"/>
            <w:tcBorders>
              <w:bottom w:val="single" w:sz="4" w:space="0" w:color="auto"/>
            </w:tcBorders>
            <w:shd w:val="clear" w:color="auto" w:fill="FFFFFF"/>
          </w:tcPr>
          <w:p w:rsidR="00B951B1" w:rsidRPr="00E61612" w:rsidRDefault="00B951B1" w:rsidP="00CB78E6">
            <w:pPr>
              <w:spacing w:after="0"/>
              <w:jc w:val="center"/>
              <w:rPr>
                <w:rFonts w:eastAsia="Times New Roman" w:cs="Calibri"/>
                <w:color w:val="000000"/>
                <w:sz w:val="18"/>
                <w:szCs w:val="18"/>
              </w:rPr>
            </w:pPr>
            <w:r w:rsidRPr="00E61612">
              <w:rPr>
                <w:color w:val="000000"/>
                <w:sz w:val="20"/>
                <w:szCs w:val="20"/>
              </w:rPr>
              <w:t>TM3-2025</w:t>
            </w:r>
          </w:p>
        </w:tc>
        <w:tc>
          <w:tcPr>
            <w:tcW w:w="0" w:type="auto"/>
            <w:tcBorders>
              <w:bottom w:val="single" w:sz="4" w:space="0" w:color="auto"/>
            </w:tcBorders>
            <w:shd w:val="clear" w:color="auto" w:fill="FFFFFF"/>
            <w:noWrap/>
          </w:tcPr>
          <w:p w:rsidR="00B951B1" w:rsidRPr="00E61612" w:rsidRDefault="00B951B1" w:rsidP="00CB78E6">
            <w:pPr>
              <w:spacing w:after="0"/>
              <w:jc w:val="right"/>
              <w:rPr>
                <w:rFonts w:eastAsia="Times New Roman" w:cs="Calibri"/>
                <w:color w:val="000000"/>
                <w:sz w:val="18"/>
                <w:szCs w:val="18"/>
              </w:rPr>
            </w:pPr>
            <w:r w:rsidRPr="00E61612">
              <w:rPr>
                <w:color w:val="000000"/>
                <w:sz w:val="20"/>
                <w:szCs w:val="20"/>
              </w:rPr>
              <w:t xml:space="preserve">                1,210,138 </w:t>
            </w:r>
          </w:p>
        </w:tc>
        <w:tc>
          <w:tcPr>
            <w:tcW w:w="0" w:type="auto"/>
            <w:tcBorders>
              <w:bottom w:val="single" w:sz="4" w:space="0" w:color="auto"/>
            </w:tcBorders>
            <w:shd w:val="clear" w:color="auto" w:fill="FFFFFF"/>
            <w:noWrap/>
          </w:tcPr>
          <w:p w:rsidR="00B951B1" w:rsidRPr="00E61612" w:rsidRDefault="00B951B1" w:rsidP="00CB78E6">
            <w:pPr>
              <w:spacing w:after="0"/>
              <w:jc w:val="right"/>
              <w:rPr>
                <w:rFonts w:eastAsia="Times New Roman" w:cs="Calibri"/>
                <w:color w:val="000000"/>
                <w:sz w:val="18"/>
                <w:szCs w:val="18"/>
              </w:rPr>
            </w:pPr>
            <w:r w:rsidRPr="00E61612">
              <w:rPr>
                <w:color w:val="000000"/>
                <w:sz w:val="20"/>
                <w:szCs w:val="20"/>
              </w:rPr>
              <w:t xml:space="preserve">          680,702 </w:t>
            </w:r>
          </w:p>
        </w:tc>
        <w:tc>
          <w:tcPr>
            <w:tcW w:w="0" w:type="auto"/>
            <w:tcBorders>
              <w:bottom w:val="single" w:sz="4" w:space="0" w:color="auto"/>
            </w:tcBorders>
            <w:shd w:val="clear" w:color="auto" w:fill="FFFFFF"/>
            <w:noWrap/>
          </w:tcPr>
          <w:p w:rsidR="00B951B1" w:rsidRPr="00E61612" w:rsidRDefault="00B951B1" w:rsidP="00CB78E6">
            <w:pPr>
              <w:spacing w:after="0"/>
              <w:jc w:val="right"/>
              <w:rPr>
                <w:rFonts w:eastAsia="Times New Roman" w:cs="Calibri"/>
                <w:color w:val="000000"/>
                <w:sz w:val="18"/>
                <w:szCs w:val="18"/>
              </w:rPr>
            </w:pPr>
            <w:r w:rsidRPr="00E61612">
              <w:rPr>
                <w:color w:val="000000"/>
                <w:sz w:val="20"/>
                <w:szCs w:val="20"/>
              </w:rPr>
              <w:t xml:space="preserve">                   -   </w:t>
            </w:r>
          </w:p>
        </w:tc>
        <w:tc>
          <w:tcPr>
            <w:tcW w:w="0" w:type="auto"/>
            <w:tcBorders>
              <w:bottom w:val="single" w:sz="4" w:space="0" w:color="auto"/>
            </w:tcBorders>
            <w:shd w:val="clear" w:color="auto" w:fill="FFFFFF"/>
            <w:noWrap/>
          </w:tcPr>
          <w:p w:rsidR="00B951B1" w:rsidRPr="00E61612" w:rsidRDefault="00B951B1" w:rsidP="00CB78E6">
            <w:pPr>
              <w:spacing w:after="0"/>
              <w:jc w:val="right"/>
              <w:rPr>
                <w:rFonts w:eastAsia="Times New Roman" w:cs="Calibri"/>
                <w:color w:val="000000"/>
                <w:sz w:val="18"/>
                <w:szCs w:val="18"/>
              </w:rPr>
            </w:pPr>
            <w:r w:rsidRPr="00E61612">
              <w:rPr>
                <w:color w:val="000000"/>
                <w:sz w:val="20"/>
                <w:szCs w:val="20"/>
              </w:rPr>
              <w:t xml:space="preserve">         (529,435)</w:t>
            </w:r>
          </w:p>
        </w:tc>
      </w:tr>
      <w:tr w:rsidR="00B951B1" w:rsidRPr="00E61612" w:rsidTr="00CB78E6">
        <w:trPr>
          <w:trHeight w:val="20"/>
        </w:trPr>
        <w:tc>
          <w:tcPr>
            <w:tcW w:w="0" w:type="auto"/>
            <w:tcBorders>
              <w:bottom w:val="single" w:sz="4" w:space="0" w:color="auto"/>
            </w:tcBorders>
            <w:shd w:val="clear" w:color="auto" w:fill="BFBFBF"/>
          </w:tcPr>
          <w:p w:rsidR="00B951B1" w:rsidRPr="00E61612" w:rsidRDefault="00B951B1" w:rsidP="00CB78E6">
            <w:pPr>
              <w:spacing w:after="0"/>
              <w:jc w:val="center"/>
              <w:rPr>
                <w:rFonts w:eastAsia="Times New Roman" w:cs="Calibri"/>
                <w:b/>
                <w:bCs/>
                <w:color w:val="000000"/>
                <w:sz w:val="18"/>
                <w:szCs w:val="18"/>
              </w:rPr>
            </w:pPr>
            <w:r w:rsidRPr="00E61612">
              <w:rPr>
                <w:b/>
                <w:bCs/>
                <w:color w:val="000000"/>
                <w:sz w:val="20"/>
                <w:szCs w:val="20"/>
              </w:rPr>
              <w:t>A2</w:t>
            </w:r>
          </w:p>
        </w:tc>
        <w:tc>
          <w:tcPr>
            <w:tcW w:w="0" w:type="auto"/>
            <w:tcBorders>
              <w:bottom w:val="single" w:sz="4" w:space="0" w:color="auto"/>
            </w:tcBorders>
            <w:shd w:val="clear" w:color="auto" w:fill="BFBFBF"/>
          </w:tcPr>
          <w:p w:rsidR="00B951B1" w:rsidRPr="00E61612" w:rsidRDefault="00B951B1" w:rsidP="00CB78E6">
            <w:pPr>
              <w:spacing w:after="0"/>
              <w:rPr>
                <w:rFonts w:eastAsia="Times New Roman" w:cs="Calibri"/>
                <w:sz w:val="18"/>
                <w:szCs w:val="18"/>
              </w:rPr>
            </w:pPr>
            <w:r w:rsidRPr="00E61612">
              <w:rPr>
                <w:sz w:val="20"/>
                <w:szCs w:val="20"/>
              </w:rPr>
              <w:t xml:space="preserve">Krijimi i mundësive për formimin cilësor të mësuesve dhe përmirësimi i sistemit të karrierës që </w:t>
            </w:r>
            <w:r>
              <w:rPr>
                <w:sz w:val="20"/>
                <w:szCs w:val="20"/>
              </w:rPr>
              <w:t xml:space="preserve">i </w:t>
            </w:r>
            <w:r w:rsidRPr="00E61612">
              <w:rPr>
                <w:sz w:val="20"/>
                <w:szCs w:val="20"/>
              </w:rPr>
              <w:t xml:space="preserve">inkurajon ata të zhvillojnë nivele më të larta të aftësive </w:t>
            </w:r>
            <w:r>
              <w:rPr>
                <w:sz w:val="20"/>
                <w:szCs w:val="20"/>
              </w:rPr>
              <w:t>në</w:t>
            </w:r>
            <w:r w:rsidRPr="00E61612">
              <w:rPr>
                <w:sz w:val="20"/>
                <w:szCs w:val="20"/>
              </w:rPr>
              <w:t xml:space="preserve"> mësimdhënie</w:t>
            </w:r>
          </w:p>
        </w:tc>
        <w:tc>
          <w:tcPr>
            <w:tcW w:w="0" w:type="auto"/>
            <w:tcBorders>
              <w:bottom w:val="single" w:sz="4" w:space="0" w:color="auto"/>
            </w:tcBorders>
            <w:shd w:val="clear" w:color="auto" w:fill="BFBFBF"/>
          </w:tcPr>
          <w:p w:rsidR="00B951B1" w:rsidRPr="00E61612" w:rsidRDefault="00B951B1" w:rsidP="00CB78E6">
            <w:pPr>
              <w:spacing w:after="0"/>
              <w:jc w:val="center"/>
              <w:rPr>
                <w:rFonts w:eastAsia="Times New Roman" w:cs="Calibri"/>
                <w:color w:val="000000"/>
                <w:sz w:val="18"/>
                <w:szCs w:val="18"/>
              </w:rPr>
            </w:pPr>
            <w:r w:rsidRPr="00E61612">
              <w:rPr>
                <w:color w:val="000000"/>
                <w:sz w:val="20"/>
                <w:szCs w:val="20"/>
              </w:rPr>
              <w:t>MASR, IAL-të, ASCAP, Zyra Shqiptare Erasmus+</w:t>
            </w:r>
          </w:p>
        </w:tc>
        <w:tc>
          <w:tcPr>
            <w:tcW w:w="0" w:type="auto"/>
            <w:tcBorders>
              <w:bottom w:val="single" w:sz="4" w:space="0" w:color="auto"/>
            </w:tcBorders>
            <w:shd w:val="clear" w:color="auto" w:fill="BFBFBF"/>
          </w:tcPr>
          <w:p w:rsidR="00B951B1" w:rsidRPr="00E61612" w:rsidRDefault="00B951B1" w:rsidP="00CB78E6">
            <w:pPr>
              <w:spacing w:after="0"/>
              <w:jc w:val="center"/>
              <w:rPr>
                <w:rFonts w:eastAsia="Times New Roman" w:cs="Calibri"/>
                <w:color w:val="000000"/>
                <w:sz w:val="18"/>
                <w:szCs w:val="18"/>
              </w:rPr>
            </w:pPr>
            <w:r w:rsidRPr="00E61612">
              <w:rPr>
                <w:color w:val="000000"/>
                <w:sz w:val="20"/>
                <w:szCs w:val="20"/>
              </w:rPr>
              <w:t>ASCAP, DPAP</w:t>
            </w:r>
          </w:p>
        </w:tc>
        <w:tc>
          <w:tcPr>
            <w:tcW w:w="0" w:type="auto"/>
            <w:tcBorders>
              <w:bottom w:val="single" w:sz="4" w:space="0" w:color="auto"/>
            </w:tcBorders>
            <w:shd w:val="clear" w:color="auto" w:fill="BFBFBF"/>
          </w:tcPr>
          <w:p w:rsidR="00B951B1" w:rsidRPr="00E61612" w:rsidRDefault="00B951B1" w:rsidP="00CB78E6">
            <w:pPr>
              <w:spacing w:after="0"/>
              <w:jc w:val="center"/>
              <w:rPr>
                <w:rFonts w:eastAsia="Times New Roman" w:cs="Calibri"/>
                <w:color w:val="000000"/>
                <w:sz w:val="18"/>
                <w:szCs w:val="18"/>
              </w:rPr>
            </w:pPr>
            <w:r w:rsidRPr="00E61612">
              <w:rPr>
                <w:color w:val="000000"/>
                <w:sz w:val="20"/>
                <w:szCs w:val="20"/>
              </w:rPr>
              <w:t>TM1-2021</w:t>
            </w:r>
          </w:p>
        </w:tc>
        <w:tc>
          <w:tcPr>
            <w:tcW w:w="0" w:type="auto"/>
            <w:tcBorders>
              <w:bottom w:val="single" w:sz="4" w:space="0" w:color="auto"/>
            </w:tcBorders>
            <w:shd w:val="clear" w:color="auto" w:fill="BFBFBF"/>
          </w:tcPr>
          <w:p w:rsidR="00B951B1" w:rsidRPr="00E61612" w:rsidRDefault="00B951B1" w:rsidP="00CB78E6">
            <w:pPr>
              <w:spacing w:after="0"/>
              <w:jc w:val="center"/>
              <w:rPr>
                <w:rFonts w:eastAsia="Times New Roman" w:cs="Calibri"/>
                <w:color w:val="000000"/>
                <w:sz w:val="18"/>
                <w:szCs w:val="18"/>
              </w:rPr>
            </w:pPr>
            <w:r w:rsidRPr="00E61612">
              <w:rPr>
                <w:color w:val="000000"/>
                <w:sz w:val="20"/>
                <w:szCs w:val="20"/>
              </w:rPr>
              <w:t>TM4-2026</w:t>
            </w:r>
          </w:p>
        </w:tc>
        <w:tc>
          <w:tcPr>
            <w:tcW w:w="0" w:type="auto"/>
            <w:tcBorders>
              <w:bottom w:val="single" w:sz="4" w:space="0" w:color="auto"/>
            </w:tcBorders>
            <w:shd w:val="clear" w:color="auto" w:fill="BFBFBF"/>
            <w:noWrap/>
          </w:tcPr>
          <w:p w:rsidR="00B951B1" w:rsidRPr="00E61612" w:rsidRDefault="00B951B1" w:rsidP="00CB78E6">
            <w:pPr>
              <w:spacing w:after="0"/>
              <w:jc w:val="right"/>
              <w:rPr>
                <w:rFonts w:eastAsia="Times New Roman" w:cs="Calibri"/>
                <w:color w:val="000000"/>
                <w:sz w:val="18"/>
                <w:szCs w:val="18"/>
              </w:rPr>
            </w:pPr>
            <w:r w:rsidRPr="00E61612">
              <w:rPr>
                <w:color w:val="000000"/>
                <w:sz w:val="20"/>
                <w:szCs w:val="20"/>
              </w:rPr>
              <w:t xml:space="preserve">                   477,006 </w:t>
            </w:r>
          </w:p>
        </w:tc>
        <w:tc>
          <w:tcPr>
            <w:tcW w:w="0" w:type="auto"/>
            <w:tcBorders>
              <w:bottom w:val="single" w:sz="4" w:space="0" w:color="auto"/>
            </w:tcBorders>
            <w:shd w:val="clear" w:color="auto" w:fill="BFBFBF"/>
            <w:noWrap/>
          </w:tcPr>
          <w:p w:rsidR="00B951B1" w:rsidRPr="00E61612" w:rsidRDefault="00B951B1" w:rsidP="00CB78E6">
            <w:pPr>
              <w:spacing w:after="0"/>
              <w:jc w:val="right"/>
              <w:rPr>
                <w:rFonts w:eastAsia="Times New Roman" w:cs="Calibri"/>
                <w:color w:val="000000"/>
                <w:sz w:val="18"/>
                <w:szCs w:val="18"/>
              </w:rPr>
            </w:pPr>
            <w:r w:rsidRPr="00E61612">
              <w:rPr>
                <w:color w:val="000000"/>
                <w:sz w:val="20"/>
                <w:szCs w:val="20"/>
              </w:rPr>
              <w:t xml:space="preserve">          468,000 </w:t>
            </w:r>
          </w:p>
        </w:tc>
        <w:tc>
          <w:tcPr>
            <w:tcW w:w="0" w:type="auto"/>
            <w:tcBorders>
              <w:bottom w:val="single" w:sz="4" w:space="0" w:color="auto"/>
            </w:tcBorders>
            <w:shd w:val="clear" w:color="auto" w:fill="BFBFBF"/>
            <w:noWrap/>
          </w:tcPr>
          <w:p w:rsidR="00B951B1" w:rsidRPr="00E61612" w:rsidRDefault="00B951B1" w:rsidP="00CB78E6">
            <w:pPr>
              <w:spacing w:after="0"/>
              <w:jc w:val="right"/>
              <w:rPr>
                <w:rFonts w:eastAsia="Times New Roman" w:cs="Calibri"/>
                <w:color w:val="000000"/>
                <w:sz w:val="18"/>
                <w:szCs w:val="18"/>
              </w:rPr>
            </w:pPr>
            <w:r w:rsidRPr="00E61612">
              <w:rPr>
                <w:color w:val="000000"/>
                <w:sz w:val="20"/>
                <w:szCs w:val="20"/>
              </w:rPr>
              <w:t xml:space="preserve">            9,006 </w:t>
            </w:r>
          </w:p>
        </w:tc>
        <w:tc>
          <w:tcPr>
            <w:tcW w:w="0" w:type="auto"/>
            <w:tcBorders>
              <w:bottom w:val="single" w:sz="4" w:space="0" w:color="auto"/>
            </w:tcBorders>
            <w:shd w:val="clear" w:color="auto" w:fill="BFBFBF"/>
            <w:noWrap/>
          </w:tcPr>
          <w:p w:rsidR="00B951B1" w:rsidRPr="00E61612" w:rsidRDefault="00B951B1" w:rsidP="00CB78E6">
            <w:pPr>
              <w:spacing w:after="0"/>
              <w:jc w:val="right"/>
              <w:rPr>
                <w:rFonts w:eastAsia="Times New Roman" w:cs="Calibri"/>
                <w:color w:val="000000"/>
                <w:sz w:val="18"/>
                <w:szCs w:val="18"/>
              </w:rPr>
            </w:pPr>
            <w:r w:rsidRPr="00E61612">
              <w:rPr>
                <w:color w:val="000000"/>
                <w:sz w:val="20"/>
                <w:szCs w:val="20"/>
              </w:rPr>
              <w:t xml:space="preserve">                       -   </w:t>
            </w:r>
          </w:p>
        </w:tc>
      </w:tr>
      <w:tr w:rsidR="00B951B1" w:rsidRPr="00E61612" w:rsidTr="00CB78E6">
        <w:trPr>
          <w:trHeight w:val="20"/>
        </w:trPr>
        <w:tc>
          <w:tcPr>
            <w:tcW w:w="0" w:type="auto"/>
            <w:shd w:val="clear" w:color="auto" w:fill="D9D9D9"/>
          </w:tcPr>
          <w:p w:rsidR="00B951B1" w:rsidRPr="00E61612" w:rsidRDefault="00B951B1" w:rsidP="00CB78E6">
            <w:pPr>
              <w:spacing w:after="0"/>
              <w:jc w:val="center"/>
              <w:rPr>
                <w:rFonts w:eastAsia="Times New Roman" w:cs="Calibri"/>
                <w:b/>
                <w:bCs/>
                <w:color w:val="000000"/>
                <w:sz w:val="18"/>
                <w:szCs w:val="18"/>
              </w:rPr>
            </w:pPr>
            <w:r w:rsidRPr="00E61612">
              <w:rPr>
                <w:b/>
                <w:bCs/>
                <w:color w:val="000000"/>
                <w:sz w:val="20"/>
                <w:szCs w:val="20"/>
              </w:rPr>
              <w:t>A2.1</w:t>
            </w:r>
          </w:p>
        </w:tc>
        <w:tc>
          <w:tcPr>
            <w:tcW w:w="0" w:type="auto"/>
            <w:shd w:val="clear" w:color="auto" w:fill="D9D9D9"/>
          </w:tcPr>
          <w:p w:rsidR="00B951B1" w:rsidRPr="00E61612" w:rsidRDefault="00B951B1" w:rsidP="00CB78E6">
            <w:pPr>
              <w:spacing w:after="0"/>
              <w:rPr>
                <w:rFonts w:eastAsia="Times New Roman" w:cs="Calibri"/>
                <w:sz w:val="18"/>
                <w:szCs w:val="18"/>
              </w:rPr>
            </w:pPr>
            <w:r w:rsidRPr="00E61612">
              <w:rPr>
                <w:sz w:val="20"/>
                <w:szCs w:val="20"/>
              </w:rPr>
              <w:t xml:space="preserve"> Përmirësimi i cilësisë së programeve për formimin fillestar të mësuesve </w:t>
            </w:r>
          </w:p>
        </w:tc>
        <w:tc>
          <w:tcPr>
            <w:tcW w:w="0" w:type="auto"/>
            <w:shd w:val="clear" w:color="auto" w:fill="D9D9D9"/>
          </w:tcPr>
          <w:p w:rsidR="00B951B1" w:rsidRPr="00E61612" w:rsidRDefault="00B951B1" w:rsidP="00CB78E6">
            <w:pPr>
              <w:spacing w:after="0"/>
              <w:jc w:val="center"/>
              <w:rPr>
                <w:rFonts w:eastAsia="Times New Roman" w:cs="Calibri"/>
                <w:color w:val="000000"/>
                <w:sz w:val="18"/>
                <w:szCs w:val="18"/>
              </w:rPr>
            </w:pPr>
            <w:r w:rsidRPr="00E61612">
              <w:rPr>
                <w:color w:val="000000"/>
                <w:sz w:val="20"/>
                <w:szCs w:val="20"/>
              </w:rPr>
              <w:t>MASR, IAL-të</w:t>
            </w:r>
          </w:p>
        </w:tc>
        <w:tc>
          <w:tcPr>
            <w:tcW w:w="0" w:type="auto"/>
            <w:shd w:val="clear" w:color="auto" w:fill="D9D9D9"/>
          </w:tcPr>
          <w:p w:rsidR="00B951B1" w:rsidRPr="00E61612" w:rsidRDefault="00B951B1" w:rsidP="00CB78E6">
            <w:pPr>
              <w:spacing w:after="0"/>
              <w:jc w:val="center"/>
              <w:rPr>
                <w:rFonts w:eastAsia="Times New Roman" w:cs="Calibri"/>
                <w:color w:val="000000"/>
                <w:sz w:val="18"/>
                <w:szCs w:val="18"/>
              </w:rPr>
            </w:pPr>
            <w:r w:rsidRPr="00E61612">
              <w:rPr>
                <w:color w:val="000000"/>
                <w:sz w:val="20"/>
                <w:szCs w:val="20"/>
              </w:rPr>
              <w:t> </w:t>
            </w:r>
          </w:p>
        </w:tc>
        <w:tc>
          <w:tcPr>
            <w:tcW w:w="0" w:type="auto"/>
            <w:shd w:val="clear" w:color="auto" w:fill="D9D9D9"/>
          </w:tcPr>
          <w:p w:rsidR="00B951B1" w:rsidRPr="00E61612" w:rsidRDefault="00B951B1" w:rsidP="00CB78E6">
            <w:pPr>
              <w:spacing w:after="0"/>
              <w:jc w:val="center"/>
              <w:rPr>
                <w:rFonts w:eastAsia="Times New Roman" w:cs="Calibri"/>
                <w:color w:val="000000"/>
                <w:sz w:val="18"/>
                <w:szCs w:val="18"/>
              </w:rPr>
            </w:pPr>
            <w:r w:rsidRPr="00E61612">
              <w:rPr>
                <w:color w:val="000000"/>
                <w:sz w:val="20"/>
                <w:szCs w:val="20"/>
              </w:rPr>
              <w:t>TM3-2021</w:t>
            </w:r>
          </w:p>
        </w:tc>
        <w:tc>
          <w:tcPr>
            <w:tcW w:w="0" w:type="auto"/>
            <w:shd w:val="clear" w:color="auto" w:fill="D9D9D9"/>
          </w:tcPr>
          <w:p w:rsidR="00B951B1" w:rsidRPr="00E61612" w:rsidRDefault="00B951B1" w:rsidP="00CB78E6">
            <w:pPr>
              <w:spacing w:after="0"/>
              <w:jc w:val="center"/>
              <w:rPr>
                <w:rFonts w:eastAsia="Times New Roman" w:cs="Calibri"/>
                <w:color w:val="000000"/>
                <w:sz w:val="18"/>
                <w:szCs w:val="18"/>
              </w:rPr>
            </w:pPr>
            <w:r w:rsidRPr="00E61612">
              <w:rPr>
                <w:color w:val="000000"/>
                <w:sz w:val="20"/>
                <w:szCs w:val="20"/>
              </w:rPr>
              <w:t>TM1-2023</w:t>
            </w:r>
          </w:p>
        </w:tc>
        <w:tc>
          <w:tcPr>
            <w:tcW w:w="0" w:type="auto"/>
            <w:shd w:val="clear" w:color="auto" w:fill="D9D9D9"/>
            <w:noWrap/>
          </w:tcPr>
          <w:p w:rsidR="00B951B1" w:rsidRPr="00E61612" w:rsidRDefault="00B951B1" w:rsidP="00CB78E6">
            <w:pPr>
              <w:spacing w:after="0"/>
              <w:jc w:val="right"/>
              <w:rPr>
                <w:rFonts w:eastAsia="Times New Roman" w:cs="Calibri"/>
                <w:color w:val="000000"/>
                <w:sz w:val="18"/>
                <w:szCs w:val="18"/>
              </w:rPr>
            </w:pPr>
            <w:r w:rsidRPr="00E61612">
              <w:rPr>
                <w:color w:val="000000"/>
                <w:sz w:val="20"/>
                <w:szCs w:val="20"/>
              </w:rPr>
              <w:t xml:space="preserve">                               -   </w:t>
            </w:r>
          </w:p>
        </w:tc>
        <w:tc>
          <w:tcPr>
            <w:tcW w:w="0" w:type="auto"/>
            <w:shd w:val="clear" w:color="auto" w:fill="D9D9D9"/>
            <w:noWrap/>
          </w:tcPr>
          <w:p w:rsidR="00B951B1" w:rsidRPr="00E61612" w:rsidRDefault="00B951B1" w:rsidP="00CB78E6">
            <w:pPr>
              <w:spacing w:after="0"/>
              <w:jc w:val="right"/>
              <w:rPr>
                <w:rFonts w:eastAsia="Times New Roman" w:cs="Calibri"/>
                <w:color w:val="000000"/>
                <w:sz w:val="18"/>
                <w:szCs w:val="18"/>
              </w:rPr>
            </w:pPr>
            <w:r w:rsidRPr="00E61612">
              <w:rPr>
                <w:color w:val="000000"/>
                <w:sz w:val="20"/>
                <w:szCs w:val="20"/>
              </w:rPr>
              <w:t xml:space="preserve">                      -   </w:t>
            </w:r>
          </w:p>
        </w:tc>
        <w:tc>
          <w:tcPr>
            <w:tcW w:w="0" w:type="auto"/>
            <w:shd w:val="clear" w:color="auto" w:fill="D9D9D9"/>
            <w:noWrap/>
          </w:tcPr>
          <w:p w:rsidR="00B951B1" w:rsidRPr="00E61612" w:rsidRDefault="00B951B1" w:rsidP="00CB78E6">
            <w:pPr>
              <w:spacing w:after="0"/>
              <w:jc w:val="right"/>
              <w:rPr>
                <w:rFonts w:eastAsia="Times New Roman" w:cs="Calibri"/>
                <w:color w:val="000000"/>
                <w:sz w:val="18"/>
                <w:szCs w:val="18"/>
              </w:rPr>
            </w:pPr>
            <w:r w:rsidRPr="00E61612">
              <w:rPr>
                <w:color w:val="000000"/>
                <w:sz w:val="20"/>
                <w:szCs w:val="20"/>
              </w:rPr>
              <w:t xml:space="preserve">                   -   </w:t>
            </w:r>
          </w:p>
        </w:tc>
        <w:tc>
          <w:tcPr>
            <w:tcW w:w="0" w:type="auto"/>
            <w:shd w:val="clear" w:color="auto" w:fill="D9D9D9"/>
            <w:noWrap/>
          </w:tcPr>
          <w:p w:rsidR="00B951B1" w:rsidRPr="00E61612" w:rsidRDefault="00B951B1" w:rsidP="00CB78E6">
            <w:pPr>
              <w:spacing w:after="0"/>
              <w:jc w:val="right"/>
              <w:rPr>
                <w:rFonts w:eastAsia="Times New Roman" w:cs="Calibri"/>
                <w:color w:val="000000"/>
                <w:sz w:val="18"/>
                <w:szCs w:val="18"/>
              </w:rPr>
            </w:pPr>
            <w:r w:rsidRPr="00E61612">
              <w:rPr>
                <w:color w:val="000000"/>
                <w:sz w:val="20"/>
                <w:szCs w:val="20"/>
              </w:rPr>
              <w:t xml:space="preserve">                       -   </w:t>
            </w:r>
          </w:p>
        </w:tc>
      </w:tr>
      <w:tr w:rsidR="00B951B1" w:rsidRPr="00E61612" w:rsidTr="00CB78E6">
        <w:trPr>
          <w:trHeight w:val="20"/>
        </w:trPr>
        <w:tc>
          <w:tcPr>
            <w:tcW w:w="0" w:type="auto"/>
            <w:tcBorders>
              <w:bottom w:val="single" w:sz="4" w:space="0" w:color="auto"/>
            </w:tcBorders>
            <w:shd w:val="clear" w:color="auto" w:fill="FFFFFF"/>
          </w:tcPr>
          <w:p w:rsidR="00B951B1" w:rsidRPr="00E61612" w:rsidRDefault="00B951B1" w:rsidP="00CB78E6">
            <w:pPr>
              <w:spacing w:after="0"/>
              <w:jc w:val="center"/>
              <w:rPr>
                <w:rFonts w:eastAsia="Times New Roman" w:cs="Calibri"/>
                <w:b/>
                <w:bCs/>
                <w:color w:val="000000"/>
                <w:sz w:val="18"/>
                <w:szCs w:val="18"/>
              </w:rPr>
            </w:pPr>
            <w:r w:rsidRPr="00E61612">
              <w:rPr>
                <w:b/>
                <w:bCs/>
                <w:color w:val="000000"/>
                <w:sz w:val="20"/>
                <w:szCs w:val="20"/>
              </w:rPr>
              <w:t>A2.1.1</w:t>
            </w:r>
          </w:p>
        </w:tc>
        <w:tc>
          <w:tcPr>
            <w:tcW w:w="0" w:type="auto"/>
            <w:tcBorders>
              <w:bottom w:val="single" w:sz="4" w:space="0" w:color="auto"/>
            </w:tcBorders>
            <w:shd w:val="clear" w:color="auto" w:fill="FFFFFF"/>
          </w:tcPr>
          <w:p w:rsidR="00B951B1" w:rsidRPr="00E61612" w:rsidRDefault="00B951B1" w:rsidP="00CB78E6">
            <w:pPr>
              <w:spacing w:after="0"/>
              <w:rPr>
                <w:rFonts w:eastAsia="Times New Roman" w:cs="Calibri"/>
                <w:sz w:val="18"/>
                <w:szCs w:val="18"/>
              </w:rPr>
            </w:pPr>
            <w:r w:rsidRPr="00E61612">
              <w:rPr>
                <w:sz w:val="20"/>
                <w:szCs w:val="20"/>
              </w:rPr>
              <w:t>Harmonizimi i kurrikulave të formimit fillestar të mësuesve të IAL</w:t>
            </w:r>
            <w:r>
              <w:rPr>
                <w:sz w:val="20"/>
                <w:szCs w:val="20"/>
              </w:rPr>
              <w:t>-ve</w:t>
            </w:r>
            <w:r w:rsidRPr="00E61612">
              <w:rPr>
                <w:sz w:val="20"/>
                <w:szCs w:val="20"/>
              </w:rPr>
              <w:t xml:space="preserve"> bazuar në kërkesat e Ligjit të Arsimit të Lartë si dhe me kurrikulën që ofrohet në arsimin parauniversitar</w:t>
            </w:r>
          </w:p>
        </w:tc>
        <w:tc>
          <w:tcPr>
            <w:tcW w:w="0" w:type="auto"/>
            <w:tcBorders>
              <w:bottom w:val="single" w:sz="4" w:space="0" w:color="auto"/>
            </w:tcBorders>
            <w:shd w:val="clear" w:color="auto" w:fill="FFFFFF"/>
          </w:tcPr>
          <w:p w:rsidR="00B951B1" w:rsidRPr="00E61612" w:rsidRDefault="00B951B1" w:rsidP="00CB78E6">
            <w:pPr>
              <w:spacing w:after="0"/>
              <w:jc w:val="center"/>
              <w:rPr>
                <w:rFonts w:eastAsia="Times New Roman" w:cs="Calibri"/>
                <w:color w:val="000000"/>
                <w:sz w:val="18"/>
                <w:szCs w:val="18"/>
              </w:rPr>
            </w:pPr>
            <w:r w:rsidRPr="00E61612">
              <w:rPr>
                <w:color w:val="000000"/>
                <w:sz w:val="20"/>
                <w:szCs w:val="20"/>
              </w:rPr>
              <w:t>MASR, IAL-të</w:t>
            </w:r>
          </w:p>
        </w:tc>
        <w:tc>
          <w:tcPr>
            <w:tcW w:w="0" w:type="auto"/>
            <w:tcBorders>
              <w:bottom w:val="single" w:sz="4" w:space="0" w:color="auto"/>
            </w:tcBorders>
            <w:shd w:val="clear" w:color="auto" w:fill="FFFFFF"/>
          </w:tcPr>
          <w:p w:rsidR="00B951B1" w:rsidRPr="00E61612" w:rsidRDefault="00B951B1" w:rsidP="00CB78E6">
            <w:pPr>
              <w:spacing w:after="0"/>
              <w:jc w:val="center"/>
              <w:rPr>
                <w:rFonts w:eastAsia="Times New Roman" w:cs="Calibri"/>
                <w:color w:val="000000"/>
                <w:sz w:val="18"/>
                <w:szCs w:val="18"/>
              </w:rPr>
            </w:pPr>
            <w:r w:rsidRPr="00E61612">
              <w:rPr>
                <w:color w:val="000000"/>
                <w:sz w:val="20"/>
                <w:szCs w:val="20"/>
              </w:rPr>
              <w:t> </w:t>
            </w:r>
          </w:p>
        </w:tc>
        <w:tc>
          <w:tcPr>
            <w:tcW w:w="0" w:type="auto"/>
            <w:tcBorders>
              <w:bottom w:val="single" w:sz="4" w:space="0" w:color="auto"/>
            </w:tcBorders>
            <w:shd w:val="clear" w:color="auto" w:fill="FFFFFF"/>
          </w:tcPr>
          <w:p w:rsidR="00B951B1" w:rsidRPr="00E61612" w:rsidRDefault="00B951B1" w:rsidP="00CB78E6">
            <w:pPr>
              <w:spacing w:after="0"/>
              <w:jc w:val="center"/>
              <w:rPr>
                <w:rFonts w:eastAsia="Times New Roman" w:cs="Calibri"/>
                <w:color w:val="000000"/>
                <w:sz w:val="18"/>
                <w:szCs w:val="18"/>
              </w:rPr>
            </w:pPr>
            <w:r w:rsidRPr="00E61612">
              <w:rPr>
                <w:color w:val="000000"/>
                <w:sz w:val="20"/>
                <w:szCs w:val="20"/>
              </w:rPr>
              <w:t>TM3-2021</w:t>
            </w:r>
          </w:p>
        </w:tc>
        <w:tc>
          <w:tcPr>
            <w:tcW w:w="0" w:type="auto"/>
            <w:tcBorders>
              <w:bottom w:val="single" w:sz="4" w:space="0" w:color="auto"/>
            </w:tcBorders>
            <w:shd w:val="clear" w:color="auto" w:fill="FFFFFF"/>
          </w:tcPr>
          <w:p w:rsidR="00B951B1" w:rsidRPr="00E61612" w:rsidRDefault="00B951B1" w:rsidP="00CB78E6">
            <w:pPr>
              <w:spacing w:after="0"/>
              <w:jc w:val="center"/>
              <w:rPr>
                <w:rFonts w:eastAsia="Times New Roman" w:cs="Calibri"/>
                <w:color w:val="000000"/>
                <w:sz w:val="18"/>
                <w:szCs w:val="18"/>
              </w:rPr>
            </w:pPr>
            <w:r w:rsidRPr="00E61612">
              <w:rPr>
                <w:color w:val="000000"/>
                <w:sz w:val="20"/>
                <w:szCs w:val="20"/>
              </w:rPr>
              <w:t>TM1-2023</w:t>
            </w:r>
          </w:p>
        </w:tc>
        <w:tc>
          <w:tcPr>
            <w:tcW w:w="0" w:type="auto"/>
            <w:tcBorders>
              <w:bottom w:val="single" w:sz="4" w:space="0" w:color="auto"/>
            </w:tcBorders>
            <w:shd w:val="clear" w:color="auto" w:fill="FFFFFF"/>
            <w:noWrap/>
          </w:tcPr>
          <w:p w:rsidR="00B951B1" w:rsidRPr="00E61612" w:rsidRDefault="00B951B1" w:rsidP="00CB78E6">
            <w:pPr>
              <w:spacing w:after="0"/>
              <w:jc w:val="right"/>
              <w:rPr>
                <w:rFonts w:eastAsia="Times New Roman" w:cs="Calibri"/>
                <w:color w:val="000000"/>
                <w:sz w:val="18"/>
                <w:szCs w:val="18"/>
              </w:rPr>
            </w:pPr>
            <w:r w:rsidRPr="00E61612">
              <w:rPr>
                <w:color w:val="000000"/>
                <w:sz w:val="20"/>
                <w:szCs w:val="20"/>
              </w:rPr>
              <w:t xml:space="preserve">                               -   </w:t>
            </w:r>
          </w:p>
        </w:tc>
        <w:tc>
          <w:tcPr>
            <w:tcW w:w="0" w:type="auto"/>
            <w:tcBorders>
              <w:bottom w:val="single" w:sz="4" w:space="0" w:color="auto"/>
            </w:tcBorders>
            <w:shd w:val="clear" w:color="auto" w:fill="FFFFFF"/>
            <w:noWrap/>
          </w:tcPr>
          <w:p w:rsidR="00B951B1" w:rsidRPr="00E61612" w:rsidRDefault="00B951B1" w:rsidP="00CB78E6">
            <w:pPr>
              <w:spacing w:after="0"/>
              <w:jc w:val="right"/>
              <w:rPr>
                <w:rFonts w:eastAsia="Times New Roman" w:cs="Calibri"/>
                <w:color w:val="000000"/>
                <w:sz w:val="18"/>
                <w:szCs w:val="18"/>
              </w:rPr>
            </w:pPr>
            <w:r w:rsidRPr="00E61612">
              <w:rPr>
                <w:color w:val="000000"/>
                <w:sz w:val="20"/>
                <w:szCs w:val="20"/>
              </w:rPr>
              <w:t xml:space="preserve">                      -   </w:t>
            </w:r>
          </w:p>
        </w:tc>
        <w:tc>
          <w:tcPr>
            <w:tcW w:w="0" w:type="auto"/>
            <w:tcBorders>
              <w:bottom w:val="single" w:sz="4" w:space="0" w:color="auto"/>
            </w:tcBorders>
            <w:shd w:val="clear" w:color="auto" w:fill="FFFFFF"/>
            <w:noWrap/>
          </w:tcPr>
          <w:p w:rsidR="00B951B1" w:rsidRPr="00E61612" w:rsidRDefault="00B951B1" w:rsidP="00CB78E6">
            <w:pPr>
              <w:spacing w:after="0"/>
              <w:jc w:val="right"/>
              <w:rPr>
                <w:rFonts w:eastAsia="Times New Roman" w:cs="Calibri"/>
                <w:color w:val="000000"/>
                <w:sz w:val="18"/>
                <w:szCs w:val="18"/>
              </w:rPr>
            </w:pPr>
            <w:r w:rsidRPr="00E61612">
              <w:rPr>
                <w:color w:val="000000"/>
                <w:sz w:val="20"/>
                <w:szCs w:val="20"/>
              </w:rPr>
              <w:t xml:space="preserve">                   -   </w:t>
            </w:r>
          </w:p>
        </w:tc>
        <w:tc>
          <w:tcPr>
            <w:tcW w:w="0" w:type="auto"/>
            <w:tcBorders>
              <w:bottom w:val="single" w:sz="4" w:space="0" w:color="auto"/>
            </w:tcBorders>
            <w:shd w:val="clear" w:color="auto" w:fill="FFFFFF"/>
            <w:noWrap/>
          </w:tcPr>
          <w:p w:rsidR="00B951B1" w:rsidRPr="00E61612" w:rsidRDefault="00B951B1" w:rsidP="00CB78E6">
            <w:pPr>
              <w:spacing w:after="0"/>
              <w:jc w:val="right"/>
              <w:rPr>
                <w:rFonts w:eastAsia="Times New Roman" w:cs="Calibri"/>
                <w:color w:val="000000"/>
                <w:sz w:val="18"/>
                <w:szCs w:val="18"/>
              </w:rPr>
            </w:pPr>
            <w:r w:rsidRPr="00E61612">
              <w:rPr>
                <w:color w:val="000000"/>
                <w:sz w:val="20"/>
                <w:szCs w:val="20"/>
              </w:rPr>
              <w:t xml:space="preserve">                       -   </w:t>
            </w:r>
          </w:p>
        </w:tc>
      </w:tr>
      <w:tr w:rsidR="00B951B1" w:rsidRPr="00E61612" w:rsidTr="00CB78E6">
        <w:trPr>
          <w:trHeight w:val="20"/>
        </w:trPr>
        <w:tc>
          <w:tcPr>
            <w:tcW w:w="0" w:type="auto"/>
            <w:shd w:val="clear" w:color="auto" w:fill="D9D9D9"/>
          </w:tcPr>
          <w:p w:rsidR="00B951B1" w:rsidRPr="00E61612" w:rsidRDefault="00B951B1" w:rsidP="00CB78E6">
            <w:pPr>
              <w:spacing w:after="0"/>
              <w:jc w:val="center"/>
              <w:rPr>
                <w:rFonts w:eastAsia="Times New Roman" w:cs="Calibri"/>
                <w:b/>
                <w:bCs/>
                <w:color w:val="000000"/>
                <w:sz w:val="18"/>
                <w:szCs w:val="18"/>
              </w:rPr>
            </w:pPr>
            <w:r w:rsidRPr="00E61612">
              <w:rPr>
                <w:b/>
                <w:bCs/>
                <w:color w:val="000000"/>
                <w:sz w:val="20"/>
                <w:szCs w:val="20"/>
              </w:rPr>
              <w:t>A2.2</w:t>
            </w:r>
          </w:p>
        </w:tc>
        <w:tc>
          <w:tcPr>
            <w:tcW w:w="0" w:type="auto"/>
            <w:shd w:val="clear" w:color="auto" w:fill="D9D9D9"/>
          </w:tcPr>
          <w:p w:rsidR="00B951B1" w:rsidRPr="00E61612" w:rsidRDefault="00B951B1" w:rsidP="00CB78E6">
            <w:pPr>
              <w:spacing w:after="0"/>
              <w:rPr>
                <w:rFonts w:eastAsia="Times New Roman" w:cs="Calibri"/>
                <w:sz w:val="18"/>
                <w:szCs w:val="18"/>
              </w:rPr>
            </w:pPr>
            <w:r w:rsidRPr="00E61612">
              <w:rPr>
                <w:sz w:val="20"/>
                <w:szCs w:val="20"/>
              </w:rPr>
              <w:t xml:space="preserve"> Shtimi i mundësive për zhvillimin profesional të mësuesve (aftësitë pedagogjike, kompetenca </w:t>
            </w:r>
            <w:r w:rsidRPr="00E61612">
              <w:rPr>
                <w:sz w:val="20"/>
                <w:szCs w:val="20"/>
              </w:rPr>
              <w:lastRenderedPageBreak/>
              <w:t>digjitale, arsimi gjithëpërfshirës)</w:t>
            </w:r>
          </w:p>
        </w:tc>
        <w:tc>
          <w:tcPr>
            <w:tcW w:w="0" w:type="auto"/>
            <w:shd w:val="clear" w:color="auto" w:fill="D9D9D9"/>
          </w:tcPr>
          <w:p w:rsidR="00B951B1" w:rsidRPr="00E61612" w:rsidRDefault="00B951B1" w:rsidP="00CB78E6">
            <w:pPr>
              <w:spacing w:after="0"/>
              <w:jc w:val="center"/>
              <w:rPr>
                <w:rFonts w:eastAsia="Times New Roman" w:cs="Calibri"/>
                <w:color w:val="000000"/>
                <w:sz w:val="18"/>
                <w:szCs w:val="18"/>
              </w:rPr>
            </w:pPr>
            <w:r w:rsidRPr="00E61612">
              <w:rPr>
                <w:color w:val="000000"/>
                <w:sz w:val="20"/>
                <w:szCs w:val="20"/>
              </w:rPr>
              <w:lastRenderedPageBreak/>
              <w:t>ASCAP, Zyra Shqiptare Erasmus+</w:t>
            </w:r>
          </w:p>
        </w:tc>
        <w:tc>
          <w:tcPr>
            <w:tcW w:w="0" w:type="auto"/>
            <w:shd w:val="clear" w:color="auto" w:fill="D9D9D9"/>
          </w:tcPr>
          <w:p w:rsidR="00B951B1" w:rsidRPr="00E61612" w:rsidRDefault="00B951B1" w:rsidP="00CB78E6">
            <w:pPr>
              <w:spacing w:after="0"/>
              <w:jc w:val="center"/>
              <w:rPr>
                <w:rFonts w:eastAsia="Times New Roman" w:cs="Calibri"/>
                <w:color w:val="000000"/>
                <w:sz w:val="18"/>
                <w:szCs w:val="18"/>
              </w:rPr>
            </w:pPr>
            <w:r w:rsidRPr="00E61612">
              <w:rPr>
                <w:color w:val="000000"/>
                <w:sz w:val="20"/>
                <w:szCs w:val="20"/>
              </w:rPr>
              <w:t>DPAP</w:t>
            </w:r>
          </w:p>
        </w:tc>
        <w:tc>
          <w:tcPr>
            <w:tcW w:w="0" w:type="auto"/>
            <w:shd w:val="clear" w:color="auto" w:fill="D9D9D9"/>
          </w:tcPr>
          <w:p w:rsidR="00B951B1" w:rsidRPr="00E61612" w:rsidRDefault="00B951B1" w:rsidP="00CB78E6">
            <w:pPr>
              <w:spacing w:after="0"/>
              <w:jc w:val="center"/>
              <w:rPr>
                <w:rFonts w:eastAsia="Times New Roman" w:cs="Calibri"/>
                <w:color w:val="000000"/>
                <w:sz w:val="18"/>
                <w:szCs w:val="18"/>
              </w:rPr>
            </w:pPr>
            <w:r w:rsidRPr="00E61612">
              <w:rPr>
                <w:color w:val="000000"/>
                <w:sz w:val="20"/>
                <w:szCs w:val="20"/>
              </w:rPr>
              <w:t>TM1-2021</w:t>
            </w:r>
          </w:p>
        </w:tc>
        <w:tc>
          <w:tcPr>
            <w:tcW w:w="0" w:type="auto"/>
            <w:shd w:val="clear" w:color="auto" w:fill="D9D9D9"/>
          </w:tcPr>
          <w:p w:rsidR="00B951B1" w:rsidRPr="00E61612" w:rsidRDefault="00B951B1" w:rsidP="00CB78E6">
            <w:pPr>
              <w:spacing w:after="0"/>
              <w:jc w:val="center"/>
              <w:rPr>
                <w:rFonts w:eastAsia="Times New Roman" w:cs="Calibri"/>
                <w:color w:val="000000"/>
                <w:sz w:val="18"/>
                <w:szCs w:val="18"/>
              </w:rPr>
            </w:pPr>
            <w:r w:rsidRPr="00E61612">
              <w:rPr>
                <w:color w:val="000000"/>
                <w:sz w:val="20"/>
                <w:szCs w:val="20"/>
              </w:rPr>
              <w:t>TM4-2026</w:t>
            </w:r>
          </w:p>
        </w:tc>
        <w:tc>
          <w:tcPr>
            <w:tcW w:w="0" w:type="auto"/>
            <w:shd w:val="clear" w:color="auto" w:fill="D9D9D9"/>
            <w:noWrap/>
          </w:tcPr>
          <w:p w:rsidR="00B951B1" w:rsidRPr="00E61612" w:rsidRDefault="00B951B1" w:rsidP="00CB78E6">
            <w:pPr>
              <w:spacing w:after="0"/>
              <w:jc w:val="right"/>
              <w:rPr>
                <w:rFonts w:eastAsia="Times New Roman" w:cs="Calibri"/>
                <w:color w:val="000000"/>
                <w:sz w:val="18"/>
                <w:szCs w:val="18"/>
              </w:rPr>
            </w:pPr>
            <w:r w:rsidRPr="00E61612">
              <w:rPr>
                <w:color w:val="000000"/>
                <w:sz w:val="20"/>
                <w:szCs w:val="20"/>
              </w:rPr>
              <w:t xml:space="preserve">                   468,000 </w:t>
            </w:r>
          </w:p>
        </w:tc>
        <w:tc>
          <w:tcPr>
            <w:tcW w:w="0" w:type="auto"/>
            <w:shd w:val="clear" w:color="auto" w:fill="D9D9D9"/>
            <w:noWrap/>
          </w:tcPr>
          <w:p w:rsidR="00B951B1" w:rsidRPr="00E61612" w:rsidRDefault="00B951B1" w:rsidP="00CB78E6">
            <w:pPr>
              <w:spacing w:after="0"/>
              <w:jc w:val="right"/>
              <w:rPr>
                <w:rFonts w:eastAsia="Times New Roman" w:cs="Calibri"/>
                <w:color w:val="000000"/>
                <w:sz w:val="18"/>
                <w:szCs w:val="18"/>
              </w:rPr>
            </w:pPr>
            <w:r w:rsidRPr="00E61612">
              <w:rPr>
                <w:color w:val="000000"/>
                <w:sz w:val="20"/>
                <w:szCs w:val="20"/>
              </w:rPr>
              <w:t xml:space="preserve">          468,000 </w:t>
            </w:r>
          </w:p>
        </w:tc>
        <w:tc>
          <w:tcPr>
            <w:tcW w:w="0" w:type="auto"/>
            <w:shd w:val="clear" w:color="auto" w:fill="D9D9D9"/>
            <w:noWrap/>
          </w:tcPr>
          <w:p w:rsidR="00B951B1" w:rsidRPr="00E61612" w:rsidRDefault="00B951B1" w:rsidP="00CB78E6">
            <w:pPr>
              <w:spacing w:after="0"/>
              <w:jc w:val="right"/>
              <w:rPr>
                <w:rFonts w:eastAsia="Times New Roman" w:cs="Calibri"/>
                <w:color w:val="000000"/>
                <w:sz w:val="18"/>
                <w:szCs w:val="18"/>
              </w:rPr>
            </w:pPr>
            <w:r w:rsidRPr="00E61612">
              <w:rPr>
                <w:color w:val="000000"/>
                <w:sz w:val="20"/>
                <w:szCs w:val="20"/>
              </w:rPr>
              <w:t xml:space="preserve">                   -   </w:t>
            </w:r>
          </w:p>
        </w:tc>
        <w:tc>
          <w:tcPr>
            <w:tcW w:w="0" w:type="auto"/>
            <w:shd w:val="clear" w:color="auto" w:fill="D9D9D9"/>
            <w:noWrap/>
          </w:tcPr>
          <w:p w:rsidR="00B951B1" w:rsidRPr="00E61612" w:rsidRDefault="00B951B1" w:rsidP="00CB78E6">
            <w:pPr>
              <w:spacing w:after="0"/>
              <w:jc w:val="right"/>
              <w:rPr>
                <w:rFonts w:eastAsia="Times New Roman" w:cs="Calibri"/>
                <w:color w:val="000000"/>
                <w:sz w:val="18"/>
                <w:szCs w:val="18"/>
              </w:rPr>
            </w:pPr>
            <w:r w:rsidRPr="00E61612">
              <w:rPr>
                <w:color w:val="000000"/>
                <w:sz w:val="20"/>
                <w:szCs w:val="20"/>
              </w:rPr>
              <w:t xml:space="preserve">                       -   </w:t>
            </w:r>
          </w:p>
        </w:tc>
      </w:tr>
      <w:tr w:rsidR="00B951B1" w:rsidRPr="00E61612" w:rsidTr="00CB78E6">
        <w:trPr>
          <w:trHeight w:val="20"/>
        </w:trPr>
        <w:tc>
          <w:tcPr>
            <w:tcW w:w="0" w:type="auto"/>
            <w:shd w:val="clear" w:color="auto" w:fill="FFFFFF"/>
          </w:tcPr>
          <w:p w:rsidR="00B951B1" w:rsidRPr="00E61612" w:rsidRDefault="00B951B1" w:rsidP="00CB78E6">
            <w:pPr>
              <w:spacing w:after="0"/>
              <w:jc w:val="center"/>
              <w:rPr>
                <w:rFonts w:eastAsia="Times New Roman" w:cs="Calibri"/>
                <w:b/>
                <w:bCs/>
                <w:color w:val="000000"/>
                <w:sz w:val="18"/>
                <w:szCs w:val="18"/>
              </w:rPr>
            </w:pPr>
            <w:r w:rsidRPr="00E61612">
              <w:rPr>
                <w:b/>
                <w:bCs/>
                <w:color w:val="000000"/>
                <w:sz w:val="20"/>
                <w:szCs w:val="20"/>
              </w:rPr>
              <w:t>A2.2.1</w:t>
            </w:r>
          </w:p>
        </w:tc>
        <w:tc>
          <w:tcPr>
            <w:tcW w:w="0" w:type="auto"/>
            <w:shd w:val="clear" w:color="auto" w:fill="FFFFFF"/>
          </w:tcPr>
          <w:p w:rsidR="00B951B1" w:rsidRPr="00E61612" w:rsidRDefault="00B951B1" w:rsidP="00CB78E6">
            <w:pPr>
              <w:spacing w:after="0"/>
              <w:rPr>
                <w:rFonts w:eastAsia="Times New Roman" w:cs="Calibri"/>
                <w:sz w:val="18"/>
                <w:szCs w:val="18"/>
              </w:rPr>
            </w:pPr>
            <w:r w:rsidRPr="00E61612">
              <w:rPr>
                <w:sz w:val="20"/>
                <w:szCs w:val="20"/>
              </w:rPr>
              <w:t>Zhvillimi i moduleve të trajnimit të bazuara në standardet profesionale të mësuesit dhe në koherencë me kurrikulën e re</w:t>
            </w:r>
          </w:p>
        </w:tc>
        <w:tc>
          <w:tcPr>
            <w:tcW w:w="0" w:type="auto"/>
            <w:shd w:val="clear" w:color="auto" w:fill="FFFFFF"/>
          </w:tcPr>
          <w:p w:rsidR="00B951B1" w:rsidRPr="00E61612" w:rsidRDefault="00B951B1" w:rsidP="00CB78E6">
            <w:pPr>
              <w:spacing w:after="0"/>
              <w:jc w:val="center"/>
              <w:rPr>
                <w:rFonts w:eastAsia="Times New Roman" w:cs="Calibri"/>
                <w:color w:val="000000"/>
                <w:sz w:val="18"/>
                <w:szCs w:val="18"/>
              </w:rPr>
            </w:pPr>
            <w:r w:rsidRPr="00E61612">
              <w:rPr>
                <w:color w:val="000000"/>
                <w:sz w:val="20"/>
                <w:szCs w:val="20"/>
              </w:rPr>
              <w:t>ASCAP</w:t>
            </w:r>
          </w:p>
        </w:tc>
        <w:tc>
          <w:tcPr>
            <w:tcW w:w="0" w:type="auto"/>
            <w:shd w:val="clear" w:color="auto" w:fill="FFFFFF"/>
          </w:tcPr>
          <w:p w:rsidR="00B951B1" w:rsidRPr="00E61612" w:rsidRDefault="00B951B1" w:rsidP="00CB78E6">
            <w:pPr>
              <w:spacing w:after="0"/>
              <w:jc w:val="center"/>
              <w:rPr>
                <w:rFonts w:eastAsia="Times New Roman" w:cs="Calibri"/>
                <w:color w:val="000000"/>
                <w:sz w:val="18"/>
                <w:szCs w:val="18"/>
              </w:rPr>
            </w:pPr>
            <w:r w:rsidRPr="00E61612">
              <w:rPr>
                <w:color w:val="000000"/>
                <w:sz w:val="20"/>
                <w:szCs w:val="20"/>
              </w:rPr>
              <w:t> </w:t>
            </w:r>
          </w:p>
        </w:tc>
        <w:tc>
          <w:tcPr>
            <w:tcW w:w="0" w:type="auto"/>
            <w:shd w:val="clear" w:color="auto" w:fill="FFFFFF"/>
          </w:tcPr>
          <w:p w:rsidR="00B951B1" w:rsidRPr="00E61612" w:rsidRDefault="00B951B1" w:rsidP="00CB78E6">
            <w:pPr>
              <w:spacing w:after="0"/>
              <w:jc w:val="center"/>
              <w:rPr>
                <w:rFonts w:eastAsia="Times New Roman" w:cs="Calibri"/>
                <w:color w:val="000000"/>
                <w:sz w:val="18"/>
                <w:szCs w:val="18"/>
              </w:rPr>
            </w:pPr>
            <w:r w:rsidRPr="00E61612">
              <w:rPr>
                <w:color w:val="000000"/>
                <w:sz w:val="20"/>
                <w:szCs w:val="20"/>
              </w:rPr>
              <w:t>TM1-2021</w:t>
            </w:r>
          </w:p>
        </w:tc>
        <w:tc>
          <w:tcPr>
            <w:tcW w:w="0" w:type="auto"/>
            <w:shd w:val="clear" w:color="auto" w:fill="FFFFFF"/>
          </w:tcPr>
          <w:p w:rsidR="00B951B1" w:rsidRPr="00E61612" w:rsidRDefault="00B951B1" w:rsidP="00CB78E6">
            <w:pPr>
              <w:spacing w:after="0"/>
              <w:jc w:val="center"/>
              <w:rPr>
                <w:rFonts w:eastAsia="Times New Roman" w:cs="Calibri"/>
                <w:color w:val="000000"/>
                <w:sz w:val="18"/>
                <w:szCs w:val="18"/>
              </w:rPr>
            </w:pPr>
            <w:r w:rsidRPr="00E61612">
              <w:rPr>
                <w:color w:val="000000"/>
                <w:sz w:val="20"/>
                <w:szCs w:val="20"/>
              </w:rPr>
              <w:t>TM4-2026</w:t>
            </w:r>
          </w:p>
        </w:tc>
        <w:tc>
          <w:tcPr>
            <w:tcW w:w="0" w:type="auto"/>
            <w:shd w:val="clear" w:color="auto" w:fill="FFFFFF"/>
            <w:noWrap/>
          </w:tcPr>
          <w:p w:rsidR="00B951B1" w:rsidRPr="00E61612" w:rsidRDefault="00B951B1" w:rsidP="00CB78E6">
            <w:pPr>
              <w:spacing w:after="0"/>
              <w:jc w:val="right"/>
              <w:rPr>
                <w:rFonts w:eastAsia="Times New Roman" w:cs="Calibri"/>
                <w:color w:val="000000"/>
                <w:sz w:val="18"/>
                <w:szCs w:val="18"/>
              </w:rPr>
            </w:pPr>
            <w:r w:rsidRPr="00E61612">
              <w:rPr>
                <w:color w:val="000000"/>
                <w:sz w:val="20"/>
                <w:szCs w:val="20"/>
              </w:rPr>
              <w:t xml:space="preserve">                   468,000 </w:t>
            </w:r>
          </w:p>
        </w:tc>
        <w:tc>
          <w:tcPr>
            <w:tcW w:w="0" w:type="auto"/>
            <w:shd w:val="clear" w:color="auto" w:fill="FFFFFF"/>
            <w:noWrap/>
          </w:tcPr>
          <w:p w:rsidR="00B951B1" w:rsidRPr="00E61612" w:rsidRDefault="00B951B1" w:rsidP="00CB78E6">
            <w:pPr>
              <w:spacing w:after="0"/>
              <w:jc w:val="right"/>
              <w:rPr>
                <w:rFonts w:eastAsia="Times New Roman" w:cs="Calibri"/>
                <w:color w:val="000000"/>
                <w:sz w:val="18"/>
                <w:szCs w:val="18"/>
              </w:rPr>
            </w:pPr>
            <w:r w:rsidRPr="00E61612">
              <w:rPr>
                <w:color w:val="000000"/>
                <w:sz w:val="20"/>
                <w:szCs w:val="20"/>
              </w:rPr>
              <w:t xml:space="preserve">          468,000 </w:t>
            </w:r>
          </w:p>
        </w:tc>
        <w:tc>
          <w:tcPr>
            <w:tcW w:w="0" w:type="auto"/>
            <w:shd w:val="clear" w:color="auto" w:fill="FFFFFF"/>
            <w:noWrap/>
          </w:tcPr>
          <w:p w:rsidR="00B951B1" w:rsidRPr="00E61612" w:rsidRDefault="00B951B1" w:rsidP="00CB78E6">
            <w:pPr>
              <w:spacing w:after="0"/>
              <w:jc w:val="right"/>
              <w:rPr>
                <w:rFonts w:eastAsia="Times New Roman" w:cs="Calibri"/>
                <w:color w:val="000000"/>
                <w:sz w:val="18"/>
                <w:szCs w:val="18"/>
              </w:rPr>
            </w:pPr>
            <w:r w:rsidRPr="00E61612">
              <w:rPr>
                <w:color w:val="000000"/>
                <w:sz w:val="20"/>
                <w:szCs w:val="20"/>
              </w:rPr>
              <w:t xml:space="preserve">                   -   </w:t>
            </w:r>
          </w:p>
        </w:tc>
        <w:tc>
          <w:tcPr>
            <w:tcW w:w="0" w:type="auto"/>
            <w:shd w:val="clear" w:color="auto" w:fill="FFFFFF"/>
            <w:noWrap/>
          </w:tcPr>
          <w:p w:rsidR="00B951B1" w:rsidRPr="00E61612" w:rsidRDefault="00B951B1" w:rsidP="00CB78E6">
            <w:pPr>
              <w:spacing w:after="0"/>
              <w:jc w:val="right"/>
              <w:rPr>
                <w:rFonts w:eastAsia="Times New Roman" w:cs="Calibri"/>
                <w:color w:val="000000"/>
                <w:sz w:val="18"/>
                <w:szCs w:val="18"/>
              </w:rPr>
            </w:pPr>
            <w:r w:rsidRPr="00E61612">
              <w:rPr>
                <w:color w:val="000000"/>
                <w:sz w:val="20"/>
                <w:szCs w:val="20"/>
              </w:rPr>
              <w:t xml:space="preserve">                       -   </w:t>
            </w:r>
          </w:p>
        </w:tc>
      </w:tr>
      <w:tr w:rsidR="00B951B1" w:rsidRPr="00E61612" w:rsidTr="00CB78E6">
        <w:trPr>
          <w:trHeight w:val="20"/>
        </w:trPr>
        <w:tc>
          <w:tcPr>
            <w:tcW w:w="0" w:type="auto"/>
            <w:shd w:val="clear" w:color="auto" w:fill="FFFFFF"/>
          </w:tcPr>
          <w:p w:rsidR="00B951B1" w:rsidRPr="00E61612" w:rsidRDefault="00B951B1" w:rsidP="00CB78E6">
            <w:pPr>
              <w:spacing w:after="0"/>
              <w:jc w:val="center"/>
              <w:rPr>
                <w:rFonts w:eastAsia="Times New Roman" w:cs="Calibri"/>
                <w:b/>
                <w:bCs/>
                <w:color w:val="000000"/>
                <w:sz w:val="18"/>
                <w:szCs w:val="18"/>
              </w:rPr>
            </w:pPr>
            <w:r w:rsidRPr="00E61612">
              <w:rPr>
                <w:b/>
                <w:bCs/>
                <w:color w:val="000000"/>
                <w:sz w:val="20"/>
                <w:szCs w:val="20"/>
              </w:rPr>
              <w:t>A2.2.2</w:t>
            </w:r>
          </w:p>
        </w:tc>
        <w:tc>
          <w:tcPr>
            <w:tcW w:w="0" w:type="auto"/>
            <w:shd w:val="clear" w:color="auto" w:fill="FFFFFF"/>
          </w:tcPr>
          <w:p w:rsidR="00B951B1" w:rsidRPr="00E61612" w:rsidRDefault="00B951B1" w:rsidP="00CB78E6">
            <w:pPr>
              <w:spacing w:after="0"/>
              <w:rPr>
                <w:rFonts w:eastAsia="Times New Roman" w:cs="Calibri"/>
                <w:sz w:val="18"/>
                <w:szCs w:val="18"/>
              </w:rPr>
            </w:pPr>
            <w:r w:rsidRPr="00E61612">
              <w:rPr>
                <w:sz w:val="20"/>
                <w:szCs w:val="20"/>
              </w:rPr>
              <w:t>Mbështetja e rrjeteve profesionale dhe anëtarëve të tyre, në veçanti rrjeteve profesionale të gjuhës shqipe, matematikës dhe shkencave, në përputhje me aftësitë që kërkohen në provim</w:t>
            </w:r>
            <w:r>
              <w:rPr>
                <w:sz w:val="20"/>
                <w:szCs w:val="20"/>
              </w:rPr>
              <w:t>et</w:t>
            </w:r>
            <w:r w:rsidRPr="00E61612">
              <w:rPr>
                <w:sz w:val="20"/>
                <w:szCs w:val="20"/>
              </w:rPr>
              <w:t xml:space="preserve"> ndërkombëtar</w:t>
            </w:r>
            <w:r>
              <w:rPr>
                <w:sz w:val="20"/>
                <w:szCs w:val="20"/>
              </w:rPr>
              <w:t>e</w:t>
            </w:r>
            <w:r w:rsidRPr="00E61612">
              <w:rPr>
                <w:sz w:val="20"/>
                <w:szCs w:val="20"/>
              </w:rPr>
              <w:t xml:space="preserve"> PISA, PIRLS dhe TIMSS</w:t>
            </w:r>
          </w:p>
        </w:tc>
        <w:tc>
          <w:tcPr>
            <w:tcW w:w="0" w:type="auto"/>
            <w:shd w:val="clear" w:color="auto" w:fill="FFFFFF"/>
          </w:tcPr>
          <w:p w:rsidR="00B951B1" w:rsidRPr="00E61612" w:rsidRDefault="00B951B1" w:rsidP="00CB78E6">
            <w:pPr>
              <w:spacing w:after="0"/>
              <w:jc w:val="center"/>
              <w:rPr>
                <w:rFonts w:eastAsia="Times New Roman" w:cs="Calibri"/>
                <w:color w:val="000000"/>
                <w:sz w:val="18"/>
                <w:szCs w:val="18"/>
              </w:rPr>
            </w:pPr>
            <w:r w:rsidRPr="00E61612">
              <w:rPr>
                <w:color w:val="000000"/>
                <w:sz w:val="20"/>
                <w:szCs w:val="20"/>
              </w:rPr>
              <w:t>ASCAP</w:t>
            </w:r>
          </w:p>
        </w:tc>
        <w:tc>
          <w:tcPr>
            <w:tcW w:w="0" w:type="auto"/>
            <w:shd w:val="clear" w:color="auto" w:fill="FFFFFF"/>
          </w:tcPr>
          <w:p w:rsidR="00B951B1" w:rsidRPr="00E61612" w:rsidRDefault="00B951B1" w:rsidP="00CB78E6">
            <w:pPr>
              <w:spacing w:after="0"/>
              <w:jc w:val="center"/>
              <w:rPr>
                <w:rFonts w:eastAsia="Times New Roman" w:cs="Calibri"/>
                <w:color w:val="000000"/>
                <w:sz w:val="18"/>
                <w:szCs w:val="18"/>
              </w:rPr>
            </w:pPr>
            <w:r w:rsidRPr="00E61612">
              <w:rPr>
                <w:color w:val="000000"/>
                <w:sz w:val="20"/>
                <w:szCs w:val="20"/>
              </w:rPr>
              <w:t>DPAP</w:t>
            </w:r>
          </w:p>
        </w:tc>
        <w:tc>
          <w:tcPr>
            <w:tcW w:w="0" w:type="auto"/>
            <w:shd w:val="clear" w:color="auto" w:fill="FFFFFF"/>
          </w:tcPr>
          <w:p w:rsidR="00B951B1" w:rsidRPr="00E61612" w:rsidRDefault="00B951B1" w:rsidP="00CB78E6">
            <w:pPr>
              <w:spacing w:after="0"/>
              <w:jc w:val="center"/>
              <w:rPr>
                <w:rFonts w:eastAsia="Times New Roman" w:cs="Calibri"/>
                <w:color w:val="000000"/>
                <w:sz w:val="18"/>
                <w:szCs w:val="18"/>
              </w:rPr>
            </w:pPr>
            <w:r w:rsidRPr="00E61612">
              <w:rPr>
                <w:color w:val="000000"/>
                <w:sz w:val="20"/>
                <w:szCs w:val="20"/>
              </w:rPr>
              <w:t>TM1-2021</w:t>
            </w:r>
          </w:p>
        </w:tc>
        <w:tc>
          <w:tcPr>
            <w:tcW w:w="0" w:type="auto"/>
            <w:shd w:val="clear" w:color="auto" w:fill="FFFFFF"/>
          </w:tcPr>
          <w:p w:rsidR="00B951B1" w:rsidRPr="00E61612" w:rsidRDefault="00B951B1" w:rsidP="00CB78E6">
            <w:pPr>
              <w:spacing w:after="0"/>
              <w:jc w:val="center"/>
              <w:rPr>
                <w:rFonts w:eastAsia="Times New Roman" w:cs="Calibri"/>
                <w:color w:val="000000"/>
                <w:sz w:val="18"/>
                <w:szCs w:val="18"/>
              </w:rPr>
            </w:pPr>
            <w:r w:rsidRPr="00E61612">
              <w:rPr>
                <w:color w:val="000000"/>
                <w:sz w:val="20"/>
                <w:szCs w:val="20"/>
              </w:rPr>
              <w:t>TM4-2026</w:t>
            </w:r>
          </w:p>
        </w:tc>
        <w:tc>
          <w:tcPr>
            <w:tcW w:w="0" w:type="auto"/>
            <w:shd w:val="clear" w:color="auto" w:fill="FFFFFF"/>
            <w:noWrap/>
          </w:tcPr>
          <w:p w:rsidR="00B951B1" w:rsidRPr="00E61612" w:rsidRDefault="00B951B1" w:rsidP="00CB78E6">
            <w:pPr>
              <w:spacing w:after="0"/>
              <w:jc w:val="right"/>
              <w:rPr>
                <w:rFonts w:eastAsia="Times New Roman" w:cs="Calibri"/>
                <w:color w:val="000000"/>
                <w:sz w:val="18"/>
                <w:szCs w:val="18"/>
              </w:rPr>
            </w:pPr>
            <w:r w:rsidRPr="00E61612">
              <w:rPr>
                <w:color w:val="000000"/>
                <w:sz w:val="20"/>
                <w:szCs w:val="20"/>
              </w:rPr>
              <w:t xml:space="preserve">                               -   </w:t>
            </w:r>
          </w:p>
        </w:tc>
        <w:tc>
          <w:tcPr>
            <w:tcW w:w="0" w:type="auto"/>
            <w:shd w:val="clear" w:color="auto" w:fill="FFFFFF"/>
            <w:noWrap/>
          </w:tcPr>
          <w:p w:rsidR="00B951B1" w:rsidRPr="00E61612" w:rsidRDefault="00B951B1" w:rsidP="00CB78E6">
            <w:pPr>
              <w:spacing w:after="0"/>
              <w:jc w:val="right"/>
              <w:rPr>
                <w:rFonts w:eastAsia="Times New Roman" w:cs="Calibri"/>
                <w:color w:val="000000"/>
                <w:sz w:val="18"/>
                <w:szCs w:val="18"/>
              </w:rPr>
            </w:pPr>
            <w:r w:rsidRPr="00E61612">
              <w:rPr>
                <w:color w:val="000000"/>
                <w:sz w:val="20"/>
                <w:szCs w:val="20"/>
              </w:rPr>
              <w:t xml:space="preserve">                      -   </w:t>
            </w:r>
          </w:p>
        </w:tc>
        <w:tc>
          <w:tcPr>
            <w:tcW w:w="0" w:type="auto"/>
            <w:shd w:val="clear" w:color="auto" w:fill="FFFFFF"/>
            <w:noWrap/>
          </w:tcPr>
          <w:p w:rsidR="00B951B1" w:rsidRPr="00E61612" w:rsidRDefault="00B951B1" w:rsidP="00CB78E6">
            <w:pPr>
              <w:spacing w:after="0"/>
              <w:jc w:val="right"/>
              <w:rPr>
                <w:rFonts w:eastAsia="Times New Roman" w:cs="Calibri"/>
                <w:color w:val="000000"/>
                <w:sz w:val="18"/>
                <w:szCs w:val="18"/>
              </w:rPr>
            </w:pPr>
            <w:r w:rsidRPr="00E61612">
              <w:rPr>
                <w:color w:val="000000"/>
                <w:sz w:val="20"/>
                <w:szCs w:val="20"/>
              </w:rPr>
              <w:t xml:space="preserve">                   -   </w:t>
            </w:r>
          </w:p>
        </w:tc>
        <w:tc>
          <w:tcPr>
            <w:tcW w:w="0" w:type="auto"/>
            <w:shd w:val="clear" w:color="auto" w:fill="FFFFFF"/>
            <w:noWrap/>
          </w:tcPr>
          <w:p w:rsidR="00B951B1" w:rsidRPr="00E61612" w:rsidRDefault="00B951B1" w:rsidP="00CB78E6">
            <w:pPr>
              <w:spacing w:after="0"/>
              <w:jc w:val="right"/>
              <w:rPr>
                <w:rFonts w:eastAsia="Times New Roman" w:cs="Calibri"/>
                <w:color w:val="000000"/>
                <w:sz w:val="18"/>
                <w:szCs w:val="18"/>
              </w:rPr>
            </w:pPr>
            <w:r w:rsidRPr="00E61612">
              <w:rPr>
                <w:color w:val="000000"/>
                <w:sz w:val="20"/>
                <w:szCs w:val="20"/>
              </w:rPr>
              <w:t xml:space="preserve">                       -   </w:t>
            </w:r>
          </w:p>
        </w:tc>
      </w:tr>
      <w:tr w:rsidR="00B951B1" w:rsidRPr="00E61612" w:rsidTr="00CB78E6">
        <w:trPr>
          <w:trHeight w:val="20"/>
        </w:trPr>
        <w:tc>
          <w:tcPr>
            <w:tcW w:w="0" w:type="auto"/>
            <w:tcBorders>
              <w:bottom w:val="single" w:sz="4" w:space="0" w:color="auto"/>
            </w:tcBorders>
            <w:shd w:val="clear" w:color="auto" w:fill="FFFFFF"/>
          </w:tcPr>
          <w:p w:rsidR="00B951B1" w:rsidRPr="00E61612" w:rsidRDefault="00B951B1" w:rsidP="00CB78E6">
            <w:pPr>
              <w:spacing w:after="0"/>
              <w:jc w:val="center"/>
              <w:rPr>
                <w:rFonts w:eastAsia="Times New Roman" w:cs="Calibri"/>
                <w:b/>
                <w:bCs/>
                <w:color w:val="000000"/>
                <w:sz w:val="18"/>
                <w:szCs w:val="18"/>
              </w:rPr>
            </w:pPr>
            <w:r w:rsidRPr="00E61612">
              <w:rPr>
                <w:b/>
                <w:bCs/>
                <w:color w:val="000000"/>
                <w:sz w:val="20"/>
                <w:szCs w:val="20"/>
              </w:rPr>
              <w:t>A2.2.3</w:t>
            </w:r>
          </w:p>
        </w:tc>
        <w:tc>
          <w:tcPr>
            <w:tcW w:w="0" w:type="auto"/>
            <w:tcBorders>
              <w:bottom w:val="single" w:sz="4" w:space="0" w:color="auto"/>
            </w:tcBorders>
            <w:shd w:val="clear" w:color="auto" w:fill="FFFFFF"/>
          </w:tcPr>
          <w:p w:rsidR="00B951B1" w:rsidRPr="00E61612" w:rsidRDefault="00B951B1" w:rsidP="00CB78E6">
            <w:pPr>
              <w:spacing w:after="0"/>
              <w:rPr>
                <w:rFonts w:eastAsia="Times New Roman" w:cs="Calibri"/>
                <w:sz w:val="18"/>
                <w:szCs w:val="18"/>
              </w:rPr>
            </w:pPr>
            <w:r w:rsidRPr="00E61612">
              <w:rPr>
                <w:sz w:val="20"/>
                <w:szCs w:val="20"/>
              </w:rPr>
              <w:t>Nxitja e mobilitetit të mësuesve përmes pjesëmarrjes së institucioneve të arsimit parauniversitar në Erasmus+ dhe programe të tjera</w:t>
            </w:r>
          </w:p>
        </w:tc>
        <w:tc>
          <w:tcPr>
            <w:tcW w:w="0" w:type="auto"/>
            <w:tcBorders>
              <w:bottom w:val="single" w:sz="4" w:space="0" w:color="auto"/>
            </w:tcBorders>
            <w:shd w:val="clear" w:color="auto" w:fill="FFFFFF"/>
          </w:tcPr>
          <w:p w:rsidR="00B951B1" w:rsidRPr="00E61612" w:rsidRDefault="00B951B1" w:rsidP="00CB78E6">
            <w:pPr>
              <w:spacing w:after="0"/>
              <w:jc w:val="center"/>
              <w:rPr>
                <w:rFonts w:eastAsia="Times New Roman" w:cs="Calibri"/>
                <w:color w:val="000000"/>
                <w:sz w:val="18"/>
                <w:szCs w:val="18"/>
              </w:rPr>
            </w:pPr>
            <w:r w:rsidRPr="00E61612">
              <w:rPr>
                <w:color w:val="000000"/>
                <w:sz w:val="20"/>
                <w:szCs w:val="20"/>
              </w:rPr>
              <w:t>Zyra Shqiptare Erasmus+</w:t>
            </w:r>
          </w:p>
        </w:tc>
        <w:tc>
          <w:tcPr>
            <w:tcW w:w="0" w:type="auto"/>
            <w:tcBorders>
              <w:bottom w:val="single" w:sz="4" w:space="0" w:color="auto"/>
            </w:tcBorders>
            <w:shd w:val="clear" w:color="auto" w:fill="FFFFFF"/>
          </w:tcPr>
          <w:p w:rsidR="00B951B1" w:rsidRPr="00E61612" w:rsidRDefault="00B951B1" w:rsidP="00CB78E6">
            <w:pPr>
              <w:spacing w:after="0"/>
              <w:jc w:val="center"/>
              <w:rPr>
                <w:rFonts w:eastAsia="Times New Roman" w:cs="Calibri"/>
                <w:color w:val="000000"/>
                <w:sz w:val="18"/>
                <w:szCs w:val="18"/>
              </w:rPr>
            </w:pPr>
            <w:r w:rsidRPr="00E61612">
              <w:rPr>
                <w:color w:val="000000"/>
                <w:sz w:val="20"/>
                <w:szCs w:val="20"/>
              </w:rPr>
              <w:t>DPAP</w:t>
            </w:r>
          </w:p>
        </w:tc>
        <w:tc>
          <w:tcPr>
            <w:tcW w:w="0" w:type="auto"/>
            <w:tcBorders>
              <w:bottom w:val="single" w:sz="4" w:space="0" w:color="auto"/>
            </w:tcBorders>
            <w:shd w:val="clear" w:color="auto" w:fill="FFFFFF"/>
          </w:tcPr>
          <w:p w:rsidR="00B951B1" w:rsidRPr="00E61612" w:rsidRDefault="00B951B1" w:rsidP="00CB78E6">
            <w:pPr>
              <w:spacing w:after="0"/>
              <w:jc w:val="center"/>
              <w:rPr>
                <w:rFonts w:eastAsia="Times New Roman" w:cs="Calibri"/>
                <w:color w:val="000000"/>
                <w:sz w:val="18"/>
                <w:szCs w:val="18"/>
              </w:rPr>
            </w:pPr>
            <w:r w:rsidRPr="00E61612">
              <w:rPr>
                <w:color w:val="000000"/>
                <w:sz w:val="20"/>
                <w:szCs w:val="20"/>
              </w:rPr>
              <w:t>TM3-2021</w:t>
            </w:r>
          </w:p>
        </w:tc>
        <w:tc>
          <w:tcPr>
            <w:tcW w:w="0" w:type="auto"/>
            <w:tcBorders>
              <w:bottom w:val="single" w:sz="4" w:space="0" w:color="auto"/>
            </w:tcBorders>
            <w:shd w:val="clear" w:color="auto" w:fill="FFFFFF"/>
          </w:tcPr>
          <w:p w:rsidR="00B951B1" w:rsidRPr="00E61612" w:rsidRDefault="00B951B1" w:rsidP="00CB78E6">
            <w:pPr>
              <w:spacing w:after="0"/>
              <w:jc w:val="center"/>
              <w:rPr>
                <w:rFonts w:eastAsia="Times New Roman" w:cs="Calibri"/>
                <w:color w:val="000000"/>
                <w:sz w:val="18"/>
                <w:szCs w:val="18"/>
              </w:rPr>
            </w:pPr>
            <w:r w:rsidRPr="00E61612">
              <w:rPr>
                <w:color w:val="000000"/>
                <w:sz w:val="20"/>
                <w:szCs w:val="20"/>
              </w:rPr>
              <w:t>TM2-2022</w:t>
            </w:r>
          </w:p>
        </w:tc>
        <w:tc>
          <w:tcPr>
            <w:tcW w:w="0" w:type="auto"/>
            <w:tcBorders>
              <w:bottom w:val="single" w:sz="4" w:space="0" w:color="auto"/>
            </w:tcBorders>
            <w:shd w:val="clear" w:color="auto" w:fill="FFFFFF"/>
            <w:noWrap/>
          </w:tcPr>
          <w:p w:rsidR="00B951B1" w:rsidRPr="00E61612" w:rsidRDefault="00B951B1" w:rsidP="00CB78E6">
            <w:pPr>
              <w:spacing w:after="0"/>
              <w:jc w:val="right"/>
              <w:rPr>
                <w:rFonts w:eastAsia="Times New Roman" w:cs="Calibri"/>
                <w:color w:val="000000"/>
                <w:sz w:val="18"/>
                <w:szCs w:val="18"/>
              </w:rPr>
            </w:pPr>
            <w:r w:rsidRPr="00E61612">
              <w:rPr>
                <w:color w:val="000000"/>
                <w:sz w:val="20"/>
                <w:szCs w:val="20"/>
              </w:rPr>
              <w:t xml:space="preserve">                               -   </w:t>
            </w:r>
          </w:p>
        </w:tc>
        <w:tc>
          <w:tcPr>
            <w:tcW w:w="0" w:type="auto"/>
            <w:tcBorders>
              <w:bottom w:val="single" w:sz="4" w:space="0" w:color="auto"/>
            </w:tcBorders>
            <w:shd w:val="clear" w:color="auto" w:fill="FFFFFF"/>
            <w:noWrap/>
          </w:tcPr>
          <w:p w:rsidR="00B951B1" w:rsidRPr="00E61612" w:rsidRDefault="00B951B1" w:rsidP="00CB78E6">
            <w:pPr>
              <w:spacing w:after="0"/>
              <w:jc w:val="right"/>
              <w:rPr>
                <w:rFonts w:eastAsia="Times New Roman" w:cs="Calibri"/>
                <w:color w:val="000000"/>
                <w:sz w:val="18"/>
                <w:szCs w:val="18"/>
              </w:rPr>
            </w:pPr>
            <w:r w:rsidRPr="00E61612">
              <w:rPr>
                <w:color w:val="000000"/>
                <w:sz w:val="20"/>
                <w:szCs w:val="20"/>
              </w:rPr>
              <w:t xml:space="preserve">                      -   </w:t>
            </w:r>
          </w:p>
        </w:tc>
        <w:tc>
          <w:tcPr>
            <w:tcW w:w="0" w:type="auto"/>
            <w:tcBorders>
              <w:bottom w:val="single" w:sz="4" w:space="0" w:color="auto"/>
            </w:tcBorders>
            <w:shd w:val="clear" w:color="auto" w:fill="FFFFFF"/>
            <w:noWrap/>
          </w:tcPr>
          <w:p w:rsidR="00B951B1" w:rsidRPr="00E61612" w:rsidRDefault="00B951B1" w:rsidP="00CB78E6">
            <w:pPr>
              <w:spacing w:after="0"/>
              <w:jc w:val="right"/>
              <w:rPr>
                <w:rFonts w:eastAsia="Times New Roman" w:cs="Calibri"/>
                <w:color w:val="000000"/>
                <w:sz w:val="18"/>
                <w:szCs w:val="18"/>
              </w:rPr>
            </w:pPr>
            <w:r w:rsidRPr="00E61612">
              <w:rPr>
                <w:color w:val="000000"/>
                <w:sz w:val="20"/>
                <w:szCs w:val="20"/>
              </w:rPr>
              <w:t xml:space="preserve">                   -   </w:t>
            </w:r>
          </w:p>
        </w:tc>
        <w:tc>
          <w:tcPr>
            <w:tcW w:w="0" w:type="auto"/>
            <w:tcBorders>
              <w:bottom w:val="single" w:sz="4" w:space="0" w:color="auto"/>
            </w:tcBorders>
            <w:shd w:val="clear" w:color="auto" w:fill="FFFFFF"/>
            <w:noWrap/>
          </w:tcPr>
          <w:p w:rsidR="00B951B1" w:rsidRPr="00E61612" w:rsidRDefault="00B951B1" w:rsidP="00CB78E6">
            <w:pPr>
              <w:spacing w:after="0"/>
              <w:jc w:val="right"/>
              <w:rPr>
                <w:rFonts w:eastAsia="Times New Roman" w:cs="Calibri"/>
                <w:color w:val="000000"/>
                <w:sz w:val="18"/>
                <w:szCs w:val="18"/>
              </w:rPr>
            </w:pPr>
            <w:r w:rsidRPr="00E61612">
              <w:rPr>
                <w:color w:val="000000"/>
                <w:sz w:val="20"/>
                <w:szCs w:val="20"/>
              </w:rPr>
              <w:t xml:space="preserve">                       -   </w:t>
            </w:r>
          </w:p>
        </w:tc>
      </w:tr>
      <w:tr w:rsidR="00B951B1" w:rsidRPr="00E61612" w:rsidTr="00CB78E6">
        <w:trPr>
          <w:trHeight w:val="20"/>
        </w:trPr>
        <w:tc>
          <w:tcPr>
            <w:tcW w:w="0" w:type="auto"/>
            <w:shd w:val="clear" w:color="auto" w:fill="D9D9D9"/>
          </w:tcPr>
          <w:p w:rsidR="00B951B1" w:rsidRPr="00E61612" w:rsidRDefault="00B951B1" w:rsidP="00CB78E6">
            <w:pPr>
              <w:spacing w:after="0"/>
              <w:jc w:val="center"/>
              <w:rPr>
                <w:rFonts w:eastAsia="Times New Roman" w:cs="Calibri"/>
                <w:b/>
                <w:bCs/>
                <w:color w:val="000000"/>
                <w:sz w:val="18"/>
                <w:szCs w:val="18"/>
              </w:rPr>
            </w:pPr>
            <w:r w:rsidRPr="00E61612">
              <w:rPr>
                <w:b/>
                <w:bCs/>
                <w:color w:val="000000"/>
                <w:sz w:val="20"/>
                <w:szCs w:val="20"/>
              </w:rPr>
              <w:t>A2.3</w:t>
            </w:r>
          </w:p>
        </w:tc>
        <w:tc>
          <w:tcPr>
            <w:tcW w:w="0" w:type="auto"/>
            <w:shd w:val="clear" w:color="auto" w:fill="D9D9D9"/>
          </w:tcPr>
          <w:p w:rsidR="00B951B1" w:rsidRPr="00E61612" w:rsidRDefault="00B951B1" w:rsidP="00CB78E6">
            <w:pPr>
              <w:spacing w:after="0"/>
              <w:rPr>
                <w:rFonts w:eastAsia="Times New Roman" w:cs="Calibri"/>
                <w:sz w:val="18"/>
                <w:szCs w:val="18"/>
              </w:rPr>
            </w:pPr>
            <w:r w:rsidRPr="00E61612">
              <w:rPr>
                <w:sz w:val="20"/>
                <w:szCs w:val="20"/>
              </w:rPr>
              <w:t>Përmirësimi i pozicionit të mësuesit përmes rritjes së pagave dhe sistemit të kualif</w:t>
            </w:r>
            <w:r>
              <w:rPr>
                <w:sz w:val="20"/>
                <w:szCs w:val="20"/>
              </w:rPr>
              <w:t>i</w:t>
            </w:r>
            <w:r w:rsidRPr="00E61612">
              <w:rPr>
                <w:sz w:val="20"/>
                <w:szCs w:val="20"/>
              </w:rPr>
              <w:t xml:space="preserve">kimit (ngritjes nga </w:t>
            </w:r>
            <w:r w:rsidRPr="00E61612">
              <w:rPr>
                <w:sz w:val="20"/>
                <w:szCs w:val="20"/>
              </w:rPr>
              <w:lastRenderedPageBreak/>
              <w:t xml:space="preserve">ana profesionale) bazuar në standardet e vlerësimit të mësuesve </w:t>
            </w:r>
          </w:p>
        </w:tc>
        <w:tc>
          <w:tcPr>
            <w:tcW w:w="0" w:type="auto"/>
            <w:shd w:val="clear" w:color="auto" w:fill="D9D9D9"/>
          </w:tcPr>
          <w:p w:rsidR="00B951B1" w:rsidRPr="00E61612" w:rsidRDefault="00B951B1" w:rsidP="00CB78E6">
            <w:pPr>
              <w:spacing w:after="0"/>
              <w:jc w:val="center"/>
              <w:rPr>
                <w:rFonts w:eastAsia="Times New Roman" w:cs="Calibri"/>
                <w:color w:val="000000"/>
                <w:sz w:val="18"/>
                <w:szCs w:val="18"/>
              </w:rPr>
            </w:pPr>
            <w:r w:rsidRPr="00E61612">
              <w:rPr>
                <w:color w:val="000000"/>
                <w:sz w:val="20"/>
                <w:szCs w:val="20"/>
              </w:rPr>
              <w:lastRenderedPageBreak/>
              <w:t>MASR</w:t>
            </w:r>
          </w:p>
        </w:tc>
        <w:tc>
          <w:tcPr>
            <w:tcW w:w="0" w:type="auto"/>
            <w:shd w:val="clear" w:color="auto" w:fill="D9D9D9"/>
          </w:tcPr>
          <w:p w:rsidR="00B951B1" w:rsidRPr="00E61612" w:rsidRDefault="00B951B1" w:rsidP="00CB78E6">
            <w:pPr>
              <w:spacing w:after="0"/>
              <w:jc w:val="center"/>
              <w:rPr>
                <w:rFonts w:eastAsia="Times New Roman" w:cs="Calibri"/>
                <w:color w:val="000000"/>
                <w:sz w:val="18"/>
                <w:szCs w:val="18"/>
              </w:rPr>
            </w:pPr>
            <w:r w:rsidRPr="00E61612">
              <w:rPr>
                <w:color w:val="000000"/>
                <w:sz w:val="20"/>
                <w:szCs w:val="20"/>
              </w:rPr>
              <w:t>ASCAP, DPAP</w:t>
            </w:r>
          </w:p>
        </w:tc>
        <w:tc>
          <w:tcPr>
            <w:tcW w:w="0" w:type="auto"/>
            <w:shd w:val="clear" w:color="auto" w:fill="D9D9D9"/>
          </w:tcPr>
          <w:p w:rsidR="00B951B1" w:rsidRPr="00E61612" w:rsidRDefault="00B951B1" w:rsidP="00CB78E6">
            <w:pPr>
              <w:spacing w:after="0"/>
              <w:jc w:val="center"/>
              <w:rPr>
                <w:rFonts w:eastAsia="Times New Roman" w:cs="Calibri"/>
                <w:color w:val="000000"/>
                <w:sz w:val="18"/>
                <w:szCs w:val="18"/>
              </w:rPr>
            </w:pPr>
            <w:r w:rsidRPr="00E61612">
              <w:rPr>
                <w:color w:val="000000"/>
                <w:sz w:val="20"/>
                <w:szCs w:val="20"/>
              </w:rPr>
              <w:t>TM2-2022</w:t>
            </w:r>
          </w:p>
        </w:tc>
        <w:tc>
          <w:tcPr>
            <w:tcW w:w="0" w:type="auto"/>
            <w:shd w:val="clear" w:color="auto" w:fill="D9D9D9"/>
          </w:tcPr>
          <w:p w:rsidR="00B951B1" w:rsidRPr="00E61612" w:rsidRDefault="00B951B1" w:rsidP="00CB78E6">
            <w:pPr>
              <w:spacing w:after="0"/>
              <w:jc w:val="center"/>
              <w:rPr>
                <w:rFonts w:eastAsia="Times New Roman" w:cs="Calibri"/>
                <w:color w:val="000000"/>
                <w:sz w:val="18"/>
                <w:szCs w:val="18"/>
              </w:rPr>
            </w:pPr>
            <w:r w:rsidRPr="00E61612">
              <w:rPr>
                <w:color w:val="000000"/>
                <w:sz w:val="20"/>
                <w:szCs w:val="20"/>
              </w:rPr>
              <w:t>TM2-2026</w:t>
            </w:r>
          </w:p>
        </w:tc>
        <w:tc>
          <w:tcPr>
            <w:tcW w:w="0" w:type="auto"/>
            <w:shd w:val="clear" w:color="auto" w:fill="D9D9D9"/>
            <w:noWrap/>
          </w:tcPr>
          <w:p w:rsidR="00B951B1" w:rsidRPr="00E61612" w:rsidRDefault="00B951B1" w:rsidP="00CB78E6">
            <w:pPr>
              <w:spacing w:after="0"/>
              <w:jc w:val="right"/>
              <w:rPr>
                <w:rFonts w:eastAsia="Times New Roman" w:cs="Calibri"/>
                <w:color w:val="000000"/>
                <w:sz w:val="18"/>
                <w:szCs w:val="18"/>
              </w:rPr>
            </w:pPr>
            <w:r w:rsidRPr="00E61612">
              <w:rPr>
                <w:color w:val="000000"/>
                <w:sz w:val="20"/>
                <w:szCs w:val="20"/>
              </w:rPr>
              <w:t xml:space="preserve">                        9,006 </w:t>
            </w:r>
          </w:p>
        </w:tc>
        <w:tc>
          <w:tcPr>
            <w:tcW w:w="0" w:type="auto"/>
            <w:shd w:val="clear" w:color="auto" w:fill="D9D9D9"/>
            <w:noWrap/>
          </w:tcPr>
          <w:p w:rsidR="00B951B1" w:rsidRPr="00E61612" w:rsidRDefault="00B951B1" w:rsidP="00CB78E6">
            <w:pPr>
              <w:spacing w:after="0"/>
              <w:jc w:val="right"/>
              <w:rPr>
                <w:rFonts w:eastAsia="Times New Roman" w:cs="Calibri"/>
                <w:color w:val="000000"/>
                <w:sz w:val="18"/>
                <w:szCs w:val="18"/>
              </w:rPr>
            </w:pPr>
            <w:r w:rsidRPr="00E61612">
              <w:rPr>
                <w:color w:val="000000"/>
                <w:sz w:val="20"/>
                <w:szCs w:val="20"/>
              </w:rPr>
              <w:t xml:space="preserve">                      -   </w:t>
            </w:r>
          </w:p>
        </w:tc>
        <w:tc>
          <w:tcPr>
            <w:tcW w:w="0" w:type="auto"/>
            <w:shd w:val="clear" w:color="auto" w:fill="D9D9D9"/>
            <w:noWrap/>
          </w:tcPr>
          <w:p w:rsidR="00B951B1" w:rsidRPr="00E61612" w:rsidRDefault="00B951B1" w:rsidP="00CB78E6">
            <w:pPr>
              <w:spacing w:after="0"/>
              <w:jc w:val="right"/>
              <w:rPr>
                <w:rFonts w:eastAsia="Times New Roman" w:cs="Calibri"/>
                <w:color w:val="000000"/>
                <w:sz w:val="18"/>
                <w:szCs w:val="18"/>
              </w:rPr>
            </w:pPr>
            <w:r w:rsidRPr="00E61612">
              <w:rPr>
                <w:color w:val="000000"/>
                <w:sz w:val="20"/>
                <w:szCs w:val="20"/>
              </w:rPr>
              <w:t xml:space="preserve">            9,006 </w:t>
            </w:r>
          </w:p>
        </w:tc>
        <w:tc>
          <w:tcPr>
            <w:tcW w:w="0" w:type="auto"/>
            <w:shd w:val="clear" w:color="auto" w:fill="D9D9D9"/>
            <w:noWrap/>
          </w:tcPr>
          <w:p w:rsidR="00B951B1" w:rsidRPr="00E61612" w:rsidRDefault="00B951B1" w:rsidP="00CB78E6">
            <w:pPr>
              <w:spacing w:after="0"/>
              <w:jc w:val="right"/>
              <w:rPr>
                <w:rFonts w:eastAsia="Times New Roman" w:cs="Calibri"/>
                <w:color w:val="000000"/>
                <w:sz w:val="18"/>
                <w:szCs w:val="18"/>
              </w:rPr>
            </w:pPr>
            <w:r w:rsidRPr="00E61612">
              <w:rPr>
                <w:color w:val="000000"/>
                <w:sz w:val="20"/>
                <w:szCs w:val="20"/>
              </w:rPr>
              <w:t xml:space="preserve">                       -   </w:t>
            </w:r>
          </w:p>
        </w:tc>
      </w:tr>
      <w:tr w:rsidR="00B951B1" w:rsidRPr="00E61612" w:rsidTr="00CB78E6">
        <w:trPr>
          <w:trHeight w:val="20"/>
        </w:trPr>
        <w:tc>
          <w:tcPr>
            <w:tcW w:w="0" w:type="auto"/>
            <w:shd w:val="clear" w:color="auto" w:fill="FFFFFF"/>
          </w:tcPr>
          <w:p w:rsidR="00B951B1" w:rsidRPr="00E61612" w:rsidRDefault="00B951B1" w:rsidP="00CB78E6">
            <w:pPr>
              <w:spacing w:after="0"/>
              <w:jc w:val="center"/>
              <w:rPr>
                <w:rFonts w:eastAsia="Times New Roman" w:cs="Calibri"/>
                <w:b/>
                <w:bCs/>
                <w:color w:val="000000"/>
                <w:sz w:val="18"/>
                <w:szCs w:val="18"/>
              </w:rPr>
            </w:pPr>
            <w:r w:rsidRPr="00E61612">
              <w:rPr>
                <w:b/>
                <w:bCs/>
                <w:color w:val="000000"/>
                <w:sz w:val="20"/>
                <w:szCs w:val="20"/>
              </w:rPr>
              <w:t>A2.3.1</w:t>
            </w:r>
          </w:p>
        </w:tc>
        <w:tc>
          <w:tcPr>
            <w:tcW w:w="0" w:type="auto"/>
            <w:shd w:val="clear" w:color="auto" w:fill="FFFFFF"/>
          </w:tcPr>
          <w:p w:rsidR="00B951B1" w:rsidRPr="00E61612" w:rsidRDefault="00B951B1" w:rsidP="00CB78E6">
            <w:pPr>
              <w:spacing w:after="0"/>
              <w:rPr>
                <w:rFonts w:eastAsia="Times New Roman" w:cs="Calibri"/>
                <w:sz w:val="18"/>
                <w:szCs w:val="18"/>
              </w:rPr>
            </w:pPr>
            <w:r w:rsidRPr="00E61612">
              <w:rPr>
                <w:sz w:val="20"/>
                <w:szCs w:val="20"/>
              </w:rPr>
              <w:t>Rritja  e pagave të mësuesve</w:t>
            </w:r>
          </w:p>
        </w:tc>
        <w:tc>
          <w:tcPr>
            <w:tcW w:w="0" w:type="auto"/>
            <w:shd w:val="clear" w:color="auto" w:fill="FFFFFF"/>
          </w:tcPr>
          <w:p w:rsidR="00B951B1" w:rsidRPr="00E61612" w:rsidRDefault="00B951B1" w:rsidP="00CB78E6">
            <w:pPr>
              <w:spacing w:after="0"/>
              <w:jc w:val="center"/>
              <w:rPr>
                <w:rFonts w:eastAsia="Times New Roman" w:cs="Calibri"/>
                <w:color w:val="000000"/>
                <w:sz w:val="18"/>
                <w:szCs w:val="18"/>
              </w:rPr>
            </w:pPr>
            <w:r w:rsidRPr="00E61612">
              <w:rPr>
                <w:color w:val="000000"/>
                <w:sz w:val="20"/>
                <w:szCs w:val="20"/>
              </w:rPr>
              <w:t>MASR</w:t>
            </w:r>
          </w:p>
        </w:tc>
        <w:tc>
          <w:tcPr>
            <w:tcW w:w="0" w:type="auto"/>
            <w:shd w:val="clear" w:color="auto" w:fill="FFFFFF"/>
          </w:tcPr>
          <w:p w:rsidR="00B951B1" w:rsidRPr="00E61612" w:rsidRDefault="00B951B1" w:rsidP="00CB78E6">
            <w:pPr>
              <w:spacing w:after="0"/>
              <w:jc w:val="center"/>
              <w:rPr>
                <w:rFonts w:eastAsia="Times New Roman" w:cs="Calibri"/>
                <w:color w:val="000000"/>
                <w:sz w:val="18"/>
                <w:szCs w:val="18"/>
              </w:rPr>
            </w:pPr>
            <w:r w:rsidRPr="00E61612">
              <w:rPr>
                <w:color w:val="000000"/>
                <w:sz w:val="20"/>
                <w:szCs w:val="20"/>
              </w:rPr>
              <w:t> </w:t>
            </w:r>
          </w:p>
        </w:tc>
        <w:tc>
          <w:tcPr>
            <w:tcW w:w="0" w:type="auto"/>
            <w:shd w:val="clear" w:color="auto" w:fill="FFFFFF"/>
          </w:tcPr>
          <w:p w:rsidR="00B951B1" w:rsidRPr="00E61612" w:rsidRDefault="00B951B1" w:rsidP="00CB78E6">
            <w:pPr>
              <w:spacing w:after="0"/>
              <w:jc w:val="center"/>
              <w:rPr>
                <w:rFonts w:eastAsia="Times New Roman" w:cs="Calibri"/>
                <w:color w:val="000000"/>
                <w:sz w:val="18"/>
                <w:szCs w:val="18"/>
              </w:rPr>
            </w:pPr>
            <w:r w:rsidRPr="00E61612">
              <w:rPr>
                <w:color w:val="000000"/>
                <w:sz w:val="20"/>
                <w:szCs w:val="20"/>
              </w:rPr>
              <w:t>TM3-2022</w:t>
            </w:r>
          </w:p>
        </w:tc>
        <w:tc>
          <w:tcPr>
            <w:tcW w:w="0" w:type="auto"/>
            <w:shd w:val="clear" w:color="auto" w:fill="FFFFFF"/>
          </w:tcPr>
          <w:p w:rsidR="00B951B1" w:rsidRPr="00E61612" w:rsidRDefault="00B951B1" w:rsidP="00CB78E6">
            <w:pPr>
              <w:spacing w:after="0"/>
              <w:jc w:val="center"/>
              <w:rPr>
                <w:rFonts w:eastAsia="Times New Roman" w:cs="Calibri"/>
                <w:color w:val="000000"/>
                <w:sz w:val="18"/>
                <w:szCs w:val="18"/>
              </w:rPr>
            </w:pPr>
            <w:r w:rsidRPr="00E61612">
              <w:rPr>
                <w:color w:val="000000"/>
                <w:sz w:val="20"/>
                <w:szCs w:val="20"/>
              </w:rPr>
              <w:t>TM4-2026</w:t>
            </w:r>
          </w:p>
        </w:tc>
        <w:tc>
          <w:tcPr>
            <w:tcW w:w="0" w:type="auto"/>
            <w:shd w:val="clear" w:color="auto" w:fill="FFFFFF"/>
            <w:noWrap/>
          </w:tcPr>
          <w:p w:rsidR="00B951B1" w:rsidRPr="00E61612" w:rsidRDefault="00B951B1" w:rsidP="00CB78E6">
            <w:pPr>
              <w:spacing w:after="0"/>
              <w:jc w:val="right"/>
              <w:rPr>
                <w:rFonts w:eastAsia="Times New Roman" w:cs="Calibri"/>
                <w:color w:val="000000"/>
                <w:sz w:val="18"/>
                <w:szCs w:val="18"/>
              </w:rPr>
            </w:pPr>
            <w:r w:rsidRPr="00E61612">
              <w:rPr>
                <w:color w:val="000000"/>
                <w:sz w:val="20"/>
                <w:szCs w:val="20"/>
              </w:rPr>
              <w:t xml:space="preserve">                               -   </w:t>
            </w:r>
          </w:p>
        </w:tc>
        <w:tc>
          <w:tcPr>
            <w:tcW w:w="0" w:type="auto"/>
            <w:shd w:val="clear" w:color="auto" w:fill="FFFFFF"/>
            <w:noWrap/>
          </w:tcPr>
          <w:p w:rsidR="00B951B1" w:rsidRPr="00E61612" w:rsidRDefault="00B951B1" w:rsidP="00CB78E6">
            <w:pPr>
              <w:spacing w:after="0"/>
              <w:jc w:val="right"/>
              <w:rPr>
                <w:rFonts w:eastAsia="Times New Roman" w:cs="Calibri"/>
                <w:color w:val="000000"/>
                <w:sz w:val="18"/>
                <w:szCs w:val="18"/>
              </w:rPr>
            </w:pPr>
            <w:r w:rsidRPr="00E61612">
              <w:rPr>
                <w:color w:val="000000"/>
                <w:sz w:val="20"/>
                <w:szCs w:val="20"/>
              </w:rPr>
              <w:t xml:space="preserve">                      -   </w:t>
            </w:r>
          </w:p>
        </w:tc>
        <w:tc>
          <w:tcPr>
            <w:tcW w:w="0" w:type="auto"/>
            <w:shd w:val="clear" w:color="auto" w:fill="FFFFFF"/>
            <w:noWrap/>
          </w:tcPr>
          <w:p w:rsidR="00B951B1" w:rsidRPr="00E61612" w:rsidRDefault="00B951B1" w:rsidP="00CB78E6">
            <w:pPr>
              <w:spacing w:after="0"/>
              <w:jc w:val="right"/>
              <w:rPr>
                <w:rFonts w:eastAsia="Times New Roman" w:cs="Calibri"/>
                <w:color w:val="000000"/>
                <w:sz w:val="18"/>
                <w:szCs w:val="18"/>
              </w:rPr>
            </w:pPr>
            <w:r w:rsidRPr="00E61612">
              <w:rPr>
                <w:color w:val="000000"/>
                <w:sz w:val="20"/>
                <w:szCs w:val="20"/>
              </w:rPr>
              <w:t xml:space="preserve">                   -   </w:t>
            </w:r>
          </w:p>
        </w:tc>
        <w:tc>
          <w:tcPr>
            <w:tcW w:w="0" w:type="auto"/>
            <w:shd w:val="clear" w:color="auto" w:fill="FFFFFF"/>
            <w:noWrap/>
          </w:tcPr>
          <w:p w:rsidR="00B951B1" w:rsidRPr="00E61612" w:rsidRDefault="00B951B1" w:rsidP="00CB78E6">
            <w:pPr>
              <w:spacing w:after="0"/>
              <w:jc w:val="right"/>
              <w:rPr>
                <w:rFonts w:eastAsia="Times New Roman" w:cs="Calibri"/>
                <w:color w:val="000000"/>
                <w:sz w:val="18"/>
                <w:szCs w:val="18"/>
              </w:rPr>
            </w:pPr>
            <w:r w:rsidRPr="00E61612">
              <w:rPr>
                <w:color w:val="000000"/>
                <w:sz w:val="20"/>
                <w:szCs w:val="20"/>
              </w:rPr>
              <w:t xml:space="preserve">                       -   </w:t>
            </w:r>
          </w:p>
        </w:tc>
      </w:tr>
      <w:tr w:rsidR="00B951B1" w:rsidRPr="00E61612" w:rsidTr="00CB78E6">
        <w:trPr>
          <w:trHeight w:val="20"/>
        </w:trPr>
        <w:tc>
          <w:tcPr>
            <w:tcW w:w="0" w:type="auto"/>
            <w:tcBorders>
              <w:bottom w:val="single" w:sz="4" w:space="0" w:color="auto"/>
            </w:tcBorders>
            <w:shd w:val="clear" w:color="auto" w:fill="FFFFFF"/>
          </w:tcPr>
          <w:p w:rsidR="00B951B1" w:rsidRPr="00E61612" w:rsidRDefault="00B951B1" w:rsidP="00CB78E6">
            <w:pPr>
              <w:spacing w:after="0"/>
              <w:jc w:val="center"/>
              <w:rPr>
                <w:rFonts w:eastAsia="Times New Roman" w:cs="Calibri"/>
                <w:b/>
                <w:bCs/>
                <w:color w:val="000000"/>
                <w:sz w:val="18"/>
                <w:szCs w:val="18"/>
              </w:rPr>
            </w:pPr>
            <w:r w:rsidRPr="00E61612">
              <w:rPr>
                <w:b/>
                <w:bCs/>
                <w:color w:val="000000"/>
                <w:sz w:val="20"/>
                <w:szCs w:val="20"/>
              </w:rPr>
              <w:t>A2.3.2</w:t>
            </w:r>
          </w:p>
        </w:tc>
        <w:tc>
          <w:tcPr>
            <w:tcW w:w="0" w:type="auto"/>
            <w:tcBorders>
              <w:bottom w:val="single" w:sz="4" w:space="0" w:color="auto"/>
            </w:tcBorders>
            <w:shd w:val="clear" w:color="auto" w:fill="FFFFFF"/>
          </w:tcPr>
          <w:p w:rsidR="00B951B1" w:rsidRPr="00E61612" w:rsidRDefault="00B951B1" w:rsidP="00CB78E6">
            <w:pPr>
              <w:spacing w:after="0"/>
              <w:rPr>
                <w:rFonts w:eastAsia="Times New Roman" w:cs="Calibri"/>
                <w:sz w:val="18"/>
                <w:szCs w:val="18"/>
              </w:rPr>
            </w:pPr>
            <w:r w:rsidRPr="00E61612">
              <w:rPr>
                <w:sz w:val="20"/>
                <w:szCs w:val="20"/>
              </w:rPr>
              <w:t>Ndërtimi i një sistemi të ri të ngritjes në karrierë të bazuar në vlerësimin e performancës së mësues</w:t>
            </w:r>
            <w:r>
              <w:rPr>
                <w:sz w:val="20"/>
                <w:szCs w:val="20"/>
              </w:rPr>
              <w:t>ve</w:t>
            </w:r>
            <w:r w:rsidRPr="00E61612">
              <w:rPr>
                <w:sz w:val="20"/>
                <w:szCs w:val="20"/>
              </w:rPr>
              <w:t xml:space="preserve"> në shkollë</w:t>
            </w:r>
          </w:p>
        </w:tc>
        <w:tc>
          <w:tcPr>
            <w:tcW w:w="0" w:type="auto"/>
            <w:tcBorders>
              <w:bottom w:val="single" w:sz="4" w:space="0" w:color="auto"/>
            </w:tcBorders>
            <w:shd w:val="clear" w:color="auto" w:fill="FFFFFF"/>
          </w:tcPr>
          <w:p w:rsidR="00B951B1" w:rsidRPr="00E61612" w:rsidRDefault="00B951B1" w:rsidP="00CB78E6">
            <w:pPr>
              <w:spacing w:after="0"/>
              <w:jc w:val="center"/>
              <w:rPr>
                <w:rFonts w:eastAsia="Times New Roman" w:cs="Calibri"/>
                <w:color w:val="000000"/>
                <w:sz w:val="18"/>
                <w:szCs w:val="18"/>
              </w:rPr>
            </w:pPr>
            <w:r w:rsidRPr="00E61612">
              <w:rPr>
                <w:color w:val="000000"/>
                <w:sz w:val="20"/>
                <w:szCs w:val="20"/>
              </w:rPr>
              <w:t>MASR</w:t>
            </w:r>
          </w:p>
        </w:tc>
        <w:tc>
          <w:tcPr>
            <w:tcW w:w="0" w:type="auto"/>
            <w:tcBorders>
              <w:bottom w:val="single" w:sz="4" w:space="0" w:color="auto"/>
            </w:tcBorders>
            <w:shd w:val="clear" w:color="auto" w:fill="FFFFFF"/>
          </w:tcPr>
          <w:p w:rsidR="00B951B1" w:rsidRPr="00E61612" w:rsidRDefault="00B951B1" w:rsidP="00CB78E6">
            <w:pPr>
              <w:spacing w:after="0"/>
              <w:jc w:val="center"/>
              <w:rPr>
                <w:rFonts w:eastAsia="Times New Roman" w:cs="Calibri"/>
                <w:color w:val="000000"/>
                <w:sz w:val="18"/>
                <w:szCs w:val="18"/>
              </w:rPr>
            </w:pPr>
            <w:r w:rsidRPr="00E61612">
              <w:rPr>
                <w:color w:val="000000"/>
                <w:sz w:val="20"/>
                <w:szCs w:val="20"/>
              </w:rPr>
              <w:t>ASCAP, DPAP</w:t>
            </w:r>
          </w:p>
        </w:tc>
        <w:tc>
          <w:tcPr>
            <w:tcW w:w="0" w:type="auto"/>
            <w:tcBorders>
              <w:bottom w:val="single" w:sz="4" w:space="0" w:color="auto"/>
            </w:tcBorders>
            <w:shd w:val="clear" w:color="auto" w:fill="FFFFFF"/>
          </w:tcPr>
          <w:p w:rsidR="00B951B1" w:rsidRPr="00E61612" w:rsidRDefault="00B951B1" w:rsidP="00CB78E6">
            <w:pPr>
              <w:spacing w:after="0"/>
              <w:jc w:val="center"/>
              <w:rPr>
                <w:rFonts w:eastAsia="Times New Roman" w:cs="Calibri"/>
                <w:color w:val="000000"/>
                <w:sz w:val="18"/>
                <w:szCs w:val="18"/>
              </w:rPr>
            </w:pPr>
            <w:r w:rsidRPr="00E61612">
              <w:rPr>
                <w:color w:val="000000"/>
                <w:sz w:val="20"/>
                <w:szCs w:val="20"/>
              </w:rPr>
              <w:t>TM2-2022</w:t>
            </w:r>
          </w:p>
        </w:tc>
        <w:tc>
          <w:tcPr>
            <w:tcW w:w="0" w:type="auto"/>
            <w:tcBorders>
              <w:bottom w:val="single" w:sz="4" w:space="0" w:color="auto"/>
            </w:tcBorders>
            <w:shd w:val="clear" w:color="auto" w:fill="FFFFFF"/>
          </w:tcPr>
          <w:p w:rsidR="00B951B1" w:rsidRPr="00E61612" w:rsidRDefault="00B951B1" w:rsidP="00CB78E6">
            <w:pPr>
              <w:spacing w:after="0"/>
              <w:jc w:val="center"/>
              <w:rPr>
                <w:rFonts w:eastAsia="Times New Roman" w:cs="Calibri"/>
                <w:color w:val="000000"/>
                <w:sz w:val="18"/>
                <w:szCs w:val="18"/>
              </w:rPr>
            </w:pPr>
            <w:r w:rsidRPr="00E61612">
              <w:rPr>
                <w:color w:val="000000"/>
                <w:sz w:val="20"/>
                <w:szCs w:val="20"/>
              </w:rPr>
              <w:t>TM2-2025</w:t>
            </w:r>
          </w:p>
        </w:tc>
        <w:tc>
          <w:tcPr>
            <w:tcW w:w="0" w:type="auto"/>
            <w:tcBorders>
              <w:bottom w:val="single" w:sz="4" w:space="0" w:color="auto"/>
            </w:tcBorders>
            <w:shd w:val="clear" w:color="auto" w:fill="FFFFFF"/>
            <w:noWrap/>
          </w:tcPr>
          <w:p w:rsidR="00B951B1" w:rsidRPr="00E61612" w:rsidRDefault="00B951B1" w:rsidP="00CB78E6">
            <w:pPr>
              <w:spacing w:after="0"/>
              <w:jc w:val="right"/>
              <w:rPr>
                <w:rFonts w:eastAsia="Times New Roman" w:cs="Calibri"/>
                <w:color w:val="000000"/>
                <w:sz w:val="18"/>
                <w:szCs w:val="18"/>
              </w:rPr>
            </w:pPr>
            <w:r w:rsidRPr="00E61612">
              <w:rPr>
                <w:color w:val="000000"/>
                <w:sz w:val="20"/>
                <w:szCs w:val="20"/>
              </w:rPr>
              <w:t xml:space="preserve">                        9,006 </w:t>
            </w:r>
          </w:p>
        </w:tc>
        <w:tc>
          <w:tcPr>
            <w:tcW w:w="0" w:type="auto"/>
            <w:tcBorders>
              <w:bottom w:val="single" w:sz="4" w:space="0" w:color="auto"/>
            </w:tcBorders>
            <w:shd w:val="clear" w:color="auto" w:fill="FFFFFF"/>
            <w:noWrap/>
          </w:tcPr>
          <w:p w:rsidR="00B951B1" w:rsidRPr="00E61612" w:rsidRDefault="00B951B1" w:rsidP="00CB78E6">
            <w:pPr>
              <w:spacing w:after="0"/>
              <w:jc w:val="right"/>
              <w:rPr>
                <w:rFonts w:eastAsia="Times New Roman" w:cs="Calibri"/>
                <w:color w:val="000000"/>
                <w:sz w:val="18"/>
                <w:szCs w:val="18"/>
              </w:rPr>
            </w:pPr>
            <w:r w:rsidRPr="00E61612">
              <w:rPr>
                <w:color w:val="000000"/>
                <w:sz w:val="20"/>
                <w:szCs w:val="20"/>
              </w:rPr>
              <w:t xml:space="preserve">                      -   </w:t>
            </w:r>
          </w:p>
        </w:tc>
        <w:tc>
          <w:tcPr>
            <w:tcW w:w="0" w:type="auto"/>
            <w:tcBorders>
              <w:bottom w:val="single" w:sz="4" w:space="0" w:color="auto"/>
            </w:tcBorders>
            <w:shd w:val="clear" w:color="auto" w:fill="FFFFFF"/>
            <w:noWrap/>
          </w:tcPr>
          <w:p w:rsidR="00B951B1" w:rsidRPr="00E61612" w:rsidRDefault="00B951B1" w:rsidP="00CB78E6">
            <w:pPr>
              <w:spacing w:after="0"/>
              <w:jc w:val="right"/>
              <w:rPr>
                <w:rFonts w:eastAsia="Times New Roman" w:cs="Calibri"/>
                <w:color w:val="000000"/>
                <w:sz w:val="18"/>
                <w:szCs w:val="18"/>
              </w:rPr>
            </w:pPr>
            <w:r w:rsidRPr="00E61612">
              <w:rPr>
                <w:color w:val="000000"/>
                <w:sz w:val="20"/>
                <w:szCs w:val="20"/>
              </w:rPr>
              <w:t xml:space="preserve">            9,006 </w:t>
            </w:r>
          </w:p>
        </w:tc>
        <w:tc>
          <w:tcPr>
            <w:tcW w:w="0" w:type="auto"/>
            <w:tcBorders>
              <w:bottom w:val="single" w:sz="4" w:space="0" w:color="auto"/>
            </w:tcBorders>
            <w:shd w:val="clear" w:color="auto" w:fill="FFFFFF"/>
            <w:noWrap/>
          </w:tcPr>
          <w:p w:rsidR="00B951B1" w:rsidRPr="00E61612" w:rsidRDefault="00B951B1" w:rsidP="00CB78E6">
            <w:pPr>
              <w:spacing w:after="0"/>
              <w:jc w:val="right"/>
              <w:rPr>
                <w:rFonts w:eastAsia="Times New Roman" w:cs="Calibri"/>
                <w:color w:val="000000"/>
                <w:sz w:val="18"/>
                <w:szCs w:val="18"/>
              </w:rPr>
            </w:pPr>
            <w:r w:rsidRPr="00E61612">
              <w:rPr>
                <w:color w:val="000000"/>
                <w:sz w:val="20"/>
                <w:szCs w:val="20"/>
              </w:rPr>
              <w:t xml:space="preserve">                       -   </w:t>
            </w:r>
          </w:p>
        </w:tc>
      </w:tr>
      <w:tr w:rsidR="00B951B1" w:rsidRPr="00E61612" w:rsidTr="00CB78E6">
        <w:trPr>
          <w:trHeight w:val="20"/>
        </w:trPr>
        <w:tc>
          <w:tcPr>
            <w:tcW w:w="0" w:type="auto"/>
            <w:tcBorders>
              <w:bottom w:val="single" w:sz="4" w:space="0" w:color="auto"/>
            </w:tcBorders>
            <w:shd w:val="clear" w:color="auto" w:fill="BFBFBF"/>
          </w:tcPr>
          <w:p w:rsidR="00B951B1" w:rsidRPr="00E61612" w:rsidRDefault="00B951B1" w:rsidP="00CB78E6">
            <w:pPr>
              <w:spacing w:after="0"/>
              <w:jc w:val="center"/>
              <w:rPr>
                <w:rFonts w:eastAsia="Times New Roman" w:cs="Calibri"/>
                <w:b/>
                <w:bCs/>
                <w:color w:val="000000"/>
                <w:sz w:val="18"/>
                <w:szCs w:val="18"/>
              </w:rPr>
            </w:pPr>
            <w:r w:rsidRPr="00E61612">
              <w:rPr>
                <w:b/>
                <w:bCs/>
                <w:color w:val="000000"/>
                <w:sz w:val="20"/>
                <w:szCs w:val="20"/>
              </w:rPr>
              <w:t>A3</w:t>
            </w:r>
          </w:p>
        </w:tc>
        <w:tc>
          <w:tcPr>
            <w:tcW w:w="0" w:type="auto"/>
            <w:tcBorders>
              <w:bottom w:val="single" w:sz="4" w:space="0" w:color="auto"/>
            </w:tcBorders>
            <w:shd w:val="clear" w:color="auto" w:fill="BFBFBF"/>
          </w:tcPr>
          <w:p w:rsidR="00B951B1" w:rsidRPr="00E61612" w:rsidRDefault="00B951B1" w:rsidP="00CB78E6">
            <w:pPr>
              <w:spacing w:after="0"/>
              <w:rPr>
                <w:rFonts w:eastAsia="Times New Roman" w:cs="Calibri"/>
                <w:sz w:val="18"/>
                <w:szCs w:val="18"/>
              </w:rPr>
            </w:pPr>
            <w:r w:rsidRPr="00E61612">
              <w:rPr>
                <w:sz w:val="20"/>
                <w:szCs w:val="20"/>
              </w:rPr>
              <w:t xml:space="preserve">Zbatimi i plotë i kurrikulës së bazuar në kompetenca përmes mësimdhënies </w:t>
            </w:r>
            <w:r>
              <w:rPr>
                <w:sz w:val="20"/>
                <w:szCs w:val="20"/>
              </w:rPr>
              <w:t>efikase</w:t>
            </w:r>
            <w:r w:rsidRPr="00E61612">
              <w:rPr>
                <w:sz w:val="20"/>
                <w:szCs w:val="20"/>
              </w:rPr>
              <w:t xml:space="preserve"> dhe shfrytëzimit të burimeve të cilësisë së lartë</w:t>
            </w:r>
          </w:p>
        </w:tc>
        <w:tc>
          <w:tcPr>
            <w:tcW w:w="0" w:type="auto"/>
            <w:tcBorders>
              <w:bottom w:val="single" w:sz="4" w:space="0" w:color="auto"/>
            </w:tcBorders>
            <w:shd w:val="clear" w:color="auto" w:fill="BFBFBF"/>
          </w:tcPr>
          <w:p w:rsidR="00B951B1" w:rsidRPr="00E61612" w:rsidRDefault="00B951B1" w:rsidP="00CB78E6">
            <w:pPr>
              <w:spacing w:after="0"/>
              <w:jc w:val="center"/>
              <w:rPr>
                <w:rFonts w:eastAsia="Times New Roman" w:cs="Calibri"/>
                <w:color w:val="000000"/>
                <w:sz w:val="18"/>
                <w:szCs w:val="18"/>
              </w:rPr>
            </w:pPr>
            <w:r w:rsidRPr="00E61612">
              <w:rPr>
                <w:color w:val="000000"/>
                <w:sz w:val="20"/>
                <w:szCs w:val="20"/>
              </w:rPr>
              <w:t>MASR, ASCAP, DPAP, QSHA</w:t>
            </w:r>
          </w:p>
        </w:tc>
        <w:tc>
          <w:tcPr>
            <w:tcW w:w="0" w:type="auto"/>
            <w:tcBorders>
              <w:bottom w:val="single" w:sz="4" w:space="0" w:color="auto"/>
            </w:tcBorders>
            <w:shd w:val="clear" w:color="auto" w:fill="BFBFBF"/>
          </w:tcPr>
          <w:p w:rsidR="00B951B1" w:rsidRPr="00E61612" w:rsidRDefault="00B951B1" w:rsidP="00CB78E6">
            <w:pPr>
              <w:spacing w:after="0"/>
              <w:jc w:val="center"/>
              <w:rPr>
                <w:rFonts w:eastAsia="Times New Roman" w:cs="Calibri"/>
                <w:color w:val="000000"/>
                <w:sz w:val="18"/>
                <w:szCs w:val="18"/>
              </w:rPr>
            </w:pPr>
            <w:r w:rsidRPr="00E61612">
              <w:rPr>
                <w:color w:val="000000"/>
                <w:sz w:val="20"/>
                <w:szCs w:val="20"/>
              </w:rPr>
              <w:t>ASCAP, DPAP</w:t>
            </w:r>
          </w:p>
        </w:tc>
        <w:tc>
          <w:tcPr>
            <w:tcW w:w="0" w:type="auto"/>
            <w:tcBorders>
              <w:bottom w:val="single" w:sz="4" w:space="0" w:color="auto"/>
            </w:tcBorders>
            <w:shd w:val="clear" w:color="auto" w:fill="BFBFBF"/>
          </w:tcPr>
          <w:p w:rsidR="00B951B1" w:rsidRPr="00E61612" w:rsidRDefault="00B951B1" w:rsidP="00CB78E6">
            <w:pPr>
              <w:spacing w:after="0"/>
              <w:jc w:val="center"/>
              <w:rPr>
                <w:rFonts w:eastAsia="Times New Roman" w:cs="Calibri"/>
                <w:color w:val="000000"/>
                <w:sz w:val="18"/>
                <w:szCs w:val="18"/>
              </w:rPr>
            </w:pPr>
            <w:r w:rsidRPr="00E61612">
              <w:rPr>
                <w:color w:val="000000"/>
                <w:sz w:val="20"/>
                <w:szCs w:val="20"/>
              </w:rPr>
              <w:t>TM2-2021</w:t>
            </w:r>
          </w:p>
        </w:tc>
        <w:tc>
          <w:tcPr>
            <w:tcW w:w="0" w:type="auto"/>
            <w:tcBorders>
              <w:bottom w:val="single" w:sz="4" w:space="0" w:color="auto"/>
            </w:tcBorders>
            <w:shd w:val="clear" w:color="auto" w:fill="BFBFBF"/>
          </w:tcPr>
          <w:p w:rsidR="00B951B1" w:rsidRPr="00E61612" w:rsidRDefault="00B951B1" w:rsidP="00CB78E6">
            <w:pPr>
              <w:spacing w:after="0"/>
              <w:jc w:val="center"/>
              <w:rPr>
                <w:rFonts w:eastAsia="Times New Roman" w:cs="Calibri"/>
                <w:color w:val="000000"/>
                <w:sz w:val="18"/>
                <w:szCs w:val="18"/>
              </w:rPr>
            </w:pPr>
            <w:r w:rsidRPr="00E61612">
              <w:rPr>
                <w:color w:val="000000"/>
                <w:sz w:val="20"/>
                <w:szCs w:val="20"/>
              </w:rPr>
              <w:t>TM4-2026</w:t>
            </w:r>
          </w:p>
        </w:tc>
        <w:tc>
          <w:tcPr>
            <w:tcW w:w="0" w:type="auto"/>
            <w:tcBorders>
              <w:bottom w:val="single" w:sz="4" w:space="0" w:color="auto"/>
            </w:tcBorders>
            <w:shd w:val="clear" w:color="auto" w:fill="BFBFBF"/>
            <w:noWrap/>
          </w:tcPr>
          <w:p w:rsidR="00B951B1" w:rsidRPr="00E61612" w:rsidRDefault="00B951B1" w:rsidP="00CB78E6">
            <w:pPr>
              <w:spacing w:after="0"/>
              <w:jc w:val="right"/>
              <w:rPr>
                <w:rFonts w:eastAsia="Times New Roman" w:cs="Calibri"/>
                <w:color w:val="000000"/>
                <w:sz w:val="18"/>
                <w:szCs w:val="18"/>
              </w:rPr>
            </w:pPr>
            <w:r w:rsidRPr="00E61612">
              <w:rPr>
                <w:color w:val="000000"/>
                <w:sz w:val="20"/>
                <w:szCs w:val="20"/>
              </w:rPr>
              <w:t xml:space="preserve">                1,336,036 </w:t>
            </w:r>
          </w:p>
        </w:tc>
        <w:tc>
          <w:tcPr>
            <w:tcW w:w="0" w:type="auto"/>
            <w:tcBorders>
              <w:bottom w:val="single" w:sz="4" w:space="0" w:color="auto"/>
            </w:tcBorders>
            <w:shd w:val="clear" w:color="auto" w:fill="BFBFBF"/>
            <w:noWrap/>
          </w:tcPr>
          <w:p w:rsidR="00B951B1" w:rsidRPr="00E61612" w:rsidRDefault="00B951B1" w:rsidP="00CB78E6">
            <w:pPr>
              <w:spacing w:after="0"/>
              <w:jc w:val="right"/>
              <w:rPr>
                <w:rFonts w:eastAsia="Times New Roman" w:cs="Calibri"/>
                <w:color w:val="000000"/>
                <w:sz w:val="18"/>
                <w:szCs w:val="18"/>
              </w:rPr>
            </w:pPr>
            <w:r w:rsidRPr="00E61612">
              <w:rPr>
                <w:color w:val="000000"/>
                <w:sz w:val="20"/>
                <w:szCs w:val="20"/>
              </w:rPr>
              <w:t xml:space="preserve">          250,000 </w:t>
            </w:r>
          </w:p>
        </w:tc>
        <w:tc>
          <w:tcPr>
            <w:tcW w:w="0" w:type="auto"/>
            <w:tcBorders>
              <w:bottom w:val="single" w:sz="4" w:space="0" w:color="auto"/>
            </w:tcBorders>
            <w:shd w:val="clear" w:color="auto" w:fill="BFBFBF"/>
            <w:noWrap/>
          </w:tcPr>
          <w:p w:rsidR="00B951B1" w:rsidRPr="00E61612" w:rsidRDefault="00B951B1" w:rsidP="00CB78E6">
            <w:pPr>
              <w:spacing w:after="0"/>
              <w:jc w:val="right"/>
              <w:rPr>
                <w:rFonts w:eastAsia="Times New Roman" w:cs="Calibri"/>
                <w:color w:val="000000"/>
                <w:sz w:val="18"/>
                <w:szCs w:val="18"/>
              </w:rPr>
            </w:pPr>
            <w:r w:rsidRPr="00E61612">
              <w:rPr>
                <w:color w:val="000000"/>
                <w:sz w:val="20"/>
                <w:szCs w:val="20"/>
              </w:rPr>
              <w:t xml:space="preserve">          11,926 </w:t>
            </w:r>
          </w:p>
        </w:tc>
        <w:tc>
          <w:tcPr>
            <w:tcW w:w="0" w:type="auto"/>
            <w:tcBorders>
              <w:bottom w:val="single" w:sz="4" w:space="0" w:color="auto"/>
            </w:tcBorders>
            <w:shd w:val="clear" w:color="auto" w:fill="BFBFBF"/>
            <w:noWrap/>
          </w:tcPr>
          <w:p w:rsidR="00B951B1" w:rsidRPr="00E61612" w:rsidRDefault="00B951B1" w:rsidP="00CB78E6">
            <w:pPr>
              <w:spacing w:after="0"/>
              <w:jc w:val="right"/>
              <w:rPr>
                <w:rFonts w:eastAsia="Times New Roman" w:cs="Calibri"/>
                <w:color w:val="000000"/>
                <w:sz w:val="18"/>
                <w:szCs w:val="18"/>
              </w:rPr>
            </w:pPr>
            <w:r w:rsidRPr="00E61612">
              <w:rPr>
                <w:color w:val="000000"/>
                <w:sz w:val="20"/>
                <w:szCs w:val="20"/>
              </w:rPr>
              <w:t xml:space="preserve">      (1,074,110)</w:t>
            </w:r>
          </w:p>
        </w:tc>
      </w:tr>
      <w:tr w:rsidR="00B951B1" w:rsidRPr="00E61612" w:rsidTr="00CB78E6">
        <w:trPr>
          <w:trHeight w:val="20"/>
        </w:trPr>
        <w:tc>
          <w:tcPr>
            <w:tcW w:w="0" w:type="auto"/>
            <w:shd w:val="clear" w:color="auto" w:fill="D9D9D9"/>
          </w:tcPr>
          <w:p w:rsidR="00B951B1" w:rsidRPr="00E61612" w:rsidRDefault="00B951B1" w:rsidP="00CB78E6">
            <w:pPr>
              <w:spacing w:after="0"/>
              <w:jc w:val="center"/>
              <w:rPr>
                <w:rFonts w:eastAsia="Times New Roman" w:cs="Calibri"/>
                <w:b/>
                <w:bCs/>
                <w:color w:val="000000"/>
                <w:sz w:val="18"/>
                <w:szCs w:val="18"/>
              </w:rPr>
            </w:pPr>
            <w:r w:rsidRPr="00E61612">
              <w:rPr>
                <w:b/>
                <w:bCs/>
                <w:color w:val="000000"/>
                <w:sz w:val="20"/>
                <w:szCs w:val="20"/>
              </w:rPr>
              <w:t>A3.1</w:t>
            </w:r>
          </w:p>
        </w:tc>
        <w:tc>
          <w:tcPr>
            <w:tcW w:w="0" w:type="auto"/>
            <w:shd w:val="clear" w:color="auto" w:fill="D9D9D9"/>
          </w:tcPr>
          <w:p w:rsidR="00B951B1" w:rsidRPr="00E61612" w:rsidRDefault="00B951B1" w:rsidP="00CB78E6">
            <w:pPr>
              <w:spacing w:after="0"/>
              <w:rPr>
                <w:rFonts w:eastAsia="Times New Roman" w:cs="Calibri"/>
                <w:sz w:val="18"/>
                <w:szCs w:val="18"/>
              </w:rPr>
            </w:pPr>
            <w:r w:rsidRPr="00E61612">
              <w:rPr>
                <w:sz w:val="20"/>
                <w:szCs w:val="20"/>
              </w:rPr>
              <w:t xml:space="preserve"> Pajisja e shkollave me mjete mësimore për zbatimin e kurrikulës </w:t>
            </w:r>
            <w:r>
              <w:rPr>
                <w:sz w:val="20"/>
                <w:szCs w:val="20"/>
              </w:rPr>
              <w:t>bazuar në</w:t>
            </w:r>
            <w:r w:rsidRPr="00E61612">
              <w:rPr>
                <w:sz w:val="20"/>
                <w:szCs w:val="20"/>
              </w:rPr>
              <w:t xml:space="preserve"> kompetenca</w:t>
            </w:r>
          </w:p>
        </w:tc>
        <w:tc>
          <w:tcPr>
            <w:tcW w:w="0" w:type="auto"/>
            <w:shd w:val="clear" w:color="auto" w:fill="D9D9D9"/>
          </w:tcPr>
          <w:p w:rsidR="00B951B1" w:rsidRPr="00E61612" w:rsidRDefault="00B951B1" w:rsidP="00CB78E6">
            <w:pPr>
              <w:spacing w:after="0"/>
              <w:jc w:val="center"/>
              <w:rPr>
                <w:rFonts w:eastAsia="Times New Roman" w:cs="Calibri"/>
                <w:color w:val="000000"/>
                <w:sz w:val="18"/>
                <w:szCs w:val="18"/>
              </w:rPr>
            </w:pPr>
            <w:r w:rsidRPr="00E61612">
              <w:rPr>
                <w:color w:val="000000"/>
                <w:sz w:val="20"/>
                <w:szCs w:val="20"/>
              </w:rPr>
              <w:t>MASR, ASCAP</w:t>
            </w:r>
          </w:p>
        </w:tc>
        <w:tc>
          <w:tcPr>
            <w:tcW w:w="0" w:type="auto"/>
            <w:shd w:val="clear" w:color="auto" w:fill="D9D9D9"/>
          </w:tcPr>
          <w:p w:rsidR="00B951B1" w:rsidRPr="00E61612" w:rsidRDefault="00B951B1" w:rsidP="00CB78E6">
            <w:pPr>
              <w:spacing w:after="0"/>
              <w:jc w:val="center"/>
              <w:rPr>
                <w:rFonts w:eastAsia="Times New Roman" w:cs="Calibri"/>
                <w:color w:val="000000"/>
                <w:sz w:val="18"/>
                <w:szCs w:val="18"/>
              </w:rPr>
            </w:pPr>
            <w:r w:rsidRPr="00E61612">
              <w:rPr>
                <w:color w:val="000000"/>
                <w:sz w:val="20"/>
                <w:szCs w:val="20"/>
              </w:rPr>
              <w:t>DPAP</w:t>
            </w:r>
          </w:p>
        </w:tc>
        <w:tc>
          <w:tcPr>
            <w:tcW w:w="0" w:type="auto"/>
            <w:shd w:val="clear" w:color="auto" w:fill="D9D9D9"/>
          </w:tcPr>
          <w:p w:rsidR="00B951B1" w:rsidRPr="00E61612" w:rsidRDefault="00B951B1" w:rsidP="00CB78E6">
            <w:pPr>
              <w:spacing w:after="0"/>
              <w:jc w:val="center"/>
              <w:rPr>
                <w:rFonts w:eastAsia="Times New Roman" w:cs="Calibri"/>
                <w:color w:val="000000"/>
                <w:sz w:val="18"/>
                <w:szCs w:val="18"/>
              </w:rPr>
            </w:pPr>
            <w:r w:rsidRPr="00E61612">
              <w:rPr>
                <w:color w:val="000000"/>
                <w:sz w:val="20"/>
                <w:szCs w:val="20"/>
              </w:rPr>
              <w:t>TM2-2021</w:t>
            </w:r>
          </w:p>
        </w:tc>
        <w:tc>
          <w:tcPr>
            <w:tcW w:w="0" w:type="auto"/>
            <w:shd w:val="clear" w:color="auto" w:fill="D9D9D9"/>
          </w:tcPr>
          <w:p w:rsidR="00B951B1" w:rsidRPr="00E61612" w:rsidRDefault="00B951B1" w:rsidP="00CB78E6">
            <w:pPr>
              <w:spacing w:after="0"/>
              <w:jc w:val="center"/>
              <w:rPr>
                <w:rFonts w:eastAsia="Times New Roman" w:cs="Calibri"/>
                <w:color w:val="000000"/>
                <w:sz w:val="18"/>
                <w:szCs w:val="18"/>
              </w:rPr>
            </w:pPr>
            <w:r w:rsidRPr="00E61612">
              <w:rPr>
                <w:color w:val="000000"/>
                <w:sz w:val="20"/>
                <w:szCs w:val="20"/>
              </w:rPr>
              <w:t>TM3-2026</w:t>
            </w:r>
          </w:p>
        </w:tc>
        <w:tc>
          <w:tcPr>
            <w:tcW w:w="0" w:type="auto"/>
            <w:shd w:val="clear" w:color="auto" w:fill="D9D9D9"/>
            <w:noWrap/>
          </w:tcPr>
          <w:p w:rsidR="00B951B1" w:rsidRPr="00E61612" w:rsidRDefault="00B951B1" w:rsidP="00CB78E6">
            <w:pPr>
              <w:spacing w:after="0"/>
              <w:jc w:val="right"/>
              <w:rPr>
                <w:rFonts w:eastAsia="Times New Roman" w:cs="Calibri"/>
                <w:color w:val="000000"/>
                <w:sz w:val="18"/>
                <w:szCs w:val="18"/>
              </w:rPr>
            </w:pPr>
            <w:r w:rsidRPr="00E61612">
              <w:rPr>
                <w:color w:val="000000"/>
                <w:sz w:val="20"/>
                <w:szCs w:val="20"/>
              </w:rPr>
              <w:t xml:space="preserve">                   279,376 </w:t>
            </w:r>
          </w:p>
        </w:tc>
        <w:tc>
          <w:tcPr>
            <w:tcW w:w="0" w:type="auto"/>
            <w:shd w:val="clear" w:color="auto" w:fill="D9D9D9"/>
            <w:noWrap/>
          </w:tcPr>
          <w:p w:rsidR="00B951B1" w:rsidRPr="00E61612" w:rsidRDefault="00B951B1" w:rsidP="00CB78E6">
            <w:pPr>
              <w:spacing w:after="0"/>
              <w:jc w:val="right"/>
              <w:rPr>
                <w:rFonts w:eastAsia="Times New Roman" w:cs="Calibri"/>
                <w:color w:val="000000"/>
                <w:sz w:val="18"/>
                <w:szCs w:val="18"/>
              </w:rPr>
            </w:pPr>
            <w:r w:rsidRPr="00E61612">
              <w:rPr>
                <w:color w:val="000000"/>
                <w:sz w:val="20"/>
                <w:szCs w:val="20"/>
              </w:rPr>
              <w:t xml:space="preserve">          250,000 </w:t>
            </w:r>
          </w:p>
        </w:tc>
        <w:tc>
          <w:tcPr>
            <w:tcW w:w="0" w:type="auto"/>
            <w:shd w:val="clear" w:color="auto" w:fill="D9D9D9"/>
            <w:noWrap/>
          </w:tcPr>
          <w:p w:rsidR="00B951B1" w:rsidRPr="00E61612" w:rsidRDefault="00B951B1" w:rsidP="00CB78E6">
            <w:pPr>
              <w:spacing w:after="0"/>
              <w:jc w:val="right"/>
              <w:rPr>
                <w:rFonts w:eastAsia="Times New Roman" w:cs="Calibri"/>
                <w:color w:val="000000"/>
                <w:sz w:val="18"/>
                <w:szCs w:val="18"/>
              </w:rPr>
            </w:pPr>
            <w:r w:rsidRPr="00E61612">
              <w:rPr>
                <w:color w:val="000000"/>
                <w:sz w:val="20"/>
                <w:szCs w:val="20"/>
              </w:rPr>
              <w:t xml:space="preserve">            5,776 </w:t>
            </w:r>
          </w:p>
        </w:tc>
        <w:tc>
          <w:tcPr>
            <w:tcW w:w="0" w:type="auto"/>
            <w:shd w:val="clear" w:color="auto" w:fill="D9D9D9"/>
            <w:noWrap/>
          </w:tcPr>
          <w:p w:rsidR="00B951B1" w:rsidRPr="00E61612" w:rsidRDefault="00B951B1" w:rsidP="00CB78E6">
            <w:pPr>
              <w:spacing w:after="0"/>
              <w:jc w:val="right"/>
              <w:rPr>
                <w:rFonts w:eastAsia="Times New Roman" w:cs="Calibri"/>
                <w:color w:val="000000"/>
                <w:sz w:val="18"/>
                <w:szCs w:val="18"/>
              </w:rPr>
            </w:pPr>
            <w:r w:rsidRPr="00E61612">
              <w:rPr>
                <w:color w:val="000000"/>
                <w:sz w:val="20"/>
                <w:szCs w:val="20"/>
              </w:rPr>
              <w:t xml:space="preserve">            (23,600)</w:t>
            </w:r>
          </w:p>
        </w:tc>
      </w:tr>
      <w:tr w:rsidR="00B951B1" w:rsidRPr="00E61612" w:rsidTr="00CB78E6">
        <w:trPr>
          <w:trHeight w:val="20"/>
        </w:trPr>
        <w:tc>
          <w:tcPr>
            <w:tcW w:w="0" w:type="auto"/>
            <w:shd w:val="clear" w:color="auto" w:fill="FFFFFF"/>
          </w:tcPr>
          <w:p w:rsidR="00B951B1" w:rsidRPr="00E61612" w:rsidRDefault="00B951B1" w:rsidP="00CB78E6">
            <w:pPr>
              <w:spacing w:after="0"/>
              <w:jc w:val="center"/>
              <w:rPr>
                <w:rFonts w:eastAsia="Times New Roman" w:cs="Calibri"/>
                <w:b/>
                <w:bCs/>
                <w:color w:val="000000"/>
                <w:sz w:val="18"/>
                <w:szCs w:val="18"/>
              </w:rPr>
            </w:pPr>
            <w:r w:rsidRPr="00E61612">
              <w:rPr>
                <w:b/>
                <w:bCs/>
                <w:color w:val="000000"/>
                <w:sz w:val="20"/>
                <w:szCs w:val="20"/>
              </w:rPr>
              <w:t>A3.1.1</w:t>
            </w:r>
          </w:p>
        </w:tc>
        <w:tc>
          <w:tcPr>
            <w:tcW w:w="0" w:type="auto"/>
            <w:shd w:val="clear" w:color="auto" w:fill="FFFFFF"/>
          </w:tcPr>
          <w:p w:rsidR="00B951B1" w:rsidRPr="00E61612" w:rsidRDefault="00B951B1" w:rsidP="00CB78E6">
            <w:pPr>
              <w:spacing w:after="0"/>
              <w:rPr>
                <w:rFonts w:eastAsia="Times New Roman" w:cs="Calibri"/>
                <w:sz w:val="18"/>
                <w:szCs w:val="18"/>
              </w:rPr>
            </w:pPr>
            <w:r w:rsidRPr="00E61612">
              <w:rPr>
                <w:sz w:val="20"/>
                <w:szCs w:val="20"/>
              </w:rPr>
              <w:t>Përcaktimi i përmbajtjes minimale të paketës mësimore</w:t>
            </w:r>
          </w:p>
        </w:tc>
        <w:tc>
          <w:tcPr>
            <w:tcW w:w="0" w:type="auto"/>
            <w:shd w:val="clear" w:color="auto" w:fill="FFFFFF"/>
          </w:tcPr>
          <w:p w:rsidR="00B951B1" w:rsidRPr="00E61612" w:rsidRDefault="00B951B1" w:rsidP="00CB78E6">
            <w:pPr>
              <w:spacing w:after="0"/>
              <w:jc w:val="center"/>
              <w:rPr>
                <w:rFonts w:eastAsia="Times New Roman" w:cs="Calibri"/>
                <w:color w:val="000000"/>
                <w:sz w:val="18"/>
                <w:szCs w:val="18"/>
              </w:rPr>
            </w:pPr>
            <w:r w:rsidRPr="00E61612">
              <w:rPr>
                <w:color w:val="000000"/>
                <w:sz w:val="20"/>
                <w:szCs w:val="20"/>
              </w:rPr>
              <w:t>ASCAP</w:t>
            </w:r>
          </w:p>
        </w:tc>
        <w:tc>
          <w:tcPr>
            <w:tcW w:w="0" w:type="auto"/>
            <w:shd w:val="clear" w:color="auto" w:fill="FFFFFF"/>
          </w:tcPr>
          <w:p w:rsidR="00B951B1" w:rsidRPr="00E61612" w:rsidRDefault="00B951B1" w:rsidP="00CB78E6">
            <w:pPr>
              <w:spacing w:after="0"/>
              <w:jc w:val="center"/>
              <w:rPr>
                <w:rFonts w:eastAsia="Times New Roman" w:cs="Calibri"/>
                <w:color w:val="000000"/>
                <w:sz w:val="18"/>
                <w:szCs w:val="18"/>
              </w:rPr>
            </w:pPr>
            <w:r w:rsidRPr="00E61612">
              <w:rPr>
                <w:color w:val="000000"/>
                <w:sz w:val="20"/>
                <w:szCs w:val="20"/>
              </w:rPr>
              <w:t> </w:t>
            </w:r>
          </w:p>
        </w:tc>
        <w:tc>
          <w:tcPr>
            <w:tcW w:w="0" w:type="auto"/>
            <w:shd w:val="clear" w:color="auto" w:fill="FFFFFF"/>
          </w:tcPr>
          <w:p w:rsidR="00B951B1" w:rsidRPr="00E61612" w:rsidRDefault="00B951B1" w:rsidP="00CB78E6">
            <w:pPr>
              <w:spacing w:after="0"/>
              <w:jc w:val="center"/>
              <w:rPr>
                <w:rFonts w:eastAsia="Times New Roman" w:cs="Calibri"/>
                <w:color w:val="000000"/>
                <w:sz w:val="18"/>
                <w:szCs w:val="18"/>
              </w:rPr>
            </w:pPr>
            <w:r w:rsidRPr="00E61612">
              <w:rPr>
                <w:color w:val="000000"/>
                <w:sz w:val="20"/>
                <w:szCs w:val="20"/>
              </w:rPr>
              <w:t>TM2-2021</w:t>
            </w:r>
          </w:p>
        </w:tc>
        <w:tc>
          <w:tcPr>
            <w:tcW w:w="0" w:type="auto"/>
            <w:shd w:val="clear" w:color="auto" w:fill="FFFFFF"/>
          </w:tcPr>
          <w:p w:rsidR="00B951B1" w:rsidRPr="00E61612" w:rsidRDefault="00B951B1" w:rsidP="00CB78E6">
            <w:pPr>
              <w:spacing w:after="0"/>
              <w:jc w:val="center"/>
              <w:rPr>
                <w:rFonts w:eastAsia="Times New Roman" w:cs="Calibri"/>
                <w:color w:val="000000"/>
                <w:sz w:val="18"/>
                <w:szCs w:val="18"/>
              </w:rPr>
            </w:pPr>
            <w:r w:rsidRPr="00E61612">
              <w:rPr>
                <w:color w:val="000000"/>
                <w:sz w:val="20"/>
                <w:szCs w:val="20"/>
              </w:rPr>
              <w:t>TM3-2021</w:t>
            </w:r>
          </w:p>
        </w:tc>
        <w:tc>
          <w:tcPr>
            <w:tcW w:w="0" w:type="auto"/>
            <w:shd w:val="clear" w:color="auto" w:fill="FFFFFF"/>
            <w:noWrap/>
          </w:tcPr>
          <w:p w:rsidR="00B951B1" w:rsidRPr="00E61612" w:rsidRDefault="00B951B1" w:rsidP="00CB78E6">
            <w:pPr>
              <w:spacing w:after="0"/>
              <w:jc w:val="right"/>
              <w:rPr>
                <w:rFonts w:eastAsia="Times New Roman" w:cs="Calibri"/>
                <w:color w:val="000000"/>
                <w:sz w:val="18"/>
                <w:szCs w:val="18"/>
              </w:rPr>
            </w:pPr>
            <w:r w:rsidRPr="00E61612">
              <w:rPr>
                <w:color w:val="000000"/>
                <w:sz w:val="20"/>
                <w:szCs w:val="20"/>
              </w:rPr>
              <w:t xml:space="preserve">                        2,880 </w:t>
            </w:r>
          </w:p>
        </w:tc>
        <w:tc>
          <w:tcPr>
            <w:tcW w:w="0" w:type="auto"/>
            <w:shd w:val="clear" w:color="auto" w:fill="FFFFFF"/>
            <w:noWrap/>
          </w:tcPr>
          <w:p w:rsidR="00B951B1" w:rsidRPr="00E61612" w:rsidRDefault="00B951B1" w:rsidP="00CB78E6">
            <w:pPr>
              <w:spacing w:after="0"/>
              <w:jc w:val="right"/>
              <w:rPr>
                <w:rFonts w:eastAsia="Times New Roman" w:cs="Calibri"/>
                <w:color w:val="000000"/>
                <w:sz w:val="18"/>
                <w:szCs w:val="18"/>
              </w:rPr>
            </w:pPr>
            <w:r w:rsidRPr="00E61612">
              <w:rPr>
                <w:color w:val="000000"/>
                <w:sz w:val="20"/>
                <w:szCs w:val="20"/>
              </w:rPr>
              <w:t xml:space="preserve">                      -   </w:t>
            </w:r>
          </w:p>
        </w:tc>
        <w:tc>
          <w:tcPr>
            <w:tcW w:w="0" w:type="auto"/>
            <w:shd w:val="clear" w:color="auto" w:fill="FFFFFF"/>
            <w:noWrap/>
          </w:tcPr>
          <w:p w:rsidR="00B951B1" w:rsidRPr="00E61612" w:rsidRDefault="00B951B1" w:rsidP="00CB78E6">
            <w:pPr>
              <w:spacing w:after="0"/>
              <w:jc w:val="right"/>
              <w:rPr>
                <w:rFonts w:eastAsia="Times New Roman" w:cs="Calibri"/>
                <w:color w:val="305496"/>
                <w:sz w:val="18"/>
                <w:szCs w:val="18"/>
              </w:rPr>
            </w:pPr>
            <w:r w:rsidRPr="00E61612">
              <w:rPr>
                <w:color w:val="000000"/>
                <w:sz w:val="20"/>
                <w:szCs w:val="20"/>
              </w:rPr>
              <w:t xml:space="preserve">            2,880 </w:t>
            </w:r>
          </w:p>
        </w:tc>
        <w:tc>
          <w:tcPr>
            <w:tcW w:w="0" w:type="auto"/>
            <w:shd w:val="clear" w:color="auto" w:fill="FFFFFF"/>
            <w:noWrap/>
          </w:tcPr>
          <w:p w:rsidR="00B951B1" w:rsidRPr="00E61612" w:rsidRDefault="00B951B1" w:rsidP="00CB78E6">
            <w:pPr>
              <w:spacing w:after="0"/>
              <w:jc w:val="right"/>
              <w:rPr>
                <w:rFonts w:eastAsia="Times New Roman" w:cs="Calibri"/>
                <w:color w:val="000000"/>
                <w:sz w:val="18"/>
                <w:szCs w:val="18"/>
              </w:rPr>
            </w:pPr>
            <w:r w:rsidRPr="00E61612">
              <w:rPr>
                <w:color w:val="000000"/>
                <w:sz w:val="20"/>
                <w:szCs w:val="20"/>
              </w:rPr>
              <w:t xml:space="preserve">                       -   </w:t>
            </w:r>
          </w:p>
        </w:tc>
      </w:tr>
      <w:tr w:rsidR="00B951B1" w:rsidRPr="00E61612" w:rsidTr="00CB78E6">
        <w:trPr>
          <w:trHeight w:val="20"/>
        </w:trPr>
        <w:tc>
          <w:tcPr>
            <w:tcW w:w="0" w:type="auto"/>
            <w:shd w:val="clear" w:color="auto" w:fill="FFFFFF"/>
          </w:tcPr>
          <w:p w:rsidR="00B951B1" w:rsidRPr="00E61612" w:rsidRDefault="00B951B1" w:rsidP="00CB78E6">
            <w:pPr>
              <w:spacing w:after="0"/>
              <w:jc w:val="center"/>
              <w:rPr>
                <w:rFonts w:eastAsia="Times New Roman" w:cs="Calibri"/>
                <w:b/>
                <w:bCs/>
                <w:color w:val="000000"/>
                <w:sz w:val="18"/>
                <w:szCs w:val="18"/>
              </w:rPr>
            </w:pPr>
            <w:r w:rsidRPr="00E61612">
              <w:rPr>
                <w:b/>
                <w:bCs/>
                <w:color w:val="000000"/>
                <w:sz w:val="20"/>
                <w:szCs w:val="20"/>
              </w:rPr>
              <w:t>A3.1.2</w:t>
            </w:r>
          </w:p>
        </w:tc>
        <w:tc>
          <w:tcPr>
            <w:tcW w:w="0" w:type="auto"/>
            <w:shd w:val="clear" w:color="auto" w:fill="FFFFFF"/>
          </w:tcPr>
          <w:p w:rsidR="00B951B1" w:rsidRPr="00E61612" w:rsidRDefault="00B951B1" w:rsidP="00CB78E6">
            <w:pPr>
              <w:spacing w:after="0"/>
              <w:rPr>
                <w:rFonts w:eastAsia="Times New Roman" w:cs="Calibri"/>
                <w:sz w:val="18"/>
                <w:szCs w:val="18"/>
              </w:rPr>
            </w:pPr>
            <w:r w:rsidRPr="00E61612">
              <w:rPr>
                <w:sz w:val="20"/>
                <w:szCs w:val="20"/>
              </w:rPr>
              <w:t>Shpërndarja e paketave me mjete mësimore në shkolla</w:t>
            </w:r>
          </w:p>
        </w:tc>
        <w:tc>
          <w:tcPr>
            <w:tcW w:w="0" w:type="auto"/>
            <w:shd w:val="clear" w:color="auto" w:fill="FFFFFF"/>
          </w:tcPr>
          <w:p w:rsidR="00B951B1" w:rsidRPr="00E61612" w:rsidRDefault="00B951B1" w:rsidP="00CB78E6">
            <w:pPr>
              <w:spacing w:after="0"/>
              <w:jc w:val="center"/>
              <w:rPr>
                <w:rFonts w:eastAsia="Times New Roman" w:cs="Calibri"/>
                <w:color w:val="000000"/>
                <w:sz w:val="18"/>
                <w:szCs w:val="18"/>
              </w:rPr>
            </w:pPr>
            <w:r w:rsidRPr="00E61612">
              <w:rPr>
                <w:color w:val="000000"/>
                <w:sz w:val="20"/>
                <w:szCs w:val="20"/>
              </w:rPr>
              <w:t>MASR</w:t>
            </w:r>
          </w:p>
        </w:tc>
        <w:tc>
          <w:tcPr>
            <w:tcW w:w="0" w:type="auto"/>
            <w:shd w:val="clear" w:color="auto" w:fill="FFFFFF"/>
          </w:tcPr>
          <w:p w:rsidR="00B951B1" w:rsidRPr="00E61612" w:rsidRDefault="00B951B1" w:rsidP="00CB78E6">
            <w:pPr>
              <w:spacing w:after="0"/>
              <w:jc w:val="center"/>
              <w:rPr>
                <w:rFonts w:eastAsia="Times New Roman" w:cs="Calibri"/>
                <w:color w:val="000000"/>
                <w:sz w:val="18"/>
                <w:szCs w:val="18"/>
              </w:rPr>
            </w:pPr>
            <w:r w:rsidRPr="00E61612">
              <w:rPr>
                <w:color w:val="000000"/>
                <w:sz w:val="20"/>
                <w:szCs w:val="20"/>
              </w:rPr>
              <w:t>DPAP</w:t>
            </w:r>
          </w:p>
        </w:tc>
        <w:tc>
          <w:tcPr>
            <w:tcW w:w="0" w:type="auto"/>
            <w:shd w:val="clear" w:color="auto" w:fill="FFFFFF"/>
          </w:tcPr>
          <w:p w:rsidR="00B951B1" w:rsidRPr="00E61612" w:rsidRDefault="00B951B1" w:rsidP="00CB78E6">
            <w:pPr>
              <w:spacing w:after="0"/>
              <w:jc w:val="center"/>
              <w:rPr>
                <w:rFonts w:eastAsia="Times New Roman" w:cs="Calibri"/>
                <w:color w:val="000000"/>
                <w:sz w:val="18"/>
                <w:szCs w:val="18"/>
              </w:rPr>
            </w:pPr>
            <w:r w:rsidRPr="00E61612">
              <w:rPr>
                <w:color w:val="000000"/>
                <w:sz w:val="20"/>
                <w:szCs w:val="20"/>
              </w:rPr>
              <w:t>TM2-2022</w:t>
            </w:r>
          </w:p>
        </w:tc>
        <w:tc>
          <w:tcPr>
            <w:tcW w:w="0" w:type="auto"/>
            <w:shd w:val="clear" w:color="auto" w:fill="FFFFFF"/>
          </w:tcPr>
          <w:p w:rsidR="00B951B1" w:rsidRPr="00E61612" w:rsidRDefault="00B951B1" w:rsidP="00CB78E6">
            <w:pPr>
              <w:spacing w:after="0"/>
              <w:jc w:val="center"/>
              <w:rPr>
                <w:rFonts w:eastAsia="Times New Roman" w:cs="Calibri"/>
                <w:color w:val="000000"/>
                <w:sz w:val="18"/>
                <w:szCs w:val="18"/>
              </w:rPr>
            </w:pPr>
            <w:r w:rsidRPr="00E61612">
              <w:rPr>
                <w:color w:val="000000"/>
                <w:sz w:val="20"/>
                <w:szCs w:val="20"/>
              </w:rPr>
              <w:t>TM2-2026</w:t>
            </w:r>
          </w:p>
        </w:tc>
        <w:tc>
          <w:tcPr>
            <w:tcW w:w="0" w:type="auto"/>
            <w:shd w:val="clear" w:color="auto" w:fill="FFFFFF"/>
            <w:noWrap/>
          </w:tcPr>
          <w:p w:rsidR="00B951B1" w:rsidRPr="00E61612" w:rsidRDefault="00B951B1" w:rsidP="00CB78E6">
            <w:pPr>
              <w:spacing w:after="0"/>
              <w:jc w:val="right"/>
              <w:rPr>
                <w:rFonts w:eastAsia="Times New Roman" w:cs="Calibri"/>
                <w:color w:val="000000"/>
                <w:sz w:val="18"/>
                <w:szCs w:val="18"/>
              </w:rPr>
            </w:pPr>
            <w:r w:rsidRPr="00E61612">
              <w:rPr>
                <w:color w:val="000000"/>
                <w:sz w:val="20"/>
                <w:szCs w:val="20"/>
              </w:rPr>
              <w:t xml:space="preserve">                   270,000 </w:t>
            </w:r>
          </w:p>
        </w:tc>
        <w:tc>
          <w:tcPr>
            <w:tcW w:w="0" w:type="auto"/>
            <w:shd w:val="clear" w:color="auto" w:fill="FFFFFF"/>
            <w:noWrap/>
          </w:tcPr>
          <w:p w:rsidR="00B951B1" w:rsidRPr="00E61612" w:rsidRDefault="00B951B1" w:rsidP="00CB78E6">
            <w:pPr>
              <w:spacing w:after="0"/>
              <w:jc w:val="right"/>
              <w:rPr>
                <w:rFonts w:eastAsia="Times New Roman" w:cs="Calibri"/>
                <w:color w:val="000000"/>
                <w:sz w:val="18"/>
                <w:szCs w:val="18"/>
              </w:rPr>
            </w:pPr>
            <w:r w:rsidRPr="00E61612">
              <w:rPr>
                <w:color w:val="000000"/>
                <w:sz w:val="20"/>
                <w:szCs w:val="20"/>
              </w:rPr>
              <w:t xml:space="preserve">          250,000 </w:t>
            </w:r>
          </w:p>
        </w:tc>
        <w:tc>
          <w:tcPr>
            <w:tcW w:w="0" w:type="auto"/>
            <w:shd w:val="clear" w:color="auto" w:fill="FFFFFF"/>
            <w:noWrap/>
          </w:tcPr>
          <w:p w:rsidR="00B951B1" w:rsidRPr="00E61612" w:rsidRDefault="00B951B1" w:rsidP="00CB78E6">
            <w:pPr>
              <w:spacing w:after="0"/>
              <w:jc w:val="right"/>
              <w:rPr>
                <w:rFonts w:eastAsia="Times New Roman" w:cs="Calibri"/>
                <w:color w:val="000000"/>
                <w:sz w:val="18"/>
                <w:szCs w:val="18"/>
              </w:rPr>
            </w:pPr>
            <w:r w:rsidRPr="00E61612">
              <w:rPr>
                <w:color w:val="000000"/>
                <w:sz w:val="20"/>
                <w:szCs w:val="20"/>
              </w:rPr>
              <w:t xml:space="preserve">                   -   </w:t>
            </w:r>
          </w:p>
        </w:tc>
        <w:tc>
          <w:tcPr>
            <w:tcW w:w="0" w:type="auto"/>
            <w:shd w:val="clear" w:color="auto" w:fill="FFFFFF"/>
            <w:noWrap/>
          </w:tcPr>
          <w:p w:rsidR="00B951B1" w:rsidRPr="00E61612" w:rsidRDefault="00B951B1" w:rsidP="00CB78E6">
            <w:pPr>
              <w:spacing w:after="0"/>
              <w:jc w:val="right"/>
              <w:rPr>
                <w:rFonts w:eastAsia="Times New Roman" w:cs="Calibri"/>
                <w:color w:val="000000"/>
                <w:sz w:val="18"/>
                <w:szCs w:val="18"/>
              </w:rPr>
            </w:pPr>
            <w:r w:rsidRPr="00E61612">
              <w:rPr>
                <w:color w:val="000000"/>
                <w:sz w:val="20"/>
                <w:szCs w:val="20"/>
              </w:rPr>
              <w:t xml:space="preserve">            (20,000)</w:t>
            </w:r>
          </w:p>
        </w:tc>
      </w:tr>
      <w:tr w:rsidR="00B951B1" w:rsidRPr="00E61612" w:rsidTr="00CB78E6">
        <w:trPr>
          <w:trHeight w:val="20"/>
        </w:trPr>
        <w:tc>
          <w:tcPr>
            <w:tcW w:w="0" w:type="auto"/>
            <w:tcBorders>
              <w:bottom w:val="single" w:sz="4" w:space="0" w:color="auto"/>
            </w:tcBorders>
            <w:shd w:val="clear" w:color="auto" w:fill="FFFFFF"/>
          </w:tcPr>
          <w:p w:rsidR="00B951B1" w:rsidRPr="00E61612" w:rsidRDefault="00B951B1" w:rsidP="00CB78E6">
            <w:pPr>
              <w:spacing w:after="0"/>
              <w:jc w:val="center"/>
              <w:rPr>
                <w:rFonts w:eastAsia="Times New Roman" w:cs="Calibri"/>
                <w:b/>
                <w:bCs/>
                <w:color w:val="000000"/>
                <w:sz w:val="18"/>
                <w:szCs w:val="18"/>
              </w:rPr>
            </w:pPr>
            <w:r w:rsidRPr="00E61612">
              <w:rPr>
                <w:b/>
                <w:bCs/>
                <w:color w:val="000000"/>
                <w:sz w:val="20"/>
                <w:szCs w:val="20"/>
              </w:rPr>
              <w:t>A3.1.3</w:t>
            </w:r>
          </w:p>
        </w:tc>
        <w:tc>
          <w:tcPr>
            <w:tcW w:w="0" w:type="auto"/>
            <w:tcBorders>
              <w:bottom w:val="single" w:sz="4" w:space="0" w:color="auto"/>
            </w:tcBorders>
            <w:shd w:val="clear" w:color="auto" w:fill="FFFFFF"/>
          </w:tcPr>
          <w:p w:rsidR="00B951B1" w:rsidRPr="00E61612" w:rsidRDefault="00B951B1" w:rsidP="00CB78E6">
            <w:pPr>
              <w:spacing w:after="0"/>
              <w:rPr>
                <w:rFonts w:eastAsia="Times New Roman" w:cs="Calibri"/>
                <w:sz w:val="18"/>
                <w:szCs w:val="18"/>
              </w:rPr>
            </w:pPr>
            <w:r w:rsidRPr="00E61612">
              <w:rPr>
                <w:sz w:val="20"/>
                <w:szCs w:val="20"/>
              </w:rPr>
              <w:t>Mbështetja dhe këshillimi i mësuesve për përdorimin e paketave mësimore</w:t>
            </w:r>
          </w:p>
        </w:tc>
        <w:tc>
          <w:tcPr>
            <w:tcW w:w="0" w:type="auto"/>
            <w:tcBorders>
              <w:bottom w:val="single" w:sz="4" w:space="0" w:color="auto"/>
            </w:tcBorders>
            <w:shd w:val="clear" w:color="auto" w:fill="FFFFFF"/>
          </w:tcPr>
          <w:p w:rsidR="00B951B1" w:rsidRPr="00E61612" w:rsidRDefault="00B951B1" w:rsidP="00CB78E6">
            <w:pPr>
              <w:spacing w:after="0"/>
              <w:jc w:val="center"/>
              <w:rPr>
                <w:rFonts w:eastAsia="Times New Roman" w:cs="Calibri"/>
                <w:color w:val="000000"/>
                <w:sz w:val="18"/>
                <w:szCs w:val="18"/>
              </w:rPr>
            </w:pPr>
            <w:r w:rsidRPr="00E61612">
              <w:rPr>
                <w:color w:val="000000"/>
                <w:sz w:val="20"/>
                <w:szCs w:val="20"/>
              </w:rPr>
              <w:t>ASCAP</w:t>
            </w:r>
          </w:p>
        </w:tc>
        <w:tc>
          <w:tcPr>
            <w:tcW w:w="0" w:type="auto"/>
            <w:tcBorders>
              <w:bottom w:val="single" w:sz="4" w:space="0" w:color="auto"/>
            </w:tcBorders>
            <w:shd w:val="clear" w:color="auto" w:fill="FFFFFF"/>
          </w:tcPr>
          <w:p w:rsidR="00B951B1" w:rsidRPr="00E61612" w:rsidRDefault="00B951B1" w:rsidP="00CB78E6">
            <w:pPr>
              <w:spacing w:after="0"/>
              <w:jc w:val="center"/>
              <w:rPr>
                <w:rFonts w:eastAsia="Times New Roman" w:cs="Calibri"/>
                <w:color w:val="000000"/>
                <w:sz w:val="18"/>
                <w:szCs w:val="18"/>
              </w:rPr>
            </w:pPr>
            <w:r w:rsidRPr="00E61612">
              <w:rPr>
                <w:color w:val="000000"/>
                <w:sz w:val="20"/>
                <w:szCs w:val="20"/>
              </w:rPr>
              <w:t>DPAP</w:t>
            </w:r>
          </w:p>
        </w:tc>
        <w:tc>
          <w:tcPr>
            <w:tcW w:w="0" w:type="auto"/>
            <w:tcBorders>
              <w:bottom w:val="single" w:sz="4" w:space="0" w:color="auto"/>
            </w:tcBorders>
            <w:shd w:val="clear" w:color="auto" w:fill="FFFFFF"/>
          </w:tcPr>
          <w:p w:rsidR="00B951B1" w:rsidRPr="00E61612" w:rsidRDefault="00B951B1" w:rsidP="00CB78E6">
            <w:pPr>
              <w:spacing w:after="0"/>
              <w:jc w:val="center"/>
              <w:rPr>
                <w:rFonts w:eastAsia="Times New Roman" w:cs="Calibri"/>
                <w:color w:val="000000"/>
                <w:sz w:val="18"/>
                <w:szCs w:val="18"/>
              </w:rPr>
            </w:pPr>
            <w:r w:rsidRPr="00E61612">
              <w:rPr>
                <w:color w:val="000000"/>
                <w:sz w:val="20"/>
                <w:szCs w:val="20"/>
              </w:rPr>
              <w:t>TM1-2022</w:t>
            </w:r>
          </w:p>
        </w:tc>
        <w:tc>
          <w:tcPr>
            <w:tcW w:w="0" w:type="auto"/>
            <w:tcBorders>
              <w:bottom w:val="single" w:sz="4" w:space="0" w:color="auto"/>
            </w:tcBorders>
            <w:shd w:val="clear" w:color="auto" w:fill="FFFFFF"/>
          </w:tcPr>
          <w:p w:rsidR="00B951B1" w:rsidRPr="00E61612" w:rsidRDefault="00B951B1" w:rsidP="00CB78E6">
            <w:pPr>
              <w:spacing w:after="0"/>
              <w:jc w:val="center"/>
              <w:rPr>
                <w:rFonts w:eastAsia="Times New Roman" w:cs="Calibri"/>
                <w:color w:val="000000"/>
                <w:sz w:val="18"/>
                <w:szCs w:val="18"/>
              </w:rPr>
            </w:pPr>
            <w:r w:rsidRPr="00E61612">
              <w:rPr>
                <w:color w:val="000000"/>
                <w:sz w:val="20"/>
                <w:szCs w:val="20"/>
              </w:rPr>
              <w:t>TM3-2026</w:t>
            </w:r>
          </w:p>
        </w:tc>
        <w:tc>
          <w:tcPr>
            <w:tcW w:w="0" w:type="auto"/>
            <w:tcBorders>
              <w:bottom w:val="single" w:sz="4" w:space="0" w:color="auto"/>
            </w:tcBorders>
            <w:shd w:val="clear" w:color="auto" w:fill="FFFFFF"/>
            <w:noWrap/>
          </w:tcPr>
          <w:p w:rsidR="00B951B1" w:rsidRPr="00E61612" w:rsidRDefault="00B951B1" w:rsidP="00CB78E6">
            <w:pPr>
              <w:spacing w:after="0"/>
              <w:jc w:val="right"/>
              <w:rPr>
                <w:rFonts w:eastAsia="Times New Roman" w:cs="Calibri"/>
                <w:color w:val="000000"/>
                <w:sz w:val="18"/>
                <w:szCs w:val="18"/>
              </w:rPr>
            </w:pPr>
            <w:r w:rsidRPr="00E61612">
              <w:rPr>
                <w:color w:val="000000"/>
                <w:sz w:val="20"/>
                <w:szCs w:val="20"/>
              </w:rPr>
              <w:t xml:space="preserve">                        6,496 </w:t>
            </w:r>
          </w:p>
        </w:tc>
        <w:tc>
          <w:tcPr>
            <w:tcW w:w="0" w:type="auto"/>
            <w:tcBorders>
              <w:bottom w:val="single" w:sz="4" w:space="0" w:color="auto"/>
            </w:tcBorders>
            <w:shd w:val="clear" w:color="auto" w:fill="FFFFFF"/>
            <w:noWrap/>
          </w:tcPr>
          <w:p w:rsidR="00B951B1" w:rsidRPr="00E61612" w:rsidRDefault="00B951B1" w:rsidP="00CB78E6">
            <w:pPr>
              <w:spacing w:after="0"/>
              <w:jc w:val="right"/>
              <w:rPr>
                <w:rFonts w:eastAsia="Times New Roman" w:cs="Calibri"/>
                <w:color w:val="000000"/>
                <w:sz w:val="18"/>
                <w:szCs w:val="18"/>
              </w:rPr>
            </w:pPr>
            <w:r w:rsidRPr="00E61612">
              <w:rPr>
                <w:color w:val="000000"/>
                <w:sz w:val="20"/>
                <w:szCs w:val="20"/>
              </w:rPr>
              <w:t xml:space="preserve">                      -   </w:t>
            </w:r>
          </w:p>
        </w:tc>
        <w:tc>
          <w:tcPr>
            <w:tcW w:w="0" w:type="auto"/>
            <w:tcBorders>
              <w:bottom w:val="single" w:sz="4" w:space="0" w:color="auto"/>
            </w:tcBorders>
            <w:shd w:val="clear" w:color="auto" w:fill="FFFFFF"/>
            <w:noWrap/>
          </w:tcPr>
          <w:p w:rsidR="00B951B1" w:rsidRPr="00E61612" w:rsidRDefault="00B951B1" w:rsidP="00CB78E6">
            <w:pPr>
              <w:spacing w:after="0"/>
              <w:jc w:val="right"/>
              <w:rPr>
                <w:rFonts w:eastAsia="Times New Roman" w:cs="Calibri"/>
                <w:color w:val="000000"/>
                <w:sz w:val="18"/>
                <w:szCs w:val="18"/>
              </w:rPr>
            </w:pPr>
            <w:r w:rsidRPr="00E61612">
              <w:rPr>
                <w:color w:val="305496"/>
                <w:sz w:val="20"/>
                <w:szCs w:val="20"/>
              </w:rPr>
              <w:t xml:space="preserve">            2,896 </w:t>
            </w:r>
          </w:p>
        </w:tc>
        <w:tc>
          <w:tcPr>
            <w:tcW w:w="0" w:type="auto"/>
            <w:tcBorders>
              <w:bottom w:val="single" w:sz="4" w:space="0" w:color="auto"/>
            </w:tcBorders>
            <w:shd w:val="clear" w:color="auto" w:fill="FFFFFF"/>
            <w:noWrap/>
          </w:tcPr>
          <w:p w:rsidR="00B951B1" w:rsidRPr="00E61612" w:rsidRDefault="00B951B1" w:rsidP="00CB78E6">
            <w:pPr>
              <w:spacing w:after="0"/>
              <w:jc w:val="right"/>
              <w:rPr>
                <w:rFonts w:eastAsia="Times New Roman" w:cs="Calibri"/>
                <w:color w:val="000000"/>
                <w:sz w:val="18"/>
                <w:szCs w:val="18"/>
              </w:rPr>
            </w:pPr>
            <w:r w:rsidRPr="00E61612">
              <w:rPr>
                <w:color w:val="000000"/>
                <w:sz w:val="20"/>
                <w:szCs w:val="20"/>
              </w:rPr>
              <w:t xml:space="preserve">              (3,600)</w:t>
            </w:r>
          </w:p>
        </w:tc>
      </w:tr>
      <w:tr w:rsidR="00B951B1" w:rsidRPr="00E61612" w:rsidTr="00CB78E6">
        <w:trPr>
          <w:trHeight w:val="20"/>
        </w:trPr>
        <w:tc>
          <w:tcPr>
            <w:tcW w:w="0" w:type="auto"/>
            <w:shd w:val="clear" w:color="auto" w:fill="D9D9D9"/>
          </w:tcPr>
          <w:p w:rsidR="00B951B1" w:rsidRPr="00E61612" w:rsidRDefault="00B951B1" w:rsidP="00CB78E6">
            <w:pPr>
              <w:spacing w:after="0"/>
              <w:jc w:val="center"/>
              <w:rPr>
                <w:rFonts w:eastAsia="Times New Roman" w:cs="Calibri"/>
                <w:b/>
                <w:bCs/>
                <w:color w:val="000000"/>
                <w:sz w:val="18"/>
                <w:szCs w:val="18"/>
              </w:rPr>
            </w:pPr>
            <w:r w:rsidRPr="00E61612">
              <w:rPr>
                <w:b/>
                <w:bCs/>
                <w:color w:val="000000"/>
                <w:sz w:val="20"/>
                <w:szCs w:val="20"/>
              </w:rPr>
              <w:lastRenderedPageBreak/>
              <w:t>A3.2</w:t>
            </w:r>
          </w:p>
        </w:tc>
        <w:tc>
          <w:tcPr>
            <w:tcW w:w="0" w:type="auto"/>
            <w:shd w:val="clear" w:color="auto" w:fill="D9D9D9"/>
          </w:tcPr>
          <w:p w:rsidR="00B951B1" w:rsidRPr="00E61612" w:rsidRDefault="00B951B1" w:rsidP="00CB78E6">
            <w:pPr>
              <w:spacing w:after="0"/>
              <w:rPr>
                <w:rFonts w:eastAsia="Times New Roman" w:cs="Calibri"/>
                <w:sz w:val="18"/>
                <w:szCs w:val="18"/>
              </w:rPr>
            </w:pPr>
            <w:r w:rsidRPr="00E61612">
              <w:rPr>
                <w:sz w:val="20"/>
                <w:szCs w:val="20"/>
              </w:rPr>
              <w:t xml:space="preserve"> Mbështetje e shtuar për mësuesit për zbatimin e kurrikulës së re dhe përmirësimin e praktikave të vlerësimit</w:t>
            </w:r>
          </w:p>
        </w:tc>
        <w:tc>
          <w:tcPr>
            <w:tcW w:w="0" w:type="auto"/>
            <w:shd w:val="clear" w:color="auto" w:fill="D9D9D9"/>
          </w:tcPr>
          <w:p w:rsidR="00B951B1" w:rsidRPr="00E61612" w:rsidRDefault="00B951B1" w:rsidP="00CB78E6">
            <w:pPr>
              <w:spacing w:after="0"/>
              <w:jc w:val="center"/>
              <w:rPr>
                <w:rFonts w:eastAsia="Times New Roman" w:cs="Calibri"/>
                <w:color w:val="000000"/>
                <w:sz w:val="18"/>
                <w:szCs w:val="18"/>
              </w:rPr>
            </w:pPr>
            <w:r w:rsidRPr="00E61612">
              <w:rPr>
                <w:color w:val="000000"/>
                <w:sz w:val="20"/>
                <w:szCs w:val="20"/>
              </w:rPr>
              <w:t>ASCAP, DPAP</w:t>
            </w:r>
          </w:p>
        </w:tc>
        <w:tc>
          <w:tcPr>
            <w:tcW w:w="0" w:type="auto"/>
            <w:shd w:val="clear" w:color="auto" w:fill="D9D9D9"/>
          </w:tcPr>
          <w:p w:rsidR="00B951B1" w:rsidRPr="00E61612" w:rsidRDefault="00B951B1" w:rsidP="00CB78E6">
            <w:pPr>
              <w:spacing w:after="0"/>
              <w:jc w:val="center"/>
              <w:rPr>
                <w:rFonts w:eastAsia="Times New Roman" w:cs="Calibri"/>
                <w:color w:val="000000"/>
                <w:sz w:val="18"/>
                <w:szCs w:val="18"/>
              </w:rPr>
            </w:pPr>
            <w:r w:rsidRPr="00E61612">
              <w:rPr>
                <w:color w:val="000000"/>
                <w:sz w:val="20"/>
                <w:szCs w:val="20"/>
              </w:rPr>
              <w:t>ASCAP, DPAP</w:t>
            </w:r>
          </w:p>
        </w:tc>
        <w:tc>
          <w:tcPr>
            <w:tcW w:w="0" w:type="auto"/>
            <w:shd w:val="clear" w:color="auto" w:fill="D9D9D9"/>
          </w:tcPr>
          <w:p w:rsidR="00B951B1" w:rsidRPr="00E61612" w:rsidRDefault="00B951B1" w:rsidP="00CB78E6">
            <w:pPr>
              <w:spacing w:after="0"/>
              <w:jc w:val="center"/>
              <w:rPr>
                <w:rFonts w:eastAsia="Times New Roman" w:cs="Calibri"/>
                <w:color w:val="000000"/>
                <w:sz w:val="18"/>
                <w:szCs w:val="18"/>
              </w:rPr>
            </w:pPr>
            <w:r w:rsidRPr="00E61612">
              <w:rPr>
                <w:color w:val="000000"/>
                <w:sz w:val="20"/>
                <w:szCs w:val="20"/>
              </w:rPr>
              <w:t>TM3-2021</w:t>
            </w:r>
          </w:p>
        </w:tc>
        <w:tc>
          <w:tcPr>
            <w:tcW w:w="0" w:type="auto"/>
            <w:shd w:val="clear" w:color="auto" w:fill="D9D9D9"/>
          </w:tcPr>
          <w:p w:rsidR="00B951B1" w:rsidRPr="00E61612" w:rsidRDefault="00B951B1" w:rsidP="00CB78E6">
            <w:pPr>
              <w:spacing w:after="0"/>
              <w:jc w:val="center"/>
              <w:rPr>
                <w:rFonts w:eastAsia="Times New Roman" w:cs="Calibri"/>
                <w:color w:val="000000"/>
                <w:sz w:val="18"/>
                <w:szCs w:val="18"/>
              </w:rPr>
            </w:pPr>
            <w:r w:rsidRPr="00E61612">
              <w:rPr>
                <w:color w:val="000000"/>
                <w:sz w:val="20"/>
                <w:szCs w:val="20"/>
              </w:rPr>
              <w:t>TM4-2026</w:t>
            </w:r>
          </w:p>
        </w:tc>
        <w:tc>
          <w:tcPr>
            <w:tcW w:w="0" w:type="auto"/>
            <w:shd w:val="clear" w:color="auto" w:fill="D9D9D9"/>
            <w:noWrap/>
          </w:tcPr>
          <w:p w:rsidR="00B951B1" w:rsidRPr="00E61612" w:rsidRDefault="00B951B1" w:rsidP="00CB78E6">
            <w:pPr>
              <w:spacing w:after="0"/>
              <w:jc w:val="right"/>
              <w:rPr>
                <w:rFonts w:eastAsia="Times New Roman" w:cs="Calibri"/>
                <w:color w:val="000000"/>
                <w:sz w:val="18"/>
                <w:szCs w:val="18"/>
              </w:rPr>
            </w:pPr>
            <w:r w:rsidRPr="00E61612">
              <w:rPr>
                <w:color w:val="000000"/>
                <w:sz w:val="20"/>
                <w:szCs w:val="20"/>
              </w:rPr>
              <w:t xml:space="preserve">                        4,410 </w:t>
            </w:r>
          </w:p>
        </w:tc>
        <w:tc>
          <w:tcPr>
            <w:tcW w:w="0" w:type="auto"/>
            <w:shd w:val="clear" w:color="auto" w:fill="D9D9D9"/>
            <w:noWrap/>
          </w:tcPr>
          <w:p w:rsidR="00B951B1" w:rsidRPr="00E61612" w:rsidRDefault="00B951B1" w:rsidP="00CB78E6">
            <w:pPr>
              <w:spacing w:after="0"/>
              <w:jc w:val="right"/>
              <w:rPr>
                <w:rFonts w:eastAsia="Times New Roman" w:cs="Calibri"/>
                <w:color w:val="000000"/>
                <w:sz w:val="18"/>
                <w:szCs w:val="18"/>
              </w:rPr>
            </w:pPr>
            <w:r w:rsidRPr="00E61612">
              <w:rPr>
                <w:color w:val="000000"/>
                <w:sz w:val="20"/>
                <w:szCs w:val="20"/>
              </w:rPr>
              <w:t xml:space="preserve">                      -   </w:t>
            </w:r>
          </w:p>
        </w:tc>
        <w:tc>
          <w:tcPr>
            <w:tcW w:w="0" w:type="auto"/>
            <w:shd w:val="clear" w:color="auto" w:fill="D9D9D9"/>
            <w:noWrap/>
          </w:tcPr>
          <w:p w:rsidR="00B951B1" w:rsidRPr="00E61612" w:rsidRDefault="00B951B1" w:rsidP="00CB78E6">
            <w:pPr>
              <w:spacing w:after="0"/>
              <w:jc w:val="right"/>
              <w:rPr>
                <w:rFonts w:eastAsia="Times New Roman" w:cs="Calibri"/>
                <w:color w:val="000000"/>
                <w:sz w:val="18"/>
                <w:szCs w:val="18"/>
              </w:rPr>
            </w:pPr>
            <w:r w:rsidRPr="00E61612">
              <w:rPr>
                <w:color w:val="000000"/>
                <w:sz w:val="20"/>
                <w:szCs w:val="20"/>
              </w:rPr>
              <w:t xml:space="preserve">                   -   </w:t>
            </w:r>
          </w:p>
        </w:tc>
        <w:tc>
          <w:tcPr>
            <w:tcW w:w="0" w:type="auto"/>
            <w:shd w:val="clear" w:color="auto" w:fill="D9D9D9"/>
            <w:noWrap/>
          </w:tcPr>
          <w:p w:rsidR="00B951B1" w:rsidRPr="00E61612" w:rsidRDefault="00B951B1" w:rsidP="00CB78E6">
            <w:pPr>
              <w:spacing w:after="0"/>
              <w:jc w:val="right"/>
              <w:rPr>
                <w:rFonts w:eastAsia="Times New Roman" w:cs="Calibri"/>
                <w:color w:val="000000"/>
                <w:sz w:val="18"/>
                <w:szCs w:val="18"/>
              </w:rPr>
            </w:pPr>
            <w:r w:rsidRPr="00E61612">
              <w:rPr>
                <w:color w:val="000000"/>
                <w:sz w:val="20"/>
                <w:szCs w:val="20"/>
              </w:rPr>
              <w:t xml:space="preserve">              (4,410)</w:t>
            </w:r>
          </w:p>
        </w:tc>
      </w:tr>
      <w:tr w:rsidR="00B951B1" w:rsidRPr="00E61612" w:rsidTr="00CB78E6">
        <w:trPr>
          <w:trHeight w:val="20"/>
        </w:trPr>
        <w:tc>
          <w:tcPr>
            <w:tcW w:w="0" w:type="auto"/>
            <w:shd w:val="clear" w:color="auto" w:fill="FFFFFF"/>
          </w:tcPr>
          <w:p w:rsidR="00B951B1" w:rsidRPr="00E61612" w:rsidRDefault="00B951B1" w:rsidP="00CB78E6">
            <w:pPr>
              <w:spacing w:after="0"/>
              <w:jc w:val="center"/>
              <w:rPr>
                <w:rFonts w:eastAsia="Times New Roman" w:cs="Calibri"/>
                <w:b/>
                <w:bCs/>
                <w:color w:val="000000"/>
                <w:sz w:val="18"/>
                <w:szCs w:val="18"/>
              </w:rPr>
            </w:pPr>
            <w:r w:rsidRPr="00E61612">
              <w:rPr>
                <w:b/>
                <w:bCs/>
                <w:color w:val="000000"/>
                <w:sz w:val="20"/>
                <w:szCs w:val="20"/>
              </w:rPr>
              <w:t>A3.2.1</w:t>
            </w:r>
          </w:p>
        </w:tc>
        <w:tc>
          <w:tcPr>
            <w:tcW w:w="0" w:type="auto"/>
            <w:shd w:val="clear" w:color="auto" w:fill="FFFFFF"/>
          </w:tcPr>
          <w:p w:rsidR="00B951B1" w:rsidRPr="00E61612" w:rsidRDefault="00B951B1" w:rsidP="00CB78E6">
            <w:pPr>
              <w:spacing w:after="0"/>
              <w:rPr>
                <w:rFonts w:eastAsia="Times New Roman" w:cs="Calibri"/>
                <w:sz w:val="18"/>
                <w:szCs w:val="18"/>
              </w:rPr>
            </w:pPr>
            <w:r w:rsidRPr="00E61612">
              <w:rPr>
                <w:sz w:val="20"/>
                <w:szCs w:val="20"/>
              </w:rPr>
              <w:t xml:space="preserve">Përmirësimi/Hartimi i udhëzuesve për monitorimin e zbatimit të kurrikulës në nivel institucioni arsimor, si dhe në nivel </w:t>
            </w:r>
            <w:r>
              <w:rPr>
                <w:sz w:val="20"/>
                <w:szCs w:val="20"/>
              </w:rPr>
              <w:t>vendor</w:t>
            </w:r>
            <w:r w:rsidRPr="00E61612">
              <w:rPr>
                <w:sz w:val="20"/>
                <w:szCs w:val="20"/>
              </w:rPr>
              <w:t xml:space="preserve"> dhe qendror</w:t>
            </w:r>
          </w:p>
        </w:tc>
        <w:tc>
          <w:tcPr>
            <w:tcW w:w="0" w:type="auto"/>
            <w:shd w:val="clear" w:color="auto" w:fill="FFFFFF"/>
          </w:tcPr>
          <w:p w:rsidR="00B951B1" w:rsidRPr="00E61612" w:rsidRDefault="00B951B1" w:rsidP="00CB78E6">
            <w:pPr>
              <w:spacing w:after="0"/>
              <w:jc w:val="center"/>
              <w:rPr>
                <w:rFonts w:eastAsia="Times New Roman" w:cs="Calibri"/>
                <w:color w:val="000000"/>
                <w:sz w:val="18"/>
                <w:szCs w:val="18"/>
              </w:rPr>
            </w:pPr>
            <w:r w:rsidRPr="00E61612">
              <w:rPr>
                <w:color w:val="000000"/>
                <w:sz w:val="20"/>
                <w:szCs w:val="20"/>
              </w:rPr>
              <w:t>ASCAP</w:t>
            </w:r>
          </w:p>
        </w:tc>
        <w:tc>
          <w:tcPr>
            <w:tcW w:w="0" w:type="auto"/>
            <w:shd w:val="clear" w:color="auto" w:fill="FFFFFF"/>
          </w:tcPr>
          <w:p w:rsidR="00B951B1" w:rsidRPr="00E61612" w:rsidRDefault="00B951B1" w:rsidP="00CB78E6">
            <w:pPr>
              <w:spacing w:after="0"/>
              <w:jc w:val="center"/>
              <w:rPr>
                <w:rFonts w:eastAsia="Times New Roman" w:cs="Calibri"/>
                <w:color w:val="000000"/>
                <w:sz w:val="18"/>
                <w:szCs w:val="18"/>
              </w:rPr>
            </w:pPr>
            <w:r w:rsidRPr="00E61612">
              <w:rPr>
                <w:color w:val="000000"/>
                <w:sz w:val="20"/>
                <w:szCs w:val="20"/>
              </w:rPr>
              <w:t> </w:t>
            </w:r>
          </w:p>
        </w:tc>
        <w:tc>
          <w:tcPr>
            <w:tcW w:w="0" w:type="auto"/>
            <w:shd w:val="clear" w:color="auto" w:fill="FFFFFF"/>
          </w:tcPr>
          <w:p w:rsidR="00B951B1" w:rsidRPr="00E61612" w:rsidRDefault="00B951B1" w:rsidP="00CB78E6">
            <w:pPr>
              <w:spacing w:after="0"/>
              <w:jc w:val="center"/>
              <w:rPr>
                <w:rFonts w:eastAsia="Times New Roman" w:cs="Calibri"/>
                <w:color w:val="000000"/>
                <w:sz w:val="18"/>
                <w:szCs w:val="18"/>
              </w:rPr>
            </w:pPr>
            <w:r w:rsidRPr="00E61612">
              <w:rPr>
                <w:color w:val="000000"/>
                <w:sz w:val="20"/>
                <w:szCs w:val="20"/>
              </w:rPr>
              <w:t>TM1-2022</w:t>
            </w:r>
          </w:p>
        </w:tc>
        <w:tc>
          <w:tcPr>
            <w:tcW w:w="0" w:type="auto"/>
            <w:shd w:val="clear" w:color="auto" w:fill="FFFFFF"/>
          </w:tcPr>
          <w:p w:rsidR="00B951B1" w:rsidRPr="00E61612" w:rsidRDefault="00B951B1" w:rsidP="00CB78E6">
            <w:pPr>
              <w:spacing w:after="0"/>
              <w:jc w:val="center"/>
              <w:rPr>
                <w:rFonts w:eastAsia="Times New Roman" w:cs="Calibri"/>
                <w:color w:val="000000"/>
                <w:sz w:val="18"/>
                <w:szCs w:val="18"/>
              </w:rPr>
            </w:pPr>
            <w:r w:rsidRPr="00E61612">
              <w:rPr>
                <w:color w:val="000000"/>
                <w:sz w:val="20"/>
                <w:szCs w:val="20"/>
              </w:rPr>
              <w:t>TM2-2022</w:t>
            </w:r>
          </w:p>
        </w:tc>
        <w:tc>
          <w:tcPr>
            <w:tcW w:w="0" w:type="auto"/>
            <w:shd w:val="clear" w:color="auto" w:fill="FFFFFF"/>
            <w:noWrap/>
          </w:tcPr>
          <w:p w:rsidR="00B951B1" w:rsidRPr="00E61612" w:rsidRDefault="00B951B1" w:rsidP="00CB78E6">
            <w:pPr>
              <w:spacing w:after="0"/>
              <w:jc w:val="right"/>
              <w:rPr>
                <w:rFonts w:eastAsia="Times New Roman" w:cs="Calibri"/>
                <w:color w:val="000000"/>
                <w:sz w:val="18"/>
                <w:szCs w:val="18"/>
              </w:rPr>
            </w:pPr>
            <w:r w:rsidRPr="00E61612">
              <w:rPr>
                <w:color w:val="000000"/>
                <w:sz w:val="20"/>
                <w:szCs w:val="20"/>
              </w:rPr>
              <w:t xml:space="preserve">                        3,030 </w:t>
            </w:r>
          </w:p>
        </w:tc>
        <w:tc>
          <w:tcPr>
            <w:tcW w:w="0" w:type="auto"/>
            <w:shd w:val="clear" w:color="auto" w:fill="FFFFFF"/>
            <w:noWrap/>
          </w:tcPr>
          <w:p w:rsidR="00B951B1" w:rsidRPr="00E61612" w:rsidRDefault="00B951B1" w:rsidP="00CB78E6">
            <w:pPr>
              <w:spacing w:after="0"/>
              <w:jc w:val="right"/>
              <w:rPr>
                <w:rFonts w:eastAsia="Times New Roman" w:cs="Calibri"/>
                <w:color w:val="000000"/>
                <w:sz w:val="18"/>
                <w:szCs w:val="18"/>
              </w:rPr>
            </w:pPr>
            <w:r w:rsidRPr="00E61612">
              <w:rPr>
                <w:color w:val="000000"/>
                <w:sz w:val="20"/>
                <w:szCs w:val="20"/>
              </w:rPr>
              <w:t xml:space="preserve">                      -   </w:t>
            </w:r>
          </w:p>
        </w:tc>
        <w:tc>
          <w:tcPr>
            <w:tcW w:w="0" w:type="auto"/>
            <w:shd w:val="clear" w:color="auto" w:fill="FFFFFF"/>
            <w:noWrap/>
          </w:tcPr>
          <w:p w:rsidR="00B951B1" w:rsidRPr="00E61612" w:rsidRDefault="00B951B1" w:rsidP="00CB78E6">
            <w:pPr>
              <w:spacing w:after="0"/>
              <w:jc w:val="right"/>
              <w:rPr>
                <w:rFonts w:eastAsia="Times New Roman" w:cs="Calibri"/>
                <w:color w:val="000000"/>
                <w:sz w:val="18"/>
                <w:szCs w:val="18"/>
              </w:rPr>
            </w:pPr>
            <w:r w:rsidRPr="00E61612">
              <w:rPr>
                <w:color w:val="000000"/>
                <w:sz w:val="20"/>
                <w:szCs w:val="20"/>
              </w:rPr>
              <w:t xml:space="preserve">                   -   </w:t>
            </w:r>
          </w:p>
        </w:tc>
        <w:tc>
          <w:tcPr>
            <w:tcW w:w="0" w:type="auto"/>
            <w:shd w:val="clear" w:color="auto" w:fill="FFFFFF"/>
            <w:noWrap/>
          </w:tcPr>
          <w:p w:rsidR="00B951B1" w:rsidRPr="00E61612" w:rsidRDefault="00B951B1" w:rsidP="00CB78E6">
            <w:pPr>
              <w:spacing w:after="0"/>
              <w:jc w:val="right"/>
              <w:rPr>
                <w:rFonts w:eastAsia="Times New Roman" w:cs="Calibri"/>
                <w:color w:val="000000"/>
                <w:sz w:val="18"/>
                <w:szCs w:val="18"/>
              </w:rPr>
            </w:pPr>
            <w:r w:rsidRPr="00E61612">
              <w:rPr>
                <w:color w:val="000000"/>
                <w:sz w:val="20"/>
                <w:szCs w:val="20"/>
              </w:rPr>
              <w:t xml:space="preserve">              (3,030)</w:t>
            </w:r>
          </w:p>
        </w:tc>
      </w:tr>
      <w:tr w:rsidR="00B951B1" w:rsidRPr="00E61612" w:rsidTr="00CB78E6">
        <w:trPr>
          <w:trHeight w:val="20"/>
        </w:trPr>
        <w:tc>
          <w:tcPr>
            <w:tcW w:w="0" w:type="auto"/>
            <w:shd w:val="clear" w:color="auto" w:fill="FFFFFF"/>
          </w:tcPr>
          <w:p w:rsidR="00B951B1" w:rsidRPr="00E61612" w:rsidRDefault="00B951B1" w:rsidP="00CB78E6">
            <w:pPr>
              <w:spacing w:after="0"/>
              <w:jc w:val="center"/>
              <w:rPr>
                <w:rFonts w:eastAsia="Times New Roman" w:cs="Calibri"/>
                <w:b/>
                <w:bCs/>
                <w:color w:val="000000"/>
                <w:sz w:val="18"/>
                <w:szCs w:val="18"/>
              </w:rPr>
            </w:pPr>
            <w:r w:rsidRPr="00E61612">
              <w:rPr>
                <w:b/>
                <w:bCs/>
                <w:color w:val="000000"/>
                <w:sz w:val="20"/>
                <w:szCs w:val="20"/>
              </w:rPr>
              <w:t>A3.2.2</w:t>
            </w:r>
          </w:p>
        </w:tc>
        <w:tc>
          <w:tcPr>
            <w:tcW w:w="0" w:type="auto"/>
            <w:shd w:val="clear" w:color="auto" w:fill="FFFFFF"/>
          </w:tcPr>
          <w:p w:rsidR="00B951B1" w:rsidRPr="00E61612" w:rsidRDefault="00B951B1" w:rsidP="00CB78E6">
            <w:pPr>
              <w:spacing w:after="0"/>
              <w:rPr>
                <w:rFonts w:eastAsia="Times New Roman" w:cs="Calibri"/>
                <w:sz w:val="18"/>
                <w:szCs w:val="18"/>
              </w:rPr>
            </w:pPr>
            <w:r w:rsidRPr="00E61612">
              <w:rPr>
                <w:sz w:val="20"/>
                <w:szCs w:val="20"/>
              </w:rPr>
              <w:t xml:space="preserve">Forcimi i kapaciteteve njerëzore në sektorët e kurrikulës në nivel të DRAP-ve dhe ZVAP-ve, në funksion të mbështetjes së shkollave për zbatimin e kurrikulës </w:t>
            </w:r>
            <w:r>
              <w:rPr>
                <w:sz w:val="20"/>
                <w:szCs w:val="20"/>
              </w:rPr>
              <w:t>bazuar në</w:t>
            </w:r>
            <w:r w:rsidRPr="00E61612">
              <w:rPr>
                <w:sz w:val="20"/>
                <w:szCs w:val="20"/>
              </w:rPr>
              <w:t xml:space="preserve"> kompetenca</w:t>
            </w:r>
          </w:p>
        </w:tc>
        <w:tc>
          <w:tcPr>
            <w:tcW w:w="0" w:type="auto"/>
            <w:shd w:val="clear" w:color="auto" w:fill="FFFFFF"/>
          </w:tcPr>
          <w:p w:rsidR="00B951B1" w:rsidRPr="00E61612" w:rsidRDefault="00B951B1" w:rsidP="00CB78E6">
            <w:pPr>
              <w:spacing w:after="0"/>
              <w:jc w:val="center"/>
              <w:rPr>
                <w:rFonts w:eastAsia="Times New Roman" w:cs="Calibri"/>
                <w:color w:val="000000"/>
                <w:sz w:val="18"/>
                <w:szCs w:val="18"/>
              </w:rPr>
            </w:pPr>
            <w:r w:rsidRPr="00E61612">
              <w:rPr>
                <w:color w:val="000000"/>
                <w:sz w:val="20"/>
                <w:szCs w:val="20"/>
              </w:rPr>
              <w:t>ASCAP</w:t>
            </w:r>
          </w:p>
        </w:tc>
        <w:tc>
          <w:tcPr>
            <w:tcW w:w="0" w:type="auto"/>
            <w:shd w:val="clear" w:color="auto" w:fill="FFFFFF"/>
          </w:tcPr>
          <w:p w:rsidR="00B951B1" w:rsidRPr="00E61612" w:rsidRDefault="00B951B1" w:rsidP="00CB78E6">
            <w:pPr>
              <w:spacing w:after="0"/>
              <w:jc w:val="center"/>
              <w:rPr>
                <w:rFonts w:eastAsia="Times New Roman" w:cs="Calibri"/>
                <w:color w:val="000000"/>
                <w:sz w:val="18"/>
                <w:szCs w:val="18"/>
              </w:rPr>
            </w:pPr>
            <w:r w:rsidRPr="00E61612">
              <w:rPr>
                <w:color w:val="000000"/>
                <w:sz w:val="20"/>
                <w:szCs w:val="20"/>
              </w:rPr>
              <w:t>DPAP</w:t>
            </w:r>
          </w:p>
        </w:tc>
        <w:tc>
          <w:tcPr>
            <w:tcW w:w="0" w:type="auto"/>
            <w:shd w:val="clear" w:color="auto" w:fill="FFFFFF"/>
          </w:tcPr>
          <w:p w:rsidR="00B951B1" w:rsidRPr="00E61612" w:rsidRDefault="00B951B1" w:rsidP="00CB78E6">
            <w:pPr>
              <w:spacing w:after="0"/>
              <w:jc w:val="center"/>
              <w:rPr>
                <w:rFonts w:eastAsia="Times New Roman" w:cs="Calibri"/>
                <w:color w:val="000000"/>
                <w:sz w:val="18"/>
                <w:szCs w:val="18"/>
              </w:rPr>
            </w:pPr>
            <w:r w:rsidRPr="00E61612">
              <w:rPr>
                <w:color w:val="000000"/>
                <w:sz w:val="20"/>
                <w:szCs w:val="20"/>
              </w:rPr>
              <w:t>TM3-2022</w:t>
            </w:r>
          </w:p>
        </w:tc>
        <w:tc>
          <w:tcPr>
            <w:tcW w:w="0" w:type="auto"/>
            <w:shd w:val="clear" w:color="auto" w:fill="FFFFFF"/>
          </w:tcPr>
          <w:p w:rsidR="00B951B1" w:rsidRPr="00E61612" w:rsidRDefault="00B951B1" w:rsidP="00CB78E6">
            <w:pPr>
              <w:spacing w:after="0"/>
              <w:jc w:val="center"/>
              <w:rPr>
                <w:rFonts w:eastAsia="Times New Roman" w:cs="Calibri"/>
                <w:color w:val="000000"/>
                <w:sz w:val="18"/>
                <w:szCs w:val="18"/>
              </w:rPr>
            </w:pPr>
            <w:r w:rsidRPr="00E61612">
              <w:rPr>
                <w:color w:val="000000"/>
                <w:sz w:val="20"/>
                <w:szCs w:val="20"/>
              </w:rPr>
              <w:t>TM3-2024</w:t>
            </w:r>
          </w:p>
        </w:tc>
        <w:tc>
          <w:tcPr>
            <w:tcW w:w="0" w:type="auto"/>
            <w:shd w:val="clear" w:color="auto" w:fill="FFFFFF"/>
            <w:noWrap/>
          </w:tcPr>
          <w:p w:rsidR="00B951B1" w:rsidRPr="00E61612" w:rsidRDefault="00B951B1" w:rsidP="00CB78E6">
            <w:pPr>
              <w:spacing w:after="0"/>
              <w:jc w:val="right"/>
              <w:rPr>
                <w:rFonts w:eastAsia="Times New Roman" w:cs="Calibri"/>
                <w:color w:val="000000"/>
                <w:sz w:val="18"/>
                <w:szCs w:val="18"/>
              </w:rPr>
            </w:pPr>
            <w:r w:rsidRPr="00E61612">
              <w:rPr>
                <w:color w:val="000000"/>
                <w:sz w:val="20"/>
                <w:szCs w:val="20"/>
              </w:rPr>
              <w:t xml:space="preserve">                        1,380 </w:t>
            </w:r>
          </w:p>
        </w:tc>
        <w:tc>
          <w:tcPr>
            <w:tcW w:w="0" w:type="auto"/>
            <w:shd w:val="clear" w:color="auto" w:fill="FFFFFF"/>
            <w:noWrap/>
          </w:tcPr>
          <w:p w:rsidR="00B951B1" w:rsidRPr="00E61612" w:rsidRDefault="00B951B1" w:rsidP="00CB78E6">
            <w:pPr>
              <w:spacing w:after="0"/>
              <w:jc w:val="right"/>
              <w:rPr>
                <w:rFonts w:eastAsia="Times New Roman" w:cs="Calibri"/>
                <w:color w:val="000000"/>
                <w:sz w:val="18"/>
                <w:szCs w:val="18"/>
              </w:rPr>
            </w:pPr>
            <w:r w:rsidRPr="00E61612">
              <w:rPr>
                <w:color w:val="000000"/>
                <w:sz w:val="20"/>
                <w:szCs w:val="20"/>
              </w:rPr>
              <w:t xml:space="preserve">                      -   </w:t>
            </w:r>
          </w:p>
        </w:tc>
        <w:tc>
          <w:tcPr>
            <w:tcW w:w="0" w:type="auto"/>
            <w:shd w:val="clear" w:color="auto" w:fill="FFFFFF"/>
            <w:noWrap/>
          </w:tcPr>
          <w:p w:rsidR="00B951B1" w:rsidRPr="00E61612" w:rsidRDefault="00B951B1" w:rsidP="00CB78E6">
            <w:pPr>
              <w:spacing w:after="0"/>
              <w:jc w:val="right"/>
              <w:rPr>
                <w:rFonts w:eastAsia="Times New Roman" w:cs="Calibri"/>
                <w:color w:val="000000"/>
                <w:sz w:val="18"/>
                <w:szCs w:val="18"/>
              </w:rPr>
            </w:pPr>
            <w:r w:rsidRPr="00E61612">
              <w:rPr>
                <w:color w:val="000000"/>
                <w:sz w:val="20"/>
                <w:szCs w:val="20"/>
              </w:rPr>
              <w:t xml:space="preserve">                   -   </w:t>
            </w:r>
          </w:p>
        </w:tc>
        <w:tc>
          <w:tcPr>
            <w:tcW w:w="0" w:type="auto"/>
            <w:shd w:val="clear" w:color="auto" w:fill="FFFFFF"/>
            <w:noWrap/>
          </w:tcPr>
          <w:p w:rsidR="00B951B1" w:rsidRPr="00E61612" w:rsidRDefault="00B951B1" w:rsidP="00CB78E6">
            <w:pPr>
              <w:spacing w:after="0"/>
              <w:jc w:val="right"/>
              <w:rPr>
                <w:rFonts w:eastAsia="Times New Roman" w:cs="Calibri"/>
                <w:color w:val="000000"/>
                <w:sz w:val="18"/>
                <w:szCs w:val="18"/>
              </w:rPr>
            </w:pPr>
            <w:r w:rsidRPr="00E61612">
              <w:rPr>
                <w:color w:val="000000"/>
                <w:sz w:val="20"/>
                <w:szCs w:val="20"/>
              </w:rPr>
              <w:t xml:space="preserve">              (1,380)</w:t>
            </w:r>
          </w:p>
        </w:tc>
      </w:tr>
      <w:tr w:rsidR="00B951B1" w:rsidRPr="00E61612" w:rsidTr="00CB78E6">
        <w:trPr>
          <w:trHeight w:val="20"/>
        </w:trPr>
        <w:tc>
          <w:tcPr>
            <w:tcW w:w="0" w:type="auto"/>
            <w:tcBorders>
              <w:bottom w:val="single" w:sz="4" w:space="0" w:color="auto"/>
            </w:tcBorders>
            <w:shd w:val="clear" w:color="auto" w:fill="FFFFFF"/>
          </w:tcPr>
          <w:p w:rsidR="00B951B1" w:rsidRPr="00E61612" w:rsidRDefault="00B951B1" w:rsidP="00CB78E6">
            <w:pPr>
              <w:spacing w:after="0"/>
              <w:jc w:val="center"/>
              <w:rPr>
                <w:rFonts w:eastAsia="Times New Roman" w:cs="Calibri"/>
                <w:b/>
                <w:bCs/>
                <w:color w:val="000000"/>
                <w:sz w:val="18"/>
                <w:szCs w:val="18"/>
              </w:rPr>
            </w:pPr>
            <w:r w:rsidRPr="00E61612">
              <w:rPr>
                <w:b/>
                <w:bCs/>
                <w:color w:val="000000"/>
                <w:sz w:val="20"/>
                <w:szCs w:val="20"/>
              </w:rPr>
              <w:t>A3.2.3</w:t>
            </w:r>
          </w:p>
        </w:tc>
        <w:tc>
          <w:tcPr>
            <w:tcW w:w="0" w:type="auto"/>
            <w:tcBorders>
              <w:bottom w:val="single" w:sz="4" w:space="0" w:color="auto"/>
            </w:tcBorders>
            <w:shd w:val="clear" w:color="auto" w:fill="FFFFFF"/>
          </w:tcPr>
          <w:p w:rsidR="00B951B1" w:rsidRPr="00E61612" w:rsidRDefault="00B951B1" w:rsidP="00CB78E6">
            <w:pPr>
              <w:spacing w:after="0"/>
              <w:rPr>
                <w:rFonts w:eastAsia="Times New Roman" w:cs="Calibri"/>
                <w:sz w:val="18"/>
                <w:szCs w:val="18"/>
              </w:rPr>
            </w:pPr>
            <w:r w:rsidRPr="00E61612">
              <w:rPr>
                <w:sz w:val="20"/>
                <w:szCs w:val="20"/>
              </w:rPr>
              <w:t>Monitorimi sistematik i zbatimit të kurrikulës</w:t>
            </w:r>
          </w:p>
        </w:tc>
        <w:tc>
          <w:tcPr>
            <w:tcW w:w="0" w:type="auto"/>
            <w:tcBorders>
              <w:bottom w:val="single" w:sz="4" w:space="0" w:color="auto"/>
            </w:tcBorders>
            <w:shd w:val="clear" w:color="auto" w:fill="FFFFFF"/>
          </w:tcPr>
          <w:p w:rsidR="00B951B1" w:rsidRPr="00E61612" w:rsidRDefault="00B951B1" w:rsidP="00CB78E6">
            <w:pPr>
              <w:spacing w:after="0"/>
              <w:jc w:val="center"/>
              <w:rPr>
                <w:rFonts w:eastAsia="Times New Roman" w:cs="Calibri"/>
                <w:color w:val="000000"/>
                <w:sz w:val="18"/>
                <w:szCs w:val="18"/>
              </w:rPr>
            </w:pPr>
            <w:r w:rsidRPr="00E61612">
              <w:rPr>
                <w:color w:val="000000"/>
                <w:sz w:val="20"/>
                <w:szCs w:val="20"/>
              </w:rPr>
              <w:t>DPAP</w:t>
            </w:r>
          </w:p>
        </w:tc>
        <w:tc>
          <w:tcPr>
            <w:tcW w:w="0" w:type="auto"/>
            <w:tcBorders>
              <w:bottom w:val="single" w:sz="4" w:space="0" w:color="auto"/>
            </w:tcBorders>
            <w:shd w:val="clear" w:color="auto" w:fill="FFFFFF"/>
          </w:tcPr>
          <w:p w:rsidR="00B951B1" w:rsidRPr="00E61612" w:rsidRDefault="00B951B1" w:rsidP="00CB78E6">
            <w:pPr>
              <w:spacing w:after="0"/>
              <w:jc w:val="center"/>
              <w:rPr>
                <w:rFonts w:eastAsia="Times New Roman" w:cs="Calibri"/>
                <w:color w:val="000000"/>
                <w:sz w:val="18"/>
                <w:szCs w:val="18"/>
              </w:rPr>
            </w:pPr>
            <w:r w:rsidRPr="00E61612">
              <w:rPr>
                <w:color w:val="000000"/>
                <w:sz w:val="20"/>
                <w:szCs w:val="20"/>
              </w:rPr>
              <w:t>ASCAP</w:t>
            </w:r>
          </w:p>
        </w:tc>
        <w:tc>
          <w:tcPr>
            <w:tcW w:w="0" w:type="auto"/>
            <w:tcBorders>
              <w:bottom w:val="single" w:sz="4" w:space="0" w:color="auto"/>
            </w:tcBorders>
            <w:shd w:val="clear" w:color="auto" w:fill="FFFFFF"/>
          </w:tcPr>
          <w:p w:rsidR="00B951B1" w:rsidRPr="00E61612" w:rsidRDefault="00B951B1" w:rsidP="00CB78E6">
            <w:pPr>
              <w:spacing w:after="0"/>
              <w:jc w:val="center"/>
              <w:rPr>
                <w:rFonts w:eastAsia="Times New Roman" w:cs="Calibri"/>
                <w:color w:val="000000"/>
                <w:sz w:val="18"/>
                <w:szCs w:val="18"/>
              </w:rPr>
            </w:pPr>
            <w:r w:rsidRPr="00E61612">
              <w:rPr>
                <w:color w:val="000000"/>
                <w:sz w:val="20"/>
                <w:szCs w:val="20"/>
              </w:rPr>
              <w:t>TM3-2023</w:t>
            </w:r>
          </w:p>
        </w:tc>
        <w:tc>
          <w:tcPr>
            <w:tcW w:w="0" w:type="auto"/>
            <w:tcBorders>
              <w:bottom w:val="single" w:sz="4" w:space="0" w:color="auto"/>
            </w:tcBorders>
            <w:shd w:val="clear" w:color="auto" w:fill="FFFFFF"/>
          </w:tcPr>
          <w:p w:rsidR="00B951B1" w:rsidRPr="00E61612" w:rsidRDefault="00B951B1" w:rsidP="00CB78E6">
            <w:pPr>
              <w:spacing w:after="0"/>
              <w:jc w:val="center"/>
              <w:rPr>
                <w:rFonts w:eastAsia="Times New Roman" w:cs="Calibri"/>
                <w:color w:val="000000"/>
                <w:sz w:val="18"/>
                <w:szCs w:val="18"/>
              </w:rPr>
            </w:pPr>
            <w:r w:rsidRPr="00E61612">
              <w:rPr>
                <w:color w:val="000000"/>
                <w:sz w:val="20"/>
                <w:szCs w:val="20"/>
              </w:rPr>
              <w:t>TM4-2026</w:t>
            </w:r>
          </w:p>
        </w:tc>
        <w:tc>
          <w:tcPr>
            <w:tcW w:w="0" w:type="auto"/>
            <w:tcBorders>
              <w:bottom w:val="single" w:sz="4" w:space="0" w:color="auto"/>
            </w:tcBorders>
            <w:shd w:val="clear" w:color="auto" w:fill="FFFFFF"/>
            <w:noWrap/>
          </w:tcPr>
          <w:p w:rsidR="00B951B1" w:rsidRPr="00E61612" w:rsidRDefault="00B951B1" w:rsidP="00CB78E6">
            <w:pPr>
              <w:spacing w:after="0"/>
              <w:jc w:val="right"/>
              <w:rPr>
                <w:rFonts w:eastAsia="Times New Roman" w:cs="Calibri"/>
                <w:color w:val="000000"/>
                <w:sz w:val="18"/>
                <w:szCs w:val="18"/>
              </w:rPr>
            </w:pPr>
            <w:r w:rsidRPr="00E61612">
              <w:rPr>
                <w:color w:val="000000"/>
                <w:sz w:val="20"/>
                <w:szCs w:val="20"/>
              </w:rPr>
              <w:t xml:space="preserve">                               -   </w:t>
            </w:r>
          </w:p>
        </w:tc>
        <w:tc>
          <w:tcPr>
            <w:tcW w:w="0" w:type="auto"/>
            <w:tcBorders>
              <w:bottom w:val="single" w:sz="4" w:space="0" w:color="auto"/>
            </w:tcBorders>
            <w:shd w:val="clear" w:color="auto" w:fill="FFFFFF"/>
            <w:noWrap/>
          </w:tcPr>
          <w:p w:rsidR="00B951B1" w:rsidRPr="00E61612" w:rsidRDefault="00B951B1" w:rsidP="00CB78E6">
            <w:pPr>
              <w:spacing w:after="0"/>
              <w:jc w:val="right"/>
              <w:rPr>
                <w:rFonts w:eastAsia="Times New Roman" w:cs="Calibri"/>
                <w:color w:val="000000"/>
                <w:sz w:val="18"/>
                <w:szCs w:val="18"/>
              </w:rPr>
            </w:pPr>
            <w:r w:rsidRPr="00E61612">
              <w:rPr>
                <w:color w:val="000000"/>
                <w:sz w:val="20"/>
                <w:szCs w:val="20"/>
              </w:rPr>
              <w:t xml:space="preserve">                      -   </w:t>
            </w:r>
          </w:p>
        </w:tc>
        <w:tc>
          <w:tcPr>
            <w:tcW w:w="0" w:type="auto"/>
            <w:tcBorders>
              <w:bottom w:val="single" w:sz="4" w:space="0" w:color="auto"/>
            </w:tcBorders>
            <w:shd w:val="clear" w:color="auto" w:fill="FFFFFF"/>
            <w:noWrap/>
          </w:tcPr>
          <w:p w:rsidR="00B951B1" w:rsidRPr="00E61612" w:rsidRDefault="00B951B1" w:rsidP="00CB78E6">
            <w:pPr>
              <w:spacing w:after="0"/>
              <w:jc w:val="right"/>
              <w:rPr>
                <w:rFonts w:eastAsia="Times New Roman" w:cs="Calibri"/>
                <w:color w:val="000000"/>
                <w:sz w:val="18"/>
                <w:szCs w:val="18"/>
              </w:rPr>
            </w:pPr>
            <w:r w:rsidRPr="00E61612">
              <w:rPr>
                <w:color w:val="000000"/>
                <w:sz w:val="20"/>
                <w:szCs w:val="20"/>
              </w:rPr>
              <w:t xml:space="preserve">                   -   </w:t>
            </w:r>
          </w:p>
        </w:tc>
        <w:tc>
          <w:tcPr>
            <w:tcW w:w="0" w:type="auto"/>
            <w:tcBorders>
              <w:bottom w:val="single" w:sz="4" w:space="0" w:color="auto"/>
            </w:tcBorders>
            <w:shd w:val="clear" w:color="auto" w:fill="FFFFFF"/>
            <w:noWrap/>
          </w:tcPr>
          <w:p w:rsidR="00B951B1" w:rsidRPr="00E61612" w:rsidRDefault="00B951B1" w:rsidP="00CB78E6">
            <w:pPr>
              <w:spacing w:after="0"/>
              <w:jc w:val="right"/>
              <w:rPr>
                <w:rFonts w:eastAsia="Times New Roman" w:cs="Calibri"/>
                <w:color w:val="000000"/>
                <w:sz w:val="18"/>
                <w:szCs w:val="18"/>
              </w:rPr>
            </w:pPr>
            <w:r w:rsidRPr="00E61612">
              <w:rPr>
                <w:color w:val="000000"/>
                <w:sz w:val="20"/>
                <w:szCs w:val="20"/>
              </w:rPr>
              <w:t xml:space="preserve">                       -   </w:t>
            </w:r>
          </w:p>
        </w:tc>
      </w:tr>
      <w:tr w:rsidR="00B951B1" w:rsidRPr="00E61612" w:rsidTr="00CB78E6">
        <w:trPr>
          <w:trHeight w:val="20"/>
        </w:trPr>
        <w:tc>
          <w:tcPr>
            <w:tcW w:w="0" w:type="auto"/>
            <w:shd w:val="clear" w:color="auto" w:fill="D9D9D9"/>
          </w:tcPr>
          <w:p w:rsidR="00B951B1" w:rsidRPr="00E61612" w:rsidRDefault="00B951B1" w:rsidP="00CB78E6">
            <w:pPr>
              <w:spacing w:after="0"/>
              <w:jc w:val="center"/>
              <w:rPr>
                <w:rFonts w:eastAsia="Times New Roman" w:cs="Calibri"/>
                <w:b/>
                <w:bCs/>
                <w:color w:val="000000"/>
                <w:sz w:val="18"/>
                <w:szCs w:val="18"/>
              </w:rPr>
            </w:pPr>
            <w:r w:rsidRPr="00E61612">
              <w:rPr>
                <w:b/>
                <w:bCs/>
                <w:color w:val="000000"/>
                <w:sz w:val="20"/>
                <w:szCs w:val="20"/>
              </w:rPr>
              <w:t>A3.3</w:t>
            </w:r>
          </w:p>
        </w:tc>
        <w:tc>
          <w:tcPr>
            <w:tcW w:w="0" w:type="auto"/>
            <w:shd w:val="clear" w:color="auto" w:fill="D9D9D9"/>
          </w:tcPr>
          <w:p w:rsidR="00B951B1" w:rsidRPr="00E61612" w:rsidRDefault="00B951B1" w:rsidP="00CB78E6">
            <w:pPr>
              <w:spacing w:after="0"/>
              <w:rPr>
                <w:rFonts w:eastAsia="Times New Roman" w:cs="Calibri"/>
                <w:sz w:val="18"/>
                <w:szCs w:val="18"/>
              </w:rPr>
            </w:pPr>
            <w:r w:rsidRPr="00E61612">
              <w:rPr>
                <w:sz w:val="20"/>
                <w:szCs w:val="20"/>
              </w:rPr>
              <w:t xml:space="preserve"> Përmirësimi i aftësive të nxënësve në gjuhë dhe komunikim, matematikë dhe shkencë</w:t>
            </w:r>
          </w:p>
        </w:tc>
        <w:tc>
          <w:tcPr>
            <w:tcW w:w="0" w:type="auto"/>
            <w:shd w:val="clear" w:color="auto" w:fill="D9D9D9"/>
          </w:tcPr>
          <w:p w:rsidR="00B951B1" w:rsidRPr="00E61612" w:rsidRDefault="00B951B1" w:rsidP="00CB78E6">
            <w:pPr>
              <w:spacing w:after="0"/>
              <w:jc w:val="center"/>
              <w:rPr>
                <w:rFonts w:eastAsia="Times New Roman" w:cs="Calibri"/>
                <w:color w:val="000000"/>
                <w:sz w:val="18"/>
                <w:szCs w:val="18"/>
              </w:rPr>
            </w:pPr>
            <w:r w:rsidRPr="00E61612">
              <w:rPr>
                <w:color w:val="000000"/>
                <w:sz w:val="20"/>
                <w:szCs w:val="20"/>
              </w:rPr>
              <w:t>ASCAP</w:t>
            </w:r>
          </w:p>
        </w:tc>
        <w:tc>
          <w:tcPr>
            <w:tcW w:w="0" w:type="auto"/>
            <w:shd w:val="clear" w:color="auto" w:fill="D9D9D9"/>
          </w:tcPr>
          <w:p w:rsidR="00B951B1" w:rsidRPr="00E61612" w:rsidRDefault="00B951B1" w:rsidP="00CB78E6">
            <w:pPr>
              <w:spacing w:after="0"/>
              <w:jc w:val="center"/>
              <w:rPr>
                <w:rFonts w:eastAsia="Times New Roman" w:cs="Calibri"/>
                <w:color w:val="000000"/>
                <w:sz w:val="18"/>
                <w:szCs w:val="18"/>
              </w:rPr>
            </w:pPr>
            <w:r w:rsidRPr="00E61612">
              <w:rPr>
                <w:color w:val="000000"/>
                <w:sz w:val="20"/>
                <w:szCs w:val="20"/>
              </w:rPr>
              <w:t> </w:t>
            </w:r>
          </w:p>
        </w:tc>
        <w:tc>
          <w:tcPr>
            <w:tcW w:w="0" w:type="auto"/>
            <w:shd w:val="clear" w:color="auto" w:fill="D9D9D9"/>
          </w:tcPr>
          <w:p w:rsidR="00B951B1" w:rsidRPr="00E61612" w:rsidRDefault="00B951B1" w:rsidP="00CB78E6">
            <w:pPr>
              <w:spacing w:after="0"/>
              <w:jc w:val="center"/>
              <w:rPr>
                <w:rFonts w:eastAsia="Times New Roman" w:cs="Calibri"/>
                <w:color w:val="000000"/>
                <w:sz w:val="18"/>
                <w:szCs w:val="18"/>
              </w:rPr>
            </w:pPr>
            <w:r w:rsidRPr="00E61612">
              <w:rPr>
                <w:color w:val="000000"/>
                <w:sz w:val="20"/>
                <w:szCs w:val="20"/>
              </w:rPr>
              <w:t>TM2-2022</w:t>
            </w:r>
          </w:p>
        </w:tc>
        <w:tc>
          <w:tcPr>
            <w:tcW w:w="0" w:type="auto"/>
            <w:shd w:val="clear" w:color="auto" w:fill="D9D9D9"/>
          </w:tcPr>
          <w:p w:rsidR="00B951B1" w:rsidRPr="00E61612" w:rsidRDefault="00B951B1" w:rsidP="00CB78E6">
            <w:pPr>
              <w:spacing w:after="0"/>
              <w:jc w:val="center"/>
              <w:rPr>
                <w:rFonts w:eastAsia="Times New Roman" w:cs="Calibri"/>
                <w:color w:val="000000"/>
                <w:sz w:val="18"/>
                <w:szCs w:val="18"/>
              </w:rPr>
            </w:pPr>
            <w:r w:rsidRPr="00E61612">
              <w:rPr>
                <w:color w:val="000000"/>
                <w:sz w:val="20"/>
                <w:szCs w:val="20"/>
              </w:rPr>
              <w:t>TM2-2023</w:t>
            </w:r>
          </w:p>
        </w:tc>
        <w:tc>
          <w:tcPr>
            <w:tcW w:w="0" w:type="auto"/>
            <w:shd w:val="clear" w:color="auto" w:fill="D9D9D9"/>
            <w:noWrap/>
          </w:tcPr>
          <w:p w:rsidR="00B951B1" w:rsidRPr="00E61612" w:rsidRDefault="00B951B1" w:rsidP="00CB78E6">
            <w:pPr>
              <w:spacing w:after="0"/>
              <w:jc w:val="right"/>
              <w:rPr>
                <w:rFonts w:eastAsia="Times New Roman" w:cs="Calibri"/>
                <w:color w:val="000000"/>
                <w:sz w:val="18"/>
                <w:szCs w:val="18"/>
              </w:rPr>
            </w:pPr>
            <w:r w:rsidRPr="00E61612">
              <w:rPr>
                <w:color w:val="000000"/>
                <w:sz w:val="20"/>
                <w:szCs w:val="20"/>
              </w:rPr>
              <w:t xml:space="preserve">                        3,660 </w:t>
            </w:r>
          </w:p>
        </w:tc>
        <w:tc>
          <w:tcPr>
            <w:tcW w:w="0" w:type="auto"/>
            <w:shd w:val="clear" w:color="auto" w:fill="D9D9D9"/>
            <w:noWrap/>
          </w:tcPr>
          <w:p w:rsidR="00B951B1" w:rsidRPr="00E61612" w:rsidRDefault="00B951B1" w:rsidP="00CB78E6">
            <w:pPr>
              <w:spacing w:after="0"/>
              <w:jc w:val="right"/>
              <w:rPr>
                <w:rFonts w:eastAsia="Times New Roman" w:cs="Calibri"/>
                <w:color w:val="000000"/>
                <w:sz w:val="18"/>
                <w:szCs w:val="18"/>
              </w:rPr>
            </w:pPr>
            <w:r w:rsidRPr="00E61612">
              <w:rPr>
                <w:color w:val="000000"/>
                <w:sz w:val="20"/>
                <w:szCs w:val="20"/>
              </w:rPr>
              <w:t xml:space="preserve">                      -   </w:t>
            </w:r>
          </w:p>
        </w:tc>
        <w:tc>
          <w:tcPr>
            <w:tcW w:w="0" w:type="auto"/>
            <w:shd w:val="clear" w:color="auto" w:fill="D9D9D9"/>
            <w:noWrap/>
          </w:tcPr>
          <w:p w:rsidR="00B951B1" w:rsidRPr="00E61612" w:rsidRDefault="00B951B1" w:rsidP="00CB78E6">
            <w:pPr>
              <w:spacing w:after="0"/>
              <w:jc w:val="right"/>
              <w:rPr>
                <w:rFonts w:eastAsia="Times New Roman" w:cs="Calibri"/>
                <w:color w:val="000000"/>
                <w:sz w:val="18"/>
                <w:szCs w:val="18"/>
              </w:rPr>
            </w:pPr>
            <w:r w:rsidRPr="00E61612">
              <w:rPr>
                <w:color w:val="000000"/>
                <w:sz w:val="20"/>
                <w:szCs w:val="20"/>
              </w:rPr>
              <w:t xml:space="preserve">                   -   </w:t>
            </w:r>
          </w:p>
        </w:tc>
        <w:tc>
          <w:tcPr>
            <w:tcW w:w="0" w:type="auto"/>
            <w:shd w:val="clear" w:color="auto" w:fill="D9D9D9"/>
            <w:noWrap/>
          </w:tcPr>
          <w:p w:rsidR="00B951B1" w:rsidRPr="00E61612" w:rsidRDefault="00B951B1" w:rsidP="00CB78E6">
            <w:pPr>
              <w:spacing w:after="0"/>
              <w:jc w:val="right"/>
              <w:rPr>
                <w:rFonts w:eastAsia="Times New Roman" w:cs="Calibri"/>
                <w:color w:val="000000"/>
                <w:sz w:val="18"/>
                <w:szCs w:val="18"/>
              </w:rPr>
            </w:pPr>
            <w:r w:rsidRPr="00E61612">
              <w:rPr>
                <w:color w:val="000000"/>
                <w:sz w:val="20"/>
                <w:szCs w:val="20"/>
              </w:rPr>
              <w:t xml:space="preserve">              (3,660)</w:t>
            </w:r>
          </w:p>
        </w:tc>
      </w:tr>
      <w:tr w:rsidR="00B951B1" w:rsidRPr="00E61612" w:rsidTr="00CB78E6">
        <w:trPr>
          <w:trHeight w:val="20"/>
        </w:trPr>
        <w:tc>
          <w:tcPr>
            <w:tcW w:w="0" w:type="auto"/>
            <w:shd w:val="clear" w:color="auto" w:fill="FFFFFF"/>
          </w:tcPr>
          <w:p w:rsidR="00B951B1" w:rsidRPr="00E61612" w:rsidRDefault="00B951B1" w:rsidP="00CB78E6">
            <w:pPr>
              <w:spacing w:after="0"/>
              <w:jc w:val="center"/>
              <w:rPr>
                <w:rFonts w:eastAsia="Times New Roman" w:cs="Calibri"/>
                <w:b/>
                <w:bCs/>
                <w:color w:val="000000"/>
                <w:sz w:val="18"/>
                <w:szCs w:val="18"/>
              </w:rPr>
            </w:pPr>
            <w:r w:rsidRPr="00E61612">
              <w:rPr>
                <w:b/>
                <w:bCs/>
                <w:color w:val="000000"/>
                <w:sz w:val="20"/>
                <w:szCs w:val="20"/>
              </w:rPr>
              <w:lastRenderedPageBreak/>
              <w:t>A3.3.1</w:t>
            </w:r>
          </w:p>
        </w:tc>
        <w:tc>
          <w:tcPr>
            <w:tcW w:w="0" w:type="auto"/>
            <w:shd w:val="clear" w:color="auto" w:fill="FFFFFF"/>
          </w:tcPr>
          <w:p w:rsidR="00B951B1" w:rsidRPr="00E61612" w:rsidRDefault="00B951B1" w:rsidP="00CB78E6">
            <w:pPr>
              <w:spacing w:after="0"/>
              <w:rPr>
                <w:rFonts w:eastAsia="Times New Roman" w:cs="Calibri"/>
                <w:sz w:val="18"/>
                <w:szCs w:val="18"/>
              </w:rPr>
            </w:pPr>
            <w:r w:rsidRPr="00E61612">
              <w:rPr>
                <w:sz w:val="20"/>
                <w:szCs w:val="20"/>
              </w:rPr>
              <w:t>Mbështetja e zbatimit  të praktikave të reja të vlerësimit të nxënësve</w:t>
            </w:r>
          </w:p>
        </w:tc>
        <w:tc>
          <w:tcPr>
            <w:tcW w:w="0" w:type="auto"/>
            <w:shd w:val="clear" w:color="auto" w:fill="FFFFFF"/>
          </w:tcPr>
          <w:p w:rsidR="00B951B1" w:rsidRPr="00E61612" w:rsidRDefault="00B951B1" w:rsidP="00CB78E6">
            <w:pPr>
              <w:spacing w:after="0"/>
              <w:jc w:val="center"/>
              <w:rPr>
                <w:rFonts w:eastAsia="Times New Roman" w:cs="Calibri"/>
                <w:color w:val="000000"/>
                <w:sz w:val="18"/>
                <w:szCs w:val="18"/>
              </w:rPr>
            </w:pPr>
            <w:r w:rsidRPr="00E61612">
              <w:rPr>
                <w:color w:val="000000"/>
                <w:sz w:val="20"/>
                <w:szCs w:val="20"/>
              </w:rPr>
              <w:t>ASCAP</w:t>
            </w:r>
          </w:p>
        </w:tc>
        <w:tc>
          <w:tcPr>
            <w:tcW w:w="0" w:type="auto"/>
            <w:shd w:val="clear" w:color="auto" w:fill="FFFFFF"/>
          </w:tcPr>
          <w:p w:rsidR="00B951B1" w:rsidRPr="00E61612" w:rsidRDefault="00B951B1" w:rsidP="00CB78E6">
            <w:pPr>
              <w:spacing w:after="0"/>
              <w:jc w:val="center"/>
              <w:rPr>
                <w:rFonts w:eastAsia="Times New Roman" w:cs="Calibri"/>
                <w:color w:val="000000"/>
                <w:sz w:val="18"/>
                <w:szCs w:val="18"/>
              </w:rPr>
            </w:pPr>
            <w:r w:rsidRPr="00E61612">
              <w:rPr>
                <w:color w:val="000000"/>
                <w:sz w:val="20"/>
                <w:szCs w:val="20"/>
              </w:rPr>
              <w:t> </w:t>
            </w:r>
          </w:p>
        </w:tc>
        <w:tc>
          <w:tcPr>
            <w:tcW w:w="0" w:type="auto"/>
            <w:shd w:val="clear" w:color="auto" w:fill="FFFFFF"/>
          </w:tcPr>
          <w:p w:rsidR="00B951B1" w:rsidRPr="00E61612" w:rsidRDefault="00B951B1" w:rsidP="00CB78E6">
            <w:pPr>
              <w:spacing w:after="0"/>
              <w:jc w:val="center"/>
              <w:rPr>
                <w:rFonts w:eastAsia="Times New Roman" w:cs="Calibri"/>
                <w:color w:val="000000"/>
                <w:sz w:val="18"/>
                <w:szCs w:val="18"/>
              </w:rPr>
            </w:pPr>
            <w:r w:rsidRPr="00E61612">
              <w:rPr>
                <w:color w:val="000000"/>
                <w:sz w:val="20"/>
                <w:szCs w:val="20"/>
              </w:rPr>
              <w:t>TM2-2022</w:t>
            </w:r>
          </w:p>
        </w:tc>
        <w:tc>
          <w:tcPr>
            <w:tcW w:w="0" w:type="auto"/>
            <w:shd w:val="clear" w:color="auto" w:fill="FFFFFF"/>
          </w:tcPr>
          <w:p w:rsidR="00B951B1" w:rsidRPr="00E61612" w:rsidRDefault="00B951B1" w:rsidP="00CB78E6">
            <w:pPr>
              <w:spacing w:after="0"/>
              <w:jc w:val="center"/>
              <w:rPr>
                <w:rFonts w:eastAsia="Times New Roman" w:cs="Calibri"/>
                <w:color w:val="000000"/>
                <w:sz w:val="18"/>
                <w:szCs w:val="18"/>
              </w:rPr>
            </w:pPr>
            <w:r w:rsidRPr="00E61612">
              <w:rPr>
                <w:color w:val="000000"/>
                <w:sz w:val="20"/>
                <w:szCs w:val="20"/>
              </w:rPr>
              <w:t>TM3-2022</w:t>
            </w:r>
          </w:p>
        </w:tc>
        <w:tc>
          <w:tcPr>
            <w:tcW w:w="0" w:type="auto"/>
            <w:shd w:val="clear" w:color="auto" w:fill="FFFFFF"/>
            <w:noWrap/>
          </w:tcPr>
          <w:p w:rsidR="00B951B1" w:rsidRPr="00E61612" w:rsidRDefault="00B951B1" w:rsidP="00CB78E6">
            <w:pPr>
              <w:spacing w:after="0"/>
              <w:jc w:val="right"/>
              <w:rPr>
                <w:rFonts w:eastAsia="Times New Roman" w:cs="Calibri"/>
                <w:color w:val="000000"/>
                <w:sz w:val="18"/>
                <w:szCs w:val="18"/>
              </w:rPr>
            </w:pPr>
            <w:r w:rsidRPr="00E61612">
              <w:rPr>
                <w:color w:val="000000"/>
                <w:sz w:val="20"/>
                <w:szCs w:val="20"/>
              </w:rPr>
              <w:t xml:space="preserve">                           720 </w:t>
            </w:r>
          </w:p>
        </w:tc>
        <w:tc>
          <w:tcPr>
            <w:tcW w:w="0" w:type="auto"/>
            <w:shd w:val="clear" w:color="auto" w:fill="FFFFFF"/>
            <w:noWrap/>
          </w:tcPr>
          <w:p w:rsidR="00B951B1" w:rsidRPr="00E61612" w:rsidRDefault="00B951B1" w:rsidP="00CB78E6">
            <w:pPr>
              <w:spacing w:after="0"/>
              <w:jc w:val="right"/>
              <w:rPr>
                <w:rFonts w:eastAsia="Times New Roman" w:cs="Calibri"/>
                <w:color w:val="000000"/>
                <w:sz w:val="18"/>
                <w:szCs w:val="18"/>
              </w:rPr>
            </w:pPr>
            <w:r w:rsidRPr="00E61612">
              <w:rPr>
                <w:color w:val="000000"/>
                <w:sz w:val="20"/>
                <w:szCs w:val="20"/>
              </w:rPr>
              <w:t xml:space="preserve">                      -   </w:t>
            </w:r>
          </w:p>
        </w:tc>
        <w:tc>
          <w:tcPr>
            <w:tcW w:w="0" w:type="auto"/>
            <w:shd w:val="clear" w:color="auto" w:fill="FFFFFF"/>
            <w:noWrap/>
          </w:tcPr>
          <w:p w:rsidR="00B951B1" w:rsidRPr="00E61612" w:rsidRDefault="00B951B1" w:rsidP="00CB78E6">
            <w:pPr>
              <w:spacing w:after="0"/>
              <w:jc w:val="right"/>
              <w:rPr>
                <w:rFonts w:eastAsia="Times New Roman" w:cs="Calibri"/>
                <w:color w:val="000000"/>
                <w:sz w:val="18"/>
                <w:szCs w:val="18"/>
              </w:rPr>
            </w:pPr>
            <w:r w:rsidRPr="00E61612">
              <w:rPr>
                <w:color w:val="000000"/>
                <w:sz w:val="20"/>
                <w:szCs w:val="20"/>
              </w:rPr>
              <w:t xml:space="preserve">                   -   </w:t>
            </w:r>
          </w:p>
        </w:tc>
        <w:tc>
          <w:tcPr>
            <w:tcW w:w="0" w:type="auto"/>
            <w:shd w:val="clear" w:color="auto" w:fill="FFFFFF"/>
            <w:noWrap/>
          </w:tcPr>
          <w:p w:rsidR="00B951B1" w:rsidRPr="00E61612" w:rsidRDefault="00B951B1" w:rsidP="00CB78E6">
            <w:pPr>
              <w:spacing w:after="0"/>
              <w:jc w:val="right"/>
              <w:rPr>
                <w:rFonts w:eastAsia="Times New Roman" w:cs="Calibri"/>
                <w:color w:val="000000"/>
                <w:sz w:val="18"/>
                <w:szCs w:val="18"/>
              </w:rPr>
            </w:pPr>
            <w:r w:rsidRPr="00E61612">
              <w:rPr>
                <w:color w:val="000000"/>
                <w:sz w:val="20"/>
                <w:szCs w:val="20"/>
              </w:rPr>
              <w:t xml:space="preserve">                 (720)</w:t>
            </w:r>
          </w:p>
        </w:tc>
      </w:tr>
      <w:tr w:rsidR="00B951B1" w:rsidRPr="00E61612" w:rsidTr="00CB78E6">
        <w:trPr>
          <w:trHeight w:val="20"/>
        </w:trPr>
        <w:tc>
          <w:tcPr>
            <w:tcW w:w="0" w:type="auto"/>
            <w:tcBorders>
              <w:bottom w:val="single" w:sz="4" w:space="0" w:color="auto"/>
            </w:tcBorders>
            <w:shd w:val="clear" w:color="auto" w:fill="FFFFFF"/>
          </w:tcPr>
          <w:p w:rsidR="00B951B1" w:rsidRPr="00E61612" w:rsidRDefault="00B951B1" w:rsidP="00CB78E6">
            <w:pPr>
              <w:spacing w:after="0"/>
              <w:jc w:val="center"/>
              <w:rPr>
                <w:rFonts w:eastAsia="Times New Roman" w:cs="Calibri"/>
                <w:b/>
                <w:bCs/>
                <w:color w:val="000000"/>
                <w:sz w:val="18"/>
                <w:szCs w:val="18"/>
              </w:rPr>
            </w:pPr>
            <w:r w:rsidRPr="00E61612">
              <w:rPr>
                <w:b/>
                <w:bCs/>
                <w:color w:val="000000"/>
                <w:sz w:val="20"/>
                <w:szCs w:val="20"/>
              </w:rPr>
              <w:t>A3.3.2</w:t>
            </w:r>
          </w:p>
        </w:tc>
        <w:tc>
          <w:tcPr>
            <w:tcW w:w="0" w:type="auto"/>
            <w:tcBorders>
              <w:bottom w:val="single" w:sz="4" w:space="0" w:color="auto"/>
            </w:tcBorders>
            <w:shd w:val="clear" w:color="auto" w:fill="FFFFFF"/>
          </w:tcPr>
          <w:p w:rsidR="00B951B1" w:rsidRPr="00E61612" w:rsidRDefault="00B951B1" w:rsidP="00CB78E6">
            <w:pPr>
              <w:spacing w:after="0"/>
              <w:rPr>
                <w:rFonts w:eastAsia="Times New Roman" w:cs="Calibri"/>
                <w:sz w:val="18"/>
                <w:szCs w:val="18"/>
              </w:rPr>
            </w:pPr>
            <w:r w:rsidRPr="00E61612">
              <w:rPr>
                <w:sz w:val="20"/>
                <w:szCs w:val="20"/>
              </w:rPr>
              <w:t>Hartimi i udhëzuesve dhe materialeve ndihmëse për mësues për fushat gjuhët dhe komunikimi, matematikë dhe shkencat e natyrës</w:t>
            </w:r>
          </w:p>
        </w:tc>
        <w:tc>
          <w:tcPr>
            <w:tcW w:w="0" w:type="auto"/>
            <w:tcBorders>
              <w:bottom w:val="single" w:sz="4" w:space="0" w:color="auto"/>
            </w:tcBorders>
            <w:shd w:val="clear" w:color="auto" w:fill="FFFFFF"/>
          </w:tcPr>
          <w:p w:rsidR="00B951B1" w:rsidRPr="00E61612" w:rsidRDefault="00B951B1" w:rsidP="00CB78E6">
            <w:pPr>
              <w:spacing w:after="0"/>
              <w:jc w:val="center"/>
              <w:rPr>
                <w:rFonts w:eastAsia="Times New Roman" w:cs="Calibri"/>
                <w:color w:val="000000"/>
                <w:sz w:val="18"/>
                <w:szCs w:val="18"/>
              </w:rPr>
            </w:pPr>
            <w:r w:rsidRPr="00E61612">
              <w:rPr>
                <w:color w:val="000000"/>
                <w:sz w:val="20"/>
                <w:szCs w:val="20"/>
              </w:rPr>
              <w:t>ASCAP</w:t>
            </w:r>
          </w:p>
        </w:tc>
        <w:tc>
          <w:tcPr>
            <w:tcW w:w="0" w:type="auto"/>
            <w:tcBorders>
              <w:bottom w:val="single" w:sz="4" w:space="0" w:color="auto"/>
            </w:tcBorders>
            <w:shd w:val="clear" w:color="auto" w:fill="FFFFFF"/>
          </w:tcPr>
          <w:p w:rsidR="00B951B1" w:rsidRPr="00E61612" w:rsidRDefault="00B951B1" w:rsidP="00CB78E6">
            <w:pPr>
              <w:spacing w:after="0"/>
              <w:jc w:val="center"/>
              <w:rPr>
                <w:rFonts w:eastAsia="Times New Roman" w:cs="Calibri"/>
                <w:color w:val="000000"/>
                <w:sz w:val="18"/>
                <w:szCs w:val="18"/>
              </w:rPr>
            </w:pPr>
            <w:r w:rsidRPr="00E61612">
              <w:rPr>
                <w:color w:val="000000"/>
                <w:sz w:val="20"/>
                <w:szCs w:val="20"/>
              </w:rPr>
              <w:t> </w:t>
            </w:r>
          </w:p>
        </w:tc>
        <w:tc>
          <w:tcPr>
            <w:tcW w:w="0" w:type="auto"/>
            <w:tcBorders>
              <w:bottom w:val="single" w:sz="4" w:space="0" w:color="auto"/>
            </w:tcBorders>
            <w:shd w:val="clear" w:color="auto" w:fill="FFFFFF"/>
          </w:tcPr>
          <w:p w:rsidR="00B951B1" w:rsidRPr="00E61612" w:rsidRDefault="00B951B1" w:rsidP="00CB78E6">
            <w:pPr>
              <w:spacing w:after="0"/>
              <w:jc w:val="center"/>
              <w:rPr>
                <w:rFonts w:eastAsia="Times New Roman" w:cs="Calibri"/>
                <w:color w:val="000000"/>
                <w:sz w:val="18"/>
                <w:szCs w:val="18"/>
              </w:rPr>
            </w:pPr>
            <w:r w:rsidRPr="00E61612">
              <w:rPr>
                <w:color w:val="000000"/>
                <w:sz w:val="20"/>
                <w:szCs w:val="20"/>
              </w:rPr>
              <w:t>TM4-2022</w:t>
            </w:r>
          </w:p>
        </w:tc>
        <w:tc>
          <w:tcPr>
            <w:tcW w:w="0" w:type="auto"/>
            <w:tcBorders>
              <w:bottom w:val="single" w:sz="4" w:space="0" w:color="auto"/>
            </w:tcBorders>
            <w:shd w:val="clear" w:color="auto" w:fill="FFFFFF"/>
          </w:tcPr>
          <w:p w:rsidR="00B951B1" w:rsidRPr="00E61612" w:rsidRDefault="00B951B1" w:rsidP="00CB78E6">
            <w:pPr>
              <w:spacing w:after="0"/>
              <w:jc w:val="center"/>
              <w:rPr>
                <w:rFonts w:eastAsia="Times New Roman" w:cs="Calibri"/>
                <w:color w:val="000000"/>
                <w:sz w:val="18"/>
                <w:szCs w:val="18"/>
              </w:rPr>
            </w:pPr>
            <w:r w:rsidRPr="00E61612">
              <w:rPr>
                <w:color w:val="000000"/>
                <w:sz w:val="20"/>
                <w:szCs w:val="20"/>
              </w:rPr>
              <w:t>TM2-2023</w:t>
            </w:r>
          </w:p>
        </w:tc>
        <w:tc>
          <w:tcPr>
            <w:tcW w:w="0" w:type="auto"/>
            <w:tcBorders>
              <w:bottom w:val="single" w:sz="4" w:space="0" w:color="auto"/>
            </w:tcBorders>
            <w:shd w:val="clear" w:color="auto" w:fill="FFFFFF"/>
            <w:noWrap/>
          </w:tcPr>
          <w:p w:rsidR="00B951B1" w:rsidRPr="00E61612" w:rsidRDefault="00B951B1" w:rsidP="00CB78E6">
            <w:pPr>
              <w:spacing w:after="0"/>
              <w:jc w:val="right"/>
              <w:rPr>
                <w:rFonts w:eastAsia="Times New Roman" w:cs="Calibri"/>
                <w:color w:val="000000"/>
                <w:sz w:val="18"/>
                <w:szCs w:val="18"/>
              </w:rPr>
            </w:pPr>
            <w:r w:rsidRPr="00E61612">
              <w:rPr>
                <w:color w:val="000000"/>
                <w:sz w:val="20"/>
                <w:szCs w:val="20"/>
              </w:rPr>
              <w:t xml:space="preserve">                        2,940 </w:t>
            </w:r>
          </w:p>
        </w:tc>
        <w:tc>
          <w:tcPr>
            <w:tcW w:w="0" w:type="auto"/>
            <w:tcBorders>
              <w:bottom w:val="single" w:sz="4" w:space="0" w:color="auto"/>
            </w:tcBorders>
            <w:shd w:val="clear" w:color="auto" w:fill="FFFFFF"/>
            <w:noWrap/>
          </w:tcPr>
          <w:p w:rsidR="00B951B1" w:rsidRPr="00E61612" w:rsidRDefault="00B951B1" w:rsidP="00CB78E6">
            <w:pPr>
              <w:spacing w:after="0"/>
              <w:jc w:val="right"/>
              <w:rPr>
                <w:rFonts w:eastAsia="Times New Roman" w:cs="Calibri"/>
                <w:color w:val="000000"/>
                <w:sz w:val="18"/>
                <w:szCs w:val="18"/>
              </w:rPr>
            </w:pPr>
            <w:r w:rsidRPr="00E61612">
              <w:rPr>
                <w:color w:val="000000"/>
                <w:sz w:val="20"/>
                <w:szCs w:val="20"/>
              </w:rPr>
              <w:t xml:space="preserve">                      -   </w:t>
            </w:r>
          </w:p>
        </w:tc>
        <w:tc>
          <w:tcPr>
            <w:tcW w:w="0" w:type="auto"/>
            <w:tcBorders>
              <w:bottom w:val="single" w:sz="4" w:space="0" w:color="auto"/>
            </w:tcBorders>
            <w:shd w:val="clear" w:color="auto" w:fill="FFFFFF"/>
            <w:noWrap/>
          </w:tcPr>
          <w:p w:rsidR="00B951B1" w:rsidRPr="00E61612" w:rsidRDefault="00B951B1" w:rsidP="00CB78E6">
            <w:pPr>
              <w:spacing w:after="0"/>
              <w:jc w:val="right"/>
              <w:rPr>
                <w:rFonts w:eastAsia="Times New Roman" w:cs="Calibri"/>
                <w:color w:val="000000"/>
                <w:sz w:val="18"/>
                <w:szCs w:val="18"/>
              </w:rPr>
            </w:pPr>
            <w:r w:rsidRPr="00E61612">
              <w:rPr>
                <w:color w:val="000000"/>
                <w:sz w:val="20"/>
                <w:szCs w:val="20"/>
              </w:rPr>
              <w:t xml:space="preserve">                   -   </w:t>
            </w:r>
          </w:p>
        </w:tc>
        <w:tc>
          <w:tcPr>
            <w:tcW w:w="0" w:type="auto"/>
            <w:tcBorders>
              <w:bottom w:val="single" w:sz="4" w:space="0" w:color="auto"/>
            </w:tcBorders>
            <w:shd w:val="clear" w:color="auto" w:fill="FFFFFF"/>
            <w:noWrap/>
          </w:tcPr>
          <w:p w:rsidR="00B951B1" w:rsidRPr="00E61612" w:rsidRDefault="00B951B1" w:rsidP="00CB78E6">
            <w:pPr>
              <w:spacing w:after="0"/>
              <w:jc w:val="right"/>
              <w:rPr>
                <w:rFonts w:eastAsia="Times New Roman" w:cs="Calibri"/>
                <w:color w:val="000000"/>
                <w:sz w:val="18"/>
                <w:szCs w:val="18"/>
              </w:rPr>
            </w:pPr>
            <w:r w:rsidRPr="00E61612">
              <w:rPr>
                <w:color w:val="000000"/>
                <w:sz w:val="20"/>
                <w:szCs w:val="20"/>
              </w:rPr>
              <w:t xml:space="preserve">              (2,940)</w:t>
            </w:r>
          </w:p>
        </w:tc>
      </w:tr>
      <w:tr w:rsidR="00B951B1" w:rsidRPr="00E61612" w:rsidTr="00CB78E6">
        <w:trPr>
          <w:trHeight w:val="20"/>
        </w:trPr>
        <w:tc>
          <w:tcPr>
            <w:tcW w:w="0" w:type="auto"/>
            <w:shd w:val="clear" w:color="auto" w:fill="D9D9D9"/>
          </w:tcPr>
          <w:p w:rsidR="00B951B1" w:rsidRPr="00E61612" w:rsidRDefault="00B951B1" w:rsidP="00CB78E6">
            <w:pPr>
              <w:spacing w:after="0"/>
              <w:jc w:val="center"/>
              <w:rPr>
                <w:rFonts w:eastAsia="Times New Roman" w:cs="Calibri"/>
                <w:b/>
                <w:bCs/>
                <w:color w:val="000000"/>
                <w:sz w:val="18"/>
                <w:szCs w:val="18"/>
              </w:rPr>
            </w:pPr>
            <w:r w:rsidRPr="00E61612">
              <w:rPr>
                <w:b/>
                <w:bCs/>
                <w:color w:val="000000"/>
                <w:sz w:val="20"/>
                <w:szCs w:val="20"/>
              </w:rPr>
              <w:t>A3.4</w:t>
            </w:r>
          </w:p>
        </w:tc>
        <w:tc>
          <w:tcPr>
            <w:tcW w:w="0" w:type="auto"/>
            <w:shd w:val="clear" w:color="auto" w:fill="D9D9D9"/>
          </w:tcPr>
          <w:p w:rsidR="00B951B1" w:rsidRPr="00E61612" w:rsidRDefault="00B951B1" w:rsidP="00CB78E6">
            <w:pPr>
              <w:spacing w:after="0"/>
              <w:rPr>
                <w:rFonts w:eastAsia="Times New Roman" w:cs="Calibri"/>
                <w:sz w:val="18"/>
                <w:szCs w:val="18"/>
              </w:rPr>
            </w:pPr>
            <w:r w:rsidRPr="00E61612">
              <w:rPr>
                <w:sz w:val="20"/>
                <w:szCs w:val="20"/>
              </w:rPr>
              <w:t xml:space="preserve"> </w:t>
            </w:r>
            <w:r>
              <w:rPr>
                <w:sz w:val="20"/>
                <w:szCs w:val="20"/>
              </w:rPr>
              <w:t>Garantimi</w:t>
            </w:r>
            <w:r w:rsidRPr="00E61612">
              <w:rPr>
                <w:sz w:val="20"/>
                <w:szCs w:val="20"/>
              </w:rPr>
              <w:t xml:space="preserve"> i besueshmërisë së vlerësimeve kombëtare</w:t>
            </w:r>
          </w:p>
        </w:tc>
        <w:tc>
          <w:tcPr>
            <w:tcW w:w="0" w:type="auto"/>
            <w:shd w:val="clear" w:color="auto" w:fill="D9D9D9"/>
          </w:tcPr>
          <w:p w:rsidR="00B951B1" w:rsidRPr="00E61612" w:rsidRDefault="00B951B1" w:rsidP="00CB78E6">
            <w:pPr>
              <w:spacing w:after="0"/>
              <w:jc w:val="center"/>
              <w:rPr>
                <w:rFonts w:eastAsia="Times New Roman" w:cs="Calibri"/>
                <w:color w:val="000000"/>
                <w:sz w:val="18"/>
                <w:szCs w:val="18"/>
              </w:rPr>
            </w:pPr>
            <w:r w:rsidRPr="00E61612">
              <w:rPr>
                <w:color w:val="000000"/>
                <w:sz w:val="20"/>
                <w:szCs w:val="20"/>
              </w:rPr>
              <w:t>QSHA</w:t>
            </w:r>
          </w:p>
        </w:tc>
        <w:tc>
          <w:tcPr>
            <w:tcW w:w="0" w:type="auto"/>
            <w:shd w:val="clear" w:color="auto" w:fill="D9D9D9"/>
          </w:tcPr>
          <w:p w:rsidR="00B951B1" w:rsidRPr="00E61612" w:rsidRDefault="00B951B1" w:rsidP="00CB78E6">
            <w:pPr>
              <w:spacing w:after="0"/>
              <w:jc w:val="center"/>
              <w:rPr>
                <w:rFonts w:eastAsia="Times New Roman" w:cs="Calibri"/>
                <w:color w:val="000000"/>
                <w:sz w:val="18"/>
                <w:szCs w:val="18"/>
              </w:rPr>
            </w:pPr>
            <w:r w:rsidRPr="00E61612">
              <w:rPr>
                <w:color w:val="000000"/>
                <w:sz w:val="20"/>
                <w:szCs w:val="20"/>
              </w:rPr>
              <w:t> </w:t>
            </w:r>
          </w:p>
        </w:tc>
        <w:tc>
          <w:tcPr>
            <w:tcW w:w="0" w:type="auto"/>
            <w:shd w:val="clear" w:color="auto" w:fill="D9D9D9"/>
          </w:tcPr>
          <w:p w:rsidR="00B951B1" w:rsidRPr="00E61612" w:rsidRDefault="00B951B1" w:rsidP="00CB78E6">
            <w:pPr>
              <w:spacing w:after="0"/>
              <w:jc w:val="center"/>
              <w:rPr>
                <w:rFonts w:eastAsia="Times New Roman" w:cs="Calibri"/>
                <w:color w:val="000000"/>
                <w:sz w:val="18"/>
                <w:szCs w:val="18"/>
              </w:rPr>
            </w:pPr>
            <w:r w:rsidRPr="00E61612">
              <w:rPr>
                <w:color w:val="000000"/>
                <w:sz w:val="20"/>
                <w:szCs w:val="20"/>
              </w:rPr>
              <w:t>TM2-2022</w:t>
            </w:r>
          </w:p>
        </w:tc>
        <w:tc>
          <w:tcPr>
            <w:tcW w:w="0" w:type="auto"/>
            <w:shd w:val="clear" w:color="auto" w:fill="D9D9D9"/>
          </w:tcPr>
          <w:p w:rsidR="00B951B1" w:rsidRPr="00E61612" w:rsidRDefault="00B951B1" w:rsidP="00CB78E6">
            <w:pPr>
              <w:spacing w:after="0"/>
              <w:jc w:val="center"/>
              <w:rPr>
                <w:rFonts w:eastAsia="Times New Roman" w:cs="Calibri"/>
                <w:color w:val="000000"/>
                <w:sz w:val="18"/>
                <w:szCs w:val="18"/>
              </w:rPr>
            </w:pPr>
            <w:r w:rsidRPr="00E61612">
              <w:rPr>
                <w:color w:val="000000"/>
                <w:sz w:val="20"/>
                <w:szCs w:val="20"/>
              </w:rPr>
              <w:t>TM2-2023</w:t>
            </w:r>
          </w:p>
        </w:tc>
        <w:tc>
          <w:tcPr>
            <w:tcW w:w="0" w:type="auto"/>
            <w:shd w:val="clear" w:color="auto" w:fill="D9D9D9"/>
            <w:noWrap/>
          </w:tcPr>
          <w:p w:rsidR="00B951B1" w:rsidRPr="00E61612" w:rsidRDefault="00B951B1" w:rsidP="00CB78E6">
            <w:pPr>
              <w:spacing w:after="0"/>
              <w:jc w:val="right"/>
              <w:rPr>
                <w:rFonts w:eastAsia="Times New Roman" w:cs="Calibri"/>
                <w:color w:val="000000"/>
                <w:sz w:val="18"/>
                <w:szCs w:val="18"/>
              </w:rPr>
            </w:pPr>
            <w:r w:rsidRPr="00E61612">
              <w:rPr>
                <w:color w:val="000000"/>
                <w:sz w:val="20"/>
                <w:szCs w:val="20"/>
              </w:rPr>
              <w:t xml:space="preserve">                        9,480 </w:t>
            </w:r>
          </w:p>
        </w:tc>
        <w:tc>
          <w:tcPr>
            <w:tcW w:w="0" w:type="auto"/>
            <w:shd w:val="clear" w:color="auto" w:fill="D9D9D9"/>
            <w:noWrap/>
          </w:tcPr>
          <w:p w:rsidR="00B951B1" w:rsidRPr="00E61612" w:rsidRDefault="00B951B1" w:rsidP="00CB78E6">
            <w:pPr>
              <w:spacing w:after="0"/>
              <w:jc w:val="right"/>
              <w:rPr>
                <w:rFonts w:eastAsia="Times New Roman" w:cs="Calibri"/>
                <w:color w:val="000000"/>
                <w:sz w:val="18"/>
                <w:szCs w:val="18"/>
              </w:rPr>
            </w:pPr>
            <w:r w:rsidRPr="00E61612">
              <w:rPr>
                <w:color w:val="000000"/>
                <w:sz w:val="20"/>
                <w:szCs w:val="20"/>
              </w:rPr>
              <w:t xml:space="preserve">                      -   </w:t>
            </w:r>
          </w:p>
        </w:tc>
        <w:tc>
          <w:tcPr>
            <w:tcW w:w="0" w:type="auto"/>
            <w:shd w:val="clear" w:color="auto" w:fill="D9D9D9"/>
            <w:noWrap/>
          </w:tcPr>
          <w:p w:rsidR="00B951B1" w:rsidRPr="00E61612" w:rsidRDefault="00B951B1" w:rsidP="00CB78E6">
            <w:pPr>
              <w:spacing w:after="0"/>
              <w:jc w:val="right"/>
              <w:rPr>
                <w:rFonts w:eastAsia="Times New Roman" w:cs="Calibri"/>
                <w:color w:val="000000"/>
                <w:sz w:val="18"/>
                <w:szCs w:val="18"/>
              </w:rPr>
            </w:pPr>
            <w:r w:rsidRPr="00E61612">
              <w:rPr>
                <w:color w:val="000000"/>
                <w:sz w:val="20"/>
                <w:szCs w:val="20"/>
              </w:rPr>
              <w:t xml:space="preserve">                   -   </w:t>
            </w:r>
          </w:p>
        </w:tc>
        <w:tc>
          <w:tcPr>
            <w:tcW w:w="0" w:type="auto"/>
            <w:shd w:val="clear" w:color="auto" w:fill="D9D9D9"/>
            <w:noWrap/>
          </w:tcPr>
          <w:p w:rsidR="00B951B1" w:rsidRPr="00E61612" w:rsidRDefault="00B951B1" w:rsidP="00CB78E6">
            <w:pPr>
              <w:spacing w:after="0"/>
              <w:jc w:val="right"/>
              <w:rPr>
                <w:rFonts w:eastAsia="Times New Roman" w:cs="Calibri"/>
                <w:color w:val="000000"/>
                <w:sz w:val="18"/>
                <w:szCs w:val="18"/>
              </w:rPr>
            </w:pPr>
            <w:r w:rsidRPr="00E61612">
              <w:rPr>
                <w:color w:val="000000"/>
                <w:sz w:val="20"/>
                <w:szCs w:val="20"/>
              </w:rPr>
              <w:t xml:space="preserve">              (9,480)</w:t>
            </w:r>
          </w:p>
        </w:tc>
      </w:tr>
      <w:tr w:rsidR="00B951B1" w:rsidRPr="00E61612" w:rsidTr="00CB78E6">
        <w:trPr>
          <w:trHeight w:val="20"/>
        </w:trPr>
        <w:tc>
          <w:tcPr>
            <w:tcW w:w="0" w:type="auto"/>
            <w:shd w:val="clear" w:color="auto" w:fill="FFFFFF"/>
          </w:tcPr>
          <w:p w:rsidR="00B951B1" w:rsidRPr="00E61612" w:rsidRDefault="00B951B1" w:rsidP="00CB78E6">
            <w:pPr>
              <w:spacing w:after="0"/>
              <w:jc w:val="center"/>
              <w:rPr>
                <w:rFonts w:eastAsia="Times New Roman" w:cs="Calibri"/>
                <w:b/>
                <w:bCs/>
                <w:color w:val="000000"/>
                <w:sz w:val="18"/>
                <w:szCs w:val="18"/>
              </w:rPr>
            </w:pPr>
            <w:r w:rsidRPr="00E61612">
              <w:rPr>
                <w:b/>
                <w:bCs/>
                <w:color w:val="000000"/>
                <w:sz w:val="20"/>
                <w:szCs w:val="20"/>
              </w:rPr>
              <w:t>A3.4.1</w:t>
            </w:r>
          </w:p>
        </w:tc>
        <w:tc>
          <w:tcPr>
            <w:tcW w:w="0" w:type="auto"/>
            <w:shd w:val="clear" w:color="auto" w:fill="FFFFFF"/>
          </w:tcPr>
          <w:p w:rsidR="00B951B1" w:rsidRPr="00E61612" w:rsidRDefault="00B951B1" w:rsidP="00CB78E6">
            <w:pPr>
              <w:spacing w:after="0"/>
              <w:rPr>
                <w:rFonts w:eastAsia="Times New Roman" w:cs="Calibri"/>
                <w:sz w:val="18"/>
                <w:szCs w:val="18"/>
              </w:rPr>
            </w:pPr>
            <w:r w:rsidRPr="00E61612">
              <w:rPr>
                <w:sz w:val="20"/>
                <w:szCs w:val="20"/>
              </w:rPr>
              <w:t>Përmirësimi i administrimit dhe cilësisë së provimeve bazuar në kompetenca</w:t>
            </w:r>
          </w:p>
        </w:tc>
        <w:tc>
          <w:tcPr>
            <w:tcW w:w="0" w:type="auto"/>
            <w:shd w:val="clear" w:color="auto" w:fill="FFFFFF"/>
          </w:tcPr>
          <w:p w:rsidR="00B951B1" w:rsidRPr="00E61612" w:rsidRDefault="00B951B1" w:rsidP="00CB78E6">
            <w:pPr>
              <w:spacing w:after="0"/>
              <w:jc w:val="center"/>
              <w:rPr>
                <w:rFonts w:eastAsia="Times New Roman" w:cs="Calibri"/>
                <w:color w:val="000000"/>
                <w:sz w:val="18"/>
                <w:szCs w:val="18"/>
              </w:rPr>
            </w:pPr>
            <w:r w:rsidRPr="00E61612">
              <w:rPr>
                <w:color w:val="000000"/>
                <w:sz w:val="20"/>
                <w:szCs w:val="20"/>
              </w:rPr>
              <w:t>QSHA</w:t>
            </w:r>
          </w:p>
        </w:tc>
        <w:tc>
          <w:tcPr>
            <w:tcW w:w="0" w:type="auto"/>
            <w:shd w:val="clear" w:color="auto" w:fill="FFFFFF"/>
          </w:tcPr>
          <w:p w:rsidR="00B951B1" w:rsidRPr="00E61612" w:rsidRDefault="00B951B1" w:rsidP="00CB78E6">
            <w:pPr>
              <w:spacing w:after="0"/>
              <w:jc w:val="center"/>
              <w:rPr>
                <w:rFonts w:eastAsia="Times New Roman" w:cs="Calibri"/>
                <w:color w:val="000000"/>
                <w:sz w:val="18"/>
                <w:szCs w:val="18"/>
              </w:rPr>
            </w:pPr>
            <w:r w:rsidRPr="00E61612">
              <w:rPr>
                <w:color w:val="000000"/>
                <w:sz w:val="20"/>
                <w:szCs w:val="20"/>
              </w:rPr>
              <w:t> </w:t>
            </w:r>
          </w:p>
        </w:tc>
        <w:tc>
          <w:tcPr>
            <w:tcW w:w="0" w:type="auto"/>
            <w:shd w:val="clear" w:color="auto" w:fill="FFFFFF"/>
          </w:tcPr>
          <w:p w:rsidR="00B951B1" w:rsidRPr="00E61612" w:rsidRDefault="00B951B1" w:rsidP="00CB78E6">
            <w:pPr>
              <w:spacing w:after="0"/>
              <w:jc w:val="center"/>
              <w:rPr>
                <w:rFonts w:eastAsia="Times New Roman" w:cs="Calibri"/>
                <w:color w:val="000000"/>
                <w:sz w:val="18"/>
                <w:szCs w:val="18"/>
              </w:rPr>
            </w:pPr>
            <w:r w:rsidRPr="00E61612">
              <w:rPr>
                <w:color w:val="000000"/>
                <w:sz w:val="20"/>
                <w:szCs w:val="20"/>
              </w:rPr>
              <w:t>TM3-2022</w:t>
            </w:r>
          </w:p>
        </w:tc>
        <w:tc>
          <w:tcPr>
            <w:tcW w:w="0" w:type="auto"/>
            <w:shd w:val="clear" w:color="auto" w:fill="FFFFFF"/>
          </w:tcPr>
          <w:p w:rsidR="00B951B1" w:rsidRPr="00E61612" w:rsidRDefault="00B951B1" w:rsidP="00CB78E6">
            <w:pPr>
              <w:spacing w:after="0"/>
              <w:jc w:val="center"/>
              <w:rPr>
                <w:rFonts w:eastAsia="Times New Roman" w:cs="Calibri"/>
                <w:color w:val="000000"/>
                <w:sz w:val="18"/>
                <w:szCs w:val="18"/>
              </w:rPr>
            </w:pPr>
            <w:r w:rsidRPr="00E61612">
              <w:rPr>
                <w:color w:val="000000"/>
                <w:sz w:val="20"/>
                <w:szCs w:val="20"/>
              </w:rPr>
              <w:t>TM2-2023</w:t>
            </w:r>
          </w:p>
        </w:tc>
        <w:tc>
          <w:tcPr>
            <w:tcW w:w="0" w:type="auto"/>
            <w:shd w:val="clear" w:color="auto" w:fill="FFFFFF"/>
            <w:noWrap/>
          </w:tcPr>
          <w:p w:rsidR="00B951B1" w:rsidRPr="00E61612" w:rsidRDefault="00B951B1" w:rsidP="00CB78E6">
            <w:pPr>
              <w:spacing w:after="0"/>
              <w:jc w:val="right"/>
              <w:rPr>
                <w:rFonts w:eastAsia="Times New Roman" w:cs="Calibri"/>
                <w:color w:val="000000"/>
                <w:sz w:val="18"/>
                <w:szCs w:val="18"/>
              </w:rPr>
            </w:pPr>
            <w:r w:rsidRPr="00E61612">
              <w:rPr>
                <w:color w:val="000000"/>
                <w:sz w:val="20"/>
                <w:szCs w:val="20"/>
              </w:rPr>
              <w:t xml:space="preserve">                        7,980 </w:t>
            </w:r>
          </w:p>
        </w:tc>
        <w:tc>
          <w:tcPr>
            <w:tcW w:w="0" w:type="auto"/>
            <w:shd w:val="clear" w:color="auto" w:fill="FFFFFF"/>
            <w:noWrap/>
          </w:tcPr>
          <w:p w:rsidR="00B951B1" w:rsidRPr="00E61612" w:rsidRDefault="00B951B1" w:rsidP="00CB78E6">
            <w:pPr>
              <w:spacing w:after="0"/>
              <w:jc w:val="right"/>
              <w:rPr>
                <w:rFonts w:eastAsia="Times New Roman" w:cs="Calibri"/>
                <w:color w:val="000000"/>
                <w:sz w:val="18"/>
                <w:szCs w:val="18"/>
              </w:rPr>
            </w:pPr>
            <w:r w:rsidRPr="00E61612">
              <w:rPr>
                <w:color w:val="000000"/>
                <w:sz w:val="20"/>
                <w:szCs w:val="20"/>
              </w:rPr>
              <w:t xml:space="preserve">                      -   </w:t>
            </w:r>
          </w:p>
        </w:tc>
        <w:tc>
          <w:tcPr>
            <w:tcW w:w="0" w:type="auto"/>
            <w:shd w:val="clear" w:color="auto" w:fill="FFFFFF"/>
            <w:noWrap/>
          </w:tcPr>
          <w:p w:rsidR="00B951B1" w:rsidRPr="00E61612" w:rsidRDefault="00B951B1" w:rsidP="00CB78E6">
            <w:pPr>
              <w:spacing w:after="0"/>
              <w:jc w:val="right"/>
              <w:rPr>
                <w:rFonts w:eastAsia="Times New Roman" w:cs="Calibri"/>
                <w:color w:val="000000"/>
                <w:sz w:val="18"/>
                <w:szCs w:val="18"/>
              </w:rPr>
            </w:pPr>
            <w:r w:rsidRPr="00E61612">
              <w:rPr>
                <w:color w:val="000000"/>
                <w:sz w:val="20"/>
                <w:szCs w:val="20"/>
              </w:rPr>
              <w:t xml:space="preserve">                   -   </w:t>
            </w:r>
          </w:p>
        </w:tc>
        <w:tc>
          <w:tcPr>
            <w:tcW w:w="0" w:type="auto"/>
            <w:shd w:val="clear" w:color="auto" w:fill="FFFFFF"/>
            <w:noWrap/>
          </w:tcPr>
          <w:p w:rsidR="00B951B1" w:rsidRPr="00E61612" w:rsidRDefault="00B951B1" w:rsidP="00CB78E6">
            <w:pPr>
              <w:spacing w:after="0"/>
              <w:jc w:val="right"/>
              <w:rPr>
                <w:rFonts w:eastAsia="Times New Roman" w:cs="Calibri"/>
                <w:color w:val="000000"/>
                <w:sz w:val="18"/>
                <w:szCs w:val="18"/>
              </w:rPr>
            </w:pPr>
            <w:r w:rsidRPr="00E61612">
              <w:rPr>
                <w:color w:val="000000"/>
                <w:sz w:val="20"/>
                <w:szCs w:val="20"/>
              </w:rPr>
              <w:t xml:space="preserve">              (7,980)</w:t>
            </w:r>
          </w:p>
        </w:tc>
      </w:tr>
      <w:tr w:rsidR="00B951B1" w:rsidRPr="00E61612" w:rsidTr="00CB78E6">
        <w:trPr>
          <w:trHeight w:val="20"/>
        </w:trPr>
        <w:tc>
          <w:tcPr>
            <w:tcW w:w="0" w:type="auto"/>
            <w:tcBorders>
              <w:bottom w:val="single" w:sz="4" w:space="0" w:color="auto"/>
            </w:tcBorders>
            <w:shd w:val="clear" w:color="auto" w:fill="FFFFFF"/>
          </w:tcPr>
          <w:p w:rsidR="00B951B1" w:rsidRPr="00E61612" w:rsidRDefault="00B951B1" w:rsidP="00CB78E6">
            <w:pPr>
              <w:spacing w:after="0"/>
              <w:jc w:val="center"/>
              <w:rPr>
                <w:rFonts w:eastAsia="Times New Roman" w:cs="Calibri"/>
                <w:b/>
                <w:bCs/>
                <w:color w:val="000000"/>
                <w:sz w:val="18"/>
                <w:szCs w:val="18"/>
              </w:rPr>
            </w:pPr>
            <w:r w:rsidRPr="00E61612">
              <w:rPr>
                <w:b/>
                <w:bCs/>
                <w:color w:val="000000"/>
                <w:sz w:val="20"/>
                <w:szCs w:val="20"/>
              </w:rPr>
              <w:t>A3.4.2</w:t>
            </w:r>
          </w:p>
        </w:tc>
        <w:tc>
          <w:tcPr>
            <w:tcW w:w="0" w:type="auto"/>
            <w:tcBorders>
              <w:bottom w:val="single" w:sz="4" w:space="0" w:color="auto"/>
            </w:tcBorders>
            <w:shd w:val="clear" w:color="auto" w:fill="FFFFFF"/>
          </w:tcPr>
          <w:p w:rsidR="00B951B1" w:rsidRPr="00E61612" w:rsidRDefault="00B951B1" w:rsidP="00CB78E6">
            <w:pPr>
              <w:spacing w:after="0"/>
              <w:rPr>
                <w:rFonts w:eastAsia="Times New Roman" w:cs="Calibri"/>
                <w:sz w:val="18"/>
                <w:szCs w:val="18"/>
              </w:rPr>
            </w:pPr>
            <w:r w:rsidRPr="00E61612">
              <w:rPr>
                <w:sz w:val="20"/>
                <w:szCs w:val="20"/>
              </w:rPr>
              <w:t>Raportimi i rezultateve të VANAF dhe PKAB</w:t>
            </w:r>
          </w:p>
        </w:tc>
        <w:tc>
          <w:tcPr>
            <w:tcW w:w="0" w:type="auto"/>
            <w:tcBorders>
              <w:bottom w:val="single" w:sz="4" w:space="0" w:color="auto"/>
            </w:tcBorders>
            <w:shd w:val="clear" w:color="auto" w:fill="FFFFFF"/>
          </w:tcPr>
          <w:p w:rsidR="00B951B1" w:rsidRPr="00E61612" w:rsidRDefault="00B951B1" w:rsidP="00CB78E6">
            <w:pPr>
              <w:spacing w:after="0"/>
              <w:jc w:val="center"/>
              <w:rPr>
                <w:rFonts w:eastAsia="Times New Roman" w:cs="Calibri"/>
                <w:color w:val="000000"/>
                <w:sz w:val="18"/>
                <w:szCs w:val="18"/>
              </w:rPr>
            </w:pPr>
            <w:r w:rsidRPr="00E61612">
              <w:rPr>
                <w:color w:val="000000"/>
                <w:sz w:val="20"/>
                <w:szCs w:val="20"/>
              </w:rPr>
              <w:t>QSHA</w:t>
            </w:r>
          </w:p>
        </w:tc>
        <w:tc>
          <w:tcPr>
            <w:tcW w:w="0" w:type="auto"/>
            <w:tcBorders>
              <w:bottom w:val="single" w:sz="4" w:space="0" w:color="auto"/>
            </w:tcBorders>
            <w:shd w:val="clear" w:color="auto" w:fill="FFFFFF"/>
          </w:tcPr>
          <w:p w:rsidR="00B951B1" w:rsidRPr="00E61612" w:rsidRDefault="00B951B1" w:rsidP="00CB78E6">
            <w:pPr>
              <w:spacing w:after="0"/>
              <w:jc w:val="center"/>
              <w:rPr>
                <w:rFonts w:eastAsia="Times New Roman" w:cs="Calibri"/>
                <w:color w:val="000000"/>
                <w:sz w:val="18"/>
                <w:szCs w:val="18"/>
              </w:rPr>
            </w:pPr>
            <w:r w:rsidRPr="00E61612">
              <w:rPr>
                <w:color w:val="000000"/>
                <w:sz w:val="20"/>
                <w:szCs w:val="20"/>
              </w:rPr>
              <w:t> </w:t>
            </w:r>
          </w:p>
        </w:tc>
        <w:tc>
          <w:tcPr>
            <w:tcW w:w="0" w:type="auto"/>
            <w:tcBorders>
              <w:bottom w:val="single" w:sz="4" w:space="0" w:color="auto"/>
            </w:tcBorders>
            <w:shd w:val="clear" w:color="auto" w:fill="FFFFFF"/>
          </w:tcPr>
          <w:p w:rsidR="00B951B1" w:rsidRPr="00E61612" w:rsidRDefault="00B951B1" w:rsidP="00CB78E6">
            <w:pPr>
              <w:spacing w:after="0"/>
              <w:jc w:val="center"/>
              <w:rPr>
                <w:rFonts w:eastAsia="Times New Roman" w:cs="Calibri"/>
                <w:color w:val="000000"/>
                <w:sz w:val="18"/>
                <w:szCs w:val="18"/>
              </w:rPr>
            </w:pPr>
            <w:r w:rsidRPr="00E61612">
              <w:rPr>
                <w:color w:val="000000"/>
                <w:sz w:val="20"/>
                <w:szCs w:val="20"/>
              </w:rPr>
              <w:t>TM2-2022</w:t>
            </w:r>
          </w:p>
        </w:tc>
        <w:tc>
          <w:tcPr>
            <w:tcW w:w="0" w:type="auto"/>
            <w:tcBorders>
              <w:bottom w:val="single" w:sz="4" w:space="0" w:color="auto"/>
            </w:tcBorders>
            <w:shd w:val="clear" w:color="auto" w:fill="FFFFFF"/>
          </w:tcPr>
          <w:p w:rsidR="00B951B1" w:rsidRPr="00E61612" w:rsidRDefault="00B951B1" w:rsidP="00CB78E6">
            <w:pPr>
              <w:spacing w:after="0"/>
              <w:jc w:val="center"/>
              <w:rPr>
                <w:rFonts w:eastAsia="Times New Roman" w:cs="Calibri"/>
                <w:color w:val="000000"/>
                <w:sz w:val="18"/>
                <w:szCs w:val="18"/>
              </w:rPr>
            </w:pPr>
            <w:r w:rsidRPr="00E61612">
              <w:rPr>
                <w:color w:val="000000"/>
                <w:sz w:val="20"/>
                <w:szCs w:val="20"/>
              </w:rPr>
              <w:t>TM2-2022</w:t>
            </w:r>
          </w:p>
        </w:tc>
        <w:tc>
          <w:tcPr>
            <w:tcW w:w="0" w:type="auto"/>
            <w:tcBorders>
              <w:bottom w:val="single" w:sz="4" w:space="0" w:color="auto"/>
            </w:tcBorders>
            <w:shd w:val="clear" w:color="auto" w:fill="FFFFFF"/>
            <w:noWrap/>
          </w:tcPr>
          <w:p w:rsidR="00B951B1" w:rsidRPr="00E61612" w:rsidRDefault="00B951B1" w:rsidP="00CB78E6">
            <w:pPr>
              <w:spacing w:after="0"/>
              <w:jc w:val="right"/>
              <w:rPr>
                <w:rFonts w:eastAsia="Times New Roman" w:cs="Calibri"/>
                <w:color w:val="000000"/>
                <w:sz w:val="18"/>
                <w:szCs w:val="18"/>
              </w:rPr>
            </w:pPr>
            <w:r w:rsidRPr="00E61612">
              <w:rPr>
                <w:color w:val="000000"/>
                <w:sz w:val="20"/>
                <w:szCs w:val="20"/>
              </w:rPr>
              <w:t xml:space="preserve">                        1,500 </w:t>
            </w:r>
          </w:p>
        </w:tc>
        <w:tc>
          <w:tcPr>
            <w:tcW w:w="0" w:type="auto"/>
            <w:tcBorders>
              <w:bottom w:val="single" w:sz="4" w:space="0" w:color="auto"/>
            </w:tcBorders>
            <w:shd w:val="clear" w:color="auto" w:fill="FFFFFF"/>
            <w:noWrap/>
          </w:tcPr>
          <w:p w:rsidR="00B951B1" w:rsidRPr="00E61612" w:rsidRDefault="00B951B1" w:rsidP="00CB78E6">
            <w:pPr>
              <w:spacing w:after="0"/>
              <w:jc w:val="right"/>
              <w:rPr>
                <w:rFonts w:eastAsia="Times New Roman" w:cs="Calibri"/>
                <w:color w:val="000000"/>
                <w:sz w:val="18"/>
                <w:szCs w:val="18"/>
              </w:rPr>
            </w:pPr>
            <w:r w:rsidRPr="00E61612">
              <w:rPr>
                <w:color w:val="000000"/>
                <w:sz w:val="20"/>
                <w:szCs w:val="20"/>
              </w:rPr>
              <w:t xml:space="preserve">                      -   </w:t>
            </w:r>
          </w:p>
        </w:tc>
        <w:tc>
          <w:tcPr>
            <w:tcW w:w="0" w:type="auto"/>
            <w:tcBorders>
              <w:bottom w:val="single" w:sz="4" w:space="0" w:color="auto"/>
            </w:tcBorders>
            <w:shd w:val="clear" w:color="auto" w:fill="FFFFFF"/>
            <w:noWrap/>
          </w:tcPr>
          <w:p w:rsidR="00B951B1" w:rsidRPr="00E61612" w:rsidRDefault="00B951B1" w:rsidP="00CB78E6">
            <w:pPr>
              <w:spacing w:after="0"/>
              <w:jc w:val="right"/>
              <w:rPr>
                <w:rFonts w:eastAsia="Times New Roman" w:cs="Calibri"/>
                <w:color w:val="000000"/>
                <w:sz w:val="18"/>
                <w:szCs w:val="18"/>
              </w:rPr>
            </w:pPr>
            <w:r w:rsidRPr="00E61612">
              <w:rPr>
                <w:color w:val="000000"/>
                <w:sz w:val="20"/>
                <w:szCs w:val="20"/>
              </w:rPr>
              <w:t xml:space="preserve">                   -   </w:t>
            </w:r>
          </w:p>
        </w:tc>
        <w:tc>
          <w:tcPr>
            <w:tcW w:w="0" w:type="auto"/>
            <w:tcBorders>
              <w:bottom w:val="single" w:sz="4" w:space="0" w:color="auto"/>
            </w:tcBorders>
            <w:shd w:val="clear" w:color="auto" w:fill="FFFFFF"/>
            <w:noWrap/>
          </w:tcPr>
          <w:p w:rsidR="00B951B1" w:rsidRPr="00E61612" w:rsidRDefault="00B951B1" w:rsidP="00CB78E6">
            <w:pPr>
              <w:spacing w:after="0"/>
              <w:jc w:val="right"/>
              <w:rPr>
                <w:rFonts w:eastAsia="Times New Roman" w:cs="Calibri"/>
                <w:color w:val="000000"/>
                <w:sz w:val="18"/>
                <w:szCs w:val="18"/>
              </w:rPr>
            </w:pPr>
            <w:r w:rsidRPr="00E61612">
              <w:rPr>
                <w:color w:val="000000"/>
                <w:sz w:val="20"/>
                <w:szCs w:val="20"/>
              </w:rPr>
              <w:t xml:space="preserve">              (1,500)</w:t>
            </w:r>
          </w:p>
        </w:tc>
      </w:tr>
      <w:tr w:rsidR="00B951B1" w:rsidRPr="00E61612" w:rsidTr="00CB78E6">
        <w:trPr>
          <w:trHeight w:val="20"/>
        </w:trPr>
        <w:tc>
          <w:tcPr>
            <w:tcW w:w="0" w:type="auto"/>
            <w:shd w:val="clear" w:color="auto" w:fill="D9D9D9"/>
          </w:tcPr>
          <w:p w:rsidR="00B951B1" w:rsidRPr="00E61612" w:rsidRDefault="00B951B1" w:rsidP="00CB78E6">
            <w:pPr>
              <w:spacing w:after="0"/>
              <w:jc w:val="center"/>
              <w:rPr>
                <w:rFonts w:eastAsia="Times New Roman" w:cs="Calibri"/>
                <w:b/>
                <w:bCs/>
                <w:color w:val="000000"/>
                <w:sz w:val="18"/>
                <w:szCs w:val="18"/>
              </w:rPr>
            </w:pPr>
            <w:r w:rsidRPr="00E61612">
              <w:rPr>
                <w:b/>
                <w:bCs/>
                <w:color w:val="000000"/>
                <w:sz w:val="20"/>
                <w:szCs w:val="20"/>
              </w:rPr>
              <w:t>A3.5</w:t>
            </w:r>
          </w:p>
        </w:tc>
        <w:tc>
          <w:tcPr>
            <w:tcW w:w="0" w:type="auto"/>
            <w:shd w:val="clear" w:color="auto" w:fill="D9D9D9"/>
          </w:tcPr>
          <w:p w:rsidR="00B951B1" w:rsidRPr="00E61612" w:rsidRDefault="00B951B1" w:rsidP="00CB78E6">
            <w:pPr>
              <w:spacing w:after="0"/>
              <w:rPr>
                <w:rFonts w:eastAsia="Times New Roman" w:cs="Calibri"/>
                <w:sz w:val="18"/>
                <w:szCs w:val="18"/>
              </w:rPr>
            </w:pPr>
            <w:r w:rsidRPr="00E61612">
              <w:rPr>
                <w:sz w:val="20"/>
                <w:szCs w:val="20"/>
              </w:rPr>
              <w:t xml:space="preserve"> Të mësuarit e gjuhës angleze nga mosha 5</w:t>
            </w:r>
            <w:r>
              <w:rPr>
                <w:sz w:val="20"/>
                <w:szCs w:val="20"/>
              </w:rPr>
              <w:t>-</w:t>
            </w:r>
            <w:r w:rsidRPr="00E61612">
              <w:rPr>
                <w:sz w:val="20"/>
                <w:szCs w:val="20"/>
              </w:rPr>
              <w:t>vjeç</w:t>
            </w:r>
            <w:r>
              <w:rPr>
                <w:sz w:val="20"/>
                <w:szCs w:val="20"/>
              </w:rPr>
              <w:t>are</w:t>
            </w:r>
          </w:p>
        </w:tc>
        <w:tc>
          <w:tcPr>
            <w:tcW w:w="0" w:type="auto"/>
            <w:shd w:val="clear" w:color="auto" w:fill="D9D9D9"/>
          </w:tcPr>
          <w:p w:rsidR="00B951B1" w:rsidRPr="00E61612" w:rsidRDefault="00B951B1" w:rsidP="00CB78E6">
            <w:pPr>
              <w:spacing w:after="0"/>
              <w:jc w:val="center"/>
              <w:rPr>
                <w:rFonts w:eastAsia="Times New Roman" w:cs="Calibri"/>
                <w:color w:val="000000"/>
                <w:sz w:val="18"/>
                <w:szCs w:val="18"/>
              </w:rPr>
            </w:pPr>
            <w:r w:rsidRPr="00E61612">
              <w:rPr>
                <w:color w:val="000000"/>
                <w:sz w:val="20"/>
                <w:szCs w:val="20"/>
              </w:rPr>
              <w:t>MASR</w:t>
            </w:r>
          </w:p>
        </w:tc>
        <w:tc>
          <w:tcPr>
            <w:tcW w:w="0" w:type="auto"/>
            <w:shd w:val="clear" w:color="auto" w:fill="D9D9D9"/>
          </w:tcPr>
          <w:p w:rsidR="00B951B1" w:rsidRPr="00E61612" w:rsidRDefault="00B951B1" w:rsidP="00CB78E6">
            <w:pPr>
              <w:spacing w:after="0"/>
              <w:jc w:val="center"/>
              <w:rPr>
                <w:rFonts w:eastAsia="Times New Roman" w:cs="Calibri"/>
                <w:color w:val="000000"/>
                <w:sz w:val="18"/>
                <w:szCs w:val="18"/>
              </w:rPr>
            </w:pPr>
            <w:r w:rsidRPr="00E61612">
              <w:rPr>
                <w:color w:val="000000"/>
                <w:sz w:val="20"/>
                <w:szCs w:val="20"/>
              </w:rPr>
              <w:t>DPAP</w:t>
            </w:r>
          </w:p>
        </w:tc>
        <w:tc>
          <w:tcPr>
            <w:tcW w:w="0" w:type="auto"/>
            <w:shd w:val="clear" w:color="auto" w:fill="D9D9D9"/>
          </w:tcPr>
          <w:p w:rsidR="00B951B1" w:rsidRPr="00E61612" w:rsidRDefault="00B951B1" w:rsidP="00CB78E6">
            <w:pPr>
              <w:spacing w:after="0"/>
              <w:jc w:val="center"/>
              <w:rPr>
                <w:rFonts w:eastAsia="Times New Roman" w:cs="Calibri"/>
                <w:color w:val="000000"/>
                <w:sz w:val="18"/>
                <w:szCs w:val="18"/>
              </w:rPr>
            </w:pPr>
            <w:r w:rsidRPr="0089154A">
              <w:rPr>
                <w:color w:val="000000"/>
                <w:sz w:val="20"/>
                <w:szCs w:val="20"/>
                <w:highlight w:val="red"/>
              </w:rPr>
              <w:t>TM3-2022</w:t>
            </w:r>
          </w:p>
        </w:tc>
        <w:tc>
          <w:tcPr>
            <w:tcW w:w="0" w:type="auto"/>
            <w:shd w:val="clear" w:color="auto" w:fill="D9D9D9"/>
          </w:tcPr>
          <w:p w:rsidR="00B951B1" w:rsidRPr="00E61612" w:rsidRDefault="00B951B1" w:rsidP="00CB78E6">
            <w:pPr>
              <w:spacing w:after="0"/>
              <w:jc w:val="center"/>
              <w:rPr>
                <w:rFonts w:eastAsia="Times New Roman" w:cs="Calibri"/>
                <w:color w:val="000000"/>
                <w:sz w:val="18"/>
                <w:szCs w:val="18"/>
              </w:rPr>
            </w:pPr>
            <w:r w:rsidRPr="00E61612">
              <w:rPr>
                <w:color w:val="000000"/>
                <w:sz w:val="20"/>
                <w:szCs w:val="20"/>
              </w:rPr>
              <w:t>TM4-2026</w:t>
            </w:r>
          </w:p>
        </w:tc>
        <w:tc>
          <w:tcPr>
            <w:tcW w:w="0" w:type="auto"/>
            <w:shd w:val="clear" w:color="auto" w:fill="D9D9D9"/>
            <w:noWrap/>
          </w:tcPr>
          <w:p w:rsidR="00B951B1" w:rsidRPr="00E61612" w:rsidRDefault="00B951B1" w:rsidP="00CB78E6">
            <w:pPr>
              <w:spacing w:after="0"/>
              <w:jc w:val="right"/>
              <w:rPr>
                <w:rFonts w:eastAsia="Times New Roman" w:cs="Calibri"/>
                <w:color w:val="000000"/>
                <w:sz w:val="18"/>
                <w:szCs w:val="18"/>
              </w:rPr>
            </w:pPr>
            <w:r w:rsidRPr="00E61612">
              <w:rPr>
                <w:color w:val="000000"/>
                <w:sz w:val="20"/>
                <w:szCs w:val="20"/>
              </w:rPr>
              <w:t xml:space="preserve">                1,032,960 </w:t>
            </w:r>
          </w:p>
        </w:tc>
        <w:tc>
          <w:tcPr>
            <w:tcW w:w="0" w:type="auto"/>
            <w:shd w:val="clear" w:color="auto" w:fill="D9D9D9"/>
            <w:noWrap/>
          </w:tcPr>
          <w:p w:rsidR="00B951B1" w:rsidRPr="00E61612" w:rsidRDefault="00B951B1" w:rsidP="00CB78E6">
            <w:pPr>
              <w:spacing w:after="0"/>
              <w:jc w:val="right"/>
              <w:rPr>
                <w:rFonts w:eastAsia="Times New Roman" w:cs="Calibri"/>
                <w:color w:val="000000"/>
                <w:sz w:val="18"/>
                <w:szCs w:val="18"/>
              </w:rPr>
            </w:pPr>
            <w:r w:rsidRPr="00E61612">
              <w:rPr>
                <w:color w:val="000000"/>
                <w:sz w:val="20"/>
                <w:szCs w:val="20"/>
              </w:rPr>
              <w:t xml:space="preserve">                      -   </w:t>
            </w:r>
          </w:p>
        </w:tc>
        <w:tc>
          <w:tcPr>
            <w:tcW w:w="0" w:type="auto"/>
            <w:shd w:val="clear" w:color="auto" w:fill="D9D9D9"/>
            <w:noWrap/>
          </w:tcPr>
          <w:p w:rsidR="00B951B1" w:rsidRPr="00E61612" w:rsidRDefault="00B951B1" w:rsidP="00CB78E6">
            <w:pPr>
              <w:spacing w:after="0"/>
              <w:jc w:val="right"/>
              <w:rPr>
                <w:rFonts w:eastAsia="Times New Roman" w:cs="Calibri"/>
                <w:color w:val="000000"/>
                <w:sz w:val="18"/>
                <w:szCs w:val="18"/>
              </w:rPr>
            </w:pPr>
            <w:r w:rsidRPr="00E61612">
              <w:rPr>
                <w:color w:val="000000"/>
                <w:sz w:val="20"/>
                <w:szCs w:val="20"/>
              </w:rPr>
              <w:t xml:space="preserve">                   -   </w:t>
            </w:r>
          </w:p>
        </w:tc>
        <w:tc>
          <w:tcPr>
            <w:tcW w:w="0" w:type="auto"/>
            <w:shd w:val="clear" w:color="auto" w:fill="D9D9D9"/>
            <w:noWrap/>
          </w:tcPr>
          <w:p w:rsidR="00B951B1" w:rsidRPr="00E61612" w:rsidRDefault="00B951B1" w:rsidP="00CB78E6">
            <w:pPr>
              <w:spacing w:after="0"/>
              <w:jc w:val="right"/>
              <w:rPr>
                <w:rFonts w:eastAsia="Times New Roman" w:cs="Calibri"/>
                <w:color w:val="000000"/>
                <w:sz w:val="18"/>
                <w:szCs w:val="18"/>
              </w:rPr>
            </w:pPr>
            <w:r w:rsidRPr="00E61612">
              <w:rPr>
                <w:color w:val="000000"/>
                <w:sz w:val="20"/>
                <w:szCs w:val="20"/>
              </w:rPr>
              <w:t xml:space="preserve">      (1,032,960)</w:t>
            </w:r>
          </w:p>
        </w:tc>
      </w:tr>
      <w:tr w:rsidR="00B951B1" w:rsidRPr="00E61612" w:rsidTr="00CB78E6">
        <w:trPr>
          <w:trHeight w:val="20"/>
        </w:trPr>
        <w:tc>
          <w:tcPr>
            <w:tcW w:w="0" w:type="auto"/>
            <w:tcBorders>
              <w:bottom w:val="single" w:sz="4" w:space="0" w:color="auto"/>
            </w:tcBorders>
            <w:shd w:val="clear" w:color="auto" w:fill="FFFFFF"/>
          </w:tcPr>
          <w:p w:rsidR="00B951B1" w:rsidRPr="00E61612" w:rsidRDefault="00B951B1" w:rsidP="00CB78E6">
            <w:pPr>
              <w:spacing w:after="0"/>
              <w:jc w:val="center"/>
              <w:rPr>
                <w:rFonts w:eastAsia="Times New Roman" w:cs="Calibri"/>
                <w:b/>
                <w:bCs/>
                <w:color w:val="000000"/>
                <w:sz w:val="18"/>
                <w:szCs w:val="18"/>
              </w:rPr>
            </w:pPr>
            <w:bookmarkStart w:id="152" w:name="_GoBack" w:colFirst="3" w:colLast="3"/>
            <w:r w:rsidRPr="00E61612">
              <w:rPr>
                <w:b/>
                <w:bCs/>
                <w:color w:val="000000"/>
                <w:sz w:val="20"/>
                <w:szCs w:val="20"/>
              </w:rPr>
              <w:t>A3.5.1</w:t>
            </w:r>
          </w:p>
        </w:tc>
        <w:tc>
          <w:tcPr>
            <w:tcW w:w="0" w:type="auto"/>
            <w:tcBorders>
              <w:bottom w:val="single" w:sz="4" w:space="0" w:color="auto"/>
            </w:tcBorders>
            <w:shd w:val="clear" w:color="auto" w:fill="FFFFFF"/>
          </w:tcPr>
          <w:p w:rsidR="00B951B1" w:rsidRPr="00E61612" w:rsidRDefault="00B951B1" w:rsidP="00CB78E6">
            <w:pPr>
              <w:spacing w:after="0"/>
              <w:rPr>
                <w:rFonts w:eastAsia="Times New Roman" w:cs="Calibri"/>
                <w:sz w:val="18"/>
                <w:szCs w:val="18"/>
              </w:rPr>
            </w:pPr>
            <w:r w:rsidRPr="00E61612">
              <w:rPr>
                <w:sz w:val="20"/>
                <w:szCs w:val="20"/>
              </w:rPr>
              <w:t xml:space="preserve">Futja e gjuhës angleze si lëndë </w:t>
            </w:r>
            <w:r w:rsidRPr="0089154A">
              <w:rPr>
                <w:sz w:val="20"/>
                <w:szCs w:val="20"/>
                <w:highlight w:val="red"/>
              </w:rPr>
              <w:t>e detyruar</w:t>
            </w:r>
            <w:r w:rsidRPr="00E61612">
              <w:rPr>
                <w:sz w:val="20"/>
                <w:szCs w:val="20"/>
              </w:rPr>
              <w:t xml:space="preserve"> nga mosha 5</w:t>
            </w:r>
            <w:r>
              <w:rPr>
                <w:sz w:val="20"/>
                <w:szCs w:val="20"/>
              </w:rPr>
              <w:t>-</w:t>
            </w:r>
            <w:r w:rsidRPr="00E61612">
              <w:rPr>
                <w:sz w:val="20"/>
                <w:szCs w:val="20"/>
              </w:rPr>
              <w:t>vjeç</w:t>
            </w:r>
            <w:r>
              <w:rPr>
                <w:sz w:val="20"/>
                <w:szCs w:val="20"/>
              </w:rPr>
              <w:t>are</w:t>
            </w:r>
          </w:p>
        </w:tc>
        <w:tc>
          <w:tcPr>
            <w:tcW w:w="0" w:type="auto"/>
            <w:tcBorders>
              <w:bottom w:val="single" w:sz="4" w:space="0" w:color="auto"/>
            </w:tcBorders>
            <w:shd w:val="clear" w:color="auto" w:fill="FFFFFF"/>
          </w:tcPr>
          <w:p w:rsidR="00B951B1" w:rsidRPr="00E61612" w:rsidRDefault="00B951B1" w:rsidP="00CB78E6">
            <w:pPr>
              <w:spacing w:after="0"/>
              <w:jc w:val="center"/>
              <w:rPr>
                <w:rFonts w:eastAsia="Times New Roman" w:cs="Calibri"/>
                <w:color w:val="000000"/>
                <w:sz w:val="18"/>
                <w:szCs w:val="18"/>
              </w:rPr>
            </w:pPr>
            <w:r w:rsidRPr="00E61612">
              <w:rPr>
                <w:color w:val="000000"/>
                <w:sz w:val="20"/>
                <w:szCs w:val="20"/>
              </w:rPr>
              <w:t>MASR</w:t>
            </w:r>
          </w:p>
        </w:tc>
        <w:tc>
          <w:tcPr>
            <w:tcW w:w="0" w:type="auto"/>
            <w:tcBorders>
              <w:bottom w:val="single" w:sz="4" w:space="0" w:color="auto"/>
            </w:tcBorders>
            <w:shd w:val="clear" w:color="auto" w:fill="FFFFFF"/>
          </w:tcPr>
          <w:p w:rsidR="00B951B1" w:rsidRPr="00E61612" w:rsidRDefault="00B951B1" w:rsidP="00CB78E6">
            <w:pPr>
              <w:spacing w:after="0"/>
              <w:jc w:val="center"/>
              <w:rPr>
                <w:rFonts w:eastAsia="Times New Roman" w:cs="Calibri"/>
                <w:color w:val="000000"/>
                <w:sz w:val="18"/>
                <w:szCs w:val="18"/>
              </w:rPr>
            </w:pPr>
            <w:r w:rsidRPr="00E61612">
              <w:rPr>
                <w:color w:val="000000"/>
                <w:sz w:val="20"/>
                <w:szCs w:val="20"/>
              </w:rPr>
              <w:t>DPAP</w:t>
            </w:r>
          </w:p>
        </w:tc>
        <w:tc>
          <w:tcPr>
            <w:tcW w:w="0" w:type="auto"/>
            <w:tcBorders>
              <w:bottom w:val="single" w:sz="4" w:space="0" w:color="auto"/>
            </w:tcBorders>
            <w:shd w:val="clear" w:color="auto" w:fill="FFFFFF"/>
          </w:tcPr>
          <w:p w:rsidR="00B951B1" w:rsidRPr="00E61612" w:rsidRDefault="00B951B1" w:rsidP="00CB78E6">
            <w:pPr>
              <w:spacing w:after="0"/>
              <w:jc w:val="center"/>
              <w:rPr>
                <w:rFonts w:eastAsia="Times New Roman" w:cs="Calibri"/>
                <w:color w:val="000000"/>
                <w:sz w:val="18"/>
                <w:szCs w:val="18"/>
              </w:rPr>
            </w:pPr>
            <w:r w:rsidRPr="0089154A">
              <w:rPr>
                <w:color w:val="000000"/>
                <w:sz w:val="20"/>
                <w:szCs w:val="20"/>
                <w:highlight w:val="red"/>
              </w:rPr>
              <w:t>TM3-2022</w:t>
            </w:r>
          </w:p>
        </w:tc>
        <w:tc>
          <w:tcPr>
            <w:tcW w:w="0" w:type="auto"/>
            <w:tcBorders>
              <w:bottom w:val="single" w:sz="4" w:space="0" w:color="auto"/>
            </w:tcBorders>
            <w:shd w:val="clear" w:color="auto" w:fill="FFFFFF"/>
          </w:tcPr>
          <w:p w:rsidR="00B951B1" w:rsidRPr="00E61612" w:rsidRDefault="00B951B1" w:rsidP="00CB78E6">
            <w:pPr>
              <w:spacing w:after="0"/>
              <w:jc w:val="center"/>
              <w:rPr>
                <w:rFonts w:eastAsia="Times New Roman" w:cs="Calibri"/>
                <w:color w:val="000000"/>
                <w:sz w:val="18"/>
                <w:szCs w:val="18"/>
              </w:rPr>
            </w:pPr>
            <w:r w:rsidRPr="00E61612">
              <w:rPr>
                <w:color w:val="000000"/>
                <w:sz w:val="20"/>
                <w:szCs w:val="20"/>
              </w:rPr>
              <w:t>TM4-2026</w:t>
            </w:r>
          </w:p>
        </w:tc>
        <w:tc>
          <w:tcPr>
            <w:tcW w:w="0" w:type="auto"/>
            <w:tcBorders>
              <w:bottom w:val="single" w:sz="4" w:space="0" w:color="auto"/>
            </w:tcBorders>
            <w:shd w:val="clear" w:color="auto" w:fill="FFFFFF"/>
            <w:noWrap/>
          </w:tcPr>
          <w:p w:rsidR="00B951B1" w:rsidRPr="00E61612" w:rsidRDefault="00B951B1" w:rsidP="00CB78E6">
            <w:pPr>
              <w:spacing w:after="0"/>
              <w:jc w:val="right"/>
              <w:rPr>
                <w:rFonts w:eastAsia="Times New Roman" w:cs="Calibri"/>
                <w:color w:val="000000"/>
                <w:sz w:val="18"/>
                <w:szCs w:val="18"/>
              </w:rPr>
            </w:pPr>
            <w:r w:rsidRPr="00E61612">
              <w:rPr>
                <w:color w:val="000000"/>
                <w:sz w:val="20"/>
                <w:szCs w:val="20"/>
              </w:rPr>
              <w:t xml:space="preserve">                1,032,960 </w:t>
            </w:r>
          </w:p>
        </w:tc>
        <w:tc>
          <w:tcPr>
            <w:tcW w:w="0" w:type="auto"/>
            <w:tcBorders>
              <w:bottom w:val="single" w:sz="4" w:space="0" w:color="auto"/>
            </w:tcBorders>
            <w:shd w:val="clear" w:color="auto" w:fill="FFFFFF"/>
            <w:noWrap/>
          </w:tcPr>
          <w:p w:rsidR="00B951B1" w:rsidRPr="00E61612" w:rsidRDefault="00B951B1" w:rsidP="00CB78E6">
            <w:pPr>
              <w:spacing w:after="0"/>
              <w:jc w:val="right"/>
              <w:rPr>
                <w:rFonts w:eastAsia="Times New Roman" w:cs="Calibri"/>
                <w:color w:val="000000"/>
                <w:sz w:val="18"/>
                <w:szCs w:val="18"/>
              </w:rPr>
            </w:pPr>
            <w:r w:rsidRPr="00E61612">
              <w:rPr>
                <w:color w:val="000000"/>
                <w:sz w:val="20"/>
                <w:szCs w:val="20"/>
              </w:rPr>
              <w:t xml:space="preserve">                      -   </w:t>
            </w:r>
          </w:p>
        </w:tc>
        <w:tc>
          <w:tcPr>
            <w:tcW w:w="0" w:type="auto"/>
            <w:tcBorders>
              <w:bottom w:val="single" w:sz="4" w:space="0" w:color="auto"/>
            </w:tcBorders>
            <w:shd w:val="clear" w:color="auto" w:fill="FFFFFF"/>
            <w:noWrap/>
          </w:tcPr>
          <w:p w:rsidR="00B951B1" w:rsidRPr="00E61612" w:rsidRDefault="00B951B1" w:rsidP="00CB78E6">
            <w:pPr>
              <w:spacing w:after="0"/>
              <w:jc w:val="right"/>
              <w:rPr>
                <w:rFonts w:eastAsia="Times New Roman" w:cs="Calibri"/>
                <w:color w:val="000000"/>
                <w:sz w:val="18"/>
                <w:szCs w:val="18"/>
              </w:rPr>
            </w:pPr>
            <w:r w:rsidRPr="00E61612">
              <w:rPr>
                <w:color w:val="000000"/>
                <w:sz w:val="20"/>
                <w:szCs w:val="20"/>
              </w:rPr>
              <w:t xml:space="preserve">                   -   </w:t>
            </w:r>
          </w:p>
        </w:tc>
        <w:tc>
          <w:tcPr>
            <w:tcW w:w="0" w:type="auto"/>
            <w:tcBorders>
              <w:bottom w:val="single" w:sz="4" w:space="0" w:color="auto"/>
            </w:tcBorders>
            <w:shd w:val="clear" w:color="auto" w:fill="FFFFFF"/>
            <w:noWrap/>
          </w:tcPr>
          <w:p w:rsidR="00B951B1" w:rsidRPr="00E61612" w:rsidRDefault="00B951B1" w:rsidP="00CB78E6">
            <w:pPr>
              <w:spacing w:after="0"/>
              <w:jc w:val="right"/>
              <w:rPr>
                <w:rFonts w:eastAsia="Times New Roman" w:cs="Calibri"/>
                <w:color w:val="000000"/>
                <w:sz w:val="18"/>
                <w:szCs w:val="18"/>
              </w:rPr>
            </w:pPr>
            <w:r w:rsidRPr="00E61612">
              <w:rPr>
                <w:color w:val="000000"/>
                <w:sz w:val="20"/>
                <w:szCs w:val="20"/>
              </w:rPr>
              <w:t xml:space="preserve">      (1,032,960)</w:t>
            </w:r>
          </w:p>
        </w:tc>
      </w:tr>
      <w:bookmarkEnd w:id="152"/>
      <w:tr w:rsidR="00B951B1" w:rsidRPr="00E61612" w:rsidTr="00CB78E6">
        <w:trPr>
          <w:trHeight w:val="20"/>
        </w:trPr>
        <w:tc>
          <w:tcPr>
            <w:tcW w:w="0" w:type="auto"/>
            <w:shd w:val="clear" w:color="auto" w:fill="D9D9D9"/>
          </w:tcPr>
          <w:p w:rsidR="00B951B1" w:rsidRPr="00E61612" w:rsidRDefault="00B951B1" w:rsidP="00CB78E6">
            <w:pPr>
              <w:spacing w:after="0"/>
              <w:jc w:val="center"/>
              <w:rPr>
                <w:rFonts w:eastAsia="Times New Roman" w:cs="Calibri"/>
                <w:b/>
                <w:bCs/>
                <w:color w:val="000000"/>
                <w:sz w:val="18"/>
                <w:szCs w:val="18"/>
              </w:rPr>
            </w:pPr>
            <w:r w:rsidRPr="00E61612">
              <w:rPr>
                <w:b/>
                <w:bCs/>
                <w:color w:val="000000"/>
                <w:sz w:val="20"/>
                <w:szCs w:val="20"/>
              </w:rPr>
              <w:t>A3.6</w:t>
            </w:r>
          </w:p>
        </w:tc>
        <w:tc>
          <w:tcPr>
            <w:tcW w:w="0" w:type="auto"/>
            <w:shd w:val="clear" w:color="auto" w:fill="D9D9D9"/>
          </w:tcPr>
          <w:p w:rsidR="00B951B1" w:rsidRPr="00E61612" w:rsidRDefault="00B951B1" w:rsidP="00CB78E6">
            <w:pPr>
              <w:spacing w:after="0"/>
              <w:rPr>
                <w:rFonts w:eastAsia="Times New Roman" w:cs="Calibri"/>
                <w:sz w:val="18"/>
                <w:szCs w:val="18"/>
              </w:rPr>
            </w:pPr>
            <w:r w:rsidRPr="00E61612">
              <w:rPr>
                <w:sz w:val="20"/>
                <w:szCs w:val="20"/>
              </w:rPr>
              <w:t xml:space="preserve">  Të mësuarit e zejeve dhe të arteve në arsimin e mesëm të lartë në kuadrin e kurrikulës me zgjedhje</w:t>
            </w:r>
          </w:p>
        </w:tc>
        <w:tc>
          <w:tcPr>
            <w:tcW w:w="0" w:type="auto"/>
            <w:shd w:val="clear" w:color="auto" w:fill="D9D9D9"/>
          </w:tcPr>
          <w:p w:rsidR="00B951B1" w:rsidRPr="00E61612" w:rsidRDefault="00B951B1" w:rsidP="00CB78E6">
            <w:pPr>
              <w:spacing w:after="0"/>
              <w:jc w:val="center"/>
              <w:rPr>
                <w:rFonts w:eastAsia="Times New Roman" w:cs="Calibri"/>
                <w:color w:val="000000"/>
                <w:sz w:val="18"/>
                <w:szCs w:val="18"/>
              </w:rPr>
            </w:pPr>
            <w:r w:rsidRPr="00E61612">
              <w:rPr>
                <w:color w:val="000000"/>
                <w:sz w:val="20"/>
                <w:szCs w:val="20"/>
              </w:rPr>
              <w:t>ASCAP</w:t>
            </w:r>
          </w:p>
        </w:tc>
        <w:tc>
          <w:tcPr>
            <w:tcW w:w="0" w:type="auto"/>
            <w:shd w:val="clear" w:color="auto" w:fill="D9D9D9"/>
          </w:tcPr>
          <w:p w:rsidR="00B951B1" w:rsidRPr="00E61612" w:rsidRDefault="00B951B1" w:rsidP="00CB78E6">
            <w:pPr>
              <w:spacing w:after="0"/>
              <w:jc w:val="center"/>
              <w:rPr>
                <w:rFonts w:eastAsia="Times New Roman" w:cs="Calibri"/>
                <w:color w:val="000000"/>
                <w:sz w:val="18"/>
                <w:szCs w:val="18"/>
              </w:rPr>
            </w:pPr>
            <w:r w:rsidRPr="00E61612">
              <w:rPr>
                <w:color w:val="000000"/>
                <w:sz w:val="20"/>
                <w:szCs w:val="20"/>
              </w:rPr>
              <w:t>DPAP</w:t>
            </w:r>
          </w:p>
        </w:tc>
        <w:tc>
          <w:tcPr>
            <w:tcW w:w="0" w:type="auto"/>
            <w:shd w:val="clear" w:color="auto" w:fill="D9D9D9"/>
          </w:tcPr>
          <w:p w:rsidR="00B951B1" w:rsidRPr="00E61612" w:rsidRDefault="00B951B1" w:rsidP="00CB78E6">
            <w:pPr>
              <w:spacing w:after="0"/>
              <w:jc w:val="center"/>
              <w:rPr>
                <w:rFonts w:eastAsia="Times New Roman" w:cs="Calibri"/>
                <w:color w:val="000000"/>
                <w:sz w:val="18"/>
                <w:szCs w:val="18"/>
              </w:rPr>
            </w:pPr>
            <w:r w:rsidRPr="00E61612">
              <w:rPr>
                <w:color w:val="000000"/>
                <w:sz w:val="20"/>
                <w:szCs w:val="20"/>
              </w:rPr>
              <w:t>TM1-2022</w:t>
            </w:r>
          </w:p>
        </w:tc>
        <w:tc>
          <w:tcPr>
            <w:tcW w:w="0" w:type="auto"/>
            <w:shd w:val="clear" w:color="auto" w:fill="D9D9D9"/>
          </w:tcPr>
          <w:p w:rsidR="00B951B1" w:rsidRPr="00E61612" w:rsidRDefault="00B951B1" w:rsidP="00CB78E6">
            <w:pPr>
              <w:spacing w:after="0"/>
              <w:jc w:val="center"/>
              <w:rPr>
                <w:rFonts w:eastAsia="Times New Roman" w:cs="Calibri"/>
                <w:color w:val="000000"/>
                <w:sz w:val="18"/>
                <w:szCs w:val="18"/>
              </w:rPr>
            </w:pPr>
            <w:r w:rsidRPr="00E61612">
              <w:rPr>
                <w:color w:val="000000"/>
                <w:sz w:val="20"/>
                <w:szCs w:val="20"/>
              </w:rPr>
              <w:t>TM4-2023</w:t>
            </w:r>
          </w:p>
        </w:tc>
        <w:tc>
          <w:tcPr>
            <w:tcW w:w="0" w:type="auto"/>
            <w:shd w:val="clear" w:color="auto" w:fill="D9D9D9"/>
            <w:noWrap/>
          </w:tcPr>
          <w:p w:rsidR="00B951B1" w:rsidRPr="00E61612" w:rsidRDefault="00B951B1" w:rsidP="00CB78E6">
            <w:pPr>
              <w:spacing w:after="0"/>
              <w:jc w:val="right"/>
              <w:rPr>
                <w:rFonts w:eastAsia="Times New Roman" w:cs="Calibri"/>
                <w:color w:val="000000"/>
                <w:sz w:val="18"/>
                <w:szCs w:val="18"/>
              </w:rPr>
            </w:pPr>
            <w:r w:rsidRPr="00E61612">
              <w:rPr>
                <w:color w:val="000000"/>
                <w:sz w:val="20"/>
                <w:szCs w:val="20"/>
              </w:rPr>
              <w:t xml:space="preserve">                        6,150 </w:t>
            </w:r>
          </w:p>
        </w:tc>
        <w:tc>
          <w:tcPr>
            <w:tcW w:w="0" w:type="auto"/>
            <w:shd w:val="clear" w:color="auto" w:fill="D9D9D9"/>
            <w:noWrap/>
          </w:tcPr>
          <w:p w:rsidR="00B951B1" w:rsidRPr="00E61612" w:rsidRDefault="00B951B1" w:rsidP="00CB78E6">
            <w:pPr>
              <w:spacing w:after="0"/>
              <w:jc w:val="right"/>
              <w:rPr>
                <w:rFonts w:eastAsia="Times New Roman" w:cs="Calibri"/>
                <w:color w:val="000000"/>
                <w:sz w:val="18"/>
                <w:szCs w:val="18"/>
              </w:rPr>
            </w:pPr>
            <w:r w:rsidRPr="00E61612">
              <w:rPr>
                <w:color w:val="000000"/>
                <w:sz w:val="20"/>
                <w:szCs w:val="20"/>
              </w:rPr>
              <w:t xml:space="preserve">                      -   </w:t>
            </w:r>
          </w:p>
        </w:tc>
        <w:tc>
          <w:tcPr>
            <w:tcW w:w="0" w:type="auto"/>
            <w:shd w:val="clear" w:color="auto" w:fill="D9D9D9"/>
            <w:noWrap/>
          </w:tcPr>
          <w:p w:rsidR="00B951B1" w:rsidRPr="00E61612" w:rsidRDefault="00B951B1" w:rsidP="00CB78E6">
            <w:pPr>
              <w:spacing w:after="0"/>
              <w:jc w:val="right"/>
              <w:rPr>
                <w:rFonts w:eastAsia="Times New Roman" w:cs="Calibri"/>
                <w:color w:val="000000"/>
                <w:sz w:val="18"/>
                <w:szCs w:val="18"/>
              </w:rPr>
            </w:pPr>
            <w:r w:rsidRPr="00E61612">
              <w:rPr>
                <w:color w:val="000000"/>
                <w:sz w:val="20"/>
                <w:szCs w:val="20"/>
              </w:rPr>
              <w:t xml:space="preserve">            6,150 </w:t>
            </w:r>
          </w:p>
        </w:tc>
        <w:tc>
          <w:tcPr>
            <w:tcW w:w="0" w:type="auto"/>
            <w:shd w:val="clear" w:color="auto" w:fill="D9D9D9"/>
            <w:noWrap/>
          </w:tcPr>
          <w:p w:rsidR="00B951B1" w:rsidRPr="00E61612" w:rsidRDefault="00B951B1" w:rsidP="00CB78E6">
            <w:pPr>
              <w:spacing w:after="0"/>
              <w:jc w:val="right"/>
              <w:rPr>
                <w:rFonts w:eastAsia="Times New Roman" w:cs="Calibri"/>
                <w:color w:val="000000"/>
                <w:sz w:val="18"/>
                <w:szCs w:val="18"/>
              </w:rPr>
            </w:pPr>
            <w:r w:rsidRPr="00E61612">
              <w:rPr>
                <w:color w:val="000000"/>
                <w:sz w:val="20"/>
                <w:szCs w:val="20"/>
              </w:rPr>
              <w:t xml:space="preserve">                       -   </w:t>
            </w:r>
          </w:p>
        </w:tc>
      </w:tr>
      <w:tr w:rsidR="00B951B1" w:rsidRPr="00E61612" w:rsidTr="00CB78E6">
        <w:trPr>
          <w:trHeight w:val="20"/>
        </w:trPr>
        <w:tc>
          <w:tcPr>
            <w:tcW w:w="0" w:type="auto"/>
            <w:shd w:val="clear" w:color="auto" w:fill="FFFFFF"/>
          </w:tcPr>
          <w:p w:rsidR="00B951B1" w:rsidRPr="00E61612" w:rsidRDefault="00B951B1" w:rsidP="00CB78E6">
            <w:pPr>
              <w:spacing w:after="0"/>
              <w:jc w:val="center"/>
              <w:rPr>
                <w:rFonts w:eastAsia="Times New Roman" w:cs="Calibri"/>
                <w:b/>
                <w:bCs/>
                <w:color w:val="000000"/>
                <w:sz w:val="18"/>
                <w:szCs w:val="18"/>
              </w:rPr>
            </w:pPr>
            <w:r w:rsidRPr="00E61612">
              <w:rPr>
                <w:b/>
                <w:bCs/>
                <w:color w:val="000000"/>
                <w:sz w:val="20"/>
                <w:szCs w:val="20"/>
              </w:rPr>
              <w:lastRenderedPageBreak/>
              <w:t>A3.6.1</w:t>
            </w:r>
          </w:p>
        </w:tc>
        <w:tc>
          <w:tcPr>
            <w:tcW w:w="0" w:type="auto"/>
            <w:shd w:val="clear" w:color="auto" w:fill="FFFFFF"/>
          </w:tcPr>
          <w:p w:rsidR="00B951B1" w:rsidRPr="00E61612" w:rsidRDefault="00B951B1" w:rsidP="00CB78E6">
            <w:pPr>
              <w:spacing w:after="0"/>
              <w:rPr>
                <w:rFonts w:eastAsia="Times New Roman" w:cs="Calibri"/>
                <w:sz w:val="18"/>
                <w:szCs w:val="18"/>
              </w:rPr>
            </w:pPr>
            <w:r w:rsidRPr="00E61612">
              <w:rPr>
                <w:sz w:val="20"/>
                <w:szCs w:val="20"/>
              </w:rPr>
              <w:t>Hartimi moduleve kurrikulare dhe profesionale për zeje dhe arte</w:t>
            </w:r>
          </w:p>
        </w:tc>
        <w:tc>
          <w:tcPr>
            <w:tcW w:w="0" w:type="auto"/>
            <w:shd w:val="clear" w:color="auto" w:fill="FFFFFF"/>
          </w:tcPr>
          <w:p w:rsidR="00B951B1" w:rsidRPr="00E61612" w:rsidRDefault="00B951B1" w:rsidP="00CB78E6">
            <w:pPr>
              <w:spacing w:after="0"/>
              <w:jc w:val="center"/>
              <w:rPr>
                <w:rFonts w:eastAsia="Times New Roman" w:cs="Calibri"/>
                <w:color w:val="000000"/>
                <w:sz w:val="18"/>
                <w:szCs w:val="18"/>
              </w:rPr>
            </w:pPr>
            <w:r w:rsidRPr="00E61612">
              <w:rPr>
                <w:color w:val="000000"/>
                <w:sz w:val="20"/>
                <w:szCs w:val="20"/>
              </w:rPr>
              <w:t>ASCAP</w:t>
            </w:r>
          </w:p>
        </w:tc>
        <w:tc>
          <w:tcPr>
            <w:tcW w:w="0" w:type="auto"/>
            <w:shd w:val="clear" w:color="auto" w:fill="FFFFFF"/>
          </w:tcPr>
          <w:p w:rsidR="00B951B1" w:rsidRPr="00E61612" w:rsidRDefault="00B951B1" w:rsidP="00CB78E6">
            <w:pPr>
              <w:spacing w:after="0"/>
              <w:jc w:val="center"/>
              <w:rPr>
                <w:rFonts w:eastAsia="Times New Roman" w:cs="Calibri"/>
                <w:color w:val="000000"/>
                <w:sz w:val="18"/>
                <w:szCs w:val="18"/>
              </w:rPr>
            </w:pPr>
            <w:r w:rsidRPr="00E61612">
              <w:rPr>
                <w:color w:val="000000"/>
                <w:sz w:val="20"/>
                <w:szCs w:val="20"/>
              </w:rPr>
              <w:t> </w:t>
            </w:r>
          </w:p>
        </w:tc>
        <w:tc>
          <w:tcPr>
            <w:tcW w:w="0" w:type="auto"/>
            <w:shd w:val="clear" w:color="auto" w:fill="FFFFFF"/>
          </w:tcPr>
          <w:p w:rsidR="00B951B1" w:rsidRPr="00E61612" w:rsidRDefault="00B951B1" w:rsidP="00CB78E6">
            <w:pPr>
              <w:spacing w:after="0"/>
              <w:jc w:val="center"/>
              <w:rPr>
                <w:rFonts w:eastAsia="Times New Roman" w:cs="Calibri"/>
                <w:color w:val="000000"/>
                <w:sz w:val="18"/>
                <w:szCs w:val="18"/>
              </w:rPr>
            </w:pPr>
            <w:r w:rsidRPr="00E61612">
              <w:rPr>
                <w:color w:val="000000"/>
                <w:sz w:val="20"/>
                <w:szCs w:val="20"/>
              </w:rPr>
              <w:t>TM1-2022</w:t>
            </w:r>
          </w:p>
        </w:tc>
        <w:tc>
          <w:tcPr>
            <w:tcW w:w="0" w:type="auto"/>
            <w:shd w:val="clear" w:color="auto" w:fill="FFFFFF"/>
          </w:tcPr>
          <w:p w:rsidR="00B951B1" w:rsidRPr="00E61612" w:rsidRDefault="00B951B1" w:rsidP="00CB78E6">
            <w:pPr>
              <w:spacing w:after="0"/>
              <w:jc w:val="center"/>
              <w:rPr>
                <w:rFonts w:eastAsia="Times New Roman" w:cs="Calibri"/>
                <w:color w:val="000000"/>
                <w:sz w:val="18"/>
                <w:szCs w:val="18"/>
              </w:rPr>
            </w:pPr>
            <w:r w:rsidRPr="00E61612">
              <w:rPr>
                <w:color w:val="000000"/>
                <w:sz w:val="20"/>
                <w:szCs w:val="20"/>
              </w:rPr>
              <w:t>TM2-2022</w:t>
            </w:r>
          </w:p>
        </w:tc>
        <w:tc>
          <w:tcPr>
            <w:tcW w:w="0" w:type="auto"/>
            <w:shd w:val="clear" w:color="auto" w:fill="FFFFFF"/>
            <w:noWrap/>
          </w:tcPr>
          <w:p w:rsidR="00B951B1" w:rsidRPr="00E61612" w:rsidRDefault="00B951B1" w:rsidP="00CB78E6">
            <w:pPr>
              <w:spacing w:after="0"/>
              <w:jc w:val="right"/>
              <w:rPr>
                <w:rFonts w:eastAsia="Times New Roman" w:cs="Calibri"/>
                <w:color w:val="000000"/>
                <w:sz w:val="18"/>
                <w:szCs w:val="18"/>
              </w:rPr>
            </w:pPr>
            <w:r w:rsidRPr="00E61612">
              <w:rPr>
                <w:color w:val="000000"/>
                <w:sz w:val="20"/>
                <w:szCs w:val="20"/>
              </w:rPr>
              <w:t xml:space="preserve">                        3,360 </w:t>
            </w:r>
          </w:p>
        </w:tc>
        <w:tc>
          <w:tcPr>
            <w:tcW w:w="0" w:type="auto"/>
            <w:shd w:val="clear" w:color="auto" w:fill="FFFFFF"/>
            <w:noWrap/>
          </w:tcPr>
          <w:p w:rsidR="00B951B1" w:rsidRPr="00E61612" w:rsidRDefault="00B951B1" w:rsidP="00CB78E6">
            <w:pPr>
              <w:spacing w:after="0"/>
              <w:jc w:val="right"/>
              <w:rPr>
                <w:rFonts w:eastAsia="Times New Roman" w:cs="Calibri"/>
                <w:color w:val="000000"/>
                <w:sz w:val="18"/>
                <w:szCs w:val="18"/>
              </w:rPr>
            </w:pPr>
            <w:r w:rsidRPr="00E61612">
              <w:rPr>
                <w:color w:val="000000"/>
                <w:sz w:val="20"/>
                <w:szCs w:val="20"/>
              </w:rPr>
              <w:t xml:space="preserve">                      -   </w:t>
            </w:r>
          </w:p>
        </w:tc>
        <w:tc>
          <w:tcPr>
            <w:tcW w:w="0" w:type="auto"/>
            <w:shd w:val="clear" w:color="auto" w:fill="FFFFFF"/>
            <w:noWrap/>
          </w:tcPr>
          <w:p w:rsidR="00B951B1" w:rsidRPr="00E61612" w:rsidRDefault="00B951B1" w:rsidP="00CB78E6">
            <w:pPr>
              <w:spacing w:after="0"/>
              <w:jc w:val="right"/>
              <w:rPr>
                <w:rFonts w:eastAsia="Times New Roman" w:cs="Calibri"/>
                <w:color w:val="000000"/>
                <w:sz w:val="18"/>
                <w:szCs w:val="18"/>
              </w:rPr>
            </w:pPr>
            <w:r w:rsidRPr="00E61612">
              <w:rPr>
                <w:color w:val="000000"/>
                <w:sz w:val="20"/>
                <w:szCs w:val="20"/>
              </w:rPr>
              <w:t xml:space="preserve">            3,360 </w:t>
            </w:r>
          </w:p>
        </w:tc>
        <w:tc>
          <w:tcPr>
            <w:tcW w:w="0" w:type="auto"/>
            <w:shd w:val="clear" w:color="auto" w:fill="FFFFFF"/>
            <w:noWrap/>
          </w:tcPr>
          <w:p w:rsidR="00B951B1" w:rsidRPr="00E61612" w:rsidRDefault="00B951B1" w:rsidP="00CB78E6">
            <w:pPr>
              <w:spacing w:after="0"/>
              <w:jc w:val="right"/>
              <w:rPr>
                <w:rFonts w:eastAsia="Times New Roman" w:cs="Calibri"/>
                <w:color w:val="000000"/>
                <w:sz w:val="18"/>
                <w:szCs w:val="18"/>
              </w:rPr>
            </w:pPr>
            <w:r w:rsidRPr="00E61612">
              <w:rPr>
                <w:color w:val="000000"/>
                <w:sz w:val="20"/>
                <w:szCs w:val="20"/>
              </w:rPr>
              <w:t xml:space="preserve">                       -   </w:t>
            </w:r>
          </w:p>
        </w:tc>
      </w:tr>
      <w:tr w:rsidR="00B951B1" w:rsidRPr="00E61612" w:rsidTr="00CB78E6">
        <w:trPr>
          <w:trHeight w:val="20"/>
        </w:trPr>
        <w:tc>
          <w:tcPr>
            <w:tcW w:w="0" w:type="auto"/>
            <w:tcBorders>
              <w:bottom w:val="single" w:sz="4" w:space="0" w:color="auto"/>
            </w:tcBorders>
            <w:shd w:val="clear" w:color="auto" w:fill="FFFFFF"/>
          </w:tcPr>
          <w:p w:rsidR="00B951B1" w:rsidRPr="00E61612" w:rsidRDefault="00B951B1" w:rsidP="00CB78E6">
            <w:pPr>
              <w:spacing w:after="0"/>
              <w:jc w:val="center"/>
              <w:rPr>
                <w:rFonts w:eastAsia="Times New Roman" w:cs="Calibri"/>
                <w:b/>
                <w:bCs/>
                <w:color w:val="000000"/>
                <w:sz w:val="18"/>
                <w:szCs w:val="18"/>
              </w:rPr>
            </w:pPr>
            <w:r w:rsidRPr="00E61612">
              <w:rPr>
                <w:b/>
                <w:bCs/>
                <w:color w:val="000000"/>
                <w:sz w:val="20"/>
                <w:szCs w:val="20"/>
              </w:rPr>
              <w:t>A3.6.2</w:t>
            </w:r>
          </w:p>
        </w:tc>
        <w:tc>
          <w:tcPr>
            <w:tcW w:w="0" w:type="auto"/>
            <w:tcBorders>
              <w:bottom w:val="single" w:sz="4" w:space="0" w:color="auto"/>
            </w:tcBorders>
            <w:shd w:val="clear" w:color="auto" w:fill="FFFFFF"/>
          </w:tcPr>
          <w:p w:rsidR="00B951B1" w:rsidRPr="00E61612" w:rsidRDefault="00B951B1" w:rsidP="00CB78E6">
            <w:pPr>
              <w:spacing w:after="0"/>
              <w:rPr>
                <w:rFonts w:eastAsia="Times New Roman" w:cs="Calibri"/>
                <w:sz w:val="18"/>
                <w:szCs w:val="18"/>
              </w:rPr>
            </w:pPr>
            <w:r w:rsidRPr="00E61612">
              <w:rPr>
                <w:sz w:val="20"/>
                <w:szCs w:val="20"/>
              </w:rPr>
              <w:t>Trajnimi i mësuesve që do të zhvillojnë modulet për zejet dhe artet në arsimin e mesëm të lartë</w:t>
            </w:r>
          </w:p>
        </w:tc>
        <w:tc>
          <w:tcPr>
            <w:tcW w:w="0" w:type="auto"/>
            <w:tcBorders>
              <w:bottom w:val="single" w:sz="4" w:space="0" w:color="auto"/>
            </w:tcBorders>
            <w:shd w:val="clear" w:color="auto" w:fill="FFFFFF"/>
          </w:tcPr>
          <w:p w:rsidR="00B951B1" w:rsidRPr="00E61612" w:rsidRDefault="00B951B1" w:rsidP="00CB78E6">
            <w:pPr>
              <w:spacing w:after="0"/>
              <w:jc w:val="center"/>
              <w:rPr>
                <w:rFonts w:eastAsia="Times New Roman" w:cs="Calibri"/>
                <w:color w:val="000000"/>
                <w:sz w:val="18"/>
                <w:szCs w:val="18"/>
              </w:rPr>
            </w:pPr>
            <w:r w:rsidRPr="00E61612">
              <w:rPr>
                <w:color w:val="000000"/>
                <w:sz w:val="20"/>
                <w:szCs w:val="20"/>
              </w:rPr>
              <w:t>ASCAP</w:t>
            </w:r>
          </w:p>
        </w:tc>
        <w:tc>
          <w:tcPr>
            <w:tcW w:w="0" w:type="auto"/>
            <w:tcBorders>
              <w:bottom w:val="single" w:sz="4" w:space="0" w:color="auto"/>
            </w:tcBorders>
            <w:shd w:val="clear" w:color="auto" w:fill="FFFFFF"/>
          </w:tcPr>
          <w:p w:rsidR="00B951B1" w:rsidRPr="00E61612" w:rsidRDefault="00B951B1" w:rsidP="00CB78E6">
            <w:pPr>
              <w:spacing w:after="0"/>
              <w:jc w:val="center"/>
              <w:rPr>
                <w:rFonts w:eastAsia="Times New Roman" w:cs="Calibri"/>
                <w:color w:val="000000"/>
                <w:sz w:val="18"/>
                <w:szCs w:val="18"/>
              </w:rPr>
            </w:pPr>
            <w:r w:rsidRPr="00E61612">
              <w:rPr>
                <w:color w:val="000000"/>
                <w:sz w:val="20"/>
                <w:szCs w:val="20"/>
              </w:rPr>
              <w:t>DPAP</w:t>
            </w:r>
          </w:p>
        </w:tc>
        <w:tc>
          <w:tcPr>
            <w:tcW w:w="0" w:type="auto"/>
            <w:tcBorders>
              <w:bottom w:val="single" w:sz="4" w:space="0" w:color="auto"/>
            </w:tcBorders>
            <w:shd w:val="clear" w:color="auto" w:fill="FFFFFF"/>
          </w:tcPr>
          <w:p w:rsidR="00B951B1" w:rsidRPr="00E61612" w:rsidRDefault="00B951B1" w:rsidP="00CB78E6">
            <w:pPr>
              <w:spacing w:after="0"/>
              <w:jc w:val="center"/>
              <w:rPr>
                <w:rFonts w:eastAsia="Times New Roman" w:cs="Calibri"/>
                <w:color w:val="000000"/>
                <w:sz w:val="18"/>
                <w:szCs w:val="18"/>
              </w:rPr>
            </w:pPr>
            <w:r w:rsidRPr="00E61612">
              <w:rPr>
                <w:color w:val="000000"/>
                <w:sz w:val="20"/>
                <w:szCs w:val="20"/>
              </w:rPr>
              <w:t>TM3-2022</w:t>
            </w:r>
          </w:p>
        </w:tc>
        <w:tc>
          <w:tcPr>
            <w:tcW w:w="0" w:type="auto"/>
            <w:tcBorders>
              <w:bottom w:val="single" w:sz="4" w:space="0" w:color="auto"/>
            </w:tcBorders>
            <w:shd w:val="clear" w:color="auto" w:fill="FFFFFF"/>
          </w:tcPr>
          <w:p w:rsidR="00B951B1" w:rsidRPr="00E61612" w:rsidRDefault="00B951B1" w:rsidP="00CB78E6">
            <w:pPr>
              <w:spacing w:after="0"/>
              <w:jc w:val="center"/>
              <w:rPr>
                <w:rFonts w:eastAsia="Times New Roman" w:cs="Calibri"/>
                <w:color w:val="000000"/>
                <w:sz w:val="18"/>
                <w:szCs w:val="18"/>
              </w:rPr>
            </w:pPr>
            <w:r w:rsidRPr="00E61612">
              <w:rPr>
                <w:color w:val="000000"/>
                <w:sz w:val="20"/>
                <w:szCs w:val="20"/>
              </w:rPr>
              <w:t>TM4-2023</w:t>
            </w:r>
          </w:p>
        </w:tc>
        <w:tc>
          <w:tcPr>
            <w:tcW w:w="0" w:type="auto"/>
            <w:tcBorders>
              <w:bottom w:val="single" w:sz="4" w:space="0" w:color="auto"/>
            </w:tcBorders>
            <w:shd w:val="clear" w:color="auto" w:fill="FFFFFF"/>
            <w:noWrap/>
          </w:tcPr>
          <w:p w:rsidR="00B951B1" w:rsidRPr="00E61612" w:rsidRDefault="00B951B1" w:rsidP="00CB78E6">
            <w:pPr>
              <w:spacing w:after="0"/>
              <w:jc w:val="right"/>
              <w:rPr>
                <w:rFonts w:eastAsia="Times New Roman" w:cs="Calibri"/>
                <w:color w:val="000000"/>
                <w:sz w:val="18"/>
                <w:szCs w:val="18"/>
              </w:rPr>
            </w:pPr>
            <w:r w:rsidRPr="00E61612">
              <w:rPr>
                <w:color w:val="000000"/>
                <w:sz w:val="20"/>
                <w:szCs w:val="20"/>
              </w:rPr>
              <w:t xml:space="preserve">                        2,790 </w:t>
            </w:r>
          </w:p>
        </w:tc>
        <w:tc>
          <w:tcPr>
            <w:tcW w:w="0" w:type="auto"/>
            <w:tcBorders>
              <w:bottom w:val="single" w:sz="4" w:space="0" w:color="auto"/>
            </w:tcBorders>
            <w:shd w:val="clear" w:color="auto" w:fill="FFFFFF"/>
            <w:noWrap/>
          </w:tcPr>
          <w:p w:rsidR="00B951B1" w:rsidRPr="00E61612" w:rsidRDefault="00B951B1" w:rsidP="00CB78E6">
            <w:pPr>
              <w:spacing w:after="0"/>
              <w:jc w:val="right"/>
              <w:rPr>
                <w:rFonts w:eastAsia="Times New Roman" w:cs="Calibri"/>
                <w:color w:val="000000"/>
                <w:sz w:val="18"/>
                <w:szCs w:val="18"/>
              </w:rPr>
            </w:pPr>
            <w:r w:rsidRPr="00E61612">
              <w:rPr>
                <w:color w:val="000000"/>
                <w:sz w:val="20"/>
                <w:szCs w:val="20"/>
              </w:rPr>
              <w:t xml:space="preserve">                      -   </w:t>
            </w:r>
          </w:p>
        </w:tc>
        <w:tc>
          <w:tcPr>
            <w:tcW w:w="0" w:type="auto"/>
            <w:tcBorders>
              <w:bottom w:val="single" w:sz="4" w:space="0" w:color="auto"/>
            </w:tcBorders>
            <w:shd w:val="clear" w:color="auto" w:fill="FFFFFF"/>
            <w:noWrap/>
          </w:tcPr>
          <w:p w:rsidR="00B951B1" w:rsidRPr="00E61612" w:rsidRDefault="00B951B1" w:rsidP="00CB78E6">
            <w:pPr>
              <w:spacing w:after="0"/>
              <w:jc w:val="right"/>
              <w:rPr>
                <w:rFonts w:eastAsia="Times New Roman" w:cs="Calibri"/>
                <w:color w:val="000000"/>
                <w:sz w:val="18"/>
                <w:szCs w:val="18"/>
              </w:rPr>
            </w:pPr>
            <w:r w:rsidRPr="00E61612">
              <w:rPr>
                <w:color w:val="000000"/>
                <w:sz w:val="20"/>
                <w:szCs w:val="20"/>
              </w:rPr>
              <w:t xml:space="preserve">            2,790 </w:t>
            </w:r>
          </w:p>
        </w:tc>
        <w:tc>
          <w:tcPr>
            <w:tcW w:w="0" w:type="auto"/>
            <w:tcBorders>
              <w:bottom w:val="single" w:sz="4" w:space="0" w:color="auto"/>
            </w:tcBorders>
            <w:shd w:val="clear" w:color="auto" w:fill="FFFFFF"/>
            <w:noWrap/>
          </w:tcPr>
          <w:p w:rsidR="00B951B1" w:rsidRPr="00E61612" w:rsidRDefault="00B951B1" w:rsidP="00CB78E6">
            <w:pPr>
              <w:spacing w:after="0"/>
              <w:jc w:val="right"/>
              <w:rPr>
                <w:rFonts w:eastAsia="Times New Roman" w:cs="Calibri"/>
                <w:color w:val="000000"/>
                <w:sz w:val="18"/>
                <w:szCs w:val="18"/>
              </w:rPr>
            </w:pPr>
            <w:r w:rsidRPr="00E61612">
              <w:rPr>
                <w:color w:val="000000"/>
                <w:sz w:val="20"/>
                <w:szCs w:val="20"/>
              </w:rPr>
              <w:t xml:space="preserve">                       -   </w:t>
            </w:r>
          </w:p>
        </w:tc>
      </w:tr>
      <w:tr w:rsidR="00B951B1" w:rsidRPr="00E61612" w:rsidTr="00CB78E6">
        <w:trPr>
          <w:trHeight w:val="20"/>
        </w:trPr>
        <w:tc>
          <w:tcPr>
            <w:tcW w:w="0" w:type="auto"/>
            <w:tcBorders>
              <w:bottom w:val="single" w:sz="4" w:space="0" w:color="auto"/>
            </w:tcBorders>
            <w:shd w:val="clear" w:color="auto" w:fill="BFBFBF"/>
          </w:tcPr>
          <w:p w:rsidR="00B951B1" w:rsidRPr="00E61612" w:rsidRDefault="00B951B1" w:rsidP="00CB78E6">
            <w:pPr>
              <w:spacing w:after="0"/>
              <w:jc w:val="center"/>
              <w:rPr>
                <w:rFonts w:eastAsia="Times New Roman" w:cs="Calibri"/>
                <w:b/>
                <w:bCs/>
                <w:color w:val="000000"/>
                <w:sz w:val="18"/>
                <w:szCs w:val="18"/>
              </w:rPr>
            </w:pPr>
            <w:r w:rsidRPr="00E61612">
              <w:rPr>
                <w:b/>
                <w:bCs/>
                <w:color w:val="000000"/>
                <w:sz w:val="20"/>
                <w:szCs w:val="20"/>
              </w:rPr>
              <w:t>A4</w:t>
            </w:r>
          </w:p>
        </w:tc>
        <w:tc>
          <w:tcPr>
            <w:tcW w:w="0" w:type="auto"/>
            <w:tcBorders>
              <w:bottom w:val="single" w:sz="4" w:space="0" w:color="auto"/>
            </w:tcBorders>
            <w:shd w:val="clear" w:color="auto" w:fill="BFBFBF"/>
          </w:tcPr>
          <w:p w:rsidR="00B951B1" w:rsidRPr="00E61612" w:rsidRDefault="00B951B1" w:rsidP="00CB78E6">
            <w:pPr>
              <w:spacing w:after="0"/>
              <w:rPr>
                <w:rFonts w:eastAsia="Times New Roman" w:cs="Calibri"/>
                <w:sz w:val="18"/>
                <w:szCs w:val="18"/>
              </w:rPr>
            </w:pPr>
            <w:r w:rsidRPr="00E61612">
              <w:rPr>
                <w:sz w:val="20"/>
                <w:szCs w:val="20"/>
              </w:rPr>
              <w:t xml:space="preserve">Zhvillimi i kompetencës digjitale përmes shfrytëzimit më të mirë të teknologjisë së informacionit dhe komunikimit </w:t>
            </w:r>
            <w:r>
              <w:rPr>
                <w:sz w:val="20"/>
                <w:szCs w:val="20"/>
              </w:rPr>
              <w:t>në</w:t>
            </w:r>
            <w:r w:rsidRPr="00E61612">
              <w:rPr>
                <w:sz w:val="20"/>
                <w:szCs w:val="20"/>
              </w:rPr>
              <w:t xml:space="preserve"> mësimdhënie dhe të nxën</w:t>
            </w:r>
            <w:r>
              <w:rPr>
                <w:sz w:val="20"/>
                <w:szCs w:val="20"/>
              </w:rPr>
              <w:t>it</w:t>
            </w:r>
          </w:p>
        </w:tc>
        <w:tc>
          <w:tcPr>
            <w:tcW w:w="0" w:type="auto"/>
            <w:tcBorders>
              <w:bottom w:val="single" w:sz="4" w:space="0" w:color="auto"/>
            </w:tcBorders>
            <w:shd w:val="clear" w:color="auto" w:fill="BFBFBF"/>
          </w:tcPr>
          <w:p w:rsidR="00B951B1" w:rsidRPr="00E61612" w:rsidRDefault="00B951B1" w:rsidP="00CB78E6">
            <w:pPr>
              <w:spacing w:after="0"/>
              <w:jc w:val="center"/>
              <w:rPr>
                <w:rFonts w:eastAsia="Times New Roman" w:cs="Calibri"/>
                <w:color w:val="000000"/>
                <w:sz w:val="18"/>
                <w:szCs w:val="18"/>
              </w:rPr>
            </w:pPr>
            <w:r w:rsidRPr="00E61612">
              <w:rPr>
                <w:color w:val="000000"/>
                <w:sz w:val="20"/>
                <w:szCs w:val="20"/>
              </w:rPr>
              <w:t> </w:t>
            </w:r>
          </w:p>
        </w:tc>
        <w:tc>
          <w:tcPr>
            <w:tcW w:w="0" w:type="auto"/>
            <w:tcBorders>
              <w:bottom w:val="single" w:sz="4" w:space="0" w:color="auto"/>
            </w:tcBorders>
            <w:shd w:val="clear" w:color="auto" w:fill="BFBFBF"/>
          </w:tcPr>
          <w:p w:rsidR="00B951B1" w:rsidRPr="00E61612" w:rsidRDefault="00B951B1" w:rsidP="00CB78E6">
            <w:pPr>
              <w:spacing w:after="0"/>
              <w:jc w:val="center"/>
              <w:rPr>
                <w:rFonts w:eastAsia="Times New Roman" w:cs="Calibri"/>
                <w:color w:val="000000"/>
                <w:sz w:val="18"/>
                <w:szCs w:val="18"/>
              </w:rPr>
            </w:pPr>
            <w:r w:rsidRPr="00E61612">
              <w:rPr>
                <w:color w:val="000000"/>
                <w:sz w:val="20"/>
                <w:szCs w:val="20"/>
              </w:rPr>
              <w:t> </w:t>
            </w:r>
          </w:p>
        </w:tc>
        <w:tc>
          <w:tcPr>
            <w:tcW w:w="0" w:type="auto"/>
            <w:tcBorders>
              <w:bottom w:val="single" w:sz="4" w:space="0" w:color="auto"/>
            </w:tcBorders>
            <w:shd w:val="clear" w:color="auto" w:fill="BFBFBF"/>
          </w:tcPr>
          <w:p w:rsidR="00B951B1" w:rsidRPr="00E61612" w:rsidRDefault="00B951B1" w:rsidP="00CB78E6">
            <w:pPr>
              <w:spacing w:after="0"/>
              <w:jc w:val="center"/>
              <w:rPr>
                <w:rFonts w:eastAsia="Times New Roman" w:cs="Calibri"/>
                <w:color w:val="000000"/>
                <w:sz w:val="18"/>
                <w:szCs w:val="18"/>
              </w:rPr>
            </w:pPr>
            <w:r w:rsidRPr="00E61612">
              <w:rPr>
                <w:color w:val="000000"/>
                <w:sz w:val="20"/>
                <w:szCs w:val="20"/>
              </w:rPr>
              <w:t>TM1-2021</w:t>
            </w:r>
          </w:p>
        </w:tc>
        <w:tc>
          <w:tcPr>
            <w:tcW w:w="0" w:type="auto"/>
            <w:tcBorders>
              <w:bottom w:val="single" w:sz="4" w:space="0" w:color="auto"/>
            </w:tcBorders>
            <w:shd w:val="clear" w:color="auto" w:fill="BFBFBF"/>
          </w:tcPr>
          <w:p w:rsidR="00B951B1" w:rsidRPr="00E61612" w:rsidRDefault="00B951B1" w:rsidP="00CB78E6">
            <w:pPr>
              <w:spacing w:after="0"/>
              <w:jc w:val="center"/>
              <w:rPr>
                <w:rFonts w:eastAsia="Times New Roman" w:cs="Calibri"/>
                <w:color w:val="000000"/>
                <w:sz w:val="18"/>
                <w:szCs w:val="18"/>
              </w:rPr>
            </w:pPr>
            <w:r w:rsidRPr="00E61612">
              <w:rPr>
                <w:color w:val="000000"/>
                <w:sz w:val="20"/>
                <w:szCs w:val="20"/>
              </w:rPr>
              <w:t>TM4-2026</w:t>
            </w:r>
          </w:p>
        </w:tc>
        <w:tc>
          <w:tcPr>
            <w:tcW w:w="0" w:type="auto"/>
            <w:tcBorders>
              <w:bottom w:val="single" w:sz="4" w:space="0" w:color="auto"/>
            </w:tcBorders>
            <w:shd w:val="clear" w:color="auto" w:fill="BFBFBF"/>
            <w:noWrap/>
          </w:tcPr>
          <w:p w:rsidR="00B951B1" w:rsidRPr="00E61612" w:rsidRDefault="00B951B1" w:rsidP="00CB78E6">
            <w:pPr>
              <w:spacing w:after="0"/>
              <w:jc w:val="right"/>
              <w:rPr>
                <w:rFonts w:eastAsia="Times New Roman" w:cs="Calibri"/>
                <w:color w:val="000000"/>
                <w:sz w:val="18"/>
                <w:szCs w:val="18"/>
              </w:rPr>
            </w:pPr>
            <w:r w:rsidRPr="00E61612">
              <w:rPr>
                <w:color w:val="000000"/>
                <w:sz w:val="20"/>
                <w:szCs w:val="20"/>
              </w:rPr>
              <w:t xml:space="preserve">                6,372,428 </w:t>
            </w:r>
          </w:p>
        </w:tc>
        <w:tc>
          <w:tcPr>
            <w:tcW w:w="0" w:type="auto"/>
            <w:tcBorders>
              <w:bottom w:val="single" w:sz="4" w:space="0" w:color="auto"/>
            </w:tcBorders>
            <w:shd w:val="clear" w:color="auto" w:fill="BFBFBF"/>
            <w:noWrap/>
          </w:tcPr>
          <w:p w:rsidR="00B951B1" w:rsidRPr="00E61612" w:rsidRDefault="00B951B1" w:rsidP="00CB78E6">
            <w:pPr>
              <w:spacing w:after="0"/>
              <w:jc w:val="right"/>
              <w:rPr>
                <w:rFonts w:eastAsia="Times New Roman" w:cs="Calibri"/>
                <w:color w:val="000000"/>
                <w:sz w:val="18"/>
                <w:szCs w:val="18"/>
              </w:rPr>
            </w:pPr>
            <w:r w:rsidRPr="00E61612">
              <w:rPr>
                <w:color w:val="000000"/>
                <w:sz w:val="20"/>
                <w:szCs w:val="20"/>
              </w:rPr>
              <w:t xml:space="preserve">          909,226 </w:t>
            </w:r>
          </w:p>
        </w:tc>
        <w:tc>
          <w:tcPr>
            <w:tcW w:w="0" w:type="auto"/>
            <w:tcBorders>
              <w:bottom w:val="single" w:sz="4" w:space="0" w:color="auto"/>
            </w:tcBorders>
            <w:shd w:val="clear" w:color="auto" w:fill="BFBFBF"/>
            <w:noWrap/>
          </w:tcPr>
          <w:p w:rsidR="00B951B1" w:rsidRPr="00E61612" w:rsidRDefault="00B951B1" w:rsidP="00CB78E6">
            <w:pPr>
              <w:spacing w:after="0"/>
              <w:jc w:val="right"/>
              <w:rPr>
                <w:rFonts w:eastAsia="Times New Roman" w:cs="Calibri"/>
                <w:color w:val="000000"/>
                <w:sz w:val="18"/>
                <w:szCs w:val="18"/>
              </w:rPr>
            </w:pPr>
            <w:r w:rsidRPr="00E61612">
              <w:rPr>
                <w:color w:val="000000"/>
                <w:sz w:val="20"/>
                <w:szCs w:val="20"/>
              </w:rPr>
              <w:t xml:space="preserve">          69,060 </w:t>
            </w:r>
          </w:p>
        </w:tc>
        <w:tc>
          <w:tcPr>
            <w:tcW w:w="0" w:type="auto"/>
            <w:tcBorders>
              <w:bottom w:val="single" w:sz="4" w:space="0" w:color="auto"/>
            </w:tcBorders>
            <w:shd w:val="clear" w:color="auto" w:fill="BFBFBF"/>
            <w:noWrap/>
          </w:tcPr>
          <w:p w:rsidR="00B951B1" w:rsidRPr="00E61612" w:rsidRDefault="00B951B1" w:rsidP="00CB78E6">
            <w:pPr>
              <w:spacing w:after="0"/>
              <w:jc w:val="right"/>
              <w:rPr>
                <w:rFonts w:eastAsia="Times New Roman" w:cs="Calibri"/>
                <w:color w:val="000000"/>
                <w:sz w:val="18"/>
                <w:szCs w:val="18"/>
              </w:rPr>
            </w:pPr>
            <w:r w:rsidRPr="00E61612">
              <w:rPr>
                <w:color w:val="000000"/>
                <w:sz w:val="20"/>
                <w:szCs w:val="20"/>
              </w:rPr>
              <w:t xml:space="preserve">      (5,394,142)</w:t>
            </w:r>
          </w:p>
        </w:tc>
      </w:tr>
      <w:tr w:rsidR="00B951B1" w:rsidRPr="00E61612" w:rsidTr="00CB78E6">
        <w:trPr>
          <w:trHeight w:val="20"/>
        </w:trPr>
        <w:tc>
          <w:tcPr>
            <w:tcW w:w="0" w:type="auto"/>
            <w:shd w:val="clear" w:color="auto" w:fill="D9D9D9"/>
          </w:tcPr>
          <w:p w:rsidR="00B951B1" w:rsidRPr="00E61612" w:rsidRDefault="00B951B1" w:rsidP="00CB78E6">
            <w:pPr>
              <w:spacing w:after="0"/>
              <w:jc w:val="center"/>
              <w:rPr>
                <w:rFonts w:eastAsia="Times New Roman" w:cs="Calibri"/>
                <w:b/>
                <w:bCs/>
                <w:color w:val="000000"/>
                <w:sz w:val="18"/>
                <w:szCs w:val="18"/>
              </w:rPr>
            </w:pPr>
            <w:r w:rsidRPr="00E61612">
              <w:rPr>
                <w:b/>
                <w:bCs/>
                <w:color w:val="000000"/>
                <w:sz w:val="20"/>
                <w:szCs w:val="20"/>
              </w:rPr>
              <w:t>A4.1</w:t>
            </w:r>
          </w:p>
        </w:tc>
        <w:tc>
          <w:tcPr>
            <w:tcW w:w="0" w:type="auto"/>
            <w:shd w:val="clear" w:color="auto" w:fill="D9D9D9"/>
          </w:tcPr>
          <w:p w:rsidR="00B951B1" w:rsidRPr="00E61612" w:rsidRDefault="00B951B1" w:rsidP="00CB78E6">
            <w:pPr>
              <w:spacing w:after="0"/>
              <w:rPr>
                <w:rFonts w:eastAsia="Times New Roman" w:cs="Calibri"/>
                <w:sz w:val="18"/>
                <w:szCs w:val="18"/>
              </w:rPr>
            </w:pPr>
            <w:r w:rsidRPr="00E61612">
              <w:rPr>
                <w:sz w:val="20"/>
                <w:szCs w:val="20"/>
              </w:rPr>
              <w:t xml:space="preserve"> Krijimi i infrastrukturës së përshtatshme për shfrytëzimin e TIK-ut në shkolla dhe mirëmbajtja e saj</w:t>
            </w:r>
          </w:p>
        </w:tc>
        <w:tc>
          <w:tcPr>
            <w:tcW w:w="0" w:type="auto"/>
            <w:shd w:val="clear" w:color="auto" w:fill="D9D9D9"/>
          </w:tcPr>
          <w:p w:rsidR="00B951B1" w:rsidRPr="00E61612" w:rsidRDefault="00B951B1" w:rsidP="00CB78E6">
            <w:pPr>
              <w:spacing w:after="0"/>
              <w:jc w:val="center"/>
              <w:rPr>
                <w:rFonts w:eastAsia="Times New Roman" w:cs="Calibri"/>
                <w:color w:val="000000"/>
                <w:sz w:val="18"/>
                <w:szCs w:val="18"/>
              </w:rPr>
            </w:pPr>
            <w:r w:rsidRPr="00E61612">
              <w:rPr>
                <w:color w:val="000000"/>
                <w:sz w:val="20"/>
                <w:szCs w:val="20"/>
              </w:rPr>
              <w:t>MASR, Bashkitë</w:t>
            </w:r>
          </w:p>
        </w:tc>
        <w:tc>
          <w:tcPr>
            <w:tcW w:w="0" w:type="auto"/>
            <w:shd w:val="clear" w:color="auto" w:fill="D9D9D9"/>
          </w:tcPr>
          <w:p w:rsidR="00B951B1" w:rsidRPr="00E61612" w:rsidRDefault="00B951B1" w:rsidP="00CB78E6">
            <w:pPr>
              <w:spacing w:after="0"/>
              <w:jc w:val="center"/>
              <w:rPr>
                <w:rFonts w:eastAsia="Times New Roman" w:cs="Calibri"/>
                <w:color w:val="000000"/>
                <w:sz w:val="18"/>
                <w:szCs w:val="18"/>
              </w:rPr>
            </w:pPr>
            <w:r w:rsidRPr="00E61612">
              <w:rPr>
                <w:color w:val="000000"/>
                <w:sz w:val="20"/>
                <w:szCs w:val="20"/>
              </w:rPr>
              <w:t>AKSHI</w:t>
            </w:r>
          </w:p>
        </w:tc>
        <w:tc>
          <w:tcPr>
            <w:tcW w:w="0" w:type="auto"/>
            <w:shd w:val="clear" w:color="auto" w:fill="D9D9D9"/>
          </w:tcPr>
          <w:p w:rsidR="00B951B1" w:rsidRPr="00E61612" w:rsidRDefault="00B951B1" w:rsidP="00CB78E6">
            <w:pPr>
              <w:spacing w:after="0"/>
              <w:jc w:val="center"/>
              <w:rPr>
                <w:rFonts w:eastAsia="Times New Roman" w:cs="Calibri"/>
                <w:color w:val="000000"/>
                <w:sz w:val="18"/>
                <w:szCs w:val="18"/>
              </w:rPr>
            </w:pPr>
            <w:r w:rsidRPr="00E61612">
              <w:rPr>
                <w:color w:val="000000"/>
                <w:sz w:val="20"/>
                <w:szCs w:val="20"/>
              </w:rPr>
              <w:t>TM2-2021</w:t>
            </w:r>
          </w:p>
        </w:tc>
        <w:tc>
          <w:tcPr>
            <w:tcW w:w="0" w:type="auto"/>
            <w:shd w:val="clear" w:color="auto" w:fill="D9D9D9"/>
          </w:tcPr>
          <w:p w:rsidR="00B951B1" w:rsidRPr="00E61612" w:rsidRDefault="00B951B1" w:rsidP="00CB78E6">
            <w:pPr>
              <w:spacing w:after="0"/>
              <w:jc w:val="center"/>
              <w:rPr>
                <w:rFonts w:eastAsia="Times New Roman" w:cs="Calibri"/>
                <w:color w:val="000000"/>
                <w:sz w:val="18"/>
                <w:szCs w:val="18"/>
              </w:rPr>
            </w:pPr>
            <w:r w:rsidRPr="00E61612">
              <w:rPr>
                <w:color w:val="000000"/>
                <w:sz w:val="20"/>
                <w:szCs w:val="20"/>
              </w:rPr>
              <w:t>TM3-2026</w:t>
            </w:r>
          </w:p>
        </w:tc>
        <w:tc>
          <w:tcPr>
            <w:tcW w:w="0" w:type="auto"/>
            <w:shd w:val="clear" w:color="auto" w:fill="D9D9D9"/>
            <w:noWrap/>
          </w:tcPr>
          <w:p w:rsidR="00B951B1" w:rsidRPr="00E61612" w:rsidRDefault="00B951B1" w:rsidP="00CB78E6">
            <w:pPr>
              <w:spacing w:after="0"/>
              <w:jc w:val="right"/>
              <w:rPr>
                <w:rFonts w:eastAsia="Times New Roman" w:cs="Calibri"/>
                <w:color w:val="000000"/>
                <w:sz w:val="18"/>
                <w:szCs w:val="18"/>
              </w:rPr>
            </w:pPr>
            <w:r w:rsidRPr="00E61612">
              <w:rPr>
                <w:color w:val="000000"/>
                <w:sz w:val="20"/>
                <w:szCs w:val="20"/>
              </w:rPr>
              <w:t xml:space="preserve">                4,838,852 </w:t>
            </w:r>
          </w:p>
        </w:tc>
        <w:tc>
          <w:tcPr>
            <w:tcW w:w="0" w:type="auto"/>
            <w:shd w:val="clear" w:color="auto" w:fill="D9D9D9"/>
            <w:noWrap/>
          </w:tcPr>
          <w:p w:rsidR="00B951B1" w:rsidRPr="00E61612" w:rsidRDefault="00B951B1" w:rsidP="00CB78E6">
            <w:pPr>
              <w:spacing w:after="0"/>
              <w:jc w:val="right"/>
              <w:rPr>
                <w:rFonts w:eastAsia="Times New Roman" w:cs="Calibri"/>
                <w:color w:val="000000"/>
                <w:sz w:val="18"/>
                <w:szCs w:val="18"/>
              </w:rPr>
            </w:pPr>
            <w:r w:rsidRPr="00E61612">
              <w:rPr>
                <w:color w:val="000000"/>
                <w:sz w:val="20"/>
                <w:szCs w:val="20"/>
              </w:rPr>
              <w:t xml:space="preserve">          473,770 </w:t>
            </w:r>
          </w:p>
        </w:tc>
        <w:tc>
          <w:tcPr>
            <w:tcW w:w="0" w:type="auto"/>
            <w:shd w:val="clear" w:color="auto" w:fill="D9D9D9"/>
            <w:noWrap/>
          </w:tcPr>
          <w:p w:rsidR="00B951B1" w:rsidRPr="00E61612" w:rsidRDefault="00B951B1" w:rsidP="00CB78E6">
            <w:pPr>
              <w:spacing w:after="0"/>
              <w:jc w:val="right"/>
              <w:rPr>
                <w:rFonts w:eastAsia="Times New Roman" w:cs="Calibri"/>
                <w:color w:val="000000"/>
                <w:sz w:val="18"/>
                <w:szCs w:val="18"/>
              </w:rPr>
            </w:pPr>
            <w:r w:rsidRPr="00E61612">
              <w:rPr>
                <w:color w:val="000000"/>
                <w:sz w:val="20"/>
                <w:szCs w:val="20"/>
              </w:rPr>
              <w:t xml:space="preserve">          65,340 </w:t>
            </w:r>
          </w:p>
        </w:tc>
        <w:tc>
          <w:tcPr>
            <w:tcW w:w="0" w:type="auto"/>
            <w:shd w:val="clear" w:color="auto" w:fill="D9D9D9"/>
            <w:noWrap/>
          </w:tcPr>
          <w:p w:rsidR="00B951B1" w:rsidRPr="00E61612" w:rsidRDefault="00B951B1" w:rsidP="00CB78E6">
            <w:pPr>
              <w:spacing w:after="0"/>
              <w:jc w:val="right"/>
              <w:rPr>
                <w:rFonts w:eastAsia="Times New Roman" w:cs="Calibri"/>
                <w:color w:val="000000"/>
                <w:sz w:val="18"/>
                <w:szCs w:val="18"/>
              </w:rPr>
            </w:pPr>
            <w:r w:rsidRPr="00E61612">
              <w:rPr>
                <w:color w:val="000000"/>
                <w:sz w:val="20"/>
                <w:szCs w:val="20"/>
              </w:rPr>
              <w:t xml:space="preserve">      (4,299,742)</w:t>
            </w:r>
          </w:p>
        </w:tc>
      </w:tr>
      <w:tr w:rsidR="00B951B1" w:rsidRPr="00E61612" w:rsidTr="00CB78E6">
        <w:trPr>
          <w:trHeight w:val="20"/>
        </w:trPr>
        <w:tc>
          <w:tcPr>
            <w:tcW w:w="0" w:type="auto"/>
            <w:shd w:val="clear" w:color="auto" w:fill="FFFFFF"/>
          </w:tcPr>
          <w:p w:rsidR="00B951B1" w:rsidRPr="00E61612" w:rsidRDefault="00B951B1" w:rsidP="00CB78E6">
            <w:pPr>
              <w:spacing w:after="0"/>
              <w:jc w:val="center"/>
              <w:rPr>
                <w:rFonts w:eastAsia="Times New Roman" w:cs="Calibri"/>
                <w:b/>
                <w:bCs/>
                <w:color w:val="000000"/>
                <w:sz w:val="18"/>
                <w:szCs w:val="18"/>
              </w:rPr>
            </w:pPr>
            <w:r w:rsidRPr="00E61612">
              <w:rPr>
                <w:b/>
                <w:bCs/>
                <w:color w:val="000000"/>
                <w:sz w:val="20"/>
                <w:szCs w:val="20"/>
              </w:rPr>
              <w:t>A4.1.1</w:t>
            </w:r>
          </w:p>
        </w:tc>
        <w:tc>
          <w:tcPr>
            <w:tcW w:w="0" w:type="auto"/>
            <w:shd w:val="clear" w:color="auto" w:fill="FFFFFF"/>
          </w:tcPr>
          <w:p w:rsidR="00B951B1" w:rsidRPr="00E61612" w:rsidRDefault="00B951B1" w:rsidP="00CB78E6">
            <w:pPr>
              <w:spacing w:after="0"/>
              <w:rPr>
                <w:rFonts w:eastAsia="Times New Roman" w:cs="Calibri"/>
                <w:sz w:val="18"/>
                <w:szCs w:val="18"/>
              </w:rPr>
            </w:pPr>
            <w:r w:rsidRPr="00E61612">
              <w:rPr>
                <w:sz w:val="20"/>
                <w:szCs w:val="20"/>
              </w:rPr>
              <w:t>Përcaktimi i standardeve për pajisjet e TIK-ut në shkolla</w:t>
            </w:r>
          </w:p>
        </w:tc>
        <w:tc>
          <w:tcPr>
            <w:tcW w:w="0" w:type="auto"/>
            <w:shd w:val="clear" w:color="auto" w:fill="FFFFFF"/>
          </w:tcPr>
          <w:p w:rsidR="00B951B1" w:rsidRPr="00E61612" w:rsidRDefault="00B951B1" w:rsidP="00CB78E6">
            <w:pPr>
              <w:spacing w:after="0"/>
              <w:jc w:val="center"/>
              <w:rPr>
                <w:rFonts w:eastAsia="Times New Roman" w:cs="Calibri"/>
                <w:color w:val="000000"/>
                <w:sz w:val="18"/>
                <w:szCs w:val="18"/>
              </w:rPr>
            </w:pPr>
            <w:r w:rsidRPr="00E61612">
              <w:rPr>
                <w:color w:val="000000"/>
                <w:sz w:val="20"/>
                <w:szCs w:val="20"/>
              </w:rPr>
              <w:t>MASR</w:t>
            </w:r>
          </w:p>
        </w:tc>
        <w:tc>
          <w:tcPr>
            <w:tcW w:w="0" w:type="auto"/>
            <w:shd w:val="clear" w:color="auto" w:fill="FFFFFF"/>
          </w:tcPr>
          <w:p w:rsidR="00B951B1" w:rsidRPr="00E61612" w:rsidRDefault="00B951B1" w:rsidP="00CB78E6">
            <w:pPr>
              <w:spacing w:after="0"/>
              <w:jc w:val="center"/>
              <w:rPr>
                <w:rFonts w:eastAsia="Times New Roman" w:cs="Calibri"/>
                <w:color w:val="000000"/>
                <w:sz w:val="18"/>
                <w:szCs w:val="18"/>
              </w:rPr>
            </w:pPr>
            <w:r w:rsidRPr="00E61612">
              <w:rPr>
                <w:color w:val="000000"/>
                <w:sz w:val="20"/>
                <w:szCs w:val="20"/>
              </w:rPr>
              <w:t>AKSHI</w:t>
            </w:r>
          </w:p>
        </w:tc>
        <w:tc>
          <w:tcPr>
            <w:tcW w:w="0" w:type="auto"/>
            <w:shd w:val="clear" w:color="auto" w:fill="FFFFFF"/>
          </w:tcPr>
          <w:p w:rsidR="00B951B1" w:rsidRPr="00E61612" w:rsidRDefault="00B951B1" w:rsidP="00CB78E6">
            <w:pPr>
              <w:spacing w:after="0"/>
              <w:jc w:val="center"/>
              <w:rPr>
                <w:rFonts w:eastAsia="Times New Roman" w:cs="Calibri"/>
                <w:color w:val="000000"/>
                <w:sz w:val="18"/>
                <w:szCs w:val="18"/>
              </w:rPr>
            </w:pPr>
            <w:r w:rsidRPr="00E61612">
              <w:rPr>
                <w:color w:val="000000"/>
                <w:sz w:val="20"/>
                <w:szCs w:val="20"/>
              </w:rPr>
              <w:t>TM1-2022</w:t>
            </w:r>
          </w:p>
        </w:tc>
        <w:tc>
          <w:tcPr>
            <w:tcW w:w="0" w:type="auto"/>
            <w:shd w:val="clear" w:color="auto" w:fill="FFFFFF"/>
          </w:tcPr>
          <w:p w:rsidR="00B951B1" w:rsidRPr="00E61612" w:rsidRDefault="00B951B1" w:rsidP="00CB78E6">
            <w:pPr>
              <w:spacing w:after="0"/>
              <w:jc w:val="center"/>
              <w:rPr>
                <w:rFonts w:eastAsia="Times New Roman" w:cs="Calibri"/>
                <w:color w:val="000000"/>
                <w:sz w:val="18"/>
                <w:szCs w:val="18"/>
              </w:rPr>
            </w:pPr>
            <w:r w:rsidRPr="00E61612">
              <w:rPr>
                <w:color w:val="000000"/>
                <w:sz w:val="20"/>
                <w:szCs w:val="20"/>
              </w:rPr>
              <w:t>TM2-2022</w:t>
            </w:r>
          </w:p>
        </w:tc>
        <w:tc>
          <w:tcPr>
            <w:tcW w:w="0" w:type="auto"/>
            <w:shd w:val="clear" w:color="auto" w:fill="FFFFFF"/>
            <w:noWrap/>
          </w:tcPr>
          <w:p w:rsidR="00B951B1" w:rsidRPr="00E61612" w:rsidRDefault="00B951B1" w:rsidP="00CB78E6">
            <w:pPr>
              <w:spacing w:after="0"/>
              <w:jc w:val="right"/>
              <w:rPr>
                <w:rFonts w:eastAsia="Times New Roman" w:cs="Calibri"/>
                <w:color w:val="000000"/>
                <w:sz w:val="18"/>
                <w:szCs w:val="18"/>
              </w:rPr>
            </w:pPr>
            <w:r w:rsidRPr="00E61612">
              <w:rPr>
                <w:color w:val="000000"/>
                <w:sz w:val="20"/>
                <w:szCs w:val="20"/>
              </w:rPr>
              <w:t xml:space="preserve">                        3,840 </w:t>
            </w:r>
          </w:p>
        </w:tc>
        <w:tc>
          <w:tcPr>
            <w:tcW w:w="0" w:type="auto"/>
            <w:shd w:val="clear" w:color="auto" w:fill="FFFFFF"/>
            <w:noWrap/>
          </w:tcPr>
          <w:p w:rsidR="00B951B1" w:rsidRPr="00E61612" w:rsidRDefault="00B951B1" w:rsidP="00CB78E6">
            <w:pPr>
              <w:spacing w:after="0"/>
              <w:jc w:val="right"/>
              <w:rPr>
                <w:rFonts w:eastAsia="Times New Roman" w:cs="Calibri"/>
                <w:color w:val="000000"/>
                <w:sz w:val="18"/>
                <w:szCs w:val="18"/>
              </w:rPr>
            </w:pPr>
            <w:r w:rsidRPr="00E61612">
              <w:rPr>
                <w:color w:val="000000"/>
                <w:sz w:val="20"/>
                <w:szCs w:val="20"/>
              </w:rPr>
              <w:t xml:space="preserve">                      -   </w:t>
            </w:r>
          </w:p>
        </w:tc>
        <w:tc>
          <w:tcPr>
            <w:tcW w:w="0" w:type="auto"/>
            <w:shd w:val="clear" w:color="auto" w:fill="FFFFFF"/>
            <w:noWrap/>
          </w:tcPr>
          <w:p w:rsidR="00B951B1" w:rsidRPr="00E61612" w:rsidRDefault="00B951B1" w:rsidP="00CB78E6">
            <w:pPr>
              <w:spacing w:after="0"/>
              <w:jc w:val="right"/>
              <w:rPr>
                <w:rFonts w:eastAsia="Times New Roman" w:cs="Calibri"/>
                <w:color w:val="000000"/>
                <w:sz w:val="18"/>
                <w:szCs w:val="18"/>
              </w:rPr>
            </w:pPr>
            <w:r w:rsidRPr="00E61612">
              <w:rPr>
                <w:color w:val="000000"/>
                <w:sz w:val="20"/>
                <w:szCs w:val="20"/>
              </w:rPr>
              <w:t xml:space="preserve">            3,840 </w:t>
            </w:r>
          </w:p>
        </w:tc>
        <w:tc>
          <w:tcPr>
            <w:tcW w:w="0" w:type="auto"/>
            <w:shd w:val="clear" w:color="auto" w:fill="FFFFFF"/>
            <w:noWrap/>
          </w:tcPr>
          <w:p w:rsidR="00B951B1" w:rsidRPr="00E61612" w:rsidRDefault="00B951B1" w:rsidP="00CB78E6">
            <w:pPr>
              <w:spacing w:after="0"/>
              <w:jc w:val="right"/>
              <w:rPr>
                <w:rFonts w:eastAsia="Times New Roman" w:cs="Calibri"/>
                <w:color w:val="000000"/>
                <w:sz w:val="18"/>
                <w:szCs w:val="18"/>
              </w:rPr>
            </w:pPr>
            <w:r w:rsidRPr="00E61612">
              <w:rPr>
                <w:color w:val="000000"/>
                <w:sz w:val="20"/>
                <w:szCs w:val="20"/>
              </w:rPr>
              <w:t xml:space="preserve">                       -   </w:t>
            </w:r>
          </w:p>
        </w:tc>
      </w:tr>
      <w:tr w:rsidR="00B951B1" w:rsidRPr="00E61612" w:rsidTr="00CB78E6">
        <w:trPr>
          <w:trHeight w:val="20"/>
        </w:trPr>
        <w:tc>
          <w:tcPr>
            <w:tcW w:w="0" w:type="auto"/>
            <w:shd w:val="clear" w:color="auto" w:fill="FFFFFF"/>
          </w:tcPr>
          <w:p w:rsidR="00B951B1" w:rsidRPr="00E61612" w:rsidRDefault="00B951B1" w:rsidP="00CB78E6">
            <w:pPr>
              <w:spacing w:after="0"/>
              <w:jc w:val="center"/>
              <w:rPr>
                <w:rFonts w:eastAsia="Times New Roman" w:cs="Calibri"/>
                <w:b/>
                <w:bCs/>
                <w:color w:val="000000"/>
                <w:sz w:val="18"/>
                <w:szCs w:val="18"/>
              </w:rPr>
            </w:pPr>
            <w:r w:rsidRPr="00E61612">
              <w:rPr>
                <w:b/>
                <w:bCs/>
                <w:color w:val="000000"/>
                <w:sz w:val="20"/>
                <w:szCs w:val="20"/>
              </w:rPr>
              <w:t>A4.1.2</w:t>
            </w:r>
          </w:p>
        </w:tc>
        <w:tc>
          <w:tcPr>
            <w:tcW w:w="0" w:type="auto"/>
            <w:shd w:val="clear" w:color="auto" w:fill="FFFFFF"/>
          </w:tcPr>
          <w:p w:rsidR="00B951B1" w:rsidRPr="00E61612" w:rsidRDefault="00B951B1" w:rsidP="00CB78E6">
            <w:pPr>
              <w:spacing w:after="0"/>
              <w:rPr>
                <w:rFonts w:eastAsia="Times New Roman" w:cs="Calibri"/>
                <w:sz w:val="18"/>
                <w:szCs w:val="18"/>
              </w:rPr>
            </w:pPr>
            <w:r w:rsidRPr="00E61612">
              <w:rPr>
                <w:sz w:val="20"/>
                <w:szCs w:val="20"/>
              </w:rPr>
              <w:t>Instalimi i rrjeteve wireless ne shkolla</w:t>
            </w:r>
          </w:p>
        </w:tc>
        <w:tc>
          <w:tcPr>
            <w:tcW w:w="0" w:type="auto"/>
            <w:shd w:val="clear" w:color="auto" w:fill="FFFFFF"/>
          </w:tcPr>
          <w:p w:rsidR="00B951B1" w:rsidRPr="00E61612" w:rsidRDefault="00B951B1" w:rsidP="00CB78E6">
            <w:pPr>
              <w:spacing w:after="0"/>
              <w:jc w:val="center"/>
              <w:rPr>
                <w:rFonts w:eastAsia="Times New Roman" w:cs="Calibri"/>
                <w:color w:val="000000"/>
                <w:sz w:val="18"/>
                <w:szCs w:val="18"/>
              </w:rPr>
            </w:pPr>
            <w:r w:rsidRPr="00E61612">
              <w:rPr>
                <w:color w:val="000000"/>
                <w:sz w:val="20"/>
                <w:szCs w:val="20"/>
              </w:rPr>
              <w:t>MASR</w:t>
            </w:r>
          </w:p>
        </w:tc>
        <w:tc>
          <w:tcPr>
            <w:tcW w:w="0" w:type="auto"/>
            <w:shd w:val="clear" w:color="auto" w:fill="FFFFFF"/>
          </w:tcPr>
          <w:p w:rsidR="00B951B1" w:rsidRPr="00E61612" w:rsidRDefault="00B951B1" w:rsidP="00CB78E6">
            <w:pPr>
              <w:spacing w:after="0"/>
              <w:jc w:val="center"/>
              <w:rPr>
                <w:rFonts w:eastAsia="Times New Roman" w:cs="Calibri"/>
                <w:color w:val="000000"/>
                <w:sz w:val="18"/>
                <w:szCs w:val="18"/>
              </w:rPr>
            </w:pPr>
            <w:r w:rsidRPr="00E61612">
              <w:rPr>
                <w:color w:val="000000"/>
                <w:sz w:val="20"/>
                <w:szCs w:val="20"/>
              </w:rPr>
              <w:t>AKSHI</w:t>
            </w:r>
          </w:p>
        </w:tc>
        <w:tc>
          <w:tcPr>
            <w:tcW w:w="0" w:type="auto"/>
            <w:shd w:val="clear" w:color="auto" w:fill="FFFFFF"/>
          </w:tcPr>
          <w:p w:rsidR="00B951B1" w:rsidRPr="00E61612" w:rsidRDefault="00B951B1" w:rsidP="00CB78E6">
            <w:pPr>
              <w:spacing w:after="0"/>
              <w:jc w:val="center"/>
              <w:rPr>
                <w:rFonts w:eastAsia="Times New Roman" w:cs="Calibri"/>
                <w:color w:val="000000"/>
                <w:sz w:val="18"/>
                <w:szCs w:val="18"/>
              </w:rPr>
            </w:pPr>
            <w:r w:rsidRPr="00E61612">
              <w:rPr>
                <w:color w:val="000000"/>
                <w:sz w:val="20"/>
                <w:szCs w:val="20"/>
              </w:rPr>
              <w:t>TM1-2022</w:t>
            </w:r>
          </w:p>
        </w:tc>
        <w:tc>
          <w:tcPr>
            <w:tcW w:w="0" w:type="auto"/>
            <w:shd w:val="clear" w:color="auto" w:fill="FFFFFF"/>
          </w:tcPr>
          <w:p w:rsidR="00B951B1" w:rsidRPr="00E61612" w:rsidRDefault="00B951B1" w:rsidP="00CB78E6">
            <w:pPr>
              <w:spacing w:after="0"/>
              <w:jc w:val="center"/>
              <w:rPr>
                <w:rFonts w:eastAsia="Times New Roman" w:cs="Calibri"/>
                <w:color w:val="000000"/>
                <w:sz w:val="18"/>
                <w:szCs w:val="18"/>
              </w:rPr>
            </w:pPr>
            <w:r w:rsidRPr="00E61612">
              <w:rPr>
                <w:color w:val="000000"/>
                <w:sz w:val="20"/>
                <w:szCs w:val="20"/>
              </w:rPr>
              <w:t>TM3-2026</w:t>
            </w:r>
          </w:p>
        </w:tc>
        <w:tc>
          <w:tcPr>
            <w:tcW w:w="0" w:type="auto"/>
            <w:shd w:val="clear" w:color="auto" w:fill="FFFFFF"/>
            <w:noWrap/>
          </w:tcPr>
          <w:p w:rsidR="00B951B1" w:rsidRPr="00E61612" w:rsidRDefault="00B951B1" w:rsidP="00CB78E6">
            <w:pPr>
              <w:spacing w:after="0"/>
              <w:jc w:val="right"/>
              <w:rPr>
                <w:rFonts w:eastAsia="Times New Roman" w:cs="Calibri"/>
                <w:color w:val="000000"/>
                <w:sz w:val="18"/>
                <w:szCs w:val="18"/>
              </w:rPr>
            </w:pPr>
            <w:r w:rsidRPr="00E61612">
              <w:rPr>
                <w:color w:val="000000"/>
                <w:sz w:val="20"/>
                <w:szCs w:val="20"/>
              </w:rPr>
              <w:t xml:space="preserve">                   564,000 </w:t>
            </w:r>
          </w:p>
        </w:tc>
        <w:tc>
          <w:tcPr>
            <w:tcW w:w="0" w:type="auto"/>
            <w:shd w:val="clear" w:color="auto" w:fill="FFFFFF"/>
            <w:noWrap/>
          </w:tcPr>
          <w:p w:rsidR="00B951B1" w:rsidRPr="00E61612" w:rsidRDefault="00B951B1" w:rsidP="00CB78E6">
            <w:pPr>
              <w:spacing w:after="0"/>
              <w:jc w:val="right"/>
              <w:rPr>
                <w:rFonts w:eastAsia="Times New Roman" w:cs="Calibri"/>
                <w:color w:val="000000"/>
                <w:sz w:val="18"/>
                <w:szCs w:val="18"/>
              </w:rPr>
            </w:pPr>
            <w:r w:rsidRPr="00E61612">
              <w:rPr>
                <w:color w:val="000000"/>
                <w:sz w:val="20"/>
                <w:szCs w:val="20"/>
              </w:rPr>
              <w:t xml:space="preserve">                      -   </w:t>
            </w:r>
          </w:p>
        </w:tc>
        <w:tc>
          <w:tcPr>
            <w:tcW w:w="0" w:type="auto"/>
            <w:shd w:val="clear" w:color="auto" w:fill="FFFFFF"/>
            <w:noWrap/>
          </w:tcPr>
          <w:p w:rsidR="00B951B1" w:rsidRPr="00E61612" w:rsidRDefault="00B951B1" w:rsidP="00CB78E6">
            <w:pPr>
              <w:spacing w:after="0"/>
              <w:jc w:val="right"/>
              <w:rPr>
                <w:rFonts w:eastAsia="Times New Roman" w:cs="Calibri"/>
                <w:color w:val="000000"/>
                <w:sz w:val="18"/>
                <w:szCs w:val="18"/>
              </w:rPr>
            </w:pPr>
            <w:r w:rsidRPr="00E61612">
              <w:rPr>
                <w:color w:val="000000"/>
                <w:sz w:val="20"/>
                <w:szCs w:val="20"/>
              </w:rPr>
              <w:t xml:space="preserve">          60,000 </w:t>
            </w:r>
          </w:p>
        </w:tc>
        <w:tc>
          <w:tcPr>
            <w:tcW w:w="0" w:type="auto"/>
            <w:shd w:val="clear" w:color="auto" w:fill="FFFFFF"/>
            <w:noWrap/>
          </w:tcPr>
          <w:p w:rsidR="00B951B1" w:rsidRPr="00E61612" w:rsidRDefault="00B951B1" w:rsidP="00CB78E6">
            <w:pPr>
              <w:spacing w:after="0"/>
              <w:jc w:val="right"/>
              <w:rPr>
                <w:rFonts w:eastAsia="Times New Roman" w:cs="Calibri"/>
                <w:color w:val="000000"/>
                <w:sz w:val="18"/>
                <w:szCs w:val="18"/>
              </w:rPr>
            </w:pPr>
            <w:r w:rsidRPr="00E61612">
              <w:rPr>
                <w:color w:val="000000"/>
                <w:sz w:val="20"/>
                <w:szCs w:val="20"/>
              </w:rPr>
              <w:t xml:space="preserve">         (504,000)</w:t>
            </w:r>
          </w:p>
        </w:tc>
      </w:tr>
      <w:tr w:rsidR="00B951B1" w:rsidRPr="00E61612" w:rsidTr="00CB78E6">
        <w:trPr>
          <w:trHeight w:val="20"/>
        </w:trPr>
        <w:tc>
          <w:tcPr>
            <w:tcW w:w="0" w:type="auto"/>
            <w:shd w:val="clear" w:color="auto" w:fill="FFFFFF"/>
          </w:tcPr>
          <w:p w:rsidR="00B951B1" w:rsidRPr="00E61612" w:rsidRDefault="00B951B1" w:rsidP="00CB78E6">
            <w:pPr>
              <w:spacing w:after="0"/>
              <w:jc w:val="center"/>
              <w:rPr>
                <w:rFonts w:eastAsia="Times New Roman" w:cs="Calibri"/>
                <w:b/>
                <w:bCs/>
                <w:color w:val="000000"/>
                <w:sz w:val="18"/>
                <w:szCs w:val="18"/>
              </w:rPr>
            </w:pPr>
            <w:r w:rsidRPr="00E61612">
              <w:rPr>
                <w:b/>
                <w:bCs/>
                <w:color w:val="000000"/>
                <w:sz w:val="20"/>
                <w:szCs w:val="20"/>
              </w:rPr>
              <w:t>A4.1.3</w:t>
            </w:r>
          </w:p>
        </w:tc>
        <w:tc>
          <w:tcPr>
            <w:tcW w:w="0" w:type="auto"/>
            <w:shd w:val="clear" w:color="auto" w:fill="FFFFFF"/>
          </w:tcPr>
          <w:p w:rsidR="00B951B1" w:rsidRPr="00E61612" w:rsidRDefault="00B951B1" w:rsidP="00CB78E6">
            <w:pPr>
              <w:spacing w:after="0"/>
              <w:rPr>
                <w:rFonts w:eastAsia="Times New Roman" w:cs="Calibri"/>
                <w:sz w:val="18"/>
                <w:szCs w:val="18"/>
              </w:rPr>
            </w:pPr>
            <w:r w:rsidRPr="00E61612">
              <w:rPr>
                <w:sz w:val="20"/>
                <w:szCs w:val="20"/>
              </w:rPr>
              <w:t>Investim për shtimin e pajisjeve digjitale në shkolla</w:t>
            </w:r>
          </w:p>
        </w:tc>
        <w:tc>
          <w:tcPr>
            <w:tcW w:w="0" w:type="auto"/>
            <w:shd w:val="clear" w:color="auto" w:fill="FFFFFF"/>
          </w:tcPr>
          <w:p w:rsidR="00B951B1" w:rsidRPr="00E61612" w:rsidRDefault="00B951B1" w:rsidP="00CB78E6">
            <w:pPr>
              <w:spacing w:after="0"/>
              <w:jc w:val="center"/>
              <w:rPr>
                <w:rFonts w:eastAsia="Times New Roman" w:cs="Calibri"/>
                <w:color w:val="000000"/>
                <w:sz w:val="18"/>
                <w:szCs w:val="18"/>
              </w:rPr>
            </w:pPr>
            <w:r w:rsidRPr="00E61612">
              <w:rPr>
                <w:color w:val="000000"/>
                <w:sz w:val="20"/>
                <w:szCs w:val="20"/>
              </w:rPr>
              <w:t>MASR</w:t>
            </w:r>
          </w:p>
        </w:tc>
        <w:tc>
          <w:tcPr>
            <w:tcW w:w="0" w:type="auto"/>
            <w:shd w:val="clear" w:color="auto" w:fill="FFFFFF"/>
          </w:tcPr>
          <w:p w:rsidR="00B951B1" w:rsidRPr="00E61612" w:rsidRDefault="00B951B1" w:rsidP="00CB78E6">
            <w:pPr>
              <w:spacing w:after="0"/>
              <w:jc w:val="center"/>
              <w:rPr>
                <w:rFonts w:eastAsia="Times New Roman" w:cs="Calibri"/>
                <w:color w:val="000000"/>
                <w:sz w:val="18"/>
                <w:szCs w:val="18"/>
              </w:rPr>
            </w:pPr>
            <w:r w:rsidRPr="00E61612">
              <w:rPr>
                <w:color w:val="000000"/>
                <w:sz w:val="20"/>
                <w:szCs w:val="20"/>
              </w:rPr>
              <w:t>AKSHI</w:t>
            </w:r>
          </w:p>
        </w:tc>
        <w:tc>
          <w:tcPr>
            <w:tcW w:w="0" w:type="auto"/>
            <w:shd w:val="clear" w:color="auto" w:fill="FFFFFF"/>
          </w:tcPr>
          <w:p w:rsidR="00B951B1" w:rsidRPr="00E61612" w:rsidRDefault="00B951B1" w:rsidP="00CB78E6">
            <w:pPr>
              <w:spacing w:after="0"/>
              <w:jc w:val="center"/>
              <w:rPr>
                <w:rFonts w:eastAsia="Times New Roman" w:cs="Calibri"/>
                <w:color w:val="000000"/>
                <w:sz w:val="18"/>
                <w:szCs w:val="18"/>
              </w:rPr>
            </w:pPr>
            <w:r w:rsidRPr="00E61612">
              <w:rPr>
                <w:color w:val="000000"/>
                <w:sz w:val="20"/>
                <w:szCs w:val="20"/>
              </w:rPr>
              <w:t>TM2-2021</w:t>
            </w:r>
          </w:p>
        </w:tc>
        <w:tc>
          <w:tcPr>
            <w:tcW w:w="0" w:type="auto"/>
            <w:shd w:val="clear" w:color="auto" w:fill="FFFFFF"/>
          </w:tcPr>
          <w:p w:rsidR="00B951B1" w:rsidRPr="00E61612" w:rsidRDefault="00B951B1" w:rsidP="00CB78E6">
            <w:pPr>
              <w:spacing w:after="0"/>
              <w:jc w:val="center"/>
              <w:rPr>
                <w:rFonts w:eastAsia="Times New Roman" w:cs="Calibri"/>
                <w:color w:val="000000"/>
                <w:sz w:val="18"/>
                <w:szCs w:val="18"/>
              </w:rPr>
            </w:pPr>
            <w:r w:rsidRPr="00E61612">
              <w:rPr>
                <w:color w:val="000000"/>
                <w:sz w:val="20"/>
                <w:szCs w:val="20"/>
              </w:rPr>
              <w:t>TM3-2026</w:t>
            </w:r>
          </w:p>
        </w:tc>
        <w:tc>
          <w:tcPr>
            <w:tcW w:w="0" w:type="auto"/>
            <w:shd w:val="clear" w:color="auto" w:fill="FFFFFF"/>
            <w:noWrap/>
          </w:tcPr>
          <w:p w:rsidR="00B951B1" w:rsidRPr="00E61612" w:rsidRDefault="00B951B1" w:rsidP="00CB78E6">
            <w:pPr>
              <w:spacing w:after="0"/>
              <w:jc w:val="right"/>
              <w:rPr>
                <w:rFonts w:eastAsia="Times New Roman" w:cs="Calibri"/>
                <w:color w:val="000000"/>
                <w:sz w:val="18"/>
                <w:szCs w:val="18"/>
              </w:rPr>
            </w:pPr>
            <w:r w:rsidRPr="00E61612">
              <w:rPr>
                <w:color w:val="000000"/>
                <w:sz w:val="20"/>
                <w:szCs w:val="20"/>
              </w:rPr>
              <w:t xml:space="preserve">                3,707,197 </w:t>
            </w:r>
          </w:p>
        </w:tc>
        <w:tc>
          <w:tcPr>
            <w:tcW w:w="0" w:type="auto"/>
            <w:shd w:val="clear" w:color="auto" w:fill="FFFFFF"/>
            <w:noWrap/>
          </w:tcPr>
          <w:p w:rsidR="00B951B1" w:rsidRPr="00E61612" w:rsidRDefault="00B951B1" w:rsidP="00CB78E6">
            <w:pPr>
              <w:spacing w:after="0"/>
              <w:jc w:val="right"/>
              <w:rPr>
                <w:rFonts w:eastAsia="Times New Roman" w:cs="Calibri"/>
                <w:color w:val="000000"/>
                <w:sz w:val="18"/>
                <w:szCs w:val="18"/>
              </w:rPr>
            </w:pPr>
            <w:r w:rsidRPr="00E61612">
              <w:rPr>
                <w:color w:val="000000"/>
                <w:sz w:val="20"/>
                <w:szCs w:val="20"/>
              </w:rPr>
              <w:t xml:space="preserve">          473,770 </w:t>
            </w:r>
          </w:p>
        </w:tc>
        <w:tc>
          <w:tcPr>
            <w:tcW w:w="0" w:type="auto"/>
            <w:shd w:val="clear" w:color="auto" w:fill="FFFFFF"/>
            <w:noWrap/>
          </w:tcPr>
          <w:p w:rsidR="00B951B1" w:rsidRPr="00E61612" w:rsidRDefault="00B951B1" w:rsidP="00CB78E6">
            <w:pPr>
              <w:spacing w:after="0"/>
              <w:jc w:val="right"/>
              <w:rPr>
                <w:rFonts w:eastAsia="Times New Roman" w:cs="Calibri"/>
                <w:color w:val="000000"/>
                <w:sz w:val="18"/>
                <w:szCs w:val="18"/>
              </w:rPr>
            </w:pPr>
            <w:r w:rsidRPr="00E61612">
              <w:rPr>
                <w:color w:val="000000"/>
                <w:sz w:val="20"/>
                <w:szCs w:val="20"/>
              </w:rPr>
              <w:t xml:space="preserve">                   -   </w:t>
            </w:r>
          </w:p>
        </w:tc>
        <w:tc>
          <w:tcPr>
            <w:tcW w:w="0" w:type="auto"/>
            <w:shd w:val="clear" w:color="auto" w:fill="FFFFFF"/>
            <w:noWrap/>
          </w:tcPr>
          <w:p w:rsidR="00B951B1" w:rsidRPr="00E61612" w:rsidRDefault="00B951B1" w:rsidP="00CB78E6">
            <w:pPr>
              <w:spacing w:after="0"/>
              <w:jc w:val="right"/>
              <w:rPr>
                <w:rFonts w:eastAsia="Times New Roman" w:cs="Calibri"/>
                <w:color w:val="000000"/>
                <w:sz w:val="18"/>
                <w:szCs w:val="18"/>
              </w:rPr>
            </w:pPr>
            <w:r w:rsidRPr="00E61612">
              <w:rPr>
                <w:color w:val="000000"/>
                <w:sz w:val="20"/>
                <w:szCs w:val="20"/>
              </w:rPr>
              <w:t xml:space="preserve">      (3,233,427)</w:t>
            </w:r>
          </w:p>
        </w:tc>
      </w:tr>
      <w:tr w:rsidR="00B951B1" w:rsidRPr="00E61612" w:rsidTr="00CB78E6">
        <w:trPr>
          <w:trHeight w:val="20"/>
        </w:trPr>
        <w:tc>
          <w:tcPr>
            <w:tcW w:w="0" w:type="auto"/>
            <w:shd w:val="clear" w:color="auto" w:fill="FFFFFF"/>
          </w:tcPr>
          <w:p w:rsidR="00B951B1" w:rsidRPr="00E61612" w:rsidRDefault="00B951B1" w:rsidP="00CB78E6">
            <w:pPr>
              <w:spacing w:after="0"/>
              <w:jc w:val="center"/>
              <w:rPr>
                <w:rFonts w:eastAsia="Times New Roman" w:cs="Calibri"/>
                <w:b/>
                <w:bCs/>
                <w:color w:val="000000"/>
                <w:sz w:val="18"/>
                <w:szCs w:val="18"/>
              </w:rPr>
            </w:pPr>
            <w:r w:rsidRPr="00E61612">
              <w:rPr>
                <w:b/>
                <w:bCs/>
                <w:color w:val="000000"/>
                <w:sz w:val="20"/>
                <w:szCs w:val="20"/>
              </w:rPr>
              <w:lastRenderedPageBreak/>
              <w:t>A4.1.4</w:t>
            </w:r>
          </w:p>
        </w:tc>
        <w:tc>
          <w:tcPr>
            <w:tcW w:w="0" w:type="auto"/>
            <w:shd w:val="clear" w:color="auto" w:fill="FFFFFF"/>
          </w:tcPr>
          <w:p w:rsidR="00B951B1" w:rsidRPr="00E61612" w:rsidRDefault="00B951B1" w:rsidP="00CB78E6">
            <w:pPr>
              <w:spacing w:after="0"/>
              <w:rPr>
                <w:rFonts w:eastAsia="Times New Roman" w:cs="Calibri"/>
                <w:sz w:val="18"/>
                <w:szCs w:val="18"/>
              </w:rPr>
            </w:pPr>
            <w:r w:rsidRPr="00E61612">
              <w:rPr>
                <w:sz w:val="20"/>
                <w:szCs w:val="20"/>
              </w:rPr>
              <w:t>Mirëmbajtja teknike e pajisjeve të TIK-ut përmes klubeve te nxënësve dhe strukturës arsimore lokale</w:t>
            </w:r>
          </w:p>
        </w:tc>
        <w:tc>
          <w:tcPr>
            <w:tcW w:w="0" w:type="auto"/>
            <w:shd w:val="clear" w:color="auto" w:fill="FFFFFF"/>
          </w:tcPr>
          <w:p w:rsidR="00B951B1" w:rsidRPr="00E61612" w:rsidRDefault="00B951B1" w:rsidP="00CB78E6">
            <w:pPr>
              <w:spacing w:after="0"/>
              <w:jc w:val="center"/>
              <w:rPr>
                <w:rFonts w:eastAsia="Times New Roman" w:cs="Calibri"/>
                <w:color w:val="000000"/>
                <w:sz w:val="18"/>
                <w:szCs w:val="18"/>
              </w:rPr>
            </w:pPr>
            <w:r w:rsidRPr="00E61612">
              <w:rPr>
                <w:color w:val="000000"/>
                <w:sz w:val="20"/>
                <w:szCs w:val="20"/>
              </w:rPr>
              <w:t>Bashkitë</w:t>
            </w:r>
          </w:p>
        </w:tc>
        <w:tc>
          <w:tcPr>
            <w:tcW w:w="0" w:type="auto"/>
            <w:shd w:val="clear" w:color="auto" w:fill="FFFFFF"/>
          </w:tcPr>
          <w:p w:rsidR="00B951B1" w:rsidRPr="00E61612" w:rsidRDefault="00B951B1" w:rsidP="00CB78E6">
            <w:pPr>
              <w:spacing w:after="0"/>
              <w:jc w:val="center"/>
              <w:rPr>
                <w:rFonts w:eastAsia="Times New Roman" w:cs="Calibri"/>
                <w:color w:val="000000"/>
                <w:sz w:val="18"/>
                <w:szCs w:val="18"/>
              </w:rPr>
            </w:pPr>
            <w:r w:rsidRPr="00E61612">
              <w:rPr>
                <w:color w:val="000000"/>
                <w:sz w:val="20"/>
                <w:szCs w:val="20"/>
              </w:rPr>
              <w:t>AKSHI</w:t>
            </w:r>
          </w:p>
        </w:tc>
        <w:tc>
          <w:tcPr>
            <w:tcW w:w="0" w:type="auto"/>
            <w:shd w:val="clear" w:color="auto" w:fill="FFFFFF"/>
          </w:tcPr>
          <w:p w:rsidR="00B951B1" w:rsidRPr="00E61612" w:rsidRDefault="00B951B1" w:rsidP="00CB78E6">
            <w:pPr>
              <w:spacing w:after="0"/>
              <w:jc w:val="center"/>
              <w:rPr>
                <w:rFonts w:eastAsia="Times New Roman" w:cs="Calibri"/>
                <w:color w:val="000000"/>
                <w:sz w:val="18"/>
                <w:szCs w:val="18"/>
              </w:rPr>
            </w:pPr>
            <w:r w:rsidRPr="00E61612">
              <w:rPr>
                <w:color w:val="000000"/>
                <w:sz w:val="20"/>
                <w:szCs w:val="20"/>
              </w:rPr>
              <w:t>TM3-2023</w:t>
            </w:r>
          </w:p>
        </w:tc>
        <w:tc>
          <w:tcPr>
            <w:tcW w:w="0" w:type="auto"/>
            <w:shd w:val="clear" w:color="auto" w:fill="FFFFFF"/>
          </w:tcPr>
          <w:p w:rsidR="00B951B1" w:rsidRPr="00E61612" w:rsidRDefault="00B951B1" w:rsidP="00CB78E6">
            <w:pPr>
              <w:spacing w:after="0"/>
              <w:jc w:val="center"/>
              <w:rPr>
                <w:rFonts w:eastAsia="Times New Roman" w:cs="Calibri"/>
                <w:color w:val="000000"/>
                <w:sz w:val="18"/>
                <w:szCs w:val="18"/>
              </w:rPr>
            </w:pPr>
            <w:r w:rsidRPr="00E61612">
              <w:rPr>
                <w:color w:val="000000"/>
                <w:sz w:val="20"/>
                <w:szCs w:val="20"/>
              </w:rPr>
              <w:t>TM3-2025</w:t>
            </w:r>
          </w:p>
        </w:tc>
        <w:tc>
          <w:tcPr>
            <w:tcW w:w="0" w:type="auto"/>
            <w:shd w:val="clear" w:color="auto" w:fill="FFFFFF"/>
            <w:noWrap/>
          </w:tcPr>
          <w:p w:rsidR="00B951B1" w:rsidRPr="00E61612" w:rsidRDefault="00B951B1" w:rsidP="00CB78E6">
            <w:pPr>
              <w:spacing w:after="0"/>
              <w:jc w:val="right"/>
              <w:rPr>
                <w:rFonts w:eastAsia="Times New Roman" w:cs="Calibri"/>
                <w:color w:val="000000"/>
                <w:sz w:val="18"/>
                <w:szCs w:val="18"/>
              </w:rPr>
            </w:pPr>
            <w:r w:rsidRPr="00E61612">
              <w:rPr>
                <w:color w:val="000000"/>
                <w:sz w:val="20"/>
                <w:szCs w:val="20"/>
              </w:rPr>
              <w:t xml:space="preserve">                   562,315 </w:t>
            </w:r>
          </w:p>
        </w:tc>
        <w:tc>
          <w:tcPr>
            <w:tcW w:w="0" w:type="auto"/>
            <w:shd w:val="clear" w:color="auto" w:fill="FFFFFF"/>
            <w:noWrap/>
          </w:tcPr>
          <w:p w:rsidR="00B951B1" w:rsidRPr="00E61612" w:rsidRDefault="00B951B1" w:rsidP="00CB78E6">
            <w:pPr>
              <w:spacing w:after="0"/>
              <w:jc w:val="right"/>
              <w:rPr>
                <w:rFonts w:eastAsia="Times New Roman" w:cs="Calibri"/>
                <w:color w:val="000000"/>
                <w:sz w:val="18"/>
                <w:szCs w:val="18"/>
              </w:rPr>
            </w:pPr>
            <w:r w:rsidRPr="00E61612">
              <w:rPr>
                <w:color w:val="000000"/>
                <w:sz w:val="20"/>
                <w:szCs w:val="20"/>
              </w:rPr>
              <w:t xml:space="preserve">                      -   </w:t>
            </w:r>
          </w:p>
        </w:tc>
        <w:tc>
          <w:tcPr>
            <w:tcW w:w="0" w:type="auto"/>
            <w:shd w:val="clear" w:color="auto" w:fill="FFFFFF"/>
            <w:noWrap/>
          </w:tcPr>
          <w:p w:rsidR="00B951B1" w:rsidRPr="00E61612" w:rsidRDefault="00B951B1" w:rsidP="00CB78E6">
            <w:pPr>
              <w:spacing w:after="0"/>
              <w:jc w:val="right"/>
              <w:rPr>
                <w:rFonts w:eastAsia="Times New Roman" w:cs="Calibri"/>
                <w:color w:val="000000"/>
                <w:sz w:val="18"/>
                <w:szCs w:val="18"/>
              </w:rPr>
            </w:pPr>
            <w:r w:rsidRPr="00E61612">
              <w:rPr>
                <w:color w:val="000000"/>
                <w:sz w:val="20"/>
                <w:szCs w:val="20"/>
              </w:rPr>
              <w:t xml:space="preserve">                   -   </w:t>
            </w:r>
          </w:p>
        </w:tc>
        <w:tc>
          <w:tcPr>
            <w:tcW w:w="0" w:type="auto"/>
            <w:shd w:val="clear" w:color="auto" w:fill="FFFFFF"/>
            <w:noWrap/>
          </w:tcPr>
          <w:p w:rsidR="00B951B1" w:rsidRPr="00E61612" w:rsidRDefault="00B951B1" w:rsidP="00CB78E6">
            <w:pPr>
              <w:spacing w:after="0"/>
              <w:jc w:val="right"/>
              <w:rPr>
                <w:rFonts w:eastAsia="Times New Roman" w:cs="Calibri"/>
                <w:color w:val="000000"/>
                <w:sz w:val="18"/>
                <w:szCs w:val="18"/>
              </w:rPr>
            </w:pPr>
            <w:r w:rsidRPr="00E61612">
              <w:rPr>
                <w:color w:val="000000"/>
                <w:sz w:val="20"/>
                <w:szCs w:val="20"/>
              </w:rPr>
              <w:t xml:space="preserve">         (562,315)</w:t>
            </w:r>
          </w:p>
        </w:tc>
      </w:tr>
      <w:tr w:rsidR="00B951B1" w:rsidRPr="00E61612" w:rsidTr="00CB78E6">
        <w:trPr>
          <w:trHeight w:val="20"/>
        </w:trPr>
        <w:tc>
          <w:tcPr>
            <w:tcW w:w="0" w:type="auto"/>
            <w:tcBorders>
              <w:bottom w:val="single" w:sz="4" w:space="0" w:color="auto"/>
            </w:tcBorders>
            <w:shd w:val="clear" w:color="auto" w:fill="FFFFFF"/>
          </w:tcPr>
          <w:p w:rsidR="00B951B1" w:rsidRPr="00E61612" w:rsidRDefault="00B951B1" w:rsidP="00CB78E6">
            <w:pPr>
              <w:spacing w:after="0"/>
              <w:jc w:val="center"/>
              <w:rPr>
                <w:rFonts w:eastAsia="Times New Roman" w:cs="Calibri"/>
                <w:b/>
                <w:bCs/>
                <w:color w:val="000000"/>
                <w:sz w:val="18"/>
                <w:szCs w:val="18"/>
              </w:rPr>
            </w:pPr>
            <w:r w:rsidRPr="00E61612">
              <w:rPr>
                <w:b/>
                <w:bCs/>
                <w:color w:val="000000"/>
                <w:sz w:val="20"/>
                <w:szCs w:val="20"/>
              </w:rPr>
              <w:t>A4.1.5</w:t>
            </w:r>
          </w:p>
        </w:tc>
        <w:tc>
          <w:tcPr>
            <w:tcW w:w="0" w:type="auto"/>
            <w:tcBorders>
              <w:bottom w:val="single" w:sz="4" w:space="0" w:color="auto"/>
            </w:tcBorders>
            <w:shd w:val="clear" w:color="auto" w:fill="FFFFFF"/>
          </w:tcPr>
          <w:p w:rsidR="00B951B1" w:rsidRPr="00E61612" w:rsidRDefault="00B951B1" w:rsidP="00CB78E6">
            <w:pPr>
              <w:spacing w:after="0"/>
              <w:rPr>
                <w:rFonts w:eastAsia="Times New Roman" w:cs="Calibri"/>
                <w:sz w:val="18"/>
                <w:szCs w:val="18"/>
              </w:rPr>
            </w:pPr>
            <w:r w:rsidRPr="00E61612">
              <w:rPr>
                <w:sz w:val="20"/>
                <w:szCs w:val="20"/>
              </w:rPr>
              <w:t>Zhvillimi i politikave të përdorimit të TIK-ut në nivel shkolle</w:t>
            </w:r>
          </w:p>
        </w:tc>
        <w:tc>
          <w:tcPr>
            <w:tcW w:w="0" w:type="auto"/>
            <w:tcBorders>
              <w:bottom w:val="single" w:sz="4" w:space="0" w:color="auto"/>
            </w:tcBorders>
            <w:shd w:val="clear" w:color="auto" w:fill="FFFFFF"/>
          </w:tcPr>
          <w:p w:rsidR="00B951B1" w:rsidRPr="00E61612" w:rsidRDefault="00B951B1" w:rsidP="00CB78E6">
            <w:pPr>
              <w:spacing w:after="0"/>
              <w:jc w:val="center"/>
              <w:rPr>
                <w:rFonts w:eastAsia="Times New Roman" w:cs="Calibri"/>
                <w:color w:val="000000"/>
                <w:sz w:val="18"/>
                <w:szCs w:val="18"/>
              </w:rPr>
            </w:pPr>
            <w:r w:rsidRPr="00E61612">
              <w:rPr>
                <w:color w:val="000000"/>
                <w:sz w:val="20"/>
                <w:szCs w:val="20"/>
              </w:rPr>
              <w:t>MASR</w:t>
            </w:r>
          </w:p>
        </w:tc>
        <w:tc>
          <w:tcPr>
            <w:tcW w:w="0" w:type="auto"/>
            <w:tcBorders>
              <w:bottom w:val="single" w:sz="4" w:space="0" w:color="auto"/>
            </w:tcBorders>
            <w:shd w:val="clear" w:color="auto" w:fill="FFFFFF"/>
          </w:tcPr>
          <w:p w:rsidR="00B951B1" w:rsidRPr="00E61612" w:rsidRDefault="00B951B1" w:rsidP="00CB78E6">
            <w:pPr>
              <w:spacing w:after="0"/>
              <w:jc w:val="center"/>
              <w:rPr>
                <w:rFonts w:eastAsia="Times New Roman" w:cs="Calibri"/>
                <w:color w:val="000000"/>
                <w:sz w:val="18"/>
                <w:szCs w:val="18"/>
              </w:rPr>
            </w:pPr>
            <w:r w:rsidRPr="00E61612">
              <w:rPr>
                <w:color w:val="000000"/>
                <w:sz w:val="20"/>
                <w:szCs w:val="20"/>
              </w:rPr>
              <w:t>AKSHI</w:t>
            </w:r>
          </w:p>
        </w:tc>
        <w:tc>
          <w:tcPr>
            <w:tcW w:w="0" w:type="auto"/>
            <w:tcBorders>
              <w:bottom w:val="single" w:sz="4" w:space="0" w:color="auto"/>
            </w:tcBorders>
            <w:shd w:val="clear" w:color="auto" w:fill="FFFFFF"/>
          </w:tcPr>
          <w:p w:rsidR="00B951B1" w:rsidRPr="00E61612" w:rsidRDefault="00B951B1" w:rsidP="00CB78E6">
            <w:pPr>
              <w:spacing w:after="0"/>
              <w:jc w:val="center"/>
              <w:rPr>
                <w:rFonts w:eastAsia="Times New Roman" w:cs="Calibri"/>
                <w:color w:val="000000"/>
                <w:sz w:val="18"/>
                <w:szCs w:val="18"/>
              </w:rPr>
            </w:pPr>
            <w:r w:rsidRPr="00E61612">
              <w:rPr>
                <w:color w:val="000000"/>
                <w:sz w:val="20"/>
                <w:szCs w:val="20"/>
              </w:rPr>
              <w:t>TM4-2022</w:t>
            </w:r>
          </w:p>
        </w:tc>
        <w:tc>
          <w:tcPr>
            <w:tcW w:w="0" w:type="auto"/>
            <w:tcBorders>
              <w:bottom w:val="single" w:sz="4" w:space="0" w:color="auto"/>
            </w:tcBorders>
            <w:shd w:val="clear" w:color="auto" w:fill="FFFFFF"/>
          </w:tcPr>
          <w:p w:rsidR="00B951B1" w:rsidRPr="00E61612" w:rsidRDefault="00B951B1" w:rsidP="00CB78E6">
            <w:pPr>
              <w:spacing w:after="0"/>
              <w:jc w:val="center"/>
              <w:rPr>
                <w:rFonts w:eastAsia="Times New Roman" w:cs="Calibri"/>
                <w:color w:val="000000"/>
                <w:sz w:val="18"/>
                <w:szCs w:val="18"/>
              </w:rPr>
            </w:pPr>
            <w:r w:rsidRPr="00E61612">
              <w:rPr>
                <w:color w:val="000000"/>
                <w:sz w:val="20"/>
                <w:szCs w:val="20"/>
              </w:rPr>
              <w:t>TM1-2023</w:t>
            </w:r>
          </w:p>
        </w:tc>
        <w:tc>
          <w:tcPr>
            <w:tcW w:w="0" w:type="auto"/>
            <w:tcBorders>
              <w:bottom w:val="single" w:sz="4" w:space="0" w:color="auto"/>
            </w:tcBorders>
            <w:shd w:val="clear" w:color="auto" w:fill="FFFFFF"/>
            <w:noWrap/>
          </w:tcPr>
          <w:p w:rsidR="00B951B1" w:rsidRPr="00E61612" w:rsidRDefault="00B951B1" w:rsidP="00CB78E6">
            <w:pPr>
              <w:spacing w:after="0"/>
              <w:jc w:val="right"/>
              <w:rPr>
                <w:rFonts w:eastAsia="Times New Roman" w:cs="Calibri"/>
                <w:color w:val="000000"/>
                <w:sz w:val="18"/>
                <w:szCs w:val="18"/>
              </w:rPr>
            </w:pPr>
            <w:r w:rsidRPr="00E61612">
              <w:rPr>
                <w:color w:val="000000"/>
                <w:sz w:val="20"/>
                <w:szCs w:val="20"/>
              </w:rPr>
              <w:t xml:space="preserve">                        1,500 </w:t>
            </w:r>
          </w:p>
        </w:tc>
        <w:tc>
          <w:tcPr>
            <w:tcW w:w="0" w:type="auto"/>
            <w:tcBorders>
              <w:bottom w:val="single" w:sz="4" w:space="0" w:color="auto"/>
            </w:tcBorders>
            <w:shd w:val="clear" w:color="auto" w:fill="FFFFFF"/>
            <w:noWrap/>
          </w:tcPr>
          <w:p w:rsidR="00B951B1" w:rsidRPr="00E61612" w:rsidRDefault="00B951B1" w:rsidP="00CB78E6">
            <w:pPr>
              <w:spacing w:after="0"/>
              <w:jc w:val="right"/>
              <w:rPr>
                <w:rFonts w:eastAsia="Times New Roman" w:cs="Calibri"/>
                <w:color w:val="000000"/>
                <w:sz w:val="18"/>
                <w:szCs w:val="18"/>
              </w:rPr>
            </w:pPr>
            <w:r w:rsidRPr="00E61612">
              <w:rPr>
                <w:color w:val="000000"/>
                <w:sz w:val="20"/>
                <w:szCs w:val="20"/>
              </w:rPr>
              <w:t xml:space="preserve">                      -   </w:t>
            </w:r>
          </w:p>
        </w:tc>
        <w:tc>
          <w:tcPr>
            <w:tcW w:w="0" w:type="auto"/>
            <w:tcBorders>
              <w:bottom w:val="single" w:sz="4" w:space="0" w:color="auto"/>
            </w:tcBorders>
            <w:shd w:val="clear" w:color="auto" w:fill="FFFFFF"/>
            <w:noWrap/>
          </w:tcPr>
          <w:p w:rsidR="00B951B1" w:rsidRPr="00E61612" w:rsidRDefault="00B951B1" w:rsidP="00CB78E6">
            <w:pPr>
              <w:spacing w:after="0"/>
              <w:jc w:val="right"/>
              <w:rPr>
                <w:rFonts w:eastAsia="Times New Roman" w:cs="Calibri"/>
                <w:color w:val="000000"/>
                <w:sz w:val="18"/>
                <w:szCs w:val="18"/>
              </w:rPr>
            </w:pPr>
            <w:r w:rsidRPr="00E61612">
              <w:rPr>
                <w:color w:val="000000"/>
                <w:sz w:val="20"/>
                <w:szCs w:val="20"/>
              </w:rPr>
              <w:t xml:space="preserve">            1,500 </w:t>
            </w:r>
          </w:p>
        </w:tc>
        <w:tc>
          <w:tcPr>
            <w:tcW w:w="0" w:type="auto"/>
            <w:tcBorders>
              <w:bottom w:val="single" w:sz="4" w:space="0" w:color="auto"/>
            </w:tcBorders>
            <w:shd w:val="clear" w:color="auto" w:fill="FFFFFF"/>
            <w:noWrap/>
          </w:tcPr>
          <w:p w:rsidR="00B951B1" w:rsidRPr="00E61612" w:rsidRDefault="00B951B1" w:rsidP="00CB78E6">
            <w:pPr>
              <w:spacing w:after="0"/>
              <w:jc w:val="right"/>
              <w:rPr>
                <w:rFonts w:eastAsia="Times New Roman" w:cs="Calibri"/>
                <w:color w:val="000000"/>
                <w:sz w:val="18"/>
                <w:szCs w:val="18"/>
              </w:rPr>
            </w:pPr>
            <w:r w:rsidRPr="00E61612">
              <w:rPr>
                <w:color w:val="000000"/>
                <w:sz w:val="20"/>
                <w:szCs w:val="20"/>
              </w:rPr>
              <w:t xml:space="preserve">                       -   </w:t>
            </w:r>
          </w:p>
        </w:tc>
      </w:tr>
      <w:tr w:rsidR="00B951B1" w:rsidRPr="00E61612" w:rsidTr="00CB78E6">
        <w:trPr>
          <w:trHeight w:val="20"/>
        </w:trPr>
        <w:tc>
          <w:tcPr>
            <w:tcW w:w="0" w:type="auto"/>
            <w:shd w:val="clear" w:color="auto" w:fill="D9D9D9"/>
          </w:tcPr>
          <w:p w:rsidR="00B951B1" w:rsidRPr="00E61612" w:rsidRDefault="00B951B1" w:rsidP="00CB78E6">
            <w:pPr>
              <w:spacing w:after="0"/>
              <w:jc w:val="center"/>
              <w:rPr>
                <w:rFonts w:eastAsia="Times New Roman" w:cs="Calibri"/>
                <w:b/>
                <w:bCs/>
                <w:color w:val="000000"/>
                <w:sz w:val="18"/>
                <w:szCs w:val="18"/>
              </w:rPr>
            </w:pPr>
            <w:r w:rsidRPr="00E61612">
              <w:rPr>
                <w:b/>
                <w:bCs/>
                <w:color w:val="000000"/>
                <w:sz w:val="20"/>
                <w:szCs w:val="20"/>
              </w:rPr>
              <w:t>A4.2</w:t>
            </w:r>
          </w:p>
        </w:tc>
        <w:tc>
          <w:tcPr>
            <w:tcW w:w="0" w:type="auto"/>
            <w:shd w:val="clear" w:color="auto" w:fill="D9D9D9"/>
          </w:tcPr>
          <w:p w:rsidR="00B951B1" w:rsidRPr="00E61612" w:rsidRDefault="00B951B1" w:rsidP="00CB78E6">
            <w:pPr>
              <w:spacing w:after="0"/>
              <w:rPr>
                <w:rFonts w:eastAsia="Times New Roman" w:cs="Calibri"/>
                <w:sz w:val="18"/>
                <w:szCs w:val="18"/>
              </w:rPr>
            </w:pPr>
            <w:r w:rsidRPr="00E61612">
              <w:rPr>
                <w:sz w:val="20"/>
                <w:szCs w:val="20"/>
              </w:rPr>
              <w:t xml:space="preserve"> Zhvillimi i kompetencës digjitale përmes shfrytëzimit të shtuar të TIK-ut në të gjitha lëndët</w:t>
            </w:r>
          </w:p>
        </w:tc>
        <w:tc>
          <w:tcPr>
            <w:tcW w:w="0" w:type="auto"/>
            <w:shd w:val="clear" w:color="auto" w:fill="D9D9D9"/>
          </w:tcPr>
          <w:p w:rsidR="00B951B1" w:rsidRPr="00E61612" w:rsidRDefault="00B951B1" w:rsidP="00CB78E6">
            <w:pPr>
              <w:spacing w:after="0"/>
              <w:jc w:val="center"/>
              <w:rPr>
                <w:rFonts w:eastAsia="Times New Roman" w:cs="Calibri"/>
                <w:color w:val="000000"/>
                <w:sz w:val="18"/>
                <w:szCs w:val="18"/>
              </w:rPr>
            </w:pPr>
            <w:r w:rsidRPr="00E61612">
              <w:rPr>
                <w:color w:val="000000"/>
                <w:sz w:val="20"/>
                <w:szCs w:val="20"/>
              </w:rPr>
              <w:t>MASR, ASCAP</w:t>
            </w:r>
          </w:p>
        </w:tc>
        <w:tc>
          <w:tcPr>
            <w:tcW w:w="0" w:type="auto"/>
            <w:shd w:val="clear" w:color="auto" w:fill="D9D9D9"/>
          </w:tcPr>
          <w:p w:rsidR="00B951B1" w:rsidRPr="00E61612" w:rsidRDefault="00B951B1" w:rsidP="00CB78E6">
            <w:pPr>
              <w:spacing w:after="0"/>
              <w:jc w:val="center"/>
              <w:rPr>
                <w:rFonts w:eastAsia="Times New Roman" w:cs="Calibri"/>
                <w:color w:val="000000"/>
                <w:sz w:val="18"/>
                <w:szCs w:val="18"/>
              </w:rPr>
            </w:pPr>
            <w:r w:rsidRPr="00E61612">
              <w:rPr>
                <w:color w:val="000000"/>
                <w:sz w:val="20"/>
                <w:szCs w:val="20"/>
              </w:rPr>
              <w:t>DPAP</w:t>
            </w:r>
          </w:p>
        </w:tc>
        <w:tc>
          <w:tcPr>
            <w:tcW w:w="0" w:type="auto"/>
            <w:shd w:val="clear" w:color="auto" w:fill="D9D9D9"/>
          </w:tcPr>
          <w:p w:rsidR="00B951B1" w:rsidRPr="00E61612" w:rsidRDefault="00B951B1" w:rsidP="00CB78E6">
            <w:pPr>
              <w:spacing w:after="0"/>
              <w:jc w:val="center"/>
              <w:rPr>
                <w:rFonts w:eastAsia="Times New Roman" w:cs="Calibri"/>
                <w:color w:val="000000"/>
                <w:sz w:val="18"/>
                <w:szCs w:val="18"/>
              </w:rPr>
            </w:pPr>
            <w:r w:rsidRPr="00E61612">
              <w:rPr>
                <w:color w:val="000000"/>
                <w:sz w:val="20"/>
                <w:szCs w:val="20"/>
              </w:rPr>
              <w:t>TM1-2022</w:t>
            </w:r>
          </w:p>
        </w:tc>
        <w:tc>
          <w:tcPr>
            <w:tcW w:w="0" w:type="auto"/>
            <w:shd w:val="clear" w:color="auto" w:fill="D9D9D9"/>
          </w:tcPr>
          <w:p w:rsidR="00B951B1" w:rsidRPr="00E61612" w:rsidRDefault="00B951B1" w:rsidP="00CB78E6">
            <w:pPr>
              <w:spacing w:after="0"/>
              <w:jc w:val="center"/>
              <w:rPr>
                <w:rFonts w:eastAsia="Times New Roman" w:cs="Calibri"/>
                <w:color w:val="000000"/>
                <w:sz w:val="18"/>
                <w:szCs w:val="18"/>
              </w:rPr>
            </w:pPr>
            <w:r w:rsidRPr="00E61612">
              <w:rPr>
                <w:color w:val="000000"/>
                <w:sz w:val="20"/>
                <w:szCs w:val="20"/>
              </w:rPr>
              <w:t>TM4-2026</w:t>
            </w:r>
          </w:p>
        </w:tc>
        <w:tc>
          <w:tcPr>
            <w:tcW w:w="0" w:type="auto"/>
            <w:shd w:val="clear" w:color="auto" w:fill="D9D9D9"/>
            <w:noWrap/>
          </w:tcPr>
          <w:p w:rsidR="00B951B1" w:rsidRPr="00E61612" w:rsidRDefault="00B951B1" w:rsidP="00CB78E6">
            <w:pPr>
              <w:spacing w:after="0"/>
              <w:jc w:val="right"/>
              <w:rPr>
                <w:rFonts w:eastAsia="Times New Roman" w:cs="Calibri"/>
                <w:color w:val="000000"/>
                <w:sz w:val="18"/>
                <w:szCs w:val="18"/>
              </w:rPr>
            </w:pPr>
            <w:r w:rsidRPr="00E61612">
              <w:rPr>
                <w:color w:val="000000"/>
                <w:sz w:val="20"/>
                <w:szCs w:val="20"/>
              </w:rPr>
              <w:t xml:space="preserve">                        3,720 </w:t>
            </w:r>
          </w:p>
        </w:tc>
        <w:tc>
          <w:tcPr>
            <w:tcW w:w="0" w:type="auto"/>
            <w:shd w:val="clear" w:color="auto" w:fill="D9D9D9"/>
            <w:noWrap/>
          </w:tcPr>
          <w:p w:rsidR="00B951B1" w:rsidRPr="00E61612" w:rsidRDefault="00B951B1" w:rsidP="00CB78E6">
            <w:pPr>
              <w:spacing w:after="0"/>
              <w:jc w:val="right"/>
              <w:rPr>
                <w:rFonts w:eastAsia="Times New Roman" w:cs="Calibri"/>
                <w:color w:val="000000"/>
                <w:sz w:val="18"/>
                <w:szCs w:val="18"/>
              </w:rPr>
            </w:pPr>
            <w:r w:rsidRPr="00E61612">
              <w:rPr>
                <w:color w:val="000000"/>
                <w:sz w:val="20"/>
                <w:szCs w:val="20"/>
              </w:rPr>
              <w:t xml:space="preserve">                      -   </w:t>
            </w:r>
          </w:p>
        </w:tc>
        <w:tc>
          <w:tcPr>
            <w:tcW w:w="0" w:type="auto"/>
            <w:shd w:val="clear" w:color="auto" w:fill="D9D9D9"/>
            <w:noWrap/>
          </w:tcPr>
          <w:p w:rsidR="00B951B1" w:rsidRPr="00E61612" w:rsidRDefault="00B951B1" w:rsidP="00CB78E6">
            <w:pPr>
              <w:spacing w:after="0"/>
              <w:jc w:val="right"/>
              <w:rPr>
                <w:rFonts w:eastAsia="Times New Roman" w:cs="Calibri"/>
                <w:color w:val="000000"/>
                <w:sz w:val="18"/>
                <w:szCs w:val="18"/>
              </w:rPr>
            </w:pPr>
            <w:r w:rsidRPr="00E61612">
              <w:rPr>
                <w:color w:val="000000"/>
                <w:sz w:val="20"/>
                <w:szCs w:val="20"/>
              </w:rPr>
              <w:t xml:space="preserve">            3,720 </w:t>
            </w:r>
          </w:p>
        </w:tc>
        <w:tc>
          <w:tcPr>
            <w:tcW w:w="0" w:type="auto"/>
            <w:shd w:val="clear" w:color="auto" w:fill="D9D9D9"/>
            <w:noWrap/>
          </w:tcPr>
          <w:p w:rsidR="00B951B1" w:rsidRPr="00E61612" w:rsidRDefault="00B951B1" w:rsidP="00CB78E6">
            <w:pPr>
              <w:spacing w:after="0"/>
              <w:jc w:val="right"/>
              <w:rPr>
                <w:rFonts w:eastAsia="Times New Roman" w:cs="Calibri"/>
                <w:color w:val="000000"/>
                <w:sz w:val="18"/>
                <w:szCs w:val="18"/>
              </w:rPr>
            </w:pPr>
            <w:r w:rsidRPr="00E61612">
              <w:rPr>
                <w:color w:val="000000"/>
                <w:sz w:val="20"/>
                <w:szCs w:val="20"/>
              </w:rPr>
              <w:t xml:space="preserve">                       -   </w:t>
            </w:r>
          </w:p>
        </w:tc>
      </w:tr>
      <w:tr w:rsidR="00B951B1" w:rsidRPr="00E61612" w:rsidTr="00CB78E6">
        <w:trPr>
          <w:trHeight w:val="20"/>
        </w:trPr>
        <w:tc>
          <w:tcPr>
            <w:tcW w:w="0" w:type="auto"/>
            <w:shd w:val="clear" w:color="auto" w:fill="FFFFFF"/>
          </w:tcPr>
          <w:p w:rsidR="00B951B1" w:rsidRPr="00E61612" w:rsidRDefault="00B951B1" w:rsidP="00CB78E6">
            <w:pPr>
              <w:spacing w:after="0"/>
              <w:jc w:val="center"/>
              <w:rPr>
                <w:rFonts w:eastAsia="Times New Roman" w:cs="Calibri"/>
                <w:b/>
                <w:bCs/>
                <w:color w:val="000000"/>
                <w:sz w:val="18"/>
                <w:szCs w:val="18"/>
              </w:rPr>
            </w:pPr>
            <w:r w:rsidRPr="00E61612">
              <w:rPr>
                <w:b/>
                <w:bCs/>
                <w:color w:val="000000"/>
                <w:sz w:val="20"/>
                <w:szCs w:val="20"/>
              </w:rPr>
              <w:t>A4.2.1</w:t>
            </w:r>
          </w:p>
        </w:tc>
        <w:tc>
          <w:tcPr>
            <w:tcW w:w="0" w:type="auto"/>
            <w:shd w:val="clear" w:color="auto" w:fill="FFFFFF"/>
          </w:tcPr>
          <w:p w:rsidR="00B951B1" w:rsidRPr="00E61612" w:rsidRDefault="00B951B1" w:rsidP="00CB78E6">
            <w:pPr>
              <w:spacing w:after="0"/>
              <w:rPr>
                <w:rFonts w:eastAsia="Times New Roman" w:cs="Calibri"/>
                <w:sz w:val="18"/>
                <w:szCs w:val="18"/>
              </w:rPr>
            </w:pPr>
            <w:r w:rsidRPr="00E61612">
              <w:rPr>
                <w:sz w:val="20"/>
                <w:szCs w:val="20"/>
              </w:rPr>
              <w:t>Përfshirja e kompetencës digjitale në standardet e mësuesit</w:t>
            </w:r>
          </w:p>
        </w:tc>
        <w:tc>
          <w:tcPr>
            <w:tcW w:w="0" w:type="auto"/>
            <w:shd w:val="clear" w:color="auto" w:fill="FFFFFF"/>
          </w:tcPr>
          <w:p w:rsidR="00B951B1" w:rsidRPr="00E61612" w:rsidRDefault="00B951B1" w:rsidP="00CB78E6">
            <w:pPr>
              <w:spacing w:after="0"/>
              <w:jc w:val="center"/>
              <w:rPr>
                <w:rFonts w:eastAsia="Times New Roman" w:cs="Calibri"/>
                <w:color w:val="000000"/>
                <w:sz w:val="18"/>
                <w:szCs w:val="18"/>
              </w:rPr>
            </w:pPr>
            <w:r w:rsidRPr="00E61612">
              <w:rPr>
                <w:color w:val="000000"/>
                <w:sz w:val="20"/>
                <w:szCs w:val="20"/>
              </w:rPr>
              <w:t>ASCAP</w:t>
            </w:r>
          </w:p>
        </w:tc>
        <w:tc>
          <w:tcPr>
            <w:tcW w:w="0" w:type="auto"/>
            <w:shd w:val="clear" w:color="auto" w:fill="FFFFFF"/>
          </w:tcPr>
          <w:p w:rsidR="00B951B1" w:rsidRPr="00E61612" w:rsidRDefault="00B951B1" w:rsidP="00CB78E6">
            <w:pPr>
              <w:spacing w:after="0"/>
              <w:jc w:val="center"/>
              <w:rPr>
                <w:rFonts w:eastAsia="Times New Roman" w:cs="Calibri"/>
                <w:color w:val="000000"/>
                <w:sz w:val="18"/>
                <w:szCs w:val="18"/>
              </w:rPr>
            </w:pPr>
            <w:r w:rsidRPr="00E61612">
              <w:rPr>
                <w:color w:val="000000"/>
                <w:sz w:val="20"/>
                <w:szCs w:val="20"/>
              </w:rPr>
              <w:t> </w:t>
            </w:r>
          </w:p>
        </w:tc>
        <w:tc>
          <w:tcPr>
            <w:tcW w:w="0" w:type="auto"/>
            <w:shd w:val="clear" w:color="auto" w:fill="FFFFFF"/>
          </w:tcPr>
          <w:p w:rsidR="00B951B1" w:rsidRPr="00E61612" w:rsidRDefault="00B951B1" w:rsidP="00CB78E6">
            <w:pPr>
              <w:spacing w:after="0"/>
              <w:jc w:val="center"/>
              <w:rPr>
                <w:rFonts w:eastAsia="Times New Roman" w:cs="Calibri"/>
                <w:color w:val="000000"/>
                <w:sz w:val="18"/>
                <w:szCs w:val="18"/>
              </w:rPr>
            </w:pPr>
            <w:r w:rsidRPr="00E61612">
              <w:rPr>
                <w:color w:val="000000"/>
                <w:sz w:val="20"/>
                <w:szCs w:val="20"/>
              </w:rPr>
              <w:t>TM3-2022</w:t>
            </w:r>
          </w:p>
        </w:tc>
        <w:tc>
          <w:tcPr>
            <w:tcW w:w="0" w:type="auto"/>
            <w:shd w:val="clear" w:color="auto" w:fill="FFFFFF"/>
          </w:tcPr>
          <w:p w:rsidR="00B951B1" w:rsidRPr="00E61612" w:rsidRDefault="00B951B1" w:rsidP="00CB78E6">
            <w:pPr>
              <w:spacing w:after="0"/>
              <w:jc w:val="center"/>
              <w:rPr>
                <w:rFonts w:eastAsia="Times New Roman" w:cs="Calibri"/>
                <w:color w:val="000000"/>
                <w:sz w:val="18"/>
                <w:szCs w:val="18"/>
              </w:rPr>
            </w:pPr>
            <w:r w:rsidRPr="00E61612">
              <w:rPr>
                <w:color w:val="000000"/>
                <w:sz w:val="20"/>
                <w:szCs w:val="20"/>
              </w:rPr>
              <w:t>TM3-2022</w:t>
            </w:r>
          </w:p>
        </w:tc>
        <w:tc>
          <w:tcPr>
            <w:tcW w:w="0" w:type="auto"/>
            <w:shd w:val="clear" w:color="auto" w:fill="FFFFFF"/>
            <w:noWrap/>
          </w:tcPr>
          <w:p w:rsidR="00B951B1" w:rsidRPr="00E61612" w:rsidRDefault="00B951B1" w:rsidP="00CB78E6">
            <w:pPr>
              <w:spacing w:after="0"/>
              <w:jc w:val="right"/>
              <w:rPr>
                <w:rFonts w:eastAsia="Times New Roman" w:cs="Calibri"/>
                <w:color w:val="000000"/>
                <w:sz w:val="18"/>
                <w:szCs w:val="18"/>
              </w:rPr>
            </w:pPr>
            <w:r w:rsidRPr="00E61612">
              <w:rPr>
                <w:color w:val="000000"/>
                <w:sz w:val="20"/>
                <w:szCs w:val="20"/>
              </w:rPr>
              <w:t xml:space="preserve">                               -   </w:t>
            </w:r>
          </w:p>
        </w:tc>
        <w:tc>
          <w:tcPr>
            <w:tcW w:w="0" w:type="auto"/>
            <w:shd w:val="clear" w:color="auto" w:fill="FFFFFF"/>
            <w:noWrap/>
          </w:tcPr>
          <w:p w:rsidR="00B951B1" w:rsidRPr="00E61612" w:rsidRDefault="00B951B1" w:rsidP="00CB78E6">
            <w:pPr>
              <w:spacing w:after="0"/>
              <w:jc w:val="right"/>
              <w:rPr>
                <w:rFonts w:eastAsia="Times New Roman" w:cs="Calibri"/>
                <w:color w:val="000000"/>
                <w:sz w:val="18"/>
                <w:szCs w:val="18"/>
              </w:rPr>
            </w:pPr>
            <w:r w:rsidRPr="00E61612">
              <w:rPr>
                <w:color w:val="000000"/>
                <w:sz w:val="20"/>
                <w:szCs w:val="20"/>
              </w:rPr>
              <w:t xml:space="preserve">                      -   </w:t>
            </w:r>
          </w:p>
        </w:tc>
        <w:tc>
          <w:tcPr>
            <w:tcW w:w="0" w:type="auto"/>
            <w:shd w:val="clear" w:color="auto" w:fill="FFFFFF"/>
            <w:noWrap/>
          </w:tcPr>
          <w:p w:rsidR="00B951B1" w:rsidRPr="00E61612" w:rsidRDefault="00B951B1" w:rsidP="00CB78E6">
            <w:pPr>
              <w:spacing w:after="0"/>
              <w:jc w:val="right"/>
              <w:rPr>
                <w:rFonts w:eastAsia="Times New Roman" w:cs="Calibri"/>
                <w:color w:val="000000"/>
                <w:sz w:val="18"/>
                <w:szCs w:val="18"/>
              </w:rPr>
            </w:pPr>
            <w:r w:rsidRPr="00E61612">
              <w:rPr>
                <w:color w:val="000000"/>
                <w:sz w:val="20"/>
                <w:szCs w:val="20"/>
              </w:rPr>
              <w:t xml:space="preserve">                   -   </w:t>
            </w:r>
          </w:p>
        </w:tc>
        <w:tc>
          <w:tcPr>
            <w:tcW w:w="0" w:type="auto"/>
            <w:shd w:val="clear" w:color="auto" w:fill="FFFFFF"/>
            <w:noWrap/>
          </w:tcPr>
          <w:p w:rsidR="00B951B1" w:rsidRPr="00E61612" w:rsidRDefault="00B951B1" w:rsidP="00CB78E6">
            <w:pPr>
              <w:spacing w:after="0"/>
              <w:jc w:val="right"/>
              <w:rPr>
                <w:rFonts w:eastAsia="Times New Roman" w:cs="Calibri"/>
                <w:color w:val="000000"/>
                <w:sz w:val="18"/>
                <w:szCs w:val="18"/>
              </w:rPr>
            </w:pPr>
            <w:r w:rsidRPr="00E61612">
              <w:rPr>
                <w:color w:val="000000"/>
                <w:sz w:val="20"/>
                <w:szCs w:val="20"/>
              </w:rPr>
              <w:t xml:space="preserve">                       -   </w:t>
            </w:r>
          </w:p>
        </w:tc>
      </w:tr>
      <w:tr w:rsidR="00B951B1" w:rsidRPr="00E61612" w:rsidTr="00CB78E6">
        <w:trPr>
          <w:trHeight w:val="20"/>
        </w:trPr>
        <w:tc>
          <w:tcPr>
            <w:tcW w:w="0" w:type="auto"/>
            <w:shd w:val="clear" w:color="auto" w:fill="FFFFFF"/>
          </w:tcPr>
          <w:p w:rsidR="00B951B1" w:rsidRPr="00E61612" w:rsidRDefault="00B951B1" w:rsidP="00CB78E6">
            <w:pPr>
              <w:spacing w:after="0"/>
              <w:jc w:val="center"/>
              <w:rPr>
                <w:rFonts w:eastAsia="Times New Roman" w:cs="Calibri"/>
                <w:b/>
                <w:bCs/>
                <w:color w:val="000000"/>
                <w:sz w:val="18"/>
                <w:szCs w:val="18"/>
              </w:rPr>
            </w:pPr>
            <w:r w:rsidRPr="00E61612">
              <w:rPr>
                <w:b/>
                <w:bCs/>
                <w:color w:val="000000"/>
                <w:sz w:val="20"/>
                <w:szCs w:val="20"/>
              </w:rPr>
              <w:t>A4.2.2</w:t>
            </w:r>
          </w:p>
        </w:tc>
        <w:tc>
          <w:tcPr>
            <w:tcW w:w="0" w:type="auto"/>
            <w:shd w:val="clear" w:color="auto" w:fill="FFFFFF"/>
          </w:tcPr>
          <w:p w:rsidR="00B951B1" w:rsidRPr="00E61612" w:rsidRDefault="00B951B1" w:rsidP="00CB78E6">
            <w:pPr>
              <w:spacing w:after="0"/>
              <w:rPr>
                <w:rFonts w:eastAsia="Times New Roman" w:cs="Calibri"/>
                <w:sz w:val="18"/>
                <w:szCs w:val="18"/>
              </w:rPr>
            </w:pPr>
            <w:r w:rsidRPr="00E61612">
              <w:rPr>
                <w:sz w:val="20"/>
                <w:szCs w:val="20"/>
              </w:rPr>
              <w:t>Pilotimi i SELFIE</w:t>
            </w:r>
          </w:p>
        </w:tc>
        <w:tc>
          <w:tcPr>
            <w:tcW w:w="0" w:type="auto"/>
            <w:shd w:val="clear" w:color="auto" w:fill="FFFFFF"/>
          </w:tcPr>
          <w:p w:rsidR="00B951B1" w:rsidRPr="00E61612" w:rsidRDefault="00B951B1" w:rsidP="00CB78E6">
            <w:pPr>
              <w:spacing w:after="0"/>
              <w:jc w:val="center"/>
              <w:rPr>
                <w:rFonts w:eastAsia="Times New Roman" w:cs="Calibri"/>
                <w:color w:val="000000"/>
                <w:sz w:val="18"/>
                <w:szCs w:val="18"/>
              </w:rPr>
            </w:pPr>
            <w:r w:rsidRPr="00E61612">
              <w:rPr>
                <w:color w:val="000000"/>
                <w:sz w:val="20"/>
                <w:szCs w:val="20"/>
              </w:rPr>
              <w:t>MASR</w:t>
            </w:r>
          </w:p>
        </w:tc>
        <w:tc>
          <w:tcPr>
            <w:tcW w:w="0" w:type="auto"/>
            <w:shd w:val="clear" w:color="auto" w:fill="FFFFFF"/>
          </w:tcPr>
          <w:p w:rsidR="00B951B1" w:rsidRPr="00E61612" w:rsidRDefault="00B951B1" w:rsidP="00CB78E6">
            <w:pPr>
              <w:spacing w:after="0"/>
              <w:jc w:val="center"/>
              <w:rPr>
                <w:rFonts w:eastAsia="Times New Roman" w:cs="Calibri"/>
                <w:color w:val="000000"/>
                <w:sz w:val="18"/>
                <w:szCs w:val="18"/>
              </w:rPr>
            </w:pPr>
            <w:r w:rsidRPr="00E61612">
              <w:rPr>
                <w:color w:val="000000"/>
                <w:sz w:val="20"/>
                <w:szCs w:val="20"/>
              </w:rPr>
              <w:t> </w:t>
            </w:r>
          </w:p>
        </w:tc>
        <w:tc>
          <w:tcPr>
            <w:tcW w:w="0" w:type="auto"/>
            <w:shd w:val="clear" w:color="auto" w:fill="FFFFFF"/>
          </w:tcPr>
          <w:p w:rsidR="00B951B1" w:rsidRPr="00E61612" w:rsidRDefault="00B951B1" w:rsidP="00CB78E6">
            <w:pPr>
              <w:spacing w:after="0"/>
              <w:jc w:val="center"/>
              <w:rPr>
                <w:rFonts w:eastAsia="Times New Roman" w:cs="Calibri"/>
                <w:color w:val="000000"/>
                <w:sz w:val="18"/>
                <w:szCs w:val="18"/>
              </w:rPr>
            </w:pPr>
            <w:r w:rsidRPr="00E61612">
              <w:rPr>
                <w:color w:val="000000"/>
                <w:sz w:val="20"/>
                <w:szCs w:val="20"/>
              </w:rPr>
              <w:t>TM1-2022</w:t>
            </w:r>
          </w:p>
        </w:tc>
        <w:tc>
          <w:tcPr>
            <w:tcW w:w="0" w:type="auto"/>
            <w:shd w:val="clear" w:color="auto" w:fill="FFFFFF"/>
          </w:tcPr>
          <w:p w:rsidR="00B951B1" w:rsidRPr="00E61612" w:rsidRDefault="00B951B1" w:rsidP="00CB78E6">
            <w:pPr>
              <w:spacing w:after="0"/>
              <w:jc w:val="center"/>
              <w:rPr>
                <w:rFonts w:eastAsia="Times New Roman" w:cs="Calibri"/>
                <w:color w:val="000000"/>
                <w:sz w:val="18"/>
                <w:szCs w:val="18"/>
              </w:rPr>
            </w:pPr>
            <w:r w:rsidRPr="00E61612">
              <w:rPr>
                <w:color w:val="000000"/>
                <w:sz w:val="20"/>
                <w:szCs w:val="20"/>
              </w:rPr>
              <w:t>TM2-2023</w:t>
            </w:r>
          </w:p>
        </w:tc>
        <w:tc>
          <w:tcPr>
            <w:tcW w:w="0" w:type="auto"/>
            <w:shd w:val="clear" w:color="auto" w:fill="FFFFFF"/>
            <w:noWrap/>
          </w:tcPr>
          <w:p w:rsidR="00B951B1" w:rsidRPr="00E61612" w:rsidRDefault="00B951B1" w:rsidP="00CB78E6">
            <w:pPr>
              <w:spacing w:after="0"/>
              <w:jc w:val="right"/>
              <w:rPr>
                <w:rFonts w:eastAsia="Times New Roman" w:cs="Calibri"/>
                <w:color w:val="000000"/>
                <w:sz w:val="18"/>
                <w:szCs w:val="18"/>
              </w:rPr>
            </w:pPr>
            <w:r w:rsidRPr="00E61612">
              <w:rPr>
                <w:color w:val="000000"/>
                <w:sz w:val="20"/>
                <w:szCs w:val="20"/>
              </w:rPr>
              <w:t xml:space="preserve">                               -   </w:t>
            </w:r>
          </w:p>
        </w:tc>
        <w:tc>
          <w:tcPr>
            <w:tcW w:w="0" w:type="auto"/>
            <w:shd w:val="clear" w:color="auto" w:fill="FFFFFF"/>
            <w:noWrap/>
          </w:tcPr>
          <w:p w:rsidR="00B951B1" w:rsidRPr="00E61612" w:rsidRDefault="00B951B1" w:rsidP="00CB78E6">
            <w:pPr>
              <w:spacing w:after="0"/>
              <w:jc w:val="right"/>
              <w:rPr>
                <w:rFonts w:eastAsia="Times New Roman" w:cs="Calibri"/>
                <w:color w:val="000000"/>
                <w:sz w:val="18"/>
                <w:szCs w:val="18"/>
              </w:rPr>
            </w:pPr>
            <w:r w:rsidRPr="00E61612">
              <w:rPr>
                <w:color w:val="000000"/>
                <w:sz w:val="20"/>
                <w:szCs w:val="20"/>
              </w:rPr>
              <w:t xml:space="preserve">                      -   </w:t>
            </w:r>
          </w:p>
        </w:tc>
        <w:tc>
          <w:tcPr>
            <w:tcW w:w="0" w:type="auto"/>
            <w:shd w:val="clear" w:color="auto" w:fill="FFFFFF"/>
            <w:noWrap/>
          </w:tcPr>
          <w:p w:rsidR="00B951B1" w:rsidRPr="00E61612" w:rsidRDefault="00B951B1" w:rsidP="00CB78E6">
            <w:pPr>
              <w:spacing w:after="0"/>
              <w:jc w:val="right"/>
              <w:rPr>
                <w:rFonts w:eastAsia="Times New Roman" w:cs="Calibri"/>
                <w:color w:val="000000"/>
                <w:sz w:val="18"/>
                <w:szCs w:val="18"/>
              </w:rPr>
            </w:pPr>
            <w:r w:rsidRPr="00E61612">
              <w:rPr>
                <w:color w:val="000000"/>
                <w:sz w:val="20"/>
                <w:szCs w:val="20"/>
              </w:rPr>
              <w:t xml:space="preserve">                   -   </w:t>
            </w:r>
          </w:p>
        </w:tc>
        <w:tc>
          <w:tcPr>
            <w:tcW w:w="0" w:type="auto"/>
            <w:shd w:val="clear" w:color="auto" w:fill="FFFFFF"/>
            <w:noWrap/>
          </w:tcPr>
          <w:p w:rsidR="00B951B1" w:rsidRPr="00E61612" w:rsidRDefault="00B951B1" w:rsidP="00CB78E6">
            <w:pPr>
              <w:spacing w:after="0"/>
              <w:jc w:val="right"/>
              <w:rPr>
                <w:rFonts w:eastAsia="Times New Roman" w:cs="Calibri"/>
                <w:color w:val="000000"/>
                <w:sz w:val="18"/>
                <w:szCs w:val="18"/>
              </w:rPr>
            </w:pPr>
            <w:r w:rsidRPr="00E61612">
              <w:rPr>
                <w:color w:val="000000"/>
                <w:sz w:val="20"/>
                <w:szCs w:val="20"/>
              </w:rPr>
              <w:t xml:space="preserve">                       -   </w:t>
            </w:r>
          </w:p>
        </w:tc>
      </w:tr>
      <w:tr w:rsidR="00B951B1" w:rsidRPr="00E61612" w:rsidTr="00CB78E6">
        <w:trPr>
          <w:trHeight w:val="20"/>
        </w:trPr>
        <w:tc>
          <w:tcPr>
            <w:tcW w:w="0" w:type="auto"/>
            <w:shd w:val="clear" w:color="auto" w:fill="FFFFFF"/>
          </w:tcPr>
          <w:p w:rsidR="00B951B1" w:rsidRPr="00E61612" w:rsidRDefault="00B951B1" w:rsidP="00CB78E6">
            <w:pPr>
              <w:spacing w:after="0"/>
              <w:jc w:val="center"/>
              <w:rPr>
                <w:rFonts w:eastAsia="Times New Roman" w:cs="Calibri"/>
                <w:b/>
                <w:bCs/>
                <w:color w:val="000000"/>
                <w:sz w:val="18"/>
                <w:szCs w:val="18"/>
              </w:rPr>
            </w:pPr>
            <w:r w:rsidRPr="00E61612">
              <w:rPr>
                <w:b/>
                <w:bCs/>
                <w:color w:val="000000"/>
                <w:sz w:val="20"/>
                <w:szCs w:val="20"/>
              </w:rPr>
              <w:t>A4.2.3</w:t>
            </w:r>
          </w:p>
        </w:tc>
        <w:tc>
          <w:tcPr>
            <w:tcW w:w="0" w:type="auto"/>
            <w:shd w:val="clear" w:color="auto" w:fill="FFFFFF"/>
          </w:tcPr>
          <w:p w:rsidR="00B951B1" w:rsidRPr="00E61612" w:rsidRDefault="00B951B1" w:rsidP="00CB78E6">
            <w:pPr>
              <w:spacing w:after="0"/>
              <w:rPr>
                <w:rFonts w:eastAsia="Times New Roman" w:cs="Calibri"/>
                <w:sz w:val="18"/>
                <w:szCs w:val="18"/>
              </w:rPr>
            </w:pPr>
            <w:r w:rsidRPr="00E61612">
              <w:rPr>
                <w:sz w:val="20"/>
                <w:szCs w:val="20"/>
              </w:rPr>
              <w:t>Ndërgjegjësimi i nxënësve për sigurinë në Internet</w:t>
            </w:r>
          </w:p>
        </w:tc>
        <w:tc>
          <w:tcPr>
            <w:tcW w:w="0" w:type="auto"/>
            <w:shd w:val="clear" w:color="auto" w:fill="FFFFFF"/>
          </w:tcPr>
          <w:p w:rsidR="00B951B1" w:rsidRPr="00E61612" w:rsidRDefault="00B951B1" w:rsidP="00CB78E6">
            <w:pPr>
              <w:spacing w:after="0"/>
              <w:jc w:val="center"/>
              <w:rPr>
                <w:rFonts w:eastAsia="Times New Roman" w:cs="Calibri"/>
                <w:color w:val="000000"/>
                <w:sz w:val="18"/>
                <w:szCs w:val="18"/>
              </w:rPr>
            </w:pPr>
            <w:r w:rsidRPr="00E61612">
              <w:rPr>
                <w:color w:val="000000"/>
                <w:sz w:val="20"/>
                <w:szCs w:val="20"/>
              </w:rPr>
              <w:t>ASCAP</w:t>
            </w:r>
          </w:p>
        </w:tc>
        <w:tc>
          <w:tcPr>
            <w:tcW w:w="0" w:type="auto"/>
            <w:shd w:val="clear" w:color="auto" w:fill="FFFFFF"/>
          </w:tcPr>
          <w:p w:rsidR="00B951B1" w:rsidRPr="00E61612" w:rsidRDefault="00B951B1" w:rsidP="00CB78E6">
            <w:pPr>
              <w:spacing w:after="0"/>
              <w:jc w:val="center"/>
              <w:rPr>
                <w:rFonts w:eastAsia="Times New Roman" w:cs="Calibri"/>
                <w:color w:val="000000"/>
                <w:sz w:val="18"/>
                <w:szCs w:val="18"/>
              </w:rPr>
            </w:pPr>
            <w:r w:rsidRPr="00E61612">
              <w:rPr>
                <w:color w:val="000000"/>
                <w:sz w:val="20"/>
                <w:szCs w:val="20"/>
              </w:rPr>
              <w:t>DPAP</w:t>
            </w:r>
          </w:p>
        </w:tc>
        <w:tc>
          <w:tcPr>
            <w:tcW w:w="0" w:type="auto"/>
            <w:shd w:val="clear" w:color="auto" w:fill="FFFFFF"/>
          </w:tcPr>
          <w:p w:rsidR="00B951B1" w:rsidRPr="00E61612" w:rsidRDefault="00B951B1" w:rsidP="00CB78E6">
            <w:pPr>
              <w:spacing w:after="0"/>
              <w:jc w:val="center"/>
              <w:rPr>
                <w:rFonts w:eastAsia="Times New Roman" w:cs="Calibri"/>
                <w:color w:val="000000"/>
                <w:sz w:val="18"/>
                <w:szCs w:val="18"/>
              </w:rPr>
            </w:pPr>
            <w:r w:rsidRPr="00E61612">
              <w:rPr>
                <w:color w:val="000000"/>
                <w:sz w:val="20"/>
                <w:szCs w:val="20"/>
              </w:rPr>
              <w:t>TM2-2022</w:t>
            </w:r>
          </w:p>
        </w:tc>
        <w:tc>
          <w:tcPr>
            <w:tcW w:w="0" w:type="auto"/>
            <w:shd w:val="clear" w:color="auto" w:fill="FFFFFF"/>
          </w:tcPr>
          <w:p w:rsidR="00B951B1" w:rsidRPr="00E61612" w:rsidRDefault="00B951B1" w:rsidP="00CB78E6">
            <w:pPr>
              <w:spacing w:after="0"/>
              <w:jc w:val="center"/>
              <w:rPr>
                <w:rFonts w:eastAsia="Times New Roman" w:cs="Calibri"/>
                <w:color w:val="000000"/>
                <w:sz w:val="18"/>
                <w:szCs w:val="18"/>
              </w:rPr>
            </w:pPr>
            <w:r w:rsidRPr="00E61612">
              <w:rPr>
                <w:color w:val="000000"/>
                <w:sz w:val="20"/>
                <w:szCs w:val="20"/>
              </w:rPr>
              <w:t>TM2-2023</w:t>
            </w:r>
          </w:p>
        </w:tc>
        <w:tc>
          <w:tcPr>
            <w:tcW w:w="0" w:type="auto"/>
            <w:shd w:val="clear" w:color="auto" w:fill="FFFFFF"/>
            <w:noWrap/>
          </w:tcPr>
          <w:p w:rsidR="00B951B1" w:rsidRPr="00E61612" w:rsidRDefault="00B951B1" w:rsidP="00CB78E6">
            <w:pPr>
              <w:spacing w:after="0"/>
              <w:jc w:val="right"/>
              <w:rPr>
                <w:rFonts w:eastAsia="Times New Roman" w:cs="Calibri"/>
                <w:color w:val="000000"/>
                <w:sz w:val="18"/>
                <w:szCs w:val="18"/>
              </w:rPr>
            </w:pPr>
            <w:r w:rsidRPr="00E61612">
              <w:rPr>
                <w:color w:val="000000"/>
                <w:sz w:val="20"/>
                <w:szCs w:val="20"/>
              </w:rPr>
              <w:t xml:space="preserve">                        2,520 </w:t>
            </w:r>
          </w:p>
        </w:tc>
        <w:tc>
          <w:tcPr>
            <w:tcW w:w="0" w:type="auto"/>
            <w:shd w:val="clear" w:color="auto" w:fill="FFFFFF"/>
            <w:noWrap/>
          </w:tcPr>
          <w:p w:rsidR="00B951B1" w:rsidRPr="00E61612" w:rsidRDefault="00B951B1" w:rsidP="00CB78E6">
            <w:pPr>
              <w:spacing w:after="0"/>
              <w:jc w:val="right"/>
              <w:rPr>
                <w:rFonts w:eastAsia="Times New Roman" w:cs="Calibri"/>
                <w:color w:val="000000"/>
                <w:sz w:val="18"/>
                <w:szCs w:val="18"/>
              </w:rPr>
            </w:pPr>
            <w:r w:rsidRPr="00E61612">
              <w:rPr>
                <w:color w:val="000000"/>
                <w:sz w:val="20"/>
                <w:szCs w:val="20"/>
              </w:rPr>
              <w:t xml:space="preserve">                      -   </w:t>
            </w:r>
          </w:p>
        </w:tc>
        <w:tc>
          <w:tcPr>
            <w:tcW w:w="0" w:type="auto"/>
            <w:shd w:val="clear" w:color="auto" w:fill="FFFFFF"/>
            <w:noWrap/>
          </w:tcPr>
          <w:p w:rsidR="00B951B1" w:rsidRPr="00E61612" w:rsidRDefault="00B951B1" w:rsidP="00CB78E6">
            <w:pPr>
              <w:spacing w:after="0"/>
              <w:jc w:val="right"/>
              <w:rPr>
                <w:rFonts w:eastAsia="Times New Roman" w:cs="Calibri"/>
                <w:color w:val="000000"/>
                <w:sz w:val="18"/>
                <w:szCs w:val="18"/>
              </w:rPr>
            </w:pPr>
            <w:r w:rsidRPr="00E61612">
              <w:rPr>
                <w:color w:val="000000"/>
                <w:sz w:val="20"/>
                <w:szCs w:val="20"/>
              </w:rPr>
              <w:t xml:space="preserve">            2,520 </w:t>
            </w:r>
          </w:p>
        </w:tc>
        <w:tc>
          <w:tcPr>
            <w:tcW w:w="0" w:type="auto"/>
            <w:shd w:val="clear" w:color="auto" w:fill="FFFFFF"/>
            <w:noWrap/>
          </w:tcPr>
          <w:p w:rsidR="00B951B1" w:rsidRPr="00E61612" w:rsidRDefault="00B951B1" w:rsidP="00CB78E6">
            <w:pPr>
              <w:spacing w:after="0"/>
              <w:jc w:val="right"/>
              <w:rPr>
                <w:rFonts w:eastAsia="Times New Roman" w:cs="Calibri"/>
                <w:color w:val="000000"/>
                <w:sz w:val="18"/>
                <w:szCs w:val="18"/>
              </w:rPr>
            </w:pPr>
            <w:r w:rsidRPr="00E61612">
              <w:rPr>
                <w:color w:val="000000"/>
                <w:sz w:val="20"/>
                <w:szCs w:val="20"/>
              </w:rPr>
              <w:t xml:space="preserve">                       -   </w:t>
            </w:r>
          </w:p>
        </w:tc>
      </w:tr>
      <w:tr w:rsidR="00B951B1" w:rsidRPr="00E61612" w:rsidTr="00CB78E6">
        <w:trPr>
          <w:trHeight w:val="20"/>
        </w:trPr>
        <w:tc>
          <w:tcPr>
            <w:tcW w:w="0" w:type="auto"/>
            <w:shd w:val="clear" w:color="auto" w:fill="FFFFFF"/>
          </w:tcPr>
          <w:p w:rsidR="00B951B1" w:rsidRPr="00E61612" w:rsidRDefault="00B951B1" w:rsidP="00CB78E6">
            <w:pPr>
              <w:spacing w:after="0"/>
              <w:jc w:val="center"/>
              <w:rPr>
                <w:rFonts w:eastAsia="Times New Roman" w:cs="Calibri"/>
                <w:b/>
                <w:bCs/>
                <w:color w:val="000000"/>
                <w:sz w:val="18"/>
                <w:szCs w:val="18"/>
              </w:rPr>
            </w:pPr>
            <w:r w:rsidRPr="00E61612">
              <w:rPr>
                <w:b/>
                <w:bCs/>
                <w:color w:val="000000"/>
                <w:sz w:val="20"/>
                <w:szCs w:val="20"/>
              </w:rPr>
              <w:t>A4.2.4</w:t>
            </w:r>
          </w:p>
        </w:tc>
        <w:tc>
          <w:tcPr>
            <w:tcW w:w="0" w:type="auto"/>
            <w:shd w:val="clear" w:color="auto" w:fill="FFFFFF"/>
          </w:tcPr>
          <w:p w:rsidR="00B951B1" w:rsidRPr="00E61612" w:rsidRDefault="00B951B1" w:rsidP="00CB78E6">
            <w:pPr>
              <w:spacing w:after="0"/>
              <w:rPr>
                <w:rFonts w:eastAsia="Times New Roman" w:cs="Calibri"/>
                <w:sz w:val="18"/>
                <w:szCs w:val="18"/>
              </w:rPr>
            </w:pPr>
            <w:r w:rsidRPr="00E61612">
              <w:rPr>
                <w:sz w:val="20"/>
                <w:szCs w:val="20"/>
              </w:rPr>
              <w:t>Përcaktimi i standardeve për arritjen e kompetencës digjitale sipas formatit të Bashkimit Evropian</w:t>
            </w:r>
          </w:p>
        </w:tc>
        <w:tc>
          <w:tcPr>
            <w:tcW w:w="0" w:type="auto"/>
            <w:shd w:val="clear" w:color="auto" w:fill="FFFFFF"/>
          </w:tcPr>
          <w:p w:rsidR="00B951B1" w:rsidRPr="00E61612" w:rsidRDefault="00B951B1" w:rsidP="00CB78E6">
            <w:pPr>
              <w:spacing w:after="0"/>
              <w:jc w:val="center"/>
              <w:rPr>
                <w:rFonts w:eastAsia="Times New Roman" w:cs="Calibri"/>
                <w:color w:val="000000"/>
                <w:sz w:val="18"/>
                <w:szCs w:val="18"/>
              </w:rPr>
            </w:pPr>
            <w:r w:rsidRPr="00E61612">
              <w:rPr>
                <w:color w:val="000000"/>
                <w:sz w:val="20"/>
                <w:szCs w:val="20"/>
              </w:rPr>
              <w:t>ASCAP</w:t>
            </w:r>
          </w:p>
        </w:tc>
        <w:tc>
          <w:tcPr>
            <w:tcW w:w="0" w:type="auto"/>
            <w:shd w:val="clear" w:color="auto" w:fill="FFFFFF"/>
          </w:tcPr>
          <w:p w:rsidR="00B951B1" w:rsidRPr="00E61612" w:rsidRDefault="00B951B1" w:rsidP="00CB78E6">
            <w:pPr>
              <w:spacing w:after="0"/>
              <w:jc w:val="center"/>
              <w:rPr>
                <w:rFonts w:eastAsia="Times New Roman" w:cs="Calibri"/>
                <w:color w:val="000000"/>
                <w:sz w:val="18"/>
                <w:szCs w:val="18"/>
              </w:rPr>
            </w:pPr>
            <w:r w:rsidRPr="00E61612">
              <w:rPr>
                <w:color w:val="000000"/>
                <w:sz w:val="20"/>
                <w:szCs w:val="20"/>
              </w:rPr>
              <w:t> </w:t>
            </w:r>
          </w:p>
        </w:tc>
        <w:tc>
          <w:tcPr>
            <w:tcW w:w="0" w:type="auto"/>
            <w:shd w:val="clear" w:color="auto" w:fill="FFFFFF"/>
          </w:tcPr>
          <w:p w:rsidR="00B951B1" w:rsidRPr="00E61612" w:rsidRDefault="00B951B1" w:rsidP="00CB78E6">
            <w:pPr>
              <w:spacing w:after="0"/>
              <w:jc w:val="center"/>
              <w:rPr>
                <w:rFonts w:eastAsia="Times New Roman" w:cs="Calibri"/>
                <w:color w:val="000000"/>
                <w:sz w:val="18"/>
                <w:szCs w:val="18"/>
              </w:rPr>
            </w:pPr>
            <w:r w:rsidRPr="00E61612">
              <w:rPr>
                <w:color w:val="000000"/>
                <w:sz w:val="20"/>
                <w:szCs w:val="20"/>
              </w:rPr>
              <w:t>TM1-2022</w:t>
            </w:r>
          </w:p>
        </w:tc>
        <w:tc>
          <w:tcPr>
            <w:tcW w:w="0" w:type="auto"/>
            <w:shd w:val="clear" w:color="auto" w:fill="FFFFFF"/>
          </w:tcPr>
          <w:p w:rsidR="00B951B1" w:rsidRPr="00E61612" w:rsidRDefault="00B951B1" w:rsidP="00CB78E6">
            <w:pPr>
              <w:spacing w:after="0"/>
              <w:jc w:val="center"/>
              <w:rPr>
                <w:rFonts w:eastAsia="Times New Roman" w:cs="Calibri"/>
                <w:color w:val="000000"/>
                <w:sz w:val="18"/>
                <w:szCs w:val="18"/>
              </w:rPr>
            </w:pPr>
            <w:r w:rsidRPr="00E61612">
              <w:rPr>
                <w:color w:val="000000"/>
                <w:sz w:val="20"/>
                <w:szCs w:val="20"/>
              </w:rPr>
              <w:t>TM2-2022</w:t>
            </w:r>
          </w:p>
        </w:tc>
        <w:tc>
          <w:tcPr>
            <w:tcW w:w="0" w:type="auto"/>
            <w:shd w:val="clear" w:color="auto" w:fill="FFFFFF"/>
            <w:noWrap/>
          </w:tcPr>
          <w:p w:rsidR="00B951B1" w:rsidRPr="00E61612" w:rsidRDefault="00B951B1" w:rsidP="00CB78E6">
            <w:pPr>
              <w:spacing w:after="0"/>
              <w:jc w:val="right"/>
              <w:rPr>
                <w:rFonts w:eastAsia="Times New Roman" w:cs="Calibri"/>
                <w:color w:val="000000"/>
                <w:sz w:val="18"/>
                <w:szCs w:val="18"/>
              </w:rPr>
            </w:pPr>
            <w:r w:rsidRPr="00E61612">
              <w:rPr>
                <w:color w:val="000000"/>
                <w:sz w:val="20"/>
                <w:szCs w:val="20"/>
              </w:rPr>
              <w:t xml:space="preserve">                        1,200 </w:t>
            </w:r>
          </w:p>
        </w:tc>
        <w:tc>
          <w:tcPr>
            <w:tcW w:w="0" w:type="auto"/>
            <w:shd w:val="clear" w:color="auto" w:fill="FFFFFF"/>
            <w:noWrap/>
          </w:tcPr>
          <w:p w:rsidR="00B951B1" w:rsidRPr="00E61612" w:rsidRDefault="00B951B1" w:rsidP="00CB78E6">
            <w:pPr>
              <w:spacing w:after="0"/>
              <w:jc w:val="right"/>
              <w:rPr>
                <w:rFonts w:eastAsia="Times New Roman" w:cs="Calibri"/>
                <w:color w:val="000000"/>
                <w:sz w:val="18"/>
                <w:szCs w:val="18"/>
              </w:rPr>
            </w:pPr>
            <w:r w:rsidRPr="00E61612">
              <w:rPr>
                <w:color w:val="000000"/>
                <w:sz w:val="20"/>
                <w:szCs w:val="20"/>
              </w:rPr>
              <w:t xml:space="preserve">                      -   </w:t>
            </w:r>
          </w:p>
        </w:tc>
        <w:tc>
          <w:tcPr>
            <w:tcW w:w="0" w:type="auto"/>
            <w:shd w:val="clear" w:color="auto" w:fill="FFFFFF"/>
            <w:noWrap/>
          </w:tcPr>
          <w:p w:rsidR="00B951B1" w:rsidRPr="00E61612" w:rsidRDefault="00B951B1" w:rsidP="00CB78E6">
            <w:pPr>
              <w:spacing w:after="0"/>
              <w:jc w:val="right"/>
              <w:rPr>
                <w:rFonts w:eastAsia="Times New Roman" w:cs="Calibri"/>
                <w:color w:val="000000"/>
                <w:sz w:val="18"/>
                <w:szCs w:val="18"/>
              </w:rPr>
            </w:pPr>
            <w:r w:rsidRPr="00E61612">
              <w:rPr>
                <w:color w:val="000000"/>
                <w:sz w:val="20"/>
                <w:szCs w:val="20"/>
              </w:rPr>
              <w:t xml:space="preserve">            1,200 </w:t>
            </w:r>
          </w:p>
        </w:tc>
        <w:tc>
          <w:tcPr>
            <w:tcW w:w="0" w:type="auto"/>
            <w:shd w:val="clear" w:color="auto" w:fill="FFFFFF"/>
            <w:noWrap/>
          </w:tcPr>
          <w:p w:rsidR="00B951B1" w:rsidRPr="00E61612" w:rsidRDefault="00B951B1" w:rsidP="00CB78E6">
            <w:pPr>
              <w:spacing w:after="0"/>
              <w:jc w:val="right"/>
              <w:rPr>
                <w:rFonts w:eastAsia="Times New Roman" w:cs="Calibri"/>
                <w:color w:val="000000"/>
                <w:sz w:val="18"/>
                <w:szCs w:val="18"/>
              </w:rPr>
            </w:pPr>
            <w:r w:rsidRPr="00E61612">
              <w:rPr>
                <w:color w:val="000000"/>
                <w:sz w:val="20"/>
                <w:szCs w:val="20"/>
              </w:rPr>
              <w:t xml:space="preserve">                       -   </w:t>
            </w:r>
          </w:p>
        </w:tc>
      </w:tr>
      <w:tr w:rsidR="00B951B1" w:rsidRPr="00E61612" w:rsidTr="00CB78E6">
        <w:trPr>
          <w:trHeight w:val="20"/>
        </w:trPr>
        <w:tc>
          <w:tcPr>
            <w:tcW w:w="0" w:type="auto"/>
            <w:tcBorders>
              <w:bottom w:val="single" w:sz="4" w:space="0" w:color="auto"/>
            </w:tcBorders>
            <w:shd w:val="clear" w:color="auto" w:fill="FFFFFF"/>
          </w:tcPr>
          <w:p w:rsidR="00B951B1" w:rsidRPr="00E61612" w:rsidRDefault="00B951B1" w:rsidP="00CB78E6">
            <w:pPr>
              <w:spacing w:after="0"/>
              <w:jc w:val="center"/>
              <w:rPr>
                <w:rFonts w:eastAsia="Times New Roman" w:cs="Calibri"/>
                <w:b/>
                <w:bCs/>
                <w:color w:val="000000"/>
                <w:sz w:val="18"/>
                <w:szCs w:val="18"/>
              </w:rPr>
            </w:pPr>
            <w:r w:rsidRPr="00E61612">
              <w:rPr>
                <w:b/>
                <w:bCs/>
                <w:color w:val="000000"/>
                <w:sz w:val="20"/>
                <w:szCs w:val="20"/>
              </w:rPr>
              <w:t>A4.2.5</w:t>
            </w:r>
          </w:p>
        </w:tc>
        <w:tc>
          <w:tcPr>
            <w:tcW w:w="0" w:type="auto"/>
            <w:tcBorders>
              <w:bottom w:val="single" w:sz="4" w:space="0" w:color="auto"/>
            </w:tcBorders>
            <w:shd w:val="clear" w:color="auto" w:fill="FFFFFF"/>
          </w:tcPr>
          <w:p w:rsidR="00B951B1" w:rsidRPr="00E61612" w:rsidRDefault="00B951B1" w:rsidP="00CB78E6">
            <w:pPr>
              <w:spacing w:after="0"/>
              <w:rPr>
                <w:rFonts w:eastAsia="Times New Roman" w:cs="Calibri"/>
                <w:sz w:val="18"/>
                <w:szCs w:val="18"/>
              </w:rPr>
            </w:pPr>
            <w:r w:rsidRPr="00E61612">
              <w:rPr>
                <w:sz w:val="20"/>
                <w:szCs w:val="20"/>
              </w:rPr>
              <w:t>Përfshirja e nxënësve të arsimit të mesëm të ulët e të lartë në programin kombëtar të kodimit</w:t>
            </w:r>
          </w:p>
        </w:tc>
        <w:tc>
          <w:tcPr>
            <w:tcW w:w="0" w:type="auto"/>
            <w:tcBorders>
              <w:bottom w:val="single" w:sz="4" w:space="0" w:color="auto"/>
            </w:tcBorders>
            <w:shd w:val="clear" w:color="auto" w:fill="FFFFFF"/>
          </w:tcPr>
          <w:p w:rsidR="00B951B1" w:rsidRPr="00E61612" w:rsidRDefault="00B951B1" w:rsidP="00CB78E6">
            <w:pPr>
              <w:spacing w:after="0"/>
              <w:jc w:val="center"/>
              <w:rPr>
                <w:rFonts w:eastAsia="Times New Roman" w:cs="Calibri"/>
                <w:color w:val="000000"/>
                <w:sz w:val="18"/>
                <w:szCs w:val="18"/>
              </w:rPr>
            </w:pPr>
            <w:r w:rsidRPr="00E61612">
              <w:rPr>
                <w:color w:val="000000"/>
                <w:sz w:val="20"/>
                <w:szCs w:val="20"/>
              </w:rPr>
              <w:t>MASR</w:t>
            </w:r>
          </w:p>
        </w:tc>
        <w:tc>
          <w:tcPr>
            <w:tcW w:w="0" w:type="auto"/>
            <w:tcBorders>
              <w:bottom w:val="single" w:sz="4" w:space="0" w:color="auto"/>
            </w:tcBorders>
            <w:shd w:val="clear" w:color="auto" w:fill="FFFFFF"/>
          </w:tcPr>
          <w:p w:rsidR="00B951B1" w:rsidRPr="00E61612" w:rsidRDefault="00B951B1" w:rsidP="00CB78E6">
            <w:pPr>
              <w:spacing w:after="0"/>
              <w:jc w:val="center"/>
              <w:rPr>
                <w:rFonts w:eastAsia="Times New Roman" w:cs="Calibri"/>
                <w:color w:val="000000"/>
                <w:sz w:val="18"/>
                <w:szCs w:val="18"/>
              </w:rPr>
            </w:pPr>
            <w:r w:rsidRPr="00E61612">
              <w:rPr>
                <w:color w:val="000000"/>
                <w:sz w:val="20"/>
                <w:szCs w:val="20"/>
              </w:rPr>
              <w:t>DPAP</w:t>
            </w:r>
          </w:p>
        </w:tc>
        <w:tc>
          <w:tcPr>
            <w:tcW w:w="0" w:type="auto"/>
            <w:tcBorders>
              <w:bottom w:val="single" w:sz="4" w:space="0" w:color="auto"/>
            </w:tcBorders>
            <w:shd w:val="clear" w:color="auto" w:fill="FFFFFF"/>
          </w:tcPr>
          <w:p w:rsidR="00B951B1" w:rsidRPr="00E61612" w:rsidRDefault="00B951B1" w:rsidP="00CB78E6">
            <w:pPr>
              <w:spacing w:after="0"/>
              <w:jc w:val="center"/>
              <w:rPr>
                <w:rFonts w:eastAsia="Times New Roman" w:cs="Calibri"/>
                <w:color w:val="000000"/>
                <w:sz w:val="18"/>
                <w:szCs w:val="18"/>
              </w:rPr>
            </w:pPr>
            <w:r w:rsidRPr="00E61612">
              <w:rPr>
                <w:color w:val="000000"/>
                <w:sz w:val="20"/>
                <w:szCs w:val="20"/>
              </w:rPr>
              <w:t>TM3-2022</w:t>
            </w:r>
          </w:p>
        </w:tc>
        <w:tc>
          <w:tcPr>
            <w:tcW w:w="0" w:type="auto"/>
            <w:tcBorders>
              <w:bottom w:val="single" w:sz="4" w:space="0" w:color="auto"/>
            </w:tcBorders>
            <w:shd w:val="clear" w:color="auto" w:fill="FFFFFF"/>
          </w:tcPr>
          <w:p w:rsidR="00B951B1" w:rsidRPr="00E61612" w:rsidRDefault="00B951B1" w:rsidP="00CB78E6">
            <w:pPr>
              <w:spacing w:after="0"/>
              <w:jc w:val="center"/>
              <w:rPr>
                <w:rFonts w:eastAsia="Times New Roman" w:cs="Calibri"/>
                <w:color w:val="000000"/>
                <w:sz w:val="18"/>
                <w:szCs w:val="18"/>
              </w:rPr>
            </w:pPr>
            <w:r w:rsidRPr="00E61612">
              <w:rPr>
                <w:color w:val="000000"/>
                <w:sz w:val="20"/>
                <w:szCs w:val="20"/>
              </w:rPr>
              <w:t>TM4-2026</w:t>
            </w:r>
          </w:p>
        </w:tc>
        <w:tc>
          <w:tcPr>
            <w:tcW w:w="0" w:type="auto"/>
            <w:tcBorders>
              <w:bottom w:val="single" w:sz="4" w:space="0" w:color="auto"/>
            </w:tcBorders>
            <w:shd w:val="clear" w:color="auto" w:fill="FFFFFF"/>
            <w:noWrap/>
          </w:tcPr>
          <w:p w:rsidR="00B951B1" w:rsidRPr="00E61612" w:rsidRDefault="00B951B1" w:rsidP="00CB78E6">
            <w:pPr>
              <w:spacing w:after="0"/>
              <w:jc w:val="right"/>
              <w:rPr>
                <w:rFonts w:eastAsia="Times New Roman" w:cs="Calibri"/>
                <w:color w:val="000000"/>
                <w:sz w:val="18"/>
                <w:szCs w:val="18"/>
              </w:rPr>
            </w:pPr>
            <w:r w:rsidRPr="00E61612">
              <w:rPr>
                <w:color w:val="000000"/>
                <w:sz w:val="20"/>
                <w:szCs w:val="20"/>
              </w:rPr>
              <w:t xml:space="preserve">                               -   </w:t>
            </w:r>
          </w:p>
        </w:tc>
        <w:tc>
          <w:tcPr>
            <w:tcW w:w="0" w:type="auto"/>
            <w:tcBorders>
              <w:bottom w:val="single" w:sz="4" w:space="0" w:color="auto"/>
            </w:tcBorders>
            <w:shd w:val="clear" w:color="auto" w:fill="FFFFFF"/>
            <w:noWrap/>
          </w:tcPr>
          <w:p w:rsidR="00B951B1" w:rsidRPr="00E61612" w:rsidRDefault="00B951B1" w:rsidP="00CB78E6">
            <w:pPr>
              <w:spacing w:after="0"/>
              <w:jc w:val="right"/>
              <w:rPr>
                <w:rFonts w:eastAsia="Times New Roman" w:cs="Calibri"/>
                <w:color w:val="000000"/>
                <w:sz w:val="18"/>
                <w:szCs w:val="18"/>
              </w:rPr>
            </w:pPr>
            <w:r w:rsidRPr="00E61612">
              <w:rPr>
                <w:color w:val="000000"/>
                <w:sz w:val="20"/>
                <w:szCs w:val="20"/>
              </w:rPr>
              <w:t xml:space="preserve">                      -   </w:t>
            </w:r>
          </w:p>
        </w:tc>
        <w:tc>
          <w:tcPr>
            <w:tcW w:w="0" w:type="auto"/>
            <w:tcBorders>
              <w:bottom w:val="single" w:sz="4" w:space="0" w:color="auto"/>
            </w:tcBorders>
            <w:shd w:val="clear" w:color="auto" w:fill="FFFFFF"/>
            <w:noWrap/>
          </w:tcPr>
          <w:p w:rsidR="00B951B1" w:rsidRPr="00E61612" w:rsidRDefault="00B951B1" w:rsidP="00CB78E6">
            <w:pPr>
              <w:spacing w:after="0"/>
              <w:jc w:val="right"/>
              <w:rPr>
                <w:rFonts w:eastAsia="Times New Roman" w:cs="Calibri"/>
                <w:color w:val="000000"/>
                <w:sz w:val="18"/>
                <w:szCs w:val="18"/>
              </w:rPr>
            </w:pPr>
            <w:r w:rsidRPr="00E61612">
              <w:rPr>
                <w:color w:val="000000"/>
                <w:sz w:val="20"/>
                <w:szCs w:val="20"/>
              </w:rPr>
              <w:t xml:space="preserve">                   -   </w:t>
            </w:r>
          </w:p>
        </w:tc>
        <w:tc>
          <w:tcPr>
            <w:tcW w:w="0" w:type="auto"/>
            <w:tcBorders>
              <w:bottom w:val="single" w:sz="4" w:space="0" w:color="auto"/>
            </w:tcBorders>
            <w:shd w:val="clear" w:color="auto" w:fill="FFFFFF"/>
            <w:noWrap/>
          </w:tcPr>
          <w:p w:rsidR="00B951B1" w:rsidRPr="00E61612" w:rsidRDefault="00B951B1" w:rsidP="00CB78E6">
            <w:pPr>
              <w:spacing w:after="0"/>
              <w:jc w:val="right"/>
              <w:rPr>
                <w:rFonts w:eastAsia="Times New Roman" w:cs="Calibri"/>
                <w:color w:val="000000"/>
                <w:sz w:val="18"/>
                <w:szCs w:val="18"/>
              </w:rPr>
            </w:pPr>
            <w:r w:rsidRPr="00E61612">
              <w:rPr>
                <w:color w:val="000000"/>
                <w:sz w:val="20"/>
                <w:szCs w:val="20"/>
              </w:rPr>
              <w:t xml:space="preserve">                       -   </w:t>
            </w:r>
          </w:p>
        </w:tc>
      </w:tr>
      <w:tr w:rsidR="00B951B1" w:rsidRPr="00E61612" w:rsidTr="00CB78E6">
        <w:trPr>
          <w:trHeight w:val="20"/>
        </w:trPr>
        <w:tc>
          <w:tcPr>
            <w:tcW w:w="0" w:type="auto"/>
            <w:shd w:val="clear" w:color="auto" w:fill="D9D9D9"/>
          </w:tcPr>
          <w:p w:rsidR="00B951B1" w:rsidRPr="00E61612" w:rsidRDefault="00B951B1" w:rsidP="00CB78E6">
            <w:pPr>
              <w:spacing w:after="0"/>
              <w:jc w:val="center"/>
              <w:rPr>
                <w:rFonts w:eastAsia="Times New Roman" w:cs="Calibri"/>
                <w:b/>
                <w:bCs/>
                <w:color w:val="000000"/>
                <w:sz w:val="18"/>
                <w:szCs w:val="18"/>
              </w:rPr>
            </w:pPr>
            <w:r w:rsidRPr="00E61612">
              <w:rPr>
                <w:b/>
                <w:bCs/>
                <w:color w:val="000000"/>
                <w:sz w:val="20"/>
                <w:szCs w:val="20"/>
              </w:rPr>
              <w:lastRenderedPageBreak/>
              <w:t>A4.3</w:t>
            </w:r>
          </w:p>
        </w:tc>
        <w:tc>
          <w:tcPr>
            <w:tcW w:w="0" w:type="auto"/>
            <w:shd w:val="clear" w:color="auto" w:fill="D9D9D9"/>
          </w:tcPr>
          <w:p w:rsidR="00B951B1" w:rsidRPr="00E61612" w:rsidRDefault="00B951B1" w:rsidP="00CB78E6">
            <w:pPr>
              <w:spacing w:after="0"/>
              <w:rPr>
                <w:rFonts w:eastAsia="Times New Roman" w:cs="Calibri"/>
                <w:sz w:val="18"/>
                <w:szCs w:val="18"/>
              </w:rPr>
            </w:pPr>
            <w:r w:rsidRPr="00E61612">
              <w:rPr>
                <w:sz w:val="20"/>
                <w:szCs w:val="20"/>
              </w:rPr>
              <w:t xml:space="preserve"> Ofrimi i shërbimeve cilësore të TIK-ut për sistemin e arsimit parauniversitar</w:t>
            </w:r>
          </w:p>
        </w:tc>
        <w:tc>
          <w:tcPr>
            <w:tcW w:w="0" w:type="auto"/>
            <w:shd w:val="clear" w:color="auto" w:fill="D9D9D9"/>
          </w:tcPr>
          <w:p w:rsidR="00B951B1" w:rsidRPr="00E61612" w:rsidRDefault="00B951B1" w:rsidP="00CB78E6">
            <w:pPr>
              <w:spacing w:after="0"/>
              <w:jc w:val="center"/>
              <w:rPr>
                <w:rFonts w:eastAsia="Times New Roman" w:cs="Calibri"/>
                <w:color w:val="000000"/>
                <w:sz w:val="18"/>
                <w:szCs w:val="18"/>
              </w:rPr>
            </w:pPr>
            <w:r w:rsidRPr="00E61612">
              <w:rPr>
                <w:color w:val="000000"/>
                <w:sz w:val="20"/>
                <w:szCs w:val="20"/>
              </w:rPr>
              <w:t>AKSHI, ASCAP</w:t>
            </w:r>
          </w:p>
        </w:tc>
        <w:tc>
          <w:tcPr>
            <w:tcW w:w="0" w:type="auto"/>
            <w:shd w:val="clear" w:color="auto" w:fill="D9D9D9"/>
          </w:tcPr>
          <w:p w:rsidR="00B951B1" w:rsidRPr="00E61612" w:rsidRDefault="00B951B1" w:rsidP="00CB78E6">
            <w:pPr>
              <w:spacing w:after="0"/>
              <w:jc w:val="center"/>
              <w:rPr>
                <w:rFonts w:eastAsia="Times New Roman" w:cs="Calibri"/>
                <w:color w:val="000000"/>
                <w:sz w:val="18"/>
                <w:szCs w:val="18"/>
              </w:rPr>
            </w:pPr>
            <w:r w:rsidRPr="00E61612">
              <w:rPr>
                <w:color w:val="000000"/>
                <w:sz w:val="20"/>
                <w:szCs w:val="20"/>
              </w:rPr>
              <w:t>MASR</w:t>
            </w:r>
          </w:p>
        </w:tc>
        <w:tc>
          <w:tcPr>
            <w:tcW w:w="0" w:type="auto"/>
            <w:shd w:val="clear" w:color="auto" w:fill="D9D9D9"/>
          </w:tcPr>
          <w:p w:rsidR="00B951B1" w:rsidRPr="00E61612" w:rsidRDefault="00B951B1" w:rsidP="00CB78E6">
            <w:pPr>
              <w:spacing w:after="0"/>
              <w:jc w:val="center"/>
              <w:rPr>
                <w:rFonts w:eastAsia="Times New Roman" w:cs="Calibri"/>
                <w:color w:val="000000"/>
                <w:sz w:val="18"/>
                <w:szCs w:val="18"/>
              </w:rPr>
            </w:pPr>
            <w:r w:rsidRPr="00E61612">
              <w:rPr>
                <w:color w:val="000000"/>
                <w:sz w:val="20"/>
                <w:szCs w:val="20"/>
              </w:rPr>
              <w:t>TM1-2021</w:t>
            </w:r>
          </w:p>
        </w:tc>
        <w:tc>
          <w:tcPr>
            <w:tcW w:w="0" w:type="auto"/>
            <w:shd w:val="clear" w:color="auto" w:fill="D9D9D9"/>
          </w:tcPr>
          <w:p w:rsidR="00B951B1" w:rsidRPr="00E61612" w:rsidRDefault="00B951B1" w:rsidP="00CB78E6">
            <w:pPr>
              <w:spacing w:after="0"/>
              <w:jc w:val="center"/>
              <w:rPr>
                <w:rFonts w:eastAsia="Times New Roman" w:cs="Calibri"/>
                <w:color w:val="000000"/>
                <w:sz w:val="18"/>
                <w:szCs w:val="18"/>
              </w:rPr>
            </w:pPr>
            <w:r w:rsidRPr="00E61612">
              <w:rPr>
                <w:color w:val="000000"/>
                <w:sz w:val="20"/>
                <w:szCs w:val="20"/>
              </w:rPr>
              <w:t>TM4-2026</w:t>
            </w:r>
          </w:p>
        </w:tc>
        <w:tc>
          <w:tcPr>
            <w:tcW w:w="0" w:type="auto"/>
            <w:shd w:val="clear" w:color="auto" w:fill="D9D9D9"/>
            <w:noWrap/>
          </w:tcPr>
          <w:p w:rsidR="00B951B1" w:rsidRPr="00E61612" w:rsidRDefault="00B951B1" w:rsidP="00CB78E6">
            <w:pPr>
              <w:spacing w:after="0"/>
              <w:jc w:val="right"/>
              <w:rPr>
                <w:rFonts w:eastAsia="Times New Roman" w:cs="Calibri"/>
                <w:color w:val="000000"/>
                <w:sz w:val="18"/>
                <w:szCs w:val="18"/>
              </w:rPr>
            </w:pPr>
            <w:r w:rsidRPr="00E61612">
              <w:rPr>
                <w:color w:val="000000"/>
                <w:sz w:val="20"/>
                <w:szCs w:val="20"/>
              </w:rPr>
              <w:t xml:space="preserve">                1,529,856 </w:t>
            </w:r>
          </w:p>
        </w:tc>
        <w:tc>
          <w:tcPr>
            <w:tcW w:w="0" w:type="auto"/>
            <w:shd w:val="clear" w:color="auto" w:fill="D9D9D9"/>
            <w:noWrap/>
          </w:tcPr>
          <w:p w:rsidR="00B951B1" w:rsidRPr="00E61612" w:rsidRDefault="00B951B1" w:rsidP="00CB78E6">
            <w:pPr>
              <w:spacing w:after="0"/>
              <w:jc w:val="right"/>
              <w:rPr>
                <w:rFonts w:eastAsia="Times New Roman" w:cs="Calibri"/>
                <w:color w:val="000000"/>
                <w:sz w:val="18"/>
                <w:szCs w:val="18"/>
              </w:rPr>
            </w:pPr>
            <w:r w:rsidRPr="00E61612">
              <w:rPr>
                <w:color w:val="000000"/>
                <w:sz w:val="20"/>
                <w:szCs w:val="20"/>
              </w:rPr>
              <w:t xml:space="preserve">          435,456 </w:t>
            </w:r>
          </w:p>
        </w:tc>
        <w:tc>
          <w:tcPr>
            <w:tcW w:w="0" w:type="auto"/>
            <w:shd w:val="clear" w:color="auto" w:fill="D9D9D9"/>
            <w:noWrap/>
          </w:tcPr>
          <w:p w:rsidR="00B951B1" w:rsidRPr="00E61612" w:rsidRDefault="00B951B1" w:rsidP="00CB78E6">
            <w:pPr>
              <w:spacing w:after="0"/>
              <w:jc w:val="right"/>
              <w:rPr>
                <w:rFonts w:eastAsia="Times New Roman" w:cs="Calibri"/>
                <w:color w:val="000000"/>
                <w:sz w:val="18"/>
                <w:szCs w:val="18"/>
              </w:rPr>
            </w:pPr>
            <w:r w:rsidRPr="00E61612">
              <w:rPr>
                <w:color w:val="000000"/>
                <w:sz w:val="20"/>
                <w:szCs w:val="20"/>
              </w:rPr>
              <w:t xml:space="preserve">                   -   </w:t>
            </w:r>
          </w:p>
        </w:tc>
        <w:tc>
          <w:tcPr>
            <w:tcW w:w="0" w:type="auto"/>
            <w:shd w:val="clear" w:color="auto" w:fill="D9D9D9"/>
            <w:noWrap/>
          </w:tcPr>
          <w:p w:rsidR="00B951B1" w:rsidRPr="00E61612" w:rsidRDefault="00B951B1" w:rsidP="00CB78E6">
            <w:pPr>
              <w:spacing w:after="0"/>
              <w:jc w:val="right"/>
              <w:rPr>
                <w:rFonts w:eastAsia="Times New Roman" w:cs="Calibri"/>
                <w:color w:val="000000"/>
                <w:sz w:val="18"/>
                <w:szCs w:val="18"/>
              </w:rPr>
            </w:pPr>
            <w:r w:rsidRPr="00E61612">
              <w:rPr>
                <w:color w:val="000000"/>
                <w:sz w:val="20"/>
                <w:szCs w:val="20"/>
              </w:rPr>
              <w:t xml:space="preserve">      (1,094,400)</w:t>
            </w:r>
          </w:p>
        </w:tc>
      </w:tr>
      <w:tr w:rsidR="00B951B1" w:rsidRPr="00E61612" w:rsidTr="00CB78E6">
        <w:trPr>
          <w:trHeight w:val="20"/>
        </w:trPr>
        <w:tc>
          <w:tcPr>
            <w:tcW w:w="0" w:type="auto"/>
            <w:shd w:val="clear" w:color="auto" w:fill="FFFFFF"/>
          </w:tcPr>
          <w:p w:rsidR="00B951B1" w:rsidRPr="00E61612" w:rsidRDefault="00B951B1" w:rsidP="00CB78E6">
            <w:pPr>
              <w:spacing w:after="0"/>
              <w:jc w:val="center"/>
              <w:rPr>
                <w:rFonts w:eastAsia="Times New Roman" w:cs="Calibri"/>
                <w:b/>
                <w:bCs/>
                <w:color w:val="000000"/>
                <w:sz w:val="18"/>
                <w:szCs w:val="18"/>
              </w:rPr>
            </w:pPr>
            <w:r w:rsidRPr="00E61612">
              <w:rPr>
                <w:b/>
                <w:bCs/>
                <w:color w:val="000000"/>
                <w:sz w:val="20"/>
                <w:szCs w:val="20"/>
              </w:rPr>
              <w:t>A4.3.1</w:t>
            </w:r>
          </w:p>
        </w:tc>
        <w:tc>
          <w:tcPr>
            <w:tcW w:w="0" w:type="auto"/>
            <w:shd w:val="clear" w:color="auto" w:fill="FFFFFF"/>
          </w:tcPr>
          <w:p w:rsidR="00B951B1" w:rsidRPr="00E61612" w:rsidRDefault="00B951B1" w:rsidP="00CB78E6">
            <w:pPr>
              <w:spacing w:after="0"/>
              <w:rPr>
                <w:rFonts w:eastAsia="Times New Roman" w:cs="Calibri"/>
                <w:sz w:val="18"/>
                <w:szCs w:val="18"/>
              </w:rPr>
            </w:pPr>
            <w:r w:rsidRPr="00E61612">
              <w:rPr>
                <w:sz w:val="20"/>
                <w:szCs w:val="20"/>
              </w:rPr>
              <w:t xml:space="preserve">Kontraktimi </w:t>
            </w:r>
            <w:r>
              <w:rPr>
                <w:sz w:val="20"/>
                <w:szCs w:val="20"/>
              </w:rPr>
              <w:t xml:space="preserve">i </w:t>
            </w:r>
            <w:r w:rsidRPr="00E61612">
              <w:rPr>
                <w:sz w:val="20"/>
                <w:szCs w:val="20"/>
              </w:rPr>
              <w:t>shërbimit të internetit për shkollat</w:t>
            </w:r>
          </w:p>
        </w:tc>
        <w:tc>
          <w:tcPr>
            <w:tcW w:w="0" w:type="auto"/>
            <w:shd w:val="clear" w:color="auto" w:fill="FFFFFF"/>
          </w:tcPr>
          <w:p w:rsidR="00B951B1" w:rsidRPr="00E61612" w:rsidRDefault="00B951B1" w:rsidP="00CB78E6">
            <w:pPr>
              <w:spacing w:after="0"/>
              <w:jc w:val="center"/>
              <w:rPr>
                <w:rFonts w:eastAsia="Times New Roman" w:cs="Calibri"/>
                <w:color w:val="000000"/>
                <w:sz w:val="18"/>
                <w:szCs w:val="18"/>
              </w:rPr>
            </w:pPr>
            <w:r w:rsidRPr="00E61612">
              <w:rPr>
                <w:color w:val="000000"/>
                <w:sz w:val="20"/>
                <w:szCs w:val="20"/>
              </w:rPr>
              <w:t>AKSHI</w:t>
            </w:r>
          </w:p>
        </w:tc>
        <w:tc>
          <w:tcPr>
            <w:tcW w:w="0" w:type="auto"/>
            <w:shd w:val="clear" w:color="auto" w:fill="FFFFFF"/>
          </w:tcPr>
          <w:p w:rsidR="00B951B1" w:rsidRPr="00E61612" w:rsidRDefault="00B951B1" w:rsidP="00CB78E6">
            <w:pPr>
              <w:spacing w:after="0"/>
              <w:jc w:val="center"/>
              <w:rPr>
                <w:rFonts w:eastAsia="Times New Roman" w:cs="Calibri"/>
                <w:color w:val="000000"/>
                <w:sz w:val="18"/>
                <w:szCs w:val="18"/>
              </w:rPr>
            </w:pPr>
            <w:r w:rsidRPr="00E61612">
              <w:rPr>
                <w:color w:val="000000"/>
                <w:sz w:val="20"/>
                <w:szCs w:val="20"/>
              </w:rPr>
              <w:t> </w:t>
            </w:r>
          </w:p>
        </w:tc>
        <w:tc>
          <w:tcPr>
            <w:tcW w:w="0" w:type="auto"/>
            <w:shd w:val="clear" w:color="auto" w:fill="FFFFFF"/>
          </w:tcPr>
          <w:p w:rsidR="00B951B1" w:rsidRPr="00E61612" w:rsidRDefault="00B951B1" w:rsidP="00CB78E6">
            <w:pPr>
              <w:spacing w:after="0"/>
              <w:jc w:val="center"/>
              <w:rPr>
                <w:rFonts w:eastAsia="Times New Roman" w:cs="Calibri"/>
                <w:color w:val="000000"/>
                <w:sz w:val="18"/>
                <w:szCs w:val="18"/>
              </w:rPr>
            </w:pPr>
            <w:r w:rsidRPr="00E61612">
              <w:rPr>
                <w:color w:val="000000"/>
                <w:sz w:val="20"/>
                <w:szCs w:val="20"/>
              </w:rPr>
              <w:t>TM1-2021</w:t>
            </w:r>
          </w:p>
        </w:tc>
        <w:tc>
          <w:tcPr>
            <w:tcW w:w="0" w:type="auto"/>
            <w:shd w:val="clear" w:color="auto" w:fill="FFFFFF"/>
          </w:tcPr>
          <w:p w:rsidR="00B951B1" w:rsidRPr="00E61612" w:rsidRDefault="00B951B1" w:rsidP="00CB78E6">
            <w:pPr>
              <w:spacing w:after="0"/>
              <w:jc w:val="center"/>
              <w:rPr>
                <w:rFonts w:eastAsia="Times New Roman" w:cs="Calibri"/>
                <w:color w:val="000000"/>
                <w:sz w:val="18"/>
                <w:szCs w:val="18"/>
              </w:rPr>
            </w:pPr>
            <w:r w:rsidRPr="00E61612">
              <w:rPr>
                <w:color w:val="000000"/>
                <w:sz w:val="20"/>
                <w:szCs w:val="20"/>
              </w:rPr>
              <w:t>TM4-2026</w:t>
            </w:r>
          </w:p>
        </w:tc>
        <w:tc>
          <w:tcPr>
            <w:tcW w:w="0" w:type="auto"/>
            <w:shd w:val="clear" w:color="auto" w:fill="FFFFFF"/>
            <w:noWrap/>
          </w:tcPr>
          <w:p w:rsidR="00B951B1" w:rsidRPr="00E61612" w:rsidRDefault="00B951B1" w:rsidP="00CB78E6">
            <w:pPr>
              <w:spacing w:after="0"/>
              <w:jc w:val="right"/>
              <w:rPr>
                <w:rFonts w:eastAsia="Times New Roman" w:cs="Calibri"/>
                <w:color w:val="000000"/>
                <w:sz w:val="18"/>
                <w:szCs w:val="18"/>
              </w:rPr>
            </w:pPr>
            <w:r w:rsidRPr="00E61612">
              <w:rPr>
                <w:color w:val="000000"/>
                <w:sz w:val="20"/>
                <w:szCs w:val="20"/>
              </w:rPr>
              <w:t xml:space="preserve">                1,524,096 </w:t>
            </w:r>
          </w:p>
        </w:tc>
        <w:tc>
          <w:tcPr>
            <w:tcW w:w="0" w:type="auto"/>
            <w:shd w:val="clear" w:color="auto" w:fill="FFFFFF"/>
            <w:noWrap/>
          </w:tcPr>
          <w:p w:rsidR="00B951B1" w:rsidRPr="00E61612" w:rsidRDefault="00B951B1" w:rsidP="00CB78E6">
            <w:pPr>
              <w:spacing w:after="0"/>
              <w:jc w:val="right"/>
              <w:rPr>
                <w:rFonts w:eastAsia="Times New Roman" w:cs="Calibri"/>
                <w:color w:val="000000"/>
                <w:sz w:val="18"/>
                <w:szCs w:val="18"/>
              </w:rPr>
            </w:pPr>
            <w:r w:rsidRPr="00E61612">
              <w:rPr>
                <w:color w:val="000000"/>
                <w:sz w:val="20"/>
                <w:szCs w:val="20"/>
              </w:rPr>
              <w:t xml:space="preserve">          435,456 </w:t>
            </w:r>
          </w:p>
        </w:tc>
        <w:tc>
          <w:tcPr>
            <w:tcW w:w="0" w:type="auto"/>
            <w:shd w:val="clear" w:color="auto" w:fill="FFFFFF"/>
            <w:noWrap/>
          </w:tcPr>
          <w:p w:rsidR="00B951B1" w:rsidRPr="00E61612" w:rsidRDefault="00B951B1" w:rsidP="00CB78E6">
            <w:pPr>
              <w:spacing w:after="0"/>
              <w:jc w:val="right"/>
              <w:rPr>
                <w:rFonts w:eastAsia="Times New Roman" w:cs="Calibri"/>
                <w:color w:val="000000"/>
                <w:sz w:val="18"/>
                <w:szCs w:val="18"/>
              </w:rPr>
            </w:pPr>
            <w:r w:rsidRPr="00E61612">
              <w:rPr>
                <w:color w:val="000000"/>
                <w:sz w:val="20"/>
                <w:szCs w:val="20"/>
              </w:rPr>
              <w:t xml:space="preserve">                   -   </w:t>
            </w:r>
          </w:p>
        </w:tc>
        <w:tc>
          <w:tcPr>
            <w:tcW w:w="0" w:type="auto"/>
            <w:shd w:val="clear" w:color="auto" w:fill="FFFFFF"/>
            <w:noWrap/>
          </w:tcPr>
          <w:p w:rsidR="00B951B1" w:rsidRPr="00E61612" w:rsidRDefault="00B951B1" w:rsidP="00CB78E6">
            <w:pPr>
              <w:spacing w:after="0"/>
              <w:jc w:val="right"/>
              <w:rPr>
                <w:rFonts w:eastAsia="Times New Roman" w:cs="Calibri"/>
                <w:color w:val="000000"/>
                <w:sz w:val="18"/>
                <w:szCs w:val="18"/>
              </w:rPr>
            </w:pPr>
            <w:r w:rsidRPr="00E61612">
              <w:rPr>
                <w:color w:val="000000"/>
                <w:sz w:val="20"/>
                <w:szCs w:val="20"/>
              </w:rPr>
              <w:t xml:space="preserve">      (1,088,640)</w:t>
            </w:r>
          </w:p>
        </w:tc>
      </w:tr>
      <w:tr w:rsidR="00B951B1" w:rsidRPr="00E61612" w:rsidTr="00CB78E6">
        <w:trPr>
          <w:trHeight w:val="20"/>
        </w:trPr>
        <w:tc>
          <w:tcPr>
            <w:tcW w:w="0" w:type="auto"/>
            <w:tcBorders>
              <w:bottom w:val="single" w:sz="4" w:space="0" w:color="auto"/>
            </w:tcBorders>
            <w:shd w:val="clear" w:color="auto" w:fill="FFFFFF"/>
          </w:tcPr>
          <w:p w:rsidR="00B951B1" w:rsidRPr="00E61612" w:rsidRDefault="00B951B1" w:rsidP="00CB78E6">
            <w:pPr>
              <w:spacing w:after="0"/>
              <w:jc w:val="center"/>
              <w:rPr>
                <w:rFonts w:eastAsia="Times New Roman" w:cs="Calibri"/>
                <w:b/>
                <w:bCs/>
                <w:color w:val="000000"/>
                <w:sz w:val="18"/>
                <w:szCs w:val="18"/>
              </w:rPr>
            </w:pPr>
            <w:r w:rsidRPr="00E61612">
              <w:rPr>
                <w:b/>
                <w:bCs/>
                <w:color w:val="000000"/>
                <w:sz w:val="20"/>
                <w:szCs w:val="20"/>
              </w:rPr>
              <w:t>A4.3.2</w:t>
            </w:r>
          </w:p>
        </w:tc>
        <w:tc>
          <w:tcPr>
            <w:tcW w:w="0" w:type="auto"/>
            <w:tcBorders>
              <w:bottom w:val="single" w:sz="4" w:space="0" w:color="auto"/>
            </w:tcBorders>
            <w:shd w:val="clear" w:color="auto" w:fill="FFFFFF"/>
          </w:tcPr>
          <w:p w:rsidR="00B951B1" w:rsidRPr="00E61612" w:rsidRDefault="00B951B1" w:rsidP="00CB78E6">
            <w:pPr>
              <w:spacing w:after="0"/>
              <w:rPr>
                <w:rFonts w:eastAsia="Times New Roman" w:cs="Calibri"/>
                <w:sz w:val="18"/>
                <w:szCs w:val="18"/>
              </w:rPr>
            </w:pPr>
            <w:r w:rsidRPr="00E61612">
              <w:rPr>
                <w:sz w:val="20"/>
                <w:szCs w:val="20"/>
              </w:rPr>
              <w:t>Hartimi i metodologjisë për mësimin online</w:t>
            </w:r>
          </w:p>
        </w:tc>
        <w:tc>
          <w:tcPr>
            <w:tcW w:w="0" w:type="auto"/>
            <w:tcBorders>
              <w:bottom w:val="single" w:sz="4" w:space="0" w:color="auto"/>
            </w:tcBorders>
            <w:shd w:val="clear" w:color="auto" w:fill="FFFFFF"/>
          </w:tcPr>
          <w:p w:rsidR="00B951B1" w:rsidRPr="00E61612" w:rsidRDefault="00B951B1" w:rsidP="00CB78E6">
            <w:pPr>
              <w:spacing w:after="0"/>
              <w:jc w:val="center"/>
              <w:rPr>
                <w:rFonts w:eastAsia="Times New Roman" w:cs="Calibri"/>
                <w:color w:val="000000"/>
                <w:sz w:val="18"/>
                <w:szCs w:val="18"/>
              </w:rPr>
            </w:pPr>
            <w:r w:rsidRPr="00E61612">
              <w:rPr>
                <w:color w:val="000000"/>
                <w:sz w:val="20"/>
                <w:szCs w:val="20"/>
              </w:rPr>
              <w:t>ASCAP</w:t>
            </w:r>
          </w:p>
        </w:tc>
        <w:tc>
          <w:tcPr>
            <w:tcW w:w="0" w:type="auto"/>
            <w:tcBorders>
              <w:bottom w:val="single" w:sz="4" w:space="0" w:color="auto"/>
            </w:tcBorders>
            <w:shd w:val="clear" w:color="auto" w:fill="FFFFFF"/>
          </w:tcPr>
          <w:p w:rsidR="00B951B1" w:rsidRPr="00E61612" w:rsidRDefault="00B951B1" w:rsidP="00CB78E6">
            <w:pPr>
              <w:spacing w:after="0"/>
              <w:jc w:val="center"/>
              <w:rPr>
                <w:rFonts w:eastAsia="Times New Roman" w:cs="Calibri"/>
                <w:color w:val="000000"/>
                <w:sz w:val="18"/>
                <w:szCs w:val="18"/>
              </w:rPr>
            </w:pPr>
            <w:r w:rsidRPr="00E61612">
              <w:rPr>
                <w:color w:val="000000"/>
                <w:sz w:val="20"/>
                <w:szCs w:val="20"/>
              </w:rPr>
              <w:t>MASR</w:t>
            </w:r>
          </w:p>
        </w:tc>
        <w:tc>
          <w:tcPr>
            <w:tcW w:w="0" w:type="auto"/>
            <w:tcBorders>
              <w:bottom w:val="single" w:sz="4" w:space="0" w:color="auto"/>
            </w:tcBorders>
            <w:shd w:val="clear" w:color="auto" w:fill="FFFFFF"/>
          </w:tcPr>
          <w:p w:rsidR="00B951B1" w:rsidRPr="00E61612" w:rsidRDefault="00B951B1" w:rsidP="00CB78E6">
            <w:pPr>
              <w:spacing w:after="0"/>
              <w:jc w:val="center"/>
              <w:rPr>
                <w:rFonts w:eastAsia="Times New Roman" w:cs="Calibri"/>
                <w:color w:val="000000"/>
                <w:sz w:val="18"/>
                <w:szCs w:val="18"/>
              </w:rPr>
            </w:pPr>
            <w:r w:rsidRPr="00E61612">
              <w:rPr>
                <w:color w:val="000000"/>
                <w:sz w:val="20"/>
                <w:szCs w:val="20"/>
              </w:rPr>
              <w:t>2022-2023</w:t>
            </w:r>
          </w:p>
        </w:tc>
        <w:tc>
          <w:tcPr>
            <w:tcW w:w="0" w:type="auto"/>
            <w:tcBorders>
              <w:bottom w:val="single" w:sz="4" w:space="0" w:color="auto"/>
            </w:tcBorders>
            <w:shd w:val="clear" w:color="auto" w:fill="FFFFFF"/>
          </w:tcPr>
          <w:p w:rsidR="00B951B1" w:rsidRPr="00E61612" w:rsidRDefault="00B951B1" w:rsidP="00CB78E6">
            <w:pPr>
              <w:spacing w:after="0"/>
              <w:jc w:val="center"/>
              <w:rPr>
                <w:rFonts w:eastAsia="Times New Roman" w:cs="Calibri"/>
                <w:color w:val="000000"/>
                <w:sz w:val="18"/>
                <w:szCs w:val="18"/>
              </w:rPr>
            </w:pPr>
            <w:r w:rsidRPr="00E61612">
              <w:rPr>
                <w:color w:val="000000"/>
                <w:sz w:val="20"/>
                <w:szCs w:val="20"/>
              </w:rPr>
              <w:t> </w:t>
            </w:r>
          </w:p>
        </w:tc>
        <w:tc>
          <w:tcPr>
            <w:tcW w:w="0" w:type="auto"/>
            <w:tcBorders>
              <w:bottom w:val="single" w:sz="4" w:space="0" w:color="auto"/>
            </w:tcBorders>
            <w:shd w:val="clear" w:color="auto" w:fill="FFFFFF"/>
            <w:noWrap/>
          </w:tcPr>
          <w:p w:rsidR="00B951B1" w:rsidRPr="00E61612" w:rsidRDefault="00B951B1" w:rsidP="00CB78E6">
            <w:pPr>
              <w:spacing w:after="0"/>
              <w:jc w:val="right"/>
              <w:rPr>
                <w:rFonts w:eastAsia="Times New Roman" w:cs="Calibri"/>
                <w:color w:val="000000"/>
                <w:sz w:val="18"/>
                <w:szCs w:val="18"/>
              </w:rPr>
            </w:pPr>
            <w:r w:rsidRPr="00E61612">
              <w:rPr>
                <w:color w:val="000000"/>
                <w:sz w:val="20"/>
                <w:szCs w:val="20"/>
              </w:rPr>
              <w:t xml:space="preserve">                        5,760 </w:t>
            </w:r>
          </w:p>
        </w:tc>
        <w:tc>
          <w:tcPr>
            <w:tcW w:w="0" w:type="auto"/>
            <w:tcBorders>
              <w:bottom w:val="single" w:sz="4" w:space="0" w:color="auto"/>
            </w:tcBorders>
            <w:shd w:val="clear" w:color="auto" w:fill="FFFFFF"/>
            <w:noWrap/>
          </w:tcPr>
          <w:p w:rsidR="00B951B1" w:rsidRPr="00E61612" w:rsidRDefault="00B951B1" w:rsidP="00CB78E6">
            <w:pPr>
              <w:spacing w:after="0"/>
              <w:jc w:val="right"/>
              <w:rPr>
                <w:rFonts w:eastAsia="Times New Roman" w:cs="Calibri"/>
                <w:color w:val="000000"/>
                <w:sz w:val="18"/>
                <w:szCs w:val="18"/>
              </w:rPr>
            </w:pPr>
            <w:r w:rsidRPr="00E61612">
              <w:rPr>
                <w:color w:val="000000"/>
                <w:sz w:val="20"/>
                <w:szCs w:val="20"/>
              </w:rPr>
              <w:t xml:space="preserve">                      -   </w:t>
            </w:r>
          </w:p>
        </w:tc>
        <w:tc>
          <w:tcPr>
            <w:tcW w:w="0" w:type="auto"/>
            <w:tcBorders>
              <w:bottom w:val="single" w:sz="4" w:space="0" w:color="auto"/>
            </w:tcBorders>
            <w:shd w:val="clear" w:color="auto" w:fill="FFFFFF"/>
            <w:noWrap/>
          </w:tcPr>
          <w:p w:rsidR="00B951B1" w:rsidRPr="00E61612" w:rsidRDefault="00B951B1" w:rsidP="00CB78E6">
            <w:pPr>
              <w:spacing w:after="0"/>
              <w:jc w:val="right"/>
              <w:rPr>
                <w:rFonts w:eastAsia="Times New Roman" w:cs="Calibri"/>
                <w:color w:val="000000"/>
                <w:sz w:val="18"/>
                <w:szCs w:val="18"/>
              </w:rPr>
            </w:pPr>
            <w:r w:rsidRPr="00E61612">
              <w:rPr>
                <w:color w:val="000000"/>
                <w:sz w:val="20"/>
                <w:szCs w:val="20"/>
              </w:rPr>
              <w:t xml:space="preserve">                   -   </w:t>
            </w:r>
          </w:p>
        </w:tc>
        <w:tc>
          <w:tcPr>
            <w:tcW w:w="0" w:type="auto"/>
            <w:tcBorders>
              <w:bottom w:val="single" w:sz="4" w:space="0" w:color="auto"/>
            </w:tcBorders>
            <w:shd w:val="clear" w:color="auto" w:fill="FFFFFF"/>
            <w:noWrap/>
          </w:tcPr>
          <w:p w:rsidR="00B951B1" w:rsidRPr="00E61612" w:rsidRDefault="00B951B1" w:rsidP="00CB78E6">
            <w:pPr>
              <w:spacing w:after="0"/>
              <w:jc w:val="right"/>
              <w:rPr>
                <w:rFonts w:eastAsia="Times New Roman" w:cs="Calibri"/>
                <w:color w:val="000000"/>
                <w:sz w:val="18"/>
                <w:szCs w:val="18"/>
              </w:rPr>
            </w:pPr>
            <w:r w:rsidRPr="00E61612">
              <w:rPr>
                <w:color w:val="000000"/>
                <w:sz w:val="20"/>
                <w:szCs w:val="20"/>
              </w:rPr>
              <w:t xml:space="preserve">              (5,760)</w:t>
            </w:r>
          </w:p>
        </w:tc>
      </w:tr>
      <w:tr w:rsidR="00B951B1" w:rsidRPr="00E61612" w:rsidTr="00CB78E6">
        <w:trPr>
          <w:trHeight w:val="20"/>
        </w:trPr>
        <w:tc>
          <w:tcPr>
            <w:tcW w:w="0" w:type="auto"/>
            <w:gridSpan w:val="6"/>
            <w:shd w:val="clear" w:color="auto" w:fill="D9D9D9"/>
          </w:tcPr>
          <w:p w:rsidR="00B951B1" w:rsidRPr="00E61612" w:rsidRDefault="00B951B1" w:rsidP="00CB78E6">
            <w:pPr>
              <w:spacing w:after="0"/>
              <w:jc w:val="right"/>
              <w:rPr>
                <w:rFonts w:eastAsia="Times New Roman" w:cs="Calibri"/>
                <w:b/>
                <w:bCs/>
                <w:color w:val="000000"/>
                <w:sz w:val="18"/>
                <w:szCs w:val="18"/>
              </w:rPr>
            </w:pPr>
            <w:r w:rsidRPr="00E61612">
              <w:rPr>
                <w:rFonts w:eastAsia="Times New Roman" w:cs="Calibri"/>
                <w:b/>
                <w:bCs/>
                <w:color w:val="000000"/>
                <w:sz w:val="18"/>
                <w:szCs w:val="18"/>
              </w:rPr>
              <w:t xml:space="preserve">TOTALI Qëllimi i politikës A: </w:t>
            </w:r>
          </w:p>
        </w:tc>
        <w:tc>
          <w:tcPr>
            <w:tcW w:w="0" w:type="auto"/>
            <w:shd w:val="clear" w:color="auto" w:fill="D9D9D9"/>
            <w:noWrap/>
          </w:tcPr>
          <w:p w:rsidR="00B951B1" w:rsidRPr="00E61612" w:rsidRDefault="00B951B1" w:rsidP="00CB78E6">
            <w:pPr>
              <w:spacing w:after="0"/>
              <w:jc w:val="right"/>
              <w:rPr>
                <w:rFonts w:eastAsia="Times New Roman" w:cs="Calibri"/>
                <w:b/>
                <w:bCs/>
                <w:sz w:val="18"/>
                <w:szCs w:val="18"/>
              </w:rPr>
            </w:pPr>
            <w:r w:rsidRPr="00E61612">
              <w:rPr>
                <w:b/>
                <w:bCs/>
                <w:sz w:val="20"/>
                <w:szCs w:val="20"/>
              </w:rPr>
              <w:t xml:space="preserve">              35,576,226 </w:t>
            </w:r>
          </w:p>
        </w:tc>
        <w:tc>
          <w:tcPr>
            <w:tcW w:w="0" w:type="auto"/>
            <w:shd w:val="clear" w:color="auto" w:fill="D9D9D9"/>
            <w:noWrap/>
          </w:tcPr>
          <w:p w:rsidR="00B951B1" w:rsidRPr="00E61612" w:rsidRDefault="00B951B1" w:rsidP="00CB78E6">
            <w:pPr>
              <w:spacing w:after="0"/>
              <w:jc w:val="right"/>
              <w:rPr>
                <w:rFonts w:eastAsia="Times New Roman" w:cs="Calibri"/>
                <w:b/>
                <w:color w:val="000000"/>
                <w:sz w:val="18"/>
                <w:szCs w:val="18"/>
              </w:rPr>
            </w:pPr>
            <w:r w:rsidRPr="00E61612">
              <w:rPr>
                <w:b/>
                <w:color w:val="000000"/>
                <w:sz w:val="20"/>
                <w:szCs w:val="20"/>
              </w:rPr>
              <w:t xml:space="preserve">    27,122,039 </w:t>
            </w:r>
          </w:p>
        </w:tc>
        <w:tc>
          <w:tcPr>
            <w:tcW w:w="0" w:type="auto"/>
            <w:shd w:val="clear" w:color="auto" w:fill="D9D9D9"/>
            <w:noWrap/>
          </w:tcPr>
          <w:p w:rsidR="00B951B1" w:rsidRPr="00E61612" w:rsidRDefault="00B951B1" w:rsidP="00CB78E6">
            <w:pPr>
              <w:spacing w:after="0"/>
              <w:jc w:val="right"/>
              <w:rPr>
                <w:rFonts w:eastAsia="Times New Roman" w:cs="Calibri"/>
                <w:b/>
                <w:color w:val="000000"/>
                <w:sz w:val="18"/>
                <w:szCs w:val="18"/>
              </w:rPr>
            </w:pPr>
            <w:r w:rsidRPr="00E61612">
              <w:rPr>
                <w:b/>
                <w:color w:val="000000"/>
                <w:sz w:val="20"/>
                <w:szCs w:val="20"/>
              </w:rPr>
              <w:t xml:space="preserve">        150,724 </w:t>
            </w:r>
          </w:p>
        </w:tc>
        <w:tc>
          <w:tcPr>
            <w:tcW w:w="0" w:type="auto"/>
            <w:shd w:val="clear" w:color="auto" w:fill="D9D9D9"/>
            <w:noWrap/>
          </w:tcPr>
          <w:p w:rsidR="00B951B1" w:rsidRPr="00E61612" w:rsidRDefault="00B951B1" w:rsidP="00CB78E6">
            <w:pPr>
              <w:spacing w:after="0"/>
              <w:jc w:val="right"/>
              <w:rPr>
                <w:rFonts w:eastAsia="Times New Roman" w:cs="Calibri"/>
                <w:b/>
                <w:color w:val="000000"/>
                <w:sz w:val="18"/>
                <w:szCs w:val="18"/>
              </w:rPr>
            </w:pPr>
            <w:r w:rsidRPr="00E61612">
              <w:rPr>
                <w:b/>
                <w:color w:val="000000"/>
                <w:sz w:val="20"/>
                <w:szCs w:val="20"/>
              </w:rPr>
              <w:t xml:space="preserve">      (8,303,462)</w:t>
            </w:r>
          </w:p>
        </w:tc>
      </w:tr>
    </w:tbl>
    <w:p w:rsidR="00B951B1" w:rsidRPr="00E61612" w:rsidRDefault="00B951B1" w:rsidP="00B951B1">
      <w:pPr>
        <w:autoSpaceDE w:val="0"/>
        <w:autoSpaceDN w:val="0"/>
        <w:adjustRightInd w:val="0"/>
        <w:spacing w:after="0"/>
        <w:rPr>
          <w:rFonts w:ascii="Calibri-Light" w:hAnsi="Calibri-Light" w:cs="Calibri-Light"/>
          <w:sz w:val="24"/>
          <w:szCs w:val="24"/>
        </w:rPr>
      </w:pPr>
    </w:p>
    <w:p w:rsidR="00B951B1" w:rsidRPr="00E61612" w:rsidRDefault="00B951B1" w:rsidP="00B951B1">
      <w:pPr>
        <w:rPr>
          <w:rFonts w:ascii="Cambria" w:eastAsia="MS Gothic" w:hAnsi="Cambria" w:cs="Times New Roman"/>
          <w:b/>
          <w:bCs/>
          <w:color w:val="365F91"/>
          <w:sz w:val="28"/>
          <w:szCs w:val="28"/>
        </w:rPr>
      </w:pPr>
      <w:r w:rsidRPr="00E61612">
        <w:rPr>
          <w:rFonts w:ascii="Cambria" w:eastAsia="MS Gothic" w:hAnsi="Cambria" w:cs="Times New Roman"/>
          <w:b/>
          <w:bCs/>
          <w:color w:val="365F91"/>
          <w:sz w:val="28"/>
          <w:szCs w:val="28"/>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50"/>
      </w:tblGrid>
      <w:tr w:rsidR="00B951B1" w:rsidRPr="00E61612" w:rsidTr="00CB78E6">
        <w:trPr>
          <w:trHeight w:val="375"/>
        </w:trPr>
        <w:tc>
          <w:tcPr>
            <w:tcW w:w="5000" w:type="pct"/>
            <w:shd w:val="clear" w:color="000000" w:fill="F2F2F2"/>
            <w:hideMark/>
          </w:tcPr>
          <w:p w:rsidR="00B951B1" w:rsidRPr="00E61612" w:rsidRDefault="00B951B1" w:rsidP="00CB78E6">
            <w:pPr>
              <w:spacing w:after="0"/>
              <w:jc w:val="center"/>
              <w:rPr>
                <w:rFonts w:eastAsia="Times New Roman" w:cs="Calibri"/>
                <w:b/>
                <w:bCs/>
                <w:color w:val="000000"/>
                <w:sz w:val="18"/>
                <w:szCs w:val="18"/>
              </w:rPr>
            </w:pPr>
            <w:r w:rsidRPr="00E61612">
              <w:rPr>
                <w:rFonts w:eastAsia="Times New Roman" w:cs="Calibri"/>
                <w:b/>
                <w:bCs/>
                <w:color w:val="000000"/>
                <w:sz w:val="18"/>
                <w:szCs w:val="18"/>
              </w:rPr>
              <w:lastRenderedPageBreak/>
              <w:t>PLANI I VEPRIMIT N</w:t>
            </w:r>
            <w:r>
              <w:rPr>
                <w:rFonts w:eastAsia="Times New Roman" w:cs="Calibri"/>
                <w:b/>
                <w:bCs/>
                <w:color w:val="000000"/>
                <w:sz w:val="18"/>
                <w:szCs w:val="18"/>
              </w:rPr>
              <w:t>Ë</w:t>
            </w:r>
            <w:r w:rsidRPr="00E61612">
              <w:rPr>
                <w:rFonts w:eastAsia="Times New Roman" w:cs="Calibri"/>
                <w:b/>
                <w:bCs/>
                <w:color w:val="000000"/>
                <w:sz w:val="18"/>
                <w:szCs w:val="18"/>
              </w:rPr>
              <w:t xml:space="preserve"> ZBATIM T</w:t>
            </w:r>
            <w:r>
              <w:rPr>
                <w:rFonts w:eastAsia="Times New Roman" w:cs="Calibri"/>
                <w:b/>
                <w:bCs/>
                <w:color w:val="000000"/>
                <w:sz w:val="18"/>
                <w:szCs w:val="18"/>
              </w:rPr>
              <w:t>Ë</w:t>
            </w:r>
            <w:r w:rsidRPr="00E61612">
              <w:rPr>
                <w:rFonts w:eastAsia="Times New Roman" w:cs="Calibri"/>
                <w:b/>
                <w:bCs/>
                <w:color w:val="000000"/>
                <w:sz w:val="18"/>
                <w:szCs w:val="18"/>
              </w:rPr>
              <w:t xml:space="preserve"> DOKUMENTIT STRATEGJIK   (2021-2026)</w:t>
            </w:r>
          </w:p>
        </w:tc>
      </w:tr>
      <w:tr w:rsidR="00B951B1" w:rsidRPr="00E61612" w:rsidTr="00CB78E6">
        <w:trPr>
          <w:trHeight w:val="504"/>
        </w:trPr>
        <w:tc>
          <w:tcPr>
            <w:tcW w:w="5000" w:type="pct"/>
            <w:shd w:val="clear" w:color="000000" w:fill="F2F2F2"/>
            <w:vAlign w:val="center"/>
            <w:hideMark/>
          </w:tcPr>
          <w:p w:rsidR="00B951B1" w:rsidRPr="00E61612" w:rsidRDefault="00B951B1" w:rsidP="00CB78E6">
            <w:pPr>
              <w:spacing w:after="0"/>
              <w:rPr>
                <w:rFonts w:eastAsia="Times New Roman" w:cs="Calibri"/>
                <w:b/>
                <w:bCs/>
                <w:color w:val="000000"/>
                <w:sz w:val="18"/>
                <w:szCs w:val="18"/>
              </w:rPr>
            </w:pPr>
            <w:r w:rsidRPr="00E61612">
              <w:rPr>
                <w:rFonts w:cs="Calibri"/>
                <w:b/>
                <w:bCs/>
                <w:color w:val="000000"/>
                <w:sz w:val="18"/>
              </w:rPr>
              <w:t>I. Q</w:t>
            </w:r>
            <w:r>
              <w:rPr>
                <w:rFonts w:cs="Calibri"/>
                <w:b/>
                <w:bCs/>
                <w:color w:val="000000"/>
                <w:sz w:val="18"/>
              </w:rPr>
              <w:t>Ë</w:t>
            </w:r>
            <w:r w:rsidRPr="00E61612">
              <w:rPr>
                <w:rFonts w:cs="Calibri"/>
                <w:b/>
                <w:bCs/>
                <w:color w:val="000000"/>
                <w:sz w:val="18"/>
              </w:rPr>
              <w:t xml:space="preserve">LLIMI STRATEGJIK </w:t>
            </w:r>
            <w:r w:rsidRPr="00E61612">
              <w:rPr>
                <w:rFonts w:cs="Calibri"/>
                <w:color w:val="000000"/>
                <w:sz w:val="18"/>
              </w:rPr>
              <w:t xml:space="preserve">“Sistem arsimor gjithëpërfshirës dhe i bazuar në parimet e barazisë dhe mësimit gjatë gjithë jetës, që mundëson formimin cilësor të të gjithë individëve, duke kontribuar në mirëqenien personale të tyre, si dhe në forcimin e demokracisë dhe integrimin e vendit në Bashkimin Evropian” </w:t>
            </w:r>
          </w:p>
        </w:tc>
      </w:tr>
      <w:tr w:rsidR="00B951B1" w:rsidRPr="00E61612" w:rsidTr="00CB78E6">
        <w:trPr>
          <w:trHeight w:val="425"/>
        </w:trPr>
        <w:tc>
          <w:tcPr>
            <w:tcW w:w="5000" w:type="pct"/>
            <w:shd w:val="clear" w:color="000000" w:fill="F2F2F2"/>
            <w:vAlign w:val="center"/>
            <w:hideMark/>
          </w:tcPr>
          <w:p w:rsidR="00B951B1" w:rsidRPr="00E61612" w:rsidRDefault="00B951B1" w:rsidP="00CB78E6">
            <w:pPr>
              <w:spacing w:after="0"/>
              <w:rPr>
                <w:rFonts w:eastAsia="Times New Roman" w:cs="Calibri"/>
                <w:b/>
                <w:bCs/>
                <w:color w:val="000000"/>
                <w:sz w:val="18"/>
                <w:szCs w:val="18"/>
              </w:rPr>
            </w:pPr>
            <w:r w:rsidRPr="00E61612">
              <w:rPr>
                <w:rFonts w:cs="Calibri"/>
                <w:b/>
                <w:bCs/>
                <w:color w:val="000000"/>
                <w:sz w:val="18"/>
              </w:rPr>
              <w:t xml:space="preserve">II. Qëllimi i politikës B: </w:t>
            </w:r>
            <w:r w:rsidRPr="00E61612">
              <w:rPr>
                <w:rFonts w:cs="Calibri"/>
                <w:color w:val="000000"/>
                <w:sz w:val="18"/>
              </w:rPr>
              <w:t xml:space="preserve">Menaxhim </w:t>
            </w:r>
            <w:r>
              <w:rPr>
                <w:rFonts w:cs="Calibri"/>
                <w:color w:val="000000"/>
                <w:sz w:val="18"/>
              </w:rPr>
              <w:t>efikas</w:t>
            </w:r>
            <w:r w:rsidRPr="00E61612">
              <w:rPr>
                <w:rFonts w:cs="Calibri"/>
                <w:color w:val="000000"/>
                <w:sz w:val="18"/>
              </w:rPr>
              <w:t xml:space="preserve"> dhe eficient i sistemit të arsimit në të gjitha nivelet, i bazuar në mekanizma funksionalë për sigurimin e cilësisë, transparencës dhe llogaridhënies</w:t>
            </w:r>
          </w:p>
        </w:tc>
      </w:tr>
      <w:tr w:rsidR="00B951B1" w:rsidRPr="00E61612" w:rsidTr="00CB78E6">
        <w:trPr>
          <w:trHeight w:val="390"/>
        </w:trPr>
        <w:tc>
          <w:tcPr>
            <w:tcW w:w="5000" w:type="pct"/>
            <w:shd w:val="clear" w:color="000000" w:fill="E7E6E6"/>
            <w:vAlign w:val="center"/>
            <w:hideMark/>
          </w:tcPr>
          <w:p w:rsidR="00B951B1" w:rsidRPr="00E61612" w:rsidRDefault="00B951B1" w:rsidP="00CB78E6">
            <w:pPr>
              <w:spacing w:after="0"/>
              <w:rPr>
                <w:rFonts w:eastAsia="Times New Roman" w:cs="Calibri"/>
                <w:b/>
                <w:bCs/>
                <w:color w:val="000000"/>
                <w:sz w:val="18"/>
                <w:szCs w:val="18"/>
              </w:rPr>
            </w:pPr>
            <w:r w:rsidRPr="00E61612">
              <w:rPr>
                <w:rFonts w:cs="Calibri"/>
                <w:b/>
                <w:bCs/>
                <w:color w:val="000000"/>
                <w:sz w:val="18"/>
              </w:rPr>
              <w:t xml:space="preserve">III. PROGRAMI BUXHETOR:  </w:t>
            </w:r>
            <w:r w:rsidRPr="00E61612">
              <w:rPr>
                <w:rFonts w:cs="Calibri"/>
                <w:color w:val="000000"/>
                <w:sz w:val="18"/>
              </w:rPr>
              <w:t>Programi buxhetor i MASR  “01110-Planifikimi, menaxhimi dhe administrimi”</w:t>
            </w:r>
          </w:p>
        </w:tc>
      </w:tr>
    </w:tbl>
    <w:p w:rsidR="00B951B1" w:rsidRPr="00E61612" w:rsidRDefault="00B951B1" w:rsidP="00B951B1"/>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5"/>
        <w:gridCol w:w="2704"/>
        <w:gridCol w:w="1274"/>
        <w:gridCol w:w="1279"/>
        <w:gridCol w:w="992"/>
        <w:gridCol w:w="1134"/>
        <w:gridCol w:w="1197"/>
        <w:gridCol w:w="1230"/>
        <w:gridCol w:w="1259"/>
        <w:gridCol w:w="1186"/>
      </w:tblGrid>
      <w:tr w:rsidR="00B951B1" w:rsidRPr="00E61612" w:rsidTr="00CB78E6">
        <w:trPr>
          <w:trHeight w:val="330"/>
          <w:tblHeader/>
        </w:trPr>
        <w:tc>
          <w:tcPr>
            <w:tcW w:w="268" w:type="pct"/>
            <w:vMerge w:val="restart"/>
            <w:shd w:val="clear" w:color="000000" w:fill="FFFFFF"/>
            <w:hideMark/>
          </w:tcPr>
          <w:p w:rsidR="00B951B1" w:rsidRPr="00E61612" w:rsidRDefault="00B951B1" w:rsidP="00CB78E6">
            <w:pPr>
              <w:spacing w:after="0"/>
              <w:jc w:val="center"/>
              <w:rPr>
                <w:rFonts w:eastAsia="Times New Roman" w:cs="Calibri"/>
                <w:b/>
                <w:bCs/>
                <w:color w:val="000000"/>
                <w:sz w:val="18"/>
                <w:szCs w:val="18"/>
              </w:rPr>
            </w:pPr>
            <w:r w:rsidRPr="00E61612">
              <w:rPr>
                <w:rFonts w:eastAsia="Times New Roman" w:cs="Calibri"/>
                <w:b/>
                <w:bCs/>
                <w:color w:val="000000"/>
                <w:sz w:val="18"/>
                <w:szCs w:val="18"/>
              </w:rPr>
              <w:t> </w:t>
            </w:r>
          </w:p>
          <w:p w:rsidR="00B951B1" w:rsidRPr="00E61612" w:rsidRDefault="00B951B1" w:rsidP="00CB78E6">
            <w:pPr>
              <w:spacing w:after="0"/>
              <w:jc w:val="center"/>
              <w:rPr>
                <w:rFonts w:eastAsia="Times New Roman" w:cs="Calibri"/>
                <w:b/>
                <w:bCs/>
                <w:color w:val="000000"/>
                <w:sz w:val="18"/>
                <w:szCs w:val="18"/>
              </w:rPr>
            </w:pPr>
            <w:r w:rsidRPr="00E61612">
              <w:rPr>
                <w:rFonts w:eastAsia="Times New Roman" w:cs="Calibri"/>
                <w:b/>
                <w:bCs/>
                <w:color w:val="000000"/>
                <w:sz w:val="18"/>
                <w:szCs w:val="18"/>
              </w:rPr>
              <w:t>Nr.</w:t>
            </w:r>
          </w:p>
        </w:tc>
        <w:tc>
          <w:tcPr>
            <w:tcW w:w="1044" w:type="pct"/>
            <w:vMerge w:val="restart"/>
            <w:shd w:val="clear" w:color="000000" w:fill="FFFFFF"/>
            <w:hideMark/>
          </w:tcPr>
          <w:p w:rsidR="00B951B1" w:rsidRPr="00E61612" w:rsidRDefault="00B951B1" w:rsidP="00CB78E6">
            <w:pPr>
              <w:spacing w:after="0"/>
              <w:jc w:val="center"/>
              <w:rPr>
                <w:rFonts w:eastAsia="Times New Roman" w:cs="Calibri"/>
                <w:b/>
                <w:bCs/>
                <w:color w:val="000000"/>
                <w:sz w:val="18"/>
                <w:szCs w:val="18"/>
              </w:rPr>
            </w:pPr>
            <w:r w:rsidRPr="00E61612">
              <w:rPr>
                <w:rFonts w:eastAsia="Times New Roman" w:cs="Calibri"/>
                <w:b/>
                <w:bCs/>
                <w:color w:val="000000"/>
                <w:sz w:val="18"/>
                <w:szCs w:val="18"/>
              </w:rPr>
              <w:t> </w:t>
            </w:r>
          </w:p>
          <w:p w:rsidR="00B951B1" w:rsidRPr="00E61612" w:rsidRDefault="00B951B1" w:rsidP="00CB78E6">
            <w:pPr>
              <w:spacing w:after="0"/>
              <w:jc w:val="center"/>
              <w:rPr>
                <w:rFonts w:eastAsia="Times New Roman" w:cs="Calibri"/>
                <w:b/>
                <w:bCs/>
                <w:color w:val="000000"/>
                <w:sz w:val="18"/>
                <w:szCs w:val="18"/>
              </w:rPr>
            </w:pPr>
            <w:r w:rsidRPr="00E61612">
              <w:rPr>
                <w:rFonts w:eastAsia="Times New Roman" w:cs="Calibri"/>
                <w:b/>
                <w:bCs/>
                <w:color w:val="000000"/>
                <w:sz w:val="18"/>
                <w:szCs w:val="18"/>
              </w:rPr>
              <w:t xml:space="preserve"> Objektivi specifik, produkti, </w:t>
            </w:r>
          </w:p>
          <w:p w:rsidR="00B951B1" w:rsidRPr="00E61612" w:rsidRDefault="00B951B1" w:rsidP="00CB78E6">
            <w:pPr>
              <w:spacing w:after="0"/>
              <w:jc w:val="center"/>
              <w:rPr>
                <w:rFonts w:eastAsia="Times New Roman" w:cs="Calibri"/>
                <w:b/>
                <w:bCs/>
                <w:color w:val="000000"/>
                <w:sz w:val="18"/>
                <w:szCs w:val="18"/>
              </w:rPr>
            </w:pPr>
            <w:r w:rsidRPr="00E61612">
              <w:rPr>
                <w:rFonts w:eastAsia="Times New Roman" w:cs="Calibri"/>
                <w:b/>
                <w:bCs/>
                <w:color w:val="000000"/>
                <w:sz w:val="18"/>
                <w:szCs w:val="18"/>
              </w:rPr>
              <w:t>masa</w:t>
            </w:r>
          </w:p>
        </w:tc>
        <w:tc>
          <w:tcPr>
            <w:tcW w:w="986" w:type="pct"/>
            <w:gridSpan w:val="2"/>
            <w:vMerge w:val="restart"/>
            <w:shd w:val="clear" w:color="000000" w:fill="FFFFFF"/>
            <w:hideMark/>
          </w:tcPr>
          <w:p w:rsidR="00B951B1" w:rsidRPr="00E61612" w:rsidRDefault="00B951B1" w:rsidP="00CB78E6">
            <w:pPr>
              <w:spacing w:after="0"/>
              <w:jc w:val="center"/>
              <w:rPr>
                <w:rFonts w:eastAsia="Times New Roman" w:cs="Calibri"/>
                <w:b/>
                <w:bCs/>
                <w:color w:val="000000"/>
                <w:sz w:val="18"/>
                <w:szCs w:val="18"/>
              </w:rPr>
            </w:pPr>
            <w:r w:rsidRPr="00E61612">
              <w:rPr>
                <w:rFonts w:eastAsia="Times New Roman" w:cs="Calibri"/>
                <w:b/>
                <w:bCs/>
                <w:color w:val="000000"/>
                <w:sz w:val="18"/>
                <w:szCs w:val="18"/>
              </w:rPr>
              <w:t> </w:t>
            </w:r>
          </w:p>
          <w:p w:rsidR="00B951B1" w:rsidRPr="00E61612" w:rsidRDefault="00B951B1" w:rsidP="00CB78E6">
            <w:pPr>
              <w:spacing w:after="0"/>
              <w:jc w:val="center"/>
              <w:rPr>
                <w:rFonts w:eastAsia="Times New Roman" w:cs="Calibri"/>
                <w:b/>
                <w:bCs/>
                <w:color w:val="000000"/>
                <w:sz w:val="18"/>
                <w:szCs w:val="18"/>
              </w:rPr>
            </w:pPr>
            <w:r w:rsidRPr="00E61612">
              <w:rPr>
                <w:rFonts w:eastAsia="Times New Roman" w:cs="Calibri"/>
                <w:b/>
                <w:bCs/>
                <w:color w:val="000000"/>
                <w:sz w:val="18"/>
                <w:szCs w:val="18"/>
              </w:rPr>
              <w:t> </w:t>
            </w:r>
          </w:p>
          <w:p w:rsidR="00B951B1" w:rsidRPr="00E61612" w:rsidRDefault="00B951B1" w:rsidP="00CB78E6">
            <w:pPr>
              <w:spacing w:after="0"/>
              <w:jc w:val="center"/>
              <w:rPr>
                <w:rFonts w:eastAsia="Times New Roman" w:cs="Calibri"/>
                <w:b/>
                <w:bCs/>
                <w:color w:val="000000"/>
                <w:sz w:val="18"/>
                <w:szCs w:val="18"/>
              </w:rPr>
            </w:pPr>
            <w:r w:rsidRPr="00E61612">
              <w:rPr>
                <w:rFonts w:eastAsia="Times New Roman" w:cs="Calibri"/>
                <w:b/>
                <w:bCs/>
                <w:color w:val="000000"/>
                <w:sz w:val="18"/>
                <w:szCs w:val="18"/>
              </w:rPr>
              <w:t xml:space="preserve">Institucionet përgjegjëse </w:t>
            </w:r>
          </w:p>
        </w:tc>
        <w:tc>
          <w:tcPr>
            <w:tcW w:w="821" w:type="pct"/>
            <w:gridSpan w:val="2"/>
            <w:vMerge w:val="restart"/>
            <w:shd w:val="clear" w:color="000000" w:fill="FFFFFF"/>
            <w:hideMark/>
          </w:tcPr>
          <w:p w:rsidR="00B951B1" w:rsidRPr="00E61612" w:rsidRDefault="00B951B1" w:rsidP="00CB78E6">
            <w:pPr>
              <w:spacing w:after="0"/>
              <w:jc w:val="center"/>
              <w:rPr>
                <w:rFonts w:eastAsia="Times New Roman" w:cs="Calibri"/>
                <w:b/>
                <w:bCs/>
                <w:color w:val="000000"/>
                <w:sz w:val="18"/>
                <w:szCs w:val="18"/>
              </w:rPr>
            </w:pPr>
            <w:r w:rsidRPr="00E61612">
              <w:rPr>
                <w:rFonts w:eastAsia="Times New Roman" w:cs="Calibri"/>
                <w:b/>
                <w:bCs/>
                <w:color w:val="000000"/>
                <w:sz w:val="18"/>
                <w:szCs w:val="18"/>
              </w:rPr>
              <w:t> </w:t>
            </w:r>
          </w:p>
          <w:p w:rsidR="00B951B1" w:rsidRPr="00E61612" w:rsidRDefault="00B951B1" w:rsidP="00CB78E6">
            <w:pPr>
              <w:spacing w:after="0"/>
              <w:jc w:val="center"/>
              <w:rPr>
                <w:rFonts w:eastAsia="Times New Roman" w:cs="Calibri"/>
                <w:b/>
                <w:bCs/>
                <w:color w:val="000000"/>
                <w:sz w:val="18"/>
                <w:szCs w:val="18"/>
              </w:rPr>
            </w:pPr>
            <w:r w:rsidRPr="00E61612">
              <w:rPr>
                <w:rFonts w:eastAsia="Times New Roman" w:cs="Calibri"/>
                <w:b/>
                <w:bCs/>
                <w:color w:val="000000"/>
                <w:sz w:val="18"/>
                <w:szCs w:val="18"/>
              </w:rPr>
              <w:t> </w:t>
            </w:r>
          </w:p>
          <w:p w:rsidR="00B951B1" w:rsidRPr="00E61612" w:rsidRDefault="00B951B1" w:rsidP="00CB78E6">
            <w:pPr>
              <w:spacing w:after="0"/>
              <w:jc w:val="center"/>
              <w:rPr>
                <w:rFonts w:eastAsia="Times New Roman" w:cs="Calibri"/>
                <w:b/>
                <w:bCs/>
                <w:color w:val="000000"/>
                <w:sz w:val="18"/>
                <w:szCs w:val="18"/>
              </w:rPr>
            </w:pPr>
            <w:r w:rsidRPr="00E61612">
              <w:rPr>
                <w:rFonts w:eastAsia="Times New Roman" w:cs="Calibri"/>
                <w:b/>
                <w:bCs/>
                <w:color w:val="000000"/>
                <w:sz w:val="18"/>
                <w:szCs w:val="18"/>
              </w:rPr>
              <w:t xml:space="preserve">Afati i zbatimit </w:t>
            </w:r>
          </w:p>
        </w:tc>
        <w:tc>
          <w:tcPr>
            <w:tcW w:w="1881" w:type="pct"/>
            <w:gridSpan w:val="4"/>
            <w:shd w:val="clear" w:color="000000" w:fill="FFFFFF"/>
            <w:hideMark/>
          </w:tcPr>
          <w:p w:rsidR="00B951B1" w:rsidRPr="00E61612" w:rsidRDefault="00B951B1" w:rsidP="00CB78E6">
            <w:pPr>
              <w:spacing w:after="0"/>
              <w:jc w:val="center"/>
              <w:rPr>
                <w:rFonts w:eastAsia="Times New Roman" w:cs="Calibri"/>
                <w:b/>
                <w:bCs/>
                <w:color w:val="000000"/>
                <w:sz w:val="18"/>
                <w:szCs w:val="18"/>
              </w:rPr>
            </w:pPr>
            <w:r w:rsidRPr="00E61612">
              <w:rPr>
                <w:rFonts w:eastAsia="Times New Roman" w:cs="Calibri"/>
                <w:b/>
                <w:bCs/>
                <w:color w:val="000000"/>
                <w:sz w:val="18"/>
                <w:szCs w:val="18"/>
              </w:rPr>
              <w:t>Totali 2021-2026</w:t>
            </w:r>
          </w:p>
        </w:tc>
      </w:tr>
      <w:tr w:rsidR="00B951B1" w:rsidRPr="00E61612" w:rsidTr="00CB78E6">
        <w:trPr>
          <w:trHeight w:val="408"/>
          <w:tblHeader/>
        </w:trPr>
        <w:tc>
          <w:tcPr>
            <w:tcW w:w="268" w:type="pct"/>
            <w:vMerge/>
            <w:shd w:val="clear" w:color="auto" w:fill="auto"/>
            <w:hideMark/>
          </w:tcPr>
          <w:p w:rsidR="00B951B1" w:rsidRPr="00E61612" w:rsidRDefault="00B951B1" w:rsidP="00CB78E6">
            <w:pPr>
              <w:spacing w:after="0"/>
              <w:jc w:val="center"/>
              <w:rPr>
                <w:rFonts w:eastAsia="Times New Roman" w:cs="Calibri"/>
                <w:b/>
                <w:bCs/>
                <w:color w:val="000000"/>
                <w:sz w:val="18"/>
                <w:szCs w:val="18"/>
              </w:rPr>
            </w:pPr>
          </w:p>
        </w:tc>
        <w:tc>
          <w:tcPr>
            <w:tcW w:w="1044" w:type="pct"/>
            <w:vMerge/>
            <w:shd w:val="clear" w:color="auto" w:fill="auto"/>
            <w:hideMark/>
          </w:tcPr>
          <w:p w:rsidR="00B951B1" w:rsidRPr="00E61612" w:rsidRDefault="00B951B1" w:rsidP="00CB78E6">
            <w:pPr>
              <w:spacing w:after="0"/>
              <w:jc w:val="center"/>
              <w:rPr>
                <w:rFonts w:eastAsia="Times New Roman" w:cs="Calibri"/>
                <w:b/>
                <w:bCs/>
                <w:color w:val="000000"/>
                <w:sz w:val="18"/>
                <w:szCs w:val="18"/>
              </w:rPr>
            </w:pPr>
          </w:p>
        </w:tc>
        <w:tc>
          <w:tcPr>
            <w:tcW w:w="986" w:type="pct"/>
            <w:gridSpan w:val="2"/>
            <w:vMerge/>
            <w:shd w:val="clear" w:color="auto" w:fill="auto"/>
            <w:hideMark/>
          </w:tcPr>
          <w:p w:rsidR="00B951B1" w:rsidRPr="00E61612" w:rsidRDefault="00B951B1" w:rsidP="00CB78E6">
            <w:pPr>
              <w:spacing w:after="0"/>
              <w:jc w:val="center"/>
              <w:rPr>
                <w:rFonts w:eastAsia="Times New Roman" w:cs="Calibri"/>
                <w:b/>
                <w:bCs/>
                <w:color w:val="000000"/>
                <w:sz w:val="18"/>
                <w:szCs w:val="18"/>
              </w:rPr>
            </w:pPr>
          </w:p>
        </w:tc>
        <w:tc>
          <w:tcPr>
            <w:tcW w:w="821" w:type="pct"/>
            <w:gridSpan w:val="2"/>
            <w:vMerge/>
            <w:shd w:val="clear" w:color="auto" w:fill="auto"/>
            <w:hideMark/>
          </w:tcPr>
          <w:p w:rsidR="00B951B1" w:rsidRPr="00E61612" w:rsidRDefault="00B951B1" w:rsidP="00CB78E6">
            <w:pPr>
              <w:spacing w:after="0"/>
              <w:jc w:val="center"/>
              <w:rPr>
                <w:rFonts w:eastAsia="Times New Roman" w:cs="Calibri"/>
                <w:b/>
                <w:bCs/>
                <w:color w:val="000000"/>
                <w:sz w:val="18"/>
                <w:szCs w:val="18"/>
              </w:rPr>
            </w:pPr>
          </w:p>
        </w:tc>
        <w:tc>
          <w:tcPr>
            <w:tcW w:w="462" w:type="pct"/>
            <w:vMerge w:val="restart"/>
            <w:shd w:val="clear" w:color="auto" w:fill="auto"/>
            <w:hideMark/>
          </w:tcPr>
          <w:p w:rsidR="00B951B1" w:rsidRPr="00E61612" w:rsidRDefault="00B951B1" w:rsidP="00CB78E6">
            <w:pPr>
              <w:spacing w:after="0"/>
              <w:jc w:val="center"/>
              <w:rPr>
                <w:rFonts w:eastAsia="Times New Roman" w:cs="Calibri"/>
                <w:b/>
                <w:bCs/>
                <w:color w:val="000000"/>
                <w:sz w:val="18"/>
                <w:szCs w:val="18"/>
              </w:rPr>
            </w:pPr>
            <w:r w:rsidRPr="00E61612">
              <w:rPr>
                <w:rFonts w:eastAsia="Times New Roman" w:cs="Calibri"/>
                <w:b/>
                <w:bCs/>
                <w:color w:val="000000"/>
                <w:sz w:val="18"/>
                <w:szCs w:val="18"/>
              </w:rPr>
              <w:t>Kosto indikative</w:t>
            </w:r>
          </w:p>
        </w:tc>
        <w:tc>
          <w:tcPr>
            <w:tcW w:w="961" w:type="pct"/>
            <w:gridSpan w:val="2"/>
            <w:shd w:val="clear" w:color="auto" w:fill="auto"/>
            <w:hideMark/>
          </w:tcPr>
          <w:p w:rsidR="00B951B1" w:rsidRPr="00E61612" w:rsidRDefault="00753C65" w:rsidP="00CB78E6">
            <w:pPr>
              <w:spacing w:after="0"/>
              <w:jc w:val="center"/>
              <w:rPr>
                <w:rFonts w:eastAsia="Times New Roman" w:cs="Calibri"/>
                <w:b/>
                <w:bCs/>
                <w:color w:val="000000"/>
                <w:sz w:val="18"/>
                <w:szCs w:val="18"/>
              </w:rPr>
            </w:pPr>
            <w:r>
              <w:rPr>
                <w:rFonts w:eastAsia="Times New Roman" w:cs="Calibri"/>
                <w:b/>
                <w:bCs/>
                <w:color w:val="000000"/>
                <w:sz w:val="18"/>
                <w:szCs w:val="18"/>
              </w:rPr>
              <w:t>Burimi i financimit</w:t>
            </w:r>
          </w:p>
        </w:tc>
        <w:tc>
          <w:tcPr>
            <w:tcW w:w="458" w:type="pct"/>
            <w:vMerge w:val="restart"/>
            <w:shd w:val="clear" w:color="auto" w:fill="auto"/>
            <w:hideMark/>
          </w:tcPr>
          <w:p w:rsidR="00B951B1" w:rsidRPr="00E61612" w:rsidRDefault="00B951B1" w:rsidP="00CB78E6">
            <w:pPr>
              <w:spacing w:after="0"/>
              <w:jc w:val="center"/>
              <w:rPr>
                <w:rFonts w:eastAsia="Times New Roman" w:cs="Calibri"/>
                <w:b/>
                <w:bCs/>
                <w:color w:val="000000"/>
                <w:sz w:val="18"/>
                <w:szCs w:val="18"/>
              </w:rPr>
            </w:pPr>
            <w:r w:rsidRPr="00E61612">
              <w:rPr>
                <w:rFonts w:eastAsia="Times New Roman" w:cs="Calibri"/>
                <w:b/>
                <w:bCs/>
                <w:color w:val="000000"/>
                <w:sz w:val="18"/>
                <w:szCs w:val="18"/>
              </w:rPr>
              <w:t>Hendeku financiar</w:t>
            </w:r>
          </w:p>
        </w:tc>
      </w:tr>
      <w:tr w:rsidR="00B951B1" w:rsidRPr="00E61612" w:rsidTr="00CB78E6">
        <w:trPr>
          <w:trHeight w:val="513"/>
          <w:tblHeader/>
        </w:trPr>
        <w:tc>
          <w:tcPr>
            <w:tcW w:w="268" w:type="pct"/>
            <w:vMerge/>
            <w:tcBorders>
              <w:bottom w:val="single" w:sz="4" w:space="0" w:color="auto"/>
            </w:tcBorders>
            <w:hideMark/>
          </w:tcPr>
          <w:p w:rsidR="00B951B1" w:rsidRPr="00E61612" w:rsidRDefault="00B951B1" w:rsidP="00CB78E6">
            <w:pPr>
              <w:spacing w:after="0"/>
              <w:rPr>
                <w:rFonts w:eastAsia="Times New Roman" w:cs="Calibri"/>
                <w:b/>
                <w:bCs/>
                <w:color w:val="000000"/>
                <w:sz w:val="18"/>
                <w:szCs w:val="18"/>
              </w:rPr>
            </w:pPr>
          </w:p>
        </w:tc>
        <w:tc>
          <w:tcPr>
            <w:tcW w:w="1044" w:type="pct"/>
            <w:vMerge/>
            <w:tcBorders>
              <w:bottom w:val="single" w:sz="4" w:space="0" w:color="auto"/>
            </w:tcBorders>
            <w:hideMark/>
          </w:tcPr>
          <w:p w:rsidR="00B951B1" w:rsidRPr="00E61612" w:rsidRDefault="00B951B1" w:rsidP="00CB78E6">
            <w:pPr>
              <w:spacing w:after="0"/>
              <w:rPr>
                <w:rFonts w:eastAsia="Times New Roman" w:cs="Calibri"/>
                <w:b/>
                <w:bCs/>
                <w:color w:val="000000"/>
                <w:sz w:val="18"/>
                <w:szCs w:val="18"/>
              </w:rPr>
            </w:pPr>
          </w:p>
        </w:tc>
        <w:tc>
          <w:tcPr>
            <w:tcW w:w="492" w:type="pct"/>
            <w:tcBorders>
              <w:bottom w:val="single" w:sz="4" w:space="0" w:color="auto"/>
            </w:tcBorders>
            <w:shd w:val="clear" w:color="auto" w:fill="auto"/>
            <w:hideMark/>
          </w:tcPr>
          <w:p w:rsidR="00B951B1" w:rsidRPr="00E61612" w:rsidRDefault="00B951B1" w:rsidP="00CB78E6">
            <w:pPr>
              <w:spacing w:after="0"/>
              <w:jc w:val="center"/>
              <w:rPr>
                <w:rFonts w:eastAsia="Times New Roman" w:cs="Calibri"/>
                <w:color w:val="000000"/>
                <w:sz w:val="18"/>
                <w:szCs w:val="18"/>
              </w:rPr>
            </w:pPr>
            <w:r w:rsidRPr="00E61612">
              <w:rPr>
                <w:rFonts w:eastAsia="Times New Roman" w:cs="Calibri"/>
                <w:b/>
                <w:bCs/>
                <w:color w:val="000000"/>
                <w:sz w:val="18"/>
                <w:szCs w:val="18"/>
              </w:rPr>
              <w:t>Institucioni udhëheqës</w:t>
            </w:r>
          </w:p>
        </w:tc>
        <w:tc>
          <w:tcPr>
            <w:tcW w:w="494" w:type="pct"/>
            <w:tcBorders>
              <w:bottom w:val="single" w:sz="4" w:space="0" w:color="auto"/>
            </w:tcBorders>
            <w:shd w:val="clear" w:color="auto" w:fill="auto"/>
            <w:hideMark/>
          </w:tcPr>
          <w:p w:rsidR="00B951B1" w:rsidRPr="00E61612" w:rsidRDefault="00B951B1" w:rsidP="00CB78E6">
            <w:pPr>
              <w:spacing w:after="0"/>
              <w:jc w:val="center"/>
              <w:rPr>
                <w:rFonts w:eastAsia="Times New Roman" w:cs="Calibri"/>
                <w:color w:val="000000"/>
                <w:sz w:val="18"/>
                <w:szCs w:val="18"/>
              </w:rPr>
            </w:pPr>
            <w:r w:rsidRPr="00E61612">
              <w:rPr>
                <w:rFonts w:eastAsia="Times New Roman" w:cs="Calibri"/>
                <w:b/>
                <w:bCs/>
                <w:color w:val="000000"/>
                <w:sz w:val="18"/>
                <w:szCs w:val="18"/>
              </w:rPr>
              <w:t>Institucion kontribues</w:t>
            </w:r>
            <w:r w:rsidRPr="00E61612">
              <w:rPr>
                <w:rFonts w:eastAsia="Times New Roman" w:cs="Calibri"/>
                <w:color w:val="000000"/>
                <w:sz w:val="18"/>
                <w:szCs w:val="18"/>
              </w:rPr>
              <w:t xml:space="preserve"> </w:t>
            </w:r>
          </w:p>
        </w:tc>
        <w:tc>
          <w:tcPr>
            <w:tcW w:w="383" w:type="pct"/>
            <w:tcBorders>
              <w:bottom w:val="single" w:sz="4" w:space="0" w:color="auto"/>
            </w:tcBorders>
            <w:shd w:val="clear" w:color="auto" w:fill="auto"/>
            <w:hideMark/>
          </w:tcPr>
          <w:p w:rsidR="00B951B1" w:rsidRPr="00E61612" w:rsidRDefault="00B951B1" w:rsidP="00CB78E6">
            <w:pPr>
              <w:spacing w:after="0"/>
              <w:jc w:val="center"/>
              <w:rPr>
                <w:rFonts w:eastAsia="Times New Roman" w:cs="Calibri"/>
                <w:b/>
                <w:bCs/>
                <w:color w:val="000000"/>
                <w:sz w:val="18"/>
                <w:szCs w:val="18"/>
              </w:rPr>
            </w:pPr>
            <w:r w:rsidRPr="00E61612">
              <w:rPr>
                <w:rFonts w:eastAsia="Times New Roman" w:cs="Calibri"/>
                <w:b/>
                <w:bCs/>
                <w:color w:val="000000"/>
                <w:sz w:val="18"/>
                <w:szCs w:val="18"/>
              </w:rPr>
              <w:t>Afati Fillimit</w:t>
            </w:r>
          </w:p>
        </w:tc>
        <w:tc>
          <w:tcPr>
            <w:tcW w:w="438" w:type="pct"/>
            <w:tcBorders>
              <w:bottom w:val="single" w:sz="4" w:space="0" w:color="auto"/>
            </w:tcBorders>
            <w:shd w:val="clear" w:color="auto" w:fill="auto"/>
            <w:hideMark/>
          </w:tcPr>
          <w:p w:rsidR="00B951B1" w:rsidRPr="00E61612" w:rsidRDefault="00B951B1" w:rsidP="00CB78E6">
            <w:pPr>
              <w:spacing w:after="0"/>
              <w:rPr>
                <w:rFonts w:eastAsia="Times New Roman" w:cs="Calibri"/>
                <w:b/>
                <w:bCs/>
                <w:color w:val="000000"/>
                <w:sz w:val="18"/>
                <w:szCs w:val="18"/>
              </w:rPr>
            </w:pPr>
            <w:r w:rsidRPr="00E61612">
              <w:rPr>
                <w:rFonts w:eastAsia="Times New Roman" w:cs="Calibri"/>
                <w:b/>
                <w:bCs/>
                <w:color w:val="000000"/>
                <w:sz w:val="18"/>
                <w:szCs w:val="18"/>
              </w:rPr>
              <w:t>Afati Mbarimit</w:t>
            </w:r>
          </w:p>
        </w:tc>
        <w:tc>
          <w:tcPr>
            <w:tcW w:w="462" w:type="pct"/>
            <w:vMerge/>
            <w:tcBorders>
              <w:bottom w:val="single" w:sz="4" w:space="0" w:color="auto"/>
            </w:tcBorders>
            <w:hideMark/>
          </w:tcPr>
          <w:p w:rsidR="00B951B1" w:rsidRPr="00E61612" w:rsidRDefault="00B951B1" w:rsidP="00CB78E6">
            <w:pPr>
              <w:spacing w:after="0"/>
              <w:jc w:val="right"/>
              <w:rPr>
                <w:rFonts w:eastAsia="Times New Roman" w:cs="Calibri"/>
                <w:b/>
                <w:bCs/>
                <w:color w:val="000000"/>
                <w:sz w:val="18"/>
                <w:szCs w:val="18"/>
              </w:rPr>
            </w:pPr>
          </w:p>
        </w:tc>
        <w:tc>
          <w:tcPr>
            <w:tcW w:w="475" w:type="pct"/>
            <w:tcBorders>
              <w:bottom w:val="single" w:sz="4" w:space="0" w:color="auto"/>
            </w:tcBorders>
            <w:shd w:val="clear" w:color="auto" w:fill="auto"/>
            <w:hideMark/>
          </w:tcPr>
          <w:p w:rsidR="00B951B1" w:rsidRPr="00E61612" w:rsidRDefault="00B951B1" w:rsidP="00CB78E6">
            <w:pPr>
              <w:spacing w:after="0"/>
              <w:jc w:val="center"/>
              <w:rPr>
                <w:rFonts w:eastAsia="Times New Roman" w:cs="Calibri"/>
                <w:b/>
                <w:bCs/>
                <w:color w:val="000000"/>
                <w:sz w:val="18"/>
                <w:szCs w:val="18"/>
              </w:rPr>
            </w:pPr>
            <w:r w:rsidRPr="00E61612">
              <w:rPr>
                <w:rFonts w:eastAsia="Times New Roman" w:cs="Calibri"/>
                <w:b/>
                <w:bCs/>
                <w:color w:val="000000"/>
                <w:sz w:val="18"/>
                <w:szCs w:val="18"/>
              </w:rPr>
              <w:t>Buxheti i Shtetit</w:t>
            </w:r>
          </w:p>
        </w:tc>
        <w:tc>
          <w:tcPr>
            <w:tcW w:w="486" w:type="pct"/>
            <w:tcBorders>
              <w:bottom w:val="single" w:sz="4" w:space="0" w:color="auto"/>
            </w:tcBorders>
            <w:shd w:val="clear" w:color="auto" w:fill="auto"/>
            <w:hideMark/>
          </w:tcPr>
          <w:p w:rsidR="00B951B1" w:rsidRPr="00E61612" w:rsidRDefault="00B951B1" w:rsidP="00CB78E6">
            <w:pPr>
              <w:spacing w:after="0"/>
              <w:jc w:val="center"/>
              <w:rPr>
                <w:rFonts w:eastAsia="Times New Roman" w:cs="Calibri"/>
                <w:b/>
                <w:bCs/>
                <w:color w:val="000000"/>
                <w:sz w:val="18"/>
                <w:szCs w:val="18"/>
              </w:rPr>
            </w:pPr>
            <w:r w:rsidRPr="00E61612">
              <w:rPr>
                <w:rFonts w:eastAsia="Times New Roman" w:cs="Calibri"/>
                <w:b/>
                <w:bCs/>
                <w:color w:val="000000"/>
                <w:sz w:val="18"/>
                <w:szCs w:val="18"/>
              </w:rPr>
              <w:t>Financimi i huaj</w:t>
            </w:r>
          </w:p>
        </w:tc>
        <w:tc>
          <w:tcPr>
            <w:tcW w:w="458" w:type="pct"/>
            <w:vMerge/>
            <w:tcBorders>
              <w:bottom w:val="single" w:sz="4" w:space="0" w:color="auto"/>
            </w:tcBorders>
            <w:hideMark/>
          </w:tcPr>
          <w:p w:rsidR="00B951B1" w:rsidRPr="00E61612" w:rsidRDefault="00B951B1" w:rsidP="00CB78E6">
            <w:pPr>
              <w:spacing w:after="0"/>
              <w:jc w:val="right"/>
              <w:rPr>
                <w:rFonts w:eastAsia="Times New Roman" w:cs="Calibri"/>
                <w:b/>
                <w:bCs/>
                <w:color w:val="000000"/>
                <w:sz w:val="18"/>
                <w:szCs w:val="18"/>
              </w:rPr>
            </w:pPr>
          </w:p>
        </w:tc>
      </w:tr>
      <w:tr w:rsidR="00B951B1" w:rsidRPr="00E61612" w:rsidTr="00CB78E6">
        <w:trPr>
          <w:trHeight w:val="528"/>
        </w:trPr>
        <w:tc>
          <w:tcPr>
            <w:tcW w:w="268" w:type="pct"/>
            <w:tcBorders>
              <w:bottom w:val="single" w:sz="4" w:space="0" w:color="auto"/>
            </w:tcBorders>
            <w:shd w:val="clear" w:color="auto" w:fill="D9D9D9"/>
          </w:tcPr>
          <w:p w:rsidR="00B951B1" w:rsidRPr="00E61612" w:rsidRDefault="00B951B1" w:rsidP="00CB78E6">
            <w:pPr>
              <w:spacing w:after="0"/>
              <w:jc w:val="center"/>
              <w:rPr>
                <w:rFonts w:eastAsia="Times New Roman" w:cs="Calibri"/>
                <w:b/>
                <w:bCs/>
                <w:color w:val="000000"/>
                <w:sz w:val="18"/>
                <w:szCs w:val="18"/>
              </w:rPr>
            </w:pPr>
            <w:r w:rsidRPr="00E61612">
              <w:rPr>
                <w:rFonts w:cs="Calibri"/>
                <w:b/>
                <w:bCs/>
                <w:color w:val="000000"/>
                <w:sz w:val="18"/>
                <w:szCs w:val="18"/>
              </w:rPr>
              <w:t>B1</w:t>
            </w:r>
          </w:p>
        </w:tc>
        <w:tc>
          <w:tcPr>
            <w:tcW w:w="1044" w:type="pct"/>
            <w:tcBorders>
              <w:bottom w:val="single" w:sz="4" w:space="0" w:color="auto"/>
            </w:tcBorders>
            <w:shd w:val="clear" w:color="auto" w:fill="D9D9D9"/>
          </w:tcPr>
          <w:p w:rsidR="00B951B1" w:rsidRPr="00E61612" w:rsidRDefault="00B951B1" w:rsidP="00CB78E6">
            <w:pPr>
              <w:spacing w:after="0"/>
              <w:rPr>
                <w:rFonts w:eastAsia="Times New Roman" w:cs="Calibri"/>
                <w:sz w:val="18"/>
                <w:szCs w:val="18"/>
              </w:rPr>
            </w:pPr>
            <w:r w:rsidRPr="00E61612">
              <w:rPr>
                <w:rFonts w:cs="Calibri"/>
                <w:sz w:val="18"/>
                <w:szCs w:val="18"/>
              </w:rPr>
              <w:t>Rritja e performancës së shkollës përmes drejtimit dhe menaxhimit profesional dhe të përgjegjshëm dhe sigurimit të cilësisë</w:t>
            </w:r>
          </w:p>
        </w:tc>
        <w:tc>
          <w:tcPr>
            <w:tcW w:w="492" w:type="pct"/>
            <w:tcBorders>
              <w:bottom w:val="single" w:sz="4" w:space="0" w:color="auto"/>
            </w:tcBorders>
            <w:shd w:val="clear" w:color="auto" w:fill="D9D9D9"/>
          </w:tcPr>
          <w:p w:rsidR="00B951B1" w:rsidRPr="00E61612" w:rsidRDefault="00B951B1" w:rsidP="00CB78E6">
            <w:pPr>
              <w:spacing w:after="0"/>
              <w:jc w:val="center"/>
              <w:rPr>
                <w:rFonts w:eastAsia="Times New Roman" w:cs="Calibri"/>
                <w:color w:val="000000"/>
                <w:sz w:val="18"/>
                <w:szCs w:val="18"/>
              </w:rPr>
            </w:pPr>
            <w:r w:rsidRPr="00E61612">
              <w:rPr>
                <w:rFonts w:cs="Calibri"/>
                <w:color w:val="000000"/>
                <w:sz w:val="18"/>
                <w:szCs w:val="18"/>
              </w:rPr>
              <w:t>MASR, ASCAP, DPAP</w:t>
            </w:r>
          </w:p>
        </w:tc>
        <w:tc>
          <w:tcPr>
            <w:tcW w:w="494" w:type="pct"/>
            <w:tcBorders>
              <w:bottom w:val="single" w:sz="4" w:space="0" w:color="auto"/>
            </w:tcBorders>
            <w:shd w:val="clear" w:color="auto" w:fill="D9D9D9"/>
          </w:tcPr>
          <w:p w:rsidR="00B951B1" w:rsidRPr="00E61612" w:rsidRDefault="00B951B1" w:rsidP="00CB78E6">
            <w:pPr>
              <w:spacing w:after="0"/>
              <w:jc w:val="center"/>
              <w:rPr>
                <w:rFonts w:eastAsia="Times New Roman" w:cs="Calibri"/>
                <w:color w:val="000000"/>
                <w:sz w:val="18"/>
                <w:szCs w:val="18"/>
              </w:rPr>
            </w:pPr>
            <w:r w:rsidRPr="00E61612">
              <w:rPr>
                <w:rFonts w:cs="Calibri"/>
                <w:color w:val="000000"/>
                <w:sz w:val="18"/>
                <w:szCs w:val="18"/>
              </w:rPr>
              <w:t>ASCAP, DPAP</w:t>
            </w:r>
          </w:p>
        </w:tc>
        <w:tc>
          <w:tcPr>
            <w:tcW w:w="383" w:type="pct"/>
            <w:tcBorders>
              <w:bottom w:val="single" w:sz="4" w:space="0" w:color="auto"/>
            </w:tcBorders>
            <w:shd w:val="clear" w:color="auto" w:fill="D9D9D9"/>
          </w:tcPr>
          <w:p w:rsidR="00B951B1" w:rsidRPr="00E61612" w:rsidRDefault="00B951B1" w:rsidP="00CB78E6">
            <w:pPr>
              <w:spacing w:after="0"/>
              <w:jc w:val="center"/>
              <w:rPr>
                <w:rFonts w:eastAsia="Times New Roman" w:cs="Calibri"/>
                <w:color w:val="000000"/>
                <w:sz w:val="18"/>
                <w:szCs w:val="18"/>
              </w:rPr>
            </w:pPr>
            <w:r w:rsidRPr="00E61612">
              <w:rPr>
                <w:rFonts w:cs="Calibri"/>
                <w:color w:val="000000"/>
                <w:sz w:val="18"/>
                <w:szCs w:val="18"/>
              </w:rPr>
              <w:t>TM1-2021</w:t>
            </w:r>
          </w:p>
        </w:tc>
        <w:tc>
          <w:tcPr>
            <w:tcW w:w="438" w:type="pct"/>
            <w:tcBorders>
              <w:bottom w:val="single" w:sz="4" w:space="0" w:color="auto"/>
            </w:tcBorders>
            <w:shd w:val="clear" w:color="auto" w:fill="D9D9D9"/>
          </w:tcPr>
          <w:p w:rsidR="00B951B1" w:rsidRPr="00E61612" w:rsidRDefault="00B951B1" w:rsidP="00CB78E6">
            <w:pPr>
              <w:spacing w:after="0"/>
              <w:jc w:val="center"/>
              <w:rPr>
                <w:rFonts w:eastAsia="Times New Roman" w:cs="Calibri"/>
                <w:color w:val="000000"/>
                <w:sz w:val="18"/>
                <w:szCs w:val="18"/>
              </w:rPr>
            </w:pPr>
            <w:r w:rsidRPr="00E61612">
              <w:rPr>
                <w:rFonts w:cs="Calibri"/>
                <w:color w:val="000000"/>
                <w:sz w:val="18"/>
                <w:szCs w:val="18"/>
              </w:rPr>
              <w:t>TM4-2026</w:t>
            </w:r>
          </w:p>
        </w:tc>
        <w:tc>
          <w:tcPr>
            <w:tcW w:w="462" w:type="pct"/>
            <w:tcBorders>
              <w:bottom w:val="single" w:sz="4" w:space="0" w:color="auto"/>
            </w:tcBorders>
            <w:shd w:val="clear" w:color="auto" w:fill="D9D9D9"/>
            <w:noWrap/>
          </w:tcPr>
          <w:p w:rsidR="00B951B1" w:rsidRPr="00E61612" w:rsidRDefault="00B951B1" w:rsidP="00CB78E6">
            <w:pPr>
              <w:spacing w:after="0"/>
              <w:jc w:val="right"/>
              <w:rPr>
                <w:rFonts w:eastAsia="Times New Roman" w:cs="Calibri"/>
                <w:color w:val="000000"/>
                <w:sz w:val="18"/>
                <w:szCs w:val="18"/>
              </w:rPr>
            </w:pPr>
            <w:r w:rsidRPr="00E61612">
              <w:rPr>
                <w:rFonts w:cs="Calibri"/>
                <w:color w:val="000000"/>
                <w:sz w:val="18"/>
                <w:szCs w:val="18"/>
              </w:rPr>
              <w:t>21,256</w:t>
            </w:r>
          </w:p>
        </w:tc>
        <w:tc>
          <w:tcPr>
            <w:tcW w:w="475" w:type="pct"/>
            <w:tcBorders>
              <w:bottom w:val="single" w:sz="4" w:space="0" w:color="auto"/>
            </w:tcBorders>
            <w:shd w:val="clear" w:color="auto" w:fill="D9D9D9"/>
            <w:noWrap/>
          </w:tcPr>
          <w:p w:rsidR="00B951B1" w:rsidRPr="00E61612" w:rsidRDefault="00B951B1" w:rsidP="00CB78E6">
            <w:pPr>
              <w:spacing w:after="0"/>
              <w:jc w:val="right"/>
              <w:rPr>
                <w:rFonts w:eastAsia="Times New Roman" w:cs="Calibri"/>
                <w:color w:val="000000"/>
                <w:sz w:val="18"/>
                <w:szCs w:val="18"/>
              </w:rPr>
            </w:pPr>
            <w:r w:rsidRPr="00E61612">
              <w:rPr>
                <w:rFonts w:cs="Calibri"/>
                <w:color w:val="000000"/>
                <w:sz w:val="18"/>
                <w:szCs w:val="18"/>
              </w:rPr>
              <w:t>-</w:t>
            </w:r>
          </w:p>
        </w:tc>
        <w:tc>
          <w:tcPr>
            <w:tcW w:w="486" w:type="pct"/>
            <w:tcBorders>
              <w:bottom w:val="single" w:sz="4" w:space="0" w:color="auto"/>
            </w:tcBorders>
            <w:shd w:val="clear" w:color="auto" w:fill="D9D9D9"/>
            <w:noWrap/>
          </w:tcPr>
          <w:p w:rsidR="00B951B1" w:rsidRPr="00E61612" w:rsidRDefault="00B951B1" w:rsidP="00CB78E6">
            <w:pPr>
              <w:spacing w:after="0"/>
              <w:jc w:val="right"/>
              <w:rPr>
                <w:rFonts w:eastAsia="Times New Roman" w:cs="Calibri"/>
                <w:color w:val="000000"/>
                <w:sz w:val="18"/>
                <w:szCs w:val="18"/>
              </w:rPr>
            </w:pPr>
            <w:r w:rsidRPr="00E61612">
              <w:rPr>
                <w:rFonts w:cs="Calibri"/>
                <w:color w:val="000000"/>
                <w:sz w:val="18"/>
                <w:szCs w:val="18"/>
              </w:rPr>
              <w:t>10,032</w:t>
            </w:r>
          </w:p>
        </w:tc>
        <w:tc>
          <w:tcPr>
            <w:tcW w:w="458" w:type="pct"/>
            <w:tcBorders>
              <w:bottom w:val="single" w:sz="4" w:space="0" w:color="auto"/>
            </w:tcBorders>
            <w:shd w:val="clear" w:color="auto" w:fill="D9D9D9"/>
            <w:noWrap/>
          </w:tcPr>
          <w:p w:rsidR="00B951B1" w:rsidRPr="00E61612" w:rsidRDefault="00B951B1" w:rsidP="00CB78E6">
            <w:pPr>
              <w:spacing w:after="0"/>
              <w:jc w:val="right"/>
              <w:rPr>
                <w:rFonts w:eastAsia="Times New Roman" w:cs="Calibri"/>
                <w:color w:val="000000"/>
                <w:sz w:val="18"/>
                <w:szCs w:val="18"/>
              </w:rPr>
            </w:pPr>
            <w:r w:rsidRPr="00E61612">
              <w:rPr>
                <w:rFonts w:cs="Calibri"/>
                <w:color w:val="000000"/>
                <w:sz w:val="18"/>
                <w:szCs w:val="18"/>
              </w:rPr>
              <w:t>(11,224)</w:t>
            </w:r>
          </w:p>
        </w:tc>
      </w:tr>
      <w:tr w:rsidR="00B951B1" w:rsidRPr="00E61612" w:rsidTr="00CB78E6">
        <w:trPr>
          <w:trHeight w:val="564"/>
        </w:trPr>
        <w:tc>
          <w:tcPr>
            <w:tcW w:w="268" w:type="pct"/>
            <w:shd w:val="clear" w:color="auto" w:fill="F2F2F2"/>
          </w:tcPr>
          <w:p w:rsidR="00B951B1" w:rsidRPr="00E61612" w:rsidRDefault="00B951B1" w:rsidP="00CB78E6">
            <w:pPr>
              <w:spacing w:after="0"/>
              <w:jc w:val="center"/>
              <w:rPr>
                <w:rFonts w:eastAsia="Times New Roman" w:cs="Calibri"/>
                <w:b/>
                <w:bCs/>
                <w:color w:val="000000"/>
                <w:sz w:val="18"/>
                <w:szCs w:val="18"/>
              </w:rPr>
            </w:pPr>
            <w:r w:rsidRPr="00E61612">
              <w:rPr>
                <w:rFonts w:cs="Calibri"/>
                <w:b/>
                <w:bCs/>
                <w:color w:val="000000"/>
                <w:sz w:val="18"/>
                <w:szCs w:val="18"/>
              </w:rPr>
              <w:t>B1.1</w:t>
            </w:r>
          </w:p>
        </w:tc>
        <w:tc>
          <w:tcPr>
            <w:tcW w:w="1044" w:type="pct"/>
            <w:shd w:val="clear" w:color="auto" w:fill="F2F2F2"/>
          </w:tcPr>
          <w:p w:rsidR="00B951B1" w:rsidRPr="00E61612" w:rsidRDefault="00B951B1" w:rsidP="00CB78E6">
            <w:pPr>
              <w:spacing w:after="0"/>
              <w:rPr>
                <w:rFonts w:eastAsia="Times New Roman" w:cs="Calibri"/>
                <w:sz w:val="18"/>
                <w:szCs w:val="18"/>
              </w:rPr>
            </w:pPr>
            <w:r w:rsidRPr="00E61612">
              <w:rPr>
                <w:rFonts w:cs="Calibri"/>
                <w:sz w:val="18"/>
                <w:szCs w:val="18"/>
              </w:rPr>
              <w:t xml:space="preserve">Rritja e kapaciteteve inspektuese/monitoruese me fokus </w:t>
            </w:r>
            <w:r>
              <w:rPr>
                <w:rFonts w:cs="Calibri"/>
                <w:sz w:val="18"/>
                <w:szCs w:val="18"/>
              </w:rPr>
              <w:t>te rritja</w:t>
            </w:r>
            <w:r w:rsidRPr="00E61612">
              <w:rPr>
                <w:rFonts w:cs="Calibri"/>
                <w:sz w:val="18"/>
                <w:szCs w:val="18"/>
              </w:rPr>
              <w:t xml:space="preserve"> e cilësisë</w:t>
            </w:r>
          </w:p>
        </w:tc>
        <w:tc>
          <w:tcPr>
            <w:tcW w:w="492" w:type="pct"/>
            <w:shd w:val="clear" w:color="auto" w:fill="F2F2F2"/>
          </w:tcPr>
          <w:p w:rsidR="00B951B1" w:rsidRPr="00E61612" w:rsidRDefault="00B951B1" w:rsidP="00CB78E6">
            <w:pPr>
              <w:spacing w:after="0"/>
              <w:jc w:val="center"/>
              <w:rPr>
                <w:rFonts w:eastAsia="Times New Roman" w:cs="Calibri"/>
                <w:color w:val="000000"/>
                <w:sz w:val="18"/>
                <w:szCs w:val="18"/>
              </w:rPr>
            </w:pPr>
            <w:r w:rsidRPr="00E61612">
              <w:rPr>
                <w:rFonts w:cs="Calibri"/>
                <w:color w:val="000000"/>
                <w:sz w:val="18"/>
                <w:szCs w:val="18"/>
              </w:rPr>
              <w:t>ASCAP</w:t>
            </w:r>
          </w:p>
        </w:tc>
        <w:tc>
          <w:tcPr>
            <w:tcW w:w="494" w:type="pct"/>
            <w:shd w:val="clear" w:color="auto" w:fill="F2F2F2"/>
          </w:tcPr>
          <w:p w:rsidR="00B951B1" w:rsidRPr="00E61612" w:rsidRDefault="00B951B1" w:rsidP="00CB78E6">
            <w:pPr>
              <w:spacing w:after="0"/>
              <w:jc w:val="center"/>
              <w:rPr>
                <w:rFonts w:eastAsia="Times New Roman" w:cs="Calibri"/>
                <w:color w:val="000000"/>
                <w:sz w:val="18"/>
                <w:szCs w:val="18"/>
              </w:rPr>
            </w:pPr>
            <w:r w:rsidRPr="00E61612">
              <w:rPr>
                <w:rFonts w:cs="Calibri"/>
                <w:color w:val="000000"/>
                <w:sz w:val="18"/>
                <w:szCs w:val="18"/>
              </w:rPr>
              <w:t> </w:t>
            </w:r>
          </w:p>
        </w:tc>
        <w:tc>
          <w:tcPr>
            <w:tcW w:w="383" w:type="pct"/>
            <w:shd w:val="clear" w:color="auto" w:fill="F2F2F2"/>
          </w:tcPr>
          <w:p w:rsidR="00B951B1" w:rsidRPr="00E61612" w:rsidRDefault="00B951B1" w:rsidP="00CB78E6">
            <w:pPr>
              <w:spacing w:after="0"/>
              <w:jc w:val="center"/>
              <w:rPr>
                <w:rFonts w:eastAsia="Times New Roman" w:cs="Calibri"/>
                <w:color w:val="000000"/>
                <w:sz w:val="18"/>
                <w:szCs w:val="18"/>
              </w:rPr>
            </w:pPr>
            <w:r w:rsidRPr="00E61612">
              <w:rPr>
                <w:rFonts w:cs="Calibri"/>
                <w:color w:val="000000"/>
                <w:sz w:val="18"/>
                <w:szCs w:val="18"/>
              </w:rPr>
              <w:t>TM2-2022</w:t>
            </w:r>
          </w:p>
        </w:tc>
        <w:tc>
          <w:tcPr>
            <w:tcW w:w="438" w:type="pct"/>
            <w:shd w:val="clear" w:color="auto" w:fill="F2F2F2"/>
          </w:tcPr>
          <w:p w:rsidR="00B951B1" w:rsidRPr="00E61612" w:rsidRDefault="00B951B1" w:rsidP="00CB78E6">
            <w:pPr>
              <w:spacing w:after="0"/>
              <w:jc w:val="center"/>
              <w:rPr>
                <w:rFonts w:eastAsia="Times New Roman" w:cs="Calibri"/>
                <w:color w:val="000000"/>
                <w:sz w:val="18"/>
                <w:szCs w:val="18"/>
              </w:rPr>
            </w:pPr>
            <w:r w:rsidRPr="00E61612">
              <w:rPr>
                <w:rFonts w:cs="Calibri"/>
                <w:color w:val="000000"/>
                <w:sz w:val="18"/>
                <w:szCs w:val="18"/>
              </w:rPr>
              <w:t>TM2-2026</w:t>
            </w:r>
          </w:p>
        </w:tc>
        <w:tc>
          <w:tcPr>
            <w:tcW w:w="462" w:type="pct"/>
            <w:shd w:val="clear" w:color="auto" w:fill="F2F2F2"/>
            <w:noWrap/>
          </w:tcPr>
          <w:p w:rsidR="00B951B1" w:rsidRPr="00E61612" w:rsidRDefault="00B951B1" w:rsidP="00CB78E6">
            <w:pPr>
              <w:spacing w:after="0"/>
              <w:jc w:val="right"/>
              <w:rPr>
                <w:rFonts w:eastAsia="Times New Roman" w:cs="Calibri"/>
                <w:color w:val="000000"/>
                <w:sz w:val="18"/>
                <w:szCs w:val="18"/>
              </w:rPr>
            </w:pPr>
            <w:r w:rsidRPr="00E61612">
              <w:rPr>
                <w:rFonts w:cs="Calibri"/>
                <w:color w:val="000000"/>
                <w:sz w:val="18"/>
                <w:szCs w:val="18"/>
              </w:rPr>
              <w:t>3,210</w:t>
            </w:r>
          </w:p>
        </w:tc>
        <w:tc>
          <w:tcPr>
            <w:tcW w:w="475" w:type="pct"/>
            <w:shd w:val="clear" w:color="auto" w:fill="F2F2F2"/>
            <w:noWrap/>
          </w:tcPr>
          <w:p w:rsidR="00B951B1" w:rsidRPr="00E61612" w:rsidRDefault="00B951B1" w:rsidP="00CB78E6">
            <w:pPr>
              <w:spacing w:after="0"/>
              <w:jc w:val="right"/>
              <w:rPr>
                <w:rFonts w:eastAsia="Times New Roman" w:cs="Calibri"/>
                <w:color w:val="000000"/>
                <w:sz w:val="18"/>
                <w:szCs w:val="18"/>
              </w:rPr>
            </w:pPr>
            <w:r w:rsidRPr="00E61612">
              <w:rPr>
                <w:rFonts w:cs="Calibri"/>
                <w:color w:val="000000"/>
                <w:sz w:val="18"/>
                <w:szCs w:val="18"/>
              </w:rPr>
              <w:t>-</w:t>
            </w:r>
          </w:p>
        </w:tc>
        <w:tc>
          <w:tcPr>
            <w:tcW w:w="486" w:type="pct"/>
            <w:shd w:val="clear" w:color="auto" w:fill="F2F2F2"/>
            <w:noWrap/>
          </w:tcPr>
          <w:p w:rsidR="00B951B1" w:rsidRPr="00E61612" w:rsidRDefault="00B951B1" w:rsidP="00CB78E6">
            <w:pPr>
              <w:spacing w:after="0"/>
              <w:jc w:val="right"/>
              <w:rPr>
                <w:rFonts w:eastAsia="Times New Roman" w:cs="Calibri"/>
                <w:color w:val="000000"/>
                <w:sz w:val="18"/>
                <w:szCs w:val="18"/>
              </w:rPr>
            </w:pPr>
            <w:r w:rsidRPr="00E61612">
              <w:rPr>
                <w:rFonts w:cs="Calibri"/>
                <w:color w:val="000000"/>
                <w:sz w:val="18"/>
                <w:szCs w:val="18"/>
              </w:rPr>
              <w:t>-</w:t>
            </w:r>
          </w:p>
        </w:tc>
        <w:tc>
          <w:tcPr>
            <w:tcW w:w="458" w:type="pct"/>
            <w:shd w:val="clear" w:color="auto" w:fill="F2F2F2"/>
            <w:noWrap/>
          </w:tcPr>
          <w:p w:rsidR="00B951B1" w:rsidRPr="00E61612" w:rsidRDefault="00B951B1" w:rsidP="00CB78E6">
            <w:pPr>
              <w:spacing w:after="0"/>
              <w:jc w:val="right"/>
              <w:rPr>
                <w:rFonts w:eastAsia="Times New Roman" w:cs="Calibri"/>
                <w:color w:val="000000"/>
                <w:sz w:val="18"/>
                <w:szCs w:val="18"/>
              </w:rPr>
            </w:pPr>
            <w:r w:rsidRPr="00E61612">
              <w:rPr>
                <w:rFonts w:cs="Calibri"/>
                <w:color w:val="000000"/>
                <w:sz w:val="18"/>
                <w:szCs w:val="18"/>
              </w:rPr>
              <w:t>(3,210)</w:t>
            </w:r>
          </w:p>
        </w:tc>
      </w:tr>
      <w:tr w:rsidR="00B951B1" w:rsidRPr="00E61612" w:rsidTr="00CB78E6">
        <w:trPr>
          <w:trHeight w:val="394"/>
        </w:trPr>
        <w:tc>
          <w:tcPr>
            <w:tcW w:w="268" w:type="pct"/>
            <w:tcBorders>
              <w:bottom w:val="single" w:sz="4" w:space="0" w:color="auto"/>
            </w:tcBorders>
            <w:shd w:val="clear" w:color="auto" w:fill="auto"/>
          </w:tcPr>
          <w:p w:rsidR="00B951B1" w:rsidRPr="00E61612" w:rsidRDefault="00B951B1" w:rsidP="00CB78E6">
            <w:pPr>
              <w:spacing w:after="0"/>
              <w:jc w:val="center"/>
              <w:rPr>
                <w:rFonts w:eastAsia="Times New Roman" w:cs="Calibri"/>
                <w:b/>
                <w:bCs/>
                <w:color w:val="000000"/>
                <w:sz w:val="18"/>
                <w:szCs w:val="18"/>
              </w:rPr>
            </w:pPr>
            <w:r w:rsidRPr="00E61612">
              <w:rPr>
                <w:rFonts w:cs="Calibri"/>
                <w:b/>
                <w:bCs/>
                <w:color w:val="000000"/>
                <w:sz w:val="18"/>
                <w:szCs w:val="18"/>
              </w:rPr>
              <w:t>B1.1.1</w:t>
            </w:r>
          </w:p>
        </w:tc>
        <w:tc>
          <w:tcPr>
            <w:tcW w:w="1044" w:type="pct"/>
            <w:tcBorders>
              <w:bottom w:val="single" w:sz="4" w:space="0" w:color="auto"/>
            </w:tcBorders>
            <w:shd w:val="clear" w:color="auto" w:fill="auto"/>
          </w:tcPr>
          <w:p w:rsidR="00B951B1" w:rsidRPr="00E61612" w:rsidRDefault="00B951B1" w:rsidP="00CB78E6">
            <w:pPr>
              <w:spacing w:after="0"/>
              <w:rPr>
                <w:rFonts w:eastAsia="Times New Roman" w:cs="Calibri"/>
                <w:sz w:val="18"/>
                <w:szCs w:val="18"/>
              </w:rPr>
            </w:pPr>
            <w:r w:rsidRPr="00E61612">
              <w:rPr>
                <w:rFonts w:cs="Calibri"/>
                <w:sz w:val="18"/>
                <w:szCs w:val="18"/>
              </w:rPr>
              <w:t>Trajnimi i inspektorëve</w:t>
            </w:r>
          </w:p>
        </w:tc>
        <w:tc>
          <w:tcPr>
            <w:tcW w:w="492" w:type="pct"/>
            <w:tcBorders>
              <w:bottom w:val="single" w:sz="4" w:space="0" w:color="auto"/>
            </w:tcBorders>
            <w:shd w:val="clear" w:color="auto" w:fill="auto"/>
          </w:tcPr>
          <w:p w:rsidR="00B951B1" w:rsidRPr="00E61612" w:rsidRDefault="00B951B1" w:rsidP="00CB78E6">
            <w:pPr>
              <w:spacing w:after="0"/>
              <w:jc w:val="center"/>
              <w:rPr>
                <w:rFonts w:eastAsia="Times New Roman" w:cs="Calibri"/>
                <w:color w:val="000000"/>
                <w:sz w:val="18"/>
                <w:szCs w:val="18"/>
              </w:rPr>
            </w:pPr>
            <w:r w:rsidRPr="00E61612">
              <w:rPr>
                <w:rFonts w:cs="Calibri"/>
                <w:color w:val="000000"/>
                <w:sz w:val="18"/>
                <w:szCs w:val="18"/>
              </w:rPr>
              <w:t>ASCAP</w:t>
            </w:r>
          </w:p>
        </w:tc>
        <w:tc>
          <w:tcPr>
            <w:tcW w:w="494" w:type="pct"/>
            <w:tcBorders>
              <w:bottom w:val="single" w:sz="4" w:space="0" w:color="auto"/>
            </w:tcBorders>
            <w:shd w:val="clear" w:color="auto" w:fill="auto"/>
          </w:tcPr>
          <w:p w:rsidR="00B951B1" w:rsidRPr="00E61612" w:rsidRDefault="00B951B1" w:rsidP="00CB78E6">
            <w:pPr>
              <w:spacing w:after="0"/>
              <w:jc w:val="center"/>
              <w:rPr>
                <w:rFonts w:eastAsia="Times New Roman" w:cs="Calibri"/>
                <w:color w:val="000000"/>
                <w:sz w:val="18"/>
                <w:szCs w:val="18"/>
              </w:rPr>
            </w:pPr>
            <w:r w:rsidRPr="00E61612">
              <w:rPr>
                <w:rFonts w:cs="Calibri"/>
                <w:color w:val="000000"/>
                <w:sz w:val="18"/>
                <w:szCs w:val="18"/>
              </w:rPr>
              <w:t> </w:t>
            </w:r>
          </w:p>
        </w:tc>
        <w:tc>
          <w:tcPr>
            <w:tcW w:w="383" w:type="pct"/>
            <w:tcBorders>
              <w:bottom w:val="single" w:sz="4" w:space="0" w:color="auto"/>
            </w:tcBorders>
            <w:shd w:val="clear" w:color="auto" w:fill="auto"/>
          </w:tcPr>
          <w:p w:rsidR="00B951B1" w:rsidRPr="00E61612" w:rsidRDefault="00B951B1" w:rsidP="00CB78E6">
            <w:pPr>
              <w:spacing w:after="0"/>
              <w:jc w:val="center"/>
              <w:rPr>
                <w:rFonts w:eastAsia="Times New Roman" w:cs="Calibri"/>
                <w:sz w:val="18"/>
                <w:szCs w:val="18"/>
              </w:rPr>
            </w:pPr>
            <w:r w:rsidRPr="00E61612">
              <w:rPr>
                <w:rFonts w:cs="Calibri"/>
                <w:color w:val="000000"/>
                <w:sz w:val="18"/>
                <w:szCs w:val="18"/>
              </w:rPr>
              <w:t>TM2-2022</w:t>
            </w:r>
          </w:p>
        </w:tc>
        <w:tc>
          <w:tcPr>
            <w:tcW w:w="438" w:type="pct"/>
            <w:tcBorders>
              <w:bottom w:val="single" w:sz="4" w:space="0" w:color="auto"/>
            </w:tcBorders>
            <w:shd w:val="clear" w:color="auto" w:fill="auto"/>
          </w:tcPr>
          <w:p w:rsidR="00B951B1" w:rsidRPr="00E61612" w:rsidRDefault="00B951B1" w:rsidP="00CB78E6">
            <w:pPr>
              <w:spacing w:after="0"/>
              <w:jc w:val="center"/>
              <w:rPr>
                <w:rFonts w:eastAsia="Times New Roman" w:cs="Calibri"/>
                <w:color w:val="000000"/>
                <w:sz w:val="18"/>
                <w:szCs w:val="18"/>
              </w:rPr>
            </w:pPr>
            <w:r w:rsidRPr="00E61612">
              <w:rPr>
                <w:rFonts w:cs="Calibri"/>
                <w:color w:val="000000"/>
                <w:sz w:val="18"/>
                <w:szCs w:val="18"/>
              </w:rPr>
              <w:t xml:space="preserve"> TM2-2026 </w:t>
            </w:r>
          </w:p>
        </w:tc>
        <w:tc>
          <w:tcPr>
            <w:tcW w:w="462" w:type="pct"/>
            <w:tcBorders>
              <w:bottom w:val="single" w:sz="4" w:space="0" w:color="auto"/>
            </w:tcBorders>
            <w:shd w:val="clear" w:color="auto" w:fill="auto"/>
            <w:noWrap/>
          </w:tcPr>
          <w:p w:rsidR="00B951B1" w:rsidRPr="00E61612" w:rsidRDefault="00B951B1" w:rsidP="00CB78E6">
            <w:pPr>
              <w:spacing w:after="0"/>
              <w:jc w:val="right"/>
              <w:rPr>
                <w:rFonts w:eastAsia="Times New Roman" w:cs="Calibri"/>
                <w:color w:val="000000"/>
                <w:sz w:val="18"/>
                <w:szCs w:val="18"/>
              </w:rPr>
            </w:pPr>
            <w:r w:rsidRPr="00E61612">
              <w:rPr>
                <w:rFonts w:cs="Calibri"/>
                <w:color w:val="000000"/>
                <w:sz w:val="18"/>
                <w:szCs w:val="18"/>
              </w:rPr>
              <w:t>3,210</w:t>
            </w:r>
          </w:p>
        </w:tc>
        <w:tc>
          <w:tcPr>
            <w:tcW w:w="475" w:type="pct"/>
            <w:tcBorders>
              <w:bottom w:val="single" w:sz="4" w:space="0" w:color="auto"/>
            </w:tcBorders>
            <w:shd w:val="clear" w:color="auto" w:fill="auto"/>
            <w:noWrap/>
          </w:tcPr>
          <w:p w:rsidR="00B951B1" w:rsidRPr="00E61612" w:rsidRDefault="00B951B1" w:rsidP="00CB78E6">
            <w:pPr>
              <w:spacing w:after="0"/>
              <w:jc w:val="right"/>
              <w:rPr>
                <w:rFonts w:eastAsia="Times New Roman" w:cs="Calibri"/>
                <w:color w:val="000000"/>
                <w:sz w:val="18"/>
                <w:szCs w:val="18"/>
              </w:rPr>
            </w:pPr>
            <w:r w:rsidRPr="00E61612">
              <w:rPr>
                <w:rFonts w:cs="Calibri"/>
                <w:color w:val="000000"/>
                <w:sz w:val="18"/>
                <w:szCs w:val="18"/>
              </w:rPr>
              <w:t>-</w:t>
            </w:r>
          </w:p>
        </w:tc>
        <w:tc>
          <w:tcPr>
            <w:tcW w:w="486" w:type="pct"/>
            <w:tcBorders>
              <w:bottom w:val="single" w:sz="4" w:space="0" w:color="auto"/>
            </w:tcBorders>
            <w:shd w:val="clear" w:color="auto" w:fill="auto"/>
            <w:noWrap/>
          </w:tcPr>
          <w:p w:rsidR="00B951B1" w:rsidRPr="00E61612" w:rsidRDefault="00B951B1" w:rsidP="00CB78E6">
            <w:pPr>
              <w:spacing w:after="0"/>
              <w:jc w:val="right"/>
              <w:rPr>
                <w:rFonts w:eastAsia="Times New Roman" w:cs="Calibri"/>
                <w:color w:val="000000"/>
                <w:sz w:val="18"/>
                <w:szCs w:val="18"/>
              </w:rPr>
            </w:pPr>
            <w:r w:rsidRPr="00E61612">
              <w:rPr>
                <w:rFonts w:cs="Calibri"/>
                <w:color w:val="000000"/>
                <w:sz w:val="18"/>
                <w:szCs w:val="18"/>
              </w:rPr>
              <w:t>-</w:t>
            </w:r>
          </w:p>
        </w:tc>
        <w:tc>
          <w:tcPr>
            <w:tcW w:w="458" w:type="pct"/>
            <w:tcBorders>
              <w:bottom w:val="single" w:sz="4" w:space="0" w:color="auto"/>
            </w:tcBorders>
            <w:shd w:val="clear" w:color="auto" w:fill="auto"/>
            <w:noWrap/>
          </w:tcPr>
          <w:p w:rsidR="00B951B1" w:rsidRPr="00E61612" w:rsidRDefault="00B951B1" w:rsidP="00CB78E6">
            <w:pPr>
              <w:spacing w:after="0"/>
              <w:jc w:val="right"/>
              <w:rPr>
                <w:rFonts w:eastAsia="Times New Roman" w:cs="Calibri"/>
                <w:color w:val="000000"/>
                <w:sz w:val="18"/>
                <w:szCs w:val="18"/>
              </w:rPr>
            </w:pPr>
            <w:r w:rsidRPr="00E61612">
              <w:rPr>
                <w:rFonts w:cs="Calibri"/>
                <w:color w:val="000000"/>
                <w:sz w:val="18"/>
                <w:szCs w:val="18"/>
              </w:rPr>
              <w:t>(3,210)</w:t>
            </w:r>
          </w:p>
        </w:tc>
      </w:tr>
      <w:tr w:rsidR="00B951B1" w:rsidRPr="00E61612" w:rsidTr="00CB78E6">
        <w:trPr>
          <w:trHeight w:val="705"/>
        </w:trPr>
        <w:tc>
          <w:tcPr>
            <w:tcW w:w="268" w:type="pct"/>
            <w:shd w:val="clear" w:color="auto" w:fill="F2F2F2"/>
          </w:tcPr>
          <w:p w:rsidR="00B951B1" w:rsidRPr="00E61612" w:rsidRDefault="00B951B1" w:rsidP="00CB78E6">
            <w:pPr>
              <w:spacing w:after="0"/>
              <w:jc w:val="center"/>
              <w:rPr>
                <w:rFonts w:eastAsia="Times New Roman" w:cs="Calibri"/>
                <w:b/>
                <w:bCs/>
                <w:color w:val="000000"/>
                <w:sz w:val="18"/>
                <w:szCs w:val="18"/>
              </w:rPr>
            </w:pPr>
            <w:r w:rsidRPr="00E61612">
              <w:rPr>
                <w:rFonts w:cs="Calibri"/>
                <w:b/>
                <w:bCs/>
                <w:color w:val="000000"/>
                <w:sz w:val="18"/>
                <w:szCs w:val="18"/>
              </w:rPr>
              <w:t>B1.2</w:t>
            </w:r>
          </w:p>
        </w:tc>
        <w:tc>
          <w:tcPr>
            <w:tcW w:w="1044" w:type="pct"/>
            <w:shd w:val="clear" w:color="auto" w:fill="F2F2F2"/>
          </w:tcPr>
          <w:p w:rsidR="00B951B1" w:rsidRPr="00E61612" w:rsidRDefault="00B951B1" w:rsidP="00CB78E6">
            <w:pPr>
              <w:spacing w:after="0"/>
              <w:rPr>
                <w:rFonts w:eastAsia="Times New Roman" w:cs="Calibri"/>
                <w:sz w:val="18"/>
                <w:szCs w:val="18"/>
              </w:rPr>
            </w:pPr>
            <w:r w:rsidRPr="00E61612">
              <w:rPr>
                <w:rFonts w:cs="Calibri"/>
                <w:sz w:val="18"/>
                <w:szCs w:val="18"/>
              </w:rPr>
              <w:t>Përmirësimi i drejtimit dhe menaxhimit të institucioneve arsimore</w:t>
            </w:r>
          </w:p>
        </w:tc>
        <w:tc>
          <w:tcPr>
            <w:tcW w:w="492" w:type="pct"/>
            <w:shd w:val="clear" w:color="auto" w:fill="F2F2F2"/>
          </w:tcPr>
          <w:p w:rsidR="00B951B1" w:rsidRPr="00E61612" w:rsidRDefault="00B951B1" w:rsidP="00CB78E6">
            <w:pPr>
              <w:spacing w:after="0"/>
              <w:jc w:val="center"/>
              <w:rPr>
                <w:rFonts w:eastAsia="Times New Roman" w:cs="Calibri"/>
                <w:color w:val="000000"/>
                <w:sz w:val="18"/>
                <w:szCs w:val="18"/>
              </w:rPr>
            </w:pPr>
            <w:r w:rsidRPr="00E61612">
              <w:rPr>
                <w:rFonts w:cs="Calibri"/>
                <w:color w:val="000000"/>
                <w:sz w:val="18"/>
                <w:szCs w:val="18"/>
              </w:rPr>
              <w:t>MASR, ASCAP</w:t>
            </w:r>
          </w:p>
        </w:tc>
        <w:tc>
          <w:tcPr>
            <w:tcW w:w="494" w:type="pct"/>
            <w:shd w:val="clear" w:color="auto" w:fill="F2F2F2"/>
          </w:tcPr>
          <w:p w:rsidR="00B951B1" w:rsidRPr="00E61612" w:rsidRDefault="00B951B1" w:rsidP="00CB78E6">
            <w:pPr>
              <w:spacing w:after="0"/>
              <w:jc w:val="center"/>
              <w:rPr>
                <w:rFonts w:eastAsia="Times New Roman" w:cs="Calibri"/>
                <w:color w:val="000000"/>
                <w:sz w:val="18"/>
                <w:szCs w:val="18"/>
              </w:rPr>
            </w:pPr>
            <w:r w:rsidRPr="00E61612">
              <w:rPr>
                <w:rFonts w:cs="Calibri"/>
                <w:color w:val="000000"/>
                <w:sz w:val="18"/>
                <w:szCs w:val="18"/>
              </w:rPr>
              <w:t>ASCAP, DPAP</w:t>
            </w:r>
          </w:p>
        </w:tc>
        <w:tc>
          <w:tcPr>
            <w:tcW w:w="383" w:type="pct"/>
            <w:shd w:val="clear" w:color="auto" w:fill="F2F2F2"/>
          </w:tcPr>
          <w:p w:rsidR="00B951B1" w:rsidRPr="00E61612" w:rsidRDefault="00B951B1" w:rsidP="00CB78E6">
            <w:pPr>
              <w:spacing w:after="0"/>
              <w:jc w:val="center"/>
              <w:rPr>
                <w:rFonts w:eastAsia="Times New Roman" w:cs="Calibri"/>
                <w:color w:val="000000"/>
                <w:sz w:val="18"/>
                <w:szCs w:val="18"/>
              </w:rPr>
            </w:pPr>
            <w:r w:rsidRPr="00E61612">
              <w:rPr>
                <w:rFonts w:cs="Calibri"/>
                <w:color w:val="000000"/>
                <w:sz w:val="18"/>
                <w:szCs w:val="18"/>
              </w:rPr>
              <w:t>TM1-2021</w:t>
            </w:r>
          </w:p>
        </w:tc>
        <w:tc>
          <w:tcPr>
            <w:tcW w:w="438" w:type="pct"/>
            <w:shd w:val="clear" w:color="auto" w:fill="F2F2F2"/>
          </w:tcPr>
          <w:p w:rsidR="00B951B1" w:rsidRPr="00E61612" w:rsidRDefault="00B951B1" w:rsidP="00CB78E6">
            <w:pPr>
              <w:spacing w:after="0"/>
              <w:jc w:val="center"/>
              <w:rPr>
                <w:rFonts w:eastAsia="Times New Roman" w:cs="Calibri"/>
                <w:color w:val="000000"/>
                <w:sz w:val="18"/>
                <w:szCs w:val="18"/>
              </w:rPr>
            </w:pPr>
            <w:r w:rsidRPr="00E61612">
              <w:rPr>
                <w:rFonts w:cs="Calibri"/>
                <w:color w:val="000000"/>
                <w:sz w:val="18"/>
                <w:szCs w:val="18"/>
              </w:rPr>
              <w:t>TM4-2026</w:t>
            </w:r>
          </w:p>
        </w:tc>
        <w:tc>
          <w:tcPr>
            <w:tcW w:w="462" w:type="pct"/>
            <w:shd w:val="clear" w:color="auto" w:fill="F2F2F2"/>
            <w:noWrap/>
          </w:tcPr>
          <w:p w:rsidR="00B951B1" w:rsidRPr="00E61612" w:rsidRDefault="00B951B1" w:rsidP="00CB78E6">
            <w:pPr>
              <w:spacing w:after="0"/>
              <w:jc w:val="right"/>
              <w:rPr>
                <w:rFonts w:eastAsia="Times New Roman" w:cs="Calibri"/>
                <w:color w:val="000000"/>
                <w:sz w:val="18"/>
                <w:szCs w:val="18"/>
              </w:rPr>
            </w:pPr>
            <w:r w:rsidRPr="00E61612">
              <w:rPr>
                <w:rFonts w:cs="Calibri"/>
                <w:color w:val="000000"/>
                <w:sz w:val="18"/>
                <w:szCs w:val="18"/>
              </w:rPr>
              <w:t>10,512</w:t>
            </w:r>
          </w:p>
        </w:tc>
        <w:tc>
          <w:tcPr>
            <w:tcW w:w="475" w:type="pct"/>
            <w:shd w:val="clear" w:color="auto" w:fill="F2F2F2"/>
            <w:noWrap/>
          </w:tcPr>
          <w:p w:rsidR="00B951B1" w:rsidRPr="00E61612" w:rsidRDefault="00B951B1" w:rsidP="00CB78E6">
            <w:pPr>
              <w:spacing w:after="0"/>
              <w:jc w:val="right"/>
              <w:rPr>
                <w:rFonts w:eastAsia="Times New Roman" w:cs="Calibri"/>
                <w:color w:val="000000"/>
                <w:sz w:val="18"/>
                <w:szCs w:val="18"/>
              </w:rPr>
            </w:pPr>
            <w:r w:rsidRPr="00E61612">
              <w:rPr>
                <w:rFonts w:cs="Calibri"/>
                <w:color w:val="000000"/>
                <w:sz w:val="18"/>
                <w:szCs w:val="18"/>
              </w:rPr>
              <w:t>-</w:t>
            </w:r>
          </w:p>
        </w:tc>
        <w:tc>
          <w:tcPr>
            <w:tcW w:w="486" w:type="pct"/>
            <w:shd w:val="clear" w:color="auto" w:fill="F2F2F2"/>
            <w:noWrap/>
          </w:tcPr>
          <w:p w:rsidR="00B951B1" w:rsidRPr="00E61612" w:rsidRDefault="00B951B1" w:rsidP="00CB78E6">
            <w:pPr>
              <w:spacing w:after="0"/>
              <w:jc w:val="right"/>
              <w:rPr>
                <w:rFonts w:eastAsia="Times New Roman" w:cs="Calibri"/>
                <w:color w:val="000000"/>
                <w:sz w:val="18"/>
                <w:szCs w:val="18"/>
              </w:rPr>
            </w:pPr>
            <w:r w:rsidRPr="00E61612">
              <w:rPr>
                <w:rFonts w:cs="Calibri"/>
                <w:color w:val="000000"/>
                <w:sz w:val="18"/>
                <w:szCs w:val="18"/>
              </w:rPr>
              <w:t>10,032</w:t>
            </w:r>
          </w:p>
        </w:tc>
        <w:tc>
          <w:tcPr>
            <w:tcW w:w="458" w:type="pct"/>
            <w:shd w:val="clear" w:color="auto" w:fill="F2F2F2"/>
            <w:noWrap/>
          </w:tcPr>
          <w:p w:rsidR="00B951B1" w:rsidRPr="00E61612" w:rsidRDefault="00B951B1" w:rsidP="00CB78E6">
            <w:pPr>
              <w:spacing w:after="0"/>
              <w:jc w:val="right"/>
              <w:rPr>
                <w:rFonts w:eastAsia="Times New Roman" w:cs="Calibri"/>
                <w:color w:val="000000"/>
                <w:sz w:val="18"/>
                <w:szCs w:val="18"/>
              </w:rPr>
            </w:pPr>
            <w:r w:rsidRPr="00E61612">
              <w:rPr>
                <w:rFonts w:cs="Calibri"/>
                <w:color w:val="000000"/>
                <w:sz w:val="18"/>
                <w:szCs w:val="18"/>
              </w:rPr>
              <w:t>(480)</w:t>
            </w:r>
          </w:p>
        </w:tc>
      </w:tr>
      <w:tr w:rsidR="00B951B1" w:rsidRPr="00E61612" w:rsidTr="00CB78E6">
        <w:trPr>
          <w:trHeight w:val="410"/>
        </w:trPr>
        <w:tc>
          <w:tcPr>
            <w:tcW w:w="268" w:type="pct"/>
            <w:shd w:val="clear" w:color="auto" w:fill="auto"/>
          </w:tcPr>
          <w:p w:rsidR="00B951B1" w:rsidRPr="00E61612" w:rsidRDefault="00B951B1" w:rsidP="00CB78E6">
            <w:pPr>
              <w:spacing w:after="0"/>
              <w:jc w:val="center"/>
              <w:rPr>
                <w:rFonts w:eastAsia="Times New Roman" w:cs="Calibri"/>
                <w:b/>
                <w:bCs/>
                <w:color w:val="000000"/>
                <w:sz w:val="18"/>
                <w:szCs w:val="18"/>
              </w:rPr>
            </w:pPr>
            <w:r w:rsidRPr="00E61612">
              <w:rPr>
                <w:rFonts w:cs="Calibri"/>
                <w:b/>
                <w:bCs/>
                <w:color w:val="000000"/>
                <w:sz w:val="18"/>
                <w:szCs w:val="18"/>
              </w:rPr>
              <w:t>B1.2.1</w:t>
            </w:r>
          </w:p>
        </w:tc>
        <w:tc>
          <w:tcPr>
            <w:tcW w:w="1044" w:type="pct"/>
            <w:shd w:val="clear" w:color="auto" w:fill="auto"/>
          </w:tcPr>
          <w:p w:rsidR="00B951B1" w:rsidRPr="00E61612" w:rsidRDefault="00B951B1" w:rsidP="00CB78E6">
            <w:pPr>
              <w:spacing w:after="0"/>
              <w:rPr>
                <w:rFonts w:eastAsia="Times New Roman" w:cs="Calibri"/>
                <w:sz w:val="18"/>
                <w:szCs w:val="18"/>
              </w:rPr>
            </w:pPr>
            <w:r w:rsidRPr="00E61612">
              <w:rPr>
                <w:rFonts w:cs="Calibri"/>
                <w:sz w:val="18"/>
                <w:szCs w:val="18"/>
              </w:rPr>
              <w:t xml:space="preserve">Trajnimi i drejtuesve të shkollave </w:t>
            </w:r>
          </w:p>
        </w:tc>
        <w:tc>
          <w:tcPr>
            <w:tcW w:w="492" w:type="pct"/>
            <w:shd w:val="clear" w:color="auto" w:fill="auto"/>
          </w:tcPr>
          <w:p w:rsidR="00B951B1" w:rsidRPr="00E61612" w:rsidRDefault="00B951B1" w:rsidP="00CB78E6">
            <w:pPr>
              <w:spacing w:after="0"/>
              <w:jc w:val="center"/>
              <w:rPr>
                <w:rFonts w:eastAsia="Times New Roman" w:cs="Calibri"/>
                <w:color w:val="000000"/>
                <w:sz w:val="18"/>
                <w:szCs w:val="18"/>
              </w:rPr>
            </w:pPr>
            <w:r w:rsidRPr="00E61612">
              <w:rPr>
                <w:rFonts w:cs="Calibri"/>
                <w:color w:val="000000"/>
                <w:sz w:val="18"/>
                <w:szCs w:val="18"/>
              </w:rPr>
              <w:t>ASCAP</w:t>
            </w:r>
          </w:p>
        </w:tc>
        <w:tc>
          <w:tcPr>
            <w:tcW w:w="494" w:type="pct"/>
            <w:shd w:val="clear" w:color="auto" w:fill="auto"/>
          </w:tcPr>
          <w:p w:rsidR="00B951B1" w:rsidRPr="00E61612" w:rsidRDefault="00B951B1" w:rsidP="00CB78E6">
            <w:pPr>
              <w:spacing w:after="0"/>
              <w:jc w:val="center"/>
              <w:rPr>
                <w:rFonts w:eastAsia="Times New Roman" w:cs="Calibri"/>
                <w:color w:val="000000"/>
                <w:sz w:val="18"/>
                <w:szCs w:val="18"/>
              </w:rPr>
            </w:pPr>
            <w:r w:rsidRPr="00E61612">
              <w:rPr>
                <w:rFonts w:cs="Calibri"/>
                <w:color w:val="000000"/>
                <w:sz w:val="18"/>
                <w:szCs w:val="18"/>
              </w:rPr>
              <w:t>DPAP</w:t>
            </w:r>
          </w:p>
        </w:tc>
        <w:tc>
          <w:tcPr>
            <w:tcW w:w="383" w:type="pct"/>
            <w:shd w:val="clear" w:color="auto" w:fill="auto"/>
          </w:tcPr>
          <w:p w:rsidR="00B951B1" w:rsidRPr="00E61612" w:rsidRDefault="00B951B1" w:rsidP="00CB78E6">
            <w:pPr>
              <w:spacing w:after="0"/>
              <w:jc w:val="center"/>
              <w:rPr>
                <w:rFonts w:eastAsia="Times New Roman" w:cs="Calibri"/>
                <w:color w:val="000000"/>
                <w:sz w:val="18"/>
                <w:szCs w:val="18"/>
              </w:rPr>
            </w:pPr>
            <w:r w:rsidRPr="00E61612">
              <w:rPr>
                <w:rFonts w:cs="Calibri"/>
                <w:color w:val="000000"/>
                <w:sz w:val="18"/>
                <w:szCs w:val="18"/>
              </w:rPr>
              <w:t>TM1-2021</w:t>
            </w:r>
          </w:p>
        </w:tc>
        <w:tc>
          <w:tcPr>
            <w:tcW w:w="438" w:type="pct"/>
            <w:shd w:val="clear" w:color="auto" w:fill="auto"/>
          </w:tcPr>
          <w:p w:rsidR="00B951B1" w:rsidRPr="00E61612" w:rsidRDefault="00B951B1" w:rsidP="00CB78E6">
            <w:pPr>
              <w:spacing w:after="0"/>
              <w:jc w:val="center"/>
              <w:rPr>
                <w:rFonts w:eastAsia="Times New Roman" w:cs="Calibri"/>
                <w:color w:val="000000"/>
                <w:sz w:val="18"/>
                <w:szCs w:val="18"/>
              </w:rPr>
            </w:pPr>
            <w:r w:rsidRPr="00E61612">
              <w:rPr>
                <w:rFonts w:cs="Calibri"/>
                <w:color w:val="000000"/>
                <w:sz w:val="18"/>
                <w:szCs w:val="18"/>
              </w:rPr>
              <w:t>TM4-2026</w:t>
            </w:r>
          </w:p>
        </w:tc>
        <w:tc>
          <w:tcPr>
            <w:tcW w:w="462" w:type="pct"/>
            <w:shd w:val="clear" w:color="auto" w:fill="auto"/>
            <w:noWrap/>
          </w:tcPr>
          <w:p w:rsidR="00B951B1" w:rsidRPr="00E61612" w:rsidRDefault="00B951B1" w:rsidP="00CB78E6">
            <w:pPr>
              <w:spacing w:after="0"/>
              <w:jc w:val="right"/>
              <w:rPr>
                <w:rFonts w:eastAsia="Times New Roman" w:cs="Calibri"/>
                <w:color w:val="000000"/>
                <w:sz w:val="18"/>
                <w:szCs w:val="18"/>
              </w:rPr>
            </w:pPr>
            <w:r w:rsidRPr="00E61612">
              <w:rPr>
                <w:rFonts w:cs="Calibri"/>
                <w:color w:val="000000"/>
                <w:sz w:val="18"/>
                <w:szCs w:val="18"/>
              </w:rPr>
              <w:t>10,032</w:t>
            </w:r>
          </w:p>
        </w:tc>
        <w:tc>
          <w:tcPr>
            <w:tcW w:w="475" w:type="pct"/>
            <w:shd w:val="clear" w:color="auto" w:fill="auto"/>
            <w:noWrap/>
          </w:tcPr>
          <w:p w:rsidR="00B951B1" w:rsidRPr="00E61612" w:rsidRDefault="00B951B1" w:rsidP="00CB78E6">
            <w:pPr>
              <w:spacing w:after="0"/>
              <w:jc w:val="right"/>
              <w:rPr>
                <w:rFonts w:eastAsia="Times New Roman" w:cs="Calibri"/>
                <w:color w:val="000000"/>
                <w:sz w:val="18"/>
                <w:szCs w:val="18"/>
              </w:rPr>
            </w:pPr>
            <w:r w:rsidRPr="00E61612">
              <w:rPr>
                <w:rFonts w:cs="Calibri"/>
                <w:color w:val="000000"/>
                <w:sz w:val="18"/>
                <w:szCs w:val="18"/>
              </w:rPr>
              <w:t>-</w:t>
            </w:r>
          </w:p>
        </w:tc>
        <w:tc>
          <w:tcPr>
            <w:tcW w:w="486" w:type="pct"/>
            <w:shd w:val="clear" w:color="auto" w:fill="auto"/>
            <w:noWrap/>
          </w:tcPr>
          <w:p w:rsidR="00B951B1" w:rsidRPr="00E61612" w:rsidRDefault="00B951B1" w:rsidP="00CB78E6">
            <w:pPr>
              <w:spacing w:after="0"/>
              <w:jc w:val="right"/>
              <w:rPr>
                <w:rFonts w:eastAsia="Times New Roman" w:cs="Calibri"/>
                <w:color w:val="000000"/>
                <w:sz w:val="18"/>
                <w:szCs w:val="18"/>
              </w:rPr>
            </w:pPr>
            <w:r w:rsidRPr="00E61612">
              <w:rPr>
                <w:rFonts w:cs="Calibri"/>
                <w:color w:val="000000"/>
                <w:sz w:val="18"/>
                <w:szCs w:val="18"/>
              </w:rPr>
              <w:t>10,032</w:t>
            </w:r>
          </w:p>
        </w:tc>
        <w:tc>
          <w:tcPr>
            <w:tcW w:w="458" w:type="pct"/>
            <w:shd w:val="clear" w:color="auto" w:fill="auto"/>
            <w:noWrap/>
          </w:tcPr>
          <w:p w:rsidR="00B951B1" w:rsidRPr="00E61612" w:rsidRDefault="00B951B1" w:rsidP="00CB78E6">
            <w:pPr>
              <w:spacing w:after="0"/>
              <w:jc w:val="right"/>
              <w:rPr>
                <w:rFonts w:eastAsia="Times New Roman" w:cs="Calibri"/>
                <w:color w:val="000000"/>
                <w:sz w:val="18"/>
                <w:szCs w:val="18"/>
              </w:rPr>
            </w:pPr>
            <w:r w:rsidRPr="00E61612">
              <w:rPr>
                <w:rFonts w:cs="Calibri"/>
                <w:color w:val="000000"/>
                <w:sz w:val="18"/>
                <w:szCs w:val="18"/>
              </w:rPr>
              <w:t>-</w:t>
            </w:r>
          </w:p>
        </w:tc>
      </w:tr>
      <w:tr w:rsidR="00B951B1" w:rsidRPr="00E61612" w:rsidTr="00CB78E6">
        <w:trPr>
          <w:trHeight w:val="705"/>
        </w:trPr>
        <w:tc>
          <w:tcPr>
            <w:tcW w:w="268" w:type="pct"/>
            <w:shd w:val="clear" w:color="auto" w:fill="auto"/>
          </w:tcPr>
          <w:p w:rsidR="00B951B1" w:rsidRPr="00E61612" w:rsidRDefault="00B951B1" w:rsidP="00CB78E6">
            <w:pPr>
              <w:spacing w:after="0"/>
              <w:jc w:val="center"/>
              <w:rPr>
                <w:rFonts w:eastAsia="Times New Roman" w:cs="Calibri"/>
                <w:b/>
                <w:bCs/>
                <w:color w:val="000000"/>
                <w:sz w:val="18"/>
                <w:szCs w:val="18"/>
              </w:rPr>
            </w:pPr>
            <w:r w:rsidRPr="00E61612">
              <w:rPr>
                <w:rFonts w:cs="Calibri"/>
                <w:b/>
                <w:bCs/>
                <w:color w:val="000000"/>
                <w:sz w:val="18"/>
                <w:szCs w:val="18"/>
              </w:rPr>
              <w:t>B1.2.2</w:t>
            </w:r>
          </w:p>
        </w:tc>
        <w:tc>
          <w:tcPr>
            <w:tcW w:w="1044" w:type="pct"/>
            <w:shd w:val="clear" w:color="auto" w:fill="auto"/>
          </w:tcPr>
          <w:p w:rsidR="00B951B1" w:rsidRPr="00E61612" w:rsidRDefault="00B951B1" w:rsidP="00CB78E6">
            <w:pPr>
              <w:spacing w:after="0"/>
              <w:rPr>
                <w:rFonts w:eastAsia="Times New Roman" w:cs="Calibri"/>
                <w:sz w:val="18"/>
                <w:szCs w:val="18"/>
              </w:rPr>
            </w:pPr>
            <w:r w:rsidRPr="00E61612">
              <w:rPr>
                <w:rFonts w:cs="Calibri"/>
                <w:sz w:val="18"/>
                <w:szCs w:val="18"/>
              </w:rPr>
              <w:t>Avancimi i kritereve dhe hartimi i udhëzimeve për emërimin e drejtuesve të shkollave</w:t>
            </w:r>
          </w:p>
        </w:tc>
        <w:tc>
          <w:tcPr>
            <w:tcW w:w="492" w:type="pct"/>
            <w:shd w:val="clear" w:color="auto" w:fill="auto"/>
          </w:tcPr>
          <w:p w:rsidR="00B951B1" w:rsidRPr="00E61612" w:rsidRDefault="00B951B1" w:rsidP="00CB78E6">
            <w:pPr>
              <w:spacing w:after="0"/>
              <w:jc w:val="center"/>
              <w:rPr>
                <w:rFonts w:eastAsia="Times New Roman" w:cs="Calibri"/>
                <w:color w:val="000000"/>
                <w:sz w:val="18"/>
                <w:szCs w:val="18"/>
              </w:rPr>
            </w:pPr>
            <w:r w:rsidRPr="00E61612">
              <w:rPr>
                <w:rFonts w:cs="Calibri"/>
                <w:color w:val="000000"/>
                <w:sz w:val="18"/>
                <w:szCs w:val="18"/>
              </w:rPr>
              <w:t>MASR</w:t>
            </w:r>
          </w:p>
        </w:tc>
        <w:tc>
          <w:tcPr>
            <w:tcW w:w="494" w:type="pct"/>
            <w:shd w:val="clear" w:color="auto" w:fill="auto"/>
          </w:tcPr>
          <w:p w:rsidR="00B951B1" w:rsidRPr="00E61612" w:rsidRDefault="00B951B1" w:rsidP="00CB78E6">
            <w:pPr>
              <w:spacing w:after="0"/>
              <w:jc w:val="center"/>
              <w:rPr>
                <w:rFonts w:eastAsia="Times New Roman" w:cs="Calibri"/>
                <w:color w:val="000000"/>
                <w:sz w:val="18"/>
                <w:szCs w:val="18"/>
              </w:rPr>
            </w:pPr>
            <w:r w:rsidRPr="00E61612">
              <w:rPr>
                <w:rFonts w:cs="Calibri"/>
                <w:color w:val="000000"/>
                <w:sz w:val="18"/>
                <w:szCs w:val="18"/>
              </w:rPr>
              <w:t> </w:t>
            </w:r>
          </w:p>
        </w:tc>
        <w:tc>
          <w:tcPr>
            <w:tcW w:w="383" w:type="pct"/>
            <w:shd w:val="clear" w:color="auto" w:fill="auto"/>
          </w:tcPr>
          <w:p w:rsidR="00B951B1" w:rsidRPr="00E61612" w:rsidRDefault="00B951B1" w:rsidP="00CB78E6">
            <w:pPr>
              <w:spacing w:after="0"/>
              <w:jc w:val="center"/>
              <w:rPr>
                <w:rFonts w:eastAsia="Times New Roman" w:cs="Calibri"/>
                <w:color w:val="000000"/>
                <w:sz w:val="18"/>
                <w:szCs w:val="18"/>
              </w:rPr>
            </w:pPr>
            <w:r w:rsidRPr="00E61612">
              <w:rPr>
                <w:rFonts w:cs="Calibri"/>
                <w:color w:val="000000"/>
                <w:sz w:val="18"/>
                <w:szCs w:val="18"/>
              </w:rPr>
              <w:t>TM2-2022</w:t>
            </w:r>
          </w:p>
        </w:tc>
        <w:tc>
          <w:tcPr>
            <w:tcW w:w="438" w:type="pct"/>
            <w:shd w:val="clear" w:color="auto" w:fill="auto"/>
          </w:tcPr>
          <w:p w:rsidR="00B951B1" w:rsidRPr="00E61612" w:rsidRDefault="00B951B1" w:rsidP="00CB78E6">
            <w:pPr>
              <w:spacing w:after="0"/>
              <w:jc w:val="center"/>
              <w:rPr>
                <w:rFonts w:eastAsia="Times New Roman" w:cs="Calibri"/>
                <w:color w:val="000000"/>
                <w:sz w:val="18"/>
                <w:szCs w:val="18"/>
              </w:rPr>
            </w:pPr>
            <w:r w:rsidRPr="00E61612">
              <w:rPr>
                <w:rFonts w:cs="Calibri"/>
                <w:color w:val="000000"/>
                <w:sz w:val="18"/>
                <w:szCs w:val="18"/>
              </w:rPr>
              <w:t>TM3-2022</w:t>
            </w:r>
          </w:p>
        </w:tc>
        <w:tc>
          <w:tcPr>
            <w:tcW w:w="462" w:type="pct"/>
            <w:shd w:val="clear" w:color="auto" w:fill="auto"/>
            <w:noWrap/>
          </w:tcPr>
          <w:p w:rsidR="00B951B1" w:rsidRPr="00E61612" w:rsidRDefault="00B951B1" w:rsidP="00CB78E6">
            <w:pPr>
              <w:spacing w:after="0"/>
              <w:jc w:val="right"/>
              <w:rPr>
                <w:rFonts w:eastAsia="Times New Roman" w:cs="Calibri"/>
                <w:color w:val="000000"/>
                <w:sz w:val="18"/>
                <w:szCs w:val="18"/>
              </w:rPr>
            </w:pPr>
            <w:r w:rsidRPr="00E61612">
              <w:rPr>
                <w:rFonts w:cs="Calibri"/>
                <w:color w:val="000000"/>
                <w:sz w:val="18"/>
                <w:szCs w:val="18"/>
              </w:rPr>
              <w:t>480</w:t>
            </w:r>
          </w:p>
        </w:tc>
        <w:tc>
          <w:tcPr>
            <w:tcW w:w="475" w:type="pct"/>
            <w:shd w:val="clear" w:color="auto" w:fill="auto"/>
            <w:noWrap/>
          </w:tcPr>
          <w:p w:rsidR="00B951B1" w:rsidRPr="00E61612" w:rsidRDefault="00B951B1" w:rsidP="00CB78E6">
            <w:pPr>
              <w:spacing w:after="0"/>
              <w:jc w:val="right"/>
              <w:rPr>
                <w:rFonts w:eastAsia="Times New Roman" w:cs="Calibri"/>
                <w:color w:val="000000"/>
                <w:sz w:val="18"/>
                <w:szCs w:val="18"/>
              </w:rPr>
            </w:pPr>
            <w:r w:rsidRPr="00E61612">
              <w:rPr>
                <w:rFonts w:cs="Calibri"/>
                <w:color w:val="000000"/>
                <w:sz w:val="18"/>
                <w:szCs w:val="18"/>
              </w:rPr>
              <w:t>-</w:t>
            </w:r>
          </w:p>
        </w:tc>
        <w:tc>
          <w:tcPr>
            <w:tcW w:w="486" w:type="pct"/>
            <w:shd w:val="clear" w:color="auto" w:fill="auto"/>
            <w:noWrap/>
          </w:tcPr>
          <w:p w:rsidR="00B951B1" w:rsidRPr="00E61612" w:rsidRDefault="00B951B1" w:rsidP="00CB78E6">
            <w:pPr>
              <w:spacing w:after="0"/>
              <w:jc w:val="right"/>
              <w:rPr>
                <w:rFonts w:eastAsia="Times New Roman" w:cs="Calibri"/>
                <w:color w:val="000000"/>
                <w:sz w:val="18"/>
                <w:szCs w:val="18"/>
              </w:rPr>
            </w:pPr>
            <w:r w:rsidRPr="00E61612">
              <w:rPr>
                <w:rFonts w:cs="Calibri"/>
                <w:color w:val="000000"/>
                <w:sz w:val="18"/>
                <w:szCs w:val="18"/>
              </w:rPr>
              <w:t>-</w:t>
            </w:r>
          </w:p>
        </w:tc>
        <w:tc>
          <w:tcPr>
            <w:tcW w:w="458" w:type="pct"/>
            <w:shd w:val="clear" w:color="auto" w:fill="auto"/>
            <w:noWrap/>
          </w:tcPr>
          <w:p w:rsidR="00B951B1" w:rsidRPr="00E61612" w:rsidRDefault="00B951B1" w:rsidP="00CB78E6">
            <w:pPr>
              <w:spacing w:after="0"/>
              <w:jc w:val="right"/>
              <w:rPr>
                <w:rFonts w:eastAsia="Times New Roman" w:cs="Calibri"/>
                <w:color w:val="000000"/>
                <w:sz w:val="18"/>
                <w:szCs w:val="18"/>
              </w:rPr>
            </w:pPr>
            <w:r w:rsidRPr="00E61612">
              <w:rPr>
                <w:rFonts w:cs="Calibri"/>
                <w:color w:val="000000"/>
                <w:sz w:val="18"/>
                <w:szCs w:val="18"/>
              </w:rPr>
              <w:t>(480)</w:t>
            </w:r>
          </w:p>
        </w:tc>
      </w:tr>
      <w:tr w:rsidR="00B951B1" w:rsidRPr="00E61612" w:rsidTr="00CB78E6">
        <w:trPr>
          <w:trHeight w:val="821"/>
        </w:trPr>
        <w:tc>
          <w:tcPr>
            <w:tcW w:w="268" w:type="pct"/>
            <w:tcBorders>
              <w:bottom w:val="single" w:sz="4" w:space="0" w:color="auto"/>
            </w:tcBorders>
            <w:shd w:val="clear" w:color="auto" w:fill="auto"/>
          </w:tcPr>
          <w:p w:rsidR="00B951B1" w:rsidRPr="00E61612" w:rsidRDefault="00B951B1" w:rsidP="00CB78E6">
            <w:pPr>
              <w:spacing w:after="0"/>
              <w:jc w:val="center"/>
              <w:rPr>
                <w:rFonts w:eastAsia="Times New Roman" w:cs="Calibri"/>
                <w:b/>
                <w:bCs/>
                <w:color w:val="000000"/>
                <w:sz w:val="18"/>
                <w:szCs w:val="18"/>
              </w:rPr>
            </w:pPr>
            <w:r w:rsidRPr="00E61612">
              <w:rPr>
                <w:rFonts w:cs="Calibri"/>
                <w:b/>
                <w:bCs/>
                <w:color w:val="000000"/>
                <w:sz w:val="18"/>
                <w:szCs w:val="18"/>
              </w:rPr>
              <w:t>B1.2.3</w:t>
            </w:r>
          </w:p>
        </w:tc>
        <w:tc>
          <w:tcPr>
            <w:tcW w:w="1044" w:type="pct"/>
            <w:tcBorders>
              <w:bottom w:val="single" w:sz="4" w:space="0" w:color="auto"/>
            </w:tcBorders>
            <w:shd w:val="clear" w:color="auto" w:fill="auto"/>
          </w:tcPr>
          <w:p w:rsidR="00B951B1" w:rsidRPr="00E61612" w:rsidRDefault="00B951B1" w:rsidP="00CB78E6">
            <w:pPr>
              <w:spacing w:after="0"/>
              <w:rPr>
                <w:rFonts w:eastAsia="Times New Roman" w:cs="Calibri"/>
                <w:sz w:val="18"/>
                <w:szCs w:val="18"/>
              </w:rPr>
            </w:pPr>
            <w:r w:rsidRPr="00E61612">
              <w:rPr>
                <w:rFonts w:cs="Calibri"/>
                <w:sz w:val="18"/>
                <w:szCs w:val="18"/>
              </w:rPr>
              <w:t>Vlerësimi i drejtuesve të shkollave</w:t>
            </w:r>
          </w:p>
        </w:tc>
        <w:tc>
          <w:tcPr>
            <w:tcW w:w="492" w:type="pct"/>
            <w:tcBorders>
              <w:bottom w:val="single" w:sz="4" w:space="0" w:color="auto"/>
            </w:tcBorders>
            <w:shd w:val="clear" w:color="auto" w:fill="auto"/>
          </w:tcPr>
          <w:p w:rsidR="00B951B1" w:rsidRPr="00E61612" w:rsidRDefault="00B951B1" w:rsidP="00CB78E6">
            <w:pPr>
              <w:spacing w:after="0"/>
              <w:jc w:val="center"/>
              <w:rPr>
                <w:rFonts w:eastAsia="Times New Roman" w:cs="Calibri"/>
                <w:color w:val="000000"/>
                <w:sz w:val="18"/>
                <w:szCs w:val="18"/>
              </w:rPr>
            </w:pPr>
            <w:r w:rsidRPr="00E61612">
              <w:rPr>
                <w:rFonts w:cs="Calibri"/>
                <w:color w:val="000000"/>
                <w:sz w:val="18"/>
                <w:szCs w:val="18"/>
              </w:rPr>
              <w:t>MASR</w:t>
            </w:r>
          </w:p>
        </w:tc>
        <w:tc>
          <w:tcPr>
            <w:tcW w:w="494" w:type="pct"/>
            <w:tcBorders>
              <w:bottom w:val="single" w:sz="4" w:space="0" w:color="auto"/>
            </w:tcBorders>
            <w:shd w:val="clear" w:color="auto" w:fill="auto"/>
          </w:tcPr>
          <w:p w:rsidR="00B951B1" w:rsidRPr="00E61612" w:rsidRDefault="00B951B1" w:rsidP="00CB78E6">
            <w:pPr>
              <w:spacing w:after="0"/>
              <w:jc w:val="center"/>
              <w:rPr>
                <w:rFonts w:eastAsia="Times New Roman" w:cs="Calibri"/>
                <w:color w:val="000000"/>
                <w:sz w:val="18"/>
                <w:szCs w:val="18"/>
              </w:rPr>
            </w:pPr>
            <w:r w:rsidRPr="00E61612">
              <w:rPr>
                <w:rFonts w:cs="Calibri"/>
                <w:color w:val="000000"/>
                <w:sz w:val="18"/>
                <w:szCs w:val="18"/>
              </w:rPr>
              <w:t>DPAP</w:t>
            </w:r>
          </w:p>
        </w:tc>
        <w:tc>
          <w:tcPr>
            <w:tcW w:w="383" w:type="pct"/>
            <w:tcBorders>
              <w:bottom w:val="single" w:sz="4" w:space="0" w:color="auto"/>
            </w:tcBorders>
            <w:shd w:val="clear" w:color="auto" w:fill="auto"/>
          </w:tcPr>
          <w:p w:rsidR="00B951B1" w:rsidRPr="00E61612" w:rsidRDefault="00B951B1" w:rsidP="00CB78E6">
            <w:pPr>
              <w:spacing w:after="0"/>
              <w:jc w:val="center"/>
              <w:rPr>
                <w:rFonts w:eastAsia="Times New Roman" w:cs="Calibri"/>
                <w:color w:val="000000"/>
                <w:sz w:val="18"/>
                <w:szCs w:val="18"/>
              </w:rPr>
            </w:pPr>
            <w:r w:rsidRPr="00E61612">
              <w:rPr>
                <w:rFonts w:cs="Calibri"/>
                <w:color w:val="000000"/>
                <w:sz w:val="18"/>
                <w:szCs w:val="18"/>
              </w:rPr>
              <w:t>TM2-2022</w:t>
            </w:r>
          </w:p>
        </w:tc>
        <w:tc>
          <w:tcPr>
            <w:tcW w:w="438" w:type="pct"/>
            <w:tcBorders>
              <w:bottom w:val="single" w:sz="4" w:space="0" w:color="auto"/>
            </w:tcBorders>
            <w:shd w:val="clear" w:color="auto" w:fill="auto"/>
          </w:tcPr>
          <w:p w:rsidR="00B951B1" w:rsidRPr="00E61612" w:rsidRDefault="00B951B1" w:rsidP="00CB78E6">
            <w:pPr>
              <w:spacing w:after="0"/>
              <w:jc w:val="center"/>
              <w:rPr>
                <w:rFonts w:eastAsia="Times New Roman" w:cs="Calibri"/>
                <w:color w:val="000000"/>
                <w:sz w:val="18"/>
                <w:szCs w:val="18"/>
              </w:rPr>
            </w:pPr>
            <w:r w:rsidRPr="00E61612">
              <w:rPr>
                <w:rFonts w:cs="Calibri"/>
                <w:color w:val="000000"/>
                <w:sz w:val="18"/>
                <w:szCs w:val="18"/>
              </w:rPr>
              <w:t>TM3-2023</w:t>
            </w:r>
          </w:p>
        </w:tc>
        <w:tc>
          <w:tcPr>
            <w:tcW w:w="462" w:type="pct"/>
            <w:tcBorders>
              <w:bottom w:val="single" w:sz="4" w:space="0" w:color="auto"/>
            </w:tcBorders>
            <w:shd w:val="clear" w:color="auto" w:fill="auto"/>
            <w:noWrap/>
          </w:tcPr>
          <w:p w:rsidR="00B951B1" w:rsidRPr="00E61612" w:rsidRDefault="00B951B1" w:rsidP="00CB78E6">
            <w:pPr>
              <w:spacing w:after="0"/>
              <w:jc w:val="right"/>
              <w:rPr>
                <w:rFonts w:eastAsia="Times New Roman" w:cs="Calibri"/>
                <w:color w:val="000000"/>
                <w:sz w:val="18"/>
                <w:szCs w:val="18"/>
              </w:rPr>
            </w:pPr>
            <w:r w:rsidRPr="00E61612">
              <w:rPr>
                <w:rFonts w:cs="Calibri"/>
                <w:color w:val="000000"/>
                <w:sz w:val="18"/>
                <w:szCs w:val="18"/>
              </w:rPr>
              <w:t>-</w:t>
            </w:r>
          </w:p>
        </w:tc>
        <w:tc>
          <w:tcPr>
            <w:tcW w:w="475" w:type="pct"/>
            <w:tcBorders>
              <w:bottom w:val="single" w:sz="4" w:space="0" w:color="auto"/>
            </w:tcBorders>
            <w:shd w:val="clear" w:color="auto" w:fill="auto"/>
            <w:noWrap/>
          </w:tcPr>
          <w:p w:rsidR="00B951B1" w:rsidRPr="00E61612" w:rsidRDefault="00B951B1" w:rsidP="00CB78E6">
            <w:pPr>
              <w:spacing w:after="0"/>
              <w:jc w:val="right"/>
              <w:rPr>
                <w:rFonts w:eastAsia="Times New Roman" w:cs="Calibri"/>
                <w:color w:val="000000"/>
                <w:sz w:val="18"/>
                <w:szCs w:val="18"/>
              </w:rPr>
            </w:pPr>
            <w:r w:rsidRPr="00E61612">
              <w:rPr>
                <w:rFonts w:cs="Calibri"/>
                <w:color w:val="000000"/>
                <w:sz w:val="18"/>
                <w:szCs w:val="18"/>
              </w:rPr>
              <w:t>-</w:t>
            </w:r>
          </w:p>
        </w:tc>
        <w:tc>
          <w:tcPr>
            <w:tcW w:w="486" w:type="pct"/>
            <w:tcBorders>
              <w:bottom w:val="single" w:sz="4" w:space="0" w:color="auto"/>
            </w:tcBorders>
            <w:shd w:val="clear" w:color="auto" w:fill="auto"/>
            <w:noWrap/>
          </w:tcPr>
          <w:p w:rsidR="00B951B1" w:rsidRPr="00E61612" w:rsidRDefault="00B951B1" w:rsidP="00CB78E6">
            <w:pPr>
              <w:spacing w:after="0"/>
              <w:jc w:val="right"/>
              <w:rPr>
                <w:rFonts w:eastAsia="Times New Roman" w:cs="Calibri"/>
                <w:color w:val="000000"/>
                <w:sz w:val="18"/>
                <w:szCs w:val="18"/>
              </w:rPr>
            </w:pPr>
            <w:r w:rsidRPr="00E61612">
              <w:rPr>
                <w:rFonts w:cs="Calibri"/>
                <w:color w:val="000000"/>
                <w:sz w:val="18"/>
                <w:szCs w:val="18"/>
              </w:rPr>
              <w:t>-</w:t>
            </w:r>
          </w:p>
        </w:tc>
        <w:tc>
          <w:tcPr>
            <w:tcW w:w="458" w:type="pct"/>
            <w:tcBorders>
              <w:bottom w:val="single" w:sz="4" w:space="0" w:color="auto"/>
            </w:tcBorders>
            <w:shd w:val="clear" w:color="auto" w:fill="auto"/>
            <w:noWrap/>
          </w:tcPr>
          <w:p w:rsidR="00B951B1" w:rsidRPr="00E61612" w:rsidRDefault="00B951B1" w:rsidP="00CB78E6">
            <w:pPr>
              <w:spacing w:after="0"/>
              <w:jc w:val="right"/>
              <w:rPr>
                <w:rFonts w:eastAsia="Times New Roman" w:cs="Calibri"/>
                <w:color w:val="000000"/>
                <w:sz w:val="18"/>
                <w:szCs w:val="18"/>
              </w:rPr>
            </w:pPr>
            <w:r w:rsidRPr="00E61612">
              <w:rPr>
                <w:rFonts w:cs="Calibri"/>
                <w:color w:val="000000"/>
                <w:sz w:val="18"/>
                <w:szCs w:val="18"/>
              </w:rPr>
              <w:t>-</w:t>
            </w:r>
          </w:p>
        </w:tc>
      </w:tr>
      <w:tr w:rsidR="00B951B1" w:rsidRPr="00E61612" w:rsidTr="00CB78E6">
        <w:trPr>
          <w:trHeight w:val="705"/>
        </w:trPr>
        <w:tc>
          <w:tcPr>
            <w:tcW w:w="268" w:type="pct"/>
            <w:shd w:val="clear" w:color="auto" w:fill="F2F2F2"/>
          </w:tcPr>
          <w:p w:rsidR="00B951B1" w:rsidRPr="00E61612" w:rsidRDefault="00B951B1" w:rsidP="00CB78E6">
            <w:pPr>
              <w:spacing w:after="0"/>
              <w:jc w:val="center"/>
              <w:rPr>
                <w:rFonts w:eastAsia="Times New Roman" w:cs="Calibri"/>
                <w:b/>
                <w:bCs/>
                <w:color w:val="000000"/>
                <w:sz w:val="18"/>
                <w:szCs w:val="18"/>
              </w:rPr>
            </w:pPr>
            <w:r w:rsidRPr="00E61612">
              <w:rPr>
                <w:rFonts w:cs="Calibri"/>
                <w:b/>
                <w:bCs/>
                <w:color w:val="000000"/>
                <w:sz w:val="18"/>
                <w:szCs w:val="18"/>
              </w:rPr>
              <w:lastRenderedPageBreak/>
              <w:t>B1.3</w:t>
            </w:r>
          </w:p>
        </w:tc>
        <w:tc>
          <w:tcPr>
            <w:tcW w:w="1044" w:type="pct"/>
            <w:shd w:val="clear" w:color="auto" w:fill="F2F2F2"/>
          </w:tcPr>
          <w:p w:rsidR="00B951B1" w:rsidRPr="00E61612" w:rsidRDefault="00B951B1" w:rsidP="00CB78E6">
            <w:pPr>
              <w:spacing w:after="0"/>
              <w:rPr>
                <w:rFonts w:eastAsia="Times New Roman" w:cs="Calibri"/>
                <w:sz w:val="18"/>
                <w:szCs w:val="18"/>
              </w:rPr>
            </w:pPr>
            <w:r w:rsidRPr="00E61612">
              <w:rPr>
                <w:rFonts w:cs="Calibri"/>
                <w:sz w:val="18"/>
                <w:szCs w:val="18"/>
              </w:rPr>
              <w:t>Vlerësimi i jashtëm dhe i brendshëm janë në funksion të përmirësimit të shkollës</w:t>
            </w:r>
          </w:p>
        </w:tc>
        <w:tc>
          <w:tcPr>
            <w:tcW w:w="492" w:type="pct"/>
            <w:shd w:val="clear" w:color="auto" w:fill="F2F2F2"/>
          </w:tcPr>
          <w:p w:rsidR="00B951B1" w:rsidRPr="00E61612" w:rsidRDefault="00B951B1" w:rsidP="00CB78E6">
            <w:pPr>
              <w:spacing w:after="0"/>
              <w:jc w:val="center"/>
              <w:rPr>
                <w:rFonts w:eastAsia="Times New Roman" w:cs="Calibri"/>
                <w:color w:val="000000"/>
                <w:sz w:val="18"/>
                <w:szCs w:val="18"/>
              </w:rPr>
            </w:pPr>
            <w:r w:rsidRPr="00E61612">
              <w:rPr>
                <w:rFonts w:cs="Calibri"/>
                <w:color w:val="000000"/>
                <w:sz w:val="18"/>
                <w:szCs w:val="18"/>
              </w:rPr>
              <w:t>ASCAP, DPAP</w:t>
            </w:r>
          </w:p>
        </w:tc>
        <w:tc>
          <w:tcPr>
            <w:tcW w:w="494" w:type="pct"/>
            <w:shd w:val="clear" w:color="auto" w:fill="F2F2F2"/>
          </w:tcPr>
          <w:p w:rsidR="00B951B1" w:rsidRPr="00E61612" w:rsidRDefault="00B951B1" w:rsidP="00CB78E6">
            <w:pPr>
              <w:spacing w:after="0"/>
              <w:jc w:val="center"/>
              <w:rPr>
                <w:rFonts w:eastAsia="Times New Roman" w:cs="Calibri"/>
                <w:color w:val="000000"/>
                <w:sz w:val="18"/>
                <w:szCs w:val="18"/>
              </w:rPr>
            </w:pPr>
            <w:r w:rsidRPr="00E61612">
              <w:rPr>
                <w:rFonts w:cs="Calibri"/>
                <w:color w:val="000000"/>
                <w:sz w:val="18"/>
                <w:szCs w:val="18"/>
              </w:rPr>
              <w:t>ASCAP, DPAP</w:t>
            </w:r>
          </w:p>
        </w:tc>
        <w:tc>
          <w:tcPr>
            <w:tcW w:w="383" w:type="pct"/>
            <w:shd w:val="clear" w:color="auto" w:fill="F2F2F2"/>
          </w:tcPr>
          <w:p w:rsidR="00B951B1" w:rsidRPr="00E61612" w:rsidRDefault="00B951B1" w:rsidP="00CB78E6">
            <w:pPr>
              <w:spacing w:after="0"/>
              <w:jc w:val="center"/>
              <w:rPr>
                <w:rFonts w:eastAsia="Times New Roman" w:cs="Calibri"/>
                <w:color w:val="000000"/>
                <w:sz w:val="18"/>
                <w:szCs w:val="18"/>
              </w:rPr>
            </w:pPr>
            <w:r w:rsidRPr="00E61612">
              <w:rPr>
                <w:rFonts w:cs="Calibri"/>
                <w:color w:val="000000"/>
                <w:sz w:val="18"/>
                <w:szCs w:val="18"/>
              </w:rPr>
              <w:t>TM1-2021</w:t>
            </w:r>
          </w:p>
        </w:tc>
        <w:tc>
          <w:tcPr>
            <w:tcW w:w="438" w:type="pct"/>
            <w:shd w:val="clear" w:color="auto" w:fill="F2F2F2"/>
          </w:tcPr>
          <w:p w:rsidR="00B951B1" w:rsidRPr="00E61612" w:rsidRDefault="00B951B1" w:rsidP="00CB78E6">
            <w:pPr>
              <w:spacing w:after="0"/>
              <w:jc w:val="center"/>
              <w:rPr>
                <w:rFonts w:eastAsia="Times New Roman" w:cs="Calibri"/>
                <w:color w:val="000000"/>
                <w:sz w:val="18"/>
                <w:szCs w:val="18"/>
              </w:rPr>
            </w:pPr>
            <w:r w:rsidRPr="00E61612">
              <w:rPr>
                <w:rFonts w:cs="Calibri"/>
                <w:color w:val="000000"/>
                <w:sz w:val="18"/>
                <w:szCs w:val="18"/>
              </w:rPr>
              <w:t>TM4-2026</w:t>
            </w:r>
          </w:p>
        </w:tc>
        <w:tc>
          <w:tcPr>
            <w:tcW w:w="462" w:type="pct"/>
            <w:shd w:val="clear" w:color="auto" w:fill="F2F2F2"/>
            <w:noWrap/>
          </w:tcPr>
          <w:p w:rsidR="00B951B1" w:rsidRPr="00E61612" w:rsidRDefault="00B951B1" w:rsidP="00CB78E6">
            <w:pPr>
              <w:spacing w:after="0"/>
              <w:jc w:val="right"/>
              <w:rPr>
                <w:rFonts w:eastAsia="Times New Roman" w:cs="Calibri"/>
                <w:color w:val="000000"/>
                <w:sz w:val="18"/>
                <w:szCs w:val="18"/>
              </w:rPr>
            </w:pPr>
            <w:r w:rsidRPr="00E61612">
              <w:rPr>
                <w:rFonts w:cs="Calibri"/>
                <w:color w:val="000000"/>
                <w:sz w:val="18"/>
                <w:szCs w:val="18"/>
              </w:rPr>
              <w:t>7,534</w:t>
            </w:r>
          </w:p>
        </w:tc>
        <w:tc>
          <w:tcPr>
            <w:tcW w:w="475" w:type="pct"/>
            <w:shd w:val="clear" w:color="auto" w:fill="F2F2F2"/>
            <w:noWrap/>
          </w:tcPr>
          <w:p w:rsidR="00B951B1" w:rsidRPr="00E61612" w:rsidRDefault="00B951B1" w:rsidP="00CB78E6">
            <w:pPr>
              <w:spacing w:after="0"/>
              <w:jc w:val="right"/>
              <w:rPr>
                <w:rFonts w:eastAsia="Times New Roman" w:cs="Calibri"/>
                <w:color w:val="000000"/>
                <w:sz w:val="18"/>
                <w:szCs w:val="18"/>
              </w:rPr>
            </w:pPr>
            <w:r w:rsidRPr="00E61612">
              <w:rPr>
                <w:rFonts w:cs="Calibri"/>
                <w:color w:val="000000"/>
                <w:sz w:val="18"/>
                <w:szCs w:val="18"/>
              </w:rPr>
              <w:t>-</w:t>
            </w:r>
          </w:p>
        </w:tc>
        <w:tc>
          <w:tcPr>
            <w:tcW w:w="486" w:type="pct"/>
            <w:shd w:val="clear" w:color="auto" w:fill="F2F2F2"/>
            <w:noWrap/>
          </w:tcPr>
          <w:p w:rsidR="00B951B1" w:rsidRPr="00E61612" w:rsidRDefault="00B951B1" w:rsidP="00CB78E6">
            <w:pPr>
              <w:spacing w:after="0"/>
              <w:jc w:val="right"/>
              <w:rPr>
                <w:rFonts w:eastAsia="Times New Roman" w:cs="Calibri"/>
                <w:color w:val="000000"/>
                <w:sz w:val="18"/>
                <w:szCs w:val="18"/>
              </w:rPr>
            </w:pPr>
            <w:r w:rsidRPr="00E61612">
              <w:rPr>
                <w:rFonts w:cs="Calibri"/>
                <w:color w:val="000000"/>
                <w:sz w:val="18"/>
                <w:szCs w:val="18"/>
              </w:rPr>
              <w:t>-</w:t>
            </w:r>
          </w:p>
        </w:tc>
        <w:tc>
          <w:tcPr>
            <w:tcW w:w="458" w:type="pct"/>
            <w:shd w:val="clear" w:color="auto" w:fill="F2F2F2"/>
            <w:noWrap/>
          </w:tcPr>
          <w:p w:rsidR="00B951B1" w:rsidRPr="00E61612" w:rsidRDefault="00B951B1" w:rsidP="00CB78E6">
            <w:pPr>
              <w:spacing w:after="0"/>
              <w:jc w:val="right"/>
              <w:rPr>
                <w:rFonts w:eastAsia="Times New Roman" w:cs="Calibri"/>
                <w:color w:val="000000"/>
                <w:sz w:val="18"/>
                <w:szCs w:val="18"/>
              </w:rPr>
            </w:pPr>
            <w:r w:rsidRPr="00E61612">
              <w:rPr>
                <w:rFonts w:cs="Calibri"/>
                <w:color w:val="000000"/>
                <w:sz w:val="18"/>
                <w:szCs w:val="18"/>
              </w:rPr>
              <w:t>(7,534)</w:t>
            </w:r>
          </w:p>
        </w:tc>
      </w:tr>
      <w:tr w:rsidR="00B951B1" w:rsidRPr="00E61612" w:rsidTr="00CB78E6">
        <w:trPr>
          <w:trHeight w:val="705"/>
        </w:trPr>
        <w:tc>
          <w:tcPr>
            <w:tcW w:w="268" w:type="pct"/>
            <w:shd w:val="clear" w:color="auto" w:fill="auto"/>
          </w:tcPr>
          <w:p w:rsidR="00B951B1" w:rsidRPr="00E61612" w:rsidRDefault="00B951B1" w:rsidP="00CB78E6">
            <w:pPr>
              <w:spacing w:after="0"/>
              <w:jc w:val="center"/>
              <w:rPr>
                <w:rFonts w:eastAsia="Times New Roman" w:cs="Calibri"/>
                <w:b/>
                <w:bCs/>
                <w:color w:val="000000"/>
                <w:sz w:val="18"/>
                <w:szCs w:val="18"/>
              </w:rPr>
            </w:pPr>
            <w:r w:rsidRPr="00E61612">
              <w:rPr>
                <w:rFonts w:cs="Calibri"/>
                <w:b/>
                <w:bCs/>
                <w:color w:val="000000"/>
                <w:sz w:val="18"/>
                <w:szCs w:val="18"/>
              </w:rPr>
              <w:t>B1.3.1</w:t>
            </w:r>
          </w:p>
        </w:tc>
        <w:tc>
          <w:tcPr>
            <w:tcW w:w="1044" w:type="pct"/>
            <w:shd w:val="clear" w:color="auto" w:fill="auto"/>
          </w:tcPr>
          <w:p w:rsidR="00B951B1" w:rsidRPr="00E61612" w:rsidRDefault="00B951B1" w:rsidP="00CB78E6">
            <w:pPr>
              <w:spacing w:after="0"/>
              <w:rPr>
                <w:rFonts w:eastAsia="Times New Roman" w:cs="Calibri"/>
                <w:sz w:val="18"/>
                <w:szCs w:val="18"/>
              </w:rPr>
            </w:pPr>
            <w:r w:rsidRPr="00E61612">
              <w:rPr>
                <w:rFonts w:cs="Calibri"/>
                <w:sz w:val="18"/>
                <w:szCs w:val="18"/>
              </w:rPr>
              <w:t>Trajnimi i inspektorëve dhe drejtuesve e stafeve të shkollave lidhur me kornizën e vlerësimit të cilësisë</w:t>
            </w:r>
          </w:p>
        </w:tc>
        <w:tc>
          <w:tcPr>
            <w:tcW w:w="492" w:type="pct"/>
            <w:shd w:val="clear" w:color="auto" w:fill="auto"/>
          </w:tcPr>
          <w:p w:rsidR="00B951B1" w:rsidRPr="00E61612" w:rsidRDefault="00B951B1" w:rsidP="00CB78E6">
            <w:pPr>
              <w:spacing w:after="0"/>
              <w:jc w:val="center"/>
              <w:rPr>
                <w:rFonts w:eastAsia="Times New Roman" w:cs="Calibri"/>
                <w:color w:val="000000"/>
                <w:sz w:val="18"/>
                <w:szCs w:val="18"/>
              </w:rPr>
            </w:pPr>
            <w:r w:rsidRPr="00E61612">
              <w:rPr>
                <w:rFonts w:cs="Calibri"/>
                <w:color w:val="000000"/>
                <w:sz w:val="18"/>
                <w:szCs w:val="18"/>
              </w:rPr>
              <w:t>ASCAP</w:t>
            </w:r>
          </w:p>
        </w:tc>
        <w:tc>
          <w:tcPr>
            <w:tcW w:w="494" w:type="pct"/>
            <w:shd w:val="clear" w:color="auto" w:fill="auto"/>
          </w:tcPr>
          <w:p w:rsidR="00B951B1" w:rsidRPr="00E61612" w:rsidRDefault="00B951B1" w:rsidP="00CB78E6">
            <w:pPr>
              <w:spacing w:after="0"/>
              <w:jc w:val="center"/>
              <w:rPr>
                <w:rFonts w:eastAsia="Times New Roman" w:cs="Calibri"/>
                <w:color w:val="000000"/>
                <w:sz w:val="18"/>
                <w:szCs w:val="18"/>
              </w:rPr>
            </w:pPr>
            <w:r w:rsidRPr="00E61612">
              <w:rPr>
                <w:rFonts w:cs="Calibri"/>
                <w:color w:val="000000"/>
                <w:sz w:val="18"/>
                <w:szCs w:val="18"/>
              </w:rPr>
              <w:t>DPAP</w:t>
            </w:r>
          </w:p>
        </w:tc>
        <w:tc>
          <w:tcPr>
            <w:tcW w:w="383" w:type="pct"/>
            <w:shd w:val="clear" w:color="auto" w:fill="auto"/>
          </w:tcPr>
          <w:p w:rsidR="00B951B1" w:rsidRPr="00E61612" w:rsidRDefault="00B951B1" w:rsidP="00CB78E6">
            <w:pPr>
              <w:spacing w:after="0"/>
              <w:jc w:val="center"/>
              <w:rPr>
                <w:rFonts w:eastAsia="Times New Roman" w:cs="Calibri"/>
                <w:color w:val="000000"/>
                <w:sz w:val="18"/>
                <w:szCs w:val="18"/>
              </w:rPr>
            </w:pPr>
            <w:r w:rsidRPr="00E61612">
              <w:rPr>
                <w:rFonts w:cs="Calibri"/>
                <w:color w:val="000000"/>
                <w:sz w:val="18"/>
                <w:szCs w:val="18"/>
              </w:rPr>
              <w:t>TM2-2022</w:t>
            </w:r>
          </w:p>
        </w:tc>
        <w:tc>
          <w:tcPr>
            <w:tcW w:w="438" w:type="pct"/>
            <w:shd w:val="clear" w:color="auto" w:fill="auto"/>
          </w:tcPr>
          <w:p w:rsidR="00B951B1" w:rsidRPr="00E61612" w:rsidRDefault="00B951B1" w:rsidP="00CB78E6">
            <w:pPr>
              <w:spacing w:after="0"/>
              <w:jc w:val="center"/>
              <w:rPr>
                <w:rFonts w:eastAsia="Times New Roman" w:cs="Calibri"/>
                <w:color w:val="000000"/>
                <w:sz w:val="18"/>
                <w:szCs w:val="18"/>
              </w:rPr>
            </w:pPr>
            <w:r w:rsidRPr="00E61612">
              <w:rPr>
                <w:rFonts w:cs="Calibri"/>
                <w:color w:val="000000"/>
                <w:sz w:val="18"/>
                <w:szCs w:val="18"/>
              </w:rPr>
              <w:t>TM3-2025</w:t>
            </w:r>
          </w:p>
        </w:tc>
        <w:tc>
          <w:tcPr>
            <w:tcW w:w="462" w:type="pct"/>
            <w:shd w:val="clear" w:color="auto" w:fill="auto"/>
            <w:noWrap/>
          </w:tcPr>
          <w:p w:rsidR="00B951B1" w:rsidRPr="00E61612" w:rsidRDefault="00B951B1" w:rsidP="00CB78E6">
            <w:pPr>
              <w:spacing w:after="0"/>
              <w:jc w:val="right"/>
              <w:rPr>
                <w:rFonts w:eastAsia="Times New Roman" w:cs="Calibri"/>
                <w:color w:val="000000"/>
                <w:sz w:val="18"/>
                <w:szCs w:val="18"/>
              </w:rPr>
            </w:pPr>
            <w:r w:rsidRPr="00E61612">
              <w:rPr>
                <w:rFonts w:cs="Calibri"/>
                <w:color w:val="000000"/>
                <w:sz w:val="18"/>
                <w:szCs w:val="18"/>
              </w:rPr>
              <w:t>7,534</w:t>
            </w:r>
          </w:p>
        </w:tc>
        <w:tc>
          <w:tcPr>
            <w:tcW w:w="475" w:type="pct"/>
            <w:shd w:val="clear" w:color="auto" w:fill="auto"/>
            <w:noWrap/>
          </w:tcPr>
          <w:p w:rsidR="00B951B1" w:rsidRPr="00E61612" w:rsidRDefault="00B951B1" w:rsidP="00CB78E6">
            <w:pPr>
              <w:spacing w:after="0"/>
              <w:jc w:val="right"/>
              <w:rPr>
                <w:rFonts w:eastAsia="Times New Roman" w:cs="Calibri"/>
                <w:color w:val="000000"/>
                <w:sz w:val="18"/>
                <w:szCs w:val="18"/>
              </w:rPr>
            </w:pPr>
            <w:r w:rsidRPr="00E61612">
              <w:rPr>
                <w:rFonts w:cs="Calibri"/>
                <w:color w:val="000000"/>
                <w:sz w:val="18"/>
                <w:szCs w:val="18"/>
              </w:rPr>
              <w:t>-</w:t>
            </w:r>
          </w:p>
        </w:tc>
        <w:tc>
          <w:tcPr>
            <w:tcW w:w="486" w:type="pct"/>
            <w:shd w:val="clear" w:color="auto" w:fill="auto"/>
            <w:noWrap/>
          </w:tcPr>
          <w:p w:rsidR="00B951B1" w:rsidRPr="00E61612" w:rsidRDefault="00B951B1" w:rsidP="00CB78E6">
            <w:pPr>
              <w:spacing w:after="0"/>
              <w:jc w:val="right"/>
              <w:rPr>
                <w:rFonts w:eastAsia="Times New Roman" w:cs="Calibri"/>
                <w:color w:val="000000"/>
                <w:sz w:val="18"/>
                <w:szCs w:val="18"/>
              </w:rPr>
            </w:pPr>
            <w:r w:rsidRPr="00E61612">
              <w:rPr>
                <w:rFonts w:cs="Calibri"/>
                <w:color w:val="000000"/>
                <w:sz w:val="18"/>
                <w:szCs w:val="18"/>
              </w:rPr>
              <w:t>-</w:t>
            </w:r>
          </w:p>
        </w:tc>
        <w:tc>
          <w:tcPr>
            <w:tcW w:w="458" w:type="pct"/>
            <w:shd w:val="clear" w:color="auto" w:fill="auto"/>
            <w:noWrap/>
          </w:tcPr>
          <w:p w:rsidR="00B951B1" w:rsidRPr="00E61612" w:rsidRDefault="00B951B1" w:rsidP="00CB78E6">
            <w:pPr>
              <w:spacing w:after="0"/>
              <w:jc w:val="right"/>
              <w:rPr>
                <w:rFonts w:eastAsia="Times New Roman" w:cs="Calibri"/>
                <w:color w:val="000000"/>
                <w:sz w:val="18"/>
                <w:szCs w:val="18"/>
              </w:rPr>
            </w:pPr>
            <w:r w:rsidRPr="00E61612">
              <w:rPr>
                <w:rFonts w:cs="Calibri"/>
                <w:color w:val="000000"/>
                <w:sz w:val="18"/>
                <w:szCs w:val="18"/>
              </w:rPr>
              <w:t>(7,534)</w:t>
            </w:r>
          </w:p>
        </w:tc>
      </w:tr>
      <w:tr w:rsidR="00B951B1" w:rsidRPr="00E61612" w:rsidTr="00CB78E6">
        <w:trPr>
          <w:trHeight w:val="763"/>
        </w:trPr>
        <w:tc>
          <w:tcPr>
            <w:tcW w:w="268" w:type="pct"/>
            <w:shd w:val="clear" w:color="auto" w:fill="auto"/>
          </w:tcPr>
          <w:p w:rsidR="00B951B1" w:rsidRPr="00E61612" w:rsidRDefault="00B951B1" w:rsidP="00CB78E6">
            <w:pPr>
              <w:spacing w:after="0"/>
              <w:jc w:val="center"/>
              <w:rPr>
                <w:rFonts w:eastAsia="Times New Roman" w:cs="Calibri"/>
                <w:b/>
                <w:bCs/>
                <w:color w:val="000000"/>
                <w:sz w:val="18"/>
                <w:szCs w:val="18"/>
              </w:rPr>
            </w:pPr>
            <w:r w:rsidRPr="00E61612">
              <w:rPr>
                <w:rFonts w:cs="Calibri"/>
                <w:b/>
                <w:bCs/>
                <w:color w:val="000000"/>
                <w:sz w:val="18"/>
                <w:szCs w:val="18"/>
              </w:rPr>
              <w:t>B1.3.2</w:t>
            </w:r>
          </w:p>
        </w:tc>
        <w:tc>
          <w:tcPr>
            <w:tcW w:w="1044" w:type="pct"/>
            <w:shd w:val="clear" w:color="auto" w:fill="auto"/>
          </w:tcPr>
          <w:p w:rsidR="00B951B1" w:rsidRPr="00E61612" w:rsidRDefault="00B951B1" w:rsidP="00CB78E6">
            <w:pPr>
              <w:spacing w:after="0"/>
              <w:rPr>
                <w:rFonts w:eastAsia="Times New Roman" w:cs="Calibri"/>
                <w:sz w:val="18"/>
                <w:szCs w:val="18"/>
              </w:rPr>
            </w:pPr>
            <w:r w:rsidRPr="00E61612">
              <w:rPr>
                <w:rFonts w:cs="Calibri"/>
                <w:sz w:val="18"/>
                <w:szCs w:val="18"/>
              </w:rPr>
              <w:t>Mbështetja e vazhdueshme e shkollave me performancë të ulët me qëllim përmirësimin e tyre</w:t>
            </w:r>
          </w:p>
        </w:tc>
        <w:tc>
          <w:tcPr>
            <w:tcW w:w="492" w:type="pct"/>
            <w:shd w:val="clear" w:color="auto" w:fill="auto"/>
          </w:tcPr>
          <w:p w:rsidR="00B951B1" w:rsidRPr="00E61612" w:rsidRDefault="00B951B1" w:rsidP="00CB78E6">
            <w:pPr>
              <w:spacing w:after="0"/>
              <w:jc w:val="center"/>
              <w:rPr>
                <w:rFonts w:eastAsia="Times New Roman" w:cs="Calibri"/>
                <w:color w:val="000000"/>
                <w:sz w:val="18"/>
                <w:szCs w:val="18"/>
              </w:rPr>
            </w:pPr>
            <w:r w:rsidRPr="00E61612">
              <w:rPr>
                <w:rFonts w:cs="Calibri"/>
                <w:color w:val="000000"/>
                <w:sz w:val="18"/>
                <w:szCs w:val="18"/>
              </w:rPr>
              <w:t>DPAP</w:t>
            </w:r>
          </w:p>
        </w:tc>
        <w:tc>
          <w:tcPr>
            <w:tcW w:w="494" w:type="pct"/>
            <w:shd w:val="clear" w:color="auto" w:fill="auto"/>
          </w:tcPr>
          <w:p w:rsidR="00B951B1" w:rsidRPr="00E61612" w:rsidRDefault="00B951B1" w:rsidP="00CB78E6">
            <w:pPr>
              <w:spacing w:after="0"/>
              <w:jc w:val="center"/>
              <w:rPr>
                <w:rFonts w:eastAsia="Times New Roman" w:cs="Calibri"/>
                <w:color w:val="000000"/>
                <w:sz w:val="18"/>
                <w:szCs w:val="18"/>
              </w:rPr>
            </w:pPr>
            <w:r w:rsidRPr="00E61612">
              <w:rPr>
                <w:rFonts w:cs="Calibri"/>
                <w:color w:val="000000"/>
                <w:sz w:val="18"/>
                <w:szCs w:val="18"/>
              </w:rPr>
              <w:t>ASCAP</w:t>
            </w:r>
          </w:p>
        </w:tc>
        <w:tc>
          <w:tcPr>
            <w:tcW w:w="383" w:type="pct"/>
            <w:shd w:val="clear" w:color="auto" w:fill="auto"/>
          </w:tcPr>
          <w:p w:rsidR="00B951B1" w:rsidRPr="00E61612" w:rsidRDefault="00B951B1" w:rsidP="00CB78E6">
            <w:pPr>
              <w:spacing w:after="0"/>
              <w:jc w:val="center"/>
              <w:rPr>
                <w:rFonts w:eastAsia="Times New Roman" w:cs="Calibri"/>
                <w:color w:val="000000"/>
                <w:sz w:val="18"/>
                <w:szCs w:val="18"/>
              </w:rPr>
            </w:pPr>
            <w:r w:rsidRPr="00E61612">
              <w:rPr>
                <w:rFonts w:cs="Calibri"/>
                <w:color w:val="000000"/>
                <w:sz w:val="18"/>
                <w:szCs w:val="18"/>
              </w:rPr>
              <w:t>TM1-2023</w:t>
            </w:r>
          </w:p>
        </w:tc>
        <w:tc>
          <w:tcPr>
            <w:tcW w:w="438" w:type="pct"/>
            <w:shd w:val="clear" w:color="auto" w:fill="auto"/>
          </w:tcPr>
          <w:p w:rsidR="00B951B1" w:rsidRPr="00E61612" w:rsidRDefault="00B951B1" w:rsidP="00CB78E6">
            <w:pPr>
              <w:spacing w:after="0"/>
              <w:jc w:val="center"/>
              <w:rPr>
                <w:rFonts w:eastAsia="Times New Roman" w:cs="Calibri"/>
                <w:color w:val="000000"/>
                <w:sz w:val="18"/>
                <w:szCs w:val="18"/>
              </w:rPr>
            </w:pPr>
            <w:r w:rsidRPr="00E61612">
              <w:rPr>
                <w:rFonts w:cs="Calibri"/>
                <w:color w:val="000000"/>
                <w:sz w:val="18"/>
                <w:szCs w:val="18"/>
              </w:rPr>
              <w:t>TM4-2026</w:t>
            </w:r>
          </w:p>
        </w:tc>
        <w:tc>
          <w:tcPr>
            <w:tcW w:w="462" w:type="pct"/>
            <w:shd w:val="clear" w:color="auto" w:fill="auto"/>
            <w:noWrap/>
          </w:tcPr>
          <w:p w:rsidR="00B951B1" w:rsidRPr="00E61612" w:rsidRDefault="00B951B1" w:rsidP="00CB78E6">
            <w:pPr>
              <w:spacing w:after="0"/>
              <w:jc w:val="right"/>
              <w:rPr>
                <w:rFonts w:eastAsia="Times New Roman" w:cs="Calibri"/>
                <w:color w:val="000000"/>
                <w:sz w:val="18"/>
                <w:szCs w:val="18"/>
              </w:rPr>
            </w:pPr>
            <w:r w:rsidRPr="00E61612">
              <w:rPr>
                <w:rFonts w:cs="Calibri"/>
                <w:color w:val="000000"/>
                <w:sz w:val="18"/>
                <w:szCs w:val="18"/>
              </w:rPr>
              <w:t>-</w:t>
            </w:r>
          </w:p>
        </w:tc>
        <w:tc>
          <w:tcPr>
            <w:tcW w:w="475" w:type="pct"/>
            <w:shd w:val="clear" w:color="auto" w:fill="auto"/>
            <w:noWrap/>
          </w:tcPr>
          <w:p w:rsidR="00B951B1" w:rsidRPr="00E61612" w:rsidRDefault="00B951B1" w:rsidP="00CB78E6">
            <w:pPr>
              <w:spacing w:after="0"/>
              <w:jc w:val="right"/>
              <w:rPr>
                <w:rFonts w:eastAsia="Times New Roman" w:cs="Calibri"/>
                <w:color w:val="000000"/>
                <w:sz w:val="18"/>
                <w:szCs w:val="18"/>
              </w:rPr>
            </w:pPr>
            <w:r w:rsidRPr="00E61612">
              <w:rPr>
                <w:rFonts w:cs="Calibri"/>
                <w:color w:val="000000"/>
                <w:sz w:val="18"/>
                <w:szCs w:val="18"/>
              </w:rPr>
              <w:t>-</w:t>
            </w:r>
          </w:p>
        </w:tc>
        <w:tc>
          <w:tcPr>
            <w:tcW w:w="486" w:type="pct"/>
            <w:shd w:val="clear" w:color="auto" w:fill="auto"/>
            <w:noWrap/>
          </w:tcPr>
          <w:p w:rsidR="00B951B1" w:rsidRPr="00E61612" w:rsidRDefault="00B951B1" w:rsidP="00CB78E6">
            <w:pPr>
              <w:spacing w:after="0"/>
              <w:jc w:val="right"/>
              <w:rPr>
                <w:rFonts w:eastAsia="Times New Roman" w:cs="Calibri"/>
                <w:color w:val="000000"/>
                <w:sz w:val="18"/>
                <w:szCs w:val="18"/>
              </w:rPr>
            </w:pPr>
            <w:r w:rsidRPr="00E61612">
              <w:rPr>
                <w:rFonts w:cs="Calibri"/>
                <w:color w:val="000000"/>
                <w:sz w:val="18"/>
                <w:szCs w:val="18"/>
              </w:rPr>
              <w:t>-</w:t>
            </w:r>
          </w:p>
        </w:tc>
        <w:tc>
          <w:tcPr>
            <w:tcW w:w="458" w:type="pct"/>
            <w:shd w:val="clear" w:color="auto" w:fill="auto"/>
            <w:noWrap/>
          </w:tcPr>
          <w:p w:rsidR="00B951B1" w:rsidRPr="00E61612" w:rsidRDefault="00B951B1" w:rsidP="00CB78E6">
            <w:pPr>
              <w:spacing w:after="0"/>
              <w:jc w:val="right"/>
              <w:rPr>
                <w:rFonts w:eastAsia="Times New Roman" w:cs="Calibri"/>
                <w:color w:val="000000"/>
                <w:sz w:val="18"/>
                <w:szCs w:val="18"/>
              </w:rPr>
            </w:pPr>
            <w:r w:rsidRPr="00E61612">
              <w:rPr>
                <w:rFonts w:cs="Calibri"/>
                <w:color w:val="000000"/>
                <w:sz w:val="18"/>
                <w:szCs w:val="18"/>
              </w:rPr>
              <w:t>-</w:t>
            </w:r>
          </w:p>
        </w:tc>
      </w:tr>
      <w:tr w:rsidR="00B951B1" w:rsidRPr="00E61612" w:rsidTr="00CB78E6">
        <w:trPr>
          <w:trHeight w:val="510"/>
        </w:trPr>
        <w:tc>
          <w:tcPr>
            <w:tcW w:w="268" w:type="pct"/>
            <w:tcBorders>
              <w:bottom w:val="single" w:sz="4" w:space="0" w:color="auto"/>
            </w:tcBorders>
            <w:shd w:val="clear" w:color="auto" w:fill="auto"/>
          </w:tcPr>
          <w:p w:rsidR="00B951B1" w:rsidRPr="00E61612" w:rsidRDefault="00B951B1" w:rsidP="00CB78E6">
            <w:pPr>
              <w:spacing w:after="0"/>
              <w:jc w:val="center"/>
              <w:rPr>
                <w:rFonts w:eastAsia="Times New Roman" w:cs="Calibri"/>
                <w:b/>
                <w:bCs/>
                <w:color w:val="000000"/>
                <w:sz w:val="18"/>
                <w:szCs w:val="18"/>
              </w:rPr>
            </w:pPr>
            <w:r w:rsidRPr="00E61612">
              <w:rPr>
                <w:rFonts w:cs="Calibri"/>
                <w:b/>
                <w:bCs/>
                <w:color w:val="000000"/>
                <w:sz w:val="18"/>
                <w:szCs w:val="18"/>
              </w:rPr>
              <w:t>B1.3.3</w:t>
            </w:r>
          </w:p>
        </w:tc>
        <w:tc>
          <w:tcPr>
            <w:tcW w:w="1044" w:type="pct"/>
            <w:tcBorders>
              <w:bottom w:val="single" w:sz="4" w:space="0" w:color="auto"/>
            </w:tcBorders>
            <w:shd w:val="clear" w:color="auto" w:fill="auto"/>
          </w:tcPr>
          <w:p w:rsidR="00B951B1" w:rsidRPr="00E61612" w:rsidRDefault="00B951B1" w:rsidP="00CB78E6">
            <w:pPr>
              <w:spacing w:after="0"/>
              <w:rPr>
                <w:rFonts w:eastAsia="Times New Roman" w:cs="Calibri"/>
                <w:sz w:val="18"/>
                <w:szCs w:val="18"/>
              </w:rPr>
            </w:pPr>
            <w:r w:rsidRPr="00E61612">
              <w:rPr>
                <w:rFonts w:cs="Calibri"/>
                <w:sz w:val="18"/>
                <w:szCs w:val="18"/>
              </w:rPr>
              <w:t xml:space="preserve">Kontrolli i cilësisë </w:t>
            </w:r>
            <w:r>
              <w:rPr>
                <w:rFonts w:cs="Calibri"/>
                <w:sz w:val="18"/>
                <w:szCs w:val="18"/>
              </w:rPr>
              <w:t>s</w:t>
            </w:r>
            <w:r w:rsidRPr="00E61612">
              <w:rPr>
                <w:rFonts w:cs="Calibri"/>
                <w:sz w:val="18"/>
                <w:szCs w:val="18"/>
              </w:rPr>
              <w:t>ë vlerësimeve të jashtme i bazuar në risk</w:t>
            </w:r>
          </w:p>
        </w:tc>
        <w:tc>
          <w:tcPr>
            <w:tcW w:w="492" w:type="pct"/>
            <w:tcBorders>
              <w:bottom w:val="single" w:sz="4" w:space="0" w:color="auto"/>
            </w:tcBorders>
            <w:shd w:val="clear" w:color="auto" w:fill="auto"/>
          </w:tcPr>
          <w:p w:rsidR="00B951B1" w:rsidRPr="00E61612" w:rsidRDefault="00B951B1" w:rsidP="00CB78E6">
            <w:pPr>
              <w:spacing w:after="0"/>
              <w:jc w:val="center"/>
              <w:rPr>
                <w:rFonts w:eastAsia="Times New Roman" w:cs="Calibri"/>
                <w:color w:val="000000"/>
                <w:sz w:val="18"/>
                <w:szCs w:val="18"/>
              </w:rPr>
            </w:pPr>
            <w:r w:rsidRPr="00E61612">
              <w:rPr>
                <w:rFonts w:cs="Calibri"/>
                <w:color w:val="000000"/>
                <w:sz w:val="18"/>
                <w:szCs w:val="18"/>
              </w:rPr>
              <w:t>ASCAP</w:t>
            </w:r>
          </w:p>
        </w:tc>
        <w:tc>
          <w:tcPr>
            <w:tcW w:w="494" w:type="pct"/>
            <w:tcBorders>
              <w:bottom w:val="single" w:sz="4" w:space="0" w:color="auto"/>
            </w:tcBorders>
            <w:shd w:val="clear" w:color="auto" w:fill="auto"/>
          </w:tcPr>
          <w:p w:rsidR="00B951B1" w:rsidRPr="00E61612" w:rsidRDefault="00B951B1" w:rsidP="00CB78E6">
            <w:pPr>
              <w:spacing w:after="0"/>
              <w:jc w:val="center"/>
              <w:rPr>
                <w:rFonts w:eastAsia="Times New Roman" w:cs="Calibri"/>
                <w:color w:val="000000"/>
                <w:sz w:val="18"/>
                <w:szCs w:val="18"/>
              </w:rPr>
            </w:pPr>
            <w:r w:rsidRPr="00E61612">
              <w:rPr>
                <w:rFonts w:cs="Calibri"/>
                <w:color w:val="000000"/>
                <w:sz w:val="18"/>
                <w:szCs w:val="18"/>
              </w:rPr>
              <w:t> </w:t>
            </w:r>
          </w:p>
        </w:tc>
        <w:tc>
          <w:tcPr>
            <w:tcW w:w="383" w:type="pct"/>
            <w:tcBorders>
              <w:bottom w:val="single" w:sz="4" w:space="0" w:color="auto"/>
            </w:tcBorders>
            <w:shd w:val="clear" w:color="auto" w:fill="auto"/>
          </w:tcPr>
          <w:p w:rsidR="00B951B1" w:rsidRPr="00E61612" w:rsidRDefault="00B951B1" w:rsidP="00CB78E6">
            <w:pPr>
              <w:spacing w:after="0"/>
              <w:jc w:val="center"/>
              <w:rPr>
                <w:rFonts w:eastAsia="Times New Roman" w:cs="Calibri"/>
                <w:color w:val="000000"/>
                <w:sz w:val="18"/>
                <w:szCs w:val="18"/>
              </w:rPr>
            </w:pPr>
            <w:r w:rsidRPr="00E61612">
              <w:rPr>
                <w:rFonts w:cs="Calibri"/>
                <w:color w:val="000000"/>
                <w:sz w:val="18"/>
                <w:szCs w:val="18"/>
              </w:rPr>
              <w:t>TM1-2021</w:t>
            </w:r>
          </w:p>
        </w:tc>
        <w:tc>
          <w:tcPr>
            <w:tcW w:w="438" w:type="pct"/>
            <w:tcBorders>
              <w:bottom w:val="single" w:sz="4" w:space="0" w:color="auto"/>
            </w:tcBorders>
            <w:shd w:val="clear" w:color="auto" w:fill="auto"/>
          </w:tcPr>
          <w:p w:rsidR="00B951B1" w:rsidRPr="00E61612" w:rsidRDefault="00B951B1" w:rsidP="00CB78E6">
            <w:pPr>
              <w:spacing w:after="0"/>
              <w:jc w:val="center"/>
              <w:rPr>
                <w:rFonts w:eastAsia="Times New Roman" w:cs="Calibri"/>
                <w:color w:val="000000"/>
                <w:sz w:val="18"/>
                <w:szCs w:val="18"/>
              </w:rPr>
            </w:pPr>
            <w:r w:rsidRPr="00E61612">
              <w:rPr>
                <w:rFonts w:cs="Calibri"/>
                <w:color w:val="000000"/>
                <w:sz w:val="18"/>
                <w:szCs w:val="18"/>
              </w:rPr>
              <w:t>TM4-2026</w:t>
            </w:r>
          </w:p>
        </w:tc>
        <w:tc>
          <w:tcPr>
            <w:tcW w:w="462" w:type="pct"/>
            <w:tcBorders>
              <w:bottom w:val="single" w:sz="4" w:space="0" w:color="auto"/>
            </w:tcBorders>
            <w:shd w:val="clear" w:color="auto" w:fill="auto"/>
            <w:noWrap/>
          </w:tcPr>
          <w:p w:rsidR="00B951B1" w:rsidRPr="00E61612" w:rsidRDefault="00B951B1" w:rsidP="00CB78E6">
            <w:pPr>
              <w:spacing w:after="0"/>
              <w:jc w:val="right"/>
              <w:rPr>
                <w:rFonts w:eastAsia="Times New Roman" w:cs="Calibri"/>
                <w:color w:val="000000"/>
                <w:sz w:val="18"/>
                <w:szCs w:val="18"/>
              </w:rPr>
            </w:pPr>
            <w:r w:rsidRPr="00E61612">
              <w:rPr>
                <w:rFonts w:cs="Calibri"/>
                <w:color w:val="000000"/>
                <w:sz w:val="18"/>
                <w:szCs w:val="18"/>
              </w:rPr>
              <w:t>-</w:t>
            </w:r>
          </w:p>
        </w:tc>
        <w:tc>
          <w:tcPr>
            <w:tcW w:w="475" w:type="pct"/>
            <w:tcBorders>
              <w:bottom w:val="single" w:sz="4" w:space="0" w:color="auto"/>
            </w:tcBorders>
            <w:shd w:val="clear" w:color="auto" w:fill="auto"/>
            <w:noWrap/>
          </w:tcPr>
          <w:p w:rsidR="00B951B1" w:rsidRPr="00E61612" w:rsidRDefault="00B951B1" w:rsidP="00CB78E6">
            <w:pPr>
              <w:spacing w:after="0"/>
              <w:jc w:val="right"/>
              <w:rPr>
                <w:rFonts w:eastAsia="Times New Roman" w:cs="Calibri"/>
                <w:color w:val="000000"/>
                <w:sz w:val="18"/>
                <w:szCs w:val="18"/>
              </w:rPr>
            </w:pPr>
            <w:r w:rsidRPr="00E61612">
              <w:rPr>
                <w:rFonts w:cs="Calibri"/>
                <w:color w:val="000000"/>
                <w:sz w:val="18"/>
                <w:szCs w:val="18"/>
              </w:rPr>
              <w:t>-</w:t>
            </w:r>
          </w:p>
        </w:tc>
        <w:tc>
          <w:tcPr>
            <w:tcW w:w="486" w:type="pct"/>
            <w:tcBorders>
              <w:bottom w:val="single" w:sz="4" w:space="0" w:color="auto"/>
            </w:tcBorders>
            <w:shd w:val="clear" w:color="auto" w:fill="auto"/>
            <w:noWrap/>
          </w:tcPr>
          <w:p w:rsidR="00B951B1" w:rsidRPr="00E61612" w:rsidRDefault="00B951B1" w:rsidP="00CB78E6">
            <w:pPr>
              <w:spacing w:after="0"/>
              <w:jc w:val="right"/>
              <w:rPr>
                <w:rFonts w:eastAsia="Times New Roman" w:cs="Calibri"/>
                <w:color w:val="000000"/>
                <w:sz w:val="18"/>
                <w:szCs w:val="18"/>
              </w:rPr>
            </w:pPr>
            <w:r w:rsidRPr="00E61612">
              <w:rPr>
                <w:rFonts w:cs="Calibri"/>
                <w:color w:val="000000"/>
                <w:sz w:val="18"/>
                <w:szCs w:val="18"/>
              </w:rPr>
              <w:t>-</w:t>
            </w:r>
          </w:p>
        </w:tc>
        <w:tc>
          <w:tcPr>
            <w:tcW w:w="458" w:type="pct"/>
            <w:tcBorders>
              <w:bottom w:val="single" w:sz="4" w:space="0" w:color="auto"/>
            </w:tcBorders>
            <w:shd w:val="clear" w:color="auto" w:fill="auto"/>
            <w:noWrap/>
          </w:tcPr>
          <w:p w:rsidR="00B951B1" w:rsidRPr="00E61612" w:rsidRDefault="00B951B1" w:rsidP="00CB78E6">
            <w:pPr>
              <w:spacing w:after="0"/>
              <w:jc w:val="right"/>
              <w:rPr>
                <w:rFonts w:eastAsia="Times New Roman" w:cs="Calibri"/>
                <w:color w:val="000000"/>
                <w:sz w:val="18"/>
                <w:szCs w:val="18"/>
              </w:rPr>
            </w:pPr>
            <w:r w:rsidRPr="00E61612">
              <w:rPr>
                <w:rFonts w:cs="Calibri"/>
                <w:color w:val="000000"/>
                <w:sz w:val="18"/>
                <w:szCs w:val="18"/>
              </w:rPr>
              <w:t>-</w:t>
            </w:r>
          </w:p>
        </w:tc>
      </w:tr>
      <w:tr w:rsidR="00B951B1" w:rsidRPr="00E61612" w:rsidTr="00CB78E6">
        <w:trPr>
          <w:trHeight w:val="900"/>
        </w:trPr>
        <w:tc>
          <w:tcPr>
            <w:tcW w:w="268" w:type="pct"/>
            <w:tcBorders>
              <w:bottom w:val="single" w:sz="4" w:space="0" w:color="auto"/>
            </w:tcBorders>
            <w:shd w:val="clear" w:color="auto" w:fill="D9D9D9"/>
          </w:tcPr>
          <w:p w:rsidR="00B951B1" w:rsidRPr="00E61612" w:rsidRDefault="00B951B1" w:rsidP="00CB78E6">
            <w:pPr>
              <w:spacing w:after="0"/>
              <w:jc w:val="center"/>
              <w:rPr>
                <w:rFonts w:eastAsia="Times New Roman" w:cs="Calibri"/>
                <w:b/>
                <w:bCs/>
                <w:color w:val="000000"/>
                <w:sz w:val="18"/>
                <w:szCs w:val="18"/>
              </w:rPr>
            </w:pPr>
            <w:r w:rsidRPr="00E61612">
              <w:rPr>
                <w:rFonts w:cs="Calibri"/>
                <w:b/>
                <w:bCs/>
                <w:color w:val="000000"/>
                <w:sz w:val="18"/>
                <w:szCs w:val="18"/>
              </w:rPr>
              <w:t>B2</w:t>
            </w:r>
          </w:p>
        </w:tc>
        <w:tc>
          <w:tcPr>
            <w:tcW w:w="1044" w:type="pct"/>
            <w:tcBorders>
              <w:bottom w:val="single" w:sz="4" w:space="0" w:color="auto"/>
            </w:tcBorders>
            <w:shd w:val="clear" w:color="auto" w:fill="D9D9D9"/>
          </w:tcPr>
          <w:p w:rsidR="00B951B1" w:rsidRPr="00E61612" w:rsidRDefault="00B951B1" w:rsidP="00CB78E6">
            <w:pPr>
              <w:spacing w:after="0"/>
              <w:rPr>
                <w:rFonts w:eastAsia="Times New Roman" w:cs="Calibri"/>
                <w:sz w:val="18"/>
                <w:szCs w:val="18"/>
              </w:rPr>
            </w:pPr>
            <w:r w:rsidRPr="00E61612">
              <w:rPr>
                <w:rFonts w:cs="Calibri"/>
                <w:sz w:val="18"/>
                <w:szCs w:val="18"/>
              </w:rPr>
              <w:t>Garantimi i performancës së sistemit të arsimit përmes ndërtimit të një kornize gjithëpërfshirëse të vlerësimit dhe kapaciteteve për zbatimin e saj</w:t>
            </w:r>
          </w:p>
        </w:tc>
        <w:tc>
          <w:tcPr>
            <w:tcW w:w="492" w:type="pct"/>
            <w:tcBorders>
              <w:bottom w:val="single" w:sz="4" w:space="0" w:color="auto"/>
            </w:tcBorders>
            <w:shd w:val="clear" w:color="auto" w:fill="D9D9D9"/>
          </w:tcPr>
          <w:p w:rsidR="00B951B1" w:rsidRPr="00E61612" w:rsidRDefault="00B951B1" w:rsidP="00CB78E6">
            <w:pPr>
              <w:spacing w:after="0"/>
              <w:jc w:val="center"/>
              <w:rPr>
                <w:rFonts w:eastAsia="Times New Roman" w:cs="Calibri"/>
                <w:color w:val="000000"/>
                <w:sz w:val="18"/>
                <w:szCs w:val="18"/>
              </w:rPr>
            </w:pPr>
            <w:r w:rsidRPr="00E61612">
              <w:rPr>
                <w:rFonts w:cs="Calibri"/>
                <w:color w:val="000000"/>
                <w:sz w:val="18"/>
                <w:szCs w:val="18"/>
              </w:rPr>
              <w:t>MASR, QSHA</w:t>
            </w:r>
          </w:p>
        </w:tc>
        <w:tc>
          <w:tcPr>
            <w:tcW w:w="494" w:type="pct"/>
            <w:tcBorders>
              <w:bottom w:val="single" w:sz="4" w:space="0" w:color="auto"/>
            </w:tcBorders>
            <w:shd w:val="clear" w:color="auto" w:fill="D9D9D9"/>
          </w:tcPr>
          <w:p w:rsidR="00B951B1" w:rsidRPr="00E61612" w:rsidRDefault="00B951B1" w:rsidP="00CB78E6">
            <w:pPr>
              <w:spacing w:after="0"/>
              <w:jc w:val="center"/>
              <w:rPr>
                <w:rFonts w:eastAsia="Times New Roman" w:cs="Calibri"/>
                <w:color w:val="000000"/>
                <w:sz w:val="18"/>
                <w:szCs w:val="18"/>
              </w:rPr>
            </w:pPr>
            <w:r w:rsidRPr="00E61612">
              <w:rPr>
                <w:rFonts w:cs="Calibri"/>
                <w:color w:val="000000"/>
                <w:sz w:val="18"/>
                <w:szCs w:val="18"/>
              </w:rPr>
              <w:t>QSHA, RASH, INSTAT, ASCAP</w:t>
            </w:r>
          </w:p>
        </w:tc>
        <w:tc>
          <w:tcPr>
            <w:tcW w:w="383" w:type="pct"/>
            <w:tcBorders>
              <w:bottom w:val="single" w:sz="4" w:space="0" w:color="auto"/>
            </w:tcBorders>
            <w:shd w:val="clear" w:color="auto" w:fill="D9D9D9"/>
          </w:tcPr>
          <w:p w:rsidR="00B951B1" w:rsidRPr="00E61612" w:rsidRDefault="00B951B1" w:rsidP="00CB78E6">
            <w:pPr>
              <w:spacing w:after="0"/>
              <w:jc w:val="center"/>
              <w:rPr>
                <w:rFonts w:eastAsia="Times New Roman" w:cs="Calibri"/>
                <w:color w:val="000000"/>
                <w:sz w:val="18"/>
                <w:szCs w:val="18"/>
              </w:rPr>
            </w:pPr>
            <w:r w:rsidRPr="00E61612">
              <w:rPr>
                <w:rFonts w:cs="Calibri"/>
                <w:color w:val="000000"/>
                <w:sz w:val="18"/>
                <w:szCs w:val="18"/>
              </w:rPr>
              <w:t>TM1-2021</w:t>
            </w:r>
          </w:p>
        </w:tc>
        <w:tc>
          <w:tcPr>
            <w:tcW w:w="438" w:type="pct"/>
            <w:tcBorders>
              <w:bottom w:val="single" w:sz="4" w:space="0" w:color="auto"/>
            </w:tcBorders>
            <w:shd w:val="clear" w:color="auto" w:fill="D9D9D9"/>
          </w:tcPr>
          <w:p w:rsidR="00B951B1" w:rsidRPr="00E61612" w:rsidRDefault="00B951B1" w:rsidP="00CB78E6">
            <w:pPr>
              <w:spacing w:after="0"/>
              <w:jc w:val="center"/>
              <w:rPr>
                <w:rFonts w:eastAsia="Times New Roman" w:cs="Calibri"/>
                <w:color w:val="000000"/>
                <w:sz w:val="18"/>
                <w:szCs w:val="18"/>
              </w:rPr>
            </w:pPr>
            <w:r w:rsidRPr="00E61612">
              <w:rPr>
                <w:rFonts w:cs="Calibri"/>
                <w:color w:val="000000"/>
                <w:sz w:val="18"/>
                <w:szCs w:val="18"/>
              </w:rPr>
              <w:t>TM4-2026</w:t>
            </w:r>
          </w:p>
        </w:tc>
        <w:tc>
          <w:tcPr>
            <w:tcW w:w="462" w:type="pct"/>
            <w:tcBorders>
              <w:bottom w:val="single" w:sz="4" w:space="0" w:color="auto"/>
            </w:tcBorders>
            <w:shd w:val="clear" w:color="auto" w:fill="D9D9D9"/>
            <w:noWrap/>
          </w:tcPr>
          <w:p w:rsidR="00B951B1" w:rsidRPr="00E61612" w:rsidRDefault="00B951B1" w:rsidP="00CB78E6">
            <w:pPr>
              <w:spacing w:after="0"/>
              <w:jc w:val="right"/>
              <w:rPr>
                <w:rFonts w:eastAsia="Times New Roman" w:cs="Calibri"/>
                <w:color w:val="000000"/>
                <w:sz w:val="18"/>
                <w:szCs w:val="18"/>
              </w:rPr>
            </w:pPr>
            <w:r w:rsidRPr="00E61612">
              <w:rPr>
                <w:rFonts w:cs="Calibri"/>
                <w:color w:val="000000"/>
                <w:sz w:val="18"/>
                <w:szCs w:val="18"/>
              </w:rPr>
              <w:t>113,780</w:t>
            </w:r>
          </w:p>
        </w:tc>
        <w:tc>
          <w:tcPr>
            <w:tcW w:w="475" w:type="pct"/>
            <w:tcBorders>
              <w:bottom w:val="single" w:sz="4" w:space="0" w:color="auto"/>
            </w:tcBorders>
            <w:shd w:val="clear" w:color="auto" w:fill="D9D9D9"/>
            <w:noWrap/>
          </w:tcPr>
          <w:p w:rsidR="00B951B1" w:rsidRPr="00E61612" w:rsidRDefault="00B951B1" w:rsidP="00CB78E6">
            <w:pPr>
              <w:spacing w:after="0"/>
              <w:jc w:val="right"/>
              <w:rPr>
                <w:rFonts w:eastAsia="Times New Roman" w:cs="Calibri"/>
                <w:color w:val="000000"/>
                <w:sz w:val="18"/>
                <w:szCs w:val="18"/>
              </w:rPr>
            </w:pPr>
            <w:r w:rsidRPr="00E61612">
              <w:rPr>
                <w:rFonts w:cs="Calibri"/>
                <w:color w:val="000000"/>
                <w:sz w:val="18"/>
                <w:szCs w:val="18"/>
              </w:rPr>
              <w:t>55,200</w:t>
            </w:r>
          </w:p>
        </w:tc>
        <w:tc>
          <w:tcPr>
            <w:tcW w:w="486" w:type="pct"/>
            <w:tcBorders>
              <w:bottom w:val="single" w:sz="4" w:space="0" w:color="auto"/>
            </w:tcBorders>
            <w:shd w:val="clear" w:color="auto" w:fill="D9D9D9"/>
            <w:noWrap/>
          </w:tcPr>
          <w:p w:rsidR="00B951B1" w:rsidRPr="00E61612" w:rsidRDefault="00B951B1" w:rsidP="00CB78E6">
            <w:pPr>
              <w:spacing w:after="0"/>
              <w:jc w:val="right"/>
              <w:rPr>
                <w:rFonts w:eastAsia="Times New Roman" w:cs="Calibri"/>
                <w:color w:val="000000"/>
                <w:sz w:val="18"/>
                <w:szCs w:val="18"/>
              </w:rPr>
            </w:pPr>
            <w:r w:rsidRPr="00E61612">
              <w:rPr>
                <w:rFonts w:cs="Calibri"/>
                <w:color w:val="000000"/>
                <w:sz w:val="18"/>
                <w:szCs w:val="18"/>
              </w:rPr>
              <w:t>8,640</w:t>
            </w:r>
          </w:p>
        </w:tc>
        <w:tc>
          <w:tcPr>
            <w:tcW w:w="458" w:type="pct"/>
            <w:tcBorders>
              <w:bottom w:val="single" w:sz="4" w:space="0" w:color="auto"/>
            </w:tcBorders>
            <w:shd w:val="clear" w:color="auto" w:fill="D9D9D9"/>
            <w:noWrap/>
          </w:tcPr>
          <w:p w:rsidR="00B951B1" w:rsidRPr="00E61612" w:rsidRDefault="00B951B1" w:rsidP="00CB78E6">
            <w:pPr>
              <w:spacing w:after="0"/>
              <w:jc w:val="right"/>
              <w:rPr>
                <w:rFonts w:eastAsia="Times New Roman" w:cs="Calibri"/>
                <w:color w:val="000000"/>
                <w:sz w:val="18"/>
                <w:szCs w:val="18"/>
              </w:rPr>
            </w:pPr>
            <w:r w:rsidRPr="00E61612">
              <w:rPr>
                <w:rFonts w:cs="Calibri"/>
                <w:color w:val="000000"/>
                <w:sz w:val="18"/>
                <w:szCs w:val="18"/>
              </w:rPr>
              <w:t>(49,940)</w:t>
            </w:r>
          </w:p>
        </w:tc>
      </w:tr>
      <w:tr w:rsidR="00B951B1" w:rsidRPr="00E61612" w:rsidTr="00CB78E6">
        <w:trPr>
          <w:trHeight w:val="853"/>
        </w:trPr>
        <w:tc>
          <w:tcPr>
            <w:tcW w:w="268" w:type="pct"/>
            <w:tcBorders>
              <w:bottom w:val="single" w:sz="4" w:space="0" w:color="auto"/>
            </w:tcBorders>
            <w:shd w:val="clear" w:color="auto" w:fill="F2F2F2"/>
          </w:tcPr>
          <w:p w:rsidR="00B951B1" w:rsidRPr="00E61612" w:rsidRDefault="00B951B1" w:rsidP="00CB78E6">
            <w:pPr>
              <w:spacing w:after="0"/>
              <w:jc w:val="center"/>
              <w:rPr>
                <w:rFonts w:eastAsia="Times New Roman" w:cs="Calibri"/>
                <w:b/>
                <w:bCs/>
                <w:color w:val="000000"/>
                <w:sz w:val="18"/>
                <w:szCs w:val="18"/>
              </w:rPr>
            </w:pPr>
            <w:r w:rsidRPr="00E61612">
              <w:rPr>
                <w:rFonts w:cs="Calibri"/>
                <w:b/>
                <w:bCs/>
                <w:color w:val="000000"/>
                <w:sz w:val="18"/>
                <w:szCs w:val="18"/>
              </w:rPr>
              <w:t>B2.1</w:t>
            </w:r>
          </w:p>
        </w:tc>
        <w:tc>
          <w:tcPr>
            <w:tcW w:w="1044" w:type="pct"/>
            <w:tcBorders>
              <w:bottom w:val="single" w:sz="4" w:space="0" w:color="auto"/>
            </w:tcBorders>
            <w:shd w:val="clear" w:color="auto" w:fill="F2F2F2"/>
          </w:tcPr>
          <w:p w:rsidR="00B951B1" w:rsidRPr="00E61612" w:rsidRDefault="00B951B1" w:rsidP="00CB78E6">
            <w:pPr>
              <w:spacing w:after="0"/>
              <w:rPr>
                <w:rFonts w:eastAsia="Times New Roman" w:cs="Calibri"/>
                <w:sz w:val="18"/>
                <w:szCs w:val="18"/>
              </w:rPr>
            </w:pPr>
            <w:r w:rsidRPr="00E61612">
              <w:rPr>
                <w:rFonts w:cs="Calibri"/>
                <w:sz w:val="18"/>
                <w:szCs w:val="18"/>
              </w:rPr>
              <w:t>Funksionalizimi i plotë i Sistemit të Menaxhimit të Informacionit Parauniversitar (SMIP)</w:t>
            </w:r>
          </w:p>
        </w:tc>
        <w:tc>
          <w:tcPr>
            <w:tcW w:w="492" w:type="pct"/>
            <w:tcBorders>
              <w:bottom w:val="single" w:sz="4" w:space="0" w:color="auto"/>
            </w:tcBorders>
            <w:shd w:val="clear" w:color="auto" w:fill="F2F2F2"/>
          </w:tcPr>
          <w:p w:rsidR="00B951B1" w:rsidRPr="00E61612" w:rsidRDefault="00B951B1" w:rsidP="00CB78E6">
            <w:pPr>
              <w:spacing w:after="0"/>
              <w:jc w:val="center"/>
              <w:rPr>
                <w:rFonts w:eastAsia="Times New Roman" w:cs="Calibri"/>
                <w:color w:val="000000"/>
                <w:sz w:val="18"/>
                <w:szCs w:val="18"/>
              </w:rPr>
            </w:pPr>
            <w:r w:rsidRPr="00E61612">
              <w:rPr>
                <w:rFonts w:cs="Calibri"/>
                <w:color w:val="000000"/>
                <w:sz w:val="18"/>
                <w:szCs w:val="18"/>
              </w:rPr>
              <w:t>QSHA</w:t>
            </w:r>
          </w:p>
        </w:tc>
        <w:tc>
          <w:tcPr>
            <w:tcW w:w="494" w:type="pct"/>
            <w:tcBorders>
              <w:bottom w:val="single" w:sz="4" w:space="0" w:color="auto"/>
            </w:tcBorders>
            <w:shd w:val="clear" w:color="auto" w:fill="F2F2F2"/>
          </w:tcPr>
          <w:p w:rsidR="00B951B1" w:rsidRPr="00E61612" w:rsidRDefault="00B951B1" w:rsidP="00CB78E6">
            <w:pPr>
              <w:spacing w:after="0"/>
              <w:jc w:val="center"/>
              <w:rPr>
                <w:rFonts w:eastAsia="Times New Roman" w:cs="Calibri"/>
                <w:color w:val="000000"/>
                <w:sz w:val="18"/>
                <w:szCs w:val="18"/>
              </w:rPr>
            </w:pPr>
            <w:r w:rsidRPr="00E61612">
              <w:rPr>
                <w:rFonts w:cs="Calibri"/>
                <w:color w:val="000000"/>
                <w:sz w:val="18"/>
                <w:szCs w:val="18"/>
              </w:rPr>
              <w:t> </w:t>
            </w:r>
          </w:p>
        </w:tc>
        <w:tc>
          <w:tcPr>
            <w:tcW w:w="383" w:type="pct"/>
            <w:tcBorders>
              <w:bottom w:val="single" w:sz="4" w:space="0" w:color="auto"/>
            </w:tcBorders>
            <w:shd w:val="clear" w:color="auto" w:fill="F2F2F2"/>
          </w:tcPr>
          <w:p w:rsidR="00B951B1" w:rsidRPr="00E61612" w:rsidRDefault="00B951B1" w:rsidP="00CB78E6">
            <w:pPr>
              <w:spacing w:after="0"/>
              <w:jc w:val="center"/>
              <w:rPr>
                <w:rFonts w:eastAsia="Times New Roman" w:cs="Calibri"/>
                <w:color w:val="000000"/>
                <w:sz w:val="18"/>
                <w:szCs w:val="18"/>
              </w:rPr>
            </w:pPr>
            <w:r w:rsidRPr="00E61612">
              <w:rPr>
                <w:rFonts w:cs="Calibri"/>
                <w:color w:val="000000"/>
                <w:sz w:val="18"/>
                <w:szCs w:val="18"/>
              </w:rPr>
              <w:t>TM1-2021</w:t>
            </w:r>
          </w:p>
        </w:tc>
        <w:tc>
          <w:tcPr>
            <w:tcW w:w="438" w:type="pct"/>
            <w:tcBorders>
              <w:bottom w:val="single" w:sz="4" w:space="0" w:color="auto"/>
            </w:tcBorders>
            <w:shd w:val="clear" w:color="auto" w:fill="F2F2F2"/>
          </w:tcPr>
          <w:p w:rsidR="00B951B1" w:rsidRPr="00E61612" w:rsidRDefault="00B951B1" w:rsidP="00CB78E6">
            <w:pPr>
              <w:spacing w:after="0"/>
              <w:jc w:val="center"/>
              <w:rPr>
                <w:rFonts w:eastAsia="Times New Roman" w:cs="Calibri"/>
                <w:color w:val="000000"/>
                <w:sz w:val="18"/>
                <w:szCs w:val="18"/>
              </w:rPr>
            </w:pPr>
            <w:r w:rsidRPr="00E61612">
              <w:rPr>
                <w:rFonts w:cs="Calibri"/>
                <w:color w:val="000000"/>
                <w:sz w:val="18"/>
                <w:szCs w:val="18"/>
              </w:rPr>
              <w:t>TM4-2026</w:t>
            </w:r>
          </w:p>
        </w:tc>
        <w:tc>
          <w:tcPr>
            <w:tcW w:w="462" w:type="pct"/>
            <w:tcBorders>
              <w:bottom w:val="single" w:sz="4" w:space="0" w:color="auto"/>
            </w:tcBorders>
            <w:shd w:val="clear" w:color="auto" w:fill="F2F2F2"/>
            <w:noWrap/>
          </w:tcPr>
          <w:p w:rsidR="00B951B1" w:rsidRPr="00E61612" w:rsidRDefault="00B951B1" w:rsidP="00CB78E6">
            <w:pPr>
              <w:spacing w:after="0"/>
              <w:jc w:val="right"/>
              <w:rPr>
                <w:rFonts w:eastAsia="Times New Roman" w:cs="Calibri"/>
                <w:color w:val="000000"/>
                <w:sz w:val="18"/>
                <w:szCs w:val="18"/>
              </w:rPr>
            </w:pPr>
            <w:r w:rsidRPr="00E61612">
              <w:rPr>
                <w:rFonts w:cs="Calibri"/>
                <w:color w:val="000000"/>
                <w:sz w:val="18"/>
                <w:szCs w:val="18"/>
              </w:rPr>
              <w:t>55,200</w:t>
            </w:r>
          </w:p>
        </w:tc>
        <w:tc>
          <w:tcPr>
            <w:tcW w:w="475" w:type="pct"/>
            <w:tcBorders>
              <w:bottom w:val="single" w:sz="4" w:space="0" w:color="auto"/>
            </w:tcBorders>
            <w:shd w:val="clear" w:color="auto" w:fill="F2F2F2"/>
            <w:noWrap/>
          </w:tcPr>
          <w:p w:rsidR="00B951B1" w:rsidRPr="00E61612" w:rsidRDefault="00B951B1" w:rsidP="00CB78E6">
            <w:pPr>
              <w:spacing w:after="0"/>
              <w:jc w:val="right"/>
              <w:rPr>
                <w:rFonts w:eastAsia="Times New Roman" w:cs="Calibri"/>
                <w:color w:val="000000"/>
                <w:sz w:val="18"/>
                <w:szCs w:val="18"/>
              </w:rPr>
            </w:pPr>
            <w:r w:rsidRPr="00E61612">
              <w:rPr>
                <w:rFonts w:cs="Calibri"/>
                <w:color w:val="000000"/>
                <w:sz w:val="18"/>
                <w:szCs w:val="18"/>
              </w:rPr>
              <w:t>55,200</w:t>
            </w:r>
          </w:p>
        </w:tc>
        <w:tc>
          <w:tcPr>
            <w:tcW w:w="486" w:type="pct"/>
            <w:tcBorders>
              <w:bottom w:val="single" w:sz="4" w:space="0" w:color="auto"/>
            </w:tcBorders>
            <w:shd w:val="clear" w:color="auto" w:fill="F2F2F2"/>
            <w:noWrap/>
          </w:tcPr>
          <w:p w:rsidR="00B951B1" w:rsidRPr="00E61612" w:rsidRDefault="00B951B1" w:rsidP="00CB78E6">
            <w:pPr>
              <w:spacing w:after="0"/>
              <w:jc w:val="right"/>
              <w:rPr>
                <w:rFonts w:eastAsia="Times New Roman" w:cs="Calibri"/>
                <w:color w:val="000000"/>
                <w:sz w:val="18"/>
                <w:szCs w:val="18"/>
              </w:rPr>
            </w:pPr>
            <w:r w:rsidRPr="00E61612">
              <w:rPr>
                <w:rFonts w:cs="Calibri"/>
                <w:color w:val="000000"/>
                <w:sz w:val="18"/>
                <w:szCs w:val="18"/>
              </w:rPr>
              <w:t>-</w:t>
            </w:r>
          </w:p>
        </w:tc>
        <w:tc>
          <w:tcPr>
            <w:tcW w:w="458" w:type="pct"/>
            <w:tcBorders>
              <w:bottom w:val="single" w:sz="4" w:space="0" w:color="auto"/>
            </w:tcBorders>
            <w:shd w:val="clear" w:color="auto" w:fill="F2F2F2"/>
            <w:noWrap/>
          </w:tcPr>
          <w:p w:rsidR="00B951B1" w:rsidRPr="00E61612" w:rsidRDefault="00B951B1" w:rsidP="00CB78E6">
            <w:pPr>
              <w:spacing w:after="0"/>
              <w:jc w:val="right"/>
              <w:rPr>
                <w:rFonts w:eastAsia="Times New Roman" w:cs="Calibri"/>
                <w:color w:val="000000"/>
                <w:sz w:val="18"/>
                <w:szCs w:val="18"/>
              </w:rPr>
            </w:pPr>
            <w:r w:rsidRPr="00E61612">
              <w:rPr>
                <w:rFonts w:cs="Calibri"/>
                <w:color w:val="000000"/>
                <w:sz w:val="18"/>
                <w:szCs w:val="18"/>
              </w:rPr>
              <w:t>-</w:t>
            </w:r>
          </w:p>
        </w:tc>
      </w:tr>
      <w:tr w:rsidR="00B951B1" w:rsidRPr="00E61612" w:rsidTr="00CB78E6">
        <w:trPr>
          <w:trHeight w:val="510"/>
        </w:trPr>
        <w:tc>
          <w:tcPr>
            <w:tcW w:w="268" w:type="pct"/>
            <w:tcBorders>
              <w:bottom w:val="single" w:sz="4" w:space="0" w:color="auto"/>
            </w:tcBorders>
            <w:shd w:val="clear" w:color="auto" w:fill="auto"/>
          </w:tcPr>
          <w:p w:rsidR="00B951B1" w:rsidRPr="00E61612" w:rsidRDefault="00B951B1" w:rsidP="00CB78E6">
            <w:pPr>
              <w:spacing w:after="0"/>
              <w:jc w:val="center"/>
              <w:rPr>
                <w:rFonts w:eastAsia="Times New Roman" w:cs="Calibri"/>
                <w:b/>
                <w:bCs/>
                <w:color w:val="000000"/>
                <w:sz w:val="18"/>
                <w:szCs w:val="18"/>
              </w:rPr>
            </w:pPr>
            <w:r w:rsidRPr="00E61612">
              <w:rPr>
                <w:rFonts w:cs="Calibri"/>
                <w:b/>
                <w:bCs/>
                <w:color w:val="000000"/>
                <w:sz w:val="18"/>
                <w:szCs w:val="18"/>
              </w:rPr>
              <w:t>B2.1.1</w:t>
            </w:r>
          </w:p>
        </w:tc>
        <w:tc>
          <w:tcPr>
            <w:tcW w:w="1044" w:type="pct"/>
            <w:tcBorders>
              <w:bottom w:val="single" w:sz="4" w:space="0" w:color="auto"/>
            </w:tcBorders>
            <w:shd w:val="clear" w:color="auto" w:fill="auto"/>
          </w:tcPr>
          <w:p w:rsidR="00B951B1" w:rsidRPr="00E61612" w:rsidRDefault="00B951B1" w:rsidP="00CB78E6">
            <w:pPr>
              <w:spacing w:after="0"/>
              <w:rPr>
                <w:rFonts w:eastAsia="Times New Roman" w:cs="Calibri"/>
                <w:sz w:val="18"/>
                <w:szCs w:val="18"/>
              </w:rPr>
            </w:pPr>
            <w:r w:rsidRPr="00E61612">
              <w:rPr>
                <w:rFonts w:cs="Calibri"/>
                <w:sz w:val="18"/>
                <w:szCs w:val="18"/>
              </w:rPr>
              <w:t>Konsolidimi i SMIP për ofrimin e të dhënave të nevojshme për vendimmarrje</w:t>
            </w:r>
          </w:p>
        </w:tc>
        <w:tc>
          <w:tcPr>
            <w:tcW w:w="492" w:type="pct"/>
            <w:tcBorders>
              <w:bottom w:val="single" w:sz="4" w:space="0" w:color="auto"/>
            </w:tcBorders>
            <w:shd w:val="clear" w:color="auto" w:fill="auto"/>
          </w:tcPr>
          <w:p w:rsidR="00B951B1" w:rsidRPr="00E61612" w:rsidRDefault="00B951B1" w:rsidP="00CB78E6">
            <w:pPr>
              <w:spacing w:after="0"/>
              <w:jc w:val="center"/>
              <w:rPr>
                <w:rFonts w:eastAsia="Times New Roman" w:cs="Calibri"/>
                <w:color w:val="000000"/>
                <w:sz w:val="18"/>
                <w:szCs w:val="18"/>
              </w:rPr>
            </w:pPr>
            <w:r w:rsidRPr="00E61612">
              <w:rPr>
                <w:rFonts w:cs="Calibri"/>
                <w:color w:val="000000"/>
                <w:sz w:val="18"/>
                <w:szCs w:val="18"/>
              </w:rPr>
              <w:t>QSHA</w:t>
            </w:r>
          </w:p>
        </w:tc>
        <w:tc>
          <w:tcPr>
            <w:tcW w:w="494" w:type="pct"/>
            <w:tcBorders>
              <w:bottom w:val="single" w:sz="4" w:space="0" w:color="auto"/>
            </w:tcBorders>
            <w:shd w:val="clear" w:color="auto" w:fill="auto"/>
          </w:tcPr>
          <w:p w:rsidR="00B951B1" w:rsidRPr="00E61612" w:rsidRDefault="00B951B1" w:rsidP="00CB78E6">
            <w:pPr>
              <w:spacing w:after="0"/>
              <w:jc w:val="center"/>
              <w:rPr>
                <w:rFonts w:eastAsia="Times New Roman" w:cs="Calibri"/>
                <w:color w:val="000000"/>
                <w:sz w:val="18"/>
                <w:szCs w:val="18"/>
              </w:rPr>
            </w:pPr>
            <w:r w:rsidRPr="00E61612">
              <w:rPr>
                <w:rFonts w:cs="Calibri"/>
                <w:color w:val="000000"/>
                <w:sz w:val="18"/>
                <w:szCs w:val="18"/>
              </w:rPr>
              <w:t> </w:t>
            </w:r>
          </w:p>
        </w:tc>
        <w:tc>
          <w:tcPr>
            <w:tcW w:w="383" w:type="pct"/>
            <w:tcBorders>
              <w:bottom w:val="single" w:sz="4" w:space="0" w:color="auto"/>
            </w:tcBorders>
            <w:shd w:val="clear" w:color="auto" w:fill="auto"/>
          </w:tcPr>
          <w:p w:rsidR="00B951B1" w:rsidRPr="00E61612" w:rsidRDefault="00B951B1" w:rsidP="00CB78E6">
            <w:pPr>
              <w:spacing w:after="0"/>
              <w:jc w:val="center"/>
              <w:rPr>
                <w:rFonts w:eastAsia="Times New Roman" w:cs="Calibri"/>
                <w:color w:val="000000"/>
                <w:sz w:val="18"/>
                <w:szCs w:val="18"/>
              </w:rPr>
            </w:pPr>
            <w:r w:rsidRPr="00E61612">
              <w:rPr>
                <w:rFonts w:cs="Calibri"/>
                <w:color w:val="000000"/>
                <w:sz w:val="18"/>
                <w:szCs w:val="18"/>
              </w:rPr>
              <w:t>TM1-2021</w:t>
            </w:r>
          </w:p>
        </w:tc>
        <w:tc>
          <w:tcPr>
            <w:tcW w:w="438" w:type="pct"/>
            <w:tcBorders>
              <w:bottom w:val="single" w:sz="4" w:space="0" w:color="auto"/>
            </w:tcBorders>
            <w:shd w:val="clear" w:color="auto" w:fill="auto"/>
          </w:tcPr>
          <w:p w:rsidR="00B951B1" w:rsidRPr="00E61612" w:rsidRDefault="00B951B1" w:rsidP="00CB78E6">
            <w:pPr>
              <w:spacing w:after="0"/>
              <w:jc w:val="center"/>
              <w:rPr>
                <w:rFonts w:eastAsia="Times New Roman" w:cs="Calibri"/>
                <w:color w:val="000000"/>
                <w:sz w:val="18"/>
                <w:szCs w:val="18"/>
              </w:rPr>
            </w:pPr>
            <w:r w:rsidRPr="00E61612">
              <w:rPr>
                <w:rFonts w:cs="Calibri"/>
                <w:color w:val="000000"/>
                <w:sz w:val="18"/>
                <w:szCs w:val="18"/>
              </w:rPr>
              <w:t>TM4-2026</w:t>
            </w:r>
          </w:p>
        </w:tc>
        <w:tc>
          <w:tcPr>
            <w:tcW w:w="462" w:type="pct"/>
            <w:tcBorders>
              <w:bottom w:val="single" w:sz="4" w:space="0" w:color="auto"/>
            </w:tcBorders>
            <w:shd w:val="clear" w:color="auto" w:fill="auto"/>
            <w:noWrap/>
          </w:tcPr>
          <w:p w:rsidR="00B951B1" w:rsidRPr="00E61612" w:rsidRDefault="00B951B1" w:rsidP="00CB78E6">
            <w:pPr>
              <w:spacing w:after="0"/>
              <w:jc w:val="right"/>
              <w:rPr>
                <w:rFonts w:eastAsia="Times New Roman" w:cs="Calibri"/>
                <w:color w:val="000000"/>
                <w:sz w:val="18"/>
                <w:szCs w:val="18"/>
              </w:rPr>
            </w:pPr>
            <w:r w:rsidRPr="00E61612">
              <w:rPr>
                <w:rFonts w:cs="Calibri"/>
                <w:color w:val="000000"/>
                <w:sz w:val="18"/>
                <w:szCs w:val="18"/>
              </w:rPr>
              <w:t>55,200</w:t>
            </w:r>
          </w:p>
        </w:tc>
        <w:tc>
          <w:tcPr>
            <w:tcW w:w="475" w:type="pct"/>
            <w:tcBorders>
              <w:bottom w:val="single" w:sz="4" w:space="0" w:color="auto"/>
            </w:tcBorders>
            <w:shd w:val="clear" w:color="auto" w:fill="auto"/>
            <w:noWrap/>
          </w:tcPr>
          <w:p w:rsidR="00B951B1" w:rsidRPr="00E61612" w:rsidRDefault="00B951B1" w:rsidP="00CB78E6">
            <w:pPr>
              <w:spacing w:after="0"/>
              <w:jc w:val="right"/>
              <w:rPr>
                <w:rFonts w:eastAsia="Times New Roman" w:cs="Calibri"/>
                <w:color w:val="000000"/>
                <w:sz w:val="18"/>
                <w:szCs w:val="18"/>
              </w:rPr>
            </w:pPr>
            <w:r w:rsidRPr="00E61612">
              <w:rPr>
                <w:rFonts w:cs="Calibri"/>
                <w:color w:val="000000"/>
                <w:sz w:val="18"/>
                <w:szCs w:val="18"/>
              </w:rPr>
              <w:t>55,200</w:t>
            </w:r>
          </w:p>
        </w:tc>
        <w:tc>
          <w:tcPr>
            <w:tcW w:w="486" w:type="pct"/>
            <w:tcBorders>
              <w:bottom w:val="single" w:sz="4" w:space="0" w:color="auto"/>
            </w:tcBorders>
            <w:shd w:val="clear" w:color="auto" w:fill="auto"/>
            <w:noWrap/>
          </w:tcPr>
          <w:p w:rsidR="00B951B1" w:rsidRPr="00E61612" w:rsidRDefault="00B951B1" w:rsidP="00CB78E6">
            <w:pPr>
              <w:spacing w:after="0"/>
              <w:jc w:val="right"/>
              <w:rPr>
                <w:rFonts w:eastAsia="Times New Roman" w:cs="Calibri"/>
                <w:color w:val="000000"/>
                <w:sz w:val="18"/>
                <w:szCs w:val="18"/>
              </w:rPr>
            </w:pPr>
            <w:r w:rsidRPr="00E61612">
              <w:rPr>
                <w:rFonts w:cs="Calibri"/>
                <w:color w:val="000000"/>
                <w:sz w:val="18"/>
                <w:szCs w:val="18"/>
              </w:rPr>
              <w:t>-</w:t>
            </w:r>
          </w:p>
        </w:tc>
        <w:tc>
          <w:tcPr>
            <w:tcW w:w="458" w:type="pct"/>
            <w:tcBorders>
              <w:bottom w:val="single" w:sz="4" w:space="0" w:color="auto"/>
            </w:tcBorders>
            <w:shd w:val="clear" w:color="auto" w:fill="auto"/>
            <w:noWrap/>
          </w:tcPr>
          <w:p w:rsidR="00B951B1" w:rsidRPr="00E61612" w:rsidRDefault="00B951B1" w:rsidP="00CB78E6">
            <w:pPr>
              <w:spacing w:after="0"/>
              <w:jc w:val="right"/>
              <w:rPr>
                <w:rFonts w:eastAsia="Times New Roman" w:cs="Calibri"/>
                <w:color w:val="000000"/>
                <w:sz w:val="18"/>
                <w:szCs w:val="18"/>
              </w:rPr>
            </w:pPr>
            <w:r w:rsidRPr="00E61612">
              <w:rPr>
                <w:rFonts w:cs="Calibri"/>
                <w:color w:val="000000"/>
                <w:sz w:val="18"/>
                <w:szCs w:val="18"/>
              </w:rPr>
              <w:t>-</w:t>
            </w:r>
          </w:p>
        </w:tc>
      </w:tr>
      <w:tr w:rsidR="00B951B1" w:rsidRPr="00E61612" w:rsidTr="00CB78E6">
        <w:trPr>
          <w:trHeight w:val="833"/>
        </w:trPr>
        <w:tc>
          <w:tcPr>
            <w:tcW w:w="268" w:type="pct"/>
            <w:shd w:val="clear" w:color="auto" w:fill="F2F2F2"/>
          </w:tcPr>
          <w:p w:rsidR="00B951B1" w:rsidRPr="00E61612" w:rsidRDefault="00B951B1" w:rsidP="00CB78E6">
            <w:pPr>
              <w:spacing w:after="0"/>
              <w:jc w:val="center"/>
              <w:rPr>
                <w:rFonts w:eastAsia="Times New Roman" w:cs="Calibri"/>
                <w:b/>
                <w:bCs/>
                <w:color w:val="000000"/>
                <w:sz w:val="18"/>
                <w:szCs w:val="18"/>
              </w:rPr>
            </w:pPr>
            <w:r w:rsidRPr="00E61612">
              <w:rPr>
                <w:rFonts w:cs="Calibri"/>
                <w:b/>
                <w:bCs/>
                <w:color w:val="000000"/>
                <w:sz w:val="18"/>
                <w:szCs w:val="18"/>
              </w:rPr>
              <w:t>B2.2</w:t>
            </w:r>
          </w:p>
        </w:tc>
        <w:tc>
          <w:tcPr>
            <w:tcW w:w="1044" w:type="pct"/>
            <w:shd w:val="clear" w:color="auto" w:fill="F2F2F2"/>
          </w:tcPr>
          <w:p w:rsidR="00B951B1" w:rsidRPr="00E61612" w:rsidRDefault="00B951B1" w:rsidP="00CB78E6">
            <w:pPr>
              <w:spacing w:after="0"/>
              <w:rPr>
                <w:rFonts w:eastAsia="Times New Roman" w:cs="Calibri"/>
                <w:sz w:val="18"/>
                <w:szCs w:val="18"/>
              </w:rPr>
            </w:pPr>
            <w:r w:rsidRPr="00E61612">
              <w:rPr>
                <w:rFonts w:cs="Calibri"/>
                <w:sz w:val="18"/>
                <w:szCs w:val="18"/>
              </w:rPr>
              <w:t>Krijimi i Sistemit për Menaxhimin e Informacionit në Arsimin e Lartë (SMIAL)</w:t>
            </w:r>
          </w:p>
        </w:tc>
        <w:tc>
          <w:tcPr>
            <w:tcW w:w="492" w:type="pct"/>
            <w:shd w:val="clear" w:color="auto" w:fill="F2F2F2"/>
          </w:tcPr>
          <w:p w:rsidR="00B951B1" w:rsidRPr="00E61612" w:rsidRDefault="00B951B1" w:rsidP="00CB78E6">
            <w:pPr>
              <w:spacing w:after="0"/>
              <w:jc w:val="center"/>
              <w:rPr>
                <w:rFonts w:eastAsia="Times New Roman" w:cs="Calibri"/>
                <w:color w:val="000000"/>
                <w:sz w:val="18"/>
                <w:szCs w:val="18"/>
              </w:rPr>
            </w:pPr>
            <w:r w:rsidRPr="00E61612">
              <w:rPr>
                <w:rFonts w:cs="Calibri"/>
                <w:color w:val="000000"/>
                <w:sz w:val="18"/>
                <w:szCs w:val="18"/>
              </w:rPr>
              <w:t>MASR</w:t>
            </w:r>
          </w:p>
        </w:tc>
        <w:tc>
          <w:tcPr>
            <w:tcW w:w="494" w:type="pct"/>
            <w:shd w:val="clear" w:color="auto" w:fill="F2F2F2"/>
          </w:tcPr>
          <w:p w:rsidR="00B951B1" w:rsidRPr="00E61612" w:rsidRDefault="00B951B1" w:rsidP="00CB78E6">
            <w:pPr>
              <w:spacing w:after="0"/>
              <w:jc w:val="center"/>
              <w:rPr>
                <w:rFonts w:eastAsia="Times New Roman" w:cs="Calibri"/>
                <w:color w:val="000000"/>
                <w:sz w:val="18"/>
                <w:szCs w:val="18"/>
              </w:rPr>
            </w:pPr>
            <w:r w:rsidRPr="00E61612">
              <w:rPr>
                <w:rFonts w:cs="Calibri"/>
                <w:color w:val="000000"/>
                <w:sz w:val="18"/>
                <w:szCs w:val="18"/>
              </w:rPr>
              <w:t>QSHA, RASH</w:t>
            </w:r>
          </w:p>
        </w:tc>
        <w:tc>
          <w:tcPr>
            <w:tcW w:w="383" w:type="pct"/>
            <w:shd w:val="clear" w:color="auto" w:fill="F2F2F2"/>
          </w:tcPr>
          <w:p w:rsidR="00B951B1" w:rsidRPr="00E61612" w:rsidRDefault="00B951B1" w:rsidP="00CB78E6">
            <w:pPr>
              <w:spacing w:after="0"/>
              <w:jc w:val="center"/>
              <w:rPr>
                <w:rFonts w:eastAsia="Times New Roman" w:cs="Calibri"/>
                <w:color w:val="000000"/>
                <w:sz w:val="18"/>
                <w:szCs w:val="18"/>
              </w:rPr>
            </w:pPr>
            <w:r w:rsidRPr="00E61612">
              <w:rPr>
                <w:rFonts w:cs="Calibri"/>
                <w:color w:val="000000"/>
                <w:sz w:val="18"/>
                <w:szCs w:val="18"/>
              </w:rPr>
              <w:t>TM2-2021</w:t>
            </w:r>
          </w:p>
        </w:tc>
        <w:tc>
          <w:tcPr>
            <w:tcW w:w="438" w:type="pct"/>
            <w:shd w:val="clear" w:color="auto" w:fill="F2F2F2"/>
          </w:tcPr>
          <w:p w:rsidR="00B951B1" w:rsidRPr="00E61612" w:rsidRDefault="00B951B1" w:rsidP="00CB78E6">
            <w:pPr>
              <w:spacing w:after="0"/>
              <w:jc w:val="center"/>
              <w:rPr>
                <w:rFonts w:eastAsia="Times New Roman" w:cs="Calibri"/>
                <w:color w:val="000000"/>
                <w:sz w:val="18"/>
                <w:szCs w:val="18"/>
              </w:rPr>
            </w:pPr>
            <w:r w:rsidRPr="00E61612">
              <w:rPr>
                <w:rFonts w:cs="Calibri"/>
                <w:color w:val="000000"/>
                <w:sz w:val="18"/>
                <w:szCs w:val="18"/>
              </w:rPr>
              <w:t>TM4-2023</w:t>
            </w:r>
          </w:p>
        </w:tc>
        <w:tc>
          <w:tcPr>
            <w:tcW w:w="462" w:type="pct"/>
            <w:shd w:val="clear" w:color="auto" w:fill="F2F2F2"/>
            <w:noWrap/>
          </w:tcPr>
          <w:p w:rsidR="00B951B1" w:rsidRPr="00E61612" w:rsidRDefault="00B951B1" w:rsidP="00CB78E6">
            <w:pPr>
              <w:spacing w:after="0"/>
              <w:jc w:val="right"/>
              <w:rPr>
                <w:rFonts w:eastAsia="Times New Roman" w:cs="Calibri"/>
                <w:color w:val="000000"/>
                <w:sz w:val="18"/>
                <w:szCs w:val="18"/>
              </w:rPr>
            </w:pPr>
            <w:r w:rsidRPr="00E61612">
              <w:rPr>
                <w:rFonts w:cs="Calibri"/>
                <w:color w:val="000000"/>
                <w:sz w:val="18"/>
                <w:szCs w:val="18"/>
              </w:rPr>
              <w:t>45,000</w:t>
            </w:r>
          </w:p>
        </w:tc>
        <w:tc>
          <w:tcPr>
            <w:tcW w:w="475" w:type="pct"/>
            <w:shd w:val="clear" w:color="auto" w:fill="F2F2F2"/>
            <w:noWrap/>
          </w:tcPr>
          <w:p w:rsidR="00B951B1" w:rsidRPr="00E61612" w:rsidRDefault="00B951B1" w:rsidP="00CB78E6">
            <w:pPr>
              <w:spacing w:after="0"/>
              <w:jc w:val="right"/>
              <w:rPr>
                <w:rFonts w:eastAsia="Times New Roman" w:cs="Calibri"/>
                <w:color w:val="000000"/>
                <w:sz w:val="18"/>
                <w:szCs w:val="18"/>
              </w:rPr>
            </w:pPr>
            <w:r w:rsidRPr="00E61612">
              <w:rPr>
                <w:rFonts w:cs="Calibri"/>
                <w:color w:val="000000"/>
                <w:sz w:val="18"/>
                <w:szCs w:val="18"/>
              </w:rPr>
              <w:t>-</w:t>
            </w:r>
          </w:p>
        </w:tc>
        <w:tc>
          <w:tcPr>
            <w:tcW w:w="486" w:type="pct"/>
            <w:shd w:val="clear" w:color="auto" w:fill="F2F2F2"/>
            <w:noWrap/>
          </w:tcPr>
          <w:p w:rsidR="00B951B1" w:rsidRPr="00E61612" w:rsidRDefault="00B951B1" w:rsidP="00CB78E6">
            <w:pPr>
              <w:spacing w:after="0"/>
              <w:jc w:val="right"/>
              <w:rPr>
                <w:rFonts w:eastAsia="Times New Roman" w:cs="Calibri"/>
                <w:color w:val="000000"/>
                <w:sz w:val="18"/>
                <w:szCs w:val="18"/>
              </w:rPr>
            </w:pPr>
            <w:r w:rsidRPr="00E61612">
              <w:rPr>
                <w:rFonts w:cs="Calibri"/>
                <w:color w:val="000000"/>
                <w:sz w:val="18"/>
                <w:szCs w:val="18"/>
              </w:rPr>
              <w:t>-</w:t>
            </w:r>
          </w:p>
        </w:tc>
        <w:tc>
          <w:tcPr>
            <w:tcW w:w="458" w:type="pct"/>
            <w:shd w:val="clear" w:color="auto" w:fill="F2F2F2"/>
            <w:noWrap/>
          </w:tcPr>
          <w:p w:rsidR="00B951B1" w:rsidRPr="00E61612" w:rsidRDefault="00B951B1" w:rsidP="00CB78E6">
            <w:pPr>
              <w:spacing w:after="0"/>
              <w:jc w:val="right"/>
              <w:rPr>
                <w:rFonts w:eastAsia="Times New Roman" w:cs="Calibri"/>
                <w:color w:val="000000"/>
                <w:sz w:val="18"/>
                <w:szCs w:val="18"/>
              </w:rPr>
            </w:pPr>
            <w:r w:rsidRPr="00E61612">
              <w:rPr>
                <w:rFonts w:cs="Calibri"/>
                <w:color w:val="000000"/>
                <w:sz w:val="18"/>
                <w:szCs w:val="18"/>
              </w:rPr>
              <w:t>(45,000)</w:t>
            </w:r>
          </w:p>
        </w:tc>
      </w:tr>
      <w:tr w:rsidR="00B951B1" w:rsidRPr="00E61612" w:rsidTr="00CB78E6">
        <w:trPr>
          <w:trHeight w:val="538"/>
        </w:trPr>
        <w:tc>
          <w:tcPr>
            <w:tcW w:w="268" w:type="pct"/>
            <w:tcBorders>
              <w:bottom w:val="single" w:sz="4" w:space="0" w:color="auto"/>
            </w:tcBorders>
            <w:shd w:val="clear" w:color="auto" w:fill="auto"/>
          </w:tcPr>
          <w:p w:rsidR="00B951B1" w:rsidRPr="00E61612" w:rsidRDefault="00B951B1" w:rsidP="00CB78E6">
            <w:pPr>
              <w:spacing w:after="0"/>
              <w:jc w:val="center"/>
              <w:rPr>
                <w:rFonts w:eastAsia="Times New Roman" w:cs="Calibri"/>
                <w:b/>
                <w:bCs/>
                <w:color w:val="000000"/>
                <w:sz w:val="18"/>
                <w:szCs w:val="18"/>
              </w:rPr>
            </w:pPr>
            <w:r w:rsidRPr="00E61612">
              <w:rPr>
                <w:rFonts w:cs="Calibri"/>
                <w:b/>
                <w:bCs/>
                <w:color w:val="000000"/>
                <w:sz w:val="18"/>
                <w:szCs w:val="18"/>
              </w:rPr>
              <w:t>B2.2.1</w:t>
            </w:r>
          </w:p>
        </w:tc>
        <w:tc>
          <w:tcPr>
            <w:tcW w:w="1044" w:type="pct"/>
            <w:tcBorders>
              <w:bottom w:val="single" w:sz="4" w:space="0" w:color="auto"/>
            </w:tcBorders>
            <w:shd w:val="clear" w:color="auto" w:fill="auto"/>
          </w:tcPr>
          <w:p w:rsidR="00B951B1" w:rsidRPr="00E61612" w:rsidRDefault="00B951B1" w:rsidP="00CB78E6">
            <w:pPr>
              <w:spacing w:after="0"/>
              <w:rPr>
                <w:rFonts w:eastAsia="Times New Roman" w:cs="Calibri"/>
                <w:sz w:val="18"/>
                <w:szCs w:val="18"/>
              </w:rPr>
            </w:pPr>
            <w:r w:rsidRPr="00E61612">
              <w:rPr>
                <w:rFonts w:cs="Calibri"/>
                <w:sz w:val="18"/>
                <w:szCs w:val="18"/>
              </w:rPr>
              <w:t>Zhvillimi dhe zbatimi i SMIAL</w:t>
            </w:r>
            <w:r>
              <w:rPr>
                <w:rFonts w:cs="Calibri"/>
                <w:sz w:val="18"/>
                <w:szCs w:val="18"/>
              </w:rPr>
              <w:t>-së</w:t>
            </w:r>
          </w:p>
        </w:tc>
        <w:tc>
          <w:tcPr>
            <w:tcW w:w="492" w:type="pct"/>
            <w:tcBorders>
              <w:bottom w:val="single" w:sz="4" w:space="0" w:color="auto"/>
            </w:tcBorders>
            <w:shd w:val="clear" w:color="auto" w:fill="auto"/>
          </w:tcPr>
          <w:p w:rsidR="00B951B1" w:rsidRPr="00E61612" w:rsidRDefault="00B951B1" w:rsidP="00CB78E6">
            <w:pPr>
              <w:spacing w:after="0"/>
              <w:jc w:val="center"/>
              <w:rPr>
                <w:rFonts w:eastAsia="Times New Roman" w:cs="Calibri"/>
                <w:color w:val="000000"/>
                <w:sz w:val="18"/>
                <w:szCs w:val="18"/>
              </w:rPr>
            </w:pPr>
            <w:r w:rsidRPr="00E61612">
              <w:rPr>
                <w:rFonts w:cs="Calibri"/>
                <w:color w:val="000000"/>
                <w:sz w:val="18"/>
                <w:szCs w:val="18"/>
              </w:rPr>
              <w:t>MASR</w:t>
            </w:r>
          </w:p>
        </w:tc>
        <w:tc>
          <w:tcPr>
            <w:tcW w:w="494" w:type="pct"/>
            <w:tcBorders>
              <w:bottom w:val="single" w:sz="4" w:space="0" w:color="auto"/>
            </w:tcBorders>
            <w:shd w:val="clear" w:color="auto" w:fill="auto"/>
          </w:tcPr>
          <w:p w:rsidR="00B951B1" w:rsidRPr="00E61612" w:rsidRDefault="00B951B1" w:rsidP="00CB78E6">
            <w:pPr>
              <w:spacing w:after="0"/>
              <w:jc w:val="center"/>
              <w:rPr>
                <w:rFonts w:eastAsia="Times New Roman" w:cs="Calibri"/>
                <w:color w:val="000000"/>
                <w:sz w:val="18"/>
                <w:szCs w:val="18"/>
              </w:rPr>
            </w:pPr>
            <w:r w:rsidRPr="00E61612">
              <w:rPr>
                <w:rFonts w:cs="Calibri"/>
                <w:color w:val="000000"/>
                <w:sz w:val="18"/>
                <w:szCs w:val="18"/>
              </w:rPr>
              <w:t>QSHA, RASH</w:t>
            </w:r>
          </w:p>
        </w:tc>
        <w:tc>
          <w:tcPr>
            <w:tcW w:w="383" w:type="pct"/>
            <w:tcBorders>
              <w:bottom w:val="single" w:sz="4" w:space="0" w:color="auto"/>
            </w:tcBorders>
            <w:shd w:val="clear" w:color="auto" w:fill="auto"/>
          </w:tcPr>
          <w:p w:rsidR="00B951B1" w:rsidRPr="00E61612" w:rsidRDefault="00B951B1" w:rsidP="00CB78E6">
            <w:pPr>
              <w:spacing w:after="0"/>
              <w:jc w:val="center"/>
              <w:rPr>
                <w:rFonts w:eastAsia="Times New Roman" w:cs="Calibri"/>
                <w:color w:val="000000"/>
                <w:sz w:val="18"/>
                <w:szCs w:val="18"/>
              </w:rPr>
            </w:pPr>
            <w:r w:rsidRPr="00E61612">
              <w:rPr>
                <w:rFonts w:cs="Calibri"/>
                <w:color w:val="000000"/>
                <w:sz w:val="18"/>
                <w:szCs w:val="18"/>
              </w:rPr>
              <w:t>TM2-2021</w:t>
            </w:r>
          </w:p>
        </w:tc>
        <w:tc>
          <w:tcPr>
            <w:tcW w:w="438" w:type="pct"/>
            <w:tcBorders>
              <w:bottom w:val="single" w:sz="4" w:space="0" w:color="auto"/>
            </w:tcBorders>
            <w:shd w:val="clear" w:color="auto" w:fill="auto"/>
          </w:tcPr>
          <w:p w:rsidR="00B951B1" w:rsidRPr="00E61612" w:rsidRDefault="00B951B1" w:rsidP="00CB78E6">
            <w:pPr>
              <w:spacing w:after="0"/>
              <w:jc w:val="center"/>
              <w:rPr>
                <w:rFonts w:eastAsia="Times New Roman" w:cs="Calibri"/>
                <w:color w:val="000000"/>
                <w:sz w:val="18"/>
                <w:szCs w:val="18"/>
              </w:rPr>
            </w:pPr>
            <w:r w:rsidRPr="00E61612">
              <w:rPr>
                <w:rFonts w:cs="Calibri"/>
                <w:color w:val="000000"/>
                <w:sz w:val="18"/>
                <w:szCs w:val="18"/>
              </w:rPr>
              <w:t>TM4-2023</w:t>
            </w:r>
          </w:p>
        </w:tc>
        <w:tc>
          <w:tcPr>
            <w:tcW w:w="462" w:type="pct"/>
            <w:tcBorders>
              <w:bottom w:val="single" w:sz="4" w:space="0" w:color="auto"/>
            </w:tcBorders>
            <w:shd w:val="clear" w:color="auto" w:fill="auto"/>
            <w:noWrap/>
          </w:tcPr>
          <w:p w:rsidR="00B951B1" w:rsidRPr="00E61612" w:rsidRDefault="00B951B1" w:rsidP="00CB78E6">
            <w:pPr>
              <w:spacing w:after="0"/>
              <w:jc w:val="right"/>
              <w:rPr>
                <w:rFonts w:eastAsia="Times New Roman" w:cs="Calibri"/>
                <w:color w:val="000000"/>
                <w:sz w:val="18"/>
                <w:szCs w:val="18"/>
              </w:rPr>
            </w:pPr>
            <w:r w:rsidRPr="00E61612">
              <w:rPr>
                <w:rFonts w:cs="Calibri"/>
                <w:color w:val="000000"/>
                <w:sz w:val="18"/>
                <w:szCs w:val="18"/>
              </w:rPr>
              <w:t>45,000</w:t>
            </w:r>
          </w:p>
        </w:tc>
        <w:tc>
          <w:tcPr>
            <w:tcW w:w="475" w:type="pct"/>
            <w:tcBorders>
              <w:bottom w:val="single" w:sz="4" w:space="0" w:color="auto"/>
            </w:tcBorders>
            <w:shd w:val="clear" w:color="auto" w:fill="auto"/>
            <w:noWrap/>
          </w:tcPr>
          <w:p w:rsidR="00B951B1" w:rsidRPr="00E61612" w:rsidRDefault="00B951B1" w:rsidP="00CB78E6">
            <w:pPr>
              <w:spacing w:after="0"/>
              <w:jc w:val="right"/>
              <w:rPr>
                <w:rFonts w:eastAsia="Times New Roman" w:cs="Calibri"/>
                <w:color w:val="000000"/>
                <w:sz w:val="18"/>
                <w:szCs w:val="18"/>
              </w:rPr>
            </w:pPr>
            <w:r w:rsidRPr="00E61612">
              <w:rPr>
                <w:rFonts w:cs="Calibri"/>
                <w:color w:val="000000"/>
                <w:sz w:val="18"/>
                <w:szCs w:val="18"/>
              </w:rPr>
              <w:t>-</w:t>
            </w:r>
          </w:p>
        </w:tc>
        <w:tc>
          <w:tcPr>
            <w:tcW w:w="486" w:type="pct"/>
            <w:tcBorders>
              <w:bottom w:val="single" w:sz="4" w:space="0" w:color="auto"/>
            </w:tcBorders>
            <w:shd w:val="clear" w:color="auto" w:fill="auto"/>
            <w:noWrap/>
          </w:tcPr>
          <w:p w:rsidR="00B951B1" w:rsidRPr="00E61612" w:rsidRDefault="00B951B1" w:rsidP="00CB78E6">
            <w:pPr>
              <w:spacing w:after="0"/>
              <w:jc w:val="right"/>
              <w:rPr>
                <w:rFonts w:eastAsia="Times New Roman" w:cs="Calibri"/>
                <w:color w:val="000000"/>
                <w:sz w:val="18"/>
                <w:szCs w:val="18"/>
              </w:rPr>
            </w:pPr>
            <w:r w:rsidRPr="00E61612">
              <w:rPr>
                <w:rFonts w:cs="Calibri"/>
                <w:color w:val="000000"/>
                <w:sz w:val="18"/>
                <w:szCs w:val="18"/>
              </w:rPr>
              <w:t>-</w:t>
            </w:r>
          </w:p>
        </w:tc>
        <w:tc>
          <w:tcPr>
            <w:tcW w:w="458" w:type="pct"/>
            <w:tcBorders>
              <w:bottom w:val="single" w:sz="4" w:space="0" w:color="auto"/>
            </w:tcBorders>
            <w:shd w:val="clear" w:color="auto" w:fill="auto"/>
            <w:noWrap/>
          </w:tcPr>
          <w:p w:rsidR="00B951B1" w:rsidRPr="00E61612" w:rsidRDefault="00B951B1" w:rsidP="00CB78E6">
            <w:pPr>
              <w:spacing w:after="0"/>
              <w:jc w:val="right"/>
              <w:rPr>
                <w:rFonts w:eastAsia="Times New Roman" w:cs="Calibri"/>
                <w:color w:val="000000"/>
                <w:sz w:val="18"/>
                <w:szCs w:val="18"/>
              </w:rPr>
            </w:pPr>
            <w:r w:rsidRPr="00E61612">
              <w:rPr>
                <w:rFonts w:cs="Calibri"/>
                <w:color w:val="000000"/>
                <w:sz w:val="18"/>
                <w:szCs w:val="18"/>
              </w:rPr>
              <w:t>(45,000)</w:t>
            </w:r>
          </w:p>
        </w:tc>
      </w:tr>
      <w:tr w:rsidR="00B951B1" w:rsidRPr="00E61612" w:rsidTr="00CB78E6">
        <w:trPr>
          <w:trHeight w:val="537"/>
        </w:trPr>
        <w:tc>
          <w:tcPr>
            <w:tcW w:w="268" w:type="pct"/>
            <w:shd w:val="clear" w:color="auto" w:fill="F2F2F2"/>
          </w:tcPr>
          <w:p w:rsidR="00B951B1" w:rsidRPr="00E61612" w:rsidRDefault="00B951B1" w:rsidP="00CB78E6">
            <w:pPr>
              <w:spacing w:after="0"/>
              <w:jc w:val="center"/>
              <w:rPr>
                <w:rFonts w:eastAsia="Times New Roman" w:cs="Calibri"/>
                <w:b/>
                <w:bCs/>
                <w:color w:val="000000"/>
                <w:sz w:val="18"/>
                <w:szCs w:val="18"/>
              </w:rPr>
            </w:pPr>
            <w:r w:rsidRPr="00E61612">
              <w:rPr>
                <w:rFonts w:cs="Calibri"/>
                <w:b/>
                <w:bCs/>
                <w:color w:val="000000"/>
                <w:sz w:val="18"/>
                <w:szCs w:val="18"/>
              </w:rPr>
              <w:lastRenderedPageBreak/>
              <w:t>B2.3</w:t>
            </w:r>
          </w:p>
        </w:tc>
        <w:tc>
          <w:tcPr>
            <w:tcW w:w="1044" w:type="pct"/>
            <w:shd w:val="clear" w:color="auto" w:fill="F2F2F2"/>
          </w:tcPr>
          <w:p w:rsidR="00B951B1" w:rsidRPr="00E61612" w:rsidRDefault="00B951B1" w:rsidP="00CB78E6">
            <w:pPr>
              <w:spacing w:after="0"/>
              <w:rPr>
                <w:rFonts w:eastAsia="Times New Roman" w:cs="Calibri"/>
                <w:sz w:val="18"/>
                <w:szCs w:val="18"/>
              </w:rPr>
            </w:pPr>
            <w:r w:rsidRPr="00E61612">
              <w:rPr>
                <w:rFonts w:cs="Calibri"/>
                <w:sz w:val="18"/>
                <w:szCs w:val="18"/>
              </w:rPr>
              <w:t>Përcaktimi i treguesve kombëtarë të arsimit</w:t>
            </w:r>
          </w:p>
        </w:tc>
        <w:tc>
          <w:tcPr>
            <w:tcW w:w="492" w:type="pct"/>
            <w:shd w:val="clear" w:color="auto" w:fill="F2F2F2"/>
          </w:tcPr>
          <w:p w:rsidR="00B951B1" w:rsidRPr="00E61612" w:rsidRDefault="00B951B1" w:rsidP="00CB78E6">
            <w:pPr>
              <w:spacing w:after="0"/>
              <w:jc w:val="center"/>
              <w:rPr>
                <w:rFonts w:eastAsia="Times New Roman" w:cs="Calibri"/>
                <w:color w:val="000000"/>
                <w:sz w:val="18"/>
                <w:szCs w:val="18"/>
              </w:rPr>
            </w:pPr>
            <w:r w:rsidRPr="00E61612">
              <w:rPr>
                <w:rFonts w:cs="Calibri"/>
                <w:color w:val="000000"/>
                <w:sz w:val="18"/>
                <w:szCs w:val="18"/>
              </w:rPr>
              <w:t>MASR</w:t>
            </w:r>
          </w:p>
        </w:tc>
        <w:tc>
          <w:tcPr>
            <w:tcW w:w="494" w:type="pct"/>
            <w:shd w:val="clear" w:color="auto" w:fill="F2F2F2"/>
          </w:tcPr>
          <w:p w:rsidR="00B951B1" w:rsidRPr="00E61612" w:rsidRDefault="00B951B1" w:rsidP="00CB78E6">
            <w:pPr>
              <w:spacing w:after="0"/>
              <w:jc w:val="center"/>
              <w:rPr>
                <w:rFonts w:eastAsia="Times New Roman" w:cs="Calibri"/>
                <w:color w:val="000000"/>
                <w:sz w:val="18"/>
                <w:szCs w:val="18"/>
              </w:rPr>
            </w:pPr>
            <w:r w:rsidRPr="00E61612">
              <w:rPr>
                <w:rFonts w:cs="Calibri"/>
                <w:color w:val="000000"/>
                <w:sz w:val="18"/>
                <w:szCs w:val="18"/>
              </w:rPr>
              <w:t>INSTAT</w:t>
            </w:r>
          </w:p>
        </w:tc>
        <w:tc>
          <w:tcPr>
            <w:tcW w:w="383" w:type="pct"/>
            <w:shd w:val="clear" w:color="auto" w:fill="F2F2F2"/>
          </w:tcPr>
          <w:p w:rsidR="00B951B1" w:rsidRPr="00E61612" w:rsidRDefault="00B951B1" w:rsidP="00CB78E6">
            <w:pPr>
              <w:spacing w:after="0"/>
              <w:jc w:val="center"/>
              <w:rPr>
                <w:rFonts w:eastAsia="Times New Roman" w:cs="Calibri"/>
                <w:color w:val="000000"/>
                <w:sz w:val="18"/>
                <w:szCs w:val="18"/>
              </w:rPr>
            </w:pPr>
            <w:r w:rsidRPr="00E61612">
              <w:rPr>
                <w:rFonts w:cs="Calibri"/>
                <w:color w:val="000000"/>
                <w:sz w:val="18"/>
                <w:szCs w:val="18"/>
              </w:rPr>
              <w:t>TM3-2022</w:t>
            </w:r>
          </w:p>
        </w:tc>
        <w:tc>
          <w:tcPr>
            <w:tcW w:w="438" w:type="pct"/>
            <w:shd w:val="clear" w:color="auto" w:fill="F2F2F2"/>
          </w:tcPr>
          <w:p w:rsidR="00B951B1" w:rsidRPr="00E61612" w:rsidRDefault="00B951B1" w:rsidP="00CB78E6">
            <w:pPr>
              <w:spacing w:after="0"/>
              <w:jc w:val="center"/>
              <w:rPr>
                <w:rFonts w:eastAsia="Times New Roman" w:cs="Calibri"/>
                <w:color w:val="000000"/>
                <w:sz w:val="18"/>
                <w:szCs w:val="18"/>
              </w:rPr>
            </w:pPr>
            <w:r w:rsidRPr="00E61612">
              <w:rPr>
                <w:rFonts w:cs="Calibri"/>
                <w:color w:val="000000"/>
                <w:sz w:val="18"/>
                <w:szCs w:val="18"/>
              </w:rPr>
              <w:t>TM1-2023</w:t>
            </w:r>
          </w:p>
        </w:tc>
        <w:tc>
          <w:tcPr>
            <w:tcW w:w="462" w:type="pct"/>
            <w:shd w:val="clear" w:color="auto" w:fill="F2F2F2"/>
            <w:noWrap/>
          </w:tcPr>
          <w:p w:rsidR="00B951B1" w:rsidRPr="00E61612" w:rsidRDefault="00B951B1" w:rsidP="00CB78E6">
            <w:pPr>
              <w:spacing w:after="0"/>
              <w:jc w:val="right"/>
              <w:rPr>
                <w:rFonts w:eastAsia="Times New Roman" w:cs="Calibri"/>
                <w:color w:val="000000"/>
                <w:sz w:val="18"/>
                <w:szCs w:val="18"/>
              </w:rPr>
            </w:pPr>
            <w:r w:rsidRPr="00E61612">
              <w:rPr>
                <w:rFonts w:cs="Calibri"/>
                <w:color w:val="000000"/>
                <w:sz w:val="18"/>
                <w:szCs w:val="18"/>
              </w:rPr>
              <w:t>5,760</w:t>
            </w:r>
          </w:p>
        </w:tc>
        <w:tc>
          <w:tcPr>
            <w:tcW w:w="475" w:type="pct"/>
            <w:shd w:val="clear" w:color="auto" w:fill="F2F2F2"/>
            <w:noWrap/>
          </w:tcPr>
          <w:p w:rsidR="00B951B1" w:rsidRPr="00E61612" w:rsidRDefault="00B951B1" w:rsidP="00CB78E6">
            <w:pPr>
              <w:spacing w:after="0"/>
              <w:jc w:val="right"/>
              <w:rPr>
                <w:rFonts w:eastAsia="Times New Roman" w:cs="Calibri"/>
                <w:color w:val="000000"/>
                <w:sz w:val="18"/>
                <w:szCs w:val="18"/>
              </w:rPr>
            </w:pPr>
            <w:r w:rsidRPr="00E61612">
              <w:rPr>
                <w:rFonts w:cs="Calibri"/>
                <w:color w:val="000000"/>
                <w:sz w:val="18"/>
                <w:szCs w:val="18"/>
              </w:rPr>
              <w:t>-</w:t>
            </w:r>
          </w:p>
        </w:tc>
        <w:tc>
          <w:tcPr>
            <w:tcW w:w="486" w:type="pct"/>
            <w:shd w:val="clear" w:color="auto" w:fill="F2F2F2"/>
            <w:noWrap/>
          </w:tcPr>
          <w:p w:rsidR="00B951B1" w:rsidRPr="00E61612" w:rsidRDefault="00B951B1" w:rsidP="00CB78E6">
            <w:pPr>
              <w:spacing w:after="0"/>
              <w:jc w:val="right"/>
              <w:rPr>
                <w:rFonts w:eastAsia="Times New Roman" w:cs="Calibri"/>
                <w:color w:val="000000"/>
                <w:sz w:val="18"/>
                <w:szCs w:val="18"/>
              </w:rPr>
            </w:pPr>
            <w:r w:rsidRPr="00E61612">
              <w:rPr>
                <w:rFonts w:cs="Calibri"/>
                <w:color w:val="000000"/>
                <w:sz w:val="18"/>
                <w:szCs w:val="18"/>
              </w:rPr>
              <w:t>5,760</w:t>
            </w:r>
          </w:p>
        </w:tc>
        <w:tc>
          <w:tcPr>
            <w:tcW w:w="458" w:type="pct"/>
            <w:shd w:val="clear" w:color="auto" w:fill="F2F2F2"/>
            <w:noWrap/>
          </w:tcPr>
          <w:p w:rsidR="00B951B1" w:rsidRPr="00E61612" w:rsidRDefault="00B951B1" w:rsidP="00CB78E6">
            <w:pPr>
              <w:spacing w:after="0"/>
              <w:jc w:val="right"/>
              <w:rPr>
                <w:rFonts w:eastAsia="Times New Roman" w:cs="Calibri"/>
                <w:color w:val="000000"/>
                <w:sz w:val="18"/>
                <w:szCs w:val="18"/>
              </w:rPr>
            </w:pPr>
            <w:r w:rsidRPr="00E61612">
              <w:rPr>
                <w:rFonts w:cs="Calibri"/>
                <w:color w:val="000000"/>
                <w:sz w:val="18"/>
                <w:szCs w:val="18"/>
              </w:rPr>
              <w:t>-</w:t>
            </w:r>
          </w:p>
        </w:tc>
      </w:tr>
      <w:tr w:rsidR="00B951B1" w:rsidRPr="00E61612" w:rsidTr="00CB78E6">
        <w:trPr>
          <w:trHeight w:val="510"/>
        </w:trPr>
        <w:tc>
          <w:tcPr>
            <w:tcW w:w="268" w:type="pct"/>
            <w:tcBorders>
              <w:bottom w:val="single" w:sz="4" w:space="0" w:color="auto"/>
            </w:tcBorders>
            <w:shd w:val="clear" w:color="auto" w:fill="auto"/>
          </w:tcPr>
          <w:p w:rsidR="00B951B1" w:rsidRPr="00E61612" w:rsidRDefault="00B951B1" w:rsidP="00CB78E6">
            <w:pPr>
              <w:spacing w:after="0"/>
              <w:jc w:val="center"/>
              <w:rPr>
                <w:rFonts w:eastAsia="Times New Roman" w:cs="Calibri"/>
                <w:b/>
                <w:bCs/>
                <w:color w:val="000000"/>
                <w:sz w:val="18"/>
                <w:szCs w:val="18"/>
              </w:rPr>
            </w:pPr>
            <w:r w:rsidRPr="00E61612">
              <w:rPr>
                <w:rFonts w:cs="Calibri"/>
                <w:b/>
                <w:bCs/>
                <w:color w:val="000000"/>
                <w:sz w:val="18"/>
                <w:szCs w:val="18"/>
              </w:rPr>
              <w:t>B2.3.1</w:t>
            </w:r>
          </w:p>
        </w:tc>
        <w:tc>
          <w:tcPr>
            <w:tcW w:w="1044" w:type="pct"/>
            <w:tcBorders>
              <w:bottom w:val="single" w:sz="4" w:space="0" w:color="auto"/>
            </w:tcBorders>
            <w:shd w:val="clear" w:color="auto" w:fill="auto"/>
          </w:tcPr>
          <w:p w:rsidR="00B951B1" w:rsidRPr="00E61612" w:rsidRDefault="00B951B1" w:rsidP="00CB78E6">
            <w:pPr>
              <w:spacing w:after="0"/>
              <w:rPr>
                <w:rFonts w:eastAsia="Times New Roman" w:cs="Calibri"/>
                <w:sz w:val="18"/>
                <w:szCs w:val="18"/>
              </w:rPr>
            </w:pPr>
            <w:r w:rsidRPr="00E61612">
              <w:rPr>
                <w:rFonts w:cs="Calibri"/>
                <w:sz w:val="18"/>
                <w:szCs w:val="18"/>
              </w:rPr>
              <w:t>Zhvillimi i paketës së treguesve kombëtarë të arsimit</w:t>
            </w:r>
          </w:p>
        </w:tc>
        <w:tc>
          <w:tcPr>
            <w:tcW w:w="492" w:type="pct"/>
            <w:tcBorders>
              <w:bottom w:val="single" w:sz="4" w:space="0" w:color="auto"/>
            </w:tcBorders>
            <w:shd w:val="clear" w:color="auto" w:fill="auto"/>
          </w:tcPr>
          <w:p w:rsidR="00B951B1" w:rsidRPr="00E61612" w:rsidRDefault="00B951B1" w:rsidP="00CB78E6">
            <w:pPr>
              <w:spacing w:after="0"/>
              <w:jc w:val="center"/>
              <w:rPr>
                <w:rFonts w:eastAsia="Times New Roman" w:cs="Calibri"/>
                <w:color w:val="000000"/>
                <w:sz w:val="18"/>
                <w:szCs w:val="18"/>
              </w:rPr>
            </w:pPr>
            <w:r w:rsidRPr="00E61612">
              <w:rPr>
                <w:rFonts w:cs="Calibri"/>
                <w:color w:val="000000"/>
                <w:sz w:val="18"/>
                <w:szCs w:val="18"/>
              </w:rPr>
              <w:t>MASR</w:t>
            </w:r>
          </w:p>
        </w:tc>
        <w:tc>
          <w:tcPr>
            <w:tcW w:w="494" w:type="pct"/>
            <w:tcBorders>
              <w:bottom w:val="single" w:sz="4" w:space="0" w:color="auto"/>
            </w:tcBorders>
            <w:shd w:val="clear" w:color="auto" w:fill="auto"/>
          </w:tcPr>
          <w:p w:rsidR="00B951B1" w:rsidRPr="00E61612" w:rsidRDefault="00B951B1" w:rsidP="00CB78E6">
            <w:pPr>
              <w:spacing w:after="0"/>
              <w:jc w:val="center"/>
              <w:rPr>
                <w:rFonts w:eastAsia="Times New Roman" w:cs="Calibri"/>
                <w:color w:val="000000"/>
                <w:sz w:val="18"/>
                <w:szCs w:val="18"/>
              </w:rPr>
            </w:pPr>
            <w:r w:rsidRPr="00E61612">
              <w:rPr>
                <w:rFonts w:cs="Calibri"/>
                <w:color w:val="000000"/>
                <w:sz w:val="18"/>
                <w:szCs w:val="18"/>
              </w:rPr>
              <w:t>INSTAT</w:t>
            </w:r>
          </w:p>
        </w:tc>
        <w:tc>
          <w:tcPr>
            <w:tcW w:w="383" w:type="pct"/>
            <w:tcBorders>
              <w:bottom w:val="single" w:sz="4" w:space="0" w:color="auto"/>
            </w:tcBorders>
            <w:shd w:val="clear" w:color="auto" w:fill="auto"/>
          </w:tcPr>
          <w:p w:rsidR="00B951B1" w:rsidRPr="00E61612" w:rsidRDefault="00B951B1" w:rsidP="00CB78E6">
            <w:pPr>
              <w:spacing w:after="0"/>
              <w:jc w:val="center"/>
              <w:rPr>
                <w:rFonts w:eastAsia="Times New Roman" w:cs="Calibri"/>
                <w:color w:val="000000"/>
                <w:sz w:val="18"/>
                <w:szCs w:val="18"/>
              </w:rPr>
            </w:pPr>
            <w:r w:rsidRPr="00E61612">
              <w:rPr>
                <w:rFonts w:cs="Calibri"/>
                <w:color w:val="000000"/>
                <w:sz w:val="18"/>
                <w:szCs w:val="18"/>
              </w:rPr>
              <w:t>TM3-2022</w:t>
            </w:r>
          </w:p>
        </w:tc>
        <w:tc>
          <w:tcPr>
            <w:tcW w:w="438" w:type="pct"/>
            <w:tcBorders>
              <w:bottom w:val="single" w:sz="4" w:space="0" w:color="auto"/>
            </w:tcBorders>
            <w:shd w:val="clear" w:color="auto" w:fill="auto"/>
          </w:tcPr>
          <w:p w:rsidR="00B951B1" w:rsidRPr="00E61612" w:rsidRDefault="00B951B1" w:rsidP="00CB78E6">
            <w:pPr>
              <w:spacing w:after="0"/>
              <w:jc w:val="center"/>
              <w:rPr>
                <w:rFonts w:eastAsia="Times New Roman" w:cs="Calibri"/>
                <w:color w:val="000000"/>
                <w:sz w:val="18"/>
                <w:szCs w:val="18"/>
              </w:rPr>
            </w:pPr>
            <w:r w:rsidRPr="00E61612">
              <w:rPr>
                <w:rFonts w:cs="Calibri"/>
                <w:color w:val="000000"/>
                <w:sz w:val="18"/>
                <w:szCs w:val="18"/>
              </w:rPr>
              <w:t>TM1-2023</w:t>
            </w:r>
          </w:p>
        </w:tc>
        <w:tc>
          <w:tcPr>
            <w:tcW w:w="462" w:type="pct"/>
            <w:tcBorders>
              <w:bottom w:val="single" w:sz="4" w:space="0" w:color="auto"/>
            </w:tcBorders>
            <w:shd w:val="clear" w:color="auto" w:fill="auto"/>
            <w:noWrap/>
          </w:tcPr>
          <w:p w:rsidR="00B951B1" w:rsidRPr="00E61612" w:rsidRDefault="00B951B1" w:rsidP="00CB78E6">
            <w:pPr>
              <w:spacing w:after="0"/>
              <w:jc w:val="right"/>
              <w:rPr>
                <w:rFonts w:eastAsia="Times New Roman" w:cs="Calibri"/>
                <w:color w:val="000000"/>
                <w:sz w:val="18"/>
                <w:szCs w:val="18"/>
              </w:rPr>
            </w:pPr>
            <w:r w:rsidRPr="00E61612">
              <w:rPr>
                <w:rFonts w:cs="Calibri"/>
                <w:color w:val="000000"/>
                <w:sz w:val="18"/>
                <w:szCs w:val="18"/>
              </w:rPr>
              <w:t>5,760</w:t>
            </w:r>
          </w:p>
        </w:tc>
        <w:tc>
          <w:tcPr>
            <w:tcW w:w="475" w:type="pct"/>
            <w:tcBorders>
              <w:bottom w:val="single" w:sz="4" w:space="0" w:color="auto"/>
            </w:tcBorders>
            <w:shd w:val="clear" w:color="auto" w:fill="auto"/>
            <w:noWrap/>
          </w:tcPr>
          <w:p w:rsidR="00B951B1" w:rsidRPr="00E61612" w:rsidRDefault="00B951B1" w:rsidP="00CB78E6">
            <w:pPr>
              <w:spacing w:after="0"/>
              <w:jc w:val="right"/>
              <w:rPr>
                <w:rFonts w:eastAsia="Times New Roman" w:cs="Calibri"/>
                <w:color w:val="000000"/>
                <w:sz w:val="18"/>
                <w:szCs w:val="18"/>
              </w:rPr>
            </w:pPr>
            <w:r w:rsidRPr="00E61612">
              <w:rPr>
                <w:rFonts w:cs="Calibri"/>
                <w:color w:val="000000"/>
                <w:sz w:val="18"/>
                <w:szCs w:val="18"/>
              </w:rPr>
              <w:t>-</w:t>
            </w:r>
          </w:p>
        </w:tc>
        <w:tc>
          <w:tcPr>
            <w:tcW w:w="486" w:type="pct"/>
            <w:tcBorders>
              <w:bottom w:val="single" w:sz="4" w:space="0" w:color="auto"/>
            </w:tcBorders>
            <w:shd w:val="clear" w:color="auto" w:fill="auto"/>
            <w:noWrap/>
          </w:tcPr>
          <w:p w:rsidR="00B951B1" w:rsidRPr="00E61612" w:rsidRDefault="00B951B1" w:rsidP="00CB78E6">
            <w:pPr>
              <w:spacing w:after="0"/>
              <w:jc w:val="right"/>
              <w:rPr>
                <w:rFonts w:eastAsia="Times New Roman" w:cs="Calibri"/>
                <w:color w:val="000000"/>
                <w:sz w:val="18"/>
                <w:szCs w:val="18"/>
              </w:rPr>
            </w:pPr>
            <w:r w:rsidRPr="00E61612">
              <w:rPr>
                <w:rFonts w:cs="Calibri"/>
                <w:color w:val="000000"/>
                <w:sz w:val="18"/>
                <w:szCs w:val="18"/>
              </w:rPr>
              <w:t>5,760</w:t>
            </w:r>
          </w:p>
        </w:tc>
        <w:tc>
          <w:tcPr>
            <w:tcW w:w="458" w:type="pct"/>
            <w:tcBorders>
              <w:bottom w:val="single" w:sz="4" w:space="0" w:color="auto"/>
            </w:tcBorders>
            <w:shd w:val="clear" w:color="auto" w:fill="auto"/>
            <w:noWrap/>
          </w:tcPr>
          <w:p w:rsidR="00B951B1" w:rsidRPr="00E61612" w:rsidRDefault="00B951B1" w:rsidP="00CB78E6">
            <w:pPr>
              <w:spacing w:after="0"/>
              <w:jc w:val="right"/>
              <w:rPr>
                <w:rFonts w:eastAsia="Times New Roman" w:cs="Calibri"/>
                <w:color w:val="000000"/>
                <w:sz w:val="18"/>
                <w:szCs w:val="18"/>
              </w:rPr>
            </w:pPr>
            <w:r w:rsidRPr="00E61612">
              <w:rPr>
                <w:rFonts w:cs="Calibri"/>
                <w:color w:val="000000"/>
                <w:sz w:val="18"/>
                <w:szCs w:val="18"/>
              </w:rPr>
              <w:t>-</w:t>
            </w:r>
          </w:p>
        </w:tc>
      </w:tr>
      <w:tr w:rsidR="00B951B1" w:rsidRPr="00E61612" w:rsidTr="00CB78E6">
        <w:trPr>
          <w:trHeight w:val="705"/>
        </w:trPr>
        <w:tc>
          <w:tcPr>
            <w:tcW w:w="268" w:type="pct"/>
            <w:shd w:val="clear" w:color="auto" w:fill="F2F2F2"/>
          </w:tcPr>
          <w:p w:rsidR="00B951B1" w:rsidRPr="00E61612" w:rsidRDefault="00B951B1" w:rsidP="00CB78E6">
            <w:pPr>
              <w:spacing w:after="0"/>
              <w:jc w:val="center"/>
              <w:rPr>
                <w:rFonts w:eastAsia="Times New Roman" w:cs="Calibri"/>
                <w:b/>
                <w:bCs/>
                <w:color w:val="000000"/>
                <w:sz w:val="18"/>
                <w:szCs w:val="18"/>
              </w:rPr>
            </w:pPr>
            <w:r w:rsidRPr="00E61612">
              <w:rPr>
                <w:rFonts w:cs="Calibri"/>
                <w:b/>
                <w:bCs/>
                <w:color w:val="000000"/>
                <w:sz w:val="18"/>
                <w:szCs w:val="18"/>
              </w:rPr>
              <w:t>B2.4</w:t>
            </w:r>
          </w:p>
        </w:tc>
        <w:tc>
          <w:tcPr>
            <w:tcW w:w="1044" w:type="pct"/>
            <w:shd w:val="clear" w:color="auto" w:fill="F2F2F2"/>
          </w:tcPr>
          <w:p w:rsidR="00B951B1" w:rsidRPr="00E61612" w:rsidRDefault="00B951B1" w:rsidP="00CB78E6">
            <w:pPr>
              <w:spacing w:after="0"/>
              <w:rPr>
                <w:rFonts w:eastAsia="Times New Roman" w:cs="Calibri"/>
                <w:sz w:val="18"/>
                <w:szCs w:val="18"/>
              </w:rPr>
            </w:pPr>
            <w:r w:rsidRPr="00E61612">
              <w:rPr>
                <w:rFonts w:cs="Calibri"/>
                <w:sz w:val="18"/>
                <w:szCs w:val="18"/>
              </w:rPr>
              <w:t>Ndërtimi i kapaciteteve për vlerësimin e performancës së sistemit</w:t>
            </w:r>
          </w:p>
        </w:tc>
        <w:tc>
          <w:tcPr>
            <w:tcW w:w="492" w:type="pct"/>
            <w:shd w:val="clear" w:color="auto" w:fill="F2F2F2"/>
          </w:tcPr>
          <w:p w:rsidR="00B951B1" w:rsidRPr="00E61612" w:rsidRDefault="00B951B1" w:rsidP="00CB78E6">
            <w:pPr>
              <w:spacing w:after="0"/>
              <w:jc w:val="center"/>
              <w:rPr>
                <w:rFonts w:eastAsia="Times New Roman" w:cs="Calibri"/>
                <w:color w:val="000000"/>
                <w:sz w:val="18"/>
                <w:szCs w:val="18"/>
              </w:rPr>
            </w:pPr>
            <w:r w:rsidRPr="00E61612">
              <w:rPr>
                <w:rFonts w:cs="Calibri"/>
                <w:color w:val="000000"/>
                <w:sz w:val="18"/>
                <w:szCs w:val="18"/>
              </w:rPr>
              <w:t>MASR</w:t>
            </w:r>
          </w:p>
        </w:tc>
        <w:tc>
          <w:tcPr>
            <w:tcW w:w="494" w:type="pct"/>
            <w:shd w:val="clear" w:color="auto" w:fill="F2F2F2"/>
          </w:tcPr>
          <w:p w:rsidR="00B951B1" w:rsidRPr="00E61612" w:rsidRDefault="00B951B1" w:rsidP="00CB78E6">
            <w:pPr>
              <w:spacing w:after="0"/>
              <w:jc w:val="center"/>
              <w:rPr>
                <w:rFonts w:eastAsia="Times New Roman" w:cs="Calibri"/>
                <w:color w:val="000000"/>
                <w:sz w:val="18"/>
                <w:szCs w:val="18"/>
              </w:rPr>
            </w:pPr>
            <w:r w:rsidRPr="00E61612">
              <w:rPr>
                <w:rFonts w:cs="Calibri"/>
                <w:color w:val="000000"/>
                <w:sz w:val="18"/>
                <w:szCs w:val="18"/>
              </w:rPr>
              <w:t>ASCAP</w:t>
            </w:r>
          </w:p>
        </w:tc>
        <w:tc>
          <w:tcPr>
            <w:tcW w:w="383" w:type="pct"/>
            <w:shd w:val="clear" w:color="auto" w:fill="F2F2F2"/>
          </w:tcPr>
          <w:p w:rsidR="00B951B1" w:rsidRPr="00E61612" w:rsidRDefault="00B951B1" w:rsidP="00CB78E6">
            <w:pPr>
              <w:spacing w:after="0"/>
              <w:jc w:val="center"/>
              <w:rPr>
                <w:rFonts w:eastAsia="Times New Roman" w:cs="Calibri"/>
                <w:color w:val="000000"/>
                <w:sz w:val="18"/>
                <w:szCs w:val="18"/>
              </w:rPr>
            </w:pPr>
            <w:r w:rsidRPr="00E61612">
              <w:rPr>
                <w:rFonts w:cs="Calibri"/>
                <w:color w:val="000000"/>
                <w:sz w:val="18"/>
                <w:szCs w:val="18"/>
              </w:rPr>
              <w:t>TM3-2021</w:t>
            </w:r>
          </w:p>
        </w:tc>
        <w:tc>
          <w:tcPr>
            <w:tcW w:w="438" w:type="pct"/>
            <w:shd w:val="clear" w:color="auto" w:fill="F2F2F2"/>
          </w:tcPr>
          <w:p w:rsidR="00B951B1" w:rsidRPr="00E61612" w:rsidRDefault="00B951B1" w:rsidP="00CB78E6">
            <w:pPr>
              <w:spacing w:after="0"/>
              <w:jc w:val="center"/>
              <w:rPr>
                <w:rFonts w:eastAsia="Times New Roman" w:cs="Calibri"/>
                <w:color w:val="000000"/>
                <w:sz w:val="18"/>
                <w:szCs w:val="18"/>
              </w:rPr>
            </w:pPr>
            <w:r w:rsidRPr="00E61612">
              <w:rPr>
                <w:rFonts w:cs="Calibri"/>
                <w:color w:val="000000"/>
                <w:sz w:val="18"/>
                <w:szCs w:val="18"/>
              </w:rPr>
              <w:t>TM1-2026</w:t>
            </w:r>
          </w:p>
        </w:tc>
        <w:tc>
          <w:tcPr>
            <w:tcW w:w="462" w:type="pct"/>
            <w:shd w:val="clear" w:color="auto" w:fill="F2F2F2"/>
            <w:noWrap/>
          </w:tcPr>
          <w:p w:rsidR="00B951B1" w:rsidRPr="00E61612" w:rsidRDefault="00B951B1" w:rsidP="00CB78E6">
            <w:pPr>
              <w:spacing w:after="0"/>
              <w:jc w:val="right"/>
              <w:rPr>
                <w:rFonts w:eastAsia="Times New Roman" w:cs="Calibri"/>
                <w:color w:val="000000"/>
                <w:sz w:val="18"/>
                <w:szCs w:val="18"/>
              </w:rPr>
            </w:pPr>
            <w:r w:rsidRPr="00E61612">
              <w:rPr>
                <w:rFonts w:cs="Calibri"/>
                <w:color w:val="000000"/>
                <w:sz w:val="18"/>
                <w:szCs w:val="18"/>
              </w:rPr>
              <w:t>7,820</w:t>
            </w:r>
          </w:p>
        </w:tc>
        <w:tc>
          <w:tcPr>
            <w:tcW w:w="475" w:type="pct"/>
            <w:shd w:val="clear" w:color="auto" w:fill="F2F2F2"/>
            <w:noWrap/>
          </w:tcPr>
          <w:p w:rsidR="00B951B1" w:rsidRPr="00E61612" w:rsidRDefault="00B951B1" w:rsidP="00CB78E6">
            <w:pPr>
              <w:spacing w:after="0"/>
              <w:jc w:val="right"/>
              <w:rPr>
                <w:rFonts w:eastAsia="Times New Roman" w:cs="Calibri"/>
                <w:color w:val="000000"/>
                <w:sz w:val="18"/>
                <w:szCs w:val="18"/>
              </w:rPr>
            </w:pPr>
            <w:r w:rsidRPr="00E61612">
              <w:rPr>
                <w:rFonts w:cs="Calibri"/>
                <w:color w:val="000000"/>
                <w:sz w:val="18"/>
                <w:szCs w:val="18"/>
              </w:rPr>
              <w:t>-</w:t>
            </w:r>
          </w:p>
        </w:tc>
        <w:tc>
          <w:tcPr>
            <w:tcW w:w="486" w:type="pct"/>
            <w:shd w:val="clear" w:color="auto" w:fill="F2F2F2"/>
            <w:noWrap/>
          </w:tcPr>
          <w:p w:rsidR="00B951B1" w:rsidRPr="00E61612" w:rsidRDefault="00B951B1" w:rsidP="00CB78E6">
            <w:pPr>
              <w:spacing w:after="0"/>
              <w:jc w:val="right"/>
              <w:rPr>
                <w:rFonts w:eastAsia="Times New Roman" w:cs="Calibri"/>
                <w:color w:val="000000"/>
                <w:sz w:val="18"/>
                <w:szCs w:val="18"/>
              </w:rPr>
            </w:pPr>
            <w:r w:rsidRPr="00E61612">
              <w:rPr>
                <w:rFonts w:cs="Calibri"/>
                <w:color w:val="000000"/>
                <w:sz w:val="18"/>
                <w:szCs w:val="18"/>
              </w:rPr>
              <w:t>2,880</w:t>
            </w:r>
          </w:p>
        </w:tc>
        <w:tc>
          <w:tcPr>
            <w:tcW w:w="458" w:type="pct"/>
            <w:shd w:val="clear" w:color="auto" w:fill="F2F2F2"/>
            <w:noWrap/>
          </w:tcPr>
          <w:p w:rsidR="00B951B1" w:rsidRPr="00E61612" w:rsidRDefault="00B951B1" w:rsidP="00CB78E6">
            <w:pPr>
              <w:spacing w:after="0"/>
              <w:jc w:val="right"/>
              <w:rPr>
                <w:rFonts w:eastAsia="Times New Roman" w:cs="Calibri"/>
                <w:color w:val="000000"/>
                <w:sz w:val="18"/>
                <w:szCs w:val="18"/>
              </w:rPr>
            </w:pPr>
            <w:r w:rsidRPr="00E61612">
              <w:rPr>
                <w:rFonts w:cs="Calibri"/>
                <w:color w:val="000000"/>
                <w:sz w:val="18"/>
                <w:szCs w:val="18"/>
              </w:rPr>
              <w:t>(4,940)</w:t>
            </w:r>
          </w:p>
        </w:tc>
      </w:tr>
      <w:tr w:rsidR="00B951B1" w:rsidRPr="00E61612" w:rsidTr="00CB78E6">
        <w:trPr>
          <w:trHeight w:val="569"/>
        </w:trPr>
        <w:tc>
          <w:tcPr>
            <w:tcW w:w="268" w:type="pct"/>
            <w:shd w:val="clear" w:color="auto" w:fill="auto"/>
          </w:tcPr>
          <w:p w:rsidR="00B951B1" w:rsidRPr="00E61612" w:rsidRDefault="00B951B1" w:rsidP="00CB78E6">
            <w:pPr>
              <w:spacing w:after="0"/>
              <w:jc w:val="center"/>
              <w:rPr>
                <w:rFonts w:eastAsia="Times New Roman" w:cs="Calibri"/>
                <w:b/>
                <w:bCs/>
                <w:color w:val="000000"/>
                <w:sz w:val="18"/>
                <w:szCs w:val="18"/>
              </w:rPr>
            </w:pPr>
            <w:r w:rsidRPr="00E61612">
              <w:rPr>
                <w:rFonts w:cs="Calibri"/>
                <w:b/>
                <w:bCs/>
                <w:color w:val="000000"/>
                <w:sz w:val="18"/>
                <w:szCs w:val="18"/>
              </w:rPr>
              <w:t>B2.4.1</w:t>
            </w:r>
          </w:p>
        </w:tc>
        <w:tc>
          <w:tcPr>
            <w:tcW w:w="1044" w:type="pct"/>
            <w:shd w:val="clear" w:color="auto" w:fill="auto"/>
          </w:tcPr>
          <w:p w:rsidR="00B951B1" w:rsidRPr="00E61612" w:rsidRDefault="00B951B1" w:rsidP="00CB78E6">
            <w:pPr>
              <w:spacing w:after="0"/>
              <w:rPr>
                <w:rFonts w:eastAsia="Times New Roman" w:cs="Calibri"/>
                <w:sz w:val="18"/>
                <w:szCs w:val="18"/>
              </w:rPr>
            </w:pPr>
            <w:r w:rsidRPr="00E61612">
              <w:rPr>
                <w:rFonts w:cs="Calibri"/>
                <w:sz w:val="18"/>
                <w:szCs w:val="18"/>
              </w:rPr>
              <w:t>Përcaktimi i metodologjisë për analizën e performancës së sistemit</w:t>
            </w:r>
          </w:p>
        </w:tc>
        <w:tc>
          <w:tcPr>
            <w:tcW w:w="492" w:type="pct"/>
            <w:shd w:val="clear" w:color="auto" w:fill="auto"/>
          </w:tcPr>
          <w:p w:rsidR="00B951B1" w:rsidRPr="00E61612" w:rsidRDefault="00B951B1" w:rsidP="00CB78E6">
            <w:pPr>
              <w:spacing w:after="0"/>
              <w:jc w:val="center"/>
              <w:rPr>
                <w:rFonts w:eastAsia="Times New Roman" w:cs="Calibri"/>
                <w:color w:val="000000"/>
                <w:sz w:val="18"/>
                <w:szCs w:val="18"/>
              </w:rPr>
            </w:pPr>
            <w:r w:rsidRPr="00E61612">
              <w:rPr>
                <w:rFonts w:cs="Calibri"/>
                <w:color w:val="000000"/>
                <w:sz w:val="18"/>
                <w:szCs w:val="18"/>
              </w:rPr>
              <w:t>MASR</w:t>
            </w:r>
          </w:p>
        </w:tc>
        <w:tc>
          <w:tcPr>
            <w:tcW w:w="494" w:type="pct"/>
            <w:shd w:val="clear" w:color="auto" w:fill="auto"/>
          </w:tcPr>
          <w:p w:rsidR="00B951B1" w:rsidRPr="00E61612" w:rsidRDefault="00B951B1" w:rsidP="00CB78E6">
            <w:pPr>
              <w:spacing w:after="0"/>
              <w:jc w:val="center"/>
              <w:rPr>
                <w:rFonts w:eastAsia="Times New Roman" w:cs="Calibri"/>
                <w:color w:val="000000"/>
                <w:sz w:val="18"/>
                <w:szCs w:val="18"/>
              </w:rPr>
            </w:pPr>
            <w:r w:rsidRPr="00E61612">
              <w:rPr>
                <w:rFonts w:cs="Calibri"/>
                <w:color w:val="000000"/>
                <w:sz w:val="18"/>
                <w:szCs w:val="18"/>
              </w:rPr>
              <w:t>ASCAP</w:t>
            </w:r>
          </w:p>
        </w:tc>
        <w:tc>
          <w:tcPr>
            <w:tcW w:w="383" w:type="pct"/>
            <w:shd w:val="clear" w:color="auto" w:fill="auto"/>
          </w:tcPr>
          <w:p w:rsidR="00B951B1" w:rsidRPr="00E61612" w:rsidRDefault="00B951B1" w:rsidP="00CB78E6">
            <w:pPr>
              <w:spacing w:after="0"/>
              <w:jc w:val="center"/>
              <w:rPr>
                <w:rFonts w:eastAsia="Times New Roman" w:cs="Calibri"/>
                <w:color w:val="000000"/>
                <w:sz w:val="18"/>
                <w:szCs w:val="18"/>
              </w:rPr>
            </w:pPr>
            <w:r w:rsidRPr="00E61612">
              <w:rPr>
                <w:rFonts w:cs="Calibri"/>
                <w:color w:val="000000"/>
                <w:sz w:val="18"/>
                <w:szCs w:val="18"/>
              </w:rPr>
              <w:t>TM3-2021</w:t>
            </w:r>
          </w:p>
        </w:tc>
        <w:tc>
          <w:tcPr>
            <w:tcW w:w="438" w:type="pct"/>
            <w:shd w:val="clear" w:color="auto" w:fill="auto"/>
          </w:tcPr>
          <w:p w:rsidR="00B951B1" w:rsidRPr="00E61612" w:rsidRDefault="00B951B1" w:rsidP="00CB78E6">
            <w:pPr>
              <w:spacing w:after="0"/>
              <w:jc w:val="center"/>
              <w:rPr>
                <w:rFonts w:eastAsia="Times New Roman" w:cs="Calibri"/>
                <w:color w:val="000000"/>
                <w:sz w:val="18"/>
                <w:szCs w:val="18"/>
              </w:rPr>
            </w:pPr>
            <w:r w:rsidRPr="00E61612">
              <w:rPr>
                <w:rFonts w:cs="Calibri"/>
                <w:color w:val="000000"/>
                <w:sz w:val="18"/>
                <w:szCs w:val="18"/>
              </w:rPr>
              <w:t>TM3-2021</w:t>
            </w:r>
          </w:p>
        </w:tc>
        <w:tc>
          <w:tcPr>
            <w:tcW w:w="462" w:type="pct"/>
            <w:shd w:val="clear" w:color="auto" w:fill="auto"/>
            <w:noWrap/>
          </w:tcPr>
          <w:p w:rsidR="00B951B1" w:rsidRPr="00E61612" w:rsidRDefault="00B951B1" w:rsidP="00CB78E6">
            <w:pPr>
              <w:spacing w:after="0"/>
              <w:jc w:val="right"/>
              <w:rPr>
                <w:rFonts w:eastAsia="Times New Roman" w:cs="Calibri"/>
                <w:color w:val="000000"/>
                <w:sz w:val="18"/>
                <w:szCs w:val="18"/>
              </w:rPr>
            </w:pPr>
            <w:r w:rsidRPr="00E61612">
              <w:rPr>
                <w:rFonts w:cs="Calibri"/>
                <w:color w:val="000000"/>
                <w:sz w:val="18"/>
                <w:szCs w:val="18"/>
              </w:rPr>
              <w:t>2,880</w:t>
            </w:r>
          </w:p>
        </w:tc>
        <w:tc>
          <w:tcPr>
            <w:tcW w:w="475" w:type="pct"/>
            <w:shd w:val="clear" w:color="auto" w:fill="auto"/>
            <w:noWrap/>
          </w:tcPr>
          <w:p w:rsidR="00B951B1" w:rsidRPr="00E61612" w:rsidRDefault="00B951B1" w:rsidP="00CB78E6">
            <w:pPr>
              <w:spacing w:after="0"/>
              <w:jc w:val="right"/>
              <w:rPr>
                <w:rFonts w:eastAsia="Times New Roman" w:cs="Calibri"/>
                <w:color w:val="000000"/>
                <w:sz w:val="18"/>
                <w:szCs w:val="18"/>
              </w:rPr>
            </w:pPr>
            <w:r w:rsidRPr="00E61612">
              <w:rPr>
                <w:rFonts w:cs="Calibri"/>
                <w:color w:val="000000"/>
                <w:sz w:val="18"/>
                <w:szCs w:val="18"/>
              </w:rPr>
              <w:t>-</w:t>
            </w:r>
          </w:p>
        </w:tc>
        <w:tc>
          <w:tcPr>
            <w:tcW w:w="486" w:type="pct"/>
            <w:shd w:val="clear" w:color="auto" w:fill="auto"/>
            <w:noWrap/>
          </w:tcPr>
          <w:p w:rsidR="00B951B1" w:rsidRPr="00E61612" w:rsidRDefault="00B951B1" w:rsidP="00CB78E6">
            <w:pPr>
              <w:spacing w:after="0"/>
              <w:jc w:val="right"/>
              <w:rPr>
                <w:rFonts w:eastAsia="Times New Roman" w:cs="Calibri"/>
                <w:color w:val="000000"/>
                <w:sz w:val="18"/>
                <w:szCs w:val="18"/>
              </w:rPr>
            </w:pPr>
            <w:r w:rsidRPr="00E61612">
              <w:rPr>
                <w:rFonts w:cs="Calibri"/>
                <w:color w:val="000000"/>
                <w:sz w:val="18"/>
                <w:szCs w:val="18"/>
              </w:rPr>
              <w:t>2,880</w:t>
            </w:r>
          </w:p>
        </w:tc>
        <w:tc>
          <w:tcPr>
            <w:tcW w:w="458" w:type="pct"/>
            <w:shd w:val="clear" w:color="auto" w:fill="auto"/>
            <w:noWrap/>
          </w:tcPr>
          <w:p w:rsidR="00B951B1" w:rsidRPr="00E61612" w:rsidRDefault="00B951B1" w:rsidP="00CB78E6">
            <w:pPr>
              <w:spacing w:after="0"/>
              <w:jc w:val="right"/>
              <w:rPr>
                <w:rFonts w:eastAsia="Times New Roman" w:cs="Calibri"/>
                <w:color w:val="000000"/>
                <w:sz w:val="18"/>
                <w:szCs w:val="18"/>
              </w:rPr>
            </w:pPr>
            <w:r w:rsidRPr="00E61612">
              <w:rPr>
                <w:rFonts w:cs="Calibri"/>
                <w:color w:val="000000"/>
                <w:sz w:val="18"/>
                <w:szCs w:val="18"/>
              </w:rPr>
              <w:t>-</w:t>
            </w:r>
          </w:p>
        </w:tc>
      </w:tr>
      <w:tr w:rsidR="00B951B1" w:rsidRPr="00E61612" w:rsidTr="00CB78E6">
        <w:trPr>
          <w:trHeight w:val="563"/>
        </w:trPr>
        <w:tc>
          <w:tcPr>
            <w:tcW w:w="268" w:type="pct"/>
            <w:shd w:val="clear" w:color="auto" w:fill="auto"/>
          </w:tcPr>
          <w:p w:rsidR="00B951B1" w:rsidRPr="00E61612" w:rsidRDefault="00B951B1" w:rsidP="00CB78E6">
            <w:pPr>
              <w:spacing w:after="0"/>
              <w:jc w:val="center"/>
              <w:rPr>
                <w:rFonts w:eastAsia="Times New Roman" w:cs="Calibri"/>
                <w:b/>
                <w:bCs/>
                <w:color w:val="000000"/>
                <w:sz w:val="18"/>
                <w:szCs w:val="18"/>
              </w:rPr>
            </w:pPr>
            <w:r w:rsidRPr="00E61612">
              <w:rPr>
                <w:rFonts w:cs="Calibri"/>
                <w:b/>
                <w:bCs/>
                <w:color w:val="000000"/>
                <w:sz w:val="18"/>
                <w:szCs w:val="18"/>
              </w:rPr>
              <w:t>B2.4.2</w:t>
            </w:r>
          </w:p>
        </w:tc>
        <w:tc>
          <w:tcPr>
            <w:tcW w:w="1044" w:type="pct"/>
            <w:shd w:val="clear" w:color="auto" w:fill="auto"/>
          </w:tcPr>
          <w:p w:rsidR="00B951B1" w:rsidRPr="00E61612" w:rsidRDefault="00B951B1" w:rsidP="00CB78E6">
            <w:pPr>
              <w:spacing w:after="0"/>
              <w:rPr>
                <w:rFonts w:eastAsia="Times New Roman" w:cs="Calibri"/>
                <w:sz w:val="18"/>
                <w:szCs w:val="18"/>
              </w:rPr>
            </w:pPr>
            <w:r w:rsidRPr="00E61612">
              <w:rPr>
                <w:rFonts w:cs="Calibri"/>
                <w:sz w:val="18"/>
                <w:szCs w:val="18"/>
              </w:rPr>
              <w:t>Analiza vjetore e performancës së sistemit</w:t>
            </w:r>
          </w:p>
        </w:tc>
        <w:tc>
          <w:tcPr>
            <w:tcW w:w="492" w:type="pct"/>
            <w:shd w:val="clear" w:color="auto" w:fill="auto"/>
          </w:tcPr>
          <w:p w:rsidR="00B951B1" w:rsidRPr="00E61612" w:rsidRDefault="00B951B1" w:rsidP="00CB78E6">
            <w:pPr>
              <w:spacing w:after="0"/>
              <w:jc w:val="center"/>
              <w:rPr>
                <w:rFonts w:eastAsia="Times New Roman" w:cs="Calibri"/>
                <w:color w:val="000000"/>
                <w:sz w:val="18"/>
                <w:szCs w:val="18"/>
              </w:rPr>
            </w:pPr>
            <w:r w:rsidRPr="00E61612">
              <w:rPr>
                <w:rFonts w:cs="Calibri"/>
                <w:color w:val="000000"/>
                <w:sz w:val="18"/>
                <w:szCs w:val="18"/>
              </w:rPr>
              <w:t>MASR</w:t>
            </w:r>
          </w:p>
        </w:tc>
        <w:tc>
          <w:tcPr>
            <w:tcW w:w="494" w:type="pct"/>
            <w:shd w:val="clear" w:color="auto" w:fill="auto"/>
          </w:tcPr>
          <w:p w:rsidR="00B951B1" w:rsidRPr="00E61612" w:rsidRDefault="00B951B1" w:rsidP="00CB78E6">
            <w:pPr>
              <w:spacing w:after="0"/>
              <w:jc w:val="center"/>
              <w:rPr>
                <w:rFonts w:eastAsia="Times New Roman" w:cs="Calibri"/>
                <w:color w:val="000000"/>
                <w:sz w:val="18"/>
                <w:szCs w:val="18"/>
              </w:rPr>
            </w:pPr>
            <w:r w:rsidRPr="00E61612">
              <w:rPr>
                <w:rFonts w:cs="Calibri"/>
                <w:color w:val="000000"/>
                <w:sz w:val="18"/>
                <w:szCs w:val="18"/>
              </w:rPr>
              <w:t>ASCAP</w:t>
            </w:r>
          </w:p>
        </w:tc>
        <w:tc>
          <w:tcPr>
            <w:tcW w:w="383" w:type="pct"/>
            <w:shd w:val="clear" w:color="auto" w:fill="auto"/>
          </w:tcPr>
          <w:p w:rsidR="00B951B1" w:rsidRPr="00E61612" w:rsidRDefault="00B951B1" w:rsidP="00CB78E6">
            <w:pPr>
              <w:spacing w:after="0"/>
              <w:jc w:val="center"/>
              <w:rPr>
                <w:rFonts w:eastAsia="Times New Roman" w:cs="Calibri"/>
                <w:color w:val="000000"/>
                <w:sz w:val="18"/>
                <w:szCs w:val="18"/>
              </w:rPr>
            </w:pPr>
            <w:r w:rsidRPr="00E61612">
              <w:rPr>
                <w:rFonts w:cs="Calibri"/>
                <w:color w:val="000000"/>
                <w:sz w:val="18"/>
                <w:szCs w:val="18"/>
              </w:rPr>
              <w:t>TM1-2022</w:t>
            </w:r>
          </w:p>
        </w:tc>
        <w:tc>
          <w:tcPr>
            <w:tcW w:w="438" w:type="pct"/>
            <w:shd w:val="clear" w:color="auto" w:fill="auto"/>
          </w:tcPr>
          <w:p w:rsidR="00B951B1" w:rsidRPr="00E61612" w:rsidRDefault="00B951B1" w:rsidP="00CB78E6">
            <w:pPr>
              <w:spacing w:after="0"/>
              <w:jc w:val="center"/>
              <w:rPr>
                <w:rFonts w:eastAsia="Times New Roman" w:cs="Calibri"/>
                <w:color w:val="000000"/>
                <w:sz w:val="18"/>
                <w:szCs w:val="18"/>
              </w:rPr>
            </w:pPr>
            <w:r w:rsidRPr="00E61612">
              <w:rPr>
                <w:rFonts w:cs="Calibri"/>
                <w:color w:val="000000"/>
                <w:sz w:val="18"/>
                <w:szCs w:val="18"/>
              </w:rPr>
              <w:t>TM1-2026</w:t>
            </w:r>
          </w:p>
        </w:tc>
        <w:tc>
          <w:tcPr>
            <w:tcW w:w="462" w:type="pct"/>
            <w:shd w:val="clear" w:color="auto" w:fill="auto"/>
            <w:noWrap/>
          </w:tcPr>
          <w:p w:rsidR="00B951B1" w:rsidRPr="00E61612" w:rsidRDefault="00B951B1" w:rsidP="00CB78E6">
            <w:pPr>
              <w:spacing w:after="0"/>
              <w:jc w:val="right"/>
              <w:rPr>
                <w:rFonts w:eastAsia="Times New Roman" w:cs="Calibri"/>
                <w:color w:val="000000"/>
                <w:sz w:val="18"/>
                <w:szCs w:val="18"/>
              </w:rPr>
            </w:pPr>
            <w:r w:rsidRPr="00E61612">
              <w:rPr>
                <w:rFonts w:cs="Calibri"/>
                <w:color w:val="000000"/>
                <w:sz w:val="18"/>
                <w:szCs w:val="18"/>
              </w:rPr>
              <w:t>4,940</w:t>
            </w:r>
          </w:p>
        </w:tc>
        <w:tc>
          <w:tcPr>
            <w:tcW w:w="475" w:type="pct"/>
            <w:shd w:val="clear" w:color="auto" w:fill="auto"/>
            <w:noWrap/>
          </w:tcPr>
          <w:p w:rsidR="00B951B1" w:rsidRPr="00E61612" w:rsidRDefault="00B951B1" w:rsidP="00CB78E6">
            <w:pPr>
              <w:spacing w:after="0"/>
              <w:jc w:val="right"/>
              <w:rPr>
                <w:rFonts w:eastAsia="Times New Roman" w:cs="Calibri"/>
                <w:color w:val="000000"/>
                <w:sz w:val="18"/>
                <w:szCs w:val="18"/>
              </w:rPr>
            </w:pPr>
            <w:r w:rsidRPr="00E61612">
              <w:rPr>
                <w:rFonts w:cs="Calibri"/>
                <w:color w:val="000000"/>
                <w:sz w:val="18"/>
                <w:szCs w:val="18"/>
              </w:rPr>
              <w:t>-</w:t>
            </w:r>
          </w:p>
        </w:tc>
        <w:tc>
          <w:tcPr>
            <w:tcW w:w="486" w:type="pct"/>
            <w:shd w:val="clear" w:color="auto" w:fill="auto"/>
            <w:noWrap/>
          </w:tcPr>
          <w:p w:rsidR="00B951B1" w:rsidRPr="00E61612" w:rsidRDefault="00B951B1" w:rsidP="00CB78E6">
            <w:pPr>
              <w:spacing w:after="0"/>
              <w:jc w:val="right"/>
              <w:rPr>
                <w:rFonts w:eastAsia="Times New Roman" w:cs="Calibri"/>
                <w:color w:val="000000"/>
                <w:sz w:val="18"/>
                <w:szCs w:val="18"/>
              </w:rPr>
            </w:pPr>
            <w:r w:rsidRPr="00E61612">
              <w:rPr>
                <w:rFonts w:cs="Calibri"/>
                <w:color w:val="000000"/>
                <w:sz w:val="18"/>
                <w:szCs w:val="18"/>
              </w:rPr>
              <w:t>-</w:t>
            </w:r>
          </w:p>
        </w:tc>
        <w:tc>
          <w:tcPr>
            <w:tcW w:w="458" w:type="pct"/>
            <w:shd w:val="clear" w:color="auto" w:fill="auto"/>
            <w:noWrap/>
          </w:tcPr>
          <w:p w:rsidR="00B951B1" w:rsidRPr="00E61612" w:rsidRDefault="00B951B1" w:rsidP="00CB78E6">
            <w:pPr>
              <w:spacing w:after="0"/>
              <w:jc w:val="right"/>
              <w:rPr>
                <w:rFonts w:eastAsia="Times New Roman" w:cs="Calibri"/>
                <w:color w:val="000000"/>
                <w:sz w:val="18"/>
                <w:szCs w:val="18"/>
              </w:rPr>
            </w:pPr>
            <w:r w:rsidRPr="00E61612">
              <w:rPr>
                <w:rFonts w:cs="Calibri"/>
                <w:color w:val="000000"/>
                <w:sz w:val="18"/>
                <w:szCs w:val="18"/>
              </w:rPr>
              <w:t>(4,940)</w:t>
            </w:r>
          </w:p>
        </w:tc>
      </w:tr>
      <w:tr w:rsidR="00B951B1" w:rsidRPr="00E61612" w:rsidTr="00CB78E6">
        <w:trPr>
          <w:trHeight w:val="298"/>
        </w:trPr>
        <w:tc>
          <w:tcPr>
            <w:tcW w:w="3119" w:type="pct"/>
            <w:gridSpan w:val="6"/>
            <w:shd w:val="clear" w:color="000000" w:fill="C9C9C9"/>
            <w:hideMark/>
          </w:tcPr>
          <w:p w:rsidR="00B951B1" w:rsidRPr="00E61612" w:rsidRDefault="00B951B1" w:rsidP="00CB78E6">
            <w:pPr>
              <w:spacing w:after="0"/>
              <w:jc w:val="right"/>
              <w:rPr>
                <w:rFonts w:eastAsia="Times New Roman" w:cs="Calibri"/>
                <w:b/>
                <w:bCs/>
                <w:color w:val="000000"/>
                <w:sz w:val="18"/>
                <w:szCs w:val="18"/>
              </w:rPr>
            </w:pPr>
            <w:r w:rsidRPr="00E61612">
              <w:rPr>
                <w:rFonts w:eastAsia="Times New Roman" w:cs="Calibri"/>
                <w:b/>
                <w:bCs/>
                <w:color w:val="000000"/>
                <w:sz w:val="18"/>
                <w:szCs w:val="18"/>
              </w:rPr>
              <w:t xml:space="preserve">TOTALI Qëllimi i politikës B: </w:t>
            </w:r>
          </w:p>
        </w:tc>
        <w:tc>
          <w:tcPr>
            <w:tcW w:w="462" w:type="pct"/>
            <w:shd w:val="clear" w:color="000000" w:fill="C9C9C9"/>
            <w:noWrap/>
            <w:hideMark/>
          </w:tcPr>
          <w:p w:rsidR="00B951B1" w:rsidRPr="00E61612" w:rsidRDefault="00B951B1" w:rsidP="00CB78E6">
            <w:pPr>
              <w:spacing w:after="0"/>
              <w:jc w:val="right"/>
              <w:rPr>
                <w:rFonts w:eastAsia="Times New Roman" w:cs="Calibri"/>
                <w:b/>
                <w:bCs/>
                <w:sz w:val="18"/>
                <w:szCs w:val="18"/>
              </w:rPr>
            </w:pPr>
            <w:r w:rsidRPr="00E61612">
              <w:rPr>
                <w:rFonts w:cs="Calibri"/>
                <w:b/>
                <w:bCs/>
                <w:sz w:val="18"/>
                <w:szCs w:val="20"/>
              </w:rPr>
              <w:t>135,036</w:t>
            </w:r>
          </w:p>
        </w:tc>
        <w:tc>
          <w:tcPr>
            <w:tcW w:w="475" w:type="pct"/>
            <w:shd w:val="clear" w:color="000000" w:fill="C9C9C9"/>
            <w:noWrap/>
            <w:hideMark/>
          </w:tcPr>
          <w:p w:rsidR="00B951B1" w:rsidRPr="00E61612" w:rsidRDefault="00B951B1" w:rsidP="00CB78E6">
            <w:pPr>
              <w:spacing w:after="0"/>
              <w:jc w:val="right"/>
              <w:rPr>
                <w:rFonts w:eastAsia="Times New Roman" w:cs="Calibri"/>
                <w:b/>
                <w:color w:val="000000"/>
                <w:sz w:val="18"/>
                <w:szCs w:val="18"/>
              </w:rPr>
            </w:pPr>
            <w:r w:rsidRPr="00E61612">
              <w:rPr>
                <w:rFonts w:cs="Calibri"/>
                <w:b/>
                <w:color w:val="000000"/>
                <w:sz w:val="18"/>
                <w:szCs w:val="20"/>
              </w:rPr>
              <w:t>55,200</w:t>
            </w:r>
          </w:p>
        </w:tc>
        <w:tc>
          <w:tcPr>
            <w:tcW w:w="486" w:type="pct"/>
            <w:shd w:val="clear" w:color="000000" w:fill="C9C9C9"/>
            <w:noWrap/>
            <w:hideMark/>
          </w:tcPr>
          <w:p w:rsidR="00B951B1" w:rsidRPr="00E61612" w:rsidRDefault="00B951B1" w:rsidP="00CB78E6">
            <w:pPr>
              <w:spacing w:after="0"/>
              <w:jc w:val="right"/>
              <w:rPr>
                <w:rFonts w:eastAsia="Times New Roman" w:cs="Calibri"/>
                <w:b/>
                <w:color w:val="000000"/>
                <w:sz w:val="18"/>
                <w:szCs w:val="18"/>
              </w:rPr>
            </w:pPr>
            <w:r w:rsidRPr="00E61612">
              <w:rPr>
                <w:rFonts w:cs="Calibri"/>
                <w:b/>
                <w:color w:val="000000"/>
                <w:sz w:val="18"/>
                <w:szCs w:val="20"/>
              </w:rPr>
              <w:t>18,672</w:t>
            </w:r>
          </w:p>
        </w:tc>
        <w:tc>
          <w:tcPr>
            <w:tcW w:w="458" w:type="pct"/>
            <w:shd w:val="clear" w:color="000000" w:fill="C9C9C9"/>
            <w:noWrap/>
            <w:hideMark/>
          </w:tcPr>
          <w:p w:rsidR="00B951B1" w:rsidRPr="00E61612" w:rsidRDefault="00B951B1" w:rsidP="00CB78E6">
            <w:pPr>
              <w:spacing w:after="0"/>
              <w:jc w:val="right"/>
              <w:rPr>
                <w:rFonts w:eastAsia="Times New Roman" w:cs="Calibri"/>
                <w:b/>
                <w:color w:val="000000"/>
                <w:sz w:val="18"/>
                <w:szCs w:val="18"/>
              </w:rPr>
            </w:pPr>
            <w:r w:rsidRPr="00E61612">
              <w:rPr>
                <w:rFonts w:cs="Calibri"/>
                <w:b/>
                <w:color w:val="000000"/>
                <w:sz w:val="18"/>
                <w:szCs w:val="20"/>
              </w:rPr>
              <w:t>(61,164)</w:t>
            </w:r>
          </w:p>
        </w:tc>
      </w:tr>
    </w:tbl>
    <w:p w:rsidR="00B951B1" w:rsidRPr="00E61612" w:rsidRDefault="00B951B1" w:rsidP="00B951B1">
      <w:pPr>
        <w:rPr>
          <w:rFonts w:ascii="Cambria" w:eastAsia="MS Gothic" w:hAnsi="Cambria" w:cs="Times New Roman"/>
          <w:b/>
          <w:bCs/>
          <w:color w:val="365F91"/>
          <w:sz w:val="28"/>
          <w:szCs w:val="28"/>
        </w:rPr>
      </w:pPr>
    </w:p>
    <w:p w:rsidR="00B951B1" w:rsidRPr="00E61612" w:rsidRDefault="00B951B1" w:rsidP="00B951B1">
      <w:pPr>
        <w:rPr>
          <w:rFonts w:ascii="Cambria" w:eastAsia="MS Gothic" w:hAnsi="Cambria" w:cs="Times New Roman"/>
          <w:b/>
          <w:bCs/>
          <w:color w:val="365F91"/>
          <w:sz w:val="28"/>
          <w:szCs w:val="28"/>
        </w:rPr>
      </w:pPr>
      <w:r w:rsidRPr="00E61612">
        <w:rPr>
          <w:rFonts w:ascii="Cambria" w:eastAsia="MS Gothic" w:hAnsi="Cambria" w:cs="Times New Roman"/>
          <w:b/>
          <w:bCs/>
          <w:color w:val="365F91"/>
          <w:sz w:val="28"/>
          <w:szCs w:val="28"/>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50"/>
      </w:tblGrid>
      <w:tr w:rsidR="00B951B1" w:rsidRPr="00E61612" w:rsidTr="00CB78E6">
        <w:trPr>
          <w:trHeight w:val="375"/>
        </w:trPr>
        <w:tc>
          <w:tcPr>
            <w:tcW w:w="5000" w:type="pct"/>
            <w:shd w:val="clear" w:color="000000" w:fill="F2F2F2"/>
            <w:hideMark/>
          </w:tcPr>
          <w:p w:rsidR="00B951B1" w:rsidRPr="00E61612" w:rsidRDefault="00B951B1" w:rsidP="00CB78E6">
            <w:pPr>
              <w:spacing w:after="0"/>
              <w:jc w:val="center"/>
              <w:rPr>
                <w:rFonts w:eastAsia="Times New Roman" w:cs="Calibri"/>
                <w:b/>
                <w:bCs/>
                <w:color w:val="000000"/>
                <w:sz w:val="18"/>
                <w:szCs w:val="18"/>
              </w:rPr>
            </w:pPr>
            <w:r w:rsidRPr="00E61612">
              <w:rPr>
                <w:rFonts w:eastAsia="Times New Roman" w:cs="Calibri"/>
                <w:b/>
                <w:bCs/>
                <w:color w:val="000000"/>
                <w:sz w:val="18"/>
                <w:szCs w:val="18"/>
              </w:rPr>
              <w:lastRenderedPageBreak/>
              <w:t>PLANI I VEPRIMIT N</w:t>
            </w:r>
            <w:r>
              <w:rPr>
                <w:rFonts w:eastAsia="Times New Roman" w:cs="Calibri"/>
                <w:b/>
                <w:bCs/>
                <w:color w:val="000000"/>
                <w:sz w:val="18"/>
                <w:szCs w:val="18"/>
              </w:rPr>
              <w:t>Ë</w:t>
            </w:r>
            <w:r w:rsidRPr="00E61612">
              <w:rPr>
                <w:rFonts w:eastAsia="Times New Roman" w:cs="Calibri"/>
                <w:b/>
                <w:bCs/>
                <w:color w:val="000000"/>
                <w:sz w:val="18"/>
                <w:szCs w:val="18"/>
              </w:rPr>
              <w:t xml:space="preserve"> ZBATIM T</w:t>
            </w:r>
            <w:r>
              <w:rPr>
                <w:rFonts w:eastAsia="Times New Roman" w:cs="Calibri"/>
                <w:b/>
                <w:bCs/>
                <w:color w:val="000000"/>
                <w:sz w:val="18"/>
                <w:szCs w:val="18"/>
              </w:rPr>
              <w:t>Ë</w:t>
            </w:r>
            <w:r w:rsidRPr="00E61612">
              <w:rPr>
                <w:rFonts w:eastAsia="Times New Roman" w:cs="Calibri"/>
                <w:b/>
                <w:bCs/>
                <w:color w:val="000000"/>
                <w:sz w:val="18"/>
                <w:szCs w:val="18"/>
              </w:rPr>
              <w:t xml:space="preserve"> DOKUMENTIT STRATEGJIK   (2021-2026)</w:t>
            </w:r>
          </w:p>
        </w:tc>
      </w:tr>
      <w:tr w:rsidR="00B951B1" w:rsidRPr="00E61612" w:rsidTr="00CB78E6">
        <w:trPr>
          <w:trHeight w:val="504"/>
        </w:trPr>
        <w:tc>
          <w:tcPr>
            <w:tcW w:w="5000" w:type="pct"/>
            <w:shd w:val="clear" w:color="000000" w:fill="F2F2F2"/>
            <w:vAlign w:val="center"/>
            <w:hideMark/>
          </w:tcPr>
          <w:p w:rsidR="00B951B1" w:rsidRPr="00E61612" w:rsidRDefault="00B951B1" w:rsidP="00CB78E6">
            <w:pPr>
              <w:spacing w:after="0"/>
              <w:rPr>
                <w:rFonts w:eastAsia="Times New Roman" w:cs="Calibri"/>
                <w:b/>
                <w:bCs/>
                <w:color w:val="000000"/>
                <w:sz w:val="18"/>
                <w:szCs w:val="18"/>
              </w:rPr>
            </w:pPr>
            <w:r w:rsidRPr="00E61612">
              <w:rPr>
                <w:rFonts w:cs="Calibri"/>
                <w:b/>
                <w:bCs/>
                <w:color w:val="000000"/>
                <w:sz w:val="18"/>
              </w:rPr>
              <w:t>I. Q</w:t>
            </w:r>
            <w:r>
              <w:rPr>
                <w:rFonts w:cs="Calibri"/>
                <w:b/>
                <w:bCs/>
                <w:color w:val="000000"/>
                <w:sz w:val="18"/>
              </w:rPr>
              <w:t>Ë</w:t>
            </w:r>
            <w:r w:rsidRPr="00E61612">
              <w:rPr>
                <w:rFonts w:cs="Calibri"/>
                <w:b/>
                <w:bCs/>
                <w:color w:val="000000"/>
                <w:sz w:val="18"/>
              </w:rPr>
              <w:t xml:space="preserve">LLIMI STRATEGJIK </w:t>
            </w:r>
            <w:r w:rsidRPr="00E61612">
              <w:rPr>
                <w:rFonts w:cs="Calibri"/>
                <w:color w:val="000000"/>
                <w:sz w:val="18"/>
              </w:rPr>
              <w:t xml:space="preserve">“Sistem arsimor gjithëpërfshirës dhe i bazuar në parimet e barazisë dhe mësimit gjatë gjithë jetës, që mundëson formimin cilësor të të gjithë individëve, duke kontribuar në mirëqenien personale të tyre, si dhe në forcimin e demokracisë dhe integrimin e vendit në Bashkimin Evropian” </w:t>
            </w:r>
          </w:p>
        </w:tc>
      </w:tr>
      <w:tr w:rsidR="00B951B1" w:rsidRPr="00E61612" w:rsidTr="00CB78E6">
        <w:trPr>
          <w:trHeight w:val="425"/>
        </w:trPr>
        <w:tc>
          <w:tcPr>
            <w:tcW w:w="5000" w:type="pct"/>
            <w:shd w:val="clear" w:color="000000" w:fill="F2F2F2"/>
            <w:vAlign w:val="center"/>
            <w:hideMark/>
          </w:tcPr>
          <w:p w:rsidR="00B951B1" w:rsidRPr="00E61612" w:rsidRDefault="00B951B1" w:rsidP="00CB78E6">
            <w:pPr>
              <w:spacing w:after="0"/>
              <w:rPr>
                <w:rFonts w:eastAsia="Times New Roman" w:cs="Calibri"/>
                <w:b/>
                <w:bCs/>
                <w:color w:val="000000"/>
                <w:sz w:val="18"/>
                <w:szCs w:val="18"/>
              </w:rPr>
            </w:pPr>
            <w:r w:rsidRPr="00E61612">
              <w:rPr>
                <w:rFonts w:cs="Calibri"/>
                <w:b/>
                <w:bCs/>
                <w:color w:val="000000"/>
                <w:sz w:val="18"/>
              </w:rPr>
              <w:t xml:space="preserve">II. Qëllimi i politikës C: </w:t>
            </w:r>
            <w:r w:rsidRPr="00E61612">
              <w:rPr>
                <w:rFonts w:cs="Calibri"/>
                <w:color w:val="000000"/>
                <w:sz w:val="18"/>
              </w:rPr>
              <w:t xml:space="preserve">Arsim i lartë gjithëpërfshirës që </w:t>
            </w:r>
            <w:r>
              <w:rPr>
                <w:rFonts w:cs="Calibri"/>
                <w:color w:val="000000"/>
                <w:sz w:val="18"/>
              </w:rPr>
              <w:t>përmbush</w:t>
            </w:r>
            <w:r w:rsidRPr="00E61612">
              <w:rPr>
                <w:rFonts w:cs="Calibri"/>
                <w:color w:val="000000"/>
                <w:sz w:val="18"/>
              </w:rPr>
              <w:t xml:space="preserve"> standardet ndërkombëtare të cilësisë, integriteti</w:t>
            </w:r>
            <w:r>
              <w:rPr>
                <w:rFonts w:cs="Calibri"/>
                <w:color w:val="000000"/>
                <w:sz w:val="18"/>
              </w:rPr>
              <w:t>t</w:t>
            </w:r>
            <w:r w:rsidRPr="00E61612">
              <w:rPr>
                <w:rFonts w:cs="Calibri"/>
                <w:color w:val="000000"/>
                <w:sz w:val="18"/>
              </w:rPr>
              <w:t xml:space="preserve"> akademik e transparencës, dhe është promotor i zhvillimit ekonomik dhe shoqëror të vendit</w:t>
            </w:r>
          </w:p>
        </w:tc>
      </w:tr>
      <w:tr w:rsidR="00B951B1" w:rsidRPr="00E61612" w:rsidTr="00CB78E6">
        <w:trPr>
          <w:trHeight w:val="390"/>
        </w:trPr>
        <w:tc>
          <w:tcPr>
            <w:tcW w:w="5000" w:type="pct"/>
            <w:shd w:val="clear" w:color="000000" w:fill="E7E6E6"/>
            <w:vAlign w:val="center"/>
            <w:hideMark/>
          </w:tcPr>
          <w:p w:rsidR="00B951B1" w:rsidRPr="00E61612" w:rsidRDefault="00B951B1" w:rsidP="00CB78E6">
            <w:pPr>
              <w:spacing w:after="0"/>
              <w:rPr>
                <w:rFonts w:eastAsia="Times New Roman" w:cs="Calibri"/>
                <w:b/>
                <w:bCs/>
                <w:color w:val="000000"/>
                <w:sz w:val="18"/>
                <w:szCs w:val="18"/>
              </w:rPr>
            </w:pPr>
            <w:r w:rsidRPr="00E61612">
              <w:rPr>
                <w:rFonts w:cs="Calibri"/>
                <w:b/>
                <w:bCs/>
                <w:color w:val="000000"/>
                <w:sz w:val="18"/>
              </w:rPr>
              <w:t xml:space="preserve">III. PROGRAMI BUXHETOR:  </w:t>
            </w:r>
            <w:r w:rsidRPr="00E61612">
              <w:rPr>
                <w:rFonts w:cs="Calibri"/>
                <w:color w:val="000000"/>
                <w:sz w:val="18"/>
              </w:rPr>
              <w:t>Programi buxhetor i MASR “09450 – Arsimi i lartë”</w:t>
            </w:r>
          </w:p>
        </w:tc>
      </w:tr>
    </w:tbl>
    <w:p w:rsidR="00B951B1" w:rsidRPr="00E61612" w:rsidRDefault="00B951B1" w:rsidP="00B951B1"/>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4"/>
        <w:gridCol w:w="2595"/>
        <w:gridCol w:w="1274"/>
        <w:gridCol w:w="1279"/>
        <w:gridCol w:w="992"/>
        <w:gridCol w:w="1134"/>
        <w:gridCol w:w="1197"/>
        <w:gridCol w:w="1230"/>
        <w:gridCol w:w="1259"/>
        <w:gridCol w:w="1186"/>
      </w:tblGrid>
      <w:tr w:rsidR="00B951B1" w:rsidRPr="00E61612" w:rsidTr="00CB78E6">
        <w:trPr>
          <w:trHeight w:val="330"/>
          <w:tblHeader/>
        </w:trPr>
        <w:tc>
          <w:tcPr>
            <w:tcW w:w="310" w:type="pct"/>
            <w:vMerge w:val="restart"/>
            <w:shd w:val="clear" w:color="000000" w:fill="FFFFFF"/>
            <w:hideMark/>
          </w:tcPr>
          <w:p w:rsidR="00B951B1" w:rsidRPr="00E61612" w:rsidRDefault="00B951B1" w:rsidP="00CB78E6">
            <w:pPr>
              <w:spacing w:after="0"/>
              <w:jc w:val="center"/>
              <w:rPr>
                <w:rFonts w:eastAsia="Times New Roman" w:cs="Calibri"/>
                <w:b/>
                <w:bCs/>
                <w:color w:val="000000"/>
                <w:sz w:val="18"/>
                <w:szCs w:val="18"/>
              </w:rPr>
            </w:pPr>
            <w:r w:rsidRPr="00E61612">
              <w:rPr>
                <w:rFonts w:eastAsia="Times New Roman" w:cs="Calibri"/>
                <w:b/>
                <w:bCs/>
                <w:color w:val="000000"/>
                <w:sz w:val="18"/>
                <w:szCs w:val="18"/>
              </w:rPr>
              <w:t> </w:t>
            </w:r>
          </w:p>
          <w:p w:rsidR="00B951B1" w:rsidRPr="00E61612" w:rsidRDefault="00B951B1" w:rsidP="00CB78E6">
            <w:pPr>
              <w:spacing w:after="0"/>
              <w:jc w:val="center"/>
              <w:rPr>
                <w:rFonts w:eastAsia="Times New Roman" w:cs="Calibri"/>
                <w:b/>
                <w:bCs/>
                <w:color w:val="000000"/>
                <w:sz w:val="18"/>
                <w:szCs w:val="18"/>
              </w:rPr>
            </w:pPr>
            <w:r w:rsidRPr="00E61612">
              <w:rPr>
                <w:rFonts w:eastAsia="Times New Roman" w:cs="Calibri"/>
                <w:b/>
                <w:bCs/>
                <w:color w:val="000000"/>
                <w:sz w:val="18"/>
                <w:szCs w:val="18"/>
              </w:rPr>
              <w:t>Nr.</w:t>
            </w:r>
          </w:p>
        </w:tc>
        <w:tc>
          <w:tcPr>
            <w:tcW w:w="1002" w:type="pct"/>
            <w:vMerge w:val="restart"/>
            <w:shd w:val="clear" w:color="000000" w:fill="FFFFFF"/>
            <w:hideMark/>
          </w:tcPr>
          <w:p w:rsidR="00B951B1" w:rsidRPr="00E61612" w:rsidRDefault="00B951B1" w:rsidP="00CB78E6">
            <w:pPr>
              <w:spacing w:after="0"/>
              <w:jc w:val="center"/>
              <w:rPr>
                <w:rFonts w:eastAsia="Times New Roman" w:cs="Calibri"/>
                <w:b/>
                <w:bCs/>
                <w:color w:val="000000"/>
                <w:sz w:val="18"/>
                <w:szCs w:val="18"/>
              </w:rPr>
            </w:pPr>
            <w:r w:rsidRPr="00E61612">
              <w:rPr>
                <w:rFonts w:eastAsia="Times New Roman" w:cs="Calibri"/>
                <w:b/>
                <w:bCs/>
                <w:color w:val="000000"/>
                <w:sz w:val="18"/>
                <w:szCs w:val="18"/>
              </w:rPr>
              <w:t> </w:t>
            </w:r>
          </w:p>
          <w:p w:rsidR="00B951B1" w:rsidRPr="00E61612" w:rsidRDefault="00B951B1" w:rsidP="00CB78E6">
            <w:pPr>
              <w:spacing w:after="0"/>
              <w:jc w:val="center"/>
              <w:rPr>
                <w:rFonts w:eastAsia="Times New Roman" w:cs="Calibri"/>
                <w:b/>
                <w:bCs/>
                <w:color w:val="000000"/>
                <w:sz w:val="18"/>
                <w:szCs w:val="18"/>
              </w:rPr>
            </w:pPr>
            <w:r w:rsidRPr="00E61612">
              <w:rPr>
                <w:rFonts w:eastAsia="Times New Roman" w:cs="Calibri"/>
                <w:b/>
                <w:bCs/>
                <w:color w:val="000000"/>
                <w:sz w:val="18"/>
                <w:szCs w:val="18"/>
              </w:rPr>
              <w:t xml:space="preserve"> Objektivi specifik, produkti, </w:t>
            </w:r>
          </w:p>
          <w:p w:rsidR="00B951B1" w:rsidRPr="00E61612" w:rsidRDefault="00B951B1" w:rsidP="00CB78E6">
            <w:pPr>
              <w:spacing w:after="0"/>
              <w:jc w:val="center"/>
              <w:rPr>
                <w:rFonts w:eastAsia="Times New Roman" w:cs="Calibri"/>
                <w:b/>
                <w:bCs/>
                <w:color w:val="000000"/>
                <w:sz w:val="18"/>
                <w:szCs w:val="18"/>
              </w:rPr>
            </w:pPr>
            <w:r w:rsidRPr="00E61612">
              <w:rPr>
                <w:rFonts w:eastAsia="Times New Roman" w:cs="Calibri"/>
                <w:b/>
                <w:bCs/>
                <w:color w:val="000000"/>
                <w:sz w:val="18"/>
                <w:szCs w:val="18"/>
              </w:rPr>
              <w:t>masa</w:t>
            </w:r>
          </w:p>
        </w:tc>
        <w:tc>
          <w:tcPr>
            <w:tcW w:w="986" w:type="pct"/>
            <w:gridSpan w:val="2"/>
            <w:vMerge w:val="restart"/>
            <w:shd w:val="clear" w:color="000000" w:fill="FFFFFF"/>
            <w:hideMark/>
          </w:tcPr>
          <w:p w:rsidR="00B951B1" w:rsidRPr="00E61612" w:rsidRDefault="00B951B1" w:rsidP="00CB78E6">
            <w:pPr>
              <w:spacing w:after="0"/>
              <w:jc w:val="center"/>
              <w:rPr>
                <w:rFonts w:eastAsia="Times New Roman" w:cs="Calibri"/>
                <w:b/>
                <w:bCs/>
                <w:color w:val="000000"/>
                <w:sz w:val="18"/>
                <w:szCs w:val="18"/>
              </w:rPr>
            </w:pPr>
            <w:r w:rsidRPr="00E61612">
              <w:rPr>
                <w:rFonts w:eastAsia="Times New Roman" w:cs="Calibri"/>
                <w:b/>
                <w:bCs/>
                <w:color w:val="000000"/>
                <w:sz w:val="18"/>
                <w:szCs w:val="18"/>
              </w:rPr>
              <w:t> </w:t>
            </w:r>
          </w:p>
          <w:p w:rsidR="00B951B1" w:rsidRPr="00E61612" w:rsidRDefault="00B951B1" w:rsidP="00CB78E6">
            <w:pPr>
              <w:spacing w:after="0"/>
              <w:jc w:val="center"/>
              <w:rPr>
                <w:rFonts w:eastAsia="Times New Roman" w:cs="Calibri"/>
                <w:b/>
                <w:bCs/>
                <w:color w:val="000000"/>
                <w:sz w:val="18"/>
                <w:szCs w:val="18"/>
              </w:rPr>
            </w:pPr>
            <w:r w:rsidRPr="00E61612">
              <w:rPr>
                <w:rFonts w:eastAsia="Times New Roman" w:cs="Calibri"/>
                <w:b/>
                <w:bCs/>
                <w:color w:val="000000"/>
                <w:sz w:val="18"/>
                <w:szCs w:val="18"/>
              </w:rPr>
              <w:t> </w:t>
            </w:r>
          </w:p>
          <w:p w:rsidR="00B951B1" w:rsidRPr="00E61612" w:rsidRDefault="00B951B1" w:rsidP="00CB78E6">
            <w:pPr>
              <w:spacing w:after="0"/>
              <w:jc w:val="center"/>
              <w:rPr>
                <w:rFonts w:eastAsia="Times New Roman" w:cs="Calibri"/>
                <w:b/>
                <w:bCs/>
                <w:color w:val="000000"/>
                <w:sz w:val="18"/>
                <w:szCs w:val="18"/>
              </w:rPr>
            </w:pPr>
            <w:r w:rsidRPr="00E61612">
              <w:rPr>
                <w:rFonts w:eastAsia="Times New Roman" w:cs="Calibri"/>
                <w:b/>
                <w:bCs/>
                <w:color w:val="000000"/>
                <w:sz w:val="18"/>
                <w:szCs w:val="18"/>
              </w:rPr>
              <w:t xml:space="preserve">Institucionet përgjegjëse </w:t>
            </w:r>
          </w:p>
        </w:tc>
        <w:tc>
          <w:tcPr>
            <w:tcW w:w="821" w:type="pct"/>
            <w:gridSpan w:val="2"/>
            <w:vMerge w:val="restart"/>
            <w:shd w:val="clear" w:color="000000" w:fill="FFFFFF"/>
            <w:hideMark/>
          </w:tcPr>
          <w:p w:rsidR="00B951B1" w:rsidRPr="00E61612" w:rsidRDefault="00B951B1" w:rsidP="00CB78E6">
            <w:pPr>
              <w:spacing w:after="0"/>
              <w:jc w:val="center"/>
              <w:rPr>
                <w:rFonts w:eastAsia="Times New Roman" w:cs="Calibri"/>
                <w:b/>
                <w:bCs/>
                <w:color w:val="000000"/>
                <w:sz w:val="18"/>
                <w:szCs w:val="18"/>
              </w:rPr>
            </w:pPr>
            <w:r w:rsidRPr="00E61612">
              <w:rPr>
                <w:rFonts w:eastAsia="Times New Roman" w:cs="Calibri"/>
                <w:b/>
                <w:bCs/>
                <w:color w:val="000000"/>
                <w:sz w:val="18"/>
                <w:szCs w:val="18"/>
              </w:rPr>
              <w:t> </w:t>
            </w:r>
          </w:p>
          <w:p w:rsidR="00B951B1" w:rsidRPr="00E61612" w:rsidRDefault="00B951B1" w:rsidP="00CB78E6">
            <w:pPr>
              <w:spacing w:after="0"/>
              <w:jc w:val="center"/>
              <w:rPr>
                <w:rFonts w:eastAsia="Times New Roman" w:cs="Calibri"/>
                <w:b/>
                <w:bCs/>
                <w:color w:val="000000"/>
                <w:sz w:val="18"/>
                <w:szCs w:val="18"/>
              </w:rPr>
            </w:pPr>
            <w:r w:rsidRPr="00E61612">
              <w:rPr>
                <w:rFonts w:eastAsia="Times New Roman" w:cs="Calibri"/>
                <w:b/>
                <w:bCs/>
                <w:color w:val="000000"/>
                <w:sz w:val="18"/>
                <w:szCs w:val="18"/>
              </w:rPr>
              <w:t> </w:t>
            </w:r>
          </w:p>
          <w:p w:rsidR="00B951B1" w:rsidRPr="00E61612" w:rsidRDefault="00B951B1" w:rsidP="00CB78E6">
            <w:pPr>
              <w:spacing w:after="0"/>
              <w:jc w:val="center"/>
              <w:rPr>
                <w:rFonts w:eastAsia="Times New Roman" w:cs="Calibri"/>
                <w:b/>
                <w:bCs/>
                <w:color w:val="000000"/>
                <w:sz w:val="18"/>
                <w:szCs w:val="18"/>
              </w:rPr>
            </w:pPr>
            <w:r w:rsidRPr="00E61612">
              <w:rPr>
                <w:rFonts w:eastAsia="Times New Roman" w:cs="Calibri"/>
                <w:b/>
                <w:bCs/>
                <w:color w:val="000000"/>
                <w:sz w:val="18"/>
                <w:szCs w:val="18"/>
              </w:rPr>
              <w:t xml:space="preserve">Afati i zbatimit </w:t>
            </w:r>
          </w:p>
        </w:tc>
        <w:tc>
          <w:tcPr>
            <w:tcW w:w="1881" w:type="pct"/>
            <w:gridSpan w:val="4"/>
            <w:shd w:val="clear" w:color="000000" w:fill="FFFFFF"/>
            <w:hideMark/>
          </w:tcPr>
          <w:p w:rsidR="00B951B1" w:rsidRPr="00E61612" w:rsidRDefault="00B951B1" w:rsidP="00CB78E6">
            <w:pPr>
              <w:spacing w:after="0"/>
              <w:jc w:val="center"/>
              <w:rPr>
                <w:rFonts w:eastAsia="Times New Roman" w:cs="Calibri"/>
                <w:b/>
                <w:bCs/>
                <w:color w:val="000000"/>
                <w:sz w:val="18"/>
                <w:szCs w:val="18"/>
              </w:rPr>
            </w:pPr>
            <w:r w:rsidRPr="00E61612">
              <w:rPr>
                <w:rFonts w:eastAsia="Times New Roman" w:cs="Calibri"/>
                <w:b/>
                <w:bCs/>
                <w:color w:val="000000"/>
                <w:sz w:val="18"/>
                <w:szCs w:val="18"/>
              </w:rPr>
              <w:t>Totali 2021-2026</w:t>
            </w:r>
          </w:p>
        </w:tc>
      </w:tr>
      <w:tr w:rsidR="00B951B1" w:rsidRPr="00E61612" w:rsidTr="00CB78E6">
        <w:trPr>
          <w:trHeight w:val="408"/>
          <w:tblHeader/>
        </w:trPr>
        <w:tc>
          <w:tcPr>
            <w:tcW w:w="310" w:type="pct"/>
            <w:vMerge/>
            <w:shd w:val="clear" w:color="auto" w:fill="auto"/>
            <w:hideMark/>
          </w:tcPr>
          <w:p w:rsidR="00B951B1" w:rsidRPr="00E61612" w:rsidRDefault="00B951B1" w:rsidP="00CB78E6">
            <w:pPr>
              <w:spacing w:after="0"/>
              <w:jc w:val="center"/>
              <w:rPr>
                <w:rFonts w:eastAsia="Times New Roman" w:cs="Calibri"/>
                <w:b/>
                <w:bCs/>
                <w:color w:val="000000"/>
                <w:sz w:val="18"/>
                <w:szCs w:val="18"/>
              </w:rPr>
            </w:pPr>
          </w:p>
        </w:tc>
        <w:tc>
          <w:tcPr>
            <w:tcW w:w="1002" w:type="pct"/>
            <w:vMerge/>
            <w:shd w:val="clear" w:color="auto" w:fill="auto"/>
            <w:hideMark/>
          </w:tcPr>
          <w:p w:rsidR="00B951B1" w:rsidRPr="00E61612" w:rsidRDefault="00B951B1" w:rsidP="00CB78E6">
            <w:pPr>
              <w:spacing w:after="0"/>
              <w:jc w:val="center"/>
              <w:rPr>
                <w:rFonts w:eastAsia="Times New Roman" w:cs="Calibri"/>
                <w:b/>
                <w:bCs/>
                <w:color w:val="000000"/>
                <w:sz w:val="18"/>
                <w:szCs w:val="18"/>
              </w:rPr>
            </w:pPr>
          </w:p>
        </w:tc>
        <w:tc>
          <w:tcPr>
            <w:tcW w:w="986" w:type="pct"/>
            <w:gridSpan w:val="2"/>
            <w:vMerge/>
            <w:shd w:val="clear" w:color="auto" w:fill="auto"/>
            <w:hideMark/>
          </w:tcPr>
          <w:p w:rsidR="00B951B1" w:rsidRPr="00E61612" w:rsidRDefault="00B951B1" w:rsidP="00CB78E6">
            <w:pPr>
              <w:spacing w:after="0"/>
              <w:jc w:val="center"/>
              <w:rPr>
                <w:rFonts w:eastAsia="Times New Roman" w:cs="Calibri"/>
                <w:b/>
                <w:bCs/>
                <w:color w:val="000000"/>
                <w:sz w:val="18"/>
                <w:szCs w:val="18"/>
              </w:rPr>
            </w:pPr>
          </w:p>
        </w:tc>
        <w:tc>
          <w:tcPr>
            <w:tcW w:w="821" w:type="pct"/>
            <w:gridSpan w:val="2"/>
            <w:vMerge/>
            <w:shd w:val="clear" w:color="auto" w:fill="auto"/>
            <w:hideMark/>
          </w:tcPr>
          <w:p w:rsidR="00B951B1" w:rsidRPr="00E61612" w:rsidRDefault="00B951B1" w:rsidP="00CB78E6">
            <w:pPr>
              <w:spacing w:after="0"/>
              <w:jc w:val="center"/>
              <w:rPr>
                <w:rFonts w:eastAsia="Times New Roman" w:cs="Calibri"/>
                <w:b/>
                <w:bCs/>
                <w:color w:val="000000"/>
                <w:sz w:val="18"/>
                <w:szCs w:val="18"/>
              </w:rPr>
            </w:pPr>
          </w:p>
        </w:tc>
        <w:tc>
          <w:tcPr>
            <w:tcW w:w="462" w:type="pct"/>
            <w:vMerge w:val="restart"/>
            <w:shd w:val="clear" w:color="auto" w:fill="auto"/>
            <w:hideMark/>
          </w:tcPr>
          <w:p w:rsidR="00B951B1" w:rsidRPr="00E61612" w:rsidRDefault="00B951B1" w:rsidP="00CB78E6">
            <w:pPr>
              <w:spacing w:after="0"/>
              <w:jc w:val="center"/>
              <w:rPr>
                <w:rFonts w:eastAsia="Times New Roman" w:cs="Calibri"/>
                <w:b/>
                <w:bCs/>
                <w:color w:val="000000"/>
                <w:sz w:val="18"/>
                <w:szCs w:val="18"/>
              </w:rPr>
            </w:pPr>
            <w:r w:rsidRPr="00E61612">
              <w:rPr>
                <w:rFonts w:eastAsia="Times New Roman" w:cs="Calibri"/>
                <w:b/>
                <w:bCs/>
                <w:color w:val="000000"/>
                <w:sz w:val="18"/>
                <w:szCs w:val="18"/>
              </w:rPr>
              <w:t>Kosto indikative</w:t>
            </w:r>
          </w:p>
        </w:tc>
        <w:tc>
          <w:tcPr>
            <w:tcW w:w="961" w:type="pct"/>
            <w:gridSpan w:val="2"/>
            <w:shd w:val="clear" w:color="auto" w:fill="auto"/>
            <w:hideMark/>
          </w:tcPr>
          <w:p w:rsidR="00B951B1" w:rsidRPr="00E61612" w:rsidRDefault="00753C65" w:rsidP="00CB78E6">
            <w:pPr>
              <w:spacing w:after="0"/>
              <w:jc w:val="center"/>
              <w:rPr>
                <w:rFonts w:eastAsia="Times New Roman" w:cs="Calibri"/>
                <w:b/>
                <w:bCs/>
                <w:color w:val="000000"/>
                <w:sz w:val="18"/>
                <w:szCs w:val="18"/>
              </w:rPr>
            </w:pPr>
            <w:r>
              <w:rPr>
                <w:rFonts w:eastAsia="Times New Roman" w:cs="Calibri"/>
                <w:b/>
                <w:bCs/>
                <w:color w:val="000000"/>
                <w:sz w:val="18"/>
                <w:szCs w:val="18"/>
              </w:rPr>
              <w:t>Burimi i financimit</w:t>
            </w:r>
          </w:p>
        </w:tc>
        <w:tc>
          <w:tcPr>
            <w:tcW w:w="458" w:type="pct"/>
            <w:vMerge w:val="restart"/>
            <w:shd w:val="clear" w:color="auto" w:fill="auto"/>
            <w:hideMark/>
          </w:tcPr>
          <w:p w:rsidR="00B951B1" w:rsidRPr="00E61612" w:rsidRDefault="00B951B1" w:rsidP="00CB78E6">
            <w:pPr>
              <w:spacing w:after="0"/>
              <w:jc w:val="center"/>
              <w:rPr>
                <w:rFonts w:eastAsia="Times New Roman" w:cs="Calibri"/>
                <w:b/>
                <w:bCs/>
                <w:color w:val="000000"/>
                <w:sz w:val="18"/>
                <w:szCs w:val="18"/>
              </w:rPr>
            </w:pPr>
            <w:r w:rsidRPr="00E61612">
              <w:rPr>
                <w:rFonts w:eastAsia="Times New Roman" w:cs="Calibri"/>
                <w:b/>
                <w:bCs/>
                <w:color w:val="000000"/>
                <w:sz w:val="18"/>
                <w:szCs w:val="18"/>
              </w:rPr>
              <w:t>Hendeku financiar</w:t>
            </w:r>
          </w:p>
        </w:tc>
      </w:tr>
      <w:tr w:rsidR="00B951B1" w:rsidRPr="00E61612" w:rsidTr="00CB78E6">
        <w:trPr>
          <w:trHeight w:val="513"/>
          <w:tblHeader/>
        </w:trPr>
        <w:tc>
          <w:tcPr>
            <w:tcW w:w="310" w:type="pct"/>
            <w:vMerge/>
            <w:tcBorders>
              <w:bottom w:val="single" w:sz="4" w:space="0" w:color="auto"/>
            </w:tcBorders>
            <w:hideMark/>
          </w:tcPr>
          <w:p w:rsidR="00B951B1" w:rsidRPr="00E61612" w:rsidRDefault="00B951B1" w:rsidP="00CB78E6">
            <w:pPr>
              <w:spacing w:after="0"/>
              <w:rPr>
                <w:rFonts w:eastAsia="Times New Roman" w:cs="Calibri"/>
                <w:b/>
                <w:bCs/>
                <w:color w:val="000000"/>
                <w:sz w:val="18"/>
                <w:szCs w:val="18"/>
              </w:rPr>
            </w:pPr>
          </w:p>
        </w:tc>
        <w:tc>
          <w:tcPr>
            <w:tcW w:w="1002" w:type="pct"/>
            <w:vMerge/>
            <w:tcBorders>
              <w:bottom w:val="single" w:sz="4" w:space="0" w:color="auto"/>
            </w:tcBorders>
            <w:hideMark/>
          </w:tcPr>
          <w:p w:rsidR="00B951B1" w:rsidRPr="00E61612" w:rsidRDefault="00B951B1" w:rsidP="00CB78E6">
            <w:pPr>
              <w:spacing w:after="0"/>
              <w:rPr>
                <w:rFonts w:eastAsia="Times New Roman" w:cs="Calibri"/>
                <w:b/>
                <w:bCs/>
                <w:color w:val="000000"/>
                <w:sz w:val="18"/>
                <w:szCs w:val="18"/>
              </w:rPr>
            </w:pPr>
          </w:p>
        </w:tc>
        <w:tc>
          <w:tcPr>
            <w:tcW w:w="492" w:type="pct"/>
            <w:tcBorders>
              <w:bottom w:val="single" w:sz="4" w:space="0" w:color="auto"/>
            </w:tcBorders>
            <w:shd w:val="clear" w:color="auto" w:fill="auto"/>
            <w:hideMark/>
          </w:tcPr>
          <w:p w:rsidR="00B951B1" w:rsidRPr="00E61612" w:rsidRDefault="00B951B1" w:rsidP="00CB78E6">
            <w:pPr>
              <w:spacing w:after="0"/>
              <w:jc w:val="center"/>
              <w:rPr>
                <w:rFonts w:eastAsia="Times New Roman" w:cs="Calibri"/>
                <w:color w:val="000000"/>
                <w:sz w:val="18"/>
                <w:szCs w:val="18"/>
              </w:rPr>
            </w:pPr>
            <w:r w:rsidRPr="00E61612">
              <w:rPr>
                <w:rFonts w:eastAsia="Times New Roman" w:cs="Calibri"/>
                <w:b/>
                <w:bCs/>
                <w:color w:val="000000"/>
                <w:sz w:val="18"/>
                <w:szCs w:val="18"/>
              </w:rPr>
              <w:t>Institucioni udhëheqës</w:t>
            </w:r>
          </w:p>
        </w:tc>
        <w:tc>
          <w:tcPr>
            <w:tcW w:w="494" w:type="pct"/>
            <w:tcBorders>
              <w:bottom w:val="single" w:sz="4" w:space="0" w:color="auto"/>
            </w:tcBorders>
            <w:shd w:val="clear" w:color="auto" w:fill="auto"/>
            <w:hideMark/>
          </w:tcPr>
          <w:p w:rsidR="00B951B1" w:rsidRPr="00E61612" w:rsidRDefault="00B951B1" w:rsidP="00CB78E6">
            <w:pPr>
              <w:spacing w:after="0"/>
              <w:jc w:val="center"/>
              <w:rPr>
                <w:rFonts w:eastAsia="Times New Roman" w:cs="Calibri"/>
                <w:color w:val="000000"/>
                <w:sz w:val="18"/>
                <w:szCs w:val="18"/>
              </w:rPr>
            </w:pPr>
            <w:r w:rsidRPr="00E61612">
              <w:rPr>
                <w:rFonts w:eastAsia="Times New Roman" w:cs="Calibri"/>
                <w:b/>
                <w:bCs/>
                <w:color w:val="000000"/>
                <w:sz w:val="18"/>
                <w:szCs w:val="18"/>
              </w:rPr>
              <w:t>Institucion kontribues</w:t>
            </w:r>
            <w:r w:rsidRPr="00E61612">
              <w:rPr>
                <w:rFonts w:eastAsia="Times New Roman" w:cs="Calibri"/>
                <w:color w:val="000000"/>
                <w:sz w:val="18"/>
                <w:szCs w:val="18"/>
              </w:rPr>
              <w:t xml:space="preserve"> </w:t>
            </w:r>
          </w:p>
        </w:tc>
        <w:tc>
          <w:tcPr>
            <w:tcW w:w="383" w:type="pct"/>
            <w:tcBorders>
              <w:bottom w:val="single" w:sz="4" w:space="0" w:color="auto"/>
            </w:tcBorders>
            <w:shd w:val="clear" w:color="auto" w:fill="auto"/>
            <w:hideMark/>
          </w:tcPr>
          <w:p w:rsidR="00B951B1" w:rsidRPr="00E61612" w:rsidRDefault="00B951B1" w:rsidP="00CB78E6">
            <w:pPr>
              <w:spacing w:after="0"/>
              <w:jc w:val="center"/>
              <w:rPr>
                <w:rFonts w:eastAsia="Times New Roman" w:cs="Calibri"/>
                <w:b/>
                <w:bCs/>
                <w:color w:val="000000"/>
                <w:sz w:val="18"/>
                <w:szCs w:val="18"/>
              </w:rPr>
            </w:pPr>
            <w:r w:rsidRPr="00E61612">
              <w:rPr>
                <w:rFonts w:eastAsia="Times New Roman" w:cs="Calibri"/>
                <w:b/>
                <w:bCs/>
                <w:color w:val="000000"/>
                <w:sz w:val="18"/>
                <w:szCs w:val="18"/>
              </w:rPr>
              <w:t>Afati Fillimit</w:t>
            </w:r>
          </w:p>
        </w:tc>
        <w:tc>
          <w:tcPr>
            <w:tcW w:w="438" w:type="pct"/>
            <w:tcBorders>
              <w:bottom w:val="single" w:sz="4" w:space="0" w:color="auto"/>
            </w:tcBorders>
            <w:shd w:val="clear" w:color="auto" w:fill="auto"/>
            <w:hideMark/>
          </w:tcPr>
          <w:p w:rsidR="00B951B1" w:rsidRPr="00E61612" w:rsidRDefault="00B951B1" w:rsidP="00CB78E6">
            <w:pPr>
              <w:spacing w:after="0"/>
              <w:rPr>
                <w:rFonts w:eastAsia="Times New Roman" w:cs="Calibri"/>
                <w:b/>
                <w:bCs/>
                <w:color w:val="000000"/>
                <w:sz w:val="18"/>
                <w:szCs w:val="18"/>
              </w:rPr>
            </w:pPr>
            <w:r w:rsidRPr="00E61612">
              <w:rPr>
                <w:rFonts w:eastAsia="Times New Roman" w:cs="Calibri"/>
                <w:b/>
                <w:bCs/>
                <w:color w:val="000000"/>
                <w:sz w:val="18"/>
                <w:szCs w:val="18"/>
              </w:rPr>
              <w:t>Afati Mbarimit</w:t>
            </w:r>
          </w:p>
        </w:tc>
        <w:tc>
          <w:tcPr>
            <w:tcW w:w="462" w:type="pct"/>
            <w:vMerge/>
            <w:tcBorders>
              <w:bottom w:val="single" w:sz="4" w:space="0" w:color="auto"/>
            </w:tcBorders>
            <w:hideMark/>
          </w:tcPr>
          <w:p w:rsidR="00B951B1" w:rsidRPr="00E61612" w:rsidRDefault="00B951B1" w:rsidP="00CB78E6">
            <w:pPr>
              <w:spacing w:after="0"/>
              <w:jc w:val="right"/>
              <w:rPr>
                <w:rFonts w:eastAsia="Times New Roman" w:cs="Calibri"/>
                <w:b/>
                <w:bCs/>
                <w:color w:val="000000"/>
                <w:sz w:val="18"/>
                <w:szCs w:val="18"/>
              </w:rPr>
            </w:pPr>
          </w:p>
        </w:tc>
        <w:tc>
          <w:tcPr>
            <w:tcW w:w="475" w:type="pct"/>
            <w:tcBorders>
              <w:bottom w:val="single" w:sz="4" w:space="0" w:color="auto"/>
            </w:tcBorders>
            <w:shd w:val="clear" w:color="auto" w:fill="auto"/>
            <w:hideMark/>
          </w:tcPr>
          <w:p w:rsidR="00B951B1" w:rsidRPr="00E61612" w:rsidRDefault="00B951B1" w:rsidP="00CB78E6">
            <w:pPr>
              <w:spacing w:after="0"/>
              <w:jc w:val="center"/>
              <w:rPr>
                <w:rFonts w:eastAsia="Times New Roman" w:cs="Calibri"/>
                <w:b/>
                <w:bCs/>
                <w:color w:val="000000"/>
                <w:sz w:val="18"/>
                <w:szCs w:val="18"/>
              </w:rPr>
            </w:pPr>
            <w:r w:rsidRPr="00E61612">
              <w:rPr>
                <w:rFonts w:eastAsia="Times New Roman" w:cs="Calibri"/>
                <w:b/>
                <w:bCs/>
                <w:color w:val="000000"/>
                <w:sz w:val="18"/>
                <w:szCs w:val="18"/>
              </w:rPr>
              <w:t>Buxheti i Shtetit</w:t>
            </w:r>
          </w:p>
        </w:tc>
        <w:tc>
          <w:tcPr>
            <w:tcW w:w="486" w:type="pct"/>
            <w:tcBorders>
              <w:bottom w:val="single" w:sz="4" w:space="0" w:color="auto"/>
            </w:tcBorders>
            <w:shd w:val="clear" w:color="auto" w:fill="auto"/>
            <w:hideMark/>
          </w:tcPr>
          <w:p w:rsidR="00B951B1" w:rsidRPr="00E61612" w:rsidRDefault="00B951B1" w:rsidP="00CB78E6">
            <w:pPr>
              <w:spacing w:after="0"/>
              <w:jc w:val="center"/>
              <w:rPr>
                <w:rFonts w:eastAsia="Times New Roman" w:cs="Calibri"/>
                <w:b/>
                <w:bCs/>
                <w:color w:val="000000"/>
                <w:sz w:val="18"/>
                <w:szCs w:val="18"/>
              </w:rPr>
            </w:pPr>
            <w:r w:rsidRPr="00E61612">
              <w:rPr>
                <w:rFonts w:eastAsia="Times New Roman" w:cs="Calibri"/>
                <w:b/>
                <w:bCs/>
                <w:color w:val="000000"/>
                <w:sz w:val="18"/>
                <w:szCs w:val="18"/>
              </w:rPr>
              <w:t>Financimi i huaj</w:t>
            </w:r>
          </w:p>
        </w:tc>
        <w:tc>
          <w:tcPr>
            <w:tcW w:w="458" w:type="pct"/>
            <w:vMerge/>
            <w:tcBorders>
              <w:bottom w:val="single" w:sz="4" w:space="0" w:color="auto"/>
            </w:tcBorders>
            <w:hideMark/>
          </w:tcPr>
          <w:p w:rsidR="00B951B1" w:rsidRPr="00E61612" w:rsidRDefault="00B951B1" w:rsidP="00CB78E6">
            <w:pPr>
              <w:spacing w:after="0"/>
              <w:jc w:val="right"/>
              <w:rPr>
                <w:rFonts w:eastAsia="Times New Roman" w:cs="Calibri"/>
                <w:b/>
                <w:bCs/>
                <w:color w:val="000000"/>
                <w:sz w:val="18"/>
                <w:szCs w:val="18"/>
              </w:rPr>
            </w:pPr>
          </w:p>
        </w:tc>
      </w:tr>
      <w:tr w:rsidR="00B951B1" w:rsidRPr="00E61612" w:rsidTr="00CB78E6">
        <w:trPr>
          <w:trHeight w:val="20"/>
        </w:trPr>
        <w:tc>
          <w:tcPr>
            <w:tcW w:w="310" w:type="pct"/>
            <w:tcBorders>
              <w:bottom w:val="single" w:sz="4" w:space="0" w:color="auto"/>
            </w:tcBorders>
            <w:shd w:val="clear" w:color="auto" w:fill="BFBFBF"/>
          </w:tcPr>
          <w:p w:rsidR="00B951B1" w:rsidRPr="00E61612" w:rsidRDefault="00B951B1" w:rsidP="00CB78E6">
            <w:pPr>
              <w:spacing w:after="0"/>
              <w:jc w:val="center"/>
              <w:rPr>
                <w:rFonts w:eastAsia="Times New Roman" w:cs="Calibri"/>
                <w:b/>
                <w:bCs/>
                <w:color w:val="000000"/>
                <w:sz w:val="18"/>
                <w:szCs w:val="18"/>
              </w:rPr>
            </w:pPr>
            <w:r w:rsidRPr="00E61612">
              <w:rPr>
                <w:b/>
                <w:bCs/>
                <w:color w:val="000000"/>
                <w:sz w:val="20"/>
                <w:szCs w:val="20"/>
              </w:rPr>
              <w:t>C1</w:t>
            </w:r>
          </w:p>
        </w:tc>
        <w:tc>
          <w:tcPr>
            <w:tcW w:w="1002" w:type="pct"/>
            <w:tcBorders>
              <w:bottom w:val="single" w:sz="4" w:space="0" w:color="auto"/>
            </w:tcBorders>
            <w:shd w:val="clear" w:color="auto" w:fill="BFBFBF"/>
          </w:tcPr>
          <w:p w:rsidR="00B951B1" w:rsidRPr="00E61612" w:rsidRDefault="00B951B1" w:rsidP="00CB78E6">
            <w:pPr>
              <w:spacing w:after="0"/>
              <w:rPr>
                <w:rFonts w:eastAsia="Times New Roman" w:cs="Calibri"/>
                <w:sz w:val="18"/>
                <w:szCs w:val="18"/>
              </w:rPr>
            </w:pPr>
            <w:r w:rsidRPr="00E61612">
              <w:rPr>
                <w:sz w:val="20"/>
                <w:szCs w:val="20"/>
              </w:rPr>
              <w:t xml:space="preserve">Rritja e cilësisë së arsimit të lartë përmes riorganizimit të programeve të studimit, modernizimit të infrastrukturës akademike dhe </w:t>
            </w:r>
            <w:r>
              <w:rPr>
                <w:sz w:val="20"/>
                <w:szCs w:val="20"/>
              </w:rPr>
              <w:t>zbatimit</w:t>
            </w:r>
            <w:r w:rsidRPr="00E61612">
              <w:rPr>
                <w:sz w:val="20"/>
                <w:szCs w:val="20"/>
              </w:rPr>
              <w:t xml:space="preserve"> të standardeve të larta të vlerësimit institucional dhe të programeve të studimit</w:t>
            </w:r>
          </w:p>
        </w:tc>
        <w:tc>
          <w:tcPr>
            <w:tcW w:w="492" w:type="pct"/>
            <w:tcBorders>
              <w:bottom w:val="single" w:sz="4" w:space="0" w:color="auto"/>
            </w:tcBorders>
            <w:shd w:val="clear" w:color="auto" w:fill="BFBFBF"/>
          </w:tcPr>
          <w:p w:rsidR="00B951B1" w:rsidRPr="00E61612" w:rsidRDefault="00B951B1" w:rsidP="00CB78E6">
            <w:pPr>
              <w:spacing w:after="0"/>
              <w:jc w:val="center"/>
              <w:rPr>
                <w:rFonts w:eastAsia="Times New Roman" w:cs="Calibri"/>
                <w:color w:val="000000"/>
                <w:sz w:val="18"/>
                <w:szCs w:val="18"/>
              </w:rPr>
            </w:pPr>
            <w:r w:rsidRPr="00E61612">
              <w:rPr>
                <w:color w:val="000000"/>
                <w:sz w:val="20"/>
                <w:szCs w:val="20"/>
              </w:rPr>
              <w:t>MASR, IAL-të, ASCAL</w:t>
            </w:r>
          </w:p>
        </w:tc>
        <w:tc>
          <w:tcPr>
            <w:tcW w:w="494" w:type="pct"/>
            <w:tcBorders>
              <w:bottom w:val="single" w:sz="4" w:space="0" w:color="auto"/>
            </w:tcBorders>
            <w:shd w:val="clear" w:color="auto" w:fill="BFBFBF"/>
          </w:tcPr>
          <w:p w:rsidR="00B951B1" w:rsidRPr="00E61612" w:rsidRDefault="00B951B1" w:rsidP="00CB78E6">
            <w:pPr>
              <w:spacing w:after="0"/>
              <w:jc w:val="center"/>
              <w:rPr>
                <w:rFonts w:eastAsia="Times New Roman" w:cs="Calibri"/>
                <w:color w:val="000000"/>
                <w:sz w:val="18"/>
                <w:szCs w:val="18"/>
              </w:rPr>
            </w:pPr>
            <w:r w:rsidRPr="00E61612">
              <w:rPr>
                <w:color w:val="000000"/>
                <w:sz w:val="20"/>
                <w:szCs w:val="20"/>
              </w:rPr>
              <w:t>MASR, IAL-të</w:t>
            </w:r>
          </w:p>
        </w:tc>
        <w:tc>
          <w:tcPr>
            <w:tcW w:w="383" w:type="pct"/>
            <w:tcBorders>
              <w:bottom w:val="single" w:sz="4" w:space="0" w:color="auto"/>
            </w:tcBorders>
            <w:shd w:val="clear" w:color="auto" w:fill="BFBFBF"/>
          </w:tcPr>
          <w:p w:rsidR="00B951B1" w:rsidRPr="00E61612" w:rsidRDefault="00B951B1" w:rsidP="00CB78E6">
            <w:pPr>
              <w:spacing w:after="0"/>
              <w:jc w:val="center"/>
              <w:rPr>
                <w:rFonts w:eastAsia="Times New Roman" w:cs="Calibri"/>
                <w:color w:val="000000"/>
                <w:sz w:val="18"/>
                <w:szCs w:val="18"/>
              </w:rPr>
            </w:pPr>
            <w:r w:rsidRPr="00E61612">
              <w:rPr>
                <w:color w:val="000000"/>
                <w:sz w:val="20"/>
                <w:szCs w:val="20"/>
              </w:rPr>
              <w:t>TM1-2021</w:t>
            </w:r>
          </w:p>
        </w:tc>
        <w:tc>
          <w:tcPr>
            <w:tcW w:w="438" w:type="pct"/>
            <w:tcBorders>
              <w:bottom w:val="single" w:sz="4" w:space="0" w:color="auto"/>
            </w:tcBorders>
            <w:shd w:val="clear" w:color="auto" w:fill="BFBFBF"/>
          </w:tcPr>
          <w:p w:rsidR="00B951B1" w:rsidRPr="00E61612" w:rsidRDefault="00B951B1" w:rsidP="00CB78E6">
            <w:pPr>
              <w:spacing w:after="0"/>
              <w:jc w:val="center"/>
              <w:rPr>
                <w:rFonts w:eastAsia="Times New Roman" w:cs="Calibri"/>
                <w:color w:val="000000"/>
                <w:sz w:val="18"/>
                <w:szCs w:val="18"/>
              </w:rPr>
            </w:pPr>
            <w:r w:rsidRPr="00E61612">
              <w:rPr>
                <w:color w:val="000000"/>
                <w:sz w:val="20"/>
                <w:szCs w:val="20"/>
              </w:rPr>
              <w:t>TM4-2026</w:t>
            </w:r>
          </w:p>
        </w:tc>
        <w:tc>
          <w:tcPr>
            <w:tcW w:w="462" w:type="pct"/>
            <w:tcBorders>
              <w:bottom w:val="single" w:sz="4" w:space="0" w:color="auto"/>
            </w:tcBorders>
            <w:shd w:val="clear" w:color="auto" w:fill="BFBFBF"/>
            <w:noWrap/>
          </w:tcPr>
          <w:p w:rsidR="00B951B1" w:rsidRPr="00E61612" w:rsidRDefault="00B951B1" w:rsidP="00CB78E6">
            <w:pPr>
              <w:spacing w:after="0"/>
              <w:jc w:val="right"/>
              <w:rPr>
                <w:rFonts w:eastAsia="Times New Roman" w:cs="Calibri"/>
                <w:color w:val="000000"/>
                <w:sz w:val="18"/>
                <w:szCs w:val="18"/>
              </w:rPr>
            </w:pPr>
            <w:r w:rsidRPr="00E61612">
              <w:rPr>
                <w:color w:val="000000"/>
                <w:sz w:val="20"/>
                <w:szCs w:val="20"/>
              </w:rPr>
              <w:t>7,958,808</w:t>
            </w:r>
          </w:p>
        </w:tc>
        <w:tc>
          <w:tcPr>
            <w:tcW w:w="475" w:type="pct"/>
            <w:tcBorders>
              <w:bottom w:val="single" w:sz="4" w:space="0" w:color="auto"/>
            </w:tcBorders>
            <w:shd w:val="clear" w:color="auto" w:fill="BFBFBF"/>
            <w:noWrap/>
          </w:tcPr>
          <w:p w:rsidR="00B951B1" w:rsidRPr="00E61612" w:rsidRDefault="00B951B1" w:rsidP="00CB78E6">
            <w:pPr>
              <w:spacing w:after="0"/>
              <w:jc w:val="right"/>
              <w:rPr>
                <w:rFonts w:eastAsia="Times New Roman" w:cs="Calibri"/>
                <w:color w:val="000000"/>
                <w:sz w:val="18"/>
                <w:szCs w:val="18"/>
              </w:rPr>
            </w:pPr>
            <w:r w:rsidRPr="00E61612">
              <w:rPr>
                <w:color w:val="000000"/>
                <w:sz w:val="20"/>
                <w:szCs w:val="20"/>
              </w:rPr>
              <w:t>7,953,648</w:t>
            </w:r>
          </w:p>
        </w:tc>
        <w:tc>
          <w:tcPr>
            <w:tcW w:w="486" w:type="pct"/>
            <w:tcBorders>
              <w:bottom w:val="single" w:sz="4" w:space="0" w:color="auto"/>
            </w:tcBorders>
            <w:shd w:val="clear" w:color="auto" w:fill="BFBFBF"/>
            <w:noWrap/>
          </w:tcPr>
          <w:p w:rsidR="00B951B1" w:rsidRPr="00E61612" w:rsidRDefault="00B951B1" w:rsidP="00CB78E6">
            <w:pPr>
              <w:spacing w:after="0"/>
              <w:jc w:val="right"/>
              <w:rPr>
                <w:rFonts w:eastAsia="Times New Roman" w:cs="Calibri"/>
                <w:color w:val="000000"/>
                <w:sz w:val="18"/>
                <w:szCs w:val="18"/>
              </w:rPr>
            </w:pPr>
            <w:r w:rsidRPr="00E61612">
              <w:rPr>
                <w:color w:val="000000"/>
                <w:sz w:val="20"/>
                <w:szCs w:val="20"/>
              </w:rPr>
              <w:t xml:space="preserve">            2,880 </w:t>
            </w:r>
          </w:p>
        </w:tc>
        <w:tc>
          <w:tcPr>
            <w:tcW w:w="458" w:type="pct"/>
            <w:tcBorders>
              <w:bottom w:val="single" w:sz="4" w:space="0" w:color="auto"/>
            </w:tcBorders>
            <w:shd w:val="clear" w:color="auto" w:fill="BFBFBF"/>
            <w:noWrap/>
          </w:tcPr>
          <w:p w:rsidR="00B951B1" w:rsidRPr="00E61612" w:rsidRDefault="00B951B1" w:rsidP="00CB78E6">
            <w:pPr>
              <w:spacing w:after="0"/>
              <w:jc w:val="right"/>
              <w:rPr>
                <w:rFonts w:eastAsia="Times New Roman" w:cs="Calibri"/>
                <w:color w:val="000000"/>
                <w:sz w:val="18"/>
                <w:szCs w:val="18"/>
              </w:rPr>
            </w:pPr>
            <w:r w:rsidRPr="00E61612">
              <w:rPr>
                <w:color w:val="000000"/>
                <w:sz w:val="20"/>
                <w:szCs w:val="20"/>
              </w:rPr>
              <w:t>(2,280)</w:t>
            </w:r>
          </w:p>
        </w:tc>
      </w:tr>
      <w:tr w:rsidR="00B951B1" w:rsidRPr="00E61612" w:rsidTr="00CB78E6">
        <w:trPr>
          <w:trHeight w:val="20"/>
        </w:trPr>
        <w:tc>
          <w:tcPr>
            <w:tcW w:w="310" w:type="pct"/>
            <w:shd w:val="clear" w:color="auto" w:fill="D9D9D9"/>
          </w:tcPr>
          <w:p w:rsidR="00B951B1" w:rsidRPr="00E61612" w:rsidRDefault="00B951B1" w:rsidP="00CB78E6">
            <w:pPr>
              <w:spacing w:after="0"/>
              <w:jc w:val="center"/>
              <w:rPr>
                <w:rFonts w:eastAsia="Times New Roman" w:cs="Calibri"/>
                <w:b/>
                <w:bCs/>
                <w:color w:val="000000"/>
                <w:sz w:val="18"/>
                <w:szCs w:val="18"/>
              </w:rPr>
            </w:pPr>
            <w:r w:rsidRPr="00E61612">
              <w:rPr>
                <w:b/>
                <w:bCs/>
                <w:color w:val="000000"/>
                <w:sz w:val="20"/>
                <w:szCs w:val="20"/>
              </w:rPr>
              <w:t>C1.1</w:t>
            </w:r>
          </w:p>
        </w:tc>
        <w:tc>
          <w:tcPr>
            <w:tcW w:w="1002" w:type="pct"/>
            <w:shd w:val="clear" w:color="auto" w:fill="D9D9D9"/>
          </w:tcPr>
          <w:p w:rsidR="00B951B1" w:rsidRPr="00E61612" w:rsidRDefault="00B951B1" w:rsidP="00CB78E6">
            <w:pPr>
              <w:spacing w:after="0"/>
              <w:rPr>
                <w:rFonts w:eastAsia="Times New Roman" w:cs="Calibri"/>
                <w:sz w:val="18"/>
                <w:szCs w:val="18"/>
              </w:rPr>
            </w:pPr>
            <w:r w:rsidRPr="00E61612">
              <w:rPr>
                <w:sz w:val="20"/>
                <w:szCs w:val="20"/>
              </w:rPr>
              <w:t>Programet e IAL</w:t>
            </w:r>
            <w:r>
              <w:rPr>
                <w:sz w:val="20"/>
                <w:szCs w:val="20"/>
              </w:rPr>
              <w:t>-ve</w:t>
            </w:r>
            <w:r w:rsidRPr="00E61612">
              <w:rPr>
                <w:sz w:val="20"/>
                <w:szCs w:val="20"/>
              </w:rPr>
              <w:t xml:space="preserve"> ndërtohen mbi rezultatet e të nxënit dhe janë të krahasueshme me programet e IAL-ve evropiane</w:t>
            </w:r>
          </w:p>
        </w:tc>
        <w:tc>
          <w:tcPr>
            <w:tcW w:w="492" w:type="pct"/>
            <w:shd w:val="clear" w:color="auto" w:fill="D9D9D9"/>
          </w:tcPr>
          <w:p w:rsidR="00B951B1" w:rsidRPr="00E61612" w:rsidRDefault="00B951B1" w:rsidP="00CB78E6">
            <w:pPr>
              <w:spacing w:after="0"/>
              <w:jc w:val="center"/>
              <w:rPr>
                <w:rFonts w:eastAsia="Times New Roman" w:cs="Calibri"/>
                <w:color w:val="000000"/>
                <w:sz w:val="18"/>
                <w:szCs w:val="18"/>
              </w:rPr>
            </w:pPr>
            <w:r w:rsidRPr="00E61612">
              <w:rPr>
                <w:color w:val="000000"/>
                <w:sz w:val="20"/>
                <w:szCs w:val="20"/>
              </w:rPr>
              <w:t>MASR</w:t>
            </w:r>
          </w:p>
        </w:tc>
        <w:tc>
          <w:tcPr>
            <w:tcW w:w="494" w:type="pct"/>
            <w:shd w:val="clear" w:color="auto" w:fill="D9D9D9"/>
          </w:tcPr>
          <w:p w:rsidR="00B951B1" w:rsidRPr="00E61612" w:rsidRDefault="00B951B1" w:rsidP="00CB78E6">
            <w:pPr>
              <w:spacing w:after="0"/>
              <w:jc w:val="center"/>
              <w:rPr>
                <w:rFonts w:eastAsia="Times New Roman" w:cs="Calibri"/>
                <w:color w:val="000000"/>
                <w:sz w:val="18"/>
                <w:szCs w:val="18"/>
              </w:rPr>
            </w:pPr>
            <w:r w:rsidRPr="00E61612">
              <w:rPr>
                <w:color w:val="000000"/>
                <w:sz w:val="20"/>
                <w:szCs w:val="20"/>
              </w:rPr>
              <w:t>IAL-të</w:t>
            </w:r>
          </w:p>
        </w:tc>
        <w:tc>
          <w:tcPr>
            <w:tcW w:w="383" w:type="pct"/>
            <w:shd w:val="clear" w:color="auto" w:fill="D9D9D9"/>
          </w:tcPr>
          <w:p w:rsidR="00B951B1" w:rsidRPr="00E61612" w:rsidRDefault="00B951B1" w:rsidP="00CB78E6">
            <w:pPr>
              <w:spacing w:after="0"/>
              <w:jc w:val="center"/>
              <w:rPr>
                <w:rFonts w:eastAsia="Times New Roman" w:cs="Calibri"/>
                <w:color w:val="000000"/>
                <w:sz w:val="18"/>
                <w:szCs w:val="18"/>
              </w:rPr>
            </w:pPr>
            <w:r w:rsidRPr="00E61612">
              <w:rPr>
                <w:color w:val="000000"/>
                <w:sz w:val="20"/>
                <w:szCs w:val="20"/>
              </w:rPr>
              <w:t>TM1-2022</w:t>
            </w:r>
          </w:p>
        </w:tc>
        <w:tc>
          <w:tcPr>
            <w:tcW w:w="438" w:type="pct"/>
            <w:shd w:val="clear" w:color="auto" w:fill="D9D9D9"/>
          </w:tcPr>
          <w:p w:rsidR="00B951B1" w:rsidRPr="00E61612" w:rsidRDefault="00B951B1" w:rsidP="00CB78E6">
            <w:pPr>
              <w:spacing w:after="0"/>
              <w:jc w:val="center"/>
              <w:rPr>
                <w:rFonts w:eastAsia="Times New Roman" w:cs="Calibri"/>
                <w:color w:val="000000"/>
                <w:sz w:val="18"/>
                <w:szCs w:val="18"/>
              </w:rPr>
            </w:pPr>
            <w:r w:rsidRPr="00E61612">
              <w:rPr>
                <w:color w:val="000000"/>
                <w:sz w:val="20"/>
                <w:szCs w:val="20"/>
              </w:rPr>
              <w:t>TM2-2024</w:t>
            </w:r>
          </w:p>
        </w:tc>
        <w:tc>
          <w:tcPr>
            <w:tcW w:w="462" w:type="pct"/>
            <w:shd w:val="clear" w:color="auto" w:fill="D9D9D9"/>
            <w:noWrap/>
          </w:tcPr>
          <w:p w:rsidR="00B951B1" w:rsidRPr="00E61612" w:rsidRDefault="00B951B1" w:rsidP="00CB78E6">
            <w:pPr>
              <w:spacing w:after="0"/>
              <w:jc w:val="right"/>
              <w:rPr>
                <w:rFonts w:eastAsia="Times New Roman" w:cs="Calibri"/>
                <w:color w:val="000000"/>
                <w:sz w:val="18"/>
                <w:szCs w:val="18"/>
              </w:rPr>
            </w:pPr>
            <w:r w:rsidRPr="00E61612">
              <w:rPr>
                <w:color w:val="000000"/>
                <w:sz w:val="20"/>
                <w:szCs w:val="20"/>
              </w:rPr>
              <w:t>5,160</w:t>
            </w:r>
          </w:p>
        </w:tc>
        <w:tc>
          <w:tcPr>
            <w:tcW w:w="475" w:type="pct"/>
            <w:shd w:val="clear" w:color="auto" w:fill="D9D9D9"/>
            <w:noWrap/>
          </w:tcPr>
          <w:p w:rsidR="00B951B1" w:rsidRPr="00E61612" w:rsidRDefault="00B951B1" w:rsidP="00CB78E6">
            <w:pPr>
              <w:spacing w:after="0"/>
              <w:jc w:val="right"/>
              <w:rPr>
                <w:rFonts w:eastAsia="Times New Roman" w:cs="Calibri"/>
                <w:color w:val="000000"/>
                <w:sz w:val="18"/>
                <w:szCs w:val="18"/>
              </w:rPr>
            </w:pPr>
            <w:r w:rsidRPr="00E61612">
              <w:rPr>
                <w:color w:val="000000"/>
                <w:sz w:val="20"/>
                <w:szCs w:val="20"/>
              </w:rPr>
              <w:t>-</w:t>
            </w:r>
          </w:p>
        </w:tc>
        <w:tc>
          <w:tcPr>
            <w:tcW w:w="486" w:type="pct"/>
            <w:shd w:val="clear" w:color="auto" w:fill="D9D9D9"/>
            <w:noWrap/>
          </w:tcPr>
          <w:p w:rsidR="00B951B1" w:rsidRPr="00E61612" w:rsidRDefault="00B951B1" w:rsidP="00CB78E6">
            <w:pPr>
              <w:spacing w:after="0"/>
              <w:jc w:val="right"/>
              <w:rPr>
                <w:rFonts w:eastAsia="Times New Roman" w:cs="Calibri"/>
                <w:color w:val="000000"/>
                <w:sz w:val="18"/>
                <w:szCs w:val="18"/>
              </w:rPr>
            </w:pPr>
            <w:r w:rsidRPr="00E61612">
              <w:rPr>
                <w:color w:val="000000"/>
                <w:sz w:val="20"/>
                <w:szCs w:val="20"/>
              </w:rPr>
              <w:t xml:space="preserve">            2,880 </w:t>
            </w:r>
          </w:p>
        </w:tc>
        <w:tc>
          <w:tcPr>
            <w:tcW w:w="458" w:type="pct"/>
            <w:shd w:val="clear" w:color="auto" w:fill="D9D9D9"/>
            <w:noWrap/>
          </w:tcPr>
          <w:p w:rsidR="00B951B1" w:rsidRPr="00E61612" w:rsidRDefault="00B951B1" w:rsidP="00CB78E6">
            <w:pPr>
              <w:spacing w:after="0"/>
              <w:jc w:val="right"/>
              <w:rPr>
                <w:rFonts w:eastAsia="Times New Roman" w:cs="Calibri"/>
                <w:color w:val="000000"/>
                <w:sz w:val="18"/>
                <w:szCs w:val="18"/>
              </w:rPr>
            </w:pPr>
            <w:r w:rsidRPr="00E61612">
              <w:rPr>
                <w:color w:val="000000"/>
                <w:sz w:val="20"/>
                <w:szCs w:val="20"/>
              </w:rPr>
              <w:t>(2,280)</w:t>
            </w:r>
          </w:p>
        </w:tc>
      </w:tr>
      <w:tr w:rsidR="00B951B1" w:rsidRPr="00E61612" w:rsidTr="00CB78E6">
        <w:trPr>
          <w:trHeight w:val="20"/>
        </w:trPr>
        <w:tc>
          <w:tcPr>
            <w:tcW w:w="310" w:type="pct"/>
            <w:shd w:val="clear" w:color="auto" w:fill="FFFFFF"/>
          </w:tcPr>
          <w:p w:rsidR="00B951B1" w:rsidRPr="00E61612" w:rsidRDefault="00B951B1" w:rsidP="00CB78E6">
            <w:pPr>
              <w:spacing w:after="0"/>
              <w:jc w:val="center"/>
              <w:rPr>
                <w:rFonts w:eastAsia="Times New Roman" w:cs="Calibri"/>
                <w:b/>
                <w:bCs/>
                <w:color w:val="000000"/>
                <w:sz w:val="18"/>
                <w:szCs w:val="18"/>
              </w:rPr>
            </w:pPr>
            <w:r w:rsidRPr="00E61612">
              <w:rPr>
                <w:b/>
                <w:bCs/>
                <w:color w:val="000000"/>
                <w:sz w:val="20"/>
                <w:szCs w:val="20"/>
              </w:rPr>
              <w:t>C1.1.1</w:t>
            </w:r>
          </w:p>
        </w:tc>
        <w:tc>
          <w:tcPr>
            <w:tcW w:w="1002" w:type="pct"/>
            <w:shd w:val="clear" w:color="auto" w:fill="FFFFFF"/>
          </w:tcPr>
          <w:p w:rsidR="00B951B1" w:rsidRPr="00E61612" w:rsidRDefault="00B951B1" w:rsidP="00CB78E6">
            <w:pPr>
              <w:spacing w:after="0"/>
              <w:rPr>
                <w:rFonts w:eastAsia="Times New Roman" w:cs="Calibri"/>
                <w:sz w:val="18"/>
                <w:szCs w:val="18"/>
              </w:rPr>
            </w:pPr>
            <w:r w:rsidRPr="00E61612">
              <w:rPr>
                <w:sz w:val="20"/>
                <w:szCs w:val="20"/>
              </w:rPr>
              <w:t xml:space="preserve">Përcaktimi i metodologjisë për rishikimin e programeve studimore </w:t>
            </w:r>
          </w:p>
        </w:tc>
        <w:tc>
          <w:tcPr>
            <w:tcW w:w="492" w:type="pct"/>
            <w:shd w:val="clear" w:color="auto" w:fill="FFFFFF"/>
          </w:tcPr>
          <w:p w:rsidR="00B951B1" w:rsidRPr="00E61612" w:rsidRDefault="00B951B1" w:rsidP="00CB78E6">
            <w:pPr>
              <w:spacing w:after="0"/>
              <w:jc w:val="center"/>
              <w:rPr>
                <w:rFonts w:eastAsia="Times New Roman" w:cs="Calibri"/>
                <w:color w:val="000000"/>
                <w:sz w:val="18"/>
                <w:szCs w:val="18"/>
              </w:rPr>
            </w:pPr>
            <w:r w:rsidRPr="00E61612">
              <w:rPr>
                <w:color w:val="000000"/>
                <w:sz w:val="20"/>
                <w:szCs w:val="20"/>
              </w:rPr>
              <w:t>MASR</w:t>
            </w:r>
          </w:p>
        </w:tc>
        <w:tc>
          <w:tcPr>
            <w:tcW w:w="494" w:type="pct"/>
            <w:shd w:val="clear" w:color="auto" w:fill="FFFFFF"/>
          </w:tcPr>
          <w:p w:rsidR="00B951B1" w:rsidRPr="00E61612" w:rsidRDefault="00B951B1" w:rsidP="00CB78E6">
            <w:pPr>
              <w:spacing w:after="0"/>
              <w:jc w:val="center"/>
              <w:rPr>
                <w:rFonts w:eastAsia="Times New Roman" w:cs="Calibri"/>
                <w:color w:val="000000"/>
                <w:sz w:val="18"/>
                <w:szCs w:val="18"/>
              </w:rPr>
            </w:pPr>
            <w:r w:rsidRPr="00E61612">
              <w:rPr>
                <w:color w:val="000000"/>
                <w:sz w:val="20"/>
                <w:szCs w:val="20"/>
              </w:rPr>
              <w:t>IAL-të</w:t>
            </w:r>
          </w:p>
        </w:tc>
        <w:tc>
          <w:tcPr>
            <w:tcW w:w="383" w:type="pct"/>
            <w:shd w:val="clear" w:color="auto" w:fill="FFFFFF"/>
          </w:tcPr>
          <w:p w:rsidR="00B951B1" w:rsidRPr="00E61612" w:rsidRDefault="00B951B1" w:rsidP="00CB78E6">
            <w:pPr>
              <w:spacing w:after="0"/>
              <w:jc w:val="center"/>
              <w:rPr>
                <w:rFonts w:eastAsia="Times New Roman" w:cs="Calibri"/>
                <w:sz w:val="18"/>
                <w:szCs w:val="18"/>
              </w:rPr>
            </w:pPr>
            <w:r w:rsidRPr="00E61612">
              <w:rPr>
                <w:color w:val="000000"/>
                <w:sz w:val="20"/>
                <w:szCs w:val="20"/>
              </w:rPr>
              <w:t>TM1-2022</w:t>
            </w:r>
          </w:p>
        </w:tc>
        <w:tc>
          <w:tcPr>
            <w:tcW w:w="438" w:type="pct"/>
            <w:shd w:val="clear" w:color="auto" w:fill="FFFFFF"/>
          </w:tcPr>
          <w:p w:rsidR="00B951B1" w:rsidRPr="00E61612" w:rsidRDefault="00B951B1" w:rsidP="00CB78E6">
            <w:pPr>
              <w:spacing w:after="0"/>
              <w:jc w:val="center"/>
              <w:rPr>
                <w:rFonts w:eastAsia="Times New Roman" w:cs="Calibri"/>
                <w:color w:val="000000"/>
                <w:sz w:val="18"/>
                <w:szCs w:val="18"/>
              </w:rPr>
            </w:pPr>
            <w:r w:rsidRPr="00E61612">
              <w:rPr>
                <w:color w:val="000000"/>
                <w:sz w:val="20"/>
                <w:szCs w:val="20"/>
              </w:rPr>
              <w:t>TM2-2022</w:t>
            </w:r>
          </w:p>
        </w:tc>
        <w:tc>
          <w:tcPr>
            <w:tcW w:w="462" w:type="pct"/>
            <w:shd w:val="clear" w:color="auto" w:fill="FFFFFF"/>
            <w:noWrap/>
          </w:tcPr>
          <w:p w:rsidR="00B951B1" w:rsidRPr="00E61612" w:rsidRDefault="00B951B1" w:rsidP="00CB78E6">
            <w:pPr>
              <w:spacing w:after="0"/>
              <w:jc w:val="right"/>
              <w:rPr>
                <w:rFonts w:eastAsia="Times New Roman" w:cs="Calibri"/>
                <w:color w:val="000000"/>
                <w:sz w:val="18"/>
                <w:szCs w:val="18"/>
              </w:rPr>
            </w:pPr>
            <w:r w:rsidRPr="00E61612">
              <w:rPr>
                <w:color w:val="000000"/>
                <w:sz w:val="20"/>
                <w:szCs w:val="20"/>
              </w:rPr>
              <w:t>2,880</w:t>
            </w:r>
          </w:p>
        </w:tc>
        <w:tc>
          <w:tcPr>
            <w:tcW w:w="475" w:type="pct"/>
            <w:shd w:val="clear" w:color="auto" w:fill="FFFFFF"/>
            <w:noWrap/>
          </w:tcPr>
          <w:p w:rsidR="00B951B1" w:rsidRPr="00E61612" w:rsidRDefault="00B951B1" w:rsidP="00CB78E6">
            <w:pPr>
              <w:spacing w:after="0"/>
              <w:jc w:val="right"/>
              <w:rPr>
                <w:rFonts w:eastAsia="Times New Roman" w:cs="Calibri"/>
                <w:color w:val="000000"/>
                <w:sz w:val="18"/>
                <w:szCs w:val="18"/>
              </w:rPr>
            </w:pPr>
            <w:r w:rsidRPr="00E61612">
              <w:rPr>
                <w:color w:val="000000"/>
                <w:sz w:val="20"/>
                <w:szCs w:val="20"/>
              </w:rPr>
              <w:t>-</w:t>
            </w:r>
          </w:p>
        </w:tc>
        <w:tc>
          <w:tcPr>
            <w:tcW w:w="486" w:type="pct"/>
            <w:shd w:val="clear" w:color="auto" w:fill="FFFFFF"/>
            <w:noWrap/>
          </w:tcPr>
          <w:p w:rsidR="00B951B1" w:rsidRPr="00E61612" w:rsidRDefault="00B951B1" w:rsidP="00CB78E6">
            <w:pPr>
              <w:spacing w:after="0"/>
              <w:jc w:val="right"/>
              <w:rPr>
                <w:rFonts w:eastAsia="Times New Roman" w:cs="Calibri"/>
                <w:color w:val="000000"/>
                <w:sz w:val="18"/>
                <w:szCs w:val="18"/>
              </w:rPr>
            </w:pPr>
            <w:r w:rsidRPr="00E61612">
              <w:rPr>
                <w:color w:val="000000"/>
                <w:sz w:val="20"/>
                <w:szCs w:val="20"/>
              </w:rPr>
              <w:t xml:space="preserve">            2,880 </w:t>
            </w:r>
          </w:p>
        </w:tc>
        <w:tc>
          <w:tcPr>
            <w:tcW w:w="458" w:type="pct"/>
            <w:shd w:val="clear" w:color="auto" w:fill="FFFFFF"/>
            <w:noWrap/>
          </w:tcPr>
          <w:p w:rsidR="00B951B1" w:rsidRPr="00E61612" w:rsidRDefault="00B951B1" w:rsidP="00CB78E6">
            <w:pPr>
              <w:spacing w:after="0"/>
              <w:jc w:val="right"/>
              <w:rPr>
                <w:rFonts w:eastAsia="Times New Roman" w:cs="Calibri"/>
                <w:color w:val="000000"/>
                <w:sz w:val="18"/>
                <w:szCs w:val="18"/>
              </w:rPr>
            </w:pPr>
            <w:r w:rsidRPr="00E61612">
              <w:rPr>
                <w:color w:val="000000"/>
                <w:sz w:val="20"/>
                <w:szCs w:val="20"/>
              </w:rPr>
              <w:t>-</w:t>
            </w:r>
          </w:p>
        </w:tc>
      </w:tr>
      <w:tr w:rsidR="00B951B1" w:rsidRPr="00E61612" w:rsidTr="00CB78E6">
        <w:trPr>
          <w:trHeight w:val="20"/>
        </w:trPr>
        <w:tc>
          <w:tcPr>
            <w:tcW w:w="310" w:type="pct"/>
            <w:shd w:val="clear" w:color="auto" w:fill="FFFFFF"/>
          </w:tcPr>
          <w:p w:rsidR="00B951B1" w:rsidRPr="00E61612" w:rsidRDefault="00B951B1" w:rsidP="00CB78E6">
            <w:pPr>
              <w:spacing w:after="0"/>
              <w:jc w:val="center"/>
              <w:rPr>
                <w:rFonts w:eastAsia="Times New Roman" w:cs="Calibri"/>
                <w:b/>
                <w:bCs/>
                <w:color w:val="000000"/>
                <w:sz w:val="18"/>
                <w:szCs w:val="18"/>
              </w:rPr>
            </w:pPr>
            <w:r w:rsidRPr="00E61612">
              <w:rPr>
                <w:b/>
                <w:bCs/>
                <w:color w:val="000000"/>
                <w:sz w:val="20"/>
                <w:szCs w:val="20"/>
              </w:rPr>
              <w:lastRenderedPageBreak/>
              <w:t>C1.1.2</w:t>
            </w:r>
          </w:p>
        </w:tc>
        <w:tc>
          <w:tcPr>
            <w:tcW w:w="1002" w:type="pct"/>
            <w:shd w:val="clear" w:color="auto" w:fill="FFFFFF"/>
          </w:tcPr>
          <w:p w:rsidR="00B951B1" w:rsidRPr="00E61612" w:rsidRDefault="00B951B1" w:rsidP="00CB78E6">
            <w:pPr>
              <w:spacing w:after="0"/>
              <w:rPr>
                <w:rFonts w:eastAsia="Times New Roman" w:cs="Calibri"/>
                <w:sz w:val="18"/>
                <w:szCs w:val="18"/>
              </w:rPr>
            </w:pPr>
            <w:r w:rsidRPr="00E61612">
              <w:rPr>
                <w:sz w:val="20"/>
                <w:szCs w:val="20"/>
              </w:rPr>
              <w:t>Rishikimi, racionalizimi dhe hartimi i programeve të studimit në përputhje me modelin e bazuar në rezultatet e të nxënit</w:t>
            </w:r>
          </w:p>
        </w:tc>
        <w:tc>
          <w:tcPr>
            <w:tcW w:w="492" w:type="pct"/>
            <w:shd w:val="clear" w:color="auto" w:fill="FFFFFF"/>
          </w:tcPr>
          <w:p w:rsidR="00B951B1" w:rsidRPr="00E61612" w:rsidRDefault="00B951B1" w:rsidP="00CB78E6">
            <w:pPr>
              <w:spacing w:after="0"/>
              <w:jc w:val="center"/>
              <w:rPr>
                <w:rFonts w:eastAsia="Times New Roman" w:cs="Calibri"/>
                <w:color w:val="000000"/>
                <w:sz w:val="18"/>
                <w:szCs w:val="18"/>
              </w:rPr>
            </w:pPr>
            <w:r w:rsidRPr="00E61612">
              <w:rPr>
                <w:color w:val="000000"/>
                <w:sz w:val="20"/>
                <w:szCs w:val="20"/>
              </w:rPr>
              <w:t>IAL-të</w:t>
            </w:r>
          </w:p>
        </w:tc>
        <w:tc>
          <w:tcPr>
            <w:tcW w:w="494" w:type="pct"/>
            <w:shd w:val="clear" w:color="auto" w:fill="FFFFFF"/>
          </w:tcPr>
          <w:p w:rsidR="00B951B1" w:rsidRPr="00E61612" w:rsidRDefault="00B951B1" w:rsidP="00CB78E6">
            <w:pPr>
              <w:spacing w:after="0"/>
              <w:jc w:val="center"/>
              <w:rPr>
                <w:rFonts w:eastAsia="Times New Roman" w:cs="Calibri"/>
                <w:color w:val="000000"/>
                <w:sz w:val="18"/>
                <w:szCs w:val="18"/>
              </w:rPr>
            </w:pPr>
            <w:r w:rsidRPr="00E61612">
              <w:rPr>
                <w:color w:val="000000"/>
                <w:sz w:val="20"/>
                <w:szCs w:val="20"/>
              </w:rPr>
              <w:t> </w:t>
            </w:r>
          </w:p>
        </w:tc>
        <w:tc>
          <w:tcPr>
            <w:tcW w:w="383" w:type="pct"/>
            <w:shd w:val="clear" w:color="auto" w:fill="FFFFFF"/>
          </w:tcPr>
          <w:p w:rsidR="00B951B1" w:rsidRPr="00E61612" w:rsidRDefault="00B951B1" w:rsidP="00CB78E6">
            <w:pPr>
              <w:spacing w:after="0"/>
              <w:jc w:val="center"/>
              <w:rPr>
                <w:rFonts w:eastAsia="Times New Roman" w:cs="Calibri"/>
                <w:color w:val="000000"/>
                <w:sz w:val="18"/>
                <w:szCs w:val="18"/>
              </w:rPr>
            </w:pPr>
            <w:r w:rsidRPr="00E61612">
              <w:rPr>
                <w:color w:val="000000"/>
                <w:sz w:val="20"/>
                <w:szCs w:val="20"/>
              </w:rPr>
              <w:t>TM3-2022</w:t>
            </w:r>
          </w:p>
        </w:tc>
        <w:tc>
          <w:tcPr>
            <w:tcW w:w="438" w:type="pct"/>
            <w:shd w:val="clear" w:color="auto" w:fill="FFFFFF"/>
          </w:tcPr>
          <w:p w:rsidR="00B951B1" w:rsidRPr="00E61612" w:rsidRDefault="00B951B1" w:rsidP="00CB78E6">
            <w:pPr>
              <w:spacing w:after="0"/>
              <w:jc w:val="center"/>
              <w:rPr>
                <w:rFonts w:eastAsia="Times New Roman" w:cs="Calibri"/>
                <w:color w:val="000000"/>
                <w:sz w:val="18"/>
                <w:szCs w:val="18"/>
              </w:rPr>
            </w:pPr>
            <w:r w:rsidRPr="00E61612">
              <w:rPr>
                <w:color w:val="000000"/>
                <w:sz w:val="20"/>
                <w:szCs w:val="20"/>
              </w:rPr>
              <w:t>TM3-2023</w:t>
            </w:r>
          </w:p>
        </w:tc>
        <w:tc>
          <w:tcPr>
            <w:tcW w:w="462" w:type="pct"/>
            <w:shd w:val="clear" w:color="auto" w:fill="FFFFFF"/>
            <w:noWrap/>
          </w:tcPr>
          <w:p w:rsidR="00B951B1" w:rsidRPr="00E61612" w:rsidRDefault="00B951B1" w:rsidP="00CB78E6">
            <w:pPr>
              <w:spacing w:after="0"/>
              <w:jc w:val="right"/>
              <w:rPr>
                <w:rFonts w:eastAsia="Times New Roman" w:cs="Calibri"/>
                <w:color w:val="000000"/>
                <w:sz w:val="18"/>
                <w:szCs w:val="18"/>
              </w:rPr>
            </w:pPr>
            <w:r w:rsidRPr="00E61612">
              <w:rPr>
                <w:color w:val="000000"/>
                <w:sz w:val="20"/>
                <w:szCs w:val="20"/>
              </w:rPr>
              <w:t>2,280</w:t>
            </w:r>
          </w:p>
        </w:tc>
        <w:tc>
          <w:tcPr>
            <w:tcW w:w="475" w:type="pct"/>
            <w:shd w:val="clear" w:color="auto" w:fill="FFFFFF"/>
            <w:noWrap/>
          </w:tcPr>
          <w:p w:rsidR="00B951B1" w:rsidRPr="00E61612" w:rsidRDefault="00B951B1" w:rsidP="00CB78E6">
            <w:pPr>
              <w:spacing w:after="0"/>
              <w:jc w:val="right"/>
              <w:rPr>
                <w:rFonts w:eastAsia="Times New Roman" w:cs="Calibri"/>
                <w:color w:val="000000"/>
                <w:sz w:val="18"/>
                <w:szCs w:val="18"/>
              </w:rPr>
            </w:pPr>
            <w:r w:rsidRPr="00E61612">
              <w:rPr>
                <w:color w:val="000000"/>
                <w:sz w:val="20"/>
                <w:szCs w:val="20"/>
              </w:rPr>
              <w:t>-</w:t>
            </w:r>
          </w:p>
        </w:tc>
        <w:tc>
          <w:tcPr>
            <w:tcW w:w="486" w:type="pct"/>
            <w:shd w:val="clear" w:color="auto" w:fill="FFFFFF"/>
            <w:noWrap/>
          </w:tcPr>
          <w:p w:rsidR="00B951B1" w:rsidRPr="00E61612" w:rsidRDefault="00B951B1" w:rsidP="00CB78E6">
            <w:pPr>
              <w:spacing w:after="0"/>
              <w:jc w:val="right"/>
              <w:rPr>
                <w:rFonts w:eastAsia="Times New Roman" w:cs="Calibri"/>
                <w:color w:val="000000"/>
                <w:sz w:val="18"/>
                <w:szCs w:val="18"/>
              </w:rPr>
            </w:pPr>
            <w:r w:rsidRPr="00E61612">
              <w:rPr>
                <w:color w:val="000000"/>
                <w:sz w:val="20"/>
                <w:szCs w:val="20"/>
              </w:rPr>
              <w:t xml:space="preserve">                   -   </w:t>
            </w:r>
          </w:p>
        </w:tc>
        <w:tc>
          <w:tcPr>
            <w:tcW w:w="458" w:type="pct"/>
            <w:shd w:val="clear" w:color="auto" w:fill="FFFFFF"/>
            <w:noWrap/>
          </w:tcPr>
          <w:p w:rsidR="00B951B1" w:rsidRPr="00E61612" w:rsidRDefault="00B951B1" w:rsidP="00CB78E6">
            <w:pPr>
              <w:spacing w:after="0"/>
              <w:jc w:val="right"/>
              <w:rPr>
                <w:rFonts w:eastAsia="Times New Roman" w:cs="Calibri"/>
                <w:color w:val="000000"/>
                <w:sz w:val="18"/>
                <w:szCs w:val="18"/>
              </w:rPr>
            </w:pPr>
            <w:r w:rsidRPr="00E61612">
              <w:rPr>
                <w:color w:val="000000"/>
                <w:sz w:val="20"/>
                <w:szCs w:val="20"/>
              </w:rPr>
              <w:t>(2,280)</w:t>
            </w:r>
          </w:p>
        </w:tc>
      </w:tr>
      <w:tr w:rsidR="00B951B1" w:rsidRPr="00E61612" w:rsidTr="00CB78E6">
        <w:trPr>
          <w:trHeight w:val="20"/>
        </w:trPr>
        <w:tc>
          <w:tcPr>
            <w:tcW w:w="310" w:type="pct"/>
            <w:tcBorders>
              <w:bottom w:val="single" w:sz="4" w:space="0" w:color="auto"/>
            </w:tcBorders>
            <w:shd w:val="clear" w:color="auto" w:fill="FFFFFF"/>
          </w:tcPr>
          <w:p w:rsidR="00B951B1" w:rsidRPr="00E61612" w:rsidRDefault="00B951B1" w:rsidP="00CB78E6">
            <w:pPr>
              <w:spacing w:after="0"/>
              <w:jc w:val="center"/>
              <w:rPr>
                <w:rFonts w:eastAsia="Times New Roman" w:cs="Calibri"/>
                <w:b/>
                <w:bCs/>
                <w:color w:val="000000"/>
                <w:sz w:val="18"/>
                <w:szCs w:val="18"/>
              </w:rPr>
            </w:pPr>
            <w:r w:rsidRPr="00E61612">
              <w:rPr>
                <w:b/>
                <w:bCs/>
                <w:color w:val="000000"/>
                <w:sz w:val="20"/>
                <w:szCs w:val="20"/>
              </w:rPr>
              <w:t>C1.1.3</w:t>
            </w:r>
          </w:p>
        </w:tc>
        <w:tc>
          <w:tcPr>
            <w:tcW w:w="1002" w:type="pct"/>
            <w:tcBorders>
              <w:bottom w:val="single" w:sz="4" w:space="0" w:color="auto"/>
            </w:tcBorders>
            <w:shd w:val="clear" w:color="auto" w:fill="FFFFFF"/>
          </w:tcPr>
          <w:p w:rsidR="00B951B1" w:rsidRPr="00E61612" w:rsidRDefault="00B951B1" w:rsidP="00CB78E6">
            <w:pPr>
              <w:spacing w:after="0"/>
              <w:rPr>
                <w:rFonts w:eastAsia="Times New Roman" w:cs="Calibri"/>
                <w:sz w:val="18"/>
                <w:szCs w:val="18"/>
              </w:rPr>
            </w:pPr>
            <w:r>
              <w:rPr>
                <w:sz w:val="20"/>
                <w:szCs w:val="20"/>
              </w:rPr>
              <w:t>Realizimi i</w:t>
            </w:r>
            <w:r w:rsidRPr="00E61612">
              <w:rPr>
                <w:sz w:val="20"/>
                <w:szCs w:val="20"/>
              </w:rPr>
              <w:t xml:space="preserve"> kodifikimi</w:t>
            </w:r>
            <w:r>
              <w:rPr>
                <w:sz w:val="20"/>
                <w:szCs w:val="20"/>
              </w:rPr>
              <w:t>t</w:t>
            </w:r>
            <w:r w:rsidRPr="00E61612">
              <w:rPr>
                <w:sz w:val="20"/>
                <w:szCs w:val="20"/>
              </w:rPr>
              <w:t xml:space="preserve"> </w:t>
            </w:r>
            <w:r>
              <w:rPr>
                <w:sz w:val="20"/>
                <w:szCs w:val="20"/>
              </w:rPr>
              <w:t>të</w:t>
            </w:r>
            <w:r w:rsidRPr="00E61612">
              <w:rPr>
                <w:sz w:val="20"/>
                <w:szCs w:val="20"/>
              </w:rPr>
              <w:t xml:space="preserve"> programeve të studimit</w:t>
            </w:r>
          </w:p>
        </w:tc>
        <w:tc>
          <w:tcPr>
            <w:tcW w:w="492" w:type="pct"/>
            <w:tcBorders>
              <w:bottom w:val="single" w:sz="4" w:space="0" w:color="auto"/>
            </w:tcBorders>
            <w:shd w:val="clear" w:color="auto" w:fill="FFFFFF"/>
          </w:tcPr>
          <w:p w:rsidR="00B951B1" w:rsidRPr="00E61612" w:rsidRDefault="00B951B1" w:rsidP="00CB78E6">
            <w:pPr>
              <w:spacing w:after="0"/>
              <w:jc w:val="center"/>
              <w:rPr>
                <w:rFonts w:eastAsia="Times New Roman" w:cs="Calibri"/>
                <w:color w:val="000000"/>
                <w:sz w:val="18"/>
                <w:szCs w:val="18"/>
              </w:rPr>
            </w:pPr>
            <w:r w:rsidRPr="00E61612">
              <w:rPr>
                <w:color w:val="000000"/>
                <w:sz w:val="20"/>
                <w:szCs w:val="20"/>
              </w:rPr>
              <w:t>MASR</w:t>
            </w:r>
          </w:p>
        </w:tc>
        <w:tc>
          <w:tcPr>
            <w:tcW w:w="494" w:type="pct"/>
            <w:tcBorders>
              <w:bottom w:val="single" w:sz="4" w:space="0" w:color="auto"/>
            </w:tcBorders>
            <w:shd w:val="clear" w:color="auto" w:fill="FFFFFF"/>
          </w:tcPr>
          <w:p w:rsidR="00B951B1" w:rsidRPr="00E61612" w:rsidRDefault="00B951B1" w:rsidP="00CB78E6">
            <w:pPr>
              <w:spacing w:after="0"/>
              <w:jc w:val="center"/>
              <w:rPr>
                <w:rFonts w:eastAsia="Times New Roman" w:cs="Calibri"/>
                <w:color w:val="000000"/>
                <w:sz w:val="18"/>
                <w:szCs w:val="18"/>
              </w:rPr>
            </w:pPr>
            <w:r w:rsidRPr="00E61612">
              <w:rPr>
                <w:color w:val="000000"/>
                <w:sz w:val="20"/>
                <w:szCs w:val="20"/>
              </w:rPr>
              <w:t> </w:t>
            </w:r>
          </w:p>
        </w:tc>
        <w:tc>
          <w:tcPr>
            <w:tcW w:w="383" w:type="pct"/>
            <w:tcBorders>
              <w:bottom w:val="single" w:sz="4" w:space="0" w:color="auto"/>
            </w:tcBorders>
            <w:shd w:val="clear" w:color="auto" w:fill="FFFFFF"/>
          </w:tcPr>
          <w:p w:rsidR="00B951B1" w:rsidRPr="00E61612" w:rsidRDefault="00B951B1" w:rsidP="00CB78E6">
            <w:pPr>
              <w:spacing w:after="0"/>
              <w:jc w:val="center"/>
              <w:rPr>
                <w:rFonts w:eastAsia="Times New Roman" w:cs="Calibri"/>
                <w:color w:val="000000"/>
                <w:sz w:val="18"/>
                <w:szCs w:val="18"/>
              </w:rPr>
            </w:pPr>
            <w:r w:rsidRPr="00E61612">
              <w:rPr>
                <w:color w:val="000000"/>
                <w:sz w:val="20"/>
                <w:szCs w:val="20"/>
              </w:rPr>
              <w:t>TM2-2023</w:t>
            </w:r>
          </w:p>
        </w:tc>
        <w:tc>
          <w:tcPr>
            <w:tcW w:w="438" w:type="pct"/>
            <w:tcBorders>
              <w:bottom w:val="single" w:sz="4" w:space="0" w:color="auto"/>
            </w:tcBorders>
            <w:shd w:val="clear" w:color="auto" w:fill="FFFFFF"/>
          </w:tcPr>
          <w:p w:rsidR="00B951B1" w:rsidRPr="00E61612" w:rsidRDefault="00B951B1" w:rsidP="00CB78E6">
            <w:pPr>
              <w:spacing w:after="0"/>
              <w:jc w:val="center"/>
              <w:rPr>
                <w:rFonts w:eastAsia="Times New Roman" w:cs="Calibri"/>
                <w:color w:val="000000"/>
                <w:sz w:val="18"/>
                <w:szCs w:val="18"/>
              </w:rPr>
            </w:pPr>
            <w:r w:rsidRPr="00E61612">
              <w:rPr>
                <w:color w:val="000000"/>
                <w:sz w:val="20"/>
                <w:szCs w:val="20"/>
              </w:rPr>
              <w:t>TM2-2024</w:t>
            </w:r>
          </w:p>
        </w:tc>
        <w:tc>
          <w:tcPr>
            <w:tcW w:w="462" w:type="pct"/>
            <w:tcBorders>
              <w:bottom w:val="single" w:sz="4" w:space="0" w:color="auto"/>
            </w:tcBorders>
            <w:shd w:val="clear" w:color="auto" w:fill="FFFFFF"/>
            <w:noWrap/>
          </w:tcPr>
          <w:p w:rsidR="00B951B1" w:rsidRPr="00E61612" w:rsidRDefault="00B951B1" w:rsidP="00CB78E6">
            <w:pPr>
              <w:spacing w:after="0"/>
              <w:jc w:val="right"/>
              <w:rPr>
                <w:rFonts w:eastAsia="Times New Roman" w:cs="Calibri"/>
                <w:color w:val="000000"/>
                <w:sz w:val="18"/>
                <w:szCs w:val="18"/>
              </w:rPr>
            </w:pPr>
            <w:r w:rsidRPr="00E61612">
              <w:rPr>
                <w:color w:val="000000"/>
                <w:sz w:val="20"/>
                <w:szCs w:val="20"/>
              </w:rPr>
              <w:t>-</w:t>
            </w:r>
          </w:p>
        </w:tc>
        <w:tc>
          <w:tcPr>
            <w:tcW w:w="475" w:type="pct"/>
            <w:tcBorders>
              <w:bottom w:val="single" w:sz="4" w:space="0" w:color="auto"/>
            </w:tcBorders>
            <w:shd w:val="clear" w:color="auto" w:fill="FFFFFF"/>
            <w:noWrap/>
          </w:tcPr>
          <w:p w:rsidR="00B951B1" w:rsidRPr="00E61612" w:rsidRDefault="00B951B1" w:rsidP="00CB78E6">
            <w:pPr>
              <w:spacing w:after="0"/>
              <w:jc w:val="right"/>
              <w:rPr>
                <w:rFonts w:eastAsia="Times New Roman" w:cs="Calibri"/>
                <w:color w:val="000000"/>
                <w:sz w:val="18"/>
                <w:szCs w:val="18"/>
              </w:rPr>
            </w:pPr>
            <w:r w:rsidRPr="00E61612">
              <w:rPr>
                <w:color w:val="000000"/>
                <w:sz w:val="20"/>
                <w:szCs w:val="20"/>
              </w:rPr>
              <w:t>-</w:t>
            </w:r>
          </w:p>
        </w:tc>
        <w:tc>
          <w:tcPr>
            <w:tcW w:w="486" w:type="pct"/>
            <w:tcBorders>
              <w:bottom w:val="single" w:sz="4" w:space="0" w:color="auto"/>
            </w:tcBorders>
            <w:shd w:val="clear" w:color="auto" w:fill="FFFFFF"/>
            <w:noWrap/>
          </w:tcPr>
          <w:p w:rsidR="00B951B1" w:rsidRPr="00E61612" w:rsidRDefault="00B951B1" w:rsidP="00CB78E6">
            <w:pPr>
              <w:spacing w:after="0"/>
              <w:jc w:val="right"/>
              <w:rPr>
                <w:rFonts w:eastAsia="Times New Roman" w:cs="Calibri"/>
                <w:color w:val="000000"/>
                <w:sz w:val="18"/>
                <w:szCs w:val="18"/>
              </w:rPr>
            </w:pPr>
            <w:r w:rsidRPr="00E61612">
              <w:rPr>
                <w:color w:val="000000"/>
                <w:sz w:val="20"/>
                <w:szCs w:val="20"/>
              </w:rPr>
              <w:t xml:space="preserve">                   -   </w:t>
            </w:r>
          </w:p>
        </w:tc>
        <w:tc>
          <w:tcPr>
            <w:tcW w:w="458" w:type="pct"/>
            <w:tcBorders>
              <w:bottom w:val="single" w:sz="4" w:space="0" w:color="auto"/>
            </w:tcBorders>
            <w:shd w:val="clear" w:color="auto" w:fill="FFFFFF"/>
            <w:noWrap/>
          </w:tcPr>
          <w:p w:rsidR="00B951B1" w:rsidRPr="00E61612" w:rsidRDefault="00B951B1" w:rsidP="00CB78E6">
            <w:pPr>
              <w:spacing w:after="0"/>
              <w:jc w:val="right"/>
              <w:rPr>
                <w:rFonts w:eastAsia="Times New Roman" w:cs="Calibri"/>
                <w:color w:val="000000"/>
                <w:sz w:val="18"/>
                <w:szCs w:val="18"/>
              </w:rPr>
            </w:pPr>
            <w:r w:rsidRPr="00E61612">
              <w:rPr>
                <w:color w:val="000000"/>
                <w:sz w:val="20"/>
                <w:szCs w:val="20"/>
              </w:rPr>
              <w:t>-</w:t>
            </w:r>
          </w:p>
        </w:tc>
      </w:tr>
      <w:tr w:rsidR="00B951B1" w:rsidRPr="00E61612" w:rsidTr="00CB78E6">
        <w:trPr>
          <w:trHeight w:val="20"/>
        </w:trPr>
        <w:tc>
          <w:tcPr>
            <w:tcW w:w="310" w:type="pct"/>
            <w:shd w:val="clear" w:color="auto" w:fill="D9D9D9"/>
          </w:tcPr>
          <w:p w:rsidR="00B951B1" w:rsidRPr="00E61612" w:rsidRDefault="00B951B1" w:rsidP="00CB78E6">
            <w:pPr>
              <w:spacing w:after="0"/>
              <w:jc w:val="center"/>
              <w:rPr>
                <w:rFonts w:eastAsia="Times New Roman" w:cs="Calibri"/>
                <w:b/>
                <w:bCs/>
                <w:color w:val="000000"/>
                <w:sz w:val="18"/>
                <w:szCs w:val="18"/>
              </w:rPr>
            </w:pPr>
            <w:r w:rsidRPr="00E61612">
              <w:rPr>
                <w:b/>
                <w:bCs/>
                <w:color w:val="000000"/>
                <w:sz w:val="20"/>
                <w:szCs w:val="20"/>
              </w:rPr>
              <w:t>C1.2</w:t>
            </w:r>
          </w:p>
        </w:tc>
        <w:tc>
          <w:tcPr>
            <w:tcW w:w="1002" w:type="pct"/>
            <w:shd w:val="clear" w:color="auto" w:fill="D9D9D9"/>
          </w:tcPr>
          <w:p w:rsidR="00B951B1" w:rsidRPr="00E61612" w:rsidRDefault="00B951B1" w:rsidP="00CB78E6">
            <w:pPr>
              <w:spacing w:after="0"/>
              <w:rPr>
                <w:rFonts w:eastAsia="Times New Roman" w:cs="Calibri"/>
                <w:sz w:val="18"/>
                <w:szCs w:val="18"/>
              </w:rPr>
            </w:pPr>
            <w:r w:rsidRPr="00E61612">
              <w:rPr>
                <w:sz w:val="20"/>
                <w:szCs w:val="20"/>
              </w:rPr>
              <w:t>Përmirësimi i infrastrukturës akademike</w:t>
            </w:r>
          </w:p>
        </w:tc>
        <w:tc>
          <w:tcPr>
            <w:tcW w:w="492" w:type="pct"/>
            <w:shd w:val="clear" w:color="auto" w:fill="D9D9D9"/>
          </w:tcPr>
          <w:p w:rsidR="00B951B1" w:rsidRPr="00E61612" w:rsidRDefault="00B951B1" w:rsidP="00CB78E6">
            <w:pPr>
              <w:spacing w:after="0"/>
              <w:jc w:val="center"/>
              <w:rPr>
                <w:rFonts w:eastAsia="Times New Roman" w:cs="Calibri"/>
                <w:color w:val="000000"/>
                <w:sz w:val="18"/>
                <w:szCs w:val="18"/>
              </w:rPr>
            </w:pPr>
            <w:r w:rsidRPr="00E61612">
              <w:rPr>
                <w:color w:val="000000"/>
                <w:sz w:val="20"/>
                <w:szCs w:val="20"/>
              </w:rPr>
              <w:t>IAL-të</w:t>
            </w:r>
          </w:p>
        </w:tc>
        <w:tc>
          <w:tcPr>
            <w:tcW w:w="494" w:type="pct"/>
            <w:shd w:val="clear" w:color="auto" w:fill="D9D9D9"/>
          </w:tcPr>
          <w:p w:rsidR="00B951B1" w:rsidRPr="00E61612" w:rsidRDefault="00B951B1" w:rsidP="00CB78E6">
            <w:pPr>
              <w:spacing w:after="0"/>
              <w:jc w:val="center"/>
              <w:rPr>
                <w:rFonts w:eastAsia="Times New Roman" w:cs="Calibri"/>
                <w:color w:val="000000"/>
                <w:sz w:val="18"/>
                <w:szCs w:val="18"/>
              </w:rPr>
            </w:pPr>
            <w:r w:rsidRPr="00E61612">
              <w:rPr>
                <w:color w:val="000000"/>
                <w:sz w:val="20"/>
                <w:szCs w:val="20"/>
              </w:rPr>
              <w:t>MASR</w:t>
            </w:r>
          </w:p>
        </w:tc>
        <w:tc>
          <w:tcPr>
            <w:tcW w:w="383" w:type="pct"/>
            <w:shd w:val="clear" w:color="auto" w:fill="D9D9D9"/>
          </w:tcPr>
          <w:p w:rsidR="00B951B1" w:rsidRPr="00E61612" w:rsidRDefault="00B951B1" w:rsidP="00CB78E6">
            <w:pPr>
              <w:spacing w:after="0"/>
              <w:jc w:val="center"/>
              <w:rPr>
                <w:rFonts w:eastAsia="Times New Roman" w:cs="Calibri"/>
                <w:color w:val="000000"/>
                <w:sz w:val="18"/>
                <w:szCs w:val="18"/>
              </w:rPr>
            </w:pPr>
            <w:r w:rsidRPr="00E61612">
              <w:rPr>
                <w:color w:val="000000"/>
                <w:sz w:val="20"/>
                <w:szCs w:val="20"/>
              </w:rPr>
              <w:t>TM1-2021</w:t>
            </w:r>
          </w:p>
        </w:tc>
        <w:tc>
          <w:tcPr>
            <w:tcW w:w="438" w:type="pct"/>
            <w:shd w:val="clear" w:color="auto" w:fill="D9D9D9"/>
          </w:tcPr>
          <w:p w:rsidR="00B951B1" w:rsidRPr="00E61612" w:rsidRDefault="00B951B1" w:rsidP="00CB78E6">
            <w:pPr>
              <w:spacing w:after="0"/>
              <w:jc w:val="center"/>
              <w:rPr>
                <w:rFonts w:eastAsia="Times New Roman" w:cs="Calibri"/>
                <w:color w:val="000000"/>
                <w:sz w:val="18"/>
                <w:szCs w:val="18"/>
              </w:rPr>
            </w:pPr>
            <w:r w:rsidRPr="00E61612">
              <w:rPr>
                <w:color w:val="000000"/>
                <w:sz w:val="20"/>
                <w:szCs w:val="20"/>
              </w:rPr>
              <w:t>TM4-2026</w:t>
            </w:r>
          </w:p>
        </w:tc>
        <w:tc>
          <w:tcPr>
            <w:tcW w:w="462" w:type="pct"/>
            <w:shd w:val="clear" w:color="auto" w:fill="D9D9D9"/>
            <w:noWrap/>
          </w:tcPr>
          <w:p w:rsidR="00B951B1" w:rsidRPr="00E61612" w:rsidRDefault="00B951B1" w:rsidP="00CB78E6">
            <w:pPr>
              <w:spacing w:after="0"/>
              <w:jc w:val="right"/>
              <w:rPr>
                <w:rFonts w:eastAsia="Times New Roman" w:cs="Calibri"/>
                <w:color w:val="000000"/>
                <w:sz w:val="18"/>
                <w:szCs w:val="18"/>
              </w:rPr>
            </w:pPr>
            <w:r w:rsidRPr="00E61612">
              <w:rPr>
                <w:color w:val="000000"/>
                <w:sz w:val="20"/>
                <w:szCs w:val="20"/>
              </w:rPr>
              <w:t>7,912,000</w:t>
            </w:r>
          </w:p>
        </w:tc>
        <w:tc>
          <w:tcPr>
            <w:tcW w:w="475" w:type="pct"/>
            <w:shd w:val="clear" w:color="auto" w:fill="D9D9D9"/>
            <w:noWrap/>
          </w:tcPr>
          <w:p w:rsidR="00B951B1" w:rsidRPr="00E61612" w:rsidRDefault="00B951B1" w:rsidP="00CB78E6">
            <w:pPr>
              <w:spacing w:after="0"/>
              <w:jc w:val="right"/>
              <w:rPr>
                <w:rFonts w:eastAsia="Times New Roman" w:cs="Calibri"/>
                <w:color w:val="000000"/>
                <w:sz w:val="18"/>
                <w:szCs w:val="18"/>
              </w:rPr>
            </w:pPr>
            <w:r w:rsidRPr="00E61612">
              <w:rPr>
                <w:color w:val="000000"/>
                <w:sz w:val="20"/>
                <w:szCs w:val="20"/>
              </w:rPr>
              <w:t>7,912,000</w:t>
            </w:r>
          </w:p>
        </w:tc>
        <w:tc>
          <w:tcPr>
            <w:tcW w:w="486" w:type="pct"/>
            <w:shd w:val="clear" w:color="auto" w:fill="D9D9D9"/>
            <w:noWrap/>
          </w:tcPr>
          <w:p w:rsidR="00B951B1" w:rsidRPr="00E61612" w:rsidRDefault="00B951B1" w:rsidP="00CB78E6">
            <w:pPr>
              <w:spacing w:after="0"/>
              <w:jc w:val="right"/>
              <w:rPr>
                <w:rFonts w:eastAsia="Times New Roman" w:cs="Calibri"/>
                <w:color w:val="000000"/>
                <w:sz w:val="18"/>
                <w:szCs w:val="18"/>
              </w:rPr>
            </w:pPr>
            <w:r w:rsidRPr="00E61612">
              <w:rPr>
                <w:color w:val="000000"/>
                <w:sz w:val="20"/>
                <w:szCs w:val="20"/>
              </w:rPr>
              <w:t xml:space="preserve">                   -   </w:t>
            </w:r>
          </w:p>
        </w:tc>
        <w:tc>
          <w:tcPr>
            <w:tcW w:w="458" w:type="pct"/>
            <w:shd w:val="clear" w:color="auto" w:fill="D9D9D9"/>
            <w:noWrap/>
          </w:tcPr>
          <w:p w:rsidR="00B951B1" w:rsidRPr="00E61612" w:rsidRDefault="00B951B1" w:rsidP="00CB78E6">
            <w:pPr>
              <w:spacing w:after="0"/>
              <w:jc w:val="right"/>
              <w:rPr>
                <w:rFonts w:eastAsia="Times New Roman" w:cs="Calibri"/>
                <w:color w:val="000000"/>
                <w:sz w:val="18"/>
                <w:szCs w:val="18"/>
              </w:rPr>
            </w:pPr>
            <w:r w:rsidRPr="00E61612">
              <w:rPr>
                <w:color w:val="000000"/>
                <w:sz w:val="20"/>
                <w:szCs w:val="20"/>
              </w:rPr>
              <w:t>-</w:t>
            </w:r>
          </w:p>
        </w:tc>
      </w:tr>
      <w:tr w:rsidR="00B951B1" w:rsidRPr="00E61612" w:rsidTr="00CB78E6">
        <w:trPr>
          <w:trHeight w:val="20"/>
        </w:trPr>
        <w:tc>
          <w:tcPr>
            <w:tcW w:w="310" w:type="pct"/>
            <w:tcBorders>
              <w:bottom w:val="single" w:sz="4" w:space="0" w:color="auto"/>
            </w:tcBorders>
            <w:shd w:val="clear" w:color="auto" w:fill="FFFFFF"/>
          </w:tcPr>
          <w:p w:rsidR="00B951B1" w:rsidRPr="00E61612" w:rsidRDefault="00B951B1" w:rsidP="00CB78E6">
            <w:pPr>
              <w:spacing w:after="0"/>
              <w:jc w:val="center"/>
              <w:rPr>
                <w:rFonts w:eastAsia="Times New Roman" w:cs="Calibri"/>
                <w:b/>
                <w:bCs/>
                <w:color w:val="000000"/>
                <w:sz w:val="18"/>
                <w:szCs w:val="18"/>
              </w:rPr>
            </w:pPr>
            <w:r w:rsidRPr="00E61612">
              <w:rPr>
                <w:b/>
                <w:bCs/>
                <w:color w:val="000000"/>
                <w:sz w:val="20"/>
                <w:szCs w:val="20"/>
              </w:rPr>
              <w:t>C1.2.1</w:t>
            </w:r>
          </w:p>
        </w:tc>
        <w:tc>
          <w:tcPr>
            <w:tcW w:w="1002" w:type="pct"/>
            <w:tcBorders>
              <w:bottom w:val="single" w:sz="4" w:space="0" w:color="auto"/>
            </w:tcBorders>
            <w:shd w:val="clear" w:color="auto" w:fill="FFFFFF"/>
          </w:tcPr>
          <w:p w:rsidR="00B951B1" w:rsidRPr="00E61612" w:rsidRDefault="00B951B1" w:rsidP="00CB78E6">
            <w:pPr>
              <w:spacing w:after="0"/>
              <w:rPr>
                <w:rFonts w:eastAsia="Times New Roman" w:cs="Calibri"/>
                <w:sz w:val="18"/>
                <w:szCs w:val="18"/>
              </w:rPr>
            </w:pPr>
            <w:r w:rsidRPr="00E61612">
              <w:rPr>
                <w:sz w:val="20"/>
                <w:szCs w:val="20"/>
              </w:rPr>
              <w:t>Investime në zgjerimin dhe përmirësimin e infrastrukturës akademike (godinat, kampuset, laboratorët, bibliotekat, etj.)</w:t>
            </w:r>
          </w:p>
        </w:tc>
        <w:tc>
          <w:tcPr>
            <w:tcW w:w="492" w:type="pct"/>
            <w:tcBorders>
              <w:bottom w:val="single" w:sz="4" w:space="0" w:color="auto"/>
            </w:tcBorders>
            <w:shd w:val="clear" w:color="auto" w:fill="FFFFFF"/>
          </w:tcPr>
          <w:p w:rsidR="00B951B1" w:rsidRPr="00E61612" w:rsidRDefault="00B951B1" w:rsidP="00CB78E6">
            <w:pPr>
              <w:spacing w:after="0"/>
              <w:jc w:val="center"/>
              <w:rPr>
                <w:rFonts w:eastAsia="Times New Roman" w:cs="Calibri"/>
                <w:color w:val="000000"/>
                <w:sz w:val="18"/>
                <w:szCs w:val="18"/>
              </w:rPr>
            </w:pPr>
            <w:r w:rsidRPr="00E61612">
              <w:rPr>
                <w:color w:val="000000"/>
                <w:sz w:val="20"/>
                <w:szCs w:val="20"/>
              </w:rPr>
              <w:t>IAL-të</w:t>
            </w:r>
          </w:p>
        </w:tc>
        <w:tc>
          <w:tcPr>
            <w:tcW w:w="494" w:type="pct"/>
            <w:tcBorders>
              <w:bottom w:val="single" w:sz="4" w:space="0" w:color="auto"/>
            </w:tcBorders>
            <w:shd w:val="clear" w:color="auto" w:fill="FFFFFF"/>
          </w:tcPr>
          <w:p w:rsidR="00B951B1" w:rsidRPr="00E61612" w:rsidRDefault="00B951B1" w:rsidP="00CB78E6">
            <w:pPr>
              <w:spacing w:after="0"/>
              <w:jc w:val="center"/>
              <w:rPr>
                <w:rFonts w:eastAsia="Times New Roman" w:cs="Calibri"/>
                <w:color w:val="000000"/>
                <w:sz w:val="18"/>
                <w:szCs w:val="18"/>
              </w:rPr>
            </w:pPr>
            <w:r w:rsidRPr="00E61612">
              <w:rPr>
                <w:color w:val="000000"/>
                <w:sz w:val="20"/>
                <w:szCs w:val="20"/>
              </w:rPr>
              <w:t>MASR</w:t>
            </w:r>
          </w:p>
        </w:tc>
        <w:tc>
          <w:tcPr>
            <w:tcW w:w="383" w:type="pct"/>
            <w:tcBorders>
              <w:bottom w:val="single" w:sz="4" w:space="0" w:color="auto"/>
            </w:tcBorders>
            <w:shd w:val="clear" w:color="auto" w:fill="FFFFFF"/>
          </w:tcPr>
          <w:p w:rsidR="00B951B1" w:rsidRPr="00E61612" w:rsidRDefault="00B951B1" w:rsidP="00CB78E6">
            <w:pPr>
              <w:spacing w:after="0"/>
              <w:jc w:val="center"/>
              <w:rPr>
                <w:rFonts w:eastAsia="Times New Roman" w:cs="Calibri"/>
                <w:color w:val="000000"/>
                <w:sz w:val="18"/>
                <w:szCs w:val="18"/>
              </w:rPr>
            </w:pPr>
            <w:r w:rsidRPr="00E61612">
              <w:rPr>
                <w:color w:val="000000"/>
                <w:sz w:val="20"/>
                <w:szCs w:val="20"/>
              </w:rPr>
              <w:t>TM1-2021</w:t>
            </w:r>
          </w:p>
        </w:tc>
        <w:tc>
          <w:tcPr>
            <w:tcW w:w="438" w:type="pct"/>
            <w:tcBorders>
              <w:bottom w:val="single" w:sz="4" w:space="0" w:color="auto"/>
            </w:tcBorders>
            <w:shd w:val="clear" w:color="auto" w:fill="FFFFFF"/>
          </w:tcPr>
          <w:p w:rsidR="00B951B1" w:rsidRPr="00E61612" w:rsidRDefault="00B951B1" w:rsidP="00CB78E6">
            <w:pPr>
              <w:spacing w:after="0"/>
              <w:jc w:val="center"/>
              <w:rPr>
                <w:rFonts w:eastAsia="Times New Roman" w:cs="Calibri"/>
                <w:color w:val="000000"/>
                <w:sz w:val="18"/>
                <w:szCs w:val="18"/>
              </w:rPr>
            </w:pPr>
            <w:r w:rsidRPr="00E61612">
              <w:rPr>
                <w:color w:val="000000"/>
                <w:sz w:val="20"/>
                <w:szCs w:val="20"/>
              </w:rPr>
              <w:t>TM4-2026</w:t>
            </w:r>
          </w:p>
        </w:tc>
        <w:tc>
          <w:tcPr>
            <w:tcW w:w="462" w:type="pct"/>
            <w:tcBorders>
              <w:bottom w:val="single" w:sz="4" w:space="0" w:color="auto"/>
            </w:tcBorders>
            <w:shd w:val="clear" w:color="auto" w:fill="FFFFFF"/>
            <w:noWrap/>
          </w:tcPr>
          <w:p w:rsidR="00B951B1" w:rsidRPr="00E61612" w:rsidRDefault="00B951B1" w:rsidP="00CB78E6">
            <w:pPr>
              <w:spacing w:after="0"/>
              <w:jc w:val="right"/>
              <w:rPr>
                <w:rFonts w:eastAsia="Times New Roman" w:cs="Calibri"/>
                <w:color w:val="000000"/>
                <w:sz w:val="18"/>
                <w:szCs w:val="18"/>
              </w:rPr>
            </w:pPr>
            <w:r w:rsidRPr="00E61612">
              <w:rPr>
                <w:color w:val="000000"/>
                <w:sz w:val="20"/>
                <w:szCs w:val="20"/>
              </w:rPr>
              <w:t>7,912,000</w:t>
            </w:r>
          </w:p>
        </w:tc>
        <w:tc>
          <w:tcPr>
            <w:tcW w:w="475" w:type="pct"/>
            <w:tcBorders>
              <w:bottom w:val="single" w:sz="4" w:space="0" w:color="auto"/>
            </w:tcBorders>
            <w:shd w:val="clear" w:color="auto" w:fill="FFFFFF"/>
            <w:noWrap/>
          </w:tcPr>
          <w:p w:rsidR="00B951B1" w:rsidRPr="00E61612" w:rsidRDefault="00B951B1" w:rsidP="00CB78E6">
            <w:pPr>
              <w:spacing w:after="0"/>
              <w:jc w:val="right"/>
              <w:rPr>
                <w:rFonts w:eastAsia="Times New Roman" w:cs="Calibri"/>
                <w:color w:val="000000"/>
                <w:sz w:val="18"/>
                <w:szCs w:val="18"/>
              </w:rPr>
            </w:pPr>
            <w:r w:rsidRPr="00E61612">
              <w:rPr>
                <w:color w:val="000000"/>
                <w:sz w:val="20"/>
                <w:szCs w:val="20"/>
              </w:rPr>
              <w:t>7,912,000</w:t>
            </w:r>
          </w:p>
        </w:tc>
        <w:tc>
          <w:tcPr>
            <w:tcW w:w="486" w:type="pct"/>
            <w:tcBorders>
              <w:bottom w:val="single" w:sz="4" w:space="0" w:color="auto"/>
            </w:tcBorders>
            <w:shd w:val="clear" w:color="auto" w:fill="FFFFFF"/>
            <w:noWrap/>
          </w:tcPr>
          <w:p w:rsidR="00B951B1" w:rsidRPr="00E61612" w:rsidRDefault="00B951B1" w:rsidP="00CB78E6">
            <w:pPr>
              <w:spacing w:after="0"/>
              <w:jc w:val="right"/>
              <w:rPr>
                <w:rFonts w:eastAsia="Times New Roman" w:cs="Calibri"/>
                <w:color w:val="000000"/>
                <w:sz w:val="18"/>
                <w:szCs w:val="18"/>
              </w:rPr>
            </w:pPr>
            <w:r w:rsidRPr="00E61612">
              <w:rPr>
                <w:color w:val="000000"/>
                <w:sz w:val="20"/>
                <w:szCs w:val="20"/>
              </w:rPr>
              <w:t xml:space="preserve">                   -   </w:t>
            </w:r>
          </w:p>
        </w:tc>
        <w:tc>
          <w:tcPr>
            <w:tcW w:w="458" w:type="pct"/>
            <w:tcBorders>
              <w:bottom w:val="single" w:sz="4" w:space="0" w:color="auto"/>
            </w:tcBorders>
            <w:shd w:val="clear" w:color="auto" w:fill="FFFFFF"/>
            <w:noWrap/>
          </w:tcPr>
          <w:p w:rsidR="00B951B1" w:rsidRPr="00E61612" w:rsidRDefault="00B951B1" w:rsidP="00CB78E6">
            <w:pPr>
              <w:spacing w:after="0"/>
              <w:jc w:val="right"/>
              <w:rPr>
                <w:rFonts w:eastAsia="Times New Roman" w:cs="Calibri"/>
                <w:color w:val="000000"/>
                <w:sz w:val="18"/>
                <w:szCs w:val="18"/>
              </w:rPr>
            </w:pPr>
            <w:r w:rsidRPr="00E61612">
              <w:rPr>
                <w:color w:val="000000"/>
                <w:sz w:val="20"/>
                <w:szCs w:val="20"/>
              </w:rPr>
              <w:t>-</w:t>
            </w:r>
          </w:p>
        </w:tc>
      </w:tr>
      <w:tr w:rsidR="00B951B1" w:rsidRPr="00E61612" w:rsidTr="00CB78E6">
        <w:trPr>
          <w:trHeight w:val="20"/>
        </w:trPr>
        <w:tc>
          <w:tcPr>
            <w:tcW w:w="310" w:type="pct"/>
            <w:shd w:val="clear" w:color="auto" w:fill="D9D9D9"/>
          </w:tcPr>
          <w:p w:rsidR="00B951B1" w:rsidRPr="00E61612" w:rsidRDefault="00B951B1" w:rsidP="00CB78E6">
            <w:pPr>
              <w:spacing w:after="0"/>
              <w:jc w:val="center"/>
              <w:rPr>
                <w:rFonts w:eastAsia="Times New Roman" w:cs="Calibri"/>
                <w:b/>
                <w:bCs/>
                <w:color w:val="000000"/>
                <w:sz w:val="18"/>
                <w:szCs w:val="18"/>
              </w:rPr>
            </w:pPr>
            <w:r w:rsidRPr="00E61612">
              <w:rPr>
                <w:b/>
                <w:bCs/>
                <w:color w:val="000000"/>
                <w:sz w:val="20"/>
                <w:szCs w:val="20"/>
              </w:rPr>
              <w:t>C1.3</w:t>
            </w:r>
          </w:p>
        </w:tc>
        <w:tc>
          <w:tcPr>
            <w:tcW w:w="1002" w:type="pct"/>
            <w:shd w:val="clear" w:color="auto" w:fill="D9D9D9"/>
          </w:tcPr>
          <w:p w:rsidR="00B951B1" w:rsidRPr="00E61612" w:rsidRDefault="00B951B1" w:rsidP="00CB78E6">
            <w:pPr>
              <w:spacing w:after="0"/>
              <w:rPr>
                <w:rFonts w:eastAsia="Times New Roman" w:cs="Calibri"/>
                <w:sz w:val="18"/>
                <w:szCs w:val="18"/>
              </w:rPr>
            </w:pPr>
            <w:r w:rsidRPr="00E61612">
              <w:rPr>
                <w:sz w:val="20"/>
                <w:szCs w:val="20"/>
              </w:rPr>
              <w:t>Aplikimi i standardeve të larta akademike për akreditimin e IAL-ve dhe të programeve studimore</w:t>
            </w:r>
          </w:p>
        </w:tc>
        <w:tc>
          <w:tcPr>
            <w:tcW w:w="492" w:type="pct"/>
            <w:shd w:val="clear" w:color="auto" w:fill="D9D9D9"/>
          </w:tcPr>
          <w:p w:rsidR="00B951B1" w:rsidRPr="00E61612" w:rsidRDefault="00B951B1" w:rsidP="00CB78E6">
            <w:pPr>
              <w:spacing w:after="0"/>
              <w:jc w:val="center"/>
              <w:rPr>
                <w:rFonts w:eastAsia="Times New Roman" w:cs="Calibri"/>
                <w:color w:val="000000"/>
                <w:sz w:val="18"/>
                <w:szCs w:val="18"/>
              </w:rPr>
            </w:pPr>
            <w:r w:rsidRPr="00E61612">
              <w:rPr>
                <w:color w:val="000000"/>
                <w:sz w:val="20"/>
                <w:szCs w:val="20"/>
              </w:rPr>
              <w:t>ASCAL</w:t>
            </w:r>
          </w:p>
        </w:tc>
        <w:tc>
          <w:tcPr>
            <w:tcW w:w="494" w:type="pct"/>
            <w:shd w:val="clear" w:color="auto" w:fill="D9D9D9"/>
          </w:tcPr>
          <w:p w:rsidR="00B951B1" w:rsidRPr="00E61612" w:rsidRDefault="00B951B1" w:rsidP="00CB78E6">
            <w:pPr>
              <w:spacing w:after="0"/>
              <w:jc w:val="center"/>
              <w:rPr>
                <w:rFonts w:eastAsia="Times New Roman" w:cs="Calibri"/>
                <w:color w:val="000000"/>
                <w:sz w:val="18"/>
                <w:szCs w:val="18"/>
              </w:rPr>
            </w:pPr>
            <w:r w:rsidRPr="00E61612">
              <w:rPr>
                <w:color w:val="000000"/>
                <w:sz w:val="20"/>
                <w:szCs w:val="20"/>
              </w:rPr>
              <w:t>MASR</w:t>
            </w:r>
          </w:p>
        </w:tc>
        <w:tc>
          <w:tcPr>
            <w:tcW w:w="383" w:type="pct"/>
            <w:shd w:val="clear" w:color="auto" w:fill="D9D9D9"/>
          </w:tcPr>
          <w:p w:rsidR="00B951B1" w:rsidRPr="00E61612" w:rsidRDefault="00B951B1" w:rsidP="00CB78E6">
            <w:pPr>
              <w:spacing w:after="0"/>
              <w:jc w:val="center"/>
              <w:rPr>
                <w:rFonts w:eastAsia="Times New Roman" w:cs="Calibri"/>
                <w:color w:val="000000"/>
                <w:sz w:val="18"/>
                <w:szCs w:val="18"/>
              </w:rPr>
            </w:pPr>
            <w:r w:rsidRPr="00E61612">
              <w:rPr>
                <w:color w:val="000000"/>
                <w:sz w:val="20"/>
                <w:szCs w:val="20"/>
              </w:rPr>
              <w:t>TM1-2022</w:t>
            </w:r>
          </w:p>
        </w:tc>
        <w:tc>
          <w:tcPr>
            <w:tcW w:w="438" w:type="pct"/>
            <w:shd w:val="clear" w:color="auto" w:fill="D9D9D9"/>
          </w:tcPr>
          <w:p w:rsidR="00B951B1" w:rsidRPr="00E61612" w:rsidRDefault="00B951B1" w:rsidP="00CB78E6">
            <w:pPr>
              <w:spacing w:after="0"/>
              <w:jc w:val="center"/>
              <w:rPr>
                <w:rFonts w:eastAsia="Times New Roman" w:cs="Calibri"/>
                <w:color w:val="000000"/>
                <w:sz w:val="18"/>
                <w:szCs w:val="18"/>
              </w:rPr>
            </w:pPr>
            <w:r w:rsidRPr="00E61612">
              <w:rPr>
                <w:color w:val="000000"/>
                <w:sz w:val="20"/>
                <w:szCs w:val="20"/>
              </w:rPr>
              <w:t>TM4-2023</w:t>
            </w:r>
          </w:p>
        </w:tc>
        <w:tc>
          <w:tcPr>
            <w:tcW w:w="462" w:type="pct"/>
            <w:shd w:val="clear" w:color="auto" w:fill="D9D9D9"/>
            <w:noWrap/>
          </w:tcPr>
          <w:p w:rsidR="00B951B1" w:rsidRPr="00E61612" w:rsidRDefault="00B951B1" w:rsidP="00CB78E6">
            <w:pPr>
              <w:spacing w:after="0"/>
              <w:jc w:val="right"/>
              <w:rPr>
                <w:rFonts w:eastAsia="Times New Roman" w:cs="Calibri"/>
                <w:color w:val="000000"/>
                <w:sz w:val="18"/>
                <w:szCs w:val="18"/>
              </w:rPr>
            </w:pPr>
            <w:r w:rsidRPr="00E61612">
              <w:rPr>
                <w:color w:val="000000"/>
                <w:sz w:val="20"/>
                <w:szCs w:val="20"/>
              </w:rPr>
              <w:t>41,648</w:t>
            </w:r>
          </w:p>
        </w:tc>
        <w:tc>
          <w:tcPr>
            <w:tcW w:w="475" w:type="pct"/>
            <w:shd w:val="clear" w:color="auto" w:fill="D9D9D9"/>
            <w:noWrap/>
          </w:tcPr>
          <w:p w:rsidR="00B951B1" w:rsidRPr="00E61612" w:rsidRDefault="00B951B1" w:rsidP="00CB78E6">
            <w:pPr>
              <w:spacing w:after="0"/>
              <w:jc w:val="right"/>
              <w:rPr>
                <w:rFonts w:eastAsia="Times New Roman" w:cs="Calibri"/>
                <w:color w:val="000000"/>
                <w:sz w:val="18"/>
                <w:szCs w:val="18"/>
              </w:rPr>
            </w:pPr>
            <w:r w:rsidRPr="00E61612">
              <w:rPr>
                <w:color w:val="000000"/>
                <w:sz w:val="20"/>
                <w:szCs w:val="20"/>
              </w:rPr>
              <w:t>41,648</w:t>
            </w:r>
          </w:p>
        </w:tc>
        <w:tc>
          <w:tcPr>
            <w:tcW w:w="486" w:type="pct"/>
            <w:shd w:val="clear" w:color="auto" w:fill="D9D9D9"/>
            <w:noWrap/>
          </w:tcPr>
          <w:p w:rsidR="00B951B1" w:rsidRPr="00E61612" w:rsidRDefault="00B951B1" w:rsidP="00CB78E6">
            <w:pPr>
              <w:spacing w:after="0"/>
              <w:jc w:val="right"/>
              <w:rPr>
                <w:rFonts w:eastAsia="Times New Roman" w:cs="Calibri"/>
                <w:color w:val="000000"/>
                <w:sz w:val="18"/>
                <w:szCs w:val="18"/>
              </w:rPr>
            </w:pPr>
            <w:r w:rsidRPr="00E61612">
              <w:rPr>
                <w:color w:val="000000"/>
                <w:sz w:val="20"/>
                <w:szCs w:val="20"/>
              </w:rPr>
              <w:t xml:space="preserve">                   -   </w:t>
            </w:r>
          </w:p>
        </w:tc>
        <w:tc>
          <w:tcPr>
            <w:tcW w:w="458" w:type="pct"/>
            <w:shd w:val="clear" w:color="auto" w:fill="D9D9D9"/>
            <w:noWrap/>
          </w:tcPr>
          <w:p w:rsidR="00B951B1" w:rsidRPr="00E61612" w:rsidRDefault="00B951B1" w:rsidP="00CB78E6">
            <w:pPr>
              <w:spacing w:after="0"/>
              <w:jc w:val="right"/>
              <w:rPr>
                <w:rFonts w:eastAsia="Times New Roman" w:cs="Calibri"/>
                <w:color w:val="000000"/>
                <w:sz w:val="18"/>
                <w:szCs w:val="18"/>
              </w:rPr>
            </w:pPr>
            <w:r w:rsidRPr="00E61612">
              <w:rPr>
                <w:color w:val="000000"/>
                <w:sz w:val="20"/>
                <w:szCs w:val="20"/>
              </w:rPr>
              <w:t>-</w:t>
            </w:r>
          </w:p>
        </w:tc>
      </w:tr>
      <w:tr w:rsidR="00B951B1" w:rsidRPr="00E61612" w:rsidTr="00CB78E6">
        <w:trPr>
          <w:trHeight w:val="20"/>
        </w:trPr>
        <w:tc>
          <w:tcPr>
            <w:tcW w:w="310" w:type="pct"/>
            <w:shd w:val="clear" w:color="auto" w:fill="FFFFFF"/>
          </w:tcPr>
          <w:p w:rsidR="00B951B1" w:rsidRPr="00E61612" w:rsidRDefault="00B951B1" w:rsidP="00CB78E6">
            <w:pPr>
              <w:spacing w:after="0"/>
              <w:jc w:val="center"/>
              <w:rPr>
                <w:rFonts w:eastAsia="Times New Roman" w:cs="Calibri"/>
                <w:b/>
                <w:bCs/>
                <w:color w:val="000000"/>
                <w:sz w:val="18"/>
                <w:szCs w:val="18"/>
              </w:rPr>
            </w:pPr>
            <w:r w:rsidRPr="00E61612">
              <w:rPr>
                <w:b/>
                <w:bCs/>
                <w:color w:val="000000"/>
                <w:sz w:val="20"/>
                <w:szCs w:val="20"/>
              </w:rPr>
              <w:t>C1.3.1</w:t>
            </w:r>
          </w:p>
        </w:tc>
        <w:tc>
          <w:tcPr>
            <w:tcW w:w="1002" w:type="pct"/>
            <w:shd w:val="clear" w:color="auto" w:fill="FFFFFF"/>
          </w:tcPr>
          <w:p w:rsidR="00B951B1" w:rsidRPr="00E61612" w:rsidRDefault="00B951B1" w:rsidP="00CB78E6">
            <w:pPr>
              <w:spacing w:after="0"/>
              <w:rPr>
                <w:rFonts w:eastAsia="Times New Roman" w:cs="Calibri"/>
                <w:sz w:val="18"/>
                <w:szCs w:val="18"/>
              </w:rPr>
            </w:pPr>
            <w:r w:rsidRPr="00E61612">
              <w:rPr>
                <w:sz w:val="20"/>
                <w:szCs w:val="20"/>
              </w:rPr>
              <w:t xml:space="preserve">Ristrukturimi i Sistemit të Sigurimit të Cilësisë për të </w:t>
            </w:r>
            <w:r>
              <w:rPr>
                <w:sz w:val="20"/>
                <w:szCs w:val="20"/>
              </w:rPr>
              <w:t>garantuar</w:t>
            </w:r>
            <w:r w:rsidRPr="00E61612">
              <w:rPr>
                <w:sz w:val="20"/>
                <w:szCs w:val="20"/>
              </w:rPr>
              <w:t xml:space="preserve"> pavarësinë dhe zbatimin e </w:t>
            </w:r>
            <w:r>
              <w:rPr>
                <w:sz w:val="20"/>
                <w:szCs w:val="20"/>
              </w:rPr>
              <w:t>SUE-së</w:t>
            </w:r>
          </w:p>
        </w:tc>
        <w:tc>
          <w:tcPr>
            <w:tcW w:w="492" w:type="pct"/>
            <w:shd w:val="clear" w:color="auto" w:fill="FFFFFF"/>
          </w:tcPr>
          <w:p w:rsidR="00B951B1" w:rsidRPr="00E61612" w:rsidRDefault="00B951B1" w:rsidP="00CB78E6">
            <w:pPr>
              <w:spacing w:after="0"/>
              <w:jc w:val="center"/>
              <w:rPr>
                <w:rFonts w:eastAsia="Times New Roman" w:cs="Calibri"/>
                <w:color w:val="000000"/>
                <w:sz w:val="18"/>
                <w:szCs w:val="18"/>
              </w:rPr>
            </w:pPr>
            <w:r w:rsidRPr="00E61612">
              <w:rPr>
                <w:color w:val="000000"/>
                <w:sz w:val="20"/>
                <w:szCs w:val="20"/>
              </w:rPr>
              <w:t>ASCAL</w:t>
            </w:r>
          </w:p>
        </w:tc>
        <w:tc>
          <w:tcPr>
            <w:tcW w:w="494" w:type="pct"/>
            <w:shd w:val="clear" w:color="auto" w:fill="FFFFFF"/>
          </w:tcPr>
          <w:p w:rsidR="00B951B1" w:rsidRPr="00E61612" w:rsidRDefault="00B951B1" w:rsidP="00CB78E6">
            <w:pPr>
              <w:spacing w:after="0"/>
              <w:jc w:val="center"/>
              <w:rPr>
                <w:rFonts w:eastAsia="Times New Roman" w:cs="Calibri"/>
                <w:color w:val="000000"/>
                <w:sz w:val="18"/>
                <w:szCs w:val="18"/>
              </w:rPr>
            </w:pPr>
            <w:r w:rsidRPr="00E61612">
              <w:rPr>
                <w:color w:val="000000"/>
                <w:sz w:val="20"/>
                <w:szCs w:val="20"/>
              </w:rPr>
              <w:t>MASR</w:t>
            </w:r>
          </w:p>
        </w:tc>
        <w:tc>
          <w:tcPr>
            <w:tcW w:w="383" w:type="pct"/>
            <w:shd w:val="clear" w:color="auto" w:fill="FFFFFF"/>
          </w:tcPr>
          <w:p w:rsidR="00B951B1" w:rsidRPr="00E61612" w:rsidRDefault="00B951B1" w:rsidP="00CB78E6">
            <w:pPr>
              <w:spacing w:after="0"/>
              <w:jc w:val="center"/>
              <w:rPr>
                <w:rFonts w:eastAsia="Times New Roman" w:cs="Calibri"/>
                <w:color w:val="000000"/>
                <w:sz w:val="18"/>
                <w:szCs w:val="18"/>
              </w:rPr>
            </w:pPr>
            <w:r w:rsidRPr="00E61612">
              <w:rPr>
                <w:color w:val="000000"/>
                <w:sz w:val="20"/>
                <w:szCs w:val="20"/>
              </w:rPr>
              <w:t>TM1-2022</w:t>
            </w:r>
          </w:p>
        </w:tc>
        <w:tc>
          <w:tcPr>
            <w:tcW w:w="438" w:type="pct"/>
            <w:shd w:val="clear" w:color="auto" w:fill="FFFFFF"/>
          </w:tcPr>
          <w:p w:rsidR="00B951B1" w:rsidRPr="00E61612" w:rsidRDefault="00B951B1" w:rsidP="00CB78E6">
            <w:pPr>
              <w:spacing w:after="0"/>
              <w:jc w:val="center"/>
              <w:rPr>
                <w:rFonts w:eastAsia="Times New Roman" w:cs="Calibri"/>
                <w:color w:val="000000"/>
                <w:sz w:val="18"/>
                <w:szCs w:val="18"/>
              </w:rPr>
            </w:pPr>
            <w:r w:rsidRPr="00E61612">
              <w:rPr>
                <w:color w:val="000000"/>
                <w:sz w:val="20"/>
                <w:szCs w:val="20"/>
              </w:rPr>
              <w:t>TM4-2022</w:t>
            </w:r>
          </w:p>
        </w:tc>
        <w:tc>
          <w:tcPr>
            <w:tcW w:w="462" w:type="pct"/>
            <w:shd w:val="clear" w:color="auto" w:fill="FFFFFF"/>
            <w:noWrap/>
          </w:tcPr>
          <w:p w:rsidR="00B951B1" w:rsidRPr="00E61612" w:rsidRDefault="00B951B1" w:rsidP="00CB78E6">
            <w:pPr>
              <w:spacing w:after="0"/>
              <w:jc w:val="right"/>
              <w:rPr>
                <w:rFonts w:eastAsia="Times New Roman" w:cs="Calibri"/>
                <w:color w:val="000000"/>
                <w:sz w:val="18"/>
                <w:szCs w:val="18"/>
              </w:rPr>
            </w:pPr>
            <w:r w:rsidRPr="00E61612">
              <w:rPr>
                <w:color w:val="000000"/>
                <w:sz w:val="20"/>
                <w:szCs w:val="20"/>
              </w:rPr>
              <w:t>6,610</w:t>
            </w:r>
          </w:p>
        </w:tc>
        <w:tc>
          <w:tcPr>
            <w:tcW w:w="475" w:type="pct"/>
            <w:shd w:val="clear" w:color="auto" w:fill="FFFFFF"/>
            <w:noWrap/>
          </w:tcPr>
          <w:p w:rsidR="00B951B1" w:rsidRPr="00E61612" w:rsidRDefault="00B951B1" w:rsidP="00CB78E6">
            <w:pPr>
              <w:spacing w:after="0"/>
              <w:jc w:val="right"/>
              <w:rPr>
                <w:rFonts w:eastAsia="Times New Roman" w:cs="Calibri"/>
                <w:color w:val="000000"/>
                <w:sz w:val="18"/>
                <w:szCs w:val="18"/>
              </w:rPr>
            </w:pPr>
            <w:r w:rsidRPr="00E61612">
              <w:rPr>
                <w:color w:val="000000"/>
                <w:sz w:val="20"/>
                <w:szCs w:val="20"/>
              </w:rPr>
              <w:t>6,610</w:t>
            </w:r>
          </w:p>
        </w:tc>
        <w:tc>
          <w:tcPr>
            <w:tcW w:w="486" w:type="pct"/>
            <w:shd w:val="clear" w:color="auto" w:fill="FFFFFF"/>
            <w:noWrap/>
          </w:tcPr>
          <w:p w:rsidR="00B951B1" w:rsidRPr="00E61612" w:rsidRDefault="00B951B1" w:rsidP="00CB78E6">
            <w:pPr>
              <w:spacing w:after="0"/>
              <w:jc w:val="right"/>
              <w:rPr>
                <w:rFonts w:eastAsia="Times New Roman" w:cs="Calibri"/>
                <w:color w:val="000000"/>
                <w:sz w:val="18"/>
                <w:szCs w:val="18"/>
              </w:rPr>
            </w:pPr>
            <w:r w:rsidRPr="00E61612">
              <w:rPr>
                <w:color w:val="000000"/>
                <w:sz w:val="20"/>
                <w:szCs w:val="20"/>
              </w:rPr>
              <w:t xml:space="preserve">                   -   </w:t>
            </w:r>
          </w:p>
        </w:tc>
        <w:tc>
          <w:tcPr>
            <w:tcW w:w="458" w:type="pct"/>
            <w:shd w:val="clear" w:color="auto" w:fill="FFFFFF"/>
            <w:noWrap/>
          </w:tcPr>
          <w:p w:rsidR="00B951B1" w:rsidRPr="00E61612" w:rsidRDefault="00B951B1" w:rsidP="00CB78E6">
            <w:pPr>
              <w:spacing w:after="0"/>
              <w:jc w:val="right"/>
              <w:rPr>
                <w:rFonts w:eastAsia="Times New Roman" w:cs="Calibri"/>
                <w:color w:val="000000"/>
                <w:sz w:val="18"/>
                <w:szCs w:val="18"/>
              </w:rPr>
            </w:pPr>
            <w:r w:rsidRPr="00E61612">
              <w:rPr>
                <w:color w:val="000000"/>
                <w:sz w:val="20"/>
                <w:szCs w:val="20"/>
              </w:rPr>
              <w:t>-</w:t>
            </w:r>
          </w:p>
        </w:tc>
      </w:tr>
      <w:tr w:rsidR="00B951B1" w:rsidRPr="00E61612" w:rsidTr="00CB78E6">
        <w:trPr>
          <w:trHeight w:val="20"/>
        </w:trPr>
        <w:tc>
          <w:tcPr>
            <w:tcW w:w="310" w:type="pct"/>
            <w:shd w:val="clear" w:color="auto" w:fill="FFFFFF"/>
          </w:tcPr>
          <w:p w:rsidR="00B951B1" w:rsidRPr="00E61612" w:rsidRDefault="00B951B1" w:rsidP="00CB78E6">
            <w:pPr>
              <w:spacing w:after="0"/>
              <w:jc w:val="center"/>
              <w:rPr>
                <w:rFonts w:eastAsia="Times New Roman" w:cs="Calibri"/>
                <w:b/>
                <w:bCs/>
                <w:color w:val="000000"/>
                <w:sz w:val="18"/>
                <w:szCs w:val="18"/>
              </w:rPr>
            </w:pPr>
            <w:r w:rsidRPr="00E61612">
              <w:rPr>
                <w:b/>
                <w:bCs/>
                <w:color w:val="000000"/>
                <w:sz w:val="20"/>
                <w:szCs w:val="20"/>
              </w:rPr>
              <w:t>C1.3.2</w:t>
            </w:r>
          </w:p>
        </w:tc>
        <w:tc>
          <w:tcPr>
            <w:tcW w:w="1002" w:type="pct"/>
            <w:shd w:val="clear" w:color="auto" w:fill="FFFFFF"/>
          </w:tcPr>
          <w:p w:rsidR="00B951B1" w:rsidRPr="00E61612" w:rsidRDefault="00B951B1" w:rsidP="00CB78E6">
            <w:pPr>
              <w:spacing w:after="0"/>
              <w:rPr>
                <w:rFonts w:eastAsia="Times New Roman" w:cs="Calibri"/>
                <w:sz w:val="18"/>
                <w:szCs w:val="18"/>
              </w:rPr>
            </w:pPr>
            <w:r w:rsidRPr="00E61612">
              <w:rPr>
                <w:sz w:val="20"/>
                <w:szCs w:val="20"/>
              </w:rPr>
              <w:t xml:space="preserve">Akreditimi i IAL-ve dhe programeve në bazë të standardeve ndërkombëtare dhe mbikëqyrja e vazhdueshme e </w:t>
            </w:r>
            <w:r w:rsidRPr="00E61612">
              <w:rPr>
                <w:sz w:val="20"/>
                <w:szCs w:val="20"/>
              </w:rPr>
              <w:lastRenderedPageBreak/>
              <w:t>institucioneve dhe programeve të akredituara</w:t>
            </w:r>
          </w:p>
        </w:tc>
        <w:tc>
          <w:tcPr>
            <w:tcW w:w="492" w:type="pct"/>
            <w:shd w:val="clear" w:color="auto" w:fill="FFFFFF"/>
          </w:tcPr>
          <w:p w:rsidR="00B951B1" w:rsidRPr="00E61612" w:rsidRDefault="00B951B1" w:rsidP="00CB78E6">
            <w:pPr>
              <w:spacing w:after="0"/>
              <w:jc w:val="center"/>
              <w:rPr>
                <w:rFonts w:eastAsia="Times New Roman" w:cs="Calibri"/>
                <w:color w:val="000000"/>
                <w:sz w:val="18"/>
                <w:szCs w:val="18"/>
              </w:rPr>
            </w:pPr>
            <w:r w:rsidRPr="00E61612">
              <w:rPr>
                <w:color w:val="000000"/>
                <w:sz w:val="20"/>
                <w:szCs w:val="20"/>
              </w:rPr>
              <w:lastRenderedPageBreak/>
              <w:t>ASCAL</w:t>
            </w:r>
          </w:p>
        </w:tc>
        <w:tc>
          <w:tcPr>
            <w:tcW w:w="494" w:type="pct"/>
            <w:shd w:val="clear" w:color="auto" w:fill="FFFFFF"/>
          </w:tcPr>
          <w:p w:rsidR="00B951B1" w:rsidRPr="00E61612" w:rsidRDefault="00B951B1" w:rsidP="00CB78E6">
            <w:pPr>
              <w:spacing w:after="0"/>
              <w:jc w:val="center"/>
              <w:rPr>
                <w:rFonts w:eastAsia="Times New Roman" w:cs="Calibri"/>
                <w:color w:val="000000"/>
                <w:sz w:val="18"/>
                <w:szCs w:val="18"/>
              </w:rPr>
            </w:pPr>
            <w:r w:rsidRPr="00E61612">
              <w:rPr>
                <w:color w:val="000000"/>
                <w:sz w:val="20"/>
                <w:szCs w:val="20"/>
              </w:rPr>
              <w:t> </w:t>
            </w:r>
          </w:p>
        </w:tc>
        <w:tc>
          <w:tcPr>
            <w:tcW w:w="383" w:type="pct"/>
            <w:shd w:val="clear" w:color="auto" w:fill="FFFFFF"/>
          </w:tcPr>
          <w:p w:rsidR="00B951B1" w:rsidRPr="00E61612" w:rsidRDefault="00B951B1" w:rsidP="00CB78E6">
            <w:pPr>
              <w:spacing w:after="0"/>
              <w:jc w:val="center"/>
              <w:rPr>
                <w:rFonts w:eastAsia="Times New Roman" w:cs="Calibri"/>
                <w:color w:val="000000"/>
                <w:sz w:val="18"/>
                <w:szCs w:val="18"/>
              </w:rPr>
            </w:pPr>
            <w:r w:rsidRPr="00E61612">
              <w:rPr>
                <w:color w:val="000000"/>
                <w:sz w:val="20"/>
                <w:szCs w:val="20"/>
              </w:rPr>
              <w:t>TM2-2021</w:t>
            </w:r>
          </w:p>
        </w:tc>
        <w:tc>
          <w:tcPr>
            <w:tcW w:w="438" w:type="pct"/>
            <w:shd w:val="clear" w:color="auto" w:fill="FFFFFF"/>
          </w:tcPr>
          <w:p w:rsidR="00B951B1" w:rsidRPr="00E61612" w:rsidRDefault="00B951B1" w:rsidP="00CB78E6">
            <w:pPr>
              <w:spacing w:after="0"/>
              <w:jc w:val="center"/>
              <w:rPr>
                <w:rFonts w:eastAsia="Times New Roman" w:cs="Calibri"/>
                <w:color w:val="000000"/>
                <w:sz w:val="18"/>
                <w:szCs w:val="18"/>
              </w:rPr>
            </w:pPr>
            <w:r w:rsidRPr="00E61612">
              <w:rPr>
                <w:color w:val="000000"/>
                <w:sz w:val="20"/>
                <w:szCs w:val="20"/>
              </w:rPr>
              <w:t>TM1-2022</w:t>
            </w:r>
          </w:p>
        </w:tc>
        <w:tc>
          <w:tcPr>
            <w:tcW w:w="462" w:type="pct"/>
            <w:shd w:val="clear" w:color="auto" w:fill="FFFFFF"/>
            <w:noWrap/>
          </w:tcPr>
          <w:p w:rsidR="00B951B1" w:rsidRPr="00E61612" w:rsidRDefault="00B951B1" w:rsidP="00CB78E6">
            <w:pPr>
              <w:spacing w:after="0"/>
              <w:jc w:val="right"/>
              <w:rPr>
                <w:rFonts w:eastAsia="Times New Roman" w:cs="Calibri"/>
                <w:color w:val="000000"/>
                <w:sz w:val="18"/>
                <w:szCs w:val="18"/>
              </w:rPr>
            </w:pPr>
            <w:r w:rsidRPr="00E61612">
              <w:rPr>
                <w:color w:val="000000"/>
                <w:sz w:val="20"/>
                <w:szCs w:val="20"/>
              </w:rPr>
              <w:t>23,502</w:t>
            </w:r>
          </w:p>
        </w:tc>
        <w:tc>
          <w:tcPr>
            <w:tcW w:w="475" w:type="pct"/>
            <w:shd w:val="clear" w:color="auto" w:fill="FFFFFF"/>
            <w:noWrap/>
          </w:tcPr>
          <w:p w:rsidR="00B951B1" w:rsidRPr="00E61612" w:rsidRDefault="00B951B1" w:rsidP="00CB78E6">
            <w:pPr>
              <w:spacing w:after="0"/>
              <w:jc w:val="right"/>
              <w:rPr>
                <w:rFonts w:eastAsia="Times New Roman" w:cs="Calibri"/>
                <w:color w:val="000000"/>
                <w:sz w:val="18"/>
                <w:szCs w:val="18"/>
              </w:rPr>
            </w:pPr>
            <w:r w:rsidRPr="00E61612">
              <w:rPr>
                <w:color w:val="000000"/>
                <w:sz w:val="20"/>
                <w:szCs w:val="20"/>
              </w:rPr>
              <w:t>23,502</w:t>
            </w:r>
          </w:p>
        </w:tc>
        <w:tc>
          <w:tcPr>
            <w:tcW w:w="486" w:type="pct"/>
            <w:shd w:val="clear" w:color="auto" w:fill="FFFFFF"/>
            <w:noWrap/>
          </w:tcPr>
          <w:p w:rsidR="00B951B1" w:rsidRPr="00E61612" w:rsidRDefault="00B951B1" w:rsidP="00CB78E6">
            <w:pPr>
              <w:spacing w:after="0"/>
              <w:jc w:val="right"/>
              <w:rPr>
                <w:rFonts w:eastAsia="Times New Roman" w:cs="Calibri"/>
                <w:color w:val="000000"/>
                <w:sz w:val="18"/>
                <w:szCs w:val="18"/>
              </w:rPr>
            </w:pPr>
            <w:r w:rsidRPr="00E61612">
              <w:rPr>
                <w:color w:val="000000"/>
                <w:sz w:val="20"/>
                <w:szCs w:val="20"/>
              </w:rPr>
              <w:t xml:space="preserve">                   -   </w:t>
            </w:r>
          </w:p>
        </w:tc>
        <w:tc>
          <w:tcPr>
            <w:tcW w:w="458" w:type="pct"/>
            <w:shd w:val="clear" w:color="auto" w:fill="FFFFFF"/>
            <w:noWrap/>
          </w:tcPr>
          <w:p w:rsidR="00B951B1" w:rsidRPr="00E61612" w:rsidRDefault="00B951B1" w:rsidP="00CB78E6">
            <w:pPr>
              <w:spacing w:after="0"/>
              <w:jc w:val="right"/>
              <w:rPr>
                <w:rFonts w:eastAsia="Times New Roman" w:cs="Calibri"/>
                <w:color w:val="000000"/>
                <w:sz w:val="18"/>
                <w:szCs w:val="18"/>
              </w:rPr>
            </w:pPr>
            <w:r w:rsidRPr="00E61612">
              <w:rPr>
                <w:color w:val="000000"/>
                <w:sz w:val="20"/>
                <w:szCs w:val="20"/>
              </w:rPr>
              <w:t>-</w:t>
            </w:r>
          </w:p>
        </w:tc>
      </w:tr>
      <w:tr w:rsidR="00B951B1" w:rsidRPr="00E61612" w:rsidTr="00CB78E6">
        <w:trPr>
          <w:trHeight w:val="20"/>
        </w:trPr>
        <w:tc>
          <w:tcPr>
            <w:tcW w:w="310" w:type="pct"/>
            <w:tcBorders>
              <w:bottom w:val="single" w:sz="4" w:space="0" w:color="auto"/>
            </w:tcBorders>
            <w:shd w:val="clear" w:color="auto" w:fill="FFFFFF"/>
          </w:tcPr>
          <w:p w:rsidR="00B951B1" w:rsidRPr="00E61612" w:rsidRDefault="00B951B1" w:rsidP="00CB78E6">
            <w:pPr>
              <w:spacing w:after="0"/>
              <w:jc w:val="center"/>
              <w:rPr>
                <w:rFonts w:eastAsia="Times New Roman" w:cs="Calibri"/>
                <w:b/>
                <w:bCs/>
                <w:color w:val="000000"/>
                <w:sz w:val="18"/>
                <w:szCs w:val="18"/>
              </w:rPr>
            </w:pPr>
            <w:r w:rsidRPr="00E61612">
              <w:rPr>
                <w:b/>
                <w:bCs/>
                <w:color w:val="000000"/>
                <w:sz w:val="20"/>
                <w:szCs w:val="20"/>
              </w:rPr>
              <w:t>C1.3.3</w:t>
            </w:r>
          </w:p>
        </w:tc>
        <w:tc>
          <w:tcPr>
            <w:tcW w:w="1002" w:type="pct"/>
            <w:tcBorders>
              <w:bottom w:val="single" w:sz="4" w:space="0" w:color="auto"/>
            </w:tcBorders>
            <w:shd w:val="clear" w:color="auto" w:fill="FFFFFF"/>
          </w:tcPr>
          <w:p w:rsidR="00B951B1" w:rsidRPr="00E61612" w:rsidRDefault="00B951B1" w:rsidP="00CB78E6">
            <w:pPr>
              <w:spacing w:after="0"/>
              <w:rPr>
                <w:rFonts w:eastAsia="Times New Roman" w:cs="Calibri"/>
                <w:sz w:val="18"/>
                <w:szCs w:val="18"/>
              </w:rPr>
            </w:pPr>
            <w:r w:rsidRPr="00E61612">
              <w:rPr>
                <w:sz w:val="20"/>
                <w:szCs w:val="20"/>
              </w:rPr>
              <w:t>Aplikimi për anëtarësim të ASCAL me të drejta të plota në ENQA dhe EQAR</w:t>
            </w:r>
          </w:p>
        </w:tc>
        <w:tc>
          <w:tcPr>
            <w:tcW w:w="492" w:type="pct"/>
            <w:tcBorders>
              <w:bottom w:val="single" w:sz="4" w:space="0" w:color="auto"/>
            </w:tcBorders>
            <w:shd w:val="clear" w:color="auto" w:fill="FFFFFF"/>
          </w:tcPr>
          <w:p w:rsidR="00B951B1" w:rsidRPr="00E61612" w:rsidRDefault="00B951B1" w:rsidP="00CB78E6">
            <w:pPr>
              <w:spacing w:after="0"/>
              <w:jc w:val="center"/>
              <w:rPr>
                <w:rFonts w:eastAsia="Times New Roman" w:cs="Calibri"/>
                <w:color w:val="000000"/>
                <w:sz w:val="18"/>
                <w:szCs w:val="18"/>
              </w:rPr>
            </w:pPr>
            <w:r w:rsidRPr="00E61612">
              <w:rPr>
                <w:color w:val="000000"/>
                <w:sz w:val="20"/>
                <w:szCs w:val="20"/>
              </w:rPr>
              <w:t>ASCAL</w:t>
            </w:r>
          </w:p>
        </w:tc>
        <w:tc>
          <w:tcPr>
            <w:tcW w:w="494" w:type="pct"/>
            <w:tcBorders>
              <w:bottom w:val="single" w:sz="4" w:space="0" w:color="auto"/>
            </w:tcBorders>
            <w:shd w:val="clear" w:color="auto" w:fill="FFFFFF"/>
          </w:tcPr>
          <w:p w:rsidR="00B951B1" w:rsidRPr="00E61612" w:rsidRDefault="00B951B1" w:rsidP="00CB78E6">
            <w:pPr>
              <w:spacing w:after="0"/>
              <w:jc w:val="center"/>
              <w:rPr>
                <w:rFonts w:eastAsia="Times New Roman" w:cs="Calibri"/>
                <w:color w:val="000000"/>
                <w:sz w:val="18"/>
                <w:szCs w:val="18"/>
              </w:rPr>
            </w:pPr>
            <w:r w:rsidRPr="00E61612">
              <w:rPr>
                <w:color w:val="000000"/>
                <w:sz w:val="20"/>
                <w:szCs w:val="20"/>
              </w:rPr>
              <w:t> </w:t>
            </w:r>
          </w:p>
        </w:tc>
        <w:tc>
          <w:tcPr>
            <w:tcW w:w="383" w:type="pct"/>
            <w:tcBorders>
              <w:bottom w:val="single" w:sz="4" w:space="0" w:color="auto"/>
            </w:tcBorders>
            <w:shd w:val="clear" w:color="auto" w:fill="FFFFFF"/>
          </w:tcPr>
          <w:p w:rsidR="00B951B1" w:rsidRPr="00E61612" w:rsidRDefault="00B951B1" w:rsidP="00CB78E6">
            <w:pPr>
              <w:spacing w:after="0"/>
              <w:jc w:val="center"/>
              <w:rPr>
                <w:rFonts w:eastAsia="Times New Roman" w:cs="Calibri"/>
                <w:color w:val="000000"/>
                <w:sz w:val="18"/>
                <w:szCs w:val="18"/>
              </w:rPr>
            </w:pPr>
            <w:r w:rsidRPr="00E61612">
              <w:rPr>
                <w:color w:val="000000"/>
                <w:sz w:val="20"/>
                <w:szCs w:val="20"/>
              </w:rPr>
              <w:t>TM1-2022</w:t>
            </w:r>
          </w:p>
        </w:tc>
        <w:tc>
          <w:tcPr>
            <w:tcW w:w="438" w:type="pct"/>
            <w:tcBorders>
              <w:bottom w:val="single" w:sz="4" w:space="0" w:color="auto"/>
            </w:tcBorders>
            <w:shd w:val="clear" w:color="auto" w:fill="FFFFFF"/>
          </w:tcPr>
          <w:p w:rsidR="00B951B1" w:rsidRPr="00E61612" w:rsidRDefault="00B951B1" w:rsidP="00CB78E6">
            <w:pPr>
              <w:spacing w:after="0"/>
              <w:jc w:val="center"/>
              <w:rPr>
                <w:rFonts w:eastAsia="Times New Roman" w:cs="Calibri"/>
                <w:color w:val="000000"/>
                <w:sz w:val="18"/>
                <w:szCs w:val="18"/>
              </w:rPr>
            </w:pPr>
            <w:r w:rsidRPr="00E61612">
              <w:rPr>
                <w:color w:val="000000"/>
                <w:sz w:val="20"/>
                <w:szCs w:val="20"/>
              </w:rPr>
              <w:t>TM4-2023</w:t>
            </w:r>
          </w:p>
        </w:tc>
        <w:tc>
          <w:tcPr>
            <w:tcW w:w="462" w:type="pct"/>
            <w:tcBorders>
              <w:bottom w:val="single" w:sz="4" w:space="0" w:color="auto"/>
            </w:tcBorders>
            <w:shd w:val="clear" w:color="auto" w:fill="FFFFFF"/>
            <w:noWrap/>
          </w:tcPr>
          <w:p w:rsidR="00B951B1" w:rsidRPr="00E61612" w:rsidRDefault="00B951B1" w:rsidP="00CB78E6">
            <w:pPr>
              <w:spacing w:after="0"/>
              <w:jc w:val="right"/>
              <w:rPr>
                <w:rFonts w:eastAsia="Times New Roman" w:cs="Calibri"/>
                <w:color w:val="000000"/>
                <w:sz w:val="18"/>
                <w:szCs w:val="18"/>
              </w:rPr>
            </w:pPr>
            <w:r w:rsidRPr="00E61612">
              <w:rPr>
                <w:color w:val="000000"/>
                <w:sz w:val="20"/>
                <w:szCs w:val="20"/>
              </w:rPr>
              <w:t>11,537</w:t>
            </w:r>
          </w:p>
        </w:tc>
        <w:tc>
          <w:tcPr>
            <w:tcW w:w="475" w:type="pct"/>
            <w:tcBorders>
              <w:bottom w:val="single" w:sz="4" w:space="0" w:color="auto"/>
            </w:tcBorders>
            <w:shd w:val="clear" w:color="auto" w:fill="FFFFFF"/>
            <w:noWrap/>
          </w:tcPr>
          <w:p w:rsidR="00B951B1" w:rsidRPr="00E61612" w:rsidRDefault="00B951B1" w:rsidP="00CB78E6">
            <w:pPr>
              <w:spacing w:after="0"/>
              <w:jc w:val="right"/>
              <w:rPr>
                <w:rFonts w:eastAsia="Times New Roman" w:cs="Calibri"/>
                <w:color w:val="000000"/>
                <w:sz w:val="18"/>
                <w:szCs w:val="18"/>
              </w:rPr>
            </w:pPr>
            <w:r w:rsidRPr="00E61612">
              <w:rPr>
                <w:color w:val="000000"/>
                <w:sz w:val="20"/>
                <w:szCs w:val="20"/>
              </w:rPr>
              <w:t>11,537</w:t>
            </w:r>
          </w:p>
        </w:tc>
        <w:tc>
          <w:tcPr>
            <w:tcW w:w="486" w:type="pct"/>
            <w:tcBorders>
              <w:bottom w:val="single" w:sz="4" w:space="0" w:color="auto"/>
            </w:tcBorders>
            <w:shd w:val="clear" w:color="auto" w:fill="FFFFFF"/>
            <w:noWrap/>
          </w:tcPr>
          <w:p w:rsidR="00B951B1" w:rsidRPr="00E61612" w:rsidRDefault="00B951B1" w:rsidP="00CB78E6">
            <w:pPr>
              <w:spacing w:after="0"/>
              <w:jc w:val="right"/>
              <w:rPr>
                <w:rFonts w:eastAsia="Times New Roman" w:cs="Calibri"/>
                <w:color w:val="000000"/>
                <w:sz w:val="18"/>
                <w:szCs w:val="18"/>
              </w:rPr>
            </w:pPr>
            <w:r w:rsidRPr="00E61612">
              <w:rPr>
                <w:color w:val="000000"/>
                <w:sz w:val="20"/>
                <w:szCs w:val="20"/>
              </w:rPr>
              <w:t xml:space="preserve">                   -   </w:t>
            </w:r>
          </w:p>
        </w:tc>
        <w:tc>
          <w:tcPr>
            <w:tcW w:w="458" w:type="pct"/>
            <w:tcBorders>
              <w:bottom w:val="single" w:sz="4" w:space="0" w:color="auto"/>
            </w:tcBorders>
            <w:shd w:val="clear" w:color="auto" w:fill="FFFFFF"/>
            <w:noWrap/>
          </w:tcPr>
          <w:p w:rsidR="00B951B1" w:rsidRPr="00E61612" w:rsidRDefault="00B951B1" w:rsidP="00CB78E6">
            <w:pPr>
              <w:spacing w:after="0"/>
              <w:jc w:val="right"/>
              <w:rPr>
                <w:rFonts w:eastAsia="Times New Roman" w:cs="Calibri"/>
                <w:color w:val="000000"/>
                <w:sz w:val="18"/>
                <w:szCs w:val="18"/>
              </w:rPr>
            </w:pPr>
            <w:r w:rsidRPr="00E61612">
              <w:rPr>
                <w:color w:val="000000"/>
                <w:sz w:val="20"/>
                <w:szCs w:val="20"/>
              </w:rPr>
              <w:t>-</w:t>
            </w:r>
          </w:p>
        </w:tc>
      </w:tr>
      <w:tr w:rsidR="00B951B1" w:rsidRPr="00E61612" w:rsidTr="00CB78E6">
        <w:trPr>
          <w:trHeight w:val="20"/>
        </w:trPr>
        <w:tc>
          <w:tcPr>
            <w:tcW w:w="310" w:type="pct"/>
            <w:tcBorders>
              <w:bottom w:val="single" w:sz="4" w:space="0" w:color="auto"/>
            </w:tcBorders>
            <w:shd w:val="clear" w:color="auto" w:fill="BFBFBF"/>
          </w:tcPr>
          <w:p w:rsidR="00B951B1" w:rsidRPr="00E61612" w:rsidRDefault="00B951B1" w:rsidP="00CB78E6">
            <w:pPr>
              <w:spacing w:after="0"/>
              <w:jc w:val="center"/>
              <w:rPr>
                <w:rFonts w:eastAsia="Times New Roman" w:cs="Calibri"/>
                <w:b/>
                <w:bCs/>
                <w:color w:val="000000"/>
                <w:sz w:val="18"/>
                <w:szCs w:val="18"/>
              </w:rPr>
            </w:pPr>
            <w:r w:rsidRPr="00E61612">
              <w:rPr>
                <w:b/>
                <w:bCs/>
                <w:color w:val="000000"/>
                <w:sz w:val="20"/>
                <w:szCs w:val="20"/>
              </w:rPr>
              <w:t>C2</w:t>
            </w:r>
          </w:p>
        </w:tc>
        <w:tc>
          <w:tcPr>
            <w:tcW w:w="1002" w:type="pct"/>
            <w:tcBorders>
              <w:bottom w:val="single" w:sz="4" w:space="0" w:color="auto"/>
            </w:tcBorders>
            <w:shd w:val="clear" w:color="auto" w:fill="BFBFBF"/>
          </w:tcPr>
          <w:p w:rsidR="00B951B1" w:rsidRPr="00E61612" w:rsidRDefault="00B951B1" w:rsidP="00CB78E6">
            <w:pPr>
              <w:spacing w:after="0"/>
              <w:rPr>
                <w:rFonts w:eastAsia="Times New Roman" w:cs="Calibri"/>
                <w:sz w:val="18"/>
                <w:szCs w:val="18"/>
              </w:rPr>
            </w:pPr>
            <w:r w:rsidRPr="00E61612">
              <w:rPr>
                <w:sz w:val="20"/>
                <w:szCs w:val="20"/>
              </w:rPr>
              <w:t>Nxitja e përsosmërisë në mësimdhënie dhe kërkim</w:t>
            </w:r>
          </w:p>
        </w:tc>
        <w:tc>
          <w:tcPr>
            <w:tcW w:w="492" w:type="pct"/>
            <w:tcBorders>
              <w:bottom w:val="single" w:sz="4" w:space="0" w:color="auto"/>
            </w:tcBorders>
            <w:shd w:val="clear" w:color="auto" w:fill="BFBFBF"/>
          </w:tcPr>
          <w:p w:rsidR="00B951B1" w:rsidRPr="00E61612" w:rsidRDefault="00B951B1" w:rsidP="00CB78E6">
            <w:pPr>
              <w:spacing w:after="0"/>
              <w:jc w:val="center"/>
              <w:rPr>
                <w:rFonts w:eastAsia="Times New Roman" w:cs="Calibri"/>
                <w:color w:val="000000"/>
                <w:sz w:val="18"/>
                <w:szCs w:val="18"/>
              </w:rPr>
            </w:pPr>
            <w:r w:rsidRPr="00E61612">
              <w:rPr>
                <w:color w:val="000000"/>
                <w:sz w:val="20"/>
                <w:szCs w:val="20"/>
              </w:rPr>
              <w:t>IAL-të</w:t>
            </w:r>
          </w:p>
        </w:tc>
        <w:tc>
          <w:tcPr>
            <w:tcW w:w="494" w:type="pct"/>
            <w:tcBorders>
              <w:bottom w:val="single" w:sz="4" w:space="0" w:color="auto"/>
            </w:tcBorders>
            <w:shd w:val="clear" w:color="auto" w:fill="BFBFBF"/>
          </w:tcPr>
          <w:p w:rsidR="00B951B1" w:rsidRPr="00E61612" w:rsidRDefault="00B951B1" w:rsidP="00CB78E6">
            <w:pPr>
              <w:spacing w:after="0"/>
              <w:jc w:val="center"/>
              <w:rPr>
                <w:rFonts w:eastAsia="Times New Roman" w:cs="Calibri"/>
                <w:color w:val="000000"/>
                <w:sz w:val="18"/>
                <w:szCs w:val="18"/>
              </w:rPr>
            </w:pPr>
            <w:r w:rsidRPr="00E61612">
              <w:rPr>
                <w:color w:val="000000"/>
                <w:sz w:val="20"/>
                <w:szCs w:val="20"/>
              </w:rPr>
              <w:t>MASR</w:t>
            </w:r>
          </w:p>
        </w:tc>
        <w:tc>
          <w:tcPr>
            <w:tcW w:w="383" w:type="pct"/>
            <w:tcBorders>
              <w:bottom w:val="single" w:sz="4" w:space="0" w:color="auto"/>
            </w:tcBorders>
            <w:shd w:val="clear" w:color="auto" w:fill="BFBFBF"/>
          </w:tcPr>
          <w:p w:rsidR="00B951B1" w:rsidRPr="00E61612" w:rsidRDefault="00B951B1" w:rsidP="00CB78E6">
            <w:pPr>
              <w:spacing w:after="0"/>
              <w:jc w:val="center"/>
              <w:rPr>
                <w:rFonts w:eastAsia="Times New Roman" w:cs="Calibri"/>
                <w:color w:val="000000"/>
                <w:sz w:val="18"/>
                <w:szCs w:val="18"/>
              </w:rPr>
            </w:pPr>
            <w:r w:rsidRPr="00E61612">
              <w:rPr>
                <w:color w:val="000000"/>
                <w:sz w:val="20"/>
                <w:szCs w:val="20"/>
              </w:rPr>
              <w:t>TM2-2022</w:t>
            </w:r>
          </w:p>
        </w:tc>
        <w:tc>
          <w:tcPr>
            <w:tcW w:w="438" w:type="pct"/>
            <w:tcBorders>
              <w:bottom w:val="single" w:sz="4" w:space="0" w:color="auto"/>
            </w:tcBorders>
            <w:shd w:val="clear" w:color="auto" w:fill="BFBFBF"/>
          </w:tcPr>
          <w:p w:rsidR="00B951B1" w:rsidRPr="00E61612" w:rsidRDefault="00B951B1" w:rsidP="00CB78E6">
            <w:pPr>
              <w:spacing w:after="0"/>
              <w:jc w:val="center"/>
              <w:rPr>
                <w:rFonts w:eastAsia="Times New Roman" w:cs="Calibri"/>
                <w:color w:val="000000"/>
                <w:sz w:val="18"/>
                <w:szCs w:val="18"/>
              </w:rPr>
            </w:pPr>
            <w:r w:rsidRPr="00E61612">
              <w:rPr>
                <w:color w:val="000000"/>
                <w:sz w:val="20"/>
                <w:szCs w:val="20"/>
              </w:rPr>
              <w:t>TM4-2026</w:t>
            </w:r>
          </w:p>
        </w:tc>
        <w:tc>
          <w:tcPr>
            <w:tcW w:w="462" w:type="pct"/>
            <w:tcBorders>
              <w:bottom w:val="single" w:sz="4" w:space="0" w:color="auto"/>
            </w:tcBorders>
            <w:shd w:val="clear" w:color="auto" w:fill="BFBFBF"/>
            <w:noWrap/>
          </w:tcPr>
          <w:p w:rsidR="00B951B1" w:rsidRPr="00E61612" w:rsidRDefault="00B951B1" w:rsidP="00CB78E6">
            <w:pPr>
              <w:spacing w:after="0"/>
              <w:jc w:val="right"/>
              <w:rPr>
                <w:rFonts w:eastAsia="Times New Roman" w:cs="Calibri"/>
                <w:color w:val="000000"/>
                <w:sz w:val="18"/>
                <w:szCs w:val="18"/>
              </w:rPr>
            </w:pPr>
            <w:r w:rsidRPr="00E61612">
              <w:rPr>
                <w:color w:val="000000"/>
                <w:sz w:val="20"/>
                <w:szCs w:val="20"/>
              </w:rPr>
              <w:t>17,092</w:t>
            </w:r>
          </w:p>
        </w:tc>
        <w:tc>
          <w:tcPr>
            <w:tcW w:w="475" w:type="pct"/>
            <w:tcBorders>
              <w:bottom w:val="single" w:sz="4" w:space="0" w:color="auto"/>
            </w:tcBorders>
            <w:shd w:val="clear" w:color="auto" w:fill="BFBFBF"/>
            <w:noWrap/>
          </w:tcPr>
          <w:p w:rsidR="00B951B1" w:rsidRPr="00E61612" w:rsidRDefault="00B951B1" w:rsidP="00CB78E6">
            <w:pPr>
              <w:spacing w:after="0"/>
              <w:jc w:val="right"/>
              <w:rPr>
                <w:rFonts w:eastAsia="Times New Roman" w:cs="Calibri"/>
                <w:color w:val="000000"/>
                <w:sz w:val="18"/>
                <w:szCs w:val="18"/>
              </w:rPr>
            </w:pPr>
            <w:r w:rsidRPr="00E61612">
              <w:rPr>
                <w:color w:val="000000"/>
                <w:sz w:val="20"/>
                <w:szCs w:val="20"/>
              </w:rPr>
              <w:t>-</w:t>
            </w:r>
          </w:p>
        </w:tc>
        <w:tc>
          <w:tcPr>
            <w:tcW w:w="486" w:type="pct"/>
            <w:tcBorders>
              <w:bottom w:val="single" w:sz="4" w:space="0" w:color="auto"/>
            </w:tcBorders>
            <w:shd w:val="clear" w:color="auto" w:fill="BFBFBF"/>
            <w:noWrap/>
          </w:tcPr>
          <w:p w:rsidR="00B951B1" w:rsidRPr="00E61612" w:rsidRDefault="00B951B1" w:rsidP="00CB78E6">
            <w:pPr>
              <w:spacing w:after="0"/>
              <w:jc w:val="right"/>
              <w:rPr>
                <w:rFonts w:eastAsia="Times New Roman" w:cs="Calibri"/>
                <w:color w:val="000000"/>
                <w:sz w:val="18"/>
                <w:szCs w:val="18"/>
              </w:rPr>
            </w:pPr>
            <w:r w:rsidRPr="00E61612">
              <w:rPr>
                <w:color w:val="000000"/>
                <w:sz w:val="20"/>
                <w:szCs w:val="20"/>
              </w:rPr>
              <w:t xml:space="preserve">          17,092 </w:t>
            </w:r>
          </w:p>
        </w:tc>
        <w:tc>
          <w:tcPr>
            <w:tcW w:w="458" w:type="pct"/>
            <w:tcBorders>
              <w:bottom w:val="single" w:sz="4" w:space="0" w:color="auto"/>
            </w:tcBorders>
            <w:shd w:val="clear" w:color="auto" w:fill="BFBFBF"/>
            <w:noWrap/>
          </w:tcPr>
          <w:p w:rsidR="00B951B1" w:rsidRPr="00E61612" w:rsidRDefault="00B951B1" w:rsidP="00CB78E6">
            <w:pPr>
              <w:spacing w:after="0"/>
              <w:jc w:val="right"/>
              <w:rPr>
                <w:rFonts w:eastAsia="Times New Roman" w:cs="Calibri"/>
                <w:color w:val="000000"/>
                <w:sz w:val="18"/>
                <w:szCs w:val="18"/>
              </w:rPr>
            </w:pPr>
            <w:r w:rsidRPr="00E61612">
              <w:rPr>
                <w:color w:val="000000"/>
                <w:sz w:val="20"/>
                <w:szCs w:val="20"/>
              </w:rPr>
              <w:t>-</w:t>
            </w:r>
          </w:p>
        </w:tc>
      </w:tr>
      <w:tr w:rsidR="00B951B1" w:rsidRPr="00E61612" w:rsidTr="00CB78E6">
        <w:trPr>
          <w:trHeight w:val="20"/>
        </w:trPr>
        <w:tc>
          <w:tcPr>
            <w:tcW w:w="310" w:type="pct"/>
            <w:tcBorders>
              <w:bottom w:val="single" w:sz="4" w:space="0" w:color="auto"/>
            </w:tcBorders>
            <w:shd w:val="clear" w:color="auto" w:fill="D9D9D9"/>
          </w:tcPr>
          <w:p w:rsidR="00B951B1" w:rsidRPr="00E61612" w:rsidRDefault="00B951B1" w:rsidP="00CB78E6">
            <w:pPr>
              <w:spacing w:after="0"/>
              <w:jc w:val="center"/>
              <w:rPr>
                <w:rFonts w:eastAsia="Times New Roman" w:cs="Calibri"/>
                <w:b/>
                <w:bCs/>
                <w:color w:val="000000"/>
                <w:sz w:val="18"/>
                <w:szCs w:val="18"/>
              </w:rPr>
            </w:pPr>
            <w:r w:rsidRPr="00E61612">
              <w:rPr>
                <w:b/>
                <w:bCs/>
                <w:color w:val="000000"/>
                <w:sz w:val="20"/>
                <w:szCs w:val="20"/>
              </w:rPr>
              <w:t>C2.1</w:t>
            </w:r>
          </w:p>
        </w:tc>
        <w:tc>
          <w:tcPr>
            <w:tcW w:w="1002" w:type="pct"/>
            <w:tcBorders>
              <w:bottom w:val="single" w:sz="4" w:space="0" w:color="auto"/>
            </w:tcBorders>
            <w:shd w:val="clear" w:color="auto" w:fill="D9D9D9"/>
          </w:tcPr>
          <w:p w:rsidR="00B951B1" w:rsidRPr="00E61612" w:rsidRDefault="00B951B1" w:rsidP="00CB78E6">
            <w:pPr>
              <w:spacing w:after="0"/>
              <w:rPr>
                <w:rFonts w:eastAsia="Times New Roman" w:cs="Calibri"/>
                <w:sz w:val="18"/>
                <w:szCs w:val="18"/>
              </w:rPr>
            </w:pPr>
            <w:r w:rsidRPr="00E61612">
              <w:rPr>
                <w:sz w:val="20"/>
                <w:szCs w:val="20"/>
              </w:rPr>
              <w:t xml:space="preserve">Përmirësimi i kapacitetit të personelit akademik </w:t>
            </w:r>
            <w:r>
              <w:rPr>
                <w:sz w:val="20"/>
                <w:szCs w:val="20"/>
              </w:rPr>
              <w:t>në</w:t>
            </w:r>
            <w:r w:rsidRPr="00E61612">
              <w:rPr>
                <w:sz w:val="20"/>
                <w:szCs w:val="20"/>
              </w:rPr>
              <w:t xml:space="preserve"> mësimdhënie dhe kërkim shkencor</w:t>
            </w:r>
          </w:p>
        </w:tc>
        <w:tc>
          <w:tcPr>
            <w:tcW w:w="492" w:type="pct"/>
            <w:tcBorders>
              <w:bottom w:val="single" w:sz="4" w:space="0" w:color="auto"/>
            </w:tcBorders>
            <w:shd w:val="clear" w:color="auto" w:fill="D9D9D9"/>
          </w:tcPr>
          <w:p w:rsidR="00B951B1" w:rsidRPr="00E61612" w:rsidRDefault="00B951B1" w:rsidP="00CB78E6">
            <w:pPr>
              <w:spacing w:after="0"/>
              <w:jc w:val="center"/>
              <w:rPr>
                <w:rFonts w:eastAsia="Times New Roman" w:cs="Calibri"/>
                <w:color w:val="000000"/>
                <w:sz w:val="18"/>
                <w:szCs w:val="18"/>
              </w:rPr>
            </w:pPr>
            <w:r w:rsidRPr="00E61612">
              <w:rPr>
                <w:color w:val="000000"/>
                <w:sz w:val="20"/>
                <w:szCs w:val="20"/>
              </w:rPr>
              <w:t>IAL-të</w:t>
            </w:r>
          </w:p>
        </w:tc>
        <w:tc>
          <w:tcPr>
            <w:tcW w:w="494" w:type="pct"/>
            <w:tcBorders>
              <w:bottom w:val="single" w:sz="4" w:space="0" w:color="auto"/>
            </w:tcBorders>
            <w:shd w:val="clear" w:color="auto" w:fill="D9D9D9"/>
          </w:tcPr>
          <w:p w:rsidR="00B951B1" w:rsidRPr="00E61612" w:rsidRDefault="00B951B1" w:rsidP="00CB78E6">
            <w:pPr>
              <w:spacing w:after="0"/>
              <w:jc w:val="center"/>
              <w:rPr>
                <w:rFonts w:eastAsia="Times New Roman" w:cs="Calibri"/>
                <w:color w:val="000000"/>
                <w:sz w:val="18"/>
                <w:szCs w:val="18"/>
              </w:rPr>
            </w:pPr>
            <w:r w:rsidRPr="00E61612">
              <w:rPr>
                <w:color w:val="000000"/>
                <w:sz w:val="20"/>
                <w:szCs w:val="20"/>
              </w:rPr>
              <w:t>MASR</w:t>
            </w:r>
          </w:p>
        </w:tc>
        <w:tc>
          <w:tcPr>
            <w:tcW w:w="383" w:type="pct"/>
            <w:tcBorders>
              <w:bottom w:val="single" w:sz="4" w:space="0" w:color="auto"/>
            </w:tcBorders>
            <w:shd w:val="clear" w:color="auto" w:fill="D9D9D9"/>
          </w:tcPr>
          <w:p w:rsidR="00B951B1" w:rsidRPr="00E61612" w:rsidRDefault="00B951B1" w:rsidP="00CB78E6">
            <w:pPr>
              <w:spacing w:after="0"/>
              <w:jc w:val="center"/>
              <w:rPr>
                <w:rFonts w:eastAsia="Times New Roman" w:cs="Calibri"/>
                <w:color w:val="000000"/>
                <w:sz w:val="18"/>
                <w:szCs w:val="18"/>
              </w:rPr>
            </w:pPr>
            <w:r w:rsidRPr="00E61612">
              <w:rPr>
                <w:color w:val="000000"/>
                <w:sz w:val="20"/>
                <w:szCs w:val="20"/>
              </w:rPr>
              <w:t>TM2-2022</w:t>
            </w:r>
          </w:p>
        </w:tc>
        <w:tc>
          <w:tcPr>
            <w:tcW w:w="438" w:type="pct"/>
            <w:tcBorders>
              <w:bottom w:val="single" w:sz="4" w:space="0" w:color="auto"/>
            </w:tcBorders>
            <w:shd w:val="clear" w:color="auto" w:fill="D9D9D9"/>
          </w:tcPr>
          <w:p w:rsidR="00B951B1" w:rsidRPr="00E61612" w:rsidRDefault="00B951B1" w:rsidP="00CB78E6">
            <w:pPr>
              <w:spacing w:after="0"/>
              <w:jc w:val="center"/>
              <w:rPr>
                <w:rFonts w:eastAsia="Times New Roman" w:cs="Calibri"/>
                <w:color w:val="000000"/>
                <w:sz w:val="18"/>
                <w:szCs w:val="18"/>
              </w:rPr>
            </w:pPr>
            <w:r w:rsidRPr="00E61612">
              <w:rPr>
                <w:color w:val="000000"/>
                <w:sz w:val="20"/>
                <w:szCs w:val="20"/>
              </w:rPr>
              <w:t>TM4-2026</w:t>
            </w:r>
          </w:p>
        </w:tc>
        <w:tc>
          <w:tcPr>
            <w:tcW w:w="462" w:type="pct"/>
            <w:tcBorders>
              <w:bottom w:val="single" w:sz="4" w:space="0" w:color="auto"/>
            </w:tcBorders>
            <w:shd w:val="clear" w:color="auto" w:fill="D9D9D9"/>
            <w:noWrap/>
          </w:tcPr>
          <w:p w:rsidR="00B951B1" w:rsidRPr="00E61612" w:rsidRDefault="00B951B1" w:rsidP="00CB78E6">
            <w:pPr>
              <w:spacing w:after="0"/>
              <w:jc w:val="right"/>
              <w:rPr>
                <w:rFonts w:eastAsia="Times New Roman" w:cs="Calibri"/>
                <w:color w:val="000000"/>
                <w:sz w:val="18"/>
                <w:szCs w:val="18"/>
              </w:rPr>
            </w:pPr>
            <w:r w:rsidRPr="00E61612">
              <w:rPr>
                <w:color w:val="000000"/>
                <w:sz w:val="20"/>
                <w:szCs w:val="20"/>
              </w:rPr>
              <w:t>17,092</w:t>
            </w:r>
          </w:p>
        </w:tc>
        <w:tc>
          <w:tcPr>
            <w:tcW w:w="475" w:type="pct"/>
            <w:tcBorders>
              <w:bottom w:val="single" w:sz="4" w:space="0" w:color="auto"/>
            </w:tcBorders>
            <w:shd w:val="clear" w:color="auto" w:fill="D9D9D9"/>
            <w:noWrap/>
          </w:tcPr>
          <w:p w:rsidR="00B951B1" w:rsidRPr="00E61612" w:rsidRDefault="00B951B1" w:rsidP="00CB78E6">
            <w:pPr>
              <w:spacing w:after="0"/>
              <w:jc w:val="right"/>
              <w:rPr>
                <w:rFonts w:eastAsia="Times New Roman" w:cs="Calibri"/>
                <w:color w:val="000000"/>
                <w:sz w:val="18"/>
                <w:szCs w:val="18"/>
              </w:rPr>
            </w:pPr>
            <w:r w:rsidRPr="00E61612">
              <w:rPr>
                <w:color w:val="000000"/>
                <w:sz w:val="20"/>
                <w:szCs w:val="20"/>
              </w:rPr>
              <w:t>-</w:t>
            </w:r>
          </w:p>
        </w:tc>
        <w:tc>
          <w:tcPr>
            <w:tcW w:w="486" w:type="pct"/>
            <w:tcBorders>
              <w:bottom w:val="single" w:sz="4" w:space="0" w:color="auto"/>
            </w:tcBorders>
            <w:shd w:val="clear" w:color="auto" w:fill="D9D9D9"/>
            <w:noWrap/>
          </w:tcPr>
          <w:p w:rsidR="00B951B1" w:rsidRPr="00E61612" w:rsidRDefault="00B951B1" w:rsidP="00CB78E6">
            <w:pPr>
              <w:spacing w:after="0"/>
              <w:jc w:val="right"/>
              <w:rPr>
                <w:rFonts w:eastAsia="Times New Roman" w:cs="Calibri"/>
                <w:color w:val="000000"/>
                <w:sz w:val="18"/>
                <w:szCs w:val="18"/>
              </w:rPr>
            </w:pPr>
            <w:r w:rsidRPr="00E61612">
              <w:rPr>
                <w:color w:val="000000"/>
                <w:sz w:val="20"/>
                <w:szCs w:val="20"/>
              </w:rPr>
              <w:t xml:space="preserve">          17,092 </w:t>
            </w:r>
          </w:p>
        </w:tc>
        <w:tc>
          <w:tcPr>
            <w:tcW w:w="458" w:type="pct"/>
            <w:tcBorders>
              <w:bottom w:val="single" w:sz="4" w:space="0" w:color="auto"/>
            </w:tcBorders>
            <w:shd w:val="clear" w:color="auto" w:fill="D9D9D9"/>
            <w:noWrap/>
          </w:tcPr>
          <w:p w:rsidR="00B951B1" w:rsidRPr="00E61612" w:rsidRDefault="00B951B1" w:rsidP="00CB78E6">
            <w:pPr>
              <w:spacing w:after="0"/>
              <w:jc w:val="right"/>
              <w:rPr>
                <w:rFonts w:eastAsia="Times New Roman" w:cs="Calibri"/>
                <w:color w:val="000000"/>
                <w:sz w:val="18"/>
                <w:szCs w:val="18"/>
              </w:rPr>
            </w:pPr>
            <w:r w:rsidRPr="00E61612">
              <w:rPr>
                <w:color w:val="000000"/>
                <w:sz w:val="20"/>
                <w:szCs w:val="20"/>
              </w:rPr>
              <w:t>-</w:t>
            </w:r>
          </w:p>
        </w:tc>
      </w:tr>
      <w:tr w:rsidR="00B951B1" w:rsidRPr="00E61612" w:rsidTr="00CB78E6">
        <w:trPr>
          <w:trHeight w:val="20"/>
        </w:trPr>
        <w:tc>
          <w:tcPr>
            <w:tcW w:w="310" w:type="pct"/>
            <w:shd w:val="clear" w:color="auto" w:fill="FFFFFF"/>
          </w:tcPr>
          <w:p w:rsidR="00B951B1" w:rsidRPr="00E61612" w:rsidRDefault="00B951B1" w:rsidP="00CB78E6">
            <w:pPr>
              <w:spacing w:after="0"/>
              <w:jc w:val="center"/>
              <w:rPr>
                <w:rFonts w:eastAsia="Times New Roman" w:cs="Calibri"/>
                <w:b/>
                <w:bCs/>
                <w:color w:val="000000"/>
                <w:sz w:val="18"/>
                <w:szCs w:val="18"/>
              </w:rPr>
            </w:pPr>
            <w:r w:rsidRPr="00E61612">
              <w:rPr>
                <w:b/>
                <w:bCs/>
                <w:color w:val="000000"/>
                <w:sz w:val="20"/>
                <w:szCs w:val="20"/>
              </w:rPr>
              <w:t>C2.1.1</w:t>
            </w:r>
          </w:p>
        </w:tc>
        <w:tc>
          <w:tcPr>
            <w:tcW w:w="1002" w:type="pct"/>
            <w:shd w:val="clear" w:color="auto" w:fill="FFFFFF"/>
          </w:tcPr>
          <w:p w:rsidR="00B951B1" w:rsidRPr="00E61612" w:rsidRDefault="00B951B1" w:rsidP="00CB78E6">
            <w:pPr>
              <w:spacing w:after="0"/>
              <w:rPr>
                <w:rFonts w:eastAsia="Times New Roman" w:cs="Calibri"/>
                <w:sz w:val="18"/>
                <w:szCs w:val="18"/>
              </w:rPr>
            </w:pPr>
            <w:r w:rsidRPr="00E61612">
              <w:rPr>
                <w:sz w:val="20"/>
                <w:szCs w:val="20"/>
              </w:rPr>
              <w:t>Nxitja e krijimit të qendrave në universitete për trajnimin në mësimdhënie dhe kërkim</w:t>
            </w:r>
          </w:p>
        </w:tc>
        <w:tc>
          <w:tcPr>
            <w:tcW w:w="492" w:type="pct"/>
            <w:shd w:val="clear" w:color="auto" w:fill="FFFFFF"/>
          </w:tcPr>
          <w:p w:rsidR="00B951B1" w:rsidRPr="00E61612" w:rsidRDefault="00B951B1" w:rsidP="00CB78E6">
            <w:pPr>
              <w:spacing w:after="0"/>
              <w:jc w:val="center"/>
              <w:rPr>
                <w:rFonts w:eastAsia="Times New Roman" w:cs="Calibri"/>
                <w:color w:val="000000"/>
                <w:sz w:val="18"/>
                <w:szCs w:val="18"/>
              </w:rPr>
            </w:pPr>
            <w:r w:rsidRPr="00E61612">
              <w:rPr>
                <w:color w:val="000000"/>
                <w:sz w:val="20"/>
                <w:szCs w:val="20"/>
              </w:rPr>
              <w:t>IAL-të</w:t>
            </w:r>
          </w:p>
        </w:tc>
        <w:tc>
          <w:tcPr>
            <w:tcW w:w="494" w:type="pct"/>
            <w:shd w:val="clear" w:color="auto" w:fill="FFFFFF"/>
          </w:tcPr>
          <w:p w:rsidR="00B951B1" w:rsidRPr="00E61612" w:rsidRDefault="00B951B1" w:rsidP="00CB78E6">
            <w:pPr>
              <w:spacing w:after="0"/>
              <w:jc w:val="center"/>
              <w:rPr>
                <w:rFonts w:eastAsia="Times New Roman" w:cs="Calibri"/>
                <w:color w:val="000000"/>
                <w:sz w:val="18"/>
                <w:szCs w:val="18"/>
              </w:rPr>
            </w:pPr>
            <w:r w:rsidRPr="00E61612">
              <w:rPr>
                <w:color w:val="000000"/>
                <w:sz w:val="20"/>
                <w:szCs w:val="20"/>
              </w:rPr>
              <w:t>MASR</w:t>
            </w:r>
          </w:p>
        </w:tc>
        <w:tc>
          <w:tcPr>
            <w:tcW w:w="383" w:type="pct"/>
            <w:shd w:val="clear" w:color="auto" w:fill="FFFFFF"/>
          </w:tcPr>
          <w:p w:rsidR="00B951B1" w:rsidRPr="00E61612" w:rsidRDefault="00B951B1" w:rsidP="00CB78E6">
            <w:pPr>
              <w:spacing w:after="0"/>
              <w:jc w:val="center"/>
              <w:rPr>
                <w:rFonts w:eastAsia="Times New Roman" w:cs="Calibri"/>
                <w:color w:val="000000"/>
                <w:sz w:val="18"/>
                <w:szCs w:val="18"/>
              </w:rPr>
            </w:pPr>
            <w:r w:rsidRPr="00E61612">
              <w:rPr>
                <w:color w:val="000000"/>
                <w:sz w:val="20"/>
                <w:szCs w:val="20"/>
              </w:rPr>
              <w:t>TM2-2022</w:t>
            </w:r>
          </w:p>
        </w:tc>
        <w:tc>
          <w:tcPr>
            <w:tcW w:w="438" w:type="pct"/>
            <w:shd w:val="clear" w:color="auto" w:fill="FFFFFF"/>
          </w:tcPr>
          <w:p w:rsidR="00B951B1" w:rsidRPr="00E61612" w:rsidRDefault="00B951B1" w:rsidP="00CB78E6">
            <w:pPr>
              <w:spacing w:after="0"/>
              <w:jc w:val="center"/>
              <w:rPr>
                <w:rFonts w:eastAsia="Times New Roman" w:cs="Calibri"/>
                <w:color w:val="000000"/>
                <w:sz w:val="18"/>
                <w:szCs w:val="18"/>
              </w:rPr>
            </w:pPr>
            <w:r w:rsidRPr="00E61612">
              <w:rPr>
                <w:color w:val="000000"/>
                <w:sz w:val="20"/>
                <w:szCs w:val="20"/>
              </w:rPr>
              <w:t>TM3-2026</w:t>
            </w:r>
          </w:p>
        </w:tc>
        <w:tc>
          <w:tcPr>
            <w:tcW w:w="462" w:type="pct"/>
            <w:shd w:val="clear" w:color="auto" w:fill="FFFFFF"/>
            <w:noWrap/>
          </w:tcPr>
          <w:p w:rsidR="00B951B1" w:rsidRPr="00E61612" w:rsidRDefault="00B951B1" w:rsidP="00CB78E6">
            <w:pPr>
              <w:spacing w:after="0"/>
              <w:jc w:val="right"/>
              <w:rPr>
                <w:rFonts w:eastAsia="Times New Roman" w:cs="Calibri"/>
                <w:color w:val="000000"/>
                <w:sz w:val="18"/>
                <w:szCs w:val="18"/>
              </w:rPr>
            </w:pPr>
            <w:r w:rsidRPr="00E61612">
              <w:rPr>
                <w:color w:val="000000"/>
                <w:sz w:val="20"/>
                <w:szCs w:val="20"/>
              </w:rPr>
              <w:t>17,092</w:t>
            </w:r>
          </w:p>
        </w:tc>
        <w:tc>
          <w:tcPr>
            <w:tcW w:w="475" w:type="pct"/>
            <w:shd w:val="clear" w:color="auto" w:fill="FFFFFF"/>
            <w:noWrap/>
          </w:tcPr>
          <w:p w:rsidR="00B951B1" w:rsidRPr="00E61612" w:rsidRDefault="00B951B1" w:rsidP="00CB78E6">
            <w:pPr>
              <w:spacing w:after="0"/>
              <w:jc w:val="right"/>
              <w:rPr>
                <w:rFonts w:eastAsia="Times New Roman" w:cs="Calibri"/>
                <w:color w:val="000000"/>
                <w:sz w:val="18"/>
                <w:szCs w:val="18"/>
              </w:rPr>
            </w:pPr>
            <w:r w:rsidRPr="00E61612">
              <w:rPr>
                <w:color w:val="000000"/>
                <w:sz w:val="20"/>
                <w:szCs w:val="20"/>
              </w:rPr>
              <w:t>-</w:t>
            </w:r>
          </w:p>
        </w:tc>
        <w:tc>
          <w:tcPr>
            <w:tcW w:w="486" w:type="pct"/>
            <w:shd w:val="clear" w:color="auto" w:fill="FFFFFF"/>
            <w:noWrap/>
          </w:tcPr>
          <w:p w:rsidR="00B951B1" w:rsidRPr="00E61612" w:rsidRDefault="00B951B1" w:rsidP="00CB78E6">
            <w:pPr>
              <w:spacing w:after="0"/>
              <w:jc w:val="right"/>
              <w:rPr>
                <w:rFonts w:eastAsia="Times New Roman" w:cs="Calibri"/>
                <w:color w:val="000000"/>
                <w:sz w:val="18"/>
                <w:szCs w:val="18"/>
              </w:rPr>
            </w:pPr>
            <w:r w:rsidRPr="00E61612">
              <w:rPr>
                <w:color w:val="000000"/>
                <w:sz w:val="20"/>
                <w:szCs w:val="20"/>
              </w:rPr>
              <w:t xml:space="preserve">          17,092 </w:t>
            </w:r>
          </w:p>
        </w:tc>
        <w:tc>
          <w:tcPr>
            <w:tcW w:w="458" w:type="pct"/>
            <w:shd w:val="clear" w:color="auto" w:fill="FFFFFF"/>
            <w:noWrap/>
          </w:tcPr>
          <w:p w:rsidR="00B951B1" w:rsidRPr="00E61612" w:rsidRDefault="00B951B1" w:rsidP="00CB78E6">
            <w:pPr>
              <w:spacing w:after="0"/>
              <w:jc w:val="right"/>
              <w:rPr>
                <w:rFonts w:eastAsia="Times New Roman" w:cs="Calibri"/>
                <w:color w:val="000000"/>
                <w:sz w:val="18"/>
                <w:szCs w:val="18"/>
              </w:rPr>
            </w:pPr>
            <w:r w:rsidRPr="00E61612">
              <w:rPr>
                <w:color w:val="000000"/>
                <w:sz w:val="20"/>
                <w:szCs w:val="20"/>
              </w:rPr>
              <w:t>-</w:t>
            </w:r>
          </w:p>
        </w:tc>
      </w:tr>
      <w:tr w:rsidR="00B951B1" w:rsidRPr="00E61612" w:rsidTr="00CB78E6">
        <w:trPr>
          <w:trHeight w:val="20"/>
        </w:trPr>
        <w:tc>
          <w:tcPr>
            <w:tcW w:w="310" w:type="pct"/>
            <w:tcBorders>
              <w:bottom w:val="single" w:sz="4" w:space="0" w:color="auto"/>
            </w:tcBorders>
            <w:shd w:val="clear" w:color="auto" w:fill="FFFFFF"/>
          </w:tcPr>
          <w:p w:rsidR="00B951B1" w:rsidRPr="00E61612" w:rsidRDefault="00B951B1" w:rsidP="00CB78E6">
            <w:pPr>
              <w:spacing w:after="0"/>
              <w:jc w:val="center"/>
              <w:rPr>
                <w:rFonts w:eastAsia="Times New Roman" w:cs="Calibri"/>
                <w:b/>
                <w:bCs/>
                <w:color w:val="000000"/>
                <w:sz w:val="18"/>
                <w:szCs w:val="18"/>
              </w:rPr>
            </w:pPr>
            <w:r w:rsidRPr="00E61612">
              <w:rPr>
                <w:b/>
                <w:bCs/>
                <w:color w:val="000000"/>
                <w:sz w:val="20"/>
                <w:szCs w:val="20"/>
              </w:rPr>
              <w:t>C2.1.2</w:t>
            </w:r>
          </w:p>
        </w:tc>
        <w:tc>
          <w:tcPr>
            <w:tcW w:w="1002" w:type="pct"/>
            <w:tcBorders>
              <w:bottom w:val="single" w:sz="4" w:space="0" w:color="auto"/>
            </w:tcBorders>
            <w:shd w:val="clear" w:color="auto" w:fill="FFFFFF"/>
          </w:tcPr>
          <w:p w:rsidR="00B951B1" w:rsidRPr="00E61612" w:rsidRDefault="00B951B1" w:rsidP="00CB78E6">
            <w:pPr>
              <w:spacing w:after="0"/>
              <w:rPr>
                <w:rFonts w:eastAsia="Times New Roman" w:cs="Calibri"/>
                <w:sz w:val="18"/>
                <w:szCs w:val="18"/>
              </w:rPr>
            </w:pPr>
            <w:r w:rsidRPr="00E61612">
              <w:rPr>
                <w:sz w:val="20"/>
                <w:szCs w:val="20"/>
              </w:rPr>
              <w:t>Zbatimi i incentivave për rezultate në punën shkencore</w:t>
            </w:r>
          </w:p>
        </w:tc>
        <w:tc>
          <w:tcPr>
            <w:tcW w:w="492" w:type="pct"/>
            <w:tcBorders>
              <w:bottom w:val="single" w:sz="4" w:space="0" w:color="auto"/>
            </w:tcBorders>
            <w:shd w:val="clear" w:color="auto" w:fill="FFFFFF"/>
          </w:tcPr>
          <w:p w:rsidR="00B951B1" w:rsidRPr="00E61612" w:rsidRDefault="00B951B1" w:rsidP="00CB78E6">
            <w:pPr>
              <w:spacing w:after="0"/>
              <w:jc w:val="center"/>
              <w:rPr>
                <w:rFonts w:eastAsia="Times New Roman" w:cs="Calibri"/>
                <w:color w:val="000000"/>
                <w:sz w:val="18"/>
                <w:szCs w:val="18"/>
              </w:rPr>
            </w:pPr>
            <w:r w:rsidRPr="00E61612">
              <w:rPr>
                <w:color w:val="000000"/>
                <w:sz w:val="20"/>
                <w:szCs w:val="20"/>
              </w:rPr>
              <w:t>IAL-të</w:t>
            </w:r>
          </w:p>
        </w:tc>
        <w:tc>
          <w:tcPr>
            <w:tcW w:w="494" w:type="pct"/>
            <w:tcBorders>
              <w:bottom w:val="single" w:sz="4" w:space="0" w:color="auto"/>
            </w:tcBorders>
            <w:shd w:val="clear" w:color="auto" w:fill="FFFFFF"/>
          </w:tcPr>
          <w:p w:rsidR="00B951B1" w:rsidRPr="00E61612" w:rsidRDefault="00B951B1" w:rsidP="00CB78E6">
            <w:pPr>
              <w:spacing w:after="0"/>
              <w:jc w:val="center"/>
              <w:rPr>
                <w:rFonts w:eastAsia="Times New Roman" w:cs="Calibri"/>
                <w:color w:val="000000"/>
                <w:sz w:val="18"/>
                <w:szCs w:val="18"/>
              </w:rPr>
            </w:pPr>
            <w:r w:rsidRPr="00E61612">
              <w:rPr>
                <w:color w:val="000000"/>
                <w:sz w:val="20"/>
                <w:szCs w:val="20"/>
              </w:rPr>
              <w:t>MASR</w:t>
            </w:r>
          </w:p>
        </w:tc>
        <w:tc>
          <w:tcPr>
            <w:tcW w:w="383" w:type="pct"/>
            <w:tcBorders>
              <w:bottom w:val="single" w:sz="4" w:space="0" w:color="auto"/>
            </w:tcBorders>
            <w:shd w:val="clear" w:color="auto" w:fill="FFFFFF"/>
          </w:tcPr>
          <w:p w:rsidR="00B951B1" w:rsidRPr="00E61612" w:rsidRDefault="00B951B1" w:rsidP="00CB78E6">
            <w:pPr>
              <w:spacing w:after="0"/>
              <w:jc w:val="center"/>
              <w:rPr>
                <w:rFonts w:eastAsia="Times New Roman" w:cs="Calibri"/>
                <w:color w:val="000000"/>
                <w:sz w:val="18"/>
                <w:szCs w:val="18"/>
              </w:rPr>
            </w:pPr>
            <w:r w:rsidRPr="00E61612">
              <w:rPr>
                <w:color w:val="000000"/>
                <w:sz w:val="20"/>
                <w:szCs w:val="20"/>
              </w:rPr>
              <w:t>TM2-2022</w:t>
            </w:r>
          </w:p>
        </w:tc>
        <w:tc>
          <w:tcPr>
            <w:tcW w:w="438" w:type="pct"/>
            <w:tcBorders>
              <w:bottom w:val="single" w:sz="4" w:space="0" w:color="auto"/>
            </w:tcBorders>
            <w:shd w:val="clear" w:color="auto" w:fill="FFFFFF"/>
          </w:tcPr>
          <w:p w:rsidR="00B951B1" w:rsidRPr="00E61612" w:rsidRDefault="00B951B1" w:rsidP="00CB78E6">
            <w:pPr>
              <w:spacing w:after="0"/>
              <w:jc w:val="center"/>
              <w:rPr>
                <w:rFonts w:eastAsia="Times New Roman" w:cs="Calibri"/>
                <w:color w:val="000000"/>
                <w:sz w:val="18"/>
                <w:szCs w:val="18"/>
              </w:rPr>
            </w:pPr>
            <w:r w:rsidRPr="00E61612">
              <w:rPr>
                <w:color w:val="000000"/>
                <w:sz w:val="20"/>
                <w:szCs w:val="20"/>
              </w:rPr>
              <w:t>TM4-2026</w:t>
            </w:r>
          </w:p>
        </w:tc>
        <w:tc>
          <w:tcPr>
            <w:tcW w:w="462" w:type="pct"/>
            <w:tcBorders>
              <w:bottom w:val="single" w:sz="4" w:space="0" w:color="auto"/>
            </w:tcBorders>
            <w:shd w:val="clear" w:color="auto" w:fill="FFFFFF"/>
            <w:noWrap/>
          </w:tcPr>
          <w:p w:rsidR="00B951B1" w:rsidRPr="00E61612" w:rsidRDefault="00B951B1" w:rsidP="00CB78E6">
            <w:pPr>
              <w:spacing w:after="0"/>
              <w:jc w:val="right"/>
              <w:rPr>
                <w:rFonts w:eastAsia="Times New Roman" w:cs="Calibri"/>
                <w:color w:val="000000"/>
                <w:sz w:val="18"/>
                <w:szCs w:val="18"/>
              </w:rPr>
            </w:pPr>
            <w:r w:rsidRPr="00E61612">
              <w:rPr>
                <w:color w:val="000000"/>
                <w:sz w:val="20"/>
                <w:szCs w:val="20"/>
              </w:rPr>
              <w:t>-</w:t>
            </w:r>
          </w:p>
        </w:tc>
        <w:tc>
          <w:tcPr>
            <w:tcW w:w="475" w:type="pct"/>
            <w:tcBorders>
              <w:bottom w:val="single" w:sz="4" w:space="0" w:color="auto"/>
            </w:tcBorders>
            <w:shd w:val="clear" w:color="auto" w:fill="FFFFFF"/>
            <w:noWrap/>
          </w:tcPr>
          <w:p w:rsidR="00B951B1" w:rsidRPr="00E61612" w:rsidRDefault="00B951B1" w:rsidP="00CB78E6">
            <w:pPr>
              <w:spacing w:after="0"/>
              <w:jc w:val="right"/>
              <w:rPr>
                <w:rFonts w:eastAsia="Times New Roman" w:cs="Calibri"/>
                <w:color w:val="000000"/>
                <w:sz w:val="18"/>
                <w:szCs w:val="18"/>
              </w:rPr>
            </w:pPr>
            <w:r w:rsidRPr="00E61612">
              <w:rPr>
                <w:color w:val="000000"/>
                <w:sz w:val="20"/>
                <w:szCs w:val="20"/>
              </w:rPr>
              <w:t>-</w:t>
            </w:r>
          </w:p>
        </w:tc>
        <w:tc>
          <w:tcPr>
            <w:tcW w:w="486" w:type="pct"/>
            <w:tcBorders>
              <w:bottom w:val="single" w:sz="4" w:space="0" w:color="auto"/>
            </w:tcBorders>
            <w:shd w:val="clear" w:color="auto" w:fill="FFFFFF"/>
            <w:noWrap/>
          </w:tcPr>
          <w:p w:rsidR="00B951B1" w:rsidRPr="00E61612" w:rsidRDefault="00B951B1" w:rsidP="00CB78E6">
            <w:pPr>
              <w:spacing w:after="0"/>
              <w:jc w:val="right"/>
              <w:rPr>
                <w:rFonts w:eastAsia="Times New Roman" w:cs="Calibri"/>
                <w:color w:val="000000"/>
                <w:sz w:val="18"/>
                <w:szCs w:val="18"/>
              </w:rPr>
            </w:pPr>
            <w:r w:rsidRPr="00E61612">
              <w:rPr>
                <w:color w:val="000000"/>
                <w:sz w:val="20"/>
                <w:szCs w:val="20"/>
              </w:rPr>
              <w:t xml:space="preserve">                   -   </w:t>
            </w:r>
          </w:p>
        </w:tc>
        <w:tc>
          <w:tcPr>
            <w:tcW w:w="458" w:type="pct"/>
            <w:tcBorders>
              <w:bottom w:val="single" w:sz="4" w:space="0" w:color="auto"/>
            </w:tcBorders>
            <w:shd w:val="clear" w:color="auto" w:fill="FFFFFF"/>
            <w:noWrap/>
          </w:tcPr>
          <w:p w:rsidR="00B951B1" w:rsidRPr="00E61612" w:rsidRDefault="00B951B1" w:rsidP="00CB78E6">
            <w:pPr>
              <w:spacing w:after="0"/>
              <w:jc w:val="right"/>
              <w:rPr>
                <w:rFonts w:eastAsia="Times New Roman" w:cs="Calibri"/>
                <w:color w:val="000000"/>
                <w:sz w:val="18"/>
                <w:szCs w:val="18"/>
              </w:rPr>
            </w:pPr>
            <w:r w:rsidRPr="00E61612">
              <w:rPr>
                <w:color w:val="000000"/>
                <w:sz w:val="20"/>
                <w:szCs w:val="20"/>
              </w:rPr>
              <w:t>-</w:t>
            </w:r>
          </w:p>
        </w:tc>
      </w:tr>
      <w:tr w:rsidR="00B951B1" w:rsidRPr="00E61612" w:rsidTr="00CB78E6">
        <w:trPr>
          <w:trHeight w:val="20"/>
        </w:trPr>
        <w:tc>
          <w:tcPr>
            <w:tcW w:w="310" w:type="pct"/>
            <w:tcBorders>
              <w:bottom w:val="single" w:sz="4" w:space="0" w:color="auto"/>
            </w:tcBorders>
            <w:shd w:val="clear" w:color="auto" w:fill="BFBFBF"/>
          </w:tcPr>
          <w:p w:rsidR="00B951B1" w:rsidRPr="00E61612" w:rsidRDefault="00B951B1" w:rsidP="00CB78E6">
            <w:pPr>
              <w:spacing w:after="0"/>
              <w:jc w:val="center"/>
              <w:rPr>
                <w:rFonts w:eastAsia="Times New Roman" w:cs="Calibri"/>
                <w:b/>
                <w:bCs/>
                <w:color w:val="000000"/>
                <w:sz w:val="18"/>
                <w:szCs w:val="18"/>
              </w:rPr>
            </w:pPr>
            <w:r w:rsidRPr="00E61612">
              <w:rPr>
                <w:b/>
                <w:bCs/>
                <w:color w:val="000000"/>
                <w:sz w:val="20"/>
                <w:szCs w:val="20"/>
              </w:rPr>
              <w:t>C3</w:t>
            </w:r>
          </w:p>
        </w:tc>
        <w:tc>
          <w:tcPr>
            <w:tcW w:w="1002" w:type="pct"/>
            <w:tcBorders>
              <w:bottom w:val="single" w:sz="4" w:space="0" w:color="auto"/>
            </w:tcBorders>
            <w:shd w:val="clear" w:color="auto" w:fill="BFBFBF"/>
          </w:tcPr>
          <w:p w:rsidR="00B951B1" w:rsidRPr="00E61612" w:rsidRDefault="00B951B1" w:rsidP="00CB78E6">
            <w:pPr>
              <w:spacing w:after="0"/>
              <w:rPr>
                <w:rFonts w:eastAsia="Times New Roman" w:cs="Calibri"/>
                <w:sz w:val="18"/>
                <w:szCs w:val="18"/>
              </w:rPr>
            </w:pPr>
            <w:r w:rsidRPr="00E61612">
              <w:rPr>
                <w:sz w:val="20"/>
                <w:szCs w:val="20"/>
              </w:rPr>
              <w:t>Ndërlidhja më e mirë e arsimit të lartë me tregun e punës</w:t>
            </w:r>
          </w:p>
        </w:tc>
        <w:tc>
          <w:tcPr>
            <w:tcW w:w="492" w:type="pct"/>
            <w:tcBorders>
              <w:bottom w:val="single" w:sz="4" w:space="0" w:color="auto"/>
            </w:tcBorders>
            <w:shd w:val="clear" w:color="auto" w:fill="BFBFBF"/>
          </w:tcPr>
          <w:p w:rsidR="00B951B1" w:rsidRPr="00E61612" w:rsidRDefault="00B951B1" w:rsidP="00CB78E6">
            <w:pPr>
              <w:spacing w:after="0"/>
              <w:jc w:val="center"/>
              <w:rPr>
                <w:rFonts w:eastAsia="Times New Roman" w:cs="Calibri"/>
                <w:color w:val="000000"/>
                <w:sz w:val="18"/>
                <w:szCs w:val="18"/>
              </w:rPr>
            </w:pPr>
            <w:r w:rsidRPr="00E61612">
              <w:rPr>
                <w:color w:val="000000"/>
                <w:sz w:val="20"/>
                <w:szCs w:val="20"/>
              </w:rPr>
              <w:t>IAL-të, MASR</w:t>
            </w:r>
          </w:p>
        </w:tc>
        <w:tc>
          <w:tcPr>
            <w:tcW w:w="494" w:type="pct"/>
            <w:tcBorders>
              <w:bottom w:val="single" w:sz="4" w:space="0" w:color="auto"/>
            </w:tcBorders>
            <w:shd w:val="clear" w:color="auto" w:fill="BFBFBF"/>
          </w:tcPr>
          <w:p w:rsidR="00B951B1" w:rsidRPr="00E61612" w:rsidRDefault="00B951B1" w:rsidP="00CB78E6">
            <w:pPr>
              <w:spacing w:after="0"/>
              <w:jc w:val="center"/>
              <w:rPr>
                <w:rFonts w:eastAsia="Times New Roman" w:cs="Calibri"/>
                <w:color w:val="000000"/>
                <w:sz w:val="18"/>
                <w:szCs w:val="18"/>
              </w:rPr>
            </w:pPr>
            <w:r w:rsidRPr="00E61612">
              <w:rPr>
                <w:color w:val="000000"/>
                <w:sz w:val="20"/>
                <w:szCs w:val="20"/>
              </w:rPr>
              <w:t>MASR, QSHA, RASH</w:t>
            </w:r>
          </w:p>
        </w:tc>
        <w:tc>
          <w:tcPr>
            <w:tcW w:w="383" w:type="pct"/>
            <w:tcBorders>
              <w:bottom w:val="single" w:sz="4" w:space="0" w:color="auto"/>
            </w:tcBorders>
            <w:shd w:val="clear" w:color="auto" w:fill="BFBFBF"/>
          </w:tcPr>
          <w:p w:rsidR="00B951B1" w:rsidRPr="00E61612" w:rsidRDefault="00B951B1" w:rsidP="00CB78E6">
            <w:pPr>
              <w:spacing w:after="0"/>
              <w:jc w:val="center"/>
              <w:rPr>
                <w:rFonts w:eastAsia="Times New Roman" w:cs="Calibri"/>
                <w:color w:val="000000"/>
                <w:sz w:val="18"/>
                <w:szCs w:val="18"/>
              </w:rPr>
            </w:pPr>
            <w:r w:rsidRPr="00E61612">
              <w:rPr>
                <w:color w:val="000000"/>
                <w:sz w:val="20"/>
                <w:szCs w:val="20"/>
              </w:rPr>
              <w:t>TM1-2022</w:t>
            </w:r>
          </w:p>
        </w:tc>
        <w:tc>
          <w:tcPr>
            <w:tcW w:w="438" w:type="pct"/>
            <w:tcBorders>
              <w:bottom w:val="single" w:sz="4" w:space="0" w:color="auto"/>
            </w:tcBorders>
            <w:shd w:val="clear" w:color="auto" w:fill="BFBFBF"/>
          </w:tcPr>
          <w:p w:rsidR="00B951B1" w:rsidRPr="00E61612" w:rsidRDefault="00B951B1" w:rsidP="00CB78E6">
            <w:pPr>
              <w:spacing w:after="0"/>
              <w:jc w:val="center"/>
              <w:rPr>
                <w:rFonts w:eastAsia="Times New Roman" w:cs="Calibri"/>
                <w:color w:val="000000"/>
                <w:sz w:val="18"/>
                <w:szCs w:val="18"/>
              </w:rPr>
            </w:pPr>
            <w:r w:rsidRPr="00E61612">
              <w:rPr>
                <w:color w:val="000000"/>
                <w:sz w:val="20"/>
                <w:szCs w:val="20"/>
              </w:rPr>
              <w:t>TM4-2026</w:t>
            </w:r>
          </w:p>
        </w:tc>
        <w:tc>
          <w:tcPr>
            <w:tcW w:w="462" w:type="pct"/>
            <w:tcBorders>
              <w:bottom w:val="single" w:sz="4" w:space="0" w:color="auto"/>
            </w:tcBorders>
            <w:shd w:val="clear" w:color="auto" w:fill="BFBFBF"/>
            <w:noWrap/>
          </w:tcPr>
          <w:p w:rsidR="00B951B1" w:rsidRPr="00E61612" w:rsidRDefault="00B951B1" w:rsidP="00CB78E6">
            <w:pPr>
              <w:spacing w:after="0"/>
              <w:jc w:val="right"/>
              <w:rPr>
                <w:rFonts w:eastAsia="Times New Roman" w:cs="Calibri"/>
                <w:color w:val="000000"/>
                <w:sz w:val="18"/>
                <w:szCs w:val="18"/>
              </w:rPr>
            </w:pPr>
            <w:r w:rsidRPr="00E61612">
              <w:rPr>
                <w:color w:val="000000"/>
                <w:sz w:val="20"/>
                <w:szCs w:val="20"/>
              </w:rPr>
              <w:t>4,800</w:t>
            </w:r>
          </w:p>
        </w:tc>
        <w:tc>
          <w:tcPr>
            <w:tcW w:w="475" w:type="pct"/>
            <w:tcBorders>
              <w:bottom w:val="single" w:sz="4" w:space="0" w:color="auto"/>
            </w:tcBorders>
            <w:shd w:val="clear" w:color="auto" w:fill="BFBFBF"/>
            <w:noWrap/>
          </w:tcPr>
          <w:p w:rsidR="00B951B1" w:rsidRPr="00E61612" w:rsidRDefault="00B951B1" w:rsidP="00CB78E6">
            <w:pPr>
              <w:spacing w:after="0"/>
              <w:jc w:val="right"/>
              <w:rPr>
                <w:rFonts w:eastAsia="Times New Roman" w:cs="Calibri"/>
                <w:color w:val="000000"/>
                <w:sz w:val="18"/>
                <w:szCs w:val="18"/>
              </w:rPr>
            </w:pPr>
            <w:r w:rsidRPr="00E61612">
              <w:rPr>
                <w:color w:val="000000"/>
                <w:sz w:val="20"/>
                <w:szCs w:val="20"/>
              </w:rPr>
              <w:t>-</w:t>
            </w:r>
          </w:p>
        </w:tc>
        <w:tc>
          <w:tcPr>
            <w:tcW w:w="486" w:type="pct"/>
            <w:tcBorders>
              <w:bottom w:val="single" w:sz="4" w:space="0" w:color="auto"/>
            </w:tcBorders>
            <w:shd w:val="clear" w:color="auto" w:fill="BFBFBF"/>
            <w:noWrap/>
          </w:tcPr>
          <w:p w:rsidR="00B951B1" w:rsidRPr="00E61612" w:rsidRDefault="00B951B1" w:rsidP="00CB78E6">
            <w:pPr>
              <w:spacing w:after="0"/>
              <w:jc w:val="right"/>
              <w:rPr>
                <w:rFonts w:eastAsia="Times New Roman" w:cs="Calibri"/>
                <w:color w:val="000000"/>
                <w:sz w:val="18"/>
                <w:szCs w:val="18"/>
              </w:rPr>
            </w:pPr>
            <w:r w:rsidRPr="00E61612">
              <w:rPr>
                <w:color w:val="000000"/>
                <w:sz w:val="20"/>
                <w:szCs w:val="20"/>
              </w:rPr>
              <w:t xml:space="preserve">            4,800 </w:t>
            </w:r>
          </w:p>
        </w:tc>
        <w:tc>
          <w:tcPr>
            <w:tcW w:w="458" w:type="pct"/>
            <w:tcBorders>
              <w:bottom w:val="single" w:sz="4" w:space="0" w:color="auto"/>
            </w:tcBorders>
            <w:shd w:val="clear" w:color="auto" w:fill="BFBFBF"/>
            <w:noWrap/>
          </w:tcPr>
          <w:p w:rsidR="00B951B1" w:rsidRPr="00E61612" w:rsidRDefault="00B951B1" w:rsidP="00CB78E6">
            <w:pPr>
              <w:spacing w:after="0"/>
              <w:jc w:val="right"/>
              <w:rPr>
                <w:rFonts w:eastAsia="Times New Roman" w:cs="Calibri"/>
                <w:color w:val="000000"/>
                <w:sz w:val="18"/>
                <w:szCs w:val="18"/>
              </w:rPr>
            </w:pPr>
            <w:r w:rsidRPr="00E61612">
              <w:rPr>
                <w:color w:val="000000"/>
                <w:sz w:val="20"/>
                <w:szCs w:val="20"/>
              </w:rPr>
              <w:t>-</w:t>
            </w:r>
          </w:p>
        </w:tc>
      </w:tr>
      <w:tr w:rsidR="00B951B1" w:rsidRPr="00E61612" w:rsidTr="00CB78E6">
        <w:trPr>
          <w:trHeight w:val="20"/>
        </w:trPr>
        <w:tc>
          <w:tcPr>
            <w:tcW w:w="310" w:type="pct"/>
            <w:shd w:val="clear" w:color="auto" w:fill="D9D9D9"/>
          </w:tcPr>
          <w:p w:rsidR="00B951B1" w:rsidRPr="00E61612" w:rsidRDefault="00B951B1" w:rsidP="00CB78E6">
            <w:pPr>
              <w:spacing w:after="0"/>
              <w:jc w:val="center"/>
              <w:rPr>
                <w:rFonts w:eastAsia="Times New Roman" w:cs="Calibri"/>
                <w:b/>
                <w:bCs/>
                <w:color w:val="000000"/>
                <w:sz w:val="18"/>
                <w:szCs w:val="18"/>
              </w:rPr>
            </w:pPr>
            <w:r w:rsidRPr="00E61612">
              <w:rPr>
                <w:b/>
                <w:bCs/>
                <w:color w:val="000000"/>
                <w:sz w:val="20"/>
                <w:szCs w:val="20"/>
              </w:rPr>
              <w:t>C3.1</w:t>
            </w:r>
          </w:p>
        </w:tc>
        <w:tc>
          <w:tcPr>
            <w:tcW w:w="1002" w:type="pct"/>
            <w:shd w:val="clear" w:color="auto" w:fill="D9D9D9"/>
          </w:tcPr>
          <w:p w:rsidR="00B951B1" w:rsidRPr="00E61612" w:rsidRDefault="00B951B1" w:rsidP="00CB78E6">
            <w:pPr>
              <w:spacing w:after="0"/>
              <w:rPr>
                <w:rFonts w:eastAsia="Times New Roman" w:cs="Calibri"/>
                <w:sz w:val="18"/>
                <w:szCs w:val="18"/>
              </w:rPr>
            </w:pPr>
            <w:r w:rsidRPr="00E61612">
              <w:rPr>
                <w:sz w:val="20"/>
                <w:szCs w:val="20"/>
              </w:rPr>
              <w:t>Harmoniz</w:t>
            </w:r>
            <w:r>
              <w:rPr>
                <w:sz w:val="20"/>
                <w:szCs w:val="20"/>
              </w:rPr>
              <w:t>imi</w:t>
            </w:r>
            <w:r w:rsidRPr="00E61612">
              <w:rPr>
                <w:sz w:val="20"/>
                <w:szCs w:val="20"/>
              </w:rPr>
              <w:t xml:space="preserve"> </w:t>
            </w:r>
            <w:r>
              <w:rPr>
                <w:sz w:val="20"/>
                <w:szCs w:val="20"/>
              </w:rPr>
              <w:t xml:space="preserve">i </w:t>
            </w:r>
            <w:r w:rsidRPr="00E61612">
              <w:rPr>
                <w:sz w:val="20"/>
                <w:szCs w:val="20"/>
              </w:rPr>
              <w:t>programe</w:t>
            </w:r>
            <w:r>
              <w:rPr>
                <w:sz w:val="20"/>
                <w:szCs w:val="20"/>
              </w:rPr>
              <w:t>ve</w:t>
            </w:r>
            <w:r w:rsidRPr="00E61612">
              <w:rPr>
                <w:sz w:val="20"/>
                <w:szCs w:val="20"/>
              </w:rPr>
              <w:t xml:space="preserve"> në IAL me kërkesat e tregut të punës</w:t>
            </w:r>
          </w:p>
        </w:tc>
        <w:tc>
          <w:tcPr>
            <w:tcW w:w="492" w:type="pct"/>
            <w:shd w:val="clear" w:color="auto" w:fill="D9D9D9"/>
          </w:tcPr>
          <w:p w:rsidR="00B951B1" w:rsidRPr="00E61612" w:rsidRDefault="00B951B1" w:rsidP="00CB78E6">
            <w:pPr>
              <w:spacing w:after="0"/>
              <w:jc w:val="center"/>
              <w:rPr>
                <w:rFonts w:eastAsia="Times New Roman" w:cs="Calibri"/>
                <w:color w:val="000000"/>
                <w:sz w:val="18"/>
                <w:szCs w:val="18"/>
              </w:rPr>
            </w:pPr>
            <w:r w:rsidRPr="00E61612">
              <w:rPr>
                <w:color w:val="000000"/>
                <w:sz w:val="20"/>
                <w:szCs w:val="20"/>
              </w:rPr>
              <w:t>IAL-të</w:t>
            </w:r>
          </w:p>
        </w:tc>
        <w:tc>
          <w:tcPr>
            <w:tcW w:w="494" w:type="pct"/>
            <w:shd w:val="clear" w:color="auto" w:fill="D9D9D9"/>
          </w:tcPr>
          <w:p w:rsidR="00B951B1" w:rsidRPr="00E61612" w:rsidRDefault="00B951B1" w:rsidP="00CB78E6">
            <w:pPr>
              <w:spacing w:after="0"/>
              <w:jc w:val="center"/>
              <w:rPr>
                <w:rFonts w:eastAsia="Times New Roman" w:cs="Calibri"/>
                <w:color w:val="000000"/>
                <w:sz w:val="18"/>
                <w:szCs w:val="18"/>
              </w:rPr>
            </w:pPr>
            <w:r w:rsidRPr="00E61612">
              <w:rPr>
                <w:color w:val="000000"/>
                <w:sz w:val="20"/>
                <w:szCs w:val="20"/>
              </w:rPr>
              <w:t>MASR, QSHA, RASH, IAL-të</w:t>
            </w:r>
          </w:p>
        </w:tc>
        <w:tc>
          <w:tcPr>
            <w:tcW w:w="383" w:type="pct"/>
            <w:shd w:val="clear" w:color="auto" w:fill="D9D9D9"/>
          </w:tcPr>
          <w:p w:rsidR="00B951B1" w:rsidRPr="00E61612" w:rsidRDefault="00B951B1" w:rsidP="00CB78E6">
            <w:pPr>
              <w:spacing w:after="0"/>
              <w:jc w:val="center"/>
              <w:rPr>
                <w:rFonts w:eastAsia="Times New Roman" w:cs="Calibri"/>
                <w:color w:val="000000"/>
                <w:sz w:val="18"/>
                <w:szCs w:val="18"/>
              </w:rPr>
            </w:pPr>
            <w:r w:rsidRPr="00E61612">
              <w:rPr>
                <w:color w:val="000000"/>
                <w:sz w:val="20"/>
                <w:szCs w:val="20"/>
              </w:rPr>
              <w:t>TM1-2022</w:t>
            </w:r>
          </w:p>
        </w:tc>
        <w:tc>
          <w:tcPr>
            <w:tcW w:w="438" w:type="pct"/>
            <w:shd w:val="clear" w:color="auto" w:fill="D9D9D9"/>
          </w:tcPr>
          <w:p w:rsidR="00B951B1" w:rsidRPr="00E61612" w:rsidRDefault="00B951B1" w:rsidP="00CB78E6">
            <w:pPr>
              <w:spacing w:after="0"/>
              <w:jc w:val="center"/>
              <w:rPr>
                <w:rFonts w:eastAsia="Times New Roman" w:cs="Calibri"/>
                <w:color w:val="000000"/>
                <w:sz w:val="18"/>
                <w:szCs w:val="18"/>
              </w:rPr>
            </w:pPr>
            <w:r w:rsidRPr="00E61612">
              <w:rPr>
                <w:color w:val="000000"/>
                <w:sz w:val="20"/>
                <w:szCs w:val="20"/>
              </w:rPr>
              <w:t>TM4-2026</w:t>
            </w:r>
          </w:p>
        </w:tc>
        <w:tc>
          <w:tcPr>
            <w:tcW w:w="462" w:type="pct"/>
            <w:shd w:val="clear" w:color="auto" w:fill="D9D9D9"/>
            <w:noWrap/>
          </w:tcPr>
          <w:p w:rsidR="00B951B1" w:rsidRPr="00E61612" w:rsidRDefault="00B951B1" w:rsidP="00CB78E6">
            <w:pPr>
              <w:spacing w:after="0"/>
              <w:jc w:val="right"/>
              <w:rPr>
                <w:rFonts w:eastAsia="Times New Roman" w:cs="Calibri"/>
                <w:color w:val="000000"/>
                <w:sz w:val="18"/>
                <w:szCs w:val="18"/>
              </w:rPr>
            </w:pPr>
            <w:r w:rsidRPr="00E61612">
              <w:rPr>
                <w:color w:val="000000"/>
                <w:sz w:val="20"/>
                <w:szCs w:val="20"/>
              </w:rPr>
              <w:t>4,800</w:t>
            </w:r>
          </w:p>
        </w:tc>
        <w:tc>
          <w:tcPr>
            <w:tcW w:w="475" w:type="pct"/>
            <w:shd w:val="clear" w:color="auto" w:fill="D9D9D9"/>
            <w:noWrap/>
          </w:tcPr>
          <w:p w:rsidR="00B951B1" w:rsidRPr="00E61612" w:rsidRDefault="00B951B1" w:rsidP="00CB78E6">
            <w:pPr>
              <w:spacing w:after="0"/>
              <w:jc w:val="right"/>
              <w:rPr>
                <w:rFonts w:eastAsia="Times New Roman" w:cs="Calibri"/>
                <w:color w:val="000000"/>
                <w:sz w:val="18"/>
                <w:szCs w:val="18"/>
              </w:rPr>
            </w:pPr>
            <w:r w:rsidRPr="00E61612">
              <w:rPr>
                <w:color w:val="000000"/>
                <w:sz w:val="20"/>
                <w:szCs w:val="20"/>
              </w:rPr>
              <w:t>-</w:t>
            </w:r>
          </w:p>
        </w:tc>
        <w:tc>
          <w:tcPr>
            <w:tcW w:w="486" w:type="pct"/>
            <w:shd w:val="clear" w:color="auto" w:fill="D9D9D9"/>
            <w:noWrap/>
          </w:tcPr>
          <w:p w:rsidR="00B951B1" w:rsidRPr="00E61612" w:rsidRDefault="00B951B1" w:rsidP="00CB78E6">
            <w:pPr>
              <w:spacing w:after="0"/>
              <w:jc w:val="right"/>
              <w:rPr>
                <w:rFonts w:eastAsia="Times New Roman" w:cs="Calibri"/>
                <w:color w:val="000000"/>
                <w:sz w:val="18"/>
                <w:szCs w:val="18"/>
              </w:rPr>
            </w:pPr>
            <w:r w:rsidRPr="00E61612">
              <w:rPr>
                <w:color w:val="000000"/>
                <w:sz w:val="20"/>
                <w:szCs w:val="20"/>
              </w:rPr>
              <w:t xml:space="preserve">            4,800 </w:t>
            </w:r>
          </w:p>
        </w:tc>
        <w:tc>
          <w:tcPr>
            <w:tcW w:w="458" w:type="pct"/>
            <w:shd w:val="clear" w:color="auto" w:fill="D9D9D9"/>
            <w:noWrap/>
          </w:tcPr>
          <w:p w:rsidR="00B951B1" w:rsidRPr="00E61612" w:rsidRDefault="00B951B1" w:rsidP="00CB78E6">
            <w:pPr>
              <w:spacing w:after="0"/>
              <w:jc w:val="right"/>
              <w:rPr>
                <w:rFonts w:eastAsia="Times New Roman" w:cs="Calibri"/>
                <w:color w:val="000000"/>
                <w:sz w:val="18"/>
                <w:szCs w:val="18"/>
              </w:rPr>
            </w:pPr>
            <w:r w:rsidRPr="00E61612">
              <w:rPr>
                <w:color w:val="000000"/>
                <w:sz w:val="20"/>
                <w:szCs w:val="20"/>
              </w:rPr>
              <w:t>-</w:t>
            </w:r>
          </w:p>
        </w:tc>
      </w:tr>
      <w:tr w:rsidR="00B951B1" w:rsidRPr="00E61612" w:rsidTr="00CB78E6">
        <w:trPr>
          <w:trHeight w:val="20"/>
        </w:trPr>
        <w:tc>
          <w:tcPr>
            <w:tcW w:w="310" w:type="pct"/>
            <w:shd w:val="clear" w:color="auto" w:fill="FFFFFF"/>
          </w:tcPr>
          <w:p w:rsidR="00B951B1" w:rsidRPr="00E61612" w:rsidRDefault="00B951B1" w:rsidP="00CB78E6">
            <w:pPr>
              <w:spacing w:after="0"/>
              <w:jc w:val="center"/>
              <w:rPr>
                <w:rFonts w:eastAsia="Times New Roman" w:cs="Calibri"/>
                <w:b/>
                <w:bCs/>
                <w:color w:val="000000"/>
                <w:sz w:val="18"/>
                <w:szCs w:val="18"/>
              </w:rPr>
            </w:pPr>
            <w:r w:rsidRPr="00E61612">
              <w:rPr>
                <w:b/>
                <w:bCs/>
                <w:color w:val="000000"/>
                <w:sz w:val="20"/>
                <w:szCs w:val="20"/>
              </w:rPr>
              <w:t>C3.1.1</w:t>
            </w:r>
          </w:p>
        </w:tc>
        <w:tc>
          <w:tcPr>
            <w:tcW w:w="1002" w:type="pct"/>
            <w:shd w:val="clear" w:color="auto" w:fill="FFFFFF"/>
          </w:tcPr>
          <w:p w:rsidR="00B951B1" w:rsidRPr="00E61612" w:rsidRDefault="00B951B1" w:rsidP="00CB78E6">
            <w:pPr>
              <w:spacing w:after="0"/>
              <w:rPr>
                <w:rFonts w:eastAsia="Times New Roman" w:cs="Calibri"/>
                <w:sz w:val="18"/>
                <w:szCs w:val="18"/>
              </w:rPr>
            </w:pPr>
            <w:r>
              <w:rPr>
                <w:sz w:val="20"/>
                <w:szCs w:val="20"/>
              </w:rPr>
              <w:t>Pasurimi i</w:t>
            </w:r>
            <w:r w:rsidRPr="00E61612">
              <w:rPr>
                <w:sz w:val="20"/>
                <w:szCs w:val="20"/>
              </w:rPr>
              <w:t xml:space="preserve"> ofert</w:t>
            </w:r>
            <w:r>
              <w:rPr>
                <w:sz w:val="20"/>
                <w:szCs w:val="20"/>
              </w:rPr>
              <w:t>ës</w:t>
            </w:r>
            <w:r w:rsidRPr="00E61612">
              <w:rPr>
                <w:sz w:val="20"/>
                <w:szCs w:val="20"/>
              </w:rPr>
              <w:t xml:space="preserve"> </w:t>
            </w:r>
            <w:r>
              <w:rPr>
                <w:sz w:val="20"/>
                <w:szCs w:val="20"/>
              </w:rPr>
              <w:t>së</w:t>
            </w:r>
            <w:r w:rsidRPr="00E61612">
              <w:rPr>
                <w:sz w:val="20"/>
                <w:szCs w:val="20"/>
              </w:rPr>
              <w:t xml:space="preserve"> programeve profesionale</w:t>
            </w:r>
          </w:p>
        </w:tc>
        <w:tc>
          <w:tcPr>
            <w:tcW w:w="492" w:type="pct"/>
            <w:shd w:val="clear" w:color="auto" w:fill="FFFFFF"/>
          </w:tcPr>
          <w:p w:rsidR="00B951B1" w:rsidRPr="00E61612" w:rsidRDefault="00B951B1" w:rsidP="00CB78E6">
            <w:pPr>
              <w:spacing w:after="0"/>
              <w:jc w:val="center"/>
              <w:rPr>
                <w:rFonts w:eastAsia="Times New Roman" w:cs="Calibri"/>
                <w:color w:val="000000"/>
                <w:sz w:val="18"/>
                <w:szCs w:val="18"/>
              </w:rPr>
            </w:pPr>
            <w:r w:rsidRPr="00E61612">
              <w:rPr>
                <w:color w:val="000000"/>
                <w:sz w:val="20"/>
                <w:szCs w:val="20"/>
              </w:rPr>
              <w:t>IAL-të</w:t>
            </w:r>
          </w:p>
        </w:tc>
        <w:tc>
          <w:tcPr>
            <w:tcW w:w="494" w:type="pct"/>
            <w:shd w:val="clear" w:color="auto" w:fill="FFFFFF"/>
          </w:tcPr>
          <w:p w:rsidR="00B951B1" w:rsidRPr="00E61612" w:rsidRDefault="00B951B1" w:rsidP="00CB78E6">
            <w:pPr>
              <w:spacing w:after="0"/>
              <w:jc w:val="center"/>
              <w:rPr>
                <w:rFonts w:eastAsia="Times New Roman" w:cs="Calibri"/>
                <w:color w:val="000000"/>
                <w:sz w:val="18"/>
                <w:szCs w:val="18"/>
              </w:rPr>
            </w:pPr>
            <w:r w:rsidRPr="00E61612">
              <w:rPr>
                <w:color w:val="000000"/>
                <w:sz w:val="20"/>
                <w:szCs w:val="20"/>
              </w:rPr>
              <w:t>MASR</w:t>
            </w:r>
          </w:p>
        </w:tc>
        <w:tc>
          <w:tcPr>
            <w:tcW w:w="383" w:type="pct"/>
            <w:shd w:val="clear" w:color="auto" w:fill="FFFFFF"/>
          </w:tcPr>
          <w:p w:rsidR="00B951B1" w:rsidRPr="00E61612" w:rsidRDefault="00B951B1" w:rsidP="00CB78E6">
            <w:pPr>
              <w:spacing w:after="0"/>
              <w:jc w:val="center"/>
              <w:rPr>
                <w:rFonts w:eastAsia="Times New Roman" w:cs="Calibri"/>
                <w:color w:val="000000"/>
                <w:sz w:val="18"/>
                <w:szCs w:val="18"/>
              </w:rPr>
            </w:pPr>
            <w:r w:rsidRPr="00E61612">
              <w:rPr>
                <w:color w:val="000000"/>
                <w:sz w:val="20"/>
                <w:szCs w:val="20"/>
              </w:rPr>
              <w:t>TM1-2022</w:t>
            </w:r>
          </w:p>
        </w:tc>
        <w:tc>
          <w:tcPr>
            <w:tcW w:w="438" w:type="pct"/>
            <w:shd w:val="clear" w:color="auto" w:fill="FFFFFF"/>
          </w:tcPr>
          <w:p w:rsidR="00B951B1" w:rsidRPr="00E61612" w:rsidRDefault="00B951B1" w:rsidP="00CB78E6">
            <w:pPr>
              <w:spacing w:after="0"/>
              <w:jc w:val="center"/>
              <w:rPr>
                <w:rFonts w:eastAsia="Times New Roman" w:cs="Calibri"/>
                <w:color w:val="000000"/>
                <w:sz w:val="18"/>
                <w:szCs w:val="18"/>
              </w:rPr>
            </w:pPr>
            <w:r w:rsidRPr="00E61612">
              <w:rPr>
                <w:color w:val="000000"/>
                <w:sz w:val="20"/>
                <w:szCs w:val="20"/>
              </w:rPr>
              <w:t>TM3-2026</w:t>
            </w:r>
          </w:p>
        </w:tc>
        <w:tc>
          <w:tcPr>
            <w:tcW w:w="462" w:type="pct"/>
            <w:shd w:val="clear" w:color="auto" w:fill="FFFFFF"/>
            <w:noWrap/>
          </w:tcPr>
          <w:p w:rsidR="00B951B1" w:rsidRPr="00E61612" w:rsidRDefault="00B951B1" w:rsidP="00CB78E6">
            <w:pPr>
              <w:spacing w:after="0"/>
              <w:jc w:val="right"/>
              <w:rPr>
                <w:rFonts w:eastAsia="Times New Roman" w:cs="Calibri"/>
                <w:color w:val="000000"/>
                <w:sz w:val="18"/>
                <w:szCs w:val="18"/>
              </w:rPr>
            </w:pPr>
            <w:r w:rsidRPr="00E61612">
              <w:rPr>
                <w:color w:val="000000"/>
                <w:sz w:val="20"/>
                <w:szCs w:val="20"/>
              </w:rPr>
              <w:t>-</w:t>
            </w:r>
          </w:p>
        </w:tc>
        <w:tc>
          <w:tcPr>
            <w:tcW w:w="475" w:type="pct"/>
            <w:shd w:val="clear" w:color="auto" w:fill="FFFFFF"/>
            <w:noWrap/>
          </w:tcPr>
          <w:p w:rsidR="00B951B1" w:rsidRPr="00E61612" w:rsidRDefault="00B951B1" w:rsidP="00CB78E6">
            <w:pPr>
              <w:spacing w:after="0"/>
              <w:jc w:val="right"/>
              <w:rPr>
                <w:rFonts w:eastAsia="Times New Roman" w:cs="Calibri"/>
                <w:color w:val="000000"/>
                <w:sz w:val="18"/>
                <w:szCs w:val="18"/>
              </w:rPr>
            </w:pPr>
            <w:r w:rsidRPr="00E61612">
              <w:rPr>
                <w:color w:val="000000"/>
                <w:sz w:val="20"/>
                <w:szCs w:val="20"/>
              </w:rPr>
              <w:t>-</w:t>
            </w:r>
          </w:p>
        </w:tc>
        <w:tc>
          <w:tcPr>
            <w:tcW w:w="486" w:type="pct"/>
            <w:shd w:val="clear" w:color="auto" w:fill="FFFFFF"/>
            <w:noWrap/>
          </w:tcPr>
          <w:p w:rsidR="00B951B1" w:rsidRPr="00E61612" w:rsidRDefault="00B951B1" w:rsidP="00CB78E6">
            <w:pPr>
              <w:spacing w:after="0"/>
              <w:jc w:val="right"/>
              <w:rPr>
                <w:rFonts w:eastAsia="Times New Roman" w:cs="Calibri"/>
                <w:color w:val="000000"/>
                <w:sz w:val="18"/>
                <w:szCs w:val="18"/>
              </w:rPr>
            </w:pPr>
            <w:r w:rsidRPr="00E61612">
              <w:rPr>
                <w:color w:val="000000"/>
                <w:sz w:val="20"/>
                <w:szCs w:val="20"/>
              </w:rPr>
              <w:t xml:space="preserve">                   -   </w:t>
            </w:r>
          </w:p>
        </w:tc>
        <w:tc>
          <w:tcPr>
            <w:tcW w:w="458" w:type="pct"/>
            <w:shd w:val="clear" w:color="auto" w:fill="FFFFFF"/>
            <w:noWrap/>
          </w:tcPr>
          <w:p w:rsidR="00B951B1" w:rsidRPr="00E61612" w:rsidRDefault="00B951B1" w:rsidP="00CB78E6">
            <w:pPr>
              <w:spacing w:after="0"/>
              <w:jc w:val="right"/>
              <w:rPr>
                <w:rFonts w:eastAsia="Times New Roman" w:cs="Calibri"/>
                <w:color w:val="000000"/>
                <w:sz w:val="18"/>
                <w:szCs w:val="18"/>
              </w:rPr>
            </w:pPr>
            <w:r w:rsidRPr="00E61612">
              <w:rPr>
                <w:color w:val="000000"/>
                <w:sz w:val="20"/>
                <w:szCs w:val="20"/>
              </w:rPr>
              <w:t>-</w:t>
            </w:r>
          </w:p>
        </w:tc>
      </w:tr>
      <w:tr w:rsidR="00B951B1" w:rsidRPr="00E61612" w:rsidTr="00CB78E6">
        <w:trPr>
          <w:trHeight w:val="20"/>
        </w:trPr>
        <w:tc>
          <w:tcPr>
            <w:tcW w:w="310" w:type="pct"/>
            <w:shd w:val="clear" w:color="auto" w:fill="FFFFFF"/>
          </w:tcPr>
          <w:p w:rsidR="00B951B1" w:rsidRPr="00E61612" w:rsidRDefault="00B951B1" w:rsidP="00CB78E6">
            <w:pPr>
              <w:spacing w:after="0"/>
              <w:jc w:val="center"/>
              <w:rPr>
                <w:rFonts w:eastAsia="Times New Roman" w:cs="Calibri"/>
                <w:b/>
                <w:bCs/>
                <w:color w:val="000000"/>
                <w:sz w:val="18"/>
                <w:szCs w:val="18"/>
              </w:rPr>
            </w:pPr>
            <w:r w:rsidRPr="00E61612">
              <w:rPr>
                <w:b/>
                <w:bCs/>
                <w:color w:val="000000"/>
                <w:sz w:val="20"/>
                <w:szCs w:val="20"/>
              </w:rPr>
              <w:lastRenderedPageBreak/>
              <w:t>C3.1.2</w:t>
            </w:r>
          </w:p>
        </w:tc>
        <w:tc>
          <w:tcPr>
            <w:tcW w:w="1002" w:type="pct"/>
            <w:shd w:val="clear" w:color="auto" w:fill="FFFFFF"/>
          </w:tcPr>
          <w:p w:rsidR="00B951B1" w:rsidRPr="00E61612" w:rsidRDefault="00B951B1" w:rsidP="00CB78E6">
            <w:pPr>
              <w:spacing w:after="0"/>
              <w:rPr>
                <w:rFonts w:eastAsia="Times New Roman" w:cs="Calibri"/>
                <w:sz w:val="18"/>
                <w:szCs w:val="18"/>
              </w:rPr>
            </w:pPr>
            <w:r w:rsidRPr="00E61612">
              <w:rPr>
                <w:sz w:val="20"/>
                <w:szCs w:val="20"/>
              </w:rPr>
              <w:t xml:space="preserve"> Paketa e programit të Inovacionit dhe ekselencës në manifakturë dhe IT</w:t>
            </w:r>
          </w:p>
        </w:tc>
        <w:tc>
          <w:tcPr>
            <w:tcW w:w="492" w:type="pct"/>
            <w:shd w:val="clear" w:color="auto" w:fill="FFFFFF"/>
          </w:tcPr>
          <w:p w:rsidR="00B951B1" w:rsidRPr="00E61612" w:rsidRDefault="00B951B1" w:rsidP="00CB78E6">
            <w:pPr>
              <w:spacing w:after="0"/>
              <w:jc w:val="center"/>
              <w:rPr>
                <w:rFonts w:eastAsia="Times New Roman" w:cs="Calibri"/>
                <w:color w:val="000000"/>
                <w:sz w:val="18"/>
                <w:szCs w:val="18"/>
              </w:rPr>
            </w:pPr>
            <w:r w:rsidRPr="00E61612">
              <w:rPr>
                <w:color w:val="000000"/>
                <w:sz w:val="20"/>
                <w:szCs w:val="20"/>
              </w:rPr>
              <w:t>MASR</w:t>
            </w:r>
          </w:p>
        </w:tc>
        <w:tc>
          <w:tcPr>
            <w:tcW w:w="494" w:type="pct"/>
            <w:shd w:val="clear" w:color="auto" w:fill="FFFFFF"/>
          </w:tcPr>
          <w:p w:rsidR="00B951B1" w:rsidRPr="00E61612" w:rsidRDefault="00B951B1" w:rsidP="00CB78E6">
            <w:pPr>
              <w:spacing w:after="0"/>
              <w:jc w:val="center"/>
              <w:rPr>
                <w:rFonts w:eastAsia="Times New Roman" w:cs="Calibri"/>
                <w:color w:val="000000"/>
                <w:sz w:val="18"/>
                <w:szCs w:val="18"/>
              </w:rPr>
            </w:pPr>
            <w:r w:rsidRPr="00E61612">
              <w:rPr>
                <w:color w:val="000000"/>
                <w:sz w:val="20"/>
                <w:szCs w:val="20"/>
              </w:rPr>
              <w:t>IAL-të</w:t>
            </w:r>
          </w:p>
        </w:tc>
        <w:tc>
          <w:tcPr>
            <w:tcW w:w="383" w:type="pct"/>
            <w:shd w:val="clear" w:color="auto" w:fill="FFFFFF"/>
          </w:tcPr>
          <w:p w:rsidR="00B951B1" w:rsidRPr="00E61612" w:rsidRDefault="00B951B1" w:rsidP="00CB78E6">
            <w:pPr>
              <w:spacing w:after="0"/>
              <w:jc w:val="center"/>
              <w:rPr>
                <w:rFonts w:eastAsia="Times New Roman" w:cs="Calibri"/>
                <w:color w:val="000000"/>
                <w:sz w:val="18"/>
                <w:szCs w:val="18"/>
              </w:rPr>
            </w:pPr>
            <w:r w:rsidRPr="00E61612">
              <w:rPr>
                <w:color w:val="000000"/>
                <w:sz w:val="20"/>
                <w:szCs w:val="20"/>
              </w:rPr>
              <w:t>TM2-2022</w:t>
            </w:r>
          </w:p>
        </w:tc>
        <w:tc>
          <w:tcPr>
            <w:tcW w:w="438" w:type="pct"/>
            <w:shd w:val="clear" w:color="auto" w:fill="FFFFFF"/>
          </w:tcPr>
          <w:p w:rsidR="00B951B1" w:rsidRPr="00E61612" w:rsidRDefault="00B951B1" w:rsidP="00CB78E6">
            <w:pPr>
              <w:spacing w:after="0"/>
              <w:jc w:val="center"/>
              <w:rPr>
                <w:rFonts w:eastAsia="Times New Roman" w:cs="Calibri"/>
                <w:color w:val="000000"/>
                <w:sz w:val="18"/>
                <w:szCs w:val="18"/>
              </w:rPr>
            </w:pPr>
            <w:r w:rsidRPr="00E61612">
              <w:rPr>
                <w:color w:val="000000"/>
                <w:sz w:val="20"/>
                <w:szCs w:val="20"/>
              </w:rPr>
              <w:t>TM4-2026</w:t>
            </w:r>
          </w:p>
        </w:tc>
        <w:tc>
          <w:tcPr>
            <w:tcW w:w="462" w:type="pct"/>
            <w:shd w:val="clear" w:color="auto" w:fill="FFFFFF"/>
            <w:noWrap/>
          </w:tcPr>
          <w:p w:rsidR="00B951B1" w:rsidRPr="00E61612" w:rsidRDefault="00B951B1" w:rsidP="00CB78E6">
            <w:pPr>
              <w:spacing w:after="0"/>
              <w:jc w:val="right"/>
              <w:rPr>
                <w:rFonts w:eastAsia="Times New Roman" w:cs="Calibri"/>
                <w:color w:val="000000"/>
                <w:sz w:val="18"/>
                <w:szCs w:val="18"/>
              </w:rPr>
            </w:pPr>
            <w:r w:rsidRPr="00E61612">
              <w:rPr>
                <w:color w:val="000000"/>
                <w:sz w:val="20"/>
                <w:szCs w:val="20"/>
              </w:rPr>
              <w:t>-</w:t>
            </w:r>
          </w:p>
        </w:tc>
        <w:tc>
          <w:tcPr>
            <w:tcW w:w="475" w:type="pct"/>
            <w:shd w:val="clear" w:color="auto" w:fill="FFFFFF"/>
            <w:noWrap/>
          </w:tcPr>
          <w:p w:rsidR="00B951B1" w:rsidRPr="00E61612" w:rsidRDefault="00B951B1" w:rsidP="00CB78E6">
            <w:pPr>
              <w:spacing w:after="0"/>
              <w:jc w:val="right"/>
              <w:rPr>
                <w:rFonts w:eastAsia="Times New Roman" w:cs="Calibri"/>
                <w:color w:val="000000"/>
                <w:sz w:val="18"/>
                <w:szCs w:val="18"/>
              </w:rPr>
            </w:pPr>
            <w:r w:rsidRPr="00E61612">
              <w:rPr>
                <w:color w:val="000000"/>
                <w:sz w:val="20"/>
                <w:szCs w:val="20"/>
              </w:rPr>
              <w:t>-</w:t>
            </w:r>
          </w:p>
        </w:tc>
        <w:tc>
          <w:tcPr>
            <w:tcW w:w="486" w:type="pct"/>
            <w:shd w:val="clear" w:color="auto" w:fill="FFFFFF"/>
            <w:noWrap/>
          </w:tcPr>
          <w:p w:rsidR="00B951B1" w:rsidRPr="00E61612" w:rsidRDefault="00B951B1" w:rsidP="00CB78E6">
            <w:pPr>
              <w:spacing w:after="0"/>
              <w:jc w:val="right"/>
              <w:rPr>
                <w:rFonts w:eastAsia="Times New Roman" w:cs="Calibri"/>
                <w:color w:val="000000"/>
                <w:sz w:val="18"/>
                <w:szCs w:val="18"/>
              </w:rPr>
            </w:pPr>
            <w:r w:rsidRPr="00E61612">
              <w:rPr>
                <w:color w:val="000000"/>
                <w:sz w:val="20"/>
                <w:szCs w:val="20"/>
              </w:rPr>
              <w:t xml:space="preserve">                   -   </w:t>
            </w:r>
          </w:p>
        </w:tc>
        <w:tc>
          <w:tcPr>
            <w:tcW w:w="458" w:type="pct"/>
            <w:shd w:val="clear" w:color="auto" w:fill="FFFFFF"/>
            <w:noWrap/>
          </w:tcPr>
          <w:p w:rsidR="00B951B1" w:rsidRPr="00E61612" w:rsidRDefault="00B951B1" w:rsidP="00CB78E6">
            <w:pPr>
              <w:spacing w:after="0"/>
              <w:jc w:val="right"/>
              <w:rPr>
                <w:rFonts w:eastAsia="Times New Roman" w:cs="Calibri"/>
                <w:color w:val="000000"/>
                <w:sz w:val="18"/>
                <w:szCs w:val="18"/>
              </w:rPr>
            </w:pPr>
            <w:r w:rsidRPr="00E61612">
              <w:rPr>
                <w:color w:val="000000"/>
                <w:sz w:val="20"/>
                <w:szCs w:val="20"/>
              </w:rPr>
              <w:t>-</w:t>
            </w:r>
          </w:p>
        </w:tc>
      </w:tr>
      <w:tr w:rsidR="00B951B1" w:rsidRPr="00E61612" w:rsidTr="00CB78E6">
        <w:trPr>
          <w:trHeight w:val="20"/>
        </w:trPr>
        <w:tc>
          <w:tcPr>
            <w:tcW w:w="310" w:type="pct"/>
            <w:shd w:val="clear" w:color="auto" w:fill="FFFFFF"/>
          </w:tcPr>
          <w:p w:rsidR="00B951B1" w:rsidRPr="00E61612" w:rsidRDefault="00B951B1" w:rsidP="00CB78E6">
            <w:pPr>
              <w:spacing w:after="0"/>
              <w:jc w:val="center"/>
              <w:rPr>
                <w:rFonts w:eastAsia="Times New Roman" w:cs="Calibri"/>
                <w:b/>
                <w:bCs/>
                <w:color w:val="000000"/>
                <w:sz w:val="18"/>
                <w:szCs w:val="18"/>
              </w:rPr>
            </w:pPr>
            <w:r w:rsidRPr="00E61612">
              <w:rPr>
                <w:b/>
                <w:bCs/>
                <w:color w:val="000000"/>
                <w:sz w:val="20"/>
                <w:szCs w:val="20"/>
              </w:rPr>
              <w:t>C3.1.3</w:t>
            </w:r>
          </w:p>
        </w:tc>
        <w:tc>
          <w:tcPr>
            <w:tcW w:w="1002" w:type="pct"/>
            <w:shd w:val="clear" w:color="auto" w:fill="FFFFFF"/>
          </w:tcPr>
          <w:p w:rsidR="00B951B1" w:rsidRPr="00E61612" w:rsidRDefault="00B951B1" w:rsidP="00CB78E6">
            <w:pPr>
              <w:spacing w:after="0"/>
              <w:rPr>
                <w:rFonts w:eastAsia="Times New Roman" w:cs="Calibri"/>
                <w:sz w:val="18"/>
                <w:szCs w:val="18"/>
              </w:rPr>
            </w:pPr>
            <w:r w:rsidRPr="00E61612">
              <w:rPr>
                <w:sz w:val="20"/>
                <w:szCs w:val="20"/>
              </w:rPr>
              <w:t>Krijimi i një regjistri qendror të studentëve të diplomuar në IAL-të shqiptare</w:t>
            </w:r>
          </w:p>
        </w:tc>
        <w:tc>
          <w:tcPr>
            <w:tcW w:w="492" w:type="pct"/>
            <w:shd w:val="clear" w:color="auto" w:fill="FFFFFF"/>
          </w:tcPr>
          <w:p w:rsidR="00B951B1" w:rsidRPr="00E61612" w:rsidRDefault="00B951B1" w:rsidP="00CB78E6">
            <w:pPr>
              <w:spacing w:after="0"/>
              <w:jc w:val="center"/>
              <w:rPr>
                <w:rFonts w:eastAsia="Times New Roman" w:cs="Calibri"/>
                <w:color w:val="000000"/>
                <w:sz w:val="18"/>
                <w:szCs w:val="18"/>
              </w:rPr>
            </w:pPr>
            <w:r w:rsidRPr="00E61612">
              <w:rPr>
                <w:color w:val="000000"/>
                <w:sz w:val="20"/>
                <w:szCs w:val="20"/>
              </w:rPr>
              <w:t>MASR</w:t>
            </w:r>
          </w:p>
        </w:tc>
        <w:tc>
          <w:tcPr>
            <w:tcW w:w="494" w:type="pct"/>
            <w:shd w:val="clear" w:color="auto" w:fill="FFFFFF"/>
          </w:tcPr>
          <w:p w:rsidR="00B951B1" w:rsidRPr="00E61612" w:rsidRDefault="00B951B1" w:rsidP="00CB78E6">
            <w:pPr>
              <w:spacing w:after="0"/>
              <w:jc w:val="center"/>
              <w:rPr>
                <w:rFonts w:eastAsia="Times New Roman" w:cs="Calibri"/>
                <w:color w:val="000000"/>
                <w:sz w:val="18"/>
                <w:szCs w:val="18"/>
              </w:rPr>
            </w:pPr>
            <w:r w:rsidRPr="00E61612">
              <w:rPr>
                <w:color w:val="000000"/>
                <w:sz w:val="20"/>
                <w:szCs w:val="20"/>
              </w:rPr>
              <w:t>QSHA, RASH</w:t>
            </w:r>
          </w:p>
        </w:tc>
        <w:tc>
          <w:tcPr>
            <w:tcW w:w="383" w:type="pct"/>
            <w:shd w:val="clear" w:color="auto" w:fill="FFFFFF"/>
          </w:tcPr>
          <w:p w:rsidR="00B951B1" w:rsidRPr="00E61612" w:rsidRDefault="00B951B1" w:rsidP="00CB78E6">
            <w:pPr>
              <w:spacing w:after="0"/>
              <w:jc w:val="center"/>
              <w:rPr>
                <w:rFonts w:eastAsia="Times New Roman" w:cs="Calibri"/>
                <w:color w:val="000000"/>
                <w:sz w:val="18"/>
                <w:szCs w:val="18"/>
              </w:rPr>
            </w:pPr>
            <w:r w:rsidRPr="00E61612">
              <w:rPr>
                <w:color w:val="000000"/>
                <w:sz w:val="20"/>
                <w:szCs w:val="20"/>
              </w:rPr>
              <w:t>TM2-2022</w:t>
            </w:r>
          </w:p>
        </w:tc>
        <w:tc>
          <w:tcPr>
            <w:tcW w:w="438" w:type="pct"/>
            <w:shd w:val="clear" w:color="auto" w:fill="FFFFFF"/>
          </w:tcPr>
          <w:p w:rsidR="00B951B1" w:rsidRPr="00E61612" w:rsidRDefault="00B951B1" w:rsidP="00CB78E6">
            <w:pPr>
              <w:spacing w:after="0"/>
              <w:jc w:val="center"/>
              <w:rPr>
                <w:rFonts w:eastAsia="Times New Roman" w:cs="Calibri"/>
                <w:color w:val="000000"/>
                <w:sz w:val="18"/>
                <w:szCs w:val="18"/>
              </w:rPr>
            </w:pPr>
            <w:r w:rsidRPr="00E61612">
              <w:rPr>
                <w:color w:val="000000"/>
                <w:sz w:val="20"/>
                <w:szCs w:val="20"/>
              </w:rPr>
              <w:t>TM2-2023</w:t>
            </w:r>
          </w:p>
        </w:tc>
        <w:tc>
          <w:tcPr>
            <w:tcW w:w="462" w:type="pct"/>
            <w:shd w:val="clear" w:color="auto" w:fill="FFFFFF"/>
            <w:noWrap/>
          </w:tcPr>
          <w:p w:rsidR="00B951B1" w:rsidRPr="00E61612" w:rsidRDefault="00B951B1" w:rsidP="00CB78E6">
            <w:pPr>
              <w:spacing w:after="0"/>
              <w:jc w:val="right"/>
              <w:rPr>
                <w:rFonts w:eastAsia="Times New Roman" w:cs="Calibri"/>
                <w:color w:val="000000"/>
                <w:sz w:val="18"/>
                <w:szCs w:val="18"/>
              </w:rPr>
            </w:pPr>
            <w:r w:rsidRPr="00E61612">
              <w:rPr>
                <w:color w:val="000000"/>
                <w:sz w:val="20"/>
                <w:szCs w:val="20"/>
              </w:rPr>
              <w:t>-</w:t>
            </w:r>
          </w:p>
        </w:tc>
        <w:tc>
          <w:tcPr>
            <w:tcW w:w="475" w:type="pct"/>
            <w:shd w:val="clear" w:color="auto" w:fill="FFFFFF"/>
            <w:noWrap/>
          </w:tcPr>
          <w:p w:rsidR="00B951B1" w:rsidRPr="00E61612" w:rsidRDefault="00B951B1" w:rsidP="00CB78E6">
            <w:pPr>
              <w:spacing w:after="0"/>
              <w:jc w:val="right"/>
              <w:rPr>
                <w:rFonts w:eastAsia="Times New Roman" w:cs="Calibri"/>
                <w:color w:val="000000"/>
                <w:sz w:val="18"/>
                <w:szCs w:val="18"/>
              </w:rPr>
            </w:pPr>
            <w:r w:rsidRPr="00E61612">
              <w:rPr>
                <w:color w:val="000000"/>
                <w:sz w:val="20"/>
                <w:szCs w:val="20"/>
              </w:rPr>
              <w:t>-</w:t>
            </w:r>
          </w:p>
        </w:tc>
        <w:tc>
          <w:tcPr>
            <w:tcW w:w="486" w:type="pct"/>
            <w:shd w:val="clear" w:color="auto" w:fill="FFFFFF"/>
            <w:noWrap/>
          </w:tcPr>
          <w:p w:rsidR="00B951B1" w:rsidRPr="00E61612" w:rsidRDefault="00B951B1" w:rsidP="00CB78E6">
            <w:pPr>
              <w:spacing w:after="0"/>
              <w:jc w:val="right"/>
              <w:rPr>
                <w:rFonts w:eastAsia="Times New Roman" w:cs="Calibri"/>
                <w:color w:val="000000"/>
                <w:sz w:val="18"/>
                <w:szCs w:val="18"/>
              </w:rPr>
            </w:pPr>
            <w:r w:rsidRPr="00E61612">
              <w:rPr>
                <w:color w:val="000000"/>
                <w:sz w:val="20"/>
                <w:szCs w:val="20"/>
              </w:rPr>
              <w:t xml:space="preserve">                   -   </w:t>
            </w:r>
          </w:p>
        </w:tc>
        <w:tc>
          <w:tcPr>
            <w:tcW w:w="458" w:type="pct"/>
            <w:shd w:val="clear" w:color="auto" w:fill="FFFFFF"/>
            <w:noWrap/>
          </w:tcPr>
          <w:p w:rsidR="00B951B1" w:rsidRPr="00E61612" w:rsidRDefault="00B951B1" w:rsidP="00CB78E6">
            <w:pPr>
              <w:spacing w:after="0"/>
              <w:jc w:val="right"/>
              <w:rPr>
                <w:rFonts w:eastAsia="Times New Roman" w:cs="Calibri"/>
                <w:color w:val="000000"/>
                <w:sz w:val="18"/>
                <w:szCs w:val="18"/>
              </w:rPr>
            </w:pPr>
            <w:r w:rsidRPr="00E61612">
              <w:rPr>
                <w:color w:val="000000"/>
                <w:sz w:val="20"/>
                <w:szCs w:val="20"/>
              </w:rPr>
              <w:t>-</w:t>
            </w:r>
          </w:p>
        </w:tc>
      </w:tr>
      <w:tr w:rsidR="00B951B1" w:rsidRPr="00E61612" w:rsidTr="00CB78E6">
        <w:trPr>
          <w:trHeight w:val="20"/>
        </w:trPr>
        <w:tc>
          <w:tcPr>
            <w:tcW w:w="310" w:type="pct"/>
            <w:tcBorders>
              <w:bottom w:val="single" w:sz="4" w:space="0" w:color="auto"/>
            </w:tcBorders>
            <w:shd w:val="clear" w:color="auto" w:fill="FFFFFF"/>
          </w:tcPr>
          <w:p w:rsidR="00B951B1" w:rsidRPr="00E61612" w:rsidRDefault="00B951B1" w:rsidP="00CB78E6">
            <w:pPr>
              <w:spacing w:after="0"/>
              <w:jc w:val="center"/>
              <w:rPr>
                <w:rFonts w:eastAsia="Times New Roman" w:cs="Calibri"/>
                <w:b/>
                <w:bCs/>
                <w:color w:val="000000"/>
                <w:sz w:val="18"/>
                <w:szCs w:val="18"/>
              </w:rPr>
            </w:pPr>
            <w:r w:rsidRPr="00E61612">
              <w:rPr>
                <w:b/>
                <w:bCs/>
                <w:color w:val="000000"/>
                <w:sz w:val="20"/>
                <w:szCs w:val="20"/>
              </w:rPr>
              <w:t>C3.1.4</w:t>
            </w:r>
          </w:p>
        </w:tc>
        <w:tc>
          <w:tcPr>
            <w:tcW w:w="1002" w:type="pct"/>
            <w:tcBorders>
              <w:bottom w:val="single" w:sz="4" w:space="0" w:color="auto"/>
            </w:tcBorders>
            <w:shd w:val="clear" w:color="auto" w:fill="FFFFFF"/>
          </w:tcPr>
          <w:p w:rsidR="00B951B1" w:rsidRPr="00E61612" w:rsidRDefault="00B951B1" w:rsidP="00CB78E6">
            <w:pPr>
              <w:spacing w:after="0"/>
              <w:rPr>
                <w:rFonts w:eastAsia="Times New Roman" w:cs="Calibri"/>
                <w:sz w:val="18"/>
                <w:szCs w:val="18"/>
              </w:rPr>
            </w:pPr>
            <w:r w:rsidRPr="00E61612">
              <w:rPr>
                <w:sz w:val="20"/>
                <w:szCs w:val="20"/>
              </w:rPr>
              <w:t xml:space="preserve">Analiza e vazhdueshme e ecurisë së studentëve të diplomuar sipas sektorëve, do të krijojë mundësinë e orientimit të kuotave sipas degëve përkatëse, në raport me kërkesat </w:t>
            </w:r>
          </w:p>
        </w:tc>
        <w:tc>
          <w:tcPr>
            <w:tcW w:w="492" w:type="pct"/>
            <w:tcBorders>
              <w:bottom w:val="single" w:sz="4" w:space="0" w:color="auto"/>
            </w:tcBorders>
            <w:shd w:val="clear" w:color="auto" w:fill="FFFFFF"/>
          </w:tcPr>
          <w:p w:rsidR="00B951B1" w:rsidRPr="00E61612" w:rsidRDefault="00B951B1" w:rsidP="00CB78E6">
            <w:pPr>
              <w:spacing w:after="0"/>
              <w:jc w:val="center"/>
              <w:rPr>
                <w:rFonts w:eastAsia="Times New Roman" w:cs="Calibri"/>
                <w:color w:val="000000"/>
                <w:sz w:val="18"/>
                <w:szCs w:val="18"/>
              </w:rPr>
            </w:pPr>
            <w:r w:rsidRPr="00E61612">
              <w:rPr>
                <w:color w:val="000000"/>
                <w:sz w:val="20"/>
                <w:szCs w:val="20"/>
              </w:rPr>
              <w:t>IAL-të</w:t>
            </w:r>
          </w:p>
        </w:tc>
        <w:tc>
          <w:tcPr>
            <w:tcW w:w="494" w:type="pct"/>
            <w:tcBorders>
              <w:bottom w:val="single" w:sz="4" w:space="0" w:color="auto"/>
            </w:tcBorders>
            <w:shd w:val="clear" w:color="auto" w:fill="FFFFFF"/>
          </w:tcPr>
          <w:p w:rsidR="00B951B1" w:rsidRPr="00E61612" w:rsidRDefault="00B951B1" w:rsidP="00CB78E6">
            <w:pPr>
              <w:spacing w:after="0"/>
              <w:jc w:val="center"/>
              <w:rPr>
                <w:rFonts w:eastAsia="Times New Roman" w:cs="Calibri"/>
                <w:color w:val="000000"/>
                <w:sz w:val="18"/>
                <w:szCs w:val="18"/>
              </w:rPr>
            </w:pPr>
            <w:r w:rsidRPr="00E61612">
              <w:rPr>
                <w:color w:val="000000"/>
                <w:sz w:val="20"/>
                <w:szCs w:val="20"/>
              </w:rPr>
              <w:t>MASR</w:t>
            </w:r>
          </w:p>
        </w:tc>
        <w:tc>
          <w:tcPr>
            <w:tcW w:w="383" w:type="pct"/>
            <w:tcBorders>
              <w:bottom w:val="single" w:sz="4" w:space="0" w:color="auto"/>
            </w:tcBorders>
            <w:shd w:val="clear" w:color="auto" w:fill="FFFFFF"/>
          </w:tcPr>
          <w:p w:rsidR="00B951B1" w:rsidRPr="00E61612" w:rsidRDefault="00B951B1" w:rsidP="00CB78E6">
            <w:pPr>
              <w:spacing w:after="0"/>
              <w:jc w:val="center"/>
              <w:rPr>
                <w:rFonts w:eastAsia="Times New Roman" w:cs="Calibri"/>
                <w:color w:val="000000"/>
                <w:sz w:val="18"/>
                <w:szCs w:val="18"/>
              </w:rPr>
            </w:pPr>
            <w:r w:rsidRPr="00E61612">
              <w:rPr>
                <w:color w:val="000000"/>
                <w:sz w:val="20"/>
                <w:szCs w:val="20"/>
              </w:rPr>
              <w:t>TM1-2022</w:t>
            </w:r>
          </w:p>
        </w:tc>
        <w:tc>
          <w:tcPr>
            <w:tcW w:w="438" w:type="pct"/>
            <w:tcBorders>
              <w:bottom w:val="single" w:sz="4" w:space="0" w:color="auto"/>
            </w:tcBorders>
            <w:shd w:val="clear" w:color="auto" w:fill="FFFFFF"/>
          </w:tcPr>
          <w:p w:rsidR="00B951B1" w:rsidRPr="00E61612" w:rsidRDefault="00B951B1" w:rsidP="00CB78E6">
            <w:pPr>
              <w:spacing w:after="0"/>
              <w:jc w:val="center"/>
              <w:rPr>
                <w:rFonts w:eastAsia="Times New Roman" w:cs="Calibri"/>
                <w:color w:val="000000"/>
                <w:sz w:val="18"/>
                <w:szCs w:val="18"/>
              </w:rPr>
            </w:pPr>
            <w:r w:rsidRPr="00E61612">
              <w:rPr>
                <w:color w:val="000000"/>
                <w:sz w:val="20"/>
                <w:szCs w:val="20"/>
              </w:rPr>
              <w:t>TM4-2026</w:t>
            </w:r>
          </w:p>
        </w:tc>
        <w:tc>
          <w:tcPr>
            <w:tcW w:w="462" w:type="pct"/>
            <w:tcBorders>
              <w:bottom w:val="single" w:sz="4" w:space="0" w:color="auto"/>
            </w:tcBorders>
            <w:shd w:val="clear" w:color="auto" w:fill="FFFFFF"/>
            <w:noWrap/>
          </w:tcPr>
          <w:p w:rsidR="00B951B1" w:rsidRPr="00E61612" w:rsidRDefault="00B951B1" w:rsidP="00CB78E6">
            <w:pPr>
              <w:spacing w:after="0"/>
              <w:jc w:val="right"/>
              <w:rPr>
                <w:rFonts w:eastAsia="Times New Roman" w:cs="Calibri"/>
                <w:color w:val="000000"/>
                <w:sz w:val="18"/>
                <w:szCs w:val="18"/>
              </w:rPr>
            </w:pPr>
            <w:r w:rsidRPr="00E61612">
              <w:rPr>
                <w:color w:val="000000"/>
                <w:sz w:val="20"/>
                <w:szCs w:val="20"/>
              </w:rPr>
              <w:t>4,800</w:t>
            </w:r>
          </w:p>
        </w:tc>
        <w:tc>
          <w:tcPr>
            <w:tcW w:w="475" w:type="pct"/>
            <w:tcBorders>
              <w:bottom w:val="single" w:sz="4" w:space="0" w:color="auto"/>
            </w:tcBorders>
            <w:shd w:val="clear" w:color="auto" w:fill="FFFFFF"/>
            <w:noWrap/>
          </w:tcPr>
          <w:p w:rsidR="00B951B1" w:rsidRPr="00E61612" w:rsidRDefault="00B951B1" w:rsidP="00CB78E6">
            <w:pPr>
              <w:spacing w:after="0"/>
              <w:jc w:val="right"/>
              <w:rPr>
                <w:rFonts w:eastAsia="Times New Roman" w:cs="Calibri"/>
                <w:color w:val="000000"/>
                <w:sz w:val="18"/>
                <w:szCs w:val="18"/>
              </w:rPr>
            </w:pPr>
            <w:r w:rsidRPr="00E61612">
              <w:rPr>
                <w:color w:val="000000"/>
                <w:sz w:val="20"/>
                <w:szCs w:val="20"/>
              </w:rPr>
              <w:t>-</w:t>
            </w:r>
          </w:p>
        </w:tc>
        <w:tc>
          <w:tcPr>
            <w:tcW w:w="486" w:type="pct"/>
            <w:tcBorders>
              <w:bottom w:val="single" w:sz="4" w:space="0" w:color="auto"/>
            </w:tcBorders>
            <w:shd w:val="clear" w:color="auto" w:fill="FFFFFF"/>
            <w:noWrap/>
          </w:tcPr>
          <w:p w:rsidR="00B951B1" w:rsidRPr="00E61612" w:rsidRDefault="00B951B1" w:rsidP="00CB78E6">
            <w:pPr>
              <w:spacing w:after="0"/>
              <w:jc w:val="right"/>
              <w:rPr>
                <w:rFonts w:eastAsia="Times New Roman" w:cs="Calibri"/>
                <w:color w:val="000000"/>
                <w:sz w:val="18"/>
                <w:szCs w:val="18"/>
              </w:rPr>
            </w:pPr>
            <w:r w:rsidRPr="00E61612">
              <w:rPr>
                <w:color w:val="000000"/>
                <w:sz w:val="20"/>
                <w:szCs w:val="20"/>
              </w:rPr>
              <w:t xml:space="preserve">            4,800 </w:t>
            </w:r>
          </w:p>
        </w:tc>
        <w:tc>
          <w:tcPr>
            <w:tcW w:w="458" w:type="pct"/>
            <w:tcBorders>
              <w:bottom w:val="single" w:sz="4" w:space="0" w:color="auto"/>
            </w:tcBorders>
            <w:shd w:val="clear" w:color="auto" w:fill="FFFFFF"/>
            <w:noWrap/>
          </w:tcPr>
          <w:p w:rsidR="00B951B1" w:rsidRPr="00E61612" w:rsidRDefault="00B951B1" w:rsidP="00CB78E6">
            <w:pPr>
              <w:spacing w:after="0"/>
              <w:jc w:val="right"/>
              <w:rPr>
                <w:rFonts w:eastAsia="Times New Roman" w:cs="Calibri"/>
                <w:color w:val="000000"/>
                <w:sz w:val="18"/>
                <w:szCs w:val="18"/>
              </w:rPr>
            </w:pPr>
            <w:r w:rsidRPr="00E61612">
              <w:rPr>
                <w:color w:val="000000"/>
                <w:sz w:val="20"/>
                <w:szCs w:val="20"/>
              </w:rPr>
              <w:t>-</w:t>
            </w:r>
          </w:p>
        </w:tc>
      </w:tr>
      <w:tr w:rsidR="00B951B1" w:rsidRPr="00E61612" w:rsidTr="00CB78E6">
        <w:trPr>
          <w:trHeight w:val="20"/>
        </w:trPr>
        <w:tc>
          <w:tcPr>
            <w:tcW w:w="310" w:type="pct"/>
            <w:shd w:val="clear" w:color="auto" w:fill="FFFFFF"/>
          </w:tcPr>
          <w:p w:rsidR="00B951B1" w:rsidRPr="00E61612" w:rsidRDefault="00B951B1" w:rsidP="00CB78E6">
            <w:pPr>
              <w:spacing w:after="0"/>
              <w:jc w:val="center"/>
              <w:rPr>
                <w:rFonts w:eastAsia="Times New Roman" w:cs="Calibri"/>
                <w:b/>
                <w:bCs/>
                <w:color w:val="000000"/>
                <w:sz w:val="18"/>
                <w:szCs w:val="18"/>
              </w:rPr>
            </w:pPr>
            <w:r w:rsidRPr="00E61612">
              <w:rPr>
                <w:b/>
                <w:bCs/>
                <w:color w:val="000000"/>
                <w:sz w:val="20"/>
                <w:szCs w:val="20"/>
              </w:rPr>
              <w:t>C3.1.5</w:t>
            </w:r>
          </w:p>
        </w:tc>
        <w:tc>
          <w:tcPr>
            <w:tcW w:w="1002" w:type="pct"/>
            <w:shd w:val="clear" w:color="auto" w:fill="FFFFFF"/>
          </w:tcPr>
          <w:p w:rsidR="00B951B1" w:rsidRPr="00E61612" w:rsidRDefault="00B951B1" w:rsidP="00CB78E6">
            <w:pPr>
              <w:spacing w:after="0"/>
              <w:rPr>
                <w:rFonts w:eastAsia="Times New Roman" w:cs="Calibri"/>
                <w:sz w:val="18"/>
                <w:szCs w:val="18"/>
              </w:rPr>
            </w:pPr>
            <w:r w:rsidRPr="00E61612">
              <w:rPr>
                <w:sz w:val="20"/>
                <w:szCs w:val="20"/>
              </w:rPr>
              <w:t>Ofrimi i programeve të formimit të vazhdu</w:t>
            </w:r>
            <w:r>
              <w:rPr>
                <w:sz w:val="20"/>
                <w:szCs w:val="20"/>
              </w:rPr>
              <w:t>eshëm</w:t>
            </w:r>
          </w:p>
        </w:tc>
        <w:tc>
          <w:tcPr>
            <w:tcW w:w="492" w:type="pct"/>
            <w:shd w:val="clear" w:color="auto" w:fill="FFFFFF"/>
          </w:tcPr>
          <w:p w:rsidR="00B951B1" w:rsidRPr="00E61612" w:rsidRDefault="00B951B1" w:rsidP="00CB78E6">
            <w:pPr>
              <w:spacing w:after="0"/>
              <w:jc w:val="center"/>
              <w:rPr>
                <w:rFonts w:eastAsia="Times New Roman" w:cs="Calibri"/>
                <w:color w:val="000000"/>
                <w:sz w:val="18"/>
                <w:szCs w:val="18"/>
              </w:rPr>
            </w:pPr>
            <w:r w:rsidRPr="00E61612">
              <w:rPr>
                <w:color w:val="000000"/>
                <w:sz w:val="20"/>
                <w:szCs w:val="20"/>
              </w:rPr>
              <w:t>IAlL-të</w:t>
            </w:r>
          </w:p>
        </w:tc>
        <w:tc>
          <w:tcPr>
            <w:tcW w:w="494" w:type="pct"/>
            <w:shd w:val="clear" w:color="auto" w:fill="FFFFFF"/>
          </w:tcPr>
          <w:p w:rsidR="00B951B1" w:rsidRPr="00E61612" w:rsidRDefault="00B951B1" w:rsidP="00CB78E6">
            <w:pPr>
              <w:spacing w:after="0"/>
              <w:jc w:val="center"/>
              <w:rPr>
                <w:rFonts w:eastAsia="Times New Roman" w:cs="Calibri"/>
                <w:color w:val="000000"/>
                <w:sz w:val="18"/>
                <w:szCs w:val="18"/>
              </w:rPr>
            </w:pPr>
            <w:r w:rsidRPr="00E61612">
              <w:rPr>
                <w:color w:val="000000"/>
                <w:sz w:val="20"/>
                <w:szCs w:val="20"/>
              </w:rPr>
              <w:t>MASR</w:t>
            </w:r>
          </w:p>
        </w:tc>
        <w:tc>
          <w:tcPr>
            <w:tcW w:w="383" w:type="pct"/>
            <w:shd w:val="clear" w:color="auto" w:fill="FFFFFF"/>
          </w:tcPr>
          <w:p w:rsidR="00B951B1" w:rsidRPr="00E61612" w:rsidRDefault="00B951B1" w:rsidP="00CB78E6">
            <w:pPr>
              <w:spacing w:after="0"/>
              <w:jc w:val="center"/>
              <w:rPr>
                <w:rFonts w:eastAsia="Times New Roman" w:cs="Calibri"/>
                <w:color w:val="000000"/>
                <w:sz w:val="18"/>
                <w:szCs w:val="18"/>
              </w:rPr>
            </w:pPr>
            <w:r w:rsidRPr="00E61612">
              <w:rPr>
                <w:color w:val="000000"/>
                <w:sz w:val="20"/>
                <w:szCs w:val="20"/>
              </w:rPr>
              <w:t>TM3-2022</w:t>
            </w:r>
          </w:p>
        </w:tc>
        <w:tc>
          <w:tcPr>
            <w:tcW w:w="438" w:type="pct"/>
            <w:shd w:val="clear" w:color="auto" w:fill="FFFFFF"/>
          </w:tcPr>
          <w:p w:rsidR="00B951B1" w:rsidRPr="00E61612" w:rsidRDefault="00B951B1" w:rsidP="00CB78E6">
            <w:pPr>
              <w:spacing w:after="0"/>
              <w:jc w:val="center"/>
              <w:rPr>
                <w:rFonts w:eastAsia="Times New Roman" w:cs="Calibri"/>
                <w:color w:val="000000"/>
                <w:sz w:val="18"/>
                <w:szCs w:val="18"/>
              </w:rPr>
            </w:pPr>
            <w:r w:rsidRPr="00E61612">
              <w:rPr>
                <w:color w:val="000000"/>
                <w:sz w:val="20"/>
                <w:szCs w:val="20"/>
              </w:rPr>
              <w:t>TM4-2026</w:t>
            </w:r>
          </w:p>
        </w:tc>
        <w:tc>
          <w:tcPr>
            <w:tcW w:w="462" w:type="pct"/>
            <w:shd w:val="clear" w:color="auto" w:fill="FFFFFF"/>
            <w:noWrap/>
          </w:tcPr>
          <w:p w:rsidR="00B951B1" w:rsidRPr="00E61612" w:rsidRDefault="00B951B1" w:rsidP="00CB78E6">
            <w:pPr>
              <w:spacing w:after="0"/>
              <w:jc w:val="right"/>
              <w:rPr>
                <w:rFonts w:eastAsia="Times New Roman" w:cs="Calibri"/>
                <w:color w:val="000000"/>
                <w:sz w:val="18"/>
                <w:szCs w:val="18"/>
              </w:rPr>
            </w:pPr>
            <w:r w:rsidRPr="00E61612">
              <w:rPr>
                <w:color w:val="000000"/>
                <w:sz w:val="20"/>
                <w:szCs w:val="20"/>
              </w:rPr>
              <w:t>-</w:t>
            </w:r>
          </w:p>
        </w:tc>
        <w:tc>
          <w:tcPr>
            <w:tcW w:w="475" w:type="pct"/>
            <w:shd w:val="clear" w:color="auto" w:fill="FFFFFF"/>
            <w:noWrap/>
          </w:tcPr>
          <w:p w:rsidR="00B951B1" w:rsidRPr="00E61612" w:rsidRDefault="00B951B1" w:rsidP="00CB78E6">
            <w:pPr>
              <w:spacing w:after="0"/>
              <w:jc w:val="right"/>
              <w:rPr>
                <w:rFonts w:eastAsia="Times New Roman" w:cs="Calibri"/>
                <w:color w:val="000000"/>
                <w:sz w:val="18"/>
                <w:szCs w:val="18"/>
              </w:rPr>
            </w:pPr>
            <w:r w:rsidRPr="00E61612">
              <w:rPr>
                <w:color w:val="000000"/>
                <w:sz w:val="20"/>
                <w:szCs w:val="20"/>
              </w:rPr>
              <w:t>-</w:t>
            </w:r>
          </w:p>
        </w:tc>
        <w:tc>
          <w:tcPr>
            <w:tcW w:w="486" w:type="pct"/>
            <w:shd w:val="clear" w:color="auto" w:fill="FFFFFF"/>
            <w:noWrap/>
          </w:tcPr>
          <w:p w:rsidR="00B951B1" w:rsidRPr="00E61612" w:rsidRDefault="00B951B1" w:rsidP="00CB78E6">
            <w:pPr>
              <w:spacing w:after="0"/>
              <w:jc w:val="right"/>
              <w:rPr>
                <w:rFonts w:eastAsia="Times New Roman" w:cs="Calibri"/>
                <w:color w:val="000000"/>
                <w:sz w:val="18"/>
                <w:szCs w:val="18"/>
              </w:rPr>
            </w:pPr>
            <w:r w:rsidRPr="00E61612">
              <w:rPr>
                <w:color w:val="000000"/>
                <w:sz w:val="20"/>
                <w:szCs w:val="20"/>
              </w:rPr>
              <w:t xml:space="preserve">                   -   </w:t>
            </w:r>
          </w:p>
        </w:tc>
        <w:tc>
          <w:tcPr>
            <w:tcW w:w="458" w:type="pct"/>
            <w:shd w:val="clear" w:color="auto" w:fill="FFFFFF"/>
            <w:noWrap/>
          </w:tcPr>
          <w:p w:rsidR="00B951B1" w:rsidRPr="00E61612" w:rsidRDefault="00B951B1" w:rsidP="00CB78E6">
            <w:pPr>
              <w:spacing w:after="0"/>
              <w:jc w:val="right"/>
              <w:rPr>
                <w:rFonts w:eastAsia="Times New Roman" w:cs="Calibri"/>
                <w:color w:val="000000"/>
                <w:sz w:val="18"/>
                <w:szCs w:val="18"/>
              </w:rPr>
            </w:pPr>
            <w:r w:rsidRPr="00E61612">
              <w:rPr>
                <w:color w:val="000000"/>
                <w:sz w:val="20"/>
                <w:szCs w:val="20"/>
              </w:rPr>
              <w:t>-</w:t>
            </w:r>
          </w:p>
        </w:tc>
      </w:tr>
      <w:tr w:rsidR="00B951B1" w:rsidRPr="00E61612" w:rsidTr="00CB78E6">
        <w:trPr>
          <w:trHeight w:val="20"/>
        </w:trPr>
        <w:tc>
          <w:tcPr>
            <w:tcW w:w="310" w:type="pct"/>
            <w:tcBorders>
              <w:bottom w:val="single" w:sz="4" w:space="0" w:color="auto"/>
            </w:tcBorders>
            <w:shd w:val="clear" w:color="auto" w:fill="FFFFFF"/>
          </w:tcPr>
          <w:p w:rsidR="00B951B1" w:rsidRPr="00E61612" w:rsidRDefault="00B951B1" w:rsidP="00CB78E6">
            <w:pPr>
              <w:spacing w:after="0"/>
              <w:jc w:val="center"/>
              <w:rPr>
                <w:rFonts w:eastAsia="Times New Roman" w:cs="Calibri"/>
                <w:b/>
                <w:bCs/>
                <w:color w:val="000000"/>
                <w:sz w:val="18"/>
                <w:szCs w:val="18"/>
              </w:rPr>
            </w:pPr>
            <w:r w:rsidRPr="00E61612">
              <w:rPr>
                <w:b/>
                <w:bCs/>
                <w:color w:val="000000"/>
                <w:sz w:val="20"/>
                <w:szCs w:val="20"/>
              </w:rPr>
              <w:t>C3.1.6</w:t>
            </w:r>
          </w:p>
        </w:tc>
        <w:tc>
          <w:tcPr>
            <w:tcW w:w="1002" w:type="pct"/>
            <w:tcBorders>
              <w:bottom w:val="single" w:sz="4" w:space="0" w:color="auto"/>
            </w:tcBorders>
            <w:shd w:val="clear" w:color="auto" w:fill="FFFFFF"/>
          </w:tcPr>
          <w:p w:rsidR="00B951B1" w:rsidRPr="00E61612" w:rsidRDefault="00B951B1" w:rsidP="00CB78E6">
            <w:pPr>
              <w:spacing w:after="0"/>
              <w:rPr>
                <w:rFonts w:eastAsia="Times New Roman" w:cs="Calibri"/>
                <w:sz w:val="18"/>
                <w:szCs w:val="18"/>
              </w:rPr>
            </w:pPr>
            <w:r w:rsidRPr="00E61612">
              <w:rPr>
                <w:sz w:val="20"/>
                <w:szCs w:val="20"/>
              </w:rPr>
              <w:t>Krijimi i projekteve të përbashkëta të bashkëpunimit midis shoqatave të biznesit dhe universiteteve</w:t>
            </w:r>
          </w:p>
        </w:tc>
        <w:tc>
          <w:tcPr>
            <w:tcW w:w="492" w:type="pct"/>
            <w:tcBorders>
              <w:bottom w:val="single" w:sz="4" w:space="0" w:color="auto"/>
            </w:tcBorders>
            <w:shd w:val="clear" w:color="auto" w:fill="FFFFFF"/>
          </w:tcPr>
          <w:p w:rsidR="00B951B1" w:rsidRPr="00E61612" w:rsidRDefault="00B951B1" w:rsidP="00CB78E6">
            <w:pPr>
              <w:spacing w:after="0"/>
              <w:jc w:val="center"/>
              <w:rPr>
                <w:rFonts w:eastAsia="Times New Roman" w:cs="Calibri"/>
                <w:color w:val="000000"/>
                <w:sz w:val="18"/>
                <w:szCs w:val="18"/>
              </w:rPr>
            </w:pPr>
            <w:r w:rsidRPr="00E61612">
              <w:rPr>
                <w:color w:val="000000"/>
                <w:sz w:val="20"/>
                <w:szCs w:val="20"/>
              </w:rPr>
              <w:t>IAlL-të</w:t>
            </w:r>
          </w:p>
        </w:tc>
        <w:tc>
          <w:tcPr>
            <w:tcW w:w="494" w:type="pct"/>
            <w:tcBorders>
              <w:bottom w:val="single" w:sz="4" w:space="0" w:color="auto"/>
            </w:tcBorders>
            <w:shd w:val="clear" w:color="auto" w:fill="FFFFFF"/>
          </w:tcPr>
          <w:p w:rsidR="00B951B1" w:rsidRPr="00E61612" w:rsidRDefault="00B951B1" w:rsidP="00CB78E6">
            <w:pPr>
              <w:spacing w:after="0"/>
              <w:jc w:val="center"/>
              <w:rPr>
                <w:rFonts w:eastAsia="Times New Roman" w:cs="Calibri"/>
                <w:color w:val="000000"/>
                <w:sz w:val="18"/>
                <w:szCs w:val="18"/>
              </w:rPr>
            </w:pPr>
            <w:r w:rsidRPr="00E61612">
              <w:rPr>
                <w:color w:val="000000"/>
                <w:sz w:val="20"/>
                <w:szCs w:val="20"/>
              </w:rPr>
              <w:t>MASR</w:t>
            </w:r>
          </w:p>
        </w:tc>
        <w:tc>
          <w:tcPr>
            <w:tcW w:w="383" w:type="pct"/>
            <w:tcBorders>
              <w:bottom w:val="single" w:sz="4" w:space="0" w:color="auto"/>
            </w:tcBorders>
            <w:shd w:val="clear" w:color="auto" w:fill="FFFFFF"/>
          </w:tcPr>
          <w:p w:rsidR="00B951B1" w:rsidRPr="00E61612" w:rsidRDefault="00B951B1" w:rsidP="00CB78E6">
            <w:pPr>
              <w:spacing w:after="0"/>
              <w:jc w:val="center"/>
              <w:rPr>
                <w:rFonts w:eastAsia="Times New Roman" w:cs="Calibri"/>
                <w:color w:val="000000"/>
                <w:sz w:val="18"/>
                <w:szCs w:val="18"/>
              </w:rPr>
            </w:pPr>
            <w:r w:rsidRPr="00E61612">
              <w:rPr>
                <w:color w:val="000000"/>
                <w:sz w:val="20"/>
                <w:szCs w:val="20"/>
              </w:rPr>
              <w:t>TM1-2021</w:t>
            </w:r>
          </w:p>
        </w:tc>
        <w:tc>
          <w:tcPr>
            <w:tcW w:w="438" w:type="pct"/>
            <w:tcBorders>
              <w:bottom w:val="single" w:sz="4" w:space="0" w:color="auto"/>
            </w:tcBorders>
            <w:shd w:val="clear" w:color="auto" w:fill="FFFFFF"/>
          </w:tcPr>
          <w:p w:rsidR="00B951B1" w:rsidRPr="00E61612" w:rsidRDefault="00B951B1" w:rsidP="00CB78E6">
            <w:pPr>
              <w:spacing w:after="0"/>
              <w:jc w:val="center"/>
              <w:rPr>
                <w:rFonts w:eastAsia="Times New Roman" w:cs="Calibri"/>
                <w:color w:val="000000"/>
                <w:sz w:val="18"/>
                <w:szCs w:val="18"/>
              </w:rPr>
            </w:pPr>
            <w:r w:rsidRPr="00E61612">
              <w:rPr>
                <w:color w:val="000000"/>
                <w:sz w:val="20"/>
                <w:szCs w:val="20"/>
              </w:rPr>
              <w:t>TM4-2026</w:t>
            </w:r>
          </w:p>
        </w:tc>
        <w:tc>
          <w:tcPr>
            <w:tcW w:w="462" w:type="pct"/>
            <w:tcBorders>
              <w:bottom w:val="single" w:sz="4" w:space="0" w:color="auto"/>
            </w:tcBorders>
            <w:shd w:val="clear" w:color="auto" w:fill="FFFFFF"/>
            <w:noWrap/>
          </w:tcPr>
          <w:p w:rsidR="00B951B1" w:rsidRPr="00E61612" w:rsidRDefault="00B951B1" w:rsidP="00CB78E6">
            <w:pPr>
              <w:spacing w:after="0"/>
              <w:jc w:val="right"/>
              <w:rPr>
                <w:rFonts w:eastAsia="Times New Roman" w:cs="Calibri"/>
                <w:color w:val="000000"/>
                <w:sz w:val="18"/>
                <w:szCs w:val="18"/>
              </w:rPr>
            </w:pPr>
            <w:r w:rsidRPr="00E61612">
              <w:rPr>
                <w:color w:val="000000"/>
                <w:sz w:val="20"/>
                <w:szCs w:val="20"/>
              </w:rPr>
              <w:t>-</w:t>
            </w:r>
          </w:p>
        </w:tc>
        <w:tc>
          <w:tcPr>
            <w:tcW w:w="475" w:type="pct"/>
            <w:tcBorders>
              <w:bottom w:val="single" w:sz="4" w:space="0" w:color="auto"/>
            </w:tcBorders>
            <w:shd w:val="clear" w:color="auto" w:fill="FFFFFF"/>
            <w:noWrap/>
          </w:tcPr>
          <w:p w:rsidR="00B951B1" w:rsidRPr="00E61612" w:rsidRDefault="00B951B1" w:rsidP="00CB78E6">
            <w:pPr>
              <w:spacing w:after="0"/>
              <w:jc w:val="right"/>
              <w:rPr>
                <w:rFonts w:eastAsia="Times New Roman" w:cs="Calibri"/>
                <w:color w:val="000000"/>
                <w:sz w:val="18"/>
                <w:szCs w:val="18"/>
              </w:rPr>
            </w:pPr>
            <w:r w:rsidRPr="00E61612">
              <w:rPr>
                <w:color w:val="000000"/>
                <w:sz w:val="20"/>
                <w:szCs w:val="20"/>
              </w:rPr>
              <w:t>-</w:t>
            </w:r>
          </w:p>
        </w:tc>
        <w:tc>
          <w:tcPr>
            <w:tcW w:w="486" w:type="pct"/>
            <w:tcBorders>
              <w:bottom w:val="single" w:sz="4" w:space="0" w:color="auto"/>
            </w:tcBorders>
            <w:shd w:val="clear" w:color="auto" w:fill="FFFFFF"/>
            <w:noWrap/>
          </w:tcPr>
          <w:p w:rsidR="00B951B1" w:rsidRPr="00E61612" w:rsidRDefault="00B951B1" w:rsidP="00CB78E6">
            <w:pPr>
              <w:spacing w:after="0"/>
              <w:jc w:val="right"/>
              <w:rPr>
                <w:rFonts w:eastAsia="Times New Roman" w:cs="Calibri"/>
                <w:color w:val="000000"/>
                <w:sz w:val="18"/>
                <w:szCs w:val="18"/>
              </w:rPr>
            </w:pPr>
            <w:r w:rsidRPr="00E61612">
              <w:rPr>
                <w:color w:val="000000"/>
                <w:sz w:val="20"/>
                <w:szCs w:val="20"/>
              </w:rPr>
              <w:t xml:space="preserve">                   -   </w:t>
            </w:r>
          </w:p>
        </w:tc>
        <w:tc>
          <w:tcPr>
            <w:tcW w:w="458" w:type="pct"/>
            <w:tcBorders>
              <w:bottom w:val="single" w:sz="4" w:space="0" w:color="auto"/>
            </w:tcBorders>
            <w:shd w:val="clear" w:color="auto" w:fill="FFFFFF"/>
            <w:noWrap/>
          </w:tcPr>
          <w:p w:rsidR="00B951B1" w:rsidRPr="00E61612" w:rsidRDefault="00B951B1" w:rsidP="00CB78E6">
            <w:pPr>
              <w:spacing w:after="0"/>
              <w:jc w:val="right"/>
              <w:rPr>
                <w:rFonts w:eastAsia="Times New Roman" w:cs="Calibri"/>
                <w:color w:val="000000"/>
                <w:sz w:val="18"/>
                <w:szCs w:val="18"/>
              </w:rPr>
            </w:pPr>
            <w:r w:rsidRPr="00E61612">
              <w:rPr>
                <w:color w:val="000000"/>
                <w:sz w:val="20"/>
                <w:szCs w:val="20"/>
              </w:rPr>
              <w:t>-</w:t>
            </w:r>
          </w:p>
        </w:tc>
      </w:tr>
      <w:tr w:rsidR="00B951B1" w:rsidRPr="00E61612" w:rsidTr="00CB78E6">
        <w:trPr>
          <w:trHeight w:val="20"/>
        </w:trPr>
        <w:tc>
          <w:tcPr>
            <w:tcW w:w="310" w:type="pct"/>
            <w:shd w:val="clear" w:color="auto" w:fill="D9D9D9"/>
          </w:tcPr>
          <w:p w:rsidR="00B951B1" w:rsidRPr="00E61612" w:rsidRDefault="00B951B1" w:rsidP="00CB78E6">
            <w:pPr>
              <w:spacing w:after="0"/>
              <w:jc w:val="center"/>
              <w:rPr>
                <w:rFonts w:eastAsia="Times New Roman" w:cs="Calibri"/>
                <w:b/>
                <w:bCs/>
                <w:color w:val="000000"/>
                <w:sz w:val="18"/>
                <w:szCs w:val="18"/>
              </w:rPr>
            </w:pPr>
            <w:r w:rsidRPr="00E61612">
              <w:rPr>
                <w:b/>
                <w:bCs/>
                <w:color w:val="000000"/>
                <w:sz w:val="20"/>
                <w:szCs w:val="20"/>
              </w:rPr>
              <w:t>C3.2</w:t>
            </w:r>
          </w:p>
        </w:tc>
        <w:tc>
          <w:tcPr>
            <w:tcW w:w="1002" w:type="pct"/>
            <w:shd w:val="clear" w:color="auto" w:fill="D9D9D9"/>
          </w:tcPr>
          <w:p w:rsidR="00B951B1" w:rsidRPr="00E61612" w:rsidRDefault="00B951B1" w:rsidP="00CB78E6">
            <w:pPr>
              <w:spacing w:after="0"/>
              <w:rPr>
                <w:rFonts w:eastAsia="Times New Roman" w:cs="Calibri"/>
                <w:sz w:val="18"/>
                <w:szCs w:val="18"/>
              </w:rPr>
            </w:pPr>
            <w:r w:rsidRPr="00E61612">
              <w:rPr>
                <w:sz w:val="20"/>
                <w:szCs w:val="20"/>
              </w:rPr>
              <w:t>Rritja e mundësive për punë praktike në studimet e larta</w:t>
            </w:r>
          </w:p>
        </w:tc>
        <w:tc>
          <w:tcPr>
            <w:tcW w:w="492" w:type="pct"/>
            <w:shd w:val="clear" w:color="auto" w:fill="D9D9D9"/>
          </w:tcPr>
          <w:p w:rsidR="00B951B1" w:rsidRPr="00E61612" w:rsidRDefault="00B951B1" w:rsidP="00CB78E6">
            <w:pPr>
              <w:spacing w:after="0"/>
              <w:jc w:val="center"/>
              <w:rPr>
                <w:rFonts w:eastAsia="Times New Roman" w:cs="Calibri"/>
                <w:color w:val="000000"/>
                <w:sz w:val="18"/>
                <w:szCs w:val="18"/>
              </w:rPr>
            </w:pPr>
            <w:r w:rsidRPr="00E61612">
              <w:rPr>
                <w:color w:val="000000"/>
                <w:sz w:val="20"/>
                <w:szCs w:val="20"/>
              </w:rPr>
              <w:t>IAL-të</w:t>
            </w:r>
          </w:p>
        </w:tc>
        <w:tc>
          <w:tcPr>
            <w:tcW w:w="494" w:type="pct"/>
            <w:shd w:val="clear" w:color="auto" w:fill="D9D9D9"/>
          </w:tcPr>
          <w:p w:rsidR="00B951B1" w:rsidRPr="00E61612" w:rsidRDefault="00B951B1" w:rsidP="00CB78E6">
            <w:pPr>
              <w:spacing w:after="0"/>
              <w:jc w:val="center"/>
              <w:rPr>
                <w:rFonts w:eastAsia="Times New Roman" w:cs="Calibri"/>
                <w:color w:val="000000"/>
                <w:sz w:val="18"/>
                <w:szCs w:val="18"/>
              </w:rPr>
            </w:pPr>
            <w:r w:rsidRPr="00E61612">
              <w:rPr>
                <w:color w:val="000000"/>
                <w:sz w:val="20"/>
                <w:szCs w:val="20"/>
              </w:rPr>
              <w:t> </w:t>
            </w:r>
          </w:p>
        </w:tc>
        <w:tc>
          <w:tcPr>
            <w:tcW w:w="383" w:type="pct"/>
            <w:shd w:val="clear" w:color="auto" w:fill="D9D9D9"/>
          </w:tcPr>
          <w:p w:rsidR="00B951B1" w:rsidRPr="00E61612" w:rsidRDefault="00B951B1" w:rsidP="00CB78E6">
            <w:pPr>
              <w:spacing w:after="0"/>
              <w:jc w:val="center"/>
              <w:rPr>
                <w:rFonts w:eastAsia="Times New Roman" w:cs="Calibri"/>
                <w:color w:val="000000"/>
                <w:sz w:val="18"/>
                <w:szCs w:val="18"/>
              </w:rPr>
            </w:pPr>
            <w:r w:rsidRPr="00E61612">
              <w:rPr>
                <w:color w:val="000000"/>
                <w:sz w:val="20"/>
                <w:szCs w:val="20"/>
              </w:rPr>
              <w:t>TM3-2022</w:t>
            </w:r>
          </w:p>
        </w:tc>
        <w:tc>
          <w:tcPr>
            <w:tcW w:w="438" w:type="pct"/>
            <w:shd w:val="clear" w:color="auto" w:fill="D9D9D9"/>
          </w:tcPr>
          <w:p w:rsidR="00B951B1" w:rsidRPr="00E61612" w:rsidRDefault="00B951B1" w:rsidP="00CB78E6">
            <w:pPr>
              <w:spacing w:after="0"/>
              <w:jc w:val="center"/>
              <w:rPr>
                <w:rFonts w:eastAsia="Times New Roman" w:cs="Calibri"/>
                <w:color w:val="000000"/>
                <w:sz w:val="18"/>
                <w:szCs w:val="18"/>
              </w:rPr>
            </w:pPr>
            <w:r w:rsidRPr="00E61612">
              <w:rPr>
                <w:color w:val="000000"/>
                <w:sz w:val="20"/>
                <w:szCs w:val="20"/>
              </w:rPr>
              <w:t>TM3-2026</w:t>
            </w:r>
          </w:p>
        </w:tc>
        <w:tc>
          <w:tcPr>
            <w:tcW w:w="462" w:type="pct"/>
            <w:shd w:val="clear" w:color="auto" w:fill="D9D9D9"/>
            <w:noWrap/>
          </w:tcPr>
          <w:p w:rsidR="00B951B1" w:rsidRPr="00E61612" w:rsidRDefault="00B951B1" w:rsidP="00CB78E6">
            <w:pPr>
              <w:spacing w:after="0"/>
              <w:jc w:val="right"/>
              <w:rPr>
                <w:rFonts w:eastAsia="Times New Roman" w:cs="Calibri"/>
                <w:color w:val="000000"/>
                <w:sz w:val="18"/>
                <w:szCs w:val="18"/>
              </w:rPr>
            </w:pPr>
            <w:r w:rsidRPr="00E61612">
              <w:rPr>
                <w:color w:val="000000"/>
                <w:sz w:val="20"/>
                <w:szCs w:val="20"/>
              </w:rPr>
              <w:t>-</w:t>
            </w:r>
          </w:p>
        </w:tc>
        <w:tc>
          <w:tcPr>
            <w:tcW w:w="475" w:type="pct"/>
            <w:shd w:val="clear" w:color="auto" w:fill="D9D9D9"/>
            <w:noWrap/>
          </w:tcPr>
          <w:p w:rsidR="00B951B1" w:rsidRPr="00E61612" w:rsidRDefault="00B951B1" w:rsidP="00CB78E6">
            <w:pPr>
              <w:spacing w:after="0"/>
              <w:jc w:val="right"/>
              <w:rPr>
                <w:rFonts w:eastAsia="Times New Roman" w:cs="Calibri"/>
                <w:color w:val="000000"/>
                <w:sz w:val="18"/>
                <w:szCs w:val="18"/>
              </w:rPr>
            </w:pPr>
            <w:r w:rsidRPr="00E61612">
              <w:rPr>
                <w:color w:val="000000"/>
                <w:sz w:val="20"/>
                <w:szCs w:val="20"/>
              </w:rPr>
              <w:t>-</w:t>
            </w:r>
          </w:p>
        </w:tc>
        <w:tc>
          <w:tcPr>
            <w:tcW w:w="486" w:type="pct"/>
            <w:shd w:val="clear" w:color="auto" w:fill="D9D9D9"/>
            <w:noWrap/>
          </w:tcPr>
          <w:p w:rsidR="00B951B1" w:rsidRPr="00E61612" w:rsidRDefault="00B951B1" w:rsidP="00CB78E6">
            <w:pPr>
              <w:spacing w:after="0"/>
              <w:jc w:val="right"/>
              <w:rPr>
                <w:rFonts w:eastAsia="Times New Roman" w:cs="Calibri"/>
                <w:color w:val="000000"/>
                <w:sz w:val="18"/>
                <w:szCs w:val="18"/>
              </w:rPr>
            </w:pPr>
            <w:r w:rsidRPr="00E61612">
              <w:rPr>
                <w:color w:val="000000"/>
                <w:sz w:val="20"/>
                <w:szCs w:val="20"/>
              </w:rPr>
              <w:t xml:space="preserve">                   -   </w:t>
            </w:r>
          </w:p>
        </w:tc>
        <w:tc>
          <w:tcPr>
            <w:tcW w:w="458" w:type="pct"/>
            <w:shd w:val="clear" w:color="auto" w:fill="D9D9D9"/>
            <w:noWrap/>
          </w:tcPr>
          <w:p w:rsidR="00B951B1" w:rsidRPr="00E61612" w:rsidRDefault="00B951B1" w:rsidP="00CB78E6">
            <w:pPr>
              <w:spacing w:after="0"/>
              <w:jc w:val="right"/>
              <w:rPr>
                <w:rFonts w:eastAsia="Times New Roman" w:cs="Calibri"/>
                <w:color w:val="000000"/>
                <w:sz w:val="18"/>
                <w:szCs w:val="18"/>
              </w:rPr>
            </w:pPr>
            <w:r w:rsidRPr="00E61612">
              <w:rPr>
                <w:color w:val="000000"/>
                <w:sz w:val="20"/>
                <w:szCs w:val="20"/>
              </w:rPr>
              <w:t>-</w:t>
            </w:r>
          </w:p>
        </w:tc>
      </w:tr>
      <w:tr w:rsidR="00B951B1" w:rsidRPr="00E61612" w:rsidTr="00CB78E6">
        <w:trPr>
          <w:trHeight w:val="20"/>
        </w:trPr>
        <w:tc>
          <w:tcPr>
            <w:tcW w:w="310" w:type="pct"/>
            <w:tcBorders>
              <w:bottom w:val="single" w:sz="4" w:space="0" w:color="auto"/>
            </w:tcBorders>
            <w:shd w:val="clear" w:color="auto" w:fill="FFFFFF"/>
          </w:tcPr>
          <w:p w:rsidR="00B951B1" w:rsidRPr="00E61612" w:rsidRDefault="00B951B1" w:rsidP="00CB78E6">
            <w:pPr>
              <w:spacing w:after="0"/>
              <w:jc w:val="center"/>
              <w:rPr>
                <w:rFonts w:eastAsia="Times New Roman" w:cs="Calibri"/>
                <w:b/>
                <w:bCs/>
                <w:color w:val="000000"/>
                <w:sz w:val="18"/>
                <w:szCs w:val="18"/>
              </w:rPr>
            </w:pPr>
            <w:r w:rsidRPr="00E61612">
              <w:rPr>
                <w:b/>
                <w:bCs/>
                <w:color w:val="000000"/>
                <w:sz w:val="20"/>
                <w:szCs w:val="20"/>
              </w:rPr>
              <w:t>C3.2.1</w:t>
            </w:r>
          </w:p>
        </w:tc>
        <w:tc>
          <w:tcPr>
            <w:tcW w:w="1002" w:type="pct"/>
            <w:tcBorders>
              <w:bottom w:val="single" w:sz="4" w:space="0" w:color="auto"/>
            </w:tcBorders>
            <w:shd w:val="clear" w:color="auto" w:fill="FFFFFF"/>
          </w:tcPr>
          <w:p w:rsidR="00B951B1" w:rsidRPr="00E61612" w:rsidRDefault="00B951B1" w:rsidP="00CB78E6">
            <w:pPr>
              <w:spacing w:after="0"/>
              <w:rPr>
                <w:rFonts w:eastAsia="Times New Roman" w:cs="Calibri"/>
                <w:sz w:val="18"/>
                <w:szCs w:val="18"/>
              </w:rPr>
            </w:pPr>
            <w:r w:rsidRPr="00E61612">
              <w:rPr>
                <w:sz w:val="20"/>
                <w:szCs w:val="20"/>
              </w:rPr>
              <w:t>Krijimi/Funksionalizimi i zyrave të karrierës në IAL-të publike</w:t>
            </w:r>
          </w:p>
        </w:tc>
        <w:tc>
          <w:tcPr>
            <w:tcW w:w="492" w:type="pct"/>
            <w:tcBorders>
              <w:bottom w:val="single" w:sz="4" w:space="0" w:color="auto"/>
            </w:tcBorders>
            <w:shd w:val="clear" w:color="auto" w:fill="FFFFFF"/>
          </w:tcPr>
          <w:p w:rsidR="00B951B1" w:rsidRPr="00E61612" w:rsidRDefault="00B951B1" w:rsidP="00CB78E6">
            <w:pPr>
              <w:spacing w:after="0"/>
              <w:jc w:val="center"/>
              <w:rPr>
                <w:rFonts w:eastAsia="Times New Roman" w:cs="Calibri"/>
                <w:color w:val="000000"/>
                <w:sz w:val="18"/>
                <w:szCs w:val="18"/>
              </w:rPr>
            </w:pPr>
            <w:r w:rsidRPr="00E61612">
              <w:rPr>
                <w:color w:val="000000"/>
                <w:sz w:val="20"/>
                <w:szCs w:val="20"/>
              </w:rPr>
              <w:t>IAL-të</w:t>
            </w:r>
          </w:p>
        </w:tc>
        <w:tc>
          <w:tcPr>
            <w:tcW w:w="494" w:type="pct"/>
            <w:tcBorders>
              <w:bottom w:val="single" w:sz="4" w:space="0" w:color="auto"/>
            </w:tcBorders>
            <w:shd w:val="clear" w:color="auto" w:fill="FFFFFF"/>
          </w:tcPr>
          <w:p w:rsidR="00B951B1" w:rsidRPr="00E61612" w:rsidRDefault="00B951B1" w:rsidP="00CB78E6">
            <w:pPr>
              <w:spacing w:after="0"/>
              <w:jc w:val="center"/>
              <w:rPr>
                <w:rFonts w:eastAsia="Times New Roman" w:cs="Calibri"/>
                <w:color w:val="000000"/>
                <w:sz w:val="18"/>
                <w:szCs w:val="18"/>
              </w:rPr>
            </w:pPr>
            <w:r w:rsidRPr="00E61612">
              <w:rPr>
                <w:color w:val="000000"/>
                <w:sz w:val="20"/>
                <w:szCs w:val="20"/>
              </w:rPr>
              <w:t> </w:t>
            </w:r>
          </w:p>
        </w:tc>
        <w:tc>
          <w:tcPr>
            <w:tcW w:w="383" w:type="pct"/>
            <w:tcBorders>
              <w:bottom w:val="single" w:sz="4" w:space="0" w:color="auto"/>
            </w:tcBorders>
            <w:shd w:val="clear" w:color="auto" w:fill="FFFFFF"/>
          </w:tcPr>
          <w:p w:rsidR="00B951B1" w:rsidRPr="00E61612" w:rsidRDefault="00B951B1" w:rsidP="00CB78E6">
            <w:pPr>
              <w:spacing w:after="0"/>
              <w:jc w:val="center"/>
              <w:rPr>
                <w:rFonts w:eastAsia="Times New Roman" w:cs="Calibri"/>
                <w:color w:val="000000"/>
                <w:sz w:val="18"/>
                <w:szCs w:val="18"/>
              </w:rPr>
            </w:pPr>
            <w:r w:rsidRPr="00E61612">
              <w:rPr>
                <w:color w:val="000000"/>
                <w:sz w:val="20"/>
                <w:szCs w:val="20"/>
              </w:rPr>
              <w:t>TM3-2022</w:t>
            </w:r>
          </w:p>
        </w:tc>
        <w:tc>
          <w:tcPr>
            <w:tcW w:w="438" w:type="pct"/>
            <w:tcBorders>
              <w:bottom w:val="single" w:sz="4" w:space="0" w:color="auto"/>
            </w:tcBorders>
            <w:shd w:val="clear" w:color="auto" w:fill="FFFFFF"/>
          </w:tcPr>
          <w:p w:rsidR="00B951B1" w:rsidRPr="00E61612" w:rsidRDefault="00B951B1" w:rsidP="00CB78E6">
            <w:pPr>
              <w:spacing w:after="0"/>
              <w:jc w:val="center"/>
              <w:rPr>
                <w:rFonts w:eastAsia="Times New Roman" w:cs="Calibri"/>
                <w:color w:val="000000"/>
                <w:sz w:val="18"/>
                <w:szCs w:val="18"/>
              </w:rPr>
            </w:pPr>
            <w:r w:rsidRPr="00E61612">
              <w:rPr>
                <w:color w:val="000000"/>
                <w:sz w:val="20"/>
                <w:szCs w:val="20"/>
              </w:rPr>
              <w:t>TM3-2026</w:t>
            </w:r>
          </w:p>
        </w:tc>
        <w:tc>
          <w:tcPr>
            <w:tcW w:w="462" w:type="pct"/>
            <w:tcBorders>
              <w:bottom w:val="single" w:sz="4" w:space="0" w:color="auto"/>
            </w:tcBorders>
            <w:shd w:val="clear" w:color="auto" w:fill="FFFFFF"/>
            <w:noWrap/>
          </w:tcPr>
          <w:p w:rsidR="00B951B1" w:rsidRPr="00E61612" w:rsidRDefault="00B951B1" w:rsidP="00CB78E6">
            <w:pPr>
              <w:spacing w:after="0"/>
              <w:jc w:val="right"/>
              <w:rPr>
                <w:rFonts w:eastAsia="Times New Roman" w:cs="Calibri"/>
                <w:color w:val="000000"/>
                <w:sz w:val="18"/>
                <w:szCs w:val="18"/>
              </w:rPr>
            </w:pPr>
            <w:r w:rsidRPr="00E61612">
              <w:rPr>
                <w:color w:val="000000"/>
                <w:sz w:val="20"/>
                <w:szCs w:val="20"/>
              </w:rPr>
              <w:t>-</w:t>
            </w:r>
          </w:p>
        </w:tc>
        <w:tc>
          <w:tcPr>
            <w:tcW w:w="475" w:type="pct"/>
            <w:tcBorders>
              <w:bottom w:val="single" w:sz="4" w:space="0" w:color="auto"/>
            </w:tcBorders>
            <w:shd w:val="clear" w:color="auto" w:fill="FFFFFF"/>
            <w:noWrap/>
          </w:tcPr>
          <w:p w:rsidR="00B951B1" w:rsidRPr="00E61612" w:rsidRDefault="00B951B1" w:rsidP="00CB78E6">
            <w:pPr>
              <w:spacing w:after="0"/>
              <w:jc w:val="right"/>
              <w:rPr>
                <w:rFonts w:eastAsia="Times New Roman" w:cs="Calibri"/>
                <w:color w:val="000000"/>
                <w:sz w:val="18"/>
                <w:szCs w:val="18"/>
              </w:rPr>
            </w:pPr>
            <w:r w:rsidRPr="00E61612">
              <w:rPr>
                <w:color w:val="000000"/>
                <w:sz w:val="20"/>
                <w:szCs w:val="20"/>
              </w:rPr>
              <w:t>-</w:t>
            </w:r>
          </w:p>
        </w:tc>
        <w:tc>
          <w:tcPr>
            <w:tcW w:w="486" w:type="pct"/>
            <w:tcBorders>
              <w:bottom w:val="single" w:sz="4" w:space="0" w:color="auto"/>
            </w:tcBorders>
            <w:shd w:val="clear" w:color="auto" w:fill="FFFFFF"/>
            <w:noWrap/>
          </w:tcPr>
          <w:p w:rsidR="00B951B1" w:rsidRPr="00E61612" w:rsidRDefault="00B951B1" w:rsidP="00CB78E6">
            <w:pPr>
              <w:spacing w:after="0"/>
              <w:jc w:val="right"/>
              <w:rPr>
                <w:rFonts w:eastAsia="Times New Roman" w:cs="Calibri"/>
                <w:color w:val="000000"/>
                <w:sz w:val="18"/>
                <w:szCs w:val="18"/>
              </w:rPr>
            </w:pPr>
            <w:r w:rsidRPr="00E61612">
              <w:rPr>
                <w:color w:val="000000"/>
                <w:sz w:val="20"/>
                <w:szCs w:val="20"/>
              </w:rPr>
              <w:t xml:space="preserve">                   -   </w:t>
            </w:r>
          </w:p>
        </w:tc>
        <w:tc>
          <w:tcPr>
            <w:tcW w:w="458" w:type="pct"/>
            <w:tcBorders>
              <w:bottom w:val="single" w:sz="4" w:space="0" w:color="auto"/>
            </w:tcBorders>
            <w:shd w:val="clear" w:color="auto" w:fill="FFFFFF"/>
            <w:noWrap/>
          </w:tcPr>
          <w:p w:rsidR="00B951B1" w:rsidRPr="00E61612" w:rsidRDefault="00B951B1" w:rsidP="00CB78E6">
            <w:pPr>
              <w:spacing w:after="0"/>
              <w:jc w:val="right"/>
              <w:rPr>
                <w:rFonts w:eastAsia="Times New Roman" w:cs="Calibri"/>
                <w:color w:val="000000"/>
                <w:sz w:val="18"/>
                <w:szCs w:val="18"/>
              </w:rPr>
            </w:pPr>
            <w:r w:rsidRPr="00E61612">
              <w:rPr>
                <w:color w:val="000000"/>
                <w:sz w:val="20"/>
                <w:szCs w:val="20"/>
              </w:rPr>
              <w:t>-</w:t>
            </w:r>
          </w:p>
        </w:tc>
      </w:tr>
      <w:tr w:rsidR="00B951B1" w:rsidRPr="00E61612" w:rsidTr="00CB78E6">
        <w:trPr>
          <w:trHeight w:val="20"/>
        </w:trPr>
        <w:tc>
          <w:tcPr>
            <w:tcW w:w="310" w:type="pct"/>
            <w:tcBorders>
              <w:bottom w:val="single" w:sz="4" w:space="0" w:color="auto"/>
            </w:tcBorders>
            <w:shd w:val="clear" w:color="auto" w:fill="FFFFFF"/>
          </w:tcPr>
          <w:p w:rsidR="00B951B1" w:rsidRPr="00E61612" w:rsidRDefault="00B951B1" w:rsidP="00CB78E6">
            <w:pPr>
              <w:spacing w:after="0"/>
              <w:jc w:val="center"/>
              <w:rPr>
                <w:rFonts w:eastAsia="Times New Roman" w:cs="Calibri"/>
                <w:b/>
                <w:bCs/>
                <w:color w:val="000000"/>
                <w:sz w:val="18"/>
                <w:szCs w:val="18"/>
              </w:rPr>
            </w:pPr>
            <w:r w:rsidRPr="00E61612">
              <w:rPr>
                <w:b/>
                <w:bCs/>
                <w:color w:val="000000"/>
                <w:sz w:val="20"/>
                <w:szCs w:val="20"/>
              </w:rPr>
              <w:lastRenderedPageBreak/>
              <w:t>C3.3</w:t>
            </w:r>
          </w:p>
        </w:tc>
        <w:tc>
          <w:tcPr>
            <w:tcW w:w="1002" w:type="pct"/>
            <w:tcBorders>
              <w:bottom w:val="single" w:sz="4" w:space="0" w:color="auto"/>
            </w:tcBorders>
            <w:shd w:val="clear" w:color="auto" w:fill="FFFFFF"/>
          </w:tcPr>
          <w:p w:rsidR="00B951B1" w:rsidRPr="00E61612" w:rsidRDefault="00B951B1" w:rsidP="00CB78E6">
            <w:pPr>
              <w:spacing w:after="0"/>
              <w:rPr>
                <w:rFonts w:eastAsia="Times New Roman" w:cs="Calibri"/>
                <w:sz w:val="18"/>
                <w:szCs w:val="18"/>
              </w:rPr>
            </w:pPr>
            <w:r w:rsidRPr="00E61612">
              <w:rPr>
                <w:sz w:val="20"/>
                <w:szCs w:val="20"/>
              </w:rPr>
              <w:t>Promovimi i ndërdisiplinaritetit dhe programeve STEM</w:t>
            </w:r>
          </w:p>
        </w:tc>
        <w:tc>
          <w:tcPr>
            <w:tcW w:w="492" w:type="pct"/>
            <w:tcBorders>
              <w:bottom w:val="single" w:sz="4" w:space="0" w:color="auto"/>
            </w:tcBorders>
            <w:shd w:val="clear" w:color="auto" w:fill="FFFFFF"/>
          </w:tcPr>
          <w:p w:rsidR="00B951B1" w:rsidRPr="00E61612" w:rsidRDefault="00B951B1" w:rsidP="00CB78E6">
            <w:pPr>
              <w:spacing w:after="0"/>
              <w:jc w:val="center"/>
              <w:rPr>
                <w:rFonts w:eastAsia="Times New Roman" w:cs="Calibri"/>
                <w:color w:val="000000"/>
                <w:sz w:val="18"/>
                <w:szCs w:val="18"/>
              </w:rPr>
            </w:pPr>
            <w:r w:rsidRPr="00E61612">
              <w:rPr>
                <w:color w:val="000000"/>
                <w:sz w:val="20"/>
                <w:szCs w:val="20"/>
              </w:rPr>
              <w:t>IAL-të</w:t>
            </w:r>
          </w:p>
        </w:tc>
        <w:tc>
          <w:tcPr>
            <w:tcW w:w="494" w:type="pct"/>
            <w:tcBorders>
              <w:bottom w:val="single" w:sz="4" w:space="0" w:color="auto"/>
            </w:tcBorders>
            <w:shd w:val="clear" w:color="auto" w:fill="FFFFFF"/>
          </w:tcPr>
          <w:p w:rsidR="00B951B1" w:rsidRPr="00E61612" w:rsidRDefault="00B951B1" w:rsidP="00CB78E6">
            <w:pPr>
              <w:spacing w:after="0"/>
              <w:jc w:val="center"/>
              <w:rPr>
                <w:rFonts w:eastAsia="Times New Roman" w:cs="Calibri"/>
                <w:color w:val="000000"/>
                <w:sz w:val="18"/>
                <w:szCs w:val="18"/>
              </w:rPr>
            </w:pPr>
            <w:r w:rsidRPr="00E61612">
              <w:rPr>
                <w:color w:val="000000"/>
                <w:sz w:val="20"/>
                <w:szCs w:val="20"/>
              </w:rPr>
              <w:t> </w:t>
            </w:r>
          </w:p>
        </w:tc>
        <w:tc>
          <w:tcPr>
            <w:tcW w:w="383" w:type="pct"/>
            <w:tcBorders>
              <w:bottom w:val="single" w:sz="4" w:space="0" w:color="auto"/>
            </w:tcBorders>
            <w:shd w:val="clear" w:color="auto" w:fill="FFFFFF"/>
          </w:tcPr>
          <w:p w:rsidR="00B951B1" w:rsidRPr="00E61612" w:rsidRDefault="00B951B1" w:rsidP="00CB78E6">
            <w:pPr>
              <w:spacing w:after="0"/>
              <w:jc w:val="center"/>
              <w:rPr>
                <w:rFonts w:eastAsia="Times New Roman" w:cs="Calibri"/>
                <w:color w:val="000000"/>
                <w:sz w:val="18"/>
                <w:szCs w:val="18"/>
              </w:rPr>
            </w:pPr>
            <w:r w:rsidRPr="00E61612">
              <w:rPr>
                <w:color w:val="000000"/>
                <w:sz w:val="20"/>
                <w:szCs w:val="20"/>
              </w:rPr>
              <w:t>TM3-2022</w:t>
            </w:r>
          </w:p>
        </w:tc>
        <w:tc>
          <w:tcPr>
            <w:tcW w:w="438" w:type="pct"/>
            <w:tcBorders>
              <w:bottom w:val="single" w:sz="4" w:space="0" w:color="auto"/>
            </w:tcBorders>
            <w:shd w:val="clear" w:color="auto" w:fill="FFFFFF"/>
          </w:tcPr>
          <w:p w:rsidR="00B951B1" w:rsidRPr="00E61612" w:rsidRDefault="00B951B1" w:rsidP="00CB78E6">
            <w:pPr>
              <w:spacing w:after="0"/>
              <w:jc w:val="center"/>
              <w:rPr>
                <w:rFonts w:eastAsia="Times New Roman" w:cs="Calibri"/>
                <w:color w:val="000000"/>
                <w:sz w:val="18"/>
                <w:szCs w:val="18"/>
              </w:rPr>
            </w:pPr>
            <w:r w:rsidRPr="00E61612">
              <w:rPr>
                <w:color w:val="000000"/>
                <w:sz w:val="20"/>
                <w:szCs w:val="20"/>
              </w:rPr>
              <w:t>TM3-2026</w:t>
            </w:r>
          </w:p>
        </w:tc>
        <w:tc>
          <w:tcPr>
            <w:tcW w:w="462" w:type="pct"/>
            <w:tcBorders>
              <w:bottom w:val="single" w:sz="4" w:space="0" w:color="auto"/>
            </w:tcBorders>
            <w:shd w:val="clear" w:color="auto" w:fill="FFFFFF"/>
            <w:noWrap/>
          </w:tcPr>
          <w:p w:rsidR="00B951B1" w:rsidRPr="00E61612" w:rsidRDefault="00B951B1" w:rsidP="00CB78E6">
            <w:pPr>
              <w:spacing w:after="0"/>
              <w:jc w:val="right"/>
              <w:rPr>
                <w:rFonts w:eastAsia="Times New Roman" w:cs="Calibri"/>
                <w:color w:val="000000"/>
                <w:sz w:val="18"/>
                <w:szCs w:val="18"/>
              </w:rPr>
            </w:pPr>
            <w:r w:rsidRPr="00E61612">
              <w:rPr>
                <w:color w:val="000000"/>
                <w:sz w:val="20"/>
                <w:szCs w:val="20"/>
              </w:rPr>
              <w:t>-</w:t>
            </w:r>
          </w:p>
        </w:tc>
        <w:tc>
          <w:tcPr>
            <w:tcW w:w="475" w:type="pct"/>
            <w:tcBorders>
              <w:bottom w:val="single" w:sz="4" w:space="0" w:color="auto"/>
            </w:tcBorders>
            <w:shd w:val="clear" w:color="auto" w:fill="FFFFFF"/>
            <w:noWrap/>
          </w:tcPr>
          <w:p w:rsidR="00B951B1" w:rsidRPr="00E61612" w:rsidRDefault="00B951B1" w:rsidP="00CB78E6">
            <w:pPr>
              <w:spacing w:after="0"/>
              <w:jc w:val="right"/>
              <w:rPr>
                <w:rFonts w:eastAsia="Times New Roman" w:cs="Calibri"/>
                <w:color w:val="000000"/>
                <w:sz w:val="18"/>
                <w:szCs w:val="18"/>
              </w:rPr>
            </w:pPr>
            <w:r w:rsidRPr="00E61612">
              <w:rPr>
                <w:color w:val="000000"/>
                <w:sz w:val="20"/>
                <w:szCs w:val="20"/>
              </w:rPr>
              <w:t>-</w:t>
            </w:r>
          </w:p>
        </w:tc>
        <w:tc>
          <w:tcPr>
            <w:tcW w:w="486" w:type="pct"/>
            <w:tcBorders>
              <w:bottom w:val="single" w:sz="4" w:space="0" w:color="auto"/>
            </w:tcBorders>
            <w:shd w:val="clear" w:color="auto" w:fill="FFFFFF"/>
            <w:noWrap/>
          </w:tcPr>
          <w:p w:rsidR="00B951B1" w:rsidRPr="00E61612" w:rsidRDefault="00B951B1" w:rsidP="00CB78E6">
            <w:pPr>
              <w:spacing w:after="0"/>
              <w:jc w:val="right"/>
              <w:rPr>
                <w:rFonts w:eastAsia="Times New Roman" w:cs="Calibri"/>
                <w:color w:val="000000"/>
                <w:sz w:val="18"/>
                <w:szCs w:val="18"/>
              </w:rPr>
            </w:pPr>
            <w:r w:rsidRPr="00E61612">
              <w:rPr>
                <w:color w:val="000000"/>
                <w:sz w:val="20"/>
                <w:szCs w:val="20"/>
              </w:rPr>
              <w:t xml:space="preserve">                   -   </w:t>
            </w:r>
          </w:p>
        </w:tc>
        <w:tc>
          <w:tcPr>
            <w:tcW w:w="458" w:type="pct"/>
            <w:tcBorders>
              <w:bottom w:val="single" w:sz="4" w:space="0" w:color="auto"/>
            </w:tcBorders>
            <w:shd w:val="clear" w:color="auto" w:fill="FFFFFF"/>
            <w:noWrap/>
          </w:tcPr>
          <w:p w:rsidR="00B951B1" w:rsidRPr="00E61612" w:rsidRDefault="00B951B1" w:rsidP="00CB78E6">
            <w:pPr>
              <w:spacing w:after="0"/>
              <w:jc w:val="right"/>
              <w:rPr>
                <w:rFonts w:eastAsia="Times New Roman" w:cs="Calibri"/>
                <w:color w:val="000000"/>
                <w:sz w:val="18"/>
                <w:szCs w:val="18"/>
              </w:rPr>
            </w:pPr>
            <w:r w:rsidRPr="00E61612">
              <w:rPr>
                <w:color w:val="000000"/>
                <w:sz w:val="20"/>
                <w:szCs w:val="20"/>
              </w:rPr>
              <w:t>-</w:t>
            </w:r>
          </w:p>
        </w:tc>
      </w:tr>
      <w:tr w:rsidR="00B951B1" w:rsidRPr="00E61612" w:rsidTr="00CB78E6">
        <w:trPr>
          <w:trHeight w:val="20"/>
        </w:trPr>
        <w:tc>
          <w:tcPr>
            <w:tcW w:w="310" w:type="pct"/>
            <w:tcBorders>
              <w:bottom w:val="single" w:sz="4" w:space="0" w:color="auto"/>
            </w:tcBorders>
            <w:shd w:val="clear" w:color="auto" w:fill="FFFFFF"/>
          </w:tcPr>
          <w:p w:rsidR="00B951B1" w:rsidRPr="00E61612" w:rsidRDefault="00B951B1" w:rsidP="00CB78E6">
            <w:pPr>
              <w:spacing w:after="0"/>
              <w:jc w:val="center"/>
              <w:rPr>
                <w:rFonts w:eastAsia="Times New Roman" w:cs="Calibri"/>
                <w:b/>
                <w:bCs/>
                <w:color w:val="000000"/>
                <w:sz w:val="18"/>
                <w:szCs w:val="18"/>
              </w:rPr>
            </w:pPr>
            <w:r w:rsidRPr="00E61612">
              <w:rPr>
                <w:b/>
                <w:bCs/>
                <w:color w:val="000000"/>
                <w:sz w:val="20"/>
                <w:szCs w:val="20"/>
              </w:rPr>
              <w:t>C3.3.1</w:t>
            </w:r>
          </w:p>
        </w:tc>
        <w:tc>
          <w:tcPr>
            <w:tcW w:w="1002" w:type="pct"/>
            <w:tcBorders>
              <w:bottom w:val="single" w:sz="4" w:space="0" w:color="auto"/>
            </w:tcBorders>
            <w:shd w:val="clear" w:color="auto" w:fill="FFFFFF"/>
          </w:tcPr>
          <w:p w:rsidR="00B951B1" w:rsidRPr="00E61612" w:rsidRDefault="00B951B1" w:rsidP="00CB78E6">
            <w:pPr>
              <w:spacing w:after="0"/>
              <w:rPr>
                <w:rFonts w:eastAsia="Times New Roman" w:cs="Calibri"/>
                <w:sz w:val="18"/>
                <w:szCs w:val="18"/>
              </w:rPr>
            </w:pPr>
            <w:r w:rsidRPr="00E61612">
              <w:rPr>
                <w:sz w:val="20"/>
                <w:szCs w:val="20"/>
              </w:rPr>
              <w:t>Zhvillimi/reformimi i programeve ndërdisiplinore dhe programeve STEM</w:t>
            </w:r>
          </w:p>
        </w:tc>
        <w:tc>
          <w:tcPr>
            <w:tcW w:w="492" w:type="pct"/>
            <w:tcBorders>
              <w:bottom w:val="single" w:sz="4" w:space="0" w:color="auto"/>
            </w:tcBorders>
            <w:shd w:val="clear" w:color="auto" w:fill="FFFFFF"/>
          </w:tcPr>
          <w:p w:rsidR="00B951B1" w:rsidRPr="00E61612" w:rsidRDefault="00B951B1" w:rsidP="00CB78E6">
            <w:pPr>
              <w:spacing w:after="0"/>
              <w:jc w:val="center"/>
              <w:rPr>
                <w:rFonts w:eastAsia="Times New Roman" w:cs="Calibri"/>
                <w:color w:val="000000"/>
                <w:sz w:val="18"/>
                <w:szCs w:val="18"/>
              </w:rPr>
            </w:pPr>
            <w:r w:rsidRPr="00E61612">
              <w:rPr>
                <w:color w:val="000000"/>
                <w:sz w:val="20"/>
                <w:szCs w:val="20"/>
              </w:rPr>
              <w:t>IAL-të</w:t>
            </w:r>
          </w:p>
        </w:tc>
        <w:tc>
          <w:tcPr>
            <w:tcW w:w="494" w:type="pct"/>
            <w:tcBorders>
              <w:bottom w:val="single" w:sz="4" w:space="0" w:color="auto"/>
            </w:tcBorders>
            <w:shd w:val="clear" w:color="auto" w:fill="FFFFFF"/>
          </w:tcPr>
          <w:p w:rsidR="00B951B1" w:rsidRPr="00E61612" w:rsidRDefault="00B951B1" w:rsidP="00CB78E6">
            <w:pPr>
              <w:spacing w:after="0"/>
              <w:jc w:val="center"/>
              <w:rPr>
                <w:rFonts w:eastAsia="Times New Roman" w:cs="Calibri"/>
                <w:color w:val="000000"/>
                <w:sz w:val="18"/>
                <w:szCs w:val="18"/>
              </w:rPr>
            </w:pPr>
            <w:r w:rsidRPr="00E61612">
              <w:rPr>
                <w:color w:val="000000"/>
                <w:sz w:val="20"/>
                <w:szCs w:val="20"/>
              </w:rPr>
              <w:t> </w:t>
            </w:r>
          </w:p>
        </w:tc>
        <w:tc>
          <w:tcPr>
            <w:tcW w:w="383" w:type="pct"/>
            <w:tcBorders>
              <w:bottom w:val="single" w:sz="4" w:space="0" w:color="auto"/>
            </w:tcBorders>
            <w:shd w:val="clear" w:color="auto" w:fill="FFFFFF"/>
          </w:tcPr>
          <w:p w:rsidR="00B951B1" w:rsidRPr="00E61612" w:rsidRDefault="00B951B1" w:rsidP="00CB78E6">
            <w:pPr>
              <w:spacing w:after="0"/>
              <w:jc w:val="center"/>
              <w:rPr>
                <w:rFonts w:eastAsia="Times New Roman" w:cs="Calibri"/>
                <w:color w:val="000000"/>
                <w:sz w:val="18"/>
                <w:szCs w:val="18"/>
              </w:rPr>
            </w:pPr>
            <w:r w:rsidRPr="00E61612">
              <w:rPr>
                <w:color w:val="000000"/>
                <w:sz w:val="20"/>
                <w:szCs w:val="20"/>
              </w:rPr>
              <w:t>TM3-2022</w:t>
            </w:r>
          </w:p>
        </w:tc>
        <w:tc>
          <w:tcPr>
            <w:tcW w:w="438" w:type="pct"/>
            <w:tcBorders>
              <w:bottom w:val="single" w:sz="4" w:space="0" w:color="auto"/>
            </w:tcBorders>
            <w:shd w:val="clear" w:color="auto" w:fill="FFFFFF"/>
          </w:tcPr>
          <w:p w:rsidR="00B951B1" w:rsidRPr="00E61612" w:rsidRDefault="00B951B1" w:rsidP="00CB78E6">
            <w:pPr>
              <w:spacing w:after="0"/>
              <w:jc w:val="center"/>
              <w:rPr>
                <w:rFonts w:eastAsia="Times New Roman" w:cs="Calibri"/>
                <w:color w:val="000000"/>
                <w:sz w:val="18"/>
                <w:szCs w:val="18"/>
              </w:rPr>
            </w:pPr>
            <w:r w:rsidRPr="00E61612">
              <w:rPr>
                <w:color w:val="000000"/>
                <w:sz w:val="20"/>
                <w:szCs w:val="20"/>
              </w:rPr>
              <w:t>TM3-2026</w:t>
            </w:r>
          </w:p>
        </w:tc>
        <w:tc>
          <w:tcPr>
            <w:tcW w:w="462" w:type="pct"/>
            <w:tcBorders>
              <w:bottom w:val="single" w:sz="4" w:space="0" w:color="auto"/>
            </w:tcBorders>
            <w:shd w:val="clear" w:color="auto" w:fill="FFFFFF"/>
            <w:noWrap/>
          </w:tcPr>
          <w:p w:rsidR="00B951B1" w:rsidRPr="00E61612" w:rsidRDefault="00B951B1" w:rsidP="00CB78E6">
            <w:pPr>
              <w:spacing w:after="0"/>
              <w:jc w:val="right"/>
              <w:rPr>
                <w:rFonts w:eastAsia="Times New Roman" w:cs="Calibri"/>
                <w:color w:val="000000"/>
                <w:sz w:val="18"/>
                <w:szCs w:val="18"/>
              </w:rPr>
            </w:pPr>
            <w:r w:rsidRPr="00E61612">
              <w:rPr>
                <w:color w:val="000000"/>
                <w:sz w:val="20"/>
                <w:szCs w:val="20"/>
              </w:rPr>
              <w:t>-</w:t>
            </w:r>
          </w:p>
        </w:tc>
        <w:tc>
          <w:tcPr>
            <w:tcW w:w="475" w:type="pct"/>
            <w:tcBorders>
              <w:bottom w:val="single" w:sz="4" w:space="0" w:color="auto"/>
            </w:tcBorders>
            <w:shd w:val="clear" w:color="auto" w:fill="FFFFFF"/>
            <w:noWrap/>
          </w:tcPr>
          <w:p w:rsidR="00B951B1" w:rsidRPr="00E61612" w:rsidRDefault="00B951B1" w:rsidP="00CB78E6">
            <w:pPr>
              <w:spacing w:after="0"/>
              <w:jc w:val="right"/>
              <w:rPr>
                <w:rFonts w:eastAsia="Times New Roman" w:cs="Calibri"/>
                <w:color w:val="000000"/>
                <w:sz w:val="18"/>
                <w:szCs w:val="18"/>
              </w:rPr>
            </w:pPr>
            <w:r w:rsidRPr="00E61612">
              <w:rPr>
                <w:color w:val="000000"/>
                <w:sz w:val="20"/>
                <w:szCs w:val="20"/>
              </w:rPr>
              <w:t>-</w:t>
            </w:r>
          </w:p>
        </w:tc>
        <w:tc>
          <w:tcPr>
            <w:tcW w:w="486" w:type="pct"/>
            <w:tcBorders>
              <w:bottom w:val="single" w:sz="4" w:space="0" w:color="auto"/>
            </w:tcBorders>
            <w:shd w:val="clear" w:color="auto" w:fill="FFFFFF"/>
            <w:noWrap/>
          </w:tcPr>
          <w:p w:rsidR="00B951B1" w:rsidRPr="00E61612" w:rsidRDefault="00B951B1" w:rsidP="00CB78E6">
            <w:pPr>
              <w:spacing w:after="0"/>
              <w:jc w:val="right"/>
              <w:rPr>
                <w:rFonts w:eastAsia="Times New Roman" w:cs="Calibri"/>
                <w:color w:val="000000"/>
                <w:sz w:val="18"/>
                <w:szCs w:val="18"/>
              </w:rPr>
            </w:pPr>
            <w:r w:rsidRPr="00E61612">
              <w:rPr>
                <w:color w:val="000000"/>
                <w:sz w:val="20"/>
                <w:szCs w:val="20"/>
              </w:rPr>
              <w:t xml:space="preserve">                   -   </w:t>
            </w:r>
          </w:p>
        </w:tc>
        <w:tc>
          <w:tcPr>
            <w:tcW w:w="458" w:type="pct"/>
            <w:tcBorders>
              <w:bottom w:val="single" w:sz="4" w:space="0" w:color="auto"/>
            </w:tcBorders>
            <w:shd w:val="clear" w:color="auto" w:fill="FFFFFF"/>
            <w:noWrap/>
          </w:tcPr>
          <w:p w:rsidR="00B951B1" w:rsidRPr="00E61612" w:rsidRDefault="00B951B1" w:rsidP="00CB78E6">
            <w:pPr>
              <w:spacing w:after="0"/>
              <w:jc w:val="right"/>
              <w:rPr>
                <w:rFonts w:eastAsia="Times New Roman" w:cs="Calibri"/>
                <w:color w:val="000000"/>
                <w:sz w:val="18"/>
                <w:szCs w:val="18"/>
              </w:rPr>
            </w:pPr>
            <w:r w:rsidRPr="00E61612">
              <w:rPr>
                <w:color w:val="000000"/>
                <w:sz w:val="20"/>
                <w:szCs w:val="20"/>
              </w:rPr>
              <w:t>-</w:t>
            </w:r>
          </w:p>
        </w:tc>
      </w:tr>
      <w:tr w:rsidR="00B951B1" w:rsidRPr="00E61612" w:rsidTr="00CB78E6">
        <w:trPr>
          <w:trHeight w:val="20"/>
        </w:trPr>
        <w:tc>
          <w:tcPr>
            <w:tcW w:w="310" w:type="pct"/>
            <w:tcBorders>
              <w:bottom w:val="single" w:sz="4" w:space="0" w:color="auto"/>
            </w:tcBorders>
            <w:shd w:val="clear" w:color="auto" w:fill="BFBFBF"/>
          </w:tcPr>
          <w:p w:rsidR="00B951B1" w:rsidRPr="00E61612" w:rsidRDefault="00B951B1" w:rsidP="00CB78E6">
            <w:pPr>
              <w:spacing w:after="0"/>
              <w:jc w:val="center"/>
              <w:rPr>
                <w:rFonts w:eastAsia="Times New Roman" w:cs="Calibri"/>
                <w:b/>
                <w:bCs/>
                <w:color w:val="000000"/>
                <w:sz w:val="18"/>
                <w:szCs w:val="18"/>
              </w:rPr>
            </w:pPr>
            <w:r w:rsidRPr="00E61612">
              <w:rPr>
                <w:b/>
                <w:bCs/>
                <w:color w:val="000000"/>
                <w:sz w:val="20"/>
                <w:szCs w:val="20"/>
              </w:rPr>
              <w:t>C4</w:t>
            </w:r>
          </w:p>
        </w:tc>
        <w:tc>
          <w:tcPr>
            <w:tcW w:w="1002" w:type="pct"/>
            <w:tcBorders>
              <w:bottom w:val="single" w:sz="4" w:space="0" w:color="auto"/>
            </w:tcBorders>
            <w:shd w:val="clear" w:color="auto" w:fill="BFBFBF"/>
          </w:tcPr>
          <w:p w:rsidR="00B951B1" w:rsidRPr="00E61612" w:rsidRDefault="00B951B1" w:rsidP="00CB78E6">
            <w:pPr>
              <w:spacing w:after="0"/>
              <w:rPr>
                <w:rFonts w:eastAsia="Times New Roman" w:cs="Calibri"/>
                <w:sz w:val="18"/>
                <w:szCs w:val="18"/>
              </w:rPr>
            </w:pPr>
            <w:r w:rsidRPr="00E61612">
              <w:rPr>
                <w:sz w:val="20"/>
                <w:szCs w:val="20"/>
              </w:rPr>
              <w:t>Sigurimi i integritetit akademik, transparencës dhe llogaridhënies në sektorin e arsimit të lartë</w:t>
            </w:r>
          </w:p>
        </w:tc>
        <w:tc>
          <w:tcPr>
            <w:tcW w:w="492" w:type="pct"/>
            <w:tcBorders>
              <w:bottom w:val="single" w:sz="4" w:space="0" w:color="auto"/>
            </w:tcBorders>
            <w:shd w:val="clear" w:color="auto" w:fill="BFBFBF"/>
          </w:tcPr>
          <w:p w:rsidR="00B951B1" w:rsidRPr="00E61612" w:rsidRDefault="00B951B1" w:rsidP="00CB78E6">
            <w:pPr>
              <w:spacing w:after="0"/>
              <w:jc w:val="center"/>
              <w:rPr>
                <w:rFonts w:eastAsia="Times New Roman" w:cs="Calibri"/>
                <w:color w:val="000000"/>
                <w:sz w:val="18"/>
                <w:szCs w:val="18"/>
              </w:rPr>
            </w:pPr>
            <w:r w:rsidRPr="00E61612">
              <w:rPr>
                <w:color w:val="000000"/>
                <w:sz w:val="20"/>
                <w:szCs w:val="20"/>
              </w:rPr>
              <w:t>MASR, IAL-të</w:t>
            </w:r>
          </w:p>
        </w:tc>
        <w:tc>
          <w:tcPr>
            <w:tcW w:w="494" w:type="pct"/>
            <w:tcBorders>
              <w:bottom w:val="single" w:sz="4" w:space="0" w:color="auto"/>
            </w:tcBorders>
            <w:shd w:val="clear" w:color="auto" w:fill="BFBFBF"/>
          </w:tcPr>
          <w:p w:rsidR="00B951B1" w:rsidRPr="00E61612" w:rsidRDefault="00B951B1" w:rsidP="00CB78E6">
            <w:pPr>
              <w:spacing w:after="0"/>
              <w:jc w:val="center"/>
              <w:rPr>
                <w:rFonts w:eastAsia="Times New Roman" w:cs="Calibri"/>
                <w:color w:val="000000"/>
                <w:sz w:val="18"/>
                <w:szCs w:val="18"/>
              </w:rPr>
            </w:pPr>
            <w:r w:rsidRPr="00E61612">
              <w:rPr>
                <w:color w:val="000000"/>
                <w:sz w:val="20"/>
                <w:szCs w:val="20"/>
              </w:rPr>
              <w:t>MASR, RASH</w:t>
            </w:r>
          </w:p>
        </w:tc>
        <w:tc>
          <w:tcPr>
            <w:tcW w:w="383" w:type="pct"/>
            <w:tcBorders>
              <w:bottom w:val="single" w:sz="4" w:space="0" w:color="auto"/>
            </w:tcBorders>
            <w:shd w:val="clear" w:color="auto" w:fill="BFBFBF"/>
          </w:tcPr>
          <w:p w:rsidR="00B951B1" w:rsidRPr="00E61612" w:rsidRDefault="00B951B1" w:rsidP="00CB78E6">
            <w:pPr>
              <w:spacing w:after="0"/>
              <w:jc w:val="center"/>
              <w:rPr>
                <w:rFonts w:eastAsia="Times New Roman" w:cs="Calibri"/>
                <w:color w:val="000000"/>
                <w:sz w:val="18"/>
                <w:szCs w:val="18"/>
              </w:rPr>
            </w:pPr>
            <w:r w:rsidRPr="00E61612">
              <w:rPr>
                <w:color w:val="000000"/>
                <w:sz w:val="20"/>
                <w:szCs w:val="20"/>
              </w:rPr>
              <w:t> </w:t>
            </w:r>
          </w:p>
        </w:tc>
        <w:tc>
          <w:tcPr>
            <w:tcW w:w="438" w:type="pct"/>
            <w:tcBorders>
              <w:bottom w:val="single" w:sz="4" w:space="0" w:color="auto"/>
            </w:tcBorders>
            <w:shd w:val="clear" w:color="auto" w:fill="BFBFBF"/>
          </w:tcPr>
          <w:p w:rsidR="00B951B1" w:rsidRPr="00E61612" w:rsidRDefault="00B951B1" w:rsidP="00CB78E6">
            <w:pPr>
              <w:spacing w:after="0"/>
              <w:jc w:val="center"/>
              <w:rPr>
                <w:rFonts w:eastAsia="Times New Roman" w:cs="Calibri"/>
                <w:color w:val="000000"/>
                <w:sz w:val="18"/>
                <w:szCs w:val="18"/>
              </w:rPr>
            </w:pPr>
            <w:r w:rsidRPr="00E61612">
              <w:rPr>
                <w:color w:val="000000"/>
                <w:sz w:val="20"/>
                <w:szCs w:val="20"/>
              </w:rPr>
              <w:t> </w:t>
            </w:r>
          </w:p>
        </w:tc>
        <w:tc>
          <w:tcPr>
            <w:tcW w:w="462" w:type="pct"/>
            <w:tcBorders>
              <w:bottom w:val="single" w:sz="4" w:space="0" w:color="auto"/>
            </w:tcBorders>
            <w:shd w:val="clear" w:color="auto" w:fill="BFBFBF"/>
            <w:noWrap/>
          </w:tcPr>
          <w:p w:rsidR="00B951B1" w:rsidRPr="00E61612" w:rsidRDefault="00B951B1" w:rsidP="00CB78E6">
            <w:pPr>
              <w:spacing w:after="0"/>
              <w:jc w:val="right"/>
              <w:rPr>
                <w:rFonts w:eastAsia="Times New Roman" w:cs="Calibri"/>
                <w:color w:val="000000"/>
                <w:sz w:val="18"/>
                <w:szCs w:val="18"/>
              </w:rPr>
            </w:pPr>
            <w:r w:rsidRPr="00E61612">
              <w:rPr>
                <w:color w:val="000000"/>
                <w:sz w:val="20"/>
                <w:szCs w:val="20"/>
              </w:rPr>
              <w:t>64,560</w:t>
            </w:r>
          </w:p>
        </w:tc>
        <w:tc>
          <w:tcPr>
            <w:tcW w:w="475" w:type="pct"/>
            <w:tcBorders>
              <w:bottom w:val="single" w:sz="4" w:space="0" w:color="auto"/>
            </w:tcBorders>
            <w:shd w:val="clear" w:color="auto" w:fill="BFBFBF"/>
            <w:noWrap/>
          </w:tcPr>
          <w:p w:rsidR="00B951B1" w:rsidRPr="00E61612" w:rsidRDefault="00B951B1" w:rsidP="00CB78E6">
            <w:pPr>
              <w:spacing w:after="0"/>
              <w:jc w:val="right"/>
              <w:rPr>
                <w:rFonts w:eastAsia="Times New Roman" w:cs="Calibri"/>
                <w:color w:val="000000"/>
                <w:sz w:val="18"/>
                <w:szCs w:val="18"/>
              </w:rPr>
            </w:pPr>
            <w:r w:rsidRPr="00E61612">
              <w:rPr>
                <w:color w:val="000000"/>
                <w:sz w:val="20"/>
                <w:szCs w:val="20"/>
              </w:rPr>
              <w:t>-</w:t>
            </w:r>
          </w:p>
        </w:tc>
        <w:tc>
          <w:tcPr>
            <w:tcW w:w="486" w:type="pct"/>
            <w:tcBorders>
              <w:bottom w:val="single" w:sz="4" w:space="0" w:color="auto"/>
            </w:tcBorders>
            <w:shd w:val="clear" w:color="auto" w:fill="BFBFBF"/>
            <w:noWrap/>
          </w:tcPr>
          <w:p w:rsidR="00B951B1" w:rsidRPr="00E61612" w:rsidRDefault="00B951B1" w:rsidP="00CB78E6">
            <w:pPr>
              <w:spacing w:after="0"/>
              <w:jc w:val="right"/>
              <w:rPr>
                <w:rFonts w:eastAsia="Times New Roman" w:cs="Calibri"/>
                <w:color w:val="000000"/>
                <w:sz w:val="18"/>
                <w:szCs w:val="18"/>
              </w:rPr>
            </w:pPr>
            <w:r w:rsidRPr="00E61612">
              <w:rPr>
                <w:color w:val="000000"/>
                <w:sz w:val="20"/>
                <w:szCs w:val="20"/>
              </w:rPr>
              <w:t xml:space="preserve">                   -   </w:t>
            </w:r>
          </w:p>
        </w:tc>
        <w:tc>
          <w:tcPr>
            <w:tcW w:w="458" w:type="pct"/>
            <w:tcBorders>
              <w:bottom w:val="single" w:sz="4" w:space="0" w:color="auto"/>
            </w:tcBorders>
            <w:shd w:val="clear" w:color="auto" w:fill="BFBFBF"/>
            <w:noWrap/>
          </w:tcPr>
          <w:p w:rsidR="00B951B1" w:rsidRPr="00E61612" w:rsidRDefault="00B951B1" w:rsidP="00CB78E6">
            <w:pPr>
              <w:spacing w:after="0"/>
              <w:jc w:val="right"/>
              <w:rPr>
                <w:rFonts w:eastAsia="Times New Roman" w:cs="Calibri"/>
                <w:color w:val="000000"/>
                <w:sz w:val="18"/>
                <w:szCs w:val="18"/>
              </w:rPr>
            </w:pPr>
            <w:r w:rsidRPr="00E61612">
              <w:rPr>
                <w:color w:val="000000"/>
                <w:sz w:val="20"/>
                <w:szCs w:val="20"/>
              </w:rPr>
              <w:t>(64,560)</w:t>
            </w:r>
          </w:p>
        </w:tc>
      </w:tr>
      <w:tr w:rsidR="00B951B1" w:rsidRPr="00E61612" w:rsidTr="00CB78E6">
        <w:trPr>
          <w:trHeight w:val="20"/>
        </w:trPr>
        <w:tc>
          <w:tcPr>
            <w:tcW w:w="310" w:type="pct"/>
            <w:shd w:val="clear" w:color="auto" w:fill="D9D9D9"/>
          </w:tcPr>
          <w:p w:rsidR="00B951B1" w:rsidRPr="00E61612" w:rsidRDefault="00B951B1" w:rsidP="00CB78E6">
            <w:pPr>
              <w:spacing w:after="0"/>
              <w:jc w:val="center"/>
              <w:rPr>
                <w:rFonts w:eastAsia="Times New Roman" w:cs="Calibri"/>
                <w:b/>
                <w:bCs/>
                <w:color w:val="000000"/>
                <w:sz w:val="18"/>
                <w:szCs w:val="18"/>
              </w:rPr>
            </w:pPr>
            <w:r w:rsidRPr="00E61612">
              <w:rPr>
                <w:b/>
                <w:bCs/>
                <w:color w:val="000000"/>
                <w:sz w:val="20"/>
                <w:szCs w:val="20"/>
              </w:rPr>
              <w:t>C4.1</w:t>
            </w:r>
          </w:p>
        </w:tc>
        <w:tc>
          <w:tcPr>
            <w:tcW w:w="1002" w:type="pct"/>
            <w:shd w:val="clear" w:color="auto" w:fill="D9D9D9"/>
          </w:tcPr>
          <w:p w:rsidR="00B951B1" w:rsidRPr="00E61612" w:rsidRDefault="00B951B1" w:rsidP="00CB78E6">
            <w:pPr>
              <w:spacing w:after="0"/>
              <w:rPr>
                <w:rFonts w:eastAsia="Times New Roman" w:cs="Calibri"/>
                <w:sz w:val="18"/>
                <w:szCs w:val="18"/>
              </w:rPr>
            </w:pPr>
            <w:r w:rsidRPr="00E61612">
              <w:rPr>
                <w:sz w:val="20"/>
                <w:szCs w:val="20"/>
              </w:rPr>
              <w:t>Sigurimi i transparencës dhe zbatimi i praktikave të mira të integritetit akademik në IAL</w:t>
            </w:r>
          </w:p>
        </w:tc>
        <w:tc>
          <w:tcPr>
            <w:tcW w:w="492" w:type="pct"/>
            <w:shd w:val="clear" w:color="auto" w:fill="D9D9D9"/>
          </w:tcPr>
          <w:p w:rsidR="00B951B1" w:rsidRPr="00E61612" w:rsidRDefault="00B951B1" w:rsidP="00CB78E6">
            <w:pPr>
              <w:spacing w:after="0"/>
              <w:jc w:val="center"/>
              <w:rPr>
                <w:rFonts w:eastAsia="Times New Roman" w:cs="Calibri"/>
                <w:color w:val="000000"/>
                <w:sz w:val="18"/>
                <w:szCs w:val="18"/>
              </w:rPr>
            </w:pPr>
            <w:r w:rsidRPr="00E61612">
              <w:rPr>
                <w:color w:val="000000"/>
                <w:sz w:val="20"/>
                <w:szCs w:val="20"/>
              </w:rPr>
              <w:t>MASR, IAL-të</w:t>
            </w:r>
          </w:p>
        </w:tc>
        <w:tc>
          <w:tcPr>
            <w:tcW w:w="494" w:type="pct"/>
            <w:shd w:val="clear" w:color="auto" w:fill="D9D9D9"/>
          </w:tcPr>
          <w:p w:rsidR="00B951B1" w:rsidRPr="00E61612" w:rsidRDefault="00B951B1" w:rsidP="00CB78E6">
            <w:pPr>
              <w:spacing w:after="0"/>
              <w:jc w:val="center"/>
              <w:rPr>
                <w:rFonts w:eastAsia="Times New Roman" w:cs="Calibri"/>
                <w:color w:val="000000"/>
                <w:sz w:val="18"/>
                <w:szCs w:val="18"/>
              </w:rPr>
            </w:pPr>
            <w:r w:rsidRPr="00E61612">
              <w:rPr>
                <w:color w:val="000000"/>
                <w:sz w:val="20"/>
                <w:szCs w:val="20"/>
              </w:rPr>
              <w:t>MASR</w:t>
            </w:r>
          </w:p>
        </w:tc>
        <w:tc>
          <w:tcPr>
            <w:tcW w:w="383" w:type="pct"/>
            <w:shd w:val="clear" w:color="auto" w:fill="D9D9D9"/>
          </w:tcPr>
          <w:p w:rsidR="00B951B1" w:rsidRPr="00E61612" w:rsidRDefault="00B951B1" w:rsidP="00CB78E6">
            <w:pPr>
              <w:spacing w:after="0"/>
              <w:jc w:val="center"/>
              <w:rPr>
                <w:rFonts w:eastAsia="Times New Roman" w:cs="Calibri"/>
                <w:color w:val="000000"/>
                <w:sz w:val="18"/>
                <w:szCs w:val="18"/>
              </w:rPr>
            </w:pPr>
            <w:r w:rsidRPr="00E61612">
              <w:rPr>
                <w:color w:val="000000"/>
                <w:sz w:val="20"/>
                <w:szCs w:val="20"/>
              </w:rPr>
              <w:t>TM2-2022</w:t>
            </w:r>
          </w:p>
        </w:tc>
        <w:tc>
          <w:tcPr>
            <w:tcW w:w="438" w:type="pct"/>
            <w:shd w:val="clear" w:color="auto" w:fill="D9D9D9"/>
          </w:tcPr>
          <w:p w:rsidR="00B951B1" w:rsidRPr="00E61612" w:rsidRDefault="00B951B1" w:rsidP="00CB78E6">
            <w:pPr>
              <w:spacing w:after="0"/>
              <w:jc w:val="center"/>
              <w:rPr>
                <w:rFonts w:eastAsia="Times New Roman" w:cs="Calibri"/>
                <w:color w:val="000000"/>
                <w:sz w:val="18"/>
                <w:szCs w:val="18"/>
              </w:rPr>
            </w:pPr>
            <w:r w:rsidRPr="00E61612">
              <w:rPr>
                <w:color w:val="000000"/>
                <w:sz w:val="20"/>
                <w:szCs w:val="20"/>
              </w:rPr>
              <w:t>TM2-2023</w:t>
            </w:r>
          </w:p>
        </w:tc>
        <w:tc>
          <w:tcPr>
            <w:tcW w:w="462" w:type="pct"/>
            <w:shd w:val="clear" w:color="auto" w:fill="D9D9D9"/>
            <w:noWrap/>
          </w:tcPr>
          <w:p w:rsidR="00B951B1" w:rsidRPr="00E61612" w:rsidRDefault="00B951B1" w:rsidP="00CB78E6">
            <w:pPr>
              <w:spacing w:after="0"/>
              <w:jc w:val="right"/>
              <w:rPr>
                <w:rFonts w:eastAsia="Times New Roman" w:cs="Calibri"/>
                <w:color w:val="000000"/>
                <w:sz w:val="18"/>
                <w:szCs w:val="18"/>
              </w:rPr>
            </w:pPr>
            <w:r w:rsidRPr="00E61612">
              <w:rPr>
                <w:color w:val="000000"/>
                <w:sz w:val="20"/>
                <w:szCs w:val="20"/>
              </w:rPr>
              <w:t>64,560</w:t>
            </w:r>
          </w:p>
        </w:tc>
        <w:tc>
          <w:tcPr>
            <w:tcW w:w="475" w:type="pct"/>
            <w:shd w:val="clear" w:color="auto" w:fill="D9D9D9"/>
            <w:noWrap/>
          </w:tcPr>
          <w:p w:rsidR="00B951B1" w:rsidRPr="00E61612" w:rsidRDefault="00B951B1" w:rsidP="00CB78E6">
            <w:pPr>
              <w:spacing w:after="0"/>
              <w:jc w:val="right"/>
              <w:rPr>
                <w:rFonts w:eastAsia="Times New Roman" w:cs="Calibri"/>
                <w:color w:val="000000"/>
                <w:sz w:val="18"/>
                <w:szCs w:val="18"/>
              </w:rPr>
            </w:pPr>
            <w:r w:rsidRPr="00E61612">
              <w:rPr>
                <w:color w:val="000000"/>
                <w:sz w:val="20"/>
                <w:szCs w:val="20"/>
              </w:rPr>
              <w:t>-</w:t>
            </w:r>
          </w:p>
        </w:tc>
        <w:tc>
          <w:tcPr>
            <w:tcW w:w="486" w:type="pct"/>
            <w:shd w:val="clear" w:color="auto" w:fill="D9D9D9"/>
            <w:noWrap/>
          </w:tcPr>
          <w:p w:rsidR="00B951B1" w:rsidRPr="00E61612" w:rsidRDefault="00B951B1" w:rsidP="00CB78E6">
            <w:pPr>
              <w:spacing w:after="0"/>
              <w:jc w:val="right"/>
              <w:rPr>
                <w:rFonts w:eastAsia="Times New Roman" w:cs="Calibri"/>
                <w:color w:val="000000"/>
                <w:sz w:val="18"/>
                <w:szCs w:val="18"/>
              </w:rPr>
            </w:pPr>
            <w:r w:rsidRPr="00E61612">
              <w:rPr>
                <w:color w:val="000000"/>
                <w:sz w:val="20"/>
                <w:szCs w:val="20"/>
              </w:rPr>
              <w:t xml:space="preserve">                   -   </w:t>
            </w:r>
          </w:p>
        </w:tc>
        <w:tc>
          <w:tcPr>
            <w:tcW w:w="458" w:type="pct"/>
            <w:shd w:val="clear" w:color="auto" w:fill="D9D9D9"/>
            <w:noWrap/>
          </w:tcPr>
          <w:p w:rsidR="00B951B1" w:rsidRPr="00E61612" w:rsidRDefault="00B951B1" w:rsidP="00CB78E6">
            <w:pPr>
              <w:spacing w:after="0"/>
              <w:jc w:val="right"/>
              <w:rPr>
                <w:rFonts w:eastAsia="Times New Roman" w:cs="Calibri"/>
                <w:color w:val="000000"/>
                <w:sz w:val="18"/>
                <w:szCs w:val="18"/>
              </w:rPr>
            </w:pPr>
            <w:r w:rsidRPr="00E61612">
              <w:rPr>
                <w:color w:val="000000"/>
                <w:sz w:val="20"/>
                <w:szCs w:val="20"/>
              </w:rPr>
              <w:t>(64,560)</w:t>
            </w:r>
          </w:p>
        </w:tc>
      </w:tr>
      <w:tr w:rsidR="00B951B1" w:rsidRPr="00E61612" w:rsidTr="00CB78E6">
        <w:trPr>
          <w:trHeight w:val="20"/>
        </w:trPr>
        <w:tc>
          <w:tcPr>
            <w:tcW w:w="310" w:type="pct"/>
            <w:shd w:val="clear" w:color="auto" w:fill="FFFFFF"/>
          </w:tcPr>
          <w:p w:rsidR="00B951B1" w:rsidRPr="00E61612" w:rsidRDefault="00B951B1" w:rsidP="00CB78E6">
            <w:pPr>
              <w:spacing w:after="0"/>
              <w:jc w:val="center"/>
              <w:rPr>
                <w:rFonts w:eastAsia="Times New Roman" w:cs="Calibri"/>
                <w:b/>
                <w:bCs/>
                <w:color w:val="000000"/>
                <w:sz w:val="18"/>
                <w:szCs w:val="18"/>
              </w:rPr>
            </w:pPr>
            <w:r w:rsidRPr="00E61612">
              <w:rPr>
                <w:b/>
                <w:bCs/>
                <w:color w:val="000000"/>
                <w:sz w:val="20"/>
                <w:szCs w:val="20"/>
              </w:rPr>
              <w:t>C4.1.1</w:t>
            </w:r>
          </w:p>
        </w:tc>
        <w:tc>
          <w:tcPr>
            <w:tcW w:w="1002" w:type="pct"/>
            <w:shd w:val="clear" w:color="auto" w:fill="FFFFFF"/>
          </w:tcPr>
          <w:p w:rsidR="00B951B1" w:rsidRPr="00E61612" w:rsidRDefault="00B951B1" w:rsidP="00CB78E6">
            <w:pPr>
              <w:spacing w:after="0"/>
              <w:rPr>
                <w:rFonts w:eastAsia="Times New Roman" w:cs="Calibri"/>
                <w:sz w:val="18"/>
                <w:szCs w:val="18"/>
              </w:rPr>
            </w:pPr>
            <w:r w:rsidRPr="00E61612">
              <w:rPr>
                <w:sz w:val="20"/>
                <w:szCs w:val="20"/>
              </w:rPr>
              <w:t xml:space="preserve">Zhvillimi i rregulloreve për publikimin e të dhënave dhe dokumenteve </w:t>
            </w:r>
            <w:r>
              <w:rPr>
                <w:sz w:val="20"/>
                <w:szCs w:val="20"/>
              </w:rPr>
              <w:t>përkatëse</w:t>
            </w:r>
            <w:r w:rsidRPr="00E61612">
              <w:rPr>
                <w:sz w:val="20"/>
                <w:szCs w:val="20"/>
              </w:rPr>
              <w:t xml:space="preserve"> në faqe</w:t>
            </w:r>
            <w:r>
              <w:rPr>
                <w:sz w:val="20"/>
                <w:szCs w:val="20"/>
              </w:rPr>
              <w:t>n e internetit</w:t>
            </w:r>
            <w:r w:rsidRPr="00E61612">
              <w:rPr>
                <w:sz w:val="20"/>
                <w:szCs w:val="20"/>
              </w:rPr>
              <w:t xml:space="preserve"> të IAL-ve (Open Data)</w:t>
            </w:r>
          </w:p>
        </w:tc>
        <w:tc>
          <w:tcPr>
            <w:tcW w:w="492" w:type="pct"/>
            <w:shd w:val="clear" w:color="auto" w:fill="FFFFFF"/>
          </w:tcPr>
          <w:p w:rsidR="00B951B1" w:rsidRPr="00E61612" w:rsidRDefault="00B951B1" w:rsidP="00CB78E6">
            <w:pPr>
              <w:spacing w:after="0"/>
              <w:jc w:val="center"/>
              <w:rPr>
                <w:rFonts w:eastAsia="Times New Roman" w:cs="Calibri"/>
                <w:color w:val="000000"/>
                <w:sz w:val="18"/>
                <w:szCs w:val="18"/>
              </w:rPr>
            </w:pPr>
            <w:r w:rsidRPr="00E61612">
              <w:rPr>
                <w:color w:val="000000"/>
                <w:sz w:val="20"/>
                <w:szCs w:val="20"/>
              </w:rPr>
              <w:t>MASR, IAL-të</w:t>
            </w:r>
          </w:p>
        </w:tc>
        <w:tc>
          <w:tcPr>
            <w:tcW w:w="494" w:type="pct"/>
            <w:shd w:val="clear" w:color="auto" w:fill="FFFFFF"/>
          </w:tcPr>
          <w:p w:rsidR="00B951B1" w:rsidRPr="00E61612" w:rsidRDefault="00B951B1" w:rsidP="00CB78E6">
            <w:pPr>
              <w:spacing w:after="0"/>
              <w:jc w:val="center"/>
              <w:rPr>
                <w:rFonts w:eastAsia="Times New Roman" w:cs="Calibri"/>
                <w:color w:val="000000"/>
                <w:sz w:val="18"/>
                <w:szCs w:val="18"/>
              </w:rPr>
            </w:pPr>
            <w:r w:rsidRPr="00E61612">
              <w:rPr>
                <w:color w:val="000000"/>
                <w:sz w:val="20"/>
                <w:szCs w:val="20"/>
              </w:rPr>
              <w:t>RASH</w:t>
            </w:r>
          </w:p>
        </w:tc>
        <w:tc>
          <w:tcPr>
            <w:tcW w:w="383" w:type="pct"/>
            <w:shd w:val="clear" w:color="auto" w:fill="FFFFFF"/>
          </w:tcPr>
          <w:p w:rsidR="00B951B1" w:rsidRPr="00E61612" w:rsidRDefault="00B951B1" w:rsidP="00CB78E6">
            <w:pPr>
              <w:spacing w:after="0"/>
              <w:jc w:val="center"/>
              <w:rPr>
                <w:rFonts w:eastAsia="Times New Roman" w:cs="Calibri"/>
                <w:color w:val="000000"/>
                <w:sz w:val="18"/>
                <w:szCs w:val="18"/>
              </w:rPr>
            </w:pPr>
            <w:r w:rsidRPr="00E61612">
              <w:rPr>
                <w:color w:val="000000"/>
                <w:sz w:val="20"/>
                <w:szCs w:val="20"/>
              </w:rPr>
              <w:t>TM2-2022</w:t>
            </w:r>
          </w:p>
        </w:tc>
        <w:tc>
          <w:tcPr>
            <w:tcW w:w="438" w:type="pct"/>
            <w:shd w:val="clear" w:color="auto" w:fill="FFFFFF"/>
          </w:tcPr>
          <w:p w:rsidR="00B951B1" w:rsidRPr="00E61612" w:rsidRDefault="00B951B1" w:rsidP="00CB78E6">
            <w:pPr>
              <w:spacing w:after="0"/>
              <w:jc w:val="center"/>
              <w:rPr>
                <w:rFonts w:eastAsia="Times New Roman" w:cs="Calibri"/>
                <w:color w:val="000000"/>
                <w:sz w:val="18"/>
                <w:szCs w:val="18"/>
              </w:rPr>
            </w:pPr>
            <w:r w:rsidRPr="00E61612">
              <w:rPr>
                <w:color w:val="000000"/>
                <w:sz w:val="20"/>
                <w:szCs w:val="20"/>
              </w:rPr>
              <w:t>TM3-2022</w:t>
            </w:r>
          </w:p>
        </w:tc>
        <w:tc>
          <w:tcPr>
            <w:tcW w:w="462" w:type="pct"/>
            <w:shd w:val="clear" w:color="auto" w:fill="FFFFFF"/>
            <w:noWrap/>
          </w:tcPr>
          <w:p w:rsidR="00B951B1" w:rsidRPr="00E61612" w:rsidRDefault="00B951B1" w:rsidP="00CB78E6">
            <w:pPr>
              <w:spacing w:after="0"/>
              <w:jc w:val="right"/>
              <w:rPr>
                <w:rFonts w:eastAsia="Times New Roman" w:cs="Calibri"/>
                <w:color w:val="000000"/>
                <w:sz w:val="18"/>
                <w:szCs w:val="18"/>
              </w:rPr>
            </w:pPr>
            <w:r w:rsidRPr="00E61612">
              <w:rPr>
                <w:color w:val="000000"/>
                <w:sz w:val="20"/>
                <w:szCs w:val="20"/>
              </w:rPr>
              <w:t>1,920</w:t>
            </w:r>
          </w:p>
        </w:tc>
        <w:tc>
          <w:tcPr>
            <w:tcW w:w="475" w:type="pct"/>
            <w:shd w:val="clear" w:color="auto" w:fill="FFFFFF"/>
            <w:noWrap/>
          </w:tcPr>
          <w:p w:rsidR="00B951B1" w:rsidRPr="00E61612" w:rsidRDefault="00B951B1" w:rsidP="00CB78E6">
            <w:pPr>
              <w:spacing w:after="0"/>
              <w:jc w:val="right"/>
              <w:rPr>
                <w:rFonts w:eastAsia="Times New Roman" w:cs="Calibri"/>
                <w:color w:val="000000"/>
                <w:sz w:val="18"/>
                <w:szCs w:val="18"/>
              </w:rPr>
            </w:pPr>
            <w:r w:rsidRPr="00E61612">
              <w:rPr>
                <w:color w:val="000000"/>
                <w:sz w:val="20"/>
                <w:szCs w:val="20"/>
              </w:rPr>
              <w:t>-</w:t>
            </w:r>
          </w:p>
        </w:tc>
        <w:tc>
          <w:tcPr>
            <w:tcW w:w="486" w:type="pct"/>
            <w:shd w:val="clear" w:color="auto" w:fill="FFFFFF"/>
            <w:noWrap/>
          </w:tcPr>
          <w:p w:rsidR="00B951B1" w:rsidRPr="00E61612" w:rsidRDefault="00B951B1" w:rsidP="00CB78E6">
            <w:pPr>
              <w:spacing w:after="0"/>
              <w:jc w:val="right"/>
              <w:rPr>
                <w:rFonts w:eastAsia="Times New Roman" w:cs="Calibri"/>
                <w:color w:val="000000"/>
                <w:sz w:val="18"/>
                <w:szCs w:val="18"/>
              </w:rPr>
            </w:pPr>
            <w:r w:rsidRPr="00E61612">
              <w:rPr>
                <w:color w:val="000000"/>
                <w:sz w:val="20"/>
                <w:szCs w:val="20"/>
              </w:rPr>
              <w:t xml:space="preserve">                   -   </w:t>
            </w:r>
          </w:p>
        </w:tc>
        <w:tc>
          <w:tcPr>
            <w:tcW w:w="458" w:type="pct"/>
            <w:shd w:val="clear" w:color="auto" w:fill="FFFFFF"/>
            <w:noWrap/>
          </w:tcPr>
          <w:p w:rsidR="00B951B1" w:rsidRPr="00E61612" w:rsidRDefault="00B951B1" w:rsidP="00CB78E6">
            <w:pPr>
              <w:spacing w:after="0"/>
              <w:jc w:val="right"/>
              <w:rPr>
                <w:rFonts w:eastAsia="Times New Roman" w:cs="Calibri"/>
                <w:color w:val="000000"/>
                <w:sz w:val="18"/>
                <w:szCs w:val="18"/>
              </w:rPr>
            </w:pPr>
            <w:r w:rsidRPr="00E61612">
              <w:rPr>
                <w:color w:val="000000"/>
                <w:sz w:val="20"/>
                <w:szCs w:val="20"/>
              </w:rPr>
              <w:t>(1,920)</w:t>
            </w:r>
          </w:p>
        </w:tc>
      </w:tr>
      <w:tr w:rsidR="00B951B1" w:rsidRPr="00E61612" w:rsidTr="00CB78E6">
        <w:trPr>
          <w:trHeight w:val="20"/>
        </w:trPr>
        <w:tc>
          <w:tcPr>
            <w:tcW w:w="310" w:type="pct"/>
            <w:tcBorders>
              <w:bottom w:val="single" w:sz="4" w:space="0" w:color="auto"/>
            </w:tcBorders>
            <w:shd w:val="clear" w:color="auto" w:fill="FFFFFF"/>
          </w:tcPr>
          <w:p w:rsidR="00B951B1" w:rsidRPr="00E61612" w:rsidRDefault="00B951B1" w:rsidP="00CB78E6">
            <w:pPr>
              <w:spacing w:after="0"/>
              <w:jc w:val="center"/>
              <w:rPr>
                <w:rFonts w:eastAsia="Times New Roman" w:cs="Calibri"/>
                <w:b/>
                <w:bCs/>
                <w:color w:val="000000"/>
                <w:sz w:val="18"/>
                <w:szCs w:val="18"/>
              </w:rPr>
            </w:pPr>
            <w:r w:rsidRPr="00E61612">
              <w:rPr>
                <w:b/>
                <w:bCs/>
                <w:color w:val="000000"/>
                <w:sz w:val="20"/>
                <w:szCs w:val="20"/>
              </w:rPr>
              <w:t>C4.1.2</w:t>
            </w:r>
          </w:p>
        </w:tc>
        <w:tc>
          <w:tcPr>
            <w:tcW w:w="1002" w:type="pct"/>
            <w:tcBorders>
              <w:bottom w:val="single" w:sz="4" w:space="0" w:color="auto"/>
            </w:tcBorders>
            <w:shd w:val="clear" w:color="auto" w:fill="FFFFFF"/>
          </w:tcPr>
          <w:p w:rsidR="00B951B1" w:rsidRPr="00E61612" w:rsidRDefault="00B951B1" w:rsidP="00CB78E6">
            <w:pPr>
              <w:spacing w:after="0"/>
              <w:rPr>
                <w:rFonts w:eastAsia="Times New Roman" w:cs="Calibri"/>
                <w:sz w:val="18"/>
                <w:szCs w:val="18"/>
              </w:rPr>
            </w:pPr>
            <w:r w:rsidRPr="00E61612">
              <w:rPr>
                <w:sz w:val="20"/>
                <w:szCs w:val="20"/>
              </w:rPr>
              <w:t>Miratimi i kodeve etike institucionale në të gjitha IAL-të</w:t>
            </w:r>
          </w:p>
        </w:tc>
        <w:tc>
          <w:tcPr>
            <w:tcW w:w="492" w:type="pct"/>
            <w:tcBorders>
              <w:bottom w:val="single" w:sz="4" w:space="0" w:color="auto"/>
            </w:tcBorders>
            <w:shd w:val="clear" w:color="auto" w:fill="FFFFFF"/>
          </w:tcPr>
          <w:p w:rsidR="00B951B1" w:rsidRPr="00E61612" w:rsidRDefault="00B951B1" w:rsidP="00CB78E6">
            <w:pPr>
              <w:spacing w:after="0"/>
              <w:jc w:val="center"/>
              <w:rPr>
                <w:rFonts w:eastAsia="Times New Roman" w:cs="Calibri"/>
                <w:color w:val="000000"/>
                <w:sz w:val="18"/>
                <w:szCs w:val="18"/>
              </w:rPr>
            </w:pPr>
            <w:r w:rsidRPr="00E61612">
              <w:rPr>
                <w:color w:val="000000"/>
                <w:sz w:val="20"/>
                <w:szCs w:val="20"/>
              </w:rPr>
              <w:t>IAL-të</w:t>
            </w:r>
          </w:p>
        </w:tc>
        <w:tc>
          <w:tcPr>
            <w:tcW w:w="494" w:type="pct"/>
            <w:tcBorders>
              <w:bottom w:val="single" w:sz="4" w:space="0" w:color="auto"/>
            </w:tcBorders>
            <w:shd w:val="clear" w:color="auto" w:fill="FFFFFF"/>
          </w:tcPr>
          <w:p w:rsidR="00B951B1" w:rsidRPr="00E61612" w:rsidRDefault="00B951B1" w:rsidP="00CB78E6">
            <w:pPr>
              <w:spacing w:after="0"/>
              <w:jc w:val="center"/>
              <w:rPr>
                <w:rFonts w:eastAsia="Times New Roman" w:cs="Calibri"/>
                <w:color w:val="000000"/>
                <w:sz w:val="18"/>
                <w:szCs w:val="18"/>
              </w:rPr>
            </w:pPr>
            <w:r w:rsidRPr="00E61612">
              <w:rPr>
                <w:color w:val="000000"/>
                <w:sz w:val="20"/>
                <w:szCs w:val="20"/>
              </w:rPr>
              <w:t>MASR</w:t>
            </w:r>
          </w:p>
        </w:tc>
        <w:tc>
          <w:tcPr>
            <w:tcW w:w="383" w:type="pct"/>
            <w:tcBorders>
              <w:bottom w:val="single" w:sz="4" w:space="0" w:color="auto"/>
            </w:tcBorders>
            <w:shd w:val="clear" w:color="auto" w:fill="FFFFFF"/>
          </w:tcPr>
          <w:p w:rsidR="00B951B1" w:rsidRPr="00E61612" w:rsidRDefault="00B951B1" w:rsidP="00CB78E6">
            <w:pPr>
              <w:spacing w:after="0"/>
              <w:jc w:val="center"/>
              <w:rPr>
                <w:rFonts w:eastAsia="Times New Roman" w:cs="Calibri"/>
                <w:color w:val="000000"/>
                <w:sz w:val="18"/>
                <w:szCs w:val="18"/>
              </w:rPr>
            </w:pPr>
            <w:r w:rsidRPr="00E61612">
              <w:rPr>
                <w:color w:val="000000"/>
                <w:sz w:val="20"/>
                <w:szCs w:val="20"/>
              </w:rPr>
              <w:t>TM2-2022</w:t>
            </w:r>
          </w:p>
        </w:tc>
        <w:tc>
          <w:tcPr>
            <w:tcW w:w="438" w:type="pct"/>
            <w:tcBorders>
              <w:bottom w:val="single" w:sz="4" w:space="0" w:color="auto"/>
            </w:tcBorders>
            <w:shd w:val="clear" w:color="auto" w:fill="FFFFFF"/>
          </w:tcPr>
          <w:p w:rsidR="00B951B1" w:rsidRPr="00E61612" w:rsidRDefault="00B951B1" w:rsidP="00CB78E6">
            <w:pPr>
              <w:spacing w:after="0"/>
              <w:jc w:val="center"/>
              <w:rPr>
                <w:rFonts w:eastAsia="Times New Roman" w:cs="Calibri"/>
                <w:color w:val="000000"/>
                <w:sz w:val="18"/>
                <w:szCs w:val="18"/>
              </w:rPr>
            </w:pPr>
            <w:r w:rsidRPr="00E61612">
              <w:rPr>
                <w:color w:val="000000"/>
                <w:sz w:val="20"/>
                <w:szCs w:val="20"/>
              </w:rPr>
              <w:t>TM2-2023</w:t>
            </w:r>
          </w:p>
        </w:tc>
        <w:tc>
          <w:tcPr>
            <w:tcW w:w="462" w:type="pct"/>
            <w:tcBorders>
              <w:bottom w:val="single" w:sz="4" w:space="0" w:color="auto"/>
            </w:tcBorders>
            <w:shd w:val="clear" w:color="auto" w:fill="FFFFFF"/>
            <w:noWrap/>
          </w:tcPr>
          <w:p w:rsidR="00B951B1" w:rsidRPr="00E61612" w:rsidRDefault="00B951B1" w:rsidP="00CB78E6">
            <w:pPr>
              <w:spacing w:after="0"/>
              <w:jc w:val="right"/>
              <w:rPr>
                <w:rFonts w:eastAsia="Times New Roman" w:cs="Calibri"/>
                <w:color w:val="000000"/>
                <w:sz w:val="18"/>
                <w:szCs w:val="18"/>
              </w:rPr>
            </w:pPr>
            <w:r w:rsidRPr="00E61612">
              <w:rPr>
                <w:color w:val="000000"/>
                <w:sz w:val="20"/>
                <w:szCs w:val="20"/>
              </w:rPr>
              <w:t>-</w:t>
            </w:r>
          </w:p>
        </w:tc>
        <w:tc>
          <w:tcPr>
            <w:tcW w:w="475" w:type="pct"/>
            <w:tcBorders>
              <w:bottom w:val="single" w:sz="4" w:space="0" w:color="auto"/>
            </w:tcBorders>
            <w:shd w:val="clear" w:color="auto" w:fill="FFFFFF"/>
            <w:noWrap/>
          </w:tcPr>
          <w:p w:rsidR="00B951B1" w:rsidRPr="00E61612" w:rsidRDefault="00B951B1" w:rsidP="00CB78E6">
            <w:pPr>
              <w:spacing w:after="0"/>
              <w:jc w:val="right"/>
              <w:rPr>
                <w:rFonts w:eastAsia="Times New Roman" w:cs="Calibri"/>
                <w:color w:val="000000"/>
                <w:sz w:val="18"/>
                <w:szCs w:val="18"/>
              </w:rPr>
            </w:pPr>
            <w:r w:rsidRPr="00E61612">
              <w:rPr>
                <w:color w:val="000000"/>
                <w:sz w:val="20"/>
                <w:szCs w:val="20"/>
              </w:rPr>
              <w:t>-</w:t>
            </w:r>
          </w:p>
        </w:tc>
        <w:tc>
          <w:tcPr>
            <w:tcW w:w="486" w:type="pct"/>
            <w:tcBorders>
              <w:bottom w:val="single" w:sz="4" w:space="0" w:color="auto"/>
            </w:tcBorders>
            <w:shd w:val="clear" w:color="auto" w:fill="FFFFFF"/>
            <w:noWrap/>
          </w:tcPr>
          <w:p w:rsidR="00B951B1" w:rsidRPr="00E61612" w:rsidRDefault="00B951B1" w:rsidP="00CB78E6">
            <w:pPr>
              <w:spacing w:after="0"/>
              <w:jc w:val="right"/>
              <w:rPr>
                <w:rFonts w:eastAsia="Times New Roman" w:cs="Calibri"/>
                <w:color w:val="000000"/>
                <w:sz w:val="18"/>
                <w:szCs w:val="18"/>
              </w:rPr>
            </w:pPr>
            <w:r w:rsidRPr="00E61612">
              <w:rPr>
                <w:color w:val="000000"/>
                <w:sz w:val="20"/>
                <w:szCs w:val="20"/>
              </w:rPr>
              <w:t xml:space="preserve">                   -   </w:t>
            </w:r>
          </w:p>
        </w:tc>
        <w:tc>
          <w:tcPr>
            <w:tcW w:w="458" w:type="pct"/>
            <w:tcBorders>
              <w:bottom w:val="single" w:sz="4" w:space="0" w:color="auto"/>
            </w:tcBorders>
            <w:shd w:val="clear" w:color="auto" w:fill="FFFFFF"/>
            <w:noWrap/>
          </w:tcPr>
          <w:p w:rsidR="00B951B1" w:rsidRPr="00E61612" w:rsidRDefault="00B951B1" w:rsidP="00CB78E6">
            <w:pPr>
              <w:spacing w:after="0"/>
              <w:jc w:val="right"/>
              <w:rPr>
                <w:rFonts w:eastAsia="Times New Roman" w:cs="Calibri"/>
                <w:color w:val="000000"/>
                <w:sz w:val="18"/>
                <w:szCs w:val="18"/>
              </w:rPr>
            </w:pPr>
            <w:r w:rsidRPr="00E61612">
              <w:rPr>
                <w:color w:val="000000"/>
                <w:sz w:val="20"/>
                <w:szCs w:val="20"/>
              </w:rPr>
              <w:t>-</w:t>
            </w:r>
          </w:p>
        </w:tc>
      </w:tr>
      <w:tr w:rsidR="00B951B1" w:rsidRPr="00E61612" w:rsidTr="00CB78E6">
        <w:trPr>
          <w:trHeight w:val="20"/>
        </w:trPr>
        <w:tc>
          <w:tcPr>
            <w:tcW w:w="310" w:type="pct"/>
            <w:shd w:val="clear" w:color="auto" w:fill="FFFFFF"/>
          </w:tcPr>
          <w:p w:rsidR="00B951B1" w:rsidRPr="00E61612" w:rsidRDefault="00B951B1" w:rsidP="00CB78E6">
            <w:pPr>
              <w:spacing w:after="0"/>
              <w:jc w:val="center"/>
              <w:rPr>
                <w:rFonts w:eastAsia="Times New Roman" w:cs="Calibri"/>
                <w:b/>
                <w:bCs/>
                <w:color w:val="000000"/>
                <w:sz w:val="18"/>
                <w:szCs w:val="18"/>
              </w:rPr>
            </w:pPr>
            <w:r w:rsidRPr="00E61612">
              <w:rPr>
                <w:b/>
                <w:bCs/>
                <w:color w:val="000000"/>
                <w:sz w:val="20"/>
                <w:szCs w:val="20"/>
              </w:rPr>
              <w:t>C4.1.3</w:t>
            </w:r>
          </w:p>
        </w:tc>
        <w:tc>
          <w:tcPr>
            <w:tcW w:w="1002" w:type="pct"/>
            <w:shd w:val="clear" w:color="auto" w:fill="FFFFFF"/>
          </w:tcPr>
          <w:p w:rsidR="00B951B1" w:rsidRPr="00E61612" w:rsidRDefault="00B951B1" w:rsidP="00CB78E6">
            <w:pPr>
              <w:spacing w:after="0"/>
              <w:rPr>
                <w:rFonts w:eastAsia="Times New Roman" w:cs="Calibri"/>
                <w:sz w:val="18"/>
                <w:szCs w:val="18"/>
              </w:rPr>
            </w:pPr>
            <w:r w:rsidRPr="00E61612">
              <w:rPr>
                <w:sz w:val="20"/>
                <w:szCs w:val="20"/>
              </w:rPr>
              <w:t xml:space="preserve"> Instalimi i softuerit anti-plagjiaturë në IAL-të publike</w:t>
            </w:r>
          </w:p>
        </w:tc>
        <w:tc>
          <w:tcPr>
            <w:tcW w:w="492" w:type="pct"/>
            <w:shd w:val="clear" w:color="auto" w:fill="FFFFFF"/>
          </w:tcPr>
          <w:p w:rsidR="00B951B1" w:rsidRPr="00E61612" w:rsidRDefault="00B951B1" w:rsidP="00CB78E6">
            <w:pPr>
              <w:spacing w:after="0"/>
              <w:jc w:val="center"/>
              <w:rPr>
                <w:rFonts w:eastAsia="Times New Roman" w:cs="Calibri"/>
                <w:color w:val="000000"/>
                <w:sz w:val="18"/>
                <w:szCs w:val="18"/>
              </w:rPr>
            </w:pPr>
            <w:r w:rsidRPr="00E61612">
              <w:rPr>
                <w:color w:val="000000"/>
                <w:sz w:val="20"/>
                <w:szCs w:val="20"/>
              </w:rPr>
              <w:t>MASR</w:t>
            </w:r>
          </w:p>
        </w:tc>
        <w:tc>
          <w:tcPr>
            <w:tcW w:w="494" w:type="pct"/>
            <w:shd w:val="clear" w:color="auto" w:fill="FFFFFF"/>
          </w:tcPr>
          <w:p w:rsidR="00B951B1" w:rsidRPr="00E61612" w:rsidRDefault="00B951B1" w:rsidP="00CB78E6">
            <w:pPr>
              <w:spacing w:after="0"/>
              <w:jc w:val="center"/>
              <w:rPr>
                <w:rFonts w:eastAsia="Times New Roman" w:cs="Calibri"/>
                <w:color w:val="000000"/>
                <w:sz w:val="18"/>
                <w:szCs w:val="18"/>
              </w:rPr>
            </w:pPr>
            <w:r w:rsidRPr="00E61612">
              <w:rPr>
                <w:color w:val="000000"/>
                <w:sz w:val="20"/>
                <w:szCs w:val="20"/>
              </w:rPr>
              <w:t>RASH</w:t>
            </w:r>
          </w:p>
        </w:tc>
        <w:tc>
          <w:tcPr>
            <w:tcW w:w="383" w:type="pct"/>
            <w:shd w:val="clear" w:color="auto" w:fill="FFFFFF"/>
          </w:tcPr>
          <w:p w:rsidR="00B951B1" w:rsidRPr="00E61612" w:rsidRDefault="00B951B1" w:rsidP="00CB78E6">
            <w:pPr>
              <w:spacing w:after="0"/>
              <w:jc w:val="center"/>
              <w:rPr>
                <w:rFonts w:eastAsia="Times New Roman" w:cs="Calibri"/>
                <w:color w:val="000000"/>
                <w:sz w:val="18"/>
                <w:szCs w:val="18"/>
              </w:rPr>
            </w:pPr>
            <w:r w:rsidRPr="00E61612">
              <w:rPr>
                <w:color w:val="000000"/>
                <w:sz w:val="20"/>
                <w:szCs w:val="20"/>
              </w:rPr>
              <w:t>TM2-2021</w:t>
            </w:r>
          </w:p>
        </w:tc>
        <w:tc>
          <w:tcPr>
            <w:tcW w:w="438" w:type="pct"/>
            <w:shd w:val="clear" w:color="auto" w:fill="FFFFFF"/>
          </w:tcPr>
          <w:p w:rsidR="00B951B1" w:rsidRPr="00E61612" w:rsidRDefault="00B951B1" w:rsidP="00CB78E6">
            <w:pPr>
              <w:spacing w:after="0"/>
              <w:jc w:val="center"/>
              <w:rPr>
                <w:rFonts w:eastAsia="Times New Roman" w:cs="Calibri"/>
                <w:color w:val="000000"/>
                <w:sz w:val="18"/>
                <w:szCs w:val="18"/>
              </w:rPr>
            </w:pPr>
            <w:r w:rsidRPr="00E61612">
              <w:rPr>
                <w:color w:val="000000"/>
                <w:sz w:val="20"/>
                <w:szCs w:val="20"/>
              </w:rPr>
              <w:t>TM4-2022</w:t>
            </w:r>
          </w:p>
        </w:tc>
        <w:tc>
          <w:tcPr>
            <w:tcW w:w="462" w:type="pct"/>
            <w:shd w:val="clear" w:color="auto" w:fill="FFFFFF"/>
            <w:noWrap/>
          </w:tcPr>
          <w:p w:rsidR="00B951B1" w:rsidRPr="00E61612" w:rsidRDefault="00B951B1" w:rsidP="00CB78E6">
            <w:pPr>
              <w:spacing w:after="0"/>
              <w:jc w:val="right"/>
              <w:rPr>
                <w:rFonts w:eastAsia="Times New Roman" w:cs="Calibri"/>
                <w:color w:val="000000"/>
                <w:sz w:val="18"/>
                <w:szCs w:val="18"/>
              </w:rPr>
            </w:pPr>
            <w:r w:rsidRPr="00E61612">
              <w:rPr>
                <w:color w:val="000000"/>
                <w:sz w:val="20"/>
                <w:szCs w:val="20"/>
              </w:rPr>
              <w:t>60,000</w:t>
            </w:r>
          </w:p>
        </w:tc>
        <w:tc>
          <w:tcPr>
            <w:tcW w:w="475" w:type="pct"/>
            <w:shd w:val="clear" w:color="auto" w:fill="FFFFFF"/>
            <w:noWrap/>
          </w:tcPr>
          <w:p w:rsidR="00B951B1" w:rsidRPr="00E61612" w:rsidRDefault="00B951B1" w:rsidP="00CB78E6">
            <w:pPr>
              <w:spacing w:after="0"/>
              <w:jc w:val="right"/>
              <w:rPr>
                <w:rFonts w:eastAsia="Times New Roman" w:cs="Calibri"/>
                <w:color w:val="000000"/>
                <w:sz w:val="18"/>
                <w:szCs w:val="18"/>
              </w:rPr>
            </w:pPr>
            <w:r w:rsidRPr="00E61612">
              <w:rPr>
                <w:color w:val="000000"/>
                <w:sz w:val="20"/>
                <w:szCs w:val="20"/>
              </w:rPr>
              <w:t>-</w:t>
            </w:r>
          </w:p>
        </w:tc>
        <w:tc>
          <w:tcPr>
            <w:tcW w:w="486" w:type="pct"/>
            <w:shd w:val="clear" w:color="auto" w:fill="FFFFFF"/>
            <w:noWrap/>
          </w:tcPr>
          <w:p w:rsidR="00B951B1" w:rsidRPr="00E61612" w:rsidRDefault="00B951B1" w:rsidP="00CB78E6">
            <w:pPr>
              <w:spacing w:after="0"/>
              <w:jc w:val="right"/>
              <w:rPr>
                <w:rFonts w:eastAsia="Times New Roman" w:cs="Calibri"/>
                <w:color w:val="000000"/>
                <w:sz w:val="18"/>
                <w:szCs w:val="18"/>
              </w:rPr>
            </w:pPr>
            <w:r w:rsidRPr="00E61612">
              <w:rPr>
                <w:color w:val="000000"/>
                <w:sz w:val="20"/>
                <w:szCs w:val="20"/>
              </w:rPr>
              <w:t xml:space="preserve">                   -   </w:t>
            </w:r>
          </w:p>
        </w:tc>
        <w:tc>
          <w:tcPr>
            <w:tcW w:w="458" w:type="pct"/>
            <w:shd w:val="clear" w:color="auto" w:fill="FFFFFF"/>
            <w:noWrap/>
          </w:tcPr>
          <w:p w:rsidR="00B951B1" w:rsidRPr="00E61612" w:rsidRDefault="00B951B1" w:rsidP="00CB78E6">
            <w:pPr>
              <w:spacing w:after="0"/>
              <w:jc w:val="right"/>
              <w:rPr>
                <w:rFonts w:eastAsia="Times New Roman" w:cs="Calibri"/>
                <w:color w:val="000000"/>
                <w:sz w:val="18"/>
                <w:szCs w:val="18"/>
              </w:rPr>
            </w:pPr>
            <w:r w:rsidRPr="00E61612">
              <w:rPr>
                <w:color w:val="000000"/>
                <w:sz w:val="20"/>
                <w:szCs w:val="20"/>
              </w:rPr>
              <w:t>(60,000)</w:t>
            </w:r>
          </w:p>
        </w:tc>
      </w:tr>
      <w:tr w:rsidR="00B951B1" w:rsidRPr="00E61612" w:rsidTr="00CB78E6">
        <w:trPr>
          <w:trHeight w:val="20"/>
        </w:trPr>
        <w:tc>
          <w:tcPr>
            <w:tcW w:w="310" w:type="pct"/>
            <w:tcBorders>
              <w:bottom w:val="single" w:sz="4" w:space="0" w:color="auto"/>
            </w:tcBorders>
            <w:shd w:val="clear" w:color="auto" w:fill="FFFFFF"/>
          </w:tcPr>
          <w:p w:rsidR="00B951B1" w:rsidRPr="00E61612" w:rsidRDefault="00B951B1" w:rsidP="00CB78E6">
            <w:pPr>
              <w:spacing w:after="0"/>
              <w:jc w:val="center"/>
              <w:rPr>
                <w:rFonts w:eastAsia="Times New Roman" w:cs="Calibri"/>
                <w:b/>
                <w:bCs/>
                <w:color w:val="000000"/>
                <w:sz w:val="18"/>
                <w:szCs w:val="18"/>
              </w:rPr>
            </w:pPr>
            <w:r w:rsidRPr="00E61612">
              <w:rPr>
                <w:b/>
                <w:bCs/>
                <w:color w:val="000000"/>
                <w:sz w:val="20"/>
                <w:szCs w:val="20"/>
              </w:rPr>
              <w:t>C4.1.4</w:t>
            </w:r>
          </w:p>
        </w:tc>
        <w:tc>
          <w:tcPr>
            <w:tcW w:w="1002" w:type="pct"/>
            <w:tcBorders>
              <w:bottom w:val="single" w:sz="4" w:space="0" w:color="auto"/>
            </w:tcBorders>
            <w:shd w:val="clear" w:color="auto" w:fill="FFFFFF"/>
          </w:tcPr>
          <w:p w:rsidR="00B951B1" w:rsidRPr="00E61612" w:rsidRDefault="00B951B1" w:rsidP="00CB78E6">
            <w:pPr>
              <w:spacing w:after="0"/>
              <w:rPr>
                <w:rFonts w:eastAsia="Times New Roman" w:cs="Calibri"/>
                <w:sz w:val="18"/>
                <w:szCs w:val="18"/>
              </w:rPr>
            </w:pPr>
            <w:r w:rsidRPr="00E61612">
              <w:rPr>
                <w:sz w:val="20"/>
                <w:szCs w:val="20"/>
              </w:rPr>
              <w:t xml:space="preserve">Ndërtimi i kapacitetit të organeve kolegjiale të IAL-ve publike për të siguruar </w:t>
            </w:r>
            <w:r w:rsidRPr="00E61612">
              <w:rPr>
                <w:sz w:val="20"/>
                <w:szCs w:val="20"/>
              </w:rPr>
              <w:lastRenderedPageBreak/>
              <w:t>respektimin e parimeve të integritetit akademik, transparencës dhe llogaridhënies</w:t>
            </w:r>
          </w:p>
        </w:tc>
        <w:tc>
          <w:tcPr>
            <w:tcW w:w="492" w:type="pct"/>
            <w:tcBorders>
              <w:bottom w:val="single" w:sz="4" w:space="0" w:color="auto"/>
            </w:tcBorders>
            <w:shd w:val="clear" w:color="auto" w:fill="FFFFFF"/>
          </w:tcPr>
          <w:p w:rsidR="00B951B1" w:rsidRPr="00E61612" w:rsidRDefault="00B951B1" w:rsidP="00CB78E6">
            <w:pPr>
              <w:spacing w:after="0"/>
              <w:jc w:val="center"/>
              <w:rPr>
                <w:rFonts w:eastAsia="Times New Roman" w:cs="Calibri"/>
                <w:color w:val="000000"/>
                <w:sz w:val="18"/>
                <w:szCs w:val="18"/>
              </w:rPr>
            </w:pPr>
            <w:r w:rsidRPr="00E61612">
              <w:rPr>
                <w:color w:val="000000"/>
                <w:sz w:val="20"/>
                <w:szCs w:val="20"/>
              </w:rPr>
              <w:lastRenderedPageBreak/>
              <w:t>MASR, IAL-të</w:t>
            </w:r>
          </w:p>
        </w:tc>
        <w:tc>
          <w:tcPr>
            <w:tcW w:w="494" w:type="pct"/>
            <w:tcBorders>
              <w:bottom w:val="single" w:sz="4" w:space="0" w:color="auto"/>
            </w:tcBorders>
            <w:shd w:val="clear" w:color="auto" w:fill="FFFFFF"/>
          </w:tcPr>
          <w:p w:rsidR="00B951B1" w:rsidRPr="00E61612" w:rsidRDefault="00B951B1" w:rsidP="00CB78E6">
            <w:pPr>
              <w:spacing w:after="0"/>
              <w:jc w:val="center"/>
              <w:rPr>
                <w:rFonts w:eastAsia="Times New Roman" w:cs="Calibri"/>
                <w:color w:val="000000"/>
                <w:sz w:val="18"/>
                <w:szCs w:val="18"/>
              </w:rPr>
            </w:pPr>
            <w:r w:rsidRPr="00E61612">
              <w:rPr>
                <w:color w:val="000000"/>
                <w:sz w:val="20"/>
                <w:szCs w:val="20"/>
              </w:rPr>
              <w:t> </w:t>
            </w:r>
          </w:p>
        </w:tc>
        <w:tc>
          <w:tcPr>
            <w:tcW w:w="383" w:type="pct"/>
            <w:tcBorders>
              <w:bottom w:val="single" w:sz="4" w:space="0" w:color="auto"/>
            </w:tcBorders>
            <w:shd w:val="clear" w:color="auto" w:fill="FFFFFF"/>
          </w:tcPr>
          <w:p w:rsidR="00B951B1" w:rsidRPr="00E61612" w:rsidRDefault="00B951B1" w:rsidP="00CB78E6">
            <w:pPr>
              <w:spacing w:after="0"/>
              <w:jc w:val="center"/>
              <w:rPr>
                <w:rFonts w:eastAsia="Times New Roman" w:cs="Calibri"/>
                <w:color w:val="000000"/>
                <w:sz w:val="18"/>
                <w:szCs w:val="18"/>
              </w:rPr>
            </w:pPr>
            <w:r w:rsidRPr="00E61612">
              <w:rPr>
                <w:color w:val="000000"/>
                <w:sz w:val="20"/>
                <w:szCs w:val="20"/>
              </w:rPr>
              <w:t>TM2-2022</w:t>
            </w:r>
          </w:p>
        </w:tc>
        <w:tc>
          <w:tcPr>
            <w:tcW w:w="438" w:type="pct"/>
            <w:tcBorders>
              <w:bottom w:val="single" w:sz="4" w:space="0" w:color="auto"/>
            </w:tcBorders>
            <w:shd w:val="clear" w:color="auto" w:fill="FFFFFF"/>
          </w:tcPr>
          <w:p w:rsidR="00B951B1" w:rsidRPr="00E61612" w:rsidRDefault="00B951B1" w:rsidP="00CB78E6">
            <w:pPr>
              <w:spacing w:after="0"/>
              <w:jc w:val="center"/>
              <w:rPr>
                <w:rFonts w:eastAsia="Times New Roman" w:cs="Calibri"/>
                <w:color w:val="000000"/>
                <w:sz w:val="18"/>
                <w:szCs w:val="18"/>
              </w:rPr>
            </w:pPr>
            <w:r w:rsidRPr="00E61612">
              <w:rPr>
                <w:color w:val="000000"/>
                <w:sz w:val="20"/>
                <w:szCs w:val="20"/>
              </w:rPr>
              <w:t>TM2-2023</w:t>
            </w:r>
          </w:p>
        </w:tc>
        <w:tc>
          <w:tcPr>
            <w:tcW w:w="462" w:type="pct"/>
            <w:tcBorders>
              <w:bottom w:val="single" w:sz="4" w:space="0" w:color="auto"/>
            </w:tcBorders>
            <w:shd w:val="clear" w:color="auto" w:fill="FFFFFF"/>
            <w:noWrap/>
          </w:tcPr>
          <w:p w:rsidR="00B951B1" w:rsidRPr="00E61612" w:rsidRDefault="00B951B1" w:rsidP="00CB78E6">
            <w:pPr>
              <w:spacing w:after="0"/>
              <w:jc w:val="right"/>
              <w:rPr>
                <w:rFonts w:eastAsia="Times New Roman" w:cs="Calibri"/>
                <w:color w:val="000000"/>
                <w:sz w:val="18"/>
                <w:szCs w:val="18"/>
              </w:rPr>
            </w:pPr>
            <w:r w:rsidRPr="00E61612">
              <w:rPr>
                <w:color w:val="000000"/>
                <w:sz w:val="20"/>
                <w:szCs w:val="20"/>
              </w:rPr>
              <w:t>2,640</w:t>
            </w:r>
          </w:p>
        </w:tc>
        <w:tc>
          <w:tcPr>
            <w:tcW w:w="475" w:type="pct"/>
            <w:tcBorders>
              <w:bottom w:val="single" w:sz="4" w:space="0" w:color="auto"/>
            </w:tcBorders>
            <w:shd w:val="clear" w:color="auto" w:fill="FFFFFF"/>
            <w:noWrap/>
          </w:tcPr>
          <w:p w:rsidR="00B951B1" w:rsidRPr="00E61612" w:rsidRDefault="00B951B1" w:rsidP="00CB78E6">
            <w:pPr>
              <w:spacing w:after="0"/>
              <w:jc w:val="right"/>
              <w:rPr>
                <w:rFonts w:eastAsia="Times New Roman" w:cs="Calibri"/>
                <w:color w:val="000000"/>
                <w:sz w:val="18"/>
                <w:szCs w:val="18"/>
              </w:rPr>
            </w:pPr>
            <w:r w:rsidRPr="00E61612">
              <w:rPr>
                <w:color w:val="000000"/>
                <w:sz w:val="20"/>
                <w:szCs w:val="20"/>
              </w:rPr>
              <w:t>-</w:t>
            </w:r>
          </w:p>
        </w:tc>
        <w:tc>
          <w:tcPr>
            <w:tcW w:w="486" w:type="pct"/>
            <w:tcBorders>
              <w:bottom w:val="single" w:sz="4" w:space="0" w:color="auto"/>
            </w:tcBorders>
            <w:shd w:val="clear" w:color="auto" w:fill="FFFFFF"/>
            <w:noWrap/>
          </w:tcPr>
          <w:p w:rsidR="00B951B1" w:rsidRPr="00E61612" w:rsidRDefault="00B951B1" w:rsidP="00CB78E6">
            <w:pPr>
              <w:spacing w:after="0"/>
              <w:jc w:val="right"/>
              <w:rPr>
                <w:rFonts w:eastAsia="Times New Roman" w:cs="Calibri"/>
                <w:color w:val="000000"/>
                <w:sz w:val="18"/>
                <w:szCs w:val="18"/>
              </w:rPr>
            </w:pPr>
            <w:r w:rsidRPr="00E61612">
              <w:rPr>
                <w:color w:val="000000"/>
                <w:sz w:val="20"/>
                <w:szCs w:val="20"/>
              </w:rPr>
              <w:t xml:space="preserve">                   -   </w:t>
            </w:r>
          </w:p>
        </w:tc>
        <w:tc>
          <w:tcPr>
            <w:tcW w:w="458" w:type="pct"/>
            <w:tcBorders>
              <w:bottom w:val="single" w:sz="4" w:space="0" w:color="auto"/>
            </w:tcBorders>
            <w:shd w:val="clear" w:color="auto" w:fill="FFFFFF"/>
            <w:noWrap/>
          </w:tcPr>
          <w:p w:rsidR="00B951B1" w:rsidRPr="00E61612" w:rsidRDefault="00B951B1" w:rsidP="00CB78E6">
            <w:pPr>
              <w:spacing w:after="0"/>
              <w:jc w:val="right"/>
              <w:rPr>
                <w:rFonts w:eastAsia="Times New Roman" w:cs="Calibri"/>
                <w:color w:val="000000"/>
                <w:sz w:val="18"/>
                <w:szCs w:val="18"/>
              </w:rPr>
            </w:pPr>
            <w:r w:rsidRPr="00E61612">
              <w:rPr>
                <w:color w:val="000000"/>
                <w:sz w:val="20"/>
                <w:szCs w:val="20"/>
              </w:rPr>
              <w:t>(2,640)</w:t>
            </w:r>
          </w:p>
        </w:tc>
      </w:tr>
      <w:tr w:rsidR="00B951B1" w:rsidRPr="00E61612" w:rsidTr="00CB78E6">
        <w:trPr>
          <w:trHeight w:val="20"/>
        </w:trPr>
        <w:tc>
          <w:tcPr>
            <w:tcW w:w="310" w:type="pct"/>
            <w:tcBorders>
              <w:bottom w:val="single" w:sz="4" w:space="0" w:color="auto"/>
            </w:tcBorders>
            <w:shd w:val="clear" w:color="auto" w:fill="BFBFBF"/>
          </w:tcPr>
          <w:p w:rsidR="00B951B1" w:rsidRPr="00E61612" w:rsidRDefault="00B951B1" w:rsidP="00CB78E6">
            <w:pPr>
              <w:spacing w:after="0"/>
              <w:jc w:val="center"/>
              <w:rPr>
                <w:rFonts w:eastAsia="Times New Roman" w:cs="Calibri"/>
                <w:b/>
                <w:bCs/>
                <w:color w:val="000000"/>
                <w:sz w:val="18"/>
                <w:szCs w:val="18"/>
              </w:rPr>
            </w:pPr>
            <w:r w:rsidRPr="00E61612">
              <w:rPr>
                <w:b/>
                <w:bCs/>
                <w:color w:val="000000"/>
                <w:sz w:val="20"/>
                <w:szCs w:val="20"/>
              </w:rPr>
              <w:t>C5</w:t>
            </w:r>
          </w:p>
        </w:tc>
        <w:tc>
          <w:tcPr>
            <w:tcW w:w="1002" w:type="pct"/>
            <w:tcBorders>
              <w:bottom w:val="single" w:sz="4" w:space="0" w:color="auto"/>
            </w:tcBorders>
            <w:shd w:val="clear" w:color="auto" w:fill="BFBFBF"/>
          </w:tcPr>
          <w:p w:rsidR="00B951B1" w:rsidRPr="00E61612" w:rsidRDefault="00B951B1" w:rsidP="00CB78E6">
            <w:pPr>
              <w:spacing w:after="0"/>
              <w:rPr>
                <w:rFonts w:eastAsia="Times New Roman" w:cs="Calibri"/>
                <w:sz w:val="18"/>
                <w:szCs w:val="18"/>
              </w:rPr>
            </w:pPr>
            <w:r w:rsidRPr="00E61612">
              <w:rPr>
                <w:sz w:val="20"/>
                <w:szCs w:val="20"/>
              </w:rPr>
              <w:t>Përmirësimi i statusit socio-ekonomik të studentëve përmes ofrimit të shërbimeve cilësore dhe formave të ndryshme të ndihmës financiare</w:t>
            </w:r>
          </w:p>
        </w:tc>
        <w:tc>
          <w:tcPr>
            <w:tcW w:w="492" w:type="pct"/>
            <w:tcBorders>
              <w:bottom w:val="single" w:sz="4" w:space="0" w:color="auto"/>
            </w:tcBorders>
            <w:shd w:val="clear" w:color="auto" w:fill="BFBFBF"/>
          </w:tcPr>
          <w:p w:rsidR="00B951B1" w:rsidRPr="00E61612" w:rsidRDefault="00B951B1" w:rsidP="00CB78E6">
            <w:pPr>
              <w:spacing w:after="0"/>
              <w:jc w:val="center"/>
              <w:rPr>
                <w:rFonts w:eastAsia="Times New Roman" w:cs="Calibri"/>
                <w:color w:val="000000"/>
                <w:sz w:val="18"/>
                <w:szCs w:val="18"/>
              </w:rPr>
            </w:pPr>
            <w:r w:rsidRPr="00E61612">
              <w:rPr>
                <w:color w:val="000000"/>
                <w:sz w:val="20"/>
                <w:szCs w:val="20"/>
              </w:rPr>
              <w:t>MASR, IAL-të</w:t>
            </w:r>
          </w:p>
        </w:tc>
        <w:tc>
          <w:tcPr>
            <w:tcW w:w="494" w:type="pct"/>
            <w:tcBorders>
              <w:bottom w:val="single" w:sz="4" w:space="0" w:color="auto"/>
            </w:tcBorders>
            <w:shd w:val="clear" w:color="auto" w:fill="BFBFBF"/>
          </w:tcPr>
          <w:p w:rsidR="00B951B1" w:rsidRPr="00E61612" w:rsidRDefault="00B951B1" w:rsidP="00CB78E6">
            <w:pPr>
              <w:spacing w:after="0"/>
              <w:jc w:val="center"/>
              <w:rPr>
                <w:rFonts w:eastAsia="Times New Roman" w:cs="Calibri"/>
                <w:color w:val="000000"/>
                <w:sz w:val="18"/>
                <w:szCs w:val="18"/>
              </w:rPr>
            </w:pPr>
            <w:r w:rsidRPr="00E61612">
              <w:rPr>
                <w:color w:val="000000"/>
                <w:sz w:val="20"/>
                <w:szCs w:val="20"/>
              </w:rPr>
              <w:t>MASR, IAL-të, Bashkia Tiranë</w:t>
            </w:r>
          </w:p>
        </w:tc>
        <w:tc>
          <w:tcPr>
            <w:tcW w:w="383" w:type="pct"/>
            <w:tcBorders>
              <w:bottom w:val="single" w:sz="4" w:space="0" w:color="auto"/>
            </w:tcBorders>
            <w:shd w:val="clear" w:color="auto" w:fill="BFBFBF"/>
          </w:tcPr>
          <w:p w:rsidR="00B951B1" w:rsidRPr="00E61612" w:rsidRDefault="00B951B1" w:rsidP="00CB78E6">
            <w:pPr>
              <w:spacing w:after="0"/>
              <w:jc w:val="center"/>
              <w:rPr>
                <w:rFonts w:eastAsia="Times New Roman" w:cs="Calibri"/>
                <w:color w:val="000000"/>
                <w:sz w:val="18"/>
                <w:szCs w:val="18"/>
              </w:rPr>
            </w:pPr>
            <w:r w:rsidRPr="00E61612">
              <w:rPr>
                <w:color w:val="000000"/>
                <w:sz w:val="20"/>
                <w:szCs w:val="20"/>
              </w:rPr>
              <w:t>TM1-2021</w:t>
            </w:r>
          </w:p>
        </w:tc>
        <w:tc>
          <w:tcPr>
            <w:tcW w:w="438" w:type="pct"/>
            <w:tcBorders>
              <w:bottom w:val="single" w:sz="4" w:space="0" w:color="auto"/>
            </w:tcBorders>
            <w:shd w:val="clear" w:color="auto" w:fill="BFBFBF"/>
          </w:tcPr>
          <w:p w:rsidR="00B951B1" w:rsidRPr="00E61612" w:rsidRDefault="00B951B1" w:rsidP="00CB78E6">
            <w:pPr>
              <w:spacing w:after="0"/>
              <w:jc w:val="center"/>
              <w:rPr>
                <w:rFonts w:eastAsia="Times New Roman" w:cs="Calibri"/>
                <w:color w:val="000000"/>
                <w:sz w:val="18"/>
                <w:szCs w:val="18"/>
              </w:rPr>
            </w:pPr>
            <w:r w:rsidRPr="00E61612">
              <w:rPr>
                <w:color w:val="000000"/>
                <w:sz w:val="20"/>
                <w:szCs w:val="20"/>
              </w:rPr>
              <w:t>TM4-2026</w:t>
            </w:r>
          </w:p>
        </w:tc>
        <w:tc>
          <w:tcPr>
            <w:tcW w:w="462" w:type="pct"/>
            <w:tcBorders>
              <w:bottom w:val="single" w:sz="4" w:space="0" w:color="auto"/>
            </w:tcBorders>
            <w:shd w:val="clear" w:color="auto" w:fill="BFBFBF"/>
            <w:noWrap/>
          </w:tcPr>
          <w:p w:rsidR="00B951B1" w:rsidRPr="00E61612" w:rsidRDefault="00B951B1" w:rsidP="00CB78E6">
            <w:pPr>
              <w:spacing w:after="0"/>
              <w:jc w:val="right"/>
              <w:rPr>
                <w:rFonts w:eastAsia="Times New Roman" w:cs="Calibri"/>
                <w:color w:val="000000"/>
                <w:sz w:val="18"/>
                <w:szCs w:val="18"/>
              </w:rPr>
            </w:pPr>
            <w:r w:rsidRPr="00E61612">
              <w:rPr>
                <w:color w:val="000000"/>
                <w:sz w:val="20"/>
                <w:szCs w:val="20"/>
              </w:rPr>
              <w:t>6,601,020</w:t>
            </w:r>
          </w:p>
        </w:tc>
        <w:tc>
          <w:tcPr>
            <w:tcW w:w="475" w:type="pct"/>
            <w:tcBorders>
              <w:bottom w:val="single" w:sz="4" w:space="0" w:color="auto"/>
            </w:tcBorders>
            <w:shd w:val="clear" w:color="auto" w:fill="BFBFBF"/>
            <w:noWrap/>
          </w:tcPr>
          <w:p w:rsidR="00B951B1" w:rsidRPr="00E61612" w:rsidRDefault="00B951B1" w:rsidP="00CB78E6">
            <w:pPr>
              <w:spacing w:after="0"/>
              <w:jc w:val="right"/>
              <w:rPr>
                <w:rFonts w:eastAsia="Times New Roman" w:cs="Calibri"/>
                <w:color w:val="000000"/>
                <w:sz w:val="18"/>
                <w:szCs w:val="18"/>
              </w:rPr>
            </w:pPr>
            <w:r w:rsidRPr="00E61612">
              <w:rPr>
                <w:color w:val="000000"/>
                <w:sz w:val="20"/>
                <w:szCs w:val="20"/>
              </w:rPr>
              <w:t>6,600,000</w:t>
            </w:r>
          </w:p>
        </w:tc>
        <w:tc>
          <w:tcPr>
            <w:tcW w:w="486" w:type="pct"/>
            <w:tcBorders>
              <w:bottom w:val="single" w:sz="4" w:space="0" w:color="auto"/>
            </w:tcBorders>
            <w:shd w:val="clear" w:color="auto" w:fill="BFBFBF"/>
            <w:noWrap/>
          </w:tcPr>
          <w:p w:rsidR="00B951B1" w:rsidRPr="00E61612" w:rsidRDefault="00B951B1" w:rsidP="00CB78E6">
            <w:pPr>
              <w:spacing w:after="0"/>
              <w:jc w:val="right"/>
              <w:rPr>
                <w:rFonts w:eastAsia="Times New Roman" w:cs="Calibri"/>
                <w:color w:val="000000"/>
                <w:sz w:val="18"/>
                <w:szCs w:val="18"/>
              </w:rPr>
            </w:pPr>
            <w:r w:rsidRPr="00E61612">
              <w:rPr>
                <w:color w:val="000000"/>
                <w:sz w:val="20"/>
                <w:szCs w:val="20"/>
              </w:rPr>
              <w:t xml:space="preserve">                   -   </w:t>
            </w:r>
          </w:p>
        </w:tc>
        <w:tc>
          <w:tcPr>
            <w:tcW w:w="458" w:type="pct"/>
            <w:tcBorders>
              <w:bottom w:val="single" w:sz="4" w:space="0" w:color="auto"/>
            </w:tcBorders>
            <w:shd w:val="clear" w:color="auto" w:fill="BFBFBF"/>
            <w:noWrap/>
          </w:tcPr>
          <w:p w:rsidR="00B951B1" w:rsidRPr="00E61612" w:rsidRDefault="00B951B1" w:rsidP="00CB78E6">
            <w:pPr>
              <w:spacing w:after="0"/>
              <w:jc w:val="right"/>
              <w:rPr>
                <w:rFonts w:eastAsia="Times New Roman" w:cs="Calibri"/>
                <w:color w:val="000000"/>
                <w:sz w:val="18"/>
                <w:szCs w:val="18"/>
              </w:rPr>
            </w:pPr>
            <w:r w:rsidRPr="00E61612">
              <w:rPr>
                <w:color w:val="000000"/>
                <w:sz w:val="20"/>
                <w:szCs w:val="20"/>
              </w:rPr>
              <w:t>(1,020)</w:t>
            </w:r>
          </w:p>
        </w:tc>
      </w:tr>
      <w:tr w:rsidR="00B951B1" w:rsidRPr="00E61612" w:rsidTr="00CB78E6">
        <w:trPr>
          <w:trHeight w:val="20"/>
        </w:trPr>
        <w:tc>
          <w:tcPr>
            <w:tcW w:w="310" w:type="pct"/>
            <w:tcBorders>
              <w:bottom w:val="single" w:sz="4" w:space="0" w:color="auto"/>
            </w:tcBorders>
            <w:shd w:val="clear" w:color="auto" w:fill="D9D9D9"/>
          </w:tcPr>
          <w:p w:rsidR="00B951B1" w:rsidRPr="00E61612" w:rsidRDefault="00B951B1" w:rsidP="00CB78E6">
            <w:pPr>
              <w:spacing w:after="0"/>
              <w:jc w:val="center"/>
              <w:rPr>
                <w:rFonts w:eastAsia="Times New Roman" w:cs="Calibri"/>
                <w:b/>
                <w:bCs/>
                <w:color w:val="000000"/>
                <w:sz w:val="18"/>
                <w:szCs w:val="18"/>
              </w:rPr>
            </w:pPr>
            <w:r w:rsidRPr="00E61612">
              <w:rPr>
                <w:b/>
                <w:bCs/>
                <w:color w:val="000000"/>
                <w:sz w:val="20"/>
                <w:szCs w:val="20"/>
              </w:rPr>
              <w:t>C5.1</w:t>
            </w:r>
          </w:p>
        </w:tc>
        <w:tc>
          <w:tcPr>
            <w:tcW w:w="1002" w:type="pct"/>
            <w:tcBorders>
              <w:bottom w:val="single" w:sz="4" w:space="0" w:color="auto"/>
            </w:tcBorders>
            <w:shd w:val="clear" w:color="auto" w:fill="D9D9D9"/>
          </w:tcPr>
          <w:p w:rsidR="00B951B1" w:rsidRPr="00E61612" w:rsidRDefault="00B951B1" w:rsidP="00CB78E6">
            <w:pPr>
              <w:spacing w:after="0"/>
              <w:rPr>
                <w:rFonts w:eastAsia="Times New Roman" w:cs="Calibri"/>
                <w:sz w:val="18"/>
                <w:szCs w:val="18"/>
              </w:rPr>
            </w:pPr>
            <w:r w:rsidRPr="00E61612">
              <w:rPr>
                <w:sz w:val="20"/>
                <w:szCs w:val="20"/>
              </w:rPr>
              <w:t>Pasurimi dhe përmirësimi i shërbimeve për studentë</w:t>
            </w:r>
          </w:p>
        </w:tc>
        <w:tc>
          <w:tcPr>
            <w:tcW w:w="492" w:type="pct"/>
            <w:tcBorders>
              <w:bottom w:val="single" w:sz="4" w:space="0" w:color="auto"/>
            </w:tcBorders>
            <w:shd w:val="clear" w:color="auto" w:fill="D9D9D9"/>
          </w:tcPr>
          <w:p w:rsidR="00B951B1" w:rsidRPr="00E61612" w:rsidRDefault="00B951B1" w:rsidP="00CB78E6">
            <w:pPr>
              <w:spacing w:after="0"/>
              <w:jc w:val="center"/>
              <w:rPr>
                <w:rFonts w:eastAsia="Times New Roman" w:cs="Calibri"/>
                <w:color w:val="000000"/>
                <w:sz w:val="18"/>
                <w:szCs w:val="18"/>
              </w:rPr>
            </w:pPr>
            <w:r w:rsidRPr="00E61612">
              <w:rPr>
                <w:color w:val="000000"/>
                <w:sz w:val="20"/>
                <w:szCs w:val="20"/>
              </w:rPr>
              <w:t>MASR, IAL-të</w:t>
            </w:r>
          </w:p>
        </w:tc>
        <w:tc>
          <w:tcPr>
            <w:tcW w:w="494" w:type="pct"/>
            <w:tcBorders>
              <w:bottom w:val="single" w:sz="4" w:space="0" w:color="auto"/>
            </w:tcBorders>
            <w:shd w:val="clear" w:color="auto" w:fill="D9D9D9"/>
          </w:tcPr>
          <w:p w:rsidR="00B951B1" w:rsidRPr="00E61612" w:rsidRDefault="00B951B1" w:rsidP="00CB78E6">
            <w:pPr>
              <w:spacing w:after="0"/>
              <w:jc w:val="center"/>
              <w:rPr>
                <w:rFonts w:eastAsia="Times New Roman" w:cs="Calibri"/>
                <w:color w:val="000000"/>
                <w:sz w:val="18"/>
                <w:szCs w:val="18"/>
              </w:rPr>
            </w:pPr>
            <w:r w:rsidRPr="00E61612">
              <w:rPr>
                <w:color w:val="000000"/>
                <w:sz w:val="20"/>
                <w:szCs w:val="20"/>
              </w:rPr>
              <w:t>MASR, IAL-të, Bashkia Tiranë</w:t>
            </w:r>
          </w:p>
        </w:tc>
        <w:tc>
          <w:tcPr>
            <w:tcW w:w="383" w:type="pct"/>
            <w:tcBorders>
              <w:bottom w:val="single" w:sz="4" w:space="0" w:color="auto"/>
            </w:tcBorders>
            <w:shd w:val="clear" w:color="auto" w:fill="D9D9D9"/>
          </w:tcPr>
          <w:p w:rsidR="00B951B1" w:rsidRPr="00E61612" w:rsidRDefault="00B951B1" w:rsidP="00CB78E6">
            <w:pPr>
              <w:spacing w:after="0"/>
              <w:jc w:val="center"/>
              <w:rPr>
                <w:rFonts w:eastAsia="Times New Roman" w:cs="Calibri"/>
                <w:color w:val="000000"/>
                <w:sz w:val="18"/>
                <w:szCs w:val="18"/>
              </w:rPr>
            </w:pPr>
            <w:r w:rsidRPr="00E61612">
              <w:rPr>
                <w:color w:val="000000"/>
                <w:sz w:val="20"/>
                <w:szCs w:val="20"/>
              </w:rPr>
              <w:t>TM1-2021</w:t>
            </w:r>
          </w:p>
        </w:tc>
        <w:tc>
          <w:tcPr>
            <w:tcW w:w="438" w:type="pct"/>
            <w:tcBorders>
              <w:bottom w:val="single" w:sz="4" w:space="0" w:color="auto"/>
            </w:tcBorders>
            <w:shd w:val="clear" w:color="auto" w:fill="D9D9D9"/>
          </w:tcPr>
          <w:p w:rsidR="00B951B1" w:rsidRPr="00E61612" w:rsidRDefault="00B951B1" w:rsidP="00CB78E6">
            <w:pPr>
              <w:spacing w:after="0"/>
              <w:jc w:val="center"/>
              <w:rPr>
                <w:rFonts w:eastAsia="Times New Roman" w:cs="Calibri"/>
                <w:color w:val="000000"/>
                <w:sz w:val="18"/>
                <w:szCs w:val="18"/>
              </w:rPr>
            </w:pPr>
            <w:r w:rsidRPr="00E61612">
              <w:rPr>
                <w:color w:val="000000"/>
                <w:sz w:val="20"/>
                <w:szCs w:val="20"/>
              </w:rPr>
              <w:t>TM4-2026</w:t>
            </w:r>
          </w:p>
        </w:tc>
        <w:tc>
          <w:tcPr>
            <w:tcW w:w="462" w:type="pct"/>
            <w:tcBorders>
              <w:bottom w:val="single" w:sz="4" w:space="0" w:color="auto"/>
            </w:tcBorders>
            <w:shd w:val="clear" w:color="auto" w:fill="D9D9D9"/>
            <w:noWrap/>
          </w:tcPr>
          <w:p w:rsidR="00B951B1" w:rsidRPr="00E61612" w:rsidRDefault="00B951B1" w:rsidP="00CB78E6">
            <w:pPr>
              <w:spacing w:after="0"/>
              <w:jc w:val="right"/>
              <w:rPr>
                <w:rFonts w:eastAsia="Times New Roman" w:cs="Calibri"/>
                <w:color w:val="000000"/>
                <w:sz w:val="18"/>
                <w:szCs w:val="18"/>
              </w:rPr>
            </w:pPr>
            <w:r w:rsidRPr="00E61612">
              <w:rPr>
                <w:color w:val="000000"/>
                <w:sz w:val="20"/>
                <w:szCs w:val="20"/>
              </w:rPr>
              <w:t>6,600,000</w:t>
            </w:r>
          </w:p>
        </w:tc>
        <w:tc>
          <w:tcPr>
            <w:tcW w:w="475" w:type="pct"/>
            <w:tcBorders>
              <w:bottom w:val="single" w:sz="4" w:space="0" w:color="auto"/>
            </w:tcBorders>
            <w:shd w:val="clear" w:color="auto" w:fill="D9D9D9"/>
            <w:noWrap/>
          </w:tcPr>
          <w:p w:rsidR="00B951B1" w:rsidRPr="00E61612" w:rsidRDefault="00B951B1" w:rsidP="00CB78E6">
            <w:pPr>
              <w:spacing w:after="0"/>
              <w:jc w:val="right"/>
              <w:rPr>
                <w:rFonts w:eastAsia="Times New Roman" w:cs="Calibri"/>
                <w:color w:val="000000"/>
                <w:sz w:val="18"/>
                <w:szCs w:val="18"/>
              </w:rPr>
            </w:pPr>
            <w:r w:rsidRPr="00E61612">
              <w:rPr>
                <w:color w:val="000000"/>
                <w:sz w:val="20"/>
                <w:szCs w:val="20"/>
              </w:rPr>
              <w:t>6,600,000</w:t>
            </w:r>
          </w:p>
        </w:tc>
        <w:tc>
          <w:tcPr>
            <w:tcW w:w="486" w:type="pct"/>
            <w:tcBorders>
              <w:bottom w:val="single" w:sz="4" w:space="0" w:color="auto"/>
            </w:tcBorders>
            <w:shd w:val="clear" w:color="auto" w:fill="D9D9D9"/>
            <w:noWrap/>
          </w:tcPr>
          <w:p w:rsidR="00B951B1" w:rsidRPr="00E61612" w:rsidRDefault="00B951B1" w:rsidP="00CB78E6">
            <w:pPr>
              <w:spacing w:after="0"/>
              <w:jc w:val="right"/>
              <w:rPr>
                <w:rFonts w:eastAsia="Times New Roman" w:cs="Calibri"/>
                <w:color w:val="000000"/>
                <w:sz w:val="18"/>
                <w:szCs w:val="18"/>
              </w:rPr>
            </w:pPr>
            <w:r w:rsidRPr="00E61612">
              <w:rPr>
                <w:color w:val="000000"/>
                <w:sz w:val="20"/>
                <w:szCs w:val="20"/>
              </w:rPr>
              <w:t xml:space="preserve">                   -   </w:t>
            </w:r>
          </w:p>
        </w:tc>
        <w:tc>
          <w:tcPr>
            <w:tcW w:w="458" w:type="pct"/>
            <w:tcBorders>
              <w:bottom w:val="single" w:sz="4" w:space="0" w:color="auto"/>
            </w:tcBorders>
            <w:shd w:val="clear" w:color="auto" w:fill="D9D9D9"/>
            <w:noWrap/>
          </w:tcPr>
          <w:p w:rsidR="00B951B1" w:rsidRPr="00E61612" w:rsidRDefault="00B951B1" w:rsidP="00CB78E6">
            <w:pPr>
              <w:spacing w:after="0"/>
              <w:jc w:val="right"/>
              <w:rPr>
                <w:rFonts w:eastAsia="Times New Roman" w:cs="Calibri"/>
                <w:color w:val="000000"/>
                <w:sz w:val="18"/>
                <w:szCs w:val="18"/>
              </w:rPr>
            </w:pPr>
            <w:r w:rsidRPr="00E61612">
              <w:rPr>
                <w:color w:val="000000"/>
                <w:sz w:val="20"/>
                <w:szCs w:val="20"/>
              </w:rPr>
              <w:t>-</w:t>
            </w:r>
          </w:p>
        </w:tc>
      </w:tr>
      <w:tr w:rsidR="00B951B1" w:rsidRPr="00E61612" w:rsidTr="00CB78E6">
        <w:trPr>
          <w:trHeight w:val="20"/>
        </w:trPr>
        <w:tc>
          <w:tcPr>
            <w:tcW w:w="310" w:type="pct"/>
            <w:shd w:val="clear" w:color="auto" w:fill="FFFFFF"/>
          </w:tcPr>
          <w:p w:rsidR="00B951B1" w:rsidRPr="00E61612" w:rsidRDefault="00B951B1" w:rsidP="00CB78E6">
            <w:pPr>
              <w:spacing w:after="0"/>
              <w:jc w:val="center"/>
              <w:rPr>
                <w:rFonts w:eastAsia="Times New Roman" w:cs="Calibri"/>
                <w:b/>
                <w:bCs/>
                <w:color w:val="000000"/>
                <w:sz w:val="18"/>
                <w:szCs w:val="18"/>
              </w:rPr>
            </w:pPr>
            <w:r w:rsidRPr="00E61612">
              <w:rPr>
                <w:b/>
                <w:bCs/>
                <w:color w:val="000000"/>
                <w:sz w:val="20"/>
                <w:szCs w:val="20"/>
              </w:rPr>
              <w:t>C5.1.1</w:t>
            </w:r>
          </w:p>
        </w:tc>
        <w:tc>
          <w:tcPr>
            <w:tcW w:w="1002" w:type="pct"/>
            <w:shd w:val="clear" w:color="auto" w:fill="FFFFFF"/>
          </w:tcPr>
          <w:p w:rsidR="00B951B1" w:rsidRPr="00E61612" w:rsidRDefault="00B951B1" w:rsidP="00CB78E6">
            <w:pPr>
              <w:spacing w:after="0"/>
              <w:rPr>
                <w:rFonts w:eastAsia="Times New Roman" w:cs="Calibri"/>
                <w:sz w:val="18"/>
                <w:szCs w:val="18"/>
              </w:rPr>
            </w:pPr>
            <w:r w:rsidRPr="00E61612">
              <w:rPr>
                <w:sz w:val="20"/>
                <w:szCs w:val="20"/>
              </w:rPr>
              <w:t>Dhënia e bursave për studentë</w:t>
            </w:r>
            <w:r>
              <w:rPr>
                <w:sz w:val="20"/>
                <w:szCs w:val="20"/>
              </w:rPr>
              <w:t>t</w:t>
            </w:r>
            <w:r w:rsidRPr="00E61612">
              <w:rPr>
                <w:sz w:val="20"/>
                <w:szCs w:val="20"/>
              </w:rPr>
              <w:t xml:space="preserve"> ekselentë dhe studentë</w:t>
            </w:r>
            <w:r>
              <w:rPr>
                <w:sz w:val="20"/>
                <w:szCs w:val="20"/>
              </w:rPr>
              <w:t>t</w:t>
            </w:r>
            <w:r w:rsidRPr="00E61612">
              <w:rPr>
                <w:sz w:val="20"/>
                <w:szCs w:val="20"/>
              </w:rPr>
              <w:t xml:space="preserve"> në nevojë</w:t>
            </w:r>
          </w:p>
        </w:tc>
        <w:tc>
          <w:tcPr>
            <w:tcW w:w="492" w:type="pct"/>
            <w:shd w:val="clear" w:color="auto" w:fill="FFFFFF"/>
          </w:tcPr>
          <w:p w:rsidR="00B951B1" w:rsidRPr="00E61612" w:rsidRDefault="00B951B1" w:rsidP="00CB78E6">
            <w:pPr>
              <w:spacing w:after="0"/>
              <w:jc w:val="center"/>
              <w:rPr>
                <w:rFonts w:eastAsia="Times New Roman" w:cs="Calibri"/>
                <w:color w:val="000000"/>
                <w:sz w:val="18"/>
                <w:szCs w:val="18"/>
              </w:rPr>
            </w:pPr>
            <w:r w:rsidRPr="00E61612">
              <w:rPr>
                <w:color w:val="000000"/>
                <w:sz w:val="20"/>
                <w:szCs w:val="20"/>
              </w:rPr>
              <w:t>IAL-të</w:t>
            </w:r>
          </w:p>
        </w:tc>
        <w:tc>
          <w:tcPr>
            <w:tcW w:w="494" w:type="pct"/>
            <w:shd w:val="clear" w:color="auto" w:fill="FFFFFF"/>
          </w:tcPr>
          <w:p w:rsidR="00B951B1" w:rsidRPr="00E61612" w:rsidRDefault="00B951B1" w:rsidP="00CB78E6">
            <w:pPr>
              <w:spacing w:after="0"/>
              <w:jc w:val="center"/>
              <w:rPr>
                <w:rFonts w:eastAsia="Times New Roman" w:cs="Calibri"/>
                <w:color w:val="000000"/>
                <w:sz w:val="18"/>
                <w:szCs w:val="18"/>
              </w:rPr>
            </w:pPr>
            <w:r w:rsidRPr="00E61612">
              <w:rPr>
                <w:color w:val="000000"/>
                <w:sz w:val="20"/>
                <w:szCs w:val="20"/>
              </w:rPr>
              <w:t>MASR</w:t>
            </w:r>
          </w:p>
        </w:tc>
        <w:tc>
          <w:tcPr>
            <w:tcW w:w="383" w:type="pct"/>
            <w:shd w:val="clear" w:color="auto" w:fill="FFFFFF"/>
          </w:tcPr>
          <w:p w:rsidR="00B951B1" w:rsidRPr="00E61612" w:rsidRDefault="00B951B1" w:rsidP="00CB78E6">
            <w:pPr>
              <w:spacing w:after="0"/>
              <w:jc w:val="center"/>
              <w:rPr>
                <w:rFonts w:eastAsia="Times New Roman" w:cs="Calibri"/>
                <w:color w:val="000000"/>
                <w:sz w:val="18"/>
                <w:szCs w:val="18"/>
              </w:rPr>
            </w:pPr>
            <w:r w:rsidRPr="00E61612">
              <w:rPr>
                <w:color w:val="000000"/>
                <w:sz w:val="20"/>
                <w:szCs w:val="20"/>
              </w:rPr>
              <w:t>TM1-2021</w:t>
            </w:r>
          </w:p>
        </w:tc>
        <w:tc>
          <w:tcPr>
            <w:tcW w:w="438" w:type="pct"/>
            <w:shd w:val="clear" w:color="auto" w:fill="FFFFFF"/>
          </w:tcPr>
          <w:p w:rsidR="00B951B1" w:rsidRPr="00E61612" w:rsidRDefault="00B951B1" w:rsidP="00CB78E6">
            <w:pPr>
              <w:spacing w:after="0"/>
              <w:jc w:val="center"/>
              <w:rPr>
                <w:rFonts w:eastAsia="Times New Roman" w:cs="Calibri"/>
                <w:color w:val="000000"/>
                <w:sz w:val="18"/>
                <w:szCs w:val="18"/>
              </w:rPr>
            </w:pPr>
            <w:r w:rsidRPr="00E61612">
              <w:rPr>
                <w:color w:val="000000"/>
                <w:sz w:val="20"/>
                <w:szCs w:val="20"/>
              </w:rPr>
              <w:t>TM4-2026</w:t>
            </w:r>
          </w:p>
        </w:tc>
        <w:tc>
          <w:tcPr>
            <w:tcW w:w="462" w:type="pct"/>
            <w:shd w:val="clear" w:color="auto" w:fill="FFFFFF"/>
            <w:noWrap/>
          </w:tcPr>
          <w:p w:rsidR="00B951B1" w:rsidRPr="00E61612" w:rsidRDefault="00B951B1" w:rsidP="00CB78E6">
            <w:pPr>
              <w:spacing w:after="0"/>
              <w:jc w:val="right"/>
              <w:rPr>
                <w:rFonts w:eastAsia="Times New Roman" w:cs="Calibri"/>
                <w:color w:val="000000"/>
                <w:sz w:val="18"/>
                <w:szCs w:val="18"/>
              </w:rPr>
            </w:pPr>
            <w:r w:rsidRPr="00E61612">
              <w:rPr>
                <w:color w:val="000000"/>
                <w:sz w:val="20"/>
                <w:szCs w:val="20"/>
              </w:rPr>
              <w:t>6,600,000</w:t>
            </w:r>
          </w:p>
        </w:tc>
        <w:tc>
          <w:tcPr>
            <w:tcW w:w="475" w:type="pct"/>
            <w:shd w:val="clear" w:color="auto" w:fill="FFFFFF"/>
            <w:noWrap/>
          </w:tcPr>
          <w:p w:rsidR="00B951B1" w:rsidRPr="00E61612" w:rsidRDefault="00B951B1" w:rsidP="00CB78E6">
            <w:pPr>
              <w:spacing w:after="0"/>
              <w:jc w:val="right"/>
              <w:rPr>
                <w:rFonts w:eastAsia="Times New Roman" w:cs="Calibri"/>
                <w:color w:val="000000"/>
                <w:sz w:val="18"/>
                <w:szCs w:val="18"/>
              </w:rPr>
            </w:pPr>
            <w:r w:rsidRPr="00E61612">
              <w:rPr>
                <w:color w:val="000000"/>
                <w:sz w:val="20"/>
                <w:szCs w:val="20"/>
              </w:rPr>
              <w:t>6,600,000</w:t>
            </w:r>
          </w:p>
        </w:tc>
        <w:tc>
          <w:tcPr>
            <w:tcW w:w="486" w:type="pct"/>
            <w:shd w:val="clear" w:color="auto" w:fill="FFFFFF"/>
            <w:noWrap/>
          </w:tcPr>
          <w:p w:rsidR="00B951B1" w:rsidRPr="00E61612" w:rsidRDefault="00B951B1" w:rsidP="00CB78E6">
            <w:pPr>
              <w:spacing w:after="0"/>
              <w:jc w:val="right"/>
              <w:rPr>
                <w:rFonts w:eastAsia="Times New Roman" w:cs="Calibri"/>
                <w:color w:val="000000"/>
                <w:sz w:val="18"/>
                <w:szCs w:val="18"/>
              </w:rPr>
            </w:pPr>
            <w:r w:rsidRPr="00E61612">
              <w:rPr>
                <w:color w:val="000000"/>
                <w:sz w:val="20"/>
                <w:szCs w:val="20"/>
              </w:rPr>
              <w:t xml:space="preserve">                   -   </w:t>
            </w:r>
          </w:p>
        </w:tc>
        <w:tc>
          <w:tcPr>
            <w:tcW w:w="458" w:type="pct"/>
            <w:shd w:val="clear" w:color="auto" w:fill="FFFFFF"/>
            <w:noWrap/>
          </w:tcPr>
          <w:p w:rsidR="00B951B1" w:rsidRPr="00E61612" w:rsidRDefault="00B951B1" w:rsidP="00CB78E6">
            <w:pPr>
              <w:spacing w:after="0"/>
              <w:jc w:val="right"/>
              <w:rPr>
                <w:rFonts w:eastAsia="Times New Roman" w:cs="Calibri"/>
                <w:color w:val="000000"/>
                <w:sz w:val="18"/>
                <w:szCs w:val="18"/>
              </w:rPr>
            </w:pPr>
            <w:r w:rsidRPr="00E61612">
              <w:rPr>
                <w:color w:val="000000"/>
                <w:sz w:val="20"/>
                <w:szCs w:val="20"/>
              </w:rPr>
              <w:t>-</w:t>
            </w:r>
          </w:p>
        </w:tc>
      </w:tr>
      <w:tr w:rsidR="00B951B1" w:rsidRPr="00E61612" w:rsidTr="00CB78E6">
        <w:trPr>
          <w:trHeight w:val="20"/>
        </w:trPr>
        <w:tc>
          <w:tcPr>
            <w:tcW w:w="310" w:type="pct"/>
            <w:tcBorders>
              <w:bottom w:val="single" w:sz="4" w:space="0" w:color="auto"/>
            </w:tcBorders>
            <w:shd w:val="clear" w:color="auto" w:fill="FFFFFF"/>
          </w:tcPr>
          <w:p w:rsidR="00B951B1" w:rsidRPr="00E61612" w:rsidRDefault="00B951B1" w:rsidP="00CB78E6">
            <w:pPr>
              <w:spacing w:after="0"/>
              <w:jc w:val="center"/>
              <w:rPr>
                <w:rFonts w:eastAsia="Times New Roman" w:cs="Calibri"/>
                <w:b/>
                <w:bCs/>
                <w:color w:val="000000"/>
                <w:sz w:val="18"/>
                <w:szCs w:val="18"/>
              </w:rPr>
            </w:pPr>
            <w:r w:rsidRPr="00E61612">
              <w:rPr>
                <w:b/>
                <w:bCs/>
                <w:color w:val="000000"/>
                <w:sz w:val="20"/>
                <w:szCs w:val="20"/>
              </w:rPr>
              <w:t>C5.1.2</w:t>
            </w:r>
          </w:p>
        </w:tc>
        <w:tc>
          <w:tcPr>
            <w:tcW w:w="1002" w:type="pct"/>
            <w:tcBorders>
              <w:bottom w:val="single" w:sz="4" w:space="0" w:color="auto"/>
            </w:tcBorders>
            <w:shd w:val="clear" w:color="auto" w:fill="FFFFFF"/>
          </w:tcPr>
          <w:p w:rsidR="00B951B1" w:rsidRPr="00E61612" w:rsidRDefault="00B951B1" w:rsidP="00CB78E6">
            <w:pPr>
              <w:spacing w:after="0"/>
              <w:rPr>
                <w:rFonts w:eastAsia="Times New Roman" w:cs="Calibri"/>
                <w:sz w:val="18"/>
                <w:szCs w:val="18"/>
              </w:rPr>
            </w:pPr>
            <w:r w:rsidRPr="00E61612">
              <w:rPr>
                <w:sz w:val="20"/>
                <w:szCs w:val="20"/>
              </w:rPr>
              <w:t>Ndërmjetësim për punësimin e studentëve</w:t>
            </w:r>
          </w:p>
        </w:tc>
        <w:tc>
          <w:tcPr>
            <w:tcW w:w="492" w:type="pct"/>
            <w:tcBorders>
              <w:bottom w:val="single" w:sz="4" w:space="0" w:color="auto"/>
            </w:tcBorders>
            <w:shd w:val="clear" w:color="auto" w:fill="FFFFFF"/>
          </w:tcPr>
          <w:p w:rsidR="00B951B1" w:rsidRPr="00E61612" w:rsidRDefault="00B951B1" w:rsidP="00CB78E6">
            <w:pPr>
              <w:spacing w:after="0"/>
              <w:jc w:val="center"/>
              <w:rPr>
                <w:rFonts w:eastAsia="Times New Roman" w:cs="Calibri"/>
                <w:color w:val="000000"/>
                <w:sz w:val="18"/>
                <w:szCs w:val="18"/>
              </w:rPr>
            </w:pPr>
            <w:r w:rsidRPr="00E61612">
              <w:rPr>
                <w:color w:val="000000"/>
                <w:sz w:val="20"/>
                <w:szCs w:val="20"/>
              </w:rPr>
              <w:t>IAL-të</w:t>
            </w:r>
          </w:p>
        </w:tc>
        <w:tc>
          <w:tcPr>
            <w:tcW w:w="494" w:type="pct"/>
            <w:tcBorders>
              <w:bottom w:val="single" w:sz="4" w:space="0" w:color="auto"/>
            </w:tcBorders>
            <w:shd w:val="clear" w:color="auto" w:fill="FFFFFF"/>
          </w:tcPr>
          <w:p w:rsidR="00B951B1" w:rsidRPr="00E61612" w:rsidRDefault="00B951B1" w:rsidP="00CB78E6">
            <w:pPr>
              <w:spacing w:after="0"/>
              <w:jc w:val="center"/>
              <w:rPr>
                <w:rFonts w:eastAsia="Times New Roman" w:cs="Calibri"/>
                <w:color w:val="000000"/>
                <w:sz w:val="18"/>
                <w:szCs w:val="18"/>
              </w:rPr>
            </w:pPr>
            <w:r w:rsidRPr="00E61612">
              <w:rPr>
                <w:color w:val="000000"/>
                <w:sz w:val="20"/>
                <w:szCs w:val="20"/>
              </w:rPr>
              <w:t>MASR</w:t>
            </w:r>
          </w:p>
        </w:tc>
        <w:tc>
          <w:tcPr>
            <w:tcW w:w="383" w:type="pct"/>
            <w:tcBorders>
              <w:bottom w:val="single" w:sz="4" w:space="0" w:color="auto"/>
            </w:tcBorders>
            <w:shd w:val="clear" w:color="auto" w:fill="FFFFFF"/>
          </w:tcPr>
          <w:p w:rsidR="00B951B1" w:rsidRPr="00E61612" w:rsidRDefault="00B951B1" w:rsidP="00CB78E6">
            <w:pPr>
              <w:spacing w:after="0"/>
              <w:jc w:val="center"/>
              <w:rPr>
                <w:rFonts w:eastAsia="Times New Roman" w:cs="Calibri"/>
                <w:color w:val="000000"/>
                <w:sz w:val="18"/>
                <w:szCs w:val="18"/>
              </w:rPr>
            </w:pPr>
            <w:r w:rsidRPr="00E61612">
              <w:rPr>
                <w:color w:val="000000"/>
                <w:sz w:val="20"/>
                <w:szCs w:val="20"/>
              </w:rPr>
              <w:t>TM3-2022</w:t>
            </w:r>
          </w:p>
        </w:tc>
        <w:tc>
          <w:tcPr>
            <w:tcW w:w="438" w:type="pct"/>
            <w:tcBorders>
              <w:bottom w:val="single" w:sz="4" w:space="0" w:color="auto"/>
            </w:tcBorders>
            <w:shd w:val="clear" w:color="auto" w:fill="FFFFFF"/>
          </w:tcPr>
          <w:p w:rsidR="00B951B1" w:rsidRPr="00E61612" w:rsidRDefault="00B951B1" w:rsidP="00CB78E6">
            <w:pPr>
              <w:spacing w:after="0"/>
              <w:jc w:val="center"/>
              <w:rPr>
                <w:rFonts w:eastAsia="Times New Roman" w:cs="Calibri"/>
                <w:color w:val="000000"/>
                <w:sz w:val="18"/>
                <w:szCs w:val="18"/>
              </w:rPr>
            </w:pPr>
            <w:r w:rsidRPr="00E61612">
              <w:rPr>
                <w:color w:val="000000"/>
                <w:sz w:val="20"/>
                <w:szCs w:val="20"/>
              </w:rPr>
              <w:t>TM4-2026</w:t>
            </w:r>
          </w:p>
        </w:tc>
        <w:tc>
          <w:tcPr>
            <w:tcW w:w="462" w:type="pct"/>
            <w:tcBorders>
              <w:bottom w:val="single" w:sz="4" w:space="0" w:color="auto"/>
            </w:tcBorders>
            <w:shd w:val="clear" w:color="auto" w:fill="FFFFFF"/>
            <w:noWrap/>
          </w:tcPr>
          <w:p w:rsidR="00B951B1" w:rsidRPr="00E61612" w:rsidRDefault="00B951B1" w:rsidP="00CB78E6">
            <w:pPr>
              <w:spacing w:after="0"/>
              <w:jc w:val="right"/>
              <w:rPr>
                <w:rFonts w:eastAsia="Times New Roman" w:cs="Calibri"/>
                <w:color w:val="000000"/>
                <w:sz w:val="18"/>
                <w:szCs w:val="18"/>
              </w:rPr>
            </w:pPr>
            <w:r w:rsidRPr="00E61612">
              <w:rPr>
                <w:color w:val="000000"/>
                <w:sz w:val="20"/>
                <w:szCs w:val="20"/>
              </w:rPr>
              <w:t>-</w:t>
            </w:r>
          </w:p>
        </w:tc>
        <w:tc>
          <w:tcPr>
            <w:tcW w:w="475" w:type="pct"/>
            <w:tcBorders>
              <w:bottom w:val="single" w:sz="4" w:space="0" w:color="auto"/>
            </w:tcBorders>
            <w:shd w:val="clear" w:color="auto" w:fill="FFFFFF"/>
            <w:noWrap/>
          </w:tcPr>
          <w:p w:rsidR="00B951B1" w:rsidRPr="00E61612" w:rsidRDefault="00B951B1" w:rsidP="00CB78E6">
            <w:pPr>
              <w:spacing w:after="0"/>
              <w:jc w:val="right"/>
              <w:rPr>
                <w:rFonts w:eastAsia="Times New Roman" w:cs="Calibri"/>
                <w:color w:val="000000"/>
                <w:sz w:val="18"/>
                <w:szCs w:val="18"/>
              </w:rPr>
            </w:pPr>
            <w:r w:rsidRPr="00E61612">
              <w:rPr>
                <w:color w:val="000000"/>
                <w:sz w:val="20"/>
                <w:szCs w:val="20"/>
              </w:rPr>
              <w:t>-</w:t>
            </w:r>
          </w:p>
        </w:tc>
        <w:tc>
          <w:tcPr>
            <w:tcW w:w="486" w:type="pct"/>
            <w:tcBorders>
              <w:bottom w:val="single" w:sz="4" w:space="0" w:color="auto"/>
            </w:tcBorders>
            <w:shd w:val="clear" w:color="auto" w:fill="FFFFFF"/>
            <w:noWrap/>
          </w:tcPr>
          <w:p w:rsidR="00B951B1" w:rsidRPr="00E61612" w:rsidRDefault="00B951B1" w:rsidP="00CB78E6">
            <w:pPr>
              <w:spacing w:after="0"/>
              <w:jc w:val="right"/>
              <w:rPr>
                <w:rFonts w:eastAsia="Times New Roman" w:cs="Calibri"/>
                <w:color w:val="000000"/>
                <w:sz w:val="18"/>
                <w:szCs w:val="18"/>
              </w:rPr>
            </w:pPr>
            <w:r w:rsidRPr="00E61612">
              <w:rPr>
                <w:color w:val="000000"/>
                <w:sz w:val="20"/>
                <w:szCs w:val="20"/>
              </w:rPr>
              <w:t xml:space="preserve">                   -   </w:t>
            </w:r>
          </w:p>
        </w:tc>
        <w:tc>
          <w:tcPr>
            <w:tcW w:w="458" w:type="pct"/>
            <w:tcBorders>
              <w:bottom w:val="single" w:sz="4" w:space="0" w:color="auto"/>
            </w:tcBorders>
            <w:shd w:val="clear" w:color="auto" w:fill="FFFFFF"/>
            <w:noWrap/>
          </w:tcPr>
          <w:p w:rsidR="00B951B1" w:rsidRPr="00E61612" w:rsidRDefault="00B951B1" w:rsidP="00CB78E6">
            <w:pPr>
              <w:spacing w:after="0"/>
              <w:jc w:val="right"/>
              <w:rPr>
                <w:rFonts w:eastAsia="Times New Roman" w:cs="Calibri"/>
                <w:color w:val="000000"/>
                <w:sz w:val="18"/>
                <w:szCs w:val="18"/>
              </w:rPr>
            </w:pPr>
            <w:r w:rsidRPr="00E61612">
              <w:rPr>
                <w:color w:val="000000"/>
                <w:sz w:val="20"/>
                <w:szCs w:val="20"/>
              </w:rPr>
              <w:t>-</w:t>
            </w:r>
          </w:p>
        </w:tc>
      </w:tr>
      <w:tr w:rsidR="00B951B1" w:rsidRPr="00E61612" w:rsidTr="00CB78E6">
        <w:trPr>
          <w:trHeight w:val="20"/>
        </w:trPr>
        <w:tc>
          <w:tcPr>
            <w:tcW w:w="310" w:type="pct"/>
            <w:tcBorders>
              <w:bottom w:val="single" w:sz="4" w:space="0" w:color="auto"/>
            </w:tcBorders>
            <w:shd w:val="clear" w:color="auto" w:fill="FFFFFF"/>
          </w:tcPr>
          <w:p w:rsidR="00B951B1" w:rsidRPr="00E61612" w:rsidRDefault="00B951B1" w:rsidP="00CB78E6">
            <w:pPr>
              <w:spacing w:after="0"/>
              <w:jc w:val="center"/>
              <w:rPr>
                <w:rFonts w:eastAsia="Times New Roman" w:cs="Calibri"/>
                <w:b/>
                <w:bCs/>
                <w:color w:val="000000"/>
                <w:sz w:val="18"/>
                <w:szCs w:val="18"/>
              </w:rPr>
            </w:pPr>
            <w:r w:rsidRPr="00E61612">
              <w:rPr>
                <w:b/>
                <w:bCs/>
                <w:color w:val="000000"/>
                <w:sz w:val="20"/>
                <w:szCs w:val="20"/>
              </w:rPr>
              <w:t>C5.1.3</w:t>
            </w:r>
          </w:p>
        </w:tc>
        <w:tc>
          <w:tcPr>
            <w:tcW w:w="1002" w:type="pct"/>
            <w:tcBorders>
              <w:bottom w:val="single" w:sz="4" w:space="0" w:color="auto"/>
            </w:tcBorders>
            <w:shd w:val="clear" w:color="auto" w:fill="FFFFFF"/>
          </w:tcPr>
          <w:p w:rsidR="00B951B1" w:rsidRPr="00E61612" w:rsidRDefault="00B951B1" w:rsidP="00CB78E6">
            <w:pPr>
              <w:spacing w:after="0"/>
              <w:rPr>
                <w:rFonts w:eastAsia="Times New Roman" w:cs="Calibri"/>
                <w:sz w:val="18"/>
                <w:szCs w:val="18"/>
              </w:rPr>
            </w:pPr>
            <w:r w:rsidRPr="00E61612">
              <w:rPr>
                <w:sz w:val="20"/>
                <w:szCs w:val="20"/>
              </w:rPr>
              <w:t>Zgjerimi i listës së shërbimeve të favorizuara për studentë</w:t>
            </w:r>
            <w:r>
              <w:rPr>
                <w:sz w:val="20"/>
                <w:szCs w:val="20"/>
              </w:rPr>
              <w:t>t</w:t>
            </w:r>
            <w:r w:rsidRPr="00E61612">
              <w:rPr>
                <w:sz w:val="20"/>
                <w:szCs w:val="20"/>
              </w:rPr>
              <w:t xml:space="preserve"> mbi bazën e kartës </w:t>
            </w:r>
            <w:r>
              <w:rPr>
                <w:sz w:val="20"/>
                <w:szCs w:val="20"/>
              </w:rPr>
              <w:t>së studentit</w:t>
            </w:r>
          </w:p>
        </w:tc>
        <w:tc>
          <w:tcPr>
            <w:tcW w:w="492" w:type="pct"/>
            <w:tcBorders>
              <w:bottom w:val="single" w:sz="4" w:space="0" w:color="auto"/>
            </w:tcBorders>
            <w:shd w:val="clear" w:color="auto" w:fill="FFFFFF"/>
          </w:tcPr>
          <w:p w:rsidR="00B951B1" w:rsidRPr="00E61612" w:rsidRDefault="00B951B1" w:rsidP="00CB78E6">
            <w:pPr>
              <w:spacing w:after="0"/>
              <w:jc w:val="center"/>
              <w:rPr>
                <w:rFonts w:eastAsia="Times New Roman" w:cs="Calibri"/>
                <w:color w:val="000000"/>
                <w:sz w:val="18"/>
                <w:szCs w:val="18"/>
              </w:rPr>
            </w:pPr>
            <w:r w:rsidRPr="00E61612">
              <w:rPr>
                <w:color w:val="000000"/>
                <w:sz w:val="20"/>
                <w:szCs w:val="20"/>
              </w:rPr>
              <w:t>MASR</w:t>
            </w:r>
          </w:p>
        </w:tc>
        <w:tc>
          <w:tcPr>
            <w:tcW w:w="494" w:type="pct"/>
            <w:tcBorders>
              <w:bottom w:val="single" w:sz="4" w:space="0" w:color="auto"/>
            </w:tcBorders>
            <w:shd w:val="clear" w:color="auto" w:fill="FFFFFF"/>
          </w:tcPr>
          <w:p w:rsidR="00B951B1" w:rsidRPr="00E61612" w:rsidRDefault="00B951B1" w:rsidP="00CB78E6">
            <w:pPr>
              <w:spacing w:after="0"/>
              <w:jc w:val="center"/>
              <w:rPr>
                <w:rFonts w:eastAsia="Times New Roman" w:cs="Calibri"/>
                <w:color w:val="000000"/>
                <w:sz w:val="18"/>
                <w:szCs w:val="18"/>
              </w:rPr>
            </w:pPr>
            <w:r w:rsidRPr="00E61612">
              <w:rPr>
                <w:color w:val="000000"/>
                <w:sz w:val="20"/>
                <w:szCs w:val="20"/>
              </w:rPr>
              <w:t>IAL-të, Bashkia Tiranë</w:t>
            </w:r>
          </w:p>
        </w:tc>
        <w:tc>
          <w:tcPr>
            <w:tcW w:w="383" w:type="pct"/>
            <w:tcBorders>
              <w:bottom w:val="single" w:sz="4" w:space="0" w:color="auto"/>
            </w:tcBorders>
            <w:shd w:val="clear" w:color="auto" w:fill="FFFFFF"/>
          </w:tcPr>
          <w:p w:rsidR="00B951B1" w:rsidRPr="00E61612" w:rsidRDefault="00B951B1" w:rsidP="00CB78E6">
            <w:pPr>
              <w:spacing w:after="0"/>
              <w:jc w:val="center"/>
              <w:rPr>
                <w:rFonts w:eastAsia="Times New Roman" w:cs="Calibri"/>
                <w:color w:val="000000"/>
                <w:sz w:val="18"/>
                <w:szCs w:val="18"/>
              </w:rPr>
            </w:pPr>
            <w:r w:rsidRPr="00E61612">
              <w:rPr>
                <w:color w:val="000000"/>
                <w:sz w:val="20"/>
                <w:szCs w:val="20"/>
              </w:rPr>
              <w:t>TM3-2021</w:t>
            </w:r>
          </w:p>
        </w:tc>
        <w:tc>
          <w:tcPr>
            <w:tcW w:w="438" w:type="pct"/>
            <w:tcBorders>
              <w:bottom w:val="single" w:sz="4" w:space="0" w:color="auto"/>
            </w:tcBorders>
            <w:shd w:val="clear" w:color="auto" w:fill="FFFFFF"/>
          </w:tcPr>
          <w:p w:rsidR="00B951B1" w:rsidRPr="00E61612" w:rsidRDefault="00B951B1" w:rsidP="00CB78E6">
            <w:pPr>
              <w:spacing w:after="0"/>
              <w:jc w:val="center"/>
              <w:rPr>
                <w:rFonts w:eastAsia="Times New Roman" w:cs="Calibri"/>
                <w:color w:val="000000"/>
                <w:sz w:val="18"/>
                <w:szCs w:val="18"/>
              </w:rPr>
            </w:pPr>
            <w:r w:rsidRPr="00E61612">
              <w:rPr>
                <w:color w:val="000000"/>
                <w:sz w:val="20"/>
                <w:szCs w:val="20"/>
              </w:rPr>
              <w:t>TM4-2026</w:t>
            </w:r>
          </w:p>
        </w:tc>
        <w:tc>
          <w:tcPr>
            <w:tcW w:w="462" w:type="pct"/>
            <w:tcBorders>
              <w:bottom w:val="single" w:sz="4" w:space="0" w:color="auto"/>
            </w:tcBorders>
            <w:shd w:val="clear" w:color="auto" w:fill="FFFFFF"/>
            <w:noWrap/>
          </w:tcPr>
          <w:p w:rsidR="00B951B1" w:rsidRPr="00E61612" w:rsidRDefault="00B951B1" w:rsidP="00CB78E6">
            <w:pPr>
              <w:spacing w:after="0"/>
              <w:jc w:val="right"/>
              <w:rPr>
                <w:rFonts w:eastAsia="Times New Roman" w:cs="Calibri"/>
                <w:color w:val="000000"/>
                <w:sz w:val="18"/>
                <w:szCs w:val="18"/>
              </w:rPr>
            </w:pPr>
            <w:r w:rsidRPr="00E61612">
              <w:rPr>
                <w:color w:val="000000"/>
                <w:sz w:val="20"/>
                <w:szCs w:val="20"/>
              </w:rPr>
              <w:t>-</w:t>
            </w:r>
          </w:p>
        </w:tc>
        <w:tc>
          <w:tcPr>
            <w:tcW w:w="475" w:type="pct"/>
            <w:tcBorders>
              <w:bottom w:val="single" w:sz="4" w:space="0" w:color="auto"/>
            </w:tcBorders>
            <w:shd w:val="clear" w:color="auto" w:fill="FFFFFF"/>
            <w:noWrap/>
          </w:tcPr>
          <w:p w:rsidR="00B951B1" w:rsidRPr="00E61612" w:rsidRDefault="00B951B1" w:rsidP="00CB78E6">
            <w:pPr>
              <w:spacing w:after="0"/>
              <w:jc w:val="right"/>
              <w:rPr>
                <w:rFonts w:eastAsia="Times New Roman" w:cs="Calibri"/>
                <w:color w:val="000000"/>
                <w:sz w:val="18"/>
                <w:szCs w:val="18"/>
              </w:rPr>
            </w:pPr>
            <w:r w:rsidRPr="00E61612">
              <w:rPr>
                <w:color w:val="000000"/>
                <w:sz w:val="20"/>
                <w:szCs w:val="20"/>
              </w:rPr>
              <w:t>-</w:t>
            </w:r>
          </w:p>
        </w:tc>
        <w:tc>
          <w:tcPr>
            <w:tcW w:w="486" w:type="pct"/>
            <w:tcBorders>
              <w:bottom w:val="single" w:sz="4" w:space="0" w:color="auto"/>
            </w:tcBorders>
            <w:shd w:val="clear" w:color="auto" w:fill="FFFFFF"/>
            <w:noWrap/>
          </w:tcPr>
          <w:p w:rsidR="00B951B1" w:rsidRPr="00E61612" w:rsidRDefault="00B951B1" w:rsidP="00CB78E6">
            <w:pPr>
              <w:spacing w:after="0"/>
              <w:jc w:val="right"/>
              <w:rPr>
                <w:rFonts w:eastAsia="Times New Roman" w:cs="Calibri"/>
                <w:color w:val="000000"/>
                <w:sz w:val="18"/>
                <w:szCs w:val="18"/>
              </w:rPr>
            </w:pPr>
            <w:r w:rsidRPr="00E61612">
              <w:rPr>
                <w:color w:val="000000"/>
                <w:sz w:val="20"/>
                <w:szCs w:val="20"/>
              </w:rPr>
              <w:t xml:space="preserve">                   -   </w:t>
            </w:r>
          </w:p>
        </w:tc>
        <w:tc>
          <w:tcPr>
            <w:tcW w:w="458" w:type="pct"/>
            <w:tcBorders>
              <w:bottom w:val="single" w:sz="4" w:space="0" w:color="auto"/>
            </w:tcBorders>
            <w:shd w:val="clear" w:color="auto" w:fill="FFFFFF"/>
            <w:noWrap/>
          </w:tcPr>
          <w:p w:rsidR="00B951B1" w:rsidRPr="00E61612" w:rsidRDefault="00B951B1" w:rsidP="00CB78E6">
            <w:pPr>
              <w:spacing w:after="0"/>
              <w:jc w:val="right"/>
              <w:rPr>
                <w:rFonts w:eastAsia="Times New Roman" w:cs="Calibri"/>
                <w:color w:val="000000"/>
                <w:sz w:val="18"/>
                <w:szCs w:val="18"/>
              </w:rPr>
            </w:pPr>
            <w:r w:rsidRPr="00E61612">
              <w:rPr>
                <w:color w:val="000000"/>
                <w:sz w:val="20"/>
                <w:szCs w:val="20"/>
              </w:rPr>
              <w:t>-</w:t>
            </w:r>
          </w:p>
        </w:tc>
      </w:tr>
      <w:tr w:rsidR="00B951B1" w:rsidRPr="00E61612" w:rsidTr="00CB78E6">
        <w:trPr>
          <w:trHeight w:val="20"/>
        </w:trPr>
        <w:tc>
          <w:tcPr>
            <w:tcW w:w="310" w:type="pct"/>
            <w:shd w:val="clear" w:color="auto" w:fill="D9D9D9"/>
          </w:tcPr>
          <w:p w:rsidR="00B951B1" w:rsidRPr="00E61612" w:rsidRDefault="00B951B1" w:rsidP="00CB78E6">
            <w:pPr>
              <w:spacing w:after="0"/>
              <w:jc w:val="center"/>
              <w:rPr>
                <w:rFonts w:eastAsia="Times New Roman" w:cs="Calibri"/>
                <w:b/>
                <w:bCs/>
                <w:color w:val="000000"/>
                <w:sz w:val="18"/>
                <w:szCs w:val="18"/>
              </w:rPr>
            </w:pPr>
            <w:r w:rsidRPr="00E61612">
              <w:rPr>
                <w:b/>
                <w:bCs/>
                <w:color w:val="000000"/>
                <w:sz w:val="20"/>
                <w:szCs w:val="20"/>
              </w:rPr>
              <w:t>C5.2</w:t>
            </w:r>
          </w:p>
        </w:tc>
        <w:tc>
          <w:tcPr>
            <w:tcW w:w="1002" w:type="pct"/>
            <w:shd w:val="clear" w:color="auto" w:fill="D9D9D9"/>
          </w:tcPr>
          <w:p w:rsidR="00B951B1" w:rsidRPr="00E61612" w:rsidRDefault="00B951B1" w:rsidP="00CB78E6">
            <w:pPr>
              <w:spacing w:after="0"/>
              <w:rPr>
                <w:rFonts w:eastAsia="Times New Roman" w:cs="Calibri"/>
                <w:sz w:val="18"/>
                <w:szCs w:val="18"/>
              </w:rPr>
            </w:pPr>
            <w:r w:rsidRPr="00E61612">
              <w:rPr>
                <w:sz w:val="20"/>
                <w:szCs w:val="20"/>
              </w:rPr>
              <w:t>Mbështetja e studentëve për përmirësimin e arritjeve akademike</w:t>
            </w:r>
          </w:p>
        </w:tc>
        <w:tc>
          <w:tcPr>
            <w:tcW w:w="492" w:type="pct"/>
            <w:shd w:val="clear" w:color="auto" w:fill="D9D9D9"/>
          </w:tcPr>
          <w:p w:rsidR="00B951B1" w:rsidRPr="00E61612" w:rsidRDefault="00B951B1" w:rsidP="00CB78E6">
            <w:pPr>
              <w:spacing w:after="0"/>
              <w:jc w:val="center"/>
              <w:rPr>
                <w:rFonts w:eastAsia="Times New Roman" w:cs="Calibri"/>
                <w:color w:val="000000"/>
                <w:sz w:val="18"/>
                <w:szCs w:val="18"/>
              </w:rPr>
            </w:pPr>
            <w:r w:rsidRPr="00E61612">
              <w:rPr>
                <w:color w:val="000000"/>
                <w:sz w:val="20"/>
                <w:szCs w:val="20"/>
              </w:rPr>
              <w:t>IAL-të</w:t>
            </w:r>
          </w:p>
        </w:tc>
        <w:tc>
          <w:tcPr>
            <w:tcW w:w="494" w:type="pct"/>
            <w:shd w:val="clear" w:color="auto" w:fill="D9D9D9"/>
          </w:tcPr>
          <w:p w:rsidR="00B951B1" w:rsidRPr="00E61612" w:rsidRDefault="00B951B1" w:rsidP="00CB78E6">
            <w:pPr>
              <w:spacing w:after="0"/>
              <w:jc w:val="center"/>
              <w:rPr>
                <w:rFonts w:eastAsia="Times New Roman" w:cs="Calibri"/>
                <w:color w:val="000000"/>
                <w:sz w:val="18"/>
                <w:szCs w:val="18"/>
              </w:rPr>
            </w:pPr>
            <w:r w:rsidRPr="00E61612">
              <w:rPr>
                <w:color w:val="000000"/>
                <w:sz w:val="20"/>
                <w:szCs w:val="20"/>
              </w:rPr>
              <w:t> </w:t>
            </w:r>
          </w:p>
        </w:tc>
        <w:tc>
          <w:tcPr>
            <w:tcW w:w="383" w:type="pct"/>
            <w:shd w:val="clear" w:color="auto" w:fill="D9D9D9"/>
          </w:tcPr>
          <w:p w:rsidR="00B951B1" w:rsidRPr="00E61612" w:rsidRDefault="00B951B1" w:rsidP="00CB78E6">
            <w:pPr>
              <w:spacing w:after="0"/>
              <w:jc w:val="center"/>
              <w:rPr>
                <w:rFonts w:eastAsia="Times New Roman" w:cs="Calibri"/>
                <w:color w:val="000000"/>
                <w:sz w:val="18"/>
                <w:szCs w:val="18"/>
              </w:rPr>
            </w:pPr>
            <w:r w:rsidRPr="00E61612">
              <w:rPr>
                <w:color w:val="000000"/>
                <w:sz w:val="20"/>
                <w:szCs w:val="20"/>
              </w:rPr>
              <w:t>TM3-2022</w:t>
            </w:r>
          </w:p>
        </w:tc>
        <w:tc>
          <w:tcPr>
            <w:tcW w:w="438" w:type="pct"/>
            <w:shd w:val="clear" w:color="auto" w:fill="D9D9D9"/>
          </w:tcPr>
          <w:p w:rsidR="00B951B1" w:rsidRPr="00E61612" w:rsidRDefault="00B951B1" w:rsidP="00CB78E6">
            <w:pPr>
              <w:spacing w:after="0"/>
              <w:jc w:val="center"/>
              <w:rPr>
                <w:rFonts w:eastAsia="Times New Roman" w:cs="Calibri"/>
                <w:color w:val="000000"/>
                <w:sz w:val="18"/>
                <w:szCs w:val="18"/>
              </w:rPr>
            </w:pPr>
            <w:r w:rsidRPr="00E61612">
              <w:rPr>
                <w:color w:val="000000"/>
                <w:sz w:val="20"/>
                <w:szCs w:val="20"/>
              </w:rPr>
              <w:t>TM4-2026</w:t>
            </w:r>
          </w:p>
        </w:tc>
        <w:tc>
          <w:tcPr>
            <w:tcW w:w="462" w:type="pct"/>
            <w:shd w:val="clear" w:color="auto" w:fill="D9D9D9"/>
            <w:noWrap/>
          </w:tcPr>
          <w:p w:rsidR="00B951B1" w:rsidRPr="00E61612" w:rsidRDefault="00B951B1" w:rsidP="00CB78E6">
            <w:pPr>
              <w:spacing w:after="0"/>
              <w:jc w:val="right"/>
              <w:rPr>
                <w:rFonts w:eastAsia="Times New Roman" w:cs="Calibri"/>
                <w:color w:val="000000"/>
                <w:sz w:val="18"/>
                <w:szCs w:val="18"/>
              </w:rPr>
            </w:pPr>
            <w:r w:rsidRPr="00E61612">
              <w:rPr>
                <w:color w:val="000000"/>
                <w:sz w:val="20"/>
                <w:szCs w:val="20"/>
              </w:rPr>
              <w:t>1,020</w:t>
            </w:r>
          </w:p>
        </w:tc>
        <w:tc>
          <w:tcPr>
            <w:tcW w:w="475" w:type="pct"/>
            <w:shd w:val="clear" w:color="auto" w:fill="D9D9D9"/>
            <w:noWrap/>
          </w:tcPr>
          <w:p w:rsidR="00B951B1" w:rsidRPr="00E61612" w:rsidRDefault="00B951B1" w:rsidP="00CB78E6">
            <w:pPr>
              <w:spacing w:after="0"/>
              <w:jc w:val="right"/>
              <w:rPr>
                <w:rFonts w:eastAsia="Times New Roman" w:cs="Calibri"/>
                <w:color w:val="000000"/>
                <w:sz w:val="18"/>
                <w:szCs w:val="18"/>
              </w:rPr>
            </w:pPr>
            <w:r w:rsidRPr="00E61612">
              <w:rPr>
                <w:color w:val="000000"/>
                <w:sz w:val="20"/>
                <w:szCs w:val="20"/>
              </w:rPr>
              <w:t>-</w:t>
            </w:r>
          </w:p>
        </w:tc>
        <w:tc>
          <w:tcPr>
            <w:tcW w:w="486" w:type="pct"/>
            <w:shd w:val="clear" w:color="auto" w:fill="D9D9D9"/>
            <w:noWrap/>
          </w:tcPr>
          <w:p w:rsidR="00B951B1" w:rsidRPr="00E61612" w:rsidRDefault="00B951B1" w:rsidP="00CB78E6">
            <w:pPr>
              <w:spacing w:after="0"/>
              <w:jc w:val="right"/>
              <w:rPr>
                <w:rFonts w:eastAsia="Times New Roman" w:cs="Calibri"/>
                <w:color w:val="000000"/>
                <w:sz w:val="18"/>
                <w:szCs w:val="18"/>
              </w:rPr>
            </w:pPr>
            <w:r w:rsidRPr="00E61612">
              <w:rPr>
                <w:color w:val="000000"/>
                <w:sz w:val="20"/>
                <w:szCs w:val="20"/>
              </w:rPr>
              <w:t xml:space="preserve">                   -   </w:t>
            </w:r>
          </w:p>
        </w:tc>
        <w:tc>
          <w:tcPr>
            <w:tcW w:w="458" w:type="pct"/>
            <w:shd w:val="clear" w:color="auto" w:fill="D9D9D9"/>
            <w:noWrap/>
          </w:tcPr>
          <w:p w:rsidR="00B951B1" w:rsidRPr="00E61612" w:rsidRDefault="00B951B1" w:rsidP="00CB78E6">
            <w:pPr>
              <w:spacing w:after="0"/>
              <w:jc w:val="right"/>
              <w:rPr>
                <w:rFonts w:eastAsia="Times New Roman" w:cs="Calibri"/>
                <w:color w:val="000000"/>
                <w:sz w:val="18"/>
                <w:szCs w:val="18"/>
              </w:rPr>
            </w:pPr>
            <w:r w:rsidRPr="00E61612">
              <w:rPr>
                <w:color w:val="000000"/>
                <w:sz w:val="20"/>
                <w:szCs w:val="20"/>
              </w:rPr>
              <w:t>(1,020)</w:t>
            </w:r>
          </w:p>
        </w:tc>
      </w:tr>
      <w:tr w:rsidR="00B951B1" w:rsidRPr="00E61612" w:rsidTr="00CB78E6">
        <w:trPr>
          <w:trHeight w:val="20"/>
        </w:trPr>
        <w:tc>
          <w:tcPr>
            <w:tcW w:w="310" w:type="pct"/>
            <w:tcBorders>
              <w:bottom w:val="single" w:sz="4" w:space="0" w:color="auto"/>
            </w:tcBorders>
            <w:shd w:val="clear" w:color="auto" w:fill="FFFFFF"/>
          </w:tcPr>
          <w:p w:rsidR="00B951B1" w:rsidRPr="00E61612" w:rsidRDefault="00B951B1" w:rsidP="00CB78E6">
            <w:pPr>
              <w:spacing w:after="0"/>
              <w:jc w:val="center"/>
              <w:rPr>
                <w:rFonts w:eastAsia="Times New Roman" w:cs="Calibri"/>
                <w:b/>
                <w:bCs/>
                <w:color w:val="000000"/>
                <w:sz w:val="18"/>
                <w:szCs w:val="18"/>
              </w:rPr>
            </w:pPr>
            <w:r w:rsidRPr="00E61612">
              <w:rPr>
                <w:b/>
                <w:bCs/>
                <w:color w:val="000000"/>
                <w:sz w:val="20"/>
                <w:szCs w:val="20"/>
              </w:rPr>
              <w:lastRenderedPageBreak/>
              <w:t>C5.2.1</w:t>
            </w:r>
          </w:p>
        </w:tc>
        <w:tc>
          <w:tcPr>
            <w:tcW w:w="1002" w:type="pct"/>
            <w:tcBorders>
              <w:bottom w:val="single" w:sz="4" w:space="0" w:color="auto"/>
            </w:tcBorders>
            <w:shd w:val="clear" w:color="auto" w:fill="FFFFFF"/>
          </w:tcPr>
          <w:p w:rsidR="00B951B1" w:rsidRPr="00E61612" w:rsidRDefault="00B951B1" w:rsidP="00CB78E6">
            <w:pPr>
              <w:spacing w:after="0"/>
              <w:rPr>
                <w:rFonts w:eastAsia="Times New Roman" w:cs="Calibri"/>
                <w:sz w:val="18"/>
                <w:szCs w:val="18"/>
              </w:rPr>
            </w:pPr>
            <w:r w:rsidRPr="00E61612">
              <w:rPr>
                <w:sz w:val="20"/>
                <w:szCs w:val="20"/>
              </w:rPr>
              <w:t>Tutorimi/mentorimi i studentëve në të gjitha IAL-të</w:t>
            </w:r>
          </w:p>
        </w:tc>
        <w:tc>
          <w:tcPr>
            <w:tcW w:w="492" w:type="pct"/>
            <w:tcBorders>
              <w:bottom w:val="single" w:sz="4" w:space="0" w:color="auto"/>
            </w:tcBorders>
            <w:shd w:val="clear" w:color="auto" w:fill="FFFFFF"/>
          </w:tcPr>
          <w:p w:rsidR="00B951B1" w:rsidRPr="00E61612" w:rsidRDefault="00B951B1" w:rsidP="00CB78E6">
            <w:pPr>
              <w:spacing w:after="0"/>
              <w:jc w:val="center"/>
              <w:rPr>
                <w:rFonts w:eastAsia="Times New Roman" w:cs="Calibri"/>
                <w:color w:val="000000"/>
                <w:sz w:val="18"/>
                <w:szCs w:val="18"/>
              </w:rPr>
            </w:pPr>
            <w:r w:rsidRPr="00E61612">
              <w:rPr>
                <w:color w:val="000000"/>
                <w:sz w:val="20"/>
                <w:szCs w:val="20"/>
              </w:rPr>
              <w:t>IAL-të</w:t>
            </w:r>
          </w:p>
        </w:tc>
        <w:tc>
          <w:tcPr>
            <w:tcW w:w="494" w:type="pct"/>
            <w:tcBorders>
              <w:bottom w:val="single" w:sz="4" w:space="0" w:color="auto"/>
            </w:tcBorders>
            <w:shd w:val="clear" w:color="auto" w:fill="FFFFFF"/>
          </w:tcPr>
          <w:p w:rsidR="00B951B1" w:rsidRPr="00E61612" w:rsidRDefault="00B951B1" w:rsidP="00CB78E6">
            <w:pPr>
              <w:spacing w:after="0"/>
              <w:jc w:val="center"/>
              <w:rPr>
                <w:rFonts w:eastAsia="Times New Roman" w:cs="Calibri"/>
                <w:color w:val="000000"/>
                <w:sz w:val="18"/>
                <w:szCs w:val="18"/>
              </w:rPr>
            </w:pPr>
            <w:r w:rsidRPr="00E61612">
              <w:rPr>
                <w:color w:val="000000"/>
                <w:sz w:val="20"/>
                <w:szCs w:val="20"/>
              </w:rPr>
              <w:t> </w:t>
            </w:r>
          </w:p>
        </w:tc>
        <w:tc>
          <w:tcPr>
            <w:tcW w:w="383" w:type="pct"/>
            <w:tcBorders>
              <w:bottom w:val="single" w:sz="4" w:space="0" w:color="auto"/>
            </w:tcBorders>
            <w:shd w:val="clear" w:color="auto" w:fill="FFFFFF"/>
          </w:tcPr>
          <w:p w:rsidR="00B951B1" w:rsidRPr="00E61612" w:rsidRDefault="00B951B1" w:rsidP="00CB78E6">
            <w:pPr>
              <w:spacing w:after="0"/>
              <w:jc w:val="center"/>
              <w:rPr>
                <w:rFonts w:eastAsia="Times New Roman" w:cs="Calibri"/>
                <w:color w:val="000000"/>
                <w:sz w:val="18"/>
                <w:szCs w:val="18"/>
              </w:rPr>
            </w:pPr>
            <w:r w:rsidRPr="00E61612">
              <w:rPr>
                <w:color w:val="000000"/>
                <w:sz w:val="20"/>
                <w:szCs w:val="20"/>
              </w:rPr>
              <w:t>TM3-2022</w:t>
            </w:r>
          </w:p>
        </w:tc>
        <w:tc>
          <w:tcPr>
            <w:tcW w:w="438" w:type="pct"/>
            <w:tcBorders>
              <w:bottom w:val="single" w:sz="4" w:space="0" w:color="auto"/>
            </w:tcBorders>
            <w:shd w:val="clear" w:color="auto" w:fill="FFFFFF"/>
          </w:tcPr>
          <w:p w:rsidR="00B951B1" w:rsidRPr="00E61612" w:rsidRDefault="00B951B1" w:rsidP="00CB78E6">
            <w:pPr>
              <w:spacing w:after="0"/>
              <w:jc w:val="center"/>
              <w:rPr>
                <w:rFonts w:eastAsia="Times New Roman" w:cs="Calibri"/>
                <w:color w:val="000000"/>
                <w:sz w:val="18"/>
                <w:szCs w:val="18"/>
              </w:rPr>
            </w:pPr>
            <w:r w:rsidRPr="00E61612">
              <w:rPr>
                <w:color w:val="000000"/>
                <w:sz w:val="20"/>
                <w:szCs w:val="20"/>
              </w:rPr>
              <w:t>TM4-2026</w:t>
            </w:r>
          </w:p>
        </w:tc>
        <w:tc>
          <w:tcPr>
            <w:tcW w:w="462" w:type="pct"/>
            <w:tcBorders>
              <w:bottom w:val="single" w:sz="4" w:space="0" w:color="auto"/>
            </w:tcBorders>
            <w:shd w:val="clear" w:color="auto" w:fill="FFFFFF"/>
            <w:noWrap/>
          </w:tcPr>
          <w:p w:rsidR="00B951B1" w:rsidRPr="00E61612" w:rsidRDefault="00B951B1" w:rsidP="00CB78E6">
            <w:pPr>
              <w:spacing w:after="0"/>
              <w:jc w:val="right"/>
              <w:rPr>
                <w:rFonts w:eastAsia="Times New Roman" w:cs="Calibri"/>
                <w:color w:val="000000"/>
                <w:sz w:val="18"/>
                <w:szCs w:val="18"/>
              </w:rPr>
            </w:pPr>
            <w:r w:rsidRPr="00E61612">
              <w:rPr>
                <w:color w:val="000000"/>
                <w:sz w:val="20"/>
                <w:szCs w:val="20"/>
              </w:rPr>
              <w:t>1,020</w:t>
            </w:r>
          </w:p>
        </w:tc>
        <w:tc>
          <w:tcPr>
            <w:tcW w:w="475" w:type="pct"/>
            <w:tcBorders>
              <w:bottom w:val="single" w:sz="4" w:space="0" w:color="auto"/>
            </w:tcBorders>
            <w:shd w:val="clear" w:color="auto" w:fill="FFFFFF"/>
            <w:noWrap/>
          </w:tcPr>
          <w:p w:rsidR="00B951B1" w:rsidRPr="00E61612" w:rsidRDefault="00B951B1" w:rsidP="00CB78E6">
            <w:pPr>
              <w:spacing w:after="0"/>
              <w:jc w:val="right"/>
              <w:rPr>
                <w:rFonts w:eastAsia="Times New Roman" w:cs="Calibri"/>
                <w:color w:val="000000"/>
                <w:sz w:val="18"/>
                <w:szCs w:val="18"/>
              </w:rPr>
            </w:pPr>
            <w:r w:rsidRPr="00E61612">
              <w:rPr>
                <w:color w:val="000000"/>
                <w:sz w:val="20"/>
                <w:szCs w:val="20"/>
              </w:rPr>
              <w:t>-</w:t>
            </w:r>
          </w:p>
        </w:tc>
        <w:tc>
          <w:tcPr>
            <w:tcW w:w="486" w:type="pct"/>
            <w:tcBorders>
              <w:bottom w:val="single" w:sz="4" w:space="0" w:color="auto"/>
            </w:tcBorders>
            <w:shd w:val="clear" w:color="auto" w:fill="FFFFFF"/>
            <w:noWrap/>
          </w:tcPr>
          <w:p w:rsidR="00B951B1" w:rsidRPr="00E61612" w:rsidRDefault="00B951B1" w:rsidP="00CB78E6">
            <w:pPr>
              <w:spacing w:after="0"/>
              <w:jc w:val="right"/>
              <w:rPr>
                <w:rFonts w:eastAsia="Times New Roman" w:cs="Calibri"/>
                <w:color w:val="000000"/>
                <w:sz w:val="18"/>
                <w:szCs w:val="18"/>
              </w:rPr>
            </w:pPr>
            <w:r w:rsidRPr="00E61612">
              <w:rPr>
                <w:color w:val="000000"/>
                <w:sz w:val="20"/>
                <w:szCs w:val="20"/>
              </w:rPr>
              <w:t xml:space="preserve">                   -   </w:t>
            </w:r>
          </w:p>
        </w:tc>
        <w:tc>
          <w:tcPr>
            <w:tcW w:w="458" w:type="pct"/>
            <w:tcBorders>
              <w:bottom w:val="single" w:sz="4" w:space="0" w:color="auto"/>
            </w:tcBorders>
            <w:shd w:val="clear" w:color="auto" w:fill="FFFFFF"/>
            <w:noWrap/>
          </w:tcPr>
          <w:p w:rsidR="00B951B1" w:rsidRPr="00E61612" w:rsidRDefault="00B951B1" w:rsidP="00CB78E6">
            <w:pPr>
              <w:spacing w:after="0"/>
              <w:jc w:val="right"/>
              <w:rPr>
                <w:rFonts w:eastAsia="Times New Roman" w:cs="Calibri"/>
                <w:color w:val="000000"/>
                <w:sz w:val="18"/>
                <w:szCs w:val="18"/>
              </w:rPr>
            </w:pPr>
            <w:r w:rsidRPr="00E61612">
              <w:rPr>
                <w:color w:val="000000"/>
                <w:sz w:val="20"/>
                <w:szCs w:val="20"/>
              </w:rPr>
              <w:t>(1,020)</w:t>
            </w:r>
          </w:p>
        </w:tc>
      </w:tr>
      <w:tr w:rsidR="00B951B1" w:rsidRPr="00E61612" w:rsidTr="00CB78E6">
        <w:trPr>
          <w:trHeight w:val="20"/>
        </w:trPr>
        <w:tc>
          <w:tcPr>
            <w:tcW w:w="310" w:type="pct"/>
            <w:tcBorders>
              <w:bottom w:val="single" w:sz="4" w:space="0" w:color="auto"/>
            </w:tcBorders>
            <w:shd w:val="clear" w:color="auto" w:fill="BFBFBF"/>
          </w:tcPr>
          <w:p w:rsidR="00B951B1" w:rsidRPr="00E61612" w:rsidRDefault="00B951B1" w:rsidP="00CB78E6">
            <w:pPr>
              <w:spacing w:after="0"/>
              <w:jc w:val="center"/>
              <w:rPr>
                <w:rFonts w:eastAsia="Times New Roman" w:cs="Calibri"/>
                <w:b/>
                <w:bCs/>
                <w:color w:val="000000"/>
                <w:sz w:val="18"/>
                <w:szCs w:val="18"/>
              </w:rPr>
            </w:pPr>
            <w:r w:rsidRPr="00E61612">
              <w:rPr>
                <w:b/>
                <w:bCs/>
                <w:color w:val="000000"/>
                <w:sz w:val="20"/>
                <w:szCs w:val="20"/>
              </w:rPr>
              <w:t>C6</w:t>
            </w:r>
          </w:p>
        </w:tc>
        <w:tc>
          <w:tcPr>
            <w:tcW w:w="1002" w:type="pct"/>
            <w:tcBorders>
              <w:bottom w:val="single" w:sz="4" w:space="0" w:color="auto"/>
            </w:tcBorders>
            <w:shd w:val="clear" w:color="auto" w:fill="BFBFBF"/>
          </w:tcPr>
          <w:p w:rsidR="00B951B1" w:rsidRPr="00E61612" w:rsidRDefault="00B951B1" w:rsidP="00CB78E6">
            <w:pPr>
              <w:spacing w:after="0"/>
              <w:rPr>
                <w:rFonts w:eastAsia="Times New Roman" w:cs="Calibri"/>
                <w:sz w:val="18"/>
                <w:szCs w:val="18"/>
              </w:rPr>
            </w:pPr>
            <w:r w:rsidRPr="00E61612">
              <w:rPr>
                <w:sz w:val="20"/>
                <w:szCs w:val="20"/>
              </w:rPr>
              <w:t>Ndërkombëtarizimi i arsimit të lartë në Shqipëri dhe integrimi në Zonën Evropiane të Arsimit të Lartë (EHEA)</w:t>
            </w:r>
          </w:p>
        </w:tc>
        <w:tc>
          <w:tcPr>
            <w:tcW w:w="492" w:type="pct"/>
            <w:tcBorders>
              <w:bottom w:val="single" w:sz="4" w:space="0" w:color="auto"/>
            </w:tcBorders>
            <w:shd w:val="clear" w:color="auto" w:fill="BFBFBF"/>
          </w:tcPr>
          <w:p w:rsidR="00B951B1" w:rsidRPr="00E61612" w:rsidRDefault="00B951B1" w:rsidP="00CB78E6">
            <w:pPr>
              <w:spacing w:after="0"/>
              <w:jc w:val="center"/>
              <w:rPr>
                <w:rFonts w:eastAsia="Times New Roman" w:cs="Calibri"/>
                <w:color w:val="000000"/>
                <w:sz w:val="18"/>
                <w:szCs w:val="18"/>
              </w:rPr>
            </w:pPr>
            <w:r w:rsidRPr="00E61612">
              <w:rPr>
                <w:color w:val="000000"/>
                <w:sz w:val="20"/>
                <w:szCs w:val="20"/>
              </w:rPr>
              <w:t>MASR, IAL-të</w:t>
            </w:r>
          </w:p>
        </w:tc>
        <w:tc>
          <w:tcPr>
            <w:tcW w:w="494" w:type="pct"/>
            <w:tcBorders>
              <w:bottom w:val="single" w:sz="4" w:space="0" w:color="auto"/>
            </w:tcBorders>
            <w:shd w:val="clear" w:color="auto" w:fill="BFBFBF"/>
          </w:tcPr>
          <w:p w:rsidR="00B951B1" w:rsidRPr="00E61612" w:rsidRDefault="00B951B1" w:rsidP="00CB78E6">
            <w:pPr>
              <w:spacing w:after="0"/>
              <w:jc w:val="center"/>
              <w:rPr>
                <w:rFonts w:eastAsia="Times New Roman" w:cs="Calibri"/>
                <w:color w:val="000000"/>
                <w:sz w:val="18"/>
                <w:szCs w:val="18"/>
              </w:rPr>
            </w:pPr>
            <w:r w:rsidRPr="00E61612">
              <w:rPr>
                <w:color w:val="000000"/>
                <w:sz w:val="20"/>
                <w:szCs w:val="20"/>
              </w:rPr>
              <w:t>MASR, IAL-të, AKKSHI</w:t>
            </w:r>
          </w:p>
        </w:tc>
        <w:tc>
          <w:tcPr>
            <w:tcW w:w="383" w:type="pct"/>
            <w:tcBorders>
              <w:bottom w:val="single" w:sz="4" w:space="0" w:color="auto"/>
            </w:tcBorders>
            <w:shd w:val="clear" w:color="auto" w:fill="BFBFBF"/>
          </w:tcPr>
          <w:p w:rsidR="00B951B1" w:rsidRPr="00E61612" w:rsidRDefault="00B951B1" w:rsidP="00CB78E6">
            <w:pPr>
              <w:spacing w:after="0"/>
              <w:jc w:val="center"/>
              <w:rPr>
                <w:rFonts w:eastAsia="Times New Roman" w:cs="Calibri"/>
                <w:color w:val="000000"/>
                <w:sz w:val="18"/>
                <w:szCs w:val="18"/>
              </w:rPr>
            </w:pPr>
            <w:r w:rsidRPr="00E61612">
              <w:rPr>
                <w:color w:val="000000"/>
                <w:sz w:val="20"/>
                <w:szCs w:val="20"/>
              </w:rPr>
              <w:t>TM3-2021</w:t>
            </w:r>
          </w:p>
        </w:tc>
        <w:tc>
          <w:tcPr>
            <w:tcW w:w="438" w:type="pct"/>
            <w:tcBorders>
              <w:bottom w:val="single" w:sz="4" w:space="0" w:color="auto"/>
            </w:tcBorders>
            <w:shd w:val="clear" w:color="auto" w:fill="BFBFBF"/>
          </w:tcPr>
          <w:p w:rsidR="00B951B1" w:rsidRPr="00E61612" w:rsidRDefault="00B951B1" w:rsidP="00CB78E6">
            <w:pPr>
              <w:spacing w:after="0"/>
              <w:jc w:val="center"/>
              <w:rPr>
                <w:rFonts w:eastAsia="Times New Roman" w:cs="Calibri"/>
                <w:color w:val="000000"/>
                <w:sz w:val="18"/>
                <w:szCs w:val="18"/>
              </w:rPr>
            </w:pPr>
            <w:r w:rsidRPr="00E61612">
              <w:rPr>
                <w:color w:val="000000"/>
                <w:sz w:val="20"/>
                <w:szCs w:val="20"/>
              </w:rPr>
              <w:t>TM4-2026</w:t>
            </w:r>
          </w:p>
        </w:tc>
        <w:tc>
          <w:tcPr>
            <w:tcW w:w="462" w:type="pct"/>
            <w:tcBorders>
              <w:bottom w:val="single" w:sz="4" w:space="0" w:color="auto"/>
            </w:tcBorders>
            <w:shd w:val="clear" w:color="auto" w:fill="BFBFBF"/>
            <w:noWrap/>
          </w:tcPr>
          <w:p w:rsidR="00B951B1" w:rsidRPr="00E61612" w:rsidRDefault="00B951B1" w:rsidP="00CB78E6">
            <w:pPr>
              <w:spacing w:after="0"/>
              <w:jc w:val="right"/>
              <w:rPr>
                <w:rFonts w:eastAsia="Times New Roman" w:cs="Calibri"/>
                <w:color w:val="000000"/>
                <w:sz w:val="18"/>
                <w:szCs w:val="18"/>
              </w:rPr>
            </w:pPr>
            <w:r w:rsidRPr="00E61612">
              <w:rPr>
                <w:color w:val="000000"/>
                <w:sz w:val="20"/>
                <w:szCs w:val="20"/>
              </w:rPr>
              <w:t>106,977</w:t>
            </w:r>
          </w:p>
        </w:tc>
        <w:tc>
          <w:tcPr>
            <w:tcW w:w="475" w:type="pct"/>
            <w:tcBorders>
              <w:bottom w:val="single" w:sz="4" w:space="0" w:color="auto"/>
            </w:tcBorders>
            <w:shd w:val="clear" w:color="auto" w:fill="BFBFBF"/>
            <w:noWrap/>
          </w:tcPr>
          <w:p w:rsidR="00B951B1" w:rsidRPr="00E61612" w:rsidRDefault="00B951B1" w:rsidP="00CB78E6">
            <w:pPr>
              <w:spacing w:after="0"/>
              <w:jc w:val="right"/>
              <w:rPr>
                <w:rFonts w:eastAsia="Times New Roman" w:cs="Calibri"/>
                <w:color w:val="000000"/>
                <w:sz w:val="18"/>
                <w:szCs w:val="18"/>
              </w:rPr>
            </w:pPr>
            <w:r w:rsidRPr="00E61612">
              <w:rPr>
                <w:color w:val="000000"/>
                <w:sz w:val="20"/>
                <w:szCs w:val="20"/>
              </w:rPr>
              <w:t>90,000</w:t>
            </w:r>
          </w:p>
        </w:tc>
        <w:tc>
          <w:tcPr>
            <w:tcW w:w="486" w:type="pct"/>
            <w:tcBorders>
              <w:bottom w:val="single" w:sz="4" w:space="0" w:color="auto"/>
            </w:tcBorders>
            <w:shd w:val="clear" w:color="auto" w:fill="BFBFBF"/>
            <w:noWrap/>
          </w:tcPr>
          <w:p w:rsidR="00B951B1" w:rsidRPr="00E61612" w:rsidRDefault="00B951B1" w:rsidP="00CB78E6">
            <w:pPr>
              <w:spacing w:after="0"/>
              <w:jc w:val="right"/>
              <w:rPr>
                <w:rFonts w:eastAsia="Times New Roman" w:cs="Calibri"/>
                <w:color w:val="000000"/>
                <w:sz w:val="18"/>
                <w:szCs w:val="18"/>
              </w:rPr>
            </w:pPr>
            <w:r w:rsidRPr="00E61612">
              <w:rPr>
                <w:color w:val="000000"/>
                <w:sz w:val="20"/>
                <w:szCs w:val="20"/>
              </w:rPr>
              <w:t xml:space="preserve">                   -   </w:t>
            </w:r>
          </w:p>
        </w:tc>
        <w:tc>
          <w:tcPr>
            <w:tcW w:w="458" w:type="pct"/>
            <w:tcBorders>
              <w:bottom w:val="single" w:sz="4" w:space="0" w:color="auto"/>
            </w:tcBorders>
            <w:shd w:val="clear" w:color="auto" w:fill="BFBFBF"/>
            <w:noWrap/>
          </w:tcPr>
          <w:p w:rsidR="00B951B1" w:rsidRPr="00E61612" w:rsidRDefault="00B951B1" w:rsidP="00CB78E6">
            <w:pPr>
              <w:spacing w:after="0"/>
              <w:jc w:val="right"/>
              <w:rPr>
                <w:rFonts w:eastAsia="Times New Roman" w:cs="Calibri"/>
                <w:color w:val="000000"/>
                <w:sz w:val="18"/>
                <w:szCs w:val="18"/>
              </w:rPr>
            </w:pPr>
            <w:r w:rsidRPr="00E61612">
              <w:rPr>
                <w:color w:val="000000"/>
                <w:sz w:val="20"/>
                <w:szCs w:val="20"/>
              </w:rPr>
              <w:t>(16,977)</w:t>
            </w:r>
          </w:p>
        </w:tc>
      </w:tr>
      <w:tr w:rsidR="00B951B1" w:rsidRPr="00E61612" w:rsidTr="00CB78E6">
        <w:trPr>
          <w:trHeight w:val="20"/>
        </w:trPr>
        <w:tc>
          <w:tcPr>
            <w:tcW w:w="310" w:type="pct"/>
            <w:tcBorders>
              <w:bottom w:val="single" w:sz="4" w:space="0" w:color="auto"/>
            </w:tcBorders>
            <w:shd w:val="clear" w:color="auto" w:fill="D9D9D9"/>
          </w:tcPr>
          <w:p w:rsidR="00B951B1" w:rsidRPr="00E61612" w:rsidRDefault="00B951B1" w:rsidP="00CB78E6">
            <w:pPr>
              <w:spacing w:after="0"/>
              <w:jc w:val="center"/>
              <w:rPr>
                <w:rFonts w:eastAsia="Times New Roman" w:cs="Calibri"/>
                <w:b/>
                <w:bCs/>
                <w:color w:val="000000"/>
                <w:sz w:val="18"/>
                <w:szCs w:val="18"/>
              </w:rPr>
            </w:pPr>
            <w:r w:rsidRPr="00E61612">
              <w:rPr>
                <w:b/>
                <w:bCs/>
                <w:color w:val="000000"/>
                <w:sz w:val="20"/>
                <w:szCs w:val="20"/>
              </w:rPr>
              <w:t>C6.1</w:t>
            </w:r>
          </w:p>
        </w:tc>
        <w:tc>
          <w:tcPr>
            <w:tcW w:w="1002" w:type="pct"/>
            <w:tcBorders>
              <w:bottom w:val="single" w:sz="4" w:space="0" w:color="auto"/>
            </w:tcBorders>
            <w:shd w:val="clear" w:color="auto" w:fill="D9D9D9"/>
          </w:tcPr>
          <w:p w:rsidR="00B951B1" w:rsidRPr="00E61612" w:rsidRDefault="00B951B1" w:rsidP="00CB78E6">
            <w:pPr>
              <w:spacing w:after="0"/>
              <w:rPr>
                <w:rFonts w:eastAsia="Times New Roman" w:cs="Calibri"/>
                <w:sz w:val="18"/>
                <w:szCs w:val="18"/>
              </w:rPr>
            </w:pPr>
            <w:r w:rsidRPr="00E61612">
              <w:rPr>
                <w:sz w:val="20"/>
                <w:szCs w:val="20"/>
              </w:rPr>
              <w:t>Nxitja e IAL-ve për të hapur programe studimi</w:t>
            </w:r>
            <w:r>
              <w:rPr>
                <w:sz w:val="20"/>
                <w:szCs w:val="20"/>
              </w:rPr>
              <w:t xml:space="preserve"> </w:t>
            </w:r>
            <w:r w:rsidRPr="00E61612">
              <w:rPr>
                <w:sz w:val="20"/>
                <w:szCs w:val="20"/>
              </w:rPr>
              <w:t>të përbashkëta me IAL-të evropiane ose programe në gjuhën angleze</w:t>
            </w:r>
          </w:p>
        </w:tc>
        <w:tc>
          <w:tcPr>
            <w:tcW w:w="492" w:type="pct"/>
            <w:tcBorders>
              <w:bottom w:val="single" w:sz="4" w:space="0" w:color="auto"/>
            </w:tcBorders>
            <w:shd w:val="clear" w:color="auto" w:fill="D9D9D9"/>
          </w:tcPr>
          <w:p w:rsidR="00B951B1" w:rsidRPr="00E61612" w:rsidRDefault="00B951B1" w:rsidP="00CB78E6">
            <w:pPr>
              <w:spacing w:after="0"/>
              <w:jc w:val="center"/>
              <w:rPr>
                <w:rFonts w:eastAsia="Times New Roman" w:cs="Calibri"/>
                <w:color w:val="000000"/>
                <w:sz w:val="18"/>
                <w:szCs w:val="18"/>
              </w:rPr>
            </w:pPr>
            <w:r w:rsidRPr="00E61612">
              <w:rPr>
                <w:color w:val="000000"/>
                <w:sz w:val="20"/>
                <w:szCs w:val="20"/>
              </w:rPr>
              <w:t>MASR</w:t>
            </w:r>
          </w:p>
        </w:tc>
        <w:tc>
          <w:tcPr>
            <w:tcW w:w="494" w:type="pct"/>
            <w:tcBorders>
              <w:bottom w:val="single" w:sz="4" w:space="0" w:color="auto"/>
            </w:tcBorders>
            <w:shd w:val="clear" w:color="auto" w:fill="D9D9D9"/>
          </w:tcPr>
          <w:p w:rsidR="00B951B1" w:rsidRPr="00E61612" w:rsidRDefault="00B951B1" w:rsidP="00CB78E6">
            <w:pPr>
              <w:spacing w:after="0"/>
              <w:jc w:val="center"/>
              <w:rPr>
                <w:rFonts w:eastAsia="Times New Roman" w:cs="Calibri"/>
                <w:color w:val="000000"/>
                <w:sz w:val="18"/>
                <w:szCs w:val="18"/>
              </w:rPr>
            </w:pPr>
            <w:r w:rsidRPr="00E61612">
              <w:rPr>
                <w:color w:val="000000"/>
                <w:sz w:val="20"/>
                <w:szCs w:val="20"/>
              </w:rPr>
              <w:t>AKKSHI</w:t>
            </w:r>
          </w:p>
        </w:tc>
        <w:tc>
          <w:tcPr>
            <w:tcW w:w="383" w:type="pct"/>
            <w:tcBorders>
              <w:bottom w:val="single" w:sz="4" w:space="0" w:color="auto"/>
            </w:tcBorders>
            <w:shd w:val="clear" w:color="auto" w:fill="D9D9D9"/>
          </w:tcPr>
          <w:p w:rsidR="00B951B1" w:rsidRPr="00E61612" w:rsidRDefault="00B951B1" w:rsidP="00CB78E6">
            <w:pPr>
              <w:spacing w:after="0"/>
              <w:jc w:val="center"/>
              <w:rPr>
                <w:rFonts w:eastAsia="Times New Roman" w:cs="Calibri"/>
                <w:color w:val="000000"/>
                <w:sz w:val="18"/>
                <w:szCs w:val="18"/>
              </w:rPr>
            </w:pPr>
            <w:r w:rsidRPr="00E61612">
              <w:rPr>
                <w:color w:val="000000"/>
                <w:sz w:val="20"/>
                <w:szCs w:val="20"/>
              </w:rPr>
              <w:t>TM3-2021</w:t>
            </w:r>
          </w:p>
        </w:tc>
        <w:tc>
          <w:tcPr>
            <w:tcW w:w="438" w:type="pct"/>
            <w:tcBorders>
              <w:bottom w:val="single" w:sz="4" w:space="0" w:color="auto"/>
            </w:tcBorders>
            <w:shd w:val="clear" w:color="auto" w:fill="D9D9D9"/>
          </w:tcPr>
          <w:p w:rsidR="00B951B1" w:rsidRPr="00E61612" w:rsidRDefault="00B951B1" w:rsidP="00CB78E6">
            <w:pPr>
              <w:spacing w:after="0"/>
              <w:jc w:val="center"/>
              <w:rPr>
                <w:rFonts w:eastAsia="Times New Roman" w:cs="Calibri"/>
                <w:color w:val="000000"/>
                <w:sz w:val="18"/>
                <w:szCs w:val="18"/>
              </w:rPr>
            </w:pPr>
            <w:r w:rsidRPr="00E61612">
              <w:rPr>
                <w:color w:val="000000"/>
                <w:sz w:val="20"/>
                <w:szCs w:val="20"/>
              </w:rPr>
              <w:t>TM4-2026</w:t>
            </w:r>
          </w:p>
        </w:tc>
        <w:tc>
          <w:tcPr>
            <w:tcW w:w="462" w:type="pct"/>
            <w:tcBorders>
              <w:bottom w:val="single" w:sz="4" w:space="0" w:color="auto"/>
            </w:tcBorders>
            <w:shd w:val="clear" w:color="auto" w:fill="D9D9D9"/>
            <w:noWrap/>
          </w:tcPr>
          <w:p w:rsidR="00B951B1" w:rsidRPr="00E61612" w:rsidRDefault="00B951B1" w:rsidP="00CB78E6">
            <w:pPr>
              <w:spacing w:after="0"/>
              <w:jc w:val="right"/>
              <w:rPr>
                <w:rFonts w:eastAsia="Times New Roman" w:cs="Calibri"/>
                <w:color w:val="000000"/>
                <w:sz w:val="18"/>
                <w:szCs w:val="18"/>
              </w:rPr>
            </w:pPr>
            <w:r w:rsidRPr="00E61612">
              <w:rPr>
                <w:color w:val="000000"/>
                <w:sz w:val="20"/>
                <w:szCs w:val="20"/>
              </w:rPr>
              <w:t>105,000</w:t>
            </w:r>
          </w:p>
        </w:tc>
        <w:tc>
          <w:tcPr>
            <w:tcW w:w="475" w:type="pct"/>
            <w:tcBorders>
              <w:bottom w:val="single" w:sz="4" w:space="0" w:color="auto"/>
            </w:tcBorders>
            <w:shd w:val="clear" w:color="auto" w:fill="D9D9D9"/>
            <w:noWrap/>
          </w:tcPr>
          <w:p w:rsidR="00B951B1" w:rsidRPr="00E61612" w:rsidRDefault="00B951B1" w:rsidP="00CB78E6">
            <w:pPr>
              <w:spacing w:after="0"/>
              <w:jc w:val="right"/>
              <w:rPr>
                <w:rFonts w:eastAsia="Times New Roman" w:cs="Calibri"/>
                <w:color w:val="000000"/>
                <w:sz w:val="18"/>
                <w:szCs w:val="18"/>
              </w:rPr>
            </w:pPr>
            <w:r w:rsidRPr="00E61612">
              <w:rPr>
                <w:color w:val="000000"/>
                <w:sz w:val="20"/>
                <w:szCs w:val="20"/>
              </w:rPr>
              <w:t>90,000</w:t>
            </w:r>
          </w:p>
        </w:tc>
        <w:tc>
          <w:tcPr>
            <w:tcW w:w="486" w:type="pct"/>
            <w:tcBorders>
              <w:bottom w:val="single" w:sz="4" w:space="0" w:color="auto"/>
            </w:tcBorders>
            <w:shd w:val="clear" w:color="auto" w:fill="D9D9D9"/>
            <w:noWrap/>
          </w:tcPr>
          <w:p w:rsidR="00B951B1" w:rsidRPr="00E61612" w:rsidRDefault="00B951B1" w:rsidP="00CB78E6">
            <w:pPr>
              <w:spacing w:after="0"/>
              <w:jc w:val="right"/>
              <w:rPr>
                <w:rFonts w:eastAsia="Times New Roman" w:cs="Calibri"/>
                <w:color w:val="305496"/>
                <w:sz w:val="18"/>
                <w:szCs w:val="18"/>
              </w:rPr>
            </w:pPr>
            <w:r w:rsidRPr="00E61612">
              <w:rPr>
                <w:color w:val="000000"/>
                <w:sz w:val="20"/>
                <w:szCs w:val="20"/>
              </w:rPr>
              <w:t xml:space="preserve">                   -   </w:t>
            </w:r>
          </w:p>
        </w:tc>
        <w:tc>
          <w:tcPr>
            <w:tcW w:w="458" w:type="pct"/>
            <w:tcBorders>
              <w:bottom w:val="single" w:sz="4" w:space="0" w:color="auto"/>
            </w:tcBorders>
            <w:shd w:val="clear" w:color="auto" w:fill="D9D9D9"/>
            <w:noWrap/>
          </w:tcPr>
          <w:p w:rsidR="00B951B1" w:rsidRPr="00E61612" w:rsidRDefault="00B951B1" w:rsidP="00CB78E6">
            <w:pPr>
              <w:spacing w:after="0"/>
              <w:jc w:val="right"/>
              <w:rPr>
                <w:rFonts w:eastAsia="Times New Roman" w:cs="Calibri"/>
                <w:color w:val="000000"/>
                <w:sz w:val="18"/>
                <w:szCs w:val="18"/>
              </w:rPr>
            </w:pPr>
            <w:r w:rsidRPr="00E61612">
              <w:rPr>
                <w:color w:val="000000"/>
                <w:sz w:val="20"/>
                <w:szCs w:val="20"/>
              </w:rPr>
              <w:t>(15,000)</w:t>
            </w:r>
          </w:p>
        </w:tc>
      </w:tr>
      <w:tr w:rsidR="00B951B1" w:rsidRPr="00E61612" w:rsidTr="00CB78E6">
        <w:trPr>
          <w:trHeight w:val="20"/>
        </w:trPr>
        <w:tc>
          <w:tcPr>
            <w:tcW w:w="310" w:type="pct"/>
            <w:tcBorders>
              <w:bottom w:val="single" w:sz="4" w:space="0" w:color="auto"/>
            </w:tcBorders>
            <w:shd w:val="clear" w:color="auto" w:fill="FFFFFF"/>
          </w:tcPr>
          <w:p w:rsidR="00B951B1" w:rsidRPr="00E61612" w:rsidRDefault="00B951B1" w:rsidP="00CB78E6">
            <w:pPr>
              <w:spacing w:after="0"/>
              <w:jc w:val="center"/>
              <w:rPr>
                <w:rFonts w:eastAsia="Times New Roman" w:cs="Calibri"/>
                <w:b/>
                <w:bCs/>
                <w:color w:val="000000"/>
                <w:sz w:val="18"/>
                <w:szCs w:val="18"/>
              </w:rPr>
            </w:pPr>
            <w:r w:rsidRPr="00E61612">
              <w:rPr>
                <w:b/>
                <w:bCs/>
                <w:color w:val="000000"/>
                <w:sz w:val="20"/>
                <w:szCs w:val="20"/>
              </w:rPr>
              <w:t>C6.1.1</w:t>
            </w:r>
          </w:p>
        </w:tc>
        <w:tc>
          <w:tcPr>
            <w:tcW w:w="1002" w:type="pct"/>
            <w:tcBorders>
              <w:bottom w:val="single" w:sz="4" w:space="0" w:color="auto"/>
            </w:tcBorders>
            <w:shd w:val="clear" w:color="auto" w:fill="FFFFFF"/>
          </w:tcPr>
          <w:p w:rsidR="00B951B1" w:rsidRPr="00E61612" w:rsidRDefault="00B951B1" w:rsidP="00CB78E6">
            <w:pPr>
              <w:spacing w:after="0"/>
              <w:rPr>
                <w:rFonts w:eastAsia="Times New Roman" w:cs="Calibri"/>
                <w:sz w:val="18"/>
                <w:szCs w:val="18"/>
              </w:rPr>
            </w:pPr>
            <w:r w:rsidRPr="00E61612">
              <w:rPr>
                <w:sz w:val="20"/>
                <w:szCs w:val="20"/>
              </w:rPr>
              <w:t>Fondi për bashkëfinancimin e projekteve ndërkombëtare të bashkëpunimit akademik, përfshirë programet studimore të përbashkëta të IAL-ve shqiptare me universitetet evropiane</w:t>
            </w:r>
          </w:p>
        </w:tc>
        <w:tc>
          <w:tcPr>
            <w:tcW w:w="492" w:type="pct"/>
            <w:tcBorders>
              <w:bottom w:val="single" w:sz="4" w:space="0" w:color="auto"/>
            </w:tcBorders>
            <w:shd w:val="clear" w:color="auto" w:fill="FFFFFF"/>
          </w:tcPr>
          <w:p w:rsidR="00B951B1" w:rsidRPr="00E61612" w:rsidRDefault="00B951B1" w:rsidP="00CB78E6">
            <w:pPr>
              <w:spacing w:after="0"/>
              <w:jc w:val="center"/>
              <w:rPr>
                <w:rFonts w:eastAsia="Times New Roman" w:cs="Calibri"/>
                <w:color w:val="000000"/>
                <w:sz w:val="18"/>
                <w:szCs w:val="18"/>
              </w:rPr>
            </w:pPr>
            <w:r w:rsidRPr="00E61612">
              <w:rPr>
                <w:color w:val="000000"/>
                <w:sz w:val="20"/>
                <w:szCs w:val="20"/>
              </w:rPr>
              <w:t>MASR</w:t>
            </w:r>
          </w:p>
        </w:tc>
        <w:tc>
          <w:tcPr>
            <w:tcW w:w="494" w:type="pct"/>
            <w:tcBorders>
              <w:bottom w:val="single" w:sz="4" w:space="0" w:color="auto"/>
            </w:tcBorders>
            <w:shd w:val="clear" w:color="auto" w:fill="FFFFFF"/>
          </w:tcPr>
          <w:p w:rsidR="00B951B1" w:rsidRPr="00E61612" w:rsidRDefault="00B951B1" w:rsidP="00CB78E6">
            <w:pPr>
              <w:spacing w:after="0"/>
              <w:jc w:val="center"/>
              <w:rPr>
                <w:rFonts w:eastAsia="Times New Roman" w:cs="Calibri"/>
                <w:color w:val="000000"/>
                <w:sz w:val="18"/>
                <w:szCs w:val="18"/>
              </w:rPr>
            </w:pPr>
            <w:r w:rsidRPr="00E61612">
              <w:rPr>
                <w:color w:val="000000"/>
                <w:sz w:val="20"/>
                <w:szCs w:val="20"/>
              </w:rPr>
              <w:t>AKKSHI</w:t>
            </w:r>
          </w:p>
        </w:tc>
        <w:tc>
          <w:tcPr>
            <w:tcW w:w="383" w:type="pct"/>
            <w:tcBorders>
              <w:bottom w:val="single" w:sz="4" w:space="0" w:color="auto"/>
            </w:tcBorders>
            <w:shd w:val="clear" w:color="auto" w:fill="FFFFFF"/>
          </w:tcPr>
          <w:p w:rsidR="00B951B1" w:rsidRPr="00E61612" w:rsidRDefault="00B951B1" w:rsidP="00CB78E6">
            <w:pPr>
              <w:spacing w:after="0"/>
              <w:jc w:val="center"/>
              <w:rPr>
                <w:rFonts w:eastAsia="Times New Roman" w:cs="Calibri"/>
                <w:color w:val="000000"/>
                <w:sz w:val="18"/>
                <w:szCs w:val="18"/>
              </w:rPr>
            </w:pPr>
            <w:r w:rsidRPr="00E61612">
              <w:rPr>
                <w:color w:val="000000"/>
                <w:sz w:val="20"/>
                <w:szCs w:val="20"/>
              </w:rPr>
              <w:t>TM3-2021</w:t>
            </w:r>
          </w:p>
        </w:tc>
        <w:tc>
          <w:tcPr>
            <w:tcW w:w="438" w:type="pct"/>
            <w:tcBorders>
              <w:bottom w:val="single" w:sz="4" w:space="0" w:color="auto"/>
            </w:tcBorders>
            <w:shd w:val="clear" w:color="auto" w:fill="FFFFFF"/>
          </w:tcPr>
          <w:p w:rsidR="00B951B1" w:rsidRPr="00E61612" w:rsidRDefault="00B951B1" w:rsidP="00CB78E6">
            <w:pPr>
              <w:spacing w:after="0"/>
              <w:jc w:val="center"/>
              <w:rPr>
                <w:rFonts w:eastAsia="Times New Roman" w:cs="Calibri"/>
                <w:color w:val="000000"/>
                <w:sz w:val="18"/>
                <w:szCs w:val="18"/>
              </w:rPr>
            </w:pPr>
            <w:r w:rsidRPr="00E61612">
              <w:rPr>
                <w:color w:val="000000"/>
                <w:sz w:val="20"/>
                <w:szCs w:val="20"/>
              </w:rPr>
              <w:t>TM4-2026</w:t>
            </w:r>
          </w:p>
        </w:tc>
        <w:tc>
          <w:tcPr>
            <w:tcW w:w="462" w:type="pct"/>
            <w:tcBorders>
              <w:bottom w:val="single" w:sz="4" w:space="0" w:color="auto"/>
            </w:tcBorders>
            <w:shd w:val="clear" w:color="auto" w:fill="FFFFFF"/>
            <w:noWrap/>
          </w:tcPr>
          <w:p w:rsidR="00B951B1" w:rsidRPr="00E61612" w:rsidRDefault="00B951B1" w:rsidP="00CB78E6">
            <w:pPr>
              <w:spacing w:after="0"/>
              <w:jc w:val="right"/>
              <w:rPr>
                <w:rFonts w:eastAsia="Times New Roman" w:cs="Calibri"/>
                <w:color w:val="000000"/>
                <w:sz w:val="18"/>
                <w:szCs w:val="18"/>
              </w:rPr>
            </w:pPr>
            <w:r w:rsidRPr="00E61612">
              <w:rPr>
                <w:color w:val="000000"/>
                <w:sz w:val="20"/>
                <w:szCs w:val="20"/>
              </w:rPr>
              <w:t>105,000</w:t>
            </w:r>
          </w:p>
        </w:tc>
        <w:tc>
          <w:tcPr>
            <w:tcW w:w="475" w:type="pct"/>
            <w:tcBorders>
              <w:bottom w:val="single" w:sz="4" w:space="0" w:color="auto"/>
            </w:tcBorders>
            <w:shd w:val="clear" w:color="auto" w:fill="FFFFFF"/>
            <w:noWrap/>
          </w:tcPr>
          <w:p w:rsidR="00B951B1" w:rsidRPr="00E61612" w:rsidRDefault="00B951B1" w:rsidP="00CB78E6">
            <w:pPr>
              <w:spacing w:after="0"/>
              <w:jc w:val="right"/>
              <w:rPr>
                <w:rFonts w:eastAsia="Times New Roman" w:cs="Calibri"/>
                <w:color w:val="000000"/>
                <w:sz w:val="18"/>
                <w:szCs w:val="18"/>
              </w:rPr>
            </w:pPr>
            <w:r w:rsidRPr="00E61612">
              <w:rPr>
                <w:color w:val="000000"/>
                <w:sz w:val="20"/>
                <w:szCs w:val="20"/>
              </w:rPr>
              <w:t>90,000</w:t>
            </w:r>
          </w:p>
        </w:tc>
        <w:tc>
          <w:tcPr>
            <w:tcW w:w="486" w:type="pct"/>
            <w:tcBorders>
              <w:bottom w:val="single" w:sz="4" w:space="0" w:color="auto"/>
            </w:tcBorders>
            <w:shd w:val="clear" w:color="auto" w:fill="FFFFFF"/>
            <w:noWrap/>
          </w:tcPr>
          <w:p w:rsidR="00B951B1" w:rsidRPr="00E61612" w:rsidRDefault="00B951B1" w:rsidP="00CB78E6">
            <w:pPr>
              <w:spacing w:after="0"/>
              <w:jc w:val="right"/>
              <w:rPr>
                <w:rFonts w:eastAsia="Times New Roman" w:cs="Calibri"/>
                <w:color w:val="000000"/>
                <w:sz w:val="18"/>
                <w:szCs w:val="18"/>
              </w:rPr>
            </w:pPr>
            <w:r w:rsidRPr="00E61612">
              <w:rPr>
                <w:color w:val="000000"/>
                <w:sz w:val="20"/>
                <w:szCs w:val="20"/>
              </w:rPr>
              <w:t xml:space="preserve">                   -   </w:t>
            </w:r>
          </w:p>
        </w:tc>
        <w:tc>
          <w:tcPr>
            <w:tcW w:w="458" w:type="pct"/>
            <w:tcBorders>
              <w:bottom w:val="single" w:sz="4" w:space="0" w:color="auto"/>
            </w:tcBorders>
            <w:shd w:val="clear" w:color="auto" w:fill="FFFFFF"/>
            <w:noWrap/>
          </w:tcPr>
          <w:p w:rsidR="00B951B1" w:rsidRPr="00E61612" w:rsidRDefault="00B951B1" w:rsidP="00CB78E6">
            <w:pPr>
              <w:spacing w:after="0"/>
              <w:jc w:val="right"/>
              <w:rPr>
                <w:rFonts w:eastAsia="Times New Roman" w:cs="Calibri"/>
                <w:color w:val="000000"/>
                <w:sz w:val="18"/>
                <w:szCs w:val="18"/>
              </w:rPr>
            </w:pPr>
            <w:r w:rsidRPr="00E61612">
              <w:rPr>
                <w:color w:val="000000"/>
                <w:sz w:val="20"/>
                <w:szCs w:val="20"/>
              </w:rPr>
              <w:t>(15,000)</w:t>
            </w:r>
          </w:p>
        </w:tc>
      </w:tr>
      <w:tr w:rsidR="00B951B1" w:rsidRPr="00E61612" w:rsidTr="00CB78E6">
        <w:trPr>
          <w:trHeight w:val="20"/>
        </w:trPr>
        <w:tc>
          <w:tcPr>
            <w:tcW w:w="310" w:type="pct"/>
            <w:shd w:val="clear" w:color="auto" w:fill="D9D9D9"/>
          </w:tcPr>
          <w:p w:rsidR="00B951B1" w:rsidRPr="00E61612" w:rsidRDefault="00B951B1" w:rsidP="00CB78E6">
            <w:pPr>
              <w:spacing w:after="0"/>
              <w:jc w:val="center"/>
              <w:rPr>
                <w:rFonts w:eastAsia="Times New Roman" w:cs="Calibri"/>
                <w:b/>
                <w:bCs/>
                <w:color w:val="000000"/>
                <w:sz w:val="18"/>
                <w:szCs w:val="18"/>
              </w:rPr>
            </w:pPr>
            <w:r w:rsidRPr="00E61612">
              <w:rPr>
                <w:b/>
                <w:bCs/>
                <w:color w:val="000000"/>
                <w:sz w:val="20"/>
                <w:szCs w:val="20"/>
              </w:rPr>
              <w:t>C6.2</w:t>
            </w:r>
          </w:p>
        </w:tc>
        <w:tc>
          <w:tcPr>
            <w:tcW w:w="1002" w:type="pct"/>
            <w:shd w:val="clear" w:color="auto" w:fill="D9D9D9"/>
          </w:tcPr>
          <w:p w:rsidR="00B951B1" w:rsidRPr="00E61612" w:rsidRDefault="00B951B1" w:rsidP="00CB78E6">
            <w:pPr>
              <w:spacing w:after="0"/>
              <w:rPr>
                <w:rFonts w:eastAsia="Times New Roman" w:cs="Calibri"/>
                <w:sz w:val="18"/>
                <w:szCs w:val="18"/>
              </w:rPr>
            </w:pPr>
            <w:r w:rsidRPr="00E61612">
              <w:rPr>
                <w:sz w:val="20"/>
                <w:szCs w:val="20"/>
              </w:rPr>
              <w:t>Nxitja e IAL-ve për pjesëmarrje në projekte ndërkombëtare të bashkëpunimit akademik</w:t>
            </w:r>
          </w:p>
        </w:tc>
        <w:tc>
          <w:tcPr>
            <w:tcW w:w="492" w:type="pct"/>
            <w:shd w:val="clear" w:color="auto" w:fill="D9D9D9"/>
          </w:tcPr>
          <w:p w:rsidR="00B951B1" w:rsidRPr="00E61612" w:rsidRDefault="00B951B1" w:rsidP="00CB78E6">
            <w:pPr>
              <w:spacing w:after="0"/>
              <w:jc w:val="center"/>
              <w:rPr>
                <w:rFonts w:eastAsia="Times New Roman" w:cs="Calibri"/>
                <w:color w:val="000000"/>
                <w:sz w:val="18"/>
                <w:szCs w:val="18"/>
              </w:rPr>
            </w:pPr>
            <w:r w:rsidRPr="00E61612">
              <w:rPr>
                <w:color w:val="000000"/>
                <w:sz w:val="20"/>
                <w:szCs w:val="20"/>
              </w:rPr>
              <w:t>IAL-të</w:t>
            </w:r>
          </w:p>
        </w:tc>
        <w:tc>
          <w:tcPr>
            <w:tcW w:w="494" w:type="pct"/>
            <w:shd w:val="clear" w:color="auto" w:fill="D9D9D9"/>
          </w:tcPr>
          <w:p w:rsidR="00B951B1" w:rsidRPr="00E61612" w:rsidRDefault="00B951B1" w:rsidP="00CB78E6">
            <w:pPr>
              <w:spacing w:after="0"/>
              <w:jc w:val="center"/>
              <w:rPr>
                <w:rFonts w:eastAsia="Times New Roman" w:cs="Calibri"/>
                <w:color w:val="000000"/>
                <w:sz w:val="18"/>
                <w:szCs w:val="18"/>
              </w:rPr>
            </w:pPr>
            <w:r w:rsidRPr="00E61612">
              <w:rPr>
                <w:color w:val="000000"/>
                <w:sz w:val="20"/>
                <w:szCs w:val="20"/>
              </w:rPr>
              <w:t>MASR</w:t>
            </w:r>
          </w:p>
        </w:tc>
        <w:tc>
          <w:tcPr>
            <w:tcW w:w="383" w:type="pct"/>
            <w:shd w:val="clear" w:color="auto" w:fill="D9D9D9"/>
          </w:tcPr>
          <w:p w:rsidR="00B951B1" w:rsidRPr="00E61612" w:rsidRDefault="00B951B1" w:rsidP="00CB78E6">
            <w:pPr>
              <w:spacing w:after="0"/>
              <w:jc w:val="center"/>
              <w:rPr>
                <w:rFonts w:eastAsia="Times New Roman" w:cs="Calibri"/>
                <w:color w:val="000000"/>
                <w:sz w:val="18"/>
                <w:szCs w:val="18"/>
              </w:rPr>
            </w:pPr>
            <w:r w:rsidRPr="00E61612">
              <w:rPr>
                <w:color w:val="000000"/>
                <w:sz w:val="20"/>
                <w:szCs w:val="20"/>
              </w:rPr>
              <w:t>TM2-2023</w:t>
            </w:r>
          </w:p>
        </w:tc>
        <w:tc>
          <w:tcPr>
            <w:tcW w:w="438" w:type="pct"/>
            <w:shd w:val="clear" w:color="auto" w:fill="D9D9D9"/>
          </w:tcPr>
          <w:p w:rsidR="00B951B1" w:rsidRPr="00E61612" w:rsidRDefault="00B951B1" w:rsidP="00CB78E6">
            <w:pPr>
              <w:spacing w:after="0"/>
              <w:jc w:val="center"/>
              <w:rPr>
                <w:rFonts w:eastAsia="Times New Roman" w:cs="Calibri"/>
                <w:color w:val="000000"/>
                <w:sz w:val="18"/>
                <w:szCs w:val="18"/>
              </w:rPr>
            </w:pPr>
            <w:r w:rsidRPr="00E61612">
              <w:rPr>
                <w:color w:val="000000"/>
                <w:sz w:val="20"/>
                <w:szCs w:val="20"/>
              </w:rPr>
              <w:t>TM4-2026</w:t>
            </w:r>
          </w:p>
        </w:tc>
        <w:tc>
          <w:tcPr>
            <w:tcW w:w="462" w:type="pct"/>
            <w:shd w:val="clear" w:color="auto" w:fill="D9D9D9"/>
            <w:noWrap/>
          </w:tcPr>
          <w:p w:rsidR="00B951B1" w:rsidRPr="00E61612" w:rsidRDefault="00B951B1" w:rsidP="00CB78E6">
            <w:pPr>
              <w:spacing w:after="0"/>
              <w:jc w:val="right"/>
              <w:rPr>
                <w:rFonts w:eastAsia="Times New Roman" w:cs="Calibri"/>
                <w:color w:val="000000"/>
                <w:sz w:val="18"/>
                <w:szCs w:val="18"/>
              </w:rPr>
            </w:pPr>
            <w:r w:rsidRPr="00E61612">
              <w:rPr>
                <w:color w:val="000000"/>
                <w:sz w:val="20"/>
                <w:szCs w:val="20"/>
              </w:rPr>
              <w:t>720</w:t>
            </w:r>
          </w:p>
        </w:tc>
        <w:tc>
          <w:tcPr>
            <w:tcW w:w="475" w:type="pct"/>
            <w:shd w:val="clear" w:color="auto" w:fill="D9D9D9"/>
            <w:noWrap/>
          </w:tcPr>
          <w:p w:rsidR="00B951B1" w:rsidRPr="00E61612" w:rsidRDefault="00B951B1" w:rsidP="00CB78E6">
            <w:pPr>
              <w:spacing w:after="0"/>
              <w:jc w:val="right"/>
              <w:rPr>
                <w:rFonts w:eastAsia="Times New Roman" w:cs="Calibri"/>
                <w:color w:val="000000"/>
                <w:sz w:val="18"/>
                <w:szCs w:val="18"/>
              </w:rPr>
            </w:pPr>
            <w:r w:rsidRPr="00E61612">
              <w:rPr>
                <w:color w:val="000000"/>
                <w:sz w:val="20"/>
                <w:szCs w:val="20"/>
              </w:rPr>
              <w:t>-</w:t>
            </w:r>
          </w:p>
        </w:tc>
        <w:tc>
          <w:tcPr>
            <w:tcW w:w="486" w:type="pct"/>
            <w:shd w:val="clear" w:color="auto" w:fill="D9D9D9"/>
            <w:noWrap/>
          </w:tcPr>
          <w:p w:rsidR="00B951B1" w:rsidRPr="00E61612" w:rsidRDefault="00B951B1" w:rsidP="00CB78E6">
            <w:pPr>
              <w:spacing w:after="0"/>
              <w:jc w:val="right"/>
              <w:rPr>
                <w:rFonts w:eastAsia="Times New Roman" w:cs="Calibri"/>
                <w:color w:val="000000"/>
                <w:sz w:val="18"/>
                <w:szCs w:val="18"/>
              </w:rPr>
            </w:pPr>
            <w:r w:rsidRPr="00E61612">
              <w:rPr>
                <w:color w:val="000000"/>
                <w:sz w:val="20"/>
                <w:szCs w:val="20"/>
              </w:rPr>
              <w:t xml:space="preserve">                   -   </w:t>
            </w:r>
          </w:p>
        </w:tc>
        <w:tc>
          <w:tcPr>
            <w:tcW w:w="458" w:type="pct"/>
            <w:shd w:val="clear" w:color="auto" w:fill="D9D9D9"/>
            <w:noWrap/>
          </w:tcPr>
          <w:p w:rsidR="00B951B1" w:rsidRPr="00E61612" w:rsidRDefault="00B951B1" w:rsidP="00CB78E6">
            <w:pPr>
              <w:spacing w:after="0"/>
              <w:jc w:val="right"/>
              <w:rPr>
                <w:rFonts w:eastAsia="Times New Roman" w:cs="Calibri"/>
                <w:color w:val="000000"/>
                <w:sz w:val="18"/>
                <w:szCs w:val="18"/>
              </w:rPr>
            </w:pPr>
            <w:r w:rsidRPr="00E61612">
              <w:rPr>
                <w:color w:val="000000"/>
                <w:sz w:val="20"/>
                <w:szCs w:val="20"/>
              </w:rPr>
              <w:t>(720)</w:t>
            </w:r>
          </w:p>
        </w:tc>
      </w:tr>
      <w:tr w:rsidR="00B951B1" w:rsidRPr="00E61612" w:rsidTr="00CB78E6">
        <w:trPr>
          <w:trHeight w:val="20"/>
        </w:trPr>
        <w:tc>
          <w:tcPr>
            <w:tcW w:w="310" w:type="pct"/>
            <w:tcBorders>
              <w:bottom w:val="single" w:sz="4" w:space="0" w:color="auto"/>
            </w:tcBorders>
            <w:shd w:val="clear" w:color="auto" w:fill="FFFFFF"/>
          </w:tcPr>
          <w:p w:rsidR="00B951B1" w:rsidRPr="00E61612" w:rsidRDefault="00B951B1" w:rsidP="00CB78E6">
            <w:pPr>
              <w:spacing w:after="0"/>
              <w:jc w:val="center"/>
              <w:rPr>
                <w:rFonts w:eastAsia="Times New Roman" w:cs="Calibri"/>
                <w:b/>
                <w:bCs/>
                <w:color w:val="000000"/>
                <w:sz w:val="18"/>
                <w:szCs w:val="18"/>
              </w:rPr>
            </w:pPr>
            <w:r w:rsidRPr="00E61612">
              <w:rPr>
                <w:b/>
                <w:bCs/>
                <w:color w:val="000000"/>
                <w:sz w:val="20"/>
                <w:szCs w:val="20"/>
              </w:rPr>
              <w:t>C6.1.2</w:t>
            </w:r>
          </w:p>
        </w:tc>
        <w:tc>
          <w:tcPr>
            <w:tcW w:w="1002" w:type="pct"/>
            <w:tcBorders>
              <w:bottom w:val="single" w:sz="4" w:space="0" w:color="auto"/>
            </w:tcBorders>
            <w:shd w:val="clear" w:color="auto" w:fill="FFFFFF"/>
          </w:tcPr>
          <w:p w:rsidR="00B951B1" w:rsidRPr="00E61612" w:rsidRDefault="00B951B1" w:rsidP="00CB78E6">
            <w:pPr>
              <w:spacing w:after="0"/>
              <w:rPr>
                <w:rFonts w:eastAsia="Times New Roman" w:cs="Calibri"/>
                <w:sz w:val="18"/>
                <w:szCs w:val="18"/>
              </w:rPr>
            </w:pPr>
            <w:r w:rsidRPr="00E61612">
              <w:rPr>
                <w:sz w:val="20"/>
                <w:szCs w:val="20"/>
              </w:rPr>
              <w:t>Ngritja e zyrave t</w:t>
            </w:r>
            <w:r>
              <w:rPr>
                <w:sz w:val="20"/>
                <w:szCs w:val="20"/>
              </w:rPr>
              <w:t>ë</w:t>
            </w:r>
            <w:r w:rsidRPr="00E61612">
              <w:rPr>
                <w:sz w:val="20"/>
                <w:szCs w:val="20"/>
              </w:rPr>
              <w:t xml:space="preserve"> projekteve n</w:t>
            </w:r>
            <w:r>
              <w:rPr>
                <w:sz w:val="20"/>
                <w:szCs w:val="20"/>
              </w:rPr>
              <w:t>ë</w:t>
            </w:r>
            <w:r w:rsidRPr="00E61612">
              <w:rPr>
                <w:sz w:val="20"/>
                <w:szCs w:val="20"/>
              </w:rPr>
              <w:t xml:space="preserve"> IAL-të publike</w:t>
            </w:r>
          </w:p>
        </w:tc>
        <w:tc>
          <w:tcPr>
            <w:tcW w:w="492" w:type="pct"/>
            <w:tcBorders>
              <w:bottom w:val="single" w:sz="4" w:space="0" w:color="auto"/>
            </w:tcBorders>
            <w:shd w:val="clear" w:color="auto" w:fill="FFFFFF"/>
          </w:tcPr>
          <w:p w:rsidR="00B951B1" w:rsidRPr="00E61612" w:rsidRDefault="00B951B1" w:rsidP="00CB78E6">
            <w:pPr>
              <w:spacing w:after="0"/>
              <w:jc w:val="center"/>
              <w:rPr>
                <w:rFonts w:eastAsia="Times New Roman" w:cs="Calibri"/>
                <w:color w:val="000000"/>
                <w:sz w:val="18"/>
                <w:szCs w:val="18"/>
              </w:rPr>
            </w:pPr>
            <w:r w:rsidRPr="00E61612">
              <w:rPr>
                <w:color w:val="000000"/>
                <w:sz w:val="20"/>
                <w:szCs w:val="20"/>
              </w:rPr>
              <w:t>IAL-të</w:t>
            </w:r>
          </w:p>
        </w:tc>
        <w:tc>
          <w:tcPr>
            <w:tcW w:w="494" w:type="pct"/>
            <w:tcBorders>
              <w:bottom w:val="single" w:sz="4" w:space="0" w:color="auto"/>
            </w:tcBorders>
            <w:shd w:val="clear" w:color="auto" w:fill="FFFFFF"/>
          </w:tcPr>
          <w:p w:rsidR="00B951B1" w:rsidRPr="00E61612" w:rsidRDefault="00B951B1" w:rsidP="00CB78E6">
            <w:pPr>
              <w:spacing w:after="0"/>
              <w:jc w:val="center"/>
              <w:rPr>
                <w:rFonts w:eastAsia="Times New Roman" w:cs="Calibri"/>
                <w:color w:val="000000"/>
                <w:sz w:val="18"/>
                <w:szCs w:val="18"/>
              </w:rPr>
            </w:pPr>
            <w:r w:rsidRPr="00E61612">
              <w:rPr>
                <w:color w:val="000000"/>
                <w:sz w:val="20"/>
                <w:szCs w:val="20"/>
              </w:rPr>
              <w:t>MASR</w:t>
            </w:r>
          </w:p>
        </w:tc>
        <w:tc>
          <w:tcPr>
            <w:tcW w:w="383" w:type="pct"/>
            <w:tcBorders>
              <w:bottom w:val="single" w:sz="4" w:space="0" w:color="auto"/>
            </w:tcBorders>
            <w:shd w:val="clear" w:color="auto" w:fill="FFFFFF"/>
          </w:tcPr>
          <w:p w:rsidR="00B951B1" w:rsidRPr="00E61612" w:rsidRDefault="00B951B1" w:rsidP="00CB78E6">
            <w:pPr>
              <w:spacing w:after="0"/>
              <w:jc w:val="center"/>
              <w:rPr>
                <w:rFonts w:eastAsia="Times New Roman" w:cs="Calibri"/>
                <w:color w:val="000000"/>
                <w:sz w:val="18"/>
                <w:szCs w:val="18"/>
              </w:rPr>
            </w:pPr>
            <w:r w:rsidRPr="00E61612">
              <w:rPr>
                <w:color w:val="000000"/>
                <w:sz w:val="20"/>
                <w:szCs w:val="20"/>
              </w:rPr>
              <w:t>TM2-2023</w:t>
            </w:r>
          </w:p>
        </w:tc>
        <w:tc>
          <w:tcPr>
            <w:tcW w:w="438" w:type="pct"/>
            <w:tcBorders>
              <w:bottom w:val="single" w:sz="4" w:space="0" w:color="auto"/>
            </w:tcBorders>
            <w:shd w:val="clear" w:color="auto" w:fill="FFFFFF"/>
          </w:tcPr>
          <w:p w:rsidR="00B951B1" w:rsidRPr="00E61612" w:rsidRDefault="00B951B1" w:rsidP="00CB78E6">
            <w:pPr>
              <w:spacing w:after="0"/>
              <w:jc w:val="center"/>
              <w:rPr>
                <w:rFonts w:eastAsia="Times New Roman" w:cs="Calibri"/>
                <w:color w:val="000000"/>
                <w:sz w:val="18"/>
                <w:szCs w:val="18"/>
              </w:rPr>
            </w:pPr>
            <w:r w:rsidRPr="00E61612">
              <w:rPr>
                <w:color w:val="000000"/>
                <w:sz w:val="20"/>
                <w:szCs w:val="20"/>
              </w:rPr>
              <w:t>TM4-2026</w:t>
            </w:r>
          </w:p>
        </w:tc>
        <w:tc>
          <w:tcPr>
            <w:tcW w:w="462" w:type="pct"/>
            <w:tcBorders>
              <w:bottom w:val="single" w:sz="4" w:space="0" w:color="auto"/>
            </w:tcBorders>
            <w:shd w:val="clear" w:color="auto" w:fill="FFFFFF"/>
            <w:noWrap/>
          </w:tcPr>
          <w:p w:rsidR="00B951B1" w:rsidRPr="00E61612" w:rsidRDefault="00B951B1" w:rsidP="00CB78E6">
            <w:pPr>
              <w:spacing w:after="0"/>
              <w:jc w:val="right"/>
              <w:rPr>
                <w:rFonts w:eastAsia="Times New Roman" w:cs="Calibri"/>
                <w:color w:val="000000"/>
                <w:sz w:val="18"/>
                <w:szCs w:val="18"/>
              </w:rPr>
            </w:pPr>
            <w:r w:rsidRPr="00E61612">
              <w:rPr>
                <w:color w:val="000000"/>
                <w:sz w:val="20"/>
                <w:szCs w:val="20"/>
              </w:rPr>
              <w:t>720</w:t>
            </w:r>
          </w:p>
        </w:tc>
        <w:tc>
          <w:tcPr>
            <w:tcW w:w="475" w:type="pct"/>
            <w:tcBorders>
              <w:bottom w:val="single" w:sz="4" w:space="0" w:color="auto"/>
            </w:tcBorders>
            <w:shd w:val="clear" w:color="auto" w:fill="FFFFFF"/>
            <w:noWrap/>
          </w:tcPr>
          <w:p w:rsidR="00B951B1" w:rsidRPr="00E61612" w:rsidRDefault="00B951B1" w:rsidP="00CB78E6">
            <w:pPr>
              <w:spacing w:after="0"/>
              <w:jc w:val="right"/>
              <w:rPr>
                <w:rFonts w:eastAsia="Times New Roman" w:cs="Calibri"/>
                <w:color w:val="000000"/>
                <w:sz w:val="18"/>
                <w:szCs w:val="18"/>
              </w:rPr>
            </w:pPr>
            <w:r w:rsidRPr="00E61612">
              <w:rPr>
                <w:color w:val="000000"/>
                <w:sz w:val="20"/>
                <w:szCs w:val="20"/>
              </w:rPr>
              <w:t>-</w:t>
            </w:r>
          </w:p>
        </w:tc>
        <w:tc>
          <w:tcPr>
            <w:tcW w:w="486" w:type="pct"/>
            <w:tcBorders>
              <w:bottom w:val="single" w:sz="4" w:space="0" w:color="auto"/>
            </w:tcBorders>
            <w:shd w:val="clear" w:color="auto" w:fill="FFFFFF"/>
            <w:noWrap/>
          </w:tcPr>
          <w:p w:rsidR="00B951B1" w:rsidRPr="00E61612" w:rsidRDefault="00B951B1" w:rsidP="00CB78E6">
            <w:pPr>
              <w:spacing w:after="0"/>
              <w:jc w:val="right"/>
              <w:rPr>
                <w:rFonts w:eastAsia="Times New Roman" w:cs="Calibri"/>
                <w:color w:val="000000"/>
                <w:sz w:val="18"/>
                <w:szCs w:val="18"/>
              </w:rPr>
            </w:pPr>
            <w:r w:rsidRPr="00E61612">
              <w:rPr>
                <w:color w:val="000000"/>
                <w:sz w:val="20"/>
                <w:szCs w:val="20"/>
              </w:rPr>
              <w:t xml:space="preserve">                   -   </w:t>
            </w:r>
          </w:p>
        </w:tc>
        <w:tc>
          <w:tcPr>
            <w:tcW w:w="458" w:type="pct"/>
            <w:tcBorders>
              <w:bottom w:val="single" w:sz="4" w:space="0" w:color="auto"/>
            </w:tcBorders>
            <w:shd w:val="clear" w:color="auto" w:fill="FFFFFF"/>
            <w:noWrap/>
          </w:tcPr>
          <w:p w:rsidR="00B951B1" w:rsidRPr="00E61612" w:rsidRDefault="00B951B1" w:rsidP="00CB78E6">
            <w:pPr>
              <w:spacing w:after="0"/>
              <w:jc w:val="right"/>
              <w:rPr>
                <w:rFonts w:eastAsia="Times New Roman" w:cs="Calibri"/>
                <w:color w:val="000000"/>
                <w:sz w:val="18"/>
                <w:szCs w:val="18"/>
              </w:rPr>
            </w:pPr>
            <w:r w:rsidRPr="00E61612">
              <w:rPr>
                <w:color w:val="000000"/>
                <w:sz w:val="20"/>
                <w:szCs w:val="20"/>
              </w:rPr>
              <w:t>(720)</w:t>
            </w:r>
          </w:p>
        </w:tc>
      </w:tr>
      <w:tr w:rsidR="00B951B1" w:rsidRPr="00E61612" w:rsidTr="00CB78E6">
        <w:trPr>
          <w:trHeight w:val="20"/>
        </w:trPr>
        <w:tc>
          <w:tcPr>
            <w:tcW w:w="310" w:type="pct"/>
            <w:tcBorders>
              <w:bottom w:val="single" w:sz="4" w:space="0" w:color="auto"/>
            </w:tcBorders>
            <w:shd w:val="clear" w:color="auto" w:fill="D9D9D9"/>
          </w:tcPr>
          <w:p w:rsidR="00B951B1" w:rsidRPr="00E61612" w:rsidRDefault="00B951B1" w:rsidP="00CB78E6">
            <w:pPr>
              <w:spacing w:after="0"/>
              <w:jc w:val="center"/>
              <w:rPr>
                <w:rFonts w:eastAsia="Times New Roman" w:cs="Calibri"/>
                <w:b/>
                <w:bCs/>
                <w:color w:val="000000"/>
                <w:sz w:val="18"/>
                <w:szCs w:val="18"/>
              </w:rPr>
            </w:pPr>
            <w:r w:rsidRPr="00E61612">
              <w:rPr>
                <w:b/>
                <w:bCs/>
                <w:color w:val="000000"/>
                <w:sz w:val="20"/>
                <w:szCs w:val="20"/>
              </w:rPr>
              <w:lastRenderedPageBreak/>
              <w:t>C6.3</w:t>
            </w:r>
          </w:p>
        </w:tc>
        <w:tc>
          <w:tcPr>
            <w:tcW w:w="1002" w:type="pct"/>
            <w:tcBorders>
              <w:bottom w:val="single" w:sz="4" w:space="0" w:color="auto"/>
            </w:tcBorders>
            <w:shd w:val="clear" w:color="auto" w:fill="D9D9D9"/>
          </w:tcPr>
          <w:p w:rsidR="00B951B1" w:rsidRPr="00E61612" w:rsidRDefault="00B951B1" w:rsidP="00CB78E6">
            <w:pPr>
              <w:spacing w:after="0"/>
              <w:rPr>
                <w:rFonts w:eastAsia="Times New Roman" w:cs="Calibri"/>
                <w:sz w:val="18"/>
                <w:szCs w:val="18"/>
              </w:rPr>
            </w:pPr>
            <w:r w:rsidRPr="00E61612">
              <w:rPr>
                <w:sz w:val="20"/>
                <w:szCs w:val="20"/>
              </w:rPr>
              <w:t xml:space="preserve"> Ofrimi i programeve studimore ndërkombëtare në Shqipëri </w:t>
            </w:r>
          </w:p>
        </w:tc>
        <w:tc>
          <w:tcPr>
            <w:tcW w:w="492" w:type="pct"/>
            <w:tcBorders>
              <w:bottom w:val="single" w:sz="4" w:space="0" w:color="auto"/>
            </w:tcBorders>
            <w:shd w:val="clear" w:color="auto" w:fill="D9D9D9"/>
          </w:tcPr>
          <w:p w:rsidR="00B951B1" w:rsidRPr="00E61612" w:rsidRDefault="00B951B1" w:rsidP="00CB78E6">
            <w:pPr>
              <w:spacing w:after="0"/>
              <w:jc w:val="center"/>
              <w:rPr>
                <w:rFonts w:eastAsia="Times New Roman" w:cs="Calibri"/>
                <w:color w:val="000000"/>
                <w:sz w:val="18"/>
                <w:szCs w:val="18"/>
              </w:rPr>
            </w:pPr>
            <w:r w:rsidRPr="00E61612">
              <w:rPr>
                <w:color w:val="000000"/>
                <w:sz w:val="20"/>
                <w:szCs w:val="20"/>
              </w:rPr>
              <w:t>MASR</w:t>
            </w:r>
          </w:p>
        </w:tc>
        <w:tc>
          <w:tcPr>
            <w:tcW w:w="494" w:type="pct"/>
            <w:tcBorders>
              <w:bottom w:val="single" w:sz="4" w:space="0" w:color="auto"/>
            </w:tcBorders>
            <w:shd w:val="clear" w:color="auto" w:fill="D9D9D9"/>
          </w:tcPr>
          <w:p w:rsidR="00B951B1" w:rsidRPr="00E61612" w:rsidRDefault="00B951B1" w:rsidP="00CB78E6">
            <w:pPr>
              <w:spacing w:after="0"/>
              <w:jc w:val="center"/>
              <w:rPr>
                <w:rFonts w:eastAsia="Times New Roman" w:cs="Calibri"/>
                <w:color w:val="000000"/>
                <w:sz w:val="18"/>
                <w:szCs w:val="18"/>
              </w:rPr>
            </w:pPr>
            <w:r w:rsidRPr="00E61612">
              <w:rPr>
                <w:color w:val="000000"/>
                <w:sz w:val="20"/>
                <w:szCs w:val="20"/>
              </w:rPr>
              <w:t>IAL-të</w:t>
            </w:r>
          </w:p>
        </w:tc>
        <w:tc>
          <w:tcPr>
            <w:tcW w:w="383" w:type="pct"/>
            <w:tcBorders>
              <w:bottom w:val="single" w:sz="4" w:space="0" w:color="auto"/>
            </w:tcBorders>
            <w:shd w:val="clear" w:color="auto" w:fill="D9D9D9"/>
          </w:tcPr>
          <w:p w:rsidR="00B951B1" w:rsidRPr="00E61612" w:rsidRDefault="00B951B1" w:rsidP="00CB78E6">
            <w:pPr>
              <w:spacing w:after="0"/>
              <w:jc w:val="center"/>
              <w:rPr>
                <w:rFonts w:eastAsia="Times New Roman" w:cs="Calibri"/>
                <w:color w:val="000000"/>
                <w:sz w:val="18"/>
                <w:szCs w:val="18"/>
              </w:rPr>
            </w:pPr>
            <w:r w:rsidRPr="00E61612">
              <w:rPr>
                <w:color w:val="000000"/>
                <w:sz w:val="20"/>
                <w:szCs w:val="20"/>
              </w:rPr>
              <w:t>TM3-2021</w:t>
            </w:r>
          </w:p>
        </w:tc>
        <w:tc>
          <w:tcPr>
            <w:tcW w:w="438" w:type="pct"/>
            <w:tcBorders>
              <w:bottom w:val="single" w:sz="4" w:space="0" w:color="auto"/>
            </w:tcBorders>
            <w:shd w:val="clear" w:color="auto" w:fill="D9D9D9"/>
          </w:tcPr>
          <w:p w:rsidR="00B951B1" w:rsidRPr="00E61612" w:rsidRDefault="00B951B1" w:rsidP="00CB78E6">
            <w:pPr>
              <w:spacing w:after="0"/>
              <w:jc w:val="center"/>
              <w:rPr>
                <w:rFonts w:eastAsia="Times New Roman" w:cs="Calibri"/>
                <w:color w:val="000000"/>
                <w:sz w:val="18"/>
                <w:szCs w:val="18"/>
              </w:rPr>
            </w:pPr>
            <w:r w:rsidRPr="00E61612">
              <w:rPr>
                <w:color w:val="000000"/>
                <w:sz w:val="20"/>
                <w:szCs w:val="20"/>
              </w:rPr>
              <w:t>TM4-2026</w:t>
            </w:r>
          </w:p>
        </w:tc>
        <w:tc>
          <w:tcPr>
            <w:tcW w:w="462" w:type="pct"/>
            <w:tcBorders>
              <w:bottom w:val="single" w:sz="4" w:space="0" w:color="auto"/>
            </w:tcBorders>
            <w:shd w:val="clear" w:color="auto" w:fill="D9D9D9"/>
            <w:noWrap/>
          </w:tcPr>
          <w:p w:rsidR="00B951B1" w:rsidRPr="00E61612" w:rsidRDefault="00B951B1" w:rsidP="00CB78E6">
            <w:pPr>
              <w:spacing w:after="0"/>
              <w:jc w:val="right"/>
              <w:rPr>
                <w:rFonts w:eastAsia="Times New Roman" w:cs="Calibri"/>
                <w:color w:val="000000"/>
                <w:sz w:val="18"/>
                <w:szCs w:val="18"/>
              </w:rPr>
            </w:pPr>
            <w:r w:rsidRPr="00E61612">
              <w:rPr>
                <w:color w:val="000000"/>
                <w:sz w:val="20"/>
                <w:szCs w:val="20"/>
              </w:rPr>
              <w:t>-</w:t>
            </w:r>
          </w:p>
        </w:tc>
        <w:tc>
          <w:tcPr>
            <w:tcW w:w="475" w:type="pct"/>
            <w:tcBorders>
              <w:bottom w:val="single" w:sz="4" w:space="0" w:color="auto"/>
            </w:tcBorders>
            <w:shd w:val="clear" w:color="auto" w:fill="D9D9D9"/>
            <w:noWrap/>
          </w:tcPr>
          <w:p w:rsidR="00B951B1" w:rsidRPr="00E61612" w:rsidRDefault="00B951B1" w:rsidP="00CB78E6">
            <w:pPr>
              <w:spacing w:after="0"/>
              <w:jc w:val="right"/>
              <w:rPr>
                <w:rFonts w:eastAsia="Times New Roman" w:cs="Calibri"/>
                <w:color w:val="000000"/>
                <w:sz w:val="18"/>
                <w:szCs w:val="18"/>
              </w:rPr>
            </w:pPr>
            <w:r w:rsidRPr="00E61612">
              <w:rPr>
                <w:color w:val="000000"/>
                <w:sz w:val="20"/>
                <w:szCs w:val="20"/>
              </w:rPr>
              <w:t>-</w:t>
            </w:r>
          </w:p>
        </w:tc>
        <w:tc>
          <w:tcPr>
            <w:tcW w:w="486" w:type="pct"/>
            <w:tcBorders>
              <w:bottom w:val="single" w:sz="4" w:space="0" w:color="auto"/>
            </w:tcBorders>
            <w:shd w:val="clear" w:color="auto" w:fill="D9D9D9"/>
            <w:noWrap/>
          </w:tcPr>
          <w:p w:rsidR="00B951B1" w:rsidRPr="00E61612" w:rsidRDefault="00B951B1" w:rsidP="00CB78E6">
            <w:pPr>
              <w:spacing w:after="0"/>
              <w:jc w:val="right"/>
              <w:rPr>
                <w:rFonts w:eastAsia="Times New Roman" w:cs="Calibri"/>
                <w:color w:val="000000"/>
                <w:sz w:val="18"/>
                <w:szCs w:val="18"/>
              </w:rPr>
            </w:pPr>
            <w:r w:rsidRPr="00E61612">
              <w:rPr>
                <w:color w:val="000000"/>
                <w:sz w:val="20"/>
                <w:szCs w:val="20"/>
              </w:rPr>
              <w:t xml:space="preserve">                   -   </w:t>
            </w:r>
          </w:p>
        </w:tc>
        <w:tc>
          <w:tcPr>
            <w:tcW w:w="458" w:type="pct"/>
            <w:tcBorders>
              <w:bottom w:val="single" w:sz="4" w:space="0" w:color="auto"/>
            </w:tcBorders>
            <w:shd w:val="clear" w:color="auto" w:fill="D9D9D9"/>
            <w:noWrap/>
          </w:tcPr>
          <w:p w:rsidR="00B951B1" w:rsidRPr="00E61612" w:rsidRDefault="00B951B1" w:rsidP="00CB78E6">
            <w:pPr>
              <w:spacing w:after="0"/>
              <w:jc w:val="right"/>
              <w:rPr>
                <w:rFonts w:eastAsia="Times New Roman" w:cs="Calibri"/>
                <w:color w:val="000000"/>
                <w:sz w:val="18"/>
                <w:szCs w:val="18"/>
              </w:rPr>
            </w:pPr>
            <w:r w:rsidRPr="00E61612">
              <w:rPr>
                <w:color w:val="000000"/>
                <w:sz w:val="20"/>
                <w:szCs w:val="20"/>
              </w:rPr>
              <w:t>-</w:t>
            </w:r>
          </w:p>
        </w:tc>
      </w:tr>
      <w:tr w:rsidR="00B951B1" w:rsidRPr="00E61612" w:rsidTr="00CB78E6">
        <w:trPr>
          <w:trHeight w:val="20"/>
        </w:trPr>
        <w:tc>
          <w:tcPr>
            <w:tcW w:w="310" w:type="pct"/>
            <w:tcBorders>
              <w:bottom w:val="single" w:sz="4" w:space="0" w:color="auto"/>
            </w:tcBorders>
            <w:shd w:val="clear" w:color="auto" w:fill="FFFFFF"/>
          </w:tcPr>
          <w:p w:rsidR="00B951B1" w:rsidRPr="00E61612" w:rsidRDefault="00B951B1" w:rsidP="00CB78E6">
            <w:pPr>
              <w:spacing w:after="0"/>
              <w:jc w:val="center"/>
              <w:rPr>
                <w:rFonts w:eastAsia="Times New Roman" w:cs="Calibri"/>
                <w:b/>
                <w:bCs/>
                <w:color w:val="000000"/>
                <w:sz w:val="18"/>
                <w:szCs w:val="18"/>
              </w:rPr>
            </w:pPr>
            <w:r w:rsidRPr="00E61612">
              <w:rPr>
                <w:b/>
                <w:bCs/>
                <w:color w:val="000000"/>
                <w:sz w:val="20"/>
                <w:szCs w:val="20"/>
              </w:rPr>
              <w:t>C6.3.1</w:t>
            </w:r>
          </w:p>
        </w:tc>
        <w:tc>
          <w:tcPr>
            <w:tcW w:w="1002" w:type="pct"/>
            <w:tcBorders>
              <w:bottom w:val="single" w:sz="4" w:space="0" w:color="auto"/>
            </w:tcBorders>
            <w:shd w:val="clear" w:color="auto" w:fill="FFFFFF"/>
          </w:tcPr>
          <w:p w:rsidR="00B951B1" w:rsidRPr="00E61612" w:rsidRDefault="00B951B1" w:rsidP="00CB78E6">
            <w:pPr>
              <w:spacing w:after="0"/>
              <w:rPr>
                <w:rFonts w:eastAsia="Times New Roman" w:cs="Calibri"/>
                <w:sz w:val="18"/>
                <w:szCs w:val="18"/>
              </w:rPr>
            </w:pPr>
            <w:r w:rsidRPr="00E61612">
              <w:rPr>
                <w:sz w:val="20"/>
                <w:szCs w:val="20"/>
              </w:rPr>
              <w:t>Mbështetja e hapjes së degëve/programeve të universiteteve prestigjioze në Shqipëri</w:t>
            </w:r>
          </w:p>
        </w:tc>
        <w:tc>
          <w:tcPr>
            <w:tcW w:w="492" w:type="pct"/>
            <w:tcBorders>
              <w:bottom w:val="single" w:sz="4" w:space="0" w:color="auto"/>
            </w:tcBorders>
            <w:shd w:val="clear" w:color="auto" w:fill="FFFFFF"/>
          </w:tcPr>
          <w:p w:rsidR="00B951B1" w:rsidRPr="00E61612" w:rsidRDefault="00B951B1" w:rsidP="00CB78E6">
            <w:pPr>
              <w:spacing w:after="0"/>
              <w:jc w:val="center"/>
              <w:rPr>
                <w:rFonts w:eastAsia="Times New Roman" w:cs="Calibri"/>
                <w:color w:val="000000"/>
                <w:sz w:val="18"/>
                <w:szCs w:val="18"/>
              </w:rPr>
            </w:pPr>
            <w:r w:rsidRPr="00E61612">
              <w:rPr>
                <w:color w:val="000000"/>
                <w:sz w:val="20"/>
                <w:szCs w:val="20"/>
              </w:rPr>
              <w:t>MASR</w:t>
            </w:r>
          </w:p>
        </w:tc>
        <w:tc>
          <w:tcPr>
            <w:tcW w:w="494" w:type="pct"/>
            <w:tcBorders>
              <w:bottom w:val="single" w:sz="4" w:space="0" w:color="auto"/>
            </w:tcBorders>
            <w:shd w:val="clear" w:color="auto" w:fill="FFFFFF"/>
          </w:tcPr>
          <w:p w:rsidR="00B951B1" w:rsidRPr="00E61612" w:rsidRDefault="00B951B1" w:rsidP="00CB78E6">
            <w:pPr>
              <w:spacing w:after="0"/>
              <w:jc w:val="center"/>
              <w:rPr>
                <w:rFonts w:eastAsia="Times New Roman" w:cs="Calibri"/>
                <w:color w:val="000000"/>
                <w:sz w:val="18"/>
                <w:szCs w:val="18"/>
              </w:rPr>
            </w:pPr>
            <w:r w:rsidRPr="00E61612">
              <w:rPr>
                <w:color w:val="000000"/>
                <w:sz w:val="20"/>
                <w:szCs w:val="20"/>
              </w:rPr>
              <w:t>IAL-të</w:t>
            </w:r>
          </w:p>
        </w:tc>
        <w:tc>
          <w:tcPr>
            <w:tcW w:w="383" w:type="pct"/>
            <w:tcBorders>
              <w:bottom w:val="single" w:sz="4" w:space="0" w:color="auto"/>
            </w:tcBorders>
            <w:shd w:val="clear" w:color="auto" w:fill="FFFFFF"/>
          </w:tcPr>
          <w:p w:rsidR="00B951B1" w:rsidRPr="00E61612" w:rsidRDefault="00B951B1" w:rsidP="00CB78E6">
            <w:pPr>
              <w:spacing w:after="0"/>
              <w:jc w:val="center"/>
              <w:rPr>
                <w:rFonts w:eastAsia="Times New Roman" w:cs="Calibri"/>
                <w:color w:val="000000"/>
                <w:sz w:val="18"/>
                <w:szCs w:val="18"/>
              </w:rPr>
            </w:pPr>
            <w:r w:rsidRPr="00E61612">
              <w:rPr>
                <w:color w:val="000000"/>
                <w:sz w:val="20"/>
                <w:szCs w:val="20"/>
              </w:rPr>
              <w:t>TM3-2021</w:t>
            </w:r>
          </w:p>
        </w:tc>
        <w:tc>
          <w:tcPr>
            <w:tcW w:w="438" w:type="pct"/>
            <w:tcBorders>
              <w:bottom w:val="single" w:sz="4" w:space="0" w:color="auto"/>
            </w:tcBorders>
            <w:shd w:val="clear" w:color="auto" w:fill="FFFFFF"/>
          </w:tcPr>
          <w:p w:rsidR="00B951B1" w:rsidRPr="00E61612" w:rsidRDefault="00B951B1" w:rsidP="00CB78E6">
            <w:pPr>
              <w:spacing w:after="0"/>
              <w:jc w:val="center"/>
              <w:rPr>
                <w:rFonts w:eastAsia="Times New Roman" w:cs="Calibri"/>
                <w:color w:val="000000"/>
                <w:sz w:val="18"/>
                <w:szCs w:val="18"/>
              </w:rPr>
            </w:pPr>
            <w:r w:rsidRPr="00E61612">
              <w:rPr>
                <w:color w:val="000000"/>
                <w:sz w:val="20"/>
                <w:szCs w:val="20"/>
              </w:rPr>
              <w:t>TM4-2026</w:t>
            </w:r>
          </w:p>
        </w:tc>
        <w:tc>
          <w:tcPr>
            <w:tcW w:w="462" w:type="pct"/>
            <w:tcBorders>
              <w:bottom w:val="single" w:sz="4" w:space="0" w:color="auto"/>
            </w:tcBorders>
            <w:shd w:val="clear" w:color="auto" w:fill="FFFFFF"/>
            <w:noWrap/>
          </w:tcPr>
          <w:p w:rsidR="00B951B1" w:rsidRPr="00E61612" w:rsidRDefault="00B951B1" w:rsidP="00CB78E6">
            <w:pPr>
              <w:spacing w:after="0"/>
              <w:jc w:val="right"/>
              <w:rPr>
                <w:rFonts w:eastAsia="Times New Roman" w:cs="Calibri"/>
                <w:color w:val="000000"/>
                <w:sz w:val="18"/>
                <w:szCs w:val="18"/>
              </w:rPr>
            </w:pPr>
            <w:r w:rsidRPr="00E61612">
              <w:rPr>
                <w:color w:val="000000"/>
                <w:sz w:val="20"/>
                <w:szCs w:val="20"/>
              </w:rPr>
              <w:t>-</w:t>
            </w:r>
          </w:p>
        </w:tc>
        <w:tc>
          <w:tcPr>
            <w:tcW w:w="475" w:type="pct"/>
            <w:tcBorders>
              <w:bottom w:val="single" w:sz="4" w:space="0" w:color="auto"/>
            </w:tcBorders>
            <w:shd w:val="clear" w:color="auto" w:fill="FFFFFF"/>
            <w:noWrap/>
          </w:tcPr>
          <w:p w:rsidR="00B951B1" w:rsidRPr="00E61612" w:rsidRDefault="00B951B1" w:rsidP="00CB78E6">
            <w:pPr>
              <w:spacing w:after="0"/>
              <w:jc w:val="right"/>
              <w:rPr>
                <w:rFonts w:eastAsia="Times New Roman" w:cs="Calibri"/>
                <w:color w:val="000000"/>
                <w:sz w:val="18"/>
                <w:szCs w:val="18"/>
              </w:rPr>
            </w:pPr>
            <w:r w:rsidRPr="00E61612">
              <w:rPr>
                <w:color w:val="000000"/>
                <w:sz w:val="20"/>
                <w:szCs w:val="20"/>
              </w:rPr>
              <w:t>-</w:t>
            </w:r>
          </w:p>
        </w:tc>
        <w:tc>
          <w:tcPr>
            <w:tcW w:w="486" w:type="pct"/>
            <w:tcBorders>
              <w:bottom w:val="single" w:sz="4" w:space="0" w:color="auto"/>
            </w:tcBorders>
            <w:shd w:val="clear" w:color="auto" w:fill="FFFFFF"/>
            <w:noWrap/>
          </w:tcPr>
          <w:p w:rsidR="00B951B1" w:rsidRPr="00E61612" w:rsidRDefault="00B951B1" w:rsidP="00CB78E6">
            <w:pPr>
              <w:spacing w:after="0"/>
              <w:jc w:val="right"/>
              <w:rPr>
                <w:rFonts w:eastAsia="Times New Roman" w:cs="Calibri"/>
                <w:color w:val="000000"/>
                <w:sz w:val="18"/>
                <w:szCs w:val="18"/>
              </w:rPr>
            </w:pPr>
            <w:r w:rsidRPr="00E61612">
              <w:rPr>
                <w:color w:val="000000"/>
                <w:sz w:val="20"/>
                <w:szCs w:val="20"/>
              </w:rPr>
              <w:t xml:space="preserve">                   -   </w:t>
            </w:r>
          </w:p>
        </w:tc>
        <w:tc>
          <w:tcPr>
            <w:tcW w:w="458" w:type="pct"/>
            <w:tcBorders>
              <w:bottom w:val="single" w:sz="4" w:space="0" w:color="auto"/>
            </w:tcBorders>
            <w:shd w:val="clear" w:color="auto" w:fill="FFFFFF"/>
            <w:noWrap/>
          </w:tcPr>
          <w:p w:rsidR="00B951B1" w:rsidRPr="00E61612" w:rsidRDefault="00B951B1" w:rsidP="00CB78E6">
            <w:pPr>
              <w:spacing w:after="0"/>
              <w:jc w:val="right"/>
              <w:rPr>
                <w:rFonts w:eastAsia="Times New Roman" w:cs="Calibri"/>
                <w:color w:val="000000"/>
                <w:sz w:val="18"/>
                <w:szCs w:val="18"/>
              </w:rPr>
            </w:pPr>
            <w:r w:rsidRPr="00E61612">
              <w:rPr>
                <w:color w:val="000000"/>
                <w:sz w:val="20"/>
                <w:szCs w:val="20"/>
              </w:rPr>
              <w:t>-</w:t>
            </w:r>
          </w:p>
        </w:tc>
      </w:tr>
      <w:tr w:rsidR="00B951B1" w:rsidRPr="00E61612" w:rsidTr="00CB78E6">
        <w:trPr>
          <w:trHeight w:val="20"/>
        </w:trPr>
        <w:tc>
          <w:tcPr>
            <w:tcW w:w="310" w:type="pct"/>
            <w:shd w:val="clear" w:color="auto" w:fill="D9D9D9"/>
          </w:tcPr>
          <w:p w:rsidR="00B951B1" w:rsidRPr="00E61612" w:rsidRDefault="00B951B1" w:rsidP="00CB78E6">
            <w:pPr>
              <w:spacing w:after="0"/>
              <w:jc w:val="center"/>
              <w:rPr>
                <w:rFonts w:eastAsia="Times New Roman" w:cs="Calibri"/>
                <w:b/>
                <w:bCs/>
                <w:color w:val="000000"/>
                <w:sz w:val="18"/>
                <w:szCs w:val="18"/>
              </w:rPr>
            </w:pPr>
            <w:r w:rsidRPr="00E61612">
              <w:rPr>
                <w:b/>
                <w:bCs/>
                <w:color w:val="000000"/>
                <w:sz w:val="20"/>
                <w:szCs w:val="20"/>
              </w:rPr>
              <w:t>C6.4</w:t>
            </w:r>
          </w:p>
        </w:tc>
        <w:tc>
          <w:tcPr>
            <w:tcW w:w="1002" w:type="pct"/>
            <w:shd w:val="clear" w:color="auto" w:fill="D9D9D9"/>
          </w:tcPr>
          <w:p w:rsidR="00B951B1" w:rsidRPr="00E61612" w:rsidRDefault="00B951B1" w:rsidP="00CB78E6">
            <w:pPr>
              <w:spacing w:after="0"/>
              <w:rPr>
                <w:rFonts w:eastAsia="Times New Roman" w:cs="Calibri"/>
                <w:sz w:val="18"/>
                <w:szCs w:val="18"/>
              </w:rPr>
            </w:pPr>
            <w:r w:rsidRPr="00E61612">
              <w:rPr>
                <w:sz w:val="20"/>
                <w:szCs w:val="20"/>
              </w:rPr>
              <w:t>Shtimi i mobilitetit të studentëve dhe personelit akademik</w:t>
            </w:r>
          </w:p>
        </w:tc>
        <w:tc>
          <w:tcPr>
            <w:tcW w:w="492" w:type="pct"/>
            <w:shd w:val="clear" w:color="auto" w:fill="D9D9D9"/>
          </w:tcPr>
          <w:p w:rsidR="00B951B1" w:rsidRPr="00E61612" w:rsidRDefault="00B951B1" w:rsidP="00CB78E6">
            <w:pPr>
              <w:spacing w:after="0"/>
              <w:jc w:val="center"/>
              <w:rPr>
                <w:rFonts w:eastAsia="Times New Roman" w:cs="Calibri"/>
                <w:color w:val="000000"/>
                <w:sz w:val="18"/>
                <w:szCs w:val="18"/>
              </w:rPr>
            </w:pPr>
            <w:r w:rsidRPr="00E61612">
              <w:rPr>
                <w:color w:val="000000"/>
                <w:sz w:val="20"/>
                <w:szCs w:val="20"/>
              </w:rPr>
              <w:t>MASR</w:t>
            </w:r>
          </w:p>
        </w:tc>
        <w:tc>
          <w:tcPr>
            <w:tcW w:w="494" w:type="pct"/>
            <w:shd w:val="clear" w:color="auto" w:fill="D9D9D9"/>
          </w:tcPr>
          <w:p w:rsidR="00B951B1" w:rsidRPr="00E61612" w:rsidRDefault="00B951B1" w:rsidP="00CB78E6">
            <w:pPr>
              <w:spacing w:after="0"/>
              <w:jc w:val="center"/>
              <w:rPr>
                <w:rFonts w:eastAsia="Times New Roman" w:cs="Calibri"/>
                <w:color w:val="000000"/>
                <w:sz w:val="18"/>
                <w:szCs w:val="18"/>
              </w:rPr>
            </w:pPr>
            <w:r w:rsidRPr="00E61612">
              <w:rPr>
                <w:color w:val="000000"/>
                <w:sz w:val="20"/>
                <w:szCs w:val="20"/>
              </w:rPr>
              <w:t>IAL-të</w:t>
            </w:r>
          </w:p>
        </w:tc>
        <w:tc>
          <w:tcPr>
            <w:tcW w:w="383" w:type="pct"/>
            <w:shd w:val="clear" w:color="auto" w:fill="D9D9D9"/>
          </w:tcPr>
          <w:p w:rsidR="00B951B1" w:rsidRPr="00E61612" w:rsidRDefault="00B951B1" w:rsidP="00CB78E6">
            <w:pPr>
              <w:spacing w:after="0"/>
              <w:jc w:val="center"/>
              <w:rPr>
                <w:rFonts w:eastAsia="Times New Roman" w:cs="Calibri"/>
                <w:color w:val="000000"/>
                <w:sz w:val="18"/>
                <w:szCs w:val="18"/>
              </w:rPr>
            </w:pPr>
            <w:r w:rsidRPr="00E61612">
              <w:rPr>
                <w:color w:val="000000"/>
                <w:sz w:val="20"/>
                <w:szCs w:val="20"/>
              </w:rPr>
              <w:t>TM3-2021</w:t>
            </w:r>
          </w:p>
        </w:tc>
        <w:tc>
          <w:tcPr>
            <w:tcW w:w="438" w:type="pct"/>
            <w:shd w:val="clear" w:color="auto" w:fill="D9D9D9"/>
          </w:tcPr>
          <w:p w:rsidR="00B951B1" w:rsidRPr="00E61612" w:rsidRDefault="00B951B1" w:rsidP="00CB78E6">
            <w:pPr>
              <w:spacing w:after="0"/>
              <w:jc w:val="center"/>
              <w:rPr>
                <w:rFonts w:eastAsia="Times New Roman" w:cs="Calibri"/>
                <w:color w:val="000000"/>
                <w:sz w:val="18"/>
                <w:szCs w:val="18"/>
              </w:rPr>
            </w:pPr>
            <w:r w:rsidRPr="00E61612">
              <w:rPr>
                <w:color w:val="000000"/>
                <w:sz w:val="20"/>
                <w:szCs w:val="20"/>
              </w:rPr>
              <w:t>TM4-2026</w:t>
            </w:r>
          </w:p>
        </w:tc>
        <w:tc>
          <w:tcPr>
            <w:tcW w:w="462" w:type="pct"/>
            <w:shd w:val="clear" w:color="auto" w:fill="D9D9D9"/>
            <w:noWrap/>
          </w:tcPr>
          <w:p w:rsidR="00B951B1" w:rsidRPr="00E61612" w:rsidRDefault="00B951B1" w:rsidP="00CB78E6">
            <w:pPr>
              <w:spacing w:after="0"/>
              <w:jc w:val="right"/>
              <w:rPr>
                <w:rFonts w:eastAsia="Times New Roman" w:cs="Calibri"/>
                <w:color w:val="000000"/>
                <w:sz w:val="18"/>
                <w:szCs w:val="18"/>
              </w:rPr>
            </w:pPr>
            <w:r w:rsidRPr="00E61612">
              <w:rPr>
                <w:color w:val="000000"/>
                <w:sz w:val="20"/>
                <w:szCs w:val="20"/>
              </w:rPr>
              <w:t>1,257</w:t>
            </w:r>
          </w:p>
        </w:tc>
        <w:tc>
          <w:tcPr>
            <w:tcW w:w="475" w:type="pct"/>
            <w:shd w:val="clear" w:color="auto" w:fill="D9D9D9"/>
            <w:noWrap/>
          </w:tcPr>
          <w:p w:rsidR="00B951B1" w:rsidRPr="00E61612" w:rsidRDefault="00B951B1" w:rsidP="00CB78E6">
            <w:pPr>
              <w:spacing w:after="0"/>
              <w:jc w:val="right"/>
              <w:rPr>
                <w:rFonts w:eastAsia="Times New Roman" w:cs="Calibri"/>
                <w:color w:val="000000"/>
                <w:sz w:val="18"/>
                <w:szCs w:val="18"/>
              </w:rPr>
            </w:pPr>
            <w:r w:rsidRPr="00E61612">
              <w:rPr>
                <w:color w:val="000000"/>
                <w:sz w:val="20"/>
                <w:szCs w:val="20"/>
              </w:rPr>
              <w:t>-</w:t>
            </w:r>
          </w:p>
        </w:tc>
        <w:tc>
          <w:tcPr>
            <w:tcW w:w="486" w:type="pct"/>
            <w:shd w:val="clear" w:color="auto" w:fill="D9D9D9"/>
            <w:noWrap/>
          </w:tcPr>
          <w:p w:rsidR="00B951B1" w:rsidRPr="00E61612" w:rsidRDefault="00B951B1" w:rsidP="00CB78E6">
            <w:pPr>
              <w:spacing w:after="0"/>
              <w:jc w:val="right"/>
              <w:rPr>
                <w:rFonts w:eastAsia="Times New Roman" w:cs="Calibri"/>
                <w:color w:val="000000"/>
                <w:sz w:val="18"/>
                <w:szCs w:val="18"/>
              </w:rPr>
            </w:pPr>
            <w:r w:rsidRPr="00E61612">
              <w:rPr>
                <w:color w:val="000000"/>
                <w:sz w:val="20"/>
                <w:szCs w:val="20"/>
              </w:rPr>
              <w:t xml:space="preserve">                   -   </w:t>
            </w:r>
          </w:p>
        </w:tc>
        <w:tc>
          <w:tcPr>
            <w:tcW w:w="458" w:type="pct"/>
            <w:shd w:val="clear" w:color="auto" w:fill="D9D9D9"/>
            <w:noWrap/>
          </w:tcPr>
          <w:p w:rsidR="00B951B1" w:rsidRPr="00E61612" w:rsidRDefault="00B951B1" w:rsidP="00CB78E6">
            <w:pPr>
              <w:spacing w:after="0"/>
              <w:jc w:val="right"/>
              <w:rPr>
                <w:rFonts w:eastAsia="Times New Roman" w:cs="Calibri"/>
                <w:color w:val="000000"/>
                <w:sz w:val="18"/>
                <w:szCs w:val="18"/>
              </w:rPr>
            </w:pPr>
            <w:r w:rsidRPr="00E61612">
              <w:rPr>
                <w:color w:val="000000"/>
                <w:sz w:val="20"/>
                <w:szCs w:val="20"/>
              </w:rPr>
              <w:t>(1,257)</w:t>
            </w:r>
          </w:p>
        </w:tc>
      </w:tr>
      <w:tr w:rsidR="00B951B1" w:rsidRPr="00E61612" w:rsidTr="00CB78E6">
        <w:trPr>
          <w:trHeight w:val="20"/>
        </w:trPr>
        <w:tc>
          <w:tcPr>
            <w:tcW w:w="310" w:type="pct"/>
            <w:tcBorders>
              <w:bottom w:val="single" w:sz="4" w:space="0" w:color="auto"/>
            </w:tcBorders>
            <w:shd w:val="clear" w:color="auto" w:fill="FFFFFF"/>
          </w:tcPr>
          <w:p w:rsidR="00B951B1" w:rsidRPr="00E61612" w:rsidRDefault="00B951B1" w:rsidP="00CB78E6">
            <w:pPr>
              <w:spacing w:after="0"/>
              <w:jc w:val="center"/>
              <w:rPr>
                <w:rFonts w:eastAsia="Times New Roman" w:cs="Calibri"/>
                <w:b/>
                <w:bCs/>
                <w:color w:val="000000"/>
                <w:sz w:val="18"/>
                <w:szCs w:val="18"/>
              </w:rPr>
            </w:pPr>
            <w:r w:rsidRPr="00E61612">
              <w:rPr>
                <w:b/>
                <w:bCs/>
                <w:color w:val="000000"/>
                <w:sz w:val="20"/>
                <w:szCs w:val="20"/>
              </w:rPr>
              <w:t>C6.4.1</w:t>
            </w:r>
          </w:p>
        </w:tc>
        <w:tc>
          <w:tcPr>
            <w:tcW w:w="1002" w:type="pct"/>
            <w:tcBorders>
              <w:bottom w:val="single" w:sz="4" w:space="0" w:color="auto"/>
            </w:tcBorders>
            <w:shd w:val="clear" w:color="auto" w:fill="FFFFFF"/>
          </w:tcPr>
          <w:p w:rsidR="00B951B1" w:rsidRPr="00E61612" w:rsidRDefault="00B951B1" w:rsidP="00CB78E6">
            <w:pPr>
              <w:spacing w:after="0"/>
              <w:rPr>
                <w:rFonts w:eastAsia="Times New Roman" w:cs="Calibri"/>
                <w:sz w:val="18"/>
                <w:szCs w:val="18"/>
              </w:rPr>
            </w:pPr>
            <w:r w:rsidRPr="00E61612">
              <w:rPr>
                <w:sz w:val="20"/>
                <w:szCs w:val="20"/>
              </w:rPr>
              <w:t>Dhënia e bursave për mobilit</w:t>
            </w:r>
            <w:r>
              <w:rPr>
                <w:sz w:val="20"/>
                <w:szCs w:val="20"/>
              </w:rPr>
              <w:t>in</w:t>
            </w:r>
            <w:r w:rsidRPr="00E61612">
              <w:rPr>
                <w:sz w:val="20"/>
                <w:szCs w:val="20"/>
              </w:rPr>
              <w:t xml:space="preserve"> </w:t>
            </w:r>
            <w:r>
              <w:rPr>
                <w:sz w:val="20"/>
                <w:szCs w:val="20"/>
              </w:rPr>
              <w:t>e</w:t>
            </w:r>
            <w:r w:rsidRPr="00E61612">
              <w:rPr>
                <w:sz w:val="20"/>
                <w:szCs w:val="20"/>
              </w:rPr>
              <w:t xml:space="preserve"> stafit akademik dhe studentëve </w:t>
            </w:r>
            <w:r>
              <w:rPr>
                <w:sz w:val="20"/>
                <w:szCs w:val="20"/>
              </w:rPr>
              <w:t>në</w:t>
            </w:r>
            <w:r w:rsidRPr="00E61612">
              <w:rPr>
                <w:sz w:val="20"/>
                <w:szCs w:val="20"/>
              </w:rPr>
              <w:t xml:space="preserve"> baz</w:t>
            </w:r>
            <w:r>
              <w:rPr>
                <w:sz w:val="20"/>
                <w:szCs w:val="20"/>
              </w:rPr>
              <w:t>ë</w:t>
            </w:r>
            <w:r w:rsidRPr="00E61612">
              <w:rPr>
                <w:sz w:val="20"/>
                <w:szCs w:val="20"/>
              </w:rPr>
              <w:t xml:space="preserve"> të meritokracisë</w:t>
            </w:r>
          </w:p>
        </w:tc>
        <w:tc>
          <w:tcPr>
            <w:tcW w:w="492" w:type="pct"/>
            <w:tcBorders>
              <w:bottom w:val="single" w:sz="4" w:space="0" w:color="auto"/>
            </w:tcBorders>
            <w:shd w:val="clear" w:color="auto" w:fill="FFFFFF"/>
          </w:tcPr>
          <w:p w:rsidR="00B951B1" w:rsidRPr="00E61612" w:rsidRDefault="00B951B1" w:rsidP="00CB78E6">
            <w:pPr>
              <w:spacing w:after="0"/>
              <w:jc w:val="center"/>
              <w:rPr>
                <w:rFonts w:eastAsia="Times New Roman" w:cs="Calibri"/>
                <w:color w:val="000000"/>
                <w:sz w:val="18"/>
                <w:szCs w:val="18"/>
              </w:rPr>
            </w:pPr>
            <w:r w:rsidRPr="00E61612">
              <w:rPr>
                <w:color w:val="000000"/>
                <w:sz w:val="20"/>
                <w:szCs w:val="20"/>
              </w:rPr>
              <w:t>MASR</w:t>
            </w:r>
          </w:p>
        </w:tc>
        <w:tc>
          <w:tcPr>
            <w:tcW w:w="494" w:type="pct"/>
            <w:tcBorders>
              <w:bottom w:val="single" w:sz="4" w:space="0" w:color="auto"/>
            </w:tcBorders>
            <w:shd w:val="clear" w:color="auto" w:fill="FFFFFF"/>
          </w:tcPr>
          <w:p w:rsidR="00B951B1" w:rsidRPr="00E61612" w:rsidRDefault="00B951B1" w:rsidP="00CB78E6">
            <w:pPr>
              <w:spacing w:after="0"/>
              <w:jc w:val="center"/>
              <w:rPr>
                <w:rFonts w:eastAsia="Times New Roman" w:cs="Calibri"/>
                <w:color w:val="000000"/>
                <w:sz w:val="18"/>
                <w:szCs w:val="18"/>
              </w:rPr>
            </w:pPr>
            <w:r w:rsidRPr="00E61612">
              <w:rPr>
                <w:color w:val="000000"/>
                <w:sz w:val="20"/>
                <w:szCs w:val="20"/>
              </w:rPr>
              <w:t>IAL-të</w:t>
            </w:r>
          </w:p>
        </w:tc>
        <w:tc>
          <w:tcPr>
            <w:tcW w:w="383" w:type="pct"/>
            <w:tcBorders>
              <w:bottom w:val="single" w:sz="4" w:space="0" w:color="auto"/>
            </w:tcBorders>
            <w:shd w:val="clear" w:color="auto" w:fill="FFFFFF"/>
          </w:tcPr>
          <w:p w:rsidR="00B951B1" w:rsidRPr="00E61612" w:rsidRDefault="00B951B1" w:rsidP="00CB78E6">
            <w:pPr>
              <w:spacing w:after="0"/>
              <w:jc w:val="center"/>
              <w:rPr>
                <w:rFonts w:eastAsia="Times New Roman" w:cs="Calibri"/>
                <w:color w:val="000000"/>
                <w:sz w:val="18"/>
                <w:szCs w:val="18"/>
              </w:rPr>
            </w:pPr>
            <w:r w:rsidRPr="00E61612">
              <w:rPr>
                <w:color w:val="000000"/>
                <w:sz w:val="20"/>
                <w:szCs w:val="20"/>
              </w:rPr>
              <w:t>TM3-2021</w:t>
            </w:r>
          </w:p>
        </w:tc>
        <w:tc>
          <w:tcPr>
            <w:tcW w:w="438" w:type="pct"/>
            <w:tcBorders>
              <w:bottom w:val="single" w:sz="4" w:space="0" w:color="auto"/>
            </w:tcBorders>
            <w:shd w:val="clear" w:color="auto" w:fill="FFFFFF"/>
          </w:tcPr>
          <w:p w:rsidR="00B951B1" w:rsidRPr="00E61612" w:rsidRDefault="00B951B1" w:rsidP="00CB78E6">
            <w:pPr>
              <w:spacing w:after="0"/>
              <w:jc w:val="center"/>
              <w:rPr>
                <w:rFonts w:eastAsia="Times New Roman" w:cs="Calibri"/>
                <w:color w:val="000000"/>
                <w:sz w:val="18"/>
                <w:szCs w:val="18"/>
              </w:rPr>
            </w:pPr>
            <w:r w:rsidRPr="00E61612">
              <w:rPr>
                <w:color w:val="000000"/>
                <w:sz w:val="20"/>
                <w:szCs w:val="20"/>
              </w:rPr>
              <w:t>TM4-2026</w:t>
            </w:r>
          </w:p>
        </w:tc>
        <w:tc>
          <w:tcPr>
            <w:tcW w:w="462" w:type="pct"/>
            <w:tcBorders>
              <w:bottom w:val="single" w:sz="4" w:space="0" w:color="auto"/>
            </w:tcBorders>
            <w:shd w:val="clear" w:color="auto" w:fill="FFFFFF"/>
            <w:noWrap/>
          </w:tcPr>
          <w:p w:rsidR="00B951B1" w:rsidRPr="00E61612" w:rsidRDefault="00B951B1" w:rsidP="00CB78E6">
            <w:pPr>
              <w:spacing w:after="0"/>
              <w:jc w:val="right"/>
              <w:rPr>
                <w:rFonts w:eastAsia="Times New Roman" w:cs="Calibri"/>
                <w:color w:val="000000"/>
                <w:sz w:val="18"/>
                <w:szCs w:val="18"/>
              </w:rPr>
            </w:pPr>
            <w:r w:rsidRPr="00E61612">
              <w:rPr>
                <w:color w:val="000000"/>
                <w:sz w:val="20"/>
                <w:szCs w:val="20"/>
              </w:rPr>
              <w:t>-</w:t>
            </w:r>
          </w:p>
        </w:tc>
        <w:tc>
          <w:tcPr>
            <w:tcW w:w="475" w:type="pct"/>
            <w:tcBorders>
              <w:bottom w:val="single" w:sz="4" w:space="0" w:color="auto"/>
            </w:tcBorders>
            <w:shd w:val="clear" w:color="auto" w:fill="FFFFFF"/>
            <w:noWrap/>
          </w:tcPr>
          <w:p w:rsidR="00B951B1" w:rsidRPr="00E61612" w:rsidRDefault="00B951B1" w:rsidP="00CB78E6">
            <w:pPr>
              <w:spacing w:after="0"/>
              <w:jc w:val="right"/>
              <w:rPr>
                <w:rFonts w:eastAsia="Times New Roman" w:cs="Calibri"/>
                <w:color w:val="000000"/>
                <w:sz w:val="18"/>
                <w:szCs w:val="18"/>
              </w:rPr>
            </w:pPr>
            <w:r w:rsidRPr="00E61612">
              <w:rPr>
                <w:color w:val="000000"/>
                <w:sz w:val="20"/>
                <w:szCs w:val="20"/>
              </w:rPr>
              <w:t>-</w:t>
            </w:r>
          </w:p>
        </w:tc>
        <w:tc>
          <w:tcPr>
            <w:tcW w:w="486" w:type="pct"/>
            <w:tcBorders>
              <w:bottom w:val="single" w:sz="4" w:space="0" w:color="auto"/>
            </w:tcBorders>
            <w:shd w:val="clear" w:color="auto" w:fill="FFFFFF"/>
            <w:noWrap/>
          </w:tcPr>
          <w:p w:rsidR="00B951B1" w:rsidRPr="00E61612" w:rsidRDefault="00B951B1" w:rsidP="00CB78E6">
            <w:pPr>
              <w:spacing w:after="0"/>
              <w:jc w:val="right"/>
              <w:rPr>
                <w:rFonts w:eastAsia="Times New Roman" w:cs="Calibri"/>
                <w:color w:val="000000"/>
                <w:sz w:val="18"/>
                <w:szCs w:val="18"/>
              </w:rPr>
            </w:pPr>
            <w:r w:rsidRPr="00E61612">
              <w:rPr>
                <w:color w:val="000000"/>
                <w:sz w:val="20"/>
                <w:szCs w:val="20"/>
              </w:rPr>
              <w:t xml:space="preserve">                   -   </w:t>
            </w:r>
          </w:p>
        </w:tc>
        <w:tc>
          <w:tcPr>
            <w:tcW w:w="458" w:type="pct"/>
            <w:tcBorders>
              <w:bottom w:val="single" w:sz="4" w:space="0" w:color="auto"/>
            </w:tcBorders>
            <w:shd w:val="clear" w:color="auto" w:fill="FFFFFF"/>
            <w:noWrap/>
          </w:tcPr>
          <w:p w:rsidR="00B951B1" w:rsidRPr="00E61612" w:rsidRDefault="00B951B1" w:rsidP="00CB78E6">
            <w:pPr>
              <w:spacing w:after="0"/>
              <w:jc w:val="right"/>
              <w:rPr>
                <w:rFonts w:eastAsia="Times New Roman" w:cs="Calibri"/>
                <w:color w:val="000000"/>
                <w:sz w:val="18"/>
                <w:szCs w:val="18"/>
              </w:rPr>
            </w:pPr>
            <w:r w:rsidRPr="00E61612">
              <w:rPr>
                <w:color w:val="000000"/>
                <w:sz w:val="20"/>
                <w:szCs w:val="20"/>
              </w:rPr>
              <w:t>-</w:t>
            </w:r>
          </w:p>
        </w:tc>
      </w:tr>
      <w:tr w:rsidR="00B951B1" w:rsidRPr="00E61612" w:rsidTr="00CB78E6">
        <w:trPr>
          <w:trHeight w:val="20"/>
        </w:trPr>
        <w:tc>
          <w:tcPr>
            <w:tcW w:w="310" w:type="pct"/>
            <w:tcBorders>
              <w:bottom w:val="single" w:sz="4" w:space="0" w:color="auto"/>
            </w:tcBorders>
            <w:shd w:val="clear" w:color="auto" w:fill="FFFFFF"/>
          </w:tcPr>
          <w:p w:rsidR="00B951B1" w:rsidRPr="00E61612" w:rsidRDefault="00B951B1" w:rsidP="00CB78E6">
            <w:pPr>
              <w:spacing w:after="0"/>
              <w:jc w:val="center"/>
              <w:rPr>
                <w:rFonts w:eastAsia="Times New Roman" w:cs="Calibri"/>
                <w:b/>
                <w:bCs/>
                <w:color w:val="000000"/>
                <w:sz w:val="18"/>
                <w:szCs w:val="18"/>
              </w:rPr>
            </w:pPr>
            <w:r w:rsidRPr="00E61612">
              <w:rPr>
                <w:b/>
                <w:bCs/>
                <w:color w:val="000000"/>
                <w:sz w:val="20"/>
                <w:szCs w:val="20"/>
              </w:rPr>
              <w:t>C6.4.2</w:t>
            </w:r>
          </w:p>
        </w:tc>
        <w:tc>
          <w:tcPr>
            <w:tcW w:w="1002" w:type="pct"/>
            <w:tcBorders>
              <w:bottom w:val="single" w:sz="4" w:space="0" w:color="auto"/>
            </w:tcBorders>
            <w:shd w:val="clear" w:color="auto" w:fill="FFFFFF"/>
          </w:tcPr>
          <w:p w:rsidR="00B951B1" w:rsidRPr="00E61612" w:rsidRDefault="00B951B1" w:rsidP="00CB78E6">
            <w:pPr>
              <w:spacing w:after="0"/>
              <w:rPr>
                <w:rFonts w:eastAsia="Times New Roman" w:cs="Calibri"/>
                <w:sz w:val="18"/>
                <w:szCs w:val="18"/>
              </w:rPr>
            </w:pPr>
            <w:r w:rsidRPr="00E61612">
              <w:rPr>
                <w:sz w:val="20"/>
                <w:szCs w:val="20"/>
              </w:rPr>
              <w:t>Krijimi i parakushteve për njohjen e krediteve të mobilitetit përmes përcaktimit të procedurave të qarta</w:t>
            </w:r>
          </w:p>
        </w:tc>
        <w:tc>
          <w:tcPr>
            <w:tcW w:w="492" w:type="pct"/>
            <w:tcBorders>
              <w:bottom w:val="single" w:sz="4" w:space="0" w:color="auto"/>
            </w:tcBorders>
            <w:shd w:val="clear" w:color="auto" w:fill="FFFFFF"/>
          </w:tcPr>
          <w:p w:rsidR="00B951B1" w:rsidRPr="00E61612" w:rsidRDefault="00B951B1" w:rsidP="00CB78E6">
            <w:pPr>
              <w:spacing w:after="0"/>
              <w:jc w:val="center"/>
              <w:rPr>
                <w:rFonts w:eastAsia="Times New Roman" w:cs="Calibri"/>
                <w:color w:val="000000"/>
                <w:sz w:val="18"/>
                <w:szCs w:val="18"/>
              </w:rPr>
            </w:pPr>
            <w:r w:rsidRPr="00E61612">
              <w:rPr>
                <w:color w:val="000000"/>
                <w:sz w:val="20"/>
                <w:szCs w:val="20"/>
              </w:rPr>
              <w:t>MASR</w:t>
            </w:r>
          </w:p>
        </w:tc>
        <w:tc>
          <w:tcPr>
            <w:tcW w:w="494" w:type="pct"/>
            <w:tcBorders>
              <w:bottom w:val="single" w:sz="4" w:space="0" w:color="auto"/>
            </w:tcBorders>
            <w:shd w:val="clear" w:color="auto" w:fill="FFFFFF"/>
          </w:tcPr>
          <w:p w:rsidR="00B951B1" w:rsidRPr="00E61612" w:rsidRDefault="00B951B1" w:rsidP="00CB78E6">
            <w:pPr>
              <w:spacing w:after="0"/>
              <w:jc w:val="center"/>
              <w:rPr>
                <w:rFonts w:eastAsia="Times New Roman" w:cs="Calibri"/>
                <w:color w:val="000000"/>
                <w:sz w:val="18"/>
                <w:szCs w:val="18"/>
              </w:rPr>
            </w:pPr>
            <w:r w:rsidRPr="00E61612">
              <w:rPr>
                <w:color w:val="000000"/>
                <w:sz w:val="20"/>
                <w:szCs w:val="20"/>
              </w:rPr>
              <w:t>IAL-të</w:t>
            </w:r>
          </w:p>
        </w:tc>
        <w:tc>
          <w:tcPr>
            <w:tcW w:w="383" w:type="pct"/>
            <w:tcBorders>
              <w:bottom w:val="single" w:sz="4" w:space="0" w:color="auto"/>
            </w:tcBorders>
            <w:shd w:val="clear" w:color="auto" w:fill="FFFFFF"/>
          </w:tcPr>
          <w:p w:rsidR="00B951B1" w:rsidRPr="00E61612" w:rsidRDefault="00B951B1" w:rsidP="00CB78E6">
            <w:pPr>
              <w:spacing w:after="0"/>
              <w:jc w:val="center"/>
              <w:rPr>
                <w:rFonts w:eastAsia="Times New Roman" w:cs="Calibri"/>
                <w:color w:val="000000"/>
                <w:sz w:val="18"/>
                <w:szCs w:val="18"/>
              </w:rPr>
            </w:pPr>
            <w:r w:rsidRPr="00E61612">
              <w:rPr>
                <w:color w:val="000000"/>
                <w:sz w:val="20"/>
                <w:szCs w:val="20"/>
              </w:rPr>
              <w:t>TM3-2021</w:t>
            </w:r>
          </w:p>
        </w:tc>
        <w:tc>
          <w:tcPr>
            <w:tcW w:w="438" w:type="pct"/>
            <w:tcBorders>
              <w:bottom w:val="single" w:sz="4" w:space="0" w:color="auto"/>
            </w:tcBorders>
            <w:shd w:val="clear" w:color="auto" w:fill="FFFFFF"/>
          </w:tcPr>
          <w:p w:rsidR="00B951B1" w:rsidRPr="00E61612" w:rsidRDefault="00B951B1" w:rsidP="00CB78E6">
            <w:pPr>
              <w:spacing w:after="0"/>
              <w:jc w:val="center"/>
              <w:rPr>
                <w:rFonts w:eastAsia="Times New Roman" w:cs="Calibri"/>
                <w:color w:val="000000"/>
                <w:sz w:val="18"/>
                <w:szCs w:val="18"/>
              </w:rPr>
            </w:pPr>
            <w:r w:rsidRPr="00E61612">
              <w:rPr>
                <w:color w:val="000000"/>
                <w:sz w:val="20"/>
                <w:szCs w:val="20"/>
              </w:rPr>
              <w:t>TM4-2026</w:t>
            </w:r>
          </w:p>
        </w:tc>
        <w:tc>
          <w:tcPr>
            <w:tcW w:w="462" w:type="pct"/>
            <w:tcBorders>
              <w:bottom w:val="single" w:sz="4" w:space="0" w:color="auto"/>
            </w:tcBorders>
            <w:shd w:val="clear" w:color="auto" w:fill="FFFFFF"/>
            <w:noWrap/>
          </w:tcPr>
          <w:p w:rsidR="00B951B1" w:rsidRPr="00E61612" w:rsidRDefault="00B951B1" w:rsidP="00CB78E6">
            <w:pPr>
              <w:spacing w:after="0"/>
              <w:jc w:val="right"/>
              <w:rPr>
                <w:rFonts w:eastAsia="Times New Roman" w:cs="Calibri"/>
                <w:color w:val="000000"/>
                <w:sz w:val="18"/>
                <w:szCs w:val="18"/>
              </w:rPr>
            </w:pPr>
            <w:r w:rsidRPr="00E61612">
              <w:rPr>
                <w:color w:val="000000"/>
                <w:sz w:val="20"/>
                <w:szCs w:val="20"/>
              </w:rPr>
              <w:t>1,257</w:t>
            </w:r>
          </w:p>
        </w:tc>
        <w:tc>
          <w:tcPr>
            <w:tcW w:w="475" w:type="pct"/>
            <w:tcBorders>
              <w:bottom w:val="single" w:sz="4" w:space="0" w:color="auto"/>
            </w:tcBorders>
            <w:shd w:val="clear" w:color="auto" w:fill="FFFFFF"/>
            <w:noWrap/>
          </w:tcPr>
          <w:p w:rsidR="00B951B1" w:rsidRPr="00E61612" w:rsidRDefault="00B951B1" w:rsidP="00CB78E6">
            <w:pPr>
              <w:spacing w:after="0"/>
              <w:jc w:val="right"/>
              <w:rPr>
                <w:rFonts w:eastAsia="Times New Roman" w:cs="Calibri"/>
                <w:color w:val="000000"/>
                <w:sz w:val="18"/>
                <w:szCs w:val="18"/>
              </w:rPr>
            </w:pPr>
            <w:r w:rsidRPr="00E61612">
              <w:rPr>
                <w:color w:val="000000"/>
                <w:sz w:val="20"/>
                <w:szCs w:val="20"/>
              </w:rPr>
              <w:t>-</w:t>
            </w:r>
          </w:p>
        </w:tc>
        <w:tc>
          <w:tcPr>
            <w:tcW w:w="486" w:type="pct"/>
            <w:tcBorders>
              <w:bottom w:val="single" w:sz="4" w:space="0" w:color="auto"/>
            </w:tcBorders>
            <w:shd w:val="clear" w:color="auto" w:fill="FFFFFF"/>
            <w:noWrap/>
          </w:tcPr>
          <w:p w:rsidR="00B951B1" w:rsidRPr="00E61612" w:rsidRDefault="00B951B1" w:rsidP="00CB78E6">
            <w:pPr>
              <w:spacing w:after="0"/>
              <w:jc w:val="right"/>
              <w:rPr>
                <w:rFonts w:eastAsia="Times New Roman" w:cs="Calibri"/>
                <w:color w:val="000000"/>
                <w:sz w:val="18"/>
                <w:szCs w:val="18"/>
              </w:rPr>
            </w:pPr>
            <w:r w:rsidRPr="00E61612">
              <w:rPr>
                <w:color w:val="000000"/>
                <w:sz w:val="20"/>
                <w:szCs w:val="20"/>
              </w:rPr>
              <w:t xml:space="preserve">                   -   </w:t>
            </w:r>
          </w:p>
        </w:tc>
        <w:tc>
          <w:tcPr>
            <w:tcW w:w="458" w:type="pct"/>
            <w:tcBorders>
              <w:bottom w:val="single" w:sz="4" w:space="0" w:color="auto"/>
            </w:tcBorders>
            <w:shd w:val="clear" w:color="auto" w:fill="FFFFFF"/>
            <w:noWrap/>
          </w:tcPr>
          <w:p w:rsidR="00B951B1" w:rsidRPr="00E61612" w:rsidRDefault="00B951B1" w:rsidP="00CB78E6">
            <w:pPr>
              <w:spacing w:after="0"/>
              <w:jc w:val="right"/>
              <w:rPr>
                <w:rFonts w:eastAsia="Times New Roman" w:cs="Calibri"/>
                <w:color w:val="000000"/>
                <w:sz w:val="18"/>
                <w:szCs w:val="18"/>
              </w:rPr>
            </w:pPr>
            <w:r w:rsidRPr="00E61612">
              <w:rPr>
                <w:color w:val="000000"/>
                <w:sz w:val="20"/>
                <w:szCs w:val="20"/>
              </w:rPr>
              <w:t>(1,257)</w:t>
            </w:r>
          </w:p>
        </w:tc>
      </w:tr>
      <w:tr w:rsidR="00B951B1" w:rsidRPr="00E61612" w:rsidTr="00CB78E6">
        <w:trPr>
          <w:trHeight w:val="20"/>
        </w:trPr>
        <w:tc>
          <w:tcPr>
            <w:tcW w:w="310" w:type="pct"/>
            <w:tcBorders>
              <w:bottom w:val="single" w:sz="4" w:space="0" w:color="auto"/>
            </w:tcBorders>
            <w:shd w:val="clear" w:color="auto" w:fill="BFBFBF"/>
          </w:tcPr>
          <w:p w:rsidR="00B951B1" w:rsidRPr="00E61612" w:rsidRDefault="00B951B1" w:rsidP="00CB78E6">
            <w:pPr>
              <w:spacing w:after="0"/>
              <w:jc w:val="center"/>
              <w:rPr>
                <w:rFonts w:eastAsia="Times New Roman" w:cs="Calibri"/>
                <w:b/>
                <w:bCs/>
                <w:color w:val="000000"/>
                <w:sz w:val="18"/>
                <w:szCs w:val="18"/>
              </w:rPr>
            </w:pPr>
            <w:r w:rsidRPr="00E61612">
              <w:rPr>
                <w:b/>
                <w:bCs/>
                <w:color w:val="000000"/>
                <w:sz w:val="20"/>
                <w:szCs w:val="20"/>
              </w:rPr>
              <w:t>C7</w:t>
            </w:r>
          </w:p>
        </w:tc>
        <w:tc>
          <w:tcPr>
            <w:tcW w:w="1002" w:type="pct"/>
            <w:tcBorders>
              <w:bottom w:val="single" w:sz="4" w:space="0" w:color="auto"/>
            </w:tcBorders>
            <w:shd w:val="clear" w:color="auto" w:fill="BFBFBF"/>
          </w:tcPr>
          <w:p w:rsidR="00B951B1" w:rsidRPr="00E61612" w:rsidRDefault="00B951B1" w:rsidP="00CB78E6">
            <w:pPr>
              <w:spacing w:after="0"/>
              <w:rPr>
                <w:rFonts w:eastAsia="Times New Roman" w:cs="Calibri"/>
                <w:sz w:val="18"/>
                <w:szCs w:val="18"/>
              </w:rPr>
            </w:pPr>
            <w:r w:rsidRPr="00E61612">
              <w:rPr>
                <w:sz w:val="20"/>
                <w:szCs w:val="20"/>
              </w:rPr>
              <w:t>Avancimi i infrastrukturës së TIK-ut dhe i shërbimeve digjitale për IAL-të publike</w:t>
            </w:r>
          </w:p>
        </w:tc>
        <w:tc>
          <w:tcPr>
            <w:tcW w:w="492" w:type="pct"/>
            <w:tcBorders>
              <w:bottom w:val="single" w:sz="4" w:space="0" w:color="auto"/>
            </w:tcBorders>
            <w:shd w:val="clear" w:color="auto" w:fill="BFBFBF"/>
          </w:tcPr>
          <w:p w:rsidR="00B951B1" w:rsidRPr="00E61612" w:rsidRDefault="00B951B1" w:rsidP="00CB78E6">
            <w:pPr>
              <w:spacing w:after="0"/>
              <w:jc w:val="center"/>
              <w:rPr>
                <w:rFonts w:eastAsia="Times New Roman" w:cs="Calibri"/>
                <w:color w:val="000000"/>
                <w:sz w:val="18"/>
                <w:szCs w:val="18"/>
              </w:rPr>
            </w:pPr>
            <w:r w:rsidRPr="00E61612">
              <w:rPr>
                <w:color w:val="000000"/>
                <w:sz w:val="20"/>
                <w:szCs w:val="20"/>
              </w:rPr>
              <w:t>IAL-të, MASR, RASH</w:t>
            </w:r>
          </w:p>
        </w:tc>
        <w:tc>
          <w:tcPr>
            <w:tcW w:w="494" w:type="pct"/>
            <w:tcBorders>
              <w:bottom w:val="single" w:sz="4" w:space="0" w:color="auto"/>
            </w:tcBorders>
            <w:shd w:val="clear" w:color="auto" w:fill="BFBFBF"/>
          </w:tcPr>
          <w:p w:rsidR="00B951B1" w:rsidRPr="00E61612" w:rsidRDefault="00B951B1" w:rsidP="00CB78E6">
            <w:pPr>
              <w:spacing w:after="0"/>
              <w:jc w:val="center"/>
              <w:rPr>
                <w:rFonts w:eastAsia="Times New Roman" w:cs="Calibri"/>
                <w:color w:val="000000"/>
                <w:sz w:val="18"/>
                <w:szCs w:val="18"/>
              </w:rPr>
            </w:pPr>
            <w:r w:rsidRPr="00E61612">
              <w:rPr>
                <w:color w:val="000000"/>
                <w:sz w:val="20"/>
                <w:szCs w:val="20"/>
              </w:rPr>
              <w:t>RASH, IAL-të</w:t>
            </w:r>
          </w:p>
        </w:tc>
        <w:tc>
          <w:tcPr>
            <w:tcW w:w="383" w:type="pct"/>
            <w:tcBorders>
              <w:bottom w:val="single" w:sz="4" w:space="0" w:color="auto"/>
            </w:tcBorders>
            <w:shd w:val="clear" w:color="auto" w:fill="BFBFBF"/>
          </w:tcPr>
          <w:p w:rsidR="00B951B1" w:rsidRPr="00E61612" w:rsidRDefault="00B951B1" w:rsidP="00CB78E6">
            <w:pPr>
              <w:spacing w:after="0"/>
              <w:jc w:val="center"/>
              <w:rPr>
                <w:rFonts w:eastAsia="Times New Roman" w:cs="Calibri"/>
                <w:color w:val="000000"/>
                <w:sz w:val="18"/>
                <w:szCs w:val="18"/>
              </w:rPr>
            </w:pPr>
            <w:r w:rsidRPr="00E61612">
              <w:rPr>
                <w:color w:val="000000"/>
                <w:sz w:val="20"/>
                <w:szCs w:val="20"/>
              </w:rPr>
              <w:t>TM1-2022</w:t>
            </w:r>
          </w:p>
        </w:tc>
        <w:tc>
          <w:tcPr>
            <w:tcW w:w="438" w:type="pct"/>
            <w:tcBorders>
              <w:bottom w:val="single" w:sz="4" w:space="0" w:color="auto"/>
            </w:tcBorders>
            <w:shd w:val="clear" w:color="auto" w:fill="BFBFBF"/>
          </w:tcPr>
          <w:p w:rsidR="00B951B1" w:rsidRPr="00E61612" w:rsidRDefault="00B951B1" w:rsidP="00CB78E6">
            <w:pPr>
              <w:spacing w:after="0"/>
              <w:jc w:val="center"/>
              <w:rPr>
                <w:rFonts w:eastAsia="Times New Roman" w:cs="Calibri"/>
                <w:color w:val="000000"/>
                <w:sz w:val="18"/>
                <w:szCs w:val="18"/>
              </w:rPr>
            </w:pPr>
            <w:r w:rsidRPr="00E61612">
              <w:rPr>
                <w:color w:val="000000"/>
                <w:sz w:val="20"/>
                <w:szCs w:val="20"/>
              </w:rPr>
              <w:t>TM4-2026</w:t>
            </w:r>
          </w:p>
        </w:tc>
        <w:tc>
          <w:tcPr>
            <w:tcW w:w="462" w:type="pct"/>
            <w:tcBorders>
              <w:bottom w:val="single" w:sz="4" w:space="0" w:color="auto"/>
            </w:tcBorders>
            <w:shd w:val="clear" w:color="auto" w:fill="BFBFBF"/>
            <w:noWrap/>
          </w:tcPr>
          <w:p w:rsidR="00B951B1" w:rsidRPr="00E61612" w:rsidRDefault="00B951B1" w:rsidP="00CB78E6">
            <w:pPr>
              <w:spacing w:after="0"/>
              <w:jc w:val="right"/>
              <w:rPr>
                <w:rFonts w:eastAsia="Times New Roman" w:cs="Calibri"/>
                <w:color w:val="000000"/>
                <w:sz w:val="18"/>
                <w:szCs w:val="18"/>
              </w:rPr>
            </w:pPr>
            <w:r w:rsidRPr="00E61612">
              <w:rPr>
                <w:color w:val="000000"/>
                <w:sz w:val="20"/>
                <w:szCs w:val="20"/>
              </w:rPr>
              <w:t>418,140</w:t>
            </w:r>
          </w:p>
        </w:tc>
        <w:tc>
          <w:tcPr>
            <w:tcW w:w="475" w:type="pct"/>
            <w:tcBorders>
              <w:bottom w:val="single" w:sz="4" w:space="0" w:color="auto"/>
            </w:tcBorders>
            <w:shd w:val="clear" w:color="auto" w:fill="BFBFBF"/>
            <w:noWrap/>
          </w:tcPr>
          <w:p w:rsidR="00B951B1" w:rsidRPr="00E61612" w:rsidRDefault="00B951B1" w:rsidP="00CB78E6">
            <w:pPr>
              <w:spacing w:after="0"/>
              <w:jc w:val="right"/>
              <w:rPr>
                <w:rFonts w:eastAsia="Times New Roman" w:cs="Calibri"/>
                <w:color w:val="000000"/>
                <w:sz w:val="18"/>
                <w:szCs w:val="18"/>
              </w:rPr>
            </w:pPr>
            <w:r w:rsidRPr="00E61612">
              <w:rPr>
                <w:color w:val="000000"/>
                <w:sz w:val="20"/>
                <w:szCs w:val="20"/>
              </w:rPr>
              <w:t>-</w:t>
            </w:r>
          </w:p>
        </w:tc>
        <w:tc>
          <w:tcPr>
            <w:tcW w:w="486" w:type="pct"/>
            <w:tcBorders>
              <w:bottom w:val="single" w:sz="4" w:space="0" w:color="auto"/>
            </w:tcBorders>
            <w:shd w:val="clear" w:color="auto" w:fill="BFBFBF"/>
            <w:noWrap/>
          </w:tcPr>
          <w:p w:rsidR="00B951B1" w:rsidRPr="00E61612" w:rsidRDefault="00B951B1" w:rsidP="00CB78E6">
            <w:pPr>
              <w:spacing w:after="0"/>
              <w:jc w:val="right"/>
              <w:rPr>
                <w:rFonts w:eastAsia="Times New Roman" w:cs="Calibri"/>
                <w:color w:val="000000"/>
                <w:sz w:val="18"/>
                <w:szCs w:val="18"/>
              </w:rPr>
            </w:pPr>
            <w:r w:rsidRPr="00E61612">
              <w:rPr>
                <w:color w:val="000000"/>
                <w:sz w:val="20"/>
                <w:szCs w:val="20"/>
              </w:rPr>
              <w:t xml:space="preserve">                   -   </w:t>
            </w:r>
          </w:p>
        </w:tc>
        <w:tc>
          <w:tcPr>
            <w:tcW w:w="458" w:type="pct"/>
            <w:tcBorders>
              <w:bottom w:val="single" w:sz="4" w:space="0" w:color="auto"/>
            </w:tcBorders>
            <w:shd w:val="clear" w:color="auto" w:fill="BFBFBF"/>
            <w:noWrap/>
          </w:tcPr>
          <w:p w:rsidR="00B951B1" w:rsidRPr="00E61612" w:rsidRDefault="00B951B1" w:rsidP="00CB78E6">
            <w:pPr>
              <w:spacing w:after="0"/>
              <w:jc w:val="right"/>
              <w:rPr>
                <w:rFonts w:eastAsia="Times New Roman" w:cs="Calibri"/>
                <w:color w:val="000000"/>
                <w:sz w:val="18"/>
                <w:szCs w:val="18"/>
              </w:rPr>
            </w:pPr>
            <w:r w:rsidRPr="00E61612">
              <w:rPr>
                <w:color w:val="000000"/>
                <w:sz w:val="20"/>
                <w:szCs w:val="20"/>
              </w:rPr>
              <w:t>(418,140)</w:t>
            </w:r>
          </w:p>
        </w:tc>
      </w:tr>
      <w:tr w:rsidR="00B951B1" w:rsidRPr="00E61612" w:rsidTr="00CB78E6">
        <w:trPr>
          <w:trHeight w:val="20"/>
        </w:trPr>
        <w:tc>
          <w:tcPr>
            <w:tcW w:w="310" w:type="pct"/>
            <w:tcBorders>
              <w:bottom w:val="single" w:sz="4" w:space="0" w:color="auto"/>
            </w:tcBorders>
            <w:shd w:val="clear" w:color="auto" w:fill="D9D9D9"/>
          </w:tcPr>
          <w:p w:rsidR="00B951B1" w:rsidRPr="00E61612" w:rsidRDefault="00B951B1" w:rsidP="00CB78E6">
            <w:pPr>
              <w:spacing w:after="0"/>
              <w:jc w:val="center"/>
              <w:rPr>
                <w:rFonts w:eastAsia="Times New Roman" w:cs="Calibri"/>
                <w:b/>
                <w:bCs/>
                <w:color w:val="000000"/>
                <w:sz w:val="18"/>
                <w:szCs w:val="18"/>
              </w:rPr>
            </w:pPr>
            <w:r w:rsidRPr="00E61612">
              <w:rPr>
                <w:b/>
                <w:bCs/>
                <w:color w:val="000000"/>
                <w:sz w:val="20"/>
                <w:szCs w:val="20"/>
              </w:rPr>
              <w:t>C7.1</w:t>
            </w:r>
          </w:p>
        </w:tc>
        <w:tc>
          <w:tcPr>
            <w:tcW w:w="1002" w:type="pct"/>
            <w:tcBorders>
              <w:bottom w:val="single" w:sz="4" w:space="0" w:color="auto"/>
            </w:tcBorders>
            <w:shd w:val="clear" w:color="auto" w:fill="D9D9D9"/>
          </w:tcPr>
          <w:p w:rsidR="00B951B1" w:rsidRPr="00E61612" w:rsidRDefault="00B951B1" w:rsidP="00B86FFD">
            <w:pPr>
              <w:spacing w:after="0"/>
              <w:rPr>
                <w:rFonts w:eastAsia="Times New Roman" w:cs="Calibri"/>
                <w:sz w:val="18"/>
                <w:szCs w:val="18"/>
              </w:rPr>
            </w:pPr>
            <w:r w:rsidRPr="00E61612">
              <w:rPr>
                <w:sz w:val="20"/>
                <w:szCs w:val="20"/>
              </w:rPr>
              <w:t xml:space="preserve">Përmirësimi i infrastrukturës së TIK-ut në IAL dhe </w:t>
            </w:r>
            <w:r w:rsidR="00B86FFD" w:rsidRPr="00E61612">
              <w:rPr>
                <w:sz w:val="20"/>
                <w:szCs w:val="20"/>
              </w:rPr>
              <w:t>vi</w:t>
            </w:r>
            <w:r w:rsidR="00B86FFD">
              <w:rPr>
                <w:sz w:val="20"/>
                <w:szCs w:val="20"/>
              </w:rPr>
              <w:t>z</w:t>
            </w:r>
            <w:r w:rsidR="00B86FFD" w:rsidRPr="00E61612">
              <w:rPr>
                <w:sz w:val="20"/>
                <w:szCs w:val="20"/>
              </w:rPr>
              <w:t xml:space="preserve">ibilitetit </w:t>
            </w:r>
            <w:r w:rsidRPr="00E61612">
              <w:rPr>
                <w:sz w:val="20"/>
                <w:szCs w:val="20"/>
              </w:rPr>
              <w:t xml:space="preserve">në </w:t>
            </w:r>
            <w:r>
              <w:rPr>
                <w:sz w:val="20"/>
                <w:szCs w:val="20"/>
              </w:rPr>
              <w:t>internet</w:t>
            </w:r>
          </w:p>
        </w:tc>
        <w:tc>
          <w:tcPr>
            <w:tcW w:w="492" w:type="pct"/>
            <w:tcBorders>
              <w:bottom w:val="single" w:sz="4" w:space="0" w:color="auto"/>
            </w:tcBorders>
            <w:shd w:val="clear" w:color="auto" w:fill="D9D9D9"/>
          </w:tcPr>
          <w:p w:rsidR="00B951B1" w:rsidRPr="00E61612" w:rsidRDefault="00B951B1" w:rsidP="00CB78E6">
            <w:pPr>
              <w:spacing w:after="0"/>
              <w:jc w:val="center"/>
              <w:rPr>
                <w:rFonts w:eastAsia="Times New Roman" w:cs="Calibri"/>
                <w:color w:val="000000"/>
                <w:sz w:val="18"/>
                <w:szCs w:val="18"/>
              </w:rPr>
            </w:pPr>
            <w:r w:rsidRPr="00E61612">
              <w:rPr>
                <w:color w:val="000000"/>
                <w:sz w:val="20"/>
                <w:szCs w:val="20"/>
              </w:rPr>
              <w:t>IAL-të, MASR</w:t>
            </w:r>
          </w:p>
        </w:tc>
        <w:tc>
          <w:tcPr>
            <w:tcW w:w="494" w:type="pct"/>
            <w:tcBorders>
              <w:bottom w:val="single" w:sz="4" w:space="0" w:color="auto"/>
            </w:tcBorders>
            <w:shd w:val="clear" w:color="auto" w:fill="D9D9D9"/>
          </w:tcPr>
          <w:p w:rsidR="00B951B1" w:rsidRPr="00E61612" w:rsidRDefault="00B951B1" w:rsidP="00CB78E6">
            <w:pPr>
              <w:spacing w:after="0"/>
              <w:jc w:val="center"/>
              <w:rPr>
                <w:rFonts w:eastAsia="Times New Roman" w:cs="Calibri"/>
                <w:color w:val="000000"/>
                <w:sz w:val="18"/>
                <w:szCs w:val="18"/>
              </w:rPr>
            </w:pPr>
            <w:r w:rsidRPr="00E61612">
              <w:rPr>
                <w:color w:val="000000"/>
                <w:sz w:val="20"/>
                <w:szCs w:val="20"/>
              </w:rPr>
              <w:t>RASH</w:t>
            </w:r>
          </w:p>
        </w:tc>
        <w:tc>
          <w:tcPr>
            <w:tcW w:w="383" w:type="pct"/>
            <w:tcBorders>
              <w:bottom w:val="single" w:sz="4" w:space="0" w:color="auto"/>
            </w:tcBorders>
            <w:shd w:val="clear" w:color="auto" w:fill="D9D9D9"/>
          </w:tcPr>
          <w:p w:rsidR="00B951B1" w:rsidRPr="00E61612" w:rsidRDefault="00B951B1" w:rsidP="00CB78E6">
            <w:pPr>
              <w:spacing w:after="0"/>
              <w:jc w:val="center"/>
              <w:rPr>
                <w:rFonts w:eastAsia="Times New Roman" w:cs="Calibri"/>
                <w:color w:val="000000"/>
                <w:sz w:val="18"/>
                <w:szCs w:val="18"/>
              </w:rPr>
            </w:pPr>
            <w:r w:rsidRPr="00E61612">
              <w:rPr>
                <w:color w:val="000000"/>
                <w:sz w:val="20"/>
                <w:szCs w:val="20"/>
              </w:rPr>
              <w:t>TM1-2022</w:t>
            </w:r>
          </w:p>
        </w:tc>
        <w:tc>
          <w:tcPr>
            <w:tcW w:w="438" w:type="pct"/>
            <w:tcBorders>
              <w:bottom w:val="single" w:sz="4" w:space="0" w:color="auto"/>
            </w:tcBorders>
            <w:shd w:val="clear" w:color="auto" w:fill="D9D9D9"/>
          </w:tcPr>
          <w:p w:rsidR="00B951B1" w:rsidRPr="00E61612" w:rsidRDefault="00B951B1" w:rsidP="00CB78E6">
            <w:pPr>
              <w:spacing w:after="0"/>
              <w:jc w:val="center"/>
              <w:rPr>
                <w:rFonts w:eastAsia="Times New Roman" w:cs="Calibri"/>
                <w:color w:val="000000"/>
                <w:sz w:val="18"/>
                <w:szCs w:val="18"/>
              </w:rPr>
            </w:pPr>
            <w:r w:rsidRPr="00E61612">
              <w:rPr>
                <w:color w:val="000000"/>
                <w:sz w:val="20"/>
                <w:szCs w:val="20"/>
              </w:rPr>
              <w:t>TM4-2026</w:t>
            </w:r>
          </w:p>
        </w:tc>
        <w:tc>
          <w:tcPr>
            <w:tcW w:w="462" w:type="pct"/>
            <w:tcBorders>
              <w:bottom w:val="single" w:sz="4" w:space="0" w:color="auto"/>
            </w:tcBorders>
            <w:shd w:val="clear" w:color="auto" w:fill="D9D9D9"/>
            <w:noWrap/>
          </w:tcPr>
          <w:p w:rsidR="00B951B1" w:rsidRPr="00E61612" w:rsidRDefault="00B951B1" w:rsidP="00CB78E6">
            <w:pPr>
              <w:spacing w:after="0"/>
              <w:jc w:val="right"/>
              <w:rPr>
                <w:rFonts w:eastAsia="Times New Roman" w:cs="Calibri"/>
                <w:color w:val="000000"/>
                <w:sz w:val="18"/>
                <w:szCs w:val="18"/>
              </w:rPr>
            </w:pPr>
            <w:r w:rsidRPr="00E61612">
              <w:rPr>
                <w:color w:val="000000"/>
                <w:sz w:val="20"/>
                <w:szCs w:val="20"/>
              </w:rPr>
              <w:t>1,920</w:t>
            </w:r>
          </w:p>
        </w:tc>
        <w:tc>
          <w:tcPr>
            <w:tcW w:w="475" w:type="pct"/>
            <w:tcBorders>
              <w:bottom w:val="single" w:sz="4" w:space="0" w:color="auto"/>
            </w:tcBorders>
            <w:shd w:val="clear" w:color="auto" w:fill="D9D9D9"/>
            <w:noWrap/>
          </w:tcPr>
          <w:p w:rsidR="00B951B1" w:rsidRPr="00E61612" w:rsidRDefault="00B951B1" w:rsidP="00CB78E6">
            <w:pPr>
              <w:spacing w:after="0"/>
              <w:jc w:val="right"/>
              <w:rPr>
                <w:rFonts w:eastAsia="Times New Roman" w:cs="Calibri"/>
                <w:color w:val="000000"/>
                <w:sz w:val="18"/>
                <w:szCs w:val="18"/>
              </w:rPr>
            </w:pPr>
            <w:r w:rsidRPr="00E61612">
              <w:rPr>
                <w:color w:val="000000"/>
                <w:sz w:val="20"/>
                <w:szCs w:val="20"/>
              </w:rPr>
              <w:t>-</w:t>
            </w:r>
          </w:p>
        </w:tc>
        <w:tc>
          <w:tcPr>
            <w:tcW w:w="486" w:type="pct"/>
            <w:tcBorders>
              <w:bottom w:val="single" w:sz="4" w:space="0" w:color="auto"/>
            </w:tcBorders>
            <w:shd w:val="clear" w:color="auto" w:fill="D9D9D9"/>
            <w:noWrap/>
          </w:tcPr>
          <w:p w:rsidR="00B951B1" w:rsidRPr="00E61612" w:rsidRDefault="00B951B1" w:rsidP="00CB78E6">
            <w:pPr>
              <w:spacing w:after="0"/>
              <w:jc w:val="right"/>
              <w:rPr>
                <w:rFonts w:eastAsia="Times New Roman" w:cs="Calibri"/>
                <w:color w:val="000000"/>
                <w:sz w:val="18"/>
                <w:szCs w:val="18"/>
              </w:rPr>
            </w:pPr>
            <w:r w:rsidRPr="00E61612">
              <w:rPr>
                <w:color w:val="000000"/>
                <w:sz w:val="20"/>
                <w:szCs w:val="20"/>
              </w:rPr>
              <w:t xml:space="preserve">                   -   </w:t>
            </w:r>
          </w:p>
        </w:tc>
        <w:tc>
          <w:tcPr>
            <w:tcW w:w="458" w:type="pct"/>
            <w:tcBorders>
              <w:bottom w:val="single" w:sz="4" w:space="0" w:color="auto"/>
            </w:tcBorders>
            <w:shd w:val="clear" w:color="auto" w:fill="D9D9D9"/>
            <w:noWrap/>
          </w:tcPr>
          <w:p w:rsidR="00B951B1" w:rsidRPr="00E61612" w:rsidRDefault="00B951B1" w:rsidP="00CB78E6">
            <w:pPr>
              <w:spacing w:after="0"/>
              <w:jc w:val="right"/>
              <w:rPr>
                <w:rFonts w:eastAsia="Times New Roman" w:cs="Calibri"/>
                <w:color w:val="000000"/>
                <w:sz w:val="18"/>
                <w:szCs w:val="18"/>
              </w:rPr>
            </w:pPr>
            <w:r w:rsidRPr="00E61612">
              <w:rPr>
                <w:color w:val="000000"/>
                <w:sz w:val="20"/>
                <w:szCs w:val="20"/>
              </w:rPr>
              <w:t>(1,920)</w:t>
            </w:r>
          </w:p>
        </w:tc>
      </w:tr>
      <w:tr w:rsidR="00B951B1" w:rsidRPr="00E61612" w:rsidTr="00CB78E6">
        <w:trPr>
          <w:trHeight w:val="20"/>
        </w:trPr>
        <w:tc>
          <w:tcPr>
            <w:tcW w:w="310" w:type="pct"/>
            <w:shd w:val="clear" w:color="auto" w:fill="FFFFFF"/>
          </w:tcPr>
          <w:p w:rsidR="00B951B1" w:rsidRPr="00E61612" w:rsidRDefault="00B951B1" w:rsidP="00CB78E6">
            <w:pPr>
              <w:spacing w:after="0"/>
              <w:jc w:val="center"/>
              <w:rPr>
                <w:rFonts w:eastAsia="Times New Roman" w:cs="Calibri"/>
                <w:b/>
                <w:bCs/>
                <w:color w:val="000000"/>
                <w:sz w:val="18"/>
                <w:szCs w:val="18"/>
              </w:rPr>
            </w:pPr>
            <w:r w:rsidRPr="00E61612">
              <w:rPr>
                <w:b/>
                <w:bCs/>
                <w:color w:val="000000"/>
                <w:sz w:val="20"/>
                <w:szCs w:val="20"/>
              </w:rPr>
              <w:lastRenderedPageBreak/>
              <w:t>C7.1.1</w:t>
            </w:r>
          </w:p>
        </w:tc>
        <w:tc>
          <w:tcPr>
            <w:tcW w:w="1002" w:type="pct"/>
            <w:shd w:val="clear" w:color="auto" w:fill="FFFFFF"/>
          </w:tcPr>
          <w:p w:rsidR="00B951B1" w:rsidRPr="00E61612" w:rsidRDefault="00B951B1" w:rsidP="00CB78E6">
            <w:pPr>
              <w:spacing w:after="0"/>
              <w:rPr>
                <w:rFonts w:eastAsia="Times New Roman" w:cs="Calibri"/>
                <w:sz w:val="18"/>
                <w:szCs w:val="18"/>
              </w:rPr>
            </w:pPr>
            <w:r w:rsidRPr="00E61612">
              <w:rPr>
                <w:sz w:val="20"/>
                <w:szCs w:val="20"/>
              </w:rPr>
              <w:t>Investime në përmirësimin e infrastrukturës së TIK-ut në AL</w:t>
            </w:r>
          </w:p>
        </w:tc>
        <w:tc>
          <w:tcPr>
            <w:tcW w:w="492" w:type="pct"/>
            <w:shd w:val="clear" w:color="auto" w:fill="FFFFFF"/>
          </w:tcPr>
          <w:p w:rsidR="00B951B1" w:rsidRPr="00E61612" w:rsidRDefault="00B951B1" w:rsidP="00CB78E6">
            <w:pPr>
              <w:spacing w:after="0"/>
              <w:jc w:val="center"/>
              <w:rPr>
                <w:rFonts w:eastAsia="Times New Roman" w:cs="Calibri"/>
                <w:color w:val="000000"/>
                <w:sz w:val="18"/>
                <w:szCs w:val="18"/>
              </w:rPr>
            </w:pPr>
            <w:r w:rsidRPr="00E61612">
              <w:rPr>
                <w:color w:val="000000"/>
                <w:sz w:val="20"/>
                <w:szCs w:val="20"/>
              </w:rPr>
              <w:t>IAL-të, MASR</w:t>
            </w:r>
          </w:p>
        </w:tc>
        <w:tc>
          <w:tcPr>
            <w:tcW w:w="494" w:type="pct"/>
            <w:shd w:val="clear" w:color="auto" w:fill="FFFFFF"/>
          </w:tcPr>
          <w:p w:rsidR="00B951B1" w:rsidRPr="00E61612" w:rsidRDefault="00B951B1" w:rsidP="00CB78E6">
            <w:pPr>
              <w:spacing w:after="0"/>
              <w:jc w:val="center"/>
              <w:rPr>
                <w:rFonts w:eastAsia="Times New Roman" w:cs="Calibri"/>
                <w:color w:val="000000"/>
                <w:sz w:val="18"/>
                <w:szCs w:val="18"/>
              </w:rPr>
            </w:pPr>
            <w:r w:rsidRPr="00E61612">
              <w:rPr>
                <w:color w:val="000000"/>
                <w:sz w:val="20"/>
                <w:szCs w:val="20"/>
              </w:rPr>
              <w:t>RASH</w:t>
            </w:r>
          </w:p>
        </w:tc>
        <w:tc>
          <w:tcPr>
            <w:tcW w:w="383" w:type="pct"/>
            <w:shd w:val="clear" w:color="auto" w:fill="FFFFFF"/>
          </w:tcPr>
          <w:p w:rsidR="00B951B1" w:rsidRPr="00E61612" w:rsidRDefault="00B951B1" w:rsidP="00CB78E6">
            <w:pPr>
              <w:spacing w:after="0"/>
              <w:jc w:val="center"/>
              <w:rPr>
                <w:rFonts w:eastAsia="Times New Roman" w:cs="Calibri"/>
                <w:color w:val="000000"/>
                <w:sz w:val="18"/>
                <w:szCs w:val="18"/>
              </w:rPr>
            </w:pPr>
            <w:r w:rsidRPr="00E61612">
              <w:rPr>
                <w:color w:val="000000"/>
                <w:sz w:val="20"/>
                <w:szCs w:val="20"/>
              </w:rPr>
              <w:t xml:space="preserve"> TM1-2022 </w:t>
            </w:r>
          </w:p>
        </w:tc>
        <w:tc>
          <w:tcPr>
            <w:tcW w:w="438" w:type="pct"/>
            <w:shd w:val="clear" w:color="auto" w:fill="FFFFFF"/>
          </w:tcPr>
          <w:p w:rsidR="00B951B1" w:rsidRPr="00E61612" w:rsidRDefault="00B951B1" w:rsidP="00CB78E6">
            <w:pPr>
              <w:spacing w:after="0"/>
              <w:jc w:val="center"/>
              <w:rPr>
                <w:rFonts w:eastAsia="Times New Roman" w:cs="Calibri"/>
                <w:color w:val="000000"/>
                <w:sz w:val="18"/>
                <w:szCs w:val="18"/>
              </w:rPr>
            </w:pPr>
            <w:r w:rsidRPr="00E61612">
              <w:rPr>
                <w:color w:val="000000"/>
                <w:sz w:val="20"/>
                <w:szCs w:val="20"/>
              </w:rPr>
              <w:t>TM4-2026</w:t>
            </w:r>
          </w:p>
        </w:tc>
        <w:tc>
          <w:tcPr>
            <w:tcW w:w="462" w:type="pct"/>
            <w:shd w:val="clear" w:color="auto" w:fill="FFFFFF"/>
            <w:noWrap/>
          </w:tcPr>
          <w:p w:rsidR="00B951B1" w:rsidRPr="00E61612" w:rsidRDefault="00B951B1" w:rsidP="00CB78E6">
            <w:pPr>
              <w:spacing w:after="0"/>
              <w:jc w:val="right"/>
              <w:rPr>
                <w:rFonts w:eastAsia="Times New Roman" w:cs="Calibri"/>
                <w:color w:val="000000"/>
                <w:sz w:val="18"/>
                <w:szCs w:val="18"/>
              </w:rPr>
            </w:pPr>
            <w:r w:rsidRPr="00E61612">
              <w:rPr>
                <w:color w:val="000000"/>
                <w:sz w:val="20"/>
                <w:szCs w:val="20"/>
              </w:rPr>
              <w:t>-</w:t>
            </w:r>
          </w:p>
        </w:tc>
        <w:tc>
          <w:tcPr>
            <w:tcW w:w="475" w:type="pct"/>
            <w:shd w:val="clear" w:color="auto" w:fill="FFFFFF"/>
            <w:noWrap/>
          </w:tcPr>
          <w:p w:rsidR="00B951B1" w:rsidRPr="00E61612" w:rsidRDefault="00B951B1" w:rsidP="00CB78E6">
            <w:pPr>
              <w:spacing w:after="0"/>
              <w:jc w:val="right"/>
              <w:rPr>
                <w:rFonts w:eastAsia="Times New Roman" w:cs="Calibri"/>
                <w:color w:val="000000"/>
                <w:sz w:val="18"/>
                <w:szCs w:val="18"/>
              </w:rPr>
            </w:pPr>
            <w:r w:rsidRPr="00E61612">
              <w:rPr>
                <w:color w:val="000000"/>
                <w:sz w:val="20"/>
                <w:szCs w:val="20"/>
              </w:rPr>
              <w:t>-</w:t>
            </w:r>
          </w:p>
        </w:tc>
        <w:tc>
          <w:tcPr>
            <w:tcW w:w="486" w:type="pct"/>
            <w:shd w:val="clear" w:color="auto" w:fill="FFFFFF"/>
            <w:noWrap/>
          </w:tcPr>
          <w:p w:rsidR="00B951B1" w:rsidRPr="00E61612" w:rsidRDefault="00B951B1" w:rsidP="00CB78E6">
            <w:pPr>
              <w:spacing w:after="0"/>
              <w:jc w:val="right"/>
              <w:rPr>
                <w:rFonts w:eastAsia="Times New Roman" w:cs="Calibri"/>
                <w:color w:val="000000"/>
                <w:sz w:val="18"/>
                <w:szCs w:val="18"/>
              </w:rPr>
            </w:pPr>
            <w:r w:rsidRPr="00E61612">
              <w:rPr>
                <w:color w:val="000000"/>
                <w:sz w:val="20"/>
                <w:szCs w:val="20"/>
              </w:rPr>
              <w:t xml:space="preserve">                   -   </w:t>
            </w:r>
          </w:p>
        </w:tc>
        <w:tc>
          <w:tcPr>
            <w:tcW w:w="458" w:type="pct"/>
            <w:shd w:val="clear" w:color="auto" w:fill="FFFFFF"/>
            <w:noWrap/>
          </w:tcPr>
          <w:p w:rsidR="00B951B1" w:rsidRPr="00E61612" w:rsidRDefault="00B951B1" w:rsidP="00CB78E6">
            <w:pPr>
              <w:spacing w:after="0"/>
              <w:jc w:val="right"/>
              <w:rPr>
                <w:rFonts w:eastAsia="Times New Roman" w:cs="Calibri"/>
                <w:color w:val="000000"/>
                <w:sz w:val="18"/>
                <w:szCs w:val="18"/>
              </w:rPr>
            </w:pPr>
            <w:r w:rsidRPr="00E61612">
              <w:rPr>
                <w:color w:val="000000"/>
                <w:sz w:val="20"/>
                <w:szCs w:val="20"/>
              </w:rPr>
              <w:t>-</w:t>
            </w:r>
          </w:p>
        </w:tc>
      </w:tr>
      <w:tr w:rsidR="00B951B1" w:rsidRPr="00E61612" w:rsidTr="00CB78E6">
        <w:trPr>
          <w:trHeight w:val="20"/>
        </w:trPr>
        <w:tc>
          <w:tcPr>
            <w:tcW w:w="310" w:type="pct"/>
            <w:tcBorders>
              <w:bottom w:val="single" w:sz="4" w:space="0" w:color="auto"/>
            </w:tcBorders>
            <w:shd w:val="clear" w:color="auto" w:fill="FFFFFF"/>
          </w:tcPr>
          <w:p w:rsidR="00B951B1" w:rsidRPr="00E61612" w:rsidRDefault="00B951B1" w:rsidP="00CB78E6">
            <w:pPr>
              <w:spacing w:after="0"/>
              <w:jc w:val="center"/>
              <w:rPr>
                <w:rFonts w:eastAsia="Times New Roman" w:cs="Calibri"/>
                <w:b/>
                <w:bCs/>
                <w:color w:val="000000"/>
                <w:sz w:val="18"/>
                <w:szCs w:val="18"/>
              </w:rPr>
            </w:pPr>
            <w:r w:rsidRPr="00E61612">
              <w:rPr>
                <w:b/>
                <w:bCs/>
                <w:color w:val="000000"/>
                <w:sz w:val="20"/>
                <w:szCs w:val="20"/>
              </w:rPr>
              <w:t>C7.1.2</w:t>
            </w:r>
          </w:p>
        </w:tc>
        <w:tc>
          <w:tcPr>
            <w:tcW w:w="1002" w:type="pct"/>
            <w:tcBorders>
              <w:bottom w:val="single" w:sz="4" w:space="0" w:color="auto"/>
            </w:tcBorders>
            <w:shd w:val="clear" w:color="auto" w:fill="FFFFFF"/>
          </w:tcPr>
          <w:p w:rsidR="00B951B1" w:rsidRPr="00E61612" w:rsidRDefault="00B951B1" w:rsidP="00CB78E6">
            <w:pPr>
              <w:spacing w:after="0"/>
              <w:rPr>
                <w:rFonts w:eastAsia="Times New Roman" w:cs="Calibri"/>
                <w:sz w:val="18"/>
                <w:szCs w:val="18"/>
              </w:rPr>
            </w:pPr>
            <w:r w:rsidRPr="00E61612">
              <w:rPr>
                <w:sz w:val="20"/>
                <w:szCs w:val="20"/>
              </w:rPr>
              <w:t>Ofrimi i ndihmës IAL-ve për hartimin e politikave për zhvillimin dhe mirëmbajtjen e faqeve të tyre</w:t>
            </w:r>
            <w:r>
              <w:rPr>
                <w:sz w:val="20"/>
                <w:szCs w:val="20"/>
              </w:rPr>
              <w:t xml:space="preserve"> të internetit</w:t>
            </w:r>
          </w:p>
        </w:tc>
        <w:tc>
          <w:tcPr>
            <w:tcW w:w="492" w:type="pct"/>
            <w:tcBorders>
              <w:bottom w:val="single" w:sz="4" w:space="0" w:color="auto"/>
            </w:tcBorders>
            <w:shd w:val="clear" w:color="auto" w:fill="FFFFFF"/>
          </w:tcPr>
          <w:p w:rsidR="00B951B1" w:rsidRPr="00E61612" w:rsidRDefault="00B951B1" w:rsidP="00CB78E6">
            <w:pPr>
              <w:spacing w:after="0"/>
              <w:jc w:val="center"/>
              <w:rPr>
                <w:rFonts w:eastAsia="Times New Roman" w:cs="Calibri"/>
                <w:color w:val="000000"/>
                <w:sz w:val="18"/>
                <w:szCs w:val="18"/>
              </w:rPr>
            </w:pPr>
            <w:r w:rsidRPr="00E61612">
              <w:rPr>
                <w:color w:val="000000"/>
                <w:sz w:val="20"/>
                <w:szCs w:val="20"/>
              </w:rPr>
              <w:t>MASR</w:t>
            </w:r>
          </w:p>
        </w:tc>
        <w:tc>
          <w:tcPr>
            <w:tcW w:w="494" w:type="pct"/>
            <w:tcBorders>
              <w:bottom w:val="single" w:sz="4" w:space="0" w:color="auto"/>
            </w:tcBorders>
            <w:shd w:val="clear" w:color="auto" w:fill="FFFFFF"/>
          </w:tcPr>
          <w:p w:rsidR="00B951B1" w:rsidRPr="00E61612" w:rsidRDefault="00B951B1" w:rsidP="00CB78E6">
            <w:pPr>
              <w:spacing w:after="0"/>
              <w:jc w:val="center"/>
              <w:rPr>
                <w:rFonts w:eastAsia="Times New Roman" w:cs="Calibri"/>
                <w:color w:val="000000"/>
                <w:sz w:val="18"/>
                <w:szCs w:val="18"/>
              </w:rPr>
            </w:pPr>
            <w:r w:rsidRPr="00E61612">
              <w:rPr>
                <w:color w:val="000000"/>
                <w:sz w:val="20"/>
                <w:szCs w:val="20"/>
              </w:rPr>
              <w:t>RASH</w:t>
            </w:r>
          </w:p>
        </w:tc>
        <w:tc>
          <w:tcPr>
            <w:tcW w:w="383" w:type="pct"/>
            <w:tcBorders>
              <w:bottom w:val="single" w:sz="4" w:space="0" w:color="auto"/>
            </w:tcBorders>
            <w:shd w:val="clear" w:color="auto" w:fill="FFFFFF"/>
          </w:tcPr>
          <w:p w:rsidR="00B951B1" w:rsidRPr="00E61612" w:rsidRDefault="00B951B1" w:rsidP="00CB78E6">
            <w:pPr>
              <w:spacing w:after="0"/>
              <w:jc w:val="center"/>
              <w:rPr>
                <w:rFonts w:eastAsia="Times New Roman" w:cs="Calibri"/>
                <w:color w:val="000000"/>
                <w:sz w:val="18"/>
                <w:szCs w:val="18"/>
              </w:rPr>
            </w:pPr>
            <w:r w:rsidRPr="00E61612">
              <w:rPr>
                <w:color w:val="000000"/>
                <w:sz w:val="20"/>
                <w:szCs w:val="20"/>
              </w:rPr>
              <w:t>TM2-2022</w:t>
            </w:r>
          </w:p>
        </w:tc>
        <w:tc>
          <w:tcPr>
            <w:tcW w:w="438" w:type="pct"/>
            <w:tcBorders>
              <w:bottom w:val="single" w:sz="4" w:space="0" w:color="auto"/>
            </w:tcBorders>
            <w:shd w:val="clear" w:color="auto" w:fill="FFFFFF"/>
          </w:tcPr>
          <w:p w:rsidR="00B951B1" w:rsidRPr="00E61612" w:rsidRDefault="00B951B1" w:rsidP="00CB78E6">
            <w:pPr>
              <w:spacing w:after="0"/>
              <w:jc w:val="center"/>
              <w:rPr>
                <w:rFonts w:eastAsia="Times New Roman" w:cs="Calibri"/>
                <w:color w:val="000000"/>
                <w:sz w:val="18"/>
                <w:szCs w:val="18"/>
              </w:rPr>
            </w:pPr>
            <w:r w:rsidRPr="00E61612">
              <w:rPr>
                <w:color w:val="000000"/>
                <w:sz w:val="20"/>
                <w:szCs w:val="20"/>
              </w:rPr>
              <w:t>TM3-2022</w:t>
            </w:r>
          </w:p>
        </w:tc>
        <w:tc>
          <w:tcPr>
            <w:tcW w:w="462" w:type="pct"/>
            <w:tcBorders>
              <w:bottom w:val="single" w:sz="4" w:space="0" w:color="auto"/>
            </w:tcBorders>
            <w:shd w:val="clear" w:color="auto" w:fill="FFFFFF"/>
            <w:noWrap/>
          </w:tcPr>
          <w:p w:rsidR="00B951B1" w:rsidRPr="00E61612" w:rsidRDefault="00B951B1" w:rsidP="00CB78E6">
            <w:pPr>
              <w:spacing w:after="0"/>
              <w:jc w:val="right"/>
              <w:rPr>
                <w:rFonts w:eastAsia="Times New Roman" w:cs="Calibri"/>
                <w:color w:val="000000"/>
                <w:sz w:val="18"/>
                <w:szCs w:val="18"/>
              </w:rPr>
            </w:pPr>
            <w:r w:rsidRPr="00E61612">
              <w:rPr>
                <w:color w:val="000000"/>
                <w:sz w:val="20"/>
                <w:szCs w:val="20"/>
              </w:rPr>
              <w:t>1,920</w:t>
            </w:r>
          </w:p>
        </w:tc>
        <w:tc>
          <w:tcPr>
            <w:tcW w:w="475" w:type="pct"/>
            <w:tcBorders>
              <w:bottom w:val="single" w:sz="4" w:space="0" w:color="auto"/>
            </w:tcBorders>
            <w:shd w:val="clear" w:color="auto" w:fill="FFFFFF"/>
            <w:noWrap/>
          </w:tcPr>
          <w:p w:rsidR="00B951B1" w:rsidRPr="00E61612" w:rsidRDefault="00B951B1" w:rsidP="00CB78E6">
            <w:pPr>
              <w:spacing w:after="0"/>
              <w:jc w:val="right"/>
              <w:rPr>
                <w:rFonts w:eastAsia="Times New Roman" w:cs="Calibri"/>
                <w:color w:val="000000"/>
                <w:sz w:val="18"/>
                <w:szCs w:val="18"/>
              </w:rPr>
            </w:pPr>
            <w:r w:rsidRPr="00E61612">
              <w:rPr>
                <w:color w:val="000000"/>
                <w:sz w:val="20"/>
                <w:szCs w:val="20"/>
              </w:rPr>
              <w:t>-</w:t>
            </w:r>
          </w:p>
        </w:tc>
        <w:tc>
          <w:tcPr>
            <w:tcW w:w="486" w:type="pct"/>
            <w:tcBorders>
              <w:bottom w:val="single" w:sz="4" w:space="0" w:color="auto"/>
            </w:tcBorders>
            <w:shd w:val="clear" w:color="auto" w:fill="FFFFFF"/>
            <w:noWrap/>
          </w:tcPr>
          <w:p w:rsidR="00B951B1" w:rsidRPr="00E61612" w:rsidRDefault="00B951B1" w:rsidP="00CB78E6">
            <w:pPr>
              <w:spacing w:after="0"/>
              <w:jc w:val="right"/>
              <w:rPr>
                <w:rFonts w:eastAsia="Times New Roman" w:cs="Calibri"/>
                <w:color w:val="000000"/>
                <w:sz w:val="18"/>
                <w:szCs w:val="18"/>
              </w:rPr>
            </w:pPr>
            <w:r w:rsidRPr="00E61612">
              <w:rPr>
                <w:color w:val="000000"/>
                <w:sz w:val="20"/>
                <w:szCs w:val="20"/>
              </w:rPr>
              <w:t xml:space="preserve">                   -   </w:t>
            </w:r>
          </w:p>
        </w:tc>
        <w:tc>
          <w:tcPr>
            <w:tcW w:w="458" w:type="pct"/>
            <w:tcBorders>
              <w:bottom w:val="single" w:sz="4" w:space="0" w:color="auto"/>
            </w:tcBorders>
            <w:shd w:val="clear" w:color="auto" w:fill="FFFFFF"/>
            <w:noWrap/>
          </w:tcPr>
          <w:p w:rsidR="00B951B1" w:rsidRPr="00E61612" w:rsidRDefault="00B951B1" w:rsidP="00CB78E6">
            <w:pPr>
              <w:spacing w:after="0"/>
              <w:jc w:val="right"/>
              <w:rPr>
                <w:rFonts w:eastAsia="Times New Roman" w:cs="Calibri"/>
                <w:color w:val="000000"/>
                <w:sz w:val="18"/>
                <w:szCs w:val="18"/>
              </w:rPr>
            </w:pPr>
            <w:r w:rsidRPr="00E61612">
              <w:rPr>
                <w:color w:val="000000"/>
                <w:sz w:val="20"/>
                <w:szCs w:val="20"/>
              </w:rPr>
              <w:t>(1,920)</w:t>
            </w:r>
          </w:p>
        </w:tc>
      </w:tr>
      <w:tr w:rsidR="00B951B1" w:rsidRPr="00E61612" w:rsidTr="00CB78E6">
        <w:trPr>
          <w:trHeight w:val="20"/>
        </w:trPr>
        <w:tc>
          <w:tcPr>
            <w:tcW w:w="310" w:type="pct"/>
            <w:shd w:val="clear" w:color="auto" w:fill="D9D9D9"/>
          </w:tcPr>
          <w:p w:rsidR="00B951B1" w:rsidRPr="00E61612" w:rsidRDefault="00B951B1" w:rsidP="00CB78E6">
            <w:pPr>
              <w:spacing w:after="0"/>
              <w:jc w:val="center"/>
              <w:rPr>
                <w:rFonts w:eastAsia="Times New Roman" w:cs="Calibri"/>
                <w:b/>
                <w:bCs/>
                <w:color w:val="000000"/>
                <w:sz w:val="18"/>
                <w:szCs w:val="18"/>
              </w:rPr>
            </w:pPr>
            <w:r w:rsidRPr="00E61612">
              <w:rPr>
                <w:b/>
                <w:bCs/>
                <w:color w:val="000000"/>
                <w:sz w:val="20"/>
                <w:szCs w:val="20"/>
              </w:rPr>
              <w:t>C7.2</w:t>
            </w:r>
          </w:p>
        </w:tc>
        <w:tc>
          <w:tcPr>
            <w:tcW w:w="1002" w:type="pct"/>
            <w:shd w:val="clear" w:color="auto" w:fill="D9D9D9"/>
          </w:tcPr>
          <w:p w:rsidR="00B951B1" w:rsidRPr="00E61612" w:rsidRDefault="00B951B1" w:rsidP="00CB78E6">
            <w:pPr>
              <w:spacing w:after="0"/>
              <w:rPr>
                <w:rFonts w:eastAsia="Times New Roman" w:cs="Calibri"/>
                <w:sz w:val="18"/>
                <w:szCs w:val="18"/>
              </w:rPr>
            </w:pPr>
            <w:r w:rsidRPr="00E61612">
              <w:rPr>
                <w:sz w:val="20"/>
                <w:szCs w:val="20"/>
              </w:rPr>
              <w:t>Nxitja e IAL</w:t>
            </w:r>
            <w:r>
              <w:rPr>
                <w:sz w:val="20"/>
                <w:szCs w:val="20"/>
              </w:rPr>
              <w:t>-ve</w:t>
            </w:r>
            <w:r w:rsidRPr="00E61612">
              <w:rPr>
                <w:sz w:val="20"/>
                <w:szCs w:val="20"/>
              </w:rPr>
              <w:t xml:space="preserve"> për të organizuar mësimin në distancë dhe “</w:t>
            </w:r>
            <w:r>
              <w:rPr>
                <w:sz w:val="20"/>
                <w:szCs w:val="20"/>
              </w:rPr>
              <w:t>të nxënit e kombinuar</w:t>
            </w:r>
            <w:r w:rsidRPr="00E61612">
              <w:rPr>
                <w:sz w:val="20"/>
                <w:szCs w:val="20"/>
              </w:rPr>
              <w:t>”</w:t>
            </w:r>
          </w:p>
        </w:tc>
        <w:tc>
          <w:tcPr>
            <w:tcW w:w="492" w:type="pct"/>
            <w:shd w:val="clear" w:color="auto" w:fill="D9D9D9"/>
          </w:tcPr>
          <w:p w:rsidR="00B951B1" w:rsidRPr="00E61612" w:rsidRDefault="00B951B1" w:rsidP="00CB78E6">
            <w:pPr>
              <w:spacing w:after="0"/>
              <w:jc w:val="center"/>
              <w:rPr>
                <w:rFonts w:eastAsia="Times New Roman" w:cs="Calibri"/>
                <w:color w:val="000000"/>
                <w:sz w:val="18"/>
                <w:szCs w:val="18"/>
              </w:rPr>
            </w:pPr>
            <w:r w:rsidRPr="00E61612">
              <w:rPr>
                <w:color w:val="000000"/>
                <w:sz w:val="20"/>
                <w:szCs w:val="20"/>
              </w:rPr>
              <w:t>RASH, IAL-të</w:t>
            </w:r>
          </w:p>
        </w:tc>
        <w:tc>
          <w:tcPr>
            <w:tcW w:w="494" w:type="pct"/>
            <w:shd w:val="clear" w:color="auto" w:fill="D9D9D9"/>
          </w:tcPr>
          <w:p w:rsidR="00B951B1" w:rsidRPr="00E61612" w:rsidRDefault="00B951B1" w:rsidP="00CB78E6">
            <w:pPr>
              <w:spacing w:after="0"/>
              <w:jc w:val="center"/>
              <w:rPr>
                <w:rFonts w:eastAsia="Times New Roman" w:cs="Calibri"/>
                <w:color w:val="000000"/>
                <w:sz w:val="18"/>
                <w:szCs w:val="18"/>
              </w:rPr>
            </w:pPr>
            <w:r w:rsidRPr="00E61612">
              <w:rPr>
                <w:color w:val="000000"/>
                <w:sz w:val="20"/>
                <w:szCs w:val="20"/>
              </w:rPr>
              <w:t>RASH</w:t>
            </w:r>
          </w:p>
        </w:tc>
        <w:tc>
          <w:tcPr>
            <w:tcW w:w="383" w:type="pct"/>
            <w:shd w:val="clear" w:color="auto" w:fill="D9D9D9"/>
          </w:tcPr>
          <w:p w:rsidR="00B951B1" w:rsidRPr="00E61612" w:rsidRDefault="00B951B1" w:rsidP="00CB78E6">
            <w:pPr>
              <w:spacing w:after="0"/>
              <w:jc w:val="center"/>
              <w:rPr>
                <w:rFonts w:eastAsia="Times New Roman" w:cs="Calibri"/>
                <w:color w:val="000000"/>
                <w:sz w:val="18"/>
                <w:szCs w:val="18"/>
              </w:rPr>
            </w:pPr>
            <w:r w:rsidRPr="00E61612">
              <w:rPr>
                <w:color w:val="000000"/>
                <w:sz w:val="20"/>
                <w:szCs w:val="20"/>
              </w:rPr>
              <w:t>TM1-2023</w:t>
            </w:r>
          </w:p>
        </w:tc>
        <w:tc>
          <w:tcPr>
            <w:tcW w:w="438" w:type="pct"/>
            <w:shd w:val="clear" w:color="auto" w:fill="D9D9D9"/>
          </w:tcPr>
          <w:p w:rsidR="00B951B1" w:rsidRPr="00E61612" w:rsidRDefault="00B951B1" w:rsidP="00CB78E6">
            <w:pPr>
              <w:spacing w:after="0"/>
              <w:jc w:val="center"/>
              <w:rPr>
                <w:rFonts w:eastAsia="Times New Roman" w:cs="Calibri"/>
                <w:color w:val="000000"/>
                <w:sz w:val="18"/>
                <w:szCs w:val="18"/>
              </w:rPr>
            </w:pPr>
            <w:r w:rsidRPr="00E61612">
              <w:rPr>
                <w:color w:val="000000"/>
                <w:sz w:val="20"/>
                <w:szCs w:val="20"/>
              </w:rPr>
              <w:t>TM4-2026</w:t>
            </w:r>
          </w:p>
        </w:tc>
        <w:tc>
          <w:tcPr>
            <w:tcW w:w="462" w:type="pct"/>
            <w:shd w:val="clear" w:color="auto" w:fill="D9D9D9"/>
            <w:noWrap/>
          </w:tcPr>
          <w:p w:rsidR="00B951B1" w:rsidRPr="00E61612" w:rsidRDefault="00B951B1" w:rsidP="00CB78E6">
            <w:pPr>
              <w:spacing w:after="0"/>
              <w:jc w:val="right"/>
              <w:rPr>
                <w:rFonts w:eastAsia="Times New Roman" w:cs="Calibri"/>
                <w:color w:val="000000"/>
                <w:sz w:val="18"/>
                <w:szCs w:val="18"/>
              </w:rPr>
            </w:pPr>
            <w:r w:rsidRPr="00E61612">
              <w:rPr>
                <w:color w:val="000000"/>
                <w:sz w:val="20"/>
                <w:szCs w:val="20"/>
              </w:rPr>
              <w:t>63,240</w:t>
            </w:r>
          </w:p>
        </w:tc>
        <w:tc>
          <w:tcPr>
            <w:tcW w:w="475" w:type="pct"/>
            <w:shd w:val="clear" w:color="auto" w:fill="D9D9D9"/>
            <w:noWrap/>
          </w:tcPr>
          <w:p w:rsidR="00B951B1" w:rsidRPr="00E61612" w:rsidRDefault="00B951B1" w:rsidP="00CB78E6">
            <w:pPr>
              <w:spacing w:after="0"/>
              <w:jc w:val="right"/>
              <w:rPr>
                <w:rFonts w:eastAsia="Times New Roman" w:cs="Calibri"/>
                <w:color w:val="000000"/>
                <w:sz w:val="18"/>
                <w:szCs w:val="18"/>
              </w:rPr>
            </w:pPr>
            <w:r w:rsidRPr="00E61612">
              <w:rPr>
                <w:color w:val="000000"/>
                <w:sz w:val="20"/>
                <w:szCs w:val="20"/>
              </w:rPr>
              <w:t>-</w:t>
            </w:r>
          </w:p>
        </w:tc>
        <w:tc>
          <w:tcPr>
            <w:tcW w:w="486" w:type="pct"/>
            <w:shd w:val="clear" w:color="auto" w:fill="D9D9D9"/>
            <w:noWrap/>
          </w:tcPr>
          <w:p w:rsidR="00B951B1" w:rsidRPr="00E61612" w:rsidRDefault="00B951B1" w:rsidP="00CB78E6">
            <w:pPr>
              <w:spacing w:after="0"/>
              <w:jc w:val="right"/>
              <w:rPr>
                <w:rFonts w:eastAsia="Times New Roman" w:cs="Calibri"/>
                <w:color w:val="000000"/>
                <w:sz w:val="18"/>
                <w:szCs w:val="18"/>
              </w:rPr>
            </w:pPr>
            <w:r w:rsidRPr="00E61612">
              <w:rPr>
                <w:color w:val="000000"/>
                <w:sz w:val="20"/>
                <w:szCs w:val="20"/>
              </w:rPr>
              <w:t xml:space="preserve">                   -   </w:t>
            </w:r>
          </w:p>
        </w:tc>
        <w:tc>
          <w:tcPr>
            <w:tcW w:w="458" w:type="pct"/>
            <w:shd w:val="clear" w:color="auto" w:fill="D9D9D9"/>
            <w:noWrap/>
          </w:tcPr>
          <w:p w:rsidR="00B951B1" w:rsidRPr="00E61612" w:rsidRDefault="00B951B1" w:rsidP="00CB78E6">
            <w:pPr>
              <w:spacing w:after="0"/>
              <w:jc w:val="right"/>
              <w:rPr>
                <w:rFonts w:eastAsia="Times New Roman" w:cs="Calibri"/>
                <w:color w:val="000000"/>
                <w:sz w:val="18"/>
                <w:szCs w:val="18"/>
              </w:rPr>
            </w:pPr>
            <w:r w:rsidRPr="00E61612">
              <w:rPr>
                <w:color w:val="000000"/>
                <w:sz w:val="20"/>
                <w:szCs w:val="20"/>
              </w:rPr>
              <w:t>(63,240)</w:t>
            </w:r>
          </w:p>
        </w:tc>
      </w:tr>
      <w:tr w:rsidR="00B951B1" w:rsidRPr="00E61612" w:rsidTr="00CB78E6">
        <w:trPr>
          <w:trHeight w:val="20"/>
        </w:trPr>
        <w:tc>
          <w:tcPr>
            <w:tcW w:w="310" w:type="pct"/>
            <w:shd w:val="clear" w:color="auto" w:fill="FFFFFF"/>
          </w:tcPr>
          <w:p w:rsidR="00B951B1" w:rsidRPr="00E61612" w:rsidRDefault="00B951B1" w:rsidP="00CB78E6">
            <w:pPr>
              <w:spacing w:after="0"/>
              <w:jc w:val="center"/>
              <w:rPr>
                <w:rFonts w:eastAsia="Times New Roman" w:cs="Calibri"/>
                <w:b/>
                <w:bCs/>
                <w:color w:val="000000"/>
                <w:sz w:val="18"/>
                <w:szCs w:val="18"/>
              </w:rPr>
            </w:pPr>
            <w:r w:rsidRPr="00E61612">
              <w:rPr>
                <w:b/>
                <w:bCs/>
                <w:color w:val="000000"/>
                <w:sz w:val="20"/>
                <w:szCs w:val="20"/>
              </w:rPr>
              <w:t>C7.2.1</w:t>
            </w:r>
          </w:p>
        </w:tc>
        <w:tc>
          <w:tcPr>
            <w:tcW w:w="1002" w:type="pct"/>
            <w:shd w:val="clear" w:color="auto" w:fill="FFFFFF"/>
          </w:tcPr>
          <w:p w:rsidR="00B951B1" w:rsidRPr="00E61612" w:rsidRDefault="00B951B1" w:rsidP="00CB78E6">
            <w:pPr>
              <w:spacing w:after="0"/>
              <w:rPr>
                <w:rFonts w:eastAsia="Times New Roman" w:cs="Calibri"/>
                <w:sz w:val="18"/>
                <w:szCs w:val="18"/>
              </w:rPr>
            </w:pPr>
            <w:r w:rsidRPr="00E61612">
              <w:rPr>
                <w:sz w:val="20"/>
                <w:szCs w:val="20"/>
              </w:rPr>
              <w:t>Sigurimi i aksesit në ndonjë nga platformat LMS për IAL-të publike</w:t>
            </w:r>
          </w:p>
        </w:tc>
        <w:tc>
          <w:tcPr>
            <w:tcW w:w="492" w:type="pct"/>
            <w:shd w:val="clear" w:color="auto" w:fill="FFFFFF"/>
          </w:tcPr>
          <w:p w:rsidR="00B951B1" w:rsidRPr="00E61612" w:rsidRDefault="00B951B1" w:rsidP="00CB78E6">
            <w:pPr>
              <w:spacing w:after="0"/>
              <w:jc w:val="center"/>
              <w:rPr>
                <w:rFonts w:eastAsia="Times New Roman" w:cs="Calibri"/>
                <w:color w:val="000000"/>
                <w:sz w:val="18"/>
                <w:szCs w:val="18"/>
              </w:rPr>
            </w:pPr>
            <w:r w:rsidRPr="00E61612">
              <w:rPr>
                <w:color w:val="000000"/>
                <w:sz w:val="20"/>
                <w:szCs w:val="20"/>
              </w:rPr>
              <w:t>RASH</w:t>
            </w:r>
          </w:p>
        </w:tc>
        <w:tc>
          <w:tcPr>
            <w:tcW w:w="494" w:type="pct"/>
            <w:shd w:val="clear" w:color="auto" w:fill="FFFFFF"/>
          </w:tcPr>
          <w:p w:rsidR="00B951B1" w:rsidRPr="00E61612" w:rsidRDefault="00B951B1" w:rsidP="00CB78E6">
            <w:pPr>
              <w:spacing w:after="0"/>
              <w:jc w:val="center"/>
              <w:rPr>
                <w:rFonts w:eastAsia="Times New Roman" w:cs="Calibri"/>
                <w:color w:val="000000"/>
                <w:sz w:val="18"/>
                <w:szCs w:val="18"/>
              </w:rPr>
            </w:pPr>
            <w:r w:rsidRPr="00E61612">
              <w:rPr>
                <w:color w:val="000000"/>
                <w:sz w:val="20"/>
                <w:szCs w:val="20"/>
              </w:rPr>
              <w:t> </w:t>
            </w:r>
          </w:p>
        </w:tc>
        <w:tc>
          <w:tcPr>
            <w:tcW w:w="383" w:type="pct"/>
            <w:shd w:val="clear" w:color="auto" w:fill="FFFFFF"/>
          </w:tcPr>
          <w:p w:rsidR="00B951B1" w:rsidRPr="00E61612" w:rsidRDefault="00B951B1" w:rsidP="00CB78E6">
            <w:pPr>
              <w:spacing w:after="0"/>
              <w:jc w:val="center"/>
              <w:rPr>
                <w:rFonts w:eastAsia="Times New Roman" w:cs="Calibri"/>
                <w:color w:val="000000"/>
                <w:sz w:val="18"/>
                <w:szCs w:val="18"/>
              </w:rPr>
            </w:pPr>
            <w:r w:rsidRPr="00E61612">
              <w:rPr>
                <w:color w:val="000000"/>
                <w:sz w:val="20"/>
                <w:szCs w:val="20"/>
              </w:rPr>
              <w:t>TM1-2023</w:t>
            </w:r>
          </w:p>
        </w:tc>
        <w:tc>
          <w:tcPr>
            <w:tcW w:w="438" w:type="pct"/>
            <w:shd w:val="clear" w:color="auto" w:fill="FFFFFF"/>
          </w:tcPr>
          <w:p w:rsidR="00B951B1" w:rsidRPr="00E61612" w:rsidRDefault="00B951B1" w:rsidP="00CB78E6">
            <w:pPr>
              <w:spacing w:after="0"/>
              <w:jc w:val="center"/>
              <w:rPr>
                <w:rFonts w:eastAsia="Times New Roman" w:cs="Calibri"/>
                <w:color w:val="000000"/>
                <w:sz w:val="18"/>
                <w:szCs w:val="18"/>
              </w:rPr>
            </w:pPr>
            <w:r w:rsidRPr="00E61612">
              <w:rPr>
                <w:color w:val="000000"/>
                <w:sz w:val="20"/>
                <w:szCs w:val="20"/>
              </w:rPr>
              <w:t>TM4-2026</w:t>
            </w:r>
          </w:p>
        </w:tc>
        <w:tc>
          <w:tcPr>
            <w:tcW w:w="462" w:type="pct"/>
            <w:shd w:val="clear" w:color="auto" w:fill="FFFFFF"/>
            <w:noWrap/>
          </w:tcPr>
          <w:p w:rsidR="00B951B1" w:rsidRPr="00E61612" w:rsidRDefault="00B951B1" w:rsidP="00CB78E6">
            <w:pPr>
              <w:spacing w:after="0"/>
              <w:jc w:val="right"/>
              <w:rPr>
                <w:rFonts w:eastAsia="Times New Roman" w:cs="Calibri"/>
                <w:color w:val="000000"/>
                <w:sz w:val="18"/>
                <w:szCs w:val="18"/>
              </w:rPr>
            </w:pPr>
            <w:r w:rsidRPr="00E61612">
              <w:rPr>
                <w:color w:val="000000"/>
                <w:sz w:val="20"/>
                <w:szCs w:val="20"/>
              </w:rPr>
              <w:t>61,200</w:t>
            </w:r>
          </w:p>
        </w:tc>
        <w:tc>
          <w:tcPr>
            <w:tcW w:w="475" w:type="pct"/>
            <w:shd w:val="clear" w:color="auto" w:fill="FFFFFF"/>
            <w:noWrap/>
          </w:tcPr>
          <w:p w:rsidR="00B951B1" w:rsidRPr="00E61612" w:rsidRDefault="00B951B1" w:rsidP="00CB78E6">
            <w:pPr>
              <w:spacing w:after="0"/>
              <w:jc w:val="right"/>
              <w:rPr>
                <w:rFonts w:eastAsia="Times New Roman" w:cs="Calibri"/>
                <w:color w:val="000000"/>
                <w:sz w:val="18"/>
                <w:szCs w:val="18"/>
              </w:rPr>
            </w:pPr>
            <w:r w:rsidRPr="00E61612">
              <w:rPr>
                <w:color w:val="000000"/>
                <w:sz w:val="20"/>
                <w:szCs w:val="20"/>
              </w:rPr>
              <w:t>-</w:t>
            </w:r>
          </w:p>
        </w:tc>
        <w:tc>
          <w:tcPr>
            <w:tcW w:w="486" w:type="pct"/>
            <w:shd w:val="clear" w:color="auto" w:fill="FFFFFF"/>
            <w:noWrap/>
          </w:tcPr>
          <w:p w:rsidR="00B951B1" w:rsidRPr="00E61612" w:rsidRDefault="00B951B1" w:rsidP="00CB78E6">
            <w:pPr>
              <w:spacing w:after="0"/>
              <w:jc w:val="right"/>
              <w:rPr>
                <w:rFonts w:eastAsia="Times New Roman" w:cs="Calibri"/>
                <w:color w:val="000000"/>
                <w:sz w:val="18"/>
                <w:szCs w:val="18"/>
              </w:rPr>
            </w:pPr>
            <w:r w:rsidRPr="00E61612">
              <w:rPr>
                <w:color w:val="000000"/>
                <w:sz w:val="20"/>
                <w:szCs w:val="20"/>
              </w:rPr>
              <w:t xml:space="preserve">                   -   </w:t>
            </w:r>
          </w:p>
        </w:tc>
        <w:tc>
          <w:tcPr>
            <w:tcW w:w="458" w:type="pct"/>
            <w:shd w:val="clear" w:color="auto" w:fill="FFFFFF"/>
            <w:noWrap/>
          </w:tcPr>
          <w:p w:rsidR="00B951B1" w:rsidRPr="00E61612" w:rsidRDefault="00B951B1" w:rsidP="00CB78E6">
            <w:pPr>
              <w:spacing w:after="0"/>
              <w:jc w:val="right"/>
              <w:rPr>
                <w:rFonts w:eastAsia="Times New Roman" w:cs="Calibri"/>
                <w:color w:val="000000"/>
                <w:sz w:val="18"/>
                <w:szCs w:val="18"/>
              </w:rPr>
            </w:pPr>
            <w:r w:rsidRPr="00E61612">
              <w:rPr>
                <w:color w:val="000000"/>
                <w:sz w:val="20"/>
                <w:szCs w:val="20"/>
              </w:rPr>
              <w:t>(61,200)</w:t>
            </w:r>
          </w:p>
        </w:tc>
      </w:tr>
      <w:tr w:rsidR="00B951B1" w:rsidRPr="00E61612" w:rsidTr="00CB78E6">
        <w:trPr>
          <w:trHeight w:val="20"/>
        </w:trPr>
        <w:tc>
          <w:tcPr>
            <w:tcW w:w="310" w:type="pct"/>
            <w:tcBorders>
              <w:bottom w:val="single" w:sz="4" w:space="0" w:color="auto"/>
            </w:tcBorders>
            <w:shd w:val="clear" w:color="auto" w:fill="FFFFFF"/>
          </w:tcPr>
          <w:p w:rsidR="00B951B1" w:rsidRPr="00E61612" w:rsidRDefault="00B951B1" w:rsidP="00CB78E6">
            <w:pPr>
              <w:spacing w:after="0"/>
              <w:jc w:val="center"/>
              <w:rPr>
                <w:rFonts w:eastAsia="Times New Roman" w:cs="Calibri"/>
                <w:b/>
                <w:bCs/>
                <w:color w:val="000000"/>
                <w:sz w:val="18"/>
                <w:szCs w:val="18"/>
              </w:rPr>
            </w:pPr>
            <w:r w:rsidRPr="00E61612">
              <w:rPr>
                <w:b/>
                <w:bCs/>
                <w:color w:val="000000"/>
                <w:sz w:val="20"/>
                <w:szCs w:val="20"/>
              </w:rPr>
              <w:t>C7.2.2</w:t>
            </w:r>
          </w:p>
        </w:tc>
        <w:tc>
          <w:tcPr>
            <w:tcW w:w="1002" w:type="pct"/>
            <w:tcBorders>
              <w:bottom w:val="single" w:sz="4" w:space="0" w:color="auto"/>
            </w:tcBorders>
            <w:shd w:val="clear" w:color="auto" w:fill="FFFFFF"/>
          </w:tcPr>
          <w:p w:rsidR="00B951B1" w:rsidRPr="00E61612" w:rsidRDefault="00B951B1" w:rsidP="00CB78E6">
            <w:pPr>
              <w:spacing w:after="0"/>
              <w:rPr>
                <w:rFonts w:eastAsia="Times New Roman" w:cs="Calibri"/>
                <w:sz w:val="18"/>
                <w:szCs w:val="18"/>
              </w:rPr>
            </w:pPr>
            <w:r w:rsidRPr="00E61612">
              <w:rPr>
                <w:sz w:val="20"/>
                <w:szCs w:val="20"/>
              </w:rPr>
              <w:t>Trajnim i stafit akademik për shfrytëzimin e platformave LMS</w:t>
            </w:r>
          </w:p>
        </w:tc>
        <w:tc>
          <w:tcPr>
            <w:tcW w:w="492" w:type="pct"/>
            <w:tcBorders>
              <w:bottom w:val="single" w:sz="4" w:space="0" w:color="auto"/>
            </w:tcBorders>
            <w:shd w:val="clear" w:color="auto" w:fill="FFFFFF"/>
          </w:tcPr>
          <w:p w:rsidR="00B951B1" w:rsidRPr="00E61612" w:rsidRDefault="00B951B1" w:rsidP="00CB78E6">
            <w:pPr>
              <w:spacing w:after="0"/>
              <w:jc w:val="center"/>
              <w:rPr>
                <w:rFonts w:eastAsia="Times New Roman" w:cs="Calibri"/>
                <w:color w:val="000000"/>
                <w:sz w:val="18"/>
                <w:szCs w:val="18"/>
              </w:rPr>
            </w:pPr>
            <w:r w:rsidRPr="00E61612">
              <w:rPr>
                <w:color w:val="000000"/>
                <w:sz w:val="20"/>
                <w:szCs w:val="20"/>
              </w:rPr>
              <w:t>IAL-të</w:t>
            </w:r>
          </w:p>
        </w:tc>
        <w:tc>
          <w:tcPr>
            <w:tcW w:w="494" w:type="pct"/>
            <w:tcBorders>
              <w:bottom w:val="single" w:sz="4" w:space="0" w:color="auto"/>
            </w:tcBorders>
            <w:shd w:val="clear" w:color="auto" w:fill="FFFFFF"/>
          </w:tcPr>
          <w:p w:rsidR="00B951B1" w:rsidRPr="00E61612" w:rsidRDefault="00B951B1" w:rsidP="00CB78E6">
            <w:pPr>
              <w:spacing w:after="0"/>
              <w:jc w:val="center"/>
              <w:rPr>
                <w:rFonts w:eastAsia="Times New Roman" w:cs="Calibri"/>
                <w:color w:val="000000"/>
                <w:sz w:val="18"/>
                <w:szCs w:val="18"/>
              </w:rPr>
            </w:pPr>
            <w:r w:rsidRPr="00E61612">
              <w:rPr>
                <w:color w:val="000000"/>
                <w:sz w:val="20"/>
                <w:szCs w:val="20"/>
              </w:rPr>
              <w:t>RASH</w:t>
            </w:r>
          </w:p>
        </w:tc>
        <w:tc>
          <w:tcPr>
            <w:tcW w:w="383" w:type="pct"/>
            <w:tcBorders>
              <w:bottom w:val="single" w:sz="4" w:space="0" w:color="auto"/>
            </w:tcBorders>
            <w:shd w:val="clear" w:color="auto" w:fill="FFFFFF"/>
          </w:tcPr>
          <w:p w:rsidR="00B951B1" w:rsidRPr="00E61612" w:rsidRDefault="00B951B1" w:rsidP="00CB78E6">
            <w:pPr>
              <w:spacing w:after="0"/>
              <w:jc w:val="center"/>
              <w:rPr>
                <w:rFonts w:eastAsia="Times New Roman" w:cs="Calibri"/>
                <w:color w:val="000000"/>
                <w:sz w:val="18"/>
                <w:szCs w:val="18"/>
              </w:rPr>
            </w:pPr>
            <w:r w:rsidRPr="00E61612">
              <w:rPr>
                <w:color w:val="000000"/>
                <w:sz w:val="20"/>
                <w:szCs w:val="20"/>
              </w:rPr>
              <w:t>TM1-2023</w:t>
            </w:r>
          </w:p>
        </w:tc>
        <w:tc>
          <w:tcPr>
            <w:tcW w:w="438" w:type="pct"/>
            <w:tcBorders>
              <w:bottom w:val="single" w:sz="4" w:space="0" w:color="auto"/>
            </w:tcBorders>
            <w:shd w:val="clear" w:color="auto" w:fill="FFFFFF"/>
          </w:tcPr>
          <w:p w:rsidR="00B951B1" w:rsidRPr="00E61612" w:rsidRDefault="00B951B1" w:rsidP="00CB78E6">
            <w:pPr>
              <w:spacing w:after="0"/>
              <w:jc w:val="center"/>
              <w:rPr>
                <w:rFonts w:eastAsia="Times New Roman" w:cs="Calibri"/>
                <w:color w:val="000000"/>
                <w:sz w:val="18"/>
                <w:szCs w:val="18"/>
              </w:rPr>
            </w:pPr>
            <w:r w:rsidRPr="00E61612">
              <w:rPr>
                <w:color w:val="000000"/>
                <w:sz w:val="20"/>
                <w:szCs w:val="20"/>
              </w:rPr>
              <w:t>TM4-2026</w:t>
            </w:r>
          </w:p>
        </w:tc>
        <w:tc>
          <w:tcPr>
            <w:tcW w:w="462" w:type="pct"/>
            <w:tcBorders>
              <w:bottom w:val="single" w:sz="4" w:space="0" w:color="auto"/>
            </w:tcBorders>
            <w:shd w:val="clear" w:color="auto" w:fill="FFFFFF"/>
            <w:noWrap/>
          </w:tcPr>
          <w:p w:rsidR="00B951B1" w:rsidRPr="00E61612" w:rsidRDefault="00B951B1" w:rsidP="00CB78E6">
            <w:pPr>
              <w:spacing w:after="0"/>
              <w:jc w:val="right"/>
              <w:rPr>
                <w:rFonts w:eastAsia="Times New Roman" w:cs="Calibri"/>
                <w:color w:val="000000"/>
                <w:sz w:val="18"/>
                <w:szCs w:val="18"/>
              </w:rPr>
            </w:pPr>
            <w:r w:rsidRPr="00E61612">
              <w:rPr>
                <w:color w:val="000000"/>
                <w:sz w:val="20"/>
                <w:szCs w:val="20"/>
              </w:rPr>
              <w:t>2,040</w:t>
            </w:r>
          </w:p>
        </w:tc>
        <w:tc>
          <w:tcPr>
            <w:tcW w:w="475" w:type="pct"/>
            <w:tcBorders>
              <w:bottom w:val="single" w:sz="4" w:space="0" w:color="auto"/>
            </w:tcBorders>
            <w:shd w:val="clear" w:color="auto" w:fill="FFFFFF"/>
            <w:noWrap/>
          </w:tcPr>
          <w:p w:rsidR="00B951B1" w:rsidRPr="00E61612" w:rsidRDefault="00B951B1" w:rsidP="00CB78E6">
            <w:pPr>
              <w:spacing w:after="0"/>
              <w:jc w:val="right"/>
              <w:rPr>
                <w:rFonts w:eastAsia="Times New Roman" w:cs="Calibri"/>
                <w:color w:val="000000"/>
                <w:sz w:val="18"/>
                <w:szCs w:val="18"/>
              </w:rPr>
            </w:pPr>
            <w:r w:rsidRPr="00E61612">
              <w:rPr>
                <w:color w:val="000000"/>
                <w:sz w:val="20"/>
                <w:szCs w:val="20"/>
              </w:rPr>
              <w:t>-</w:t>
            </w:r>
          </w:p>
        </w:tc>
        <w:tc>
          <w:tcPr>
            <w:tcW w:w="486" w:type="pct"/>
            <w:tcBorders>
              <w:bottom w:val="single" w:sz="4" w:space="0" w:color="auto"/>
            </w:tcBorders>
            <w:shd w:val="clear" w:color="auto" w:fill="FFFFFF"/>
            <w:noWrap/>
          </w:tcPr>
          <w:p w:rsidR="00B951B1" w:rsidRPr="00E61612" w:rsidRDefault="00B951B1" w:rsidP="00CB78E6">
            <w:pPr>
              <w:spacing w:after="0"/>
              <w:jc w:val="right"/>
              <w:rPr>
                <w:rFonts w:eastAsia="Times New Roman" w:cs="Calibri"/>
                <w:color w:val="000000"/>
                <w:sz w:val="18"/>
                <w:szCs w:val="18"/>
              </w:rPr>
            </w:pPr>
            <w:r w:rsidRPr="00E61612">
              <w:rPr>
                <w:color w:val="000000"/>
                <w:sz w:val="20"/>
                <w:szCs w:val="20"/>
              </w:rPr>
              <w:t xml:space="preserve">                   -   </w:t>
            </w:r>
          </w:p>
        </w:tc>
        <w:tc>
          <w:tcPr>
            <w:tcW w:w="458" w:type="pct"/>
            <w:tcBorders>
              <w:bottom w:val="single" w:sz="4" w:space="0" w:color="auto"/>
            </w:tcBorders>
            <w:shd w:val="clear" w:color="auto" w:fill="FFFFFF"/>
            <w:noWrap/>
          </w:tcPr>
          <w:p w:rsidR="00B951B1" w:rsidRPr="00E61612" w:rsidRDefault="00B951B1" w:rsidP="00CB78E6">
            <w:pPr>
              <w:spacing w:after="0"/>
              <w:jc w:val="right"/>
              <w:rPr>
                <w:rFonts w:eastAsia="Times New Roman" w:cs="Calibri"/>
                <w:color w:val="000000"/>
                <w:sz w:val="18"/>
                <w:szCs w:val="18"/>
              </w:rPr>
            </w:pPr>
            <w:r w:rsidRPr="00E61612">
              <w:rPr>
                <w:color w:val="000000"/>
                <w:sz w:val="20"/>
                <w:szCs w:val="20"/>
              </w:rPr>
              <w:t>(2,040)</w:t>
            </w:r>
          </w:p>
        </w:tc>
      </w:tr>
      <w:tr w:rsidR="00B951B1" w:rsidRPr="00E61612" w:rsidTr="00CB78E6">
        <w:trPr>
          <w:trHeight w:val="20"/>
        </w:trPr>
        <w:tc>
          <w:tcPr>
            <w:tcW w:w="310" w:type="pct"/>
            <w:shd w:val="clear" w:color="auto" w:fill="D9D9D9"/>
          </w:tcPr>
          <w:p w:rsidR="00B951B1" w:rsidRPr="00E61612" w:rsidRDefault="00B951B1" w:rsidP="00CB78E6">
            <w:pPr>
              <w:spacing w:after="0"/>
              <w:jc w:val="center"/>
              <w:rPr>
                <w:rFonts w:eastAsia="Times New Roman" w:cs="Calibri"/>
                <w:b/>
                <w:bCs/>
                <w:color w:val="000000"/>
                <w:sz w:val="18"/>
                <w:szCs w:val="18"/>
              </w:rPr>
            </w:pPr>
            <w:r w:rsidRPr="00E61612">
              <w:rPr>
                <w:b/>
                <w:bCs/>
                <w:color w:val="000000"/>
                <w:sz w:val="20"/>
                <w:szCs w:val="20"/>
              </w:rPr>
              <w:t>C7.3</w:t>
            </w:r>
          </w:p>
        </w:tc>
        <w:tc>
          <w:tcPr>
            <w:tcW w:w="1002" w:type="pct"/>
            <w:shd w:val="clear" w:color="auto" w:fill="D9D9D9"/>
          </w:tcPr>
          <w:p w:rsidR="00B951B1" w:rsidRPr="00E61612" w:rsidRDefault="00B951B1" w:rsidP="00CB78E6">
            <w:pPr>
              <w:spacing w:after="0"/>
              <w:rPr>
                <w:rFonts w:eastAsia="Times New Roman" w:cs="Calibri"/>
                <w:sz w:val="18"/>
                <w:szCs w:val="18"/>
              </w:rPr>
            </w:pPr>
            <w:r w:rsidRPr="00E61612">
              <w:rPr>
                <w:sz w:val="20"/>
                <w:szCs w:val="20"/>
              </w:rPr>
              <w:t>Ofrimi i shërbimeve digjitale cilësore për studentë</w:t>
            </w:r>
            <w:r>
              <w:rPr>
                <w:sz w:val="20"/>
                <w:szCs w:val="20"/>
              </w:rPr>
              <w:t>t</w:t>
            </w:r>
          </w:p>
        </w:tc>
        <w:tc>
          <w:tcPr>
            <w:tcW w:w="492" w:type="pct"/>
            <w:shd w:val="clear" w:color="auto" w:fill="D9D9D9"/>
          </w:tcPr>
          <w:p w:rsidR="00B951B1" w:rsidRPr="00E61612" w:rsidRDefault="00B951B1" w:rsidP="00CB78E6">
            <w:pPr>
              <w:spacing w:after="0"/>
              <w:jc w:val="center"/>
              <w:rPr>
                <w:rFonts w:eastAsia="Times New Roman" w:cs="Calibri"/>
                <w:color w:val="000000"/>
                <w:sz w:val="18"/>
                <w:szCs w:val="18"/>
              </w:rPr>
            </w:pPr>
            <w:r w:rsidRPr="00E61612">
              <w:rPr>
                <w:color w:val="000000"/>
                <w:sz w:val="20"/>
                <w:szCs w:val="20"/>
              </w:rPr>
              <w:t>RASH, MASR</w:t>
            </w:r>
          </w:p>
        </w:tc>
        <w:tc>
          <w:tcPr>
            <w:tcW w:w="494" w:type="pct"/>
            <w:shd w:val="clear" w:color="auto" w:fill="D9D9D9"/>
          </w:tcPr>
          <w:p w:rsidR="00B951B1" w:rsidRPr="00E61612" w:rsidRDefault="00B951B1" w:rsidP="00CB78E6">
            <w:pPr>
              <w:spacing w:after="0"/>
              <w:jc w:val="center"/>
              <w:rPr>
                <w:rFonts w:eastAsia="Times New Roman" w:cs="Calibri"/>
                <w:color w:val="000000"/>
                <w:sz w:val="18"/>
                <w:szCs w:val="18"/>
              </w:rPr>
            </w:pPr>
            <w:r w:rsidRPr="00E61612">
              <w:rPr>
                <w:color w:val="000000"/>
                <w:sz w:val="20"/>
                <w:szCs w:val="20"/>
              </w:rPr>
              <w:t>IAL-të</w:t>
            </w:r>
          </w:p>
        </w:tc>
        <w:tc>
          <w:tcPr>
            <w:tcW w:w="383" w:type="pct"/>
            <w:shd w:val="clear" w:color="auto" w:fill="D9D9D9"/>
          </w:tcPr>
          <w:p w:rsidR="00B951B1" w:rsidRPr="00E61612" w:rsidRDefault="00B951B1" w:rsidP="00CB78E6">
            <w:pPr>
              <w:spacing w:after="0"/>
              <w:jc w:val="center"/>
              <w:rPr>
                <w:rFonts w:eastAsia="Times New Roman" w:cs="Calibri"/>
                <w:color w:val="000000"/>
                <w:sz w:val="18"/>
                <w:szCs w:val="18"/>
              </w:rPr>
            </w:pPr>
            <w:r w:rsidRPr="00E61612">
              <w:rPr>
                <w:color w:val="000000"/>
                <w:sz w:val="20"/>
                <w:szCs w:val="20"/>
              </w:rPr>
              <w:t>TM1-2022</w:t>
            </w:r>
          </w:p>
        </w:tc>
        <w:tc>
          <w:tcPr>
            <w:tcW w:w="438" w:type="pct"/>
            <w:shd w:val="clear" w:color="auto" w:fill="D9D9D9"/>
          </w:tcPr>
          <w:p w:rsidR="00B951B1" w:rsidRPr="00E61612" w:rsidRDefault="00B951B1" w:rsidP="00CB78E6">
            <w:pPr>
              <w:spacing w:after="0"/>
              <w:jc w:val="center"/>
              <w:rPr>
                <w:rFonts w:eastAsia="Times New Roman" w:cs="Calibri"/>
                <w:color w:val="000000"/>
                <w:sz w:val="18"/>
                <w:szCs w:val="18"/>
              </w:rPr>
            </w:pPr>
            <w:r w:rsidRPr="00E61612">
              <w:rPr>
                <w:color w:val="000000"/>
                <w:sz w:val="20"/>
                <w:szCs w:val="20"/>
              </w:rPr>
              <w:t>TM4-2026</w:t>
            </w:r>
          </w:p>
        </w:tc>
        <w:tc>
          <w:tcPr>
            <w:tcW w:w="462" w:type="pct"/>
            <w:shd w:val="clear" w:color="auto" w:fill="D9D9D9"/>
            <w:noWrap/>
          </w:tcPr>
          <w:p w:rsidR="00B951B1" w:rsidRPr="00E61612" w:rsidRDefault="00B951B1" w:rsidP="00CB78E6">
            <w:pPr>
              <w:spacing w:after="0"/>
              <w:jc w:val="right"/>
              <w:rPr>
                <w:rFonts w:eastAsia="Times New Roman" w:cs="Calibri"/>
                <w:color w:val="000000"/>
                <w:sz w:val="18"/>
                <w:szCs w:val="18"/>
              </w:rPr>
            </w:pPr>
            <w:r w:rsidRPr="00E61612">
              <w:rPr>
                <w:color w:val="000000"/>
                <w:sz w:val="20"/>
                <w:szCs w:val="20"/>
              </w:rPr>
              <w:t>352,980</w:t>
            </w:r>
          </w:p>
        </w:tc>
        <w:tc>
          <w:tcPr>
            <w:tcW w:w="475" w:type="pct"/>
            <w:shd w:val="clear" w:color="auto" w:fill="D9D9D9"/>
            <w:noWrap/>
          </w:tcPr>
          <w:p w:rsidR="00B951B1" w:rsidRPr="00E61612" w:rsidRDefault="00B951B1" w:rsidP="00CB78E6">
            <w:pPr>
              <w:spacing w:after="0"/>
              <w:jc w:val="right"/>
              <w:rPr>
                <w:rFonts w:eastAsia="Times New Roman" w:cs="Calibri"/>
                <w:color w:val="000000"/>
                <w:sz w:val="18"/>
                <w:szCs w:val="18"/>
              </w:rPr>
            </w:pPr>
            <w:r w:rsidRPr="00E61612">
              <w:rPr>
                <w:color w:val="000000"/>
                <w:sz w:val="20"/>
                <w:szCs w:val="20"/>
              </w:rPr>
              <w:t>-</w:t>
            </w:r>
          </w:p>
        </w:tc>
        <w:tc>
          <w:tcPr>
            <w:tcW w:w="486" w:type="pct"/>
            <w:shd w:val="clear" w:color="auto" w:fill="D9D9D9"/>
            <w:noWrap/>
          </w:tcPr>
          <w:p w:rsidR="00B951B1" w:rsidRPr="00E61612" w:rsidRDefault="00B951B1" w:rsidP="00CB78E6">
            <w:pPr>
              <w:spacing w:after="0"/>
              <w:jc w:val="right"/>
              <w:rPr>
                <w:rFonts w:eastAsia="Times New Roman" w:cs="Calibri"/>
                <w:color w:val="000000"/>
                <w:sz w:val="18"/>
                <w:szCs w:val="18"/>
              </w:rPr>
            </w:pPr>
            <w:r w:rsidRPr="00E61612">
              <w:rPr>
                <w:color w:val="000000"/>
                <w:sz w:val="20"/>
                <w:szCs w:val="20"/>
              </w:rPr>
              <w:t xml:space="preserve">                   -   </w:t>
            </w:r>
          </w:p>
        </w:tc>
        <w:tc>
          <w:tcPr>
            <w:tcW w:w="458" w:type="pct"/>
            <w:shd w:val="clear" w:color="auto" w:fill="D9D9D9"/>
            <w:noWrap/>
          </w:tcPr>
          <w:p w:rsidR="00B951B1" w:rsidRPr="00E61612" w:rsidRDefault="00B951B1" w:rsidP="00CB78E6">
            <w:pPr>
              <w:spacing w:after="0"/>
              <w:jc w:val="right"/>
              <w:rPr>
                <w:rFonts w:eastAsia="Times New Roman" w:cs="Calibri"/>
                <w:color w:val="000000"/>
                <w:sz w:val="18"/>
                <w:szCs w:val="18"/>
              </w:rPr>
            </w:pPr>
            <w:r w:rsidRPr="00E61612">
              <w:rPr>
                <w:color w:val="000000"/>
                <w:sz w:val="20"/>
                <w:szCs w:val="20"/>
              </w:rPr>
              <w:t>(352,980)</w:t>
            </w:r>
          </w:p>
        </w:tc>
      </w:tr>
      <w:tr w:rsidR="00B951B1" w:rsidRPr="00E61612" w:rsidTr="00CB78E6">
        <w:trPr>
          <w:trHeight w:val="20"/>
        </w:trPr>
        <w:tc>
          <w:tcPr>
            <w:tcW w:w="310" w:type="pct"/>
            <w:shd w:val="clear" w:color="auto" w:fill="FFFFFF"/>
          </w:tcPr>
          <w:p w:rsidR="00B951B1" w:rsidRPr="00E61612" w:rsidRDefault="00B951B1" w:rsidP="00CB78E6">
            <w:pPr>
              <w:spacing w:after="0"/>
              <w:jc w:val="center"/>
              <w:rPr>
                <w:rFonts w:eastAsia="Times New Roman" w:cs="Calibri"/>
                <w:b/>
                <w:bCs/>
                <w:color w:val="000000"/>
                <w:sz w:val="18"/>
                <w:szCs w:val="18"/>
              </w:rPr>
            </w:pPr>
            <w:r w:rsidRPr="00E61612">
              <w:rPr>
                <w:b/>
                <w:bCs/>
                <w:color w:val="000000"/>
                <w:sz w:val="20"/>
                <w:szCs w:val="20"/>
              </w:rPr>
              <w:t>C7.3.1</w:t>
            </w:r>
          </w:p>
        </w:tc>
        <w:tc>
          <w:tcPr>
            <w:tcW w:w="1002" w:type="pct"/>
            <w:shd w:val="clear" w:color="auto" w:fill="FFFFFF"/>
          </w:tcPr>
          <w:p w:rsidR="00B951B1" w:rsidRPr="00E61612" w:rsidRDefault="00B951B1" w:rsidP="00CB78E6">
            <w:pPr>
              <w:spacing w:after="0"/>
              <w:rPr>
                <w:rFonts w:eastAsia="Times New Roman" w:cs="Calibri"/>
                <w:sz w:val="18"/>
                <w:szCs w:val="18"/>
              </w:rPr>
            </w:pPr>
            <w:r w:rsidRPr="00E61612">
              <w:rPr>
                <w:sz w:val="20"/>
                <w:szCs w:val="20"/>
              </w:rPr>
              <w:t>Sigurimi i aksesit në biblioteka digjitale</w:t>
            </w:r>
          </w:p>
        </w:tc>
        <w:tc>
          <w:tcPr>
            <w:tcW w:w="492" w:type="pct"/>
            <w:shd w:val="clear" w:color="auto" w:fill="FFFFFF"/>
          </w:tcPr>
          <w:p w:rsidR="00B951B1" w:rsidRPr="00E61612" w:rsidRDefault="00B951B1" w:rsidP="00CB78E6">
            <w:pPr>
              <w:spacing w:after="0"/>
              <w:jc w:val="center"/>
              <w:rPr>
                <w:rFonts w:eastAsia="Times New Roman" w:cs="Calibri"/>
                <w:color w:val="000000"/>
                <w:sz w:val="18"/>
                <w:szCs w:val="18"/>
              </w:rPr>
            </w:pPr>
            <w:r w:rsidRPr="00E61612">
              <w:rPr>
                <w:color w:val="000000"/>
                <w:sz w:val="20"/>
                <w:szCs w:val="20"/>
              </w:rPr>
              <w:t>RASH</w:t>
            </w:r>
          </w:p>
        </w:tc>
        <w:tc>
          <w:tcPr>
            <w:tcW w:w="494" w:type="pct"/>
            <w:shd w:val="clear" w:color="auto" w:fill="FFFFFF"/>
          </w:tcPr>
          <w:p w:rsidR="00B951B1" w:rsidRPr="00E61612" w:rsidRDefault="00B951B1" w:rsidP="00CB78E6">
            <w:pPr>
              <w:spacing w:after="0"/>
              <w:jc w:val="center"/>
              <w:rPr>
                <w:rFonts w:eastAsia="Times New Roman" w:cs="Calibri"/>
                <w:color w:val="000000"/>
                <w:sz w:val="18"/>
                <w:szCs w:val="18"/>
              </w:rPr>
            </w:pPr>
            <w:r w:rsidRPr="00E61612">
              <w:rPr>
                <w:color w:val="000000"/>
                <w:sz w:val="20"/>
                <w:szCs w:val="20"/>
              </w:rPr>
              <w:t>IAL-të</w:t>
            </w:r>
          </w:p>
        </w:tc>
        <w:tc>
          <w:tcPr>
            <w:tcW w:w="383" w:type="pct"/>
            <w:shd w:val="clear" w:color="auto" w:fill="FFFFFF"/>
          </w:tcPr>
          <w:p w:rsidR="00B951B1" w:rsidRPr="00E61612" w:rsidRDefault="00B951B1" w:rsidP="00CB78E6">
            <w:pPr>
              <w:spacing w:after="0"/>
              <w:jc w:val="center"/>
              <w:rPr>
                <w:rFonts w:eastAsia="Times New Roman" w:cs="Calibri"/>
                <w:color w:val="000000"/>
                <w:sz w:val="18"/>
                <w:szCs w:val="18"/>
              </w:rPr>
            </w:pPr>
            <w:r w:rsidRPr="00E61612">
              <w:rPr>
                <w:color w:val="000000"/>
                <w:sz w:val="20"/>
                <w:szCs w:val="20"/>
              </w:rPr>
              <w:t>TM1-2022</w:t>
            </w:r>
          </w:p>
        </w:tc>
        <w:tc>
          <w:tcPr>
            <w:tcW w:w="438" w:type="pct"/>
            <w:shd w:val="clear" w:color="auto" w:fill="FFFFFF"/>
          </w:tcPr>
          <w:p w:rsidR="00B951B1" w:rsidRPr="00E61612" w:rsidRDefault="00B951B1" w:rsidP="00CB78E6">
            <w:pPr>
              <w:spacing w:after="0"/>
              <w:jc w:val="center"/>
              <w:rPr>
                <w:rFonts w:eastAsia="Times New Roman" w:cs="Calibri"/>
                <w:color w:val="000000"/>
                <w:sz w:val="18"/>
                <w:szCs w:val="18"/>
              </w:rPr>
            </w:pPr>
            <w:r w:rsidRPr="00E61612">
              <w:rPr>
                <w:color w:val="000000"/>
                <w:sz w:val="20"/>
                <w:szCs w:val="20"/>
              </w:rPr>
              <w:t>TM4-2026</w:t>
            </w:r>
          </w:p>
        </w:tc>
        <w:tc>
          <w:tcPr>
            <w:tcW w:w="462" w:type="pct"/>
            <w:shd w:val="clear" w:color="auto" w:fill="FFFFFF"/>
            <w:noWrap/>
          </w:tcPr>
          <w:p w:rsidR="00B951B1" w:rsidRPr="00E61612" w:rsidRDefault="00B951B1" w:rsidP="00CB78E6">
            <w:pPr>
              <w:spacing w:after="0"/>
              <w:jc w:val="right"/>
              <w:rPr>
                <w:rFonts w:eastAsia="Times New Roman" w:cs="Calibri"/>
                <w:color w:val="000000"/>
                <w:sz w:val="18"/>
                <w:szCs w:val="18"/>
              </w:rPr>
            </w:pPr>
            <w:r w:rsidRPr="00E61612">
              <w:rPr>
                <w:color w:val="000000"/>
                <w:sz w:val="20"/>
                <w:szCs w:val="20"/>
              </w:rPr>
              <w:t>127,500</w:t>
            </w:r>
          </w:p>
        </w:tc>
        <w:tc>
          <w:tcPr>
            <w:tcW w:w="475" w:type="pct"/>
            <w:shd w:val="clear" w:color="auto" w:fill="FFFFFF"/>
            <w:noWrap/>
          </w:tcPr>
          <w:p w:rsidR="00B951B1" w:rsidRPr="00E61612" w:rsidRDefault="00B951B1" w:rsidP="00CB78E6">
            <w:pPr>
              <w:spacing w:after="0"/>
              <w:jc w:val="right"/>
              <w:rPr>
                <w:rFonts w:eastAsia="Times New Roman" w:cs="Calibri"/>
                <w:color w:val="000000"/>
                <w:sz w:val="18"/>
                <w:szCs w:val="18"/>
              </w:rPr>
            </w:pPr>
            <w:r w:rsidRPr="00E61612">
              <w:rPr>
                <w:color w:val="000000"/>
                <w:sz w:val="20"/>
                <w:szCs w:val="20"/>
              </w:rPr>
              <w:t>-</w:t>
            </w:r>
          </w:p>
        </w:tc>
        <w:tc>
          <w:tcPr>
            <w:tcW w:w="486" w:type="pct"/>
            <w:shd w:val="clear" w:color="auto" w:fill="FFFFFF"/>
            <w:noWrap/>
          </w:tcPr>
          <w:p w:rsidR="00B951B1" w:rsidRPr="00E61612" w:rsidRDefault="00B951B1" w:rsidP="00CB78E6">
            <w:pPr>
              <w:spacing w:after="0"/>
              <w:jc w:val="right"/>
              <w:rPr>
                <w:rFonts w:eastAsia="Times New Roman" w:cs="Calibri"/>
                <w:color w:val="000000"/>
                <w:sz w:val="18"/>
                <w:szCs w:val="18"/>
              </w:rPr>
            </w:pPr>
            <w:r w:rsidRPr="00E61612">
              <w:rPr>
                <w:color w:val="000000"/>
                <w:sz w:val="20"/>
                <w:szCs w:val="20"/>
              </w:rPr>
              <w:t xml:space="preserve">                   -   </w:t>
            </w:r>
          </w:p>
        </w:tc>
        <w:tc>
          <w:tcPr>
            <w:tcW w:w="458" w:type="pct"/>
            <w:shd w:val="clear" w:color="auto" w:fill="FFFFFF"/>
            <w:noWrap/>
          </w:tcPr>
          <w:p w:rsidR="00B951B1" w:rsidRPr="00E61612" w:rsidRDefault="00B951B1" w:rsidP="00CB78E6">
            <w:pPr>
              <w:spacing w:after="0"/>
              <w:jc w:val="right"/>
              <w:rPr>
                <w:rFonts w:eastAsia="Times New Roman" w:cs="Calibri"/>
                <w:color w:val="000000"/>
                <w:sz w:val="18"/>
                <w:szCs w:val="18"/>
              </w:rPr>
            </w:pPr>
            <w:r w:rsidRPr="00E61612">
              <w:rPr>
                <w:color w:val="000000"/>
                <w:sz w:val="20"/>
                <w:szCs w:val="20"/>
              </w:rPr>
              <w:t>(127,500)</w:t>
            </w:r>
          </w:p>
        </w:tc>
      </w:tr>
      <w:tr w:rsidR="00B951B1" w:rsidRPr="00E61612" w:rsidTr="00CB78E6">
        <w:trPr>
          <w:trHeight w:val="20"/>
        </w:trPr>
        <w:tc>
          <w:tcPr>
            <w:tcW w:w="310" w:type="pct"/>
            <w:shd w:val="clear" w:color="auto" w:fill="FFFFFF"/>
          </w:tcPr>
          <w:p w:rsidR="00B951B1" w:rsidRPr="00E61612" w:rsidRDefault="00B951B1" w:rsidP="00CB78E6">
            <w:pPr>
              <w:spacing w:after="0"/>
              <w:jc w:val="center"/>
              <w:rPr>
                <w:rFonts w:eastAsia="Times New Roman" w:cs="Calibri"/>
                <w:b/>
                <w:bCs/>
                <w:color w:val="000000"/>
                <w:sz w:val="18"/>
                <w:szCs w:val="18"/>
              </w:rPr>
            </w:pPr>
            <w:r w:rsidRPr="00E61612">
              <w:rPr>
                <w:b/>
                <w:bCs/>
                <w:color w:val="000000"/>
                <w:sz w:val="20"/>
                <w:szCs w:val="20"/>
              </w:rPr>
              <w:t>C7.3.2</w:t>
            </w:r>
          </w:p>
        </w:tc>
        <w:tc>
          <w:tcPr>
            <w:tcW w:w="1002" w:type="pct"/>
            <w:shd w:val="clear" w:color="auto" w:fill="FFFFFF"/>
          </w:tcPr>
          <w:p w:rsidR="00B951B1" w:rsidRPr="00E61612" w:rsidRDefault="00B951B1" w:rsidP="00CB78E6">
            <w:pPr>
              <w:spacing w:after="0"/>
              <w:rPr>
                <w:rFonts w:eastAsia="Times New Roman" w:cs="Calibri"/>
                <w:sz w:val="18"/>
                <w:szCs w:val="18"/>
              </w:rPr>
            </w:pPr>
            <w:r w:rsidRPr="00E61612">
              <w:rPr>
                <w:sz w:val="20"/>
                <w:szCs w:val="20"/>
              </w:rPr>
              <w:t>Mbështetje për studentët për blerjen e pajisjeve personale</w:t>
            </w:r>
          </w:p>
        </w:tc>
        <w:tc>
          <w:tcPr>
            <w:tcW w:w="492" w:type="pct"/>
            <w:shd w:val="clear" w:color="auto" w:fill="FFFFFF"/>
          </w:tcPr>
          <w:p w:rsidR="00B951B1" w:rsidRPr="00E61612" w:rsidRDefault="00B951B1" w:rsidP="00CB78E6">
            <w:pPr>
              <w:spacing w:after="0"/>
              <w:jc w:val="center"/>
              <w:rPr>
                <w:rFonts w:eastAsia="Times New Roman" w:cs="Calibri"/>
                <w:color w:val="000000"/>
                <w:sz w:val="18"/>
                <w:szCs w:val="18"/>
              </w:rPr>
            </w:pPr>
            <w:r w:rsidRPr="00E61612">
              <w:rPr>
                <w:color w:val="000000"/>
                <w:sz w:val="20"/>
                <w:szCs w:val="20"/>
              </w:rPr>
              <w:t>MASR</w:t>
            </w:r>
          </w:p>
        </w:tc>
        <w:tc>
          <w:tcPr>
            <w:tcW w:w="494" w:type="pct"/>
            <w:shd w:val="clear" w:color="auto" w:fill="FFFFFF"/>
          </w:tcPr>
          <w:p w:rsidR="00B951B1" w:rsidRPr="00E61612" w:rsidRDefault="00B951B1" w:rsidP="00CB78E6">
            <w:pPr>
              <w:spacing w:after="0"/>
              <w:jc w:val="center"/>
              <w:rPr>
                <w:rFonts w:eastAsia="Times New Roman" w:cs="Calibri"/>
                <w:color w:val="000000"/>
                <w:sz w:val="18"/>
                <w:szCs w:val="18"/>
              </w:rPr>
            </w:pPr>
            <w:r w:rsidRPr="00E61612">
              <w:rPr>
                <w:color w:val="000000"/>
                <w:sz w:val="20"/>
                <w:szCs w:val="20"/>
              </w:rPr>
              <w:t>IAL-të</w:t>
            </w:r>
          </w:p>
        </w:tc>
        <w:tc>
          <w:tcPr>
            <w:tcW w:w="383" w:type="pct"/>
            <w:shd w:val="clear" w:color="auto" w:fill="FFFFFF"/>
          </w:tcPr>
          <w:p w:rsidR="00B951B1" w:rsidRPr="00E61612" w:rsidRDefault="00B951B1" w:rsidP="00CB78E6">
            <w:pPr>
              <w:spacing w:after="0"/>
              <w:jc w:val="center"/>
              <w:rPr>
                <w:rFonts w:eastAsia="Times New Roman" w:cs="Calibri"/>
                <w:color w:val="000000"/>
                <w:sz w:val="18"/>
                <w:szCs w:val="18"/>
              </w:rPr>
            </w:pPr>
            <w:r w:rsidRPr="00E61612">
              <w:rPr>
                <w:color w:val="000000"/>
                <w:sz w:val="20"/>
                <w:szCs w:val="20"/>
              </w:rPr>
              <w:t>TM1-2022</w:t>
            </w:r>
          </w:p>
        </w:tc>
        <w:tc>
          <w:tcPr>
            <w:tcW w:w="438" w:type="pct"/>
            <w:shd w:val="clear" w:color="auto" w:fill="FFFFFF"/>
          </w:tcPr>
          <w:p w:rsidR="00B951B1" w:rsidRPr="00E61612" w:rsidRDefault="00B951B1" w:rsidP="00CB78E6">
            <w:pPr>
              <w:spacing w:after="0"/>
              <w:jc w:val="center"/>
              <w:rPr>
                <w:rFonts w:eastAsia="Times New Roman" w:cs="Calibri"/>
                <w:color w:val="000000"/>
                <w:sz w:val="18"/>
                <w:szCs w:val="18"/>
              </w:rPr>
            </w:pPr>
            <w:r w:rsidRPr="00E61612">
              <w:rPr>
                <w:color w:val="000000"/>
                <w:sz w:val="20"/>
                <w:szCs w:val="20"/>
              </w:rPr>
              <w:t>TM3-2022</w:t>
            </w:r>
          </w:p>
        </w:tc>
        <w:tc>
          <w:tcPr>
            <w:tcW w:w="462" w:type="pct"/>
            <w:shd w:val="clear" w:color="auto" w:fill="FFFFFF"/>
            <w:noWrap/>
          </w:tcPr>
          <w:p w:rsidR="00B951B1" w:rsidRPr="00E61612" w:rsidRDefault="00B951B1" w:rsidP="00CB78E6">
            <w:pPr>
              <w:spacing w:after="0"/>
              <w:jc w:val="right"/>
              <w:rPr>
                <w:rFonts w:eastAsia="Times New Roman" w:cs="Calibri"/>
                <w:color w:val="000000"/>
                <w:sz w:val="18"/>
                <w:szCs w:val="18"/>
              </w:rPr>
            </w:pPr>
            <w:r w:rsidRPr="00E61612">
              <w:rPr>
                <w:color w:val="000000"/>
                <w:sz w:val="20"/>
                <w:szCs w:val="20"/>
              </w:rPr>
              <w:t>480</w:t>
            </w:r>
          </w:p>
        </w:tc>
        <w:tc>
          <w:tcPr>
            <w:tcW w:w="475" w:type="pct"/>
            <w:shd w:val="clear" w:color="auto" w:fill="FFFFFF"/>
            <w:noWrap/>
          </w:tcPr>
          <w:p w:rsidR="00B951B1" w:rsidRPr="00E61612" w:rsidRDefault="00B951B1" w:rsidP="00CB78E6">
            <w:pPr>
              <w:spacing w:after="0"/>
              <w:jc w:val="right"/>
              <w:rPr>
                <w:rFonts w:eastAsia="Times New Roman" w:cs="Calibri"/>
                <w:color w:val="000000"/>
                <w:sz w:val="18"/>
                <w:szCs w:val="18"/>
              </w:rPr>
            </w:pPr>
            <w:r w:rsidRPr="00E61612">
              <w:rPr>
                <w:color w:val="000000"/>
                <w:sz w:val="20"/>
                <w:szCs w:val="20"/>
              </w:rPr>
              <w:t>-</w:t>
            </w:r>
          </w:p>
        </w:tc>
        <w:tc>
          <w:tcPr>
            <w:tcW w:w="486" w:type="pct"/>
            <w:shd w:val="clear" w:color="auto" w:fill="FFFFFF"/>
            <w:noWrap/>
          </w:tcPr>
          <w:p w:rsidR="00B951B1" w:rsidRPr="00E61612" w:rsidRDefault="00B951B1" w:rsidP="00CB78E6">
            <w:pPr>
              <w:spacing w:after="0"/>
              <w:jc w:val="right"/>
              <w:rPr>
                <w:rFonts w:eastAsia="Times New Roman" w:cs="Calibri"/>
                <w:color w:val="000000"/>
                <w:sz w:val="18"/>
                <w:szCs w:val="18"/>
              </w:rPr>
            </w:pPr>
            <w:r w:rsidRPr="00E61612">
              <w:rPr>
                <w:color w:val="000000"/>
                <w:sz w:val="20"/>
                <w:szCs w:val="20"/>
              </w:rPr>
              <w:t xml:space="preserve">                   -   </w:t>
            </w:r>
          </w:p>
        </w:tc>
        <w:tc>
          <w:tcPr>
            <w:tcW w:w="458" w:type="pct"/>
            <w:shd w:val="clear" w:color="auto" w:fill="FFFFFF"/>
            <w:noWrap/>
          </w:tcPr>
          <w:p w:rsidR="00B951B1" w:rsidRPr="00E61612" w:rsidRDefault="00B951B1" w:rsidP="00CB78E6">
            <w:pPr>
              <w:spacing w:after="0"/>
              <w:jc w:val="right"/>
              <w:rPr>
                <w:rFonts w:eastAsia="Times New Roman" w:cs="Calibri"/>
                <w:color w:val="000000"/>
                <w:sz w:val="18"/>
                <w:szCs w:val="18"/>
              </w:rPr>
            </w:pPr>
            <w:r w:rsidRPr="00E61612">
              <w:rPr>
                <w:color w:val="000000"/>
                <w:sz w:val="20"/>
                <w:szCs w:val="20"/>
              </w:rPr>
              <w:t>(480)</w:t>
            </w:r>
          </w:p>
        </w:tc>
      </w:tr>
      <w:tr w:rsidR="00B951B1" w:rsidRPr="00E61612" w:rsidTr="00CB78E6">
        <w:trPr>
          <w:trHeight w:val="20"/>
        </w:trPr>
        <w:tc>
          <w:tcPr>
            <w:tcW w:w="310" w:type="pct"/>
            <w:shd w:val="clear" w:color="auto" w:fill="FFFFFF"/>
          </w:tcPr>
          <w:p w:rsidR="00B951B1" w:rsidRPr="00E61612" w:rsidRDefault="00B951B1" w:rsidP="00CB78E6">
            <w:pPr>
              <w:spacing w:after="0"/>
              <w:jc w:val="center"/>
              <w:rPr>
                <w:rFonts w:eastAsia="Times New Roman" w:cs="Calibri"/>
                <w:b/>
                <w:bCs/>
                <w:color w:val="000000"/>
                <w:sz w:val="18"/>
                <w:szCs w:val="18"/>
              </w:rPr>
            </w:pPr>
            <w:r w:rsidRPr="00E61612">
              <w:rPr>
                <w:b/>
                <w:bCs/>
                <w:color w:val="000000"/>
                <w:sz w:val="20"/>
                <w:szCs w:val="20"/>
              </w:rPr>
              <w:t>C7.3.3</w:t>
            </w:r>
          </w:p>
        </w:tc>
        <w:tc>
          <w:tcPr>
            <w:tcW w:w="1002" w:type="pct"/>
            <w:shd w:val="clear" w:color="auto" w:fill="FFFFFF"/>
          </w:tcPr>
          <w:p w:rsidR="00B951B1" w:rsidRPr="00E61612" w:rsidRDefault="00B951B1" w:rsidP="00CB78E6">
            <w:pPr>
              <w:spacing w:after="0"/>
              <w:rPr>
                <w:rFonts w:eastAsia="Times New Roman" w:cs="Calibri"/>
                <w:sz w:val="18"/>
                <w:szCs w:val="18"/>
              </w:rPr>
            </w:pPr>
            <w:r w:rsidRPr="00E61612">
              <w:rPr>
                <w:sz w:val="20"/>
                <w:szCs w:val="20"/>
              </w:rPr>
              <w:t>Digjitalizimi i sekretarive në të gjitha IAL-të publike</w:t>
            </w:r>
          </w:p>
        </w:tc>
        <w:tc>
          <w:tcPr>
            <w:tcW w:w="492" w:type="pct"/>
            <w:shd w:val="clear" w:color="auto" w:fill="FFFFFF"/>
          </w:tcPr>
          <w:p w:rsidR="00B951B1" w:rsidRPr="00E61612" w:rsidRDefault="00B951B1" w:rsidP="00CB78E6">
            <w:pPr>
              <w:spacing w:after="0"/>
              <w:jc w:val="center"/>
              <w:rPr>
                <w:rFonts w:eastAsia="Times New Roman" w:cs="Calibri"/>
                <w:color w:val="000000"/>
                <w:sz w:val="18"/>
                <w:szCs w:val="18"/>
              </w:rPr>
            </w:pPr>
            <w:r w:rsidRPr="00E61612">
              <w:rPr>
                <w:color w:val="000000"/>
                <w:sz w:val="20"/>
                <w:szCs w:val="20"/>
              </w:rPr>
              <w:t>RASH</w:t>
            </w:r>
          </w:p>
        </w:tc>
        <w:tc>
          <w:tcPr>
            <w:tcW w:w="494" w:type="pct"/>
            <w:shd w:val="clear" w:color="auto" w:fill="FFFFFF"/>
          </w:tcPr>
          <w:p w:rsidR="00B951B1" w:rsidRPr="00E61612" w:rsidRDefault="00B951B1" w:rsidP="00CB78E6">
            <w:pPr>
              <w:spacing w:after="0"/>
              <w:jc w:val="center"/>
              <w:rPr>
                <w:rFonts w:eastAsia="Times New Roman" w:cs="Calibri"/>
                <w:color w:val="000000"/>
                <w:sz w:val="18"/>
                <w:szCs w:val="18"/>
              </w:rPr>
            </w:pPr>
            <w:r w:rsidRPr="00E61612">
              <w:rPr>
                <w:color w:val="000000"/>
                <w:sz w:val="20"/>
                <w:szCs w:val="20"/>
              </w:rPr>
              <w:t>IAL-të</w:t>
            </w:r>
          </w:p>
        </w:tc>
        <w:tc>
          <w:tcPr>
            <w:tcW w:w="383" w:type="pct"/>
            <w:shd w:val="clear" w:color="auto" w:fill="FFFFFF"/>
          </w:tcPr>
          <w:p w:rsidR="00B951B1" w:rsidRPr="00E61612" w:rsidRDefault="00B951B1" w:rsidP="00CB78E6">
            <w:pPr>
              <w:spacing w:after="0"/>
              <w:jc w:val="center"/>
              <w:rPr>
                <w:rFonts w:eastAsia="Times New Roman" w:cs="Calibri"/>
                <w:color w:val="000000"/>
                <w:sz w:val="18"/>
                <w:szCs w:val="18"/>
              </w:rPr>
            </w:pPr>
            <w:r w:rsidRPr="00E61612">
              <w:rPr>
                <w:color w:val="000000"/>
                <w:sz w:val="20"/>
                <w:szCs w:val="20"/>
              </w:rPr>
              <w:t>TM1-2023</w:t>
            </w:r>
          </w:p>
        </w:tc>
        <w:tc>
          <w:tcPr>
            <w:tcW w:w="438" w:type="pct"/>
            <w:shd w:val="clear" w:color="auto" w:fill="FFFFFF"/>
          </w:tcPr>
          <w:p w:rsidR="00B951B1" w:rsidRPr="00E61612" w:rsidRDefault="00B951B1" w:rsidP="00CB78E6">
            <w:pPr>
              <w:spacing w:after="0"/>
              <w:jc w:val="center"/>
              <w:rPr>
                <w:rFonts w:eastAsia="Times New Roman" w:cs="Calibri"/>
                <w:color w:val="000000"/>
                <w:sz w:val="18"/>
                <w:szCs w:val="18"/>
              </w:rPr>
            </w:pPr>
            <w:r w:rsidRPr="00E61612">
              <w:rPr>
                <w:color w:val="000000"/>
                <w:sz w:val="20"/>
                <w:szCs w:val="20"/>
              </w:rPr>
              <w:t>TM4-2026</w:t>
            </w:r>
          </w:p>
        </w:tc>
        <w:tc>
          <w:tcPr>
            <w:tcW w:w="462" w:type="pct"/>
            <w:tcBorders>
              <w:bottom w:val="single" w:sz="4" w:space="0" w:color="auto"/>
            </w:tcBorders>
            <w:shd w:val="clear" w:color="auto" w:fill="FFFFFF"/>
            <w:noWrap/>
          </w:tcPr>
          <w:p w:rsidR="00B951B1" w:rsidRPr="00E61612" w:rsidRDefault="00B951B1" w:rsidP="00CB78E6">
            <w:pPr>
              <w:spacing w:after="0"/>
              <w:jc w:val="right"/>
              <w:rPr>
                <w:rFonts w:eastAsia="Times New Roman" w:cs="Calibri"/>
                <w:color w:val="000000"/>
                <w:sz w:val="18"/>
                <w:szCs w:val="18"/>
              </w:rPr>
            </w:pPr>
            <w:r w:rsidRPr="00E61612">
              <w:rPr>
                <w:color w:val="000000"/>
                <w:sz w:val="20"/>
                <w:szCs w:val="20"/>
              </w:rPr>
              <w:t>225,000</w:t>
            </w:r>
          </w:p>
        </w:tc>
        <w:tc>
          <w:tcPr>
            <w:tcW w:w="475" w:type="pct"/>
            <w:tcBorders>
              <w:bottom w:val="single" w:sz="4" w:space="0" w:color="auto"/>
            </w:tcBorders>
            <w:shd w:val="clear" w:color="auto" w:fill="FFFFFF"/>
            <w:noWrap/>
          </w:tcPr>
          <w:p w:rsidR="00B951B1" w:rsidRPr="00E61612" w:rsidRDefault="00B951B1" w:rsidP="00CB78E6">
            <w:pPr>
              <w:spacing w:after="0"/>
              <w:jc w:val="right"/>
              <w:rPr>
                <w:rFonts w:eastAsia="Times New Roman" w:cs="Calibri"/>
                <w:color w:val="000000"/>
                <w:sz w:val="18"/>
                <w:szCs w:val="18"/>
              </w:rPr>
            </w:pPr>
            <w:r w:rsidRPr="00E61612">
              <w:rPr>
                <w:color w:val="000000"/>
                <w:sz w:val="20"/>
                <w:szCs w:val="20"/>
              </w:rPr>
              <w:t>-</w:t>
            </w:r>
          </w:p>
        </w:tc>
        <w:tc>
          <w:tcPr>
            <w:tcW w:w="486" w:type="pct"/>
            <w:tcBorders>
              <w:bottom w:val="single" w:sz="4" w:space="0" w:color="auto"/>
            </w:tcBorders>
            <w:shd w:val="clear" w:color="auto" w:fill="FFFFFF"/>
            <w:noWrap/>
          </w:tcPr>
          <w:p w:rsidR="00B951B1" w:rsidRPr="00E61612" w:rsidRDefault="00B951B1" w:rsidP="00CB78E6">
            <w:pPr>
              <w:spacing w:after="0"/>
              <w:jc w:val="right"/>
              <w:rPr>
                <w:rFonts w:eastAsia="Times New Roman" w:cs="Calibri"/>
                <w:color w:val="000000"/>
                <w:sz w:val="18"/>
                <w:szCs w:val="18"/>
              </w:rPr>
            </w:pPr>
            <w:r w:rsidRPr="00E61612">
              <w:rPr>
                <w:color w:val="000000"/>
                <w:sz w:val="20"/>
                <w:szCs w:val="20"/>
              </w:rPr>
              <w:t xml:space="preserve">                   -   </w:t>
            </w:r>
          </w:p>
        </w:tc>
        <w:tc>
          <w:tcPr>
            <w:tcW w:w="458" w:type="pct"/>
            <w:tcBorders>
              <w:bottom w:val="single" w:sz="4" w:space="0" w:color="auto"/>
            </w:tcBorders>
            <w:shd w:val="clear" w:color="auto" w:fill="FFFFFF"/>
            <w:noWrap/>
          </w:tcPr>
          <w:p w:rsidR="00B951B1" w:rsidRPr="00E61612" w:rsidRDefault="00B951B1" w:rsidP="00CB78E6">
            <w:pPr>
              <w:spacing w:after="0"/>
              <w:jc w:val="right"/>
              <w:rPr>
                <w:rFonts w:eastAsia="Times New Roman" w:cs="Calibri"/>
                <w:color w:val="000000"/>
                <w:sz w:val="18"/>
                <w:szCs w:val="18"/>
              </w:rPr>
            </w:pPr>
            <w:r w:rsidRPr="00E61612">
              <w:rPr>
                <w:color w:val="000000"/>
                <w:sz w:val="20"/>
                <w:szCs w:val="20"/>
              </w:rPr>
              <w:t>(225,000)</w:t>
            </w:r>
          </w:p>
        </w:tc>
      </w:tr>
      <w:tr w:rsidR="00B951B1" w:rsidRPr="00E61612" w:rsidTr="00CB78E6">
        <w:trPr>
          <w:trHeight w:val="298"/>
        </w:trPr>
        <w:tc>
          <w:tcPr>
            <w:tcW w:w="3119" w:type="pct"/>
            <w:gridSpan w:val="6"/>
            <w:shd w:val="clear" w:color="000000" w:fill="C9C9C9"/>
            <w:hideMark/>
          </w:tcPr>
          <w:p w:rsidR="00B951B1" w:rsidRPr="00E61612" w:rsidRDefault="00B951B1" w:rsidP="00CB78E6">
            <w:pPr>
              <w:spacing w:after="0"/>
              <w:jc w:val="right"/>
              <w:rPr>
                <w:rFonts w:eastAsia="Times New Roman" w:cs="Calibri"/>
                <w:b/>
                <w:bCs/>
                <w:color w:val="000000"/>
                <w:sz w:val="18"/>
                <w:szCs w:val="18"/>
              </w:rPr>
            </w:pPr>
            <w:r w:rsidRPr="00E61612">
              <w:rPr>
                <w:rFonts w:eastAsia="Times New Roman" w:cs="Calibri"/>
                <w:b/>
                <w:bCs/>
                <w:color w:val="000000"/>
                <w:sz w:val="18"/>
                <w:szCs w:val="18"/>
              </w:rPr>
              <w:t xml:space="preserve">TOTALI Qëllimi i politikës C: </w:t>
            </w:r>
          </w:p>
        </w:tc>
        <w:tc>
          <w:tcPr>
            <w:tcW w:w="462" w:type="pct"/>
            <w:shd w:val="clear" w:color="auto" w:fill="BFBFBF"/>
            <w:noWrap/>
            <w:hideMark/>
          </w:tcPr>
          <w:p w:rsidR="00B951B1" w:rsidRPr="00E61612" w:rsidRDefault="00B951B1" w:rsidP="00CB78E6">
            <w:pPr>
              <w:spacing w:after="0"/>
              <w:jc w:val="right"/>
              <w:rPr>
                <w:rFonts w:eastAsia="Times New Roman" w:cs="Calibri"/>
                <w:b/>
                <w:bCs/>
                <w:sz w:val="18"/>
                <w:szCs w:val="18"/>
              </w:rPr>
            </w:pPr>
            <w:r w:rsidRPr="00E61612">
              <w:rPr>
                <w:b/>
                <w:bCs/>
                <w:sz w:val="20"/>
                <w:szCs w:val="20"/>
              </w:rPr>
              <w:t>15,171,397</w:t>
            </w:r>
          </w:p>
        </w:tc>
        <w:tc>
          <w:tcPr>
            <w:tcW w:w="475" w:type="pct"/>
            <w:shd w:val="clear" w:color="auto" w:fill="BFBFBF"/>
            <w:noWrap/>
            <w:hideMark/>
          </w:tcPr>
          <w:p w:rsidR="00B951B1" w:rsidRPr="00E61612" w:rsidRDefault="00B951B1" w:rsidP="00CB78E6">
            <w:pPr>
              <w:spacing w:after="0"/>
              <w:jc w:val="right"/>
              <w:rPr>
                <w:rFonts w:eastAsia="Times New Roman" w:cs="Calibri"/>
                <w:b/>
                <w:color w:val="000000"/>
                <w:sz w:val="18"/>
                <w:szCs w:val="18"/>
              </w:rPr>
            </w:pPr>
            <w:r w:rsidRPr="00E61612">
              <w:rPr>
                <w:b/>
                <w:color w:val="000000"/>
                <w:sz w:val="20"/>
                <w:szCs w:val="20"/>
              </w:rPr>
              <w:t>14,643,648</w:t>
            </w:r>
          </w:p>
        </w:tc>
        <w:tc>
          <w:tcPr>
            <w:tcW w:w="486" w:type="pct"/>
            <w:shd w:val="clear" w:color="auto" w:fill="BFBFBF"/>
            <w:noWrap/>
            <w:hideMark/>
          </w:tcPr>
          <w:p w:rsidR="00B951B1" w:rsidRPr="00E61612" w:rsidRDefault="00B951B1" w:rsidP="00CB78E6">
            <w:pPr>
              <w:spacing w:after="0"/>
              <w:jc w:val="right"/>
              <w:rPr>
                <w:rFonts w:eastAsia="Times New Roman" w:cs="Calibri"/>
                <w:b/>
                <w:color w:val="000000"/>
                <w:sz w:val="18"/>
                <w:szCs w:val="18"/>
              </w:rPr>
            </w:pPr>
            <w:r w:rsidRPr="00E61612">
              <w:rPr>
                <w:b/>
                <w:color w:val="000000"/>
                <w:sz w:val="20"/>
                <w:szCs w:val="20"/>
              </w:rPr>
              <w:t>24,772</w:t>
            </w:r>
          </w:p>
        </w:tc>
        <w:tc>
          <w:tcPr>
            <w:tcW w:w="458" w:type="pct"/>
            <w:shd w:val="clear" w:color="auto" w:fill="BFBFBF"/>
            <w:noWrap/>
            <w:hideMark/>
          </w:tcPr>
          <w:p w:rsidR="00B951B1" w:rsidRPr="00E61612" w:rsidRDefault="00B951B1" w:rsidP="00CB78E6">
            <w:pPr>
              <w:spacing w:after="0"/>
              <w:jc w:val="right"/>
              <w:rPr>
                <w:rFonts w:eastAsia="Times New Roman" w:cs="Calibri"/>
                <w:b/>
                <w:color w:val="000000"/>
                <w:sz w:val="18"/>
                <w:szCs w:val="18"/>
              </w:rPr>
            </w:pPr>
            <w:r w:rsidRPr="00E61612">
              <w:rPr>
                <w:b/>
                <w:color w:val="000000"/>
                <w:sz w:val="20"/>
                <w:szCs w:val="20"/>
              </w:rPr>
              <w:t>(502,977)</w:t>
            </w:r>
          </w:p>
        </w:tc>
      </w:tr>
    </w:tbl>
    <w:p w:rsidR="00B951B1" w:rsidRPr="00E61612" w:rsidRDefault="00B951B1" w:rsidP="00B951B1">
      <w:pPr>
        <w:rPr>
          <w:rFonts w:ascii="Cambria" w:eastAsia="MS Gothic" w:hAnsi="Cambria" w:cs="Times New Roman"/>
          <w:b/>
          <w:bCs/>
          <w:color w:val="365F91"/>
          <w:sz w:val="28"/>
          <w:szCs w:val="28"/>
        </w:rPr>
      </w:pPr>
    </w:p>
    <w:p w:rsidR="00B951B1" w:rsidRPr="00E61612" w:rsidRDefault="00B951B1" w:rsidP="00B951B1">
      <w:pPr>
        <w:pStyle w:val="Heading1"/>
        <w:sectPr w:rsidR="00B951B1" w:rsidRPr="00E61612" w:rsidSect="008E0DF0">
          <w:pgSz w:w="15840" w:h="12240" w:orient="landscape" w:code="1"/>
          <w:pgMar w:top="1469" w:right="1440" w:bottom="1440" w:left="1440" w:header="720" w:footer="720" w:gutter="0"/>
          <w:cols w:space="720"/>
          <w:docGrid w:linePitch="360"/>
        </w:sectPr>
      </w:pPr>
      <w:bookmarkStart w:id="153" w:name="_Toc66802033"/>
    </w:p>
    <w:p w:rsidR="00B951B1" w:rsidRPr="00E61612" w:rsidRDefault="00B951B1" w:rsidP="00B951B1">
      <w:pPr>
        <w:pStyle w:val="Heading1"/>
      </w:pPr>
      <w:r w:rsidRPr="00E61612">
        <w:lastRenderedPageBreak/>
        <w:t>Aneksi 2: Formati i planit t</w:t>
      </w:r>
      <w:r>
        <w:t>ë</w:t>
      </w:r>
      <w:r w:rsidRPr="00E61612">
        <w:t xml:space="preserve"> veprimit t</w:t>
      </w:r>
      <w:r>
        <w:t>ë</w:t>
      </w:r>
      <w:r w:rsidRPr="00E61612">
        <w:t xml:space="preserve"> kostuar dhe detajuar</w:t>
      </w:r>
      <w:bookmarkEnd w:id="153"/>
    </w:p>
    <w:tbl>
      <w:tblPr>
        <w:tblW w:w="15134" w:type="dxa"/>
        <w:jc w:val="center"/>
        <w:tblLayout w:type="fixed"/>
        <w:tblLook w:val="04A0" w:firstRow="1" w:lastRow="0" w:firstColumn="1" w:lastColumn="0" w:noHBand="0" w:noVBand="1"/>
      </w:tblPr>
      <w:tblGrid>
        <w:gridCol w:w="992"/>
        <w:gridCol w:w="993"/>
        <w:gridCol w:w="992"/>
        <w:gridCol w:w="1309"/>
        <w:gridCol w:w="1067"/>
        <w:gridCol w:w="851"/>
        <w:gridCol w:w="992"/>
        <w:gridCol w:w="492"/>
        <w:gridCol w:w="500"/>
        <w:gridCol w:w="992"/>
        <w:gridCol w:w="993"/>
        <w:gridCol w:w="992"/>
        <w:gridCol w:w="992"/>
        <w:gridCol w:w="992"/>
        <w:gridCol w:w="851"/>
        <w:gridCol w:w="1134"/>
      </w:tblGrid>
      <w:tr w:rsidR="00B951B1" w:rsidRPr="00E61612" w:rsidTr="00CB78E6">
        <w:trPr>
          <w:trHeight w:val="747"/>
          <w:tblHeader/>
          <w:jc w:val="center"/>
        </w:trPr>
        <w:tc>
          <w:tcPr>
            <w:tcW w:w="992" w:type="dxa"/>
            <w:vMerge w:val="restart"/>
            <w:tcBorders>
              <w:top w:val="single" w:sz="4" w:space="0" w:color="auto"/>
              <w:left w:val="single" w:sz="4" w:space="0" w:color="auto"/>
              <w:right w:val="single" w:sz="4" w:space="0" w:color="auto"/>
            </w:tcBorders>
            <w:shd w:val="clear" w:color="auto" w:fill="D9D9D9"/>
            <w:hideMark/>
          </w:tcPr>
          <w:p w:rsidR="00B951B1" w:rsidRPr="00E61612" w:rsidRDefault="00B951B1" w:rsidP="00CB78E6">
            <w:pPr>
              <w:spacing w:after="0"/>
              <w:jc w:val="center"/>
              <w:rPr>
                <w:rFonts w:eastAsia="Times New Roman" w:cs="Calibri"/>
                <w:sz w:val="16"/>
                <w:szCs w:val="16"/>
              </w:rPr>
            </w:pPr>
            <w:r w:rsidRPr="00E61612">
              <w:rPr>
                <w:rFonts w:eastAsia="Times New Roman" w:cs="Calibri"/>
                <w:sz w:val="16"/>
                <w:szCs w:val="16"/>
              </w:rPr>
              <w:t xml:space="preserve">Qëllimi </w:t>
            </w:r>
            <w:r>
              <w:rPr>
                <w:rFonts w:eastAsia="Times New Roman" w:cs="Calibri"/>
                <w:sz w:val="16"/>
                <w:szCs w:val="16"/>
              </w:rPr>
              <w:t>i</w:t>
            </w:r>
            <w:r w:rsidRPr="00E61612">
              <w:rPr>
                <w:rFonts w:eastAsia="Times New Roman" w:cs="Calibri"/>
                <w:sz w:val="16"/>
                <w:szCs w:val="16"/>
              </w:rPr>
              <w:t xml:space="preserve"> Politikës</w:t>
            </w:r>
          </w:p>
          <w:p w:rsidR="00B951B1" w:rsidRPr="00E61612" w:rsidRDefault="00B951B1" w:rsidP="00CB78E6">
            <w:pPr>
              <w:spacing w:after="0"/>
              <w:rPr>
                <w:rFonts w:eastAsia="Times New Roman" w:cs="Calibri"/>
                <w:sz w:val="16"/>
                <w:szCs w:val="16"/>
              </w:rPr>
            </w:pPr>
            <w:r w:rsidRPr="00E61612">
              <w:rPr>
                <w:rFonts w:eastAsia="Times New Roman" w:cs="Calibri"/>
                <w:color w:val="000000"/>
                <w:sz w:val="16"/>
                <w:szCs w:val="16"/>
              </w:rPr>
              <w:t> </w:t>
            </w:r>
          </w:p>
        </w:tc>
        <w:tc>
          <w:tcPr>
            <w:tcW w:w="993" w:type="dxa"/>
            <w:vMerge w:val="restart"/>
            <w:tcBorders>
              <w:top w:val="single" w:sz="4" w:space="0" w:color="auto"/>
              <w:left w:val="nil"/>
              <w:right w:val="single" w:sz="4" w:space="0" w:color="auto"/>
            </w:tcBorders>
            <w:shd w:val="clear" w:color="auto" w:fill="D9D9D9"/>
            <w:hideMark/>
          </w:tcPr>
          <w:p w:rsidR="00B951B1" w:rsidRPr="00E61612" w:rsidRDefault="00B951B1" w:rsidP="00CB78E6">
            <w:pPr>
              <w:spacing w:after="0"/>
              <w:jc w:val="center"/>
              <w:rPr>
                <w:rFonts w:eastAsia="Times New Roman" w:cs="Calibri"/>
                <w:sz w:val="16"/>
                <w:szCs w:val="16"/>
              </w:rPr>
            </w:pPr>
            <w:r w:rsidRPr="00E61612">
              <w:rPr>
                <w:rFonts w:eastAsia="Times New Roman" w:cs="Calibri"/>
                <w:sz w:val="16"/>
                <w:szCs w:val="16"/>
              </w:rPr>
              <w:t>Objektivi</w:t>
            </w:r>
          </w:p>
          <w:p w:rsidR="00B951B1" w:rsidRPr="00E61612" w:rsidRDefault="00B951B1" w:rsidP="00CB78E6">
            <w:pPr>
              <w:spacing w:after="0"/>
              <w:rPr>
                <w:rFonts w:eastAsia="Times New Roman" w:cs="Calibri"/>
                <w:sz w:val="16"/>
                <w:szCs w:val="16"/>
              </w:rPr>
            </w:pPr>
            <w:r w:rsidRPr="00E61612">
              <w:rPr>
                <w:rFonts w:eastAsia="Times New Roman" w:cs="Calibri"/>
                <w:color w:val="000000"/>
                <w:sz w:val="16"/>
                <w:szCs w:val="16"/>
              </w:rPr>
              <w:t> </w:t>
            </w:r>
          </w:p>
        </w:tc>
        <w:tc>
          <w:tcPr>
            <w:tcW w:w="992" w:type="dxa"/>
            <w:vMerge w:val="restart"/>
            <w:tcBorders>
              <w:top w:val="single" w:sz="4" w:space="0" w:color="auto"/>
              <w:left w:val="nil"/>
              <w:right w:val="single" w:sz="4" w:space="0" w:color="auto"/>
            </w:tcBorders>
            <w:shd w:val="clear" w:color="auto" w:fill="D9D9D9"/>
            <w:hideMark/>
          </w:tcPr>
          <w:p w:rsidR="00B951B1" w:rsidRPr="00E61612" w:rsidRDefault="00B951B1" w:rsidP="00CB78E6">
            <w:pPr>
              <w:spacing w:after="0"/>
              <w:jc w:val="center"/>
              <w:rPr>
                <w:rFonts w:eastAsia="Times New Roman" w:cs="Calibri"/>
                <w:sz w:val="16"/>
                <w:szCs w:val="16"/>
              </w:rPr>
            </w:pPr>
            <w:r w:rsidRPr="00E61612">
              <w:rPr>
                <w:rFonts w:eastAsia="Times New Roman" w:cs="Calibri"/>
                <w:sz w:val="16"/>
                <w:szCs w:val="16"/>
              </w:rPr>
              <w:t>Produkti</w:t>
            </w:r>
          </w:p>
          <w:p w:rsidR="00B951B1" w:rsidRPr="00E61612" w:rsidRDefault="00B951B1" w:rsidP="00CB78E6">
            <w:pPr>
              <w:spacing w:after="0"/>
              <w:rPr>
                <w:rFonts w:eastAsia="Times New Roman" w:cs="Calibri"/>
                <w:sz w:val="16"/>
                <w:szCs w:val="16"/>
              </w:rPr>
            </w:pPr>
            <w:r w:rsidRPr="00E61612">
              <w:rPr>
                <w:rFonts w:eastAsia="Times New Roman" w:cs="Calibri"/>
                <w:color w:val="000000"/>
                <w:sz w:val="16"/>
                <w:szCs w:val="16"/>
              </w:rPr>
              <w:t> </w:t>
            </w:r>
          </w:p>
        </w:tc>
        <w:tc>
          <w:tcPr>
            <w:tcW w:w="1309" w:type="dxa"/>
            <w:vMerge w:val="restart"/>
            <w:tcBorders>
              <w:top w:val="single" w:sz="4" w:space="0" w:color="auto"/>
              <w:left w:val="nil"/>
              <w:right w:val="single" w:sz="4" w:space="0" w:color="auto"/>
            </w:tcBorders>
            <w:shd w:val="clear" w:color="auto" w:fill="D9D9D9"/>
            <w:hideMark/>
          </w:tcPr>
          <w:p w:rsidR="00B951B1" w:rsidRPr="00E61612" w:rsidRDefault="00B951B1" w:rsidP="00CB78E6">
            <w:pPr>
              <w:spacing w:after="0"/>
              <w:jc w:val="center"/>
              <w:rPr>
                <w:rFonts w:eastAsia="Times New Roman" w:cs="Calibri"/>
                <w:bCs/>
                <w:sz w:val="16"/>
                <w:szCs w:val="16"/>
              </w:rPr>
            </w:pPr>
            <w:r w:rsidRPr="00E61612">
              <w:rPr>
                <w:rFonts w:eastAsia="Times New Roman" w:cs="Calibri"/>
                <w:bCs/>
                <w:sz w:val="16"/>
                <w:szCs w:val="16"/>
              </w:rPr>
              <w:t>Masa</w:t>
            </w:r>
          </w:p>
          <w:p w:rsidR="00B951B1" w:rsidRPr="00E61612" w:rsidRDefault="00B951B1" w:rsidP="00CB78E6">
            <w:pPr>
              <w:spacing w:after="0"/>
              <w:rPr>
                <w:rFonts w:eastAsia="Times New Roman" w:cs="Calibri"/>
                <w:bCs/>
                <w:sz w:val="16"/>
                <w:szCs w:val="16"/>
              </w:rPr>
            </w:pPr>
            <w:r w:rsidRPr="00E61612">
              <w:rPr>
                <w:rFonts w:eastAsia="Times New Roman" w:cs="Calibri"/>
                <w:color w:val="000000"/>
                <w:sz w:val="16"/>
                <w:szCs w:val="16"/>
              </w:rPr>
              <w:t> </w:t>
            </w:r>
          </w:p>
        </w:tc>
        <w:tc>
          <w:tcPr>
            <w:tcW w:w="1067" w:type="dxa"/>
            <w:tcBorders>
              <w:top w:val="single" w:sz="4" w:space="0" w:color="auto"/>
              <w:left w:val="single" w:sz="4" w:space="0" w:color="auto"/>
              <w:bottom w:val="single" w:sz="4" w:space="0" w:color="auto"/>
              <w:right w:val="single" w:sz="4" w:space="0" w:color="auto"/>
            </w:tcBorders>
            <w:shd w:val="clear" w:color="auto" w:fill="D9D9D9"/>
            <w:hideMark/>
          </w:tcPr>
          <w:p w:rsidR="00B951B1" w:rsidRPr="00E61612" w:rsidRDefault="00B951B1" w:rsidP="00CB78E6">
            <w:pPr>
              <w:spacing w:after="0"/>
              <w:jc w:val="center"/>
              <w:rPr>
                <w:rFonts w:eastAsia="Times New Roman" w:cs="Calibri"/>
                <w:sz w:val="16"/>
                <w:szCs w:val="16"/>
              </w:rPr>
            </w:pPr>
            <w:r w:rsidRPr="00E61612">
              <w:rPr>
                <w:rFonts w:eastAsia="Times New Roman" w:cs="Calibri"/>
                <w:sz w:val="16"/>
                <w:szCs w:val="16"/>
              </w:rPr>
              <w:t>Pagat</w:t>
            </w:r>
          </w:p>
        </w:tc>
        <w:tc>
          <w:tcPr>
            <w:tcW w:w="851" w:type="dxa"/>
            <w:tcBorders>
              <w:top w:val="single" w:sz="4" w:space="0" w:color="auto"/>
              <w:left w:val="nil"/>
              <w:bottom w:val="single" w:sz="4" w:space="0" w:color="auto"/>
              <w:right w:val="single" w:sz="4" w:space="0" w:color="auto"/>
            </w:tcBorders>
            <w:shd w:val="clear" w:color="auto" w:fill="D9D9D9"/>
            <w:hideMark/>
          </w:tcPr>
          <w:p w:rsidR="00B951B1" w:rsidRPr="00E61612" w:rsidRDefault="00B951B1" w:rsidP="00CB78E6">
            <w:pPr>
              <w:spacing w:after="0"/>
              <w:jc w:val="center"/>
              <w:rPr>
                <w:rFonts w:eastAsia="Times New Roman" w:cs="Calibri"/>
                <w:sz w:val="16"/>
                <w:szCs w:val="16"/>
              </w:rPr>
            </w:pPr>
            <w:r w:rsidRPr="00E61612">
              <w:rPr>
                <w:rFonts w:eastAsia="Times New Roman" w:cs="Calibri"/>
                <w:sz w:val="16"/>
                <w:szCs w:val="16"/>
              </w:rPr>
              <w:t>Materialet dhe Shërbimet</w:t>
            </w:r>
          </w:p>
        </w:tc>
        <w:tc>
          <w:tcPr>
            <w:tcW w:w="992" w:type="dxa"/>
            <w:tcBorders>
              <w:top w:val="single" w:sz="4" w:space="0" w:color="auto"/>
              <w:left w:val="nil"/>
              <w:bottom w:val="single" w:sz="4" w:space="0" w:color="auto"/>
              <w:right w:val="single" w:sz="4" w:space="0" w:color="auto"/>
            </w:tcBorders>
            <w:shd w:val="clear" w:color="auto" w:fill="D9D9D9"/>
            <w:hideMark/>
          </w:tcPr>
          <w:p w:rsidR="00B951B1" w:rsidRPr="00E61612" w:rsidRDefault="00B951B1" w:rsidP="00CB78E6">
            <w:pPr>
              <w:spacing w:after="0"/>
              <w:jc w:val="center"/>
              <w:rPr>
                <w:rFonts w:eastAsia="Times New Roman" w:cs="Calibri"/>
                <w:sz w:val="16"/>
                <w:szCs w:val="16"/>
              </w:rPr>
            </w:pPr>
            <w:r w:rsidRPr="00E61612">
              <w:rPr>
                <w:rFonts w:eastAsia="Times New Roman" w:cs="Calibri"/>
                <w:sz w:val="16"/>
                <w:szCs w:val="16"/>
              </w:rPr>
              <w:t>Shpenzimet kapitale</w:t>
            </w:r>
          </w:p>
        </w:tc>
        <w:tc>
          <w:tcPr>
            <w:tcW w:w="992" w:type="dxa"/>
            <w:gridSpan w:val="2"/>
            <w:tcBorders>
              <w:top w:val="single" w:sz="4" w:space="0" w:color="auto"/>
              <w:left w:val="nil"/>
              <w:bottom w:val="single" w:sz="4" w:space="0" w:color="auto"/>
              <w:right w:val="single" w:sz="4" w:space="0" w:color="auto"/>
            </w:tcBorders>
            <w:shd w:val="clear" w:color="auto" w:fill="D9D9D9"/>
            <w:hideMark/>
          </w:tcPr>
          <w:p w:rsidR="00B951B1" w:rsidRPr="00E61612" w:rsidRDefault="00B951B1" w:rsidP="00CB78E6">
            <w:pPr>
              <w:spacing w:after="0"/>
              <w:jc w:val="center"/>
              <w:rPr>
                <w:rFonts w:eastAsia="Times New Roman" w:cs="Calibri"/>
                <w:sz w:val="16"/>
                <w:szCs w:val="16"/>
              </w:rPr>
            </w:pPr>
            <w:r w:rsidRPr="00E61612">
              <w:rPr>
                <w:rFonts w:eastAsia="Times New Roman" w:cs="Calibri"/>
                <w:sz w:val="16"/>
                <w:szCs w:val="16"/>
              </w:rPr>
              <w:t xml:space="preserve">Kostot </w:t>
            </w:r>
            <w:r>
              <w:rPr>
                <w:rFonts w:eastAsia="Times New Roman" w:cs="Calibri"/>
                <w:sz w:val="16"/>
                <w:szCs w:val="16"/>
              </w:rPr>
              <w:t>e vetme (</w:t>
            </w:r>
            <w:r w:rsidRPr="00E61612">
              <w:rPr>
                <w:rFonts w:eastAsia="Times New Roman" w:cs="Calibri"/>
                <w:sz w:val="16"/>
                <w:szCs w:val="16"/>
              </w:rPr>
              <w:t>On - Off</w:t>
            </w:r>
            <w:r>
              <w:rPr>
                <w:rFonts w:eastAsia="Times New Roman" w:cs="Calibri"/>
                <w:sz w:val="16"/>
                <w:szCs w:val="16"/>
              </w:rPr>
              <w:t>)</w:t>
            </w:r>
          </w:p>
        </w:tc>
        <w:tc>
          <w:tcPr>
            <w:tcW w:w="992" w:type="dxa"/>
            <w:tcBorders>
              <w:top w:val="single" w:sz="4" w:space="0" w:color="auto"/>
              <w:left w:val="nil"/>
              <w:bottom w:val="single" w:sz="4" w:space="0" w:color="auto"/>
              <w:right w:val="single" w:sz="4" w:space="0" w:color="auto"/>
            </w:tcBorders>
            <w:shd w:val="clear" w:color="auto" w:fill="D9D9D9"/>
            <w:hideMark/>
          </w:tcPr>
          <w:p w:rsidR="00B951B1" w:rsidRPr="00E61612" w:rsidRDefault="00B951B1" w:rsidP="00CB78E6">
            <w:pPr>
              <w:spacing w:after="0"/>
              <w:jc w:val="center"/>
              <w:rPr>
                <w:rFonts w:eastAsia="Times New Roman" w:cs="Calibri"/>
                <w:sz w:val="16"/>
                <w:szCs w:val="16"/>
              </w:rPr>
            </w:pPr>
            <w:r w:rsidRPr="00E61612">
              <w:rPr>
                <w:rFonts w:eastAsia="Times New Roman" w:cs="Calibri"/>
                <w:sz w:val="16"/>
                <w:szCs w:val="16"/>
              </w:rPr>
              <w:t>Kosto Korente</w:t>
            </w:r>
          </w:p>
        </w:tc>
        <w:tc>
          <w:tcPr>
            <w:tcW w:w="993" w:type="dxa"/>
            <w:tcBorders>
              <w:top w:val="single" w:sz="4" w:space="0" w:color="auto"/>
              <w:left w:val="nil"/>
              <w:bottom w:val="single" w:sz="4" w:space="0" w:color="auto"/>
              <w:right w:val="single" w:sz="4" w:space="0" w:color="auto"/>
            </w:tcBorders>
            <w:shd w:val="clear" w:color="auto" w:fill="D9D9D9"/>
            <w:hideMark/>
          </w:tcPr>
          <w:p w:rsidR="00B951B1" w:rsidRPr="00E61612" w:rsidRDefault="00B951B1" w:rsidP="00CB78E6">
            <w:pPr>
              <w:spacing w:after="0"/>
              <w:jc w:val="center"/>
              <w:rPr>
                <w:rFonts w:eastAsia="Times New Roman" w:cs="Calibri"/>
                <w:sz w:val="16"/>
                <w:szCs w:val="16"/>
              </w:rPr>
            </w:pPr>
            <w:r w:rsidRPr="00E61612">
              <w:rPr>
                <w:rFonts w:eastAsia="Times New Roman" w:cs="Calibri"/>
                <w:sz w:val="16"/>
                <w:szCs w:val="16"/>
              </w:rPr>
              <w:t>Kosto shtesë TOTAL</w:t>
            </w:r>
          </w:p>
        </w:tc>
        <w:tc>
          <w:tcPr>
            <w:tcW w:w="992" w:type="dxa"/>
            <w:tcBorders>
              <w:top w:val="single" w:sz="4" w:space="0" w:color="auto"/>
              <w:left w:val="nil"/>
              <w:bottom w:val="single" w:sz="4" w:space="0" w:color="auto"/>
              <w:right w:val="single" w:sz="4" w:space="0" w:color="auto"/>
            </w:tcBorders>
            <w:shd w:val="clear" w:color="auto" w:fill="D9D9D9"/>
            <w:hideMark/>
          </w:tcPr>
          <w:p w:rsidR="00B951B1" w:rsidRPr="00E61612" w:rsidRDefault="00B951B1" w:rsidP="00CB78E6">
            <w:pPr>
              <w:spacing w:after="0"/>
              <w:jc w:val="center"/>
              <w:rPr>
                <w:rFonts w:eastAsia="Times New Roman" w:cs="Calibri"/>
                <w:sz w:val="16"/>
                <w:szCs w:val="16"/>
              </w:rPr>
            </w:pPr>
            <w:r w:rsidRPr="00E61612">
              <w:rPr>
                <w:rFonts w:eastAsia="Times New Roman" w:cs="Calibri"/>
                <w:sz w:val="16"/>
                <w:szCs w:val="16"/>
              </w:rPr>
              <w:t>Financuar nga buxheti</w:t>
            </w:r>
          </w:p>
        </w:tc>
        <w:tc>
          <w:tcPr>
            <w:tcW w:w="992" w:type="dxa"/>
            <w:tcBorders>
              <w:top w:val="single" w:sz="4" w:space="0" w:color="auto"/>
              <w:left w:val="nil"/>
              <w:bottom w:val="single" w:sz="4" w:space="0" w:color="auto"/>
              <w:right w:val="single" w:sz="4" w:space="0" w:color="auto"/>
            </w:tcBorders>
            <w:shd w:val="clear" w:color="auto" w:fill="D9D9D9"/>
            <w:hideMark/>
          </w:tcPr>
          <w:p w:rsidR="00B951B1" w:rsidRPr="00E61612" w:rsidRDefault="00B951B1" w:rsidP="00CB78E6">
            <w:pPr>
              <w:spacing w:after="0"/>
              <w:jc w:val="center"/>
              <w:rPr>
                <w:rFonts w:eastAsia="Times New Roman" w:cs="Calibri"/>
                <w:sz w:val="16"/>
                <w:szCs w:val="16"/>
              </w:rPr>
            </w:pPr>
            <w:r w:rsidRPr="00E61612">
              <w:rPr>
                <w:rFonts w:eastAsia="Times New Roman" w:cs="Calibri"/>
                <w:sz w:val="16"/>
                <w:szCs w:val="16"/>
              </w:rPr>
              <w:t>Financuar nga Donatorët</w:t>
            </w:r>
          </w:p>
        </w:tc>
        <w:tc>
          <w:tcPr>
            <w:tcW w:w="992" w:type="dxa"/>
            <w:tcBorders>
              <w:top w:val="single" w:sz="4" w:space="0" w:color="auto"/>
              <w:left w:val="nil"/>
              <w:bottom w:val="single" w:sz="4" w:space="0" w:color="auto"/>
              <w:right w:val="single" w:sz="4" w:space="0" w:color="auto"/>
            </w:tcBorders>
            <w:shd w:val="clear" w:color="auto" w:fill="D9D9D9"/>
            <w:hideMark/>
          </w:tcPr>
          <w:p w:rsidR="00B951B1" w:rsidRPr="00E61612" w:rsidRDefault="00B951B1" w:rsidP="00CB78E6">
            <w:pPr>
              <w:spacing w:after="0"/>
              <w:jc w:val="center"/>
              <w:rPr>
                <w:rFonts w:eastAsia="Times New Roman" w:cs="Calibri"/>
                <w:sz w:val="16"/>
                <w:szCs w:val="16"/>
              </w:rPr>
            </w:pPr>
            <w:r w:rsidRPr="00E61612">
              <w:rPr>
                <w:rFonts w:eastAsia="Times New Roman" w:cs="Calibri"/>
                <w:sz w:val="16"/>
                <w:szCs w:val="16"/>
              </w:rPr>
              <w:t>Hendeku financiar</w:t>
            </w:r>
          </w:p>
        </w:tc>
        <w:tc>
          <w:tcPr>
            <w:tcW w:w="851" w:type="dxa"/>
            <w:tcBorders>
              <w:top w:val="single" w:sz="4" w:space="0" w:color="auto"/>
              <w:left w:val="nil"/>
              <w:bottom w:val="single" w:sz="4" w:space="0" w:color="auto"/>
              <w:right w:val="single" w:sz="4" w:space="0" w:color="auto"/>
            </w:tcBorders>
            <w:shd w:val="clear" w:color="auto" w:fill="D9D9D9"/>
            <w:hideMark/>
          </w:tcPr>
          <w:p w:rsidR="00B951B1" w:rsidRPr="00E61612" w:rsidRDefault="00B951B1" w:rsidP="00CB78E6">
            <w:pPr>
              <w:spacing w:after="0"/>
              <w:jc w:val="center"/>
              <w:rPr>
                <w:rFonts w:eastAsia="Times New Roman" w:cs="Calibri"/>
                <w:sz w:val="16"/>
                <w:szCs w:val="16"/>
              </w:rPr>
            </w:pPr>
            <w:r w:rsidRPr="00E61612">
              <w:rPr>
                <w:rFonts w:eastAsia="Times New Roman" w:cs="Calibri"/>
                <w:sz w:val="16"/>
                <w:szCs w:val="16"/>
              </w:rPr>
              <w:t>Ko</w:t>
            </w:r>
            <w:r>
              <w:rPr>
                <w:rFonts w:eastAsia="Times New Roman" w:cs="Calibri"/>
                <w:sz w:val="16"/>
                <w:szCs w:val="16"/>
              </w:rPr>
              <w:t>s</w:t>
            </w:r>
            <w:r w:rsidRPr="00E61612">
              <w:rPr>
                <w:rFonts w:eastAsia="Times New Roman" w:cs="Calibri"/>
                <w:sz w:val="16"/>
                <w:szCs w:val="16"/>
              </w:rPr>
              <w:t>tot Ekzistuese</w:t>
            </w:r>
          </w:p>
        </w:tc>
        <w:tc>
          <w:tcPr>
            <w:tcW w:w="1134" w:type="dxa"/>
            <w:tcBorders>
              <w:top w:val="single" w:sz="4" w:space="0" w:color="auto"/>
              <w:left w:val="nil"/>
              <w:bottom w:val="single" w:sz="4" w:space="0" w:color="auto"/>
              <w:right w:val="single" w:sz="4" w:space="0" w:color="auto"/>
            </w:tcBorders>
            <w:shd w:val="clear" w:color="auto" w:fill="D9D9D9"/>
            <w:hideMark/>
          </w:tcPr>
          <w:p w:rsidR="00B951B1" w:rsidRPr="00E61612" w:rsidRDefault="00B951B1" w:rsidP="00CB78E6">
            <w:pPr>
              <w:spacing w:after="0"/>
              <w:jc w:val="center"/>
              <w:rPr>
                <w:rFonts w:eastAsia="Times New Roman" w:cs="Calibri"/>
                <w:sz w:val="16"/>
                <w:szCs w:val="16"/>
              </w:rPr>
            </w:pPr>
            <w:r w:rsidRPr="00E61612">
              <w:rPr>
                <w:rFonts w:eastAsia="Times New Roman" w:cs="Calibri"/>
                <w:sz w:val="16"/>
                <w:szCs w:val="16"/>
              </w:rPr>
              <w:t>Kosto Totale</w:t>
            </w:r>
          </w:p>
        </w:tc>
      </w:tr>
      <w:tr w:rsidR="00B951B1" w:rsidRPr="00E61612" w:rsidTr="00CB78E6">
        <w:trPr>
          <w:trHeight w:val="225"/>
          <w:tblHeader/>
          <w:jc w:val="center"/>
        </w:trPr>
        <w:tc>
          <w:tcPr>
            <w:tcW w:w="992" w:type="dxa"/>
            <w:vMerge/>
            <w:tcBorders>
              <w:left w:val="single" w:sz="4" w:space="0" w:color="auto"/>
              <w:bottom w:val="single" w:sz="4" w:space="0" w:color="auto"/>
              <w:right w:val="single" w:sz="4" w:space="0" w:color="auto"/>
            </w:tcBorders>
            <w:shd w:val="clear" w:color="000000" w:fill="DDEBF7"/>
            <w:hideMark/>
          </w:tcPr>
          <w:p w:rsidR="00B951B1" w:rsidRPr="00E61612" w:rsidRDefault="00B951B1" w:rsidP="00CB78E6">
            <w:pPr>
              <w:spacing w:after="0"/>
              <w:rPr>
                <w:rFonts w:eastAsia="Times New Roman" w:cs="Calibri"/>
                <w:color w:val="000000"/>
                <w:sz w:val="16"/>
                <w:szCs w:val="16"/>
              </w:rPr>
            </w:pPr>
          </w:p>
        </w:tc>
        <w:tc>
          <w:tcPr>
            <w:tcW w:w="993" w:type="dxa"/>
            <w:vMerge/>
            <w:tcBorders>
              <w:left w:val="nil"/>
              <w:bottom w:val="single" w:sz="4" w:space="0" w:color="auto"/>
              <w:right w:val="single" w:sz="4" w:space="0" w:color="auto"/>
            </w:tcBorders>
            <w:shd w:val="clear" w:color="000000" w:fill="DDEBF7"/>
            <w:hideMark/>
          </w:tcPr>
          <w:p w:rsidR="00B951B1" w:rsidRPr="00E61612" w:rsidRDefault="00B951B1" w:rsidP="00CB78E6">
            <w:pPr>
              <w:spacing w:after="0"/>
              <w:rPr>
                <w:rFonts w:eastAsia="Times New Roman" w:cs="Calibri"/>
                <w:color w:val="000000"/>
                <w:sz w:val="16"/>
                <w:szCs w:val="16"/>
              </w:rPr>
            </w:pPr>
          </w:p>
        </w:tc>
        <w:tc>
          <w:tcPr>
            <w:tcW w:w="992" w:type="dxa"/>
            <w:vMerge/>
            <w:tcBorders>
              <w:left w:val="nil"/>
              <w:bottom w:val="single" w:sz="4" w:space="0" w:color="auto"/>
              <w:right w:val="single" w:sz="4" w:space="0" w:color="auto"/>
            </w:tcBorders>
            <w:shd w:val="clear" w:color="000000" w:fill="DDEBF7"/>
            <w:hideMark/>
          </w:tcPr>
          <w:p w:rsidR="00B951B1" w:rsidRPr="00E61612" w:rsidRDefault="00B951B1" w:rsidP="00CB78E6">
            <w:pPr>
              <w:spacing w:after="0"/>
              <w:rPr>
                <w:rFonts w:eastAsia="Times New Roman" w:cs="Calibri"/>
                <w:color w:val="000000"/>
                <w:sz w:val="16"/>
                <w:szCs w:val="16"/>
              </w:rPr>
            </w:pPr>
          </w:p>
        </w:tc>
        <w:tc>
          <w:tcPr>
            <w:tcW w:w="1309" w:type="dxa"/>
            <w:vMerge/>
            <w:tcBorders>
              <w:left w:val="nil"/>
              <w:bottom w:val="single" w:sz="4" w:space="0" w:color="auto"/>
              <w:right w:val="single" w:sz="4" w:space="0" w:color="auto"/>
            </w:tcBorders>
            <w:shd w:val="clear" w:color="000000" w:fill="DDEBF7"/>
            <w:hideMark/>
          </w:tcPr>
          <w:p w:rsidR="00B951B1" w:rsidRPr="00E61612" w:rsidRDefault="00B951B1" w:rsidP="00CB78E6">
            <w:pPr>
              <w:spacing w:after="0"/>
              <w:rPr>
                <w:rFonts w:eastAsia="Times New Roman" w:cs="Calibri"/>
                <w:color w:val="000000"/>
                <w:sz w:val="16"/>
                <w:szCs w:val="16"/>
              </w:rPr>
            </w:pPr>
          </w:p>
        </w:tc>
        <w:tc>
          <w:tcPr>
            <w:tcW w:w="1067" w:type="dxa"/>
            <w:tcBorders>
              <w:top w:val="nil"/>
              <w:left w:val="single" w:sz="4" w:space="0" w:color="auto"/>
              <w:bottom w:val="single" w:sz="4" w:space="0" w:color="auto"/>
              <w:right w:val="single" w:sz="4" w:space="0" w:color="auto"/>
            </w:tcBorders>
            <w:shd w:val="clear" w:color="000000" w:fill="D9D9D9"/>
            <w:hideMark/>
          </w:tcPr>
          <w:p w:rsidR="00B951B1" w:rsidRPr="00E61612" w:rsidRDefault="00B951B1" w:rsidP="00CB78E6">
            <w:pPr>
              <w:spacing w:after="0"/>
              <w:jc w:val="center"/>
              <w:rPr>
                <w:rFonts w:eastAsia="Times New Roman" w:cs="Calibri"/>
                <w:color w:val="000000"/>
                <w:sz w:val="16"/>
                <w:szCs w:val="16"/>
              </w:rPr>
            </w:pPr>
            <w:r w:rsidRPr="00E61612">
              <w:rPr>
                <w:rFonts w:eastAsia="Times New Roman" w:cs="Calibri"/>
                <w:color w:val="000000"/>
                <w:sz w:val="16"/>
                <w:szCs w:val="16"/>
              </w:rPr>
              <w:t>1</w:t>
            </w:r>
          </w:p>
        </w:tc>
        <w:tc>
          <w:tcPr>
            <w:tcW w:w="851" w:type="dxa"/>
            <w:tcBorders>
              <w:top w:val="nil"/>
              <w:left w:val="nil"/>
              <w:bottom w:val="single" w:sz="4" w:space="0" w:color="auto"/>
              <w:right w:val="single" w:sz="4" w:space="0" w:color="auto"/>
            </w:tcBorders>
            <w:shd w:val="clear" w:color="000000" w:fill="D9D9D9"/>
            <w:hideMark/>
          </w:tcPr>
          <w:p w:rsidR="00B951B1" w:rsidRPr="00E61612" w:rsidRDefault="00B951B1" w:rsidP="00CB78E6">
            <w:pPr>
              <w:spacing w:after="0"/>
              <w:jc w:val="center"/>
              <w:rPr>
                <w:rFonts w:eastAsia="Times New Roman" w:cs="Calibri"/>
                <w:color w:val="000000"/>
                <w:sz w:val="16"/>
                <w:szCs w:val="16"/>
              </w:rPr>
            </w:pPr>
            <w:r w:rsidRPr="00E61612">
              <w:rPr>
                <w:rFonts w:eastAsia="Times New Roman" w:cs="Calibri"/>
                <w:color w:val="000000"/>
                <w:sz w:val="16"/>
                <w:szCs w:val="16"/>
              </w:rPr>
              <w:t>2</w:t>
            </w:r>
          </w:p>
        </w:tc>
        <w:tc>
          <w:tcPr>
            <w:tcW w:w="992" w:type="dxa"/>
            <w:tcBorders>
              <w:top w:val="nil"/>
              <w:left w:val="nil"/>
              <w:bottom w:val="single" w:sz="4" w:space="0" w:color="auto"/>
              <w:right w:val="single" w:sz="4" w:space="0" w:color="auto"/>
            </w:tcBorders>
            <w:shd w:val="clear" w:color="000000" w:fill="D9D9D9"/>
            <w:hideMark/>
          </w:tcPr>
          <w:p w:rsidR="00B951B1" w:rsidRPr="00E61612" w:rsidRDefault="00B951B1" w:rsidP="00CB78E6">
            <w:pPr>
              <w:spacing w:after="0"/>
              <w:jc w:val="center"/>
              <w:rPr>
                <w:rFonts w:eastAsia="Times New Roman" w:cs="Calibri"/>
                <w:color w:val="000000"/>
                <w:sz w:val="16"/>
                <w:szCs w:val="16"/>
              </w:rPr>
            </w:pPr>
            <w:r w:rsidRPr="00E61612">
              <w:rPr>
                <w:rFonts w:eastAsia="Times New Roman" w:cs="Calibri"/>
                <w:color w:val="000000"/>
                <w:sz w:val="16"/>
                <w:szCs w:val="16"/>
              </w:rPr>
              <w:t>3</w:t>
            </w:r>
          </w:p>
        </w:tc>
        <w:tc>
          <w:tcPr>
            <w:tcW w:w="992" w:type="dxa"/>
            <w:gridSpan w:val="2"/>
            <w:tcBorders>
              <w:top w:val="nil"/>
              <w:left w:val="nil"/>
              <w:bottom w:val="single" w:sz="4" w:space="0" w:color="auto"/>
              <w:right w:val="single" w:sz="4" w:space="0" w:color="auto"/>
            </w:tcBorders>
            <w:shd w:val="clear" w:color="000000" w:fill="D9D9D9"/>
            <w:hideMark/>
          </w:tcPr>
          <w:p w:rsidR="00B951B1" w:rsidRPr="00E61612" w:rsidRDefault="00B951B1" w:rsidP="00CB78E6">
            <w:pPr>
              <w:spacing w:after="0"/>
              <w:jc w:val="center"/>
              <w:rPr>
                <w:rFonts w:eastAsia="Times New Roman" w:cs="Calibri"/>
                <w:color w:val="000000"/>
                <w:sz w:val="16"/>
                <w:szCs w:val="16"/>
              </w:rPr>
            </w:pPr>
            <w:r w:rsidRPr="00E61612">
              <w:rPr>
                <w:rFonts w:eastAsia="Times New Roman" w:cs="Calibri"/>
                <w:color w:val="000000"/>
                <w:sz w:val="16"/>
                <w:szCs w:val="16"/>
              </w:rPr>
              <w:t>4</w:t>
            </w:r>
          </w:p>
        </w:tc>
        <w:tc>
          <w:tcPr>
            <w:tcW w:w="992" w:type="dxa"/>
            <w:tcBorders>
              <w:top w:val="nil"/>
              <w:left w:val="nil"/>
              <w:bottom w:val="single" w:sz="4" w:space="0" w:color="auto"/>
              <w:right w:val="single" w:sz="4" w:space="0" w:color="auto"/>
            </w:tcBorders>
            <w:shd w:val="clear" w:color="000000" w:fill="D9D9D9"/>
            <w:hideMark/>
          </w:tcPr>
          <w:p w:rsidR="00B951B1" w:rsidRPr="00E61612" w:rsidRDefault="00B951B1" w:rsidP="00CB78E6">
            <w:pPr>
              <w:spacing w:after="0"/>
              <w:jc w:val="center"/>
              <w:rPr>
                <w:rFonts w:eastAsia="Times New Roman" w:cs="Calibri"/>
                <w:color w:val="000000"/>
                <w:sz w:val="16"/>
                <w:szCs w:val="16"/>
              </w:rPr>
            </w:pPr>
            <w:r w:rsidRPr="00E61612">
              <w:rPr>
                <w:rFonts w:eastAsia="Times New Roman" w:cs="Calibri"/>
                <w:color w:val="000000"/>
                <w:sz w:val="16"/>
                <w:szCs w:val="16"/>
              </w:rPr>
              <w:t>5</w:t>
            </w:r>
          </w:p>
        </w:tc>
        <w:tc>
          <w:tcPr>
            <w:tcW w:w="993" w:type="dxa"/>
            <w:tcBorders>
              <w:top w:val="nil"/>
              <w:left w:val="nil"/>
              <w:bottom w:val="single" w:sz="4" w:space="0" w:color="auto"/>
              <w:right w:val="single" w:sz="4" w:space="0" w:color="auto"/>
            </w:tcBorders>
            <w:shd w:val="clear" w:color="000000" w:fill="D9D9D9"/>
            <w:hideMark/>
          </w:tcPr>
          <w:p w:rsidR="00B951B1" w:rsidRPr="00E61612" w:rsidRDefault="00B951B1" w:rsidP="00CB78E6">
            <w:pPr>
              <w:spacing w:after="0"/>
              <w:jc w:val="center"/>
              <w:rPr>
                <w:rFonts w:eastAsia="Times New Roman" w:cs="Calibri"/>
                <w:color w:val="000000"/>
                <w:sz w:val="16"/>
                <w:szCs w:val="16"/>
              </w:rPr>
            </w:pPr>
            <w:r w:rsidRPr="00E61612">
              <w:rPr>
                <w:rFonts w:eastAsia="Times New Roman" w:cs="Calibri"/>
                <w:color w:val="000000"/>
                <w:sz w:val="16"/>
                <w:szCs w:val="16"/>
              </w:rPr>
              <w:t>6=1+2+3=4+5</w:t>
            </w:r>
          </w:p>
        </w:tc>
        <w:tc>
          <w:tcPr>
            <w:tcW w:w="992" w:type="dxa"/>
            <w:tcBorders>
              <w:top w:val="nil"/>
              <w:left w:val="nil"/>
              <w:bottom w:val="single" w:sz="4" w:space="0" w:color="auto"/>
              <w:right w:val="single" w:sz="4" w:space="0" w:color="auto"/>
            </w:tcBorders>
            <w:shd w:val="clear" w:color="000000" w:fill="D9D9D9"/>
            <w:hideMark/>
          </w:tcPr>
          <w:p w:rsidR="00B951B1" w:rsidRPr="00E61612" w:rsidRDefault="00B951B1" w:rsidP="00CB78E6">
            <w:pPr>
              <w:spacing w:after="0"/>
              <w:jc w:val="center"/>
              <w:rPr>
                <w:rFonts w:eastAsia="Times New Roman" w:cs="Calibri"/>
                <w:sz w:val="16"/>
                <w:szCs w:val="16"/>
              </w:rPr>
            </w:pPr>
            <w:r w:rsidRPr="00E61612">
              <w:rPr>
                <w:rFonts w:eastAsia="Times New Roman" w:cs="Calibri"/>
                <w:sz w:val="16"/>
                <w:szCs w:val="16"/>
              </w:rPr>
              <w:t>7</w:t>
            </w:r>
          </w:p>
        </w:tc>
        <w:tc>
          <w:tcPr>
            <w:tcW w:w="992" w:type="dxa"/>
            <w:tcBorders>
              <w:top w:val="nil"/>
              <w:left w:val="nil"/>
              <w:bottom w:val="single" w:sz="4" w:space="0" w:color="auto"/>
              <w:right w:val="single" w:sz="4" w:space="0" w:color="auto"/>
            </w:tcBorders>
            <w:shd w:val="clear" w:color="000000" w:fill="D9D9D9"/>
            <w:hideMark/>
          </w:tcPr>
          <w:p w:rsidR="00B951B1" w:rsidRPr="00E61612" w:rsidRDefault="00B951B1" w:rsidP="00CB78E6">
            <w:pPr>
              <w:spacing w:after="0"/>
              <w:jc w:val="center"/>
              <w:rPr>
                <w:rFonts w:eastAsia="Times New Roman" w:cs="Calibri"/>
                <w:sz w:val="16"/>
                <w:szCs w:val="16"/>
              </w:rPr>
            </w:pPr>
            <w:r w:rsidRPr="00E61612">
              <w:rPr>
                <w:rFonts w:eastAsia="Times New Roman" w:cs="Calibri"/>
                <w:sz w:val="16"/>
                <w:szCs w:val="16"/>
              </w:rPr>
              <w:t>8</w:t>
            </w:r>
          </w:p>
        </w:tc>
        <w:tc>
          <w:tcPr>
            <w:tcW w:w="992" w:type="dxa"/>
            <w:tcBorders>
              <w:top w:val="nil"/>
              <w:left w:val="nil"/>
              <w:bottom w:val="single" w:sz="4" w:space="0" w:color="auto"/>
              <w:right w:val="single" w:sz="4" w:space="0" w:color="auto"/>
            </w:tcBorders>
            <w:shd w:val="clear" w:color="000000" w:fill="D9D9D9"/>
            <w:hideMark/>
          </w:tcPr>
          <w:p w:rsidR="00B951B1" w:rsidRPr="00E61612" w:rsidRDefault="00B951B1" w:rsidP="00CB78E6">
            <w:pPr>
              <w:spacing w:after="0"/>
              <w:jc w:val="center"/>
              <w:rPr>
                <w:rFonts w:eastAsia="Times New Roman" w:cs="Calibri"/>
                <w:sz w:val="16"/>
                <w:szCs w:val="16"/>
              </w:rPr>
            </w:pPr>
            <w:r w:rsidRPr="00E61612">
              <w:rPr>
                <w:rFonts w:eastAsia="Times New Roman" w:cs="Calibri"/>
                <w:sz w:val="16"/>
                <w:szCs w:val="16"/>
              </w:rPr>
              <w:t>9=7+8-6</w:t>
            </w:r>
          </w:p>
        </w:tc>
        <w:tc>
          <w:tcPr>
            <w:tcW w:w="851" w:type="dxa"/>
            <w:tcBorders>
              <w:top w:val="nil"/>
              <w:left w:val="nil"/>
              <w:bottom w:val="single" w:sz="4" w:space="0" w:color="auto"/>
              <w:right w:val="single" w:sz="4" w:space="0" w:color="auto"/>
            </w:tcBorders>
            <w:shd w:val="clear" w:color="000000" w:fill="D9D9D9"/>
            <w:hideMark/>
          </w:tcPr>
          <w:p w:rsidR="00B951B1" w:rsidRPr="00E61612" w:rsidRDefault="00B951B1" w:rsidP="00CB78E6">
            <w:pPr>
              <w:spacing w:after="0"/>
              <w:jc w:val="center"/>
              <w:rPr>
                <w:rFonts w:eastAsia="Times New Roman" w:cs="Calibri"/>
                <w:sz w:val="16"/>
                <w:szCs w:val="16"/>
              </w:rPr>
            </w:pPr>
            <w:r w:rsidRPr="00E61612">
              <w:rPr>
                <w:rFonts w:eastAsia="Times New Roman" w:cs="Calibri"/>
                <w:sz w:val="16"/>
                <w:szCs w:val="16"/>
              </w:rPr>
              <w:t>10</w:t>
            </w:r>
          </w:p>
        </w:tc>
        <w:tc>
          <w:tcPr>
            <w:tcW w:w="1134" w:type="dxa"/>
            <w:tcBorders>
              <w:top w:val="nil"/>
              <w:left w:val="nil"/>
              <w:bottom w:val="single" w:sz="4" w:space="0" w:color="auto"/>
              <w:right w:val="single" w:sz="4" w:space="0" w:color="auto"/>
            </w:tcBorders>
            <w:shd w:val="clear" w:color="000000" w:fill="D9D9D9"/>
            <w:hideMark/>
          </w:tcPr>
          <w:p w:rsidR="00B951B1" w:rsidRPr="00E61612" w:rsidRDefault="00B951B1" w:rsidP="00CB78E6">
            <w:pPr>
              <w:spacing w:after="0"/>
              <w:jc w:val="center"/>
              <w:rPr>
                <w:rFonts w:eastAsia="Times New Roman" w:cs="Calibri"/>
                <w:sz w:val="16"/>
                <w:szCs w:val="16"/>
              </w:rPr>
            </w:pPr>
            <w:r w:rsidRPr="00E61612">
              <w:rPr>
                <w:rFonts w:eastAsia="Times New Roman" w:cs="Calibri"/>
                <w:sz w:val="16"/>
                <w:szCs w:val="16"/>
              </w:rPr>
              <w:t>11=6+10</w:t>
            </w:r>
          </w:p>
        </w:tc>
      </w:tr>
      <w:tr w:rsidR="00B951B1" w:rsidRPr="00E61612" w:rsidTr="00CB78E6">
        <w:trPr>
          <w:trHeight w:val="1020"/>
          <w:jc w:val="center"/>
        </w:trPr>
        <w:tc>
          <w:tcPr>
            <w:tcW w:w="992"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B951B1" w:rsidRPr="00E61612" w:rsidRDefault="00B951B1" w:rsidP="00CB78E6">
            <w:pPr>
              <w:spacing w:after="0"/>
              <w:outlineLvl w:val="1"/>
              <w:rPr>
                <w:rFonts w:eastAsia="Times New Roman" w:cs="Calibri"/>
                <w:sz w:val="16"/>
                <w:szCs w:val="16"/>
              </w:rPr>
            </w:pPr>
            <w:r w:rsidRPr="00E61612">
              <w:rPr>
                <w:rFonts w:eastAsia="Times New Roman" w:cs="Calibri"/>
                <w:sz w:val="16"/>
                <w:szCs w:val="16"/>
              </w:rPr>
              <w:t xml:space="preserve">A. Arsim parauniversitar cilësor dhe gjithëpërfshirës që krijon kushte </w:t>
            </w:r>
            <w:r>
              <w:rPr>
                <w:rFonts w:eastAsia="Times New Roman" w:cs="Calibri"/>
                <w:sz w:val="16"/>
                <w:szCs w:val="16"/>
              </w:rPr>
              <w:t xml:space="preserve">në mënyrë </w:t>
            </w:r>
            <w:r w:rsidRPr="00E61612">
              <w:rPr>
                <w:rFonts w:eastAsia="Times New Roman" w:cs="Calibri"/>
                <w:sz w:val="16"/>
                <w:szCs w:val="16"/>
              </w:rPr>
              <w:t xml:space="preserve">që nxënësit të zhvillojnë njohuri, shkathtësi, qëndrime dhe vlera në </w:t>
            </w:r>
            <w:r>
              <w:rPr>
                <w:rFonts w:eastAsia="Times New Roman" w:cs="Calibri"/>
                <w:sz w:val="16"/>
                <w:szCs w:val="16"/>
              </w:rPr>
              <w:t>përputhje</w:t>
            </w:r>
            <w:r w:rsidRPr="00E61612">
              <w:rPr>
                <w:rFonts w:eastAsia="Times New Roman" w:cs="Calibri"/>
                <w:sz w:val="16"/>
                <w:szCs w:val="16"/>
              </w:rPr>
              <w:t xml:space="preserve"> me kërkesat e shoqërisë demokratike; të përballen në mënyrë konstruktive me sfidat </w:t>
            </w:r>
            <w:r w:rsidRPr="00E61612">
              <w:rPr>
                <w:rFonts w:eastAsia="Times New Roman" w:cs="Calibri"/>
                <w:sz w:val="16"/>
                <w:szCs w:val="16"/>
              </w:rPr>
              <w:lastRenderedPageBreak/>
              <w:t>e jetës, si dhe të kontribuojnë në ndërtimin e mirëqenies vetjake dhe të shoqërisë</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B951B1" w:rsidRPr="00E61612" w:rsidRDefault="00B951B1" w:rsidP="00CB78E6">
            <w:pPr>
              <w:spacing w:after="0"/>
              <w:outlineLvl w:val="1"/>
              <w:rPr>
                <w:rFonts w:eastAsia="Times New Roman" w:cs="Calibri"/>
                <w:sz w:val="16"/>
                <w:szCs w:val="16"/>
              </w:rPr>
            </w:pPr>
            <w:r w:rsidRPr="00E61612">
              <w:rPr>
                <w:rFonts w:eastAsia="Times New Roman" w:cs="Calibri"/>
                <w:sz w:val="16"/>
                <w:szCs w:val="16"/>
              </w:rPr>
              <w:lastRenderedPageBreak/>
              <w:t xml:space="preserve">A1. </w:t>
            </w:r>
            <w:r>
              <w:rPr>
                <w:rFonts w:eastAsia="Times New Roman" w:cs="Calibri"/>
                <w:sz w:val="16"/>
                <w:szCs w:val="16"/>
              </w:rPr>
              <w:t>Sigurimi i</w:t>
            </w:r>
            <w:r w:rsidRPr="00E61612">
              <w:rPr>
                <w:rFonts w:eastAsia="Times New Roman" w:cs="Calibri"/>
                <w:sz w:val="16"/>
                <w:szCs w:val="16"/>
              </w:rPr>
              <w:t xml:space="preserve"> </w:t>
            </w:r>
            <w:r w:rsidR="00B86FFD" w:rsidRPr="00E61612">
              <w:rPr>
                <w:rFonts w:eastAsia="Times New Roman" w:cs="Calibri"/>
                <w:sz w:val="16"/>
                <w:szCs w:val="16"/>
              </w:rPr>
              <w:t>përfshirj</w:t>
            </w:r>
            <w:r w:rsidR="00B86FFD">
              <w:rPr>
                <w:rFonts w:eastAsia="Times New Roman" w:cs="Calibri"/>
                <w:sz w:val="16"/>
                <w:szCs w:val="16"/>
              </w:rPr>
              <w:t>es</w:t>
            </w:r>
            <w:r w:rsidRPr="00E61612">
              <w:rPr>
                <w:rFonts w:eastAsia="Times New Roman" w:cs="Calibri"/>
                <w:sz w:val="16"/>
                <w:szCs w:val="16"/>
              </w:rPr>
              <w:t xml:space="preserve"> </w:t>
            </w:r>
            <w:r>
              <w:rPr>
                <w:rFonts w:eastAsia="Times New Roman" w:cs="Calibri"/>
                <w:sz w:val="16"/>
                <w:szCs w:val="16"/>
              </w:rPr>
              <w:t>së</w:t>
            </w:r>
            <w:r w:rsidRPr="00E61612">
              <w:rPr>
                <w:rFonts w:eastAsia="Times New Roman" w:cs="Calibri"/>
                <w:sz w:val="16"/>
                <w:szCs w:val="16"/>
              </w:rPr>
              <w:t xml:space="preserve"> plotë në klasën përgatitore dhe në arsimin e detyrueshëm, si dhe rritet aksesi në arsimin parashkollor dhe te mesëm të lartë, përmes krijimit të kushteve të përshtatshme infrastrukturore dhe mjediseve shkollore miqësore</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FFFFFF"/>
            <w:hideMark/>
          </w:tcPr>
          <w:p w:rsidR="00B951B1" w:rsidRPr="00E61612" w:rsidRDefault="00B951B1" w:rsidP="00CB78E6">
            <w:pPr>
              <w:spacing w:after="0"/>
              <w:outlineLvl w:val="1"/>
              <w:rPr>
                <w:rFonts w:eastAsia="Times New Roman" w:cs="Calibri"/>
                <w:sz w:val="16"/>
                <w:szCs w:val="16"/>
              </w:rPr>
            </w:pPr>
            <w:r w:rsidRPr="00E61612">
              <w:rPr>
                <w:rFonts w:eastAsia="Times New Roman" w:cs="Calibri"/>
                <w:sz w:val="16"/>
                <w:szCs w:val="16"/>
              </w:rPr>
              <w:t>A1.1. Rritja e aksesit në arsimin parashkollor</w:t>
            </w:r>
          </w:p>
        </w:tc>
        <w:tc>
          <w:tcPr>
            <w:tcW w:w="1309" w:type="dxa"/>
            <w:tcBorders>
              <w:top w:val="single" w:sz="4" w:space="0" w:color="auto"/>
              <w:left w:val="nil"/>
              <w:bottom w:val="single" w:sz="4" w:space="0" w:color="auto"/>
              <w:right w:val="single" w:sz="4" w:space="0" w:color="auto"/>
            </w:tcBorders>
            <w:shd w:val="clear" w:color="auto" w:fill="FFFFFF"/>
            <w:hideMark/>
          </w:tcPr>
          <w:p w:rsidR="00B951B1" w:rsidRPr="00E61612" w:rsidRDefault="00B951B1" w:rsidP="00CB78E6">
            <w:pPr>
              <w:spacing w:after="0"/>
              <w:outlineLvl w:val="1"/>
              <w:rPr>
                <w:rFonts w:eastAsia="Times New Roman" w:cs="Calibri"/>
                <w:sz w:val="16"/>
                <w:szCs w:val="16"/>
              </w:rPr>
            </w:pPr>
            <w:r w:rsidRPr="00E61612">
              <w:rPr>
                <w:rFonts w:eastAsia="Times New Roman" w:cs="Calibri"/>
                <w:sz w:val="16"/>
                <w:szCs w:val="16"/>
              </w:rPr>
              <w:t>A1.1.1. Ndërgjegjësimi i prindërve dhe komunitetit për rëndësinë e arsimit parashkollor</w:t>
            </w:r>
          </w:p>
        </w:tc>
        <w:tc>
          <w:tcPr>
            <w:tcW w:w="1067" w:type="dxa"/>
            <w:tcBorders>
              <w:top w:val="single" w:sz="4" w:space="0" w:color="auto"/>
              <w:left w:val="single" w:sz="4" w:space="0" w:color="auto"/>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w:t>
            </w:r>
          </w:p>
        </w:tc>
        <w:tc>
          <w:tcPr>
            <w:tcW w:w="851" w:type="dxa"/>
            <w:tcBorders>
              <w:top w:val="single" w:sz="4" w:space="0" w:color="auto"/>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7,200</w:t>
            </w:r>
          </w:p>
        </w:tc>
        <w:tc>
          <w:tcPr>
            <w:tcW w:w="992" w:type="dxa"/>
            <w:tcBorders>
              <w:top w:val="single" w:sz="4" w:space="0" w:color="auto"/>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w:t>
            </w:r>
          </w:p>
        </w:tc>
        <w:tc>
          <w:tcPr>
            <w:tcW w:w="992" w:type="dxa"/>
            <w:gridSpan w:val="2"/>
            <w:tcBorders>
              <w:top w:val="single" w:sz="4" w:space="0" w:color="auto"/>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7,200</w:t>
            </w:r>
          </w:p>
        </w:tc>
        <w:tc>
          <w:tcPr>
            <w:tcW w:w="992" w:type="dxa"/>
            <w:tcBorders>
              <w:top w:val="single" w:sz="4" w:space="0" w:color="auto"/>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w:t>
            </w:r>
          </w:p>
        </w:tc>
        <w:tc>
          <w:tcPr>
            <w:tcW w:w="993" w:type="dxa"/>
            <w:tcBorders>
              <w:top w:val="single" w:sz="4" w:space="0" w:color="auto"/>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7,200</w:t>
            </w:r>
          </w:p>
        </w:tc>
        <w:tc>
          <w:tcPr>
            <w:tcW w:w="992" w:type="dxa"/>
            <w:tcBorders>
              <w:top w:val="single" w:sz="4" w:space="0" w:color="auto"/>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w:t>
            </w:r>
          </w:p>
        </w:tc>
        <w:tc>
          <w:tcPr>
            <w:tcW w:w="992" w:type="dxa"/>
            <w:tcBorders>
              <w:top w:val="single" w:sz="4" w:space="0" w:color="auto"/>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7,200</w:t>
            </w:r>
          </w:p>
        </w:tc>
        <w:tc>
          <w:tcPr>
            <w:tcW w:w="992" w:type="dxa"/>
            <w:tcBorders>
              <w:top w:val="single" w:sz="4" w:space="0" w:color="auto"/>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w:t>
            </w:r>
          </w:p>
        </w:tc>
        <w:tc>
          <w:tcPr>
            <w:tcW w:w="851" w:type="dxa"/>
            <w:tcBorders>
              <w:top w:val="single" w:sz="4" w:space="0" w:color="auto"/>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w:t>
            </w:r>
          </w:p>
        </w:tc>
        <w:tc>
          <w:tcPr>
            <w:tcW w:w="1134" w:type="dxa"/>
            <w:tcBorders>
              <w:top w:val="single" w:sz="4" w:space="0" w:color="auto"/>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7,200</w:t>
            </w:r>
          </w:p>
        </w:tc>
      </w:tr>
      <w:tr w:rsidR="00B951B1" w:rsidRPr="00E61612" w:rsidTr="00CB78E6">
        <w:trPr>
          <w:trHeight w:val="1785"/>
          <w:jc w:val="center"/>
        </w:trPr>
        <w:tc>
          <w:tcPr>
            <w:tcW w:w="992" w:type="dxa"/>
            <w:vMerge/>
            <w:tcBorders>
              <w:top w:val="nil"/>
              <w:left w:val="single" w:sz="4" w:space="0" w:color="auto"/>
              <w:bottom w:val="single" w:sz="4" w:space="0" w:color="auto"/>
              <w:right w:val="single" w:sz="4" w:space="0" w:color="auto"/>
            </w:tcBorders>
            <w:shd w:val="clear" w:color="auto" w:fill="FFFFFF"/>
            <w:hideMark/>
          </w:tcPr>
          <w:p w:rsidR="00B951B1" w:rsidRPr="00E61612" w:rsidRDefault="00B951B1" w:rsidP="00CB78E6">
            <w:pPr>
              <w:spacing w:after="0"/>
              <w:outlineLvl w:val="1"/>
              <w:rPr>
                <w:rFonts w:eastAsia="Times New Roman" w:cs="Calibri"/>
                <w:sz w:val="16"/>
                <w:szCs w:val="16"/>
              </w:rPr>
            </w:pPr>
          </w:p>
        </w:tc>
        <w:tc>
          <w:tcPr>
            <w:tcW w:w="993" w:type="dxa"/>
            <w:vMerge/>
            <w:tcBorders>
              <w:top w:val="nil"/>
              <w:left w:val="single" w:sz="4" w:space="0" w:color="auto"/>
              <w:bottom w:val="single" w:sz="4" w:space="0" w:color="auto"/>
              <w:right w:val="single" w:sz="4" w:space="0" w:color="auto"/>
            </w:tcBorders>
            <w:shd w:val="clear" w:color="auto" w:fill="FFFFFF"/>
            <w:hideMark/>
          </w:tcPr>
          <w:p w:rsidR="00B951B1" w:rsidRPr="00E61612" w:rsidRDefault="00B951B1" w:rsidP="00CB78E6">
            <w:pPr>
              <w:spacing w:after="0"/>
              <w:outlineLvl w:val="1"/>
              <w:rPr>
                <w:rFonts w:eastAsia="Times New Roman" w:cs="Calibri"/>
                <w:sz w:val="16"/>
                <w:szCs w:val="16"/>
              </w:rPr>
            </w:pPr>
          </w:p>
        </w:tc>
        <w:tc>
          <w:tcPr>
            <w:tcW w:w="992" w:type="dxa"/>
            <w:vMerge/>
            <w:tcBorders>
              <w:top w:val="nil"/>
              <w:left w:val="single" w:sz="4" w:space="0" w:color="auto"/>
              <w:bottom w:val="single" w:sz="4" w:space="0" w:color="000000"/>
              <w:right w:val="single" w:sz="4" w:space="0" w:color="auto"/>
            </w:tcBorders>
            <w:shd w:val="clear" w:color="auto" w:fill="FFFFFF"/>
            <w:hideMark/>
          </w:tcPr>
          <w:p w:rsidR="00B951B1" w:rsidRPr="00E61612" w:rsidRDefault="00B951B1" w:rsidP="00CB78E6">
            <w:pPr>
              <w:spacing w:after="0"/>
              <w:outlineLvl w:val="1"/>
              <w:rPr>
                <w:rFonts w:eastAsia="Times New Roman" w:cs="Calibri"/>
                <w:sz w:val="16"/>
                <w:szCs w:val="16"/>
              </w:rPr>
            </w:pPr>
          </w:p>
        </w:tc>
        <w:tc>
          <w:tcPr>
            <w:tcW w:w="1309" w:type="dxa"/>
            <w:tcBorders>
              <w:top w:val="nil"/>
              <w:left w:val="nil"/>
              <w:bottom w:val="single" w:sz="4" w:space="0" w:color="auto"/>
              <w:right w:val="single" w:sz="4" w:space="0" w:color="auto"/>
            </w:tcBorders>
            <w:shd w:val="clear" w:color="auto" w:fill="FFFFFF"/>
            <w:hideMark/>
          </w:tcPr>
          <w:p w:rsidR="00B951B1" w:rsidRPr="00E61612" w:rsidRDefault="00B951B1" w:rsidP="00CB78E6">
            <w:pPr>
              <w:spacing w:after="0"/>
              <w:outlineLvl w:val="1"/>
              <w:rPr>
                <w:rFonts w:eastAsia="Times New Roman" w:cs="Calibri"/>
                <w:sz w:val="16"/>
                <w:szCs w:val="16"/>
              </w:rPr>
            </w:pPr>
            <w:r w:rsidRPr="00E61612">
              <w:rPr>
                <w:rFonts w:eastAsia="Times New Roman" w:cs="Calibri"/>
                <w:sz w:val="16"/>
                <w:szCs w:val="16"/>
              </w:rPr>
              <w:t>A1.1.2. Avancimi i koordinimit ndërmjet MASR</w:t>
            </w:r>
            <w:r>
              <w:rPr>
                <w:rFonts w:eastAsia="Times New Roman" w:cs="Calibri"/>
                <w:sz w:val="16"/>
                <w:szCs w:val="16"/>
              </w:rPr>
              <w:t>-së</w:t>
            </w:r>
            <w:r w:rsidRPr="00E61612">
              <w:rPr>
                <w:rFonts w:eastAsia="Times New Roman" w:cs="Calibri"/>
                <w:sz w:val="16"/>
                <w:szCs w:val="16"/>
              </w:rPr>
              <w:t>, MSH</w:t>
            </w:r>
            <w:r>
              <w:rPr>
                <w:rFonts w:eastAsia="Times New Roman" w:cs="Calibri"/>
                <w:sz w:val="16"/>
                <w:szCs w:val="16"/>
              </w:rPr>
              <w:t>-së</w:t>
            </w:r>
            <w:r w:rsidRPr="00E61612">
              <w:rPr>
                <w:rFonts w:eastAsia="Times New Roman" w:cs="Calibri"/>
                <w:sz w:val="16"/>
                <w:szCs w:val="16"/>
              </w:rPr>
              <w:t xml:space="preserve"> dhe pushtetit </w:t>
            </w:r>
            <w:r>
              <w:rPr>
                <w:rFonts w:eastAsia="Times New Roman" w:cs="Calibri"/>
                <w:sz w:val="16"/>
                <w:szCs w:val="16"/>
              </w:rPr>
              <w:t>vendor</w:t>
            </w:r>
            <w:r w:rsidRPr="00E61612">
              <w:rPr>
                <w:rFonts w:eastAsia="Times New Roman" w:cs="Calibri"/>
                <w:sz w:val="16"/>
                <w:szCs w:val="16"/>
              </w:rPr>
              <w:t xml:space="preserve"> për edukimin në fëmijërinë e hershme, bazuar në evidencë dhe studime</w:t>
            </w:r>
          </w:p>
        </w:tc>
        <w:tc>
          <w:tcPr>
            <w:tcW w:w="1067" w:type="dxa"/>
            <w:tcBorders>
              <w:top w:val="nil"/>
              <w:left w:val="single" w:sz="4" w:space="0" w:color="auto"/>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w:t>
            </w:r>
          </w:p>
        </w:tc>
        <w:tc>
          <w:tcPr>
            <w:tcW w:w="851"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2,880</w:t>
            </w:r>
          </w:p>
        </w:tc>
        <w:tc>
          <w:tcPr>
            <w:tcW w:w="992"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w:t>
            </w:r>
          </w:p>
        </w:tc>
        <w:tc>
          <w:tcPr>
            <w:tcW w:w="992" w:type="dxa"/>
            <w:gridSpan w:val="2"/>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2,880</w:t>
            </w:r>
          </w:p>
        </w:tc>
        <w:tc>
          <w:tcPr>
            <w:tcW w:w="992"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w:t>
            </w:r>
          </w:p>
        </w:tc>
        <w:tc>
          <w:tcPr>
            <w:tcW w:w="993"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2,880</w:t>
            </w:r>
          </w:p>
        </w:tc>
        <w:tc>
          <w:tcPr>
            <w:tcW w:w="992"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w:t>
            </w:r>
          </w:p>
        </w:tc>
        <w:tc>
          <w:tcPr>
            <w:tcW w:w="992"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2,880</w:t>
            </w:r>
          </w:p>
        </w:tc>
        <w:tc>
          <w:tcPr>
            <w:tcW w:w="992"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w:t>
            </w:r>
          </w:p>
        </w:tc>
        <w:tc>
          <w:tcPr>
            <w:tcW w:w="851"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w:t>
            </w:r>
          </w:p>
        </w:tc>
        <w:tc>
          <w:tcPr>
            <w:tcW w:w="1134"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2,880</w:t>
            </w:r>
          </w:p>
        </w:tc>
      </w:tr>
      <w:tr w:rsidR="00B951B1" w:rsidRPr="00E61612" w:rsidTr="00CB78E6">
        <w:trPr>
          <w:trHeight w:val="1605"/>
          <w:jc w:val="center"/>
        </w:trPr>
        <w:tc>
          <w:tcPr>
            <w:tcW w:w="992" w:type="dxa"/>
            <w:vMerge/>
            <w:tcBorders>
              <w:top w:val="nil"/>
              <w:left w:val="single" w:sz="4" w:space="0" w:color="auto"/>
              <w:bottom w:val="single" w:sz="4" w:space="0" w:color="auto"/>
              <w:right w:val="single" w:sz="4" w:space="0" w:color="auto"/>
            </w:tcBorders>
            <w:shd w:val="clear" w:color="auto" w:fill="FFFFFF"/>
            <w:hideMark/>
          </w:tcPr>
          <w:p w:rsidR="00B951B1" w:rsidRPr="00E61612" w:rsidRDefault="00B951B1" w:rsidP="00CB78E6">
            <w:pPr>
              <w:spacing w:after="0"/>
              <w:outlineLvl w:val="1"/>
              <w:rPr>
                <w:rFonts w:eastAsia="Times New Roman" w:cs="Calibri"/>
                <w:sz w:val="16"/>
                <w:szCs w:val="16"/>
              </w:rPr>
            </w:pPr>
          </w:p>
        </w:tc>
        <w:tc>
          <w:tcPr>
            <w:tcW w:w="993" w:type="dxa"/>
            <w:vMerge/>
            <w:tcBorders>
              <w:top w:val="nil"/>
              <w:left w:val="single" w:sz="4" w:space="0" w:color="auto"/>
              <w:bottom w:val="single" w:sz="4" w:space="0" w:color="auto"/>
              <w:right w:val="single" w:sz="4" w:space="0" w:color="auto"/>
            </w:tcBorders>
            <w:shd w:val="clear" w:color="auto" w:fill="FFFFFF"/>
            <w:hideMark/>
          </w:tcPr>
          <w:p w:rsidR="00B951B1" w:rsidRPr="00E61612" w:rsidRDefault="00B951B1" w:rsidP="00CB78E6">
            <w:pPr>
              <w:spacing w:after="0"/>
              <w:outlineLvl w:val="1"/>
              <w:rPr>
                <w:rFonts w:eastAsia="Times New Roman" w:cs="Calibri"/>
                <w:sz w:val="16"/>
                <w:szCs w:val="16"/>
              </w:rPr>
            </w:pPr>
          </w:p>
        </w:tc>
        <w:tc>
          <w:tcPr>
            <w:tcW w:w="992" w:type="dxa"/>
            <w:vMerge/>
            <w:tcBorders>
              <w:top w:val="nil"/>
              <w:left w:val="single" w:sz="4" w:space="0" w:color="auto"/>
              <w:bottom w:val="single" w:sz="4" w:space="0" w:color="000000"/>
              <w:right w:val="single" w:sz="4" w:space="0" w:color="auto"/>
            </w:tcBorders>
            <w:shd w:val="clear" w:color="auto" w:fill="FFFFFF"/>
            <w:hideMark/>
          </w:tcPr>
          <w:p w:rsidR="00B951B1" w:rsidRPr="00E61612" w:rsidRDefault="00B951B1" w:rsidP="00CB78E6">
            <w:pPr>
              <w:spacing w:after="0"/>
              <w:outlineLvl w:val="1"/>
              <w:rPr>
                <w:rFonts w:eastAsia="Times New Roman" w:cs="Calibri"/>
                <w:sz w:val="16"/>
                <w:szCs w:val="16"/>
              </w:rPr>
            </w:pPr>
          </w:p>
        </w:tc>
        <w:tc>
          <w:tcPr>
            <w:tcW w:w="1309" w:type="dxa"/>
            <w:tcBorders>
              <w:top w:val="nil"/>
              <w:left w:val="nil"/>
              <w:bottom w:val="single" w:sz="4" w:space="0" w:color="auto"/>
              <w:right w:val="single" w:sz="4" w:space="0" w:color="auto"/>
            </w:tcBorders>
            <w:shd w:val="clear" w:color="auto" w:fill="FFFFFF"/>
            <w:hideMark/>
          </w:tcPr>
          <w:p w:rsidR="00B951B1" w:rsidRPr="00E61612" w:rsidRDefault="00B951B1" w:rsidP="00CB78E6">
            <w:pPr>
              <w:spacing w:after="0"/>
              <w:outlineLvl w:val="1"/>
              <w:rPr>
                <w:rFonts w:eastAsia="Times New Roman" w:cs="Calibri"/>
                <w:sz w:val="16"/>
                <w:szCs w:val="16"/>
              </w:rPr>
            </w:pPr>
            <w:r w:rsidRPr="00E61612">
              <w:rPr>
                <w:rFonts w:eastAsia="Times New Roman" w:cs="Calibri"/>
                <w:sz w:val="16"/>
                <w:szCs w:val="16"/>
              </w:rPr>
              <w:t>A1.1.3. Përfshirja e të gjithë fëmijëve të moshës 5-6</w:t>
            </w:r>
            <w:r>
              <w:rPr>
                <w:rFonts w:eastAsia="Times New Roman" w:cs="Calibri"/>
                <w:sz w:val="16"/>
                <w:szCs w:val="16"/>
              </w:rPr>
              <w:t>-</w:t>
            </w:r>
            <w:r w:rsidRPr="00E61612">
              <w:rPr>
                <w:rFonts w:eastAsia="Times New Roman" w:cs="Calibri"/>
                <w:sz w:val="16"/>
                <w:szCs w:val="16"/>
              </w:rPr>
              <w:t>vjeç</w:t>
            </w:r>
            <w:r>
              <w:rPr>
                <w:rFonts w:eastAsia="Times New Roman" w:cs="Calibri"/>
                <w:sz w:val="16"/>
                <w:szCs w:val="16"/>
              </w:rPr>
              <w:t>are</w:t>
            </w:r>
            <w:r w:rsidRPr="00E61612">
              <w:rPr>
                <w:rFonts w:eastAsia="Times New Roman" w:cs="Calibri"/>
                <w:sz w:val="16"/>
                <w:szCs w:val="16"/>
              </w:rPr>
              <w:t xml:space="preserve"> në grupet e 3-ta në kopshte ose në klasa përgatitore. </w:t>
            </w:r>
          </w:p>
        </w:tc>
        <w:tc>
          <w:tcPr>
            <w:tcW w:w="1067" w:type="dxa"/>
            <w:tcBorders>
              <w:top w:val="nil"/>
              <w:left w:val="single" w:sz="4" w:space="0" w:color="auto"/>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142,507</w:t>
            </w:r>
          </w:p>
        </w:tc>
        <w:tc>
          <w:tcPr>
            <w:tcW w:w="851"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w:t>
            </w:r>
          </w:p>
        </w:tc>
        <w:tc>
          <w:tcPr>
            <w:tcW w:w="992"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w:t>
            </w:r>
          </w:p>
        </w:tc>
        <w:tc>
          <w:tcPr>
            <w:tcW w:w="992" w:type="dxa"/>
            <w:gridSpan w:val="2"/>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w:t>
            </w:r>
          </w:p>
        </w:tc>
        <w:tc>
          <w:tcPr>
            <w:tcW w:w="992"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142,507</w:t>
            </w:r>
          </w:p>
        </w:tc>
        <w:tc>
          <w:tcPr>
            <w:tcW w:w="993"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142,507</w:t>
            </w:r>
          </w:p>
        </w:tc>
        <w:tc>
          <w:tcPr>
            <w:tcW w:w="992"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w:t>
            </w:r>
          </w:p>
        </w:tc>
        <w:tc>
          <w:tcPr>
            <w:tcW w:w="992"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w:t>
            </w:r>
          </w:p>
        </w:tc>
        <w:tc>
          <w:tcPr>
            <w:tcW w:w="992"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(142,507)</w:t>
            </w:r>
          </w:p>
        </w:tc>
        <w:tc>
          <w:tcPr>
            <w:tcW w:w="851"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w:t>
            </w:r>
          </w:p>
        </w:tc>
        <w:tc>
          <w:tcPr>
            <w:tcW w:w="1134"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142,507</w:t>
            </w:r>
          </w:p>
        </w:tc>
      </w:tr>
      <w:tr w:rsidR="00B951B1" w:rsidRPr="00E61612" w:rsidTr="00CB78E6">
        <w:trPr>
          <w:trHeight w:val="2040"/>
          <w:jc w:val="center"/>
        </w:trPr>
        <w:tc>
          <w:tcPr>
            <w:tcW w:w="992" w:type="dxa"/>
            <w:vMerge/>
            <w:tcBorders>
              <w:top w:val="nil"/>
              <w:left w:val="single" w:sz="4" w:space="0" w:color="auto"/>
              <w:bottom w:val="single" w:sz="4" w:space="0" w:color="auto"/>
              <w:right w:val="single" w:sz="4" w:space="0" w:color="auto"/>
            </w:tcBorders>
            <w:shd w:val="clear" w:color="auto" w:fill="FFFFFF"/>
            <w:hideMark/>
          </w:tcPr>
          <w:p w:rsidR="00B951B1" w:rsidRPr="00E61612" w:rsidRDefault="00B951B1" w:rsidP="00CB78E6">
            <w:pPr>
              <w:spacing w:after="0"/>
              <w:outlineLvl w:val="1"/>
              <w:rPr>
                <w:rFonts w:eastAsia="Times New Roman" w:cs="Calibri"/>
                <w:sz w:val="16"/>
                <w:szCs w:val="16"/>
              </w:rPr>
            </w:pPr>
          </w:p>
        </w:tc>
        <w:tc>
          <w:tcPr>
            <w:tcW w:w="993" w:type="dxa"/>
            <w:vMerge/>
            <w:tcBorders>
              <w:top w:val="nil"/>
              <w:left w:val="single" w:sz="4" w:space="0" w:color="auto"/>
              <w:bottom w:val="single" w:sz="4" w:space="0" w:color="auto"/>
              <w:right w:val="single" w:sz="4" w:space="0" w:color="auto"/>
            </w:tcBorders>
            <w:shd w:val="clear" w:color="auto" w:fill="FFFFFF"/>
            <w:hideMark/>
          </w:tcPr>
          <w:p w:rsidR="00B951B1" w:rsidRPr="00E61612" w:rsidRDefault="00B951B1" w:rsidP="00CB78E6">
            <w:pPr>
              <w:spacing w:after="0"/>
              <w:outlineLvl w:val="1"/>
              <w:rPr>
                <w:rFonts w:eastAsia="Times New Roman" w:cs="Calibri"/>
                <w:sz w:val="16"/>
                <w:szCs w:val="16"/>
              </w:rPr>
            </w:pPr>
          </w:p>
        </w:tc>
        <w:tc>
          <w:tcPr>
            <w:tcW w:w="992" w:type="dxa"/>
            <w:vMerge w:val="restart"/>
            <w:tcBorders>
              <w:top w:val="nil"/>
              <w:left w:val="single" w:sz="4" w:space="0" w:color="auto"/>
              <w:bottom w:val="single" w:sz="4" w:space="0" w:color="000000"/>
              <w:right w:val="single" w:sz="4" w:space="0" w:color="auto"/>
            </w:tcBorders>
            <w:shd w:val="clear" w:color="auto" w:fill="FFFFFF"/>
            <w:hideMark/>
          </w:tcPr>
          <w:p w:rsidR="00B951B1" w:rsidRPr="00E61612" w:rsidRDefault="00B951B1" w:rsidP="00CB78E6">
            <w:pPr>
              <w:spacing w:after="0"/>
              <w:outlineLvl w:val="1"/>
              <w:rPr>
                <w:rFonts w:eastAsia="Times New Roman" w:cs="Calibri"/>
                <w:sz w:val="16"/>
                <w:szCs w:val="16"/>
              </w:rPr>
            </w:pPr>
            <w:r w:rsidRPr="00E61612">
              <w:rPr>
                <w:rFonts w:eastAsia="Times New Roman" w:cs="Calibri"/>
                <w:sz w:val="16"/>
                <w:szCs w:val="16"/>
              </w:rPr>
              <w:t>A1.2. Rritja e pjesëmarrjes në arsimin parauniversitar</w:t>
            </w:r>
          </w:p>
        </w:tc>
        <w:tc>
          <w:tcPr>
            <w:tcW w:w="1309" w:type="dxa"/>
            <w:tcBorders>
              <w:top w:val="nil"/>
              <w:left w:val="nil"/>
              <w:bottom w:val="single" w:sz="4" w:space="0" w:color="auto"/>
              <w:right w:val="single" w:sz="4" w:space="0" w:color="auto"/>
            </w:tcBorders>
            <w:shd w:val="clear" w:color="auto" w:fill="FFFFFF"/>
            <w:hideMark/>
          </w:tcPr>
          <w:p w:rsidR="00B951B1" w:rsidRPr="00E61612" w:rsidRDefault="00B951B1" w:rsidP="00CB78E6">
            <w:pPr>
              <w:spacing w:after="0"/>
              <w:outlineLvl w:val="1"/>
              <w:rPr>
                <w:rFonts w:eastAsia="Times New Roman" w:cs="Calibri"/>
                <w:sz w:val="16"/>
                <w:szCs w:val="16"/>
              </w:rPr>
            </w:pPr>
            <w:r w:rsidRPr="00E61612">
              <w:rPr>
                <w:rFonts w:eastAsia="Times New Roman" w:cs="Calibri"/>
                <w:sz w:val="16"/>
                <w:szCs w:val="16"/>
              </w:rPr>
              <w:t>A1.2.1. Krijimi i sistemit për parandalim dhe reagim ndaj mosregjistrimit në shkollë dhe braktisjes së nxënësve në arsimin fillor, të mesëm të ulët dhe të lartë</w:t>
            </w:r>
          </w:p>
        </w:tc>
        <w:tc>
          <w:tcPr>
            <w:tcW w:w="1067" w:type="dxa"/>
            <w:tcBorders>
              <w:top w:val="nil"/>
              <w:left w:val="single" w:sz="4" w:space="0" w:color="auto"/>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w:t>
            </w:r>
          </w:p>
        </w:tc>
        <w:tc>
          <w:tcPr>
            <w:tcW w:w="851"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6,814</w:t>
            </w:r>
          </w:p>
        </w:tc>
        <w:tc>
          <w:tcPr>
            <w:tcW w:w="992"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w:t>
            </w:r>
          </w:p>
        </w:tc>
        <w:tc>
          <w:tcPr>
            <w:tcW w:w="992" w:type="dxa"/>
            <w:gridSpan w:val="2"/>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6,814</w:t>
            </w:r>
          </w:p>
        </w:tc>
        <w:tc>
          <w:tcPr>
            <w:tcW w:w="992"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w:t>
            </w:r>
          </w:p>
        </w:tc>
        <w:tc>
          <w:tcPr>
            <w:tcW w:w="993"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6,814</w:t>
            </w:r>
          </w:p>
        </w:tc>
        <w:tc>
          <w:tcPr>
            <w:tcW w:w="992"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w:t>
            </w:r>
          </w:p>
        </w:tc>
        <w:tc>
          <w:tcPr>
            <w:tcW w:w="992"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6,814</w:t>
            </w:r>
          </w:p>
        </w:tc>
        <w:tc>
          <w:tcPr>
            <w:tcW w:w="992"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w:t>
            </w:r>
          </w:p>
        </w:tc>
        <w:tc>
          <w:tcPr>
            <w:tcW w:w="851"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w:t>
            </w:r>
          </w:p>
        </w:tc>
        <w:tc>
          <w:tcPr>
            <w:tcW w:w="1134"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6,814</w:t>
            </w:r>
          </w:p>
        </w:tc>
      </w:tr>
      <w:tr w:rsidR="00B951B1" w:rsidRPr="00E61612" w:rsidTr="00CB78E6">
        <w:trPr>
          <w:trHeight w:val="1530"/>
          <w:jc w:val="center"/>
        </w:trPr>
        <w:tc>
          <w:tcPr>
            <w:tcW w:w="992" w:type="dxa"/>
            <w:vMerge/>
            <w:tcBorders>
              <w:top w:val="nil"/>
              <w:left w:val="single" w:sz="4" w:space="0" w:color="auto"/>
              <w:bottom w:val="single" w:sz="4" w:space="0" w:color="auto"/>
              <w:right w:val="single" w:sz="4" w:space="0" w:color="auto"/>
            </w:tcBorders>
            <w:shd w:val="clear" w:color="auto" w:fill="FFFFFF"/>
            <w:hideMark/>
          </w:tcPr>
          <w:p w:rsidR="00B951B1" w:rsidRPr="00E61612" w:rsidRDefault="00B951B1" w:rsidP="00CB78E6">
            <w:pPr>
              <w:spacing w:after="0"/>
              <w:outlineLvl w:val="1"/>
              <w:rPr>
                <w:rFonts w:eastAsia="Times New Roman" w:cs="Calibri"/>
                <w:sz w:val="16"/>
                <w:szCs w:val="16"/>
              </w:rPr>
            </w:pPr>
          </w:p>
        </w:tc>
        <w:tc>
          <w:tcPr>
            <w:tcW w:w="993" w:type="dxa"/>
            <w:vMerge/>
            <w:tcBorders>
              <w:top w:val="nil"/>
              <w:left w:val="single" w:sz="4" w:space="0" w:color="auto"/>
              <w:bottom w:val="single" w:sz="4" w:space="0" w:color="auto"/>
              <w:right w:val="single" w:sz="4" w:space="0" w:color="auto"/>
            </w:tcBorders>
            <w:shd w:val="clear" w:color="auto" w:fill="FFFFFF"/>
            <w:hideMark/>
          </w:tcPr>
          <w:p w:rsidR="00B951B1" w:rsidRPr="00E61612" w:rsidRDefault="00B951B1" w:rsidP="00CB78E6">
            <w:pPr>
              <w:spacing w:after="0"/>
              <w:outlineLvl w:val="1"/>
              <w:rPr>
                <w:rFonts w:eastAsia="Times New Roman" w:cs="Calibri"/>
                <w:sz w:val="16"/>
                <w:szCs w:val="16"/>
              </w:rPr>
            </w:pPr>
          </w:p>
        </w:tc>
        <w:tc>
          <w:tcPr>
            <w:tcW w:w="992" w:type="dxa"/>
            <w:vMerge/>
            <w:tcBorders>
              <w:top w:val="nil"/>
              <w:left w:val="single" w:sz="4" w:space="0" w:color="auto"/>
              <w:bottom w:val="single" w:sz="4" w:space="0" w:color="000000"/>
              <w:right w:val="single" w:sz="4" w:space="0" w:color="auto"/>
            </w:tcBorders>
            <w:shd w:val="clear" w:color="auto" w:fill="FFFFFF"/>
            <w:hideMark/>
          </w:tcPr>
          <w:p w:rsidR="00B951B1" w:rsidRPr="00E61612" w:rsidRDefault="00B951B1" w:rsidP="00CB78E6">
            <w:pPr>
              <w:spacing w:after="0"/>
              <w:outlineLvl w:val="1"/>
              <w:rPr>
                <w:rFonts w:eastAsia="Times New Roman" w:cs="Calibri"/>
                <w:sz w:val="16"/>
                <w:szCs w:val="16"/>
              </w:rPr>
            </w:pPr>
          </w:p>
        </w:tc>
        <w:tc>
          <w:tcPr>
            <w:tcW w:w="1309" w:type="dxa"/>
            <w:tcBorders>
              <w:top w:val="nil"/>
              <w:left w:val="nil"/>
              <w:bottom w:val="single" w:sz="4" w:space="0" w:color="auto"/>
              <w:right w:val="single" w:sz="4" w:space="0" w:color="auto"/>
            </w:tcBorders>
            <w:shd w:val="clear" w:color="auto" w:fill="FFFFFF"/>
            <w:hideMark/>
          </w:tcPr>
          <w:p w:rsidR="00B951B1" w:rsidRPr="00E61612" w:rsidRDefault="00B951B1" w:rsidP="00CB78E6">
            <w:pPr>
              <w:spacing w:after="0"/>
              <w:outlineLvl w:val="1"/>
              <w:rPr>
                <w:rFonts w:eastAsia="Times New Roman" w:cs="Calibri"/>
                <w:sz w:val="16"/>
                <w:szCs w:val="16"/>
              </w:rPr>
            </w:pPr>
            <w:r w:rsidRPr="00E61612">
              <w:rPr>
                <w:rFonts w:eastAsia="Times New Roman" w:cs="Calibri"/>
                <w:sz w:val="16"/>
                <w:szCs w:val="16"/>
              </w:rPr>
              <w:t>A1.2.2. Ofrimi i transportit për nxënësit në nevojë e shkollave të mesme të larta që plotësojnë kriteret e përcaktuara</w:t>
            </w:r>
          </w:p>
        </w:tc>
        <w:tc>
          <w:tcPr>
            <w:tcW w:w="1067" w:type="dxa"/>
            <w:tcBorders>
              <w:top w:val="nil"/>
              <w:left w:val="single" w:sz="4" w:space="0" w:color="auto"/>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w:t>
            </w:r>
          </w:p>
        </w:tc>
        <w:tc>
          <w:tcPr>
            <w:tcW w:w="851"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108,000</w:t>
            </w:r>
          </w:p>
        </w:tc>
        <w:tc>
          <w:tcPr>
            <w:tcW w:w="992"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w:t>
            </w:r>
          </w:p>
        </w:tc>
        <w:tc>
          <w:tcPr>
            <w:tcW w:w="992" w:type="dxa"/>
            <w:gridSpan w:val="2"/>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108,000</w:t>
            </w:r>
          </w:p>
        </w:tc>
        <w:tc>
          <w:tcPr>
            <w:tcW w:w="992"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w:t>
            </w:r>
          </w:p>
        </w:tc>
        <w:tc>
          <w:tcPr>
            <w:tcW w:w="993"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108,000</w:t>
            </w:r>
          </w:p>
        </w:tc>
        <w:tc>
          <w:tcPr>
            <w:tcW w:w="992"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w:t>
            </w:r>
          </w:p>
        </w:tc>
        <w:tc>
          <w:tcPr>
            <w:tcW w:w="992"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w:t>
            </w:r>
          </w:p>
        </w:tc>
        <w:tc>
          <w:tcPr>
            <w:tcW w:w="992"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(108,000)</w:t>
            </w:r>
          </w:p>
        </w:tc>
        <w:tc>
          <w:tcPr>
            <w:tcW w:w="851"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w:t>
            </w:r>
          </w:p>
        </w:tc>
        <w:tc>
          <w:tcPr>
            <w:tcW w:w="1134"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108,000</w:t>
            </w:r>
          </w:p>
        </w:tc>
      </w:tr>
      <w:tr w:rsidR="00B951B1" w:rsidRPr="00E61612" w:rsidTr="00CB78E6">
        <w:trPr>
          <w:trHeight w:val="2314"/>
          <w:jc w:val="center"/>
        </w:trPr>
        <w:tc>
          <w:tcPr>
            <w:tcW w:w="992" w:type="dxa"/>
            <w:vMerge/>
            <w:tcBorders>
              <w:top w:val="nil"/>
              <w:left w:val="single" w:sz="4" w:space="0" w:color="auto"/>
              <w:bottom w:val="single" w:sz="4" w:space="0" w:color="auto"/>
              <w:right w:val="single" w:sz="4" w:space="0" w:color="auto"/>
            </w:tcBorders>
            <w:shd w:val="clear" w:color="auto" w:fill="FFFFFF"/>
            <w:hideMark/>
          </w:tcPr>
          <w:p w:rsidR="00B951B1" w:rsidRPr="00E61612" w:rsidRDefault="00B951B1" w:rsidP="00CB78E6">
            <w:pPr>
              <w:spacing w:after="0"/>
              <w:outlineLvl w:val="1"/>
              <w:rPr>
                <w:rFonts w:eastAsia="Times New Roman" w:cs="Calibri"/>
                <w:sz w:val="16"/>
                <w:szCs w:val="16"/>
              </w:rPr>
            </w:pPr>
          </w:p>
        </w:tc>
        <w:tc>
          <w:tcPr>
            <w:tcW w:w="993" w:type="dxa"/>
            <w:vMerge/>
            <w:tcBorders>
              <w:top w:val="nil"/>
              <w:left w:val="single" w:sz="4" w:space="0" w:color="auto"/>
              <w:bottom w:val="single" w:sz="4" w:space="0" w:color="auto"/>
              <w:right w:val="single" w:sz="4" w:space="0" w:color="auto"/>
            </w:tcBorders>
            <w:shd w:val="clear" w:color="auto" w:fill="FFFFFF"/>
            <w:hideMark/>
          </w:tcPr>
          <w:p w:rsidR="00B951B1" w:rsidRPr="00E61612" w:rsidRDefault="00B951B1" w:rsidP="00CB78E6">
            <w:pPr>
              <w:spacing w:after="0"/>
              <w:outlineLvl w:val="1"/>
              <w:rPr>
                <w:rFonts w:eastAsia="Times New Roman" w:cs="Calibri"/>
                <w:sz w:val="16"/>
                <w:szCs w:val="16"/>
              </w:rPr>
            </w:pPr>
          </w:p>
        </w:tc>
        <w:tc>
          <w:tcPr>
            <w:tcW w:w="992" w:type="dxa"/>
            <w:vMerge w:val="restart"/>
            <w:tcBorders>
              <w:top w:val="nil"/>
              <w:left w:val="single" w:sz="4" w:space="0" w:color="auto"/>
              <w:bottom w:val="single" w:sz="4" w:space="0" w:color="000000"/>
              <w:right w:val="single" w:sz="4" w:space="0" w:color="auto"/>
            </w:tcBorders>
            <w:shd w:val="clear" w:color="auto" w:fill="FFFFFF"/>
            <w:hideMark/>
          </w:tcPr>
          <w:p w:rsidR="00B951B1" w:rsidRPr="00E61612" w:rsidRDefault="00B951B1" w:rsidP="00CB78E6">
            <w:pPr>
              <w:spacing w:after="0"/>
              <w:outlineLvl w:val="1"/>
              <w:rPr>
                <w:rFonts w:eastAsia="Times New Roman" w:cs="Calibri"/>
                <w:sz w:val="16"/>
                <w:szCs w:val="16"/>
              </w:rPr>
            </w:pPr>
            <w:r w:rsidRPr="00E61612">
              <w:rPr>
                <w:rFonts w:eastAsia="Times New Roman" w:cs="Calibri"/>
                <w:sz w:val="16"/>
                <w:szCs w:val="16"/>
              </w:rPr>
              <w:t>A1.3. Sigurimi i arsimit cilësor për fëmijët nga grupet vulnerabël</w:t>
            </w:r>
          </w:p>
        </w:tc>
        <w:tc>
          <w:tcPr>
            <w:tcW w:w="1309" w:type="dxa"/>
            <w:tcBorders>
              <w:top w:val="nil"/>
              <w:left w:val="nil"/>
              <w:bottom w:val="single" w:sz="4" w:space="0" w:color="auto"/>
              <w:right w:val="single" w:sz="4" w:space="0" w:color="auto"/>
            </w:tcBorders>
            <w:shd w:val="clear" w:color="auto" w:fill="FFFFFF"/>
            <w:hideMark/>
          </w:tcPr>
          <w:p w:rsidR="00B951B1" w:rsidRPr="00E61612" w:rsidRDefault="00B951B1" w:rsidP="00CB78E6">
            <w:pPr>
              <w:spacing w:after="0"/>
              <w:outlineLvl w:val="1"/>
              <w:rPr>
                <w:rFonts w:eastAsia="Times New Roman" w:cs="Calibri"/>
                <w:sz w:val="16"/>
                <w:szCs w:val="16"/>
              </w:rPr>
            </w:pPr>
            <w:r w:rsidRPr="00E61612">
              <w:rPr>
                <w:rFonts w:eastAsia="Times New Roman" w:cs="Calibri"/>
                <w:sz w:val="16"/>
                <w:szCs w:val="16"/>
              </w:rPr>
              <w:t xml:space="preserve">A1.3.1. Sigurimi i mësuesve ndihmës për nxënësit me aftësi të kufizuara dhe i mësuesve që njohin gjuhën e shenjave </w:t>
            </w:r>
            <w:r>
              <w:rPr>
                <w:rFonts w:eastAsia="Times New Roman" w:cs="Calibri"/>
                <w:sz w:val="16"/>
                <w:szCs w:val="16"/>
              </w:rPr>
              <w:t xml:space="preserve">në </w:t>
            </w:r>
            <w:r w:rsidRPr="00E61612">
              <w:rPr>
                <w:rFonts w:eastAsia="Times New Roman" w:cs="Calibri"/>
                <w:sz w:val="16"/>
                <w:szCs w:val="16"/>
              </w:rPr>
              <w:t>shqip për nxënësit që nuk dëgjojnë</w:t>
            </w:r>
          </w:p>
        </w:tc>
        <w:tc>
          <w:tcPr>
            <w:tcW w:w="1067" w:type="dxa"/>
            <w:tcBorders>
              <w:top w:val="nil"/>
              <w:left w:val="single" w:sz="4" w:space="0" w:color="auto"/>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6,515,110</w:t>
            </w:r>
          </w:p>
        </w:tc>
        <w:tc>
          <w:tcPr>
            <w:tcW w:w="851"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w:t>
            </w:r>
          </w:p>
        </w:tc>
        <w:tc>
          <w:tcPr>
            <w:tcW w:w="992"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w:t>
            </w:r>
          </w:p>
        </w:tc>
        <w:tc>
          <w:tcPr>
            <w:tcW w:w="992" w:type="dxa"/>
            <w:gridSpan w:val="2"/>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w:t>
            </w:r>
          </w:p>
        </w:tc>
        <w:tc>
          <w:tcPr>
            <w:tcW w:w="992"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6,515,110</w:t>
            </w:r>
          </w:p>
        </w:tc>
        <w:tc>
          <w:tcPr>
            <w:tcW w:w="993"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6,515,110</w:t>
            </w:r>
          </w:p>
        </w:tc>
        <w:tc>
          <w:tcPr>
            <w:tcW w:w="992"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5,908,002</w:t>
            </w:r>
          </w:p>
        </w:tc>
        <w:tc>
          <w:tcPr>
            <w:tcW w:w="992"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w:t>
            </w:r>
          </w:p>
        </w:tc>
        <w:tc>
          <w:tcPr>
            <w:tcW w:w="992"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(607,108)</w:t>
            </w:r>
          </w:p>
        </w:tc>
        <w:tc>
          <w:tcPr>
            <w:tcW w:w="851"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w:t>
            </w:r>
          </w:p>
        </w:tc>
        <w:tc>
          <w:tcPr>
            <w:tcW w:w="1134"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6,515,110</w:t>
            </w:r>
          </w:p>
        </w:tc>
      </w:tr>
      <w:tr w:rsidR="00B951B1" w:rsidRPr="00E61612" w:rsidTr="00CB78E6">
        <w:trPr>
          <w:trHeight w:val="1530"/>
          <w:jc w:val="center"/>
        </w:trPr>
        <w:tc>
          <w:tcPr>
            <w:tcW w:w="992" w:type="dxa"/>
            <w:vMerge/>
            <w:tcBorders>
              <w:top w:val="nil"/>
              <w:left w:val="single" w:sz="4" w:space="0" w:color="auto"/>
              <w:bottom w:val="single" w:sz="4" w:space="0" w:color="auto"/>
              <w:right w:val="single" w:sz="4" w:space="0" w:color="auto"/>
            </w:tcBorders>
            <w:shd w:val="clear" w:color="auto" w:fill="FFFFFF"/>
            <w:hideMark/>
          </w:tcPr>
          <w:p w:rsidR="00B951B1" w:rsidRPr="00E61612" w:rsidRDefault="00B951B1" w:rsidP="00CB78E6">
            <w:pPr>
              <w:spacing w:after="0"/>
              <w:outlineLvl w:val="1"/>
              <w:rPr>
                <w:rFonts w:eastAsia="Times New Roman" w:cs="Calibri"/>
                <w:sz w:val="16"/>
                <w:szCs w:val="16"/>
              </w:rPr>
            </w:pPr>
          </w:p>
        </w:tc>
        <w:tc>
          <w:tcPr>
            <w:tcW w:w="993" w:type="dxa"/>
            <w:vMerge/>
            <w:tcBorders>
              <w:top w:val="nil"/>
              <w:left w:val="single" w:sz="4" w:space="0" w:color="auto"/>
              <w:bottom w:val="single" w:sz="4" w:space="0" w:color="auto"/>
              <w:right w:val="single" w:sz="4" w:space="0" w:color="auto"/>
            </w:tcBorders>
            <w:shd w:val="clear" w:color="auto" w:fill="FFFFFF"/>
            <w:hideMark/>
          </w:tcPr>
          <w:p w:rsidR="00B951B1" w:rsidRPr="00E61612" w:rsidRDefault="00B951B1" w:rsidP="00CB78E6">
            <w:pPr>
              <w:spacing w:after="0"/>
              <w:outlineLvl w:val="1"/>
              <w:rPr>
                <w:rFonts w:eastAsia="Times New Roman" w:cs="Calibri"/>
                <w:sz w:val="16"/>
                <w:szCs w:val="16"/>
              </w:rPr>
            </w:pPr>
          </w:p>
        </w:tc>
        <w:tc>
          <w:tcPr>
            <w:tcW w:w="992" w:type="dxa"/>
            <w:vMerge/>
            <w:tcBorders>
              <w:top w:val="nil"/>
              <w:left w:val="single" w:sz="4" w:space="0" w:color="auto"/>
              <w:bottom w:val="single" w:sz="4" w:space="0" w:color="000000"/>
              <w:right w:val="single" w:sz="4" w:space="0" w:color="auto"/>
            </w:tcBorders>
            <w:shd w:val="clear" w:color="auto" w:fill="FFFFFF"/>
            <w:hideMark/>
          </w:tcPr>
          <w:p w:rsidR="00B951B1" w:rsidRPr="00E61612" w:rsidRDefault="00B951B1" w:rsidP="00CB78E6">
            <w:pPr>
              <w:spacing w:after="0"/>
              <w:outlineLvl w:val="1"/>
              <w:rPr>
                <w:rFonts w:eastAsia="Times New Roman" w:cs="Calibri"/>
                <w:sz w:val="16"/>
                <w:szCs w:val="16"/>
              </w:rPr>
            </w:pPr>
          </w:p>
        </w:tc>
        <w:tc>
          <w:tcPr>
            <w:tcW w:w="1309" w:type="dxa"/>
            <w:tcBorders>
              <w:top w:val="nil"/>
              <w:left w:val="nil"/>
              <w:bottom w:val="single" w:sz="4" w:space="0" w:color="auto"/>
              <w:right w:val="single" w:sz="4" w:space="0" w:color="auto"/>
            </w:tcBorders>
            <w:shd w:val="clear" w:color="auto" w:fill="FFFFFF"/>
            <w:hideMark/>
          </w:tcPr>
          <w:p w:rsidR="00B951B1" w:rsidRPr="00E61612" w:rsidRDefault="00B951B1" w:rsidP="00CB78E6">
            <w:pPr>
              <w:spacing w:after="0"/>
              <w:outlineLvl w:val="1"/>
              <w:rPr>
                <w:rFonts w:eastAsia="Times New Roman" w:cs="Calibri"/>
                <w:sz w:val="16"/>
                <w:szCs w:val="16"/>
              </w:rPr>
            </w:pPr>
            <w:r w:rsidRPr="00E61612">
              <w:rPr>
                <w:rFonts w:eastAsia="Times New Roman" w:cs="Calibri"/>
                <w:sz w:val="16"/>
                <w:szCs w:val="16"/>
              </w:rPr>
              <w:t xml:space="preserve">A1.3.2. Zhvillimi i kapaciteteve të mësuesve ndihmës, si dhe i mësuesve që njohin gjuhën e shenjave </w:t>
            </w:r>
            <w:r>
              <w:rPr>
                <w:rFonts w:eastAsia="Times New Roman" w:cs="Calibri"/>
                <w:sz w:val="16"/>
                <w:szCs w:val="16"/>
              </w:rPr>
              <w:t xml:space="preserve">në </w:t>
            </w:r>
            <w:r w:rsidRPr="00E61612">
              <w:rPr>
                <w:rFonts w:eastAsia="Times New Roman" w:cs="Calibri"/>
                <w:sz w:val="16"/>
                <w:szCs w:val="16"/>
              </w:rPr>
              <w:t>shqip</w:t>
            </w:r>
          </w:p>
        </w:tc>
        <w:tc>
          <w:tcPr>
            <w:tcW w:w="1067" w:type="dxa"/>
            <w:tcBorders>
              <w:top w:val="nil"/>
              <w:left w:val="single" w:sz="4" w:space="0" w:color="auto"/>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w:t>
            </w:r>
          </w:p>
        </w:tc>
        <w:tc>
          <w:tcPr>
            <w:tcW w:w="851"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5,407</w:t>
            </w:r>
          </w:p>
        </w:tc>
        <w:tc>
          <w:tcPr>
            <w:tcW w:w="992"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w:t>
            </w:r>
          </w:p>
        </w:tc>
        <w:tc>
          <w:tcPr>
            <w:tcW w:w="992" w:type="dxa"/>
            <w:gridSpan w:val="2"/>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5,407</w:t>
            </w:r>
          </w:p>
        </w:tc>
        <w:tc>
          <w:tcPr>
            <w:tcW w:w="992"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w:t>
            </w:r>
          </w:p>
        </w:tc>
        <w:tc>
          <w:tcPr>
            <w:tcW w:w="993"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5,407</w:t>
            </w:r>
          </w:p>
        </w:tc>
        <w:tc>
          <w:tcPr>
            <w:tcW w:w="992"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w:t>
            </w:r>
          </w:p>
        </w:tc>
        <w:tc>
          <w:tcPr>
            <w:tcW w:w="992"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5,407</w:t>
            </w:r>
          </w:p>
        </w:tc>
        <w:tc>
          <w:tcPr>
            <w:tcW w:w="992"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w:t>
            </w:r>
          </w:p>
        </w:tc>
        <w:tc>
          <w:tcPr>
            <w:tcW w:w="851"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w:t>
            </w:r>
          </w:p>
        </w:tc>
        <w:tc>
          <w:tcPr>
            <w:tcW w:w="1134"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5,407</w:t>
            </w:r>
          </w:p>
        </w:tc>
      </w:tr>
      <w:tr w:rsidR="00B951B1" w:rsidRPr="00E61612" w:rsidTr="00CB78E6">
        <w:trPr>
          <w:trHeight w:val="1275"/>
          <w:jc w:val="center"/>
        </w:trPr>
        <w:tc>
          <w:tcPr>
            <w:tcW w:w="992" w:type="dxa"/>
            <w:vMerge/>
            <w:tcBorders>
              <w:top w:val="nil"/>
              <w:left w:val="single" w:sz="4" w:space="0" w:color="auto"/>
              <w:bottom w:val="single" w:sz="4" w:space="0" w:color="auto"/>
              <w:right w:val="single" w:sz="4" w:space="0" w:color="auto"/>
            </w:tcBorders>
            <w:shd w:val="clear" w:color="auto" w:fill="FFFFFF"/>
            <w:hideMark/>
          </w:tcPr>
          <w:p w:rsidR="00B951B1" w:rsidRPr="00E61612" w:rsidRDefault="00B951B1" w:rsidP="00CB78E6">
            <w:pPr>
              <w:spacing w:after="0"/>
              <w:outlineLvl w:val="1"/>
              <w:rPr>
                <w:rFonts w:eastAsia="Times New Roman" w:cs="Calibri"/>
                <w:sz w:val="16"/>
                <w:szCs w:val="16"/>
              </w:rPr>
            </w:pPr>
          </w:p>
        </w:tc>
        <w:tc>
          <w:tcPr>
            <w:tcW w:w="993" w:type="dxa"/>
            <w:vMerge/>
            <w:tcBorders>
              <w:top w:val="nil"/>
              <w:left w:val="single" w:sz="4" w:space="0" w:color="auto"/>
              <w:bottom w:val="single" w:sz="4" w:space="0" w:color="auto"/>
              <w:right w:val="single" w:sz="4" w:space="0" w:color="auto"/>
            </w:tcBorders>
            <w:shd w:val="clear" w:color="auto" w:fill="FFFFFF"/>
            <w:hideMark/>
          </w:tcPr>
          <w:p w:rsidR="00B951B1" w:rsidRPr="00E61612" w:rsidRDefault="00B951B1" w:rsidP="00CB78E6">
            <w:pPr>
              <w:spacing w:after="0"/>
              <w:outlineLvl w:val="1"/>
              <w:rPr>
                <w:rFonts w:eastAsia="Times New Roman" w:cs="Calibri"/>
                <w:sz w:val="16"/>
                <w:szCs w:val="16"/>
              </w:rPr>
            </w:pPr>
          </w:p>
        </w:tc>
        <w:tc>
          <w:tcPr>
            <w:tcW w:w="992" w:type="dxa"/>
            <w:vMerge/>
            <w:tcBorders>
              <w:top w:val="nil"/>
              <w:left w:val="single" w:sz="4" w:space="0" w:color="auto"/>
              <w:bottom w:val="single" w:sz="4" w:space="0" w:color="000000"/>
              <w:right w:val="single" w:sz="4" w:space="0" w:color="auto"/>
            </w:tcBorders>
            <w:shd w:val="clear" w:color="auto" w:fill="FFFFFF"/>
            <w:hideMark/>
          </w:tcPr>
          <w:p w:rsidR="00B951B1" w:rsidRPr="00E61612" w:rsidRDefault="00B951B1" w:rsidP="00CB78E6">
            <w:pPr>
              <w:spacing w:after="0"/>
              <w:outlineLvl w:val="1"/>
              <w:rPr>
                <w:rFonts w:eastAsia="Times New Roman" w:cs="Calibri"/>
                <w:sz w:val="16"/>
                <w:szCs w:val="16"/>
              </w:rPr>
            </w:pPr>
          </w:p>
        </w:tc>
        <w:tc>
          <w:tcPr>
            <w:tcW w:w="1309" w:type="dxa"/>
            <w:tcBorders>
              <w:top w:val="nil"/>
              <w:left w:val="nil"/>
              <w:bottom w:val="single" w:sz="4" w:space="0" w:color="auto"/>
              <w:right w:val="single" w:sz="4" w:space="0" w:color="auto"/>
            </w:tcBorders>
            <w:shd w:val="clear" w:color="auto" w:fill="FFFFFF"/>
            <w:hideMark/>
          </w:tcPr>
          <w:p w:rsidR="00B951B1" w:rsidRPr="00E61612" w:rsidRDefault="00B951B1" w:rsidP="00CB78E6">
            <w:pPr>
              <w:spacing w:after="0"/>
              <w:outlineLvl w:val="1"/>
              <w:rPr>
                <w:rFonts w:eastAsia="Times New Roman" w:cs="Calibri"/>
                <w:sz w:val="16"/>
                <w:szCs w:val="16"/>
              </w:rPr>
            </w:pPr>
            <w:r w:rsidRPr="00E61612">
              <w:rPr>
                <w:rFonts w:eastAsia="Times New Roman" w:cs="Calibri"/>
                <w:sz w:val="16"/>
                <w:szCs w:val="16"/>
              </w:rPr>
              <w:t>A1.3.3. Fuqizimi i shkollave speciale dhe kthimi i tyre në qendra burimore për aftësinë e kufizuar</w:t>
            </w:r>
          </w:p>
        </w:tc>
        <w:tc>
          <w:tcPr>
            <w:tcW w:w="1067" w:type="dxa"/>
            <w:tcBorders>
              <w:top w:val="nil"/>
              <w:left w:val="single" w:sz="4" w:space="0" w:color="auto"/>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w:t>
            </w:r>
          </w:p>
        </w:tc>
        <w:tc>
          <w:tcPr>
            <w:tcW w:w="851"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18,200</w:t>
            </w:r>
          </w:p>
        </w:tc>
        <w:tc>
          <w:tcPr>
            <w:tcW w:w="992"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w:t>
            </w:r>
          </w:p>
        </w:tc>
        <w:tc>
          <w:tcPr>
            <w:tcW w:w="992" w:type="dxa"/>
            <w:gridSpan w:val="2"/>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18,200</w:t>
            </w:r>
          </w:p>
        </w:tc>
        <w:tc>
          <w:tcPr>
            <w:tcW w:w="992"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w:t>
            </w:r>
          </w:p>
        </w:tc>
        <w:tc>
          <w:tcPr>
            <w:tcW w:w="993"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18,200</w:t>
            </w:r>
          </w:p>
        </w:tc>
        <w:tc>
          <w:tcPr>
            <w:tcW w:w="992"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w:t>
            </w:r>
          </w:p>
        </w:tc>
        <w:tc>
          <w:tcPr>
            <w:tcW w:w="992"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w:t>
            </w:r>
          </w:p>
        </w:tc>
        <w:tc>
          <w:tcPr>
            <w:tcW w:w="992"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(18,200)</w:t>
            </w:r>
          </w:p>
        </w:tc>
        <w:tc>
          <w:tcPr>
            <w:tcW w:w="851"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w:t>
            </w:r>
          </w:p>
        </w:tc>
        <w:tc>
          <w:tcPr>
            <w:tcW w:w="1134"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18,200</w:t>
            </w:r>
          </w:p>
        </w:tc>
      </w:tr>
      <w:tr w:rsidR="00B951B1" w:rsidRPr="00E61612" w:rsidTr="00CB78E6">
        <w:trPr>
          <w:trHeight w:val="1530"/>
          <w:jc w:val="center"/>
        </w:trPr>
        <w:tc>
          <w:tcPr>
            <w:tcW w:w="992" w:type="dxa"/>
            <w:vMerge/>
            <w:tcBorders>
              <w:top w:val="nil"/>
              <w:left w:val="single" w:sz="4" w:space="0" w:color="auto"/>
              <w:bottom w:val="single" w:sz="4" w:space="0" w:color="auto"/>
              <w:right w:val="single" w:sz="4" w:space="0" w:color="auto"/>
            </w:tcBorders>
            <w:shd w:val="clear" w:color="auto" w:fill="FFFFFF"/>
            <w:hideMark/>
          </w:tcPr>
          <w:p w:rsidR="00B951B1" w:rsidRPr="00E61612" w:rsidRDefault="00B951B1" w:rsidP="00CB78E6">
            <w:pPr>
              <w:spacing w:after="0"/>
              <w:outlineLvl w:val="1"/>
              <w:rPr>
                <w:rFonts w:eastAsia="Times New Roman" w:cs="Calibri"/>
                <w:sz w:val="16"/>
                <w:szCs w:val="16"/>
              </w:rPr>
            </w:pPr>
          </w:p>
        </w:tc>
        <w:tc>
          <w:tcPr>
            <w:tcW w:w="993" w:type="dxa"/>
            <w:vMerge/>
            <w:tcBorders>
              <w:top w:val="nil"/>
              <w:left w:val="single" w:sz="4" w:space="0" w:color="auto"/>
              <w:bottom w:val="single" w:sz="4" w:space="0" w:color="auto"/>
              <w:right w:val="single" w:sz="4" w:space="0" w:color="auto"/>
            </w:tcBorders>
            <w:shd w:val="clear" w:color="auto" w:fill="FFFFFF"/>
            <w:hideMark/>
          </w:tcPr>
          <w:p w:rsidR="00B951B1" w:rsidRPr="00E61612" w:rsidRDefault="00B951B1" w:rsidP="00CB78E6">
            <w:pPr>
              <w:spacing w:after="0"/>
              <w:outlineLvl w:val="1"/>
              <w:rPr>
                <w:rFonts w:eastAsia="Times New Roman" w:cs="Calibri"/>
                <w:sz w:val="16"/>
                <w:szCs w:val="16"/>
              </w:rPr>
            </w:pPr>
          </w:p>
        </w:tc>
        <w:tc>
          <w:tcPr>
            <w:tcW w:w="992" w:type="dxa"/>
            <w:vMerge/>
            <w:tcBorders>
              <w:top w:val="nil"/>
              <w:left w:val="single" w:sz="4" w:space="0" w:color="auto"/>
              <w:bottom w:val="single" w:sz="4" w:space="0" w:color="000000"/>
              <w:right w:val="single" w:sz="4" w:space="0" w:color="auto"/>
            </w:tcBorders>
            <w:shd w:val="clear" w:color="auto" w:fill="FFFFFF"/>
            <w:hideMark/>
          </w:tcPr>
          <w:p w:rsidR="00B951B1" w:rsidRPr="00E61612" w:rsidRDefault="00B951B1" w:rsidP="00CB78E6">
            <w:pPr>
              <w:spacing w:after="0"/>
              <w:outlineLvl w:val="1"/>
              <w:rPr>
                <w:rFonts w:eastAsia="Times New Roman" w:cs="Calibri"/>
                <w:sz w:val="16"/>
                <w:szCs w:val="16"/>
              </w:rPr>
            </w:pPr>
          </w:p>
        </w:tc>
        <w:tc>
          <w:tcPr>
            <w:tcW w:w="1309" w:type="dxa"/>
            <w:tcBorders>
              <w:top w:val="nil"/>
              <w:left w:val="nil"/>
              <w:bottom w:val="single" w:sz="4" w:space="0" w:color="auto"/>
              <w:right w:val="single" w:sz="4" w:space="0" w:color="auto"/>
            </w:tcBorders>
            <w:shd w:val="clear" w:color="auto" w:fill="FFFFFF"/>
            <w:hideMark/>
          </w:tcPr>
          <w:p w:rsidR="00B951B1" w:rsidRPr="00E61612" w:rsidRDefault="00B951B1" w:rsidP="00CB78E6">
            <w:pPr>
              <w:spacing w:after="0"/>
              <w:outlineLvl w:val="1"/>
              <w:rPr>
                <w:rFonts w:eastAsia="Times New Roman" w:cs="Calibri"/>
                <w:sz w:val="16"/>
                <w:szCs w:val="16"/>
              </w:rPr>
            </w:pPr>
            <w:r w:rsidRPr="00E61612">
              <w:rPr>
                <w:rFonts w:eastAsia="Times New Roman" w:cs="Calibri"/>
                <w:sz w:val="16"/>
                <w:szCs w:val="16"/>
              </w:rPr>
              <w:t>A1.3.4. Pajisja e shkollave me mjete dhe programe teknologjike për t’i ardhur në ndihmë fëmijëve me aftësi të kufizuara</w:t>
            </w:r>
          </w:p>
        </w:tc>
        <w:tc>
          <w:tcPr>
            <w:tcW w:w="1067" w:type="dxa"/>
            <w:tcBorders>
              <w:top w:val="nil"/>
              <w:left w:val="single" w:sz="4" w:space="0" w:color="auto"/>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w:t>
            </w:r>
          </w:p>
        </w:tc>
        <w:tc>
          <w:tcPr>
            <w:tcW w:w="851"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480</w:t>
            </w:r>
          </w:p>
        </w:tc>
        <w:tc>
          <w:tcPr>
            <w:tcW w:w="992"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60,000</w:t>
            </w:r>
          </w:p>
        </w:tc>
        <w:tc>
          <w:tcPr>
            <w:tcW w:w="992" w:type="dxa"/>
            <w:gridSpan w:val="2"/>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60,480</w:t>
            </w:r>
          </w:p>
        </w:tc>
        <w:tc>
          <w:tcPr>
            <w:tcW w:w="992"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w:t>
            </w:r>
          </w:p>
        </w:tc>
        <w:tc>
          <w:tcPr>
            <w:tcW w:w="993"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60,480</w:t>
            </w:r>
          </w:p>
        </w:tc>
        <w:tc>
          <w:tcPr>
            <w:tcW w:w="992"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w:t>
            </w:r>
          </w:p>
        </w:tc>
        <w:tc>
          <w:tcPr>
            <w:tcW w:w="992"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20,480</w:t>
            </w:r>
          </w:p>
        </w:tc>
        <w:tc>
          <w:tcPr>
            <w:tcW w:w="992"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(40,000)</w:t>
            </w:r>
          </w:p>
        </w:tc>
        <w:tc>
          <w:tcPr>
            <w:tcW w:w="851"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w:t>
            </w:r>
          </w:p>
        </w:tc>
        <w:tc>
          <w:tcPr>
            <w:tcW w:w="1134"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60,480</w:t>
            </w:r>
          </w:p>
        </w:tc>
      </w:tr>
      <w:tr w:rsidR="00B951B1" w:rsidRPr="00E61612" w:rsidTr="00CB78E6">
        <w:trPr>
          <w:trHeight w:val="2123"/>
          <w:jc w:val="center"/>
        </w:trPr>
        <w:tc>
          <w:tcPr>
            <w:tcW w:w="992" w:type="dxa"/>
            <w:vMerge/>
            <w:tcBorders>
              <w:top w:val="nil"/>
              <w:left w:val="single" w:sz="4" w:space="0" w:color="auto"/>
              <w:bottom w:val="single" w:sz="4" w:space="0" w:color="auto"/>
              <w:right w:val="single" w:sz="4" w:space="0" w:color="auto"/>
            </w:tcBorders>
            <w:shd w:val="clear" w:color="auto" w:fill="FFFFFF"/>
            <w:hideMark/>
          </w:tcPr>
          <w:p w:rsidR="00B951B1" w:rsidRPr="00E61612" w:rsidRDefault="00B951B1" w:rsidP="00CB78E6">
            <w:pPr>
              <w:spacing w:after="0"/>
              <w:outlineLvl w:val="1"/>
              <w:rPr>
                <w:rFonts w:eastAsia="Times New Roman" w:cs="Calibri"/>
                <w:sz w:val="16"/>
                <w:szCs w:val="16"/>
              </w:rPr>
            </w:pPr>
          </w:p>
        </w:tc>
        <w:tc>
          <w:tcPr>
            <w:tcW w:w="993" w:type="dxa"/>
            <w:vMerge/>
            <w:tcBorders>
              <w:top w:val="nil"/>
              <w:left w:val="single" w:sz="4" w:space="0" w:color="auto"/>
              <w:bottom w:val="single" w:sz="4" w:space="0" w:color="auto"/>
              <w:right w:val="single" w:sz="4" w:space="0" w:color="auto"/>
            </w:tcBorders>
            <w:shd w:val="clear" w:color="auto" w:fill="FFFFFF"/>
            <w:hideMark/>
          </w:tcPr>
          <w:p w:rsidR="00B951B1" w:rsidRPr="00E61612" w:rsidRDefault="00B951B1" w:rsidP="00CB78E6">
            <w:pPr>
              <w:spacing w:after="0"/>
              <w:outlineLvl w:val="1"/>
              <w:rPr>
                <w:rFonts w:eastAsia="Times New Roman" w:cs="Calibri"/>
                <w:sz w:val="16"/>
                <w:szCs w:val="16"/>
              </w:rPr>
            </w:pPr>
          </w:p>
        </w:tc>
        <w:tc>
          <w:tcPr>
            <w:tcW w:w="992" w:type="dxa"/>
            <w:vMerge/>
            <w:tcBorders>
              <w:top w:val="nil"/>
              <w:left w:val="single" w:sz="4" w:space="0" w:color="auto"/>
              <w:bottom w:val="single" w:sz="4" w:space="0" w:color="000000"/>
              <w:right w:val="single" w:sz="4" w:space="0" w:color="auto"/>
            </w:tcBorders>
            <w:shd w:val="clear" w:color="auto" w:fill="FFFFFF"/>
            <w:hideMark/>
          </w:tcPr>
          <w:p w:rsidR="00B951B1" w:rsidRPr="00E61612" w:rsidRDefault="00B951B1" w:rsidP="00CB78E6">
            <w:pPr>
              <w:spacing w:after="0"/>
              <w:outlineLvl w:val="1"/>
              <w:rPr>
                <w:rFonts w:eastAsia="Times New Roman" w:cs="Calibri"/>
                <w:sz w:val="16"/>
                <w:szCs w:val="16"/>
              </w:rPr>
            </w:pPr>
          </w:p>
        </w:tc>
        <w:tc>
          <w:tcPr>
            <w:tcW w:w="1309" w:type="dxa"/>
            <w:tcBorders>
              <w:top w:val="nil"/>
              <w:left w:val="nil"/>
              <w:bottom w:val="single" w:sz="4" w:space="0" w:color="auto"/>
              <w:right w:val="single" w:sz="4" w:space="0" w:color="auto"/>
            </w:tcBorders>
            <w:shd w:val="clear" w:color="auto" w:fill="FFFFFF"/>
            <w:hideMark/>
          </w:tcPr>
          <w:p w:rsidR="00B951B1" w:rsidRPr="00E61612" w:rsidRDefault="00B951B1" w:rsidP="00CB78E6">
            <w:pPr>
              <w:spacing w:after="0"/>
              <w:outlineLvl w:val="1"/>
              <w:rPr>
                <w:rFonts w:eastAsia="Times New Roman" w:cs="Calibri"/>
                <w:sz w:val="16"/>
                <w:szCs w:val="16"/>
              </w:rPr>
            </w:pPr>
            <w:r w:rsidRPr="00E61612">
              <w:rPr>
                <w:rFonts w:eastAsia="Times New Roman" w:cs="Calibri"/>
                <w:sz w:val="16"/>
                <w:szCs w:val="16"/>
              </w:rPr>
              <w:t>A1.3.5. Përmirësimi i aksesueshmëri</w:t>
            </w:r>
            <w:r w:rsidR="00B86FFD">
              <w:rPr>
                <w:rFonts w:eastAsia="Times New Roman" w:cs="Calibri"/>
                <w:sz w:val="16"/>
                <w:szCs w:val="16"/>
              </w:rPr>
              <w:t>s</w:t>
            </w:r>
            <w:r w:rsidRPr="00E61612">
              <w:rPr>
                <w:rFonts w:eastAsia="Times New Roman" w:cs="Calibri"/>
                <w:sz w:val="16"/>
                <w:szCs w:val="16"/>
              </w:rPr>
              <w:t>ë së fëmijëve me aftësi të kufizuara në çdo shkollë dhe në të gjitha mjediset e shkollës</w:t>
            </w:r>
          </w:p>
        </w:tc>
        <w:tc>
          <w:tcPr>
            <w:tcW w:w="1067" w:type="dxa"/>
            <w:tcBorders>
              <w:top w:val="nil"/>
              <w:left w:val="single" w:sz="4" w:space="0" w:color="auto"/>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w:t>
            </w:r>
          </w:p>
        </w:tc>
        <w:tc>
          <w:tcPr>
            <w:tcW w:w="851"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w:t>
            </w:r>
          </w:p>
        </w:tc>
        <w:tc>
          <w:tcPr>
            <w:tcW w:w="992"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w:t>
            </w:r>
          </w:p>
        </w:tc>
        <w:tc>
          <w:tcPr>
            <w:tcW w:w="992" w:type="dxa"/>
            <w:gridSpan w:val="2"/>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w:t>
            </w:r>
          </w:p>
        </w:tc>
        <w:tc>
          <w:tcPr>
            <w:tcW w:w="992"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w:t>
            </w:r>
          </w:p>
        </w:tc>
        <w:tc>
          <w:tcPr>
            <w:tcW w:w="993"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w:t>
            </w:r>
          </w:p>
        </w:tc>
        <w:tc>
          <w:tcPr>
            <w:tcW w:w="992"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w:t>
            </w:r>
          </w:p>
        </w:tc>
        <w:tc>
          <w:tcPr>
            <w:tcW w:w="992"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w:t>
            </w:r>
          </w:p>
        </w:tc>
        <w:tc>
          <w:tcPr>
            <w:tcW w:w="992"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w:t>
            </w:r>
          </w:p>
        </w:tc>
        <w:tc>
          <w:tcPr>
            <w:tcW w:w="851"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w:t>
            </w:r>
          </w:p>
        </w:tc>
        <w:tc>
          <w:tcPr>
            <w:tcW w:w="1134"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w:t>
            </w:r>
          </w:p>
        </w:tc>
      </w:tr>
      <w:tr w:rsidR="00B951B1" w:rsidRPr="00E61612" w:rsidTr="00CB78E6">
        <w:trPr>
          <w:trHeight w:val="1559"/>
          <w:jc w:val="center"/>
        </w:trPr>
        <w:tc>
          <w:tcPr>
            <w:tcW w:w="992" w:type="dxa"/>
            <w:vMerge/>
            <w:tcBorders>
              <w:top w:val="nil"/>
              <w:left w:val="single" w:sz="4" w:space="0" w:color="auto"/>
              <w:bottom w:val="single" w:sz="4" w:space="0" w:color="auto"/>
              <w:right w:val="single" w:sz="4" w:space="0" w:color="auto"/>
            </w:tcBorders>
            <w:shd w:val="clear" w:color="auto" w:fill="FFFFFF"/>
            <w:hideMark/>
          </w:tcPr>
          <w:p w:rsidR="00B951B1" w:rsidRPr="00E61612" w:rsidRDefault="00B951B1" w:rsidP="00CB78E6">
            <w:pPr>
              <w:spacing w:after="0"/>
              <w:outlineLvl w:val="1"/>
              <w:rPr>
                <w:rFonts w:eastAsia="Times New Roman" w:cs="Calibri"/>
                <w:sz w:val="16"/>
                <w:szCs w:val="16"/>
              </w:rPr>
            </w:pPr>
          </w:p>
        </w:tc>
        <w:tc>
          <w:tcPr>
            <w:tcW w:w="993" w:type="dxa"/>
            <w:vMerge/>
            <w:tcBorders>
              <w:top w:val="nil"/>
              <w:left w:val="single" w:sz="4" w:space="0" w:color="auto"/>
              <w:bottom w:val="single" w:sz="4" w:space="0" w:color="auto"/>
              <w:right w:val="single" w:sz="4" w:space="0" w:color="auto"/>
            </w:tcBorders>
            <w:shd w:val="clear" w:color="auto" w:fill="FFFFFF"/>
            <w:hideMark/>
          </w:tcPr>
          <w:p w:rsidR="00B951B1" w:rsidRPr="00E61612" w:rsidRDefault="00B951B1" w:rsidP="00CB78E6">
            <w:pPr>
              <w:spacing w:after="0"/>
              <w:outlineLvl w:val="1"/>
              <w:rPr>
                <w:rFonts w:eastAsia="Times New Roman" w:cs="Calibri"/>
                <w:sz w:val="16"/>
                <w:szCs w:val="16"/>
              </w:rPr>
            </w:pPr>
          </w:p>
        </w:tc>
        <w:tc>
          <w:tcPr>
            <w:tcW w:w="992" w:type="dxa"/>
            <w:vMerge/>
            <w:tcBorders>
              <w:top w:val="nil"/>
              <w:left w:val="single" w:sz="4" w:space="0" w:color="auto"/>
              <w:bottom w:val="single" w:sz="4" w:space="0" w:color="000000"/>
              <w:right w:val="single" w:sz="4" w:space="0" w:color="auto"/>
            </w:tcBorders>
            <w:shd w:val="clear" w:color="auto" w:fill="FFFFFF"/>
            <w:hideMark/>
          </w:tcPr>
          <w:p w:rsidR="00B951B1" w:rsidRPr="00E61612" w:rsidRDefault="00B951B1" w:rsidP="00CB78E6">
            <w:pPr>
              <w:spacing w:after="0"/>
              <w:outlineLvl w:val="1"/>
              <w:rPr>
                <w:rFonts w:eastAsia="Times New Roman" w:cs="Calibri"/>
                <w:sz w:val="16"/>
                <w:szCs w:val="16"/>
              </w:rPr>
            </w:pPr>
          </w:p>
        </w:tc>
        <w:tc>
          <w:tcPr>
            <w:tcW w:w="1309" w:type="dxa"/>
            <w:tcBorders>
              <w:top w:val="nil"/>
              <w:left w:val="nil"/>
              <w:bottom w:val="single" w:sz="4" w:space="0" w:color="auto"/>
              <w:right w:val="single" w:sz="4" w:space="0" w:color="auto"/>
            </w:tcBorders>
            <w:shd w:val="clear" w:color="auto" w:fill="FFFFFF"/>
            <w:hideMark/>
          </w:tcPr>
          <w:p w:rsidR="00B951B1" w:rsidRPr="00E61612" w:rsidRDefault="00B951B1" w:rsidP="00CB78E6">
            <w:pPr>
              <w:spacing w:after="0"/>
              <w:outlineLvl w:val="1"/>
              <w:rPr>
                <w:rFonts w:eastAsia="Times New Roman" w:cs="Calibri"/>
                <w:sz w:val="16"/>
                <w:szCs w:val="16"/>
              </w:rPr>
            </w:pPr>
            <w:r w:rsidRPr="00E61612">
              <w:rPr>
                <w:rFonts w:eastAsia="Times New Roman" w:cs="Calibri"/>
                <w:sz w:val="16"/>
                <w:szCs w:val="16"/>
              </w:rPr>
              <w:t>A1.3.6. Mbështetje financiare për nxënësit romë, egjiptianë dhe grupet vulnerabël</w:t>
            </w:r>
          </w:p>
        </w:tc>
        <w:tc>
          <w:tcPr>
            <w:tcW w:w="1067" w:type="dxa"/>
            <w:tcBorders>
              <w:top w:val="nil"/>
              <w:left w:val="single" w:sz="4" w:space="0" w:color="auto"/>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w:t>
            </w:r>
          </w:p>
        </w:tc>
        <w:tc>
          <w:tcPr>
            <w:tcW w:w="851"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662,288</w:t>
            </w:r>
          </w:p>
        </w:tc>
        <w:tc>
          <w:tcPr>
            <w:tcW w:w="992"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w:t>
            </w:r>
          </w:p>
        </w:tc>
        <w:tc>
          <w:tcPr>
            <w:tcW w:w="992" w:type="dxa"/>
            <w:gridSpan w:val="2"/>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662,288</w:t>
            </w:r>
          </w:p>
        </w:tc>
        <w:tc>
          <w:tcPr>
            <w:tcW w:w="992"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w:t>
            </w:r>
          </w:p>
        </w:tc>
        <w:tc>
          <w:tcPr>
            <w:tcW w:w="993"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662,288</w:t>
            </w:r>
          </w:p>
        </w:tc>
        <w:tc>
          <w:tcPr>
            <w:tcW w:w="992"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533,358</w:t>
            </w:r>
          </w:p>
        </w:tc>
        <w:tc>
          <w:tcPr>
            <w:tcW w:w="992"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w:t>
            </w:r>
          </w:p>
        </w:tc>
        <w:tc>
          <w:tcPr>
            <w:tcW w:w="992"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(128,930)</w:t>
            </w:r>
          </w:p>
        </w:tc>
        <w:tc>
          <w:tcPr>
            <w:tcW w:w="851"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w:t>
            </w:r>
          </w:p>
        </w:tc>
        <w:tc>
          <w:tcPr>
            <w:tcW w:w="1134"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662,288</w:t>
            </w:r>
          </w:p>
        </w:tc>
      </w:tr>
      <w:tr w:rsidR="00B951B1" w:rsidRPr="00E61612" w:rsidTr="00CB78E6">
        <w:trPr>
          <w:trHeight w:val="900"/>
          <w:jc w:val="center"/>
        </w:trPr>
        <w:tc>
          <w:tcPr>
            <w:tcW w:w="992" w:type="dxa"/>
            <w:vMerge/>
            <w:tcBorders>
              <w:top w:val="nil"/>
              <w:left w:val="single" w:sz="4" w:space="0" w:color="auto"/>
              <w:bottom w:val="single" w:sz="4" w:space="0" w:color="auto"/>
              <w:right w:val="single" w:sz="4" w:space="0" w:color="auto"/>
            </w:tcBorders>
            <w:shd w:val="clear" w:color="auto" w:fill="FFFFFF"/>
            <w:hideMark/>
          </w:tcPr>
          <w:p w:rsidR="00B951B1" w:rsidRPr="00E61612" w:rsidRDefault="00B951B1" w:rsidP="00CB78E6">
            <w:pPr>
              <w:spacing w:after="0"/>
              <w:outlineLvl w:val="1"/>
              <w:rPr>
                <w:rFonts w:eastAsia="Times New Roman" w:cs="Calibri"/>
                <w:sz w:val="16"/>
                <w:szCs w:val="16"/>
              </w:rPr>
            </w:pPr>
          </w:p>
        </w:tc>
        <w:tc>
          <w:tcPr>
            <w:tcW w:w="993" w:type="dxa"/>
            <w:vMerge/>
            <w:tcBorders>
              <w:top w:val="nil"/>
              <w:left w:val="single" w:sz="4" w:space="0" w:color="auto"/>
              <w:bottom w:val="single" w:sz="4" w:space="0" w:color="auto"/>
              <w:right w:val="single" w:sz="4" w:space="0" w:color="auto"/>
            </w:tcBorders>
            <w:shd w:val="clear" w:color="auto" w:fill="FFFFFF"/>
            <w:hideMark/>
          </w:tcPr>
          <w:p w:rsidR="00B951B1" w:rsidRPr="00E61612" w:rsidRDefault="00B951B1" w:rsidP="00CB78E6">
            <w:pPr>
              <w:spacing w:after="0"/>
              <w:outlineLvl w:val="1"/>
              <w:rPr>
                <w:rFonts w:eastAsia="Times New Roman" w:cs="Calibri"/>
                <w:sz w:val="16"/>
                <w:szCs w:val="16"/>
              </w:rPr>
            </w:pPr>
          </w:p>
        </w:tc>
        <w:tc>
          <w:tcPr>
            <w:tcW w:w="992" w:type="dxa"/>
            <w:vMerge/>
            <w:tcBorders>
              <w:top w:val="nil"/>
              <w:left w:val="single" w:sz="4" w:space="0" w:color="auto"/>
              <w:bottom w:val="single" w:sz="4" w:space="0" w:color="000000"/>
              <w:right w:val="single" w:sz="4" w:space="0" w:color="auto"/>
            </w:tcBorders>
            <w:shd w:val="clear" w:color="auto" w:fill="FFFFFF"/>
            <w:hideMark/>
          </w:tcPr>
          <w:p w:rsidR="00B951B1" w:rsidRPr="00E61612" w:rsidRDefault="00B951B1" w:rsidP="00CB78E6">
            <w:pPr>
              <w:spacing w:after="0"/>
              <w:outlineLvl w:val="1"/>
              <w:rPr>
                <w:rFonts w:eastAsia="Times New Roman" w:cs="Calibri"/>
                <w:sz w:val="16"/>
                <w:szCs w:val="16"/>
              </w:rPr>
            </w:pPr>
          </w:p>
        </w:tc>
        <w:tc>
          <w:tcPr>
            <w:tcW w:w="1309" w:type="dxa"/>
            <w:tcBorders>
              <w:top w:val="nil"/>
              <w:left w:val="nil"/>
              <w:bottom w:val="single" w:sz="4" w:space="0" w:color="auto"/>
              <w:right w:val="single" w:sz="4" w:space="0" w:color="auto"/>
            </w:tcBorders>
            <w:shd w:val="clear" w:color="auto" w:fill="FFFFFF"/>
            <w:hideMark/>
          </w:tcPr>
          <w:p w:rsidR="00B951B1" w:rsidRPr="00E61612" w:rsidRDefault="00B951B1" w:rsidP="00CB78E6">
            <w:pPr>
              <w:spacing w:after="0"/>
              <w:outlineLvl w:val="1"/>
              <w:rPr>
                <w:rFonts w:eastAsia="Times New Roman" w:cs="Calibri"/>
                <w:sz w:val="16"/>
                <w:szCs w:val="16"/>
              </w:rPr>
            </w:pPr>
            <w:r w:rsidRPr="00E61612">
              <w:rPr>
                <w:rFonts w:eastAsia="Times New Roman" w:cs="Calibri"/>
                <w:sz w:val="16"/>
                <w:szCs w:val="16"/>
              </w:rPr>
              <w:t>A1.3.7.  Trajnime për historinë dhe kulturën rome</w:t>
            </w:r>
          </w:p>
        </w:tc>
        <w:tc>
          <w:tcPr>
            <w:tcW w:w="1067" w:type="dxa"/>
            <w:tcBorders>
              <w:top w:val="nil"/>
              <w:left w:val="single" w:sz="4" w:space="0" w:color="auto"/>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w:t>
            </w:r>
          </w:p>
        </w:tc>
        <w:tc>
          <w:tcPr>
            <w:tcW w:w="851"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w:t>
            </w:r>
          </w:p>
        </w:tc>
        <w:tc>
          <w:tcPr>
            <w:tcW w:w="992"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w:t>
            </w:r>
          </w:p>
        </w:tc>
        <w:tc>
          <w:tcPr>
            <w:tcW w:w="992" w:type="dxa"/>
            <w:gridSpan w:val="2"/>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w:t>
            </w:r>
          </w:p>
        </w:tc>
        <w:tc>
          <w:tcPr>
            <w:tcW w:w="992"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w:t>
            </w:r>
          </w:p>
        </w:tc>
        <w:tc>
          <w:tcPr>
            <w:tcW w:w="993"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w:t>
            </w:r>
          </w:p>
        </w:tc>
        <w:tc>
          <w:tcPr>
            <w:tcW w:w="992"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w:t>
            </w:r>
          </w:p>
        </w:tc>
        <w:tc>
          <w:tcPr>
            <w:tcW w:w="992"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w:t>
            </w:r>
          </w:p>
        </w:tc>
        <w:tc>
          <w:tcPr>
            <w:tcW w:w="992"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w:t>
            </w:r>
          </w:p>
        </w:tc>
        <w:tc>
          <w:tcPr>
            <w:tcW w:w="851"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w:t>
            </w:r>
          </w:p>
        </w:tc>
        <w:tc>
          <w:tcPr>
            <w:tcW w:w="1134"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w:t>
            </w:r>
          </w:p>
        </w:tc>
      </w:tr>
      <w:tr w:rsidR="00B951B1" w:rsidRPr="00E61612" w:rsidTr="00CB78E6">
        <w:trPr>
          <w:trHeight w:val="1755"/>
          <w:jc w:val="center"/>
        </w:trPr>
        <w:tc>
          <w:tcPr>
            <w:tcW w:w="992" w:type="dxa"/>
            <w:vMerge/>
            <w:tcBorders>
              <w:top w:val="nil"/>
              <w:left w:val="single" w:sz="4" w:space="0" w:color="auto"/>
              <w:bottom w:val="single" w:sz="4" w:space="0" w:color="auto"/>
              <w:right w:val="single" w:sz="4" w:space="0" w:color="auto"/>
            </w:tcBorders>
            <w:shd w:val="clear" w:color="auto" w:fill="FFFFFF"/>
            <w:hideMark/>
          </w:tcPr>
          <w:p w:rsidR="00B951B1" w:rsidRPr="00E61612" w:rsidRDefault="00B951B1" w:rsidP="00CB78E6">
            <w:pPr>
              <w:spacing w:after="0"/>
              <w:outlineLvl w:val="1"/>
              <w:rPr>
                <w:rFonts w:eastAsia="Times New Roman" w:cs="Calibri"/>
                <w:sz w:val="16"/>
                <w:szCs w:val="16"/>
              </w:rPr>
            </w:pPr>
          </w:p>
        </w:tc>
        <w:tc>
          <w:tcPr>
            <w:tcW w:w="993" w:type="dxa"/>
            <w:vMerge/>
            <w:tcBorders>
              <w:top w:val="nil"/>
              <w:left w:val="single" w:sz="4" w:space="0" w:color="auto"/>
              <w:bottom w:val="single" w:sz="4" w:space="0" w:color="auto"/>
              <w:right w:val="single" w:sz="4" w:space="0" w:color="auto"/>
            </w:tcBorders>
            <w:shd w:val="clear" w:color="auto" w:fill="FFFFFF"/>
            <w:hideMark/>
          </w:tcPr>
          <w:p w:rsidR="00B951B1" w:rsidRPr="00E61612" w:rsidRDefault="00B951B1" w:rsidP="00CB78E6">
            <w:pPr>
              <w:spacing w:after="0"/>
              <w:outlineLvl w:val="1"/>
              <w:rPr>
                <w:rFonts w:eastAsia="Times New Roman" w:cs="Calibri"/>
                <w:sz w:val="16"/>
                <w:szCs w:val="16"/>
              </w:rPr>
            </w:pPr>
          </w:p>
        </w:tc>
        <w:tc>
          <w:tcPr>
            <w:tcW w:w="992" w:type="dxa"/>
            <w:vMerge/>
            <w:tcBorders>
              <w:top w:val="nil"/>
              <w:left w:val="single" w:sz="4" w:space="0" w:color="auto"/>
              <w:bottom w:val="single" w:sz="4" w:space="0" w:color="000000"/>
              <w:right w:val="single" w:sz="4" w:space="0" w:color="auto"/>
            </w:tcBorders>
            <w:shd w:val="clear" w:color="auto" w:fill="FFFFFF"/>
            <w:hideMark/>
          </w:tcPr>
          <w:p w:rsidR="00B951B1" w:rsidRPr="00E61612" w:rsidRDefault="00B951B1" w:rsidP="00CB78E6">
            <w:pPr>
              <w:spacing w:after="0"/>
              <w:outlineLvl w:val="1"/>
              <w:rPr>
                <w:rFonts w:eastAsia="Times New Roman" w:cs="Calibri"/>
                <w:sz w:val="16"/>
                <w:szCs w:val="16"/>
              </w:rPr>
            </w:pPr>
          </w:p>
        </w:tc>
        <w:tc>
          <w:tcPr>
            <w:tcW w:w="1309" w:type="dxa"/>
            <w:tcBorders>
              <w:top w:val="nil"/>
              <w:left w:val="nil"/>
              <w:bottom w:val="single" w:sz="4" w:space="0" w:color="auto"/>
              <w:right w:val="single" w:sz="4" w:space="0" w:color="auto"/>
            </w:tcBorders>
            <w:shd w:val="clear" w:color="auto" w:fill="FFFFFF"/>
            <w:hideMark/>
          </w:tcPr>
          <w:p w:rsidR="00B951B1" w:rsidRPr="00E61612" w:rsidRDefault="00B951B1" w:rsidP="00CB78E6">
            <w:pPr>
              <w:spacing w:after="0"/>
              <w:outlineLvl w:val="1"/>
              <w:rPr>
                <w:rFonts w:eastAsia="Times New Roman" w:cs="Calibri"/>
                <w:sz w:val="16"/>
                <w:szCs w:val="16"/>
              </w:rPr>
            </w:pPr>
            <w:r w:rsidRPr="00E61612">
              <w:rPr>
                <w:rFonts w:eastAsia="Times New Roman" w:cs="Calibri"/>
                <w:sz w:val="16"/>
                <w:szCs w:val="16"/>
              </w:rPr>
              <w:t>A1.3.8. Zhvillimi i kapaciteteve të mësuesve, drejtuesve të shkollave, punonjësve socialë/psikologëve shkollorë, autorëve të teksteve mbi çështjet gjinore</w:t>
            </w:r>
          </w:p>
        </w:tc>
        <w:tc>
          <w:tcPr>
            <w:tcW w:w="1067" w:type="dxa"/>
            <w:tcBorders>
              <w:top w:val="nil"/>
              <w:left w:val="single" w:sz="4" w:space="0" w:color="auto"/>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w:t>
            </w:r>
          </w:p>
        </w:tc>
        <w:tc>
          <w:tcPr>
            <w:tcW w:w="851"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7,027</w:t>
            </w:r>
          </w:p>
        </w:tc>
        <w:tc>
          <w:tcPr>
            <w:tcW w:w="992"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w:t>
            </w:r>
          </w:p>
        </w:tc>
        <w:tc>
          <w:tcPr>
            <w:tcW w:w="992" w:type="dxa"/>
            <w:gridSpan w:val="2"/>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7,027</w:t>
            </w:r>
          </w:p>
        </w:tc>
        <w:tc>
          <w:tcPr>
            <w:tcW w:w="992"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w:t>
            </w:r>
          </w:p>
        </w:tc>
        <w:tc>
          <w:tcPr>
            <w:tcW w:w="993"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7,027</w:t>
            </w:r>
          </w:p>
        </w:tc>
        <w:tc>
          <w:tcPr>
            <w:tcW w:w="992"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w:t>
            </w:r>
          </w:p>
        </w:tc>
        <w:tc>
          <w:tcPr>
            <w:tcW w:w="992"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7,027</w:t>
            </w:r>
          </w:p>
        </w:tc>
        <w:tc>
          <w:tcPr>
            <w:tcW w:w="992"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w:t>
            </w:r>
          </w:p>
        </w:tc>
        <w:tc>
          <w:tcPr>
            <w:tcW w:w="851"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w:t>
            </w:r>
          </w:p>
        </w:tc>
        <w:tc>
          <w:tcPr>
            <w:tcW w:w="1134"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7,027</w:t>
            </w:r>
          </w:p>
        </w:tc>
      </w:tr>
      <w:tr w:rsidR="00B951B1" w:rsidRPr="00E61612" w:rsidTr="00CB78E6">
        <w:trPr>
          <w:trHeight w:val="1560"/>
          <w:jc w:val="center"/>
        </w:trPr>
        <w:tc>
          <w:tcPr>
            <w:tcW w:w="992" w:type="dxa"/>
            <w:vMerge/>
            <w:tcBorders>
              <w:top w:val="nil"/>
              <w:left w:val="single" w:sz="4" w:space="0" w:color="auto"/>
              <w:bottom w:val="single" w:sz="4" w:space="0" w:color="auto"/>
              <w:right w:val="single" w:sz="4" w:space="0" w:color="auto"/>
            </w:tcBorders>
            <w:shd w:val="clear" w:color="auto" w:fill="FFFFFF"/>
            <w:hideMark/>
          </w:tcPr>
          <w:p w:rsidR="00B951B1" w:rsidRPr="00E61612" w:rsidRDefault="00B951B1" w:rsidP="00CB78E6">
            <w:pPr>
              <w:spacing w:after="0"/>
              <w:outlineLvl w:val="1"/>
              <w:rPr>
                <w:rFonts w:eastAsia="Times New Roman" w:cs="Calibri"/>
                <w:sz w:val="16"/>
                <w:szCs w:val="16"/>
              </w:rPr>
            </w:pPr>
          </w:p>
        </w:tc>
        <w:tc>
          <w:tcPr>
            <w:tcW w:w="993" w:type="dxa"/>
            <w:vMerge/>
            <w:tcBorders>
              <w:top w:val="nil"/>
              <w:left w:val="single" w:sz="4" w:space="0" w:color="auto"/>
              <w:bottom w:val="single" w:sz="4" w:space="0" w:color="auto"/>
              <w:right w:val="single" w:sz="4" w:space="0" w:color="auto"/>
            </w:tcBorders>
            <w:shd w:val="clear" w:color="auto" w:fill="FFFFFF"/>
            <w:hideMark/>
          </w:tcPr>
          <w:p w:rsidR="00B951B1" w:rsidRPr="00E61612" w:rsidRDefault="00B951B1" w:rsidP="00CB78E6">
            <w:pPr>
              <w:spacing w:after="0"/>
              <w:outlineLvl w:val="1"/>
              <w:rPr>
                <w:rFonts w:eastAsia="Times New Roman" w:cs="Calibri"/>
                <w:sz w:val="16"/>
                <w:szCs w:val="16"/>
              </w:rPr>
            </w:pPr>
          </w:p>
        </w:tc>
        <w:tc>
          <w:tcPr>
            <w:tcW w:w="992" w:type="dxa"/>
            <w:vMerge/>
            <w:tcBorders>
              <w:top w:val="nil"/>
              <w:left w:val="single" w:sz="4" w:space="0" w:color="auto"/>
              <w:bottom w:val="single" w:sz="4" w:space="0" w:color="000000"/>
              <w:right w:val="single" w:sz="4" w:space="0" w:color="auto"/>
            </w:tcBorders>
            <w:shd w:val="clear" w:color="auto" w:fill="FFFFFF"/>
            <w:hideMark/>
          </w:tcPr>
          <w:p w:rsidR="00B951B1" w:rsidRPr="00E61612" w:rsidRDefault="00B951B1" w:rsidP="00CB78E6">
            <w:pPr>
              <w:spacing w:after="0"/>
              <w:outlineLvl w:val="1"/>
              <w:rPr>
                <w:rFonts w:eastAsia="Times New Roman" w:cs="Calibri"/>
                <w:sz w:val="16"/>
                <w:szCs w:val="16"/>
              </w:rPr>
            </w:pPr>
          </w:p>
        </w:tc>
        <w:tc>
          <w:tcPr>
            <w:tcW w:w="1309" w:type="dxa"/>
            <w:tcBorders>
              <w:top w:val="nil"/>
              <w:left w:val="nil"/>
              <w:bottom w:val="single" w:sz="4" w:space="0" w:color="auto"/>
              <w:right w:val="single" w:sz="4" w:space="0" w:color="auto"/>
            </w:tcBorders>
            <w:shd w:val="clear" w:color="auto" w:fill="FFFFFF"/>
            <w:hideMark/>
          </w:tcPr>
          <w:p w:rsidR="00B951B1" w:rsidRPr="00E61612" w:rsidRDefault="00B951B1" w:rsidP="00CB78E6">
            <w:pPr>
              <w:spacing w:after="0"/>
              <w:outlineLvl w:val="1"/>
              <w:rPr>
                <w:rFonts w:eastAsia="Times New Roman" w:cs="Calibri"/>
                <w:sz w:val="16"/>
                <w:szCs w:val="16"/>
              </w:rPr>
            </w:pPr>
            <w:r w:rsidRPr="00E61612">
              <w:rPr>
                <w:rFonts w:eastAsia="Times New Roman" w:cs="Calibri"/>
                <w:sz w:val="16"/>
                <w:szCs w:val="16"/>
              </w:rPr>
              <w:t>A1.3.9. Edukimi gjinor i nxënësve përmes përfshirjes në kurrikulë të përmbajtjeve mësimore përkatëse</w:t>
            </w:r>
          </w:p>
        </w:tc>
        <w:tc>
          <w:tcPr>
            <w:tcW w:w="1067" w:type="dxa"/>
            <w:tcBorders>
              <w:top w:val="nil"/>
              <w:left w:val="single" w:sz="4" w:space="0" w:color="auto"/>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w:t>
            </w:r>
          </w:p>
        </w:tc>
        <w:tc>
          <w:tcPr>
            <w:tcW w:w="851"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w:t>
            </w:r>
          </w:p>
        </w:tc>
        <w:tc>
          <w:tcPr>
            <w:tcW w:w="992"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w:t>
            </w:r>
          </w:p>
        </w:tc>
        <w:tc>
          <w:tcPr>
            <w:tcW w:w="992" w:type="dxa"/>
            <w:gridSpan w:val="2"/>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w:t>
            </w:r>
          </w:p>
        </w:tc>
        <w:tc>
          <w:tcPr>
            <w:tcW w:w="992"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w:t>
            </w:r>
          </w:p>
        </w:tc>
        <w:tc>
          <w:tcPr>
            <w:tcW w:w="993"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w:t>
            </w:r>
          </w:p>
        </w:tc>
        <w:tc>
          <w:tcPr>
            <w:tcW w:w="992"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w:t>
            </w:r>
          </w:p>
        </w:tc>
        <w:tc>
          <w:tcPr>
            <w:tcW w:w="992"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w:t>
            </w:r>
          </w:p>
        </w:tc>
        <w:tc>
          <w:tcPr>
            <w:tcW w:w="992"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w:t>
            </w:r>
          </w:p>
        </w:tc>
        <w:tc>
          <w:tcPr>
            <w:tcW w:w="851"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w:t>
            </w:r>
          </w:p>
        </w:tc>
        <w:tc>
          <w:tcPr>
            <w:tcW w:w="1134"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w:t>
            </w:r>
          </w:p>
        </w:tc>
      </w:tr>
      <w:tr w:rsidR="00B951B1" w:rsidRPr="00E61612" w:rsidTr="00CB78E6">
        <w:trPr>
          <w:trHeight w:val="1530"/>
          <w:jc w:val="center"/>
        </w:trPr>
        <w:tc>
          <w:tcPr>
            <w:tcW w:w="992" w:type="dxa"/>
            <w:vMerge/>
            <w:tcBorders>
              <w:top w:val="nil"/>
              <w:left w:val="single" w:sz="4" w:space="0" w:color="auto"/>
              <w:bottom w:val="single" w:sz="4" w:space="0" w:color="auto"/>
              <w:right w:val="single" w:sz="4" w:space="0" w:color="auto"/>
            </w:tcBorders>
            <w:shd w:val="clear" w:color="auto" w:fill="FFFFFF"/>
            <w:hideMark/>
          </w:tcPr>
          <w:p w:rsidR="00B951B1" w:rsidRPr="00E61612" w:rsidRDefault="00B951B1" w:rsidP="00CB78E6">
            <w:pPr>
              <w:spacing w:after="0"/>
              <w:outlineLvl w:val="1"/>
              <w:rPr>
                <w:rFonts w:eastAsia="Times New Roman" w:cs="Calibri"/>
                <w:sz w:val="16"/>
                <w:szCs w:val="16"/>
              </w:rPr>
            </w:pPr>
          </w:p>
        </w:tc>
        <w:tc>
          <w:tcPr>
            <w:tcW w:w="993" w:type="dxa"/>
            <w:vMerge/>
            <w:tcBorders>
              <w:top w:val="nil"/>
              <w:left w:val="single" w:sz="4" w:space="0" w:color="auto"/>
              <w:bottom w:val="single" w:sz="4" w:space="0" w:color="auto"/>
              <w:right w:val="single" w:sz="4" w:space="0" w:color="auto"/>
            </w:tcBorders>
            <w:shd w:val="clear" w:color="auto" w:fill="FFFFFF"/>
            <w:hideMark/>
          </w:tcPr>
          <w:p w:rsidR="00B951B1" w:rsidRPr="00E61612" w:rsidRDefault="00B951B1" w:rsidP="00CB78E6">
            <w:pPr>
              <w:spacing w:after="0"/>
              <w:outlineLvl w:val="1"/>
              <w:rPr>
                <w:rFonts w:eastAsia="Times New Roman" w:cs="Calibri"/>
                <w:sz w:val="16"/>
                <w:szCs w:val="16"/>
              </w:rPr>
            </w:pPr>
          </w:p>
        </w:tc>
        <w:tc>
          <w:tcPr>
            <w:tcW w:w="992" w:type="dxa"/>
            <w:vMerge w:val="restart"/>
            <w:tcBorders>
              <w:top w:val="nil"/>
              <w:left w:val="single" w:sz="4" w:space="0" w:color="auto"/>
              <w:bottom w:val="single" w:sz="4" w:space="0" w:color="000000"/>
              <w:right w:val="single" w:sz="4" w:space="0" w:color="auto"/>
            </w:tcBorders>
            <w:shd w:val="clear" w:color="auto" w:fill="FFFFFF"/>
            <w:hideMark/>
          </w:tcPr>
          <w:p w:rsidR="00B951B1" w:rsidRPr="00E61612" w:rsidRDefault="00B951B1" w:rsidP="00CB78E6">
            <w:pPr>
              <w:spacing w:after="0"/>
              <w:outlineLvl w:val="1"/>
              <w:rPr>
                <w:rFonts w:eastAsia="Times New Roman" w:cs="Calibri"/>
                <w:sz w:val="16"/>
                <w:szCs w:val="16"/>
              </w:rPr>
            </w:pPr>
            <w:r w:rsidRPr="00E61612">
              <w:rPr>
                <w:rFonts w:eastAsia="Times New Roman" w:cs="Calibri"/>
                <w:sz w:val="16"/>
                <w:szCs w:val="16"/>
              </w:rPr>
              <w:t>A1.4. Rritja e cilësisë së shërbimit psiko-social për të gjithë nxënësit</w:t>
            </w:r>
          </w:p>
        </w:tc>
        <w:tc>
          <w:tcPr>
            <w:tcW w:w="1309" w:type="dxa"/>
            <w:tcBorders>
              <w:top w:val="nil"/>
              <w:left w:val="nil"/>
              <w:bottom w:val="single" w:sz="4" w:space="0" w:color="auto"/>
              <w:right w:val="single" w:sz="4" w:space="0" w:color="auto"/>
            </w:tcBorders>
            <w:shd w:val="clear" w:color="auto" w:fill="FFFFFF"/>
            <w:hideMark/>
          </w:tcPr>
          <w:p w:rsidR="00B951B1" w:rsidRPr="00E61612" w:rsidRDefault="00B951B1" w:rsidP="00CB78E6">
            <w:pPr>
              <w:spacing w:after="0"/>
              <w:outlineLvl w:val="1"/>
              <w:rPr>
                <w:rFonts w:eastAsia="Times New Roman" w:cs="Calibri"/>
                <w:sz w:val="16"/>
                <w:szCs w:val="16"/>
              </w:rPr>
            </w:pPr>
            <w:r w:rsidRPr="00E61612">
              <w:rPr>
                <w:rFonts w:eastAsia="Times New Roman" w:cs="Calibri"/>
                <w:sz w:val="16"/>
                <w:szCs w:val="16"/>
              </w:rPr>
              <w:t>A1.4.1. Sigurimi i punonjësve psiko-socialë në shkolla</w:t>
            </w:r>
          </w:p>
        </w:tc>
        <w:tc>
          <w:tcPr>
            <w:tcW w:w="1067" w:type="dxa"/>
            <w:tcBorders>
              <w:top w:val="nil"/>
              <w:left w:val="single" w:sz="4" w:space="0" w:color="auto"/>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2,736,676</w:t>
            </w:r>
          </w:p>
        </w:tc>
        <w:tc>
          <w:tcPr>
            <w:tcW w:w="851"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w:t>
            </w:r>
          </w:p>
        </w:tc>
        <w:tc>
          <w:tcPr>
            <w:tcW w:w="992"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w:t>
            </w:r>
          </w:p>
        </w:tc>
        <w:tc>
          <w:tcPr>
            <w:tcW w:w="992" w:type="dxa"/>
            <w:gridSpan w:val="2"/>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w:t>
            </w:r>
          </w:p>
        </w:tc>
        <w:tc>
          <w:tcPr>
            <w:tcW w:w="992"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2,736,676</w:t>
            </w:r>
          </w:p>
        </w:tc>
        <w:tc>
          <w:tcPr>
            <w:tcW w:w="993"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2,736,676</w:t>
            </w:r>
          </w:p>
        </w:tc>
        <w:tc>
          <w:tcPr>
            <w:tcW w:w="992"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2,536,751</w:t>
            </w:r>
          </w:p>
        </w:tc>
        <w:tc>
          <w:tcPr>
            <w:tcW w:w="992"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w:t>
            </w:r>
          </w:p>
        </w:tc>
        <w:tc>
          <w:tcPr>
            <w:tcW w:w="992"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(199,925)</w:t>
            </w:r>
          </w:p>
        </w:tc>
        <w:tc>
          <w:tcPr>
            <w:tcW w:w="851"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w:t>
            </w:r>
          </w:p>
        </w:tc>
        <w:tc>
          <w:tcPr>
            <w:tcW w:w="1134"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2,736,676</w:t>
            </w:r>
          </w:p>
        </w:tc>
      </w:tr>
      <w:tr w:rsidR="00B951B1" w:rsidRPr="00E61612" w:rsidTr="00CB78E6">
        <w:trPr>
          <w:trHeight w:val="3315"/>
          <w:jc w:val="center"/>
        </w:trPr>
        <w:tc>
          <w:tcPr>
            <w:tcW w:w="992" w:type="dxa"/>
            <w:vMerge/>
            <w:tcBorders>
              <w:top w:val="nil"/>
              <w:left w:val="single" w:sz="4" w:space="0" w:color="auto"/>
              <w:bottom w:val="single" w:sz="4" w:space="0" w:color="auto"/>
              <w:right w:val="single" w:sz="4" w:space="0" w:color="auto"/>
            </w:tcBorders>
            <w:shd w:val="clear" w:color="auto" w:fill="FFFFFF"/>
            <w:hideMark/>
          </w:tcPr>
          <w:p w:rsidR="00B951B1" w:rsidRPr="00E61612" w:rsidRDefault="00B951B1" w:rsidP="00CB78E6">
            <w:pPr>
              <w:spacing w:after="0"/>
              <w:outlineLvl w:val="1"/>
              <w:rPr>
                <w:rFonts w:eastAsia="Times New Roman" w:cs="Calibri"/>
                <w:sz w:val="16"/>
                <w:szCs w:val="16"/>
              </w:rPr>
            </w:pPr>
          </w:p>
        </w:tc>
        <w:tc>
          <w:tcPr>
            <w:tcW w:w="993" w:type="dxa"/>
            <w:vMerge/>
            <w:tcBorders>
              <w:top w:val="nil"/>
              <w:left w:val="single" w:sz="4" w:space="0" w:color="auto"/>
              <w:bottom w:val="single" w:sz="4" w:space="0" w:color="auto"/>
              <w:right w:val="single" w:sz="4" w:space="0" w:color="auto"/>
            </w:tcBorders>
            <w:shd w:val="clear" w:color="auto" w:fill="FFFFFF"/>
            <w:hideMark/>
          </w:tcPr>
          <w:p w:rsidR="00B951B1" w:rsidRPr="00E61612" w:rsidRDefault="00B951B1" w:rsidP="00CB78E6">
            <w:pPr>
              <w:spacing w:after="0"/>
              <w:outlineLvl w:val="1"/>
              <w:rPr>
                <w:rFonts w:eastAsia="Times New Roman" w:cs="Calibri"/>
                <w:sz w:val="16"/>
                <w:szCs w:val="16"/>
              </w:rPr>
            </w:pPr>
          </w:p>
        </w:tc>
        <w:tc>
          <w:tcPr>
            <w:tcW w:w="992" w:type="dxa"/>
            <w:vMerge/>
            <w:tcBorders>
              <w:top w:val="nil"/>
              <w:left w:val="single" w:sz="4" w:space="0" w:color="auto"/>
              <w:bottom w:val="single" w:sz="4" w:space="0" w:color="000000"/>
              <w:right w:val="single" w:sz="4" w:space="0" w:color="auto"/>
            </w:tcBorders>
            <w:shd w:val="clear" w:color="auto" w:fill="FFFFFF"/>
            <w:hideMark/>
          </w:tcPr>
          <w:p w:rsidR="00B951B1" w:rsidRPr="00E61612" w:rsidRDefault="00B951B1" w:rsidP="00CB78E6">
            <w:pPr>
              <w:spacing w:after="0"/>
              <w:outlineLvl w:val="1"/>
              <w:rPr>
                <w:rFonts w:eastAsia="Times New Roman" w:cs="Calibri"/>
                <w:sz w:val="16"/>
                <w:szCs w:val="16"/>
              </w:rPr>
            </w:pPr>
          </w:p>
        </w:tc>
        <w:tc>
          <w:tcPr>
            <w:tcW w:w="1309" w:type="dxa"/>
            <w:tcBorders>
              <w:top w:val="nil"/>
              <w:left w:val="nil"/>
              <w:bottom w:val="single" w:sz="4" w:space="0" w:color="auto"/>
              <w:right w:val="single" w:sz="4" w:space="0" w:color="auto"/>
            </w:tcBorders>
            <w:shd w:val="clear" w:color="auto" w:fill="FFFFFF"/>
            <w:hideMark/>
          </w:tcPr>
          <w:p w:rsidR="00B951B1" w:rsidRPr="00E61612" w:rsidRDefault="00B951B1" w:rsidP="00CB78E6">
            <w:pPr>
              <w:spacing w:after="0"/>
              <w:outlineLvl w:val="1"/>
              <w:rPr>
                <w:rFonts w:eastAsia="Times New Roman" w:cs="Calibri"/>
                <w:sz w:val="16"/>
                <w:szCs w:val="16"/>
              </w:rPr>
            </w:pPr>
            <w:r w:rsidRPr="00E61612">
              <w:rPr>
                <w:rFonts w:eastAsia="Times New Roman" w:cs="Calibri"/>
                <w:sz w:val="16"/>
                <w:szCs w:val="16"/>
              </w:rPr>
              <w:t>A1.4.2. Sigurimi i kushteve optimale t</w:t>
            </w:r>
            <w:r>
              <w:rPr>
                <w:rFonts w:eastAsia="Times New Roman" w:cs="Calibri"/>
                <w:sz w:val="16"/>
                <w:szCs w:val="16"/>
              </w:rPr>
              <w:t>ë</w:t>
            </w:r>
            <w:r w:rsidRPr="00E61612">
              <w:rPr>
                <w:rFonts w:eastAsia="Times New Roman" w:cs="Calibri"/>
                <w:sz w:val="16"/>
                <w:szCs w:val="16"/>
              </w:rPr>
              <w:t xml:space="preserve"> punës për shërbimin psiko-social</w:t>
            </w:r>
          </w:p>
        </w:tc>
        <w:tc>
          <w:tcPr>
            <w:tcW w:w="1067" w:type="dxa"/>
            <w:tcBorders>
              <w:top w:val="nil"/>
              <w:left w:val="single" w:sz="4" w:space="0" w:color="auto"/>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w:t>
            </w:r>
          </w:p>
        </w:tc>
        <w:tc>
          <w:tcPr>
            <w:tcW w:w="851"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w:t>
            </w:r>
          </w:p>
        </w:tc>
        <w:tc>
          <w:tcPr>
            <w:tcW w:w="992"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61,105</w:t>
            </w:r>
          </w:p>
        </w:tc>
        <w:tc>
          <w:tcPr>
            <w:tcW w:w="992" w:type="dxa"/>
            <w:gridSpan w:val="2"/>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61,105</w:t>
            </w:r>
          </w:p>
        </w:tc>
        <w:tc>
          <w:tcPr>
            <w:tcW w:w="992"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w:t>
            </w:r>
          </w:p>
        </w:tc>
        <w:tc>
          <w:tcPr>
            <w:tcW w:w="993"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61,105</w:t>
            </w:r>
          </w:p>
        </w:tc>
        <w:tc>
          <w:tcPr>
            <w:tcW w:w="992"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w:t>
            </w:r>
          </w:p>
        </w:tc>
        <w:tc>
          <w:tcPr>
            <w:tcW w:w="992"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w:t>
            </w:r>
          </w:p>
        </w:tc>
        <w:tc>
          <w:tcPr>
            <w:tcW w:w="992"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(61,105)</w:t>
            </w:r>
          </w:p>
        </w:tc>
        <w:tc>
          <w:tcPr>
            <w:tcW w:w="851"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w:t>
            </w:r>
          </w:p>
        </w:tc>
        <w:tc>
          <w:tcPr>
            <w:tcW w:w="1134"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61,105</w:t>
            </w:r>
          </w:p>
        </w:tc>
      </w:tr>
      <w:tr w:rsidR="00B951B1" w:rsidRPr="00E61612" w:rsidTr="00CB78E6">
        <w:trPr>
          <w:trHeight w:val="1020"/>
          <w:jc w:val="center"/>
        </w:trPr>
        <w:tc>
          <w:tcPr>
            <w:tcW w:w="992" w:type="dxa"/>
            <w:vMerge/>
            <w:tcBorders>
              <w:top w:val="nil"/>
              <w:left w:val="single" w:sz="4" w:space="0" w:color="auto"/>
              <w:bottom w:val="single" w:sz="4" w:space="0" w:color="auto"/>
              <w:right w:val="single" w:sz="4" w:space="0" w:color="auto"/>
            </w:tcBorders>
            <w:shd w:val="clear" w:color="auto" w:fill="FFFFFF"/>
            <w:hideMark/>
          </w:tcPr>
          <w:p w:rsidR="00B951B1" w:rsidRPr="00E61612" w:rsidRDefault="00B951B1" w:rsidP="00CB78E6">
            <w:pPr>
              <w:spacing w:after="0"/>
              <w:outlineLvl w:val="1"/>
              <w:rPr>
                <w:rFonts w:eastAsia="Times New Roman" w:cs="Calibri"/>
                <w:sz w:val="16"/>
                <w:szCs w:val="16"/>
              </w:rPr>
            </w:pPr>
          </w:p>
        </w:tc>
        <w:tc>
          <w:tcPr>
            <w:tcW w:w="993" w:type="dxa"/>
            <w:vMerge/>
            <w:tcBorders>
              <w:top w:val="nil"/>
              <w:left w:val="single" w:sz="4" w:space="0" w:color="auto"/>
              <w:bottom w:val="single" w:sz="4" w:space="0" w:color="auto"/>
              <w:right w:val="single" w:sz="4" w:space="0" w:color="auto"/>
            </w:tcBorders>
            <w:shd w:val="clear" w:color="auto" w:fill="FFFFFF"/>
            <w:hideMark/>
          </w:tcPr>
          <w:p w:rsidR="00B951B1" w:rsidRPr="00E61612" w:rsidRDefault="00B951B1" w:rsidP="00CB78E6">
            <w:pPr>
              <w:spacing w:after="0"/>
              <w:outlineLvl w:val="1"/>
              <w:rPr>
                <w:rFonts w:eastAsia="Times New Roman" w:cs="Calibri"/>
                <w:sz w:val="16"/>
                <w:szCs w:val="16"/>
              </w:rPr>
            </w:pPr>
          </w:p>
        </w:tc>
        <w:tc>
          <w:tcPr>
            <w:tcW w:w="992" w:type="dxa"/>
            <w:vMerge/>
            <w:tcBorders>
              <w:top w:val="nil"/>
              <w:left w:val="single" w:sz="4" w:space="0" w:color="auto"/>
              <w:bottom w:val="single" w:sz="4" w:space="0" w:color="000000"/>
              <w:right w:val="single" w:sz="4" w:space="0" w:color="auto"/>
            </w:tcBorders>
            <w:shd w:val="clear" w:color="auto" w:fill="FFFFFF"/>
            <w:hideMark/>
          </w:tcPr>
          <w:p w:rsidR="00B951B1" w:rsidRPr="00E61612" w:rsidRDefault="00B951B1" w:rsidP="00CB78E6">
            <w:pPr>
              <w:spacing w:after="0"/>
              <w:outlineLvl w:val="1"/>
              <w:rPr>
                <w:rFonts w:eastAsia="Times New Roman" w:cs="Calibri"/>
                <w:sz w:val="16"/>
                <w:szCs w:val="16"/>
              </w:rPr>
            </w:pPr>
          </w:p>
        </w:tc>
        <w:tc>
          <w:tcPr>
            <w:tcW w:w="1309" w:type="dxa"/>
            <w:tcBorders>
              <w:top w:val="nil"/>
              <w:left w:val="nil"/>
              <w:bottom w:val="single" w:sz="4" w:space="0" w:color="auto"/>
              <w:right w:val="single" w:sz="4" w:space="0" w:color="auto"/>
            </w:tcBorders>
            <w:shd w:val="clear" w:color="auto" w:fill="FFFFFF"/>
            <w:hideMark/>
          </w:tcPr>
          <w:p w:rsidR="00B951B1" w:rsidRPr="00E61612" w:rsidRDefault="00B951B1" w:rsidP="00CB78E6">
            <w:pPr>
              <w:spacing w:after="0"/>
              <w:outlineLvl w:val="1"/>
              <w:rPr>
                <w:rFonts w:eastAsia="Times New Roman" w:cs="Calibri"/>
                <w:sz w:val="16"/>
                <w:szCs w:val="16"/>
              </w:rPr>
            </w:pPr>
            <w:r w:rsidRPr="00E61612">
              <w:rPr>
                <w:rFonts w:eastAsia="Times New Roman" w:cs="Calibri"/>
                <w:sz w:val="16"/>
                <w:szCs w:val="16"/>
              </w:rPr>
              <w:t>A1.4.3. Hartimi i protokolleve t</w:t>
            </w:r>
            <w:r>
              <w:rPr>
                <w:rFonts w:eastAsia="Times New Roman" w:cs="Calibri"/>
                <w:sz w:val="16"/>
                <w:szCs w:val="16"/>
              </w:rPr>
              <w:t>ë</w:t>
            </w:r>
            <w:r w:rsidRPr="00E61612">
              <w:rPr>
                <w:rFonts w:eastAsia="Times New Roman" w:cs="Calibri"/>
                <w:sz w:val="16"/>
                <w:szCs w:val="16"/>
              </w:rPr>
              <w:t xml:space="preserve"> punës për shërbimin psiko-social</w:t>
            </w:r>
          </w:p>
        </w:tc>
        <w:tc>
          <w:tcPr>
            <w:tcW w:w="1067" w:type="dxa"/>
            <w:tcBorders>
              <w:top w:val="nil"/>
              <w:left w:val="single" w:sz="4" w:space="0" w:color="auto"/>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w:t>
            </w:r>
          </w:p>
        </w:tc>
        <w:tc>
          <w:tcPr>
            <w:tcW w:w="851"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1,440</w:t>
            </w:r>
          </w:p>
        </w:tc>
        <w:tc>
          <w:tcPr>
            <w:tcW w:w="992"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w:t>
            </w:r>
          </w:p>
        </w:tc>
        <w:tc>
          <w:tcPr>
            <w:tcW w:w="992" w:type="dxa"/>
            <w:gridSpan w:val="2"/>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1,440</w:t>
            </w:r>
          </w:p>
        </w:tc>
        <w:tc>
          <w:tcPr>
            <w:tcW w:w="992"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w:t>
            </w:r>
          </w:p>
        </w:tc>
        <w:tc>
          <w:tcPr>
            <w:tcW w:w="993"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1,440</w:t>
            </w:r>
          </w:p>
        </w:tc>
        <w:tc>
          <w:tcPr>
            <w:tcW w:w="992"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w:t>
            </w:r>
          </w:p>
        </w:tc>
        <w:tc>
          <w:tcPr>
            <w:tcW w:w="992"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1,440</w:t>
            </w:r>
          </w:p>
        </w:tc>
        <w:tc>
          <w:tcPr>
            <w:tcW w:w="992"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w:t>
            </w:r>
          </w:p>
        </w:tc>
        <w:tc>
          <w:tcPr>
            <w:tcW w:w="851"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w:t>
            </w:r>
          </w:p>
        </w:tc>
        <w:tc>
          <w:tcPr>
            <w:tcW w:w="1134"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1,440</w:t>
            </w:r>
          </w:p>
        </w:tc>
      </w:tr>
      <w:tr w:rsidR="00B951B1" w:rsidRPr="00E61612" w:rsidTr="00CB78E6">
        <w:trPr>
          <w:trHeight w:val="1030"/>
          <w:jc w:val="center"/>
        </w:trPr>
        <w:tc>
          <w:tcPr>
            <w:tcW w:w="992" w:type="dxa"/>
            <w:vMerge/>
            <w:tcBorders>
              <w:top w:val="nil"/>
              <w:left w:val="single" w:sz="4" w:space="0" w:color="auto"/>
              <w:bottom w:val="single" w:sz="4" w:space="0" w:color="auto"/>
              <w:right w:val="single" w:sz="4" w:space="0" w:color="auto"/>
            </w:tcBorders>
            <w:shd w:val="clear" w:color="auto" w:fill="FFFFFF"/>
            <w:hideMark/>
          </w:tcPr>
          <w:p w:rsidR="00B951B1" w:rsidRPr="00E61612" w:rsidRDefault="00B951B1" w:rsidP="00CB78E6">
            <w:pPr>
              <w:spacing w:after="0"/>
              <w:outlineLvl w:val="1"/>
              <w:rPr>
                <w:rFonts w:eastAsia="Times New Roman" w:cs="Calibri"/>
                <w:sz w:val="16"/>
                <w:szCs w:val="16"/>
              </w:rPr>
            </w:pPr>
          </w:p>
        </w:tc>
        <w:tc>
          <w:tcPr>
            <w:tcW w:w="993" w:type="dxa"/>
            <w:vMerge/>
            <w:tcBorders>
              <w:top w:val="nil"/>
              <w:left w:val="single" w:sz="4" w:space="0" w:color="auto"/>
              <w:bottom w:val="single" w:sz="4" w:space="0" w:color="auto"/>
              <w:right w:val="single" w:sz="4" w:space="0" w:color="auto"/>
            </w:tcBorders>
            <w:shd w:val="clear" w:color="auto" w:fill="FFFFFF"/>
            <w:hideMark/>
          </w:tcPr>
          <w:p w:rsidR="00B951B1" w:rsidRPr="00E61612" w:rsidRDefault="00B951B1" w:rsidP="00CB78E6">
            <w:pPr>
              <w:spacing w:after="0"/>
              <w:outlineLvl w:val="1"/>
              <w:rPr>
                <w:rFonts w:eastAsia="Times New Roman" w:cs="Calibri"/>
                <w:sz w:val="16"/>
                <w:szCs w:val="16"/>
              </w:rPr>
            </w:pPr>
          </w:p>
        </w:tc>
        <w:tc>
          <w:tcPr>
            <w:tcW w:w="992" w:type="dxa"/>
            <w:vMerge/>
            <w:tcBorders>
              <w:top w:val="nil"/>
              <w:left w:val="single" w:sz="4" w:space="0" w:color="auto"/>
              <w:bottom w:val="single" w:sz="4" w:space="0" w:color="000000"/>
              <w:right w:val="single" w:sz="4" w:space="0" w:color="auto"/>
            </w:tcBorders>
            <w:shd w:val="clear" w:color="auto" w:fill="FFFFFF"/>
            <w:hideMark/>
          </w:tcPr>
          <w:p w:rsidR="00B951B1" w:rsidRPr="00E61612" w:rsidRDefault="00B951B1" w:rsidP="00CB78E6">
            <w:pPr>
              <w:spacing w:after="0"/>
              <w:outlineLvl w:val="1"/>
              <w:rPr>
                <w:rFonts w:eastAsia="Times New Roman" w:cs="Calibri"/>
                <w:sz w:val="16"/>
                <w:szCs w:val="16"/>
              </w:rPr>
            </w:pPr>
          </w:p>
        </w:tc>
        <w:tc>
          <w:tcPr>
            <w:tcW w:w="1309" w:type="dxa"/>
            <w:tcBorders>
              <w:top w:val="nil"/>
              <w:left w:val="nil"/>
              <w:bottom w:val="single" w:sz="4" w:space="0" w:color="auto"/>
              <w:right w:val="single" w:sz="4" w:space="0" w:color="auto"/>
            </w:tcBorders>
            <w:shd w:val="clear" w:color="auto" w:fill="FFFFFF"/>
            <w:hideMark/>
          </w:tcPr>
          <w:p w:rsidR="00B951B1" w:rsidRPr="00E61612" w:rsidRDefault="00B951B1" w:rsidP="00CB78E6">
            <w:pPr>
              <w:spacing w:after="0"/>
              <w:outlineLvl w:val="1"/>
              <w:rPr>
                <w:rFonts w:eastAsia="Times New Roman" w:cs="Calibri"/>
                <w:sz w:val="16"/>
                <w:szCs w:val="16"/>
              </w:rPr>
            </w:pPr>
            <w:r w:rsidRPr="00E61612">
              <w:rPr>
                <w:rFonts w:eastAsia="Times New Roman" w:cs="Calibri"/>
                <w:sz w:val="16"/>
                <w:szCs w:val="16"/>
              </w:rPr>
              <w:t>A1.4.4. Zhvillimi i kapaciteteve t</w:t>
            </w:r>
            <w:r>
              <w:rPr>
                <w:rFonts w:eastAsia="Times New Roman" w:cs="Calibri"/>
                <w:sz w:val="16"/>
                <w:szCs w:val="16"/>
              </w:rPr>
              <w:t>ë</w:t>
            </w:r>
            <w:r w:rsidRPr="00E61612">
              <w:rPr>
                <w:rFonts w:eastAsia="Times New Roman" w:cs="Calibri"/>
                <w:sz w:val="16"/>
                <w:szCs w:val="16"/>
              </w:rPr>
              <w:t xml:space="preserve"> punonjësve t</w:t>
            </w:r>
            <w:r>
              <w:rPr>
                <w:rFonts w:eastAsia="Times New Roman" w:cs="Calibri"/>
                <w:sz w:val="16"/>
                <w:szCs w:val="16"/>
              </w:rPr>
              <w:t>ë</w:t>
            </w:r>
            <w:r w:rsidRPr="00E61612">
              <w:rPr>
                <w:rFonts w:eastAsia="Times New Roman" w:cs="Calibri"/>
                <w:sz w:val="16"/>
                <w:szCs w:val="16"/>
              </w:rPr>
              <w:t xml:space="preserve"> shërbimit psiko-social</w:t>
            </w:r>
          </w:p>
        </w:tc>
        <w:tc>
          <w:tcPr>
            <w:tcW w:w="1067" w:type="dxa"/>
            <w:tcBorders>
              <w:top w:val="nil"/>
              <w:left w:val="single" w:sz="4" w:space="0" w:color="auto"/>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w:t>
            </w:r>
          </w:p>
        </w:tc>
        <w:tc>
          <w:tcPr>
            <w:tcW w:w="851"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2,070</w:t>
            </w:r>
          </w:p>
        </w:tc>
        <w:tc>
          <w:tcPr>
            <w:tcW w:w="992"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w:t>
            </w:r>
          </w:p>
        </w:tc>
        <w:tc>
          <w:tcPr>
            <w:tcW w:w="992" w:type="dxa"/>
            <w:gridSpan w:val="2"/>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2,070</w:t>
            </w:r>
          </w:p>
        </w:tc>
        <w:tc>
          <w:tcPr>
            <w:tcW w:w="992"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w:t>
            </w:r>
          </w:p>
        </w:tc>
        <w:tc>
          <w:tcPr>
            <w:tcW w:w="993"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2,070</w:t>
            </w:r>
          </w:p>
        </w:tc>
        <w:tc>
          <w:tcPr>
            <w:tcW w:w="992"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w:t>
            </w:r>
          </w:p>
        </w:tc>
        <w:tc>
          <w:tcPr>
            <w:tcW w:w="992"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2,070</w:t>
            </w:r>
          </w:p>
        </w:tc>
        <w:tc>
          <w:tcPr>
            <w:tcW w:w="992"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w:t>
            </w:r>
          </w:p>
        </w:tc>
        <w:tc>
          <w:tcPr>
            <w:tcW w:w="851"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w:t>
            </w:r>
          </w:p>
        </w:tc>
        <w:tc>
          <w:tcPr>
            <w:tcW w:w="1134"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2,070</w:t>
            </w:r>
          </w:p>
        </w:tc>
      </w:tr>
      <w:tr w:rsidR="00B951B1" w:rsidRPr="00E61612" w:rsidTr="00CB78E6">
        <w:trPr>
          <w:trHeight w:val="765"/>
          <w:jc w:val="center"/>
        </w:trPr>
        <w:tc>
          <w:tcPr>
            <w:tcW w:w="992" w:type="dxa"/>
            <w:vMerge/>
            <w:tcBorders>
              <w:top w:val="nil"/>
              <w:left w:val="single" w:sz="4" w:space="0" w:color="auto"/>
              <w:bottom w:val="single" w:sz="4" w:space="0" w:color="auto"/>
              <w:right w:val="single" w:sz="4" w:space="0" w:color="auto"/>
            </w:tcBorders>
            <w:shd w:val="clear" w:color="auto" w:fill="FFFFFF"/>
            <w:hideMark/>
          </w:tcPr>
          <w:p w:rsidR="00B951B1" w:rsidRPr="00E61612" w:rsidRDefault="00B951B1" w:rsidP="00CB78E6">
            <w:pPr>
              <w:spacing w:after="0"/>
              <w:outlineLvl w:val="1"/>
              <w:rPr>
                <w:rFonts w:eastAsia="Times New Roman" w:cs="Calibri"/>
                <w:sz w:val="16"/>
                <w:szCs w:val="16"/>
              </w:rPr>
            </w:pPr>
          </w:p>
        </w:tc>
        <w:tc>
          <w:tcPr>
            <w:tcW w:w="993" w:type="dxa"/>
            <w:vMerge/>
            <w:tcBorders>
              <w:top w:val="nil"/>
              <w:left w:val="single" w:sz="4" w:space="0" w:color="auto"/>
              <w:bottom w:val="single" w:sz="4" w:space="0" w:color="auto"/>
              <w:right w:val="single" w:sz="4" w:space="0" w:color="auto"/>
            </w:tcBorders>
            <w:shd w:val="clear" w:color="auto" w:fill="FFFFFF"/>
            <w:hideMark/>
          </w:tcPr>
          <w:p w:rsidR="00B951B1" w:rsidRPr="00E61612" w:rsidRDefault="00B951B1" w:rsidP="00CB78E6">
            <w:pPr>
              <w:spacing w:after="0"/>
              <w:outlineLvl w:val="1"/>
              <w:rPr>
                <w:rFonts w:eastAsia="Times New Roman" w:cs="Calibri"/>
                <w:sz w:val="16"/>
                <w:szCs w:val="16"/>
              </w:rPr>
            </w:pPr>
          </w:p>
        </w:tc>
        <w:tc>
          <w:tcPr>
            <w:tcW w:w="992" w:type="dxa"/>
            <w:tcBorders>
              <w:top w:val="nil"/>
              <w:left w:val="nil"/>
              <w:bottom w:val="single" w:sz="4" w:space="0" w:color="auto"/>
              <w:right w:val="single" w:sz="4" w:space="0" w:color="auto"/>
            </w:tcBorders>
            <w:shd w:val="clear" w:color="auto" w:fill="FFFFFF"/>
            <w:hideMark/>
          </w:tcPr>
          <w:p w:rsidR="00B951B1" w:rsidRPr="00E61612" w:rsidRDefault="00B951B1" w:rsidP="00CB78E6">
            <w:pPr>
              <w:spacing w:after="0"/>
              <w:outlineLvl w:val="1"/>
              <w:rPr>
                <w:rFonts w:eastAsia="Times New Roman" w:cs="Calibri"/>
                <w:sz w:val="16"/>
                <w:szCs w:val="16"/>
              </w:rPr>
            </w:pPr>
            <w:r w:rsidRPr="00E61612">
              <w:rPr>
                <w:rFonts w:eastAsia="Times New Roman" w:cs="Calibri"/>
                <w:sz w:val="16"/>
                <w:szCs w:val="16"/>
              </w:rPr>
              <w:t>A1.5. Racionalizimi i rrjetit të shkollave</w:t>
            </w:r>
          </w:p>
        </w:tc>
        <w:tc>
          <w:tcPr>
            <w:tcW w:w="1309" w:type="dxa"/>
            <w:tcBorders>
              <w:top w:val="nil"/>
              <w:left w:val="nil"/>
              <w:bottom w:val="single" w:sz="4" w:space="0" w:color="auto"/>
              <w:right w:val="single" w:sz="4" w:space="0" w:color="auto"/>
            </w:tcBorders>
            <w:shd w:val="clear" w:color="auto" w:fill="FFFFFF"/>
            <w:hideMark/>
          </w:tcPr>
          <w:p w:rsidR="00B951B1" w:rsidRPr="00E61612" w:rsidRDefault="00B951B1" w:rsidP="00CB78E6">
            <w:pPr>
              <w:spacing w:after="0"/>
              <w:outlineLvl w:val="1"/>
              <w:rPr>
                <w:rFonts w:eastAsia="Times New Roman" w:cs="Calibri"/>
                <w:sz w:val="16"/>
                <w:szCs w:val="16"/>
              </w:rPr>
            </w:pPr>
            <w:r w:rsidRPr="00E61612">
              <w:rPr>
                <w:rFonts w:eastAsia="Times New Roman" w:cs="Calibri"/>
                <w:sz w:val="16"/>
                <w:szCs w:val="16"/>
              </w:rPr>
              <w:t>A1.5.1. Reduktimi i numrit të shkollave me klasa kolektive</w:t>
            </w:r>
          </w:p>
        </w:tc>
        <w:tc>
          <w:tcPr>
            <w:tcW w:w="1067" w:type="dxa"/>
            <w:tcBorders>
              <w:top w:val="nil"/>
              <w:left w:val="single" w:sz="4" w:space="0" w:color="auto"/>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w:t>
            </w:r>
          </w:p>
        </w:tc>
        <w:tc>
          <w:tcPr>
            <w:tcW w:w="851"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w:t>
            </w:r>
          </w:p>
        </w:tc>
        <w:tc>
          <w:tcPr>
            <w:tcW w:w="992"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w:t>
            </w:r>
          </w:p>
        </w:tc>
        <w:tc>
          <w:tcPr>
            <w:tcW w:w="992" w:type="dxa"/>
            <w:gridSpan w:val="2"/>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w:t>
            </w:r>
          </w:p>
        </w:tc>
        <w:tc>
          <w:tcPr>
            <w:tcW w:w="992"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w:t>
            </w:r>
          </w:p>
        </w:tc>
        <w:tc>
          <w:tcPr>
            <w:tcW w:w="993"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w:t>
            </w:r>
          </w:p>
        </w:tc>
        <w:tc>
          <w:tcPr>
            <w:tcW w:w="992"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w:t>
            </w:r>
          </w:p>
        </w:tc>
        <w:tc>
          <w:tcPr>
            <w:tcW w:w="992"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w:t>
            </w:r>
          </w:p>
        </w:tc>
        <w:tc>
          <w:tcPr>
            <w:tcW w:w="992"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w:t>
            </w:r>
          </w:p>
        </w:tc>
        <w:tc>
          <w:tcPr>
            <w:tcW w:w="851"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w:t>
            </w:r>
          </w:p>
        </w:tc>
        <w:tc>
          <w:tcPr>
            <w:tcW w:w="1134"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w:t>
            </w:r>
          </w:p>
        </w:tc>
      </w:tr>
      <w:tr w:rsidR="00B951B1" w:rsidRPr="00E61612" w:rsidTr="00CB78E6">
        <w:trPr>
          <w:trHeight w:val="1125"/>
          <w:jc w:val="center"/>
        </w:trPr>
        <w:tc>
          <w:tcPr>
            <w:tcW w:w="992" w:type="dxa"/>
            <w:vMerge/>
            <w:tcBorders>
              <w:top w:val="nil"/>
              <w:left w:val="single" w:sz="4" w:space="0" w:color="auto"/>
              <w:bottom w:val="single" w:sz="4" w:space="0" w:color="auto"/>
              <w:right w:val="single" w:sz="4" w:space="0" w:color="auto"/>
            </w:tcBorders>
            <w:shd w:val="clear" w:color="auto" w:fill="FFFFFF"/>
            <w:hideMark/>
          </w:tcPr>
          <w:p w:rsidR="00B951B1" w:rsidRPr="00E61612" w:rsidRDefault="00B951B1" w:rsidP="00CB78E6">
            <w:pPr>
              <w:spacing w:after="0"/>
              <w:outlineLvl w:val="1"/>
              <w:rPr>
                <w:rFonts w:eastAsia="Times New Roman" w:cs="Calibri"/>
                <w:sz w:val="16"/>
                <w:szCs w:val="16"/>
              </w:rPr>
            </w:pPr>
          </w:p>
        </w:tc>
        <w:tc>
          <w:tcPr>
            <w:tcW w:w="993" w:type="dxa"/>
            <w:vMerge/>
            <w:tcBorders>
              <w:top w:val="nil"/>
              <w:left w:val="single" w:sz="4" w:space="0" w:color="auto"/>
              <w:bottom w:val="single" w:sz="4" w:space="0" w:color="auto"/>
              <w:right w:val="single" w:sz="4" w:space="0" w:color="auto"/>
            </w:tcBorders>
            <w:shd w:val="clear" w:color="auto" w:fill="FFFFFF"/>
            <w:hideMark/>
          </w:tcPr>
          <w:p w:rsidR="00B951B1" w:rsidRPr="00E61612" w:rsidRDefault="00B951B1" w:rsidP="00CB78E6">
            <w:pPr>
              <w:spacing w:after="0"/>
              <w:outlineLvl w:val="1"/>
              <w:rPr>
                <w:rFonts w:eastAsia="Times New Roman" w:cs="Calibri"/>
                <w:sz w:val="16"/>
                <w:szCs w:val="16"/>
              </w:rPr>
            </w:pPr>
          </w:p>
        </w:tc>
        <w:tc>
          <w:tcPr>
            <w:tcW w:w="992" w:type="dxa"/>
            <w:tcBorders>
              <w:top w:val="nil"/>
              <w:left w:val="nil"/>
              <w:bottom w:val="single" w:sz="4" w:space="0" w:color="auto"/>
              <w:right w:val="single" w:sz="4" w:space="0" w:color="auto"/>
            </w:tcBorders>
            <w:shd w:val="clear" w:color="auto" w:fill="FFFFFF"/>
            <w:hideMark/>
          </w:tcPr>
          <w:p w:rsidR="00B951B1" w:rsidRPr="00E61612" w:rsidRDefault="00B951B1" w:rsidP="00CB78E6">
            <w:pPr>
              <w:spacing w:after="0"/>
              <w:outlineLvl w:val="1"/>
              <w:rPr>
                <w:rFonts w:eastAsia="Times New Roman" w:cs="Calibri"/>
                <w:sz w:val="16"/>
                <w:szCs w:val="16"/>
              </w:rPr>
            </w:pPr>
            <w:r w:rsidRPr="00E61612">
              <w:rPr>
                <w:rFonts w:eastAsia="Times New Roman" w:cs="Calibri"/>
                <w:sz w:val="16"/>
                <w:szCs w:val="16"/>
              </w:rPr>
              <w:t>A1.6. Përmirësimi dhe përshtatja e infrastrukturës shkollore</w:t>
            </w:r>
          </w:p>
        </w:tc>
        <w:tc>
          <w:tcPr>
            <w:tcW w:w="1309" w:type="dxa"/>
            <w:tcBorders>
              <w:top w:val="nil"/>
              <w:left w:val="nil"/>
              <w:bottom w:val="single" w:sz="4" w:space="0" w:color="auto"/>
              <w:right w:val="single" w:sz="4" w:space="0" w:color="auto"/>
            </w:tcBorders>
            <w:shd w:val="clear" w:color="auto" w:fill="FFFFFF"/>
            <w:hideMark/>
          </w:tcPr>
          <w:p w:rsidR="00B951B1" w:rsidRPr="00E61612" w:rsidRDefault="00B951B1" w:rsidP="00CB78E6">
            <w:pPr>
              <w:spacing w:after="0"/>
              <w:outlineLvl w:val="1"/>
              <w:rPr>
                <w:rFonts w:eastAsia="Times New Roman" w:cs="Calibri"/>
                <w:sz w:val="16"/>
                <w:szCs w:val="16"/>
              </w:rPr>
            </w:pPr>
            <w:r w:rsidRPr="00E61612">
              <w:rPr>
                <w:rFonts w:eastAsia="Times New Roman" w:cs="Calibri"/>
                <w:sz w:val="16"/>
                <w:szCs w:val="16"/>
              </w:rPr>
              <w:t>A1.6.1. Investime për përmirësimin dhe përshtatjen e infrastrukturës shkollore</w:t>
            </w:r>
          </w:p>
        </w:tc>
        <w:tc>
          <w:tcPr>
            <w:tcW w:w="1067" w:type="dxa"/>
            <w:tcBorders>
              <w:top w:val="nil"/>
              <w:left w:val="single" w:sz="4" w:space="0" w:color="auto"/>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w:t>
            </w:r>
          </w:p>
        </w:tc>
        <w:tc>
          <w:tcPr>
            <w:tcW w:w="851"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w:t>
            </w:r>
          </w:p>
        </w:tc>
        <w:tc>
          <w:tcPr>
            <w:tcW w:w="992"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15,836,000</w:t>
            </w:r>
          </w:p>
        </w:tc>
        <w:tc>
          <w:tcPr>
            <w:tcW w:w="992" w:type="dxa"/>
            <w:gridSpan w:val="2"/>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15,836,000</w:t>
            </w:r>
          </w:p>
        </w:tc>
        <w:tc>
          <w:tcPr>
            <w:tcW w:w="992"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w:t>
            </w:r>
          </w:p>
        </w:tc>
        <w:tc>
          <w:tcPr>
            <w:tcW w:w="993"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15,836,000</w:t>
            </w:r>
          </w:p>
        </w:tc>
        <w:tc>
          <w:tcPr>
            <w:tcW w:w="992"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15,836,000</w:t>
            </w:r>
          </w:p>
        </w:tc>
        <w:tc>
          <w:tcPr>
            <w:tcW w:w="992"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w:t>
            </w:r>
          </w:p>
        </w:tc>
        <w:tc>
          <w:tcPr>
            <w:tcW w:w="992"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w:t>
            </w:r>
          </w:p>
        </w:tc>
        <w:tc>
          <w:tcPr>
            <w:tcW w:w="851"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w:t>
            </w:r>
          </w:p>
        </w:tc>
        <w:tc>
          <w:tcPr>
            <w:tcW w:w="1134"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15,836,000</w:t>
            </w:r>
          </w:p>
        </w:tc>
      </w:tr>
      <w:tr w:rsidR="00B951B1" w:rsidRPr="00E61612" w:rsidTr="00CB78E6">
        <w:trPr>
          <w:trHeight w:val="2040"/>
          <w:jc w:val="center"/>
        </w:trPr>
        <w:tc>
          <w:tcPr>
            <w:tcW w:w="992" w:type="dxa"/>
            <w:vMerge/>
            <w:tcBorders>
              <w:top w:val="nil"/>
              <w:left w:val="single" w:sz="4" w:space="0" w:color="auto"/>
              <w:bottom w:val="single" w:sz="4" w:space="0" w:color="auto"/>
              <w:right w:val="single" w:sz="4" w:space="0" w:color="auto"/>
            </w:tcBorders>
            <w:shd w:val="clear" w:color="auto" w:fill="FFFFFF"/>
            <w:hideMark/>
          </w:tcPr>
          <w:p w:rsidR="00B951B1" w:rsidRPr="00E61612" w:rsidRDefault="00B951B1" w:rsidP="00CB78E6">
            <w:pPr>
              <w:spacing w:after="0"/>
              <w:outlineLvl w:val="1"/>
              <w:rPr>
                <w:rFonts w:eastAsia="Times New Roman" w:cs="Calibri"/>
                <w:sz w:val="16"/>
                <w:szCs w:val="16"/>
              </w:rPr>
            </w:pPr>
          </w:p>
        </w:tc>
        <w:tc>
          <w:tcPr>
            <w:tcW w:w="993" w:type="dxa"/>
            <w:vMerge/>
            <w:tcBorders>
              <w:top w:val="nil"/>
              <w:left w:val="single" w:sz="4" w:space="0" w:color="auto"/>
              <w:bottom w:val="single" w:sz="4" w:space="0" w:color="auto"/>
              <w:right w:val="single" w:sz="4" w:space="0" w:color="auto"/>
            </w:tcBorders>
            <w:shd w:val="clear" w:color="auto" w:fill="FFFFFF"/>
            <w:hideMark/>
          </w:tcPr>
          <w:p w:rsidR="00B951B1" w:rsidRPr="00E61612" w:rsidRDefault="00B951B1" w:rsidP="00CB78E6">
            <w:pPr>
              <w:spacing w:after="0"/>
              <w:outlineLvl w:val="1"/>
              <w:rPr>
                <w:rFonts w:eastAsia="Times New Roman" w:cs="Calibri"/>
                <w:sz w:val="16"/>
                <w:szCs w:val="16"/>
              </w:rPr>
            </w:pPr>
          </w:p>
        </w:tc>
        <w:tc>
          <w:tcPr>
            <w:tcW w:w="992" w:type="dxa"/>
            <w:vMerge w:val="restart"/>
            <w:tcBorders>
              <w:top w:val="nil"/>
              <w:left w:val="single" w:sz="4" w:space="0" w:color="auto"/>
              <w:bottom w:val="single" w:sz="4" w:space="0" w:color="000000"/>
              <w:right w:val="single" w:sz="4" w:space="0" w:color="auto"/>
            </w:tcBorders>
            <w:shd w:val="clear" w:color="auto" w:fill="FFFFFF"/>
            <w:hideMark/>
          </w:tcPr>
          <w:p w:rsidR="00B951B1" w:rsidRPr="00E61612" w:rsidRDefault="00B951B1" w:rsidP="00CB78E6">
            <w:pPr>
              <w:spacing w:after="0"/>
              <w:outlineLvl w:val="1"/>
              <w:rPr>
                <w:rFonts w:eastAsia="Times New Roman" w:cs="Calibri"/>
                <w:sz w:val="16"/>
                <w:szCs w:val="16"/>
              </w:rPr>
            </w:pPr>
            <w:r w:rsidRPr="00E61612">
              <w:rPr>
                <w:rFonts w:eastAsia="Times New Roman" w:cs="Calibri"/>
                <w:sz w:val="16"/>
                <w:szCs w:val="16"/>
              </w:rPr>
              <w:t>A1.7. Konsolidimi i mjediseve të sigurta dhe miqësore për fëmijët në shkollë</w:t>
            </w:r>
          </w:p>
        </w:tc>
        <w:tc>
          <w:tcPr>
            <w:tcW w:w="1309" w:type="dxa"/>
            <w:tcBorders>
              <w:top w:val="nil"/>
              <w:left w:val="nil"/>
              <w:bottom w:val="single" w:sz="4" w:space="0" w:color="auto"/>
              <w:right w:val="single" w:sz="4" w:space="0" w:color="auto"/>
            </w:tcBorders>
            <w:shd w:val="clear" w:color="auto" w:fill="FFFFFF"/>
            <w:hideMark/>
          </w:tcPr>
          <w:p w:rsidR="00B951B1" w:rsidRPr="00E61612" w:rsidRDefault="00B951B1" w:rsidP="00CB78E6">
            <w:pPr>
              <w:spacing w:after="0"/>
              <w:outlineLvl w:val="1"/>
              <w:rPr>
                <w:rFonts w:eastAsia="Times New Roman" w:cs="Calibri"/>
                <w:sz w:val="16"/>
                <w:szCs w:val="16"/>
              </w:rPr>
            </w:pPr>
            <w:r w:rsidRPr="00E61612">
              <w:rPr>
                <w:rFonts w:eastAsia="Times New Roman" w:cs="Calibri"/>
                <w:sz w:val="16"/>
                <w:szCs w:val="16"/>
              </w:rPr>
              <w:t>A1.7.1. Krijimi i sistemit për identifikimin, parandalimin dhe raportimin e dhunës, bullizmit dhe ekstremizmit në shkolla</w:t>
            </w:r>
          </w:p>
        </w:tc>
        <w:tc>
          <w:tcPr>
            <w:tcW w:w="1067" w:type="dxa"/>
            <w:tcBorders>
              <w:top w:val="nil"/>
              <w:left w:val="single" w:sz="4" w:space="0" w:color="auto"/>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w:t>
            </w:r>
          </w:p>
        </w:tc>
        <w:tc>
          <w:tcPr>
            <w:tcW w:w="851"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7,414</w:t>
            </w:r>
          </w:p>
        </w:tc>
        <w:tc>
          <w:tcPr>
            <w:tcW w:w="992"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w:t>
            </w:r>
          </w:p>
        </w:tc>
        <w:tc>
          <w:tcPr>
            <w:tcW w:w="992" w:type="dxa"/>
            <w:gridSpan w:val="2"/>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7,414</w:t>
            </w:r>
          </w:p>
        </w:tc>
        <w:tc>
          <w:tcPr>
            <w:tcW w:w="992"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w:t>
            </w:r>
          </w:p>
        </w:tc>
        <w:tc>
          <w:tcPr>
            <w:tcW w:w="993"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7,414</w:t>
            </w:r>
          </w:p>
        </w:tc>
        <w:tc>
          <w:tcPr>
            <w:tcW w:w="992"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w:t>
            </w:r>
          </w:p>
        </w:tc>
        <w:tc>
          <w:tcPr>
            <w:tcW w:w="992"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7,414</w:t>
            </w:r>
          </w:p>
        </w:tc>
        <w:tc>
          <w:tcPr>
            <w:tcW w:w="992"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w:t>
            </w:r>
          </w:p>
        </w:tc>
        <w:tc>
          <w:tcPr>
            <w:tcW w:w="851"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w:t>
            </w:r>
          </w:p>
        </w:tc>
        <w:tc>
          <w:tcPr>
            <w:tcW w:w="1134"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7,414</w:t>
            </w:r>
          </w:p>
        </w:tc>
      </w:tr>
      <w:tr w:rsidR="00B951B1" w:rsidRPr="00E61612" w:rsidTr="00CB78E6">
        <w:trPr>
          <w:trHeight w:val="765"/>
          <w:jc w:val="center"/>
        </w:trPr>
        <w:tc>
          <w:tcPr>
            <w:tcW w:w="992" w:type="dxa"/>
            <w:vMerge/>
            <w:tcBorders>
              <w:top w:val="nil"/>
              <w:left w:val="single" w:sz="4" w:space="0" w:color="auto"/>
              <w:bottom w:val="single" w:sz="4" w:space="0" w:color="auto"/>
              <w:right w:val="single" w:sz="4" w:space="0" w:color="auto"/>
            </w:tcBorders>
            <w:shd w:val="clear" w:color="auto" w:fill="FFFFFF"/>
            <w:hideMark/>
          </w:tcPr>
          <w:p w:rsidR="00B951B1" w:rsidRPr="00E61612" w:rsidRDefault="00B951B1" w:rsidP="00CB78E6">
            <w:pPr>
              <w:spacing w:after="0"/>
              <w:outlineLvl w:val="1"/>
              <w:rPr>
                <w:rFonts w:eastAsia="Times New Roman" w:cs="Calibri"/>
                <w:sz w:val="16"/>
                <w:szCs w:val="16"/>
              </w:rPr>
            </w:pPr>
          </w:p>
        </w:tc>
        <w:tc>
          <w:tcPr>
            <w:tcW w:w="993" w:type="dxa"/>
            <w:vMerge/>
            <w:tcBorders>
              <w:top w:val="nil"/>
              <w:left w:val="single" w:sz="4" w:space="0" w:color="auto"/>
              <w:bottom w:val="single" w:sz="4" w:space="0" w:color="auto"/>
              <w:right w:val="single" w:sz="4" w:space="0" w:color="auto"/>
            </w:tcBorders>
            <w:shd w:val="clear" w:color="auto" w:fill="FFFFFF"/>
            <w:hideMark/>
          </w:tcPr>
          <w:p w:rsidR="00B951B1" w:rsidRPr="00E61612" w:rsidRDefault="00B951B1" w:rsidP="00CB78E6">
            <w:pPr>
              <w:spacing w:after="0"/>
              <w:outlineLvl w:val="1"/>
              <w:rPr>
                <w:rFonts w:eastAsia="Times New Roman" w:cs="Calibri"/>
                <w:sz w:val="16"/>
                <w:szCs w:val="16"/>
              </w:rPr>
            </w:pPr>
          </w:p>
        </w:tc>
        <w:tc>
          <w:tcPr>
            <w:tcW w:w="992" w:type="dxa"/>
            <w:vMerge/>
            <w:tcBorders>
              <w:top w:val="nil"/>
              <w:left w:val="single" w:sz="4" w:space="0" w:color="auto"/>
              <w:bottom w:val="single" w:sz="4" w:space="0" w:color="000000"/>
              <w:right w:val="single" w:sz="4" w:space="0" w:color="auto"/>
            </w:tcBorders>
            <w:shd w:val="clear" w:color="auto" w:fill="FFFFFF"/>
            <w:hideMark/>
          </w:tcPr>
          <w:p w:rsidR="00B951B1" w:rsidRPr="00E61612" w:rsidRDefault="00B951B1" w:rsidP="00CB78E6">
            <w:pPr>
              <w:spacing w:after="0"/>
              <w:outlineLvl w:val="1"/>
              <w:rPr>
                <w:rFonts w:eastAsia="Times New Roman" w:cs="Calibri"/>
                <w:sz w:val="16"/>
                <w:szCs w:val="16"/>
              </w:rPr>
            </w:pPr>
          </w:p>
        </w:tc>
        <w:tc>
          <w:tcPr>
            <w:tcW w:w="1309" w:type="dxa"/>
            <w:tcBorders>
              <w:top w:val="nil"/>
              <w:left w:val="nil"/>
              <w:bottom w:val="single" w:sz="4" w:space="0" w:color="auto"/>
              <w:right w:val="single" w:sz="4" w:space="0" w:color="auto"/>
            </w:tcBorders>
            <w:shd w:val="clear" w:color="auto" w:fill="FFFFFF"/>
            <w:hideMark/>
          </w:tcPr>
          <w:p w:rsidR="00B951B1" w:rsidRPr="00E61612" w:rsidRDefault="00B951B1" w:rsidP="00CB78E6">
            <w:pPr>
              <w:spacing w:after="0"/>
              <w:outlineLvl w:val="1"/>
              <w:rPr>
                <w:rFonts w:eastAsia="Times New Roman" w:cs="Calibri"/>
                <w:sz w:val="16"/>
                <w:szCs w:val="16"/>
              </w:rPr>
            </w:pPr>
            <w:r w:rsidRPr="00E61612">
              <w:rPr>
                <w:rFonts w:eastAsia="Times New Roman" w:cs="Calibri"/>
                <w:sz w:val="16"/>
                <w:szCs w:val="16"/>
              </w:rPr>
              <w:t>A1.7.2. Fuqizimi i rrjetit të shkollave</w:t>
            </w:r>
            <w:r>
              <w:rPr>
                <w:rFonts w:eastAsia="Times New Roman" w:cs="Calibri"/>
                <w:sz w:val="16"/>
                <w:szCs w:val="16"/>
              </w:rPr>
              <w:t xml:space="preserve"> si </w:t>
            </w:r>
            <w:r w:rsidRPr="00E61612">
              <w:rPr>
                <w:rFonts w:eastAsia="Times New Roman" w:cs="Calibri"/>
                <w:sz w:val="16"/>
                <w:szCs w:val="16"/>
              </w:rPr>
              <w:t>qendra komunitare</w:t>
            </w:r>
          </w:p>
        </w:tc>
        <w:tc>
          <w:tcPr>
            <w:tcW w:w="1067" w:type="dxa"/>
            <w:tcBorders>
              <w:top w:val="nil"/>
              <w:left w:val="single" w:sz="4" w:space="0" w:color="auto"/>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w:t>
            </w:r>
          </w:p>
        </w:tc>
        <w:tc>
          <w:tcPr>
            <w:tcW w:w="851"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w:t>
            </w:r>
          </w:p>
        </w:tc>
        <w:tc>
          <w:tcPr>
            <w:tcW w:w="992"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w:t>
            </w:r>
          </w:p>
        </w:tc>
        <w:tc>
          <w:tcPr>
            <w:tcW w:w="992" w:type="dxa"/>
            <w:gridSpan w:val="2"/>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w:t>
            </w:r>
          </w:p>
        </w:tc>
        <w:tc>
          <w:tcPr>
            <w:tcW w:w="992"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w:t>
            </w:r>
          </w:p>
        </w:tc>
        <w:tc>
          <w:tcPr>
            <w:tcW w:w="993"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w:t>
            </w:r>
          </w:p>
        </w:tc>
        <w:tc>
          <w:tcPr>
            <w:tcW w:w="992"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w:t>
            </w:r>
          </w:p>
        </w:tc>
        <w:tc>
          <w:tcPr>
            <w:tcW w:w="992"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w:t>
            </w:r>
          </w:p>
        </w:tc>
        <w:tc>
          <w:tcPr>
            <w:tcW w:w="992"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w:t>
            </w:r>
          </w:p>
        </w:tc>
        <w:tc>
          <w:tcPr>
            <w:tcW w:w="851"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w:t>
            </w:r>
          </w:p>
        </w:tc>
        <w:tc>
          <w:tcPr>
            <w:tcW w:w="1134"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w:t>
            </w:r>
          </w:p>
        </w:tc>
      </w:tr>
      <w:tr w:rsidR="00B951B1" w:rsidRPr="00E61612" w:rsidTr="00CB78E6">
        <w:trPr>
          <w:trHeight w:val="1020"/>
          <w:jc w:val="center"/>
        </w:trPr>
        <w:tc>
          <w:tcPr>
            <w:tcW w:w="992" w:type="dxa"/>
            <w:vMerge/>
            <w:tcBorders>
              <w:top w:val="nil"/>
              <w:left w:val="single" w:sz="4" w:space="0" w:color="auto"/>
              <w:bottom w:val="single" w:sz="4" w:space="0" w:color="auto"/>
              <w:right w:val="single" w:sz="4" w:space="0" w:color="auto"/>
            </w:tcBorders>
            <w:shd w:val="clear" w:color="auto" w:fill="FFFFFF"/>
            <w:hideMark/>
          </w:tcPr>
          <w:p w:rsidR="00B951B1" w:rsidRPr="00E61612" w:rsidRDefault="00B951B1" w:rsidP="00CB78E6">
            <w:pPr>
              <w:spacing w:after="0"/>
              <w:outlineLvl w:val="1"/>
              <w:rPr>
                <w:rFonts w:eastAsia="Times New Roman" w:cs="Calibri"/>
                <w:sz w:val="16"/>
                <w:szCs w:val="16"/>
              </w:rPr>
            </w:pPr>
          </w:p>
        </w:tc>
        <w:tc>
          <w:tcPr>
            <w:tcW w:w="993" w:type="dxa"/>
            <w:vMerge/>
            <w:tcBorders>
              <w:top w:val="nil"/>
              <w:left w:val="single" w:sz="4" w:space="0" w:color="auto"/>
              <w:bottom w:val="single" w:sz="4" w:space="0" w:color="auto"/>
              <w:right w:val="single" w:sz="4" w:space="0" w:color="auto"/>
            </w:tcBorders>
            <w:shd w:val="clear" w:color="auto" w:fill="FFFFFF"/>
            <w:hideMark/>
          </w:tcPr>
          <w:p w:rsidR="00B951B1" w:rsidRPr="00E61612" w:rsidRDefault="00B951B1" w:rsidP="00CB78E6">
            <w:pPr>
              <w:spacing w:after="0"/>
              <w:outlineLvl w:val="1"/>
              <w:rPr>
                <w:rFonts w:eastAsia="Times New Roman" w:cs="Calibri"/>
                <w:sz w:val="16"/>
                <w:szCs w:val="16"/>
              </w:rPr>
            </w:pPr>
          </w:p>
        </w:tc>
        <w:tc>
          <w:tcPr>
            <w:tcW w:w="992" w:type="dxa"/>
            <w:vMerge/>
            <w:tcBorders>
              <w:top w:val="nil"/>
              <w:left w:val="single" w:sz="4" w:space="0" w:color="auto"/>
              <w:bottom w:val="single" w:sz="4" w:space="0" w:color="000000"/>
              <w:right w:val="single" w:sz="4" w:space="0" w:color="auto"/>
            </w:tcBorders>
            <w:shd w:val="clear" w:color="auto" w:fill="FFFFFF"/>
            <w:hideMark/>
          </w:tcPr>
          <w:p w:rsidR="00B951B1" w:rsidRPr="00E61612" w:rsidRDefault="00B951B1" w:rsidP="00CB78E6">
            <w:pPr>
              <w:spacing w:after="0"/>
              <w:outlineLvl w:val="1"/>
              <w:rPr>
                <w:rFonts w:eastAsia="Times New Roman" w:cs="Calibri"/>
                <w:sz w:val="16"/>
                <w:szCs w:val="16"/>
              </w:rPr>
            </w:pPr>
          </w:p>
        </w:tc>
        <w:tc>
          <w:tcPr>
            <w:tcW w:w="1309" w:type="dxa"/>
            <w:tcBorders>
              <w:top w:val="nil"/>
              <w:left w:val="nil"/>
              <w:bottom w:val="single" w:sz="4" w:space="0" w:color="auto"/>
              <w:right w:val="single" w:sz="4" w:space="0" w:color="auto"/>
            </w:tcBorders>
            <w:shd w:val="clear" w:color="auto" w:fill="FFFFFF"/>
            <w:hideMark/>
          </w:tcPr>
          <w:p w:rsidR="00B951B1" w:rsidRPr="00E61612" w:rsidRDefault="00B951B1" w:rsidP="00CB78E6">
            <w:pPr>
              <w:spacing w:after="0"/>
              <w:outlineLvl w:val="1"/>
              <w:rPr>
                <w:rFonts w:eastAsia="Times New Roman" w:cs="Calibri"/>
                <w:sz w:val="16"/>
                <w:szCs w:val="16"/>
              </w:rPr>
            </w:pPr>
            <w:r w:rsidRPr="00E61612">
              <w:rPr>
                <w:rFonts w:eastAsia="Times New Roman" w:cs="Calibri"/>
                <w:sz w:val="16"/>
                <w:szCs w:val="16"/>
              </w:rPr>
              <w:t>A1.7.3.  Fuqizimi i rrjetit të shkollave me klasa të profilizuara në sport (klasat sportive)</w:t>
            </w:r>
          </w:p>
        </w:tc>
        <w:tc>
          <w:tcPr>
            <w:tcW w:w="1067" w:type="dxa"/>
            <w:tcBorders>
              <w:top w:val="nil"/>
              <w:left w:val="single" w:sz="4" w:space="0" w:color="auto"/>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w:t>
            </w:r>
          </w:p>
        </w:tc>
        <w:tc>
          <w:tcPr>
            <w:tcW w:w="851"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w:t>
            </w:r>
          </w:p>
        </w:tc>
        <w:tc>
          <w:tcPr>
            <w:tcW w:w="992"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w:t>
            </w:r>
          </w:p>
        </w:tc>
        <w:tc>
          <w:tcPr>
            <w:tcW w:w="992" w:type="dxa"/>
            <w:gridSpan w:val="2"/>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w:t>
            </w:r>
          </w:p>
        </w:tc>
        <w:tc>
          <w:tcPr>
            <w:tcW w:w="992"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w:t>
            </w:r>
          </w:p>
        </w:tc>
        <w:tc>
          <w:tcPr>
            <w:tcW w:w="993"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w:t>
            </w:r>
          </w:p>
        </w:tc>
        <w:tc>
          <w:tcPr>
            <w:tcW w:w="992"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w:t>
            </w:r>
          </w:p>
        </w:tc>
        <w:tc>
          <w:tcPr>
            <w:tcW w:w="992"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w:t>
            </w:r>
          </w:p>
        </w:tc>
        <w:tc>
          <w:tcPr>
            <w:tcW w:w="992"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w:t>
            </w:r>
          </w:p>
        </w:tc>
        <w:tc>
          <w:tcPr>
            <w:tcW w:w="851"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w:t>
            </w:r>
          </w:p>
        </w:tc>
        <w:tc>
          <w:tcPr>
            <w:tcW w:w="1134"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w:t>
            </w:r>
          </w:p>
        </w:tc>
      </w:tr>
      <w:tr w:rsidR="00B951B1" w:rsidRPr="00E61612" w:rsidTr="00CB78E6">
        <w:trPr>
          <w:trHeight w:val="1116"/>
          <w:jc w:val="center"/>
        </w:trPr>
        <w:tc>
          <w:tcPr>
            <w:tcW w:w="992" w:type="dxa"/>
            <w:vMerge/>
            <w:tcBorders>
              <w:top w:val="nil"/>
              <w:left w:val="single" w:sz="4" w:space="0" w:color="auto"/>
              <w:bottom w:val="single" w:sz="4" w:space="0" w:color="auto"/>
              <w:right w:val="single" w:sz="4" w:space="0" w:color="auto"/>
            </w:tcBorders>
            <w:shd w:val="clear" w:color="auto" w:fill="FFFFFF"/>
            <w:hideMark/>
          </w:tcPr>
          <w:p w:rsidR="00B951B1" w:rsidRPr="00E61612" w:rsidRDefault="00B951B1" w:rsidP="00CB78E6">
            <w:pPr>
              <w:spacing w:after="0"/>
              <w:outlineLvl w:val="1"/>
              <w:rPr>
                <w:rFonts w:eastAsia="Times New Roman" w:cs="Calibri"/>
                <w:sz w:val="16"/>
                <w:szCs w:val="16"/>
              </w:rPr>
            </w:pPr>
          </w:p>
        </w:tc>
        <w:tc>
          <w:tcPr>
            <w:tcW w:w="993" w:type="dxa"/>
            <w:vMerge/>
            <w:tcBorders>
              <w:top w:val="nil"/>
              <w:left w:val="single" w:sz="4" w:space="0" w:color="auto"/>
              <w:bottom w:val="single" w:sz="4" w:space="0" w:color="auto"/>
              <w:right w:val="single" w:sz="4" w:space="0" w:color="auto"/>
            </w:tcBorders>
            <w:shd w:val="clear" w:color="auto" w:fill="FFFFFF"/>
            <w:hideMark/>
          </w:tcPr>
          <w:p w:rsidR="00B951B1" w:rsidRPr="00E61612" w:rsidRDefault="00B951B1" w:rsidP="00CB78E6">
            <w:pPr>
              <w:spacing w:after="0"/>
              <w:outlineLvl w:val="1"/>
              <w:rPr>
                <w:rFonts w:eastAsia="Times New Roman" w:cs="Calibri"/>
                <w:sz w:val="16"/>
                <w:szCs w:val="16"/>
              </w:rPr>
            </w:pPr>
          </w:p>
        </w:tc>
        <w:tc>
          <w:tcPr>
            <w:tcW w:w="992" w:type="dxa"/>
            <w:vMerge/>
            <w:tcBorders>
              <w:top w:val="nil"/>
              <w:left w:val="single" w:sz="4" w:space="0" w:color="auto"/>
              <w:bottom w:val="single" w:sz="4" w:space="0" w:color="000000"/>
              <w:right w:val="single" w:sz="4" w:space="0" w:color="auto"/>
            </w:tcBorders>
            <w:shd w:val="clear" w:color="auto" w:fill="FFFFFF"/>
            <w:hideMark/>
          </w:tcPr>
          <w:p w:rsidR="00B951B1" w:rsidRPr="00E61612" w:rsidRDefault="00B951B1" w:rsidP="00CB78E6">
            <w:pPr>
              <w:spacing w:after="0"/>
              <w:outlineLvl w:val="1"/>
              <w:rPr>
                <w:rFonts w:eastAsia="Times New Roman" w:cs="Calibri"/>
                <w:sz w:val="16"/>
                <w:szCs w:val="16"/>
              </w:rPr>
            </w:pPr>
          </w:p>
        </w:tc>
        <w:tc>
          <w:tcPr>
            <w:tcW w:w="1309" w:type="dxa"/>
            <w:tcBorders>
              <w:top w:val="nil"/>
              <w:left w:val="nil"/>
              <w:bottom w:val="single" w:sz="4" w:space="0" w:color="auto"/>
              <w:right w:val="single" w:sz="4" w:space="0" w:color="auto"/>
            </w:tcBorders>
            <w:shd w:val="clear" w:color="auto" w:fill="FFFFFF"/>
            <w:hideMark/>
          </w:tcPr>
          <w:p w:rsidR="00B951B1" w:rsidRPr="00E61612" w:rsidRDefault="00B951B1" w:rsidP="00CB78E6">
            <w:pPr>
              <w:spacing w:after="0"/>
              <w:outlineLvl w:val="1"/>
              <w:rPr>
                <w:rFonts w:eastAsia="Times New Roman" w:cs="Calibri"/>
                <w:sz w:val="16"/>
                <w:szCs w:val="16"/>
              </w:rPr>
            </w:pPr>
            <w:r w:rsidRPr="00E61612">
              <w:rPr>
                <w:rFonts w:eastAsia="Times New Roman" w:cs="Calibri"/>
                <w:sz w:val="16"/>
                <w:szCs w:val="16"/>
              </w:rPr>
              <w:t>A1.7.4. Shtimi i numrit të oficerëve të sigurisë në shkolla</w:t>
            </w:r>
          </w:p>
        </w:tc>
        <w:tc>
          <w:tcPr>
            <w:tcW w:w="1067" w:type="dxa"/>
            <w:tcBorders>
              <w:top w:val="nil"/>
              <w:left w:val="single" w:sz="4" w:space="0" w:color="auto"/>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1,210,138</w:t>
            </w:r>
          </w:p>
        </w:tc>
        <w:tc>
          <w:tcPr>
            <w:tcW w:w="851"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w:t>
            </w:r>
          </w:p>
        </w:tc>
        <w:tc>
          <w:tcPr>
            <w:tcW w:w="992"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w:t>
            </w:r>
          </w:p>
        </w:tc>
        <w:tc>
          <w:tcPr>
            <w:tcW w:w="992" w:type="dxa"/>
            <w:gridSpan w:val="2"/>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w:t>
            </w:r>
          </w:p>
        </w:tc>
        <w:tc>
          <w:tcPr>
            <w:tcW w:w="992"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1,210,138</w:t>
            </w:r>
          </w:p>
        </w:tc>
        <w:tc>
          <w:tcPr>
            <w:tcW w:w="993"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1,210,138</w:t>
            </w:r>
          </w:p>
        </w:tc>
        <w:tc>
          <w:tcPr>
            <w:tcW w:w="992"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680,702</w:t>
            </w:r>
          </w:p>
        </w:tc>
        <w:tc>
          <w:tcPr>
            <w:tcW w:w="992"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w:t>
            </w:r>
          </w:p>
        </w:tc>
        <w:tc>
          <w:tcPr>
            <w:tcW w:w="992"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(529,435)</w:t>
            </w:r>
          </w:p>
        </w:tc>
        <w:tc>
          <w:tcPr>
            <w:tcW w:w="851"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w:t>
            </w:r>
          </w:p>
        </w:tc>
        <w:tc>
          <w:tcPr>
            <w:tcW w:w="1134"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1,210,138</w:t>
            </w:r>
          </w:p>
        </w:tc>
      </w:tr>
      <w:tr w:rsidR="00B951B1" w:rsidRPr="00E61612" w:rsidTr="00CB78E6">
        <w:trPr>
          <w:trHeight w:val="255"/>
          <w:jc w:val="center"/>
        </w:trPr>
        <w:tc>
          <w:tcPr>
            <w:tcW w:w="992" w:type="dxa"/>
            <w:vMerge/>
            <w:tcBorders>
              <w:top w:val="nil"/>
              <w:left w:val="single" w:sz="4" w:space="0" w:color="auto"/>
              <w:bottom w:val="single" w:sz="4" w:space="0" w:color="auto"/>
              <w:right w:val="single" w:sz="4" w:space="0" w:color="auto"/>
            </w:tcBorders>
            <w:shd w:val="clear" w:color="auto" w:fill="FFFFFF"/>
            <w:hideMark/>
          </w:tcPr>
          <w:p w:rsidR="00B951B1" w:rsidRPr="00E61612" w:rsidRDefault="00B951B1" w:rsidP="00CB78E6">
            <w:pPr>
              <w:spacing w:after="0"/>
              <w:outlineLvl w:val="0"/>
              <w:rPr>
                <w:rFonts w:eastAsia="Times New Roman" w:cs="Calibri"/>
                <w:sz w:val="16"/>
                <w:szCs w:val="16"/>
              </w:rPr>
            </w:pPr>
          </w:p>
        </w:tc>
        <w:tc>
          <w:tcPr>
            <w:tcW w:w="993" w:type="dxa"/>
            <w:vMerge/>
            <w:tcBorders>
              <w:top w:val="nil"/>
              <w:left w:val="single" w:sz="4" w:space="0" w:color="auto"/>
              <w:bottom w:val="single" w:sz="4" w:space="0" w:color="auto"/>
              <w:right w:val="single" w:sz="4" w:space="0" w:color="auto"/>
            </w:tcBorders>
            <w:shd w:val="clear" w:color="auto" w:fill="FFFFFF"/>
            <w:hideMark/>
          </w:tcPr>
          <w:p w:rsidR="00B951B1" w:rsidRPr="00E61612" w:rsidRDefault="00B951B1" w:rsidP="00CB78E6">
            <w:pPr>
              <w:spacing w:after="0"/>
              <w:outlineLvl w:val="0"/>
              <w:rPr>
                <w:rFonts w:eastAsia="Times New Roman" w:cs="Calibri"/>
                <w:sz w:val="16"/>
                <w:szCs w:val="16"/>
              </w:rPr>
            </w:pPr>
          </w:p>
        </w:tc>
        <w:tc>
          <w:tcPr>
            <w:tcW w:w="2301" w:type="dxa"/>
            <w:gridSpan w:val="2"/>
            <w:tcBorders>
              <w:top w:val="single" w:sz="4" w:space="0" w:color="auto"/>
              <w:left w:val="nil"/>
              <w:bottom w:val="single" w:sz="4" w:space="0" w:color="auto"/>
              <w:right w:val="nil"/>
            </w:tcBorders>
            <w:shd w:val="clear" w:color="auto" w:fill="FFFFFF"/>
            <w:hideMark/>
          </w:tcPr>
          <w:p w:rsidR="00B951B1" w:rsidRPr="00E61612" w:rsidRDefault="00B951B1" w:rsidP="00CB78E6">
            <w:pPr>
              <w:spacing w:after="0"/>
              <w:jc w:val="center"/>
              <w:outlineLvl w:val="0"/>
              <w:rPr>
                <w:rFonts w:eastAsia="Times New Roman" w:cs="Calibri"/>
                <w:i/>
                <w:iCs/>
                <w:sz w:val="16"/>
                <w:szCs w:val="16"/>
              </w:rPr>
            </w:pPr>
            <w:r w:rsidRPr="00E61612">
              <w:rPr>
                <w:rFonts w:eastAsia="Times New Roman" w:cs="Calibri"/>
                <w:i/>
                <w:iCs/>
                <w:sz w:val="16"/>
                <w:szCs w:val="16"/>
              </w:rPr>
              <w:t>TOTAL A1</w:t>
            </w:r>
          </w:p>
        </w:tc>
        <w:tc>
          <w:tcPr>
            <w:tcW w:w="1067" w:type="dxa"/>
            <w:tcBorders>
              <w:top w:val="nil"/>
              <w:left w:val="single" w:sz="4" w:space="0" w:color="auto"/>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0"/>
              <w:rPr>
                <w:rFonts w:eastAsia="Times New Roman" w:cs="Calibri"/>
                <w:i/>
                <w:sz w:val="16"/>
                <w:szCs w:val="16"/>
              </w:rPr>
            </w:pPr>
            <w:r w:rsidRPr="00E61612">
              <w:rPr>
                <w:rFonts w:eastAsia="Times New Roman" w:cs="Calibri"/>
                <w:i/>
                <w:sz w:val="16"/>
                <w:szCs w:val="16"/>
              </w:rPr>
              <w:t>10,604,431</w:t>
            </w:r>
          </w:p>
        </w:tc>
        <w:tc>
          <w:tcPr>
            <w:tcW w:w="851"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0"/>
              <w:rPr>
                <w:rFonts w:eastAsia="Times New Roman" w:cs="Calibri"/>
                <w:i/>
                <w:sz w:val="16"/>
                <w:szCs w:val="16"/>
              </w:rPr>
            </w:pPr>
            <w:r w:rsidRPr="00E61612">
              <w:rPr>
                <w:rFonts w:eastAsia="Times New Roman" w:cs="Calibri"/>
                <w:i/>
                <w:sz w:val="16"/>
                <w:szCs w:val="16"/>
              </w:rPr>
              <w:t>829,220</w:t>
            </w:r>
          </w:p>
        </w:tc>
        <w:tc>
          <w:tcPr>
            <w:tcW w:w="992"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0"/>
              <w:rPr>
                <w:rFonts w:eastAsia="Times New Roman" w:cs="Calibri"/>
                <w:i/>
                <w:sz w:val="16"/>
                <w:szCs w:val="16"/>
              </w:rPr>
            </w:pPr>
            <w:r w:rsidRPr="00E61612">
              <w:rPr>
                <w:rFonts w:eastAsia="Times New Roman" w:cs="Calibri"/>
                <w:i/>
                <w:sz w:val="16"/>
                <w:szCs w:val="16"/>
              </w:rPr>
              <w:t>15,957,105</w:t>
            </w:r>
          </w:p>
        </w:tc>
        <w:tc>
          <w:tcPr>
            <w:tcW w:w="992" w:type="dxa"/>
            <w:gridSpan w:val="2"/>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0"/>
              <w:rPr>
                <w:rFonts w:eastAsia="Times New Roman" w:cs="Calibri"/>
                <w:i/>
                <w:sz w:val="16"/>
                <w:szCs w:val="16"/>
              </w:rPr>
            </w:pPr>
            <w:r w:rsidRPr="00E61612">
              <w:rPr>
                <w:rFonts w:eastAsia="Times New Roman" w:cs="Calibri"/>
                <w:i/>
                <w:sz w:val="16"/>
                <w:szCs w:val="16"/>
              </w:rPr>
              <w:t>16,786,325</w:t>
            </w:r>
          </w:p>
        </w:tc>
        <w:tc>
          <w:tcPr>
            <w:tcW w:w="992"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0"/>
              <w:rPr>
                <w:rFonts w:eastAsia="Times New Roman" w:cs="Calibri"/>
                <w:i/>
                <w:sz w:val="16"/>
                <w:szCs w:val="16"/>
              </w:rPr>
            </w:pPr>
            <w:r w:rsidRPr="00E61612">
              <w:rPr>
                <w:rFonts w:eastAsia="Times New Roman" w:cs="Calibri"/>
                <w:i/>
                <w:sz w:val="16"/>
                <w:szCs w:val="16"/>
              </w:rPr>
              <w:t>10,604,431</w:t>
            </w:r>
          </w:p>
        </w:tc>
        <w:tc>
          <w:tcPr>
            <w:tcW w:w="993"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0"/>
              <w:rPr>
                <w:rFonts w:eastAsia="Times New Roman" w:cs="Calibri"/>
                <w:i/>
                <w:sz w:val="16"/>
                <w:szCs w:val="16"/>
              </w:rPr>
            </w:pPr>
            <w:r w:rsidRPr="00E61612">
              <w:rPr>
                <w:rFonts w:eastAsia="Times New Roman" w:cs="Calibri"/>
                <w:i/>
                <w:sz w:val="16"/>
                <w:szCs w:val="16"/>
              </w:rPr>
              <w:t>27,390,756</w:t>
            </w:r>
          </w:p>
        </w:tc>
        <w:tc>
          <w:tcPr>
            <w:tcW w:w="992"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0"/>
              <w:rPr>
                <w:rFonts w:eastAsia="Times New Roman" w:cs="Calibri"/>
                <w:i/>
                <w:sz w:val="16"/>
                <w:szCs w:val="16"/>
              </w:rPr>
            </w:pPr>
            <w:r w:rsidRPr="00E61612">
              <w:rPr>
                <w:rFonts w:eastAsia="Times New Roman" w:cs="Calibri"/>
                <w:i/>
                <w:sz w:val="16"/>
                <w:szCs w:val="16"/>
              </w:rPr>
              <w:t>25,494,813</w:t>
            </w:r>
          </w:p>
        </w:tc>
        <w:tc>
          <w:tcPr>
            <w:tcW w:w="992"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0"/>
              <w:rPr>
                <w:rFonts w:eastAsia="Times New Roman" w:cs="Calibri"/>
                <w:i/>
                <w:sz w:val="16"/>
                <w:szCs w:val="16"/>
              </w:rPr>
            </w:pPr>
            <w:r w:rsidRPr="00E61612">
              <w:rPr>
                <w:rFonts w:eastAsia="Times New Roman" w:cs="Calibri"/>
                <w:i/>
                <w:sz w:val="16"/>
                <w:szCs w:val="16"/>
              </w:rPr>
              <w:t>60,732</w:t>
            </w:r>
          </w:p>
        </w:tc>
        <w:tc>
          <w:tcPr>
            <w:tcW w:w="992"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0"/>
              <w:rPr>
                <w:rFonts w:eastAsia="Times New Roman" w:cs="Calibri"/>
                <w:i/>
                <w:sz w:val="16"/>
                <w:szCs w:val="16"/>
              </w:rPr>
            </w:pPr>
            <w:r w:rsidRPr="00E61612">
              <w:rPr>
                <w:rFonts w:eastAsia="Times New Roman" w:cs="Calibri"/>
                <w:i/>
                <w:sz w:val="16"/>
                <w:szCs w:val="16"/>
              </w:rPr>
              <w:t>(1,835,211)</w:t>
            </w:r>
          </w:p>
        </w:tc>
        <w:tc>
          <w:tcPr>
            <w:tcW w:w="851"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0"/>
              <w:rPr>
                <w:rFonts w:eastAsia="Times New Roman" w:cs="Calibri"/>
                <w:i/>
                <w:sz w:val="16"/>
                <w:szCs w:val="16"/>
              </w:rPr>
            </w:pPr>
            <w:r w:rsidRPr="00E61612">
              <w:rPr>
                <w:rFonts w:eastAsia="Times New Roman" w:cs="Calibri"/>
                <w:i/>
                <w:sz w:val="16"/>
                <w:szCs w:val="16"/>
              </w:rPr>
              <w:t>-</w:t>
            </w:r>
          </w:p>
        </w:tc>
        <w:tc>
          <w:tcPr>
            <w:tcW w:w="1134"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0"/>
              <w:rPr>
                <w:rFonts w:eastAsia="Times New Roman" w:cs="Calibri"/>
                <w:i/>
                <w:sz w:val="16"/>
                <w:szCs w:val="16"/>
              </w:rPr>
            </w:pPr>
            <w:r w:rsidRPr="00E61612">
              <w:rPr>
                <w:rFonts w:eastAsia="Times New Roman" w:cs="Calibri"/>
                <w:i/>
                <w:sz w:val="16"/>
                <w:szCs w:val="16"/>
              </w:rPr>
              <w:t>27,390,756</w:t>
            </w:r>
          </w:p>
        </w:tc>
      </w:tr>
      <w:tr w:rsidR="00B951B1" w:rsidRPr="00E61612" w:rsidTr="00CB78E6">
        <w:trPr>
          <w:trHeight w:val="2040"/>
          <w:jc w:val="center"/>
        </w:trPr>
        <w:tc>
          <w:tcPr>
            <w:tcW w:w="992" w:type="dxa"/>
            <w:vMerge/>
            <w:tcBorders>
              <w:top w:val="nil"/>
              <w:left w:val="single" w:sz="4" w:space="0" w:color="auto"/>
              <w:bottom w:val="single" w:sz="4" w:space="0" w:color="auto"/>
              <w:right w:val="single" w:sz="4" w:space="0" w:color="auto"/>
            </w:tcBorders>
            <w:shd w:val="clear" w:color="auto" w:fill="FFFFFF"/>
            <w:hideMark/>
          </w:tcPr>
          <w:p w:rsidR="00B951B1" w:rsidRPr="00E61612" w:rsidRDefault="00B951B1" w:rsidP="00CB78E6">
            <w:pPr>
              <w:spacing w:after="0"/>
              <w:outlineLvl w:val="1"/>
              <w:rPr>
                <w:rFonts w:eastAsia="Times New Roman" w:cs="Calibri"/>
                <w:sz w:val="16"/>
                <w:szCs w:val="16"/>
              </w:rPr>
            </w:pPr>
          </w:p>
        </w:tc>
        <w:tc>
          <w:tcPr>
            <w:tcW w:w="993" w:type="dxa"/>
            <w:vMerge w:val="restart"/>
            <w:tcBorders>
              <w:top w:val="nil"/>
              <w:left w:val="single" w:sz="4" w:space="0" w:color="auto"/>
              <w:bottom w:val="single" w:sz="4" w:space="0" w:color="auto"/>
              <w:right w:val="single" w:sz="4" w:space="0" w:color="auto"/>
            </w:tcBorders>
            <w:shd w:val="clear" w:color="auto" w:fill="FFFFFF"/>
            <w:hideMark/>
          </w:tcPr>
          <w:p w:rsidR="00B951B1" w:rsidRPr="00E61612" w:rsidRDefault="00B951B1" w:rsidP="00CB78E6">
            <w:pPr>
              <w:spacing w:after="0"/>
              <w:outlineLvl w:val="1"/>
              <w:rPr>
                <w:rFonts w:eastAsia="Times New Roman" w:cs="Calibri"/>
                <w:sz w:val="16"/>
                <w:szCs w:val="16"/>
              </w:rPr>
            </w:pPr>
            <w:r w:rsidRPr="00E61612">
              <w:rPr>
                <w:rFonts w:eastAsia="Times New Roman" w:cs="Calibri"/>
                <w:sz w:val="16"/>
                <w:szCs w:val="16"/>
              </w:rPr>
              <w:t xml:space="preserve">A2. Krijimi i mundësive për formimin cilësor të mësuesve dhe përmirësimi i sistemit të karrierës që </w:t>
            </w:r>
            <w:r>
              <w:rPr>
                <w:rFonts w:eastAsia="Times New Roman" w:cs="Calibri"/>
                <w:sz w:val="16"/>
                <w:szCs w:val="16"/>
              </w:rPr>
              <w:t xml:space="preserve">i </w:t>
            </w:r>
            <w:r w:rsidRPr="00E61612">
              <w:rPr>
                <w:rFonts w:eastAsia="Times New Roman" w:cs="Calibri"/>
                <w:sz w:val="16"/>
                <w:szCs w:val="16"/>
              </w:rPr>
              <w:t xml:space="preserve">inkurajon ata të zhvillojnë </w:t>
            </w:r>
            <w:r w:rsidRPr="00E61612">
              <w:rPr>
                <w:rFonts w:eastAsia="Times New Roman" w:cs="Calibri"/>
                <w:sz w:val="16"/>
                <w:szCs w:val="16"/>
              </w:rPr>
              <w:lastRenderedPageBreak/>
              <w:t xml:space="preserve">nivele më të larta të aftësive </w:t>
            </w:r>
            <w:r>
              <w:rPr>
                <w:rFonts w:eastAsia="Times New Roman" w:cs="Calibri"/>
                <w:sz w:val="16"/>
                <w:szCs w:val="16"/>
              </w:rPr>
              <w:t>në</w:t>
            </w:r>
            <w:r w:rsidRPr="00E61612">
              <w:rPr>
                <w:rFonts w:eastAsia="Times New Roman" w:cs="Calibri"/>
                <w:sz w:val="16"/>
                <w:szCs w:val="16"/>
              </w:rPr>
              <w:t xml:space="preserve"> mësimdhënie</w:t>
            </w:r>
          </w:p>
        </w:tc>
        <w:tc>
          <w:tcPr>
            <w:tcW w:w="992" w:type="dxa"/>
            <w:tcBorders>
              <w:top w:val="nil"/>
              <w:left w:val="nil"/>
              <w:bottom w:val="single" w:sz="4" w:space="0" w:color="auto"/>
              <w:right w:val="single" w:sz="4" w:space="0" w:color="auto"/>
            </w:tcBorders>
            <w:shd w:val="clear" w:color="auto" w:fill="FFFFFF"/>
            <w:hideMark/>
          </w:tcPr>
          <w:p w:rsidR="00B951B1" w:rsidRPr="00E61612" w:rsidRDefault="00B951B1" w:rsidP="00CB78E6">
            <w:pPr>
              <w:spacing w:after="0"/>
              <w:outlineLvl w:val="1"/>
              <w:rPr>
                <w:rFonts w:eastAsia="Times New Roman" w:cs="Calibri"/>
                <w:sz w:val="16"/>
                <w:szCs w:val="16"/>
              </w:rPr>
            </w:pPr>
            <w:r w:rsidRPr="00E61612">
              <w:rPr>
                <w:rFonts w:eastAsia="Times New Roman" w:cs="Calibri"/>
                <w:sz w:val="16"/>
                <w:szCs w:val="16"/>
              </w:rPr>
              <w:lastRenderedPageBreak/>
              <w:t xml:space="preserve">A2.1. Përmirësimi i cilësisë së programeve për formimin fillestar të mësuesve </w:t>
            </w:r>
          </w:p>
        </w:tc>
        <w:tc>
          <w:tcPr>
            <w:tcW w:w="1309" w:type="dxa"/>
            <w:tcBorders>
              <w:top w:val="nil"/>
              <w:left w:val="nil"/>
              <w:bottom w:val="single" w:sz="4" w:space="0" w:color="auto"/>
              <w:right w:val="single" w:sz="4" w:space="0" w:color="auto"/>
            </w:tcBorders>
            <w:shd w:val="clear" w:color="auto" w:fill="FFFFFF"/>
            <w:hideMark/>
          </w:tcPr>
          <w:p w:rsidR="00B951B1" w:rsidRPr="00E61612" w:rsidRDefault="00B951B1" w:rsidP="00CB78E6">
            <w:pPr>
              <w:spacing w:after="0"/>
              <w:outlineLvl w:val="1"/>
              <w:rPr>
                <w:rFonts w:eastAsia="Times New Roman" w:cs="Calibri"/>
                <w:sz w:val="16"/>
                <w:szCs w:val="16"/>
              </w:rPr>
            </w:pPr>
            <w:r w:rsidRPr="00E61612">
              <w:rPr>
                <w:rFonts w:eastAsia="Times New Roman" w:cs="Calibri"/>
                <w:sz w:val="16"/>
                <w:szCs w:val="16"/>
              </w:rPr>
              <w:t>A2.1.1. Harmonizimi i kurrikulave të formimit fillestar të mësuesve të IAL</w:t>
            </w:r>
            <w:r>
              <w:rPr>
                <w:rFonts w:eastAsia="Times New Roman" w:cs="Calibri"/>
                <w:sz w:val="16"/>
                <w:szCs w:val="16"/>
              </w:rPr>
              <w:t>-ve</w:t>
            </w:r>
            <w:r w:rsidRPr="00E61612">
              <w:rPr>
                <w:rFonts w:eastAsia="Times New Roman" w:cs="Calibri"/>
                <w:sz w:val="16"/>
                <w:szCs w:val="16"/>
              </w:rPr>
              <w:t xml:space="preserve"> bazuar në kërkesat e Ligjit të Arsimit të Lartë si dhe </w:t>
            </w:r>
            <w:r>
              <w:rPr>
                <w:rFonts w:eastAsia="Times New Roman" w:cs="Calibri"/>
                <w:sz w:val="16"/>
                <w:szCs w:val="16"/>
              </w:rPr>
              <w:t>në</w:t>
            </w:r>
            <w:r w:rsidRPr="00E61612">
              <w:rPr>
                <w:rFonts w:eastAsia="Times New Roman" w:cs="Calibri"/>
                <w:sz w:val="16"/>
                <w:szCs w:val="16"/>
              </w:rPr>
              <w:t xml:space="preserve"> kurrikulën që ofrohet në arsimin parauniversitar</w:t>
            </w:r>
          </w:p>
        </w:tc>
        <w:tc>
          <w:tcPr>
            <w:tcW w:w="1067" w:type="dxa"/>
            <w:tcBorders>
              <w:top w:val="nil"/>
              <w:left w:val="single" w:sz="4" w:space="0" w:color="auto"/>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w:t>
            </w:r>
          </w:p>
        </w:tc>
        <w:tc>
          <w:tcPr>
            <w:tcW w:w="851"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w:t>
            </w:r>
          </w:p>
        </w:tc>
        <w:tc>
          <w:tcPr>
            <w:tcW w:w="992"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w:t>
            </w:r>
          </w:p>
        </w:tc>
        <w:tc>
          <w:tcPr>
            <w:tcW w:w="992" w:type="dxa"/>
            <w:gridSpan w:val="2"/>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w:t>
            </w:r>
          </w:p>
        </w:tc>
        <w:tc>
          <w:tcPr>
            <w:tcW w:w="992"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w:t>
            </w:r>
          </w:p>
        </w:tc>
        <w:tc>
          <w:tcPr>
            <w:tcW w:w="993"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w:t>
            </w:r>
          </w:p>
        </w:tc>
        <w:tc>
          <w:tcPr>
            <w:tcW w:w="992"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w:t>
            </w:r>
          </w:p>
        </w:tc>
        <w:tc>
          <w:tcPr>
            <w:tcW w:w="992"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w:t>
            </w:r>
          </w:p>
        </w:tc>
        <w:tc>
          <w:tcPr>
            <w:tcW w:w="992"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w:t>
            </w:r>
          </w:p>
        </w:tc>
        <w:tc>
          <w:tcPr>
            <w:tcW w:w="851"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w:t>
            </w:r>
          </w:p>
        </w:tc>
        <w:tc>
          <w:tcPr>
            <w:tcW w:w="1134"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w:t>
            </w:r>
          </w:p>
        </w:tc>
      </w:tr>
      <w:tr w:rsidR="00B951B1" w:rsidRPr="00E61612" w:rsidTr="00CB78E6">
        <w:trPr>
          <w:trHeight w:val="1530"/>
          <w:jc w:val="center"/>
        </w:trPr>
        <w:tc>
          <w:tcPr>
            <w:tcW w:w="992" w:type="dxa"/>
            <w:vMerge/>
            <w:tcBorders>
              <w:top w:val="nil"/>
              <w:left w:val="single" w:sz="4" w:space="0" w:color="auto"/>
              <w:bottom w:val="single" w:sz="4" w:space="0" w:color="auto"/>
              <w:right w:val="single" w:sz="4" w:space="0" w:color="auto"/>
            </w:tcBorders>
            <w:shd w:val="clear" w:color="auto" w:fill="FFFFFF"/>
            <w:hideMark/>
          </w:tcPr>
          <w:p w:rsidR="00B951B1" w:rsidRPr="00E61612" w:rsidRDefault="00B951B1" w:rsidP="00CB78E6">
            <w:pPr>
              <w:spacing w:after="0"/>
              <w:outlineLvl w:val="1"/>
              <w:rPr>
                <w:rFonts w:eastAsia="Times New Roman" w:cs="Calibri"/>
                <w:sz w:val="16"/>
                <w:szCs w:val="16"/>
              </w:rPr>
            </w:pPr>
          </w:p>
        </w:tc>
        <w:tc>
          <w:tcPr>
            <w:tcW w:w="993" w:type="dxa"/>
            <w:vMerge/>
            <w:tcBorders>
              <w:top w:val="nil"/>
              <w:left w:val="single" w:sz="4" w:space="0" w:color="auto"/>
              <w:bottom w:val="single" w:sz="4" w:space="0" w:color="auto"/>
              <w:right w:val="single" w:sz="4" w:space="0" w:color="auto"/>
            </w:tcBorders>
            <w:shd w:val="clear" w:color="auto" w:fill="FFFFFF"/>
            <w:hideMark/>
          </w:tcPr>
          <w:p w:rsidR="00B951B1" w:rsidRPr="00E61612" w:rsidRDefault="00B951B1" w:rsidP="00CB78E6">
            <w:pPr>
              <w:spacing w:after="0"/>
              <w:outlineLvl w:val="1"/>
              <w:rPr>
                <w:rFonts w:eastAsia="Times New Roman" w:cs="Calibri"/>
                <w:sz w:val="16"/>
                <w:szCs w:val="16"/>
              </w:rPr>
            </w:pPr>
          </w:p>
        </w:tc>
        <w:tc>
          <w:tcPr>
            <w:tcW w:w="992" w:type="dxa"/>
            <w:vMerge w:val="restart"/>
            <w:tcBorders>
              <w:top w:val="nil"/>
              <w:left w:val="single" w:sz="4" w:space="0" w:color="auto"/>
              <w:bottom w:val="single" w:sz="4" w:space="0" w:color="000000"/>
              <w:right w:val="single" w:sz="4" w:space="0" w:color="auto"/>
            </w:tcBorders>
            <w:shd w:val="clear" w:color="auto" w:fill="FFFFFF"/>
            <w:hideMark/>
          </w:tcPr>
          <w:p w:rsidR="00B951B1" w:rsidRPr="00E61612" w:rsidRDefault="00B951B1" w:rsidP="00CB78E6">
            <w:pPr>
              <w:spacing w:after="0"/>
              <w:outlineLvl w:val="1"/>
              <w:rPr>
                <w:rFonts w:eastAsia="Times New Roman" w:cs="Calibri"/>
                <w:sz w:val="16"/>
                <w:szCs w:val="16"/>
              </w:rPr>
            </w:pPr>
            <w:r w:rsidRPr="00E61612">
              <w:rPr>
                <w:rFonts w:eastAsia="Times New Roman" w:cs="Calibri"/>
                <w:sz w:val="16"/>
                <w:szCs w:val="16"/>
              </w:rPr>
              <w:t>A2.2. Shtimi i mundësive për zhvillimin profesional të mësuesve (aftësitë pedagogjike, kompetenca digjitale, arsimi gjithëpërfshirës)</w:t>
            </w:r>
          </w:p>
        </w:tc>
        <w:tc>
          <w:tcPr>
            <w:tcW w:w="1309" w:type="dxa"/>
            <w:tcBorders>
              <w:top w:val="nil"/>
              <w:left w:val="nil"/>
              <w:bottom w:val="single" w:sz="4" w:space="0" w:color="auto"/>
              <w:right w:val="single" w:sz="4" w:space="0" w:color="auto"/>
            </w:tcBorders>
            <w:shd w:val="clear" w:color="auto" w:fill="FFFFFF"/>
            <w:hideMark/>
          </w:tcPr>
          <w:p w:rsidR="00B951B1" w:rsidRPr="00E61612" w:rsidRDefault="00B951B1" w:rsidP="00CB78E6">
            <w:pPr>
              <w:spacing w:after="0"/>
              <w:outlineLvl w:val="1"/>
              <w:rPr>
                <w:rFonts w:eastAsia="Times New Roman" w:cs="Calibri"/>
                <w:sz w:val="16"/>
                <w:szCs w:val="16"/>
              </w:rPr>
            </w:pPr>
            <w:r w:rsidRPr="00E61612">
              <w:rPr>
                <w:rFonts w:eastAsia="Times New Roman" w:cs="Calibri"/>
                <w:sz w:val="16"/>
                <w:szCs w:val="16"/>
              </w:rPr>
              <w:t>A2.2.1. Zhvillimi i moduleve të trajnimit të bazuara në standardet profesionale të mësuesit dhe në koherencë me kurrikulën e re</w:t>
            </w:r>
          </w:p>
        </w:tc>
        <w:tc>
          <w:tcPr>
            <w:tcW w:w="1067" w:type="dxa"/>
            <w:tcBorders>
              <w:top w:val="nil"/>
              <w:left w:val="single" w:sz="4" w:space="0" w:color="auto"/>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w:t>
            </w:r>
          </w:p>
        </w:tc>
        <w:tc>
          <w:tcPr>
            <w:tcW w:w="851"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468,000</w:t>
            </w:r>
          </w:p>
        </w:tc>
        <w:tc>
          <w:tcPr>
            <w:tcW w:w="992"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w:t>
            </w:r>
          </w:p>
        </w:tc>
        <w:tc>
          <w:tcPr>
            <w:tcW w:w="992" w:type="dxa"/>
            <w:gridSpan w:val="2"/>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468,000</w:t>
            </w:r>
          </w:p>
        </w:tc>
        <w:tc>
          <w:tcPr>
            <w:tcW w:w="992"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w:t>
            </w:r>
          </w:p>
        </w:tc>
        <w:tc>
          <w:tcPr>
            <w:tcW w:w="993"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468,000</w:t>
            </w:r>
          </w:p>
        </w:tc>
        <w:tc>
          <w:tcPr>
            <w:tcW w:w="992"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468,000</w:t>
            </w:r>
          </w:p>
        </w:tc>
        <w:tc>
          <w:tcPr>
            <w:tcW w:w="992"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w:t>
            </w:r>
          </w:p>
        </w:tc>
        <w:tc>
          <w:tcPr>
            <w:tcW w:w="992"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w:t>
            </w:r>
          </w:p>
        </w:tc>
        <w:tc>
          <w:tcPr>
            <w:tcW w:w="851"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w:t>
            </w:r>
          </w:p>
        </w:tc>
        <w:tc>
          <w:tcPr>
            <w:tcW w:w="1134"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468,000</w:t>
            </w:r>
          </w:p>
        </w:tc>
      </w:tr>
      <w:tr w:rsidR="00B951B1" w:rsidRPr="00E61612" w:rsidTr="00CB78E6">
        <w:trPr>
          <w:trHeight w:val="2805"/>
          <w:jc w:val="center"/>
        </w:trPr>
        <w:tc>
          <w:tcPr>
            <w:tcW w:w="992" w:type="dxa"/>
            <w:vMerge/>
            <w:tcBorders>
              <w:top w:val="nil"/>
              <w:left w:val="single" w:sz="4" w:space="0" w:color="auto"/>
              <w:bottom w:val="single" w:sz="4" w:space="0" w:color="auto"/>
              <w:right w:val="single" w:sz="4" w:space="0" w:color="auto"/>
            </w:tcBorders>
            <w:shd w:val="clear" w:color="auto" w:fill="FFFFFF"/>
            <w:hideMark/>
          </w:tcPr>
          <w:p w:rsidR="00B951B1" w:rsidRPr="00E61612" w:rsidRDefault="00B951B1" w:rsidP="00CB78E6">
            <w:pPr>
              <w:spacing w:after="0"/>
              <w:outlineLvl w:val="1"/>
              <w:rPr>
                <w:rFonts w:eastAsia="Times New Roman" w:cs="Calibri"/>
                <w:sz w:val="16"/>
                <w:szCs w:val="16"/>
              </w:rPr>
            </w:pPr>
          </w:p>
        </w:tc>
        <w:tc>
          <w:tcPr>
            <w:tcW w:w="993" w:type="dxa"/>
            <w:vMerge/>
            <w:tcBorders>
              <w:top w:val="nil"/>
              <w:left w:val="single" w:sz="4" w:space="0" w:color="auto"/>
              <w:bottom w:val="single" w:sz="4" w:space="0" w:color="auto"/>
              <w:right w:val="single" w:sz="4" w:space="0" w:color="auto"/>
            </w:tcBorders>
            <w:shd w:val="clear" w:color="auto" w:fill="FFFFFF"/>
            <w:hideMark/>
          </w:tcPr>
          <w:p w:rsidR="00B951B1" w:rsidRPr="00E61612" w:rsidRDefault="00B951B1" w:rsidP="00CB78E6">
            <w:pPr>
              <w:spacing w:after="0"/>
              <w:outlineLvl w:val="1"/>
              <w:rPr>
                <w:rFonts w:eastAsia="Times New Roman" w:cs="Calibri"/>
                <w:sz w:val="16"/>
                <w:szCs w:val="16"/>
              </w:rPr>
            </w:pPr>
          </w:p>
        </w:tc>
        <w:tc>
          <w:tcPr>
            <w:tcW w:w="992" w:type="dxa"/>
            <w:vMerge/>
            <w:tcBorders>
              <w:top w:val="nil"/>
              <w:left w:val="single" w:sz="4" w:space="0" w:color="auto"/>
              <w:bottom w:val="single" w:sz="4" w:space="0" w:color="000000"/>
              <w:right w:val="single" w:sz="4" w:space="0" w:color="auto"/>
            </w:tcBorders>
            <w:shd w:val="clear" w:color="auto" w:fill="FFFFFF"/>
            <w:hideMark/>
          </w:tcPr>
          <w:p w:rsidR="00B951B1" w:rsidRPr="00E61612" w:rsidRDefault="00B951B1" w:rsidP="00CB78E6">
            <w:pPr>
              <w:spacing w:after="0"/>
              <w:outlineLvl w:val="1"/>
              <w:rPr>
                <w:rFonts w:eastAsia="Times New Roman" w:cs="Calibri"/>
                <w:sz w:val="16"/>
                <w:szCs w:val="16"/>
              </w:rPr>
            </w:pPr>
          </w:p>
        </w:tc>
        <w:tc>
          <w:tcPr>
            <w:tcW w:w="1309" w:type="dxa"/>
            <w:tcBorders>
              <w:top w:val="nil"/>
              <w:left w:val="nil"/>
              <w:bottom w:val="single" w:sz="4" w:space="0" w:color="auto"/>
              <w:right w:val="single" w:sz="4" w:space="0" w:color="auto"/>
            </w:tcBorders>
            <w:shd w:val="clear" w:color="auto" w:fill="FFFFFF"/>
            <w:hideMark/>
          </w:tcPr>
          <w:p w:rsidR="00B951B1" w:rsidRPr="00E61612" w:rsidRDefault="00B951B1" w:rsidP="00CB78E6">
            <w:pPr>
              <w:spacing w:after="0"/>
              <w:outlineLvl w:val="1"/>
              <w:rPr>
                <w:rFonts w:eastAsia="Times New Roman" w:cs="Calibri"/>
                <w:sz w:val="16"/>
                <w:szCs w:val="16"/>
              </w:rPr>
            </w:pPr>
            <w:r w:rsidRPr="00E61612">
              <w:rPr>
                <w:rFonts w:eastAsia="Times New Roman" w:cs="Calibri"/>
                <w:sz w:val="16"/>
                <w:szCs w:val="16"/>
              </w:rPr>
              <w:t>A2.2.2. Mbështetja e rrjeteve profesionale dhe anëtarëve të tyre, në veçanti rrjeteve profesionale të gjuhës shqipe, matematikës dhe shkencave, në përputhje me aftësitë që kërkohen në provim</w:t>
            </w:r>
            <w:r>
              <w:rPr>
                <w:rFonts w:eastAsia="Times New Roman" w:cs="Calibri"/>
                <w:sz w:val="16"/>
                <w:szCs w:val="16"/>
              </w:rPr>
              <w:t>et</w:t>
            </w:r>
            <w:r w:rsidRPr="00E61612">
              <w:rPr>
                <w:rFonts w:eastAsia="Times New Roman" w:cs="Calibri"/>
                <w:sz w:val="16"/>
                <w:szCs w:val="16"/>
              </w:rPr>
              <w:t xml:space="preserve"> ndërkombëtar</w:t>
            </w:r>
            <w:r>
              <w:rPr>
                <w:rFonts w:eastAsia="Times New Roman" w:cs="Calibri"/>
                <w:sz w:val="16"/>
                <w:szCs w:val="16"/>
              </w:rPr>
              <w:t>e</w:t>
            </w:r>
            <w:r w:rsidRPr="00E61612">
              <w:rPr>
                <w:rFonts w:eastAsia="Times New Roman" w:cs="Calibri"/>
                <w:sz w:val="16"/>
                <w:szCs w:val="16"/>
              </w:rPr>
              <w:t xml:space="preserve"> PISA, PIRLS dhe TIMSS</w:t>
            </w:r>
          </w:p>
        </w:tc>
        <w:tc>
          <w:tcPr>
            <w:tcW w:w="1067" w:type="dxa"/>
            <w:tcBorders>
              <w:top w:val="nil"/>
              <w:left w:val="single" w:sz="4" w:space="0" w:color="auto"/>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w:t>
            </w:r>
          </w:p>
        </w:tc>
        <w:tc>
          <w:tcPr>
            <w:tcW w:w="851"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w:t>
            </w:r>
          </w:p>
        </w:tc>
        <w:tc>
          <w:tcPr>
            <w:tcW w:w="992"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w:t>
            </w:r>
          </w:p>
        </w:tc>
        <w:tc>
          <w:tcPr>
            <w:tcW w:w="992" w:type="dxa"/>
            <w:gridSpan w:val="2"/>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w:t>
            </w:r>
          </w:p>
        </w:tc>
        <w:tc>
          <w:tcPr>
            <w:tcW w:w="992"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w:t>
            </w:r>
          </w:p>
        </w:tc>
        <w:tc>
          <w:tcPr>
            <w:tcW w:w="993"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w:t>
            </w:r>
          </w:p>
        </w:tc>
        <w:tc>
          <w:tcPr>
            <w:tcW w:w="992"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w:t>
            </w:r>
          </w:p>
        </w:tc>
        <w:tc>
          <w:tcPr>
            <w:tcW w:w="992"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w:t>
            </w:r>
          </w:p>
        </w:tc>
        <w:tc>
          <w:tcPr>
            <w:tcW w:w="992"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w:t>
            </w:r>
          </w:p>
        </w:tc>
        <w:tc>
          <w:tcPr>
            <w:tcW w:w="851"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w:t>
            </w:r>
          </w:p>
        </w:tc>
        <w:tc>
          <w:tcPr>
            <w:tcW w:w="1134"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w:t>
            </w:r>
          </w:p>
        </w:tc>
      </w:tr>
      <w:tr w:rsidR="00B951B1" w:rsidRPr="00E61612" w:rsidTr="00CB78E6">
        <w:trPr>
          <w:trHeight w:val="1785"/>
          <w:jc w:val="center"/>
        </w:trPr>
        <w:tc>
          <w:tcPr>
            <w:tcW w:w="992" w:type="dxa"/>
            <w:vMerge/>
            <w:tcBorders>
              <w:top w:val="nil"/>
              <w:left w:val="single" w:sz="4" w:space="0" w:color="auto"/>
              <w:bottom w:val="single" w:sz="4" w:space="0" w:color="auto"/>
              <w:right w:val="single" w:sz="4" w:space="0" w:color="auto"/>
            </w:tcBorders>
            <w:shd w:val="clear" w:color="auto" w:fill="FFFFFF"/>
            <w:hideMark/>
          </w:tcPr>
          <w:p w:rsidR="00B951B1" w:rsidRPr="00E61612" w:rsidRDefault="00B951B1" w:rsidP="00CB78E6">
            <w:pPr>
              <w:spacing w:after="0"/>
              <w:outlineLvl w:val="1"/>
              <w:rPr>
                <w:rFonts w:eastAsia="Times New Roman" w:cs="Calibri"/>
                <w:sz w:val="16"/>
                <w:szCs w:val="16"/>
              </w:rPr>
            </w:pPr>
          </w:p>
        </w:tc>
        <w:tc>
          <w:tcPr>
            <w:tcW w:w="993" w:type="dxa"/>
            <w:vMerge/>
            <w:tcBorders>
              <w:top w:val="nil"/>
              <w:left w:val="single" w:sz="4" w:space="0" w:color="auto"/>
              <w:bottom w:val="single" w:sz="4" w:space="0" w:color="auto"/>
              <w:right w:val="single" w:sz="4" w:space="0" w:color="auto"/>
            </w:tcBorders>
            <w:shd w:val="clear" w:color="auto" w:fill="FFFFFF"/>
            <w:hideMark/>
          </w:tcPr>
          <w:p w:rsidR="00B951B1" w:rsidRPr="00E61612" w:rsidRDefault="00B951B1" w:rsidP="00CB78E6">
            <w:pPr>
              <w:spacing w:after="0"/>
              <w:outlineLvl w:val="1"/>
              <w:rPr>
                <w:rFonts w:eastAsia="Times New Roman" w:cs="Calibri"/>
                <w:sz w:val="16"/>
                <w:szCs w:val="16"/>
              </w:rPr>
            </w:pPr>
          </w:p>
        </w:tc>
        <w:tc>
          <w:tcPr>
            <w:tcW w:w="992" w:type="dxa"/>
            <w:vMerge/>
            <w:tcBorders>
              <w:top w:val="nil"/>
              <w:left w:val="single" w:sz="4" w:space="0" w:color="auto"/>
              <w:bottom w:val="single" w:sz="4" w:space="0" w:color="000000"/>
              <w:right w:val="single" w:sz="4" w:space="0" w:color="auto"/>
            </w:tcBorders>
            <w:shd w:val="clear" w:color="auto" w:fill="FFFFFF"/>
            <w:hideMark/>
          </w:tcPr>
          <w:p w:rsidR="00B951B1" w:rsidRPr="00E61612" w:rsidRDefault="00B951B1" w:rsidP="00CB78E6">
            <w:pPr>
              <w:spacing w:after="0"/>
              <w:outlineLvl w:val="1"/>
              <w:rPr>
                <w:rFonts w:eastAsia="Times New Roman" w:cs="Calibri"/>
                <w:sz w:val="16"/>
                <w:szCs w:val="16"/>
              </w:rPr>
            </w:pPr>
          </w:p>
        </w:tc>
        <w:tc>
          <w:tcPr>
            <w:tcW w:w="1309" w:type="dxa"/>
            <w:tcBorders>
              <w:top w:val="nil"/>
              <w:left w:val="nil"/>
              <w:bottom w:val="single" w:sz="4" w:space="0" w:color="auto"/>
              <w:right w:val="single" w:sz="4" w:space="0" w:color="auto"/>
            </w:tcBorders>
            <w:shd w:val="clear" w:color="auto" w:fill="FFFFFF"/>
            <w:hideMark/>
          </w:tcPr>
          <w:p w:rsidR="00B951B1" w:rsidRPr="00E61612" w:rsidRDefault="00B951B1" w:rsidP="00CB78E6">
            <w:pPr>
              <w:spacing w:after="0"/>
              <w:outlineLvl w:val="1"/>
              <w:rPr>
                <w:rFonts w:eastAsia="Times New Roman" w:cs="Calibri"/>
                <w:sz w:val="16"/>
                <w:szCs w:val="16"/>
              </w:rPr>
            </w:pPr>
            <w:r w:rsidRPr="00E61612">
              <w:rPr>
                <w:rFonts w:eastAsia="Times New Roman" w:cs="Calibri"/>
                <w:sz w:val="16"/>
                <w:szCs w:val="16"/>
              </w:rPr>
              <w:t>A2.2.3. Nxitja e mobilitetit të mësuesve përmes pjesëmarrjes së institucioneve të arsimit parauniversitar në Erasmus+ dhe programe të tjera</w:t>
            </w:r>
          </w:p>
        </w:tc>
        <w:tc>
          <w:tcPr>
            <w:tcW w:w="1067" w:type="dxa"/>
            <w:tcBorders>
              <w:top w:val="nil"/>
              <w:left w:val="single" w:sz="4" w:space="0" w:color="auto"/>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w:t>
            </w:r>
          </w:p>
        </w:tc>
        <w:tc>
          <w:tcPr>
            <w:tcW w:w="851"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w:t>
            </w:r>
          </w:p>
        </w:tc>
        <w:tc>
          <w:tcPr>
            <w:tcW w:w="992"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w:t>
            </w:r>
          </w:p>
        </w:tc>
        <w:tc>
          <w:tcPr>
            <w:tcW w:w="992" w:type="dxa"/>
            <w:gridSpan w:val="2"/>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w:t>
            </w:r>
          </w:p>
        </w:tc>
        <w:tc>
          <w:tcPr>
            <w:tcW w:w="992"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w:t>
            </w:r>
          </w:p>
        </w:tc>
        <w:tc>
          <w:tcPr>
            <w:tcW w:w="993"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w:t>
            </w:r>
          </w:p>
        </w:tc>
        <w:tc>
          <w:tcPr>
            <w:tcW w:w="992"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w:t>
            </w:r>
          </w:p>
        </w:tc>
        <w:tc>
          <w:tcPr>
            <w:tcW w:w="992"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w:t>
            </w:r>
          </w:p>
        </w:tc>
        <w:tc>
          <w:tcPr>
            <w:tcW w:w="992"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w:t>
            </w:r>
          </w:p>
        </w:tc>
        <w:tc>
          <w:tcPr>
            <w:tcW w:w="851"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w:t>
            </w:r>
          </w:p>
        </w:tc>
        <w:tc>
          <w:tcPr>
            <w:tcW w:w="1134"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w:t>
            </w:r>
          </w:p>
        </w:tc>
      </w:tr>
      <w:tr w:rsidR="00B951B1" w:rsidRPr="00E61612" w:rsidTr="00CB78E6">
        <w:trPr>
          <w:trHeight w:val="1125"/>
          <w:jc w:val="center"/>
        </w:trPr>
        <w:tc>
          <w:tcPr>
            <w:tcW w:w="992" w:type="dxa"/>
            <w:vMerge/>
            <w:tcBorders>
              <w:top w:val="nil"/>
              <w:left w:val="single" w:sz="4" w:space="0" w:color="auto"/>
              <w:bottom w:val="single" w:sz="4" w:space="0" w:color="auto"/>
              <w:right w:val="single" w:sz="4" w:space="0" w:color="auto"/>
            </w:tcBorders>
            <w:shd w:val="clear" w:color="auto" w:fill="FFFFFF"/>
            <w:hideMark/>
          </w:tcPr>
          <w:p w:rsidR="00B951B1" w:rsidRPr="00E61612" w:rsidRDefault="00B951B1" w:rsidP="00CB78E6">
            <w:pPr>
              <w:spacing w:after="0"/>
              <w:outlineLvl w:val="1"/>
              <w:rPr>
                <w:rFonts w:eastAsia="Times New Roman" w:cs="Calibri"/>
                <w:sz w:val="16"/>
                <w:szCs w:val="16"/>
              </w:rPr>
            </w:pPr>
          </w:p>
        </w:tc>
        <w:tc>
          <w:tcPr>
            <w:tcW w:w="993" w:type="dxa"/>
            <w:vMerge/>
            <w:tcBorders>
              <w:top w:val="nil"/>
              <w:left w:val="single" w:sz="4" w:space="0" w:color="auto"/>
              <w:bottom w:val="single" w:sz="4" w:space="0" w:color="auto"/>
              <w:right w:val="single" w:sz="4" w:space="0" w:color="auto"/>
            </w:tcBorders>
            <w:shd w:val="clear" w:color="auto" w:fill="FFFFFF"/>
            <w:hideMark/>
          </w:tcPr>
          <w:p w:rsidR="00B951B1" w:rsidRPr="00E61612" w:rsidRDefault="00B951B1" w:rsidP="00CB78E6">
            <w:pPr>
              <w:spacing w:after="0"/>
              <w:outlineLvl w:val="1"/>
              <w:rPr>
                <w:rFonts w:eastAsia="Times New Roman" w:cs="Calibri"/>
                <w:sz w:val="16"/>
                <w:szCs w:val="16"/>
              </w:rPr>
            </w:pPr>
          </w:p>
        </w:tc>
        <w:tc>
          <w:tcPr>
            <w:tcW w:w="992" w:type="dxa"/>
            <w:vMerge w:val="restart"/>
            <w:tcBorders>
              <w:top w:val="nil"/>
              <w:left w:val="single" w:sz="4" w:space="0" w:color="auto"/>
              <w:bottom w:val="single" w:sz="4" w:space="0" w:color="000000"/>
              <w:right w:val="single" w:sz="4" w:space="0" w:color="auto"/>
            </w:tcBorders>
            <w:shd w:val="clear" w:color="auto" w:fill="FFFFFF"/>
            <w:hideMark/>
          </w:tcPr>
          <w:p w:rsidR="00B951B1" w:rsidRPr="00E61612" w:rsidRDefault="00B951B1" w:rsidP="00CB78E6">
            <w:pPr>
              <w:spacing w:after="0"/>
              <w:outlineLvl w:val="1"/>
              <w:rPr>
                <w:rFonts w:eastAsia="Times New Roman" w:cs="Calibri"/>
                <w:sz w:val="16"/>
                <w:szCs w:val="16"/>
              </w:rPr>
            </w:pPr>
            <w:r w:rsidRPr="00E61612">
              <w:rPr>
                <w:rFonts w:eastAsia="Times New Roman" w:cs="Calibri"/>
                <w:sz w:val="16"/>
                <w:szCs w:val="16"/>
              </w:rPr>
              <w:t>A2.3.Përmirësimi i pozicionit të mësuesit përmes rritjes së pagave dhe sistemit të kualif</w:t>
            </w:r>
            <w:r>
              <w:rPr>
                <w:rFonts w:eastAsia="Times New Roman" w:cs="Calibri"/>
                <w:sz w:val="16"/>
                <w:szCs w:val="16"/>
              </w:rPr>
              <w:t>i</w:t>
            </w:r>
            <w:r w:rsidRPr="00E61612">
              <w:rPr>
                <w:rFonts w:eastAsia="Times New Roman" w:cs="Calibri"/>
                <w:sz w:val="16"/>
                <w:szCs w:val="16"/>
              </w:rPr>
              <w:t xml:space="preserve">kimit (ngritjes nga ana profesionale) bazuar në standardet e vlerësimit të mësuesve </w:t>
            </w:r>
          </w:p>
        </w:tc>
        <w:tc>
          <w:tcPr>
            <w:tcW w:w="1309" w:type="dxa"/>
            <w:tcBorders>
              <w:top w:val="nil"/>
              <w:left w:val="nil"/>
              <w:bottom w:val="single" w:sz="4" w:space="0" w:color="auto"/>
              <w:right w:val="single" w:sz="4" w:space="0" w:color="auto"/>
            </w:tcBorders>
            <w:shd w:val="clear" w:color="auto" w:fill="FFFFFF"/>
            <w:hideMark/>
          </w:tcPr>
          <w:p w:rsidR="00B951B1" w:rsidRPr="00E61612" w:rsidRDefault="00B951B1" w:rsidP="00CB78E6">
            <w:pPr>
              <w:spacing w:after="0"/>
              <w:outlineLvl w:val="1"/>
              <w:rPr>
                <w:rFonts w:eastAsia="Times New Roman" w:cs="Calibri"/>
                <w:sz w:val="16"/>
                <w:szCs w:val="16"/>
              </w:rPr>
            </w:pPr>
            <w:r w:rsidRPr="00E61612">
              <w:rPr>
                <w:rFonts w:eastAsia="Times New Roman" w:cs="Calibri"/>
                <w:sz w:val="16"/>
                <w:szCs w:val="16"/>
              </w:rPr>
              <w:t>A2.3.1. Rritja  e pagave të mësuesve</w:t>
            </w:r>
          </w:p>
        </w:tc>
        <w:tc>
          <w:tcPr>
            <w:tcW w:w="1067" w:type="dxa"/>
            <w:tcBorders>
              <w:top w:val="nil"/>
              <w:left w:val="single" w:sz="4" w:space="0" w:color="auto"/>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w:t>
            </w:r>
          </w:p>
        </w:tc>
        <w:tc>
          <w:tcPr>
            <w:tcW w:w="851"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w:t>
            </w:r>
          </w:p>
        </w:tc>
        <w:tc>
          <w:tcPr>
            <w:tcW w:w="992"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w:t>
            </w:r>
          </w:p>
        </w:tc>
        <w:tc>
          <w:tcPr>
            <w:tcW w:w="992" w:type="dxa"/>
            <w:gridSpan w:val="2"/>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w:t>
            </w:r>
          </w:p>
        </w:tc>
        <w:tc>
          <w:tcPr>
            <w:tcW w:w="992"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w:t>
            </w:r>
          </w:p>
        </w:tc>
        <w:tc>
          <w:tcPr>
            <w:tcW w:w="993"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w:t>
            </w:r>
          </w:p>
        </w:tc>
        <w:tc>
          <w:tcPr>
            <w:tcW w:w="992"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w:t>
            </w:r>
          </w:p>
        </w:tc>
        <w:tc>
          <w:tcPr>
            <w:tcW w:w="992"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w:t>
            </w:r>
          </w:p>
        </w:tc>
        <w:tc>
          <w:tcPr>
            <w:tcW w:w="992"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w:t>
            </w:r>
          </w:p>
        </w:tc>
        <w:tc>
          <w:tcPr>
            <w:tcW w:w="851"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w:t>
            </w:r>
          </w:p>
        </w:tc>
        <w:tc>
          <w:tcPr>
            <w:tcW w:w="1134"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w:t>
            </w:r>
          </w:p>
        </w:tc>
      </w:tr>
      <w:tr w:rsidR="00B951B1" w:rsidRPr="00E61612" w:rsidTr="00CB78E6">
        <w:trPr>
          <w:trHeight w:val="2070"/>
          <w:jc w:val="center"/>
        </w:trPr>
        <w:tc>
          <w:tcPr>
            <w:tcW w:w="992" w:type="dxa"/>
            <w:vMerge/>
            <w:tcBorders>
              <w:top w:val="nil"/>
              <w:left w:val="single" w:sz="4" w:space="0" w:color="auto"/>
              <w:bottom w:val="single" w:sz="4" w:space="0" w:color="auto"/>
              <w:right w:val="single" w:sz="4" w:space="0" w:color="auto"/>
            </w:tcBorders>
            <w:shd w:val="clear" w:color="auto" w:fill="FFFFFF"/>
            <w:hideMark/>
          </w:tcPr>
          <w:p w:rsidR="00B951B1" w:rsidRPr="00E61612" w:rsidRDefault="00B951B1" w:rsidP="00CB78E6">
            <w:pPr>
              <w:spacing w:after="0"/>
              <w:outlineLvl w:val="1"/>
              <w:rPr>
                <w:rFonts w:eastAsia="Times New Roman" w:cs="Calibri"/>
                <w:sz w:val="16"/>
                <w:szCs w:val="16"/>
              </w:rPr>
            </w:pPr>
          </w:p>
        </w:tc>
        <w:tc>
          <w:tcPr>
            <w:tcW w:w="993" w:type="dxa"/>
            <w:vMerge/>
            <w:tcBorders>
              <w:top w:val="nil"/>
              <w:left w:val="single" w:sz="4" w:space="0" w:color="auto"/>
              <w:bottom w:val="single" w:sz="4" w:space="0" w:color="auto"/>
              <w:right w:val="single" w:sz="4" w:space="0" w:color="auto"/>
            </w:tcBorders>
            <w:shd w:val="clear" w:color="auto" w:fill="FFFFFF"/>
            <w:hideMark/>
          </w:tcPr>
          <w:p w:rsidR="00B951B1" w:rsidRPr="00E61612" w:rsidRDefault="00B951B1" w:rsidP="00CB78E6">
            <w:pPr>
              <w:spacing w:after="0"/>
              <w:outlineLvl w:val="1"/>
              <w:rPr>
                <w:rFonts w:eastAsia="Times New Roman" w:cs="Calibri"/>
                <w:sz w:val="16"/>
                <w:szCs w:val="16"/>
              </w:rPr>
            </w:pPr>
          </w:p>
        </w:tc>
        <w:tc>
          <w:tcPr>
            <w:tcW w:w="992" w:type="dxa"/>
            <w:vMerge/>
            <w:tcBorders>
              <w:top w:val="nil"/>
              <w:left w:val="single" w:sz="4" w:space="0" w:color="auto"/>
              <w:bottom w:val="single" w:sz="4" w:space="0" w:color="000000"/>
              <w:right w:val="single" w:sz="4" w:space="0" w:color="auto"/>
            </w:tcBorders>
            <w:shd w:val="clear" w:color="auto" w:fill="FFFFFF"/>
            <w:hideMark/>
          </w:tcPr>
          <w:p w:rsidR="00B951B1" w:rsidRPr="00E61612" w:rsidRDefault="00B951B1" w:rsidP="00CB78E6">
            <w:pPr>
              <w:spacing w:after="0"/>
              <w:outlineLvl w:val="1"/>
              <w:rPr>
                <w:rFonts w:eastAsia="Times New Roman" w:cs="Calibri"/>
                <w:sz w:val="16"/>
                <w:szCs w:val="16"/>
              </w:rPr>
            </w:pPr>
          </w:p>
        </w:tc>
        <w:tc>
          <w:tcPr>
            <w:tcW w:w="1309" w:type="dxa"/>
            <w:tcBorders>
              <w:top w:val="nil"/>
              <w:left w:val="nil"/>
              <w:bottom w:val="single" w:sz="4" w:space="0" w:color="auto"/>
              <w:right w:val="single" w:sz="4" w:space="0" w:color="auto"/>
            </w:tcBorders>
            <w:shd w:val="clear" w:color="auto" w:fill="FFFFFF"/>
            <w:hideMark/>
          </w:tcPr>
          <w:p w:rsidR="00B951B1" w:rsidRPr="00E61612" w:rsidRDefault="00B951B1" w:rsidP="00CB78E6">
            <w:pPr>
              <w:spacing w:after="0"/>
              <w:outlineLvl w:val="1"/>
              <w:rPr>
                <w:rFonts w:eastAsia="Times New Roman" w:cs="Calibri"/>
                <w:sz w:val="16"/>
                <w:szCs w:val="16"/>
              </w:rPr>
            </w:pPr>
            <w:r w:rsidRPr="00E61612">
              <w:rPr>
                <w:rFonts w:eastAsia="Times New Roman" w:cs="Calibri"/>
                <w:sz w:val="16"/>
                <w:szCs w:val="16"/>
              </w:rPr>
              <w:t>A2.3.2. Ndërtimi i një sistemi të ri të ngritjes në karrierë të bazuar në vlerësimin e performancës së mësuesit në shkollë</w:t>
            </w:r>
          </w:p>
        </w:tc>
        <w:tc>
          <w:tcPr>
            <w:tcW w:w="1067" w:type="dxa"/>
            <w:tcBorders>
              <w:top w:val="nil"/>
              <w:left w:val="single" w:sz="4" w:space="0" w:color="auto"/>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w:t>
            </w:r>
          </w:p>
        </w:tc>
        <w:tc>
          <w:tcPr>
            <w:tcW w:w="851"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9,006</w:t>
            </w:r>
          </w:p>
        </w:tc>
        <w:tc>
          <w:tcPr>
            <w:tcW w:w="992"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w:t>
            </w:r>
          </w:p>
        </w:tc>
        <w:tc>
          <w:tcPr>
            <w:tcW w:w="992" w:type="dxa"/>
            <w:gridSpan w:val="2"/>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9,006</w:t>
            </w:r>
          </w:p>
        </w:tc>
        <w:tc>
          <w:tcPr>
            <w:tcW w:w="992"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w:t>
            </w:r>
          </w:p>
        </w:tc>
        <w:tc>
          <w:tcPr>
            <w:tcW w:w="993"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9,006</w:t>
            </w:r>
          </w:p>
        </w:tc>
        <w:tc>
          <w:tcPr>
            <w:tcW w:w="992"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w:t>
            </w:r>
          </w:p>
        </w:tc>
        <w:tc>
          <w:tcPr>
            <w:tcW w:w="992"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9,006</w:t>
            </w:r>
          </w:p>
        </w:tc>
        <w:tc>
          <w:tcPr>
            <w:tcW w:w="992"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w:t>
            </w:r>
          </w:p>
        </w:tc>
        <w:tc>
          <w:tcPr>
            <w:tcW w:w="851"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w:t>
            </w:r>
          </w:p>
        </w:tc>
        <w:tc>
          <w:tcPr>
            <w:tcW w:w="1134"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9,006</w:t>
            </w:r>
          </w:p>
        </w:tc>
      </w:tr>
      <w:tr w:rsidR="00B951B1" w:rsidRPr="00E61612" w:rsidTr="00CB78E6">
        <w:trPr>
          <w:trHeight w:val="255"/>
          <w:jc w:val="center"/>
        </w:trPr>
        <w:tc>
          <w:tcPr>
            <w:tcW w:w="992" w:type="dxa"/>
            <w:vMerge/>
            <w:tcBorders>
              <w:top w:val="nil"/>
              <w:left w:val="single" w:sz="4" w:space="0" w:color="auto"/>
              <w:bottom w:val="single" w:sz="4" w:space="0" w:color="auto"/>
              <w:right w:val="single" w:sz="4" w:space="0" w:color="auto"/>
            </w:tcBorders>
            <w:shd w:val="clear" w:color="auto" w:fill="FFFFFF"/>
            <w:hideMark/>
          </w:tcPr>
          <w:p w:rsidR="00B951B1" w:rsidRPr="00E61612" w:rsidRDefault="00B951B1" w:rsidP="00CB78E6">
            <w:pPr>
              <w:spacing w:after="0"/>
              <w:outlineLvl w:val="0"/>
              <w:rPr>
                <w:rFonts w:eastAsia="Times New Roman" w:cs="Calibri"/>
                <w:sz w:val="16"/>
                <w:szCs w:val="16"/>
              </w:rPr>
            </w:pPr>
          </w:p>
        </w:tc>
        <w:tc>
          <w:tcPr>
            <w:tcW w:w="993" w:type="dxa"/>
            <w:vMerge/>
            <w:tcBorders>
              <w:top w:val="nil"/>
              <w:left w:val="single" w:sz="4" w:space="0" w:color="auto"/>
              <w:bottom w:val="single" w:sz="4" w:space="0" w:color="auto"/>
              <w:right w:val="single" w:sz="4" w:space="0" w:color="auto"/>
            </w:tcBorders>
            <w:shd w:val="clear" w:color="auto" w:fill="FFFFFF"/>
            <w:hideMark/>
          </w:tcPr>
          <w:p w:rsidR="00B951B1" w:rsidRPr="00E61612" w:rsidRDefault="00B951B1" w:rsidP="00CB78E6">
            <w:pPr>
              <w:spacing w:after="0"/>
              <w:outlineLvl w:val="0"/>
              <w:rPr>
                <w:rFonts w:eastAsia="Times New Roman" w:cs="Calibri"/>
                <w:sz w:val="16"/>
                <w:szCs w:val="16"/>
              </w:rPr>
            </w:pPr>
          </w:p>
        </w:tc>
        <w:tc>
          <w:tcPr>
            <w:tcW w:w="2301" w:type="dxa"/>
            <w:gridSpan w:val="2"/>
            <w:tcBorders>
              <w:top w:val="single" w:sz="4" w:space="0" w:color="auto"/>
              <w:left w:val="nil"/>
              <w:bottom w:val="single" w:sz="4" w:space="0" w:color="auto"/>
              <w:right w:val="nil"/>
            </w:tcBorders>
            <w:shd w:val="clear" w:color="auto" w:fill="FFFFFF"/>
            <w:hideMark/>
          </w:tcPr>
          <w:p w:rsidR="00B951B1" w:rsidRPr="00E61612" w:rsidRDefault="00B951B1" w:rsidP="00CB78E6">
            <w:pPr>
              <w:spacing w:after="0"/>
              <w:jc w:val="center"/>
              <w:outlineLvl w:val="0"/>
              <w:rPr>
                <w:rFonts w:eastAsia="Times New Roman" w:cs="Calibri"/>
                <w:i/>
                <w:iCs/>
                <w:sz w:val="16"/>
                <w:szCs w:val="16"/>
              </w:rPr>
            </w:pPr>
            <w:r w:rsidRPr="00E61612">
              <w:rPr>
                <w:rFonts w:eastAsia="Times New Roman" w:cs="Calibri"/>
                <w:i/>
                <w:iCs/>
                <w:sz w:val="16"/>
                <w:szCs w:val="16"/>
              </w:rPr>
              <w:t>TOTAL A2</w:t>
            </w:r>
          </w:p>
        </w:tc>
        <w:tc>
          <w:tcPr>
            <w:tcW w:w="1067" w:type="dxa"/>
            <w:tcBorders>
              <w:top w:val="nil"/>
              <w:left w:val="single" w:sz="4" w:space="0" w:color="auto"/>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0"/>
              <w:rPr>
                <w:rFonts w:eastAsia="Times New Roman" w:cs="Calibri"/>
                <w:i/>
                <w:sz w:val="16"/>
                <w:szCs w:val="16"/>
              </w:rPr>
            </w:pPr>
            <w:r w:rsidRPr="00E61612">
              <w:rPr>
                <w:rFonts w:eastAsia="Times New Roman" w:cs="Calibri"/>
                <w:i/>
                <w:sz w:val="16"/>
                <w:szCs w:val="16"/>
              </w:rPr>
              <w:t>-</w:t>
            </w:r>
          </w:p>
        </w:tc>
        <w:tc>
          <w:tcPr>
            <w:tcW w:w="851"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0"/>
              <w:rPr>
                <w:rFonts w:eastAsia="Times New Roman" w:cs="Calibri"/>
                <w:i/>
                <w:sz w:val="16"/>
                <w:szCs w:val="16"/>
              </w:rPr>
            </w:pPr>
            <w:r w:rsidRPr="00E61612">
              <w:rPr>
                <w:rFonts w:eastAsia="Times New Roman" w:cs="Calibri"/>
                <w:i/>
                <w:sz w:val="16"/>
                <w:szCs w:val="16"/>
              </w:rPr>
              <w:t>477,006</w:t>
            </w:r>
          </w:p>
        </w:tc>
        <w:tc>
          <w:tcPr>
            <w:tcW w:w="992"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0"/>
              <w:rPr>
                <w:rFonts w:eastAsia="Times New Roman" w:cs="Calibri"/>
                <w:i/>
                <w:sz w:val="16"/>
                <w:szCs w:val="16"/>
              </w:rPr>
            </w:pPr>
            <w:r w:rsidRPr="00E61612">
              <w:rPr>
                <w:rFonts w:eastAsia="Times New Roman" w:cs="Calibri"/>
                <w:i/>
                <w:sz w:val="16"/>
                <w:szCs w:val="16"/>
              </w:rPr>
              <w:t>-</w:t>
            </w:r>
          </w:p>
        </w:tc>
        <w:tc>
          <w:tcPr>
            <w:tcW w:w="992" w:type="dxa"/>
            <w:gridSpan w:val="2"/>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0"/>
              <w:rPr>
                <w:rFonts w:eastAsia="Times New Roman" w:cs="Calibri"/>
                <w:i/>
                <w:sz w:val="16"/>
                <w:szCs w:val="16"/>
              </w:rPr>
            </w:pPr>
            <w:r w:rsidRPr="00E61612">
              <w:rPr>
                <w:rFonts w:eastAsia="Times New Roman" w:cs="Calibri"/>
                <w:i/>
                <w:sz w:val="16"/>
                <w:szCs w:val="16"/>
              </w:rPr>
              <w:t>477,006</w:t>
            </w:r>
          </w:p>
        </w:tc>
        <w:tc>
          <w:tcPr>
            <w:tcW w:w="992"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0"/>
              <w:rPr>
                <w:rFonts w:eastAsia="Times New Roman" w:cs="Calibri"/>
                <w:i/>
                <w:sz w:val="16"/>
                <w:szCs w:val="16"/>
              </w:rPr>
            </w:pPr>
            <w:r w:rsidRPr="00E61612">
              <w:rPr>
                <w:rFonts w:eastAsia="Times New Roman" w:cs="Calibri"/>
                <w:i/>
                <w:sz w:val="16"/>
                <w:szCs w:val="16"/>
              </w:rPr>
              <w:t>-</w:t>
            </w:r>
          </w:p>
        </w:tc>
        <w:tc>
          <w:tcPr>
            <w:tcW w:w="993"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0"/>
              <w:rPr>
                <w:rFonts w:eastAsia="Times New Roman" w:cs="Calibri"/>
                <w:i/>
                <w:sz w:val="16"/>
                <w:szCs w:val="16"/>
              </w:rPr>
            </w:pPr>
            <w:r w:rsidRPr="00E61612">
              <w:rPr>
                <w:rFonts w:eastAsia="Times New Roman" w:cs="Calibri"/>
                <w:i/>
                <w:sz w:val="16"/>
                <w:szCs w:val="16"/>
              </w:rPr>
              <w:t>477,006</w:t>
            </w:r>
          </w:p>
        </w:tc>
        <w:tc>
          <w:tcPr>
            <w:tcW w:w="992"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0"/>
              <w:rPr>
                <w:rFonts w:eastAsia="Times New Roman" w:cs="Calibri"/>
                <w:i/>
                <w:sz w:val="16"/>
                <w:szCs w:val="16"/>
              </w:rPr>
            </w:pPr>
            <w:r w:rsidRPr="00E61612">
              <w:rPr>
                <w:rFonts w:eastAsia="Times New Roman" w:cs="Calibri"/>
                <w:i/>
                <w:sz w:val="16"/>
                <w:szCs w:val="16"/>
              </w:rPr>
              <w:t>468,000</w:t>
            </w:r>
          </w:p>
        </w:tc>
        <w:tc>
          <w:tcPr>
            <w:tcW w:w="992"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0"/>
              <w:rPr>
                <w:rFonts w:eastAsia="Times New Roman" w:cs="Calibri"/>
                <w:i/>
                <w:sz w:val="16"/>
                <w:szCs w:val="16"/>
              </w:rPr>
            </w:pPr>
            <w:r w:rsidRPr="00E61612">
              <w:rPr>
                <w:rFonts w:eastAsia="Times New Roman" w:cs="Calibri"/>
                <w:i/>
                <w:sz w:val="16"/>
                <w:szCs w:val="16"/>
              </w:rPr>
              <w:t>9,006</w:t>
            </w:r>
          </w:p>
        </w:tc>
        <w:tc>
          <w:tcPr>
            <w:tcW w:w="992"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0"/>
              <w:rPr>
                <w:rFonts w:eastAsia="Times New Roman" w:cs="Calibri"/>
                <w:i/>
                <w:sz w:val="16"/>
                <w:szCs w:val="16"/>
              </w:rPr>
            </w:pPr>
            <w:r w:rsidRPr="00E61612">
              <w:rPr>
                <w:rFonts w:eastAsia="Times New Roman" w:cs="Calibri"/>
                <w:i/>
                <w:sz w:val="16"/>
                <w:szCs w:val="16"/>
              </w:rPr>
              <w:t>-</w:t>
            </w:r>
          </w:p>
        </w:tc>
        <w:tc>
          <w:tcPr>
            <w:tcW w:w="851"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0"/>
              <w:rPr>
                <w:rFonts w:eastAsia="Times New Roman" w:cs="Calibri"/>
                <w:i/>
                <w:sz w:val="16"/>
                <w:szCs w:val="16"/>
              </w:rPr>
            </w:pPr>
            <w:r w:rsidRPr="00E61612">
              <w:rPr>
                <w:rFonts w:eastAsia="Times New Roman" w:cs="Calibri"/>
                <w:i/>
                <w:sz w:val="16"/>
                <w:szCs w:val="16"/>
              </w:rPr>
              <w:t>-</w:t>
            </w:r>
          </w:p>
        </w:tc>
        <w:tc>
          <w:tcPr>
            <w:tcW w:w="1134"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0"/>
              <w:rPr>
                <w:rFonts w:eastAsia="Times New Roman" w:cs="Calibri"/>
                <w:i/>
                <w:sz w:val="16"/>
                <w:szCs w:val="16"/>
              </w:rPr>
            </w:pPr>
            <w:r w:rsidRPr="00E61612">
              <w:rPr>
                <w:rFonts w:eastAsia="Times New Roman" w:cs="Calibri"/>
                <w:i/>
                <w:sz w:val="16"/>
                <w:szCs w:val="16"/>
              </w:rPr>
              <w:t>477,006</w:t>
            </w:r>
          </w:p>
        </w:tc>
      </w:tr>
      <w:tr w:rsidR="00B951B1" w:rsidRPr="00E61612" w:rsidTr="00CB78E6">
        <w:trPr>
          <w:trHeight w:val="1692"/>
          <w:jc w:val="center"/>
        </w:trPr>
        <w:tc>
          <w:tcPr>
            <w:tcW w:w="992" w:type="dxa"/>
            <w:vMerge/>
            <w:tcBorders>
              <w:top w:val="nil"/>
              <w:left w:val="single" w:sz="4" w:space="0" w:color="auto"/>
              <w:bottom w:val="single" w:sz="4" w:space="0" w:color="auto"/>
              <w:right w:val="single" w:sz="4" w:space="0" w:color="auto"/>
            </w:tcBorders>
            <w:shd w:val="clear" w:color="auto" w:fill="FFFFFF"/>
            <w:hideMark/>
          </w:tcPr>
          <w:p w:rsidR="00B951B1" w:rsidRPr="00E61612" w:rsidRDefault="00B951B1" w:rsidP="00CB78E6">
            <w:pPr>
              <w:spacing w:after="0"/>
              <w:outlineLvl w:val="1"/>
              <w:rPr>
                <w:rFonts w:eastAsia="Times New Roman" w:cs="Calibri"/>
                <w:sz w:val="16"/>
                <w:szCs w:val="16"/>
              </w:rPr>
            </w:pPr>
          </w:p>
        </w:tc>
        <w:tc>
          <w:tcPr>
            <w:tcW w:w="993" w:type="dxa"/>
            <w:vMerge w:val="restart"/>
            <w:tcBorders>
              <w:top w:val="nil"/>
              <w:left w:val="single" w:sz="4" w:space="0" w:color="auto"/>
              <w:bottom w:val="single" w:sz="4" w:space="0" w:color="auto"/>
              <w:right w:val="single" w:sz="4" w:space="0" w:color="auto"/>
            </w:tcBorders>
            <w:shd w:val="clear" w:color="auto" w:fill="FFFFFF"/>
            <w:hideMark/>
          </w:tcPr>
          <w:p w:rsidR="00B951B1" w:rsidRPr="00E61612" w:rsidRDefault="00B951B1" w:rsidP="00CB78E6">
            <w:pPr>
              <w:spacing w:after="0"/>
              <w:outlineLvl w:val="1"/>
              <w:rPr>
                <w:rFonts w:eastAsia="Times New Roman" w:cs="Calibri"/>
                <w:sz w:val="16"/>
                <w:szCs w:val="16"/>
              </w:rPr>
            </w:pPr>
            <w:r w:rsidRPr="00E61612">
              <w:rPr>
                <w:rFonts w:eastAsia="Times New Roman" w:cs="Calibri"/>
                <w:sz w:val="16"/>
                <w:szCs w:val="16"/>
              </w:rPr>
              <w:t xml:space="preserve">A3. Zbatimi i plotë i kurrikulës së bazuar në kompetenca përmes mësimdhënies </w:t>
            </w:r>
            <w:r>
              <w:rPr>
                <w:rFonts w:eastAsia="Times New Roman" w:cs="Calibri"/>
                <w:sz w:val="16"/>
                <w:szCs w:val="16"/>
              </w:rPr>
              <w:t>efikase</w:t>
            </w:r>
            <w:r w:rsidRPr="00E61612">
              <w:rPr>
                <w:rFonts w:eastAsia="Times New Roman" w:cs="Calibri"/>
                <w:sz w:val="16"/>
                <w:szCs w:val="16"/>
              </w:rPr>
              <w:t xml:space="preserve"> dhe shfrytëzimit të burimeve të cilësisë së lartë</w:t>
            </w:r>
          </w:p>
        </w:tc>
        <w:tc>
          <w:tcPr>
            <w:tcW w:w="992" w:type="dxa"/>
            <w:vMerge w:val="restart"/>
            <w:tcBorders>
              <w:top w:val="nil"/>
              <w:left w:val="single" w:sz="4" w:space="0" w:color="auto"/>
              <w:bottom w:val="single" w:sz="4" w:space="0" w:color="000000"/>
              <w:right w:val="single" w:sz="4" w:space="0" w:color="auto"/>
            </w:tcBorders>
            <w:shd w:val="clear" w:color="auto" w:fill="FFFFFF"/>
            <w:hideMark/>
          </w:tcPr>
          <w:p w:rsidR="00B951B1" w:rsidRPr="00E61612" w:rsidRDefault="00B951B1" w:rsidP="00CB78E6">
            <w:pPr>
              <w:spacing w:after="0"/>
              <w:outlineLvl w:val="1"/>
              <w:rPr>
                <w:rFonts w:eastAsia="Times New Roman" w:cs="Calibri"/>
                <w:sz w:val="16"/>
                <w:szCs w:val="16"/>
              </w:rPr>
            </w:pPr>
            <w:r w:rsidRPr="00E61612">
              <w:rPr>
                <w:rFonts w:eastAsia="Times New Roman" w:cs="Calibri"/>
                <w:sz w:val="16"/>
                <w:szCs w:val="16"/>
              </w:rPr>
              <w:t>A3.1. Pajisja e shkollave me mjete mësimore për zbatimin e kurrikulës me kompetenca</w:t>
            </w:r>
          </w:p>
        </w:tc>
        <w:tc>
          <w:tcPr>
            <w:tcW w:w="1309" w:type="dxa"/>
            <w:tcBorders>
              <w:top w:val="nil"/>
              <w:left w:val="nil"/>
              <w:bottom w:val="single" w:sz="4" w:space="0" w:color="auto"/>
              <w:right w:val="single" w:sz="4" w:space="0" w:color="auto"/>
            </w:tcBorders>
            <w:shd w:val="clear" w:color="auto" w:fill="FFFFFF"/>
            <w:hideMark/>
          </w:tcPr>
          <w:p w:rsidR="00B951B1" w:rsidRPr="00E61612" w:rsidRDefault="00B951B1" w:rsidP="00CB78E6">
            <w:pPr>
              <w:spacing w:after="0"/>
              <w:outlineLvl w:val="1"/>
              <w:rPr>
                <w:rFonts w:eastAsia="Times New Roman" w:cs="Calibri"/>
                <w:sz w:val="16"/>
                <w:szCs w:val="16"/>
              </w:rPr>
            </w:pPr>
            <w:r w:rsidRPr="00E61612">
              <w:rPr>
                <w:rFonts w:eastAsia="Times New Roman" w:cs="Calibri"/>
                <w:sz w:val="16"/>
                <w:szCs w:val="16"/>
              </w:rPr>
              <w:t>A3.1.1. Përcaktimi i përmbajtjes minimale të paketës mësimore</w:t>
            </w:r>
          </w:p>
        </w:tc>
        <w:tc>
          <w:tcPr>
            <w:tcW w:w="1067" w:type="dxa"/>
            <w:tcBorders>
              <w:top w:val="nil"/>
              <w:left w:val="single" w:sz="4" w:space="0" w:color="auto"/>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w:t>
            </w:r>
          </w:p>
        </w:tc>
        <w:tc>
          <w:tcPr>
            <w:tcW w:w="851"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2,880</w:t>
            </w:r>
          </w:p>
        </w:tc>
        <w:tc>
          <w:tcPr>
            <w:tcW w:w="992"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w:t>
            </w:r>
          </w:p>
        </w:tc>
        <w:tc>
          <w:tcPr>
            <w:tcW w:w="992" w:type="dxa"/>
            <w:gridSpan w:val="2"/>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2,880</w:t>
            </w:r>
          </w:p>
        </w:tc>
        <w:tc>
          <w:tcPr>
            <w:tcW w:w="992"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w:t>
            </w:r>
          </w:p>
        </w:tc>
        <w:tc>
          <w:tcPr>
            <w:tcW w:w="993"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2,880</w:t>
            </w:r>
          </w:p>
        </w:tc>
        <w:tc>
          <w:tcPr>
            <w:tcW w:w="992"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w:t>
            </w:r>
          </w:p>
        </w:tc>
        <w:tc>
          <w:tcPr>
            <w:tcW w:w="992"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2,880</w:t>
            </w:r>
          </w:p>
        </w:tc>
        <w:tc>
          <w:tcPr>
            <w:tcW w:w="992"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w:t>
            </w:r>
          </w:p>
        </w:tc>
        <w:tc>
          <w:tcPr>
            <w:tcW w:w="851"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w:t>
            </w:r>
          </w:p>
        </w:tc>
        <w:tc>
          <w:tcPr>
            <w:tcW w:w="1134"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2,880</w:t>
            </w:r>
          </w:p>
        </w:tc>
      </w:tr>
      <w:tr w:rsidR="00B951B1" w:rsidRPr="00E61612" w:rsidTr="00CB78E6">
        <w:trPr>
          <w:trHeight w:val="765"/>
          <w:jc w:val="center"/>
        </w:trPr>
        <w:tc>
          <w:tcPr>
            <w:tcW w:w="992" w:type="dxa"/>
            <w:vMerge/>
            <w:tcBorders>
              <w:top w:val="nil"/>
              <w:left w:val="single" w:sz="4" w:space="0" w:color="auto"/>
              <w:bottom w:val="single" w:sz="4" w:space="0" w:color="auto"/>
              <w:right w:val="single" w:sz="4" w:space="0" w:color="auto"/>
            </w:tcBorders>
            <w:shd w:val="clear" w:color="auto" w:fill="FFFFFF"/>
            <w:hideMark/>
          </w:tcPr>
          <w:p w:rsidR="00B951B1" w:rsidRPr="00E61612" w:rsidRDefault="00B951B1" w:rsidP="00CB78E6">
            <w:pPr>
              <w:spacing w:after="0"/>
              <w:outlineLvl w:val="1"/>
              <w:rPr>
                <w:rFonts w:eastAsia="Times New Roman" w:cs="Calibri"/>
                <w:sz w:val="16"/>
                <w:szCs w:val="16"/>
              </w:rPr>
            </w:pPr>
          </w:p>
        </w:tc>
        <w:tc>
          <w:tcPr>
            <w:tcW w:w="993" w:type="dxa"/>
            <w:vMerge/>
            <w:tcBorders>
              <w:top w:val="nil"/>
              <w:left w:val="single" w:sz="4" w:space="0" w:color="auto"/>
              <w:bottom w:val="single" w:sz="4" w:space="0" w:color="auto"/>
              <w:right w:val="single" w:sz="4" w:space="0" w:color="auto"/>
            </w:tcBorders>
            <w:shd w:val="clear" w:color="auto" w:fill="FFFFFF"/>
            <w:hideMark/>
          </w:tcPr>
          <w:p w:rsidR="00B951B1" w:rsidRPr="00E61612" w:rsidRDefault="00B951B1" w:rsidP="00CB78E6">
            <w:pPr>
              <w:spacing w:after="0"/>
              <w:outlineLvl w:val="1"/>
              <w:rPr>
                <w:rFonts w:eastAsia="Times New Roman" w:cs="Calibri"/>
                <w:sz w:val="16"/>
                <w:szCs w:val="16"/>
              </w:rPr>
            </w:pPr>
          </w:p>
        </w:tc>
        <w:tc>
          <w:tcPr>
            <w:tcW w:w="992" w:type="dxa"/>
            <w:vMerge/>
            <w:tcBorders>
              <w:top w:val="nil"/>
              <w:left w:val="single" w:sz="4" w:space="0" w:color="auto"/>
              <w:bottom w:val="single" w:sz="4" w:space="0" w:color="000000"/>
              <w:right w:val="single" w:sz="4" w:space="0" w:color="auto"/>
            </w:tcBorders>
            <w:shd w:val="clear" w:color="auto" w:fill="FFFFFF"/>
            <w:hideMark/>
          </w:tcPr>
          <w:p w:rsidR="00B951B1" w:rsidRPr="00E61612" w:rsidRDefault="00B951B1" w:rsidP="00CB78E6">
            <w:pPr>
              <w:spacing w:after="0"/>
              <w:outlineLvl w:val="1"/>
              <w:rPr>
                <w:rFonts w:eastAsia="Times New Roman" w:cs="Calibri"/>
                <w:sz w:val="16"/>
                <w:szCs w:val="16"/>
              </w:rPr>
            </w:pPr>
          </w:p>
        </w:tc>
        <w:tc>
          <w:tcPr>
            <w:tcW w:w="1309" w:type="dxa"/>
            <w:tcBorders>
              <w:top w:val="nil"/>
              <w:left w:val="nil"/>
              <w:bottom w:val="single" w:sz="4" w:space="0" w:color="auto"/>
              <w:right w:val="single" w:sz="4" w:space="0" w:color="auto"/>
            </w:tcBorders>
            <w:shd w:val="clear" w:color="auto" w:fill="FFFFFF"/>
            <w:hideMark/>
          </w:tcPr>
          <w:p w:rsidR="00B951B1" w:rsidRPr="00E61612" w:rsidRDefault="00B951B1" w:rsidP="00CB78E6">
            <w:pPr>
              <w:spacing w:after="0"/>
              <w:outlineLvl w:val="1"/>
              <w:rPr>
                <w:rFonts w:eastAsia="Times New Roman" w:cs="Calibri"/>
                <w:sz w:val="16"/>
                <w:szCs w:val="16"/>
              </w:rPr>
            </w:pPr>
            <w:r w:rsidRPr="00E61612">
              <w:rPr>
                <w:rFonts w:eastAsia="Times New Roman" w:cs="Calibri"/>
                <w:sz w:val="16"/>
                <w:szCs w:val="16"/>
              </w:rPr>
              <w:t>A3.1.2. Shpërndarja e paketave me mjete mësimore në shkolla</w:t>
            </w:r>
          </w:p>
        </w:tc>
        <w:tc>
          <w:tcPr>
            <w:tcW w:w="1067" w:type="dxa"/>
            <w:tcBorders>
              <w:top w:val="nil"/>
              <w:left w:val="single" w:sz="4" w:space="0" w:color="auto"/>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w:t>
            </w:r>
          </w:p>
        </w:tc>
        <w:tc>
          <w:tcPr>
            <w:tcW w:w="851"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w:t>
            </w:r>
          </w:p>
        </w:tc>
        <w:tc>
          <w:tcPr>
            <w:tcW w:w="992"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270,000</w:t>
            </w:r>
          </w:p>
        </w:tc>
        <w:tc>
          <w:tcPr>
            <w:tcW w:w="992" w:type="dxa"/>
            <w:gridSpan w:val="2"/>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270,000</w:t>
            </w:r>
          </w:p>
        </w:tc>
        <w:tc>
          <w:tcPr>
            <w:tcW w:w="992"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w:t>
            </w:r>
          </w:p>
        </w:tc>
        <w:tc>
          <w:tcPr>
            <w:tcW w:w="993"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270,000</w:t>
            </w:r>
          </w:p>
        </w:tc>
        <w:tc>
          <w:tcPr>
            <w:tcW w:w="992"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250,000</w:t>
            </w:r>
          </w:p>
        </w:tc>
        <w:tc>
          <w:tcPr>
            <w:tcW w:w="992"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w:t>
            </w:r>
          </w:p>
        </w:tc>
        <w:tc>
          <w:tcPr>
            <w:tcW w:w="992"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(20,000)</w:t>
            </w:r>
          </w:p>
        </w:tc>
        <w:tc>
          <w:tcPr>
            <w:tcW w:w="851"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w:t>
            </w:r>
          </w:p>
        </w:tc>
        <w:tc>
          <w:tcPr>
            <w:tcW w:w="1134"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270,000</w:t>
            </w:r>
          </w:p>
        </w:tc>
      </w:tr>
      <w:tr w:rsidR="00B951B1" w:rsidRPr="00E61612" w:rsidTr="00CB78E6">
        <w:trPr>
          <w:trHeight w:val="1785"/>
          <w:jc w:val="center"/>
        </w:trPr>
        <w:tc>
          <w:tcPr>
            <w:tcW w:w="992" w:type="dxa"/>
            <w:vMerge/>
            <w:tcBorders>
              <w:top w:val="nil"/>
              <w:left w:val="single" w:sz="4" w:space="0" w:color="auto"/>
              <w:bottom w:val="single" w:sz="4" w:space="0" w:color="auto"/>
              <w:right w:val="single" w:sz="4" w:space="0" w:color="auto"/>
            </w:tcBorders>
            <w:shd w:val="clear" w:color="auto" w:fill="FFFFFF"/>
            <w:hideMark/>
          </w:tcPr>
          <w:p w:rsidR="00B951B1" w:rsidRPr="00E61612" w:rsidRDefault="00B951B1" w:rsidP="00CB78E6">
            <w:pPr>
              <w:spacing w:after="0"/>
              <w:outlineLvl w:val="1"/>
              <w:rPr>
                <w:rFonts w:eastAsia="Times New Roman" w:cs="Calibri"/>
                <w:sz w:val="16"/>
                <w:szCs w:val="16"/>
              </w:rPr>
            </w:pPr>
          </w:p>
        </w:tc>
        <w:tc>
          <w:tcPr>
            <w:tcW w:w="993" w:type="dxa"/>
            <w:vMerge/>
            <w:tcBorders>
              <w:top w:val="nil"/>
              <w:left w:val="single" w:sz="4" w:space="0" w:color="auto"/>
              <w:bottom w:val="single" w:sz="4" w:space="0" w:color="auto"/>
              <w:right w:val="single" w:sz="4" w:space="0" w:color="auto"/>
            </w:tcBorders>
            <w:shd w:val="clear" w:color="auto" w:fill="FFFFFF"/>
            <w:hideMark/>
          </w:tcPr>
          <w:p w:rsidR="00B951B1" w:rsidRPr="00E61612" w:rsidRDefault="00B951B1" w:rsidP="00CB78E6">
            <w:pPr>
              <w:spacing w:after="0"/>
              <w:outlineLvl w:val="1"/>
              <w:rPr>
                <w:rFonts w:eastAsia="Times New Roman" w:cs="Calibri"/>
                <w:sz w:val="16"/>
                <w:szCs w:val="16"/>
              </w:rPr>
            </w:pPr>
          </w:p>
        </w:tc>
        <w:tc>
          <w:tcPr>
            <w:tcW w:w="992" w:type="dxa"/>
            <w:vMerge/>
            <w:tcBorders>
              <w:top w:val="nil"/>
              <w:left w:val="single" w:sz="4" w:space="0" w:color="auto"/>
              <w:bottom w:val="single" w:sz="4" w:space="0" w:color="000000"/>
              <w:right w:val="single" w:sz="4" w:space="0" w:color="auto"/>
            </w:tcBorders>
            <w:shd w:val="clear" w:color="auto" w:fill="FFFFFF"/>
            <w:hideMark/>
          </w:tcPr>
          <w:p w:rsidR="00B951B1" w:rsidRPr="00E61612" w:rsidRDefault="00B951B1" w:rsidP="00CB78E6">
            <w:pPr>
              <w:spacing w:after="0"/>
              <w:outlineLvl w:val="1"/>
              <w:rPr>
                <w:rFonts w:eastAsia="Times New Roman" w:cs="Calibri"/>
                <w:sz w:val="16"/>
                <w:szCs w:val="16"/>
              </w:rPr>
            </w:pPr>
          </w:p>
        </w:tc>
        <w:tc>
          <w:tcPr>
            <w:tcW w:w="1309" w:type="dxa"/>
            <w:tcBorders>
              <w:top w:val="nil"/>
              <w:left w:val="nil"/>
              <w:bottom w:val="single" w:sz="4" w:space="0" w:color="auto"/>
              <w:right w:val="single" w:sz="4" w:space="0" w:color="auto"/>
            </w:tcBorders>
            <w:shd w:val="clear" w:color="auto" w:fill="FFFFFF"/>
            <w:hideMark/>
          </w:tcPr>
          <w:p w:rsidR="00B951B1" w:rsidRPr="00E61612" w:rsidRDefault="00B951B1" w:rsidP="00CB78E6">
            <w:pPr>
              <w:spacing w:after="0"/>
              <w:outlineLvl w:val="1"/>
              <w:rPr>
                <w:rFonts w:eastAsia="Times New Roman" w:cs="Calibri"/>
                <w:sz w:val="16"/>
                <w:szCs w:val="16"/>
              </w:rPr>
            </w:pPr>
            <w:r w:rsidRPr="00E61612">
              <w:rPr>
                <w:rFonts w:eastAsia="Times New Roman" w:cs="Calibri"/>
                <w:sz w:val="16"/>
                <w:szCs w:val="16"/>
              </w:rPr>
              <w:t>A3.1.3. Mbështetja dhe këshillimi i mësuesve për përdorimin e paketave mësimore</w:t>
            </w:r>
          </w:p>
        </w:tc>
        <w:tc>
          <w:tcPr>
            <w:tcW w:w="1067" w:type="dxa"/>
            <w:tcBorders>
              <w:top w:val="nil"/>
              <w:left w:val="single" w:sz="4" w:space="0" w:color="auto"/>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w:t>
            </w:r>
          </w:p>
        </w:tc>
        <w:tc>
          <w:tcPr>
            <w:tcW w:w="851"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6,496</w:t>
            </w:r>
          </w:p>
        </w:tc>
        <w:tc>
          <w:tcPr>
            <w:tcW w:w="992"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w:t>
            </w:r>
          </w:p>
        </w:tc>
        <w:tc>
          <w:tcPr>
            <w:tcW w:w="992" w:type="dxa"/>
            <w:gridSpan w:val="2"/>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6,496</w:t>
            </w:r>
          </w:p>
        </w:tc>
        <w:tc>
          <w:tcPr>
            <w:tcW w:w="992"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w:t>
            </w:r>
          </w:p>
        </w:tc>
        <w:tc>
          <w:tcPr>
            <w:tcW w:w="993"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6,496</w:t>
            </w:r>
          </w:p>
        </w:tc>
        <w:tc>
          <w:tcPr>
            <w:tcW w:w="992"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w:t>
            </w:r>
          </w:p>
        </w:tc>
        <w:tc>
          <w:tcPr>
            <w:tcW w:w="992"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2,896</w:t>
            </w:r>
          </w:p>
        </w:tc>
        <w:tc>
          <w:tcPr>
            <w:tcW w:w="992"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(3,600)</w:t>
            </w:r>
          </w:p>
        </w:tc>
        <w:tc>
          <w:tcPr>
            <w:tcW w:w="851"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w:t>
            </w:r>
          </w:p>
        </w:tc>
        <w:tc>
          <w:tcPr>
            <w:tcW w:w="1134"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6,496</w:t>
            </w:r>
          </w:p>
        </w:tc>
      </w:tr>
      <w:tr w:rsidR="00B951B1" w:rsidRPr="00E61612" w:rsidTr="00CB78E6">
        <w:trPr>
          <w:trHeight w:val="2040"/>
          <w:jc w:val="center"/>
        </w:trPr>
        <w:tc>
          <w:tcPr>
            <w:tcW w:w="992" w:type="dxa"/>
            <w:vMerge/>
            <w:tcBorders>
              <w:top w:val="nil"/>
              <w:left w:val="single" w:sz="4" w:space="0" w:color="auto"/>
              <w:bottom w:val="single" w:sz="4" w:space="0" w:color="auto"/>
              <w:right w:val="single" w:sz="4" w:space="0" w:color="auto"/>
            </w:tcBorders>
            <w:shd w:val="clear" w:color="auto" w:fill="FFFFFF"/>
            <w:hideMark/>
          </w:tcPr>
          <w:p w:rsidR="00B951B1" w:rsidRPr="00E61612" w:rsidRDefault="00B951B1" w:rsidP="00CB78E6">
            <w:pPr>
              <w:spacing w:after="0"/>
              <w:outlineLvl w:val="1"/>
              <w:rPr>
                <w:rFonts w:eastAsia="Times New Roman" w:cs="Calibri"/>
                <w:sz w:val="16"/>
                <w:szCs w:val="16"/>
              </w:rPr>
            </w:pPr>
          </w:p>
        </w:tc>
        <w:tc>
          <w:tcPr>
            <w:tcW w:w="993" w:type="dxa"/>
            <w:vMerge/>
            <w:tcBorders>
              <w:top w:val="nil"/>
              <w:left w:val="single" w:sz="4" w:space="0" w:color="auto"/>
              <w:bottom w:val="single" w:sz="4" w:space="0" w:color="auto"/>
              <w:right w:val="single" w:sz="4" w:space="0" w:color="auto"/>
            </w:tcBorders>
            <w:shd w:val="clear" w:color="auto" w:fill="FFFFFF"/>
            <w:hideMark/>
          </w:tcPr>
          <w:p w:rsidR="00B951B1" w:rsidRPr="00E61612" w:rsidRDefault="00B951B1" w:rsidP="00CB78E6">
            <w:pPr>
              <w:spacing w:after="0"/>
              <w:outlineLvl w:val="1"/>
              <w:rPr>
                <w:rFonts w:eastAsia="Times New Roman" w:cs="Calibri"/>
                <w:sz w:val="16"/>
                <w:szCs w:val="16"/>
              </w:rPr>
            </w:pPr>
          </w:p>
        </w:tc>
        <w:tc>
          <w:tcPr>
            <w:tcW w:w="992" w:type="dxa"/>
            <w:vMerge w:val="restart"/>
            <w:tcBorders>
              <w:top w:val="nil"/>
              <w:left w:val="single" w:sz="4" w:space="0" w:color="auto"/>
              <w:bottom w:val="single" w:sz="4" w:space="0" w:color="000000"/>
              <w:right w:val="single" w:sz="4" w:space="0" w:color="auto"/>
            </w:tcBorders>
            <w:shd w:val="clear" w:color="auto" w:fill="FFFFFF"/>
            <w:hideMark/>
          </w:tcPr>
          <w:p w:rsidR="00B951B1" w:rsidRPr="00E61612" w:rsidRDefault="00B951B1" w:rsidP="00CB78E6">
            <w:pPr>
              <w:spacing w:after="0"/>
              <w:outlineLvl w:val="1"/>
              <w:rPr>
                <w:rFonts w:eastAsia="Times New Roman" w:cs="Calibri"/>
                <w:sz w:val="16"/>
                <w:szCs w:val="16"/>
              </w:rPr>
            </w:pPr>
            <w:r w:rsidRPr="00E61612">
              <w:rPr>
                <w:rFonts w:eastAsia="Times New Roman" w:cs="Calibri"/>
                <w:sz w:val="16"/>
                <w:szCs w:val="16"/>
              </w:rPr>
              <w:t xml:space="preserve">A3.2. Mbështetje e shtuar për mësuesit për zbatimin e kurrikulës së re dhe përmirësimin e </w:t>
            </w:r>
            <w:r w:rsidRPr="00E61612">
              <w:rPr>
                <w:rFonts w:eastAsia="Times New Roman" w:cs="Calibri"/>
                <w:sz w:val="16"/>
                <w:szCs w:val="16"/>
              </w:rPr>
              <w:lastRenderedPageBreak/>
              <w:t>praktikave të vlerësimit</w:t>
            </w:r>
          </w:p>
        </w:tc>
        <w:tc>
          <w:tcPr>
            <w:tcW w:w="1309" w:type="dxa"/>
            <w:tcBorders>
              <w:top w:val="nil"/>
              <w:left w:val="nil"/>
              <w:bottom w:val="single" w:sz="4" w:space="0" w:color="auto"/>
              <w:right w:val="single" w:sz="4" w:space="0" w:color="auto"/>
            </w:tcBorders>
            <w:shd w:val="clear" w:color="auto" w:fill="FFFFFF"/>
            <w:hideMark/>
          </w:tcPr>
          <w:p w:rsidR="00B951B1" w:rsidRPr="00E61612" w:rsidRDefault="00B951B1" w:rsidP="00CB78E6">
            <w:pPr>
              <w:spacing w:after="0"/>
              <w:outlineLvl w:val="1"/>
              <w:rPr>
                <w:rFonts w:eastAsia="Times New Roman" w:cs="Calibri"/>
                <w:sz w:val="16"/>
                <w:szCs w:val="16"/>
              </w:rPr>
            </w:pPr>
            <w:r w:rsidRPr="00E61612">
              <w:rPr>
                <w:rFonts w:eastAsia="Times New Roman" w:cs="Calibri"/>
                <w:sz w:val="16"/>
                <w:szCs w:val="16"/>
              </w:rPr>
              <w:lastRenderedPageBreak/>
              <w:t xml:space="preserve">A3.2.1. Përmirësimi/Hartimi i udhëzuesve për monitorimin e zbatimit të kurrikulës në nivel institucioni arsimor, si dhe në nivel </w:t>
            </w:r>
            <w:r>
              <w:rPr>
                <w:rFonts w:eastAsia="Times New Roman" w:cs="Calibri"/>
                <w:sz w:val="16"/>
                <w:szCs w:val="16"/>
              </w:rPr>
              <w:t>vendor</w:t>
            </w:r>
            <w:r w:rsidRPr="00E61612">
              <w:rPr>
                <w:rFonts w:eastAsia="Times New Roman" w:cs="Calibri"/>
                <w:sz w:val="16"/>
                <w:szCs w:val="16"/>
              </w:rPr>
              <w:t xml:space="preserve"> dhe qendror</w:t>
            </w:r>
          </w:p>
        </w:tc>
        <w:tc>
          <w:tcPr>
            <w:tcW w:w="1067" w:type="dxa"/>
            <w:tcBorders>
              <w:top w:val="nil"/>
              <w:left w:val="single" w:sz="4" w:space="0" w:color="auto"/>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w:t>
            </w:r>
          </w:p>
        </w:tc>
        <w:tc>
          <w:tcPr>
            <w:tcW w:w="851"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3,030</w:t>
            </w:r>
          </w:p>
        </w:tc>
        <w:tc>
          <w:tcPr>
            <w:tcW w:w="992"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w:t>
            </w:r>
          </w:p>
        </w:tc>
        <w:tc>
          <w:tcPr>
            <w:tcW w:w="992" w:type="dxa"/>
            <w:gridSpan w:val="2"/>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3,030</w:t>
            </w:r>
          </w:p>
        </w:tc>
        <w:tc>
          <w:tcPr>
            <w:tcW w:w="992"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w:t>
            </w:r>
          </w:p>
        </w:tc>
        <w:tc>
          <w:tcPr>
            <w:tcW w:w="993"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3,030</w:t>
            </w:r>
          </w:p>
        </w:tc>
        <w:tc>
          <w:tcPr>
            <w:tcW w:w="992"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w:t>
            </w:r>
          </w:p>
        </w:tc>
        <w:tc>
          <w:tcPr>
            <w:tcW w:w="992"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w:t>
            </w:r>
          </w:p>
        </w:tc>
        <w:tc>
          <w:tcPr>
            <w:tcW w:w="992"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(3,030)</w:t>
            </w:r>
          </w:p>
        </w:tc>
        <w:tc>
          <w:tcPr>
            <w:tcW w:w="851"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w:t>
            </w:r>
          </w:p>
        </w:tc>
        <w:tc>
          <w:tcPr>
            <w:tcW w:w="1134"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3,030</w:t>
            </w:r>
          </w:p>
        </w:tc>
      </w:tr>
      <w:tr w:rsidR="00B951B1" w:rsidRPr="00E61612" w:rsidTr="00CB78E6">
        <w:trPr>
          <w:trHeight w:val="2295"/>
          <w:jc w:val="center"/>
        </w:trPr>
        <w:tc>
          <w:tcPr>
            <w:tcW w:w="992" w:type="dxa"/>
            <w:vMerge/>
            <w:tcBorders>
              <w:top w:val="nil"/>
              <w:left w:val="single" w:sz="4" w:space="0" w:color="auto"/>
              <w:bottom w:val="single" w:sz="4" w:space="0" w:color="auto"/>
              <w:right w:val="single" w:sz="4" w:space="0" w:color="auto"/>
            </w:tcBorders>
            <w:shd w:val="clear" w:color="auto" w:fill="FFFFFF"/>
            <w:hideMark/>
          </w:tcPr>
          <w:p w:rsidR="00B951B1" w:rsidRPr="00E61612" w:rsidRDefault="00B951B1" w:rsidP="00CB78E6">
            <w:pPr>
              <w:spacing w:after="0"/>
              <w:outlineLvl w:val="1"/>
              <w:rPr>
                <w:rFonts w:eastAsia="Times New Roman" w:cs="Calibri"/>
                <w:sz w:val="16"/>
                <w:szCs w:val="16"/>
              </w:rPr>
            </w:pPr>
          </w:p>
        </w:tc>
        <w:tc>
          <w:tcPr>
            <w:tcW w:w="993" w:type="dxa"/>
            <w:vMerge/>
            <w:tcBorders>
              <w:top w:val="nil"/>
              <w:left w:val="single" w:sz="4" w:space="0" w:color="auto"/>
              <w:bottom w:val="single" w:sz="4" w:space="0" w:color="auto"/>
              <w:right w:val="single" w:sz="4" w:space="0" w:color="auto"/>
            </w:tcBorders>
            <w:shd w:val="clear" w:color="auto" w:fill="FFFFFF"/>
            <w:hideMark/>
          </w:tcPr>
          <w:p w:rsidR="00B951B1" w:rsidRPr="00E61612" w:rsidRDefault="00B951B1" w:rsidP="00CB78E6">
            <w:pPr>
              <w:spacing w:after="0"/>
              <w:outlineLvl w:val="1"/>
              <w:rPr>
                <w:rFonts w:eastAsia="Times New Roman" w:cs="Calibri"/>
                <w:sz w:val="16"/>
                <w:szCs w:val="16"/>
              </w:rPr>
            </w:pPr>
          </w:p>
        </w:tc>
        <w:tc>
          <w:tcPr>
            <w:tcW w:w="992" w:type="dxa"/>
            <w:vMerge/>
            <w:tcBorders>
              <w:top w:val="nil"/>
              <w:left w:val="single" w:sz="4" w:space="0" w:color="auto"/>
              <w:bottom w:val="single" w:sz="4" w:space="0" w:color="000000"/>
              <w:right w:val="single" w:sz="4" w:space="0" w:color="auto"/>
            </w:tcBorders>
            <w:shd w:val="clear" w:color="auto" w:fill="FFFFFF"/>
            <w:hideMark/>
          </w:tcPr>
          <w:p w:rsidR="00B951B1" w:rsidRPr="00E61612" w:rsidRDefault="00B951B1" w:rsidP="00CB78E6">
            <w:pPr>
              <w:spacing w:after="0"/>
              <w:outlineLvl w:val="1"/>
              <w:rPr>
                <w:rFonts w:eastAsia="Times New Roman" w:cs="Calibri"/>
                <w:sz w:val="16"/>
                <w:szCs w:val="16"/>
              </w:rPr>
            </w:pPr>
          </w:p>
        </w:tc>
        <w:tc>
          <w:tcPr>
            <w:tcW w:w="1309" w:type="dxa"/>
            <w:tcBorders>
              <w:top w:val="nil"/>
              <w:left w:val="nil"/>
              <w:bottom w:val="single" w:sz="4" w:space="0" w:color="auto"/>
              <w:right w:val="single" w:sz="4" w:space="0" w:color="auto"/>
            </w:tcBorders>
            <w:shd w:val="clear" w:color="auto" w:fill="FFFFFF"/>
            <w:hideMark/>
          </w:tcPr>
          <w:p w:rsidR="00B951B1" w:rsidRPr="00E61612" w:rsidRDefault="00B951B1" w:rsidP="00CB78E6">
            <w:pPr>
              <w:spacing w:after="0"/>
              <w:outlineLvl w:val="1"/>
              <w:rPr>
                <w:rFonts w:eastAsia="Times New Roman" w:cs="Calibri"/>
                <w:sz w:val="16"/>
                <w:szCs w:val="16"/>
              </w:rPr>
            </w:pPr>
            <w:r w:rsidRPr="00E61612">
              <w:rPr>
                <w:rFonts w:eastAsia="Times New Roman" w:cs="Calibri"/>
                <w:sz w:val="16"/>
                <w:szCs w:val="16"/>
              </w:rPr>
              <w:t xml:space="preserve">A3.2.2. Forcimi i kapaciteteve njerëzore në sektorët e kurrikulës në nivel të DRAP-ve dhe ZVAP-ve, në funksion të mbështetjes së shkollave për zbatimin e kurrikulës </w:t>
            </w:r>
            <w:r>
              <w:rPr>
                <w:rFonts w:eastAsia="Times New Roman" w:cs="Calibri"/>
                <w:sz w:val="16"/>
                <w:szCs w:val="16"/>
              </w:rPr>
              <w:t>bazuar në</w:t>
            </w:r>
            <w:r w:rsidRPr="00E61612">
              <w:rPr>
                <w:rFonts w:eastAsia="Times New Roman" w:cs="Calibri"/>
                <w:sz w:val="16"/>
                <w:szCs w:val="16"/>
              </w:rPr>
              <w:t xml:space="preserve"> kompetenca</w:t>
            </w:r>
          </w:p>
        </w:tc>
        <w:tc>
          <w:tcPr>
            <w:tcW w:w="1067" w:type="dxa"/>
            <w:tcBorders>
              <w:top w:val="nil"/>
              <w:left w:val="single" w:sz="4" w:space="0" w:color="auto"/>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w:t>
            </w:r>
          </w:p>
        </w:tc>
        <w:tc>
          <w:tcPr>
            <w:tcW w:w="851"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1,380</w:t>
            </w:r>
          </w:p>
        </w:tc>
        <w:tc>
          <w:tcPr>
            <w:tcW w:w="992"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w:t>
            </w:r>
          </w:p>
        </w:tc>
        <w:tc>
          <w:tcPr>
            <w:tcW w:w="992" w:type="dxa"/>
            <w:gridSpan w:val="2"/>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1,380</w:t>
            </w:r>
          </w:p>
        </w:tc>
        <w:tc>
          <w:tcPr>
            <w:tcW w:w="992"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w:t>
            </w:r>
          </w:p>
        </w:tc>
        <w:tc>
          <w:tcPr>
            <w:tcW w:w="993"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1,380</w:t>
            </w:r>
          </w:p>
        </w:tc>
        <w:tc>
          <w:tcPr>
            <w:tcW w:w="992"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w:t>
            </w:r>
          </w:p>
        </w:tc>
        <w:tc>
          <w:tcPr>
            <w:tcW w:w="992"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w:t>
            </w:r>
          </w:p>
        </w:tc>
        <w:tc>
          <w:tcPr>
            <w:tcW w:w="992"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(1,380)</w:t>
            </w:r>
          </w:p>
        </w:tc>
        <w:tc>
          <w:tcPr>
            <w:tcW w:w="851"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w:t>
            </w:r>
          </w:p>
        </w:tc>
        <w:tc>
          <w:tcPr>
            <w:tcW w:w="1134"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1,380</w:t>
            </w:r>
          </w:p>
        </w:tc>
      </w:tr>
      <w:tr w:rsidR="00B951B1" w:rsidRPr="00E61612" w:rsidTr="00CB78E6">
        <w:trPr>
          <w:trHeight w:val="765"/>
          <w:jc w:val="center"/>
        </w:trPr>
        <w:tc>
          <w:tcPr>
            <w:tcW w:w="992" w:type="dxa"/>
            <w:vMerge/>
            <w:tcBorders>
              <w:top w:val="nil"/>
              <w:left w:val="single" w:sz="4" w:space="0" w:color="auto"/>
              <w:bottom w:val="single" w:sz="4" w:space="0" w:color="auto"/>
              <w:right w:val="single" w:sz="4" w:space="0" w:color="auto"/>
            </w:tcBorders>
            <w:shd w:val="clear" w:color="auto" w:fill="FFFFFF"/>
            <w:hideMark/>
          </w:tcPr>
          <w:p w:rsidR="00B951B1" w:rsidRPr="00E61612" w:rsidRDefault="00B951B1" w:rsidP="00CB78E6">
            <w:pPr>
              <w:spacing w:after="0"/>
              <w:outlineLvl w:val="1"/>
              <w:rPr>
                <w:rFonts w:eastAsia="Times New Roman" w:cs="Calibri"/>
                <w:sz w:val="16"/>
                <w:szCs w:val="16"/>
              </w:rPr>
            </w:pPr>
          </w:p>
        </w:tc>
        <w:tc>
          <w:tcPr>
            <w:tcW w:w="993" w:type="dxa"/>
            <w:vMerge/>
            <w:tcBorders>
              <w:top w:val="nil"/>
              <w:left w:val="single" w:sz="4" w:space="0" w:color="auto"/>
              <w:bottom w:val="single" w:sz="4" w:space="0" w:color="auto"/>
              <w:right w:val="single" w:sz="4" w:space="0" w:color="auto"/>
            </w:tcBorders>
            <w:shd w:val="clear" w:color="auto" w:fill="FFFFFF"/>
            <w:hideMark/>
          </w:tcPr>
          <w:p w:rsidR="00B951B1" w:rsidRPr="00E61612" w:rsidRDefault="00B951B1" w:rsidP="00CB78E6">
            <w:pPr>
              <w:spacing w:after="0"/>
              <w:outlineLvl w:val="1"/>
              <w:rPr>
                <w:rFonts w:eastAsia="Times New Roman" w:cs="Calibri"/>
                <w:sz w:val="16"/>
                <w:szCs w:val="16"/>
              </w:rPr>
            </w:pPr>
          </w:p>
        </w:tc>
        <w:tc>
          <w:tcPr>
            <w:tcW w:w="992" w:type="dxa"/>
            <w:vMerge/>
            <w:tcBorders>
              <w:top w:val="nil"/>
              <w:left w:val="single" w:sz="4" w:space="0" w:color="auto"/>
              <w:bottom w:val="single" w:sz="4" w:space="0" w:color="000000"/>
              <w:right w:val="single" w:sz="4" w:space="0" w:color="auto"/>
            </w:tcBorders>
            <w:shd w:val="clear" w:color="auto" w:fill="FFFFFF"/>
            <w:hideMark/>
          </w:tcPr>
          <w:p w:rsidR="00B951B1" w:rsidRPr="00E61612" w:rsidRDefault="00B951B1" w:rsidP="00CB78E6">
            <w:pPr>
              <w:spacing w:after="0"/>
              <w:outlineLvl w:val="1"/>
              <w:rPr>
                <w:rFonts w:eastAsia="Times New Roman" w:cs="Calibri"/>
                <w:sz w:val="16"/>
                <w:szCs w:val="16"/>
              </w:rPr>
            </w:pPr>
          </w:p>
        </w:tc>
        <w:tc>
          <w:tcPr>
            <w:tcW w:w="1309" w:type="dxa"/>
            <w:tcBorders>
              <w:top w:val="nil"/>
              <w:left w:val="nil"/>
              <w:bottom w:val="single" w:sz="4" w:space="0" w:color="auto"/>
              <w:right w:val="single" w:sz="4" w:space="0" w:color="auto"/>
            </w:tcBorders>
            <w:shd w:val="clear" w:color="auto" w:fill="FFFFFF"/>
            <w:hideMark/>
          </w:tcPr>
          <w:p w:rsidR="00B951B1" w:rsidRPr="00E61612" w:rsidRDefault="00B951B1" w:rsidP="00CB78E6">
            <w:pPr>
              <w:spacing w:after="0"/>
              <w:outlineLvl w:val="1"/>
              <w:rPr>
                <w:rFonts w:eastAsia="Times New Roman" w:cs="Calibri"/>
                <w:sz w:val="16"/>
                <w:szCs w:val="16"/>
              </w:rPr>
            </w:pPr>
            <w:r w:rsidRPr="00E61612">
              <w:rPr>
                <w:rFonts w:eastAsia="Times New Roman" w:cs="Calibri"/>
                <w:sz w:val="16"/>
                <w:szCs w:val="16"/>
              </w:rPr>
              <w:t>A3.2.3. Monitorimi sistematik i zbatimit të kurrikulës</w:t>
            </w:r>
          </w:p>
        </w:tc>
        <w:tc>
          <w:tcPr>
            <w:tcW w:w="1067" w:type="dxa"/>
            <w:tcBorders>
              <w:top w:val="nil"/>
              <w:left w:val="single" w:sz="4" w:space="0" w:color="auto"/>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w:t>
            </w:r>
          </w:p>
        </w:tc>
        <w:tc>
          <w:tcPr>
            <w:tcW w:w="851"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w:t>
            </w:r>
          </w:p>
        </w:tc>
        <w:tc>
          <w:tcPr>
            <w:tcW w:w="992"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w:t>
            </w:r>
          </w:p>
        </w:tc>
        <w:tc>
          <w:tcPr>
            <w:tcW w:w="992" w:type="dxa"/>
            <w:gridSpan w:val="2"/>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w:t>
            </w:r>
          </w:p>
        </w:tc>
        <w:tc>
          <w:tcPr>
            <w:tcW w:w="992"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w:t>
            </w:r>
          </w:p>
        </w:tc>
        <w:tc>
          <w:tcPr>
            <w:tcW w:w="993"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w:t>
            </w:r>
          </w:p>
        </w:tc>
        <w:tc>
          <w:tcPr>
            <w:tcW w:w="992"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w:t>
            </w:r>
          </w:p>
        </w:tc>
        <w:tc>
          <w:tcPr>
            <w:tcW w:w="992"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w:t>
            </w:r>
          </w:p>
        </w:tc>
        <w:tc>
          <w:tcPr>
            <w:tcW w:w="992"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w:t>
            </w:r>
          </w:p>
        </w:tc>
        <w:tc>
          <w:tcPr>
            <w:tcW w:w="851"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w:t>
            </w:r>
          </w:p>
        </w:tc>
        <w:tc>
          <w:tcPr>
            <w:tcW w:w="1134"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w:t>
            </w:r>
          </w:p>
        </w:tc>
      </w:tr>
      <w:tr w:rsidR="00B951B1" w:rsidRPr="00E61612" w:rsidTr="00CB78E6">
        <w:trPr>
          <w:trHeight w:val="765"/>
          <w:jc w:val="center"/>
        </w:trPr>
        <w:tc>
          <w:tcPr>
            <w:tcW w:w="992" w:type="dxa"/>
            <w:vMerge/>
            <w:tcBorders>
              <w:top w:val="nil"/>
              <w:left w:val="single" w:sz="4" w:space="0" w:color="auto"/>
              <w:bottom w:val="single" w:sz="4" w:space="0" w:color="auto"/>
              <w:right w:val="single" w:sz="4" w:space="0" w:color="auto"/>
            </w:tcBorders>
            <w:shd w:val="clear" w:color="auto" w:fill="FFFFFF"/>
            <w:hideMark/>
          </w:tcPr>
          <w:p w:rsidR="00B951B1" w:rsidRPr="00E61612" w:rsidRDefault="00B951B1" w:rsidP="00CB78E6">
            <w:pPr>
              <w:spacing w:after="0"/>
              <w:outlineLvl w:val="1"/>
              <w:rPr>
                <w:rFonts w:eastAsia="Times New Roman" w:cs="Calibri"/>
                <w:sz w:val="16"/>
                <w:szCs w:val="16"/>
              </w:rPr>
            </w:pPr>
          </w:p>
        </w:tc>
        <w:tc>
          <w:tcPr>
            <w:tcW w:w="993" w:type="dxa"/>
            <w:vMerge/>
            <w:tcBorders>
              <w:top w:val="nil"/>
              <w:left w:val="single" w:sz="4" w:space="0" w:color="auto"/>
              <w:bottom w:val="single" w:sz="4" w:space="0" w:color="auto"/>
              <w:right w:val="single" w:sz="4" w:space="0" w:color="auto"/>
            </w:tcBorders>
            <w:shd w:val="clear" w:color="auto" w:fill="FFFFFF"/>
            <w:hideMark/>
          </w:tcPr>
          <w:p w:rsidR="00B951B1" w:rsidRPr="00E61612" w:rsidRDefault="00B951B1" w:rsidP="00CB78E6">
            <w:pPr>
              <w:spacing w:after="0"/>
              <w:outlineLvl w:val="1"/>
              <w:rPr>
                <w:rFonts w:eastAsia="Times New Roman" w:cs="Calibri"/>
                <w:sz w:val="16"/>
                <w:szCs w:val="16"/>
              </w:rPr>
            </w:pPr>
          </w:p>
        </w:tc>
        <w:tc>
          <w:tcPr>
            <w:tcW w:w="992" w:type="dxa"/>
            <w:vMerge/>
            <w:tcBorders>
              <w:top w:val="nil"/>
              <w:left w:val="single" w:sz="4" w:space="0" w:color="auto"/>
              <w:bottom w:val="single" w:sz="4" w:space="0" w:color="000000"/>
              <w:right w:val="single" w:sz="4" w:space="0" w:color="auto"/>
            </w:tcBorders>
            <w:shd w:val="clear" w:color="auto" w:fill="FFFFFF"/>
            <w:hideMark/>
          </w:tcPr>
          <w:p w:rsidR="00B951B1" w:rsidRPr="00E61612" w:rsidRDefault="00B951B1" w:rsidP="00CB78E6">
            <w:pPr>
              <w:spacing w:after="0"/>
              <w:outlineLvl w:val="1"/>
              <w:rPr>
                <w:rFonts w:eastAsia="Times New Roman" w:cs="Calibri"/>
                <w:sz w:val="16"/>
                <w:szCs w:val="16"/>
              </w:rPr>
            </w:pPr>
          </w:p>
        </w:tc>
        <w:tc>
          <w:tcPr>
            <w:tcW w:w="1309" w:type="dxa"/>
            <w:tcBorders>
              <w:top w:val="nil"/>
              <w:left w:val="nil"/>
              <w:bottom w:val="single" w:sz="4" w:space="0" w:color="auto"/>
              <w:right w:val="single" w:sz="4" w:space="0" w:color="auto"/>
            </w:tcBorders>
            <w:shd w:val="clear" w:color="auto" w:fill="FFFFFF"/>
            <w:hideMark/>
          </w:tcPr>
          <w:p w:rsidR="00B951B1" w:rsidRPr="00E61612" w:rsidRDefault="00B951B1" w:rsidP="00CB78E6">
            <w:pPr>
              <w:spacing w:after="0"/>
              <w:outlineLvl w:val="1"/>
              <w:rPr>
                <w:rFonts w:eastAsia="Times New Roman" w:cs="Calibri"/>
                <w:sz w:val="16"/>
                <w:szCs w:val="16"/>
              </w:rPr>
            </w:pPr>
            <w:r w:rsidRPr="00E61612">
              <w:rPr>
                <w:rFonts w:eastAsia="Times New Roman" w:cs="Calibri"/>
                <w:sz w:val="16"/>
                <w:szCs w:val="16"/>
              </w:rPr>
              <w:t>A3.2.4. Këshillimi i mësuesve për zbatimin e kurrikulës</w:t>
            </w:r>
          </w:p>
        </w:tc>
        <w:tc>
          <w:tcPr>
            <w:tcW w:w="1067" w:type="dxa"/>
            <w:tcBorders>
              <w:top w:val="nil"/>
              <w:left w:val="single" w:sz="4" w:space="0" w:color="auto"/>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w:t>
            </w:r>
          </w:p>
        </w:tc>
        <w:tc>
          <w:tcPr>
            <w:tcW w:w="851"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w:t>
            </w:r>
          </w:p>
        </w:tc>
        <w:tc>
          <w:tcPr>
            <w:tcW w:w="992"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w:t>
            </w:r>
          </w:p>
        </w:tc>
        <w:tc>
          <w:tcPr>
            <w:tcW w:w="992" w:type="dxa"/>
            <w:gridSpan w:val="2"/>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w:t>
            </w:r>
          </w:p>
        </w:tc>
        <w:tc>
          <w:tcPr>
            <w:tcW w:w="992"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w:t>
            </w:r>
          </w:p>
        </w:tc>
        <w:tc>
          <w:tcPr>
            <w:tcW w:w="993"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w:t>
            </w:r>
          </w:p>
        </w:tc>
        <w:tc>
          <w:tcPr>
            <w:tcW w:w="992"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w:t>
            </w:r>
          </w:p>
        </w:tc>
        <w:tc>
          <w:tcPr>
            <w:tcW w:w="992"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w:t>
            </w:r>
          </w:p>
        </w:tc>
        <w:tc>
          <w:tcPr>
            <w:tcW w:w="992"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w:t>
            </w:r>
          </w:p>
        </w:tc>
        <w:tc>
          <w:tcPr>
            <w:tcW w:w="851"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w:t>
            </w:r>
          </w:p>
        </w:tc>
        <w:tc>
          <w:tcPr>
            <w:tcW w:w="1134"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w:t>
            </w:r>
          </w:p>
        </w:tc>
      </w:tr>
      <w:tr w:rsidR="00B951B1" w:rsidRPr="00E61612" w:rsidTr="00CB78E6">
        <w:trPr>
          <w:trHeight w:val="765"/>
          <w:jc w:val="center"/>
        </w:trPr>
        <w:tc>
          <w:tcPr>
            <w:tcW w:w="992" w:type="dxa"/>
            <w:vMerge/>
            <w:tcBorders>
              <w:top w:val="nil"/>
              <w:left w:val="single" w:sz="4" w:space="0" w:color="auto"/>
              <w:bottom w:val="single" w:sz="4" w:space="0" w:color="auto"/>
              <w:right w:val="single" w:sz="4" w:space="0" w:color="auto"/>
            </w:tcBorders>
            <w:shd w:val="clear" w:color="auto" w:fill="FFFFFF"/>
            <w:hideMark/>
          </w:tcPr>
          <w:p w:rsidR="00B951B1" w:rsidRPr="00E61612" w:rsidRDefault="00B951B1" w:rsidP="00CB78E6">
            <w:pPr>
              <w:spacing w:after="0"/>
              <w:outlineLvl w:val="1"/>
              <w:rPr>
                <w:rFonts w:eastAsia="Times New Roman" w:cs="Calibri"/>
                <w:sz w:val="16"/>
                <w:szCs w:val="16"/>
              </w:rPr>
            </w:pPr>
          </w:p>
        </w:tc>
        <w:tc>
          <w:tcPr>
            <w:tcW w:w="993" w:type="dxa"/>
            <w:vMerge/>
            <w:tcBorders>
              <w:top w:val="nil"/>
              <w:left w:val="single" w:sz="4" w:space="0" w:color="auto"/>
              <w:bottom w:val="single" w:sz="4" w:space="0" w:color="auto"/>
              <w:right w:val="single" w:sz="4" w:space="0" w:color="auto"/>
            </w:tcBorders>
            <w:shd w:val="clear" w:color="auto" w:fill="FFFFFF"/>
            <w:hideMark/>
          </w:tcPr>
          <w:p w:rsidR="00B951B1" w:rsidRPr="00E61612" w:rsidRDefault="00B951B1" w:rsidP="00CB78E6">
            <w:pPr>
              <w:spacing w:after="0"/>
              <w:outlineLvl w:val="1"/>
              <w:rPr>
                <w:rFonts w:eastAsia="Times New Roman" w:cs="Calibri"/>
                <w:sz w:val="16"/>
                <w:szCs w:val="16"/>
              </w:rPr>
            </w:pPr>
          </w:p>
        </w:tc>
        <w:tc>
          <w:tcPr>
            <w:tcW w:w="992" w:type="dxa"/>
            <w:vMerge w:val="restart"/>
            <w:tcBorders>
              <w:top w:val="nil"/>
              <w:left w:val="single" w:sz="4" w:space="0" w:color="auto"/>
              <w:bottom w:val="single" w:sz="4" w:space="0" w:color="000000"/>
              <w:right w:val="single" w:sz="4" w:space="0" w:color="auto"/>
            </w:tcBorders>
            <w:shd w:val="clear" w:color="auto" w:fill="FFFFFF"/>
            <w:hideMark/>
          </w:tcPr>
          <w:p w:rsidR="00B951B1" w:rsidRPr="00E61612" w:rsidRDefault="00B951B1" w:rsidP="00CB78E6">
            <w:pPr>
              <w:spacing w:after="0"/>
              <w:outlineLvl w:val="1"/>
              <w:rPr>
                <w:rFonts w:eastAsia="Times New Roman" w:cs="Calibri"/>
                <w:sz w:val="16"/>
                <w:szCs w:val="16"/>
              </w:rPr>
            </w:pPr>
            <w:r w:rsidRPr="00E61612">
              <w:rPr>
                <w:rFonts w:eastAsia="Times New Roman" w:cs="Calibri"/>
                <w:sz w:val="16"/>
                <w:szCs w:val="16"/>
              </w:rPr>
              <w:t xml:space="preserve">A3.3. Përmirësimi i aftësive të nxënësve në gjuhë dhe </w:t>
            </w:r>
            <w:r w:rsidRPr="00E61612">
              <w:rPr>
                <w:rFonts w:eastAsia="Times New Roman" w:cs="Calibri"/>
                <w:sz w:val="16"/>
                <w:szCs w:val="16"/>
              </w:rPr>
              <w:lastRenderedPageBreak/>
              <w:t>komunikim, matematikë dhe shkencë</w:t>
            </w:r>
          </w:p>
        </w:tc>
        <w:tc>
          <w:tcPr>
            <w:tcW w:w="1309" w:type="dxa"/>
            <w:tcBorders>
              <w:top w:val="nil"/>
              <w:left w:val="nil"/>
              <w:bottom w:val="single" w:sz="4" w:space="0" w:color="auto"/>
              <w:right w:val="single" w:sz="4" w:space="0" w:color="auto"/>
            </w:tcBorders>
            <w:shd w:val="clear" w:color="auto" w:fill="FFFFFF"/>
            <w:hideMark/>
          </w:tcPr>
          <w:p w:rsidR="00B951B1" w:rsidRPr="00E61612" w:rsidRDefault="00B951B1" w:rsidP="00CB78E6">
            <w:pPr>
              <w:spacing w:after="0"/>
              <w:outlineLvl w:val="1"/>
              <w:rPr>
                <w:rFonts w:eastAsia="Times New Roman" w:cs="Calibri"/>
                <w:sz w:val="16"/>
                <w:szCs w:val="16"/>
              </w:rPr>
            </w:pPr>
            <w:r w:rsidRPr="00E61612">
              <w:rPr>
                <w:rFonts w:eastAsia="Times New Roman" w:cs="Calibri"/>
                <w:sz w:val="16"/>
                <w:szCs w:val="16"/>
              </w:rPr>
              <w:lastRenderedPageBreak/>
              <w:t>A3.3.1. Mbështetja e zbatimit  të praktikave të reja të vlerësimit të nxënësve</w:t>
            </w:r>
          </w:p>
        </w:tc>
        <w:tc>
          <w:tcPr>
            <w:tcW w:w="1067" w:type="dxa"/>
            <w:tcBorders>
              <w:top w:val="nil"/>
              <w:left w:val="single" w:sz="4" w:space="0" w:color="auto"/>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w:t>
            </w:r>
          </w:p>
        </w:tc>
        <w:tc>
          <w:tcPr>
            <w:tcW w:w="851"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720</w:t>
            </w:r>
          </w:p>
        </w:tc>
        <w:tc>
          <w:tcPr>
            <w:tcW w:w="992"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w:t>
            </w:r>
          </w:p>
        </w:tc>
        <w:tc>
          <w:tcPr>
            <w:tcW w:w="992" w:type="dxa"/>
            <w:gridSpan w:val="2"/>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720</w:t>
            </w:r>
          </w:p>
        </w:tc>
        <w:tc>
          <w:tcPr>
            <w:tcW w:w="992"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w:t>
            </w:r>
          </w:p>
        </w:tc>
        <w:tc>
          <w:tcPr>
            <w:tcW w:w="993"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720</w:t>
            </w:r>
          </w:p>
        </w:tc>
        <w:tc>
          <w:tcPr>
            <w:tcW w:w="992"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w:t>
            </w:r>
          </w:p>
        </w:tc>
        <w:tc>
          <w:tcPr>
            <w:tcW w:w="992"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w:t>
            </w:r>
          </w:p>
        </w:tc>
        <w:tc>
          <w:tcPr>
            <w:tcW w:w="992"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(720)</w:t>
            </w:r>
          </w:p>
        </w:tc>
        <w:tc>
          <w:tcPr>
            <w:tcW w:w="851"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w:t>
            </w:r>
          </w:p>
        </w:tc>
        <w:tc>
          <w:tcPr>
            <w:tcW w:w="1134"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720</w:t>
            </w:r>
          </w:p>
        </w:tc>
      </w:tr>
      <w:tr w:rsidR="00B951B1" w:rsidRPr="00E61612" w:rsidTr="00CB78E6">
        <w:trPr>
          <w:trHeight w:val="1785"/>
          <w:jc w:val="center"/>
        </w:trPr>
        <w:tc>
          <w:tcPr>
            <w:tcW w:w="992" w:type="dxa"/>
            <w:vMerge/>
            <w:tcBorders>
              <w:top w:val="nil"/>
              <w:left w:val="single" w:sz="4" w:space="0" w:color="auto"/>
              <w:bottom w:val="single" w:sz="4" w:space="0" w:color="auto"/>
              <w:right w:val="single" w:sz="4" w:space="0" w:color="auto"/>
            </w:tcBorders>
            <w:shd w:val="clear" w:color="auto" w:fill="FFFFFF"/>
            <w:hideMark/>
          </w:tcPr>
          <w:p w:rsidR="00B951B1" w:rsidRPr="00E61612" w:rsidRDefault="00B951B1" w:rsidP="00CB78E6">
            <w:pPr>
              <w:spacing w:after="0"/>
              <w:outlineLvl w:val="1"/>
              <w:rPr>
                <w:rFonts w:eastAsia="Times New Roman" w:cs="Calibri"/>
                <w:sz w:val="16"/>
                <w:szCs w:val="16"/>
              </w:rPr>
            </w:pPr>
          </w:p>
        </w:tc>
        <w:tc>
          <w:tcPr>
            <w:tcW w:w="993" w:type="dxa"/>
            <w:vMerge/>
            <w:tcBorders>
              <w:top w:val="nil"/>
              <w:left w:val="single" w:sz="4" w:space="0" w:color="auto"/>
              <w:bottom w:val="single" w:sz="4" w:space="0" w:color="auto"/>
              <w:right w:val="single" w:sz="4" w:space="0" w:color="auto"/>
            </w:tcBorders>
            <w:shd w:val="clear" w:color="auto" w:fill="FFFFFF"/>
            <w:hideMark/>
          </w:tcPr>
          <w:p w:rsidR="00B951B1" w:rsidRPr="00E61612" w:rsidRDefault="00B951B1" w:rsidP="00CB78E6">
            <w:pPr>
              <w:spacing w:after="0"/>
              <w:outlineLvl w:val="1"/>
              <w:rPr>
                <w:rFonts w:eastAsia="Times New Roman" w:cs="Calibri"/>
                <w:sz w:val="16"/>
                <w:szCs w:val="16"/>
              </w:rPr>
            </w:pPr>
          </w:p>
        </w:tc>
        <w:tc>
          <w:tcPr>
            <w:tcW w:w="992" w:type="dxa"/>
            <w:vMerge/>
            <w:tcBorders>
              <w:top w:val="nil"/>
              <w:left w:val="single" w:sz="4" w:space="0" w:color="auto"/>
              <w:bottom w:val="single" w:sz="4" w:space="0" w:color="000000"/>
              <w:right w:val="single" w:sz="4" w:space="0" w:color="auto"/>
            </w:tcBorders>
            <w:shd w:val="clear" w:color="auto" w:fill="FFFFFF"/>
            <w:hideMark/>
          </w:tcPr>
          <w:p w:rsidR="00B951B1" w:rsidRPr="00E61612" w:rsidRDefault="00B951B1" w:rsidP="00CB78E6">
            <w:pPr>
              <w:spacing w:after="0"/>
              <w:outlineLvl w:val="1"/>
              <w:rPr>
                <w:rFonts w:eastAsia="Times New Roman" w:cs="Calibri"/>
                <w:sz w:val="16"/>
                <w:szCs w:val="16"/>
              </w:rPr>
            </w:pPr>
          </w:p>
        </w:tc>
        <w:tc>
          <w:tcPr>
            <w:tcW w:w="1309" w:type="dxa"/>
            <w:tcBorders>
              <w:top w:val="nil"/>
              <w:left w:val="nil"/>
              <w:bottom w:val="single" w:sz="4" w:space="0" w:color="auto"/>
              <w:right w:val="single" w:sz="4" w:space="0" w:color="auto"/>
            </w:tcBorders>
            <w:shd w:val="clear" w:color="auto" w:fill="FFFFFF"/>
            <w:hideMark/>
          </w:tcPr>
          <w:p w:rsidR="00B951B1" w:rsidRPr="00E61612" w:rsidRDefault="00B951B1" w:rsidP="00CB78E6">
            <w:pPr>
              <w:spacing w:after="0"/>
              <w:outlineLvl w:val="1"/>
              <w:rPr>
                <w:rFonts w:eastAsia="Times New Roman" w:cs="Calibri"/>
                <w:sz w:val="16"/>
                <w:szCs w:val="16"/>
              </w:rPr>
            </w:pPr>
            <w:r w:rsidRPr="00E61612">
              <w:rPr>
                <w:rFonts w:eastAsia="Times New Roman" w:cs="Calibri"/>
                <w:sz w:val="16"/>
                <w:szCs w:val="16"/>
              </w:rPr>
              <w:t>A3.3.2. Hartimi i udhëzuesve dhe materialeve ndihmëse për mësues</w:t>
            </w:r>
            <w:r>
              <w:rPr>
                <w:rFonts w:eastAsia="Times New Roman" w:cs="Calibri"/>
                <w:sz w:val="16"/>
                <w:szCs w:val="16"/>
              </w:rPr>
              <w:t>it</w:t>
            </w:r>
            <w:r w:rsidRPr="00E61612">
              <w:rPr>
                <w:rFonts w:eastAsia="Times New Roman" w:cs="Calibri"/>
                <w:sz w:val="16"/>
                <w:szCs w:val="16"/>
              </w:rPr>
              <w:t xml:space="preserve"> për fushat gjuhët dhe komunikimi, matematikë dhe shkencat e natyrës</w:t>
            </w:r>
          </w:p>
        </w:tc>
        <w:tc>
          <w:tcPr>
            <w:tcW w:w="1067" w:type="dxa"/>
            <w:tcBorders>
              <w:top w:val="nil"/>
              <w:left w:val="single" w:sz="4" w:space="0" w:color="auto"/>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w:t>
            </w:r>
          </w:p>
        </w:tc>
        <w:tc>
          <w:tcPr>
            <w:tcW w:w="851"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2,940</w:t>
            </w:r>
          </w:p>
        </w:tc>
        <w:tc>
          <w:tcPr>
            <w:tcW w:w="992"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w:t>
            </w:r>
          </w:p>
        </w:tc>
        <w:tc>
          <w:tcPr>
            <w:tcW w:w="992" w:type="dxa"/>
            <w:gridSpan w:val="2"/>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2,940</w:t>
            </w:r>
          </w:p>
        </w:tc>
        <w:tc>
          <w:tcPr>
            <w:tcW w:w="992"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w:t>
            </w:r>
          </w:p>
        </w:tc>
        <w:tc>
          <w:tcPr>
            <w:tcW w:w="993"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2,940</w:t>
            </w:r>
          </w:p>
        </w:tc>
        <w:tc>
          <w:tcPr>
            <w:tcW w:w="992"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w:t>
            </w:r>
          </w:p>
        </w:tc>
        <w:tc>
          <w:tcPr>
            <w:tcW w:w="992"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w:t>
            </w:r>
          </w:p>
        </w:tc>
        <w:tc>
          <w:tcPr>
            <w:tcW w:w="992"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(2,940)</w:t>
            </w:r>
          </w:p>
        </w:tc>
        <w:tc>
          <w:tcPr>
            <w:tcW w:w="851"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w:t>
            </w:r>
          </w:p>
        </w:tc>
        <w:tc>
          <w:tcPr>
            <w:tcW w:w="1134"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2,940</w:t>
            </w:r>
          </w:p>
        </w:tc>
      </w:tr>
      <w:tr w:rsidR="00B951B1" w:rsidRPr="00E61612" w:rsidTr="00CB78E6">
        <w:trPr>
          <w:trHeight w:val="1483"/>
          <w:jc w:val="center"/>
        </w:trPr>
        <w:tc>
          <w:tcPr>
            <w:tcW w:w="992" w:type="dxa"/>
            <w:vMerge/>
            <w:tcBorders>
              <w:top w:val="nil"/>
              <w:left w:val="single" w:sz="4" w:space="0" w:color="auto"/>
              <w:bottom w:val="single" w:sz="4" w:space="0" w:color="auto"/>
              <w:right w:val="single" w:sz="4" w:space="0" w:color="auto"/>
            </w:tcBorders>
            <w:shd w:val="clear" w:color="auto" w:fill="FFFFFF"/>
            <w:hideMark/>
          </w:tcPr>
          <w:p w:rsidR="00B951B1" w:rsidRPr="00E61612" w:rsidRDefault="00B951B1" w:rsidP="00CB78E6">
            <w:pPr>
              <w:spacing w:after="0"/>
              <w:outlineLvl w:val="1"/>
              <w:rPr>
                <w:rFonts w:eastAsia="Times New Roman" w:cs="Calibri"/>
                <w:sz w:val="16"/>
                <w:szCs w:val="16"/>
              </w:rPr>
            </w:pPr>
          </w:p>
        </w:tc>
        <w:tc>
          <w:tcPr>
            <w:tcW w:w="993" w:type="dxa"/>
            <w:vMerge/>
            <w:tcBorders>
              <w:top w:val="nil"/>
              <w:left w:val="single" w:sz="4" w:space="0" w:color="auto"/>
              <w:bottom w:val="single" w:sz="4" w:space="0" w:color="auto"/>
              <w:right w:val="single" w:sz="4" w:space="0" w:color="auto"/>
            </w:tcBorders>
            <w:shd w:val="clear" w:color="auto" w:fill="FFFFFF"/>
            <w:hideMark/>
          </w:tcPr>
          <w:p w:rsidR="00B951B1" w:rsidRPr="00E61612" w:rsidRDefault="00B951B1" w:rsidP="00CB78E6">
            <w:pPr>
              <w:spacing w:after="0"/>
              <w:outlineLvl w:val="1"/>
              <w:rPr>
                <w:rFonts w:eastAsia="Times New Roman" w:cs="Calibri"/>
                <w:sz w:val="16"/>
                <w:szCs w:val="16"/>
              </w:rPr>
            </w:pPr>
          </w:p>
        </w:tc>
        <w:tc>
          <w:tcPr>
            <w:tcW w:w="992" w:type="dxa"/>
            <w:vMerge w:val="restart"/>
            <w:tcBorders>
              <w:top w:val="nil"/>
              <w:left w:val="single" w:sz="4" w:space="0" w:color="auto"/>
              <w:bottom w:val="single" w:sz="4" w:space="0" w:color="000000"/>
              <w:right w:val="single" w:sz="4" w:space="0" w:color="auto"/>
            </w:tcBorders>
            <w:shd w:val="clear" w:color="auto" w:fill="FFFFFF"/>
            <w:hideMark/>
          </w:tcPr>
          <w:p w:rsidR="00B951B1" w:rsidRPr="00E61612" w:rsidRDefault="00B951B1" w:rsidP="00CB78E6">
            <w:pPr>
              <w:spacing w:after="0"/>
              <w:outlineLvl w:val="1"/>
              <w:rPr>
                <w:rFonts w:eastAsia="Times New Roman" w:cs="Calibri"/>
                <w:sz w:val="16"/>
                <w:szCs w:val="16"/>
              </w:rPr>
            </w:pPr>
            <w:r w:rsidRPr="00E61612">
              <w:rPr>
                <w:rFonts w:eastAsia="Times New Roman" w:cs="Calibri"/>
                <w:sz w:val="16"/>
                <w:szCs w:val="16"/>
              </w:rPr>
              <w:t xml:space="preserve">A3.4. </w:t>
            </w:r>
            <w:r>
              <w:rPr>
                <w:rFonts w:eastAsia="Times New Roman" w:cs="Calibri"/>
                <w:sz w:val="16"/>
                <w:szCs w:val="16"/>
              </w:rPr>
              <w:t>Garantimi</w:t>
            </w:r>
            <w:r w:rsidRPr="00E61612">
              <w:rPr>
                <w:rFonts w:eastAsia="Times New Roman" w:cs="Calibri"/>
                <w:sz w:val="16"/>
                <w:szCs w:val="16"/>
              </w:rPr>
              <w:t xml:space="preserve"> i besueshmërisë së vlerësimeve kombëtare</w:t>
            </w:r>
          </w:p>
        </w:tc>
        <w:tc>
          <w:tcPr>
            <w:tcW w:w="1309" w:type="dxa"/>
            <w:tcBorders>
              <w:top w:val="nil"/>
              <w:left w:val="nil"/>
              <w:bottom w:val="single" w:sz="4" w:space="0" w:color="auto"/>
              <w:right w:val="single" w:sz="4" w:space="0" w:color="auto"/>
            </w:tcBorders>
            <w:shd w:val="clear" w:color="auto" w:fill="FFFFFF"/>
            <w:hideMark/>
          </w:tcPr>
          <w:p w:rsidR="00B951B1" w:rsidRPr="00E61612" w:rsidRDefault="00B951B1" w:rsidP="00CB78E6">
            <w:pPr>
              <w:spacing w:after="0"/>
              <w:outlineLvl w:val="1"/>
              <w:rPr>
                <w:rFonts w:eastAsia="Times New Roman" w:cs="Calibri"/>
                <w:sz w:val="16"/>
                <w:szCs w:val="16"/>
              </w:rPr>
            </w:pPr>
            <w:r w:rsidRPr="00E61612">
              <w:rPr>
                <w:rFonts w:eastAsia="Times New Roman" w:cs="Calibri"/>
                <w:sz w:val="16"/>
                <w:szCs w:val="16"/>
              </w:rPr>
              <w:t>A3.4.1. Përmirësimi i administrimit dhe cilësisë së provimeve bazuar në kompetenca</w:t>
            </w:r>
          </w:p>
        </w:tc>
        <w:tc>
          <w:tcPr>
            <w:tcW w:w="1067" w:type="dxa"/>
            <w:tcBorders>
              <w:top w:val="nil"/>
              <w:left w:val="single" w:sz="4" w:space="0" w:color="auto"/>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w:t>
            </w:r>
          </w:p>
        </w:tc>
        <w:tc>
          <w:tcPr>
            <w:tcW w:w="851"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7,980</w:t>
            </w:r>
          </w:p>
        </w:tc>
        <w:tc>
          <w:tcPr>
            <w:tcW w:w="992"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w:t>
            </w:r>
          </w:p>
        </w:tc>
        <w:tc>
          <w:tcPr>
            <w:tcW w:w="992" w:type="dxa"/>
            <w:gridSpan w:val="2"/>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7,980</w:t>
            </w:r>
          </w:p>
        </w:tc>
        <w:tc>
          <w:tcPr>
            <w:tcW w:w="992"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w:t>
            </w:r>
          </w:p>
        </w:tc>
        <w:tc>
          <w:tcPr>
            <w:tcW w:w="993"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7,980</w:t>
            </w:r>
          </w:p>
        </w:tc>
        <w:tc>
          <w:tcPr>
            <w:tcW w:w="992"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w:t>
            </w:r>
          </w:p>
        </w:tc>
        <w:tc>
          <w:tcPr>
            <w:tcW w:w="992"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w:t>
            </w:r>
          </w:p>
        </w:tc>
        <w:tc>
          <w:tcPr>
            <w:tcW w:w="992"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(7,980)</w:t>
            </w:r>
          </w:p>
        </w:tc>
        <w:tc>
          <w:tcPr>
            <w:tcW w:w="851"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w:t>
            </w:r>
          </w:p>
        </w:tc>
        <w:tc>
          <w:tcPr>
            <w:tcW w:w="1134"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7,980</w:t>
            </w:r>
          </w:p>
        </w:tc>
      </w:tr>
      <w:tr w:rsidR="00B951B1" w:rsidRPr="00E61612" w:rsidTr="00CB78E6">
        <w:trPr>
          <w:trHeight w:val="765"/>
          <w:jc w:val="center"/>
        </w:trPr>
        <w:tc>
          <w:tcPr>
            <w:tcW w:w="992" w:type="dxa"/>
            <w:vMerge/>
            <w:tcBorders>
              <w:top w:val="nil"/>
              <w:left w:val="single" w:sz="4" w:space="0" w:color="auto"/>
              <w:bottom w:val="single" w:sz="4" w:space="0" w:color="auto"/>
              <w:right w:val="single" w:sz="4" w:space="0" w:color="auto"/>
            </w:tcBorders>
            <w:shd w:val="clear" w:color="auto" w:fill="FFFFFF"/>
            <w:hideMark/>
          </w:tcPr>
          <w:p w:rsidR="00B951B1" w:rsidRPr="00E61612" w:rsidRDefault="00B951B1" w:rsidP="00CB78E6">
            <w:pPr>
              <w:spacing w:after="0"/>
              <w:outlineLvl w:val="1"/>
              <w:rPr>
                <w:rFonts w:eastAsia="Times New Roman" w:cs="Calibri"/>
                <w:sz w:val="16"/>
                <w:szCs w:val="16"/>
              </w:rPr>
            </w:pPr>
          </w:p>
        </w:tc>
        <w:tc>
          <w:tcPr>
            <w:tcW w:w="993" w:type="dxa"/>
            <w:vMerge/>
            <w:tcBorders>
              <w:top w:val="nil"/>
              <w:left w:val="single" w:sz="4" w:space="0" w:color="auto"/>
              <w:bottom w:val="single" w:sz="4" w:space="0" w:color="auto"/>
              <w:right w:val="single" w:sz="4" w:space="0" w:color="auto"/>
            </w:tcBorders>
            <w:shd w:val="clear" w:color="auto" w:fill="FFFFFF"/>
            <w:hideMark/>
          </w:tcPr>
          <w:p w:rsidR="00B951B1" w:rsidRPr="00E61612" w:rsidRDefault="00B951B1" w:rsidP="00CB78E6">
            <w:pPr>
              <w:spacing w:after="0"/>
              <w:outlineLvl w:val="1"/>
              <w:rPr>
                <w:rFonts w:eastAsia="Times New Roman" w:cs="Calibri"/>
                <w:sz w:val="16"/>
                <w:szCs w:val="16"/>
              </w:rPr>
            </w:pPr>
          </w:p>
        </w:tc>
        <w:tc>
          <w:tcPr>
            <w:tcW w:w="992" w:type="dxa"/>
            <w:vMerge/>
            <w:tcBorders>
              <w:top w:val="nil"/>
              <w:left w:val="single" w:sz="4" w:space="0" w:color="auto"/>
              <w:bottom w:val="single" w:sz="4" w:space="0" w:color="000000"/>
              <w:right w:val="single" w:sz="4" w:space="0" w:color="auto"/>
            </w:tcBorders>
            <w:shd w:val="clear" w:color="auto" w:fill="FFFFFF"/>
            <w:hideMark/>
          </w:tcPr>
          <w:p w:rsidR="00B951B1" w:rsidRPr="00E61612" w:rsidRDefault="00B951B1" w:rsidP="00CB78E6">
            <w:pPr>
              <w:spacing w:after="0"/>
              <w:outlineLvl w:val="1"/>
              <w:rPr>
                <w:rFonts w:eastAsia="Times New Roman" w:cs="Calibri"/>
                <w:sz w:val="16"/>
                <w:szCs w:val="16"/>
              </w:rPr>
            </w:pPr>
          </w:p>
        </w:tc>
        <w:tc>
          <w:tcPr>
            <w:tcW w:w="1309" w:type="dxa"/>
            <w:tcBorders>
              <w:top w:val="nil"/>
              <w:left w:val="nil"/>
              <w:bottom w:val="single" w:sz="4" w:space="0" w:color="auto"/>
              <w:right w:val="single" w:sz="4" w:space="0" w:color="auto"/>
            </w:tcBorders>
            <w:shd w:val="clear" w:color="auto" w:fill="FFFFFF"/>
            <w:hideMark/>
          </w:tcPr>
          <w:p w:rsidR="00B951B1" w:rsidRPr="00E61612" w:rsidRDefault="00B951B1" w:rsidP="00CB78E6">
            <w:pPr>
              <w:spacing w:after="0"/>
              <w:outlineLvl w:val="1"/>
              <w:rPr>
                <w:rFonts w:eastAsia="Times New Roman" w:cs="Calibri"/>
                <w:sz w:val="16"/>
                <w:szCs w:val="16"/>
              </w:rPr>
            </w:pPr>
            <w:r w:rsidRPr="00E61612">
              <w:rPr>
                <w:rFonts w:eastAsia="Times New Roman" w:cs="Calibri"/>
                <w:sz w:val="16"/>
                <w:szCs w:val="16"/>
              </w:rPr>
              <w:t>A3.4.2. Raportimi i rezultateve të VANAF dhe PKAB</w:t>
            </w:r>
          </w:p>
        </w:tc>
        <w:tc>
          <w:tcPr>
            <w:tcW w:w="1067" w:type="dxa"/>
            <w:tcBorders>
              <w:top w:val="nil"/>
              <w:left w:val="single" w:sz="4" w:space="0" w:color="auto"/>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w:t>
            </w:r>
          </w:p>
        </w:tc>
        <w:tc>
          <w:tcPr>
            <w:tcW w:w="851"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1,500</w:t>
            </w:r>
          </w:p>
        </w:tc>
        <w:tc>
          <w:tcPr>
            <w:tcW w:w="992"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w:t>
            </w:r>
          </w:p>
        </w:tc>
        <w:tc>
          <w:tcPr>
            <w:tcW w:w="992" w:type="dxa"/>
            <w:gridSpan w:val="2"/>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1,500</w:t>
            </w:r>
          </w:p>
        </w:tc>
        <w:tc>
          <w:tcPr>
            <w:tcW w:w="992"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w:t>
            </w:r>
          </w:p>
        </w:tc>
        <w:tc>
          <w:tcPr>
            <w:tcW w:w="993"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1,500</w:t>
            </w:r>
          </w:p>
        </w:tc>
        <w:tc>
          <w:tcPr>
            <w:tcW w:w="992"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w:t>
            </w:r>
          </w:p>
        </w:tc>
        <w:tc>
          <w:tcPr>
            <w:tcW w:w="992"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w:t>
            </w:r>
          </w:p>
        </w:tc>
        <w:tc>
          <w:tcPr>
            <w:tcW w:w="992"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(1,500)</w:t>
            </w:r>
          </w:p>
        </w:tc>
        <w:tc>
          <w:tcPr>
            <w:tcW w:w="851"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w:t>
            </w:r>
          </w:p>
        </w:tc>
        <w:tc>
          <w:tcPr>
            <w:tcW w:w="1134"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1,500</w:t>
            </w:r>
          </w:p>
        </w:tc>
      </w:tr>
      <w:tr w:rsidR="00B951B1" w:rsidRPr="00E61612" w:rsidTr="00CB78E6">
        <w:trPr>
          <w:trHeight w:val="1140"/>
          <w:jc w:val="center"/>
        </w:trPr>
        <w:tc>
          <w:tcPr>
            <w:tcW w:w="992" w:type="dxa"/>
            <w:vMerge/>
            <w:tcBorders>
              <w:top w:val="nil"/>
              <w:left w:val="single" w:sz="4" w:space="0" w:color="auto"/>
              <w:bottom w:val="single" w:sz="4" w:space="0" w:color="auto"/>
              <w:right w:val="single" w:sz="4" w:space="0" w:color="auto"/>
            </w:tcBorders>
            <w:shd w:val="clear" w:color="auto" w:fill="FFFFFF"/>
            <w:hideMark/>
          </w:tcPr>
          <w:p w:rsidR="00B951B1" w:rsidRPr="00E61612" w:rsidRDefault="00B951B1" w:rsidP="00CB78E6">
            <w:pPr>
              <w:spacing w:after="0"/>
              <w:outlineLvl w:val="1"/>
              <w:rPr>
                <w:rFonts w:eastAsia="Times New Roman" w:cs="Calibri"/>
                <w:sz w:val="16"/>
                <w:szCs w:val="16"/>
              </w:rPr>
            </w:pPr>
          </w:p>
        </w:tc>
        <w:tc>
          <w:tcPr>
            <w:tcW w:w="993" w:type="dxa"/>
            <w:vMerge/>
            <w:tcBorders>
              <w:top w:val="nil"/>
              <w:left w:val="single" w:sz="4" w:space="0" w:color="auto"/>
              <w:bottom w:val="single" w:sz="4" w:space="0" w:color="auto"/>
              <w:right w:val="single" w:sz="4" w:space="0" w:color="auto"/>
            </w:tcBorders>
            <w:shd w:val="clear" w:color="auto" w:fill="FFFFFF"/>
            <w:hideMark/>
          </w:tcPr>
          <w:p w:rsidR="00B951B1" w:rsidRPr="00E61612" w:rsidRDefault="00B951B1" w:rsidP="00CB78E6">
            <w:pPr>
              <w:spacing w:after="0"/>
              <w:outlineLvl w:val="1"/>
              <w:rPr>
                <w:rFonts w:eastAsia="Times New Roman" w:cs="Calibri"/>
                <w:sz w:val="16"/>
                <w:szCs w:val="16"/>
              </w:rPr>
            </w:pPr>
          </w:p>
        </w:tc>
        <w:tc>
          <w:tcPr>
            <w:tcW w:w="992" w:type="dxa"/>
            <w:tcBorders>
              <w:top w:val="nil"/>
              <w:left w:val="nil"/>
              <w:bottom w:val="nil"/>
              <w:right w:val="single" w:sz="4" w:space="0" w:color="auto"/>
            </w:tcBorders>
            <w:shd w:val="clear" w:color="auto" w:fill="FFFFFF"/>
            <w:hideMark/>
          </w:tcPr>
          <w:p w:rsidR="00B951B1" w:rsidRPr="00E61612" w:rsidRDefault="00B951B1" w:rsidP="00CB78E6">
            <w:pPr>
              <w:spacing w:after="0"/>
              <w:outlineLvl w:val="1"/>
              <w:rPr>
                <w:rFonts w:eastAsia="Times New Roman" w:cs="Calibri"/>
                <w:sz w:val="16"/>
                <w:szCs w:val="16"/>
              </w:rPr>
            </w:pPr>
            <w:r w:rsidRPr="00E61612">
              <w:rPr>
                <w:rFonts w:eastAsia="Times New Roman" w:cs="Calibri"/>
                <w:sz w:val="16"/>
                <w:szCs w:val="16"/>
              </w:rPr>
              <w:t>A3.5. Të mësuarit e gjuhës angleze nga mosha 5</w:t>
            </w:r>
            <w:r>
              <w:rPr>
                <w:rFonts w:eastAsia="Times New Roman" w:cs="Calibri"/>
                <w:sz w:val="16"/>
                <w:szCs w:val="16"/>
              </w:rPr>
              <w:t>-</w:t>
            </w:r>
            <w:r w:rsidRPr="00E61612">
              <w:rPr>
                <w:rFonts w:eastAsia="Times New Roman" w:cs="Calibri"/>
                <w:sz w:val="16"/>
                <w:szCs w:val="16"/>
              </w:rPr>
              <w:t>vjeç</w:t>
            </w:r>
            <w:r>
              <w:rPr>
                <w:rFonts w:eastAsia="Times New Roman" w:cs="Calibri"/>
                <w:sz w:val="16"/>
                <w:szCs w:val="16"/>
              </w:rPr>
              <w:t>are</w:t>
            </w:r>
          </w:p>
        </w:tc>
        <w:tc>
          <w:tcPr>
            <w:tcW w:w="1309" w:type="dxa"/>
            <w:tcBorders>
              <w:top w:val="nil"/>
              <w:left w:val="nil"/>
              <w:bottom w:val="nil"/>
              <w:right w:val="single" w:sz="4" w:space="0" w:color="auto"/>
            </w:tcBorders>
            <w:shd w:val="clear" w:color="auto" w:fill="FFFFFF"/>
            <w:hideMark/>
          </w:tcPr>
          <w:p w:rsidR="00B951B1" w:rsidRPr="00E61612" w:rsidRDefault="00B951B1" w:rsidP="00CB78E6">
            <w:pPr>
              <w:spacing w:after="0"/>
              <w:outlineLvl w:val="1"/>
              <w:rPr>
                <w:rFonts w:eastAsia="Times New Roman" w:cs="Calibri"/>
                <w:sz w:val="16"/>
                <w:szCs w:val="16"/>
              </w:rPr>
            </w:pPr>
            <w:r w:rsidRPr="00E61612">
              <w:rPr>
                <w:rFonts w:eastAsia="Times New Roman" w:cs="Calibri"/>
                <w:sz w:val="16"/>
                <w:szCs w:val="16"/>
              </w:rPr>
              <w:t>A3.5.1. Futja e gjuhës angleze si lëndë e detyruar nga mosha 5</w:t>
            </w:r>
            <w:r>
              <w:rPr>
                <w:rFonts w:eastAsia="Times New Roman" w:cs="Calibri"/>
                <w:sz w:val="16"/>
                <w:szCs w:val="16"/>
              </w:rPr>
              <w:t>-</w:t>
            </w:r>
            <w:r w:rsidRPr="00E61612">
              <w:rPr>
                <w:rFonts w:eastAsia="Times New Roman" w:cs="Calibri"/>
                <w:sz w:val="16"/>
                <w:szCs w:val="16"/>
              </w:rPr>
              <w:t>vjeç</w:t>
            </w:r>
            <w:r>
              <w:rPr>
                <w:rFonts w:eastAsia="Times New Roman" w:cs="Calibri"/>
                <w:sz w:val="16"/>
                <w:szCs w:val="16"/>
              </w:rPr>
              <w:t>are</w:t>
            </w:r>
          </w:p>
        </w:tc>
        <w:tc>
          <w:tcPr>
            <w:tcW w:w="1067" w:type="dxa"/>
            <w:tcBorders>
              <w:top w:val="nil"/>
              <w:left w:val="single" w:sz="4" w:space="0" w:color="auto"/>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1,032,960</w:t>
            </w:r>
          </w:p>
        </w:tc>
        <w:tc>
          <w:tcPr>
            <w:tcW w:w="851"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w:t>
            </w:r>
          </w:p>
        </w:tc>
        <w:tc>
          <w:tcPr>
            <w:tcW w:w="992"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w:t>
            </w:r>
          </w:p>
        </w:tc>
        <w:tc>
          <w:tcPr>
            <w:tcW w:w="992" w:type="dxa"/>
            <w:gridSpan w:val="2"/>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w:t>
            </w:r>
          </w:p>
        </w:tc>
        <w:tc>
          <w:tcPr>
            <w:tcW w:w="992"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1,032,960</w:t>
            </w:r>
          </w:p>
        </w:tc>
        <w:tc>
          <w:tcPr>
            <w:tcW w:w="993"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1,032,960</w:t>
            </w:r>
          </w:p>
        </w:tc>
        <w:tc>
          <w:tcPr>
            <w:tcW w:w="992"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w:t>
            </w:r>
          </w:p>
        </w:tc>
        <w:tc>
          <w:tcPr>
            <w:tcW w:w="992"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w:t>
            </w:r>
          </w:p>
        </w:tc>
        <w:tc>
          <w:tcPr>
            <w:tcW w:w="992"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(1,032,960)</w:t>
            </w:r>
          </w:p>
        </w:tc>
        <w:tc>
          <w:tcPr>
            <w:tcW w:w="851"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w:t>
            </w:r>
          </w:p>
        </w:tc>
        <w:tc>
          <w:tcPr>
            <w:tcW w:w="1134"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1,032,960</w:t>
            </w:r>
          </w:p>
        </w:tc>
      </w:tr>
      <w:tr w:rsidR="00B951B1" w:rsidRPr="00E61612" w:rsidTr="00CB78E6">
        <w:trPr>
          <w:trHeight w:val="1020"/>
          <w:jc w:val="center"/>
        </w:trPr>
        <w:tc>
          <w:tcPr>
            <w:tcW w:w="992" w:type="dxa"/>
            <w:vMerge/>
            <w:tcBorders>
              <w:top w:val="nil"/>
              <w:left w:val="single" w:sz="4" w:space="0" w:color="auto"/>
              <w:bottom w:val="single" w:sz="4" w:space="0" w:color="auto"/>
              <w:right w:val="single" w:sz="4" w:space="0" w:color="auto"/>
            </w:tcBorders>
            <w:shd w:val="clear" w:color="auto" w:fill="FFFFFF"/>
            <w:hideMark/>
          </w:tcPr>
          <w:p w:rsidR="00B951B1" w:rsidRPr="00E61612" w:rsidRDefault="00B951B1" w:rsidP="00CB78E6">
            <w:pPr>
              <w:spacing w:after="0"/>
              <w:outlineLvl w:val="1"/>
              <w:rPr>
                <w:rFonts w:eastAsia="Times New Roman" w:cs="Calibri"/>
                <w:sz w:val="16"/>
                <w:szCs w:val="16"/>
              </w:rPr>
            </w:pPr>
          </w:p>
        </w:tc>
        <w:tc>
          <w:tcPr>
            <w:tcW w:w="993" w:type="dxa"/>
            <w:vMerge/>
            <w:tcBorders>
              <w:top w:val="nil"/>
              <w:left w:val="single" w:sz="4" w:space="0" w:color="auto"/>
              <w:bottom w:val="single" w:sz="4" w:space="0" w:color="auto"/>
              <w:right w:val="single" w:sz="4" w:space="0" w:color="auto"/>
            </w:tcBorders>
            <w:shd w:val="clear" w:color="auto" w:fill="FFFFFF"/>
            <w:hideMark/>
          </w:tcPr>
          <w:p w:rsidR="00B951B1" w:rsidRPr="00E61612" w:rsidRDefault="00B951B1" w:rsidP="00CB78E6">
            <w:pPr>
              <w:spacing w:after="0"/>
              <w:outlineLvl w:val="1"/>
              <w:rPr>
                <w:rFonts w:eastAsia="Times New Roman" w:cs="Calibri"/>
                <w:sz w:val="16"/>
                <w:szCs w:val="16"/>
              </w:rPr>
            </w:pPr>
          </w:p>
        </w:tc>
        <w:tc>
          <w:tcPr>
            <w:tcW w:w="992" w:type="dxa"/>
            <w:vMerge w:val="restart"/>
            <w:tcBorders>
              <w:top w:val="nil"/>
              <w:left w:val="single" w:sz="4" w:space="0" w:color="auto"/>
              <w:bottom w:val="single" w:sz="4" w:space="0" w:color="000000"/>
              <w:right w:val="single" w:sz="4" w:space="0" w:color="auto"/>
            </w:tcBorders>
            <w:shd w:val="clear" w:color="auto" w:fill="FFFFFF"/>
            <w:hideMark/>
          </w:tcPr>
          <w:p w:rsidR="00B951B1" w:rsidRPr="00E61612" w:rsidRDefault="00B951B1" w:rsidP="00CB78E6">
            <w:pPr>
              <w:spacing w:after="0"/>
              <w:outlineLvl w:val="1"/>
              <w:rPr>
                <w:rFonts w:eastAsia="Times New Roman" w:cs="Calibri"/>
                <w:sz w:val="16"/>
                <w:szCs w:val="16"/>
              </w:rPr>
            </w:pPr>
            <w:r w:rsidRPr="00E61612">
              <w:rPr>
                <w:rFonts w:eastAsia="Times New Roman" w:cs="Calibri"/>
                <w:sz w:val="16"/>
                <w:szCs w:val="16"/>
              </w:rPr>
              <w:t xml:space="preserve">A3.6.  Të mësuarit e zejeve dhe të arteve në arsimin </w:t>
            </w:r>
            <w:r w:rsidRPr="00E61612">
              <w:rPr>
                <w:rFonts w:eastAsia="Times New Roman" w:cs="Calibri"/>
                <w:sz w:val="16"/>
                <w:szCs w:val="16"/>
              </w:rPr>
              <w:lastRenderedPageBreak/>
              <w:t>e mesëm të lartë në kuadrin e kurrikulës me zgjedhje</w:t>
            </w:r>
          </w:p>
        </w:tc>
        <w:tc>
          <w:tcPr>
            <w:tcW w:w="1309" w:type="dxa"/>
            <w:tcBorders>
              <w:top w:val="nil"/>
              <w:left w:val="nil"/>
              <w:bottom w:val="single" w:sz="4" w:space="0" w:color="auto"/>
              <w:right w:val="single" w:sz="4" w:space="0" w:color="auto"/>
            </w:tcBorders>
            <w:shd w:val="clear" w:color="auto" w:fill="FFFFFF"/>
            <w:hideMark/>
          </w:tcPr>
          <w:p w:rsidR="00B951B1" w:rsidRPr="00E61612" w:rsidRDefault="00B951B1" w:rsidP="00CB78E6">
            <w:pPr>
              <w:spacing w:after="0"/>
              <w:outlineLvl w:val="1"/>
              <w:rPr>
                <w:rFonts w:eastAsia="Times New Roman" w:cs="Calibri"/>
                <w:sz w:val="16"/>
                <w:szCs w:val="16"/>
              </w:rPr>
            </w:pPr>
            <w:r w:rsidRPr="00E61612">
              <w:rPr>
                <w:rFonts w:eastAsia="Times New Roman" w:cs="Calibri"/>
                <w:sz w:val="16"/>
                <w:szCs w:val="16"/>
              </w:rPr>
              <w:lastRenderedPageBreak/>
              <w:t>A3.6.1. Hartimi moduleve kurrikulare dhe profesionale për zeje dhe arte</w:t>
            </w:r>
          </w:p>
        </w:tc>
        <w:tc>
          <w:tcPr>
            <w:tcW w:w="1067" w:type="dxa"/>
            <w:tcBorders>
              <w:top w:val="nil"/>
              <w:left w:val="single" w:sz="4" w:space="0" w:color="auto"/>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w:t>
            </w:r>
          </w:p>
        </w:tc>
        <w:tc>
          <w:tcPr>
            <w:tcW w:w="851"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3,360</w:t>
            </w:r>
          </w:p>
        </w:tc>
        <w:tc>
          <w:tcPr>
            <w:tcW w:w="992"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w:t>
            </w:r>
          </w:p>
        </w:tc>
        <w:tc>
          <w:tcPr>
            <w:tcW w:w="992" w:type="dxa"/>
            <w:gridSpan w:val="2"/>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3,360</w:t>
            </w:r>
          </w:p>
        </w:tc>
        <w:tc>
          <w:tcPr>
            <w:tcW w:w="992"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w:t>
            </w:r>
          </w:p>
        </w:tc>
        <w:tc>
          <w:tcPr>
            <w:tcW w:w="993"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3,360</w:t>
            </w:r>
          </w:p>
        </w:tc>
        <w:tc>
          <w:tcPr>
            <w:tcW w:w="992"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w:t>
            </w:r>
          </w:p>
        </w:tc>
        <w:tc>
          <w:tcPr>
            <w:tcW w:w="992"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3,360</w:t>
            </w:r>
          </w:p>
        </w:tc>
        <w:tc>
          <w:tcPr>
            <w:tcW w:w="992"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w:t>
            </w:r>
          </w:p>
        </w:tc>
        <w:tc>
          <w:tcPr>
            <w:tcW w:w="851"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w:t>
            </w:r>
          </w:p>
        </w:tc>
        <w:tc>
          <w:tcPr>
            <w:tcW w:w="1134"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3,360</w:t>
            </w:r>
          </w:p>
        </w:tc>
      </w:tr>
      <w:tr w:rsidR="00B951B1" w:rsidRPr="00E61612" w:rsidTr="00CB78E6">
        <w:trPr>
          <w:trHeight w:val="1275"/>
          <w:jc w:val="center"/>
        </w:trPr>
        <w:tc>
          <w:tcPr>
            <w:tcW w:w="992" w:type="dxa"/>
            <w:vMerge/>
            <w:tcBorders>
              <w:top w:val="nil"/>
              <w:left w:val="single" w:sz="4" w:space="0" w:color="auto"/>
              <w:bottom w:val="single" w:sz="4" w:space="0" w:color="auto"/>
              <w:right w:val="single" w:sz="4" w:space="0" w:color="auto"/>
            </w:tcBorders>
            <w:shd w:val="clear" w:color="auto" w:fill="FFFFFF"/>
            <w:hideMark/>
          </w:tcPr>
          <w:p w:rsidR="00B951B1" w:rsidRPr="00E61612" w:rsidRDefault="00B951B1" w:rsidP="00CB78E6">
            <w:pPr>
              <w:spacing w:after="0"/>
              <w:outlineLvl w:val="1"/>
              <w:rPr>
                <w:rFonts w:eastAsia="Times New Roman" w:cs="Calibri"/>
                <w:sz w:val="16"/>
                <w:szCs w:val="16"/>
              </w:rPr>
            </w:pPr>
          </w:p>
        </w:tc>
        <w:tc>
          <w:tcPr>
            <w:tcW w:w="993" w:type="dxa"/>
            <w:vMerge/>
            <w:tcBorders>
              <w:top w:val="nil"/>
              <w:left w:val="single" w:sz="4" w:space="0" w:color="auto"/>
              <w:bottom w:val="single" w:sz="4" w:space="0" w:color="auto"/>
              <w:right w:val="single" w:sz="4" w:space="0" w:color="auto"/>
            </w:tcBorders>
            <w:shd w:val="clear" w:color="auto" w:fill="FFFFFF"/>
            <w:hideMark/>
          </w:tcPr>
          <w:p w:rsidR="00B951B1" w:rsidRPr="00E61612" w:rsidRDefault="00B951B1" w:rsidP="00CB78E6">
            <w:pPr>
              <w:spacing w:after="0"/>
              <w:outlineLvl w:val="1"/>
              <w:rPr>
                <w:rFonts w:eastAsia="Times New Roman" w:cs="Calibri"/>
                <w:sz w:val="16"/>
                <w:szCs w:val="16"/>
              </w:rPr>
            </w:pPr>
          </w:p>
        </w:tc>
        <w:tc>
          <w:tcPr>
            <w:tcW w:w="992" w:type="dxa"/>
            <w:vMerge/>
            <w:tcBorders>
              <w:top w:val="nil"/>
              <w:left w:val="single" w:sz="4" w:space="0" w:color="auto"/>
              <w:bottom w:val="single" w:sz="4" w:space="0" w:color="000000"/>
              <w:right w:val="single" w:sz="4" w:space="0" w:color="auto"/>
            </w:tcBorders>
            <w:shd w:val="clear" w:color="auto" w:fill="FFFFFF"/>
            <w:hideMark/>
          </w:tcPr>
          <w:p w:rsidR="00B951B1" w:rsidRPr="00E61612" w:rsidRDefault="00B951B1" w:rsidP="00CB78E6">
            <w:pPr>
              <w:spacing w:after="0"/>
              <w:outlineLvl w:val="1"/>
              <w:rPr>
                <w:rFonts w:eastAsia="Times New Roman" w:cs="Calibri"/>
                <w:sz w:val="16"/>
                <w:szCs w:val="16"/>
              </w:rPr>
            </w:pPr>
          </w:p>
        </w:tc>
        <w:tc>
          <w:tcPr>
            <w:tcW w:w="1309" w:type="dxa"/>
            <w:tcBorders>
              <w:top w:val="nil"/>
              <w:left w:val="nil"/>
              <w:bottom w:val="single" w:sz="4" w:space="0" w:color="auto"/>
              <w:right w:val="single" w:sz="4" w:space="0" w:color="auto"/>
            </w:tcBorders>
            <w:shd w:val="clear" w:color="auto" w:fill="FFFFFF"/>
            <w:hideMark/>
          </w:tcPr>
          <w:p w:rsidR="00B951B1" w:rsidRPr="00E61612" w:rsidRDefault="00B951B1" w:rsidP="00CB78E6">
            <w:pPr>
              <w:spacing w:after="0"/>
              <w:outlineLvl w:val="1"/>
              <w:rPr>
                <w:rFonts w:eastAsia="Times New Roman" w:cs="Calibri"/>
                <w:sz w:val="16"/>
                <w:szCs w:val="16"/>
              </w:rPr>
            </w:pPr>
            <w:r w:rsidRPr="00E61612">
              <w:rPr>
                <w:rFonts w:eastAsia="Times New Roman" w:cs="Calibri"/>
                <w:sz w:val="16"/>
                <w:szCs w:val="16"/>
              </w:rPr>
              <w:t>A3.6.2. Trajnimi i mësuesve që do të zhvillojnë modulet për zejet dhe artet në arsimin e mesëm të lartë</w:t>
            </w:r>
          </w:p>
        </w:tc>
        <w:tc>
          <w:tcPr>
            <w:tcW w:w="1067" w:type="dxa"/>
            <w:tcBorders>
              <w:top w:val="nil"/>
              <w:left w:val="single" w:sz="4" w:space="0" w:color="auto"/>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w:t>
            </w:r>
          </w:p>
        </w:tc>
        <w:tc>
          <w:tcPr>
            <w:tcW w:w="851"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2,790</w:t>
            </w:r>
          </w:p>
        </w:tc>
        <w:tc>
          <w:tcPr>
            <w:tcW w:w="992"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w:t>
            </w:r>
          </w:p>
        </w:tc>
        <w:tc>
          <w:tcPr>
            <w:tcW w:w="992" w:type="dxa"/>
            <w:gridSpan w:val="2"/>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2,790</w:t>
            </w:r>
          </w:p>
        </w:tc>
        <w:tc>
          <w:tcPr>
            <w:tcW w:w="992"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w:t>
            </w:r>
          </w:p>
        </w:tc>
        <w:tc>
          <w:tcPr>
            <w:tcW w:w="993"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2,790</w:t>
            </w:r>
          </w:p>
        </w:tc>
        <w:tc>
          <w:tcPr>
            <w:tcW w:w="992"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w:t>
            </w:r>
          </w:p>
        </w:tc>
        <w:tc>
          <w:tcPr>
            <w:tcW w:w="992"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2,790</w:t>
            </w:r>
          </w:p>
        </w:tc>
        <w:tc>
          <w:tcPr>
            <w:tcW w:w="992"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w:t>
            </w:r>
          </w:p>
        </w:tc>
        <w:tc>
          <w:tcPr>
            <w:tcW w:w="851"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w:t>
            </w:r>
          </w:p>
        </w:tc>
        <w:tc>
          <w:tcPr>
            <w:tcW w:w="1134"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2,790</w:t>
            </w:r>
          </w:p>
        </w:tc>
      </w:tr>
      <w:tr w:rsidR="00B951B1" w:rsidRPr="00E61612" w:rsidTr="00CB78E6">
        <w:trPr>
          <w:trHeight w:val="255"/>
          <w:jc w:val="center"/>
        </w:trPr>
        <w:tc>
          <w:tcPr>
            <w:tcW w:w="992" w:type="dxa"/>
            <w:vMerge/>
            <w:tcBorders>
              <w:top w:val="nil"/>
              <w:left w:val="single" w:sz="4" w:space="0" w:color="auto"/>
              <w:bottom w:val="single" w:sz="4" w:space="0" w:color="auto"/>
              <w:right w:val="single" w:sz="4" w:space="0" w:color="auto"/>
            </w:tcBorders>
            <w:shd w:val="clear" w:color="auto" w:fill="FFFFFF"/>
            <w:hideMark/>
          </w:tcPr>
          <w:p w:rsidR="00B951B1" w:rsidRPr="00E61612" w:rsidRDefault="00B951B1" w:rsidP="00CB78E6">
            <w:pPr>
              <w:spacing w:after="0"/>
              <w:outlineLvl w:val="0"/>
              <w:rPr>
                <w:rFonts w:eastAsia="Times New Roman" w:cs="Calibri"/>
                <w:sz w:val="16"/>
                <w:szCs w:val="16"/>
              </w:rPr>
            </w:pPr>
          </w:p>
        </w:tc>
        <w:tc>
          <w:tcPr>
            <w:tcW w:w="993" w:type="dxa"/>
            <w:vMerge/>
            <w:tcBorders>
              <w:top w:val="nil"/>
              <w:left w:val="single" w:sz="4" w:space="0" w:color="auto"/>
              <w:bottom w:val="single" w:sz="4" w:space="0" w:color="auto"/>
              <w:right w:val="single" w:sz="4" w:space="0" w:color="auto"/>
            </w:tcBorders>
            <w:shd w:val="clear" w:color="auto" w:fill="FFFFFF"/>
            <w:hideMark/>
          </w:tcPr>
          <w:p w:rsidR="00B951B1" w:rsidRPr="00E61612" w:rsidRDefault="00B951B1" w:rsidP="00CB78E6">
            <w:pPr>
              <w:spacing w:after="0"/>
              <w:outlineLvl w:val="0"/>
              <w:rPr>
                <w:rFonts w:eastAsia="Times New Roman" w:cs="Calibri"/>
                <w:sz w:val="16"/>
                <w:szCs w:val="16"/>
              </w:rPr>
            </w:pPr>
          </w:p>
        </w:tc>
        <w:tc>
          <w:tcPr>
            <w:tcW w:w="2301" w:type="dxa"/>
            <w:gridSpan w:val="2"/>
            <w:tcBorders>
              <w:top w:val="single" w:sz="4" w:space="0" w:color="auto"/>
              <w:left w:val="nil"/>
              <w:bottom w:val="single" w:sz="4" w:space="0" w:color="auto"/>
              <w:right w:val="nil"/>
            </w:tcBorders>
            <w:shd w:val="clear" w:color="auto" w:fill="FFFFFF"/>
            <w:hideMark/>
          </w:tcPr>
          <w:p w:rsidR="00B951B1" w:rsidRPr="00E61612" w:rsidRDefault="00B951B1" w:rsidP="00CB78E6">
            <w:pPr>
              <w:spacing w:after="0"/>
              <w:jc w:val="center"/>
              <w:outlineLvl w:val="0"/>
              <w:rPr>
                <w:rFonts w:eastAsia="Times New Roman" w:cs="Calibri"/>
                <w:i/>
                <w:iCs/>
                <w:sz w:val="16"/>
                <w:szCs w:val="16"/>
              </w:rPr>
            </w:pPr>
            <w:r w:rsidRPr="00E61612">
              <w:rPr>
                <w:rFonts w:eastAsia="Times New Roman" w:cs="Calibri"/>
                <w:i/>
                <w:iCs/>
                <w:sz w:val="16"/>
                <w:szCs w:val="16"/>
              </w:rPr>
              <w:t>TOTAL A3</w:t>
            </w:r>
          </w:p>
        </w:tc>
        <w:tc>
          <w:tcPr>
            <w:tcW w:w="1067" w:type="dxa"/>
            <w:tcBorders>
              <w:top w:val="nil"/>
              <w:left w:val="single" w:sz="4" w:space="0" w:color="auto"/>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0"/>
              <w:rPr>
                <w:rFonts w:eastAsia="Times New Roman" w:cs="Calibri"/>
                <w:i/>
                <w:sz w:val="16"/>
                <w:szCs w:val="16"/>
              </w:rPr>
            </w:pPr>
            <w:r w:rsidRPr="00E61612">
              <w:rPr>
                <w:rFonts w:eastAsia="Times New Roman" w:cs="Calibri"/>
                <w:i/>
                <w:sz w:val="16"/>
                <w:szCs w:val="16"/>
              </w:rPr>
              <w:t>1,032,960</w:t>
            </w:r>
          </w:p>
        </w:tc>
        <w:tc>
          <w:tcPr>
            <w:tcW w:w="851"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0"/>
              <w:rPr>
                <w:rFonts w:eastAsia="Times New Roman" w:cs="Calibri"/>
                <w:i/>
                <w:sz w:val="16"/>
                <w:szCs w:val="16"/>
              </w:rPr>
            </w:pPr>
            <w:r w:rsidRPr="00E61612">
              <w:rPr>
                <w:rFonts w:eastAsia="Times New Roman" w:cs="Calibri"/>
                <w:i/>
                <w:sz w:val="16"/>
                <w:szCs w:val="16"/>
              </w:rPr>
              <w:t>33,076</w:t>
            </w:r>
          </w:p>
        </w:tc>
        <w:tc>
          <w:tcPr>
            <w:tcW w:w="992"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0"/>
              <w:rPr>
                <w:rFonts w:eastAsia="Times New Roman" w:cs="Calibri"/>
                <w:i/>
                <w:sz w:val="16"/>
                <w:szCs w:val="16"/>
              </w:rPr>
            </w:pPr>
            <w:r w:rsidRPr="00E61612">
              <w:rPr>
                <w:rFonts w:eastAsia="Times New Roman" w:cs="Calibri"/>
                <w:i/>
                <w:sz w:val="16"/>
                <w:szCs w:val="16"/>
              </w:rPr>
              <w:t>270,000</w:t>
            </w:r>
          </w:p>
        </w:tc>
        <w:tc>
          <w:tcPr>
            <w:tcW w:w="992" w:type="dxa"/>
            <w:gridSpan w:val="2"/>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0"/>
              <w:rPr>
                <w:rFonts w:eastAsia="Times New Roman" w:cs="Calibri"/>
                <w:i/>
                <w:sz w:val="16"/>
                <w:szCs w:val="16"/>
              </w:rPr>
            </w:pPr>
            <w:r w:rsidRPr="00E61612">
              <w:rPr>
                <w:rFonts w:eastAsia="Times New Roman" w:cs="Calibri"/>
                <w:i/>
                <w:sz w:val="16"/>
                <w:szCs w:val="16"/>
              </w:rPr>
              <w:t>303,076</w:t>
            </w:r>
          </w:p>
        </w:tc>
        <w:tc>
          <w:tcPr>
            <w:tcW w:w="992"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0"/>
              <w:rPr>
                <w:rFonts w:eastAsia="Times New Roman" w:cs="Calibri"/>
                <w:i/>
                <w:sz w:val="16"/>
                <w:szCs w:val="16"/>
              </w:rPr>
            </w:pPr>
            <w:r w:rsidRPr="00E61612">
              <w:rPr>
                <w:rFonts w:eastAsia="Times New Roman" w:cs="Calibri"/>
                <w:i/>
                <w:sz w:val="16"/>
                <w:szCs w:val="16"/>
              </w:rPr>
              <w:t>1,032,960</w:t>
            </w:r>
          </w:p>
        </w:tc>
        <w:tc>
          <w:tcPr>
            <w:tcW w:w="993"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0"/>
              <w:rPr>
                <w:rFonts w:eastAsia="Times New Roman" w:cs="Calibri"/>
                <w:i/>
                <w:sz w:val="16"/>
                <w:szCs w:val="16"/>
              </w:rPr>
            </w:pPr>
            <w:r w:rsidRPr="00E61612">
              <w:rPr>
                <w:rFonts w:eastAsia="Times New Roman" w:cs="Calibri"/>
                <w:i/>
                <w:sz w:val="16"/>
                <w:szCs w:val="16"/>
              </w:rPr>
              <w:t>1,336,036</w:t>
            </w:r>
          </w:p>
        </w:tc>
        <w:tc>
          <w:tcPr>
            <w:tcW w:w="992"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0"/>
              <w:rPr>
                <w:rFonts w:eastAsia="Times New Roman" w:cs="Calibri"/>
                <w:i/>
                <w:sz w:val="16"/>
                <w:szCs w:val="16"/>
              </w:rPr>
            </w:pPr>
            <w:r w:rsidRPr="00E61612">
              <w:rPr>
                <w:rFonts w:eastAsia="Times New Roman" w:cs="Calibri"/>
                <w:i/>
                <w:sz w:val="16"/>
                <w:szCs w:val="16"/>
              </w:rPr>
              <w:t>250,000</w:t>
            </w:r>
          </w:p>
        </w:tc>
        <w:tc>
          <w:tcPr>
            <w:tcW w:w="992"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0"/>
              <w:rPr>
                <w:rFonts w:eastAsia="Times New Roman" w:cs="Calibri"/>
                <w:i/>
                <w:sz w:val="16"/>
                <w:szCs w:val="16"/>
              </w:rPr>
            </w:pPr>
            <w:r w:rsidRPr="00E61612">
              <w:rPr>
                <w:rFonts w:eastAsia="Times New Roman" w:cs="Calibri"/>
                <w:i/>
                <w:sz w:val="16"/>
                <w:szCs w:val="16"/>
              </w:rPr>
              <w:t>11,926</w:t>
            </w:r>
          </w:p>
        </w:tc>
        <w:tc>
          <w:tcPr>
            <w:tcW w:w="992" w:type="dxa"/>
            <w:tcBorders>
              <w:top w:val="single" w:sz="4" w:space="0" w:color="auto"/>
              <w:left w:val="single" w:sz="4" w:space="0" w:color="auto"/>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0"/>
              <w:rPr>
                <w:rFonts w:eastAsia="Times New Roman" w:cs="Calibri"/>
                <w:i/>
                <w:sz w:val="16"/>
                <w:szCs w:val="16"/>
              </w:rPr>
            </w:pPr>
            <w:r w:rsidRPr="00E61612">
              <w:rPr>
                <w:rFonts w:eastAsia="Times New Roman" w:cs="Calibri"/>
                <w:i/>
                <w:sz w:val="16"/>
                <w:szCs w:val="16"/>
              </w:rPr>
              <w:t>(1,074,110)</w:t>
            </w:r>
          </w:p>
        </w:tc>
        <w:tc>
          <w:tcPr>
            <w:tcW w:w="851"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0"/>
              <w:rPr>
                <w:rFonts w:eastAsia="Times New Roman" w:cs="Calibri"/>
                <w:i/>
                <w:sz w:val="16"/>
                <w:szCs w:val="16"/>
              </w:rPr>
            </w:pPr>
            <w:r w:rsidRPr="00E61612">
              <w:rPr>
                <w:rFonts w:eastAsia="Times New Roman" w:cs="Calibri"/>
                <w:i/>
                <w:sz w:val="16"/>
                <w:szCs w:val="16"/>
              </w:rPr>
              <w:t>-</w:t>
            </w:r>
          </w:p>
        </w:tc>
        <w:tc>
          <w:tcPr>
            <w:tcW w:w="1134"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0"/>
              <w:rPr>
                <w:rFonts w:eastAsia="Times New Roman" w:cs="Calibri"/>
                <w:i/>
                <w:sz w:val="16"/>
                <w:szCs w:val="16"/>
              </w:rPr>
            </w:pPr>
            <w:r w:rsidRPr="00E61612">
              <w:rPr>
                <w:rFonts w:eastAsia="Times New Roman" w:cs="Calibri"/>
                <w:i/>
                <w:sz w:val="16"/>
                <w:szCs w:val="16"/>
              </w:rPr>
              <w:t>1,336,036</w:t>
            </w:r>
          </w:p>
        </w:tc>
      </w:tr>
      <w:tr w:rsidR="00B951B1" w:rsidRPr="00E61612" w:rsidTr="00CB78E6">
        <w:trPr>
          <w:trHeight w:val="765"/>
          <w:jc w:val="center"/>
        </w:trPr>
        <w:tc>
          <w:tcPr>
            <w:tcW w:w="992" w:type="dxa"/>
            <w:vMerge/>
            <w:tcBorders>
              <w:top w:val="nil"/>
              <w:left w:val="single" w:sz="4" w:space="0" w:color="auto"/>
              <w:bottom w:val="single" w:sz="4" w:space="0" w:color="auto"/>
              <w:right w:val="single" w:sz="4" w:space="0" w:color="auto"/>
            </w:tcBorders>
            <w:shd w:val="clear" w:color="auto" w:fill="FFFFFF"/>
            <w:hideMark/>
          </w:tcPr>
          <w:p w:rsidR="00B951B1" w:rsidRPr="00E61612" w:rsidRDefault="00B951B1" w:rsidP="00CB78E6">
            <w:pPr>
              <w:spacing w:after="0"/>
              <w:outlineLvl w:val="1"/>
              <w:rPr>
                <w:rFonts w:eastAsia="Times New Roman" w:cs="Calibri"/>
                <w:sz w:val="16"/>
                <w:szCs w:val="16"/>
              </w:rPr>
            </w:pPr>
          </w:p>
        </w:tc>
        <w:tc>
          <w:tcPr>
            <w:tcW w:w="993" w:type="dxa"/>
            <w:vMerge w:val="restart"/>
            <w:tcBorders>
              <w:top w:val="nil"/>
              <w:left w:val="single" w:sz="4" w:space="0" w:color="auto"/>
              <w:bottom w:val="single" w:sz="4" w:space="0" w:color="auto"/>
              <w:right w:val="single" w:sz="4" w:space="0" w:color="auto"/>
            </w:tcBorders>
            <w:shd w:val="clear" w:color="auto" w:fill="FFFFFF"/>
            <w:hideMark/>
          </w:tcPr>
          <w:p w:rsidR="00B951B1" w:rsidRPr="00E61612" w:rsidRDefault="00B951B1" w:rsidP="00CB78E6">
            <w:pPr>
              <w:spacing w:after="0"/>
              <w:outlineLvl w:val="1"/>
              <w:rPr>
                <w:rFonts w:eastAsia="Times New Roman" w:cs="Calibri"/>
                <w:sz w:val="16"/>
                <w:szCs w:val="16"/>
              </w:rPr>
            </w:pPr>
            <w:r w:rsidRPr="00E61612">
              <w:rPr>
                <w:rFonts w:eastAsia="Times New Roman" w:cs="Calibri"/>
                <w:sz w:val="16"/>
                <w:szCs w:val="16"/>
              </w:rPr>
              <w:t>A4. Zhvillimi i kompetencës digjitale përmes shfrytëzimit më të mirë të teknologjis</w:t>
            </w:r>
            <w:r w:rsidRPr="00E61612">
              <w:rPr>
                <w:rFonts w:eastAsia="Times New Roman" w:cs="Calibri"/>
                <w:sz w:val="16"/>
                <w:szCs w:val="16"/>
              </w:rPr>
              <w:lastRenderedPageBreak/>
              <w:t xml:space="preserve">ë së informacionit dhe komunikimit </w:t>
            </w:r>
            <w:r>
              <w:rPr>
                <w:rFonts w:eastAsia="Times New Roman" w:cs="Calibri"/>
                <w:sz w:val="16"/>
                <w:szCs w:val="16"/>
              </w:rPr>
              <w:t>në</w:t>
            </w:r>
            <w:r w:rsidRPr="00E61612">
              <w:rPr>
                <w:rFonts w:eastAsia="Times New Roman" w:cs="Calibri"/>
                <w:sz w:val="16"/>
                <w:szCs w:val="16"/>
              </w:rPr>
              <w:t xml:space="preserve"> mësimdhënie dhe të nxën</w:t>
            </w:r>
            <w:r>
              <w:rPr>
                <w:rFonts w:eastAsia="Times New Roman" w:cs="Calibri"/>
                <w:sz w:val="16"/>
                <w:szCs w:val="16"/>
              </w:rPr>
              <w:t>it</w:t>
            </w:r>
          </w:p>
        </w:tc>
        <w:tc>
          <w:tcPr>
            <w:tcW w:w="992" w:type="dxa"/>
            <w:vMerge w:val="restart"/>
            <w:tcBorders>
              <w:top w:val="nil"/>
              <w:left w:val="single" w:sz="4" w:space="0" w:color="auto"/>
              <w:bottom w:val="single" w:sz="4" w:space="0" w:color="000000"/>
              <w:right w:val="single" w:sz="4" w:space="0" w:color="auto"/>
            </w:tcBorders>
            <w:shd w:val="clear" w:color="auto" w:fill="FFFFFF"/>
            <w:hideMark/>
          </w:tcPr>
          <w:p w:rsidR="00B951B1" w:rsidRPr="00E61612" w:rsidRDefault="00B951B1" w:rsidP="00CB78E6">
            <w:pPr>
              <w:spacing w:after="0"/>
              <w:outlineLvl w:val="1"/>
              <w:rPr>
                <w:rFonts w:eastAsia="Times New Roman" w:cs="Calibri"/>
                <w:sz w:val="16"/>
                <w:szCs w:val="16"/>
              </w:rPr>
            </w:pPr>
            <w:r w:rsidRPr="00E61612">
              <w:rPr>
                <w:rFonts w:eastAsia="Times New Roman" w:cs="Calibri"/>
                <w:sz w:val="16"/>
                <w:szCs w:val="16"/>
              </w:rPr>
              <w:lastRenderedPageBreak/>
              <w:t xml:space="preserve">A4.1. Krijimi i infrastrukturës së përshtatshme për shfrytëzimin e TIK-ut në shkolla </w:t>
            </w:r>
            <w:r w:rsidRPr="00E61612">
              <w:rPr>
                <w:rFonts w:eastAsia="Times New Roman" w:cs="Calibri"/>
                <w:sz w:val="16"/>
                <w:szCs w:val="16"/>
              </w:rPr>
              <w:lastRenderedPageBreak/>
              <w:t>dhe mirëmbajtja e saj</w:t>
            </w:r>
          </w:p>
        </w:tc>
        <w:tc>
          <w:tcPr>
            <w:tcW w:w="1309" w:type="dxa"/>
            <w:tcBorders>
              <w:top w:val="nil"/>
              <w:left w:val="nil"/>
              <w:bottom w:val="single" w:sz="4" w:space="0" w:color="auto"/>
              <w:right w:val="single" w:sz="4" w:space="0" w:color="auto"/>
            </w:tcBorders>
            <w:shd w:val="clear" w:color="auto" w:fill="FFFFFF"/>
            <w:hideMark/>
          </w:tcPr>
          <w:p w:rsidR="00B951B1" w:rsidRPr="00E61612" w:rsidRDefault="00B951B1" w:rsidP="00CB78E6">
            <w:pPr>
              <w:spacing w:after="0"/>
              <w:outlineLvl w:val="1"/>
              <w:rPr>
                <w:rFonts w:eastAsia="Times New Roman" w:cs="Calibri"/>
                <w:sz w:val="16"/>
                <w:szCs w:val="16"/>
              </w:rPr>
            </w:pPr>
            <w:r w:rsidRPr="00E61612">
              <w:rPr>
                <w:rFonts w:eastAsia="Times New Roman" w:cs="Calibri"/>
                <w:sz w:val="16"/>
                <w:szCs w:val="16"/>
              </w:rPr>
              <w:lastRenderedPageBreak/>
              <w:t>A4.1.1. Përcaktimi i standardeve për pajisjet e TIK-ut në shkolla</w:t>
            </w:r>
          </w:p>
        </w:tc>
        <w:tc>
          <w:tcPr>
            <w:tcW w:w="1067" w:type="dxa"/>
            <w:tcBorders>
              <w:top w:val="nil"/>
              <w:left w:val="single" w:sz="4" w:space="0" w:color="auto"/>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w:t>
            </w:r>
          </w:p>
        </w:tc>
        <w:tc>
          <w:tcPr>
            <w:tcW w:w="851"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3,840</w:t>
            </w:r>
          </w:p>
        </w:tc>
        <w:tc>
          <w:tcPr>
            <w:tcW w:w="992"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w:t>
            </w:r>
          </w:p>
        </w:tc>
        <w:tc>
          <w:tcPr>
            <w:tcW w:w="992" w:type="dxa"/>
            <w:gridSpan w:val="2"/>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3,840</w:t>
            </w:r>
          </w:p>
        </w:tc>
        <w:tc>
          <w:tcPr>
            <w:tcW w:w="992"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w:t>
            </w:r>
          </w:p>
        </w:tc>
        <w:tc>
          <w:tcPr>
            <w:tcW w:w="993"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3,840</w:t>
            </w:r>
          </w:p>
        </w:tc>
        <w:tc>
          <w:tcPr>
            <w:tcW w:w="992"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w:t>
            </w:r>
          </w:p>
        </w:tc>
        <w:tc>
          <w:tcPr>
            <w:tcW w:w="992"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3,840</w:t>
            </w:r>
          </w:p>
        </w:tc>
        <w:tc>
          <w:tcPr>
            <w:tcW w:w="992"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w:t>
            </w:r>
          </w:p>
        </w:tc>
        <w:tc>
          <w:tcPr>
            <w:tcW w:w="851"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w:t>
            </w:r>
          </w:p>
        </w:tc>
        <w:tc>
          <w:tcPr>
            <w:tcW w:w="1134"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3,840</w:t>
            </w:r>
          </w:p>
        </w:tc>
      </w:tr>
      <w:tr w:rsidR="00B951B1" w:rsidRPr="00E61612" w:rsidTr="00CB78E6">
        <w:trPr>
          <w:trHeight w:val="920"/>
          <w:jc w:val="center"/>
        </w:trPr>
        <w:tc>
          <w:tcPr>
            <w:tcW w:w="992" w:type="dxa"/>
            <w:vMerge/>
            <w:tcBorders>
              <w:top w:val="nil"/>
              <w:left w:val="single" w:sz="4" w:space="0" w:color="auto"/>
              <w:bottom w:val="single" w:sz="4" w:space="0" w:color="auto"/>
              <w:right w:val="single" w:sz="4" w:space="0" w:color="auto"/>
            </w:tcBorders>
            <w:shd w:val="clear" w:color="auto" w:fill="FFFFFF"/>
            <w:hideMark/>
          </w:tcPr>
          <w:p w:rsidR="00B951B1" w:rsidRPr="00E61612" w:rsidRDefault="00B951B1" w:rsidP="00CB78E6">
            <w:pPr>
              <w:spacing w:after="0"/>
              <w:outlineLvl w:val="1"/>
              <w:rPr>
                <w:rFonts w:eastAsia="Times New Roman" w:cs="Calibri"/>
                <w:sz w:val="16"/>
                <w:szCs w:val="16"/>
              </w:rPr>
            </w:pPr>
          </w:p>
        </w:tc>
        <w:tc>
          <w:tcPr>
            <w:tcW w:w="993" w:type="dxa"/>
            <w:vMerge/>
            <w:tcBorders>
              <w:top w:val="nil"/>
              <w:left w:val="single" w:sz="4" w:space="0" w:color="auto"/>
              <w:bottom w:val="single" w:sz="4" w:space="0" w:color="auto"/>
              <w:right w:val="single" w:sz="4" w:space="0" w:color="auto"/>
            </w:tcBorders>
            <w:shd w:val="clear" w:color="auto" w:fill="FFFFFF"/>
            <w:hideMark/>
          </w:tcPr>
          <w:p w:rsidR="00B951B1" w:rsidRPr="00E61612" w:rsidRDefault="00B951B1" w:rsidP="00CB78E6">
            <w:pPr>
              <w:spacing w:after="0"/>
              <w:outlineLvl w:val="1"/>
              <w:rPr>
                <w:rFonts w:eastAsia="Times New Roman" w:cs="Calibri"/>
                <w:sz w:val="16"/>
                <w:szCs w:val="16"/>
              </w:rPr>
            </w:pPr>
          </w:p>
        </w:tc>
        <w:tc>
          <w:tcPr>
            <w:tcW w:w="992" w:type="dxa"/>
            <w:vMerge/>
            <w:tcBorders>
              <w:top w:val="nil"/>
              <w:left w:val="single" w:sz="4" w:space="0" w:color="auto"/>
              <w:bottom w:val="single" w:sz="4" w:space="0" w:color="000000"/>
              <w:right w:val="single" w:sz="4" w:space="0" w:color="auto"/>
            </w:tcBorders>
            <w:shd w:val="clear" w:color="auto" w:fill="FFFFFF"/>
            <w:hideMark/>
          </w:tcPr>
          <w:p w:rsidR="00B951B1" w:rsidRPr="00E61612" w:rsidRDefault="00B951B1" w:rsidP="00CB78E6">
            <w:pPr>
              <w:spacing w:after="0"/>
              <w:outlineLvl w:val="1"/>
              <w:rPr>
                <w:rFonts w:eastAsia="Times New Roman" w:cs="Calibri"/>
                <w:sz w:val="16"/>
                <w:szCs w:val="16"/>
              </w:rPr>
            </w:pPr>
          </w:p>
        </w:tc>
        <w:tc>
          <w:tcPr>
            <w:tcW w:w="1309" w:type="dxa"/>
            <w:tcBorders>
              <w:top w:val="nil"/>
              <w:left w:val="nil"/>
              <w:bottom w:val="single" w:sz="4" w:space="0" w:color="auto"/>
              <w:right w:val="single" w:sz="4" w:space="0" w:color="auto"/>
            </w:tcBorders>
            <w:shd w:val="clear" w:color="auto" w:fill="FFFFFF"/>
            <w:hideMark/>
          </w:tcPr>
          <w:p w:rsidR="00B951B1" w:rsidRPr="00E61612" w:rsidRDefault="00B951B1" w:rsidP="00CB78E6">
            <w:pPr>
              <w:spacing w:after="0"/>
              <w:outlineLvl w:val="1"/>
              <w:rPr>
                <w:rFonts w:eastAsia="Times New Roman" w:cs="Calibri"/>
                <w:sz w:val="16"/>
                <w:szCs w:val="16"/>
              </w:rPr>
            </w:pPr>
            <w:r w:rsidRPr="00E61612">
              <w:rPr>
                <w:rFonts w:eastAsia="Times New Roman" w:cs="Calibri"/>
                <w:sz w:val="16"/>
                <w:szCs w:val="16"/>
              </w:rPr>
              <w:t>A4.1.2. Instalimi i rrjeteve wireless ne shkolla</w:t>
            </w:r>
          </w:p>
        </w:tc>
        <w:tc>
          <w:tcPr>
            <w:tcW w:w="1067" w:type="dxa"/>
            <w:tcBorders>
              <w:top w:val="nil"/>
              <w:left w:val="single" w:sz="4" w:space="0" w:color="auto"/>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w:t>
            </w:r>
          </w:p>
        </w:tc>
        <w:tc>
          <w:tcPr>
            <w:tcW w:w="851"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60,000</w:t>
            </w:r>
          </w:p>
        </w:tc>
        <w:tc>
          <w:tcPr>
            <w:tcW w:w="992"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504,000</w:t>
            </w:r>
          </w:p>
        </w:tc>
        <w:tc>
          <w:tcPr>
            <w:tcW w:w="992" w:type="dxa"/>
            <w:gridSpan w:val="2"/>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564,000</w:t>
            </w:r>
          </w:p>
        </w:tc>
        <w:tc>
          <w:tcPr>
            <w:tcW w:w="992"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w:t>
            </w:r>
          </w:p>
        </w:tc>
        <w:tc>
          <w:tcPr>
            <w:tcW w:w="993"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564,000</w:t>
            </w:r>
          </w:p>
        </w:tc>
        <w:tc>
          <w:tcPr>
            <w:tcW w:w="992"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w:t>
            </w:r>
          </w:p>
        </w:tc>
        <w:tc>
          <w:tcPr>
            <w:tcW w:w="992"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60,000</w:t>
            </w:r>
          </w:p>
        </w:tc>
        <w:tc>
          <w:tcPr>
            <w:tcW w:w="992"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(504,000)</w:t>
            </w:r>
          </w:p>
        </w:tc>
        <w:tc>
          <w:tcPr>
            <w:tcW w:w="851"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w:t>
            </w:r>
          </w:p>
        </w:tc>
        <w:tc>
          <w:tcPr>
            <w:tcW w:w="1134"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564,000</w:t>
            </w:r>
          </w:p>
        </w:tc>
      </w:tr>
      <w:tr w:rsidR="00B951B1" w:rsidRPr="00E61612" w:rsidTr="00CB78E6">
        <w:trPr>
          <w:trHeight w:val="4845"/>
          <w:jc w:val="center"/>
        </w:trPr>
        <w:tc>
          <w:tcPr>
            <w:tcW w:w="992" w:type="dxa"/>
            <w:vMerge/>
            <w:tcBorders>
              <w:top w:val="nil"/>
              <w:left w:val="single" w:sz="4" w:space="0" w:color="auto"/>
              <w:bottom w:val="single" w:sz="4" w:space="0" w:color="auto"/>
              <w:right w:val="single" w:sz="4" w:space="0" w:color="auto"/>
            </w:tcBorders>
            <w:shd w:val="clear" w:color="auto" w:fill="FFFFFF"/>
            <w:hideMark/>
          </w:tcPr>
          <w:p w:rsidR="00B951B1" w:rsidRPr="00E61612" w:rsidRDefault="00B951B1" w:rsidP="00CB78E6">
            <w:pPr>
              <w:spacing w:after="0"/>
              <w:outlineLvl w:val="1"/>
              <w:rPr>
                <w:rFonts w:eastAsia="Times New Roman" w:cs="Calibri"/>
                <w:sz w:val="16"/>
                <w:szCs w:val="16"/>
              </w:rPr>
            </w:pPr>
          </w:p>
        </w:tc>
        <w:tc>
          <w:tcPr>
            <w:tcW w:w="993" w:type="dxa"/>
            <w:vMerge/>
            <w:tcBorders>
              <w:top w:val="nil"/>
              <w:left w:val="single" w:sz="4" w:space="0" w:color="auto"/>
              <w:bottom w:val="single" w:sz="4" w:space="0" w:color="auto"/>
              <w:right w:val="single" w:sz="4" w:space="0" w:color="auto"/>
            </w:tcBorders>
            <w:shd w:val="clear" w:color="auto" w:fill="FFFFFF"/>
            <w:hideMark/>
          </w:tcPr>
          <w:p w:rsidR="00B951B1" w:rsidRPr="00E61612" w:rsidRDefault="00B951B1" w:rsidP="00CB78E6">
            <w:pPr>
              <w:spacing w:after="0"/>
              <w:outlineLvl w:val="1"/>
              <w:rPr>
                <w:rFonts w:eastAsia="Times New Roman" w:cs="Calibri"/>
                <w:sz w:val="16"/>
                <w:szCs w:val="16"/>
              </w:rPr>
            </w:pPr>
          </w:p>
        </w:tc>
        <w:tc>
          <w:tcPr>
            <w:tcW w:w="992" w:type="dxa"/>
            <w:vMerge/>
            <w:tcBorders>
              <w:top w:val="nil"/>
              <w:left w:val="single" w:sz="4" w:space="0" w:color="auto"/>
              <w:bottom w:val="single" w:sz="4" w:space="0" w:color="000000"/>
              <w:right w:val="single" w:sz="4" w:space="0" w:color="auto"/>
            </w:tcBorders>
            <w:shd w:val="clear" w:color="auto" w:fill="FFFFFF"/>
            <w:hideMark/>
          </w:tcPr>
          <w:p w:rsidR="00B951B1" w:rsidRPr="00E61612" w:rsidRDefault="00B951B1" w:rsidP="00CB78E6">
            <w:pPr>
              <w:spacing w:after="0"/>
              <w:outlineLvl w:val="1"/>
              <w:rPr>
                <w:rFonts w:eastAsia="Times New Roman" w:cs="Calibri"/>
                <w:sz w:val="16"/>
                <w:szCs w:val="16"/>
              </w:rPr>
            </w:pPr>
          </w:p>
        </w:tc>
        <w:tc>
          <w:tcPr>
            <w:tcW w:w="1309" w:type="dxa"/>
            <w:tcBorders>
              <w:top w:val="nil"/>
              <w:left w:val="nil"/>
              <w:bottom w:val="single" w:sz="4" w:space="0" w:color="auto"/>
              <w:right w:val="single" w:sz="4" w:space="0" w:color="auto"/>
            </w:tcBorders>
            <w:shd w:val="clear" w:color="auto" w:fill="FFFFFF"/>
            <w:hideMark/>
          </w:tcPr>
          <w:p w:rsidR="00B951B1" w:rsidRPr="00E61612" w:rsidRDefault="00B951B1" w:rsidP="00CB78E6">
            <w:pPr>
              <w:spacing w:after="0"/>
              <w:outlineLvl w:val="1"/>
              <w:rPr>
                <w:rFonts w:eastAsia="Times New Roman" w:cs="Calibri"/>
                <w:sz w:val="16"/>
                <w:szCs w:val="16"/>
              </w:rPr>
            </w:pPr>
            <w:r w:rsidRPr="00E61612">
              <w:rPr>
                <w:rFonts w:eastAsia="Times New Roman" w:cs="Calibri"/>
                <w:sz w:val="16"/>
                <w:szCs w:val="16"/>
              </w:rPr>
              <w:t>A4.1.3. Investim për shtimin e pajisjeve digjitale në shkolla</w:t>
            </w:r>
          </w:p>
        </w:tc>
        <w:tc>
          <w:tcPr>
            <w:tcW w:w="1067" w:type="dxa"/>
            <w:tcBorders>
              <w:top w:val="nil"/>
              <w:left w:val="single" w:sz="4" w:space="0" w:color="auto"/>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w:t>
            </w:r>
          </w:p>
        </w:tc>
        <w:tc>
          <w:tcPr>
            <w:tcW w:w="851"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w:t>
            </w:r>
          </w:p>
        </w:tc>
        <w:tc>
          <w:tcPr>
            <w:tcW w:w="992"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3,707,197</w:t>
            </w:r>
          </w:p>
        </w:tc>
        <w:tc>
          <w:tcPr>
            <w:tcW w:w="992" w:type="dxa"/>
            <w:gridSpan w:val="2"/>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3,707,197</w:t>
            </w:r>
          </w:p>
        </w:tc>
        <w:tc>
          <w:tcPr>
            <w:tcW w:w="992"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w:t>
            </w:r>
          </w:p>
        </w:tc>
        <w:tc>
          <w:tcPr>
            <w:tcW w:w="993"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3,707,197</w:t>
            </w:r>
          </w:p>
        </w:tc>
        <w:tc>
          <w:tcPr>
            <w:tcW w:w="992"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473,770</w:t>
            </w:r>
          </w:p>
        </w:tc>
        <w:tc>
          <w:tcPr>
            <w:tcW w:w="992"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w:t>
            </w:r>
          </w:p>
        </w:tc>
        <w:tc>
          <w:tcPr>
            <w:tcW w:w="992"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(3,233,427)</w:t>
            </w:r>
          </w:p>
        </w:tc>
        <w:tc>
          <w:tcPr>
            <w:tcW w:w="851"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w:t>
            </w:r>
          </w:p>
        </w:tc>
        <w:tc>
          <w:tcPr>
            <w:tcW w:w="1134"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3,707,197</w:t>
            </w:r>
          </w:p>
        </w:tc>
      </w:tr>
      <w:tr w:rsidR="00B951B1" w:rsidRPr="00E61612" w:rsidTr="00CB78E6">
        <w:trPr>
          <w:trHeight w:val="1833"/>
          <w:jc w:val="center"/>
        </w:trPr>
        <w:tc>
          <w:tcPr>
            <w:tcW w:w="992" w:type="dxa"/>
            <w:vMerge/>
            <w:tcBorders>
              <w:top w:val="nil"/>
              <w:left w:val="single" w:sz="4" w:space="0" w:color="auto"/>
              <w:bottom w:val="single" w:sz="4" w:space="0" w:color="auto"/>
              <w:right w:val="single" w:sz="4" w:space="0" w:color="auto"/>
            </w:tcBorders>
            <w:shd w:val="clear" w:color="auto" w:fill="FFFFFF"/>
            <w:hideMark/>
          </w:tcPr>
          <w:p w:rsidR="00B951B1" w:rsidRPr="00E61612" w:rsidRDefault="00B951B1" w:rsidP="00CB78E6">
            <w:pPr>
              <w:spacing w:after="0"/>
              <w:outlineLvl w:val="1"/>
              <w:rPr>
                <w:rFonts w:eastAsia="Times New Roman" w:cs="Calibri"/>
                <w:sz w:val="16"/>
                <w:szCs w:val="16"/>
              </w:rPr>
            </w:pPr>
          </w:p>
        </w:tc>
        <w:tc>
          <w:tcPr>
            <w:tcW w:w="993" w:type="dxa"/>
            <w:vMerge/>
            <w:tcBorders>
              <w:top w:val="nil"/>
              <w:left w:val="single" w:sz="4" w:space="0" w:color="auto"/>
              <w:bottom w:val="single" w:sz="4" w:space="0" w:color="auto"/>
              <w:right w:val="single" w:sz="4" w:space="0" w:color="auto"/>
            </w:tcBorders>
            <w:shd w:val="clear" w:color="auto" w:fill="FFFFFF"/>
            <w:hideMark/>
          </w:tcPr>
          <w:p w:rsidR="00B951B1" w:rsidRPr="00E61612" w:rsidRDefault="00B951B1" w:rsidP="00CB78E6">
            <w:pPr>
              <w:spacing w:after="0"/>
              <w:outlineLvl w:val="1"/>
              <w:rPr>
                <w:rFonts w:eastAsia="Times New Roman" w:cs="Calibri"/>
                <w:sz w:val="16"/>
                <w:szCs w:val="16"/>
              </w:rPr>
            </w:pPr>
          </w:p>
        </w:tc>
        <w:tc>
          <w:tcPr>
            <w:tcW w:w="992" w:type="dxa"/>
            <w:vMerge/>
            <w:tcBorders>
              <w:top w:val="nil"/>
              <w:left w:val="single" w:sz="4" w:space="0" w:color="auto"/>
              <w:bottom w:val="single" w:sz="4" w:space="0" w:color="000000"/>
              <w:right w:val="single" w:sz="4" w:space="0" w:color="auto"/>
            </w:tcBorders>
            <w:shd w:val="clear" w:color="auto" w:fill="FFFFFF"/>
            <w:hideMark/>
          </w:tcPr>
          <w:p w:rsidR="00B951B1" w:rsidRPr="00E61612" w:rsidRDefault="00B951B1" w:rsidP="00CB78E6">
            <w:pPr>
              <w:spacing w:after="0"/>
              <w:outlineLvl w:val="1"/>
              <w:rPr>
                <w:rFonts w:eastAsia="Times New Roman" w:cs="Calibri"/>
                <w:sz w:val="16"/>
                <w:szCs w:val="16"/>
              </w:rPr>
            </w:pPr>
          </w:p>
        </w:tc>
        <w:tc>
          <w:tcPr>
            <w:tcW w:w="1309" w:type="dxa"/>
            <w:tcBorders>
              <w:top w:val="nil"/>
              <w:left w:val="nil"/>
              <w:bottom w:val="single" w:sz="4" w:space="0" w:color="auto"/>
              <w:right w:val="single" w:sz="4" w:space="0" w:color="auto"/>
            </w:tcBorders>
            <w:shd w:val="clear" w:color="auto" w:fill="FFFFFF"/>
            <w:hideMark/>
          </w:tcPr>
          <w:p w:rsidR="00B951B1" w:rsidRPr="00E61612" w:rsidRDefault="00B951B1" w:rsidP="00CB78E6">
            <w:pPr>
              <w:spacing w:after="0"/>
              <w:outlineLvl w:val="1"/>
              <w:rPr>
                <w:rFonts w:eastAsia="Times New Roman" w:cs="Calibri"/>
                <w:sz w:val="16"/>
                <w:szCs w:val="16"/>
              </w:rPr>
            </w:pPr>
            <w:r w:rsidRPr="00E61612">
              <w:rPr>
                <w:rFonts w:eastAsia="Times New Roman" w:cs="Calibri"/>
                <w:sz w:val="16"/>
                <w:szCs w:val="16"/>
              </w:rPr>
              <w:t>A4.1.4. Mirëmbajtja teknike e pajisjeve të TIK-ut përmes klubeve te nxënësve dhe strukturës arsimore lokale</w:t>
            </w:r>
          </w:p>
        </w:tc>
        <w:tc>
          <w:tcPr>
            <w:tcW w:w="1067" w:type="dxa"/>
            <w:tcBorders>
              <w:top w:val="nil"/>
              <w:left w:val="single" w:sz="4" w:space="0" w:color="auto"/>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293,435</w:t>
            </w:r>
          </w:p>
        </w:tc>
        <w:tc>
          <w:tcPr>
            <w:tcW w:w="851"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268,880</w:t>
            </w:r>
          </w:p>
        </w:tc>
        <w:tc>
          <w:tcPr>
            <w:tcW w:w="992"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w:t>
            </w:r>
          </w:p>
        </w:tc>
        <w:tc>
          <w:tcPr>
            <w:tcW w:w="992" w:type="dxa"/>
            <w:gridSpan w:val="2"/>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3,480</w:t>
            </w:r>
          </w:p>
        </w:tc>
        <w:tc>
          <w:tcPr>
            <w:tcW w:w="992"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558,835</w:t>
            </w:r>
          </w:p>
        </w:tc>
        <w:tc>
          <w:tcPr>
            <w:tcW w:w="993"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562,315</w:t>
            </w:r>
          </w:p>
        </w:tc>
        <w:tc>
          <w:tcPr>
            <w:tcW w:w="992"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w:t>
            </w:r>
          </w:p>
        </w:tc>
        <w:tc>
          <w:tcPr>
            <w:tcW w:w="992"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w:t>
            </w:r>
          </w:p>
        </w:tc>
        <w:tc>
          <w:tcPr>
            <w:tcW w:w="992"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(562,315)</w:t>
            </w:r>
          </w:p>
        </w:tc>
        <w:tc>
          <w:tcPr>
            <w:tcW w:w="851"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w:t>
            </w:r>
          </w:p>
        </w:tc>
        <w:tc>
          <w:tcPr>
            <w:tcW w:w="1134"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562,315</w:t>
            </w:r>
          </w:p>
        </w:tc>
      </w:tr>
      <w:tr w:rsidR="00B951B1" w:rsidRPr="00E61612" w:rsidTr="00CB78E6">
        <w:trPr>
          <w:trHeight w:val="765"/>
          <w:jc w:val="center"/>
        </w:trPr>
        <w:tc>
          <w:tcPr>
            <w:tcW w:w="992" w:type="dxa"/>
            <w:vMerge/>
            <w:tcBorders>
              <w:top w:val="nil"/>
              <w:left w:val="single" w:sz="4" w:space="0" w:color="auto"/>
              <w:bottom w:val="single" w:sz="4" w:space="0" w:color="auto"/>
              <w:right w:val="single" w:sz="4" w:space="0" w:color="auto"/>
            </w:tcBorders>
            <w:shd w:val="clear" w:color="auto" w:fill="FFFFFF"/>
            <w:hideMark/>
          </w:tcPr>
          <w:p w:rsidR="00B951B1" w:rsidRPr="00E61612" w:rsidRDefault="00B951B1" w:rsidP="00CB78E6">
            <w:pPr>
              <w:spacing w:after="0"/>
              <w:outlineLvl w:val="1"/>
              <w:rPr>
                <w:rFonts w:eastAsia="Times New Roman" w:cs="Calibri"/>
                <w:sz w:val="16"/>
                <w:szCs w:val="16"/>
              </w:rPr>
            </w:pPr>
          </w:p>
        </w:tc>
        <w:tc>
          <w:tcPr>
            <w:tcW w:w="993" w:type="dxa"/>
            <w:vMerge/>
            <w:tcBorders>
              <w:top w:val="nil"/>
              <w:left w:val="single" w:sz="4" w:space="0" w:color="auto"/>
              <w:bottom w:val="single" w:sz="4" w:space="0" w:color="auto"/>
              <w:right w:val="single" w:sz="4" w:space="0" w:color="auto"/>
            </w:tcBorders>
            <w:shd w:val="clear" w:color="auto" w:fill="FFFFFF"/>
            <w:hideMark/>
          </w:tcPr>
          <w:p w:rsidR="00B951B1" w:rsidRPr="00E61612" w:rsidRDefault="00B951B1" w:rsidP="00CB78E6">
            <w:pPr>
              <w:spacing w:after="0"/>
              <w:outlineLvl w:val="1"/>
              <w:rPr>
                <w:rFonts w:eastAsia="Times New Roman" w:cs="Calibri"/>
                <w:sz w:val="16"/>
                <w:szCs w:val="16"/>
              </w:rPr>
            </w:pPr>
          </w:p>
        </w:tc>
        <w:tc>
          <w:tcPr>
            <w:tcW w:w="992" w:type="dxa"/>
            <w:vMerge/>
            <w:tcBorders>
              <w:top w:val="nil"/>
              <w:left w:val="single" w:sz="4" w:space="0" w:color="auto"/>
              <w:bottom w:val="single" w:sz="4" w:space="0" w:color="000000"/>
              <w:right w:val="single" w:sz="4" w:space="0" w:color="auto"/>
            </w:tcBorders>
            <w:shd w:val="clear" w:color="auto" w:fill="FFFFFF"/>
            <w:hideMark/>
          </w:tcPr>
          <w:p w:rsidR="00B951B1" w:rsidRPr="00E61612" w:rsidRDefault="00B951B1" w:rsidP="00CB78E6">
            <w:pPr>
              <w:spacing w:after="0"/>
              <w:outlineLvl w:val="1"/>
              <w:rPr>
                <w:rFonts w:eastAsia="Times New Roman" w:cs="Calibri"/>
                <w:sz w:val="16"/>
                <w:szCs w:val="16"/>
              </w:rPr>
            </w:pPr>
          </w:p>
        </w:tc>
        <w:tc>
          <w:tcPr>
            <w:tcW w:w="1309" w:type="dxa"/>
            <w:tcBorders>
              <w:top w:val="nil"/>
              <w:left w:val="nil"/>
              <w:bottom w:val="single" w:sz="4" w:space="0" w:color="auto"/>
              <w:right w:val="single" w:sz="4" w:space="0" w:color="auto"/>
            </w:tcBorders>
            <w:shd w:val="clear" w:color="auto" w:fill="FFFFFF"/>
            <w:hideMark/>
          </w:tcPr>
          <w:p w:rsidR="00B951B1" w:rsidRPr="00E61612" w:rsidRDefault="00B951B1" w:rsidP="00CB78E6">
            <w:pPr>
              <w:spacing w:after="0"/>
              <w:outlineLvl w:val="1"/>
              <w:rPr>
                <w:rFonts w:eastAsia="Times New Roman" w:cs="Calibri"/>
                <w:sz w:val="16"/>
                <w:szCs w:val="16"/>
              </w:rPr>
            </w:pPr>
            <w:r w:rsidRPr="00E61612">
              <w:rPr>
                <w:rFonts w:eastAsia="Times New Roman" w:cs="Calibri"/>
                <w:sz w:val="16"/>
                <w:szCs w:val="16"/>
              </w:rPr>
              <w:t>A4.1.5. Zhvillimi i politikave të përdorimit të TIK-ut në nivel shkolle</w:t>
            </w:r>
          </w:p>
        </w:tc>
        <w:tc>
          <w:tcPr>
            <w:tcW w:w="1067" w:type="dxa"/>
            <w:tcBorders>
              <w:top w:val="nil"/>
              <w:left w:val="single" w:sz="4" w:space="0" w:color="auto"/>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w:t>
            </w:r>
          </w:p>
        </w:tc>
        <w:tc>
          <w:tcPr>
            <w:tcW w:w="851"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1,500</w:t>
            </w:r>
          </w:p>
        </w:tc>
        <w:tc>
          <w:tcPr>
            <w:tcW w:w="992"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w:t>
            </w:r>
          </w:p>
        </w:tc>
        <w:tc>
          <w:tcPr>
            <w:tcW w:w="992" w:type="dxa"/>
            <w:gridSpan w:val="2"/>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1,500</w:t>
            </w:r>
          </w:p>
        </w:tc>
        <w:tc>
          <w:tcPr>
            <w:tcW w:w="992"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w:t>
            </w:r>
          </w:p>
        </w:tc>
        <w:tc>
          <w:tcPr>
            <w:tcW w:w="993"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1,500</w:t>
            </w:r>
          </w:p>
        </w:tc>
        <w:tc>
          <w:tcPr>
            <w:tcW w:w="992"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w:t>
            </w:r>
          </w:p>
        </w:tc>
        <w:tc>
          <w:tcPr>
            <w:tcW w:w="992"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1,500</w:t>
            </w:r>
          </w:p>
        </w:tc>
        <w:tc>
          <w:tcPr>
            <w:tcW w:w="992"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w:t>
            </w:r>
          </w:p>
        </w:tc>
        <w:tc>
          <w:tcPr>
            <w:tcW w:w="851"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w:t>
            </w:r>
          </w:p>
        </w:tc>
        <w:tc>
          <w:tcPr>
            <w:tcW w:w="1134"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1,500</w:t>
            </w:r>
          </w:p>
        </w:tc>
      </w:tr>
      <w:tr w:rsidR="00B951B1" w:rsidRPr="00E61612" w:rsidTr="00CB78E6">
        <w:trPr>
          <w:trHeight w:val="765"/>
          <w:jc w:val="center"/>
        </w:trPr>
        <w:tc>
          <w:tcPr>
            <w:tcW w:w="992" w:type="dxa"/>
            <w:vMerge/>
            <w:tcBorders>
              <w:top w:val="nil"/>
              <w:left w:val="single" w:sz="4" w:space="0" w:color="auto"/>
              <w:bottom w:val="single" w:sz="4" w:space="0" w:color="auto"/>
              <w:right w:val="single" w:sz="4" w:space="0" w:color="auto"/>
            </w:tcBorders>
            <w:shd w:val="clear" w:color="auto" w:fill="FFFFFF"/>
            <w:hideMark/>
          </w:tcPr>
          <w:p w:rsidR="00B951B1" w:rsidRPr="00E61612" w:rsidRDefault="00B951B1" w:rsidP="00CB78E6">
            <w:pPr>
              <w:spacing w:after="0"/>
              <w:outlineLvl w:val="1"/>
              <w:rPr>
                <w:rFonts w:eastAsia="Times New Roman" w:cs="Calibri"/>
                <w:sz w:val="16"/>
                <w:szCs w:val="16"/>
              </w:rPr>
            </w:pPr>
          </w:p>
        </w:tc>
        <w:tc>
          <w:tcPr>
            <w:tcW w:w="993" w:type="dxa"/>
            <w:vMerge/>
            <w:tcBorders>
              <w:top w:val="nil"/>
              <w:left w:val="single" w:sz="4" w:space="0" w:color="auto"/>
              <w:bottom w:val="single" w:sz="4" w:space="0" w:color="auto"/>
              <w:right w:val="single" w:sz="4" w:space="0" w:color="auto"/>
            </w:tcBorders>
            <w:shd w:val="clear" w:color="auto" w:fill="FFFFFF"/>
            <w:hideMark/>
          </w:tcPr>
          <w:p w:rsidR="00B951B1" w:rsidRPr="00E61612" w:rsidRDefault="00B951B1" w:rsidP="00CB78E6">
            <w:pPr>
              <w:spacing w:after="0"/>
              <w:outlineLvl w:val="1"/>
              <w:rPr>
                <w:rFonts w:eastAsia="Times New Roman" w:cs="Calibri"/>
                <w:sz w:val="16"/>
                <w:szCs w:val="16"/>
              </w:rPr>
            </w:pPr>
          </w:p>
        </w:tc>
        <w:tc>
          <w:tcPr>
            <w:tcW w:w="992" w:type="dxa"/>
            <w:vMerge w:val="restart"/>
            <w:tcBorders>
              <w:top w:val="nil"/>
              <w:left w:val="single" w:sz="4" w:space="0" w:color="auto"/>
              <w:bottom w:val="single" w:sz="4" w:space="0" w:color="000000"/>
              <w:right w:val="single" w:sz="4" w:space="0" w:color="auto"/>
            </w:tcBorders>
            <w:shd w:val="clear" w:color="auto" w:fill="FFFFFF"/>
            <w:hideMark/>
          </w:tcPr>
          <w:p w:rsidR="00B951B1" w:rsidRPr="00E61612" w:rsidRDefault="00B951B1" w:rsidP="00CB78E6">
            <w:pPr>
              <w:spacing w:after="0"/>
              <w:outlineLvl w:val="1"/>
              <w:rPr>
                <w:rFonts w:eastAsia="Times New Roman" w:cs="Calibri"/>
                <w:sz w:val="16"/>
                <w:szCs w:val="16"/>
              </w:rPr>
            </w:pPr>
            <w:r w:rsidRPr="00E61612">
              <w:rPr>
                <w:rFonts w:eastAsia="Times New Roman" w:cs="Calibri"/>
                <w:sz w:val="16"/>
                <w:szCs w:val="16"/>
              </w:rPr>
              <w:t>A4.2. Zhvillimi i kompetencës digjitale përmes shfrytëzimit të shtuar të TIK-ut në të gjitha lëndët</w:t>
            </w:r>
          </w:p>
        </w:tc>
        <w:tc>
          <w:tcPr>
            <w:tcW w:w="1309" w:type="dxa"/>
            <w:tcBorders>
              <w:top w:val="nil"/>
              <w:left w:val="nil"/>
              <w:bottom w:val="single" w:sz="4" w:space="0" w:color="auto"/>
              <w:right w:val="single" w:sz="4" w:space="0" w:color="auto"/>
            </w:tcBorders>
            <w:shd w:val="clear" w:color="auto" w:fill="FFFFFF"/>
            <w:hideMark/>
          </w:tcPr>
          <w:p w:rsidR="00B951B1" w:rsidRPr="00E61612" w:rsidRDefault="00B951B1" w:rsidP="00CB78E6">
            <w:pPr>
              <w:spacing w:after="0"/>
              <w:outlineLvl w:val="1"/>
              <w:rPr>
                <w:rFonts w:eastAsia="Times New Roman" w:cs="Calibri"/>
                <w:sz w:val="16"/>
                <w:szCs w:val="16"/>
              </w:rPr>
            </w:pPr>
            <w:r w:rsidRPr="00E61612">
              <w:rPr>
                <w:rFonts w:eastAsia="Times New Roman" w:cs="Calibri"/>
                <w:sz w:val="16"/>
                <w:szCs w:val="16"/>
              </w:rPr>
              <w:t>A4.2.1. Përfshirja e kompetencës digjitale në standardet e mësuesit</w:t>
            </w:r>
          </w:p>
        </w:tc>
        <w:tc>
          <w:tcPr>
            <w:tcW w:w="1067" w:type="dxa"/>
            <w:tcBorders>
              <w:top w:val="nil"/>
              <w:left w:val="single" w:sz="4" w:space="0" w:color="auto"/>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w:t>
            </w:r>
          </w:p>
        </w:tc>
        <w:tc>
          <w:tcPr>
            <w:tcW w:w="851"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w:t>
            </w:r>
          </w:p>
        </w:tc>
        <w:tc>
          <w:tcPr>
            <w:tcW w:w="992"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w:t>
            </w:r>
          </w:p>
        </w:tc>
        <w:tc>
          <w:tcPr>
            <w:tcW w:w="992" w:type="dxa"/>
            <w:gridSpan w:val="2"/>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w:t>
            </w:r>
          </w:p>
        </w:tc>
        <w:tc>
          <w:tcPr>
            <w:tcW w:w="992"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w:t>
            </w:r>
          </w:p>
        </w:tc>
        <w:tc>
          <w:tcPr>
            <w:tcW w:w="993"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w:t>
            </w:r>
          </w:p>
        </w:tc>
        <w:tc>
          <w:tcPr>
            <w:tcW w:w="992"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w:t>
            </w:r>
          </w:p>
        </w:tc>
        <w:tc>
          <w:tcPr>
            <w:tcW w:w="992"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w:t>
            </w:r>
          </w:p>
        </w:tc>
        <w:tc>
          <w:tcPr>
            <w:tcW w:w="992"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w:t>
            </w:r>
          </w:p>
        </w:tc>
        <w:tc>
          <w:tcPr>
            <w:tcW w:w="851"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w:t>
            </w:r>
          </w:p>
        </w:tc>
        <w:tc>
          <w:tcPr>
            <w:tcW w:w="1134"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w:t>
            </w:r>
          </w:p>
        </w:tc>
      </w:tr>
      <w:tr w:rsidR="00B951B1" w:rsidRPr="00E61612" w:rsidTr="00CB78E6">
        <w:trPr>
          <w:trHeight w:val="255"/>
          <w:jc w:val="center"/>
        </w:trPr>
        <w:tc>
          <w:tcPr>
            <w:tcW w:w="992" w:type="dxa"/>
            <w:vMerge/>
            <w:tcBorders>
              <w:top w:val="nil"/>
              <w:left w:val="single" w:sz="4" w:space="0" w:color="auto"/>
              <w:bottom w:val="single" w:sz="4" w:space="0" w:color="auto"/>
              <w:right w:val="single" w:sz="4" w:space="0" w:color="auto"/>
            </w:tcBorders>
            <w:shd w:val="clear" w:color="auto" w:fill="FFFFFF"/>
            <w:hideMark/>
          </w:tcPr>
          <w:p w:rsidR="00B951B1" w:rsidRPr="00E61612" w:rsidRDefault="00B951B1" w:rsidP="00CB78E6">
            <w:pPr>
              <w:spacing w:after="0"/>
              <w:outlineLvl w:val="1"/>
              <w:rPr>
                <w:rFonts w:eastAsia="Times New Roman" w:cs="Calibri"/>
                <w:sz w:val="16"/>
                <w:szCs w:val="16"/>
              </w:rPr>
            </w:pPr>
          </w:p>
        </w:tc>
        <w:tc>
          <w:tcPr>
            <w:tcW w:w="993" w:type="dxa"/>
            <w:vMerge/>
            <w:tcBorders>
              <w:top w:val="nil"/>
              <w:left w:val="single" w:sz="4" w:space="0" w:color="auto"/>
              <w:bottom w:val="single" w:sz="4" w:space="0" w:color="auto"/>
              <w:right w:val="single" w:sz="4" w:space="0" w:color="auto"/>
            </w:tcBorders>
            <w:shd w:val="clear" w:color="auto" w:fill="FFFFFF"/>
            <w:hideMark/>
          </w:tcPr>
          <w:p w:rsidR="00B951B1" w:rsidRPr="00E61612" w:rsidRDefault="00B951B1" w:rsidP="00CB78E6">
            <w:pPr>
              <w:spacing w:after="0"/>
              <w:outlineLvl w:val="1"/>
              <w:rPr>
                <w:rFonts w:eastAsia="Times New Roman" w:cs="Calibri"/>
                <w:sz w:val="16"/>
                <w:szCs w:val="16"/>
              </w:rPr>
            </w:pPr>
          </w:p>
        </w:tc>
        <w:tc>
          <w:tcPr>
            <w:tcW w:w="992" w:type="dxa"/>
            <w:vMerge/>
            <w:tcBorders>
              <w:top w:val="nil"/>
              <w:left w:val="single" w:sz="4" w:space="0" w:color="auto"/>
              <w:bottom w:val="single" w:sz="4" w:space="0" w:color="000000"/>
              <w:right w:val="single" w:sz="4" w:space="0" w:color="auto"/>
            </w:tcBorders>
            <w:shd w:val="clear" w:color="auto" w:fill="FFFFFF"/>
            <w:hideMark/>
          </w:tcPr>
          <w:p w:rsidR="00B951B1" w:rsidRPr="00E61612" w:rsidRDefault="00B951B1" w:rsidP="00CB78E6">
            <w:pPr>
              <w:spacing w:after="0"/>
              <w:outlineLvl w:val="1"/>
              <w:rPr>
                <w:rFonts w:eastAsia="Times New Roman" w:cs="Calibri"/>
                <w:sz w:val="16"/>
                <w:szCs w:val="16"/>
              </w:rPr>
            </w:pPr>
          </w:p>
        </w:tc>
        <w:tc>
          <w:tcPr>
            <w:tcW w:w="1309" w:type="dxa"/>
            <w:tcBorders>
              <w:top w:val="nil"/>
              <w:left w:val="nil"/>
              <w:bottom w:val="single" w:sz="4" w:space="0" w:color="auto"/>
              <w:right w:val="single" w:sz="4" w:space="0" w:color="auto"/>
            </w:tcBorders>
            <w:shd w:val="clear" w:color="auto" w:fill="FFFFFF"/>
            <w:hideMark/>
          </w:tcPr>
          <w:p w:rsidR="00B951B1" w:rsidRPr="00E61612" w:rsidRDefault="00B951B1" w:rsidP="00CB78E6">
            <w:pPr>
              <w:spacing w:after="0"/>
              <w:outlineLvl w:val="1"/>
              <w:rPr>
                <w:rFonts w:eastAsia="Times New Roman" w:cs="Calibri"/>
                <w:sz w:val="16"/>
                <w:szCs w:val="16"/>
              </w:rPr>
            </w:pPr>
            <w:r w:rsidRPr="00E61612">
              <w:rPr>
                <w:rFonts w:eastAsia="Times New Roman" w:cs="Calibri"/>
                <w:sz w:val="16"/>
                <w:szCs w:val="16"/>
              </w:rPr>
              <w:t>A4.2.2. Pilotimi i SELFIE</w:t>
            </w:r>
          </w:p>
        </w:tc>
        <w:tc>
          <w:tcPr>
            <w:tcW w:w="1067" w:type="dxa"/>
            <w:tcBorders>
              <w:top w:val="nil"/>
              <w:left w:val="single" w:sz="4" w:space="0" w:color="auto"/>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w:t>
            </w:r>
          </w:p>
        </w:tc>
        <w:tc>
          <w:tcPr>
            <w:tcW w:w="851"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w:t>
            </w:r>
          </w:p>
        </w:tc>
        <w:tc>
          <w:tcPr>
            <w:tcW w:w="992"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w:t>
            </w:r>
          </w:p>
        </w:tc>
        <w:tc>
          <w:tcPr>
            <w:tcW w:w="992" w:type="dxa"/>
            <w:gridSpan w:val="2"/>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w:t>
            </w:r>
          </w:p>
        </w:tc>
        <w:tc>
          <w:tcPr>
            <w:tcW w:w="992"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w:t>
            </w:r>
          </w:p>
        </w:tc>
        <w:tc>
          <w:tcPr>
            <w:tcW w:w="993"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w:t>
            </w:r>
          </w:p>
        </w:tc>
        <w:tc>
          <w:tcPr>
            <w:tcW w:w="992"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w:t>
            </w:r>
          </w:p>
        </w:tc>
        <w:tc>
          <w:tcPr>
            <w:tcW w:w="992"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w:t>
            </w:r>
          </w:p>
        </w:tc>
        <w:tc>
          <w:tcPr>
            <w:tcW w:w="992"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w:t>
            </w:r>
          </w:p>
        </w:tc>
        <w:tc>
          <w:tcPr>
            <w:tcW w:w="851"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w:t>
            </w:r>
          </w:p>
        </w:tc>
        <w:tc>
          <w:tcPr>
            <w:tcW w:w="1134"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w:t>
            </w:r>
          </w:p>
        </w:tc>
      </w:tr>
      <w:tr w:rsidR="00B951B1" w:rsidRPr="00E61612" w:rsidTr="00CB78E6">
        <w:trPr>
          <w:trHeight w:val="765"/>
          <w:jc w:val="center"/>
        </w:trPr>
        <w:tc>
          <w:tcPr>
            <w:tcW w:w="992" w:type="dxa"/>
            <w:vMerge/>
            <w:tcBorders>
              <w:top w:val="nil"/>
              <w:left w:val="single" w:sz="4" w:space="0" w:color="auto"/>
              <w:bottom w:val="single" w:sz="4" w:space="0" w:color="auto"/>
              <w:right w:val="single" w:sz="4" w:space="0" w:color="auto"/>
            </w:tcBorders>
            <w:shd w:val="clear" w:color="auto" w:fill="FFFFFF"/>
            <w:hideMark/>
          </w:tcPr>
          <w:p w:rsidR="00B951B1" w:rsidRPr="00E61612" w:rsidRDefault="00B951B1" w:rsidP="00CB78E6">
            <w:pPr>
              <w:spacing w:after="0"/>
              <w:outlineLvl w:val="1"/>
              <w:rPr>
                <w:rFonts w:eastAsia="Times New Roman" w:cs="Calibri"/>
                <w:sz w:val="16"/>
                <w:szCs w:val="16"/>
              </w:rPr>
            </w:pPr>
          </w:p>
        </w:tc>
        <w:tc>
          <w:tcPr>
            <w:tcW w:w="993" w:type="dxa"/>
            <w:vMerge/>
            <w:tcBorders>
              <w:top w:val="nil"/>
              <w:left w:val="single" w:sz="4" w:space="0" w:color="auto"/>
              <w:bottom w:val="single" w:sz="4" w:space="0" w:color="auto"/>
              <w:right w:val="single" w:sz="4" w:space="0" w:color="auto"/>
            </w:tcBorders>
            <w:shd w:val="clear" w:color="auto" w:fill="FFFFFF"/>
            <w:hideMark/>
          </w:tcPr>
          <w:p w:rsidR="00B951B1" w:rsidRPr="00E61612" w:rsidRDefault="00B951B1" w:rsidP="00CB78E6">
            <w:pPr>
              <w:spacing w:after="0"/>
              <w:outlineLvl w:val="1"/>
              <w:rPr>
                <w:rFonts w:eastAsia="Times New Roman" w:cs="Calibri"/>
                <w:sz w:val="16"/>
                <w:szCs w:val="16"/>
              </w:rPr>
            </w:pPr>
          </w:p>
        </w:tc>
        <w:tc>
          <w:tcPr>
            <w:tcW w:w="992" w:type="dxa"/>
            <w:vMerge/>
            <w:tcBorders>
              <w:top w:val="nil"/>
              <w:left w:val="single" w:sz="4" w:space="0" w:color="auto"/>
              <w:bottom w:val="single" w:sz="4" w:space="0" w:color="000000"/>
              <w:right w:val="single" w:sz="4" w:space="0" w:color="auto"/>
            </w:tcBorders>
            <w:shd w:val="clear" w:color="auto" w:fill="FFFFFF"/>
            <w:hideMark/>
          </w:tcPr>
          <w:p w:rsidR="00B951B1" w:rsidRPr="00E61612" w:rsidRDefault="00B951B1" w:rsidP="00CB78E6">
            <w:pPr>
              <w:spacing w:after="0"/>
              <w:outlineLvl w:val="1"/>
              <w:rPr>
                <w:rFonts w:eastAsia="Times New Roman" w:cs="Calibri"/>
                <w:sz w:val="16"/>
                <w:szCs w:val="16"/>
              </w:rPr>
            </w:pPr>
          </w:p>
        </w:tc>
        <w:tc>
          <w:tcPr>
            <w:tcW w:w="1309" w:type="dxa"/>
            <w:tcBorders>
              <w:top w:val="nil"/>
              <w:left w:val="nil"/>
              <w:bottom w:val="single" w:sz="4" w:space="0" w:color="auto"/>
              <w:right w:val="single" w:sz="4" w:space="0" w:color="auto"/>
            </w:tcBorders>
            <w:shd w:val="clear" w:color="auto" w:fill="FFFFFF"/>
            <w:hideMark/>
          </w:tcPr>
          <w:p w:rsidR="00B951B1" w:rsidRPr="00E61612" w:rsidRDefault="00B951B1" w:rsidP="00CB78E6">
            <w:pPr>
              <w:spacing w:after="0"/>
              <w:outlineLvl w:val="1"/>
              <w:rPr>
                <w:rFonts w:eastAsia="Times New Roman" w:cs="Calibri"/>
                <w:sz w:val="16"/>
                <w:szCs w:val="16"/>
              </w:rPr>
            </w:pPr>
            <w:r w:rsidRPr="00E61612">
              <w:rPr>
                <w:rFonts w:eastAsia="Times New Roman" w:cs="Calibri"/>
                <w:sz w:val="16"/>
                <w:szCs w:val="16"/>
              </w:rPr>
              <w:t>A4.2.3. Ndërgjegjësimi i nxënësve për sigurinë në Internet</w:t>
            </w:r>
          </w:p>
        </w:tc>
        <w:tc>
          <w:tcPr>
            <w:tcW w:w="1067" w:type="dxa"/>
            <w:tcBorders>
              <w:top w:val="nil"/>
              <w:left w:val="single" w:sz="4" w:space="0" w:color="auto"/>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w:t>
            </w:r>
          </w:p>
        </w:tc>
        <w:tc>
          <w:tcPr>
            <w:tcW w:w="851"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2,520</w:t>
            </w:r>
          </w:p>
        </w:tc>
        <w:tc>
          <w:tcPr>
            <w:tcW w:w="992"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w:t>
            </w:r>
          </w:p>
        </w:tc>
        <w:tc>
          <w:tcPr>
            <w:tcW w:w="992" w:type="dxa"/>
            <w:gridSpan w:val="2"/>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2,520</w:t>
            </w:r>
          </w:p>
        </w:tc>
        <w:tc>
          <w:tcPr>
            <w:tcW w:w="992"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w:t>
            </w:r>
          </w:p>
        </w:tc>
        <w:tc>
          <w:tcPr>
            <w:tcW w:w="993"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2,520</w:t>
            </w:r>
          </w:p>
        </w:tc>
        <w:tc>
          <w:tcPr>
            <w:tcW w:w="992"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w:t>
            </w:r>
          </w:p>
        </w:tc>
        <w:tc>
          <w:tcPr>
            <w:tcW w:w="992"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2,520</w:t>
            </w:r>
          </w:p>
        </w:tc>
        <w:tc>
          <w:tcPr>
            <w:tcW w:w="992"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w:t>
            </w:r>
          </w:p>
        </w:tc>
        <w:tc>
          <w:tcPr>
            <w:tcW w:w="851"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w:t>
            </w:r>
          </w:p>
        </w:tc>
        <w:tc>
          <w:tcPr>
            <w:tcW w:w="1134"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2,520</w:t>
            </w:r>
          </w:p>
        </w:tc>
      </w:tr>
      <w:tr w:rsidR="00B951B1" w:rsidRPr="00E61612" w:rsidTr="00CB78E6">
        <w:trPr>
          <w:trHeight w:val="1275"/>
          <w:jc w:val="center"/>
        </w:trPr>
        <w:tc>
          <w:tcPr>
            <w:tcW w:w="992" w:type="dxa"/>
            <w:vMerge/>
            <w:tcBorders>
              <w:top w:val="nil"/>
              <w:left w:val="single" w:sz="4" w:space="0" w:color="auto"/>
              <w:bottom w:val="single" w:sz="4" w:space="0" w:color="auto"/>
              <w:right w:val="single" w:sz="4" w:space="0" w:color="auto"/>
            </w:tcBorders>
            <w:shd w:val="clear" w:color="auto" w:fill="FFFFFF"/>
            <w:hideMark/>
          </w:tcPr>
          <w:p w:rsidR="00B951B1" w:rsidRPr="00E61612" w:rsidRDefault="00B951B1" w:rsidP="00CB78E6">
            <w:pPr>
              <w:spacing w:after="0"/>
              <w:outlineLvl w:val="1"/>
              <w:rPr>
                <w:rFonts w:eastAsia="Times New Roman" w:cs="Calibri"/>
                <w:sz w:val="16"/>
                <w:szCs w:val="16"/>
              </w:rPr>
            </w:pPr>
          </w:p>
        </w:tc>
        <w:tc>
          <w:tcPr>
            <w:tcW w:w="993" w:type="dxa"/>
            <w:vMerge/>
            <w:tcBorders>
              <w:top w:val="nil"/>
              <w:left w:val="single" w:sz="4" w:space="0" w:color="auto"/>
              <w:bottom w:val="single" w:sz="4" w:space="0" w:color="auto"/>
              <w:right w:val="single" w:sz="4" w:space="0" w:color="auto"/>
            </w:tcBorders>
            <w:shd w:val="clear" w:color="auto" w:fill="FFFFFF"/>
            <w:hideMark/>
          </w:tcPr>
          <w:p w:rsidR="00B951B1" w:rsidRPr="00E61612" w:rsidRDefault="00B951B1" w:rsidP="00CB78E6">
            <w:pPr>
              <w:spacing w:after="0"/>
              <w:outlineLvl w:val="1"/>
              <w:rPr>
                <w:rFonts w:eastAsia="Times New Roman" w:cs="Calibri"/>
                <w:sz w:val="16"/>
                <w:szCs w:val="16"/>
              </w:rPr>
            </w:pPr>
          </w:p>
        </w:tc>
        <w:tc>
          <w:tcPr>
            <w:tcW w:w="992" w:type="dxa"/>
            <w:vMerge/>
            <w:tcBorders>
              <w:top w:val="nil"/>
              <w:left w:val="single" w:sz="4" w:space="0" w:color="auto"/>
              <w:bottom w:val="single" w:sz="4" w:space="0" w:color="000000"/>
              <w:right w:val="single" w:sz="4" w:space="0" w:color="auto"/>
            </w:tcBorders>
            <w:shd w:val="clear" w:color="auto" w:fill="FFFFFF"/>
            <w:hideMark/>
          </w:tcPr>
          <w:p w:rsidR="00B951B1" w:rsidRPr="00E61612" w:rsidRDefault="00B951B1" w:rsidP="00CB78E6">
            <w:pPr>
              <w:spacing w:after="0"/>
              <w:outlineLvl w:val="1"/>
              <w:rPr>
                <w:rFonts w:eastAsia="Times New Roman" w:cs="Calibri"/>
                <w:sz w:val="16"/>
                <w:szCs w:val="16"/>
              </w:rPr>
            </w:pPr>
          </w:p>
        </w:tc>
        <w:tc>
          <w:tcPr>
            <w:tcW w:w="1309" w:type="dxa"/>
            <w:tcBorders>
              <w:top w:val="nil"/>
              <w:left w:val="nil"/>
              <w:bottom w:val="single" w:sz="4" w:space="0" w:color="auto"/>
              <w:right w:val="single" w:sz="4" w:space="0" w:color="auto"/>
            </w:tcBorders>
            <w:shd w:val="clear" w:color="auto" w:fill="FFFFFF"/>
            <w:hideMark/>
          </w:tcPr>
          <w:p w:rsidR="00B951B1" w:rsidRPr="00E61612" w:rsidRDefault="00B951B1" w:rsidP="00CB78E6">
            <w:pPr>
              <w:spacing w:after="0"/>
              <w:outlineLvl w:val="1"/>
              <w:rPr>
                <w:rFonts w:eastAsia="Times New Roman" w:cs="Calibri"/>
                <w:sz w:val="16"/>
                <w:szCs w:val="16"/>
              </w:rPr>
            </w:pPr>
            <w:r w:rsidRPr="00E61612">
              <w:rPr>
                <w:rFonts w:eastAsia="Times New Roman" w:cs="Calibri"/>
                <w:sz w:val="16"/>
                <w:szCs w:val="16"/>
              </w:rPr>
              <w:t>A4.2.4. Përcaktimi i standardeve për arritjen e kompetencës digjitale sipas formatit të Bashkimit Evropian</w:t>
            </w:r>
          </w:p>
        </w:tc>
        <w:tc>
          <w:tcPr>
            <w:tcW w:w="1067" w:type="dxa"/>
            <w:tcBorders>
              <w:top w:val="nil"/>
              <w:left w:val="single" w:sz="4" w:space="0" w:color="auto"/>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w:t>
            </w:r>
          </w:p>
        </w:tc>
        <w:tc>
          <w:tcPr>
            <w:tcW w:w="851"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1,200</w:t>
            </w:r>
          </w:p>
        </w:tc>
        <w:tc>
          <w:tcPr>
            <w:tcW w:w="992"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w:t>
            </w:r>
          </w:p>
        </w:tc>
        <w:tc>
          <w:tcPr>
            <w:tcW w:w="992" w:type="dxa"/>
            <w:gridSpan w:val="2"/>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1,200</w:t>
            </w:r>
          </w:p>
        </w:tc>
        <w:tc>
          <w:tcPr>
            <w:tcW w:w="992"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w:t>
            </w:r>
          </w:p>
        </w:tc>
        <w:tc>
          <w:tcPr>
            <w:tcW w:w="993"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1,200</w:t>
            </w:r>
          </w:p>
        </w:tc>
        <w:tc>
          <w:tcPr>
            <w:tcW w:w="992"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w:t>
            </w:r>
          </w:p>
        </w:tc>
        <w:tc>
          <w:tcPr>
            <w:tcW w:w="992"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1,200</w:t>
            </w:r>
          </w:p>
        </w:tc>
        <w:tc>
          <w:tcPr>
            <w:tcW w:w="992"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w:t>
            </w:r>
          </w:p>
        </w:tc>
        <w:tc>
          <w:tcPr>
            <w:tcW w:w="851"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w:t>
            </w:r>
          </w:p>
        </w:tc>
        <w:tc>
          <w:tcPr>
            <w:tcW w:w="1134"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1,200</w:t>
            </w:r>
          </w:p>
        </w:tc>
      </w:tr>
      <w:tr w:rsidR="00B951B1" w:rsidRPr="00E61612" w:rsidTr="00CB78E6">
        <w:trPr>
          <w:trHeight w:val="1275"/>
          <w:jc w:val="center"/>
        </w:trPr>
        <w:tc>
          <w:tcPr>
            <w:tcW w:w="992" w:type="dxa"/>
            <w:vMerge/>
            <w:tcBorders>
              <w:top w:val="nil"/>
              <w:left w:val="single" w:sz="4" w:space="0" w:color="auto"/>
              <w:bottom w:val="single" w:sz="4" w:space="0" w:color="auto"/>
              <w:right w:val="single" w:sz="4" w:space="0" w:color="auto"/>
            </w:tcBorders>
            <w:shd w:val="clear" w:color="auto" w:fill="FFFFFF"/>
            <w:hideMark/>
          </w:tcPr>
          <w:p w:rsidR="00B951B1" w:rsidRPr="00E61612" w:rsidRDefault="00B951B1" w:rsidP="00CB78E6">
            <w:pPr>
              <w:spacing w:after="0"/>
              <w:outlineLvl w:val="1"/>
              <w:rPr>
                <w:rFonts w:eastAsia="Times New Roman" w:cs="Calibri"/>
                <w:sz w:val="16"/>
                <w:szCs w:val="16"/>
              </w:rPr>
            </w:pPr>
          </w:p>
        </w:tc>
        <w:tc>
          <w:tcPr>
            <w:tcW w:w="993" w:type="dxa"/>
            <w:vMerge/>
            <w:tcBorders>
              <w:top w:val="nil"/>
              <w:left w:val="single" w:sz="4" w:space="0" w:color="auto"/>
              <w:bottom w:val="single" w:sz="4" w:space="0" w:color="auto"/>
              <w:right w:val="single" w:sz="4" w:space="0" w:color="auto"/>
            </w:tcBorders>
            <w:shd w:val="clear" w:color="auto" w:fill="FFFFFF"/>
            <w:hideMark/>
          </w:tcPr>
          <w:p w:rsidR="00B951B1" w:rsidRPr="00E61612" w:rsidRDefault="00B951B1" w:rsidP="00CB78E6">
            <w:pPr>
              <w:spacing w:after="0"/>
              <w:outlineLvl w:val="1"/>
              <w:rPr>
                <w:rFonts w:eastAsia="Times New Roman" w:cs="Calibri"/>
                <w:sz w:val="16"/>
                <w:szCs w:val="16"/>
              </w:rPr>
            </w:pPr>
          </w:p>
        </w:tc>
        <w:tc>
          <w:tcPr>
            <w:tcW w:w="992" w:type="dxa"/>
            <w:vMerge/>
            <w:tcBorders>
              <w:top w:val="nil"/>
              <w:left w:val="single" w:sz="4" w:space="0" w:color="auto"/>
              <w:bottom w:val="single" w:sz="4" w:space="0" w:color="000000"/>
              <w:right w:val="single" w:sz="4" w:space="0" w:color="auto"/>
            </w:tcBorders>
            <w:shd w:val="clear" w:color="auto" w:fill="FFFFFF"/>
            <w:hideMark/>
          </w:tcPr>
          <w:p w:rsidR="00B951B1" w:rsidRPr="00E61612" w:rsidRDefault="00B951B1" w:rsidP="00CB78E6">
            <w:pPr>
              <w:spacing w:after="0"/>
              <w:outlineLvl w:val="1"/>
              <w:rPr>
                <w:rFonts w:eastAsia="Times New Roman" w:cs="Calibri"/>
                <w:sz w:val="16"/>
                <w:szCs w:val="16"/>
              </w:rPr>
            </w:pPr>
          </w:p>
        </w:tc>
        <w:tc>
          <w:tcPr>
            <w:tcW w:w="1309" w:type="dxa"/>
            <w:tcBorders>
              <w:top w:val="nil"/>
              <w:left w:val="nil"/>
              <w:bottom w:val="single" w:sz="4" w:space="0" w:color="auto"/>
              <w:right w:val="single" w:sz="4" w:space="0" w:color="auto"/>
            </w:tcBorders>
            <w:shd w:val="clear" w:color="auto" w:fill="FFFFFF"/>
            <w:hideMark/>
          </w:tcPr>
          <w:p w:rsidR="00B951B1" w:rsidRPr="00E61612" w:rsidRDefault="00B951B1" w:rsidP="00CB78E6">
            <w:pPr>
              <w:spacing w:after="0"/>
              <w:outlineLvl w:val="1"/>
              <w:rPr>
                <w:rFonts w:eastAsia="Times New Roman" w:cs="Calibri"/>
                <w:sz w:val="16"/>
                <w:szCs w:val="16"/>
              </w:rPr>
            </w:pPr>
            <w:r w:rsidRPr="00E61612">
              <w:rPr>
                <w:rFonts w:eastAsia="Times New Roman" w:cs="Calibri"/>
                <w:sz w:val="16"/>
                <w:szCs w:val="16"/>
              </w:rPr>
              <w:t xml:space="preserve">A4.2.5. Përfshirja e nxënësve të arsimit të mesëm të ulët e të lartë në </w:t>
            </w:r>
            <w:r w:rsidRPr="00E61612">
              <w:rPr>
                <w:rFonts w:eastAsia="Times New Roman" w:cs="Calibri"/>
                <w:sz w:val="16"/>
                <w:szCs w:val="16"/>
              </w:rPr>
              <w:lastRenderedPageBreak/>
              <w:t>programin kombëtar të kodimit</w:t>
            </w:r>
          </w:p>
        </w:tc>
        <w:tc>
          <w:tcPr>
            <w:tcW w:w="1067" w:type="dxa"/>
            <w:tcBorders>
              <w:top w:val="nil"/>
              <w:left w:val="single" w:sz="4" w:space="0" w:color="auto"/>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lastRenderedPageBreak/>
              <w:t>-</w:t>
            </w:r>
          </w:p>
        </w:tc>
        <w:tc>
          <w:tcPr>
            <w:tcW w:w="851"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w:t>
            </w:r>
          </w:p>
        </w:tc>
        <w:tc>
          <w:tcPr>
            <w:tcW w:w="992"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w:t>
            </w:r>
          </w:p>
        </w:tc>
        <w:tc>
          <w:tcPr>
            <w:tcW w:w="992" w:type="dxa"/>
            <w:gridSpan w:val="2"/>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w:t>
            </w:r>
          </w:p>
        </w:tc>
        <w:tc>
          <w:tcPr>
            <w:tcW w:w="992"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w:t>
            </w:r>
          </w:p>
        </w:tc>
        <w:tc>
          <w:tcPr>
            <w:tcW w:w="993"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w:t>
            </w:r>
          </w:p>
        </w:tc>
        <w:tc>
          <w:tcPr>
            <w:tcW w:w="992"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w:t>
            </w:r>
          </w:p>
        </w:tc>
        <w:tc>
          <w:tcPr>
            <w:tcW w:w="992"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w:t>
            </w:r>
          </w:p>
        </w:tc>
        <w:tc>
          <w:tcPr>
            <w:tcW w:w="992"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w:t>
            </w:r>
          </w:p>
        </w:tc>
        <w:tc>
          <w:tcPr>
            <w:tcW w:w="851"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w:t>
            </w:r>
          </w:p>
        </w:tc>
        <w:tc>
          <w:tcPr>
            <w:tcW w:w="1134"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w:t>
            </w:r>
          </w:p>
        </w:tc>
      </w:tr>
      <w:tr w:rsidR="00B951B1" w:rsidRPr="00E61612" w:rsidTr="00CB78E6">
        <w:trPr>
          <w:trHeight w:val="1078"/>
          <w:jc w:val="center"/>
        </w:trPr>
        <w:tc>
          <w:tcPr>
            <w:tcW w:w="992" w:type="dxa"/>
            <w:vMerge/>
            <w:tcBorders>
              <w:top w:val="nil"/>
              <w:left w:val="single" w:sz="4" w:space="0" w:color="auto"/>
              <w:bottom w:val="single" w:sz="4" w:space="0" w:color="auto"/>
              <w:right w:val="single" w:sz="4" w:space="0" w:color="auto"/>
            </w:tcBorders>
            <w:shd w:val="clear" w:color="auto" w:fill="FFFFFF"/>
            <w:hideMark/>
          </w:tcPr>
          <w:p w:rsidR="00B951B1" w:rsidRPr="00E61612" w:rsidRDefault="00B951B1" w:rsidP="00CB78E6">
            <w:pPr>
              <w:spacing w:after="0"/>
              <w:outlineLvl w:val="1"/>
              <w:rPr>
                <w:rFonts w:eastAsia="Times New Roman" w:cs="Calibri"/>
                <w:sz w:val="16"/>
                <w:szCs w:val="16"/>
              </w:rPr>
            </w:pPr>
          </w:p>
        </w:tc>
        <w:tc>
          <w:tcPr>
            <w:tcW w:w="993" w:type="dxa"/>
            <w:vMerge/>
            <w:tcBorders>
              <w:top w:val="nil"/>
              <w:left w:val="single" w:sz="4" w:space="0" w:color="auto"/>
              <w:bottom w:val="single" w:sz="4" w:space="0" w:color="auto"/>
              <w:right w:val="single" w:sz="4" w:space="0" w:color="auto"/>
            </w:tcBorders>
            <w:shd w:val="clear" w:color="auto" w:fill="FFFFFF"/>
            <w:hideMark/>
          </w:tcPr>
          <w:p w:rsidR="00B951B1" w:rsidRPr="00E61612" w:rsidRDefault="00B951B1" w:rsidP="00CB78E6">
            <w:pPr>
              <w:spacing w:after="0"/>
              <w:outlineLvl w:val="1"/>
              <w:rPr>
                <w:rFonts w:eastAsia="Times New Roman" w:cs="Calibri"/>
                <w:sz w:val="16"/>
                <w:szCs w:val="16"/>
              </w:rPr>
            </w:pPr>
          </w:p>
        </w:tc>
        <w:tc>
          <w:tcPr>
            <w:tcW w:w="992" w:type="dxa"/>
            <w:vMerge w:val="restart"/>
            <w:tcBorders>
              <w:top w:val="nil"/>
              <w:left w:val="single" w:sz="4" w:space="0" w:color="auto"/>
              <w:bottom w:val="single" w:sz="4" w:space="0" w:color="000000"/>
              <w:right w:val="single" w:sz="4" w:space="0" w:color="auto"/>
            </w:tcBorders>
            <w:shd w:val="clear" w:color="auto" w:fill="FFFFFF"/>
            <w:hideMark/>
          </w:tcPr>
          <w:p w:rsidR="00B951B1" w:rsidRPr="00E61612" w:rsidRDefault="00B951B1" w:rsidP="00CB78E6">
            <w:pPr>
              <w:spacing w:after="0"/>
              <w:outlineLvl w:val="1"/>
              <w:rPr>
                <w:rFonts w:eastAsia="Times New Roman" w:cs="Calibri"/>
                <w:sz w:val="16"/>
                <w:szCs w:val="16"/>
              </w:rPr>
            </w:pPr>
            <w:r w:rsidRPr="00E61612">
              <w:rPr>
                <w:rFonts w:eastAsia="Times New Roman" w:cs="Calibri"/>
                <w:sz w:val="16"/>
                <w:szCs w:val="16"/>
              </w:rPr>
              <w:t>A4.3. Ofrimi i shërbimeve cilësore të TIK-ut për sistemin e arsimit parauniversitar</w:t>
            </w:r>
          </w:p>
        </w:tc>
        <w:tc>
          <w:tcPr>
            <w:tcW w:w="1309" w:type="dxa"/>
            <w:tcBorders>
              <w:top w:val="nil"/>
              <w:left w:val="nil"/>
              <w:bottom w:val="single" w:sz="4" w:space="0" w:color="auto"/>
              <w:right w:val="single" w:sz="4" w:space="0" w:color="auto"/>
            </w:tcBorders>
            <w:shd w:val="clear" w:color="auto" w:fill="FFFFFF"/>
            <w:hideMark/>
          </w:tcPr>
          <w:p w:rsidR="00B951B1" w:rsidRPr="00E61612" w:rsidRDefault="00B951B1" w:rsidP="00CB78E6">
            <w:pPr>
              <w:spacing w:after="0"/>
              <w:outlineLvl w:val="1"/>
              <w:rPr>
                <w:rFonts w:eastAsia="Times New Roman" w:cs="Calibri"/>
                <w:sz w:val="16"/>
                <w:szCs w:val="16"/>
              </w:rPr>
            </w:pPr>
            <w:r w:rsidRPr="00E61612">
              <w:rPr>
                <w:rFonts w:eastAsia="Times New Roman" w:cs="Calibri"/>
                <w:sz w:val="16"/>
                <w:szCs w:val="16"/>
              </w:rPr>
              <w:t xml:space="preserve">A4.3.1. Kontraktimi </w:t>
            </w:r>
            <w:r>
              <w:rPr>
                <w:rFonts w:eastAsia="Times New Roman" w:cs="Calibri"/>
                <w:sz w:val="16"/>
                <w:szCs w:val="16"/>
              </w:rPr>
              <w:t xml:space="preserve">i </w:t>
            </w:r>
            <w:r w:rsidRPr="00E61612">
              <w:rPr>
                <w:rFonts w:eastAsia="Times New Roman" w:cs="Calibri"/>
                <w:sz w:val="16"/>
                <w:szCs w:val="16"/>
              </w:rPr>
              <w:t>shërbimit të internetit për shkollat</w:t>
            </w:r>
          </w:p>
        </w:tc>
        <w:tc>
          <w:tcPr>
            <w:tcW w:w="1067" w:type="dxa"/>
            <w:tcBorders>
              <w:top w:val="nil"/>
              <w:left w:val="single" w:sz="4" w:space="0" w:color="auto"/>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w:t>
            </w:r>
          </w:p>
        </w:tc>
        <w:tc>
          <w:tcPr>
            <w:tcW w:w="851"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1,524,096</w:t>
            </w:r>
          </w:p>
        </w:tc>
        <w:tc>
          <w:tcPr>
            <w:tcW w:w="992"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w:t>
            </w:r>
          </w:p>
        </w:tc>
        <w:tc>
          <w:tcPr>
            <w:tcW w:w="992" w:type="dxa"/>
            <w:gridSpan w:val="2"/>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1,524,096</w:t>
            </w:r>
          </w:p>
        </w:tc>
        <w:tc>
          <w:tcPr>
            <w:tcW w:w="992"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w:t>
            </w:r>
          </w:p>
        </w:tc>
        <w:tc>
          <w:tcPr>
            <w:tcW w:w="993"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1,524,096</w:t>
            </w:r>
          </w:p>
        </w:tc>
        <w:tc>
          <w:tcPr>
            <w:tcW w:w="992"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435,456</w:t>
            </w:r>
          </w:p>
        </w:tc>
        <w:tc>
          <w:tcPr>
            <w:tcW w:w="992"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w:t>
            </w:r>
          </w:p>
        </w:tc>
        <w:tc>
          <w:tcPr>
            <w:tcW w:w="992"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(1,088,640)</w:t>
            </w:r>
          </w:p>
        </w:tc>
        <w:tc>
          <w:tcPr>
            <w:tcW w:w="851"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w:t>
            </w:r>
          </w:p>
        </w:tc>
        <w:tc>
          <w:tcPr>
            <w:tcW w:w="1134"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1,524,096</w:t>
            </w:r>
          </w:p>
        </w:tc>
      </w:tr>
      <w:tr w:rsidR="00B951B1" w:rsidRPr="00E61612" w:rsidTr="00CB78E6">
        <w:trPr>
          <w:trHeight w:val="765"/>
          <w:jc w:val="center"/>
        </w:trPr>
        <w:tc>
          <w:tcPr>
            <w:tcW w:w="992" w:type="dxa"/>
            <w:vMerge/>
            <w:tcBorders>
              <w:top w:val="nil"/>
              <w:left w:val="single" w:sz="4" w:space="0" w:color="auto"/>
              <w:bottom w:val="single" w:sz="4" w:space="0" w:color="auto"/>
              <w:right w:val="single" w:sz="4" w:space="0" w:color="auto"/>
            </w:tcBorders>
            <w:shd w:val="clear" w:color="auto" w:fill="FFFFFF"/>
            <w:hideMark/>
          </w:tcPr>
          <w:p w:rsidR="00B951B1" w:rsidRPr="00E61612" w:rsidRDefault="00B951B1" w:rsidP="00CB78E6">
            <w:pPr>
              <w:spacing w:after="0"/>
              <w:outlineLvl w:val="1"/>
              <w:rPr>
                <w:rFonts w:eastAsia="Times New Roman" w:cs="Calibri"/>
                <w:sz w:val="16"/>
                <w:szCs w:val="16"/>
              </w:rPr>
            </w:pPr>
          </w:p>
        </w:tc>
        <w:tc>
          <w:tcPr>
            <w:tcW w:w="993" w:type="dxa"/>
            <w:vMerge/>
            <w:tcBorders>
              <w:top w:val="nil"/>
              <w:left w:val="single" w:sz="4" w:space="0" w:color="auto"/>
              <w:bottom w:val="single" w:sz="4" w:space="0" w:color="auto"/>
              <w:right w:val="single" w:sz="4" w:space="0" w:color="auto"/>
            </w:tcBorders>
            <w:shd w:val="clear" w:color="auto" w:fill="FFFFFF"/>
            <w:hideMark/>
          </w:tcPr>
          <w:p w:rsidR="00B951B1" w:rsidRPr="00E61612" w:rsidRDefault="00B951B1" w:rsidP="00CB78E6">
            <w:pPr>
              <w:spacing w:after="0"/>
              <w:outlineLvl w:val="1"/>
              <w:rPr>
                <w:rFonts w:eastAsia="Times New Roman" w:cs="Calibri"/>
                <w:sz w:val="16"/>
                <w:szCs w:val="16"/>
              </w:rPr>
            </w:pPr>
          </w:p>
        </w:tc>
        <w:tc>
          <w:tcPr>
            <w:tcW w:w="992" w:type="dxa"/>
            <w:vMerge/>
            <w:tcBorders>
              <w:top w:val="nil"/>
              <w:left w:val="single" w:sz="4" w:space="0" w:color="auto"/>
              <w:bottom w:val="single" w:sz="4" w:space="0" w:color="000000"/>
              <w:right w:val="single" w:sz="4" w:space="0" w:color="auto"/>
            </w:tcBorders>
            <w:shd w:val="clear" w:color="auto" w:fill="FFFFFF"/>
            <w:hideMark/>
          </w:tcPr>
          <w:p w:rsidR="00B951B1" w:rsidRPr="00E61612" w:rsidRDefault="00B951B1" w:rsidP="00CB78E6">
            <w:pPr>
              <w:spacing w:after="0"/>
              <w:outlineLvl w:val="1"/>
              <w:rPr>
                <w:rFonts w:eastAsia="Times New Roman" w:cs="Calibri"/>
                <w:sz w:val="16"/>
                <w:szCs w:val="16"/>
              </w:rPr>
            </w:pPr>
          </w:p>
        </w:tc>
        <w:tc>
          <w:tcPr>
            <w:tcW w:w="1309" w:type="dxa"/>
            <w:tcBorders>
              <w:top w:val="nil"/>
              <w:left w:val="nil"/>
              <w:bottom w:val="single" w:sz="4" w:space="0" w:color="auto"/>
              <w:right w:val="single" w:sz="4" w:space="0" w:color="auto"/>
            </w:tcBorders>
            <w:shd w:val="clear" w:color="auto" w:fill="FFFFFF"/>
            <w:hideMark/>
          </w:tcPr>
          <w:p w:rsidR="00B951B1" w:rsidRPr="00E61612" w:rsidRDefault="00B951B1" w:rsidP="00CB78E6">
            <w:pPr>
              <w:spacing w:after="0"/>
              <w:outlineLvl w:val="1"/>
              <w:rPr>
                <w:rFonts w:eastAsia="Times New Roman" w:cs="Calibri"/>
                <w:sz w:val="16"/>
                <w:szCs w:val="16"/>
              </w:rPr>
            </w:pPr>
            <w:r w:rsidRPr="00E61612">
              <w:rPr>
                <w:rFonts w:eastAsia="Times New Roman" w:cs="Calibri"/>
                <w:sz w:val="16"/>
                <w:szCs w:val="16"/>
              </w:rPr>
              <w:t>A4.3.2. Hartimi i metodologjisë për mësimin online</w:t>
            </w:r>
          </w:p>
        </w:tc>
        <w:tc>
          <w:tcPr>
            <w:tcW w:w="1067" w:type="dxa"/>
            <w:tcBorders>
              <w:top w:val="nil"/>
              <w:left w:val="single" w:sz="4" w:space="0" w:color="auto"/>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w:t>
            </w:r>
          </w:p>
        </w:tc>
        <w:tc>
          <w:tcPr>
            <w:tcW w:w="851"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5,760</w:t>
            </w:r>
          </w:p>
        </w:tc>
        <w:tc>
          <w:tcPr>
            <w:tcW w:w="992"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w:t>
            </w:r>
          </w:p>
        </w:tc>
        <w:tc>
          <w:tcPr>
            <w:tcW w:w="992" w:type="dxa"/>
            <w:gridSpan w:val="2"/>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5,760</w:t>
            </w:r>
          </w:p>
        </w:tc>
        <w:tc>
          <w:tcPr>
            <w:tcW w:w="992"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w:t>
            </w:r>
          </w:p>
        </w:tc>
        <w:tc>
          <w:tcPr>
            <w:tcW w:w="993"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5,760</w:t>
            </w:r>
          </w:p>
        </w:tc>
        <w:tc>
          <w:tcPr>
            <w:tcW w:w="992"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w:t>
            </w:r>
          </w:p>
        </w:tc>
        <w:tc>
          <w:tcPr>
            <w:tcW w:w="992"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w:t>
            </w:r>
          </w:p>
        </w:tc>
        <w:tc>
          <w:tcPr>
            <w:tcW w:w="992"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(5,760)</w:t>
            </w:r>
          </w:p>
        </w:tc>
        <w:tc>
          <w:tcPr>
            <w:tcW w:w="851"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w:t>
            </w:r>
          </w:p>
        </w:tc>
        <w:tc>
          <w:tcPr>
            <w:tcW w:w="1134"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5,760</w:t>
            </w:r>
          </w:p>
        </w:tc>
      </w:tr>
      <w:tr w:rsidR="00B951B1" w:rsidRPr="00E61612" w:rsidTr="00CB78E6">
        <w:trPr>
          <w:trHeight w:val="255"/>
          <w:jc w:val="center"/>
        </w:trPr>
        <w:tc>
          <w:tcPr>
            <w:tcW w:w="992" w:type="dxa"/>
            <w:vMerge/>
            <w:tcBorders>
              <w:top w:val="nil"/>
              <w:left w:val="single" w:sz="4" w:space="0" w:color="auto"/>
              <w:bottom w:val="single" w:sz="4" w:space="0" w:color="auto"/>
              <w:right w:val="single" w:sz="4" w:space="0" w:color="auto"/>
            </w:tcBorders>
            <w:shd w:val="clear" w:color="auto" w:fill="FFFFFF"/>
            <w:hideMark/>
          </w:tcPr>
          <w:p w:rsidR="00B951B1" w:rsidRPr="00E61612" w:rsidRDefault="00B951B1" w:rsidP="00CB78E6">
            <w:pPr>
              <w:spacing w:after="0"/>
              <w:outlineLvl w:val="0"/>
              <w:rPr>
                <w:rFonts w:eastAsia="Times New Roman" w:cs="Calibri"/>
                <w:sz w:val="16"/>
                <w:szCs w:val="16"/>
              </w:rPr>
            </w:pPr>
          </w:p>
        </w:tc>
        <w:tc>
          <w:tcPr>
            <w:tcW w:w="993" w:type="dxa"/>
            <w:vMerge/>
            <w:tcBorders>
              <w:top w:val="nil"/>
              <w:left w:val="single" w:sz="4" w:space="0" w:color="auto"/>
              <w:bottom w:val="single" w:sz="4" w:space="0" w:color="auto"/>
              <w:right w:val="single" w:sz="4" w:space="0" w:color="auto"/>
            </w:tcBorders>
            <w:shd w:val="clear" w:color="auto" w:fill="FFFFFF"/>
            <w:hideMark/>
          </w:tcPr>
          <w:p w:rsidR="00B951B1" w:rsidRPr="00E61612" w:rsidRDefault="00B951B1" w:rsidP="00CB78E6">
            <w:pPr>
              <w:spacing w:after="0"/>
              <w:outlineLvl w:val="0"/>
              <w:rPr>
                <w:rFonts w:eastAsia="Times New Roman" w:cs="Calibri"/>
                <w:sz w:val="16"/>
                <w:szCs w:val="16"/>
              </w:rPr>
            </w:pPr>
          </w:p>
        </w:tc>
        <w:tc>
          <w:tcPr>
            <w:tcW w:w="2301" w:type="dxa"/>
            <w:gridSpan w:val="2"/>
            <w:tcBorders>
              <w:top w:val="single" w:sz="4" w:space="0" w:color="auto"/>
              <w:left w:val="nil"/>
              <w:bottom w:val="single" w:sz="4" w:space="0" w:color="auto"/>
              <w:right w:val="nil"/>
            </w:tcBorders>
            <w:shd w:val="clear" w:color="auto" w:fill="FFFFFF"/>
            <w:hideMark/>
          </w:tcPr>
          <w:p w:rsidR="00B951B1" w:rsidRPr="00E61612" w:rsidRDefault="00B951B1" w:rsidP="00CB78E6">
            <w:pPr>
              <w:spacing w:after="0"/>
              <w:jc w:val="center"/>
              <w:outlineLvl w:val="0"/>
              <w:rPr>
                <w:rFonts w:eastAsia="Times New Roman" w:cs="Calibri"/>
                <w:i/>
                <w:iCs/>
                <w:sz w:val="16"/>
                <w:szCs w:val="16"/>
              </w:rPr>
            </w:pPr>
            <w:r w:rsidRPr="00E61612">
              <w:rPr>
                <w:rFonts w:eastAsia="Times New Roman" w:cs="Calibri"/>
                <w:i/>
                <w:iCs/>
                <w:sz w:val="16"/>
                <w:szCs w:val="16"/>
              </w:rPr>
              <w:t>TOTAL A4</w:t>
            </w:r>
          </w:p>
        </w:tc>
        <w:tc>
          <w:tcPr>
            <w:tcW w:w="1067" w:type="dxa"/>
            <w:tcBorders>
              <w:top w:val="nil"/>
              <w:left w:val="single" w:sz="4" w:space="0" w:color="auto"/>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0"/>
              <w:rPr>
                <w:rFonts w:eastAsia="Times New Roman" w:cs="Calibri"/>
                <w:i/>
                <w:sz w:val="16"/>
                <w:szCs w:val="16"/>
              </w:rPr>
            </w:pPr>
            <w:r w:rsidRPr="00E61612">
              <w:rPr>
                <w:rFonts w:eastAsia="Times New Roman" w:cs="Calibri"/>
                <w:i/>
                <w:sz w:val="16"/>
                <w:szCs w:val="16"/>
              </w:rPr>
              <w:t>293,435</w:t>
            </w:r>
          </w:p>
        </w:tc>
        <w:tc>
          <w:tcPr>
            <w:tcW w:w="851"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0"/>
              <w:rPr>
                <w:rFonts w:eastAsia="Times New Roman" w:cs="Calibri"/>
                <w:i/>
                <w:sz w:val="16"/>
                <w:szCs w:val="16"/>
              </w:rPr>
            </w:pPr>
            <w:r w:rsidRPr="00E61612">
              <w:rPr>
                <w:rFonts w:eastAsia="Times New Roman" w:cs="Calibri"/>
                <w:i/>
                <w:sz w:val="16"/>
                <w:szCs w:val="16"/>
              </w:rPr>
              <w:t>1,867,796</w:t>
            </w:r>
          </w:p>
        </w:tc>
        <w:tc>
          <w:tcPr>
            <w:tcW w:w="992"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0"/>
              <w:rPr>
                <w:rFonts w:eastAsia="Times New Roman" w:cs="Calibri"/>
                <w:i/>
                <w:sz w:val="16"/>
                <w:szCs w:val="16"/>
              </w:rPr>
            </w:pPr>
            <w:r w:rsidRPr="00E61612">
              <w:rPr>
                <w:rFonts w:eastAsia="Times New Roman" w:cs="Calibri"/>
                <w:i/>
                <w:sz w:val="16"/>
                <w:szCs w:val="16"/>
              </w:rPr>
              <w:t>4,211,197</w:t>
            </w:r>
          </w:p>
        </w:tc>
        <w:tc>
          <w:tcPr>
            <w:tcW w:w="992" w:type="dxa"/>
            <w:gridSpan w:val="2"/>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0"/>
              <w:rPr>
                <w:rFonts w:eastAsia="Times New Roman" w:cs="Calibri"/>
                <w:i/>
                <w:sz w:val="16"/>
                <w:szCs w:val="16"/>
              </w:rPr>
            </w:pPr>
            <w:r w:rsidRPr="00E61612">
              <w:rPr>
                <w:rFonts w:eastAsia="Times New Roman" w:cs="Calibri"/>
                <w:i/>
                <w:sz w:val="16"/>
                <w:szCs w:val="16"/>
              </w:rPr>
              <w:t>5,813,593</w:t>
            </w:r>
          </w:p>
        </w:tc>
        <w:tc>
          <w:tcPr>
            <w:tcW w:w="992"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0"/>
              <w:rPr>
                <w:rFonts w:eastAsia="Times New Roman" w:cs="Calibri"/>
                <w:i/>
                <w:sz w:val="16"/>
                <w:szCs w:val="16"/>
              </w:rPr>
            </w:pPr>
            <w:r w:rsidRPr="00E61612">
              <w:rPr>
                <w:rFonts w:eastAsia="Times New Roman" w:cs="Calibri"/>
                <w:i/>
                <w:sz w:val="16"/>
                <w:szCs w:val="16"/>
              </w:rPr>
              <w:t>558,835</w:t>
            </w:r>
          </w:p>
        </w:tc>
        <w:tc>
          <w:tcPr>
            <w:tcW w:w="993"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0"/>
              <w:rPr>
                <w:rFonts w:eastAsia="Times New Roman" w:cs="Calibri"/>
                <w:i/>
                <w:sz w:val="16"/>
                <w:szCs w:val="16"/>
              </w:rPr>
            </w:pPr>
            <w:r w:rsidRPr="00E61612">
              <w:rPr>
                <w:rFonts w:eastAsia="Times New Roman" w:cs="Calibri"/>
                <w:i/>
                <w:sz w:val="16"/>
                <w:szCs w:val="16"/>
              </w:rPr>
              <w:t>6,372,428</w:t>
            </w:r>
          </w:p>
        </w:tc>
        <w:tc>
          <w:tcPr>
            <w:tcW w:w="992"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0"/>
              <w:rPr>
                <w:rFonts w:eastAsia="Times New Roman" w:cs="Calibri"/>
                <w:i/>
                <w:sz w:val="16"/>
                <w:szCs w:val="16"/>
              </w:rPr>
            </w:pPr>
            <w:r w:rsidRPr="00E61612">
              <w:rPr>
                <w:rFonts w:eastAsia="Times New Roman" w:cs="Calibri"/>
                <w:i/>
                <w:sz w:val="16"/>
                <w:szCs w:val="16"/>
              </w:rPr>
              <w:t>909,226</w:t>
            </w:r>
          </w:p>
        </w:tc>
        <w:tc>
          <w:tcPr>
            <w:tcW w:w="992"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0"/>
              <w:rPr>
                <w:rFonts w:eastAsia="Times New Roman" w:cs="Calibri"/>
                <w:i/>
                <w:sz w:val="16"/>
                <w:szCs w:val="16"/>
              </w:rPr>
            </w:pPr>
            <w:r w:rsidRPr="00E61612">
              <w:rPr>
                <w:rFonts w:eastAsia="Times New Roman" w:cs="Calibri"/>
                <w:i/>
                <w:sz w:val="16"/>
                <w:szCs w:val="16"/>
              </w:rPr>
              <w:t>69,060</w:t>
            </w:r>
          </w:p>
        </w:tc>
        <w:tc>
          <w:tcPr>
            <w:tcW w:w="992"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0"/>
              <w:rPr>
                <w:rFonts w:eastAsia="Times New Roman" w:cs="Calibri"/>
                <w:i/>
                <w:sz w:val="16"/>
                <w:szCs w:val="16"/>
              </w:rPr>
            </w:pPr>
            <w:r w:rsidRPr="00E61612">
              <w:rPr>
                <w:rFonts w:eastAsia="Times New Roman" w:cs="Calibri"/>
                <w:i/>
                <w:sz w:val="16"/>
                <w:szCs w:val="16"/>
              </w:rPr>
              <w:t>(5,394,142)</w:t>
            </w:r>
          </w:p>
        </w:tc>
        <w:tc>
          <w:tcPr>
            <w:tcW w:w="851"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0"/>
              <w:rPr>
                <w:rFonts w:eastAsia="Times New Roman" w:cs="Calibri"/>
                <w:i/>
                <w:sz w:val="16"/>
                <w:szCs w:val="16"/>
              </w:rPr>
            </w:pPr>
            <w:r w:rsidRPr="00E61612">
              <w:rPr>
                <w:rFonts w:eastAsia="Times New Roman" w:cs="Calibri"/>
                <w:i/>
                <w:sz w:val="16"/>
                <w:szCs w:val="16"/>
              </w:rPr>
              <w:t>-</w:t>
            </w:r>
          </w:p>
        </w:tc>
        <w:tc>
          <w:tcPr>
            <w:tcW w:w="1134"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0"/>
              <w:rPr>
                <w:rFonts w:eastAsia="Times New Roman" w:cs="Calibri"/>
                <w:i/>
                <w:sz w:val="16"/>
                <w:szCs w:val="16"/>
              </w:rPr>
            </w:pPr>
            <w:r w:rsidRPr="00E61612">
              <w:rPr>
                <w:rFonts w:eastAsia="Times New Roman" w:cs="Calibri"/>
                <w:i/>
                <w:sz w:val="16"/>
                <w:szCs w:val="16"/>
              </w:rPr>
              <w:t>6,372,428</w:t>
            </w:r>
          </w:p>
        </w:tc>
      </w:tr>
      <w:tr w:rsidR="00B951B1" w:rsidRPr="00E61612" w:rsidTr="00CB78E6">
        <w:trPr>
          <w:trHeight w:val="255"/>
          <w:jc w:val="center"/>
        </w:trPr>
        <w:tc>
          <w:tcPr>
            <w:tcW w:w="992" w:type="dxa"/>
            <w:vMerge/>
            <w:tcBorders>
              <w:top w:val="nil"/>
              <w:left w:val="single" w:sz="4" w:space="0" w:color="auto"/>
              <w:bottom w:val="single" w:sz="4" w:space="0" w:color="auto"/>
              <w:right w:val="single" w:sz="4" w:space="0" w:color="auto"/>
            </w:tcBorders>
            <w:shd w:val="clear" w:color="auto" w:fill="FFFFFF"/>
            <w:hideMark/>
          </w:tcPr>
          <w:p w:rsidR="00B951B1" w:rsidRPr="00E61612" w:rsidRDefault="00B951B1" w:rsidP="00CB78E6">
            <w:pPr>
              <w:spacing w:after="0"/>
              <w:rPr>
                <w:rFonts w:eastAsia="Times New Roman" w:cs="Calibri"/>
                <w:sz w:val="16"/>
                <w:szCs w:val="16"/>
              </w:rPr>
            </w:pPr>
          </w:p>
        </w:tc>
        <w:tc>
          <w:tcPr>
            <w:tcW w:w="3294" w:type="dxa"/>
            <w:gridSpan w:val="3"/>
            <w:tcBorders>
              <w:top w:val="single" w:sz="4" w:space="0" w:color="auto"/>
              <w:left w:val="nil"/>
              <w:bottom w:val="single" w:sz="4" w:space="0" w:color="auto"/>
              <w:right w:val="nil"/>
            </w:tcBorders>
            <w:shd w:val="clear" w:color="auto" w:fill="FFFFFF"/>
            <w:hideMark/>
          </w:tcPr>
          <w:p w:rsidR="00B951B1" w:rsidRPr="00E61612" w:rsidRDefault="00B951B1" w:rsidP="00CB78E6">
            <w:pPr>
              <w:spacing w:after="0"/>
              <w:jc w:val="center"/>
              <w:rPr>
                <w:rFonts w:eastAsia="Times New Roman" w:cs="Calibri"/>
                <w:b/>
                <w:bCs/>
                <w:sz w:val="16"/>
                <w:szCs w:val="16"/>
              </w:rPr>
            </w:pPr>
            <w:r w:rsidRPr="00E61612">
              <w:rPr>
                <w:rFonts w:eastAsia="Times New Roman" w:cs="Calibri"/>
                <w:b/>
                <w:bCs/>
                <w:sz w:val="16"/>
                <w:szCs w:val="16"/>
              </w:rPr>
              <w:t>TOTAL A</w:t>
            </w:r>
          </w:p>
        </w:tc>
        <w:tc>
          <w:tcPr>
            <w:tcW w:w="1067" w:type="dxa"/>
            <w:tcBorders>
              <w:top w:val="nil"/>
              <w:left w:val="single" w:sz="4" w:space="0" w:color="auto"/>
              <w:bottom w:val="single" w:sz="4" w:space="0" w:color="auto"/>
              <w:right w:val="single" w:sz="4" w:space="0" w:color="auto"/>
            </w:tcBorders>
            <w:shd w:val="clear" w:color="auto" w:fill="FFFFFF"/>
            <w:noWrap/>
            <w:hideMark/>
          </w:tcPr>
          <w:p w:rsidR="00B951B1" w:rsidRPr="00E61612" w:rsidRDefault="00B951B1" w:rsidP="00CB78E6">
            <w:pPr>
              <w:spacing w:after="0"/>
              <w:jc w:val="right"/>
              <w:rPr>
                <w:rFonts w:eastAsia="Times New Roman" w:cs="Calibri"/>
                <w:b/>
                <w:sz w:val="16"/>
                <w:szCs w:val="16"/>
              </w:rPr>
            </w:pPr>
            <w:r w:rsidRPr="00E61612">
              <w:rPr>
                <w:rFonts w:eastAsia="Times New Roman" w:cs="Calibri"/>
                <w:b/>
                <w:sz w:val="16"/>
                <w:szCs w:val="16"/>
              </w:rPr>
              <w:t>11,930,826</w:t>
            </w:r>
          </w:p>
        </w:tc>
        <w:tc>
          <w:tcPr>
            <w:tcW w:w="851"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rPr>
                <w:rFonts w:eastAsia="Times New Roman" w:cs="Calibri"/>
                <w:b/>
                <w:sz w:val="16"/>
                <w:szCs w:val="16"/>
              </w:rPr>
            </w:pPr>
            <w:r w:rsidRPr="00E61612">
              <w:rPr>
                <w:rFonts w:eastAsia="Times New Roman" w:cs="Calibri"/>
                <w:b/>
                <w:sz w:val="16"/>
                <w:szCs w:val="16"/>
              </w:rPr>
              <w:t>3,207,098</w:t>
            </w:r>
          </w:p>
        </w:tc>
        <w:tc>
          <w:tcPr>
            <w:tcW w:w="992"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rPr>
                <w:rFonts w:eastAsia="Times New Roman" w:cs="Calibri"/>
                <w:b/>
                <w:sz w:val="16"/>
                <w:szCs w:val="16"/>
              </w:rPr>
            </w:pPr>
            <w:r w:rsidRPr="00E61612">
              <w:rPr>
                <w:rFonts w:eastAsia="Times New Roman" w:cs="Calibri"/>
                <w:b/>
                <w:sz w:val="16"/>
                <w:szCs w:val="16"/>
              </w:rPr>
              <w:t>20,438,302</w:t>
            </w:r>
          </w:p>
        </w:tc>
        <w:tc>
          <w:tcPr>
            <w:tcW w:w="992" w:type="dxa"/>
            <w:gridSpan w:val="2"/>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rPr>
                <w:rFonts w:eastAsia="Times New Roman" w:cs="Calibri"/>
                <w:b/>
                <w:sz w:val="16"/>
                <w:szCs w:val="16"/>
              </w:rPr>
            </w:pPr>
            <w:r w:rsidRPr="00E61612">
              <w:rPr>
                <w:rFonts w:eastAsia="Times New Roman" w:cs="Calibri"/>
                <w:b/>
                <w:sz w:val="16"/>
                <w:szCs w:val="16"/>
              </w:rPr>
              <w:t>23,380,000</w:t>
            </w:r>
          </w:p>
        </w:tc>
        <w:tc>
          <w:tcPr>
            <w:tcW w:w="992"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rPr>
                <w:rFonts w:eastAsia="Times New Roman" w:cs="Calibri"/>
                <w:b/>
                <w:sz w:val="16"/>
                <w:szCs w:val="16"/>
              </w:rPr>
            </w:pPr>
            <w:r w:rsidRPr="00E61612">
              <w:rPr>
                <w:rFonts w:eastAsia="Times New Roman" w:cs="Calibri"/>
                <w:b/>
                <w:sz w:val="16"/>
                <w:szCs w:val="16"/>
              </w:rPr>
              <w:t>12,196,225</w:t>
            </w:r>
          </w:p>
        </w:tc>
        <w:tc>
          <w:tcPr>
            <w:tcW w:w="993"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rPr>
                <w:rFonts w:eastAsia="Times New Roman" w:cs="Calibri"/>
                <w:b/>
                <w:sz w:val="16"/>
                <w:szCs w:val="16"/>
              </w:rPr>
            </w:pPr>
            <w:r w:rsidRPr="00E61612">
              <w:rPr>
                <w:rFonts w:eastAsia="Times New Roman" w:cs="Calibri"/>
                <w:b/>
                <w:sz w:val="16"/>
                <w:szCs w:val="16"/>
              </w:rPr>
              <w:t>35,576,226</w:t>
            </w:r>
          </w:p>
        </w:tc>
        <w:tc>
          <w:tcPr>
            <w:tcW w:w="992"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rPr>
                <w:rFonts w:eastAsia="Times New Roman" w:cs="Calibri"/>
                <w:b/>
                <w:sz w:val="16"/>
                <w:szCs w:val="16"/>
              </w:rPr>
            </w:pPr>
            <w:r w:rsidRPr="00E61612">
              <w:rPr>
                <w:rFonts w:eastAsia="Times New Roman" w:cs="Calibri"/>
                <w:b/>
                <w:sz w:val="16"/>
                <w:szCs w:val="16"/>
              </w:rPr>
              <w:t>27,122,039</w:t>
            </w:r>
          </w:p>
        </w:tc>
        <w:tc>
          <w:tcPr>
            <w:tcW w:w="992"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rPr>
                <w:rFonts w:eastAsia="Times New Roman" w:cs="Calibri"/>
                <w:b/>
                <w:sz w:val="16"/>
                <w:szCs w:val="16"/>
              </w:rPr>
            </w:pPr>
            <w:r w:rsidRPr="00E61612">
              <w:rPr>
                <w:rFonts w:eastAsia="Times New Roman" w:cs="Calibri"/>
                <w:b/>
                <w:sz w:val="16"/>
                <w:szCs w:val="16"/>
              </w:rPr>
              <w:t>150,724</w:t>
            </w:r>
          </w:p>
        </w:tc>
        <w:tc>
          <w:tcPr>
            <w:tcW w:w="992"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rPr>
                <w:rFonts w:eastAsia="Times New Roman" w:cs="Calibri"/>
                <w:b/>
                <w:sz w:val="16"/>
                <w:szCs w:val="16"/>
              </w:rPr>
            </w:pPr>
            <w:r w:rsidRPr="00E61612">
              <w:rPr>
                <w:rFonts w:eastAsia="Times New Roman" w:cs="Calibri"/>
                <w:b/>
                <w:sz w:val="16"/>
                <w:szCs w:val="16"/>
              </w:rPr>
              <w:t>(8,303,462)</w:t>
            </w:r>
          </w:p>
        </w:tc>
        <w:tc>
          <w:tcPr>
            <w:tcW w:w="851"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rPr>
                <w:rFonts w:eastAsia="Times New Roman" w:cs="Calibri"/>
                <w:b/>
                <w:sz w:val="16"/>
                <w:szCs w:val="16"/>
              </w:rPr>
            </w:pPr>
            <w:r w:rsidRPr="00E61612">
              <w:rPr>
                <w:rFonts w:eastAsia="Times New Roman" w:cs="Calibri"/>
                <w:b/>
                <w:sz w:val="16"/>
                <w:szCs w:val="16"/>
              </w:rPr>
              <w:t>-</w:t>
            </w:r>
          </w:p>
        </w:tc>
        <w:tc>
          <w:tcPr>
            <w:tcW w:w="1134"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rPr>
                <w:rFonts w:eastAsia="Times New Roman" w:cs="Calibri"/>
                <w:b/>
                <w:sz w:val="16"/>
                <w:szCs w:val="16"/>
              </w:rPr>
            </w:pPr>
            <w:r w:rsidRPr="00E61612">
              <w:rPr>
                <w:rFonts w:eastAsia="Times New Roman" w:cs="Calibri"/>
                <w:b/>
                <w:sz w:val="16"/>
                <w:szCs w:val="16"/>
              </w:rPr>
              <w:t>35,576,226</w:t>
            </w:r>
          </w:p>
        </w:tc>
      </w:tr>
      <w:tr w:rsidR="00B951B1" w:rsidRPr="00E61612" w:rsidTr="00CB78E6">
        <w:trPr>
          <w:trHeight w:val="1275"/>
          <w:jc w:val="center"/>
        </w:trPr>
        <w:tc>
          <w:tcPr>
            <w:tcW w:w="992" w:type="dxa"/>
            <w:vMerge w:val="restart"/>
            <w:tcBorders>
              <w:top w:val="nil"/>
              <w:left w:val="single" w:sz="4" w:space="0" w:color="auto"/>
              <w:bottom w:val="single" w:sz="4" w:space="0" w:color="auto"/>
              <w:right w:val="single" w:sz="4" w:space="0" w:color="auto"/>
            </w:tcBorders>
            <w:shd w:val="clear" w:color="auto" w:fill="FFFFFF"/>
            <w:hideMark/>
          </w:tcPr>
          <w:p w:rsidR="00B951B1" w:rsidRPr="00E61612" w:rsidRDefault="00B951B1" w:rsidP="00CB78E6">
            <w:pPr>
              <w:spacing w:after="0"/>
              <w:outlineLvl w:val="1"/>
              <w:rPr>
                <w:rFonts w:eastAsia="Times New Roman" w:cs="Calibri"/>
                <w:sz w:val="16"/>
                <w:szCs w:val="16"/>
              </w:rPr>
            </w:pPr>
            <w:r w:rsidRPr="00E61612">
              <w:rPr>
                <w:rFonts w:eastAsia="Times New Roman" w:cs="Calibri"/>
                <w:sz w:val="16"/>
                <w:szCs w:val="16"/>
              </w:rPr>
              <w:t xml:space="preserve">B. Menaxhim </w:t>
            </w:r>
            <w:r>
              <w:rPr>
                <w:rFonts w:eastAsia="Times New Roman" w:cs="Calibri"/>
                <w:sz w:val="16"/>
                <w:szCs w:val="16"/>
              </w:rPr>
              <w:t>efikas</w:t>
            </w:r>
            <w:r w:rsidRPr="00E61612">
              <w:rPr>
                <w:rFonts w:eastAsia="Times New Roman" w:cs="Calibri"/>
                <w:sz w:val="16"/>
                <w:szCs w:val="16"/>
              </w:rPr>
              <w:t xml:space="preserve"> dhe eficient i sistemit të arsimit në të gjitha nivelet, i bazuar në mekanizma funksionalë për sigurimin e </w:t>
            </w:r>
            <w:r w:rsidRPr="00E61612">
              <w:rPr>
                <w:rFonts w:eastAsia="Times New Roman" w:cs="Calibri"/>
                <w:sz w:val="16"/>
                <w:szCs w:val="16"/>
              </w:rPr>
              <w:lastRenderedPageBreak/>
              <w:t>cilësisë, transparencës dhe llogaridhënies</w:t>
            </w:r>
          </w:p>
        </w:tc>
        <w:tc>
          <w:tcPr>
            <w:tcW w:w="993" w:type="dxa"/>
            <w:vMerge w:val="restart"/>
            <w:tcBorders>
              <w:top w:val="nil"/>
              <w:left w:val="single" w:sz="4" w:space="0" w:color="auto"/>
              <w:bottom w:val="single" w:sz="4" w:space="0" w:color="auto"/>
              <w:right w:val="single" w:sz="4" w:space="0" w:color="auto"/>
            </w:tcBorders>
            <w:shd w:val="clear" w:color="auto" w:fill="FFFFFF"/>
            <w:hideMark/>
          </w:tcPr>
          <w:p w:rsidR="00B951B1" w:rsidRPr="00E61612" w:rsidRDefault="00B951B1" w:rsidP="00CB78E6">
            <w:pPr>
              <w:spacing w:after="0"/>
              <w:outlineLvl w:val="1"/>
              <w:rPr>
                <w:rFonts w:eastAsia="Times New Roman" w:cs="Calibri"/>
                <w:sz w:val="16"/>
                <w:szCs w:val="16"/>
              </w:rPr>
            </w:pPr>
            <w:r w:rsidRPr="00E61612">
              <w:rPr>
                <w:rFonts w:eastAsia="Times New Roman" w:cs="Calibri"/>
                <w:sz w:val="16"/>
                <w:szCs w:val="16"/>
              </w:rPr>
              <w:lastRenderedPageBreak/>
              <w:t xml:space="preserve">B1. Rritja e performancës së shkollës përmes drejtimit dhe menaxhimit profesional dhe të përgjegjshëm dhe </w:t>
            </w:r>
            <w:r w:rsidRPr="00E61612">
              <w:rPr>
                <w:rFonts w:eastAsia="Times New Roman" w:cs="Calibri"/>
                <w:sz w:val="16"/>
                <w:szCs w:val="16"/>
              </w:rPr>
              <w:lastRenderedPageBreak/>
              <w:t>sigurimit të cilësisë</w:t>
            </w:r>
          </w:p>
        </w:tc>
        <w:tc>
          <w:tcPr>
            <w:tcW w:w="992" w:type="dxa"/>
            <w:tcBorders>
              <w:top w:val="nil"/>
              <w:left w:val="nil"/>
              <w:bottom w:val="single" w:sz="4" w:space="0" w:color="auto"/>
              <w:right w:val="single" w:sz="4" w:space="0" w:color="auto"/>
            </w:tcBorders>
            <w:shd w:val="clear" w:color="auto" w:fill="FFFFFF"/>
            <w:hideMark/>
          </w:tcPr>
          <w:p w:rsidR="00B951B1" w:rsidRPr="00E61612" w:rsidRDefault="00B951B1" w:rsidP="00CB78E6">
            <w:pPr>
              <w:spacing w:after="0"/>
              <w:outlineLvl w:val="1"/>
              <w:rPr>
                <w:rFonts w:eastAsia="Times New Roman" w:cs="Calibri"/>
                <w:sz w:val="16"/>
                <w:szCs w:val="16"/>
              </w:rPr>
            </w:pPr>
            <w:r w:rsidRPr="00E61612">
              <w:rPr>
                <w:rFonts w:eastAsia="Times New Roman" w:cs="Calibri"/>
                <w:sz w:val="16"/>
                <w:szCs w:val="16"/>
              </w:rPr>
              <w:lastRenderedPageBreak/>
              <w:t>B1.1. Rritja e kapaciteteve inspektuese/monitoruese me fokus rritjen e cilësisë</w:t>
            </w:r>
          </w:p>
        </w:tc>
        <w:tc>
          <w:tcPr>
            <w:tcW w:w="1309" w:type="dxa"/>
            <w:tcBorders>
              <w:top w:val="nil"/>
              <w:left w:val="nil"/>
              <w:bottom w:val="single" w:sz="4" w:space="0" w:color="auto"/>
              <w:right w:val="single" w:sz="4" w:space="0" w:color="auto"/>
            </w:tcBorders>
            <w:shd w:val="clear" w:color="auto" w:fill="FFFFFF"/>
            <w:hideMark/>
          </w:tcPr>
          <w:p w:rsidR="00B951B1" w:rsidRPr="00E61612" w:rsidRDefault="00B951B1" w:rsidP="00CB78E6">
            <w:pPr>
              <w:spacing w:after="0"/>
              <w:outlineLvl w:val="1"/>
              <w:rPr>
                <w:rFonts w:eastAsia="Times New Roman" w:cs="Calibri"/>
                <w:sz w:val="16"/>
                <w:szCs w:val="16"/>
              </w:rPr>
            </w:pPr>
            <w:r w:rsidRPr="00E61612">
              <w:rPr>
                <w:rFonts w:eastAsia="Times New Roman" w:cs="Calibri"/>
                <w:sz w:val="16"/>
                <w:szCs w:val="16"/>
              </w:rPr>
              <w:t>B1.1.1. Trajnimi i inspektorëve</w:t>
            </w:r>
          </w:p>
        </w:tc>
        <w:tc>
          <w:tcPr>
            <w:tcW w:w="1067" w:type="dxa"/>
            <w:tcBorders>
              <w:top w:val="nil"/>
              <w:left w:val="single" w:sz="4" w:space="0" w:color="auto"/>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w:t>
            </w:r>
          </w:p>
        </w:tc>
        <w:tc>
          <w:tcPr>
            <w:tcW w:w="851"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3,210</w:t>
            </w:r>
          </w:p>
        </w:tc>
        <w:tc>
          <w:tcPr>
            <w:tcW w:w="992"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w:t>
            </w:r>
          </w:p>
        </w:tc>
        <w:tc>
          <w:tcPr>
            <w:tcW w:w="992" w:type="dxa"/>
            <w:gridSpan w:val="2"/>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3,210</w:t>
            </w:r>
          </w:p>
        </w:tc>
        <w:tc>
          <w:tcPr>
            <w:tcW w:w="992"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w:t>
            </w:r>
          </w:p>
        </w:tc>
        <w:tc>
          <w:tcPr>
            <w:tcW w:w="993"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3,210</w:t>
            </w:r>
          </w:p>
        </w:tc>
        <w:tc>
          <w:tcPr>
            <w:tcW w:w="992"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w:t>
            </w:r>
          </w:p>
        </w:tc>
        <w:tc>
          <w:tcPr>
            <w:tcW w:w="992"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w:t>
            </w:r>
          </w:p>
        </w:tc>
        <w:tc>
          <w:tcPr>
            <w:tcW w:w="992"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(3,210)</w:t>
            </w:r>
          </w:p>
        </w:tc>
        <w:tc>
          <w:tcPr>
            <w:tcW w:w="851"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w:t>
            </w:r>
          </w:p>
        </w:tc>
        <w:tc>
          <w:tcPr>
            <w:tcW w:w="1134"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3,210</w:t>
            </w:r>
          </w:p>
        </w:tc>
      </w:tr>
      <w:tr w:rsidR="00B951B1" w:rsidRPr="00E61612" w:rsidTr="00CB78E6">
        <w:trPr>
          <w:trHeight w:val="510"/>
          <w:jc w:val="center"/>
        </w:trPr>
        <w:tc>
          <w:tcPr>
            <w:tcW w:w="992" w:type="dxa"/>
            <w:vMerge/>
            <w:tcBorders>
              <w:top w:val="nil"/>
              <w:left w:val="single" w:sz="4" w:space="0" w:color="auto"/>
              <w:bottom w:val="single" w:sz="4" w:space="0" w:color="auto"/>
              <w:right w:val="single" w:sz="4" w:space="0" w:color="auto"/>
            </w:tcBorders>
            <w:shd w:val="clear" w:color="auto" w:fill="FFFFFF"/>
            <w:hideMark/>
          </w:tcPr>
          <w:p w:rsidR="00B951B1" w:rsidRPr="00E61612" w:rsidRDefault="00B951B1" w:rsidP="00CB78E6">
            <w:pPr>
              <w:spacing w:after="0"/>
              <w:outlineLvl w:val="1"/>
              <w:rPr>
                <w:rFonts w:eastAsia="Times New Roman" w:cs="Calibri"/>
                <w:sz w:val="16"/>
                <w:szCs w:val="16"/>
              </w:rPr>
            </w:pPr>
          </w:p>
        </w:tc>
        <w:tc>
          <w:tcPr>
            <w:tcW w:w="993" w:type="dxa"/>
            <w:vMerge/>
            <w:tcBorders>
              <w:top w:val="nil"/>
              <w:left w:val="single" w:sz="4" w:space="0" w:color="auto"/>
              <w:bottom w:val="single" w:sz="4" w:space="0" w:color="auto"/>
              <w:right w:val="single" w:sz="4" w:space="0" w:color="auto"/>
            </w:tcBorders>
            <w:shd w:val="clear" w:color="auto" w:fill="FFFFFF"/>
            <w:hideMark/>
          </w:tcPr>
          <w:p w:rsidR="00B951B1" w:rsidRPr="00E61612" w:rsidRDefault="00B951B1" w:rsidP="00CB78E6">
            <w:pPr>
              <w:spacing w:after="0"/>
              <w:outlineLvl w:val="1"/>
              <w:rPr>
                <w:rFonts w:eastAsia="Times New Roman" w:cs="Calibri"/>
                <w:sz w:val="16"/>
                <w:szCs w:val="16"/>
              </w:rPr>
            </w:pPr>
          </w:p>
        </w:tc>
        <w:tc>
          <w:tcPr>
            <w:tcW w:w="992" w:type="dxa"/>
            <w:vMerge w:val="restart"/>
            <w:tcBorders>
              <w:top w:val="nil"/>
              <w:left w:val="single" w:sz="4" w:space="0" w:color="auto"/>
              <w:bottom w:val="single" w:sz="4" w:space="0" w:color="000000"/>
              <w:right w:val="single" w:sz="4" w:space="0" w:color="auto"/>
            </w:tcBorders>
            <w:shd w:val="clear" w:color="auto" w:fill="FFFFFF"/>
            <w:hideMark/>
          </w:tcPr>
          <w:p w:rsidR="00B951B1" w:rsidRPr="00E61612" w:rsidRDefault="00B951B1" w:rsidP="00CB78E6">
            <w:pPr>
              <w:spacing w:after="0"/>
              <w:outlineLvl w:val="1"/>
              <w:rPr>
                <w:rFonts w:eastAsia="Times New Roman" w:cs="Calibri"/>
                <w:sz w:val="16"/>
                <w:szCs w:val="16"/>
              </w:rPr>
            </w:pPr>
            <w:r w:rsidRPr="00E61612">
              <w:rPr>
                <w:rFonts w:eastAsia="Times New Roman" w:cs="Calibri"/>
                <w:sz w:val="16"/>
                <w:szCs w:val="16"/>
              </w:rPr>
              <w:t xml:space="preserve">B1.2. Përmirësimi i drejtimit </w:t>
            </w:r>
            <w:r w:rsidRPr="00E61612">
              <w:rPr>
                <w:rFonts w:eastAsia="Times New Roman" w:cs="Calibri"/>
                <w:sz w:val="16"/>
                <w:szCs w:val="16"/>
              </w:rPr>
              <w:lastRenderedPageBreak/>
              <w:t>dhe menaxhimit të institucioneve arsimore</w:t>
            </w:r>
          </w:p>
        </w:tc>
        <w:tc>
          <w:tcPr>
            <w:tcW w:w="1309" w:type="dxa"/>
            <w:tcBorders>
              <w:top w:val="nil"/>
              <w:left w:val="nil"/>
              <w:bottom w:val="single" w:sz="4" w:space="0" w:color="auto"/>
              <w:right w:val="single" w:sz="4" w:space="0" w:color="auto"/>
            </w:tcBorders>
            <w:shd w:val="clear" w:color="auto" w:fill="FFFFFF"/>
            <w:hideMark/>
          </w:tcPr>
          <w:p w:rsidR="00B951B1" w:rsidRPr="00E61612" w:rsidRDefault="00B951B1" w:rsidP="00CB78E6">
            <w:pPr>
              <w:spacing w:after="0"/>
              <w:outlineLvl w:val="1"/>
              <w:rPr>
                <w:rFonts w:eastAsia="Times New Roman" w:cs="Calibri"/>
                <w:sz w:val="16"/>
                <w:szCs w:val="16"/>
              </w:rPr>
            </w:pPr>
            <w:r w:rsidRPr="00E61612">
              <w:rPr>
                <w:rFonts w:eastAsia="Times New Roman" w:cs="Calibri"/>
                <w:sz w:val="16"/>
                <w:szCs w:val="16"/>
              </w:rPr>
              <w:lastRenderedPageBreak/>
              <w:t xml:space="preserve">B1.2.1. Trajnimi i drejtuesve të shkollave </w:t>
            </w:r>
          </w:p>
        </w:tc>
        <w:tc>
          <w:tcPr>
            <w:tcW w:w="1067" w:type="dxa"/>
            <w:tcBorders>
              <w:top w:val="nil"/>
              <w:left w:val="single" w:sz="4" w:space="0" w:color="auto"/>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w:t>
            </w:r>
          </w:p>
        </w:tc>
        <w:tc>
          <w:tcPr>
            <w:tcW w:w="851"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10,032</w:t>
            </w:r>
          </w:p>
        </w:tc>
        <w:tc>
          <w:tcPr>
            <w:tcW w:w="992"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w:t>
            </w:r>
          </w:p>
        </w:tc>
        <w:tc>
          <w:tcPr>
            <w:tcW w:w="992" w:type="dxa"/>
            <w:gridSpan w:val="2"/>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10,032</w:t>
            </w:r>
          </w:p>
        </w:tc>
        <w:tc>
          <w:tcPr>
            <w:tcW w:w="992"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w:t>
            </w:r>
          </w:p>
        </w:tc>
        <w:tc>
          <w:tcPr>
            <w:tcW w:w="993"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10,032</w:t>
            </w:r>
          </w:p>
        </w:tc>
        <w:tc>
          <w:tcPr>
            <w:tcW w:w="992"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w:t>
            </w:r>
          </w:p>
        </w:tc>
        <w:tc>
          <w:tcPr>
            <w:tcW w:w="992"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10,032</w:t>
            </w:r>
          </w:p>
        </w:tc>
        <w:tc>
          <w:tcPr>
            <w:tcW w:w="992"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w:t>
            </w:r>
          </w:p>
        </w:tc>
        <w:tc>
          <w:tcPr>
            <w:tcW w:w="851"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w:t>
            </w:r>
          </w:p>
        </w:tc>
        <w:tc>
          <w:tcPr>
            <w:tcW w:w="1134"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10,032</w:t>
            </w:r>
          </w:p>
        </w:tc>
      </w:tr>
      <w:tr w:rsidR="00B951B1" w:rsidRPr="00E61612" w:rsidTr="00CB78E6">
        <w:trPr>
          <w:trHeight w:val="1275"/>
          <w:jc w:val="center"/>
        </w:trPr>
        <w:tc>
          <w:tcPr>
            <w:tcW w:w="992" w:type="dxa"/>
            <w:vMerge/>
            <w:tcBorders>
              <w:top w:val="nil"/>
              <w:left w:val="single" w:sz="4" w:space="0" w:color="auto"/>
              <w:bottom w:val="single" w:sz="4" w:space="0" w:color="auto"/>
              <w:right w:val="single" w:sz="4" w:space="0" w:color="auto"/>
            </w:tcBorders>
            <w:shd w:val="clear" w:color="auto" w:fill="FFFFFF"/>
            <w:hideMark/>
          </w:tcPr>
          <w:p w:rsidR="00B951B1" w:rsidRPr="00E61612" w:rsidRDefault="00B951B1" w:rsidP="00CB78E6">
            <w:pPr>
              <w:spacing w:after="0"/>
              <w:outlineLvl w:val="1"/>
              <w:rPr>
                <w:rFonts w:eastAsia="Times New Roman" w:cs="Calibri"/>
                <w:sz w:val="16"/>
                <w:szCs w:val="16"/>
              </w:rPr>
            </w:pPr>
          </w:p>
        </w:tc>
        <w:tc>
          <w:tcPr>
            <w:tcW w:w="993" w:type="dxa"/>
            <w:vMerge/>
            <w:tcBorders>
              <w:top w:val="nil"/>
              <w:left w:val="single" w:sz="4" w:space="0" w:color="auto"/>
              <w:bottom w:val="single" w:sz="4" w:space="0" w:color="auto"/>
              <w:right w:val="single" w:sz="4" w:space="0" w:color="auto"/>
            </w:tcBorders>
            <w:shd w:val="clear" w:color="auto" w:fill="FFFFFF"/>
            <w:hideMark/>
          </w:tcPr>
          <w:p w:rsidR="00B951B1" w:rsidRPr="00E61612" w:rsidRDefault="00B951B1" w:rsidP="00CB78E6">
            <w:pPr>
              <w:spacing w:after="0"/>
              <w:outlineLvl w:val="1"/>
              <w:rPr>
                <w:rFonts w:eastAsia="Times New Roman" w:cs="Calibri"/>
                <w:sz w:val="16"/>
                <w:szCs w:val="16"/>
              </w:rPr>
            </w:pPr>
          </w:p>
        </w:tc>
        <w:tc>
          <w:tcPr>
            <w:tcW w:w="992" w:type="dxa"/>
            <w:vMerge/>
            <w:tcBorders>
              <w:top w:val="nil"/>
              <w:left w:val="single" w:sz="4" w:space="0" w:color="auto"/>
              <w:bottom w:val="single" w:sz="4" w:space="0" w:color="000000"/>
              <w:right w:val="single" w:sz="4" w:space="0" w:color="auto"/>
            </w:tcBorders>
            <w:shd w:val="clear" w:color="auto" w:fill="FFFFFF"/>
            <w:hideMark/>
          </w:tcPr>
          <w:p w:rsidR="00B951B1" w:rsidRPr="00E61612" w:rsidRDefault="00B951B1" w:rsidP="00CB78E6">
            <w:pPr>
              <w:spacing w:after="0"/>
              <w:outlineLvl w:val="1"/>
              <w:rPr>
                <w:rFonts w:eastAsia="Times New Roman" w:cs="Calibri"/>
                <w:sz w:val="16"/>
                <w:szCs w:val="16"/>
              </w:rPr>
            </w:pPr>
          </w:p>
        </w:tc>
        <w:tc>
          <w:tcPr>
            <w:tcW w:w="1309" w:type="dxa"/>
            <w:tcBorders>
              <w:top w:val="nil"/>
              <w:left w:val="nil"/>
              <w:bottom w:val="single" w:sz="4" w:space="0" w:color="auto"/>
              <w:right w:val="single" w:sz="4" w:space="0" w:color="auto"/>
            </w:tcBorders>
            <w:shd w:val="clear" w:color="auto" w:fill="FFFFFF"/>
            <w:hideMark/>
          </w:tcPr>
          <w:p w:rsidR="00B951B1" w:rsidRPr="00E61612" w:rsidRDefault="00B951B1" w:rsidP="00CB78E6">
            <w:pPr>
              <w:spacing w:after="0"/>
              <w:outlineLvl w:val="1"/>
              <w:rPr>
                <w:rFonts w:eastAsia="Times New Roman" w:cs="Calibri"/>
                <w:sz w:val="16"/>
                <w:szCs w:val="16"/>
              </w:rPr>
            </w:pPr>
            <w:r w:rsidRPr="00E61612">
              <w:rPr>
                <w:rFonts w:eastAsia="Times New Roman" w:cs="Calibri"/>
                <w:sz w:val="16"/>
                <w:szCs w:val="16"/>
              </w:rPr>
              <w:t>B1.2.2. Avancimi i kritereve dhe hartimi i udhëzimeve për emërimin e drejtuesve të shkollave</w:t>
            </w:r>
          </w:p>
        </w:tc>
        <w:tc>
          <w:tcPr>
            <w:tcW w:w="1067" w:type="dxa"/>
            <w:tcBorders>
              <w:top w:val="nil"/>
              <w:left w:val="single" w:sz="4" w:space="0" w:color="auto"/>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w:t>
            </w:r>
          </w:p>
        </w:tc>
        <w:tc>
          <w:tcPr>
            <w:tcW w:w="851"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480</w:t>
            </w:r>
          </w:p>
        </w:tc>
        <w:tc>
          <w:tcPr>
            <w:tcW w:w="992"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w:t>
            </w:r>
          </w:p>
        </w:tc>
        <w:tc>
          <w:tcPr>
            <w:tcW w:w="992" w:type="dxa"/>
            <w:gridSpan w:val="2"/>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480</w:t>
            </w:r>
          </w:p>
        </w:tc>
        <w:tc>
          <w:tcPr>
            <w:tcW w:w="992"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w:t>
            </w:r>
          </w:p>
        </w:tc>
        <w:tc>
          <w:tcPr>
            <w:tcW w:w="993"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480</w:t>
            </w:r>
          </w:p>
        </w:tc>
        <w:tc>
          <w:tcPr>
            <w:tcW w:w="992"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w:t>
            </w:r>
          </w:p>
        </w:tc>
        <w:tc>
          <w:tcPr>
            <w:tcW w:w="992"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w:t>
            </w:r>
          </w:p>
        </w:tc>
        <w:tc>
          <w:tcPr>
            <w:tcW w:w="992"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(480)</w:t>
            </w:r>
          </w:p>
        </w:tc>
        <w:tc>
          <w:tcPr>
            <w:tcW w:w="851"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w:t>
            </w:r>
          </w:p>
        </w:tc>
        <w:tc>
          <w:tcPr>
            <w:tcW w:w="1134"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480</w:t>
            </w:r>
          </w:p>
        </w:tc>
      </w:tr>
      <w:tr w:rsidR="00B951B1" w:rsidRPr="00E61612" w:rsidTr="00CB78E6">
        <w:trPr>
          <w:trHeight w:val="510"/>
          <w:jc w:val="center"/>
        </w:trPr>
        <w:tc>
          <w:tcPr>
            <w:tcW w:w="992" w:type="dxa"/>
            <w:vMerge/>
            <w:tcBorders>
              <w:top w:val="nil"/>
              <w:left w:val="single" w:sz="4" w:space="0" w:color="auto"/>
              <w:bottom w:val="single" w:sz="4" w:space="0" w:color="auto"/>
              <w:right w:val="single" w:sz="4" w:space="0" w:color="auto"/>
            </w:tcBorders>
            <w:shd w:val="clear" w:color="auto" w:fill="FFFFFF"/>
            <w:hideMark/>
          </w:tcPr>
          <w:p w:rsidR="00B951B1" w:rsidRPr="00E61612" w:rsidRDefault="00B951B1" w:rsidP="00CB78E6">
            <w:pPr>
              <w:spacing w:after="0"/>
              <w:outlineLvl w:val="1"/>
              <w:rPr>
                <w:rFonts w:eastAsia="Times New Roman" w:cs="Calibri"/>
                <w:sz w:val="16"/>
                <w:szCs w:val="16"/>
              </w:rPr>
            </w:pPr>
          </w:p>
        </w:tc>
        <w:tc>
          <w:tcPr>
            <w:tcW w:w="993" w:type="dxa"/>
            <w:vMerge/>
            <w:tcBorders>
              <w:top w:val="nil"/>
              <w:left w:val="single" w:sz="4" w:space="0" w:color="auto"/>
              <w:bottom w:val="single" w:sz="4" w:space="0" w:color="auto"/>
              <w:right w:val="single" w:sz="4" w:space="0" w:color="auto"/>
            </w:tcBorders>
            <w:shd w:val="clear" w:color="auto" w:fill="FFFFFF"/>
            <w:hideMark/>
          </w:tcPr>
          <w:p w:rsidR="00B951B1" w:rsidRPr="00E61612" w:rsidRDefault="00B951B1" w:rsidP="00CB78E6">
            <w:pPr>
              <w:spacing w:after="0"/>
              <w:outlineLvl w:val="1"/>
              <w:rPr>
                <w:rFonts w:eastAsia="Times New Roman" w:cs="Calibri"/>
                <w:sz w:val="16"/>
                <w:szCs w:val="16"/>
              </w:rPr>
            </w:pPr>
          </w:p>
        </w:tc>
        <w:tc>
          <w:tcPr>
            <w:tcW w:w="992" w:type="dxa"/>
            <w:vMerge/>
            <w:tcBorders>
              <w:top w:val="nil"/>
              <w:left w:val="single" w:sz="4" w:space="0" w:color="auto"/>
              <w:bottom w:val="single" w:sz="4" w:space="0" w:color="000000"/>
              <w:right w:val="single" w:sz="4" w:space="0" w:color="auto"/>
            </w:tcBorders>
            <w:shd w:val="clear" w:color="auto" w:fill="FFFFFF"/>
            <w:hideMark/>
          </w:tcPr>
          <w:p w:rsidR="00B951B1" w:rsidRPr="00E61612" w:rsidRDefault="00B951B1" w:rsidP="00CB78E6">
            <w:pPr>
              <w:spacing w:after="0"/>
              <w:outlineLvl w:val="1"/>
              <w:rPr>
                <w:rFonts w:eastAsia="Times New Roman" w:cs="Calibri"/>
                <w:sz w:val="16"/>
                <w:szCs w:val="16"/>
              </w:rPr>
            </w:pPr>
          </w:p>
        </w:tc>
        <w:tc>
          <w:tcPr>
            <w:tcW w:w="1309" w:type="dxa"/>
            <w:tcBorders>
              <w:top w:val="nil"/>
              <w:left w:val="nil"/>
              <w:bottom w:val="single" w:sz="4" w:space="0" w:color="auto"/>
              <w:right w:val="single" w:sz="4" w:space="0" w:color="auto"/>
            </w:tcBorders>
            <w:shd w:val="clear" w:color="auto" w:fill="FFFFFF"/>
            <w:hideMark/>
          </w:tcPr>
          <w:p w:rsidR="00B951B1" w:rsidRPr="00E61612" w:rsidRDefault="00B951B1" w:rsidP="00CB78E6">
            <w:pPr>
              <w:spacing w:after="0"/>
              <w:outlineLvl w:val="1"/>
              <w:rPr>
                <w:rFonts w:eastAsia="Times New Roman" w:cs="Calibri"/>
                <w:sz w:val="16"/>
                <w:szCs w:val="16"/>
              </w:rPr>
            </w:pPr>
            <w:r w:rsidRPr="00E61612">
              <w:rPr>
                <w:rFonts w:eastAsia="Times New Roman" w:cs="Calibri"/>
                <w:sz w:val="16"/>
                <w:szCs w:val="16"/>
              </w:rPr>
              <w:t>B1.2.3. Vlerësimi i drejtuesve të shkollave</w:t>
            </w:r>
          </w:p>
        </w:tc>
        <w:tc>
          <w:tcPr>
            <w:tcW w:w="1067" w:type="dxa"/>
            <w:tcBorders>
              <w:top w:val="nil"/>
              <w:left w:val="single" w:sz="4" w:space="0" w:color="auto"/>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w:t>
            </w:r>
          </w:p>
        </w:tc>
        <w:tc>
          <w:tcPr>
            <w:tcW w:w="851"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w:t>
            </w:r>
          </w:p>
        </w:tc>
        <w:tc>
          <w:tcPr>
            <w:tcW w:w="992"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w:t>
            </w:r>
          </w:p>
        </w:tc>
        <w:tc>
          <w:tcPr>
            <w:tcW w:w="992" w:type="dxa"/>
            <w:gridSpan w:val="2"/>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w:t>
            </w:r>
          </w:p>
        </w:tc>
        <w:tc>
          <w:tcPr>
            <w:tcW w:w="992"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w:t>
            </w:r>
          </w:p>
        </w:tc>
        <w:tc>
          <w:tcPr>
            <w:tcW w:w="993"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w:t>
            </w:r>
          </w:p>
        </w:tc>
        <w:tc>
          <w:tcPr>
            <w:tcW w:w="992"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w:t>
            </w:r>
          </w:p>
        </w:tc>
        <w:tc>
          <w:tcPr>
            <w:tcW w:w="992"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w:t>
            </w:r>
          </w:p>
        </w:tc>
        <w:tc>
          <w:tcPr>
            <w:tcW w:w="992"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w:t>
            </w:r>
          </w:p>
        </w:tc>
        <w:tc>
          <w:tcPr>
            <w:tcW w:w="851"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w:t>
            </w:r>
          </w:p>
        </w:tc>
        <w:tc>
          <w:tcPr>
            <w:tcW w:w="1134"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w:t>
            </w:r>
          </w:p>
        </w:tc>
      </w:tr>
      <w:tr w:rsidR="00B951B1" w:rsidRPr="00E61612" w:rsidTr="00CB78E6">
        <w:trPr>
          <w:trHeight w:val="1530"/>
          <w:jc w:val="center"/>
        </w:trPr>
        <w:tc>
          <w:tcPr>
            <w:tcW w:w="992" w:type="dxa"/>
            <w:vMerge/>
            <w:tcBorders>
              <w:top w:val="nil"/>
              <w:left w:val="single" w:sz="4" w:space="0" w:color="auto"/>
              <w:bottom w:val="single" w:sz="4" w:space="0" w:color="auto"/>
              <w:right w:val="single" w:sz="4" w:space="0" w:color="auto"/>
            </w:tcBorders>
            <w:shd w:val="clear" w:color="auto" w:fill="FFFFFF"/>
            <w:hideMark/>
          </w:tcPr>
          <w:p w:rsidR="00B951B1" w:rsidRPr="00E61612" w:rsidRDefault="00B951B1" w:rsidP="00CB78E6">
            <w:pPr>
              <w:spacing w:after="0"/>
              <w:outlineLvl w:val="1"/>
              <w:rPr>
                <w:rFonts w:eastAsia="Times New Roman" w:cs="Calibri"/>
                <w:sz w:val="16"/>
                <w:szCs w:val="16"/>
              </w:rPr>
            </w:pPr>
          </w:p>
        </w:tc>
        <w:tc>
          <w:tcPr>
            <w:tcW w:w="993" w:type="dxa"/>
            <w:vMerge/>
            <w:tcBorders>
              <w:top w:val="nil"/>
              <w:left w:val="single" w:sz="4" w:space="0" w:color="auto"/>
              <w:bottom w:val="single" w:sz="4" w:space="0" w:color="auto"/>
              <w:right w:val="single" w:sz="4" w:space="0" w:color="auto"/>
            </w:tcBorders>
            <w:shd w:val="clear" w:color="auto" w:fill="FFFFFF"/>
            <w:hideMark/>
          </w:tcPr>
          <w:p w:rsidR="00B951B1" w:rsidRPr="00E61612" w:rsidRDefault="00B951B1" w:rsidP="00CB78E6">
            <w:pPr>
              <w:spacing w:after="0"/>
              <w:outlineLvl w:val="1"/>
              <w:rPr>
                <w:rFonts w:eastAsia="Times New Roman" w:cs="Calibri"/>
                <w:sz w:val="16"/>
                <w:szCs w:val="16"/>
              </w:rPr>
            </w:pPr>
          </w:p>
        </w:tc>
        <w:tc>
          <w:tcPr>
            <w:tcW w:w="992" w:type="dxa"/>
            <w:vMerge w:val="restart"/>
            <w:tcBorders>
              <w:top w:val="nil"/>
              <w:left w:val="single" w:sz="4" w:space="0" w:color="auto"/>
              <w:bottom w:val="single" w:sz="4" w:space="0" w:color="000000"/>
              <w:right w:val="single" w:sz="4" w:space="0" w:color="auto"/>
            </w:tcBorders>
            <w:shd w:val="clear" w:color="auto" w:fill="FFFFFF"/>
            <w:hideMark/>
          </w:tcPr>
          <w:p w:rsidR="00B951B1" w:rsidRPr="00E61612" w:rsidRDefault="00B951B1" w:rsidP="00CB78E6">
            <w:pPr>
              <w:spacing w:after="0"/>
              <w:outlineLvl w:val="1"/>
              <w:rPr>
                <w:rFonts w:eastAsia="Times New Roman" w:cs="Calibri"/>
                <w:sz w:val="16"/>
                <w:szCs w:val="16"/>
              </w:rPr>
            </w:pPr>
            <w:r w:rsidRPr="00E61612">
              <w:rPr>
                <w:rFonts w:eastAsia="Times New Roman" w:cs="Calibri"/>
                <w:sz w:val="16"/>
                <w:szCs w:val="16"/>
              </w:rPr>
              <w:t>B1.3. Vlerësimi i jashtëm dhe i brendshëm janë në funksion të përmirësimit të shkollës</w:t>
            </w:r>
          </w:p>
        </w:tc>
        <w:tc>
          <w:tcPr>
            <w:tcW w:w="1309" w:type="dxa"/>
            <w:tcBorders>
              <w:top w:val="nil"/>
              <w:left w:val="nil"/>
              <w:bottom w:val="single" w:sz="4" w:space="0" w:color="auto"/>
              <w:right w:val="single" w:sz="4" w:space="0" w:color="auto"/>
            </w:tcBorders>
            <w:shd w:val="clear" w:color="auto" w:fill="FFFFFF"/>
            <w:hideMark/>
          </w:tcPr>
          <w:p w:rsidR="00B951B1" w:rsidRPr="00E61612" w:rsidRDefault="00B951B1" w:rsidP="00CB78E6">
            <w:pPr>
              <w:spacing w:after="0"/>
              <w:outlineLvl w:val="1"/>
              <w:rPr>
                <w:rFonts w:eastAsia="Times New Roman" w:cs="Calibri"/>
                <w:sz w:val="16"/>
                <w:szCs w:val="16"/>
              </w:rPr>
            </w:pPr>
            <w:r w:rsidRPr="00E61612">
              <w:rPr>
                <w:rFonts w:eastAsia="Times New Roman" w:cs="Calibri"/>
                <w:sz w:val="16"/>
                <w:szCs w:val="16"/>
              </w:rPr>
              <w:t>B1.3.1. Trajnimi i inspektorëve dhe drejtuesve e stafeve të shkollave lidhur me kornizën e vlerësimit të cilësisë</w:t>
            </w:r>
          </w:p>
        </w:tc>
        <w:tc>
          <w:tcPr>
            <w:tcW w:w="1067" w:type="dxa"/>
            <w:tcBorders>
              <w:top w:val="nil"/>
              <w:left w:val="single" w:sz="4" w:space="0" w:color="auto"/>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w:t>
            </w:r>
          </w:p>
        </w:tc>
        <w:tc>
          <w:tcPr>
            <w:tcW w:w="851"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7,534</w:t>
            </w:r>
          </w:p>
        </w:tc>
        <w:tc>
          <w:tcPr>
            <w:tcW w:w="992"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w:t>
            </w:r>
          </w:p>
        </w:tc>
        <w:tc>
          <w:tcPr>
            <w:tcW w:w="992" w:type="dxa"/>
            <w:gridSpan w:val="2"/>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7,534</w:t>
            </w:r>
          </w:p>
        </w:tc>
        <w:tc>
          <w:tcPr>
            <w:tcW w:w="992"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w:t>
            </w:r>
          </w:p>
        </w:tc>
        <w:tc>
          <w:tcPr>
            <w:tcW w:w="993"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7,534</w:t>
            </w:r>
          </w:p>
        </w:tc>
        <w:tc>
          <w:tcPr>
            <w:tcW w:w="992"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w:t>
            </w:r>
          </w:p>
        </w:tc>
        <w:tc>
          <w:tcPr>
            <w:tcW w:w="992"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w:t>
            </w:r>
          </w:p>
        </w:tc>
        <w:tc>
          <w:tcPr>
            <w:tcW w:w="992"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(7,534)</w:t>
            </w:r>
          </w:p>
        </w:tc>
        <w:tc>
          <w:tcPr>
            <w:tcW w:w="851"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w:t>
            </w:r>
          </w:p>
        </w:tc>
        <w:tc>
          <w:tcPr>
            <w:tcW w:w="1134"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7,534</w:t>
            </w:r>
          </w:p>
        </w:tc>
      </w:tr>
      <w:tr w:rsidR="00B951B1" w:rsidRPr="00E61612" w:rsidTr="00CB78E6">
        <w:trPr>
          <w:trHeight w:val="1530"/>
          <w:jc w:val="center"/>
        </w:trPr>
        <w:tc>
          <w:tcPr>
            <w:tcW w:w="992" w:type="dxa"/>
            <w:vMerge/>
            <w:tcBorders>
              <w:top w:val="nil"/>
              <w:left w:val="single" w:sz="4" w:space="0" w:color="auto"/>
              <w:bottom w:val="single" w:sz="4" w:space="0" w:color="auto"/>
              <w:right w:val="single" w:sz="4" w:space="0" w:color="auto"/>
            </w:tcBorders>
            <w:shd w:val="clear" w:color="auto" w:fill="FFFFFF"/>
            <w:hideMark/>
          </w:tcPr>
          <w:p w:rsidR="00B951B1" w:rsidRPr="00E61612" w:rsidRDefault="00B951B1" w:rsidP="00CB78E6">
            <w:pPr>
              <w:spacing w:after="0"/>
              <w:outlineLvl w:val="1"/>
              <w:rPr>
                <w:rFonts w:eastAsia="Times New Roman" w:cs="Calibri"/>
                <w:sz w:val="16"/>
                <w:szCs w:val="16"/>
              </w:rPr>
            </w:pPr>
          </w:p>
        </w:tc>
        <w:tc>
          <w:tcPr>
            <w:tcW w:w="993" w:type="dxa"/>
            <w:vMerge/>
            <w:tcBorders>
              <w:top w:val="nil"/>
              <w:left w:val="single" w:sz="4" w:space="0" w:color="auto"/>
              <w:bottom w:val="single" w:sz="4" w:space="0" w:color="auto"/>
              <w:right w:val="single" w:sz="4" w:space="0" w:color="auto"/>
            </w:tcBorders>
            <w:shd w:val="clear" w:color="auto" w:fill="FFFFFF"/>
            <w:hideMark/>
          </w:tcPr>
          <w:p w:rsidR="00B951B1" w:rsidRPr="00E61612" w:rsidRDefault="00B951B1" w:rsidP="00CB78E6">
            <w:pPr>
              <w:spacing w:after="0"/>
              <w:outlineLvl w:val="1"/>
              <w:rPr>
                <w:rFonts w:eastAsia="Times New Roman" w:cs="Calibri"/>
                <w:sz w:val="16"/>
                <w:szCs w:val="16"/>
              </w:rPr>
            </w:pPr>
          </w:p>
        </w:tc>
        <w:tc>
          <w:tcPr>
            <w:tcW w:w="992" w:type="dxa"/>
            <w:vMerge/>
            <w:tcBorders>
              <w:top w:val="nil"/>
              <w:left w:val="single" w:sz="4" w:space="0" w:color="auto"/>
              <w:bottom w:val="single" w:sz="4" w:space="0" w:color="000000"/>
              <w:right w:val="single" w:sz="4" w:space="0" w:color="auto"/>
            </w:tcBorders>
            <w:shd w:val="clear" w:color="auto" w:fill="FFFFFF"/>
            <w:hideMark/>
          </w:tcPr>
          <w:p w:rsidR="00B951B1" w:rsidRPr="00E61612" w:rsidRDefault="00B951B1" w:rsidP="00CB78E6">
            <w:pPr>
              <w:spacing w:after="0"/>
              <w:outlineLvl w:val="1"/>
              <w:rPr>
                <w:rFonts w:eastAsia="Times New Roman" w:cs="Calibri"/>
                <w:sz w:val="16"/>
                <w:szCs w:val="16"/>
              </w:rPr>
            </w:pPr>
          </w:p>
        </w:tc>
        <w:tc>
          <w:tcPr>
            <w:tcW w:w="1309" w:type="dxa"/>
            <w:tcBorders>
              <w:top w:val="nil"/>
              <w:left w:val="nil"/>
              <w:bottom w:val="single" w:sz="4" w:space="0" w:color="auto"/>
              <w:right w:val="single" w:sz="4" w:space="0" w:color="auto"/>
            </w:tcBorders>
            <w:shd w:val="clear" w:color="auto" w:fill="FFFFFF"/>
            <w:hideMark/>
          </w:tcPr>
          <w:p w:rsidR="00B951B1" w:rsidRPr="00E61612" w:rsidRDefault="00B951B1" w:rsidP="00CB78E6">
            <w:pPr>
              <w:spacing w:after="0"/>
              <w:outlineLvl w:val="1"/>
              <w:rPr>
                <w:rFonts w:eastAsia="Times New Roman" w:cs="Calibri"/>
                <w:sz w:val="16"/>
                <w:szCs w:val="16"/>
              </w:rPr>
            </w:pPr>
            <w:r w:rsidRPr="00E61612">
              <w:rPr>
                <w:rFonts w:eastAsia="Times New Roman" w:cs="Calibri"/>
                <w:sz w:val="16"/>
                <w:szCs w:val="16"/>
              </w:rPr>
              <w:t>B1.3.2. Mbështetja e vazhdueshme e shkollave me performancë të ulët me qëllim përmirësimin e tyre</w:t>
            </w:r>
          </w:p>
        </w:tc>
        <w:tc>
          <w:tcPr>
            <w:tcW w:w="1067" w:type="dxa"/>
            <w:tcBorders>
              <w:top w:val="nil"/>
              <w:left w:val="single" w:sz="4" w:space="0" w:color="auto"/>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w:t>
            </w:r>
          </w:p>
        </w:tc>
        <w:tc>
          <w:tcPr>
            <w:tcW w:w="851"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w:t>
            </w:r>
          </w:p>
        </w:tc>
        <w:tc>
          <w:tcPr>
            <w:tcW w:w="992"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w:t>
            </w:r>
          </w:p>
        </w:tc>
        <w:tc>
          <w:tcPr>
            <w:tcW w:w="992" w:type="dxa"/>
            <w:gridSpan w:val="2"/>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w:t>
            </w:r>
          </w:p>
        </w:tc>
        <w:tc>
          <w:tcPr>
            <w:tcW w:w="992"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w:t>
            </w:r>
          </w:p>
        </w:tc>
        <w:tc>
          <w:tcPr>
            <w:tcW w:w="993"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w:t>
            </w:r>
          </w:p>
        </w:tc>
        <w:tc>
          <w:tcPr>
            <w:tcW w:w="992"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w:t>
            </w:r>
          </w:p>
        </w:tc>
        <w:tc>
          <w:tcPr>
            <w:tcW w:w="992"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w:t>
            </w:r>
          </w:p>
        </w:tc>
        <w:tc>
          <w:tcPr>
            <w:tcW w:w="992"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w:t>
            </w:r>
          </w:p>
        </w:tc>
        <w:tc>
          <w:tcPr>
            <w:tcW w:w="851"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w:t>
            </w:r>
          </w:p>
        </w:tc>
        <w:tc>
          <w:tcPr>
            <w:tcW w:w="1134"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w:t>
            </w:r>
          </w:p>
        </w:tc>
      </w:tr>
      <w:tr w:rsidR="00B951B1" w:rsidRPr="00E61612" w:rsidTr="00CB78E6">
        <w:trPr>
          <w:trHeight w:val="765"/>
          <w:jc w:val="center"/>
        </w:trPr>
        <w:tc>
          <w:tcPr>
            <w:tcW w:w="992" w:type="dxa"/>
            <w:vMerge/>
            <w:tcBorders>
              <w:top w:val="nil"/>
              <w:left w:val="single" w:sz="4" w:space="0" w:color="auto"/>
              <w:bottom w:val="single" w:sz="4" w:space="0" w:color="auto"/>
              <w:right w:val="single" w:sz="4" w:space="0" w:color="auto"/>
            </w:tcBorders>
            <w:shd w:val="clear" w:color="auto" w:fill="FFFFFF"/>
            <w:hideMark/>
          </w:tcPr>
          <w:p w:rsidR="00B951B1" w:rsidRPr="00E61612" w:rsidRDefault="00B951B1" w:rsidP="00CB78E6">
            <w:pPr>
              <w:spacing w:after="0"/>
              <w:outlineLvl w:val="1"/>
              <w:rPr>
                <w:rFonts w:eastAsia="Times New Roman" w:cs="Calibri"/>
                <w:sz w:val="16"/>
                <w:szCs w:val="16"/>
              </w:rPr>
            </w:pPr>
          </w:p>
        </w:tc>
        <w:tc>
          <w:tcPr>
            <w:tcW w:w="993" w:type="dxa"/>
            <w:vMerge/>
            <w:tcBorders>
              <w:top w:val="nil"/>
              <w:left w:val="single" w:sz="4" w:space="0" w:color="auto"/>
              <w:bottom w:val="single" w:sz="4" w:space="0" w:color="auto"/>
              <w:right w:val="single" w:sz="4" w:space="0" w:color="auto"/>
            </w:tcBorders>
            <w:shd w:val="clear" w:color="auto" w:fill="FFFFFF"/>
            <w:hideMark/>
          </w:tcPr>
          <w:p w:rsidR="00B951B1" w:rsidRPr="00E61612" w:rsidRDefault="00B951B1" w:rsidP="00CB78E6">
            <w:pPr>
              <w:spacing w:after="0"/>
              <w:outlineLvl w:val="1"/>
              <w:rPr>
                <w:rFonts w:eastAsia="Times New Roman" w:cs="Calibri"/>
                <w:sz w:val="16"/>
                <w:szCs w:val="16"/>
              </w:rPr>
            </w:pPr>
          </w:p>
        </w:tc>
        <w:tc>
          <w:tcPr>
            <w:tcW w:w="992" w:type="dxa"/>
            <w:vMerge/>
            <w:tcBorders>
              <w:top w:val="nil"/>
              <w:left w:val="single" w:sz="4" w:space="0" w:color="auto"/>
              <w:bottom w:val="single" w:sz="4" w:space="0" w:color="000000"/>
              <w:right w:val="single" w:sz="4" w:space="0" w:color="auto"/>
            </w:tcBorders>
            <w:shd w:val="clear" w:color="auto" w:fill="FFFFFF"/>
            <w:hideMark/>
          </w:tcPr>
          <w:p w:rsidR="00B951B1" w:rsidRPr="00E61612" w:rsidRDefault="00B951B1" w:rsidP="00CB78E6">
            <w:pPr>
              <w:spacing w:after="0"/>
              <w:outlineLvl w:val="1"/>
              <w:rPr>
                <w:rFonts w:eastAsia="Times New Roman" w:cs="Calibri"/>
                <w:sz w:val="16"/>
                <w:szCs w:val="16"/>
              </w:rPr>
            </w:pPr>
          </w:p>
        </w:tc>
        <w:tc>
          <w:tcPr>
            <w:tcW w:w="1309" w:type="dxa"/>
            <w:tcBorders>
              <w:top w:val="nil"/>
              <w:left w:val="nil"/>
              <w:bottom w:val="single" w:sz="4" w:space="0" w:color="auto"/>
              <w:right w:val="single" w:sz="4" w:space="0" w:color="auto"/>
            </w:tcBorders>
            <w:shd w:val="clear" w:color="auto" w:fill="FFFFFF"/>
            <w:hideMark/>
          </w:tcPr>
          <w:p w:rsidR="00B951B1" w:rsidRPr="00E61612" w:rsidRDefault="00B951B1" w:rsidP="00CB78E6">
            <w:pPr>
              <w:spacing w:after="0"/>
              <w:outlineLvl w:val="1"/>
              <w:rPr>
                <w:rFonts w:eastAsia="Times New Roman" w:cs="Calibri"/>
                <w:sz w:val="16"/>
                <w:szCs w:val="16"/>
              </w:rPr>
            </w:pPr>
            <w:r w:rsidRPr="00E61612">
              <w:rPr>
                <w:rFonts w:eastAsia="Times New Roman" w:cs="Calibri"/>
                <w:sz w:val="16"/>
                <w:szCs w:val="16"/>
              </w:rPr>
              <w:t>B1.3.3. Kontrolli i cilësisë të vlerësimeve të jashtme i bazuar në risk</w:t>
            </w:r>
          </w:p>
        </w:tc>
        <w:tc>
          <w:tcPr>
            <w:tcW w:w="1067" w:type="dxa"/>
            <w:tcBorders>
              <w:top w:val="nil"/>
              <w:left w:val="single" w:sz="4" w:space="0" w:color="auto"/>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w:t>
            </w:r>
          </w:p>
        </w:tc>
        <w:tc>
          <w:tcPr>
            <w:tcW w:w="851"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w:t>
            </w:r>
          </w:p>
        </w:tc>
        <w:tc>
          <w:tcPr>
            <w:tcW w:w="992"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w:t>
            </w:r>
          </w:p>
        </w:tc>
        <w:tc>
          <w:tcPr>
            <w:tcW w:w="992" w:type="dxa"/>
            <w:gridSpan w:val="2"/>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w:t>
            </w:r>
          </w:p>
        </w:tc>
        <w:tc>
          <w:tcPr>
            <w:tcW w:w="992"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w:t>
            </w:r>
          </w:p>
        </w:tc>
        <w:tc>
          <w:tcPr>
            <w:tcW w:w="993"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w:t>
            </w:r>
          </w:p>
        </w:tc>
        <w:tc>
          <w:tcPr>
            <w:tcW w:w="992"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w:t>
            </w:r>
          </w:p>
        </w:tc>
        <w:tc>
          <w:tcPr>
            <w:tcW w:w="992"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w:t>
            </w:r>
          </w:p>
        </w:tc>
        <w:tc>
          <w:tcPr>
            <w:tcW w:w="992"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w:t>
            </w:r>
          </w:p>
        </w:tc>
        <w:tc>
          <w:tcPr>
            <w:tcW w:w="851"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w:t>
            </w:r>
          </w:p>
        </w:tc>
        <w:tc>
          <w:tcPr>
            <w:tcW w:w="1134"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w:t>
            </w:r>
          </w:p>
        </w:tc>
      </w:tr>
      <w:tr w:rsidR="00B951B1" w:rsidRPr="00E61612" w:rsidTr="00CB78E6">
        <w:trPr>
          <w:trHeight w:val="255"/>
          <w:jc w:val="center"/>
        </w:trPr>
        <w:tc>
          <w:tcPr>
            <w:tcW w:w="992" w:type="dxa"/>
            <w:vMerge/>
            <w:tcBorders>
              <w:top w:val="nil"/>
              <w:left w:val="single" w:sz="4" w:space="0" w:color="auto"/>
              <w:bottom w:val="single" w:sz="4" w:space="0" w:color="auto"/>
              <w:right w:val="single" w:sz="4" w:space="0" w:color="auto"/>
            </w:tcBorders>
            <w:shd w:val="clear" w:color="auto" w:fill="FFFFFF"/>
            <w:hideMark/>
          </w:tcPr>
          <w:p w:rsidR="00B951B1" w:rsidRPr="00E61612" w:rsidRDefault="00B951B1" w:rsidP="00CB78E6">
            <w:pPr>
              <w:spacing w:after="0"/>
              <w:outlineLvl w:val="0"/>
              <w:rPr>
                <w:rFonts w:eastAsia="Times New Roman" w:cs="Calibri"/>
                <w:sz w:val="16"/>
                <w:szCs w:val="16"/>
              </w:rPr>
            </w:pPr>
          </w:p>
        </w:tc>
        <w:tc>
          <w:tcPr>
            <w:tcW w:w="993" w:type="dxa"/>
            <w:vMerge/>
            <w:tcBorders>
              <w:top w:val="nil"/>
              <w:left w:val="single" w:sz="4" w:space="0" w:color="auto"/>
              <w:bottom w:val="single" w:sz="4" w:space="0" w:color="auto"/>
              <w:right w:val="single" w:sz="4" w:space="0" w:color="auto"/>
            </w:tcBorders>
            <w:shd w:val="clear" w:color="auto" w:fill="FFFFFF"/>
            <w:hideMark/>
          </w:tcPr>
          <w:p w:rsidR="00B951B1" w:rsidRPr="00E61612" w:rsidRDefault="00B951B1" w:rsidP="00CB78E6">
            <w:pPr>
              <w:spacing w:after="0"/>
              <w:outlineLvl w:val="0"/>
              <w:rPr>
                <w:rFonts w:eastAsia="Times New Roman" w:cs="Calibri"/>
                <w:sz w:val="16"/>
                <w:szCs w:val="16"/>
              </w:rPr>
            </w:pPr>
          </w:p>
        </w:tc>
        <w:tc>
          <w:tcPr>
            <w:tcW w:w="2301" w:type="dxa"/>
            <w:gridSpan w:val="2"/>
            <w:tcBorders>
              <w:top w:val="single" w:sz="4" w:space="0" w:color="auto"/>
              <w:left w:val="nil"/>
              <w:bottom w:val="single" w:sz="4" w:space="0" w:color="auto"/>
              <w:right w:val="nil"/>
            </w:tcBorders>
            <w:shd w:val="clear" w:color="auto" w:fill="FFFFFF"/>
            <w:hideMark/>
          </w:tcPr>
          <w:p w:rsidR="00B951B1" w:rsidRPr="00E61612" w:rsidRDefault="00B951B1" w:rsidP="00CB78E6">
            <w:pPr>
              <w:spacing w:after="0"/>
              <w:jc w:val="center"/>
              <w:outlineLvl w:val="0"/>
              <w:rPr>
                <w:rFonts w:eastAsia="Times New Roman" w:cs="Calibri"/>
                <w:i/>
                <w:iCs/>
                <w:sz w:val="16"/>
                <w:szCs w:val="16"/>
              </w:rPr>
            </w:pPr>
            <w:r w:rsidRPr="00E61612">
              <w:rPr>
                <w:rFonts w:eastAsia="Times New Roman" w:cs="Calibri"/>
                <w:i/>
                <w:iCs/>
                <w:sz w:val="16"/>
                <w:szCs w:val="16"/>
              </w:rPr>
              <w:t>TOTAL B1</w:t>
            </w:r>
          </w:p>
        </w:tc>
        <w:tc>
          <w:tcPr>
            <w:tcW w:w="1067" w:type="dxa"/>
            <w:tcBorders>
              <w:top w:val="nil"/>
              <w:left w:val="single" w:sz="4" w:space="0" w:color="auto"/>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0"/>
              <w:rPr>
                <w:rFonts w:eastAsia="Times New Roman" w:cs="Calibri"/>
                <w:i/>
                <w:sz w:val="16"/>
                <w:szCs w:val="16"/>
              </w:rPr>
            </w:pPr>
            <w:r w:rsidRPr="00E61612">
              <w:rPr>
                <w:rFonts w:eastAsia="Times New Roman" w:cs="Calibri"/>
                <w:i/>
                <w:sz w:val="16"/>
                <w:szCs w:val="16"/>
              </w:rPr>
              <w:t>-</w:t>
            </w:r>
          </w:p>
        </w:tc>
        <w:tc>
          <w:tcPr>
            <w:tcW w:w="851"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0"/>
              <w:rPr>
                <w:rFonts w:eastAsia="Times New Roman" w:cs="Calibri"/>
                <w:i/>
                <w:sz w:val="16"/>
                <w:szCs w:val="16"/>
              </w:rPr>
            </w:pPr>
            <w:r w:rsidRPr="00E61612">
              <w:rPr>
                <w:rFonts w:eastAsia="Times New Roman" w:cs="Calibri"/>
                <w:i/>
                <w:sz w:val="16"/>
                <w:szCs w:val="16"/>
              </w:rPr>
              <w:t>21,256</w:t>
            </w:r>
          </w:p>
        </w:tc>
        <w:tc>
          <w:tcPr>
            <w:tcW w:w="992"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0"/>
              <w:rPr>
                <w:rFonts w:eastAsia="Times New Roman" w:cs="Calibri"/>
                <w:i/>
                <w:sz w:val="16"/>
                <w:szCs w:val="16"/>
              </w:rPr>
            </w:pPr>
            <w:r w:rsidRPr="00E61612">
              <w:rPr>
                <w:rFonts w:eastAsia="Times New Roman" w:cs="Calibri"/>
                <w:i/>
                <w:sz w:val="16"/>
                <w:szCs w:val="16"/>
              </w:rPr>
              <w:t>-</w:t>
            </w:r>
          </w:p>
        </w:tc>
        <w:tc>
          <w:tcPr>
            <w:tcW w:w="992" w:type="dxa"/>
            <w:gridSpan w:val="2"/>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0"/>
              <w:rPr>
                <w:rFonts w:eastAsia="Times New Roman" w:cs="Calibri"/>
                <w:i/>
                <w:sz w:val="16"/>
                <w:szCs w:val="16"/>
              </w:rPr>
            </w:pPr>
            <w:r w:rsidRPr="00E61612">
              <w:rPr>
                <w:rFonts w:eastAsia="Times New Roman" w:cs="Calibri"/>
                <w:i/>
                <w:sz w:val="16"/>
                <w:szCs w:val="16"/>
              </w:rPr>
              <w:t>21,256</w:t>
            </w:r>
          </w:p>
        </w:tc>
        <w:tc>
          <w:tcPr>
            <w:tcW w:w="992"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0"/>
              <w:rPr>
                <w:rFonts w:eastAsia="Times New Roman" w:cs="Calibri"/>
                <w:i/>
                <w:sz w:val="16"/>
                <w:szCs w:val="16"/>
              </w:rPr>
            </w:pPr>
            <w:r w:rsidRPr="00E61612">
              <w:rPr>
                <w:rFonts w:eastAsia="Times New Roman" w:cs="Calibri"/>
                <w:i/>
                <w:sz w:val="16"/>
                <w:szCs w:val="16"/>
              </w:rPr>
              <w:t>-</w:t>
            </w:r>
          </w:p>
        </w:tc>
        <w:tc>
          <w:tcPr>
            <w:tcW w:w="993"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0"/>
              <w:rPr>
                <w:rFonts w:eastAsia="Times New Roman" w:cs="Calibri"/>
                <w:i/>
                <w:sz w:val="16"/>
                <w:szCs w:val="16"/>
              </w:rPr>
            </w:pPr>
            <w:r w:rsidRPr="00E61612">
              <w:rPr>
                <w:rFonts w:eastAsia="Times New Roman" w:cs="Calibri"/>
                <w:i/>
                <w:sz w:val="16"/>
                <w:szCs w:val="16"/>
              </w:rPr>
              <w:t>21,256</w:t>
            </w:r>
          </w:p>
        </w:tc>
        <w:tc>
          <w:tcPr>
            <w:tcW w:w="992"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0"/>
              <w:rPr>
                <w:rFonts w:eastAsia="Times New Roman" w:cs="Calibri"/>
                <w:i/>
                <w:sz w:val="16"/>
                <w:szCs w:val="16"/>
              </w:rPr>
            </w:pPr>
            <w:r w:rsidRPr="00E61612">
              <w:rPr>
                <w:rFonts w:eastAsia="Times New Roman" w:cs="Calibri"/>
                <w:i/>
                <w:sz w:val="16"/>
                <w:szCs w:val="16"/>
              </w:rPr>
              <w:t>-</w:t>
            </w:r>
          </w:p>
        </w:tc>
        <w:tc>
          <w:tcPr>
            <w:tcW w:w="992"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0"/>
              <w:rPr>
                <w:rFonts w:eastAsia="Times New Roman" w:cs="Calibri"/>
                <w:i/>
                <w:sz w:val="16"/>
                <w:szCs w:val="16"/>
              </w:rPr>
            </w:pPr>
            <w:r w:rsidRPr="00E61612">
              <w:rPr>
                <w:rFonts w:eastAsia="Times New Roman" w:cs="Calibri"/>
                <w:i/>
                <w:sz w:val="16"/>
                <w:szCs w:val="16"/>
              </w:rPr>
              <w:t>10,032</w:t>
            </w:r>
          </w:p>
        </w:tc>
        <w:tc>
          <w:tcPr>
            <w:tcW w:w="992" w:type="dxa"/>
            <w:tcBorders>
              <w:top w:val="single" w:sz="4" w:space="0" w:color="auto"/>
              <w:left w:val="single" w:sz="4" w:space="0" w:color="auto"/>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0"/>
              <w:rPr>
                <w:rFonts w:eastAsia="Times New Roman" w:cs="Calibri"/>
                <w:i/>
                <w:sz w:val="16"/>
                <w:szCs w:val="16"/>
              </w:rPr>
            </w:pPr>
            <w:r w:rsidRPr="00E61612">
              <w:rPr>
                <w:rFonts w:eastAsia="Times New Roman" w:cs="Calibri"/>
                <w:i/>
                <w:sz w:val="16"/>
                <w:szCs w:val="16"/>
              </w:rPr>
              <w:t>(11,224)</w:t>
            </w:r>
          </w:p>
        </w:tc>
        <w:tc>
          <w:tcPr>
            <w:tcW w:w="851"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0"/>
              <w:rPr>
                <w:rFonts w:eastAsia="Times New Roman" w:cs="Calibri"/>
                <w:i/>
                <w:sz w:val="16"/>
                <w:szCs w:val="16"/>
              </w:rPr>
            </w:pPr>
            <w:r w:rsidRPr="00E61612">
              <w:rPr>
                <w:rFonts w:eastAsia="Times New Roman" w:cs="Calibri"/>
                <w:i/>
                <w:sz w:val="16"/>
                <w:szCs w:val="16"/>
              </w:rPr>
              <w:t>-</w:t>
            </w:r>
          </w:p>
        </w:tc>
        <w:tc>
          <w:tcPr>
            <w:tcW w:w="1134"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0"/>
              <w:rPr>
                <w:rFonts w:eastAsia="Times New Roman" w:cs="Calibri"/>
                <w:i/>
                <w:sz w:val="16"/>
                <w:szCs w:val="16"/>
              </w:rPr>
            </w:pPr>
            <w:r w:rsidRPr="00E61612">
              <w:rPr>
                <w:rFonts w:eastAsia="Times New Roman" w:cs="Calibri"/>
                <w:i/>
                <w:sz w:val="16"/>
                <w:szCs w:val="16"/>
              </w:rPr>
              <w:t>21,256</w:t>
            </w:r>
          </w:p>
        </w:tc>
      </w:tr>
      <w:tr w:rsidR="00B951B1" w:rsidRPr="00E61612" w:rsidTr="00CB78E6">
        <w:trPr>
          <w:trHeight w:val="1785"/>
          <w:jc w:val="center"/>
        </w:trPr>
        <w:tc>
          <w:tcPr>
            <w:tcW w:w="992" w:type="dxa"/>
            <w:vMerge/>
            <w:tcBorders>
              <w:top w:val="nil"/>
              <w:left w:val="single" w:sz="4" w:space="0" w:color="auto"/>
              <w:bottom w:val="single" w:sz="4" w:space="0" w:color="auto"/>
              <w:right w:val="single" w:sz="4" w:space="0" w:color="auto"/>
            </w:tcBorders>
            <w:shd w:val="clear" w:color="auto" w:fill="FFFFFF"/>
            <w:hideMark/>
          </w:tcPr>
          <w:p w:rsidR="00B951B1" w:rsidRPr="00E61612" w:rsidRDefault="00B951B1" w:rsidP="00CB78E6">
            <w:pPr>
              <w:spacing w:after="0"/>
              <w:outlineLvl w:val="1"/>
              <w:rPr>
                <w:rFonts w:eastAsia="Times New Roman" w:cs="Calibri"/>
                <w:sz w:val="16"/>
                <w:szCs w:val="16"/>
              </w:rPr>
            </w:pPr>
          </w:p>
        </w:tc>
        <w:tc>
          <w:tcPr>
            <w:tcW w:w="993" w:type="dxa"/>
            <w:vMerge w:val="restart"/>
            <w:tcBorders>
              <w:top w:val="nil"/>
              <w:left w:val="single" w:sz="4" w:space="0" w:color="auto"/>
              <w:bottom w:val="single" w:sz="4" w:space="0" w:color="auto"/>
              <w:right w:val="single" w:sz="4" w:space="0" w:color="auto"/>
            </w:tcBorders>
            <w:shd w:val="clear" w:color="auto" w:fill="FFFFFF"/>
            <w:hideMark/>
          </w:tcPr>
          <w:p w:rsidR="00B951B1" w:rsidRPr="00E61612" w:rsidRDefault="00B951B1" w:rsidP="00CB78E6">
            <w:pPr>
              <w:spacing w:after="0"/>
              <w:outlineLvl w:val="1"/>
              <w:rPr>
                <w:rFonts w:eastAsia="Times New Roman" w:cs="Calibri"/>
                <w:sz w:val="16"/>
                <w:szCs w:val="16"/>
              </w:rPr>
            </w:pPr>
            <w:r w:rsidRPr="00E61612">
              <w:rPr>
                <w:rFonts w:eastAsia="Times New Roman" w:cs="Calibri"/>
                <w:sz w:val="16"/>
                <w:szCs w:val="16"/>
              </w:rPr>
              <w:t>B2. Garantimi i performancës së sistemit të arsimit përmes ndërtimit të një kornize gjithëpërfshirëse të vlerësimit dhe kapaciteteve për zbatimin e saj</w:t>
            </w:r>
          </w:p>
        </w:tc>
        <w:tc>
          <w:tcPr>
            <w:tcW w:w="992" w:type="dxa"/>
            <w:tcBorders>
              <w:top w:val="nil"/>
              <w:left w:val="nil"/>
              <w:bottom w:val="single" w:sz="4" w:space="0" w:color="auto"/>
              <w:right w:val="single" w:sz="4" w:space="0" w:color="auto"/>
            </w:tcBorders>
            <w:shd w:val="clear" w:color="auto" w:fill="FFFFFF"/>
            <w:hideMark/>
          </w:tcPr>
          <w:p w:rsidR="00B951B1" w:rsidRPr="00E61612" w:rsidRDefault="00B951B1" w:rsidP="00CB78E6">
            <w:pPr>
              <w:spacing w:after="0"/>
              <w:outlineLvl w:val="1"/>
              <w:rPr>
                <w:rFonts w:eastAsia="Times New Roman" w:cs="Calibri"/>
                <w:sz w:val="16"/>
                <w:szCs w:val="16"/>
              </w:rPr>
            </w:pPr>
            <w:r w:rsidRPr="00E61612">
              <w:rPr>
                <w:rFonts w:eastAsia="Times New Roman" w:cs="Calibri"/>
                <w:sz w:val="16"/>
                <w:szCs w:val="16"/>
              </w:rPr>
              <w:t>B2.1. Funksionalizimi i plotë i Sistemit të Menaxhimit të Informacionit Parauniversitar (SMIP)</w:t>
            </w:r>
          </w:p>
        </w:tc>
        <w:tc>
          <w:tcPr>
            <w:tcW w:w="1309" w:type="dxa"/>
            <w:tcBorders>
              <w:top w:val="nil"/>
              <w:left w:val="nil"/>
              <w:bottom w:val="single" w:sz="4" w:space="0" w:color="auto"/>
              <w:right w:val="single" w:sz="4" w:space="0" w:color="auto"/>
            </w:tcBorders>
            <w:shd w:val="clear" w:color="auto" w:fill="FFFFFF"/>
            <w:hideMark/>
          </w:tcPr>
          <w:p w:rsidR="00B951B1" w:rsidRPr="00E61612" w:rsidRDefault="00B951B1" w:rsidP="00CB78E6">
            <w:pPr>
              <w:spacing w:after="0"/>
              <w:outlineLvl w:val="1"/>
              <w:rPr>
                <w:rFonts w:eastAsia="Times New Roman" w:cs="Calibri"/>
                <w:sz w:val="16"/>
                <w:szCs w:val="16"/>
              </w:rPr>
            </w:pPr>
            <w:r w:rsidRPr="00E61612">
              <w:rPr>
                <w:rFonts w:eastAsia="Times New Roman" w:cs="Calibri"/>
                <w:sz w:val="16"/>
                <w:szCs w:val="16"/>
              </w:rPr>
              <w:t>B2.1.1. Konsolidimi i SMIP për ofrimin e të dhënave të nevojshme për vendimmarrje</w:t>
            </w:r>
          </w:p>
        </w:tc>
        <w:tc>
          <w:tcPr>
            <w:tcW w:w="1067" w:type="dxa"/>
            <w:tcBorders>
              <w:top w:val="nil"/>
              <w:left w:val="single" w:sz="4" w:space="0" w:color="auto"/>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w:t>
            </w:r>
          </w:p>
        </w:tc>
        <w:tc>
          <w:tcPr>
            <w:tcW w:w="851"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55,200</w:t>
            </w:r>
          </w:p>
        </w:tc>
        <w:tc>
          <w:tcPr>
            <w:tcW w:w="992"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w:t>
            </w:r>
          </w:p>
        </w:tc>
        <w:tc>
          <w:tcPr>
            <w:tcW w:w="992" w:type="dxa"/>
            <w:gridSpan w:val="2"/>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w:t>
            </w:r>
          </w:p>
        </w:tc>
        <w:tc>
          <w:tcPr>
            <w:tcW w:w="992"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55,200</w:t>
            </w:r>
          </w:p>
        </w:tc>
        <w:tc>
          <w:tcPr>
            <w:tcW w:w="993"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55,200</w:t>
            </w:r>
          </w:p>
        </w:tc>
        <w:tc>
          <w:tcPr>
            <w:tcW w:w="992"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55,200</w:t>
            </w:r>
          </w:p>
        </w:tc>
        <w:tc>
          <w:tcPr>
            <w:tcW w:w="992"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w:t>
            </w:r>
          </w:p>
        </w:tc>
        <w:tc>
          <w:tcPr>
            <w:tcW w:w="992"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w:t>
            </w:r>
          </w:p>
        </w:tc>
        <w:tc>
          <w:tcPr>
            <w:tcW w:w="851"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w:t>
            </w:r>
          </w:p>
        </w:tc>
        <w:tc>
          <w:tcPr>
            <w:tcW w:w="1134"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55,200</w:t>
            </w:r>
          </w:p>
        </w:tc>
      </w:tr>
      <w:tr w:rsidR="00B951B1" w:rsidRPr="00E61612" w:rsidTr="00CB78E6">
        <w:trPr>
          <w:trHeight w:val="416"/>
          <w:jc w:val="center"/>
        </w:trPr>
        <w:tc>
          <w:tcPr>
            <w:tcW w:w="992" w:type="dxa"/>
            <w:vMerge/>
            <w:tcBorders>
              <w:top w:val="nil"/>
              <w:left w:val="single" w:sz="4" w:space="0" w:color="auto"/>
              <w:bottom w:val="single" w:sz="4" w:space="0" w:color="auto"/>
              <w:right w:val="single" w:sz="4" w:space="0" w:color="auto"/>
            </w:tcBorders>
            <w:shd w:val="clear" w:color="auto" w:fill="FFFFFF"/>
            <w:hideMark/>
          </w:tcPr>
          <w:p w:rsidR="00B951B1" w:rsidRPr="00E61612" w:rsidRDefault="00B951B1" w:rsidP="00CB78E6">
            <w:pPr>
              <w:spacing w:after="0"/>
              <w:outlineLvl w:val="1"/>
              <w:rPr>
                <w:rFonts w:eastAsia="Times New Roman" w:cs="Calibri"/>
                <w:sz w:val="16"/>
                <w:szCs w:val="16"/>
              </w:rPr>
            </w:pPr>
          </w:p>
        </w:tc>
        <w:tc>
          <w:tcPr>
            <w:tcW w:w="993" w:type="dxa"/>
            <w:vMerge/>
            <w:tcBorders>
              <w:top w:val="nil"/>
              <w:left w:val="single" w:sz="4" w:space="0" w:color="auto"/>
              <w:bottom w:val="single" w:sz="4" w:space="0" w:color="auto"/>
              <w:right w:val="single" w:sz="4" w:space="0" w:color="auto"/>
            </w:tcBorders>
            <w:shd w:val="clear" w:color="auto" w:fill="FFFFFF"/>
            <w:hideMark/>
          </w:tcPr>
          <w:p w:rsidR="00B951B1" w:rsidRPr="00E61612" w:rsidRDefault="00B951B1" w:rsidP="00CB78E6">
            <w:pPr>
              <w:spacing w:after="0"/>
              <w:outlineLvl w:val="1"/>
              <w:rPr>
                <w:rFonts w:eastAsia="Times New Roman" w:cs="Calibri"/>
                <w:sz w:val="16"/>
                <w:szCs w:val="16"/>
              </w:rPr>
            </w:pPr>
          </w:p>
        </w:tc>
        <w:tc>
          <w:tcPr>
            <w:tcW w:w="992" w:type="dxa"/>
            <w:tcBorders>
              <w:top w:val="nil"/>
              <w:left w:val="nil"/>
              <w:bottom w:val="single" w:sz="4" w:space="0" w:color="auto"/>
              <w:right w:val="single" w:sz="4" w:space="0" w:color="auto"/>
            </w:tcBorders>
            <w:shd w:val="clear" w:color="auto" w:fill="FFFFFF"/>
            <w:hideMark/>
          </w:tcPr>
          <w:p w:rsidR="00B951B1" w:rsidRPr="00E61612" w:rsidRDefault="00B951B1" w:rsidP="00CB78E6">
            <w:pPr>
              <w:spacing w:after="0"/>
              <w:outlineLvl w:val="1"/>
              <w:rPr>
                <w:rFonts w:eastAsia="Times New Roman" w:cs="Calibri"/>
                <w:sz w:val="16"/>
                <w:szCs w:val="16"/>
              </w:rPr>
            </w:pPr>
            <w:r w:rsidRPr="00E61612">
              <w:rPr>
                <w:rFonts w:eastAsia="Times New Roman" w:cs="Calibri"/>
                <w:sz w:val="16"/>
                <w:szCs w:val="16"/>
              </w:rPr>
              <w:t>B2.2. Krijimi i Sistemit për Menaxhimin e Informacionit në Arsimin e Lartë (SMIAL)</w:t>
            </w:r>
          </w:p>
        </w:tc>
        <w:tc>
          <w:tcPr>
            <w:tcW w:w="1309" w:type="dxa"/>
            <w:tcBorders>
              <w:top w:val="nil"/>
              <w:left w:val="nil"/>
              <w:bottom w:val="single" w:sz="4" w:space="0" w:color="auto"/>
              <w:right w:val="single" w:sz="4" w:space="0" w:color="auto"/>
            </w:tcBorders>
            <w:shd w:val="clear" w:color="auto" w:fill="FFFFFF"/>
            <w:hideMark/>
          </w:tcPr>
          <w:p w:rsidR="00B951B1" w:rsidRPr="00E61612" w:rsidRDefault="00B951B1" w:rsidP="00CB78E6">
            <w:pPr>
              <w:spacing w:after="0"/>
              <w:outlineLvl w:val="1"/>
              <w:rPr>
                <w:rFonts w:eastAsia="Times New Roman" w:cs="Calibri"/>
                <w:sz w:val="16"/>
                <w:szCs w:val="16"/>
              </w:rPr>
            </w:pPr>
            <w:r w:rsidRPr="00E61612">
              <w:rPr>
                <w:rFonts w:eastAsia="Times New Roman" w:cs="Calibri"/>
                <w:sz w:val="16"/>
                <w:szCs w:val="16"/>
              </w:rPr>
              <w:t>B2.2.1. Zhvillimi dhe zbatimi i SMIAL</w:t>
            </w:r>
          </w:p>
        </w:tc>
        <w:tc>
          <w:tcPr>
            <w:tcW w:w="1067" w:type="dxa"/>
            <w:tcBorders>
              <w:top w:val="nil"/>
              <w:left w:val="single" w:sz="4" w:space="0" w:color="auto"/>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w:t>
            </w:r>
          </w:p>
        </w:tc>
        <w:tc>
          <w:tcPr>
            <w:tcW w:w="851"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9,000</w:t>
            </w:r>
          </w:p>
        </w:tc>
        <w:tc>
          <w:tcPr>
            <w:tcW w:w="992"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36,000</w:t>
            </w:r>
          </w:p>
        </w:tc>
        <w:tc>
          <w:tcPr>
            <w:tcW w:w="992" w:type="dxa"/>
            <w:gridSpan w:val="2"/>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36,000</w:t>
            </w:r>
          </w:p>
        </w:tc>
        <w:tc>
          <w:tcPr>
            <w:tcW w:w="992"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9,000</w:t>
            </w:r>
          </w:p>
        </w:tc>
        <w:tc>
          <w:tcPr>
            <w:tcW w:w="993"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45,000</w:t>
            </w:r>
          </w:p>
        </w:tc>
        <w:tc>
          <w:tcPr>
            <w:tcW w:w="992"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w:t>
            </w:r>
          </w:p>
        </w:tc>
        <w:tc>
          <w:tcPr>
            <w:tcW w:w="992"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w:t>
            </w:r>
          </w:p>
        </w:tc>
        <w:tc>
          <w:tcPr>
            <w:tcW w:w="992"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(45,000)</w:t>
            </w:r>
          </w:p>
        </w:tc>
        <w:tc>
          <w:tcPr>
            <w:tcW w:w="851"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w:t>
            </w:r>
          </w:p>
        </w:tc>
        <w:tc>
          <w:tcPr>
            <w:tcW w:w="1134"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45,000</w:t>
            </w:r>
          </w:p>
        </w:tc>
      </w:tr>
      <w:tr w:rsidR="00B951B1" w:rsidRPr="00E61612" w:rsidTr="00CB78E6">
        <w:trPr>
          <w:trHeight w:val="1020"/>
          <w:jc w:val="center"/>
        </w:trPr>
        <w:tc>
          <w:tcPr>
            <w:tcW w:w="992" w:type="dxa"/>
            <w:vMerge/>
            <w:tcBorders>
              <w:top w:val="nil"/>
              <w:left w:val="single" w:sz="4" w:space="0" w:color="auto"/>
              <w:bottom w:val="single" w:sz="4" w:space="0" w:color="auto"/>
              <w:right w:val="single" w:sz="4" w:space="0" w:color="auto"/>
            </w:tcBorders>
            <w:shd w:val="clear" w:color="auto" w:fill="FFFFFF"/>
            <w:hideMark/>
          </w:tcPr>
          <w:p w:rsidR="00B951B1" w:rsidRPr="00E61612" w:rsidRDefault="00B951B1" w:rsidP="00CB78E6">
            <w:pPr>
              <w:spacing w:after="0"/>
              <w:outlineLvl w:val="1"/>
              <w:rPr>
                <w:rFonts w:eastAsia="Times New Roman" w:cs="Calibri"/>
                <w:sz w:val="16"/>
                <w:szCs w:val="16"/>
              </w:rPr>
            </w:pPr>
          </w:p>
        </w:tc>
        <w:tc>
          <w:tcPr>
            <w:tcW w:w="993" w:type="dxa"/>
            <w:vMerge/>
            <w:tcBorders>
              <w:top w:val="nil"/>
              <w:left w:val="single" w:sz="4" w:space="0" w:color="auto"/>
              <w:bottom w:val="single" w:sz="4" w:space="0" w:color="auto"/>
              <w:right w:val="single" w:sz="4" w:space="0" w:color="auto"/>
            </w:tcBorders>
            <w:shd w:val="clear" w:color="auto" w:fill="FFFFFF"/>
            <w:hideMark/>
          </w:tcPr>
          <w:p w:rsidR="00B951B1" w:rsidRPr="00E61612" w:rsidRDefault="00B951B1" w:rsidP="00CB78E6">
            <w:pPr>
              <w:spacing w:after="0"/>
              <w:outlineLvl w:val="1"/>
              <w:rPr>
                <w:rFonts w:eastAsia="Times New Roman" w:cs="Calibri"/>
                <w:sz w:val="16"/>
                <w:szCs w:val="16"/>
              </w:rPr>
            </w:pPr>
          </w:p>
        </w:tc>
        <w:tc>
          <w:tcPr>
            <w:tcW w:w="992" w:type="dxa"/>
            <w:tcBorders>
              <w:top w:val="nil"/>
              <w:left w:val="nil"/>
              <w:bottom w:val="single" w:sz="4" w:space="0" w:color="auto"/>
              <w:right w:val="single" w:sz="4" w:space="0" w:color="auto"/>
            </w:tcBorders>
            <w:shd w:val="clear" w:color="auto" w:fill="FFFFFF"/>
            <w:hideMark/>
          </w:tcPr>
          <w:p w:rsidR="00B951B1" w:rsidRPr="00E61612" w:rsidRDefault="00B951B1" w:rsidP="00CB78E6">
            <w:pPr>
              <w:spacing w:after="0"/>
              <w:outlineLvl w:val="1"/>
              <w:rPr>
                <w:rFonts w:eastAsia="Times New Roman" w:cs="Calibri"/>
                <w:sz w:val="16"/>
                <w:szCs w:val="16"/>
              </w:rPr>
            </w:pPr>
            <w:r w:rsidRPr="00E61612">
              <w:rPr>
                <w:rFonts w:eastAsia="Times New Roman" w:cs="Calibri"/>
                <w:sz w:val="16"/>
                <w:szCs w:val="16"/>
              </w:rPr>
              <w:t>B2.3. Përcaktimi i treguesve kombëtarë të arsimit</w:t>
            </w:r>
          </w:p>
        </w:tc>
        <w:tc>
          <w:tcPr>
            <w:tcW w:w="1309" w:type="dxa"/>
            <w:tcBorders>
              <w:top w:val="nil"/>
              <w:left w:val="nil"/>
              <w:bottom w:val="single" w:sz="4" w:space="0" w:color="auto"/>
              <w:right w:val="single" w:sz="4" w:space="0" w:color="auto"/>
            </w:tcBorders>
            <w:shd w:val="clear" w:color="auto" w:fill="FFFFFF"/>
            <w:hideMark/>
          </w:tcPr>
          <w:p w:rsidR="00B951B1" w:rsidRPr="00E61612" w:rsidRDefault="00B951B1" w:rsidP="00CB78E6">
            <w:pPr>
              <w:spacing w:after="0"/>
              <w:outlineLvl w:val="1"/>
              <w:rPr>
                <w:rFonts w:eastAsia="Times New Roman" w:cs="Calibri"/>
                <w:sz w:val="16"/>
                <w:szCs w:val="16"/>
              </w:rPr>
            </w:pPr>
            <w:r w:rsidRPr="00E61612">
              <w:rPr>
                <w:rFonts w:eastAsia="Times New Roman" w:cs="Calibri"/>
                <w:sz w:val="16"/>
                <w:szCs w:val="16"/>
              </w:rPr>
              <w:t>B2.3.1. Zhvillimi i paketës së treguesve kombëtarë të arsimit</w:t>
            </w:r>
          </w:p>
        </w:tc>
        <w:tc>
          <w:tcPr>
            <w:tcW w:w="1067" w:type="dxa"/>
            <w:tcBorders>
              <w:top w:val="nil"/>
              <w:left w:val="single" w:sz="4" w:space="0" w:color="auto"/>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w:t>
            </w:r>
          </w:p>
        </w:tc>
        <w:tc>
          <w:tcPr>
            <w:tcW w:w="851"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5,760</w:t>
            </w:r>
          </w:p>
        </w:tc>
        <w:tc>
          <w:tcPr>
            <w:tcW w:w="992"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w:t>
            </w:r>
          </w:p>
        </w:tc>
        <w:tc>
          <w:tcPr>
            <w:tcW w:w="992" w:type="dxa"/>
            <w:gridSpan w:val="2"/>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5,760</w:t>
            </w:r>
          </w:p>
        </w:tc>
        <w:tc>
          <w:tcPr>
            <w:tcW w:w="992"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w:t>
            </w:r>
          </w:p>
        </w:tc>
        <w:tc>
          <w:tcPr>
            <w:tcW w:w="993"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5,760</w:t>
            </w:r>
          </w:p>
        </w:tc>
        <w:tc>
          <w:tcPr>
            <w:tcW w:w="992"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w:t>
            </w:r>
          </w:p>
        </w:tc>
        <w:tc>
          <w:tcPr>
            <w:tcW w:w="992"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5,760</w:t>
            </w:r>
          </w:p>
        </w:tc>
        <w:tc>
          <w:tcPr>
            <w:tcW w:w="992"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w:t>
            </w:r>
          </w:p>
        </w:tc>
        <w:tc>
          <w:tcPr>
            <w:tcW w:w="851"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w:t>
            </w:r>
          </w:p>
        </w:tc>
        <w:tc>
          <w:tcPr>
            <w:tcW w:w="1134"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5,760</w:t>
            </w:r>
          </w:p>
        </w:tc>
      </w:tr>
      <w:tr w:rsidR="00B951B1" w:rsidRPr="00E61612" w:rsidTr="00CB78E6">
        <w:trPr>
          <w:trHeight w:val="1020"/>
          <w:jc w:val="center"/>
        </w:trPr>
        <w:tc>
          <w:tcPr>
            <w:tcW w:w="992" w:type="dxa"/>
            <w:vMerge/>
            <w:tcBorders>
              <w:top w:val="nil"/>
              <w:left w:val="single" w:sz="4" w:space="0" w:color="auto"/>
              <w:bottom w:val="single" w:sz="4" w:space="0" w:color="auto"/>
              <w:right w:val="single" w:sz="4" w:space="0" w:color="auto"/>
            </w:tcBorders>
            <w:shd w:val="clear" w:color="auto" w:fill="FFFFFF"/>
            <w:hideMark/>
          </w:tcPr>
          <w:p w:rsidR="00B951B1" w:rsidRPr="00E61612" w:rsidRDefault="00B951B1" w:rsidP="00CB78E6">
            <w:pPr>
              <w:spacing w:after="0"/>
              <w:outlineLvl w:val="1"/>
              <w:rPr>
                <w:rFonts w:eastAsia="Times New Roman" w:cs="Calibri"/>
                <w:sz w:val="16"/>
                <w:szCs w:val="16"/>
              </w:rPr>
            </w:pPr>
          </w:p>
        </w:tc>
        <w:tc>
          <w:tcPr>
            <w:tcW w:w="993" w:type="dxa"/>
            <w:vMerge/>
            <w:tcBorders>
              <w:top w:val="nil"/>
              <w:left w:val="single" w:sz="4" w:space="0" w:color="auto"/>
              <w:bottom w:val="single" w:sz="4" w:space="0" w:color="auto"/>
              <w:right w:val="single" w:sz="4" w:space="0" w:color="auto"/>
            </w:tcBorders>
            <w:shd w:val="clear" w:color="auto" w:fill="FFFFFF"/>
            <w:hideMark/>
          </w:tcPr>
          <w:p w:rsidR="00B951B1" w:rsidRPr="00E61612" w:rsidRDefault="00B951B1" w:rsidP="00CB78E6">
            <w:pPr>
              <w:spacing w:after="0"/>
              <w:outlineLvl w:val="1"/>
              <w:rPr>
                <w:rFonts w:eastAsia="Times New Roman" w:cs="Calibri"/>
                <w:sz w:val="16"/>
                <w:szCs w:val="16"/>
              </w:rPr>
            </w:pPr>
          </w:p>
        </w:tc>
        <w:tc>
          <w:tcPr>
            <w:tcW w:w="992" w:type="dxa"/>
            <w:vMerge w:val="restart"/>
            <w:tcBorders>
              <w:top w:val="nil"/>
              <w:left w:val="single" w:sz="4" w:space="0" w:color="auto"/>
              <w:bottom w:val="single" w:sz="4" w:space="0" w:color="000000"/>
              <w:right w:val="single" w:sz="4" w:space="0" w:color="auto"/>
            </w:tcBorders>
            <w:shd w:val="clear" w:color="auto" w:fill="FFFFFF"/>
            <w:hideMark/>
          </w:tcPr>
          <w:p w:rsidR="00B951B1" w:rsidRPr="00E61612" w:rsidRDefault="00B951B1" w:rsidP="00CB78E6">
            <w:pPr>
              <w:spacing w:after="0"/>
              <w:outlineLvl w:val="1"/>
              <w:rPr>
                <w:rFonts w:eastAsia="Times New Roman" w:cs="Calibri"/>
                <w:sz w:val="16"/>
                <w:szCs w:val="16"/>
              </w:rPr>
            </w:pPr>
            <w:r w:rsidRPr="00E61612">
              <w:rPr>
                <w:rFonts w:eastAsia="Times New Roman" w:cs="Calibri"/>
                <w:sz w:val="16"/>
                <w:szCs w:val="16"/>
              </w:rPr>
              <w:t xml:space="preserve">B2.4. Ndërtimi i kapaciteteve për vlerësimin e </w:t>
            </w:r>
            <w:r w:rsidRPr="00E61612">
              <w:rPr>
                <w:rFonts w:eastAsia="Times New Roman" w:cs="Calibri"/>
                <w:sz w:val="16"/>
                <w:szCs w:val="16"/>
              </w:rPr>
              <w:lastRenderedPageBreak/>
              <w:t>performancës së sistemit</w:t>
            </w:r>
          </w:p>
        </w:tc>
        <w:tc>
          <w:tcPr>
            <w:tcW w:w="1309" w:type="dxa"/>
            <w:tcBorders>
              <w:top w:val="nil"/>
              <w:left w:val="nil"/>
              <w:bottom w:val="single" w:sz="4" w:space="0" w:color="auto"/>
              <w:right w:val="single" w:sz="4" w:space="0" w:color="auto"/>
            </w:tcBorders>
            <w:shd w:val="clear" w:color="auto" w:fill="FFFFFF"/>
            <w:hideMark/>
          </w:tcPr>
          <w:p w:rsidR="00B951B1" w:rsidRPr="00E61612" w:rsidRDefault="00B951B1" w:rsidP="00CB78E6">
            <w:pPr>
              <w:spacing w:after="0"/>
              <w:outlineLvl w:val="1"/>
              <w:rPr>
                <w:rFonts w:eastAsia="Times New Roman" w:cs="Calibri"/>
                <w:sz w:val="16"/>
                <w:szCs w:val="16"/>
              </w:rPr>
            </w:pPr>
            <w:r w:rsidRPr="00E61612">
              <w:rPr>
                <w:rFonts w:eastAsia="Times New Roman" w:cs="Calibri"/>
                <w:sz w:val="16"/>
                <w:szCs w:val="16"/>
              </w:rPr>
              <w:lastRenderedPageBreak/>
              <w:t>B2.4.1. Përcaktimi i metodologjisë për analizën e performancës së sistemit</w:t>
            </w:r>
          </w:p>
        </w:tc>
        <w:tc>
          <w:tcPr>
            <w:tcW w:w="1067" w:type="dxa"/>
            <w:tcBorders>
              <w:top w:val="nil"/>
              <w:left w:val="single" w:sz="4" w:space="0" w:color="auto"/>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w:t>
            </w:r>
          </w:p>
        </w:tc>
        <w:tc>
          <w:tcPr>
            <w:tcW w:w="851"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2,880</w:t>
            </w:r>
          </w:p>
        </w:tc>
        <w:tc>
          <w:tcPr>
            <w:tcW w:w="992"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w:t>
            </w:r>
          </w:p>
        </w:tc>
        <w:tc>
          <w:tcPr>
            <w:tcW w:w="992" w:type="dxa"/>
            <w:gridSpan w:val="2"/>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2,880</w:t>
            </w:r>
          </w:p>
        </w:tc>
        <w:tc>
          <w:tcPr>
            <w:tcW w:w="992"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w:t>
            </w:r>
          </w:p>
        </w:tc>
        <w:tc>
          <w:tcPr>
            <w:tcW w:w="993"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2,880</w:t>
            </w:r>
          </w:p>
        </w:tc>
        <w:tc>
          <w:tcPr>
            <w:tcW w:w="992"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w:t>
            </w:r>
          </w:p>
        </w:tc>
        <w:tc>
          <w:tcPr>
            <w:tcW w:w="992"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2,880</w:t>
            </w:r>
          </w:p>
        </w:tc>
        <w:tc>
          <w:tcPr>
            <w:tcW w:w="992"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w:t>
            </w:r>
          </w:p>
        </w:tc>
        <w:tc>
          <w:tcPr>
            <w:tcW w:w="851"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w:t>
            </w:r>
          </w:p>
        </w:tc>
        <w:tc>
          <w:tcPr>
            <w:tcW w:w="1134"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2,880</w:t>
            </w:r>
          </w:p>
        </w:tc>
      </w:tr>
      <w:tr w:rsidR="00B951B1" w:rsidRPr="00E61612" w:rsidTr="00CB78E6">
        <w:trPr>
          <w:trHeight w:val="765"/>
          <w:jc w:val="center"/>
        </w:trPr>
        <w:tc>
          <w:tcPr>
            <w:tcW w:w="992" w:type="dxa"/>
            <w:vMerge/>
            <w:tcBorders>
              <w:top w:val="nil"/>
              <w:left w:val="single" w:sz="4" w:space="0" w:color="auto"/>
              <w:bottom w:val="single" w:sz="4" w:space="0" w:color="auto"/>
              <w:right w:val="single" w:sz="4" w:space="0" w:color="auto"/>
            </w:tcBorders>
            <w:shd w:val="clear" w:color="auto" w:fill="FFFFFF"/>
            <w:hideMark/>
          </w:tcPr>
          <w:p w:rsidR="00B951B1" w:rsidRPr="00E61612" w:rsidRDefault="00B951B1" w:rsidP="00CB78E6">
            <w:pPr>
              <w:spacing w:after="0"/>
              <w:outlineLvl w:val="1"/>
              <w:rPr>
                <w:rFonts w:eastAsia="Times New Roman" w:cs="Calibri"/>
                <w:sz w:val="16"/>
                <w:szCs w:val="16"/>
              </w:rPr>
            </w:pPr>
          </w:p>
        </w:tc>
        <w:tc>
          <w:tcPr>
            <w:tcW w:w="993" w:type="dxa"/>
            <w:vMerge/>
            <w:tcBorders>
              <w:top w:val="nil"/>
              <w:left w:val="single" w:sz="4" w:space="0" w:color="auto"/>
              <w:bottom w:val="single" w:sz="4" w:space="0" w:color="auto"/>
              <w:right w:val="single" w:sz="4" w:space="0" w:color="auto"/>
            </w:tcBorders>
            <w:shd w:val="clear" w:color="auto" w:fill="FFFFFF"/>
            <w:hideMark/>
          </w:tcPr>
          <w:p w:rsidR="00B951B1" w:rsidRPr="00E61612" w:rsidRDefault="00B951B1" w:rsidP="00CB78E6">
            <w:pPr>
              <w:spacing w:after="0"/>
              <w:outlineLvl w:val="1"/>
              <w:rPr>
                <w:rFonts w:eastAsia="Times New Roman" w:cs="Calibri"/>
                <w:sz w:val="16"/>
                <w:szCs w:val="16"/>
              </w:rPr>
            </w:pPr>
          </w:p>
        </w:tc>
        <w:tc>
          <w:tcPr>
            <w:tcW w:w="992" w:type="dxa"/>
            <w:vMerge/>
            <w:tcBorders>
              <w:top w:val="nil"/>
              <w:left w:val="single" w:sz="4" w:space="0" w:color="auto"/>
              <w:bottom w:val="single" w:sz="4" w:space="0" w:color="000000"/>
              <w:right w:val="single" w:sz="4" w:space="0" w:color="auto"/>
            </w:tcBorders>
            <w:shd w:val="clear" w:color="auto" w:fill="FFFFFF"/>
            <w:hideMark/>
          </w:tcPr>
          <w:p w:rsidR="00B951B1" w:rsidRPr="00E61612" w:rsidRDefault="00B951B1" w:rsidP="00CB78E6">
            <w:pPr>
              <w:spacing w:after="0"/>
              <w:outlineLvl w:val="1"/>
              <w:rPr>
                <w:rFonts w:eastAsia="Times New Roman" w:cs="Calibri"/>
                <w:sz w:val="16"/>
                <w:szCs w:val="16"/>
              </w:rPr>
            </w:pPr>
          </w:p>
        </w:tc>
        <w:tc>
          <w:tcPr>
            <w:tcW w:w="1309" w:type="dxa"/>
            <w:tcBorders>
              <w:top w:val="nil"/>
              <w:left w:val="nil"/>
              <w:bottom w:val="single" w:sz="4" w:space="0" w:color="auto"/>
              <w:right w:val="single" w:sz="4" w:space="0" w:color="auto"/>
            </w:tcBorders>
            <w:shd w:val="clear" w:color="auto" w:fill="FFFFFF"/>
            <w:hideMark/>
          </w:tcPr>
          <w:p w:rsidR="00B951B1" w:rsidRPr="00E61612" w:rsidRDefault="00B951B1" w:rsidP="00CB78E6">
            <w:pPr>
              <w:spacing w:after="0"/>
              <w:outlineLvl w:val="1"/>
              <w:rPr>
                <w:rFonts w:eastAsia="Times New Roman" w:cs="Calibri"/>
                <w:sz w:val="16"/>
                <w:szCs w:val="16"/>
              </w:rPr>
            </w:pPr>
            <w:r w:rsidRPr="00E61612">
              <w:rPr>
                <w:rFonts w:eastAsia="Times New Roman" w:cs="Calibri"/>
                <w:sz w:val="16"/>
                <w:szCs w:val="16"/>
              </w:rPr>
              <w:t>B2.4.2. Analiza vjetore e performancës së sistemit</w:t>
            </w:r>
          </w:p>
        </w:tc>
        <w:tc>
          <w:tcPr>
            <w:tcW w:w="1067" w:type="dxa"/>
            <w:tcBorders>
              <w:top w:val="nil"/>
              <w:left w:val="single" w:sz="4" w:space="0" w:color="auto"/>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w:t>
            </w:r>
          </w:p>
        </w:tc>
        <w:tc>
          <w:tcPr>
            <w:tcW w:w="851"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4,940</w:t>
            </w:r>
          </w:p>
        </w:tc>
        <w:tc>
          <w:tcPr>
            <w:tcW w:w="992"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w:t>
            </w:r>
          </w:p>
        </w:tc>
        <w:tc>
          <w:tcPr>
            <w:tcW w:w="992" w:type="dxa"/>
            <w:gridSpan w:val="2"/>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4,940</w:t>
            </w:r>
          </w:p>
        </w:tc>
        <w:tc>
          <w:tcPr>
            <w:tcW w:w="992"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w:t>
            </w:r>
          </w:p>
        </w:tc>
        <w:tc>
          <w:tcPr>
            <w:tcW w:w="993"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4,940</w:t>
            </w:r>
          </w:p>
        </w:tc>
        <w:tc>
          <w:tcPr>
            <w:tcW w:w="992"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w:t>
            </w:r>
          </w:p>
        </w:tc>
        <w:tc>
          <w:tcPr>
            <w:tcW w:w="992"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w:t>
            </w:r>
          </w:p>
        </w:tc>
        <w:tc>
          <w:tcPr>
            <w:tcW w:w="992"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(4,940)</w:t>
            </w:r>
          </w:p>
        </w:tc>
        <w:tc>
          <w:tcPr>
            <w:tcW w:w="851"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w:t>
            </w:r>
          </w:p>
        </w:tc>
        <w:tc>
          <w:tcPr>
            <w:tcW w:w="1134"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4,940</w:t>
            </w:r>
          </w:p>
        </w:tc>
      </w:tr>
      <w:tr w:rsidR="00B951B1" w:rsidRPr="00E61612" w:rsidTr="00CB78E6">
        <w:trPr>
          <w:trHeight w:val="255"/>
          <w:jc w:val="center"/>
        </w:trPr>
        <w:tc>
          <w:tcPr>
            <w:tcW w:w="992" w:type="dxa"/>
            <w:vMerge/>
            <w:tcBorders>
              <w:top w:val="nil"/>
              <w:left w:val="single" w:sz="4" w:space="0" w:color="auto"/>
              <w:bottom w:val="single" w:sz="4" w:space="0" w:color="auto"/>
              <w:right w:val="single" w:sz="4" w:space="0" w:color="auto"/>
            </w:tcBorders>
            <w:shd w:val="clear" w:color="auto" w:fill="FFFFFF"/>
            <w:hideMark/>
          </w:tcPr>
          <w:p w:rsidR="00B951B1" w:rsidRPr="00E61612" w:rsidRDefault="00B951B1" w:rsidP="00CB78E6">
            <w:pPr>
              <w:spacing w:after="0"/>
              <w:outlineLvl w:val="0"/>
              <w:rPr>
                <w:rFonts w:eastAsia="Times New Roman" w:cs="Calibri"/>
                <w:sz w:val="16"/>
                <w:szCs w:val="16"/>
              </w:rPr>
            </w:pPr>
          </w:p>
        </w:tc>
        <w:tc>
          <w:tcPr>
            <w:tcW w:w="993" w:type="dxa"/>
            <w:vMerge/>
            <w:tcBorders>
              <w:top w:val="nil"/>
              <w:left w:val="single" w:sz="4" w:space="0" w:color="auto"/>
              <w:bottom w:val="single" w:sz="4" w:space="0" w:color="auto"/>
              <w:right w:val="single" w:sz="4" w:space="0" w:color="auto"/>
            </w:tcBorders>
            <w:shd w:val="clear" w:color="auto" w:fill="FFFFFF"/>
            <w:hideMark/>
          </w:tcPr>
          <w:p w:rsidR="00B951B1" w:rsidRPr="00E61612" w:rsidRDefault="00B951B1" w:rsidP="00CB78E6">
            <w:pPr>
              <w:spacing w:after="0"/>
              <w:outlineLvl w:val="0"/>
              <w:rPr>
                <w:rFonts w:eastAsia="Times New Roman" w:cs="Calibri"/>
                <w:sz w:val="16"/>
                <w:szCs w:val="16"/>
              </w:rPr>
            </w:pPr>
          </w:p>
        </w:tc>
        <w:tc>
          <w:tcPr>
            <w:tcW w:w="2301" w:type="dxa"/>
            <w:gridSpan w:val="2"/>
            <w:tcBorders>
              <w:top w:val="single" w:sz="4" w:space="0" w:color="auto"/>
              <w:left w:val="nil"/>
              <w:bottom w:val="single" w:sz="4" w:space="0" w:color="auto"/>
              <w:right w:val="nil"/>
            </w:tcBorders>
            <w:shd w:val="clear" w:color="auto" w:fill="FFFFFF"/>
            <w:hideMark/>
          </w:tcPr>
          <w:p w:rsidR="00B951B1" w:rsidRPr="00E61612" w:rsidRDefault="00B951B1" w:rsidP="00CB78E6">
            <w:pPr>
              <w:spacing w:after="0"/>
              <w:jc w:val="center"/>
              <w:outlineLvl w:val="0"/>
              <w:rPr>
                <w:rFonts w:eastAsia="Times New Roman" w:cs="Calibri"/>
                <w:i/>
                <w:iCs/>
                <w:sz w:val="16"/>
                <w:szCs w:val="16"/>
              </w:rPr>
            </w:pPr>
            <w:r w:rsidRPr="00E61612">
              <w:rPr>
                <w:rFonts w:eastAsia="Times New Roman" w:cs="Calibri"/>
                <w:i/>
                <w:iCs/>
                <w:sz w:val="16"/>
                <w:szCs w:val="16"/>
              </w:rPr>
              <w:t>TOTAL B2</w:t>
            </w:r>
          </w:p>
        </w:tc>
        <w:tc>
          <w:tcPr>
            <w:tcW w:w="1067" w:type="dxa"/>
            <w:tcBorders>
              <w:top w:val="nil"/>
              <w:left w:val="single" w:sz="4" w:space="0" w:color="auto"/>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0"/>
              <w:rPr>
                <w:rFonts w:eastAsia="Times New Roman" w:cs="Calibri"/>
                <w:i/>
                <w:sz w:val="16"/>
                <w:szCs w:val="16"/>
              </w:rPr>
            </w:pPr>
            <w:r w:rsidRPr="00E61612">
              <w:rPr>
                <w:rFonts w:eastAsia="Times New Roman" w:cs="Calibri"/>
                <w:i/>
                <w:sz w:val="16"/>
                <w:szCs w:val="16"/>
              </w:rPr>
              <w:t>-</w:t>
            </w:r>
          </w:p>
        </w:tc>
        <w:tc>
          <w:tcPr>
            <w:tcW w:w="851"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0"/>
              <w:rPr>
                <w:rFonts w:eastAsia="Times New Roman" w:cs="Calibri"/>
                <w:i/>
                <w:sz w:val="16"/>
                <w:szCs w:val="16"/>
              </w:rPr>
            </w:pPr>
            <w:r w:rsidRPr="00E61612">
              <w:rPr>
                <w:rFonts w:eastAsia="Times New Roman" w:cs="Calibri"/>
                <w:i/>
                <w:sz w:val="16"/>
                <w:szCs w:val="16"/>
              </w:rPr>
              <w:t>77,780</w:t>
            </w:r>
          </w:p>
        </w:tc>
        <w:tc>
          <w:tcPr>
            <w:tcW w:w="992"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0"/>
              <w:rPr>
                <w:rFonts w:eastAsia="Times New Roman" w:cs="Calibri"/>
                <w:i/>
                <w:sz w:val="16"/>
                <w:szCs w:val="16"/>
              </w:rPr>
            </w:pPr>
            <w:r w:rsidRPr="00E61612">
              <w:rPr>
                <w:rFonts w:eastAsia="Times New Roman" w:cs="Calibri"/>
                <w:i/>
                <w:sz w:val="16"/>
                <w:szCs w:val="16"/>
              </w:rPr>
              <w:t>36,000</w:t>
            </w:r>
          </w:p>
        </w:tc>
        <w:tc>
          <w:tcPr>
            <w:tcW w:w="992" w:type="dxa"/>
            <w:gridSpan w:val="2"/>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0"/>
              <w:rPr>
                <w:rFonts w:eastAsia="Times New Roman" w:cs="Calibri"/>
                <w:i/>
                <w:sz w:val="16"/>
                <w:szCs w:val="16"/>
              </w:rPr>
            </w:pPr>
            <w:r w:rsidRPr="00E61612">
              <w:rPr>
                <w:rFonts w:eastAsia="Times New Roman" w:cs="Calibri"/>
                <w:i/>
                <w:sz w:val="16"/>
                <w:szCs w:val="16"/>
              </w:rPr>
              <w:t>49,580</w:t>
            </w:r>
          </w:p>
        </w:tc>
        <w:tc>
          <w:tcPr>
            <w:tcW w:w="992"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0"/>
              <w:rPr>
                <w:rFonts w:eastAsia="Times New Roman" w:cs="Calibri"/>
                <w:i/>
                <w:sz w:val="16"/>
                <w:szCs w:val="16"/>
              </w:rPr>
            </w:pPr>
            <w:r w:rsidRPr="00E61612">
              <w:rPr>
                <w:rFonts w:eastAsia="Times New Roman" w:cs="Calibri"/>
                <w:i/>
                <w:sz w:val="16"/>
                <w:szCs w:val="16"/>
              </w:rPr>
              <w:t>64,200</w:t>
            </w:r>
          </w:p>
        </w:tc>
        <w:tc>
          <w:tcPr>
            <w:tcW w:w="993"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0"/>
              <w:rPr>
                <w:rFonts w:eastAsia="Times New Roman" w:cs="Calibri"/>
                <w:i/>
                <w:sz w:val="16"/>
                <w:szCs w:val="16"/>
              </w:rPr>
            </w:pPr>
            <w:r w:rsidRPr="00E61612">
              <w:rPr>
                <w:rFonts w:eastAsia="Times New Roman" w:cs="Calibri"/>
                <w:i/>
                <w:sz w:val="16"/>
                <w:szCs w:val="16"/>
              </w:rPr>
              <w:t>113,780</w:t>
            </w:r>
          </w:p>
        </w:tc>
        <w:tc>
          <w:tcPr>
            <w:tcW w:w="992"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0"/>
              <w:rPr>
                <w:rFonts w:eastAsia="Times New Roman" w:cs="Calibri"/>
                <w:i/>
                <w:sz w:val="16"/>
                <w:szCs w:val="16"/>
              </w:rPr>
            </w:pPr>
            <w:r w:rsidRPr="00E61612">
              <w:rPr>
                <w:rFonts w:eastAsia="Times New Roman" w:cs="Calibri"/>
                <w:i/>
                <w:sz w:val="16"/>
                <w:szCs w:val="16"/>
              </w:rPr>
              <w:t>55,200</w:t>
            </w:r>
          </w:p>
        </w:tc>
        <w:tc>
          <w:tcPr>
            <w:tcW w:w="992"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0"/>
              <w:rPr>
                <w:rFonts w:eastAsia="Times New Roman" w:cs="Calibri"/>
                <w:i/>
                <w:sz w:val="16"/>
                <w:szCs w:val="16"/>
              </w:rPr>
            </w:pPr>
            <w:r w:rsidRPr="00E61612">
              <w:rPr>
                <w:rFonts w:eastAsia="Times New Roman" w:cs="Calibri"/>
                <w:i/>
                <w:sz w:val="16"/>
                <w:szCs w:val="16"/>
              </w:rPr>
              <w:t>8,640</w:t>
            </w:r>
          </w:p>
        </w:tc>
        <w:tc>
          <w:tcPr>
            <w:tcW w:w="992" w:type="dxa"/>
            <w:tcBorders>
              <w:top w:val="single" w:sz="4" w:space="0" w:color="auto"/>
              <w:left w:val="single" w:sz="4" w:space="0" w:color="auto"/>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0"/>
              <w:rPr>
                <w:rFonts w:eastAsia="Times New Roman" w:cs="Calibri"/>
                <w:i/>
                <w:sz w:val="16"/>
                <w:szCs w:val="16"/>
              </w:rPr>
            </w:pPr>
            <w:r w:rsidRPr="00E61612">
              <w:rPr>
                <w:rFonts w:eastAsia="Times New Roman" w:cs="Calibri"/>
                <w:i/>
                <w:sz w:val="16"/>
                <w:szCs w:val="16"/>
              </w:rPr>
              <w:t>(49,940)</w:t>
            </w:r>
          </w:p>
        </w:tc>
        <w:tc>
          <w:tcPr>
            <w:tcW w:w="851"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0"/>
              <w:rPr>
                <w:rFonts w:eastAsia="Times New Roman" w:cs="Calibri"/>
                <w:i/>
                <w:sz w:val="16"/>
                <w:szCs w:val="16"/>
              </w:rPr>
            </w:pPr>
            <w:r w:rsidRPr="00E61612">
              <w:rPr>
                <w:rFonts w:eastAsia="Times New Roman" w:cs="Calibri"/>
                <w:i/>
                <w:sz w:val="16"/>
                <w:szCs w:val="16"/>
              </w:rPr>
              <w:t>-</w:t>
            </w:r>
          </w:p>
        </w:tc>
        <w:tc>
          <w:tcPr>
            <w:tcW w:w="1134"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0"/>
              <w:rPr>
                <w:rFonts w:eastAsia="Times New Roman" w:cs="Calibri"/>
                <w:i/>
                <w:sz w:val="16"/>
                <w:szCs w:val="16"/>
              </w:rPr>
            </w:pPr>
            <w:r w:rsidRPr="00E61612">
              <w:rPr>
                <w:rFonts w:eastAsia="Times New Roman" w:cs="Calibri"/>
                <w:i/>
                <w:sz w:val="16"/>
                <w:szCs w:val="16"/>
              </w:rPr>
              <w:t>113,780</w:t>
            </w:r>
          </w:p>
        </w:tc>
      </w:tr>
      <w:tr w:rsidR="00B951B1" w:rsidRPr="00E61612" w:rsidTr="00CB78E6">
        <w:trPr>
          <w:trHeight w:val="255"/>
          <w:jc w:val="center"/>
        </w:trPr>
        <w:tc>
          <w:tcPr>
            <w:tcW w:w="992" w:type="dxa"/>
            <w:vMerge/>
            <w:tcBorders>
              <w:top w:val="nil"/>
              <w:left w:val="single" w:sz="4" w:space="0" w:color="auto"/>
              <w:bottom w:val="single" w:sz="4" w:space="0" w:color="auto"/>
              <w:right w:val="single" w:sz="4" w:space="0" w:color="auto"/>
            </w:tcBorders>
            <w:shd w:val="clear" w:color="auto" w:fill="FFFFFF"/>
            <w:hideMark/>
          </w:tcPr>
          <w:p w:rsidR="00B951B1" w:rsidRPr="00E61612" w:rsidRDefault="00B951B1" w:rsidP="00CB78E6">
            <w:pPr>
              <w:spacing w:after="0"/>
              <w:rPr>
                <w:rFonts w:eastAsia="Times New Roman" w:cs="Calibri"/>
                <w:sz w:val="16"/>
                <w:szCs w:val="16"/>
              </w:rPr>
            </w:pPr>
          </w:p>
        </w:tc>
        <w:tc>
          <w:tcPr>
            <w:tcW w:w="3294" w:type="dxa"/>
            <w:gridSpan w:val="3"/>
            <w:tcBorders>
              <w:top w:val="single" w:sz="4" w:space="0" w:color="auto"/>
              <w:left w:val="nil"/>
              <w:bottom w:val="single" w:sz="4" w:space="0" w:color="auto"/>
              <w:right w:val="nil"/>
            </w:tcBorders>
            <w:shd w:val="clear" w:color="auto" w:fill="FFFFFF"/>
            <w:hideMark/>
          </w:tcPr>
          <w:p w:rsidR="00B951B1" w:rsidRPr="00E61612" w:rsidRDefault="00B951B1" w:rsidP="00CB78E6">
            <w:pPr>
              <w:spacing w:after="0"/>
              <w:jc w:val="center"/>
              <w:rPr>
                <w:rFonts w:eastAsia="Times New Roman" w:cs="Calibri"/>
                <w:b/>
                <w:bCs/>
                <w:sz w:val="16"/>
                <w:szCs w:val="16"/>
              </w:rPr>
            </w:pPr>
            <w:r w:rsidRPr="00E61612">
              <w:rPr>
                <w:rFonts w:eastAsia="Times New Roman" w:cs="Calibri"/>
                <w:b/>
                <w:bCs/>
                <w:sz w:val="16"/>
                <w:szCs w:val="16"/>
              </w:rPr>
              <w:t>TOTAL B</w:t>
            </w:r>
          </w:p>
        </w:tc>
        <w:tc>
          <w:tcPr>
            <w:tcW w:w="1067" w:type="dxa"/>
            <w:tcBorders>
              <w:top w:val="nil"/>
              <w:left w:val="single" w:sz="4" w:space="0" w:color="auto"/>
              <w:bottom w:val="single" w:sz="4" w:space="0" w:color="auto"/>
              <w:right w:val="single" w:sz="4" w:space="0" w:color="auto"/>
            </w:tcBorders>
            <w:shd w:val="clear" w:color="auto" w:fill="FFFFFF"/>
            <w:noWrap/>
            <w:hideMark/>
          </w:tcPr>
          <w:p w:rsidR="00B951B1" w:rsidRPr="00E61612" w:rsidRDefault="00B951B1" w:rsidP="00CB78E6">
            <w:pPr>
              <w:spacing w:after="0"/>
              <w:jc w:val="right"/>
              <w:rPr>
                <w:rFonts w:eastAsia="Times New Roman" w:cs="Calibri"/>
                <w:b/>
                <w:sz w:val="16"/>
                <w:szCs w:val="16"/>
              </w:rPr>
            </w:pPr>
          </w:p>
        </w:tc>
        <w:tc>
          <w:tcPr>
            <w:tcW w:w="851"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rPr>
                <w:rFonts w:eastAsia="Times New Roman" w:cs="Calibri"/>
                <w:b/>
                <w:sz w:val="16"/>
                <w:szCs w:val="16"/>
              </w:rPr>
            </w:pPr>
            <w:r w:rsidRPr="00E61612">
              <w:rPr>
                <w:rFonts w:eastAsia="Times New Roman" w:cs="Calibri"/>
                <w:b/>
                <w:sz w:val="16"/>
                <w:szCs w:val="16"/>
              </w:rPr>
              <w:t>99,036</w:t>
            </w:r>
          </w:p>
        </w:tc>
        <w:tc>
          <w:tcPr>
            <w:tcW w:w="992"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rPr>
                <w:rFonts w:eastAsia="Times New Roman" w:cs="Calibri"/>
                <w:b/>
                <w:sz w:val="16"/>
                <w:szCs w:val="16"/>
              </w:rPr>
            </w:pPr>
            <w:r w:rsidRPr="00E61612">
              <w:rPr>
                <w:rFonts w:eastAsia="Times New Roman" w:cs="Calibri"/>
                <w:b/>
                <w:sz w:val="16"/>
                <w:szCs w:val="16"/>
              </w:rPr>
              <w:t>36,000</w:t>
            </w:r>
          </w:p>
        </w:tc>
        <w:tc>
          <w:tcPr>
            <w:tcW w:w="992" w:type="dxa"/>
            <w:gridSpan w:val="2"/>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rPr>
                <w:rFonts w:eastAsia="Times New Roman" w:cs="Calibri"/>
                <w:b/>
                <w:sz w:val="16"/>
                <w:szCs w:val="16"/>
              </w:rPr>
            </w:pPr>
            <w:r w:rsidRPr="00E61612">
              <w:rPr>
                <w:rFonts w:eastAsia="Times New Roman" w:cs="Calibri"/>
                <w:b/>
                <w:sz w:val="16"/>
                <w:szCs w:val="16"/>
              </w:rPr>
              <w:t>70,836</w:t>
            </w:r>
          </w:p>
        </w:tc>
        <w:tc>
          <w:tcPr>
            <w:tcW w:w="992"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rPr>
                <w:rFonts w:eastAsia="Times New Roman" w:cs="Calibri"/>
                <w:b/>
                <w:sz w:val="16"/>
                <w:szCs w:val="16"/>
              </w:rPr>
            </w:pPr>
            <w:r w:rsidRPr="00E61612">
              <w:rPr>
                <w:rFonts w:eastAsia="Times New Roman" w:cs="Calibri"/>
                <w:b/>
                <w:sz w:val="16"/>
                <w:szCs w:val="16"/>
              </w:rPr>
              <w:t>64,200</w:t>
            </w:r>
          </w:p>
        </w:tc>
        <w:tc>
          <w:tcPr>
            <w:tcW w:w="993"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rPr>
                <w:rFonts w:eastAsia="Times New Roman" w:cs="Calibri"/>
                <w:b/>
                <w:sz w:val="16"/>
                <w:szCs w:val="16"/>
              </w:rPr>
            </w:pPr>
            <w:r w:rsidRPr="00E61612">
              <w:rPr>
                <w:rFonts w:eastAsia="Times New Roman" w:cs="Calibri"/>
                <w:b/>
                <w:sz w:val="16"/>
                <w:szCs w:val="16"/>
              </w:rPr>
              <w:t>135,036</w:t>
            </w:r>
          </w:p>
        </w:tc>
        <w:tc>
          <w:tcPr>
            <w:tcW w:w="992"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rPr>
                <w:rFonts w:eastAsia="Times New Roman" w:cs="Calibri"/>
                <w:b/>
                <w:sz w:val="16"/>
                <w:szCs w:val="16"/>
              </w:rPr>
            </w:pPr>
            <w:r w:rsidRPr="00E61612">
              <w:rPr>
                <w:rFonts w:eastAsia="Times New Roman" w:cs="Calibri"/>
                <w:b/>
                <w:sz w:val="16"/>
                <w:szCs w:val="16"/>
              </w:rPr>
              <w:t>55,200</w:t>
            </w:r>
          </w:p>
        </w:tc>
        <w:tc>
          <w:tcPr>
            <w:tcW w:w="992"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rPr>
                <w:rFonts w:eastAsia="Times New Roman" w:cs="Calibri"/>
                <w:b/>
                <w:sz w:val="16"/>
                <w:szCs w:val="16"/>
              </w:rPr>
            </w:pPr>
            <w:r w:rsidRPr="00E61612">
              <w:rPr>
                <w:rFonts w:eastAsia="Times New Roman" w:cs="Calibri"/>
                <w:b/>
                <w:sz w:val="16"/>
                <w:szCs w:val="16"/>
              </w:rPr>
              <w:t>18,672</w:t>
            </w:r>
          </w:p>
        </w:tc>
        <w:tc>
          <w:tcPr>
            <w:tcW w:w="992" w:type="dxa"/>
            <w:tcBorders>
              <w:top w:val="single" w:sz="4" w:space="0" w:color="auto"/>
              <w:left w:val="single" w:sz="4" w:space="0" w:color="auto"/>
              <w:bottom w:val="single" w:sz="4" w:space="0" w:color="auto"/>
              <w:right w:val="single" w:sz="4" w:space="0" w:color="auto"/>
            </w:tcBorders>
            <w:shd w:val="clear" w:color="auto" w:fill="FFFFFF"/>
            <w:noWrap/>
            <w:hideMark/>
          </w:tcPr>
          <w:p w:rsidR="00B951B1" w:rsidRPr="00E61612" w:rsidRDefault="00B951B1" w:rsidP="00CB78E6">
            <w:pPr>
              <w:spacing w:after="0"/>
              <w:jc w:val="right"/>
              <w:rPr>
                <w:rFonts w:eastAsia="Times New Roman" w:cs="Calibri"/>
                <w:b/>
                <w:sz w:val="16"/>
                <w:szCs w:val="16"/>
              </w:rPr>
            </w:pPr>
            <w:r w:rsidRPr="00E61612">
              <w:rPr>
                <w:rFonts w:eastAsia="Times New Roman" w:cs="Calibri"/>
                <w:b/>
                <w:sz w:val="16"/>
                <w:szCs w:val="16"/>
              </w:rPr>
              <w:t>(61,164)</w:t>
            </w:r>
          </w:p>
        </w:tc>
        <w:tc>
          <w:tcPr>
            <w:tcW w:w="851"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rPr>
                <w:rFonts w:eastAsia="Times New Roman" w:cs="Calibri"/>
                <w:b/>
                <w:sz w:val="16"/>
                <w:szCs w:val="16"/>
              </w:rPr>
            </w:pPr>
            <w:r w:rsidRPr="00E61612">
              <w:rPr>
                <w:rFonts w:eastAsia="Times New Roman" w:cs="Calibri"/>
                <w:b/>
                <w:sz w:val="16"/>
                <w:szCs w:val="16"/>
              </w:rPr>
              <w:t>-</w:t>
            </w:r>
          </w:p>
        </w:tc>
        <w:tc>
          <w:tcPr>
            <w:tcW w:w="1134"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rPr>
                <w:rFonts w:eastAsia="Times New Roman" w:cs="Calibri"/>
                <w:b/>
                <w:sz w:val="16"/>
                <w:szCs w:val="16"/>
              </w:rPr>
            </w:pPr>
            <w:r w:rsidRPr="00E61612">
              <w:rPr>
                <w:rFonts w:eastAsia="Times New Roman" w:cs="Calibri"/>
                <w:b/>
                <w:sz w:val="16"/>
                <w:szCs w:val="16"/>
              </w:rPr>
              <w:t>135,036</w:t>
            </w:r>
          </w:p>
        </w:tc>
      </w:tr>
      <w:tr w:rsidR="00B951B1" w:rsidRPr="00E61612" w:rsidTr="00CB78E6">
        <w:trPr>
          <w:trHeight w:val="1020"/>
          <w:jc w:val="center"/>
        </w:trPr>
        <w:tc>
          <w:tcPr>
            <w:tcW w:w="992" w:type="dxa"/>
            <w:vMerge w:val="restart"/>
            <w:tcBorders>
              <w:top w:val="nil"/>
              <w:left w:val="single" w:sz="4" w:space="0" w:color="auto"/>
              <w:bottom w:val="single" w:sz="4" w:space="0" w:color="auto"/>
              <w:right w:val="single" w:sz="4" w:space="0" w:color="auto"/>
            </w:tcBorders>
            <w:shd w:val="clear" w:color="auto" w:fill="FFFFFF"/>
            <w:hideMark/>
          </w:tcPr>
          <w:p w:rsidR="00B951B1" w:rsidRPr="00E61612" w:rsidRDefault="00B951B1" w:rsidP="00CB78E6">
            <w:pPr>
              <w:spacing w:after="0"/>
              <w:outlineLvl w:val="1"/>
              <w:rPr>
                <w:rFonts w:eastAsia="Times New Roman" w:cs="Calibri"/>
                <w:sz w:val="16"/>
                <w:szCs w:val="16"/>
              </w:rPr>
            </w:pPr>
            <w:r w:rsidRPr="00E61612">
              <w:rPr>
                <w:rFonts w:eastAsia="Times New Roman" w:cs="Calibri"/>
                <w:sz w:val="16"/>
                <w:szCs w:val="16"/>
              </w:rPr>
              <w:t xml:space="preserve">C. Arsim i lartë gjithëpërfshirës që </w:t>
            </w:r>
            <w:r>
              <w:rPr>
                <w:rFonts w:eastAsia="Times New Roman" w:cs="Calibri"/>
                <w:sz w:val="16"/>
                <w:szCs w:val="16"/>
              </w:rPr>
              <w:t>përmbush</w:t>
            </w:r>
            <w:r w:rsidRPr="00E61612">
              <w:rPr>
                <w:rFonts w:eastAsia="Times New Roman" w:cs="Calibri"/>
                <w:sz w:val="16"/>
                <w:szCs w:val="16"/>
              </w:rPr>
              <w:t xml:space="preserve"> standardet ndërkombëtare të cilësisë, integritetit akademik e transparencës, dhe është </w:t>
            </w:r>
            <w:r>
              <w:rPr>
                <w:rFonts w:eastAsia="Times New Roman" w:cs="Calibri"/>
                <w:sz w:val="16"/>
                <w:szCs w:val="16"/>
              </w:rPr>
              <w:t>nxitës</w:t>
            </w:r>
            <w:r w:rsidRPr="00E61612">
              <w:rPr>
                <w:rFonts w:eastAsia="Times New Roman" w:cs="Calibri"/>
                <w:sz w:val="16"/>
                <w:szCs w:val="16"/>
              </w:rPr>
              <w:t xml:space="preserve"> i zhvillimit ekonomik dhe shoqëror të vendit</w:t>
            </w:r>
          </w:p>
        </w:tc>
        <w:tc>
          <w:tcPr>
            <w:tcW w:w="993" w:type="dxa"/>
            <w:vMerge w:val="restart"/>
            <w:tcBorders>
              <w:top w:val="nil"/>
              <w:left w:val="single" w:sz="4" w:space="0" w:color="auto"/>
              <w:bottom w:val="single" w:sz="4" w:space="0" w:color="auto"/>
              <w:right w:val="single" w:sz="4" w:space="0" w:color="auto"/>
            </w:tcBorders>
            <w:shd w:val="clear" w:color="auto" w:fill="FFFFFF"/>
            <w:hideMark/>
          </w:tcPr>
          <w:p w:rsidR="00B951B1" w:rsidRPr="00E61612" w:rsidRDefault="00B951B1" w:rsidP="00CB78E6">
            <w:pPr>
              <w:spacing w:after="0"/>
              <w:outlineLvl w:val="1"/>
              <w:rPr>
                <w:rFonts w:eastAsia="Times New Roman" w:cs="Calibri"/>
                <w:sz w:val="16"/>
                <w:szCs w:val="16"/>
              </w:rPr>
            </w:pPr>
            <w:r w:rsidRPr="00E61612">
              <w:rPr>
                <w:rFonts w:eastAsia="Times New Roman" w:cs="Calibri"/>
                <w:sz w:val="16"/>
                <w:szCs w:val="16"/>
              </w:rPr>
              <w:t xml:space="preserve">C1. Rritja e cilësisë së arsimit të lartë përmes riorganizimit të programeve të studimit, modernizimit të infrastrukturës akademike dhe </w:t>
            </w:r>
            <w:r>
              <w:rPr>
                <w:rFonts w:eastAsia="Times New Roman" w:cs="Calibri"/>
                <w:sz w:val="16"/>
                <w:szCs w:val="16"/>
              </w:rPr>
              <w:t>zbatimit</w:t>
            </w:r>
            <w:r w:rsidRPr="00E61612">
              <w:rPr>
                <w:rFonts w:eastAsia="Times New Roman" w:cs="Calibri"/>
                <w:sz w:val="16"/>
                <w:szCs w:val="16"/>
              </w:rPr>
              <w:t xml:space="preserve"> të standardeve të larta të vlerësimit instituciona</w:t>
            </w:r>
            <w:r w:rsidRPr="00E61612">
              <w:rPr>
                <w:rFonts w:eastAsia="Times New Roman" w:cs="Calibri"/>
                <w:sz w:val="16"/>
                <w:szCs w:val="16"/>
              </w:rPr>
              <w:lastRenderedPageBreak/>
              <w:t>l dhe të programeve të studimit</w:t>
            </w:r>
          </w:p>
        </w:tc>
        <w:tc>
          <w:tcPr>
            <w:tcW w:w="992" w:type="dxa"/>
            <w:vMerge w:val="restart"/>
            <w:tcBorders>
              <w:top w:val="nil"/>
              <w:left w:val="single" w:sz="4" w:space="0" w:color="auto"/>
              <w:bottom w:val="single" w:sz="4" w:space="0" w:color="000000"/>
              <w:right w:val="single" w:sz="4" w:space="0" w:color="auto"/>
            </w:tcBorders>
            <w:shd w:val="clear" w:color="auto" w:fill="FFFFFF"/>
            <w:hideMark/>
          </w:tcPr>
          <w:p w:rsidR="00B951B1" w:rsidRPr="00E61612" w:rsidRDefault="00B951B1" w:rsidP="00CB78E6">
            <w:pPr>
              <w:spacing w:after="0"/>
              <w:outlineLvl w:val="1"/>
              <w:rPr>
                <w:rFonts w:eastAsia="Times New Roman" w:cs="Calibri"/>
                <w:sz w:val="16"/>
                <w:szCs w:val="16"/>
              </w:rPr>
            </w:pPr>
            <w:r w:rsidRPr="00E61612">
              <w:rPr>
                <w:rFonts w:eastAsia="Times New Roman" w:cs="Calibri"/>
                <w:sz w:val="16"/>
                <w:szCs w:val="16"/>
              </w:rPr>
              <w:lastRenderedPageBreak/>
              <w:t>C1.1. Programet e IAL</w:t>
            </w:r>
            <w:r>
              <w:rPr>
                <w:rFonts w:eastAsia="Times New Roman" w:cs="Calibri"/>
                <w:sz w:val="16"/>
                <w:szCs w:val="16"/>
              </w:rPr>
              <w:t>-ve</w:t>
            </w:r>
            <w:r w:rsidRPr="00E61612">
              <w:rPr>
                <w:rFonts w:eastAsia="Times New Roman" w:cs="Calibri"/>
                <w:sz w:val="16"/>
                <w:szCs w:val="16"/>
              </w:rPr>
              <w:t xml:space="preserve"> ndërtohen mbi rezultatet e të nxënit dhe janë të krahasueshme me programet e IAL-ve evropiane</w:t>
            </w:r>
          </w:p>
        </w:tc>
        <w:tc>
          <w:tcPr>
            <w:tcW w:w="1309" w:type="dxa"/>
            <w:tcBorders>
              <w:top w:val="nil"/>
              <w:left w:val="nil"/>
              <w:bottom w:val="single" w:sz="4" w:space="0" w:color="auto"/>
              <w:right w:val="single" w:sz="4" w:space="0" w:color="auto"/>
            </w:tcBorders>
            <w:shd w:val="clear" w:color="auto" w:fill="FFFFFF"/>
            <w:hideMark/>
          </w:tcPr>
          <w:p w:rsidR="00B951B1" w:rsidRPr="00E61612" w:rsidRDefault="00B951B1" w:rsidP="00CB78E6">
            <w:pPr>
              <w:spacing w:after="0"/>
              <w:outlineLvl w:val="1"/>
              <w:rPr>
                <w:rFonts w:eastAsia="Times New Roman" w:cs="Calibri"/>
                <w:sz w:val="16"/>
                <w:szCs w:val="16"/>
              </w:rPr>
            </w:pPr>
            <w:r w:rsidRPr="00E61612">
              <w:rPr>
                <w:rFonts w:eastAsia="Times New Roman" w:cs="Calibri"/>
                <w:sz w:val="16"/>
                <w:szCs w:val="16"/>
              </w:rPr>
              <w:t xml:space="preserve">C1.1.1. Përcaktimi i metodologjisë për rishikimin e programeve studimore </w:t>
            </w:r>
          </w:p>
        </w:tc>
        <w:tc>
          <w:tcPr>
            <w:tcW w:w="1067" w:type="dxa"/>
            <w:tcBorders>
              <w:top w:val="nil"/>
              <w:left w:val="single" w:sz="4" w:space="0" w:color="auto"/>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w:t>
            </w:r>
          </w:p>
        </w:tc>
        <w:tc>
          <w:tcPr>
            <w:tcW w:w="851"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2,880</w:t>
            </w:r>
          </w:p>
        </w:tc>
        <w:tc>
          <w:tcPr>
            <w:tcW w:w="992"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w:t>
            </w:r>
          </w:p>
        </w:tc>
        <w:tc>
          <w:tcPr>
            <w:tcW w:w="992" w:type="dxa"/>
            <w:gridSpan w:val="2"/>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2,880</w:t>
            </w:r>
          </w:p>
        </w:tc>
        <w:tc>
          <w:tcPr>
            <w:tcW w:w="992"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w:t>
            </w:r>
          </w:p>
        </w:tc>
        <w:tc>
          <w:tcPr>
            <w:tcW w:w="993"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2,880</w:t>
            </w:r>
          </w:p>
        </w:tc>
        <w:tc>
          <w:tcPr>
            <w:tcW w:w="992"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w:t>
            </w:r>
          </w:p>
        </w:tc>
        <w:tc>
          <w:tcPr>
            <w:tcW w:w="992"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2,880</w:t>
            </w:r>
          </w:p>
        </w:tc>
        <w:tc>
          <w:tcPr>
            <w:tcW w:w="992"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w:t>
            </w:r>
          </w:p>
        </w:tc>
        <w:tc>
          <w:tcPr>
            <w:tcW w:w="851"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w:t>
            </w:r>
          </w:p>
        </w:tc>
        <w:tc>
          <w:tcPr>
            <w:tcW w:w="1134"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2,880</w:t>
            </w:r>
          </w:p>
        </w:tc>
      </w:tr>
      <w:tr w:rsidR="00B951B1" w:rsidRPr="00E61612" w:rsidTr="00CB78E6">
        <w:trPr>
          <w:trHeight w:val="1275"/>
          <w:jc w:val="center"/>
        </w:trPr>
        <w:tc>
          <w:tcPr>
            <w:tcW w:w="992" w:type="dxa"/>
            <w:vMerge/>
            <w:tcBorders>
              <w:top w:val="nil"/>
              <w:left w:val="single" w:sz="4" w:space="0" w:color="auto"/>
              <w:bottom w:val="single" w:sz="4" w:space="0" w:color="auto"/>
              <w:right w:val="single" w:sz="4" w:space="0" w:color="auto"/>
            </w:tcBorders>
            <w:shd w:val="clear" w:color="auto" w:fill="FFFFFF"/>
            <w:hideMark/>
          </w:tcPr>
          <w:p w:rsidR="00B951B1" w:rsidRPr="00E61612" w:rsidRDefault="00B951B1" w:rsidP="00CB78E6">
            <w:pPr>
              <w:spacing w:after="0"/>
              <w:outlineLvl w:val="1"/>
              <w:rPr>
                <w:rFonts w:eastAsia="Times New Roman" w:cs="Calibri"/>
                <w:sz w:val="16"/>
                <w:szCs w:val="16"/>
              </w:rPr>
            </w:pPr>
          </w:p>
        </w:tc>
        <w:tc>
          <w:tcPr>
            <w:tcW w:w="993" w:type="dxa"/>
            <w:vMerge/>
            <w:tcBorders>
              <w:top w:val="nil"/>
              <w:left w:val="single" w:sz="4" w:space="0" w:color="auto"/>
              <w:bottom w:val="single" w:sz="4" w:space="0" w:color="auto"/>
              <w:right w:val="single" w:sz="4" w:space="0" w:color="auto"/>
            </w:tcBorders>
            <w:shd w:val="clear" w:color="auto" w:fill="FFFFFF"/>
            <w:hideMark/>
          </w:tcPr>
          <w:p w:rsidR="00B951B1" w:rsidRPr="00E61612" w:rsidRDefault="00B951B1" w:rsidP="00CB78E6">
            <w:pPr>
              <w:spacing w:after="0"/>
              <w:outlineLvl w:val="1"/>
              <w:rPr>
                <w:rFonts w:eastAsia="Times New Roman" w:cs="Calibri"/>
                <w:sz w:val="16"/>
                <w:szCs w:val="16"/>
              </w:rPr>
            </w:pPr>
          </w:p>
        </w:tc>
        <w:tc>
          <w:tcPr>
            <w:tcW w:w="992" w:type="dxa"/>
            <w:vMerge/>
            <w:tcBorders>
              <w:top w:val="nil"/>
              <w:left w:val="single" w:sz="4" w:space="0" w:color="auto"/>
              <w:bottom w:val="single" w:sz="4" w:space="0" w:color="000000"/>
              <w:right w:val="single" w:sz="4" w:space="0" w:color="auto"/>
            </w:tcBorders>
            <w:shd w:val="clear" w:color="auto" w:fill="FFFFFF"/>
            <w:hideMark/>
          </w:tcPr>
          <w:p w:rsidR="00B951B1" w:rsidRPr="00E61612" w:rsidRDefault="00B951B1" w:rsidP="00CB78E6">
            <w:pPr>
              <w:spacing w:after="0"/>
              <w:outlineLvl w:val="1"/>
              <w:rPr>
                <w:rFonts w:eastAsia="Times New Roman" w:cs="Calibri"/>
                <w:sz w:val="16"/>
                <w:szCs w:val="16"/>
              </w:rPr>
            </w:pPr>
          </w:p>
        </w:tc>
        <w:tc>
          <w:tcPr>
            <w:tcW w:w="1309" w:type="dxa"/>
            <w:tcBorders>
              <w:top w:val="nil"/>
              <w:left w:val="nil"/>
              <w:bottom w:val="single" w:sz="4" w:space="0" w:color="auto"/>
              <w:right w:val="single" w:sz="4" w:space="0" w:color="auto"/>
            </w:tcBorders>
            <w:shd w:val="clear" w:color="auto" w:fill="FFFFFF"/>
            <w:hideMark/>
          </w:tcPr>
          <w:p w:rsidR="00B951B1" w:rsidRPr="00E61612" w:rsidRDefault="00B951B1" w:rsidP="00CB78E6">
            <w:pPr>
              <w:spacing w:after="0"/>
              <w:outlineLvl w:val="1"/>
              <w:rPr>
                <w:rFonts w:eastAsia="Times New Roman" w:cs="Calibri"/>
                <w:sz w:val="16"/>
                <w:szCs w:val="16"/>
              </w:rPr>
            </w:pPr>
            <w:r w:rsidRPr="00E61612">
              <w:rPr>
                <w:rFonts w:eastAsia="Times New Roman" w:cs="Calibri"/>
                <w:sz w:val="16"/>
                <w:szCs w:val="16"/>
              </w:rPr>
              <w:t>C1.1.2. Rishikimi, racionalizimi dhe hartimi i programeve të studimit në përputhje me modelin e bazuar në rezultatet e të nxënit</w:t>
            </w:r>
          </w:p>
        </w:tc>
        <w:tc>
          <w:tcPr>
            <w:tcW w:w="1067" w:type="dxa"/>
            <w:tcBorders>
              <w:top w:val="nil"/>
              <w:left w:val="single" w:sz="4" w:space="0" w:color="auto"/>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w:t>
            </w:r>
          </w:p>
        </w:tc>
        <w:tc>
          <w:tcPr>
            <w:tcW w:w="851"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2,280</w:t>
            </w:r>
          </w:p>
        </w:tc>
        <w:tc>
          <w:tcPr>
            <w:tcW w:w="992"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w:t>
            </w:r>
          </w:p>
        </w:tc>
        <w:tc>
          <w:tcPr>
            <w:tcW w:w="992" w:type="dxa"/>
            <w:gridSpan w:val="2"/>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2,280</w:t>
            </w:r>
          </w:p>
        </w:tc>
        <w:tc>
          <w:tcPr>
            <w:tcW w:w="992"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w:t>
            </w:r>
          </w:p>
        </w:tc>
        <w:tc>
          <w:tcPr>
            <w:tcW w:w="993"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2,280</w:t>
            </w:r>
          </w:p>
        </w:tc>
        <w:tc>
          <w:tcPr>
            <w:tcW w:w="992"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w:t>
            </w:r>
          </w:p>
        </w:tc>
        <w:tc>
          <w:tcPr>
            <w:tcW w:w="992"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w:t>
            </w:r>
          </w:p>
        </w:tc>
        <w:tc>
          <w:tcPr>
            <w:tcW w:w="992"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(2,280)</w:t>
            </w:r>
          </w:p>
        </w:tc>
        <w:tc>
          <w:tcPr>
            <w:tcW w:w="851"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w:t>
            </w:r>
          </w:p>
        </w:tc>
        <w:tc>
          <w:tcPr>
            <w:tcW w:w="1134"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2,280</w:t>
            </w:r>
          </w:p>
        </w:tc>
      </w:tr>
      <w:tr w:rsidR="00B951B1" w:rsidRPr="00E61612" w:rsidTr="00CB78E6">
        <w:trPr>
          <w:trHeight w:val="510"/>
          <w:jc w:val="center"/>
        </w:trPr>
        <w:tc>
          <w:tcPr>
            <w:tcW w:w="992" w:type="dxa"/>
            <w:vMerge/>
            <w:tcBorders>
              <w:top w:val="nil"/>
              <w:left w:val="single" w:sz="4" w:space="0" w:color="auto"/>
              <w:bottom w:val="single" w:sz="4" w:space="0" w:color="auto"/>
              <w:right w:val="single" w:sz="4" w:space="0" w:color="auto"/>
            </w:tcBorders>
            <w:shd w:val="clear" w:color="auto" w:fill="FFFFFF"/>
            <w:hideMark/>
          </w:tcPr>
          <w:p w:rsidR="00B951B1" w:rsidRPr="00E61612" w:rsidRDefault="00B951B1" w:rsidP="00CB78E6">
            <w:pPr>
              <w:spacing w:after="0"/>
              <w:outlineLvl w:val="1"/>
              <w:rPr>
                <w:rFonts w:eastAsia="Times New Roman" w:cs="Calibri"/>
                <w:sz w:val="16"/>
                <w:szCs w:val="16"/>
              </w:rPr>
            </w:pPr>
          </w:p>
        </w:tc>
        <w:tc>
          <w:tcPr>
            <w:tcW w:w="993" w:type="dxa"/>
            <w:vMerge/>
            <w:tcBorders>
              <w:top w:val="nil"/>
              <w:left w:val="single" w:sz="4" w:space="0" w:color="auto"/>
              <w:bottom w:val="single" w:sz="4" w:space="0" w:color="auto"/>
              <w:right w:val="single" w:sz="4" w:space="0" w:color="auto"/>
            </w:tcBorders>
            <w:shd w:val="clear" w:color="auto" w:fill="FFFFFF"/>
            <w:hideMark/>
          </w:tcPr>
          <w:p w:rsidR="00B951B1" w:rsidRPr="00E61612" w:rsidRDefault="00B951B1" w:rsidP="00CB78E6">
            <w:pPr>
              <w:spacing w:after="0"/>
              <w:outlineLvl w:val="1"/>
              <w:rPr>
                <w:rFonts w:eastAsia="Times New Roman" w:cs="Calibri"/>
                <w:sz w:val="16"/>
                <w:szCs w:val="16"/>
              </w:rPr>
            </w:pPr>
          </w:p>
        </w:tc>
        <w:tc>
          <w:tcPr>
            <w:tcW w:w="992" w:type="dxa"/>
            <w:vMerge/>
            <w:tcBorders>
              <w:top w:val="nil"/>
              <w:left w:val="single" w:sz="4" w:space="0" w:color="auto"/>
              <w:bottom w:val="single" w:sz="4" w:space="0" w:color="000000"/>
              <w:right w:val="single" w:sz="4" w:space="0" w:color="auto"/>
            </w:tcBorders>
            <w:shd w:val="clear" w:color="auto" w:fill="FFFFFF"/>
            <w:hideMark/>
          </w:tcPr>
          <w:p w:rsidR="00B951B1" w:rsidRPr="00E61612" w:rsidRDefault="00B951B1" w:rsidP="00CB78E6">
            <w:pPr>
              <w:spacing w:after="0"/>
              <w:outlineLvl w:val="1"/>
              <w:rPr>
                <w:rFonts w:eastAsia="Times New Roman" w:cs="Calibri"/>
                <w:sz w:val="16"/>
                <w:szCs w:val="16"/>
              </w:rPr>
            </w:pPr>
          </w:p>
        </w:tc>
        <w:tc>
          <w:tcPr>
            <w:tcW w:w="1309" w:type="dxa"/>
            <w:tcBorders>
              <w:top w:val="nil"/>
              <w:left w:val="nil"/>
              <w:bottom w:val="single" w:sz="4" w:space="0" w:color="auto"/>
              <w:right w:val="single" w:sz="4" w:space="0" w:color="auto"/>
            </w:tcBorders>
            <w:shd w:val="clear" w:color="auto" w:fill="FFFFFF"/>
            <w:hideMark/>
          </w:tcPr>
          <w:p w:rsidR="00B951B1" w:rsidRPr="00E61612" w:rsidRDefault="00B951B1" w:rsidP="00CB78E6">
            <w:pPr>
              <w:spacing w:after="0"/>
              <w:outlineLvl w:val="1"/>
              <w:rPr>
                <w:rFonts w:eastAsia="Times New Roman" w:cs="Calibri"/>
                <w:sz w:val="16"/>
                <w:szCs w:val="16"/>
              </w:rPr>
            </w:pPr>
            <w:r w:rsidRPr="00E61612">
              <w:rPr>
                <w:rFonts w:eastAsia="Times New Roman" w:cs="Calibri"/>
                <w:sz w:val="16"/>
                <w:szCs w:val="16"/>
              </w:rPr>
              <w:t xml:space="preserve">C1.1.3. </w:t>
            </w:r>
            <w:r>
              <w:rPr>
                <w:rFonts w:eastAsia="Times New Roman" w:cs="Calibri"/>
                <w:sz w:val="16"/>
                <w:szCs w:val="16"/>
              </w:rPr>
              <w:t>Realizimi i</w:t>
            </w:r>
            <w:r w:rsidRPr="00E61612">
              <w:rPr>
                <w:rFonts w:eastAsia="Times New Roman" w:cs="Calibri"/>
                <w:sz w:val="16"/>
                <w:szCs w:val="16"/>
              </w:rPr>
              <w:t xml:space="preserve"> kodifikimi</w:t>
            </w:r>
            <w:r>
              <w:rPr>
                <w:rFonts w:eastAsia="Times New Roman" w:cs="Calibri"/>
                <w:sz w:val="16"/>
                <w:szCs w:val="16"/>
              </w:rPr>
              <w:t>t</w:t>
            </w:r>
            <w:r w:rsidRPr="00E61612">
              <w:rPr>
                <w:rFonts w:eastAsia="Times New Roman" w:cs="Calibri"/>
                <w:sz w:val="16"/>
                <w:szCs w:val="16"/>
              </w:rPr>
              <w:t xml:space="preserve"> </w:t>
            </w:r>
            <w:r>
              <w:rPr>
                <w:rFonts w:eastAsia="Times New Roman" w:cs="Calibri"/>
                <w:sz w:val="16"/>
                <w:szCs w:val="16"/>
              </w:rPr>
              <w:t>të</w:t>
            </w:r>
            <w:r w:rsidRPr="00E61612">
              <w:rPr>
                <w:rFonts w:eastAsia="Times New Roman" w:cs="Calibri"/>
                <w:sz w:val="16"/>
                <w:szCs w:val="16"/>
              </w:rPr>
              <w:t xml:space="preserve"> programeve të studimit</w:t>
            </w:r>
          </w:p>
        </w:tc>
        <w:tc>
          <w:tcPr>
            <w:tcW w:w="1067" w:type="dxa"/>
            <w:tcBorders>
              <w:top w:val="nil"/>
              <w:left w:val="single" w:sz="4" w:space="0" w:color="auto"/>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w:t>
            </w:r>
          </w:p>
        </w:tc>
        <w:tc>
          <w:tcPr>
            <w:tcW w:w="851"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w:t>
            </w:r>
          </w:p>
        </w:tc>
        <w:tc>
          <w:tcPr>
            <w:tcW w:w="992"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w:t>
            </w:r>
          </w:p>
        </w:tc>
        <w:tc>
          <w:tcPr>
            <w:tcW w:w="992" w:type="dxa"/>
            <w:gridSpan w:val="2"/>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w:t>
            </w:r>
          </w:p>
        </w:tc>
        <w:tc>
          <w:tcPr>
            <w:tcW w:w="992"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w:t>
            </w:r>
          </w:p>
        </w:tc>
        <w:tc>
          <w:tcPr>
            <w:tcW w:w="993"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w:t>
            </w:r>
          </w:p>
        </w:tc>
        <w:tc>
          <w:tcPr>
            <w:tcW w:w="992"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w:t>
            </w:r>
          </w:p>
        </w:tc>
        <w:tc>
          <w:tcPr>
            <w:tcW w:w="992"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w:t>
            </w:r>
          </w:p>
        </w:tc>
        <w:tc>
          <w:tcPr>
            <w:tcW w:w="992"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w:t>
            </w:r>
          </w:p>
        </w:tc>
        <w:tc>
          <w:tcPr>
            <w:tcW w:w="851"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w:t>
            </w:r>
          </w:p>
        </w:tc>
        <w:tc>
          <w:tcPr>
            <w:tcW w:w="1134"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w:t>
            </w:r>
          </w:p>
        </w:tc>
      </w:tr>
      <w:tr w:rsidR="00B951B1" w:rsidRPr="00E61612" w:rsidTr="00CB78E6">
        <w:trPr>
          <w:trHeight w:val="1785"/>
          <w:jc w:val="center"/>
        </w:trPr>
        <w:tc>
          <w:tcPr>
            <w:tcW w:w="992" w:type="dxa"/>
            <w:vMerge/>
            <w:tcBorders>
              <w:top w:val="nil"/>
              <w:left w:val="single" w:sz="4" w:space="0" w:color="auto"/>
              <w:bottom w:val="single" w:sz="4" w:space="0" w:color="auto"/>
              <w:right w:val="single" w:sz="4" w:space="0" w:color="auto"/>
            </w:tcBorders>
            <w:shd w:val="clear" w:color="auto" w:fill="FFFFFF"/>
            <w:hideMark/>
          </w:tcPr>
          <w:p w:rsidR="00B951B1" w:rsidRPr="00E61612" w:rsidRDefault="00B951B1" w:rsidP="00CB78E6">
            <w:pPr>
              <w:spacing w:after="0"/>
              <w:outlineLvl w:val="1"/>
              <w:rPr>
                <w:rFonts w:eastAsia="Times New Roman" w:cs="Calibri"/>
                <w:sz w:val="16"/>
                <w:szCs w:val="16"/>
              </w:rPr>
            </w:pPr>
          </w:p>
        </w:tc>
        <w:tc>
          <w:tcPr>
            <w:tcW w:w="993" w:type="dxa"/>
            <w:vMerge/>
            <w:tcBorders>
              <w:top w:val="nil"/>
              <w:left w:val="single" w:sz="4" w:space="0" w:color="auto"/>
              <w:bottom w:val="single" w:sz="4" w:space="0" w:color="auto"/>
              <w:right w:val="single" w:sz="4" w:space="0" w:color="auto"/>
            </w:tcBorders>
            <w:shd w:val="clear" w:color="auto" w:fill="FFFFFF"/>
            <w:hideMark/>
          </w:tcPr>
          <w:p w:rsidR="00B951B1" w:rsidRPr="00E61612" w:rsidRDefault="00B951B1" w:rsidP="00CB78E6">
            <w:pPr>
              <w:spacing w:after="0"/>
              <w:outlineLvl w:val="1"/>
              <w:rPr>
                <w:rFonts w:eastAsia="Times New Roman" w:cs="Calibri"/>
                <w:sz w:val="16"/>
                <w:szCs w:val="16"/>
              </w:rPr>
            </w:pPr>
          </w:p>
        </w:tc>
        <w:tc>
          <w:tcPr>
            <w:tcW w:w="992" w:type="dxa"/>
            <w:tcBorders>
              <w:top w:val="nil"/>
              <w:left w:val="nil"/>
              <w:bottom w:val="single" w:sz="4" w:space="0" w:color="auto"/>
              <w:right w:val="single" w:sz="4" w:space="0" w:color="auto"/>
            </w:tcBorders>
            <w:shd w:val="clear" w:color="auto" w:fill="FFFFFF"/>
            <w:hideMark/>
          </w:tcPr>
          <w:p w:rsidR="00B951B1" w:rsidRPr="00E61612" w:rsidRDefault="00B951B1" w:rsidP="00CB78E6">
            <w:pPr>
              <w:spacing w:after="0"/>
              <w:outlineLvl w:val="1"/>
              <w:rPr>
                <w:rFonts w:eastAsia="Times New Roman" w:cs="Calibri"/>
                <w:sz w:val="16"/>
                <w:szCs w:val="16"/>
              </w:rPr>
            </w:pPr>
            <w:r w:rsidRPr="00E61612">
              <w:rPr>
                <w:rFonts w:eastAsia="Times New Roman" w:cs="Calibri"/>
                <w:sz w:val="16"/>
                <w:szCs w:val="16"/>
              </w:rPr>
              <w:t>C1.2. Përmirësimi i infrastrukturës akademike</w:t>
            </w:r>
          </w:p>
        </w:tc>
        <w:tc>
          <w:tcPr>
            <w:tcW w:w="1309" w:type="dxa"/>
            <w:tcBorders>
              <w:top w:val="nil"/>
              <w:left w:val="nil"/>
              <w:bottom w:val="single" w:sz="4" w:space="0" w:color="auto"/>
              <w:right w:val="single" w:sz="4" w:space="0" w:color="auto"/>
            </w:tcBorders>
            <w:shd w:val="clear" w:color="auto" w:fill="FFFFFF"/>
            <w:hideMark/>
          </w:tcPr>
          <w:p w:rsidR="00B951B1" w:rsidRPr="00E61612" w:rsidRDefault="00B951B1" w:rsidP="00CB78E6">
            <w:pPr>
              <w:spacing w:after="0"/>
              <w:outlineLvl w:val="1"/>
              <w:rPr>
                <w:rFonts w:eastAsia="Times New Roman" w:cs="Calibri"/>
                <w:sz w:val="16"/>
                <w:szCs w:val="16"/>
              </w:rPr>
            </w:pPr>
            <w:r w:rsidRPr="00E61612">
              <w:rPr>
                <w:rFonts w:eastAsia="Times New Roman" w:cs="Calibri"/>
                <w:sz w:val="16"/>
                <w:szCs w:val="16"/>
              </w:rPr>
              <w:t>C1.2.1. Investime në zgjerimin dhe përmirësimin e infrastrukturës akademike (godinat, kampuset, laboratorët, bibliotekat, etj.)</w:t>
            </w:r>
          </w:p>
        </w:tc>
        <w:tc>
          <w:tcPr>
            <w:tcW w:w="1067" w:type="dxa"/>
            <w:tcBorders>
              <w:top w:val="nil"/>
              <w:left w:val="single" w:sz="4" w:space="0" w:color="auto"/>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w:t>
            </w:r>
          </w:p>
        </w:tc>
        <w:tc>
          <w:tcPr>
            <w:tcW w:w="851"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w:t>
            </w:r>
          </w:p>
        </w:tc>
        <w:tc>
          <w:tcPr>
            <w:tcW w:w="992"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7,912,000</w:t>
            </w:r>
          </w:p>
        </w:tc>
        <w:tc>
          <w:tcPr>
            <w:tcW w:w="992" w:type="dxa"/>
            <w:gridSpan w:val="2"/>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7,912,000</w:t>
            </w:r>
          </w:p>
        </w:tc>
        <w:tc>
          <w:tcPr>
            <w:tcW w:w="992"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w:t>
            </w:r>
          </w:p>
        </w:tc>
        <w:tc>
          <w:tcPr>
            <w:tcW w:w="993"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7,912,000</w:t>
            </w:r>
          </w:p>
        </w:tc>
        <w:tc>
          <w:tcPr>
            <w:tcW w:w="992"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7,912,000</w:t>
            </w:r>
          </w:p>
        </w:tc>
        <w:tc>
          <w:tcPr>
            <w:tcW w:w="992"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w:t>
            </w:r>
          </w:p>
        </w:tc>
        <w:tc>
          <w:tcPr>
            <w:tcW w:w="992"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w:t>
            </w:r>
          </w:p>
        </w:tc>
        <w:tc>
          <w:tcPr>
            <w:tcW w:w="851"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w:t>
            </w:r>
          </w:p>
        </w:tc>
        <w:tc>
          <w:tcPr>
            <w:tcW w:w="1134"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7,912,000</w:t>
            </w:r>
          </w:p>
        </w:tc>
      </w:tr>
      <w:tr w:rsidR="00B951B1" w:rsidRPr="00E61612" w:rsidTr="00CB78E6">
        <w:trPr>
          <w:trHeight w:val="1020"/>
          <w:jc w:val="center"/>
        </w:trPr>
        <w:tc>
          <w:tcPr>
            <w:tcW w:w="992" w:type="dxa"/>
            <w:vMerge/>
            <w:tcBorders>
              <w:top w:val="nil"/>
              <w:left w:val="single" w:sz="4" w:space="0" w:color="auto"/>
              <w:bottom w:val="single" w:sz="4" w:space="0" w:color="auto"/>
              <w:right w:val="single" w:sz="4" w:space="0" w:color="auto"/>
            </w:tcBorders>
            <w:shd w:val="clear" w:color="auto" w:fill="FFFFFF"/>
            <w:hideMark/>
          </w:tcPr>
          <w:p w:rsidR="00B951B1" w:rsidRPr="00E61612" w:rsidRDefault="00B951B1" w:rsidP="00CB78E6">
            <w:pPr>
              <w:spacing w:after="0"/>
              <w:outlineLvl w:val="1"/>
              <w:rPr>
                <w:rFonts w:eastAsia="Times New Roman" w:cs="Calibri"/>
                <w:sz w:val="16"/>
                <w:szCs w:val="16"/>
              </w:rPr>
            </w:pPr>
          </w:p>
        </w:tc>
        <w:tc>
          <w:tcPr>
            <w:tcW w:w="993" w:type="dxa"/>
            <w:vMerge/>
            <w:tcBorders>
              <w:top w:val="nil"/>
              <w:left w:val="single" w:sz="4" w:space="0" w:color="auto"/>
              <w:bottom w:val="single" w:sz="4" w:space="0" w:color="auto"/>
              <w:right w:val="single" w:sz="4" w:space="0" w:color="auto"/>
            </w:tcBorders>
            <w:shd w:val="clear" w:color="auto" w:fill="FFFFFF"/>
            <w:hideMark/>
          </w:tcPr>
          <w:p w:rsidR="00B951B1" w:rsidRPr="00E61612" w:rsidRDefault="00B951B1" w:rsidP="00CB78E6">
            <w:pPr>
              <w:spacing w:after="0"/>
              <w:outlineLvl w:val="1"/>
              <w:rPr>
                <w:rFonts w:eastAsia="Times New Roman" w:cs="Calibri"/>
                <w:sz w:val="16"/>
                <w:szCs w:val="16"/>
              </w:rPr>
            </w:pPr>
          </w:p>
        </w:tc>
        <w:tc>
          <w:tcPr>
            <w:tcW w:w="992" w:type="dxa"/>
            <w:vMerge w:val="restart"/>
            <w:tcBorders>
              <w:top w:val="nil"/>
              <w:left w:val="single" w:sz="4" w:space="0" w:color="auto"/>
              <w:bottom w:val="single" w:sz="4" w:space="0" w:color="000000"/>
              <w:right w:val="single" w:sz="4" w:space="0" w:color="auto"/>
            </w:tcBorders>
            <w:shd w:val="clear" w:color="auto" w:fill="FFFFFF"/>
            <w:hideMark/>
          </w:tcPr>
          <w:p w:rsidR="00B951B1" w:rsidRPr="00E61612" w:rsidRDefault="00B951B1" w:rsidP="00CB78E6">
            <w:pPr>
              <w:spacing w:after="0"/>
              <w:outlineLvl w:val="1"/>
              <w:rPr>
                <w:rFonts w:eastAsia="Times New Roman" w:cs="Calibri"/>
                <w:sz w:val="16"/>
                <w:szCs w:val="16"/>
              </w:rPr>
            </w:pPr>
            <w:r w:rsidRPr="00E61612">
              <w:rPr>
                <w:rFonts w:eastAsia="Times New Roman" w:cs="Calibri"/>
                <w:sz w:val="16"/>
                <w:szCs w:val="16"/>
              </w:rPr>
              <w:t>C1.3. Aplikimi i standardeve të larta akademike për akreditimin e IAL-ve dhe të programeve studimore</w:t>
            </w:r>
          </w:p>
        </w:tc>
        <w:tc>
          <w:tcPr>
            <w:tcW w:w="1309" w:type="dxa"/>
            <w:tcBorders>
              <w:top w:val="nil"/>
              <w:left w:val="nil"/>
              <w:bottom w:val="single" w:sz="4" w:space="0" w:color="auto"/>
              <w:right w:val="single" w:sz="4" w:space="0" w:color="auto"/>
            </w:tcBorders>
            <w:shd w:val="clear" w:color="auto" w:fill="FFFFFF"/>
            <w:hideMark/>
          </w:tcPr>
          <w:p w:rsidR="00B951B1" w:rsidRPr="00E61612" w:rsidRDefault="00B951B1" w:rsidP="00CB78E6">
            <w:pPr>
              <w:spacing w:after="0"/>
              <w:outlineLvl w:val="1"/>
              <w:rPr>
                <w:rFonts w:eastAsia="Times New Roman" w:cs="Calibri"/>
                <w:sz w:val="16"/>
                <w:szCs w:val="16"/>
              </w:rPr>
            </w:pPr>
            <w:r w:rsidRPr="00E61612">
              <w:rPr>
                <w:rFonts w:eastAsia="Times New Roman" w:cs="Calibri"/>
                <w:sz w:val="16"/>
                <w:szCs w:val="16"/>
              </w:rPr>
              <w:t xml:space="preserve">C1.3.1. Ristrukturimi i Sistemit të Sigurimit të Cilësisë për të </w:t>
            </w:r>
            <w:r>
              <w:rPr>
                <w:rFonts w:eastAsia="Times New Roman" w:cs="Calibri"/>
                <w:sz w:val="16"/>
                <w:szCs w:val="16"/>
              </w:rPr>
              <w:t>garantuar</w:t>
            </w:r>
            <w:r w:rsidRPr="00E61612">
              <w:rPr>
                <w:rFonts w:eastAsia="Times New Roman" w:cs="Calibri"/>
                <w:sz w:val="16"/>
                <w:szCs w:val="16"/>
              </w:rPr>
              <w:t xml:space="preserve"> pavarësinë dhe zbatimin e </w:t>
            </w:r>
            <w:r>
              <w:rPr>
                <w:rFonts w:eastAsia="Times New Roman" w:cs="Calibri"/>
                <w:sz w:val="16"/>
                <w:szCs w:val="16"/>
              </w:rPr>
              <w:t>SUE</w:t>
            </w:r>
          </w:p>
        </w:tc>
        <w:tc>
          <w:tcPr>
            <w:tcW w:w="1067" w:type="dxa"/>
            <w:tcBorders>
              <w:top w:val="nil"/>
              <w:left w:val="single" w:sz="4" w:space="0" w:color="auto"/>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w:t>
            </w:r>
          </w:p>
        </w:tc>
        <w:tc>
          <w:tcPr>
            <w:tcW w:w="851"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6,610</w:t>
            </w:r>
          </w:p>
        </w:tc>
        <w:tc>
          <w:tcPr>
            <w:tcW w:w="992"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w:t>
            </w:r>
          </w:p>
        </w:tc>
        <w:tc>
          <w:tcPr>
            <w:tcW w:w="992" w:type="dxa"/>
            <w:gridSpan w:val="2"/>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6,610</w:t>
            </w:r>
          </w:p>
        </w:tc>
        <w:tc>
          <w:tcPr>
            <w:tcW w:w="992"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w:t>
            </w:r>
          </w:p>
        </w:tc>
        <w:tc>
          <w:tcPr>
            <w:tcW w:w="993"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6,610</w:t>
            </w:r>
          </w:p>
        </w:tc>
        <w:tc>
          <w:tcPr>
            <w:tcW w:w="992"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6,610</w:t>
            </w:r>
          </w:p>
        </w:tc>
        <w:tc>
          <w:tcPr>
            <w:tcW w:w="992"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w:t>
            </w:r>
          </w:p>
        </w:tc>
        <w:tc>
          <w:tcPr>
            <w:tcW w:w="992"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w:t>
            </w:r>
          </w:p>
        </w:tc>
        <w:tc>
          <w:tcPr>
            <w:tcW w:w="851"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w:t>
            </w:r>
          </w:p>
        </w:tc>
        <w:tc>
          <w:tcPr>
            <w:tcW w:w="1134"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6,610</w:t>
            </w:r>
          </w:p>
        </w:tc>
      </w:tr>
      <w:tr w:rsidR="00B951B1" w:rsidRPr="00E61612" w:rsidTr="00CB78E6">
        <w:trPr>
          <w:trHeight w:val="2295"/>
          <w:jc w:val="center"/>
        </w:trPr>
        <w:tc>
          <w:tcPr>
            <w:tcW w:w="992" w:type="dxa"/>
            <w:vMerge/>
            <w:tcBorders>
              <w:top w:val="nil"/>
              <w:left w:val="single" w:sz="4" w:space="0" w:color="auto"/>
              <w:bottom w:val="single" w:sz="4" w:space="0" w:color="auto"/>
              <w:right w:val="single" w:sz="4" w:space="0" w:color="auto"/>
            </w:tcBorders>
            <w:shd w:val="clear" w:color="auto" w:fill="FFFFFF"/>
            <w:hideMark/>
          </w:tcPr>
          <w:p w:rsidR="00B951B1" w:rsidRPr="00E61612" w:rsidRDefault="00B951B1" w:rsidP="00CB78E6">
            <w:pPr>
              <w:spacing w:after="0"/>
              <w:outlineLvl w:val="1"/>
              <w:rPr>
                <w:rFonts w:eastAsia="Times New Roman" w:cs="Calibri"/>
                <w:sz w:val="16"/>
                <w:szCs w:val="16"/>
              </w:rPr>
            </w:pPr>
          </w:p>
        </w:tc>
        <w:tc>
          <w:tcPr>
            <w:tcW w:w="993" w:type="dxa"/>
            <w:vMerge/>
            <w:tcBorders>
              <w:top w:val="nil"/>
              <w:left w:val="single" w:sz="4" w:space="0" w:color="auto"/>
              <w:bottom w:val="single" w:sz="4" w:space="0" w:color="auto"/>
              <w:right w:val="single" w:sz="4" w:space="0" w:color="auto"/>
            </w:tcBorders>
            <w:shd w:val="clear" w:color="auto" w:fill="FFFFFF"/>
            <w:hideMark/>
          </w:tcPr>
          <w:p w:rsidR="00B951B1" w:rsidRPr="00E61612" w:rsidRDefault="00B951B1" w:rsidP="00CB78E6">
            <w:pPr>
              <w:spacing w:after="0"/>
              <w:outlineLvl w:val="1"/>
              <w:rPr>
                <w:rFonts w:eastAsia="Times New Roman" w:cs="Calibri"/>
                <w:sz w:val="16"/>
                <w:szCs w:val="16"/>
              </w:rPr>
            </w:pPr>
          </w:p>
        </w:tc>
        <w:tc>
          <w:tcPr>
            <w:tcW w:w="992" w:type="dxa"/>
            <w:vMerge/>
            <w:tcBorders>
              <w:top w:val="nil"/>
              <w:left w:val="single" w:sz="4" w:space="0" w:color="auto"/>
              <w:bottom w:val="single" w:sz="4" w:space="0" w:color="000000"/>
              <w:right w:val="single" w:sz="4" w:space="0" w:color="auto"/>
            </w:tcBorders>
            <w:shd w:val="clear" w:color="auto" w:fill="FFFFFF"/>
            <w:hideMark/>
          </w:tcPr>
          <w:p w:rsidR="00B951B1" w:rsidRPr="00E61612" w:rsidRDefault="00B951B1" w:rsidP="00CB78E6">
            <w:pPr>
              <w:spacing w:after="0"/>
              <w:outlineLvl w:val="1"/>
              <w:rPr>
                <w:rFonts w:eastAsia="Times New Roman" w:cs="Calibri"/>
                <w:sz w:val="16"/>
                <w:szCs w:val="16"/>
              </w:rPr>
            </w:pPr>
          </w:p>
        </w:tc>
        <w:tc>
          <w:tcPr>
            <w:tcW w:w="1309" w:type="dxa"/>
            <w:tcBorders>
              <w:top w:val="nil"/>
              <w:left w:val="nil"/>
              <w:bottom w:val="single" w:sz="4" w:space="0" w:color="auto"/>
              <w:right w:val="single" w:sz="4" w:space="0" w:color="auto"/>
            </w:tcBorders>
            <w:shd w:val="clear" w:color="auto" w:fill="FFFFFF"/>
            <w:hideMark/>
          </w:tcPr>
          <w:p w:rsidR="00B951B1" w:rsidRPr="00E61612" w:rsidRDefault="00B951B1" w:rsidP="00CB78E6">
            <w:pPr>
              <w:spacing w:after="0"/>
              <w:outlineLvl w:val="1"/>
              <w:rPr>
                <w:rFonts w:eastAsia="Times New Roman" w:cs="Calibri"/>
                <w:sz w:val="16"/>
                <w:szCs w:val="16"/>
              </w:rPr>
            </w:pPr>
            <w:r w:rsidRPr="00E61612">
              <w:rPr>
                <w:rFonts w:eastAsia="Times New Roman" w:cs="Calibri"/>
                <w:sz w:val="16"/>
                <w:szCs w:val="16"/>
              </w:rPr>
              <w:t>C1.3.2. Akreditimi i IAL-ve dhe programeve në bazë të standardeve ndërkombëtare dhe mbikëqyrja e vazhdueshme e institucioneve dhe programeve të akredituara</w:t>
            </w:r>
          </w:p>
        </w:tc>
        <w:tc>
          <w:tcPr>
            <w:tcW w:w="1067" w:type="dxa"/>
            <w:tcBorders>
              <w:top w:val="nil"/>
              <w:left w:val="single" w:sz="4" w:space="0" w:color="auto"/>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22,700</w:t>
            </w:r>
          </w:p>
        </w:tc>
        <w:tc>
          <w:tcPr>
            <w:tcW w:w="851"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802</w:t>
            </w:r>
          </w:p>
        </w:tc>
        <w:tc>
          <w:tcPr>
            <w:tcW w:w="992"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w:t>
            </w:r>
          </w:p>
        </w:tc>
        <w:tc>
          <w:tcPr>
            <w:tcW w:w="992" w:type="dxa"/>
            <w:gridSpan w:val="2"/>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802</w:t>
            </w:r>
          </w:p>
        </w:tc>
        <w:tc>
          <w:tcPr>
            <w:tcW w:w="992"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22,700</w:t>
            </w:r>
          </w:p>
        </w:tc>
        <w:tc>
          <w:tcPr>
            <w:tcW w:w="993"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23,502</w:t>
            </w:r>
          </w:p>
        </w:tc>
        <w:tc>
          <w:tcPr>
            <w:tcW w:w="992"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23,502</w:t>
            </w:r>
          </w:p>
        </w:tc>
        <w:tc>
          <w:tcPr>
            <w:tcW w:w="992"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w:t>
            </w:r>
          </w:p>
        </w:tc>
        <w:tc>
          <w:tcPr>
            <w:tcW w:w="992"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w:t>
            </w:r>
          </w:p>
        </w:tc>
        <w:tc>
          <w:tcPr>
            <w:tcW w:w="851"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w:t>
            </w:r>
          </w:p>
        </w:tc>
        <w:tc>
          <w:tcPr>
            <w:tcW w:w="1134"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23,502</w:t>
            </w:r>
          </w:p>
        </w:tc>
      </w:tr>
      <w:tr w:rsidR="00B951B1" w:rsidRPr="00E61612" w:rsidTr="00CB78E6">
        <w:trPr>
          <w:trHeight w:val="765"/>
          <w:jc w:val="center"/>
        </w:trPr>
        <w:tc>
          <w:tcPr>
            <w:tcW w:w="992" w:type="dxa"/>
            <w:vMerge/>
            <w:tcBorders>
              <w:top w:val="nil"/>
              <w:left w:val="single" w:sz="4" w:space="0" w:color="auto"/>
              <w:bottom w:val="single" w:sz="4" w:space="0" w:color="auto"/>
              <w:right w:val="single" w:sz="4" w:space="0" w:color="auto"/>
            </w:tcBorders>
            <w:shd w:val="clear" w:color="auto" w:fill="FFFFFF"/>
            <w:hideMark/>
          </w:tcPr>
          <w:p w:rsidR="00B951B1" w:rsidRPr="00E61612" w:rsidRDefault="00B951B1" w:rsidP="00CB78E6">
            <w:pPr>
              <w:spacing w:after="0"/>
              <w:outlineLvl w:val="1"/>
              <w:rPr>
                <w:rFonts w:eastAsia="Times New Roman" w:cs="Calibri"/>
                <w:sz w:val="16"/>
                <w:szCs w:val="16"/>
              </w:rPr>
            </w:pPr>
          </w:p>
        </w:tc>
        <w:tc>
          <w:tcPr>
            <w:tcW w:w="993" w:type="dxa"/>
            <w:vMerge/>
            <w:tcBorders>
              <w:top w:val="nil"/>
              <w:left w:val="single" w:sz="4" w:space="0" w:color="auto"/>
              <w:bottom w:val="single" w:sz="4" w:space="0" w:color="auto"/>
              <w:right w:val="single" w:sz="4" w:space="0" w:color="auto"/>
            </w:tcBorders>
            <w:shd w:val="clear" w:color="auto" w:fill="FFFFFF"/>
            <w:hideMark/>
          </w:tcPr>
          <w:p w:rsidR="00B951B1" w:rsidRPr="00E61612" w:rsidRDefault="00B951B1" w:rsidP="00CB78E6">
            <w:pPr>
              <w:spacing w:after="0"/>
              <w:outlineLvl w:val="1"/>
              <w:rPr>
                <w:rFonts w:eastAsia="Times New Roman" w:cs="Calibri"/>
                <w:sz w:val="16"/>
                <w:szCs w:val="16"/>
              </w:rPr>
            </w:pPr>
          </w:p>
        </w:tc>
        <w:tc>
          <w:tcPr>
            <w:tcW w:w="992" w:type="dxa"/>
            <w:vMerge/>
            <w:tcBorders>
              <w:top w:val="nil"/>
              <w:left w:val="single" w:sz="4" w:space="0" w:color="auto"/>
              <w:bottom w:val="single" w:sz="4" w:space="0" w:color="000000"/>
              <w:right w:val="single" w:sz="4" w:space="0" w:color="auto"/>
            </w:tcBorders>
            <w:shd w:val="clear" w:color="auto" w:fill="FFFFFF"/>
            <w:hideMark/>
          </w:tcPr>
          <w:p w:rsidR="00B951B1" w:rsidRPr="00E61612" w:rsidRDefault="00B951B1" w:rsidP="00CB78E6">
            <w:pPr>
              <w:spacing w:after="0"/>
              <w:outlineLvl w:val="1"/>
              <w:rPr>
                <w:rFonts w:eastAsia="Times New Roman" w:cs="Calibri"/>
                <w:sz w:val="16"/>
                <w:szCs w:val="16"/>
              </w:rPr>
            </w:pPr>
          </w:p>
        </w:tc>
        <w:tc>
          <w:tcPr>
            <w:tcW w:w="1309" w:type="dxa"/>
            <w:tcBorders>
              <w:top w:val="nil"/>
              <w:left w:val="nil"/>
              <w:bottom w:val="single" w:sz="4" w:space="0" w:color="auto"/>
              <w:right w:val="single" w:sz="4" w:space="0" w:color="auto"/>
            </w:tcBorders>
            <w:shd w:val="clear" w:color="auto" w:fill="FFFFFF"/>
            <w:hideMark/>
          </w:tcPr>
          <w:p w:rsidR="00B951B1" w:rsidRPr="00E61612" w:rsidRDefault="00B951B1" w:rsidP="00CB78E6">
            <w:pPr>
              <w:spacing w:after="0"/>
              <w:outlineLvl w:val="1"/>
              <w:rPr>
                <w:rFonts w:eastAsia="Times New Roman" w:cs="Calibri"/>
                <w:sz w:val="16"/>
                <w:szCs w:val="16"/>
              </w:rPr>
            </w:pPr>
            <w:r w:rsidRPr="00E61612">
              <w:rPr>
                <w:rFonts w:eastAsia="Times New Roman" w:cs="Calibri"/>
                <w:sz w:val="16"/>
                <w:szCs w:val="16"/>
              </w:rPr>
              <w:t xml:space="preserve">C1.3.3. Aplikimi për anëtarësim të ASCAL me të </w:t>
            </w:r>
            <w:r w:rsidRPr="00E61612">
              <w:rPr>
                <w:rFonts w:eastAsia="Times New Roman" w:cs="Calibri"/>
                <w:sz w:val="16"/>
                <w:szCs w:val="16"/>
              </w:rPr>
              <w:lastRenderedPageBreak/>
              <w:t>drejta të plota në ENQA dhe EQAR</w:t>
            </w:r>
          </w:p>
        </w:tc>
        <w:tc>
          <w:tcPr>
            <w:tcW w:w="1067" w:type="dxa"/>
            <w:tcBorders>
              <w:top w:val="nil"/>
              <w:left w:val="single" w:sz="4" w:space="0" w:color="auto"/>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lastRenderedPageBreak/>
              <w:t>-</w:t>
            </w:r>
          </w:p>
        </w:tc>
        <w:tc>
          <w:tcPr>
            <w:tcW w:w="851"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11,537</w:t>
            </w:r>
          </w:p>
        </w:tc>
        <w:tc>
          <w:tcPr>
            <w:tcW w:w="992"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w:t>
            </w:r>
          </w:p>
        </w:tc>
        <w:tc>
          <w:tcPr>
            <w:tcW w:w="992" w:type="dxa"/>
            <w:gridSpan w:val="2"/>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11,537</w:t>
            </w:r>
          </w:p>
        </w:tc>
        <w:tc>
          <w:tcPr>
            <w:tcW w:w="992"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w:t>
            </w:r>
          </w:p>
        </w:tc>
        <w:tc>
          <w:tcPr>
            <w:tcW w:w="993"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11,537</w:t>
            </w:r>
          </w:p>
        </w:tc>
        <w:tc>
          <w:tcPr>
            <w:tcW w:w="992"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11,537</w:t>
            </w:r>
          </w:p>
        </w:tc>
        <w:tc>
          <w:tcPr>
            <w:tcW w:w="992"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w:t>
            </w:r>
          </w:p>
        </w:tc>
        <w:tc>
          <w:tcPr>
            <w:tcW w:w="992"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w:t>
            </w:r>
          </w:p>
        </w:tc>
        <w:tc>
          <w:tcPr>
            <w:tcW w:w="851"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w:t>
            </w:r>
          </w:p>
        </w:tc>
        <w:tc>
          <w:tcPr>
            <w:tcW w:w="1134"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11,537</w:t>
            </w:r>
          </w:p>
        </w:tc>
      </w:tr>
      <w:tr w:rsidR="00B951B1" w:rsidRPr="00E61612" w:rsidTr="00CB78E6">
        <w:trPr>
          <w:trHeight w:val="255"/>
          <w:jc w:val="center"/>
        </w:trPr>
        <w:tc>
          <w:tcPr>
            <w:tcW w:w="992" w:type="dxa"/>
            <w:vMerge/>
            <w:tcBorders>
              <w:top w:val="nil"/>
              <w:left w:val="single" w:sz="4" w:space="0" w:color="auto"/>
              <w:bottom w:val="single" w:sz="4" w:space="0" w:color="auto"/>
              <w:right w:val="single" w:sz="4" w:space="0" w:color="auto"/>
            </w:tcBorders>
            <w:shd w:val="clear" w:color="auto" w:fill="FFFFFF"/>
            <w:hideMark/>
          </w:tcPr>
          <w:p w:rsidR="00B951B1" w:rsidRPr="00E61612" w:rsidRDefault="00B951B1" w:rsidP="00CB78E6">
            <w:pPr>
              <w:spacing w:after="0"/>
              <w:outlineLvl w:val="0"/>
              <w:rPr>
                <w:rFonts w:eastAsia="Times New Roman" w:cs="Calibri"/>
                <w:sz w:val="16"/>
                <w:szCs w:val="16"/>
              </w:rPr>
            </w:pPr>
          </w:p>
        </w:tc>
        <w:tc>
          <w:tcPr>
            <w:tcW w:w="993" w:type="dxa"/>
            <w:vMerge/>
            <w:tcBorders>
              <w:top w:val="nil"/>
              <w:left w:val="single" w:sz="4" w:space="0" w:color="auto"/>
              <w:bottom w:val="single" w:sz="4" w:space="0" w:color="auto"/>
              <w:right w:val="single" w:sz="4" w:space="0" w:color="auto"/>
            </w:tcBorders>
            <w:shd w:val="clear" w:color="auto" w:fill="FFFFFF"/>
            <w:hideMark/>
          </w:tcPr>
          <w:p w:rsidR="00B951B1" w:rsidRPr="00E61612" w:rsidRDefault="00B951B1" w:rsidP="00CB78E6">
            <w:pPr>
              <w:spacing w:after="0"/>
              <w:outlineLvl w:val="0"/>
              <w:rPr>
                <w:rFonts w:eastAsia="Times New Roman" w:cs="Calibri"/>
                <w:sz w:val="16"/>
                <w:szCs w:val="16"/>
              </w:rPr>
            </w:pPr>
          </w:p>
        </w:tc>
        <w:tc>
          <w:tcPr>
            <w:tcW w:w="2301" w:type="dxa"/>
            <w:gridSpan w:val="2"/>
            <w:tcBorders>
              <w:top w:val="single" w:sz="4" w:space="0" w:color="auto"/>
              <w:left w:val="nil"/>
              <w:bottom w:val="single" w:sz="4" w:space="0" w:color="auto"/>
              <w:right w:val="nil"/>
            </w:tcBorders>
            <w:shd w:val="clear" w:color="auto" w:fill="FFFFFF"/>
            <w:hideMark/>
          </w:tcPr>
          <w:p w:rsidR="00B951B1" w:rsidRPr="00E61612" w:rsidRDefault="00B951B1" w:rsidP="00CB78E6">
            <w:pPr>
              <w:spacing w:after="0"/>
              <w:jc w:val="center"/>
              <w:outlineLvl w:val="0"/>
              <w:rPr>
                <w:rFonts w:eastAsia="Times New Roman" w:cs="Calibri"/>
                <w:i/>
                <w:iCs/>
                <w:sz w:val="16"/>
                <w:szCs w:val="16"/>
              </w:rPr>
            </w:pPr>
            <w:r w:rsidRPr="00E61612">
              <w:rPr>
                <w:rFonts w:eastAsia="Times New Roman" w:cs="Calibri"/>
                <w:i/>
                <w:iCs/>
                <w:sz w:val="16"/>
                <w:szCs w:val="16"/>
              </w:rPr>
              <w:t>TOTALC1</w:t>
            </w:r>
          </w:p>
        </w:tc>
        <w:tc>
          <w:tcPr>
            <w:tcW w:w="1067" w:type="dxa"/>
            <w:tcBorders>
              <w:top w:val="nil"/>
              <w:left w:val="single" w:sz="4" w:space="0" w:color="auto"/>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0"/>
              <w:rPr>
                <w:rFonts w:eastAsia="Times New Roman" w:cs="Calibri"/>
                <w:i/>
                <w:sz w:val="16"/>
                <w:szCs w:val="16"/>
              </w:rPr>
            </w:pPr>
            <w:r w:rsidRPr="00E61612">
              <w:rPr>
                <w:rFonts w:eastAsia="Times New Roman" w:cs="Calibri"/>
                <w:i/>
                <w:sz w:val="16"/>
                <w:szCs w:val="16"/>
              </w:rPr>
              <w:t>22,700</w:t>
            </w:r>
          </w:p>
        </w:tc>
        <w:tc>
          <w:tcPr>
            <w:tcW w:w="851"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0"/>
              <w:rPr>
                <w:rFonts w:eastAsia="Times New Roman" w:cs="Calibri"/>
                <w:i/>
                <w:sz w:val="16"/>
                <w:szCs w:val="16"/>
              </w:rPr>
            </w:pPr>
            <w:r w:rsidRPr="00E61612">
              <w:rPr>
                <w:rFonts w:eastAsia="Times New Roman" w:cs="Calibri"/>
                <w:i/>
                <w:sz w:val="16"/>
                <w:szCs w:val="16"/>
              </w:rPr>
              <w:t>24,108</w:t>
            </w:r>
          </w:p>
        </w:tc>
        <w:tc>
          <w:tcPr>
            <w:tcW w:w="992"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0"/>
              <w:rPr>
                <w:rFonts w:eastAsia="Times New Roman" w:cs="Calibri"/>
                <w:i/>
                <w:sz w:val="16"/>
                <w:szCs w:val="16"/>
              </w:rPr>
            </w:pPr>
            <w:r w:rsidRPr="00E61612">
              <w:rPr>
                <w:rFonts w:eastAsia="Times New Roman" w:cs="Calibri"/>
                <w:i/>
                <w:sz w:val="16"/>
                <w:szCs w:val="16"/>
              </w:rPr>
              <w:t>7,912,000</w:t>
            </w:r>
          </w:p>
        </w:tc>
        <w:tc>
          <w:tcPr>
            <w:tcW w:w="992" w:type="dxa"/>
            <w:gridSpan w:val="2"/>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0"/>
              <w:rPr>
                <w:rFonts w:eastAsia="Times New Roman" w:cs="Calibri"/>
                <w:i/>
                <w:sz w:val="16"/>
                <w:szCs w:val="16"/>
              </w:rPr>
            </w:pPr>
            <w:r w:rsidRPr="00E61612">
              <w:rPr>
                <w:rFonts w:eastAsia="Times New Roman" w:cs="Calibri"/>
                <w:i/>
                <w:sz w:val="16"/>
                <w:szCs w:val="16"/>
              </w:rPr>
              <w:t>7,936,108</w:t>
            </w:r>
          </w:p>
        </w:tc>
        <w:tc>
          <w:tcPr>
            <w:tcW w:w="992"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0"/>
              <w:rPr>
                <w:rFonts w:eastAsia="Times New Roman" w:cs="Calibri"/>
                <w:i/>
                <w:sz w:val="16"/>
                <w:szCs w:val="16"/>
              </w:rPr>
            </w:pPr>
            <w:r w:rsidRPr="00E61612">
              <w:rPr>
                <w:rFonts w:eastAsia="Times New Roman" w:cs="Calibri"/>
                <w:i/>
                <w:sz w:val="16"/>
                <w:szCs w:val="16"/>
              </w:rPr>
              <w:t>22,700</w:t>
            </w:r>
          </w:p>
        </w:tc>
        <w:tc>
          <w:tcPr>
            <w:tcW w:w="993"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0"/>
              <w:rPr>
                <w:rFonts w:eastAsia="Times New Roman" w:cs="Calibri"/>
                <w:i/>
                <w:sz w:val="16"/>
                <w:szCs w:val="16"/>
              </w:rPr>
            </w:pPr>
            <w:r w:rsidRPr="00E61612">
              <w:rPr>
                <w:rFonts w:eastAsia="Times New Roman" w:cs="Calibri"/>
                <w:i/>
                <w:sz w:val="16"/>
                <w:szCs w:val="16"/>
              </w:rPr>
              <w:t>7,958,808</w:t>
            </w:r>
          </w:p>
        </w:tc>
        <w:tc>
          <w:tcPr>
            <w:tcW w:w="992"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0"/>
              <w:rPr>
                <w:rFonts w:eastAsia="Times New Roman" w:cs="Calibri"/>
                <w:i/>
                <w:sz w:val="16"/>
                <w:szCs w:val="16"/>
              </w:rPr>
            </w:pPr>
            <w:r w:rsidRPr="00E61612">
              <w:rPr>
                <w:rFonts w:eastAsia="Times New Roman" w:cs="Calibri"/>
                <w:i/>
                <w:sz w:val="16"/>
                <w:szCs w:val="16"/>
              </w:rPr>
              <w:t>7,953,648</w:t>
            </w:r>
          </w:p>
        </w:tc>
        <w:tc>
          <w:tcPr>
            <w:tcW w:w="992"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0"/>
              <w:rPr>
                <w:rFonts w:eastAsia="Times New Roman" w:cs="Calibri"/>
                <w:i/>
                <w:sz w:val="16"/>
                <w:szCs w:val="16"/>
              </w:rPr>
            </w:pPr>
            <w:r w:rsidRPr="00E61612">
              <w:rPr>
                <w:rFonts w:eastAsia="Times New Roman" w:cs="Calibri"/>
                <w:i/>
                <w:sz w:val="16"/>
                <w:szCs w:val="16"/>
              </w:rPr>
              <w:t>2,880</w:t>
            </w:r>
          </w:p>
        </w:tc>
        <w:tc>
          <w:tcPr>
            <w:tcW w:w="992" w:type="dxa"/>
            <w:tcBorders>
              <w:top w:val="single" w:sz="4" w:space="0" w:color="auto"/>
              <w:left w:val="single" w:sz="4" w:space="0" w:color="auto"/>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0"/>
              <w:rPr>
                <w:rFonts w:eastAsia="Times New Roman" w:cs="Calibri"/>
                <w:i/>
                <w:sz w:val="16"/>
                <w:szCs w:val="16"/>
              </w:rPr>
            </w:pPr>
            <w:r w:rsidRPr="00E61612">
              <w:rPr>
                <w:rFonts w:eastAsia="Times New Roman" w:cs="Calibri"/>
                <w:i/>
                <w:sz w:val="16"/>
                <w:szCs w:val="16"/>
              </w:rPr>
              <w:t>(2,280)</w:t>
            </w:r>
          </w:p>
        </w:tc>
        <w:tc>
          <w:tcPr>
            <w:tcW w:w="851"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0"/>
              <w:rPr>
                <w:rFonts w:eastAsia="Times New Roman" w:cs="Calibri"/>
                <w:i/>
                <w:sz w:val="16"/>
                <w:szCs w:val="16"/>
              </w:rPr>
            </w:pPr>
            <w:r w:rsidRPr="00E61612">
              <w:rPr>
                <w:rFonts w:eastAsia="Times New Roman" w:cs="Calibri"/>
                <w:i/>
                <w:sz w:val="16"/>
                <w:szCs w:val="16"/>
              </w:rPr>
              <w:t>-</w:t>
            </w:r>
          </w:p>
        </w:tc>
        <w:tc>
          <w:tcPr>
            <w:tcW w:w="1134"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0"/>
              <w:rPr>
                <w:rFonts w:eastAsia="Times New Roman" w:cs="Calibri"/>
                <w:i/>
                <w:sz w:val="16"/>
                <w:szCs w:val="16"/>
              </w:rPr>
            </w:pPr>
            <w:r w:rsidRPr="00E61612">
              <w:rPr>
                <w:rFonts w:eastAsia="Times New Roman" w:cs="Calibri"/>
                <w:i/>
                <w:sz w:val="16"/>
                <w:szCs w:val="16"/>
              </w:rPr>
              <w:t>7,958,808</w:t>
            </w:r>
          </w:p>
        </w:tc>
      </w:tr>
      <w:tr w:rsidR="00B951B1" w:rsidRPr="00E61612" w:rsidTr="00CB78E6">
        <w:trPr>
          <w:trHeight w:val="1550"/>
          <w:jc w:val="center"/>
        </w:trPr>
        <w:tc>
          <w:tcPr>
            <w:tcW w:w="992" w:type="dxa"/>
            <w:vMerge/>
            <w:tcBorders>
              <w:top w:val="nil"/>
              <w:left w:val="single" w:sz="4" w:space="0" w:color="auto"/>
              <w:bottom w:val="single" w:sz="4" w:space="0" w:color="auto"/>
              <w:right w:val="single" w:sz="4" w:space="0" w:color="auto"/>
            </w:tcBorders>
            <w:shd w:val="clear" w:color="auto" w:fill="FFFFFF"/>
            <w:hideMark/>
          </w:tcPr>
          <w:p w:rsidR="00B951B1" w:rsidRPr="00E61612" w:rsidRDefault="00B951B1" w:rsidP="00CB78E6">
            <w:pPr>
              <w:spacing w:after="0"/>
              <w:outlineLvl w:val="1"/>
              <w:rPr>
                <w:rFonts w:eastAsia="Times New Roman" w:cs="Calibri"/>
                <w:sz w:val="16"/>
                <w:szCs w:val="16"/>
              </w:rPr>
            </w:pPr>
          </w:p>
        </w:tc>
        <w:tc>
          <w:tcPr>
            <w:tcW w:w="993" w:type="dxa"/>
            <w:vMerge w:val="restart"/>
            <w:tcBorders>
              <w:top w:val="nil"/>
              <w:left w:val="single" w:sz="4" w:space="0" w:color="auto"/>
              <w:bottom w:val="single" w:sz="4" w:space="0" w:color="auto"/>
              <w:right w:val="single" w:sz="4" w:space="0" w:color="auto"/>
            </w:tcBorders>
            <w:shd w:val="clear" w:color="auto" w:fill="FFFFFF"/>
            <w:hideMark/>
          </w:tcPr>
          <w:p w:rsidR="00B951B1" w:rsidRPr="00E61612" w:rsidRDefault="00B951B1" w:rsidP="00CB78E6">
            <w:pPr>
              <w:spacing w:after="0"/>
              <w:outlineLvl w:val="1"/>
              <w:rPr>
                <w:rFonts w:eastAsia="Times New Roman" w:cs="Calibri"/>
                <w:sz w:val="16"/>
                <w:szCs w:val="16"/>
              </w:rPr>
            </w:pPr>
            <w:r w:rsidRPr="00E61612">
              <w:rPr>
                <w:rFonts w:eastAsia="Times New Roman" w:cs="Calibri"/>
                <w:sz w:val="16"/>
                <w:szCs w:val="16"/>
              </w:rPr>
              <w:t>C2. Nxitja e përsosmërisë në mësimdhënie dhe kërkim</w:t>
            </w:r>
          </w:p>
        </w:tc>
        <w:tc>
          <w:tcPr>
            <w:tcW w:w="992" w:type="dxa"/>
            <w:vMerge w:val="restart"/>
            <w:tcBorders>
              <w:top w:val="nil"/>
              <w:left w:val="single" w:sz="4" w:space="0" w:color="auto"/>
              <w:bottom w:val="single" w:sz="4" w:space="0" w:color="000000"/>
              <w:right w:val="single" w:sz="4" w:space="0" w:color="auto"/>
            </w:tcBorders>
            <w:shd w:val="clear" w:color="auto" w:fill="FFFFFF"/>
            <w:hideMark/>
          </w:tcPr>
          <w:p w:rsidR="00B951B1" w:rsidRPr="00E61612" w:rsidRDefault="00B951B1" w:rsidP="00CB78E6">
            <w:pPr>
              <w:spacing w:after="0"/>
              <w:outlineLvl w:val="1"/>
              <w:rPr>
                <w:rFonts w:eastAsia="Times New Roman" w:cs="Calibri"/>
                <w:sz w:val="16"/>
                <w:szCs w:val="16"/>
              </w:rPr>
            </w:pPr>
            <w:r w:rsidRPr="00E61612">
              <w:rPr>
                <w:rFonts w:eastAsia="Times New Roman" w:cs="Calibri"/>
                <w:sz w:val="16"/>
                <w:szCs w:val="16"/>
              </w:rPr>
              <w:t xml:space="preserve">C2.1. Përmirësimi i kapacitetit të personelit akademik </w:t>
            </w:r>
            <w:r>
              <w:rPr>
                <w:rFonts w:eastAsia="Times New Roman" w:cs="Calibri"/>
                <w:sz w:val="16"/>
                <w:szCs w:val="16"/>
              </w:rPr>
              <w:t>në</w:t>
            </w:r>
            <w:r w:rsidRPr="00E61612">
              <w:rPr>
                <w:rFonts w:eastAsia="Times New Roman" w:cs="Calibri"/>
                <w:sz w:val="16"/>
                <w:szCs w:val="16"/>
              </w:rPr>
              <w:t xml:space="preserve"> mësimdhënie dhe kërkim shkencor</w:t>
            </w:r>
          </w:p>
        </w:tc>
        <w:tc>
          <w:tcPr>
            <w:tcW w:w="1309" w:type="dxa"/>
            <w:tcBorders>
              <w:top w:val="nil"/>
              <w:left w:val="nil"/>
              <w:bottom w:val="single" w:sz="4" w:space="0" w:color="auto"/>
              <w:right w:val="single" w:sz="4" w:space="0" w:color="auto"/>
            </w:tcBorders>
            <w:shd w:val="clear" w:color="auto" w:fill="FFFFFF"/>
            <w:hideMark/>
          </w:tcPr>
          <w:p w:rsidR="00B951B1" w:rsidRPr="00E61612" w:rsidRDefault="00B951B1" w:rsidP="00CB78E6">
            <w:pPr>
              <w:spacing w:after="0"/>
              <w:outlineLvl w:val="1"/>
              <w:rPr>
                <w:rFonts w:eastAsia="Times New Roman" w:cs="Calibri"/>
                <w:sz w:val="16"/>
                <w:szCs w:val="16"/>
              </w:rPr>
            </w:pPr>
            <w:r w:rsidRPr="00E61612">
              <w:rPr>
                <w:rFonts w:eastAsia="Times New Roman" w:cs="Calibri"/>
                <w:sz w:val="16"/>
                <w:szCs w:val="16"/>
              </w:rPr>
              <w:t>C2.1.1. Nxitja e krijimit të qendrave në</w:t>
            </w:r>
            <w:r>
              <w:rPr>
                <w:rFonts w:eastAsia="Times New Roman" w:cs="Calibri"/>
                <w:sz w:val="16"/>
                <w:szCs w:val="16"/>
              </w:rPr>
              <w:t xml:space="preserve"> </w:t>
            </w:r>
            <w:r w:rsidRPr="00E61612">
              <w:rPr>
                <w:rFonts w:eastAsia="Times New Roman" w:cs="Calibri"/>
                <w:sz w:val="16"/>
                <w:szCs w:val="16"/>
              </w:rPr>
              <w:t>IAL për trajnimin në mësimdhënie dhe kërkim</w:t>
            </w:r>
          </w:p>
        </w:tc>
        <w:tc>
          <w:tcPr>
            <w:tcW w:w="1067" w:type="dxa"/>
            <w:tcBorders>
              <w:top w:val="nil"/>
              <w:left w:val="single" w:sz="4" w:space="0" w:color="auto"/>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w:t>
            </w:r>
          </w:p>
        </w:tc>
        <w:tc>
          <w:tcPr>
            <w:tcW w:w="851"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6,014</w:t>
            </w:r>
          </w:p>
        </w:tc>
        <w:tc>
          <w:tcPr>
            <w:tcW w:w="992"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11,078</w:t>
            </w:r>
          </w:p>
        </w:tc>
        <w:tc>
          <w:tcPr>
            <w:tcW w:w="992" w:type="dxa"/>
            <w:gridSpan w:val="2"/>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17,092</w:t>
            </w:r>
          </w:p>
        </w:tc>
        <w:tc>
          <w:tcPr>
            <w:tcW w:w="992"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w:t>
            </w:r>
          </w:p>
        </w:tc>
        <w:tc>
          <w:tcPr>
            <w:tcW w:w="993"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17,092</w:t>
            </w:r>
          </w:p>
        </w:tc>
        <w:tc>
          <w:tcPr>
            <w:tcW w:w="992"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w:t>
            </w:r>
          </w:p>
        </w:tc>
        <w:tc>
          <w:tcPr>
            <w:tcW w:w="992"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17,092</w:t>
            </w:r>
          </w:p>
        </w:tc>
        <w:tc>
          <w:tcPr>
            <w:tcW w:w="992"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w:t>
            </w:r>
          </w:p>
        </w:tc>
        <w:tc>
          <w:tcPr>
            <w:tcW w:w="851"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w:t>
            </w:r>
          </w:p>
        </w:tc>
        <w:tc>
          <w:tcPr>
            <w:tcW w:w="1134"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17,092</w:t>
            </w:r>
          </w:p>
        </w:tc>
      </w:tr>
      <w:tr w:rsidR="00B951B1" w:rsidRPr="00E61612" w:rsidTr="00CB78E6">
        <w:trPr>
          <w:trHeight w:val="1044"/>
          <w:jc w:val="center"/>
        </w:trPr>
        <w:tc>
          <w:tcPr>
            <w:tcW w:w="992" w:type="dxa"/>
            <w:vMerge/>
            <w:tcBorders>
              <w:top w:val="nil"/>
              <w:left w:val="single" w:sz="4" w:space="0" w:color="auto"/>
              <w:bottom w:val="single" w:sz="4" w:space="0" w:color="auto"/>
              <w:right w:val="single" w:sz="4" w:space="0" w:color="auto"/>
            </w:tcBorders>
            <w:shd w:val="clear" w:color="auto" w:fill="FFFFFF"/>
            <w:hideMark/>
          </w:tcPr>
          <w:p w:rsidR="00B951B1" w:rsidRPr="00E61612" w:rsidRDefault="00B951B1" w:rsidP="00CB78E6">
            <w:pPr>
              <w:spacing w:after="0"/>
              <w:outlineLvl w:val="1"/>
              <w:rPr>
                <w:rFonts w:eastAsia="Times New Roman" w:cs="Calibri"/>
                <w:sz w:val="16"/>
                <w:szCs w:val="16"/>
              </w:rPr>
            </w:pPr>
          </w:p>
        </w:tc>
        <w:tc>
          <w:tcPr>
            <w:tcW w:w="993" w:type="dxa"/>
            <w:vMerge/>
            <w:tcBorders>
              <w:top w:val="nil"/>
              <w:left w:val="single" w:sz="4" w:space="0" w:color="auto"/>
              <w:bottom w:val="single" w:sz="4" w:space="0" w:color="auto"/>
              <w:right w:val="single" w:sz="4" w:space="0" w:color="auto"/>
            </w:tcBorders>
            <w:shd w:val="clear" w:color="auto" w:fill="FFFFFF"/>
            <w:hideMark/>
          </w:tcPr>
          <w:p w:rsidR="00B951B1" w:rsidRPr="00E61612" w:rsidRDefault="00B951B1" w:rsidP="00CB78E6">
            <w:pPr>
              <w:spacing w:after="0"/>
              <w:outlineLvl w:val="1"/>
              <w:rPr>
                <w:rFonts w:eastAsia="Times New Roman" w:cs="Calibri"/>
                <w:sz w:val="16"/>
                <w:szCs w:val="16"/>
              </w:rPr>
            </w:pPr>
          </w:p>
        </w:tc>
        <w:tc>
          <w:tcPr>
            <w:tcW w:w="992" w:type="dxa"/>
            <w:vMerge/>
            <w:tcBorders>
              <w:top w:val="nil"/>
              <w:left w:val="single" w:sz="4" w:space="0" w:color="auto"/>
              <w:bottom w:val="single" w:sz="4" w:space="0" w:color="000000"/>
              <w:right w:val="single" w:sz="4" w:space="0" w:color="auto"/>
            </w:tcBorders>
            <w:shd w:val="clear" w:color="auto" w:fill="FFFFFF"/>
            <w:hideMark/>
          </w:tcPr>
          <w:p w:rsidR="00B951B1" w:rsidRPr="00E61612" w:rsidRDefault="00B951B1" w:rsidP="00CB78E6">
            <w:pPr>
              <w:spacing w:after="0"/>
              <w:outlineLvl w:val="1"/>
              <w:rPr>
                <w:rFonts w:eastAsia="Times New Roman" w:cs="Calibri"/>
                <w:sz w:val="16"/>
                <w:szCs w:val="16"/>
              </w:rPr>
            </w:pPr>
          </w:p>
        </w:tc>
        <w:tc>
          <w:tcPr>
            <w:tcW w:w="1309" w:type="dxa"/>
            <w:tcBorders>
              <w:top w:val="nil"/>
              <w:left w:val="nil"/>
              <w:bottom w:val="single" w:sz="4" w:space="0" w:color="auto"/>
              <w:right w:val="single" w:sz="4" w:space="0" w:color="auto"/>
            </w:tcBorders>
            <w:shd w:val="clear" w:color="auto" w:fill="FFFFFF"/>
            <w:hideMark/>
          </w:tcPr>
          <w:p w:rsidR="00B951B1" w:rsidRPr="00E61612" w:rsidRDefault="00B951B1" w:rsidP="00CB78E6">
            <w:pPr>
              <w:spacing w:after="0"/>
              <w:outlineLvl w:val="1"/>
              <w:rPr>
                <w:rFonts w:eastAsia="Times New Roman" w:cs="Calibri"/>
                <w:sz w:val="16"/>
                <w:szCs w:val="16"/>
              </w:rPr>
            </w:pPr>
            <w:r w:rsidRPr="00E61612">
              <w:rPr>
                <w:rFonts w:eastAsia="Times New Roman" w:cs="Calibri"/>
                <w:sz w:val="16"/>
                <w:szCs w:val="16"/>
              </w:rPr>
              <w:t>C2.1.2. Zbatimi i incentivave për rezultate në punën shkencore</w:t>
            </w:r>
          </w:p>
        </w:tc>
        <w:tc>
          <w:tcPr>
            <w:tcW w:w="1067" w:type="dxa"/>
            <w:tcBorders>
              <w:top w:val="nil"/>
              <w:left w:val="single" w:sz="4" w:space="0" w:color="auto"/>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w:t>
            </w:r>
          </w:p>
        </w:tc>
        <w:tc>
          <w:tcPr>
            <w:tcW w:w="851"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w:t>
            </w:r>
          </w:p>
        </w:tc>
        <w:tc>
          <w:tcPr>
            <w:tcW w:w="992"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w:t>
            </w:r>
          </w:p>
        </w:tc>
        <w:tc>
          <w:tcPr>
            <w:tcW w:w="992" w:type="dxa"/>
            <w:gridSpan w:val="2"/>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w:t>
            </w:r>
          </w:p>
        </w:tc>
        <w:tc>
          <w:tcPr>
            <w:tcW w:w="992"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w:t>
            </w:r>
          </w:p>
        </w:tc>
        <w:tc>
          <w:tcPr>
            <w:tcW w:w="993"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w:t>
            </w:r>
          </w:p>
        </w:tc>
        <w:tc>
          <w:tcPr>
            <w:tcW w:w="992"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w:t>
            </w:r>
          </w:p>
        </w:tc>
        <w:tc>
          <w:tcPr>
            <w:tcW w:w="992"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w:t>
            </w:r>
          </w:p>
        </w:tc>
        <w:tc>
          <w:tcPr>
            <w:tcW w:w="992"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w:t>
            </w:r>
          </w:p>
        </w:tc>
        <w:tc>
          <w:tcPr>
            <w:tcW w:w="851"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w:t>
            </w:r>
          </w:p>
        </w:tc>
        <w:tc>
          <w:tcPr>
            <w:tcW w:w="1134"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w:t>
            </w:r>
          </w:p>
        </w:tc>
      </w:tr>
      <w:tr w:rsidR="00B951B1" w:rsidRPr="00E61612" w:rsidTr="00CB78E6">
        <w:trPr>
          <w:trHeight w:val="255"/>
          <w:jc w:val="center"/>
        </w:trPr>
        <w:tc>
          <w:tcPr>
            <w:tcW w:w="992" w:type="dxa"/>
            <w:vMerge/>
            <w:tcBorders>
              <w:top w:val="nil"/>
              <w:left w:val="single" w:sz="4" w:space="0" w:color="auto"/>
              <w:bottom w:val="single" w:sz="4" w:space="0" w:color="auto"/>
              <w:right w:val="single" w:sz="4" w:space="0" w:color="auto"/>
            </w:tcBorders>
            <w:shd w:val="clear" w:color="auto" w:fill="FFFFFF"/>
            <w:hideMark/>
          </w:tcPr>
          <w:p w:rsidR="00B951B1" w:rsidRPr="00E61612" w:rsidRDefault="00B951B1" w:rsidP="00CB78E6">
            <w:pPr>
              <w:spacing w:after="0"/>
              <w:outlineLvl w:val="0"/>
              <w:rPr>
                <w:rFonts w:eastAsia="Times New Roman" w:cs="Calibri"/>
                <w:sz w:val="16"/>
                <w:szCs w:val="16"/>
              </w:rPr>
            </w:pPr>
          </w:p>
        </w:tc>
        <w:tc>
          <w:tcPr>
            <w:tcW w:w="993" w:type="dxa"/>
            <w:vMerge/>
            <w:tcBorders>
              <w:top w:val="nil"/>
              <w:left w:val="single" w:sz="4" w:space="0" w:color="auto"/>
              <w:bottom w:val="single" w:sz="4" w:space="0" w:color="auto"/>
              <w:right w:val="single" w:sz="4" w:space="0" w:color="auto"/>
            </w:tcBorders>
            <w:shd w:val="clear" w:color="auto" w:fill="FFFFFF"/>
            <w:hideMark/>
          </w:tcPr>
          <w:p w:rsidR="00B951B1" w:rsidRPr="00E61612" w:rsidRDefault="00B951B1" w:rsidP="00CB78E6">
            <w:pPr>
              <w:spacing w:after="0"/>
              <w:outlineLvl w:val="0"/>
              <w:rPr>
                <w:rFonts w:eastAsia="Times New Roman" w:cs="Calibri"/>
                <w:sz w:val="16"/>
                <w:szCs w:val="16"/>
              </w:rPr>
            </w:pPr>
          </w:p>
        </w:tc>
        <w:tc>
          <w:tcPr>
            <w:tcW w:w="2301" w:type="dxa"/>
            <w:gridSpan w:val="2"/>
            <w:tcBorders>
              <w:top w:val="single" w:sz="4" w:space="0" w:color="auto"/>
              <w:left w:val="nil"/>
              <w:bottom w:val="single" w:sz="4" w:space="0" w:color="auto"/>
              <w:right w:val="nil"/>
            </w:tcBorders>
            <w:shd w:val="clear" w:color="auto" w:fill="FFFFFF"/>
            <w:hideMark/>
          </w:tcPr>
          <w:p w:rsidR="00B951B1" w:rsidRPr="00E61612" w:rsidRDefault="00B951B1" w:rsidP="00CB78E6">
            <w:pPr>
              <w:spacing w:after="0"/>
              <w:jc w:val="center"/>
              <w:outlineLvl w:val="0"/>
              <w:rPr>
                <w:rFonts w:eastAsia="Times New Roman" w:cs="Calibri"/>
                <w:i/>
                <w:iCs/>
                <w:sz w:val="16"/>
                <w:szCs w:val="16"/>
              </w:rPr>
            </w:pPr>
            <w:r w:rsidRPr="00E61612">
              <w:rPr>
                <w:rFonts w:eastAsia="Times New Roman" w:cs="Calibri"/>
                <w:i/>
                <w:iCs/>
                <w:sz w:val="16"/>
                <w:szCs w:val="16"/>
              </w:rPr>
              <w:t>TOTAL C2</w:t>
            </w:r>
          </w:p>
        </w:tc>
        <w:tc>
          <w:tcPr>
            <w:tcW w:w="1067" w:type="dxa"/>
            <w:tcBorders>
              <w:top w:val="nil"/>
              <w:left w:val="single" w:sz="4" w:space="0" w:color="auto"/>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0"/>
              <w:rPr>
                <w:rFonts w:eastAsia="Times New Roman" w:cs="Calibri"/>
                <w:i/>
                <w:sz w:val="16"/>
                <w:szCs w:val="16"/>
              </w:rPr>
            </w:pPr>
            <w:r w:rsidRPr="00E61612">
              <w:rPr>
                <w:rFonts w:eastAsia="Times New Roman" w:cs="Calibri"/>
                <w:i/>
                <w:sz w:val="16"/>
                <w:szCs w:val="16"/>
              </w:rPr>
              <w:t>-</w:t>
            </w:r>
          </w:p>
        </w:tc>
        <w:tc>
          <w:tcPr>
            <w:tcW w:w="851"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0"/>
              <w:rPr>
                <w:rFonts w:eastAsia="Times New Roman" w:cs="Calibri"/>
                <w:i/>
                <w:sz w:val="16"/>
                <w:szCs w:val="16"/>
              </w:rPr>
            </w:pPr>
            <w:r w:rsidRPr="00E61612">
              <w:rPr>
                <w:rFonts w:eastAsia="Times New Roman" w:cs="Calibri"/>
                <w:i/>
                <w:sz w:val="16"/>
                <w:szCs w:val="16"/>
              </w:rPr>
              <w:t>6,014</w:t>
            </w:r>
          </w:p>
        </w:tc>
        <w:tc>
          <w:tcPr>
            <w:tcW w:w="992"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0"/>
              <w:rPr>
                <w:rFonts w:eastAsia="Times New Roman" w:cs="Calibri"/>
                <w:i/>
                <w:sz w:val="16"/>
                <w:szCs w:val="16"/>
              </w:rPr>
            </w:pPr>
            <w:r w:rsidRPr="00E61612">
              <w:rPr>
                <w:rFonts w:eastAsia="Times New Roman" w:cs="Calibri"/>
                <w:i/>
                <w:sz w:val="16"/>
                <w:szCs w:val="16"/>
              </w:rPr>
              <w:t>11,078</w:t>
            </w:r>
          </w:p>
        </w:tc>
        <w:tc>
          <w:tcPr>
            <w:tcW w:w="992" w:type="dxa"/>
            <w:gridSpan w:val="2"/>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0"/>
              <w:rPr>
                <w:rFonts w:eastAsia="Times New Roman" w:cs="Calibri"/>
                <w:i/>
                <w:sz w:val="16"/>
                <w:szCs w:val="16"/>
              </w:rPr>
            </w:pPr>
            <w:r w:rsidRPr="00E61612">
              <w:rPr>
                <w:rFonts w:eastAsia="Times New Roman" w:cs="Calibri"/>
                <w:i/>
                <w:sz w:val="16"/>
                <w:szCs w:val="16"/>
              </w:rPr>
              <w:t>17,092</w:t>
            </w:r>
          </w:p>
        </w:tc>
        <w:tc>
          <w:tcPr>
            <w:tcW w:w="992"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0"/>
              <w:rPr>
                <w:rFonts w:eastAsia="Times New Roman" w:cs="Calibri"/>
                <w:i/>
                <w:sz w:val="16"/>
                <w:szCs w:val="16"/>
              </w:rPr>
            </w:pPr>
            <w:r w:rsidRPr="00E61612">
              <w:rPr>
                <w:rFonts w:eastAsia="Times New Roman" w:cs="Calibri"/>
                <w:i/>
                <w:sz w:val="16"/>
                <w:szCs w:val="16"/>
              </w:rPr>
              <w:t>-</w:t>
            </w:r>
          </w:p>
        </w:tc>
        <w:tc>
          <w:tcPr>
            <w:tcW w:w="993"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0"/>
              <w:rPr>
                <w:rFonts w:eastAsia="Times New Roman" w:cs="Calibri"/>
                <w:i/>
                <w:sz w:val="16"/>
                <w:szCs w:val="16"/>
              </w:rPr>
            </w:pPr>
            <w:r w:rsidRPr="00E61612">
              <w:rPr>
                <w:rFonts w:eastAsia="Times New Roman" w:cs="Calibri"/>
                <w:i/>
                <w:sz w:val="16"/>
                <w:szCs w:val="16"/>
              </w:rPr>
              <w:t>17,092</w:t>
            </w:r>
          </w:p>
        </w:tc>
        <w:tc>
          <w:tcPr>
            <w:tcW w:w="992"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0"/>
              <w:rPr>
                <w:rFonts w:eastAsia="Times New Roman" w:cs="Calibri"/>
                <w:i/>
                <w:sz w:val="16"/>
                <w:szCs w:val="16"/>
              </w:rPr>
            </w:pPr>
            <w:r w:rsidRPr="00E61612">
              <w:rPr>
                <w:rFonts w:eastAsia="Times New Roman" w:cs="Calibri"/>
                <w:i/>
                <w:sz w:val="16"/>
                <w:szCs w:val="16"/>
              </w:rPr>
              <w:t>-</w:t>
            </w:r>
          </w:p>
        </w:tc>
        <w:tc>
          <w:tcPr>
            <w:tcW w:w="992"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0"/>
              <w:rPr>
                <w:rFonts w:eastAsia="Times New Roman" w:cs="Calibri"/>
                <w:i/>
                <w:sz w:val="16"/>
                <w:szCs w:val="16"/>
              </w:rPr>
            </w:pPr>
            <w:r w:rsidRPr="00E61612">
              <w:rPr>
                <w:rFonts w:eastAsia="Times New Roman" w:cs="Calibri"/>
                <w:i/>
                <w:sz w:val="16"/>
                <w:szCs w:val="16"/>
              </w:rPr>
              <w:t>17,092</w:t>
            </w:r>
          </w:p>
        </w:tc>
        <w:tc>
          <w:tcPr>
            <w:tcW w:w="992"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0"/>
              <w:rPr>
                <w:rFonts w:eastAsia="Times New Roman" w:cs="Calibri"/>
                <w:i/>
                <w:sz w:val="16"/>
                <w:szCs w:val="16"/>
              </w:rPr>
            </w:pPr>
            <w:r w:rsidRPr="00E61612">
              <w:rPr>
                <w:rFonts w:eastAsia="Times New Roman" w:cs="Calibri"/>
                <w:i/>
                <w:sz w:val="16"/>
                <w:szCs w:val="16"/>
              </w:rPr>
              <w:t>-</w:t>
            </w:r>
          </w:p>
        </w:tc>
        <w:tc>
          <w:tcPr>
            <w:tcW w:w="851"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0"/>
              <w:rPr>
                <w:rFonts w:eastAsia="Times New Roman" w:cs="Calibri"/>
                <w:i/>
                <w:sz w:val="16"/>
                <w:szCs w:val="16"/>
              </w:rPr>
            </w:pPr>
            <w:r w:rsidRPr="00E61612">
              <w:rPr>
                <w:rFonts w:eastAsia="Times New Roman" w:cs="Calibri"/>
                <w:i/>
                <w:sz w:val="16"/>
                <w:szCs w:val="16"/>
              </w:rPr>
              <w:t>-</w:t>
            </w:r>
          </w:p>
        </w:tc>
        <w:tc>
          <w:tcPr>
            <w:tcW w:w="1134"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0"/>
              <w:rPr>
                <w:rFonts w:eastAsia="Times New Roman" w:cs="Calibri"/>
                <w:i/>
                <w:sz w:val="16"/>
                <w:szCs w:val="16"/>
              </w:rPr>
            </w:pPr>
            <w:r w:rsidRPr="00E61612">
              <w:rPr>
                <w:rFonts w:eastAsia="Times New Roman" w:cs="Calibri"/>
                <w:i/>
                <w:sz w:val="16"/>
                <w:szCs w:val="16"/>
              </w:rPr>
              <w:t>17,092</w:t>
            </w:r>
          </w:p>
        </w:tc>
      </w:tr>
      <w:tr w:rsidR="00B951B1" w:rsidRPr="00E61612" w:rsidTr="00CB78E6">
        <w:trPr>
          <w:trHeight w:val="765"/>
          <w:jc w:val="center"/>
        </w:trPr>
        <w:tc>
          <w:tcPr>
            <w:tcW w:w="992" w:type="dxa"/>
            <w:vMerge/>
            <w:tcBorders>
              <w:top w:val="nil"/>
              <w:left w:val="single" w:sz="4" w:space="0" w:color="auto"/>
              <w:bottom w:val="single" w:sz="4" w:space="0" w:color="auto"/>
              <w:right w:val="single" w:sz="4" w:space="0" w:color="auto"/>
            </w:tcBorders>
            <w:shd w:val="clear" w:color="auto" w:fill="FFFFFF"/>
            <w:hideMark/>
          </w:tcPr>
          <w:p w:rsidR="00B951B1" w:rsidRPr="00E61612" w:rsidRDefault="00B951B1" w:rsidP="00CB78E6">
            <w:pPr>
              <w:spacing w:after="0"/>
              <w:outlineLvl w:val="1"/>
              <w:rPr>
                <w:rFonts w:eastAsia="Times New Roman" w:cs="Calibri"/>
                <w:sz w:val="16"/>
                <w:szCs w:val="16"/>
              </w:rPr>
            </w:pPr>
          </w:p>
        </w:tc>
        <w:tc>
          <w:tcPr>
            <w:tcW w:w="993" w:type="dxa"/>
            <w:vMerge w:val="restart"/>
            <w:tcBorders>
              <w:top w:val="nil"/>
              <w:left w:val="single" w:sz="4" w:space="0" w:color="auto"/>
              <w:bottom w:val="single" w:sz="4" w:space="0" w:color="auto"/>
              <w:right w:val="single" w:sz="4" w:space="0" w:color="auto"/>
            </w:tcBorders>
            <w:shd w:val="clear" w:color="auto" w:fill="FFFFFF"/>
            <w:hideMark/>
          </w:tcPr>
          <w:p w:rsidR="00B951B1" w:rsidRPr="00E61612" w:rsidRDefault="00B951B1" w:rsidP="00CB78E6">
            <w:pPr>
              <w:spacing w:after="0"/>
              <w:outlineLvl w:val="1"/>
              <w:rPr>
                <w:rFonts w:eastAsia="Times New Roman" w:cs="Calibri"/>
                <w:sz w:val="16"/>
                <w:szCs w:val="16"/>
              </w:rPr>
            </w:pPr>
            <w:r w:rsidRPr="00E61612">
              <w:rPr>
                <w:rFonts w:eastAsia="Times New Roman" w:cs="Calibri"/>
                <w:sz w:val="16"/>
                <w:szCs w:val="16"/>
              </w:rPr>
              <w:t>C3. Ndërlidhja më e mirë e arsimit të lartë me tregun e punës</w:t>
            </w:r>
          </w:p>
        </w:tc>
        <w:tc>
          <w:tcPr>
            <w:tcW w:w="992" w:type="dxa"/>
            <w:vMerge w:val="restart"/>
            <w:tcBorders>
              <w:top w:val="nil"/>
              <w:left w:val="single" w:sz="4" w:space="0" w:color="auto"/>
              <w:bottom w:val="single" w:sz="4" w:space="0" w:color="000000"/>
              <w:right w:val="single" w:sz="4" w:space="0" w:color="auto"/>
            </w:tcBorders>
            <w:shd w:val="clear" w:color="auto" w:fill="FFFFFF"/>
            <w:hideMark/>
          </w:tcPr>
          <w:p w:rsidR="00B951B1" w:rsidRPr="00E61612" w:rsidRDefault="00B951B1" w:rsidP="00CB78E6">
            <w:pPr>
              <w:spacing w:after="0"/>
              <w:outlineLvl w:val="1"/>
              <w:rPr>
                <w:rFonts w:eastAsia="Times New Roman" w:cs="Calibri"/>
                <w:sz w:val="16"/>
                <w:szCs w:val="16"/>
              </w:rPr>
            </w:pPr>
            <w:r w:rsidRPr="00E61612">
              <w:rPr>
                <w:rFonts w:eastAsia="Times New Roman" w:cs="Calibri"/>
                <w:sz w:val="16"/>
                <w:szCs w:val="16"/>
              </w:rPr>
              <w:t>C3.1. Harmoniz</w:t>
            </w:r>
            <w:r>
              <w:rPr>
                <w:rFonts w:eastAsia="Times New Roman" w:cs="Calibri"/>
                <w:sz w:val="16"/>
                <w:szCs w:val="16"/>
              </w:rPr>
              <w:t>imi i</w:t>
            </w:r>
            <w:r w:rsidRPr="00E61612">
              <w:rPr>
                <w:rFonts w:eastAsia="Times New Roman" w:cs="Calibri"/>
                <w:sz w:val="16"/>
                <w:szCs w:val="16"/>
              </w:rPr>
              <w:t xml:space="preserve"> programe</w:t>
            </w:r>
            <w:r>
              <w:rPr>
                <w:rFonts w:eastAsia="Times New Roman" w:cs="Calibri"/>
                <w:sz w:val="16"/>
                <w:szCs w:val="16"/>
              </w:rPr>
              <w:t>ve</w:t>
            </w:r>
            <w:r w:rsidRPr="00E61612">
              <w:rPr>
                <w:rFonts w:eastAsia="Times New Roman" w:cs="Calibri"/>
                <w:sz w:val="16"/>
                <w:szCs w:val="16"/>
              </w:rPr>
              <w:t xml:space="preserve"> në IAL me kërkesat e tregut të punës</w:t>
            </w:r>
          </w:p>
        </w:tc>
        <w:tc>
          <w:tcPr>
            <w:tcW w:w="1309" w:type="dxa"/>
            <w:tcBorders>
              <w:top w:val="nil"/>
              <w:left w:val="nil"/>
              <w:bottom w:val="single" w:sz="4" w:space="0" w:color="auto"/>
              <w:right w:val="single" w:sz="4" w:space="0" w:color="auto"/>
            </w:tcBorders>
            <w:shd w:val="clear" w:color="auto" w:fill="FFFFFF"/>
            <w:hideMark/>
          </w:tcPr>
          <w:p w:rsidR="00B951B1" w:rsidRPr="00E61612" w:rsidRDefault="00B951B1" w:rsidP="00CB78E6">
            <w:pPr>
              <w:spacing w:after="0"/>
              <w:outlineLvl w:val="1"/>
              <w:rPr>
                <w:rFonts w:eastAsia="Times New Roman" w:cs="Calibri"/>
                <w:sz w:val="16"/>
                <w:szCs w:val="16"/>
              </w:rPr>
            </w:pPr>
            <w:r w:rsidRPr="00E61612">
              <w:rPr>
                <w:rFonts w:eastAsia="Times New Roman" w:cs="Calibri"/>
                <w:sz w:val="16"/>
                <w:szCs w:val="16"/>
              </w:rPr>
              <w:t xml:space="preserve">C3.1.1. </w:t>
            </w:r>
            <w:r>
              <w:rPr>
                <w:rFonts w:eastAsia="Times New Roman" w:cs="Calibri"/>
                <w:sz w:val="16"/>
                <w:szCs w:val="16"/>
              </w:rPr>
              <w:t>Pasurimi i</w:t>
            </w:r>
            <w:r w:rsidRPr="00E61612">
              <w:rPr>
                <w:rFonts w:eastAsia="Times New Roman" w:cs="Calibri"/>
                <w:sz w:val="16"/>
                <w:szCs w:val="16"/>
              </w:rPr>
              <w:t xml:space="preserve"> ofert</w:t>
            </w:r>
            <w:r>
              <w:rPr>
                <w:rFonts w:eastAsia="Times New Roman" w:cs="Calibri"/>
                <w:sz w:val="16"/>
                <w:szCs w:val="16"/>
              </w:rPr>
              <w:t>ës</w:t>
            </w:r>
            <w:r w:rsidRPr="00E61612">
              <w:rPr>
                <w:rFonts w:eastAsia="Times New Roman" w:cs="Calibri"/>
                <w:sz w:val="16"/>
                <w:szCs w:val="16"/>
              </w:rPr>
              <w:t xml:space="preserve"> </w:t>
            </w:r>
            <w:r>
              <w:rPr>
                <w:rFonts w:eastAsia="Times New Roman" w:cs="Calibri"/>
                <w:sz w:val="16"/>
                <w:szCs w:val="16"/>
              </w:rPr>
              <w:t>së</w:t>
            </w:r>
            <w:r w:rsidRPr="00E61612">
              <w:rPr>
                <w:rFonts w:eastAsia="Times New Roman" w:cs="Calibri"/>
                <w:sz w:val="16"/>
                <w:szCs w:val="16"/>
              </w:rPr>
              <w:t xml:space="preserve"> programeve profesionale</w:t>
            </w:r>
          </w:p>
        </w:tc>
        <w:tc>
          <w:tcPr>
            <w:tcW w:w="1067" w:type="dxa"/>
            <w:tcBorders>
              <w:top w:val="nil"/>
              <w:left w:val="single" w:sz="4" w:space="0" w:color="auto"/>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w:t>
            </w:r>
          </w:p>
        </w:tc>
        <w:tc>
          <w:tcPr>
            <w:tcW w:w="851"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w:t>
            </w:r>
          </w:p>
        </w:tc>
        <w:tc>
          <w:tcPr>
            <w:tcW w:w="992"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w:t>
            </w:r>
          </w:p>
        </w:tc>
        <w:tc>
          <w:tcPr>
            <w:tcW w:w="992" w:type="dxa"/>
            <w:gridSpan w:val="2"/>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w:t>
            </w:r>
          </w:p>
        </w:tc>
        <w:tc>
          <w:tcPr>
            <w:tcW w:w="992"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w:t>
            </w:r>
          </w:p>
        </w:tc>
        <w:tc>
          <w:tcPr>
            <w:tcW w:w="993"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w:t>
            </w:r>
          </w:p>
        </w:tc>
        <w:tc>
          <w:tcPr>
            <w:tcW w:w="992"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w:t>
            </w:r>
          </w:p>
        </w:tc>
        <w:tc>
          <w:tcPr>
            <w:tcW w:w="992"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w:t>
            </w:r>
          </w:p>
        </w:tc>
        <w:tc>
          <w:tcPr>
            <w:tcW w:w="992"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w:t>
            </w:r>
          </w:p>
        </w:tc>
        <w:tc>
          <w:tcPr>
            <w:tcW w:w="851"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w:t>
            </w:r>
          </w:p>
        </w:tc>
        <w:tc>
          <w:tcPr>
            <w:tcW w:w="1134"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w:t>
            </w:r>
          </w:p>
        </w:tc>
      </w:tr>
      <w:tr w:rsidR="00B951B1" w:rsidRPr="00E61612" w:rsidTr="00CB78E6">
        <w:trPr>
          <w:trHeight w:val="1020"/>
          <w:jc w:val="center"/>
        </w:trPr>
        <w:tc>
          <w:tcPr>
            <w:tcW w:w="992" w:type="dxa"/>
            <w:vMerge/>
            <w:tcBorders>
              <w:top w:val="nil"/>
              <w:left w:val="single" w:sz="4" w:space="0" w:color="auto"/>
              <w:bottom w:val="single" w:sz="4" w:space="0" w:color="auto"/>
              <w:right w:val="single" w:sz="4" w:space="0" w:color="auto"/>
            </w:tcBorders>
            <w:shd w:val="clear" w:color="auto" w:fill="FFFFFF"/>
            <w:hideMark/>
          </w:tcPr>
          <w:p w:rsidR="00B951B1" w:rsidRPr="00E61612" w:rsidRDefault="00B951B1" w:rsidP="00CB78E6">
            <w:pPr>
              <w:spacing w:after="0"/>
              <w:outlineLvl w:val="1"/>
              <w:rPr>
                <w:rFonts w:eastAsia="Times New Roman" w:cs="Calibri"/>
                <w:sz w:val="16"/>
                <w:szCs w:val="16"/>
              </w:rPr>
            </w:pPr>
          </w:p>
        </w:tc>
        <w:tc>
          <w:tcPr>
            <w:tcW w:w="993" w:type="dxa"/>
            <w:vMerge/>
            <w:tcBorders>
              <w:top w:val="nil"/>
              <w:left w:val="single" w:sz="4" w:space="0" w:color="auto"/>
              <w:bottom w:val="single" w:sz="4" w:space="0" w:color="auto"/>
              <w:right w:val="single" w:sz="4" w:space="0" w:color="auto"/>
            </w:tcBorders>
            <w:shd w:val="clear" w:color="auto" w:fill="FFFFFF"/>
            <w:hideMark/>
          </w:tcPr>
          <w:p w:rsidR="00B951B1" w:rsidRPr="00E61612" w:rsidRDefault="00B951B1" w:rsidP="00CB78E6">
            <w:pPr>
              <w:spacing w:after="0"/>
              <w:outlineLvl w:val="1"/>
              <w:rPr>
                <w:rFonts w:eastAsia="Times New Roman" w:cs="Calibri"/>
                <w:sz w:val="16"/>
                <w:szCs w:val="16"/>
              </w:rPr>
            </w:pPr>
          </w:p>
        </w:tc>
        <w:tc>
          <w:tcPr>
            <w:tcW w:w="992" w:type="dxa"/>
            <w:vMerge/>
            <w:tcBorders>
              <w:top w:val="nil"/>
              <w:left w:val="single" w:sz="4" w:space="0" w:color="auto"/>
              <w:bottom w:val="single" w:sz="4" w:space="0" w:color="000000"/>
              <w:right w:val="single" w:sz="4" w:space="0" w:color="auto"/>
            </w:tcBorders>
            <w:shd w:val="clear" w:color="auto" w:fill="FFFFFF"/>
            <w:hideMark/>
          </w:tcPr>
          <w:p w:rsidR="00B951B1" w:rsidRPr="00E61612" w:rsidRDefault="00B951B1" w:rsidP="00CB78E6">
            <w:pPr>
              <w:spacing w:after="0"/>
              <w:outlineLvl w:val="1"/>
              <w:rPr>
                <w:rFonts w:eastAsia="Times New Roman" w:cs="Calibri"/>
                <w:sz w:val="16"/>
                <w:szCs w:val="16"/>
              </w:rPr>
            </w:pPr>
          </w:p>
        </w:tc>
        <w:tc>
          <w:tcPr>
            <w:tcW w:w="1309" w:type="dxa"/>
            <w:tcBorders>
              <w:top w:val="nil"/>
              <w:left w:val="nil"/>
              <w:bottom w:val="single" w:sz="4" w:space="0" w:color="auto"/>
              <w:right w:val="single" w:sz="4" w:space="0" w:color="auto"/>
            </w:tcBorders>
            <w:shd w:val="clear" w:color="auto" w:fill="FFFFFF"/>
            <w:hideMark/>
          </w:tcPr>
          <w:p w:rsidR="00B951B1" w:rsidRPr="00E61612" w:rsidRDefault="00B951B1" w:rsidP="00CB78E6">
            <w:pPr>
              <w:spacing w:after="0"/>
              <w:outlineLvl w:val="1"/>
              <w:rPr>
                <w:rFonts w:eastAsia="Times New Roman" w:cs="Calibri"/>
                <w:sz w:val="16"/>
                <w:szCs w:val="16"/>
              </w:rPr>
            </w:pPr>
            <w:r w:rsidRPr="00E61612">
              <w:rPr>
                <w:rFonts w:eastAsia="Times New Roman" w:cs="Calibri"/>
                <w:sz w:val="16"/>
                <w:szCs w:val="16"/>
              </w:rPr>
              <w:t>C3.1.2.  Paketa e programit të Inovacionit dhe ekselencës në manifakturë dhe IT</w:t>
            </w:r>
          </w:p>
        </w:tc>
        <w:tc>
          <w:tcPr>
            <w:tcW w:w="1067" w:type="dxa"/>
            <w:tcBorders>
              <w:top w:val="nil"/>
              <w:left w:val="single" w:sz="4" w:space="0" w:color="auto"/>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w:t>
            </w:r>
          </w:p>
        </w:tc>
        <w:tc>
          <w:tcPr>
            <w:tcW w:w="851"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w:t>
            </w:r>
          </w:p>
        </w:tc>
        <w:tc>
          <w:tcPr>
            <w:tcW w:w="992"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w:t>
            </w:r>
          </w:p>
        </w:tc>
        <w:tc>
          <w:tcPr>
            <w:tcW w:w="992" w:type="dxa"/>
            <w:gridSpan w:val="2"/>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w:t>
            </w:r>
          </w:p>
        </w:tc>
        <w:tc>
          <w:tcPr>
            <w:tcW w:w="992"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w:t>
            </w:r>
          </w:p>
        </w:tc>
        <w:tc>
          <w:tcPr>
            <w:tcW w:w="993"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w:t>
            </w:r>
          </w:p>
        </w:tc>
        <w:tc>
          <w:tcPr>
            <w:tcW w:w="992"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w:t>
            </w:r>
          </w:p>
        </w:tc>
        <w:tc>
          <w:tcPr>
            <w:tcW w:w="992"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w:t>
            </w:r>
          </w:p>
        </w:tc>
        <w:tc>
          <w:tcPr>
            <w:tcW w:w="992"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w:t>
            </w:r>
          </w:p>
        </w:tc>
        <w:tc>
          <w:tcPr>
            <w:tcW w:w="851"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w:t>
            </w:r>
          </w:p>
        </w:tc>
        <w:tc>
          <w:tcPr>
            <w:tcW w:w="1134"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w:t>
            </w:r>
          </w:p>
        </w:tc>
      </w:tr>
      <w:tr w:rsidR="00B951B1" w:rsidRPr="00E61612" w:rsidTr="00CB78E6">
        <w:trPr>
          <w:trHeight w:val="1020"/>
          <w:jc w:val="center"/>
        </w:trPr>
        <w:tc>
          <w:tcPr>
            <w:tcW w:w="992" w:type="dxa"/>
            <w:vMerge/>
            <w:tcBorders>
              <w:top w:val="nil"/>
              <w:left w:val="single" w:sz="4" w:space="0" w:color="auto"/>
              <w:bottom w:val="single" w:sz="4" w:space="0" w:color="auto"/>
              <w:right w:val="single" w:sz="4" w:space="0" w:color="auto"/>
            </w:tcBorders>
            <w:shd w:val="clear" w:color="auto" w:fill="FFFFFF"/>
            <w:hideMark/>
          </w:tcPr>
          <w:p w:rsidR="00B951B1" w:rsidRPr="00E61612" w:rsidRDefault="00B951B1" w:rsidP="00CB78E6">
            <w:pPr>
              <w:spacing w:after="0"/>
              <w:outlineLvl w:val="1"/>
              <w:rPr>
                <w:rFonts w:eastAsia="Times New Roman" w:cs="Calibri"/>
                <w:sz w:val="16"/>
                <w:szCs w:val="16"/>
              </w:rPr>
            </w:pPr>
          </w:p>
        </w:tc>
        <w:tc>
          <w:tcPr>
            <w:tcW w:w="993" w:type="dxa"/>
            <w:vMerge/>
            <w:tcBorders>
              <w:top w:val="nil"/>
              <w:left w:val="single" w:sz="4" w:space="0" w:color="auto"/>
              <w:bottom w:val="single" w:sz="4" w:space="0" w:color="auto"/>
              <w:right w:val="single" w:sz="4" w:space="0" w:color="auto"/>
            </w:tcBorders>
            <w:shd w:val="clear" w:color="auto" w:fill="FFFFFF"/>
            <w:hideMark/>
          </w:tcPr>
          <w:p w:rsidR="00B951B1" w:rsidRPr="00E61612" w:rsidRDefault="00B951B1" w:rsidP="00CB78E6">
            <w:pPr>
              <w:spacing w:after="0"/>
              <w:outlineLvl w:val="1"/>
              <w:rPr>
                <w:rFonts w:eastAsia="Times New Roman" w:cs="Calibri"/>
                <w:sz w:val="16"/>
                <w:szCs w:val="16"/>
              </w:rPr>
            </w:pPr>
          </w:p>
        </w:tc>
        <w:tc>
          <w:tcPr>
            <w:tcW w:w="992" w:type="dxa"/>
            <w:vMerge/>
            <w:tcBorders>
              <w:top w:val="nil"/>
              <w:left w:val="single" w:sz="4" w:space="0" w:color="auto"/>
              <w:bottom w:val="single" w:sz="4" w:space="0" w:color="000000"/>
              <w:right w:val="single" w:sz="4" w:space="0" w:color="auto"/>
            </w:tcBorders>
            <w:shd w:val="clear" w:color="auto" w:fill="FFFFFF"/>
            <w:hideMark/>
          </w:tcPr>
          <w:p w:rsidR="00B951B1" w:rsidRPr="00E61612" w:rsidRDefault="00B951B1" w:rsidP="00CB78E6">
            <w:pPr>
              <w:spacing w:after="0"/>
              <w:outlineLvl w:val="1"/>
              <w:rPr>
                <w:rFonts w:eastAsia="Times New Roman" w:cs="Calibri"/>
                <w:sz w:val="16"/>
                <w:szCs w:val="16"/>
              </w:rPr>
            </w:pPr>
          </w:p>
        </w:tc>
        <w:tc>
          <w:tcPr>
            <w:tcW w:w="1309" w:type="dxa"/>
            <w:tcBorders>
              <w:top w:val="nil"/>
              <w:left w:val="nil"/>
              <w:bottom w:val="single" w:sz="4" w:space="0" w:color="auto"/>
              <w:right w:val="single" w:sz="4" w:space="0" w:color="auto"/>
            </w:tcBorders>
            <w:shd w:val="clear" w:color="auto" w:fill="FFFFFF"/>
            <w:hideMark/>
          </w:tcPr>
          <w:p w:rsidR="00B951B1" w:rsidRPr="00E61612" w:rsidRDefault="00B951B1" w:rsidP="00CB78E6">
            <w:pPr>
              <w:spacing w:after="0"/>
              <w:outlineLvl w:val="1"/>
              <w:rPr>
                <w:rFonts w:eastAsia="Times New Roman" w:cs="Calibri"/>
                <w:sz w:val="16"/>
                <w:szCs w:val="16"/>
              </w:rPr>
            </w:pPr>
            <w:r w:rsidRPr="00E61612">
              <w:rPr>
                <w:rFonts w:eastAsia="Times New Roman" w:cs="Calibri"/>
                <w:sz w:val="16"/>
                <w:szCs w:val="16"/>
              </w:rPr>
              <w:t>C3.1.3. Krijimi i një regjistri qendror të studentëve të diplomuar në IAL-të shqiptare</w:t>
            </w:r>
          </w:p>
        </w:tc>
        <w:tc>
          <w:tcPr>
            <w:tcW w:w="1067" w:type="dxa"/>
            <w:tcBorders>
              <w:top w:val="nil"/>
              <w:left w:val="single" w:sz="4" w:space="0" w:color="auto"/>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w:t>
            </w:r>
          </w:p>
        </w:tc>
        <w:tc>
          <w:tcPr>
            <w:tcW w:w="851"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w:t>
            </w:r>
          </w:p>
        </w:tc>
        <w:tc>
          <w:tcPr>
            <w:tcW w:w="992"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w:t>
            </w:r>
          </w:p>
        </w:tc>
        <w:tc>
          <w:tcPr>
            <w:tcW w:w="992" w:type="dxa"/>
            <w:gridSpan w:val="2"/>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w:t>
            </w:r>
          </w:p>
        </w:tc>
        <w:tc>
          <w:tcPr>
            <w:tcW w:w="992"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w:t>
            </w:r>
          </w:p>
        </w:tc>
        <w:tc>
          <w:tcPr>
            <w:tcW w:w="993"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w:t>
            </w:r>
          </w:p>
        </w:tc>
        <w:tc>
          <w:tcPr>
            <w:tcW w:w="992"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w:t>
            </w:r>
          </w:p>
        </w:tc>
        <w:tc>
          <w:tcPr>
            <w:tcW w:w="992"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w:t>
            </w:r>
          </w:p>
        </w:tc>
        <w:tc>
          <w:tcPr>
            <w:tcW w:w="992"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w:t>
            </w:r>
          </w:p>
        </w:tc>
        <w:tc>
          <w:tcPr>
            <w:tcW w:w="851"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w:t>
            </w:r>
          </w:p>
        </w:tc>
        <w:tc>
          <w:tcPr>
            <w:tcW w:w="1134"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w:t>
            </w:r>
          </w:p>
        </w:tc>
      </w:tr>
      <w:tr w:rsidR="00B951B1" w:rsidRPr="00E61612" w:rsidTr="00CB78E6">
        <w:trPr>
          <w:trHeight w:val="2295"/>
          <w:jc w:val="center"/>
        </w:trPr>
        <w:tc>
          <w:tcPr>
            <w:tcW w:w="992" w:type="dxa"/>
            <w:vMerge/>
            <w:tcBorders>
              <w:top w:val="nil"/>
              <w:left w:val="single" w:sz="4" w:space="0" w:color="auto"/>
              <w:bottom w:val="single" w:sz="4" w:space="0" w:color="auto"/>
              <w:right w:val="single" w:sz="4" w:space="0" w:color="auto"/>
            </w:tcBorders>
            <w:shd w:val="clear" w:color="auto" w:fill="FFFFFF"/>
            <w:hideMark/>
          </w:tcPr>
          <w:p w:rsidR="00B951B1" w:rsidRPr="00E61612" w:rsidRDefault="00B951B1" w:rsidP="00CB78E6">
            <w:pPr>
              <w:spacing w:after="0"/>
              <w:outlineLvl w:val="1"/>
              <w:rPr>
                <w:rFonts w:eastAsia="Times New Roman" w:cs="Calibri"/>
                <w:sz w:val="16"/>
                <w:szCs w:val="16"/>
              </w:rPr>
            </w:pPr>
          </w:p>
        </w:tc>
        <w:tc>
          <w:tcPr>
            <w:tcW w:w="993" w:type="dxa"/>
            <w:vMerge/>
            <w:tcBorders>
              <w:top w:val="nil"/>
              <w:left w:val="single" w:sz="4" w:space="0" w:color="auto"/>
              <w:bottom w:val="single" w:sz="4" w:space="0" w:color="auto"/>
              <w:right w:val="single" w:sz="4" w:space="0" w:color="auto"/>
            </w:tcBorders>
            <w:shd w:val="clear" w:color="auto" w:fill="FFFFFF"/>
            <w:hideMark/>
          </w:tcPr>
          <w:p w:rsidR="00B951B1" w:rsidRPr="00E61612" w:rsidRDefault="00B951B1" w:rsidP="00CB78E6">
            <w:pPr>
              <w:spacing w:after="0"/>
              <w:outlineLvl w:val="1"/>
              <w:rPr>
                <w:rFonts w:eastAsia="Times New Roman" w:cs="Calibri"/>
                <w:sz w:val="16"/>
                <w:szCs w:val="16"/>
              </w:rPr>
            </w:pPr>
          </w:p>
        </w:tc>
        <w:tc>
          <w:tcPr>
            <w:tcW w:w="992" w:type="dxa"/>
            <w:vMerge/>
            <w:tcBorders>
              <w:top w:val="nil"/>
              <w:left w:val="single" w:sz="4" w:space="0" w:color="auto"/>
              <w:bottom w:val="single" w:sz="4" w:space="0" w:color="000000"/>
              <w:right w:val="single" w:sz="4" w:space="0" w:color="auto"/>
            </w:tcBorders>
            <w:shd w:val="clear" w:color="auto" w:fill="FFFFFF"/>
            <w:hideMark/>
          </w:tcPr>
          <w:p w:rsidR="00B951B1" w:rsidRPr="00E61612" w:rsidRDefault="00B951B1" w:rsidP="00CB78E6">
            <w:pPr>
              <w:spacing w:after="0"/>
              <w:outlineLvl w:val="1"/>
              <w:rPr>
                <w:rFonts w:eastAsia="Times New Roman" w:cs="Calibri"/>
                <w:sz w:val="16"/>
                <w:szCs w:val="16"/>
              </w:rPr>
            </w:pPr>
          </w:p>
        </w:tc>
        <w:tc>
          <w:tcPr>
            <w:tcW w:w="1309" w:type="dxa"/>
            <w:tcBorders>
              <w:top w:val="nil"/>
              <w:left w:val="nil"/>
              <w:bottom w:val="single" w:sz="4" w:space="0" w:color="auto"/>
              <w:right w:val="single" w:sz="4" w:space="0" w:color="auto"/>
            </w:tcBorders>
            <w:shd w:val="clear" w:color="auto" w:fill="FFFFFF"/>
            <w:hideMark/>
          </w:tcPr>
          <w:p w:rsidR="00B951B1" w:rsidRPr="00E61612" w:rsidRDefault="00B951B1" w:rsidP="00CB78E6">
            <w:pPr>
              <w:spacing w:after="0"/>
              <w:outlineLvl w:val="1"/>
              <w:rPr>
                <w:rFonts w:eastAsia="Times New Roman" w:cs="Calibri"/>
                <w:sz w:val="16"/>
                <w:szCs w:val="16"/>
              </w:rPr>
            </w:pPr>
            <w:r w:rsidRPr="00E61612">
              <w:rPr>
                <w:rFonts w:eastAsia="Times New Roman" w:cs="Calibri"/>
                <w:sz w:val="16"/>
                <w:szCs w:val="16"/>
              </w:rPr>
              <w:t xml:space="preserve">C3.1.4. Analiza e vazhdueshme e ecurisë së studentëve të diplomuar sipas sektorëve, do të krijojë mundësinë e orientimit të kuotave sipas degëve përkatëse, në raport me kërkesat </w:t>
            </w:r>
          </w:p>
        </w:tc>
        <w:tc>
          <w:tcPr>
            <w:tcW w:w="1067" w:type="dxa"/>
            <w:tcBorders>
              <w:top w:val="nil"/>
              <w:left w:val="single" w:sz="4" w:space="0" w:color="auto"/>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w:t>
            </w:r>
          </w:p>
        </w:tc>
        <w:tc>
          <w:tcPr>
            <w:tcW w:w="851"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4,800</w:t>
            </w:r>
          </w:p>
        </w:tc>
        <w:tc>
          <w:tcPr>
            <w:tcW w:w="992"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w:t>
            </w:r>
          </w:p>
        </w:tc>
        <w:tc>
          <w:tcPr>
            <w:tcW w:w="992" w:type="dxa"/>
            <w:gridSpan w:val="2"/>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4,800</w:t>
            </w:r>
          </w:p>
        </w:tc>
        <w:tc>
          <w:tcPr>
            <w:tcW w:w="992"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w:t>
            </w:r>
          </w:p>
        </w:tc>
        <w:tc>
          <w:tcPr>
            <w:tcW w:w="993"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4,800</w:t>
            </w:r>
          </w:p>
        </w:tc>
        <w:tc>
          <w:tcPr>
            <w:tcW w:w="992"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w:t>
            </w:r>
          </w:p>
        </w:tc>
        <w:tc>
          <w:tcPr>
            <w:tcW w:w="992"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4,800</w:t>
            </w:r>
          </w:p>
        </w:tc>
        <w:tc>
          <w:tcPr>
            <w:tcW w:w="992"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w:t>
            </w:r>
          </w:p>
        </w:tc>
        <w:tc>
          <w:tcPr>
            <w:tcW w:w="851"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w:t>
            </w:r>
          </w:p>
        </w:tc>
        <w:tc>
          <w:tcPr>
            <w:tcW w:w="1134"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4,800</w:t>
            </w:r>
          </w:p>
        </w:tc>
      </w:tr>
      <w:tr w:rsidR="00B951B1" w:rsidRPr="00E61612" w:rsidTr="00CB78E6">
        <w:trPr>
          <w:trHeight w:val="765"/>
          <w:jc w:val="center"/>
        </w:trPr>
        <w:tc>
          <w:tcPr>
            <w:tcW w:w="992" w:type="dxa"/>
            <w:vMerge/>
            <w:tcBorders>
              <w:top w:val="nil"/>
              <w:left w:val="single" w:sz="4" w:space="0" w:color="auto"/>
              <w:bottom w:val="single" w:sz="4" w:space="0" w:color="auto"/>
              <w:right w:val="single" w:sz="4" w:space="0" w:color="auto"/>
            </w:tcBorders>
            <w:shd w:val="clear" w:color="auto" w:fill="FFFFFF"/>
            <w:hideMark/>
          </w:tcPr>
          <w:p w:rsidR="00B951B1" w:rsidRPr="00E61612" w:rsidRDefault="00B951B1" w:rsidP="00CB78E6">
            <w:pPr>
              <w:spacing w:after="0"/>
              <w:outlineLvl w:val="1"/>
              <w:rPr>
                <w:rFonts w:eastAsia="Times New Roman" w:cs="Calibri"/>
                <w:sz w:val="16"/>
                <w:szCs w:val="16"/>
              </w:rPr>
            </w:pPr>
          </w:p>
        </w:tc>
        <w:tc>
          <w:tcPr>
            <w:tcW w:w="993" w:type="dxa"/>
            <w:vMerge/>
            <w:tcBorders>
              <w:top w:val="nil"/>
              <w:left w:val="single" w:sz="4" w:space="0" w:color="auto"/>
              <w:bottom w:val="single" w:sz="4" w:space="0" w:color="auto"/>
              <w:right w:val="single" w:sz="4" w:space="0" w:color="auto"/>
            </w:tcBorders>
            <w:shd w:val="clear" w:color="auto" w:fill="FFFFFF"/>
            <w:hideMark/>
          </w:tcPr>
          <w:p w:rsidR="00B951B1" w:rsidRPr="00E61612" w:rsidRDefault="00B951B1" w:rsidP="00CB78E6">
            <w:pPr>
              <w:spacing w:after="0"/>
              <w:outlineLvl w:val="1"/>
              <w:rPr>
                <w:rFonts w:eastAsia="Times New Roman" w:cs="Calibri"/>
                <w:sz w:val="16"/>
                <w:szCs w:val="16"/>
              </w:rPr>
            </w:pPr>
          </w:p>
        </w:tc>
        <w:tc>
          <w:tcPr>
            <w:tcW w:w="992" w:type="dxa"/>
            <w:vMerge/>
            <w:tcBorders>
              <w:top w:val="nil"/>
              <w:left w:val="single" w:sz="4" w:space="0" w:color="auto"/>
              <w:bottom w:val="single" w:sz="4" w:space="0" w:color="000000"/>
              <w:right w:val="single" w:sz="4" w:space="0" w:color="auto"/>
            </w:tcBorders>
            <w:shd w:val="clear" w:color="auto" w:fill="FFFFFF"/>
            <w:hideMark/>
          </w:tcPr>
          <w:p w:rsidR="00B951B1" w:rsidRPr="00E61612" w:rsidRDefault="00B951B1" w:rsidP="00CB78E6">
            <w:pPr>
              <w:spacing w:after="0"/>
              <w:outlineLvl w:val="1"/>
              <w:rPr>
                <w:rFonts w:eastAsia="Times New Roman" w:cs="Calibri"/>
                <w:sz w:val="16"/>
                <w:szCs w:val="16"/>
              </w:rPr>
            </w:pPr>
          </w:p>
        </w:tc>
        <w:tc>
          <w:tcPr>
            <w:tcW w:w="1309" w:type="dxa"/>
            <w:tcBorders>
              <w:top w:val="nil"/>
              <w:left w:val="nil"/>
              <w:bottom w:val="single" w:sz="4" w:space="0" w:color="auto"/>
              <w:right w:val="single" w:sz="4" w:space="0" w:color="auto"/>
            </w:tcBorders>
            <w:shd w:val="clear" w:color="auto" w:fill="FFFFFF"/>
            <w:hideMark/>
          </w:tcPr>
          <w:p w:rsidR="00B951B1" w:rsidRPr="00E61612" w:rsidRDefault="00B951B1" w:rsidP="00CB78E6">
            <w:pPr>
              <w:spacing w:after="0"/>
              <w:outlineLvl w:val="1"/>
              <w:rPr>
                <w:rFonts w:eastAsia="Times New Roman" w:cs="Calibri"/>
                <w:sz w:val="16"/>
                <w:szCs w:val="16"/>
              </w:rPr>
            </w:pPr>
            <w:r w:rsidRPr="00E61612">
              <w:rPr>
                <w:rFonts w:eastAsia="Times New Roman" w:cs="Calibri"/>
                <w:sz w:val="16"/>
                <w:szCs w:val="16"/>
              </w:rPr>
              <w:t>C3.1.5. Ofrimi i programeve të formimit të vazhduar</w:t>
            </w:r>
          </w:p>
        </w:tc>
        <w:tc>
          <w:tcPr>
            <w:tcW w:w="1067" w:type="dxa"/>
            <w:tcBorders>
              <w:top w:val="nil"/>
              <w:left w:val="single" w:sz="4" w:space="0" w:color="auto"/>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w:t>
            </w:r>
          </w:p>
        </w:tc>
        <w:tc>
          <w:tcPr>
            <w:tcW w:w="851"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w:t>
            </w:r>
          </w:p>
        </w:tc>
        <w:tc>
          <w:tcPr>
            <w:tcW w:w="992"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w:t>
            </w:r>
          </w:p>
        </w:tc>
        <w:tc>
          <w:tcPr>
            <w:tcW w:w="992" w:type="dxa"/>
            <w:gridSpan w:val="2"/>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w:t>
            </w:r>
          </w:p>
        </w:tc>
        <w:tc>
          <w:tcPr>
            <w:tcW w:w="992"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w:t>
            </w:r>
          </w:p>
        </w:tc>
        <w:tc>
          <w:tcPr>
            <w:tcW w:w="993"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w:t>
            </w:r>
          </w:p>
        </w:tc>
        <w:tc>
          <w:tcPr>
            <w:tcW w:w="992"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w:t>
            </w:r>
          </w:p>
        </w:tc>
        <w:tc>
          <w:tcPr>
            <w:tcW w:w="992"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w:t>
            </w:r>
          </w:p>
        </w:tc>
        <w:tc>
          <w:tcPr>
            <w:tcW w:w="992"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w:t>
            </w:r>
          </w:p>
        </w:tc>
        <w:tc>
          <w:tcPr>
            <w:tcW w:w="851"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w:t>
            </w:r>
          </w:p>
        </w:tc>
        <w:tc>
          <w:tcPr>
            <w:tcW w:w="1134"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w:t>
            </w:r>
          </w:p>
        </w:tc>
      </w:tr>
      <w:tr w:rsidR="00B951B1" w:rsidRPr="00E61612" w:rsidTr="00CB78E6">
        <w:trPr>
          <w:trHeight w:val="1375"/>
          <w:jc w:val="center"/>
        </w:trPr>
        <w:tc>
          <w:tcPr>
            <w:tcW w:w="992" w:type="dxa"/>
            <w:vMerge/>
            <w:tcBorders>
              <w:top w:val="nil"/>
              <w:left w:val="single" w:sz="4" w:space="0" w:color="auto"/>
              <w:bottom w:val="single" w:sz="4" w:space="0" w:color="auto"/>
              <w:right w:val="single" w:sz="4" w:space="0" w:color="auto"/>
            </w:tcBorders>
            <w:shd w:val="clear" w:color="auto" w:fill="FFFFFF"/>
            <w:hideMark/>
          </w:tcPr>
          <w:p w:rsidR="00B951B1" w:rsidRPr="00E61612" w:rsidRDefault="00B951B1" w:rsidP="00CB78E6">
            <w:pPr>
              <w:spacing w:after="0"/>
              <w:outlineLvl w:val="1"/>
              <w:rPr>
                <w:rFonts w:eastAsia="Times New Roman" w:cs="Calibri"/>
                <w:sz w:val="16"/>
                <w:szCs w:val="16"/>
              </w:rPr>
            </w:pPr>
          </w:p>
        </w:tc>
        <w:tc>
          <w:tcPr>
            <w:tcW w:w="993" w:type="dxa"/>
            <w:vMerge/>
            <w:tcBorders>
              <w:top w:val="nil"/>
              <w:left w:val="single" w:sz="4" w:space="0" w:color="auto"/>
              <w:bottom w:val="single" w:sz="4" w:space="0" w:color="auto"/>
              <w:right w:val="single" w:sz="4" w:space="0" w:color="auto"/>
            </w:tcBorders>
            <w:shd w:val="clear" w:color="auto" w:fill="FFFFFF"/>
            <w:hideMark/>
          </w:tcPr>
          <w:p w:rsidR="00B951B1" w:rsidRPr="00E61612" w:rsidRDefault="00B951B1" w:rsidP="00CB78E6">
            <w:pPr>
              <w:spacing w:after="0"/>
              <w:outlineLvl w:val="1"/>
              <w:rPr>
                <w:rFonts w:eastAsia="Times New Roman" w:cs="Calibri"/>
                <w:sz w:val="16"/>
                <w:szCs w:val="16"/>
              </w:rPr>
            </w:pPr>
          </w:p>
        </w:tc>
        <w:tc>
          <w:tcPr>
            <w:tcW w:w="992" w:type="dxa"/>
            <w:vMerge/>
            <w:tcBorders>
              <w:top w:val="nil"/>
              <w:left w:val="single" w:sz="4" w:space="0" w:color="auto"/>
              <w:bottom w:val="single" w:sz="4" w:space="0" w:color="000000"/>
              <w:right w:val="single" w:sz="4" w:space="0" w:color="auto"/>
            </w:tcBorders>
            <w:shd w:val="clear" w:color="auto" w:fill="FFFFFF"/>
            <w:hideMark/>
          </w:tcPr>
          <w:p w:rsidR="00B951B1" w:rsidRPr="00E61612" w:rsidRDefault="00B951B1" w:rsidP="00CB78E6">
            <w:pPr>
              <w:spacing w:after="0"/>
              <w:outlineLvl w:val="1"/>
              <w:rPr>
                <w:rFonts w:eastAsia="Times New Roman" w:cs="Calibri"/>
                <w:sz w:val="16"/>
                <w:szCs w:val="16"/>
              </w:rPr>
            </w:pPr>
          </w:p>
        </w:tc>
        <w:tc>
          <w:tcPr>
            <w:tcW w:w="1309" w:type="dxa"/>
            <w:tcBorders>
              <w:top w:val="nil"/>
              <w:left w:val="nil"/>
              <w:bottom w:val="single" w:sz="4" w:space="0" w:color="auto"/>
              <w:right w:val="single" w:sz="4" w:space="0" w:color="auto"/>
            </w:tcBorders>
            <w:shd w:val="clear" w:color="auto" w:fill="FFFFFF"/>
            <w:hideMark/>
          </w:tcPr>
          <w:p w:rsidR="00B951B1" w:rsidRPr="00E61612" w:rsidRDefault="00B951B1" w:rsidP="00CB78E6">
            <w:pPr>
              <w:spacing w:after="0"/>
              <w:outlineLvl w:val="1"/>
              <w:rPr>
                <w:rFonts w:eastAsia="Times New Roman" w:cs="Calibri"/>
                <w:sz w:val="16"/>
                <w:szCs w:val="16"/>
              </w:rPr>
            </w:pPr>
            <w:r w:rsidRPr="00E61612">
              <w:rPr>
                <w:rFonts w:eastAsia="Times New Roman" w:cs="Calibri"/>
                <w:sz w:val="16"/>
                <w:szCs w:val="16"/>
              </w:rPr>
              <w:t xml:space="preserve">C3.1.6. Krijimi i projekteve të përbashkëta të bashkëpunimit midis shoqatave të biznesit dhe </w:t>
            </w:r>
            <w:r>
              <w:rPr>
                <w:rFonts w:eastAsia="Times New Roman" w:cs="Calibri"/>
                <w:sz w:val="16"/>
                <w:szCs w:val="16"/>
              </w:rPr>
              <w:t>IAL-ve</w:t>
            </w:r>
            <w:r w:rsidRPr="00E61612">
              <w:rPr>
                <w:rFonts w:eastAsia="Times New Roman" w:cs="Calibri"/>
                <w:sz w:val="16"/>
                <w:szCs w:val="16"/>
              </w:rPr>
              <w:t xml:space="preserve"> </w:t>
            </w:r>
          </w:p>
        </w:tc>
        <w:tc>
          <w:tcPr>
            <w:tcW w:w="1067" w:type="dxa"/>
            <w:tcBorders>
              <w:top w:val="nil"/>
              <w:left w:val="single" w:sz="4" w:space="0" w:color="auto"/>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w:t>
            </w:r>
          </w:p>
        </w:tc>
        <w:tc>
          <w:tcPr>
            <w:tcW w:w="851"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w:t>
            </w:r>
          </w:p>
        </w:tc>
        <w:tc>
          <w:tcPr>
            <w:tcW w:w="992"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w:t>
            </w:r>
          </w:p>
        </w:tc>
        <w:tc>
          <w:tcPr>
            <w:tcW w:w="992" w:type="dxa"/>
            <w:gridSpan w:val="2"/>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w:t>
            </w:r>
          </w:p>
        </w:tc>
        <w:tc>
          <w:tcPr>
            <w:tcW w:w="992"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w:t>
            </w:r>
          </w:p>
        </w:tc>
        <w:tc>
          <w:tcPr>
            <w:tcW w:w="993"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w:t>
            </w:r>
          </w:p>
        </w:tc>
        <w:tc>
          <w:tcPr>
            <w:tcW w:w="992"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w:t>
            </w:r>
          </w:p>
        </w:tc>
        <w:tc>
          <w:tcPr>
            <w:tcW w:w="992"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w:t>
            </w:r>
          </w:p>
        </w:tc>
        <w:tc>
          <w:tcPr>
            <w:tcW w:w="992"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w:t>
            </w:r>
          </w:p>
        </w:tc>
        <w:tc>
          <w:tcPr>
            <w:tcW w:w="851"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w:t>
            </w:r>
          </w:p>
        </w:tc>
        <w:tc>
          <w:tcPr>
            <w:tcW w:w="1134"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w:t>
            </w:r>
          </w:p>
        </w:tc>
      </w:tr>
      <w:tr w:rsidR="00B951B1" w:rsidRPr="00E61612" w:rsidTr="00CB78E6">
        <w:trPr>
          <w:trHeight w:val="1020"/>
          <w:jc w:val="center"/>
        </w:trPr>
        <w:tc>
          <w:tcPr>
            <w:tcW w:w="992" w:type="dxa"/>
            <w:vMerge/>
            <w:tcBorders>
              <w:top w:val="nil"/>
              <w:left w:val="single" w:sz="4" w:space="0" w:color="auto"/>
              <w:bottom w:val="single" w:sz="4" w:space="0" w:color="auto"/>
              <w:right w:val="single" w:sz="4" w:space="0" w:color="auto"/>
            </w:tcBorders>
            <w:shd w:val="clear" w:color="auto" w:fill="FFFFFF"/>
            <w:hideMark/>
          </w:tcPr>
          <w:p w:rsidR="00B951B1" w:rsidRPr="00E61612" w:rsidRDefault="00B951B1" w:rsidP="00CB78E6">
            <w:pPr>
              <w:spacing w:after="0"/>
              <w:outlineLvl w:val="1"/>
              <w:rPr>
                <w:rFonts w:eastAsia="Times New Roman" w:cs="Calibri"/>
                <w:sz w:val="16"/>
                <w:szCs w:val="16"/>
              </w:rPr>
            </w:pPr>
          </w:p>
        </w:tc>
        <w:tc>
          <w:tcPr>
            <w:tcW w:w="993" w:type="dxa"/>
            <w:vMerge/>
            <w:tcBorders>
              <w:top w:val="nil"/>
              <w:left w:val="single" w:sz="4" w:space="0" w:color="auto"/>
              <w:bottom w:val="single" w:sz="4" w:space="0" w:color="auto"/>
              <w:right w:val="single" w:sz="4" w:space="0" w:color="auto"/>
            </w:tcBorders>
            <w:shd w:val="clear" w:color="auto" w:fill="FFFFFF"/>
            <w:hideMark/>
          </w:tcPr>
          <w:p w:rsidR="00B951B1" w:rsidRPr="00E61612" w:rsidRDefault="00B951B1" w:rsidP="00CB78E6">
            <w:pPr>
              <w:spacing w:after="0"/>
              <w:outlineLvl w:val="1"/>
              <w:rPr>
                <w:rFonts w:eastAsia="Times New Roman" w:cs="Calibri"/>
                <w:sz w:val="16"/>
                <w:szCs w:val="16"/>
              </w:rPr>
            </w:pPr>
          </w:p>
        </w:tc>
        <w:tc>
          <w:tcPr>
            <w:tcW w:w="992" w:type="dxa"/>
            <w:tcBorders>
              <w:top w:val="nil"/>
              <w:left w:val="nil"/>
              <w:bottom w:val="single" w:sz="4" w:space="0" w:color="auto"/>
              <w:right w:val="single" w:sz="4" w:space="0" w:color="auto"/>
            </w:tcBorders>
            <w:shd w:val="clear" w:color="auto" w:fill="FFFFFF"/>
            <w:hideMark/>
          </w:tcPr>
          <w:p w:rsidR="00B951B1" w:rsidRPr="00E61612" w:rsidRDefault="00B951B1" w:rsidP="00CB78E6">
            <w:pPr>
              <w:spacing w:after="0"/>
              <w:outlineLvl w:val="1"/>
              <w:rPr>
                <w:rFonts w:eastAsia="Times New Roman" w:cs="Calibri"/>
                <w:sz w:val="16"/>
                <w:szCs w:val="16"/>
              </w:rPr>
            </w:pPr>
            <w:r w:rsidRPr="00E61612">
              <w:rPr>
                <w:rFonts w:eastAsia="Times New Roman" w:cs="Calibri"/>
                <w:sz w:val="16"/>
                <w:szCs w:val="16"/>
              </w:rPr>
              <w:t>C3.2. Rritja e mundësive për punë praktike në studimet e larta</w:t>
            </w:r>
          </w:p>
        </w:tc>
        <w:tc>
          <w:tcPr>
            <w:tcW w:w="1309" w:type="dxa"/>
            <w:tcBorders>
              <w:top w:val="nil"/>
              <w:left w:val="nil"/>
              <w:bottom w:val="single" w:sz="4" w:space="0" w:color="auto"/>
              <w:right w:val="single" w:sz="4" w:space="0" w:color="auto"/>
            </w:tcBorders>
            <w:shd w:val="clear" w:color="auto" w:fill="FFFFFF"/>
            <w:hideMark/>
          </w:tcPr>
          <w:p w:rsidR="00B951B1" w:rsidRPr="00E61612" w:rsidRDefault="00B951B1" w:rsidP="00CB78E6">
            <w:pPr>
              <w:spacing w:after="0"/>
              <w:outlineLvl w:val="1"/>
              <w:rPr>
                <w:rFonts w:eastAsia="Times New Roman" w:cs="Calibri"/>
                <w:sz w:val="16"/>
                <w:szCs w:val="16"/>
              </w:rPr>
            </w:pPr>
            <w:r w:rsidRPr="00E61612">
              <w:rPr>
                <w:rFonts w:eastAsia="Times New Roman" w:cs="Calibri"/>
                <w:sz w:val="16"/>
                <w:szCs w:val="16"/>
              </w:rPr>
              <w:t>C3.2.1. Krijimi/Funksionalizimi i zyrave të karrierës në IAL-të publike</w:t>
            </w:r>
          </w:p>
        </w:tc>
        <w:tc>
          <w:tcPr>
            <w:tcW w:w="1067" w:type="dxa"/>
            <w:tcBorders>
              <w:top w:val="nil"/>
              <w:left w:val="single" w:sz="4" w:space="0" w:color="auto"/>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w:t>
            </w:r>
          </w:p>
        </w:tc>
        <w:tc>
          <w:tcPr>
            <w:tcW w:w="851"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w:t>
            </w:r>
          </w:p>
        </w:tc>
        <w:tc>
          <w:tcPr>
            <w:tcW w:w="992"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w:t>
            </w:r>
          </w:p>
        </w:tc>
        <w:tc>
          <w:tcPr>
            <w:tcW w:w="992" w:type="dxa"/>
            <w:gridSpan w:val="2"/>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w:t>
            </w:r>
          </w:p>
        </w:tc>
        <w:tc>
          <w:tcPr>
            <w:tcW w:w="992"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w:t>
            </w:r>
          </w:p>
        </w:tc>
        <w:tc>
          <w:tcPr>
            <w:tcW w:w="993"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w:t>
            </w:r>
          </w:p>
        </w:tc>
        <w:tc>
          <w:tcPr>
            <w:tcW w:w="992"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w:t>
            </w:r>
          </w:p>
        </w:tc>
        <w:tc>
          <w:tcPr>
            <w:tcW w:w="992"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w:t>
            </w:r>
          </w:p>
        </w:tc>
        <w:tc>
          <w:tcPr>
            <w:tcW w:w="992"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w:t>
            </w:r>
          </w:p>
        </w:tc>
        <w:tc>
          <w:tcPr>
            <w:tcW w:w="851"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w:t>
            </w:r>
          </w:p>
        </w:tc>
        <w:tc>
          <w:tcPr>
            <w:tcW w:w="1134"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w:t>
            </w:r>
          </w:p>
        </w:tc>
      </w:tr>
      <w:tr w:rsidR="00B951B1" w:rsidRPr="00E61612" w:rsidTr="00CB78E6">
        <w:trPr>
          <w:trHeight w:val="1275"/>
          <w:jc w:val="center"/>
        </w:trPr>
        <w:tc>
          <w:tcPr>
            <w:tcW w:w="992" w:type="dxa"/>
            <w:vMerge/>
            <w:tcBorders>
              <w:top w:val="nil"/>
              <w:left w:val="single" w:sz="4" w:space="0" w:color="auto"/>
              <w:bottom w:val="single" w:sz="4" w:space="0" w:color="auto"/>
              <w:right w:val="single" w:sz="4" w:space="0" w:color="auto"/>
            </w:tcBorders>
            <w:shd w:val="clear" w:color="auto" w:fill="FFFFFF"/>
            <w:hideMark/>
          </w:tcPr>
          <w:p w:rsidR="00B951B1" w:rsidRPr="00E61612" w:rsidRDefault="00B951B1" w:rsidP="00CB78E6">
            <w:pPr>
              <w:spacing w:after="0"/>
              <w:outlineLvl w:val="1"/>
              <w:rPr>
                <w:rFonts w:eastAsia="Times New Roman" w:cs="Calibri"/>
                <w:sz w:val="16"/>
                <w:szCs w:val="16"/>
              </w:rPr>
            </w:pPr>
          </w:p>
        </w:tc>
        <w:tc>
          <w:tcPr>
            <w:tcW w:w="993" w:type="dxa"/>
            <w:vMerge/>
            <w:tcBorders>
              <w:top w:val="nil"/>
              <w:left w:val="single" w:sz="4" w:space="0" w:color="auto"/>
              <w:bottom w:val="single" w:sz="4" w:space="0" w:color="auto"/>
              <w:right w:val="single" w:sz="4" w:space="0" w:color="auto"/>
            </w:tcBorders>
            <w:shd w:val="clear" w:color="auto" w:fill="FFFFFF"/>
            <w:hideMark/>
          </w:tcPr>
          <w:p w:rsidR="00B951B1" w:rsidRPr="00E61612" w:rsidRDefault="00B951B1" w:rsidP="00CB78E6">
            <w:pPr>
              <w:spacing w:after="0"/>
              <w:outlineLvl w:val="1"/>
              <w:rPr>
                <w:rFonts w:eastAsia="Times New Roman" w:cs="Calibri"/>
                <w:sz w:val="16"/>
                <w:szCs w:val="16"/>
              </w:rPr>
            </w:pPr>
          </w:p>
        </w:tc>
        <w:tc>
          <w:tcPr>
            <w:tcW w:w="992" w:type="dxa"/>
            <w:tcBorders>
              <w:top w:val="nil"/>
              <w:left w:val="nil"/>
              <w:bottom w:val="single" w:sz="4" w:space="0" w:color="auto"/>
              <w:right w:val="single" w:sz="4" w:space="0" w:color="auto"/>
            </w:tcBorders>
            <w:shd w:val="clear" w:color="auto" w:fill="FFFFFF"/>
            <w:hideMark/>
          </w:tcPr>
          <w:p w:rsidR="00B951B1" w:rsidRPr="00E61612" w:rsidRDefault="00B951B1" w:rsidP="00CB78E6">
            <w:pPr>
              <w:spacing w:after="0"/>
              <w:outlineLvl w:val="1"/>
              <w:rPr>
                <w:rFonts w:eastAsia="Times New Roman" w:cs="Calibri"/>
                <w:sz w:val="16"/>
                <w:szCs w:val="16"/>
              </w:rPr>
            </w:pPr>
            <w:r w:rsidRPr="00E61612">
              <w:rPr>
                <w:rFonts w:eastAsia="Times New Roman" w:cs="Calibri"/>
                <w:sz w:val="16"/>
                <w:szCs w:val="16"/>
              </w:rPr>
              <w:t>C3.3. Promovimi i ndërdisiplinaritetit dhe programeve STEM</w:t>
            </w:r>
          </w:p>
        </w:tc>
        <w:tc>
          <w:tcPr>
            <w:tcW w:w="1309" w:type="dxa"/>
            <w:tcBorders>
              <w:top w:val="nil"/>
              <w:left w:val="nil"/>
              <w:bottom w:val="single" w:sz="4" w:space="0" w:color="auto"/>
              <w:right w:val="single" w:sz="4" w:space="0" w:color="auto"/>
            </w:tcBorders>
            <w:shd w:val="clear" w:color="auto" w:fill="FFFFFF"/>
            <w:hideMark/>
          </w:tcPr>
          <w:p w:rsidR="00B951B1" w:rsidRPr="00E61612" w:rsidRDefault="00B951B1" w:rsidP="00CB78E6">
            <w:pPr>
              <w:spacing w:after="0"/>
              <w:outlineLvl w:val="1"/>
              <w:rPr>
                <w:rFonts w:eastAsia="Times New Roman" w:cs="Calibri"/>
                <w:sz w:val="16"/>
                <w:szCs w:val="16"/>
              </w:rPr>
            </w:pPr>
            <w:r w:rsidRPr="00E61612">
              <w:rPr>
                <w:rFonts w:eastAsia="Times New Roman" w:cs="Calibri"/>
                <w:sz w:val="16"/>
                <w:szCs w:val="16"/>
              </w:rPr>
              <w:t>C3.3.1. Zhvillimi/reformimi i programeve ndërdisiplinore dhe programeve STEM</w:t>
            </w:r>
          </w:p>
        </w:tc>
        <w:tc>
          <w:tcPr>
            <w:tcW w:w="1067" w:type="dxa"/>
            <w:tcBorders>
              <w:top w:val="nil"/>
              <w:left w:val="single" w:sz="4" w:space="0" w:color="auto"/>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w:t>
            </w:r>
          </w:p>
        </w:tc>
        <w:tc>
          <w:tcPr>
            <w:tcW w:w="851"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w:t>
            </w:r>
          </w:p>
        </w:tc>
        <w:tc>
          <w:tcPr>
            <w:tcW w:w="992"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w:t>
            </w:r>
          </w:p>
        </w:tc>
        <w:tc>
          <w:tcPr>
            <w:tcW w:w="992" w:type="dxa"/>
            <w:gridSpan w:val="2"/>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w:t>
            </w:r>
          </w:p>
        </w:tc>
        <w:tc>
          <w:tcPr>
            <w:tcW w:w="992"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w:t>
            </w:r>
          </w:p>
        </w:tc>
        <w:tc>
          <w:tcPr>
            <w:tcW w:w="993"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w:t>
            </w:r>
          </w:p>
        </w:tc>
        <w:tc>
          <w:tcPr>
            <w:tcW w:w="992"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w:t>
            </w:r>
          </w:p>
        </w:tc>
        <w:tc>
          <w:tcPr>
            <w:tcW w:w="992"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w:t>
            </w:r>
          </w:p>
        </w:tc>
        <w:tc>
          <w:tcPr>
            <w:tcW w:w="992"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w:t>
            </w:r>
          </w:p>
        </w:tc>
        <w:tc>
          <w:tcPr>
            <w:tcW w:w="851"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w:t>
            </w:r>
          </w:p>
        </w:tc>
        <w:tc>
          <w:tcPr>
            <w:tcW w:w="1134"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w:t>
            </w:r>
          </w:p>
        </w:tc>
      </w:tr>
      <w:tr w:rsidR="00B951B1" w:rsidRPr="00E61612" w:rsidTr="00CB78E6">
        <w:trPr>
          <w:trHeight w:val="255"/>
          <w:jc w:val="center"/>
        </w:trPr>
        <w:tc>
          <w:tcPr>
            <w:tcW w:w="992" w:type="dxa"/>
            <w:vMerge/>
            <w:tcBorders>
              <w:top w:val="nil"/>
              <w:left w:val="single" w:sz="4" w:space="0" w:color="auto"/>
              <w:bottom w:val="single" w:sz="4" w:space="0" w:color="auto"/>
              <w:right w:val="single" w:sz="4" w:space="0" w:color="auto"/>
            </w:tcBorders>
            <w:shd w:val="clear" w:color="auto" w:fill="FFFFFF"/>
            <w:hideMark/>
          </w:tcPr>
          <w:p w:rsidR="00B951B1" w:rsidRPr="00E61612" w:rsidRDefault="00B951B1" w:rsidP="00CB78E6">
            <w:pPr>
              <w:spacing w:after="0"/>
              <w:outlineLvl w:val="0"/>
              <w:rPr>
                <w:rFonts w:eastAsia="Times New Roman" w:cs="Calibri"/>
                <w:sz w:val="16"/>
                <w:szCs w:val="16"/>
              </w:rPr>
            </w:pPr>
          </w:p>
        </w:tc>
        <w:tc>
          <w:tcPr>
            <w:tcW w:w="993" w:type="dxa"/>
            <w:vMerge/>
            <w:tcBorders>
              <w:top w:val="nil"/>
              <w:left w:val="single" w:sz="4" w:space="0" w:color="auto"/>
              <w:bottom w:val="single" w:sz="4" w:space="0" w:color="auto"/>
              <w:right w:val="single" w:sz="4" w:space="0" w:color="auto"/>
            </w:tcBorders>
            <w:shd w:val="clear" w:color="auto" w:fill="FFFFFF"/>
            <w:hideMark/>
          </w:tcPr>
          <w:p w:rsidR="00B951B1" w:rsidRPr="00E61612" w:rsidRDefault="00B951B1" w:rsidP="00CB78E6">
            <w:pPr>
              <w:spacing w:after="0"/>
              <w:outlineLvl w:val="0"/>
              <w:rPr>
                <w:rFonts w:eastAsia="Times New Roman" w:cs="Calibri"/>
                <w:sz w:val="16"/>
                <w:szCs w:val="16"/>
              </w:rPr>
            </w:pPr>
          </w:p>
        </w:tc>
        <w:tc>
          <w:tcPr>
            <w:tcW w:w="2301" w:type="dxa"/>
            <w:gridSpan w:val="2"/>
            <w:tcBorders>
              <w:top w:val="single" w:sz="4" w:space="0" w:color="auto"/>
              <w:left w:val="nil"/>
              <w:bottom w:val="single" w:sz="4" w:space="0" w:color="auto"/>
              <w:right w:val="nil"/>
            </w:tcBorders>
            <w:shd w:val="clear" w:color="auto" w:fill="FFFFFF"/>
            <w:hideMark/>
          </w:tcPr>
          <w:p w:rsidR="00B951B1" w:rsidRPr="00E61612" w:rsidRDefault="00B951B1" w:rsidP="00CB78E6">
            <w:pPr>
              <w:spacing w:after="0"/>
              <w:jc w:val="center"/>
              <w:outlineLvl w:val="0"/>
              <w:rPr>
                <w:rFonts w:eastAsia="Times New Roman" w:cs="Calibri"/>
                <w:i/>
                <w:iCs/>
                <w:sz w:val="16"/>
                <w:szCs w:val="16"/>
              </w:rPr>
            </w:pPr>
            <w:r w:rsidRPr="00E61612">
              <w:rPr>
                <w:rFonts w:eastAsia="Times New Roman" w:cs="Calibri"/>
                <w:i/>
                <w:iCs/>
                <w:sz w:val="16"/>
                <w:szCs w:val="16"/>
              </w:rPr>
              <w:t>TOTAL C3</w:t>
            </w:r>
          </w:p>
        </w:tc>
        <w:tc>
          <w:tcPr>
            <w:tcW w:w="1067" w:type="dxa"/>
            <w:tcBorders>
              <w:top w:val="nil"/>
              <w:left w:val="single" w:sz="4" w:space="0" w:color="auto"/>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0"/>
              <w:rPr>
                <w:rFonts w:eastAsia="Times New Roman" w:cs="Calibri"/>
                <w:i/>
                <w:sz w:val="16"/>
                <w:szCs w:val="16"/>
              </w:rPr>
            </w:pPr>
            <w:r w:rsidRPr="00E61612">
              <w:rPr>
                <w:rFonts w:eastAsia="Times New Roman" w:cs="Calibri"/>
                <w:i/>
                <w:sz w:val="16"/>
                <w:szCs w:val="16"/>
              </w:rPr>
              <w:t>-</w:t>
            </w:r>
          </w:p>
        </w:tc>
        <w:tc>
          <w:tcPr>
            <w:tcW w:w="851"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0"/>
              <w:rPr>
                <w:rFonts w:eastAsia="Times New Roman" w:cs="Calibri"/>
                <w:i/>
                <w:sz w:val="16"/>
                <w:szCs w:val="16"/>
              </w:rPr>
            </w:pPr>
            <w:r w:rsidRPr="00E61612">
              <w:rPr>
                <w:rFonts w:eastAsia="Times New Roman" w:cs="Calibri"/>
                <w:i/>
                <w:sz w:val="16"/>
                <w:szCs w:val="16"/>
              </w:rPr>
              <w:t>4,800</w:t>
            </w:r>
          </w:p>
        </w:tc>
        <w:tc>
          <w:tcPr>
            <w:tcW w:w="992"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0"/>
              <w:rPr>
                <w:rFonts w:eastAsia="Times New Roman" w:cs="Calibri"/>
                <w:i/>
                <w:sz w:val="16"/>
                <w:szCs w:val="16"/>
              </w:rPr>
            </w:pPr>
            <w:r w:rsidRPr="00E61612">
              <w:rPr>
                <w:rFonts w:eastAsia="Times New Roman" w:cs="Calibri"/>
                <w:i/>
                <w:sz w:val="16"/>
                <w:szCs w:val="16"/>
              </w:rPr>
              <w:t>-</w:t>
            </w:r>
          </w:p>
        </w:tc>
        <w:tc>
          <w:tcPr>
            <w:tcW w:w="992" w:type="dxa"/>
            <w:gridSpan w:val="2"/>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0"/>
              <w:rPr>
                <w:rFonts w:eastAsia="Times New Roman" w:cs="Calibri"/>
                <w:i/>
                <w:sz w:val="16"/>
                <w:szCs w:val="16"/>
              </w:rPr>
            </w:pPr>
            <w:r w:rsidRPr="00E61612">
              <w:rPr>
                <w:rFonts w:eastAsia="Times New Roman" w:cs="Calibri"/>
                <w:i/>
                <w:sz w:val="16"/>
                <w:szCs w:val="16"/>
              </w:rPr>
              <w:t>4,800</w:t>
            </w:r>
          </w:p>
        </w:tc>
        <w:tc>
          <w:tcPr>
            <w:tcW w:w="992"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0"/>
              <w:rPr>
                <w:rFonts w:eastAsia="Times New Roman" w:cs="Calibri"/>
                <w:i/>
                <w:sz w:val="16"/>
                <w:szCs w:val="16"/>
              </w:rPr>
            </w:pPr>
            <w:r w:rsidRPr="00E61612">
              <w:rPr>
                <w:rFonts w:eastAsia="Times New Roman" w:cs="Calibri"/>
                <w:i/>
                <w:sz w:val="16"/>
                <w:szCs w:val="16"/>
              </w:rPr>
              <w:t>-</w:t>
            </w:r>
          </w:p>
        </w:tc>
        <w:tc>
          <w:tcPr>
            <w:tcW w:w="993"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0"/>
              <w:rPr>
                <w:rFonts w:eastAsia="Times New Roman" w:cs="Calibri"/>
                <w:i/>
                <w:sz w:val="16"/>
                <w:szCs w:val="16"/>
              </w:rPr>
            </w:pPr>
            <w:r w:rsidRPr="00E61612">
              <w:rPr>
                <w:rFonts w:eastAsia="Times New Roman" w:cs="Calibri"/>
                <w:i/>
                <w:sz w:val="16"/>
                <w:szCs w:val="16"/>
              </w:rPr>
              <w:t>4,800</w:t>
            </w:r>
          </w:p>
        </w:tc>
        <w:tc>
          <w:tcPr>
            <w:tcW w:w="992"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0"/>
              <w:rPr>
                <w:rFonts w:eastAsia="Times New Roman" w:cs="Calibri"/>
                <w:i/>
                <w:sz w:val="16"/>
                <w:szCs w:val="16"/>
              </w:rPr>
            </w:pPr>
            <w:r w:rsidRPr="00E61612">
              <w:rPr>
                <w:rFonts w:eastAsia="Times New Roman" w:cs="Calibri"/>
                <w:i/>
                <w:sz w:val="16"/>
                <w:szCs w:val="16"/>
              </w:rPr>
              <w:t>-</w:t>
            </w:r>
          </w:p>
        </w:tc>
        <w:tc>
          <w:tcPr>
            <w:tcW w:w="992"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0"/>
              <w:rPr>
                <w:rFonts w:eastAsia="Times New Roman" w:cs="Calibri"/>
                <w:i/>
                <w:sz w:val="16"/>
                <w:szCs w:val="16"/>
              </w:rPr>
            </w:pPr>
            <w:r w:rsidRPr="00E61612">
              <w:rPr>
                <w:rFonts w:eastAsia="Times New Roman" w:cs="Calibri"/>
                <w:i/>
                <w:sz w:val="16"/>
                <w:szCs w:val="16"/>
              </w:rPr>
              <w:t>4,800</w:t>
            </w:r>
          </w:p>
        </w:tc>
        <w:tc>
          <w:tcPr>
            <w:tcW w:w="992"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0"/>
              <w:rPr>
                <w:rFonts w:eastAsia="Times New Roman" w:cs="Calibri"/>
                <w:i/>
                <w:sz w:val="16"/>
                <w:szCs w:val="16"/>
              </w:rPr>
            </w:pPr>
            <w:r w:rsidRPr="00E61612">
              <w:rPr>
                <w:rFonts w:eastAsia="Times New Roman" w:cs="Calibri"/>
                <w:i/>
                <w:sz w:val="16"/>
                <w:szCs w:val="16"/>
              </w:rPr>
              <w:t>-</w:t>
            </w:r>
          </w:p>
        </w:tc>
        <w:tc>
          <w:tcPr>
            <w:tcW w:w="851"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0"/>
              <w:rPr>
                <w:rFonts w:eastAsia="Times New Roman" w:cs="Calibri"/>
                <w:i/>
                <w:sz w:val="16"/>
                <w:szCs w:val="16"/>
              </w:rPr>
            </w:pPr>
            <w:r w:rsidRPr="00E61612">
              <w:rPr>
                <w:rFonts w:eastAsia="Times New Roman" w:cs="Calibri"/>
                <w:i/>
                <w:sz w:val="16"/>
                <w:szCs w:val="16"/>
              </w:rPr>
              <w:t>-</w:t>
            </w:r>
          </w:p>
        </w:tc>
        <w:tc>
          <w:tcPr>
            <w:tcW w:w="1134"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0"/>
              <w:rPr>
                <w:rFonts w:eastAsia="Times New Roman" w:cs="Calibri"/>
                <w:i/>
                <w:sz w:val="16"/>
                <w:szCs w:val="16"/>
              </w:rPr>
            </w:pPr>
            <w:r w:rsidRPr="00E61612">
              <w:rPr>
                <w:rFonts w:eastAsia="Times New Roman" w:cs="Calibri"/>
                <w:i/>
                <w:sz w:val="16"/>
                <w:szCs w:val="16"/>
              </w:rPr>
              <w:t>4,800</w:t>
            </w:r>
          </w:p>
        </w:tc>
      </w:tr>
      <w:tr w:rsidR="00B951B1" w:rsidRPr="00E61612" w:rsidTr="00CB78E6">
        <w:trPr>
          <w:trHeight w:val="1275"/>
          <w:jc w:val="center"/>
        </w:trPr>
        <w:tc>
          <w:tcPr>
            <w:tcW w:w="992" w:type="dxa"/>
            <w:vMerge/>
            <w:tcBorders>
              <w:top w:val="nil"/>
              <w:left w:val="single" w:sz="4" w:space="0" w:color="auto"/>
              <w:bottom w:val="single" w:sz="4" w:space="0" w:color="auto"/>
              <w:right w:val="single" w:sz="4" w:space="0" w:color="auto"/>
            </w:tcBorders>
            <w:shd w:val="clear" w:color="auto" w:fill="FFFFFF"/>
            <w:hideMark/>
          </w:tcPr>
          <w:p w:rsidR="00B951B1" w:rsidRPr="00E61612" w:rsidRDefault="00B951B1" w:rsidP="00CB78E6">
            <w:pPr>
              <w:spacing w:after="0"/>
              <w:outlineLvl w:val="1"/>
              <w:rPr>
                <w:rFonts w:eastAsia="Times New Roman" w:cs="Calibri"/>
                <w:sz w:val="16"/>
                <w:szCs w:val="16"/>
              </w:rPr>
            </w:pPr>
          </w:p>
        </w:tc>
        <w:tc>
          <w:tcPr>
            <w:tcW w:w="993" w:type="dxa"/>
            <w:vMerge w:val="restart"/>
            <w:tcBorders>
              <w:top w:val="nil"/>
              <w:left w:val="single" w:sz="4" w:space="0" w:color="auto"/>
              <w:bottom w:val="single" w:sz="4" w:space="0" w:color="auto"/>
              <w:right w:val="single" w:sz="4" w:space="0" w:color="auto"/>
            </w:tcBorders>
            <w:shd w:val="clear" w:color="auto" w:fill="FFFFFF"/>
            <w:hideMark/>
          </w:tcPr>
          <w:p w:rsidR="00B951B1" w:rsidRPr="00E61612" w:rsidRDefault="00B951B1" w:rsidP="00CB78E6">
            <w:pPr>
              <w:spacing w:after="0"/>
              <w:outlineLvl w:val="1"/>
              <w:rPr>
                <w:rFonts w:eastAsia="Times New Roman" w:cs="Calibri"/>
                <w:sz w:val="16"/>
                <w:szCs w:val="16"/>
              </w:rPr>
            </w:pPr>
            <w:r w:rsidRPr="00E61612">
              <w:rPr>
                <w:rFonts w:eastAsia="Times New Roman" w:cs="Calibri"/>
                <w:sz w:val="16"/>
                <w:szCs w:val="16"/>
              </w:rPr>
              <w:t>C4. Sigurimi i integritetit akademik, transparencës dhe llogaridhënies në sektorin e arsimit të lartë</w:t>
            </w:r>
          </w:p>
        </w:tc>
        <w:tc>
          <w:tcPr>
            <w:tcW w:w="992" w:type="dxa"/>
            <w:vMerge w:val="restart"/>
            <w:tcBorders>
              <w:top w:val="nil"/>
              <w:left w:val="single" w:sz="4" w:space="0" w:color="auto"/>
              <w:bottom w:val="single" w:sz="4" w:space="0" w:color="000000"/>
              <w:right w:val="single" w:sz="4" w:space="0" w:color="auto"/>
            </w:tcBorders>
            <w:shd w:val="clear" w:color="auto" w:fill="FFFFFF"/>
            <w:hideMark/>
          </w:tcPr>
          <w:p w:rsidR="00B951B1" w:rsidRPr="00E61612" w:rsidRDefault="00B951B1" w:rsidP="00CB78E6">
            <w:pPr>
              <w:spacing w:after="0"/>
              <w:outlineLvl w:val="1"/>
              <w:rPr>
                <w:rFonts w:eastAsia="Times New Roman" w:cs="Calibri"/>
                <w:sz w:val="16"/>
                <w:szCs w:val="16"/>
              </w:rPr>
            </w:pPr>
            <w:r w:rsidRPr="00E61612">
              <w:rPr>
                <w:rFonts w:eastAsia="Times New Roman" w:cs="Calibri"/>
                <w:sz w:val="16"/>
                <w:szCs w:val="16"/>
              </w:rPr>
              <w:t>C4.1. Sigurimi i transparencës dhe zbatimi i praktikave të mira të integritetit akademik në IAL</w:t>
            </w:r>
          </w:p>
        </w:tc>
        <w:tc>
          <w:tcPr>
            <w:tcW w:w="1309" w:type="dxa"/>
            <w:tcBorders>
              <w:top w:val="nil"/>
              <w:left w:val="nil"/>
              <w:bottom w:val="single" w:sz="4" w:space="0" w:color="auto"/>
              <w:right w:val="single" w:sz="4" w:space="0" w:color="auto"/>
            </w:tcBorders>
            <w:shd w:val="clear" w:color="auto" w:fill="FFFFFF"/>
            <w:hideMark/>
          </w:tcPr>
          <w:p w:rsidR="00B951B1" w:rsidRPr="00E61612" w:rsidRDefault="00B951B1" w:rsidP="00CB78E6">
            <w:pPr>
              <w:spacing w:after="0"/>
              <w:outlineLvl w:val="1"/>
              <w:rPr>
                <w:rFonts w:eastAsia="Times New Roman" w:cs="Calibri"/>
                <w:sz w:val="16"/>
                <w:szCs w:val="16"/>
              </w:rPr>
            </w:pPr>
            <w:r w:rsidRPr="00E61612">
              <w:rPr>
                <w:rFonts w:eastAsia="Times New Roman" w:cs="Calibri"/>
                <w:sz w:val="16"/>
                <w:szCs w:val="16"/>
              </w:rPr>
              <w:t xml:space="preserve">C4.1.1. Zhvillimi i rregulloreve për publikimin e të dhënave dhe dokumenteve </w:t>
            </w:r>
            <w:r>
              <w:rPr>
                <w:rFonts w:eastAsia="Times New Roman" w:cs="Calibri"/>
                <w:sz w:val="16"/>
                <w:szCs w:val="16"/>
              </w:rPr>
              <w:t>përkatëse</w:t>
            </w:r>
            <w:r w:rsidRPr="00E61612">
              <w:rPr>
                <w:rFonts w:eastAsia="Times New Roman" w:cs="Calibri"/>
                <w:sz w:val="16"/>
                <w:szCs w:val="16"/>
              </w:rPr>
              <w:t xml:space="preserve"> në faqe</w:t>
            </w:r>
            <w:r>
              <w:rPr>
                <w:rFonts w:eastAsia="Times New Roman" w:cs="Calibri"/>
                <w:sz w:val="16"/>
                <w:szCs w:val="16"/>
              </w:rPr>
              <w:t>t</w:t>
            </w:r>
            <w:r w:rsidRPr="00E61612">
              <w:rPr>
                <w:rFonts w:eastAsia="Times New Roman" w:cs="Calibri"/>
                <w:sz w:val="16"/>
                <w:szCs w:val="16"/>
              </w:rPr>
              <w:t xml:space="preserve"> </w:t>
            </w:r>
            <w:r>
              <w:rPr>
                <w:rFonts w:eastAsia="Times New Roman" w:cs="Calibri"/>
                <w:sz w:val="16"/>
                <w:szCs w:val="16"/>
              </w:rPr>
              <w:t xml:space="preserve">e internetit </w:t>
            </w:r>
            <w:r w:rsidRPr="00E61612">
              <w:rPr>
                <w:rFonts w:eastAsia="Times New Roman" w:cs="Calibri"/>
                <w:sz w:val="16"/>
                <w:szCs w:val="16"/>
              </w:rPr>
              <w:t>të IAL-ve (Open Data)</w:t>
            </w:r>
          </w:p>
        </w:tc>
        <w:tc>
          <w:tcPr>
            <w:tcW w:w="1067" w:type="dxa"/>
            <w:tcBorders>
              <w:top w:val="nil"/>
              <w:left w:val="single" w:sz="4" w:space="0" w:color="auto"/>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w:t>
            </w:r>
          </w:p>
        </w:tc>
        <w:tc>
          <w:tcPr>
            <w:tcW w:w="851"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1,920</w:t>
            </w:r>
          </w:p>
        </w:tc>
        <w:tc>
          <w:tcPr>
            <w:tcW w:w="992"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w:t>
            </w:r>
          </w:p>
        </w:tc>
        <w:tc>
          <w:tcPr>
            <w:tcW w:w="992" w:type="dxa"/>
            <w:gridSpan w:val="2"/>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1,920</w:t>
            </w:r>
          </w:p>
        </w:tc>
        <w:tc>
          <w:tcPr>
            <w:tcW w:w="992"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w:t>
            </w:r>
          </w:p>
        </w:tc>
        <w:tc>
          <w:tcPr>
            <w:tcW w:w="993"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1,920</w:t>
            </w:r>
          </w:p>
        </w:tc>
        <w:tc>
          <w:tcPr>
            <w:tcW w:w="992"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w:t>
            </w:r>
          </w:p>
        </w:tc>
        <w:tc>
          <w:tcPr>
            <w:tcW w:w="992"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w:t>
            </w:r>
          </w:p>
        </w:tc>
        <w:tc>
          <w:tcPr>
            <w:tcW w:w="992"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(1,920)</w:t>
            </w:r>
          </w:p>
        </w:tc>
        <w:tc>
          <w:tcPr>
            <w:tcW w:w="851"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w:t>
            </w:r>
          </w:p>
        </w:tc>
        <w:tc>
          <w:tcPr>
            <w:tcW w:w="1134"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1,920</w:t>
            </w:r>
          </w:p>
        </w:tc>
      </w:tr>
      <w:tr w:rsidR="00B951B1" w:rsidRPr="00E61612" w:rsidTr="00CB78E6">
        <w:trPr>
          <w:trHeight w:val="1020"/>
          <w:jc w:val="center"/>
        </w:trPr>
        <w:tc>
          <w:tcPr>
            <w:tcW w:w="992" w:type="dxa"/>
            <w:vMerge/>
            <w:tcBorders>
              <w:top w:val="nil"/>
              <w:left w:val="single" w:sz="4" w:space="0" w:color="auto"/>
              <w:bottom w:val="single" w:sz="4" w:space="0" w:color="auto"/>
              <w:right w:val="single" w:sz="4" w:space="0" w:color="auto"/>
            </w:tcBorders>
            <w:shd w:val="clear" w:color="auto" w:fill="FFFFFF"/>
            <w:hideMark/>
          </w:tcPr>
          <w:p w:rsidR="00B951B1" w:rsidRPr="00E61612" w:rsidRDefault="00B951B1" w:rsidP="00CB78E6">
            <w:pPr>
              <w:spacing w:after="0"/>
              <w:outlineLvl w:val="1"/>
              <w:rPr>
                <w:rFonts w:eastAsia="Times New Roman" w:cs="Calibri"/>
                <w:sz w:val="16"/>
                <w:szCs w:val="16"/>
              </w:rPr>
            </w:pPr>
          </w:p>
        </w:tc>
        <w:tc>
          <w:tcPr>
            <w:tcW w:w="993" w:type="dxa"/>
            <w:vMerge/>
            <w:tcBorders>
              <w:top w:val="nil"/>
              <w:left w:val="single" w:sz="4" w:space="0" w:color="auto"/>
              <w:bottom w:val="single" w:sz="4" w:space="0" w:color="auto"/>
              <w:right w:val="single" w:sz="4" w:space="0" w:color="auto"/>
            </w:tcBorders>
            <w:shd w:val="clear" w:color="auto" w:fill="FFFFFF"/>
            <w:hideMark/>
          </w:tcPr>
          <w:p w:rsidR="00B951B1" w:rsidRPr="00E61612" w:rsidRDefault="00B951B1" w:rsidP="00CB78E6">
            <w:pPr>
              <w:spacing w:after="0"/>
              <w:outlineLvl w:val="1"/>
              <w:rPr>
                <w:rFonts w:eastAsia="Times New Roman" w:cs="Calibri"/>
                <w:sz w:val="16"/>
                <w:szCs w:val="16"/>
              </w:rPr>
            </w:pPr>
          </w:p>
        </w:tc>
        <w:tc>
          <w:tcPr>
            <w:tcW w:w="992" w:type="dxa"/>
            <w:vMerge/>
            <w:tcBorders>
              <w:top w:val="nil"/>
              <w:left w:val="single" w:sz="4" w:space="0" w:color="auto"/>
              <w:bottom w:val="single" w:sz="4" w:space="0" w:color="000000"/>
              <w:right w:val="single" w:sz="4" w:space="0" w:color="auto"/>
            </w:tcBorders>
            <w:shd w:val="clear" w:color="auto" w:fill="FFFFFF"/>
            <w:hideMark/>
          </w:tcPr>
          <w:p w:rsidR="00B951B1" w:rsidRPr="00E61612" w:rsidRDefault="00B951B1" w:rsidP="00CB78E6">
            <w:pPr>
              <w:spacing w:after="0"/>
              <w:outlineLvl w:val="1"/>
              <w:rPr>
                <w:rFonts w:eastAsia="Times New Roman" w:cs="Calibri"/>
                <w:sz w:val="16"/>
                <w:szCs w:val="16"/>
              </w:rPr>
            </w:pPr>
          </w:p>
        </w:tc>
        <w:tc>
          <w:tcPr>
            <w:tcW w:w="1309" w:type="dxa"/>
            <w:tcBorders>
              <w:top w:val="nil"/>
              <w:left w:val="nil"/>
              <w:bottom w:val="single" w:sz="4" w:space="0" w:color="auto"/>
              <w:right w:val="single" w:sz="4" w:space="0" w:color="auto"/>
            </w:tcBorders>
            <w:shd w:val="clear" w:color="auto" w:fill="FFFFFF"/>
            <w:hideMark/>
          </w:tcPr>
          <w:p w:rsidR="00B951B1" w:rsidRPr="00E61612" w:rsidRDefault="00B951B1" w:rsidP="00CB78E6">
            <w:pPr>
              <w:spacing w:after="0"/>
              <w:outlineLvl w:val="1"/>
              <w:rPr>
                <w:rFonts w:eastAsia="Times New Roman" w:cs="Calibri"/>
                <w:sz w:val="16"/>
                <w:szCs w:val="16"/>
              </w:rPr>
            </w:pPr>
            <w:r w:rsidRPr="00E61612">
              <w:rPr>
                <w:rFonts w:eastAsia="Times New Roman" w:cs="Calibri"/>
                <w:sz w:val="16"/>
                <w:szCs w:val="16"/>
              </w:rPr>
              <w:t>C4.1.2. Miratimi i kodeve etike institucionale në të gjitha IAL-të</w:t>
            </w:r>
          </w:p>
        </w:tc>
        <w:tc>
          <w:tcPr>
            <w:tcW w:w="1067" w:type="dxa"/>
            <w:tcBorders>
              <w:top w:val="nil"/>
              <w:left w:val="single" w:sz="4" w:space="0" w:color="auto"/>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w:t>
            </w:r>
          </w:p>
        </w:tc>
        <w:tc>
          <w:tcPr>
            <w:tcW w:w="851"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w:t>
            </w:r>
          </w:p>
        </w:tc>
        <w:tc>
          <w:tcPr>
            <w:tcW w:w="992"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w:t>
            </w:r>
          </w:p>
        </w:tc>
        <w:tc>
          <w:tcPr>
            <w:tcW w:w="992" w:type="dxa"/>
            <w:gridSpan w:val="2"/>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w:t>
            </w:r>
          </w:p>
        </w:tc>
        <w:tc>
          <w:tcPr>
            <w:tcW w:w="992"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w:t>
            </w:r>
          </w:p>
        </w:tc>
        <w:tc>
          <w:tcPr>
            <w:tcW w:w="993"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w:t>
            </w:r>
          </w:p>
        </w:tc>
        <w:tc>
          <w:tcPr>
            <w:tcW w:w="992"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w:t>
            </w:r>
          </w:p>
        </w:tc>
        <w:tc>
          <w:tcPr>
            <w:tcW w:w="992"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w:t>
            </w:r>
          </w:p>
        </w:tc>
        <w:tc>
          <w:tcPr>
            <w:tcW w:w="992"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w:t>
            </w:r>
          </w:p>
        </w:tc>
        <w:tc>
          <w:tcPr>
            <w:tcW w:w="851"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w:t>
            </w:r>
          </w:p>
        </w:tc>
        <w:tc>
          <w:tcPr>
            <w:tcW w:w="1134"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w:t>
            </w:r>
          </w:p>
        </w:tc>
      </w:tr>
      <w:tr w:rsidR="00B951B1" w:rsidRPr="00E61612" w:rsidTr="00CB78E6">
        <w:trPr>
          <w:trHeight w:val="855"/>
          <w:jc w:val="center"/>
        </w:trPr>
        <w:tc>
          <w:tcPr>
            <w:tcW w:w="992" w:type="dxa"/>
            <w:vMerge/>
            <w:tcBorders>
              <w:top w:val="nil"/>
              <w:left w:val="single" w:sz="4" w:space="0" w:color="auto"/>
              <w:bottom w:val="single" w:sz="4" w:space="0" w:color="auto"/>
              <w:right w:val="single" w:sz="4" w:space="0" w:color="auto"/>
            </w:tcBorders>
            <w:shd w:val="clear" w:color="auto" w:fill="FFFFFF"/>
            <w:hideMark/>
          </w:tcPr>
          <w:p w:rsidR="00B951B1" w:rsidRPr="00E61612" w:rsidRDefault="00B951B1" w:rsidP="00CB78E6">
            <w:pPr>
              <w:spacing w:after="0"/>
              <w:outlineLvl w:val="1"/>
              <w:rPr>
                <w:rFonts w:eastAsia="Times New Roman" w:cs="Calibri"/>
                <w:sz w:val="16"/>
                <w:szCs w:val="16"/>
              </w:rPr>
            </w:pPr>
          </w:p>
        </w:tc>
        <w:tc>
          <w:tcPr>
            <w:tcW w:w="993" w:type="dxa"/>
            <w:vMerge/>
            <w:tcBorders>
              <w:top w:val="nil"/>
              <w:left w:val="single" w:sz="4" w:space="0" w:color="auto"/>
              <w:bottom w:val="single" w:sz="4" w:space="0" w:color="auto"/>
              <w:right w:val="single" w:sz="4" w:space="0" w:color="auto"/>
            </w:tcBorders>
            <w:shd w:val="clear" w:color="auto" w:fill="FFFFFF"/>
            <w:hideMark/>
          </w:tcPr>
          <w:p w:rsidR="00B951B1" w:rsidRPr="00E61612" w:rsidRDefault="00B951B1" w:rsidP="00CB78E6">
            <w:pPr>
              <w:spacing w:after="0"/>
              <w:outlineLvl w:val="1"/>
              <w:rPr>
                <w:rFonts w:eastAsia="Times New Roman" w:cs="Calibri"/>
                <w:sz w:val="16"/>
                <w:szCs w:val="16"/>
              </w:rPr>
            </w:pPr>
          </w:p>
        </w:tc>
        <w:tc>
          <w:tcPr>
            <w:tcW w:w="992" w:type="dxa"/>
            <w:vMerge/>
            <w:tcBorders>
              <w:top w:val="nil"/>
              <w:left w:val="single" w:sz="4" w:space="0" w:color="auto"/>
              <w:bottom w:val="single" w:sz="4" w:space="0" w:color="000000"/>
              <w:right w:val="single" w:sz="4" w:space="0" w:color="auto"/>
            </w:tcBorders>
            <w:shd w:val="clear" w:color="auto" w:fill="FFFFFF"/>
            <w:hideMark/>
          </w:tcPr>
          <w:p w:rsidR="00B951B1" w:rsidRPr="00E61612" w:rsidRDefault="00B951B1" w:rsidP="00CB78E6">
            <w:pPr>
              <w:spacing w:after="0"/>
              <w:outlineLvl w:val="1"/>
              <w:rPr>
                <w:rFonts w:eastAsia="Times New Roman" w:cs="Calibri"/>
                <w:sz w:val="16"/>
                <w:szCs w:val="16"/>
              </w:rPr>
            </w:pPr>
          </w:p>
        </w:tc>
        <w:tc>
          <w:tcPr>
            <w:tcW w:w="1309" w:type="dxa"/>
            <w:tcBorders>
              <w:top w:val="nil"/>
              <w:left w:val="nil"/>
              <w:bottom w:val="single" w:sz="4" w:space="0" w:color="auto"/>
              <w:right w:val="single" w:sz="4" w:space="0" w:color="auto"/>
            </w:tcBorders>
            <w:shd w:val="clear" w:color="auto" w:fill="FFFFFF"/>
            <w:hideMark/>
          </w:tcPr>
          <w:p w:rsidR="00B951B1" w:rsidRPr="00E61612" w:rsidRDefault="00B951B1" w:rsidP="00CB78E6">
            <w:pPr>
              <w:spacing w:after="0"/>
              <w:outlineLvl w:val="1"/>
              <w:rPr>
                <w:rFonts w:eastAsia="Times New Roman" w:cs="Calibri"/>
                <w:sz w:val="16"/>
                <w:szCs w:val="16"/>
              </w:rPr>
            </w:pPr>
            <w:r w:rsidRPr="00E61612">
              <w:rPr>
                <w:rFonts w:eastAsia="Times New Roman" w:cs="Calibri"/>
                <w:sz w:val="16"/>
                <w:szCs w:val="16"/>
              </w:rPr>
              <w:t>C4.1.3.  Instalimi i softuerit anti-plagjiaturë në IAL-të publike</w:t>
            </w:r>
          </w:p>
        </w:tc>
        <w:tc>
          <w:tcPr>
            <w:tcW w:w="1067" w:type="dxa"/>
            <w:tcBorders>
              <w:top w:val="nil"/>
              <w:left w:val="single" w:sz="4" w:space="0" w:color="auto"/>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w:t>
            </w:r>
          </w:p>
        </w:tc>
        <w:tc>
          <w:tcPr>
            <w:tcW w:w="851"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60,000</w:t>
            </w:r>
          </w:p>
        </w:tc>
        <w:tc>
          <w:tcPr>
            <w:tcW w:w="992"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w:t>
            </w:r>
          </w:p>
        </w:tc>
        <w:tc>
          <w:tcPr>
            <w:tcW w:w="992" w:type="dxa"/>
            <w:gridSpan w:val="2"/>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w:t>
            </w:r>
          </w:p>
        </w:tc>
        <w:tc>
          <w:tcPr>
            <w:tcW w:w="992"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60,000</w:t>
            </w:r>
          </w:p>
        </w:tc>
        <w:tc>
          <w:tcPr>
            <w:tcW w:w="993"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60,000</w:t>
            </w:r>
          </w:p>
        </w:tc>
        <w:tc>
          <w:tcPr>
            <w:tcW w:w="992"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w:t>
            </w:r>
          </w:p>
        </w:tc>
        <w:tc>
          <w:tcPr>
            <w:tcW w:w="992"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w:t>
            </w:r>
          </w:p>
        </w:tc>
        <w:tc>
          <w:tcPr>
            <w:tcW w:w="992"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(60,000)</w:t>
            </w:r>
          </w:p>
        </w:tc>
        <w:tc>
          <w:tcPr>
            <w:tcW w:w="851"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w:t>
            </w:r>
          </w:p>
        </w:tc>
        <w:tc>
          <w:tcPr>
            <w:tcW w:w="1134"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60,000</w:t>
            </w:r>
          </w:p>
        </w:tc>
      </w:tr>
      <w:tr w:rsidR="00B951B1" w:rsidRPr="00E61612" w:rsidTr="00CB78E6">
        <w:trPr>
          <w:trHeight w:val="2040"/>
          <w:jc w:val="center"/>
        </w:trPr>
        <w:tc>
          <w:tcPr>
            <w:tcW w:w="992" w:type="dxa"/>
            <w:vMerge/>
            <w:tcBorders>
              <w:top w:val="nil"/>
              <w:left w:val="single" w:sz="4" w:space="0" w:color="auto"/>
              <w:bottom w:val="single" w:sz="4" w:space="0" w:color="auto"/>
              <w:right w:val="single" w:sz="4" w:space="0" w:color="auto"/>
            </w:tcBorders>
            <w:shd w:val="clear" w:color="auto" w:fill="FFFFFF"/>
            <w:hideMark/>
          </w:tcPr>
          <w:p w:rsidR="00B951B1" w:rsidRPr="00E61612" w:rsidRDefault="00B951B1" w:rsidP="00CB78E6">
            <w:pPr>
              <w:spacing w:after="0"/>
              <w:outlineLvl w:val="1"/>
              <w:rPr>
                <w:rFonts w:eastAsia="Times New Roman" w:cs="Calibri"/>
                <w:sz w:val="16"/>
                <w:szCs w:val="16"/>
              </w:rPr>
            </w:pPr>
          </w:p>
        </w:tc>
        <w:tc>
          <w:tcPr>
            <w:tcW w:w="993" w:type="dxa"/>
            <w:vMerge/>
            <w:tcBorders>
              <w:top w:val="nil"/>
              <w:left w:val="single" w:sz="4" w:space="0" w:color="auto"/>
              <w:bottom w:val="single" w:sz="4" w:space="0" w:color="auto"/>
              <w:right w:val="single" w:sz="4" w:space="0" w:color="auto"/>
            </w:tcBorders>
            <w:shd w:val="clear" w:color="auto" w:fill="FFFFFF"/>
            <w:hideMark/>
          </w:tcPr>
          <w:p w:rsidR="00B951B1" w:rsidRPr="00E61612" w:rsidRDefault="00B951B1" w:rsidP="00CB78E6">
            <w:pPr>
              <w:spacing w:after="0"/>
              <w:outlineLvl w:val="1"/>
              <w:rPr>
                <w:rFonts w:eastAsia="Times New Roman" w:cs="Calibri"/>
                <w:sz w:val="16"/>
                <w:szCs w:val="16"/>
              </w:rPr>
            </w:pPr>
          </w:p>
        </w:tc>
        <w:tc>
          <w:tcPr>
            <w:tcW w:w="992" w:type="dxa"/>
            <w:vMerge/>
            <w:tcBorders>
              <w:top w:val="nil"/>
              <w:left w:val="single" w:sz="4" w:space="0" w:color="auto"/>
              <w:bottom w:val="single" w:sz="4" w:space="0" w:color="000000"/>
              <w:right w:val="single" w:sz="4" w:space="0" w:color="auto"/>
            </w:tcBorders>
            <w:shd w:val="clear" w:color="auto" w:fill="FFFFFF"/>
            <w:hideMark/>
          </w:tcPr>
          <w:p w:rsidR="00B951B1" w:rsidRPr="00E61612" w:rsidRDefault="00B951B1" w:rsidP="00CB78E6">
            <w:pPr>
              <w:spacing w:after="0"/>
              <w:outlineLvl w:val="1"/>
              <w:rPr>
                <w:rFonts w:eastAsia="Times New Roman" w:cs="Calibri"/>
                <w:sz w:val="16"/>
                <w:szCs w:val="16"/>
              </w:rPr>
            </w:pPr>
          </w:p>
        </w:tc>
        <w:tc>
          <w:tcPr>
            <w:tcW w:w="1309" w:type="dxa"/>
            <w:tcBorders>
              <w:top w:val="nil"/>
              <w:left w:val="nil"/>
              <w:bottom w:val="single" w:sz="4" w:space="0" w:color="auto"/>
              <w:right w:val="single" w:sz="4" w:space="0" w:color="auto"/>
            </w:tcBorders>
            <w:shd w:val="clear" w:color="auto" w:fill="FFFFFF"/>
            <w:hideMark/>
          </w:tcPr>
          <w:p w:rsidR="00B951B1" w:rsidRPr="00E61612" w:rsidRDefault="00B951B1" w:rsidP="00CB78E6">
            <w:pPr>
              <w:spacing w:after="0"/>
              <w:outlineLvl w:val="1"/>
              <w:rPr>
                <w:rFonts w:eastAsia="Times New Roman" w:cs="Calibri"/>
                <w:sz w:val="16"/>
                <w:szCs w:val="16"/>
              </w:rPr>
            </w:pPr>
            <w:r w:rsidRPr="00E61612">
              <w:rPr>
                <w:rFonts w:eastAsia="Times New Roman" w:cs="Calibri"/>
                <w:sz w:val="16"/>
                <w:szCs w:val="16"/>
              </w:rPr>
              <w:t>C4.1.4. Ndërtimi i kapacitetit të organeve kolegjiale të IAL-ve publike për të siguruar respektimin e parimeve të integritetit akademik, transparencës dhe llogaridhënies</w:t>
            </w:r>
          </w:p>
        </w:tc>
        <w:tc>
          <w:tcPr>
            <w:tcW w:w="1067" w:type="dxa"/>
            <w:tcBorders>
              <w:top w:val="nil"/>
              <w:left w:val="single" w:sz="4" w:space="0" w:color="auto"/>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w:t>
            </w:r>
          </w:p>
        </w:tc>
        <w:tc>
          <w:tcPr>
            <w:tcW w:w="851"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2,640</w:t>
            </w:r>
          </w:p>
        </w:tc>
        <w:tc>
          <w:tcPr>
            <w:tcW w:w="992"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w:t>
            </w:r>
          </w:p>
        </w:tc>
        <w:tc>
          <w:tcPr>
            <w:tcW w:w="992" w:type="dxa"/>
            <w:gridSpan w:val="2"/>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2,640</w:t>
            </w:r>
          </w:p>
        </w:tc>
        <w:tc>
          <w:tcPr>
            <w:tcW w:w="992"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w:t>
            </w:r>
          </w:p>
        </w:tc>
        <w:tc>
          <w:tcPr>
            <w:tcW w:w="993"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2,640</w:t>
            </w:r>
          </w:p>
        </w:tc>
        <w:tc>
          <w:tcPr>
            <w:tcW w:w="992"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w:t>
            </w:r>
          </w:p>
        </w:tc>
        <w:tc>
          <w:tcPr>
            <w:tcW w:w="992"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w:t>
            </w:r>
          </w:p>
        </w:tc>
        <w:tc>
          <w:tcPr>
            <w:tcW w:w="992"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(2,640)</w:t>
            </w:r>
          </w:p>
        </w:tc>
        <w:tc>
          <w:tcPr>
            <w:tcW w:w="851"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w:t>
            </w:r>
          </w:p>
        </w:tc>
        <w:tc>
          <w:tcPr>
            <w:tcW w:w="1134"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2,640</w:t>
            </w:r>
          </w:p>
        </w:tc>
      </w:tr>
      <w:tr w:rsidR="00B951B1" w:rsidRPr="00E61612" w:rsidTr="00CB78E6">
        <w:trPr>
          <w:trHeight w:val="255"/>
          <w:jc w:val="center"/>
        </w:trPr>
        <w:tc>
          <w:tcPr>
            <w:tcW w:w="992" w:type="dxa"/>
            <w:vMerge/>
            <w:tcBorders>
              <w:top w:val="nil"/>
              <w:left w:val="single" w:sz="4" w:space="0" w:color="auto"/>
              <w:bottom w:val="single" w:sz="4" w:space="0" w:color="auto"/>
              <w:right w:val="single" w:sz="4" w:space="0" w:color="auto"/>
            </w:tcBorders>
            <w:shd w:val="clear" w:color="auto" w:fill="FFFFFF"/>
            <w:hideMark/>
          </w:tcPr>
          <w:p w:rsidR="00B951B1" w:rsidRPr="00E61612" w:rsidRDefault="00B951B1" w:rsidP="00CB78E6">
            <w:pPr>
              <w:spacing w:after="0"/>
              <w:outlineLvl w:val="0"/>
              <w:rPr>
                <w:rFonts w:eastAsia="Times New Roman" w:cs="Calibri"/>
                <w:sz w:val="16"/>
                <w:szCs w:val="16"/>
              </w:rPr>
            </w:pPr>
          </w:p>
        </w:tc>
        <w:tc>
          <w:tcPr>
            <w:tcW w:w="993" w:type="dxa"/>
            <w:vMerge/>
            <w:tcBorders>
              <w:top w:val="nil"/>
              <w:left w:val="single" w:sz="4" w:space="0" w:color="auto"/>
              <w:bottom w:val="single" w:sz="4" w:space="0" w:color="auto"/>
              <w:right w:val="single" w:sz="4" w:space="0" w:color="auto"/>
            </w:tcBorders>
            <w:shd w:val="clear" w:color="auto" w:fill="FFFFFF"/>
            <w:hideMark/>
          </w:tcPr>
          <w:p w:rsidR="00B951B1" w:rsidRPr="00E61612" w:rsidRDefault="00B951B1" w:rsidP="00CB78E6">
            <w:pPr>
              <w:spacing w:after="0"/>
              <w:outlineLvl w:val="0"/>
              <w:rPr>
                <w:rFonts w:eastAsia="Times New Roman" w:cs="Calibri"/>
                <w:sz w:val="16"/>
                <w:szCs w:val="16"/>
              </w:rPr>
            </w:pPr>
          </w:p>
        </w:tc>
        <w:tc>
          <w:tcPr>
            <w:tcW w:w="2301" w:type="dxa"/>
            <w:gridSpan w:val="2"/>
            <w:tcBorders>
              <w:top w:val="single" w:sz="4" w:space="0" w:color="auto"/>
              <w:left w:val="nil"/>
              <w:bottom w:val="single" w:sz="4" w:space="0" w:color="auto"/>
              <w:right w:val="nil"/>
            </w:tcBorders>
            <w:shd w:val="clear" w:color="auto" w:fill="FFFFFF"/>
            <w:hideMark/>
          </w:tcPr>
          <w:p w:rsidR="00B951B1" w:rsidRPr="00E61612" w:rsidRDefault="00B951B1" w:rsidP="00CB78E6">
            <w:pPr>
              <w:spacing w:after="0"/>
              <w:jc w:val="center"/>
              <w:outlineLvl w:val="0"/>
              <w:rPr>
                <w:rFonts w:eastAsia="Times New Roman" w:cs="Calibri"/>
                <w:i/>
                <w:iCs/>
                <w:sz w:val="16"/>
                <w:szCs w:val="16"/>
              </w:rPr>
            </w:pPr>
            <w:r w:rsidRPr="00E61612">
              <w:rPr>
                <w:rFonts w:eastAsia="Times New Roman" w:cs="Calibri"/>
                <w:i/>
                <w:iCs/>
                <w:sz w:val="16"/>
                <w:szCs w:val="16"/>
              </w:rPr>
              <w:t>TOTAL C4</w:t>
            </w:r>
          </w:p>
        </w:tc>
        <w:tc>
          <w:tcPr>
            <w:tcW w:w="1067" w:type="dxa"/>
            <w:tcBorders>
              <w:top w:val="nil"/>
              <w:left w:val="single" w:sz="4" w:space="0" w:color="auto"/>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0"/>
              <w:rPr>
                <w:rFonts w:eastAsia="Times New Roman" w:cs="Calibri"/>
                <w:i/>
                <w:sz w:val="16"/>
                <w:szCs w:val="16"/>
              </w:rPr>
            </w:pPr>
            <w:r w:rsidRPr="00E61612">
              <w:rPr>
                <w:rFonts w:eastAsia="Times New Roman" w:cs="Calibri"/>
                <w:i/>
                <w:sz w:val="16"/>
                <w:szCs w:val="16"/>
              </w:rPr>
              <w:t>-</w:t>
            </w:r>
          </w:p>
        </w:tc>
        <w:tc>
          <w:tcPr>
            <w:tcW w:w="851"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0"/>
              <w:rPr>
                <w:rFonts w:eastAsia="Times New Roman" w:cs="Calibri"/>
                <w:i/>
                <w:sz w:val="16"/>
                <w:szCs w:val="16"/>
              </w:rPr>
            </w:pPr>
            <w:r w:rsidRPr="00E61612">
              <w:rPr>
                <w:rFonts w:eastAsia="Times New Roman" w:cs="Calibri"/>
                <w:i/>
                <w:sz w:val="16"/>
                <w:szCs w:val="16"/>
              </w:rPr>
              <w:t>64,560</w:t>
            </w:r>
          </w:p>
        </w:tc>
        <w:tc>
          <w:tcPr>
            <w:tcW w:w="992"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0"/>
              <w:rPr>
                <w:rFonts w:eastAsia="Times New Roman" w:cs="Calibri"/>
                <w:i/>
                <w:sz w:val="16"/>
                <w:szCs w:val="16"/>
              </w:rPr>
            </w:pPr>
            <w:r w:rsidRPr="00E61612">
              <w:rPr>
                <w:rFonts w:eastAsia="Times New Roman" w:cs="Calibri"/>
                <w:i/>
                <w:sz w:val="16"/>
                <w:szCs w:val="16"/>
              </w:rPr>
              <w:t>-</w:t>
            </w:r>
          </w:p>
        </w:tc>
        <w:tc>
          <w:tcPr>
            <w:tcW w:w="992" w:type="dxa"/>
            <w:gridSpan w:val="2"/>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0"/>
              <w:rPr>
                <w:rFonts w:eastAsia="Times New Roman" w:cs="Calibri"/>
                <w:i/>
                <w:sz w:val="16"/>
                <w:szCs w:val="16"/>
              </w:rPr>
            </w:pPr>
            <w:r w:rsidRPr="00E61612">
              <w:rPr>
                <w:rFonts w:eastAsia="Times New Roman" w:cs="Calibri"/>
                <w:i/>
                <w:sz w:val="16"/>
                <w:szCs w:val="16"/>
              </w:rPr>
              <w:t>4,560</w:t>
            </w:r>
          </w:p>
        </w:tc>
        <w:tc>
          <w:tcPr>
            <w:tcW w:w="992"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0"/>
              <w:rPr>
                <w:rFonts w:eastAsia="Times New Roman" w:cs="Calibri"/>
                <w:i/>
                <w:sz w:val="16"/>
                <w:szCs w:val="16"/>
              </w:rPr>
            </w:pPr>
            <w:r w:rsidRPr="00E61612">
              <w:rPr>
                <w:rFonts w:eastAsia="Times New Roman" w:cs="Calibri"/>
                <w:i/>
                <w:sz w:val="16"/>
                <w:szCs w:val="16"/>
              </w:rPr>
              <w:t>60,000</w:t>
            </w:r>
          </w:p>
        </w:tc>
        <w:tc>
          <w:tcPr>
            <w:tcW w:w="993"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0"/>
              <w:rPr>
                <w:rFonts w:eastAsia="Times New Roman" w:cs="Calibri"/>
                <w:i/>
                <w:sz w:val="16"/>
                <w:szCs w:val="16"/>
              </w:rPr>
            </w:pPr>
            <w:r w:rsidRPr="00E61612">
              <w:rPr>
                <w:rFonts w:eastAsia="Times New Roman" w:cs="Calibri"/>
                <w:i/>
                <w:sz w:val="16"/>
                <w:szCs w:val="16"/>
              </w:rPr>
              <w:t>64,560</w:t>
            </w:r>
          </w:p>
        </w:tc>
        <w:tc>
          <w:tcPr>
            <w:tcW w:w="992"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0"/>
              <w:rPr>
                <w:rFonts w:eastAsia="Times New Roman" w:cs="Calibri"/>
                <w:i/>
                <w:sz w:val="16"/>
                <w:szCs w:val="16"/>
              </w:rPr>
            </w:pPr>
            <w:r w:rsidRPr="00E61612">
              <w:rPr>
                <w:rFonts w:eastAsia="Times New Roman" w:cs="Calibri"/>
                <w:i/>
                <w:sz w:val="16"/>
                <w:szCs w:val="16"/>
              </w:rPr>
              <w:t>-</w:t>
            </w:r>
          </w:p>
        </w:tc>
        <w:tc>
          <w:tcPr>
            <w:tcW w:w="992"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0"/>
              <w:rPr>
                <w:rFonts w:eastAsia="Times New Roman" w:cs="Calibri"/>
                <w:i/>
                <w:sz w:val="16"/>
                <w:szCs w:val="16"/>
              </w:rPr>
            </w:pPr>
            <w:r w:rsidRPr="00E61612">
              <w:rPr>
                <w:rFonts w:eastAsia="Times New Roman" w:cs="Calibri"/>
                <w:i/>
                <w:sz w:val="16"/>
                <w:szCs w:val="16"/>
              </w:rPr>
              <w:t>-</w:t>
            </w:r>
          </w:p>
        </w:tc>
        <w:tc>
          <w:tcPr>
            <w:tcW w:w="992" w:type="dxa"/>
            <w:tcBorders>
              <w:top w:val="single" w:sz="4" w:space="0" w:color="auto"/>
              <w:left w:val="single" w:sz="4" w:space="0" w:color="auto"/>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0"/>
              <w:rPr>
                <w:rFonts w:eastAsia="Times New Roman" w:cs="Calibri"/>
                <w:i/>
                <w:sz w:val="16"/>
                <w:szCs w:val="16"/>
              </w:rPr>
            </w:pPr>
            <w:r w:rsidRPr="00E61612">
              <w:rPr>
                <w:rFonts w:eastAsia="Times New Roman" w:cs="Calibri"/>
                <w:i/>
                <w:sz w:val="16"/>
                <w:szCs w:val="16"/>
              </w:rPr>
              <w:t>(64,560)</w:t>
            </w:r>
          </w:p>
        </w:tc>
        <w:tc>
          <w:tcPr>
            <w:tcW w:w="851"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0"/>
              <w:rPr>
                <w:rFonts w:eastAsia="Times New Roman" w:cs="Calibri"/>
                <w:i/>
                <w:sz w:val="16"/>
                <w:szCs w:val="16"/>
              </w:rPr>
            </w:pPr>
            <w:r w:rsidRPr="00E61612">
              <w:rPr>
                <w:rFonts w:eastAsia="Times New Roman" w:cs="Calibri"/>
                <w:i/>
                <w:sz w:val="16"/>
                <w:szCs w:val="16"/>
              </w:rPr>
              <w:t>-</w:t>
            </w:r>
          </w:p>
        </w:tc>
        <w:tc>
          <w:tcPr>
            <w:tcW w:w="1134"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0"/>
              <w:rPr>
                <w:rFonts w:eastAsia="Times New Roman" w:cs="Calibri"/>
                <w:i/>
                <w:sz w:val="16"/>
                <w:szCs w:val="16"/>
              </w:rPr>
            </w:pPr>
            <w:r w:rsidRPr="00E61612">
              <w:rPr>
                <w:rFonts w:eastAsia="Times New Roman" w:cs="Calibri"/>
                <w:i/>
                <w:sz w:val="16"/>
                <w:szCs w:val="16"/>
              </w:rPr>
              <w:t>64,560</w:t>
            </w:r>
          </w:p>
        </w:tc>
      </w:tr>
      <w:tr w:rsidR="00B951B1" w:rsidRPr="00E61612" w:rsidTr="00CB78E6">
        <w:trPr>
          <w:trHeight w:val="765"/>
          <w:jc w:val="center"/>
        </w:trPr>
        <w:tc>
          <w:tcPr>
            <w:tcW w:w="992" w:type="dxa"/>
            <w:vMerge/>
            <w:tcBorders>
              <w:top w:val="nil"/>
              <w:left w:val="single" w:sz="4" w:space="0" w:color="auto"/>
              <w:bottom w:val="single" w:sz="4" w:space="0" w:color="auto"/>
              <w:right w:val="single" w:sz="4" w:space="0" w:color="auto"/>
            </w:tcBorders>
            <w:shd w:val="clear" w:color="auto" w:fill="FFFFFF"/>
            <w:hideMark/>
          </w:tcPr>
          <w:p w:rsidR="00B951B1" w:rsidRPr="00E61612" w:rsidRDefault="00B951B1" w:rsidP="00CB78E6">
            <w:pPr>
              <w:spacing w:after="0"/>
              <w:outlineLvl w:val="1"/>
              <w:rPr>
                <w:rFonts w:eastAsia="Times New Roman" w:cs="Calibri"/>
                <w:sz w:val="16"/>
                <w:szCs w:val="16"/>
              </w:rPr>
            </w:pPr>
          </w:p>
        </w:tc>
        <w:tc>
          <w:tcPr>
            <w:tcW w:w="993" w:type="dxa"/>
            <w:vMerge w:val="restart"/>
            <w:tcBorders>
              <w:top w:val="nil"/>
              <w:left w:val="single" w:sz="4" w:space="0" w:color="auto"/>
              <w:bottom w:val="single" w:sz="4" w:space="0" w:color="auto"/>
              <w:right w:val="single" w:sz="4" w:space="0" w:color="auto"/>
            </w:tcBorders>
            <w:shd w:val="clear" w:color="auto" w:fill="FFFFFF"/>
            <w:hideMark/>
          </w:tcPr>
          <w:p w:rsidR="00B951B1" w:rsidRPr="00E61612" w:rsidRDefault="00B951B1" w:rsidP="00CB78E6">
            <w:pPr>
              <w:spacing w:after="0"/>
              <w:outlineLvl w:val="1"/>
              <w:rPr>
                <w:rFonts w:eastAsia="Times New Roman" w:cs="Calibri"/>
                <w:sz w:val="16"/>
                <w:szCs w:val="16"/>
              </w:rPr>
            </w:pPr>
            <w:r w:rsidRPr="00E61612">
              <w:rPr>
                <w:rFonts w:eastAsia="Times New Roman" w:cs="Calibri"/>
                <w:sz w:val="16"/>
                <w:szCs w:val="16"/>
              </w:rPr>
              <w:t>C5. Përmirësimi i statusit socio-ekonomik të studentëve përmes ofrimit të shërbimeve cilësore dhe formave të ndryshme të ndihmës financiare</w:t>
            </w:r>
          </w:p>
        </w:tc>
        <w:tc>
          <w:tcPr>
            <w:tcW w:w="992" w:type="dxa"/>
            <w:vMerge w:val="restart"/>
            <w:tcBorders>
              <w:top w:val="nil"/>
              <w:left w:val="single" w:sz="4" w:space="0" w:color="auto"/>
              <w:bottom w:val="single" w:sz="4" w:space="0" w:color="000000"/>
              <w:right w:val="single" w:sz="4" w:space="0" w:color="auto"/>
            </w:tcBorders>
            <w:shd w:val="clear" w:color="auto" w:fill="FFFFFF"/>
            <w:hideMark/>
          </w:tcPr>
          <w:p w:rsidR="00B951B1" w:rsidRPr="00E61612" w:rsidRDefault="00B951B1" w:rsidP="00CB78E6">
            <w:pPr>
              <w:spacing w:after="0"/>
              <w:outlineLvl w:val="1"/>
              <w:rPr>
                <w:rFonts w:eastAsia="Times New Roman" w:cs="Calibri"/>
                <w:sz w:val="16"/>
                <w:szCs w:val="16"/>
              </w:rPr>
            </w:pPr>
            <w:r w:rsidRPr="00E61612">
              <w:rPr>
                <w:rFonts w:eastAsia="Times New Roman" w:cs="Calibri"/>
                <w:sz w:val="16"/>
                <w:szCs w:val="16"/>
              </w:rPr>
              <w:t>C5.1. Pasurimi dhe përmirësimi i shërbimeve për studentë</w:t>
            </w:r>
          </w:p>
        </w:tc>
        <w:tc>
          <w:tcPr>
            <w:tcW w:w="1309" w:type="dxa"/>
            <w:tcBorders>
              <w:top w:val="nil"/>
              <w:left w:val="nil"/>
              <w:bottom w:val="single" w:sz="4" w:space="0" w:color="auto"/>
              <w:right w:val="single" w:sz="4" w:space="0" w:color="auto"/>
            </w:tcBorders>
            <w:shd w:val="clear" w:color="auto" w:fill="FFFFFF"/>
            <w:hideMark/>
          </w:tcPr>
          <w:p w:rsidR="00B951B1" w:rsidRPr="00E61612" w:rsidRDefault="00B951B1" w:rsidP="00CB78E6">
            <w:pPr>
              <w:spacing w:after="0"/>
              <w:outlineLvl w:val="1"/>
              <w:rPr>
                <w:rFonts w:eastAsia="Times New Roman" w:cs="Calibri"/>
                <w:sz w:val="16"/>
                <w:szCs w:val="16"/>
              </w:rPr>
            </w:pPr>
            <w:r w:rsidRPr="00E61612">
              <w:rPr>
                <w:rFonts w:eastAsia="Times New Roman" w:cs="Calibri"/>
                <w:sz w:val="16"/>
                <w:szCs w:val="16"/>
              </w:rPr>
              <w:t>C5.1.1. Dhënia e bursave për studentë</w:t>
            </w:r>
            <w:r>
              <w:rPr>
                <w:rFonts w:eastAsia="Times New Roman" w:cs="Calibri"/>
                <w:sz w:val="16"/>
                <w:szCs w:val="16"/>
              </w:rPr>
              <w:t>t</w:t>
            </w:r>
            <w:r w:rsidRPr="00E61612">
              <w:rPr>
                <w:rFonts w:eastAsia="Times New Roman" w:cs="Calibri"/>
                <w:sz w:val="16"/>
                <w:szCs w:val="16"/>
              </w:rPr>
              <w:t xml:space="preserve"> ekselentë dhe studentë</w:t>
            </w:r>
            <w:r>
              <w:rPr>
                <w:rFonts w:eastAsia="Times New Roman" w:cs="Calibri"/>
                <w:sz w:val="16"/>
                <w:szCs w:val="16"/>
              </w:rPr>
              <w:t>t</w:t>
            </w:r>
            <w:r w:rsidRPr="00E61612">
              <w:rPr>
                <w:rFonts w:eastAsia="Times New Roman" w:cs="Calibri"/>
                <w:sz w:val="16"/>
                <w:szCs w:val="16"/>
              </w:rPr>
              <w:t xml:space="preserve"> në nevojë</w:t>
            </w:r>
          </w:p>
        </w:tc>
        <w:tc>
          <w:tcPr>
            <w:tcW w:w="1067" w:type="dxa"/>
            <w:tcBorders>
              <w:top w:val="nil"/>
              <w:left w:val="single" w:sz="4" w:space="0" w:color="auto"/>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w:t>
            </w:r>
          </w:p>
        </w:tc>
        <w:tc>
          <w:tcPr>
            <w:tcW w:w="851"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6,600,000</w:t>
            </w:r>
          </w:p>
        </w:tc>
        <w:tc>
          <w:tcPr>
            <w:tcW w:w="992"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w:t>
            </w:r>
          </w:p>
        </w:tc>
        <w:tc>
          <w:tcPr>
            <w:tcW w:w="992" w:type="dxa"/>
            <w:gridSpan w:val="2"/>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6,600,000</w:t>
            </w:r>
          </w:p>
        </w:tc>
        <w:tc>
          <w:tcPr>
            <w:tcW w:w="992"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w:t>
            </w:r>
          </w:p>
        </w:tc>
        <w:tc>
          <w:tcPr>
            <w:tcW w:w="993"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6,600,000</w:t>
            </w:r>
          </w:p>
        </w:tc>
        <w:tc>
          <w:tcPr>
            <w:tcW w:w="992"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6,600,000</w:t>
            </w:r>
          </w:p>
        </w:tc>
        <w:tc>
          <w:tcPr>
            <w:tcW w:w="992"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w:t>
            </w:r>
          </w:p>
        </w:tc>
        <w:tc>
          <w:tcPr>
            <w:tcW w:w="992"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w:t>
            </w:r>
          </w:p>
        </w:tc>
        <w:tc>
          <w:tcPr>
            <w:tcW w:w="851"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w:t>
            </w:r>
          </w:p>
        </w:tc>
        <w:tc>
          <w:tcPr>
            <w:tcW w:w="1134"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6,600,000</w:t>
            </w:r>
          </w:p>
        </w:tc>
      </w:tr>
      <w:tr w:rsidR="00B951B1" w:rsidRPr="00E61612" w:rsidTr="00CB78E6">
        <w:trPr>
          <w:trHeight w:val="765"/>
          <w:jc w:val="center"/>
        </w:trPr>
        <w:tc>
          <w:tcPr>
            <w:tcW w:w="992" w:type="dxa"/>
            <w:vMerge/>
            <w:tcBorders>
              <w:top w:val="nil"/>
              <w:left w:val="single" w:sz="4" w:space="0" w:color="auto"/>
              <w:bottom w:val="single" w:sz="4" w:space="0" w:color="auto"/>
              <w:right w:val="single" w:sz="4" w:space="0" w:color="auto"/>
            </w:tcBorders>
            <w:shd w:val="clear" w:color="auto" w:fill="FFFFFF"/>
            <w:hideMark/>
          </w:tcPr>
          <w:p w:rsidR="00B951B1" w:rsidRPr="00E61612" w:rsidRDefault="00B951B1" w:rsidP="00CB78E6">
            <w:pPr>
              <w:spacing w:after="0"/>
              <w:outlineLvl w:val="1"/>
              <w:rPr>
                <w:rFonts w:eastAsia="Times New Roman" w:cs="Calibri"/>
                <w:sz w:val="16"/>
                <w:szCs w:val="16"/>
              </w:rPr>
            </w:pPr>
          </w:p>
        </w:tc>
        <w:tc>
          <w:tcPr>
            <w:tcW w:w="993" w:type="dxa"/>
            <w:vMerge/>
            <w:tcBorders>
              <w:top w:val="nil"/>
              <w:left w:val="single" w:sz="4" w:space="0" w:color="auto"/>
              <w:bottom w:val="single" w:sz="4" w:space="0" w:color="auto"/>
              <w:right w:val="single" w:sz="4" w:space="0" w:color="auto"/>
            </w:tcBorders>
            <w:shd w:val="clear" w:color="auto" w:fill="FFFFFF"/>
            <w:hideMark/>
          </w:tcPr>
          <w:p w:rsidR="00B951B1" w:rsidRPr="00E61612" w:rsidRDefault="00B951B1" w:rsidP="00CB78E6">
            <w:pPr>
              <w:spacing w:after="0"/>
              <w:outlineLvl w:val="1"/>
              <w:rPr>
                <w:rFonts w:eastAsia="Times New Roman" w:cs="Calibri"/>
                <w:sz w:val="16"/>
                <w:szCs w:val="16"/>
              </w:rPr>
            </w:pPr>
          </w:p>
        </w:tc>
        <w:tc>
          <w:tcPr>
            <w:tcW w:w="992" w:type="dxa"/>
            <w:vMerge/>
            <w:tcBorders>
              <w:top w:val="nil"/>
              <w:left w:val="single" w:sz="4" w:space="0" w:color="auto"/>
              <w:bottom w:val="single" w:sz="4" w:space="0" w:color="000000"/>
              <w:right w:val="single" w:sz="4" w:space="0" w:color="auto"/>
            </w:tcBorders>
            <w:shd w:val="clear" w:color="auto" w:fill="FFFFFF"/>
            <w:hideMark/>
          </w:tcPr>
          <w:p w:rsidR="00B951B1" w:rsidRPr="00E61612" w:rsidRDefault="00B951B1" w:rsidP="00CB78E6">
            <w:pPr>
              <w:spacing w:after="0"/>
              <w:outlineLvl w:val="1"/>
              <w:rPr>
                <w:rFonts w:eastAsia="Times New Roman" w:cs="Calibri"/>
                <w:sz w:val="16"/>
                <w:szCs w:val="16"/>
              </w:rPr>
            </w:pPr>
          </w:p>
        </w:tc>
        <w:tc>
          <w:tcPr>
            <w:tcW w:w="1309" w:type="dxa"/>
            <w:tcBorders>
              <w:top w:val="nil"/>
              <w:left w:val="nil"/>
              <w:bottom w:val="single" w:sz="4" w:space="0" w:color="auto"/>
              <w:right w:val="single" w:sz="4" w:space="0" w:color="auto"/>
            </w:tcBorders>
            <w:shd w:val="clear" w:color="auto" w:fill="FFFFFF"/>
            <w:hideMark/>
          </w:tcPr>
          <w:p w:rsidR="00B951B1" w:rsidRPr="00E61612" w:rsidRDefault="00B951B1" w:rsidP="00CB78E6">
            <w:pPr>
              <w:spacing w:after="0"/>
              <w:outlineLvl w:val="1"/>
              <w:rPr>
                <w:rFonts w:eastAsia="Times New Roman" w:cs="Calibri"/>
                <w:sz w:val="16"/>
                <w:szCs w:val="16"/>
              </w:rPr>
            </w:pPr>
            <w:r w:rsidRPr="00E61612">
              <w:rPr>
                <w:rFonts w:eastAsia="Times New Roman" w:cs="Calibri"/>
                <w:sz w:val="16"/>
                <w:szCs w:val="16"/>
              </w:rPr>
              <w:t>C5.1.2. Ndërmjetësim për punësimin e studentëve</w:t>
            </w:r>
          </w:p>
        </w:tc>
        <w:tc>
          <w:tcPr>
            <w:tcW w:w="1067" w:type="dxa"/>
            <w:tcBorders>
              <w:top w:val="nil"/>
              <w:left w:val="single" w:sz="4" w:space="0" w:color="auto"/>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w:t>
            </w:r>
          </w:p>
        </w:tc>
        <w:tc>
          <w:tcPr>
            <w:tcW w:w="851"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w:t>
            </w:r>
          </w:p>
        </w:tc>
        <w:tc>
          <w:tcPr>
            <w:tcW w:w="992"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w:t>
            </w:r>
          </w:p>
        </w:tc>
        <w:tc>
          <w:tcPr>
            <w:tcW w:w="992" w:type="dxa"/>
            <w:gridSpan w:val="2"/>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w:t>
            </w:r>
          </w:p>
        </w:tc>
        <w:tc>
          <w:tcPr>
            <w:tcW w:w="992"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w:t>
            </w:r>
          </w:p>
        </w:tc>
        <w:tc>
          <w:tcPr>
            <w:tcW w:w="993"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w:t>
            </w:r>
          </w:p>
        </w:tc>
        <w:tc>
          <w:tcPr>
            <w:tcW w:w="992"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w:t>
            </w:r>
          </w:p>
        </w:tc>
        <w:tc>
          <w:tcPr>
            <w:tcW w:w="992"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w:t>
            </w:r>
          </w:p>
        </w:tc>
        <w:tc>
          <w:tcPr>
            <w:tcW w:w="992"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w:t>
            </w:r>
          </w:p>
        </w:tc>
        <w:tc>
          <w:tcPr>
            <w:tcW w:w="851"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w:t>
            </w:r>
          </w:p>
        </w:tc>
        <w:tc>
          <w:tcPr>
            <w:tcW w:w="1134"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w:t>
            </w:r>
          </w:p>
        </w:tc>
      </w:tr>
      <w:tr w:rsidR="00B951B1" w:rsidRPr="00E61612" w:rsidTr="00CB78E6">
        <w:trPr>
          <w:trHeight w:val="1275"/>
          <w:jc w:val="center"/>
        </w:trPr>
        <w:tc>
          <w:tcPr>
            <w:tcW w:w="992" w:type="dxa"/>
            <w:vMerge/>
            <w:tcBorders>
              <w:top w:val="nil"/>
              <w:left w:val="single" w:sz="4" w:space="0" w:color="auto"/>
              <w:bottom w:val="single" w:sz="4" w:space="0" w:color="auto"/>
              <w:right w:val="single" w:sz="4" w:space="0" w:color="auto"/>
            </w:tcBorders>
            <w:shd w:val="clear" w:color="auto" w:fill="FFFFFF"/>
            <w:hideMark/>
          </w:tcPr>
          <w:p w:rsidR="00B951B1" w:rsidRPr="00E61612" w:rsidRDefault="00B951B1" w:rsidP="00CB78E6">
            <w:pPr>
              <w:spacing w:after="0"/>
              <w:outlineLvl w:val="1"/>
              <w:rPr>
                <w:rFonts w:eastAsia="Times New Roman" w:cs="Calibri"/>
                <w:sz w:val="16"/>
                <w:szCs w:val="16"/>
              </w:rPr>
            </w:pPr>
          </w:p>
        </w:tc>
        <w:tc>
          <w:tcPr>
            <w:tcW w:w="993" w:type="dxa"/>
            <w:vMerge/>
            <w:tcBorders>
              <w:top w:val="nil"/>
              <w:left w:val="single" w:sz="4" w:space="0" w:color="auto"/>
              <w:bottom w:val="single" w:sz="4" w:space="0" w:color="auto"/>
              <w:right w:val="single" w:sz="4" w:space="0" w:color="auto"/>
            </w:tcBorders>
            <w:shd w:val="clear" w:color="auto" w:fill="FFFFFF"/>
            <w:hideMark/>
          </w:tcPr>
          <w:p w:rsidR="00B951B1" w:rsidRPr="00E61612" w:rsidRDefault="00B951B1" w:rsidP="00CB78E6">
            <w:pPr>
              <w:spacing w:after="0"/>
              <w:outlineLvl w:val="1"/>
              <w:rPr>
                <w:rFonts w:eastAsia="Times New Roman" w:cs="Calibri"/>
                <w:sz w:val="16"/>
                <w:szCs w:val="16"/>
              </w:rPr>
            </w:pPr>
          </w:p>
        </w:tc>
        <w:tc>
          <w:tcPr>
            <w:tcW w:w="992" w:type="dxa"/>
            <w:vMerge/>
            <w:tcBorders>
              <w:top w:val="nil"/>
              <w:left w:val="single" w:sz="4" w:space="0" w:color="auto"/>
              <w:bottom w:val="single" w:sz="4" w:space="0" w:color="000000"/>
              <w:right w:val="single" w:sz="4" w:space="0" w:color="auto"/>
            </w:tcBorders>
            <w:shd w:val="clear" w:color="auto" w:fill="FFFFFF"/>
            <w:hideMark/>
          </w:tcPr>
          <w:p w:rsidR="00B951B1" w:rsidRPr="00E61612" w:rsidRDefault="00B951B1" w:rsidP="00CB78E6">
            <w:pPr>
              <w:spacing w:after="0"/>
              <w:outlineLvl w:val="1"/>
              <w:rPr>
                <w:rFonts w:eastAsia="Times New Roman" w:cs="Calibri"/>
                <w:sz w:val="16"/>
                <w:szCs w:val="16"/>
              </w:rPr>
            </w:pPr>
          </w:p>
        </w:tc>
        <w:tc>
          <w:tcPr>
            <w:tcW w:w="1309" w:type="dxa"/>
            <w:tcBorders>
              <w:top w:val="nil"/>
              <w:left w:val="nil"/>
              <w:bottom w:val="single" w:sz="4" w:space="0" w:color="auto"/>
              <w:right w:val="single" w:sz="4" w:space="0" w:color="auto"/>
            </w:tcBorders>
            <w:shd w:val="clear" w:color="auto" w:fill="FFFFFF"/>
            <w:hideMark/>
          </w:tcPr>
          <w:p w:rsidR="00B951B1" w:rsidRPr="00E61612" w:rsidRDefault="00B951B1" w:rsidP="00CB78E6">
            <w:pPr>
              <w:spacing w:after="0"/>
              <w:outlineLvl w:val="1"/>
              <w:rPr>
                <w:rFonts w:eastAsia="Times New Roman" w:cs="Calibri"/>
                <w:sz w:val="16"/>
                <w:szCs w:val="16"/>
              </w:rPr>
            </w:pPr>
            <w:r w:rsidRPr="00E61612">
              <w:rPr>
                <w:rFonts w:eastAsia="Times New Roman" w:cs="Calibri"/>
                <w:sz w:val="16"/>
                <w:szCs w:val="16"/>
              </w:rPr>
              <w:t>C5.1.3. Zgjerimi i listës së shërbimeve të favorizuara për studentë</w:t>
            </w:r>
            <w:r>
              <w:rPr>
                <w:rFonts w:eastAsia="Times New Roman" w:cs="Calibri"/>
                <w:sz w:val="16"/>
                <w:szCs w:val="16"/>
              </w:rPr>
              <w:t>t</w:t>
            </w:r>
            <w:r w:rsidRPr="00E61612">
              <w:rPr>
                <w:rFonts w:eastAsia="Times New Roman" w:cs="Calibri"/>
                <w:sz w:val="16"/>
                <w:szCs w:val="16"/>
              </w:rPr>
              <w:t xml:space="preserve"> mbi bazën e kartës </w:t>
            </w:r>
            <w:r>
              <w:rPr>
                <w:rFonts w:eastAsia="Times New Roman" w:cs="Calibri"/>
                <w:sz w:val="16"/>
                <w:szCs w:val="16"/>
              </w:rPr>
              <w:t>së studentit</w:t>
            </w:r>
          </w:p>
        </w:tc>
        <w:tc>
          <w:tcPr>
            <w:tcW w:w="1067" w:type="dxa"/>
            <w:tcBorders>
              <w:top w:val="nil"/>
              <w:left w:val="single" w:sz="4" w:space="0" w:color="auto"/>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w:t>
            </w:r>
          </w:p>
        </w:tc>
        <w:tc>
          <w:tcPr>
            <w:tcW w:w="851"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w:t>
            </w:r>
          </w:p>
        </w:tc>
        <w:tc>
          <w:tcPr>
            <w:tcW w:w="992"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w:t>
            </w:r>
          </w:p>
        </w:tc>
        <w:tc>
          <w:tcPr>
            <w:tcW w:w="992" w:type="dxa"/>
            <w:gridSpan w:val="2"/>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w:t>
            </w:r>
          </w:p>
        </w:tc>
        <w:tc>
          <w:tcPr>
            <w:tcW w:w="992"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w:t>
            </w:r>
          </w:p>
        </w:tc>
        <w:tc>
          <w:tcPr>
            <w:tcW w:w="993"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w:t>
            </w:r>
          </w:p>
        </w:tc>
        <w:tc>
          <w:tcPr>
            <w:tcW w:w="992"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w:t>
            </w:r>
          </w:p>
        </w:tc>
        <w:tc>
          <w:tcPr>
            <w:tcW w:w="992"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w:t>
            </w:r>
          </w:p>
        </w:tc>
        <w:tc>
          <w:tcPr>
            <w:tcW w:w="992"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w:t>
            </w:r>
          </w:p>
        </w:tc>
        <w:tc>
          <w:tcPr>
            <w:tcW w:w="851"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w:t>
            </w:r>
          </w:p>
        </w:tc>
        <w:tc>
          <w:tcPr>
            <w:tcW w:w="1134"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w:t>
            </w:r>
          </w:p>
        </w:tc>
      </w:tr>
      <w:tr w:rsidR="00B951B1" w:rsidRPr="00E61612" w:rsidTr="00CB78E6">
        <w:trPr>
          <w:trHeight w:val="1275"/>
          <w:jc w:val="center"/>
        </w:trPr>
        <w:tc>
          <w:tcPr>
            <w:tcW w:w="992" w:type="dxa"/>
            <w:vMerge/>
            <w:tcBorders>
              <w:top w:val="nil"/>
              <w:left w:val="single" w:sz="4" w:space="0" w:color="auto"/>
              <w:bottom w:val="single" w:sz="4" w:space="0" w:color="auto"/>
              <w:right w:val="single" w:sz="4" w:space="0" w:color="auto"/>
            </w:tcBorders>
            <w:shd w:val="clear" w:color="auto" w:fill="FFFFFF"/>
            <w:hideMark/>
          </w:tcPr>
          <w:p w:rsidR="00B951B1" w:rsidRPr="00E61612" w:rsidRDefault="00B951B1" w:rsidP="00CB78E6">
            <w:pPr>
              <w:spacing w:after="0"/>
              <w:outlineLvl w:val="1"/>
              <w:rPr>
                <w:rFonts w:eastAsia="Times New Roman" w:cs="Calibri"/>
                <w:sz w:val="16"/>
                <w:szCs w:val="16"/>
              </w:rPr>
            </w:pPr>
          </w:p>
        </w:tc>
        <w:tc>
          <w:tcPr>
            <w:tcW w:w="993" w:type="dxa"/>
            <w:vMerge/>
            <w:tcBorders>
              <w:top w:val="nil"/>
              <w:left w:val="single" w:sz="4" w:space="0" w:color="auto"/>
              <w:bottom w:val="single" w:sz="4" w:space="0" w:color="auto"/>
              <w:right w:val="single" w:sz="4" w:space="0" w:color="auto"/>
            </w:tcBorders>
            <w:shd w:val="clear" w:color="auto" w:fill="FFFFFF"/>
            <w:hideMark/>
          </w:tcPr>
          <w:p w:rsidR="00B951B1" w:rsidRPr="00E61612" w:rsidRDefault="00B951B1" w:rsidP="00CB78E6">
            <w:pPr>
              <w:spacing w:after="0"/>
              <w:outlineLvl w:val="1"/>
              <w:rPr>
                <w:rFonts w:eastAsia="Times New Roman" w:cs="Calibri"/>
                <w:sz w:val="16"/>
                <w:szCs w:val="16"/>
              </w:rPr>
            </w:pPr>
          </w:p>
        </w:tc>
        <w:tc>
          <w:tcPr>
            <w:tcW w:w="992" w:type="dxa"/>
            <w:tcBorders>
              <w:top w:val="nil"/>
              <w:left w:val="nil"/>
              <w:bottom w:val="single" w:sz="4" w:space="0" w:color="auto"/>
              <w:right w:val="single" w:sz="4" w:space="0" w:color="auto"/>
            </w:tcBorders>
            <w:shd w:val="clear" w:color="auto" w:fill="FFFFFF"/>
            <w:hideMark/>
          </w:tcPr>
          <w:p w:rsidR="00B951B1" w:rsidRPr="00E61612" w:rsidRDefault="00B951B1" w:rsidP="00CB78E6">
            <w:pPr>
              <w:spacing w:after="0"/>
              <w:outlineLvl w:val="1"/>
              <w:rPr>
                <w:rFonts w:eastAsia="Times New Roman" w:cs="Calibri"/>
                <w:sz w:val="16"/>
                <w:szCs w:val="16"/>
              </w:rPr>
            </w:pPr>
            <w:r w:rsidRPr="00E61612">
              <w:rPr>
                <w:rFonts w:eastAsia="Times New Roman" w:cs="Calibri"/>
                <w:sz w:val="16"/>
                <w:szCs w:val="16"/>
              </w:rPr>
              <w:t>C5.2. Mbështetja e studentëve për përmirësimin e arritjeve akademike</w:t>
            </w:r>
          </w:p>
        </w:tc>
        <w:tc>
          <w:tcPr>
            <w:tcW w:w="1309" w:type="dxa"/>
            <w:tcBorders>
              <w:top w:val="nil"/>
              <w:left w:val="nil"/>
              <w:bottom w:val="single" w:sz="4" w:space="0" w:color="auto"/>
              <w:right w:val="single" w:sz="4" w:space="0" w:color="auto"/>
            </w:tcBorders>
            <w:shd w:val="clear" w:color="auto" w:fill="FFFFFF"/>
            <w:hideMark/>
          </w:tcPr>
          <w:p w:rsidR="00B951B1" w:rsidRPr="00E61612" w:rsidRDefault="00B951B1" w:rsidP="00CB78E6">
            <w:pPr>
              <w:spacing w:after="0"/>
              <w:outlineLvl w:val="1"/>
              <w:rPr>
                <w:rFonts w:eastAsia="Times New Roman" w:cs="Calibri"/>
                <w:sz w:val="16"/>
                <w:szCs w:val="16"/>
              </w:rPr>
            </w:pPr>
            <w:r w:rsidRPr="00E61612">
              <w:rPr>
                <w:rFonts w:eastAsia="Times New Roman" w:cs="Calibri"/>
                <w:sz w:val="16"/>
                <w:szCs w:val="16"/>
              </w:rPr>
              <w:t>C5.2.1. Tutorimi/mentorimi i studentëve në të gjitha IAL-të</w:t>
            </w:r>
          </w:p>
        </w:tc>
        <w:tc>
          <w:tcPr>
            <w:tcW w:w="1067" w:type="dxa"/>
            <w:tcBorders>
              <w:top w:val="nil"/>
              <w:left w:val="single" w:sz="4" w:space="0" w:color="auto"/>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w:t>
            </w:r>
          </w:p>
        </w:tc>
        <w:tc>
          <w:tcPr>
            <w:tcW w:w="851"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1,020</w:t>
            </w:r>
          </w:p>
        </w:tc>
        <w:tc>
          <w:tcPr>
            <w:tcW w:w="992"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w:t>
            </w:r>
          </w:p>
        </w:tc>
        <w:tc>
          <w:tcPr>
            <w:tcW w:w="992" w:type="dxa"/>
            <w:gridSpan w:val="2"/>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1,020</w:t>
            </w:r>
          </w:p>
        </w:tc>
        <w:tc>
          <w:tcPr>
            <w:tcW w:w="992"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w:t>
            </w:r>
          </w:p>
        </w:tc>
        <w:tc>
          <w:tcPr>
            <w:tcW w:w="993"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1,020</w:t>
            </w:r>
          </w:p>
        </w:tc>
        <w:tc>
          <w:tcPr>
            <w:tcW w:w="992"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w:t>
            </w:r>
          </w:p>
        </w:tc>
        <w:tc>
          <w:tcPr>
            <w:tcW w:w="992"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w:t>
            </w:r>
          </w:p>
        </w:tc>
        <w:tc>
          <w:tcPr>
            <w:tcW w:w="992"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(1,020)</w:t>
            </w:r>
          </w:p>
        </w:tc>
        <w:tc>
          <w:tcPr>
            <w:tcW w:w="851"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w:t>
            </w:r>
          </w:p>
        </w:tc>
        <w:tc>
          <w:tcPr>
            <w:tcW w:w="1134"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1,020</w:t>
            </w:r>
          </w:p>
        </w:tc>
      </w:tr>
      <w:tr w:rsidR="00B951B1" w:rsidRPr="00E61612" w:rsidTr="00CB78E6">
        <w:trPr>
          <w:trHeight w:val="255"/>
          <w:jc w:val="center"/>
        </w:trPr>
        <w:tc>
          <w:tcPr>
            <w:tcW w:w="992" w:type="dxa"/>
            <w:vMerge/>
            <w:tcBorders>
              <w:top w:val="nil"/>
              <w:left w:val="single" w:sz="4" w:space="0" w:color="auto"/>
              <w:bottom w:val="single" w:sz="4" w:space="0" w:color="auto"/>
              <w:right w:val="single" w:sz="4" w:space="0" w:color="auto"/>
            </w:tcBorders>
            <w:shd w:val="clear" w:color="auto" w:fill="FFFFFF"/>
            <w:hideMark/>
          </w:tcPr>
          <w:p w:rsidR="00B951B1" w:rsidRPr="00E61612" w:rsidRDefault="00B951B1" w:rsidP="00CB78E6">
            <w:pPr>
              <w:spacing w:after="0"/>
              <w:outlineLvl w:val="0"/>
              <w:rPr>
                <w:rFonts w:eastAsia="Times New Roman" w:cs="Calibri"/>
                <w:sz w:val="16"/>
                <w:szCs w:val="16"/>
              </w:rPr>
            </w:pPr>
          </w:p>
        </w:tc>
        <w:tc>
          <w:tcPr>
            <w:tcW w:w="993" w:type="dxa"/>
            <w:vMerge/>
            <w:tcBorders>
              <w:top w:val="nil"/>
              <w:left w:val="single" w:sz="4" w:space="0" w:color="auto"/>
              <w:bottom w:val="single" w:sz="4" w:space="0" w:color="auto"/>
              <w:right w:val="single" w:sz="4" w:space="0" w:color="auto"/>
            </w:tcBorders>
            <w:shd w:val="clear" w:color="auto" w:fill="FFFFFF"/>
            <w:hideMark/>
          </w:tcPr>
          <w:p w:rsidR="00B951B1" w:rsidRPr="00E61612" w:rsidRDefault="00B951B1" w:rsidP="00CB78E6">
            <w:pPr>
              <w:spacing w:after="0"/>
              <w:outlineLvl w:val="0"/>
              <w:rPr>
                <w:rFonts w:eastAsia="Times New Roman" w:cs="Calibri"/>
                <w:sz w:val="16"/>
                <w:szCs w:val="16"/>
              </w:rPr>
            </w:pPr>
          </w:p>
        </w:tc>
        <w:tc>
          <w:tcPr>
            <w:tcW w:w="2301" w:type="dxa"/>
            <w:gridSpan w:val="2"/>
            <w:tcBorders>
              <w:top w:val="single" w:sz="4" w:space="0" w:color="auto"/>
              <w:left w:val="nil"/>
              <w:bottom w:val="single" w:sz="4" w:space="0" w:color="auto"/>
              <w:right w:val="nil"/>
            </w:tcBorders>
            <w:shd w:val="clear" w:color="auto" w:fill="FFFFFF"/>
            <w:hideMark/>
          </w:tcPr>
          <w:p w:rsidR="00B951B1" w:rsidRPr="00E61612" w:rsidRDefault="00B951B1" w:rsidP="00CB78E6">
            <w:pPr>
              <w:spacing w:after="0"/>
              <w:jc w:val="center"/>
              <w:outlineLvl w:val="0"/>
              <w:rPr>
                <w:rFonts w:eastAsia="Times New Roman" w:cs="Calibri"/>
                <w:i/>
                <w:iCs/>
                <w:sz w:val="16"/>
                <w:szCs w:val="16"/>
              </w:rPr>
            </w:pPr>
            <w:r w:rsidRPr="00E61612">
              <w:rPr>
                <w:rFonts w:eastAsia="Times New Roman" w:cs="Calibri"/>
                <w:i/>
                <w:iCs/>
                <w:sz w:val="16"/>
                <w:szCs w:val="16"/>
              </w:rPr>
              <w:t>TOTAL C5</w:t>
            </w:r>
          </w:p>
        </w:tc>
        <w:tc>
          <w:tcPr>
            <w:tcW w:w="1067" w:type="dxa"/>
            <w:tcBorders>
              <w:top w:val="nil"/>
              <w:left w:val="single" w:sz="4" w:space="0" w:color="auto"/>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0"/>
              <w:rPr>
                <w:rFonts w:eastAsia="Times New Roman" w:cs="Calibri"/>
                <w:i/>
                <w:sz w:val="16"/>
                <w:szCs w:val="16"/>
              </w:rPr>
            </w:pPr>
            <w:r w:rsidRPr="00E61612">
              <w:rPr>
                <w:rFonts w:eastAsia="Times New Roman" w:cs="Calibri"/>
                <w:i/>
                <w:sz w:val="16"/>
                <w:szCs w:val="16"/>
              </w:rPr>
              <w:t>-</w:t>
            </w:r>
          </w:p>
        </w:tc>
        <w:tc>
          <w:tcPr>
            <w:tcW w:w="851"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0"/>
              <w:rPr>
                <w:rFonts w:eastAsia="Times New Roman" w:cs="Calibri"/>
                <w:i/>
                <w:sz w:val="16"/>
                <w:szCs w:val="16"/>
              </w:rPr>
            </w:pPr>
            <w:r w:rsidRPr="00E61612">
              <w:rPr>
                <w:rFonts w:eastAsia="Times New Roman" w:cs="Calibri"/>
                <w:i/>
                <w:sz w:val="16"/>
                <w:szCs w:val="16"/>
              </w:rPr>
              <w:t>6,601,020</w:t>
            </w:r>
          </w:p>
        </w:tc>
        <w:tc>
          <w:tcPr>
            <w:tcW w:w="992"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0"/>
              <w:rPr>
                <w:rFonts w:eastAsia="Times New Roman" w:cs="Calibri"/>
                <w:i/>
                <w:sz w:val="16"/>
                <w:szCs w:val="16"/>
              </w:rPr>
            </w:pPr>
            <w:r w:rsidRPr="00E61612">
              <w:rPr>
                <w:rFonts w:eastAsia="Times New Roman" w:cs="Calibri"/>
                <w:i/>
                <w:sz w:val="16"/>
                <w:szCs w:val="16"/>
              </w:rPr>
              <w:t>-</w:t>
            </w:r>
          </w:p>
        </w:tc>
        <w:tc>
          <w:tcPr>
            <w:tcW w:w="992" w:type="dxa"/>
            <w:gridSpan w:val="2"/>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0"/>
              <w:rPr>
                <w:rFonts w:eastAsia="Times New Roman" w:cs="Calibri"/>
                <w:i/>
                <w:sz w:val="16"/>
                <w:szCs w:val="16"/>
              </w:rPr>
            </w:pPr>
            <w:r w:rsidRPr="00E61612">
              <w:rPr>
                <w:rFonts w:eastAsia="Times New Roman" w:cs="Calibri"/>
                <w:i/>
                <w:sz w:val="16"/>
                <w:szCs w:val="16"/>
              </w:rPr>
              <w:t>6,601,020</w:t>
            </w:r>
          </w:p>
        </w:tc>
        <w:tc>
          <w:tcPr>
            <w:tcW w:w="992"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0"/>
              <w:rPr>
                <w:rFonts w:eastAsia="Times New Roman" w:cs="Calibri"/>
                <w:i/>
                <w:sz w:val="16"/>
                <w:szCs w:val="16"/>
              </w:rPr>
            </w:pPr>
            <w:r w:rsidRPr="00E61612">
              <w:rPr>
                <w:rFonts w:eastAsia="Times New Roman" w:cs="Calibri"/>
                <w:i/>
                <w:sz w:val="16"/>
                <w:szCs w:val="16"/>
              </w:rPr>
              <w:t>-</w:t>
            </w:r>
          </w:p>
        </w:tc>
        <w:tc>
          <w:tcPr>
            <w:tcW w:w="993"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0"/>
              <w:rPr>
                <w:rFonts w:eastAsia="Times New Roman" w:cs="Calibri"/>
                <w:i/>
                <w:sz w:val="16"/>
                <w:szCs w:val="16"/>
              </w:rPr>
            </w:pPr>
            <w:r w:rsidRPr="00E61612">
              <w:rPr>
                <w:rFonts w:eastAsia="Times New Roman" w:cs="Calibri"/>
                <w:i/>
                <w:sz w:val="16"/>
                <w:szCs w:val="16"/>
              </w:rPr>
              <w:t>6,601,020</w:t>
            </w:r>
          </w:p>
        </w:tc>
        <w:tc>
          <w:tcPr>
            <w:tcW w:w="992"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0"/>
              <w:rPr>
                <w:rFonts w:eastAsia="Times New Roman" w:cs="Calibri"/>
                <w:i/>
                <w:sz w:val="16"/>
                <w:szCs w:val="16"/>
              </w:rPr>
            </w:pPr>
            <w:r w:rsidRPr="00E61612">
              <w:rPr>
                <w:rFonts w:eastAsia="Times New Roman" w:cs="Calibri"/>
                <w:i/>
                <w:sz w:val="16"/>
                <w:szCs w:val="16"/>
              </w:rPr>
              <w:t>6,600,000</w:t>
            </w:r>
          </w:p>
        </w:tc>
        <w:tc>
          <w:tcPr>
            <w:tcW w:w="992"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0"/>
              <w:rPr>
                <w:rFonts w:eastAsia="Times New Roman" w:cs="Calibri"/>
                <w:i/>
                <w:sz w:val="16"/>
                <w:szCs w:val="16"/>
              </w:rPr>
            </w:pPr>
            <w:r w:rsidRPr="00E61612">
              <w:rPr>
                <w:rFonts w:eastAsia="Times New Roman" w:cs="Calibri"/>
                <w:i/>
                <w:sz w:val="16"/>
                <w:szCs w:val="16"/>
              </w:rPr>
              <w:t>-</w:t>
            </w:r>
          </w:p>
        </w:tc>
        <w:tc>
          <w:tcPr>
            <w:tcW w:w="992" w:type="dxa"/>
            <w:tcBorders>
              <w:top w:val="single" w:sz="4" w:space="0" w:color="auto"/>
              <w:left w:val="single" w:sz="4" w:space="0" w:color="auto"/>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0"/>
              <w:rPr>
                <w:rFonts w:eastAsia="Times New Roman" w:cs="Calibri"/>
                <w:i/>
                <w:sz w:val="16"/>
                <w:szCs w:val="16"/>
              </w:rPr>
            </w:pPr>
            <w:r w:rsidRPr="00E61612">
              <w:rPr>
                <w:rFonts w:eastAsia="Times New Roman" w:cs="Calibri"/>
                <w:i/>
                <w:sz w:val="16"/>
                <w:szCs w:val="16"/>
              </w:rPr>
              <w:t>(1,020)</w:t>
            </w:r>
          </w:p>
        </w:tc>
        <w:tc>
          <w:tcPr>
            <w:tcW w:w="851"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0"/>
              <w:rPr>
                <w:rFonts w:eastAsia="Times New Roman" w:cs="Calibri"/>
                <w:i/>
                <w:sz w:val="16"/>
                <w:szCs w:val="16"/>
              </w:rPr>
            </w:pPr>
            <w:r w:rsidRPr="00E61612">
              <w:rPr>
                <w:rFonts w:eastAsia="Times New Roman" w:cs="Calibri"/>
                <w:i/>
                <w:sz w:val="16"/>
                <w:szCs w:val="16"/>
              </w:rPr>
              <w:t>-</w:t>
            </w:r>
          </w:p>
        </w:tc>
        <w:tc>
          <w:tcPr>
            <w:tcW w:w="1134"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0"/>
              <w:rPr>
                <w:rFonts w:eastAsia="Times New Roman" w:cs="Calibri"/>
                <w:i/>
                <w:sz w:val="16"/>
                <w:szCs w:val="16"/>
              </w:rPr>
            </w:pPr>
            <w:r w:rsidRPr="00E61612">
              <w:rPr>
                <w:rFonts w:eastAsia="Times New Roman" w:cs="Calibri"/>
                <w:i/>
                <w:sz w:val="16"/>
                <w:szCs w:val="16"/>
              </w:rPr>
              <w:t>6,601,020</w:t>
            </w:r>
          </w:p>
        </w:tc>
      </w:tr>
      <w:tr w:rsidR="00B951B1" w:rsidRPr="00E61612" w:rsidTr="00CB78E6">
        <w:trPr>
          <w:trHeight w:val="2550"/>
          <w:jc w:val="center"/>
        </w:trPr>
        <w:tc>
          <w:tcPr>
            <w:tcW w:w="992" w:type="dxa"/>
            <w:vMerge/>
            <w:tcBorders>
              <w:top w:val="nil"/>
              <w:left w:val="single" w:sz="4" w:space="0" w:color="auto"/>
              <w:bottom w:val="single" w:sz="4" w:space="0" w:color="auto"/>
              <w:right w:val="single" w:sz="4" w:space="0" w:color="auto"/>
            </w:tcBorders>
            <w:shd w:val="clear" w:color="auto" w:fill="FFFFFF"/>
            <w:hideMark/>
          </w:tcPr>
          <w:p w:rsidR="00B951B1" w:rsidRPr="00E61612" w:rsidRDefault="00B951B1" w:rsidP="00CB78E6">
            <w:pPr>
              <w:spacing w:after="0"/>
              <w:outlineLvl w:val="1"/>
              <w:rPr>
                <w:rFonts w:eastAsia="Times New Roman" w:cs="Calibri"/>
                <w:sz w:val="16"/>
                <w:szCs w:val="16"/>
              </w:rPr>
            </w:pPr>
          </w:p>
        </w:tc>
        <w:tc>
          <w:tcPr>
            <w:tcW w:w="993" w:type="dxa"/>
            <w:vMerge w:val="restart"/>
            <w:tcBorders>
              <w:top w:val="nil"/>
              <w:left w:val="single" w:sz="4" w:space="0" w:color="auto"/>
              <w:bottom w:val="single" w:sz="4" w:space="0" w:color="auto"/>
              <w:right w:val="single" w:sz="4" w:space="0" w:color="auto"/>
            </w:tcBorders>
            <w:shd w:val="clear" w:color="auto" w:fill="FFFFFF"/>
            <w:hideMark/>
          </w:tcPr>
          <w:p w:rsidR="00B951B1" w:rsidRPr="00E61612" w:rsidRDefault="00B951B1" w:rsidP="00CB78E6">
            <w:pPr>
              <w:spacing w:after="0"/>
              <w:outlineLvl w:val="1"/>
              <w:rPr>
                <w:rFonts w:eastAsia="Times New Roman" w:cs="Calibri"/>
                <w:sz w:val="16"/>
                <w:szCs w:val="16"/>
              </w:rPr>
            </w:pPr>
            <w:r w:rsidRPr="00E61612">
              <w:rPr>
                <w:rFonts w:eastAsia="Times New Roman" w:cs="Calibri"/>
                <w:sz w:val="16"/>
                <w:szCs w:val="16"/>
              </w:rPr>
              <w:t>C6. Ndërkombëtarizimi i arsimit të lartë në Shqipëri dhe integrimi në Zonën Evropiane të Arsimit të Lartë (EHEA)</w:t>
            </w:r>
          </w:p>
        </w:tc>
        <w:tc>
          <w:tcPr>
            <w:tcW w:w="992" w:type="dxa"/>
            <w:tcBorders>
              <w:top w:val="nil"/>
              <w:left w:val="nil"/>
              <w:bottom w:val="single" w:sz="4" w:space="0" w:color="auto"/>
              <w:right w:val="single" w:sz="4" w:space="0" w:color="auto"/>
            </w:tcBorders>
            <w:shd w:val="clear" w:color="auto" w:fill="FFFFFF"/>
            <w:hideMark/>
          </w:tcPr>
          <w:p w:rsidR="00B951B1" w:rsidRPr="00E61612" w:rsidRDefault="00B951B1" w:rsidP="00CB78E6">
            <w:pPr>
              <w:spacing w:after="0"/>
              <w:outlineLvl w:val="1"/>
              <w:rPr>
                <w:rFonts w:eastAsia="Times New Roman" w:cs="Calibri"/>
                <w:sz w:val="16"/>
                <w:szCs w:val="16"/>
              </w:rPr>
            </w:pPr>
            <w:r w:rsidRPr="00E61612">
              <w:rPr>
                <w:rFonts w:eastAsia="Times New Roman" w:cs="Calibri"/>
                <w:sz w:val="16"/>
                <w:szCs w:val="16"/>
              </w:rPr>
              <w:t>C6.1. Nxitja e IAL-ve për të hapur programe studimi</w:t>
            </w:r>
            <w:r>
              <w:rPr>
                <w:rFonts w:eastAsia="Times New Roman" w:cs="Calibri"/>
                <w:sz w:val="16"/>
                <w:szCs w:val="16"/>
              </w:rPr>
              <w:t xml:space="preserve"> </w:t>
            </w:r>
            <w:r w:rsidRPr="00E61612">
              <w:rPr>
                <w:rFonts w:eastAsia="Times New Roman" w:cs="Calibri"/>
                <w:sz w:val="16"/>
                <w:szCs w:val="16"/>
              </w:rPr>
              <w:t>të përbashkëta me IAL-të evropiane ose programe në gjuhën angleze</w:t>
            </w:r>
          </w:p>
        </w:tc>
        <w:tc>
          <w:tcPr>
            <w:tcW w:w="1309" w:type="dxa"/>
            <w:tcBorders>
              <w:top w:val="nil"/>
              <w:left w:val="nil"/>
              <w:bottom w:val="single" w:sz="4" w:space="0" w:color="auto"/>
              <w:right w:val="single" w:sz="4" w:space="0" w:color="auto"/>
            </w:tcBorders>
            <w:shd w:val="clear" w:color="auto" w:fill="FFFFFF"/>
            <w:hideMark/>
          </w:tcPr>
          <w:p w:rsidR="00B951B1" w:rsidRPr="00E61612" w:rsidRDefault="00B951B1" w:rsidP="00CB78E6">
            <w:pPr>
              <w:spacing w:after="0"/>
              <w:outlineLvl w:val="1"/>
              <w:rPr>
                <w:rFonts w:eastAsia="Times New Roman" w:cs="Calibri"/>
                <w:sz w:val="16"/>
                <w:szCs w:val="16"/>
              </w:rPr>
            </w:pPr>
            <w:r w:rsidRPr="00E61612">
              <w:rPr>
                <w:rFonts w:eastAsia="Times New Roman" w:cs="Calibri"/>
                <w:sz w:val="16"/>
                <w:szCs w:val="16"/>
              </w:rPr>
              <w:t>C6.1.1/2.1. Fondi për bashkëfinancimin e projekteve ndërkombëtare të bashkëpunimit akademik, përfshirë programet studimore të përbashkëta të IAL-ve shqiptare me IAL  e huaja</w:t>
            </w:r>
          </w:p>
        </w:tc>
        <w:tc>
          <w:tcPr>
            <w:tcW w:w="1067" w:type="dxa"/>
            <w:tcBorders>
              <w:top w:val="nil"/>
              <w:left w:val="single" w:sz="4" w:space="0" w:color="auto"/>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w:t>
            </w:r>
          </w:p>
        </w:tc>
        <w:tc>
          <w:tcPr>
            <w:tcW w:w="851"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105,000</w:t>
            </w:r>
          </w:p>
        </w:tc>
        <w:tc>
          <w:tcPr>
            <w:tcW w:w="992"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w:t>
            </w:r>
          </w:p>
        </w:tc>
        <w:tc>
          <w:tcPr>
            <w:tcW w:w="992" w:type="dxa"/>
            <w:gridSpan w:val="2"/>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105,000</w:t>
            </w:r>
          </w:p>
        </w:tc>
        <w:tc>
          <w:tcPr>
            <w:tcW w:w="992"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w:t>
            </w:r>
          </w:p>
        </w:tc>
        <w:tc>
          <w:tcPr>
            <w:tcW w:w="993"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105,000</w:t>
            </w:r>
          </w:p>
        </w:tc>
        <w:tc>
          <w:tcPr>
            <w:tcW w:w="992"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90,000</w:t>
            </w:r>
          </w:p>
        </w:tc>
        <w:tc>
          <w:tcPr>
            <w:tcW w:w="992"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w:t>
            </w:r>
          </w:p>
        </w:tc>
        <w:tc>
          <w:tcPr>
            <w:tcW w:w="992"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(15,000)</w:t>
            </w:r>
          </w:p>
        </w:tc>
        <w:tc>
          <w:tcPr>
            <w:tcW w:w="851"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w:t>
            </w:r>
          </w:p>
        </w:tc>
        <w:tc>
          <w:tcPr>
            <w:tcW w:w="1134"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105,000</w:t>
            </w:r>
          </w:p>
        </w:tc>
      </w:tr>
      <w:tr w:rsidR="00B951B1" w:rsidRPr="00E61612" w:rsidTr="00CB78E6">
        <w:trPr>
          <w:trHeight w:val="1530"/>
          <w:jc w:val="center"/>
        </w:trPr>
        <w:tc>
          <w:tcPr>
            <w:tcW w:w="992" w:type="dxa"/>
            <w:vMerge/>
            <w:tcBorders>
              <w:top w:val="nil"/>
              <w:left w:val="single" w:sz="4" w:space="0" w:color="auto"/>
              <w:bottom w:val="single" w:sz="4" w:space="0" w:color="auto"/>
              <w:right w:val="single" w:sz="4" w:space="0" w:color="auto"/>
            </w:tcBorders>
            <w:shd w:val="clear" w:color="auto" w:fill="FFFFFF"/>
            <w:hideMark/>
          </w:tcPr>
          <w:p w:rsidR="00B951B1" w:rsidRPr="00E61612" w:rsidRDefault="00B951B1" w:rsidP="00CB78E6">
            <w:pPr>
              <w:spacing w:after="0"/>
              <w:outlineLvl w:val="1"/>
              <w:rPr>
                <w:rFonts w:eastAsia="Times New Roman" w:cs="Calibri"/>
                <w:sz w:val="16"/>
                <w:szCs w:val="16"/>
              </w:rPr>
            </w:pPr>
          </w:p>
        </w:tc>
        <w:tc>
          <w:tcPr>
            <w:tcW w:w="993" w:type="dxa"/>
            <w:vMerge/>
            <w:tcBorders>
              <w:top w:val="nil"/>
              <w:left w:val="single" w:sz="4" w:space="0" w:color="auto"/>
              <w:bottom w:val="single" w:sz="4" w:space="0" w:color="auto"/>
              <w:right w:val="single" w:sz="4" w:space="0" w:color="auto"/>
            </w:tcBorders>
            <w:shd w:val="clear" w:color="auto" w:fill="FFFFFF"/>
            <w:hideMark/>
          </w:tcPr>
          <w:p w:rsidR="00B951B1" w:rsidRPr="00E61612" w:rsidRDefault="00B951B1" w:rsidP="00CB78E6">
            <w:pPr>
              <w:spacing w:after="0"/>
              <w:outlineLvl w:val="1"/>
              <w:rPr>
                <w:rFonts w:eastAsia="Times New Roman" w:cs="Calibri"/>
                <w:sz w:val="16"/>
                <w:szCs w:val="16"/>
              </w:rPr>
            </w:pPr>
          </w:p>
        </w:tc>
        <w:tc>
          <w:tcPr>
            <w:tcW w:w="992" w:type="dxa"/>
            <w:tcBorders>
              <w:top w:val="nil"/>
              <w:left w:val="nil"/>
              <w:bottom w:val="single" w:sz="4" w:space="0" w:color="auto"/>
              <w:right w:val="single" w:sz="4" w:space="0" w:color="auto"/>
            </w:tcBorders>
            <w:shd w:val="clear" w:color="auto" w:fill="FFFFFF"/>
            <w:hideMark/>
          </w:tcPr>
          <w:p w:rsidR="00B951B1" w:rsidRPr="00E61612" w:rsidRDefault="00B951B1" w:rsidP="00CB78E6">
            <w:pPr>
              <w:spacing w:after="0"/>
              <w:outlineLvl w:val="1"/>
              <w:rPr>
                <w:rFonts w:eastAsia="Times New Roman" w:cs="Calibri"/>
                <w:sz w:val="16"/>
                <w:szCs w:val="16"/>
              </w:rPr>
            </w:pPr>
            <w:r w:rsidRPr="00E61612">
              <w:rPr>
                <w:rFonts w:eastAsia="Times New Roman" w:cs="Calibri"/>
                <w:sz w:val="16"/>
                <w:szCs w:val="16"/>
              </w:rPr>
              <w:t>C6.2. Nxitja e IAL-ve për pjesëmarrje në projekte ndërkombëtare të bashkëpuni</w:t>
            </w:r>
            <w:r w:rsidRPr="00E61612">
              <w:rPr>
                <w:rFonts w:eastAsia="Times New Roman" w:cs="Calibri"/>
                <w:sz w:val="16"/>
                <w:szCs w:val="16"/>
              </w:rPr>
              <w:lastRenderedPageBreak/>
              <w:t>mit akademik</w:t>
            </w:r>
          </w:p>
        </w:tc>
        <w:tc>
          <w:tcPr>
            <w:tcW w:w="1309" w:type="dxa"/>
            <w:tcBorders>
              <w:top w:val="nil"/>
              <w:left w:val="nil"/>
              <w:bottom w:val="single" w:sz="4" w:space="0" w:color="auto"/>
              <w:right w:val="single" w:sz="4" w:space="0" w:color="auto"/>
            </w:tcBorders>
            <w:shd w:val="clear" w:color="auto" w:fill="FFFFFF"/>
            <w:hideMark/>
          </w:tcPr>
          <w:p w:rsidR="00B951B1" w:rsidRPr="00E61612" w:rsidRDefault="00B951B1" w:rsidP="00CB78E6">
            <w:pPr>
              <w:spacing w:after="0"/>
              <w:outlineLvl w:val="1"/>
              <w:rPr>
                <w:rFonts w:eastAsia="Times New Roman" w:cs="Calibri"/>
                <w:sz w:val="16"/>
                <w:szCs w:val="16"/>
              </w:rPr>
            </w:pPr>
            <w:r w:rsidRPr="00E61612">
              <w:rPr>
                <w:rFonts w:eastAsia="Times New Roman" w:cs="Calibri"/>
                <w:sz w:val="16"/>
                <w:szCs w:val="16"/>
              </w:rPr>
              <w:lastRenderedPageBreak/>
              <w:t>C6.1.2/2.2. Ngritja e zyrave t</w:t>
            </w:r>
            <w:r>
              <w:rPr>
                <w:rFonts w:eastAsia="Times New Roman" w:cs="Calibri"/>
                <w:sz w:val="16"/>
                <w:szCs w:val="16"/>
              </w:rPr>
              <w:t>ë</w:t>
            </w:r>
            <w:r w:rsidRPr="00E61612">
              <w:rPr>
                <w:rFonts w:eastAsia="Times New Roman" w:cs="Calibri"/>
                <w:sz w:val="16"/>
                <w:szCs w:val="16"/>
              </w:rPr>
              <w:t xml:space="preserve"> projekteve n</w:t>
            </w:r>
            <w:r>
              <w:rPr>
                <w:rFonts w:eastAsia="Times New Roman" w:cs="Calibri"/>
                <w:sz w:val="16"/>
                <w:szCs w:val="16"/>
              </w:rPr>
              <w:t>ë</w:t>
            </w:r>
            <w:r w:rsidRPr="00E61612">
              <w:rPr>
                <w:rFonts w:eastAsia="Times New Roman" w:cs="Calibri"/>
                <w:sz w:val="16"/>
                <w:szCs w:val="16"/>
              </w:rPr>
              <w:t xml:space="preserve"> IAL-të publike</w:t>
            </w:r>
          </w:p>
        </w:tc>
        <w:tc>
          <w:tcPr>
            <w:tcW w:w="1067" w:type="dxa"/>
            <w:tcBorders>
              <w:top w:val="nil"/>
              <w:left w:val="single" w:sz="4" w:space="0" w:color="auto"/>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w:t>
            </w:r>
          </w:p>
        </w:tc>
        <w:tc>
          <w:tcPr>
            <w:tcW w:w="851"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720</w:t>
            </w:r>
          </w:p>
        </w:tc>
        <w:tc>
          <w:tcPr>
            <w:tcW w:w="992"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w:t>
            </w:r>
          </w:p>
        </w:tc>
        <w:tc>
          <w:tcPr>
            <w:tcW w:w="992" w:type="dxa"/>
            <w:gridSpan w:val="2"/>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720</w:t>
            </w:r>
          </w:p>
        </w:tc>
        <w:tc>
          <w:tcPr>
            <w:tcW w:w="992"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w:t>
            </w:r>
          </w:p>
        </w:tc>
        <w:tc>
          <w:tcPr>
            <w:tcW w:w="993"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720</w:t>
            </w:r>
          </w:p>
        </w:tc>
        <w:tc>
          <w:tcPr>
            <w:tcW w:w="992"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w:t>
            </w:r>
          </w:p>
        </w:tc>
        <w:tc>
          <w:tcPr>
            <w:tcW w:w="992"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w:t>
            </w:r>
          </w:p>
        </w:tc>
        <w:tc>
          <w:tcPr>
            <w:tcW w:w="992"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(720)</w:t>
            </w:r>
          </w:p>
        </w:tc>
        <w:tc>
          <w:tcPr>
            <w:tcW w:w="851"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w:t>
            </w:r>
          </w:p>
        </w:tc>
        <w:tc>
          <w:tcPr>
            <w:tcW w:w="1134"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720</w:t>
            </w:r>
          </w:p>
        </w:tc>
      </w:tr>
      <w:tr w:rsidR="00B951B1" w:rsidRPr="00E61612" w:rsidTr="00CB78E6">
        <w:trPr>
          <w:trHeight w:val="1485"/>
          <w:jc w:val="center"/>
        </w:trPr>
        <w:tc>
          <w:tcPr>
            <w:tcW w:w="992" w:type="dxa"/>
            <w:vMerge/>
            <w:tcBorders>
              <w:top w:val="nil"/>
              <w:left w:val="single" w:sz="4" w:space="0" w:color="auto"/>
              <w:bottom w:val="single" w:sz="4" w:space="0" w:color="auto"/>
              <w:right w:val="single" w:sz="4" w:space="0" w:color="auto"/>
            </w:tcBorders>
            <w:shd w:val="clear" w:color="auto" w:fill="FFFFFF"/>
            <w:hideMark/>
          </w:tcPr>
          <w:p w:rsidR="00B951B1" w:rsidRPr="00E61612" w:rsidRDefault="00B951B1" w:rsidP="00CB78E6">
            <w:pPr>
              <w:spacing w:after="0"/>
              <w:outlineLvl w:val="1"/>
              <w:rPr>
                <w:rFonts w:eastAsia="Times New Roman" w:cs="Calibri"/>
                <w:sz w:val="16"/>
                <w:szCs w:val="16"/>
              </w:rPr>
            </w:pPr>
          </w:p>
        </w:tc>
        <w:tc>
          <w:tcPr>
            <w:tcW w:w="993" w:type="dxa"/>
            <w:vMerge/>
            <w:tcBorders>
              <w:top w:val="nil"/>
              <w:left w:val="single" w:sz="4" w:space="0" w:color="auto"/>
              <w:bottom w:val="single" w:sz="4" w:space="0" w:color="auto"/>
              <w:right w:val="single" w:sz="4" w:space="0" w:color="auto"/>
            </w:tcBorders>
            <w:shd w:val="clear" w:color="auto" w:fill="FFFFFF"/>
            <w:hideMark/>
          </w:tcPr>
          <w:p w:rsidR="00B951B1" w:rsidRPr="00E61612" w:rsidRDefault="00B951B1" w:rsidP="00CB78E6">
            <w:pPr>
              <w:spacing w:after="0"/>
              <w:outlineLvl w:val="1"/>
              <w:rPr>
                <w:rFonts w:eastAsia="Times New Roman" w:cs="Calibri"/>
                <w:sz w:val="16"/>
                <w:szCs w:val="16"/>
              </w:rPr>
            </w:pPr>
          </w:p>
        </w:tc>
        <w:tc>
          <w:tcPr>
            <w:tcW w:w="992" w:type="dxa"/>
            <w:tcBorders>
              <w:top w:val="nil"/>
              <w:left w:val="nil"/>
              <w:bottom w:val="single" w:sz="4" w:space="0" w:color="auto"/>
              <w:right w:val="single" w:sz="4" w:space="0" w:color="auto"/>
            </w:tcBorders>
            <w:shd w:val="clear" w:color="auto" w:fill="FFFFFF"/>
            <w:hideMark/>
          </w:tcPr>
          <w:p w:rsidR="00B951B1" w:rsidRPr="00E61612" w:rsidRDefault="00B951B1" w:rsidP="00CB78E6">
            <w:pPr>
              <w:spacing w:after="0"/>
              <w:outlineLvl w:val="1"/>
              <w:rPr>
                <w:rFonts w:eastAsia="Times New Roman" w:cs="Calibri"/>
                <w:sz w:val="16"/>
                <w:szCs w:val="16"/>
              </w:rPr>
            </w:pPr>
            <w:r w:rsidRPr="00E61612">
              <w:rPr>
                <w:rFonts w:eastAsia="Times New Roman" w:cs="Calibri"/>
                <w:sz w:val="16"/>
                <w:szCs w:val="16"/>
              </w:rPr>
              <w:t xml:space="preserve">C6.3.  Ofrimi i programeve studimore ndërkombëtare në Shqipëri </w:t>
            </w:r>
          </w:p>
        </w:tc>
        <w:tc>
          <w:tcPr>
            <w:tcW w:w="1309" w:type="dxa"/>
            <w:tcBorders>
              <w:top w:val="nil"/>
              <w:left w:val="nil"/>
              <w:bottom w:val="single" w:sz="4" w:space="0" w:color="auto"/>
              <w:right w:val="single" w:sz="4" w:space="0" w:color="auto"/>
            </w:tcBorders>
            <w:shd w:val="clear" w:color="auto" w:fill="FFFFFF"/>
            <w:hideMark/>
          </w:tcPr>
          <w:p w:rsidR="00B951B1" w:rsidRPr="00E61612" w:rsidRDefault="00B951B1" w:rsidP="00CB78E6">
            <w:pPr>
              <w:spacing w:after="0"/>
              <w:outlineLvl w:val="1"/>
              <w:rPr>
                <w:rFonts w:eastAsia="Times New Roman" w:cs="Calibri"/>
                <w:sz w:val="16"/>
                <w:szCs w:val="16"/>
              </w:rPr>
            </w:pPr>
            <w:r w:rsidRPr="00E61612">
              <w:rPr>
                <w:rFonts w:eastAsia="Times New Roman" w:cs="Calibri"/>
                <w:sz w:val="16"/>
                <w:szCs w:val="16"/>
              </w:rPr>
              <w:t>C6.3.1. Mbështetja e hapjes së degëve/programeve të</w:t>
            </w:r>
            <w:r>
              <w:rPr>
                <w:rFonts w:eastAsia="Times New Roman" w:cs="Calibri"/>
                <w:sz w:val="16"/>
                <w:szCs w:val="16"/>
              </w:rPr>
              <w:t xml:space="preserve"> </w:t>
            </w:r>
            <w:r w:rsidRPr="00E61612">
              <w:rPr>
                <w:rFonts w:eastAsia="Times New Roman" w:cs="Calibri"/>
                <w:sz w:val="16"/>
                <w:szCs w:val="16"/>
              </w:rPr>
              <w:t>IAL</w:t>
            </w:r>
            <w:r>
              <w:rPr>
                <w:rFonts w:eastAsia="Times New Roman" w:cs="Calibri"/>
                <w:sz w:val="16"/>
                <w:szCs w:val="16"/>
              </w:rPr>
              <w:t>-ve</w:t>
            </w:r>
            <w:r w:rsidRPr="00E61612">
              <w:rPr>
                <w:rFonts w:eastAsia="Times New Roman" w:cs="Calibri"/>
                <w:sz w:val="16"/>
                <w:szCs w:val="16"/>
              </w:rPr>
              <w:t xml:space="preserve">vendase </w:t>
            </w:r>
          </w:p>
        </w:tc>
        <w:tc>
          <w:tcPr>
            <w:tcW w:w="1067" w:type="dxa"/>
            <w:tcBorders>
              <w:top w:val="nil"/>
              <w:left w:val="single" w:sz="4" w:space="0" w:color="auto"/>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w:t>
            </w:r>
          </w:p>
        </w:tc>
        <w:tc>
          <w:tcPr>
            <w:tcW w:w="851"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w:t>
            </w:r>
          </w:p>
        </w:tc>
        <w:tc>
          <w:tcPr>
            <w:tcW w:w="992"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w:t>
            </w:r>
          </w:p>
        </w:tc>
        <w:tc>
          <w:tcPr>
            <w:tcW w:w="992" w:type="dxa"/>
            <w:gridSpan w:val="2"/>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w:t>
            </w:r>
          </w:p>
        </w:tc>
        <w:tc>
          <w:tcPr>
            <w:tcW w:w="992"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w:t>
            </w:r>
          </w:p>
        </w:tc>
        <w:tc>
          <w:tcPr>
            <w:tcW w:w="993"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w:t>
            </w:r>
          </w:p>
        </w:tc>
        <w:tc>
          <w:tcPr>
            <w:tcW w:w="992"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w:t>
            </w:r>
          </w:p>
        </w:tc>
        <w:tc>
          <w:tcPr>
            <w:tcW w:w="992"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w:t>
            </w:r>
          </w:p>
        </w:tc>
        <w:tc>
          <w:tcPr>
            <w:tcW w:w="992"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w:t>
            </w:r>
          </w:p>
        </w:tc>
        <w:tc>
          <w:tcPr>
            <w:tcW w:w="851"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w:t>
            </w:r>
          </w:p>
        </w:tc>
        <w:tc>
          <w:tcPr>
            <w:tcW w:w="1134"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w:t>
            </w:r>
          </w:p>
        </w:tc>
      </w:tr>
      <w:tr w:rsidR="00B951B1" w:rsidRPr="00E61612" w:rsidTr="00CB78E6">
        <w:trPr>
          <w:trHeight w:val="1275"/>
          <w:jc w:val="center"/>
        </w:trPr>
        <w:tc>
          <w:tcPr>
            <w:tcW w:w="992" w:type="dxa"/>
            <w:vMerge/>
            <w:tcBorders>
              <w:top w:val="nil"/>
              <w:left w:val="single" w:sz="4" w:space="0" w:color="auto"/>
              <w:bottom w:val="single" w:sz="4" w:space="0" w:color="auto"/>
              <w:right w:val="single" w:sz="4" w:space="0" w:color="auto"/>
            </w:tcBorders>
            <w:shd w:val="clear" w:color="auto" w:fill="FFFFFF"/>
            <w:hideMark/>
          </w:tcPr>
          <w:p w:rsidR="00B951B1" w:rsidRPr="00E61612" w:rsidRDefault="00B951B1" w:rsidP="00CB78E6">
            <w:pPr>
              <w:spacing w:after="0"/>
              <w:outlineLvl w:val="1"/>
              <w:rPr>
                <w:rFonts w:eastAsia="Times New Roman" w:cs="Calibri"/>
                <w:sz w:val="16"/>
                <w:szCs w:val="16"/>
              </w:rPr>
            </w:pPr>
          </w:p>
        </w:tc>
        <w:tc>
          <w:tcPr>
            <w:tcW w:w="993" w:type="dxa"/>
            <w:vMerge/>
            <w:tcBorders>
              <w:top w:val="nil"/>
              <w:left w:val="single" w:sz="4" w:space="0" w:color="auto"/>
              <w:bottom w:val="single" w:sz="4" w:space="0" w:color="auto"/>
              <w:right w:val="single" w:sz="4" w:space="0" w:color="auto"/>
            </w:tcBorders>
            <w:shd w:val="clear" w:color="auto" w:fill="FFFFFF"/>
            <w:hideMark/>
          </w:tcPr>
          <w:p w:rsidR="00B951B1" w:rsidRPr="00E61612" w:rsidRDefault="00B951B1" w:rsidP="00CB78E6">
            <w:pPr>
              <w:spacing w:after="0"/>
              <w:outlineLvl w:val="1"/>
              <w:rPr>
                <w:rFonts w:eastAsia="Times New Roman" w:cs="Calibri"/>
                <w:sz w:val="16"/>
                <w:szCs w:val="16"/>
              </w:rPr>
            </w:pPr>
          </w:p>
        </w:tc>
        <w:tc>
          <w:tcPr>
            <w:tcW w:w="992" w:type="dxa"/>
            <w:vMerge w:val="restart"/>
            <w:tcBorders>
              <w:top w:val="nil"/>
              <w:left w:val="single" w:sz="4" w:space="0" w:color="auto"/>
              <w:bottom w:val="single" w:sz="4" w:space="0" w:color="000000"/>
              <w:right w:val="single" w:sz="4" w:space="0" w:color="auto"/>
            </w:tcBorders>
            <w:shd w:val="clear" w:color="auto" w:fill="FFFFFF"/>
            <w:hideMark/>
          </w:tcPr>
          <w:p w:rsidR="00B951B1" w:rsidRPr="00E61612" w:rsidRDefault="00B951B1" w:rsidP="00CB78E6">
            <w:pPr>
              <w:spacing w:after="0"/>
              <w:outlineLvl w:val="1"/>
              <w:rPr>
                <w:rFonts w:eastAsia="Times New Roman" w:cs="Calibri"/>
                <w:sz w:val="16"/>
                <w:szCs w:val="16"/>
              </w:rPr>
            </w:pPr>
            <w:r w:rsidRPr="00E61612">
              <w:rPr>
                <w:rFonts w:eastAsia="Times New Roman" w:cs="Calibri"/>
                <w:sz w:val="16"/>
                <w:szCs w:val="16"/>
              </w:rPr>
              <w:t>C6.4. Shtimi i mobilitetit të studentëve dhe personelit akademik</w:t>
            </w:r>
          </w:p>
        </w:tc>
        <w:tc>
          <w:tcPr>
            <w:tcW w:w="1309" w:type="dxa"/>
            <w:tcBorders>
              <w:top w:val="nil"/>
              <w:left w:val="nil"/>
              <w:bottom w:val="single" w:sz="4" w:space="0" w:color="auto"/>
              <w:right w:val="single" w:sz="4" w:space="0" w:color="auto"/>
            </w:tcBorders>
            <w:shd w:val="clear" w:color="auto" w:fill="FFFFFF"/>
            <w:hideMark/>
          </w:tcPr>
          <w:p w:rsidR="00B951B1" w:rsidRPr="00E61612" w:rsidRDefault="00B951B1" w:rsidP="00CB78E6">
            <w:pPr>
              <w:spacing w:after="0"/>
              <w:outlineLvl w:val="1"/>
              <w:rPr>
                <w:rFonts w:eastAsia="Times New Roman" w:cs="Calibri"/>
                <w:sz w:val="16"/>
                <w:szCs w:val="16"/>
              </w:rPr>
            </w:pPr>
            <w:r w:rsidRPr="00E61612">
              <w:rPr>
                <w:rFonts w:eastAsia="Times New Roman" w:cs="Calibri"/>
                <w:sz w:val="16"/>
                <w:szCs w:val="16"/>
              </w:rPr>
              <w:t>C6.4.1. Dhënia e bursave për mobilit</w:t>
            </w:r>
            <w:r>
              <w:rPr>
                <w:rFonts w:eastAsia="Times New Roman" w:cs="Calibri"/>
                <w:sz w:val="16"/>
                <w:szCs w:val="16"/>
              </w:rPr>
              <w:t>in</w:t>
            </w:r>
            <w:r w:rsidRPr="00E61612">
              <w:rPr>
                <w:rFonts w:eastAsia="Times New Roman" w:cs="Calibri"/>
                <w:sz w:val="16"/>
                <w:szCs w:val="16"/>
              </w:rPr>
              <w:t xml:space="preserve"> </w:t>
            </w:r>
            <w:r>
              <w:rPr>
                <w:rFonts w:eastAsia="Times New Roman" w:cs="Calibri"/>
                <w:sz w:val="16"/>
                <w:szCs w:val="16"/>
              </w:rPr>
              <w:t>e</w:t>
            </w:r>
            <w:r w:rsidRPr="00E61612">
              <w:rPr>
                <w:rFonts w:eastAsia="Times New Roman" w:cs="Calibri"/>
                <w:sz w:val="16"/>
                <w:szCs w:val="16"/>
              </w:rPr>
              <w:t xml:space="preserve"> stafit akademik dhe studentëve </w:t>
            </w:r>
            <w:r>
              <w:rPr>
                <w:rFonts w:eastAsia="Times New Roman" w:cs="Calibri"/>
                <w:sz w:val="16"/>
                <w:szCs w:val="16"/>
              </w:rPr>
              <w:t>në</w:t>
            </w:r>
            <w:r w:rsidRPr="00E61612">
              <w:rPr>
                <w:rFonts w:eastAsia="Times New Roman" w:cs="Calibri"/>
                <w:sz w:val="16"/>
                <w:szCs w:val="16"/>
              </w:rPr>
              <w:t xml:space="preserve"> baz</w:t>
            </w:r>
            <w:r>
              <w:rPr>
                <w:rFonts w:eastAsia="Times New Roman" w:cs="Calibri"/>
                <w:sz w:val="16"/>
                <w:szCs w:val="16"/>
              </w:rPr>
              <w:t>ë</w:t>
            </w:r>
            <w:r w:rsidRPr="00E61612">
              <w:rPr>
                <w:rFonts w:eastAsia="Times New Roman" w:cs="Calibri"/>
                <w:sz w:val="16"/>
                <w:szCs w:val="16"/>
              </w:rPr>
              <w:t xml:space="preserve"> të meritokracisë</w:t>
            </w:r>
          </w:p>
        </w:tc>
        <w:tc>
          <w:tcPr>
            <w:tcW w:w="1067" w:type="dxa"/>
            <w:tcBorders>
              <w:top w:val="nil"/>
              <w:left w:val="single" w:sz="4" w:space="0" w:color="auto"/>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w:t>
            </w:r>
          </w:p>
        </w:tc>
        <w:tc>
          <w:tcPr>
            <w:tcW w:w="851"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w:t>
            </w:r>
          </w:p>
        </w:tc>
        <w:tc>
          <w:tcPr>
            <w:tcW w:w="992"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w:t>
            </w:r>
          </w:p>
        </w:tc>
        <w:tc>
          <w:tcPr>
            <w:tcW w:w="992" w:type="dxa"/>
            <w:gridSpan w:val="2"/>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w:t>
            </w:r>
          </w:p>
        </w:tc>
        <w:tc>
          <w:tcPr>
            <w:tcW w:w="992"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w:t>
            </w:r>
          </w:p>
        </w:tc>
        <w:tc>
          <w:tcPr>
            <w:tcW w:w="993"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w:t>
            </w:r>
          </w:p>
        </w:tc>
        <w:tc>
          <w:tcPr>
            <w:tcW w:w="992"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w:t>
            </w:r>
          </w:p>
        </w:tc>
        <w:tc>
          <w:tcPr>
            <w:tcW w:w="992"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w:t>
            </w:r>
          </w:p>
        </w:tc>
        <w:tc>
          <w:tcPr>
            <w:tcW w:w="992"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w:t>
            </w:r>
          </w:p>
        </w:tc>
        <w:tc>
          <w:tcPr>
            <w:tcW w:w="851"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w:t>
            </w:r>
          </w:p>
        </w:tc>
        <w:tc>
          <w:tcPr>
            <w:tcW w:w="1134"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w:t>
            </w:r>
          </w:p>
        </w:tc>
      </w:tr>
      <w:tr w:rsidR="00B951B1" w:rsidRPr="00E61612" w:rsidTr="00CB78E6">
        <w:trPr>
          <w:trHeight w:val="1530"/>
          <w:jc w:val="center"/>
        </w:trPr>
        <w:tc>
          <w:tcPr>
            <w:tcW w:w="992" w:type="dxa"/>
            <w:vMerge/>
            <w:tcBorders>
              <w:top w:val="nil"/>
              <w:left w:val="single" w:sz="4" w:space="0" w:color="auto"/>
              <w:bottom w:val="single" w:sz="4" w:space="0" w:color="auto"/>
              <w:right w:val="single" w:sz="4" w:space="0" w:color="auto"/>
            </w:tcBorders>
            <w:shd w:val="clear" w:color="auto" w:fill="FFFFFF"/>
            <w:hideMark/>
          </w:tcPr>
          <w:p w:rsidR="00B951B1" w:rsidRPr="00E61612" w:rsidRDefault="00B951B1" w:rsidP="00CB78E6">
            <w:pPr>
              <w:spacing w:after="0"/>
              <w:outlineLvl w:val="1"/>
              <w:rPr>
                <w:rFonts w:eastAsia="Times New Roman" w:cs="Calibri"/>
                <w:sz w:val="16"/>
                <w:szCs w:val="16"/>
              </w:rPr>
            </w:pPr>
          </w:p>
        </w:tc>
        <w:tc>
          <w:tcPr>
            <w:tcW w:w="993" w:type="dxa"/>
            <w:vMerge/>
            <w:tcBorders>
              <w:top w:val="nil"/>
              <w:left w:val="single" w:sz="4" w:space="0" w:color="auto"/>
              <w:bottom w:val="single" w:sz="4" w:space="0" w:color="auto"/>
              <w:right w:val="single" w:sz="4" w:space="0" w:color="auto"/>
            </w:tcBorders>
            <w:shd w:val="clear" w:color="auto" w:fill="FFFFFF"/>
            <w:hideMark/>
          </w:tcPr>
          <w:p w:rsidR="00B951B1" w:rsidRPr="00E61612" w:rsidRDefault="00B951B1" w:rsidP="00CB78E6">
            <w:pPr>
              <w:spacing w:after="0"/>
              <w:outlineLvl w:val="1"/>
              <w:rPr>
                <w:rFonts w:eastAsia="Times New Roman" w:cs="Calibri"/>
                <w:sz w:val="16"/>
                <w:szCs w:val="16"/>
              </w:rPr>
            </w:pPr>
          </w:p>
        </w:tc>
        <w:tc>
          <w:tcPr>
            <w:tcW w:w="992" w:type="dxa"/>
            <w:vMerge/>
            <w:tcBorders>
              <w:top w:val="nil"/>
              <w:left w:val="single" w:sz="4" w:space="0" w:color="auto"/>
              <w:bottom w:val="single" w:sz="4" w:space="0" w:color="000000"/>
              <w:right w:val="single" w:sz="4" w:space="0" w:color="auto"/>
            </w:tcBorders>
            <w:shd w:val="clear" w:color="auto" w:fill="FFFFFF"/>
            <w:hideMark/>
          </w:tcPr>
          <w:p w:rsidR="00B951B1" w:rsidRPr="00E61612" w:rsidRDefault="00B951B1" w:rsidP="00CB78E6">
            <w:pPr>
              <w:spacing w:after="0"/>
              <w:outlineLvl w:val="1"/>
              <w:rPr>
                <w:rFonts w:eastAsia="Times New Roman" w:cs="Calibri"/>
                <w:sz w:val="16"/>
                <w:szCs w:val="16"/>
              </w:rPr>
            </w:pPr>
          </w:p>
        </w:tc>
        <w:tc>
          <w:tcPr>
            <w:tcW w:w="1309" w:type="dxa"/>
            <w:tcBorders>
              <w:top w:val="nil"/>
              <w:left w:val="nil"/>
              <w:bottom w:val="single" w:sz="4" w:space="0" w:color="auto"/>
              <w:right w:val="single" w:sz="4" w:space="0" w:color="auto"/>
            </w:tcBorders>
            <w:shd w:val="clear" w:color="auto" w:fill="FFFFFF"/>
            <w:hideMark/>
          </w:tcPr>
          <w:p w:rsidR="00B951B1" w:rsidRPr="00E61612" w:rsidRDefault="00B951B1" w:rsidP="00CB78E6">
            <w:pPr>
              <w:spacing w:after="0"/>
              <w:outlineLvl w:val="1"/>
              <w:rPr>
                <w:rFonts w:eastAsia="Times New Roman" w:cs="Calibri"/>
                <w:sz w:val="16"/>
                <w:szCs w:val="16"/>
              </w:rPr>
            </w:pPr>
            <w:r w:rsidRPr="00E61612">
              <w:rPr>
                <w:rFonts w:eastAsia="Times New Roman" w:cs="Calibri"/>
                <w:sz w:val="16"/>
                <w:szCs w:val="16"/>
              </w:rPr>
              <w:t>C6.4.2. Krijimi i parakushteve për njohjen e krediteve të mobilitetit përmes përcaktimit të procedurave të qarta</w:t>
            </w:r>
          </w:p>
        </w:tc>
        <w:tc>
          <w:tcPr>
            <w:tcW w:w="1067" w:type="dxa"/>
            <w:tcBorders>
              <w:top w:val="nil"/>
              <w:left w:val="single" w:sz="4" w:space="0" w:color="auto"/>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w:t>
            </w:r>
          </w:p>
        </w:tc>
        <w:tc>
          <w:tcPr>
            <w:tcW w:w="851"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1,257</w:t>
            </w:r>
          </w:p>
        </w:tc>
        <w:tc>
          <w:tcPr>
            <w:tcW w:w="992"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w:t>
            </w:r>
          </w:p>
        </w:tc>
        <w:tc>
          <w:tcPr>
            <w:tcW w:w="992" w:type="dxa"/>
            <w:gridSpan w:val="2"/>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1,257</w:t>
            </w:r>
          </w:p>
        </w:tc>
        <w:tc>
          <w:tcPr>
            <w:tcW w:w="992"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w:t>
            </w:r>
          </w:p>
        </w:tc>
        <w:tc>
          <w:tcPr>
            <w:tcW w:w="993"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1,257</w:t>
            </w:r>
          </w:p>
        </w:tc>
        <w:tc>
          <w:tcPr>
            <w:tcW w:w="992"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w:t>
            </w:r>
          </w:p>
        </w:tc>
        <w:tc>
          <w:tcPr>
            <w:tcW w:w="992"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w:t>
            </w:r>
          </w:p>
        </w:tc>
        <w:tc>
          <w:tcPr>
            <w:tcW w:w="992"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(1,257)</w:t>
            </w:r>
          </w:p>
        </w:tc>
        <w:tc>
          <w:tcPr>
            <w:tcW w:w="851"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w:t>
            </w:r>
          </w:p>
        </w:tc>
        <w:tc>
          <w:tcPr>
            <w:tcW w:w="1134"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1,257</w:t>
            </w:r>
          </w:p>
        </w:tc>
      </w:tr>
      <w:tr w:rsidR="00B951B1" w:rsidRPr="00E61612" w:rsidTr="00CB78E6">
        <w:trPr>
          <w:trHeight w:val="255"/>
          <w:jc w:val="center"/>
        </w:trPr>
        <w:tc>
          <w:tcPr>
            <w:tcW w:w="992" w:type="dxa"/>
            <w:vMerge/>
            <w:tcBorders>
              <w:top w:val="nil"/>
              <w:left w:val="single" w:sz="4" w:space="0" w:color="auto"/>
              <w:bottom w:val="single" w:sz="4" w:space="0" w:color="auto"/>
              <w:right w:val="single" w:sz="4" w:space="0" w:color="auto"/>
            </w:tcBorders>
            <w:shd w:val="clear" w:color="auto" w:fill="FFFFFF"/>
            <w:hideMark/>
          </w:tcPr>
          <w:p w:rsidR="00B951B1" w:rsidRPr="00E61612" w:rsidRDefault="00B951B1" w:rsidP="00CB78E6">
            <w:pPr>
              <w:spacing w:after="0"/>
              <w:outlineLvl w:val="0"/>
              <w:rPr>
                <w:rFonts w:eastAsia="Times New Roman" w:cs="Calibri"/>
                <w:sz w:val="16"/>
                <w:szCs w:val="16"/>
              </w:rPr>
            </w:pPr>
          </w:p>
        </w:tc>
        <w:tc>
          <w:tcPr>
            <w:tcW w:w="993" w:type="dxa"/>
            <w:vMerge/>
            <w:tcBorders>
              <w:top w:val="nil"/>
              <w:left w:val="single" w:sz="4" w:space="0" w:color="auto"/>
              <w:bottom w:val="single" w:sz="4" w:space="0" w:color="auto"/>
              <w:right w:val="single" w:sz="4" w:space="0" w:color="auto"/>
            </w:tcBorders>
            <w:shd w:val="clear" w:color="auto" w:fill="FFFFFF"/>
            <w:hideMark/>
          </w:tcPr>
          <w:p w:rsidR="00B951B1" w:rsidRPr="00E61612" w:rsidRDefault="00B951B1" w:rsidP="00CB78E6">
            <w:pPr>
              <w:spacing w:after="0"/>
              <w:outlineLvl w:val="0"/>
              <w:rPr>
                <w:rFonts w:eastAsia="Times New Roman" w:cs="Calibri"/>
                <w:sz w:val="16"/>
                <w:szCs w:val="16"/>
              </w:rPr>
            </w:pPr>
          </w:p>
        </w:tc>
        <w:tc>
          <w:tcPr>
            <w:tcW w:w="2301" w:type="dxa"/>
            <w:gridSpan w:val="2"/>
            <w:tcBorders>
              <w:top w:val="single" w:sz="4" w:space="0" w:color="auto"/>
              <w:left w:val="nil"/>
              <w:bottom w:val="single" w:sz="4" w:space="0" w:color="auto"/>
              <w:right w:val="nil"/>
            </w:tcBorders>
            <w:shd w:val="clear" w:color="auto" w:fill="FFFFFF"/>
            <w:hideMark/>
          </w:tcPr>
          <w:p w:rsidR="00B951B1" w:rsidRPr="00E61612" w:rsidRDefault="00B951B1" w:rsidP="00CB78E6">
            <w:pPr>
              <w:spacing w:after="0"/>
              <w:jc w:val="center"/>
              <w:outlineLvl w:val="0"/>
              <w:rPr>
                <w:rFonts w:eastAsia="Times New Roman" w:cs="Calibri"/>
                <w:i/>
                <w:iCs/>
                <w:sz w:val="16"/>
                <w:szCs w:val="16"/>
              </w:rPr>
            </w:pPr>
            <w:r w:rsidRPr="00E61612">
              <w:rPr>
                <w:rFonts w:eastAsia="Times New Roman" w:cs="Calibri"/>
                <w:i/>
                <w:iCs/>
                <w:sz w:val="16"/>
                <w:szCs w:val="16"/>
              </w:rPr>
              <w:t>TOTAL C6</w:t>
            </w:r>
          </w:p>
        </w:tc>
        <w:tc>
          <w:tcPr>
            <w:tcW w:w="1067" w:type="dxa"/>
            <w:tcBorders>
              <w:top w:val="nil"/>
              <w:left w:val="single" w:sz="4" w:space="0" w:color="auto"/>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0"/>
              <w:rPr>
                <w:rFonts w:eastAsia="Times New Roman" w:cs="Calibri"/>
                <w:i/>
                <w:sz w:val="16"/>
                <w:szCs w:val="16"/>
              </w:rPr>
            </w:pPr>
            <w:r w:rsidRPr="00E61612">
              <w:rPr>
                <w:rFonts w:eastAsia="Times New Roman" w:cs="Calibri"/>
                <w:i/>
                <w:sz w:val="16"/>
                <w:szCs w:val="16"/>
              </w:rPr>
              <w:t>-</w:t>
            </w:r>
          </w:p>
        </w:tc>
        <w:tc>
          <w:tcPr>
            <w:tcW w:w="851"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0"/>
              <w:rPr>
                <w:rFonts w:eastAsia="Times New Roman" w:cs="Calibri"/>
                <w:i/>
                <w:sz w:val="16"/>
                <w:szCs w:val="16"/>
              </w:rPr>
            </w:pPr>
            <w:r w:rsidRPr="00E61612">
              <w:rPr>
                <w:rFonts w:eastAsia="Times New Roman" w:cs="Calibri"/>
                <w:i/>
                <w:sz w:val="16"/>
                <w:szCs w:val="16"/>
              </w:rPr>
              <w:t>106,977</w:t>
            </w:r>
          </w:p>
        </w:tc>
        <w:tc>
          <w:tcPr>
            <w:tcW w:w="992"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0"/>
              <w:rPr>
                <w:rFonts w:eastAsia="Times New Roman" w:cs="Calibri"/>
                <w:i/>
                <w:sz w:val="16"/>
                <w:szCs w:val="16"/>
              </w:rPr>
            </w:pPr>
            <w:r w:rsidRPr="00E61612">
              <w:rPr>
                <w:rFonts w:eastAsia="Times New Roman" w:cs="Calibri"/>
                <w:i/>
                <w:sz w:val="16"/>
                <w:szCs w:val="16"/>
              </w:rPr>
              <w:t>-</w:t>
            </w:r>
          </w:p>
        </w:tc>
        <w:tc>
          <w:tcPr>
            <w:tcW w:w="992" w:type="dxa"/>
            <w:gridSpan w:val="2"/>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0"/>
              <w:rPr>
                <w:rFonts w:eastAsia="Times New Roman" w:cs="Calibri"/>
                <w:i/>
                <w:sz w:val="16"/>
                <w:szCs w:val="16"/>
              </w:rPr>
            </w:pPr>
            <w:r w:rsidRPr="00E61612">
              <w:rPr>
                <w:rFonts w:eastAsia="Times New Roman" w:cs="Calibri"/>
                <w:i/>
                <w:sz w:val="16"/>
                <w:szCs w:val="16"/>
              </w:rPr>
              <w:t>106,977</w:t>
            </w:r>
          </w:p>
        </w:tc>
        <w:tc>
          <w:tcPr>
            <w:tcW w:w="992"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0"/>
              <w:rPr>
                <w:rFonts w:eastAsia="Times New Roman" w:cs="Calibri"/>
                <w:i/>
                <w:sz w:val="16"/>
                <w:szCs w:val="16"/>
              </w:rPr>
            </w:pPr>
            <w:r w:rsidRPr="00E61612">
              <w:rPr>
                <w:rFonts w:eastAsia="Times New Roman" w:cs="Calibri"/>
                <w:i/>
                <w:sz w:val="16"/>
                <w:szCs w:val="16"/>
              </w:rPr>
              <w:t>-</w:t>
            </w:r>
          </w:p>
        </w:tc>
        <w:tc>
          <w:tcPr>
            <w:tcW w:w="993"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0"/>
              <w:rPr>
                <w:rFonts w:eastAsia="Times New Roman" w:cs="Calibri"/>
                <w:i/>
                <w:sz w:val="16"/>
                <w:szCs w:val="16"/>
              </w:rPr>
            </w:pPr>
            <w:r w:rsidRPr="00E61612">
              <w:rPr>
                <w:rFonts w:eastAsia="Times New Roman" w:cs="Calibri"/>
                <w:i/>
                <w:sz w:val="16"/>
                <w:szCs w:val="16"/>
              </w:rPr>
              <w:t>106,977</w:t>
            </w:r>
          </w:p>
        </w:tc>
        <w:tc>
          <w:tcPr>
            <w:tcW w:w="992"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0"/>
              <w:rPr>
                <w:rFonts w:eastAsia="Times New Roman" w:cs="Calibri"/>
                <w:i/>
                <w:sz w:val="16"/>
                <w:szCs w:val="16"/>
              </w:rPr>
            </w:pPr>
            <w:r w:rsidRPr="00E61612">
              <w:rPr>
                <w:rFonts w:eastAsia="Times New Roman" w:cs="Calibri"/>
                <w:i/>
                <w:sz w:val="16"/>
                <w:szCs w:val="16"/>
              </w:rPr>
              <w:t>90,000</w:t>
            </w:r>
          </w:p>
        </w:tc>
        <w:tc>
          <w:tcPr>
            <w:tcW w:w="992"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0"/>
              <w:rPr>
                <w:rFonts w:eastAsia="Times New Roman" w:cs="Calibri"/>
                <w:i/>
                <w:sz w:val="16"/>
                <w:szCs w:val="16"/>
              </w:rPr>
            </w:pPr>
            <w:r w:rsidRPr="00E61612">
              <w:rPr>
                <w:rFonts w:eastAsia="Times New Roman" w:cs="Calibri"/>
                <w:i/>
                <w:sz w:val="16"/>
                <w:szCs w:val="16"/>
              </w:rPr>
              <w:t>-</w:t>
            </w:r>
          </w:p>
        </w:tc>
        <w:tc>
          <w:tcPr>
            <w:tcW w:w="992" w:type="dxa"/>
            <w:tcBorders>
              <w:top w:val="single" w:sz="4" w:space="0" w:color="auto"/>
              <w:left w:val="single" w:sz="4" w:space="0" w:color="auto"/>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0"/>
              <w:rPr>
                <w:rFonts w:eastAsia="Times New Roman" w:cs="Calibri"/>
                <w:i/>
                <w:sz w:val="16"/>
                <w:szCs w:val="16"/>
              </w:rPr>
            </w:pPr>
            <w:r w:rsidRPr="00E61612">
              <w:rPr>
                <w:rFonts w:eastAsia="Times New Roman" w:cs="Calibri"/>
                <w:i/>
                <w:sz w:val="16"/>
                <w:szCs w:val="16"/>
              </w:rPr>
              <w:t>(16,977)</w:t>
            </w:r>
          </w:p>
        </w:tc>
        <w:tc>
          <w:tcPr>
            <w:tcW w:w="851"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0"/>
              <w:rPr>
                <w:rFonts w:eastAsia="Times New Roman" w:cs="Calibri"/>
                <w:i/>
                <w:sz w:val="16"/>
                <w:szCs w:val="16"/>
              </w:rPr>
            </w:pPr>
            <w:r w:rsidRPr="00E61612">
              <w:rPr>
                <w:rFonts w:eastAsia="Times New Roman" w:cs="Calibri"/>
                <w:i/>
                <w:sz w:val="16"/>
                <w:szCs w:val="16"/>
              </w:rPr>
              <w:t>-</w:t>
            </w:r>
          </w:p>
        </w:tc>
        <w:tc>
          <w:tcPr>
            <w:tcW w:w="1134"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0"/>
              <w:rPr>
                <w:rFonts w:eastAsia="Times New Roman" w:cs="Calibri"/>
                <w:i/>
                <w:sz w:val="16"/>
                <w:szCs w:val="16"/>
              </w:rPr>
            </w:pPr>
            <w:r w:rsidRPr="00E61612">
              <w:rPr>
                <w:rFonts w:eastAsia="Times New Roman" w:cs="Calibri"/>
                <w:i/>
                <w:sz w:val="16"/>
                <w:szCs w:val="16"/>
              </w:rPr>
              <w:t>106,977</w:t>
            </w:r>
          </w:p>
        </w:tc>
      </w:tr>
      <w:tr w:rsidR="00B951B1" w:rsidRPr="00E61612" w:rsidTr="00CB78E6">
        <w:trPr>
          <w:trHeight w:val="1020"/>
          <w:jc w:val="center"/>
        </w:trPr>
        <w:tc>
          <w:tcPr>
            <w:tcW w:w="992" w:type="dxa"/>
            <w:vMerge/>
            <w:tcBorders>
              <w:top w:val="nil"/>
              <w:left w:val="single" w:sz="4" w:space="0" w:color="auto"/>
              <w:bottom w:val="single" w:sz="4" w:space="0" w:color="auto"/>
              <w:right w:val="single" w:sz="4" w:space="0" w:color="auto"/>
            </w:tcBorders>
            <w:shd w:val="clear" w:color="auto" w:fill="FFFFFF"/>
            <w:hideMark/>
          </w:tcPr>
          <w:p w:rsidR="00B951B1" w:rsidRPr="00E61612" w:rsidRDefault="00B951B1" w:rsidP="00CB78E6">
            <w:pPr>
              <w:spacing w:after="0"/>
              <w:outlineLvl w:val="1"/>
              <w:rPr>
                <w:rFonts w:eastAsia="Times New Roman" w:cs="Calibri"/>
                <w:sz w:val="16"/>
                <w:szCs w:val="16"/>
              </w:rPr>
            </w:pPr>
          </w:p>
        </w:tc>
        <w:tc>
          <w:tcPr>
            <w:tcW w:w="993" w:type="dxa"/>
            <w:vMerge w:val="restart"/>
            <w:tcBorders>
              <w:top w:val="nil"/>
              <w:left w:val="single" w:sz="4" w:space="0" w:color="auto"/>
              <w:bottom w:val="single" w:sz="4" w:space="0" w:color="auto"/>
              <w:right w:val="single" w:sz="4" w:space="0" w:color="auto"/>
            </w:tcBorders>
            <w:shd w:val="clear" w:color="auto" w:fill="FFFFFF"/>
            <w:hideMark/>
          </w:tcPr>
          <w:p w:rsidR="00B951B1" w:rsidRPr="00E61612" w:rsidRDefault="00B951B1" w:rsidP="00CB78E6">
            <w:pPr>
              <w:spacing w:after="0"/>
              <w:outlineLvl w:val="1"/>
              <w:rPr>
                <w:rFonts w:eastAsia="Times New Roman" w:cs="Calibri"/>
                <w:sz w:val="16"/>
                <w:szCs w:val="16"/>
              </w:rPr>
            </w:pPr>
            <w:r w:rsidRPr="00E61612">
              <w:rPr>
                <w:rFonts w:eastAsia="Times New Roman" w:cs="Calibri"/>
                <w:sz w:val="16"/>
                <w:szCs w:val="16"/>
              </w:rPr>
              <w:t>C7. Avancimi i infrastrukturës së TIK-ut dhe i shërbimeve digjitale për IAL-të publike</w:t>
            </w:r>
          </w:p>
        </w:tc>
        <w:tc>
          <w:tcPr>
            <w:tcW w:w="992" w:type="dxa"/>
            <w:vMerge w:val="restart"/>
            <w:tcBorders>
              <w:top w:val="nil"/>
              <w:left w:val="single" w:sz="4" w:space="0" w:color="auto"/>
              <w:bottom w:val="single" w:sz="4" w:space="0" w:color="000000"/>
              <w:right w:val="single" w:sz="4" w:space="0" w:color="auto"/>
            </w:tcBorders>
            <w:shd w:val="clear" w:color="auto" w:fill="FFFFFF"/>
            <w:hideMark/>
          </w:tcPr>
          <w:p w:rsidR="00B951B1" w:rsidRPr="00E61612" w:rsidRDefault="00B951B1" w:rsidP="00CB78E6">
            <w:pPr>
              <w:spacing w:after="0"/>
              <w:outlineLvl w:val="1"/>
              <w:rPr>
                <w:rFonts w:eastAsia="Times New Roman" w:cs="Calibri"/>
                <w:sz w:val="16"/>
                <w:szCs w:val="16"/>
              </w:rPr>
            </w:pPr>
            <w:r w:rsidRPr="00E61612">
              <w:rPr>
                <w:rFonts w:eastAsia="Times New Roman" w:cs="Calibri"/>
                <w:sz w:val="16"/>
                <w:szCs w:val="16"/>
              </w:rPr>
              <w:t xml:space="preserve">C7.1. Përmirësimi i infrastrukturës së TIK-ut në IAL dhe visibilitetit në </w:t>
            </w:r>
            <w:r>
              <w:rPr>
                <w:rFonts w:eastAsia="Times New Roman" w:cs="Calibri"/>
                <w:sz w:val="16"/>
                <w:szCs w:val="16"/>
              </w:rPr>
              <w:t>internet</w:t>
            </w:r>
          </w:p>
        </w:tc>
        <w:tc>
          <w:tcPr>
            <w:tcW w:w="1309" w:type="dxa"/>
            <w:tcBorders>
              <w:top w:val="nil"/>
              <w:left w:val="nil"/>
              <w:bottom w:val="single" w:sz="4" w:space="0" w:color="auto"/>
              <w:right w:val="single" w:sz="4" w:space="0" w:color="auto"/>
            </w:tcBorders>
            <w:shd w:val="clear" w:color="auto" w:fill="FFFFFF"/>
            <w:hideMark/>
          </w:tcPr>
          <w:p w:rsidR="00B951B1" w:rsidRPr="00E61612" w:rsidRDefault="00B951B1" w:rsidP="00CB78E6">
            <w:pPr>
              <w:spacing w:after="0"/>
              <w:outlineLvl w:val="1"/>
              <w:rPr>
                <w:rFonts w:eastAsia="Times New Roman" w:cs="Calibri"/>
                <w:sz w:val="16"/>
                <w:szCs w:val="16"/>
              </w:rPr>
            </w:pPr>
            <w:r w:rsidRPr="00E61612">
              <w:rPr>
                <w:rFonts w:eastAsia="Times New Roman" w:cs="Calibri"/>
                <w:sz w:val="16"/>
                <w:szCs w:val="16"/>
              </w:rPr>
              <w:t>C7.1.1. Investime në përmirësimin e infrastrukturës së TIK-ut në AL</w:t>
            </w:r>
          </w:p>
        </w:tc>
        <w:tc>
          <w:tcPr>
            <w:tcW w:w="1067" w:type="dxa"/>
            <w:tcBorders>
              <w:top w:val="nil"/>
              <w:left w:val="single" w:sz="4" w:space="0" w:color="auto"/>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w:t>
            </w:r>
          </w:p>
        </w:tc>
        <w:tc>
          <w:tcPr>
            <w:tcW w:w="851"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w:t>
            </w:r>
          </w:p>
        </w:tc>
        <w:tc>
          <w:tcPr>
            <w:tcW w:w="992" w:type="dxa"/>
            <w:tcBorders>
              <w:top w:val="nil"/>
              <w:left w:val="nil"/>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w:t>
            </w:r>
          </w:p>
        </w:tc>
        <w:tc>
          <w:tcPr>
            <w:tcW w:w="992" w:type="dxa"/>
            <w:gridSpan w:val="2"/>
            <w:tcBorders>
              <w:top w:val="nil"/>
              <w:left w:val="nil"/>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w:t>
            </w:r>
          </w:p>
        </w:tc>
        <w:tc>
          <w:tcPr>
            <w:tcW w:w="992"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w:t>
            </w:r>
          </w:p>
        </w:tc>
        <w:tc>
          <w:tcPr>
            <w:tcW w:w="993"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w:t>
            </w:r>
          </w:p>
        </w:tc>
        <w:tc>
          <w:tcPr>
            <w:tcW w:w="992"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w:t>
            </w:r>
          </w:p>
        </w:tc>
        <w:tc>
          <w:tcPr>
            <w:tcW w:w="992"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w:t>
            </w:r>
          </w:p>
        </w:tc>
        <w:tc>
          <w:tcPr>
            <w:tcW w:w="992"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w:t>
            </w:r>
          </w:p>
        </w:tc>
        <w:tc>
          <w:tcPr>
            <w:tcW w:w="851"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w:t>
            </w:r>
          </w:p>
        </w:tc>
        <w:tc>
          <w:tcPr>
            <w:tcW w:w="1134"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w:t>
            </w:r>
          </w:p>
        </w:tc>
      </w:tr>
      <w:tr w:rsidR="00B951B1" w:rsidRPr="00E61612" w:rsidTr="00CB78E6">
        <w:trPr>
          <w:trHeight w:val="1275"/>
          <w:jc w:val="center"/>
        </w:trPr>
        <w:tc>
          <w:tcPr>
            <w:tcW w:w="992" w:type="dxa"/>
            <w:vMerge/>
            <w:tcBorders>
              <w:top w:val="nil"/>
              <w:left w:val="single" w:sz="4" w:space="0" w:color="auto"/>
              <w:bottom w:val="single" w:sz="4" w:space="0" w:color="auto"/>
              <w:right w:val="single" w:sz="4" w:space="0" w:color="auto"/>
            </w:tcBorders>
            <w:shd w:val="clear" w:color="auto" w:fill="FFFFFF"/>
            <w:hideMark/>
          </w:tcPr>
          <w:p w:rsidR="00B951B1" w:rsidRPr="00E61612" w:rsidRDefault="00B951B1" w:rsidP="00CB78E6">
            <w:pPr>
              <w:spacing w:after="0"/>
              <w:outlineLvl w:val="1"/>
              <w:rPr>
                <w:rFonts w:eastAsia="Times New Roman" w:cs="Calibri"/>
                <w:sz w:val="16"/>
                <w:szCs w:val="16"/>
              </w:rPr>
            </w:pPr>
          </w:p>
        </w:tc>
        <w:tc>
          <w:tcPr>
            <w:tcW w:w="993" w:type="dxa"/>
            <w:vMerge/>
            <w:tcBorders>
              <w:top w:val="nil"/>
              <w:left w:val="single" w:sz="4" w:space="0" w:color="auto"/>
              <w:bottom w:val="single" w:sz="4" w:space="0" w:color="auto"/>
              <w:right w:val="single" w:sz="4" w:space="0" w:color="auto"/>
            </w:tcBorders>
            <w:shd w:val="clear" w:color="auto" w:fill="FFFFFF"/>
            <w:hideMark/>
          </w:tcPr>
          <w:p w:rsidR="00B951B1" w:rsidRPr="00E61612" w:rsidRDefault="00B951B1" w:rsidP="00CB78E6">
            <w:pPr>
              <w:spacing w:after="0"/>
              <w:outlineLvl w:val="1"/>
              <w:rPr>
                <w:rFonts w:eastAsia="Times New Roman" w:cs="Calibri"/>
                <w:sz w:val="16"/>
                <w:szCs w:val="16"/>
              </w:rPr>
            </w:pPr>
          </w:p>
        </w:tc>
        <w:tc>
          <w:tcPr>
            <w:tcW w:w="992" w:type="dxa"/>
            <w:vMerge/>
            <w:tcBorders>
              <w:top w:val="nil"/>
              <w:left w:val="single" w:sz="4" w:space="0" w:color="auto"/>
              <w:bottom w:val="single" w:sz="4" w:space="0" w:color="000000"/>
              <w:right w:val="single" w:sz="4" w:space="0" w:color="auto"/>
            </w:tcBorders>
            <w:shd w:val="clear" w:color="auto" w:fill="FFFFFF"/>
            <w:hideMark/>
          </w:tcPr>
          <w:p w:rsidR="00B951B1" w:rsidRPr="00E61612" w:rsidRDefault="00B951B1" w:rsidP="00CB78E6">
            <w:pPr>
              <w:spacing w:after="0"/>
              <w:outlineLvl w:val="1"/>
              <w:rPr>
                <w:rFonts w:eastAsia="Times New Roman" w:cs="Calibri"/>
                <w:sz w:val="16"/>
                <w:szCs w:val="16"/>
              </w:rPr>
            </w:pPr>
          </w:p>
        </w:tc>
        <w:tc>
          <w:tcPr>
            <w:tcW w:w="1309" w:type="dxa"/>
            <w:tcBorders>
              <w:top w:val="nil"/>
              <w:left w:val="nil"/>
              <w:bottom w:val="single" w:sz="4" w:space="0" w:color="auto"/>
              <w:right w:val="single" w:sz="4" w:space="0" w:color="auto"/>
            </w:tcBorders>
            <w:shd w:val="clear" w:color="auto" w:fill="FFFFFF"/>
            <w:hideMark/>
          </w:tcPr>
          <w:p w:rsidR="00B951B1" w:rsidRPr="00E61612" w:rsidRDefault="00B951B1" w:rsidP="00CB78E6">
            <w:pPr>
              <w:spacing w:after="0"/>
              <w:outlineLvl w:val="1"/>
              <w:rPr>
                <w:rFonts w:eastAsia="Times New Roman" w:cs="Calibri"/>
                <w:sz w:val="16"/>
                <w:szCs w:val="16"/>
              </w:rPr>
            </w:pPr>
            <w:r w:rsidRPr="00E61612">
              <w:rPr>
                <w:rFonts w:eastAsia="Times New Roman" w:cs="Calibri"/>
                <w:sz w:val="16"/>
                <w:szCs w:val="16"/>
              </w:rPr>
              <w:t>C7.1.2. Ofrimi i ndihmës IAL-ve për hartimin e politikave për zhvillimin dhe mirëmbajtjen e faqeve të tyre</w:t>
            </w:r>
            <w:r>
              <w:rPr>
                <w:rFonts w:eastAsia="Times New Roman" w:cs="Calibri"/>
                <w:sz w:val="16"/>
                <w:szCs w:val="16"/>
              </w:rPr>
              <w:t xml:space="preserve"> të internetit</w:t>
            </w:r>
          </w:p>
        </w:tc>
        <w:tc>
          <w:tcPr>
            <w:tcW w:w="1067" w:type="dxa"/>
            <w:tcBorders>
              <w:top w:val="nil"/>
              <w:left w:val="single" w:sz="4" w:space="0" w:color="auto"/>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w:t>
            </w:r>
          </w:p>
        </w:tc>
        <w:tc>
          <w:tcPr>
            <w:tcW w:w="851"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1,920</w:t>
            </w:r>
          </w:p>
        </w:tc>
        <w:tc>
          <w:tcPr>
            <w:tcW w:w="1484" w:type="dxa"/>
            <w:gridSpan w:val="2"/>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w:t>
            </w:r>
          </w:p>
        </w:tc>
        <w:tc>
          <w:tcPr>
            <w:tcW w:w="500"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1,920</w:t>
            </w:r>
          </w:p>
        </w:tc>
        <w:tc>
          <w:tcPr>
            <w:tcW w:w="992"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w:t>
            </w:r>
          </w:p>
        </w:tc>
        <w:tc>
          <w:tcPr>
            <w:tcW w:w="993"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1,920</w:t>
            </w:r>
          </w:p>
        </w:tc>
        <w:tc>
          <w:tcPr>
            <w:tcW w:w="992"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w:t>
            </w:r>
          </w:p>
        </w:tc>
        <w:tc>
          <w:tcPr>
            <w:tcW w:w="992"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w:t>
            </w:r>
          </w:p>
        </w:tc>
        <w:tc>
          <w:tcPr>
            <w:tcW w:w="992"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(1,920)</w:t>
            </w:r>
          </w:p>
        </w:tc>
        <w:tc>
          <w:tcPr>
            <w:tcW w:w="851"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w:t>
            </w:r>
          </w:p>
        </w:tc>
        <w:tc>
          <w:tcPr>
            <w:tcW w:w="1134"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1,920</w:t>
            </w:r>
          </w:p>
        </w:tc>
      </w:tr>
      <w:tr w:rsidR="00B951B1" w:rsidRPr="00E61612" w:rsidTr="00CB78E6">
        <w:trPr>
          <w:trHeight w:val="1020"/>
          <w:jc w:val="center"/>
        </w:trPr>
        <w:tc>
          <w:tcPr>
            <w:tcW w:w="992" w:type="dxa"/>
            <w:vMerge/>
            <w:tcBorders>
              <w:top w:val="nil"/>
              <w:left w:val="single" w:sz="4" w:space="0" w:color="auto"/>
              <w:bottom w:val="single" w:sz="4" w:space="0" w:color="auto"/>
              <w:right w:val="single" w:sz="4" w:space="0" w:color="auto"/>
            </w:tcBorders>
            <w:shd w:val="clear" w:color="auto" w:fill="FFFFFF"/>
            <w:hideMark/>
          </w:tcPr>
          <w:p w:rsidR="00B951B1" w:rsidRPr="00E61612" w:rsidRDefault="00B951B1" w:rsidP="00CB78E6">
            <w:pPr>
              <w:spacing w:after="0"/>
              <w:outlineLvl w:val="1"/>
              <w:rPr>
                <w:rFonts w:eastAsia="Times New Roman" w:cs="Calibri"/>
                <w:sz w:val="16"/>
                <w:szCs w:val="16"/>
              </w:rPr>
            </w:pPr>
          </w:p>
        </w:tc>
        <w:tc>
          <w:tcPr>
            <w:tcW w:w="993" w:type="dxa"/>
            <w:vMerge/>
            <w:tcBorders>
              <w:top w:val="nil"/>
              <w:left w:val="single" w:sz="4" w:space="0" w:color="auto"/>
              <w:bottom w:val="single" w:sz="4" w:space="0" w:color="auto"/>
              <w:right w:val="single" w:sz="4" w:space="0" w:color="auto"/>
            </w:tcBorders>
            <w:shd w:val="clear" w:color="auto" w:fill="FFFFFF"/>
            <w:hideMark/>
          </w:tcPr>
          <w:p w:rsidR="00B951B1" w:rsidRPr="00E61612" w:rsidRDefault="00B951B1" w:rsidP="00CB78E6">
            <w:pPr>
              <w:spacing w:after="0"/>
              <w:outlineLvl w:val="1"/>
              <w:rPr>
                <w:rFonts w:eastAsia="Times New Roman" w:cs="Calibri"/>
                <w:sz w:val="16"/>
                <w:szCs w:val="16"/>
              </w:rPr>
            </w:pPr>
          </w:p>
        </w:tc>
        <w:tc>
          <w:tcPr>
            <w:tcW w:w="992" w:type="dxa"/>
            <w:vMerge w:val="restart"/>
            <w:tcBorders>
              <w:top w:val="nil"/>
              <w:left w:val="single" w:sz="4" w:space="0" w:color="auto"/>
              <w:bottom w:val="single" w:sz="4" w:space="0" w:color="000000"/>
              <w:right w:val="single" w:sz="4" w:space="0" w:color="auto"/>
            </w:tcBorders>
            <w:shd w:val="clear" w:color="auto" w:fill="FFFFFF"/>
            <w:hideMark/>
          </w:tcPr>
          <w:p w:rsidR="00B951B1" w:rsidRPr="00E61612" w:rsidRDefault="00B951B1" w:rsidP="00CB78E6">
            <w:pPr>
              <w:spacing w:after="0"/>
              <w:outlineLvl w:val="1"/>
              <w:rPr>
                <w:rFonts w:eastAsia="Times New Roman" w:cs="Calibri"/>
                <w:sz w:val="16"/>
                <w:szCs w:val="16"/>
              </w:rPr>
            </w:pPr>
            <w:r w:rsidRPr="00E61612">
              <w:rPr>
                <w:rFonts w:eastAsia="Times New Roman" w:cs="Calibri"/>
                <w:sz w:val="16"/>
                <w:szCs w:val="16"/>
              </w:rPr>
              <w:t>C7.2. Nxitja e IAL</w:t>
            </w:r>
            <w:r>
              <w:rPr>
                <w:rFonts w:eastAsia="Times New Roman" w:cs="Calibri"/>
                <w:sz w:val="16"/>
                <w:szCs w:val="16"/>
              </w:rPr>
              <w:t>-ve</w:t>
            </w:r>
            <w:r w:rsidRPr="00E61612">
              <w:rPr>
                <w:rFonts w:eastAsia="Times New Roman" w:cs="Calibri"/>
                <w:sz w:val="16"/>
                <w:szCs w:val="16"/>
              </w:rPr>
              <w:t xml:space="preserve"> për të organizuar mësimin në distancë dhe “</w:t>
            </w:r>
            <w:r>
              <w:rPr>
                <w:rFonts w:eastAsia="Times New Roman" w:cs="Calibri"/>
                <w:sz w:val="16"/>
                <w:szCs w:val="16"/>
              </w:rPr>
              <w:t>të nxënit i kombinuar</w:t>
            </w:r>
            <w:r w:rsidRPr="00E61612">
              <w:rPr>
                <w:rFonts w:eastAsia="Times New Roman" w:cs="Calibri"/>
                <w:sz w:val="16"/>
                <w:szCs w:val="16"/>
              </w:rPr>
              <w:t>”</w:t>
            </w:r>
          </w:p>
        </w:tc>
        <w:tc>
          <w:tcPr>
            <w:tcW w:w="1309" w:type="dxa"/>
            <w:tcBorders>
              <w:top w:val="nil"/>
              <w:left w:val="nil"/>
              <w:bottom w:val="single" w:sz="4" w:space="0" w:color="auto"/>
              <w:right w:val="single" w:sz="4" w:space="0" w:color="auto"/>
            </w:tcBorders>
            <w:shd w:val="clear" w:color="auto" w:fill="FFFFFF"/>
            <w:hideMark/>
          </w:tcPr>
          <w:p w:rsidR="00B951B1" w:rsidRPr="00E61612" w:rsidRDefault="00B951B1" w:rsidP="00CB78E6">
            <w:pPr>
              <w:spacing w:after="0"/>
              <w:outlineLvl w:val="1"/>
              <w:rPr>
                <w:rFonts w:eastAsia="Times New Roman" w:cs="Calibri"/>
                <w:sz w:val="16"/>
                <w:szCs w:val="16"/>
              </w:rPr>
            </w:pPr>
            <w:r w:rsidRPr="00E61612">
              <w:rPr>
                <w:rFonts w:eastAsia="Times New Roman" w:cs="Calibri"/>
                <w:sz w:val="16"/>
                <w:szCs w:val="16"/>
              </w:rPr>
              <w:t>C7.2.1. Sigurimi i aksesit në ndonjë nga platformat LMS për IAL-të publike</w:t>
            </w:r>
          </w:p>
        </w:tc>
        <w:tc>
          <w:tcPr>
            <w:tcW w:w="1067" w:type="dxa"/>
            <w:tcBorders>
              <w:top w:val="nil"/>
              <w:left w:val="single" w:sz="4" w:space="0" w:color="auto"/>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w:t>
            </w:r>
          </w:p>
        </w:tc>
        <w:tc>
          <w:tcPr>
            <w:tcW w:w="851"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61,200</w:t>
            </w:r>
          </w:p>
        </w:tc>
        <w:tc>
          <w:tcPr>
            <w:tcW w:w="992"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w:t>
            </w:r>
          </w:p>
        </w:tc>
        <w:tc>
          <w:tcPr>
            <w:tcW w:w="992" w:type="dxa"/>
            <w:gridSpan w:val="2"/>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w:t>
            </w:r>
          </w:p>
        </w:tc>
        <w:tc>
          <w:tcPr>
            <w:tcW w:w="992"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61,200</w:t>
            </w:r>
          </w:p>
        </w:tc>
        <w:tc>
          <w:tcPr>
            <w:tcW w:w="993"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61,200</w:t>
            </w:r>
          </w:p>
        </w:tc>
        <w:tc>
          <w:tcPr>
            <w:tcW w:w="992"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w:t>
            </w:r>
          </w:p>
        </w:tc>
        <w:tc>
          <w:tcPr>
            <w:tcW w:w="992"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w:t>
            </w:r>
          </w:p>
        </w:tc>
        <w:tc>
          <w:tcPr>
            <w:tcW w:w="992"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(61,200)</w:t>
            </w:r>
          </w:p>
        </w:tc>
        <w:tc>
          <w:tcPr>
            <w:tcW w:w="851"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w:t>
            </w:r>
          </w:p>
        </w:tc>
        <w:tc>
          <w:tcPr>
            <w:tcW w:w="1134"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61,200</w:t>
            </w:r>
          </w:p>
        </w:tc>
      </w:tr>
      <w:tr w:rsidR="00B951B1" w:rsidRPr="00E61612" w:rsidTr="00CB78E6">
        <w:trPr>
          <w:trHeight w:val="1020"/>
          <w:jc w:val="center"/>
        </w:trPr>
        <w:tc>
          <w:tcPr>
            <w:tcW w:w="992" w:type="dxa"/>
            <w:vMerge/>
            <w:tcBorders>
              <w:top w:val="nil"/>
              <w:left w:val="single" w:sz="4" w:space="0" w:color="auto"/>
              <w:bottom w:val="single" w:sz="4" w:space="0" w:color="auto"/>
              <w:right w:val="single" w:sz="4" w:space="0" w:color="auto"/>
            </w:tcBorders>
            <w:shd w:val="clear" w:color="auto" w:fill="FFFFFF"/>
            <w:hideMark/>
          </w:tcPr>
          <w:p w:rsidR="00B951B1" w:rsidRPr="00E61612" w:rsidRDefault="00B951B1" w:rsidP="00CB78E6">
            <w:pPr>
              <w:spacing w:after="0"/>
              <w:outlineLvl w:val="1"/>
              <w:rPr>
                <w:rFonts w:eastAsia="Times New Roman" w:cs="Calibri"/>
                <w:sz w:val="16"/>
                <w:szCs w:val="16"/>
              </w:rPr>
            </w:pPr>
          </w:p>
        </w:tc>
        <w:tc>
          <w:tcPr>
            <w:tcW w:w="993" w:type="dxa"/>
            <w:vMerge/>
            <w:tcBorders>
              <w:top w:val="nil"/>
              <w:left w:val="single" w:sz="4" w:space="0" w:color="auto"/>
              <w:bottom w:val="single" w:sz="4" w:space="0" w:color="auto"/>
              <w:right w:val="single" w:sz="4" w:space="0" w:color="auto"/>
            </w:tcBorders>
            <w:shd w:val="clear" w:color="auto" w:fill="FFFFFF"/>
            <w:hideMark/>
          </w:tcPr>
          <w:p w:rsidR="00B951B1" w:rsidRPr="00E61612" w:rsidRDefault="00B951B1" w:rsidP="00CB78E6">
            <w:pPr>
              <w:spacing w:after="0"/>
              <w:outlineLvl w:val="1"/>
              <w:rPr>
                <w:rFonts w:eastAsia="Times New Roman" w:cs="Calibri"/>
                <w:sz w:val="16"/>
                <w:szCs w:val="16"/>
              </w:rPr>
            </w:pPr>
          </w:p>
        </w:tc>
        <w:tc>
          <w:tcPr>
            <w:tcW w:w="992" w:type="dxa"/>
            <w:vMerge/>
            <w:tcBorders>
              <w:top w:val="nil"/>
              <w:left w:val="single" w:sz="4" w:space="0" w:color="auto"/>
              <w:bottom w:val="single" w:sz="4" w:space="0" w:color="000000"/>
              <w:right w:val="single" w:sz="4" w:space="0" w:color="auto"/>
            </w:tcBorders>
            <w:shd w:val="clear" w:color="auto" w:fill="FFFFFF"/>
            <w:hideMark/>
          </w:tcPr>
          <w:p w:rsidR="00B951B1" w:rsidRPr="00E61612" w:rsidRDefault="00B951B1" w:rsidP="00CB78E6">
            <w:pPr>
              <w:spacing w:after="0"/>
              <w:outlineLvl w:val="1"/>
              <w:rPr>
                <w:rFonts w:eastAsia="Times New Roman" w:cs="Calibri"/>
                <w:sz w:val="16"/>
                <w:szCs w:val="16"/>
              </w:rPr>
            </w:pPr>
          </w:p>
        </w:tc>
        <w:tc>
          <w:tcPr>
            <w:tcW w:w="1309" w:type="dxa"/>
            <w:tcBorders>
              <w:top w:val="nil"/>
              <w:left w:val="nil"/>
              <w:bottom w:val="single" w:sz="4" w:space="0" w:color="auto"/>
              <w:right w:val="single" w:sz="4" w:space="0" w:color="auto"/>
            </w:tcBorders>
            <w:shd w:val="clear" w:color="auto" w:fill="FFFFFF"/>
            <w:hideMark/>
          </w:tcPr>
          <w:p w:rsidR="00B951B1" w:rsidRPr="00E61612" w:rsidRDefault="00B951B1" w:rsidP="00CB78E6">
            <w:pPr>
              <w:spacing w:after="0"/>
              <w:outlineLvl w:val="1"/>
              <w:rPr>
                <w:rFonts w:eastAsia="Times New Roman" w:cs="Calibri"/>
                <w:sz w:val="16"/>
                <w:szCs w:val="16"/>
              </w:rPr>
            </w:pPr>
            <w:r w:rsidRPr="00E61612">
              <w:rPr>
                <w:rFonts w:eastAsia="Times New Roman" w:cs="Calibri"/>
                <w:sz w:val="16"/>
                <w:szCs w:val="16"/>
              </w:rPr>
              <w:t>C7.2.2. Trajnim i stafit akademik për shfrytëzimin e platformave LMS</w:t>
            </w:r>
          </w:p>
        </w:tc>
        <w:tc>
          <w:tcPr>
            <w:tcW w:w="1067" w:type="dxa"/>
            <w:tcBorders>
              <w:top w:val="nil"/>
              <w:left w:val="single" w:sz="4" w:space="0" w:color="auto"/>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w:t>
            </w:r>
          </w:p>
        </w:tc>
        <w:tc>
          <w:tcPr>
            <w:tcW w:w="851"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2,040</w:t>
            </w:r>
          </w:p>
        </w:tc>
        <w:tc>
          <w:tcPr>
            <w:tcW w:w="992"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w:t>
            </w:r>
          </w:p>
        </w:tc>
        <w:tc>
          <w:tcPr>
            <w:tcW w:w="992" w:type="dxa"/>
            <w:gridSpan w:val="2"/>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2,040</w:t>
            </w:r>
          </w:p>
        </w:tc>
        <w:tc>
          <w:tcPr>
            <w:tcW w:w="992"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w:t>
            </w:r>
          </w:p>
        </w:tc>
        <w:tc>
          <w:tcPr>
            <w:tcW w:w="993"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2,040</w:t>
            </w:r>
          </w:p>
        </w:tc>
        <w:tc>
          <w:tcPr>
            <w:tcW w:w="992"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w:t>
            </w:r>
          </w:p>
        </w:tc>
        <w:tc>
          <w:tcPr>
            <w:tcW w:w="992"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w:t>
            </w:r>
          </w:p>
        </w:tc>
        <w:tc>
          <w:tcPr>
            <w:tcW w:w="992"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(2,040)</w:t>
            </w:r>
          </w:p>
        </w:tc>
        <w:tc>
          <w:tcPr>
            <w:tcW w:w="851"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w:t>
            </w:r>
          </w:p>
        </w:tc>
        <w:tc>
          <w:tcPr>
            <w:tcW w:w="1134"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2,040</w:t>
            </w:r>
          </w:p>
        </w:tc>
      </w:tr>
      <w:tr w:rsidR="00B951B1" w:rsidRPr="00E61612" w:rsidTr="00CB78E6">
        <w:trPr>
          <w:trHeight w:val="510"/>
          <w:jc w:val="center"/>
        </w:trPr>
        <w:tc>
          <w:tcPr>
            <w:tcW w:w="992" w:type="dxa"/>
            <w:vMerge/>
            <w:tcBorders>
              <w:top w:val="nil"/>
              <w:left w:val="single" w:sz="4" w:space="0" w:color="auto"/>
              <w:bottom w:val="single" w:sz="4" w:space="0" w:color="auto"/>
              <w:right w:val="single" w:sz="4" w:space="0" w:color="auto"/>
            </w:tcBorders>
            <w:shd w:val="clear" w:color="auto" w:fill="FFFFFF"/>
            <w:hideMark/>
          </w:tcPr>
          <w:p w:rsidR="00B951B1" w:rsidRPr="00E61612" w:rsidRDefault="00B951B1" w:rsidP="00CB78E6">
            <w:pPr>
              <w:spacing w:after="0"/>
              <w:outlineLvl w:val="1"/>
              <w:rPr>
                <w:rFonts w:eastAsia="Times New Roman" w:cs="Calibri"/>
                <w:sz w:val="16"/>
                <w:szCs w:val="16"/>
              </w:rPr>
            </w:pPr>
          </w:p>
        </w:tc>
        <w:tc>
          <w:tcPr>
            <w:tcW w:w="993" w:type="dxa"/>
            <w:vMerge/>
            <w:tcBorders>
              <w:top w:val="nil"/>
              <w:left w:val="single" w:sz="4" w:space="0" w:color="auto"/>
              <w:bottom w:val="single" w:sz="4" w:space="0" w:color="auto"/>
              <w:right w:val="single" w:sz="4" w:space="0" w:color="auto"/>
            </w:tcBorders>
            <w:shd w:val="clear" w:color="auto" w:fill="FFFFFF"/>
            <w:hideMark/>
          </w:tcPr>
          <w:p w:rsidR="00B951B1" w:rsidRPr="00E61612" w:rsidRDefault="00B951B1" w:rsidP="00CB78E6">
            <w:pPr>
              <w:spacing w:after="0"/>
              <w:outlineLvl w:val="1"/>
              <w:rPr>
                <w:rFonts w:eastAsia="Times New Roman" w:cs="Calibri"/>
                <w:sz w:val="16"/>
                <w:szCs w:val="16"/>
              </w:rPr>
            </w:pPr>
          </w:p>
        </w:tc>
        <w:tc>
          <w:tcPr>
            <w:tcW w:w="992" w:type="dxa"/>
            <w:vMerge w:val="restart"/>
            <w:tcBorders>
              <w:top w:val="nil"/>
              <w:left w:val="single" w:sz="4" w:space="0" w:color="auto"/>
              <w:bottom w:val="single" w:sz="4" w:space="0" w:color="000000"/>
              <w:right w:val="single" w:sz="4" w:space="0" w:color="auto"/>
            </w:tcBorders>
            <w:shd w:val="clear" w:color="auto" w:fill="FFFFFF"/>
            <w:hideMark/>
          </w:tcPr>
          <w:p w:rsidR="00B951B1" w:rsidRPr="00E61612" w:rsidRDefault="00B951B1" w:rsidP="00CB78E6">
            <w:pPr>
              <w:spacing w:after="0"/>
              <w:outlineLvl w:val="1"/>
              <w:rPr>
                <w:rFonts w:eastAsia="Times New Roman" w:cs="Calibri"/>
                <w:sz w:val="16"/>
                <w:szCs w:val="16"/>
              </w:rPr>
            </w:pPr>
            <w:r w:rsidRPr="00E61612">
              <w:rPr>
                <w:rFonts w:eastAsia="Times New Roman" w:cs="Calibri"/>
                <w:sz w:val="16"/>
                <w:szCs w:val="16"/>
              </w:rPr>
              <w:t>C7.3. Ofrimi i shërbimeve digjitale cilësore për studentë</w:t>
            </w:r>
            <w:r>
              <w:rPr>
                <w:rFonts w:eastAsia="Times New Roman" w:cs="Calibri"/>
                <w:sz w:val="16"/>
                <w:szCs w:val="16"/>
              </w:rPr>
              <w:t>t</w:t>
            </w:r>
          </w:p>
        </w:tc>
        <w:tc>
          <w:tcPr>
            <w:tcW w:w="1309" w:type="dxa"/>
            <w:tcBorders>
              <w:top w:val="nil"/>
              <w:left w:val="nil"/>
              <w:bottom w:val="single" w:sz="4" w:space="0" w:color="auto"/>
              <w:right w:val="single" w:sz="4" w:space="0" w:color="auto"/>
            </w:tcBorders>
            <w:shd w:val="clear" w:color="auto" w:fill="FFFFFF"/>
            <w:hideMark/>
          </w:tcPr>
          <w:p w:rsidR="00B951B1" w:rsidRPr="00E61612" w:rsidRDefault="00B951B1" w:rsidP="00CB78E6">
            <w:pPr>
              <w:spacing w:after="0"/>
              <w:outlineLvl w:val="1"/>
              <w:rPr>
                <w:rFonts w:eastAsia="Times New Roman" w:cs="Calibri"/>
                <w:sz w:val="16"/>
                <w:szCs w:val="16"/>
              </w:rPr>
            </w:pPr>
            <w:r w:rsidRPr="00E61612">
              <w:rPr>
                <w:rFonts w:eastAsia="Times New Roman" w:cs="Calibri"/>
                <w:sz w:val="16"/>
                <w:szCs w:val="16"/>
              </w:rPr>
              <w:t>C7.3.1. Sigurimi i aksesit në biblioteka digjitale</w:t>
            </w:r>
          </w:p>
        </w:tc>
        <w:tc>
          <w:tcPr>
            <w:tcW w:w="1067" w:type="dxa"/>
            <w:tcBorders>
              <w:top w:val="nil"/>
              <w:left w:val="single" w:sz="4" w:space="0" w:color="auto"/>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w:t>
            </w:r>
          </w:p>
        </w:tc>
        <w:tc>
          <w:tcPr>
            <w:tcW w:w="851"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127,500</w:t>
            </w:r>
          </w:p>
        </w:tc>
        <w:tc>
          <w:tcPr>
            <w:tcW w:w="992"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w:t>
            </w:r>
          </w:p>
        </w:tc>
        <w:tc>
          <w:tcPr>
            <w:tcW w:w="992" w:type="dxa"/>
            <w:gridSpan w:val="2"/>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127,500</w:t>
            </w:r>
          </w:p>
        </w:tc>
        <w:tc>
          <w:tcPr>
            <w:tcW w:w="992"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w:t>
            </w:r>
          </w:p>
        </w:tc>
        <w:tc>
          <w:tcPr>
            <w:tcW w:w="993"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127,500</w:t>
            </w:r>
          </w:p>
        </w:tc>
        <w:tc>
          <w:tcPr>
            <w:tcW w:w="992"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w:t>
            </w:r>
          </w:p>
        </w:tc>
        <w:tc>
          <w:tcPr>
            <w:tcW w:w="992"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w:t>
            </w:r>
          </w:p>
        </w:tc>
        <w:tc>
          <w:tcPr>
            <w:tcW w:w="992"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(127,500)</w:t>
            </w:r>
          </w:p>
        </w:tc>
        <w:tc>
          <w:tcPr>
            <w:tcW w:w="851"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w:t>
            </w:r>
          </w:p>
        </w:tc>
        <w:tc>
          <w:tcPr>
            <w:tcW w:w="1134"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127,500</w:t>
            </w:r>
          </w:p>
        </w:tc>
      </w:tr>
      <w:tr w:rsidR="00B951B1" w:rsidRPr="00E61612" w:rsidTr="00CB78E6">
        <w:trPr>
          <w:trHeight w:val="765"/>
          <w:jc w:val="center"/>
        </w:trPr>
        <w:tc>
          <w:tcPr>
            <w:tcW w:w="992" w:type="dxa"/>
            <w:vMerge/>
            <w:tcBorders>
              <w:top w:val="nil"/>
              <w:left w:val="single" w:sz="4" w:space="0" w:color="auto"/>
              <w:bottom w:val="single" w:sz="4" w:space="0" w:color="auto"/>
              <w:right w:val="single" w:sz="4" w:space="0" w:color="auto"/>
            </w:tcBorders>
            <w:shd w:val="clear" w:color="auto" w:fill="FFFFFF"/>
            <w:hideMark/>
          </w:tcPr>
          <w:p w:rsidR="00B951B1" w:rsidRPr="00E61612" w:rsidRDefault="00B951B1" w:rsidP="00CB78E6">
            <w:pPr>
              <w:spacing w:after="0"/>
              <w:outlineLvl w:val="1"/>
              <w:rPr>
                <w:rFonts w:eastAsia="Times New Roman" w:cs="Calibri"/>
                <w:sz w:val="16"/>
                <w:szCs w:val="16"/>
              </w:rPr>
            </w:pPr>
          </w:p>
        </w:tc>
        <w:tc>
          <w:tcPr>
            <w:tcW w:w="993" w:type="dxa"/>
            <w:vMerge/>
            <w:tcBorders>
              <w:top w:val="nil"/>
              <w:left w:val="single" w:sz="4" w:space="0" w:color="auto"/>
              <w:bottom w:val="single" w:sz="4" w:space="0" w:color="auto"/>
              <w:right w:val="single" w:sz="4" w:space="0" w:color="auto"/>
            </w:tcBorders>
            <w:shd w:val="clear" w:color="auto" w:fill="FFFFFF"/>
            <w:hideMark/>
          </w:tcPr>
          <w:p w:rsidR="00B951B1" w:rsidRPr="00E61612" w:rsidRDefault="00B951B1" w:rsidP="00CB78E6">
            <w:pPr>
              <w:spacing w:after="0"/>
              <w:outlineLvl w:val="1"/>
              <w:rPr>
                <w:rFonts w:eastAsia="Times New Roman" w:cs="Calibri"/>
                <w:sz w:val="16"/>
                <w:szCs w:val="16"/>
              </w:rPr>
            </w:pPr>
          </w:p>
        </w:tc>
        <w:tc>
          <w:tcPr>
            <w:tcW w:w="992" w:type="dxa"/>
            <w:vMerge/>
            <w:tcBorders>
              <w:top w:val="nil"/>
              <w:left w:val="single" w:sz="4" w:space="0" w:color="auto"/>
              <w:bottom w:val="single" w:sz="4" w:space="0" w:color="000000"/>
              <w:right w:val="single" w:sz="4" w:space="0" w:color="auto"/>
            </w:tcBorders>
            <w:shd w:val="clear" w:color="auto" w:fill="FFFFFF"/>
            <w:hideMark/>
          </w:tcPr>
          <w:p w:rsidR="00B951B1" w:rsidRPr="00E61612" w:rsidRDefault="00B951B1" w:rsidP="00CB78E6">
            <w:pPr>
              <w:spacing w:after="0"/>
              <w:outlineLvl w:val="1"/>
              <w:rPr>
                <w:rFonts w:eastAsia="Times New Roman" w:cs="Calibri"/>
                <w:sz w:val="16"/>
                <w:szCs w:val="16"/>
              </w:rPr>
            </w:pPr>
          </w:p>
        </w:tc>
        <w:tc>
          <w:tcPr>
            <w:tcW w:w="1309" w:type="dxa"/>
            <w:tcBorders>
              <w:top w:val="nil"/>
              <w:left w:val="nil"/>
              <w:bottom w:val="single" w:sz="4" w:space="0" w:color="auto"/>
              <w:right w:val="single" w:sz="4" w:space="0" w:color="auto"/>
            </w:tcBorders>
            <w:shd w:val="clear" w:color="auto" w:fill="FFFFFF"/>
            <w:hideMark/>
          </w:tcPr>
          <w:p w:rsidR="00B951B1" w:rsidRPr="00E61612" w:rsidRDefault="00B951B1" w:rsidP="00CB78E6">
            <w:pPr>
              <w:spacing w:after="0"/>
              <w:outlineLvl w:val="1"/>
              <w:rPr>
                <w:rFonts w:eastAsia="Times New Roman" w:cs="Calibri"/>
                <w:sz w:val="16"/>
                <w:szCs w:val="16"/>
              </w:rPr>
            </w:pPr>
            <w:r w:rsidRPr="00E61612">
              <w:rPr>
                <w:rFonts w:eastAsia="Times New Roman" w:cs="Calibri"/>
                <w:sz w:val="16"/>
                <w:szCs w:val="16"/>
              </w:rPr>
              <w:t xml:space="preserve">C7.3.2. Mbështetje për studentët për blerjen e </w:t>
            </w:r>
            <w:r w:rsidRPr="00E61612">
              <w:rPr>
                <w:rFonts w:eastAsia="Times New Roman" w:cs="Calibri"/>
                <w:sz w:val="16"/>
                <w:szCs w:val="16"/>
              </w:rPr>
              <w:lastRenderedPageBreak/>
              <w:t>pajisjeve personale</w:t>
            </w:r>
          </w:p>
        </w:tc>
        <w:tc>
          <w:tcPr>
            <w:tcW w:w="1067" w:type="dxa"/>
            <w:tcBorders>
              <w:top w:val="nil"/>
              <w:left w:val="single" w:sz="4" w:space="0" w:color="auto"/>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lastRenderedPageBreak/>
              <w:t>-</w:t>
            </w:r>
          </w:p>
        </w:tc>
        <w:tc>
          <w:tcPr>
            <w:tcW w:w="851"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480</w:t>
            </w:r>
          </w:p>
        </w:tc>
        <w:tc>
          <w:tcPr>
            <w:tcW w:w="992"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w:t>
            </w:r>
          </w:p>
        </w:tc>
        <w:tc>
          <w:tcPr>
            <w:tcW w:w="992" w:type="dxa"/>
            <w:gridSpan w:val="2"/>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480</w:t>
            </w:r>
          </w:p>
        </w:tc>
        <w:tc>
          <w:tcPr>
            <w:tcW w:w="992"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w:t>
            </w:r>
          </w:p>
        </w:tc>
        <w:tc>
          <w:tcPr>
            <w:tcW w:w="993"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480</w:t>
            </w:r>
          </w:p>
        </w:tc>
        <w:tc>
          <w:tcPr>
            <w:tcW w:w="992"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w:t>
            </w:r>
          </w:p>
        </w:tc>
        <w:tc>
          <w:tcPr>
            <w:tcW w:w="992"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w:t>
            </w:r>
          </w:p>
        </w:tc>
        <w:tc>
          <w:tcPr>
            <w:tcW w:w="992"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(480)</w:t>
            </w:r>
          </w:p>
        </w:tc>
        <w:tc>
          <w:tcPr>
            <w:tcW w:w="851"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w:t>
            </w:r>
          </w:p>
        </w:tc>
        <w:tc>
          <w:tcPr>
            <w:tcW w:w="1134"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480</w:t>
            </w:r>
          </w:p>
        </w:tc>
      </w:tr>
      <w:tr w:rsidR="00B951B1" w:rsidRPr="00E61612" w:rsidTr="00CB78E6">
        <w:trPr>
          <w:trHeight w:val="765"/>
          <w:jc w:val="center"/>
        </w:trPr>
        <w:tc>
          <w:tcPr>
            <w:tcW w:w="992" w:type="dxa"/>
            <w:vMerge/>
            <w:tcBorders>
              <w:top w:val="nil"/>
              <w:left w:val="single" w:sz="4" w:space="0" w:color="auto"/>
              <w:bottom w:val="single" w:sz="4" w:space="0" w:color="auto"/>
              <w:right w:val="single" w:sz="4" w:space="0" w:color="auto"/>
            </w:tcBorders>
            <w:shd w:val="clear" w:color="auto" w:fill="FFFFFF"/>
            <w:hideMark/>
          </w:tcPr>
          <w:p w:rsidR="00B951B1" w:rsidRPr="00E61612" w:rsidRDefault="00B951B1" w:rsidP="00CB78E6">
            <w:pPr>
              <w:spacing w:after="0"/>
              <w:outlineLvl w:val="1"/>
              <w:rPr>
                <w:rFonts w:eastAsia="Times New Roman" w:cs="Calibri"/>
                <w:sz w:val="16"/>
                <w:szCs w:val="16"/>
              </w:rPr>
            </w:pPr>
          </w:p>
        </w:tc>
        <w:tc>
          <w:tcPr>
            <w:tcW w:w="993" w:type="dxa"/>
            <w:vMerge/>
            <w:tcBorders>
              <w:top w:val="nil"/>
              <w:left w:val="single" w:sz="4" w:space="0" w:color="auto"/>
              <w:bottom w:val="single" w:sz="4" w:space="0" w:color="auto"/>
              <w:right w:val="single" w:sz="4" w:space="0" w:color="auto"/>
            </w:tcBorders>
            <w:shd w:val="clear" w:color="auto" w:fill="FFFFFF"/>
            <w:hideMark/>
          </w:tcPr>
          <w:p w:rsidR="00B951B1" w:rsidRPr="00E61612" w:rsidRDefault="00B951B1" w:rsidP="00CB78E6">
            <w:pPr>
              <w:spacing w:after="0"/>
              <w:outlineLvl w:val="1"/>
              <w:rPr>
                <w:rFonts w:eastAsia="Times New Roman" w:cs="Calibri"/>
                <w:sz w:val="16"/>
                <w:szCs w:val="16"/>
              </w:rPr>
            </w:pPr>
          </w:p>
        </w:tc>
        <w:tc>
          <w:tcPr>
            <w:tcW w:w="992" w:type="dxa"/>
            <w:vMerge/>
            <w:tcBorders>
              <w:top w:val="nil"/>
              <w:left w:val="single" w:sz="4" w:space="0" w:color="auto"/>
              <w:bottom w:val="single" w:sz="4" w:space="0" w:color="000000"/>
              <w:right w:val="single" w:sz="4" w:space="0" w:color="auto"/>
            </w:tcBorders>
            <w:shd w:val="clear" w:color="auto" w:fill="FFFFFF"/>
            <w:hideMark/>
          </w:tcPr>
          <w:p w:rsidR="00B951B1" w:rsidRPr="00E61612" w:rsidRDefault="00B951B1" w:rsidP="00CB78E6">
            <w:pPr>
              <w:spacing w:after="0"/>
              <w:outlineLvl w:val="1"/>
              <w:rPr>
                <w:rFonts w:eastAsia="Times New Roman" w:cs="Calibri"/>
                <w:sz w:val="16"/>
                <w:szCs w:val="16"/>
              </w:rPr>
            </w:pPr>
          </w:p>
        </w:tc>
        <w:tc>
          <w:tcPr>
            <w:tcW w:w="1309" w:type="dxa"/>
            <w:tcBorders>
              <w:top w:val="nil"/>
              <w:left w:val="nil"/>
              <w:bottom w:val="single" w:sz="4" w:space="0" w:color="auto"/>
              <w:right w:val="single" w:sz="4" w:space="0" w:color="auto"/>
            </w:tcBorders>
            <w:shd w:val="clear" w:color="auto" w:fill="FFFFFF"/>
            <w:hideMark/>
          </w:tcPr>
          <w:p w:rsidR="00B951B1" w:rsidRPr="00E61612" w:rsidRDefault="00B951B1" w:rsidP="00CB78E6">
            <w:pPr>
              <w:spacing w:after="0"/>
              <w:outlineLvl w:val="1"/>
              <w:rPr>
                <w:rFonts w:eastAsia="Times New Roman" w:cs="Calibri"/>
                <w:sz w:val="16"/>
                <w:szCs w:val="16"/>
              </w:rPr>
            </w:pPr>
            <w:r w:rsidRPr="00E61612">
              <w:rPr>
                <w:rFonts w:eastAsia="Times New Roman" w:cs="Calibri"/>
                <w:sz w:val="16"/>
                <w:szCs w:val="16"/>
              </w:rPr>
              <w:t>C7.3.3. Digjitalizimi i sekretarive në të gjitha IAL-të publike</w:t>
            </w:r>
          </w:p>
        </w:tc>
        <w:tc>
          <w:tcPr>
            <w:tcW w:w="1067" w:type="dxa"/>
            <w:tcBorders>
              <w:top w:val="nil"/>
              <w:left w:val="single" w:sz="4" w:space="0" w:color="auto"/>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w:t>
            </w:r>
          </w:p>
        </w:tc>
        <w:tc>
          <w:tcPr>
            <w:tcW w:w="851"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225,000</w:t>
            </w:r>
          </w:p>
        </w:tc>
        <w:tc>
          <w:tcPr>
            <w:tcW w:w="992"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w:t>
            </w:r>
          </w:p>
        </w:tc>
        <w:tc>
          <w:tcPr>
            <w:tcW w:w="992" w:type="dxa"/>
            <w:gridSpan w:val="2"/>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w:t>
            </w:r>
          </w:p>
        </w:tc>
        <w:tc>
          <w:tcPr>
            <w:tcW w:w="992"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225,000</w:t>
            </w:r>
          </w:p>
        </w:tc>
        <w:tc>
          <w:tcPr>
            <w:tcW w:w="993"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225,000</w:t>
            </w:r>
          </w:p>
        </w:tc>
        <w:tc>
          <w:tcPr>
            <w:tcW w:w="992"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w:t>
            </w:r>
          </w:p>
        </w:tc>
        <w:tc>
          <w:tcPr>
            <w:tcW w:w="992"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w:t>
            </w:r>
          </w:p>
        </w:tc>
        <w:tc>
          <w:tcPr>
            <w:tcW w:w="992"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(225,000)</w:t>
            </w:r>
          </w:p>
        </w:tc>
        <w:tc>
          <w:tcPr>
            <w:tcW w:w="851"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w:t>
            </w:r>
          </w:p>
        </w:tc>
        <w:tc>
          <w:tcPr>
            <w:tcW w:w="1134"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1"/>
              <w:rPr>
                <w:rFonts w:eastAsia="Times New Roman" w:cs="Calibri"/>
                <w:sz w:val="16"/>
                <w:szCs w:val="16"/>
              </w:rPr>
            </w:pPr>
            <w:r w:rsidRPr="00E61612">
              <w:rPr>
                <w:rFonts w:eastAsia="Times New Roman" w:cs="Calibri"/>
                <w:sz w:val="16"/>
                <w:szCs w:val="16"/>
              </w:rPr>
              <w:t>225,000</w:t>
            </w:r>
          </w:p>
        </w:tc>
      </w:tr>
      <w:tr w:rsidR="00B951B1" w:rsidRPr="00E61612" w:rsidTr="00CB78E6">
        <w:trPr>
          <w:trHeight w:val="255"/>
          <w:jc w:val="center"/>
        </w:trPr>
        <w:tc>
          <w:tcPr>
            <w:tcW w:w="992" w:type="dxa"/>
            <w:vMerge/>
            <w:tcBorders>
              <w:top w:val="nil"/>
              <w:left w:val="single" w:sz="4" w:space="0" w:color="auto"/>
              <w:bottom w:val="single" w:sz="4" w:space="0" w:color="auto"/>
              <w:right w:val="single" w:sz="4" w:space="0" w:color="auto"/>
            </w:tcBorders>
            <w:shd w:val="clear" w:color="auto" w:fill="FFFFFF"/>
            <w:hideMark/>
          </w:tcPr>
          <w:p w:rsidR="00B951B1" w:rsidRPr="00E61612" w:rsidRDefault="00B951B1" w:rsidP="00CB78E6">
            <w:pPr>
              <w:spacing w:after="0"/>
              <w:outlineLvl w:val="0"/>
              <w:rPr>
                <w:rFonts w:eastAsia="Times New Roman" w:cs="Calibri"/>
                <w:sz w:val="16"/>
                <w:szCs w:val="16"/>
              </w:rPr>
            </w:pPr>
          </w:p>
        </w:tc>
        <w:tc>
          <w:tcPr>
            <w:tcW w:w="993" w:type="dxa"/>
            <w:vMerge/>
            <w:tcBorders>
              <w:top w:val="nil"/>
              <w:left w:val="single" w:sz="4" w:space="0" w:color="auto"/>
              <w:bottom w:val="single" w:sz="4" w:space="0" w:color="auto"/>
              <w:right w:val="single" w:sz="4" w:space="0" w:color="auto"/>
            </w:tcBorders>
            <w:shd w:val="clear" w:color="auto" w:fill="FFFFFF"/>
            <w:hideMark/>
          </w:tcPr>
          <w:p w:rsidR="00B951B1" w:rsidRPr="00E61612" w:rsidRDefault="00B951B1" w:rsidP="00CB78E6">
            <w:pPr>
              <w:spacing w:after="0"/>
              <w:outlineLvl w:val="0"/>
              <w:rPr>
                <w:rFonts w:eastAsia="Times New Roman" w:cs="Calibri"/>
                <w:sz w:val="16"/>
                <w:szCs w:val="16"/>
              </w:rPr>
            </w:pPr>
          </w:p>
        </w:tc>
        <w:tc>
          <w:tcPr>
            <w:tcW w:w="2301" w:type="dxa"/>
            <w:gridSpan w:val="2"/>
            <w:tcBorders>
              <w:top w:val="single" w:sz="4" w:space="0" w:color="auto"/>
              <w:left w:val="nil"/>
              <w:bottom w:val="single" w:sz="4" w:space="0" w:color="auto"/>
              <w:right w:val="nil"/>
            </w:tcBorders>
            <w:shd w:val="clear" w:color="auto" w:fill="FFFFFF"/>
            <w:hideMark/>
          </w:tcPr>
          <w:p w:rsidR="00B951B1" w:rsidRPr="00E61612" w:rsidRDefault="00B951B1" w:rsidP="00CB78E6">
            <w:pPr>
              <w:spacing w:after="0"/>
              <w:jc w:val="center"/>
              <w:outlineLvl w:val="0"/>
              <w:rPr>
                <w:rFonts w:eastAsia="Times New Roman" w:cs="Calibri"/>
                <w:i/>
                <w:iCs/>
                <w:sz w:val="16"/>
                <w:szCs w:val="16"/>
              </w:rPr>
            </w:pPr>
            <w:r w:rsidRPr="00E61612">
              <w:rPr>
                <w:rFonts w:eastAsia="Times New Roman" w:cs="Calibri"/>
                <w:i/>
                <w:iCs/>
                <w:sz w:val="16"/>
                <w:szCs w:val="16"/>
              </w:rPr>
              <w:t>TOTAL C7</w:t>
            </w:r>
          </w:p>
        </w:tc>
        <w:tc>
          <w:tcPr>
            <w:tcW w:w="1067" w:type="dxa"/>
            <w:tcBorders>
              <w:top w:val="nil"/>
              <w:left w:val="single" w:sz="4" w:space="0" w:color="auto"/>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0"/>
              <w:rPr>
                <w:rFonts w:eastAsia="Times New Roman" w:cs="Calibri"/>
                <w:i/>
                <w:sz w:val="16"/>
                <w:szCs w:val="16"/>
              </w:rPr>
            </w:pPr>
            <w:r w:rsidRPr="00E61612">
              <w:rPr>
                <w:rFonts w:eastAsia="Times New Roman" w:cs="Calibri"/>
                <w:i/>
                <w:sz w:val="16"/>
                <w:szCs w:val="16"/>
              </w:rPr>
              <w:t>-</w:t>
            </w:r>
          </w:p>
        </w:tc>
        <w:tc>
          <w:tcPr>
            <w:tcW w:w="851"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0"/>
              <w:rPr>
                <w:rFonts w:eastAsia="Times New Roman" w:cs="Calibri"/>
                <w:i/>
                <w:sz w:val="16"/>
                <w:szCs w:val="16"/>
              </w:rPr>
            </w:pPr>
            <w:r w:rsidRPr="00E61612">
              <w:rPr>
                <w:rFonts w:eastAsia="Times New Roman" w:cs="Calibri"/>
                <w:i/>
                <w:sz w:val="16"/>
                <w:szCs w:val="16"/>
              </w:rPr>
              <w:t>418,140</w:t>
            </w:r>
          </w:p>
        </w:tc>
        <w:tc>
          <w:tcPr>
            <w:tcW w:w="992"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0"/>
              <w:rPr>
                <w:rFonts w:eastAsia="Times New Roman" w:cs="Calibri"/>
                <w:i/>
                <w:sz w:val="16"/>
                <w:szCs w:val="16"/>
              </w:rPr>
            </w:pPr>
            <w:r w:rsidRPr="00E61612">
              <w:rPr>
                <w:rFonts w:eastAsia="Times New Roman" w:cs="Calibri"/>
                <w:i/>
                <w:sz w:val="16"/>
                <w:szCs w:val="16"/>
              </w:rPr>
              <w:t>-</w:t>
            </w:r>
          </w:p>
        </w:tc>
        <w:tc>
          <w:tcPr>
            <w:tcW w:w="992" w:type="dxa"/>
            <w:gridSpan w:val="2"/>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0"/>
              <w:rPr>
                <w:rFonts w:eastAsia="Times New Roman" w:cs="Calibri"/>
                <w:i/>
                <w:sz w:val="16"/>
                <w:szCs w:val="16"/>
              </w:rPr>
            </w:pPr>
            <w:r w:rsidRPr="00E61612">
              <w:rPr>
                <w:rFonts w:eastAsia="Times New Roman" w:cs="Calibri"/>
                <w:i/>
                <w:sz w:val="16"/>
                <w:szCs w:val="16"/>
              </w:rPr>
              <w:t>131,940</w:t>
            </w:r>
          </w:p>
        </w:tc>
        <w:tc>
          <w:tcPr>
            <w:tcW w:w="992"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0"/>
              <w:rPr>
                <w:rFonts w:eastAsia="Times New Roman" w:cs="Calibri"/>
                <w:i/>
                <w:sz w:val="16"/>
                <w:szCs w:val="16"/>
              </w:rPr>
            </w:pPr>
            <w:r w:rsidRPr="00E61612">
              <w:rPr>
                <w:rFonts w:eastAsia="Times New Roman" w:cs="Calibri"/>
                <w:i/>
                <w:sz w:val="16"/>
                <w:szCs w:val="16"/>
              </w:rPr>
              <w:t>286,200</w:t>
            </w:r>
          </w:p>
        </w:tc>
        <w:tc>
          <w:tcPr>
            <w:tcW w:w="993"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0"/>
              <w:rPr>
                <w:rFonts w:eastAsia="Times New Roman" w:cs="Calibri"/>
                <w:i/>
                <w:sz w:val="16"/>
                <w:szCs w:val="16"/>
              </w:rPr>
            </w:pPr>
            <w:r w:rsidRPr="00E61612">
              <w:rPr>
                <w:rFonts w:eastAsia="Times New Roman" w:cs="Calibri"/>
                <w:i/>
                <w:sz w:val="16"/>
                <w:szCs w:val="16"/>
              </w:rPr>
              <w:t>418,140</w:t>
            </w:r>
          </w:p>
        </w:tc>
        <w:tc>
          <w:tcPr>
            <w:tcW w:w="992"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0"/>
              <w:rPr>
                <w:rFonts w:eastAsia="Times New Roman" w:cs="Calibri"/>
                <w:i/>
                <w:sz w:val="16"/>
                <w:szCs w:val="16"/>
              </w:rPr>
            </w:pPr>
            <w:r w:rsidRPr="00E61612">
              <w:rPr>
                <w:rFonts w:eastAsia="Times New Roman" w:cs="Calibri"/>
                <w:i/>
                <w:sz w:val="16"/>
                <w:szCs w:val="16"/>
              </w:rPr>
              <w:t>-</w:t>
            </w:r>
          </w:p>
        </w:tc>
        <w:tc>
          <w:tcPr>
            <w:tcW w:w="992"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0"/>
              <w:rPr>
                <w:rFonts w:eastAsia="Times New Roman" w:cs="Calibri"/>
                <w:i/>
                <w:sz w:val="16"/>
                <w:szCs w:val="16"/>
              </w:rPr>
            </w:pPr>
            <w:r w:rsidRPr="00E61612">
              <w:rPr>
                <w:rFonts w:eastAsia="Times New Roman" w:cs="Calibri"/>
                <w:i/>
                <w:sz w:val="16"/>
                <w:szCs w:val="16"/>
              </w:rPr>
              <w:t>-</w:t>
            </w:r>
          </w:p>
        </w:tc>
        <w:tc>
          <w:tcPr>
            <w:tcW w:w="992"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0"/>
              <w:rPr>
                <w:rFonts w:eastAsia="Times New Roman" w:cs="Calibri"/>
                <w:i/>
                <w:sz w:val="16"/>
                <w:szCs w:val="16"/>
              </w:rPr>
            </w:pPr>
            <w:r w:rsidRPr="00E61612">
              <w:rPr>
                <w:rFonts w:eastAsia="Times New Roman" w:cs="Calibri"/>
                <w:i/>
                <w:sz w:val="16"/>
                <w:szCs w:val="16"/>
              </w:rPr>
              <w:t>(418,140)</w:t>
            </w:r>
          </w:p>
        </w:tc>
        <w:tc>
          <w:tcPr>
            <w:tcW w:w="851"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0"/>
              <w:rPr>
                <w:rFonts w:eastAsia="Times New Roman" w:cs="Calibri"/>
                <w:i/>
                <w:sz w:val="16"/>
                <w:szCs w:val="16"/>
              </w:rPr>
            </w:pPr>
            <w:r w:rsidRPr="00E61612">
              <w:rPr>
                <w:rFonts w:eastAsia="Times New Roman" w:cs="Calibri"/>
                <w:i/>
                <w:sz w:val="16"/>
                <w:szCs w:val="16"/>
              </w:rPr>
              <w:t>-</w:t>
            </w:r>
          </w:p>
        </w:tc>
        <w:tc>
          <w:tcPr>
            <w:tcW w:w="1134"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outlineLvl w:val="0"/>
              <w:rPr>
                <w:rFonts w:eastAsia="Times New Roman" w:cs="Calibri"/>
                <w:i/>
                <w:sz w:val="16"/>
                <w:szCs w:val="16"/>
              </w:rPr>
            </w:pPr>
            <w:r w:rsidRPr="00E61612">
              <w:rPr>
                <w:rFonts w:eastAsia="Times New Roman" w:cs="Calibri"/>
                <w:i/>
                <w:sz w:val="16"/>
                <w:szCs w:val="16"/>
              </w:rPr>
              <w:t>418,140</w:t>
            </w:r>
          </w:p>
        </w:tc>
      </w:tr>
      <w:tr w:rsidR="00B951B1" w:rsidRPr="00E61612" w:rsidTr="00CB78E6">
        <w:trPr>
          <w:trHeight w:val="255"/>
          <w:jc w:val="center"/>
        </w:trPr>
        <w:tc>
          <w:tcPr>
            <w:tcW w:w="992" w:type="dxa"/>
            <w:vMerge/>
            <w:tcBorders>
              <w:top w:val="nil"/>
              <w:left w:val="single" w:sz="4" w:space="0" w:color="auto"/>
              <w:bottom w:val="single" w:sz="4" w:space="0" w:color="auto"/>
              <w:right w:val="single" w:sz="4" w:space="0" w:color="auto"/>
            </w:tcBorders>
            <w:shd w:val="clear" w:color="auto" w:fill="FFFFFF"/>
            <w:hideMark/>
          </w:tcPr>
          <w:p w:rsidR="00B951B1" w:rsidRPr="00E61612" w:rsidRDefault="00B951B1" w:rsidP="00CB78E6">
            <w:pPr>
              <w:spacing w:after="0"/>
              <w:rPr>
                <w:rFonts w:eastAsia="Times New Roman" w:cs="Calibri"/>
                <w:sz w:val="16"/>
                <w:szCs w:val="16"/>
              </w:rPr>
            </w:pPr>
          </w:p>
        </w:tc>
        <w:tc>
          <w:tcPr>
            <w:tcW w:w="3294" w:type="dxa"/>
            <w:gridSpan w:val="3"/>
            <w:tcBorders>
              <w:top w:val="single" w:sz="4" w:space="0" w:color="auto"/>
              <w:left w:val="nil"/>
              <w:bottom w:val="single" w:sz="4" w:space="0" w:color="auto"/>
              <w:right w:val="nil"/>
            </w:tcBorders>
            <w:shd w:val="clear" w:color="auto" w:fill="FFFFFF"/>
            <w:hideMark/>
          </w:tcPr>
          <w:p w:rsidR="00B951B1" w:rsidRPr="00E61612" w:rsidRDefault="00B951B1" w:rsidP="00CB78E6">
            <w:pPr>
              <w:spacing w:after="0"/>
              <w:jc w:val="center"/>
              <w:rPr>
                <w:rFonts w:eastAsia="Times New Roman" w:cs="Calibri"/>
                <w:b/>
                <w:bCs/>
                <w:sz w:val="16"/>
                <w:szCs w:val="16"/>
              </w:rPr>
            </w:pPr>
            <w:r w:rsidRPr="00E61612">
              <w:rPr>
                <w:rFonts w:eastAsia="Times New Roman" w:cs="Calibri"/>
                <w:b/>
                <w:bCs/>
                <w:sz w:val="16"/>
                <w:szCs w:val="16"/>
              </w:rPr>
              <w:t>TOTAL C</w:t>
            </w:r>
          </w:p>
        </w:tc>
        <w:tc>
          <w:tcPr>
            <w:tcW w:w="1067" w:type="dxa"/>
            <w:tcBorders>
              <w:top w:val="nil"/>
              <w:left w:val="single" w:sz="4" w:space="0" w:color="auto"/>
              <w:bottom w:val="single" w:sz="4" w:space="0" w:color="auto"/>
              <w:right w:val="single" w:sz="4" w:space="0" w:color="auto"/>
            </w:tcBorders>
            <w:shd w:val="clear" w:color="auto" w:fill="FFFFFF"/>
            <w:noWrap/>
            <w:hideMark/>
          </w:tcPr>
          <w:p w:rsidR="00B951B1" w:rsidRPr="00E61612" w:rsidRDefault="00B951B1" w:rsidP="00CB78E6">
            <w:pPr>
              <w:spacing w:after="0"/>
              <w:jc w:val="right"/>
              <w:rPr>
                <w:rFonts w:eastAsia="Times New Roman" w:cs="Calibri"/>
                <w:b/>
                <w:sz w:val="16"/>
                <w:szCs w:val="16"/>
              </w:rPr>
            </w:pPr>
            <w:r w:rsidRPr="00E61612">
              <w:rPr>
                <w:rFonts w:eastAsia="Times New Roman" w:cs="Calibri"/>
                <w:b/>
                <w:sz w:val="16"/>
                <w:szCs w:val="16"/>
              </w:rPr>
              <w:t>22,700</w:t>
            </w:r>
          </w:p>
        </w:tc>
        <w:tc>
          <w:tcPr>
            <w:tcW w:w="851"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rPr>
                <w:rFonts w:eastAsia="Times New Roman" w:cs="Calibri"/>
                <w:b/>
                <w:sz w:val="16"/>
                <w:szCs w:val="16"/>
              </w:rPr>
            </w:pPr>
            <w:r w:rsidRPr="00E61612">
              <w:rPr>
                <w:rFonts w:eastAsia="Times New Roman" w:cs="Calibri"/>
                <w:b/>
                <w:sz w:val="16"/>
                <w:szCs w:val="16"/>
              </w:rPr>
              <w:t>7,225,619</w:t>
            </w:r>
          </w:p>
        </w:tc>
        <w:tc>
          <w:tcPr>
            <w:tcW w:w="992"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rPr>
                <w:rFonts w:eastAsia="Times New Roman" w:cs="Calibri"/>
                <w:b/>
                <w:sz w:val="16"/>
                <w:szCs w:val="16"/>
              </w:rPr>
            </w:pPr>
            <w:r w:rsidRPr="00E61612">
              <w:rPr>
                <w:rFonts w:eastAsia="Times New Roman" w:cs="Calibri"/>
                <w:b/>
                <w:sz w:val="16"/>
                <w:szCs w:val="16"/>
              </w:rPr>
              <w:t>7,923,078</w:t>
            </w:r>
          </w:p>
        </w:tc>
        <w:tc>
          <w:tcPr>
            <w:tcW w:w="992" w:type="dxa"/>
            <w:gridSpan w:val="2"/>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rPr>
                <w:rFonts w:eastAsia="Times New Roman" w:cs="Calibri"/>
                <w:b/>
                <w:sz w:val="16"/>
                <w:szCs w:val="16"/>
              </w:rPr>
            </w:pPr>
            <w:r w:rsidRPr="00E61612">
              <w:rPr>
                <w:rFonts w:eastAsia="Times New Roman" w:cs="Calibri"/>
                <w:b/>
                <w:sz w:val="16"/>
                <w:szCs w:val="16"/>
              </w:rPr>
              <w:t>14,802,497</w:t>
            </w:r>
          </w:p>
        </w:tc>
        <w:tc>
          <w:tcPr>
            <w:tcW w:w="992"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rPr>
                <w:rFonts w:eastAsia="Times New Roman" w:cs="Calibri"/>
                <w:b/>
                <w:sz w:val="16"/>
                <w:szCs w:val="16"/>
              </w:rPr>
            </w:pPr>
            <w:r w:rsidRPr="00E61612">
              <w:rPr>
                <w:rFonts w:eastAsia="Times New Roman" w:cs="Calibri"/>
                <w:b/>
                <w:sz w:val="16"/>
                <w:szCs w:val="16"/>
              </w:rPr>
              <w:t>368,900</w:t>
            </w:r>
          </w:p>
        </w:tc>
        <w:tc>
          <w:tcPr>
            <w:tcW w:w="993"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rPr>
                <w:rFonts w:eastAsia="Times New Roman" w:cs="Calibri"/>
                <w:b/>
                <w:sz w:val="16"/>
                <w:szCs w:val="16"/>
              </w:rPr>
            </w:pPr>
            <w:r w:rsidRPr="00E61612">
              <w:rPr>
                <w:rFonts w:eastAsia="Times New Roman" w:cs="Calibri"/>
                <w:b/>
                <w:sz w:val="16"/>
                <w:szCs w:val="16"/>
              </w:rPr>
              <w:t>15,171,397</w:t>
            </w:r>
          </w:p>
        </w:tc>
        <w:tc>
          <w:tcPr>
            <w:tcW w:w="992"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rPr>
                <w:rFonts w:eastAsia="Times New Roman" w:cs="Calibri"/>
                <w:b/>
                <w:sz w:val="16"/>
                <w:szCs w:val="16"/>
              </w:rPr>
            </w:pPr>
            <w:r w:rsidRPr="00E61612">
              <w:rPr>
                <w:rFonts w:eastAsia="Times New Roman" w:cs="Calibri"/>
                <w:b/>
                <w:sz w:val="16"/>
                <w:szCs w:val="16"/>
              </w:rPr>
              <w:t>14,643,648</w:t>
            </w:r>
          </w:p>
        </w:tc>
        <w:tc>
          <w:tcPr>
            <w:tcW w:w="992"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rPr>
                <w:rFonts w:eastAsia="Times New Roman" w:cs="Calibri"/>
                <w:b/>
                <w:sz w:val="16"/>
                <w:szCs w:val="16"/>
              </w:rPr>
            </w:pPr>
            <w:r w:rsidRPr="00E61612">
              <w:rPr>
                <w:rFonts w:eastAsia="Times New Roman" w:cs="Calibri"/>
                <w:b/>
                <w:sz w:val="16"/>
                <w:szCs w:val="16"/>
              </w:rPr>
              <w:t>24,772</w:t>
            </w:r>
          </w:p>
        </w:tc>
        <w:tc>
          <w:tcPr>
            <w:tcW w:w="992" w:type="dxa"/>
            <w:tcBorders>
              <w:top w:val="single" w:sz="4" w:space="0" w:color="auto"/>
              <w:left w:val="single" w:sz="4" w:space="0" w:color="auto"/>
              <w:bottom w:val="single" w:sz="4" w:space="0" w:color="auto"/>
              <w:right w:val="single" w:sz="4" w:space="0" w:color="auto"/>
            </w:tcBorders>
            <w:shd w:val="clear" w:color="auto" w:fill="FFFFFF"/>
            <w:noWrap/>
            <w:hideMark/>
          </w:tcPr>
          <w:p w:rsidR="00B951B1" w:rsidRPr="00E61612" w:rsidRDefault="00B951B1" w:rsidP="00CB78E6">
            <w:pPr>
              <w:spacing w:after="0"/>
              <w:jc w:val="right"/>
              <w:rPr>
                <w:rFonts w:eastAsia="Times New Roman" w:cs="Calibri"/>
                <w:b/>
                <w:sz w:val="16"/>
                <w:szCs w:val="16"/>
              </w:rPr>
            </w:pPr>
            <w:r w:rsidRPr="00E61612">
              <w:rPr>
                <w:rFonts w:eastAsia="Times New Roman" w:cs="Calibri"/>
                <w:b/>
                <w:sz w:val="16"/>
                <w:szCs w:val="16"/>
              </w:rPr>
              <w:t>(502,977)</w:t>
            </w:r>
          </w:p>
        </w:tc>
        <w:tc>
          <w:tcPr>
            <w:tcW w:w="851"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rPr>
                <w:rFonts w:eastAsia="Times New Roman" w:cs="Calibri"/>
                <w:b/>
                <w:sz w:val="16"/>
                <w:szCs w:val="16"/>
              </w:rPr>
            </w:pPr>
            <w:r w:rsidRPr="00E61612">
              <w:rPr>
                <w:rFonts w:eastAsia="Times New Roman" w:cs="Calibri"/>
                <w:b/>
                <w:sz w:val="16"/>
                <w:szCs w:val="16"/>
              </w:rPr>
              <w:t>-</w:t>
            </w:r>
          </w:p>
        </w:tc>
        <w:tc>
          <w:tcPr>
            <w:tcW w:w="1134"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rPr>
                <w:rFonts w:eastAsia="Times New Roman" w:cs="Calibri"/>
                <w:b/>
                <w:sz w:val="16"/>
                <w:szCs w:val="16"/>
              </w:rPr>
            </w:pPr>
            <w:r w:rsidRPr="00E61612">
              <w:rPr>
                <w:rFonts w:eastAsia="Times New Roman" w:cs="Calibri"/>
                <w:b/>
                <w:sz w:val="16"/>
                <w:szCs w:val="16"/>
              </w:rPr>
              <w:t>15,171,397</w:t>
            </w:r>
          </w:p>
        </w:tc>
      </w:tr>
      <w:tr w:rsidR="00B951B1" w:rsidRPr="00E61612" w:rsidTr="00CB78E6">
        <w:trPr>
          <w:trHeight w:val="300"/>
          <w:jc w:val="center"/>
        </w:trPr>
        <w:tc>
          <w:tcPr>
            <w:tcW w:w="4286" w:type="dxa"/>
            <w:gridSpan w:val="4"/>
            <w:tcBorders>
              <w:top w:val="single" w:sz="4" w:space="0" w:color="auto"/>
              <w:left w:val="single" w:sz="4" w:space="0" w:color="auto"/>
              <w:bottom w:val="single" w:sz="4" w:space="0" w:color="auto"/>
              <w:right w:val="single" w:sz="4" w:space="0" w:color="auto"/>
            </w:tcBorders>
            <w:shd w:val="clear" w:color="auto" w:fill="FFFFFF"/>
            <w:hideMark/>
          </w:tcPr>
          <w:p w:rsidR="00B951B1" w:rsidRPr="00E61612" w:rsidRDefault="00B951B1" w:rsidP="00CB78E6">
            <w:pPr>
              <w:spacing w:after="0"/>
              <w:jc w:val="center"/>
              <w:rPr>
                <w:rFonts w:eastAsia="Times New Roman" w:cs="Calibri"/>
                <w:b/>
                <w:bCs/>
                <w:i/>
                <w:iCs/>
                <w:sz w:val="16"/>
                <w:szCs w:val="16"/>
              </w:rPr>
            </w:pPr>
            <w:r w:rsidRPr="00E61612">
              <w:rPr>
                <w:rFonts w:eastAsia="Times New Roman" w:cs="Calibri"/>
                <w:b/>
                <w:bCs/>
                <w:i/>
                <w:iCs/>
                <w:sz w:val="16"/>
                <w:szCs w:val="16"/>
              </w:rPr>
              <w:t>TOTAL SKA 2021-2026</w:t>
            </w:r>
          </w:p>
        </w:tc>
        <w:tc>
          <w:tcPr>
            <w:tcW w:w="1067" w:type="dxa"/>
            <w:tcBorders>
              <w:top w:val="nil"/>
              <w:left w:val="single" w:sz="4" w:space="0" w:color="auto"/>
              <w:bottom w:val="single" w:sz="4" w:space="0" w:color="auto"/>
              <w:right w:val="single" w:sz="4" w:space="0" w:color="auto"/>
            </w:tcBorders>
            <w:shd w:val="clear" w:color="auto" w:fill="FFFFFF"/>
            <w:noWrap/>
            <w:hideMark/>
          </w:tcPr>
          <w:p w:rsidR="00B951B1" w:rsidRPr="00E61612" w:rsidRDefault="00B951B1" w:rsidP="00CB78E6">
            <w:pPr>
              <w:spacing w:after="0"/>
              <w:jc w:val="right"/>
              <w:rPr>
                <w:rFonts w:eastAsia="Times New Roman" w:cs="Calibri"/>
                <w:b/>
                <w:sz w:val="16"/>
                <w:szCs w:val="16"/>
              </w:rPr>
            </w:pPr>
            <w:r w:rsidRPr="00E61612">
              <w:rPr>
                <w:rFonts w:eastAsia="Times New Roman" w:cs="Calibri"/>
                <w:b/>
                <w:sz w:val="16"/>
                <w:szCs w:val="16"/>
              </w:rPr>
              <w:t>11,953,526</w:t>
            </w:r>
          </w:p>
        </w:tc>
        <w:tc>
          <w:tcPr>
            <w:tcW w:w="851"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rPr>
                <w:rFonts w:eastAsia="Times New Roman" w:cs="Calibri"/>
                <w:b/>
                <w:sz w:val="16"/>
                <w:szCs w:val="16"/>
              </w:rPr>
            </w:pPr>
            <w:r w:rsidRPr="00E61612">
              <w:rPr>
                <w:rFonts w:eastAsia="Times New Roman" w:cs="Calibri"/>
                <w:b/>
                <w:sz w:val="16"/>
                <w:szCs w:val="16"/>
              </w:rPr>
              <w:t>10,531,753</w:t>
            </w:r>
          </w:p>
        </w:tc>
        <w:tc>
          <w:tcPr>
            <w:tcW w:w="992"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rPr>
                <w:rFonts w:eastAsia="Times New Roman" w:cs="Calibri"/>
                <w:b/>
                <w:sz w:val="16"/>
                <w:szCs w:val="16"/>
              </w:rPr>
            </w:pPr>
            <w:r w:rsidRPr="00E61612">
              <w:rPr>
                <w:rFonts w:eastAsia="Times New Roman" w:cs="Calibri"/>
                <w:b/>
                <w:sz w:val="16"/>
                <w:szCs w:val="16"/>
              </w:rPr>
              <w:t>28,397,380</w:t>
            </w:r>
          </w:p>
        </w:tc>
        <w:tc>
          <w:tcPr>
            <w:tcW w:w="992" w:type="dxa"/>
            <w:gridSpan w:val="2"/>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rPr>
                <w:rFonts w:eastAsia="Times New Roman" w:cs="Calibri"/>
                <w:b/>
                <w:sz w:val="16"/>
                <w:szCs w:val="16"/>
              </w:rPr>
            </w:pPr>
            <w:r w:rsidRPr="00E61612">
              <w:rPr>
                <w:rFonts w:eastAsia="Times New Roman" w:cs="Calibri"/>
                <w:b/>
                <w:sz w:val="16"/>
                <w:szCs w:val="16"/>
              </w:rPr>
              <w:t>38,253,333</w:t>
            </w:r>
          </w:p>
        </w:tc>
        <w:tc>
          <w:tcPr>
            <w:tcW w:w="992"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rPr>
                <w:rFonts w:eastAsia="Times New Roman" w:cs="Calibri"/>
                <w:b/>
                <w:sz w:val="16"/>
                <w:szCs w:val="16"/>
              </w:rPr>
            </w:pPr>
            <w:r w:rsidRPr="00E61612">
              <w:rPr>
                <w:rFonts w:eastAsia="Times New Roman" w:cs="Calibri"/>
                <w:b/>
                <w:sz w:val="16"/>
                <w:szCs w:val="16"/>
              </w:rPr>
              <w:t>12,629,325</w:t>
            </w:r>
          </w:p>
        </w:tc>
        <w:tc>
          <w:tcPr>
            <w:tcW w:w="993"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rPr>
                <w:rFonts w:eastAsia="Times New Roman" w:cs="Calibri"/>
                <w:b/>
                <w:sz w:val="16"/>
                <w:szCs w:val="16"/>
              </w:rPr>
            </w:pPr>
            <w:r w:rsidRPr="00E61612">
              <w:rPr>
                <w:rFonts w:eastAsia="Times New Roman" w:cs="Calibri"/>
                <w:b/>
                <w:sz w:val="16"/>
                <w:szCs w:val="16"/>
              </w:rPr>
              <w:t>50,882,659</w:t>
            </w:r>
          </w:p>
        </w:tc>
        <w:tc>
          <w:tcPr>
            <w:tcW w:w="992"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rPr>
                <w:rFonts w:eastAsia="Times New Roman" w:cs="Calibri"/>
                <w:b/>
                <w:sz w:val="16"/>
                <w:szCs w:val="16"/>
              </w:rPr>
            </w:pPr>
            <w:r w:rsidRPr="00E61612">
              <w:rPr>
                <w:rFonts w:eastAsia="Times New Roman" w:cs="Calibri"/>
                <w:b/>
                <w:sz w:val="16"/>
                <w:szCs w:val="16"/>
              </w:rPr>
              <w:t>41,820,888</w:t>
            </w:r>
          </w:p>
        </w:tc>
        <w:tc>
          <w:tcPr>
            <w:tcW w:w="992"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rPr>
                <w:rFonts w:eastAsia="Times New Roman" w:cs="Calibri"/>
                <w:b/>
                <w:sz w:val="16"/>
                <w:szCs w:val="16"/>
              </w:rPr>
            </w:pPr>
            <w:r w:rsidRPr="00E61612">
              <w:rPr>
                <w:rFonts w:eastAsia="Times New Roman" w:cs="Calibri"/>
                <w:b/>
                <w:sz w:val="16"/>
                <w:szCs w:val="16"/>
              </w:rPr>
              <w:t>194,168</w:t>
            </w:r>
          </w:p>
        </w:tc>
        <w:tc>
          <w:tcPr>
            <w:tcW w:w="992" w:type="dxa"/>
            <w:tcBorders>
              <w:top w:val="single" w:sz="4" w:space="0" w:color="auto"/>
              <w:left w:val="single" w:sz="4" w:space="0" w:color="auto"/>
              <w:bottom w:val="single" w:sz="4" w:space="0" w:color="auto"/>
              <w:right w:val="single" w:sz="4" w:space="0" w:color="auto"/>
            </w:tcBorders>
            <w:shd w:val="clear" w:color="auto" w:fill="FFFFFF"/>
            <w:noWrap/>
            <w:hideMark/>
          </w:tcPr>
          <w:p w:rsidR="00B951B1" w:rsidRPr="00E61612" w:rsidRDefault="00B951B1" w:rsidP="00CB78E6">
            <w:pPr>
              <w:spacing w:after="0"/>
              <w:jc w:val="right"/>
              <w:rPr>
                <w:rFonts w:eastAsia="Times New Roman" w:cs="Calibri"/>
                <w:b/>
                <w:sz w:val="16"/>
                <w:szCs w:val="16"/>
              </w:rPr>
            </w:pPr>
            <w:r w:rsidRPr="00E61612">
              <w:rPr>
                <w:rFonts w:eastAsia="Times New Roman" w:cs="Calibri"/>
                <w:b/>
                <w:sz w:val="16"/>
                <w:szCs w:val="16"/>
              </w:rPr>
              <w:t>(8,867,603)</w:t>
            </w:r>
          </w:p>
        </w:tc>
        <w:tc>
          <w:tcPr>
            <w:tcW w:w="851"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rPr>
                <w:rFonts w:eastAsia="Times New Roman" w:cs="Calibri"/>
                <w:b/>
                <w:sz w:val="16"/>
                <w:szCs w:val="16"/>
              </w:rPr>
            </w:pPr>
            <w:r w:rsidRPr="00E61612">
              <w:rPr>
                <w:rFonts w:eastAsia="Times New Roman" w:cs="Calibri"/>
                <w:b/>
                <w:sz w:val="16"/>
                <w:szCs w:val="16"/>
              </w:rPr>
              <w:t>-</w:t>
            </w:r>
          </w:p>
        </w:tc>
        <w:tc>
          <w:tcPr>
            <w:tcW w:w="1134" w:type="dxa"/>
            <w:tcBorders>
              <w:top w:val="nil"/>
              <w:left w:val="nil"/>
              <w:bottom w:val="single" w:sz="4" w:space="0" w:color="auto"/>
              <w:right w:val="single" w:sz="4" w:space="0" w:color="auto"/>
            </w:tcBorders>
            <w:shd w:val="clear" w:color="auto" w:fill="FFFFFF"/>
            <w:noWrap/>
            <w:hideMark/>
          </w:tcPr>
          <w:p w:rsidR="00B951B1" w:rsidRPr="00E61612" w:rsidRDefault="00B951B1" w:rsidP="00CB78E6">
            <w:pPr>
              <w:spacing w:after="0"/>
              <w:jc w:val="right"/>
              <w:rPr>
                <w:rFonts w:eastAsia="Times New Roman" w:cs="Calibri"/>
                <w:b/>
                <w:sz w:val="16"/>
                <w:szCs w:val="16"/>
              </w:rPr>
            </w:pPr>
            <w:r w:rsidRPr="00E61612">
              <w:rPr>
                <w:rFonts w:eastAsia="Times New Roman" w:cs="Calibri"/>
                <w:b/>
                <w:sz w:val="16"/>
                <w:szCs w:val="16"/>
              </w:rPr>
              <w:t>50,882,659</w:t>
            </w:r>
          </w:p>
        </w:tc>
      </w:tr>
    </w:tbl>
    <w:p w:rsidR="00B951B1" w:rsidRPr="00E61612" w:rsidRDefault="00B951B1" w:rsidP="00B951B1"/>
    <w:p w:rsidR="00B951B1" w:rsidRPr="00E61612" w:rsidRDefault="00B951B1" w:rsidP="00B951B1">
      <w:pPr>
        <w:sectPr w:rsidR="00B951B1" w:rsidRPr="00E61612" w:rsidSect="006D0845">
          <w:pgSz w:w="15842" w:h="12242" w:orient="landscape" w:code="1"/>
          <w:pgMar w:top="1440" w:right="1440" w:bottom="1469" w:left="1440" w:header="720" w:footer="720" w:gutter="0"/>
          <w:cols w:space="720"/>
          <w:docGrid w:linePitch="360"/>
        </w:sectPr>
      </w:pPr>
    </w:p>
    <w:p w:rsidR="00B951B1" w:rsidRPr="00E61612" w:rsidRDefault="00B951B1" w:rsidP="00B951B1"/>
    <w:p w:rsidR="00B951B1" w:rsidRPr="00E61612" w:rsidRDefault="00B951B1" w:rsidP="00B951B1">
      <w:pPr>
        <w:jc w:val="center"/>
      </w:pPr>
    </w:p>
    <w:p w:rsidR="00B951B1" w:rsidRPr="00E61612" w:rsidRDefault="00B951B1" w:rsidP="00B951B1">
      <w:pPr>
        <w:spacing w:after="0"/>
        <w:jc w:val="both"/>
      </w:pPr>
    </w:p>
    <w:p w:rsidR="00B951B1" w:rsidRPr="00E61612" w:rsidRDefault="00B951B1" w:rsidP="00B951B1">
      <w:pPr>
        <w:pStyle w:val="Heading1"/>
        <w:jc w:val="both"/>
      </w:pPr>
      <w:bookmarkStart w:id="154" w:name="_Toc66802034"/>
      <w:r w:rsidRPr="00E61612">
        <w:t>Referencat</w:t>
      </w:r>
      <w:bookmarkEnd w:id="154"/>
    </w:p>
    <w:p w:rsidR="00B951B1" w:rsidRPr="00E61612" w:rsidRDefault="00B951B1" w:rsidP="00B951B1">
      <w:pPr>
        <w:spacing w:after="0"/>
        <w:jc w:val="both"/>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33"/>
        <w:gridCol w:w="8900"/>
      </w:tblGrid>
      <w:tr w:rsidR="00B951B1" w:rsidRPr="00E61612" w:rsidTr="00CB78E6">
        <w:trPr>
          <w:tblCellSpacing w:w="15" w:type="dxa"/>
        </w:trPr>
        <w:tc>
          <w:tcPr>
            <w:tcW w:w="50" w:type="pct"/>
            <w:hideMark/>
          </w:tcPr>
          <w:p w:rsidR="00B951B1" w:rsidRPr="00E61612" w:rsidRDefault="00B951B1" w:rsidP="00CB78E6">
            <w:pPr>
              <w:pStyle w:val="Bibliography"/>
              <w:rPr>
                <w:sz w:val="24"/>
                <w:szCs w:val="24"/>
              </w:rPr>
            </w:pPr>
            <w:r w:rsidRPr="00E61612">
              <w:t xml:space="preserve">[1] </w:t>
            </w:r>
          </w:p>
        </w:tc>
        <w:tc>
          <w:tcPr>
            <w:tcW w:w="0" w:type="auto"/>
            <w:hideMark/>
          </w:tcPr>
          <w:p w:rsidR="00B951B1" w:rsidRPr="00E61612" w:rsidRDefault="00B951B1" w:rsidP="00CB78E6">
            <w:pPr>
              <w:pStyle w:val="Bibliography"/>
            </w:pPr>
            <w:r w:rsidRPr="00E61612">
              <w:t xml:space="preserve">QBZ, </w:t>
            </w:r>
            <w:r w:rsidRPr="00E61612">
              <w:rPr>
                <w:i/>
                <w:iCs/>
              </w:rPr>
              <w:t xml:space="preserve">Strategjia Kombëtare për Zhvillim dhe Integrim 2015-2020, </w:t>
            </w:r>
            <w:r w:rsidRPr="00E61612">
              <w:t xml:space="preserve">2016. </w:t>
            </w:r>
          </w:p>
        </w:tc>
      </w:tr>
      <w:tr w:rsidR="00B951B1" w:rsidRPr="00E61612" w:rsidTr="00CB78E6">
        <w:trPr>
          <w:tblCellSpacing w:w="15" w:type="dxa"/>
        </w:trPr>
        <w:tc>
          <w:tcPr>
            <w:tcW w:w="50" w:type="pct"/>
            <w:hideMark/>
          </w:tcPr>
          <w:p w:rsidR="00B951B1" w:rsidRPr="00E61612" w:rsidRDefault="00B951B1" w:rsidP="00CB78E6">
            <w:pPr>
              <w:pStyle w:val="Bibliography"/>
            </w:pPr>
            <w:r w:rsidRPr="00E61612">
              <w:t xml:space="preserve">[2] </w:t>
            </w:r>
          </w:p>
        </w:tc>
        <w:tc>
          <w:tcPr>
            <w:tcW w:w="0" w:type="auto"/>
            <w:hideMark/>
          </w:tcPr>
          <w:p w:rsidR="00B951B1" w:rsidRPr="00E61612" w:rsidRDefault="00B951B1" w:rsidP="00CB78E6">
            <w:pPr>
              <w:pStyle w:val="Bibliography"/>
            </w:pPr>
            <w:r w:rsidRPr="00E61612">
              <w:t xml:space="preserve">QBZ, </w:t>
            </w:r>
            <w:r w:rsidRPr="00E61612">
              <w:rPr>
                <w:i/>
                <w:iCs/>
              </w:rPr>
              <w:t xml:space="preserve">Vendim i Këshillit të Ministrave për miratimin e Strategjisë së Arsimit Parauniversitar 2014-2020, </w:t>
            </w:r>
            <w:r w:rsidRPr="00E61612">
              <w:t xml:space="preserve">Tirana, 2016-2. </w:t>
            </w:r>
          </w:p>
        </w:tc>
      </w:tr>
      <w:tr w:rsidR="00B951B1" w:rsidRPr="00E61612" w:rsidTr="00CB78E6">
        <w:trPr>
          <w:tblCellSpacing w:w="15" w:type="dxa"/>
        </w:trPr>
        <w:tc>
          <w:tcPr>
            <w:tcW w:w="50" w:type="pct"/>
            <w:hideMark/>
          </w:tcPr>
          <w:p w:rsidR="00B951B1" w:rsidRPr="00E61612" w:rsidRDefault="00B951B1" w:rsidP="00CB78E6">
            <w:pPr>
              <w:pStyle w:val="Bibliography"/>
            </w:pPr>
            <w:r w:rsidRPr="00E61612">
              <w:t xml:space="preserve">[3] </w:t>
            </w:r>
          </w:p>
        </w:tc>
        <w:tc>
          <w:tcPr>
            <w:tcW w:w="0" w:type="auto"/>
            <w:hideMark/>
          </w:tcPr>
          <w:p w:rsidR="00B951B1" w:rsidRPr="00E61612" w:rsidRDefault="00B951B1" w:rsidP="00CB78E6">
            <w:pPr>
              <w:pStyle w:val="Bibliography"/>
            </w:pPr>
            <w:r w:rsidRPr="00E61612">
              <w:t>European Union, "Council conclusions of 12 May 2009 on a strategic framework for European cooperation in education and training (‘ET 2020’)," 2009.</w:t>
            </w:r>
          </w:p>
        </w:tc>
      </w:tr>
      <w:tr w:rsidR="00B951B1" w:rsidRPr="00E61612" w:rsidTr="00CB78E6">
        <w:trPr>
          <w:tblCellSpacing w:w="15" w:type="dxa"/>
        </w:trPr>
        <w:tc>
          <w:tcPr>
            <w:tcW w:w="50" w:type="pct"/>
            <w:hideMark/>
          </w:tcPr>
          <w:p w:rsidR="00B951B1" w:rsidRPr="00E61612" w:rsidRDefault="00B951B1" w:rsidP="00CB78E6">
            <w:pPr>
              <w:pStyle w:val="Bibliography"/>
            </w:pPr>
            <w:r w:rsidRPr="00E61612">
              <w:t xml:space="preserve">[4] </w:t>
            </w:r>
          </w:p>
        </w:tc>
        <w:tc>
          <w:tcPr>
            <w:tcW w:w="0" w:type="auto"/>
            <w:hideMark/>
          </w:tcPr>
          <w:p w:rsidR="00B951B1" w:rsidRPr="00E61612" w:rsidRDefault="00B951B1" w:rsidP="00CB78E6">
            <w:pPr>
              <w:pStyle w:val="Bibliography"/>
            </w:pPr>
            <w:r w:rsidRPr="00E61612">
              <w:t>European Union, "Council Recommendation of 22 May 2018 on key competences for lifelong learning (2018/C 189/01)," 2018.</w:t>
            </w:r>
          </w:p>
        </w:tc>
      </w:tr>
      <w:tr w:rsidR="00B951B1" w:rsidRPr="00E61612" w:rsidTr="00CB78E6">
        <w:trPr>
          <w:tblCellSpacing w:w="15" w:type="dxa"/>
        </w:trPr>
        <w:tc>
          <w:tcPr>
            <w:tcW w:w="50" w:type="pct"/>
            <w:hideMark/>
          </w:tcPr>
          <w:p w:rsidR="00B951B1" w:rsidRPr="00E61612" w:rsidRDefault="00B951B1" w:rsidP="00CB78E6">
            <w:pPr>
              <w:pStyle w:val="Bibliography"/>
            </w:pPr>
            <w:r w:rsidRPr="00E61612">
              <w:t xml:space="preserve">[5] </w:t>
            </w:r>
          </w:p>
        </w:tc>
        <w:tc>
          <w:tcPr>
            <w:tcW w:w="0" w:type="auto"/>
            <w:hideMark/>
          </w:tcPr>
          <w:p w:rsidR="00B951B1" w:rsidRPr="00E61612" w:rsidRDefault="00B951B1" w:rsidP="00CB78E6">
            <w:pPr>
              <w:pStyle w:val="Bibliography"/>
            </w:pPr>
            <w:r w:rsidRPr="00E61612">
              <w:t xml:space="preserve">European Commission, </w:t>
            </w:r>
            <w:r w:rsidRPr="00E61612">
              <w:rPr>
                <w:i/>
                <w:iCs/>
              </w:rPr>
              <w:t xml:space="preserve">Albania 2020 Report - Communication on EU Enlargement Policy, </w:t>
            </w:r>
            <w:r w:rsidRPr="00E61612">
              <w:t xml:space="preserve">2020. </w:t>
            </w:r>
          </w:p>
        </w:tc>
      </w:tr>
      <w:tr w:rsidR="00B951B1" w:rsidRPr="00E61612" w:rsidTr="00CB78E6">
        <w:trPr>
          <w:tblCellSpacing w:w="15" w:type="dxa"/>
        </w:trPr>
        <w:tc>
          <w:tcPr>
            <w:tcW w:w="50" w:type="pct"/>
            <w:hideMark/>
          </w:tcPr>
          <w:p w:rsidR="00B951B1" w:rsidRPr="00E61612" w:rsidRDefault="00B951B1" w:rsidP="00CB78E6">
            <w:pPr>
              <w:pStyle w:val="Bibliography"/>
            </w:pPr>
            <w:r w:rsidRPr="00E61612">
              <w:t xml:space="preserve">[6] </w:t>
            </w:r>
          </w:p>
        </w:tc>
        <w:tc>
          <w:tcPr>
            <w:tcW w:w="0" w:type="auto"/>
            <w:hideMark/>
          </w:tcPr>
          <w:p w:rsidR="00B951B1" w:rsidRPr="00E61612" w:rsidRDefault="00B951B1" w:rsidP="00CB78E6">
            <w:pPr>
              <w:pStyle w:val="Bibliography"/>
            </w:pPr>
            <w:r w:rsidRPr="00E61612">
              <w:t>UNESCO, "Unpacking Sustainable Development Goal 4- Education 2030," 2017.</w:t>
            </w:r>
          </w:p>
        </w:tc>
      </w:tr>
      <w:tr w:rsidR="00B951B1" w:rsidRPr="00E61612" w:rsidTr="00CB78E6">
        <w:trPr>
          <w:tblCellSpacing w:w="15" w:type="dxa"/>
        </w:trPr>
        <w:tc>
          <w:tcPr>
            <w:tcW w:w="50" w:type="pct"/>
            <w:hideMark/>
          </w:tcPr>
          <w:p w:rsidR="00B951B1" w:rsidRPr="00E61612" w:rsidRDefault="00B951B1" w:rsidP="00CB78E6">
            <w:pPr>
              <w:pStyle w:val="Bibliography"/>
            </w:pPr>
            <w:r w:rsidRPr="00E61612">
              <w:t xml:space="preserve">[7] </w:t>
            </w:r>
          </w:p>
        </w:tc>
        <w:tc>
          <w:tcPr>
            <w:tcW w:w="0" w:type="auto"/>
            <w:hideMark/>
          </w:tcPr>
          <w:p w:rsidR="00B951B1" w:rsidRPr="00E61612" w:rsidRDefault="00B951B1" w:rsidP="00CB78E6">
            <w:pPr>
              <w:pStyle w:val="Bibliography"/>
            </w:pPr>
            <w:r w:rsidRPr="00E61612">
              <w:t xml:space="preserve">Këshilli i Ministrave, </w:t>
            </w:r>
            <w:r w:rsidRPr="00E61612">
              <w:rPr>
                <w:i/>
                <w:iCs/>
              </w:rPr>
              <w:t xml:space="preserve">Kuadri makroekonomik e fiskal për periudhën 2022 - 2024 (Vendim Nr. 7, datë 13 janar 2021), </w:t>
            </w:r>
            <w:r w:rsidRPr="00E61612">
              <w:t xml:space="preserve">2021. </w:t>
            </w:r>
          </w:p>
        </w:tc>
      </w:tr>
      <w:tr w:rsidR="00B951B1" w:rsidRPr="00E61612" w:rsidTr="00CB78E6">
        <w:trPr>
          <w:tblCellSpacing w:w="15" w:type="dxa"/>
        </w:trPr>
        <w:tc>
          <w:tcPr>
            <w:tcW w:w="50" w:type="pct"/>
            <w:hideMark/>
          </w:tcPr>
          <w:p w:rsidR="00B951B1" w:rsidRPr="00E61612" w:rsidRDefault="00B951B1" w:rsidP="00CB78E6">
            <w:pPr>
              <w:pStyle w:val="Bibliography"/>
            </w:pPr>
            <w:r w:rsidRPr="00E61612">
              <w:t xml:space="preserve">[8] </w:t>
            </w:r>
          </w:p>
        </w:tc>
        <w:tc>
          <w:tcPr>
            <w:tcW w:w="0" w:type="auto"/>
            <w:hideMark/>
          </w:tcPr>
          <w:p w:rsidR="00B951B1" w:rsidRPr="00E61612" w:rsidRDefault="00B951B1" w:rsidP="00CB78E6">
            <w:pPr>
              <w:pStyle w:val="Bibliography"/>
            </w:pPr>
            <w:r w:rsidRPr="00E61612">
              <w:t xml:space="preserve">WB-WIIW, </w:t>
            </w:r>
            <w:r w:rsidRPr="00E61612">
              <w:rPr>
                <w:i/>
                <w:iCs/>
              </w:rPr>
              <w:t xml:space="preserve">Western Balkans Labor Market Trends 2019, </w:t>
            </w:r>
            <w:r w:rsidRPr="00E61612">
              <w:t xml:space="preserve">Washington D.C: World Bank Group, 2019. </w:t>
            </w:r>
          </w:p>
        </w:tc>
      </w:tr>
      <w:tr w:rsidR="00B951B1" w:rsidRPr="00E61612" w:rsidTr="00CB78E6">
        <w:trPr>
          <w:tblCellSpacing w:w="15" w:type="dxa"/>
        </w:trPr>
        <w:tc>
          <w:tcPr>
            <w:tcW w:w="50" w:type="pct"/>
            <w:hideMark/>
          </w:tcPr>
          <w:p w:rsidR="00B951B1" w:rsidRPr="00E61612" w:rsidRDefault="00B951B1" w:rsidP="00CB78E6">
            <w:pPr>
              <w:pStyle w:val="Bibliography"/>
            </w:pPr>
            <w:r w:rsidRPr="00E61612">
              <w:t xml:space="preserve">[9] </w:t>
            </w:r>
          </w:p>
        </w:tc>
        <w:tc>
          <w:tcPr>
            <w:tcW w:w="0" w:type="auto"/>
            <w:hideMark/>
          </w:tcPr>
          <w:p w:rsidR="00B951B1" w:rsidRPr="00E61612" w:rsidRDefault="00B951B1" w:rsidP="00CB78E6">
            <w:pPr>
              <w:pStyle w:val="Bibliography"/>
            </w:pPr>
            <w:r w:rsidRPr="00E61612">
              <w:t>Banka e Shqipërisë, "Raporti Vjetor 2019," Banka e Shqipërisë, 2020.</w:t>
            </w:r>
          </w:p>
        </w:tc>
      </w:tr>
      <w:tr w:rsidR="00B951B1" w:rsidRPr="00E61612" w:rsidTr="00CB78E6">
        <w:trPr>
          <w:tblCellSpacing w:w="15" w:type="dxa"/>
        </w:trPr>
        <w:tc>
          <w:tcPr>
            <w:tcW w:w="50" w:type="pct"/>
            <w:hideMark/>
          </w:tcPr>
          <w:p w:rsidR="00B951B1" w:rsidRPr="00E61612" w:rsidRDefault="00B951B1" w:rsidP="00CB78E6">
            <w:pPr>
              <w:pStyle w:val="Bibliography"/>
            </w:pPr>
            <w:r w:rsidRPr="00E61612">
              <w:t xml:space="preserve">[10] </w:t>
            </w:r>
          </w:p>
        </w:tc>
        <w:tc>
          <w:tcPr>
            <w:tcW w:w="0" w:type="auto"/>
            <w:hideMark/>
          </w:tcPr>
          <w:p w:rsidR="00B951B1" w:rsidRPr="00E61612" w:rsidRDefault="00B951B1" w:rsidP="00CB78E6">
            <w:pPr>
              <w:pStyle w:val="Bibliography"/>
            </w:pPr>
            <w:r w:rsidRPr="00E61612">
              <w:t xml:space="preserve">INSTAT, </w:t>
            </w:r>
            <w:r w:rsidRPr="00E61612">
              <w:rPr>
                <w:i/>
                <w:iCs/>
              </w:rPr>
              <w:t xml:space="preserve">Hipotezat e Projeksioneve të Përditësuara të Popullsisë 2019 – 2031, </w:t>
            </w:r>
            <w:r w:rsidRPr="00E61612">
              <w:t xml:space="preserve">2019. </w:t>
            </w:r>
          </w:p>
        </w:tc>
      </w:tr>
      <w:tr w:rsidR="00B951B1" w:rsidRPr="00E61612" w:rsidTr="00CB78E6">
        <w:trPr>
          <w:tblCellSpacing w:w="15" w:type="dxa"/>
        </w:trPr>
        <w:tc>
          <w:tcPr>
            <w:tcW w:w="50" w:type="pct"/>
            <w:hideMark/>
          </w:tcPr>
          <w:p w:rsidR="00B951B1" w:rsidRPr="00E61612" w:rsidRDefault="00B951B1" w:rsidP="00CB78E6">
            <w:pPr>
              <w:pStyle w:val="Bibliography"/>
            </w:pPr>
            <w:r w:rsidRPr="00E61612">
              <w:t xml:space="preserve">[11] </w:t>
            </w:r>
          </w:p>
        </w:tc>
        <w:tc>
          <w:tcPr>
            <w:tcW w:w="0" w:type="auto"/>
            <w:hideMark/>
          </w:tcPr>
          <w:p w:rsidR="00B951B1" w:rsidRPr="00E61612" w:rsidRDefault="00B951B1" w:rsidP="00CB78E6">
            <w:pPr>
              <w:pStyle w:val="Bibliography"/>
            </w:pPr>
            <w:r w:rsidRPr="00E61612">
              <w:t xml:space="preserve">MASR, </w:t>
            </w:r>
            <w:r w:rsidRPr="00E61612">
              <w:rPr>
                <w:i/>
                <w:iCs/>
              </w:rPr>
              <w:t xml:space="preserve">Korniza Kurrikulare e Arsimit Parauniversitar të Republikës së Shqipërisë, </w:t>
            </w:r>
            <w:r w:rsidRPr="00E61612">
              <w:t xml:space="preserve">2014. </w:t>
            </w:r>
          </w:p>
        </w:tc>
      </w:tr>
      <w:tr w:rsidR="00B951B1" w:rsidRPr="00E61612" w:rsidTr="00CB78E6">
        <w:trPr>
          <w:tblCellSpacing w:w="15" w:type="dxa"/>
        </w:trPr>
        <w:tc>
          <w:tcPr>
            <w:tcW w:w="50" w:type="pct"/>
            <w:hideMark/>
          </w:tcPr>
          <w:p w:rsidR="00B951B1" w:rsidRPr="00E61612" w:rsidRDefault="00B951B1" w:rsidP="00CB78E6">
            <w:pPr>
              <w:pStyle w:val="Bibliography"/>
            </w:pPr>
            <w:r w:rsidRPr="00E61612">
              <w:t xml:space="preserve">[12] </w:t>
            </w:r>
          </w:p>
        </w:tc>
        <w:tc>
          <w:tcPr>
            <w:tcW w:w="0" w:type="auto"/>
            <w:hideMark/>
          </w:tcPr>
          <w:p w:rsidR="00B951B1" w:rsidRPr="00E61612" w:rsidRDefault="00B951B1" w:rsidP="00CB78E6">
            <w:pPr>
              <w:pStyle w:val="Bibliography"/>
            </w:pPr>
            <w:r w:rsidRPr="00E61612">
              <w:t>Këshilli i Ministrave, "Agjenda Kombëtare për të drejtat e fëmijëve 2017 - 2020," 2017.</w:t>
            </w:r>
          </w:p>
        </w:tc>
      </w:tr>
      <w:tr w:rsidR="00B951B1" w:rsidRPr="00E61612" w:rsidTr="00CB78E6">
        <w:trPr>
          <w:tblCellSpacing w:w="15" w:type="dxa"/>
        </w:trPr>
        <w:tc>
          <w:tcPr>
            <w:tcW w:w="50" w:type="pct"/>
            <w:hideMark/>
          </w:tcPr>
          <w:p w:rsidR="00B951B1" w:rsidRPr="00E61612" w:rsidRDefault="00B951B1" w:rsidP="00CB78E6">
            <w:pPr>
              <w:pStyle w:val="Bibliography"/>
            </w:pPr>
            <w:r w:rsidRPr="00E61612">
              <w:t xml:space="preserve">[13] </w:t>
            </w:r>
          </w:p>
        </w:tc>
        <w:tc>
          <w:tcPr>
            <w:tcW w:w="0" w:type="auto"/>
            <w:hideMark/>
          </w:tcPr>
          <w:p w:rsidR="00B951B1" w:rsidRPr="00E61612" w:rsidRDefault="00B951B1" w:rsidP="00CB78E6">
            <w:pPr>
              <w:pStyle w:val="Bibliography"/>
            </w:pPr>
            <w:r w:rsidRPr="00E61612">
              <w:t>Keshilli i Ministrave, "Plani Kombëtar i Veprimit për Personat me Aftësi të Kufizuara 2016 -2020," 2016.</w:t>
            </w:r>
          </w:p>
        </w:tc>
      </w:tr>
      <w:tr w:rsidR="00B951B1" w:rsidRPr="00E61612" w:rsidTr="00CB78E6">
        <w:trPr>
          <w:tblCellSpacing w:w="15" w:type="dxa"/>
        </w:trPr>
        <w:tc>
          <w:tcPr>
            <w:tcW w:w="50" w:type="pct"/>
            <w:hideMark/>
          </w:tcPr>
          <w:p w:rsidR="00B951B1" w:rsidRPr="00E61612" w:rsidRDefault="00B951B1" w:rsidP="00CB78E6">
            <w:pPr>
              <w:pStyle w:val="Bibliography"/>
            </w:pPr>
            <w:r w:rsidRPr="00E61612">
              <w:t xml:space="preserve">[14] </w:t>
            </w:r>
          </w:p>
        </w:tc>
        <w:tc>
          <w:tcPr>
            <w:tcW w:w="0" w:type="auto"/>
            <w:hideMark/>
          </w:tcPr>
          <w:p w:rsidR="00B951B1" w:rsidRPr="00E61612" w:rsidRDefault="00B951B1" w:rsidP="00CB78E6">
            <w:pPr>
              <w:pStyle w:val="Bibliography"/>
            </w:pPr>
            <w:r w:rsidRPr="00E61612">
              <w:t>Këshilli i Ministrave, "Plani Kombëtar i Veprimit për Integrimin e Romëve dhe Egjiptianëve 2016-2020," 2015.</w:t>
            </w:r>
          </w:p>
        </w:tc>
      </w:tr>
      <w:tr w:rsidR="00B951B1" w:rsidRPr="00E61612" w:rsidTr="00CB78E6">
        <w:trPr>
          <w:tblCellSpacing w:w="15" w:type="dxa"/>
        </w:trPr>
        <w:tc>
          <w:tcPr>
            <w:tcW w:w="50" w:type="pct"/>
            <w:hideMark/>
          </w:tcPr>
          <w:p w:rsidR="00B951B1" w:rsidRPr="00E61612" w:rsidRDefault="00B951B1" w:rsidP="00CB78E6">
            <w:pPr>
              <w:pStyle w:val="Bibliography"/>
            </w:pPr>
            <w:r w:rsidRPr="00E61612">
              <w:t xml:space="preserve">[15] </w:t>
            </w:r>
          </w:p>
        </w:tc>
        <w:tc>
          <w:tcPr>
            <w:tcW w:w="0" w:type="auto"/>
            <w:hideMark/>
          </w:tcPr>
          <w:p w:rsidR="00B951B1" w:rsidRPr="00E61612" w:rsidRDefault="00B951B1" w:rsidP="00CB78E6">
            <w:pPr>
              <w:pStyle w:val="Bibliography"/>
            </w:pPr>
            <w:r w:rsidRPr="00E61612">
              <w:t xml:space="preserve">MMSR, </w:t>
            </w:r>
            <w:r w:rsidRPr="00E61612">
              <w:rPr>
                <w:i/>
                <w:iCs/>
              </w:rPr>
              <w:t xml:space="preserve">Strategjia kombëtare për barazinë gjinore dhe plani i veprimit 2016-2020, </w:t>
            </w:r>
            <w:r w:rsidRPr="00E61612">
              <w:t xml:space="preserve">2016. </w:t>
            </w:r>
          </w:p>
        </w:tc>
      </w:tr>
      <w:tr w:rsidR="00B951B1" w:rsidRPr="00E61612" w:rsidTr="00CB78E6">
        <w:trPr>
          <w:tblCellSpacing w:w="15" w:type="dxa"/>
        </w:trPr>
        <w:tc>
          <w:tcPr>
            <w:tcW w:w="50" w:type="pct"/>
            <w:hideMark/>
          </w:tcPr>
          <w:p w:rsidR="00B951B1" w:rsidRPr="00E61612" w:rsidRDefault="00B951B1" w:rsidP="00CB78E6">
            <w:pPr>
              <w:pStyle w:val="Bibliography"/>
            </w:pPr>
            <w:r w:rsidRPr="00E61612">
              <w:lastRenderedPageBreak/>
              <w:t xml:space="preserve">[16] </w:t>
            </w:r>
          </w:p>
        </w:tc>
        <w:tc>
          <w:tcPr>
            <w:tcW w:w="0" w:type="auto"/>
            <w:hideMark/>
          </w:tcPr>
          <w:p w:rsidR="00B951B1" w:rsidRPr="00E61612" w:rsidRDefault="00B951B1" w:rsidP="00CB78E6">
            <w:pPr>
              <w:pStyle w:val="Bibliography"/>
            </w:pPr>
            <w:r w:rsidRPr="00E61612">
              <w:t>Këshilli i Ministrave, "Strategjia Ndërsektoriale "Axhenda dixhitale e Shqipërisë 2015-2020"," 2015.</w:t>
            </w:r>
          </w:p>
        </w:tc>
      </w:tr>
      <w:tr w:rsidR="00B951B1" w:rsidRPr="00E61612" w:rsidTr="00CB78E6">
        <w:trPr>
          <w:tblCellSpacing w:w="15" w:type="dxa"/>
        </w:trPr>
        <w:tc>
          <w:tcPr>
            <w:tcW w:w="50" w:type="pct"/>
            <w:hideMark/>
          </w:tcPr>
          <w:p w:rsidR="00B951B1" w:rsidRPr="00E61612" w:rsidRDefault="00B951B1" w:rsidP="00CB78E6">
            <w:pPr>
              <w:pStyle w:val="Bibliography"/>
            </w:pPr>
            <w:r w:rsidRPr="00E61612">
              <w:t xml:space="preserve">[17] </w:t>
            </w:r>
          </w:p>
        </w:tc>
        <w:tc>
          <w:tcPr>
            <w:tcW w:w="0" w:type="auto"/>
            <w:hideMark/>
          </w:tcPr>
          <w:p w:rsidR="00B951B1" w:rsidRPr="00E61612" w:rsidRDefault="00B951B1" w:rsidP="00CB78E6">
            <w:pPr>
              <w:pStyle w:val="Bibliography"/>
            </w:pPr>
            <w:r w:rsidRPr="00E61612">
              <w:t xml:space="preserve">Këshilli i Ministrave, </w:t>
            </w:r>
            <w:r w:rsidRPr="00E61612">
              <w:rPr>
                <w:i/>
                <w:iCs/>
              </w:rPr>
              <w:t xml:space="preserve">Plani kombëtar për zhvillimin e qëndrueshëm të infrastrukturës digjitale broadband 2020-2025, </w:t>
            </w:r>
            <w:r w:rsidRPr="00E61612">
              <w:t xml:space="preserve">2020. </w:t>
            </w:r>
          </w:p>
        </w:tc>
      </w:tr>
      <w:tr w:rsidR="00B951B1" w:rsidRPr="00E61612" w:rsidTr="00CB78E6">
        <w:trPr>
          <w:tblCellSpacing w:w="15" w:type="dxa"/>
        </w:trPr>
        <w:tc>
          <w:tcPr>
            <w:tcW w:w="50" w:type="pct"/>
            <w:hideMark/>
          </w:tcPr>
          <w:p w:rsidR="00B951B1" w:rsidRPr="00E61612" w:rsidRDefault="00B951B1" w:rsidP="00CB78E6">
            <w:pPr>
              <w:pStyle w:val="Bibliography"/>
            </w:pPr>
            <w:r w:rsidRPr="00E61612">
              <w:t xml:space="preserve">[18] </w:t>
            </w:r>
          </w:p>
        </w:tc>
        <w:tc>
          <w:tcPr>
            <w:tcW w:w="0" w:type="auto"/>
            <w:hideMark/>
          </w:tcPr>
          <w:p w:rsidR="00B951B1" w:rsidRPr="00E61612" w:rsidRDefault="00B951B1" w:rsidP="00CB78E6">
            <w:pPr>
              <w:pStyle w:val="Bibliography"/>
            </w:pPr>
            <w:r w:rsidRPr="00E61612">
              <w:t xml:space="preserve">Këshilli i Ministrave, </w:t>
            </w:r>
            <w:r w:rsidRPr="00E61612">
              <w:rPr>
                <w:i/>
                <w:iCs/>
              </w:rPr>
              <w:t>Vendim i Këshillit të Ministrave nr. 151, datë 19.2.2020 për miratimin e Planit Kombëtar për Integrimin Evropian 2020–2022.</w:t>
            </w:r>
            <w:r w:rsidRPr="00E61612">
              <w:t xml:space="preserve"> </w:t>
            </w:r>
          </w:p>
        </w:tc>
      </w:tr>
      <w:tr w:rsidR="00B951B1" w:rsidRPr="00E61612" w:rsidTr="00CB78E6">
        <w:trPr>
          <w:tblCellSpacing w:w="15" w:type="dxa"/>
        </w:trPr>
        <w:tc>
          <w:tcPr>
            <w:tcW w:w="50" w:type="pct"/>
            <w:hideMark/>
          </w:tcPr>
          <w:p w:rsidR="00B951B1" w:rsidRPr="00E61612" w:rsidRDefault="00B951B1" w:rsidP="00CB78E6">
            <w:pPr>
              <w:pStyle w:val="Bibliography"/>
            </w:pPr>
            <w:r w:rsidRPr="00E61612">
              <w:t xml:space="preserve">[19] </w:t>
            </w:r>
          </w:p>
        </w:tc>
        <w:tc>
          <w:tcPr>
            <w:tcW w:w="0" w:type="auto"/>
            <w:hideMark/>
          </w:tcPr>
          <w:p w:rsidR="00B951B1" w:rsidRPr="00E61612" w:rsidRDefault="00B951B1" w:rsidP="00CB78E6">
            <w:pPr>
              <w:pStyle w:val="Bibliography"/>
            </w:pPr>
            <w:r w:rsidRPr="00E61612">
              <w:t xml:space="preserve">Këshilli i Ministrave, "Programi i Reformës Ekonomike 2020-2022," </w:t>
            </w:r>
            <w:r w:rsidRPr="00E61612">
              <w:rPr>
                <w:i/>
                <w:iCs/>
              </w:rPr>
              <w:t xml:space="preserve">Fletorja Zyrtare nr. 17, </w:t>
            </w:r>
            <w:r w:rsidRPr="00E61612">
              <w:t xml:space="preserve">2020. </w:t>
            </w:r>
          </w:p>
        </w:tc>
      </w:tr>
      <w:tr w:rsidR="00B951B1" w:rsidRPr="00E61612" w:rsidTr="00CB78E6">
        <w:trPr>
          <w:tblCellSpacing w:w="15" w:type="dxa"/>
        </w:trPr>
        <w:tc>
          <w:tcPr>
            <w:tcW w:w="50" w:type="pct"/>
            <w:hideMark/>
          </w:tcPr>
          <w:p w:rsidR="00B951B1" w:rsidRPr="00E61612" w:rsidRDefault="00B951B1" w:rsidP="00CB78E6">
            <w:pPr>
              <w:pStyle w:val="Bibliography"/>
            </w:pPr>
            <w:r w:rsidRPr="00E61612">
              <w:t xml:space="preserve">[20] </w:t>
            </w:r>
          </w:p>
        </w:tc>
        <w:tc>
          <w:tcPr>
            <w:tcW w:w="0" w:type="auto"/>
            <w:hideMark/>
          </w:tcPr>
          <w:p w:rsidR="00B951B1" w:rsidRPr="00E61612" w:rsidRDefault="00B951B1" w:rsidP="00CB78E6">
            <w:pPr>
              <w:pStyle w:val="Bibliography"/>
            </w:pPr>
            <w:r w:rsidRPr="00E61612">
              <w:t>Këshilli i Ministrave, "Programi Buxhetor Afatmesëm 2021-2023," 2020.</w:t>
            </w:r>
          </w:p>
        </w:tc>
      </w:tr>
      <w:tr w:rsidR="00B951B1" w:rsidRPr="00E61612" w:rsidTr="00CB78E6">
        <w:trPr>
          <w:tblCellSpacing w:w="15" w:type="dxa"/>
        </w:trPr>
        <w:tc>
          <w:tcPr>
            <w:tcW w:w="50" w:type="pct"/>
            <w:hideMark/>
          </w:tcPr>
          <w:p w:rsidR="00B951B1" w:rsidRPr="00E61612" w:rsidRDefault="00B951B1" w:rsidP="00CB78E6">
            <w:pPr>
              <w:pStyle w:val="Bibliography"/>
            </w:pPr>
            <w:r w:rsidRPr="00E61612">
              <w:t xml:space="preserve">[21] </w:t>
            </w:r>
          </w:p>
        </w:tc>
        <w:tc>
          <w:tcPr>
            <w:tcW w:w="0" w:type="auto"/>
            <w:hideMark/>
          </w:tcPr>
          <w:p w:rsidR="00B951B1" w:rsidRPr="00E61612" w:rsidRDefault="00B951B1" w:rsidP="00CB78E6">
            <w:pPr>
              <w:pStyle w:val="Bibliography"/>
            </w:pPr>
            <w:r w:rsidRPr="00E61612">
              <w:t xml:space="preserve">Këshilli i Minisitrave, </w:t>
            </w:r>
            <w:r w:rsidRPr="00E61612">
              <w:rPr>
                <w:i/>
                <w:iCs/>
              </w:rPr>
              <w:t xml:space="preserve">Strategjia Kombëtare për Punësim dhe Aftësi 2019 - 2022, </w:t>
            </w:r>
            <w:r w:rsidRPr="00E61612">
              <w:t xml:space="preserve">2019. </w:t>
            </w:r>
          </w:p>
        </w:tc>
      </w:tr>
      <w:tr w:rsidR="00B951B1" w:rsidRPr="00E61612" w:rsidTr="00CB78E6">
        <w:trPr>
          <w:tblCellSpacing w:w="15" w:type="dxa"/>
        </w:trPr>
        <w:tc>
          <w:tcPr>
            <w:tcW w:w="50" w:type="pct"/>
            <w:hideMark/>
          </w:tcPr>
          <w:p w:rsidR="00B951B1" w:rsidRPr="00E61612" w:rsidRDefault="00B951B1" w:rsidP="00CB78E6">
            <w:pPr>
              <w:pStyle w:val="Bibliography"/>
            </w:pPr>
            <w:r w:rsidRPr="00E61612">
              <w:t xml:space="preserve">[22] </w:t>
            </w:r>
          </w:p>
        </w:tc>
        <w:tc>
          <w:tcPr>
            <w:tcW w:w="0" w:type="auto"/>
            <w:hideMark/>
          </w:tcPr>
          <w:p w:rsidR="00B951B1" w:rsidRPr="00E61612" w:rsidRDefault="00B951B1" w:rsidP="00CB78E6">
            <w:pPr>
              <w:pStyle w:val="Bibliography"/>
            </w:pPr>
            <w:r w:rsidRPr="00E61612">
              <w:t xml:space="preserve">Këshilli i Ministrave, </w:t>
            </w:r>
            <w:r w:rsidRPr="00E61612">
              <w:rPr>
                <w:i/>
                <w:iCs/>
              </w:rPr>
              <w:t xml:space="preserve">Strategjia kombëtare e mbrojtje sociale 2020-2023, </w:t>
            </w:r>
            <w:r w:rsidRPr="00E61612">
              <w:t xml:space="preserve">2019. </w:t>
            </w:r>
          </w:p>
        </w:tc>
      </w:tr>
      <w:tr w:rsidR="00B951B1" w:rsidRPr="00E61612" w:rsidTr="00CB78E6">
        <w:trPr>
          <w:tblCellSpacing w:w="15" w:type="dxa"/>
        </w:trPr>
        <w:tc>
          <w:tcPr>
            <w:tcW w:w="50" w:type="pct"/>
            <w:hideMark/>
          </w:tcPr>
          <w:p w:rsidR="00B951B1" w:rsidRPr="00E61612" w:rsidRDefault="00B951B1" w:rsidP="00CB78E6">
            <w:pPr>
              <w:pStyle w:val="Bibliography"/>
            </w:pPr>
            <w:r w:rsidRPr="00E61612">
              <w:t xml:space="preserve">[23] </w:t>
            </w:r>
          </w:p>
        </w:tc>
        <w:tc>
          <w:tcPr>
            <w:tcW w:w="0" w:type="auto"/>
            <w:hideMark/>
          </w:tcPr>
          <w:p w:rsidR="00B951B1" w:rsidRPr="00E61612" w:rsidRDefault="00B951B1" w:rsidP="00CB78E6">
            <w:pPr>
              <w:pStyle w:val="Bibliography"/>
            </w:pPr>
            <w:r w:rsidRPr="00E61612">
              <w:t xml:space="preserve">Këshilli i Ministrave, "Pakti për Universitetin," 2018. [Online]. </w:t>
            </w:r>
          </w:p>
        </w:tc>
      </w:tr>
      <w:tr w:rsidR="00B951B1" w:rsidRPr="00E61612" w:rsidTr="00CB78E6">
        <w:trPr>
          <w:tblCellSpacing w:w="15" w:type="dxa"/>
        </w:trPr>
        <w:tc>
          <w:tcPr>
            <w:tcW w:w="50" w:type="pct"/>
            <w:hideMark/>
          </w:tcPr>
          <w:p w:rsidR="00B951B1" w:rsidRPr="00E61612" w:rsidRDefault="00B951B1" w:rsidP="00CB78E6">
            <w:pPr>
              <w:pStyle w:val="Bibliography"/>
            </w:pPr>
            <w:r w:rsidRPr="00E61612">
              <w:t xml:space="preserve">[24] </w:t>
            </w:r>
          </w:p>
        </w:tc>
        <w:tc>
          <w:tcPr>
            <w:tcW w:w="0" w:type="auto"/>
            <w:hideMark/>
          </w:tcPr>
          <w:p w:rsidR="00B951B1" w:rsidRPr="00E61612" w:rsidRDefault="00B951B1" w:rsidP="00CB78E6">
            <w:pPr>
              <w:pStyle w:val="Bibliography"/>
            </w:pPr>
            <w:r w:rsidRPr="00E61612">
              <w:t>European Commission, "Albania 2019 Report - Communication on EU Enlargement Policy," 2019.</w:t>
            </w:r>
          </w:p>
        </w:tc>
      </w:tr>
      <w:tr w:rsidR="00B951B1" w:rsidRPr="00E61612" w:rsidTr="00CB78E6">
        <w:trPr>
          <w:tblCellSpacing w:w="15" w:type="dxa"/>
        </w:trPr>
        <w:tc>
          <w:tcPr>
            <w:tcW w:w="50" w:type="pct"/>
            <w:hideMark/>
          </w:tcPr>
          <w:p w:rsidR="00B951B1" w:rsidRPr="00E61612" w:rsidRDefault="00B951B1" w:rsidP="00CB78E6">
            <w:pPr>
              <w:pStyle w:val="Bibliography"/>
            </w:pPr>
            <w:r w:rsidRPr="00E61612">
              <w:t xml:space="preserve">[25] </w:t>
            </w:r>
          </w:p>
        </w:tc>
        <w:tc>
          <w:tcPr>
            <w:tcW w:w="0" w:type="auto"/>
            <w:hideMark/>
          </w:tcPr>
          <w:p w:rsidR="00B951B1" w:rsidRPr="00E61612" w:rsidRDefault="00B951B1" w:rsidP="00CB78E6">
            <w:pPr>
              <w:pStyle w:val="Bibliography"/>
            </w:pPr>
            <w:r w:rsidRPr="00E61612">
              <w:t xml:space="preserve">MASR, </w:t>
            </w:r>
            <w:r w:rsidRPr="00E61612">
              <w:rPr>
                <w:i/>
                <w:iCs/>
              </w:rPr>
              <w:t xml:space="preserve">Ligj Nr. 69/2012 për sistemin arsimor parauniversitar në Republikën e Shqipërisë (i azhornuar) dhe akrtet nënligjore në zbatim të tij, </w:t>
            </w:r>
            <w:r w:rsidRPr="00E61612">
              <w:t xml:space="preserve">MASR, 2019. </w:t>
            </w:r>
          </w:p>
        </w:tc>
      </w:tr>
      <w:tr w:rsidR="00B951B1" w:rsidRPr="00E61612" w:rsidTr="00CB78E6">
        <w:trPr>
          <w:tblCellSpacing w:w="15" w:type="dxa"/>
        </w:trPr>
        <w:tc>
          <w:tcPr>
            <w:tcW w:w="50" w:type="pct"/>
            <w:hideMark/>
          </w:tcPr>
          <w:p w:rsidR="00B951B1" w:rsidRPr="00E61612" w:rsidRDefault="00B951B1" w:rsidP="00CB78E6">
            <w:pPr>
              <w:pStyle w:val="Bibliography"/>
            </w:pPr>
            <w:r w:rsidRPr="00E61612">
              <w:t xml:space="preserve">[26] </w:t>
            </w:r>
          </w:p>
        </w:tc>
        <w:tc>
          <w:tcPr>
            <w:tcW w:w="0" w:type="auto"/>
            <w:hideMark/>
          </w:tcPr>
          <w:p w:rsidR="00B951B1" w:rsidRPr="00E61612" w:rsidRDefault="00B951B1" w:rsidP="00CB78E6">
            <w:pPr>
              <w:pStyle w:val="Bibliography"/>
            </w:pPr>
            <w:r w:rsidRPr="00E61612">
              <w:t>MASR, "Ligj Nr. 80/2015 për arsimin e lartë dhe kërkimin shkencor në institucionet e arsimit të lartë në Republikën e Shqipërisë dhe aktet nënlidgore në zbatim të tij," MASR, 31.10.2019.</w:t>
            </w:r>
          </w:p>
        </w:tc>
      </w:tr>
      <w:tr w:rsidR="00B951B1" w:rsidRPr="00E61612" w:rsidTr="00CB78E6">
        <w:trPr>
          <w:tblCellSpacing w:w="15" w:type="dxa"/>
        </w:trPr>
        <w:tc>
          <w:tcPr>
            <w:tcW w:w="50" w:type="pct"/>
            <w:hideMark/>
          </w:tcPr>
          <w:p w:rsidR="00B951B1" w:rsidRPr="00E61612" w:rsidRDefault="00B951B1" w:rsidP="00CB78E6">
            <w:pPr>
              <w:pStyle w:val="Bibliography"/>
            </w:pPr>
            <w:r w:rsidRPr="00E61612">
              <w:t xml:space="preserve">[27] </w:t>
            </w:r>
          </w:p>
        </w:tc>
        <w:tc>
          <w:tcPr>
            <w:tcW w:w="0" w:type="auto"/>
            <w:hideMark/>
          </w:tcPr>
          <w:p w:rsidR="00B951B1" w:rsidRPr="00E61612" w:rsidRDefault="00B951B1" w:rsidP="00CB78E6">
            <w:pPr>
              <w:pStyle w:val="Bibliography"/>
            </w:pPr>
            <w:r w:rsidRPr="00E61612">
              <w:rPr>
                <w:i/>
                <w:iCs/>
              </w:rPr>
              <w:t xml:space="preserve">Ligji Nr. 15/2017 për arsimin dhe formimin profesional në Republikën e Shqipërisë, </w:t>
            </w:r>
            <w:r w:rsidRPr="00E61612">
              <w:t xml:space="preserve">2017. </w:t>
            </w:r>
          </w:p>
        </w:tc>
      </w:tr>
      <w:tr w:rsidR="00B951B1" w:rsidRPr="00E61612" w:rsidTr="00CB78E6">
        <w:trPr>
          <w:tblCellSpacing w:w="15" w:type="dxa"/>
        </w:trPr>
        <w:tc>
          <w:tcPr>
            <w:tcW w:w="50" w:type="pct"/>
            <w:hideMark/>
          </w:tcPr>
          <w:p w:rsidR="00B951B1" w:rsidRPr="00E61612" w:rsidRDefault="00B951B1" w:rsidP="00CB78E6">
            <w:pPr>
              <w:pStyle w:val="Bibliography"/>
            </w:pPr>
            <w:r w:rsidRPr="00E61612">
              <w:t xml:space="preserve">[28] </w:t>
            </w:r>
          </w:p>
        </w:tc>
        <w:tc>
          <w:tcPr>
            <w:tcW w:w="0" w:type="auto"/>
            <w:hideMark/>
          </w:tcPr>
          <w:p w:rsidR="00B951B1" w:rsidRPr="00E61612" w:rsidRDefault="00B951B1" w:rsidP="00CB78E6">
            <w:pPr>
              <w:pStyle w:val="Bibliography"/>
            </w:pPr>
            <w:r w:rsidRPr="00E61612">
              <w:rPr>
                <w:i/>
                <w:iCs/>
              </w:rPr>
              <w:t>Ligji Nr.10 247, datë 4.3.2010 për Kornizën Shqiptare të Kualifikimeve</w:t>
            </w:r>
            <w:r w:rsidRPr="00E61612">
              <w:t xml:space="preserve">, i ndryshuar </w:t>
            </w:r>
          </w:p>
        </w:tc>
      </w:tr>
      <w:tr w:rsidR="00B951B1" w:rsidRPr="00E61612" w:rsidTr="00CB78E6">
        <w:trPr>
          <w:tblCellSpacing w:w="15" w:type="dxa"/>
        </w:trPr>
        <w:tc>
          <w:tcPr>
            <w:tcW w:w="50" w:type="pct"/>
            <w:hideMark/>
          </w:tcPr>
          <w:p w:rsidR="00B951B1" w:rsidRPr="00E61612" w:rsidRDefault="00B951B1" w:rsidP="00CB78E6">
            <w:pPr>
              <w:pStyle w:val="Bibliography"/>
            </w:pPr>
            <w:r w:rsidRPr="00E61612">
              <w:t xml:space="preserve">[29] </w:t>
            </w:r>
          </w:p>
        </w:tc>
        <w:tc>
          <w:tcPr>
            <w:tcW w:w="0" w:type="auto"/>
            <w:hideMark/>
          </w:tcPr>
          <w:p w:rsidR="00B951B1" w:rsidRPr="00E61612" w:rsidRDefault="00B951B1" w:rsidP="00CB78E6">
            <w:pPr>
              <w:pStyle w:val="Bibliography"/>
            </w:pPr>
            <w:r w:rsidRPr="00E61612">
              <w:rPr>
                <w:i/>
                <w:iCs/>
              </w:rPr>
              <w:t>Ligji Nr. 23/2018 për disa ndryshime dhe shtesa në Ligjin Nr. 10 247, datë 4.3.2010, “për Kornizën Shqiptare të Kualifikimeve”.</w:t>
            </w:r>
            <w:r w:rsidRPr="00E61612">
              <w:t xml:space="preserve"> </w:t>
            </w:r>
          </w:p>
        </w:tc>
      </w:tr>
      <w:tr w:rsidR="00B951B1" w:rsidRPr="00E61612" w:rsidTr="00CB78E6">
        <w:trPr>
          <w:tblCellSpacing w:w="15" w:type="dxa"/>
        </w:trPr>
        <w:tc>
          <w:tcPr>
            <w:tcW w:w="50" w:type="pct"/>
            <w:hideMark/>
          </w:tcPr>
          <w:p w:rsidR="00B951B1" w:rsidRPr="00E61612" w:rsidRDefault="00B951B1" w:rsidP="00CB78E6">
            <w:pPr>
              <w:pStyle w:val="Bibliography"/>
            </w:pPr>
            <w:r w:rsidRPr="00E61612">
              <w:t xml:space="preserve">[30] </w:t>
            </w:r>
          </w:p>
        </w:tc>
        <w:tc>
          <w:tcPr>
            <w:tcW w:w="0" w:type="auto"/>
            <w:hideMark/>
          </w:tcPr>
          <w:p w:rsidR="00B951B1" w:rsidRPr="00E61612" w:rsidRDefault="00B951B1" w:rsidP="00CB78E6">
            <w:pPr>
              <w:pStyle w:val="Bibliography"/>
            </w:pPr>
            <w:r w:rsidRPr="00E61612">
              <w:t xml:space="preserve">MASR, </w:t>
            </w:r>
            <w:r w:rsidRPr="00E61612">
              <w:rPr>
                <w:i/>
                <w:iCs/>
              </w:rPr>
              <w:t>Udhëzim Nr. 13, datë 22.05.2019 për procedurat e pranimit e të emërimit të mësuesit në një vend të lirë pune në institucionet arsimore publike të arsimit parauniversitar dhe për adminisitrimin e poralit “Mësues për Shqipërinë”.</w:t>
            </w:r>
            <w:r w:rsidRPr="00E61612">
              <w:t xml:space="preserve"> </w:t>
            </w:r>
          </w:p>
        </w:tc>
      </w:tr>
      <w:tr w:rsidR="00B951B1" w:rsidRPr="00E61612" w:rsidTr="00CB78E6">
        <w:trPr>
          <w:tblCellSpacing w:w="15" w:type="dxa"/>
        </w:trPr>
        <w:tc>
          <w:tcPr>
            <w:tcW w:w="50" w:type="pct"/>
            <w:hideMark/>
          </w:tcPr>
          <w:p w:rsidR="00B951B1" w:rsidRPr="00E61612" w:rsidRDefault="00B951B1" w:rsidP="00CB78E6">
            <w:pPr>
              <w:pStyle w:val="Bibliography"/>
            </w:pPr>
            <w:r w:rsidRPr="00E61612">
              <w:t xml:space="preserve">[31] </w:t>
            </w:r>
          </w:p>
        </w:tc>
        <w:tc>
          <w:tcPr>
            <w:tcW w:w="0" w:type="auto"/>
            <w:hideMark/>
          </w:tcPr>
          <w:p w:rsidR="00B951B1" w:rsidRPr="00E61612" w:rsidRDefault="00B951B1" w:rsidP="00CB78E6">
            <w:pPr>
              <w:pStyle w:val="Bibliography"/>
            </w:pPr>
            <w:r w:rsidRPr="00E61612">
              <w:t>Gjonça et. al, "Raporti përfundimtar për reformimin e arsimit të lartë dhe kërkimit shkencor," MAS, Tiranë, 2014.</w:t>
            </w:r>
          </w:p>
        </w:tc>
      </w:tr>
      <w:tr w:rsidR="00B951B1" w:rsidRPr="00E61612" w:rsidTr="00CB78E6">
        <w:trPr>
          <w:tblCellSpacing w:w="15" w:type="dxa"/>
        </w:trPr>
        <w:tc>
          <w:tcPr>
            <w:tcW w:w="50" w:type="pct"/>
            <w:hideMark/>
          </w:tcPr>
          <w:p w:rsidR="00B951B1" w:rsidRPr="00E61612" w:rsidRDefault="00B951B1" w:rsidP="00CB78E6">
            <w:pPr>
              <w:pStyle w:val="Bibliography"/>
            </w:pPr>
            <w:r w:rsidRPr="00E61612">
              <w:t xml:space="preserve">[32] </w:t>
            </w:r>
          </w:p>
        </w:tc>
        <w:tc>
          <w:tcPr>
            <w:tcW w:w="0" w:type="auto"/>
            <w:hideMark/>
          </w:tcPr>
          <w:p w:rsidR="00B951B1" w:rsidRPr="00E61612" w:rsidRDefault="00B951B1" w:rsidP="00CB78E6">
            <w:pPr>
              <w:pStyle w:val="Bibliography"/>
            </w:pPr>
            <w:r w:rsidRPr="00E61612">
              <w:t xml:space="preserve">A. Krasniqi, "Reforma në arsimin e lartë 2015-2018: Risitë dhe Problematikat," June 2018. </w:t>
            </w:r>
          </w:p>
        </w:tc>
      </w:tr>
      <w:tr w:rsidR="00B951B1" w:rsidRPr="00E61612" w:rsidTr="00CB78E6">
        <w:trPr>
          <w:tblCellSpacing w:w="15" w:type="dxa"/>
        </w:trPr>
        <w:tc>
          <w:tcPr>
            <w:tcW w:w="50" w:type="pct"/>
            <w:hideMark/>
          </w:tcPr>
          <w:p w:rsidR="00B951B1" w:rsidRPr="00E61612" w:rsidRDefault="00B951B1" w:rsidP="00CB78E6">
            <w:pPr>
              <w:pStyle w:val="Bibliography"/>
            </w:pPr>
            <w:r w:rsidRPr="00E61612">
              <w:lastRenderedPageBreak/>
              <w:t xml:space="preserve">[33] </w:t>
            </w:r>
          </w:p>
        </w:tc>
        <w:tc>
          <w:tcPr>
            <w:tcW w:w="0" w:type="auto"/>
            <w:hideMark/>
          </w:tcPr>
          <w:p w:rsidR="00B951B1" w:rsidRPr="00E61612" w:rsidRDefault="00B951B1" w:rsidP="00CB78E6">
            <w:pPr>
              <w:pStyle w:val="Bibliography"/>
            </w:pPr>
            <w:r w:rsidRPr="00E61612">
              <w:t xml:space="preserve">INSTAT, </w:t>
            </w:r>
            <w:r w:rsidRPr="00E61612">
              <w:rPr>
                <w:i/>
                <w:iCs/>
              </w:rPr>
              <w:t xml:space="preserve">Vjetari statistikor 2019, </w:t>
            </w:r>
            <w:r w:rsidRPr="00E61612">
              <w:t xml:space="preserve">2019. </w:t>
            </w:r>
          </w:p>
        </w:tc>
      </w:tr>
      <w:tr w:rsidR="00B951B1" w:rsidRPr="00E61612" w:rsidTr="00CB78E6">
        <w:trPr>
          <w:tblCellSpacing w:w="15" w:type="dxa"/>
        </w:trPr>
        <w:tc>
          <w:tcPr>
            <w:tcW w:w="50" w:type="pct"/>
            <w:hideMark/>
          </w:tcPr>
          <w:p w:rsidR="00B951B1" w:rsidRPr="00E61612" w:rsidRDefault="00B951B1" w:rsidP="00CB78E6">
            <w:pPr>
              <w:pStyle w:val="Bibliography"/>
            </w:pPr>
            <w:r w:rsidRPr="00E61612">
              <w:t xml:space="preserve">[34] </w:t>
            </w:r>
          </w:p>
        </w:tc>
        <w:tc>
          <w:tcPr>
            <w:tcW w:w="0" w:type="auto"/>
            <w:hideMark/>
          </w:tcPr>
          <w:p w:rsidR="00B951B1" w:rsidRPr="00E61612" w:rsidRDefault="00B951B1" w:rsidP="00CB78E6">
            <w:pPr>
              <w:pStyle w:val="Bibliography"/>
            </w:pPr>
            <w:r w:rsidRPr="00E61612">
              <w:rPr>
                <w:i/>
                <w:iCs/>
              </w:rPr>
              <w:t xml:space="preserve">Ligji Nr. 139/2015 për vetëqeverisjen vendore, </w:t>
            </w:r>
            <w:r w:rsidRPr="00E61612">
              <w:t xml:space="preserve">QBZ, 2015. </w:t>
            </w:r>
          </w:p>
        </w:tc>
      </w:tr>
      <w:tr w:rsidR="00B951B1" w:rsidRPr="00E61612" w:rsidTr="00CB78E6">
        <w:trPr>
          <w:tblCellSpacing w:w="15" w:type="dxa"/>
        </w:trPr>
        <w:tc>
          <w:tcPr>
            <w:tcW w:w="50" w:type="pct"/>
            <w:hideMark/>
          </w:tcPr>
          <w:p w:rsidR="00B951B1" w:rsidRPr="00E61612" w:rsidRDefault="00B951B1" w:rsidP="00CB78E6">
            <w:pPr>
              <w:pStyle w:val="Bibliography"/>
            </w:pPr>
            <w:r w:rsidRPr="00E61612">
              <w:t xml:space="preserve">[35] </w:t>
            </w:r>
          </w:p>
        </w:tc>
        <w:tc>
          <w:tcPr>
            <w:tcW w:w="0" w:type="auto"/>
            <w:hideMark/>
          </w:tcPr>
          <w:p w:rsidR="00B951B1" w:rsidRPr="00E61612" w:rsidRDefault="00B951B1" w:rsidP="00CB78E6">
            <w:pPr>
              <w:pStyle w:val="Bibliography"/>
            </w:pPr>
            <w:r w:rsidRPr="00E61612">
              <w:rPr>
                <w:i/>
                <w:iCs/>
              </w:rPr>
              <w:t xml:space="preserve">STABILISATION AND ASSOCIATION AGREEMENT between the European Communities and their Member States, of the one part, and the Republic of Albania, </w:t>
            </w:r>
            <w:r w:rsidRPr="00E61612">
              <w:t xml:space="preserve">2009. </w:t>
            </w:r>
          </w:p>
        </w:tc>
      </w:tr>
      <w:tr w:rsidR="00B951B1" w:rsidRPr="00E61612" w:rsidTr="00CB78E6">
        <w:trPr>
          <w:tblCellSpacing w:w="15" w:type="dxa"/>
        </w:trPr>
        <w:tc>
          <w:tcPr>
            <w:tcW w:w="50" w:type="pct"/>
            <w:hideMark/>
          </w:tcPr>
          <w:p w:rsidR="00B951B1" w:rsidRPr="00E61612" w:rsidRDefault="00B951B1" w:rsidP="00CB78E6">
            <w:pPr>
              <w:pStyle w:val="Bibliography"/>
            </w:pPr>
            <w:r w:rsidRPr="00E61612">
              <w:t xml:space="preserve">[36] </w:t>
            </w:r>
          </w:p>
        </w:tc>
        <w:tc>
          <w:tcPr>
            <w:tcW w:w="0" w:type="auto"/>
            <w:hideMark/>
          </w:tcPr>
          <w:p w:rsidR="00B951B1" w:rsidRPr="00E61612" w:rsidRDefault="00B951B1" w:rsidP="00CB78E6">
            <w:pPr>
              <w:pStyle w:val="Bibliography"/>
            </w:pPr>
            <w:r w:rsidRPr="00E61612">
              <w:t xml:space="preserve">INSTAT, </w:t>
            </w:r>
            <w:r w:rsidRPr="00E61612">
              <w:rPr>
                <w:i/>
                <w:iCs/>
              </w:rPr>
              <w:t xml:space="preserve">Anketa mbi Përdorimin e Teknologjisë së Informacionit dhe Komunikimit (TIK) në Familje dhe nga Individët 2018-2019, </w:t>
            </w:r>
            <w:r w:rsidRPr="00E61612">
              <w:t xml:space="preserve">2019. </w:t>
            </w:r>
          </w:p>
        </w:tc>
      </w:tr>
      <w:tr w:rsidR="00B951B1" w:rsidRPr="00E61612" w:rsidTr="00CB78E6">
        <w:trPr>
          <w:tblCellSpacing w:w="15" w:type="dxa"/>
        </w:trPr>
        <w:tc>
          <w:tcPr>
            <w:tcW w:w="50" w:type="pct"/>
            <w:hideMark/>
          </w:tcPr>
          <w:p w:rsidR="00B951B1" w:rsidRPr="00E61612" w:rsidRDefault="00B951B1" w:rsidP="00CB78E6">
            <w:pPr>
              <w:pStyle w:val="Bibliography"/>
            </w:pPr>
            <w:r w:rsidRPr="00E61612">
              <w:t xml:space="preserve">[37] </w:t>
            </w:r>
          </w:p>
        </w:tc>
        <w:tc>
          <w:tcPr>
            <w:tcW w:w="0" w:type="auto"/>
            <w:hideMark/>
          </w:tcPr>
          <w:p w:rsidR="00B951B1" w:rsidRPr="00E61612" w:rsidRDefault="00B951B1" w:rsidP="00CB78E6">
            <w:pPr>
              <w:pStyle w:val="Bibliography"/>
            </w:pPr>
            <w:r w:rsidRPr="00E61612">
              <w:t>M. Wort, D. Pupovci and E. Ikonomi, "Vlerësimi i Strategjisë së Arsimit Parauniversitar 2014-2020," UNICEF, 2019.</w:t>
            </w:r>
          </w:p>
        </w:tc>
      </w:tr>
      <w:tr w:rsidR="00B951B1" w:rsidRPr="00E61612" w:rsidTr="00CB78E6">
        <w:trPr>
          <w:tblCellSpacing w:w="15" w:type="dxa"/>
        </w:trPr>
        <w:tc>
          <w:tcPr>
            <w:tcW w:w="50" w:type="pct"/>
            <w:hideMark/>
          </w:tcPr>
          <w:p w:rsidR="00B951B1" w:rsidRPr="00E61612" w:rsidRDefault="00B951B1" w:rsidP="00CB78E6">
            <w:pPr>
              <w:pStyle w:val="Bibliography"/>
            </w:pPr>
            <w:r w:rsidRPr="00E61612">
              <w:t xml:space="preserve">[38] </w:t>
            </w:r>
          </w:p>
        </w:tc>
        <w:tc>
          <w:tcPr>
            <w:tcW w:w="0" w:type="auto"/>
            <w:hideMark/>
          </w:tcPr>
          <w:p w:rsidR="00B951B1" w:rsidRPr="00E61612" w:rsidRDefault="00B951B1" w:rsidP="00CB78E6">
            <w:pPr>
              <w:pStyle w:val="Bibliography"/>
            </w:pPr>
            <w:r w:rsidRPr="00E61612">
              <w:t xml:space="preserve">MASR, </w:t>
            </w:r>
            <w:r w:rsidRPr="00E61612">
              <w:rPr>
                <w:i/>
                <w:iCs/>
              </w:rPr>
              <w:t xml:space="preserve">Urdhër 195. 25.04.2016. Miratimin e dokumentit "Edukimi dhe formimi Profili i mësuesit gjitheperfshirës", </w:t>
            </w:r>
            <w:r w:rsidRPr="00E61612">
              <w:t xml:space="preserve">2016. </w:t>
            </w:r>
          </w:p>
        </w:tc>
      </w:tr>
      <w:tr w:rsidR="00B951B1" w:rsidRPr="00E61612" w:rsidTr="00CB78E6">
        <w:trPr>
          <w:tblCellSpacing w:w="15" w:type="dxa"/>
        </w:trPr>
        <w:tc>
          <w:tcPr>
            <w:tcW w:w="50" w:type="pct"/>
            <w:hideMark/>
          </w:tcPr>
          <w:p w:rsidR="00B951B1" w:rsidRPr="00E61612" w:rsidRDefault="00B951B1" w:rsidP="00CB78E6">
            <w:pPr>
              <w:pStyle w:val="Bibliography"/>
            </w:pPr>
            <w:r w:rsidRPr="00E61612">
              <w:t xml:space="preserve">[39] </w:t>
            </w:r>
          </w:p>
        </w:tc>
        <w:tc>
          <w:tcPr>
            <w:tcW w:w="0" w:type="auto"/>
            <w:hideMark/>
          </w:tcPr>
          <w:p w:rsidR="00B951B1" w:rsidRPr="00E61612" w:rsidRDefault="00B951B1" w:rsidP="00CB78E6">
            <w:pPr>
              <w:pStyle w:val="Bibliography"/>
            </w:pPr>
            <w:r w:rsidRPr="00E61612">
              <w:t xml:space="preserve">Systems Approach for Better Education Results (SABER), </w:t>
            </w:r>
            <w:r w:rsidRPr="00E61612">
              <w:rPr>
                <w:i/>
                <w:iCs/>
              </w:rPr>
              <w:t xml:space="preserve">Albania - SABER Country Report 2014, </w:t>
            </w:r>
            <w:r w:rsidRPr="00E61612">
              <w:t xml:space="preserve">World Bank, 2014. </w:t>
            </w:r>
          </w:p>
        </w:tc>
      </w:tr>
      <w:tr w:rsidR="00B951B1" w:rsidRPr="00E61612" w:rsidTr="00CB78E6">
        <w:trPr>
          <w:tblCellSpacing w:w="15" w:type="dxa"/>
        </w:trPr>
        <w:tc>
          <w:tcPr>
            <w:tcW w:w="50" w:type="pct"/>
            <w:hideMark/>
          </w:tcPr>
          <w:p w:rsidR="00B951B1" w:rsidRPr="00E61612" w:rsidRDefault="00B951B1" w:rsidP="00CB78E6">
            <w:pPr>
              <w:pStyle w:val="Bibliography"/>
            </w:pPr>
            <w:r w:rsidRPr="00E61612">
              <w:t xml:space="preserve">[40] </w:t>
            </w:r>
          </w:p>
        </w:tc>
        <w:tc>
          <w:tcPr>
            <w:tcW w:w="0" w:type="auto"/>
            <w:hideMark/>
          </w:tcPr>
          <w:p w:rsidR="00B951B1" w:rsidRPr="00E61612" w:rsidRDefault="00B951B1" w:rsidP="00CB78E6">
            <w:pPr>
              <w:pStyle w:val="Bibliography"/>
            </w:pPr>
            <w:r w:rsidRPr="00E61612">
              <w:t>INSTAT, "Albania Demographic and Health Survey 2017-2018," 2018.</w:t>
            </w:r>
          </w:p>
        </w:tc>
      </w:tr>
      <w:tr w:rsidR="00B951B1" w:rsidRPr="00E61612" w:rsidTr="00CB78E6">
        <w:trPr>
          <w:tblCellSpacing w:w="15" w:type="dxa"/>
        </w:trPr>
        <w:tc>
          <w:tcPr>
            <w:tcW w:w="50" w:type="pct"/>
            <w:hideMark/>
          </w:tcPr>
          <w:p w:rsidR="00B951B1" w:rsidRPr="00E61612" w:rsidRDefault="00B951B1" w:rsidP="00CB78E6">
            <w:pPr>
              <w:pStyle w:val="Bibliography"/>
            </w:pPr>
            <w:r w:rsidRPr="00E61612">
              <w:t xml:space="preserve">[41] </w:t>
            </w:r>
          </w:p>
        </w:tc>
        <w:tc>
          <w:tcPr>
            <w:tcW w:w="0" w:type="auto"/>
            <w:hideMark/>
          </w:tcPr>
          <w:p w:rsidR="00B951B1" w:rsidRPr="00E61612" w:rsidRDefault="00B951B1" w:rsidP="00CB78E6">
            <w:pPr>
              <w:pStyle w:val="Bibliography"/>
            </w:pPr>
            <w:r w:rsidRPr="00E61612">
              <w:t xml:space="preserve">ASCAP, </w:t>
            </w:r>
            <w:r w:rsidRPr="00E61612">
              <w:rPr>
                <w:i/>
                <w:iCs/>
              </w:rPr>
              <w:t xml:space="preserve">Nevojat për zhvillim profesional të mësuesve ndihmës në arsimin parauniversitar - Raport, </w:t>
            </w:r>
            <w:r w:rsidRPr="00E61612">
              <w:t xml:space="preserve">2020. </w:t>
            </w:r>
          </w:p>
        </w:tc>
      </w:tr>
      <w:tr w:rsidR="00B951B1" w:rsidRPr="00E61612" w:rsidTr="00CB78E6">
        <w:trPr>
          <w:tblCellSpacing w:w="15" w:type="dxa"/>
        </w:trPr>
        <w:tc>
          <w:tcPr>
            <w:tcW w:w="50" w:type="pct"/>
            <w:hideMark/>
          </w:tcPr>
          <w:p w:rsidR="00B951B1" w:rsidRPr="00E61612" w:rsidRDefault="00B951B1" w:rsidP="00CB78E6">
            <w:pPr>
              <w:pStyle w:val="Bibliography"/>
            </w:pPr>
            <w:r w:rsidRPr="00E61612">
              <w:t xml:space="preserve">[42] </w:t>
            </w:r>
          </w:p>
        </w:tc>
        <w:tc>
          <w:tcPr>
            <w:tcW w:w="0" w:type="auto"/>
            <w:hideMark/>
          </w:tcPr>
          <w:p w:rsidR="00B951B1" w:rsidRPr="00E61612" w:rsidRDefault="00B951B1" w:rsidP="00CB78E6">
            <w:pPr>
              <w:pStyle w:val="Bibliography"/>
            </w:pPr>
            <w:r w:rsidRPr="00E61612">
              <w:t>J. Rogers and E. M. Sammon, "We All Matter! Situation Analysis of Children with Disabilities in Albania," UNICEF, 2018.</w:t>
            </w:r>
          </w:p>
        </w:tc>
      </w:tr>
      <w:tr w:rsidR="00B951B1" w:rsidRPr="00E61612" w:rsidTr="00CB78E6">
        <w:trPr>
          <w:tblCellSpacing w:w="15" w:type="dxa"/>
        </w:trPr>
        <w:tc>
          <w:tcPr>
            <w:tcW w:w="50" w:type="pct"/>
            <w:hideMark/>
          </w:tcPr>
          <w:p w:rsidR="00B951B1" w:rsidRPr="00E61612" w:rsidRDefault="00B951B1" w:rsidP="00CB78E6">
            <w:pPr>
              <w:pStyle w:val="Bibliography"/>
            </w:pPr>
            <w:r w:rsidRPr="00E61612">
              <w:t xml:space="preserve">[43] </w:t>
            </w:r>
          </w:p>
        </w:tc>
        <w:tc>
          <w:tcPr>
            <w:tcW w:w="0" w:type="auto"/>
            <w:hideMark/>
          </w:tcPr>
          <w:p w:rsidR="00B951B1" w:rsidRPr="00E61612" w:rsidRDefault="00B951B1" w:rsidP="00CB78E6">
            <w:pPr>
              <w:pStyle w:val="Bibliography"/>
            </w:pPr>
            <w:r w:rsidRPr="00E61612">
              <w:t>T. Gonzales, "Report on the Implementation of the New Competency Based Curriculum:," UNICEF, Tirana, 2018.</w:t>
            </w:r>
          </w:p>
        </w:tc>
      </w:tr>
      <w:tr w:rsidR="00B951B1" w:rsidRPr="00E61612" w:rsidTr="00CB78E6">
        <w:trPr>
          <w:tblCellSpacing w:w="15" w:type="dxa"/>
        </w:trPr>
        <w:tc>
          <w:tcPr>
            <w:tcW w:w="50" w:type="pct"/>
            <w:hideMark/>
          </w:tcPr>
          <w:p w:rsidR="00B951B1" w:rsidRPr="00E61612" w:rsidRDefault="00B951B1" w:rsidP="00CB78E6">
            <w:pPr>
              <w:pStyle w:val="Bibliography"/>
            </w:pPr>
            <w:r w:rsidRPr="00E61612">
              <w:t xml:space="preserve">[44] </w:t>
            </w:r>
          </w:p>
        </w:tc>
        <w:tc>
          <w:tcPr>
            <w:tcW w:w="0" w:type="auto"/>
            <w:hideMark/>
          </w:tcPr>
          <w:p w:rsidR="00B951B1" w:rsidRPr="00E61612" w:rsidRDefault="00B951B1" w:rsidP="00CB78E6">
            <w:pPr>
              <w:pStyle w:val="Bibliography"/>
            </w:pPr>
            <w:r w:rsidRPr="00E61612">
              <w:rPr>
                <w:i/>
                <w:iCs/>
              </w:rPr>
              <w:t xml:space="preserve">Dialog në nivel kombëtar - “Lëvrimi i rrugës drejt arsimit gjithëpërfshirës sipas Komentit të Përgjithshëm 24/4 të KDPAK për Arsimin Gjithëpërfshirës”, </w:t>
            </w:r>
            <w:r w:rsidRPr="00E61612">
              <w:t xml:space="preserve">18 shtator 2018. </w:t>
            </w:r>
          </w:p>
        </w:tc>
      </w:tr>
      <w:tr w:rsidR="00B951B1" w:rsidRPr="00E61612" w:rsidTr="00CB78E6">
        <w:trPr>
          <w:tblCellSpacing w:w="15" w:type="dxa"/>
        </w:trPr>
        <w:tc>
          <w:tcPr>
            <w:tcW w:w="50" w:type="pct"/>
            <w:hideMark/>
          </w:tcPr>
          <w:p w:rsidR="00B951B1" w:rsidRPr="00E61612" w:rsidRDefault="00B951B1" w:rsidP="00CB78E6">
            <w:pPr>
              <w:pStyle w:val="Bibliography"/>
            </w:pPr>
            <w:r w:rsidRPr="00E61612">
              <w:t xml:space="preserve">[45] </w:t>
            </w:r>
          </w:p>
        </w:tc>
        <w:tc>
          <w:tcPr>
            <w:tcW w:w="0" w:type="auto"/>
            <w:hideMark/>
          </w:tcPr>
          <w:p w:rsidR="00B951B1" w:rsidRPr="00E61612" w:rsidRDefault="00B951B1" w:rsidP="00CB78E6">
            <w:pPr>
              <w:pStyle w:val="Bibliography"/>
            </w:pPr>
            <w:r w:rsidRPr="00E61612">
              <w:t xml:space="preserve">MASR, </w:t>
            </w:r>
            <w:r w:rsidRPr="00E61612">
              <w:rPr>
                <w:i/>
                <w:iCs/>
              </w:rPr>
              <w:t xml:space="preserve">Të dhënat për arsimin parauniversitar 2019/20, </w:t>
            </w:r>
            <w:r w:rsidRPr="00E61612">
              <w:t xml:space="preserve">2020. </w:t>
            </w:r>
          </w:p>
        </w:tc>
      </w:tr>
      <w:tr w:rsidR="00B951B1" w:rsidRPr="00E61612" w:rsidTr="00CB78E6">
        <w:trPr>
          <w:tblCellSpacing w:w="15" w:type="dxa"/>
        </w:trPr>
        <w:tc>
          <w:tcPr>
            <w:tcW w:w="50" w:type="pct"/>
            <w:hideMark/>
          </w:tcPr>
          <w:p w:rsidR="00B951B1" w:rsidRPr="00E61612" w:rsidRDefault="00B951B1" w:rsidP="00CB78E6">
            <w:pPr>
              <w:pStyle w:val="Bibliography"/>
            </w:pPr>
            <w:r w:rsidRPr="00E61612">
              <w:t xml:space="preserve">[46] </w:t>
            </w:r>
          </w:p>
        </w:tc>
        <w:tc>
          <w:tcPr>
            <w:tcW w:w="0" w:type="auto"/>
            <w:hideMark/>
          </w:tcPr>
          <w:p w:rsidR="00B951B1" w:rsidRPr="00E61612" w:rsidRDefault="00B951B1" w:rsidP="00CB78E6">
            <w:pPr>
              <w:pStyle w:val="Bibliography"/>
            </w:pPr>
            <w:r w:rsidRPr="00E61612">
              <w:t xml:space="preserve">MASR, </w:t>
            </w:r>
            <w:r w:rsidRPr="00E61612">
              <w:rPr>
                <w:i/>
                <w:iCs/>
              </w:rPr>
              <w:t xml:space="preserve">Të dhënat për arsimin parauniversitar 2018/19, </w:t>
            </w:r>
            <w:r w:rsidRPr="00E61612">
              <w:t xml:space="preserve">2019. </w:t>
            </w:r>
          </w:p>
        </w:tc>
      </w:tr>
      <w:tr w:rsidR="00B951B1" w:rsidRPr="00E61612" w:rsidTr="00CB78E6">
        <w:trPr>
          <w:tblCellSpacing w:w="15" w:type="dxa"/>
        </w:trPr>
        <w:tc>
          <w:tcPr>
            <w:tcW w:w="50" w:type="pct"/>
            <w:hideMark/>
          </w:tcPr>
          <w:p w:rsidR="00B951B1" w:rsidRPr="00E61612" w:rsidRDefault="00B951B1" w:rsidP="00CB78E6">
            <w:pPr>
              <w:pStyle w:val="Bibliography"/>
            </w:pPr>
            <w:r w:rsidRPr="00E61612">
              <w:t xml:space="preserve">[47] </w:t>
            </w:r>
          </w:p>
        </w:tc>
        <w:tc>
          <w:tcPr>
            <w:tcW w:w="0" w:type="auto"/>
            <w:hideMark/>
          </w:tcPr>
          <w:p w:rsidR="00B951B1" w:rsidRPr="00E61612" w:rsidRDefault="00B951B1" w:rsidP="00CB78E6">
            <w:pPr>
              <w:pStyle w:val="Bibliography"/>
            </w:pPr>
            <w:r w:rsidRPr="00E61612">
              <w:t>UNDP, "Roma at a Glance ALBANIA," 2018.</w:t>
            </w:r>
          </w:p>
        </w:tc>
      </w:tr>
      <w:tr w:rsidR="00B951B1" w:rsidRPr="00E61612" w:rsidTr="00CB78E6">
        <w:trPr>
          <w:tblCellSpacing w:w="15" w:type="dxa"/>
        </w:trPr>
        <w:tc>
          <w:tcPr>
            <w:tcW w:w="50" w:type="pct"/>
            <w:hideMark/>
          </w:tcPr>
          <w:p w:rsidR="00B951B1" w:rsidRPr="00E61612" w:rsidRDefault="00B951B1" w:rsidP="00CB78E6">
            <w:pPr>
              <w:pStyle w:val="Bibliography"/>
            </w:pPr>
            <w:r w:rsidRPr="00E61612">
              <w:t xml:space="preserve">[48] </w:t>
            </w:r>
          </w:p>
        </w:tc>
        <w:tc>
          <w:tcPr>
            <w:tcW w:w="0" w:type="auto"/>
            <w:hideMark/>
          </w:tcPr>
          <w:p w:rsidR="00B951B1" w:rsidRPr="00E61612" w:rsidRDefault="00B951B1" w:rsidP="00CB78E6">
            <w:pPr>
              <w:pStyle w:val="Bibliography"/>
            </w:pPr>
            <w:r w:rsidRPr="00E61612">
              <w:t xml:space="preserve">UNICEF, </w:t>
            </w:r>
            <w:r w:rsidRPr="00E61612">
              <w:rPr>
                <w:i/>
                <w:iCs/>
              </w:rPr>
              <w:t xml:space="preserve">Albania - The Cost of Underinvestment in Education: And ways to reduce it, </w:t>
            </w:r>
            <w:r w:rsidRPr="00E61612">
              <w:t xml:space="preserve">2017. </w:t>
            </w:r>
          </w:p>
        </w:tc>
      </w:tr>
      <w:tr w:rsidR="00B951B1" w:rsidRPr="00E61612" w:rsidTr="00CB78E6">
        <w:trPr>
          <w:tblCellSpacing w:w="15" w:type="dxa"/>
        </w:trPr>
        <w:tc>
          <w:tcPr>
            <w:tcW w:w="50" w:type="pct"/>
            <w:hideMark/>
          </w:tcPr>
          <w:p w:rsidR="00B951B1" w:rsidRPr="00E61612" w:rsidRDefault="00B951B1" w:rsidP="00CB78E6">
            <w:pPr>
              <w:pStyle w:val="Bibliography"/>
            </w:pPr>
            <w:r w:rsidRPr="00E61612">
              <w:lastRenderedPageBreak/>
              <w:t xml:space="preserve">[49] </w:t>
            </w:r>
          </w:p>
        </w:tc>
        <w:tc>
          <w:tcPr>
            <w:tcW w:w="0" w:type="auto"/>
            <w:hideMark/>
          </w:tcPr>
          <w:p w:rsidR="00B951B1" w:rsidRPr="00E61612" w:rsidRDefault="00B951B1" w:rsidP="00CB78E6">
            <w:pPr>
              <w:pStyle w:val="Bibliography"/>
            </w:pPr>
            <w:r w:rsidRPr="00E61612">
              <w:t xml:space="preserve">MASR, </w:t>
            </w:r>
            <w:r w:rsidRPr="00E61612">
              <w:rPr>
                <w:i/>
                <w:iCs/>
              </w:rPr>
              <w:t>Urdhër Nr. 313 datë 20.10.2020 për organizimin dhe funksionimin e shërbimit psiko-social në institucionet e arsimit parauniversitar dhe procedurat e emërimit, pezullimit dhe largimit në shërbimin psiko-social.</w:t>
            </w:r>
            <w:r w:rsidRPr="00E61612">
              <w:t xml:space="preserve"> </w:t>
            </w:r>
          </w:p>
        </w:tc>
      </w:tr>
      <w:tr w:rsidR="00B951B1" w:rsidRPr="00E61612" w:rsidTr="00CB78E6">
        <w:trPr>
          <w:tblCellSpacing w:w="15" w:type="dxa"/>
        </w:trPr>
        <w:tc>
          <w:tcPr>
            <w:tcW w:w="50" w:type="pct"/>
            <w:hideMark/>
          </w:tcPr>
          <w:p w:rsidR="00B951B1" w:rsidRPr="00E61612" w:rsidRDefault="00B951B1" w:rsidP="00CB78E6">
            <w:pPr>
              <w:pStyle w:val="Bibliography"/>
            </w:pPr>
            <w:r w:rsidRPr="00E61612">
              <w:t xml:space="preserve">[50] </w:t>
            </w:r>
          </w:p>
        </w:tc>
        <w:tc>
          <w:tcPr>
            <w:tcW w:w="0" w:type="auto"/>
            <w:hideMark/>
          </w:tcPr>
          <w:p w:rsidR="00B951B1" w:rsidRPr="00E61612" w:rsidRDefault="00B951B1" w:rsidP="00CB78E6">
            <w:pPr>
              <w:pStyle w:val="Bibliography"/>
            </w:pPr>
            <w:r w:rsidRPr="00E61612">
              <w:t xml:space="preserve">MASR, </w:t>
            </w:r>
            <w:r w:rsidRPr="00E61612">
              <w:rPr>
                <w:i/>
                <w:iCs/>
              </w:rPr>
              <w:t xml:space="preserve">Raport monitorimi Ministria e Arsimit Sportit dhe Rinisë (Janar – Dhjetor 2018), </w:t>
            </w:r>
            <w:r w:rsidRPr="00E61612">
              <w:t xml:space="preserve">2019. </w:t>
            </w:r>
          </w:p>
        </w:tc>
      </w:tr>
      <w:tr w:rsidR="00B951B1" w:rsidRPr="00E61612" w:rsidTr="00CB78E6">
        <w:trPr>
          <w:tblCellSpacing w:w="15" w:type="dxa"/>
        </w:trPr>
        <w:tc>
          <w:tcPr>
            <w:tcW w:w="50" w:type="pct"/>
            <w:hideMark/>
          </w:tcPr>
          <w:p w:rsidR="00B951B1" w:rsidRPr="00E61612" w:rsidRDefault="00B951B1" w:rsidP="00CB78E6">
            <w:pPr>
              <w:pStyle w:val="Bibliography"/>
            </w:pPr>
            <w:r w:rsidRPr="00E61612">
              <w:t xml:space="preserve">[51] </w:t>
            </w:r>
          </w:p>
        </w:tc>
        <w:tc>
          <w:tcPr>
            <w:tcW w:w="0" w:type="auto"/>
            <w:hideMark/>
          </w:tcPr>
          <w:p w:rsidR="00B951B1" w:rsidRPr="00E61612" w:rsidRDefault="00B951B1" w:rsidP="00CB78E6">
            <w:pPr>
              <w:pStyle w:val="Bibliography"/>
            </w:pPr>
            <w:r w:rsidRPr="00E61612">
              <w:t xml:space="preserve">MASR, </w:t>
            </w:r>
            <w:r w:rsidRPr="00E61612">
              <w:rPr>
                <w:i/>
                <w:iCs/>
              </w:rPr>
              <w:t xml:space="preserve">Raport monitorimi Ministria e Arsimit Sportit dhe Rinisë (Janar – Dhjetor 2019), </w:t>
            </w:r>
            <w:r w:rsidRPr="00E61612">
              <w:t xml:space="preserve">2020. </w:t>
            </w:r>
          </w:p>
        </w:tc>
      </w:tr>
      <w:tr w:rsidR="00B951B1" w:rsidRPr="00E61612" w:rsidTr="00CB78E6">
        <w:trPr>
          <w:tblCellSpacing w:w="15" w:type="dxa"/>
        </w:trPr>
        <w:tc>
          <w:tcPr>
            <w:tcW w:w="50" w:type="pct"/>
            <w:hideMark/>
          </w:tcPr>
          <w:p w:rsidR="00B951B1" w:rsidRPr="00E61612" w:rsidRDefault="00B951B1" w:rsidP="00CB78E6">
            <w:pPr>
              <w:pStyle w:val="Bibliography"/>
            </w:pPr>
            <w:r w:rsidRPr="00E61612">
              <w:t xml:space="preserve">[52] </w:t>
            </w:r>
          </w:p>
        </w:tc>
        <w:tc>
          <w:tcPr>
            <w:tcW w:w="0" w:type="auto"/>
            <w:hideMark/>
          </w:tcPr>
          <w:p w:rsidR="00B951B1" w:rsidRPr="00E61612" w:rsidRDefault="00B951B1" w:rsidP="00CB78E6">
            <w:pPr>
              <w:pStyle w:val="Bibliography"/>
            </w:pPr>
            <w:r w:rsidRPr="00E61612">
              <w:rPr>
                <w:i/>
                <w:iCs/>
              </w:rPr>
              <w:t xml:space="preserve">Albania Post-Earthquake Needs Assessment - Draft Report, </w:t>
            </w:r>
            <w:r w:rsidRPr="00E61612">
              <w:t xml:space="preserve">2020. </w:t>
            </w:r>
          </w:p>
        </w:tc>
      </w:tr>
      <w:tr w:rsidR="00B951B1" w:rsidRPr="00E61612" w:rsidTr="00CB78E6">
        <w:trPr>
          <w:tblCellSpacing w:w="15" w:type="dxa"/>
        </w:trPr>
        <w:tc>
          <w:tcPr>
            <w:tcW w:w="50" w:type="pct"/>
            <w:hideMark/>
          </w:tcPr>
          <w:p w:rsidR="00B951B1" w:rsidRPr="00E61612" w:rsidRDefault="00B951B1" w:rsidP="00CB78E6">
            <w:pPr>
              <w:pStyle w:val="Bibliography"/>
            </w:pPr>
            <w:r w:rsidRPr="00E61612">
              <w:t xml:space="preserve">[53] </w:t>
            </w:r>
          </w:p>
        </w:tc>
        <w:tc>
          <w:tcPr>
            <w:tcW w:w="0" w:type="auto"/>
            <w:hideMark/>
          </w:tcPr>
          <w:p w:rsidR="00B951B1" w:rsidRPr="00E61612" w:rsidRDefault="00B951B1" w:rsidP="00CB78E6">
            <w:pPr>
              <w:pStyle w:val="Bibliography"/>
            </w:pPr>
            <w:r w:rsidRPr="00E61612">
              <w:t xml:space="preserve">UNESCO, </w:t>
            </w:r>
            <w:r w:rsidRPr="00E61612">
              <w:rPr>
                <w:i/>
                <w:iCs/>
              </w:rPr>
              <w:t xml:space="preserve">Behind the numbers: Ending school violence and bullying, </w:t>
            </w:r>
            <w:r w:rsidRPr="00E61612">
              <w:t xml:space="preserve">2019. </w:t>
            </w:r>
          </w:p>
        </w:tc>
      </w:tr>
      <w:tr w:rsidR="00B951B1" w:rsidRPr="00E61612" w:rsidTr="00CB78E6">
        <w:trPr>
          <w:tblCellSpacing w:w="15" w:type="dxa"/>
        </w:trPr>
        <w:tc>
          <w:tcPr>
            <w:tcW w:w="50" w:type="pct"/>
            <w:hideMark/>
          </w:tcPr>
          <w:p w:rsidR="00B951B1" w:rsidRPr="00E61612" w:rsidRDefault="00B951B1" w:rsidP="00CB78E6">
            <w:pPr>
              <w:pStyle w:val="Bibliography"/>
            </w:pPr>
            <w:r w:rsidRPr="00E61612">
              <w:t xml:space="preserve">[54] </w:t>
            </w:r>
          </w:p>
        </w:tc>
        <w:tc>
          <w:tcPr>
            <w:tcW w:w="0" w:type="auto"/>
            <w:hideMark/>
          </w:tcPr>
          <w:p w:rsidR="00B951B1" w:rsidRPr="00E61612" w:rsidRDefault="00B951B1" w:rsidP="00CB78E6">
            <w:pPr>
              <w:pStyle w:val="Bibliography"/>
            </w:pPr>
            <w:r w:rsidRPr="00E61612">
              <w:t>E. Dragoti and E. Ismaili, "Studimi kombëtar mbi bullizmin dhe ekstremizmin e dhunshëm në sistemin arsimor shqiptar," Këshilli i Europës, Tiranë, 2017.</w:t>
            </w:r>
          </w:p>
        </w:tc>
      </w:tr>
      <w:tr w:rsidR="00B951B1" w:rsidRPr="00E61612" w:rsidTr="00CB78E6">
        <w:trPr>
          <w:tblCellSpacing w:w="15" w:type="dxa"/>
        </w:trPr>
        <w:tc>
          <w:tcPr>
            <w:tcW w:w="50" w:type="pct"/>
            <w:hideMark/>
          </w:tcPr>
          <w:p w:rsidR="00B951B1" w:rsidRPr="00E61612" w:rsidRDefault="00B951B1" w:rsidP="00CB78E6">
            <w:pPr>
              <w:pStyle w:val="Bibliography"/>
            </w:pPr>
            <w:r w:rsidRPr="00E61612">
              <w:t xml:space="preserve">[55] </w:t>
            </w:r>
          </w:p>
        </w:tc>
        <w:tc>
          <w:tcPr>
            <w:tcW w:w="0" w:type="auto"/>
            <w:hideMark/>
          </w:tcPr>
          <w:p w:rsidR="00B951B1" w:rsidRPr="00E61612" w:rsidRDefault="00B951B1" w:rsidP="00CB78E6">
            <w:pPr>
              <w:pStyle w:val="Bibliography"/>
            </w:pPr>
            <w:r w:rsidRPr="00E61612">
              <w:t xml:space="preserve">OECD, </w:t>
            </w:r>
            <w:r w:rsidRPr="00E61612">
              <w:rPr>
                <w:i/>
                <w:iCs/>
              </w:rPr>
              <w:t xml:space="preserve">Education at a Glance 2020: OECD Indicator, </w:t>
            </w:r>
            <w:r w:rsidRPr="00E61612">
              <w:t xml:space="preserve">Paris: OECD Publishing, 2020. </w:t>
            </w:r>
          </w:p>
        </w:tc>
      </w:tr>
      <w:tr w:rsidR="00B951B1" w:rsidRPr="00E61612" w:rsidTr="00CB78E6">
        <w:trPr>
          <w:tblCellSpacing w:w="15" w:type="dxa"/>
        </w:trPr>
        <w:tc>
          <w:tcPr>
            <w:tcW w:w="50" w:type="pct"/>
            <w:hideMark/>
          </w:tcPr>
          <w:p w:rsidR="00B951B1" w:rsidRPr="00E61612" w:rsidRDefault="00B951B1" w:rsidP="00CB78E6">
            <w:pPr>
              <w:pStyle w:val="Bibliography"/>
            </w:pPr>
            <w:r w:rsidRPr="00E61612">
              <w:t xml:space="preserve">[56] </w:t>
            </w:r>
          </w:p>
        </w:tc>
        <w:tc>
          <w:tcPr>
            <w:tcW w:w="0" w:type="auto"/>
            <w:hideMark/>
          </w:tcPr>
          <w:p w:rsidR="00B951B1" w:rsidRPr="00E61612" w:rsidRDefault="00B951B1" w:rsidP="00CB78E6">
            <w:pPr>
              <w:pStyle w:val="Bibliography"/>
            </w:pPr>
            <w:r w:rsidRPr="00E61612">
              <w:t xml:space="preserve">MASR, </w:t>
            </w:r>
            <w:r w:rsidRPr="00E61612">
              <w:rPr>
                <w:i/>
                <w:iCs/>
              </w:rPr>
              <w:t xml:space="preserve">Urdhër Nr. 246, dt. 24.07.2020 për Standardet Profesionale të formimit të përgjithshëm dhe të formimit lëndor të mësuesit në sistemin arsimor parauniversitar, </w:t>
            </w:r>
            <w:r w:rsidRPr="00E61612">
              <w:t xml:space="preserve">2020. </w:t>
            </w:r>
          </w:p>
        </w:tc>
      </w:tr>
      <w:tr w:rsidR="00B951B1" w:rsidRPr="00E61612" w:rsidTr="00CB78E6">
        <w:trPr>
          <w:tblCellSpacing w:w="15" w:type="dxa"/>
        </w:trPr>
        <w:tc>
          <w:tcPr>
            <w:tcW w:w="50" w:type="pct"/>
            <w:hideMark/>
          </w:tcPr>
          <w:p w:rsidR="00B951B1" w:rsidRPr="00E61612" w:rsidRDefault="00B951B1" w:rsidP="00CB78E6">
            <w:pPr>
              <w:pStyle w:val="Bibliography"/>
            </w:pPr>
            <w:r w:rsidRPr="00E61612">
              <w:t xml:space="preserve">[57] </w:t>
            </w:r>
          </w:p>
        </w:tc>
        <w:tc>
          <w:tcPr>
            <w:tcW w:w="0" w:type="auto"/>
            <w:hideMark/>
          </w:tcPr>
          <w:p w:rsidR="00B951B1" w:rsidRPr="00E61612" w:rsidRDefault="00B951B1" w:rsidP="00CB78E6">
            <w:pPr>
              <w:pStyle w:val="Bibliography"/>
            </w:pPr>
            <w:r w:rsidRPr="00E61612">
              <w:t xml:space="preserve">ASCAP, </w:t>
            </w:r>
            <w:r w:rsidRPr="00E61612">
              <w:rPr>
                <w:i/>
                <w:iCs/>
              </w:rPr>
              <w:t xml:space="preserve">Identifikimi i nevojave për zhvillim profesional të punonjësve arsimorë në arsimin parauniversitar, </w:t>
            </w:r>
            <w:r w:rsidRPr="00E61612">
              <w:t xml:space="preserve">2021. </w:t>
            </w:r>
          </w:p>
        </w:tc>
      </w:tr>
      <w:tr w:rsidR="00B951B1" w:rsidRPr="00E61612" w:rsidTr="00CB78E6">
        <w:trPr>
          <w:tblCellSpacing w:w="15" w:type="dxa"/>
        </w:trPr>
        <w:tc>
          <w:tcPr>
            <w:tcW w:w="50" w:type="pct"/>
            <w:hideMark/>
          </w:tcPr>
          <w:p w:rsidR="00B951B1" w:rsidRPr="00E61612" w:rsidRDefault="00B951B1" w:rsidP="00CB78E6">
            <w:pPr>
              <w:pStyle w:val="Bibliography"/>
            </w:pPr>
            <w:r w:rsidRPr="00E61612">
              <w:t xml:space="preserve">[58] </w:t>
            </w:r>
          </w:p>
        </w:tc>
        <w:tc>
          <w:tcPr>
            <w:tcW w:w="0" w:type="auto"/>
            <w:hideMark/>
          </w:tcPr>
          <w:p w:rsidR="00B951B1" w:rsidRPr="00E61612" w:rsidRDefault="00B951B1" w:rsidP="00CB78E6">
            <w:pPr>
              <w:pStyle w:val="Bibliography"/>
            </w:pPr>
            <w:r w:rsidRPr="00E61612">
              <w:t>UNESCO, "Albania: education policy review; issues and recommendations, extended report," Paris, 2017.</w:t>
            </w:r>
          </w:p>
        </w:tc>
      </w:tr>
      <w:tr w:rsidR="00B951B1" w:rsidRPr="00E61612" w:rsidTr="00CB78E6">
        <w:trPr>
          <w:tblCellSpacing w:w="15" w:type="dxa"/>
        </w:trPr>
        <w:tc>
          <w:tcPr>
            <w:tcW w:w="50" w:type="pct"/>
            <w:hideMark/>
          </w:tcPr>
          <w:p w:rsidR="00B951B1" w:rsidRPr="00E61612" w:rsidRDefault="00B951B1" w:rsidP="00CB78E6">
            <w:pPr>
              <w:pStyle w:val="Bibliography"/>
            </w:pPr>
            <w:r w:rsidRPr="00E61612">
              <w:t xml:space="preserve">[59] </w:t>
            </w:r>
          </w:p>
        </w:tc>
        <w:tc>
          <w:tcPr>
            <w:tcW w:w="0" w:type="auto"/>
            <w:hideMark/>
          </w:tcPr>
          <w:p w:rsidR="00B951B1" w:rsidRPr="00E61612" w:rsidRDefault="00B951B1" w:rsidP="00CB78E6">
            <w:pPr>
              <w:pStyle w:val="Bibliography"/>
            </w:pPr>
            <w:r w:rsidRPr="00E61612">
              <w:t xml:space="preserve">Dunja A, Gjergji O, Gvineria D, Hallkaj E, dhe Verzivolli I., </w:t>
            </w:r>
            <w:r w:rsidRPr="00E61612">
              <w:rPr>
                <w:i/>
                <w:iCs/>
              </w:rPr>
              <w:t xml:space="preserve">Një Klikim Larg. Përvoja e përdorimit të internetit nga fëmijët në Shqipëri, </w:t>
            </w:r>
            <w:r w:rsidRPr="00E61612">
              <w:t xml:space="preserve">Tiranë: UNICEF në Shqipëri &amp; IPSOS Strategic Marketing, 2019. </w:t>
            </w:r>
          </w:p>
        </w:tc>
      </w:tr>
      <w:tr w:rsidR="00B951B1" w:rsidRPr="00E61612" w:rsidTr="00CB78E6">
        <w:trPr>
          <w:tblCellSpacing w:w="15" w:type="dxa"/>
        </w:trPr>
        <w:tc>
          <w:tcPr>
            <w:tcW w:w="50" w:type="pct"/>
            <w:hideMark/>
          </w:tcPr>
          <w:p w:rsidR="00B951B1" w:rsidRPr="00E61612" w:rsidRDefault="00B951B1" w:rsidP="00CB78E6">
            <w:pPr>
              <w:pStyle w:val="Bibliography"/>
            </w:pPr>
            <w:r w:rsidRPr="00E61612">
              <w:t xml:space="preserve">[60] </w:t>
            </w:r>
          </w:p>
        </w:tc>
        <w:tc>
          <w:tcPr>
            <w:tcW w:w="0" w:type="auto"/>
            <w:hideMark/>
          </w:tcPr>
          <w:p w:rsidR="00B951B1" w:rsidRPr="00E61612" w:rsidRDefault="00B951B1" w:rsidP="00CB78E6">
            <w:pPr>
              <w:pStyle w:val="Bibliography"/>
            </w:pPr>
            <w:r w:rsidRPr="00E61612">
              <w:t xml:space="preserve">Sulstarova A., Bisha E., Ymeri H, Shapo Zh., </w:t>
            </w:r>
            <w:r w:rsidRPr="00E61612">
              <w:rPr>
                <w:i/>
                <w:iCs/>
              </w:rPr>
              <w:t xml:space="preserve">Webfactor - Vlerësimi i kuadrit ligjor dhe gatishmërisë institucionale për trajtimin e abuzimit dhe shfrytëzimit seksual të fëmijëve në hapësirën kibernetike në Shqipëri, </w:t>
            </w:r>
            <w:r w:rsidRPr="00E61612">
              <w:t xml:space="preserve">Tiranë: UNICEF Shqipëri/Shapo Consulting, 2019. </w:t>
            </w:r>
          </w:p>
        </w:tc>
      </w:tr>
      <w:tr w:rsidR="00B951B1" w:rsidRPr="00E61612" w:rsidTr="00CB78E6">
        <w:trPr>
          <w:tblCellSpacing w:w="15" w:type="dxa"/>
        </w:trPr>
        <w:tc>
          <w:tcPr>
            <w:tcW w:w="50" w:type="pct"/>
            <w:hideMark/>
          </w:tcPr>
          <w:p w:rsidR="00B951B1" w:rsidRPr="00E61612" w:rsidRDefault="00B951B1" w:rsidP="00CB78E6">
            <w:pPr>
              <w:pStyle w:val="Bibliography"/>
            </w:pPr>
            <w:r w:rsidRPr="00E61612">
              <w:t xml:space="preserve">[61] </w:t>
            </w:r>
          </w:p>
        </w:tc>
        <w:tc>
          <w:tcPr>
            <w:tcW w:w="0" w:type="auto"/>
            <w:hideMark/>
          </w:tcPr>
          <w:p w:rsidR="00B951B1" w:rsidRPr="00E61612" w:rsidRDefault="00B951B1" w:rsidP="00CB78E6">
            <w:pPr>
              <w:pStyle w:val="Bibliography"/>
            </w:pPr>
            <w:r w:rsidRPr="00E61612">
              <w:t xml:space="preserve">MASR, </w:t>
            </w:r>
            <w:r w:rsidRPr="00E61612">
              <w:rPr>
                <w:i/>
                <w:iCs/>
              </w:rPr>
              <w:t xml:space="preserve">Urdhër Nr. 467, datë 15.09.2016 për miratimi e standardeve të performancës dhe kriteret e vlersimit për drejtorët e shkollave, </w:t>
            </w:r>
            <w:r w:rsidRPr="00E61612">
              <w:t xml:space="preserve">2016. </w:t>
            </w:r>
          </w:p>
        </w:tc>
      </w:tr>
      <w:tr w:rsidR="00B951B1" w:rsidRPr="00E61612" w:rsidTr="00CB78E6">
        <w:trPr>
          <w:tblCellSpacing w:w="15" w:type="dxa"/>
        </w:trPr>
        <w:tc>
          <w:tcPr>
            <w:tcW w:w="50" w:type="pct"/>
            <w:hideMark/>
          </w:tcPr>
          <w:p w:rsidR="00B951B1" w:rsidRPr="00E61612" w:rsidRDefault="00B951B1" w:rsidP="00CB78E6">
            <w:pPr>
              <w:pStyle w:val="Bibliography"/>
            </w:pPr>
            <w:r w:rsidRPr="00E61612">
              <w:t xml:space="preserve">[62] </w:t>
            </w:r>
          </w:p>
        </w:tc>
        <w:tc>
          <w:tcPr>
            <w:tcW w:w="0" w:type="auto"/>
            <w:hideMark/>
          </w:tcPr>
          <w:p w:rsidR="00B951B1" w:rsidRPr="00E61612" w:rsidRDefault="00B951B1" w:rsidP="00CB78E6">
            <w:pPr>
              <w:pStyle w:val="Bibliography"/>
            </w:pPr>
            <w:r w:rsidRPr="00E61612">
              <w:t xml:space="preserve">MASR, </w:t>
            </w:r>
            <w:r w:rsidRPr="00E61612">
              <w:rPr>
                <w:i/>
                <w:iCs/>
              </w:rPr>
              <w:t xml:space="preserve">Urdhër Nr. 477, datë 30.09.2019 për miratimin e standardeve profesionale për formimin e drejtuesve të institucioneve arsimore në arsimin paerauniversitar, </w:t>
            </w:r>
            <w:r w:rsidRPr="00E61612">
              <w:t xml:space="preserve">2019. </w:t>
            </w:r>
          </w:p>
        </w:tc>
      </w:tr>
      <w:tr w:rsidR="00B951B1" w:rsidRPr="00E61612" w:rsidTr="00CB78E6">
        <w:trPr>
          <w:tblCellSpacing w:w="15" w:type="dxa"/>
        </w:trPr>
        <w:tc>
          <w:tcPr>
            <w:tcW w:w="50" w:type="pct"/>
            <w:hideMark/>
          </w:tcPr>
          <w:p w:rsidR="00B951B1" w:rsidRPr="00E61612" w:rsidRDefault="00B951B1" w:rsidP="00CB78E6">
            <w:pPr>
              <w:pStyle w:val="Bibliography"/>
            </w:pPr>
            <w:r w:rsidRPr="00E61612">
              <w:t xml:space="preserve">[63] </w:t>
            </w:r>
          </w:p>
        </w:tc>
        <w:tc>
          <w:tcPr>
            <w:tcW w:w="0" w:type="auto"/>
            <w:hideMark/>
          </w:tcPr>
          <w:p w:rsidR="00B951B1" w:rsidRPr="00E61612" w:rsidRDefault="00B951B1" w:rsidP="00CB78E6">
            <w:pPr>
              <w:pStyle w:val="Bibliography"/>
            </w:pPr>
            <w:r w:rsidRPr="00E61612">
              <w:t>OECD, "OECD Reviews of Evaluation and Assessment: Albania," OECD Publishing, Paris, 2020.</w:t>
            </w:r>
          </w:p>
        </w:tc>
      </w:tr>
      <w:tr w:rsidR="00B951B1" w:rsidRPr="00E61612" w:rsidTr="00CB78E6">
        <w:trPr>
          <w:tblCellSpacing w:w="15" w:type="dxa"/>
        </w:trPr>
        <w:tc>
          <w:tcPr>
            <w:tcW w:w="50" w:type="pct"/>
            <w:hideMark/>
          </w:tcPr>
          <w:p w:rsidR="00B951B1" w:rsidRPr="00E61612" w:rsidRDefault="00B951B1" w:rsidP="00CB78E6">
            <w:pPr>
              <w:pStyle w:val="Bibliography"/>
            </w:pPr>
            <w:r w:rsidRPr="00E61612">
              <w:t xml:space="preserve">[64] </w:t>
            </w:r>
          </w:p>
        </w:tc>
        <w:tc>
          <w:tcPr>
            <w:tcW w:w="0" w:type="auto"/>
            <w:hideMark/>
          </w:tcPr>
          <w:p w:rsidR="00B951B1" w:rsidRPr="00E61612" w:rsidRDefault="00B951B1" w:rsidP="00CB78E6">
            <w:pPr>
              <w:pStyle w:val="Bibliography"/>
            </w:pPr>
            <w:r w:rsidRPr="00E61612">
              <w:rPr>
                <w:i/>
                <w:iCs/>
              </w:rPr>
              <w:t xml:space="preserve">Programi i Statistikave Zyrtare për periudhën 2017-2021, </w:t>
            </w:r>
            <w:r w:rsidRPr="00E61612">
              <w:t xml:space="preserve">2017. </w:t>
            </w:r>
          </w:p>
        </w:tc>
      </w:tr>
      <w:tr w:rsidR="00B951B1" w:rsidRPr="00E61612" w:rsidTr="00CB78E6">
        <w:trPr>
          <w:tblCellSpacing w:w="15" w:type="dxa"/>
        </w:trPr>
        <w:tc>
          <w:tcPr>
            <w:tcW w:w="50" w:type="pct"/>
            <w:hideMark/>
          </w:tcPr>
          <w:p w:rsidR="00B951B1" w:rsidRPr="00E61612" w:rsidRDefault="00B951B1" w:rsidP="00CB78E6">
            <w:pPr>
              <w:pStyle w:val="Bibliography"/>
            </w:pPr>
            <w:r w:rsidRPr="00E61612">
              <w:lastRenderedPageBreak/>
              <w:t xml:space="preserve">[65] </w:t>
            </w:r>
          </w:p>
        </w:tc>
        <w:tc>
          <w:tcPr>
            <w:tcW w:w="0" w:type="auto"/>
            <w:hideMark/>
          </w:tcPr>
          <w:p w:rsidR="00B951B1" w:rsidRPr="00E61612" w:rsidRDefault="00B951B1" w:rsidP="00CB78E6">
            <w:pPr>
              <w:pStyle w:val="Bibliography"/>
            </w:pPr>
            <w:r w:rsidRPr="00E61612">
              <w:t xml:space="preserve">INSTAT, </w:t>
            </w:r>
            <w:r w:rsidRPr="00E61612">
              <w:rPr>
                <w:i/>
                <w:iCs/>
              </w:rPr>
              <w:t xml:space="preserve">Censusi i popullsisë dhe banesave 2011, </w:t>
            </w:r>
            <w:r w:rsidRPr="00E61612">
              <w:t xml:space="preserve">2012. </w:t>
            </w:r>
          </w:p>
        </w:tc>
      </w:tr>
      <w:tr w:rsidR="00B951B1" w:rsidRPr="00E61612" w:rsidTr="00CB78E6">
        <w:trPr>
          <w:tblCellSpacing w:w="15" w:type="dxa"/>
        </w:trPr>
        <w:tc>
          <w:tcPr>
            <w:tcW w:w="50" w:type="pct"/>
            <w:hideMark/>
          </w:tcPr>
          <w:p w:rsidR="00B951B1" w:rsidRPr="00E61612" w:rsidRDefault="00B951B1" w:rsidP="00CB78E6">
            <w:pPr>
              <w:pStyle w:val="Bibliography"/>
            </w:pPr>
            <w:r w:rsidRPr="00E61612">
              <w:t xml:space="preserve">[66] </w:t>
            </w:r>
          </w:p>
        </w:tc>
        <w:tc>
          <w:tcPr>
            <w:tcW w:w="0" w:type="auto"/>
            <w:hideMark/>
          </w:tcPr>
          <w:p w:rsidR="00B951B1" w:rsidRPr="00E61612" w:rsidRDefault="00B951B1" w:rsidP="00CB78E6">
            <w:pPr>
              <w:pStyle w:val="Bibliography"/>
            </w:pPr>
            <w:r w:rsidRPr="00E61612">
              <w:t xml:space="preserve">INSTAT, </w:t>
            </w:r>
            <w:r w:rsidRPr="00E61612">
              <w:rPr>
                <w:i/>
                <w:iCs/>
              </w:rPr>
              <w:t xml:space="preserve">Burrat dhe gratë në Shqipëri 2020, </w:t>
            </w:r>
            <w:r w:rsidRPr="00E61612">
              <w:t xml:space="preserve">2020. </w:t>
            </w:r>
          </w:p>
        </w:tc>
      </w:tr>
      <w:tr w:rsidR="00B951B1" w:rsidRPr="00E61612" w:rsidTr="00CB78E6">
        <w:trPr>
          <w:tblCellSpacing w:w="15" w:type="dxa"/>
        </w:trPr>
        <w:tc>
          <w:tcPr>
            <w:tcW w:w="50" w:type="pct"/>
            <w:hideMark/>
          </w:tcPr>
          <w:p w:rsidR="00B951B1" w:rsidRPr="00E61612" w:rsidRDefault="00B951B1" w:rsidP="00CB78E6">
            <w:pPr>
              <w:pStyle w:val="Bibliography"/>
            </w:pPr>
            <w:r w:rsidRPr="00E61612">
              <w:t xml:space="preserve">[67] </w:t>
            </w:r>
          </w:p>
        </w:tc>
        <w:tc>
          <w:tcPr>
            <w:tcW w:w="0" w:type="auto"/>
            <w:hideMark/>
          </w:tcPr>
          <w:p w:rsidR="00B951B1" w:rsidRPr="00E61612" w:rsidRDefault="00B951B1" w:rsidP="00CB78E6">
            <w:pPr>
              <w:pStyle w:val="Bibliography"/>
            </w:pPr>
            <w:r w:rsidRPr="00E61612">
              <w:t>INSTAT, "Databaza statistikore," [Online]. Available: http://www.instat.gov.al/al/temat/tregu-i-pun%C3%ABs-dhe-arsimi/arsimi/#tab2. [Accessed 28 09 2020].</w:t>
            </w:r>
          </w:p>
        </w:tc>
      </w:tr>
      <w:tr w:rsidR="00B951B1" w:rsidRPr="00E61612" w:rsidTr="00CB78E6">
        <w:trPr>
          <w:tblCellSpacing w:w="15" w:type="dxa"/>
        </w:trPr>
        <w:tc>
          <w:tcPr>
            <w:tcW w:w="50" w:type="pct"/>
            <w:hideMark/>
          </w:tcPr>
          <w:p w:rsidR="00B951B1" w:rsidRPr="00E61612" w:rsidRDefault="00B951B1" w:rsidP="00CB78E6">
            <w:pPr>
              <w:pStyle w:val="Bibliography"/>
            </w:pPr>
            <w:r w:rsidRPr="00E61612">
              <w:t xml:space="preserve">[68] </w:t>
            </w:r>
          </w:p>
        </w:tc>
        <w:tc>
          <w:tcPr>
            <w:tcW w:w="0" w:type="auto"/>
            <w:hideMark/>
          </w:tcPr>
          <w:p w:rsidR="00B951B1" w:rsidRPr="00E61612" w:rsidRDefault="00B951B1" w:rsidP="00CB78E6">
            <w:pPr>
              <w:pStyle w:val="Bibliography"/>
            </w:pPr>
            <w:r w:rsidRPr="00E61612">
              <w:t xml:space="preserve">European Commission/EACEA/Eurydice, </w:t>
            </w:r>
            <w:r w:rsidRPr="00E61612">
              <w:rPr>
                <w:i/>
                <w:iCs/>
              </w:rPr>
              <w:t xml:space="preserve">The European Higher Education Area in 2018: Bologna Process Implementation Report, </w:t>
            </w:r>
            <w:r w:rsidRPr="00E61612">
              <w:t xml:space="preserve">Luxembourg: Publications Office of the European Union., 2018. </w:t>
            </w:r>
          </w:p>
        </w:tc>
      </w:tr>
      <w:tr w:rsidR="00B951B1" w:rsidRPr="00E61612" w:rsidTr="00CB78E6">
        <w:trPr>
          <w:tblCellSpacing w:w="15" w:type="dxa"/>
        </w:trPr>
        <w:tc>
          <w:tcPr>
            <w:tcW w:w="50" w:type="pct"/>
            <w:hideMark/>
          </w:tcPr>
          <w:p w:rsidR="00B951B1" w:rsidRPr="00E61612" w:rsidRDefault="00B951B1" w:rsidP="00CB78E6">
            <w:pPr>
              <w:pStyle w:val="Bibliography"/>
            </w:pPr>
            <w:r w:rsidRPr="00E61612">
              <w:t xml:space="preserve">[69] </w:t>
            </w:r>
          </w:p>
        </w:tc>
        <w:tc>
          <w:tcPr>
            <w:tcW w:w="0" w:type="auto"/>
            <w:hideMark/>
          </w:tcPr>
          <w:p w:rsidR="00B951B1" w:rsidRPr="00E61612" w:rsidRDefault="00B951B1" w:rsidP="00CB78E6">
            <w:pPr>
              <w:pStyle w:val="Bibliography"/>
            </w:pPr>
            <w:r w:rsidRPr="00E61612">
              <w:t>Këshilli i Ministrave, "VKM nr. 395, datë 29.4.2015, Për miratimin e programit kombëtar të praktikave të punës në administratën shtetërore dhe institucionet e tjera publike," 2015.</w:t>
            </w:r>
          </w:p>
        </w:tc>
      </w:tr>
      <w:tr w:rsidR="00B951B1" w:rsidRPr="00E61612" w:rsidTr="00CB78E6">
        <w:trPr>
          <w:tblCellSpacing w:w="15" w:type="dxa"/>
        </w:trPr>
        <w:tc>
          <w:tcPr>
            <w:tcW w:w="50" w:type="pct"/>
            <w:hideMark/>
          </w:tcPr>
          <w:p w:rsidR="00B951B1" w:rsidRPr="00E61612" w:rsidRDefault="00B951B1" w:rsidP="00CB78E6">
            <w:pPr>
              <w:pStyle w:val="Bibliography"/>
            </w:pPr>
            <w:r w:rsidRPr="00E61612">
              <w:t xml:space="preserve">[70] </w:t>
            </w:r>
          </w:p>
        </w:tc>
        <w:tc>
          <w:tcPr>
            <w:tcW w:w="0" w:type="auto"/>
            <w:hideMark/>
          </w:tcPr>
          <w:p w:rsidR="00B951B1" w:rsidRPr="00E61612" w:rsidRDefault="00B951B1" w:rsidP="00CB78E6">
            <w:pPr>
              <w:pStyle w:val="Bibliography"/>
            </w:pPr>
            <w:r w:rsidRPr="00E61612">
              <w:t>QShA, "Procedurat e aplikimit dhe regjistrimit në institucionet e arsimit të lartë," 2017.</w:t>
            </w:r>
          </w:p>
        </w:tc>
      </w:tr>
      <w:tr w:rsidR="00B951B1" w:rsidRPr="00E61612" w:rsidTr="00CB78E6">
        <w:trPr>
          <w:tblCellSpacing w:w="15" w:type="dxa"/>
        </w:trPr>
        <w:tc>
          <w:tcPr>
            <w:tcW w:w="50" w:type="pct"/>
            <w:hideMark/>
          </w:tcPr>
          <w:p w:rsidR="00B951B1" w:rsidRPr="00E61612" w:rsidRDefault="00B951B1" w:rsidP="00CB78E6">
            <w:pPr>
              <w:pStyle w:val="Bibliography"/>
            </w:pPr>
            <w:r w:rsidRPr="00E61612">
              <w:t xml:space="preserve">[71] </w:t>
            </w:r>
          </w:p>
        </w:tc>
        <w:tc>
          <w:tcPr>
            <w:tcW w:w="0" w:type="auto"/>
            <w:hideMark/>
          </w:tcPr>
          <w:p w:rsidR="00B951B1" w:rsidRPr="00E61612" w:rsidRDefault="00B951B1" w:rsidP="00CB78E6">
            <w:pPr>
              <w:pStyle w:val="Bibliography"/>
            </w:pPr>
            <w:r w:rsidRPr="00E61612">
              <w:t>QShA, "Raport mbi procedurat e regjistrimit në programet e ciklit të parë të studimeve, në programet e studimeve me karakter profesional, si dhe në programet e integruara të studimeve të ciklit të dytë," 2018.</w:t>
            </w:r>
          </w:p>
        </w:tc>
      </w:tr>
      <w:tr w:rsidR="00B951B1" w:rsidRPr="00E61612" w:rsidTr="00CB78E6">
        <w:trPr>
          <w:tblCellSpacing w:w="15" w:type="dxa"/>
        </w:trPr>
        <w:tc>
          <w:tcPr>
            <w:tcW w:w="50" w:type="pct"/>
            <w:hideMark/>
          </w:tcPr>
          <w:p w:rsidR="00B951B1" w:rsidRPr="00E61612" w:rsidRDefault="00B951B1" w:rsidP="00CB78E6">
            <w:pPr>
              <w:pStyle w:val="Bibliography"/>
            </w:pPr>
            <w:r w:rsidRPr="00E61612">
              <w:t xml:space="preserve">[72] </w:t>
            </w:r>
          </w:p>
        </w:tc>
        <w:tc>
          <w:tcPr>
            <w:tcW w:w="0" w:type="auto"/>
            <w:hideMark/>
          </w:tcPr>
          <w:p w:rsidR="00B951B1" w:rsidRPr="00E61612" w:rsidRDefault="00B951B1" w:rsidP="00CB78E6">
            <w:pPr>
              <w:pStyle w:val="Bibliography"/>
            </w:pPr>
            <w:r w:rsidRPr="00E61612">
              <w:t>QShA, "Raport mbi procedurat e regjistrimit në programet e ciklit të parë të studimeve, në programet e studimeve me karakter profesional, si dhe në programet e integruara të studimeve të ciklit të dytë," 2019.</w:t>
            </w:r>
          </w:p>
        </w:tc>
      </w:tr>
      <w:tr w:rsidR="00B951B1" w:rsidRPr="00E61612" w:rsidTr="00CB78E6">
        <w:trPr>
          <w:tblCellSpacing w:w="15" w:type="dxa"/>
        </w:trPr>
        <w:tc>
          <w:tcPr>
            <w:tcW w:w="50" w:type="pct"/>
            <w:hideMark/>
          </w:tcPr>
          <w:p w:rsidR="00B951B1" w:rsidRPr="00E61612" w:rsidRDefault="00B951B1" w:rsidP="00CB78E6">
            <w:pPr>
              <w:pStyle w:val="Bibliography"/>
            </w:pPr>
            <w:r w:rsidRPr="00E61612">
              <w:t xml:space="preserve">[73] </w:t>
            </w:r>
          </w:p>
        </w:tc>
        <w:tc>
          <w:tcPr>
            <w:tcW w:w="0" w:type="auto"/>
            <w:hideMark/>
          </w:tcPr>
          <w:p w:rsidR="00B951B1" w:rsidRPr="00E61612" w:rsidRDefault="00B951B1" w:rsidP="00CB78E6">
            <w:pPr>
              <w:pStyle w:val="Bibliography"/>
            </w:pPr>
            <w:r w:rsidRPr="00E61612">
              <w:t>European Commission, "Albania- Overview of the Higher Education System," 2017.</w:t>
            </w:r>
          </w:p>
        </w:tc>
      </w:tr>
      <w:tr w:rsidR="00B951B1" w:rsidRPr="00E61612" w:rsidTr="00CB78E6">
        <w:trPr>
          <w:tblCellSpacing w:w="15" w:type="dxa"/>
        </w:trPr>
        <w:tc>
          <w:tcPr>
            <w:tcW w:w="50" w:type="pct"/>
            <w:hideMark/>
          </w:tcPr>
          <w:p w:rsidR="00B951B1" w:rsidRPr="00E61612" w:rsidRDefault="00B951B1" w:rsidP="00CB78E6">
            <w:pPr>
              <w:pStyle w:val="Bibliography"/>
            </w:pPr>
            <w:r w:rsidRPr="00E61612">
              <w:t xml:space="preserve">[74] </w:t>
            </w:r>
          </w:p>
        </w:tc>
        <w:tc>
          <w:tcPr>
            <w:tcW w:w="0" w:type="auto"/>
            <w:hideMark/>
          </w:tcPr>
          <w:p w:rsidR="00B951B1" w:rsidRPr="00E61612" w:rsidRDefault="00B951B1" w:rsidP="00CB78E6">
            <w:pPr>
              <w:pStyle w:val="Bibliography"/>
            </w:pPr>
            <w:r w:rsidRPr="00E61612">
              <w:t>European Commission, "Erasmus+ for higher education in Albania," 2020.</w:t>
            </w:r>
          </w:p>
        </w:tc>
      </w:tr>
      <w:tr w:rsidR="00B951B1" w:rsidRPr="00E61612" w:rsidTr="00CB78E6">
        <w:trPr>
          <w:tblCellSpacing w:w="15" w:type="dxa"/>
        </w:trPr>
        <w:tc>
          <w:tcPr>
            <w:tcW w:w="50" w:type="pct"/>
            <w:hideMark/>
          </w:tcPr>
          <w:p w:rsidR="00B951B1" w:rsidRPr="00E61612" w:rsidRDefault="00B951B1" w:rsidP="00CB78E6">
            <w:pPr>
              <w:pStyle w:val="Bibliography"/>
            </w:pPr>
            <w:r w:rsidRPr="00E61612">
              <w:t xml:space="preserve">[75] </w:t>
            </w:r>
          </w:p>
        </w:tc>
        <w:tc>
          <w:tcPr>
            <w:tcW w:w="0" w:type="auto"/>
            <w:hideMark/>
          </w:tcPr>
          <w:p w:rsidR="00B951B1" w:rsidRPr="00E61612" w:rsidRDefault="00B951B1" w:rsidP="00CB78E6">
            <w:pPr>
              <w:pStyle w:val="Bibliography"/>
            </w:pPr>
            <w:r w:rsidRPr="00E61612">
              <w:t xml:space="preserve">S. Carretero, R. Vuorikari and Y. Punie, </w:t>
            </w:r>
            <w:r w:rsidRPr="00E61612">
              <w:rPr>
                <w:i/>
                <w:iCs/>
              </w:rPr>
              <w:t xml:space="preserve">DigComp 2.1: The Digital Competence Framework for Citizens with eight proficiency levels and examples of use, </w:t>
            </w:r>
            <w:r w:rsidRPr="00E61612">
              <w:t xml:space="preserve">European Union, 2017. </w:t>
            </w:r>
          </w:p>
        </w:tc>
      </w:tr>
      <w:tr w:rsidR="00B951B1" w:rsidRPr="00E61612" w:rsidTr="00CB78E6">
        <w:trPr>
          <w:tblCellSpacing w:w="15" w:type="dxa"/>
        </w:trPr>
        <w:tc>
          <w:tcPr>
            <w:tcW w:w="50" w:type="pct"/>
            <w:hideMark/>
          </w:tcPr>
          <w:p w:rsidR="00B951B1" w:rsidRPr="00E61612" w:rsidRDefault="00B951B1" w:rsidP="00CB78E6">
            <w:pPr>
              <w:pStyle w:val="Bibliography"/>
            </w:pPr>
            <w:r w:rsidRPr="00E61612">
              <w:t xml:space="preserve">[76] </w:t>
            </w:r>
          </w:p>
        </w:tc>
        <w:tc>
          <w:tcPr>
            <w:tcW w:w="0" w:type="auto"/>
            <w:hideMark/>
          </w:tcPr>
          <w:p w:rsidR="00B951B1" w:rsidRPr="00E61612" w:rsidRDefault="00B951B1" w:rsidP="00CB78E6">
            <w:pPr>
              <w:pStyle w:val="Bibliography"/>
            </w:pPr>
            <w:r w:rsidRPr="00E61612">
              <w:t>INSTAT, "Indeksi i Barazisë Gjinore për Republikën e Shqipërisë 2020," 2020.</w:t>
            </w:r>
          </w:p>
        </w:tc>
      </w:tr>
      <w:tr w:rsidR="00B951B1" w:rsidRPr="00E61612" w:rsidTr="00CB78E6">
        <w:trPr>
          <w:tblCellSpacing w:w="15" w:type="dxa"/>
        </w:trPr>
        <w:tc>
          <w:tcPr>
            <w:tcW w:w="50" w:type="pct"/>
            <w:hideMark/>
          </w:tcPr>
          <w:p w:rsidR="00B951B1" w:rsidRPr="00E61612" w:rsidRDefault="00B951B1" w:rsidP="00CB78E6">
            <w:pPr>
              <w:pStyle w:val="Bibliography"/>
            </w:pPr>
            <w:r w:rsidRPr="00E61612">
              <w:t xml:space="preserve">[77] </w:t>
            </w:r>
          </w:p>
        </w:tc>
        <w:tc>
          <w:tcPr>
            <w:tcW w:w="0" w:type="auto"/>
            <w:hideMark/>
          </w:tcPr>
          <w:p w:rsidR="00B951B1" w:rsidRPr="00E61612" w:rsidRDefault="00B951B1" w:rsidP="00CB78E6">
            <w:pPr>
              <w:pStyle w:val="Bibliography"/>
            </w:pPr>
            <w:r w:rsidRPr="00E61612">
              <w:t xml:space="preserve">MASR, </w:t>
            </w:r>
            <w:r w:rsidRPr="00E61612">
              <w:rPr>
                <w:i/>
                <w:iCs/>
              </w:rPr>
              <w:t xml:space="preserve">Relacion për hartimin e kërkesave buxhetore për periudhën afatmesme 2021-2023, </w:t>
            </w:r>
            <w:r w:rsidRPr="00E61612">
              <w:t xml:space="preserve">2020. </w:t>
            </w:r>
          </w:p>
        </w:tc>
      </w:tr>
      <w:tr w:rsidR="00B951B1" w:rsidRPr="00E61612" w:rsidTr="00CB78E6">
        <w:trPr>
          <w:tblCellSpacing w:w="15" w:type="dxa"/>
        </w:trPr>
        <w:tc>
          <w:tcPr>
            <w:tcW w:w="50" w:type="pct"/>
            <w:hideMark/>
          </w:tcPr>
          <w:p w:rsidR="00B951B1" w:rsidRPr="00E61612" w:rsidRDefault="00B951B1" w:rsidP="00CB78E6">
            <w:pPr>
              <w:pStyle w:val="Bibliography"/>
            </w:pPr>
            <w:r w:rsidRPr="00E61612">
              <w:t xml:space="preserve">[78] </w:t>
            </w:r>
          </w:p>
        </w:tc>
        <w:tc>
          <w:tcPr>
            <w:tcW w:w="0" w:type="auto"/>
            <w:hideMark/>
          </w:tcPr>
          <w:p w:rsidR="00B951B1" w:rsidRPr="00E61612" w:rsidRDefault="00B951B1" w:rsidP="00CB78E6">
            <w:pPr>
              <w:pStyle w:val="Bibliography"/>
            </w:pPr>
            <w:r w:rsidRPr="00E61612">
              <w:t xml:space="preserve">European Union, </w:t>
            </w:r>
            <w:r w:rsidRPr="00E61612">
              <w:rPr>
                <w:i/>
                <w:iCs/>
              </w:rPr>
              <w:t xml:space="preserve">Council conclusions of 20 May 2014 on effective teacher education (2014/C 183/05), </w:t>
            </w:r>
            <w:r w:rsidRPr="00E61612">
              <w:t xml:space="preserve">2014. </w:t>
            </w:r>
          </w:p>
        </w:tc>
      </w:tr>
      <w:tr w:rsidR="00B951B1" w:rsidRPr="00E61612" w:rsidTr="00CB78E6">
        <w:trPr>
          <w:tblCellSpacing w:w="15" w:type="dxa"/>
        </w:trPr>
        <w:tc>
          <w:tcPr>
            <w:tcW w:w="50" w:type="pct"/>
            <w:hideMark/>
          </w:tcPr>
          <w:p w:rsidR="00B951B1" w:rsidRPr="00E61612" w:rsidRDefault="00B951B1" w:rsidP="00CB78E6">
            <w:pPr>
              <w:pStyle w:val="Bibliography"/>
            </w:pPr>
            <w:r w:rsidRPr="00E61612">
              <w:t xml:space="preserve">[79] </w:t>
            </w:r>
          </w:p>
        </w:tc>
        <w:tc>
          <w:tcPr>
            <w:tcW w:w="0" w:type="auto"/>
            <w:hideMark/>
          </w:tcPr>
          <w:p w:rsidR="00B951B1" w:rsidRPr="00E61612" w:rsidRDefault="00B951B1" w:rsidP="00CB78E6">
            <w:pPr>
              <w:pStyle w:val="Bibliography"/>
            </w:pPr>
            <w:r w:rsidRPr="00E61612">
              <w:t xml:space="preserve">M. Martin and C. Sauvageot, </w:t>
            </w:r>
            <w:r w:rsidRPr="00E61612">
              <w:rPr>
                <w:i/>
                <w:iCs/>
              </w:rPr>
              <w:t xml:space="preserve">Constructing an indicator system or scorecard for higher education - Practical Guide, </w:t>
            </w:r>
            <w:r w:rsidRPr="00E61612">
              <w:t xml:space="preserve">UNESCO, 2011. </w:t>
            </w:r>
          </w:p>
        </w:tc>
      </w:tr>
      <w:tr w:rsidR="00B951B1" w:rsidRPr="00E61612" w:rsidTr="00CB78E6">
        <w:trPr>
          <w:tblCellSpacing w:w="15" w:type="dxa"/>
        </w:trPr>
        <w:tc>
          <w:tcPr>
            <w:tcW w:w="50" w:type="pct"/>
            <w:hideMark/>
          </w:tcPr>
          <w:p w:rsidR="00B951B1" w:rsidRPr="00E61612" w:rsidRDefault="00B951B1" w:rsidP="00CB78E6">
            <w:pPr>
              <w:pStyle w:val="Bibliography"/>
            </w:pPr>
            <w:r w:rsidRPr="00E61612">
              <w:t xml:space="preserve">[80] </w:t>
            </w:r>
          </w:p>
        </w:tc>
        <w:tc>
          <w:tcPr>
            <w:tcW w:w="0" w:type="auto"/>
            <w:hideMark/>
          </w:tcPr>
          <w:p w:rsidR="00B951B1" w:rsidRPr="00E61612" w:rsidRDefault="00B951B1" w:rsidP="00CB78E6">
            <w:pPr>
              <w:pStyle w:val="Bibliography"/>
            </w:pPr>
            <w:r w:rsidRPr="00E61612">
              <w:t xml:space="preserve">GPE, </w:t>
            </w:r>
            <w:r w:rsidRPr="00E61612">
              <w:rPr>
                <w:i/>
                <w:iCs/>
              </w:rPr>
              <w:t xml:space="preserve">Joint Sector Reviews in the Education Sector - A practical guide for organizing effective JSRs, </w:t>
            </w:r>
            <w:r w:rsidRPr="00E61612">
              <w:t xml:space="preserve">Global Partnership for Education, 2018. </w:t>
            </w:r>
          </w:p>
        </w:tc>
      </w:tr>
      <w:tr w:rsidR="00B951B1" w:rsidRPr="00E61612" w:rsidTr="00CB78E6">
        <w:trPr>
          <w:tblCellSpacing w:w="15" w:type="dxa"/>
        </w:trPr>
        <w:tc>
          <w:tcPr>
            <w:tcW w:w="50" w:type="pct"/>
            <w:hideMark/>
          </w:tcPr>
          <w:p w:rsidR="00B951B1" w:rsidRPr="00E61612" w:rsidRDefault="00B951B1" w:rsidP="00CB78E6">
            <w:pPr>
              <w:pStyle w:val="Bibliography"/>
            </w:pPr>
            <w:r w:rsidRPr="00E61612">
              <w:lastRenderedPageBreak/>
              <w:t xml:space="preserve">[81] </w:t>
            </w:r>
          </w:p>
        </w:tc>
        <w:tc>
          <w:tcPr>
            <w:tcW w:w="0" w:type="auto"/>
            <w:hideMark/>
          </w:tcPr>
          <w:p w:rsidR="00B951B1" w:rsidRPr="00E61612" w:rsidRDefault="00B951B1" w:rsidP="00CB78E6">
            <w:pPr>
              <w:pStyle w:val="Bibliography"/>
            </w:pPr>
            <w:r w:rsidRPr="00E61612">
              <w:t xml:space="preserve">RCC, </w:t>
            </w:r>
            <w:r w:rsidRPr="00E61612">
              <w:rPr>
                <w:i/>
                <w:iCs/>
              </w:rPr>
              <w:t xml:space="preserve">Regional Approach for Improving Digital Skills in WB6 Economies, </w:t>
            </w:r>
            <w:r w:rsidRPr="00E61612">
              <w:t xml:space="preserve">2018. </w:t>
            </w:r>
          </w:p>
        </w:tc>
      </w:tr>
      <w:tr w:rsidR="00B951B1" w:rsidRPr="00E61612" w:rsidTr="00CB78E6">
        <w:trPr>
          <w:tblCellSpacing w:w="15" w:type="dxa"/>
        </w:trPr>
        <w:tc>
          <w:tcPr>
            <w:tcW w:w="50" w:type="pct"/>
            <w:hideMark/>
          </w:tcPr>
          <w:p w:rsidR="00B951B1" w:rsidRPr="00E61612" w:rsidRDefault="00B951B1" w:rsidP="00CB78E6">
            <w:pPr>
              <w:pStyle w:val="Bibliography"/>
            </w:pPr>
            <w:r w:rsidRPr="00E61612">
              <w:t xml:space="preserve">[82] </w:t>
            </w:r>
          </w:p>
        </w:tc>
        <w:tc>
          <w:tcPr>
            <w:tcW w:w="0" w:type="auto"/>
            <w:hideMark/>
          </w:tcPr>
          <w:p w:rsidR="00B951B1" w:rsidRPr="00E61612" w:rsidRDefault="00B951B1" w:rsidP="00CB78E6">
            <w:pPr>
              <w:pStyle w:val="Bibliography"/>
            </w:pPr>
            <w:r w:rsidRPr="00E61612">
              <w:t>IPSIS, "Standardet/formatet e Sistemit Informativ për Planifikimin Strategjik të Integruar (IPSIS)," 2019.</w:t>
            </w:r>
          </w:p>
        </w:tc>
      </w:tr>
    </w:tbl>
    <w:p w:rsidR="00B951B1" w:rsidRPr="00E61612" w:rsidRDefault="00B951B1" w:rsidP="00B951B1">
      <w:pPr>
        <w:rPr>
          <w:rFonts w:eastAsia="Times New Roman"/>
        </w:rPr>
      </w:pPr>
    </w:p>
    <w:p w:rsidR="00B951B1" w:rsidRPr="00E61612" w:rsidRDefault="00B951B1" w:rsidP="00B951B1">
      <w:pPr>
        <w:spacing w:after="0"/>
        <w:jc w:val="both"/>
      </w:pPr>
    </w:p>
    <w:bookmarkEnd w:id="136"/>
    <w:p w:rsidR="00A41EE1" w:rsidRPr="00E97254" w:rsidRDefault="00A41EE1" w:rsidP="00B951B1">
      <w:pPr>
        <w:pStyle w:val="Heading1"/>
      </w:pPr>
    </w:p>
    <w:sectPr w:rsidR="00A41EE1" w:rsidRPr="00E97254" w:rsidSect="00B951B1">
      <w:pgSz w:w="12240" w:h="15840" w:code="1"/>
      <w:pgMar w:top="1440" w:right="1467"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B227E" w:rsidRDefault="00AB227E" w:rsidP="00AD0DB2">
      <w:pPr>
        <w:spacing w:after="0" w:line="240" w:lineRule="auto"/>
      </w:pPr>
      <w:r>
        <w:separator/>
      </w:r>
    </w:p>
    <w:p w:rsidR="00AB227E" w:rsidRDefault="00AB227E"/>
  </w:endnote>
  <w:endnote w:type="continuationSeparator" w:id="0">
    <w:p w:rsidR="00AB227E" w:rsidRDefault="00AB227E" w:rsidP="00AD0DB2">
      <w:pPr>
        <w:spacing w:after="0" w:line="240" w:lineRule="auto"/>
      </w:pPr>
      <w:r>
        <w:continuationSeparator/>
      </w:r>
    </w:p>
    <w:p w:rsidR="00AB227E" w:rsidRDefault="00AB227E"/>
  </w:endnote>
  <w:endnote w:type="continuationNotice" w:id="1">
    <w:p w:rsidR="00AB227E" w:rsidRDefault="00AB227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Noto Sans Symbols">
    <w:altName w:val="Times New Roman"/>
    <w:panose1 w:val="020B0604020202020204"/>
    <w:charset w:val="00"/>
    <w:family w:val="auto"/>
    <w:pitch w:val="default"/>
  </w:font>
  <w:font w:name="Calibri">
    <w:panose1 w:val="020F0502020204030204"/>
    <w:charset w:val="00"/>
    <w:family w:val="swiss"/>
    <w:pitch w:val="variable"/>
    <w:sig w:usb0="A00002EF" w:usb1="4000207B" w:usb2="00000000" w:usb3="00000000" w:csb0="0000009F" w:csb1="00000000"/>
  </w:font>
  <w:font w:name="MS Mincho">
    <w:altName w:val="ＭＳ 明朝"/>
    <w:panose1 w:val="02020609040205080304"/>
    <w:charset w:val="80"/>
    <w:family w:val="modern"/>
    <w:notTrueType/>
    <w:pitch w:val="fixed"/>
    <w:sig w:usb0="00000001" w:usb1="08070000" w:usb2="00000010" w:usb3="00000000" w:csb0="00020000"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Garamond-Bold">
    <w:panose1 w:val="020B0604020202020204"/>
    <w:charset w:val="00"/>
    <w:family w:val="roman"/>
    <w:notTrueType/>
    <w:pitch w:val="default"/>
    <w:sig w:usb0="00000003" w:usb1="00000000" w:usb2="00000000" w:usb3="00000000" w:csb0="00000001" w:csb1="00000000"/>
  </w:font>
  <w:font w:name="ECSquareSansCondPro">
    <w:altName w:val="Times New Roman"/>
    <w:panose1 w:val="020B0604020202020204"/>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G Times">
    <w:altName w:val="Times New Roman"/>
    <w:panose1 w:val="020B0604020202020204"/>
    <w:charset w:val="00"/>
    <w:family w:val="roman"/>
    <w:pitch w:val="variable"/>
    <w:sig w:usb0="00000007" w:usb1="00000000" w:usb2="00000000" w:usb3="00000000" w:csb0="00000093" w:csb1="00000000"/>
  </w:font>
  <w:font w:name="Calibri-Light">
    <w:altName w:val="Cambria"/>
    <w:panose1 w:val="020B0604020202020204"/>
    <w:charset w:val="00"/>
    <w:family w:val="swiss"/>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Sylfaen">
    <w:altName w:val="Times New Roman"/>
    <w:panose1 w:val="020B0604020202020204"/>
    <w:charset w:val="00"/>
    <w:family w:val="roman"/>
    <w:pitch w:val="variable"/>
    <w:sig w:usb0="04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53C65" w:rsidRDefault="00753C65">
    <w:pPr>
      <w:pStyle w:val="Footer"/>
    </w:pPr>
  </w:p>
  <w:p w:rsidR="00753C65" w:rsidRDefault="00753C6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53C65" w:rsidRDefault="008D102D" w:rsidP="00175708">
    <w:pPr>
      <w:pStyle w:val="Footer"/>
      <w:jc w:val="right"/>
    </w:pPr>
    <w:r>
      <w:fldChar w:fldCharType="begin"/>
    </w:r>
    <w:r>
      <w:instrText xml:space="preserve"> PAGE   \* MERGEFORMAT </w:instrText>
    </w:r>
    <w:r>
      <w:fldChar w:fldCharType="separate"/>
    </w:r>
    <w:r w:rsidR="000B4067">
      <w:rPr>
        <w:noProof/>
      </w:rPr>
      <w:t>82</w:t>
    </w:r>
    <w:r>
      <w:rPr>
        <w:noProof/>
      </w:rPr>
      <w:fldChar w:fldCharType="end"/>
    </w:r>
  </w:p>
  <w:p w:rsidR="00753C65" w:rsidRDefault="00753C65">
    <w:pPr>
      <w:pStyle w:val="Footer"/>
    </w:pPr>
  </w:p>
  <w:p w:rsidR="00753C65" w:rsidRDefault="00753C6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B227E" w:rsidRDefault="00AB227E" w:rsidP="00AD0DB2">
      <w:pPr>
        <w:spacing w:after="0" w:line="240" w:lineRule="auto"/>
      </w:pPr>
      <w:r>
        <w:separator/>
      </w:r>
    </w:p>
    <w:p w:rsidR="00AB227E" w:rsidRDefault="00AB227E"/>
  </w:footnote>
  <w:footnote w:type="continuationSeparator" w:id="0">
    <w:p w:rsidR="00AB227E" w:rsidRDefault="00AB227E" w:rsidP="00AD0DB2">
      <w:pPr>
        <w:spacing w:after="0" w:line="240" w:lineRule="auto"/>
      </w:pPr>
      <w:r>
        <w:continuationSeparator/>
      </w:r>
    </w:p>
    <w:p w:rsidR="00AB227E" w:rsidRDefault="00AB227E"/>
  </w:footnote>
  <w:footnote w:type="continuationNotice" w:id="1">
    <w:p w:rsidR="00AB227E" w:rsidRDefault="00AB227E">
      <w:pPr>
        <w:spacing w:after="0" w:line="240" w:lineRule="auto"/>
      </w:pPr>
    </w:p>
  </w:footnote>
  <w:footnote w:id="2">
    <w:p w:rsidR="00753C65" w:rsidRPr="00DE12E9" w:rsidRDefault="00753C65" w:rsidP="00DE12E9">
      <w:pPr>
        <w:pStyle w:val="FootnoteText"/>
        <w:spacing w:line="240" w:lineRule="auto"/>
        <w:rPr>
          <w:rFonts w:asciiTheme="minorHAnsi" w:hAnsiTheme="minorHAnsi" w:cstheme="minorHAnsi"/>
          <w:sz w:val="18"/>
          <w:szCs w:val="18"/>
          <w:lang w:val="es-ES"/>
        </w:rPr>
      </w:pPr>
      <w:r w:rsidRPr="00DE12E9">
        <w:rPr>
          <w:rStyle w:val="FootnoteReference"/>
          <w:rFonts w:asciiTheme="minorHAnsi" w:hAnsiTheme="minorHAnsi" w:cstheme="minorHAnsi"/>
          <w:sz w:val="18"/>
          <w:szCs w:val="18"/>
        </w:rPr>
        <w:footnoteRef/>
      </w:r>
      <w:r w:rsidRPr="00DE12E9">
        <w:rPr>
          <w:rFonts w:asciiTheme="minorHAnsi" w:hAnsiTheme="minorHAnsi" w:cstheme="minorHAnsi"/>
          <w:sz w:val="18"/>
          <w:szCs w:val="18"/>
          <w:lang w:val="es-ES"/>
        </w:rPr>
        <w:t>Shqipëria, Bosnja e Hercegovina, Kosova, Mali i Zi, Maqedonia e Veriut, Serbia</w:t>
      </w:r>
    </w:p>
  </w:footnote>
  <w:footnote w:id="3">
    <w:p w:rsidR="00753C65" w:rsidRPr="00DE12E9" w:rsidRDefault="00753C65" w:rsidP="00DE12E9">
      <w:pPr>
        <w:pStyle w:val="FootnoteText"/>
        <w:spacing w:line="240" w:lineRule="auto"/>
        <w:rPr>
          <w:rFonts w:asciiTheme="minorHAnsi" w:hAnsiTheme="minorHAnsi" w:cstheme="minorHAnsi"/>
          <w:sz w:val="18"/>
          <w:szCs w:val="18"/>
          <w:lang w:val="es-ES"/>
        </w:rPr>
      </w:pPr>
      <w:r w:rsidRPr="00DE12E9">
        <w:rPr>
          <w:rStyle w:val="FootnoteReference"/>
          <w:rFonts w:asciiTheme="minorHAnsi" w:hAnsiTheme="minorHAnsi" w:cstheme="minorHAnsi"/>
          <w:sz w:val="18"/>
          <w:szCs w:val="18"/>
        </w:rPr>
        <w:footnoteRef/>
      </w:r>
      <w:r w:rsidRPr="00DE12E9">
        <w:rPr>
          <w:rFonts w:asciiTheme="minorHAnsi" w:hAnsiTheme="minorHAnsi" w:cstheme="minorHAnsi"/>
          <w:sz w:val="18"/>
          <w:szCs w:val="18"/>
          <w:lang w:val="es-ES"/>
        </w:rPr>
        <w:t xml:space="preserve"> Numri total i nxënësve të grupmoshës përkatëse për nivelin e dhënë të arsimit në raport me popullsinë e asaj grupmoshe. p.sh. numri i nxënësve të moshës 6-10 vjeç në arsimin fillor në raport me popullsinë e moshes 6-10 vjeç.</w:t>
      </w:r>
    </w:p>
  </w:footnote>
  <w:footnote w:id="4">
    <w:p w:rsidR="00753C65" w:rsidRPr="00DE12E9" w:rsidRDefault="00753C65" w:rsidP="00DE12E9">
      <w:pPr>
        <w:pStyle w:val="FootnoteText"/>
        <w:spacing w:line="240" w:lineRule="auto"/>
        <w:rPr>
          <w:rFonts w:asciiTheme="minorHAnsi" w:hAnsiTheme="minorHAnsi" w:cstheme="minorHAnsi"/>
          <w:sz w:val="18"/>
          <w:szCs w:val="18"/>
          <w:lang w:val="en-US"/>
        </w:rPr>
      </w:pPr>
      <w:r w:rsidRPr="00DE12E9">
        <w:rPr>
          <w:rStyle w:val="FootnoteReference"/>
          <w:rFonts w:asciiTheme="minorHAnsi" w:hAnsiTheme="minorHAnsi" w:cstheme="minorHAnsi"/>
          <w:sz w:val="18"/>
          <w:szCs w:val="18"/>
        </w:rPr>
        <w:footnoteRef/>
      </w:r>
      <w:hyperlink r:id="rId1" w:history="1">
        <w:r w:rsidRPr="00DE12E9">
          <w:rPr>
            <w:rStyle w:val="Hyperlink"/>
            <w:rFonts w:asciiTheme="minorHAnsi" w:hAnsiTheme="minorHAnsi" w:cstheme="minorHAnsi"/>
            <w:sz w:val="18"/>
            <w:szCs w:val="18"/>
          </w:rPr>
          <w:t>http://datAuis.unesco.org/</w:t>
        </w:r>
      </w:hyperlink>
      <w:r w:rsidRPr="00DE12E9">
        <w:rPr>
          <w:rFonts w:asciiTheme="minorHAnsi" w:hAnsiTheme="minorHAnsi" w:cstheme="minorHAnsi"/>
          <w:sz w:val="18"/>
          <w:szCs w:val="18"/>
        </w:rPr>
        <w:t xml:space="preserve"> - aksesuar më 10 qershor 2020</w:t>
      </w:r>
    </w:p>
  </w:footnote>
  <w:footnote w:id="5">
    <w:p w:rsidR="00753C65" w:rsidRPr="0070303E" w:rsidRDefault="00753C65" w:rsidP="00DE12E9">
      <w:pPr>
        <w:pStyle w:val="FootnoteText"/>
        <w:spacing w:line="240" w:lineRule="auto"/>
        <w:rPr>
          <w:rFonts w:asciiTheme="minorHAnsi" w:hAnsiTheme="minorHAnsi" w:cstheme="minorHAnsi"/>
          <w:sz w:val="18"/>
          <w:szCs w:val="18"/>
          <w:lang w:val="it-IT"/>
        </w:rPr>
      </w:pPr>
      <w:r w:rsidRPr="00DE12E9">
        <w:rPr>
          <w:rStyle w:val="FootnoteReference"/>
          <w:rFonts w:asciiTheme="minorHAnsi" w:hAnsiTheme="minorHAnsi" w:cstheme="minorHAnsi"/>
          <w:sz w:val="18"/>
          <w:szCs w:val="18"/>
        </w:rPr>
        <w:footnoteRef/>
      </w:r>
      <w:r w:rsidRPr="00EC56B7">
        <w:rPr>
          <w:rFonts w:asciiTheme="minorHAnsi" w:hAnsiTheme="minorHAnsi" w:cstheme="minorHAnsi"/>
          <w:sz w:val="18"/>
          <w:szCs w:val="18"/>
          <w:lang w:val="it-IT"/>
        </w:rPr>
        <w:t xml:space="preserve"> 1 vit shkollimi është i barasvlershëm me 40 pikë të testit PISA</w:t>
      </w:r>
    </w:p>
  </w:footnote>
  <w:footnote w:id="6">
    <w:p w:rsidR="00753C65" w:rsidRPr="00DE12E9" w:rsidRDefault="00753C65" w:rsidP="00DE12E9">
      <w:pPr>
        <w:pStyle w:val="FootnoteText"/>
        <w:spacing w:line="240" w:lineRule="auto"/>
        <w:rPr>
          <w:rFonts w:asciiTheme="minorHAnsi" w:hAnsiTheme="minorHAnsi" w:cstheme="minorHAnsi"/>
          <w:sz w:val="18"/>
          <w:szCs w:val="18"/>
          <w:lang w:val="sq-AL"/>
        </w:rPr>
      </w:pPr>
      <w:r w:rsidRPr="00DE12E9">
        <w:rPr>
          <w:rStyle w:val="FootnoteReference"/>
          <w:rFonts w:asciiTheme="minorHAnsi" w:hAnsiTheme="minorHAnsi" w:cstheme="minorHAnsi"/>
          <w:sz w:val="18"/>
          <w:szCs w:val="18"/>
        </w:rPr>
        <w:footnoteRef/>
      </w:r>
      <w:r w:rsidRPr="00DE12E9">
        <w:rPr>
          <w:rFonts w:asciiTheme="minorHAnsi" w:hAnsiTheme="minorHAnsi" w:cstheme="minorHAnsi"/>
          <w:sz w:val="18"/>
          <w:szCs w:val="18"/>
          <w:lang w:val="sq-AL"/>
        </w:rPr>
        <w:t xml:space="preserve"> PISA IDE. </w:t>
      </w:r>
      <w:hyperlink r:id="rId2" w:history="1">
        <w:r w:rsidRPr="00DE12E9">
          <w:rPr>
            <w:rStyle w:val="Hyperlink"/>
            <w:rFonts w:asciiTheme="minorHAnsi" w:hAnsiTheme="minorHAnsi" w:cstheme="minorHAnsi"/>
            <w:sz w:val="18"/>
            <w:szCs w:val="18"/>
            <w:lang w:val="sq-AL"/>
          </w:rPr>
          <w:t>https://pisadataexplorer.oecd.org/ide/idepisa/</w:t>
        </w:r>
      </w:hyperlink>
      <w:r w:rsidRPr="00DE12E9">
        <w:rPr>
          <w:rFonts w:asciiTheme="minorHAnsi" w:hAnsiTheme="minorHAnsi" w:cstheme="minorHAnsi"/>
          <w:sz w:val="18"/>
          <w:szCs w:val="18"/>
          <w:lang w:val="sq-AL"/>
        </w:rPr>
        <w:t xml:space="preserve"> </w:t>
      </w:r>
    </w:p>
  </w:footnote>
  <w:footnote w:id="7">
    <w:p w:rsidR="00753C65" w:rsidRPr="00DE12E9" w:rsidRDefault="00753C65" w:rsidP="00DE12E9">
      <w:pPr>
        <w:pStyle w:val="FootnoteText"/>
        <w:spacing w:line="240" w:lineRule="auto"/>
        <w:rPr>
          <w:rFonts w:asciiTheme="minorHAnsi" w:hAnsiTheme="minorHAnsi"/>
          <w:sz w:val="18"/>
          <w:szCs w:val="18"/>
          <w:lang w:val="sq-AL"/>
        </w:rPr>
      </w:pPr>
      <w:r w:rsidRPr="00DE12E9">
        <w:rPr>
          <w:rStyle w:val="FootnoteReference"/>
          <w:rFonts w:asciiTheme="minorHAnsi" w:hAnsiTheme="minorHAnsi"/>
          <w:sz w:val="18"/>
          <w:szCs w:val="18"/>
        </w:rPr>
        <w:footnoteRef/>
      </w:r>
      <w:r w:rsidRPr="00DE12E9">
        <w:rPr>
          <w:rFonts w:asciiTheme="minorHAnsi" w:hAnsiTheme="minorHAnsi"/>
          <w:sz w:val="18"/>
          <w:szCs w:val="18"/>
          <w:lang w:val="sq-AL"/>
        </w:rPr>
        <w:t xml:space="preserve"> https://top-channel.tv/2020/10/13/fushata-redforkids-vodafone-albania-dhuron-15-mije-telefona-dhe-tableta-per-nxenesit/</w:t>
      </w:r>
    </w:p>
  </w:footnote>
  <w:footnote w:id="8">
    <w:p w:rsidR="00753C65" w:rsidRPr="00DE12E9" w:rsidRDefault="00753C65" w:rsidP="00DE12E9">
      <w:pPr>
        <w:pStyle w:val="FootnoteText"/>
        <w:spacing w:line="240" w:lineRule="auto"/>
        <w:rPr>
          <w:rFonts w:asciiTheme="minorHAnsi" w:hAnsiTheme="minorHAnsi" w:cstheme="minorHAnsi"/>
          <w:sz w:val="18"/>
          <w:szCs w:val="18"/>
          <w:lang w:val="sq-AL"/>
        </w:rPr>
      </w:pPr>
      <w:r w:rsidRPr="00DE12E9">
        <w:rPr>
          <w:rStyle w:val="FootnoteReference"/>
          <w:rFonts w:asciiTheme="minorHAnsi" w:hAnsiTheme="minorHAnsi" w:cstheme="minorHAnsi"/>
          <w:sz w:val="18"/>
          <w:szCs w:val="18"/>
        </w:rPr>
        <w:footnoteRef/>
      </w:r>
      <w:hyperlink r:id="rId3" w:history="1">
        <w:r w:rsidRPr="00DE12E9">
          <w:rPr>
            <w:rStyle w:val="Hyperlink"/>
            <w:rFonts w:asciiTheme="minorHAnsi" w:hAnsiTheme="minorHAnsi" w:cstheme="minorHAnsi"/>
            <w:sz w:val="18"/>
            <w:szCs w:val="18"/>
            <w:lang w:val="sq-AL"/>
          </w:rPr>
          <w:t>https://www.topuniversities.com/university-rankings/eeca-rankings/2020</w:t>
        </w:r>
      </w:hyperlink>
    </w:p>
  </w:footnote>
  <w:footnote w:id="9">
    <w:p w:rsidR="00753C65" w:rsidRPr="00DE12E9" w:rsidRDefault="00753C65" w:rsidP="00DE12E9">
      <w:pPr>
        <w:pStyle w:val="FootnoteText"/>
        <w:spacing w:line="240" w:lineRule="auto"/>
        <w:rPr>
          <w:rFonts w:asciiTheme="minorHAnsi" w:hAnsiTheme="minorHAnsi" w:cstheme="minorHAnsi"/>
          <w:sz w:val="18"/>
          <w:szCs w:val="18"/>
          <w:lang w:val="sq-AL"/>
        </w:rPr>
      </w:pPr>
      <w:r w:rsidRPr="00DE12E9">
        <w:rPr>
          <w:rStyle w:val="FootnoteReference"/>
          <w:rFonts w:asciiTheme="minorHAnsi" w:hAnsiTheme="minorHAnsi" w:cstheme="minorHAnsi"/>
          <w:sz w:val="18"/>
          <w:szCs w:val="18"/>
        </w:rPr>
        <w:footnoteRef/>
      </w:r>
      <w:hyperlink r:id="rId4" w:history="1">
        <w:r w:rsidRPr="00DE12E9">
          <w:rPr>
            <w:rStyle w:val="Hyperlink"/>
            <w:rFonts w:asciiTheme="minorHAnsi" w:hAnsiTheme="minorHAnsi" w:cstheme="minorHAnsi"/>
            <w:sz w:val="18"/>
            <w:szCs w:val="18"/>
            <w:lang w:val="sq-AL"/>
          </w:rPr>
          <w:t>https://eCeuropAeu/eurostat/statistics-explained/index.php?title=Tertiary_education_statistics</w:t>
        </w:r>
      </w:hyperlink>
    </w:p>
  </w:footnote>
  <w:footnote w:id="10">
    <w:p w:rsidR="00753C65" w:rsidRPr="00DE12E9" w:rsidRDefault="00753C65" w:rsidP="00DE12E9">
      <w:pPr>
        <w:autoSpaceDE w:val="0"/>
        <w:autoSpaceDN w:val="0"/>
        <w:adjustRightInd w:val="0"/>
        <w:spacing w:after="0" w:line="240" w:lineRule="auto"/>
        <w:rPr>
          <w:rFonts w:cstheme="minorHAnsi"/>
          <w:sz w:val="18"/>
          <w:szCs w:val="18"/>
        </w:rPr>
      </w:pPr>
      <w:r w:rsidRPr="00DE12E9">
        <w:rPr>
          <w:rStyle w:val="FootnoteReference"/>
          <w:rFonts w:asciiTheme="minorHAnsi" w:hAnsiTheme="minorHAnsi" w:cstheme="minorHAnsi"/>
          <w:sz w:val="18"/>
          <w:szCs w:val="18"/>
        </w:rPr>
        <w:footnoteRef/>
      </w:r>
      <w:r w:rsidRPr="00DE12E9">
        <w:rPr>
          <w:rFonts w:cstheme="minorHAnsi"/>
          <w:sz w:val="18"/>
          <w:szCs w:val="18"/>
        </w:rPr>
        <w:t xml:space="preserve"> UNICEF &amp; UNFPA, Child marriage “Knowledge, Attitudes, and Perceptions among affected communities in Albania”, 2018</w:t>
      </w:r>
    </w:p>
  </w:footnote>
  <w:footnote w:id="11">
    <w:p w:rsidR="00753C65" w:rsidRPr="00DE12E9" w:rsidRDefault="00753C65" w:rsidP="00DE12E9">
      <w:pPr>
        <w:pStyle w:val="FootnoteText"/>
        <w:spacing w:line="240" w:lineRule="auto"/>
        <w:rPr>
          <w:rFonts w:asciiTheme="minorHAnsi" w:hAnsiTheme="minorHAnsi" w:cstheme="minorHAnsi"/>
          <w:sz w:val="18"/>
          <w:szCs w:val="18"/>
        </w:rPr>
      </w:pPr>
      <w:r w:rsidRPr="00DE12E9">
        <w:rPr>
          <w:rStyle w:val="FootnoteReference"/>
          <w:rFonts w:asciiTheme="minorHAnsi" w:hAnsiTheme="minorHAnsi" w:cstheme="minorHAnsi"/>
          <w:sz w:val="18"/>
          <w:szCs w:val="18"/>
        </w:rPr>
        <w:footnoteRef/>
      </w:r>
      <w:r w:rsidRPr="00DE12E9">
        <w:rPr>
          <w:rFonts w:asciiTheme="minorHAnsi" w:hAnsiTheme="minorHAnsi" w:cstheme="minorHAnsi"/>
          <w:sz w:val="18"/>
          <w:szCs w:val="18"/>
        </w:rPr>
        <w:t xml:space="preserve"> UIS (2020), UNESCO Institute for Statistics, http://datAuis.unesco.org/</w:t>
      </w:r>
    </w:p>
  </w:footnote>
  <w:footnote w:id="12">
    <w:p w:rsidR="00753C65" w:rsidRPr="00DE12E9" w:rsidRDefault="00753C65" w:rsidP="00DE12E9">
      <w:pPr>
        <w:pBdr>
          <w:top w:val="nil"/>
          <w:left w:val="nil"/>
          <w:bottom w:val="nil"/>
          <w:right w:val="nil"/>
          <w:between w:val="nil"/>
        </w:pBdr>
        <w:spacing w:after="0" w:line="240" w:lineRule="auto"/>
        <w:rPr>
          <w:rFonts w:cstheme="minorHAnsi"/>
          <w:color w:val="000000"/>
          <w:sz w:val="18"/>
          <w:szCs w:val="18"/>
          <w:lang w:val="es-ES"/>
        </w:rPr>
      </w:pPr>
      <w:r w:rsidRPr="00DE12E9">
        <w:rPr>
          <w:rFonts w:cstheme="minorHAnsi"/>
          <w:sz w:val="18"/>
          <w:szCs w:val="18"/>
          <w:vertAlign w:val="superscript"/>
        </w:rPr>
        <w:footnoteRef/>
      </w:r>
      <w:r w:rsidRPr="00DE12E9">
        <w:rPr>
          <w:rFonts w:cstheme="minorHAnsi"/>
          <w:color w:val="000000"/>
          <w:sz w:val="18"/>
          <w:szCs w:val="18"/>
          <w:lang w:val="es-ES"/>
        </w:rPr>
        <w:t xml:space="preserve"> Tregues për t’u realizuar në kuadër të mbështetjes buxhetore nga ana e MASR (ekziston pasaporta)</w:t>
      </w:r>
    </w:p>
  </w:footnote>
  <w:footnote w:id="13">
    <w:p w:rsidR="00753C65" w:rsidRPr="00DE12E9" w:rsidRDefault="00753C65" w:rsidP="00DE12E9">
      <w:pPr>
        <w:pBdr>
          <w:top w:val="nil"/>
          <w:left w:val="nil"/>
          <w:bottom w:val="nil"/>
          <w:right w:val="nil"/>
          <w:between w:val="nil"/>
        </w:pBdr>
        <w:spacing w:after="0" w:line="240" w:lineRule="auto"/>
        <w:rPr>
          <w:rFonts w:cstheme="minorHAnsi"/>
          <w:color w:val="000000"/>
          <w:sz w:val="18"/>
          <w:szCs w:val="18"/>
          <w:lang w:val="es-ES"/>
        </w:rPr>
      </w:pPr>
      <w:r w:rsidRPr="00DE12E9">
        <w:rPr>
          <w:rFonts w:cstheme="minorHAnsi"/>
          <w:sz w:val="18"/>
          <w:szCs w:val="18"/>
          <w:vertAlign w:val="superscript"/>
        </w:rPr>
        <w:footnoteRef/>
      </w:r>
      <w:r w:rsidRPr="00DE12E9">
        <w:rPr>
          <w:rFonts w:cstheme="minorHAnsi"/>
          <w:color w:val="000000"/>
          <w:sz w:val="18"/>
          <w:szCs w:val="18"/>
          <w:lang w:val="es-ES"/>
        </w:rPr>
        <w:t xml:space="preserve"> Tregues për t’u realizuar në kuadër të mbështetjes buxhetore nga ana e MASR (ekziston pasaporta)</w:t>
      </w:r>
    </w:p>
  </w:footnote>
  <w:footnote w:id="14">
    <w:p w:rsidR="00753C65" w:rsidRPr="00DE12E9" w:rsidRDefault="00753C65" w:rsidP="00DE12E9">
      <w:pPr>
        <w:pBdr>
          <w:top w:val="nil"/>
          <w:left w:val="nil"/>
          <w:bottom w:val="nil"/>
          <w:right w:val="nil"/>
          <w:between w:val="nil"/>
        </w:pBdr>
        <w:spacing w:after="0" w:line="240" w:lineRule="auto"/>
        <w:rPr>
          <w:rFonts w:cstheme="minorHAnsi"/>
          <w:color w:val="000000"/>
          <w:sz w:val="18"/>
          <w:szCs w:val="18"/>
          <w:lang w:val="es-ES"/>
        </w:rPr>
      </w:pPr>
      <w:r w:rsidRPr="00DE12E9">
        <w:rPr>
          <w:rFonts w:cstheme="minorHAnsi"/>
          <w:sz w:val="18"/>
          <w:szCs w:val="18"/>
          <w:vertAlign w:val="superscript"/>
        </w:rPr>
        <w:footnoteRef/>
      </w:r>
      <w:r w:rsidRPr="00DE12E9">
        <w:rPr>
          <w:rFonts w:cstheme="minorHAnsi"/>
          <w:color w:val="000000"/>
          <w:sz w:val="18"/>
          <w:szCs w:val="18"/>
          <w:lang w:val="es-ES"/>
        </w:rPr>
        <w:t xml:space="preserve"> </w:t>
      </w:r>
      <w:hyperlink r:id="rId5">
        <w:r w:rsidRPr="00DE12E9">
          <w:rPr>
            <w:rFonts w:cstheme="minorHAnsi"/>
            <w:color w:val="0000FF"/>
            <w:sz w:val="18"/>
            <w:szCs w:val="18"/>
            <w:u w:val="single"/>
            <w:lang w:val="es-ES"/>
          </w:rPr>
          <w:t>https://eCeuropAeu/education/schools-go-digital_en</w:t>
        </w:r>
      </w:hyperlink>
    </w:p>
  </w:footnote>
  <w:footnote w:id="15">
    <w:p w:rsidR="00753C65" w:rsidRPr="00DE12E9" w:rsidRDefault="00753C65" w:rsidP="00DE12E9">
      <w:pPr>
        <w:spacing w:after="0" w:line="240" w:lineRule="auto"/>
        <w:rPr>
          <w:rFonts w:cstheme="minorHAnsi"/>
          <w:color w:val="000000"/>
          <w:sz w:val="18"/>
          <w:szCs w:val="18"/>
        </w:rPr>
      </w:pPr>
      <w:r w:rsidRPr="00DE12E9">
        <w:rPr>
          <w:rFonts w:cstheme="minorHAnsi"/>
          <w:sz w:val="18"/>
          <w:szCs w:val="18"/>
          <w:vertAlign w:val="superscript"/>
        </w:rPr>
        <w:footnoteRef/>
      </w:r>
      <w:r w:rsidRPr="00DE12E9">
        <w:rPr>
          <w:rFonts w:cstheme="minorHAnsi"/>
          <w:color w:val="000000"/>
          <w:sz w:val="18"/>
          <w:szCs w:val="18"/>
          <w:lang w:val="es-ES"/>
        </w:rPr>
        <w:t>Përqindja</w:t>
      </w:r>
      <w:r>
        <w:rPr>
          <w:rFonts w:cstheme="minorHAnsi"/>
          <w:color w:val="000000"/>
          <w:sz w:val="18"/>
          <w:szCs w:val="18"/>
          <w:lang w:val="es-ES"/>
        </w:rPr>
        <w:t xml:space="preserve"> </w:t>
      </w:r>
      <w:r w:rsidRPr="00DE12E9">
        <w:rPr>
          <w:rFonts w:cstheme="minorHAnsi"/>
          <w:color w:val="000000"/>
          <w:sz w:val="18"/>
          <w:szCs w:val="18"/>
          <w:lang w:val="es-ES"/>
        </w:rPr>
        <w:t xml:space="preserve">e studentëve të rinj në nivelin e caktuar të AL që e përfundojnë me kohë kualifikimin. Merret si raport i numrit të studentëve që </w:t>
      </w:r>
      <w:r>
        <w:rPr>
          <w:rFonts w:cstheme="minorHAnsi"/>
          <w:color w:val="000000"/>
          <w:sz w:val="18"/>
          <w:szCs w:val="18"/>
          <w:lang w:val="es-ES"/>
        </w:rPr>
        <w:t>j</w:t>
      </w:r>
      <w:r w:rsidRPr="00DE12E9">
        <w:rPr>
          <w:rFonts w:cstheme="minorHAnsi"/>
          <w:color w:val="000000"/>
          <w:sz w:val="18"/>
          <w:szCs w:val="18"/>
          <w:lang w:val="es-ES"/>
        </w:rPr>
        <w:t xml:space="preserve">anë diplomuar në nivelin përkatës me numrin e studentëve që i kanë regjistruar studimet para n vitesh, ku n është numri i viteve të nevojshme për t’i përfunduar studimet e atij niveli. </w:t>
      </w:r>
    </w:p>
    <w:p w:rsidR="00753C65" w:rsidRPr="00DE12E9" w:rsidRDefault="00753C65" w:rsidP="00DE12E9">
      <w:pPr>
        <w:spacing w:after="0" w:line="240" w:lineRule="auto"/>
        <w:rPr>
          <w:rFonts w:cstheme="minorHAnsi"/>
          <w:color w:val="000000"/>
          <w:sz w:val="18"/>
          <w:szCs w:val="18"/>
        </w:rPr>
      </w:pPr>
      <w:r w:rsidRPr="00DE12E9">
        <w:rPr>
          <w:rFonts w:cstheme="minorHAnsi"/>
          <w:color w:val="000000"/>
          <w:sz w:val="18"/>
          <w:szCs w:val="18"/>
        </w:rPr>
        <w:t>Nga “OECD Handbook for Internationally Comparative Education Statistics”, 2017, f. 89</w:t>
      </w:r>
    </w:p>
    <w:p w:rsidR="00753C65" w:rsidRPr="00DE12E9" w:rsidRDefault="00AB227E" w:rsidP="00DE12E9">
      <w:pPr>
        <w:spacing w:after="0" w:line="240" w:lineRule="auto"/>
        <w:rPr>
          <w:rFonts w:cstheme="minorHAnsi"/>
          <w:color w:val="000000"/>
          <w:sz w:val="18"/>
          <w:szCs w:val="18"/>
        </w:rPr>
      </w:pPr>
      <w:hyperlink r:id="rId6" w:history="1">
        <w:r w:rsidR="00753C65" w:rsidRPr="00DE12E9">
          <w:rPr>
            <w:rStyle w:val="Hyperlink"/>
            <w:rFonts w:cstheme="minorHAnsi"/>
            <w:sz w:val="18"/>
            <w:szCs w:val="18"/>
          </w:rPr>
          <w:t>https://www.oecd-ilibrary.org/docserver/9789264279889-en.pdf?expires=1595705699&amp;id=id&amp;accname=guest&amp;checksum=F15958D5BF47DDE61BD39E8A19F43320</w:t>
        </w:r>
      </w:hyperlink>
    </w:p>
  </w:footnote>
  <w:footnote w:id="16">
    <w:p w:rsidR="00753C65" w:rsidRPr="00DE12E9" w:rsidRDefault="00753C65" w:rsidP="00DE12E9">
      <w:pPr>
        <w:spacing w:after="0" w:line="240" w:lineRule="auto"/>
        <w:rPr>
          <w:sz w:val="18"/>
          <w:szCs w:val="18"/>
        </w:rPr>
      </w:pPr>
      <w:r w:rsidRPr="00DE12E9">
        <w:rPr>
          <w:rStyle w:val="FootnoteReference"/>
          <w:rFonts w:asciiTheme="minorHAnsi" w:hAnsiTheme="minorHAnsi"/>
          <w:sz w:val="18"/>
          <w:szCs w:val="18"/>
        </w:rPr>
        <w:footnoteRef/>
      </w:r>
      <w:r w:rsidRPr="00DE12E9">
        <w:rPr>
          <w:sz w:val="18"/>
          <w:szCs w:val="18"/>
        </w:rPr>
        <w:t xml:space="preserve"> VKM</w:t>
      </w:r>
      <w:r>
        <w:rPr>
          <w:sz w:val="18"/>
          <w:szCs w:val="18"/>
        </w:rPr>
        <w:t>-ja</w:t>
      </w:r>
      <w:r w:rsidRPr="00DE12E9">
        <w:rPr>
          <w:sz w:val="18"/>
          <w:szCs w:val="18"/>
        </w:rPr>
        <w:t xml:space="preserve"> nr.269, datë 29.03.2017 “</w:t>
      </w:r>
      <w:r w:rsidRPr="00DE12E9">
        <w:rPr>
          <w:rStyle w:val="Emphasis"/>
          <w:sz w:val="18"/>
          <w:szCs w:val="18"/>
        </w:rPr>
        <w:t> Për përcaktimin e kategorive të individëve që plotësojnë kriteret e pranimit në një program të ciklit të parë të studimeve, në një program të integruar të studimeve, në një program të ciklit të parë të studimeve,  në një program të integruar të studimeve ose në një program të integruar të studimeve ose në një program të studimeve profesionale, që përjashtohen nga tarifa vjetore e shkollimit” </w:t>
      </w:r>
      <w:r w:rsidRPr="00DE12E9">
        <w:rPr>
          <w:sz w:val="18"/>
          <w:szCs w:val="18"/>
        </w:rPr>
        <w:t xml:space="preserve">e ndryshuar </w:t>
      </w:r>
    </w:p>
  </w:footnote>
  <w:footnote w:id="17">
    <w:p w:rsidR="00753C65" w:rsidRPr="00DE12E9" w:rsidRDefault="00753C65" w:rsidP="00DE12E9">
      <w:pPr>
        <w:spacing w:after="0" w:line="240" w:lineRule="auto"/>
        <w:rPr>
          <w:rFonts w:cstheme="minorHAnsi"/>
          <w:color w:val="000000"/>
          <w:sz w:val="18"/>
          <w:szCs w:val="18"/>
        </w:rPr>
      </w:pPr>
      <w:r w:rsidRPr="00DE12E9">
        <w:rPr>
          <w:rFonts w:cstheme="minorHAnsi"/>
          <w:sz w:val="18"/>
          <w:szCs w:val="18"/>
          <w:vertAlign w:val="superscript"/>
        </w:rPr>
        <w:footnoteRef/>
      </w:r>
      <w:r w:rsidRPr="00DE12E9">
        <w:rPr>
          <w:rFonts w:cstheme="minorHAnsi"/>
          <w:color w:val="000000"/>
          <w:sz w:val="18"/>
          <w:szCs w:val="18"/>
        </w:rPr>
        <w:t xml:space="preserve"> Nuk ka të dhëna</w:t>
      </w:r>
    </w:p>
  </w:footnote>
  <w:footnote w:id="18">
    <w:p w:rsidR="00753C65" w:rsidRPr="00DE12E9" w:rsidRDefault="00753C65" w:rsidP="00DE12E9">
      <w:pPr>
        <w:spacing w:after="0" w:line="240" w:lineRule="auto"/>
        <w:rPr>
          <w:rFonts w:cstheme="minorHAnsi"/>
          <w:color w:val="000000"/>
          <w:sz w:val="18"/>
          <w:szCs w:val="18"/>
        </w:rPr>
      </w:pPr>
      <w:r w:rsidRPr="00DE12E9">
        <w:rPr>
          <w:rFonts w:cstheme="minorHAnsi"/>
          <w:sz w:val="18"/>
          <w:szCs w:val="18"/>
          <w:vertAlign w:val="superscript"/>
        </w:rPr>
        <w:footnoteRef/>
      </w:r>
      <w:r w:rsidRPr="00DE12E9">
        <w:rPr>
          <w:rFonts w:cstheme="minorHAnsi"/>
          <w:color w:val="000000"/>
          <w:sz w:val="18"/>
          <w:szCs w:val="18"/>
        </w:rPr>
        <w:t xml:space="preserve"> 12.3% në vitin 2017</w:t>
      </w:r>
    </w:p>
  </w:footnote>
  <w:footnote w:id="19">
    <w:p w:rsidR="00753C65" w:rsidRPr="00673C11" w:rsidRDefault="00753C65" w:rsidP="00B951B1">
      <w:pPr>
        <w:pStyle w:val="FootnoteText"/>
        <w:spacing w:line="240" w:lineRule="auto"/>
        <w:rPr>
          <w:rFonts w:ascii="Calibri" w:hAnsi="Calibri" w:cs="Calibri"/>
          <w:sz w:val="18"/>
          <w:szCs w:val="18"/>
          <w:lang w:val="sq-AL"/>
        </w:rPr>
      </w:pPr>
      <w:r w:rsidRPr="00673C11">
        <w:rPr>
          <w:rStyle w:val="FootnoteReference"/>
          <w:rFonts w:ascii="Calibri" w:hAnsi="Calibri" w:cs="Calibri"/>
          <w:sz w:val="18"/>
          <w:szCs w:val="18"/>
        </w:rPr>
        <w:footnoteRef/>
      </w:r>
      <w:r w:rsidRPr="00673C11">
        <w:rPr>
          <w:rFonts w:ascii="Calibri" w:hAnsi="Calibri" w:cs="Calibri"/>
          <w:sz w:val="18"/>
          <w:szCs w:val="18"/>
          <w:lang w:val="sq-AL"/>
        </w:rPr>
        <w:t xml:space="preserve"> Për shembull, për periudhën 2021-2023</w:t>
      </w:r>
      <w:r>
        <w:rPr>
          <w:rFonts w:ascii="Calibri" w:hAnsi="Calibri" w:cs="Calibri"/>
          <w:sz w:val="18"/>
          <w:szCs w:val="18"/>
          <w:lang w:val="sq-AL"/>
        </w:rPr>
        <w:t>,</w:t>
      </w:r>
      <w:r w:rsidRPr="00673C11">
        <w:rPr>
          <w:rFonts w:ascii="Calibri" w:hAnsi="Calibri" w:cs="Calibri"/>
          <w:sz w:val="18"/>
          <w:szCs w:val="18"/>
          <w:lang w:val="sq-AL"/>
        </w:rPr>
        <w:t xml:space="preserve"> janë planifikuar në PBA 80 milion</w:t>
      </w:r>
      <w:r>
        <w:rPr>
          <w:rFonts w:ascii="Calibri" w:hAnsi="Calibri" w:cs="Calibri"/>
          <w:sz w:val="18"/>
          <w:szCs w:val="18"/>
          <w:lang w:val="sq-AL"/>
        </w:rPr>
        <w:t>ë</w:t>
      </w:r>
      <w:r w:rsidRPr="00673C11">
        <w:rPr>
          <w:rFonts w:ascii="Calibri" w:hAnsi="Calibri" w:cs="Calibri"/>
          <w:sz w:val="18"/>
          <w:szCs w:val="18"/>
          <w:lang w:val="sq-AL"/>
        </w:rPr>
        <w:t xml:space="preserve"> lekë në vit për blerje të kompjuterëve dhe po ky buxhet është supozuar se do të jetë në dispozicion edhe për periudhën 2024-2026. </w:t>
      </w:r>
    </w:p>
  </w:footnote>
  <w:footnote w:id="20">
    <w:p w:rsidR="00753C65" w:rsidRPr="00673C11" w:rsidRDefault="00753C65" w:rsidP="00B951B1">
      <w:pPr>
        <w:pStyle w:val="FootnoteText"/>
        <w:spacing w:line="240" w:lineRule="auto"/>
        <w:rPr>
          <w:rFonts w:ascii="Calibri" w:hAnsi="Calibri"/>
          <w:sz w:val="18"/>
          <w:szCs w:val="18"/>
          <w:lang w:val="sq-AL"/>
        </w:rPr>
      </w:pPr>
      <w:r w:rsidRPr="00673C11">
        <w:rPr>
          <w:rStyle w:val="FootnoteReference"/>
          <w:rFonts w:ascii="Calibri" w:hAnsi="Calibri"/>
          <w:sz w:val="18"/>
          <w:szCs w:val="18"/>
        </w:rPr>
        <w:footnoteRef/>
      </w:r>
      <w:r w:rsidRPr="00673C11">
        <w:rPr>
          <w:rFonts w:ascii="Calibri" w:hAnsi="Calibri"/>
          <w:sz w:val="18"/>
          <w:szCs w:val="18"/>
          <w:lang w:val="sq-AL"/>
        </w:rPr>
        <w:t xml:space="preserve"> Relacion</w:t>
      </w:r>
      <w:r>
        <w:rPr>
          <w:rFonts w:ascii="Calibri" w:hAnsi="Calibri"/>
          <w:sz w:val="18"/>
          <w:szCs w:val="18"/>
          <w:lang w:val="sq-AL"/>
        </w:rPr>
        <w:t>i</w:t>
      </w:r>
      <w:r w:rsidRPr="00673C11">
        <w:rPr>
          <w:rFonts w:ascii="Calibri" w:hAnsi="Calibri"/>
          <w:sz w:val="18"/>
          <w:szCs w:val="18"/>
          <w:lang w:val="sq-AL"/>
        </w:rPr>
        <w:t xml:space="preserve"> për fondet e parashikuara në projektligjin ”Për buxhetin e vitit 2021”, si dhe tavanët e parashikuara për Ministrinë e Arsimit Sportit dhe Rinisë, për periudhën afatmesme 2022-2023, dt. 24.10.2020, tabela nr. 3.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53C65" w:rsidRDefault="00753C65">
    <w:pPr>
      <w:pStyle w:val="Header"/>
    </w:pPr>
  </w:p>
  <w:p w:rsidR="00753C65" w:rsidRDefault="00753C6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01D8E"/>
    <w:multiLevelType w:val="hybridMultilevel"/>
    <w:tmpl w:val="27BA6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CF19C1"/>
    <w:multiLevelType w:val="hybridMultilevel"/>
    <w:tmpl w:val="63EE0406"/>
    <w:lvl w:ilvl="0" w:tplc="6F7A0AAC">
      <w:start w:val="1"/>
      <w:numFmt w:val="bullet"/>
      <w:lvlText w:val="●"/>
      <w:lvlJc w:val="left"/>
      <w:pPr>
        <w:ind w:left="720" w:hanging="360"/>
      </w:pPr>
      <w:rPr>
        <w:rFonts w:ascii="Noto Sans Symbols" w:eastAsia="Noto Sans Symbols" w:hAnsi="Noto Sans Symbols" w:cs="Noto Sans Symbols"/>
        <w:sz w:val="20"/>
        <w:szCs w:val="20"/>
      </w:rPr>
    </w:lvl>
    <w:lvl w:ilvl="1" w:tplc="A59027CC">
      <w:start w:val="1"/>
      <w:numFmt w:val="bullet"/>
      <w:lvlText w:val="o"/>
      <w:lvlJc w:val="left"/>
      <w:pPr>
        <w:ind w:left="1440" w:hanging="360"/>
      </w:pPr>
      <w:rPr>
        <w:rFonts w:ascii="Courier New" w:eastAsia="Courier New" w:hAnsi="Courier New" w:cs="Courier New"/>
        <w:sz w:val="20"/>
        <w:szCs w:val="20"/>
      </w:rPr>
    </w:lvl>
    <w:lvl w:ilvl="2" w:tplc="35405C8A">
      <w:start w:val="1"/>
      <w:numFmt w:val="bullet"/>
      <w:lvlText w:val="▪"/>
      <w:lvlJc w:val="left"/>
      <w:pPr>
        <w:ind w:left="2160" w:hanging="360"/>
      </w:pPr>
      <w:rPr>
        <w:rFonts w:ascii="Noto Sans Symbols" w:eastAsia="Noto Sans Symbols" w:hAnsi="Noto Sans Symbols" w:cs="Noto Sans Symbols"/>
        <w:sz w:val="20"/>
        <w:szCs w:val="20"/>
      </w:rPr>
    </w:lvl>
    <w:lvl w:ilvl="3" w:tplc="8AF67AF0">
      <w:start w:val="1"/>
      <w:numFmt w:val="bullet"/>
      <w:lvlText w:val="▪"/>
      <w:lvlJc w:val="left"/>
      <w:pPr>
        <w:ind w:left="2880" w:hanging="360"/>
      </w:pPr>
      <w:rPr>
        <w:rFonts w:ascii="Noto Sans Symbols" w:eastAsia="Noto Sans Symbols" w:hAnsi="Noto Sans Symbols" w:cs="Noto Sans Symbols"/>
        <w:sz w:val="20"/>
        <w:szCs w:val="20"/>
      </w:rPr>
    </w:lvl>
    <w:lvl w:ilvl="4" w:tplc="DEAAA5CA">
      <w:start w:val="1"/>
      <w:numFmt w:val="bullet"/>
      <w:lvlText w:val="▪"/>
      <w:lvlJc w:val="left"/>
      <w:pPr>
        <w:ind w:left="3600" w:hanging="360"/>
      </w:pPr>
      <w:rPr>
        <w:rFonts w:ascii="Noto Sans Symbols" w:eastAsia="Noto Sans Symbols" w:hAnsi="Noto Sans Symbols" w:cs="Noto Sans Symbols"/>
        <w:sz w:val="20"/>
        <w:szCs w:val="20"/>
      </w:rPr>
    </w:lvl>
    <w:lvl w:ilvl="5" w:tplc="C1F08FE6">
      <w:start w:val="1"/>
      <w:numFmt w:val="bullet"/>
      <w:lvlText w:val="▪"/>
      <w:lvlJc w:val="left"/>
      <w:pPr>
        <w:ind w:left="4320" w:hanging="360"/>
      </w:pPr>
      <w:rPr>
        <w:rFonts w:ascii="Noto Sans Symbols" w:eastAsia="Noto Sans Symbols" w:hAnsi="Noto Sans Symbols" w:cs="Noto Sans Symbols"/>
        <w:sz w:val="20"/>
        <w:szCs w:val="20"/>
      </w:rPr>
    </w:lvl>
    <w:lvl w:ilvl="6" w:tplc="F5D0E560">
      <w:start w:val="1"/>
      <w:numFmt w:val="bullet"/>
      <w:lvlText w:val="▪"/>
      <w:lvlJc w:val="left"/>
      <w:pPr>
        <w:ind w:left="5040" w:hanging="360"/>
      </w:pPr>
      <w:rPr>
        <w:rFonts w:ascii="Noto Sans Symbols" w:eastAsia="Noto Sans Symbols" w:hAnsi="Noto Sans Symbols" w:cs="Noto Sans Symbols"/>
        <w:sz w:val="20"/>
        <w:szCs w:val="20"/>
      </w:rPr>
    </w:lvl>
    <w:lvl w:ilvl="7" w:tplc="1C541F90">
      <w:start w:val="1"/>
      <w:numFmt w:val="bullet"/>
      <w:lvlText w:val="▪"/>
      <w:lvlJc w:val="left"/>
      <w:pPr>
        <w:ind w:left="5760" w:hanging="360"/>
      </w:pPr>
      <w:rPr>
        <w:rFonts w:ascii="Noto Sans Symbols" w:eastAsia="Noto Sans Symbols" w:hAnsi="Noto Sans Symbols" w:cs="Noto Sans Symbols"/>
        <w:sz w:val="20"/>
        <w:szCs w:val="20"/>
      </w:rPr>
    </w:lvl>
    <w:lvl w:ilvl="8" w:tplc="35568A86">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076305B0"/>
    <w:multiLevelType w:val="hybridMultilevel"/>
    <w:tmpl w:val="C4CC4C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7CA0125"/>
    <w:multiLevelType w:val="hybridMultilevel"/>
    <w:tmpl w:val="2AC65B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CFD7B4A"/>
    <w:multiLevelType w:val="hybridMultilevel"/>
    <w:tmpl w:val="5284F0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D547049"/>
    <w:multiLevelType w:val="hybridMultilevel"/>
    <w:tmpl w:val="0696072A"/>
    <w:lvl w:ilvl="0" w:tplc="E1C82F9C">
      <w:start w:val="1"/>
      <w:numFmt w:val="bullet"/>
      <w:lvlText w:val="●"/>
      <w:lvlJc w:val="left"/>
      <w:pPr>
        <w:ind w:left="360" w:hanging="360"/>
      </w:pPr>
      <w:rPr>
        <w:rFonts w:ascii="Noto Sans Symbols" w:eastAsia="Noto Sans Symbols" w:hAnsi="Noto Sans Symbols" w:cs="Noto Sans Symbols"/>
        <w:sz w:val="20"/>
        <w:szCs w:val="20"/>
      </w:rPr>
    </w:lvl>
    <w:lvl w:ilvl="1" w:tplc="D0F253DC">
      <w:start w:val="1"/>
      <w:numFmt w:val="bullet"/>
      <w:lvlText w:val="o"/>
      <w:lvlJc w:val="left"/>
      <w:pPr>
        <w:ind w:left="1080" w:hanging="360"/>
      </w:pPr>
      <w:rPr>
        <w:rFonts w:ascii="Courier New" w:eastAsia="Courier New" w:hAnsi="Courier New" w:cs="Courier New"/>
        <w:sz w:val="20"/>
        <w:szCs w:val="20"/>
      </w:rPr>
    </w:lvl>
    <w:lvl w:ilvl="2" w:tplc="93406C60">
      <w:start w:val="1"/>
      <w:numFmt w:val="bullet"/>
      <w:lvlText w:val="▪"/>
      <w:lvlJc w:val="left"/>
      <w:pPr>
        <w:ind w:left="1800" w:hanging="360"/>
      </w:pPr>
      <w:rPr>
        <w:rFonts w:ascii="Noto Sans Symbols" w:eastAsia="Noto Sans Symbols" w:hAnsi="Noto Sans Symbols" w:cs="Noto Sans Symbols"/>
        <w:sz w:val="20"/>
        <w:szCs w:val="20"/>
      </w:rPr>
    </w:lvl>
    <w:lvl w:ilvl="3" w:tplc="FF261EB6">
      <w:start w:val="1"/>
      <w:numFmt w:val="bullet"/>
      <w:lvlText w:val="▪"/>
      <w:lvlJc w:val="left"/>
      <w:pPr>
        <w:ind w:left="2520" w:hanging="360"/>
      </w:pPr>
      <w:rPr>
        <w:rFonts w:ascii="Noto Sans Symbols" w:eastAsia="Noto Sans Symbols" w:hAnsi="Noto Sans Symbols" w:cs="Noto Sans Symbols"/>
        <w:sz w:val="20"/>
        <w:szCs w:val="20"/>
      </w:rPr>
    </w:lvl>
    <w:lvl w:ilvl="4" w:tplc="A4969C0C">
      <w:start w:val="1"/>
      <w:numFmt w:val="bullet"/>
      <w:lvlText w:val="▪"/>
      <w:lvlJc w:val="left"/>
      <w:pPr>
        <w:ind w:left="3240" w:hanging="360"/>
      </w:pPr>
      <w:rPr>
        <w:rFonts w:ascii="Noto Sans Symbols" w:eastAsia="Noto Sans Symbols" w:hAnsi="Noto Sans Symbols" w:cs="Noto Sans Symbols"/>
        <w:sz w:val="20"/>
        <w:szCs w:val="20"/>
      </w:rPr>
    </w:lvl>
    <w:lvl w:ilvl="5" w:tplc="135E40C6">
      <w:start w:val="1"/>
      <w:numFmt w:val="bullet"/>
      <w:lvlText w:val="▪"/>
      <w:lvlJc w:val="left"/>
      <w:pPr>
        <w:ind w:left="3960" w:hanging="360"/>
      </w:pPr>
      <w:rPr>
        <w:rFonts w:ascii="Noto Sans Symbols" w:eastAsia="Noto Sans Symbols" w:hAnsi="Noto Sans Symbols" w:cs="Noto Sans Symbols"/>
        <w:sz w:val="20"/>
        <w:szCs w:val="20"/>
      </w:rPr>
    </w:lvl>
    <w:lvl w:ilvl="6" w:tplc="76A65EC4">
      <w:start w:val="1"/>
      <w:numFmt w:val="bullet"/>
      <w:lvlText w:val="▪"/>
      <w:lvlJc w:val="left"/>
      <w:pPr>
        <w:ind w:left="4680" w:hanging="360"/>
      </w:pPr>
      <w:rPr>
        <w:rFonts w:ascii="Noto Sans Symbols" w:eastAsia="Noto Sans Symbols" w:hAnsi="Noto Sans Symbols" w:cs="Noto Sans Symbols"/>
        <w:sz w:val="20"/>
        <w:szCs w:val="20"/>
      </w:rPr>
    </w:lvl>
    <w:lvl w:ilvl="7" w:tplc="DEF864F6">
      <w:start w:val="1"/>
      <w:numFmt w:val="bullet"/>
      <w:lvlText w:val="▪"/>
      <w:lvlJc w:val="left"/>
      <w:pPr>
        <w:ind w:left="5400" w:hanging="360"/>
      </w:pPr>
      <w:rPr>
        <w:rFonts w:ascii="Noto Sans Symbols" w:eastAsia="Noto Sans Symbols" w:hAnsi="Noto Sans Symbols" w:cs="Noto Sans Symbols"/>
        <w:sz w:val="20"/>
        <w:szCs w:val="20"/>
      </w:rPr>
    </w:lvl>
    <w:lvl w:ilvl="8" w:tplc="929CFC60">
      <w:start w:val="1"/>
      <w:numFmt w:val="bullet"/>
      <w:lvlText w:val="▪"/>
      <w:lvlJc w:val="left"/>
      <w:pPr>
        <w:ind w:left="6120" w:hanging="360"/>
      </w:pPr>
      <w:rPr>
        <w:rFonts w:ascii="Noto Sans Symbols" w:eastAsia="Noto Sans Symbols" w:hAnsi="Noto Sans Symbols" w:cs="Noto Sans Symbols"/>
        <w:sz w:val="20"/>
        <w:szCs w:val="20"/>
      </w:rPr>
    </w:lvl>
  </w:abstractNum>
  <w:abstractNum w:abstractNumId="6" w15:restartNumberingAfterBreak="0">
    <w:nsid w:val="0ED35A9A"/>
    <w:multiLevelType w:val="multilevel"/>
    <w:tmpl w:val="38B60E70"/>
    <w:lvl w:ilvl="0">
      <w:start w:val="1"/>
      <w:numFmt w:val="decimal"/>
      <w:lvlText w:val="%1."/>
      <w:lvlJc w:val="left"/>
      <w:pPr>
        <w:ind w:left="360" w:hanging="360"/>
      </w:p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 w15:restartNumberingAfterBreak="0">
    <w:nsid w:val="108E4CD3"/>
    <w:multiLevelType w:val="hybridMultilevel"/>
    <w:tmpl w:val="05A275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2BA2866"/>
    <w:multiLevelType w:val="hybridMultilevel"/>
    <w:tmpl w:val="FB5243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73215CB"/>
    <w:multiLevelType w:val="hybridMultilevel"/>
    <w:tmpl w:val="F8B496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8367FAA"/>
    <w:multiLevelType w:val="hybridMultilevel"/>
    <w:tmpl w:val="DA4E99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9DC4D35"/>
    <w:multiLevelType w:val="hybridMultilevel"/>
    <w:tmpl w:val="54943576"/>
    <w:lvl w:ilvl="0" w:tplc="04090001">
      <w:start w:val="1"/>
      <w:numFmt w:val="bullet"/>
      <w:lvlText w:val=""/>
      <w:lvlJc w:val="left"/>
      <w:pPr>
        <w:ind w:left="363" w:hanging="360"/>
      </w:pPr>
      <w:rPr>
        <w:rFonts w:ascii="Symbol" w:hAnsi="Symbol"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12" w15:restartNumberingAfterBreak="0">
    <w:nsid w:val="1AF01D20"/>
    <w:multiLevelType w:val="hybridMultilevel"/>
    <w:tmpl w:val="389C21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7D843B3"/>
    <w:multiLevelType w:val="hybridMultilevel"/>
    <w:tmpl w:val="C5F24E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99571B0"/>
    <w:multiLevelType w:val="hybridMultilevel"/>
    <w:tmpl w:val="6186DC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C032429"/>
    <w:multiLevelType w:val="hybridMultilevel"/>
    <w:tmpl w:val="D096C45A"/>
    <w:lvl w:ilvl="0" w:tplc="C91CB4DA">
      <w:start w:val="1"/>
      <w:numFmt w:val="bullet"/>
      <w:lvlText w:val="●"/>
      <w:lvlJc w:val="left"/>
      <w:pPr>
        <w:ind w:left="360" w:hanging="360"/>
      </w:pPr>
      <w:rPr>
        <w:rFonts w:ascii="Noto Sans Symbols" w:eastAsia="Noto Sans Symbols" w:hAnsi="Noto Sans Symbols" w:cs="Noto Sans Symbols"/>
      </w:rPr>
    </w:lvl>
    <w:lvl w:ilvl="1" w:tplc="B3E4E8DE">
      <w:start w:val="1"/>
      <w:numFmt w:val="bullet"/>
      <w:lvlText w:val="o"/>
      <w:lvlJc w:val="left"/>
      <w:pPr>
        <w:ind w:left="1080" w:hanging="360"/>
      </w:pPr>
      <w:rPr>
        <w:rFonts w:ascii="Courier New" w:eastAsia="Courier New" w:hAnsi="Courier New" w:cs="Courier New"/>
      </w:rPr>
    </w:lvl>
    <w:lvl w:ilvl="2" w:tplc="4ABC7296">
      <w:start w:val="1"/>
      <w:numFmt w:val="bullet"/>
      <w:lvlText w:val="▪"/>
      <w:lvlJc w:val="left"/>
      <w:pPr>
        <w:ind w:left="1800" w:hanging="360"/>
      </w:pPr>
      <w:rPr>
        <w:rFonts w:ascii="Noto Sans Symbols" w:eastAsia="Noto Sans Symbols" w:hAnsi="Noto Sans Symbols" w:cs="Noto Sans Symbols"/>
      </w:rPr>
    </w:lvl>
    <w:lvl w:ilvl="3" w:tplc="5F9C3E4A">
      <w:start w:val="1"/>
      <w:numFmt w:val="bullet"/>
      <w:lvlText w:val="●"/>
      <w:lvlJc w:val="left"/>
      <w:pPr>
        <w:ind w:left="2520" w:hanging="360"/>
      </w:pPr>
      <w:rPr>
        <w:rFonts w:ascii="Noto Sans Symbols" w:eastAsia="Noto Sans Symbols" w:hAnsi="Noto Sans Symbols" w:cs="Noto Sans Symbols"/>
      </w:rPr>
    </w:lvl>
    <w:lvl w:ilvl="4" w:tplc="F752C0A0">
      <w:start w:val="1"/>
      <w:numFmt w:val="bullet"/>
      <w:lvlText w:val="o"/>
      <w:lvlJc w:val="left"/>
      <w:pPr>
        <w:ind w:left="3240" w:hanging="360"/>
      </w:pPr>
      <w:rPr>
        <w:rFonts w:ascii="Courier New" w:eastAsia="Courier New" w:hAnsi="Courier New" w:cs="Courier New"/>
      </w:rPr>
    </w:lvl>
    <w:lvl w:ilvl="5" w:tplc="335EFAC0">
      <w:start w:val="1"/>
      <w:numFmt w:val="bullet"/>
      <w:lvlText w:val="▪"/>
      <w:lvlJc w:val="left"/>
      <w:pPr>
        <w:ind w:left="3960" w:hanging="360"/>
      </w:pPr>
      <w:rPr>
        <w:rFonts w:ascii="Noto Sans Symbols" w:eastAsia="Noto Sans Symbols" w:hAnsi="Noto Sans Symbols" w:cs="Noto Sans Symbols"/>
      </w:rPr>
    </w:lvl>
    <w:lvl w:ilvl="6" w:tplc="1C24E198">
      <w:start w:val="1"/>
      <w:numFmt w:val="bullet"/>
      <w:lvlText w:val="●"/>
      <w:lvlJc w:val="left"/>
      <w:pPr>
        <w:ind w:left="4680" w:hanging="360"/>
      </w:pPr>
      <w:rPr>
        <w:rFonts w:ascii="Noto Sans Symbols" w:eastAsia="Noto Sans Symbols" w:hAnsi="Noto Sans Symbols" w:cs="Noto Sans Symbols"/>
      </w:rPr>
    </w:lvl>
    <w:lvl w:ilvl="7" w:tplc="0C64D57E">
      <w:start w:val="1"/>
      <w:numFmt w:val="bullet"/>
      <w:lvlText w:val="o"/>
      <w:lvlJc w:val="left"/>
      <w:pPr>
        <w:ind w:left="5400" w:hanging="360"/>
      </w:pPr>
      <w:rPr>
        <w:rFonts w:ascii="Courier New" w:eastAsia="Courier New" w:hAnsi="Courier New" w:cs="Courier New"/>
      </w:rPr>
    </w:lvl>
    <w:lvl w:ilvl="8" w:tplc="039CC7BE">
      <w:start w:val="1"/>
      <w:numFmt w:val="bullet"/>
      <w:lvlText w:val="▪"/>
      <w:lvlJc w:val="left"/>
      <w:pPr>
        <w:ind w:left="6120" w:hanging="360"/>
      </w:pPr>
      <w:rPr>
        <w:rFonts w:ascii="Noto Sans Symbols" w:eastAsia="Noto Sans Symbols" w:hAnsi="Noto Sans Symbols" w:cs="Noto Sans Symbols"/>
      </w:rPr>
    </w:lvl>
  </w:abstractNum>
  <w:abstractNum w:abstractNumId="16" w15:restartNumberingAfterBreak="0">
    <w:nsid w:val="2F6E5DA4"/>
    <w:multiLevelType w:val="hybridMultilevel"/>
    <w:tmpl w:val="45D8DA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0A312C2"/>
    <w:multiLevelType w:val="hybridMultilevel"/>
    <w:tmpl w:val="D7CE7B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30F7E86"/>
    <w:multiLevelType w:val="multilevel"/>
    <w:tmpl w:val="117070AA"/>
    <w:lvl w:ilvl="0">
      <w:start w:val="1"/>
      <w:numFmt w:val="decimal"/>
      <w:lvlText w:val="%1."/>
      <w:lvlJc w:val="left"/>
      <w:pPr>
        <w:ind w:left="720" w:hanging="360"/>
      </w:pPr>
    </w:lvl>
    <w:lvl w:ilvl="1">
      <w:start w:val="3"/>
      <w:numFmt w:val="decimal"/>
      <w:isLgl/>
      <w:lvlText w:val="%1.%2."/>
      <w:lvlJc w:val="left"/>
      <w:pPr>
        <w:ind w:left="975" w:hanging="615"/>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371156CE"/>
    <w:multiLevelType w:val="hybridMultilevel"/>
    <w:tmpl w:val="CE0ADF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E091E6B"/>
    <w:multiLevelType w:val="hybridMultilevel"/>
    <w:tmpl w:val="643A9B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F5019DC"/>
    <w:multiLevelType w:val="hybridMultilevel"/>
    <w:tmpl w:val="8E54C4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31A7AF4"/>
    <w:multiLevelType w:val="hybridMultilevel"/>
    <w:tmpl w:val="742E7B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431C3A7C"/>
    <w:multiLevelType w:val="hybridMultilevel"/>
    <w:tmpl w:val="B770E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C2A1EFA"/>
    <w:multiLevelType w:val="hybridMultilevel"/>
    <w:tmpl w:val="42B696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4D033D0E"/>
    <w:multiLevelType w:val="hybridMultilevel"/>
    <w:tmpl w:val="16728A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DF7326B"/>
    <w:multiLevelType w:val="hybridMultilevel"/>
    <w:tmpl w:val="D8386D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0CE31E0"/>
    <w:multiLevelType w:val="hybridMultilevel"/>
    <w:tmpl w:val="599052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51F56258"/>
    <w:multiLevelType w:val="hybridMultilevel"/>
    <w:tmpl w:val="2D4645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55BE2E80"/>
    <w:multiLevelType w:val="hybridMultilevel"/>
    <w:tmpl w:val="F432DD3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8725554"/>
    <w:multiLevelType w:val="hybridMultilevel"/>
    <w:tmpl w:val="692AE1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599F74F7"/>
    <w:multiLevelType w:val="hybridMultilevel"/>
    <w:tmpl w:val="E21CE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A7B68AD"/>
    <w:multiLevelType w:val="hybridMultilevel"/>
    <w:tmpl w:val="1526942A"/>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5B78668F"/>
    <w:multiLevelType w:val="hybridMultilevel"/>
    <w:tmpl w:val="A24228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EB87EAA"/>
    <w:multiLevelType w:val="hybridMultilevel"/>
    <w:tmpl w:val="1480F9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F010468"/>
    <w:multiLevelType w:val="multilevel"/>
    <w:tmpl w:val="94F2B41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6" w15:restartNumberingAfterBreak="0">
    <w:nsid w:val="641534D7"/>
    <w:multiLevelType w:val="hybridMultilevel"/>
    <w:tmpl w:val="9B8268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65B81EF7"/>
    <w:multiLevelType w:val="hybridMultilevel"/>
    <w:tmpl w:val="4FFA99BC"/>
    <w:lvl w:ilvl="0" w:tplc="92681EC2">
      <w:start w:val="1"/>
      <w:numFmt w:val="bullet"/>
      <w:lvlText w:val="●"/>
      <w:lvlJc w:val="left"/>
      <w:pPr>
        <w:ind w:left="720" w:hanging="360"/>
      </w:pPr>
      <w:rPr>
        <w:rFonts w:ascii="Noto Sans Symbols" w:eastAsia="Noto Sans Symbols" w:hAnsi="Noto Sans Symbols" w:cs="Noto Sans Symbols"/>
        <w:sz w:val="20"/>
        <w:szCs w:val="20"/>
      </w:rPr>
    </w:lvl>
    <w:lvl w:ilvl="1" w:tplc="66B49504">
      <w:start w:val="1"/>
      <w:numFmt w:val="bullet"/>
      <w:lvlText w:val="o"/>
      <w:lvlJc w:val="left"/>
      <w:pPr>
        <w:ind w:left="1440" w:hanging="360"/>
      </w:pPr>
      <w:rPr>
        <w:rFonts w:ascii="Courier New" w:eastAsia="Courier New" w:hAnsi="Courier New" w:cs="Courier New"/>
        <w:sz w:val="20"/>
        <w:szCs w:val="20"/>
      </w:rPr>
    </w:lvl>
    <w:lvl w:ilvl="2" w:tplc="44724E28">
      <w:start w:val="1"/>
      <w:numFmt w:val="bullet"/>
      <w:lvlText w:val="▪"/>
      <w:lvlJc w:val="left"/>
      <w:pPr>
        <w:ind w:left="2160" w:hanging="360"/>
      </w:pPr>
      <w:rPr>
        <w:rFonts w:ascii="Noto Sans Symbols" w:eastAsia="Noto Sans Symbols" w:hAnsi="Noto Sans Symbols" w:cs="Noto Sans Symbols"/>
        <w:sz w:val="20"/>
        <w:szCs w:val="20"/>
      </w:rPr>
    </w:lvl>
    <w:lvl w:ilvl="3" w:tplc="CC4C33AA">
      <w:start w:val="1"/>
      <w:numFmt w:val="bullet"/>
      <w:lvlText w:val="▪"/>
      <w:lvlJc w:val="left"/>
      <w:pPr>
        <w:ind w:left="2880" w:hanging="360"/>
      </w:pPr>
      <w:rPr>
        <w:rFonts w:ascii="Noto Sans Symbols" w:eastAsia="Noto Sans Symbols" w:hAnsi="Noto Sans Symbols" w:cs="Noto Sans Symbols"/>
        <w:sz w:val="20"/>
        <w:szCs w:val="20"/>
      </w:rPr>
    </w:lvl>
    <w:lvl w:ilvl="4" w:tplc="4D04018C">
      <w:start w:val="1"/>
      <w:numFmt w:val="bullet"/>
      <w:lvlText w:val="▪"/>
      <w:lvlJc w:val="left"/>
      <w:pPr>
        <w:ind w:left="3600" w:hanging="360"/>
      </w:pPr>
      <w:rPr>
        <w:rFonts w:ascii="Noto Sans Symbols" w:eastAsia="Noto Sans Symbols" w:hAnsi="Noto Sans Symbols" w:cs="Noto Sans Symbols"/>
        <w:sz w:val="20"/>
        <w:szCs w:val="20"/>
      </w:rPr>
    </w:lvl>
    <w:lvl w:ilvl="5" w:tplc="C0701C1C">
      <w:start w:val="1"/>
      <w:numFmt w:val="bullet"/>
      <w:lvlText w:val="▪"/>
      <w:lvlJc w:val="left"/>
      <w:pPr>
        <w:ind w:left="4320" w:hanging="360"/>
      </w:pPr>
      <w:rPr>
        <w:rFonts w:ascii="Noto Sans Symbols" w:eastAsia="Noto Sans Symbols" w:hAnsi="Noto Sans Symbols" w:cs="Noto Sans Symbols"/>
        <w:sz w:val="20"/>
        <w:szCs w:val="20"/>
      </w:rPr>
    </w:lvl>
    <w:lvl w:ilvl="6" w:tplc="D6122FD6">
      <w:start w:val="1"/>
      <w:numFmt w:val="bullet"/>
      <w:lvlText w:val="▪"/>
      <w:lvlJc w:val="left"/>
      <w:pPr>
        <w:ind w:left="5040" w:hanging="360"/>
      </w:pPr>
      <w:rPr>
        <w:rFonts w:ascii="Noto Sans Symbols" w:eastAsia="Noto Sans Symbols" w:hAnsi="Noto Sans Symbols" w:cs="Noto Sans Symbols"/>
        <w:sz w:val="20"/>
        <w:szCs w:val="20"/>
      </w:rPr>
    </w:lvl>
    <w:lvl w:ilvl="7" w:tplc="99ACCAD0">
      <w:start w:val="1"/>
      <w:numFmt w:val="bullet"/>
      <w:lvlText w:val="▪"/>
      <w:lvlJc w:val="left"/>
      <w:pPr>
        <w:ind w:left="5760" w:hanging="360"/>
      </w:pPr>
      <w:rPr>
        <w:rFonts w:ascii="Noto Sans Symbols" w:eastAsia="Noto Sans Symbols" w:hAnsi="Noto Sans Symbols" w:cs="Noto Sans Symbols"/>
        <w:sz w:val="20"/>
        <w:szCs w:val="20"/>
      </w:rPr>
    </w:lvl>
    <w:lvl w:ilvl="8" w:tplc="19AC427A">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8" w15:restartNumberingAfterBreak="0">
    <w:nsid w:val="65C04D96"/>
    <w:multiLevelType w:val="hybridMultilevel"/>
    <w:tmpl w:val="75AE0E52"/>
    <w:lvl w:ilvl="0" w:tplc="04090001">
      <w:start w:val="1"/>
      <w:numFmt w:val="bullet"/>
      <w:lvlText w:val=""/>
      <w:lvlJc w:val="left"/>
      <w:pPr>
        <w:ind w:left="6" w:hanging="360"/>
      </w:pPr>
      <w:rPr>
        <w:rFonts w:ascii="Symbol" w:hAnsi="Symbol" w:hint="default"/>
      </w:rPr>
    </w:lvl>
    <w:lvl w:ilvl="1" w:tplc="04090003" w:tentative="1">
      <w:start w:val="1"/>
      <w:numFmt w:val="bullet"/>
      <w:lvlText w:val="o"/>
      <w:lvlJc w:val="left"/>
      <w:pPr>
        <w:ind w:left="726" w:hanging="360"/>
      </w:pPr>
      <w:rPr>
        <w:rFonts w:ascii="Courier New" w:hAnsi="Courier New" w:cs="Courier New" w:hint="default"/>
      </w:rPr>
    </w:lvl>
    <w:lvl w:ilvl="2" w:tplc="04090005" w:tentative="1">
      <w:start w:val="1"/>
      <w:numFmt w:val="bullet"/>
      <w:lvlText w:val=""/>
      <w:lvlJc w:val="left"/>
      <w:pPr>
        <w:ind w:left="1446" w:hanging="360"/>
      </w:pPr>
      <w:rPr>
        <w:rFonts w:ascii="Wingdings" w:hAnsi="Wingdings" w:hint="default"/>
      </w:rPr>
    </w:lvl>
    <w:lvl w:ilvl="3" w:tplc="04090001" w:tentative="1">
      <w:start w:val="1"/>
      <w:numFmt w:val="bullet"/>
      <w:lvlText w:val=""/>
      <w:lvlJc w:val="left"/>
      <w:pPr>
        <w:ind w:left="2166" w:hanging="360"/>
      </w:pPr>
      <w:rPr>
        <w:rFonts w:ascii="Symbol" w:hAnsi="Symbol" w:hint="default"/>
      </w:rPr>
    </w:lvl>
    <w:lvl w:ilvl="4" w:tplc="04090003" w:tentative="1">
      <w:start w:val="1"/>
      <w:numFmt w:val="bullet"/>
      <w:lvlText w:val="o"/>
      <w:lvlJc w:val="left"/>
      <w:pPr>
        <w:ind w:left="2886" w:hanging="360"/>
      </w:pPr>
      <w:rPr>
        <w:rFonts w:ascii="Courier New" w:hAnsi="Courier New" w:cs="Courier New" w:hint="default"/>
      </w:rPr>
    </w:lvl>
    <w:lvl w:ilvl="5" w:tplc="04090005" w:tentative="1">
      <w:start w:val="1"/>
      <w:numFmt w:val="bullet"/>
      <w:lvlText w:val=""/>
      <w:lvlJc w:val="left"/>
      <w:pPr>
        <w:ind w:left="3606" w:hanging="360"/>
      </w:pPr>
      <w:rPr>
        <w:rFonts w:ascii="Wingdings" w:hAnsi="Wingdings" w:hint="default"/>
      </w:rPr>
    </w:lvl>
    <w:lvl w:ilvl="6" w:tplc="04090001" w:tentative="1">
      <w:start w:val="1"/>
      <w:numFmt w:val="bullet"/>
      <w:lvlText w:val=""/>
      <w:lvlJc w:val="left"/>
      <w:pPr>
        <w:ind w:left="4326" w:hanging="360"/>
      </w:pPr>
      <w:rPr>
        <w:rFonts w:ascii="Symbol" w:hAnsi="Symbol" w:hint="default"/>
      </w:rPr>
    </w:lvl>
    <w:lvl w:ilvl="7" w:tplc="04090003" w:tentative="1">
      <w:start w:val="1"/>
      <w:numFmt w:val="bullet"/>
      <w:lvlText w:val="o"/>
      <w:lvlJc w:val="left"/>
      <w:pPr>
        <w:ind w:left="5046" w:hanging="360"/>
      </w:pPr>
      <w:rPr>
        <w:rFonts w:ascii="Courier New" w:hAnsi="Courier New" w:cs="Courier New" w:hint="default"/>
      </w:rPr>
    </w:lvl>
    <w:lvl w:ilvl="8" w:tplc="04090005" w:tentative="1">
      <w:start w:val="1"/>
      <w:numFmt w:val="bullet"/>
      <w:lvlText w:val=""/>
      <w:lvlJc w:val="left"/>
      <w:pPr>
        <w:ind w:left="5766" w:hanging="360"/>
      </w:pPr>
      <w:rPr>
        <w:rFonts w:ascii="Wingdings" w:hAnsi="Wingdings" w:hint="default"/>
      </w:rPr>
    </w:lvl>
  </w:abstractNum>
  <w:abstractNum w:abstractNumId="39" w15:restartNumberingAfterBreak="0">
    <w:nsid w:val="670A2EDD"/>
    <w:multiLevelType w:val="hybridMultilevel"/>
    <w:tmpl w:val="005ABF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815353A"/>
    <w:multiLevelType w:val="multilevel"/>
    <w:tmpl w:val="5EE4E95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1" w15:restartNumberingAfterBreak="0">
    <w:nsid w:val="6EDC3AA3"/>
    <w:multiLevelType w:val="hybridMultilevel"/>
    <w:tmpl w:val="906AB4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7096741B"/>
    <w:multiLevelType w:val="hybridMultilevel"/>
    <w:tmpl w:val="E52692AE"/>
    <w:lvl w:ilvl="0" w:tplc="1AE63526">
      <w:start w:val="1"/>
      <w:numFmt w:val="bullet"/>
      <w:lvlText w:val="●"/>
      <w:lvlJc w:val="left"/>
      <w:pPr>
        <w:ind w:left="360" w:hanging="360"/>
      </w:pPr>
      <w:rPr>
        <w:rFonts w:ascii="Noto Sans Symbols" w:eastAsia="Noto Sans Symbols" w:hAnsi="Noto Sans Symbols" w:cs="Noto Sans Symbols"/>
      </w:rPr>
    </w:lvl>
    <w:lvl w:ilvl="1" w:tplc="79D0A97C">
      <w:start w:val="1"/>
      <w:numFmt w:val="bullet"/>
      <w:lvlText w:val="o"/>
      <w:lvlJc w:val="left"/>
      <w:pPr>
        <w:ind w:left="1080" w:hanging="360"/>
      </w:pPr>
      <w:rPr>
        <w:rFonts w:ascii="Courier New" w:eastAsia="Courier New" w:hAnsi="Courier New" w:cs="Courier New"/>
      </w:rPr>
    </w:lvl>
    <w:lvl w:ilvl="2" w:tplc="A0B4A062">
      <w:start w:val="1"/>
      <w:numFmt w:val="bullet"/>
      <w:lvlText w:val="▪"/>
      <w:lvlJc w:val="left"/>
      <w:pPr>
        <w:ind w:left="1800" w:hanging="360"/>
      </w:pPr>
      <w:rPr>
        <w:rFonts w:ascii="Noto Sans Symbols" w:eastAsia="Noto Sans Symbols" w:hAnsi="Noto Sans Symbols" w:cs="Noto Sans Symbols"/>
      </w:rPr>
    </w:lvl>
    <w:lvl w:ilvl="3" w:tplc="65E09E5C">
      <w:start w:val="1"/>
      <w:numFmt w:val="bullet"/>
      <w:lvlText w:val="●"/>
      <w:lvlJc w:val="left"/>
      <w:pPr>
        <w:ind w:left="2520" w:hanging="360"/>
      </w:pPr>
      <w:rPr>
        <w:rFonts w:ascii="Noto Sans Symbols" w:eastAsia="Noto Sans Symbols" w:hAnsi="Noto Sans Symbols" w:cs="Noto Sans Symbols"/>
      </w:rPr>
    </w:lvl>
    <w:lvl w:ilvl="4" w:tplc="CFA22C94">
      <w:start w:val="1"/>
      <w:numFmt w:val="bullet"/>
      <w:lvlText w:val="o"/>
      <w:lvlJc w:val="left"/>
      <w:pPr>
        <w:ind w:left="3240" w:hanging="360"/>
      </w:pPr>
      <w:rPr>
        <w:rFonts w:ascii="Courier New" w:eastAsia="Courier New" w:hAnsi="Courier New" w:cs="Courier New"/>
      </w:rPr>
    </w:lvl>
    <w:lvl w:ilvl="5" w:tplc="96CA36DC">
      <w:start w:val="1"/>
      <w:numFmt w:val="bullet"/>
      <w:lvlText w:val="▪"/>
      <w:lvlJc w:val="left"/>
      <w:pPr>
        <w:ind w:left="3960" w:hanging="360"/>
      </w:pPr>
      <w:rPr>
        <w:rFonts w:ascii="Noto Sans Symbols" w:eastAsia="Noto Sans Symbols" w:hAnsi="Noto Sans Symbols" w:cs="Noto Sans Symbols"/>
      </w:rPr>
    </w:lvl>
    <w:lvl w:ilvl="6" w:tplc="FAD2EB16">
      <w:start w:val="1"/>
      <w:numFmt w:val="bullet"/>
      <w:lvlText w:val="●"/>
      <w:lvlJc w:val="left"/>
      <w:pPr>
        <w:ind w:left="4680" w:hanging="360"/>
      </w:pPr>
      <w:rPr>
        <w:rFonts w:ascii="Noto Sans Symbols" w:eastAsia="Noto Sans Symbols" w:hAnsi="Noto Sans Symbols" w:cs="Noto Sans Symbols"/>
      </w:rPr>
    </w:lvl>
    <w:lvl w:ilvl="7" w:tplc="4AA27792">
      <w:start w:val="1"/>
      <w:numFmt w:val="bullet"/>
      <w:lvlText w:val="o"/>
      <w:lvlJc w:val="left"/>
      <w:pPr>
        <w:ind w:left="5400" w:hanging="360"/>
      </w:pPr>
      <w:rPr>
        <w:rFonts w:ascii="Courier New" w:eastAsia="Courier New" w:hAnsi="Courier New" w:cs="Courier New"/>
      </w:rPr>
    </w:lvl>
    <w:lvl w:ilvl="8" w:tplc="A5A65D8E">
      <w:start w:val="1"/>
      <w:numFmt w:val="bullet"/>
      <w:lvlText w:val="▪"/>
      <w:lvlJc w:val="left"/>
      <w:pPr>
        <w:ind w:left="6120" w:hanging="360"/>
      </w:pPr>
      <w:rPr>
        <w:rFonts w:ascii="Noto Sans Symbols" w:eastAsia="Noto Sans Symbols" w:hAnsi="Noto Sans Symbols" w:cs="Noto Sans Symbols"/>
      </w:rPr>
    </w:lvl>
  </w:abstractNum>
  <w:abstractNum w:abstractNumId="43" w15:restartNumberingAfterBreak="0">
    <w:nsid w:val="78F818C0"/>
    <w:multiLevelType w:val="hybridMultilevel"/>
    <w:tmpl w:val="F99EA4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DFD20BE"/>
    <w:multiLevelType w:val="hybridMultilevel"/>
    <w:tmpl w:val="1D3A7D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7E5F5784"/>
    <w:multiLevelType w:val="hybridMultilevel"/>
    <w:tmpl w:val="3F76FFE8"/>
    <w:lvl w:ilvl="0" w:tplc="9CA00E70">
      <w:start w:val="1"/>
      <w:numFmt w:val="bullet"/>
      <w:lvlText w:val="●"/>
      <w:lvlJc w:val="left"/>
      <w:pPr>
        <w:ind w:left="360" w:hanging="360"/>
      </w:pPr>
      <w:rPr>
        <w:rFonts w:ascii="Noto Sans Symbols" w:eastAsia="Noto Sans Symbols" w:hAnsi="Noto Sans Symbols" w:cs="Noto Sans Symbols"/>
      </w:rPr>
    </w:lvl>
    <w:lvl w:ilvl="1" w:tplc="300ED47A">
      <w:start w:val="1"/>
      <w:numFmt w:val="bullet"/>
      <w:lvlText w:val="o"/>
      <w:lvlJc w:val="left"/>
      <w:pPr>
        <w:ind w:left="1080" w:hanging="360"/>
      </w:pPr>
      <w:rPr>
        <w:rFonts w:ascii="Courier New" w:eastAsia="Courier New" w:hAnsi="Courier New" w:cs="Courier New"/>
      </w:rPr>
    </w:lvl>
    <w:lvl w:ilvl="2" w:tplc="E50451B2">
      <w:start w:val="1"/>
      <w:numFmt w:val="bullet"/>
      <w:lvlText w:val="▪"/>
      <w:lvlJc w:val="left"/>
      <w:pPr>
        <w:ind w:left="1800" w:hanging="360"/>
      </w:pPr>
      <w:rPr>
        <w:rFonts w:ascii="Noto Sans Symbols" w:eastAsia="Noto Sans Symbols" w:hAnsi="Noto Sans Symbols" w:cs="Noto Sans Symbols"/>
      </w:rPr>
    </w:lvl>
    <w:lvl w:ilvl="3" w:tplc="6ABE5CC4">
      <w:start w:val="1"/>
      <w:numFmt w:val="bullet"/>
      <w:lvlText w:val="●"/>
      <w:lvlJc w:val="left"/>
      <w:pPr>
        <w:ind w:left="2520" w:hanging="360"/>
      </w:pPr>
      <w:rPr>
        <w:rFonts w:ascii="Noto Sans Symbols" w:eastAsia="Noto Sans Symbols" w:hAnsi="Noto Sans Symbols" w:cs="Noto Sans Symbols"/>
      </w:rPr>
    </w:lvl>
    <w:lvl w:ilvl="4" w:tplc="4F803012">
      <w:start w:val="1"/>
      <w:numFmt w:val="bullet"/>
      <w:lvlText w:val="o"/>
      <w:lvlJc w:val="left"/>
      <w:pPr>
        <w:ind w:left="3240" w:hanging="360"/>
      </w:pPr>
      <w:rPr>
        <w:rFonts w:ascii="Courier New" w:eastAsia="Courier New" w:hAnsi="Courier New" w:cs="Courier New"/>
      </w:rPr>
    </w:lvl>
    <w:lvl w:ilvl="5" w:tplc="84C4F6D6">
      <w:start w:val="1"/>
      <w:numFmt w:val="bullet"/>
      <w:lvlText w:val="▪"/>
      <w:lvlJc w:val="left"/>
      <w:pPr>
        <w:ind w:left="3960" w:hanging="360"/>
      </w:pPr>
      <w:rPr>
        <w:rFonts w:ascii="Noto Sans Symbols" w:eastAsia="Noto Sans Symbols" w:hAnsi="Noto Sans Symbols" w:cs="Noto Sans Symbols"/>
      </w:rPr>
    </w:lvl>
    <w:lvl w:ilvl="6" w:tplc="172C7494">
      <w:start w:val="1"/>
      <w:numFmt w:val="bullet"/>
      <w:lvlText w:val="●"/>
      <w:lvlJc w:val="left"/>
      <w:pPr>
        <w:ind w:left="4680" w:hanging="360"/>
      </w:pPr>
      <w:rPr>
        <w:rFonts w:ascii="Noto Sans Symbols" w:eastAsia="Noto Sans Symbols" w:hAnsi="Noto Sans Symbols" w:cs="Noto Sans Symbols"/>
      </w:rPr>
    </w:lvl>
    <w:lvl w:ilvl="7" w:tplc="DE4EF5F6">
      <w:start w:val="1"/>
      <w:numFmt w:val="bullet"/>
      <w:lvlText w:val="o"/>
      <w:lvlJc w:val="left"/>
      <w:pPr>
        <w:ind w:left="5400" w:hanging="360"/>
      </w:pPr>
      <w:rPr>
        <w:rFonts w:ascii="Courier New" w:eastAsia="Courier New" w:hAnsi="Courier New" w:cs="Courier New"/>
      </w:rPr>
    </w:lvl>
    <w:lvl w:ilvl="8" w:tplc="83D86BEE">
      <w:start w:val="1"/>
      <w:numFmt w:val="bullet"/>
      <w:lvlText w:val="▪"/>
      <w:lvlJc w:val="left"/>
      <w:pPr>
        <w:ind w:left="6120" w:hanging="360"/>
      </w:pPr>
      <w:rPr>
        <w:rFonts w:ascii="Noto Sans Symbols" w:eastAsia="Noto Sans Symbols" w:hAnsi="Noto Sans Symbols" w:cs="Noto Sans Symbols"/>
      </w:rPr>
    </w:lvl>
  </w:abstractNum>
  <w:abstractNum w:abstractNumId="46" w15:restartNumberingAfterBreak="0">
    <w:nsid w:val="7F856011"/>
    <w:multiLevelType w:val="hybridMultilevel"/>
    <w:tmpl w:val="7182EB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43"/>
  </w:num>
  <w:num w:numId="2">
    <w:abstractNumId w:val="27"/>
  </w:num>
  <w:num w:numId="3">
    <w:abstractNumId w:val="41"/>
  </w:num>
  <w:num w:numId="4">
    <w:abstractNumId w:val="18"/>
  </w:num>
  <w:num w:numId="5">
    <w:abstractNumId w:val="39"/>
  </w:num>
  <w:num w:numId="6">
    <w:abstractNumId w:val="0"/>
  </w:num>
  <w:num w:numId="7">
    <w:abstractNumId w:val="23"/>
  </w:num>
  <w:num w:numId="8">
    <w:abstractNumId w:val="6"/>
  </w:num>
  <w:num w:numId="9">
    <w:abstractNumId w:val="8"/>
  </w:num>
  <w:num w:numId="10">
    <w:abstractNumId w:val="29"/>
  </w:num>
  <w:num w:numId="11">
    <w:abstractNumId w:val="3"/>
  </w:num>
  <w:num w:numId="12">
    <w:abstractNumId w:val="38"/>
  </w:num>
  <w:num w:numId="13">
    <w:abstractNumId w:val="26"/>
  </w:num>
  <w:num w:numId="14">
    <w:abstractNumId w:val="46"/>
  </w:num>
  <w:num w:numId="15">
    <w:abstractNumId w:val="31"/>
  </w:num>
  <w:num w:numId="16">
    <w:abstractNumId w:val="9"/>
  </w:num>
  <w:num w:numId="17">
    <w:abstractNumId w:val="28"/>
  </w:num>
  <w:num w:numId="18">
    <w:abstractNumId w:val="36"/>
  </w:num>
  <w:num w:numId="19">
    <w:abstractNumId w:val="12"/>
  </w:num>
  <w:num w:numId="20">
    <w:abstractNumId w:val="20"/>
  </w:num>
  <w:num w:numId="21">
    <w:abstractNumId w:val="30"/>
  </w:num>
  <w:num w:numId="22">
    <w:abstractNumId w:val="1"/>
  </w:num>
  <w:num w:numId="23">
    <w:abstractNumId w:val="5"/>
  </w:num>
  <w:num w:numId="24">
    <w:abstractNumId w:val="35"/>
  </w:num>
  <w:num w:numId="25">
    <w:abstractNumId w:val="16"/>
  </w:num>
  <w:num w:numId="26">
    <w:abstractNumId w:val="40"/>
  </w:num>
  <w:num w:numId="27">
    <w:abstractNumId w:val="34"/>
  </w:num>
  <w:num w:numId="28">
    <w:abstractNumId w:val="37"/>
  </w:num>
  <w:num w:numId="29">
    <w:abstractNumId w:val="14"/>
  </w:num>
  <w:num w:numId="30">
    <w:abstractNumId w:val="42"/>
  </w:num>
  <w:num w:numId="31">
    <w:abstractNumId w:val="45"/>
  </w:num>
  <w:num w:numId="32">
    <w:abstractNumId w:val="24"/>
  </w:num>
  <w:num w:numId="33">
    <w:abstractNumId w:val="4"/>
  </w:num>
  <w:num w:numId="34">
    <w:abstractNumId w:val="15"/>
  </w:num>
  <w:num w:numId="35">
    <w:abstractNumId w:val="2"/>
  </w:num>
  <w:num w:numId="36">
    <w:abstractNumId w:val="11"/>
  </w:num>
  <w:num w:numId="37">
    <w:abstractNumId w:val="19"/>
  </w:num>
  <w:num w:numId="38">
    <w:abstractNumId w:val="21"/>
  </w:num>
  <w:num w:numId="39">
    <w:abstractNumId w:val="7"/>
  </w:num>
  <w:num w:numId="40">
    <w:abstractNumId w:val="25"/>
  </w:num>
  <w:num w:numId="41">
    <w:abstractNumId w:val="22"/>
  </w:num>
  <w:num w:numId="42">
    <w:abstractNumId w:val="32"/>
  </w:num>
  <w:num w:numId="43">
    <w:abstractNumId w:val="17"/>
  </w:num>
  <w:num w:numId="44">
    <w:abstractNumId w:val="44"/>
  </w:num>
  <w:num w:numId="45">
    <w:abstractNumId w:val="10"/>
  </w:num>
  <w:num w:numId="46">
    <w:abstractNumId w:val="33"/>
  </w:num>
  <w:num w:numId="47">
    <w:abstractNumId w:val="13"/>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2"/>
  <w:hideSpellingErrors/>
  <w:hideGrammaticalErrors/>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264C"/>
    <w:rsid w:val="000008A0"/>
    <w:rsid w:val="00000CBC"/>
    <w:rsid w:val="0000292C"/>
    <w:rsid w:val="00002A86"/>
    <w:rsid w:val="00004F86"/>
    <w:rsid w:val="000051D9"/>
    <w:rsid w:val="00006009"/>
    <w:rsid w:val="00006310"/>
    <w:rsid w:val="00007999"/>
    <w:rsid w:val="00010362"/>
    <w:rsid w:val="000117E6"/>
    <w:rsid w:val="00013BA1"/>
    <w:rsid w:val="00014ADB"/>
    <w:rsid w:val="000156B0"/>
    <w:rsid w:val="00016A3B"/>
    <w:rsid w:val="00020834"/>
    <w:rsid w:val="000223AE"/>
    <w:rsid w:val="00022677"/>
    <w:rsid w:val="00023DBF"/>
    <w:rsid w:val="000246B9"/>
    <w:rsid w:val="00026119"/>
    <w:rsid w:val="000265B5"/>
    <w:rsid w:val="0002662B"/>
    <w:rsid w:val="00026C0D"/>
    <w:rsid w:val="00030617"/>
    <w:rsid w:val="000311C8"/>
    <w:rsid w:val="00031ECE"/>
    <w:rsid w:val="00032F7A"/>
    <w:rsid w:val="00033DC5"/>
    <w:rsid w:val="000350F4"/>
    <w:rsid w:val="00035689"/>
    <w:rsid w:val="00036373"/>
    <w:rsid w:val="000363E8"/>
    <w:rsid w:val="0003736D"/>
    <w:rsid w:val="000375DF"/>
    <w:rsid w:val="0003773E"/>
    <w:rsid w:val="00037AD7"/>
    <w:rsid w:val="00040BE1"/>
    <w:rsid w:val="00040D92"/>
    <w:rsid w:val="0004135A"/>
    <w:rsid w:val="0004254A"/>
    <w:rsid w:val="000434A3"/>
    <w:rsid w:val="000438FF"/>
    <w:rsid w:val="00044AF9"/>
    <w:rsid w:val="00045AA6"/>
    <w:rsid w:val="00045E2D"/>
    <w:rsid w:val="0004769D"/>
    <w:rsid w:val="000502EA"/>
    <w:rsid w:val="00052196"/>
    <w:rsid w:val="000525A6"/>
    <w:rsid w:val="00052702"/>
    <w:rsid w:val="000539D5"/>
    <w:rsid w:val="00053BE0"/>
    <w:rsid w:val="00054207"/>
    <w:rsid w:val="00055E2B"/>
    <w:rsid w:val="000564F1"/>
    <w:rsid w:val="00056A1B"/>
    <w:rsid w:val="000574F6"/>
    <w:rsid w:val="000576DA"/>
    <w:rsid w:val="000602B4"/>
    <w:rsid w:val="00060DAE"/>
    <w:rsid w:val="00061BBB"/>
    <w:rsid w:val="00062A9C"/>
    <w:rsid w:val="00062E2B"/>
    <w:rsid w:val="000652F6"/>
    <w:rsid w:val="000659C1"/>
    <w:rsid w:val="000671B3"/>
    <w:rsid w:val="00067E4D"/>
    <w:rsid w:val="00070281"/>
    <w:rsid w:val="0007166C"/>
    <w:rsid w:val="0007187F"/>
    <w:rsid w:val="000718E2"/>
    <w:rsid w:val="00073EE5"/>
    <w:rsid w:val="00074303"/>
    <w:rsid w:val="0007492C"/>
    <w:rsid w:val="0007574B"/>
    <w:rsid w:val="00075BC9"/>
    <w:rsid w:val="000774C6"/>
    <w:rsid w:val="00082398"/>
    <w:rsid w:val="00082BCF"/>
    <w:rsid w:val="000831B4"/>
    <w:rsid w:val="000840D4"/>
    <w:rsid w:val="00084DBB"/>
    <w:rsid w:val="0008500B"/>
    <w:rsid w:val="000850DD"/>
    <w:rsid w:val="000856CF"/>
    <w:rsid w:val="000856FF"/>
    <w:rsid w:val="00087317"/>
    <w:rsid w:val="00087612"/>
    <w:rsid w:val="0009004E"/>
    <w:rsid w:val="00093300"/>
    <w:rsid w:val="00093DA7"/>
    <w:rsid w:val="0009401A"/>
    <w:rsid w:val="0009799E"/>
    <w:rsid w:val="00097FB8"/>
    <w:rsid w:val="000A1512"/>
    <w:rsid w:val="000A2052"/>
    <w:rsid w:val="000A47A3"/>
    <w:rsid w:val="000A5688"/>
    <w:rsid w:val="000A5B07"/>
    <w:rsid w:val="000A5F6E"/>
    <w:rsid w:val="000A77AE"/>
    <w:rsid w:val="000B0949"/>
    <w:rsid w:val="000B1598"/>
    <w:rsid w:val="000B1FBA"/>
    <w:rsid w:val="000B27BB"/>
    <w:rsid w:val="000B2F24"/>
    <w:rsid w:val="000B30DE"/>
    <w:rsid w:val="000B3DC8"/>
    <w:rsid w:val="000B3E94"/>
    <w:rsid w:val="000B3FFC"/>
    <w:rsid w:val="000B4067"/>
    <w:rsid w:val="000B4286"/>
    <w:rsid w:val="000B59F4"/>
    <w:rsid w:val="000B61C8"/>
    <w:rsid w:val="000B62EF"/>
    <w:rsid w:val="000B7FB8"/>
    <w:rsid w:val="000C0146"/>
    <w:rsid w:val="000C0250"/>
    <w:rsid w:val="000C0675"/>
    <w:rsid w:val="000C12C0"/>
    <w:rsid w:val="000C5936"/>
    <w:rsid w:val="000C6906"/>
    <w:rsid w:val="000C6FC5"/>
    <w:rsid w:val="000C71F4"/>
    <w:rsid w:val="000C786B"/>
    <w:rsid w:val="000D07F3"/>
    <w:rsid w:val="000D19DD"/>
    <w:rsid w:val="000D256F"/>
    <w:rsid w:val="000D2B85"/>
    <w:rsid w:val="000D3389"/>
    <w:rsid w:val="000D3F6D"/>
    <w:rsid w:val="000D43B5"/>
    <w:rsid w:val="000D4998"/>
    <w:rsid w:val="000D54A0"/>
    <w:rsid w:val="000D5986"/>
    <w:rsid w:val="000D5D95"/>
    <w:rsid w:val="000D5F40"/>
    <w:rsid w:val="000D64C9"/>
    <w:rsid w:val="000D7433"/>
    <w:rsid w:val="000D7FC7"/>
    <w:rsid w:val="000E09B0"/>
    <w:rsid w:val="000E0ED9"/>
    <w:rsid w:val="000E1C31"/>
    <w:rsid w:val="000E20D6"/>
    <w:rsid w:val="000E4B4C"/>
    <w:rsid w:val="000E4F1D"/>
    <w:rsid w:val="000E5CAE"/>
    <w:rsid w:val="000E6E98"/>
    <w:rsid w:val="000E773D"/>
    <w:rsid w:val="000E7EAE"/>
    <w:rsid w:val="000F0709"/>
    <w:rsid w:val="000F0C33"/>
    <w:rsid w:val="000F10FB"/>
    <w:rsid w:val="000F251C"/>
    <w:rsid w:val="000F2B0A"/>
    <w:rsid w:val="000F405E"/>
    <w:rsid w:val="000F542D"/>
    <w:rsid w:val="000F5909"/>
    <w:rsid w:val="0010110E"/>
    <w:rsid w:val="00102690"/>
    <w:rsid w:val="00102BE2"/>
    <w:rsid w:val="001034DF"/>
    <w:rsid w:val="00103672"/>
    <w:rsid w:val="00104038"/>
    <w:rsid w:val="001042A3"/>
    <w:rsid w:val="001042B9"/>
    <w:rsid w:val="00104880"/>
    <w:rsid w:val="00105961"/>
    <w:rsid w:val="00105DBA"/>
    <w:rsid w:val="00111F70"/>
    <w:rsid w:val="0011203A"/>
    <w:rsid w:val="00112225"/>
    <w:rsid w:val="00112C2F"/>
    <w:rsid w:val="00112C64"/>
    <w:rsid w:val="00112D8B"/>
    <w:rsid w:val="00113A26"/>
    <w:rsid w:val="00113E5C"/>
    <w:rsid w:val="00113E8D"/>
    <w:rsid w:val="00113E9B"/>
    <w:rsid w:val="00114BA7"/>
    <w:rsid w:val="001152EC"/>
    <w:rsid w:val="001159CC"/>
    <w:rsid w:val="001166CD"/>
    <w:rsid w:val="001170A8"/>
    <w:rsid w:val="00117C01"/>
    <w:rsid w:val="00120C57"/>
    <w:rsid w:val="00121BCF"/>
    <w:rsid w:val="00121D79"/>
    <w:rsid w:val="001231F2"/>
    <w:rsid w:val="0012669E"/>
    <w:rsid w:val="00126962"/>
    <w:rsid w:val="00126CF9"/>
    <w:rsid w:val="00126D6A"/>
    <w:rsid w:val="0012765F"/>
    <w:rsid w:val="00127833"/>
    <w:rsid w:val="00131726"/>
    <w:rsid w:val="00132D6F"/>
    <w:rsid w:val="001338F4"/>
    <w:rsid w:val="0013523C"/>
    <w:rsid w:val="00135968"/>
    <w:rsid w:val="00137039"/>
    <w:rsid w:val="0013737E"/>
    <w:rsid w:val="001400A2"/>
    <w:rsid w:val="001400EF"/>
    <w:rsid w:val="00142789"/>
    <w:rsid w:val="001429EA"/>
    <w:rsid w:val="00143632"/>
    <w:rsid w:val="00146853"/>
    <w:rsid w:val="00146F0E"/>
    <w:rsid w:val="00147D6A"/>
    <w:rsid w:val="00150930"/>
    <w:rsid w:val="00150CC4"/>
    <w:rsid w:val="00151DA0"/>
    <w:rsid w:val="0015223E"/>
    <w:rsid w:val="00152B27"/>
    <w:rsid w:val="00152BD4"/>
    <w:rsid w:val="00153102"/>
    <w:rsid w:val="0015325C"/>
    <w:rsid w:val="0015384C"/>
    <w:rsid w:val="00153AF3"/>
    <w:rsid w:val="00154692"/>
    <w:rsid w:val="00154AD2"/>
    <w:rsid w:val="00154BF8"/>
    <w:rsid w:val="0015634E"/>
    <w:rsid w:val="00160DF8"/>
    <w:rsid w:val="00160F61"/>
    <w:rsid w:val="0016105B"/>
    <w:rsid w:val="0016114D"/>
    <w:rsid w:val="00161F6C"/>
    <w:rsid w:val="001624DE"/>
    <w:rsid w:val="0016323B"/>
    <w:rsid w:val="00163AEE"/>
    <w:rsid w:val="00163C38"/>
    <w:rsid w:val="00164689"/>
    <w:rsid w:val="00165C5A"/>
    <w:rsid w:val="00166540"/>
    <w:rsid w:val="001719C6"/>
    <w:rsid w:val="00171E73"/>
    <w:rsid w:val="001721D9"/>
    <w:rsid w:val="00173C05"/>
    <w:rsid w:val="00173C0D"/>
    <w:rsid w:val="00174D5E"/>
    <w:rsid w:val="00174F22"/>
    <w:rsid w:val="0017509D"/>
    <w:rsid w:val="0017559E"/>
    <w:rsid w:val="00175708"/>
    <w:rsid w:val="001757FC"/>
    <w:rsid w:val="00177926"/>
    <w:rsid w:val="00180E0F"/>
    <w:rsid w:val="00182176"/>
    <w:rsid w:val="00182840"/>
    <w:rsid w:val="00183F76"/>
    <w:rsid w:val="0018426F"/>
    <w:rsid w:val="00184370"/>
    <w:rsid w:val="00184916"/>
    <w:rsid w:val="00185E5B"/>
    <w:rsid w:val="00185FBC"/>
    <w:rsid w:val="001862A8"/>
    <w:rsid w:val="00186E46"/>
    <w:rsid w:val="00186E50"/>
    <w:rsid w:val="00186F6B"/>
    <w:rsid w:val="0018715F"/>
    <w:rsid w:val="00187B17"/>
    <w:rsid w:val="00187D82"/>
    <w:rsid w:val="00190E4E"/>
    <w:rsid w:val="00191385"/>
    <w:rsid w:val="00191979"/>
    <w:rsid w:val="0019290C"/>
    <w:rsid w:val="001936F3"/>
    <w:rsid w:val="00193DF7"/>
    <w:rsid w:val="00194AEB"/>
    <w:rsid w:val="00195477"/>
    <w:rsid w:val="0019563D"/>
    <w:rsid w:val="001957D4"/>
    <w:rsid w:val="00195D7E"/>
    <w:rsid w:val="00196E93"/>
    <w:rsid w:val="00197328"/>
    <w:rsid w:val="001A0231"/>
    <w:rsid w:val="001A19B5"/>
    <w:rsid w:val="001A2106"/>
    <w:rsid w:val="001A270B"/>
    <w:rsid w:val="001A2A0D"/>
    <w:rsid w:val="001A3873"/>
    <w:rsid w:val="001A49E3"/>
    <w:rsid w:val="001A5FE2"/>
    <w:rsid w:val="001A76D6"/>
    <w:rsid w:val="001B0AD5"/>
    <w:rsid w:val="001B1677"/>
    <w:rsid w:val="001B1F27"/>
    <w:rsid w:val="001B2361"/>
    <w:rsid w:val="001B2548"/>
    <w:rsid w:val="001B2837"/>
    <w:rsid w:val="001B291F"/>
    <w:rsid w:val="001B2FA4"/>
    <w:rsid w:val="001B3491"/>
    <w:rsid w:val="001B3B2E"/>
    <w:rsid w:val="001B3DD8"/>
    <w:rsid w:val="001B49AA"/>
    <w:rsid w:val="001B5CC3"/>
    <w:rsid w:val="001B5DC1"/>
    <w:rsid w:val="001B67D6"/>
    <w:rsid w:val="001B6A0B"/>
    <w:rsid w:val="001B7079"/>
    <w:rsid w:val="001B7249"/>
    <w:rsid w:val="001B79EC"/>
    <w:rsid w:val="001C1421"/>
    <w:rsid w:val="001C196E"/>
    <w:rsid w:val="001C2C60"/>
    <w:rsid w:val="001C2E03"/>
    <w:rsid w:val="001C3530"/>
    <w:rsid w:val="001C3935"/>
    <w:rsid w:val="001C3AA1"/>
    <w:rsid w:val="001C4E9A"/>
    <w:rsid w:val="001C5828"/>
    <w:rsid w:val="001C590B"/>
    <w:rsid w:val="001C5EB4"/>
    <w:rsid w:val="001C6C98"/>
    <w:rsid w:val="001C6EDE"/>
    <w:rsid w:val="001C728F"/>
    <w:rsid w:val="001D03F1"/>
    <w:rsid w:val="001D27EC"/>
    <w:rsid w:val="001D300A"/>
    <w:rsid w:val="001D30C2"/>
    <w:rsid w:val="001D557E"/>
    <w:rsid w:val="001D55AB"/>
    <w:rsid w:val="001D7C85"/>
    <w:rsid w:val="001D7CB0"/>
    <w:rsid w:val="001D7F6F"/>
    <w:rsid w:val="001E4296"/>
    <w:rsid w:val="001E5366"/>
    <w:rsid w:val="001E56C9"/>
    <w:rsid w:val="001E62E0"/>
    <w:rsid w:val="001E6E24"/>
    <w:rsid w:val="001F05A8"/>
    <w:rsid w:val="001F070C"/>
    <w:rsid w:val="001F0EFB"/>
    <w:rsid w:val="001F264E"/>
    <w:rsid w:val="001F3E89"/>
    <w:rsid w:val="001F6551"/>
    <w:rsid w:val="001F6ADB"/>
    <w:rsid w:val="001F6B9A"/>
    <w:rsid w:val="001F6F3E"/>
    <w:rsid w:val="00200BF8"/>
    <w:rsid w:val="00200E5A"/>
    <w:rsid w:val="002025BA"/>
    <w:rsid w:val="00203113"/>
    <w:rsid w:val="002039B0"/>
    <w:rsid w:val="00204184"/>
    <w:rsid w:val="002065EA"/>
    <w:rsid w:val="00206CE5"/>
    <w:rsid w:val="0020702B"/>
    <w:rsid w:val="00207C05"/>
    <w:rsid w:val="00210AA3"/>
    <w:rsid w:val="0021291D"/>
    <w:rsid w:val="0021469A"/>
    <w:rsid w:val="00214B77"/>
    <w:rsid w:val="00214E49"/>
    <w:rsid w:val="00215192"/>
    <w:rsid w:val="00215BD4"/>
    <w:rsid w:val="002165FD"/>
    <w:rsid w:val="00216C29"/>
    <w:rsid w:val="002179F5"/>
    <w:rsid w:val="00220ECF"/>
    <w:rsid w:val="002215E9"/>
    <w:rsid w:val="002225DE"/>
    <w:rsid w:val="00222698"/>
    <w:rsid w:val="00223052"/>
    <w:rsid w:val="0022421C"/>
    <w:rsid w:val="002250C1"/>
    <w:rsid w:val="00226431"/>
    <w:rsid w:val="00226493"/>
    <w:rsid w:val="002266B1"/>
    <w:rsid w:val="00226867"/>
    <w:rsid w:val="002268FC"/>
    <w:rsid w:val="00226AB4"/>
    <w:rsid w:val="00226C7C"/>
    <w:rsid w:val="00226D71"/>
    <w:rsid w:val="00231B65"/>
    <w:rsid w:val="00232595"/>
    <w:rsid w:val="00232A90"/>
    <w:rsid w:val="0023336A"/>
    <w:rsid w:val="00235F9E"/>
    <w:rsid w:val="0023688E"/>
    <w:rsid w:val="00236E03"/>
    <w:rsid w:val="00240097"/>
    <w:rsid w:val="00240B07"/>
    <w:rsid w:val="00240E50"/>
    <w:rsid w:val="00240E8C"/>
    <w:rsid w:val="00240F31"/>
    <w:rsid w:val="00241737"/>
    <w:rsid w:val="00242E08"/>
    <w:rsid w:val="002432E8"/>
    <w:rsid w:val="00243659"/>
    <w:rsid w:val="00243BB9"/>
    <w:rsid w:val="00243E5E"/>
    <w:rsid w:val="0024502C"/>
    <w:rsid w:val="0024646F"/>
    <w:rsid w:val="002468B3"/>
    <w:rsid w:val="00247D12"/>
    <w:rsid w:val="00247F93"/>
    <w:rsid w:val="002514C5"/>
    <w:rsid w:val="00252AD3"/>
    <w:rsid w:val="00252EE1"/>
    <w:rsid w:val="0025537C"/>
    <w:rsid w:val="002556B2"/>
    <w:rsid w:val="0025691D"/>
    <w:rsid w:val="00256BF3"/>
    <w:rsid w:val="00256FBE"/>
    <w:rsid w:val="002577AB"/>
    <w:rsid w:val="0026117A"/>
    <w:rsid w:val="00262022"/>
    <w:rsid w:val="00263DE0"/>
    <w:rsid w:val="0026415F"/>
    <w:rsid w:val="00266706"/>
    <w:rsid w:val="00266880"/>
    <w:rsid w:val="0026689A"/>
    <w:rsid w:val="00266BCF"/>
    <w:rsid w:val="00267015"/>
    <w:rsid w:val="002677CB"/>
    <w:rsid w:val="00267BB1"/>
    <w:rsid w:val="00271BB3"/>
    <w:rsid w:val="0027221D"/>
    <w:rsid w:val="002731BA"/>
    <w:rsid w:val="00273F25"/>
    <w:rsid w:val="00274E92"/>
    <w:rsid w:val="002765AB"/>
    <w:rsid w:val="00276667"/>
    <w:rsid w:val="00276F71"/>
    <w:rsid w:val="00277791"/>
    <w:rsid w:val="0028034E"/>
    <w:rsid w:val="00280421"/>
    <w:rsid w:val="00280B31"/>
    <w:rsid w:val="00280BDC"/>
    <w:rsid w:val="00283F11"/>
    <w:rsid w:val="00286F5F"/>
    <w:rsid w:val="002875AF"/>
    <w:rsid w:val="00287CFF"/>
    <w:rsid w:val="0029084A"/>
    <w:rsid w:val="00290A18"/>
    <w:rsid w:val="0029130C"/>
    <w:rsid w:val="002914A1"/>
    <w:rsid w:val="002921FD"/>
    <w:rsid w:val="002929D0"/>
    <w:rsid w:val="00293185"/>
    <w:rsid w:val="002932EA"/>
    <w:rsid w:val="002941AD"/>
    <w:rsid w:val="0029482D"/>
    <w:rsid w:val="0029485A"/>
    <w:rsid w:val="00296A59"/>
    <w:rsid w:val="00296A5D"/>
    <w:rsid w:val="0029756A"/>
    <w:rsid w:val="002A3903"/>
    <w:rsid w:val="002A4F7D"/>
    <w:rsid w:val="002A7A90"/>
    <w:rsid w:val="002A7AB7"/>
    <w:rsid w:val="002A7F8D"/>
    <w:rsid w:val="002B0C14"/>
    <w:rsid w:val="002B1727"/>
    <w:rsid w:val="002B257B"/>
    <w:rsid w:val="002B35CA"/>
    <w:rsid w:val="002B5064"/>
    <w:rsid w:val="002B6473"/>
    <w:rsid w:val="002B6B17"/>
    <w:rsid w:val="002B6D64"/>
    <w:rsid w:val="002C38E7"/>
    <w:rsid w:val="002C3D70"/>
    <w:rsid w:val="002C4A80"/>
    <w:rsid w:val="002C5899"/>
    <w:rsid w:val="002C62E7"/>
    <w:rsid w:val="002C66FF"/>
    <w:rsid w:val="002C68AB"/>
    <w:rsid w:val="002C6E6B"/>
    <w:rsid w:val="002C6F92"/>
    <w:rsid w:val="002D0819"/>
    <w:rsid w:val="002D0FF8"/>
    <w:rsid w:val="002D11F1"/>
    <w:rsid w:val="002D1A75"/>
    <w:rsid w:val="002D1F75"/>
    <w:rsid w:val="002D376C"/>
    <w:rsid w:val="002D4D3A"/>
    <w:rsid w:val="002D4DEB"/>
    <w:rsid w:val="002D4F2E"/>
    <w:rsid w:val="002D69D8"/>
    <w:rsid w:val="002D734F"/>
    <w:rsid w:val="002E0525"/>
    <w:rsid w:val="002E06A2"/>
    <w:rsid w:val="002E0B05"/>
    <w:rsid w:val="002E1C9A"/>
    <w:rsid w:val="002E437B"/>
    <w:rsid w:val="002E504F"/>
    <w:rsid w:val="002E593C"/>
    <w:rsid w:val="002E59D5"/>
    <w:rsid w:val="002E64FA"/>
    <w:rsid w:val="002E6947"/>
    <w:rsid w:val="002E6BAD"/>
    <w:rsid w:val="002E7680"/>
    <w:rsid w:val="002F1584"/>
    <w:rsid w:val="002F1A6B"/>
    <w:rsid w:val="002F2594"/>
    <w:rsid w:val="002F5B91"/>
    <w:rsid w:val="002F7676"/>
    <w:rsid w:val="00301A12"/>
    <w:rsid w:val="00304A7E"/>
    <w:rsid w:val="00307E8F"/>
    <w:rsid w:val="003106BB"/>
    <w:rsid w:val="00311241"/>
    <w:rsid w:val="00311568"/>
    <w:rsid w:val="003123C0"/>
    <w:rsid w:val="003128AA"/>
    <w:rsid w:val="00313892"/>
    <w:rsid w:val="003138D7"/>
    <w:rsid w:val="00321739"/>
    <w:rsid w:val="00321D0C"/>
    <w:rsid w:val="00321DF7"/>
    <w:rsid w:val="003225BC"/>
    <w:rsid w:val="003228E8"/>
    <w:rsid w:val="00323771"/>
    <w:rsid w:val="00323950"/>
    <w:rsid w:val="00323B71"/>
    <w:rsid w:val="00323BBB"/>
    <w:rsid w:val="00324A26"/>
    <w:rsid w:val="00330D89"/>
    <w:rsid w:val="00333731"/>
    <w:rsid w:val="00334CB2"/>
    <w:rsid w:val="00337979"/>
    <w:rsid w:val="00340E21"/>
    <w:rsid w:val="00341EAF"/>
    <w:rsid w:val="00342087"/>
    <w:rsid w:val="003426DA"/>
    <w:rsid w:val="0034334C"/>
    <w:rsid w:val="00343664"/>
    <w:rsid w:val="00345B21"/>
    <w:rsid w:val="003460D7"/>
    <w:rsid w:val="00346396"/>
    <w:rsid w:val="00347443"/>
    <w:rsid w:val="00347FD2"/>
    <w:rsid w:val="0035081D"/>
    <w:rsid w:val="003508E4"/>
    <w:rsid w:val="00350FB5"/>
    <w:rsid w:val="00351FEA"/>
    <w:rsid w:val="003532EC"/>
    <w:rsid w:val="00353D04"/>
    <w:rsid w:val="00354A84"/>
    <w:rsid w:val="00354DCB"/>
    <w:rsid w:val="003552B3"/>
    <w:rsid w:val="00361330"/>
    <w:rsid w:val="00361C74"/>
    <w:rsid w:val="00361CE6"/>
    <w:rsid w:val="00362206"/>
    <w:rsid w:val="00362231"/>
    <w:rsid w:val="003633A6"/>
    <w:rsid w:val="0036475C"/>
    <w:rsid w:val="003651B3"/>
    <w:rsid w:val="003654E7"/>
    <w:rsid w:val="00366917"/>
    <w:rsid w:val="00366934"/>
    <w:rsid w:val="0036780C"/>
    <w:rsid w:val="00367B23"/>
    <w:rsid w:val="003724FA"/>
    <w:rsid w:val="00372807"/>
    <w:rsid w:val="003728C4"/>
    <w:rsid w:val="00377588"/>
    <w:rsid w:val="00377FDA"/>
    <w:rsid w:val="003800CC"/>
    <w:rsid w:val="00380108"/>
    <w:rsid w:val="00380CED"/>
    <w:rsid w:val="0038226C"/>
    <w:rsid w:val="0038263B"/>
    <w:rsid w:val="00383110"/>
    <w:rsid w:val="00383B41"/>
    <w:rsid w:val="00383FB0"/>
    <w:rsid w:val="0038477D"/>
    <w:rsid w:val="00384E2C"/>
    <w:rsid w:val="00385A8C"/>
    <w:rsid w:val="003868FD"/>
    <w:rsid w:val="00386A58"/>
    <w:rsid w:val="00386D0D"/>
    <w:rsid w:val="00386F04"/>
    <w:rsid w:val="003873D5"/>
    <w:rsid w:val="00387B0D"/>
    <w:rsid w:val="003907BD"/>
    <w:rsid w:val="0039191F"/>
    <w:rsid w:val="00393F96"/>
    <w:rsid w:val="0039675D"/>
    <w:rsid w:val="003A12EA"/>
    <w:rsid w:val="003A2045"/>
    <w:rsid w:val="003A2354"/>
    <w:rsid w:val="003A2491"/>
    <w:rsid w:val="003A2952"/>
    <w:rsid w:val="003A2FBF"/>
    <w:rsid w:val="003A44C5"/>
    <w:rsid w:val="003A4BB4"/>
    <w:rsid w:val="003A55F4"/>
    <w:rsid w:val="003A5EBD"/>
    <w:rsid w:val="003A6742"/>
    <w:rsid w:val="003A706E"/>
    <w:rsid w:val="003A751F"/>
    <w:rsid w:val="003A76B1"/>
    <w:rsid w:val="003A7B8C"/>
    <w:rsid w:val="003A7EBD"/>
    <w:rsid w:val="003B15BB"/>
    <w:rsid w:val="003B1CC9"/>
    <w:rsid w:val="003B2419"/>
    <w:rsid w:val="003B5510"/>
    <w:rsid w:val="003B657C"/>
    <w:rsid w:val="003B749B"/>
    <w:rsid w:val="003B7738"/>
    <w:rsid w:val="003C05B2"/>
    <w:rsid w:val="003C428C"/>
    <w:rsid w:val="003C4ED8"/>
    <w:rsid w:val="003C5475"/>
    <w:rsid w:val="003C5AA8"/>
    <w:rsid w:val="003C5C1C"/>
    <w:rsid w:val="003C684F"/>
    <w:rsid w:val="003C6F3C"/>
    <w:rsid w:val="003C73B8"/>
    <w:rsid w:val="003C74F8"/>
    <w:rsid w:val="003D002F"/>
    <w:rsid w:val="003D03F5"/>
    <w:rsid w:val="003D1253"/>
    <w:rsid w:val="003D133F"/>
    <w:rsid w:val="003D1CD1"/>
    <w:rsid w:val="003D247A"/>
    <w:rsid w:val="003D3587"/>
    <w:rsid w:val="003D3B3C"/>
    <w:rsid w:val="003D3CD7"/>
    <w:rsid w:val="003D3F5A"/>
    <w:rsid w:val="003D412F"/>
    <w:rsid w:val="003D430A"/>
    <w:rsid w:val="003D45EA"/>
    <w:rsid w:val="003D5A47"/>
    <w:rsid w:val="003D6242"/>
    <w:rsid w:val="003D6958"/>
    <w:rsid w:val="003D6F02"/>
    <w:rsid w:val="003D71F2"/>
    <w:rsid w:val="003D77DB"/>
    <w:rsid w:val="003D793C"/>
    <w:rsid w:val="003E1153"/>
    <w:rsid w:val="003E362D"/>
    <w:rsid w:val="003E47D3"/>
    <w:rsid w:val="003E5661"/>
    <w:rsid w:val="003E5A62"/>
    <w:rsid w:val="003E6947"/>
    <w:rsid w:val="003E7128"/>
    <w:rsid w:val="003F05C0"/>
    <w:rsid w:val="003F142F"/>
    <w:rsid w:val="003F1571"/>
    <w:rsid w:val="003F1A44"/>
    <w:rsid w:val="003F1AEA"/>
    <w:rsid w:val="003F235F"/>
    <w:rsid w:val="003F2434"/>
    <w:rsid w:val="003F4137"/>
    <w:rsid w:val="003F5477"/>
    <w:rsid w:val="003F5554"/>
    <w:rsid w:val="004004B5"/>
    <w:rsid w:val="0040069E"/>
    <w:rsid w:val="00400FA7"/>
    <w:rsid w:val="0040105B"/>
    <w:rsid w:val="004024B4"/>
    <w:rsid w:val="0040250C"/>
    <w:rsid w:val="004038AE"/>
    <w:rsid w:val="00403E08"/>
    <w:rsid w:val="00403E6F"/>
    <w:rsid w:val="00403F5F"/>
    <w:rsid w:val="00405339"/>
    <w:rsid w:val="00406509"/>
    <w:rsid w:val="004067A8"/>
    <w:rsid w:val="004068DA"/>
    <w:rsid w:val="00407C08"/>
    <w:rsid w:val="00410EFB"/>
    <w:rsid w:val="00411C69"/>
    <w:rsid w:val="00411EF4"/>
    <w:rsid w:val="00412683"/>
    <w:rsid w:val="004143DB"/>
    <w:rsid w:val="00414742"/>
    <w:rsid w:val="004147F6"/>
    <w:rsid w:val="004148ED"/>
    <w:rsid w:val="00416013"/>
    <w:rsid w:val="00416775"/>
    <w:rsid w:val="004170DE"/>
    <w:rsid w:val="004178A4"/>
    <w:rsid w:val="004203A4"/>
    <w:rsid w:val="0042043E"/>
    <w:rsid w:val="00421167"/>
    <w:rsid w:val="00421A0B"/>
    <w:rsid w:val="00424291"/>
    <w:rsid w:val="00424AED"/>
    <w:rsid w:val="00425C3D"/>
    <w:rsid w:val="00426A14"/>
    <w:rsid w:val="00426A25"/>
    <w:rsid w:val="00427DD9"/>
    <w:rsid w:val="0043090F"/>
    <w:rsid w:val="004309A7"/>
    <w:rsid w:val="00430AE7"/>
    <w:rsid w:val="00430FAB"/>
    <w:rsid w:val="00431828"/>
    <w:rsid w:val="004339A9"/>
    <w:rsid w:val="00435146"/>
    <w:rsid w:val="004353B8"/>
    <w:rsid w:val="004372DE"/>
    <w:rsid w:val="004378CD"/>
    <w:rsid w:val="004409D4"/>
    <w:rsid w:val="00440F1D"/>
    <w:rsid w:val="00441F72"/>
    <w:rsid w:val="0044201D"/>
    <w:rsid w:val="00443F3A"/>
    <w:rsid w:val="00444A79"/>
    <w:rsid w:val="0044716E"/>
    <w:rsid w:val="004471D2"/>
    <w:rsid w:val="0045011A"/>
    <w:rsid w:val="004504FB"/>
    <w:rsid w:val="00452383"/>
    <w:rsid w:val="004541F3"/>
    <w:rsid w:val="00456435"/>
    <w:rsid w:val="00456DD8"/>
    <w:rsid w:val="004571EA"/>
    <w:rsid w:val="00457E85"/>
    <w:rsid w:val="00460C7E"/>
    <w:rsid w:val="004612E9"/>
    <w:rsid w:val="00461309"/>
    <w:rsid w:val="004614A6"/>
    <w:rsid w:val="004647B6"/>
    <w:rsid w:val="004651ED"/>
    <w:rsid w:val="00465BB5"/>
    <w:rsid w:val="00465F5F"/>
    <w:rsid w:val="004663A3"/>
    <w:rsid w:val="004669DD"/>
    <w:rsid w:val="004670DF"/>
    <w:rsid w:val="00467141"/>
    <w:rsid w:val="004704B9"/>
    <w:rsid w:val="00470CC6"/>
    <w:rsid w:val="0047170A"/>
    <w:rsid w:val="00472CAA"/>
    <w:rsid w:val="00473F7A"/>
    <w:rsid w:val="004751ED"/>
    <w:rsid w:val="004755C8"/>
    <w:rsid w:val="00476CA2"/>
    <w:rsid w:val="00477057"/>
    <w:rsid w:val="004770A0"/>
    <w:rsid w:val="0048174A"/>
    <w:rsid w:val="004823DE"/>
    <w:rsid w:val="00483CE3"/>
    <w:rsid w:val="00484C0C"/>
    <w:rsid w:val="004858E6"/>
    <w:rsid w:val="004867B6"/>
    <w:rsid w:val="004869A4"/>
    <w:rsid w:val="004870F6"/>
    <w:rsid w:val="00487397"/>
    <w:rsid w:val="004904A4"/>
    <w:rsid w:val="00491A03"/>
    <w:rsid w:val="00491B18"/>
    <w:rsid w:val="00492186"/>
    <w:rsid w:val="00492D45"/>
    <w:rsid w:val="00494766"/>
    <w:rsid w:val="0049523B"/>
    <w:rsid w:val="00496184"/>
    <w:rsid w:val="004967EB"/>
    <w:rsid w:val="004970F9"/>
    <w:rsid w:val="00497336"/>
    <w:rsid w:val="004A1274"/>
    <w:rsid w:val="004A352D"/>
    <w:rsid w:val="004A4B81"/>
    <w:rsid w:val="004A5BCA"/>
    <w:rsid w:val="004A6B48"/>
    <w:rsid w:val="004A79F5"/>
    <w:rsid w:val="004A7A82"/>
    <w:rsid w:val="004B197C"/>
    <w:rsid w:val="004B1A19"/>
    <w:rsid w:val="004B2755"/>
    <w:rsid w:val="004B2CA7"/>
    <w:rsid w:val="004B37C1"/>
    <w:rsid w:val="004B43FB"/>
    <w:rsid w:val="004B5ED1"/>
    <w:rsid w:val="004B6C2B"/>
    <w:rsid w:val="004C1C67"/>
    <w:rsid w:val="004C31C1"/>
    <w:rsid w:val="004C345A"/>
    <w:rsid w:val="004C369B"/>
    <w:rsid w:val="004C4724"/>
    <w:rsid w:val="004C58BA"/>
    <w:rsid w:val="004C68DD"/>
    <w:rsid w:val="004C6FAF"/>
    <w:rsid w:val="004C7B35"/>
    <w:rsid w:val="004D04B3"/>
    <w:rsid w:val="004D21F8"/>
    <w:rsid w:val="004D2453"/>
    <w:rsid w:val="004D358C"/>
    <w:rsid w:val="004D4E83"/>
    <w:rsid w:val="004D5C04"/>
    <w:rsid w:val="004D63EB"/>
    <w:rsid w:val="004D6D2F"/>
    <w:rsid w:val="004E0EF2"/>
    <w:rsid w:val="004E1C38"/>
    <w:rsid w:val="004E1F53"/>
    <w:rsid w:val="004E20A0"/>
    <w:rsid w:val="004E20F7"/>
    <w:rsid w:val="004E39D8"/>
    <w:rsid w:val="004E5020"/>
    <w:rsid w:val="004E5EEE"/>
    <w:rsid w:val="004E6C92"/>
    <w:rsid w:val="004E72E5"/>
    <w:rsid w:val="004F0531"/>
    <w:rsid w:val="004F14F1"/>
    <w:rsid w:val="004F1697"/>
    <w:rsid w:val="004F1DD5"/>
    <w:rsid w:val="004F21C0"/>
    <w:rsid w:val="004F371F"/>
    <w:rsid w:val="004F3BD3"/>
    <w:rsid w:val="004F3FBE"/>
    <w:rsid w:val="004F4C84"/>
    <w:rsid w:val="004F5F83"/>
    <w:rsid w:val="004F76DB"/>
    <w:rsid w:val="004F7D6B"/>
    <w:rsid w:val="005005A4"/>
    <w:rsid w:val="005009E3"/>
    <w:rsid w:val="00501D15"/>
    <w:rsid w:val="00503034"/>
    <w:rsid w:val="005037A4"/>
    <w:rsid w:val="0050577E"/>
    <w:rsid w:val="00505812"/>
    <w:rsid w:val="005058AC"/>
    <w:rsid w:val="00507DF7"/>
    <w:rsid w:val="005113EC"/>
    <w:rsid w:val="00512114"/>
    <w:rsid w:val="00513AF3"/>
    <w:rsid w:val="005146CE"/>
    <w:rsid w:val="0051477E"/>
    <w:rsid w:val="00515FBA"/>
    <w:rsid w:val="00516E32"/>
    <w:rsid w:val="005170E1"/>
    <w:rsid w:val="00517995"/>
    <w:rsid w:val="005208EE"/>
    <w:rsid w:val="005213B3"/>
    <w:rsid w:val="00521811"/>
    <w:rsid w:val="00523323"/>
    <w:rsid w:val="00525269"/>
    <w:rsid w:val="00526238"/>
    <w:rsid w:val="00526939"/>
    <w:rsid w:val="00527043"/>
    <w:rsid w:val="00527736"/>
    <w:rsid w:val="00527796"/>
    <w:rsid w:val="00527A53"/>
    <w:rsid w:val="00527F81"/>
    <w:rsid w:val="00530770"/>
    <w:rsid w:val="00530B8D"/>
    <w:rsid w:val="00530F8C"/>
    <w:rsid w:val="00531BE5"/>
    <w:rsid w:val="005337E9"/>
    <w:rsid w:val="00534420"/>
    <w:rsid w:val="00534428"/>
    <w:rsid w:val="005348FE"/>
    <w:rsid w:val="00535285"/>
    <w:rsid w:val="00535297"/>
    <w:rsid w:val="005352CE"/>
    <w:rsid w:val="00535942"/>
    <w:rsid w:val="00535CF7"/>
    <w:rsid w:val="00537633"/>
    <w:rsid w:val="00540516"/>
    <w:rsid w:val="00540C21"/>
    <w:rsid w:val="00543C5C"/>
    <w:rsid w:val="005446DE"/>
    <w:rsid w:val="00545206"/>
    <w:rsid w:val="00545766"/>
    <w:rsid w:val="00545FCB"/>
    <w:rsid w:val="005466A7"/>
    <w:rsid w:val="005469FA"/>
    <w:rsid w:val="00546F08"/>
    <w:rsid w:val="0054717E"/>
    <w:rsid w:val="0055114F"/>
    <w:rsid w:val="00551E3F"/>
    <w:rsid w:val="00552E3D"/>
    <w:rsid w:val="00553020"/>
    <w:rsid w:val="00553C64"/>
    <w:rsid w:val="0055465F"/>
    <w:rsid w:val="005547F8"/>
    <w:rsid w:val="00555288"/>
    <w:rsid w:val="005555C6"/>
    <w:rsid w:val="00555D52"/>
    <w:rsid w:val="00556587"/>
    <w:rsid w:val="00556E72"/>
    <w:rsid w:val="00561C68"/>
    <w:rsid w:val="00561C95"/>
    <w:rsid w:val="0056313B"/>
    <w:rsid w:val="0056392D"/>
    <w:rsid w:val="00563D03"/>
    <w:rsid w:val="00564A74"/>
    <w:rsid w:val="005651AB"/>
    <w:rsid w:val="00565BD3"/>
    <w:rsid w:val="00570BF8"/>
    <w:rsid w:val="0057101C"/>
    <w:rsid w:val="00571E23"/>
    <w:rsid w:val="00574822"/>
    <w:rsid w:val="005755BD"/>
    <w:rsid w:val="0057590D"/>
    <w:rsid w:val="005767BF"/>
    <w:rsid w:val="00576DF2"/>
    <w:rsid w:val="00577CA4"/>
    <w:rsid w:val="00577DDD"/>
    <w:rsid w:val="005800FB"/>
    <w:rsid w:val="00580FA5"/>
    <w:rsid w:val="005816CA"/>
    <w:rsid w:val="0058260D"/>
    <w:rsid w:val="00582D90"/>
    <w:rsid w:val="0058561A"/>
    <w:rsid w:val="00586A4E"/>
    <w:rsid w:val="0058763A"/>
    <w:rsid w:val="00587F4A"/>
    <w:rsid w:val="00591CEF"/>
    <w:rsid w:val="00591DA4"/>
    <w:rsid w:val="005924E3"/>
    <w:rsid w:val="00592690"/>
    <w:rsid w:val="00592BBA"/>
    <w:rsid w:val="00592EED"/>
    <w:rsid w:val="00593B3D"/>
    <w:rsid w:val="00595755"/>
    <w:rsid w:val="005960DF"/>
    <w:rsid w:val="00596629"/>
    <w:rsid w:val="00596A88"/>
    <w:rsid w:val="00596F38"/>
    <w:rsid w:val="0059783F"/>
    <w:rsid w:val="005A024C"/>
    <w:rsid w:val="005A15D8"/>
    <w:rsid w:val="005A1A3C"/>
    <w:rsid w:val="005A402A"/>
    <w:rsid w:val="005A57DC"/>
    <w:rsid w:val="005A6200"/>
    <w:rsid w:val="005A6633"/>
    <w:rsid w:val="005A6A17"/>
    <w:rsid w:val="005A725A"/>
    <w:rsid w:val="005A75F1"/>
    <w:rsid w:val="005A7B57"/>
    <w:rsid w:val="005B11F1"/>
    <w:rsid w:val="005B15FB"/>
    <w:rsid w:val="005B1E56"/>
    <w:rsid w:val="005B2035"/>
    <w:rsid w:val="005B2D41"/>
    <w:rsid w:val="005B2E82"/>
    <w:rsid w:val="005B399A"/>
    <w:rsid w:val="005B3B6E"/>
    <w:rsid w:val="005B5766"/>
    <w:rsid w:val="005B614A"/>
    <w:rsid w:val="005B655C"/>
    <w:rsid w:val="005B673A"/>
    <w:rsid w:val="005B777B"/>
    <w:rsid w:val="005B77CE"/>
    <w:rsid w:val="005C0F11"/>
    <w:rsid w:val="005C1AC1"/>
    <w:rsid w:val="005C2F5C"/>
    <w:rsid w:val="005C30C2"/>
    <w:rsid w:val="005C412B"/>
    <w:rsid w:val="005C4583"/>
    <w:rsid w:val="005C4AEB"/>
    <w:rsid w:val="005C4C16"/>
    <w:rsid w:val="005C5495"/>
    <w:rsid w:val="005C6220"/>
    <w:rsid w:val="005C65B8"/>
    <w:rsid w:val="005C7A8F"/>
    <w:rsid w:val="005D00D8"/>
    <w:rsid w:val="005D0D2F"/>
    <w:rsid w:val="005D0E93"/>
    <w:rsid w:val="005D0FAF"/>
    <w:rsid w:val="005D157B"/>
    <w:rsid w:val="005D1BD4"/>
    <w:rsid w:val="005D2118"/>
    <w:rsid w:val="005D234F"/>
    <w:rsid w:val="005D2A13"/>
    <w:rsid w:val="005D2C33"/>
    <w:rsid w:val="005D446F"/>
    <w:rsid w:val="005D5255"/>
    <w:rsid w:val="005D5B1A"/>
    <w:rsid w:val="005D6B80"/>
    <w:rsid w:val="005E00C8"/>
    <w:rsid w:val="005E02B1"/>
    <w:rsid w:val="005E0EF1"/>
    <w:rsid w:val="005E153C"/>
    <w:rsid w:val="005E2367"/>
    <w:rsid w:val="005E4F85"/>
    <w:rsid w:val="005E5075"/>
    <w:rsid w:val="005E51AD"/>
    <w:rsid w:val="005E5C25"/>
    <w:rsid w:val="005E5D0B"/>
    <w:rsid w:val="005E60E5"/>
    <w:rsid w:val="005E63F4"/>
    <w:rsid w:val="005E65FC"/>
    <w:rsid w:val="005E6EBA"/>
    <w:rsid w:val="005F00D4"/>
    <w:rsid w:val="005F0B4D"/>
    <w:rsid w:val="005F10EB"/>
    <w:rsid w:val="005F20AB"/>
    <w:rsid w:val="005F2A5A"/>
    <w:rsid w:val="005F2B57"/>
    <w:rsid w:val="005F4940"/>
    <w:rsid w:val="005F49CE"/>
    <w:rsid w:val="005F4B5C"/>
    <w:rsid w:val="005F55DC"/>
    <w:rsid w:val="005F634B"/>
    <w:rsid w:val="005F7D5F"/>
    <w:rsid w:val="00600AF6"/>
    <w:rsid w:val="00600BAB"/>
    <w:rsid w:val="00600BE7"/>
    <w:rsid w:val="00602997"/>
    <w:rsid w:val="00603C45"/>
    <w:rsid w:val="00605AF8"/>
    <w:rsid w:val="00606B50"/>
    <w:rsid w:val="006102BE"/>
    <w:rsid w:val="0061241F"/>
    <w:rsid w:val="006148FD"/>
    <w:rsid w:val="00616265"/>
    <w:rsid w:val="00616D14"/>
    <w:rsid w:val="00617049"/>
    <w:rsid w:val="006174E9"/>
    <w:rsid w:val="006201A8"/>
    <w:rsid w:val="0062028B"/>
    <w:rsid w:val="00620BA8"/>
    <w:rsid w:val="00620FE5"/>
    <w:rsid w:val="006213B4"/>
    <w:rsid w:val="0062160D"/>
    <w:rsid w:val="00621970"/>
    <w:rsid w:val="00621C0C"/>
    <w:rsid w:val="0062266C"/>
    <w:rsid w:val="00622E31"/>
    <w:rsid w:val="006241EB"/>
    <w:rsid w:val="00624296"/>
    <w:rsid w:val="0062467A"/>
    <w:rsid w:val="00624A7C"/>
    <w:rsid w:val="006265AA"/>
    <w:rsid w:val="00626B7B"/>
    <w:rsid w:val="00626CA7"/>
    <w:rsid w:val="00627AC7"/>
    <w:rsid w:val="00627BA2"/>
    <w:rsid w:val="0063120C"/>
    <w:rsid w:val="00631AE3"/>
    <w:rsid w:val="00631BC0"/>
    <w:rsid w:val="006335D3"/>
    <w:rsid w:val="00633AF1"/>
    <w:rsid w:val="00634F4E"/>
    <w:rsid w:val="006378F4"/>
    <w:rsid w:val="00640C00"/>
    <w:rsid w:val="00640C90"/>
    <w:rsid w:val="00641E76"/>
    <w:rsid w:val="006428DF"/>
    <w:rsid w:val="006429F1"/>
    <w:rsid w:val="00642C84"/>
    <w:rsid w:val="00642C86"/>
    <w:rsid w:val="00643352"/>
    <w:rsid w:val="00643E81"/>
    <w:rsid w:val="00644F47"/>
    <w:rsid w:val="00646054"/>
    <w:rsid w:val="00646399"/>
    <w:rsid w:val="006465D4"/>
    <w:rsid w:val="00647B06"/>
    <w:rsid w:val="00650541"/>
    <w:rsid w:val="00650552"/>
    <w:rsid w:val="006515B8"/>
    <w:rsid w:val="00652A59"/>
    <w:rsid w:val="00653790"/>
    <w:rsid w:val="00655287"/>
    <w:rsid w:val="0065534C"/>
    <w:rsid w:val="006568AF"/>
    <w:rsid w:val="00656A13"/>
    <w:rsid w:val="006573CF"/>
    <w:rsid w:val="00657A1D"/>
    <w:rsid w:val="00657C1C"/>
    <w:rsid w:val="00660937"/>
    <w:rsid w:val="00660BC7"/>
    <w:rsid w:val="006615D1"/>
    <w:rsid w:val="00663896"/>
    <w:rsid w:val="00663997"/>
    <w:rsid w:val="00663DB1"/>
    <w:rsid w:val="0066407D"/>
    <w:rsid w:val="00664365"/>
    <w:rsid w:val="006655F3"/>
    <w:rsid w:val="00665689"/>
    <w:rsid w:val="006659CB"/>
    <w:rsid w:val="00666C08"/>
    <w:rsid w:val="006679BA"/>
    <w:rsid w:val="0067188E"/>
    <w:rsid w:val="00673FF0"/>
    <w:rsid w:val="00674F07"/>
    <w:rsid w:val="006770AF"/>
    <w:rsid w:val="006775DC"/>
    <w:rsid w:val="00680114"/>
    <w:rsid w:val="006803FC"/>
    <w:rsid w:val="00681110"/>
    <w:rsid w:val="00681E07"/>
    <w:rsid w:val="00683739"/>
    <w:rsid w:val="00683A37"/>
    <w:rsid w:val="00683EE9"/>
    <w:rsid w:val="0068444F"/>
    <w:rsid w:val="00684C47"/>
    <w:rsid w:val="00685361"/>
    <w:rsid w:val="00685B6C"/>
    <w:rsid w:val="0069000C"/>
    <w:rsid w:val="006913F5"/>
    <w:rsid w:val="00691479"/>
    <w:rsid w:val="00691590"/>
    <w:rsid w:val="006918EB"/>
    <w:rsid w:val="00693846"/>
    <w:rsid w:val="006954E2"/>
    <w:rsid w:val="00695CED"/>
    <w:rsid w:val="00697519"/>
    <w:rsid w:val="006976DE"/>
    <w:rsid w:val="00697938"/>
    <w:rsid w:val="006979DF"/>
    <w:rsid w:val="00697FB1"/>
    <w:rsid w:val="006A09BC"/>
    <w:rsid w:val="006A1350"/>
    <w:rsid w:val="006A41EB"/>
    <w:rsid w:val="006A4779"/>
    <w:rsid w:val="006A4979"/>
    <w:rsid w:val="006A4C59"/>
    <w:rsid w:val="006A4ECF"/>
    <w:rsid w:val="006A5174"/>
    <w:rsid w:val="006A5D55"/>
    <w:rsid w:val="006A6664"/>
    <w:rsid w:val="006A7996"/>
    <w:rsid w:val="006A7BCE"/>
    <w:rsid w:val="006B03F3"/>
    <w:rsid w:val="006B27EE"/>
    <w:rsid w:val="006B4BD2"/>
    <w:rsid w:val="006B4EBA"/>
    <w:rsid w:val="006B6C18"/>
    <w:rsid w:val="006B7A7F"/>
    <w:rsid w:val="006C37D2"/>
    <w:rsid w:val="006C4B91"/>
    <w:rsid w:val="006C4E87"/>
    <w:rsid w:val="006C5F31"/>
    <w:rsid w:val="006C6AB0"/>
    <w:rsid w:val="006C7360"/>
    <w:rsid w:val="006C7ECC"/>
    <w:rsid w:val="006D01E8"/>
    <w:rsid w:val="006D0845"/>
    <w:rsid w:val="006D19EB"/>
    <w:rsid w:val="006D2278"/>
    <w:rsid w:val="006D427A"/>
    <w:rsid w:val="006D44C2"/>
    <w:rsid w:val="006D488A"/>
    <w:rsid w:val="006D4F8B"/>
    <w:rsid w:val="006D5A74"/>
    <w:rsid w:val="006D6B7A"/>
    <w:rsid w:val="006D6FAB"/>
    <w:rsid w:val="006D7506"/>
    <w:rsid w:val="006E08FF"/>
    <w:rsid w:val="006E2036"/>
    <w:rsid w:val="006E28BB"/>
    <w:rsid w:val="006E3C66"/>
    <w:rsid w:val="006E3FDF"/>
    <w:rsid w:val="006E4254"/>
    <w:rsid w:val="006E4A75"/>
    <w:rsid w:val="006E6359"/>
    <w:rsid w:val="006E6BC2"/>
    <w:rsid w:val="006E6CE5"/>
    <w:rsid w:val="006E7153"/>
    <w:rsid w:val="006E7289"/>
    <w:rsid w:val="006E7727"/>
    <w:rsid w:val="006E774F"/>
    <w:rsid w:val="006F0DF9"/>
    <w:rsid w:val="006F0F5C"/>
    <w:rsid w:val="006F1296"/>
    <w:rsid w:val="006F1AF7"/>
    <w:rsid w:val="006F203B"/>
    <w:rsid w:val="006F2150"/>
    <w:rsid w:val="006F3E13"/>
    <w:rsid w:val="006F5C14"/>
    <w:rsid w:val="007005D8"/>
    <w:rsid w:val="00700FB8"/>
    <w:rsid w:val="00701328"/>
    <w:rsid w:val="007018CD"/>
    <w:rsid w:val="00702D85"/>
    <w:rsid w:val="00702E92"/>
    <w:rsid w:val="0070303E"/>
    <w:rsid w:val="00703AAF"/>
    <w:rsid w:val="0070442F"/>
    <w:rsid w:val="00704FB1"/>
    <w:rsid w:val="00705249"/>
    <w:rsid w:val="007054AC"/>
    <w:rsid w:val="00705CFF"/>
    <w:rsid w:val="00706E00"/>
    <w:rsid w:val="007074C4"/>
    <w:rsid w:val="00707606"/>
    <w:rsid w:val="0071021A"/>
    <w:rsid w:val="00713D72"/>
    <w:rsid w:val="00713D88"/>
    <w:rsid w:val="0071490F"/>
    <w:rsid w:val="00714B1C"/>
    <w:rsid w:val="0071535D"/>
    <w:rsid w:val="0071567E"/>
    <w:rsid w:val="00715A12"/>
    <w:rsid w:val="007176B6"/>
    <w:rsid w:val="00717963"/>
    <w:rsid w:val="00720008"/>
    <w:rsid w:val="00720BFE"/>
    <w:rsid w:val="0072147A"/>
    <w:rsid w:val="00721761"/>
    <w:rsid w:val="00721D61"/>
    <w:rsid w:val="007222B0"/>
    <w:rsid w:val="0072253F"/>
    <w:rsid w:val="0072310B"/>
    <w:rsid w:val="0072334E"/>
    <w:rsid w:val="00723431"/>
    <w:rsid w:val="00723C2D"/>
    <w:rsid w:val="00724474"/>
    <w:rsid w:val="00724BCC"/>
    <w:rsid w:val="007252AB"/>
    <w:rsid w:val="00726A55"/>
    <w:rsid w:val="00726B04"/>
    <w:rsid w:val="0072755F"/>
    <w:rsid w:val="00727A51"/>
    <w:rsid w:val="00730043"/>
    <w:rsid w:val="007321A6"/>
    <w:rsid w:val="0073238E"/>
    <w:rsid w:val="0073454B"/>
    <w:rsid w:val="00734EDC"/>
    <w:rsid w:val="0073513F"/>
    <w:rsid w:val="00735688"/>
    <w:rsid w:val="00735AE1"/>
    <w:rsid w:val="00740190"/>
    <w:rsid w:val="0074088E"/>
    <w:rsid w:val="00740B09"/>
    <w:rsid w:val="00741620"/>
    <w:rsid w:val="00741E43"/>
    <w:rsid w:val="00743142"/>
    <w:rsid w:val="00744302"/>
    <w:rsid w:val="00744B99"/>
    <w:rsid w:val="007453CC"/>
    <w:rsid w:val="00745C02"/>
    <w:rsid w:val="00746073"/>
    <w:rsid w:val="007473F9"/>
    <w:rsid w:val="007479EF"/>
    <w:rsid w:val="00747FB5"/>
    <w:rsid w:val="0075023E"/>
    <w:rsid w:val="00750282"/>
    <w:rsid w:val="00751A6E"/>
    <w:rsid w:val="00751AD7"/>
    <w:rsid w:val="00752531"/>
    <w:rsid w:val="00753265"/>
    <w:rsid w:val="00753C65"/>
    <w:rsid w:val="00754AB1"/>
    <w:rsid w:val="007555B7"/>
    <w:rsid w:val="007568AF"/>
    <w:rsid w:val="007602FC"/>
    <w:rsid w:val="007605E1"/>
    <w:rsid w:val="0076288B"/>
    <w:rsid w:val="00764670"/>
    <w:rsid w:val="007665F1"/>
    <w:rsid w:val="00766C42"/>
    <w:rsid w:val="0076730C"/>
    <w:rsid w:val="00770D46"/>
    <w:rsid w:val="00772B73"/>
    <w:rsid w:val="00772EEB"/>
    <w:rsid w:val="00773C6B"/>
    <w:rsid w:val="00774901"/>
    <w:rsid w:val="00776CB4"/>
    <w:rsid w:val="00780A67"/>
    <w:rsid w:val="00780F48"/>
    <w:rsid w:val="00781250"/>
    <w:rsid w:val="00781E0F"/>
    <w:rsid w:val="00782985"/>
    <w:rsid w:val="007829A8"/>
    <w:rsid w:val="00783997"/>
    <w:rsid w:val="0078425E"/>
    <w:rsid w:val="0078436B"/>
    <w:rsid w:val="007846A3"/>
    <w:rsid w:val="00785B4B"/>
    <w:rsid w:val="00786118"/>
    <w:rsid w:val="007879B5"/>
    <w:rsid w:val="00790821"/>
    <w:rsid w:val="007921CF"/>
    <w:rsid w:val="0079232A"/>
    <w:rsid w:val="00792901"/>
    <w:rsid w:val="00792FE2"/>
    <w:rsid w:val="0079396D"/>
    <w:rsid w:val="0079423F"/>
    <w:rsid w:val="007954B3"/>
    <w:rsid w:val="0079581B"/>
    <w:rsid w:val="00795853"/>
    <w:rsid w:val="00795F81"/>
    <w:rsid w:val="00797053"/>
    <w:rsid w:val="00797B1D"/>
    <w:rsid w:val="007A015B"/>
    <w:rsid w:val="007A25EF"/>
    <w:rsid w:val="007A2A09"/>
    <w:rsid w:val="007A2DA5"/>
    <w:rsid w:val="007A3506"/>
    <w:rsid w:val="007A3FA8"/>
    <w:rsid w:val="007A42AA"/>
    <w:rsid w:val="007A44E2"/>
    <w:rsid w:val="007A49E2"/>
    <w:rsid w:val="007A60D3"/>
    <w:rsid w:val="007A641F"/>
    <w:rsid w:val="007A6E0A"/>
    <w:rsid w:val="007A7843"/>
    <w:rsid w:val="007A7CC0"/>
    <w:rsid w:val="007B183F"/>
    <w:rsid w:val="007B2D49"/>
    <w:rsid w:val="007B31D4"/>
    <w:rsid w:val="007B354A"/>
    <w:rsid w:val="007B4A10"/>
    <w:rsid w:val="007B4D1A"/>
    <w:rsid w:val="007B6189"/>
    <w:rsid w:val="007B6783"/>
    <w:rsid w:val="007B6DF1"/>
    <w:rsid w:val="007B7AE5"/>
    <w:rsid w:val="007C0094"/>
    <w:rsid w:val="007C08E3"/>
    <w:rsid w:val="007C0D09"/>
    <w:rsid w:val="007C27AC"/>
    <w:rsid w:val="007C3378"/>
    <w:rsid w:val="007C4A3D"/>
    <w:rsid w:val="007C4DEA"/>
    <w:rsid w:val="007C5248"/>
    <w:rsid w:val="007C69C5"/>
    <w:rsid w:val="007C6F4A"/>
    <w:rsid w:val="007C7E7D"/>
    <w:rsid w:val="007D0294"/>
    <w:rsid w:val="007D0EE4"/>
    <w:rsid w:val="007D1E78"/>
    <w:rsid w:val="007D3D08"/>
    <w:rsid w:val="007D3FC9"/>
    <w:rsid w:val="007D4610"/>
    <w:rsid w:val="007D4A24"/>
    <w:rsid w:val="007E04CA"/>
    <w:rsid w:val="007E13C6"/>
    <w:rsid w:val="007E2F24"/>
    <w:rsid w:val="007E3589"/>
    <w:rsid w:val="007E38BF"/>
    <w:rsid w:val="007E3B6F"/>
    <w:rsid w:val="007E40AB"/>
    <w:rsid w:val="007E6D48"/>
    <w:rsid w:val="007E78C9"/>
    <w:rsid w:val="007F0198"/>
    <w:rsid w:val="007F0973"/>
    <w:rsid w:val="007F0CA8"/>
    <w:rsid w:val="007F0CF3"/>
    <w:rsid w:val="007F2755"/>
    <w:rsid w:val="007F27B1"/>
    <w:rsid w:val="007F30EC"/>
    <w:rsid w:val="007F4643"/>
    <w:rsid w:val="007F5210"/>
    <w:rsid w:val="007F53FB"/>
    <w:rsid w:val="007F54F4"/>
    <w:rsid w:val="007F5C7F"/>
    <w:rsid w:val="007F6255"/>
    <w:rsid w:val="007F6D3C"/>
    <w:rsid w:val="007F70E2"/>
    <w:rsid w:val="007F7868"/>
    <w:rsid w:val="007F7E7D"/>
    <w:rsid w:val="0080032A"/>
    <w:rsid w:val="008022D7"/>
    <w:rsid w:val="00804973"/>
    <w:rsid w:val="00804F82"/>
    <w:rsid w:val="008070AB"/>
    <w:rsid w:val="00807636"/>
    <w:rsid w:val="008112B5"/>
    <w:rsid w:val="008122F7"/>
    <w:rsid w:val="00812570"/>
    <w:rsid w:val="00812F64"/>
    <w:rsid w:val="008131E6"/>
    <w:rsid w:val="008136D9"/>
    <w:rsid w:val="00813D4C"/>
    <w:rsid w:val="00814565"/>
    <w:rsid w:val="008149BD"/>
    <w:rsid w:val="00814D87"/>
    <w:rsid w:val="00814EBF"/>
    <w:rsid w:val="008153E2"/>
    <w:rsid w:val="008164E3"/>
    <w:rsid w:val="008169B4"/>
    <w:rsid w:val="0081785C"/>
    <w:rsid w:val="00817A00"/>
    <w:rsid w:val="00817BED"/>
    <w:rsid w:val="00817CEF"/>
    <w:rsid w:val="008214A4"/>
    <w:rsid w:val="0082150B"/>
    <w:rsid w:val="00821BDB"/>
    <w:rsid w:val="0082239B"/>
    <w:rsid w:val="00823863"/>
    <w:rsid w:val="008264AA"/>
    <w:rsid w:val="0082667D"/>
    <w:rsid w:val="00826A88"/>
    <w:rsid w:val="00826DA9"/>
    <w:rsid w:val="00827C36"/>
    <w:rsid w:val="008318E5"/>
    <w:rsid w:val="00831FC7"/>
    <w:rsid w:val="0083216C"/>
    <w:rsid w:val="008327B6"/>
    <w:rsid w:val="008348A1"/>
    <w:rsid w:val="00834A08"/>
    <w:rsid w:val="00835A72"/>
    <w:rsid w:val="00835DFD"/>
    <w:rsid w:val="0083674C"/>
    <w:rsid w:val="00836BA8"/>
    <w:rsid w:val="008370F1"/>
    <w:rsid w:val="0084022A"/>
    <w:rsid w:val="00840ED0"/>
    <w:rsid w:val="0084100D"/>
    <w:rsid w:val="008413BF"/>
    <w:rsid w:val="008416D7"/>
    <w:rsid w:val="00841A18"/>
    <w:rsid w:val="00841F07"/>
    <w:rsid w:val="0084313D"/>
    <w:rsid w:val="0084364E"/>
    <w:rsid w:val="00843C5F"/>
    <w:rsid w:val="0084425E"/>
    <w:rsid w:val="008442A3"/>
    <w:rsid w:val="008447CC"/>
    <w:rsid w:val="00844885"/>
    <w:rsid w:val="00845BC7"/>
    <w:rsid w:val="008462F1"/>
    <w:rsid w:val="008465E0"/>
    <w:rsid w:val="00846A88"/>
    <w:rsid w:val="00846FBD"/>
    <w:rsid w:val="008472E1"/>
    <w:rsid w:val="0084733C"/>
    <w:rsid w:val="00847D32"/>
    <w:rsid w:val="00847F7D"/>
    <w:rsid w:val="00851305"/>
    <w:rsid w:val="00851CF2"/>
    <w:rsid w:val="00852555"/>
    <w:rsid w:val="0085265D"/>
    <w:rsid w:val="0085270F"/>
    <w:rsid w:val="00853CF3"/>
    <w:rsid w:val="0085518B"/>
    <w:rsid w:val="00855779"/>
    <w:rsid w:val="00855F98"/>
    <w:rsid w:val="0085607E"/>
    <w:rsid w:val="00856A6B"/>
    <w:rsid w:val="00856D9D"/>
    <w:rsid w:val="008574A6"/>
    <w:rsid w:val="00860C44"/>
    <w:rsid w:val="00861087"/>
    <w:rsid w:val="008612DE"/>
    <w:rsid w:val="00862993"/>
    <w:rsid w:val="00863178"/>
    <w:rsid w:val="00864E6B"/>
    <w:rsid w:val="00864F0D"/>
    <w:rsid w:val="00867AC2"/>
    <w:rsid w:val="0087078B"/>
    <w:rsid w:val="0087078C"/>
    <w:rsid w:val="00872C44"/>
    <w:rsid w:val="00872E02"/>
    <w:rsid w:val="00872FA6"/>
    <w:rsid w:val="0087368F"/>
    <w:rsid w:val="00873CAA"/>
    <w:rsid w:val="00873F06"/>
    <w:rsid w:val="00874370"/>
    <w:rsid w:val="00875567"/>
    <w:rsid w:val="00875E9A"/>
    <w:rsid w:val="008768CE"/>
    <w:rsid w:val="0087696E"/>
    <w:rsid w:val="00876B33"/>
    <w:rsid w:val="0087766E"/>
    <w:rsid w:val="00877783"/>
    <w:rsid w:val="00877B35"/>
    <w:rsid w:val="008804B9"/>
    <w:rsid w:val="0088050C"/>
    <w:rsid w:val="00880FF5"/>
    <w:rsid w:val="00881BB2"/>
    <w:rsid w:val="008823E0"/>
    <w:rsid w:val="008843E1"/>
    <w:rsid w:val="008851C3"/>
    <w:rsid w:val="00886213"/>
    <w:rsid w:val="008872F4"/>
    <w:rsid w:val="0088772B"/>
    <w:rsid w:val="00887DFE"/>
    <w:rsid w:val="00890482"/>
    <w:rsid w:val="00890D09"/>
    <w:rsid w:val="0089126E"/>
    <w:rsid w:val="008912B3"/>
    <w:rsid w:val="0089154A"/>
    <w:rsid w:val="0089210A"/>
    <w:rsid w:val="00893022"/>
    <w:rsid w:val="008934D2"/>
    <w:rsid w:val="00893FAF"/>
    <w:rsid w:val="0089403D"/>
    <w:rsid w:val="00895A9F"/>
    <w:rsid w:val="00895D4A"/>
    <w:rsid w:val="008A0407"/>
    <w:rsid w:val="008A0954"/>
    <w:rsid w:val="008A1186"/>
    <w:rsid w:val="008A1701"/>
    <w:rsid w:val="008A26EB"/>
    <w:rsid w:val="008A32CB"/>
    <w:rsid w:val="008A3FB7"/>
    <w:rsid w:val="008A4C63"/>
    <w:rsid w:val="008A5232"/>
    <w:rsid w:val="008A6B9A"/>
    <w:rsid w:val="008A7BC7"/>
    <w:rsid w:val="008B0AE8"/>
    <w:rsid w:val="008B0C5B"/>
    <w:rsid w:val="008B0DB6"/>
    <w:rsid w:val="008B13D4"/>
    <w:rsid w:val="008B23E3"/>
    <w:rsid w:val="008B5594"/>
    <w:rsid w:val="008B5DEE"/>
    <w:rsid w:val="008B6121"/>
    <w:rsid w:val="008B62BB"/>
    <w:rsid w:val="008B6AB4"/>
    <w:rsid w:val="008C0BA0"/>
    <w:rsid w:val="008C1591"/>
    <w:rsid w:val="008C1AE9"/>
    <w:rsid w:val="008C1AF5"/>
    <w:rsid w:val="008C1F6D"/>
    <w:rsid w:val="008C237E"/>
    <w:rsid w:val="008C3CE2"/>
    <w:rsid w:val="008C473B"/>
    <w:rsid w:val="008C5287"/>
    <w:rsid w:val="008C581B"/>
    <w:rsid w:val="008C6099"/>
    <w:rsid w:val="008C75B4"/>
    <w:rsid w:val="008D02DB"/>
    <w:rsid w:val="008D0BED"/>
    <w:rsid w:val="008D102D"/>
    <w:rsid w:val="008D18AE"/>
    <w:rsid w:val="008D274D"/>
    <w:rsid w:val="008D2A7A"/>
    <w:rsid w:val="008D3CEA"/>
    <w:rsid w:val="008D52FB"/>
    <w:rsid w:val="008D5E7D"/>
    <w:rsid w:val="008D5ECC"/>
    <w:rsid w:val="008D5ED2"/>
    <w:rsid w:val="008D6021"/>
    <w:rsid w:val="008D6B49"/>
    <w:rsid w:val="008E0DF0"/>
    <w:rsid w:val="008E0FA0"/>
    <w:rsid w:val="008E0FE5"/>
    <w:rsid w:val="008E3DCA"/>
    <w:rsid w:val="008E55E5"/>
    <w:rsid w:val="008F0676"/>
    <w:rsid w:val="008F1243"/>
    <w:rsid w:val="008F3F90"/>
    <w:rsid w:val="008F4892"/>
    <w:rsid w:val="008F5A2E"/>
    <w:rsid w:val="008F5C2F"/>
    <w:rsid w:val="008F6B4C"/>
    <w:rsid w:val="008F74CA"/>
    <w:rsid w:val="008F7505"/>
    <w:rsid w:val="00900E65"/>
    <w:rsid w:val="00901555"/>
    <w:rsid w:val="00903AE7"/>
    <w:rsid w:val="00903F70"/>
    <w:rsid w:val="009040C6"/>
    <w:rsid w:val="00905085"/>
    <w:rsid w:val="0090590F"/>
    <w:rsid w:val="00905B1C"/>
    <w:rsid w:val="00905D1D"/>
    <w:rsid w:val="009064CC"/>
    <w:rsid w:val="009074F3"/>
    <w:rsid w:val="00907B15"/>
    <w:rsid w:val="009121C7"/>
    <w:rsid w:val="00912568"/>
    <w:rsid w:val="009128C0"/>
    <w:rsid w:val="00913493"/>
    <w:rsid w:val="0091395A"/>
    <w:rsid w:val="00914887"/>
    <w:rsid w:val="0091720F"/>
    <w:rsid w:val="0091771C"/>
    <w:rsid w:val="00917A55"/>
    <w:rsid w:val="00917EF0"/>
    <w:rsid w:val="00917FC0"/>
    <w:rsid w:val="00920FB8"/>
    <w:rsid w:val="009211F0"/>
    <w:rsid w:val="00921495"/>
    <w:rsid w:val="0092192F"/>
    <w:rsid w:val="00921C10"/>
    <w:rsid w:val="009226C2"/>
    <w:rsid w:val="009228F4"/>
    <w:rsid w:val="00923155"/>
    <w:rsid w:val="00924457"/>
    <w:rsid w:val="00924DBF"/>
    <w:rsid w:val="009258E7"/>
    <w:rsid w:val="00926956"/>
    <w:rsid w:val="00927EA5"/>
    <w:rsid w:val="009310EB"/>
    <w:rsid w:val="009336B0"/>
    <w:rsid w:val="009336F0"/>
    <w:rsid w:val="009336F3"/>
    <w:rsid w:val="00933B26"/>
    <w:rsid w:val="00934622"/>
    <w:rsid w:val="00934CA3"/>
    <w:rsid w:val="009355B5"/>
    <w:rsid w:val="00935993"/>
    <w:rsid w:val="009407CF"/>
    <w:rsid w:val="00941864"/>
    <w:rsid w:val="00942BAA"/>
    <w:rsid w:val="00943556"/>
    <w:rsid w:val="00944BAA"/>
    <w:rsid w:val="00944BB4"/>
    <w:rsid w:val="0094545A"/>
    <w:rsid w:val="00946EC9"/>
    <w:rsid w:val="0095054C"/>
    <w:rsid w:val="009508D5"/>
    <w:rsid w:val="00953E83"/>
    <w:rsid w:val="0095528D"/>
    <w:rsid w:val="00957193"/>
    <w:rsid w:val="009607E3"/>
    <w:rsid w:val="0096178A"/>
    <w:rsid w:val="00962567"/>
    <w:rsid w:val="00963672"/>
    <w:rsid w:val="009648BE"/>
    <w:rsid w:val="00964ADC"/>
    <w:rsid w:val="0096536F"/>
    <w:rsid w:val="00965850"/>
    <w:rsid w:val="0096647A"/>
    <w:rsid w:val="00966F85"/>
    <w:rsid w:val="00967426"/>
    <w:rsid w:val="00967E52"/>
    <w:rsid w:val="0097090E"/>
    <w:rsid w:val="00970AB7"/>
    <w:rsid w:val="00971D38"/>
    <w:rsid w:val="00973540"/>
    <w:rsid w:val="00975E4C"/>
    <w:rsid w:val="00975E4F"/>
    <w:rsid w:val="009763F1"/>
    <w:rsid w:val="009764EC"/>
    <w:rsid w:val="00976DE3"/>
    <w:rsid w:val="00980054"/>
    <w:rsid w:val="009801C0"/>
    <w:rsid w:val="009823C7"/>
    <w:rsid w:val="00982ADE"/>
    <w:rsid w:val="00982BBC"/>
    <w:rsid w:val="00983254"/>
    <w:rsid w:val="009848A9"/>
    <w:rsid w:val="00985BA9"/>
    <w:rsid w:val="009867CB"/>
    <w:rsid w:val="0098768B"/>
    <w:rsid w:val="00991778"/>
    <w:rsid w:val="00993796"/>
    <w:rsid w:val="00994328"/>
    <w:rsid w:val="00994E71"/>
    <w:rsid w:val="00996494"/>
    <w:rsid w:val="00997FAE"/>
    <w:rsid w:val="009A1A0A"/>
    <w:rsid w:val="009A1CFC"/>
    <w:rsid w:val="009A3D4F"/>
    <w:rsid w:val="009A4827"/>
    <w:rsid w:val="009A50C7"/>
    <w:rsid w:val="009A6761"/>
    <w:rsid w:val="009B00B0"/>
    <w:rsid w:val="009B0A14"/>
    <w:rsid w:val="009B0A71"/>
    <w:rsid w:val="009B2528"/>
    <w:rsid w:val="009B3180"/>
    <w:rsid w:val="009B37FA"/>
    <w:rsid w:val="009B3D54"/>
    <w:rsid w:val="009B4709"/>
    <w:rsid w:val="009B5B00"/>
    <w:rsid w:val="009B6670"/>
    <w:rsid w:val="009B6D36"/>
    <w:rsid w:val="009B73B7"/>
    <w:rsid w:val="009B776E"/>
    <w:rsid w:val="009B776F"/>
    <w:rsid w:val="009B7C92"/>
    <w:rsid w:val="009C1053"/>
    <w:rsid w:val="009C2515"/>
    <w:rsid w:val="009C2B14"/>
    <w:rsid w:val="009C310E"/>
    <w:rsid w:val="009C354D"/>
    <w:rsid w:val="009C4E3E"/>
    <w:rsid w:val="009C5621"/>
    <w:rsid w:val="009C5A69"/>
    <w:rsid w:val="009C6800"/>
    <w:rsid w:val="009C6EBF"/>
    <w:rsid w:val="009C748F"/>
    <w:rsid w:val="009D08D0"/>
    <w:rsid w:val="009D0FDD"/>
    <w:rsid w:val="009D243B"/>
    <w:rsid w:val="009D5A70"/>
    <w:rsid w:val="009D5D67"/>
    <w:rsid w:val="009D644A"/>
    <w:rsid w:val="009D6728"/>
    <w:rsid w:val="009D6A0A"/>
    <w:rsid w:val="009D7F5B"/>
    <w:rsid w:val="009E00B3"/>
    <w:rsid w:val="009E02AD"/>
    <w:rsid w:val="009E1C1D"/>
    <w:rsid w:val="009E2DFA"/>
    <w:rsid w:val="009E3DB2"/>
    <w:rsid w:val="009E3E40"/>
    <w:rsid w:val="009E4DD1"/>
    <w:rsid w:val="009E61EB"/>
    <w:rsid w:val="009E63E4"/>
    <w:rsid w:val="009E6B1E"/>
    <w:rsid w:val="009E79F1"/>
    <w:rsid w:val="009F0261"/>
    <w:rsid w:val="009F0418"/>
    <w:rsid w:val="009F0EB1"/>
    <w:rsid w:val="009F3A80"/>
    <w:rsid w:val="009F3F3C"/>
    <w:rsid w:val="009F3FEA"/>
    <w:rsid w:val="009F766E"/>
    <w:rsid w:val="009F771A"/>
    <w:rsid w:val="009F7789"/>
    <w:rsid w:val="00A00BDA"/>
    <w:rsid w:val="00A01F43"/>
    <w:rsid w:val="00A03034"/>
    <w:rsid w:val="00A03757"/>
    <w:rsid w:val="00A04302"/>
    <w:rsid w:val="00A04746"/>
    <w:rsid w:val="00A04ACD"/>
    <w:rsid w:val="00A0618D"/>
    <w:rsid w:val="00A067E2"/>
    <w:rsid w:val="00A0688A"/>
    <w:rsid w:val="00A07FBF"/>
    <w:rsid w:val="00A104BE"/>
    <w:rsid w:val="00A10548"/>
    <w:rsid w:val="00A11325"/>
    <w:rsid w:val="00A132DA"/>
    <w:rsid w:val="00A14C44"/>
    <w:rsid w:val="00A152CC"/>
    <w:rsid w:val="00A15DB4"/>
    <w:rsid w:val="00A15EC6"/>
    <w:rsid w:val="00A161D5"/>
    <w:rsid w:val="00A20CB1"/>
    <w:rsid w:val="00A22EED"/>
    <w:rsid w:val="00A235D3"/>
    <w:rsid w:val="00A2475F"/>
    <w:rsid w:val="00A30070"/>
    <w:rsid w:val="00A311F0"/>
    <w:rsid w:val="00A319FF"/>
    <w:rsid w:val="00A31A8C"/>
    <w:rsid w:val="00A32194"/>
    <w:rsid w:val="00A32408"/>
    <w:rsid w:val="00A32D73"/>
    <w:rsid w:val="00A33174"/>
    <w:rsid w:val="00A33E1A"/>
    <w:rsid w:val="00A3496B"/>
    <w:rsid w:val="00A35115"/>
    <w:rsid w:val="00A36DD4"/>
    <w:rsid w:val="00A374D7"/>
    <w:rsid w:val="00A37650"/>
    <w:rsid w:val="00A37A30"/>
    <w:rsid w:val="00A4065D"/>
    <w:rsid w:val="00A40A8D"/>
    <w:rsid w:val="00A40E98"/>
    <w:rsid w:val="00A41338"/>
    <w:rsid w:val="00A41EE1"/>
    <w:rsid w:val="00A43306"/>
    <w:rsid w:val="00A445DC"/>
    <w:rsid w:val="00A45AE3"/>
    <w:rsid w:val="00A45C61"/>
    <w:rsid w:val="00A50A43"/>
    <w:rsid w:val="00A50B57"/>
    <w:rsid w:val="00A50CD6"/>
    <w:rsid w:val="00A51421"/>
    <w:rsid w:val="00A5143C"/>
    <w:rsid w:val="00A5308A"/>
    <w:rsid w:val="00A5360D"/>
    <w:rsid w:val="00A53846"/>
    <w:rsid w:val="00A53E91"/>
    <w:rsid w:val="00A54703"/>
    <w:rsid w:val="00A55359"/>
    <w:rsid w:val="00A55A2C"/>
    <w:rsid w:val="00A5673E"/>
    <w:rsid w:val="00A6058C"/>
    <w:rsid w:val="00A60BC6"/>
    <w:rsid w:val="00A61A13"/>
    <w:rsid w:val="00A61C02"/>
    <w:rsid w:val="00A61F42"/>
    <w:rsid w:val="00A6262B"/>
    <w:rsid w:val="00A63215"/>
    <w:rsid w:val="00A640F3"/>
    <w:rsid w:val="00A65CC4"/>
    <w:rsid w:val="00A66138"/>
    <w:rsid w:val="00A66503"/>
    <w:rsid w:val="00A67933"/>
    <w:rsid w:val="00A70C29"/>
    <w:rsid w:val="00A71ECB"/>
    <w:rsid w:val="00A74390"/>
    <w:rsid w:val="00A75B7A"/>
    <w:rsid w:val="00A76C1F"/>
    <w:rsid w:val="00A800AD"/>
    <w:rsid w:val="00A8021E"/>
    <w:rsid w:val="00A80790"/>
    <w:rsid w:val="00A816F7"/>
    <w:rsid w:val="00A8248D"/>
    <w:rsid w:val="00A82B60"/>
    <w:rsid w:val="00A82C88"/>
    <w:rsid w:val="00A83250"/>
    <w:rsid w:val="00A85973"/>
    <w:rsid w:val="00A85BCA"/>
    <w:rsid w:val="00A862FE"/>
    <w:rsid w:val="00A873B7"/>
    <w:rsid w:val="00A87D38"/>
    <w:rsid w:val="00A907FF"/>
    <w:rsid w:val="00A90B00"/>
    <w:rsid w:val="00A91762"/>
    <w:rsid w:val="00A9375C"/>
    <w:rsid w:val="00A93836"/>
    <w:rsid w:val="00A93F6D"/>
    <w:rsid w:val="00A9556A"/>
    <w:rsid w:val="00A9566A"/>
    <w:rsid w:val="00A9722D"/>
    <w:rsid w:val="00AA037E"/>
    <w:rsid w:val="00AA0913"/>
    <w:rsid w:val="00AA22BD"/>
    <w:rsid w:val="00AA2A69"/>
    <w:rsid w:val="00AA2A86"/>
    <w:rsid w:val="00AA308D"/>
    <w:rsid w:val="00AA37D6"/>
    <w:rsid w:val="00AA3F0C"/>
    <w:rsid w:val="00AA4003"/>
    <w:rsid w:val="00AA4842"/>
    <w:rsid w:val="00AA54D3"/>
    <w:rsid w:val="00AA59D0"/>
    <w:rsid w:val="00AA690B"/>
    <w:rsid w:val="00AA711A"/>
    <w:rsid w:val="00AA7C5C"/>
    <w:rsid w:val="00AB016E"/>
    <w:rsid w:val="00AB03A4"/>
    <w:rsid w:val="00AB1365"/>
    <w:rsid w:val="00AB227E"/>
    <w:rsid w:val="00AB39A4"/>
    <w:rsid w:val="00AB3F81"/>
    <w:rsid w:val="00AB4E9B"/>
    <w:rsid w:val="00AB54AA"/>
    <w:rsid w:val="00AB555D"/>
    <w:rsid w:val="00AB5CDD"/>
    <w:rsid w:val="00AB70B2"/>
    <w:rsid w:val="00AB775A"/>
    <w:rsid w:val="00AC1722"/>
    <w:rsid w:val="00AC242D"/>
    <w:rsid w:val="00AC4B37"/>
    <w:rsid w:val="00AC6045"/>
    <w:rsid w:val="00AC7F79"/>
    <w:rsid w:val="00AD0911"/>
    <w:rsid w:val="00AD0DB2"/>
    <w:rsid w:val="00AD1AFF"/>
    <w:rsid w:val="00AD1DAD"/>
    <w:rsid w:val="00AD2966"/>
    <w:rsid w:val="00AD2CFF"/>
    <w:rsid w:val="00AD391A"/>
    <w:rsid w:val="00AD43BD"/>
    <w:rsid w:val="00AD4624"/>
    <w:rsid w:val="00AD4F62"/>
    <w:rsid w:val="00AD4FB4"/>
    <w:rsid w:val="00AD5547"/>
    <w:rsid w:val="00AD5E79"/>
    <w:rsid w:val="00AD6EBF"/>
    <w:rsid w:val="00AD6F35"/>
    <w:rsid w:val="00AD7BD8"/>
    <w:rsid w:val="00AE0183"/>
    <w:rsid w:val="00AE0272"/>
    <w:rsid w:val="00AE15F3"/>
    <w:rsid w:val="00AE1747"/>
    <w:rsid w:val="00AE25EF"/>
    <w:rsid w:val="00AE285A"/>
    <w:rsid w:val="00AE2DC4"/>
    <w:rsid w:val="00AE49FC"/>
    <w:rsid w:val="00AE4C8D"/>
    <w:rsid w:val="00AE6DAD"/>
    <w:rsid w:val="00AE6E89"/>
    <w:rsid w:val="00AE7B84"/>
    <w:rsid w:val="00AF01BA"/>
    <w:rsid w:val="00AF09F1"/>
    <w:rsid w:val="00AF15E4"/>
    <w:rsid w:val="00AF31B1"/>
    <w:rsid w:val="00AF3D14"/>
    <w:rsid w:val="00AF41F5"/>
    <w:rsid w:val="00AF5864"/>
    <w:rsid w:val="00AF5D7C"/>
    <w:rsid w:val="00B00DF0"/>
    <w:rsid w:val="00B01A55"/>
    <w:rsid w:val="00B01F8F"/>
    <w:rsid w:val="00B01FAB"/>
    <w:rsid w:val="00B02BAD"/>
    <w:rsid w:val="00B02C40"/>
    <w:rsid w:val="00B02D55"/>
    <w:rsid w:val="00B02FD1"/>
    <w:rsid w:val="00B0414C"/>
    <w:rsid w:val="00B04B4E"/>
    <w:rsid w:val="00B04E95"/>
    <w:rsid w:val="00B05800"/>
    <w:rsid w:val="00B06679"/>
    <w:rsid w:val="00B06D42"/>
    <w:rsid w:val="00B07916"/>
    <w:rsid w:val="00B07999"/>
    <w:rsid w:val="00B07EA6"/>
    <w:rsid w:val="00B10034"/>
    <w:rsid w:val="00B10E2A"/>
    <w:rsid w:val="00B11579"/>
    <w:rsid w:val="00B11E15"/>
    <w:rsid w:val="00B12291"/>
    <w:rsid w:val="00B1257A"/>
    <w:rsid w:val="00B1287F"/>
    <w:rsid w:val="00B136A6"/>
    <w:rsid w:val="00B14AAD"/>
    <w:rsid w:val="00B14C7F"/>
    <w:rsid w:val="00B15A31"/>
    <w:rsid w:val="00B16142"/>
    <w:rsid w:val="00B161F0"/>
    <w:rsid w:val="00B16343"/>
    <w:rsid w:val="00B164DB"/>
    <w:rsid w:val="00B173CC"/>
    <w:rsid w:val="00B20CB3"/>
    <w:rsid w:val="00B2371C"/>
    <w:rsid w:val="00B23B60"/>
    <w:rsid w:val="00B24989"/>
    <w:rsid w:val="00B279FB"/>
    <w:rsid w:val="00B27CFE"/>
    <w:rsid w:val="00B27D92"/>
    <w:rsid w:val="00B3155E"/>
    <w:rsid w:val="00B32F4D"/>
    <w:rsid w:val="00B3322B"/>
    <w:rsid w:val="00B33B01"/>
    <w:rsid w:val="00B3437F"/>
    <w:rsid w:val="00B348C8"/>
    <w:rsid w:val="00B357F1"/>
    <w:rsid w:val="00B36111"/>
    <w:rsid w:val="00B362BF"/>
    <w:rsid w:val="00B36522"/>
    <w:rsid w:val="00B37766"/>
    <w:rsid w:val="00B419FD"/>
    <w:rsid w:val="00B41FE5"/>
    <w:rsid w:val="00B43D13"/>
    <w:rsid w:val="00B43DF8"/>
    <w:rsid w:val="00B43F5C"/>
    <w:rsid w:val="00B4411F"/>
    <w:rsid w:val="00B44128"/>
    <w:rsid w:val="00B44D1C"/>
    <w:rsid w:val="00B44E2E"/>
    <w:rsid w:val="00B4555B"/>
    <w:rsid w:val="00B459E0"/>
    <w:rsid w:val="00B46885"/>
    <w:rsid w:val="00B50562"/>
    <w:rsid w:val="00B5068C"/>
    <w:rsid w:val="00B50B03"/>
    <w:rsid w:val="00B5139A"/>
    <w:rsid w:val="00B51B85"/>
    <w:rsid w:val="00B520D6"/>
    <w:rsid w:val="00B535E6"/>
    <w:rsid w:val="00B53607"/>
    <w:rsid w:val="00B53C89"/>
    <w:rsid w:val="00B556C9"/>
    <w:rsid w:val="00B568B4"/>
    <w:rsid w:val="00B57A5A"/>
    <w:rsid w:val="00B60D06"/>
    <w:rsid w:val="00B6232D"/>
    <w:rsid w:val="00B62567"/>
    <w:rsid w:val="00B62A8E"/>
    <w:rsid w:val="00B62B50"/>
    <w:rsid w:val="00B62C01"/>
    <w:rsid w:val="00B62CE8"/>
    <w:rsid w:val="00B63233"/>
    <w:rsid w:val="00B6350B"/>
    <w:rsid w:val="00B65F1C"/>
    <w:rsid w:val="00B66512"/>
    <w:rsid w:val="00B679C9"/>
    <w:rsid w:val="00B67CFA"/>
    <w:rsid w:val="00B710FE"/>
    <w:rsid w:val="00B71ADF"/>
    <w:rsid w:val="00B71B86"/>
    <w:rsid w:val="00B728DF"/>
    <w:rsid w:val="00B73674"/>
    <w:rsid w:val="00B74885"/>
    <w:rsid w:val="00B75035"/>
    <w:rsid w:val="00B7519C"/>
    <w:rsid w:val="00B8036E"/>
    <w:rsid w:val="00B80CDA"/>
    <w:rsid w:val="00B81798"/>
    <w:rsid w:val="00B82A86"/>
    <w:rsid w:val="00B83350"/>
    <w:rsid w:val="00B833B7"/>
    <w:rsid w:val="00B83860"/>
    <w:rsid w:val="00B8633D"/>
    <w:rsid w:val="00B86FFD"/>
    <w:rsid w:val="00B87403"/>
    <w:rsid w:val="00B9017E"/>
    <w:rsid w:val="00B91568"/>
    <w:rsid w:val="00B920E6"/>
    <w:rsid w:val="00B925EA"/>
    <w:rsid w:val="00B92847"/>
    <w:rsid w:val="00B93E7B"/>
    <w:rsid w:val="00B93EA1"/>
    <w:rsid w:val="00B951B1"/>
    <w:rsid w:val="00B95407"/>
    <w:rsid w:val="00BA002D"/>
    <w:rsid w:val="00BA08F3"/>
    <w:rsid w:val="00BA209C"/>
    <w:rsid w:val="00BA2D59"/>
    <w:rsid w:val="00BA3F72"/>
    <w:rsid w:val="00BA52DC"/>
    <w:rsid w:val="00BA570A"/>
    <w:rsid w:val="00BA72D1"/>
    <w:rsid w:val="00BA7981"/>
    <w:rsid w:val="00BB1FD3"/>
    <w:rsid w:val="00BB20EF"/>
    <w:rsid w:val="00BB2A05"/>
    <w:rsid w:val="00BB3974"/>
    <w:rsid w:val="00BB3C79"/>
    <w:rsid w:val="00BB4B3A"/>
    <w:rsid w:val="00BB55D5"/>
    <w:rsid w:val="00BB5CB7"/>
    <w:rsid w:val="00BB67DF"/>
    <w:rsid w:val="00BB6B57"/>
    <w:rsid w:val="00BB75E3"/>
    <w:rsid w:val="00BC056A"/>
    <w:rsid w:val="00BC09EC"/>
    <w:rsid w:val="00BC2416"/>
    <w:rsid w:val="00BC2746"/>
    <w:rsid w:val="00BC49DF"/>
    <w:rsid w:val="00BC4BAC"/>
    <w:rsid w:val="00BC4F56"/>
    <w:rsid w:val="00BD3CCD"/>
    <w:rsid w:val="00BD3D71"/>
    <w:rsid w:val="00BD448E"/>
    <w:rsid w:val="00BD51E4"/>
    <w:rsid w:val="00BD5F7A"/>
    <w:rsid w:val="00BD6BF7"/>
    <w:rsid w:val="00BD6C72"/>
    <w:rsid w:val="00BD6D61"/>
    <w:rsid w:val="00BD7FB3"/>
    <w:rsid w:val="00BE0258"/>
    <w:rsid w:val="00BE1CE6"/>
    <w:rsid w:val="00BE2256"/>
    <w:rsid w:val="00BE2510"/>
    <w:rsid w:val="00BE2ADF"/>
    <w:rsid w:val="00BE4611"/>
    <w:rsid w:val="00BE5016"/>
    <w:rsid w:val="00BE5894"/>
    <w:rsid w:val="00BE60A1"/>
    <w:rsid w:val="00BE6912"/>
    <w:rsid w:val="00BE6BCD"/>
    <w:rsid w:val="00BE7F03"/>
    <w:rsid w:val="00BF10AA"/>
    <w:rsid w:val="00BF1AAA"/>
    <w:rsid w:val="00BF3123"/>
    <w:rsid w:val="00BF385B"/>
    <w:rsid w:val="00BF48E6"/>
    <w:rsid w:val="00BF4A50"/>
    <w:rsid w:val="00BF5441"/>
    <w:rsid w:val="00BF5F50"/>
    <w:rsid w:val="00BF6114"/>
    <w:rsid w:val="00BF7CBF"/>
    <w:rsid w:val="00C0062D"/>
    <w:rsid w:val="00C00F42"/>
    <w:rsid w:val="00C02DAA"/>
    <w:rsid w:val="00C03E8B"/>
    <w:rsid w:val="00C04157"/>
    <w:rsid w:val="00C053E0"/>
    <w:rsid w:val="00C0553F"/>
    <w:rsid w:val="00C06733"/>
    <w:rsid w:val="00C067BF"/>
    <w:rsid w:val="00C079EC"/>
    <w:rsid w:val="00C11211"/>
    <w:rsid w:val="00C11CC6"/>
    <w:rsid w:val="00C128AA"/>
    <w:rsid w:val="00C12A1A"/>
    <w:rsid w:val="00C12FA5"/>
    <w:rsid w:val="00C14FE1"/>
    <w:rsid w:val="00C155A8"/>
    <w:rsid w:val="00C159D7"/>
    <w:rsid w:val="00C164E9"/>
    <w:rsid w:val="00C17564"/>
    <w:rsid w:val="00C1783D"/>
    <w:rsid w:val="00C21056"/>
    <w:rsid w:val="00C22959"/>
    <w:rsid w:val="00C2295B"/>
    <w:rsid w:val="00C22AD5"/>
    <w:rsid w:val="00C22BCE"/>
    <w:rsid w:val="00C24AE8"/>
    <w:rsid w:val="00C25CBA"/>
    <w:rsid w:val="00C26F3B"/>
    <w:rsid w:val="00C27574"/>
    <w:rsid w:val="00C302D1"/>
    <w:rsid w:val="00C31141"/>
    <w:rsid w:val="00C313FE"/>
    <w:rsid w:val="00C31B4D"/>
    <w:rsid w:val="00C323AA"/>
    <w:rsid w:val="00C32E55"/>
    <w:rsid w:val="00C3497F"/>
    <w:rsid w:val="00C3529F"/>
    <w:rsid w:val="00C352B3"/>
    <w:rsid w:val="00C35540"/>
    <w:rsid w:val="00C36C5E"/>
    <w:rsid w:val="00C36CBF"/>
    <w:rsid w:val="00C40748"/>
    <w:rsid w:val="00C418DE"/>
    <w:rsid w:val="00C44536"/>
    <w:rsid w:val="00C445E7"/>
    <w:rsid w:val="00C44BF6"/>
    <w:rsid w:val="00C44D7A"/>
    <w:rsid w:val="00C4531A"/>
    <w:rsid w:val="00C46620"/>
    <w:rsid w:val="00C472A1"/>
    <w:rsid w:val="00C47400"/>
    <w:rsid w:val="00C50DDE"/>
    <w:rsid w:val="00C52918"/>
    <w:rsid w:val="00C56620"/>
    <w:rsid w:val="00C5674D"/>
    <w:rsid w:val="00C572B3"/>
    <w:rsid w:val="00C57D61"/>
    <w:rsid w:val="00C608AB"/>
    <w:rsid w:val="00C623D3"/>
    <w:rsid w:val="00C62D8D"/>
    <w:rsid w:val="00C631F2"/>
    <w:rsid w:val="00C6347D"/>
    <w:rsid w:val="00C6470B"/>
    <w:rsid w:val="00C64E8F"/>
    <w:rsid w:val="00C652E5"/>
    <w:rsid w:val="00C65392"/>
    <w:rsid w:val="00C6540E"/>
    <w:rsid w:val="00C65894"/>
    <w:rsid w:val="00C67937"/>
    <w:rsid w:val="00C70173"/>
    <w:rsid w:val="00C707A5"/>
    <w:rsid w:val="00C709CB"/>
    <w:rsid w:val="00C710D0"/>
    <w:rsid w:val="00C73412"/>
    <w:rsid w:val="00C73451"/>
    <w:rsid w:val="00C73798"/>
    <w:rsid w:val="00C73B64"/>
    <w:rsid w:val="00C749B0"/>
    <w:rsid w:val="00C75B10"/>
    <w:rsid w:val="00C7625C"/>
    <w:rsid w:val="00C7626F"/>
    <w:rsid w:val="00C769A8"/>
    <w:rsid w:val="00C777AA"/>
    <w:rsid w:val="00C77F0F"/>
    <w:rsid w:val="00C80004"/>
    <w:rsid w:val="00C81BEC"/>
    <w:rsid w:val="00C822CC"/>
    <w:rsid w:val="00C83F7E"/>
    <w:rsid w:val="00C84BC2"/>
    <w:rsid w:val="00C84D0F"/>
    <w:rsid w:val="00C85D80"/>
    <w:rsid w:val="00C87908"/>
    <w:rsid w:val="00C92112"/>
    <w:rsid w:val="00C93BCD"/>
    <w:rsid w:val="00C93D39"/>
    <w:rsid w:val="00C94189"/>
    <w:rsid w:val="00C953AD"/>
    <w:rsid w:val="00C958F0"/>
    <w:rsid w:val="00C95C38"/>
    <w:rsid w:val="00C95CEB"/>
    <w:rsid w:val="00C9666E"/>
    <w:rsid w:val="00C97663"/>
    <w:rsid w:val="00CA13E8"/>
    <w:rsid w:val="00CA4043"/>
    <w:rsid w:val="00CA4932"/>
    <w:rsid w:val="00CA590B"/>
    <w:rsid w:val="00CB06F1"/>
    <w:rsid w:val="00CB2BD7"/>
    <w:rsid w:val="00CB2DDC"/>
    <w:rsid w:val="00CB78E6"/>
    <w:rsid w:val="00CB7AAA"/>
    <w:rsid w:val="00CC05FE"/>
    <w:rsid w:val="00CC1B56"/>
    <w:rsid w:val="00CC1ECD"/>
    <w:rsid w:val="00CC23FE"/>
    <w:rsid w:val="00CC2726"/>
    <w:rsid w:val="00CC312D"/>
    <w:rsid w:val="00CC32EF"/>
    <w:rsid w:val="00CC331E"/>
    <w:rsid w:val="00CC357A"/>
    <w:rsid w:val="00CC38A3"/>
    <w:rsid w:val="00CC3E35"/>
    <w:rsid w:val="00CC4339"/>
    <w:rsid w:val="00CC4513"/>
    <w:rsid w:val="00CC487B"/>
    <w:rsid w:val="00CC4EC1"/>
    <w:rsid w:val="00CC54D7"/>
    <w:rsid w:val="00CC7F60"/>
    <w:rsid w:val="00CD1909"/>
    <w:rsid w:val="00CD2405"/>
    <w:rsid w:val="00CD3474"/>
    <w:rsid w:val="00CD3605"/>
    <w:rsid w:val="00CD3C0A"/>
    <w:rsid w:val="00CD4067"/>
    <w:rsid w:val="00CD5C47"/>
    <w:rsid w:val="00CD6113"/>
    <w:rsid w:val="00CD679E"/>
    <w:rsid w:val="00CD68C1"/>
    <w:rsid w:val="00CD7B1B"/>
    <w:rsid w:val="00CE0491"/>
    <w:rsid w:val="00CE1864"/>
    <w:rsid w:val="00CE1B14"/>
    <w:rsid w:val="00CE29BB"/>
    <w:rsid w:val="00CE2B32"/>
    <w:rsid w:val="00CE2E0F"/>
    <w:rsid w:val="00CE31A8"/>
    <w:rsid w:val="00CE365B"/>
    <w:rsid w:val="00CE3CDA"/>
    <w:rsid w:val="00CE44E2"/>
    <w:rsid w:val="00CE4C1A"/>
    <w:rsid w:val="00CE4F92"/>
    <w:rsid w:val="00CE51B3"/>
    <w:rsid w:val="00CE580B"/>
    <w:rsid w:val="00CE5B37"/>
    <w:rsid w:val="00CE5C14"/>
    <w:rsid w:val="00CE6C54"/>
    <w:rsid w:val="00CE6D74"/>
    <w:rsid w:val="00CE6EA1"/>
    <w:rsid w:val="00CE7006"/>
    <w:rsid w:val="00CF1647"/>
    <w:rsid w:val="00CF20D6"/>
    <w:rsid w:val="00CF2C21"/>
    <w:rsid w:val="00CF449C"/>
    <w:rsid w:val="00CF4646"/>
    <w:rsid w:val="00CF4EBB"/>
    <w:rsid w:val="00CF52A5"/>
    <w:rsid w:val="00CF55BA"/>
    <w:rsid w:val="00CF5830"/>
    <w:rsid w:val="00CF63CD"/>
    <w:rsid w:val="00D0144C"/>
    <w:rsid w:val="00D02678"/>
    <w:rsid w:val="00D02A64"/>
    <w:rsid w:val="00D043C6"/>
    <w:rsid w:val="00D05887"/>
    <w:rsid w:val="00D067A9"/>
    <w:rsid w:val="00D06A73"/>
    <w:rsid w:val="00D06B9A"/>
    <w:rsid w:val="00D06E26"/>
    <w:rsid w:val="00D07643"/>
    <w:rsid w:val="00D0784E"/>
    <w:rsid w:val="00D10843"/>
    <w:rsid w:val="00D11369"/>
    <w:rsid w:val="00D11D07"/>
    <w:rsid w:val="00D11D30"/>
    <w:rsid w:val="00D121A6"/>
    <w:rsid w:val="00D135D1"/>
    <w:rsid w:val="00D14F1A"/>
    <w:rsid w:val="00D151A2"/>
    <w:rsid w:val="00D15821"/>
    <w:rsid w:val="00D1649F"/>
    <w:rsid w:val="00D165BA"/>
    <w:rsid w:val="00D16826"/>
    <w:rsid w:val="00D17148"/>
    <w:rsid w:val="00D17213"/>
    <w:rsid w:val="00D17529"/>
    <w:rsid w:val="00D17ECD"/>
    <w:rsid w:val="00D2108B"/>
    <w:rsid w:val="00D21321"/>
    <w:rsid w:val="00D216E0"/>
    <w:rsid w:val="00D222C6"/>
    <w:rsid w:val="00D22574"/>
    <w:rsid w:val="00D23C8F"/>
    <w:rsid w:val="00D24036"/>
    <w:rsid w:val="00D241DE"/>
    <w:rsid w:val="00D2592C"/>
    <w:rsid w:val="00D26927"/>
    <w:rsid w:val="00D27B49"/>
    <w:rsid w:val="00D322F4"/>
    <w:rsid w:val="00D33EF6"/>
    <w:rsid w:val="00D34135"/>
    <w:rsid w:val="00D35E56"/>
    <w:rsid w:val="00D35EFF"/>
    <w:rsid w:val="00D36012"/>
    <w:rsid w:val="00D416CA"/>
    <w:rsid w:val="00D4234D"/>
    <w:rsid w:val="00D45823"/>
    <w:rsid w:val="00D467FE"/>
    <w:rsid w:val="00D46BE2"/>
    <w:rsid w:val="00D478AA"/>
    <w:rsid w:val="00D479CB"/>
    <w:rsid w:val="00D52D5E"/>
    <w:rsid w:val="00D52F26"/>
    <w:rsid w:val="00D5426D"/>
    <w:rsid w:val="00D5441C"/>
    <w:rsid w:val="00D545FC"/>
    <w:rsid w:val="00D5486A"/>
    <w:rsid w:val="00D54ECB"/>
    <w:rsid w:val="00D5577A"/>
    <w:rsid w:val="00D5590E"/>
    <w:rsid w:val="00D56BDD"/>
    <w:rsid w:val="00D56D2B"/>
    <w:rsid w:val="00D5706A"/>
    <w:rsid w:val="00D60150"/>
    <w:rsid w:val="00D6016D"/>
    <w:rsid w:val="00D603CE"/>
    <w:rsid w:val="00D60409"/>
    <w:rsid w:val="00D6075A"/>
    <w:rsid w:val="00D607D7"/>
    <w:rsid w:val="00D60D38"/>
    <w:rsid w:val="00D626D6"/>
    <w:rsid w:val="00D6422D"/>
    <w:rsid w:val="00D647F1"/>
    <w:rsid w:val="00D6507D"/>
    <w:rsid w:val="00D65114"/>
    <w:rsid w:val="00D653F8"/>
    <w:rsid w:val="00D6554A"/>
    <w:rsid w:val="00D655DC"/>
    <w:rsid w:val="00D70B5B"/>
    <w:rsid w:val="00D70E83"/>
    <w:rsid w:val="00D7236A"/>
    <w:rsid w:val="00D7338F"/>
    <w:rsid w:val="00D73ABA"/>
    <w:rsid w:val="00D7539B"/>
    <w:rsid w:val="00D76236"/>
    <w:rsid w:val="00D76DF8"/>
    <w:rsid w:val="00D775FB"/>
    <w:rsid w:val="00D80342"/>
    <w:rsid w:val="00D80CE0"/>
    <w:rsid w:val="00D814AE"/>
    <w:rsid w:val="00D819A5"/>
    <w:rsid w:val="00D82E63"/>
    <w:rsid w:val="00D8332D"/>
    <w:rsid w:val="00D843AF"/>
    <w:rsid w:val="00D8490A"/>
    <w:rsid w:val="00D8549A"/>
    <w:rsid w:val="00D86A0E"/>
    <w:rsid w:val="00D87095"/>
    <w:rsid w:val="00D874FD"/>
    <w:rsid w:val="00D909A7"/>
    <w:rsid w:val="00D9106A"/>
    <w:rsid w:val="00D91C4C"/>
    <w:rsid w:val="00D92F17"/>
    <w:rsid w:val="00D938B7"/>
    <w:rsid w:val="00D93F02"/>
    <w:rsid w:val="00D93FFF"/>
    <w:rsid w:val="00D941A4"/>
    <w:rsid w:val="00D94632"/>
    <w:rsid w:val="00D948CA"/>
    <w:rsid w:val="00D95AF1"/>
    <w:rsid w:val="00D95DB8"/>
    <w:rsid w:val="00D96362"/>
    <w:rsid w:val="00D963DF"/>
    <w:rsid w:val="00D9659E"/>
    <w:rsid w:val="00D969E5"/>
    <w:rsid w:val="00D96C87"/>
    <w:rsid w:val="00DA04BC"/>
    <w:rsid w:val="00DA062A"/>
    <w:rsid w:val="00DA1638"/>
    <w:rsid w:val="00DA16A5"/>
    <w:rsid w:val="00DA1DDC"/>
    <w:rsid w:val="00DA21D3"/>
    <w:rsid w:val="00DA24DE"/>
    <w:rsid w:val="00DA361C"/>
    <w:rsid w:val="00DA4A20"/>
    <w:rsid w:val="00DA4CA3"/>
    <w:rsid w:val="00DA57BE"/>
    <w:rsid w:val="00DA662E"/>
    <w:rsid w:val="00DA69C4"/>
    <w:rsid w:val="00DA6DFD"/>
    <w:rsid w:val="00DB0A49"/>
    <w:rsid w:val="00DB1173"/>
    <w:rsid w:val="00DB1333"/>
    <w:rsid w:val="00DB1938"/>
    <w:rsid w:val="00DB1B14"/>
    <w:rsid w:val="00DB1D34"/>
    <w:rsid w:val="00DB2EC9"/>
    <w:rsid w:val="00DB3E86"/>
    <w:rsid w:val="00DB48EA"/>
    <w:rsid w:val="00DB5739"/>
    <w:rsid w:val="00DB6423"/>
    <w:rsid w:val="00DB691B"/>
    <w:rsid w:val="00DB6B0A"/>
    <w:rsid w:val="00DB7352"/>
    <w:rsid w:val="00DB7747"/>
    <w:rsid w:val="00DB783B"/>
    <w:rsid w:val="00DC0A74"/>
    <w:rsid w:val="00DC214E"/>
    <w:rsid w:val="00DC32EA"/>
    <w:rsid w:val="00DC3AB4"/>
    <w:rsid w:val="00DC4C19"/>
    <w:rsid w:val="00DC5539"/>
    <w:rsid w:val="00DC7F51"/>
    <w:rsid w:val="00DD04BB"/>
    <w:rsid w:val="00DD10A6"/>
    <w:rsid w:val="00DD11A8"/>
    <w:rsid w:val="00DD17B7"/>
    <w:rsid w:val="00DD4695"/>
    <w:rsid w:val="00DD4CAC"/>
    <w:rsid w:val="00DD5AD4"/>
    <w:rsid w:val="00DD7490"/>
    <w:rsid w:val="00DE0C02"/>
    <w:rsid w:val="00DE12E9"/>
    <w:rsid w:val="00DE28F3"/>
    <w:rsid w:val="00DE3F04"/>
    <w:rsid w:val="00DE459B"/>
    <w:rsid w:val="00DE6949"/>
    <w:rsid w:val="00DE7F34"/>
    <w:rsid w:val="00DF05EB"/>
    <w:rsid w:val="00DF1E05"/>
    <w:rsid w:val="00DF1E30"/>
    <w:rsid w:val="00DF3B85"/>
    <w:rsid w:val="00DF4C36"/>
    <w:rsid w:val="00DF65B4"/>
    <w:rsid w:val="00DF6D13"/>
    <w:rsid w:val="00DF7ABB"/>
    <w:rsid w:val="00E00AB2"/>
    <w:rsid w:val="00E017D3"/>
    <w:rsid w:val="00E01D72"/>
    <w:rsid w:val="00E03367"/>
    <w:rsid w:val="00E041FC"/>
    <w:rsid w:val="00E0492D"/>
    <w:rsid w:val="00E04B29"/>
    <w:rsid w:val="00E068BA"/>
    <w:rsid w:val="00E10045"/>
    <w:rsid w:val="00E100C5"/>
    <w:rsid w:val="00E119EC"/>
    <w:rsid w:val="00E12F1D"/>
    <w:rsid w:val="00E13B9B"/>
    <w:rsid w:val="00E1456C"/>
    <w:rsid w:val="00E14E52"/>
    <w:rsid w:val="00E14E96"/>
    <w:rsid w:val="00E16DC2"/>
    <w:rsid w:val="00E171AA"/>
    <w:rsid w:val="00E214DD"/>
    <w:rsid w:val="00E21B8C"/>
    <w:rsid w:val="00E23745"/>
    <w:rsid w:val="00E24552"/>
    <w:rsid w:val="00E257B3"/>
    <w:rsid w:val="00E25B54"/>
    <w:rsid w:val="00E265EA"/>
    <w:rsid w:val="00E2712F"/>
    <w:rsid w:val="00E2717C"/>
    <w:rsid w:val="00E276F1"/>
    <w:rsid w:val="00E30D9C"/>
    <w:rsid w:val="00E30E04"/>
    <w:rsid w:val="00E3325C"/>
    <w:rsid w:val="00E3380C"/>
    <w:rsid w:val="00E339D3"/>
    <w:rsid w:val="00E33BF2"/>
    <w:rsid w:val="00E365BA"/>
    <w:rsid w:val="00E401C0"/>
    <w:rsid w:val="00E41EEE"/>
    <w:rsid w:val="00E436BB"/>
    <w:rsid w:val="00E44CDF"/>
    <w:rsid w:val="00E44F07"/>
    <w:rsid w:val="00E4603D"/>
    <w:rsid w:val="00E479AD"/>
    <w:rsid w:val="00E50317"/>
    <w:rsid w:val="00E50CCD"/>
    <w:rsid w:val="00E50F5D"/>
    <w:rsid w:val="00E5102E"/>
    <w:rsid w:val="00E51E52"/>
    <w:rsid w:val="00E52023"/>
    <w:rsid w:val="00E524FB"/>
    <w:rsid w:val="00E527D1"/>
    <w:rsid w:val="00E53BD7"/>
    <w:rsid w:val="00E5655C"/>
    <w:rsid w:val="00E6004C"/>
    <w:rsid w:val="00E6009E"/>
    <w:rsid w:val="00E60307"/>
    <w:rsid w:val="00E61118"/>
    <w:rsid w:val="00E61407"/>
    <w:rsid w:val="00E61EF3"/>
    <w:rsid w:val="00E62424"/>
    <w:rsid w:val="00E6314B"/>
    <w:rsid w:val="00E63697"/>
    <w:rsid w:val="00E643E4"/>
    <w:rsid w:val="00E65718"/>
    <w:rsid w:val="00E67F44"/>
    <w:rsid w:val="00E7007E"/>
    <w:rsid w:val="00E70FA2"/>
    <w:rsid w:val="00E720F9"/>
    <w:rsid w:val="00E72FBE"/>
    <w:rsid w:val="00E734B7"/>
    <w:rsid w:val="00E74641"/>
    <w:rsid w:val="00E75590"/>
    <w:rsid w:val="00E755C7"/>
    <w:rsid w:val="00E7637D"/>
    <w:rsid w:val="00E766C3"/>
    <w:rsid w:val="00E76758"/>
    <w:rsid w:val="00E76C0B"/>
    <w:rsid w:val="00E7729D"/>
    <w:rsid w:val="00E777EA"/>
    <w:rsid w:val="00E80361"/>
    <w:rsid w:val="00E806BA"/>
    <w:rsid w:val="00E80BA3"/>
    <w:rsid w:val="00E811D9"/>
    <w:rsid w:val="00E81E00"/>
    <w:rsid w:val="00E8227C"/>
    <w:rsid w:val="00E83F77"/>
    <w:rsid w:val="00E85617"/>
    <w:rsid w:val="00E8662E"/>
    <w:rsid w:val="00E86975"/>
    <w:rsid w:val="00E86A1B"/>
    <w:rsid w:val="00E875DC"/>
    <w:rsid w:val="00E9051E"/>
    <w:rsid w:val="00E90F14"/>
    <w:rsid w:val="00E9178B"/>
    <w:rsid w:val="00E9188B"/>
    <w:rsid w:val="00E927B6"/>
    <w:rsid w:val="00E93886"/>
    <w:rsid w:val="00E93EBD"/>
    <w:rsid w:val="00E94645"/>
    <w:rsid w:val="00E95092"/>
    <w:rsid w:val="00E966A5"/>
    <w:rsid w:val="00E97254"/>
    <w:rsid w:val="00EA0B86"/>
    <w:rsid w:val="00EA0F78"/>
    <w:rsid w:val="00EA355E"/>
    <w:rsid w:val="00EA3C13"/>
    <w:rsid w:val="00EA3EF8"/>
    <w:rsid w:val="00EB03EC"/>
    <w:rsid w:val="00EB0B97"/>
    <w:rsid w:val="00EB0C29"/>
    <w:rsid w:val="00EB15B6"/>
    <w:rsid w:val="00EB16ED"/>
    <w:rsid w:val="00EB2858"/>
    <w:rsid w:val="00EB314D"/>
    <w:rsid w:val="00EB40FB"/>
    <w:rsid w:val="00EB4C62"/>
    <w:rsid w:val="00EB4DD6"/>
    <w:rsid w:val="00EB591C"/>
    <w:rsid w:val="00EB635C"/>
    <w:rsid w:val="00EB6F79"/>
    <w:rsid w:val="00EB7683"/>
    <w:rsid w:val="00EB76AE"/>
    <w:rsid w:val="00EB77B4"/>
    <w:rsid w:val="00EC0660"/>
    <w:rsid w:val="00EC1063"/>
    <w:rsid w:val="00EC2016"/>
    <w:rsid w:val="00EC246A"/>
    <w:rsid w:val="00EC32D7"/>
    <w:rsid w:val="00EC443F"/>
    <w:rsid w:val="00EC5108"/>
    <w:rsid w:val="00EC56B7"/>
    <w:rsid w:val="00EC56ED"/>
    <w:rsid w:val="00EC652A"/>
    <w:rsid w:val="00EC6A41"/>
    <w:rsid w:val="00EC6A81"/>
    <w:rsid w:val="00EC7FC3"/>
    <w:rsid w:val="00ED187B"/>
    <w:rsid w:val="00ED1F60"/>
    <w:rsid w:val="00ED3726"/>
    <w:rsid w:val="00ED3C7A"/>
    <w:rsid w:val="00ED3FCC"/>
    <w:rsid w:val="00ED4AA5"/>
    <w:rsid w:val="00ED524F"/>
    <w:rsid w:val="00ED61F1"/>
    <w:rsid w:val="00ED6229"/>
    <w:rsid w:val="00ED630F"/>
    <w:rsid w:val="00ED67C2"/>
    <w:rsid w:val="00ED6F24"/>
    <w:rsid w:val="00ED7846"/>
    <w:rsid w:val="00ED79F0"/>
    <w:rsid w:val="00EE0840"/>
    <w:rsid w:val="00EE1A80"/>
    <w:rsid w:val="00EE28A6"/>
    <w:rsid w:val="00EE29ED"/>
    <w:rsid w:val="00EE318C"/>
    <w:rsid w:val="00EE3C66"/>
    <w:rsid w:val="00EE56F6"/>
    <w:rsid w:val="00EE6531"/>
    <w:rsid w:val="00EE739A"/>
    <w:rsid w:val="00EE7848"/>
    <w:rsid w:val="00EF0A4D"/>
    <w:rsid w:val="00EF1951"/>
    <w:rsid w:val="00EF196E"/>
    <w:rsid w:val="00EF240C"/>
    <w:rsid w:val="00EF400E"/>
    <w:rsid w:val="00EF4397"/>
    <w:rsid w:val="00EF46FC"/>
    <w:rsid w:val="00EF477E"/>
    <w:rsid w:val="00EF4801"/>
    <w:rsid w:val="00EF5DA5"/>
    <w:rsid w:val="00EF5E57"/>
    <w:rsid w:val="00EF6D24"/>
    <w:rsid w:val="00EF6EEF"/>
    <w:rsid w:val="00F00943"/>
    <w:rsid w:val="00F017D3"/>
    <w:rsid w:val="00F01DC8"/>
    <w:rsid w:val="00F0376D"/>
    <w:rsid w:val="00F037A5"/>
    <w:rsid w:val="00F03928"/>
    <w:rsid w:val="00F04931"/>
    <w:rsid w:val="00F05502"/>
    <w:rsid w:val="00F059D3"/>
    <w:rsid w:val="00F067DF"/>
    <w:rsid w:val="00F06FBC"/>
    <w:rsid w:val="00F071AD"/>
    <w:rsid w:val="00F07E9B"/>
    <w:rsid w:val="00F1064A"/>
    <w:rsid w:val="00F10C2B"/>
    <w:rsid w:val="00F117EC"/>
    <w:rsid w:val="00F11BB2"/>
    <w:rsid w:val="00F13D51"/>
    <w:rsid w:val="00F13E6E"/>
    <w:rsid w:val="00F14F04"/>
    <w:rsid w:val="00F1583F"/>
    <w:rsid w:val="00F15CAE"/>
    <w:rsid w:val="00F15E70"/>
    <w:rsid w:val="00F17B03"/>
    <w:rsid w:val="00F20F8D"/>
    <w:rsid w:val="00F2214F"/>
    <w:rsid w:val="00F228B6"/>
    <w:rsid w:val="00F23C33"/>
    <w:rsid w:val="00F23D33"/>
    <w:rsid w:val="00F2480D"/>
    <w:rsid w:val="00F254BA"/>
    <w:rsid w:val="00F25513"/>
    <w:rsid w:val="00F255B8"/>
    <w:rsid w:val="00F257D3"/>
    <w:rsid w:val="00F26680"/>
    <w:rsid w:val="00F26C1A"/>
    <w:rsid w:val="00F27C53"/>
    <w:rsid w:val="00F27EEE"/>
    <w:rsid w:val="00F30B39"/>
    <w:rsid w:val="00F30DD4"/>
    <w:rsid w:val="00F30FCB"/>
    <w:rsid w:val="00F3184E"/>
    <w:rsid w:val="00F31F2F"/>
    <w:rsid w:val="00F32356"/>
    <w:rsid w:val="00F326AB"/>
    <w:rsid w:val="00F35289"/>
    <w:rsid w:val="00F3551F"/>
    <w:rsid w:val="00F35A0C"/>
    <w:rsid w:val="00F36B4E"/>
    <w:rsid w:val="00F371E4"/>
    <w:rsid w:val="00F403A2"/>
    <w:rsid w:val="00F40E53"/>
    <w:rsid w:val="00F41E64"/>
    <w:rsid w:val="00F4288E"/>
    <w:rsid w:val="00F4377C"/>
    <w:rsid w:val="00F437A8"/>
    <w:rsid w:val="00F44893"/>
    <w:rsid w:val="00F452EE"/>
    <w:rsid w:val="00F45C8B"/>
    <w:rsid w:val="00F461D4"/>
    <w:rsid w:val="00F46998"/>
    <w:rsid w:val="00F46A77"/>
    <w:rsid w:val="00F478B1"/>
    <w:rsid w:val="00F50396"/>
    <w:rsid w:val="00F51E47"/>
    <w:rsid w:val="00F53623"/>
    <w:rsid w:val="00F548D4"/>
    <w:rsid w:val="00F57B77"/>
    <w:rsid w:val="00F606D8"/>
    <w:rsid w:val="00F6137A"/>
    <w:rsid w:val="00F62107"/>
    <w:rsid w:val="00F632E9"/>
    <w:rsid w:val="00F63674"/>
    <w:rsid w:val="00F647F7"/>
    <w:rsid w:val="00F6483B"/>
    <w:rsid w:val="00F650AC"/>
    <w:rsid w:val="00F65787"/>
    <w:rsid w:val="00F6679C"/>
    <w:rsid w:val="00F66BCC"/>
    <w:rsid w:val="00F66FD9"/>
    <w:rsid w:val="00F676E3"/>
    <w:rsid w:val="00F67CC8"/>
    <w:rsid w:val="00F706B2"/>
    <w:rsid w:val="00F707C2"/>
    <w:rsid w:val="00F71B39"/>
    <w:rsid w:val="00F74263"/>
    <w:rsid w:val="00F743ED"/>
    <w:rsid w:val="00F745CF"/>
    <w:rsid w:val="00F74665"/>
    <w:rsid w:val="00F746CD"/>
    <w:rsid w:val="00F748EB"/>
    <w:rsid w:val="00F752CF"/>
    <w:rsid w:val="00F7557B"/>
    <w:rsid w:val="00F76778"/>
    <w:rsid w:val="00F769B4"/>
    <w:rsid w:val="00F76B67"/>
    <w:rsid w:val="00F76D0D"/>
    <w:rsid w:val="00F7704E"/>
    <w:rsid w:val="00F7768B"/>
    <w:rsid w:val="00F77E94"/>
    <w:rsid w:val="00F8228D"/>
    <w:rsid w:val="00F8264C"/>
    <w:rsid w:val="00F82754"/>
    <w:rsid w:val="00F834B8"/>
    <w:rsid w:val="00F83606"/>
    <w:rsid w:val="00F83EB6"/>
    <w:rsid w:val="00F844DE"/>
    <w:rsid w:val="00F845FE"/>
    <w:rsid w:val="00F853F0"/>
    <w:rsid w:val="00F859DF"/>
    <w:rsid w:val="00F85CE2"/>
    <w:rsid w:val="00F87048"/>
    <w:rsid w:val="00F87B4E"/>
    <w:rsid w:val="00F905DA"/>
    <w:rsid w:val="00F90991"/>
    <w:rsid w:val="00F919E2"/>
    <w:rsid w:val="00F919F3"/>
    <w:rsid w:val="00F91F3F"/>
    <w:rsid w:val="00F92356"/>
    <w:rsid w:val="00F956AC"/>
    <w:rsid w:val="00F96D2D"/>
    <w:rsid w:val="00F97AE0"/>
    <w:rsid w:val="00FA11A1"/>
    <w:rsid w:val="00FA1634"/>
    <w:rsid w:val="00FA1833"/>
    <w:rsid w:val="00FA196A"/>
    <w:rsid w:val="00FA39CD"/>
    <w:rsid w:val="00FA3D07"/>
    <w:rsid w:val="00FA469B"/>
    <w:rsid w:val="00FA51E0"/>
    <w:rsid w:val="00FA5261"/>
    <w:rsid w:val="00FA5606"/>
    <w:rsid w:val="00FA59C2"/>
    <w:rsid w:val="00FA64AA"/>
    <w:rsid w:val="00FA6D55"/>
    <w:rsid w:val="00FA6FAD"/>
    <w:rsid w:val="00FA7FEE"/>
    <w:rsid w:val="00FB0008"/>
    <w:rsid w:val="00FB0B32"/>
    <w:rsid w:val="00FB12C2"/>
    <w:rsid w:val="00FB13AE"/>
    <w:rsid w:val="00FB141B"/>
    <w:rsid w:val="00FB152D"/>
    <w:rsid w:val="00FB1B0F"/>
    <w:rsid w:val="00FB1E7D"/>
    <w:rsid w:val="00FB30BA"/>
    <w:rsid w:val="00FB3973"/>
    <w:rsid w:val="00FB3BCF"/>
    <w:rsid w:val="00FB3E6E"/>
    <w:rsid w:val="00FB4641"/>
    <w:rsid w:val="00FB4CFA"/>
    <w:rsid w:val="00FB60F2"/>
    <w:rsid w:val="00FB64D0"/>
    <w:rsid w:val="00FC00E7"/>
    <w:rsid w:val="00FC0C3F"/>
    <w:rsid w:val="00FC100B"/>
    <w:rsid w:val="00FC176A"/>
    <w:rsid w:val="00FC18A6"/>
    <w:rsid w:val="00FC196F"/>
    <w:rsid w:val="00FC1D51"/>
    <w:rsid w:val="00FC2E7B"/>
    <w:rsid w:val="00FC31BA"/>
    <w:rsid w:val="00FC416C"/>
    <w:rsid w:val="00FC4C1D"/>
    <w:rsid w:val="00FC524B"/>
    <w:rsid w:val="00FC673F"/>
    <w:rsid w:val="00FC76CF"/>
    <w:rsid w:val="00FD11DF"/>
    <w:rsid w:val="00FD3201"/>
    <w:rsid w:val="00FD36FF"/>
    <w:rsid w:val="00FD37CA"/>
    <w:rsid w:val="00FD3F57"/>
    <w:rsid w:val="00FD4256"/>
    <w:rsid w:val="00FD4E1D"/>
    <w:rsid w:val="00FD51C8"/>
    <w:rsid w:val="00FD6CFC"/>
    <w:rsid w:val="00FD6FCF"/>
    <w:rsid w:val="00FD731E"/>
    <w:rsid w:val="00FD74F9"/>
    <w:rsid w:val="00FD7D49"/>
    <w:rsid w:val="00FE0D11"/>
    <w:rsid w:val="00FE0E67"/>
    <w:rsid w:val="00FE309E"/>
    <w:rsid w:val="00FE36EE"/>
    <w:rsid w:val="00FE408E"/>
    <w:rsid w:val="00FE50BB"/>
    <w:rsid w:val="00FE56FF"/>
    <w:rsid w:val="00FE7D68"/>
    <w:rsid w:val="00FF1450"/>
    <w:rsid w:val="00FF174A"/>
    <w:rsid w:val="00FF23F5"/>
    <w:rsid w:val="00FF26A6"/>
    <w:rsid w:val="00FF3036"/>
    <w:rsid w:val="00FF39F9"/>
    <w:rsid w:val="00FF3CEA"/>
    <w:rsid w:val="00FF425A"/>
    <w:rsid w:val="00FF4EF2"/>
    <w:rsid w:val="00FF67C1"/>
    <w:rsid w:val="1ECB89E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2E908DF5-259B-DF4B-899E-216A16796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MS Mincho"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41864"/>
    <w:rPr>
      <w:lang w:val="sq-AL"/>
    </w:rPr>
  </w:style>
  <w:style w:type="paragraph" w:styleId="Heading1">
    <w:name w:val="heading 1"/>
    <w:basedOn w:val="Normal"/>
    <w:next w:val="Normal"/>
    <w:link w:val="Heading1Char"/>
    <w:uiPriority w:val="9"/>
    <w:qFormat/>
    <w:rsid w:val="00895A9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5A1A3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7B7AE5"/>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E309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95A9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5A1A3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7B7AE5"/>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FE309E"/>
    <w:rPr>
      <w:rFonts w:asciiTheme="majorHAnsi" w:eastAsiaTheme="majorEastAsia" w:hAnsiTheme="majorHAnsi" w:cstheme="majorBidi"/>
      <w:i/>
      <w:iCs/>
      <w:color w:val="365F91" w:themeColor="accent1" w:themeShade="BF"/>
    </w:rPr>
  </w:style>
  <w:style w:type="paragraph" w:styleId="Header">
    <w:name w:val="header"/>
    <w:basedOn w:val="Normal"/>
    <w:link w:val="HeaderChar"/>
    <w:uiPriority w:val="99"/>
    <w:unhideWhenUsed/>
    <w:rsid w:val="00AD0D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0DB2"/>
  </w:style>
  <w:style w:type="paragraph" w:styleId="Footer">
    <w:name w:val="footer"/>
    <w:basedOn w:val="Normal"/>
    <w:link w:val="FooterChar"/>
    <w:uiPriority w:val="99"/>
    <w:unhideWhenUsed/>
    <w:rsid w:val="00AD0D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0DB2"/>
  </w:style>
  <w:style w:type="paragraph" w:styleId="ListParagraph">
    <w:name w:val="List Paragraph"/>
    <w:aliases w:val="Normal 1,List Paragraph (numbered (a)),List Paragraph 1,Akapit z listą BS,Bullets,List_Paragraph,Multilevel para_II,List Paragraph1,Bullet1,Main numbered paragraph,NumberedParas,References,Numbered List Paragraph,NUMBERED PARAGRAPH,Annex"/>
    <w:basedOn w:val="Normal"/>
    <w:link w:val="ListParagraphChar"/>
    <w:uiPriority w:val="34"/>
    <w:qFormat/>
    <w:rsid w:val="0036780C"/>
    <w:pPr>
      <w:ind w:left="720"/>
      <w:contextualSpacing/>
    </w:pPr>
  </w:style>
  <w:style w:type="character" w:customStyle="1" w:styleId="ListParagraphChar">
    <w:name w:val="List Paragraph Char"/>
    <w:aliases w:val="Normal 1 Char,List Paragraph (numbered (a)) Char,List Paragraph 1 Char,Akapit z listą BS Char,Bullets Char,List_Paragraph Char,Multilevel para_II Char,List Paragraph1 Char,Bullet1 Char,Main numbered paragraph Char,NumberedParas Char"/>
    <w:link w:val="ListParagraph"/>
    <w:uiPriority w:val="34"/>
    <w:qFormat/>
    <w:rsid w:val="00E53BD7"/>
    <w:rPr>
      <w:lang w:val="sq-AL"/>
    </w:rPr>
  </w:style>
  <w:style w:type="paragraph" w:styleId="TOCHeading">
    <w:name w:val="TOC Heading"/>
    <w:basedOn w:val="Heading1"/>
    <w:next w:val="Normal"/>
    <w:uiPriority w:val="39"/>
    <w:unhideWhenUsed/>
    <w:qFormat/>
    <w:rsid w:val="005E6EBA"/>
    <w:pPr>
      <w:outlineLvl w:val="9"/>
    </w:pPr>
    <w:rPr>
      <w:lang w:eastAsia="ja-JP"/>
    </w:rPr>
  </w:style>
  <w:style w:type="paragraph" w:styleId="TOC1">
    <w:name w:val="toc 1"/>
    <w:basedOn w:val="Normal"/>
    <w:next w:val="Normal"/>
    <w:autoRedefine/>
    <w:uiPriority w:val="39"/>
    <w:unhideWhenUsed/>
    <w:rsid w:val="008C1AF5"/>
    <w:pPr>
      <w:tabs>
        <w:tab w:val="right" w:leader="dot" w:pos="9350"/>
      </w:tabs>
      <w:spacing w:after="0"/>
    </w:pPr>
    <w:rPr>
      <w:noProof/>
      <w:color w:val="000000" w:themeColor="text1"/>
    </w:rPr>
  </w:style>
  <w:style w:type="character" w:styleId="Hyperlink">
    <w:name w:val="Hyperlink"/>
    <w:basedOn w:val="DefaultParagraphFont"/>
    <w:uiPriority w:val="99"/>
    <w:unhideWhenUsed/>
    <w:rsid w:val="005E6EBA"/>
    <w:rPr>
      <w:color w:val="0000FF" w:themeColor="hyperlink"/>
      <w:u w:val="single"/>
    </w:rPr>
  </w:style>
  <w:style w:type="paragraph" w:styleId="BalloonText">
    <w:name w:val="Balloon Text"/>
    <w:basedOn w:val="Normal"/>
    <w:link w:val="BalloonTextChar"/>
    <w:uiPriority w:val="99"/>
    <w:semiHidden/>
    <w:unhideWhenUsed/>
    <w:rsid w:val="005E6E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6EBA"/>
    <w:rPr>
      <w:rFonts w:ascii="Tahoma" w:hAnsi="Tahoma" w:cs="Tahoma"/>
      <w:sz w:val="16"/>
      <w:szCs w:val="16"/>
    </w:rPr>
  </w:style>
  <w:style w:type="paragraph" w:styleId="FootnoteText">
    <w:name w:val="footnote text"/>
    <w:aliases w:val="single space,footnote text"/>
    <w:basedOn w:val="Normal"/>
    <w:link w:val="FootnoteTextChar"/>
    <w:uiPriority w:val="99"/>
    <w:qFormat/>
    <w:rsid w:val="009C6EBF"/>
    <w:pPr>
      <w:spacing w:after="0"/>
    </w:pPr>
    <w:rPr>
      <w:rFonts w:ascii="Garamond" w:eastAsia="Calibri" w:hAnsi="Garamond" w:cs="Times New Roman"/>
      <w:sz w:val="19"/>
      <w:szCs w:val="20"/>
      <w:lang w:val="en-GB"/>
    </w:rPr>
  </w:style>
  <w:style w:type="character" w:customStyle="1" w:styleId="FootnoteTextChar">
    <w:name w:val="Footnote Text Char"/>
    <w:aliases w:val="single space Char,footnote text Char"/>
    <w:basedOn w:val="DefaultParagraphFont"/>
    <w:link w:val="FootnoteText"/>
    <w:uiPriority w:val="99"/>
    <w:rsid w:val="009C6EBF"/>
    <w:rPr>
      <w:rFonts w:ascii="Garamond" w:eastAsia="Calibri" w:hAnsi="Garamond" w:cs="Times New Roman"/>
      <w:sz w:val="19"/>
      <w:szCs w:val="20"/>
      <w:lang w:val="en-GB"/>
    </w:rPr>
  </w:style>
  <w:style w:type="character" w:styleId="FootnoteReference">
    <w:name w:val="footnote reference"/>
    <w:aliases w:val="16 Point,Superscript 6 Point,ftref"/>
    <w:uiPriority w:val="99"/>
    <w:rsid w:val="009C6EBF"/>
    <w:rPr>
      <w:rFonts w:ascii="Garamond" w:hAnsi="Garamond"/>
      <w:caps w:val="0"/>
      <w:smallCaps w:val="0"/>
      <w:strike w:val="0"/>
      <w:dstrike w:val="0"/>
      <w:vanish w:val="0"/>
      <w:color w:val="auto"/>
      <w:sz w:val="22"/>
      <w:vertAlign w:val="superscript"/>
    </w:rPr>
  </w:style>
  <w:style w:type="table" w:styleId="TableGrid">
    <w:name w:val="Table Grid"/>
    <w:basedOn w:val="TableNormal"/>
    <w:uiPriority w:val="59"/>
    <w:rsid w:val="00DA1D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534428"/>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34428"/>
    <w:rPr>
      <w:sz w:val="20"/>
      <w:szCs w:val="20"/>
    </w:rPr>
  </w:style>
  <w:style w:type="character" w:styleId="EndnoteReference">
    <w:name w:val="endnote reference"/>
    <w:basedOn w:val="DefaultParagraphFont"/>
    <w:uiPriority w:val="99"/>
    <w:semiHidden/>
    <w:unhideWhenUsed/>
    <w:rsid w:val="00534428"/>
    <w:rPr>
      <w:vertAlign w:val="superscript"/>
    </w:rPr>
  </w:style>
  <w:style w:type="paragraph" w:styleId="Bibliography">
    <w:name w:val="Bibliography"/>
    <w:basedOn w:val="Normal"/>
    <w:next w:val="Normal"/>
    <w:uiPriority w:val="37"/>
    <w:unhideWhenUsed/>
    <w:rsid w:val="00FB12C2"/>
  </w:style>
  <w:style w:type="paragraph" w:styleId="TOC2">
    <w:name w:val="toc 2"/>
    <w:basedOn w:val="Normal"/>
    <w:next w:val="Normal"/>
    <w:autoRedefine/>
    <w:uiPriority w:val="39"/>
    <w:unhideWhenUsed/>
    <w:rsid w:val="00C81BEC"/>
    <w:pPr>
      <w:spacing w:after="100"/>
      <w:ind w:left="220"/>
    </w:pPr>
  </w:style>
  <w:style w:type="character" w:styleId="CommentReference">
    <w:name w:val="annotation reference"/>
    <w:basedOn w:val="DefaultParagraphFont"/>
    <w:uiPriority w:val="99"/>
    <w:semiHidden/>
    <w:unhideWhenUsed/>
    <w:rsid w:val="006918EB"/>
    <w:rPr>
      <w:sz w:val="16"/>
      <w:szCs w:val="16"/>
    </w:rPr>
  </w:style>
  <w:style w:type="paragraph" w:styleId="CommentText">
    <w:name w:val="annotation text"/>
    <w:basedOn w:val="Normal"/>
    <w:link w:val="CommentTextChar"/>
    <w:uiPriority w:val="99"/>
    <w:unhideWhenUsed/>
    <w:rsid w:val="006918EB"/>
    <w:pPr>
      <w:spacing w:line="240" w:lineRule="auto"/>
    </w:pPr>
    <w:rPr>
      <w:sz w:val="20"/>
      <w:szCs w:val="20"/>
    </w:rPr>
  </w:style>
  <w:style w:type="character" w:customStyle="1" w:styleId="CommentTextChar">
    <w:name w:val="Comment Text Char"/>
    <w:basedOn w:val="DefaultParagraphFont"/>
    <w:link w:val="CommentText"/>
    <w:uiPriority w:val="99"/>
    <w:rsid w:val="006918EB"/>
    <w:rPr>
      <w:sz w:val="20"/>
      <w:szCs w:val="20"/>
    </w:rPr>
  </w:style>
  <w:style w:type="paragraph" w:styleId="CommentSubject">
    <w:name w:val="annotation subject"/>
    <w:basedOn w:val="CommentText"/>
    <w:next w:val="CommentText"/>
    <w:link w:val="CommentSubjectChar"/>
    <w:uiPriority w:val="99"/>
    <w:semiHidden/>
    <w:unhideWhenUsed/>
    <w:rsid w:val="006918EB"/>
    <w:rPr>
      <w:b/>
      <w:bCs/>
    </w:rPr>
  </w:style>
  <w:style w:type="character" w:customStyle="1" w:styleId="CommentSubjectChar">
    <w:name w:val="Comment Subject Char"/>
    <w:basedOn w:val="CommentTextChar"/>
    <w:link w:val="CommentSubject"/>
    <w:uiPriority w:val="99"/>
    <w:semiHidden/>
    <w:rsid w:val="006918EB"/>
    <w:rPr>
      <w:b/>
      <w:bCs/>
      <w:sz w:val="20"/>
      <w:szCs w:val="20"/>
    </w:rPr>
  </w:style>
  <w:style w:type="paragraph" w:styleId="Caption">
    <w:name w:val="caption"/>
    <w:basedOn w:val="Normal"/>
    <w:next w:val="Normal"/>
    <w:uiPriority w:val="35"/>
    <w:unhideWhenUsed/>
    <w:qFormat/>
    <w:rsid w:val="00AE15F3"/>
    <w:pPr>
      <w:spacing w:line="240" w:lineRule="auto"/>
    </w:pPr>
    <w:rPr>
      <w:b/>
      <w:bCs/>
      <w:color w:val="4F81BD" w:themeColor="accent1"/>
      <w:sz w:val="18"/>
      <w:szCs w:val="18"/>
    </w:rPr>
  </w:style>
  <w:style w:type="paragraph" w:customStyle="1" w:styleId="Default">
    <w:name w:val="Default"/>
    <w:rsid w:val="004C7B35"/>
    <w:pPr>
      <w:autoSpaceDE w:val="0"/>
      <w:autoSpaceDN w:val="0"/>
      <w:adjustRightInd w:val="0"/>
      <w:spacing w:after="0" w:line="240" w:lineRule="auto"/>
    </w:pPr>
    <w:rPr>
      <w:rFonts w:ascii="Calibri" w:hAnsi="Calibri" w:cs="Calibri"/>
      <w:color w:val="000000"/>
      <w:sz w:val="24"/>
      <w:szCs w:val="24"/>
    </w:rPr>
  </w:style>
  <w:style w:type="paragraph" w:styleId="BodyText">
    <w:name w:val="Body Text"/>
    <w:basedOn w:val="Normal"/>
    <w:link w:val="BodyTextChar"/>
    <w:unhideWhenUsed/>
    <w:qFormat/>
    <w:rsid w:val="00431828"/>
    <w:pPr>
      <w:spacing w:line="288" w:lineRule="auto"/>
    </w:pPr>
    <w:rPr>
      <w:rFonts w:ascii="Arial" w:hAnsi="Arial" w:cs="Arial"/>
      <w:color w:val="616264"/>
      <w:sz w:val="20"/>
      <w:szCs w:val="20"/>
      <w:lang w:val="fr-FR"/>
    </w:rPr>
  </w:style>
  <w:style w:type="character" w:customStyle="1" w:styleId="BodyTextChar">
    <w:name w:val="Body Text Char"/>
    <w:basedOn w:val="DefaultParagraphFont"/>
    <w:link w:val="BodyText"/>
    <w:rsid w:val="00431828"/>
    <w:rPr>
      <w:rFonts w:ascii="Arial" w:hAnsi="Arial" w:cs="Arial"/>
      <w:color w:val="616264"/>
      <w:sz w:val="20"/>
      <w:szCs w:val="20"/>
      <w:lang w:val="fr-FR"/>
    </w:rPr>
  </w:style>
  <w:style w:type="paragraph" w:styleId="TOC3">
    <w:name w:val="toc 3"/>
    <w:basedOn w:val="Normal"/>
    <w:next w:val="Normal"/>
    <w:autoRedefine/>
    <w:uiPriority w:val="39"/>
    <w:unhideWhenUsed/>
    <w:rsid w:val="00EE3C66"/>
    <w:pPr>
      <w:tabs>
        <w:tab w:val="right" w:leader="dot" w:pos="9323"/>
      </w:tabs>
      <w:spacing w:after="0"/>
      <w:ind w:left="440"/>
    </w:pPr>
  </w:style>
  <w:style w:type="paragraph" w:styleId="Revision">
    <w:name w:val="Revision"/>
    <w:hidden/>
    <w:uiPriority w:val="99"/>
    <w:semiHidden/>
    <w:rsid w:val="00171E73"/>
    <w:pPr>
      <w:spacing w:after="0" w:line="240" w:lineRule="auto"/>
    </w:pPr>
  </w:style>
  <w:style w:type="character" w:customStyle="1" w:styleId="tlid-translation">
    <w:name w:val="tlid-translation"/>
    <w:basedOn w:val="DefaultParagraphFont"/>
    <w:rsid w:val="006D6B7A"/>
  </w:style>
  <w:style w:type="character" w:styleId="Strong">
    <w:name w:val="Strong"/>
    <w:basedOn w:val="DefaultParagraphFont"/>
    <w:uiPriority w:val="22"/>
    <w:qFormat/>
    <w:rsid w:val="006D6B7A"/>
    <w:rPr>
      <w:b/>
      <w:bCs/>
    </w:rPr>
  </w:style>
  <w:style w:type="paragraph" w:customStyle="1" w:styleId="NoSpacing1">
    <w:name w:val="No Spacing1"/>
    <w:qFormat/>
    <w:rsid w:val="009823C7"/>
    <w:pPr>
      <w:spacing w:after="0" w:line="240" w:lineRule="auto"/>
    </w:pPr>
    <w:rPr>
      <w:rFonts w:ascii="Calibri" w:eastAsia="Times New Roman" w:hAnsi="Calibri" w:cs="Times New Roman"/>
    </w:rPr>
  </w:style>
  <w:style w:type="paragraph" w:styleId="NormalWeb">
    <w:name w:val="Normal (Web)"/>
    <w:basedOn w:val="Normal"/>
    <w:uiPriority w:val="99"/>
    <w:unhideWhenUsed/>
    <w:rsid w:val="009823C7"/>
    <w:pPr>
      <w:spacing w:before="100" w:beforeAutospacing="1" w:after="100" w:afterAutospacing="1" w:line="240" w:lineRule="auto"/>
    </w:pPr>
    <w:rPr>
      <w:rFonts w:ascii="Times New Roman" w:eastAsia="Times New Roman" w:hAnsi="Times New Roman" w:cs="Times New Roman"/>
      <w:sz w:val="24"/>
      <w:szCs w:val="24"/>
      <w:lang w:eastAsia="sq-AL"/>
    </w:rPr>
  </w:style>
  <w:style w:type="character" w:customStyle="1" w:styleId="fontstyle01">
    <w:name w:val="fontstyle01"/>
    <w:basedOn w:val="DefaultParagraphFont"/>
    <w:rsid w:val="00B520D6"/>
    <w:rPr>
      <w:rFonts w:ascii="Garamond-Bold" w:hAnsi="Garamond-Bold" w:hint="default"/>
      <w:b/>
      <w:bCs/>
      <w:i w:val="0"/>
      <w:iCs w:val="0"/>
      <w:color w:val="000000"/>
      <w:sz w:val="24"/>
      <w:szCs w:val="24"/>
    </w:rPr>
  </w:style>
  <w:style w:type="character" w:customStyle="1" w:styleId="fontstyle21">
    <w:name w:val="fontstyle21"/>
    <w:basedOn w:val="DefaultParagraphFont"/>
    <w:rsid w:val="000B2F24"/>
    <w:rPr>
      <w:rFonts w:ascii="ECSquareSansCondPro" w:hAnsi="ECSquareSansCondPro" w:hint="default"/>
      <w:b w:val="0"/>
      <w:bCs w:val="0"/>
      <w:i w:val="0"/>
      <w:iCs w:val="0"/>
      <w:color w:val="000000"/>
      <w:sz w:val="18"/>
      <w:szCs w:val="18"/>
    </w:rPr>
  </w:style>
  <w:style w:type="paragraph" w:customStyle="1" w:styleId="yiv7370368409msonormal">
    <w:name w:val="yiv7370368409msonormal"/>
    <w:basedOn w:val="Normal"/>
    <w:rsid w:val="006D427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1">
    <w:name w:val="Para1"/>
    <w:basedOn w:val="Normal"/>
    <w:uiPriority w:val="3"/>
    <w:qFormat/>
    <w:rsid w:val="00FE309E"/>
    <w:pPr>
      <w:spacing w:before="120" w:after="120" w:line="240" w:lineRule="auto"/>
      <w:ind w:left="680" w:right="680"/>
      <w:jc w:val="both"/>
    </w:pPr>
    <w:rPr>
      <w:rFonts w:ascii="Times New Roman" w:eastAsia="SimSun" w:hAnsi="Times New Roman" w:cs="Times New Roman"/>
      <w:szCs w:val="20"/>
      <w:lang w:val="en-GB"/>
    </w:rPr>
  </w:style>
  <w:style w:type="paragraph" w:customStyle="1" w:styleId="Para3">
    <w:name w:val="Para3"/>
    <w:basedOn w:val="Normal"/>
    <w:uiPriority w:val="4"/>
    <w:qFormat/>
    <w:rsid w:val="00055E2B"/>
    <w:pPr>
      <w:spacing w:before="120" w:after="120" w:line="240" w:lineRule="auto"/>
      <w:ind w:left="680" w:right="680"/>
      <w:jc w:val="both"/>
    </w:pPr>
    <w:rPr>
      <w:rFonts w:ascii="Times New Roman" w:eastAsia="SimSun" w:hAnsi="Times New Roman" w:cs="Times New Roman"/>
      <w:szCs w:val="20"/>
      <w:lang w:val="en-GB"/>
    </w:rPr>
  </w:style>
  <w:style w:type="paragraph" w:customStyle="1" w:styleId="Para2">
    <w:name w:val="Para2"/>
    <w:basedOn w:val="Normal"/>
    <w:uiPriority w:val="4"/>
    <w:qFormat/>
    <w:rsid w:val="004670DF"/>
    <w:pPr>
      <w:spacing w:before="120" w:after="120" w:line="240" w:lineRule="auto"/>
      <w:ind w:left="680" w:right="680"/>
      <w:jc w:val="both"/>
    </w:pPr>
    <w:rPr>
      <w:rFonts w:ascii="Times New Roman" w:eastAsia="SimSun" w:hAnsi="Times New Roman" w:cs="Times New Roman"/>
      <w:szCs w:val="20"/>
      <w:lang w:val="en-GB"/>
    </w:rPr>
  </w:style>
  <w:style w:type="paragraph" w:customStyle="1" w:styleId="Erida">
    <w:name w:val="Erida"/>
    <w:basedOn w:val="CommentText"/>
    <w:link w:val="EridaChar"/>
    <w:qFormat/>
    <w:rsid w:val="00426A25"/>
  </w:style>
  <w:style w:type="character" w:customStyle="1" w:styleId="EridaChar">
    <w:name w:val="Erida Char"/>
    <w:basedOn w:val="CommentTextChar"/>
    <w:link w:val="Erida"/>
    <w:rsid w:val="00426A25"/>
    <w:rPr>
      <w:rFonts w:eastAsia="MS Mincho"/>
      <w:sz w:val="20"/>
      <w:szCs w:val="20"/>
    </w:rPr>
  </w:style>
  <w:style w:type="paragraph" w:customStyle="1" w:styleId="BoxHeading">
    <w:name w:val="Box Heading"/>
    <w:basedOn w:val="Normal"/>
    <w:next w:val="Normal"/>
    <w:uiPriority w:val="8"/>
    <w:qFormat/>
    <w:rsid w:val="00DA21D3"/>
    <w:pPr>
      <w:keepNext/>
      <w:tabs>
        <w:tab w:val="left" w:pos="850"/>
        <w:tab w:val="left" w:pos="1191"/>
        <w:tab w:val="left" w:pos="1531"/>
      </w:tabs>
      <w:spacing w:before="240" w:after="120" w:line="240" w:lineRule="auto"/>
      <w:ind w:left="680" w:right="680"/>
    </w:pPr>
    <w:rPr>
      <w:rFonts w:ascii="Times New Roman" w:hAnsi="Times New Roman" w:cs="Times New Roman"/>
      <w:b/>
      <w:sz w:val="20"/>
      <w:szCs w:val="20"/>
      <w:lang w:val="en-GB"/>
    </w:rPr>
  </w:style>
  <w:style w:type="character" w:styleId="FollowedHyperlink">
    <w:name w:val="FollowedHyperlink"/>
    <w:basedOn w:val="DefaultParagraphFont"/>
    <w:uiPriority w:val="99"/>
    <w:semiHidden/>
    <w:unhideWhenUsed/>
    <w:rsid w:val="005800FB"/>
    <w:rPr>
      <w:color w:val="800080" w:themeColor="followedHyperlink"/>
      <w:u w:val="single"/>
    </w:rPr>
  </w:style>
  <w:style w:type="paragraph" w:styleId="TableofFigures">
    <w:name w:val="table of figures"/>
    <w:basedOn w:val="Normal"/>
    <w:next w:val="Normal"/>
    <w:uiPriority w:val="99"/>
    <w:unhideWhenUsed/>
    <w:rsid w:val="00B16142"/>
    <w:pPr>
      <w:spacing w:after="0"/>
    </w:pPr>
  </w:style>
  <w:style w:type="paragraph" w:customStyle="1" w:styleId="NeniTitull">
    <w:name w:val="Neni_Titull"/>
    <w:next w:val="Normal"/>
    <w:link w:val="NeniTitullChar"/>
    <w:rsid w:val="00E52023"/>
    <w:pPr>
      <w:keepNext/>
      <w:widowControl w:val="0"/>
      <w:spacing w:after="0" w:line="240" w:lineRule="auto"/>
      <w:jc w:val="center"/>
      <w:outlineLvl w:val="2"/>
    </w:pPr>
    <w:rPr>
      <w:rFonts w:ascii="Garamond" w:hAnsi="Garamond" w:cs="CG Times"/>
      <w:b/>
      <w:bCs/>
      <w:sz w:val="24"/>
      <w:lang w:val="en-GB"/>
    </w:rPr>
  </w:style>
  <w:style w:type="character" w:customStyle="1" w:styleId="NeniTitullChar">
    <w:name w:val="Neni_Titull Char"/>
    <w:link w:val="NeniTitull"/>
    <w:locked/>
    <w:rsid w:val="00E52023"/>
    <w:rPr>
      <w:rFonts w:ascii="Garamond" w:hAnsi="Garamond" w:cs="CG Times"/>
      <w:b/>
      <w:bCs/>
      <w:sz w:val="24"/>
      <w:lang w:val="en-GB"/>
    </w:rPr>
  </w:style>
  <w:style w:type="paragraph" w:customStyle="1" w:styleId="Hapesira7">
    <w:name w:val="Hapesira 7"/>
    <w:basedOn w:val="Normal"/>
    <w:qFormat/>
    <w:rsid w:val="00E52023"/>
    <w:pPr>
      <w:widowControl w:val="0"/>
      <w:spacing w:after="0" w:line="240" w:lineRule="auto"/>
      <w:ind w:firstLine="284"/>
      <w:jc w:val="both"/>
    </w:pPr>
    <w:rPr>
      <w:rFonts w:ascii="Garamond" w:hAnsi="Garamond" w:cs="CG Times"/>
      <w:sz w:val="14"/>
      <w:szCs w:val="24"/>
      <w:lang w:val="en-US"/>
    </w:rPr>
  </w:style>
  <w:style w:type="character" w:styleId="Emphasis">
    <w:name w:val="Emphasis"/>
    <w:basedOn w:val="DefaultParagraphFont"/>
    <w:uiPriority w:val="20"/>
    <w:qFormat/>
    <w:rsid w:val="00967426"/>
    <w:rPr>
      <w:i/>
      <w:iCs/>
    </w:rPr>
  </w:style>
  <w:style w:type="paragraph" w:styleId="TOC4">
    <w:name w:val="toc 4"/>
    <w:basedOn w:val="Normal"/>
    <w:next w:val="Normal"/>
    <w:autoRedefine/>
    <w:uiPriority w:val="39"/>
    <w:unhideWhenUsed/>
    <w:rsid w:val="000B0949"/>
    <w:pPr>
      <w:spacing w:after="100" w:line="259" w:lineRule="auto"/>
      <w:ind w:left="660"/>
    </w:pPr>
    <w:rPr>
      <w:rFonts w:eastAsiaTheme="minorEastAsia"/>
      <w:lang w:val="en-US"/>
    </w:rPr>
  </w:style>
  <w:style w:type="paragraph" w:styleId="TOC5">
    <w:name w:val="toc 5"/>
    <w:basedOn w:val="Normal"/>
    <w:next w:val="Normal"/>
    <w:autoRedefine/>
    <w:uiPriority w:val="39"/>
    <w:unhideWhenUsed/>
    <w:rsid w:val="000B0949"/>
    <w:pPr>
      <w:spacing w:after="100" w:line="259" w:lineRule="auto"/>
      <w:ind w:left="880"/>
    </w:pPr>
    <w:rPr>
      <w:rFonts w:eastAsiaTheme="minorEastAsia"/>
      <w:lang w:val="en-US"/>
    </w:rPr>
  </w:style>
  <w:style w:type="paragraph" w:styleId="TOC6">
    <w:name w:val="toc 6"/>
    <w:basedOn w:val="Normal"/>
    <w:next w:val="Normal"/>
    <w:autoRedefine/>
    <w:uiPriority w:val="39"/>
    <w:unhideWhenUsed/>
    <w:rsid w:val="000B0949"/>
    <w:pPr>
      <w:spacing w:after="100" w:line="259" w:lineRule="auto"/>
      <w:ind w:left="1100"/>
    </w:pPr>
    <w:rPr>
      <w:rFonts w:eastAsiaTheme="minorEastAsia"/>
      <w:lang w:val="en-US"/>
    </w:rPr>
  </w:style>
  <w:style w:type="paragraph" w:styleId="TOC7">
    <w:name w:val="toc 7"/>
    <w:basedOn w:val="Normal"/>
    <w:next w:val="Normal"/>
    <w:autoRedefine/>
    <w:uiPriority w:val="39"/>
    <w:unhideWhenUsed/>
    <w:rsid w:val="000B0949"/>
    <w:pPr>
      <w:spacing w:after="100" w:line="259" w:lineRule="auto"/>
      <w:ind w:left="1320"/>
    </w:pPr>
    <w:rPr>
      <w:rFonts w:eastAsiaTheme="minorEastAsia"/>
      <w:lang w:val="en-US"/>
    </w:rPr>
  </w:style>
  <w:style w:type="paragraph" w:styleId="TOC8">
    <w:name w:val="toc 8"/>
    <w:basedOn w:val="Normal"/>
    <w:next w:val="Normal"/>
    <w:autoRedefine/>
    <w:uiPriority w:val="39"/>
    <w:unhideWhenUsed/>
    <w:rsid w:val="000B0949"/>
    <w:pPr>
      <w:spacing w:after="100" w:line="259" w:lineRule="auto"/>
      <w:ind w:left="1540"/>
    </w:pPr>
    <w:rPr>
      <w:rFonts w:eastAsiaTheme="minorEastAsia"/>
      <w:lang w:val="en-US"/>
    </w:rPr>
  </w:style>
  <w:style w:type="paragraph" w:styleId="TOC9">
    <w:name w:val="toc 9"/>
    <w:basedOn w:val="Normal"/>
    <w:next w:val="Normal"/>
    <w:autoRedefine/>
    <w:uiPriority w:val="39"/>
    <w:unhideWhenUsed/>
    <w:rsid w:val="000B0949"/>
    <w:pPr>
      <w:spacing w:after="100" w:line="259" w:lineRule="auto"/>
      <w:ind w:left="1760"/>
    </w:pPr>
    <w:rPr>
      <w:rFonts w:eastAsiaTheme="minorEastAsia"/>
      <w:lang w:val="en-US"/>
    </w:rPr>
  </w:style>
  <w:style w:type="character" w:customStyle="1" w:styleId="apple-style-span">
    <w:name w:val="apple-style-span"/>
    <w:uiPriority w:val="99"/>
    <w:rsid w:val="00E53BD7"/>
    <w:rPr>
      <w:rFonts w:ascii="Times New Roman" w:hAnsi="Times New Roman" w:cs="Times New Roman" w:hint="default"/>
    </w:rPr>
  </w:style>
  <w:style w:type="paragraph" w:customStyle="1" w:styleId="Para">
    <w:name w:val="Para"/>
    <w:basedOn w:val="Normal"/>
    <w:uiPriority w:val="3"/>
    <w:qFormat/>
    <w:rsid w:val="0015384C"/>
    <w:pPr>
      <w:spacing w:before="120" w:after="120" w:line="240" w:lineRule="auto"/>
      <w:ind w:left="680" w:right="680"/>
      <w:jc w:val="both"/>
    </w:pPr>
    <w:rPr>
      <w:rFonts w:ascii="Times New Roman" w:eastAsia="SimSun" w:hAnsi="Times New Roman" w:cs="Times New Roman"/>
      <w:szCs w:val="20"/>
    </w:rPr>
  </w:style>
  <w:style w:type="paragraph" w:customStyle="1" w:styleId="msonormal0">
    <w:name w:val="msonormal"/>
    <w:basedOn w:val="Normal"/>
    <w:rsid w:val="0055114F"/>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font5">
    <w:name w:val="font5"/>
    <w:basedOn w:val="Normal"/>
    <w:rsid w:val="0055114F"/>
    <w:pPr>
      <w:spacing w:before="100" w:beforeAutospacing="1" w:after="100" w:afterAutospacing="1" w:line="240" w:lineRule="auto"/>
    </w:pPr>
    <w:rPr>
      <w:rFonts w:ascii="Calibri" w:eastAsia="Times New Roman" w:hAnsi="Calibri" w:cs="Calibri"/>
      <w:color w:val="000000"/>
      <w:sz w:val="20"/>
      <w:szCs w:val="20"/>
      <w:lang w:val="en-US"/>
    </w:rPr>
  </w:style>
  <w:style w:type="paragraph" w:customStyle="1" w:styleId="font6">
    <w:name w:val="font6"/>
    <w:basedOn w:val="Normal"/>
    <w:rsid w:val="0055114F"/>
    <w:pPr>
      <w:spacing w:before="100" w:beforeAutospacing="1" w:after="100" w:afterAutospacing="1" w:line="240" w:lineRule="auto"/>
    </w:pPr>
    <w:rPr>
      <w:rFonts w:ascii="Calibri" w:eastAsia="Times New Roman" w:hAnsi="Calibri" w:cs="Calibri"/>
      <w:color w:val="FF0000"/>
      <w:sz w:val="20"/>
      <w:szCs w:val="20"/>
      <w:lang w:val="en-US"/>
    </w:rPr>
  </w:style>
  <w:style w:type="paragraph" w:customStyle="1" w:styleId="font7">
    <w:name w:val="font7"/>
    <w:basedOn w:val="Normal"/>
    <w:rsid w:val="0055114F"/>
    <w:pPr>
      <w:spacing w:before="100" w:beforeAutospacing="1" w:after="100" w:afterAutospacing="1" w:line="240" w:lineRule="auto"/>
    </w:pPr>
    <w:rPr>
      <w:rFonts w:ascii="Tahoma" w:eastAsia="Times New Roman" w:hAnsi="Tahoma" w:cs="Tahoma"/>
      <w:b/>
      <w:bCs/>
      <w:color w:val="000000"/>
      <w:sz w:val="18"/>
      <w:szCs w:val="18"/>
      <w:lang w:val="en-US"/>
    </w:rPr>
  </w:style>
  <w:style w:type="paragraph" w:customStyle="1" w:styleId="xl65">
    <w:name w:val="xl65"/>
    <w:basedOn w:val="Normal"/>
    <w:rsid w:val="0055114F"/>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top"/>
    </w:pPr>
    <w:rPr>
      <w:rFonts w:ascii="Times New Roman" w:eastAsia="Times New Roman" w:hAnsi="Times New Roman" w:cs="Times New Roman"/>
      <w:sz w:val="16"/>
      <w:szCs w:val="16"/>
      <w:lang w:val="en-US"/>
    </w:rPr>
  </w:style>
  <w:style w:type="paragraph" w:customStyle="1" w:styleId="xl66">
    <w:name w:val="xl66"/>
    <w:basedOn w:val="Normal"/>
    <w:rsid w:val="0055114F"/>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40" w:lineRule="auto"/>
      <w:jc w:val="center"/>
      <w:textAlignment w:val="top"/>
    </w:pPr>
    <w:rPr>
      <w:rFonts w:ascii="Times New Roman" w:eastAsia="Times New Roman" w:hAnsi="Times New Roman" w:cs="Times New Roman"/>
      <w:sz w:val="16"/>
      <w:szCs w:val="16"/>
      <w:lang w:val="en-US"/>
    </w:rPr>
  </w:style>
  <w:style w:type="paragraph" w:customStyle="1" w:styleId="xl67">
    <w:name w:val="xl67"/>
    <w:basedOn w:val="Normal"/>
    <w:rsid w:val="0055114F"/>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40" w:lineRule="auto"/>
      <w:jc w:val="center"/>
      <w:textAlignment w:val="top"/>
    </w:pPr>
    <w:rPr>
      <w:rFonts w:ascii="Times New Roman" w:eastAsia="Times New Roman" w:hAnsi="Times New Roman" w:cs="Times New Roman"/>
      <w:sz w:val="16"/>
      <w:szCs w:val="16"/>
      <w:lang w:val="en-US"/>
    </w:rPr>
  </w:style>
  <w:style w:type="paragraph" w:customStyle="1" w:styleId="xl68">
    <w:name w:val="xl68"/>
    <w:basedOn w:val="Normal"/>
    <w:rsid w:val="0055114F"/>
    <w:pPr>
      <w:pBdr>
        <w:top w:val="single" w:sz="4" w:space="0" w:color="auto"/>
        <w:left w:val="single" w:sz="4" w:space="0" w:color="auto"/>
        <w:bottom w:val="single" w:sz="4" w:space="0" w:color="auto"/>
      </w:pBdr>
      <w:shd w:val="clear" w:color="000000" w:fill="DDEBF7"/>
      <w:spacing w:before="100" w:beforeAutospacing="1" w:after="100" w:afterAutospacing="1" w:line="240" w:lineRule="auto"/>
      <w:jc w:val="center"/>
      <w:textAlignment w:val="top"/>
    </w:pPr>
    <w:rPr>
      <w:rFonts w:ascii="Times New Roman" w:eastAsia="Times New Roman" w:hAnsi="Times New Roman" w:cs="Times New Roman"/>
      <w:sz w:val="16"/>
      <w:szCs w:val="16"/>
      <w:lang w:val="en-US"/>
    </w:rPr>
  </w:style>
  <w:style w:type="paragraph" w:customStyle="1" w:styleId="xl69">
    <w:name w:val="xl69"/>
    <w:basedOn w:val="Normal"/>
    <w:rsid w:val="0055114F"/>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sz w:val="16"/>
      <w:szCs w:val="16"/>
      <w:lang w:val="en-US"/>
    </w:rPr>
  </w:style>
  <w:style w:type="paragraph" w:customStyle="1" w:styleId="xl70">
    <w:name w:val="xl70"/>
    <w:basedOn w:val="Normal"/>
    <w:rsid w:val="0055114F"/>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sz w:val="16"/>
      <w:szCs w:val="16"/>
      <w:lang w:val="en-US"/>
    </w:rPr>
  </w:style>
  <w:style w:type="paragraph" w:customStyle="1" w:styleId="xl71">
    <w:name w:val="xl71"/>
    <w:basedOn w:val="Normal"/>
    <w:rsid w:val="0055114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sz w:val="16"/>
      <w:szCs w:val="16"/>
      <w:lang w:val="en-US"/>
    </w:rPr>
  </w:style>
  <w:style w:type="paragraph" w:customStyle="1" w:styleId="xl72">
    <w:name w:val="xl72"/>
    <w:basedOn w:val="Normal"/>
    <w:rsid w:val="0055114F"/>
    <w:pPr>
      <w:pBdr>
        <w:top w:val="single" w:sz="4" w:space="0" w:color="auto"/>
        <w:left w:val="single" w:sz="4" w:space="0" w:color="auto"/>
        <w:bottom w:val="single" w:sz="4" w:space="0" w:color="auto"/>
        <w:right w:val="single" w:sz="4" w:space="0" w:color="auto"/>
      </w:pBdr>
      <w:shd w:val="clear" w:color="000000" w:fill="D0CECE"/>
      <w:spacing w:before="100" w:beforeAutospacing="1" w:after="100" w:afterAutospacing="1" w:line="240" w:lineRule="auto"/>
      <w:textAlignment w:val="top"/>
    </w:pPr>
    <w:rPr>
      <w:rFonts w:ascii="Times New Roman" w:eastAsia="Times New Roman" w:hAnsi="Times New Roman" w:cs="Times New Roman"/>
      <w:sz w:val="20"/>
      <w:szCs w:val="20"/>
      <w:lang w:val="en-US"/>
    </w:rPr>
  </w:style>
  <w:style w:type="paragraph" w:customStyle="1" w:styleId="xl73">
    <w:name w:val="xl73"/>
    <w:basedOn w:val="Normal"/>
    <w:rsid w:val="0055114F"/>
    <w:pPr>
      <w:shd w:val="clear" w:color="000000" w:fill="FFFFFF"/>
      <w:spacing w:before="100" w:beforeAutospacing="1" w:after="100" w:afterAutospacing="1" w:line="240" w:lineRule="auto"/>
      <w:textAlignment w:val="top"/>
    </w:pPr>
    <w:rPr>
      <w:rFonts w:ascii="Times New Roman" w:eastAsia="Times New Roman" w:hAnsi="Times New Roman" w:cs="Times New Roman"/>
      <w:sz w:val="20"/>
      <w:szCs w:val="20"/>
      <w:lang w:val="en-US"/>
    </w:rPr>
  </w:style>
  <w:style w:type="paragraph" w:customStyle="1" w:styleId="xl74">
    <w:name w:val="xl74"/>
    <w:basedOn w:val="Normal"/>
    <w:rsid w:val="0055114F"/>
    <w:pPr>
      <w:spacing w:before="100" w:beforeAutospacing="1" w:after="100" w:afterAutospacing="1" w:line="240" w:lineRule="auto"/>
      <w:textAlignment w:val="top"/>
    </w:pPr>
    <w:rPr>
      <w:rFonts w:ascii="Times New Roman" w:eastAsia="Times New Roman" w:hAnsi="Times New Roman" w:cs="Times New Roman"/>
      <w:sz w:val="20"/>
      <w:szCs w:val="20"/>
      <w:lang w:val="en-US"/>
    </w:rPr>
  </w:style>
  <w:style w:type="paragraph" w:customStyle="1" w:styleId="xl75">
    <w:name w:val="xl75"/>
    <w:basedOn w:val="Normal"/>
    <w:rsid w:val="0055114F"/>
    <w:pPr>
      <w:pBdr>
        <w:top w:val="single" w:sz="4" w:space="0" w:color="auto"/>
        <w:left w:val="single" w:sz="4" w:space="0" w:color="auto"/>
        <w:right w:val="single" w:sz="4" w:space="0" w:color="auto"/>
      </w:pBdr>
      <w:shd w:val="clear" w:color="000000" w:fill="DDEBF7"/>
      <w:spacing w:before="100" w:beforeAutospacing="1" w:after="100" w:afterAutospacing="1" w:line="240" w:lineRule="auto"/>
      <w:jc w:val="center"/>
      <w:textAlignment w:val="top"/>
    </w:pPr>
    <w:rPr>
      <w:rFonts w:ascii="Times New Roman" w:eastAsia="Times New Roman" w:hAnsi="Times New Roman" w:cs="Times New Roman"/>
      <w:color w:val="FF0000"/>
      <w:sz w:val="20"/>
      <w:szCs w:val="20"/>
      <w:lang w:val="en-US"/>
    </w:rPr>
  </w:style>
  <w:style w:type="paragraph" w:customStyle="1" w:styleId="xl76">
    <w:name w:val="xl76"/>
    <w:basedOn w:val="Normal"/>
    <w:rsid w:val="0055114F"/>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textAlignment w:val="top"/>
    </w:pPr>
    <w:rPr>
      <w:rFonts w:ascii="Times New Roman" w:eastAsia="Times New Roman" w:hAnsi="Times New Roman" w:cs="Times New Roman"/>
      <w:color w:val="FF0000"/>
      <w:sz w:val="20"/>
      <w:szCs w:val="20"/>
      <w:lang w:val="en-US"/>
    </w:rPr>
  </w:style>
  <w:style w:type="paragraph" w:customStyle="1" w:styleId="xl77">
    <w:name w:val="xl77"/>
    <w:basedOn w:val="Normal"/>
    <w:rsid w:val="0055114F"/>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textAlignment w:val="top"/>
    </w:pPr>
    <w:rPr>
      <w:rFonts w:ascii="Times New Roman" w:eastAsia="Times New Roman" w:hAnsi="Times New Roman" w:cs="Times New Roman"/>
      <w:b/>
      <w:bCs/>
      <w:color w:val="FF0000"/>
      <w:sz w:val="20"/>
      <w:szCs w:val="20"/>
      <w:lang w:val="en-US"/>
    </w:rPr>
  </w:style>
  <w:style w:type="paragraph" w:customStyle="1" w:styleId="xl78">
    <w:name w:val="xl78"/>
    <w:basedOn w:val="Normal"/>
    <w:rsid w:val="0055114F"/>
    <w:pPr>
      <w:spacing w:before="100" w:beforeAutospacing="1" w:after="100" w:afterAutospacing="1" w:line="240" w:lineRule="auto"/>
      <w:jc w:val="center"/>
      <w:textAlignment w:val="top"/>
    </w:pPr>
    <w:rPr>
      <w:rFonts w:ascii="Times New Roman" w:eastAsia="Times New Roman" w:hAnsi="Times New Roman" w:cs="Times New Roman"/>
      <w:sz w:val="20"/>
      <w:szCs w:val="20"/>
      <w:lang w:val="en-US"/>
    </w:rPr>
  </w:style>
  <w:style w:type="paragraph" w:customStyle="1" w:styleId="xl79">
    <w:name w:val="xl79"/>
    <w:basedOn w:val="Normal"/>
    <w:rsid w:val="0055114F"/>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40" w:lineRule="auto"/>
      <w:jc w:val="center"/>
      <w:textAlignment w:val="top"/>
    </w:pPr>
    <w:rPr>
      <w:rFonts w:ascii="Times New Roman" w:eastAsia="Times New Roman" w:hAnsi="Times New Roman" w:cs="Times New Roman"/>
      <w:sz w:val="20"/>
      <w:szCs w:val="20"/>
      <w:lang w:val="en-US"/>
    </w:rPr>
  </w:style>
  <w:style w:type="paragraph" w:customStyle="1" w:styleId="xl80">
    <w:name w:val="xl80"/>
    <w:basedOn w:val="Normal"/>
    <w:rsid w:val="0055114F"/>
    <w:pPr>
      <w:pBdr>
        <w:left w:val="single" w:sz="4" w:space="0" w:color="auto"/>
        <w:bottom w:val="single" w:sz="4" w:space="0" w:color="auto"/>
        <w:right w:val="single" w:sz="4" w:space="0" w:color="auto"/>
      </w:pBdr>
      <w:shd w:val="clear" w:color="000000" w:fill="DDEBF7"/>
      <w:spacing w:before="100" w:beforeAutospacing="1" w:after="100" w:afterAutospacing="1" w:line="240" w:lineRule="auto"/>
      <w:textAlignment w:val="top"/>
    </w:pPr>
    <w:rPr>
      <w:rFonts w:ascii="Times New Roman" w:eastAsia="Times New Roman" w:hAnsi="Times New Roman" w:cs="Times New Roman"/>
      <w:sz w:val="16"/>
      <w:szCs w:val="16"/>
      <w:lang w:val="en-US"/>
    </w:rPr>
  </w:style>
  <w:style w:type="paragraph" w:customStyle="1" w:styleId="xl81">
    <w:name w:val="xl81"/>
    <w:basedOn w:val="Normal"/>
    <w:rsid w:val="0055114F"/>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textAlignment w:val="top"/>
    </w:pPr>
    <w:rPr>
      <w:rFonts w:ascii="Times New Roman" w:eastAsia="Times New Roman" w:hAnsi="Times New Roman" w:cs="Times New Roman"/>
      <w:sz w:val="16"/>
      <w:szCs w:val="16"/>
      <w:lang w:val="en-US"/>
    </w:rPr>
  </w:style>
  <w:style w:type="paragraph" w:customStyle="1" w:styleId="xl82">
    <w:name w:val="xl82"/>
    <w:basedOn w:val="Normal"/>
    <w:rsid w:val="0055114F"/>
    <w:pPr>
      <w:spacing w:before="100" w:beforeAutospacing="1" w:after="100" w:afterAutospacing="1" w:line="240" w:lineRule="auto"/>
      <w:jc w:val="center"/>
      <w:textAlignment w:val="top"/>
    </w:pPr>
    <w:rPr>
      <w:rFonts w:ascii="Times New Roman" w:eastAsia="Times New Roman" w:hAnsi="Times New Roman" w:cs="Times New Roman"/>
      <w:sz w:val="16"/>
      <w:szCs w:val="16"/>
      <w:lang w:val="en-US"/>
    </w:rPr>
  </w:style>
  <w:style w:type="paragraph" w:customStyle="1" w:styleId="xl83">
    <w:name w:val="xl83"/>
    <w:basedOn w:val="Normal"/>
    <w:rsid w:val="0055114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0"/>
      <w:szCs w:val="20"/>
      <w:lang w:val="en-US"/>
    </w:rPr>
  </w:style>
  <w:style w:type="paragraph" w:customStyle="1" w:styleId="xl84">
    <w:name w:val="xl84"/>
    <w:basedOn w:val="Normal"/>
    <w:rsid w:val="0055114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val="en-US"/>
    </w:rPr>
  </w:style>
  <w:style w:type="paragraph" w:customStyle="1" w:styleId="xl85">
    <w:name w:val="xl85"/>
    <w:basedOn w:val="Normal"/>
    <w:rsid w:val="0055114F"/>
    <w:pPr>
      <w:spacing w:before="100" w:beforeAutospacing="1" w:after="100" w:afterAutospacing="1" w:line="240" w:lineRule="auto"/>
      <w:textAlignment w:val="top"/>
    </w:pPr>
    <w:rPr>
      <w:rFonts w:ascii="Times New Roman" w:eastAsia="Times New Roman" w:hAnsi="Times New Roman" w:cs="Times New Roman"/>
      <w:b/>
      <w:bCs/>
      <w:sz w:val="20"/>
      <w:szCs w:val="20"/>
      <w:lang w:val="en-US"/>
    </w:rPr>
  </w:style>
  <w:style w:type="paragraph" w:customStyle="1" w:styleId="xl86">
    <w:name w:val="xl86"/>
    <w:basedOn w:val="Normal"/>
    <w:rsid w:val="0055114F"/>
    <w:pPr>
      <w:spacing w:before="100" w:beforeAutospacing="1" w:after="100" w:afterAutospacing="1" w:line="240" w:lineRule="auto"/>
      <w:textAlignment w:val="top"/>
    </w:pPr>
    <w:rPr>
      <w:rFonts w:ascii="Times New Roman" w:eastAsia="Times New Roman" w:hAnsi="Times New Roman" w:cs="Times New Roman"/>
      <w:sz w:val="20"/>
      <w:szCs w:val="20"/>
      <w:lang w:val="en-US"/>
    </w:rPr>
  </w:style>
  <w:style w:type="paragraph" w:customStyle="1" w:styleId="xl87">
    <w:name w:val="xl87"/>
    <w:basedOn w:val="Normal"/>
    <w:rsid w:val="0055114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top"/>
    </w:pPr>
    <w:rPr>
      <w:rFonts w:ascii="Times New Roman" w:eastAsia="Times New Roman" w:hAnsi="Times New Roman" w:cs="Times New Roman"/>
      <w:sz w:val="20"/>
      <w:szCs w:val="20"/>
      <w:lang w:val="en-US"/>
    </w:rPr>
  </w:style>
  <w:style w:type="paragraph" w:customStyle="1" w:styleId="xl88">
    <w:name w:val="xl88"/>
    <w:basedOn w:val="Normal"/>
    <w:rsid w:val="0055114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top"/>
    </w:pPr>
    <w:rPr>
      <w:rFonts w:ascii="Times New Roman" w:eastAsia="Times New Roman" w:hAnsi="Times New Roman" w:cs="Times New Roman"/>
      <w:sz w:val="20"/>
      <w:szCs w:val="20"/>
      <w:lang w:val="en-US"/>
    </w:rPr>
  </w:style>
  <w:style w:type="paragraph" w:customStyle="1" w:styleId="xl89">
    <w:name w:val="xl89"/>
    <w:basedOn w:val="Normal"/>
    <w:rsid w:val="0055114F"/>
    <w:pPr>
      <w:spacing w:before="100" w:beforeAutospacing="1" w:after="100" w:afterAutospacing="1" w:line="240" w:lineRule="auto"/>
      <w:textAlignment w:val="top"/>
    </w:pPr>
    <w:rPr>
      <w:rFonts w:ascii="Times New Roman" w:eastAsia="Times New Roman" w:hAnsi="Times New Roman" w:cs="Times New Roman"/>
      <w:i/>
      <w:iCs/>
      <w:sz w:val="20"/>
      <w:szCs w:val="20"/>
      <w:lang w:val="en-US"/>
    </w:rPr>
  </w:style>
  <w:style w:type="paragraph" w:customStyle="1" w:styleId="xl90">
    <w:name w:val="xl90"/>
    <w:basedOn w:val="Normal"/>
    <w:rsid w:val="0055114F"/>
    <w:pPr>
      <w:spacing w:before="100" w:beforeAutospacing="1" w:after="100" w:afterAutospacing="1" w:line="240" w:lineRule="auto"/>
      <w:textAlignment w:val="top"/>
    </w:pPr>
    <w:rPr>
      <w:rFonts w:ascii="Times New Roman" w:eastAsia="Times New Roman" w:hAnsi="Times New Roman" w:cs="Times New Roman"/>
      <w:b/>
      <w:bCs/>
      <w:i/>
      <w:iCs/>
      <w:sz w:val="24"/>
      <w:szCs w:val="24"/>
      <w:lang w:val="en-US"/>
    </w:rPr>
  </w:style>
  <w:style w:type="paragraph" w:customStyle="1" w:styleId="xl91">
    <w:name w:val="xl91"/>
    <w:basedOn w:val="Normal"/>
    <w:rsid w:val="0055114F"/>
    <w:pPr>
      <w:pBdr>
        <w:top w:val="single" w:sz="4" w:space="0" w:color="auto"/>
        <w:left w:val="single" w:sz="4" w:space="0" w:color="auto"/>
        <w:bottom w:val="single" w:sz="4" w:space="0" w:color="auto"/>
        <w:right w:val="single" w:sz="4" w:space="0" w:color="auto"/>
      </w:pBdr>
      <w:shd w:val="clear" w:color="000000" w:fill="D0CECE"/>
      <w:spacing w:before="100" w:beforeAutospacing="1" w:after="100" w:afterAutospacing="1" w:line="240" w:lineRule="auto"/>
      <w:textAlignment w:val="top"/>
    </w:pPr>
    <w:rPr>
      <w:rFonts w:ascii="Times New Roman" w:eastAsia="Times New Roman" w:hAnsi="Times New Roman" w:cs="Times New Roman"/>
      <w:sz w:val="20"/>
      <w:szCs w:val="20"/>
      <w:lang w:val="en-US"/>
    </w:rPr>
  </w:style>
  <w:style w:type="paragraph" w:customStyle="1" w:styleId="xl92">
    <w:name w:val="xl92"/>
    <w:basedOn w:val="Normal"/>
    <w:rsid w:val="0055114F"/>
    <w:pPr>
      <w:pBdr>
        <w:top w:val="single" w:sz="4" w:space="0" w:color="auto"/>
        <w:left w:val="single" w:sz="4" w:space="0" w:color="auto"/>
        <w:bottom w:val="single" w:sz="4" w:space="0" w:color="auto"/>
        <w:right w:val="single" w:sz="4" w:space="0" w:color="auto"/>
      </w:pBdr>
      <w:shd w:val="clear" w:color="000000" w:fill="D0CECE"/>
      <w:spacing w:before="100" w:beforeAutospacing="1" w:after="100" w:afterAutospacing="1" w:line="240" w:lineRule="auto"/>
      <w:textAlignment w:val="top"/>
    </w:pPr>
    <w:rPr>
      <w:rFonts w:ascii="Times New Roman" w:eastAsia="Times New Roman" w:hAnsi="Times New Roman" w:cs="Times New Roman"/>
      <w:sz w:val="20"/>
      <w:szCs w:val="20"/>
      <w:lang w:val="en-US"/>
    </w:rPr>
  </w:style>
  <w:style w:type="paragraph" w:customStyle="1" w:styleId="xl93">
    <w:name w:val="xl93"/>
    <w:basedOn w:val="Normal"/>
    <w:rsid w:val="0055114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FF0000"/>
      <w:sz w:val="20"/>
      <w:szCs w:val="20"/>
      <w:lang w:val="en-US"/>
    </w:rPr>
  </w:style>
  <w:style w:type="paragraph" w:customStyle="1" w:styleId="xl94">
    <w:name w:val="xl94"/>
    <w:basedOn w:val="Normal"/>
    <w:rsid w:val="0055114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val="en-US"/>
    </w:rPr>
  </w:style>
  <w:style w:type="paragraph" w:customStyle="1" w:styleId="xl95">
    <w:name w:val="xl95"/>
    <w:basedOn w:val="Normal"/>
    <w:rsid w:val="0055114F"/>
    <w:pPr>
      <w:pBdr>
        <w:top w:val="single" w:sz="4" w:space="0" w:color="auto"/>
        <w:left w:val="single" w:sz="4" w:space="0" w:color="auto"/>
        <w:bottom w:val="single" w:sz="4" w:space="0" w:color="auto"/>
      </w:pBdr>
      <w:shd w:val="clear" w:color="000000" w:fill="DDEBF7"/>
      <w:spacing w:before="100" w:beforeAutospacing="1" w:after="100" w:afterAutospacing="1" w:line="240" w:lineRule="auto"/>
      <w:jc w:val="center"/>
      <w:textAlignment w:val="top"/>
    </w:pPr>
    <w:rPr>
      <w:rFonts w:ascii="Times New Roman" w:eastAsia="Times New Roman" w:hAnsi="Times New Roman" w:cs="Times New Roman"/>
      <w:sz w:val="20"/>
      <w:szCs w:val="20"/>
      <w:lang w:val="en-US"/>
    </w:rPr>
  </w:style>
  <w:style w:type="paragraph" w:customStyle="1" w:styleId="xl96">
    <w:name w:val="xl96"/>
    <w:basedOn w:val="Normal"/>
    <w:rsid w:val="0055114F"/>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sz w:val="20"/>
      <w:szCs w:val="20"/>
      <w:lang w:val="en-US"/>
    </w:rPr>
  </w:style>
  <w:style w:type="paragraph" w:customStyle="1" w:styleId="xl97">
    <w:name w:val="xl97"/>
    <w:basedOn w:val="Normal"/>
    <w:rsid w:val="0055114F"/>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sz w:val="20"/>
      <w:szCs w:val="20"/>
      <w:lang w:val="en-US"/>
    </w:rPr>
  </w:style>
  <w:style w:type="paragraph" w:customStyle="1" w:styleId="xl98">
    <w:name w:val="xl98"/>
    <w:basedOn w:val="Normal"/>
    <w:rsid w:val="0055114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sz w:val="20"/>
      <w:szCs w:val="20"/>
      <w:lang w:val="en-US"/>
    </w:rPr>
  </w:style>
  <w:style w:type="paragraph" w:customStyle="1" w:styleId="xl99">
    <w:name w:val="xl99"/>
    <w:basedOn w:val="Normal"/>
    <w:rsid w:val="0055114F"/>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top"/>
    </w:pPr>
    <w:rPr>
      <w:rFonts w:ascii="Times New Roman" w:eastAsia="Times New Roman" w:hAnsi="Times New Roman" w:cs="Times New Roman"/>
      <w:sz w:val="20"/>
      <w:szCs w:val="20"/>
      <w:lang w:val="en-US"/>
    </w:rPr>
  </w:style>
  <w:style w:type="paragraph" w:customStyle="1" w:styleId="xl100">
    <w:name w:val="xl100"/>
    <w:basedOn w:val="Normal"/>
    <w:rsid w:val="0055114F"/>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40" w:lineRule="auto"/>
      <w:jc w:val="center"/>
      <w:textAlignment w:val="top"/>
    </w:pPr>
    <w:rPr>
      <w:rFonts w:ascii="Times New Roman" w:eastAsia="Times New Roman" w:hAnsi="Times New Roman" w:cs="Times New Roman"/>
      <w:sz w:val="20"/>
      <w:szCs w:val="20"/>
      <w:lang w:val="en-US"/>
    </w:rPr>
  </w:style>
  <w:style w:type="paragraph" w:customStyle="1" w:styleId="xl101">
    <w:name w:val="xl101"/>
    <w:basedOn w:val="Normal"/>
    <w:rsid w:val="0055114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lang w:val="en-US"/>
    </w:rPr>
  </w:style>
  <w:style w:type="paragraph" w:customStyle="1" w:styleId="xl102">
    <w:name w:val="xl102"/>
    <w:basedOn w:val="Normal"/>
    <w:rsid w:val="0055114F"/>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top"/>
    </w:pPr>
    <w:rPr>
      <w:rFonts w:ascii="Times New Roman" w:eastAsia="Times New Roman" w:hAnsi="Times New Roman" w:cs="Times New Roman"/>
      <w:sz w:val="20"/>
      <w:szCs w:val="20"/>
      <w:lang w:val="en-US"/>
    </w:rPr>
  </w:style>
  <w:style w:type="paragraph" w:customStyle="1" w:styleId="xl103">
    <w:name w:val="xl103"/>
    <w:basedOn w:val="Normal"/>
    <w:rsid w:val="0055114F"/>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40" w:lineRule="auto"/>
      <w:jc w:val="center"/>
      <w:textAlignment w:val="top"/>
    </w:pPr>
    <w:rPr>
      <w:rFonts w:ascii="Times New Roman" w:eastAsia="Times New Roman" w:hAnsi="Times New Roman" w:cs="Times New Roman"/>
      <w:sz w:val="20"/>
      <w:szCs w:val="20"/>
      <w:lang w:val="en-US"/>
    </w:rPr>
  </w:style>
  <w:style w:type="paragraph" w:customStyle="1" w:styleId="xl104">
    <w:name w:val="xl104"/>
    <w:basedOn w:val="Normal"/>
    <w:rsid w:val="0055114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sz w:val="20"/>
      <w:szCs w:val="20"/>
      <w:lang w:val="en-US"/>
    </w:rPr>
  </w:style>
  <w:style w:type="paragraph" w:customStyle="1" w:styleId="xl105">
    <w:name w:val="xl105"/>
    <w:basedOn w:val="Normal"/>
    <w:rsid w:val="0055114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val="en-US"/>
    </w:rPr>
  </w:style>
  <w:style w:type="paragraph" w:customStyle="1" w:styleId="xl106">
    <w:name w:val="xl106"/>
    <w:basedOn w:val="Normal"/>
    <w:rsid w:val="0055114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sz w:val="20"/>
      <w:szCs w:val="20"/>
      <w:lang w:val="en-US"/>
    </w:rPr>
  </w:style>
  <w:style w:type="paragraph" w:customStyle="1" w:styleId="xl107">
    <w:name w:val="xl107"/>
    <w:basedOn w:val="Normal"/>
    <w:rsid w:val="0055114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sz w:val="16"/>
      <w:szCs w:val="16"/>
      <w:lang w:val="en-US"/>
    </w:rPr>
  </w:style>
  <w:style w:type="paragraph" w:customStyle="1" w:styleId="xl108">
    <w:name w:val="xl108"/>
    <w:basedOn w:val="Normal"/>
    <w:rsid w:val="0055114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top"/>
    </w:pPr>
    <w:rPr>
      <w:rFonts w:ascii="Times New Roman" w:eastAsia="Times New Roman" w:hAnsi="Times New Roman" w:cs="Times New Roman"/>
      <w:sz w:val="20"/>
      <w:szCs w:val="20"/>
      <w:lang w:val="en-US"/>
    </w:rPr>
  </w:style>
  <w:style w:type="paragraph" w:customStyle="1" w:styleId="xl109">
    <w:name w:val="xl109"/>
    <w:basedOn w:val="Normal"/>
    <w:rsid w:val="0055114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top"/>
    </w:pPr>
    <w:rPr>
      <w:rFonts w:ascii="Times New Roman" w:eastAsia="Times New Roman" w:hAnsi="Times New Roman" w:cs="Times New Roman"/>
      <w:sz w:val="20"/>
      <w:szCs w:val="20"/>
      <w:lang w:val="en-US"/>
    </w:rPr>
  </w:style>
  <w:style w:type="paragraph" w:customStyle="1" w:styleId="xl110">
    <w:name w:val="xl110"/>
    <w:basedOn w:val="Normal"/>
    <w:rsid w:val="0055114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top"/>
    </w:pPr>
    <w:rPr>
      <w:rFonts w:ascii="Times New Roman" w:eastAsia="Times New Roman" w:hAnsi="Times New Roman" w:cs="Times New Roman"/>
      <w:sz w:val="16"/>
      <w:szCs w:val="16"/>
      <w:lang w:val="en-US"/>
    </w:rPr>
  </w:style>
  <w:style w:type="paragraph" w:customStyle="1" w:styleId="xl111">
    <w:name w:val="xl111"/>
    <w:basedOn w:val="Normal"/>
    <w:rsid w:val="0055114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top"/>
    </w:pPr>
    <w:rPr>
      <w:rFonts w:ascii="Times New Roman" w:eastAsia="Times New Roman" w:hAnsi="Times New Roman" w:cs="Times New Roman"/>
      <w:sz w:val="16"/>
      <w:szCs w:val="16"/>
      <w:lang w:val="en-US"/>
    </w:rPr>
  </w:style>
  <w:style w:type="paragraph" w:customStyle="1" w:styleId="xl112">
    <w:name w:val="xl112"/>
    <w:basedOn w:val="Normal"/>
    <w:rsid w:val="0055114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0"/>
      <w:szCs w:val="20"/>
      <w:lang w:val="en-US"/>
    </w:rPr>
  </w:style>
  <w:style w:type="paragraph" w:customStyle="1" w:styleId="xl113">
    <w:name w:val="xl113"/>
    <w:basedOn w:val="Normal"/>
    <w:rsid w:val="0055114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sz w:val="20"/>
      <w:szCs w:val="20"/>
      <w:lang w:val="en-US"/>
    </w:rPr>
  </w:style>
  <w:style w:type="paragraph" w:customStyle="1" w:styleId="xl114">
    <w:name w:val="xl114"/>
    <w:basedOn w:val="Normal"/>
    <w:rsid w:val="0055114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color w:val="FF0000"/>
      <w:sz w:val="20"/>
      <w:szCs w:val="20"/>
      <w:lang w:val="en-US"/>
    </w:rPr>
  </w:style>
  <w:style w:type="paragraph" w:customStyle="1" w:styleId="xl115">
    <w:name w:val="xl115"/>
    <w:basedOn w:val="Normal"/>
    <w:rsid w:val="0055114F"/>
    <w:pPr>
      <w:pBdr>
        <w:top w:val="single" w:sz="4" w:space="0" w:color="auto"/>
        <w:left w:val="single" w:sz="4" w:space="0" w:color="auto"/>
        <w:right w:val="single" w:sz="4" w:space="0" w:color="auto"/>
      </w:pBdr>
      <w:shd w:val="clear" w:color="000000" w:fill="D0CECE"/>
      <w:spacing w:before="100" w:beforeAutospacing="1" w:after="100" w:afterAutospacing="1" w:line="240" w:lineRule="auto"/>
      <w:textAlignment w:val="top"/>
    </w:pPr>
    <w:rPr>
      <w:rFonts w:ascii="Times New Roman" w:eastAsia="Times New Roman" w:hAnsi="Times New Roman" w:cs="Times New Roman"/>
      <w:sz w:val="20"/>
      <w:szCs w:val="20"/>
      <w:lang w:val="en-US"/>
    </w:rPr>
  </w:style>
  <w:style w:type="paragraph" w:customStyle="1" w:styleId="xl116">
    <w:name w:val="xl116"/>
    <w:basedOn w:val="Normal"/>
    <w:rsid w:val="0055114F"/>
    <w:pPr>
      <w:pBdr>
        <w:left w:val="single" w:sz="4" w:space="0" w:color="auto"/>
        <w:right w:val="single" w:sz="4" w:space="0" w:color="auto"/>
      </w:pBdr>
      <w:shd w:val="clear" w:color="000000" w:fill="D0CECE"/>
      <w:spacing w:before="100" w:beforeAutospacing="1" w:after="100" w:afterAutospacing="1" w:line="240" w:lineRule="auto"/>
      <w:textAlignment w:val="top"/>
    </w:pPr>
    <w:rPr>
      <w:rFonts w:ascii="Times New Roman" w:eastAsia="Times New Roman" w:hAnsi="Times New Roman" w:cs="Times New Roman"/>
      <w:sz w:val="20"/>
      <w:szCs w:val="20"/>
      <w:lang w:val="en-US"/>
    </w:rPr>
  </w:style>
  <w:style w:type="paragraph" w:customStyle="1" w:styleId="xl117">
    <w:name w:val="xl117"/>
    <w:basedOn w:val="Normal"/>
    <w:rsid w:val="0055114F"/>
    <w:pPr>
      <w:pBdr>
        <w:left w:val="single" w:sz="4" w:space="0" w:color="auto"/>
        <w:bottom w:val="single" w:sz="4" w:space="0" w:color="auto"/>
        <w:right w:val="single" w:sz="4" w:space="0" w:color="auto"/>
      </w:pBdr>
      <w:shd w:val="clear" w:color="000000" w:fill="D0CECE"/>
      <w:spacing w:before="100" w:beforeAutospacing="1" w:after="100" w:afterAutospacing="1" w:line="240" w:lineRule="auto"/>
      <w:textAlignment w:val="top"/>
    </w:pPr>
    <w:rPr>
      <w:rFonts w:ascii="Times New Roman" w:eastAsia="Times New Roman" w:hAnsi="Times New Roman" w:cs="Times New Roman"/>
      <w:sz w:val="20"/>
      <w:szCs w:val="20"/>
      <w:lang w:val="en-US"/>
    </w:rPr>
  </w:style>
  <w:style w:type="paragraph" w:customStyle="1" w:styleId="xl118">
    <w:name w:val="xl118"/>
    <w:basedOn w:val="Normal"/>
    <w:rsid w:val="0055114F"/>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0"/>
      <w:szCs w:val="20"/>
      <w:lang w:val="en-US"/>
    </w:rPr>
  </w:style>
  <w:style w:type="paragraph" w:customStyle="1" w:styleId="xl119">
    <w:name w:val="xl119"/>
    <w:basedOn w:val="Normal"/>
    <w:rsid w:val="0055114F"/>
    <w:pPr>
      <w:pBdr>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0"/>
      <w:szCs w:val="20"/>
      <w:lang w:val="en-US"/>
    </w:rPr>
  </w:style>
  <w:style w:type="paragraph" w:customStyle="1" w:styleId="xl120">
    <w:name w:val="xl120"/>
    <w:basedOn w:val="Normal"/>
    <w:rsid w:val="0055114F"/>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0"/>
      <w:szCs w:val="20"/>
      <w:lang w:val="en-US"/>
    </w:rPr>
  </w:style>
  <w:style w:type="paragraph" w:customStyle="1" w:styleId="xl121">
    <w:name w:val="xl121"/>
    <w:basedOn w:val="Normal"/>
    <w:rsid w:val="0055114F"/>
    <w:pPr>
      <w:pBdr>
        <w:top w:val="single" w:sz="4" w:space="0" w:color="auto"/>
        <w:left w:val="single" w:sz="4" w:space="0" w:color="auto"/>
        <w:bottom w:val="single" w:sz="4" w:space="0" w:color="auto"/>
      </w:pBdr>
      <w:shd w:val="clear" w:color="000000" w:fill="DDEBF7"/>
      <w:spacing w:before="100" w:beforeAutospacing="1" w:after="100" w:afterAutospacing="1" w:line="240" w:lineRule="auto"/>
      <w:jc w:val="center"/>
      <w:textAlignment w:val="top"/>
    </w:pPr>
    <w:rPr>
      <w:rFonts w:ascii="Times New Roman" w:eastAsia="Times New Roman" w:hAnsi="Times New Roman" w:cs="Times New Roman"/>
      <w:b/>
      <w:bCs/>
      <w:sz w:val="20"/>
      <w:szCs w:val="20"/>
      <w:lang w:val="en-US"/>
    </w:rPr>
  </w:style>
  <w:style w:type="paragraph" w:customStyle="1" w:styleId="xl122">
    <w:name w:val="xl122"/>
    <w:basedOn w:val="Normal"/>
    <w:rsid w:val="0055114F"/>
    <w:pPr>
      <w:pBdr>
        <w:top w:val="single" w:sz="4" w:space="0" w:color="auto"/>
        <w:bottom w:val="single" w:sz="4" w:space="0" w:color="auto"/>
      </w:pBdr>
      <w:shd w:val="clear" w:color="000000" w:fill="DDEBF7"/>
      <w:spacing w:before="100" w:beforeAutospacing="1" w:after="100" w:afterAutospacing="1" w:line="240" w:lineRule="auto"/>
      <w:jc w:val="center"/>
      <w:textAlignment w:val="top"/>
    </w:pPr>
    <w:rPr>
      <w:rFonts w:ascii="Times New Roman" w:eastAsia="Times New Roman" w:hAnsi="Times New Roman" w:cs="Times New Roman"/>
      <w:b/>
      <w:bCs/>
      <w:sz w:val="20"/>
      <w:szCs w:val="20"/>
      <w:lang w:val="en-US"/>
    </w:rPr>
  </w:style>
  <w:style w:type="paragraph" w:customStyle="1" w:styleId="xl123">
    <w:name w:val="xl123"/>
    <w:basedOn w:val="Normal"/>
    <w:rsid w:val="0055114F"/>
    <w:pPr>
      <w:pBdr>
        <w:top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top"/>
    </w:pPr>
    <w:rPr>
      <w:rFonts w:ascii="Times New Roman" w:eastAsia="Times New Roman" w:hAnsi="Times New Roman" w:cs="Times New Roman"/>
      <w:b/>
      <w:bCs/>
      <w:sz w:val="20"/>
      <w:szCs w:val="20"/>
      <w:lang w:val="en-US"/>
    </w:rPr>
  </w:style>
  <w:style w:type="paragraph" w:customStyle="1" w:styleId="xl124">
    <w:name w:val="xl124"/>
    <w:basedOn w:val="Normal"/>
    <w:rsid w:val="0055114F"/>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textAlignment w:val="top"/>
    </w:pPr>
    <w:rPr>
      <w:rFonts w:ascii="Times New Roman" w:eastAsia="Times New Roman" w:hAnsi="Times New Roman" w:cs="Times New Roman"/>
      <w:sz w:val="20"/>
      <w:szCs w:val="20"/>
      <w:lang w:val="en-US"/>
    </w:rPr>
  </w:style>
  <w:style w:type="paragraph" w:customStyle="1" w:styleId="xl125">
    <w:name w:val="xl125"/>
    <w:basedOn w:val="Normal"/>
    <w:rsid w:val="0055114F"/>
    <w:pPr>
      <w:pBdr>
        <w:top w:val="single" w:sz="4" w:space="0" w:color="auto"/>
        <w:left w:val="single" w:sz="4" w:space="0" w:color="auto"/>
        <w:right w:val="single" w:sz="4" w:space="0" w:color="auto"/>
      </w:pBdr>
      <w:shd w:val="clear" w:color="000000" w:fill="DDEBF7"/>
      <w:spacing w:before="100" w:beforeAutospacing="1" w:after="100" w:afterAutospacing="1" w:line="240" w:lineRule="auto"/>
      <w:textAlignment w:val="top"/>
    </w:pPr>
    <w:rPr>
      <w:rFonts w:ascii="Times New Roman" w:eastAsia="Times New Roman" w:hAnsi="Times New Roman" w:cs="Times New Roman"/>
      <w:sz w:val="20"/>
      <w:szCs w:val="20"/>
      <w:lang w:val="en-US"/>
    </w:rPr>
  </w:style>
  <w:style w:type="paragraph" w:customStyle="1" w:styleId="xl126">
    <w:name w:val="xl126"/>
    <w:basedOn w:val="Normal"/>
    <w:rsid w:val="0055114F"/>
    <w:pPr>
      <w:pBdr>
        <w:top w:val="single" w:sz="4" w:space="0" w:color="auto"/>
        <w:left w:val="single" w:sz="4" w:space="0" w:color="auto"/>
        <w:bottom w:val="single" w:sz="4" w:space="0" w:color="auto"/>
      </w:pBdr>
      <w:shd w:val="clear" w:color="000000" w:fill="DDEBF7"/>
      <w:spacing w:before="100" w:beforeAutospacing="1" w:after="100" w:afterAutospacing="1" w:line="240" w:lineRule="auto"/>
      <w:jc w:val="center"/>
      <w:textAlignment w:val="top"/>
    </w:pPr>
    <w:rPr>
      <w:rFonts w:ascii="Times New Roman" w:eastAsia="Times New Roman" w:hAnsi="Times New Roman" w:cs="Times New Roman"/>
      <w:i/>
      <w:iCs/>
      <w:sz w:val="20"/>
      <w:szCs w:val="20"/>
      <w:lang w:val="en-US"/>
    </w:rPr>
  </w:style>
  <w:style w:type="paragraph" w:customStyle="1" w:styleId="xl127">
    <w:name w:val="xl127"/>
    <w:basedOn w:val="Normal"/>
    <w:rsid w:val="0055114F"/>
    <w:pPr>
      <w:pBdr>
        <w:top w:val="single" w:sz="4" w:space="0" w:color="auto"/>
        <w:bottom w:val="single" w:sz="4" w:space="0" w:color="auto"/>
      </w:pBdr>
      <w:shd w:val="clear" w:color="000000" w:fill="DDEBF7"/>
      <w:spacing w:before="100" w:beforeAutospacing="1" w:after="100" w:afterAutospacing="1" w:line="240" w:lineRule="auto"/>
      <w:jc w:val="center"/>
      <w:textAlignment w:val="top"/>
    </w:pPr>
    <w:rPr>
      <w:rFonts w:ascii="Times New Roman" w:eastAsia="Times New Roman" w:hAnsi="Times New Roman" w:cs="Times New Roman"/>
      <w:i/>
      <w:iCs/>
      <w:sz w:val="20"/>
      <w:szCs w:val="20"/>
      <w:lang w:val="en-US"/>
    </w:rPr>
  </w:style>
  <w:style w:type="paragraph" w:customStyle="1" w:styleId="xl128">
    <w:name w:val="xl128"/>
    <w:basedOn w:val="Normal"/>
    <w:rsid w:val="0055114F"/>
    <w:pPr>
      <w:pBdr>
        <w:top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top"/>
    </w:pPr>
    <w:rPr>
      <w:rFonts w:ascii="Times New Roman" w:eastAsia="Times New Roman" w:hAnsi="Times New Roman" w:cs="Times New Roman"/>
      <w:i/>
      <w:iCs/>
      <w:sz w:val="20"/>
      <w:szCs w:val="20"/>
      <w:lang w:val="en-US"/>
    </w:rPr>
  </w:style>
  <w:style w:type="paragraph" w:customStyle="1" w:styleId="xl129">
    <w:name w:val="xl129"/>
    <w:basedOn w:val="Normal"/>
    <w:rsid w:val="0055114F"/>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val="en-US"/>
    </w:rPr>
  </w:style>
  <w:style w:type="paragraph" w:customStyle="1" w:styleId="xl130">
    <w:name w:val="xl130"/>
    <w:basedOn w:val="Normal"/>
    <w:rsid w:val="0055114F"/>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val="en-US"/>
    </w:rPr>
  </w:style>
  <w:style w:type="paragraph" w:customStyle="1" w:styleId="xl131">
    <w:name w:val="xl131"/>
    <w:basedOn w:val="Normal"/>
    <w:rsid w:val="0055114F"/>
    <w:pPr>
      <w:pBdr>
        <w:top w:val="single" w:sz="4" w:space="0" w:color="auto"/>
        <w:left w:val="single" w:sz="4" w:space="0" w:color="auto"/>
        <w:right w:val="single" w:sz="4" w:space="0" w:color="auto"/>
      </w:pBdr>
      <w:shd w:val="clear" w:color="000000" w:fill="D9D9D9"/>
      <w:spacing w:before="100" w:beforeAutospacing="1" w:after="100" w:afterAutospacing="1" w:line="240" w:lineRule="auto"/>
      <w:textAlignment w:val="top"/>
    </w:pPr>
    <w:rPr>
      <w:rFonts w:ascii="Times New Roman" w:eastAsia="Times New Roman" w:hAnsi="Times New Roman" w:cs="Times New Roman"/>
      <w:sz w:val="20"/>
      <w:szCs w:val="20"/>
      <w:lang w:val="en-US"/>
    </w:rPr>
  </w:style>
  <w:style w:type="paragraph" w:customStyle="1" w:styleId="xl132">
    <w:name w:val="xl132"/>
    <w:basedOn w:val="Normal"/>
    <w:rsid w:val="0055114F"/>
    <w:pPr>
      <w:pBdr>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top"/>
    </w:pPr>
    <w:rPr>
      <w:rFonts w:ascii="Times New Roman" w:eastAsia="Times New Roman" w:hAnsi="Times New Roman" w:cs="Times New Roman"/>
      <w:sz w:val="20"/>
      <w:szCs w:val="20"/>
      <w:lang w:val="en-US"/>
    </w:rPr>
  </w:style>
  <w:style w:type="paragraph" w:customStyle="1" w:styleId="xl133">
    <w:name w:val="xl133"/>
    <w:basedOn w:val="Normal"/>
    <w:rsid w:val="0055114F"/>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top"/>
    </w:pPr>
    <w:rPr>
      <w:rFonts w:ascii="Times New Roman" w:eastAsia="Times New Roman" w:hAnsi="Times New Roman" w:cs="Times New Roman"/>
      <w:b/>
      <w:bCs/>
      <w:i/>
      <w:iCs/>
      <w:sz w:val="24"/>
      <w:szCs w:val="24"/>
      <w:lang w:val="en-US"/>
    </w:rPr>
  </w:style>
  <w:style w:type="character" w:customStyle="1" w:styleId="UnresolvedMention1">
    <w:name w:val="Unresolved Mention1"/>
    <w:basedOn w:val="DefaultParagraphFont"/>
    <w:uiPriority w:val="99"/>
    <w:semiHidden/>
    <w:unhideWhenUsed/>
    <w:rsid w:val="003228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4838">
      <w:bodyDiv w:val="1"/>
      <w:marLeft w:val="0"/>
      <w:marRight w:val="0"/>
      <w:marTop w:val="0"/>
      <w:marBottom w:val="0"/>
      <w:divBdr>
        <w:top w:val="none" w:sz="0" w:space="0" w:color="auto"/>
        <w:left w:val="none" w:sz="0" w:space="0" w:color="auto"/>
        <w:bottom w:val="none" w:sz="0" w:space="0" w:color="auto"/>
        <w:right w:val="none" w:sz="0" w:space="0" w:color="auto"/>
      </w:divBdr>
    </w:div>
    <w:div w:id="1131304">
      <w:bodyDiv w:val="1"/>
      <w:marLeft w:val="0"/>
      <w:marRight w:val="0"/>
      <w:marTop w:val="0"/>
      <w:marBottom w:val="0"/>
      <w:divBdr>
        <w:top w:val="none" w:sz="0" w:space="0" w:color="auto"/>
        <w:left w:val="none" w:sz="0" w:space="0" w:color="auto"/>
        <w:bottom w:val="none" w:sz="0" w:space="0" w:color="auto"/>
        <w:right w:val="none" w:sz="0" w:space="0" w:color="auto"/>
      </w:divBdr>
    </w:div>
    <w:div w:id="1443135">
      <w:bodyDiv w:val="1"/>
      <w:marLeft w:val="0"/>
      <w:marRight w:val="0"/>
      <w:marTop w:val="0"/>
      <w:marBottom w:val="0"/>
      <w:divBdr>
        <w:top w:val="none" w:sz="0" w:space="0" w:color="auto"/>
        <w:left w:val="none" w:sz="0" w:space="0" w:color="auto"/>
        <w:bottom w:val="none" w:sz="0" w:space="0" w:color="auto"/>
        <w:right w:val="none" w:sz="0" w:space="0" w:color="auto"/>
      </w:divBdr>
    </w:div>
    <w:div w:id="1474509">
      <w:bodyDiv w:val="1"/>
      <w:marLeft w:val="0"/>
      <w:marRight w:val="0"/>
      <w:marTop w:val="0"/>
      <w:marBottom w:val="0"/>
      <w:divBdr>
        <w:top w:val="none" w:sz="0" w:space="0" w:color="auto"/>
        <w:left w:val="none" w:sz="0" w:space="0" w:color="auto"/>
        <w:bottom w:val="none" w:sz="0" w:space="0" w:color="auto"/>
        <w:right w:val="none" w:sz="0" w:space="0" w:color="auto"/>
      </w:divBdr>
    </w:div>
    <w:div w:id="1516923">
      <w:bodyDiv w:val="1"/>
      <w:marLeft w:val="0"/>
      <w:marRight w:val="0"/>
      <w:marTop w:val="0"/>
      <w:marBottom w:val="0"/>
      <w:divBdr>
        <w:top w:val="none" w:sz="0" w:space="0" w:color="auto"/>
        <w:left w:val="none" w:sz="0" w:space="0" w:color="auto"/>
        <w:bottom w:val="none" w:sz="0" w:space="0" w:color="auto"/>
        <w:right w:val="none" w:sz="0" w:space="0" w:color="auto"/>
      </w:divBdr>
    </w:div>
    <w:div w:id="2293762">
      <w:bodyDiv w:val="1"/>
      <w:marLeft w:val="0"/>
      <w:marRight w:val="0"/>
      <w:marTop w:val="0"/>
      <w:marBottom w:val="0"/>
      <w:divBdr>
        <w:top w:val="none" w:sz="0" w:space="0" w:color="auto"/>
        <w:left w:val="none" w:sz="0" w:space="0" w:color="auto"/>
        <w:bottom w:val="none" w:sz="0" w:space="0" w:color="auto"/>
        <w:right w:val="none" w:sz="0" w:space="0" w:color="auto"/>
      </w:divBdr>
    </w:div>
    <w:div w:id="2629234">
      <w:bodyDiv w:val="1"/>
      <w:marLeft w:val="0"/>
      <w:marRight w:val="0"/>
      <w:marTop w:val="0"/>
      <w:marBottom w:val="0"/>
      <w:divBdr>
        <w:top w:val="none" w:sz="0" w:space="0" w:color="auto"/>
        <w:left w:val="none" w:sz="0" w:space="0" w:color="auto"/>
        <w:bottom w:val="none" w:sz="0" w:space="0" w:color="auto"/>
        <w:right w:val="none" w:sz="0" w:space="0" w:color="auto"/>
      </w:divBdr>
    </w:div>
    <w:div w:id="3093230">
      <w:bodyDiv w:val="1"/>
      <w:marLeft w:val="0"/>
      <w:marRight w:val="0"/>
      <w:marTop w:val="0"/>
      <w:marBottom w:val="0"/>
      <w:divBdr>
        <w:top w:val="none" w:sz="0" w:space="0" w:color="auto"/>
        <w:left w:val="none" w:sz="0" w:space="0" w:color="auto"/>
        <w:bottom w:val="none" w:sz="0" w:space="0" w:color="auto"/>
        <w:right w:val="none" w:sz="0" w:space="0" w:color="auto"/>
      </w:divBdr>
    </w:div>
    <w:div w:id="4020413">
      <w:bodyDiv w:val="1"/>
      <w:marLeft w:val="0"/>
      <w:marRight w:val="0"/>
      <w:marTop w:val="0"/>
      <w:marBottom w:val="0"/>
      <w:divBdr>
        <w:top w:val="none" w:sz="0" w:space="0" w:color="auto"/>
        <w:left w:val="none" w:sz="0" w:space="0" w:color="auto"/>
        <w:bottom w:val="none" w:sz="0" w:space="0" w:color="auto"/>
        <w:right w:val="none" w:sz="0" w:space="0" w:color="auto"/>
      </w:divBdr>
    </w:div>
    <w:div w:id="5250678">
      <w:bodyDiv w:val="1"/>
      <w:marLeft w:val="0"/>
      <w:marRight w:val="0"/>
      <w:marTop w:val="0"/>
      <w:marBottom w:val="0"/>
      <w:divBdr>
        <w:top w:val="none" w:sz="0" w:space="0" w:color="auto"/>
        <w:left w:val="none" w:sz="0" w:space="0" w:color="auto"/>
        <w:bottom w:val="none" w:sz="0" w:space="0" w:color="auto"/>
        <w:right w:val="none" w:sz="0" w:space="0" w:color="auto"/>
      </w:divBdr>
    </w:div>
    <w:div w:id="5402082">
      <w:bodyDiv w:val="1"/>
      <w:marLeft w:val="0"/>
      <w:marRight w:val="0"/>
      <w:marTop w:val="0"/>
      <w:marBottom w:val="0"/>
      <w:divBdr>
        <w:top w:val="none" w:sz="0" w:space="0" w:color="auto"/>
        <w:left w:val="none" w:sz="0" w:space="0" w:color="auto"/>
        <w:bottom w:val="none" w:sz="0" w:space="0" w:color="auto"/>
        <w:right w:val="none" w:sz="0" w:space="0" w:color="auto"/>
      </w:divBdr>
    </w:div>
    <w:div w:id="5637715">
      <w:bodyDiv w:val="1"/>
      <w:marLeft w:val="0"/>
      <w:marRight w:val="0"/>
      <w:marTop w:val="0"/>
      <w:marBottom w:val="0"/>
      <w:divBdr>
        <w:top w:val="none" w:sz="0" w:space="0" w:color="auto"/>
        <w:left w:val="none" w:sz="0" w:space="0" w:color="auto"/>
        <w:bottom w:val="none" w:sz="0" w:space="0" w:color="auto"/>
        <w:right w:val="none" w:sz="0" w:space="0" w:color="auto"/>
      </w:divBdr>
    </w:div>
    <w:div w:id="6451047">
      <w:bodyDiv w:val="1"/>
      <w:marLeft w:val="0"/>
      <w:marRight w:val="0"/>
      <w:marTop w:val="0"/>
      <w:marBottom w:val="0"/>
      <w:divBdr>
        <w:top w:val="none" w:sz="0" w:space="0" w:color="auto"/>
        <w:left w:val="none" w:sz="0" w:space="0" w:color="auto"/>
        <w:bottom w:val="none" w:sz="0" w:space="0" w:color="auto"/>
        <w:right w:val="none" w:sz="0" w:space="0" w:color="auto"/>
      </w:divBdr>
    </w:div>
    <w:div w:id="7147031">
      <w:bodyDiv w:val="1"/>
      <w:marLeft w:val="0"/>
      <w:marRight w:val="0"/>
      <w:marTop w:val="0"/>
      <w:marBottom w:val="0"/>
      <w:divBdr>
        <w:top w:val="none" w:sz="0" w:space="0" w:color="auto"/>
        <w:left w:val="none" w:sz="0" w:space="0" w:color="auto"/>
        <w:bottom w:val="none" w:sz="0" w:space="0" w:color="auto"/>
        <w:right w:val="none" w:sz="0" w:space="0" w:color="auto"/>
      </w:divBdr>
    </w:div>
    <w:div w:id="7215218">
      <w:bodyDiv w:val="1"/>
      <w:marLeft w:val="0"/>
      <w:marRight w:val="0"/>
      <w:marTop w:val="0"/>
      <w:marBottom w:val="0"/>
      <w:divBdr>
        <w:top w:val="none" w:sz="0" w:space="0" w:color="auto"/>
        <w:left w:val="none" w:sz="0" w:space="0" w:color="auto"/>
        <w:bottom w:val="none" w:sz="0" w:space="0" w:color="auto"/>
        <w:right w:val="none" w:sz="0" w:space="0" w:color="auto"/>
      </w:divBdr>
    </w:div>
    <w:div w:id="8143101">
      <w:bodyDiv w:val="1"/>
      <w:marLeft w:val="0"/>
      <w:marRight w:val="0"/>
      <w:marTop w:val="0"/>
      <w:marBottom w:val="0"/>
      <w:divBdr>
        <w:top w:val="none" w:sz="0" w:space="0" w:color="auto"/>
        <w:left w:val="none" w:sz="0" w:space="0" w:color="auto"/>
        <w:bottom w:val="none" w:sz="0" w:space="0" w:color="auto"/>
        <w:right w:val="none" w:sz="0" w:space="0" w:color="auto"/>
      </w:divBdr>
    </w:div>
    <w:div w:id="8409703">
      <w:bodyDiv w:val="1"/>
      <w:marLeft w:val="0"/>
      <w:marRight w:val="0"/>
      <w:marTop w:val="0"/>
      <w:marBottom w:val="0"/>
      <w:divBdr>
        <w:top w:val="none" w:sz="0" w:space="0" w:color="auto"/>
        <w:left w:val="none" w:sz="0" w:space="0" w:color="auto"/>
        <w:bottom w:val="none" w:sz="0" w:space="0" w:color="auto"/>
        <w:right w:val="none" w:sz="0" w:space="0" w:color="auto"/>
      </w:divBdr>
    </w:div>
    <w:div w:id="8413513">
      <w:bodyDiv w:val="1"/>
      <w:marLeft w:val="0"/>
      <w:marRight w:val="0"/>
      <w:marTop w:val="0"/>
      <w:marBottom w:val="0"/>
      <w:divBdr>
        <w:top w:val="none" w:sz="0" w:space="0" w:color="auto"/>
        <w:left w:val="none" w:sz="0" w:space="0" w:color="auto"/>
        <w:bottom w:val="none" w:sz="0" w:space="0" w:color="auto"/>
        <w:right w:val="none" w:sz="0" w:space="0" w:color="auto"/>
      </w:divBdr>
    </w:div>
    <w:div w:id="8917435">
      <w:bodyDiv w:val="1"/>
      <w:marLeft w:val="0"/>
      <w:marRight w:val="0"/>
      <w:marTop w:val="0"/>
      <w:marBottom w:val="0"/>
      <w:divBdr>
        <w:top w:val="none" w:sz="0" w:space="0" w:color="auto"/>
        <w:left w:val="none" w:sz="0" w:space="0" w:color="auto"/>
        <w:bottom w:val="none" w:sz="0" w:space="0" w:color="auto"/>
        <w:right w:val="none" w:sz="0" w:space="0" w:color="auto"/>
      </w:divBdr>
    </w:div>
    <w:div w:id="9262706">
      <w:bodyDiv w:val="1"/>
      <w:marLeft w:val="0"/>
      <w:marRight w:val="0"/>
      <w:marTop w:val="0"/>
      <w:marBottom w:val="0"/>
      <w:divBdr>
        <w:top w:val="none" w:sz="0" w:space="0" w:color="auto"/>
        <w:left w:val="none" w:sz="0" w:space="0" w:color="auto"/>
        <w:bottom w:val="none" w:sz="0" w:space="0" w:color="auto"/>
        <w:right w:val="none" w:sz="0" w:space="0" w:color="auto"/>
      </w:divBdr>
    </w:div>
    <w:div w:id="9331609">
      <w:bodyDiv w:val="1"/>
      <w:marLeft w:val="0"/>
      <w:marRight w:val="0"/>
      <w:marTop w:val="0"/>
      <w:marBottom w:val="0"/>
      <w:divBdr>
        <w:top w:val="none" w:sz="0" w:space="0" w:color="auto"/>
        <w:left w:val="none" w:sz="0" w:space="0" w:color="auto"/>
        <w:bottom w:val="none" w:sz="0" w:space="0" w:color="auto"/>
        <w:right w:val="none" w:sz="0" w:space="0" w:color="auto"/>
      </w:divBdr>
    </w:div>
    <w:div w:id="9646776">
      <w:bodyDiv w:val="1"/>
      <w:marLeft w:val="0"/>
      <w:marRight w:val="0"/>
      <w:marTop w:val="0"/>
      <w:marBottom w:val="0"/>
      <w:divBdr>
        <w:top w:val="none" w:sz="0" w:space="0" w:color="auto"/>
        <w:left w:val="none" w:sz="0" w:space="0" w:color="auto"/>
        <w:bottom w:val="none" w:sz="0" w:space="0" w:color="auto"/>
        <w:right w:val="none" w:sz="0" w:space="0" w:color="auto"/>
      </w:divBdr>
    </w:div>
    <w:div w:id="10231298">
      <w:bodyDiv w:val="1"/>
      <w:marLeft w:val="0"/>
      <w:marRight w:val="0"/>
      <w:marTop w:val="0"/>
      <w:marBottom w:val="0"/>
      <w:divBdr>
        <w:top w:val="none" w:sz="0" w:space="0" w:color="auto"/>
        <w:left w:val="none" w:sz="0" w:space="0" w:color="auto"/>
        <w:bottom w:val="none" w:sz="0" w:space="0" w:color="auto"/>
        <w:right w:val="none" w:sz="0" w:space="0" w:color="auto"/>
      </w:divBdr>
    </w:div>
    <w:div w:id="10382127">
      <w:bodyDiv w:val="1"/>
      <w:marLeft w:val="0"/>
      <w:marRight w:val="0"/>
      <w:marTop w:val="0"/>
      <w:marBottom w:val="0"/>
      <w:divBdr>
        <w:top w:val="none" w:sz="0" w:space="0" w:color="auto"/>
        <w:left w:val="none" w:sz="0" w:space="0" w:color="auto"/>
        <w:bottom w:val="none" w:sz="0" w:space="0" w:color="auto"/>
        <w:right w:val="none" w:sz="0" w:space="0" w:color="auto"/>
      </w:divBdr>
    </w:div>
    <w:div w:id="10566953">
      <w:bodyDiv w:val="1"/>
      <w:marLeft w:val="0"/>
      <w:marRight w:val="0"/>
      <w:marTop w:val="0"/>
      <w:marBottom w:val="0"/>
      <w:divBdr>
        <w:top w:val="none" w:sz="0" w:space="0" w:color="auto"/>
        <w:left w:val="none" w:sz="0" w:space="0" w:color="auto"/>
        <w:bottom w:val="none" w:sz="0" w:space="0" w:color="auto"/>
        <w:right w:val="none" w:sz="0" w:space="0" w:color="auto"/>
      </w:divBdr>
    </w:div>
    <w:div w:id="10879112">
      <w:bodyDiv w:val="1"/>
      <w:marLeft w:val="0"/>
      <w:marRight w:val="0"/>
      <w:marTop w:val="0"/>
      <w:marBottom w:val="0"/>
      <w:divBdr>
        <w:top w:val="none" w:sz="0" w:space="0" w:color="auto"/>
        <w:left w:val="none" w:sz="0" w:space="0" w:color="auto"/>
        <w:bottom w:val="none" w:sz="0" w:space="0" w:color="auto"/>
        <w:right w:val="none" w:sz="0" w:space="0" w:color="auto"/>
      </w:divBdr>
    </w:div>
    <w:div w:id="11029328">
      <w:bodyDiv w:val="1"/>
      <w:marLeft w:val="0"/>
      <w:marRight w:val="0"/>
      <w:marTop w:val="0"/>
      <w:marBottom w:val="0"/>
      <w:divBdr>
        <w:top w:val="none" w:sz="0" w:space="0" w:color="auto"/>
        <w:left w:val="none" w:sz="0" w:space="0" w:color="auto"/>
        <w:bottom w:val="none" w:sz="0" w:space="0" w:color="auto"/>
        <w:right w:val="none" w:sz="0" w:space="0" w:color="auto"/>
      </w:divBdr>
    </w:div>
    <w:div w:id="11302599">
      <w:bodyDiv w:val="1"/>
      <w:marLeft w:val="0"/>
      <w:marRight w:val="0"/>
      <w:marTop w:val="0"/>
      <w:marBottom w:val="0"/>
      <w:divBdr>
        <w:top w:val="none" w:sz="0" w:space="0" w:color="auto"/>
        <w:left w:val="none" w:sz="0" w:space="0" w:color="auto"/>
        <w:bottom w:val="none" w:sz="0" w:space="0" w:color="auto"/>
        <w:right w:val="none" w:sz="0" w:space="0" w:color="auto"/>
      </w:divBdr>
    </w:div>
    <w:div w:id="11735538">
      <w:bodyDiv w:val="1"/>
      <w:marLeft w:val="0"/>
      <w:marRight w:val="0"/>
      <w:marTop w:val="0"/>
      <w:marBottom w:val="0"/>
      <w:divBdr>
        <w:top w:val="none" w:sz="0" w:space="0" w:color="auto"/>
        <w:left w:val="none" w:sz="0" w:space="0" w:color="auto"/>
        <w:bottom w:val="none" w:sz="0" w:space="0" w:color="auto"/>
        <w:right w:val="none" w:sz="0" w:space="0" w:color="auto"/>
      </w:divBdr>
    </w:div>
    <w:div w:id="12466822">
      <w:bodyDiv w:val="1"/>
      <w:marLeft w:val="0"/>
      <w:marRight w:val="0"/>
      <w:marTop w:val="0"/>
      <w:marBottom w:val="0"/>
      <w:divBdr>
        <w:top w:val="none" w:sz="0" w:space="0" w:color="auto"/>
        <w:left w:val="none" w:sz="0" w:space="0" w:color="auto"/>
        <w:bottom w:val="none" w:sz="0" w:space="0" w:color="auto"/>
        <w:right w:val="none" w:sz="0" w:space="0" w:color="auto"/>
      </w:divBdr>
    </w:div>
    <w:div w:id="12926352">
      <w:bodyDiv w:val="1"/>
      <w:marLeft w:val="0"/>
      <w:marRight w:val="0"/>
      <w:marTop w:val="0"/>
      <w:marBottom w:val="0"/>
      <w:divBdr>
        <w:top w:val="none" w:sz="0" w:space="0" w:color="auto"/>
        <w:left w:val="none" w:sz="0" w:space="0" w:color="auto"/>
        <w:bottom w:val="none" w:sz="0" w:space="0" w:color="auto"/>
        <w:right w:val="none" w:sz="0" w:space="0" w:color="auto"/>
      </w:divBdr>
    </w:div>
    <w:div w:id="13121801">
      <w:bodyDiv w:val="1"/>
      <w:marLeft w:val="0"/>
      <w:marRight w:val="0"/>
      <w:marTop w:val="0"/>
      <w:marBottom w:val="0"/>
      <w:divBdr>
        <w:top w:val="none" w:sz="0" w:space="0" w:color="auto"/>
        <w:left w:val="none" w:sz="0" w:space="0" w:color="auto"/>
        <w:bottom w:val="none" w:sz="0" w:space="0" w:color="auto"/>
        <w:right w:val="none" w:sz="0" w:space="0" w:color="auto"/>
      </w:divBdr>
    </w:div>
    <w:div w:id="13700707">
      <w:bodyDiv w:val="1"/>
      <w:marLeft w:val="0"/>
      <w:marRight w:val="0"/>
      <w:marTop w:val="0"/>
      <w:marBottom w:val="0"/>
      <w:divBdr>
        <w:top w:val="none" w:sz="0" w:space="0" w:color="auto"/>
        <w:left w:val="none" w:sz="0" w:space="0" w:color="auto"/>
        <w:bottom w:val="none" w:sz="0" w:space="0" w:color="auto"/>
        <w:right w:val="none" w:sz="0" w:space="0" w:color="auto"/>
      </w:divBdr>
    </w:div>
    <w:div w:id="13969934">
      <w:bodyDiv w:val="1"/>
      <w:marLeft w:val="0"/>
      <w:marRight w:val="0"/>
      <w:marTop w:val="0"/>
      <w:marBottom w:val="0"/>
      <w:divBdr>
        <w:top w:val="none" w:sz="0" w:space="0" w:color="auto"/>
        <w:left w:val="none" w:sz="0" w:space="0" w:color="auto"/>
        <w:bottom w:val="none" w:sz="0" w:space="0" w:color="auto"/>
        <w:right w:val="none" w:sz="0" w:space="0" w:color="auto"/>
      </w:divBdr>
    </w:div>
    <w:div w:id="14307057">
      <w:bodyDiv w:val="1"/>
      <w:marLeft w:val="0"/>
      <w:marRight w:val="0"/>
      <w:marTop w:val="0"/>
      <w:marBottom w:val="0"/>
      <w:divBdr>
        <w:top w:val="none" w:sz="0" w:space="0" w:color="auto"/>
        <w:left w:val="none" w:sz="0" w:space="0" w:color="auto"/>
        <w:bottom w:val="none" w:sz="0" w:space="0" w:color="auto"/>
        <w:right w:val="none" w:sz="0" w:space="0" w:color="auto"/>
      </w:divBdr>
    </w:div>
    <w:div w:id="14963113">
      <w:bodyDiv w:val="1"/>
      <w:marLeft w:val="0"/>
      <w:marRight w:val="0"/>
      <w:marTop w:val="0"/>
      <w:marBottom w:val="0"/>
      <w:divBdr>
        <w:top w:val="none" w:sz="0" w:space="0" w:color="auto"/>
        <w:left w:val="none" w:sz="0" w:space="0" w:color="auto"/>
        <w:bottom w:val="none" w:sz="0" w:space="0" w:color="auto"/>
        <w:right w:val="none" w:sz="0" w:space="0" w:color="auto"/>
      </w:divBdr>
    </w:div>
    <w:div w:id="15423141">
      <w:bodyDiv w:val="1"/>
      <w:marLeft w:val="0"/>
      <w:marRight w:val="0"/>
      <w:marTop w:val="0"/>
      <w:marBottom w:val="0"/>
      <w:divBdr>
        <w:top w:val="none" w:sz="0" w:space="0" w:color="auto"/>
        <w:left w:val="none" w:sz="0" w:space="0" w:color="auto"/>
        <w:bottom w:val="none" w:sz="0" w:space="0" w:color="auto"/>
        <w:right w:val="none" w:sz="0" w:space="0" w:color="auto"/>
      </w:divBdr>
    </w:div>
    <w:div w:id="16123290">
      <w:bodyDiv w:val="1"/>
      <w:marLeft w:val="0"/>
      <w:marRight w:val="0"/>
      <w:marTop w:val="0"/>
      <w:marBottom w:val="0"/>
      <w:divBdr>
        <w:top w:val="none" w:sz="0" w:space="0" w:color="auto"/>
        <w:left w:val="none" w:sz="0" w:space="0" w:color="auto"/>
        <w:bottom w:val="none" w:sz="0" w:space="0" w:color="auto"/>
        <w:right w:val="none" w:sz="0" w:space="0" w:color="auto"/>
      </w:divBdr>
    </w:div>
    <w:div w:id="16547733">
      <w:bodyDiv w:val="1"/>
      <w:marLeft w:val="0"/>
      <w:marRight w:val="0"/>
      <w:marTop w:val="0"/>
      <w:marBottom w:val="0"/>
      <w:divBdr>
        <w:top w:val="none" w:sz="0" w:space="0" w:color="auto"/>
        <w:left w:val="none" w:sz="0" w:space="0" w:color="auto"/>
        <w:bottom w:val="none" w:sz="0" w:space="0" w:color="auto"/>
        <w:right w:val="none" w:sz="0" w:space="0" w:color="auto"/>
      </w:divBdr>
    </w:div>
    <w:div w:id="16739185">
      <w:bodyDiv w:val="1"/>
      <w:marLeft w:val="0"/>
      <w:marRight w:val="0"/>
      <w:marTop w:val="0"/>
      <w:marBottom w:val="0"/>
      <w:divBdr>
        <w:top w:val="none" w:sz="0" w:space="0" w:color="auto"/>
        <w:left w:val="none" w:sz="0" w:space="0" w:color="auto"/>
        <w:bottom w:val="none" w:sz="0" w:space="0" w:color="auto"/>
        <w:right w:val="none" w:sz="0" w:space="0" w:color="auto"/>
      </w:divBdr>
    </w:div>
    <w:div w:id="17509195">
      <w:bodyDiv w:val="1"/>
      <w:marLeft w:val="0"/>
      <w:marRight w:val="0"/>
      <w:marTop w:val="0"/>
      <w:marBottom w:val="0"/>
      <w:divBdr>
        <w:top w:val="none" w:sz="0" w:space="0" w:color="auto"/>
        <w:left w:val="none" w:sz="0" w:space="0" w:color="auto"/>
        <w:bottom w:val="none" w:sz="0" w:space="0" w:color="auto"/>
        <w:right w:val="none" w:sz="0" w:space="0" w:color="auto"/>
      </w:divBdr>
    </w:div>
    <w:div w:id="17854848">
      <w:bodyDiv w:val="1"/>
      <w:marLeft w:val="0"/>
      <w:marRight w:val="0"/>
      <w:marTop w:val="0"/>
      <w:marBottom w:val="0"/>
      <w:divBdr>
        <w:top w:val="none" w:sz="0" w:space="0" w:color="auto"/>
        <w:left w:val="none" w:sz="0" w:space="0" w:color="auto"/>
        <w:bottom w:val="none" w:sz="0" w:space="0" w:color="auto"/>
        <w:right w:val="none" w:sz="0" w:space="0" w:color="auto"/>
      </w:divBdr>
    </w:div>
    <w:div w:id="18052136">
      <w:bodyDiv w:val="1"/>
      <w:marLeft w:val="0"/>
      <w:marRight w:val="0"/>
      <w:marTop w:val="0"/>
      <w:marBottom w:val="0"/>
      <w:divBdr>
        <w:top w:val="none" w:sz="0" w:space="0" w:color="auto"/>
        <w:left w:val="none" w:sz="0" w:space="0" w:color="auto"/>
        <w:bottom w:val="none" w:sz="0" w:space="0" w:color="auto"/>
        <w:right w:val="none" w:sz="0" w:space="0" w:color="auto"/>
      </w:divBdr>
    </w:div>
    <w:div w:id="18240570">
      <w:bodyDiv w:val="1"/>
      <w:marLeft w:val="0"/>
      <w:marRight w:val="0"/>
      <w:marTop w:val="0"/>
      <w:marBottom w:val="0"/>
      <w:divBdr>
        <w:top w:val="none" w:sz="0" w:space="0" w:color="auto"/>
        <w:left w:val="none" w:sz="0" w:space="0" w:color="auto"/>
        <w:bottom w:val="none" w:sz="0" w:space="0" w:color="auto"/>
        <w:right w:val="none" w:sz="0" w:space="0" w:color="auto"/>
      </w:divBdr>
    </w:div>
    <w:div w:id="19167418">
      <w:bodyDiv w:val="1"/>
      <w:marLeft w:val="0"/>
      <w:marRight w:val="0"/>
      <w:marTop w:val="0"/>
      <w:marBottom w:val="0"/>
      <w:divBdr>
        <w:top w:val="none" w:sz="0" w:space="0" w:color="auto"/>
        <w:left w:val="none" w:sz="0" w:space="0" w:color="auto"/>
        <w:bottom w:val="none" w:sz="0" w:space="0" w:color="auto"/>
        <w:right w:val="none" w:sz="0" w:space="0" w:color="auto"/>
      </w:divBdr>
    </w:div>
    <w:div w:id="20210124">
      <w:bodyDiv w:val="1"/>
      <w:marLeft w:val="0"/>
      <w:marRight w:val="0"/>
      <w:marTop w:val="0"/>
      <w:marBottom w:val="0"/>
      <w:divBdr>
        <w:top w:val="none" w:sz="0" w:space="0" w:color="auto"/>
        <w:left w:val="none" w:sz="0" w:space="0" w:color="auto"/>
        <w:bottom w:val="none" w:sz="0" w:space="0" w:color="auto"/>
        <w:right w:val="none" w:sz="0" w:space="0" w:color="auto"/>
      </w:divBdr>
    </w:div>
    <w:div w:id="20673526">
      <w:bodyDiv w:val="1"/>
      <w:marLeft w:val="0"/>
      <w:marRight w:val="0"/>
      <w:marTop w:val="0"/>
      <w:marBottom w:val="0"/>
      <w:divBdr>
        <w:top w:val="none" w:sz="0" w:space="0" w:color="auto"/>
        <w:left w:val="none" w:sz="0" w:space="0" w:color="auto"/>
        <w:bottom w:val="none" w:sz="0" w:space="0" w:color="auto"/>
        <w:right w:val="none" w:sz="0" w:space="0" w:color="auto"/>
      </w:divBdr>
    </w:div>
    <w:div w:id="20866440">
      <w:bodyDiv w:val="1"/>
      <w:marLeft w:val="0"/>
      <w:marRight w:val="0"/>
      <w:marTop w:val="0"/>
      <w:marBottom w:val="0"/>
      <w:divBdr>
        <w:top w:val="none" w:sz="0" w:space="0" w:color="auto"/>
        <w:left w:val="none" w:sz="0" w:space="0" w:color="auto"/>
        <w:bottom w:val="none" w:sz="0" w:space="0" w:color="auto"/>
        <w:right w:val="none" w:sz="0" w:space="0" w:color="auto"/>
      </w:divBdr>
    </w:div>
    <w:div w:id="20908843">
      <w:bodyDiv w:val="1"/>
      <w:marLeft w:val="0"/>
      <w:marRight w:val="0"/>
      <w:marTop w:val="0"/>
      <w:marBottom w:val="0"/>
      <w:divBdr>
        <w:top w:val="none" w:sz="0" w:space="0" w:color="auto"/>
        <w:left w:val="none" w:sz="0" w:space="0" w:color="auto"/>
        <w:bottom w:val="none" w:sz="0" w:space="0" w:color="auto"/>
        <w:right w:val="none" w:sz="0" w:space="0" w:color="auto"/>
      </w:divBdr>
    </w:div>
    <w:div w:id="21244492">
      <w:bodyDiv w:val="1"/>
      <w:marLeft w:val="0"/>
      <w:marRight w:val="0"/>
      <w:marTop w:val="0"/>
      <w:marBottom w:val="0"/>
      <w:divBdr>
        <w:top w:val="none" w:sz="0" w:space="0" w:color="auto"/>
        <w:left w:val="none" w:sz="0" w:space="0" w:color="auto"/>
        <w:bottom w:val="none" w:sz="0" w:space="0" w:color="auto"/>
        <w:right w:val="none" w:sz="0" w:space="0" w:color="auto"/>
      </w:divBdr>
    </w:div>
    <w:div w:id="21247701">
      <w:bodyDiv w:val="1"/>
      <w:marLeft w:val="0"/>
      <w:marRight w:val="0"/>
      <w:marTop w:val="0"/>
      <w:marBottom w:val="0"/>
      <w:divBdr>
        <w:top w:val="none" w:sz="0" w:space="0" w:color="auto"/>
        <w:left w:val="none" w:sz="0" w:space="0" w:color="auto"/>
        <w:bottom w:val="none" w:sz="0" w:space="0" w:color="auto"/>
        <w:right w:val="none" w:sz="0" w:space="0" w:color="auto"/>
      </w:divBdr>
    </w:div>
    <w:div w:id="22176817">
      <w:bodyDiv w:val="1"/>
      <w:marLeft w:val="0"/>
      <w:marRight w:val="0"/>
      <w:marTop w:val="0"/>
      <w:marBottom w:val="0"/>
      <w:divBdr>
        <w:top w:val="none" w:sz="0" w:space="0" w:color="auto"/>
        <w:left w:val="none" w:sz="0" w:space="0" w:color="auto"/>
        <w:bottom w:val="none" w:sz="0" w:space="0" w:color="auto"/>
        <w:right w:val="none" w:sz="0" w:space="0" w:color="auto"/>
      </w:divBdr>
    </w:div>
    <w:div w:id="22286727">
      <w:bodyDiv w:val="1"/>
      <w:marLeft w:val="0"/>
      <w:marRight w:val="0"/>
      <w:marTop w:val="0"/>
      <w:marBottom w:val="0"/>
      <w:divBdr>
        <w:top w:val="none" w:sz="0" w:space="0" w:color="auto"/>
        <w:left w:val="none" w:sz="0" w:space="0" w:color="auto"/>
        <w:bottom w:val="none" w:sz="0" w:space="0" w:color="auto"/>
        <w:right w:val="none" w:sz="0" w:space="0" w:color="auto"/>
      </w:divBdr>
    </w:div>
    <w:div w:id="23792490">
      <w:bodyDiv w:val="1"/>
      <w:marLeft w:val="0"/>
      <w:marRight w:val="0"/>
      <w:marTop w:val="0"/>
      <w:marBottom w:val="0"/>
      <w:divBdr>
        <w:top w:val="none" w:sz="0" w:space="0" w:color="auto"/>
        <w:left w:val="none" w:sz="0" w:space="0" w:color="auto"/>
        <w:bottom w:val="none" w:sz="0" w:space="0" w:color="auto"/>
        <w:right w:val="none" w:sz="0" w:space="0" w:color="auto"/>
      </w:divBdr>
    </w:div>
    <w:div w:id="23869624">
      <w:bodyDiv w:val="1"/>
      <w:marLeft w:val="0"/>
      <w:marRight w:val="0"/>
      <w:marTop w:val="0"/>
      <w:marBottom w:val="0"/>
      <w:divBdr>
        <w:top w:val="none" w:sz="0" w:space="0" w:color="auto"/>
        <w:left w:val="none" w:sz="0" w:space="0" w:color="auto"/>
        <w:bottom w:val="none" w:sz="0" w:space="0" w:color="auto"/>
        <w:right w:val="none" w:sz="0" w:space="0" w:color="auto"/>
      </w:divBdr>
    </w:div>
    <w:div w:id="24604181">
      <w:bodyDiv w:val="1"/>
      <w:marLeft w:val="0"/>
      <w:marRight w:val="0"/>
      <w:marTop w:val="0"/>
      <w:marBottom w:val="0"/>
      <w:divBdr>
        <w:top w:val="none" w:sz="0" w:space="0" w:color="auto"/>
        <w:left w:val="none" w:sz="0" w:space="0" w:color="auto"/>
        <w:bottom w:val="none" w:sz="0" w:space="0" w:color="auto"/>
        <w:right w:val="none" w:sz="0" w:space="0" w:color="auto"/>
      </w:divBdr>
    </w:div>
    <w:div w:id="24646258">
      <w:bodyDiv w:val="1"/>
      <w:marLeft w:val="0"/>
      <w:marRight w:val="0"/>
      <w:marTop w:val="0"/>
      <w:marBottom w:val="0"/>
      <w:divBdr>
        <w:top w:val="none" w:sz="0" w:space="0" w:color="auto"/>
        <w:left w:val="none" w:sz="0" w:space="0" w:color="auto"/>
        <w:bottom w:val="none" w:sz="0" w:space="0" w:color="auto"/>
        <w:right w:val="none" w:sz="0" w:space="0" w:color="auto"/>
      </w:divBdr>
    </w:div>
    <w:div w:id="24907670">
      <w:bodyDiv w:val="1"/>
      <w:marLeft w:val="0"/>
      <w:marRight w:val="0"/>
      <w:marTop w:val="0"/>
      <w:marBottom w:val="0"/>
      <w:divBdr>
        <w:top w:val="none" w:sz="0" w:space="0" w:color="auto"/>
        <w:left w:val="none" w:sz="0" w:space="0" w:color="auto"/>
        <w:bottom w:val="none" w:sz="0" w:space="0" w:color="auto"/>
        <w:right w:val="none" w:sz="0" w:space="0" w:color="auto"/>
      </w:divBdr>
    </w:div>
    <w:div w:id="25180808">
      <w:bodyDiv w:val="1"/>
      <w:marLeft w:val="0"/>
      <w:marRight w:val="0"/>
      <w:marTop w:val="0"/>
      <w:marBottom w:val="0"/>
      <w:divBdr>
        <w:top w:val="none" w:sz="0" w:space="0" w:color="auto"/>
        <w:left w:val="none" w:sz="0" w:space="0" w:color="auto"/>
        <w:bottom w:val="none" w:sz="0" w:space="0" w:color="auto"/>
        <w:right w:val="none" w:sz="0" w:space="0" w:color="auto"/>
      </w:divBdr>
    </w:div>
    <w:div w:id="25303193">
      <w:bodyDiv w:val="1"/>
      <w:marLeft w:val="0"/>
      <w:marRight w:val="0"/>
      <w:marTop w:val="0"/>
      <w:marBottom w:val="0"/>
      <w:divBdr>
        <w:top w:val="none" w:sz="0" w:space="0" w:color="auto"/>
        <w:left w:val="none" w:sz="0" w:space="0" w:color="auto"/>
        <w:bottom w:val="none" w:sz="0" w:space="0" w:color="auto"/>
        <w:right w:val="none" w:sz="0" w:space="0" w:color="auto"/>
      </w:divBdr>
    </w:div>
    <w:div w:id="25377942">
      <w:bodyDiv w:val="1"/>
      <w:marLeft w:val="0"/>
      <w:marRight w:val="0"/>
      <w:marTop w:val="0"/>
      <w:marBottom w:val="0"/>
      <w:divBdr>
        <w:top w:val="none" w:sz="0" w:space="0" w:color="auto"/>
        <w:left w:val="none" w:sz="0" w:space="0" w:color="auto"/>
        <w:bottom w:val="none" w:sz="0" w:space="0" w:color="auto"/>
        <w:right w:val="none" w:sz="0" w:space="0" w:color="auto"/>
      </w:divBdr>
    </w:div>
    <w:div w:id="25839821">
      <w:bodyDiv w:val="1"/>
      <w:marLeft w:val="0"/>
      <w:marRight w:val="0"/>
      <w:marTop w:val="0"/>
      <w:marBottom w:val="0"/>
      <w:divBdr>
        <w:top w:val="none" w:sz="0" w:space="0" w:color="auto"/>
        <w:left w:val="none" w:sz="0" w:space="0" w:color="auto"/>
        <w:bottom w:val="none" w:sz="0" w:space="0" w:color="auto"/>
        <w:right w:val="none" w:sz="0" w:space="0" w:color="auto"/>
      </w:divBdr>
    </w:div>
    <w:div w:id="25913365">
      <w:bodyDiv w:val="1"/>
      <w:marLeft w:val="0"/>
      <w:marRight w:val="0"/>
      <w:marTop w:val="0"/>
      <w:marBottom w:val="0"/>
      <w:divBdr>
        <w:top w:val="none" w:sz="0" w:space="0" w:color="auto"/>
        <w:left w:val="none" w:sz="0" w:space="0" w:color="auto"/>
        <w:bottom w:val="none" w:sz="0" w:space="0" w:color="auto"/>
        <w:right w:val="none" w:sz="0" w:space="0" w:color="auto"/>
      </w:divBdr>
    </w:div>
    <w:div w:id="25982995">
      <w:bodyDiv w:val="1"/>
      <w:marLeft w:val="0"/>
      <w:marRight w:val="0"/>
      <w:marTop w:val="0"/>
      <w:marBottom w:val="0"/>
      <w:divBdr>
        <w:top w:val="none" w:sz="0" w:space="0" w:color="auto"/>
        <w:left w:val="none" w:sz="0" w:space="0" w:color="auto"/>
        <w:bottom w:val="none" w:sz="0" w:space="0" w:color="auto"/>
        <w:right w:val="none" w:sz="0" w:space="0" w:color="auto"/>
      </w:divBdr>
    </w:div>
    <w:div w:id="26104486">
      <w:bodyDiv w:val="1"/>
      <w:marLeft w:val="0"/>
      <w:marRight w:val="0"/>
      <w:marTop w:val="0"/>
      <w:marBottom w:val="0"/>
      <w:divBdr>
        <w:top w:val="none" w:sz="0" w:space="0" w:color="auto"/>
        <w:left w:val="none" w:sz="0" w:space="0" w:color="auto"/>
        <w:bottom w:val="none" w:sz="0" w:space="0" w:color="auto"/>
        <w:right w:val="none" w:sz="0" w:space="0" w:color="auto"/>
      </w:divBdr>
    </w:div>
    <w:div w:id="26371135">
      <w:bodyDiv w:val="1"/>
      <w:marLeft w:val="0"/>
      <w:marRight w:val="0"/>
      <w:marTop w:val="0"/>
      <w:marBottom w:val="0"/>
      <w:divBdr>
        <w:top w:val="none" w:sz="0" w:space="0" w:color="auto"/>
        <w:left w:val="none" w:sz="0" w:space="0" w:color="auto"/>
        <w:bottom w:val="none" w:sz="0" w:space="0" w:color="auto"/>
        <w:right w:val="none" w:sz="0" w:space="0" w:color="auto"/>
      </w:divBdr>
    </w:div>
    <w:div w:id="26419135">
      <w:bodyDiv w:val="1"/>
      <w:marLeft w:val="0"/>
      <w:marRight w:val="0"/>
      <w:marTop w:val="0"/>
      <w:marBottom w:val="0"/>
      <w:divBdr>
        <w:top w:val="none" w:sz="0" w:space="0" w:color="auto"/>
        <w:left w:val="none" w:sz="0" w:space="0" w:color="auto"/>
        <w:bottom w:val="none" w:sz="0" w:space="0" w:color="auto"/>
        <w:right w:val="none" w:sz="0" w:space="0" w:color="auto"/>
      </w:divBdr>
    </w:div>
    <w:div w:id="26612237">
      <w:bodyDiv w:val="1"/>
      <w:marLeft w:val="0"/>
      <w:marRight w:val="0"/>
      <w:marTop w:val="0"/>
      <w:marBottom w:val="0"/>
      <w:divBdr>
        <w:top w:val="none" w:sz="0" w:space="0" w:color="auto"/>
        <w:left w:val="none" w:sz="0" w:space="0" w:color="auto"/>
        <w:bottom w:val="none" w:sz="0" w:space="0" w:color="auto"/>
        <w:right w:val="none" w:sz="0" w:space="0" w:color="auto"/>
      </w:divBdr>
    </w:div>
    <w:div w:id="27415409">
      <w:bodyDiv w:val="1"/>
      <w:marLeft w:val="0"/>
      <w:marRight w:val="0"/>
      <w:marTop w:val="0"/>
      <w:marBottom w:val="0"/>
      <w:divBdr>
        <w:top w:val="none" w:sz="0" w:space="0" w:color="auto"/>
        <w:left w:val="none" w:sz="0" w:space="0" w:color="auto"/>
        <w:bottom w:val="none" w:sz="0" w:space="0" w:color="auto"/>
        <w:right w:val="none" w:sz="0" w:space="0" w:color="auto"/>
      </w:divBdr>
    </w:div>
    <w:div w:id="27417560">
      <w:bodyDiv w:val="1"/>
      <w:marLeft w:val="0"/>
      <w:marRight w:val="0"/>
      <w:marTop w:val="0"/>
      <w:marBottom w:val="0"/>
      <w:divBdr>
        <w:top w:val="none" w:sz="0" w:space="0" w:color="auto"/>
        <w:left w:val="none" w:sz="0" w:space="0" w:color="auto"/>
        <w:bottom w:val="none" w:sz="0" w:space="0" w:color="auto"/>
        <w:right w:val="none" w:sz="0" w:space="0" w:color="auto"/>
      </w:divBdr>
    </w:div>
    <w:div w:id="27684866">
      <w:bodyDiv w:val="1"/>
      <w:marLeft w:val="0"/>
      <w:marRight w:val="0"/>
      <w:marTop w:val="0"/>
      <w:marBottom w:val="0"/>
      <w:divBdr>
        <w:top w:val="none" w:sz="0" w:space="0" w:color="auto"/>
        <w:left w:val="none" w:sz="0" w:space="0" w:color="auto"/>
        <w:bottom w:val="none" w:sz="0" w:space="0" w:color="auto"/>
        <w:right w:val="none" w:sz="0" w:space="0" w:color="auto"/>
      </w:divBdr>
    </w:div>
    <w:div w:id="28142957">
      <w:bodyDiv w:val="1"/>
      <w:marLeft w:val="0"/>
      <w:marRight w:val="0"/>
      <w:marTop w:val="0"/>
      <w:marBottom w:val="0"/>
      <w:divBdr>
        <w:top w:val="none" w:sz="0" w:space="0" w:color="auto"/>
        <w:left w:val="none" w:sz="0" w:space="0" w:color="auto"/>
        <w:bottom w:val="none" w:sz="0" w:space="0" w:color="auto"/>
        <w:right w:val="none" w:sz="0" w:space="0" w:color="auto"/>
      </w:divBdr>
    </w:div>
    <w:div w:id="28334701">
      <w:bodyDiv w:val="1"/>
      <w:marLeft w:val="0"/>
      <w:marRight w:val="0"/>
      <w:marTop w:val="0"/>
      <w:marBottom w:val="0"/>
      <w:divBdr>
        <w:top w:val="none" w:sz="0" w:space="0" w:color="auto"/>
        <w:left w:val="none" w:sz="0" w:space="0" w:color="auto"/>
        <w:bottom w:val="none" w:sz="0" w:space="0" w:color="auto"/>
        <w:right w:val="none" w:sz="0" w:space="0" w:color="auto"/>
      </w:divBdr>
    </w:div>
    <w:div w:id="28342682">
      <w:bodyDiv w:val="1"/>
      <w:marLeft w:val="0"/>
      <w:marRight w:val="0"/>
      <w:marTop w:val="0"/>
      <w:marBottom w:val="0"/>
      <w:divBdr>
        <w:top w:val="none" w:sz="0" w:space="0" w:color="auto"/>
        <w:left w:val="none" w:sz="0" w:space="0" w:color="auto"/>
        <w:bottom w:val="none" w:sz="0" w:space="0" w:color="auto"/>
        <w:right w:val="none" w:sz="0" w:space="0" w:color="auto"/>
      </w:divBdr>
    </w:div>
    <w:div w:id="28385213">
      <w:bodyDiv w:val="1"/>
      <w:marLeft w:val="0"/>
      <w:marRight w:val="0"/>
      <w:marTop w:val="0"/>
      <w:marBottom w:val="0"/>
      <w:divBdr>
        <w:top w:val="none" w:sz="0" w:space="0" w:color="auto"/>
        <w:left w:val="none" w:sz="0" w:space="0" w:color="auto"/>
        <w:bottom w:val="none" w:sz="0" w:space="0" w:color="auto"/>
        <w:right w:val="none" w:sz="0" w:space="0" w:color="auto"/>
      </w:divBdr>
    </w:div>
    <w:div w:id="28574028">
      <w:bodyDiv w:val="1"/>
      <w:marLeft w:val="0"/>
      <w:marRight w:val="0"/>
      <w:marTop w:val="0"/>
      <w:marBottom w:val="0"/>
      <w:divBdr>
        <w:top w:val="none" w:sz="0" w:space="0" w:color="auto"/>
        <w:left w:val="none" w:sz="0" w:space="0" w:color="auto"/>
        <w:bottom w:val="none" w:sz="0" w:space="0" w:color="auto"/>
        <w:right w:val="none" w:sz="0" w:space="0" w:color="auto"/>
      </w:divBdr>
    </w:div>
    <w:div w:id="28802836">
      <w:bodyDiv w:val="1"/>
      <w:marLeft w:val="0"/>
      <w:marRight w:val="0"/>
      <w:marTop w:val="0"/>
      <w:marBottom w:val="0"/>
      <w:divBdr>
        <w:top w:val="none" w:sz="0" w:space="0" w:color="auto"/>
        <w:left w:val="none" w:sz="0" w:space="0" w:color="auto"/>
        <w:bottom w:val="none" w:sz="0" w:space="0" w:color="auto"/>
        <w:right w:val="none" w:sz="0" w:space="0" w:color="auto"/>
      </w:divBdr>
    </w:div>
    <w:div w:id="28993716">
      <w:bodyDiv w:val="1"/>
      <w:marLeft w:val="0"/>
      <w:marRight w:val="0"/>
      <w:marTop w:val="0"/>
      <w:marBottom w:val="0"/>
      <w:divBdr>
        <w:top w:val="none" w:sz="0" w:space="0" w:color="auto"/>
        <w:left w:val="none" w:sz="0" w:space="0" w:color="auto"/>
        <w:bottom w:val="none" w:sz="0" w:space="0" w:color="auto"/>
        <w:right w:val="none" w:sz="0" w:space="0" w:color="auto"/>
      </w:divBdr>
    </w:div>
    <w:div w:id="29260387">
      <w:bodyDiv w:val="1"/>
      <w:marLeft w:val="0"/>
      <w:marRight w:val="0"/>
      <w:marTop w:val="0"/>
      <w:marBottom w:val="0"/>
      <w:divBdr>
        <w:top w:val="none" w:sz="0" w:space="0" w:color="auto"/>
        <w:left w:val="none" w:sz="0" w:space="0" w:color="auto"/>
        <w:bottom w:val="none" w:sz="0" w:space="0" w:color="auto"/>
        <w:right w:val="none" w:sz="0" w:space="0" w:color="auto"/>
      </w:divBdr>
    </w:div>
    <w:div w:id="29261560">
      <w:bodyDiv w:val="1"/>
      <w:marLeft w:val="0"/>
      <w:marRight w:val="0"/>
      <w:marTop w:val="0"/>
      <w:marBottom w:val="0"/>
      <w:divBdr>
        <w:top w:val="none" w:sz="0" w:space="0" w:color="auto"/>
        <w:left w:val="none" w:sz="0" w:space="0" w:color="auto"/>
        <w:bottom w:val="none" w:sz="0" w:space="0" w:color="auto"/>
        <w:right w:val="none" w:sz="0" w:space="0" w:color="auto"/>
      </w:divBdr>
    </w:div>
    <w:div w:id="29571401">
      <w:bodyDiv w:val="1"/>
      <w:marLeft w:val="0"/>
      <w:marRight w:val="0"/>
      <w:marTop w:val="0"/>
      <w:marBottom w:val="0"/>
      <w:divBdr>
        <w:top w:val="none" w:sz="0" w:space="0" w:color="auto"/>
        <w:left w:val="none" w:sz="0" w:space="0" w:color="auto"/>
        <w:bottom w:val="none" w:sz="0" w:space="0" w:color="auto"/>
        <w:right w:val="none" w:sz="0" w:space="0" w:color="auto"/>
      </w:divBdr>
    </w:div>
    <w:div w:id="29576693">
      <w:bodyDiv w:val="1"/>
      <w:marLeft w:val="0"/>
      <w:marRight w:val="0"/>
      <w:marTop w:val="0"/>
      <w:marBottom w:val="0"/>
      <w:divBdr>
        <w:top w:val="none" w:sz="0" w:space="0" w:color="auto"/>
        <w:left w:val="none" w:sz="0" w:space="0" w:color="auto"/>
        <w:bottom w:val="none" w:sz="0" w:space="0" w:color="auto"/>
        <w:right w:val="none" w:sz="0" w:space="0" w:color="auto"/>
      </w:divBdr>
    </w:div>
    <w:div w:id="29578591">
      <w:bodyDiv w:val="1"/>
      <w:marLeft w:val="0"/>
      <w:marRight w:val="0"/>
      <w:marTop w:val="0"/>
      <w:marBottom w:val="0"/>
      <w:divBdr>
        <w:top w:val="none" w:sz="0" w:space="0" w:color="auto"/>
        <w:left w:val="none" w:sz="0" w:space="0" w:color="auto"/>
        <w:bottom w:val="none" w:sz="0" w:space="0" w:color="auto"/>
        <w:right w:val="none" w:sz="0" w:space="0" w:color="auto"/>
      </w:divBdr>
    </w:div>
    <w:div w:id="29647150">
      <w:bodyDiv w:val="1"/>
      <w:marLeft w:val="0"/>
      <w:marRight w:val="0"/>
      <w:marTop w:val="0"/>
      <w:marBottom w:val="0"/>
      <w:divBdr>
        <w:top w:val="none" w:sz="0" w:space="0" w:color="auto"/>
        <w:left w:val="none" w:sz="0" w:space="0" w:color="auto"/>
        <w:bottom w:val="none" w:sz="0" w:space="0" w:color="auto"/>
        <w:right w:val="none" w:sz="0" w:space="0" w:color="auto"/>
      </w:divBdr>
    </w:div>
    <w:div w:id="29886509">
      <w:bodyDiv w:val="1"/>
      <w:marLeft w:val="0"/>
      <w:marRight w:val="0"/>
      <w:marTop w:val="0"/>
      <w:marBottom w:val="0"/>
      <w:divBdr>
        <w:top w:val="none" w:sz="0" w:space="0" w:color="auto"/>
        <w:left w:val="none" w:sz="0" w:space="0" w:color="auto"/>
        <w:bottom w:val="none" w:sz="0" w:space="0" w:color="auto"/>
        <w:right w:val="none" w:sz="0" w:space="0" w:color="auto"/>
      </w:divBdr>
    </w:div>
    <w:div w:id="30107399">
      <w:bodyDiv w:val="1"/>
      <w:marLeft w:val="0"/>
      <w:marRight w:val="0"/>
      <w:marTop w:val="0"/>
      <w:marBottom w:val="0"/>
      <w:divBdr>
        <w:top w:val="none" w:sz="0" w:space="0" w:color="auto"/>
        <w:left w:val="none" w:sz="0" w:space="0" w:color="auto"/>
        <w:bottom w:val="none" w:sz="0" w:space="0" w:color="auto"/>
        <w:right w:val="none" w:sz="0" w:space="0" w:color="auto"/>
      </w:divBdr>
    </w:div>
    <w:div w:id="30227529">
      <w:bodyDiv w:val="1"/>
      <w:marLeft w:val="0"/>
      <w:marRight w:val="0"/>
      <w:marTop w:val="0"/>
      <w:marBottom w:val="0"/>
      <w:divBdr>
        <w:top w:val="none" w:sz="0" w:space="0" w:color="auto"/>
        <w:left w:val="none" w:sz="0" w:space="0" w:color="auto"/>
        <w:bottom w:val="none" w:sz="0" w:space="0" w:color="auto"/>
        <w:right w:val="none" w:sz="0" w:space="0" w:color="auto"/>
      </w:divBdr>
    </w:div>
    <w:div w:id="31686251">
      <w:bodyDiv w:val="1"/>
      <w:marLeft w:val="0"/>
      <w:marRight w:val="0"/>
      <w:marTop w:val="0"/>
      <w:marBottom w:val="0"/>
      <w:divBdr>
        <w:top w:val="none" w:sz="0" w:space="0" w:color="auto"/>
        <w:left w:val="none" w:sz="0" w:space="0" w:color="auto"/>
        <w:bottom w:val="none" w:sz="0" w:space="0" w:color="auto"/>
        <w:right w:val="none" w:sz="0" w:space="0" w:color="auto"/>
      </w:divBdr>
    </w:div>
    <w:div w:id="32000043">
      <w:bodyDiv w:val="1"/>
      <w:marLeft w:val="0"/>
      <w:marRight w:val="0"/>
      <w:marTop w:val="0"/>
      <w:marBottom w:val="0"/>
      <w:divBdr>
        <w:top w:val="none" w:sz="0" w:space="0" w:color="auto"/>
        <w:left w:val="none" w:sz="0" w:space="0" w:color="auto"/>
        <w:bottom w:val="none" w:sz="0" w:space="0" w:color="auto"/>
        <w:right w:val="none" w:sz="0" w:space="0" w:color="auto"/>
      </w:divBdr>
    </w:div>
    <w:div w:id="32002300">
      <w:bodyDiv w:val="1"/>
      <w:marLeft w:val="0"/>
      <w:marRight w:val="0"/>
      <w:marTop w:val="0"/>
      <w:marBottom w:val="0"/>
      <w:divBdr>
        <w:top w:val="none" w:sz="0" w:space="0" w:color="auto"/>
        <w:left w:val="none" w:sz="0" w:space="0" w:color="auto"/>
        <w:bottom w:val="none" w:sz="0" w:space="0" w:color="auto"/>
        <w:right w:val="none" w:sz="0" w:space="0" w:color="auto"/>
      </w:divBdr>
    </w:div>
    <w:div w:id="32389445">
      <w:bodyDiv w:val="1"/>
      <w:marLeft w:val="0"/>
      <w:marRight w:val="0"/>
      <w:marTop w:val="0"/>
      <w:marBottom w:val="0"/>
      <w:divBdr>
        <w:top w:val="none" w:sz="0" w:space="0" w:color="auto"/>
        <w:left w:val="none" w:sz="0" w:space="0" w:color="auto"/>
        <w:bottom w:val="none" w:sz="0" w:space="0" w:color="auto"/>
        <w:right w:val="none" w:sz="0" w:space="0" w:color="auto"/>
      </w:divBdr>
    </w:div>
    <w:div w:id="33046272">
      <w:bodyDiv w:val="1"/>
      <w:marLeft w:val="0"/>
      <w:marRight w:val="0"/>
      <w:marTop w:val="0"/>
      <w:marBottom w:val="0"/>
      <w:divBdr>
        <w:top w:val="none" w:sz="0" w:space="0" w:color="auto"/>
        <w:left w:val="none" w:sz="0" w:space="0" w:color="auto"/>
        <w:bottom w:val="none" w:sz="0" w:space="0" w:color="auto"/>
        <w:right w:val="none" w:sz="0" w:space="0" w:color="auto"/>
      </w:divBdr>
    </w:div>
    <w:div w:id="33123700">
      <w:bodyDiv w:val="1"/>
      <w:marLeft w:val="0"/>
      <w:marRight w:val="0"/>
      <w:marTop w:val="0"/>
      <w:marBottom w:val="0"/>
      <w:divBdr>
        <w:top w:val="none" w:sz="0" w:space="0" w:color="auto"/>
        <w:left w:val="none" w:sz="0" w:space="0" w:color="auto"/>
        <w:bottom w:val="none" w:sz="0" w:space="0" w:color="auto"/>
        <w:right w:val="none" w:sz="0" w:space="0" w:color="auto"/>
      </w:divBdr>
    </w:div>
    <w:div w:id="34083542">
      <w:bodyDiv w:val="1"/>
      <w:marLeft w:val="0"/>
      <w:marRight w:val="0"/>
      <w:marTop w:val="0"/>
      <w:marBottom w:val="0"/>
      <w:divBdr>
        <w:top w:val="none" w:sz="0" w:space="0" w:color="auto"/>
        <w:left w:val="none" w:sz="0" w:space="0" w:color="auto"/>
        <w:bottom w:val="none" w:sz="0" w:space="0" w:color="auto"/>
        <w:right w:val="none" w:sz="0" w:space="0" w:color="auto"/>
      </w:divBdr>
    </w:div>
    <w:div w:id="34433138">
      <w:bodyDiv w:val="1"/>
      <w:marLeft w:val="0"/>
      <w:marRight w:val="0"/>
      <w:marTop w:val="0"/>
      <w:marBottom w:val="0"/>
      <w:divBdr>
        <w:top w:val="none" w:sz="0" w:space="0" w:color="auto"/>
        <w:left w:val="none" w:sz="0" w:space="0" w:color="auto"/>
        <w:bottom w:val="none" w:sz="0" w:space="0" w:color="auto"/>
        <w:right w:val="none" w:sz="0" w:space="0" w:color="auto"/>
      </w:divBdr>
    </w:div>
    <w:div w:id="35588813">
      <w:bodyDiv w:val="1"/>
      <w:marLeft w:val="0"/>
      <w:marRight w:val="0"/>
      <w:marTop w:val="0"/>
      <w:marBottom w:val="0"/>
      <w:divBdr>
        <w:top w:val="none" w:sz="0" w:space="0" w:color="auto"/>
        <w:left w:val="none" w:sz="0" w:space="0" w:color="auto"/>
        <w:bottom w:val="none" w:sz="0" w:space="0" w:color="auto"/>
        <w:right w:val="none" w:sz="0" w:space="0" w:color="auto"/>
      </w:divBdr>
    </w:div>
    <w:div w:id="35863117">
      <w:bodyDiv w:val="1"/>
      <w:marLeft w:val="0"/>
      <w:marRight w:val="0"/>
      <w:marTop w:val="0"/>
      <w:marBottom w:val="0"/>
      <w:divBdr>
        <w:top w:val="none" w:sz="0" w:space="0" w:color="auto"/>
        <w:left w:val="none" w:sz="0" w:space="0" w:color="auto"/>
        <w:bottom w:val="none" w:sz="0" w:space="0" w:color="auto"/>
        <w:right w:val="none" w:sz="0" w:space="0" w:color="auto"/>
      </w:divBdr>
    </w:div>
    <w:div w:id="36047163">
      <w:bodyDiv w:val="1"/>
      <w:marLeft w:val="0"/>
      <w:marRight w:val="0"/>
      <w:marTop w:val="0"/>
      <w:marBottom w:val="0"/>
      <w:divBdr>
        <w:top w:val="none" w:sz="0" w:space="0" w:color="auto"/>
        <w:left w:val="none" w:sz="0" w:space="0" w:color="auto"/>
        <w:bottom w:val="none" w:sz="0" w:space="0" w:color="auto"/>
        <w:right w:val="none" w:sz="0" w:space="0" w:color="auto"/>
      </w:divBdr>
    </w:div>
    <w:div w:id="36321809">
      <w:bodyDiv w:val="1"/>
      <w:marLeft w:val="0"/>
      <w:marRight w:val="0"/>
      <w:marTop w:val="0"/>
      <w:marBottom w:val="0"/>
      <w:divBdr>
        <w:top w:val="none" w:sz="0" w:space="0" w:color="auto"/>
        <w:left w:val="none" w:sz="0" w:space="0" w:color="auto"/>
        <w:bottom w:val="none" w:sz="0" w:space="0" w:color="auto"/>
        <w:right w:val="none" w:sz="0" w:space="0" w:color="auto"/>
      </w:divBdr>
    </w:div>
    <w:div w:id="37246495">
      <w:bodyDiv w:val="1"/>
      <w:marLeft w:val="0"/>
      <w:marRight w:val="0"/>
      <w:marTop w:val="0"/>
      <w:marBottom w:val="0"/>
      <w:divBdr>
        <w:top w:val="none" w:sz="0" w:space="0" w:color="auto"/>
        <w:left w:val="none" w:sz="0" w:space="0" w:color="auto"/>
        <w:bottom w:val="none" w:sz="0" w:space="0" w:color="auto"/>
        <w:right w:val="none" w:sz="0" w:space="0" w:color="auto"/>
      </w:divBdr>
    </w:div>
    <w:div w:id="38746621">
      <w:bodyDiv w:val="1"/>
      <w:marLeft w:val="0"/>
      <w:marRight w:val="0"/>
      <w:marTop w:val="0"/>
      <w:marBottom w:val="0"/>
      <w:divBdr>
        <w:top w:val="none" w:sz="0" w:space="0" w:color="auto"/>
        <w:left w:val="none" w:sz="0" w:space="0" w:color="auto"/>
        <w:bottom w:val="none" w:sz="0" w:space="0" w:color="auto"/>
        <w:right w:val="none" w:sz="0" w:space="0" w:color="auto"/>
      </w:divBdr>
    </w:div>
    <w:div w:id="39019950">
      <w:bodyDiv w:val="1"/>
      <w:marLeft w:val="0"/>
      <w:marRight w:val="0"/>
      <w:marTop w:val="0"/>
      <w:marBottom w:val="0"/>
      <w:divBdr>
        <w:top w:val="none" w:sz="0" w:space="0" w:color="auto"/>
        <w:left w:val="none" w:sz="0" w:space="0" w:color="auto"/>
        <w:bottom w:val="none" w:sz="0" w:space="0" w:color="auto"/>
        <w:right w:val="none" w:sz="0" w:space="0" w:color="auto"/>
      </w:divBdr>
    </w:div>
    <w:div w:id="39399629">
      <w:bodyDiv w:val="1"/>
      <w:marLeft w:val="0"/>
      <w:marRight w:val="0"/>
      <w:marTop w:val="0"/>
      <w:marBottom w:val="0"/>
      <w:divBdr>
        <w:top w:val="none" w:sz="0" w:space="0" w:color="auto"/>
        <w:left w:val="none" w:sz="0" w:space="0" w:color="auto"/>
        <w:bottom w:val="none" w:sz="0" w:space="0" w:color="auto"/>
        <w:right w:val="none" w:sz="0" w:space="0" w:color="auto"/>
      </w:divBdr>
    </w:div>
    <w:div w:id="39942902">
      <w:bodyDiv w:val="1"/>
      <w:marLeft w:val="0"/>
      <w:marRight w:val="0"/>
      <w:marTop w:val="0"/>
      <w:marBottom w:val="0"/>
      <w:divBdr>
        <w:top w:val="none" w:sz="0" w:space="0" w:color="auto"/>
        <w:left w:val="none" w:sz="0" w:space="0" w:color="auto"/>
        <w:bottom w:val="none" w:sz="0" w:space="0" w:color="auto"/>
        <w:right w:val="none" w:sz="0" w:space="0" w:color="auto"/>
      </w:divBdr>
    </w:div>
    <w:div w:id="40055268">
      <w:bodyDiv w:val="1"/>
      <w:marLeft w:val="0"/>
      <w:marRight w:val="0"/>
      <w:marTop w:val="0"/>
      <w:marBottom w:val="0"/>
      <w:divBdr>
        <w:top w:val="none" w:sz="0" w:space="0" w:color="auto"/>
        <w:left w:val="none" w:sz="0" w:space="0" w:color="auto"/>
        <w:bottom w:val="none" w:sz="0" w:space="0" w:color="auto"/>
        <w:right w:val="none" w:sz="0" w:space="0" w:color="auto"/>
      </w:divBdr>
    </w:div>
    <w:div w:id="40181339">
      <w:bodyDiv w:val="1"/>
      <w:marLeft w:val="0"/>
      <w:marRight w:val="0"/>
      <w:marTop w:val="0"/>
      <w:marBottom w:val="0"/>
      <w:divBdr>
        <w:top w:val="none" w:sz="0" w:space="0" w:color="auto"/>
        <w:left w:val="none" w:sz="0" w:space="0" w:color="auto"/>
        <w:bottom w:val="none" w:sz="0" w:space="0" w:color="auto"/>
        <w:right w:val="none" w:sz="0" w:space="0" w:color="auto"/>
      </w:divBdr>
    </w:div>
    <w:div w:id="40444349">
      <w:bodyDiv w:val="1"/>
      <w:marLeft w:val="0"/>
      <w:marRight w:val="0"/>
      <w:marTop w:val="0"/>
      <w:marBottom w:val="0"/>
      <w:divBdr>
        <w:top w:val="none" w:sz="0" w:space="0" w:color="auto"/>
        <w:left w:val="none" w:sz="0" w:space="0" w:color="auto"/>
        <w:bottom w:val="none" w:sz="0" w:space="0" w:color="auto"/>
        <w:right w:val="none" w:sz="0" w:space="0" w:color="auto"/>
      </w:divBdr>
    </w:div>
    <w:div w:id="40985476">
      <w:bodyDiv w:val="1"/>
      <w:marLeft w:val="0"/>
      <w:marRight w:val="0"/>
      <w:marTop w:val="0"/>
      <w:marBottom w:val="0"/>
      <w:divBdr>
        <w:top w:val="none" w:sz="0" w:space="0" w:color="auto"/>
        <w:left w:val="none" w:sz="0" w:space="0" w:color="auto"/>
        <w:bottom w:val="none" w:sz="0" w:space="0" w:color="auto"/>
        <w:right w:val="none" w:sz="0" w:space="0" w:color="auto"/>
      </w:divBdr>
    </w:div>
    <w:div w:id="41171607">
      <w:bodyDiv w:val="1"/>
      <w:marLeft w:val="0"/>
      <w:marRight w:val="0"/>
      <w:marTop w:val="0"/>
      <w:marBottom w:val="0"/>
      <w:divBdr>
        <w:top w:val="none" w:sz="0" w:space="0" w:color="auto"/>
        <w:left w:val="none" w:sz="0" w:space="0" w:color="auto"/>
        <w:bottom w:val="none" w:sz="0" w:space="0" w:color="auto"/>
        <w:right w:val="none" w:sz="0" w:space="0" w:color="auto"/>
      </w:divBdr>
    </w:div>
    <w:div w:id="41292639">
      <w:bodyDiv w:val="1"/>
      <w:marLeft w:val="0"/>
      <w:marRight w:val="0"/>
      <w:marTop w:val="0"/>
      <w:marBottom w:val="0"/>
      <w:divBdr>
        <w:top w:val="none" w:sz="0" w:space="0" w:color="auto"/>
        <w:left w:val="none" w:sz="0" w:space="0" w:color="auto"/>
        <w:bottom w:val="none" w:sz="0" w:space="0" w:color="auto"/>
        <w:right w:val="none" w:sz="0" w:space="0" w:color="auto"/>
      </w:divBdr>
    </w:div>
    <w:div w:id="41515965">
      <w:bodyDiv w:val="1"/>
      <w:marLeft w:val="0"/>
      <w:marRight w:val="0"/>
      <w:marTop w:val="0"/>
      <w:marBottom w:val="0"/>
      <w:divBdr>
        <w:top w:val="none" w:sz="0" w:space="0" w:color="auto"/>
        <w:left w:val="none" w:sz="0" w:space="0" w:color="auto"/>
        <w:bottom w:val="none" w:sz="0" w:space="0" w:color="auto"/>
        <w:right w:val="none" w:sz="0" w:space="0" w:color="auto"/>
      </w:divBdr>
    </w:div>
    <w:div w:id="41516021">
      <w:bodyDiv w:val="1"/>
      <w:marLeft w:val="0"/>
      <w:marRight w:val="0"/>
      <w:marTop w:val="0"/>
      <w:marBottom w:val="0"/>
      <w:divBdr>
        <w:top w:val="none" w:sz="0" w:space="0" w:color="auto"/>
        <w:left w:val="none" w:sz="0" w:space="0" w:color="auto"/>
        <w:bottom w:val="none" w:sz="0" w:space="0" w:color="auto"/>
        <w:right w:val="none" w:sz="0" w:space="0" w:color="auto"/>
      </w:divBdr>
    </w:div>
    <w:div w:id="41945752">
      <w:bodyDiv w:val="1"/>
      <w:marLeft w:val="0"/>
      <w:marRight w:val="0"/>
      <w:marTop w:val="0"/>
      <w:marBottom w:val="0"/>
      <w:divBdr>
        <w:top w:val="none" w:sz="0" w:space="0" w:color="auto"/>
        <w:left w:val="none" w:sz="0" w:space="0" w:color="auto"/>
        <w:bottom w:val="none" w:sz="0" w:space="0" w:color="auto"/>
        <w:right w:val="none" w:sz="0" w:space="0" w:color="auto"/>
      </w:divBdr>
    </w:div>
    <w:div w:id="42213531">
      <w:bodyDiv w:val="1"/>
      <w:marLeft w:val="0"/>
      <w:marRight w:val="0"/>
      <w:marTop w:val="0"/>
      <w:marBottom w:val="0"/>
      <w:divBdr>
        <w:top w:val="none" w:sz="0" w:space="0" w:color="auto"/>
        <w:left w:val="none" w:sz="0" w:space="0" w:color="auto"/>
        <w:bottom w:val="none" w:sz="0" w:space="0" w:color="auto"/>
        <w:right w:val="none" w:sz="0" w:space="0" w:color="auto"/>
      </w:divBdr>
    </w:div>
    <w:div w:id="42677395">
      <w:bodyDiv w:val="1"/>
      <w:marLeft w:val="0"/>
      <w:marRight w:val="0"/>
      <w:marTop w:val="0"/>
      <w:marBottom w:val="0"/>
      <w:divBdr>
        <w:top w:val="none" w:sz="0" w:space="0" w:color="auto"/>
        <w:left w:val="none" w:sz="0" w:space="0" w:color="auto"/>
        <w:bottom w:val="none" w:sz="0" w:space="0" w:color="auto"/>
        <w:right w:val="none" w:sz="0" w:space="0" w:color="auto"/>
      </w:divBdr>
    </w:div>
    <w:div w:id="42683026">
      <w:bodyDiv w:val="1"/>
      <w:marLeft w:val="0"/>
      <w:marRight w:val="0"/>
      <w:marTop w:val="0"/>
      <w:marBottom w:val="0"/>
      <w:divBdr>
        <w:top w:val="none" w:sz="0" w:space="0" w:color="auto"/>
        <w:left w:val="none" w:sz="0" w:space="0" w:color="auto"/>
        <w:bottom w:val="none" w:sz="0" w:space="0" w:color="auto"/>
        <w:right w:val="none" w:sz="0" w:space="0" w:color="auto"/>
      </w:divBdr>
    </w:div>
    <w:div w:id="43330340">
      <w:bodyDiv w:val="1"/>
      <w:marLeft w:val="0"/>
      <w:marRight w:val="0"/>
      <w:marTop w:val="0"/>
      <w:marBottom w:val="0"/>
      <w:divBdr>
        <w:top w:val="none" w:sz="0" w:space="0" w:color="auto"/>
        <w:left w:val="none" w:sz="0" w:space="0" w:color="auto"/>
        <w:bottom w:val="none" w:sz="0" w:space="0" w:color="auto"/>
        <w:right w:val="none" w:sz="0" w:space="0" w:color="auto"/>
      </w:divBdr>
    </w:div>
    <w:div w:id="43407669">
      <w:bodyDiv w:val="1"/>
      <w:marLeft w:val="0"/>
      <w:marRight w:val="0"/>
      <w:marTop w:val="0"/>
      <w:marBottom w:val="0"/>
      <w:divBdr>
        <w:top w:val="none" w:sz="0" w:space="0" w:color="auto"/>
        <w:left w:val="none" w:sz="0" w:space="0" w:color="auto"/>
        <w:bottom w:val="none" w:sz="0" w:space="0" w:color="auto"/>
        <w:right w:val="none" w:sz="0" w:space="0" w:color="auto"/>
      </w:divBdr>
    </w:div>
    <w:div w:id="43868429">
      <w:bodyDiv w:val="1"/>
      <w:marLeft w:val="0"/>
      <w:marRight w:val="0"/>
      <w:marTop w:val="0"/>
      <w:marBottom w:val="0"/>
      <w:divBdr>
        <w:top w:val="none" w:sz="0" w:space="0" w:color="auto"/>
        <w:left w:val="none" w:sz="0" w:space="0" w:color="auto"/>
        <w:bottom w:val="none" w:sz="0" w:space="0" w:color="auto"/>
        <w:right w:val="none" w:sz="0" w:space="0" w:color="auto"/>
      </w:divBdr>
    </w:div>
    <w:div w:id="43914116">
      <w:bodyDiv w:val="1"/>
      <w:marLeft w:val="0"/>
      <w:marRight w:val="0"/>
      <w:marTop w:val="0"/>
      <w:marBottom w:val="0"/>
      <w:divBdr>
        <w:top w:val="none" w:sz="0" w:space="0" w:color="auto"/>
        <w:left w:val="none" w:sz="0" w:space="0" w:color="auto"/>
        <w:bottom w:val="none" w:sz="0" w:space="0" w:color="auto"/>
        <w:right w:val="none" w:sz="0" w:space="0" w:color="auto"/>
      </w:divBdr>
    </w:div>
    <w:div w:id="43918188">
      <w:bodyDiv w:val="1"/>
      <w:marLeft w:val="0"/>
      <w:marRight w:val="0"/>
      <w:marTop w:val="0"/>
      <w:marBottom w:val="0"/>
      <w:divBdr>
        <w:top w:val="none" w:sz="0" w:space="0" w:color="auto"/>
        <w:left w:val="none" w:sz="0" w:space="0" w:color="auto"/>
        <w:bottom w:val="none" w:sz="0" w:space="0" w:color="auto"/>
        <w:right w:val="none" w:sz="0" w:space="0" w:color="auto"/>
      </w:divBdr>
    </w:div>
    <w:div w:id="43991425">
      <w:bodyDiv w:val="1"/>
      <w:marLeft w:val="0"/>
      <w:marRight w:val="0"/>
      <w:marTop w:val="0"/>
      <w:marBottom w:val="0"/>
      <w:divBdr>
        <w:top w:val="none" w:sz="0" w:space="0" w:color="auto"/>
        <w:left w:val="none" w:sz="0" w:space="0" w:color="auto"/>
        <w:bottom w:val="none" w:sz="0" w:space="0" w:color="auto"/>
        <w:right w:val="none" w:sz="0" w:space="0" w:color="auto"/>
      </w:divBdr>
    </w:div>
    <w:div w:id="44110392">
      <w:bodyDiv w:val="1"/>
      <w:marLeft w:val="0"/>
      <w:marRight w:val="0"/>
      <w:marTop w:val="0"/>
      <w:marBottom w:val="0"/>
      <w:divBdr>
        <w:top w:val="none" w:sz="0" w:space="0" w:color="auto"/>
        <w:left w:val="none" w:sz="0" w:space="0" w:color="auto"/>
        <w:bottom w:val="none" w:sz="0" w:space="0" w:color="auto"/>
        <w:right w:val="none" w:sz="0" w:space="0" w:color="auto"/>
      </w:divBdr>
    </w:div>
    <w:div w:id="44256099">
      <w:bodyDiv w:val="1"/>
      <w:marLeft w:val="0"/>
      <w:marRight w:val="0"/>
      <w:marTop w:val="0"/>
      <w:marBottom w:val="0"/>
      <w:divBdr>
        <w:top w:val="none" w:sz="0" w:space="0" w:color="auto"/>
        <w:left w:val="none" w:sz="0" w:space="0" w:color="auto"/>
        <w:bottom w:val="none" w:sz="0" w:space="0" w:color="auto"/>
        <w:right w:val="none" w:sz="0" w:space="0" w:color="auto"/>
      </w:divBdr>
    </w:div>
    <w:div w:id="44375224">
      <w:bodyDiv w:val="1"/>
      <w:marLeft w:val="0"/>
      <w:marRight w:val="0"/>
      <w:marTop w:val="0"/>
      <w:marBottom w:val="0"/>
      <w:divBdr>
        <w:top w:val="none" w:sz="0" w:space="0" w:color="auto"/>
        <w:left w:val="none" w:sz="0" w:space="0" w:color="auto"/>
        <w:bottom w:val="none" w:sz="0" w:space="0" w:color="auto"/>
        <w:right w:val="none" w:sz="0" w:space="0" w:color="auto"/>
      </w:divBdr>
    </w:div>
    <w:div w:id="44450365">
      <w:bodyDiv w:val="1"/>
      <w:marLeft w:val="0"/>
      <w:marRight w:val="0"/>
      <w:marTop w:val="0"/>
      <w:marBottom w:val="0"/>
      <w:divBdr>
        <w:top w:val="none" w:sz="0" w:space="0" w:color="auto"/>
        <w:left w:val="none" w:sz="0" w:space="0" w:color="auto"/>
        <w:bottom w:val="none" w:sz="0" w:space="0" w:color="auto"/>
        <w:right w:val="none" w:sz="0" w:space="0" w:color="auto"/>
      </w:divBdr>
    </w:div>
    <w:div w:id="44718450">
      <w:bodyDiv w:val="1"/>
      <w:marLeft w:val="0"/>
      <w:marRight w:val="0"/>
      <w:marTop w:val="0"/>
      <w:marBottom w:val="0"/>
      <w:divBdr>
        <w:top w:val="none" w:sz="0" w:space="0" w:color="auto"/>
        <w:left w:val="none" w:sz="0" w:space="0" w:color="auto"/>
        <w:bottom w:val="none" w:sz="0" w:space="0" w:color="auto"/>
        <w:right w:val="none" w:sz="0" w:space="0" w:color="auto"/>
      </w:divBdr>
    </w:div>
    <w:div w:id="44911621">
      <w:bodyDiv w:val="1"/>
      <w:marLeft w:val="0"/>
      <w:marRight w:val="0"/>
      <w:marTop w:val="0"/>
      <w:marBottom w:val="0"/>
      <w:divBdr>
        <w:top w:val="none" w:sz="0" w:space="0" w:color="auto"/>
        <w:left w:val="none" w:sz="0" w:space="0" w:color="auto"/>
        <w:bottom w:val="none" w:sz="0" w:space="0" w:color="auto"/>
        <w:right w:val="none" w:sz="0" w:space="0" w:color="auto"/>
      </w:divBdr>
    </w:div>
    <w:div w:id="45417612">
      <w:bodyDiv w:val="1"/>
      <w:marLeft w:val="0"/>
      <w:marRight w:val="0"/>
      <w:marTop w:val="0"/>
      <w:marBottom w:val="0"/>
      <w:divBdr>
        <w:top w:val="none" w:sz="0" w:space="0" w:color="auto"/>
        <w:left w:val="none" w:sz="0" w:space="0" w:color="auto"/>
        <w:bottom w:val="none" w:sz="0" w:space="0" w:color="auto"/>
        <w:right w:val="none" w:sz="0" w:space="0" w:color="auto"/>
      </w:divBdr>
    </w:div>
    <w:div w:id="46883059">
      <w:bodyDiv w:val="1"/>
      <w:marLeft w:val="0"/>
      <w:marRight w:val="0"/>
      <w:marTop w:val="0"/>
      <w:marBottom w:val="0"/>
      <w:divBdr>
        <w:top w:val="none" w:sz="0" w:space="0" w:color="auto"/>
        <w:left w:val="none" w:sz="0" w:space="0" w:color="auto"/>
        <w:bottom w:val="none" w:sz="0" w:space="0" w:color="auto"/>
        <w:right w:val="none" w:sz="0" w:space="0" w:color="auto"/>
      </w:divBdr>
    </w:div>
    <w:div w:id="47993221">
      <w:bodyDiv w:val="1"/>
      <w:marLeft w:val="0"/>
      <w:marRight w:val="0"/>
      <w:marTop w:val="0"/>
      <w:marBottom w:val="0"/>
      <w:divBdr>
        <w:top w:val="none" w:sz="0" w:space="0" w:color="auto"/>
        <w:left w:val="none" w:sz="0" w:space="0" w:color="auto"/>
        <w:bottom w:val="none" w:sz="0" w:space="0" w:color="auto"/>
        <w:right w:val="none" w:sz="0" w:space="0" w:color="auto"/>
      </w:divBdr>
    </w:div>
    <w:div w:id="48192469">
      <w:bodyDiv w:val="1"/>
      <w:marLeft w:val="0"/>
      <w:marRight w:val="0"/>
      <w:marTop w:val="0"/>
      <w:marBottom w:val="0"/>
      <w:divBdr>
        <w:top w:val="none" w:sz="0" w:space="0" w:color="auto"/>
        <w:left w:val="none" w:sz="0" w:space="0" w:color="auto"/>
        <w:bottom w:val="none" w:sz="0" w:space="0" w:color="auto"/>
        <w:right w:val="none" w:sz="0" w:space="0" w:color="auto"/>
      </w:divBdr>
    </w:div>
    <w:div w:id="48699110">
      <w:bodyDiv w:val="1"/>
      <w:marLeft w:val="0"/>
      <w:marRight w:val="0"/>
      <w:marTop w:val="0"/>
      <w:marBottom w:val="0"/>
      <w:divBdr>
        <w:top w:val="none" w:sz="0" w:space="0" w:color="auto"/>
        <w:left w:val="none" w:sz="0" w:space="0" w:color="auto"/>
        <w:bottom w:val="none" w:sz="0" w:space="0" w:color="auto"/>
        <w:right w:val="none" w:sz="0" w:space="0" w:color="auto"/>
      </w:divBdr>
    </w:div>
    <w:div w:id="48918756">
      <w:bodyDiv w:val="1"/>
      <w:marLeft w:val="0"/>
      <w:marRight w:val="0"/>
      <w:marTop w:val="0"/>
      <w:marBottom w:val="0"/>
      <w:divBdr>
        <w:top w:val="none" w:sz="0" w:space="0" w:color="auto"/>
        <w:left w:val="none" w:sz="0" w:space="0" w:color="auto"/>
        <w:bottom w:val="none" w:sz="0" w:space="0" w:color="auto"/>
        <w:right w:val="none" w:sz="0" w:space="0" w:color="auto"/>
      </w:divBdr>
    </w:div>
    <w:div w:id="48966144">
      <w:bodyDiv w:val="1"/>
      <w:marLeft w:val="0"/>
      <w:marRight w:val="0"/>
      <w:marTop w:val="0"/>
      <w:marBottom w:val="0"/>
      <w:divBdr>
        <w:top w:val="none" w:sz="0" w:space="0" w:color="auto"/>
        <w:left w:val="none" w:sz="0" w:space="0" w:color="auto"/>
        <w:bottom w:val="none" w:sz="0" w:space="0" w:color="auto"/>
        <w:right w:val="none" w:sz="0" w:space="0" w:color="auto"/>
      </w:divBdr>
    </w:div>
    <w:div w:id="49113622">
      <w:bodyDiv w:val="1"/>
      <w:marLeft w:val="0"/>
      <w:marRight w:val="0"/>
      <w:marTop w:val="0"/>
      <w:marBottom w:val="0"/>
      <w:divBdr>
        <w:top w:val="none" w:sz="0" w:space="0" w:color="auto"/>
        <w:left w:val="none" w:sz="0" w:space="0" w:color="auto"/>
        <w:bottom w:val="none" w:sz="0" w:space="0" w:color="auto"/>
        <w:right w:val="none" w:sz="0" w:space="0" w:color="auto"/>
      </w:divBdr>
    </w:div>
    <w:div w:id="49115063">
      <w:bodyDiv w:val="1"/>
      <w:marLeft w:val="0"/>
      <w:marRight w:val="0"/>
      <w:marTop w:val="0"/>
      <w:marBottom w:val="0"/>
      <w:divBdr>
        <w:top w:val="none" w:sz="0" w:space="0" w:color="auto"/>
        <w:left w:val="none" w:sz="0" w:space="0" w:color="auto"/>
        <w:bottom w:val="none" w:sz="0" w:space="0" w:color="auto"/>
        <w:right w:val="none" w:sz="0" w:space="0" w:color="auto"/>
      </w:divBdr>
    </w:div>
    <w:div w:id="49350410">
      <w:bodyDiv w:val="1"/>
      <w:marLeft w:val="0"/>
      <w:marRight w:val="0"/>
      <w:marTop w:val="0"/>
      <w:marBottom w:val="0"/>
      <w:divBdr>
        <w:top w:val="none" w:sz="0" w:space="0" w:color="auto"/>
        <w:left w:val="none" w:sz="0" w:space="0" w:color="auto"/>
        <w:bottom w:val="none" w:sz="0" w:space="0" w:color="auto"/>
        <w:right w:val="none" w:sz="0" w:space="0" w:color="auto"/>
      </w:divBdr>
    </w:div>
    <w:div w:id="49965672">
      <w:bodyDiv w:val="1"/>
      <w:marLeft w:val="0"/>
      <w:marRight w:val="0"/>
      <w:marTop w:val="0"/>
      <w:marBottom w:val="0"/>
      <w:divBdr>
        <w:top w:val="none" w:sz="0" w:space="0" w:color="auto"/>
        <w:left w:val="none" w:sz="0" w:space="0" w:color="auto"/>
        <w:bottom w:val="none" w:sz="0" w:space="0" w:color="auto"/>
        <w:right w:val="none" w:sz="0" w:space="0" w:color="auto"/>
      </w:divBdr>
    </w:div>
    <w:div w:id="50005495">
      <w:bodyDiv w:val="1"/>
      <w:marLeft w:val="0"/>
      <w:marRight w:val="0"/>
      <w:marTop w:val="0"/>
      <w:marBottom w:val="0"/>
      <w:divBdr>
        <w:top w:val="none" w:sz="0" w:space="0" w:color="auto"/>
        <w:left w:val="none" w:sz="0" w:space="0" w:color="auto"/>
        <w:bottom w:val="none" w:sz="0" w:space="0" w:color="auto"/>
        <w:right w:val="none" w:sz="0" w:space="0" w:color="auto"/>
      </w:divBdr>
    </w:div>
    <w:div w:id="50160015">
      <w:bodyDiv w:val="1"/>
      <w:marLeft w:val="0"/>
      <w:marRight w:val="0"/>
      <w:marTop w:val="0"/>
      <w:marBottom w:val="0"/>
      <w:divBdr>
        <w:top w:val="none" w:sz="0" w:space="0" w:color="auto"/>
        <w:left w:val="none" w:sz="0" w:space="0" w:color="auto"/>
        <w:bottom w:val="none" w:sz="0" w:space="0" w:color="auto"/>
        <w:right w:val="none" w:sz="0" w:space="0" w:color="auto"/>
      </w:divBdr>
    </w:div>
    <w:div w:id="50544459">
      <w:bodyDiv w:val="1"/>
      <w:marLeft w:val="0"/>
      <w:marRight w:val="0"/>
      <w:marTop w:val="0"/>
      <w:marBottom w:val="0"/>
      <w:divBdr>
        <w:top w:val="none" w:sz="0" w:space="0" w:color="auto"/>
        <w:left w:val="none" w:sz="0" w:space="0" w:color="auto"/>
        <w:bottom w:val="none" w:sz="0" w:space="0" w:color="auto"/>
        <w:right w:val="none" w:sz="0" w:space="0" w:color="auto"/>
      </w:divBdr>
    </w:div>
    <w:div w:id="50546543">
      <w:bodyDiv w:val="1"/>
      <w:marLeft w:val="0"/>
      <w:marRight w:val="0"/>
      <w:marTop w:val="0"/>
      <w:marBottom w:val="0"/>
      <w:divBdr>
        <w:top w:val="none" w:sz="0" w:space="0" w:color="auto"/>
        <w:left w:val="none" w:sz="0" w:space="0" w:color="auto"/>
        <w:bottom w:val="none" w:sz="0" w:space="0" w:color="auto"/>
        <w:right w:val="none" w:sz="0" w:space="0" w:color="auto"/>
      </w:divBdr>
    </w:div>
    <w:div w:id="51006180">
      <w:bodyDiv w:val="1"/>
      <w:marLeft w:val="0"/>
      <w:marRight w:val="0"/>
      <w:marTop w:val="0"/>
      <w:marBottom w:val="0"/>
      <w:divBdr>
        <w:top w:val="none" w:sz="0" w:space="0" w:color="auto"/>
        <w:left w:val="none" w:sz="0" w:space="0" w:color="auto"/>
        <w:bottom w:val="none" w:sz="0" w:space="0" w:color="auto"/>
        <w:right w:val="none" w:sz="0" w:space="0" w:color="auto"/>
      </w:divBdr>
    </w:div>
    <w:div w:id="51734080">
      <w:bodyDiv w:val="1"/>
      <w:marLeft w:val="0"/>
      <w:marRight w:val="0"/>
      <w:marTop w:val="0"/>
      <w:marBottom w:val="0"/>
      <w:divBdr>
        <w:top w:val="none" w:sz="0" w:space="0" w:color="auto"/>
        <w:left w:val="none" w:sz="0" w:space="0" w:color="auto"/>
        <w:bottom w:val="none" w:sz="0" w:space="0" w:color="auto"/>
        <w:right w:val="none" w:sz="0" w:space="0" w:color="auto"/>
      </w:divBdr>
    </w:div>
    <w:div w:id="52319064">
      <w:bodyDiv w:val="1"/>
      <w:marLeft w:val="0"/>
      <w:marRight w:val="0"/>
      <w:marTop w:val="0"/>
      <w:marBottom w:val="0"/>
      <w:divBdr>
        <w:top w:val="none" w:sz="0" w:space="0" w:color="auto"/>
        <w:left w:val="none" w:sz="0" w:space="0" w:color="auto"/>
        <w:bottom w:val="none" w:sz="0" w:space="0" w:color="auto"/>
        <w:right w:val="none" w:sz="0" w:space="0" w:color="auto"/>
      </w:divBdr>
    </w:div>
    <w:div w:id="52970928">
      <w:bodyDiv w:val="1"/>
      <w:marLeft w:val="0"/>
      <w:marRight w:val="0"/>
      <w:marTop w:val="0"/>
      <w:marBottom w:val="0"/>
      <w:divBdr>
        <w:top w:val="none" w:sz="0" w:space="0" w:color="auto"/>
        <w:left w:val="none" w:sz="0" w:space="0" w:color="auto"/>
        <w:bottom w:val="none" w:sz="0" w:space="0" w:color="auto"/>
        <w:right w:val="none" w:sz="0" w:space="0" w:color="auto"/>
      </w:divBdr>
    </w:div>
    <w:div w:id="53047023">
      <w:bodyDiv w:val="1"/>
      <w:marLeft w:val="0"/>
      <w:marRight w:val="0"/>
      <w:marTop w:val="0"/>
      <w:marBottom w:val="0"/>
      <w:divBdr>
        <w:top w:val="none" w:sz="0" w:space="0" w:color="auto"/>
        <w:left w:val="none" w:sz="0" w:space="0" w:color="auto"/>
        <w:bottom w:val="none" w:sz="0" w:space="0" w:color="auto"/>
        <w:right w:val="none" w:sz="0" w:space="0" w:color="auto"/>
      </w:divBdr>
    </w:div>
    <w:div w:id="53166795">
      <w:bodyDiv w:val="1"/>
      <w:marLeft w:val="0"/>
      <w:marRight w:val="0"/>
      <w:marTop w:val="0"/>
      <w:marBottom w:val="0"/>
      <w:divBdr>
        <w:top w:val="none" w:sz="0" w:space="0" w:color="auto"/>
        <w:left w:val="none" w:sz="0" w:space="0" w:color="auto"/>
        <w:bottom w:val="none" w:sz="0" w:space="0" w:color="auto"/>
        <w:right w:val="none" w:sz="0" w:space="0" w:color="auto"/>
      </w:divBdr>
    </w:div>
    <w:div w:id="53355175">
      <w:bodyDiv w:val="1"/>
      <w:marLeft w:val="0"/>
      <w:marRight w:val="0"/>
      <w:marTop w:val="0"/>
      <w:marBottom w:val="0"/>
      <w:divBdr>
        <w:top w:val="none" w:sz="0" w:space="0" w:color="auto"/>
        <w:left w:val="none" w:sz="0" w:space="0" w:color="auto"/>
        <w:bottom w:val="none" w:sz="0" w:space="0" w:color="auto"/>
        <w:right w:val="none" w:sz="0" w:space="0" w:color="auto"/>
      </w:divBdr>
    </w:div>
    <w:div w:id="53702943">
      <w:bodyDiv w:val="1"/>
      <w:marLeft w:val="0"/>
      <w:marRight w:val="0"/>
      <w:marTop w:val="0"/>
      <w:marBottom w:val="0"/>
      <w:divBdr>
        <w:top w:val="none" w:sz="0" w:space="0" w:color="auto"/>
        <w:left w:val="none" w:sz="0" w:space="0" w:color="auto"/>
        <w:bottom w:val="none" w:sz="0" w:space="0" w:color="auto"/>
        <w:right w:val="none" w:sz="0" w:space="0" w:color="auto"/>
      </w:divBdr>
    </w:div>
    <w:div w:id="54084367">
      <w:bodyDiv w:val="1"/>
      <w:marLeft w:val="0"/>
      <w:marRight w:val="0"/>
      <w:marTop w:val="0"/>
      <w:marBottom w:val="0"/>
      <w:divBdr>
        <w:top w:val="none" w:sz="0" w:space="0" w:color="auto"/>
        <w:left w:val="none" w:sz="0" w:space="0" w:color="auto"/>
        <w:bottom w:val="none" w:sz="0" w:space="0" w:color="auto"/>
        <w:right w:val="none" w:sz="0" w:space="0" w:color="auto"/>
      </w:divBdr>
    </w:div>
    <w:div w:id="55249155">
      <w:bodyDiv w:val="1"/>
      <w:marLeft w:val="0"/>
      <w:marRight w:val="0"/>
      <w:marTop w:val="0"/>
      <w:marBottom w:val="0"/>
      <w:divBdr>
        <w:top w:val="none" w:sz="0" w:space="0" w:color="auto"/>
        <w:left w:val="none" w:sz="0" w:space="0" w:color="auto"/>
        <w:bottom w:val="none" w:sz="0" w:space="0" w:color="auto"/>
        <w:right w:val="none" w:sz="0" w:space="0" w:color="auto"/>
      </w:divBdr>
    </w:div>
    <w:div w:id="55472224">
      <w:bodyDiv w:val="1"/>
      <w:marLeft w:val="0"/>
      <w:marRight w:val="0"/>
      <w:marTop w:val="0"/>
      <w:marBottom w:val="0"/>
      <w:divBdr>
        <w:top w:val="none" w:sz="0" w:space="0" w:color="auto"/>
        <w:left w:val="none" w:sz="0" w:space="0" w:color="auto"/>
        <w:bottom w:val="none" w:sz="0" w:space="0" w:color="auto"/>
        <w:right w:val="none" w:sz="0" w:space="0" w:color="auto"/>
      </w:divBdr>
    </w:div>
    <w:div w:id="55473175">
      <w:bodyDiv w:val="1"/>
      <w:marLeft w:val="0"/>
      <w:marRight w:val="0"/>
      <w:marTop w:val="0"/>
      <w:marBottom w:val="0"/>
      <w:divBdr>
        <w:top w:val="none" w:sz="0" w:space="0" w:color="auto"/>
        <w:left w:val="none" w:sz="0" w:space="0" w:color="auto"/>
        <w:bottom w:val="none" w:sz="0" w:space="0" w:color="auto"/>
        <w:right w:val="none" w:sz="0" w:space="0" w:color="auto"/>
      </w:divBdr>
    </w:div>
    <w:div w:id="55669063">
      <w:bodyDiv w:val="1"/>
      <w:marLeft w:val="0"/>
      <w:marRight w:val="0"/>
      <w:marTop w:val="0"/>
      <w:marBottom w:val="0"/>
      <w:divBdr>
        <w:top w:val="none" w:sz="0" w:space="0" w:color="auto"/>
        <w:left w:val="none" w:sz="0" w:space="0" w:color="auto"/>
        <w:bottom w:val="none" w:sz="0" w:space="0" w:color="auto"/>
        <w:right w:val="none" w:sz="0" w:space="0" w:color="auto"/>
      </w:divBdr>
    </w:div>
    <w:div w:id="56051920">
      <w:bodyDiv w:val="1"/>
      <w:marLeft w:val="0"/>
      <w:marRight w:val="0"/>
      <w:marTop w:val="0"/>
      <w:marBottom w:val="0"/>
      <w:divBdr>
        <w:top w:val="none" w:sz="0" w:space="0" w:color="auto"/>
        <w:left w:val="none" w:sz="0" w:space="0" w:color="auto"/>
        <w:bottom w:val="none" w:sz="0" w:space="0" w:color="auto"/>
        <w:right w:val="none" w:sz="0" w:space="0" w:color="auto"/>
      </w:divBdr>
    </w:div>
    <w:div w:id="56129090">
      <w:bodyDiv w:val="1"/>
      <w:marLeft w:val="0"/>
      <w:marRight w:val="0"/>
      <w:marTop w:val="0"/>
      <w:marBottom w:val="0"/>
      <w:divBdr>
        <w:top w:val="none" w:sz="0" w:space="0" w:color="auto"/>
        <w:left w:val="none" w:sz="0" w:space="0" w:color="auto"/>
        <w:bottom w:val="none" w:sz="0" w:space="0" w:color="auto"/>
        <w:right w:val="none" w:sz="0" w:space="0" w:color="auto"/>
      </w:divBdr>
    </w:div>
    <w:div w:id="56511296">
      <w:bodyDiv w:val="1"/>
      <w:marLeft w:val="0"/>
      <w:marRight w:val="0"/>
      <w:marTop w:val="0"/>
      <w:marBottom w:val="0"/>
      <w:divBdr>
        <w:top w:val="none" w:sz="0" w:space="0" w:color="auto"/>
        <w:left w:val="none" w:sz="0" w:space="0" w:color="auto"/>
        <w:bottom w:val="none" w:sz="0" w:space="0" w:color="auto"/>
        <w:right w:val="none" w:sz="0" w:space="0" w:color="auto"/>
      </w:divBdr>
    </w:div>
    <w:div w:id="56704335">
      <w:bodyDiv w:val="1"/>
      <w:marLeft w:val="0"/>
      <w:marRight w:val="0"/>
      <w:marTop w:val="0"/>
      <w:marBottom w:val="0"/>
      <w:divBdr>
        <w:top w:val="none" w:sz="0" w:space="0" w:color="auto"/>
        <w:left w:val="none" w:sz="0" w:space="0" w:color="auto"/>
        <w:bottom w:val="none" w:sz="0" w:space="0" w:color="auto"/>
        <w:right w:val="none" w:sz="0" w:space="0" w:color="auto"/>
      </w:divBdr>
    </w:div>
    <w:div w:id="56901336">
      <w:bodyDiv w:val="1"/>
      <w:marLeft w:val="0"/>
      <w:marRight w:val="0"/>
      <w:marTop w:val="0"/>
      <w:marBottom w:val="0"/>
      <w:divBdr>
        <w:top w:val="none" w:sz="0" w:space="0" w:color="auto"/>
        <w:left w:val="none" w:sz="0" w:space="0" w:color="auto"/>
        <w:bottom w:val="none" w:sz="0" w:space="0" w:color="auto"/>
        <w:right w:val="none" w:sz="0" w:space="0" w:color="auto"/>
      </w:divBdr>
    </w:div>
    <w:div w:id="56905653">
      <w:bodyDiv w:val="1"/>
      <w:marLeft w:val="0"/>
      <w:marRight w:val="0"/>
      <w:marTop w:val="0"/>
      <w:marBottom w:val="0"/>
      <w:divBdr>
        <w:top w:val="none" w:sz="0" w:space="0" w:color="auto"/>
        <w:left w:val="none" w:sz="0" w:space="0" w:color="auto"/>
        <w:bottom w:val="none" w:sz="0" w:space="0" w:color="auto"/>
        <w:right w:val="none" w:sz="0" w:space="0" w:color="auto"/>
      </w:divBdr>
    </w:div>
    <w:div w:id="56905731">
      <w:bodyDiv w:val="1"/>
      <w:marLeft w:val="0"/>
      <w:marRight w:val="0"/>
      <w:marTop w:val="0"/>
      <w:marBottom w:val="0"/>
      <w:divBdr>
        <w:top w:val="none" w:sz="0" w:space="0" w:color="auto"/>
        <w:left w:val="none" w:sz="0" w:space="0" w:color="auto"/>
        <w:bottom w:val="none" w:sz="0" w:space="0" w:color="auto"/>
        <w:right w:val="none" w:sz="0" w:space="0" w:color="auto"/>
      </w:divBdr>
    </w:div>
    <w:div w:id="56980339">
      <w:bodyDiv w:val="1"/>
      <w:marLeft w:val="0"/>
      <w:marRight w:val="0"/>
      <w:marTop w:val="0"/>
      <w:marBottom w:val="0"/>
      <w:divBdr>
        <w:top w:val="none" w:sz="0" w:space="0" w:color="auto"/>
        <w:left w:val="none" w:sz="0" w:space="0" w:color="auto"/>
        <w:bottom w:val="none" w:sz="0" w:space="0" w:color="auto"/>
        <w:right w:val="none" w:sz="0" w:space="0" w:color="auto"/>
      </w:divBdr>
    </w:div>
    <w:div w:id="57289901">
      <w:bodyDiv w:val="1"/>
      <w:marLeft w:val="0"/>
      <w:marRight w:val="0"/>
      <w:marTop w:val="0"/>
      <w:marBottom w:val="0"/>
      <w:divBdr>
        <w:top w:val="none" w:sz="0" w:space="0" w:color="auto"/>
        <w:left w:val="none" w:sz="0" w:space="0" w:color="auto"/>
        <w:bottom w:val="none" w:sz="0" w:space="0" w:color="auto"/>
        <w:right w:val="none" w:sz="0" w:space="0" w:color="auto"/>
      </w:divBdr>
    </w:div>
    <w:div w:id="57435688">
      <w:bodyDiv w:val="1"/>
      <w:marLeft w:val="0"/>
      <w:marRight w:val="0"/>
      <w:marTop w:val="0"/>
      <w:marBottom w:val="0"/>
      <w:divBdr>
        <w:top w:val="none" w:sz="0" w:space="0" w:color="auto"/>
        <w:left w:val="none" w:sz="0" w:space="0" w:color="auto"/>
        <w:bottom w:val="none" w:sz="0" w:space="0" w:color="auto"/>
        <w:right w:val="none" w:sz="0" w:space="0" w:color="auto"/>
      </w:divBdr>
    </w:div>
    <w:div w:id="58096623">
      <w:bodyDiv w:val="1"/>
      <w:marLeft w:val="0"/>
      <w:marRight w:val="0"/>
      <w:marTop w:val="0"/>
      <w:marBottom w:val="0"/>
      <w:divBdr>
        <w:top w:val="none" w:sz="0" w:space="0" w:color="auto"/>
        <w:left w:val="none" w:sz="0" w:space="0" w:color="auto"/>
        <w:bottom w:val="none" w:sz="0" w:space="0" w:color="auto"/>
        <w:right w:val="none" w:sz="0" w:space="0" w:color="auto"/>
      </w:divBdr>
    </w:div>
    <w:div w:id="58790190">
      <w:bodyDiv w:val="1"/>
      <w:marLeft w:val="0"/>
      <w:marRight w:val="0"/>
      <w:marTop w:val="0"/>
      <w:marBottom w:val="0"/>
      <w:divBdr>
        <w:top w:val="none" w:sz="0" w:space="0" w:color="auto"/>
        <w:left w:val="none" w:sz="0" w:space="0" w:color="auto"/>
        <w:bottom w:val="none" w:sz="0" w:space="0" w:color="auto"/>
        <w:right w:val="none" w:sz="0" w:space="0" w:color="auto"/>
      </w:divBdr>
    </w:div>
    <w:div w:id="58865509">
      <w:bodyDiv w:val="1"/>
      <w:marLeft w:val="0"/>
      <w:marRight w:val="0"/>
      <w:marTop w:val="0"/>
      <w:marBottom w:val="0"/>
      <w:divBdr>
        <w:top w:val="none" w:sz="0" w:space="0" w:color="auto"/>
        <w:left w:val="none" w:sz="0" w:space="0" w:color="auto"/>
        <w:bottom w:val="none" w:sz="0" w:space="0" w:color="auto"/>
        <w:right w:val="none" w:sz="0" w:space="0" w:color="auto"/>
      </w:divBdr>
    </w:div>
    <w:div w:id="59796332">
      <w:bodyDiv w:val="1"/>
      <w:marLeft w:val="0"/>
      <w:marRight w:val="0"/>
      <w:marTop w:val="0"/>
      <w:marBottom w:val="0"/>
      <w:divBdr>
        <w:top w:val="none" w:sz="0" w:space="0" w:color="auto"/>
        <w:left w:val="none" w:sz="0" w:space="0" w:color="auto"/>
        <w:bottom w:val="none" w:sz="0" w:space="0" w:color="auto"/>
        <w:right w:val="none" w:sz="0" w:space="0" w:color="auto"/>
      </w:divBdr>
    </w:div>
    <w:div w:id="60060386">
      <w:bodyDiv w:val="1"/>
      <w:marLeft w:val="0"/>
      <w:marRight w:val="0"/>
      <w:marTop w:val="0"/>
      <w:marBottom w:val="0"/>
      <w:divBdr>
        <w:top w:val="none" w:sz="0" w:space="0" w:color="auto"/>
        <w:left w:val="none" w:sz="0" w:space="0" w:color="auto"/>
        <w:bottom w:val="none" w:sz="0" w:space="0" w:color="auto"/>
        <w:right w:val="none" w:sz="0" w:space="0" w:color="auto"/>
      </w:divBdr>
    </w:div>
    <w:div w:id="60951343">
      <w:bodyDiv w:val="1"/>
      <w:marLeft w:val="0"/>
      <w:marRight w:val="0"/>
      <w:marTop w:val="0"/>
      <w:marBottom w:val="0"/>
      <w:divBdr>
        <w:top w:val="none" w:sz="0" w:space="0" w:color="auto"/>
        <w:left w:val="none" w:sz="0" w:space="0" w:color="auto"/>
        <w:bottom w:val="none" w:sz="0" w:space="0" w:color="auto"/>
        <w:right w:val="none" w:sz="0" w:space="0" w:color="auto"/>
      </w:divBdr>
    </w:div>
    <w:div w:id="61680299">
      <w:bodyDiv w:val="1"/>
      <w:marLeft w:val="0"/>
      <w:marRight w:val="0"/>
      <w:marTop w:val="0"/>
      <w:marBottom w:val="0"/>
      <w:divBdr>
        <w:top w:val="none" w:sz="0" w:space="0" w:color="auto"/>
        <w:left w:val="none" w:sz="0" w:space="0" w:color="auto"/>
        <w:bottom w:val="none" w:sz="0" w:space="0" w:color="auto"/>
        <w:right w:val="none" w:sz="0" w:space="0" w:color="auto"/>
      </w:divBdr>
    </w:div>
    <w:div w:id="61802071">
      <w:bodyDiv w:val="1"/>
      <w:marLeft w:val="0"/>
      <w:marRight w:val="0"/>
      <w:marTop w:val="0"/>
      <w:marBottom w:val="0"/>
      <w:divBdr>
        <w:top w:val="none" w:sz="0" w:space="0" w:color="auto"/>
        <w:left w:val="none" w:sz="0" w:space="0" w:color="auto"/>
        <w:bottom w:val="none" w:sz="0" w:space="0" w:color="auto"/>
        <w:right w:val="none" w:sz="0" w:space="0" w:color="auto"/>
      </w:divBdr>
    </w:div>
    <w:div w:id="62798846">
      <w:bodyDiv w:val="1"/>
      <w:marLeft w:val="0"/>
      <w:marRight w:val="0"/>
      <w:marTop w:val="0"/>
      <w:marBottom w:val="0"/>
      <w:divBdr>
        <w:top w:val="none" w:sz="0" w:space="0" w:color="auto"/>
        <w:left w:val="none" w:sz="0" w:space="0" w:color="auto"/>
        <w:bottom w:val="none" w:sz="0" w:space="0" w:color="auto"/>
        <w:right w:val="none" w:sz="0" w:space="0" w:color="auto"/>
      </w:divBdr>
    </w:div>
    <w:div w:id="63260009">
      <w:bodyDiv w:val="1"/>
      <w:marLeft w:val="0"/>
      <w:marRight w:val="0"/>
      <w:marTop w:val="0"/>
      <w:marBottom w:val="0"/>
      <w:divBdr>
        <w:top w:val="none" w:sz="0" w:space="0" w:color="auto"/>
        <w:left w:val="none" w:sz="0" w:space="0" w:color="auto"/>
        <w:bottom w:val="none" w:sz="0" w:space="0" w:color="auto"/>
        <w:right w:val="none" w:sz="0" w:space="0" w:color="auto"/>
      </w:divBdr>
    </w:div>
    <w:div w:id="63456558">
      <w:bodyDiv w:val="1"/>
      <w:marLeft w:val="0"/>
      <w:marRight w:val="0"/>
      <w:marTop w:val="0"/>
      <w:marBottom w:val="0"/>
      <w:divBdr>
        <w:top w:val="none" w:sz="0" w:space="0" w:color="auto"/>
        <w:left w:val="none" w:sz="0" w:space="0" w:color="auto"/>
        <w:bottom w:val="none" w:sz="0" w:space="0" w:color="auto"/>
        <w:right w:val="none" w:sz="0" w:space="0" w:color="auto"/>
      </w:divBdr>
    </w:div>
    <w:div w:id="63920017">
      <w:bodyDiv w:val="1"/>
      <w:marLeft w:val="0"/>
      <w:marRight w:val="0"/>
      <w:marTop w:val="0"/>
      <w:marBottom w:val="0"/>
      <w:divBdr>
        <w:top w:val="none" w:sz="0" w:space="0" w:color="auto"/>
        <w:left w:val="none" w:sz="0" w:space="0" w:color="auto"/>
        <w:bottom w:val="none" w:sz="0" w:space="0" w:color="auto"/>
        <w:right w:val="none" w:sz="0" w:space="0" w:color="auto"/>
      </w:divBdr>
    </w:div>
    <w:div w:id="64301666">
      <w:bodyDiv w:val="1"/>
      <w:marLeft w:val="0"/>
      <w:marRight w:val="0"/>
      <w:marTop w:val="0"/>
      <w:marBottom w:val="0"/>
      <w:divBdr>
        <w:top w:val="none" w:sz="0" w:space="0" w:color="auto"/>
        <w:left w:val="none" w:sz="0" w:space="0" w:color="auto"/>
        <w:bottom w:val="none" w:sz="0" w:space="0" w:color="auto"/>
        <w:right w:val="none" w:sz="0" w:space="0" w:color="auto"/>
      </w:divBdr>
    </w:div>
    <w:div w:id="64495534">
      <w:bodyDiv w:val="1"/>
      <w:marLeft w:val="0"/>
      <w:marRight w:val="0"/>
      <w:marTop w:val="0"/>
      <w:marBottom w:val="0"/>
      <w:divBdr>
        <w:top w:val="none" w:sz="0" w:space="0" w:color="auto"/>
        <w:left w:val="none" w:sz="0" w:space="0" w:color="auto"/>
        <w:bottom w:val="none" w:sz="0" w:space="0" w:color="auto"/>
        <w:right w:val="none" w:sz="0" w:space="0" w:color="auto"/>
      </w:divBdr>
    </w:div>
    <w:div w:id="64496049">
      <w:bodyDiv w:val="1"/>
      <w:marLeft w:val="0"/>
      <w:marRight w:val="0"/>
      <w:marTop w:val="0"/>
      <w:marBottom w:val="0"/>
      <w:divBdr>
        <w:top w:val="none" w:sz="0" w:space="0" w:color="auto"/>
        <w:left w:val="none" w:sz="0" w:space="0" w:color="auto"/>
        <w:bottom w:val="none" w:sz="0" w:space="0" w:color="auto"/>
        <w:right w:val="none" w:sz="0" w:space="0" w:color="auto"/>
      </w:divBdr>
    </w:div>
    <w:div w:id="64763045">
      <w:bodyDiv w:val="1"/>
      <w:marLeft w:val="0"/>
      <w:marRight w:val="0"/>
      <w:marTop w:val="0"/>
      <w:marBottom w:val="0"/>
      <w:divBdr>
        <w:top w:val="none" w:sz="0" w:space="0" w:color="auto"/>
        <w:left w:val="none" w:sz="0" w:space="0" w:color="auto"/>
        <w:bottom w:val="none" w:sz="0" w:space="0" w:color="auto"/>
        <w:right w:val="none" w:sz="0" w:space="0" w:color="auto"/>
      </w:divBdr>
    </w:div>
    <w:div w:id="64766555">
      <w:bodyDiv w:val="1"/>
      <w:marLeft w:val="0"/>
      <w:marRight w:val="0"/>
      <w:marTop w:val="0"/>
      <w:marBottom w:val="0"/>
      <w:divBdr>
        <w:top w:val="none" w:sz="0" w:space="0" w:color="auto"/>
        <w:left w:val="none" w:sz="0" w:space="0" w:color="auto"/>
        <w:bottom w:val="none" w:sz="0" w:space="0" w:color="auto"/>
        <w:right w:val="none" w:sz="0" w:space="0" w:color="auto"/>
      </w:divBdr>
    </w:div>
    <w:div w:id="64953947">
      <w:bodyDiv w:val="1"/>
      <w:marLeft w:val="0"/>
      <w:marRight w:val="0"/>
      <w:marTop w:val="0"/>
      <w:marBottom w:val="0"/>
      <w:divBdr>
        <w:top w:val="none" w:sz="0" w:space="0" w:color="auto"/>
        <w:left w:val="none" w:sz="0" w:space="0" w:color="auto"/>
        <w:bottom w:val="none" w:sz="0" w:space="0" w:color="auto"/>
        <w:right w:val="none" w:sz="0" w:space="0" w:color="auto"/>
      </w:divBdr>
    </w:div>
    <w:div w:id="65762442">
      <w:bodyDiv w:val="1"/>
      <w:marLeft w:val="0"/>
      <w:marRight w:val="0"/>
      <w:marTop w:val="0"/>
      <w:marBottom w:val="0"/>
      <w:divBdr>
        <w:top w:val="none" w:sz="0" w:space="0" w:color="auto"/>
        <w:left w:val="none" w:sz="0" w:space="0" w:color="auto"/>
        <w:bottom w:val="none" w:sz="0" w:space="0" w:color="auto"/>
        <w:right w:val="none" w:sz="0" w:space="0" w:color="auto"/>
      </w:divBdr>
    </w:div>
    <w:div w:id="65882204">
      <w:bodyDiv w:val="1"/>
      <w:marLeft w:val="0"/>
      <w:marRight w:val="0"/>
      <w:marTop w:val="0"/>
      <w:marBottom w:val="0"/>
      <w:divBdr>
        <w:top w:val="none" w:sz="0" w:space="0" w:color="auto"/>
        <w:left w:val="none" w:sz="0" w:space="0" w:color="auto"/>
        <w:bottom w:val="none" w:sz="0" w:space="0" w:color="auto"/>
        <w:right w:val="none" w:sz="0" w:space="0" w:color="auto"/>
      </w:divBdr>
    </w:div>
    <w:div w:id="65959079">
      <w:bodyDiv w:val="1"/>
      <w:marLeft w:val="0"/>
      <w:marRight w:val="0"/>
      <w:marTop w:val="0"/>
      <w:marBottom w:val="0"/>
      <w:divBdr>
        <w:top w:val="none" w:sz="0" w:space="0" w:color="auto"/>
        <w:left w:val="none" w:sz="0" w:space="0" w:color="auto"/>
        <w:bottom w:val="none" w:sz="0" w:space="0" w:color="auto"/>
        <w:right w:val="none" w:sz="0" w:space="0" w:color="auto"/>
      </w:divBdr>
    </w:div>
    <w:div w:id="66341552">
      <w:bodyDiv w:val="1"/>
      <w:marLeft w:val="0"/>
      <w:marRight w:val="0"/>
      <w:marTop w:val="0"/>
      <w:marBottom w:val="0"/>
      <w:divBdr>
        <w:top w:val="none" w:sz="0" w:space="0" w:color="auto"/>
        <w:left w:val="none" w:sz="0" w:space="0" w:color="auto"/>
        <w:bottom w:val="none" w:sz="0" w:space="0" w:color="auto"/>
        <w:right w:val="none" w:sz="0" w:space="0" w:color="auto"/>
      </w:divBdr>
    </w:div>
    <w:div w:id="66852840">
      <w:bodyDiv w:val="1"/>
      <w:marLeft w:val="0"/>
      <w:marRight w:val="0"/>
      <w:marTop w:val="0"/>
      <w:marBottom w:val="0"/>
      <w:divBdr>
        <w:top w:val="none" w:sz="0" w:space="0" w:color="auto"/>
        <w:left w:val="none" w:sz="0" w:space="0" w:color="auto"/>
        <w:bottom w:val="none" w:sz="0" w:space="0" w:color="auto"/>
        <w:right w:val="none" w:sz="0" w:space="0" w:color="auto"/>
      </w:divBdr>
    </w:div>
    <w:div w:id="67659012">
      <w:bodyDiv w:val="1"/>
      <w:marLeft w:val="0"/>
      <w:marRight w:val="0"/>
      <w:marTop w:val="0"/>
      <w:marBottom w:val="0"/>
      <w:divBdr>
        <w:top w:val="none" w:sz="0" w:space="0" w:color="auto"/>
        <w:left w:val="none" w:sz="0" w:space="0" w:color="auto"/>
        <w:bottom w:val="none" w:sz="0" w:space="0" w:color="auto"/>
        <w:right w:val="none" w:sz="0" w:space="0" w:color="auto"/>
      </w:divBdr>
    </w:div>
    <w:div w:id="68113334">
      <w:bodyDiv w:val="1"/>
      <w:marLeft w:val="0"/>
      <w:marRight w:val="0"/>
      <w:marTop w:val="0"/>
      <w:marBottom w:val="0"/>
      <w:divBdr>
        <w:top w:val="none" w:sz="0" w:space="0" w:color="auto"/>
        <w:left w:val="none" w:sz="0" w:space="0" w:color="auto"/>
        <w:bottom w:val="none" w:sz="0" w:space="0" w:color="auto"/>
        <w:right w:val="none" w:sz="0" w:space="0" w:color="auto"/>
      </w:divBdr>
    </w:div>
    <w:div w:id="68842949">
      <w:bodyDiv w:val="1"/>
      <w:marLeft w:val="0"/>
      <w:marRight w:val="0"/>
      <w:marTop w:val="0"/>
      <w:marBottom w:val="0"/>
      <w:divBdr>
        <w:top w:val="none" w:sz="0" w:space="0" w:color="auto"/>
        <w:left w:val="none" w:sz="0" w:space="0" w:color="auto"/>
        <w:bottom w:val="none" w:sz="0" w:space="0" w:color="auto"/>
        <w:right w:val="none" w:sz="0" w:space="0" w:color="auto"/>
      </w:divBdr>
    </w:div>
    <w:div w:id="68844811">
      <w:bodyDiv w:val="1"/>
      <w:marLeft w:val="0"/>
      <w:marRight w:val="0"/>
      <w:marTop w:val="0"/>
      <w:marBottom w:val="0"/>
      <w:divBdr>
        <w:top w:val="none" w:sz="0" w:space="0" w:color="auto"/>
        <w:left w:val="none" w:sz="0" w:space="0" w:color="auto"/>
        <w:bottom w:val="none" w:sz="0" w:space="0" w:color="auto"/>
        <w:right w:val="none" w:sz="0" w:space="0" w:color="auto"/>
      </w:divBdr>
    </w:div>
    <w:div w:id="69082495">
      <w:bodyDiv w:val="1"/>
      <w:marLeft w:val="0"/>
      <w:marRight w:val="0"/>
      <w:marTop w:val="0"/>
      <w:marBottom w:val="0"/>
      <w:divBdr>
        <w:top w:val="none" w:sz="0" w:space="0" w:color="auto"/>
        <w:left w:val="none" w:sz="0" w:space="0" w:color="auto"/>
        <w:bottom w:val="none" w:sz="0" w:space="0" w:color="auto"/>
        <w:right w:val="none" w:sz="0" w:space="0" w:color="auto"/>
      </w:divBdr>
    </w:div>
    <w:div w:id="69272280">
      <w:bodyDiv w:val="1"/>
      <w:marLeft w:val="0"/>
      <w:marRight w:val="0"/>
      <w:marTop w:val="0"/>
      <w:marBottom w:val="0"/>
      <w:divBdr>
        <w:top w:val="none" w:sz="0" w:space="0" w:color="auto"/>
        <w:left w:val="none" w:sz="0" w:space="0" w:color="auto"/>
        <w:bottom w:val="none" w:sz="0" w:space="0" w:color="auto"/>
        <w:right w:val="none" w:sz="0" w:space="0" w:color="auto"/>
      </w:divBdr>
    </w:div>
    <w:div w:id="69666835">
      <w:bodyDiv w:val="1"/>
      <w:marLeft w:val="0"/>
      <w:marRight w:val="0"/>
      <w:marTop w:val="0"/>
      <w:marBottom w:val="0"/>
      <w:divBdr>
        <w:top w:val="none" w:sz="0" w:space="0" w:color="auto"/>
        <w:left w:val="none" w:sz="0" w:space="0" w:color="auto"/>
        <w:bottom w:val="none" w:sz="0" w:space="0" w:color="auto"/>
        <w:right w:val="none" w:sz="0" w:space="0" w:color="auto"/>
      </w:divBdr>
    </w:div>
    <w:div w:id="69694145">
      <w:bodyDiv w:val="1"/>
      <w:marLeft w:val="0"/>
      <w:marRight w:val="0"/>
      <w:marTop w:val="0"/>
      <w:marBottom w:val="0"/>
      <w:divBdr>
        <w:top w:val="none" w:sz="0" w:space="0" w:color="auto"/>
        <w:left w:val="none" w:sz="0" w:space="0" w:color="auto"/>
        <w:bottom w:val="none" w:sz="0" w:space="0" w:color="auto"/>
        <w:right w:val="none" w:sz="0" w:space="0" w:color="auto"/>
      </w:divBdr>
    </w:div>
    <w:div w:id="70007629">
      <w:bodyDiv w:val="1"/>
      <w:marLeft w:val="0"/>
      <w:marRight w:val="0"/>
      <w:marTop w:val="0"/>
      <w:marBottom w:val="0"/>
      <w:divBdr>
        <w:top w:val="none" w:sz="0" w:space="0" w:color="auto"/>
        <w:left w:val="none" w:sz="0" w:space="0" w:color="auto"/>
        <w:bottom w:val="none" w:sz="0" w:space="0" w:color="auto"/>
        <w:right w:val="none" w:sz="0" w:space="0" w:color="auto"/>
      </w:divBdr>
    </w:div>
    <w:div w:id="70083217">
      <w:bodyDiv w:val="1"/>
      <w:marLeft w:val="0"/>
      <w:marRight w:val="0"/>
      <w:marTop w:val="0"/>
      <w:marBottom w:val="0"/>
      <w:divBdr>
        <w:top w:val="none" w:sz="0" w:space="0" w:color="auto"/>
        <w:left w:val="none" w:sz="0" w:space="0" w:color="auto"/>
        <w:bottom w:val="none" w:sz="0" w:space="0" w:color="auto"/>
        <w:right w:val="none" w:sz="0" w:space="0" w:color="auto"/>
      </w:divBdr>
    </w:div>
    <w:div w:id="70809469">
      <w:bodyDiv w:val="1"/>
      <w:marLeft w:val="0"/>
      <w:marRight w:val="0"/>
      <w:marTop w:val="0"/>
      <w:marBottom w:val="0"/>
      <w:divBdr>
        <w:top w:val="none" w:sz="0" w:space="0" w:color="auto"/>
        <w:left w:val="none" w:sz="0" w:space="0" w:color="auto"/>
        <w:bottom w:val="none" w:sz="0" w:space="0" w:color="auto"/>
        <w:right w:val="none" w:sz="0" w:space="0" w:color="auto"/>
      </w:divBdr>
    </w:div>
    <w:div w:id="70811353">
      <w:bodyDiv w:val="1"/>
      <w:marLeft w:val="0"/>
      <w:marRight w:val="0"/>
      <w:marTop w:val="0"/>
      <w:marBottom w:val="0"/>
      <w:divBdr>
        <w:top w:val="none" w:sz="0" w:space="0" w:color="auto"/>
        <w:left w:val="none" w:sz="0" w:space="0" w:color="auto"/>
        <w:bottom w:val="none" w:sz="0" w:space="0" w:color="auto"/>
        <w:right w:val="none" w:sz="0" w:space="0" w:color="auto"/>
      </w:divBdr>
    </w:div>
    <w:div w:id="71859910">
      <w:bodyDiv w:val="1"/>
      <w:marLeft w:val="0"/>
      <w:marRight w:val="0"/>
      <w:marTop w:val="0"/>
      <w:marBottom w:val="0"/>
      <w:divBdr>
        <w:top w:val="none" w:sz="0" w:space="0" w:color="auto"/>
        <w:left w:val="none" w:sz="0" w:space="0" w:color="auto"/>
        <w:bottom w:val="none" w:sz="0" w:space="0" w:color="auto"/>
        <w:right w:val="none" w:sz="0" w:space="0" w:color="auto"/>
      </w:divBdr>
    </w:div>
    <w:div w:id="72362761">
      <w:bodyDiv w:val="1"/>
      <w:marLeft w:val="0"/>
      <w:marRight w:val="0"/>
      <w:marTop w:val="0"/>
      <w:marBottom w:val="0"/>
      <w:divBdr>
        <w:top w:val="none" w:sz="0" w:space="0" w:color="auto"/>
        <w:left w:val="none" w:sz="0" w:space="0" w:color="auto"/>
        <w:bottom w:val="none" w:sz="0" w:space="0" w:color="auto"/>
        <w:right w:val="none" w:sz="0" w:space="0" w:color="auto"/>
      </w:divBdr>
    </w:div>
    <w:div w:id="72629303">
      <w:bodyDiv w:val="1"/>
      <w:marLeft w:val="0"/>
      <w:marRight w:val="0"/>
      <w:marTop w:val="0"/>
      <w:marBottom w:val="0"/>
      <w:divBdr>
        <w:top w:val="none" w:sz="0" w:space="0" w:color="auto"/>
        <w:left w:val="none" w:sz="0" w:space="0" w:color="auto"/>
        <w:bottom w:val="none" w:sz="0" w:space="0" w:color="auto"/>
        <w:right w:val="none" w:sz="0" w:space="0" w:color="auto"/>
      </w:divBdr>
    </w:div>
    <w:div w:id="72819893">
      <w:bodyDiv w:val="1"/>
      <w:marLeft w:val="0"/>
      <w:marRight w:val="0"/>
      <w:marTop w:val="0"/>
      <w:marBottom w:val="0"/>
      <w:divBdr>
        <w:top w:val="none" w:sz="0" w:space="0" w:color="auto"/>
        <w:left w:val="none" w:sz="0" w:space="0" w:color="auto"/>
        <w:bottom w:val="none" w:sz="0" w:space="0" w:color="auto"/>
        <w:right w:val="none" w:sz="0" w:space="0" w:color="auto"/>
      </w:divBdr>
    </w:div>
    <w:div w:id="73209267">
      <w:bodyDiv w:val="1"/>
      <w:marLeft w:val="0"/>
      <w:marRight w:val="0"/>
      <w:marTop w:val="0"/>
      <w:marBottom w:val="0"/>
      <w:divBdr>
        <w:top w:val="none" w:sz="0" w:space="0" w:color="auto"/>
        <w:left w:val="none" w:sz="0" w:space="0" w:color="auto"/>
        <w:bottom w:val="none" w:sz="0" w:space="0" w:color="auto"/>
        <w:right w:val="none" w:sz="0" w:space="0" w:color="auto"/>
      </w:divBdr>
    </w:div>
    <w:div w:id="73557215">
      <w:bodyDiv w:val="1"/>
      <w:marLeft w:val="0"/>
      <w:marRight w:val="0"/>
      <w:marTop w:val="0"/>
      <w:marBottom w:val="0"/>
      <w:divBdr>
        <w:top w:val="none" w:sz="0" w:space="0" w:color="auto"/>
        <w:left w:val="none" w:sz="0" w:space="0" w:color="auto"/>
        <w:bottom w:val="none" w:sz="0" w:space="0" w:color="auto"/>
        <w:right w:val="none" w:sz="0" w:space="0" w:color="auto"/>
      </w:divBdr>
    </w:div>
    <w:div w:id="73624972">
      <w:bodyDiv w:val="1"/>
      <w:marLeft w:val="0"/>
      <w:marRight w:val="0"/>
      <w:marTop w:val="0"/>
      <w:marBottom w:val="0"/>
      <w:divBdr>
        <w:top w:val="none" w:sz="0" w:space="0" w:color="auto"/>
        <w:left w:val="none" w:sz="0" w:space="0" w:color="auto"/>
        <w:bottom w:val="none" w:sz="0" w:space="0" w:color="auto"/>
        <w:right w:val="none" w:sz="0" w:space="0" w:color="auto"/>
      </w:divBdr>
    </w:div>
    <w:div w:id="73747105">
      <w:bodyDiv w:val="1"/>
      <w:marLeft w:val="0"/>
      <w:marRight w:val="0"/>
      <w:marTop w:val="0"/>
      <w:marBottom w:val="0"/>
      <w:divBdr>
        <w:top w:val="none" w:sz="0" w:space="0" w:color="auto"/>
        <w:left w:val="none" w:sz="0" w:space="0" w:color="auto"/>
        <w:bottom w:val="none" w:sz="0" w:space="0" w:color="auto"/>
        <w:right w:val="none" w:sz="0" w:space="0" w:color="auto"/>
      </w:divBdr>
    </w:div>
    <w:div w:id="74716939">
      <w:bodyDiv w:val="1"/>
      <w:marLeft w:val="0"/>
      <w:marRight w:val="0"/>
      <w:marTop w:val="0"/>
      <w:marBottom w:val="0"/>
      <w:divBdr>
        <w:top w:val="none" w:sz="0" w:space="0" w:color="auto"/>
        <w:left w:val="none" w:sz="0" w:space="0" w:color="auto"/>
        <w:bottom w:val="none" w:sz="0" w:space="0" w:color="auto"/>
        <w:right w:val="none" w:sz="0" w:space="0" w:color="auto"/>
      </w:divBdr>
    </w:div>
    <w:div w:id="74940404">
      <w:bodyDiv w:val="1"/>
      <w:marLeft w:val="0"/>
      <w:marRight w:val="0"/>
      <w:marTop w:val="0"/>
      <w:marBottom w:val="0"/>
      <w:divBdr>
        <w:top w:val="none" w:sz="0" w:space="0" w:color="auto"/>
        <w:left w:val="none" w:sz="0" w:space="0" w:color="auto"/>
        <w:bottom w:val="none" w:sz="0" w:space="0" w:color="auto"/>
        <w:right w:val="none" w:sz="0" w:space="0" w:color="auto"/>
      </w:divBdr>
    </w:div>
    <w:div w:id="74979602">
      <w:bodyDiv w:val="1"/>
      <w:marLeft w:val="0"/>
      <w:marRight w:val="0"/>
      <w:marTop w:val="0"/>
      <w:marBottom w:val="0"/>
      <w:divBdr>
        <w:top w:val="none" w:sz="0" w:space="0" w:color="auto"/>
        <w:left w:val="none" w:sz="0" w:space="0" w:color="auto"/>
        <w:bottom w:val="none" w:sz="0" w:space="0" w:color="auto"/>
        <w:right w:val="none" w:sz="0" w:space="0" w:color="auto"/>
      </w:divBdr>
    </w:div>
    <w:div w:id="75253928">
      <w:bodyDiv w:val="1"/>
      <w:marLeft w:val="0"/>
      <w:marRight w:val="0"/>
      <w:marTop w:val="0"/>
      <w:marBottom w:val="0"/>
      <w:divBdr>
        <w:top w:val="none" w:sz="0" w:space="0" w:color="auto"/>
        <w:left w:val="none" w:sz="0" w:space="0" w:color="auto"/>
        <w:bottom w:val="none" w:sz="0" w:space="0" w:color="auto"/>
        <w:right w:val="none" w:sz="0" w:space="0" w:color="auto"/>
      </w:divBdr>
    </w:div>
    <w:div w:id="75590124">
      <w:bodyDiv w:val="1"/>
      <w:marLeft w:val="0"/>
      <w:marRight w:val="0"/>
      <w:marTop w:val="0"/>
      <w:marBottom w:val="0"/>
      <w:divBdr>
        <w:top w:val="none" w:sz="0" w:space="0" w:color="auto"/>
        <w:left w:val="none" w:sz="0" w:space="0" w:color="auto"/>
        <w:bottom w:val="none" w:sz="0" w:space="0" w:color="auto"/>
        <w:right w:val="none" w:sz="0" w:space="0" w:color="auto"/>
      </w:divBdr>
    </w:div>
    <w:div w:id="75784110">
      <w:bodyDiv w:val="1"/>
      <w:marLeft w:val="0"/>
      <w:marRight w:val="0"/>
      <w:marTop w:val="0"/>
      <w:marBottom w:val="0"/>
      <w:divBdr>
        <w:top w:val="none" w:sz="0" w:space="0" w:color="auto"/>
        <w:left w:val="none" w:sz="0" w:space="0" w:color="auto"/>
        <w:bottom w:val="none" w:sz="0" w:space="0" w:color="auto"/>
        <w:right w:val="none" w:sz="0" w:space="0" w:color="auto"/>
      </w:divBdr>
    </w:div>
    <w:div w:id="75979779">
      <w:bodyDiv w:val="1"/>
      <w:marLeft w:val="0"/>
      <w:marRight w:val="0"/>
      <w:marTop w:val="0"/>
      <w:marBottom w:val="0"/>
      <w:divBdr>
        <w:top w:val="none" w:sz="0" w:space="0" w:color="auto"/>
        <w:left w:val="none" w:sz="0" w:space="0" w:color="auto"/>
        <w:bottom w:val="none" w:sz="0" w:space="0" w:color="auto"/>
        <w:right w:val="none" w:sz="0" w:space="0" w:color="auto"/>
      </w:divBdr>
    </w:div>
    <w:div w:id="76370631">
      <w:bodyDiv w:val="1"/>
      <w:marLeft w:val="0"/>
      <w:marRight w:val="0"/>
      <w:marTop w:val="0"/>
      <w:marBottom w:val="0"/>
      <w:divBdr>
        <w:top w:val="none" w:sz="0" w:space="0" w:color="auto"/>
        <w:left w:val="none" w:sz="0" w:space="0" w:color="auto"/>
        <w:bottom w:val="none" w:sz="0" w:space="0" w:color="auto"/>
        <w:right w:val="none" w:sz="0" w:space="0" w:color="auto"/>
      </w:divBdr>
    </w:div>
    <w:div w:id="76483405">
      <w:bodyDiv w:val="1"/>
      <w:marLeft w:val="0"/>
      <w:marRight w:val="0"/>
      <w:marTop w:val="0"/>
      <w:marBottom w:val="0"/>
      <w:divBdr>
        <w:top w:val="none" w:sz="0" w:space="0" w:color="auto"/>
        <w:left w:val="none" w:sz="0" w:space="0" w:color="auto"/>
        <w:bottom w:val="none" w:sz="0" w:space="0" w:color="auto"/>
        <w:right w:val="none" w:sz="0" w:space="0" w:color="auto"/>
      </w:divBdr>
    </w:div>
    <w:div w:id="76951430">
      <w:bodyDiv w:val="1"/>
      <w:marLeft w:val="0"/>
      <w:marRight w:val="0"/>
      <w:marTop w:val="0"/>
      <w:marBottom w:val="0"/>
      <w:divBdr>
        <w:top w:val="none" w:sz="0" w:space="0" w:color="auto"/>
        <w:left w:val="none" w:sz="0" w:space="0" w:color="auto"/>
        <w:bottom w:val="none" w:sz="0" w:space="0" w:color="auto"/>
        <w:right w:val="none" w:sz="0" w:space="0" w:color="auto"/>
      </w:divBdr>
    </w:div>
    <w:div w:id="77019368">
      <w:bodyDiv w:val="1"/>
      <w:marLeft w:val="0"/>
      <w:marRight w:val="0"/>
      <w:marTop w:val="0"/>
      <w:marBottom w:val="0"/>
      <w:divBdr>
        <w:top w:val="none" w:sz="0" w:space="0" w:color="auto"/>
        <w:left w:val="none" w:sz="0" w:space="0" w:color="auto"/>
        <w:bottom w:val="none" w:sz="0" w:space="0" w:color="auto"/>
        <w:right w:val="none" w:sz="0" w:space="0" w:color="auto"/>
      </w:divBdr>
    </w:div>
    <w:div w:id="77217383">
      <w:bodyDiv w:val="1"/>
      <w:marLeft w:val="0"/>
      <w:marRight w:val="0"/>
      <w:marTop w:val="0"/>
      <w:marBottom w:val="0"/>
      <w:divBdr>
        <w:top w:val="none" w:sz="0" w:space="0" w:color="auto"/>
        <w:left w:val="none" w:sz="0" w:space="0" w:color="auto"/>
        <w:bottom w:val="none" w:sz="0" w:space="0" w:color="auto"/>
        <w:right w:val="none" w:sz="0" w:space="0" w:color="auto"/>
      </w:divBdr>
    </w:div>
    <w:div w:id="77291833">
      <w:bodyDiv w:val="1"/>
      <w:marLeft w:val="0"/>
      <w:marRight w:val="0"/>
      <w:marTop w:val="0"/>
      <w:marBottom w:val="0"/>
      <w:divBdr>
        <w:top w:val="none" w:sz="0" w:space="0" w:color="auto"/>
        <w:left w:val="none" w:sz="0" w:space="0" w:color="auto"/>
        <w:bottom w:val="none" w:sz="0" w:space="0" w:color="auto"/>
        <w:right w:val="none" w:sz="0" w:space="0" w:color="auto"/>
      </w:divBdr>
    </w:div>
    <w:div w:id="77479476">
      <w:bodyDiv w:val="1"/>
      <w:marLeft w:val="0"/>
      <w:marRight w:val="0"/>
      <w:marTop w:val="0"/>
      <w:marBottom w:val="0"/>
      <w:divBdr>
        <w:top w:val="none" w:sz="0" w:space="0" w:color="auto"/>
        <w:left w:val="none" w:sz="0" w:space="0" w:color="auto"/>
        <w:bottom w:val="none" w:sz="0" w:space="0" w:color="auto"/>
        <w:right w:val="none" w:sz="0" w:space="0" w:color="auto"/>
      </w:divBdr>
    </w:div>
    <w:div w:id="77604408">
      <w:bodyDiv w:val="1"/>
      <w:marLeft w:val="0"/>
      <w:marRight w:val="0"/>
      <w:marTop w:val="0"/>
      <w:marBottom w:val="0"/>
      <w:divBdr>
        <w:top w:val="none" w:sz="0" w:space="0" w:color="auto"/>
        <w:left w:val="none" w:sz="0" w:space="0" w:color="auto"/>
        <w:bottom w:val="none" w:sz="0" w:space="0" w:color="auto"/>
        <w:right w:val="none" w:sz="0" w:space="0" w:color="auto"/>
      </w:divBdr>
    </w:div>
    <w:div w:id="77756761">
      <w:bodyDiv w:val="1"/>
      <w:marLeft w:val="0"/>
      <w:marRight w:val="0"/>
      <w:marTop w:val="0"/>
      <w:marBottom w:val="0"/>
      <w:divBdr>
        <w:top w:val="none" w:sz="0" w:space="0" w:color="auto"/>
        <w:left w:val="none" w:sz="0" w:space="0" w:color="auto"/>
        <w:bottom w:val="none" w:sz="0" w:space="0" w:color="auto"/>
        <w:right w:val="none" w:sz="0" w:space="0" w:color="auto"/>
      </w:divBdr>
    </w:div>
    <w:div w:id="77993189">
      <w:bodyDiv w:val="1"/>
      <w:marLeft w:val="0"/>
      <w:marRight w:val="0"/>
      <w:marTop w:val="0"/>
      <w:marBottom w:val="0"/>
      <w:divBdr>
        <w:top w:val="none" w:sz="0" w:space="0" w:color="auto"/>
        <w:left w:val="none" w:sz="0" w:space="0" w:color="auto"/>
        <w:bottom w:val="none" w:sz="0" w:space="0" w:color="auto"/>
        <w:right w:val="none" w:sz="0" w:space="0" w:color="auto"/>
      </w:divBdr>
    </w:div>
    <w:div w:id="78328644">
      <w:bodyDiv w:val="1"/>
      <w:marLeft w:val="0"/>
      <w:marRight w:val="0"/>
      <w:marTop w:val="0"/>
      <w:marBottom w:val="0"/>
      <w:divBdr>
        <w:top w:val="none" w:sz="0" w:space="0" w:color="auto"/>
        <w:left w:val="none" w:sz="0" w:space="0" w:color="auto"/>
        <w:bottom w:val="none" w:sz="0" w:space="0" w:color="auto"/>
        <w:right w:val="none" w:sz="0" w:space="0" w:color="auto"/>
      </w:divBdr>
    </w:div>
    <w:div w:id="78644983">
      <w:bodyDiv w:val="1"/>
      <w:marLeft w:val="0"/>
      <w:marRight w:val="0"/>
      <w:marTop w:val="0"/>
      <w:marBottom w:val="0"/>
      <w:divBdr>
        <w:top w:val="none" w:sz="0" w:space="0" w:color="auto"/>
        <w:left w:val="none" w:sz="0" w:space="0" w:color="auto"/>
        <w:bottom w:val="none" w:sz="0" w:space="0" w:color="auto"/>
        <w:right w:val="none" w:sz="0" w:space="0" w:color="auto"/>
      </w:divBdr>
    </w:div>
    <w:div w:id="78719211">
      <w:bodyDiv w:val="1"/>
      <w:marLeft w:val="0"/>
      <w:marRight w:val="0"/>
      <w:marTop w:val="0"/>
      <w:marBottom w:val="0"/>
      <w:divBdr>
        <w:top w:val="none" w:sz="0" w:space="0" w:color="auto"/>
        <w:left w:val="none" w:sz="0" w:space="0" w:color="auto"/>
        <w:bottom w:val="none" w:sz="0" w:space="0" w:color="auto"/>
        <w:right w:val="none" w:sz="0" w:space="0" w:color="auto"/>
      </w:divBdr>
    </w:div>
    <w:div w:id="78914297">
      <w:bodyDiv w:val="1"/>
      <w:marLeft w:val="0"/>
      <w:marRight w:val="0"/>
      <w:marTop w:val="0"/>
      <w:marBottom w:val="0"/>
      <w:divBdr>
        <w:top w:val="none" w:sz="0" w:space="0" w:color="auto"/>
        <w:left w:val="none" w:sz="0" w:space="0" w:color="auto"/>
        <w:bottom w:val="none" w:sz="0" w:space="0" w:color="auto"/>
        <w:right w:val="none" w:sz="0" w:space="0" w:color="auto"/>
      </w:divBdr>
    </w:div>
    <w:div w:id="79066834">
      <w:bodyDiv w:val="1"/>
      <w:marLeft w:val="0"/>
      <w:marRight w:val="0"/>
      <w:marTop w:val="0"/>
      <w:marBottom w:val="0"/>
      <w:divBdr>
        <w:top w:val="none" w:sz="0" w:space="0" w:color="auto"/>
        <w:left w:val="none" w:sz="0" w:space="0" w:color="auto"/>
        <w:bottom w:val="none" w:sz="0" w:space="0" w:color="auto"/>
        <w:right w:val="none" w:sz="0" w:space="0" w:color="auto"/>
      </w:divBdr>
    </w:div>
    <w:div w:id="79109670">
      <w:bodyDiv w:val="1"/>
      <w:marLeft w:val="0"/>
      <w:marRight w:val="0"/>
      <w:marTop w:val="0"/>
      <w:marBottom w:val="0"/>
      <w:divBdr>
        <w:top w:val="none" w:sz="0" w:space="0" w:color="auto"/>
        <w:left w:val="none" w:sz="0" w:space="0" w:color="auto"/>
        <w:bottom w:val="none" w:sz="0" w:space="0" w:color="auto"/>
        <w:right w:val="none" w:sz="0" w:space="0" w:color="auto"/>
      </w:divBdr>
    </w:div>
    <w:div w:id="79257423">
      <w:bodyDiv w:val="1"/>
      <w:marLeft w:val="0"/>
      <w:marRight w:val="0"/>
      <w:marTop w:val="0"/>
      <w:marBottom w:val="0"/>
      <w:divBdr>
        <w:top w:val="none" w:sz="0" w:space="0" w:color="auto"/>
        <w:left w:val="none" w:sz="0" w:space="0" w:color="auto"/>
        <w:bottom w:val="none" w:sz="0" w:space="0" w:color="auto"/>
        <w:right w:val="none" w:sz="0" w:space="0" w:color="auto"/>
      </w:divBdr>
    </w:div>
    <w:div w:id="79377508">
      <w:bodyDiv w:val="1"/>
      <w:marLeft w:val="0"/>
      <w:marRight w:val="0"/>
      <w:marTop w:val="0"/>
      <w:marBottom w:val="0"/>
      <w:divBdr>
        <w:top w:val="none" w:sz="0" w:space="0" w:color="auto"/>
        <w:left w:val="none" w:sz="0" w:space="0" w:color="auto"/>
        <w:bottom w:val="none" w:sz="0" w:space="0" w:color="auto"/>
        <w:right w:val="none" w:sz="0" w:space="0" w:color="auto"/>
      </w:divBdr>
    </w:div>
    <w:div w:id="79915328">
      <w:bodyDiv w:val="1"/>
      <w:marLeft w:val="0"/>
      <w:marRight w:val="0"/>
      <w:marTop w:val="0"/>
      <w:marBottom w:val="0"/>
      <w:divBdr>
        <w:top w:val="none" w:sz="0" w:space="0" w:color="auto"/>
        <w:left w:val="none" w:sz="0" w:space="0" w:color="auto"/>
        <w:bottom w:val="none" w:sz="0" w:space="0" w:color="auto"/>
        <w:right w:val="none" w:sz="0" w:space="0" w:color="auto"/>
      </w:divBdr>
    </w:div>
    <w:div w:id="79959480">
      <w:bodyDiv w:val="1"/>
      <w:marLeft w:val="0"/>
      <w:marRight w:val="0"/>
      <w:marTop w:val="0"/>
      <w:marBottom w:val="0"/>
      <w:divBdr>
        <w:top w:val="none" w:sz="0" w:space="0" w:color="auto"/>
        <w:left w:val="none" w:sz="0" w:space="0" w:color="auto"/>
        <w:bottom w:val="none" w:sz="0" w:space="0" w:color="auto"/>
        <w:right w:val="none" w:sz="0" w:space="0" w:color="auto"/>
      </w:divBdr>
    </w:div>
    <w:div w:id="80107014">
      <w:bodyDiv w:val="1"/>
      <w:marLeft w:val="0"/>
      <w:marRight w:val="0"/>
      <w:marTop w:val="0"/>
      <w:marBottom w:val="0"/>
      <w:divBdr>
        <w:top w:val="none" w:sz="0" w:space="0" w:color="auto"/>
        <w:left w:val="none" w:sz="0" w:space="0" w:color="auto"/>
        <w:bottom w:val="none" w:sz="0" w:space="0" w:color="auto"/>
        <w:right w:val="none" w:sz="0" w:space="0" w:color="auto"/>
      </w:divBdr>
    </w:div>
    <w:div w:id="80680527">
      <w:bodyDiv w:val="1"/>
      <w:marLeft w:val="0"/>
      <w:marRight w:val="0"/>
      <w:marTop w:val="0"/>
      <w:marBottom w:val="0"/>
      <w:divBdr>
        <w:top w:val="none" w:sz="0" w:space="0" w:color="auto"/>
        <w:left w:val="none" w:sz="0" w:space="0" w:color="auto"/>
        <w:bottom w:val="none" w:sz="0" w:space="0" w:color="auto"/>
        <w:right w:val="none" w:sz="0" w:space="0" w:color="auto"/>
      </w:divBdr>
    </w:div>
    <w:div w:id="80757310">
      <w:bodyDiv w:val="1"/>
      <w:marLeft w:val="0"/>
      <w:marRight w:val="0"/>
      <w:marTop w:val="0"/>
      <w:marBottom w:val="0"/>
      <w:divBdr>
        <w:top w:val="none" w:sz="0" w:space="0" w:color="auto"/>
        <w:left w:val="none" w:sz="0" w:space="0" w:color="auto"/>
        <w:bottom w:val="none" w:sz="0" w:space="0" w:color="auto"/>
        <w:right w:val="none" w:sz="0" w:space="0" w:color="auto"/>
      </w:divBdr>
    </w:div>
    <w:div w:id="81609392">
      <w:bodyDiv w:val="1"/>
      <w:marLeft w:val="0"/>
      <w:marRight w:val="0"/>
      <w:marTop w:val="0"/>
      <w:marBottom w:val="0"/>
      <w:divBdr>
        <w:top w:val="none" w:sz="0" w:space="0" w:color="auto"/>
        <w:left w:val="none" w:sz="0" w:space="0" w:color="auto"/>
        <w:bottom w:val="none" w:sz="0" w:space="0" w:color="auto"/>
        <w:right w:val="none" w:sz="0" w:space="0" w:color="auto"/>
      </w:divBdr>
    </w:div>
    <w:div w:id="81683050">
      <w:bodyDiv w:val="1"/>
      <w:marLeft w:val="0"/>
      <w:marRight w:val="0"/>
      <w:marTop w:val="0"/>
      <w:marBottom w:val="0"/>
      <w:divBdr>
        <w:top w:val="none" w:sz="0" w:space="0" w:color="auto"/>
        <w:left w:val="none" w:sz="0" w:space="0" w:color="auto"/>
        <w:bottom w:val="none" w:sz="0" w:space="0" w:color="auto"/>
        <w:right w:val="none" w:sz="0" w:space="0" w:color="auto"/>
      </w:divBdr>
    </w:div>
    <w:div w:id="81803841">
      <w:bodyDiv w:val="1"/>
      <w:marLeft w:val="0"/>
      <w:marRight w:val="0"/>
      <w:marTop w:val="0"/>
      <w:marBottom w:val="0"/>
      <w:divBdr>
        <w:top w:val="none" w:sz="0" w:space="0" w:color="auto"/>
        <w:left w:val="none" w:sz="0" w:space="0" w:color="auto"/>
        <w:bottom w:val="none" w:sz="0" w:space="0" w:color="auto"/>
        <w:right w:val="none" w:sz="0" w:space="0" w:color="auto"/>
      </w:divBdr>
    </w:div>
    <w:div w:id="81875806">
      <w:bodyDiv w:val="1"/>
      <w:marLeft w:val="0"/>
      <w:marRight w:val="0"/>
      <w:marTop w:val="0"/>
      <w:marBottom w:val="0"/>
      <w:divBdr>
        <w:top w:val="none" w:sz="0" w:space="0" w:color="auto"/>
        <w:left w:val="none" w:sz="0" w:space="0" w:color="auto"/>
        <w:bottom w:val="none" w:sz="0" w:space="0" w:color="auto"/>
        <w:right w:val="none" w:sz="0" w:space="0" w:color="auto"/>
      </w:divBdr>
    </w:div>
    <w:div w:id="82148725">
      <w:bodyDiv w:val="1"/>
      <w:marLeft w:val="0"/>
      <w:marRight w:val="0"/>
      <w:marTop w:val="0"/>
      <w:marBottom w:val="0"/>
      <w:divBdr>
        <w:top w:val="none" w:sz="0" w:space="0" w:color="auto"/>
        <w:left w:val="none" w:sz="0" w:space="0" w:color="auto"/>
        <w:bottom w:val="none" w:sz="0" w:space="0" w:color="auto"/>
        <w:right w:val="none" w:sz="0" w:space="0" w:color="auto"/>
      </w:divBdr>
    </w:div>
    <w:div w:id="82535605">
      <w:bodyDiv w:val="1"/>
      <w:marLeft w:val="0"/>
      <w:marRight w:val="0"/>
      <w:marTop w:val="0"/>
      <w:marBottom w:val="0"/>
      <w:divBdr>
        <w:top w:val="none" w:sz="0" w:space="0" w:color="auto"/>
        <w:left w:val="none" w:sz="0" w:space="0" w:color="auto"/>
        <w:bottom w:val="none" w:sz="0" w:space="0" w:color="auto"/>
        <w:right w:val="none" w:sz="0" w:space="0" w:color="auto"/>
      </w:divBdr>
    </w:div>
    <w:div w:id="82729614">
      <w:bodyDiv w:val="1"/>
      <w:marLeft w:val="0"/>
      <w:marRight w:val="0"/>
      <w:marTop w:val="0"/>
      <w:marBottom w:val="0"/>
      <w:divBdr>
        <w:top w:val="none" w:sz="0" w:space="0" w:color="auto"/>
        <w:left w:val="none" w:sz="0" w:space="0" w:color="auto"/>
        <w:bottom w:val="none" w:sz="0" w:space="0" w:color="auto"/>
        <w:right w:val="none" w:sz="0" w:space="0" w:color="auto"/>
      </w:divBdr>
    </w:div>
    <w:div w:id="82990635">
      <w:bodyDiv w:val="1"/>
      <w:marLeft w:val="0"/>
      <w:marRight w:val="0"/>
      <w:marTop w:val="0"/>
      <w:marBottom w:val="0"/>
      <w:divBdr>
        <w:top w:val="none" w:sz="0" w:space="0" w:color="auto"/>
        <w:left w:val="none" w:sz="0" w:space="0" w:color="auto"/>
        <w:bottom w:val="none" w:sz="0" w:space="0" w:color="auto"/>
        <w:right w:val="none" w:sz="0" w:space="0" w:color="auto"/>
      </w:divBdr>
    </w:div>
    <w:div w:id="83192993">
      <w:bodyDiv w:val="1"/>
      <w:marLeft w:val="0"/>
      <w:marRight w:val="0"/>
      <w:marTop w:val="0"/>
      <w:marBottom w:val="0"/>
      <w:divBdr>
        <w:top w:val="none" w:sz="0" w:space="0" w:color="auto"/>
        <w:left w:val="none" w:sz="0" w:space="0" w:color="auto"/>
        <w:bottom w:val="none" w:sz="0" w:space="0" w:color="auto"/>
        <w:right w:val="none" w:sz="0" w:space="0" w:color="auto"/>
      </w:divBdr>
    </w:div>
    <w:div w:id="83457425">
      <w:bodyDiv w:val="1"/>
      <w:marLeft w:val="0"/>
      <w:marRight w:val="0"/>
      <w:marTop w:val="0"/>
      <w:marBottom w:val="0"/>
      <w:divBdr>
        <w:top w:val="none" w:sz="0" w:space="0" w:color="auto"/>
        <w:left w:val="none" w:sz="0" w:space="0" w:color="auto"/>
        <w:bottom w:val="none" w:sz="0" w:space="0" w:color="auto"/>
        <w:right w:val="none" w:sz="0" w:space="0" w:color="auto"/>
      </w:divBdr>
    </w:div>
    <w:div w:id="83577405">
      <w:bodyDiv w:val="1"/>
      <w:marLeft w:val="0"/>
      <w:marRight w:val="0"/>
      <w:marTop w:val="0"/>
      <w:marBottom w:val="0"/>
      <w:divBdr>
        <w:top w:val="none" w:sz="0" w:space="0" w:color="auto"/>
        <w:left w:val="none" w:sz="0" w:space="0" w:color="auto"/>
        <w:bottom w:val="none" w:sz="0" w:space="0" w:color="auto"/>
        <w:right w:val="none" w:sz="0" w:space="0" w:color="auto"/>
      </w:divBdr>
    </w:div>
    <w:div w:id="83652460">
      <w:bodyDiv w:val="1"/>
      <w:marLeft w:val="0"/>
      <w:marRight w:val="0"/>
      <w:marTop w:val="0"/>
      <w:marBottom w:val="0"/>
      <w:divBdr>
        <w:top w:val="none" w:sz="0" w:space="0" w:color="auto"/>
        <w:left w:val="none" w:sz="0" w:space="0" w:color="auto"/>
        <w:bottom w:val="none" w:sz="0" w:space="0" w:color="auto"/>
        <w:right w:val="none" w:sz="0" w:space="0" w:color="auto"/>
      </w:divBdr>
    </w:div>
    <w:div w:id="83889784">
      <w:bodyDiv w:val="1"/>
      <w:marLeft w:val="0"/>
      <w:marRight w:val="0"/>
      <w:marTop w:val="0"/>
      <w:marBottom w:val="0"/>
      <w:divBdr>
        <w:top w:val="none" w:sz="0" w:space="0" w:color="auto"/>
        <w:left w:val="none" w:sz="0" w:space="0" w:color="auto"/>
        <w:bottom w:val="none" w:sz="0" w:space="0" w:color="auto"/>
        <w:right w:val="none" w:sz="0" w:space="0" w:color="auto"/>
      </w:divBdr>
    </w:div>
    <w:div w:id="83917954">
      <w:bodyDiv w:val="1"/>
      <w:marLeft w:val="0"/>
      <w:marRight w:val="0"/>
      <w:marTop w:val="0"/>
      <w:marBottom w:val="0"/>
      <w:divBdr>
        <w:top w:val="none" w:sz="0" w:space="0" w:color="auto"/>
        <w:left w:val="none" w:sz="0" w:space="0" w:color="auto"/>
        <w:bottom w:val="none" w:sz="0" w:space="0" w:color="auto"/>
        <w:right w:val="none" w:sz="0" w:space="0" w:color="auto"/>
      </w:divBdr>
    </w:div>
    <w:div w:id="84108101">
      <w:bodyDiv w:val="1"/>
      <w:marLeft w:val="0"/>
      <w:marRight w:val="0"/>
      <w:marTop w:val="0"/>
      <w:marBottom w:val="0"/>
      <w:divBdr>
        <w:top w:val="none" w:sz="0" w:space="0" w:color="auto"/>
        <w:left w:val="none" w:sz="0" w:space="0" w:color="auto"/>
        <w:bottom w:val="none" w:sz="0" w:space="0" w:color="auto"/>
        <w:right w:val="none" w:sz="0" w:space="0" w:color="auto"/>
      </w:divBdr>
    </w:div>
    <w:div w:id="84158219">
      <w:bodyDiv w:val="1"/>
      <w:marLeft w:val="0"/>
      <w:marRight w:val="0"/>
      <w:marTop w:val="0"/>
      <w:marBottom w:val="0"/>
      <w:divBdr>
        <w:top w:val="none" w:sz="0" w:space="0" w:color="auto"/>
        <w:left w:val="none" w:sz="0" w:space="0" w:color="auto"/>
        <w:bottom w:val="none" w:sz="0" w:space="0" w:color="auto"/>
        <w:right w:val="none" w:sz="0" w:space="0" w:color="auto"/>
      </w:divBdr>
    </w:div>
    <w:div w:id="84502223">
      <w:bodyDiv w:val="1"/>
      <w:marLeft w:val="0"/>
      <w:marRight w:val="0"/>
      <w:marTop w:val="0"/>
      <w:marBottom w:val="0"/>
      <w:divBdr>
        <w:top w:val="none" w:sz="0" w:space="0" w:color="auto"/>
        <w:left w:val="none" w:sz="0" w:space="0" w:color="auto"/>
        <w:bottom w:val="none" w:sz="0" w:space="0" w:color="auto"/>
        <w:right w:val="none" w:sz="0" w:space="0" w:color="auto"/>
      </w:divBdr>
    </w:div>
    <w:div w:id="84889989">
      <w:bodyDiv w:val="1"/>
      <w:marLeft w:val="0"/>
      <w:marRight w:val="0"/>
      <w:marTop w:val="0"/>
      <w:marBottom w:val="0"/>
      <w:divBdr>
        <w:top w:val="none" w:sz="0" w:space="0" w:color="auto"/>
        <w:left w:val="none" w:sz="0" w:space="0" w:color="auto"/>
        <w:bottom w:val="none" w:sz="0" w:space="0" w:color="auto"/>
        <w:right w:val="none" w:sz="0" w:space="0" w:color="auto"/>
      </w:divBdr>
    </w:div>
    <w:div w:id="85734058">
      <w:bodyDiv w:val="1"/>
      <w:marLeft w:val="0"/>
      <w:marRight w:val="0"/>
      <w:marTop w:val="0"/>
      <w:marBottom w:val="0"/>
      <w:divBdr>
        <w:top w:val="none" w:sz="0" w:space="0" w:color="auto"/>
        <w:left w:val="none" w:sz="0" w:space="0" w:color="auto"/>
        <w:bottom w:val="none" w:sz="0" w:space="0" w:color="auto"/>
        <w:right w:val="none" w:sz="0" w:space="0" w:color="auto"/>
      </w:divBdr>
    </w:div>
    <w:div w:id="86073664">
      <w:bodyDiv w:val="1"/>
      <w:marLeft w:val="0"/>
      <w:marRight w:val="0"/>
      <w:marTop w:val="0"/>
      <w:marBottom w:val="0"/>
      <w:divBdr>
        <w:top w:val="none" w:sz="0" w:space="0" w:color="auto"/>
        <w:left w:val="none" w:sz="0" w:space="0" w:color="auto"/>
        <w:bottom w:val="none" w:sz="0" w:space="0" w:color="auto"/>
        <w:right w:val="none" w:sz="0" w:space="0" w:color="auto"/>
      </w:divBdr>
    </w:div>
    <w:div w:id="86118798">
      <w:bodyDiv w:val="1"/>
      <w:marLeft w:val="0"/>
      <w:marRight w:val="0"/>
      <w:marTop w:val="0"/>
      <w:marBottom w:val="0"/>
      <w:divBdr>
        <w:top w:val="none" w:sz="0" w:space="0" w:color="auto"/>
        <w:left w:val="none" w:sz="0" w:space="0" w:color="auto"/>
        <w:bottom w:val="none" w:sz="0" w:space="0" w:color="auto"/>
        <w:right w:val="none" w:sz="0" w:space="0" w:color="auto"/>
      </w:divBdr>
    </w:div>
    <w:div w:id="86342020">
      <w:bodyDiv w:val="1"/>
      <w:marLeft w:val="0"/>
      <w:marRight w:val="0"/>
      <w:marTop w:val="0"/>
      <w:marBottom w:val="0"/>
      <w:divBdr>
        <w:top w:val="none" w:sz="0" w:space="0" w:color="auto"/>
        <w:left w:val="none" w:sz="0" w:space="0" w:color="auto"/>
        <w:bottom w:val="none" w:sz="0" w:space="0" w:color="auto"/>
        <w:right w:val="none" w:sz="0" w:space="0" w:color="auto"/>
      </w:divBdr>
    </w:div>
    <w:div w:id="86466610">
      <w:bodyDiv w:val="1"/>
      <w:marLeft w:val="0"/>
      <w:marRight w:val="0"/>
      <w:marTop w:val="0"/>
      <w:marBottom w:val="0"/>
      <w:divBdr>
        <w:top w:val="none" w:sz="0" w:space="0" w:color="auto"/>
        <w:left w:val="none" w:sz="0" w:space="0" w:color="auto"/>
        <w:bottom w:val="none" w:sz="0" w:space="0" w:color="auto"/>
        <w:right w:val="none" w:sz="0" w:space="0" w:color="auto"/>
      </w:divBdr>
    </w:div>
    <w:div w:id="86731820">
      <w:bodyDiv w:val="1"/>
      <w:marLeft w:val="0"/>
      <w:marRight w:val="0"/>
      <w:marTop w:val="0"/>
      <w:marBottom w:val="0"/>
      <w:divBdr>
        <w:top w:val="none" w:sz="0" w:space="0" w:color="auto"/>
        <w:left w:val="none" w:sz="0" w:space="0" w:color="auto"/>
        <w:bottom w:val="none" w:sz="0" w:space="0" w:color="auto"/>
        <w:right w:val="none" w:sz="0" w:space="0" w:color="auto"/>
      </w:divBdr>
    </w:div>
    <w:div w:id="87234885">
      <w:bodyDiv w:val="1"/>
      <w:marLeft w:val="0"/>
      <w:marRight w:val="0"/>
      <w:marTop w:val="0"/>
      <w:marBottom w:val="0"/>
      <w:divBdr>
        <w:top w:val="none" w:sz="0" w:space="0" w:color="auto"/>
        <w:left w:val="none" w:sz="0" w:space="0" w:color="auto"/>
        <w:bottom w:val="none" w:sz="0" w:space="0" w:color="auto"/>
        <w:right w:val="none" w:sz="0" w:space="0" w:color="auto"/>
      </w:divBdr>
    </w:div>
    <w:div w:id="87582051">
      <w:bodyDiv w:val="1"/>
      <w:marLeft w:val="0"/>
      <w:marRight w:val="0"/>
      <w:marTop w:val="0"/>
      <w:marBottom w:val="0"/>
      <w:divBdr>
        <w:top w:val="none" w:sz="0" w:space="0" w:color="auto"/>
        <w:left w:val="none" w:sz="0" w:space="0" w:color="auto"/>
        <w:bottom w:val="none" w:sz="0" w:space="0" w:color="auto"/>
        <w:right w:val="none" w:sz="0" w:space="0" w:color="auto"/>
      </w:divBdr>
    </w:div>
    <w:div w:id="87820505">
      <w:bodyDiv w:val="1"/>
      <w:marLeft w:val="0"/>
      <w:marRight w:val="0"/>
      <w:marTop w:val="0"/>
      <w:marBottom w:val="0"/>
      <w:divBdr>
        <w:top w:val="none" w:sz="0" w:space="0" w:color="auto"/>
        <w:left w:val="none" w:sz="0" w:space="0" w:color="auto"/>
        <w:bottom w:val="none" w:sz="0" w:space="0" w:color="auto"/>
        <w:right w:val="none" w:sz="0" w:space="0" w:color="auto"/>
      </w:divBdr>
    </w:div>
    <w:div w:id="88232533">
      <w:bodyDiv w:val="1"/>
      <w:marLeft w:val="0"/>
      <w:marRight w:val="0"/>
      <w:marTop w:val="0"/>
      <w:marBottom w:val="0"/>
      <w:divBdr>
        <w:top w:val="none" w:sz="0" w:space="0" w:color="auto"/>
        <w:left w:val="none" w:sz="0" w:space="0" w:color="auto"/>
        <w:bottom w:val="none" w:sz="0" w:space="0" w:color="auto"/>
        <w:right w:val="none" w:sz="0" w:space="0" w:color="auto"/>
      </w:divBdr>
    </w:div>
    <w:div w:id="88697552">
      <w:bodyDiv w:val="1"/>
      <w:marLeft w:val="0"/>
      <w:marRight w:val="0"/>
      <w:marTop w:val="0"/>
      <w:marBottom w:val="0"/>
      <w:divBdr>
        <w:top w:val="none" w:sz="0" w:space="0" w:color="auto"/>
        <w:left w:val="none" w:sz="0" w:space="0" w:color="auto"/>
        <w:bottom w:val="none" w:sz="0" w:space="0" w:color="auto"/>
        <w:right w:val="none" w:sz="0" w:space="0" w:color="auto"/>
      </w:divBdr>
    </w:div>
    <w:div w:id="88701097">
      <w:bodyDiv w:val="1"/>
      <w:marLeft w:val="0"/>
      <w:marRight w:val="0"/>
      <w:marTop w:val="0"/>
      <w:marBottom w:val="0"/>
      <w:divBdr>
        <w:top w:val="none" w:sz="0" w:space="0" w:color="auto"/>
        <w:left w:val="none" w:sz="0" w:space="0" w:color="auto"/>
        <w:bottom w:val="none" w:sz="0" w:space="0" w:color="auto"/>
        <w:right w:val="none" w:sz="0" w:space="0" w:color="auto"/>
      </w:divBdr>
    </w:div>
    <w:div w:id="89467537">
      <w:bodyDiv w:val="1"/>
      <w:marLeft w:val="0"/>
      <w:marRight w:val="0"/>
      <w:marTop w:val="0"/>
      <w:marBottom w:val="0"/>
      <w:divBdr>
        <w:top w:val="none" w:sz="0" w:space="0" w:color="auto"/>
        <w:left w:val="none" w:sz="0" w:space="0" w:color="auto"/>
        <w:bottom w:val="none" w:sz="0" w:space="0" w:color="auto"/>
        <w:right w:val="none" w:sz="0" w:space="0" w:color="auto"/>
      </w:divBdr>
    </w:div>
    <w:div w:id="89813267">
      <w:bodyDiv w:val="1"/>
      <w:marLeft w:val="0"/>
      <w:marRight w:val="0"/>
      <w:marTop w:val="0"/>
      <w:marBottom w:val="0"/>
      <w:divBdr>
        <w:top w:val="none" w:sz="0" w:space="0" w:color="auto"/>
        <w:left w:val="none" w:sz="0" w:space="0" w:color="auto"/>
        <w:bottom w:val="none" w:sz="0" w:space="0" w:color="auto"/>
        <w:right w:val="none" w:sz="0" w:space="0" w:color="auto"/>
      </w:divBdr>
    </w:div>
    <w:div w:id="89933697">
      <w:bodyDiv w:val="1"/>
      <w:marLeft w:val="0"/>
      <w:marRight w:val="0"/>
      <w:marTop w:val="0"/>
      <w:marBottom w:val="0"/>
      <w:divBdr>
        <w:top w:val="none" w:sz="0" w:space="0" w:color="auto"/>
        <w:left w:val="none" w:sz="0" w:space="0" w:color="auto"/>
        <w:bottom w:val="none" w:sz="0" w:space="0" w:color="auto"/>
        <w:right w:val="none" w:sz="0" w:space="0" w:color="auto"/>
      </w:divBdr>
    </w:div>
    <w:div w:id="90126964">
      <w:bodyDiv w:val="1"/>
      <w:marLeft w:val="0"/>
      <w:marRight w:val="0"/>
      <w:marTop w:val="0"/>
      <w:marBottom w:val="0"/>
      <w:divBdr>
        <w:top w:val="none" w:sz="0" w:space="0" w:color="auto"/>
        <w:left w:val="none" w:sz="0" w:space="0" w:color="auto"/>
        <w:bottom w:val="none" w:sz="0" w:space="0" w:color="auto"/>
        <w:right w:val="none" w:sz="0" w:space="0" w:color="auto"/>
      </w:divBdr>
    </w:div>
    <w:div w:id="91052888">
      <w:bodyDiv w:val="1"/>
      <w:marLeft w:val="0"/>
      <w:marRight w:val="0"/>
      <w:marTop w:val="0"/>
      <w:marBottom w:val="0"/>
      <w:divBdr>
        <w:top w:val="none" w:sz="0" w:space="0" w:color="auto"/>
        <w:left w:val="none" w:sz="0" w:space="0" w:color="auto"/>
        <w:bottom w:val="none" w:sz="0" w:space="0" w:color="auto"/>
        <w:right w:val="none" w:sz="0" w:space="0" w:color="auto"/>
      </w:divBdr>
    </w:div>
    <w:div w:id="91248207">
      <w:bodyDiv w:val="1"/>
      <w:marLeft w:val="0"/>
      <w:marRight w:val="0"/>
      <w:marTop w:val="0"/>
      <w:marBottom w:val="0"/>
      <w:divBdr>
        <w:top w:val="none" w:sz="0" w:space="0" w:color="auto"/>
        <w:left w:val="none" w:sz="0" w:space="0" w:color="auto"/>
        <w:bottom w:val="none" w:sz="0" w:space="0" w:color="auto"/>
        <w:right w:val="none" w:sz="0" w:space="0" w:color="auto"/>
      </w:divBdr>
    </w:div>
    <w:div w:id="91321696">
      <w:bodyDiv w:val="1"/>
      <w:marLeft w:val="0"/>
      <w:marRight w:val="0"/>
      <w:marTop w:val="0"/>
      <w:marBottom w:val="0"/>
      <w:divBdr>
        <w:top w:val="none" w:sz="0" w:space="0" w:color="auto"/>
        <w:left w:val="none" w:sz="0" w:space="0" w:color="auto"/>
        <w:bottom w:val="none" w:sz="0" w:space="0" w:color="auto"/>
        <w:right w:val="none" w:sz="0" w:space="0" w:color="auto"/>
      </w:divBdr>
    </w:div>
    <w:div w:id="91434226">
      <w:bodyDiv w:val="1"/>
      <w:marLeft w:val="0"/>
      <w:marRight w:val="0"/>
      <w:marTop w:val="0"/>
      <w:marBottom w:val="0"/>
      <w:divBdr>
        <w:top w:val="none" w:sz="0" w:space="0" w:color="auto"/>
        <w:left w:val="none" w:sz="0" w:space="0" w:color="auto"/>
        <w:bottom w:val="none" w:sz="0" w:space="0" w:color="auto"/>
        <w:right w:val="none" w:sz="0" w:space="0" w:color="auto"/>
      </w:divBdr>
    </w:div>
    <w:div w:id="91553890">
      <w:bodyDiv w:val="1"/>
      <w:marLeft w:val="0"/>
      <w:marRight w:val="0"/>
      <w:marTop w:val="0"/>
      <w:marBottom w:val="0"/>
      <w:divBdr>
        <w:top w:val="none" w:sz="0" w:space="0" w:color="auto"/>
        <w:left w:val="none" w:sz="0" w:space="0" w:color="auto"/>
        <w:bottom w:val="none" w:sz="0" w:space="0" w:color="auto"/>
        <w:right w:val="none" w:sz="0" w:space="0" w:color="auto"/>
      </w:divBdr>
    </w:div>
    <w:div w:id="92019057">
      <w:bodyDiv w:val="1"/>
      <w:marLeft w:val="0"/>
      <w:marRight w:val="0"/>
      <w:marTop w:val="0"/>
      <w:marBottom w:val="0"/>
      <w:divBdr>
        <w:top w:val="none" w:sz="0" w:space="0" w:color="auto"/>
        <w:left w:val="none" w:sz="0" w:space="0" w:color="auto"/>
        <w:bottom w:val="none" w:sz="0" w:space="0" w:color="auto"/>
        <w:right w:val="none" w:sz="0" w:space="0" w:color="auto"/>
      </w:divBdr>
    </w:div>
    <w:div w:id="92168473">
      <w:bodyDiv w:val="1"/>
      <w:marLeft w:val="0"/>
      <w:marRight w:val="0"/>
      <w:marTop w:val="0"/>
      <w:marBottom w:val="0"/>
      <w:divBdr>
        <w:top w:val="none" w:sz="0" w:space="0" w:color="auto"/>
        <w:left w:val="none" w:sz="0" w:space="0" w:color="auto"/>
        <w:bottom w:val="none" w:sz="0" w:space="0" w:color="auto"/>
        <w:right w:val="none" w:sz="0" w:space="0" w:color="auto"/>
      </w:divBdr>
    </w:div>
    <w:div w:id="92290367">
      <w:bodyDiv w:val="1"/>
      <w:marLeft w:val="0"/>
      <w:marRight w:val="0"/>
      <w:marTop w:val="0"/>
      <w:marBottom w:val="0"/>
      <w:divBdr>
        <w:top w:val="none" w:sz="0" w:space="0" w:color="auto"/>
        <w:left w:val="none" w:sz="0" w:space="0" w:color="auto"/>
        <w:bottom w:val="none" w:sz="0" w:space="0" w:color="auto"/>
        <w:right w:val="none" w:sz="0" w:space="0" w:color="auto"/>
      </w:divBdr>
    </w:div>
    <w:div w:id="92676645">
      <w:bodyDiv w:val="1"/>
      <w:marLeft w:val="0"/>
      <w:marRight w:val="0"/>
      <w:marTop w:val="0"/>
      <w:marBottom w:val="0"/>
      <w:divBdr>
        <w:top w:val="none" w:sz="0" w:space="0" w:color="auto"/>
        <w:left w:val="none" w:sz="0" w:space="0" w:color="auto"/>
        <w:bottom w:val="none" w:sz="0" w:space="0" w:color="auto"/>
        <w:right w:val="none" w:sz="0" w:space="0" w:color="auto"/>
      </w:divBdr>
    </w:div>
    <w:div w:id="92751780">
      <w:bodyDiv w:val="1"/>
      <w:marLeft w:val="0"/>
      <w:marRight w:val="0"/>
      <w:marTop w:val="0"/>
      <w:marBottom w:val="0"/>
      <w:divBdr>
        <w:top w:val="none" w:sz="0" w:space="0" w:color="auto"/>
        <w:left w:val="none" w:sz="0" w:space="0" w:color="auto"/>
        <w:bottom w:val="none" w:sz="0" w:space="0" w:color="auto"/>
        <w:right w:val="none" w:sz="0" w:space="0" w:color="auto"/>
      </w:divBdr>
    </w:div>
    <w:div w:id="93014578">
      <w:bodyDiv w:val="1"/>
      <w:marLeft w:val="0"/>
      <w:marRight w:val="0"/>
      <w:marTop w:val="0"/>
      <w:marBottom w:val="0"/>
      <w:divBdr>
        <w:top w:val="none" w:sz="0" w:space="0" w:color="auto"/>
        <w:left w:val="none" w:sz="0" w:space="0" w:color="auto"/>
        <w:bottom w:val="none" w:sz="0" w:space="0" w:color="auto"/>
        <w:right w:val="none" w:sz="0" w:space="0" w:color="auto"/>
      </w:divBdr>
    </w:div>
    <w:div w:id="93400060">
      <w:bodyDiv w:val="1"/>
      <w:marLeft w:val="0"/>
      <w:marRight w:val="0"/>
      <w:marTop w:val="0"/>
      <w:marBottom w:val="0"/>
      <w:divBdr>
        <w:top w:val="none" w:sz="0" w:space="0" w:color="auto"/>
        <w:left w:val="none" w:sz="0" w:space="0" w:color="auto"/>
        <w:bottom w:val="none" w:sz="0" w:space="0" w:color="auto"/>
        <w:right w:val="none" w:sz="0" w:space="0" w:color="auto"/>
      </w:divBdr>
    </w:div>
    <w:div w:id="93596225">
      <w:bodyDiv w:val="1"/>
      <w:marLeft w:val="0"/>
      <w:marRight w:val="0"/>
      <w:marTop w:val="0"/>
      <w:marBottom w:val="0"/>
      <w:divBdr>
        <w:top w:val="none" w:sz="0" w:space="0" w:color="auto"/>
        <w:left w:val="none" w:sz="0" w:space="0" w:color="auto"/>
        <w:bottom w:val="none" w:sz="0" w:space="0" w:color="auto"/>
        <w:right w:val="none" w:sz="0" w:space="0" w:color="auto"/>
      </w:divBdr>
    </w:div>
    <w:div w:id="94834948">
      <w:bodyDiv w:val="1"/>
      <w:marLeft w:val="0"/>
      <w:marRight w:val="0"/>
      <w:marTop w:val="0"/>
      <w:marBottom w:val="0"/>
      <w:divBdr>
        <w:top w:val="none" w:sz="0" w:space="0" w:color="auto"/>
        <w:left w:val="none" w:sz="0" w:space="0" w:color="auto"/>
        <w:bottom w:val="none" w:sz="0" w:space="0" w:color="auto"/>
        <w:right w:val="none" w:sz="0" w:space="0" w:color="auto"/>
      </w:divBdr>
    </w:div>
    <w:div w:id="94863020">
      <w:bodyDiv w:val="1"/>
      <w:marLeft w:val="0"/>
      <w:marRight w:val="0"/>
      <w:marTop w:val="0"/>
      <w:marBottom w:val="0"/>
      <w:divBdr>
        <w:top w:val="none" w:sz="0" w:space="0" w:color="auto"/>
        <w:left w:val="none" w:sz="0" w:space="0" w:color="auto"/>
        <w:bottom w:val="none" w:sz="0" w:space="0" w:color="auto"/>
        <w:right w:val="none" w:sz="0" w:space="0" w:color="auto"/>
      </w:divBdr>
    </w:div>
    <w:div w:id="95054860">
      <w:bodyDiv w:val="1"/>
      <w:marLeft w:val="0"/>
      <w:marRight w:val="0"/>
      <w:marTop w:val="0"/>
      <w:marBottom w:val="0"/>
      <w:divBdr>
        <w:top w:val="none" w:sz="0" w:space="0" w:color="auto"/>
        <w:left w:val="none" w:sz="0" w:space="0" w:color="auto"/>
        <w:bottom w:val="none" w:sz="0" w:space="0" w:color="auto"/>
        <w:right w:val="none" w:sz="0" w:space="0" w:color="auto"/>
      </w:divBdr>
    </w:div>
    <w:div w:id="95101909">
      <w:bodyDiv w:val="1"/>
      <w:marLeft w:val="0"/>
      <w:marRight w:val="0"/>
      <w:marTop w:val="0"/>
      <w:marBottom w:val="0"/>
      <w:divBdr>
        <w:top w:val="none" w:sz="0" w:space="0" w:color="auto"/>
        <w:left w:val="none" w:sz="0" w:space="0" w:color="auto"/>
        <w:bottom w:val="none" w:sz="0" w:space="0" w:color="auto"/>
        <w:right w:val="none" w:sz="0" w:space="0" w:color="auto"/>
      </w:divBdr>
    </w:div>
    <w:div w:id="95368493">
      <w:bodyDiv w:val="1"/>
      <w:marLeft w:val="0"/>
      <w:marRight w:val="0"/>
      <w:marTop w:val="0"/>
      <w:marBottom w:val="0"/>
      <w:divBdr>
        <w:top w:val="none" w:sz="0" w:space="0" w:color="auto"/>
        <w:left w:val="none" w:sz="0" w:space="0" w:color="auto"/>
        <w:bottom w:val="none" w:sz="0" w:space="0" w:color="auto"/>
        <w:right w:val="none" w:sz="0" w:space="0" w:color="auto"/>
      </w:divBdr>
    </w:div>
    <w:div w:id="95560120">
      <w:bodyDiv w:val="1"/>
      <w:marLeft w:val="0"/>
      <w:marRight w:val="0"/>
      <w:marTop w:val="0"/>
      <w:marBottom w:val="0"/>
      <w:divBdr>
        <w:top w:val="none" w:sz="0" w:space="0" w:color="auto"/>
        <w:left w:val="none" w:sz="0" w:space="0" w:color="auto"/>
        <w:bottom w:val="none" w:sz="0" w:space="0" w:color="auto"/>
        <w:right w:val="none" w:sz="0" w:space="0" w:color="auto"/>
      </w:divBdr>
    </w:div>
    <w:div w:id="95832940">
      <w:bodyDiv w:val="1"/>
      <w:marLeft w:val="0"/>
      <w:marRight w:val="0"/>
      <w:marTop w:val="0"/>
      <w:marBottom w:val="0"/>
      <w:divBdr>
        <w:top w:val="none" w:sz="0" w:space="0" w:color="auto"/>
        <w:left w:val="none" w:sz="0" w:space="0" w:color="auto"/>
        <w:bottom w:val="none" w:sz="0" w:space="0" w:color="auto"/>
        <w:right w:val="none" w:sz="0" w:space="0" w:color="auto"/>
      </w:divBdr>
    </w:div>
    <w:div w:id="96172529">
      <w:bodyDiv w:val="1"/>
      <w:marLeft w:val="0"/>
      <w:marRight w:val="0"/>
      <w:marTop w:val="0"/>
      <w:marBottom w:val="0"/>
      <w:divBdr>
        <w:top w:val="none" w:sz="0" w:space="0" w:color="auto"/>
        <w:left w:val="none" w:sz="0" w:space="0" w:color="auto"/>
        <w:bottom w:val="none" w:sz="0" w:space="0" w:color="auto"/>
        <w:right w:val="none" w:sz="0" w:space="0" w:color="auto"/>
      </w:divBdr>
    </w:div>
    <w:div w:id="97607892">
      <w:bodyDiv w:val="1"/>
      <w:marLeft w:val="0"/>
      <w:marRight w:val="0"/>
      <w:marTop w:val="0"/>
      <w:marBottom w:val="0"/>
      <w:divBdr>
        <w:top w:val="none" w:sz="0" w:space="0" w:color="auto"/>
        <w:left w:val="none" w:sz="0" w:space="0" w:color="auto"/>
        <w:bottom w:val="none" w:sz="0" w:space="0" w:color="auto"/>
        <w:right w:val="none" w:sz="0" w:space="0" w:color="auto"/>
      </w:divBdr>
    </w:div>
    <w:div w:id="98449518">
      <w:bodyDiv w:val="1"/>
      <w:marLeft w:val="0"/>
      <w:marRight w:val="0"/>
      <w:marTop w:val="0"/>
      <w:marBottom w:val="0"/>
      <w:divBdr>
        <w:top w:val="none" w:sz="0" w:space="0" w:color="auto"/>
        <w:left w:val="none" w:sz="0" w:space="0" w:color="auto"/>
        <w:bottom w:val="none" w:sz="0" w:space="0" w:color="auto"/>
        <w:right w:val="none" w:sz="0" w:space="0" w:color="auto"/>
      </w:divBdr>
    </w:div>
    <w:div w:id="98566622">
      <w:bodyDiv w:val="1"/>
      <w:marLeft w:val="0"/>
      <w:marRight w:val="0"/>
      <w:marTop w:val="0"/>
      <w:marBottom w:val="0"/>
      <w:divBdr>
        <w:top w:val="none" w:sz="0" w:space="0" w:color="auto"/>
        <w:left w:val="none" w:sz="0" w:space="0" w:color="auto"/>
        <w:bottom w:val="none" w:sz="0" w:space="0" w:color="auto"/>
        <w:right w:val="none" w:sz="0" w:space="0" w:color="auto"/>
      </w:divBdr>
    </w:div>
    <w:div w:id="98643042">
      <w:bodyDiv w:val="1"/>
      <w:marLeft w:val="0"/>
      <w:marRight w:val="0"/>
      <w:marTop w:val="0"/>
      <w:marBottom w:val="0"/>
      <w:divBdr>
        <w:top w:val="none" w:sz="0" w:space="0" w:color="auto"/>
        <w:left w:val="none" w:sz="0" w:space="0" w:color="auto"/>
        <w:bottom w:val="none" w:sz="0" w:space="0" w:color="auto"/>
        <w:right w:val="none" w:sz="0" w:space="0" w:color="auto"/>
      </w:divBdr>
    </w:div>
    <w:div w:id="98839391">
      <w:bodyDiv w:val="1"/>
      <w:marLeft w:val="0"/>
      <w:marRight w:val="0"/>
      <w:marTop w:val="0"/>
      <w:marBottom w:val="0"/>
      <w:divBdr>
        <w:top w:val="none" w:sz="0" w:space="0" w:color="auto"/>
        <w:left w:val="none" w:sz="0" w:space="0" w:color="auto"/>
        <w:bottom w:val="none" w:sz="0" w:space="0" w:color="auto"/>
        <w:right w:val="none" w:sz="0" w:space="0" w:color="auto"/>
      </w:divBdr>
    </w:div>
    <w:div w:id="98917301">
      <w:bodyDiv w:val="1"/>
      <w:marLeft w:val="0"/>
      <w:marRight w:val="0"/>
      <w:marTop w:val="0"/>
      <w:marBottom w:val="0"/>
      <w:divBdr>
        <w:top w:val="none" w:sz="0" w:space="0" w:color="auto"/>
        <w:left w:val="none" w:sz="0" w:space="0" w:color="auto"/>
        <w:bottom w:val="none" w:sz="0" w:space="0" w:color="auto"/>
        <w:right w:val="none" w:sz="0" w:space="0" w:color="auto"/>
      </w:divBdr>
    </w:div>
    <w:div w:id="99228481">
      <w:bodyDiv w:val="1"/>
      <w:marLeft w:val="0"/>
      <w:marRight w:val="0"/>
      <w:marTop w:val="0"/>
      <w:marBottom w:val="0"/>
      <w:divBdr>
        <w:top w:val="none" w:sz="0" w:space="0" w:color="auto"/>
        <w:left w:val="none" w:sz="0" w:space="0" w:color="auto"/>
        <w:bottom w:val="none" w:sz="0" w:space="0" w:color="auto"/>
        <w:right w:val="none" w:sz="0" w:space="0" w:color="auto"/>
      </w:divBdr>
    </w:div>
    <w:div w:id="99378401">
      <w:bodyDiv w:val="1"/>
      <w:marLeft w:val="0"/>
      <w:marRight w:val="0"/>
      <w:marTop w:val="0"/>
      <w:marBottom w:val="0"/>
      <w:divBdr>
        <w:top w:val="none" w:sz="0" w:space="0" w:color="auto"/>
        <w:left w:val="none" w:sz="0" w:space="0" w:color="auto"/>
        <w:bottom w:val="none" w:sz="0" w:space="0" w:color="auto"/>
        <w:right w:val="none" w:sz="0" w:space="0" w:color="auto"/>
      </w:divBdr>
    </w:div>
    <w:div w:id="100105087">
      <w:bodyDiv w:val="1"/>
      <w:marLeft w:val="0"/>
      <w:marRight w:val="0"/>
      <w:marTop w:val="0"/>
      <w:marBottom w:val="0"/>
      <w:divBdr>
        <w:top w:val="none" w:sz="0" w:space="0" w:color="auto"/>
        <w:left w:val="none" w:sz="0" w:space="0" w:color="auto"/>
        <w:bottom w:val="none" w:sz="0" w:space="0" w:color="auto"/>
        <w:right w:val="none" w:sz="0" w:space="0" w:color="auto"/>
      </w:divBdr>
    </w:div>
    <w:div w:id="100149979">
      <w:bodyDiv w:val="1"/>
      <w:marLeft w:val="0"/>
      <w:marRight w:val="0"/>
      <w:marTop w:val="0"/>
      <w:marBottom w:val="0"/>
      <w:divBdr>
        <w:top w:val="none" w:sz="0" w:space="0" w:color="auto"/>
        <w:left w:val="none" w:sz="0" w:space="0" w:color="auto"/>
        <w:bottom w:val="none" w:sz="0" w:space="0" w:color="auto"/>
        <w:right w:val="none" w:sz="0" w:space="0" w:color="auto"/>
      </w:divBdr>
    </w:div>
    <w:div w:id="100954740">
      <w:bodyDiv w:val="1"/>
      <w:marLeft w:val="0"/>
      <w:marRight w:val="0"/>
      <w:marTop w:val="0"/>
      <w:marBottom w:val="0"/>
      <w:divBdr>
        <w:top w:val="none" w:sz="0" w:space="0" w:color="auto"/>
        <w:left w:val="none" w:sz="0" w:space="0" w:color="auto"/>
        <w:bottom w:val="none" w:sz="0" w:space="0" w:color="auto"/>
        <w:right w:val="none" w:sz="0" w:space="0" w:color="auto"/>
      </w:divBdr>
    </w:div>
    <w:div w:id="101531490">
      <w:bodyDiv w:val="1"/>
      <w:marLeft w:val="0"/>
      <w:marRight w:val="0"/>
      <w:marTop w:val="0"/>
      <w:marBottom w:val="0"/>
      <w:divBdr>
        <w:top w:val="none" w:sz="0" w:space="0" w:color="auto"/>
        <w:left w:val="none" w:sz="0" w:space="0" w:color="auto"/>
        <w:bottom w:val="none" w:sz="0" w:space="0" w:color="auto"/>
        <w:right w:val="none" w:sz="0" w:space="0" w:color="auto"/>
      </w:divBdr>
    </w:div>
    <w:div w:id="101922411">
      <w:bodyDiv w:val="1"/>
      <w:marLeft w:val="0"/>
      <w:marRight w:val="0"/>
      <w:marTop w:val="0"/>
      <w:marBottom w:val="0"/>
      <w:divBdr>
        <w:top w:val="none" w:sz="0" w:space="0" w:color="auto"/>
        <w:left w:val="none" w:sz="0" w:space="0" w:color="auto"/>
        <w:bottom w:val="none" w:sz="0" w:space="0" w:color="auto"/>
        <w:right w:val="none" w:sz="0" w:space="0" w:color="auto"/>
      </w:divBdr>
    </w:div>
    <w:div w:id="102384633">
      <w:bodyDiv w:val="1"/>
      <w:marLeft w:val="0"/>
      <w:marRight w:val="0"/>
      <w:marTop w:val="0"/>
      <w:marBottom w:val="0"/>
      <w:divBdr>
        <w:top w:val="none" w:sz="0" w:space="0" w:color="auto"/>
        <w:left w:val="none" w:sz="0" w:space="0" w:color="auto"/>
        <w:bottom w:val="none" w:sz="0" w:space="0" w:color="auto"/>
        <w:right w:val="none" w:sz="0" w:space="0" w:color="auto"/>
      </w:divBdr>
    </w:div>
    <w:div w:id="103111928">
      <w:bodyDiv w:val="1"/>
      <w:marLeft w:val="0"/>
      <w:marRight w:val="0"/>
      <w:marTop w:val="0"/>
      <w:marBottom w:val="0"/>
      <w:divBdr>
        <w:top w:val="none" w:sz="0" w:space="0" w:color="auto"/>
        <w:left w:val="none" w:sz="0" w:space="0" w:color="auto"/>
        <w:bottom w:val="none" w:sz="0" w:space="0" w:color="auto"/>
        <w:right w:val="none" w:sz="0" w:space="0" w:color="auto"/>
      </w:divBdr>
    </w:div>
    <w:div w:id="103154531">
      <w:bodyDiv w:val="1"/>
      <w:marLeft w:val="0"/>
      <w:marRight w:val="0"/>
      <w:marTop w:val="0"/>
      <w:marBottom w:val="0"/>
      <w:divBdr>
        <w:top w:val="none" w:sz="0" w:space="0" w:color="auto"/>
        <w:left w:val="none" w:sz="0" w:space="0" w:color="auto"/>
        <w:bottom w:val="none" w:sz="0" w:space="0" w:color="auto"/>
        <w:right w:val="none" w:sz="0" w:space="0" w:color="auto"/>
      </w:divBdr>
    </w:div>
    <w:div w:id="103615101">
      <w:bodyDiv w:val="1"/>
      <w:marLeft w:val="0"/>
      <w:marRight w:val="0"/>
      <w:marTop w:val="0"/>
      <w:marBottom w:val="0"/>
      <w:divBdr>
        <w:top w:val="none" w:sz="0" w:space="0" w:color="auto"/>
        <w:left w:val="none" w:sz="0" w:space="0" w:color="auto"/>
        <w:bottom w:val="none" w:sz="0" w:space="0" w:color="auto"/>
        <w:right w:val="none" w:sz="0" w:space="0" w:color="auto"/>
      </w:divBdr>
    </w:div>
    <w:div w:id="104086071">
      <w:bodyDiv w:val="1"/>
      <w:marLeft w:val="0"/>
      <w:marRight w:val="0"/>
      <w:marTop w:val="0"/>
      <w:marBottom w:val="0"/>
      <w:divBdr>
        <w:top w:val="none" w:sz="0" w:space="0" w:color="auto"/>
        <w:left w:val="none" w:sz="0" w:space="0" w:color="auto"/>
        <w:bottom w:val="none" w:sz="0" w:space="0" w:color="auto"/>
        <w:right w:val="none" w:sz="0" w:space="0" w:color="auto"/>
      </w:divBdr>
    </w:div>
    <w:div w:id="104233176">
      <w:bodyDiv w:val="1"/>
      <w:marLeft w:val="0"/>
      <w:marRight w:val="0"/>
      <w:marTop w:val="0"/>
      <w:marBottom w:val="0"/>
      <w:divBdr>
        <w:top w:val="none" w:sz="0" w:space="0" w:color="auto"/>
        <w:left w:val="none" w:sz="0" w:space="0" w:color="auto"/>
        <w:bottom w:val="none" w:sz="0" w:space="0" w:color="auto"/>
        <w:right w:val="none" w:sz="0" w:space="0" w:color="auto"/>
      </w:divBdr>
    </w:div>
    <w:div w:id="104350003">
      <w:bodyDiv w:val="1"/>
      <w:marLeft w:val="0"/>
      <w:marRight w:val="0"/>
      <w:marTop w:val="0"/>
      <w:marBottom w:val="0"/>
      <w:divBdr>
        <w:top w:val="none" w:sz="0" w:space="0" w:color="auto"/>
        <w:left w:val="none" w:sz="0" w:space="0" w:color="auto"/>
        <w:bottom w:val="none" w:sz="0" w:space="0" w:color="auto"/>
        <w:right w:val="none" w:sz="0" w:space="0" w:color="auto"/>
      </w:divBdr>
    </w:div>
    <w:div w:id="104466642">
      <w:bodyDiv w:val="1"/>
      <w:marLeft w:val="0"/>
      <w:marRight w:val="0"/>
      <w:marTop w:val="0"/>
      <w:marBottom w:val="0"/>
      <w:divBdr>
        <w:top w:val="none" w:sz="0" w:space="0" w:color="auto"/>
        <w:left w:val="none" w:sz="0" w:space="0" w:color="auto"/>
        <w:bottom w:val="none" w:sz="0" w:space="0" w:color="auto"/>
        <w:right w:val="none" w:sz="0" w:space="0" w:color="auto"/>
      </w:divBdr>
    </w:div>
    <w:div w:id="104543389">
      <w:bodyDiv w:val="1"/>
      <w:marLeft w:val="0"/>
      <w:marRight w:val="0"/>
      <w:marTop w:val="0"/>
      <w:marBottom w:val="0"/>
      <w:divBdr>
        <w:top w:val="none" w:sz="0" w:space="0" w:color="auto"/>
        <w:left w:val="none" w:sz="0" w:space="0" w:color="auto"/>
        <w:bottom w:val="none" w:sz="0" w:space="0" w:color="auto"/>
        <w:right w:val="none" w:sz="0" w:space="0" w:color="auto"/>
      </w:divBdr>
    </w:div>
    <w:div w:id="104545683">
      <w:bodyDiv w:val="1"/>
      <w:marLeft w:val="0"/>
      <w:marRight w:val="0"/>
      <w:marTop w:val="0"/>
      <w:marBottom w:val="0"/>
      <w:divBdr>
        <w:top w:val="none" w:sz="0" w:space="0" w:color="auto"/>
        <w:left w:val="none" w:sz="0" w:space="0" w:color="auto"/>
        <w:bottom w:val="none" w:sz="0" w:space="0" w:color="auto"/>
        <w:right w:val="none" w:sz="0" w:space="0" w:color="auto"/>
      </w:divBdr>
    </w:div>
    <w:div w:id="104888604">
      <w:bodyDiv w:val="1"/>
      <w:marLeft w:val="0"/>
      <w:marRight w:val="0"/>
      <w:marTop w:val="0"/>
      <w:marBottom w:val="0"/>
      <w:divBdr>
        <w:top w:val="none" w:sz="0" w:space="0" w:color="auto"/>
        <w:left w:val="none" w:sz="0" w:space="0" w:color="auto"/>
        <w:bottom w:val="none" w:sz="0" w:space="0" w:color="auto"/>
        <w:right w:val="none" w:sz="0" w:space="0" w:color="auto"/>
      </w:divBdr>
    </w:div>
    <w:div w:id="104934971">
      <w:bodyDiv w:val="1"/>
      <w:marLeft w:val="0"/>
      <w:marRight w:val="0"/>
      <w:marTop w:val="0"/>
      <w:marBottom w:val="0"/>
      <w:divBdr>
        <w:top w:val="none" w:sz="0" w:space="0" w:color="auto"/>
        <w:left w:val="none" w:sz="0" w:space="0" w:color="auto"/>
        <w:bottom w:val="none" w:sz="0" w:space="0" w:color="auto"/>
        <w:right w:val="none" w:sz="0" w:space="0" w:color="auto"/>
      </w:divBdr>
    </w:div>
    <w:div w:id="105082091">
      <w:bodyDiv w:val="1"/>
      <w:marLeft w:val="0"/>
      <w:marRight w:val="0"/>
      <w:marTop w:val="0"/>
      <w:marBottom w:val="0"/>
      <w:divBdr>
        <w:top w:val="none" w:sz="0" w:space="0" w:color="auto"/>
        <w:left w:val="none" w:sz="0" w:space="0" w:color="auto"/>
        <w:bottom w:val="none" w:sz="0" w:space="0" w:color="auto"/>
        <w:right w:val="none" w:sz="0" w:space="0" w:color="auto"/>
      </w:divBdr>
    </w:div>
    <w:div w:id="105273944">
      <w:bodyDiv w:val="1"/>
      <w:marLeft w:val="0"/>
      <w:marRight w:val="0"/>
      <w:marTop w:val="0"/>
      <w:marBottom w:val="0"/>
      <w:divBdr>
        <w:top w:val="none" w:sz="0" w:space="0" w:color="auto"/>
        <w:left w:val="none" w:sz="0" w:space="0" w:color="auto"/>
        <w:bottom w:val="none" w:sz="0" w:space="0" w:color="auto"/>
        <w:right w:val="none" w:sz="0" w:space="0" w:color="auto"/>
      </w:divBdr>
    </w:div>
    <w:div w:id="105393845">
      <w:bodyDiv w:val="1"/>
      <w:marLeft w:val="0"/>
      <w:marRight w:val="0"/>
      <w:marTop w:val="0"/>
      <w:marBottom w:val="0"/>
      <w:divBdr>
        <w:top w:val="none" w:sz="0" w:space="0" w:color="auto"/>
        <w:left w:val="none" w:sz="0" w:space="0" w:color="auto"/>
        <w:bottom w:val="none" w:sz="0" w:space="0" w:color="auto"/>
        <w:right w:val="none" w:sz="0" w:space="0" w:color="auto"/>
      </w:divBdr>
    </w:div>
    <w:div w:id="105464951">
      <w:bodyDiv w:val="1"/>
      <w:marLeft w:val="0"/>
      <w:marRight w:val="0"/>
      <w:marTop w:val="0"/>
      <w:marBottom w:val="0"/>
      <w:divBdr>
        <w:top w:val="none" w:sz="0" w:space="0" w:color="auto"/>
        <w:left w:val="none" w:sz="0" w:space="0" w:color="auto"/>
        <w:bottom w:val="none" w:sz="0" w:space="0" w:color="auto"/>
        <w:right w:val="none" w:sz="0" w:space="0" w:color="auto"/>
      </w:divBdr>
    </w:div>
    <w:div w:id="105542292">
      <w:bodyDiv w:val="1"/>
      <w:marLeft w:val="0"/>
      <w:marRight w:val="0"/>
      <w:marTop w:val="0"/>
      <w:marBottom w:val="0"/>
      <w:divBdr>
        <w:top w:val="none" w:sz="0" w:space="0" w:color="auto"/>
        <w:left w:val="none" w:sz="0" w:space="0" w:color="auto"/>
        <w:bottom w:val="none" w:sz="0" w:space="0" w:color="auto"/>
        <w:right w:val="none" w:sz="0" w:space="0" w:color="auto"/>
      </w:divBdr>
    </w:div>
    <w:div w:id="105587818">
      <w:bodyDiv w:val="1"/>
      <w:marLeft w:val="0"/>
      <w:marRight w:val="0"/>
      <w:marTop w:val="0"/>
      <w:marBottom w:val="0"/>
      <w:divBdr>
        <w:top w:val="none" w:sz="0" w:space="0" w:color="auto"/>
        <w:left w:val="none" w:sz="0" w:space="0" w:color="auto"/>
        <w:bottom w:val="none" w:sz="0" w:space="0" w:color="auto"/>
        <w:right w:val="none" w:sz="0" w:space="0" w:color="auto"/>
      </w:divBdr>
    </w:div>
    <w:div w:id="105781072">
      <w:bodyDiv w:val="1"/>
      <w:marLeft w:val="0"/>
      <w:marRight w:val="0"/>
      <w:marTop w:val="0"/>
      <w:marBottom w:val="0"/>
      <w:divBdr>
        <w:top w:val="none" w:sz="0" w:space="0" w:color="auto"/>
        <w:left w:val="none" w:sz="0" w:space="0" w:color="auto"/>
        <w:bottom w:val="none" w:sz="0" w:space="0" w:color="auto"/>
        <w:right w:val="none" w:sz="0" w:space="0" w:color="auto"/>
      </w:divBdr>
    </w:div>
    <w:div w:id="105853811">
      <w:bodyDiv w:val="1"/>
      <w:marLeft w:val="0"/>
      <w:marRight w:val="0"/>
      <w:marTop w:val="0"/>
      <w:marBottom w:val="0"/>
      <w:divBdr>
        <w:top w:val="none" w:sz="0" w:space="0" w:color="auto"/>
        <w:left w:val="none" w:sz="0" w:space="0" w:color="auto"/>
        <w:bottom w:val="none" w:sz="0" w:space="0" w:color="auto"/>
        <w:right w:val="none" w:sz="0" w:space="0" w:color="auto"/>
      </w:divBdr>
    </w:div>
    <w:div w:id="106438112">
      <w:bodyDiv w:val="1"/>
      <w:marLeft w:val="0"/>
      <w:marRight w:val="0"/>
      <w:marTop w:val="0"/>
      <w:marBottom w:val="0"/>
      <w:divBdr>
        <w:top w:val="none" w:sz="0" w:space="0" w:color="auto"/>
        <w:left w:val="none" w:sz="0" w:space="0" w:color="auto"/>
        <w:bottom w:val="none" w:sz="0" w:space="0" w:color="auto"/>
        <w:right w:val="none" w:sz="0" w:space="0" w:color="auto"/>
      </w:divBdr>
    </w:div>
    <w:div w:id="106705995">
      <w:bodyDiv w:val="1"/>
      <w:marLeft w:val="0"/>
      <w:marRight w:val="0"/>
      <w:marTop w:val="0"/>
      <w:marBottom w:val="0"/>
      <w:divBdr>
        <w:top w:val="none" w:sz="0" w:space="0" w:color="auto"/>
        <w:left w:val="none" w:sz="0" w:space="0" w:color="auto"/>
        <w:bottom w:val="none" w:sz="0" w:space="0" w:color="auto"/>
        <w:right w:val="none" w:sz="0" w:space="0" w:color="auto"/>
      </w:divBdr>
    </w:div>
    <w:div w:id="107506141">
      <w:bodyDiv w:val="1"/>
      <w:marLeft w:val="0"/>
      <w:marRight w:val="0"/>
      <w:marTop w:val="0"/>
      <w:marBottom w:val="0"/>
      <w:divBdr>
        <w:top w:val="none" w:sz="0" w:space="0" w:color="auto"/>
        <w:left w:val="none" w:sz="0" w:space="0" w:color="auto"/>
        <w:bottom w:val="none" w:sz="0" w:space="0" w:color="auto"/>
        <w:right w:val="none" w:sz="0" w:space="0" w:color="auto"/>
      </w:divBdr>
    </w:div>
    <w:div w:id="107940667">
      <w:bodyDiv w:val="1"/>
      <w:marLeft w:val="0"/>
      <w:marRight w:val="0"/>
      <w:marTop w:val="0"/>
      <w:marBottom w:val="0"/>
      <w:divBdr>
        <w:top w:val="none" w:sz="0" w:space="0" w:color="auto"/>
        <w:left w:val="none" w:sz="0" w:space="0" w:color="auto"/>
        <w:bottom w:val="none" w:sz="0" w:space="0" w:color="auto"/>
        <w:right w:val="none" w:sz="0" w:space="0" w:color="auto"/>
      </w:divBdr>
    </w:div>
    <w:div w:id="108015464">
      <w:bodyDiv w:val="1"/>
      <w:marLeft w:val="0"/>
      <w:marRight w:val="0"/>
      <w:marTop w:val="0"/>
      <w:marBottom w:val="0"/>
      <w:divBdr>
        <w:top w:val="none" w:sz="0" w:space="0" w:color="auto"/>
        <w:left w:val="none" w:sz="0" w:space="0" w:color="auto"/>
        <w:bottom w:val="none" w:sz="0" w:space="0" w:color="auto"/>
        <w:right w:val="none" w:sz="0" w:space="0" w:color="auto"/>
      </w:divBdr>
    </w:div>
    <w:div w:id="109133763">
      <w:bodyDiv w:val="1"/>
      <w:marLeft w:val="0"/>
      <w:marRight w:val="0"/>
      <w:marTop w:val="0"/>
      <w:marBottom w:val="0"/>
      <w:divBdr>
        <w:top w:val="none" w:sz="0" w:space="0" w:color="auto"/>
        <w:left w:val="none" w:sz="0" w:space="0" w:color="auto"/>
        <w:bottom w:val="none" w:sz="0" w:space="0" w:color="auto"/>
        <w:right w:val="none" w:sz="0" w:space="0" w:color="auto"/>
      </w:divBdr>
    </w:div>
    <w:div w:id="109398313">
      <w:bodyDiv w:val="1"/>
      <w:marLeft w:val="0"/>
      <w:marRight w:val="0"/>
      <w:marTop w:val="0"/>
      <w:marBottom w:val="0"/>
      <w:divBdr>
        <w:top w:val="none" w:sz="0" w:space="0" w:color="auto"/>
        <w:left w:val="none" w:sz="0" w:space="0" w:color="auto"/>
        <w:bottom w:val="none" w:sz="0" w:space="0" w:color="auto"/>
        <w:right w:val="none" w:sz="0" w:space="0" w:color="auto"/>
      </w:divBdr>
    </w:div>
    <w:div w:id="109513312">
      <w:bodyDiv w:val="1"/>
      <w:marLeft w:val="0"/>
      <w:marRight w:val="0"/>
      <w:marTop w:val="0"/>
      <w:marBottom w:val="0"/>
      <w:divBdr>
        <w:top w:val="none" w:sz="0" w:space="0" w:color="auto"/>
        <w:left w:val="none" w:sz="0" w:space="0" w:color="auto"/>
        <w:bottom w:val="none" w:sz="0" w:space="0" w:color="auto"/>
        <w:right w:val="none" w:sz="0" w:space="0" w:color="auto"/>
      </w:divBdr>
    </w:div>
    <w:div w:id="109663940">
      <w:bodyDiv w:val="1"/>
      <w:marLeft w:val="0"/>
      <w:marRight w:val="0"/>
      <w:marTop w:val="0"/>
      <w:marBottom w:val="0"/>
      <w:divBdr>
        <w:top w:val="none" w:sz="0" w:space="0" w:color="auto"/>
        <w:left w:val="none" w:sz="0" w:space="0" w:color="auto"/>
        <w:bottom w:val="none" w:sz="0" w:space="0" w:color="auto"/>
        <w:right w:val="none" w:sz="0" w:space="0" w:color="auto"/>
      </w:divBdr>
    </w:div>
    <w:div w:id="109789271">
      <w:bodyDiv w:val="1"/>
      <w:marLeft w:val="0"/>
      <w:marRight w:val="0"/>
      <w:marTop w:val="0"/>
      <w:marBottom w:val="0"/>
      <w:divBdr>
        <w:top w:val="none" w:sz="0" w:space="0" w:color="auto"/>
        <w:left w:val="none" w:sz="0" w:space="0" w:color="auto"/>
        <w:bottom w:val="none" w:sz="0" w:space="0" w:color="auto"/>
        <w:right w:val="none" w:sz="0" w:space="0" w:color="auto"/>
      </w:divBdr>
    </w:div>
    <w:div w:id="111096291">
      <w:bodyDiv w:val="1"/>
      <w:marLeft w:val="0"/>
      <w:marRight w:val="0"/>
      <w:marTop w:val="0"/>
      <w:marBottom w:val="0"/>
      <w:divBdr>
        <w:top w:val="none" w:sz="0" w:space="0" w:color="auto"/>
        <w:left w:val="none" w:sz="0" w:space="0" w:color="auto"/>
        <w:bottom w:val="none" w:sz="0" w:space="0" w:color="auto"/>
        <w:right w:val="none" w:sz="0" w:space="0" w:color="auto"/>
      </w:divBdr>
    </w:div>
    <w:div w:id="111754061">
      <w:bodyDiv w:val="1"/>
      <w:marLeft w:val="0"/>
      <w:marRight w:val="0"/>
      <w:marTop w:val="0"/>
      <w:marBottom w:val="0"/>
      <w:divBdr>
        <w:top w:val="none" w:sz="0" w:space="0" w:color="auto"/>
        <w:left w:val="none" w:sz="0" w:space="0" w:color="auto"/>
        <w:bottom w:val="none" w:sz="0" w:space="0" w:color="auto"/>
        <w:right w:val="none" w:sz="0" w:space="0" w:color="auto"/>
      </w:divBdr>
    </w:div>
    <w:div w:id="111825404">
      <w:bodyDiv w:val="1"/>
      <w:marLeft w:val="0"/>
      <w:marRight w:val="0"/>
      <w:marTop w:val="0"/>
      <w:marBottom w:val="0"/>
      <w:divBdr>
        <w:top w:val="none" w:sz="0" w:space="0" w:color="auto"/>
        <w:left w:val="none" w:sz="0" w:space="0" w:color="auto"/>
        <w:bottom w:val="none" w:sz="0" w:space="0" w:color="auto"/>
        <w:right w:val="none" w:sz="0" w:space="0" w:color="auto"/>
      </w:divBdr>
    </w:div>
    <w:div w:id="111948882">
      <w:bodyDiv w:val="1"/>
      <w:marLeft w:val="0"/>
      <w:marRight w:val="0"/>
      <w:marTop w:val="0"/>
      <w:marBottom w:val="0"/>
      <w:divBdr>
        <w:top w:val="none" w:sz="0" w:space="0" w:color="auto"/>
        <w:left w:val="none" w:sz="0" w:space="0" w:color="auto"/>
        <w:bottom w:val="none" w:sz="0" w:space="0" w:color="auto"/>
        <w:right w:val="none" w:sz="0" w:space="0" w:color="auto"/>
      </w:divBdr>
    </w:div>
    <w:div w:id="112332329">
      <w:bodyDiv w:val="1"/>
      <w:marLeft w:val="0"/>
      <w:marRight w:val="0"/>
      <w:marTop w:val="0"/>
      <w:marBottom w:val="0"/>
      <w:divBdr>
        <w:top w:val="none" w:sz="0" w:space="0" w:color="auto"/>
        <w:left w:val="none" w:sz="0" w:space="0" w:color="auto"/>
        <w:bottom w:val="none" w:sz="0" w:space="0" w:color="auto"/>
        <w:right w:val="none" w:sz="0" w:space="0" w:color="auto"/>
      </w:divBdr>
    </w:div>
    <w:div w:id="112485802">
      <w:bodyDiv w:val="1"/>
      <w:marLeft w:val="0"/>
      <w:marRight w:val="0"/>
      <w:marTop w:val="0"/>
      <w:marBottom w:val="0"/>
      <w:divBdr>
        <w:top w:val="none" w:sz="0" w:space="0" w:color="auto"/>
        <w:left w:val="none" w:sz="0" w:space="0" w:color="auto"/>
        <w:bottom w:val="none" w:sz="0" w:space="0" w:color="auto"/>
        <w:right w:val="none" w:sz="0" w:space="0" w:color="auto"/>
      </w:divBdr>
    </w:div>
    <w:div w:id="112556131">
      <w:bodyDiv w:val="1"/>
      <w:marLeft w:val="0"/>
      <w:marRight w:val="0"/>
      <w:marTop w:val="0"/>
      <w:marBottom w:val="0"/>
      <w:divBdr>
        <w:top w:val="none" w:sz="0" w:space="0" w:color="auto"/>
        <w:left w:val="none" w:sz="0" w:space="0" w:color="auto"/>
        <w:bottom w:val="none" w:sz="0" w:space="0" w:color="auto"/>
        <w:right w:val="none" w:sz="0" w:space="0" w:color="auto"/>
      </w:divBdr>
    </w:div>
    <w:div w:id="112679242">
      <w:bodyDiv w:val="1"/>
      <w:marLeft w:val="0"/>
      <w:marRight w:val="0"/>
      <w:marTop w:val="0"/>
      <w:marBottom w:val="0"/>
      <w:divBdr>
        <w:top w:val="none" w:sz="0" w:space="0" w:color="auto"/>
        <w:left w:val="none" w:sz="0" w:space="0" w:color="auto"/>
        <w:bottom w:val="none" w:sz="0" w:space="0" w:color="auto"/>
        <w:right w:val="none" w:sz="0" w:space="0" w:color="auto"/>
      </w:divBdr>
    </w:div>
    <w:div w:id="112790364">
      <w:bodyDiv w:val="1"/>
      <w:marLeft w:val="0"/>
      <w:marRight w:val="0"/>
      <w:marTop w:val="0"/>
      <w:marBottom w:val="0"/>
      <w:divBdr>
        <w:top w:val="none" w:sz="0" w:space="0" w:color="auto"/>
        <w:left w:val="none" w:sz="0" w:space="0" w:color="auto"/>
        <w:bottom w:val="none" w:sz="0" w:space="0" w:color="auto"/>
        <w:right w:val="none" w:sz="0" w:space="0" w:color="auto"/>
      </w:divBdr>
    </w:div>
    <w:div w:id="113015688">
      <w:bodyDiv w:val="1"/>
      <w:marLeft w:val="0"/>
      <w:marRight w:val="0"/>
      <w:marTop w:val="0"/>
      <w:marBottom w:val="0"/>
      <w:divBdr>
        <w:top w:val="none" w:sz="0" w:space="0" w:color="auto"/>
        <w:left w:val="none" w:sz="0" w:space="0" w:color="auto"/>
        <w:bottom w:val="none" w:sz="0" w:space="0" w:color="auto"/>
        <w:right w:val="none" w:sz="0" w:space="0" w:color="auto"/>
      </w:divBdr>
    </w:div>
    <w:div w:id="113259807">
      <w:bodyDiv w:val="1"/>
      <w:marLeft w:val="0"/>
      <w:marRight w:val="0"/>
      <w:marTop w:val="0"/>
      <w:marBottom w:val="0"/>
      <w:divBdr>
        <w:top w:val="none" w:sz="0" w:space="0" w:color="auto"/>
        <w:left w:val="none" w:sz="0" w:space="0" w:color="auto"/>
        <w:bottom w:val="none" w:sz="0" w:space="0" w:color="auto"/>
        <w:right w:val="none" w:sz="0" w:space="0" w:color="auto"/>
      </w:divBdr>
    </w:div>
    <w:div w:id="113328640">
      <w:bodyDiv w:val="1"/>
      <w:marLeft w:val="0"/>
      <w:marRight w:val="0"/>
      <w:marTop w:val="0"/>
      <w:marBottom w:val="0"/>
      <w:divBdr>
        <w:top w:val="none" w:sz="0" w:space="0" w:color="auto"/>
        <w:left w:val="none" w:sz="0" w:space="0" w:color="auto"/>
        <w:bottom w:val="none" w:sz="0" w:space="0" w:color="auto"/>
        <w:right w:val="none" w:sz="0" w:space="0" w:color="auto"/>
      </w:divBdr>
    </w:div>
    <w:div w:id="113599280">
      <w:bodyDiv w:val="1"/>
      <w:marLeft w:val="0"/>
      <w:marRight w:val="0"/>
      <w:marTop w:val="0"/>
      <w:marBottom w:val="0"/>
      <w:divBdr>
        <w:top w:val="none" w:sz="0" w:space="0" w:color="auto"/>
        <w:left w:val="none" w:sz="0" w:space="0" w:color="auto"/>
        <w:bottom w:val="none" w:sz="0" w:space="0" w:color="auto"/>
        <w:right w:val="none" w:sz="0" w:space="0" w:color="auto"/>
      </w:divBdr>
    </w:div>
    <w:div w:id="114103071">
      <w:bodyDiv w:val="1"/>
      <w:marLeft w:val="0"/>
      <w:marRight w:val="0"/>
      <w:marTop w:val="0"/>
      <w:marBottom w:val="0"/>
      <w:divBdr>
        <w:top w:val="none" w:sz="0" w:space="0" w:color="auto"/>
        <w:left w:val="none" w:sz="0" w:space="0" w:color="auto"/>
        <w:bottom w:val="none" w:sz="0" w:space="0" w:color="auto"/>
        <w:right w:val="none" w:sz="0" w:space="0" w:color="auto"/>
      </w:divBdr>
    </w:div>
    <w:div w:id="114174598">
      <w:bodyDiv w:val="1"/>
      <w:marLeft w:val="0"/>
      <w:marRight w:val="0"/>
      <w:marTop w:val="0"/>
      <w:marBottom w:val="0"/>
      <w:divBdr>
        <w:top w:val="none" w:sz="0" w:space="0" w:color="auto"/>
        <w:left w:val="none" w:sz="0" w:space="0" w:color="auto"/>
        <w:bottom w:val="none" w:sz="0" w:space="0" w:color="auto"/>
        <w:right w:val="none" w:sz="0" w:space="0" w:color="auto"/>
      </w:divBdr>
    </w:div>
    <w:div w:id="114181937">
      <w:bodyDiv w:val="1"/>
      <w:marLeft w:val="0"/>
      <w:marRight w:val="0"/>
      <w:marTop w:val="0"/>
      <w:marBottom w:val="0"/>
      <w:divBdr>
        <w:top w:val="none" w:sz="0" w:space="0" w:color="auto"/>
        <w:left w:val="none" w:sz="0" w:space="0" w:color="auto"/>
        <w:bottom w:val="none" w:sz="0" w:space="0" w:color="auto"/>
        <w:right w:val="none" w:sz="0" w:space="0" w:color="auto"/>
      </w:divBdr>
    </w:div>
    <w:div w:id="114251774">
      <w:bodyDiv w:val="1"/>
      <w:marLeft w:val="0"/>
      <w:marRight w:val="0"/>
      <w:marTop w:val="0"/>
      <w:marBottom w:val="0"/>
      <w:divBdr>
        <w:top w:val="none" w:sz="0" w:space="0" w:color="auto"/>
        <w:left w:val="none" w:sz="0" w:space="0" w:color="auto"/>
        <w:bottom w:val="none" w:sz="0" w:space="0" w:color="auto"/>
        <w:right w:val="none" w:sz="0" w:space="0" w:color="auto"/>
      </w:divBdr>
    </w:div>
    <w:div w:id="114296657">
      <w:bodyDiv w:val="1"/>
      <w:marLeft w:val="0"/>
      <w:marRight w:val="0"/>
      <w:marTop w:val="0"/>
      <w:marBottom w:val="0"/>
      <w:divBdr>
        <w:top w:val="none" w:sz="0" w:space="0" w:color="auto"/>
        <w:left w:val="none" w:sz="0" w:space="0" w:color="auto"/>
        <w:bottom w:val="none" w:sz="0" w:space="0" w:color="auto"/>
        <w:right w:val="none" w:sz="0" w:space="0" w:color="auto"/>
      </w:divBdr>
    </w:div>
    <w:div w:id="114299045">
      <w:bodyDiv w:val="1"/>
      <w:marLeft w:val="0"/>
      <w:marRight w:val="0"/>
      <w:marTop w:val="0"/>
      <w:marBottom w:val="0"/>
      <w:divBdr>
        <w:top w:val="none" w:sz="0" w:space="0" w:color="auto"/>
        <w:left w:val="none" w:sz="0" w:space="0" w:color="auto"/>
        <w:bottom w:val="none" w:sz="0" w:space="0" w:color="auto"/>
        <w:right w:val="none" w:sz="0" w:space="0" w:color="auto"/>
      </w:divBdr>
    </w:div>
    <w:div w:id="115485586">
      <w:bodyDiv w:val="1"/>
      <w:marLeft w:val="0"/>
      <w:marRight w:val="0"/>
      <w:marTop w:val="0"/>
      <w:marBottom w:val="0"/>
      <w:divBdr>
        <w:top w:val="none" w:sz="0" w:space="0" w:color="auto"/>
        <w:left w:val="none" w:sz="0" w:space="0" w:color="auto"/>
        <w:bottom w:val="none" w:sz="0" w:space="0" w:color="auto"/>
        <w:right w:val="none" w:sz="0" w:space="0" w:color="auto"/>
      </w:divBdr>
    </w:div>
    <w:div w:id="115605685">
      <w:bodyDiv w:val="1"/>
      <w:marLeft w:val="0"/>
      <w:marRight w:val="0"/>
      <w:marTop w:val="0"/>
      <w:marBottom w:val="0"/>
      <w:divBdr>
        <w:top w:val="none" w:sz="0" w:space="0" w:color="auto"/>
        <w:left w:val="none" w:sz="0" w:space="0" w:color="auto"/>
        <w:bottom w:val="none" w:sz="0" w:space="0" w:color="auto"/>
        <w:right w:val="none" w:sz="0" w:space="0" w:color="auto"/>
      </w:divBdr>
    </w:div>
    <w:div w:id="115681510">
      <w:bodyDiv w:val="1"/>
      <w:marLeft w:val="0"/>
      <w:marRight w:val="0"/>
      <w:marTop w:val="0"/>
      <w:marBottom w:val="0"/>
      <w:divBdr>
        <w:top w:val="none" w:sz="0" w:space="0" w:color="auto"/>
        <w:left w:val="none" w:sz="0" w:space="0" w:color="auto"/>
        <w:bottom w:val="none" w:sz="0" w:space="0" w:color="auto"/>
        <w:right w:val="none" w:sz="0" w:space="0" w:color="auto"/>
      </w:divBdr>
    </w:div>
    <w:div w:id="115759261">
      <w:bodyDiv w:val="1"/>
      <w:marLeft w:val="0"/>
      <w:marRight w:val="0"/>
      <w:marTop w:val="0"/>
      <w:marBottom w:val="0"/>
      <w:divBdr>
        <w:top w:val="none" w:sz="0" w:space="0" w:color="auto"/>
        <w:left w:val="none" w:sz="0" w:space="0" w:color="auto"/>
        <w:bottom w:val="none" w:sz="0" w:space="0" w:color="auto"/>
        <w:right w:val="none" w:sz="0" w:space="0" w:color="auto"/>
      </w:divBdr>
    </w:div>
    <w:div w:id="115947596">
      <w:bodyDiv w:val="1"/>
      <w:marLeft w:val="0"/>
      <w:marRight w:val="0"/>
      <w:marTop w:val="0"/>
      <w:marBottom w:val="0"/>
      <w:divBdr>
        <w:top w:val="none" w:sz="0" w:space="0" w:color="auto"/>
        <w:left w:val="none" w:sz="0" w:space="0" w:color="auto"/>
        <w:bottom w:val="none" w:sz="0" w:space="0" w:color="auto"/>
        <w:right w:val="none" w:sz="0" w:space="0" w:color="auto"/>
      </w:divBdr>
    </w:div>
    <w:div w:id="115953128">
      <w:bodyDiv w:val="1"/>
      <w:marLeft w:val="0"/>
      <w:marRight w:val="0"/>
      <w:marTop w:val="0"/>
      <w:marBottom w:val="0"/>
      <w:divBdr>
        <w:top w:val="none" w:sz="0" w:space="0" w:color="auto"/>
        <w:left w:val="none" w:sz="0" w:space="0" w:color="auto"/>
        <w:bottom w:val="none" w:sz="0" w:space="0" w:color="auto"/>
        <w:right w:val="none" w:sz="0" w:space="0" w:color="auto"/>
      </w:divBdr>
    </w:div>
    <w:div w:id="116264765">
      <w:bodyDiv w:val="1"/>
      <w:marLeft w:val="0"/>
      <w:marRight w:val="0"/>
      <w:marTop w:val="0"/>
      <w:marBottom w:val="0"/>
      <w:divBdr>
        <w:top w:val="none" w:sz="0" w:space="0" w:color="auto"/>
        <w:left w:val="none" w:sz="0" w:space="0" w:color="auto"/>
        <w:bottom w:val="none" w:sz="0" w:space="0" w:color="auto"/>
        <w:right w:val="none" w:sz="0" w:space="0" w:color="auto"/>
      </w:divBdr>
    </w:div>
    <w:div w:id="116604178">
      <w:bodyDiv w:val="1"/>
      <w:marLeft w:val="0"/>
      <w:marRight w:val="0"/>
      <w:marTop w:val="0"/>
      <w:marBottom w:val="0"/>
      <w:divBdr>
        <w:top w:val="none" w:sz="0" w:space="0" w:color="auto"/>
        <w:left w:val="none" w:sz="0" w:space="0" w:color="auto"/>
        <w:bottom w:val="none" w:sz="0" w:space="0" w:color="auto"/>
        <w:right w:val="none" w:sz="0" w:space="0" w:color="auto"/>
      </w:divBdr>
    </w:div>
    <w:div w:id="116654500">
      <w:bodyDiv w:val="1"/>
      <w:marLeft w:val="0"/>
      <w:marRight w:val="0"/>
      <w:marTop w:val="0"/>
      <w:marBottom w:val="0"/>
      <w:divBdr>
        <w:top w:val="none" w:sz="0" w:space="0" w:color="auto"/>
        <w:left w:val="none" w:sz="0" w:space="0" w:color="auto"/>
        <w:bottom w:val="none" w:sz="0" w:space="0" w:color="auto"/>
        <w:right w:val="none" w:sz="0" w:space="0" w:color="auto"/>
      </w:divBdr>
    </w:div>
    <w:div w:id="116871995">
      <w:bodyDiv w:val="1"/>
      <w:marLeft w:val="0"/>
      <w:marRight w:val="0"/>
      <w:marTop w:val="0"/>
      <w:marBottom w:val="0"/>
      <w:divBdr>
        <w:top w:val="none" w:sz="0" w:space="0" w:color="auto"/>
        <w:left w:val="none" w:sz="0" w:space="0" w:color="auto"/>
        <w:bottom w:val="none" w:sz="0" w:space="0" w:color="auto"/>
        <w:right w:val="none" w:sz="0" w:space="0" w:color="auto"/>
      </w:divBdr>
    </w:div>
    <w:div w:id="117064220">
      <w:bodyDiv w:val="1"/>
      <w:marLeft w:val="0"/>
      <w:marRight w:val="0"/>
      <w:marTop w:val="0"/>
      <w:marBottom w:val="0"/>
      <w:divBdr>
        <w:top w:val="none" w:sz="0" w:space="0" w:color="auto"/>
        <w:left w:val="none" w:sz="0" w:space="0" w:color="auto"/>
        <w:bottom w:val="none" w:sz="0" w:space="0" w:color="auto"/>
        <w:right w:val="none" w:sz="0" w:space="0" w:color="auto"/>
      </w:divBdr>
    </w:div>
    <w:div w:id="117182335">
      <w:bodyDiv w:val="1"/>
      <w:marLeft w:val="0"/>
      <w:marRight w:val="0"/>
      <w:marTop w:val="0"/>
      <w:marBottom w:val="0"/>
      <w:divBdr>
        <w:top w:val="none" w:sz="0" w:space="0" w:color="auto"/>
        <w:left w:val="none" w:sz="0" w:space="0" w:color="auto"/>
        <w:bottom w:val="none" w:sz="0" w:space="0" w:color="auto"/>
        <w:right w:val="none" w:sz="0" w:space="0" w:color="auto"/>
      </w:divBdr>
    </w:div>
    <w:div w:id="117265495">
      <w:bodyDiv w:val="1"/>
      <w:marLeft w:val="0"/>
      <w:marRight w:val="0"/>
      <w:marTop w:val="0"/>
      <w:marBottom w:val="0"/>
      <w:divBdr>
        <w:top w:val="none" w:sz="0" w:space="0" w:color="auto"/>
        <w:left w:val="none" w:sz="0" w:space="0" w:color="auto"/>
        <w:bottom w:val="none" w:sz="0" w:space="0" w:color="auto"/>
        <w:right w:val="none" w:sz="0" w:space="0" w:color="auto"/>
      </w:divBdr>
    </w:div>
    <w:div w:id="117337475">
      <w:bodyDiv w:val="1"/>
      <w:marLeft w:val="0"/>
      <w:marRight w:val="0"/>
      <w:marTop w:val="0"/>
      <w:marBottom w:val="0"/>
      <w:divBdr>
        <w:top w:val="none" w:sz="0" w:space="0" w:color="auto"/>
        <w:left w:val="none" w:sz="0" w:space="0" w:color="auto"/>
        <w:bottom w:val="none" w:sz="0" w:space="0" w:color="auto"/>
        <w:right w:val="none" w:sz="0" w:space="0" w:color="auto"/>
      </w:divBdr>
    </w:div>
    <w:div w:id="117602951">
      <w:bodyDiv w:val="1"/>
      <w:marLeft w:val="0"/>
      <w:marRight w:val="0"/>
      <w:marTop w:val="0"/>
      <w:marBottom w:val="0"/>
      <w:divBdr>
        <w:top w:val="none" w:sz="0" w:space="0" w:color="auto"/>
        <w:left w:val="none" w:sz="0" w:space="0" w:color="auto"/>
        <w:bottom w:val="none" w:sz="0" w:space="0" w:color="auto"/>
        <w:right w:val="none" w:sz="0" w:space="0" w:color="auto"/>
      </w:divBdr>
    </w:div>
    <w:div w:id="117843958">
      <w:bodyDiv w:val="1"/>
      <w:marLeft w:val="0"/>
      <w:marRight w:val="0"/>
      <w:marTop w:val="0"/>
      <w:marBottom w:val="0"/>
      <w:divBdr>
        <w:top w:val="none" w:sz="0" w:space="0" w:color="auto"/>
        <w:left w:val="none" w:sz="0" w:space="0" w:color="auto"/>
        <w:bottom w:val="none" w:sz="0" w:space="0" w:color="auto"/>
        <w:right w:val="none" w:sz="0" w:space="0" w:color="auto"/>
      </w:divBdr>
    </w:div>
    <w:div w:id="117921404">
      <w:bodyDiv w:val="1"/>
      <w:marLeft w:val="0"/>
      <w:marRight w:val="0"/>
      <w:marTop w:val="0"/>
      <w:marBottom w:val="0"/>
      <w:divBdr>
        <w:top w:val="none" w:sz="0" w:space="0" w:color="auto"/>
        <w:left w:val="none" w:sz="0" w:space="0" w:color="auto"/>
        <w:bottom w:val="none" w:sz="0" w:space="0" w:color="auto"/>
        <w:right w:val="none" w:sz="0" w:space="0" w:color="auto"/>
      </w:divBdr>
    </w:div>
    <w:div w:id="118187042">
      <w:bodyDiv w:val="1"/>
      <w:marLeft w:val="0"/>
      <w:marRight w:val="0"/>
      <w:marTop w:val="0"/>
      <w:marBottom w:val="0"/>
      <w:divBdr>
        <w:top w:val="none" w:sz="0" w:space="0" w:color="auto"/>
        <w:left w:val="none" w:sz="0" w:space="0" w:color="auto"/>
        <w:bottom w:val="none" w:sz="0" w:space="0" w:color="auto"/>
        <w:right w:val="none" w:sz="0" w:space="0" w:color="auto"/>
      </w:divBdr>
    </w:div>
    <w:div w:id="118232145">
      <w:bodyDiv w:val="1"/>
      <w:marLeft w:val="0"/>
      <w:marRight w:val="0"/>
      <w:marTop w:val="0"/>
      <w:marBottom w:val="0"/>
      <w:divBdr>
        <w:top w:val="none" w:sz="0" w:space="0" w:color="auto"/>
        <w:left w:val="none" w:sz="0" w:space="0" w:color="auto"/>
        <w:bottom w:val="none" w:sz="0" w:space="0" w:color="auto"/>
        <w:right w:val="none" w:sz="0" w:space="0" w:color="auto"/>
      </w:divBdr>
    </w:div>
    <w:div w:id="120077433">
      <w:bodyDiv w:val="1"/>
      <w:marLeft w:val="0"/>
      <w:marRight w:val="0"/>
      <w:marTop w:val="0"/>
      <w:marBottom w:val="0"/>
      <w:divBdr>
        <w:top w:val="none" w:sz="0" w:space="0" w:color="auto"/>
        <w:left w:val="none" w:sz="0" w:space="0" w:color="auto"/>
        <w:bottom w:val="none" w:sz="0" w:space="0" w:color="auto"/>
        <w:right w:val="none" w:sz="0" w:space="0" w:color="auto"/>
      </w:divBdr>
    </w:div>
    <w:div w:id="120077938">
      <w:bodyDiv w:val="1"/>
      <w:marLeft w:val="0"/>
      <w:marRight w:val="0"/>
      <w:marTop w:val="0"/>
      <w:marBottom w:val="0"/>
      <w:divBdr>
        <w:top w:val="none" w:sz="0" w:space="0" w:color="auto"/>
        <w:left w:val="none" w:sz="0" w:space="0" w:color="auto"/>
        <w:bottom w:val="none" w:sz="0" w:space="0" w:color="auto"/>
        <w:right w:val="none" w:sz="0" w:space="0" w:color="auto"/>
      </w:divBdr>
    </w:div>
    <w:div w:id="121314044">
      <w:bodyDiv w:val="1"/>
      <w:marLeft w:val="0"/>
      <w:marRight w:val="0"/>
      <w:marTop w:val="0"/>
      <w:marBottom w:val="0"/>
      <w:divBdr>
        <w:top w:val="none" w:sz="0" w:space="0" w:color="auto"/>
        <w:left w:val="none" w:sz="0" w:space="0" w:color="auto"/>
        <w:bottom w:val="none" w:sz="0" w:space="0" w:color="auto"/>
        <w:right w:val="none" w:sz="0" w:space="0" w:color="auto"/>
      </w:divBdr>
    </w:div>
    <w:div w:id="121466977">
      <w:bodyDiv w:val="1"/>
      <w:marLeft w:val="0"/>
      <w:marRight w:val="0"/>
      <w:marTop w:val="0"/>
      <w:marBottom w:val="0"/>
      <w:divBdr>
        <w:top w:val="none" w:sz="0" w:space="0" w:color="auto"/>
        <w:left w:val="none" w:sz="0" w:space="0" w:color="auto"/>
        <w:bottom w:val="none" w:sz="0" w:space="0" w:color="auto"/>
        <w:right w:val="none" w:sz="0" w:space="0" w:color="auto"/>
      </w:divBdr>
    </w:div>
    <w:div w:id="121776935">
      <w:bodyDiv w:val="1"/>
      <w:marLeft w:val="0"/>
      <w:marRight w:val="0"/>
      <w:marTop w:val="0"/>
      <w:marBottom w:val="0"/>
      <w:divBdr>
        <w:top w:val="none" w:sz="0" w:space="0" w:color="auto"/>
        <w:left w:val="none" w:sz="0" w:space="0" w:color="auto"/>
        <w:bottom w:val="none" w:sz="0" w:space="0" w:color="auto"/>
        <w:right w:val="none" w:sz="0" w:space="0" w:color="auto"/>
      </w:divBdr>
    </w:div>
    <w:div w:id="121927882">
      <w:bodyDiv w:val="1"/>
      <w:marLeft w:val="0"/>
      <w:marRight w:val="0"/>
      <w:marTop w:val="0"/>
      <w:marBottom w:val="0"/>
      <w:divBdr>
        <w:top w:val="none" w:sz="0" w:space="0" w:color="auto"/>
        <w:left w:val="none" w:sz="0" w:space="0" w:color="auto"/>
        <w:bottom w:val="none" w:sz="0" w:space="0" w:color="auto"/>
        <w:right w:val="none" w:sz="0" w:space="0" w:color="auto"/>
      </w:divBdr>
    </w:div>
    <w:div w:id="123163738">
      <w:bodyDiv w:val="1"/>
      <w:marLeft w:val="0"/>
      <w:marRight w:val="0"/>
      <w:marTop w:val="0"/>
      <w:marBottom w:val="0"/>
      <w:divBdr>
        <w:top w:val="none" w:sz="0" w:space="0" w:color="auto"/>
        <w:left w:val="none" w:sz="0" w:space="0" w:color="auto"/>
        <w:bottom w:val="none" w:sz="0" w:space="0" w:color="auto"/>
        <w:right w:val="none" w:sz="0" w:space="0" w:color="auto"/>
      </w:divBdr>
    </w:div>
    <w:div w:id="123424407">
      <w:bodyDiv w:val="1"/>
      <w:marLeft w:val="0"/>
      <w:marRight w:val="0"/>
      <w:marTop w:val="0"/>
      <w:marBottom w:val="0"/>
      <w:divBdr>
        <w:top w:val="none" w:sz="0" w:space="0" w:color="auto"/>
        <w:left w:val="none" w:sz="0" w:space="0" w:color="auto"/>
        <w:bottom w:val="none" w:sz="0" w:space="0" w:color="auto"/>
        <w:right w:val="none" w:sz="0" w:space="0" w:color="auto"/>
      </w:divBdr>
    </w:div>
    <w:div w:id="123813124">
      <w:bodyDiv w:val="1"/>
      <w:marLeft w:val="0"/>
      <w:marRight w:val="0"/>
      <w:marTop w:val="0"/>
      <w:marBottom w:val="0"/>
      <w:divBdr>
        <w:top w:val="none" w:sz="0" w:space="0" w:color="auto"/>
        <w:left w:val="none" w:sz="0" w:space="0" w:color="auto"/>
        <w:bottom w:val="none" w:sz="0" w:space="0" w:color="auto"/>
        <w:right w:val="none" w:sz="0" w:space="0" w:color="auto"/>
      </w:divBdr>
    </w:div>
    <w:div w:id="124542456">
      <w:bodyDiv w:val="1"/>
      <w:marLeft w:val="0"/>
      <w:marRight w:val="0"/>
      <w:marTop w:val="0"/>
      <w:marBottom w:val="0"/>
      <w:divBdr>
        <w:top w:val="none" w:sz="0" w:space="0" w:color="auto"/>
        <w:left w:val="none" w:sz="0" w:space="0" w:color="auto"/>
        <w:bottom w:val="none" w:sz="0" w:space="0" w:color="auto"/>
        <w:right w:val="none" w:sz="0" w:space="0" w:color="auto"/>
      </w:divBdr>
    </w:div>
    <w:div w:id="124858052">
      <w:bodyDiv w:val="1"/>
      <w:marLeft w:val="0"/>
      <w:marRight w:val="0"/>
      <w:marTop w:val="0"/>
      <w:marBottom w:val="0"/>
      <w:divBdr>
        <w:top w:val="none" w:sz="0" w:space="0" w:color="auto"/>
        <w:left w:val="none" w:sz="0" w:space="0" w:color="auto"/>
        <w:bottom w:val="none" w:sz="0" w:space="0" w:color="auto"/>
        <w:right w:val="none" w:sz="0" w:space="0" w:color="auto"/>
      </w:divBdr>
    </w:div>
    <w:div w:id="124933172">
      <w:bodyDiv w:val="1"/>
      <w:marLeft w:val="0"/>
      <w:marRight w:val="0"/>
      <w:marTop w:val="0"/>
      <w:marBottom w:val="0"/>
      <w:divBdr>
        <w:top w:val="none" w:sz="0" w:space="0" w:color="auto"/>
        <w:left w:val="none" w:sz="0" w:space="0" w:color="auto"/>
        <w:bottom w:val="none" w:sz="0" w:space="0" w:color="auto"/>
        <w:right w:val="none" w:sz="0" w:space="0" w:color="auto"/>
      </w:divBdr>
    </w:div>
    <w:div w:id="124936930">
      <w:bodyDiv w:val="1"/>
      <w:marLeft w:val="0"/>
      <w:marRight w:val="0"/>
      <w:marTop w:val="0"/>
      <w:marBottom w:val="0"/>
      <w:divBdr>
        <w:top w:val="none" w:sz="0" w:space="0" w:color="auto"/>
        <w:left w:val="none" w:sz="0" w:space="0" w:color="auto"/>
        <w:bottom w:val="none" w:sz="0" w:space="0" w:color="auto"/>
        <w:right w:val="none" w:sz="0" w:space="0" w:color="auto"/>
      </w:divBdr>
    </w:div>
    <w:div w:id="125314587">
      <w:bodyDiv w:val="1"/>
      <w:marLeft w:val="0"/>
      <w:marRight w:val="0"/>
      <w:marTop w:val="0"/>
      <w:marBottom w:val="0"/>
      <w:divBdr>
        <w:top w:val="none" w:sz="0" w:space="0" w:color="auto"/>
        <w:left w:val="none" w:sz="0" w:space="0" w:color="auto"/>
        <w:bottom w:val="none" w:sz="0" w:space="0" w:color="auto"/>
        <w:right w:val="none" w:sz="0" w:space="0" w:color="auto"/>
      </w:divBdr>
    </w:div>
    <w:div w:id="125315410">
      <w:bodyDiv w:val="1"/>
      <w:marLeft w:val="0"/>
      <w:marRight w:val="0"/>
      <w:marTop w:val="0"/>
      <w:marBottom w:val="0"/>
      <w:divBdr>
        <w:top w:val="none" w:sz="0" w:space="0" w:color="auto"/>
        <w:left w:val="none" w:sz="0" w:space="0" w:color="auto"/>
        <w:bottom w:val="none" w:sz="0" w:space="0" w:color="auto"/>
        <w:right w:val="none" w:sz="0" w:space="0" w:color="auto"/>
      </w:divBdr>
    </w:div>
    <w:div w:id="125702112">
      <w:bodyDiv w:val="1"/>
      <w:marLeft w:val="0"/>
      <w:marRight w:val="0"/>
      <w:marTop w:val="0"/>
      <w:marBottom w:val="0"/>
      <w:divBdr>
        <w:top w:val="none" w:sz="0" w:space="0" w:color="auto"/>
        <w:left w:val="none" w:sz="0" w:space="0" w:color="auto"/>
        <w:bottom w:val="none" w:sz="0" w:space="0" w:color="auto"/>
        <w:right w:val="none" w:sz="0" w:space="0" w:color="auto"/>
      </w:divBdr>
    </w:div>
    <w:div w:id="126166325">
      <w:bodyDiv w:val="1"/>
      <w:marLeft w:val="0"/>
      <w:marRight w:val="0"/>
      <w:marTop w:val="0"/>
      <w:marBottom w:val="0"/>
      <w:divBdr>
        <w:top w:val="none" w:sz="0" w:space="0" w:color="auto"/>
        <w:left w:val="none" w:sz="0" w:space="0" w:color="auto"/>
        <w:bottom w:val="none" w:sz="0" w:space="0" w:color="auto"/>
        <w:right w:val="none" w:sz="0" w:space="0" w:color="auto"/>
      </w:divBdr>
    </w:div>
    <w:div w:id="126901007">
      <w:bodyDiv w:val="1"/>
      <w:marLeft w:val="0"/>
      <w:marRight w:val="0"/>
      <w:marTop w:val="0"/>
      <w:marBottom w:val="0"/>
      <w:divBdr>
        <w:top w:val="none" w:sz="0" w:space="0" w:color="auto"/>
        <w:left w:val="none" w:sz="0" w:space="0" w:color="auto"/>
        <w:bottom w:val="none" w:sz="0" w:space="0" w:color="auto"/>
        <w:right w:val="none" w:sz="0" w:space="0" w:color="auto"/>
      </w:divBdr>
    </w:div>
    <w:div w:id="127017147">
      <w:bodyDiv w:val="1"/>
      <w:marLeft w:val="0"/>
      <w:marRight w:val="0"/>
      <w:marTop w:val="0"/>
      <w:marBottom w:val="0"/>
      <w:divBdr>
        <w:top w:val="none" w:sz="0" w:space="0" w:color="auto"/>
        <w:left w:val="none" w:sz="0" w:space="0" w:color="auto"/>
        <w:bottom w:val="none" w:sz="0" w:space="0" w:color="auto"/>
        <w:right w:val="none" w:sz="0" w:space="0" w:color="auto"/>
      </w:divBdr>
    </w:div>
    <w:div w:id="127169979">
      <w:bodyDiv w:val="1"/>
      <w:marLeft w:val="0"/>
      <w:marRight w:val="0"/>
      <w:marTop w:val="0"/>
      <w:marBottom w:val="0"/>
      <w:divBdr>
        <w:top w:val="none" w:sz="0" w:space="0" w:color="auto"/>
        <w:left w:val="none" w:sz="0" w:space="0" w:color="auto"/>
        <w:bottom w:val="none" w:sz="0" w:space="0" w:color="auto"/>
        <w:right w:val="none" w:sz="0" w:space="0" w:color="auto"/>
      </w:divBdr>
    </w:div>
    <w:div w:id="128281792">
      <w:bodyDiv w:val="1"/>
      <w:marLeft w:val="0"/>
      <w:marRight w:val="0"/>
      <w:marTop w:val="0"/>
      <w:marBottom w:val="0"/>
      <w:divBdr>
        <w:top w:val="none" w:sz="0" w:space="0" w:color="auto"/>
        <w:left w:val="none" w:sz="0" w:space="0" w:color="auto"/>
        <w:bottom w:val="none" w:sz="0" w:space="0" w:color="auto"/>
        <w:right w:val="none" w:sz="0" w:space="0" w:color="auto"/>
      </w:divBdr>
    </w:div>
    <w:div w:id="128480620">
      <w:bodyDiv w:val="1"/>
      <w:marLeft w:val="0"/>
      <w:marRight w:val="0"/>
      <w:marTop w:val="0"/>
      <w:marBottom w:val="0"/>
      <w:divBdr>
        <w:top w:val="none" w:sz="0" w:space="0" w:color="auto"/>
        <w:left w:val="none" w:sz="0" w:space="0" w:color="auto"/>
        <w:bottom w:val="none" w:sz="0" w:space="0" w:color="auto"/>
        <w:right w:val="none" w:sz="0" w:space="0" w:color="auto"/>
      </w:divBdr>
    </w:div>
    <w:div w:id="128793107">
      <w:bodyDiv w:val="1"/>
      <w:marLeft w:val="0"/>
      <w:marRight w:val="0"/>
      <w:marTop w:val="0"/>
      <w:marBottom w:val="0"/>
      <w:divBdr>
        <w:top w:val="none" w:sz="0" w:space="0" w:color="auto"/>
        <w:left w:val="none" w:sz="0" w:space="0" w:color="auto"/>
        <w:bottom w:val="none" w:sz="0" w:space="0" w:color="auto"/>
        <w:right w:val="none" w:sz="0" w:space="0" w:color="auto"/>
      </w:divBdr>
    </w:div>
    <w:div w:id="128910294">
      <w:bodyDiv w:val="1"/>
      <w:marLeft w:val="0"/>
      <w:marRight w:val="0"/>
      <w:marTop w:val="0"/>
      <w:marBottom w:val="0"/>
      <w:divBdr>
        <w:top w:val="none" w:sz="0" w:space="0" w:color="auto"/>
        <w:left w:val="none" w:sz="0" w:space="0" w:color="auto"/>
        <w:bottom w:val="none" w:sz="0" w:space="0" w:color="auto"/>
        <w:right w:val="none" w:sz="0" w:space="0" w:color="auto"/>
      </w:divBdr>
    </w:div>
    <w:div w:id="129052367">
      <w:bodyDiv w:val="1"/>
      <w:marLeft w:val="0"/>
      <w:marRight w:val="0"/>
      <w:marTop w:val="0"/>
      <w:marBottom w:val="0"/>
      <w:divBdr>
        <w:top w:val="none" w:sz="0" w:space="0" w:color="auto"/>
        <w:left w:val="none" w:sz="0" w:space="0" w:color="auto"/>
        <w:bottom w:val="none" w:sz="0" w:space="0" w:color="auto"/>
        <w:right w:val="none" w:sz="0" w:space="0" w:color="auto"/>
      </w:divBdr>
    </w:div>
    <w:div w:id="129254402">
      <w:bodyDiv w:val="1"/>
      <w:marLeft w:val="0"/>
      <w:marRight w:val="0"/>
      <w:marTop w:val="0"/>
      <w:marBottom w:val="0"/>
      <w:divBdr>
        <w:top w:val="none" w:sz="0" w:space="0" w:color="auto"/>
        <w:left w:val="none" w:sz="0" w:space="0" w:color="auto"/>
        <w:bottom w:val="none" w:sz="0" w:space="0" w:color="auto"/>
        <w:right w:val="none" w:sz="0" w:space="0" w:color="auto"/>
      </w:divBdr>
    </w:div>
    <w:div w:id="129900953">
      <w:bodyDiv w:val="1"/>
      <w:marLeft w:val="0"/>
      <w:marRight w:val="0"/>
      <w:marTop w:val="0"/>
      <w:marBottom w:val="0"/>
      <w:divBdr>
        <w:top w:val="none" w:sz="0" w:space="0" w:color="auto"/>
        <w:left w:val="none" w:sz="0" w:space="0" w:color="auto"/>
        <w:bottom w:val="none" w:sz="0" w:space="0" w:color="auto"/>
        <w:right w:val="none" w:sz="0" w:space="0" w:color="auto"/>
      </w:divBdr>
    </w:div>
    <w:div w:id="129985127">
      <w:bodyDiv w:val="1"/>
      <w:marLeft w:val="0"/>
      <w:marRight w:val="0"/>
      <w:marTop w:val="0"/>
      <w:marBottom w:val="0"/>
      <w:divBdr>
        <w:top w:val="none" w:sz="0" w:space="0" w:color="auto"/>
        <w:left w:val="none" w:sz="0" w:space="0" w:color="auto"/>
        <w:bottom w:val="none" w:sz="0" w:space="0" w:color="auto"/>
        <w:right w:val="none" w:sz="0" w:space="0" w:color="auto"/>
      </w:divBdr>
    </w:div>
    <w:div w:id="131101047">
      <w:bodyDiv w:val="1"/>
      <w:marLeft w:val="0"/>
      <w:marRight w:val="0"/>
      <w:marTop w:val="0"/>
      <w:marBottom w:val="0"/>
      <w:divBdr>
        <w:top w:val="none" w:sz="0" w:space="0" w:color="auto"/>
        <w:left w:val="none" w:sz="0" w:space="0" w:color="auto"/>
        <w:bottom w:val="none" w:sz="0" w:space="0" w:color="auto"/>
        <w:right w:val="none" w:sz="0" w:space="0" w:color="auto"/>
      </w:divBdr>
    </w:div>
    <w:div w:id="131212404">
      <w:bodyDiv w:val="1"/>
      <w:marLeft w:val="0"/>
      <w:marRight w:val="0"/>
      <w:marTop w:val="0"/>
      <w:marBottom w:val="0"/>
      <w:divBdr>
        <w:top w:val="none" w:sz="0" w:space="0" w:color="auto"/>
        <w:left w:val="none" w:sz="0" w:space="0" w:color="auto"/>
        <w:bottom w:val="none" w:sz="0" w:space="0" w:color="auto"/>
        <w:right w:val="none" w:sz="0" w:space="0" w:color="auto"/>
      </w:divBdr>
    </w:div>
    <w:div w:id="131488137">
      <w:bodyDiv w:val="1"/>
      <w:marLeft w:val="0"/>
      <w:marRight w:val="0"/>
      <w:marTop w:val="0"/>
      <w:marBottom w:val="0"/>
      <w:divBdr>
        <w:top w:val="none" w:sz="0" w:space="0" w:color="auto"/>
        <w:left w:val="none" w:sz="0" w:space="0" w:color="auto"/>
        <w:bottom w:val="none" w:sz="0" w:space="0" w:color="auto"/>
        <w:right w:val="none" w:sz="0" w:space="0" w:color="auto"/>
      </w:divBdr>
    </w:div>
    <w:div w:id="131605254">
      <w:bodyDiv w:val="1"/>
      <w:marLeft w:val="0"/>
      <w:marRight w:val="0"/>
      <w:marTop w:val="0"/>
      <w:marBottom w:val="0"/>
      <w:divBdr>
        <w:top w:val="none" w:sz="0" w:space="0" w:color="auto"/>
        <w:left w:val="none" w:sz="0" w:space="0" w:color="auto"/>
        <w:bottom w:val="none" w:sz="0" w:space="0" w:color="auto"/>
        <w:right w:val="none" w:sz="0" w:space="0" w:color="auto"/>
      </w:divBdr>
    </w:div>
    <w:div w:id="131943991">
      <w:bodyDiv w:val="1"/>
      <w:marLeft w:val="0"/>
      <w:marRight w:val="0"/>
      <w:marTop w:val="0"/>
      <w:marBottom w:val="0"/>
      <w:divBdr>
        <w:top w:val="none" w:sz="0" w:space="0" w:color="auto"/>
        <w:left w:val="none" w:sz="0" w:space="0" w:color="auto"/>
        <w:bottom w:val="none" w:sz="0" w:space="0" w:color="auto"/>
        <w:right w:val="none" w:sz="0" w:space="0" w:color="auto"/>
      </w:divBdr>
    </w:div>
    <w:div w:id="132067273">
      <w:bodyDiv w:val="1"/>
      <w:marLeft w:val="0"/>
      <w:marRight w:val="0"/>
      <w:marTop w:val="0"/>
      <w:marBottom w:val="0"/>
      <w:divBdr>
        <w:top w:val="none" w:sz="0" w:space="0" w:color="auto"/>
        <w:left w:val="none" w:sz="0" w:space="0" w:color="auto"/>
        <w:bottom w:val="none" w:sz="0" w:space="0" w:color="auto"/>
        <w:right w:val="none" w:sz="0" w:space="0" w:color="auto"/>
      </w:divBdr>
    </w:div>
    <w:div w:id="132724449">
      <w:bodyDiv w:val="1"/>
      <w:marLeft w:val="0"/>
      <w:marRight w:val="0"/>
      <w:marTop w:val="0"/>
      <w:marBottom w:val="0"/>
      <w:divBdr>
        <w:top w:val="none" w:sz="0" w:space="0" w:color="auto"/>
        <w:left w:val="none" w:sz="0" w:space="0" w:color="auto"/>
        <w:bottom w:val="none" w:sz="0" w:space="0" w:color="auto"/>
        <w:right w:val="none" w:sz="0" w:space="0" w:color="auto"/>
      </w:divBdr>
    </w:div>
    <w:div w:id="133065314">
      <w:bodyDiv w:val="1"/>
      <w:marLeft w:val="0"/>
      <w:marRight w:val="0"/>
      <w:marTop w:val="0"/>
      <w:marBottom w:val="0"/>
      <w:divBdr>
        <w:top w:val="none" w:sz="0" w:space="0" w:color="auto"/>
        <w:left w:val="none" w:sz="0" w:space="0" w:color="auto"/>
        <w:bottom w:val="none" w:sz="0" w:space="0" w:color="auto"/>
        <w:right w:val="none" w:sz="0" w:space="0" w:color="auto"/>
      </w:divBdr>
    </w:div>
    <w:div w:id="133257842">
      <w:bodyDiv w:val="1"/>
      <w:marLeft w:val="0"/>
      <w:marRight w:val="0"/>
      <w:marTop w:val="0"/>
      <w:marBottom w:val="0"/>
      <w:divBdr>
        <w:top w:val="none" w:sz="0" w:space="0" w:color="auto"/>
        <w:left w:val="none" w:sz="0" w:space="0" w:color="auto"/>
        <w:bottom w:val="none" w:sz="0" w:space="0" w:color="auto"/>
        <w:right w:val="none" w:sz="0" w:space="0" w:color="auto"/>
      </w:divBdr>
    </w:div>
    <w:div w:id="133329416">
      <w:bodyDiv w:val="1"/>
      <w:marLeft w:val="0"/>
      <w:marRight w:val="0"/>
      <w:marTop w:val="0"/>
      <w:marBottom w:val="0"/>
      <w:divBdr>
        <w:top w:val="none" w:sz="0" w:space="0" w:color="auto"/>
        <w:left w:val="none" w:sz="0" w:space="0" w:color="auto"/>
        <w:bottom w:val="none" w:sz="0" w:space="0" w:color="auto"/>
        <w:right w:val="none" w:sz="0" w:space="0" w:color="auto"/>
      </w:divBdr>
    </w:div>
    <w:div w:id="133373747">
      <w:bodyDiv w:val="1"/>
      <w:marLeft w:val="0"/>
      <w:marRight w:val="0"/>
      <w:marTop w:val="0"/>
      <w:marBottom w:val="0"/>
      <w:divBdr>
        <w:top w:val="none" w:sz="0" w:space="0" w:color="auto"/>
        <w:left w:val="none" w:sz="0" w:space="0" w:color="auto"/>
        <w:bottom w:val="none" w:sz="0" w:space="0" w:color="auto"/>
        <w:right w:val="none" w:sz="0" w:space="0" w:color="auto"/>
      </w:divBdr>
    </w:div>
    <w:div w:id="133521273">
      <w:bodyDiv w:val="1"/>
      <w:marLeft w:val="0"/>
      <w:marRight w:val="0"/>
      <w:marTop w:val="0"/>
      <w:marBottom w:val="0"/>
      <w:divBdr>
        <w:top w:val="none" w:sz="0" w:space="0" w:color="auto"/>
        <w:left w:val="none" w:sz="0" w:space="0" w:color="auto"/>
        <w:bottom w:val="none" w:sz="0" w:space="0" w:color="auto"/>
        <w:right w:val="none" w:sz="0" w:space="0" w:color="auto"/>
      </w:divBdr>
    </w:div>
    <w:div w:id="133910328">
      <w:bodyDiv w:val="1"/>
      <w:marLeft w:val="0"/>
      <w:marRight w:val="0"/>
      <w:marTop w:val="0"/>
      <w:marBottom w:val="0"/>
      <w:divBdr>
        <w:top w:val="none" w:sz="0" w:space="0" w:color="auto"/>
        <w:left w:val="none" w:sz="0" w:space="0" w:color="auto"/>
        <w:bottom w:val="none" w:sz="0" w:space="0" w:color="auto"/>
        <w:right w:val="none" w:sz="0" w:space="0" w:color="auto"/>
      </w:divBdr>
    </w:div>
    <w:div w:id="134640145">
      <w:bodyDiv w:val="1"/>
      <w:marLeft w:val="0"/>
      <w:marRight w:val="0"/>
      <w:marTop w:val="0"/>
      <w:marBottom w:val="0"/>
      <w:divBdr>
        <w:top w:val="none" w:sz="0" w:space="0" w:color="auto"/>
        <w:left w:val="none" w:sz="0" w:space="0" w:color="auto"/>
        <w:bottom w:val="none" w:sz="0" w:space="0" w:color="auto"/>
        <w:right w:val="none" w:sz="0" w:space="0" w:color="auto"/>
      </w:divBdr>
    </w:div>
    <w:div w:id="134880730">
      <w:bodyDiv w:val="1"/>
      <w:marLeft w:val="0"/>
      <w:marRight w:val="0"/>
      <w:marTop w:val="0"/>
      <w:marBottom w:val="0"/>
      <w:divBdr>
        <w:top w:val="none" w:sz="0" w:space="0" w:color="auto"/>
        <w:left w:val="none" w:sz="0" w:space="0" w:color="auto"/>
        <w:bottom w:val="none" w:sz="0" w:space="0" w:color="auto"/>
        <w:right w:val="none" w:sz="0" w:space="0" w:color="auto"/>
      </w:divBdr>
    </w:div>
    <w:div w:id="135295620">
      <w:bodyDiv w:val="1"/>
      <w:marLeft w:val="0"/>
      <w:marRight w:val="0"/>
      <w:marTop w:val="0"/>
      <w:marBottom w:val="0"/>
      <w:divBdr>
        <w:top w:val="none" w:sz="0" w:space="0" w:color="auto"/>
        <w:left w:val="none" w:sz="0" w:space="0" w:color="auto"/>
        <w:bottom w:val="none" w:sz="0" w:space="0" w:color="auto"/>
        <w:right w:val="none" w:sz="0" w:space="0" w:color="auto"/>
      </w:divBdr>
    </w:div>
    <w:div w:id="135879435">
      <w:bodyDiv w:val="1"/>
      <w:marLeft w:val="0"/>
      <w:marRight w:val="0"/>
      <w:marTop w:val="0"/>
      <w:marBottom w:val="0"/>
      <w:divBdr>
        <w:top w:val="none" w:sz="0" w:space="0" w:color="auto"/>
        <w:left w:val="none" w:sz="0" w:space="0" w:color="auto"/>
        <w:bottom w:val="none" w:sz="0" w:space="0" w:color="auto"/>
        <w:right w:val="none" w:sz="0" w:space="0" w:color="auto"/>
      </w:divBdr>
    </w:div>
    <w:div w:id="136848849">
      <w:bodyDiv w:val="1"/>
      <w:marLeft w:val="0"/>
      <w:marRight w:val="0"/>
      <w:marTop w:val="0"/>
      <w:marBottom w:val="0"/>
      <w:divBdr>
        <w:top w:val="none" w:sz="0" w:space="0" w:color="auto"/>
        <w:left w:val="none" w:sz="0" w:space="0" w:color="auto"/>
        <w:bottom w:val="none" w:sz="0" w:space="0" w:color="auto"/>
        <w:right w:val="none" w:sz="0" w:space="0" w:color="auto"/>
      </w:divBdr>
    </w:div>
    <w:div w:id="136998272">
      <w:bodyDiv w:val="1"/>
      <w:marLeft w:val="0"/>
      <w:marRight w:val="0"/>
      <w:marTop w:val="0"/>
      <w:marBottom w:val="0"/>
      <w:divBdr>
        <w:top w:val="none" w:sz="0" w:space="0" w:color="auto"/>
        <w:left w:val="none" w:sz="0" w:space="0" w:color="auto"/>
        <w:bottom w:val="none" w:sz="0" w:space="0" w:color="auto"/>
        <w:right w:val="none" w:sz="0" w:space="0" w:color="auto"/>
      </w:divBdr>
    </w:div>
    <w:div w:id="137041146">
      <w:bodyDiv w:val="1"/>
      <w:marLeft w:val="0"/>
      <w:marRight w:val="0"/>
      <w:marTop w:val="0"/>
      <w:marBottom w:val="0"/>
      <w:divBdr>
        <w:top w:val="none" w:sz="0" w:space="0" w:color="auto"/>
        <w:left w:val="none" w:sz="0" w:space="0" w:color="auto"/>
        <w:bottom w:val="none" w:sz="0" w:space="0" w:color="auto"/>
        <w:right w:val="none" w:sz="0" w:space="0" w:color="auto"/>
      </w:divBdr>
    </w:div>
    <w:div w:id="137115398">
      <w:bodyDiv w:val="1"/>
      <w:marLeft w:val="0"/>
      <w:marRight w:val="0"/>
      <w:marTop w:val="0"/>
      <w:marBottom w:val="0"/>
      <w:divBdr>
        <w:top w:val="none" w:sz="0" w:space="0" w:color="auto"/>
        <w:left w:val="none" w:sz="0" w:space="0" w:color="auto"/>
        <w:bottom w:val="none" w:sz="0" w:space="0" w:color="auto"/>
        <w:right w:val="none" w:sz="0" w:space="0" w:color="auto"/>
      </w:divBdr>
    </w:div>
    <w:div w:id="137845058">
      <w:bodyDiv w:val="1"/>
      <w:marLeft w:val="0"/>
      <w:marRight w:val="0"/>
      <w:marTop w:val="0"/>
      <w:marBottom w:val="0"/>
      <w:divBdr>
        <w:top w:val="none" w:sz="0" w:space="0" w:color="auto"/>
        <w:left w:val="none" w:sz="0" w:space="0" w:color="auto"/>
        <w:bottom w:val="none" w:sz="0" w:space="0" w:color="auto"/>
        <w:right w:val="none" w:sz="0" w:space="0" w:color="auto"/>
      </w:divBdr>
    </w:div>
    <w:div w:id="138496240">
      <w:bodyDiv w:val="1"/>
      <w:marLeft w:val="0"/>
      <w:marRight w:val="0"/>
      <w:marTop w:val="0"/>
      <w:marBottom w:val="0"/>
      <w:divBdr>
        <w:top w:val="none" w:sz="0" w:space="0" w:color="auto"/>
        <w:left w:val="none" w:sz="0" w:space="0" w:color="auto"/>
        <w:bottom w:val="none" w:sz="0" w:space="0" w:color="auto"/>
        <w:right w:val="none" w:sz="0" w:space="0" w:color="auto"/>
      </w:divBdr>
    </w:div>
    <w:div w:id="138574511">
      <w:bodyDiv w:val="1"/>
      <w:marLeft w:val="0"/>
      <w:marRight w:val="0"/>
      <w:marTop w:val="0"/>
      <w:marBottom w:val="0"/>
      <w:divBdr>
        <w:top w:val="none" w:sz="0" w:space="0" w:color="auto"/>
        <w:left w:val="none" w:sz="0" w:space="0" w:color="auto"/>
        <w:bottom w:val="none" w:sz="0" w:space="0" w:color="auto"/>
        <w:right w:val="none" w:sz="0" w:space="0" w:color="auto"/>
      </w:divBdr>
    </w:div>
    <w:div w:id="138770869">
      <w:bodyDiv w:val="1"/>
      <w:marLeft w:val="0"/>
      <w:marRight w:val="0"/>
      <w:marTop w:val="0"/>
      <w:marBottom w:val="0"/>
      <w:divBdr>
        <w:top w:val="none" w:sz="0" w:space="0" w:color="auto"/>
        <w:left w:val="none" w:sz="0" w:space="0" w:color="auto"/>
        <w:bottom w:val="none" w:sz="0" w:space="0" w:color="auto"/>
        <w:right w:val="none" w:sz="0" w:space="0" w:color="auto"/>
      </w:divBdr>
    </w:div>
    <w:div w:id="139004644">
      <w:bodyDiv w:val="1"/>
      <w:marLeft w:val="0"/>
      <w:marRight w:val="0"/>
      <w:marTop w:val="0"/>
      <w:marBottom w:val="0"/>
      <w:divBdr>
        <w:top w:val="none" w:sz="0" w:space="0" w:color="auto"/>
        <w:left w:val="none" w:sz="0" w:space="0" w:color="auto"/>
        <w:bottom w:val="none" w:sz="0" w:space="0" w:color="auto"/>
        <w:right w:val="none" w:sz="0" w:space="0" w:color="auto"/>
      </w:divBdr>
    </w:div>
    <w:div w:id="139075914">
      <w:bodyDiv w:val="1"/>
      <w:marLeft w:val="0"/>
      <w:marRight w:val="0"/>
      <w:marTop w:val="0"/>
      <w:marBottom w:val="0"/>
      <w:divBdr>
        <w:top w:val="none" w:sz="0" w:space="0" w:color="auto"/>
        <w:left w:val="none" w:sz="0" w:space="0" w:color="auto"/>
        <w:bottom w:val="none" w:sz="0" w:space="0" w:color="auto"/>
        <w:right w:val="none" w:sz="0" w:space="0" w:color="auto"/>
      </w:divBdr>
    </w:div>
    <w:div w:id="139395304">
      <w:bodyDiv w:val="1"/>
      <w:marLeft w:val="0"/>
      <w:marRight w:val="0"/>
      <w:marTop w:val="0"/>
      <w:marBottom w:val="0"/>
      <w:divBdr>
        <w:top w:val="none" w:sz="0" w:space="0" w:color="auto"/>
        <w:left w:val="none" w:sz="0" w:space="0" w:color="auto"/>
        <w:bottom w:val="none" w:sz="0" w:space="0" w:color="auto"/>
        <w:right w:val="none" w:sz="0" w:space="0" w:color="auto"/>
      </w:divBdr>
    </w:div>
    <w:div w:id="139687528">
      <w:bodyDiv w:val="1"/>
      <w:marLeft w:val="0"/>
      <w:marRight w:val="0"/>
      <w:marTop w:val="0"/>
      <w:marBottom w:val="0"/>
      <w:divBdr>
        <w:top w:val="none" w:sz="0" w:space="0" w:color="auto"/>
        <w:left w:val="none" w:sz="0" w:space="0" w:color="auto"/>
        <w:bottom w:val="none" w:sz="0" w:space="0" w:color="auto"/>
        <w:right w:val="none" w:sz="0" w:space="0" w:color="auto"/>
      </w:divBdr>
    </w:div>
    <w:div w:id="140540886">
      <w:bodyDiv w:val="1"/>
      <w:marLeft w:val="0"/>
      <w:marRight w:val="0"/>
      <w:marTop w:val="0"/>
      <w:marBottom w:val="0"/>
      <w:divBdr>
        <w:top w:val="none" w:sz="0" w:space="0" w:color="auto"/>
        <w:left w:val="none" w:sz="0" w:space="0" w:color="auto"/>
        <w:bottom w:val="none" w:sz="0" w:space="0" w:color="auto"/>
        <w:right w:val="none" w:sz="0" w:space="0" w:color="auto"/>
      </w:divBdr>
    </w:div>
    <w:div w:id="140850733">
      <w:bodyDiv w:val="1"/>
      <w:marLeft w:val="0"/>
      <w:marRight w:val="0"/>
      <w:marTop w:val="0"/>
      <w:marBottom w:val="0"/>
      <w:divBdr>
        <w:top w:val="none" w:sz="0" w:space="0" w:color="auto"/>
        <w:left w:val="none" w:sz="0" w:space="0" w:color="auto"/>
        <w:bottom w:val="none" w:sz="0" w:space="0" w:color="auto"/>
        <w:right w:val="none" w:sz="0" w:space="0" w:color="auto"/>
      </w:divBdr>
    </w:div>
    <w:div w:id="141044696">
      <w:bodyDiv w:val="1"/>
      <w:marLeft w:val="0"/>
      <w:marRight w:val="0"/>
      <w:marTop w:val="0"/>
      <w:marBottom w:val="0"/>
      <w:divBdr>
        <w:top w:val="none" w:sz="0" w:space="0" w:color="auto"/>
        <w:left w:val="none" w:sz="0" w:space="0" w:color="auto"/>
        <w:bottom w:val="none" w:sz="0" w:space="0" w:color="auto"/>
        <w:right w:val="none" w:sz="0" w:space="0" w:color="auto"/>
      </w:divBdr>
    </w:div>
    <w:div w:id="141318889">
      <w:bodyDiv w:val="1"/>
      <w:marLeft w:val="0"/>
      <w:marRight w:val="0"/>
      <w:marTop w:val="0"/>
      <w:marBottom w:val="0"/>
      <w:divBdr>
        <w:top w:val="none" w:sz="0" w:space="0" w:color="auto"/>
        <w:left w:val="none" w:sz="0" w:space="0" w:color="auto"/>
        <w:bottom w:val="none" w:sz="0" w:space="0" w:color="auto"/>
        <w:right w:val="none" w:sz="0" w:space="0" w:color="auto"/>
      </w:divBdr>
    </w:div>
    <w:div w:id="141432436">
      <w:bodyDiv w:val="1"/>
      <w:marLeft w:val="0"/>
      <w:marRight w:val="0"/>
      <w:marTop w:val="0"/>
      <w:marBottom w:val="0"/>
      <w:divBdr>
        <w:top w:val="none" w:sz="0" w:space="0" w:color="auto"/>
        <w:left w:val="none" w:sz="0" w:space="0" w:color="auto"/>
        <w:bottom w:val="none" w:sz="0" w:space="0" w:color="auto"/>
        <w:right w:val="none" w:sz="0" w:space="0" w:color="auto"/>
      </w:divBdr>
    </w:div>
    <w:div w:id="141584922">
      <w:bodyDiv w:val="1"/>
      <w:marLeft w:val="0"/>
      <w:marRight w:val="0"/>
      <w:marTop w:val="0"/>
      <w:marBottom w:val="0"/>
      <w:divBdr>
        <w:top w:val="none" w:sz="0" w:space="0" w:color="auto"/>
        <w:left w:val="none" w:sz="0" w:space="0" w:color="auto"/>
        <w:bottom w:val="none" w:sz="0" w:space="0" w:color="auto"/>
        <w:right w:val="none" w:sz="0" w:space="0" w:color="auto"/>
      </w:divBdr>
    </w:div>
    <w:div w:id="141851296">
      <w:bodyDiv w:val="1"/>
      <w:marLeft w:val="0"/>
      <w:marRight w:val="0"/>
      <w:marTop w:val="0"/>
      <w:marBottom w:val="0"/>
      <w:divBdr>
        <w:top w:val="none" w:sz="0" w:space="0" w:color="auto"/>
        <w:left w:val="none" w:sz="0" w:space="0" w:color="auto"/>
        <w:bottom w:val="none" w:sz="0" w:space="0" w:color="auto"/>
        <w:right w:val="none" w:sz="0" w:space="0" w:color="auto"/>
      </w:divBdr>
    </w:div>
    <w:div w:id="141967320">
      <w:bodyDiv w:val="1"/>
      <w:marLeft w:val="0"/>
      <w:marRight w:val="0"/>
      <w:marTop w:val="0"/>
      <w:marBottom w:val="0"/>
      <w:divBdr>
        <w:top w:val="none" w:sz="0" w:space="0" w:color="auto"/>
        <w:left w:val="none" w:sz="0" w:space="0" w:color="auto"/>
        <w:bottom w:val="none" w:sz="0" w:space="0" w:color="auto"/>
        <w:right w:val="none" w:sz="0" w:space="0" w:color="auto"/>
      </w:divBdr>
    </w:div>
    <w:div w:id="142478082">
      <w:bodyDiv w:val="1"/>
      <w:marLeft w:val="0"/>
      <w:marRight w:val="0"/>
      <w:marTop w:val="0"/>
      <w:marBottom w:val="0"/>
      <w:divBdr>
        <w:top w:val="none" w:sz="0" w:space="0" w:color="auto"/>
        <w:left w:val="none" w:sz="0" w:space="0" w:color="auto"/>
        <w:bottom w:val="none" w:sz="0" w:space="0" w:color="auto"/>
        <w:right w:val="none" w:sz="0" w:space="0" w:color="auto"/>
      </w:divBdr>
    </w:div>
    <w:div w:id="144051159">
      <w:bodyDiv w:val="1"/>
      <w:marLeft w:val="0"/>
      <w:marRight w:val="0"/>
      <w:marTop w:val="0"/>
      <w:marBottom w:val="0"/>
      <w:divBdr>
        <w:top w:val="none" w:sz="0" w:space="0" w:color="auto"/>
        <w:left w:val="none" w:sz="0" w:space="0" w:color="auto"/>
        <w:bottom w:val="none" w:sz="0" w:space="0" w:color="auto"/>
        <w:right w:val="none" w:sz="0" w:space="0" w:color="auto"/>
      </w:divBdr>
    </w:div>
    <w:div w:id="144511471">
      <w:bodyDiv w:val="1"/>
      <w:marLeft w:val="0"/>
      <w:marRight w:val="0"/>
      <w:marTop w:val="0"/>
      <w:marBottom w:val="0"/>
      <w:divBdr>
        <w:top w:val="none" w:sz="0" w:space="0" w:color="auto"/>
        <w:left w:val="none" w:sz="0" w:space="0" w:color="auto"/>
        <w:bottom w:val="none" w:sz="0" w:space="0" w:color="auto"/>
        <w:right w:val="none" w:sz="0" w:space="0" w:color="auto"/>
      </w:divBdr>
    </w:div>
    <w:div w:id="144860577">
      <w:bodyDiv w:val="1"/>
      <w:marLeft w:val="0"/>
      <w:marRight w:val="0"/>
      <w:marTop w:val="0"/>
      <w:marBottom w:val="0"/>
      <w:divBdr>
        <w:top w:val="none" w:sz="0" w:space="0" w:color="auto"/>
        <w:left w:val="none" w:sz="0" w:space="0" w:color="auto"/>
        <w:bottom w:val="none" w:sz="0" w:space="0" w:color="auto"/>
        <w:right w:val="none" w:sz="0" w:space="0" w:color="auto"/>
      </w:divBdr>
    </w:div>
    <w:div w:id="146287002">
      <w:bodyDiv w:val="1"/>
      <w:marLeft w:val="0"/>
      <w:marRight w:val="0"/>
      <w:marTop w:val="0"/>
      <w:marBottom w:val="0"/>
      <w:divBdr>
        <w:top w:val="none" w:sz="0" w:space="0" w:color="auto"/>
        <w:left w:val="none" w:sz="0" w:space="0" w:color="auto"/>
        <w:bottom w:val="none" w:sz="0" w:space="0" w:color="auto"/>
        <w:right w:val="none" w:sz="0" w:space="0" w:color="auto"/>
      </w:divBdr>
    </w:div>
    <w:div w:id="146359084">
      <w:bodyDiv w:val="1"/>
      <w:marLeft w:val="0"/>
      <w:marRight w:val="0"/>
      <w:marTop w:val="0"/>
      <w:marBottom w:val="0"/>
      <w:divBdr>
        <w:top w:val="none" w:sz="0" w:space="0" w:color="auto"/>
        <w:left w:val="none" w:sz="0" w:space="0" w:color="auto"/>
        <w:bottom w:val="none" w:sz="0" w:space="0" w:color="auto"/>
        <w:right w:val="none" w:sz="0" w:space="0" w:color="auto"/>
      </w:divBdr>
    </w:div>
    <w:div w:id="146556498">
      <w:bodyDiv w:val="1"/>
      <w:marLeft w:val="0"/>
      <w:marRight w:val="0"/>
      <w:marTop w:val="0"/>
      <w:marBottom w:val="0"/>
      <w:divBdr>
        <w:top w:val="none" w:sz="0" w:space="0" w:color="auto"/>
        <w:left w:val="none" w:sz="0" w:space="0" w:color="auto"/>
        <w:bottom w:val="none" w:sz="0" w:space="0" w:color="auto"/>
        <w:right w:val="none" w:sz="0" w:space="0" w:color="auto"/>
      </w:divBdr>
    </w:div>
    <w:div w:id="146631543">
      <w:bodyDiv w:val="1"/>
      <w:marLeft w:val="0"/>
      <w:marRight w:val="0"/>
      <w:marTop w:val="0"/>
      <w:marBottom w:val="0"/>
      <w:divBdr>
        <w:top w:val="none" w:sz="0" w:space="0" w:color="auto"/>
        <w:left w:val="none" w:sz="0" w:space="0" w:color="auto"/>
        <w:bottom w:val="none" w:sz="0" w:space="0" w:color="auto"/>
        <w:right w:val="none" w:sz="0" w:space="0" w:color="auto"/>
      </w:divBdr>
    </w:div>
    <w:div w:id="146746252">
      <w:bodyDiv w:val="1"/>
      <w:marLeft w:val="0"/>
      <w:marRight w:val="0"/>
      <w:marTop w:val="0"/>
      <w:marBottom w:val="0"/>
      <w:divBdr>
        <w:top w:val="none" w:sz="0" w:space="0" w:color="auto"/>
        <w:left w:val="none" w:sz="0" w:space="0" w:color="auto"/>
        <w:bottom w:val="none" w:sz="0" w:space="0" w:color="auto"/>
        <w:right w:val="none" w:sz="0" w:space="0" w:color="auto"/>
      </w:divBdr>
    </w:div>
    <w:div w:id="146747217">
      <w:bodyDiv w:val="1"/>
      <w:marLeft w:val="0"/>
      <w:marRight w:val="0"/>
      <w:marTop w:val="0"/>
      <w:marBottom w:val="0"/>
      <w:divBdr>
        <w:top w:val="none" w:sz="0" w:space="0" w:color="auto"/>
        <w:left w:val="none" w:sz="0" w:space="0" w:color="auto"/>
        <w:bottom w:val="none" w:sz="0" w:space="0" w:color="auto"/>
        <w:right w:val="none" w:sz="0" w:space="0" w:color="auto"/>
      </w:divBdr>
    </w:div>
    <w:div w:id="146898318">
      <w:bodyDiv w:val="1"/>
      <w:marLeft w:val="0"/>
      <w:marRight w:val="0"/>
      <w:marTop w:val="0"/>
      <w:marBottom w:val="0"/>
      <w:divBdr>
        <w:top w:val="none" w:sz="0" w:space="0" w:color="auto"/>
        <w:left w:val="none" w:sz="0" w:space="0" w:color="auto"/>
        <w:bottom w:val="none" w:sz="0" w:space="0" w:color="auto"/>
        <w:right w:val="none" w:sz="0" w:space="0" w:color="auto"/>
      </w:divBdr>
    </w:div>
    <w:div w:id="147287402">
      <w:bodyDiv w:val="1"/>
      <w:marLeft w:val="0"/>
      <w:marRight w:val="0"/>
      <w:marTop w:val="0"/>
      <w:marBottom w:val="0"/>
      <w:divBdr>
        <w:top w:val="none" w:sz="0" w:space="0" w:color="auto"/>
        <w:left w:val="none" w:sz="0" w:space="0" w:color="auto"/>
        <w:bottom w:val="none" w:sz="0" w:space="0" w:color="auto"/>
        <w:right w:val="none" w:sz="0" w:space="0" w:color="auto"/>
      </w:divBdr>
    </w:div>
    <w:div w:id="148062740">
      <w:bodyDiv w:val="1"/>
      <w:marLeft w:val="0"/>
      <w:marRight w:val="0"/>
      <w:marTop w:val="0"/>
      <w:marBottom w:val="0"/>
      <w:divBdr>
        <w:top w:val="none" w:sz="0" w:space="0" w:color="auto"/>
        <w:left w:val="none" w:sz="0" w:space="0" w:color="auto"/>
        <w:bottom w:val="none" w:sz="0" w:space="0" w:color="auto"/>
        <w:right w:val="none" w:sz="0" w:space="0" w:color="auto"/>
      </w:divBdr>
    </w:div>
    <w:div w:id="148209223">
      <w:bodyDiv w:val="1"/>
      <w:marLeft w:val="0"/>
      <w:marRight w:val="0"/>
      <w:marTop w:val="0"/>
      <w:marBottom w:val="0"/>
      <w:divBdr>
        <w:top w:val="none" w:sz="0" w:space="0" w:color="auto"/>
        <w:left w:val="none" w:sz="0" w:space="0" w:color="auto"/>
        <w:bottom w:val="none" w:sz="0" w:space="0" w:color="auto"/>
        <w:right w:val="none" w:sz="0" w:space="0" w:color="auto"/>
      </w:divBdr>
    </w:div>
    <w:div w:id="148517270">
      <w:bodyDiv w:val="1"/>
      <w:marLeft w:val="0"/>
      <w:marRight w:val="0"/>
      <w:marTop w:val="0"/>
      <w:marBottom w:val="0"/>
      <w:divBdr>
        <w:top w:val="none" w:sz="0" w:space="0" w:color="auto"/>
        <w:left w:val="none" w:sz="0" w:space="0" w:color="auto"/>
        <w:bottom w:val="none" w:sz="0" w:space="0" w:color="auto"/>
        <w:right w:val="none" w:sz="0" w:space="0" w:color="auto"/>
      </w:divBdr>
    </w:div>
    <w:div w:id="148600838">
      <w:bodyDiv w:val="1"/>
      <w:marLeft w:val="0"/>
      <w:marRight w:val="0"/>
      <w:marTop w:val="0"/>
      <w:marBottom w:val="0"/>
      <w:divBdr>
        <w:top w:val="none" w:sz="0" w:space="0" w:color="auto"/>
        <w:left w:val="none" w:sz="0" w:space="0" w:color="auto"/>
        <w:bottom w:val="none" w:sz="0" w:space="0" w:color="auto"/>
        <w:right w:val="none" w:sz="0" w:space="0" w:color="auto"/>
      </w:divBdr>
    </w:div>
    <w:div w:id="150340304">
      <w:bodyDiv w:val="1"/>
      <w:marLeft w:val="0"/>
      <w:marRight w:val="0"/>
      <w:marTop w:val="0"/>
      <w:marBottom w:val="0"/>
      <w:divBdr>
        <w:top w:val="none" w:sz="0" w:space="0" w:color="auto"/>
        <w:left w:val="none" w:sz="0" w:space="0" w:color="auto"/>
        <w:bottom w:val="none" w:sz="0" w:space="0" w:color="auto"/>
        <w:right w:val="none" w:sz="0" w:space="0" w:color="auto"/>
      </w:divBdr>
    </w:div>
    <w:div w:id="150408197">
      <w:bodyDiv w:val="1"/>
      <w:marLeft w:val="0"/>
      <w:marRight w:val="0"/>
      <w:marTop w:val="0"/>
      <w:marBottom w:val="0"/>
      <w:divBdr>
        <w:top w:val="none" w:sz="0" w:space="0" w:color="auto"/>
        <w:left w:val="none" w:sz="0" w:space="0" w:color="auto"/>
        <w:bottom w:val="none" w:sz="0" w:space="0" w:color="auto"/>
        <w:right w:val="none" w:sz="0" w:space="0" w:color="auto"/>
      </w:divBdr>
    </w:div>
    <w:div w:id="150413766">
      <w:bodyDiv w:val="1"/>
      <w:marLeft w:val="0"/>
      <w:marRight w:val="0"/>
      <w:marTop w:val="0"/>
      <w:marBottom w:val="0"/>
      <w:divBdr>
        <w:top w:val="none" w:sz="0" w:space="0" w:color="auto"/>
        <w:left w:val="none" w:sz="0" w:space="0" w:color="auto"/>
        <w:bottom w:val="none" w:sz="0" w:space="0" w:color="auto"/>
        <w:right w:val="none" w:sz="0" w:space="0" w:color="auto"/>
      </w:divBdr>
    </w:div>
    <w:div w:id="150416030">
      <w:bodyDiv w:val="1"/>
      <w:marLeft w:val="0"/>
      <w:marRight w:val="0"/>
      <w:marTop w:val="0"/>
      <w:marBottom w:val="0"/>
      <w:divBdr>
        <w:top w:val="none" w:sz="0" w:space="0" w:color="auto"/>
        <w:left w:val="none" w:sz="0" w:space="0" w:color="auto"/>
        <w:bottom w:val="none" w:sz="0" w:space="0" w:color="auto"/>
        <w:right w:val="none" w:sz="0" w:space="0" w:color="auto"/>
      </w:divBdr>
    </w:div>
    <w:div w:id="150417094">
      <w:bodyDiv w:val="1"/>
      <w:marLeft w:val="0"/>
      <w:marRight w:val="0"/>
      <w:marTop w:val="0"/>
      <w:marBottom w:val="0"/>
      <w:divBdr>
        <w:top w:val="none" w:sz="0" w:space="0" w:color="auto"/>
        <w:left w:val="none" w:sz="0" w:space="0" w:color="auto"/>
        <w:bottom w:val="none" w:sz="0" w:space="0" w:color="auto"/>
        <w:right w:val="none" w:sz="0" w:space="0" w:color="auto"/>
      </w:divBdr>
    </w:div>
    <w:div w:id="151257575">
      <w:bodyDiv w:val="1"/>
      <w:marLeft w:val="0"/>
      <w:marRight w:val="0"/>
      <w:marTop w:val="0"/>
      <w:marBottom w:val="0"/>
      <w:divBdr>
        <w:top w:val="none" w:sz="0" w:space="0" w:color="auto"/>
        <w:left w:val="none" w:sz="0" w:space="0" w:color="auto"/>
        <w:bottom w:val="none" w:sz="0" w:space="0" w:color="auto"/>
        <w:right w:val="none" w:sz="0" w:space="0" w:color="auto"/>
      </w:divBdr>
    </w:div>
    <w:div w:id="151337831">
      <w:bodyDiv w:val="1"/>
      <w:marLeft w:val="0"/>
      <w:marRight w:val="0"/>
      <w:marTop w:val="0"/>
      <w:marBottom w:val="0"/>
      <w:divBdr>
        <w:top w:val="none" w:sz="0" w:space="0" w:color="auto"/>
        <w:left w:val="none" w:sz="0" w:space="0" w:color="auto"/>
        <w:bottom w:val="none" w:sz="0" w:space="0" w:color="auto"/>
        <w:right w:val="none" w:sz="0" w:space="0" w:color="auto"/>
      </w:divBdr>
    </w:div>
    <w:div w:id="151458965">
      <w:bodyDiv w:val="1"/>
      <w:marLeft w:val="0"/>
      <w:marRight w:val="0"/>
      <w:marTop w:val="0"/>
      <w:marBottom w:val="0"/>
      <w:divBdr>
        <w:top w:val="none" w:sz="0" w:space="0" w:color="auto"/>
        <w:left w:val="none" w:sz="0" w:space="0" w:color="auto"/>
        <w:bottom w:val="none" w:sz="0" w:space="0" w:color="auto"/>
        <w:right w:val="none" w:sz="0" w:space="0" w:color="auto"/>
      </w:divBdr>
    </w:div>
    <w:div w:id="151919845">
      <w:bodyDiv w:val="1"/>
      <w:marLeft w:val="0"/>
      <w:marRight w:val="0"/>
      <w:marTop w:val="0"/>
      <w:marBottom w:val="0"/>
      <w:divBdr>
        <w:top w:val="none" w:sz="0" w:space="0" w:color="auto"/>
        <w:left w:val="none" w:sz="0" w:space="0" w:color="auto"/>
        <w:bottom w:val="none" w:sz="0" w:space="0" w:color="auto"/>
        <w:right w:val="none" w:sz="0" w:space="0" w:color="auto"/>
      </w:divBdr>
    </w:div>
    <w:div w:id="152109616">
      <w:bodyDiv w:val="1"/>
      <w:marLeft w:val="0"/>
      <w:marRight w:val="0"/>
      <w:marTop w:val="0"/>
      <w:marBottom w:val="0"/>
      <w:divBdr>
        <w:top w:val="none" w:sz="0" w:space="0" w:color="auto"/>
        <w:left w:val="none" w:sz="0" w:space="0" w:color="auto"/>
        <w:bottom w:val="none" w:sz="0" w:space="0" w:color="auto"/>
        <w:right w:val="none" w:sz="0" w:space="0" w:color="auto"/>
      </w:divBdr>
    </w:div>
    <w:div w:id="152651220">
      <w:bodyDiv w:val="1"/>
      <w:marLeft w:val="0"/>
      <w:marRight w:val="0"/>
      <w:marTop w:val="0"/>
      <w:marBottom w:val="0"/>
      <w:divBdr>
        <w:top w:val="none" w:sz="0" w:space="0" w:color="auto"/>
        <w:left w:val="none" w:sz="0" w:space="0" w:color="auto"/>
        <w:bottom w:val="none" w:sz="0" w:space="0" w:color="auto"/>
        <w:right w:val="none" w:sz="0" w:space="0" w:color="auto"/>
      </w:divBdr>
    </w:div>
    <w:div w:id="152918184">
      <w:bodyDiv w:val="1"/>
      <w:marLeft w:val="0"/>
      <w:marRight w:val="0"/>
      <w:marTop w:val="0"/>
      <w:marBottom w:val="0"/>
      <w:divBdr>
        <w:top w:val="none" w:sz="0" w:space="0" w:color="auto"/>
        <w:left w:val="none" w:sz="0" w:space="0" w:color="auto"/>
        <w:bottom w:val="none" w:sz="0" w:space="0" w:color="auto"/>
        <w:right w:val="none" w:sz="0" w:space="0" w:color="auto"/>
      </w:divBdr>
    </w:div>
    <w:div w:id="153032054">
      <w:bodyDiv w:val="1"/>
      <w:marLeft w:val="0"/>
      <w:marRight w:val="0"/>
      <w:marTop w:val="0"/>
      <w:marBottom w:val="0"/>
      <w:divBdr>
        <w:top w:val="none" w:sz="0" w:space="0" w:color="auto"/>
        <w:left w:val="none" w:sz="0" w:space="0" w:color="auto"/>
        <w:bottom w:val="none" w:sz="0" w:space="0" w:color="auto"/>
        <w:right w:val="none" w:sz="0" w:space="0" w:color="auto"/>
      </w:divBdr>
    </w:div>
    <w:div w:id="153228828">
      <w:bodyDiv w:val="1"/>
      <w:marLeft w:val="0"/>
      <w:marRight w:val="0"/>
      <w:marTop w:val="0"/>
      <w:marBottom w:val="0"/>
      <w:divBdr>
        <w:top w:val="none" w:sz="0" w:space="0" w:color="auto"/>
        <w:left w:val="none" w:sz="0" w:space="0" w:color="auto"/>
        <w:bottom w:val="none" w:sz="0" w:space="0" w:color="auto"/>
        <w:right w:val="none" w:sz="0" w:space="0" w:color="auto"/>
      </w:divBdr>
    </w:div>
    <w:div w:id="153643767">
      <w:bodyDiv w:val="1"/>
      <w:marLeft w:val="0"/>
      <w:marRight w:val="0"/>
      <w:marTop w:val="0"/>
      <w:marBottom w:val="0"/>
      <w:divBdr>
        <w:top w:val="none" w:sz="0" w:space="0" w:color="auto"/>
        <w:left w:val="none" w:sz="0" w:space="0" w:color="auto"/>
        <w:bottom w:val="none" w:sz="0" w:space="0" w:color="auto"/>
        <w:right w:val="none" w:sz="0" w:space="0" w:color="auto"/>
      </w:divBdr>
    </w:div>
    <w:div w:id="153648872">
      <w:bodyDiv w:val="1"/>
      <w:marLeft w:val="0"/>
      <w:marRight w:val="0"/>
      <w:marTop w:val="0"/>
      <w:marBottom w:val="0"/>
      <w:divBdr>
        <w:top w:val="none" w:sz="0" w:space="0" w:color="auto"/>
        <w:left w:val="none" w:sz="0" w:space="0" w:color="auto"/>
        <w:bottom w:val="none" w:sz="0" w:space="0" w:color="auto"/>
        <w:right w:val="none" w:sz="0" w:space="0" w:color="auto"/>
      </w:divBdr>
    </w:div>
    <w:div w:id="153837402">
      <w:bodyDiv w:val="1"/>
      <w:marLeft w:val="0"/>
      <w:marRight w:val="0"/>
      <w:marTop w:val="0"/>
      <w:marBottom w:val="0"/>
      <w:divBdr>
        <w:top w:val="none" w:sz="0" w:space="0" w:color="auto"/>
        <w:left w:val="none" w:sz="0" w:space="0" w:color="auto"/>
        <w:bottom w:val="none" w:sz="0" w:space="0" w:color="auto"/>
        <w:right w:val="none" w:sz="0" w:space="0" w:color="auto"/>
      </w:divBdr>
    </w:div>
    <w:div w:id="154149582">
      <w:bodyDiv w:val="1"/>
      <w:marLeft w:val="0"/>
      <w:marRight w:val="0"/>
      <w:marTop w:val="0"/>
      <w:marBottom w:val="0"/>
      <w:divBdr>
        <w:top w:val="none" w:sz="0" w:space="0" w:color="auto"/>
        <w:left w:val="none" w:sz="0" w:space="0" w:color="auto"/>
        <w:bottom w:val="none" w:sz="0" w:space="0" w:color="auto"/>
        <w:right w:val="none" w:sz="0" w:space="0" w:color="auto"/>
      </w:divBdr>
    </w:div>
    <w:div w:id="154229656">
      <w:bodyDiv w:val="1"/>
      <w:marLeft w:val="0"/>
      <w:marRight w:val="0"/>
      <w:marTop w:val="0"/>
      <w:marBottom w:val="0"/>
      <w:divBdr>
        <w:top w:val="none" w:sz="0" w:space="0" w:color="auto"/>
        <w:left w:val="none" w:sz="0" w:space="0" w:color="auto"/>
        <w:bottom w:val="none" w:sz="0" w:space="0" w:color="auto"/>
        <w:right w:val="none" w:sz="0" w:space="0" w:color="auto"/>
      </w:divBdr>
    </w:div>
    <w:div w:id="155849158">
      <w:bodyDiv w:val="1"/>
      <w:marLeft w:val="0"/>
      <w:marRight w:val="0"/>
      <w:marTop w:val="0"/>
      <w:marBottom w:val="0"/>
      <w:divBdr>
        <w:top w:val="none" w:sz="0" w:space="0" w:color="auto"/>
        <w:left w:val="none" w:sz="0" w:space="0" w:color="auto"/>
        <w:bottom w:val="none" w:sz="0" w:space="0" w:color="auto"/>
        <w:right w:val="none" w:sz="0" w:space="0" w:color="auto"/>
      </w:divBdr>
    </w:div>
    <w:div w:id="156581638">
      <w:bodyDiv w:val="1"/>
      <w:marLeft w:val="0"/>
      <w:marRight w:val="0"/>
      <w:marTop w:val="0"/>
      <w:marBottom w:val="0"/>
      <w:divBdr>
        <w:top w:val="none" w:sz="0" w:space="0" w:color="auto"/>
        <w:left w:val="none" w:sz="0" w:space="0" w:color="auto"/>
        <w:bottom w:val="none" w:sz="0" w:space="0" w:color="auto"/>
        <w:right w:val="none" w:sz="0" w:space="0" w:color="auto"/>
      </w:divBdr>
    </w:div>
    <w:div w:id="156655568">
      <w:bodyDiv w:val="1"/>
      <w:marLeft w:val="0"/>
      <w:marRight w:val="0"/>
      <w:marTop w:val="0"/>
      <w:marBottom w:val="0"/>
      <w:divBdr>
        <w:top w:val="none" w:sz="0" w:space="0" w:color="auto"/>
        <w:left w:val="none" w:sz="0" w:space="0" w:color="auto"/>
        <w:bottom w:val="none" w:sz="0" w:space="0" w:color="auto"/>
        <w:right w:val="none" w:sz="0" w:space="0" w:color="auto"/>
      </w:divBdr>
    </w:div>
    <w:div w:id="156843489">
      <w:bodyDiv w:val="1"/>
      <w:marLeft w:val="0"/>
      <w:marRight w:val="0"/>
      <w:marTop w:val="0"/>
      <w:marBottom w:val="0"/>
      <w:divBdr>
        <w:top w:val="none" w:sz="0" w:space="0" w:color="auto"/>
        <w:left w:val="none" w:sz="0" w:space="0" w:color="auto"/>
        <w:bottom w:val="none" w:sz="0" w:space="0" w:color="auto"/>
        <w:right w:val="none" w:sz="0" w:space="0" w:color="auto"/>
      </w:divBdr>
    </w:div>
    <w:div w:id="156962431">
      <w:bodyDiv w:val="1"/>
      <w:marLeft w:val="0"/>
      <w:marRight w:val="0"/>
      <w:marTop w:val="0"/>
      <w:marBottom w:val="0"/>
      <w:divBdr>
        <w:top w:val="none" w:sz="0" w:space="0" w:color="auto"/>
        <w:left w:val="none" w:sz="0" w:space="0" w:color="auto"/>
        <w:bottom w:val="none" w:sz="0" w:space="0" w:color="auto"/>
        <w:right w:val="none" w:sz="0" w:space="0" w:color="auto"/>
      </w:divBdr>
    </w:div>
    <w:div w:id="157044403">
      <w:bodyDiv w:val="1"/>
      <w:marLeft w:val="0"/>
      <w:marRight w:val="0"/>
      <w:marTop w:val="0"/>
      <w:marBottom w:val="0"/>
      <w:divBdr>
        <w:top w:val="none" w:sz="0" w:space="0" w:color="auto"/>
        <w:left w:val="none" w:sz="0" w:space="0" w:color="auto"/>
        <w:bottom w:val="none" w:sz="0" w:space="0" w:color="auto"/>
        <w:right w:val="none" w:sz="0" w:space="0" w:color="auto"/>
      </w:divBdr>
    </w:div>
    <w:div w:id="157117849">
      <w:bodyDiv w:val="1"/>
      <w:marLeft w:val="0"/>
      <w:marRight w:val="0"/>
      <w:marTop w:val="0"/>
      <w:marBottom w:val="0"/>
      <w:divBdr>
        <w:top w:val="none" w:sz="0" w:space="0" w:color="auto"/>
        <w:left w:val="none" w:sz="0" w:space="0" w:color="auto"/>
        <w:bottom w:val="none" w:sz="0" w:space="0" w:color="auto"/>
        <w:right w:val="none" w:sz="0" w:space="0" w:color="auto"/>
      </w:divBdr>
    </w:div>
    <w:div w:id="157305879">
      <w:bodyDiv w:val="1"/>
      <w:marLeft w:val="0"/>
      <w:marRight w:val="0"/>
      <w:marTop w:val="0"/>
      <w:marBottom w:val="0"/>
      <w:divBdr>
        <w:top w:val="none" w:sz="0" w:space="0" w:color="auto"/>
        <w:left w:val="none" w:sz="0" w:space="0" w:color="auto"/>
        <w:bottom w:val="none" w:sz="0" w:space="0" w:color="auto"/>
        <w:right w:val="none" w:sz="0" w:space="0" w:color="auto"/>
      </w:divBdr>
    </w:div>
    <w:div w:id="157620020">
      <w:bodyDiv w:val="1"/>
      <w:marLeft w:val="0"/>
      <w:marRight w:val="0"/>
      <w:marTop w:val="0"/>
      <w:marBottom w:val="0"/>
      <w:divBdr>
        <w:top w:val="none" w:sz="0" w:space="0" w:color="auto"/>
        <w:left w:val="none" w:sz="0" w:space="0" w:color="auto"/>
        <w:bottom w:val="none" w:sz="0" w:space="0" w:color="auto"/>
        <w:right w:val="none" w:sz="0" w:space="0" w:color="auto"/>
      </w:divBdr>
    </w:div>
    <w:div w:id="157620420">
      <w:bodyDiv w:val="1"/>
      <w:marLeft w:val="0"/>
      <w:marRight w:val="0"/>
      <w:marTop w:val="0"/>
      <w:marBottom w:val="0"/>
      <w:divBdr>
        <w:top w:val="none" w:sz="0" w:space="0" w:color="auto"/>
        <w:left w:val="none" w:sz="0" w:space="0" w:color="auto"/>
        <w:bottom w:val="none" w:sz="0" w:space="0" w:color="auto"/>
        <w:right w:val="none" w:sz="0" w:space="0" w:color="auto"/>
      </w:divBdr>
    </w:div>
    <w:div w:id="158008939">
      <w:bodyDiv w:val="1"/>
      <w:marLeft w:val="0"/>
      <w:marRight w:val="0"/>
      <w:marTop w:val="0"/>
      <w:marBottom w:val="0"/>
      <w:divBdr>
        <w:top w:val="none" w:sz="0" w:space="0" w:color="auto"/>
        <w:left w:val="none" w:sz="0" w:space="0" w:color="auto"/>
        <w:bottom w:val="none" w:sz="0" w:space="0" w:color="auto"/>
        <w:right w:val="none" w:sz="0" w:space="0" w:color="auto"/>
      </w:divBdr>
    </w:div>
    <w:div w:id="158083686">
      <w:bodyDiv w:val="1"/>
      <w:marLeft w:val="0"/>
      <w:marRight w:val="0"/>
      <w:marTop w:val="0"/>
      <w:marBottom w:val="0"/>
      <w:divBdr>
        <w:top w:val="none" w:sz="0" w:space="0" w:color="auto"/>
        <w:left w:val="none" w:sz="0" w:space="0" w:color="auto"/>
        <w:bottom w:val="none" w:sz="0" w:space="0" w:color="auto"/>
        <w:right w:val="none" w:sz="0" w:space="0" w:color="auto"/>
      </w:divBdr>
    </w:div>
    <w:div w:id="158276724">
      <w:bodyDiv w:val="1"/>
      <w:marLeft w:val="0"/>
      <w:marRight w:val="0"/>
      <w:marTop w:val="0"/>
      <w:marBottom w:val="0"/>
      <w:divBdr>
        <w:top w:val="none" w:sz="0" w:space="0" w:color="auto"/>
        <w:left w:val="none" w:sz="0" w:space="0" w:color="auto"/>
        <w:bottom w:val="none" w:sz="0" w:space="0" w:color="auto"/>
        <w:right w:val="none" w:sz="0" w:space="0" w:color="auto"/>
      </w:divBdr>
    </w:div>
    <w:div w:id="158497104">
      <w:bodyDiv w:val="1"/>
      <w:marLeft w:val="0"/>
      <w:marRight w:val="0"/>
      <w:marTop w:val="0"/>
      <w:marBottom w:val="0"/>
      <w:divBdr>
        <w:top w:val="none" w:sz="0" w:space="0" w:color="auto"/>
        <w:left w:val="none" w:sz="0" w:space="0" w:color="auto"/>
        <w:bottom w:val="none" w:sz="0" w:space="0" w:color="auto"/>
        <w:right w:val="none" w:sz="0" w:space="0" w:color="auto"/>
      </w:divBdr>
    </w:div>
    <w:div w:id="159662624">
      <w:bodyDiv w:val="1"/>
      <w:marLeft w:val="0"/>
      <w:marRight w:val="0"/>
      <w:marTop w:val="0"/>
      <w:marBottom w:val="0"/>
      <w:divBdr>
        <w:top w:val="none" w:sz="0" w:space="0" w:color="auto"/>
        <w:left w:val="none" w:sz="0" w:space="0" w:color="auto"/>
        <w:bottom w:val="none" w:sz="0" w:space="0" w:color="auto"/>
        <w:right w:val="none" w:sz="0" w:space="0" w:color="auto"/>
      </w:divBdr>
    </w:div>
    <w:div w:id="160313154">
      <w:bodyDiv w:val="1"/>
      <w:marLeft w:val="0"/>
      <w:marRight w:val="0"/>
      <w:marTop w:val="0"/>
      <w:marBottom w:val="0"/>
      <w:divBdr>
        <w:top w:val="none" w:sz="0" w:space="0" w:color="auto"/>
        <w:left w:val="none" w:sz="0" w:space="0" w:color="auto"/>
        <w:bottom w:val="none" w:sz="0" w:space="0" w:color="auto"/>
        <w:right w:val="none" w:sz="0" w:space="0" w:color="auto"/>
      </w:divBdr>
    </w:div>
    <w:div w:id="160313674">
      <w:bodyDiv w:val="1"/>
      <w:marLeft w:val="0"/>
      <w:marRight w:val="0"/>
      <w:marTop w:val="0"/>
      <w:marBottom w:val="0"/>
      <w:divBdr>
        <w:top w:val="none" w:sz="0" w:space="0" w:color="auto"/>
        <w:left w:val="none" w:sz="0" w:space="0" w:color="auto"/>
        <w:bottom w:val="none" w:sz="0" w:space="0" w:color="auto"/>
        <w:right w:val="none" w:sz="0" w:space="0" w:color="auto"/>
      </w:divBdr>
    </w:div>
    <w:div w:id="160656846">
      <w:bodyDiv w:val="1"/>
      <w:marLeft w:val="0"/>
      <w:marRight w:val="0"/>
      <w:marTop w:val="0"/>
      <w:marBottom w:val="0"/>
      <w:divBdr>
        <w:top w:val="none" w:sz="0" w:space="0" w:color="auto"/>
        <w:left w:val="none" w:sz="0" w:space="0" w:color="auto"/>
        <w:bottom w:val="none" w:sz="0" w:space="0" w:color="auto"/>
        <w:right w:val="none" w:sz="0" w:space="0" w:color="auto"/>
      </w:divBdr>
    </w:div>
    <w:div w:id="160972426">
      <w:bodyDiv w:val="1"/>
      <w:marLeft w:val="0"/>
      <w:marRight w:val="0"/>
      <w:marTop w:val="0"/>
      <w:marBottom w:val="0"/>
      <w:divBdr>
        <w:top w:val="none" w:sz="0" w:space="0" w:color="auto"/>
        <w:left w:val="none" w:sz="0" w:space="0" w:color="auto"/>
        <w:bottom w:val="none" w:sz="0" w:space="0" w:color="auto"/>
        <w:right w:val="none" w:sz="0" w:space="0" w:color="auto"/>
      </w:divBdr>
    </w:div>
    <w:div w:id="161088026">
      <w:bodyDiv w:val="1"/>
      <w:marLeft w:val="0"/>
      <w:marRight w:val="0"/>
      <w:marTop w:val="0"/>
      <w:marBottom w:val="0"/>
      <w:divBdr>
        <w:top w:val="none" w:sz="0" w:space="0" w:color="auto"/>
        <w:left w:val="none" w:sz="0" w:space="0" w:color="auto"/>
        <w:bottom w:val="none" w:sz="0" w:space="0" w:color="auto"/>
        <w:right w:val="none" w:sz="0" w:space="0" w:color="auto"/>
      </w:divBdr>
    </w:div>
    <w:div w:id="161243104">
      <w:bodyDiv w:val="1"/>
      <w:marLeft w:val="0"/>
      <w:marRight w:val="0"/>
      <w:marTop w:val="0"/>
      <w:marBottom w:val="0"/>
      <w:divBdr>
        <w:top w:val="none" w:sz="0" w:space="0" w:color="auto"/>
        <w:left w:val="none" w:sz="0" w:space="0" w:color="auto"/>
        <w:bottom w:val="none" w:sz="0" w:space="0" w:color="auto"/>
        <w:right w:val="none" w:sz="0" w:space="0" w:color="auto"/>
      </w:divBdr>
    </w:div>
    <w:div w:id="161356311">
      <w:bodyDiv w:val="1"/>
      <w:marLeft w:val="0"/>
      <w:marRight w:val="0"/>
      <w:marTop w:val="0"/>
      <w:marBottom w:val="0"/>
      <w:divBdr>
        <w:top w:val="none" w:sz="0" w:space="0" w:color="auto"/>
        <w:left w:val="none" w:sz="0" w:space="0" w:color="auto"/>
        <w:bottom w:val="none" w:sz="0" w:space="0" w:color="auto"/>
        <w:right w:val="none" w:sz="0" w:space="0" w:color="auto"/>
      </w:divBdr>
    </w:div>
    <w:div w:id="161743383">
      <w:bodyDiv w:val="1"/>
      <w:marLeft w:val="0"/>
      <w:marRight w:val="0"/>
      <w:marTop w:val="0"/>
      <w:marBottom w:val="0"/>
      <w:divBdr>
        <w:top w:val="none" w:sz="0" w:space="0" w:color="auto"/>
        <w:left w:val="none" w:sz="0" w:space="0" w:color="auto"/>
        <w:bottom w:val="none" w:sz="0" w:space="0" w:color="auto"/>
        <w:right w:val="none" w:sz="0" w:space="0" w:color="auto"/>
      </w:divBdr>
    </w:div>
    <w:div w:id="162361988">
      <w:bodyDiv w:val="1"/>
      <w:marLeft w:val="0"/>
      <w:marRight w:val="0"/>
      <w:marTop w:val="0"/>
      <w:marBottom w:val="0"/>
      <w:divBdr>
        <w:top w:val="none" w:sz="0" w:space="0" w:color="auto"/>
        <w:left w:val="none" w:sz="0" w:space="0" w:color="auto"/>
        <w:bottom w:val="none" w:sz="0" w:space="0" w:color="auto"/>
        <w:right w:val="none" w:sz="0" w:space="0" w:color="auto"/>
      </w:divBdr>
    </w:div>
    <w:div w:id="162553849">
      <w:bodyDiv w:val="1"/>
      <w:marLeft w:val="0"/>
      <w:marRight w:val="0"/>
      <w:marTop w:val="0"/>
      <w:marBottom w:val="0"/>
      <w:divBdr>
        <w:top w:val="none" w:sz="0" w:space="0" w:color="auto"/>
        <w:left w:val="none" w:sz="0" w:space="0" w:color="auto"/>
        <w:bottom w:val="none" w:sz="0" w:space="0" w:color="auto"/>
        <w:right w:val="none" w:sz="0" w:space="0" w:color="auto"/>
      </w:divBdr>
    </w:div>
    <w:div w:id="163206375">
      <w:bodyDiv w:val="1"/>
      <w:marLeft w:val="0"/>
      <w:marRight w:val="0"/>
      <w:marTop w:val="0"/>
      <w:marBottom w:val="0"/>
      <w:divBdr>
        <w:top w:val="none" w:sz="0" w:space="0" w:color="auto"/>
        <w:left w:val="none" w:sz="0" w:space="0" w:color="auto"/>
        <w:bottom w:val="none" w:sz="0" w:space="0" w:color="auto"/>
        <w:right w:val="none" w:sz="0" w:space="0" w:color="auto"/>
      </w:divBdr>
    </w:div>
    <w:div w:id="163321898">
      <w:bodyDiv w:val="1"/>
      <w:marLeft w:val="0"/>
      <w:marRight w:val="0"/>
      <w:marTop w:val="0"/>
      <w:marBottom w:val="0"/>
      <w:divBdr>
        <w:top w:val="none" w:sz="0" w:space="0" w:color="auto"/>
        <w:left w:val="none" w:sz="0" w:space="0" w:color="auto"/>
        <w:bottom w:val="none" w:sz="0" w:space="0" w:color="auto"/>
        <w:right w:val="none" w:sz="0" w:space="0" w:color="auto"/>
      </w:divBdr>
    </w:div>
    <w:div w:id="163908175">
      <w:bodyDiv w:val="1"/>
      <w:marLeft w:val="0"/>
      <w:marRight w:val="0"/>
      <w:marTop w:val="0"/>
      <w:marBottom w:val="0"/>
      <w:divBdr>
        <w:top w:val="none" w:sz="0" w:space="0" w:color="auto"/>
        <w:left w:val="none" w:sz="0" w:space="0" w:color="auto"/>
        <w:bottom w:val="none" w:sz="0" w:space="0" w:color="auto"/>
        <w:right w:val="none" w:sz="0" w:space="0" w:color="auto"/>
      </w:divBdr>
    </w:div>
    <w:div w:id="164443553">
      <w:bodyDiv w:val="1"/>
      <w:marLeft w:val="0"/>
      <w:marRight w:val="0"/>
      <w:marTop w:val="0"/>
      <w:marBottom w:val="0"/>
      <w:divBdr>
        <w:top w:val="none" w:sz="0" w:space="0" w:color="auto"/>
        <w:left w:val="none" w:sz="0" w:space="0" w:color="auto"/>
        <w:bottom w:val="none" w:sz="0" w:space="0" w:color="auto"/>
        <w:right w:val="none" w:sz="0" w:space="0" w:color="auto"/>
      </w:divBdr>
    </w:div>
    <w:div w:id="164637422">
      <w:bodyDiv w:val="1"/>
      <w:marLeft w:val="0"/>
      <w:marRight w:val="0"/>
      <w:marTop w:val="0"/>
      <w:marBottom w:val="0"/>
      <w:divBdr>
        <w:top w:val="none" w:sz="0" w:space="0" w:color="auto"/>
        <w:left w:val="none" w:sz="0" w:space="0" w:color="auto"/>
        <w:bottom w:val="none" w:sz="0" w:space="0" w:color="auto"/>
        <w:right w:val="none" w:sz="0" w:space="0" w:color="auto"/>
      </w:divBdr>
    </w:div>
    <w:div w:id="164783884">
      <w:bodyDiv w:val="1"/>
      <w:marLeft w:val="0"/>
      <w:marRight w:val="0"/>
      <w:marTop w:val="0"/>
      <w:marBottom w:val="0"/>
      <w:divBdr>
        <w:top w:val="none" w:sz="0" w:space="0" w:color="auto"/>
        <w:left w:val="none" w:sz="0" w:space="0" w:color="auto"/>
        <w:bottom w:val="none" w:sz="0" w:space="0" w:color="auto"/>
        <w:right w:val="none" w:sz="0" w:space="0" w:color="auto"/>
      </w:divBdr>
    </w:div>
    <w:div w:id="165681349">
      <w:bodyDiv w:val="1"/>
      <w:marLeft w:val="0"/>
      <w:marRight w:val="0"/>
      <w:marTop w:val="0"/>
      <w:marBottom w:val="0"/>
      <w:divBdr>
        <w:top w:val="none" w:sz="0" w:space="0" w:color="auto"/>
        <w:left w:val="none" w:sz="0" w:space="0" w:color="auto"/>
        <w:bottom w:val="none" w:sz="0" w:space="0" w:color="auto"/>
        <w:right w:val="none" w:sz="0" w:space="0" w:color="auto"/>
      </w:divBdr>
    </w:div>
    <w:div w:id="165755620">
      <w:bodyDiv w:val="1"/>
      <w:marLeft w:val="0"/>
      <w:marRight w:val="0"/>
      <w:marTop w:val="0"/>
      <w:marBottom w:val="0"/>
      <w:divBdr>
        <w:top w:val="none" w:sz="0" w:space="0" w:color="auto"/>
        <w:left w:val="none" w:sz="0" w:space="0" w:color="auto"/>
        <w:bottom w:val="none" w:sz="0" w:space="0" w:color="auto"/>
        <w:right w:val="none" w:sz="0" w:space="0" w:color="auto"/>
      </w:divBdr>
    </w:div>
    <w:div w:id="166100802">
      <w:bodyDiv w:val="1"/>
      <w:marLeft w:val="0"/>
      <w:marRight w:val="0"/>
      <w:marTop w:val="0"/>
      <w:marBottom w:val="0"/>
      <w:divBdr>
        <w:top w:val="none" w:sz="0" w:space="0" w:color="auto"/>
        <w:left w:val="none" w:sz="0" w:space="0" w:color="auto"/>
        <w:bottom w:val="none" w:sz="0" w:space="0" w:color="auto"/>
        <w:right w:val="none" w:sz="0" w:space="0" w:color="auto"/>
      </w:divBdr>
    </w:div>
    <w:div w:id="166288804">
      <w:bodyDiv w:val="1"/>
      <w:marLeft w:val="0"/>
      <w:marRight w:val="0"/>
      <w:marTop w:val="0"/>
      <w:marBottom w:val="0"/>
      <w:divBdr>
        <w:top w:val="none" w:sz="0" w:space="0" w:color="auto"/>
        <w:left w:val="none" w:sz="0" w:space="0" w:color="auto"/>
        <w:bottom w:val="none" w:sz="0" w:space="0" w:color="auto"/>
        <w:right w:val="none" w:sz="0" w:space="0" w:color="auto"/>
      </w:divBdr>
    </w:div>
    <w:div w:id="166941195">
      <w:bodyDiv w:val="1"/>
      <w:marLeft w:val="0"/>
      <w:marRight w:val="0"/>
      <w:marTop w:val="0"/>
      <w:marBottom w:val="0"/>
      <w:divBdr>
        <w:top w:val="none" w:sz="0" w:space="0" w:color="auto"/>
        <w:left w:val="none" w:sz="0" w:space="0" w:color="auto"/>
        <w:bottom w:val="none" w:sz="0" w:space="0" w:color="auto"/>
        <w:right w:val="none" w:sz="0" w:space="0" w:color="auto"/>
      </w:divBdr>
    </w:div>
    <w:div w:id="167059365">
      <w:bodyDiv w:val="1"/>
      <w:marLeft w:val="0"/>
      <w:marRight w:val="0"/>
      <w:marTop w:val="0"/>
      <w:marBottom w:val="0"/>
      <w:divBdr>
        <w:top w:val="none" w:sz="0" w:space="0" w:color="auto"/>
        <w:left w:val="none" w:sz="0" w:space="0" w:color="auto"/>
        <w:bottom w:val="none" w:sz="0" w:space="0" w:color="auto"/>
        <w:right w:val="none" w:sz="0" w:space="0" w:color="auto"/>
      </w:divBdr>
    </w:div>
    <w:div w:id="167212514">
      <w:bodyDiv w:val="1"/>
      <w:marLeft w:val="0"/>
      <w:marRight w:val="0"/>
      <w:marTop w:val="0"/>
      <w:marBottom w:val="0"/>
      <w:divBdr>
        <w:top w:val="none" w:sz="0" w:space="0" w:color="auto"/>
        <w:left w:val="none" w:sz="0" w:space="0" w:color="auto"/>
        <w:bottom w:val="none" w:sz="0" w:space="0" w:color="auto"/>
        <w:right w:val="none" w:sz="0" w:space="0" w:color="auto"/>
      </w:divBdr>
    </w:div>
    <w:div w:id="167673054">
      <w:bodyDiv w:val="1"/>
      <w:marLeft w:val="0"/>
      <w:marRight w:val="0"/>
      <w:marTop w:val="0"/>
      <w:marBottom w:val="0"/>
      <w:divBdr>
        <w:top w:val="none" w:sz="0" w:space="0" w:color="auto"/>
        <w:left w:val="none" w:sz="0" w:space="0" w:color="auto"/>
        <w:bottom w:val="none" w:sz="0" w:space="0" w:color="auto"/>
        <w:right w:val="none" w:sz="0" w:space="0" w:color="auto"/>
      </w:divBdr>
    </w:div>
    <w:div w:id="168254681">
      <w:bodyDiv w:val="1"/>
      <w:marLeft w:val="0"/>
      <w:marRight w:val="0"/>
      <w:marTop w:val="0"/>
      <w:marBottom w:val="0"/>
      <w:divBdr>
        <w:top w:val="none" w:sz="0" w:space="0" w:color="auto"/>
        <w:left w:val="none" w:sz="0" w:space="0" w:color="auto"/>
        <w:bottom w:val="none" w:sz="0" w:space="0" w:color="auto"/>
        <w:right w:val="none" w:sz="0" w:space="0" w:color="auto"/>
      </w:divBdr>
    </w:div>
    <w:div w:id="168257609">
      <w:bodyDiv w:val="1"/>
      <w:marLeft w:val="0"/>
      <w:marRight w:val="0"/>
      <w:marTop w:val="0"/>
      <w:marBottom w:val="0"/>
      <w:divBdr>
        <w:top w:val="none" w:sz="0" w:space="0" w:color="auto"/>
        <w:left w:val="none" w:sz="0" w:space="0" w:color="auto"/>
        <w:bottom w:val="none" w:sz="0" w:space="0" w:color="auto"/>
        <w:right w:val="none" w:sz="0" w:space="0" w:color="auto"/>
      </w:divBdr>
    </w:div>
    <w:div w:id="168522848">
      <w:bodyDiv w:val="1"/>
      <w:marLeft w:val="0"/>
      <w:marRight w:val="0"/>
      <w:marTop w:val="0"/>
      <w:marBottom w:val="0"/>
      <w:divBdr>
        <w:top w:val="none" w:sz="0" w:space="0" w:color="auto"/>
        <w:left w:val="none" w:sz="0" w:space="0" w:color="auto"/>
        <w:bottom w:val="none" w:sz="0" w:space="0" w:color="auto"/>
        <w:right w:val="none" w:sz="0" w:space="0" w:color="auto"/>
      </w:divBdr>
    </w:div>
    <w:div w:id="168759668">
      <w:bodyDiv w:val="1"/>
      <w:marLeft w:val="0"/>
      <w:marRight w:val="0"/>
      <w:marTop w:val="0"/>
      <w:marBottom w:val="0"/>
      <w:divBdr>
        <w:top w:val="none" w:sz="0" w:space="0" w:color="auto"/>
        <w:left w:val="none" w:sz="0" w:space="0" w:color="auto"/>
        <w:bottom w:val="none" w:sz="0" w:space="0" w:color="auto"/>
        <w:right w:val="none" w:sz="0" w:space="0" w:color="auto"/>
      </w:divBdr>
    </w:div>
    <w:div w:id="169108784">
      <w:bodyDiv w:val="1"/>
      <w:marLeft w:val="0"/>
      <w:marRight w:val="0"/>
      <w:marTop w:val="0"/>
      <w:marBottom w:val="0"/>
      <w:divBdr>
        <w:top w:val="none" w:sz="0" w:space="0" w:color="auto"/>
        <w:left w:val="none" w:sz="0" w:space="0" w:color="auto"/>
        <w:bottom w:val="none" w:sz="0" w:space="0" w:color="auto"/>
        <w:right w:val="none" w:sz="0" w:space="0" w:color="auto"/>
      </w:divBdr>
    </w:div>
    <w:div w:id="169295652">
      <w:bodyDiv w:val="1"/>
      <w:marLeft w:val="0"/>
      <w:marRight w:val="0"/>
      <w:marTop w:val="0"/>
      <w:marBottom w:val="0"/>
      <w:divBdr>
        <w:top w:val="none" w:sz="0" w:space="0" w:color="auto"/>
        <w:left w:val="none" w:sz="0" w:space="0" w:color="auto"/>
        <w:bottom w:val="none" w:sz="0" w:space="0" w:color="auto"/>
        <w:right w:val="none" w:sz="0" w:space="0" w:color="auto"/>
      </w:divBdr>
    </w:div>
    <w:div w:id="169836336">
      <w:bodyDiv w:val="1"/>
      <w:marLeft w:val="0"/>
      <w:marRight w:val="0"/>
      <w:marTop w:val="0"/>
      <w:marBottom w:val="0"/>
      <w:divBdr>
        <w:top w:val="none" w:sz="0" w:space="0" w:color="auto"/>
        <w:left w:val="none" w:sz="0" w:space="0" w:color="auto"/>
        <w:bottom w:val="none" w:sz="0" w:space="0" w:color="auto"/>
        <w:right w:val="none" w:sz="0" w:space="0" w:color="auto"/>
      </w:divBdr>
    </w:div>
    <w:div w:id="169876677">
      <w:bodyDiv w:val="1"/>
      <w:marLeft w:val="0"/>
      <w:marRight w:val="0"/>
      <w:marTop w:val="0"/>
      <w:marBottom w:val="0"/>
      <w:divBdr>
        <w:top w:val="none" w:sz="0" w:space="0" w:color="auto"/>
        <w:left w:val="none" w:sz="0" w:space="0" w:color="auto"/>
        <w:bottom w:val="none" w:sz="0" w:space="0" w:color="auto"/>
        <w:right w:val="none" w:sz="0" w:space="0" w:color="auto"/>
      </w:divBdr>
    </w:div>
    <w:div w:id="170027173">
      <w:bodyDiv w:val="1"/>
      <w:marLeft w:val="0"/>
      <w:marRight w:val="0"/>
      <w:marTop w:val="0"/>
      <w:marBottom w:val="0"/>
      <w:divBdr>
        <w:top w:val="none" w:sz="0" w:space="0" w:color="auto"/>
        <w:left w:val="none" w:sz="0" w:space="0" w:color="auto"/>
        <w:bottom w:val="none" w:sz="0" w:space="0" w:color="auto"/>
        <w:right w:val="none" w:sz="0" w:space="0" w:color="auto"/>
      </w:divBdr>
    </w:div>
    <w:div w:id="170032092">
      <w:bodyDiv w:val="1"/>
      <w:marLeft w:val="0"/>
      <w:marRight w:val="0"/>
      <w:marTop w:val="0"/>
      <w:marBottom w:val="0"/>
      <w:divBdr>
        <w:top w:val="none" w:sz="0" w:space="0" w:color="auto"/>
        <w:left w:val="none" w:sz="0" w:space="0" w:color="auto"/>
        <w:bottom w:val="none" w:sz="0" w:space="0" w:color="auto"/>
        <w:right w:val="none" w:sz="0" w:space="0" w:color="auto"/>
      </w:divBdr>
    </w:div>
    <w:div w:id="172690929">
      <w:bodyDiv w:val="1"/>
      <w:marLeft w:val="0"/>
      <w:marRight w:val="0"/>
      <w:marTop w:val="0"/>
      <w:marBottom w:val="0"/>
      <w:divBdr>
        <w:top w:val="none" w:sz="0" w:space="0" w:color="auto"/>
        <w:left w:val="none" w:sz="0" w:space="0" w:color="auto"/>
        <w:bottom w:val="none" w:sz="0" w:space="0" w:color="auto"/>
        <w:right w:val="none" w:sz="0" w:space="0" w:color="auto"/>
      </w:divBdr>
    </w:div>
    <w:div w:id="172955556">
      <w:bodyDiv w:val="1"/>
      <w:marLeft w:val="0"/>
      <w:marRight w:val="0"/>
      <w:marTop w:val="0"/>
      <w:marBottom w:val="0"/>
      <w:divBdr>
        <w:top w:val="none" w:sz="0" w:space="0" w:color="auto"/>
        <w:left w:val="none" w:sz="0" w:space="0" w:color="auto"/>
        <w:bottom w:val="none" w:sz="0" w:space="0" w:color="auto"/>
        <w:right w:val="none" w:sz="0" w:space="0" w:color="auto"/>
      </w:divBdr>
    </w:div>
    <w:div w:id="173032642">
      <w:bodyDiv w:val="1"/>
      <w:marLeft w:val="0"/>
      <w:marRight w:val="0"/>
      <w:marTop w:val="0"/>
      <w:marBottom w:val="0"/>
      <w:divBdr>
        <w:top w:val="none" w:sz="0" w:space="0" w:color="auto"/>
        <w:left w:val="none" w:sz="0" w:space="0" w:color="auto"/>
        <w:bottom w:val="none" w:sz="0" w:space="0" w:color="auto"/>
        <w:right w:val="none" w:sz="0" w:space="0" w:color="auto"/>
      </w:divBdr>
    </w:div>
    <w:div w:id="173036073">
      <w:bodyDiv w:val="1"/>
      <w:marLeft w:val="0"/>
      <w:marRight w:val="0"/>
      <w:marTop w:val="0"/>
      <w:marBottom w:val="0"/>
      <w:divBdr>
        <w:top w:val="none" w:sz="0" w:space="0" w:color="auto"/>
        <w:left w:val="none" w:sz="0" w:space="0" w:color="auto"/>
        <w:bottom w:val="none" w:sz="0" w:space="0" w:color="auto"/>
        <w:right w:val="none" w:sz="0" w:space="0" w:color="auto"/>
      </w:divBdr>
    </w:div>
    <w:div w:id="173617854">
      <w:bodyDiv w:val="1"/>
      <w:marLeft w:val="0"/>
      <w:marRight w:val="0"/>
      <w:marTop w:val="0"/>
      <w:marBottom w:val="0"/>
      <w:divBdr>
        <w:top w:val="none" w:sz="0" w:space="0" w:color="auto"/>
        <w:left w:val="none" w:sz="0" w:space="0" w:color="auto"/>
        <w:bottom w:val="none" w:sz="0" w:space="0" w:color="auto"/>
        <w:right w:val="none" w:sz="0" w:space="0" w:color="auto"/>
      </w:divBdr>
    </w:div>
    <w:div w:id="173806681">
      <w:bodyDiv w:val="1"/>
      <w:marLeft w:val="0"/>
      <w:marRight w:val="0"/>
      <w:marTop w:val="0"/>
      <w:marBottom w:val="0"/>
      <w:divBdr>
        <w:top w:val="none" w:sz="0" w:space="0" w:color="auto"/>
        <w:left w:val="none" w:sz="0" w:space="0" w:color="auto"/>
        <w:bottom w:val="none" w:sz="0" w:space="0" w:color="auto"/>
        <w:right w:val="none" w:sz="0" w:space="0" w:color="auto"/>
      </w:divBdr>
    </w:div>
    <w:div w:id="174005768">
      <w:bodyDiv w:val="1"/>
      <w:marLeft w:val="0"/>
      <w:marRight w:val="0"/>
      <w:marTop w:val="0"/>
      <w:marBottom w:val="0"/>
      <w:divBdr>
        <w:top w:val="none" w:sz="0" w:space="0" w:color="auto"/>
        <w:left w:val="none" w:sz="0" w:space="0" w:color="auto"/>
        <w:bottom w:val="none" w:sz="0" w:space="0" w:color="auto"/>
        <w:right w:val="none" w:sz="0" w:space="0" w:color="auto"/>
      </w:divBdr>
    </w:div>
    <w:div w:id="174464327">
      <w:bodyDiv w:val="1"/>
      <w:marLeft w:val="0"/>
      <w:marRight w:val="0"/>
      <w:marTop w:val="0"/>
      <w:marBottom w:val="0"/>
      <w:divBdr>
        <w:top w:val="none" w:sz="0" w:space="0" w:color="auto"/>
        <w:left w:val="none" w:sz="0" w:space="0" w:color="auto"/>
        <w:bottom w:val="none" w:sz="0" w:space="0" w:color="auto"/>
        <w:right w:val="none" w:sz="0" w:space="0" w:color="auto"/>
      </w:divBdr>
    </w:div>
    <w:div w:id="175309041">
      <w:bodyDiv w:val="1"/>
      <w:marLeft w:val="0"/>
      <w:marRight w:val="0"/>
      <w:marTop w:val="0"/>
      <w:marBottom w:val="0"/>
      <w:divBdr>
        <w:top w:val="none" w:sz="0" w:space="0" w:color="auto"/>
        <w:left w:val="none" w:sz="0" w:space="0" w:color="auto"/>
        <w:bottom w:val="none" w:sz="0" w:space="0" w:color="auto"/>
        <w:right w:val="none" w:sz="0" w:space="0" w:color="auto"/>
      </w:divBdr>
    </w:div>
    <w:div w:id="175578794">
      <w:bodyDiv w:val="1"/>
      <w:marLeft w:val="0"/>
      <w:marRight w:val="0"/>
      <w:marTop w:val="0"/>
      <w:marBottom w:val="0"/>
      <w:divBdr>
        <w:top w:val="none" w:sz="0" w:space="0" w:color="auto"/>
        <w:left w:val="none" w:sz="0" w:space="0" w:color="auto"/>
        <w:bottom w:val="none" w:sz="0" w:space="0" w:color="auto"/>
        <w:right w:val="none" w:sz="0" w:space="0" w:color="auto"/>
      </w:divBdr>
    </w:div>
    <w:div w:id="176775947">
      <w:bodyDiv w:val="1"/>
      <w:marLeft w:val="0"/>
      <w:marRight w:val="0"/>
      <w:marTop w:val="0"/>
      <w:marBottom w:val="0"/>
      <w:divBdr>
        <w:top w:val="none" w:sz="0" w:space="0" w:color="auto"/>
        <w:left w:val="none" w:sz="0" w:space="0" w:color="auto"/>
        <w:bottom w:val="none" w:sz="0" w:space="0" w:color="auto"/>
        <w:right w:val="none" w:sz="0" w:space="0" w:color="auto"/>
      </w:divBdr>
    </w:div>
    <w:div w:id="176846633">
      <w:bodyDiv w:val="1"/>
      <w:marLeft w:val="0"/>
      <w:marRight w:val="0"/>
      <w:marTop w:val="0"/>
      <w:marBottom w:val="0"/>
      <w:divBdr>
        <w:top w:val="none" w:sz="0" w:space="0" w:color="auto"/>
        <w:left w:val="none" w:sz="0" w:space="0" w:color="auto"/>
        <w:bottom w:val="none" w:sz="0" w:space="0" w:color="auto"/>
        <w:right w:val="none" w:sz="0" w:space="0" w:color="auto"/>
      </w:divBdr>
    </w:div>
    <w:div w:id="177432437">
      <w:bodyDiv w:val="1"/>
      <w:marLeft w:val="0"/>
      <w:marRight w:val="0"/>
      <w:marTop w:val="0"/>
      <w:marBottom w:val="0"/>
      <w:divBdr>
        <w:top w:val="none" w:sz="0" w:space="0" w:color="auto"/>
        <w:left w:val="none" w:sz="0" w:space="0" w:color="auto"/>
        <w:bottom w:val="none" w:sz="0" w:space="0" w:color="auto"/>
        <w:right w:val="none" w:sz="0" w:space="0" w:color="auto"/>
      </w:divBdr>
    </w:div>
    <w:div w:id="177542459">
      <w:bodyDiv w:val="1"/>
      <w:marLeft w:val="0"/>
      <w:marRight w:val="0"/>
      <w:marTop w:val="0"/>
      <w:marBottom w:val="0"/>
      <w:divBdr>
        <w:top w:val="none" w:sz="0" w:space="0" w:color="auto"/>
        <w:left w:val="none" w:sz="0" w:space="0" w:color="auto"/>
        <w:bottom w:val="none" w:sz="0" w:space="0" w:color="auto"/>
        <w:right w:val="none" w:sz="0" w:space="0" w:color="auto"/>
      </w:divBdr>
    </w:div>
    <w:div w:id="178856839">
      <w:bodyDiv w:val="1"/>
      <w:marLeft w:val="0"/>
      <w:marRight w:val="0"/>
      <w:marTop w:val="0"/>
      <w:marBottom w:val="0"/>
      <w:divBdr>
        <w:top w:val="none" w:sz="0" w:space="0" w:color="auto"/>
        <w:left w:val="none" w:sz="0" w:space="0" w:color="auto"/>
        <w:bottom w:val="none" w:sz="0" w:space="0" w:color="auto"/>
        <w:right w:val="none" w:sz="0" w:space="0" w:color="auto"/>
      </w:divBdr>
    </w:div>
    <w:div w:id="179709097">
      <w:bodyDiv w:val="1"/>
      <w:marLeft w:val="0"/>
      <w:marRight w:val="0"/>
      <w:marTop w:val="0"/>
      <w:marBottom w:val="0"/>
      <w:divBdr>
        <w:top w:val="none" w:sz="0" w:space="0" w:color="auto"/>
        <w:left w:val="none" w:sz="0" w:space="0" w:color="auto"/>
        <w:bottom w:val="none" w:sz="0" w:space="0" w:color="auto"/>
        <w:right w:val="none" w:sz="0" w:space="0" w:color="auto"/>
      </w:divBdr>
    </w:div>
    <w:div w:id="179854900">
      <w:bodyDiv w:val="1"/>
      <w:marLeft w:val="0"/>
      <w:marRight w:val="0"/>
      <w:marTop w:val="0"/>
      <w:marBottom w:val="0"/>
      <w:divBdr>
        <w:top w:val="none" w:sz="0" w:space="0" w:color="auto"/>
        <w:left w:val="none" w:sz="0" w:space="0" w:color="auto"/>
        <w:bottom w:val="none" w:sz="0" w:space="0" w:color="auto"/>
        <w:right w:val="none" w:sz="0" w:space="0" w:color="auto"/>
      </w:divBdr>
    </w:div>
    <w:div w:id="180289762">
      <w:bodyDiv w:val="1"/>
      <w:marLeft w:val="0"/>
      <w:marRight w:val="0"/>
      <w:marTop w:val="0"/>
      <w:marBottom w:val="0"/>
      <w:divBdr>
        <w:top w:val="none" w:sz="0" w:space="0" w:color="auto"/>
        <w:left w:val="none" w:sz="0" w:space="0" w:color="auto"/>
        <w:bottom w:val="none" w:sz="0" w:space="0" w:color="auto"/>
        <w:right w:val="none" w:sz="0" w:space="0" w:color="auto"/>
      </w:divBdr>
    </w:div>
    <w:div w:id="180290796">
      <w:bodyDiv w:val="1"/>
      <w:marLeft w:val="0"/>
      <w:marRight w:val="0"/>
      <w:marTop w:val="0"/>
      <w:marBottom w:val="0"/>
      <w:divBdr>
        <w:top w:val="none" w:sz="0" w:space="0" w:color="auto"/>
        <w:left w:val="none" w:sz="0" w:space="0" w:color="auto"/>
        <w:bottom w:val="none" w:sz="0" w:space="0" w:color="auto"/>
        <w:right w:val="none" w:sz="0" w:space="0" w:color="auto"/>
      </w:divBdr>
    </w:div>
    <w:div w:id="180319276">
      <w:bodyDiv w:val="1"/>
      <w:marLeft w:val="0"/>
      <w:marRight w:val="0"/>
      <w:marTop w:val="0"/>
      <w:marBottom w:val="0"/>
      <w:divBdr>
        <w:top w:val="none" w:sz="0" w:space="0" w:color="auto"/>
        <w:left w:val="none" w:sz="0" w:space="0" w:color="auto"/>
        <w:bottom w:val="none" w:sz="0" w:space="0" w:color="auto"/>
        <w:right w:val="none" w:sz="0" w:space="0" w:color="auto"/>
      </w:divBdr>
    </w:div>
    <w:div w:id="180357810">
      <w:bodyDiv w:val="1"/>
      <w:marLeft w:val="0"/>
      <w:marRight w:val="0"/>
      <w:marTop w:val="0"/>
      <w:marBottom w:val="0"/>
      <w:divBdr>
        <w:top w:val="none" w:sz="0" w:space="0" w:color="auto"/>
        <w:left w:val="none" w:sz="0" w:space="0" w:color="auto"/>
        <w:bottom w:val="none" w:sz="0" w:space="0" w:color="auto"/>
        <w:right w:val="none" w:sz="0" w:space="0" w:color="auto"/>
      </w:divBdr>
    </w:div>
    <w:div w:id="180552103">
      <w:bodyDiv w:val="1"/>
      <w:marLeft w:val="0"/>
      <w:marRight w:val="0"/>
      <w:marTop w:val="0"/>
      <w:marBottom w:val="0"/>
      <w:divBdr>
        <w:top w:val="none" w:sz="0" w:space="0" w:color="auto"/>
        <w:left w:val="none" w:sz="0" w:space="0" w:color="auto"/>
        <w:bottom w:val="none" w:sz="0" w:space="0" w:color="auto"/>
        <w:right w:val="none" w:sz="0" w:space="0" w:color="auto"/>
      </w:divBdr>
    </w:div>
    <w:div w:id="180552385">
      <w:bodyDiv w:val="1"/>
      <w:marLeft w:val="0"/>
      <w:marRight w:val="0"/>
      <w:marTop w:val="0"/>
      <w:marBottom w:val="0"/>
      <w:divBdr>
        <w:top w:val="none" w:sz="0" w:space="0" w:color="auto"/>
        <w:left w:val="none" w:sz="0" w:space="0" w:color="auto"/>
        <w:bottom w:val="none" w:sz="0" w:space="0" w:color="auto"/>
        <w:right w:val="none" w:sz="0" w:space="0" w:color="auto"/>
      </w:divBdr>
    </w:div>
    <w:div w:id="180583464">
      <w:bodyDiv w:val="1"/>
      <w:marLeft w:val="0"/>
      <w:marRight w:val="0"/>
      <w:marTop w:val="0"/>
      <w:marBottom w:val="0"/>
      <w:divBdr>
        <w:top w:val="none" w:sz="0" w:space="0" w:color="auto"/>
        <w:left w:val="none" w:sz="0" w:space="0" w:color="auto"/>
        <w:bottom w:val="none" w:sz="0" w:space="0" w:color="auto"/>
        <w:right w:val="none" w:sz="0" w:space="0" w:color="auto"/>
      </w:divBdr>
    </w:div>
    <w:div w:id="180819439">
      <w:bodyDiv w:val="1"/>
      <w:marLeft w:val="0"/>
      <w:marRight w:val="0"/>
      <w:marTop w:val="0"/>
      <w:marBottom w:val="0"/>
      <w:divBdr>
        <w:top w:val="none" w:sz="0" w:space="0" w:color="auto"/>
        <w:left w:val="none" w:sz="0" w:space="0" w:color="auto"/>
        <w:bottom w:val="none" w:sz="0" w:space="0" w:color="auto"/>
        <w:right w:val="none" w:sz="0" w:space="0" w:color="auto"/>
      </w:divBdr>
    </w:div>
    <w:div w:id="182327839">
      <w:bodyDiv w:val="1"/>
      <w:marLeft w:val="0"/>
      <w:marRight w:val="0"/>
      <w:marTop w:val="0"/>
      <w:marBottom w:val="0"/>
      <w:divBdr>
        <w:top w:val="none" w:sz="0" w:space="0" w:color="auto"/>
        <w:left w:val="none" w:sz="0" w:space="0" w:color="auto"/>
        <w:bottom w:val="none" w:sz="0" w:space="0" w:color="auto"/>
        <w:right w:val="none" w:sz="0" w:space="0" w:color="auto"/>
      </w:divBdr>
    </w:div>
    <w:div w:id="182669770">
      <w:bodyDiv w:val="1"/>
      <w:marLeft w:val="0"/>
      <w:marRight w:val="0"/>
      <w:marTop w:val="0"/>
      <w:marBottom w:val="0"/>
      <w:divBdr>
        <w:top w:val="none" w:sz="0" w:space="0" w:color="auto"/>
        <w:left w:val="none" w:sz="0" w:space="0" w:color="auto"/>
        <w:bottom w:val="none" w:sz="0" w:space="0" w:color="auto"/>
        <w:right w:val="none" w:sz="0" w:space="0" w:color="auto"/>
      </w:divBdr>
    </w:div>
    <w:div w:id="182867841">
      <w:bodyDiv w:val="1"/>
      <w:marLeft w:val="0"/>
      <w:marRight w:val="0"/>
      <w:marTop w:val="0"/>
      <w:marBottom w:val="0"/>
      <w:divBdr>
        <w:top w:val="none" w:sz="0" w:space="0" w:color="auto"/>
        <w:left w:val="none" w:sz="0" w:space="0" w:color="auto"/>
        <w:bottom w:val="none" w:sz="0" w:space="0" w:color="auto"/>
        <w:right w:val="none" w:sz="0" w:space="0" w:color="auto"/>
      </w:divBdr>
    </w:div>
    <w:div w:id="183053806">
      <w:bodyDiv w:val="1"/>
      <w:marLeft w:val="0"/>
      <w:marRight w:val="0"/>
      <w:marTop w:val="0"/>
      <w:marBottom w:val="0"/>
      <w:divBdr>
        <w:top w:val="none" w:sz="0" w:space="0" w:color="auto"/>
        <w:left w:val="none" w:sz="0" w:space="0" w:color="auto"/>
        <w:bottom w:val="none" w:sz="0" w:space="0" w:color="auto"/>
        <w:right w:val="none" w:sz="0" w:space="0" w:color="auto"/>
      </w:divBdr>
    </w:div>
    <w:div w:id="183061903">
      <w:bodyDiv w:val="1"/>
      <w:marLeft w:val="0"/>
      <w:marRight w:val="0"/>
      <w:marTop w:val="0"/>
      <w:marBottom w:val="0"/>
      <w:divBdr>
        <w:top w:val="none" w:sz="0" w:space="0" w:color="auto"/>
        <w:left w:val="none" w:sz="0" w:space="0" w:color="auto"/>
        <w:bottom w:val="none" w:sz="0" w:space="0" w:color="auto"/>
        <w:right w:val="none" w:sz="0" w:space="0" w:color="auto"/>
      </w:divBdr>
    </w:div>
    <w:div w:id="183062229">
      <w:bodyDiv w:val="1"/>
      <w:marLeft w:val="0"/>
      <w:marRight w:val="0"/>
      <w:marTop w:val="0"/>
      <w:marBottom w:val="0"/>
      <w:divBdr>
        <w:top w:val="none" w:sz="0" w:space="0" w:color="auto"/>
        <w:left w:val="none" w:sz="0" w:space="0" w:color="auto"/>
        <w:bottom w:val="none" w:sz="0" w:space="0" w:color="auto"/>
        <w:right w:val="none" w:sz="0" w:space="0" w:color="auto"/>
      </w:divBdr>
    </w:div>
    <w:div w:id="183131619">
      <w:bodyDiv w:val="1"/>
      <w:marLeft w:val="0"/>
      <w:marRight w:val="0"/>
      <w:marTop w:val="0"/>
      <w:marBottom w:val="0"/>
      <w:divBdr>
        <w:top w:val="none" w:sz="0" w:space="0" w:color="auto"/>
        <w:left w:val="none" w:sz="0" w:space="0" w:color="auto"/>
        <w:bottom w:val="none" w:sz="0" w:space="0" w:color="auto"/>
        <w:right w:val="none" w:sz="0" w:space="0" w:color="auto"/>
      </w:divBdr>
    </w:div>
    <w:div w:id="183787015">
      <w:bodyDiv w:val="1"/>
      <w:marLeft w:val="0"/>
      <w:marRight w:val="0"/>
      <w:marTop w:val="0"/>
      <w:marBottom w:val="0"/>
      <w:divBdr>
        <w:top w:val="none" w:sz="0" w:space="0" w:color="auto"/>
        <w:left w:val="none" w:sz="0" w:space="0" w:color="auto"/>
        <w:bottom w:val="none" w:sz="0" w:space="0" w:color="auto"/>
        <w:right w:val="none" w:sz="0" w:space="0" w:color="auto"/>
      </w:divBdr>
    </w:div>
    <w:div w:id="184098305">
      <w:bodyDiv w:val="1"/>
      <w:marLeft w:val="0"/>
      <w:marRight w:val="0"/>
      <w:marTop w:val="0"/>
      <w:marBottom w:val="0"/>
      <w:divBdr>
        <w:top w:val="none" w:sz="0" w:space="0" w:color="auto"/>
        <w:left w:val="none" w:sz="0" w:space="0" w:color="auto"/>
        <w:bottom w:val="none" w:sz="0" w:space="0" w:color="auto"/>
        <w:right w:val="none" w:sz="0" w:space="0" w:color="auto"/>
      </w:divBdr>
    </w:div>
    <w:div w:id="184172698">
      <w:bodyDiv w:val="1"/>
      <w:marLeft w:val="0"/>
      <w:marRight w:val="0"/>
      <w:marTop w:val="0"/>
      <w:marBottom w:val="0"/>
      <w:divBdr>
        <w:top w:val="none" w:sz="0" w:space="0" w:color="auto"/>
        <w:left w:val="none" w:sz="0" w:space="0" w:color="auto"/>
        <w:bottom w:val="none" w:sz="0" w:space="0" w:color="auto"/>
        <w:right w:val="none" w:sz="0" w:space="0" w:color="auto"/>
      </w:divBdr>
    </w:div>
    <w:div w:id="184640737">
      <w:bodyDiv w:val="1"/>
      <w:marLeft w:val="0"/>
      <w:marRight w:val="0"/>
      <w:marTop w:val="0"/>
      <w:marBottom w:val="0"/>
      <w:divBdr>
        <w:top w:val="none" w:sz="0" w:space="0" w:color="auto"/>
        <w:left w:val="none" w:sz="0" w:space="0" w:color="auto"/>
        <w:bottom w:val="none" w:sz="0" w:space="0" w:color="auto"/>
        <w:right w:val="none" w:sz="0" w:space="0" w:color="auto"/>
      </w:divBdr>
    </w:div>
    <w:div w:id="184944144">
      <w:bodyDiv w:val="1"/>
      <w:marLeft w:val="0"/>
      <w:marRight w:val="0"/>
      <w:marTop w:val="0"/>
      <w:marBottom w:val="0"/>
      <w:divBdr>
        <w:top w:val="none" w:sz="0" w:space="0" w:color="auto"/>
        <w:left w:val="none" w:sz="0" w:space="0" w:color="auto"/>
        <w:bottom w:val="none" w:sz="0" w:space="0" w:color="auto"/>
        <w:right w:val="none" w:sz="0" w:space="0" w:color="auto"/>
      </w:divBdr>
    </w:div>
    <w:div w:id="185339882">
      <w:bodyDiv w:val="1"/>
      <w:marLeft w:val="0"/>
      <w:marRight w:val="0"/>
      <w:marTop w:val="0"/>
      <w:marBottom w:val="0"/>
      <w:divBdr>
        <w:top w:val="none" w:sz="0" w:space="0" w:color="auto"/>
        <w:left w:val="none" w:sz="0" w:space="0" w:color="auto"/>
        <w:bottom w:val="none" w:sz="0" w:space="0" w:color="auto"/>
        <w:right w:val="none" w:sz="0" w:space="0" w:color="auto"/>
      </w:divBdr>
    </w:div>
    <w:div w:id="185681926">
      <w:bodyDiv w:val="1"/>
      <w:marLeft w:val="0"/>
      <w:marRight w:val="0"/>
      <w:marTop w:val="0"/>
      <w:marBottom w:val="0"/>
      <w:divBdr>
        <w:top w:val="none" w:sz="0" w:space="0" w:color="auto"/>
        <w:left w:val="none" w:sz="0" w:space="0" w:color="auto"/>
        <w:bottom w:val="none" w:sz="0" w:space="0" w:color="auto"/>
        <w:right w:val="none" w:sz="0" w:space="0" w:color="auto"/>
      </w:divBdr>
    </w:div>
    <w:div w:id="186063821">
      <w:bodyDiv w:val="1"/>
      <w:marLeft w:val="0"/>
      <w:marRight w:val="0"/>
      <w:marTop w:val="0"/>
      <w:marBottom w:val="0"/>
      <w:divBdr>
        <w:top w:val="none" w:sz="0" w:space="0" w:color="auto"/>
        <w:left w:val="none" w:sz="0" w:space="0" w:color="auto"/>
        <w:bottom w:val="none" w:sz="0" w:space="0" w:color="auto"/>
        <w:right w:val="none" w:sz="0" w:space="0" w:color="auto"/>
      </w:divBdr>
    </w:div>
    <w:div w:id="186798085">
      <w:bodyDiv w:val="1"/>
      <w:marLeft w:val="0"/>
      <w:marRight w:val="0"/>
      <w:marTop w:val="0"/>
      <w:marBottom w:val="0"/>
      <w:divBdr>
        <w:top w:val="none" w:sz="0" w:space="0" w:color="auto"/>
        <w:left w:val="none" w:sz="0" w:space="0" w:color="auto"/>
        <w:bottom w:val="none" w:sz="0" w:space="0" w:color="auto"/>
        <w:right w:val="none" w:sz="0" w:space="0" w:color="auto"/>
      </w:divBdr>
    </w:div>
    <w:div w:id="186992526">
      <w:bodyDiv w:val="1"/>
      <w:marLeft w:val="0"/>
      <w:marRight w:val="0"/>
      <w:marTop w:val="0"/>
      <w:marBottom w:val="0"/>
      <w:divBdr>
        <w:top w:val="none" w:sz="0" w:space="0" w:color="auto"/>
        <w:left w:val="none" w:sz="0" w:space="0" w:color="auto"/>
        <w:bottom w:val="none" w:sz="0" w:space="0" w:color="auto"/>
        <w:right w:val="none" w:sz="0" w:space="0" w:color="auto"/>
      </w:divBdr>
    </w:div>
    <w:div w:id="187305110">
      <w:bodyDiv w:val="1"/>
      <w:marLeft w:val="0"/>
      <w:marRight w:val="0"/>
      <w:marTop w:val="0"/>
      <w:marBottom w:val="0"/>
      <w:divBdr>
        <w:top w:val="none" w:sz="0" w:space="0" w:color="auto"/>
        <w:left w:val="none" w:sz="0" w:space="0" w:color="auto"/>
        <w:bottom w:val="none" w:sz="0" w:space="0" w:color="auto"/>
        <w:right w:val="none" w:sz="0" w:space="0" w:color="auto"/>
      </w:divBdr>
    </w:div>
    <w:div w:id="187834024">
      <w:bodyDiv w:val="1"/>
      <w:marLeft w:val="0"/>
      <w:marRight w:val="0"/>
      <w:marTop w:val="0"/>
      <w:marBottom w:val="0"/>
      <w:divBdr>
        <w:top w:val="none" w:sz="0" w:space="0" w:color="auto"/>
        <w:left w:val="none" w:sz="0" w:space="0" w:color="auto"/>
        <w:bottom w:val="none" w:sz="0" w:space="0" w:color="auto"/>
        <w:right w:val="none" w:sz="0" w:space="0" w:color="auto"/>
      </w:divBdr>
    </w:div>
    <w:div w:id="187913176">
      <w:bodyDiv w:val="1"/>
      <w:marLeft w:val="0"/>
      <w:marRight w:val="0"/>
      <w:marTop w:val="0"/>
      <w:marBottom w:val="0"/>
      <w:divBdr>
        <w:top w:val="none" w:sz="0" w:space="0" w:color="auto"/>
        <w:left w:val="none" w:sz="0" w:space="0" w:color="auto"/>
        <w:bottom w:val="none" w:sz="0" w:space="0" w:color="auto"/>
        <w:right w:val="none" w:sz="0" w:space="0" w:color="auto"/>
      </w:divBdr>
    </w:div>
    <w:div w:id="187988173">
      <w:bodyDiv w:val="1"/>
      <w:marLeft w:val="0"/>
      <w:marRight w:val="0"/>
      <w:marTop w:val="0"/>
      <w:marBottom w:val="0"/>
      <w:divBdr>
        <w:top w:val="none" w:sz="0" w:space="0" w:color="auto"/>
        <w:left w:val="none" w:sz="0" w:space="0" w:color="auto"/>
        <w:bottom w:val="none" w:sz="0" w:space="0" w:color="auto"/>
        <w:right w:val="none" w:sz="0" w:space="0" w:color="auto"/>
      </w:divBdr>
    </w:div>
    <w:div w:id="188106406">
      <w:bodyDiv w:val="1"/>
      <w:marLeft w:val="0"/>
      <w:marRight w:val="0"/>
      <w:marTop w:val="0"/>
      <w:marBottom w:val="0"/>
      <w:divBdr>
        <w:top w:val="none" w:sz="0" w:space="0" w:color="auto"/>
        <w:left w:val="none" w:sz="0" w:space="0" w:color="auto"/>
        <w:bottom w:val="none" w:sz="0" w:space="0" w:color="auto"/>
        <w:right w:val="none" w:sz="0" w:space="0" w:color="auto"/>
      </w:divBdr>
    </w:div>
    <w:div w:id="188226794">
      <w:bodyDiv w:val="1"/>
      <w:marLeft w:val="0"/>
      <w:marRight w:val="0"/>
      <w:marTop w:val="0"/>
      <w:marBottom w:val="0"/>
      <w:divBdr>
        <w:top w:val="none" w:sz="0" w:space="0" w:color="auto"/>
        <w:left w:val="none" w:sz="0" w:space="0" w:color="auto"/>
        <w:bottom w:val="none" w:sz="0" w:space="0" w:color="auto"/>
        <w:right w:val="none" w:sz="0" w:space="0" w:color="auto"/>
      </w:divBdr>
    </w:div>
    <w:div w:id="188420942">
      <w:bodyDiv w:val="1"/>
      <w:marLeft w:val="0"/>
      <w:marRight w:val="0"/>
      <w:marTop w:val="0"/>
      <w:marBottom w:val="0"/>
      <w:divBdr>
        <w:top w:val="none" w:sz="0" w:space="0" w:color="auto"/>
        <w:left w:val="none" w:sz="0" w:space="0" w:color="auto"/>
        <w:bottom w:val="none" w:sz="0" w:space="0" w:color="auto"/>
        <w:right w:val="none" w:sz="0" w:space="0" w:color="auto"/>
      </w:divBdr>
    </w:div>
    <w:div w:id="188838908">
      <w:bodyDiv w:val="1"/>
      <w:marLeft w:val="0"/>
      <w:marRight w:val="0"/>
      <w:marTop w:val="0"/>
      <w:marBottom w:val="0"/>
      <w:divBdr>
        <w:top w:val="none" w:sz="0" w:space="0" w:color="auto"/>
        <w:left w:val="none" w:sz="0" w:space="0" w:color="auto"/>
        <w:bottom w:val="none" w:sz="0" w:space="0" w:color="auto"/>
        <w:right w:val="none" w:sz="0" w:space="0" w:color="auto"/>
      </w:divBdr>
    </w:div>
    <w:div w:id="189268494">
      <w:bodyDiv w:val="1"/>
      <w:marLeft w:val="0"/>
      <w:marRight w:val="0"/>
      <w:marTop w:val="0"/>
      <w:marBottom w:val="0"/>
      <w:divBdr>
        <w:top w:val="none" w:sz="0" w:space="0" w:color="auto"/>
        <w:left w:val="none" w:sz="0" w:space="0" w:color="auto"/>
        <w:bottom w:val="none" w:sz="0" w:space="0" w:color="auto"/>
        <w:right w:val="none" w:sz="0" w:space="0" w:color="auto"/>
      </w:divBdr>
    </w:div>
    <w:div w:id="189606143">
      <w:bodyDiv w:val="1"/>
      <w:marLeft w:val="0"/>
      <w:marRight w:val="0"/>
      <w:marTop w:val="0"/>
      <w:marBottom w:val="0"/>
      <w:divBdr>
        <w:top w:val="none" w:sz="0" w:space="0" w:color="auto"/>
        <w:left w:val="none" w:sz="0" w:space="0" w:color="auto"/>
        <w:bottom w:val="none" w:sz="0" w:space="0" w:color="auto"/>
        <w:right w:val="none" w:sz="0" w:space="0" w:color="auto"/>
      </w:divBdr>
    </w:div>
    <w:div w:id="189730775">
      <w:bodyDiv w:val="1"/>
      <w:marLeft w:val="0"/>
      <w:marRight w:val="0"/>
      <w:marTop w:val="0"/>
      <w:marBottom w:val="0"/>
      <w:divBdr>
        <w:top w:val="none" w:sz="0" w:space="0" w:color="auto"/>
        <w:left w:val="none" w:sz="0" w:space="0" w:color="auto"/>
        <w:bottom w:val="none" w:sz="0" w:space="0" w:color="auto"/>
        <w:right w:val="none" w:sz="0" w:space="0" w:color="auto"/>
      </w:divBdr>
    </w:div>
    <w:div w:id="190077037">
      <w:bodyDiv w:val="1"/>
      <w:marLeft w:val="0"/>
      <w:marRight w:val="0"/>
      <w:marTop w:val="0"/>
      <w:marBottom w:val="0"/>
      <w:divBdr>
        <w:top w:val="none" w:sz="0" w:space="0" w:color="auto"/>
        <w:left w:val="none" w:sz="0" w:space="0" w:color="auto"/>
        <w:bottom w:val="none" w:sz="0" w:space="0" w:color="auto"/>
        <w:right w:val="none" w:sz="0" w:space="0" w:color="auto"/>
      </w:divBdr>
    </w:div>
    <w:div w:id="190194308">
      <w:bodyDiv w:val="1"/>
      <w:marLeft w:val="0"/>
      <w:marRight w:val="0"/>
      <w:marTop w:val="0"/>
      <w:marBottom w:val="0"/>
      <w:divBdr>
        <w:top w:val="none" w:sz="0" w:space="0" w:color="auto"/>
        <w:left w:val="none" w:sz="0" w:space="0" w:color="auto"/>
        <w:bottom w:val="none" w:sz="0" w:space="0" w:color="auto"/>
        <w:right w:val="none" w:sz="0" w:space="0" w:color="auto"/>
      </w:divBdr>
    </w:div>
    <w:div w:id="190268693">
      <w:bodyDiv w:val="1"/>
      <w:marLeft w:val="0"/>
      <w:marRight w:val="0"/>
      <w:marTop w:val="0"/>
      <w:marBottom w:val="0"/>
      <w:divBdr>
        <w:top w:val="none" w:sz="0" w:space="0" w:color="auto"/>
        <w:left w:val="none" w:sz="0" w:space="0" w:color="auto"/>
        <w:bottom w:val="none" w:sz="0" w:space="0" w:color="auto"/>
        <w:right w:val="none" w:sz="0" w:space="0" w:color="auto"/>
      </w:divBdr>
    </w:div>
    <w:div w:id="190270023">
      <w:bodyDiv w:val="1"/>
      <w:marLeft w:val="0"/>
      <w:marRight w:val="0"/>
      <w:marTop w:val="0"/>
      <w:marBottom w:val="0"/>
      <w:divBdr>
        <w:top w:val="none" w:sz="0" w:space="0" w:color="auto"/>
        <w:left w:val="none" w:sz="0" w:space="0" w:color="auto"/>
        <w:bottom w:val="none" w:sz="0" w:space="0" w:color="auto"/>
        <w:right w:val="none" w:sz="0" w:space="0" w:color="auto"/>
      </w:divBdr>
    </w:div>
    <w:div w:id="190993155">
      <w:bodyDiv w:val="1"/>
      <w:marLeft w:val="0"/>
      <w:marRight w:val="0"/>
      <w:marTop w:val="0"/>
      <w:marBottom w:val="0"/>
      <w:divBdr>
        <w:top w:val="none" w:sz="0" w:space="0" w:color="auto"/>
        <w:left w:val="none" w:sz="0" w:space="0" w:color="auto"/>
        <w:bottom w:val="none" w:sz="0" w:space="0" w:color="auto"/>
        <w:right w:val="none" w:sz="0" w:space="0" w:color="auto"/>
      </w:divBdr>
    </w:div>
    <w:div w:id="191118848">
      <w:bodyDiv w:val="1"/>
      <w:marLeft w:val="0"/>
      <w:marRight w:val="0"/>
      <w:marTop w:val="0"/>
      <w:marBottom w:val="0"/>
      <w:divBdr>
        <w:top w:val="none" w:sz="0" w:space="0" w:color="auto"/>
        <w:left w:val="none" w:sz="0" w:space="0" w:color="auto"/>
        <w:bottom w:val="none" w:sz="0" w:space="0" w:color="auto"/>
        <w:right w:val="none" w:sz="0" w:space="0" w:color="auto"/>
      </w:divBdr>
    </w:div>
    <w:div w:id="191724749">
      <w:bodyDiv w:val="1"/>
      <w:marLeft w:val="0"/>
      <w:marRight w:val="0"/>
      <w:marTop w:val="0"/>
      <w:marBottom w:val="0"/>
      <w:divBdr>
        <w:top w:val="none" w:sz="0" w:space="0" w:color="auto"/>
        <w:left w:val="none" w:sz="0" w:space="0" w:color="auto"/>
        <w:bottom w:val="none" w:sz="0" w:space="0" w:color="auto"/>
        <w:right w:val="none" w:sz="0" w:space="0" w:color="auto"/>
      </w:divBdr>
    </w:div>
    <w:div w:id="191915574">
      <w:bodyDiv w:val="1"/>
      <w:marLeft w:val="0"/>
      <w:marRight w:val="0"/>
      <w:marTop w:val="0"/>
      <w:marBottom w:val="0"/>
      <w:divBdr>
        <w:top w:val="none" w:sz="0" w:space="0" w:color="auto"/>
        <w:left w:val="none" w:sz="0" w:space="0" w:color="auto"/>
        <w:bottom w:val="none" w:sz="0" w:space="0" w:color="auto"/>
        <w:right w:val="none" w:sz="0" w:space="0" w:color="auto"/>
      </w:divBdr>
    </w:div>
    <w:div w:id="192157168">
      <w:bodyDiv w:val="1"/>
      <w:marLeft w:val="0"/>
      <w:marRight w:val="0"/>
      <w:marTop w:val="0"/>
      <w:marBottom w:val="0"/>
      <w:divBdr>
        <w:top w:val="none" w:sz="0" w:space="0" w:color="auto"/>
        <w:left w:val="none" w:sz="0" w:space="0" w:color="auto"/>
        <w:bottom w:val="none" w:sz="0" w:space="0" w:color="auto"/>
        <w:right w:val="none" w:sz="0" w:space="0" w:color="auto"/>
      </w:divBdr>
    </w:div>
    <w:div w:id="193080379">
      <w:bodyDiv w:val="1"/>
      <w:marLeft w:val="0"/>
      <w:marRight w:val="0"/>
      <w:marTop w:val="0"/>
      <w:marBottom w:val="0"/>
      <w:divBdr>
        <w:top w:val="none" w:sz="0" w:space="0" w:color="auto"/>
        <w:left w:val="none" w:sz="0" w:space="0" w:color="auto"/>
        <w:bottom w:val="none" w:sz="0" w:space="0" w:color="auto"/>
        <w:right w:val="none" w:sz="0" w:space="0" w:color="auto"/>
      </w:divBdr>
    </w:div>
    <w:div w:id="193806706">
      <w:bodyDiv w:val="1"/>
      <w:marLeft w:val="0"/>
      <w:marRight w:val="0"/>
      <w:marTop w:val="0"/>
      <w:marBottom w:val="0"/>
      <w:divBdr>
        <w:top w:val="none" w:sz="0" w:space="0" w:color="auto"/>
        <w:left w:val="none" w:sz="0" w:space="0" w:color="auto"/>
        <w:bottom w:val="none" w:sz="0" w:space="0" w:color="auto"/>
        <w:right w:val="none" w:sz="0" w:space="0" w:color="auto"/>
      </w:divBdr>
    </w:div>
    <w:div w:id="194002535">
      <w:bodyDiv w:val="1"/>
      <w:marLeft w:val="0"/>
      <w:marRight w:val="0"/>
      <w:marTop w:val="0"/>
      <w:marBottom w:val="0"/>
      <w:divBdr>
        <w:top w:val="none" w:sz="0" w:space="0" w:color="auto"/>
        <w:left w:val="none" w:sz="0" w:space="0" w:color="auto"/>
        <w:bottom w:val="none" w:sz="0" w:space="0" w:color="auto"/>
        <w:right w:val="none" w:sz="0" w:space="0" w:color="auto"/>
      </w:divBdr>
    </w:div>
    <w:div w:id="194776002">
      <w:bodyDiv w:val="1"/>
      <w:marLeft w:val="0"/>
      <w:marRight w:val="0"/>
      <w:marTop w:val="0"/>
      <w:marBottom w:val="0"/>
      <w:divBdr>
        <w:top w:val="none" w:sz="0" w:space="0" w:color="auto"/>
        <w:left w:val="none" w:sz="0" w:space="0" w:color="auto"/>
        <w:bottom w:val="none" w:sz="0" w:space="0" w:color="auto"/>
        <w:right w:val="none" w:sz="0" w:space="0" w:color="auto"/>
      </w:divBdr>
    </w:div>
    <w:div w:id="194930623">
      <w:bodyDiv w:val="1"/>
      <w:marLeft w:val="0"/>
      <w:marRight w:val="0"/>
      <w:marTop w:val="0"/>
      <w:marBottom w:val="0"/>
      <w:divBdr>
        <w:top w:val="none" w:sz="0" w:space="0" w:color="auto"/>
        <w:left w:val="none" w:sz="0" w:space="0" w:color="auto"/>
        <w:bottom w:val="none" w:sz="0" w:space="0" w:color="auto"/>
        <w:right w:val="none" w:sz="0" w:space="0" w:color="auto"/>
      </w:divBdr>
    </w:div>
    <w:div w:id="195192354">
      <w:bodyDiv w:val="1"/>
      <w:marLeft w:val="0"/>
      <w:marRight w:val="0"/>
      <w:marTop w:val="0"/>
      <w:marBottom w:val="0"/>
      <w:divBdr>
        <w:top w:val="none" w:sz="0" w:space="0" w:color="auto"/>
        <w:left w:val="none" w:sz="0" w:space="0" w:color="auto"/>
        <w:bottom w:val="none" w:sz="0" w:space="0" w:color="auto"/>
        <w:right w:val="none" w:sz="0" w:space="0" w:color="auto"/>
      </w:divBdr>
    </w:div>
    <w:div w:id="195780070">
      <w:bodyDiv w:val="1"/>
      <w:marLeft w:val="0"/>
      <w:marRight w:val="0"/>
      <w:marTop w:val="0"/>
      <w:marBottom w:val="0"/>
      <w:divBdr>
        <w:top w:val="none" w:sz="0" w:space="0" w:color="auto"/>
        <w:left w:val="none" w:sz="0" w:space="0" w:color="auto"/>
        <w:bottom w:val="none" w:sz="0" w:space="0" w:color="auto"/>
        <w:right w:val="none" w:sz="0" w:space="0" w:color="auto"/>
      </w:divBdr>
    </w:div>
    <w:div w:id="195848200">
      <w:bodyDiv w:val="1"/>
      <w:marLeft w:val="0"/>
      <w:marRight w:val="0"/>
      <w:marTop w:val="0"/>
      <w:marBottom w:val="0"/>
      <w:divBdr>
        <w:top w:val="none" w:sz="0" w:space="0" w:color="auto"/>
        <w:left w:val="none" w:sz="0" w:space="0" w:color="auto"/>
        <w:bottom w:val="none" w:sz="0" w:space="0" w:color="auto"/>
        <w:right w:val="none" w:sz="0" w:space="0" w:color="auto"/>
      </w:divBdr>
    </w:div>
    <w:div w:id="196549649">
      <w:bodyDiv w:val="1"/>
      <w:marLeft w:val="0"/>
      <w:marRight w:val="0"/>
      <w:marTop w:val="0"/>
      <w:marBottom w:val="0"/>
      <w:divBdr>
        <w:top w:val="none" w:sz="0" w:space="0" w:color="auto"/>
        <w:left w:val="none" w:sz="0" w:space="0" w:color="auto"/>
        <w:bottom w:val="none" w:sz="0" w:space="0" w:color="auto"/>
        <w:right w:val="none" w:sz="0" w:space="0" w:color="auto"/>
      </w:divBdr>
    </w:div>
    <w:div w:id="196889310">
      <w:bodyDiv w:val="1"/>
      <w:marLeft w:val="0"/>
      <w:marRight w:val="0"/>
      <w:marTop w:val="0"/>
      <w:marBottom w:val="0"/>
      <w:divBdr>
        <w:top w:val="none" w:sz="0" w:space="0" w:color="auto"/>
        <w:left w:val="none" w:sz="0" w:space="0" w:color="auto"/>
        <w:bottom w:val="none" w:sz="0" w:space="0" w:color="auto"/>
        <w:right w:val="none" w:sz="0" w:space="0" w:color="auto"/>
      </w:divBdr>
    </w:div>
    <w:div w:id="197209817">
      <w:bodyDiv w:val="1"/>
      <w:marLeft w:val="0"/>
      <w:marRight w:val="0"/>
      <w:marTop w:val="0"/>
      <w:marBottom w:val="0"/>
      <w:divBdr>
        <w:top w:val="none" w:sz="0" w:space="0" w:color="auto"/>
        <w:left w:val="none" w:sz="0" w:space="0" w:color="auto"/>
        <w:bottom w:val="none" w:sz="0" w:space="0" w:color="auto"/>
        <w:right w:val="none" w:sz="0" w:space="0" w:color="auto"/>
      </w:divBdr>
    </w:div>
    <w:div w:id="197743500">
      <w:bodyDiv w:val="1"/>
      <w:marLeft w:val="0"/>
      <w:marRight w:val="0"/>
      <w:marTop w:val="0"/>
      <w:marBottom w:val="0"/>
      <w:divBdr>
        <w:top w:val="none" w:sz="0" w:space="0" w:color="auto"/>
        <w:left w:val="none" w:sz="0" w:space="0" w:color="auto"/>
        <w:bottom w:val="none" w:sz="0" w:space="0" w:color="auto"/>
        <w:right w:val="none" w:sz="0" w:space="0" w:color="auto"/>
      </w:divBdr>
    </w:div>
    <w:div w:id="197789203">
      <w:bodyDiv w:val="1"/>
      <w:marLeft w:val="0"/>
      <w:marRight w:val="0"/>
      <w:marTop w:val="0"/>
      <w:marBottom w:val="0"/>
      <w:divBdr>
        <w:top w:val="none" w:sz="0" w:space="0" w:color="auto"/>
        <w:left w:val="none" w:sz="0" w:space="0" w:color="auto"/>
        <w:bottom w:val="none" w:sz="0" w:space="0" w:color="auto"/>
        <w:right w:val="none" w:sz="0" w:space="0" w:color="auto"/>
      </w:divBdr>
    </w:div>
    <w:div w:id="197816525">
      <w:bodyDiv w:val="1"/>
      <w:marLeft w:val="0"/>
      <w:marRight w:val="0"/>
      <w:marTop w:val="0"/>
      <w:marBottom w:val="0"/>
      <w:divBdr>
        <w:top w:val="none" w:sz="0" w:space="0" w:color="auto"/>
        <w:left w:val="none" w:sz="0" w:space="0" w:color="auto"/>
        <w:bottom w:val="none" w:sz="0" w:space="0" w:color="auto"/>
        <w:right w:val="none" w:sz="0" w:space="0" w:color="auto"/>
      </w:divBdr>
    </w:div>
    <w:div w:id="198082317">
      <w:bodyDiv w:val="1"/>
      <w:marLeft w:val="0"/>
      <w:marRight w:val="0"/>
      <w:marTop w:val="0"/>
      <w:marBottom w:val="0"/>
      <w:divBdr>
        <w:top w:val="none" w:sz="0" w:space="0" w:color="auto"/>
        <w:left w:val="none" w:sz="0" w:space="0" w:color="auto"/>
        <w:bottom w:val="none" w:sz="0" w:space="0" w:color="auto"/>
        <w:right w:val="none" w:sz="0" w:space="0" w:color="auto"/>
      </w:divBdr>
    </w:div>
    <w:div w:id="198201056">
      <w:bodyDiv w:val="1"/>
      <w:marLeft w:val="0"/>
      <w:marRight w:val="0"/>
      <w:marTop w:val="0"/>
      <w:marBottom w:val="0"/>
      <w:divBdr>
        <w:top w:val="none" w:sz="0" w:space="0" w:color="auto"/>
        <w:left w:val="none" w:sz="0" w:space="0" w:color="auto"/>
        <w:bottom w:val="none" w:sz="0" w:space="0" w:color="auto"/>
        <w:right w:val="none" w:sz="0" w:space="0" w:color="auto"/>
      </w:divBdr>
    </w:div>
    <w:div w:id="198396335">
      <w:bodyDiv w:val="1"/>
      <w:marLeft w:val="0"/>
      <w:marRight w:val="0"/>
      <w:marTop w:val="0"/>
      <w:marBottom w:val="0"/>
      <w:divBdr>
        <w:top w:val="none" w:sz="0" w:space="0" w:color="auto"/>
        <w:left w:val="none" w:sz="0" w:space="0" w:color="auto"/>
        <w:bottom w:val="none" w:sz="0" w:space="0" w:color="auto"/>
        <w:right w:val="none" w:sz="0" w:space="0" w:color="auto"/>
      </w:divBdr>
    </w:div>
    <w:div w:id="198444918">
      <w:bodyDiv w:val="1"/>
      <w:marLeft w:val="0"/>
      <w:marRight w:val="0"/>
      <w:marTop w:val="0"/>
      <w:marBottom w:val="0"/>
      <w:divBdr>
        <w:top w:val="none" w:sz="0" w:space="0" w:color="auto"/>
        <w:left w:val="none" w:sz="0" w:space="0" w:color="auto"/>
        <w:bottom w:val="none" w:sz="0" w:space="0" w:color="auto"/>
        <w:right w:val="none" w:sz="0" w:space="0" w:color="auto"/>
      </w:divBdr>
    </w:div>
    <w:div w:id="198469387">
      <w:bodyDiv w:val="1"/>
      <w:marLeft w:val="0"/>
      <w:marRight w:val="0"/>
      <w:marTop w:val="0"/>
      <w:marBottom w:val="0"/>
      <w:divBdr>
        <w:top w:val="none" w:sz="0" w:space="0" w:color="auto"/>
        <w:left w:val="none" w:sz="0" w:space="0" w:color="auto"/>
        <w:bottom w:val="none" w:sz="0" w:space="0" w:color="auto"/>
        <w:right w:val="none" w:sz="0" w:space="0" w:color="auto"/>
      </w:divBdr>
    </w:div>
    <w:div w:id="198517568">
      <w:bodyDiv w:val="1"/>
      <w:marLeft w:val="0"/>
      <w:marRight w:val="0"/>
      <w:marTop w:val="0"/>
      <w:marBottom w:val="0"/>
      <w:divBdr>
        <w:top w:val="none" w:sz="0" w:space="0" w:color="auto"/>
        <w:left w:val="none" w:sz="0" w:space="0" w:color="auto"/>
        <w:bottom w:val="none" w:sz="0" w:space="0" w:color="auto"/>
        <w:right w:val="none" w:sz="0" w:space="0" w:color="auto"/>
      </w:divBdr>
    </w:div>
    <w:div w:id="198931066">
      <w:bodyDiv w:val="1"/>
      <w:marLeft w:val="0"/>
      <w:marRight w:val="0"/>
      <w:marTop w:val="0"/>
      <w:marBottom w:val="0"/>
      <w:divBdr>
        <w:top w:val="none" w:sz="0" w:space="0" w:color="auto"/>
        <w:left w:val="none" w:sz="0" w:space="0" w:color="auto"/>
        <w:bottom w:val="none" w:sz="0" w:space="0" w:color="auto"/>
        <w:right w:val="none" w:sz="0" w:space="0" w:color="auto"/>
      </w:divBdr>
    </w:div>
    <w:div w:id="199435270">
      <w:bodyDiv w:val="1"/>
      <w:marLeft w:val="0"/>
      <w:marRight w:val="0"/>
      <w:marTop w:val="0"/>
      <w:marBottom w:val="0"/>
      <w:divBdr>
        <w:top w:val="none" w:sz="0" w:space="0" w:color="auto"/>
        <w:left w:val="none" w:sz="0" w:space="0" w:color="auto"/>
        <w:bottom w:val="none" w:sz="0" w:space="0" w:color="auto"/>
        <w:right w:val="none" w:sz="0" w:space="0" w:color="auto"/>
      </w:divBdr>
    </w:div>
    <w:div w:id="199443730">
      <w:bodyDiv w:val="1"/>
      <w:marLeft w:val="0"/>
      <w:marRight w:val="0"/>
      <w:marTop w:val="0"/>
      <w:marBottom w:val="0"/>
      <w:divBdr>
        <w:top w:val="none" w:sz="0" w:space="0" w:color="auto"/>
        <w:left w:val="none" w:sz="0" w:space="0" w:color="auto"/>
        <w:bottom w:val="none" w:sz="0" w:space="0" w:color="auto"/>
        <w:right w:val="none" w:sz="0" w:space="0" w:color="auto"/>
      </w:divBdr>
    </w:div>
    <w:div w:id="199822024">
      <w:bodyDiv w:val="1"/>
      <w:marLeft w:val="0"/>
      <w:marRight w:val="0"/>
      <w:marTop w:val="0"/>
      <w:marBottom w:val="0"/>
      <w:divBdr>
        <w:top w:val="none" w:sz="0" w:space="0" w:color="auto"/>
        <w:left w:val="none" w:sz="0" w:space="0" w:color="auto"/>
        <w:bottom w:val="none" w:sz="0" w:space="0" w:color="auto"/>
        <w:right w:val="none" w:sz="0" w:space="0" w:color="auto"/>
      </w:divBdr>
    </w:div>
    <w:div w:id="199973980">
      <w:bodyDiv w:val="1"/>
      <w:marLeft w:val="0"/>
      <w:marRight w:val="0"/>
      <w:marTop w:val="0"/>
      <w:marBottom w:val="0"/>
      <w:divBdr>
        <w:top w:val="none" w:sz="0" w:space="0" w:color="auto"/>
        <w:left w:val="none" w:sz="0" w:space="0" w:color="auto"/>
        <w:bottom w:val="none" w:sz="0" w:space="0" w:color="auto"/>
        <w:right w:val="none" w:sz="0" w:space="0" w:color="auto"/>
      </w:divBdr>
    </w:div>
    <w:div w:id="201017495">
      <w:bodyDiv w:val="1"/>
      <w:marLeft w:val="0"/>
      <w:marRight w:val="0"/>
      <w:marTop w:val="0"/>
      <w:marBottom w:val="0"/>
      <w:divBdr>
        <w:top w:val="none" w:sz="0" w:space="0" w:color="auto"/>
        <w:left w:val="none" w:sz="0" w:space="0" w:color="auto"/>
        <w:bottom w:val="none" w:sz="0" w:space="0" w:color="auto"/>
        <w:right w:val="none" w:sz="0" w:space="0" w:color="auto"/>
      </w:divBdr>
    </w:div>
    <w:div w:id="201133152">
      <w:bodyDiv w:val="1"/>
      <w:marLeft w:val="0"/>
      <w:marRight w:val="0"/>
      <w:marTop w:val="0"/>
      <w:marBottom w:val="0"/>
      <w:divBdr>
        <w:top w:val="none" w:sz="0" w:space="0" w:color="auto"/>
        <w:left w:val="none" w:sz="0" w:space="0" w:color="auto"/>
        <w:bottom w:val="none" w:sz="0" w:space="0" w:color="auto"/>
        <w:right w:val="none" w:sz="0" w:space="0" w:color="auto"/>
      </w:divBdr>
    </w:div>
    <w:div w:id="201286045">
      <w:bodyDiv w:val="1"/>
      <w:marLeft w:val="0"/>
      <w:marRight w:val="0"/>
      <w:marTop w:val="0"/>
      <w:marBottom w:val="0"/>
      <w:divBdr>
        <w:top w:val="none" w:sz="0" w:space="0" w:color="auto"/>
        <w:left w:val="none" w:sz="0" w:space="0" w:color="auto"/>
        <w:bottom w:val="none" w:sz="0" w:space="0" w:color="auto"/>
        <w:right w:val="none" w:sz="0" w:space="0" w:color="auto"/>
      </w:divBdr>
    </w:div>
    <w:div w:id="201404260">
      <w:bodyDiv w:val="1"/>
      <w:marLeft w:val="0"/>
      <w:marRight w:val="0"/>
      <w:marTop w:val="0"/>
      <w:marBottom w:val="0"/>
      <w:divBdr>
        <w:top w:val="none" w:sz="0" w:space="0" w:color="auto"/>
        <w:left w:val="none" w:sz="0" w:space="0" w:color="auto"/>
        <w:bottom w:val="none" w:sz="0" w:space="0" w:color="auto"/>
        <w:right w:val="none" w:sz="0" w:space="0" w:color="auto"/>
      </w:divBdr>
    </w:div>
    <w:div w:id="201406848">
      <w:bodyDiv w:val="1"/>
      <w:marLeft w:val="0"/>
      <w:marRight w:val="0"/>
      <w:marTop w:val="0"/>
      <w:marBottom w:val="0"/>
      <w:divBdr>
        <w:top w:val="none" w:sz="0" w:space="0" w:color="auto"/>
        <w:left w:val="none" w:sz="0" w:space="0" w:color="auto"/>
        <w:bottom w:val="none" w:sz="0" w:space="0" w:color="auto"/>
        <w:right w:val="none" w:sz="0" w:space="0" w:color="auto"/>
      </w:divBdr>
    </w:div>
    <w:div w:id="201525748">
      <w:bodyDiv w:val="1"/>
      <w:marLeft w:val="0"/>
      <w:marRight w:val="0"/>
      <w:marTop w:val="0"/>
      <w:marBottom w:val="0"/>
      <w:divBdr>
        <w:top w:val="none" w:sz="0" w:space="0" w:color="auto"/>
        <w:left w:val="none" w:sz="0" w:space="0" w:color="auto"/>
        <w:bottom w:val="none" w:sz="0" w:space="0" w:color="auto"/>
        <w:right w:val="none" w:sz="0" w:space="0" w:color="auto"/>
      </w:divBdr>
    </w:div>
    <w:div w:id="201943764">
      <w:bodyDiv w:val="1"/>
      <w:marLeft w:val="0"/>
      <w:marRight w:val="0"/>
      <w:marTop w:val="0"/>
      <w:marBottom w:val="0"/>
      <w:divBdr>
        <w:top w:val="none" w:sz="0" w:space="0" w:color="auto"/>
        <w:left w:val="none" w:sz="0" w:space="0" w:color="auto"/>
        <w:bottom w:val="none" w:sz="0" w:space="0" w:color="auto"/>
        <w:right w:val="none" w:sz="0" w:space="0" w:color="auto"/>
      </w:divBdr>
    </w:div>
    <w:div w:id="202795006">
      <w:bodyDiv w:val="1"/>
      <w:marLeft w:val="0"/>
      <w:marRight w:val="0"/>
      <w:marTop w:val="0"/>
      <w:marBottom w:val="0"/>
      <w:divBdr>
        <w:top w:val="none" w:sz="0" w:space="0" w:color="auto"/>
        <w:left w:val="none" w:sz="0" w:space="0" w:color="auto"/>
        <w:bottom w:val="none" w:sz="0" w:space="0" w:color="auto"/>
        <w:right w:val="none" w:sz="0" w:space="0" w:color="auto"/>
      </w:divBdr>
    </w:div>
    <w:div w:id="203324219">
      <w:bodyDiv w:val="1"/>
      <w:marLeft w:val="0"/>
      <w:marRight w:val="0"/>
      <w:marTop w:val="0"/>
      <w:marBottom w:val="0"/>
      <w:divBdr>
        <w:top w:val="none" w:sz="0" w:space="0" w:color="auto"/>
        <w:left w:val="none" w:sz="0" w:space="0" w:color="auto"/>
        <w:bottom w:val="none" w:sz="0" w:space="0" w:color="auto"/>
        <w:right w:val="none" w:sz="0" w:space="0" w:color="auto"/>
      </w:divBdr>
    </w:div>
    <w:div w:id="203908758">
      <w:bodyDiv w:val="1"/>
      <w:marLeft w:val="0"/>
      <w:marRight w:val="0"/>
      <w:marTop w:val="0"/>
      <w:marBottom w:val="0"/>
      <w:divBdr>
        <w:top w:val="none" w:sz="0" w:space="0" w:color="auto"/>
        <w:left w:val="none" w:sz="0" w:space="0" w:color="auto"/>
        <w:bottom w:val="none" w:sz="0" w:space="0" w:color="auto"/>
        <w:right w:val="none" w:sz="0" w:space="0" w:color="auto"/>
      </w:divBdr>
    </w:div>
    <w:div w:id="204293758">
      <w:bodyDiv w:val="1"/>
      <w:marLeft w:val="0"/>
      <w:marRight w:val="0"/>
      <w:marTop w:val="0"/>
      <w:marBottom w:val="0"/>
      <w:divBdr>
        <w:top w:val="none" w:sz="0" w:space="0" w:color="auto"/>
        <w:left w:val="none" w:sz="0" w:space="0" w:color="auto"/>
        <w:bottom w:val="none" w:sz="0" w:space="0" w:color="auto"/>
        <w:right w:val="none" w:sz="0" w:space="0" w:color="auto"/>
      </w:divBdr>
    </w:div>
    <w:div w:id="204369758">
      <w:bodyDiv w:val="1"/>
      <w:marLeft w:val="0"/>
      <w:marRight w:val="0"/>
      <w:marTop w:val="0"/>
      <w:marBottom w:val="0"/>
      <w:divBdr>
        <w:top w:val="none" w:sz="0" w:space="0" w:color="auto"/>
        <w:left w:val="none" w:sz="0" w:space="0" w:color="auto"/>
        <w:bottom w:val="none" w:sz="0" w:space="0" w:color="auto"/>
        <w:right w:val="none" w:sz="0" w:space="0" w:color="auto"/>
      </w:divBdr>
    </w:div>
    <w:div w:id="204373051">
      <w:bodyDiv w:val="1"/>
      <w:marLeft w:val="0"/>
      <w:marRight w:val="0"/>
      <w:marTop w:val="0"/>
      <w:marBottom w:val="0"/>
      <w:divBdr>
        <w:top w:val="none" w:sz="0" w:space="0" w:color="auto"/>
        <w:left w:val="none" w:sz="0" w:space="0" w:color="auto"/>
        <w:bottom w:val="none" w:sz="0" w:space="0" w:color="auto"/>
        <w:right w:val="none" w:sz="0" w:space="0" w:color="auto"/>
      </w:divBdr>
    </w:div>
    <w:div w:id="204683396">
      <w:bodyDiv w:val="1"/>
      <w:marLeft w:val="0"/>
      <w:marRight w:val="0"/>
      <w:marTop w:val="0"/>
      <w:marBottom w:val="0"/>
      <w:divBdr>
        <w:top w:val="none" w:sz="0" w:space="0" w:color="auto"/>
        <w:left w:val="none" w:sz="0" w:space="0" w:color="auto"/>
        <w:bottom w:val="none" w:sz="0" w:space="0" w:color="auto"/>
        <w:right w:val="none" w:sz="0" w:space="0" w:color="auto"/>
      </w:divBdr>
    </w:div>
    <w:div w:id="205605476">
      <w:bodyDiv w:val="1"/>
      <w:marLeft w:val="0"/>
      <w:marRight w:val="0"/>
      <w:marTop w:val="0"/>
      <w:marBottom w:val="0"/>
      <w:divBdr>
        <w:top w:val="none" w:sz="0" w:space="0" w:color="auto"/>
        <w:left w:val="none" w:sz="0" w:space="0" w:color="auto"/>
        <w:bottom w:val="none" w:sz="0" w:space="0" w:color="auto"/>
        <w:right w:val="none" w:sz="0" w:space="0" w:color="auto"/>
      </w:divBdr>
    </w:div>
    <w:div w:id="206532757">
      <w:bodyDiv w:val="1"/>
      <w:marLeft w:val="0"/>
      <w:marRight w:val="0"/>
      <w:marTop w:val="0"/>
      <w:marBottom w:val="0"/>
      <w:divBdr>
        <w:top w:val="none" w:sz="0" w:space="0" w:color="auto"/>
        <w:left w:val="none" w:sz="0" w:space="0" w:color="auto"/>
        <w:bottom w:val="none" w:sz="0" w:space="0" w:color="auto"/>
        <w:right w:val="none" w:sz="0" w:space="0" w:color="auto"/>
      </w:divBdr>
    </w:div>
    <w:div w:id="206725946">
      <w:bodyDiv w:val="1"/>
      <w:marLeft w:val="0"/>
      <w:marRight w:val="0"/>
      <w:marTop w:val="0"/>
      <w:marBottom w:val="0"/>
      <w:divBdr>
        <w:top w:val="none" w:sz="0" w:space="0" w:color="auto"/>
        <w:left w:val="none" w:sz="0" w:space="0" w:color="auto"/>
        <w:bottom w:val="none" w:sz="0" w:space="0" w:color="auto"/>
        <w:right w:val="none" w:sz="0" w:space="0" w:color="auto"/>
      </w:divBdr>
    </w:div>
    <w:div w:id="207183788">
      <w:bodyDiv w:val="1"/>
      <w:marLeft w:val="0"/>
      <w:marRight w:val="0"/>
      <w:marTop w:val="0"/>
      <w:marBottom w:val="0"/>
      <w:divBdr>
        <w:top w:val="none" w:sz="0" w:space="0" w:color="auto"/>
        <w:left w:val="none" w:sz="0" w:space="0" w:color="auto"/>
        <w:bottom w:val="none" w:sz="0" w:space="0" w:color="auto"/>
        <w:right w:val="none" w:sz="0" w:space="0" w:color="auto"/>
      </w:divBdr>
    </w:div>
    <w:div w:id="207648330">
      <w:bodyDiv w:val="1"/>
      <w:marLeft w:val="0"/>
      <w:marRight w:val="0"/>
      <w:marTop w:val="0"/>
      <w:marBottom w:val="0"/>
      <w:divBdr>
        <w:top w:val="none" w:sz="0" w:space="0" w:color="auto"/>
        <w:left w:val="none" w:sz="0" w:space="0" w:color="auto"/>
        <w:bottom w:val="none" w:sz="0" w:space="0" w:color="auto"/>
        <w:right w:val="none" w:sz="0" w:space="0" w:color="auto"/>
      </w:divBdr>
    </w:div>
    <w:div w:id="208492310">
      <w:bodyDiv w:val="1"/>
      <w:marLeft w:val="0"/>
      <w:marRight w:val="0"/>
      <w:marTop w:val="0"/>
      <w:marBottom w:val="0"/>
      <w:divBdr>
        <w:top w:val="none" w:sz="0" w:space="0" w:color="auto"/>
        <w:left w:val="none" w:sz="0" w:space="0" w:color="auto"/>
        <w:bottom w:val="none" w:sz="0" w:space="0" w:color="auto"/>
        <w:right w:val="none" w:sz="0" w:space="0" w:color="auto"/>
      </w:divBdr>
    </w:div>
    <w:div w:id="208535692">
      <w:bodyDiv w:val="1"/>
      <w:marLeft w:val="0"/>
      <w:marRight w:val="0"/>
      <w:marTop w:val="0"/>
      <w:marBottom w:val="0"/>
      <w:divBdr>
        <w:top w:val="none" w:sz="0" w:space="0" w:color="auto"/>
        <w:left w:val="none" w:sz="0" w:space="0" w:color="auto"/>
        <w:bottom w:val="none" w:sz="0" w:space="0" w:color="auto"/>
        <w:right w:val="none" w:sz="0" w:space="0" w:color="auto"/>
      </w:divBdr>
    </w:div>
    <w:div w:id="208609500">
      <w:bodyDiv w:val="1"/>
      <w:marLeft w:val="0"/>
      <w:marRight w:val="0"/>
      <w:marTop w:val="0"/>
      <w:marBottom w:val="0"/>
      <w:divBdr>
        <w:top w:val="none" w:sz="0" w:space="0" w:color="auto"/>
        <w:left w:val="none" w:sz="0" w:space="0" w:color="auto"/>
        <w:bottom w:val="none" w:sz="0" w:space="0" w:color="auto"/>
        <w:right w:val="none" w:sz="0" w:space="0" w:color="auto"/>
      </w:divBdr>
    </w:div>
    <w:div w:id="208684016">
      <w:bodyDiv w:val="1"/>
      <w:marLeft w:val="0"/>
      <w:marRight w:val="0"/>
      <w:marTop w:val="0"/>
      <w:marBottom w:val="0"/>
      <w:divBdr>
        <w:top w:val="none" w:sz="0" w:space="0" w:color="auto"/>
        <w:left w:val="none" w:sz="0" w:space="0" w:color="auto"/>
        <w:bottom w:val="none" w:sz="0" w:space="0" w:color="auto"/>
        <w:right w:val="none" w:sz="0" w:space="0" w:color="auto"/>
      </w:divBdr>
    </w:div>
    <w:div w:id="208688970">
      <w:bodyDiv w:val="1"/>
      <w:marLeft w:val="0"/>
      <w:marRight w:val="0"/>
      <w:marTop w:val="0"/>
      <w:marBottom w:val="0"/>
      <w:divBdr>
        <w:top w:val="none" w:sz="0" w:space="0" w:color="auto"/>
        <w:left w:val="none" w:sz="0" w:space="0" w:color="auto"/>
        <w:bottom w:val="none" w:sz="0" w:space="0" w:color="auto"/>
        <w:right w:val="none" w:sz="0" w:space="0" w:color="auto"/>
      </w:divBdr>
    </w:div>
    <w:div w:id="209074686">
      <w:bodyDiv w:val="1"/>
      <w:marLeft w:val="0"/>
      <w:marRight w:val="0"/>
      <w:marTop w:val="0"/>
      <w:marBottom w:val="0"/>
      <w:divBdr>
        <w:top w:val="none" w:sz="0" w:space="0" w:color="auto"/>
        <w:left w:val="none" w:sz="0" w:space="0" w:color="auto"/>
        <w:bottom w:val="none" w:sz="0" w:space="0" w:color="auto"/>
        <w:right w:val="none" w:sz="0" w:space="0" w:color="auto"/>
      </w:divBdr>
    </w:div>
    <w:div w:id="209077223">
      <w:bodyDiv w:val="1"/>
      <w:marLeft w:val="0"/>
      <w:marRight w:val="0"/>
      <w:marTop w:val="0"/>
      <w:marBottom w:val="0"/>
      <w:divBdr>
        <w:top w:val="none" w:sz="0" w:space="0" w:color="auto"/>
        <w:left w:val="none" w:sz="0" w:space="0" w:color="auto"/>
        <w:bottom w:val="none" w:sz="0" w:space="0" w:color="auto"/>
        <w:right w:val="none" w:sz="0" w:space="0" w:color="auto"/>
      </w:divBdr>
    </w:div>
    <w:div w:id="209420100">
      <w:bodyDiv w:val="1"/>
      <w:marLeft w:val="0"/>
      <w:marRight w:val="0"/>
      <w:marTop w:val="0"/>
      <w:marBottom w:val="0"/>
      <w:divBdr>
        <w:top w:val="none" w:sz="0" w:space="0" w:color="auto"/>
        <w:left w:val="none" w:sz="0" w:space="0" w:color="auto"/>
        <w:bottom w:val="none" w:sz="0" w:space="0" w:color="auto"/>
        <w:right w:val="none" w:sz="0" w:space="0" w:color="auto"/>
      </w:divBdr>
    </w:div>
    <w:div w:id="210267632">
      <w:bodyDiv w:val="1"/>
      <w:marLeft w:val="0"/>
      <w:marRight w:val="0"/>
      <w:marTop w:val="0"/>
      <w:marBottom w:val="0"/>
      <w:divBdr>
        <w:top w:val="none" w:sz="0" w:space="0" w:color="auto"/>
        <w:left w:val="none" w:sz="0" w:space="0" w:color="auto"/>
        <w:bottom w:val="none" w:sz="0" w:space="0" w:color="auto"/>
        <w:right w:val="none" w:sz="0" w:space="0" w:color="auto"/>
      </w:divBdr>
    </w:div>
    <w:div w:id="210574881">
      <w:bodyDiv w:val="1"/>
      <w:marLeft w:val="0"/>
      <w:marRight w:val="0"/>
      <w:marTop w:val="0"/>
      <w:marBottom w:val="0"/>
      <w:divBdr>
        <w:top w:val="none" w:sz="0" w:space="0" w:color="auto"/>
        <w:left w:val="none" w:sz="0" w:space="0" w:color="auto"/>
        <w:bottom w:val="none" w:sz="0" w:space="0" w:color="auto"/>
        <w:right w:val="none" w:sz="0" w:space="0" w:color="auto"/>
      </w:divBdr>
    </w:div>
    <w:div w:id="210926457">
      <w:bodyDiv w:val="1"/>
      <w:marLeft w:val="0"/>
      <w:marRight w:val="0"/>
      <w:marTop w:val="0"/>
      <w:marBottom w:val="0"/>
      <w:divBdr>
        <w:top w:val="none" w:sz="0" w:space="0" w:color="auto"/>
        <w:left w:val="none" w:sz="0" w:space="0" w:color="auto"/>
        <w:bottom w:val="none" w:sz="0" w:space="0" w:color="auto"/>
        <w:right w:val="none" w:sz="0" w:space="0" w:color="auto"/>
      </w:divBdr>
    </w:div>
    <w:div w:id="211112739">
      <w:bodyDiv w:val="1"/>
      <w:marLeft w:val="0"/>
      <w:marRight w:val="0"/>
      <w:marTop w:val="0"/>
      <w:marBottom w:val="0"/>
      <w:divBdr>
        <w:top w:val="none" w:sz="0" w:space="0" w:color="auto"/>
        <w:left w:val="none" w:sz="0" w:space="0" w:color="auto"/>
        <w:bottom w:val="none" w:sz="0" w:space="0" w:color="auto"/>
        <w:right w:val="none" w:sz="0" w:space="0" w:color="auto"/>
      </w:divBdr>
    </w:div>
    <w:div w:id="212349633">
      <w:bodyDiv w:val="1"/>
      <w:marLeft w:val="0"/>
      <w:marRight w:val="0"/>
      <w:marTop w:val="0"/>
      <w:marBottom w:val="0"/>
      <w:divBdr>
        <w:top w:val="none" w:sz="0" w:space="0" w:color="auto"/>
        <w:left w:val="none" w:sz="0" w:space="0" w:color="auto"/>
        <w:bottom w:val="none" w:sz="0" w:space="0" w:color="auto"/>
        <w:right w:val="none" w:sz="0" w:space="0" w:color="auto"/>
      </w:divBdr>
    </w:div>
    <w:div w:id="212427824">
      <w:bodyDiv w:val="1"/>
      <w:marLeft w:val="0"/>
      <w:marRight w:val="0"/>
      <w:marTop w:val="0"/>
      <w:marBottom w:val="0"/>
      <w:divBdr>
        <w:top w:val="none" w:sz="0" w:space="0" w:color="auto"/>
        <w:left w:val="none" w:sz="0" w:space="0" w:color="auto"/>
        <w:bottom w:val="none" w:sz="0" w:space="0" w:color="auto"/>
        <w:right w:val="none" w:sz="0" w:space="0" w:color="auto"/>
      </w:divBdr>
    </w:div>
    <w:div w:id="212736113">
      <w:bodyDiv w:val="1"/>
      <w:marLeft w:val="0"/>
      <w:marRight w:val="0"/>
      <w:marTop w:val="0"/>
      <w:marBottom w:val="0"/>
      <w:divBdr>
        <w:top w:val="none" w:sz="0" w:space="0" w:color="auto"/>
        <w:left w:val="none" w:sz="0" w:space="0" w:color="auto"/>
        <w:bottom w:val="none" w:sz="0" w:space="0" w:color="auto"/>
        <w:right w:val="none" w:sz="0" w:space="0" w:color="auto"/>
      </w:divBdr>
    </w:div>
    <w:div w:id="213586616">
      <w:bodyDiv w:val="1"/>
      <w:marLeft w:val="0"/>
      <w:marRight w:val="0"/>
      <w:marTop w:val="0"/>
      <w:marBottom w:val="0"/>
      <w:divBdr>
        <w:top w:val="none" w:sz="0" w:space="0" w:color="auto"/>
        <w:left w:val="none" w:sz="0" w:space="0" w:color="auto"/>
        <w:bottom w:val="none" w:sz="0" w:space="0" w:color="auto"/>
        <w:right w:val="none" w:sz="0" w:space="0" w:color="auto"/>
      </w:divBdr>
    </w:div>
    <w:div w:id="213855631">
      <w:bodyDiv w:val="1"/>
      <w:marLeft w:val="0"/>
      <w:marRight w:val="0"/>
      <w:marTop w:val="0"/>
      <w:marBottom w:val="0"/>
      <w:divBdr>
        <w:top w:val="none" w:sz="0" w:space="0" w:color="auto"/>
        <w:left w:val="none" w:sz="0" w:space="0" w:color="auto"/>
        <w:bottom w:val="none" w:sz="0" w:space="0" w:color="auto"/>
        <w:right w:val="none" w:sz="0" w:space="0" w:color="auto"/>
      </w:divBdr>
    </w:div>
    <w:div w:id="214128783">
      <w:bodyDiv w:val="1"/>
      <w:marLeft w:val="0"/>
      <w:marRight w:val="0"/>
      <w:marTop w:val="0"/>
      <w:marBottom w:val="0"/>
      <w:divBdr>
        <w:top w:val="none" w:sz="0" w:space="0" w:color="auto"/>
        <w:left w:val="none" w:sz="0" w:space="0" w:color="auto"/>
        <w:bottom w:val="none" w:sz="0" w:space="0" w:color="auto"/>
        <w:right w:val="none" w:sz="0" w:space="0" w:color="auto"/>
      </w:divBdr>
    </w:div>
    <w:div w:id="214318281">
      <w:bodyDiv w:val="1"/>
      <w:marLeft w:val="0"/>
      <w:marRight w:val="0"/>
      <w:marTop w:val="0"/>
      <w:marBottom w:val="0"/>
      <w:divBdr>
        <w:top w:val="none" w:sz="0" w:space="0" w:color="auto"/>
        <w:left w:val="none" w:sz="0" w:space="0" w:color="auto"/>
        <w:bottom w:val="none" w:sz="0" w:space="0" w:color="auto"/>
        <w:right w:val="none" w:sz="0" w:space="0" w:color="auto"/>
      </w:divBdr>
    </w:div>
    <w:div w:id="214585565">
      <w:bodyDiv w:val="1"/>
      <w:marLeft w:val="0"/>
      <w:marRight w:val="0"/>
      <w:marTop w:val="0"/>
      <w:marBottom w:val="0"/>
      <w:divBdr>
        <w:top w:val="none" w:sz="0" w:space="0" w:color="auto"/>
        <w:left w:val="none" w:sz="0" w:space="0" w:color="auto"/>
        <w:bottom w:val="none" w:sz="0" w:space="0" w:color="auto"/>
        <w:right w:val="none" w:sz="0" w:space="0" w:color="auto"/>
      </w:divBdr>
    </w:div>
    <w:div w:id="214630923">
      <w:bodyDiv w:val="1"/>
      <w:marLeft w:val="0"/>
      <w:marRight w:val="0"/>
      <w:marTop w:val="0"/>
      <w:marBottom w:val="0"/>
      <w:divBdr>
        <w:top w:val="none" w:sz="0" w:space="0" w:color="auto"/>
        <w:left w:val="none" w:sz="0" w:space="0" w:color="auto"/>
        <w:bottom w:val="none" w:sz="0" w:space="0" w:color="auto"/>
        <w:right w:val="none" w:sz="0" w:space="0" w:color="auto"/>
      </w:divBdr>
    </w:div>
    <w:div w:id="214658141">
      <w:bodyDiv w:val="1"/>
      <w:marLeft w:val="0"/>
      <w:marRight w:val="0"/>
      <w:marTop w:val="0"/>
      <w:marBottom w:val="0"/>
      <w:divBdr>
        <w:top w:val="none" w:sz="0" w:space="0" w:color="auto"/>
        <w:left w:val="none" w:sz="0" w:space="0" w:color="auto"/>
        <w:bottom w:val="none" w:sz="0" w:space="0" w:color="auto"/>
        <w:right w:val="none" w:sz="0" w:space="0" w:color="auto"/>
      </w:divBdr>
    </w:div>
    <w:div w:id="214897502">
      <w:bodyDiv w:val="1"/>
      <w:marLeft w:val="0"/>
      <w:marRight w:val="0"/>
      <w:marTop w:val="0"/>
      <w:marBottom w:val="0"/>
      <w:divBdr>
        <w:top w:val="none" w:sz="0" w:space="0" w:color="auto"/>
        <w:left w:val="none" w:sz="0" w:space="0" w:color="auto"/>
        <w:bottom w:val="none" w:sz="0" w:space="0" w:color="auto"/>
        <w:right w:val="none" w:sz="0" w:space="0" w:color="auto"/>
      </w:divBdr>
    </w:div>
    <w:div w:id="215043776">
      <w:bodyDiv w:val="1"/>
      <w:marLeft w:val="0"/>
      <w:marRight w:val="0"/>
      <w:marTop w:val="0"/>
      <w:marBottom w:val="0"/>
      <w:divBdr>
        <w:top w:val="none" w:sz="0" w:space="0" w:color="auto"/>
        <w:left w:val="none" w:sz="0" w:space="0" w:color="auto"/>
        <w:bottom w:val="none" w:sz="0" w:space="0" w:color="auto"/>
        <w:right w:val="none" w:sz="0" w:space="0" w:color="auto"/>
      </w:divBdr>
    </w:div>
    <w:div w:id="215313782">
      <w:bodyDiv w:val="1"/>
      <w:marLeft w:val="0"/>
      <w:marRight w:val="0"/>
      <w:marTop w:val="0"/>
      <w:marBottom w:val="0"/>
      <w:divBdr>
        <w:top w:val="none" w:sz="0" w:space="0" w:color="auto"/>
        <w:left w:val="none" w:sz="0" w:space="0" w:color="auto"/>
        <w:bottom w:val="none" w:sz="0" w:space="0" w:color="auto"/>
        <w:right w:val="none" w:sz="0" w:space="0" w:color="auto"/>
      </w:divBdr>
    </w:div>
    <w:div w:id="216480548">
      <w:bodyDiv w:val="1"/>
      <w:marLeft w:val="0"/>
      <w:marRight w:val="0"/>
      <w:marTop w:val="0"/>
      <w:marBottom w:val="0"/>
      <w:divBdr>
        <w:top w:val="none" w:sz="0" w:space="0" w:color="auto"/>
        <w:left w:val="none" w:sz="0" w:space="0" w:color="auto"/>
        <w:bottom w:val="none" w:sz="0" w:space="0" w:color="auto"/>
        <w:right w:val="none" w:sz="0" w:space="0" w:color="auto"/>
      </w:divBdr>
    </w:div>
    <w:div w:id="216862315">
      <w:bodyDiv w:val="1"/>
      <w:marLeft w:val="0"/>
      <w:marRight w:val="0"/>
      <w:marTop w:val="0"/>
      <w:marBottom w:val="0"/>
      <w:divBdr>
        <w:top w:val="none" w:sz="0" w:space="0" w:color="auto"/>
        <w:left w:val="none" w:sz="0" w:space="0" w:color="auto"/>
        <w:bottom w:val="none" w:sz="0" w:space="0" w:color="auto"/>
        <w:right w:val="none" w:sz="0" w:space="0" w:color="auto"/>
      </w:divBdr>
    </w:div>
    <w:div w:id="217128608">
      <w:bodyDiv w:val="1"/>
      <w:marLeft w:val="0"/>
      <w:marRight w:val="0"/>
      <w:marTop w:val="0"/>
      <w:marBottom w:val="0"/>
      <w:divBdr>
        <w:top w:val="none" w:sz="0" w:space="0" w:color="auto"/>
        <w:left w:val="none" w:sz="0" w:space="0" w:color="auto"/>
        <w:bottom w:val="none" w:sz="0" w:space="0" w:color="auto"/>
        <w:right w:val="none" w:sz="0" w:space="0" w:color="auto"/>
      </w:divBdr>
    </w:div>
    <w:div w:id="217252081">
      <w:bodyDiv w:val="1"/>
      <w:marLeft w:val="0"/>
      <w:marRight w:val="0"/>
      <w:marTop w:val="0"/>
      <w:marBottom w:val="0"/>
      <w:divBdr>
        <w:top w:val="none" w:sz="0" w:space="0" w:color="auto"/>
        <w:left w:val="none" w:sz="0" w:space="0" w:color="auto"/>
        <w:bottom w:val="none" w:sz="0" w:space="0" w:color="auto"/>
        <w:right w:val="none" w:sz="0" w:space="0" w:color="auto"/>
      </w:divBdr>
    </w:div>
    <w:div w:id="217674159">
      <w:bodyDiv w:val="1"/>
      <w:marLeft w:val="0"/>
      <w:marRight w:val="0"/>
      <w:marTop w:val="0"/>
      <w:marBottom w:val="0"/>
      <w:divBdr>
        <w:top w:val="none" w:sz="0" w:space="0" w:color="auto"/>
        <w:left w:val="none" w:sz="0" w:space="0" w:color="auto"/>
        <w:bottom w:val="none" w:sz="0" w:space="0" w:color="auto"/>
        <w:right w:val="none" w:sz="0" w:space="0" w:color="auto"/>
      </w:divBdr>
    </w:div>
    <w:div w:id="217907586">
      <w:bodyDiv w:val="1"/>
      <w:marLeft w:val="0"/>
      <w:marRight w:val="0"/>
      <w:marTop w:val="0"/>
      <w:marBottom w:val="0"/>
      <w:divBdr>
        <w:top w:val="none" w:sz="0" w:space="0" w:color="auto"/>
        <w:left w:val="none" w:sz="0" w:space="0" w:color="auto"/>
        <w:bottom w:val="none" w:sz="0" w:space="0" w:color="auto"/>
        <w:right w:val="none" w:sz="0" w:space="0" w:color="auto"/>
      </w:divBdr>
    </w:div>
    <w:div w:id="218328139">
      <w:bodyDiv w:val="1"/>
      <w:marLeft w:val="0"/>
      <w:marRight w:val="0"/>
      <w:marTop w:val="0"/>
      <w:marBottom w:val="0"/>
      <w:divBdr>
        <w:top w:val="none" w:sz="0" w:space="0" w:color="auto"/>
        <w:left w:val="none" w:sz="0" w:space="0" w:color="auto"/>
        <w:bottom w:val="none" w:sz="0" w:space="0" w:color="auto"/>
        <w:right w:val="none" w:sz="0" w:space="0" w:color="auto"/>
      </w:divBdr>
    </w:div>
    <w:div w:id="218396990">
      <w:bodyDiv w:val="1"/>
      <w:marLeft w:val="0"/>
      <w:marRight w:val="0"/>
      <w:marTop w:val="0"/>
      <w:marBottom w:val="0"/>
      <w:divBdr>
        <w:top w:val="none" w:sz="0" w:space="0" w:color="auto"/>
        <w:left w:val="none" w:sz="0" w:space="0" w:color="auto"/>
        <w:bottom w:val="none" w:sz="0" w:space="0" w:color="auto"/>
        <w:right w:val="none" w:sz="0" w:space="0" w:color="auto"/>
      </w:divBdr>
    </w:div>
    <w:div w:id="219292538">
      <w:bodyDiv w:val="1"/>
      <w:marLeft w:val="0"/>
      <w:marRight w:val="0"/>
      <w:marTop w:val="0"/>
      <w:marBottom w:val="0"/>
      <w:divBdr>
        <w:top w:val="none" w:sz="0" w:space="0" w:color="auto"/>
        <w:left w:val="none" w:sz="0" w:space="0" w:color="auto"/>
        <w:bottom w:val="none" w:sz="0" w:space="0" w:color="auto"/>
        <w:right w:val="none" w:sz="0" w:space="0" w:color="auto"/>
      </w:divBdr>
    </w:div>
    <w:div w:id="219826008">
      <w:bodyDiv w:val="1"/>
      <w:marLeft w:val="0"/>
      <w:marRight w:val="0"/>
      <w:marTop w:val="0"/>
      <w:marBottom w:val="0"/>
      <w:divBdr>
        <w:top w:val="none" w:sz="0" w:space="0" w:color="auto"/>
        <w:left w:val="none" w:sz="0" w:space="0" w:color="auto"/>
        <w:bottom w:val="none" w:sz="0" w:space="0" w:color="auto"/>
        <w:right w:val="none" w:sz="0" w:space="0" w:color="auto"/>
      </w:divBdr>
    </w:div>
    <w:div w:id="220143725">
      <w:bodyDiv w:val="1"/>
      <w:marLeft w:val="0"/>
      <w:marRight w:val="0"/>
      <w:marTop w:val="0"/>
      <w:marBottom w:val="0"/>
      <w:divBdr>
        <w:top w:val="none" w:sz="0" w:space="0" w:color="auto"/>
        <w:left w:val="none" w:sz="0" w:space="0" w:color="auto"/>
        <w:bottom w:val="none" w:sz="0" w:space="0" w:color="auto"/>
        <w:right w:val="none" w:sz="0" w:space="0" w:color="auto"/>
      </w:divBdr>
    </w:div>
    <w:div w:id="220405350">
      <w:bodyDiv w:val="1"/>
      <w:marLeft w:val="0"/>
      <w:marRight w:val="0"/>
      <w:marTop w:val="0"/>
      <w:marBottom w:val="0"/>
      <w:divBdr>
        <w:top w:val="none" w:sz="0" w:space="0" w:color="auto"/>
        <w:left w:val="none" w:sz="0" w:space="0" w:color="auto"/>
        <w:bottom w:val="none" w:sz="0" w:space="0" w:color="auto"/>
        <w:right w:val="none" w:sz="0" w:space="0" w:color="auto"/>
      </w:divBdr>
    </w:div>
    <w:div w:id="220482287">
      <w:bodyDiv w:val="1"/>
      <w:marLeft w:val="0"/>
      <w:marRight w:val="0"/>
      <w:marTop w:val="0"/>
      <w:marBottom w:val="0"/>
      <w:divBdr>
        <w:top w:val="none" w:sz="0" w:space="0" w:color="auto"/>
        <w:left w:val="none" w:sz="0" w:space="0" w:color="auto"/>
        <w:bottom w:val="none" w:sz="0" w:space="0" w:color="auto"/>
        <w:right w:val="none" w:sz="0" w:space="0" w:color="auto"/>
      </w:divBdr>
    </w:div>
    <w:div w:id="220673517">
      <w:bodyDiv w:val="1"/>
      <w:marLeft w:val="0"/>
      <w:marRight w:val="0"/>
      <w:marTop w:val="0"/>
      <w:marBottom w:val="0"/>
      <w:divBdr>
        <w:top w:val="none" w:sz="0" w:space="0" w:color="auto"/>
        <w:left w:val="none" w:sz="0" w:space="0" w:color="auto"/>
        <w:bottom w:val="none" w:sz="0" w:space="0" w:color="auto"/>
        <w:right w:val="none" w:sz="0" w:space="0" w:color="auto"/>
      </w:divBdr>
    </w:div>
    <w:div w:id="220677349">
      <w:bodyDiv w:val="1"/>
      <w:marLeft w:val="0"/>
      <w:marRight w:val="0"/>
      <w:marTop w:val="0"/>
      <w:marBottom w:val="0"/>
      <w:divBdr>
        <w:top w:val="none" w:sz="0" w:space="0" w:color="auto"/>
        <w:left w:val="none" w:sz="0" w:space="0" w:color="auto"/>
        <w:bottom w:val="none" w:sz="0" w:space="0" w:color="auto"/>
        <w:right w:val="none" w:sz="0" w:space="0" w:color="auto"/>
      </w:divBdr>
    </w:div>
    <w:div w:id="220754732">
      <w:bodyDiv w:val="1"/>
      <w:marLeft w:val="0"/>
      <w:marRight w:val="0"/>
      <w:marTop w:val="0"/>
      <w:marBottom w:val="0"/>
      <w:divBdr>
        <w:top w:val="none" w:sz="0" w:space="0" w:color="auto"/>
        <w:left w:val="none" w:sz="0" w:space="0" w:color="auto"/>
        <w:bottom w:val="none" w:sz="0" w:space="0" w:color="auto"/>
        <w:right w:val="none" w:sz="0" w:space="0" w:color="auto"/>
      </w:divBdr>
    </w:div>
    <w:div w:id="221059945">
      <w:bodyDiv w:val="1"/>
      <w:marLeft w:val="0"/>
      <w:marRight w:val="0"/>
      <w:marTop w:val="0"/>
      <w:marBottom w:val="0"/>
      <w:divBdr>
        <w:top w:val="none" w:sz="0" w:space="0" w:color="auto"/>
        <w:left w:val="none" w:sz="0" w:space="0" w:color="auto"/>
        <w:bottom w:val="none" w:sz="0" w:space="0" w:color="auto"/>
        <w:right w:val="none" w:sz="0" w:space="0" w:color="auto"/>
      </w:divBdr>
    </w:div>
    <w:div w:id="221259063">
      <w:bodyDiv w:val="1"/>
      <w:marLeft w:val="0"/>
      <w:marRight w:val="0"/>
      <w:marTop w:val="0"/>
      <w:marBottom w:val="0"/>
      <w:divBdr>
        <w:top w:val="none" w:sz="0" w:space="0" w:color="auto"/>
        <w:left w:val="none" w:sz="0" w:space="0" w:color="auto"/>
        <w:bottom w:val="none" w:sz="0" w:space="0" w:color="auto"/>
        <w:right w:val="none" w:sz="0" w:space="0" w:color="auto"/>
      </w:divBdr>
    </w:div>
    <w:div w:id="221646960">
      <w:bodyDiv w:val="1"/>
      <w:marLeft w:val="0"/>
      <w:marRight w:val="0"/>
      <w:marTop w:val="0"/>
      <w:marBottom w:val="0"/>
      <w:divBdr>
        <w:top w:val="none" w:sz="0" w:space="0" w:color="auto"/>
        <w:left w:val="none" w:sz="0" w:space="0" w:color="auto"/>
        <w:bottom w:val="none" w:sz="0" w:space="0" w:color="auto"/>
        <w:right w:val="none" w:sz="0" w:space="0" w:color="auto"/>
      </w:divBdr>
    </w:div>
    <w:div w:id="221721877">
      <w:bodyDiv w:val="1"/>
      <w:marLeft w:val="0"/>
      <w:marRight w:val="0"/>
      <w:marTop w:val="0"/>
      <w:marBottom w:val="0"/>
      <w:divBdr>
        <w:top w:val="none" w:sz="0" w:space="0" w:color="auto"/>
        <w:left w:val="none" w:sz="0" w:space="0" w:color="auto"/>
        <w:bottom w:val="none" w:sz="0" w:space="0" w:color="auto"/>
        <w:right w:val="none" w:sz="0" w:space="0" w:color="auto"/>
      </w:divBdr>
    </w:div>
    <w:div w:id="221984398">
      <w:bodyDiv w:val="1"/>
      <w:marLeft w:val="0"/>
      <w:marRight w:val="0"/>
      <w:marTop w:val="0"/>
      <w:marBottom w:val="0"/>
      <w:divBdr>
        <w:top w:val="none" w:sz="0" w:space="0" w:color="auto"/>
        <w:left w:val="none" w:sz="0" w:space="0" w:color="auto"/>
        <w:bottom w:val="none" w:sz="0" w:space="0" w:color="auto"/>
        <w:right w:val="none" w:sz="0" w:space="0" w:color="auto"/>
      </w:divBdr>
    </w:div>
    <w:div w:id="222260215">
      <w:bodyDiv w:val="1"/>
      <w:marLeft w:val="0"/>
      <w:marRight w:val="0"/>
      <w:marTop w:val="0"/>
      <w:marBottom w:val="0"/>
      <w:divBdr>
        <w:top w:val="none" w:sz="0" w:space="0" w:color="auto"/>
        <w:left w:val="none" w:sz="0" w:space="0" w:color="auto"/>
        <w:bottom w:val="none" w:sz="0" w:space="0" w:color="auto"/>
        <w:right w:val="none" w:sz="0" w:space="0" w:color="auto"/>
      </w:divBdr>
    </w:div>
    <w:div w:id="222832664">
      <w:bodyDiv w:val="1"/>
      <w:marLeft w:val="0"/>
      <w:marRight w:val="0"/>
      <w:marTop w:val="0"/>
      <w:marBottom w:val="0"/>
      <w:divBdr>
        <w:top w:val="none" w:sz="0" w:space="0" w:color="auto"/>
        <w:left w:val="none" w:sz="0" w:space="0" w:color="auto"/>
        <w:bottom w:val="none" w:sz="0" w:space="0" w:color="auto"/>
        <w:right w:val="none" w:sz="0" w:space="0" w:color="auto"/>
      </w:divBdr>
    </w:div>
    <w:div w:id="223028152">
      <w:bodyDiv w:val="1"/>
      <w:marLeft w:val="0"/>
      <w:marRight w:val="0"/>
      <w:marTop w:val="0"/>
      <w:marBottom w:val="0"/>
      <w:divBdr>
        <w:top w:val="none" w:sz="0" w:space="0" w:color="auto"/>
        <w:left w:val="none" w:sz="0" w:space="0" w:color="auto"/>
        <w:bottom w:val="none" w:sz="0" w:space="0" w:color="auto"/>
        <w:right w:val="none" w:sz="0" w:space="0" w:color="auto"/>
      </w:divBdr>
    </w:div>
    <w:div w:id="223224185">
      <w:bodyDiv w:val="1"/>
      <w:marLeft w:val="0"/>
      <w:marRight w:val="0"/>
      <w:marTop w:val="0"/>
      <w:marBottom w:val="0"/>
      <w:divBdr>
        <w:top w:val="none" w:sz="0" w:space="0" w:color="auto"/>
        <w:left w:val="none" w:sz="0" w:space="0" w:color="auto"/>
        <w:bottom w:val="none" w:sz="0" w:space="0" w:color="auto"/>
        <w:right w:val="none" w:sz="0" w:space="0" w:color="auto"/>
      </w:divBdr>
    </w:div>
    <w:div w:id="223875736">
      <w:bodyDiv w:val="1"/>
      <w:marLeft w:val="0"/>
      <w:marRight w:val="0"/>
      <w:marTop w:val="0"/>
      <w:marBottom w:val="0"/>
      <w:divBdr>
        <w:top w:val="none" w:sz="0" w:space="0" w:color="auto"/>
        <w:left w:val="none" w:sz="0" w:space="0" w:color="auto"/>
        <w:bottom w:val="none" w:sz="0" w:space="0" w:color="auto"/>
        <w:right w:val="none" w:sz="0" w:space="0" w:color="auto"/>
      </w:divBdr>
      <w:divsChild>
        <w:div w:id="1958562695">
          <w:marLeft w:val="0"/>
          <w:marRight w:val="0"/>
          <w:marTop w:val="0"/>
          <w:marBottom w:val="0"/>
          <w:divBdr>
            <w:top w:val="none" w:sz="0" w:space="0" w:color="auto"/>
            <w:left w:val="none" w:sz="0" w:space="0" w:color="auto"/>
            <w:bottom w:val="none" w:sz="0" w:space="0" w:color="auto"/>
            <w:right w:val="none" w:sz="0" w:space="0" w:color="auto"/>
          </w:divBdr>
          <w:divsChild>
            <w:div w:id="1682900328">
              <w:marLeft w:val="0"/>
              <w:marRight w:val="0"/>
              <w:marTop w:val="0"/>
              <w:marBottom w:val="0"/>
              <w:divBdr>
                <w:top w:val="none" w:sz="0" w:space="0" w:color="auto"/>
                <w:left w:val="none" w:sz="0" w:space="0" w:color="auto"/>
                <w:bottom w:val="none" w:sz="0" w:space="0" w:color="auto"/>
                <w:right w:val="none" w:sz="0" w:space="0" w:color="auto"/>
              </w:divBdr>
              <w:divsChild>
                <w:div w:id="1503546693">
                  <w:marLeft w:val="0"/>
                  <w:marRight w:val="0"/>
                  <w:marTop w:val="0"/>
                  <w:marBottom w:val="0"/>
                  <w:divBdr>
                    <w:top w:val="none" w:sz="0" w:space="0" w:color="auto"/>
                    <w:left w:val="none" w:sz="0" w:space="0" w:color="auto"/>
                    <w:bottom w:val="none" w:sz="0" w:space="0" w:color="auto"/>
                    <w:right w:val="none" w:sz="0" w:space="0" w:color="auto"/>
                  </w:divBdr>
                  <w:divsChild>
                    <w:div w:id="1794051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4219571">
      <w:bodyDiv w:val="1"/>
      <w:marLeft w:val="0"/>
      <w:marRight w:val="0"/>
      <w:marTop w:val="0"/>
      <w:marBottom w:val="0"/>
      <w:divBdr>
        <w:top w:val="none" w:sz="0" w:space="0" w:color="auto"/>
        <w:left w:val="none" w:sz="0" w:space="0" w:color="auto"/>
        <w:bottom w:val="none" w:sz="0" w:space="0" w:color="auto"/>
        <w:right w:val="none" w:sz="0" w:space="0" w:color="auto"/>
      </w:divBdr>
    </w:div>
    <w:div w:id="224461336">
      <w:bodyDiv w:val="1"/>
      <w:marLeft w:val="0"/>
      <w:marRight w:val="0"/>
      <w:marTop w:val="0"/>
      <w:marBottom w:val="0"/>
      <w:divBdr>
        <w:top w:val="none" w:sz="0" w:space="0" w:color="auto"/>
        <w:left w:val="none" w:sz="0" w:space="0" w:color="auto"/>
        <w:bottom w:val="none" w:sz="0" w:space="0" w:color="auto"/>
        <w:right w:val="none" w:sz="0" w:space="0" w:color="auto"/>
      </w:divBdr>
    </w:div>
    <w:div w:id="225117866">
      <w:bodyDiv w:val="1"/>
      <w:marLeft w:val="0"/>
      <w:marRight w:val="0"/>
      <w:marTop w:val="0"/>
      <w:marBottom w:val="0"/>
      <w:divBdr>
        <w:top w:val="none" w:sz="0" w:space="0" w:color="auto"/>
        <w:left w:val="none" w:sz="0" w:space="0" w:color="auto"/>
        <w:bottom w:val="none" w:sz="0" w:space="0" w:color="auto"/>
        <w:right w:val="none" w:sz="0" w:space="0" w:color="auto"/>
      </w:divBdr>
    </w:div>
    <w:div w:id="225268695">
      <w:bodyDiv w:val="1"/>
      <w:marLeft w:val="0"/>
      <w:marRight w:val="0"/>
      <w:marTop w:val="0"/>
      <w:marBottom w:val="0"/>
      <w:divBdr>
        <w:top w:val="none" w:sz="0" w:space="0" w:color="auto"/>
        <w:left w:val="none" w:sz="0" w:space="0" w:color="auto"/>
        <w:bottom w:val="none" w:sz="0" w:space="0" w:color="auto"/>
        <w:right w:val="none" w:sz="0" w:space="0" w:color="auto"/>
      </w:divBdr>
    </w:div>
    <w:div w:id="225383544">
      <w:bodyDiv w:val="1"/>
      <w:marLeft w:val="0"/>
      <w:marRight w:val="0"/>
      <w:marTop w:val="0"/>
      <w:marBottom w:val="0"/>
      <w:divBdr>
        <w:top w:val="none" w:sz="0" w:space="0" w:color="auto"/>
        <w:left w:val="none" w:sz="0" w:space="0" w:color="auto"/>
        <w:bottom w:val="none" w:sz="0" w:space="0" w:color="auto"/>
        <w:right w:val="none" w:sz="0" w:space="0" w:color="auto"/>
      </w:divBdr>
    </w:div>
    <w:div w:id="225800095">
      <w:bodyDiv w:val="1"/>
      <w:marLeft w:val="0"/>
      <w:marRight w:val="0"/>
      <w:marTop w:val="0"/>
      <w:marBottom w:val="0"/>
      <w:divBdr>
        <w:top w:val="none" w:sz="0" w:space="0" w:color="auto"/>
        <w:left w:val="none" w:sz="0" w:space="0" w:color="auto"/>
        <w:bottom w:val="none" w:sz="0" w:space="0" w:color="auto"/>
        <w:right w:val="none" w:sz="0" w:space="0" w:color="auto"/>
      </w:divBdr>
    </w:div>
    <w:div w:id="226189597">
      <w:bodyDiv w:val="1"/>
      <w:marLeft w:val="0"/>
      <w:marRight w:val="0"/>
      <w:marTop w:val="0"/>
      <w:marBottom w:val="0"/>
      <w:divBdr>
        <w:top w:val="none" w:sz="0" w:space="0" w:color="auto"/>
        <w:left w:val="none" w:sz="0" w:space="0" w:color="auto"/>
        <w:bottom w:val="none" w:sz="0" w:space="0" w:color="auto"/>
        <w:right w:val="none" w:sz="0" w:space="0" w:color="auto"/>
      </w:divBdr>
    </w:div>
    <w:div w:id="226309493">
      <w:bodyDiv w:val="1"/>
      <w:marLeft w:val="0"/>
      <w:marRight w:val="0"/>
      <w:marTop w:val="0"/>
      <w:marBottom w:val="0"/>
      <w:divBdr>
        <w:top w:val="none" w:sz="0" w:space="0" w:color="auto"/>
        <w:left w:val="none" w:sz="0" w:space="0" w:color="auto"/>
        <w:bottom w:val="none" w:sz="0" w:space="0" w:color="auto"/>
        <w:right w:val="none" w:sz="0" w:space="0" w:color="auto"/>
      </w:divBdr>
    </w:div>
    <w:div w:id="226382340">
      <w:bodyDiv w:val="1"/>
      <w:marLeft w:val="0"/>
      <w:marRight w:val="0"/>
      <w:marTop w:val="0"/>
      <w:marBottom w:val="0"/>
      <w:divBdr>
        <w:top w:val="none" w:sz="0" w:space="0" w:color="auto"/>
        <w:left w:val="none" w:sz="0" w:space="0" w:color="auto"/>
        <w:bottom w:val="none" w:sz="0" w:space="0" w:color="auto"/>
        <w:right w:val="none" w:sz="0" w:space="0" w:color="auto"/>
      </w:divBdr>
    </w:div>
    <w:div w:id="226457636">
      <w:bodyDiv w:val="1"/>
      <w:marLeft w:val="0"/>
      <w:marRight w:val="0"/>
      <w:marTop w:val="0"/>
      <w:marBottom w:val="0"/>
      <w:divBdr>
        <w:top w:val="none" w:sz="0" w:space="0" w:color="auto"/>
        <w:left w:val="none" w:sz="0" w:space="0" w:color="auto"/>
        <w:bottom w:val="none" w:sz="0" w:space="0" w:color="auto"/>
        <w:right w:val="none" w:sz="0" w:space="0" w:color="auto"/>
      </w:divBdr>
    </w:div>
    <w:div w:id="228275741">
      <w:bodyDiv w:val="1"/>
      <w:marLeft w:val="0"/>
      <w:marRight w:val="0"/>
      <w:marTop w:val="0"/>
      <w:marBottom w:val="0"/>
      <w:divBdr>
        <w:top w:val="none" w:sz="0" w:space="0" w:color="auto"/>
        <w:left w:val="none" w:sz="0" w:space="0" w:color="auto"/>
        <w:bottom w:val="none" w:sz="0" w:space="0" w:color="auto"/>
        <w:right w:val="none" w:sz="0" w:space="0" w:color="auto"/>
      </w:divBdr>
    </w:div>
    <w:div w:id="228657701">
      <w:bodyDiv w:val="1"/>
      <w:marLeft w:val="0"/>
      <w:marRight w:val="0"/>
      <w:marTop w:val="0"/>
      <w:marBottom w:val="0"/>
      <w:divBdr>
        <w:top w:val="none" w:sz="0" w:space="0" w:color="auto"/>
        <w:left w:val="none" w:sz="0" w:space="0" w:color="auto"/>
        <w:bottom w:val="none" w:sz="0" w:space="0" w:color="auto"/>
        <w:right w:val="none" w:sz="0" w:space="0" w:color="auto"/>
      </w:divBdr>
    </w:div>
    <w:div w:id="228806641">
      <w:bodyDiv w:val="1"/>
      <w:marLeft w:val="0"/>
      <w:marRight w:val="0"/>
      <w:marTop w:val="0"/>
      <w:marBottom w:val="0"/>
      <w:divBdr>
        <w:top w:val="none" w:sz="0" w:space="0" w:color="auto"/>
        <w:left w:val="none" w:sz="0" w:space="0" w:color="auto"/>
        <w:bottom w:val="none" w:sz="0" w:space="0" w:color="auto"/>
        <w:right w:val="none" w:sz="0" w:space="0" w:color="auto"/>
      </w:divBdr>
    </w:div>
    <w:div w:id="228811281">
      <w:bodyDiv w:val="1"/>
      <w:marLeft w:val="0"/>
      <w:marRight w:val="0"/>
      <w:marTop w:val="0"/>
      <w:marBottom w:val="0"/>
      <w:divBdr>
        <w:top w:val="none" w:sz="0" w:space="0" w:color="auto"/>
        <w:left w:val="none" w:sz="0" w:space="0" w:color="auto"/>
        <w:bottom w:val="none" w:sz="0" w:space="0" w:color="auto"/>
        <w:right w:val="none" w:sz="0" w:space="0" w:color="auto"/>
      </w:divBdr>
    </w:div>
    <w:div w:id="229199581">
      <w:bodyDiv w:val="1"/>
      <w:marLeft w:val="0"/>
      <w:marRight w:val="0"/>
      <w:marTop w:val="0"/>
      <w:marBottom w:val="0"/>
      <w:divBdr>
        <w:top w:val="none" w:sz="0" w:space="0" w:color="auto"/>
        <w:left w:val="none" w:sz="0" w:space="0" w:color="auto"/>
        <w:bottom w:val="none" w:sz="0" w:space="0" w:color="auto"/>
        <w:right w:val="none" w:sz="0" w:space="0" w:color="auto"/>
      </w:divBdr>
    </w:div>
    <w:div w:id="229315356">
      <w:bodyDiv w:val="1"/>
      <w:marLeft w:val="0"/>
      <w:marRight w:val="0"/>
      <w:marTop w:val="0"/>
      <w:marBottom w:val="0"/>
      <w:divBdr>
        <w:top w:val="none" w:sz="0" w:space="0" w:color="auto"/>
        <w:left w:val="none" w:sz="0" w:space="0" w:color="auto"/>
        <w:bottom w:val="none" w:sz="0" w:space="0" w:color="auto"/>
        <w:right w:val="none" w:sz="0" w:space="0" w:color="auto"/>
      </w:divBdr>
    </w:div>
    <w:div w:id="229583037">
      <w:bodyDiv w:val="1"/>
      <w:marLeft w:val="0"/>
      <w:marRight w:val="0"/>
      <w:marTop w:val="0"/>
      <w:marBottom w:val="0"/>
      <w:divBdr>
        <w:top w:val="none" w:sz="0" w:space="0" w:color="auto"/>
        <w:left w:val="none" w:sz="0" w:space="0" w:color="auto"/>
        <w:bottom w:val="none" w:sz="0" w:space="0" w:color="auto"/>
        <w:right w:val="none" w:sz="0" w:space="0" w:color="auto"/>
      </w:divBdr>
    </w:div>
    <w:div w:id="229773084">
      <w:bodyDiv w:val="1"/>
      <w:marLeft w:val="0"/>
      <w:marRight w:val="0"/>
      <w:marTop w:val="0"/>
      <w:marBottom w:val="0"/>
      <w:divBdr>
        <w:top w:val="none" w:sz="0" w:space="0" w:color="auto"/>
        <w:left w:val="none" w:sz="0" w:space="0" w:color="auto"/>
        <w:bottom w:val="none" w:sz="0" w:space="0" w:color="auto"/>
        <w:right w:val="none" w:sz="0" w:space="0" w:color="auto"/>
      </w:divBdr>
    </w:div>
    <w:div w:id="229850329">
      <w:bodyDiv w:val="1"/>
      <w:marLeft w:val="0"/>
      <w:marRight w:val="0"/>
      <w:marTop w:val="0"/>
      <w:marBottom w:val="0"/>
      <w:divBdr>
        <w:top w:val="none" w:sz="0" w:space="0" w:color="auto"/>
        <w:left w:val="none" w:sz="0" w:space="0" w:color="auto"/>
        <w:bottom w:val="none" w:sz="0" w:space="0" w:color="auto"/>
        <w:right w:val="none" w:sz="0" w:space="0" w:color="auto"/>
      </w:divBdr>
    </w:div>
    <w:div w:id="230123261">
      <w:bodyDiv w:val="1"/>
      <w:marLeft w:val="0"/>
      <w:marRight w:val="0"/>
      <w:marTop w:val="0"/>
      <w:marBottom w:val="0"/>
      <w:divBdr>
        <w:top w:val="none" w:sz="0" w:space="0" w:color="auto"/>
        <w:left w:val="none" w:sz="0" w:space="0" w:color="auto"/>
        <w:bottom w:val="none" w:sz="0" w:space="0" w:color="auto"/>
        <w:right w:val="none" w:sz="0" w:space="0" w:color="auto"/>
      </w:divBdr>
    </w:div>
    <w:div w:id="230389747">
      <w:bodyDiv w:val="1"/>
      <w:marLeft w:val="0"/>
      <w:marRight w:val="0"/>
      <w:marTop w:val="0"/>
      <w:marBottom w:val="0"/>
      <w:divBdr>
        <w:top w:val="none" w:sz="0" w:space="0" w:color="auto"/>
        <w:left w:val="none" w:sz="0" w:space="0" w:color="auto"/>
        <w:bottom w:val="none" w:sz="0" w:space="0" w:color="auto"/>
        <w:right w:val="none" w:sz="0" w:space="0" w:color="auto"/>
      </w:divBdr>
    </w:div>
    <w:div w:id="230434821">
      <w:bodyDiv w:val="1"/>
      <w:marLeft w:val="0"/>
      <w:marRight w:val="0"/>
      <w:marTop w:val="0"/>
      <w:marBottom w:val="0"/>
      <w:divBdr>
        <w:top w:val="none" w:sz="0" w:space="0" w:color="auto"/>
        <w:left w:val="none" w:sz="0" w:space="0" w:color="auto"/>
        <w:bottom w:val="none" w:sz="0" w:space="0" w:color="auto"/>
        <w:right w:val="none" w:sz="0" w:space="0" w:color="auto"/>
      </w:divBdr>
    </w:div>
    <w:div w:id="230965541">
      <w:bodyDiv w:val="1"/>
      <w:marLeft w:val="0"/>
      <w:marRight w:val="0"/>
      <w:marTop w:val="0"/>
      <w:marBottom w:val="0"/>
      <w:divBdr>
        <w:top w:val="none" w:sz="0" w:space="0" w:color="auto"/>
        <w:left w:val="none" w:sz="0" w:space="0" w:color="auto"/>
        <w:bottom w:val="none" w:sz="0" w:space="0" w:color="auto"/>
        <w:right w:val="none" w:sz="0" w:space="0" w:color="auto"/>
      </w:divBdr>
    </w:div>
    <w:div w:id="231014761">
      <w:bodyDiv w:val="1"/>
      <w:marLeft w:val="0"/>
      <w:marRight w:val="0"/>
      <w:marTop w:val="0"/>
      <w:marBottom w:val="0"/>
      <w:divBdr>
        <w:top w:val="none" w:sz="0" w:space="0" w:color="auto"/>
        <w:left w:val="none" w:sz="0" w:space="0" w:color="auto"/>
        <w:bottom w:val="none" w:sz="0" w:space="0" w:color="auto"/>
        <w:right w:val="none" w:sz="0" w:space="0" w:color="auto"/>
      </w:divBdr>
    </w:div>
    <w:div w:id="231504256">
      <w:bodyDiv w:val="1"/>
      <w:marLeft w:val="0"/>
      <w:marRight w:val="0"/>
      <w:marTop w:val="0"/>
      <w:marBottom w:val="0"/>
      <w:divBdr>
        <w:top w:val="none" w:sz="0" w:space="0" w:color="auto"/>
        <w:left w:val="none" w:sz="0" w:space="0" w:color="auto"/>
        <w:bottom w:val="none" w:sz="0" w:space="0" w:color="auto"/>
        <w:right w:val="none" w:sz="0" w:space="0" w:color="auto"/>
      </w:divBdr>
    </w:div>
    <w:div w:id="231627138">
      <w:bodyDiv w:val="1"/>
      <w:marLeft w:val="0"/>
      <w:marRight w:val="0"/>
      <w:marTop w:val="0"/>
      <w:marBottom w:val="0"/>
      <w:divBdr>
        <w:top w:val="none" w:sz="0" w:space="0" w:color="auto"/>
        <w:left w:val="none" w:sz="0" w:space="0" w:color="auto"/>
        <w:bottom w:val="none" w:sz="0" w:space="0" w:color="auto"/>
        <w:right w:val="none" w:sz="0" w:space="0" w:color="auto"/>
      </w:divBdr>
    </w:div>
    <w:div w:id="232007980">
      <w:bodyDiv w:val="1"/>
      <w:marLeft w:val="0"/>
      <w:marRight w:val="0"/>
      <w:marTop w:val="0"/>
      <w:marBottom w:val="0"/>
      <w:divBdr>
        <w:top w:val="none" w:sz="0" w:space="0" w:color="auto"/>
        <w:left w:val="none" w:sz="0" w:space="0" w:color="auto"/>
        <w:bottom w:val="none" w:sz="0" w:space="0" w:color="auto"/>
        <w:right w:val="none" w:sz="0" w:space="0" w:color="auto"/>
      </w:divBdr>
    </w:div>
    <w:div w:id="232011569">
      <w:bodyDiv w:val="1"/>
      <w:marLeft w:val="0"/>
      <w:marRight w:val="0"/>
      <w:marTop w:val="0"/>
      <w:marBottom w:val="0"/>
      <w:divBdr>
        <w:top w:val="none" w:sz="0" w:space="0" w:color="auto"/>
        <w:left w:val="none" w:sz="0" w:space="0" w:color="auto"/>
        <w:bottom w:val="none" w:sz="0" w:space="0" w:color="auto"/>
        <w:right w:val="none" w:sz="0" w:space="0" w:color="auto"/>
      </w:divBdr>
    </w:div>
    <w:div w:id="232349206">
      <w:bodyDiv w:val="1"/>
      <w:marLeft w:val="0"/>
      <w:marRight w:val="0"/>
      <w:marTop w:val="0"/>
      <w:marBottom w:val="0"/>
      <w:divBdr>
        <w:top w:val="none" w:sz="0" w:space="0" w:color="auto"/>
        <w:left w:val="none" w:sz="0" w:space="0" w:color="auto"/>
        <w:bottom w:val="none" w:sz="0" w:space="0" w:color="auto"/>
        <w:right w:val="none" w:sz="0" w:space="0" w:color="auto"/>
      </w:divBdr>
    </w:div>
    <w:div w:id="232744828">
      <w:bodyDiv w:val="1"/>
      <w:marLeft w:val="0"/>
      <w:marRight w:val="0"/>
      <w:marTop w:val="0"/>
      <w:marBottom w:val="0"/>
      <w:divBdr>
        <w:top w:val="none" w:sz="0" w:space="0" w:color="auto"/>
        <w:left w:val="none" w:sz="0" w:space="0" w:color="auto"/>
        <w:bottom w:val="none" w:sz="0" w:space="0" w:color="auto"/>
        <w:right w:val="none" w:sz="0" w:space="0" w:color="auto"/>
      </w:divBdr>
    </w:div>
    <w:div w:id="232815604">
      <w:bodyDiv w:val="1"/>
      <w:marLeft w:val="0"/>
      <w:marRight w:val="0"/>
      <w:marTop w:val="0"/>
      <w:marBottom w:val="0"/>
      <w:divBdr>
        <w:top w:val="none" w:sz="0" w:space="0" w:color="auto"/>
        <w:left w:val="none" w:sz="0" w:space="0" w:color="auto"/>
        <w:bottom w:val="none" w:sz="0" w:space="0" w:color="auto"/>
        <w:right w:val="none" w:sz="0" w:space="0" w:color="auto"/>
      </w:divBdr>
    </w:div>
    <w:div w:id="233011982">
      <w:bodyDiv w:val="1"/>
      <w:marLeft w:val="0"/>
      <w:marRight w:val="0"/>
      <w:marTop w:val="0"/>
      <w:marBottom w:val="0"/>
      <w:divBdr>
        <w:top w:val="none" w:sz="0" w:space="0" w:color="auto"/>
        <w:left w:val="none" w:sz="0" w:space="0" w:color="auto"/>
        <w:bottom w:val="none" w:sz="0" w:space="0" w:color="auto"/>
        <w:right w:val="none" w:sz="0" w:space="0" w:color="auto"/>
      </w:divBdr>
    </w:div>
    <w:div w:id="233589070">
      <w:bodyDiv w:val="1"/>
      <w:marLeft w:val="0"/>
      <w:marRight w:val="0"/>
      <w:marTop w:val="0"/>
      <w:marBottom w:val="0"/>
      <w:divBdr>
        <w:top w:val="none" w:sz="0" w:space="0" w:color="auto"/>
        <w:left w:val="none" w:sz="0" w:space="0" w:color="auto"/>
        <w:bottom w:val="none" w:sz="0" w:space="0" w:color="auto"/>
        <w:right w:val="none" w:sz="0" w:space="0" w:color="auto"/>
      </w:divBdr>
    </w:div>
    <w:div w:id="233591431">
      <w:bodyDiv w:val="1"/>
      <w:marLeft w:val="0"/>
      <w:marRight w:val="0"/>
      <w:marTop w:val="0"/>
      <w:marBottom w:val="0"/>
      <w:divBdr>
        <w:top w:val="none" w:sz="0" w:space="0" w:color="auto"/>
        <w:left w:val="none" w:sz="0" w:space="0" w:color="auto"/>
        <w:bottom w:val="none" w:sz="0" w:space="0" w:color="auto"/>
        <w:right w:val="none" w:sz="0" w:space="0" w:color="auto"/>
      </w:divBdr>
    </w:div>
    <w:div w:id="233859773">
      <w:bodyDiv w:val="1"/>
      <w:marLeft w:val="0"/>
      <w:marRight w:val="0"/>
      <w:marTop w:val="0"/>
      <w:marBottom w:val="0"/>
      <w:divBdr>
        <w:top w:val="none" w:sz="0" w:space="0" w:color="auto"/>
        <w:left w:val="none" w:sz="0" w:space="0" w:color="auto"/>
        <w:bottom w:val="none" w:sz="0" w:space="0" w:color="auto"/>
        <w:right w:val="none" w:sz="0" w:space="0" w:color="auto"/>
      </w:divBdr>
    </w:div>
    <w:div w:id="234098276">
      <w:bodyDiv w:val="1"/>
      <w:marLeft w:val="0"/>
      <w:marRight w:val="0"/>
      <w:marTop w:val="0"/>
      <w:marBottom w:val="0"/>
      <w:divBdr>
        <w:top w:val="none" w:sz="0" w:space="0" w:color="auto"/>
        <w:left w:val="none" w:sz="0" w:space="0" w:color="auto"/>
        <w:bottom w:val="none" w:sz="0" w:space="0" w:color="auto"/>
        <w:right w:val="none" w:sz="0" w:space="0" w:color="auto"/>
      </w:divBdr>
    </w:div>
    <w:div w:id="234126818">
      <w:bodyDiv w:val="1"/>
      <w:marLeft w:val="0"/>
      <w:marRight w:val="0"/>
      <w:marTop w:val="0"/>
      <w:marBottom w:val="0"/>
      <w:divBdr>
        <w:top w:val="none" w:sz="0" w:space="0" w:color="auto"/>
        <w:left w:val="none" w:sz="0" w:space="0" w:color="auto"/>
        <w:bottom w:val="none" w:sz="0" w:space="0" w:color="auto"/>
        <w:right w:val="none" w:sz="0" w:space="0" w:color="auto"/>
      </w:divBdr>
    </w:div>
    <w:div w:id="234438767">
      <w:bodyDiv w:val="1"/>
      <w:marLeft w:val="0"/>
      <w:marRight w:val="0"/>
      <w:marTop w:val="0"/>
      <w:marBottom w:val="0"/>
      <w:divBdr>
        <w:top w:val="none" w:sz="0" w:space="0" w:color="auto"/>
        <w:left w:val="none" w:sz="0" w:space="0" w:color="auto"/>
        <w:bottom w:val="none" w:sz="0" w:space="0" w:color="auto"/>
        <w:right w:val="none" w:sz="0" w:space="0" w:color="auto"/>
      </w:divBdr>
    </w:div>
    <w:div w:id="235093058">
      <w:bodyDiv w:val="1"/>
      <w:marLeft w:val="0"/>
      <w:marRight w:val="0"/>
      <w:marTop w:val="0"/>
      <w:marBottom w:val="0"/>
      <w:divBdr>
        <w:top w:val="none" w:sz="0" w:space="0" w:color="auto"/>
        <w:left w:val="none" w:sz="0" w:space="0" w:color="auto"/>
        <w:bottom w:val="none" w:sz="0" w:space="0" w:color="auto"/>
        <w:right w:val="none" w:sz="0" w:space="0" w:color="auto"/>
      </w:divBdr>
    </w:div>
    <w:div w:id="235628435">
      <w:bodyDiv w:val="1"/>
      <w:marLeft w:val="0"/>
      <w:marRight w:val="0"/>
      <w:marTop w:val="0"/>
      <w:marBottom w:val="0"/>
      <w:divBdr>
        <w:top w:val="none" w:sz="0" w:space="0" w:color="auto"/>
        <w:left w:val="none" w:sz="0" w:space="0" w:color="auto"/>
        <w:bottom w:val="none" w:sz="0" w:space="0" w:color="auto"/>
        <w:right w:val="none" w:sz="0" w:space="0" w:color="auto"/>
      </w:divBdr>
    </w:div>
    <w:div w:id="235866492">
      <w:bodyDiv w:val="1"/>
      <w:marLeft w:val="0"/>
      <w:marRight w:val="0"/>
      <w:marTop w:val="0"/>
      <w:marBottom w:val="0"/>
      <w:divBdr>
        <w:top w:val="none" w:sz="0" w:space="0" w:color="auto"/>
        <w:left w:val="none" w:sz="0" w:space="0" w:color="auto"/>
        <w:bottom w:val="none" w:sz="0" w:space="0" w:color="auto"/>
        <w:right w:val="none" w:sz="0" w:space="0" w:color="auto"/>
      </w:divBdr>
    </w:div>
    <w:div w:id="235870956">
      <w:bodyDiv w:val="1"/>
      <w:marLeft w:val="0"/>
      <w:marRight w:val="0"/>
      <w:marTop w:val="0"/>
      <w:marBottom w:val="0"/>
      <w:divBdr>
        <w:top w:val="none" w:sz="0" w:space="0" w:color="auto"/>
        <w:left w:val="none" w:sz="0" w:space="0" w:color="auto"/>
        <w:bottom w:val="none" w:sz="0" w:space="0" w:color="auto"/>
        <w:right w:val="none" w:sz="0" w:space="0" w:color="auto"/>
      </w:divBdr>
    </w:div>
    <w:div w:id="236599707">
      <w:bodyDiv w:val="1"/>
      <w:marLeft w:val="0"/>
      <w:marRight w:val="0"/>
      <w:marTop w:val="0"/>
      <w:marBottom w:val="0"/>
      <w:divBdr>
        <w:top w:val="none" w:sz="0" w:space="0" w:color="auto"/>
        <w:left w:val="none" w:sz="0" w:space="0" w:color="auto"/>
        <w:bottom w:val="none" w:sz="0" w:space="0" w:color="auto"/>
        <w:right w:val="none" w:sz="0" w:space="0" w:color="auto"/>
      </w:divBdr>
    </w:div>
    <w:div w:id="236718252">
      <w:bodyDiv w:val="1"/>
      <w:marLeft w:val="0"/>
      <w:marRight w:val="0"/>
      <w:marTop w:val="0"/>
      <w:marBottom w:val="0"/>
      <w:divBdr>
        <w:top w:val="none" w:sz="0" w:space="0" w:color="auto"/>
        <w:left w:val="none" w:sz="0" w:space="0" w:color="auto"/>
        <w:bottom w:val="none" w:sz="0" w:space="0" w:color="auto"/>
        <w:right w:val="none" w:sz="0" w:space="0" w:color="auto"/>
      </w:divBdr>
    </w:div>
    <w:div w:id="237138279">
      <w:bodyDiv w:val="1"/>
      <w:marLeft w:val="0"/>
      <w:marRight w:val="0"/>
      <w:marTop w:val="0"/>
      <w:marBottom w:val="0"/>
      <w:divBdr>
        <w:top w:val="none" w:sz="0" w:space="0" w:color="auto"/>
        <w:left w:val="none" w:sz="0" w:space="0" w:color="auto"/>
        <w:bottom w:val="none" w:sz="0" w:space="0" w:color="auto"/>
        <w:right w:val="none" w:sz="0" w:space="0" w:color="auto"/>
      </w:divBdr>
    </w:div>
    <w:div w:id="237176375">
      <w:bodyDiv w:val="1"/>
      <w:marLeft w:val="0"/>
      <w:marRight w:val="0"/>
      <w:marTop w:val="0"/>
      <w:marBottom w:val="0"/>
      <w:divBdr>
        <w:top w:val="none" w:sz="0" w:space="0" w:color="auto"/>
        <w:left w:val="none" w:sz="0" w:space="0" w:color="auto"/>
        <w:bottom w:val="none" w:sz="0" w:space="0" w:color="auto"/>
        <w:right w:val="none" w:sz="0" w:space="0" w:color="auto"/>
      </w:divBdr>
    </w:div>
    <w:div w:id="237176653">
      <w:bodyDiv w:val="1"/>
      <w:marLeft w:val="0"/>
      <w:marRight w:val="0"/>
      <w:marTop w:val="0"/>
      <w:marBottom w:val="0"/>
      <w:divBdr>
        <w:top w:val="none" w:sz="0" w:space="0" w:color="auto"/>
        <w:left w:val="none" w:sz="0" w:space="0" w:color="auto"/>
        <w:bottom w:val="none" w:sz="0" w:space="0" w:color="auto"/>
        <w:right w:val="none" w:sz="0" w:space="0" w:color="auto"/>
      </w:divBdr>
    </w:div>
    <w:div w:id="237180057">
      <w:bodyDiv w:val="1"/>
      <w:marLeft w:val="0"/>
      <w:marRight w:val="0"/>
      <w:marTop w:val="0"/>
      <w:marBottom w:val="0"/>
      <w:divBdr>
        <w:top w:val="none" w:sz="0" w:space="0" w:color="auto"/>
        <w:left w:val="none" w:sz="0" w:space="0" w:color="auto"/>
        <w:bottom w:val="none" w:sz="0" w:space="0" w:color="auto"/>
        <w:right w:val="none" w:sz="0" w:space="0" w:color="auto"/>
      </w:divBdr>
    </w:div>
    <w:div w:id="237256796">
      <w:bodyDiv w:val="1"/>
      <w:marLeft w:val="0"/>
      <w:marRight w:val="0"/>
      <w:marTop w:val="0"/>
      <w:marBottom w:val="0"/>
      <w:divBdr>
        <w:top w:val="none" w:sz="0" w:space="0" w:color="auto"/>
        <w:left w:val="none" w:sz="0" w:space="0" w:color="auto"/>
        <w:bottom w:val="none" w:sz="0" w:space="0" w:color="auto"/>
        <w:right w:val="none" w:sz="0" w:space="0" w:color="auto"/>
      </w:divBdr>
    </w:div>
    <w:div w:id="237979531">
      <w:bodyDiv w:val="1"/>
      <w:marLeft w:val="0"/>
      <w:marRight w:val="0"/>
      <w:marTop w:val="0"/>
      <w:marBottom w:val="0"/>
      <w:divBdr>
        <w:top w:val="none" w:sz="0" w:space="0" w:color="auto"/>
        <w:left w:val="none" w:sz="0" w:space="0" w:color="auto"/>
        <w:bottom w:val="none" w:sz="0" w:space="0" w:color="auto"/>
        <w:right w:val="none" w:sz="0" w:space="0" w:color="auto"/>
      </w:divBdr>
    </w:div>
    <w:div w:id="237985154">
      <w:bodyDiv w:val="1"/>
      <w:marLeft w:val="0"/>
      <w:marRight w:val="0"/>
      <w:marTop w:val="0"/>
      <w:marBottom w:val="0"/>
      <w:divBdr>
        <w:top w:val="none" w:sz="0" w:space="0" w:color="auto"/>
        <w:left w:val="none" w:sz="0" w:space="0" w:color="auto"/>
        <w:bottom w:val="none" w:sz="0" w:space="0" w:color="auto"/>
        <w:right w:val="none" w:sz="0" w:space="0" w:color="auto"/>
      </w:divBdr>
    </w:div>
    <w:div w:id="238751087">
      <w:bodyDiv w:val="1"/>
      <w:marLeft w:val="0"/>
      <w:marRight w:val="0"/>
      <w:marTop w:val="0"/>
      <w:marBottom w:val="0"/>
      <w:divBdr>
        <w:top w:val="none" w:sz="0" w:space="0" w:color="auto"/>
        <w:left w:val="none" w:sz="0" w:space="0" w:color="auto"/>
        <w:bottom w:val="none" w:sz="0" w:space="0" w:color="auto"/>
        <w:right w:val="none" w:sz="0" w:space="0" w:color="auto"/>
      </w:divBdr>
    </w:div>
    <w:div w:id="239292828">
      <w:bodyDiv w:val="1"/>
      <w:marLeft w:val="0"/>
      <w:marRight w:val="0"/>
      <w:marTop w:val="0"/>
      <w:marBottom w:val="0"/>
      <w:divBdr>
        <w:top w:val="none" w:sz="0" w:space="0" w:color="auto"/>
        <w:left w:val="none" w:sz="0" w:space="0" w:color="auto"/>
        <w:bottom w:val="none" w:sz="0" w:space="0" w:color="auto"/>
        <w:right w:val="none" w:sz="0" w:space="0" w:color="auto"/>
      </w:divBdr>
    </w:div>
    <w:div w:id="239871667">
      <w:bodyDiv w:val="1"/>
      <w:marLeft w:val="0"/>
      <w:marRight w:val="0"/>
      <w:marTop w:val="0"/>
      <w:marBottom w:val="0"/>
      <w:divBdr>
        <w:top w:val="none" w:sz="0" w:space="0" w:color="auto"/>
        <w:left w:val="none" w:sz="0" w:space="0" w:color="auto"/>
        <w:bottom w:val="none" w:sz="0" w:space="0" w:color="auto"/>
        <w:right w:val="none" w:sz="0" w:space="0" w:color="auto"/>
      </w:divBdr>
    </w:div>
    <w:div w:id="240599596">
      <w:bodyDiv w:val="1"/>
      <w:marLeft w:val="0"/>
      <w:marRight w:val="0"/>
      <w:marTop w:val="0"/>
      <w:marBottom w:val="0"/>
      <w:divBdr>
        <w:top w:val="none" w:sz="0" w:space="0" w:color="auto"/>
        <w:left w:val="none" w:sz="0" w:space="0" w:color="auto"/>
        <w:bottom w:val="none" w:sz="0" w:space="0" w:color="auto"/>
        <w:right w:val="none" w:sz="0" w:space="0" w:color="auto"/>
      </w:divBdr>
    </w:div>
    <w:div w:id="241065874">
      <w:bodyDiv w:val="1"/>
      <w:marLeft w:val="0"/>
      <w:marRight w:val="0"/>
      <w:marTop w:val="0"/>
      <w:marBottom w:val="0"/>
      <w:divBdr>
        <w:top w:val="none" w:sz="0" w:space="0" w:color="auto"/>
        <w:left w:val="none" w:sz="0" w:space="0" w:color="auto"/>
        <w:bottom w:val="none" w:sz="0" w:space="0" w:color="auto"/>
        <w:right w:val="none" w:sz="0" w:space="0" w:color="auto"/>
      </w:divBdr>
    </w:div>
    <w:div w:id="242877946">
      <w:bodyDiv w:val="1"/>
      <w:marLeft w:val="0"/>
      <w:marRight w:val="0"/>
      <w:marTop w:val="0"/>
      <w:marBottom w:val="0"/>
      <w:divBdr>
        <w:top w:val="none" w:sz="0" w:space="0" w:color="auto"/>
        <w:left w:val="none" w:sz="0" w:space="0" w:color="auto"/>
        <w:bottom w:val="none" w:sz="0" w:space="0" w:color="auto"/>
        <w:right w:val="none" w:sz="0" w:space="0" w:color="auto"/>
      </w:divBdr>
    </w:div>
    <w:div w:id="243876659">
      <w:bodyDiv w:val="1"/>
      <w:marLeft w:val="0"/>
      <w:marRight w:val="0"/>
      <w:marTop w:val="0"/>
      <w:marBottom w:val="0"/>
      <w:divBdr>
        <w:top w:val="none" w:sz="0" w:space="0" w:color="auto"/>
        <w:left w:val="none" w:sz="0" w:space="0" w:color="auto"/>
        <w:bottom w:val="none" w:sz="0" w:space="0" w:color="auto"/>
        <w:right w:val="none" w:sz="0" w:space="0" w:color="auto"/>
      </w:divBdr>
    </w:div>
    <w:div w:id="243957278">
      <w:bodyDiv w:val="1"/>
      <w:marLeft w:val="0"/>
      <w:marRight w:val="0"/>
      <w:marTop w:val="0"/>
      <w:marBottom w:val="0"/>
      <w:divBdr>
        <w:top w:val="none" w:sz="0" w:space="0" w:color="auto"/>
        <w:left w:val="none" w:sz="0" w:space="0" w:color="auto"/>
        <w:bottom w:val="none" w:sz="0" w:space="0" w:color="auto"/>
        <w:right w:val="none" w:sz="0" w:space="0" w:color="auto"/>
      </w:divBdr>
    </w:div>
    <w:div w:id="243995412">
      <w:bodyDiv w:val="1"/>
      <w:marLeft w:val="0"/>
      <w:marRight w:val="0"/>
      <w:marTop w:val="0"/>
      <w:marBottom w:val="0"/>
      <w:divBdr>
        <w:top w:val="none" w:sz="0" w:space="0" w:color="auto"/>
        <w:left w:val="none" w:sz="0" w:space="0" w:color="auto"/>
        <w:bottom w:val="none" w:sz="0" w:space="0" w:color="auto"/>
        <w:right w:val="none" w:sz="0" w:space="0" w:color="auto"/>
      </w:divBdr>
    </w:div>
    <w:div w:id="243998400">
      <w:bodyDiv w:val="1"/>
      <w:marLeft w:val="0"/>
      <w:marRight w:val="0"/>
      <w:marTop w:val="0"/>
      <w:marBottom w:val="0"/>
      <w:divBdr>
        <w:top w:val="none" w:sz="0" w:space="0" w:color="auto"/>
        <w:left w:val="none" w:sz="0" w:space="0" w:color="auto"/>
        <w:bottom w:val="none" w:sz="0" w:space="0" w:color="auto"/>
        <w:right w:val="none" w:sz="0" w:space="0" w:color="auto"/>
      </w:divBdr>
    </w:div>
    <w:div w:id="244190858">
      <w:bodyDiv w:val="1"/>
      <w:marLeft w:val="0"/>
      <w:marRight w:val="0"/>
      <w:marTop w:val="0"/>
      <w:marBottom w:val="0"/>
      <w:divBdr>
        <w:top w:val="none" w:sz="0" w:space="0" w:color="auto"/>
        <w:left w:val="none" w:sz="0" w:space="0" w:color="auto"/>
        <w:bottom w:val="none" w:sz="0" w:space="0" w:color="auto"/>
        <w:right w:val="none" w:sz="0" w:space="0" w:color="auto"/>
      </w:divBdr>
    </w:div>
    <w:div w:id="244269561">
      <w:bodyDiv w:val="1"/>
      <w:marLeft w:val="0"/>
      <w:marRight w:val="0"/>
      <w:marTop w:val="0"/>
      <w:marBottom w:val="0"/>
      <w:divBdr>
        <w:top w:val="none" w:sz="0" w:space="0" w:color="auto"/>
        <w:left w:val="none" w:sz="0" w:space="0" w:color="auto"/>
        <w:bottom w:val="none" w:sz="0" w:space="0" w:color="auto"/>
        <w:right w:val="none" w:sz="0" w:space="0" w:color="auto"/>
      </w:divBdr>
    </w:div>
    <w:div w:id="244805633">
      <w:bodyDiv w:val="1"/>
      <w:marLeft w:val="0"/>
      <w:marRight w:val="0"/>
      <w:marTop w:val="0"/>
      <w:marBottom w:val="0"/>
      <w:divBdr>
        <w:top w:val="none" w:sz="0" w:space="0" w:color="auto"/>
        <w:left w:val="none" w:sz="0" w:space="0" w:color="auto"/>
        <w:bottom w:val="none" w:sz="0" w:space="0" w:color="auto"/>
        <w:right w:val="none" w:sz="0" w:space="0" w:color="auto"/>
      </w:divBdr>
    </w:div>
    <w:div w:id="244807053">
      <w:bodyDiv w:val="1"/>
      <w:marLeft w:val="0"/>
      <w:marRight w:val="0"/>
      <w:marTop w:val="0"/>
      <w:marBottom w:val="0"/>
      <w:divBdr>
        <w:top w:val="none" w:sz="0" w:space="0" w:color="auto"/>
        <w:left w:val="none" w:sz="0" w:space="0" w:color="auto"/>
        <w:bottom w:val="none" w:sz="0" w:space="0" w:color="auto"/>
        <w:right w:val="none" w:sz="0" w:space="0" w:color="auto"/>
      </w:divBdr>
    </w:div>
    <w:div w:id="245305898">
      <w:bodyDiv w:val="1"/>
      <w:marLeft w:val="0"/>
      <w:marRight w:val="0"/>
      <w:marTop w:val="0"/>
      <w:marBottom w:val="0"/>
      <w:divBdr>
        <w:top w:val="none" w:sz="0" w:space="0" w:color="auto"/>
        <w:left w:val="none" w:sz="0" w:space="0" w:color="auto"/>
        <w:bottom w:val="none" w:sz="0" w:space="0" w:color="auto"/>
        <w:right w:val="none" w:sz="0" w:space="0" w:color="auto"/>
      </w:divBdr>
    </w:div>
    <w:div w:id="245648360">
      <w:bodyDiv w:val="1"/>
      <w:marLeft w:val="0"/>
      <w:marRight w:val="0"/>
      <w:marTop w:val="0"/>
      <w:marBottom w:val="0"/>
      <w:divBdr>
        <w:top w:val="none" w:sz="0" w:space="0" w:color="auto"/>
        <w:left w:val="none" w:sz="0" w:space="0" w:color="auto"/>
        <w:bottom w:val="none" w:sz="0" w:space="0" w:color="auto"/>
        <w:right w:val="none" w:sz="0" w:space="0" w:color="auto"/>
      </w:divBdr>
    </w:div>
    <w:div w:id="246038603">
      <w:bodyDiv w:val="1"/>
      <w:marLeft w:val="0"/>
      <w:marRight w:val="0"/>
      <w:marTop w:val="0"/>
      <w:marBottom w:val="0"/>
      <w:divBdr>
        <w:top w:val="none" w:sz="0" w:space="0" w:color="auto"/>
        <w:left w:val="none" w:sz="0" w:space="0" w:color="auto"/>
        <w:bottom w:val="none" w:sz="0" w:space="0" w:color="auto"/>
        <w:right w:val="none" w:sz="0" w:space="0" w:color="auto"/>
      </w:divBdr>
    </w:div>
    <w:div w:id="246117125">
      <w:bodyDiv w:val="1"/>
      <w:marLeft w:val="0"/>
      <w:marRight w:val="0"/>
      <w:marTop w:val="0"/>
      <w:marBottom w:val="0"/>
      <w:divBdr>
        <w:top w:val="none" w:sz="0" w:space="0" w:color="auto"/>
        <w:left w:val="none" w:sz="0" w:space="0" w:color="auto"/>
        <w:bottom w:val="none" w:sz="0" w:space="0" w:color="auto"/>
        <w:right w:val="none" w:sz="0" w:space="0" w:color="auto"/>
      </w:divBdr>
    </w:div>
    <w:div w:id="246228216">
      <w:bodyDiv w:val="1"/>
      <w:marLeft w:val="0"/>
      <w:marRight w:val="0"/>
      <w:marTop w:val="0"/>
      <w:marBottom w:val="0"/>
      <w:divBdr>
        <w:top w:val="none" w:sz="0" w:space="0" w:color="auto"/>
        <w:left w:val="none" w:sz="0" w:space="0" w:color="auto"/>
        <w:bottom w:val="none" w:sz="0" w:space="0" w:color="auto"/>
        <w:right w:val="none" w:sz="0" w:space="0" w:color="auto"/>
      </w:divBdr>
    </w:div>
    <w:div w:id="246228997">
      <w:bodyDiv w:val="1"/>
      <w:marLeft w:val="0"/>
      <w:marRight w:val="0"/>
      <w:marTop w:val="0"/>
      <w:marBottom w:val="0"/>
      <w:divBdr>
        <w:top w:val="none" w:sz="0" w:space="0" w:color="auto"/>
        <w:left w:val="none" w:sz="0" w:space="0" w:color="auto"/>
        <w:bottom w:val="none" w:sz="0" w:space="0" w:color="auto"/>
        <w:right w:val="none" w:sz="0" w:space="0" w:color="auto"/>
      </w:divBdr>
    </w:div>
    <w:div w:id="247007308">
      <w:bodyDiv w:val="1"/>
      <w:marLeft w:val="0"/>
      <w:marRight w:val="0"/>
      <w:marTop w:val="0"/>
      <w:marBottom w:val="0"/>
      <w:divBdr>
        <w:top w:val="none" w:sz="0" w:space="0" w:color="auto"/>
        <w:left w:val="none" w:sz="0" w:space="0" w:color="auto"/>
        <w:bottom w:val="none" w:sz="0" w:space="0" w:color="auto"/>
        <w:right w:val="none" w:sz="0" w:space="0" w:color="auto"/>
      </w:divBdr>
    </w:div>
    <w:div w:id="247889230">
      <w:bodyDiv w:val="1"/>
      <w:marLeft w:val="0"/>
      <w:marRight w:val="0"/>
      <w:marTop w:val="0"/>
      <w:marBottom w:val="0"/>
      <w:divBdr>
        <w:top w:val="none" w:sz="0" w:space="0" w:color="auto"/>
        <w:left w:val="none" w:sz="0" w:space="0" w:color="auto"/>
        <w:bottom w:val="none" w:sz="0" w:space="0" w:color="auto"/>
        <w:right w:val="none" w:sz="0" w:space="0" w:color="auto"/>
      </w:divBdr>
    </w:div>
    <w:div w:id="248736812">
      <w:bodyDiv w:val="1"/>
      <w:marLeft w:val="0"/>
      <w:marRight w:val="0"/>
      <w:marTop w:val="0"/>
      <w:marBottom w:val="0"/>
      <w:divBdr>
        <w:top w:val="none" w:sz="0" w:space="0" w:color="auto"/>
        <w:left w:val="none" w:sz="0" w:space="0" w:color="auto"/>
        <w:bottom w:val="none" w:sz="0" w:space="0" w:color="auto"/>
        <w:right w:val="none" w:sz="0" w:space="0" w:color="auto"/>
      </w:divBdr>
    </w:div>
    <w:div w:id="248778546">
      <w:bodyDiv w:val="1"/>
      <w:marLeft w:val="0"/>
      <w:marRight w:val="0"/>
      <w:marTop w:val="0"/>
      <w:marBottom w:val="0"/>
      <w:divBdr>
        <w:top w:val="none" w:sz="0" w:space="0" w:color="auto"/>
        <w:left w:val="none" w:sz="0" w:space="0" w:color="auto"/>
        <w:bottom w:val="none" w:sz="0" w:space="0" w:color="auto"/>
        <w:right w:val="none" w:sz="0" w:space="0" w:color="auto"/>
      </w:divBdr>
    </w:div>
    <w:div w:id="249629802">
      <w:bodyDiv w:val="1"/>
      <w:marLeft w:val="0"/>
      <w:marRight w:val="0"/>
      <w:marTop w:val="0"/>
      <w:marBottom w:val="0"/>
      <w:divBdr>
        <w:top w:val="none" w:sz="0" w:space="0" w:color="auto"/>
        <w:left w:val="none" w:sz="0" w:space="0" w:color="auto"/>
        <w:bottom w:val="none" w:sz="0" w:space="0" w:color="auto"/>
        <w:right w:val="none" w:sz="0" w:space="0" w:color="auto"/>
      </w:divBdr>
    </w:div>
    <w:div w:id="249774860">
      <w:bodyDiv w:val="1"/>
      <w:marLeft w:val="0"/>
      <w:marRight w:val="0"/>
      <w:marTop w:val="0"/>
      <w:marBottom w:val="0"/>
      <w:divBdr>
        <w:top w:val="none" w:sz="0" w:space="0" w:color="auto"/>
        <w:left w:val="none" w:sz="0" w:space="0" w:color="auto"/>
        <w:bottom w:val="none" w:sz="0" w:space="0" w:color="auto"/>
        <w:right w:val="none" w:sz="0" w:space="0" w:color="auto"/>
      </w:divBdr>
    </w:div>
    <w:div w:id="249890820">
      <w:bodyDiv w:val="1"/>
      <w:marLeft w:val="0"/>
      <w:marRight w:val="0"/>
      <w:marTop w:val="0"/>
      <w:marBottom w:val="0"/>
      <w:divBdr>
        <w:top w:val="none" w:sz="0" w:space="0" w:color="auto"/>
        <w:left w:val="none" w:sz="0" w:space="0" w:color="auto"/>
        <w:bottom w:val="none" w:sz="0" w:space="0" w:color="auto"/>
        <w:right w:val="none" w:sz="0" w:space="0" w:color="auto"/>
      </w:divBdr>
    </w:div>
    <w:div w:id="249892663">
      <w:bodyDiv w:val="1"/>
      <w:marLeft w:val="0"/>
      <w:marRight w:val="0"/>
      <w:marTop w:val="0"/>
      <w:marBottom w:val="0"/>
      <w:divBdr>
        <w:top w:val="none" w:sz="0" w:space="0" w:color="auto"/>
        <w:left w:val="none" w:sz="0" w:space="0" w:color="auto"/>
        <w:bottom w:val="none" w:sz="0" w:space="0" w:color="auto"/>
        <w:right w:val="none" w:sz="0" w:space="0" w:color="auto"/>
      </w:divBdr>
    </w:div>
    <w:div w:id="250161842">
      <w:bodyDiv w:val="1"/>
      <w:marLeft w:val="0"/>
      <w:marRight w:val="0"/>
      <w:marTop w:val="0"/>
      <w:marBottom w:val="0"/>
      <w:divBdr>
        <w:top w:val="none" w:sz="0" w:space="0" w:color="auto"/>
        <w:left w:val="none" w:sz="0" w:space="0" w:color="auto"/>
        <w:bottom w:val="none" w:sz="0" w:space="0" w:color="auto"/>
        <w:right w:val="none" w:sz="0" w:space="0" w:color="auto"/>
      </w:divBdr>
    </w:div>
    <w:div w:id="250243475">
      <w:bodyDiv w:val="1"/>
      <w:marLeft w:val="0"/>
      <w:marRight w:val="0"/>
      <w:marTop w:val="0"/>
      <w:marBottom w:val="0"/>
      <w:divBdr>
        <w:top w:val="none" w:sz="0" w:space="0" w:color="auto"/>
        <w:left w:val="none" w:sz="0" w:space="0" w:color="auto"/>
        <w:bottom w:val="none" w:sz="0" w:space="0" w:color="auto"/>
        <w:right w:val="none" w:sz="0" w:space="0" w:color="auto"/>
      </w:divBdr>
    </w:div>
    <w:div w:id="250355643">
      <w:bodyDiv w:val="1"/>
      <w:marLeft w:val="0"/>
      <w:marRight w:val="0"/>
      <w:marTop w:val="0"/>
      <w:marBottom w:val="0"/>
      <w:divBdr>
        <w:top w:val="none" w:sz="0" w:space="0" w:color="auto"/>
        <w:left w:val="none" w:sz="0" w:space="0" w:color="auto"/>
        <w:bottom w:val="none" w:sz="0" w:space="0" w:color="auto"/>
        <w:right w:val="none" w:sz="0" w:space="0" w:color="auto"/>
      </w:divBdr>
    </w:div>
    <w:div w:id="250430792">
      <w:bodyDiv w:val="1"/>
      <w:marLeft w:val="0"/>
      <w:marRight w:val="0"/>
      <w:marTop w:val="0"/>
      <w:marBottom w:val="0"/>
      <w:divBdr>
        <w:top w:val="none" w:sz="0" w:space="0" w:color="auto"/>
        <w:left w:val="none" w:sz="0" w:space="0" w:color="auto"/>
        <w:bottom w:val="none" w:sz="0" w:space="0" w:color="auto"/>
        <w:right w:val="none" w:sz="0" w:space="0" w:color="auto"/>
      </w:divBdr>
    </w:div>
    <w:div w:id="251087409">
      <w:bodyDiv w:val="1"/>
      <w:marLeft w:val="0"/>
      <w:marRight w:val="0"/>
      <w:marTop w:val="0"/>
      <w:marBottom w:val="0"/>
      <w:divBdr>
        <w:top w:val="none" w:sz="0" w:space="0" w:color="auto"/>
        <w:left w:val="none" w:sz="0" w:space="0" w:color="auto"/>
        <w:bottom w:val="none" w:sz="0" w:space="0" w:color="auto"/>
        <w:right w:val="none" w:sz="0" w:space="0" w:color="auto"/>
      </w:divBdr>
    </w:div>
    <w:div w:id="251402677">
      <w:bodyDiv w:val="1"/>
      <w:marLeft w:val="0"/>
      <w:marRight w:val="0"/>
      <w:marTop w:val="0"/>
      <w:marBottom w:val="0"/>
      <w:divBdr>
        <w:top w:val="none" w:sz="0" w:space="0" w:color="auto"/>
        <w:left w:val="none" w:sz="0" w:space="0" w:color="auto"/>
        <w:bottom w:val="none" w:sz="0" w:space="0" w:color="auto"/>
        <w:right w:val="none" w:sz="0" w:space="0" w:color="auto"/>
      </w:divBdr>
    </w:div>
    <w:div w:id="252051465">
      <w:bodyDiv w:val="1"/>
      <w:marLeft w:val="0"/>
      <w:marRight w:val="0"/>
      <w:marTop w:val="0"/>
      <w:marBottom w:val="0"/>
      <w:divBdr>
        <w:top w:val="none" w:sz="0" w:space="0" w:color="auto"/>
        <w:left w:val="none" w:sz="0" w:space="0" w:color="auto"/>
        <w:bottom w:val="none" w:sz="0" w:space="0" w:color="auto"/>
        <w:right w:val="none" w:sz="0" w:space="0" w:color="auto"/>
      </w:divBdr>
    </w:div>
    <w:div w:id="252318717">
      <w:bodyDiv w:val="1"/>
      <w:marLeft w:val="0"/>
      <w:marRight w:val="0"/>
      <w:marTop w:val="0"/>
      <w:marBottom w:val="0"/>
      <w:divBdr>
        <w:top w:val="none" w:sz="0" w:space="0" w:color="auto"/>
        <w:left w:val="none" w:sz="0" w:space="0" w:color="auto"/>
        <w:bottom w:val="none" w:sz="0" w:space="0" w:color="auto"/>
        <w:right w:val="none" w:sz="0" w:space="0" w:color="auto"/>
      </w:divBdr>
    </w:div>
    <w:div w:id="252326706">
      <w:bodyDiv w:val="1"/>
      <w:marLeft w:val="0"/>
      <w:marRight w:val="0"/>
      <w:marTop w:val="0"/>
      <w:marBottom w:val="0"/>
      <w:divBdr>
        <w:top w:val="none" w:sz="0" w:space="0" w:color="auto"/>
        <w:left w:val="none" w:sz="0" w:space="0" w:color="auto"/>
        <w:bottom w:val="none" w:sz="0" w:space="0" w:color="auto"/>
        <w:right w:val="none" w:sz="0" w:space="0" w:color="auto"/>
      </w:divBdr>
    </w:div>
    <w:div w:id="252445801">
      <w:bodyDiv w:val="1"/>
      <w:marLeft w:val="0"/>
      <w:marRight w:val="0"/>
      <w:marTop w:val="0"/>
      <w:marBottom w:val="0"/>
      <w:divBdr>
        <w:top w:val="none" w:sz="0" w:space="0" w:color="auto"/>
        <w:left w:val="none" w:sz="0" w:space="0" w:color="auto"/>
        <w:bottom w:val="none" w:sz="0" w:space="0" w:color="auto"/>
        <w:right w:val="none" w:sz="0" w:space="0" w:color="auto"/>
      </w:divBdr>
    </w:div>
    <w:div w:id="252589013">
      <w:bodyDiv w:val="1"/>
      <w:marLeft w:val="0"/>
      <w:marRight w:val="0"/>
      <w:marTop w:val="0"/>
      <w:marBottom w:val="0"/>
      <w:divBdr>
        <w:top w:val="none" w:sz="0" w:space="0" w:color="auto"/>
        <w:left w:val="none" w:sz="0" w:space="0" w:color="auto"/>
        <w:bottom w:val="none" w:sz="0" w:space="0" w:color="auto"/>
        <w:right w:val="none" w:sz="0" w:space="0" w:color="auto"/>
      </w:divBdr>
    </w:div>
    <w:div w:id="253053090">
      <w:bodyDiv w:val="1"/>
      <w:marLeft w:val="0"/>
      <w:marRight w:val="0"/>
      <w:marTop w:val="0"/>
      <w:marBottom w:val="0"/>
      <w:divBdr>
        <w:top w:val="none" w:sz="0" w:space="0" w:color="auto"/>
        <w:left w:val="none" w:sz="0" w:space="0" w:color="auto"/>
        <w:bottom w:val="none" w:sz="0" w:space="0" w:color="auto"/>
        <w:right w:val="none" w:sz="0" w:space="0" w:color="auto"/>
      </w:divBdr>
    </w:div>
    <w:div w:id="253562658">
      <w:bodyDiv w:val="1"/>
      <w:marLeft w:val="0"/>
      <w:marRight w:val="0"/>
      <w:marTop w:val="0"/>
      <w:marBottom w:val="0"/>
      <w:divBdr>
        <w:top w:val="none" w:sz="0" w:space="0" w:color="auto"/>
        <w:left w:val="none" w:sz="0" w:space="0" w:color="auto"/>
        <w:bottom w:val="none" w:sz="0" w:space="0" w:color="auto"/>
        <w:right w:val="none" w:sz="0" w:space="0" w:color="auto"/>
      </w:divBdr>
    </w:div>
    <w:div w:id="254018654">
      <w:bodyDiv w:val="1"/>
      <w:marLeft w:val="0"/>
      <w:marRight w:val="0"/>
      <w:marTop w:val="0"/>
      <w:marBottom w:val="0"/>
      <w:divBdr>
        <w:top w:val="none" w:sz="0" w:space="0" w:color="auto"/>
        <w:left w:val="none" w:sz="0" w:space="0" w:color="auto"/>
        <w:bottom w:val="none" w:sz="0" w:space="0" w:color="auto"/>
        <w:right w:val="none" w:sz="0" w:space="0" w:color="auto"/>
      </w:divBdr>
    </w:div>
    <w:div w:id="254091070">
      <w:bodyDiv w:val="1"/>
      <w:marLeft w:val="0"/>
      <w:marRight w:val="0"/>
      <w:marTop w:val="0"/>
      <w:marBottom w:val="0"/>
      <w:divBdr>
        <w:top w:val="none" w:sz="0" w:space="0" w:color="auto"/>
        <w:left w:val="none" w:sz="0" w:space="0" w:color="auto"/>
        <w:bottom w:val="none" w:sz="0" w:space="0" w:color="auto"/>
        <w:right w:val="none" w:sz="0" w:space="0" w:color="auto"/>
      </w:divBdr>
    </w:div>
    <w:div w:id="254092834">
      <w:bodyDiv w:val="1"/>
      <w:marLeft w:val="0"/>
      <w:marRight w:val="0"/>
      <w:marTop w:val="0"/>
      <w:marBottom w:val="0"/>
      <w:divBdr>
        <w:top w:val="none" w:sz="0" w:space="0" w:color="auto"/>
        <w:left w:val="none" w:sz="0" w:space="0" w:color="auto"/>
        <w:bottom w:val="none" w:sz="0" w:space="0" w:color="auto"/>
        <w:right w:val="none" w:sz="0" w:space="0" w:color="auto"/>
      </w:divBdr>
    </w:div>
    <w:div w:id="254869821">
      <w:bodyDiv w:val="1"/>
      <w:marLeft w:val="0"/>
      <w:marRight w:val="0"/>
      <w:marTop w:val="0"/>
      <w:marBottom w:val="0"/>
      <w:divBdr>
        <w:top w:val="none" w:sz="0" w:space="0" w:color="auto"/>
        <w:left w:val="none" w:sz="0" w:space="0" w:color="auto"/>
        <w:bottom w:val="none" w:sz="0" w:space="0" w:color="auto"/>
        <w:right w:val="none" w:sz="0" w:space="0" w:color="auto"/>
      </w:divBdr>
    </w:div>
    <w:div w:id="254948794">
      <w:bodyDiv w:val="1"/>
      <w:marLeft w:val="0"/>
      <w:marRight w:val="0"/>
      <w:marTop w:val="0"/>
      <w:marBottom w:val="0"/>
      <w:divBdr>
        <w:top w:val="none" w:sz="0" w:space="0" w:color="auto"/>
        <w:left w:val="none" w:sz="0" w:space="0" w:color="auto"/>
        <w:bottom w:val="none" w:sz="0" w:space="0" w:color="auto"/>
        <w:right w:val="none" w:sz="0" w:space="0" w:color="auto"/>
      </w:divBdr>
    </w:div>
    <w:div w:id="255597475">
      <w:bodyDiv w:val="1"/>
      <w:marLeft w:val="0"/>
      <w:marRight w:val="0"/>
      <w:marTop w:val="0"/>
      <w:marBottom w:val="0"/>
      <w:divBdr>
        <w:top w:val="none" w:sz="0" w:space="0" w:color="auto"/>
        <w:left w:val="none" w:sz="0" w:space="0" w:color="auto"/>
        <w:bottom w:val="none" w:sz="0" w:space="0" w:color="auto"/>
        <w:right w:val="none" w:sz="0" w:space="0" w:color="auto"/>
      </w:divBdr>
    </w:div>
    <w:div w:id="256257571">
      <w:bodyDiv w:val="1"/>
      <w:marLeft w:val="0"/>
      <w:marRight w:val="0"/>
      <w:marTop w:val="0"/>
      <w:marBottom w:val="0"/>
      <w:divBdr>
        <w:top w:val="none" w:sz="0" w:space="0" w:color="auto"/>
        <w:left w:val="none" w:sz="0" w:space="0" w:color="auto"/>
        <w:bottom w:val="none" w:sz="0" w:space="0" w:color="auto"/>
        <w:right w:val="none" w:sz="0" w:space="0" w:color="auto"/>
      </w:divBdr>
    </w:div>
    <w:div w:id="256403567">
      <w:bodyDiv w:val="1"/>
      <w:marLeft w:val="0"/>
      <w:marRight w:val="0"/>
      <w:marTop w:val="0"/>
      <w:marBottom w:val="0"/>
      <w:divBdr>
        <w:top w:val="none" w:sz="0" w:space="0" w:color="auto"/>
        <w:left w:val="none" w:sz="0" w:space="0" w:color="auto"/>
        <w:bottom w:val="none" w:sz="0" w:space="0" w:color="auto"/>
        <w:right w:val="none" w:sz="0" w:space="0" w:color="auto"/>
      </w:divBdr>
    </w:div>
    <w:div w:id="257174821">
      <w:bodyDiv w:val="1"/>
      <w:marLeft w:val="0"/>
      <w:marRight w:val="0"/>
      <w:marTop w:val="0"/>
      <w:marBottom w:val="0"/>
      <w:divBdr>
        <w:top w:val="none" w:sz="0" w:space="0" w:color="auto"/>
        <w:left w:val="none" w:sz="0" w:space="0" w:color="auto"/>
        <w:bottom w:val="none" w:sz="0" w:space="0" w:color="auto"/>
        <w:right w:val="none" w:sz="0" w:space="0" w:color="auto"/>
      </w:divBdr>
    </w:div>
    <w:div w:id="257716171">
      <w:bodyDiv w:val="1"/>
      <w:marLeft w:val="0"/>
      <w:marRight w:val="0"/>
      <w:marTop w:val="0"/>
      <w:marBottom w:val="0"/>
      <w:divBdr>
        <w:top w:val="none" w:sz="0" w:space="0" w:color="auto"/>
        <w:left w:val="none" w:sz="0" w:space="0" w:color="auto"/>
        <w:bottom w:val="none" w:sz="0" w:space="0" w:color="auto"/>
        <w:right w:val="none" w:sz="0" w:space="0" w:color="auto"/>
      </w:divBdr>
    </w:div>
    <w:div w:id="257912238">
      <w:bodyDiv w:val="1"/>
      <w:marLeft w:val="0"/>
      <w:marRight w:val="0"/>
      <w:marTop w:val="0"/>
      <w:marBottom w:val="0"/>
      <w:divBdr>
        <w:top w:val="none" w:sz="0" w:space="0" w:color="auto"/>
        <w:left w:val="none" w:sz="0" w:space="0" w:color="auto"/>
        <w:bottom w:val="none" w:sz="0" w:space="0" w:color="auto"/>
        <w:right w:val="none" w:sz="0" w:space="0" w:color="auto"/>
      </w:divBdr>
    </w:div>
    <w:div w:id="259413088">
      <w:bodyDiv w:val="1"/>
      <w:marLeft w:val="0"/>
      <w:marRight w:val="0"/>
      <w:marTop w:val="0"/>
      <w:marBottom w:val="0"/>
      <w:divBdr>
        <w:top w:val="none" w:sz="0" w:space="0" w:color="auto"/>
        <w:left w:val="none" w:sz="0" w:space="0" w:color="auto"/>
        <w:bottom w:val="none" w:sz="0" w:space="0" w:color="auto"/>
        <w:right w:val="none" w:sz="0" w:space="0" w:color="auto"/>
      </w:divBdr>
    </w:div>
    <w:div w:id="259681622">
      <w:bodyDiv w:val="1"/>
      <w:marLeft w:val="0"/>
      <w:marRight w:val="0"/>
      <w:marTop w:val="0"/>
      <w:marBottom w:val="0"/>
      <w:divBdr>
        <w:top w:val="none" w:sz="0" w:space="0" w:color="auto"/>
        <w:left w:val="none" w:sz="0" w:space="0" w:color="auto"/>
        <w:bottom w:val="none" w:sz="0" w:space="0" w:color="auto"/>
        <w:right w:val="none" w:sz="0" w:space="0" w:color="auto"/>
      </w:divBdr>
    </w:div>
    <w:div w:id="260576594">
      <w:bodyDiv w:val="1"/>
      <w:marLeft w:val="0"/>
      <w:marRight w:val="0"/>
      <w:marTop w:val="0"/>
      <w:marBottom w:val="0"/>
      <w:divBdr>
        <w:top w:val="none" w:sz="0" w:space="0" w:color="auto"/>
        <w:left w:val="none" w:sz="0" w:space="0" w:color="auto"/>
        <w:bottom w:val="none" w:sz="0" w:space="0" w:color="auto"/>
        <w:right w:val="none" w:sz="0" w:space="0" w:color="auto"/>
      </w:divBdr>
    </w:div>
    <w:div w:id="260914211">
      <w:bodyDiv w:val="1"/>
      <w:marLeft w:val="0"/>
      <w:marRight w:val="0"/>
      <w:marTop w:val="0"/>
      <w:marBottom w:val="0"/>
      <w:divBdr>
        <w:top w:val="none" w:sz="0" w:space="0" w:color="auto"/>
        <w:left w:val="none" w:sz="0" w:space="0" w:color="auto"/>
        <w:bottom w:val="none" w:sz="0" w:space="0" w:color="auto"/>
        <w:right w:val="none" w:sz="0" w:space="0" w:color="auto"/>
      </w:divBdr>
    </w:div>
    <w:div w:id="261232005">
      <w:bodyDiv w:val="1"/>
      <w:marLeft w:val="0"/>
      <w:marRight w:val="0"/>
      <w:marTop w:val="0"/>
      <w:marBottom w:val="0"/>
      <w:divBdr>
        <w:top w:val="none" w:sz="0" w:space="0" w:color="auto"/>
        <w:left w:val="none" w:sz="0" w:space="0" w:color="auto"/>
        <w:bottom w:val="none" w:sz="0" w:space="0" w:color="auto"/>
        <w:right w:val="none" w:sz="0" w:space="0" w:color="auto"/>
      </w:divBdr>
    </w:div>
    <w:div w:id="261380185">
      <w:bodyDiv w:val="1"/>
      <w:marLeft w:val="0"/>
      <w:marRight w:val="0"/>
      <w:marTop w:val="0"/>
      <w:marBottom w:val="0"/>
      <w:divBdr>
        <w:top w:val="none" w:sz="0" w:space="0" w:color="auto"/>
        <w:left w:val="none" w:sz="0" w:space="0" w:color="auto"/>
        <w:bottom w:val="none" w:sz="0" w:space="0" w:color="auto"/>
        <w:right w:val="none" w:sz="0" w:space="0" w:color="auto"/>
      </w:divBdr>
    </w:div>
    <w:div w:id="261449656">
      <w:bodyDiv w:val="1"/>
      <w:marLeft w:val="0"/>
      <w:marRight w:val="0"/>
      <w:marTop w:val="0"/>
      <w:marBottom w:val="0"/>
      <w:divBdr>
        <w:top w:val="none" w:sz="0" w:space="0" w:color="auto"/>
        <w:left w:val="none" w:sz="0" w:space="0" w:color="auto"/>
        <w:bottom w:val="none" w:sz="0" w:space="0" w:color="auto"/>
        <w:right w:val="none" w:sz="0" w:space="0" w:color="auto"/>
      </w:divBdr>
    </w:div>
    <w:div w:id="261498688">
      <w:bodyDiv w:val="1"/>
      <w:marLeft w:val="0"/>
      <w:marRight w:val="0"/>
      <w:marTop w:val="0"/>
      <w:marBottom w:val="0"/>
      <w:divBdr>
        <w:top w:val="none" w:sz="0" w:space="0" w:color="auto"/>
        <w:left w:val="none" w:sz="0" w:space="0" w:color="auto"/>
        <w:bottom w:val="none" w:sz="0" w:space="0" w:color="auto"/>
        <w:right w:val="none" w:sz="0" w:space="0" w:color="auto"/>
      </w:divBdr>
    </w:div>
    <w:div w:id="261643299">
      <w:bodyDiv w:val="1"/>
      <w:marLeft w:val="0"/>
      <w:marRight w:val="0"/>
      <w:marTop w:val="0"/>
      <w:marBottom w:val="0"/>
      <w:divBdr>
        <w:top w:val="none" w:sz="0" w:space="0" w:color="auto"/>
        <w:left w:val="none" w:sz="0" w:space="0" w:color="auto"/>
        <w:bottom w:val="none" w:sz="0" w:space="0" w:color="auto"/>
        <w:right w:val="none" w:sz="0" w:space="0" w:color="auto"/>
      </w:divBdr>
    </w:div>
    <w:div w:id="261647300">
      <w:bodyDiv w:val="1"/>
      <w:marLeft w:val="0"/>
      <w:marRight w:val="0"/>
      <w:marTop w:val="0"/>
      <w:marBottom w:val="0"/>
      <w:divBdr>
        <w:top w:val="none" w:sz="0" w:space="0" w:color="auto"/>
        <w:left w:val="none" w:sz="0" w:space="0" w:color="auto"/>
        <w:bottom w:val="none" w:sz="0" w:space="0" w:color="auto"/>
        <w:right w:val="none" w:sz="0" w:space="0" w:color="auto"/>
      </w:divBdr>
    </w:div>
    <w:div w:id="261842351">
      <w:bodyDiv w:val="1"/>
      <w:marLeft w:val="0"/>
      <w:marRight w:val="0"/>
      <w:marTop w:val="0"/>
      <w:marBottom w:val="0"/>
      <w:divBdr>
        <w:top w:val="none" w:sz="0" w:space="0" w:color="auto"/>
        <w:left w:val="none" w:sz="0" w:space="0" w:color="auto"/>
        <w:bottom w:val="none" w:sz="0" w:space="0" w:color="auto"/>
        <w:right w:val="none" w:sz="0" w:space="0" w:color="auto"/>
      </w:divBdr>
    </w:div>
    <w:div w:id="262106959">
      <w:bodyDiv w:val="1"/>
      <w:marLeft w:val="0"/>
      <w:marRight w:val="0"/>
      <w:marTop w:val="0"/>
      <w:marBottom w:val="0"/>
      <w:divBdr>
        <w:top w:val="none" w:sz="0" w:space="0" w:color="auto"/>
        <w:left w:val="none" w:sz="0" w:space="0" w:color="auto"/>
        <w:bottom w:val="none" w:sz="0" w:space="0" w:color="auto"/>
        <w:right w:val="none" w:sz="0" w:space="0" w:color="auto"/>
      </w:divBdr>
    </w:div>
    <w:div w:id="262341310">
      <w:bodyDiv w:val="1"/>
      <w:marLeft w:val="0"/>
      <w:marRight w:val="0"/>
      <w:marTop w:val="0"/>
      <w:marBottom w:val="0"/>
      <w:divBdr>
        <w:top w:val="none" w:sz="0" w:space="0" w:color="auto"/>
        <w:left w:val="none" w:sz="0" w:space="0" w:color="auto"/>
        <w:bottom w:val="none" w:sz="0" w:space="0" w:color="auto"/>
        <w:right w:val="none" w:sz="0" w:space="0" w:color="auto"/>
      </w:divBdr>
    </w:div>
    <w:div w:id="262494006">
      <w:bodyDiv w:val="1"/>
      <w:marLeft w:val="0"/>
      <w:marRight w:val="0"/>
      <w:marTop w:val="0"/>
      <w:marBottom w:val="0"/>
      <w:divBdr>
        <w:top w:val="none" w:sz="0" w:space="0" w:color="auto"/>
        <w:left w:val="none" w:sz="0" w:space="0" w:color="auto"/>
        <w:bottom w:val="none" w:sz="0" w:space="0" w:color="auto"/>
        <w:right w:val="none" w:sz="0" w:space="0" w:color="auto"/>
      </w:divBdr>
    </w:div>
    <w:div w:id="263000349">
      <w:bodyDiv w:val="1"/>
      <w:marLeft w:val="0"/>
      <w:marRight w:val="0"/>
      <w:marTop w:val="0"/>
      <w:marBottom w:val="0"/>
      <w:divBdr>
        <w:top w:val="none" w:sz="0" w:space="0" w:color="auto"/>
        <w:left w:val="none" w:sz="0" w:space="0" w:color="auto"/>
        <w:bottom w:val="none" w:sz="0" w:space="0" w:color="auto"/>
        <w:right w:val="none" w:sz="0" w:space="0" w:color="auto"/>
      </w:divBdr>
    </w:div>
    <w:div w:id="263149064">
      <w:bodyDiv w:val="1"/>
      <w:marLeft w:val="0"/>
      <w:marRight w:val="0"/>
      <w:marTop w:val="0"/>
      <w:marBottom w:val="0"/>
      <w:divBdr>
        <w:top w:val="none" w:sz="0" w:space="0" w:color="auto"/>
        <w:left w:val="none" w:sz="0" w:space="0" w:color="auto"/>
        <w:bottom w:val="none" w:sz="0" w:space="0" w:color="auto"/>
        <w:right w:val="none" w:sz="0" w:space="0" w:color="auto"/>
      </w:divBdr>
    </w:div>
    <w:div w:id="263463649">
      <w:bodyDiv w:val="1"/>
      <w:marLeft w:val="0"/>
      <w:marRight w:val="0"/>
      <w:marTop w:val="0"/>
      <w:marBottom w:val="0"/>
      <w:divBdr>
        <w:top w:val="none" w:sz="0" w:space="0" w:color="auto"/>
        <w:left w:val="none" w:sz="0" w:space="0" w:color="auto"/>
        <w:bottom w:val="none" w:sz="0" w:space="0" w:color="auto"/>
        <w:right w:val="none" w:sz="0" w:space="0" w:color="auto"/>
      </w:divBdr>
    </w:div>
    <w:div w:id="263924086">
      <w:bodyDiv w:val="1"/>
      <w:marLeft w:val="0"/>
      <w:marRight w:val="0"/>
      <w:marTop w:val="0"/>
      <w:marBottom w:val="0"/>
      <w:divBdr>
        <w:top w:val="none" w:sz="0" w:space="0" w:color="auto"/>
        <w:left w:val="none" w:sz="0" w:space="0" w:color="auto"/>
        <w:bottom w:val="none" w:sz="0" w:space="0" w:color="auto"/>
        <w:right w:val="none" w:sz="0" w:space="0" w:color="auto"/>
      </w:divBdr>
    </w:div>
    <w:div w:id="264464608">
      <w:bodyDiv w:val="1"/>
      <w:marLeft w:val="0"/>
      <w:marRight w:val="0"/>
      <w:marTop w:val="0"/>
      <w:marBottom w:val="0"/>
      <w:divBdr>
        <w:top w:val="none" w:sz="0" w:space="0" w:color="auto"/>
        <w:left w:val="none" w:sz="0" w:space="0" w:color="auto"/>
        <w:bottom w:val="none" w:sz="0" w:space="0" w:color="auto"/>
        <w:right w:val="none" w:sz="0" w:space="0" w:color="auto"/>
      </w:divBdr>
    </w:div>
    <w:div w:id="264844860">
      <w:bodyDiv w:val="1"/>
      <w:marLeft w:val="0"/>
      <w:marRight w:val="0"/>
      <w:marTop w:val="0"/>
      <w:marBottom w:val="0"/>
      <w:divBdr>
        <w:top w:val="none" w:sz="0" w:space="0" w:color="auto"/>
        <w:left w:val="none" w:sz="0" w:space="0" w:color="auto"/>
        <w:bottom w:val="none" w:sz="0" w:space="0" w:color="auto"/>
        <w:right w:val="none" w:sz="0" w:space="0" w:color="auto"/>
      </w:divBdr>
    </w:div>
    <w:div w:id="265039763">
      <w:bodyDiv w:val="1"/>
      <w:marLeft w:val="0"/>
      <w:marRight w:val="0"/>
      <w:marTop w:val="0"/>
      <w:marBottom w:val="0"/>
      <w:divBdr>
        <w:top w:val="none" w:sz="0" w:space="0" w:color="auto"/>
        <w:left w:val="none" w:sz="0" w:space="0" w:color="auto"/>
        <w:bottom w:val="none" w:sz="0" w:space="0" w:color="auto"/>
        <w:right w:val="none" w:sz="0" w:space="0" w:color="auto"/>
      </w:divBdr>
    </w:div>
    <w:div w:id="265381875">
      <w:bodyDiv w:val="1"/>
      <w:marLeft w:val="0"/>
      <w:marRight w:val="0"/>
      <w:marTop w:val="0"/>
      <w:marBottom w:val="0"/>
      <w:divBdr>
        <w:top w:val="none" w:sz="0" w:space="0" w:color="auto"/>
        <w:left w:val="none" w:sz="0" w:space="0" w:color="auto"/>
        <w:bottom w:val="none" w:sz="0" w:space="0" w:color="auto"/>
        <w:right w:val="none" w:sz="0" w:space="0" w:color="auto"/>
      </w:divBdr>
    </w:div>
    <w:div w:id="265433080">
      <w:bodyDiv w:val="1"/>
      <w:marLeft w:val="0"/>
      <w:marRight w:val="0"/>
      <w:marTop w:val="0"/>
      <w:marBottom w:val="0"/>
      <w:divBdr>
        <w:top w:val="none" w:sz="0" w:space="0" w:color="auto"/>
        <w:left w:val="none" w:sz="0" w:space="0" w:color="auto"/>
        <w:bottom w:val="none" w:sz="0" w:space="0" w:color="auto"/>
        <w:right w:val="none" w:sz="0" w:space="0" w:color="auto"/>
      </w:divBdr>
    </w:div>
    <w:div w:id="265507198">
      <w:bodyDiv w:val="1"/>
      <w:marLeft w:val="0"/>
      <w:marRight w:val="0"/>
      <w:marTop w:val="0"/>
      <w:marBottom w:val="0"/>
      <w:divBdr>
        <w:top w:val="none" w:sz="0" w:space="0" w:color="auto"/>
        <w:left w:val="none" w:sz="0" w:space="0" w:color="auto"/>
        <w:bottom w:val="none" w:sz="0" w:space="0" w:color="auto"/>
        <w:right w:val="none" w:sz="0" w:space="0" w:color="auto"/>
      </w:divBdr>
    </w:div>
    <w:div w:id="265769862">
      <w:bodyDiv w:val="1"/>
      <w:marLeft w:val="0"/>
      <w:marRight w:val="0"/>
      <w:marTop w:val="0"/>
      <w:marBottom w:val="0"/>
      <w:divBdr>
        <w:top w:val="none" w:sz="0" w:space="0" w:color="auto"/>
        <w:left w:val="none" w:sz="0" w:space="0" w:color="auto"/>
        <w:bottom w:val="none" w:sz="0" w:space="0" w:color="auto"/>
        <w:right w:val="none" w:sz="0" w:space="0" w:color="auto"/>
      </w:divBdr>
    </w:div>
    <w:div w:id="266079583">
      <w:bodyDiv w:val="1"/>
      <w:marLeft w:val="0"/>
      <w:marRight w:val="0"/>
      <w:marTop w:val="0"/>
      <w:marBottom w:val="0"/>
      <w:divBdr>
        <w:top w:val="none" w:sz="0" w:space="0" w:color="auto"/>
        <w:left w:val="none" w:sz="0" w:space="0" w:color="auto"/>
        <w:bottom w:val="none" w:sz="0" w:space="0" w:color="auto"/>
        <w:right w:val="none" w:sz="0" w:space="0" w:color="auto"/>
      </w:divBdr>
    </w:div>
    <w:div w:id="266273193">
      <w:bodyDiv w:val="1"/>
      <w:marLeft w:val="0"/>
      <w:marRight w:val="0"/>
      <w:marTop w:val="0"/>
      <w:marBottom w:val="0"/>
      <w:divBdr>
        <w:top w:val="none" w:sz="0" w:space="0" w:color="auto"/>
        <w:left w:val="none" w:sz="0" w:space="0" w:color="auto"/>
        <w:bottom w:val="none" w:sz="0" w:space="0" w:color="auto"/>
        <w:right w:val="none" w:sz="0" w:space="0" w:color="auto"/>
      </w:divBdr>
    </w:div>
    <w:div w:id="266543626">
      <w:bodyDiv w:val="1"/>
      <w:marLeft w:val="0"/>
      <w:marRight w:val="0"/>
      <w:marTop w:val="0"/>
      <w:marBottom w:val="0"/>
      <w:divBdr>
        <w:top w:val="none" w:sz="0" w:space="0" w:color="auto"/>
        <w:left w:val="none" w:sz="0" w:space="0" w:color="auto"/>
        <w:bottom w:val="none" w:sz="0" w:space="0" w:color="auto"/>
        <w:right w:val="none" w:sz="0" w:space="0" w:color="auto"/>
      </w:divBdr>
    </w:div>
    <w:div w:id="266734944">
      <w:bodyDiv w:val="1"/>
      <w:marLeft w:val="0"/>
      <w:marRight w:val="0"/>
      <w:marTop w:val="0"/>
      <w:marBottom w:val="0"/>
      <w:divBdr>
        <w:top w:val="none" w:sz="0" w:space="0" w:color="auto"/>
        <w:left w:val="none" w:sz="0" w:space="0" w:color="auto"/>
        <w:bottom w:val="none" w:sz="0" w:space="0" w:color="auto"/>
        <w:right w:val="none" w:sz="0" w:space="0" w:color="auto"/>
      </w:divBdr>
    </w:div>
    <w:div w:id="266739950">
      <w:bodyDiv w:val="1"/>
      <w:marLeft w:val="0"/>
      <w:marRight w:val="0"/>
      <w:marTop w:val="0"/>
      <w:marBottom w:val="0"/>
      <w:divBdr>
        <w:top w:val="none" w:sz="0" w:space="0" w:color="auto"/>
        <w:left w:val="none" w:sz="0" w:space="0" w:color="auto"/>
        <w:bottom w:val="none" w:sz="0" w:space="0" w:color="auto"/>
        <w:right w:val="none" w:sz="0" w:space="0" w:color="auto"/>
      </w:divBdr>
    </w:div>
    <w:div w:id="266810671">
      <w:bodyDiv w:val="1"/>
      <w:marLeft w:val="0"/>
      <w:marRight w:val="0"/>
      <w:marTop w:val="0"/>
      <w:marBottom w:val="0"/>
      <w:divBdr>
        <w:top w:val="none" w:sz="0" w:space="0" w:color="auto"/>
        <w:left w:val="none" w:sz="0" w:space="0" w:color="auto"/>
        <w:bottom w:val="none" w:sz="0" w:space="0" w:color="auto"/>
        <w:right w:val="none" w:sz="0" w:space="0" w:color="auto"/>
      </w:divBdr>
    </w:div>
    <w:div w:id="267853136">
      <w:bodyDiv w:val="1"/>
      <w:marLeft w:val="0"/>
      <w:marRight w:val="0"/>
      <w:marTop w:val="0"/>
      <w:marBottom w:val="0"/>
      <w:divBdr>
        <w:top w:val="none" w:sz="0" w:space="0" w:color="auto"/>
        <w:left w:val="none" w:sz="0" w:space="0" w:color="auto"/>
        <w:bottom w:val="none" w:sz="0" w:space="0" w:color="auto"/>
        <w:right w:val="none" w:sz="0" w:space="0" w:color="auto"/>
      </w:divBdr>
    </w:div>
    <w:div w:id="268926460">
      <w:bodyDiv w:val="1"/>
      <w:marLeft w:val="0"/>
      <w:marRight w:val="0"/>
      <w:marTop w:val="0"/>
      <w:marBottom w:val="0"/>
      <w:divBdr>
        <w:top w:val="none" w:sz="0" w:space="0" w:color="auto"/>
        <w:left w:val="none" w:sz="0" w:space="0" w:color="auto"/>
        <w:bottom w:val="none" w:sz="0" w:space="0" w:color="auto"/>
        <w:right w:val="none" w:sz="0" w:space="0" w:color="auto"/>
      </w:divBdr>
    </w:div>
    <w:div w:id="269555821">
      <w:bodyDiv w:val="1"/>
      <w:marLeft w:val="0"/>
      <w:marRight w:val="0"/>
      <w:marTop w:val="0"/>
      <w:marBottom w:val="0"/>
      <w:divBdr>
        <w:top w:val="none" w:sz="0" w:space="0" w:color="auto"/>
        <w:left w:val="none" w:sz="0" w:space="0" w:color="auto"/>
        <w:bottom w:val="none" w:sz="0" w:space="0" w:color="auto"/>
        <w:right w:val="none" w:sz="0" w:space="0" w:color="auto"/>
      </w:divBdr>
    </w:div>
    <w:div w:id="269775152">
      <w:bodyDiv w:val="1"/>
      <w:marLeft w:val="0"/>
      <w:marRight w:val="0"/>
      <w:marTop w:val="0"/>
      <w:marBottom w:val="0"/>
      <w:divBdr>
        <w:top w:val="none" w:sz="0" w:space="0" w:color="auto"/>
        <w:left w:val="none" w:sz="0" w:space="0" w:color="auto"/>
        <w:bottom w:val="none" w:sz="0" w:space="0" w:color="auto"/>
        <w:right w:val="none" w:sz="0" w:space="0" w:color="auto"/>
      </w:divBdr>
    </w:div>
    <w:div w:id="270019147">
      <w:bodyDiv w:val="1"/>
      <w:marLeft w:val="0"/>
      <w:marRight w:val="0"/>
      <w:marTop w:val="0"/>
      <w:marBottom w:val="0"/>
      <w:divBdr>
        <w:top w:val="none" w:sz="0" w:space="0" w:color="auto"/>
        <w:left w:val="none" w:sz="0" w:space="0" w:color="auto"/>
        <w:bottom w:val="none" w:sz="0" w:space="0" w:color="auto"/>
        <w:right w:val="none" w:sz="0" w:space="0" w:color="auto"/>
      </w:divBdr>
    </w:div>
    <w:div w:id="270628283">
      <w:bodyDiv w:val="1"/>
      <w:marLeft w:val="0"/>
      <w:marRight w:val="0"/>
      <w:marTop w:val="0"/>
      <w:marBottom w:val="0"/>
      <w:divBdr>
        <w:top w:val="none" w:sz="0" w:space="0" w:color="auto"/>
        <w:left w:val="none" w:sz="0" w:space="0" w:color="auto"/>
        <w:bottom w:val="none" w:sz="0" w:space="0" w:color="auto"/>
        <w:right w:val="none" w:sz="0" w:space="0" w:color="auto"/>
      </w:divBdr>
    </w:div>
    <w:div w:id="271669735">
      <w:bodyDiv w:val="1"/>
      <w:marLeft w:val="0"/>
      <w:marRight w:val="0"/>
      <w:marTop w:val="0"/>
      <w:marBottom w:val="0"/>
      <w:divBdr>
        <w:top w:val="none" w:sz="0" w:space="0" w:color="auto"/>
        <w:left w:val="none" w:sz="0" w:space="0" w:color="auto"/>
        <w:bottom w:val="none" w:sz="0" w:space="0" w:color="auto"/>
        <w:right w:val="none" w:sz="0" w:space="0" w:color="auto"/>
      </w:divBdr>
    </w:div>
    <w:div w:id="272058019">
      <w:bodyDiv w:val="1"/>
      <w:marLeft w:val="0"/>
      <w:marRight w:val="0"/>
      <w:marTop w:val="0"/>
      <w:marBottom w:val="0"/>
      <w:divBdr>
        <w:top w:val="none" w:sz="0" w:space="0" w:color="auto"/>
        <w:left w:val="none" w:sz="0" w:space="0" w:color="auto"/>
        <w:bottom w:val="none" w:sz="0" w:space="0" w:color="auto"/>
        <w:right w:val="none" w:sz="0" w:space="0" w:color="auto"/>
      </w:divBdr>
    </w:div>
    <w:div w:id="272633139">
      <w:bodyDiv w:val="1"/>
      <w:marLeft w:val="0"/>
      <w:marRight w:val="0"/>
      <w:marTop w:val="0"/>
      <w:marBottom w:val="0"/>
      <w:divBdr>
        <w:top w:val="none" w:sz="0" w:space="0" w:color="auto"/>
        <w:left w:val="none" w:sz="0" w:space="0" w:color="auto"/>
        <w:bottom w:val="none" w:sz="0" w:space="0" w:color="auto"/>
        <w:right w:val="none" w:sz="0" w:space="0" w:color="auto"/>
      </w:divBdr>
    </w:div>
    <w:div w:id="272636984">
      <w:bodyDiv w:val="1"/>
      <w:marLeft w:val="0"/>
      <w:marRight w:val="0"/>
      <w:marTop w:val="0"/>
      <w:marBottom w:val="0"/>
      <w:divBdr>
        <w:top w:val="none" w:sz="0" w:space="0" w:color="auto"/>
        <w:left w:val="none" w:sz="0" w:space="0" w:color="auto"/>
        <w:bottom w:val="none" w:sz="0" w:space="0" w:color="auto"/>
        <w:right w:val="none" w:sz="0" w:space="0" w:color="auto"/>
      </w:divBdr>
    </w:div>
    <w:div w:id="273055158">
      <w:bodyDiv w:val="1"/>
      <w:marLeft w:val="0"/>
      <w:marRight w:val="0"/>
      <w:marTop w:val="0"/>
      <w:marBottom w:val="0"/>
      <w:divBdr>
        <w:top w:val="none" w:sz="0" w:space="0" w:color="auto"/>
        <w:left w:val="none" w:sz="0" w:space="0" w:color="auto"/>
        <w:bottom w:val="none" w:sz="0" w:space="0" w:color="auto"/>
        <w:right w:val="none" w:sz="0" w:space="0" w:color="auto"/>
      </w:divBdr>
    </w:div>
    <w:div w:id="274101697">
      <w:bodyDiv w:val="1"/>
      <w:marLeft w:val="0"/>
      <w:marRight w:val="0"/>
      <w:marTop w:val="0"/>
      <w:marBottom w:val="0"/>
      <w:divBdr>
        <w:top w:val="none" w:sz="0" w:space="0" w:color="auto"/>
        <w:left w:val="none" w:sz="0" w:space="0" w:color="auto"/>
        <w:bottom w:val="none" w:sz="0" w:space="0" w:color="auto"/>
        <w:right w:val="none" w:sz="0" w:space="0" w:color="auto"/>
      </w:divBdr>
    </w:div>
    <w:div w:id="274169020">
      <w:bodyDiv w:val="1"/>
      <w:marLeft w:val="0"/>
      <w:marRight w:val="0"/>
      <w:marTop w:val="0"/>
      <w:marBottom w:val="0"/>
      <w:divBdr>
        <w:top w:val="none" w:sz="0" w:space="0" w:color="auto"/>
        <w:left w:val="none" w:sz="0" w:space="0" w:color="auto"/>
        <w:bottom w:val="none" w:sz="0" w:space="0" w:color="auto"/>
        <w:right w:val="none" w:sz="0" w:space="0" w:color="auto"/>
      </w:divBdr>
    </w:div>
    <w:div w:id="274555490">
      <w:bodyDiv w:val="1"/>
      <w:marLeft w:val="0"/>
      <w:marRight w:val="0"/>
      <w:marTop w:val="0"/>
      <w:marBottom w:val="0"/>
      <w:divBdr>
        <w:top w:val="none" w:sz="0" w:space="0" w:color="auto"/>
        <w:left w:val="none" w:sz="0" w:space="0" w:color="auto"/>
        <w:bottom w:val="none" w:sz="0" w:space="0" w:color="auto"/>
        <w:right w:val="none" w:sz="0" w:space="0" w:color="auto"/>
      </w:divBdr>
    </w:div>
    <w:div w:id="274680398">
      <w:bodyDiv w:val="1"/>
      <w:marLeft w:val="0"/>
      <w:marRight w:val="0"/>
      <w:marTop w:val="0"/>
      <w:marBottom w:val="0"/>
      <w:divBdr>
        <w:top w:val="none" w:sz="0" w:space="0" w:color="auto"/>
        <w:left w:val="none" w:sz="0" w:space="0" w:color="auto"/>
        <w:bottom w:val="none" w:sz="0" w:space="0" w:color="auto"/>
        <w:right w:val="none" w:sz="0" w:space="0" w:color="auto"/>
      </w:divBdr>
    </w:div>
    <w:div w:id="274797706">
      <w:bodyDiv w:val="1"/>
      <w:marLeft w:val="0"/>
      <w:marRight w:val="0"/>
      <w:marTop w:val="0"/>
      <w:marBottom w:val="0"/>
      <w:divBdr>
        <w:top w:val="none" w:sz="0" w:space="0" w:color="auto"/>
        <w:left w:val="none" w:sz="0" w:space="0" w:color="auto"/>
        <w:bottom w:val="none" w:sz="0" w:space="0" w:color="auto"/>
        <w:right w:val="none" w:sz="0" w:space="0" w:color="auto"/>
      </w:divBdr>
    </w:div>
    <w:div w:id="275067631">
      <w:bodyDiv w:val="1"/>
      <w:marLeft w:val="0"/>
      <w:marRight w:val="0"/>
      <w:marTop w:val="0"/>
      <w:marBottom w:val="0"/>
      <w:divBdr>
        <w:top w:val="none" w:sz="0" w:space="0" w:color="auto"/>
        <w:left w:val="none" w:sz="0" w:space="0" w:color="auto"/>
        <w:bottom w:val="none" w:sz="0" w:space="0" w:color="auto"/>
        <w:right w:val="none" w:sz="0" w:space="0" w:color="auto"/>
      </w:divBdr>
    </w:div>
    <w:div w:id="275409753">
      <w:bodyDiv w:val="1"/>
      <w:marLeft w:val="0"/>
      <w:marRight w:val="0"/>
      <w:marTop w:val="0"/>
      <w:marBottom w:val="0"/>
      <w:divBdr>
        <w:top w:val="none" w:sz="0" w:space="0" w:color="auto"/>
        <w:left w:val="none" w:sz="0" w:space="0" w:color="auto"/>
        <w:bottom w:val="none" w:sz="0" w:space="0" w:color="auto"/>
        <w:right w:val="none" w:sz="0" w:space="0" w:color="auto"/>
      </w:divBdr>
    </w:div>
    <w:div w:id="275453316">
      <w:bodyDiv w:val="1"/>
      <w:marLeft w:val="0"/>
      <w:marRight w:val="0"/>
      <w:marTop w:val="0"/>
      <w:marBottom w:val="0"/>
      <w:divBdr>
        <w:top w:val="none" w:sz="0" w:space="0" w:color="auto"/>
        <w:left w:val="none" w:sz="0" w:space="0" w:color="auto"/>
        <w:bottom w:val="none" w:sz="0" w:space="0" w:color="auto"/>
        <w:right w:val="none" w:sz="0" w:space="0" w:color="auto"/>
      </w:divBdr>
    </w:div>
    <w:div w:id="275909168">
      <w:bodyDiv w:val="1"/>
      <w:marLeft w:val="0"/>
      <w:marRight w:val="0"/>
      <w:marTop w:val="0"/>
      <w:marBottom w:val="0"/>
      <w:divBdr>
        <w:top w:val="none" w:sz="0" w:space="0" w:color="auto"/>
        <w:left w:val="none" w:sz="0" w:space="0" w:color="auto"/>
        <w:bottom w:val="none" w:sz="0" w:space="0" w:color="auto"/>
        <w:right w:val="none" w:sz="0" w:space="0" w:color="auto"/>
      </w:divBdr>
    </w:div>
    <w:div w:id="275912013">
      <w:bodyDiv w:val="1"/>
      <w:marLeft w:val="0"/>
      <w:marRight w:val="0"/>
      <w:marTop w:val="0"/>
      <w:marBottom w:val="0"/>
      <w:divBdr>
        <w:top w:val="none" w:sz="0" w:space="0" w:color="auto"/>
        <w:left w:val="none" w:sz="0" w:space="0" w:color="auto"/>
        <w:bottom w:val="none" w:sz="0" w:space="0" w:color="auto"/>
        <w:right w:val="none" w:sz="0" w:space="0" w:color="auto"/>
      </w:divBdr>
    </w:div>
    <w:div w:id="276451806">
      <w:bodyDiv w:val="1"/>
      <w:marLeft w:val="0"/>
      <w:marRight w:val="0"/>
      <w:marTop w:val="0"/>
      <w:marBottom w:val="0"/>
      <w:divBdr>
        <w:top w:val="none" w:sz="0" w:space="0" w:color="auto"/>
        <w:left w:val="none" w:sz="0" w:space="0" w:color="auto"/>
        <w:bottom w:val="none" w:sz="0" w:space="0" w:color="auto"/>
        <w:right w:val="none" w:sz="0" w:space="0" w:color="auto"/>
      </w:divBdr>
    </w:div>
    <w:div w:id="276529095">
      <w:bodyDiv w:val="1"/>
      <w:marLeft w:val="0"/>
      <w:marRight w:val="0"/>
      <w:marTop w:val="0"/>
      <w:marBottom w:val="0"/>
      <w:divBdr>
        <w:top w:val="none" w:sz="0" w:space="0" w:color="auto"/>
        <w:left w:val="none" w:sz="0" w:space="0" w:color="auto"/>
        <w:bottom w:val="none" w:sz="0" w:space="0" w:color="auto"/>
        <w:right w:val="none" w:sz="0" w:space="0" w:color="auto"/>
      </w:divBdr>
    </w:div>
    <w:div w:id="276758684">
      <w:bodyDiv w:val="1"/>
      <w:marLeft w:val="0"/>
      <w:marRight w:val="0"/>
      <w:marTop w:val="0"/>
      <w:marBottom w:val="0"/>
      <w:divBdr>
        <w:top w:val="none" w:sz="0" w:space="0" w:color="auto"/>
        <w:left w:val="none" w:sz="0" w:space="0" w:color="auto"/>
        <w:bottom w:val="none" w:sz="0" w:space="0" w:color="auto"/>
        <w:right w:val="none" w:sz="0" w:space="0" w:color="auto"/>
      </w:divBdr>
    </w:div>
    <w:div w:id="277104052">
      <w:bodyDiv w:val="1"/>
      <w:marLeft w:val="0"/>
      <w:marRight w:val="0"/>
      <w:marTop w:val="0"/>
      <w:marBottom w:val="0"/>
      <w:divBdr>
        <w:top w:val="none" w:sz="0" w:space="0" w:color="auto"/>
        <w:left w:val="none" w:sz="0" w:space="0" w:color="auto"/>
        <w:bottom w:val="none" w:sz="0" w:space="0" w:color="auto"/>
        <w:right w:val="none" w:sz="0" w:space="0" w:color="auto"/>
      </w:divBdr>
    </w:div>
    <w:div w:id="278073767">
      <w:bodyDiv w:val="1"/>
      <w:marLeft w:val="0"/>
      <w:marRight w:val="0"/>
      <w:marTop w:val="0"/>
      <w:marBottom w:val="0"/>
      <w:divBdr>
        <w:top w:val="none" w:sz="0" w:space="0" w:color="auto"/>
        <w:left w:val="none" w:sz="0" w:space="0" w:color="auto"/>
        <w:bottom w:val="none" w:sz="0" w:space="0" w:color="auto"/>
        <w:right w:val="none" w:sz="0" w:space="0" w:color="auto"/>
      </w:divBdr>
    </w:div>
    <w:div w:id="278683758">
      <w:bodyDiv w:val="1"/>
      <w:marLeft w:val="0"/>
      <w:marRight w:val="0"/>
      <w:marTop w:val="0"/>
      <w:marBottom w:val="0"/>
      <w:divBdr>
        <w:top w:val="none" w:sz="0" w:space="0" w:color="auto"/>
        <w:left w:val="none" w:sz="0" w:space="0" w:color="auto"/>
        <w:bottom w:val="none" w:sz="0" w:space="0" w:color="auto"/>
        <w:right w:val="none" w:sz="0" w:space="0" w:color="auto"/>
      </w:divBdr>
    </w:div>
    <w:div w:id="279336496">
      <w:bodyDiv w:val="1"/>
      <w:marLeft w:val="0"/>
      <w:marRight w:val="0"/>
      <w:marTop w:val="0"/>
      <w:marBottom w:val="0"/>
      <w:divBdr>
        <w:top w:val="none" w:sz="0" w:space="0" w:color="auto"/>
        <w:left w:val="none" w:sz="0" w:space="0" w:color="auto"/>
        <w:bottom w:val="none" w:sz="0" w:space="0" w:color="auto"/>
        <w:right w:val="none" w:sz="0" w:space="0" w:color="auto"/>
      </w:divBdr>
    </w:div>
    <w:div w:id="280042564">
      <w:bodyDiv w:val="1"/>
      <w:marLeft w:val="0"/>
      <w:marRight w:val="0"/>
      <w:marTop w:val="0"/>
      <w:marBottom w:val="0"/>
      <w:divBdr>
        <w:top w:val="none" w:sz="0" w:space="0" w:color="auto"/>
        <w:left w:val="none" w:sz="0" w:space="0" w:color="auto"/>
        <w:bottom w:val="none" w:sz="0" w:space="0" w:color="auto"/>
        <w:right w:val="none" w:sz="0" w:space="0" w:color="auto"/>
      </w:divBdr>
    </w:div>
    <w:div w:id="280578752">
      <w:bodyDiv w:val="1"/>
      <w:marLeft w:val="0"/>
      <w:marRight w:val="0"/>
      <w:marTop w:val="0"/>
      <w:marBottom w:val="0"/>
      <w:divBdr>
        <w:top w:val="none" w:sz="0" w:space="0" w:color="auto"/>
        <w:left w:val="none" w:sz="0" w:space="0" w:color="auto"/>
        <w:bottom w:val="none" w:sz="0" w:space="0" w:color="auto"/>
        <w:right w:val="none" w:sz="0" w:space="0" w:color="auto"/>
      </w:divBdr>
    </w:div>
    <w:div w:id="280694854">
      <w:bodyDiv w:val="1"/>
      <w:marLeft w:val="0"/>
      <w:marRight w:val="0"/>
      <w:marTop w:val="0"/>
      <w:marBottom w:val="0"/>
      <w:divBdr>
        <w:top w:val="none" w:sz="0" w:space="0" w:color="auto"/>
        <w:left w:val="none" w:sz="0" w:space="0" w:color="auto"/>
        <w:bottom w:val="none" w:sz="0" w:space="0" w:color="auto"/>
        <w:right w:val="none" w:sz="0" w:space="0" w:color="auto"/>
      </w:divBdr>
    </w:div>
    <w:div w:id="280765345">
      <w:bodyDiv w:val="1"/>
      <w:marLeft w:val="0"/>
      <w:marRight w:val="0"/>
      <w:marTop w:val="0"/>
      <w:marBottom w:val="0"/>
      <w:divBdr>
        <w:top w:val="none" w:sz="0" w:space="0" w:color="auto"/>
        <w:left w:val="none" w:sz="0" w:space="0" w:color="auto"/>
        <w:bottom w:val="none" w:sz="0" w:space="0" w:color="auto"/>
        <w:right w:val="none" w:sz="0" w:space="0" w:color="auto"/>
      </w:divBdr>
    </w:div>
    <w:div w:id="280914793">
      <w:bodyDiv w:val="1"/>
      <w:marLeft w:val="0"/>
      <w:marRight w:val="0"/>
      <w:marTop w:val="0"/>
      <w:marBottom w:val="0"/>
      <w:divBdr>
        <w:top w:val="none" w:sz="0" w:space="0" w:color="auto"/>
        <w:left w:val="none" w:sz="0" w:space="0" w:color="auto"/>
        <w:bottom w:val="none" w:sz="0" w:space="0" w:color="auto"/>
        <w:right w:val="none" w:sz="0" w:space="0" w:color="auto"/>
      </w:divBdr>
    </w:div>
    <w:div w:id="280919725">
      <w:bodyDiv w:val="1"/>
      <w:marLeft w:val="0"/>
      <w:marRight w:val="0"/>
      <w:marTop w:val="0"/>
      <w:marBottom w:val="0"/>
      <w:divBdr>
        <w:top w:val="none" w:sz="0" w:space="0" w:color="auto"/>
        <w:left w:val="none" w:sz="0" w:space="0" w:color="auto"/>
        <w:bottom w:val="none" w:sz="0" w:space="0" w:color="auto"/>
        <w:right w:val="none" w:sz="0" w:space="0" w:color="auto"/>
      </w:divBdr>
    </w:div>
    <w:div w:id="281347472">
      <w:bodyDiv w:val="1"/>
      <w:marLeft w:val="0"/>
      <w:marRight w:val="0"/>
      <w:marTop w:val="0"/>
      <w:marBottom w:val="0"/>
      <w:divBdr>
        <w:top w:val="none" w:sz="0" w:space="0" w:color="auto"/>
        <w:left w:val="none" w:sz="0" w:space="0" w:color="auto"/>
        <w:bottom w:val="none" w:sz="0" w:space="0" w:color="auto"/>
        <w:right w:val="none" w:sz="0" w:space="0" w:color="auto"/>
      </w:divBdr>
    </w:div>
    <w:div w:id="281501136">
      <w:bodyDiv w:val="1"/>
      <w:marLeft w:val="0"/>
      <w:marRight w:val="0"/>
      <w:marTop w:val="0"/>
      <w:marBottom w:val="0"/>
      <w:divBdr>
        <w:top w:val="none" w:sz="0" w:space="0" w:color="auto"/>
        <w:left w:val="none" w:sz="0" w:space="0" w:color="auto"/>
        <w:bottom w:val="none" w:sz="0" w:space="0" w:color="auto"/>
        <w:right w:val="none" w:sz="0" w:space="0" w:color="auto"/>
      </w:divBdr>
    </w:div>
    <w:div w:id="281881882">
      <w:bodyDiv w:val="1"/>
      <w:marLeft w:val="0"/>
      <w:marRight w:val="0"/>
      <w:marTop w:val="0"/>
      <w:marBottom w:val="0"/>
      <w:divBdr>
        <w:top w:val="none" w:sz="0" w:space="0" w:color="auto"/>
        <w:left w:val="none" w:sz="0" w:space="0" w:color="auto"/>
        <w:bottom w:val="none" w:sz="0" w:space="0" w:color="auto"/>
        <w:right w:val="none" w:sz="0" w:space="0" w:color="auto"/>
      </w:divBdr>
    </w:div>
    <w:div w:id="281959487">
      <w:bodyDiv w:val="1"/>
      <w:marLeft w:val="0"/>
      <w:marRight w:val="0"/>
      <w:marTop w:val="0"/>
      <w:marBottom w:val="0"/>
      <w:divBdr>
        <w:top w:val="none" w:sz="0" w:space="0" w:color="auto"/>
        <w:left w:val="none" w:sz="0" w:space="0" w:color="auto"/>
        <w:bottom w:val="none" w:sz="0" w:space="0" w:color="auto"/>
        <w:right w:val="none" w:sz="0" w:space="0" w:color="auto"/>
      </w:divBdr>
    </w:div>
    <w:div w:id="282032113">
      <w:bodyDiv w:val="1"/>
      <w:marLeft w:val="0"/>
      <w:marRight w:val="0"/>
      <w:marTop w:val="0"/>
      <w:marBottom w:val="0"/>
      <w:divBdr>
        <w:top w:val="none" w:sz="0" w:space="0" w:color="auto"/>
        <w:left w:val="none" w:sz="0" w:space="0" w:color="auto"/>
        <w:bottom w:val="none" w:sz="0" w:space="0" w:color="auto"/>
        <w:right w:val="none" w:sz="0" w:space="0" w:color="auto"/>
      </w:divBdr>
    </w:div>
    <w:div w:id="282151048">
      <w:bodyDiv w:val="1"/>
      <w:marLeft w:val="0"/>
      <w:marRight w:val="0"/>
      <w:marTop w:val="0"/>
      <w:marBottom w:val="0"/>
      <w:divBdr>
        <w:top w:val="none" w:sz="0" w:space="0" w:color="auto"/>
        <w:left w:val="none" w:sz="0" w:space="0" w:color="auto"/>
        <w:bottom w:val="none" w:sz="0" w:space="0" w:color="auto"/>
        <w:right w:val="none" w:sz="0" w:space="0" w:color="auto"/>
      </w:divBdr>
    </w:div>
    <w:div w:id="282198572">
      <w:bodyDiv w:val="1"/>
      <w:marLeft w:val="0"/>
      <w:marRight w:val="0"/>
      <w:marTop w:val="0"/>
      <w:marBottom w:val="0"/>
      <w:divBdr>
        <w:top w:val="none" w:sz="0" w:space="0" w:color="auto"/>
        <w:left w:val="none" w:sz="0" w:space="0" w:color="auto"/>
        <w:bottom w:val="none" w:sz="0" w:space="0" w:color="auto"/>
        <w:right w:val="none" w:sz="0" w:space="0" w:color="auto"/>
      </w:divBdr>
    </w:div>
    <w:div w:id="282814305">
      <w:bodyDiv w:val="1"/>
      <w:marLeft w:val="0"/>
      <w:marRight w:val="0"/>
      <w:marTop w:val="0"/>
      <w:marBottom w:val="0"/>
      <w:divBdr>
        <w:top w:val="none" w:sz="0" w:space="0" w:color="auto"/>
        <w:left w:val="none" w:sz="0" w:space="0" w:color="auto"/>
        <w:bottom w:val="none" w:sz="0" w:space="0" w:color="auto"/>
        <w:right w:val="none" w:sz="0" w:space="0" w:color="auto"/>
      </w:divBdr>
    </w:div>
    <w:div w:id="282853605">
      <w:bodyDiv w:val="1"/>
      <w:marLeft w:val="0"/>
      <w:marRight w:val="0"/>
      <w:marTop w:val="0"/>
      <w:marBottom w:val="0"/>
      <w:divBdr>
        <w:top w:val="none" w:sz="0" w:space="0" w:color="auto"/>
        <w:left w:val="none" w:sz="0" w:space="0" w:color="auto"/>
        <w:bottom w:val="none" w:sz="0" w:space="0" w:color="auto"/>
        <w:right w:val="none" w:sz="0" w:space="0" w:color="auto"/>
      </w:divBdr>
    </w:div>
    <w:div w:id="282926265">
      <w:bodyDiv w:val="1"/>
      <w:marLeft w:val="0"/>
      <w:marRight w:val="0"/>
      <w:marTop w:val="0"/>
      <w:marBottom w:val="0"/>
      <w:divBdr>
        <w:top w:val="none" w:sz="0" w:space="0" w:color="auto"/>
        <w:left w:val="none" w:sz="0" w:space="0" w:color="auto"/>
        <w:bottom w:val="none" w:sz="0" w:space="0" w:color="auto"/>
        <w:right w:val="none" w:sz="0" w:space="0" w:color="auto"/>
      </w:divBdr>
    </w:div>
    <w:div w:id="283075044">
      <w:bodyDiv w:val="1"/>
      <w:marLeft w:val="0"/>
      <w:marRight w:val="0"/>
      <w:marTop w:val="0"/>
      <w:marBottom w:val="0"/>
      <w:divBdr>
        <w:top w:val="none" w:sz="0" w:space="0" w:color="auto"/>
        <w:left w:val="none" w:sz="0" w:space="0" w:color="auto"/>
        <w:bottom w:val="none" w:sz="0" w:space="0" w:color="auto"/>
        <w:right w:val="none" w:sz="0" w:space="0" w:color="auto"/>
      </w:divBdr>
    </w:div>
    <w:div w:id="283193255">
      <w:bodyDiv w:val="1"/>
      <w:marLeft w:val="0"/>
      <w:marRight w:val="0"/>
      <w:marTop w:val="0"/>
      <w:marBottom w:val="0"/>
      <w:divBdr>
        <w:top w:val="none" w:sz="0" w:space="0" w:color="auto"/>
        <w:left w:val="none" w:sz="0" w:space="0" w:color="auto"/>
        <w:bottom w:val="none" w:sz="0" w:space="0" w:color="auto"/>
        <w:right w:val="none" w:sz="0" w:space="0" w:color="auto"/>
      </w:divBdr>
    </w:div>
    <w:div w:id="283582998">
      <w:bodyDiv w:val="1"/>
      <w:marLeft w:val="0"/>
      <w:marRight w:val="0"/>
      <w:marTop w:val="0"/>
      <w:marBottom w:val="0"/>
      <w:divBdr>
        <w:top w:val="none" w:sz="0" w:space="0" w:color="auto"/>
        <w:left w:val="none" w:sz="0" w:space="0" w:color="auto"/>
        <w:bottom w:val="none" w:sz="0" w:space="0" w:color="auto"/>
        <w:right w:val="none" w:sz="0" w:space="0" w:color="auto"/>
      </w:divBdr>
    </w:div>
    <w:div w:id="283780225">
      <w:bodyDiv w:val="1"/>
      <w:marLeft w:val="0"/>
      <w:marRight w:val="0"/>
      <w:marTop w:val="0"/>
      <w:marBottom w:val="0"/>
      <w:divBdr>
        <w:top w:val="none" w:sz="0" w:space="0" w:color="auto"/>
        <w:left w:val="none" w:sz="0" w:space="0" w:color="auto"/>
        <w:bottom w:val="none" w:sz="0" w:space="0" w:color="auto"/>
        <w:right w:val="none" w:sz="0" w:space="0" w:color="auto"/>
      </w:divBdr>
    </w:div>
    <w:div w:id="283971957">
      <w:bodyDiv w:val="1"/>
      <w:marLeft w:val="0"/>
      <w:marRight w:val="0"/>
      <w:marTop w:val="0"/>
      <w:marBottom w:val="0"/>
      <w:divBdr>
        <w:top w:val="none" w:sz="0" w:space="0" w:color="auto"/>
        <w:left w:val="none" w:sz="0" w:space="0" w:color="auto"/>
        <w:bottom w:val="none" w:sz="0" w:space="0" w:color="auto"/>
        <w:right w:val="none" w:sz="0" w:space="0" w:color="auto"/>
      </w:divBdr>
    </w:div>
    <w:div w:id="283973378">
      <w:bodyDiv w:val="1"/>
      <w:marLeft w:val="0"/>
      <w:marRight w:val="0"/>
      <w:marTop w:val="0"/>
      <w:marBottom w:val="0"/>
      <w:divBdr>
        <w:top w:val="none" w:sz="0" w:space="0" w:color="auto"/>
        <w:left w:val="none" w:sz="0" w:space="0" w:color="auto"/>
        <w:bottom w:val="none" w:sz="0" w:space="0" w:color="auto"/>
        <w:right w:val="none" w:sz="0" w:space="0" w:color="auto"/>
      </w:divBdr>
    </w:div>
    <w:div w:id="284192294">
      <w:bodyDiv w:val="1"/>
      <w:marLeft w:val="0"/>
      <w:marRight w:val="0"/>
      <w:marTop w:val="0"/>
      <w:marBottom w:val="0"/>
      <w:divBdr>
        <w:top w:val="none" w:sz="0" w:space="0" w:color="auto"/>
        <w:left w:val="none" w:sz="0" w:space="0" w:color="auto"/>
        <w:bottom w:val="none" w:sz="0" w:space="0" w:color="auto"/>
        <w:right w:val="none" w:sz="0" w:space="0" w:color="auto"/>
      </w:divBdr>
    </w:div>
    <w:div w:id="284237527">
      <w:bodyDiv w:val="1"/>
      <w:marLeft w:val="0"/>
      <w:marRight w:val="0"/>
      <w:marTop w:val="0"/>
      <w:marBottom w:val="0"/>
      <w:divBdr>
        <w:top w:val="none" w:sz="0" w:space="0" w:color="auto"/>
        <w:left w:val="none" w:sz="0" w:space="0" w:color="auto"/>
        <w:bottom w:val="none" w:sz="0" w:space="0" w:color="auto"/>
        <w:right w:val="none" w:sz="0" w:space="0" w:color="auto"/>
      </w:divBdr>
    </w:div>
    <w:div w:id="284624304">
      <w:bodyDiv w:val="1"/>
      <w:marLeft w:val="0"/>
      <w:marRight w:val="0"/>
      <w:marTop w:val="0"/>
      <w:marBottom w:val="0"/>
      <w:divBdr>
        <w:top w:val="none" w:sz="0" w:space="0" w:color="auto"/>
        <w:left w:val="none" w:sz="0" w:space="0" w:color="auto"/>
        <w:bottom w:val="none" w:sz="0" w:space="0" w:color="auto"/>
        <w:right w:val="none" w:sz="0" w:space="0" w:color="auto"/>
      </w:divBdr>
    </w:div>
    <w:div w:id="285236566">
      <w:bodyDiv w:val="1"/>
      <w:marLeft w:val="0"/>
      <w:marRight w:val="0"/>
      <w:marTop w:val="0"/>
      <w:marBottom w:val="0"/>
      <w:divBdr>
        <w:top w:val="none" w:sz="0" w:space="0" w:color="auto"/>
        <w:left w:val="none" w:sz="0" w:space="0" w:color="auto"/>
        <w:bottom w:val="none" w:sz="0" w:space="0" w:color="auto"/>
        <w:right w:val="none" w:sz="0" w:space="0" w:color="auto"/>
      </w:divBdr>
    </w:div>
    <w:div w:id="285352136">
      <w:bodyDiv w:val="1"/>
      <w:marLeft w:val="0"/>
      <w:marRight w:val="0"/>
      <w:marTop w:val="0"/>
      <w:marBottom w:val="0"/>
      <w:divBdr>
        <w:top w:val="none" w:sz="0" w:space="0" w:color="auto"/>
        <w:left w:val="none" w:sz="0" w:space="0" w:color="auto"/>
        <w:bottom w:val="none" w:sz="0" w:space="0" w:color="auto"/>
        <w:right w:val="none" w:sz="0" w:space="0" w:color="auto"/>
      </w:divBdr>
    </w:div>
    <w:div w:id="286159863">
      <w:bodyDiv w:val="1"/>
      <w:marLeft w:val="0"/>
      <w:marRight w:val="0"/>
      <w:marTop w:val="0"/>
      <w:marBottom w:val="0"/>
      <w:divBdr>
        <w:top w:val="none" w:sz="0" w:space="0" w:color="auto"/>
        <w:left w:val="none" w:sz="0" w:space="0" w:color="auto"/>
        <w:bottom w:val="none" w:sz="0" w:space="0" w:color="auto"/>
        <w:right w:val="none" w:sz="0" w:space="0" w:color="auto"/>
      </w:divBdr>
    </w:div>
    <w:div w:id="286621461">
      <w:bodyDiv w:val="1"/>
      <w:marLeft w:val="0"/>
      <w:marRight w:val="0"/>
      <w:marTop w:val="0"/>
      <w:marBottom w:val="0"/>
      <w:divBdr>
        <w:top w:val="none" w:sz="0" w:space="0" w:color="auto"/>
        <w:left w:val="none" w:sz="0" w:space="0" w:color="auto"/>
        <w:bottom w:val="none" w:sz="0" w:space="0" w:color="auto"/>
        <w:right w:val="none" w:sz="0" w:space="0" w:color="auto"/>
      </w:divBdr>
    </w:div>
    <w:div w:id="286665482">
      <w:bodyDiv w:val="1"/>
      <w:marLeft w:val="0"/>
      <w:marRight w:val="0"/>
      <w:marTop w:val="0"/>
      <w:marBottom w:val="0"/>
      <w:divBdr>
        <w:top w:val="none" w:sz="0" w:space="0" w:color="auto"/>
        <w:left w:val="none" w:sz="0" w:space="0" w:color="auto"/>
        <w:bottom w:val="none" w:sz="0" w:space="0" w:color="auto"/>
        <w:right w:val="none" w:sz="0" w:space="0" w:color="auto"/>
      </w:divBdr>
    </w:div>
    <w:div w:id="286786052">
      <w:bodyDiv w:val="1"/>
      <w:marLeft w:val="0"/>
      <w:marRight w:val="0"/>
      <w:marTop w:val="0"/>
      <w:marBottom w:val="0"/>
      <w:divBdr>
        <w:top w:val="none" w:sz="0" w:space="0" w:color="auto"/>
        <w:left w:val="none" w:sz="0" w:space="0" w:color="auto"/>
        <w:bottom w:val="none" w:sz="0" w:space="0" w:color="auto"/>
        <w:right w:val="none" w:sz="0" w:space="0" w:color="auto"/>
      </w:divBdr>
    </w:div>
    <w:div w:id="286856643">
      <w:bodyDiv w:val="1"/>
      <w:marLeft w:val="0"/>
      <w:marRight w:val="0"/>
      <w:marTop w:val="0"/>
      <w:marBottom w:val="0"/>
      <w:divBdr>
        <w:top w:val="none" w:sz="0" w:space="0" w:color="auto"/>
        <w:left w:val="none" w:sz="0" w:space="0" w:color="auto"/>
        <w:bottom w:val="none" w:sz="0" w:space="0" w:color="auto"/>
        <w:right w:val="none" w:sz="0" w:space="0" w:color="auto"/>
      </w:divBdr>
    </w:div>
    <w:div w:id="286859455">
      <w:bodyDiv w:val="1"/>
      <w:marLeft w:val="0"/>
      <w:marRight w:val="0"/>
      <w:marTop w:val="0"/>
      <w:marBottom w:val="0"/>
      <w:divBdr>
        <w:top w:val="none" w:sz="0" w:space="0" w:color="auto"/>
        <w:left w:val="none" w:sz="0" w:space="0" w:color="auto"/>
        <w:bottom w:val="none" w:sz="0" w:space="0" w:color="auto"/>
        <w:right w:val="none" w:sz="0" w:space="0" w:color="auto"/>
      </w:divBdr>
    </w:div>
    <w:div w:id="287663750">
      <w:bodyDiv w:val="1"/>
      <w:marLeft w:val="0"/>
      <w:marRight w:val="0"/>
      <w:marTop w:val="0"/>
      <w:marBottom w:val="0"/>
      <w:divBdr>
        <w:top w:val="none" w:sz="0" w:space="0" w:color="auto"/>
        <w:left w:val="none" w:sz="0" w:space="0" w:color="auto"/>
        <w:bottom w:val="none" w:sz="0" w:space="0" w:color="auto"/>
        <w:right w:val="none" w:sz="0" w:space="0" w:color="auto"/>
      </w:divBdr>
    </w:div>
    <w:div w:id="287664941">
      <w:bodyDiv w:val="1"/>
      <w:marLeft w:val="0"/>
      <w:marRight w:val="0"/>
      <w:marTop w:val="0"/>
      <w:marBottom w:val="0"/>
      <w:divBdr>
        <w:top w:val="none" w:sz="0" w:space="0" w:color="auto"/>
        <w:left w:val="none" w:sz="0" w:space="0" w:color="auto"/>
        <w:bottom w:val="none" w:sz="0" w:space="0" w:color="auto"/>
        <w:right w:val="none" w:sz="0" w:space="0" w:color="auto"/>
      </w:divBdr>
    </w:div>
    <w:div w:id="287709030">
      <w:bodyDiv w:val="1"/>
      <w:marLeft w:val="0"/>
      <w:marRight w:val="0"/>
      <w:marTop w:val="0"/>
      <w:marBottom w:val="0"/>
      <w:divBdr>
        <w:top w:val="none" w:sz="0" w:space="0" w:color="auto"/>
        <w:left w:val="none" w:sz="0" w:space="0" w:color="auto"/>
        <w:bottom w:val="none" w:sz="0" w:space="0" w:color="auto"/>
        <w:right w:val="none" w:sz="0" w:space="0" w:color="auto"/>
      </w:divBdr>
    </w:div>
    <w:div w:id="287779022">
      <w:bodyDiv w:val="1"/>
      <w:marLeft w:val="0"/>
      <w:marRight w:val="0"/>
      <w:marTop w:val="0"/>
      <w:marBottom w:val="0"/>
      <w:divBdr>
        <w:top w:val="none" w:sz="0" w:space="0" w:color="auto"/>
        <w:left w:val="none" w:sz="0" w:space="0" w:color="auto"/>
        <w:bottom w:val="none" w:sz="0" w:space="0" w:color="auto"/>
        <w:right w:val="none" w:sz="0" w:space="0" w:color="auto"/>
      </w:divBdr>
    </w:div>
    <w:div w:id="287973613">
      <w:bodyDiv w:val="1"/>
      <w:marLeft w:val="0"/>
      <w:marRight w:val="0"/>
      <w:marTop w:val="0"/>
      <w:marBottom w:val="0"/>
      <w:divBdr>
        <w:top w:val="none" w:sz="0" w:space="0" w:color="auto"/>
        <w:left w:val="none" w:sz="0" w:space="0" w:color="auto"/>
        <w:bottom w:val="none" w:sz="0" w:space="0" w:color="auto"/>
        <w:right w:val="none" w:sz="0" w:space="0" w:color="auto"/>
      </w:divBdr>
    </w:div>
    <w:div w:id="288170948">
      <w:bodyDiv w:val="1"/>
      <w:marLeft w:val="0"/>
      <w:marRight w:val="0"/>
      <w:marTop w:val="0"/>
      <w:marBottom w:val="0"/>
      <w:divBdr>
        <w:top w:val="none" w:sz="0" w:space="0" w:color="auto"/>
        <w:left w:val="none" w:sz="0" w:space="0" w:color="auto"/>
        <w:bottom w:val="none" w:sz="0" w:space="0" w:color="auto"/>
        <w:right w:val="none" w:sz="0" w:space="0" w:color="auto"/>
      </w:divBdr>
    </w:div>
    <w:div w:id="288240366">
      <w:bodyDiv w:val="1"/>
      <w:marLeft w:val="0"/>
      <w:marRight w:val="0"/>
      <w:marTop w:val="0"/>
      <w:marBottom w:val="0"/>
      <w:divBdr>
        <w:top w:val="none" w:sz="0" w:space="0" w:color="auto"/>
        <w:left w:val="none" w:sz="0" w:space="0" w:color="auto"/>
        <w:bottom w:val="none" w:sz="0" w:space="0" w:color="auto"/>
        <w:right w:val="none" w:sz="0" w:space="0" w:color="auto"/>
      </w:divBdr>
    </w:div>
    <w:div w:id="289097749">
      <w:bodyDiv w:val="1"/>
      <w:marLeft w:val="0"/>
      <w:marRight w:val="0"/>
      <w:marTop w:val="0"/>
      <w:marBottom w:val="0"/>
      <w:divBdr>
        <w:top w:val="none" w:sz="0" w:space="0" w:color="auto"/>
        <w:left w:val="none" w:sz="0" w:space="0" w:color="auto"/>
        <w:bottom w:val="none" w:sz="0" w:space="0" w:color="auto"/>
        <w:right w:val="none" w:sz="0" w:space="0" w:color="auto"/>
      </w:divBdr>
    </w:div>
    <w:div w:id="289628884">
      <w:bodyDiv w:val="1"/>
      <w:marLeft w:val="0"/>
      <w:marRight w:val="0"/>
      <w:marTop w:val="0"/>
      <w:marBottom w:val="0"/>
      <w:divBdr>
        <w:top w:val="none" w:sz="0" w:space="0" w:color="auto"/>
        <w:left w:val="none" w:sz="0" w:space="0" w:color="auto"/>
        <w:bottom w:val="none" w:sz="0" w:space="0" w:color="auto"/>
        <w:right w:val="none" w:sz="0" w:space="0" w:color="auto"/>
      </w:divBdr>
    </w:div>
    <w:div w:id="289630859">
      <w:bodyDiv w:val="1"/>
      <w:marLeft w:val="0"/>
      <w:marRight w:val="0"/>
      <w:marTop w:val="0"/>
      <w:marBottom w:val="0"/>
      <w:divBdr>
        <w:top w:val="none" w:sz="0" w:space="0" w:color="auto"/>
        <w:left w:val="none" w:sz="0" w:space="0" w:color="auto"/>
        <w:bottom w:val="none" w:sz="0" w:space="0" w:color="auto"/>
        <w:right w:val="none" w:sz="0" w:space="0" w:color="auto"/>
      </w:divBdr>
    </w:div>
    <w:div w:id="289632606">
      <w:bodyDiv w:val="1"/>
      <w:marLeft w:val="0"/>
      <w:marRight w:val="0"/>
      <w:marTop w:val="0"/>
      <w:marBottom w:val="0"/>
      <w:divBdr>
        <w:top w:val="none" w:sz="0" w:space="0" w:color="auto"/>
        <w:left w:val="none" w:sz="0" w:space="0" w:color="auto"/>
        <w:bottom w:val="none" w:sz="0" w:space="0" w:color="auto"/>
        <w:right w:val="none" w:sz="0" w:space="0" w:color="auto"/>
      </w:divBdr>
    </w:div>
    <w:div w:id="289897747">
      <w:bodyDiv w:val="1"/>
      <w:marLeft w:val="0"/>
      <w:marRight w:val="0"/>
      <w:marTop w:val="0"/>
      <w:marBottom w:val="0"/>
      <w:divBdr>
        <w:top w:val="none" w:sz="0" w:space="0" w:color="auto"/>
        <w:left w:val="none" w:sz="0" w:space="0" w:color="auto"/>
        <w:bottom w:val="none" w:sz="0" w:space="0" w:color="auto"/>
        <w:right w:val="none" w:sz="0" w:space="0" w:color="auto"/>
      </w:divBdr>
    </w:div>
    <w:div w:id="290137396">
      <w:bodyDiv w:val="1"/>
      <w:marLeft w:val="0"/>
      <w:marRight w:val="0"/>
      <w:marTop w:val="0"/>
      <w:marBottom w:val="0"/>
      <w:divBdr>
        <w:top w:val="none" w:sz="0" w:space="0" w:color="auto"/>
        <w:left w:val="none" w:sz="0" w:space="0" w:color="auto"/>
        <w:bottom w:val="none" w:sz="0" w:space="0" w:color="auto"/>
        <w:right w:val="none" w:sz="0" w:space="0" w:color="auto"/>
      </w:divBdr>
    </w:div>
    <w:div w:id="290401087">
      <w:bodyDiv w:val="1"/>
      <w:marLeft w:val="0"/>
      <w:marRight w:val="0"/>
      <w:marTop w:val="0"/>
      <w:marBottom w:val="0"/>
      <w:divBdr>
        <w:top w:val="none" w:sz="0" w:space="0" w:color="auto"/>
        <w:left w:val="none" w:sz="0" w:space="0" w:color="auto"/>
        <w:bottom w:val="none" w:sz="0" w:space="0" w:color="auto"/>
        <w:right w:val="none" w:sz="0" w:space="0" w:color="auto"/>
      </w:divBdr>
    </w:div>
    <w:div w:id="290483876">
      <w:bodyDiv w:val="1"/>
      <w:marLeft w:val="0"/>
      <w:marRight w:val="0"/>
      <w:marTop w:val="0"/>
      <w:marBottom w:val="0"/>
      <w:divBdr>
        <w:top w:val="none" w:sz="0" w:space="0" w:color="auto"/>
        <w:left w:val="none" w:sz="0" w:space="0" w:color="auto"/>
        <w:bottom w:val="none" w:sz="0" w:space="0" w:color="auto"/>
        <w:right w:val="none" w:sz="0" w:space="0" w:color="auto"/>
      </w:divBdr>
    </w:div>
    <w:div w:id="290674713">
      <w:bodyDiv w:val="1"/>
      <w:marLeft w:val="0"/>
      <w:marRight w:val="0"/>
      <w:marTop w:val="0"/>
      <w:marBottom w:val="0"/>
      <w:divBdr>
        <w:top w:val="none" w:sz="0" w:space="0" w:color="auto"/>
        <w:left w:val="none" w:sz="0" w:space="0" w:color="auto"/>
        <w:bottom w:val="none" w:sz="0" w:space="0" w:color="auto"/>
        <w:right w:val="none" w:sz="0" w:space="0" w:color="auto"/>
      </w:divBdr>
    </w:div>
    <w:div w:id="291786519">
      <w:bodyDiv w:val="1"/>
      <w:marLeft w:val="0"/>
      <w:marRight w:val="0"/>
      <w:marTop w:val="0"/>
      <w:marBottom w:val="0"/>
      <w:divBdr>
        <w:top w:val="none" w:sz="0" w:space="0" w:color="auto"/>
        <w:left w:val="none" w:sz="0" w:space="0" w:color="auto"/>
        <w:bottom w:val="none" w:sz="0" w:space="0" w:color="auto"/>
        <w:right w:val="none" w:sz="0" w:space="0" w:color="auto"/>
      </w:divBdr>
    </w:div>
    <w:div w:id="291863711">
      <w:bodyDiv w:val="1"/>
      <w:marLeft w:val="0"/>
      <w:marRight w:val="0"/>
      <w:marTop w:val="0"/>
      <w:marBottom w:val="0"/>
      <w:divBdr>
        <w:top w:val="none" w:sz="0" w:space="0" w:color="auto"/>
        <w:left w:val="none" w:sz="0" w:space="0" w:color="auto"/>
        <w:bottom w:val="none" w:sz="0" w:space="0" w:color="auto"/>
        <w:right w:val="none" w:sz="0" w:space="0" w:color="auto"/>
      </w:divBdr>
    </w:div>
    <w:div w:id="291908579">
      <w:bodyDiv w:val="1"/>
      <w:marLeft w:val="0"/>
      <w:marRight w:val="0"/>
      <w:marTop w:val="0"/>
      <w:marBottom w:val="0"/>
      <w:divBdr>
        <w:top w:val="none" w:sz="0" w:space="0" w:color="auto"/>
        <w:left w:val="none" w:sz="0" w:space="0" w:color="auto"/>
        <w:bottom w:val="none" w:sz="0" w:space="0" w:color="auto"/>
        <w:right w:val="none" w:sz="0" w:space="0" w:color="auto"/>
      </w:divBdr>
    </w:div>
    <w:div w:id="292028513">
      <w:bodyDiv w:val="1"/>
      <w:marLeft w:val="0"/>
      <w:marRight w:val="0"/>
      <w:marTop w:val="0"/>
      <w:marBottom w:val="0"/>
      <w:divBdr>
        <w:top w:val="none" w:sz="0" w:space="0" w:color="auto"/>
        <w:left w:val="none" w:sz="0" w:space="0" w:color="auto"/>
        <w:bottom w:val="none" w:sz="0" w:space="0" w:color="auto"/>
        <w:right w:val="none" w:sz="0" w:space="0" w:color="auto"/>
      </w:divBdr>
    </w:div>
    <w:div w:id="292365376">
      <w:bodyDiv w:val="1"/>
      <w:marLeft w:val="0"/>
      <w:marRight w:val="0"/>
      <w:marTop w:val="0"/>
      <w:marBottom w:val="0"/>
      <w:divBdr>
        <w:top w:val="none" w:sz="0" w:space="0" w:color="auto"/>
        <w:left w:val="none" w:sz="0" w:space="0" w:color="auto"/>
        <w:bottom w:val="none" w:sz="0" w:space="0" w:color="auto"/>
        <w:right w:val="none" w:sz="0" w:space="0" w:color="auto"/>
      </w:divBdr>
    </w:div>
    <w:div w:id="292370514">
      <w:bodyDiv w:val="1"/>
      <w:marLeft w:val="0"/>
      <w:marRight w:val="0"/>
      <w:marTop w:val="0"/>
      <w:marBottom w:val="0"/>
      <w:divBdr>
        <w:top w:val="none" w:sz="0" w:space="0" w:color="auto"/>
        <w:left w:val="none" w:sz="0" w:space="0" w:color="auto"/>
        <w:bottom w:val="none" w:sz="0" w:space="0" w:color="auto"/>
        <w:right w:val="none" w:sz="0" w:space="0" w:color="auto"/>
      </w:divBdr>
    </w:div>
    <w:div w:id="292518900">
      <w:bodyDiv w:val="1"/>
      <w:marLeft w:val="0"/>
      <w:marRight w:val="0"/>
      <w:marTop w:val="0"/>
      <w:marBottom w:val="0"/>
      <w:divBdr>
        <w:top w:val="none" w:sz="0" w:space="0" w:color="auto"/>
        <w:left w:val="none" w:sz="0" w:space="0" w:color="auto"/>
        <w:bottom w:val="none" w:sz="0" w:space="0" w:color="auto"/>
        <w:right w:val="none" w:sz="0" w:space="0" w:color="auto"/>
      </w:divBdr>
    </w:div>
    <w:div w:id="293029379">
      <w:bodyDiv w:val="1"/>
      <w:marLeft w:val="0"/>
      <w:marRight w:val="0"/>
      <w:marTop w:val="0"/>
      <w:marBottom w:val="0"/>
      <w:divBdr>
        <w:top w:val="none" w:sz="0" w:space="0" w:color="auto"/>
        <w:left w:val="none" w:sz="0" w:space="0" w:color="auto"/>
        <w:bottom w:val="none" w:sz="0" w:space="0" w:color="auto"/>
        <w:right w:val="none" w:sz="0" w:space="0" w:color="auto"/>
      </w:divBdr>
    </w:div>
    <w:div w:id="293752260">
      <w:bodyDiv w:val="1"/>
      <w:marLeft w:val="0"/>
      <w:marRight w:val="0"/>
      <w:marTop w:val="0"/>
      <w:marBottom w:val="0"/>
      <w:divBdr>
        <w:top w:val="none" w:sz="0" w:space="0" w:color="auto"/>
        <w:left w:val="none" w:sz="0" w:space="0" w:color="auto"/>
        <w:bottom w:val="none" w:sz="0" w:space="0" w:color="auto"/>
        <w:right w:val="none" w:sz="0" w:space="0" w:color="auto"/>
      </w:divBdr>
    </w:div>
    <w:div w:id="293945816">
      <w:bodyDiv w:val="1"/>
      <w:marLeft w:val="0"/>
      <w:marRight w:val="0"/>
      <w:marTop w:val="0"/>
      <w:marBottom w:val="0"/>
      <w:divBdr>
        <w:top w:val="none" w:sz="0" w:space="0" w:color="auto"/>
        <w:left w:val="none" w:sz="0" w:space="0" w:color="auto"/>
        <w:bottom w:val="none" w:sz="0" w:space="0" w:color="auto"/>
        <w:right w:val="none" w:sz="0" w:space="0" w:color="auto"/>
      </w:divBdr>
    </w:div>
    <w:div w:id="294025313">
      <w:bodyDiv w:val="1"/>
      <w:marLeft w:val="0"/>
      <w:marRight w:val="0"/>
      <w:marTop w:val="0"/>
      <w:marBottom w:val="0"/>
      <w:divBdr>
        <w:top w:val="none" w:sz="0" w:space="0" w:color="auto"/>
        <w:left w:val="none" w:sz="0" w:space="0" w:color="auto"/>
        <w:bottom w:val="none" w:sz="0" w:space="0" w:color="auto"/>
        <w:right w:val="none" w:sz="0" w:space="0" w:color="auto"/>
      </w:divBdr>
    </w:div>
    <w:div w:id="294408466">
      <w:bodyDiv w:val="1"/>
      <w:marLeft w:val="0"/>
      <w:marRight w:val="0"/>
      <w:marTop w:val="0"/>
      <w:marBottom w:val="0"/>
      <w:divBdr>
        <w:top w:val="none" w:sz="0" w:space="0" w:color="auto"/>
        <w:left w:val="none" w:sz="0" w:space="0" w:color="auto"/>
        <w:bottom w:val="none" w:sz="0" w:space="0" w:color="auto"/>
        <w:right w:val="none" w:sz="0" w:space="0" w:color="auto"/>
      </w:divBdr>
    </w:div>
    <w:div w:id="294724891">
      <w:bodyDiv w:val="1"/>
      <w:marLeft w:val="0"/>
      <w:marRight w:val="0"/>
      <w:marTop w:val="0"/>
      <w:marBottom w:val="0"/>
      <w:divBdr>
        <w:top w:val="none" w:sz="0" w:space="0" w:color="auto"/>
        <w:left w:val="none" w:sz="0" w:space="0" w:color="auto"/>
        <w:bottom w:val="none" w:sz="0" w:space="0" w:color="auto"/>
        <w:right w:val="none" w:sz="0" w:space="0" w:color="auto"/>
      </w:divBdr>
    </w:div>
    <w:div w:id="294869905">
      <w:bodyDiv w:val="1"/>
      <w:marLeft w:val="0"/>
      <w:marRight w:val="0"/>
      <w:marTop w:val="0"/>
      <w:marBottom w:val="0"/>
      <w:divBdr>
        <w:top w:val="none" w:sz="0" w:space="0" w:color="auto"/>
        <w:left w:val="none" w:sz="0" w:space="0" w:color="auto"/>
        <w:bottom w:val="none" w:sz="0" w:space="0" w:color="auto"/>
        <w:right w:val="none" w:sz="0" w:space="0" w:color="auto"/>
      </w:divBdr>
    </w:div>
    <w:div w:id="295649552">
      <w:bodyDiv w:val="1"/>
      <w:marLeft w:val="0"/>
      <w:marRight w:val="0"/>
      <w:marTop w:val="0"/>
      <w:marBottom w:val="0"/>
      <w:divBdr>
        <w:top w:val="none" w:sz="0" w:space="0" w:color="auto"/>
        <w:left w:val="none" w:sz="0" w:space="0" w:color="auto"/>
        <w:bottom w:val="none" w:sz="0" w:space="0" w:color="auto"/>
        <w:right w:val="none" w:sz="0" w:space="0" w:color="auto"/>
      </w:divBdr>
    </w:div>
    <w:div w:id="296106359">
      <w:bodyDiv w:val="1"/>
      <w:marLeft w:val="0"/>
      <w:marRight w:val="0"/>
      <w:marTop w:val="0"/>
      <w:marBottom w:val="0"/>
      <w:divBdr>
        <w:top w:val="none" w:sz="0" w:space="0" w:color="auto"/>
        <w:left w:val="none" w:sz="0" w:space="0" w:color="auto"/>
        <w:bottom w:val="none" w:sz="0" w:space="0" w:color="auto"/>
        <w:right w:val="none" w:sz="0" w:space="0" w:color="auto"/>
      </w:divBdr>
    </w:div>
    <w:div w:id="296685214">
      <w:bodyDiv w:val="1"/>
      <w:marLeft w:val="0"/>
      <w:marRight w:val="0"/>
      <w:marTop w:val="0"/>
      <w:marBottom w:val="0"/>
      <w:divBdr>
        <w:top w:val="none" w:sz="0" w:space="0" w:color="auto"/>
        <w:left w:val="none" w:sz="0" w:space="0" w:color="auto"/>
        <w:bottom w:val="none" w:sz="0" w:space="0" w:color="auto"/>
        <w:right w:val="none" w:sz="0" w:space="0" w:color="auto"/>
      </w:divBdr>
    </w:div>
    <w:div w:id="297077980">
      <w:bodyDiv w:val="1"/>
      <w:marLeft w:val="0"/>
      <w:marRight w:val="0"/>
      <w:marTop w:val="0"/>
      <w:marBottom w:val="0"/>
      <w:divBdr>
        <w:top w:val="none" w:sz="0" w:space="0" w:color="auto"/>
        <w:left w:val="none" w:sz="0" w:space="0" w:color="auto"/>
        <w:bottom w:val="none" w:sz="0" w:space="0" w:color="auto"/>
        <w:right w:val="none" w:sz="0" w:space="0" w:color="auto"/>
      </w:divBdr>
    </w:div>
    <w:div w:id="297298584">
      <w:bodyDiv w:val="1"/>
      <w:marLeft w:val="0"/>
      <w:marRight w:val="0"/>
      <w:marTop w:val="0"/>
      <w:marBottom w:val="0"/>
      <w:divBdr>
        <w:top w:val="none" w:sz="0" w:space="0" w:color="auto"/>
        <w:left w:val="none" w:sz="0" w:space="0" w:color="auto"/>
        <w:bottom w:val="none" w:sz="0" w:space="0" w:color="auto"/>
        <w:right w:val="none" w:sz="0" w:space="0" w:color="auto"/>
      </w:divBdr>
    </w:div>
    <w:div w:id="297609388">
      <w:bodyDiv w:val="1"/>
      <w:marLeft w:val="0"/>
      <w:marRight w:val="0"/>
      <w:marTop w:val="0"/>
      <w:marBottom w:val="0"/>
      <w:divBdr>
        <w:top w:val="none" w:sz="0" w:space="0" w:color="auto"/>
        <w:left w:val="none" w:sz="0" w:space="0" w:color="auto"/>
        <w:bottom w:val="none" w:sz="0" w:space="0" w:color="auto"/>
        <w:right w:val="none" w:sz="0" w:space="0" w:color="auto"/>
      </w:divBdr>
    </w:div>
    <w:div w:id="297883071">
      <w:bodyDiv w:val="1"/>
      <w:marLeft w:val="0"/>
      <w:marRight w:val="0"/>
      <w:marTop w:val="0"/>
      <w:marBottom w:val="0"/>
      <w:divBdr>
        <w:top w:val="none" w:sz="0" w:space="0" w:color="auto"/>
        <w:left w:val="none" w:sz="0" w:space="0" w:color="auto"/>
        <w:bottom w:val="none" w:sz="0" w:space="0" w:color="auto"/>
        <w:right w:val="none" w:sz="0" w:space="0" w:color="auto"/>
      </w:divBdr>
    </w:div>
    <w:div w:id="297955013">
      <w:bodyDiv w:val="1"/>
      <w:marLeft w:val="0"/>
      <w:marRight w:val="0"/>
      <w:marTop w:val="0"/>
      <w:marBottom w:val="0"/>
      <w:divBdr>
        <w:top w:val="none" w:sz="0" w:space="0" w:color="auto"/>
        <w:left w:val="none" w:sz="0" w:space="0" w:color="auto"/>
        <w:bottom w:val="none" w:sz="0" w:space="0" w:color="auto"/>
        <w:right w:val="none" w:sz="0" w:space="0" w:color="auto"/>
      </w:divBdr>
    </w:div>
    <w:div w:id="298146178">
      <w:bodyDiv w:val="1"/>
      <w:marLeft w:val="0"/>
      <w:marRight w:val="0"/>
      <w:marTop w:val="0"/>
      <w:marBottom w:val="0"/>
      <w:divBdr>
        <w:top w:val="none" w:sz="0" w:space="0" w:color="auto"/>
        <w:left w:val="none" w:sz="0" w:space="0" w:color="auto"/>
        <w:bottom w:val="none" w:sz="0" w:space="0" w:color="auto"/>
        <w:right w:val="none" w:sz="0" w:space="0" w:color="auto"/>
      </w:divBdr>
    </w:div>
    <w:div w:id="298193888">
      <w:bodyDiv w:val="1"/>
      <w:marLeft w:val="0"/>
      <w:marRight w:val="0"/>
      <w:marTop w:val="0"/>
      <w:marBottom w:val="0"/>
      <w:divBdr>
        <w:top w:val="none" w:sz="0" w:space="0" w:color="auto"/>
        <w:left w:val="none" w:sz="0" w:space="0" w:color="auto"/>
        <w:bottom w:val="none" w:sz="0" w:space="0" w:color="auto"/>
        <w:right w:val="none" w:sz="0" w:space="0" w:color="auto"/>
      </w:divBdr>
    </w:div>
    <w:div w:id="298414354">
      <w:bodyDiv w:val="1"/>
      <w:marLeft w:val="0"/>
      <w:marRight w:val="0"/>
      <w:marTop w:val="0"/>
      <w:marBottom w:val="0"/>
      <w:divBdr>
        <w:top w:val="none" w:sz="0" w:space="0" w:color="auto"/>
        <w:left w:val="none" w:sz="0" w:space="0" w:color="auto"/>
        <w:bottom w:val="none" w:sz="0" w:space="0" w:color="auto"/>
        <w:right w:val="none" w:sz="0" w:space="0" w:color="auto"/>
      </w:divBdr>
    </w:div>
    <w:div w:id="298540185">
      <w:bodyDiv w:val="1"/>
      <w:marLeft w:val="0"/>
      <w:marRight w:val="0"/>
      <w:marTop w:val="0"/>
      <w:marBottom w:val="0"/>
      <w:divBdr>
        <w:top w:val="none" w:sz="0" w:space="0" w:color="auto"/>
        <w:left w:val="none" w:sz="0" w:space="0" w:color="auto"/>
        <w:bottom w:val="none" w:sz="0" w:space="0" w:color="auto"/>
        <w:right w:val="none" w:sz="0" w:space="0" w:color="auto"/>
      </w:divBdr>
    </w:div>
    <w:div w:id="298608908">
      <w:bodyDiv w:val="1"/>
      <w:marLeft w:val="0"/>
      <w:marRight w:val="0"/>
      <w:marTop w:val="0"/>
      <w:marBottom w:val="0"/>
      <w:divBdr>
        <w:top w:val="none" w:sz="0" w:space="0" w:color="auto"/>
        <w:left w:val="none" w:sz="0" w:space="0" w:color="auto"/>
        <w:bottom w:val="none" w:sz="0" w:space="0" w:color="auto"/>
        <w:right w:val="none" w:sz="0" w:space="0" w:color="auto"/>
      </w:divBdr>
    </w:div>
    <w:div w:id="298847993">
      <w:bodyDiv w:val="1"/>
      <w:marLeft w:val="0"/>
      <w:marRight w:val="0"/>
      <w:marTop w:val="0"/>
      <w:marBottom w:val="0"/>
      <w:divBdr>
        <w:top w:val="none" w:sz="0" w:space="0" w:color="auto"/>
        <w:left w:val="none" w:sz="0" w:space="0" w:color="auto"/>
        <w:bottom w:val="none" w:sz="0" w:space="0" w:color="auto"/>
        <w:right w:val="none" w:sz="0" w:space="0" w:color="auto"/>
      </w:divBdr>
    </w:div>
    <w:div w:id="298875223">
      <w:bodyDiv w:val="1"/>
      <w:marLeft w:val="0"/>
      <w:marRight w:val="0"/>
      <w:marTop w:val="0"/>
      <w:marBottom w:val="0"/>
      <w:divBdr>
        <w:top w:val="none" w:sz="0" w:space="0" w:color="auto"/>
        <w:left w:val="none" w:sz="0" w:space="0" w:color="auto"/>
        <w:bottom w:val="none" w:sz="0" w:space="0" w:color="auto"/>
        <w:right w:val="none" w:sz="0" w:space="0" w:color="auto"/>
      </w:divBdr>
    </w:div>
    <w:div w:id="298998762">
      <w:bodyDiv w:val="1"/>
      <w:marLeft w:val="0"/>
      <w:marRight w:val="0"/>
      <w:marTop w:val="0"/>
      <w:marBottom w:val="0"/>
      <w:divBdr>
        <w:top w:val="none" w:sz="0" w:space="0" w:color="auto"/>
        <w:left w:val="none" w:sz="0" w:space="0" w:color="auto"/>
        <w:bottom w:val="none" w:sz="0" w:space="0" w:color="auto"/>
        <w:right w:val="none" w:sz="0" w:space="0" w:color="auto"/>
      </w:divBdr>
    </w:div>
    <w:div w:id="299119215">
      <w:bodyDiv w:val="1"/>
      <w:marLeft w:val="0"/>
      <w:marRight w:val="0"/>
      <w:marTop w:val="0"/>
      <w:marBottom w:val="0"/>
      <w:divBdr>
        <w:top w:val="none" w:sz="0" w:space="0" w:color="auto"/>
        <w:left w:val="none" w:sz="0" w:space="0" w:color="auto"/>
        <w:bottom w:val="none" w:sz="0" w:space="0" w:color="auto"/>
        <w:right w:val="none" w:sz="0" w:space="0" w:color="auto"/>
      </w:divBdr>
    </w:div>
    <w:div w:id="299656526">
      <w:bodyDiv w:val="1"/>
      <w:marLeft w:val="0"/>
      <w:marRight w:val="0"/>
      <w:marTop w:val="0"/>
      <w:marBottom w:val="0"/>
      <w:divBdr>
        <w:top w:val="none" w:sz="0" w:space="0" w:color="auto"/>
        <w:left w:val="none" w:sz="0" w:space="0" w:color="auto"/>
        <w:bottom w:val="none" w:sz="0" w:space="0" w:color="auto"/>
        <w:right w:val="none" w:sz="0" w:space="0" w:color="auto"/>
      </w:divBdr>
    </w:div>
    <w:div w:id="300157773">
      <w:bodyDiv w:val="1"/>
      <w:marLeft w:val="0"/>
      <w:marRight w:val="0"/>
      <w:marTop w:val="0"/>
      <w:marBottom w:val="0"/>
      <w:divBdr>
        <w:top w:val="none" w:sz="0" w:space="0" w:color="auto"/>
        <w:left w:val="none" w:sz="0" w:space="0" w:color="auto"/>
        <w:bottom w:val="none" w:sz="0" w:space="0" w:color="auto"/>
        <w:right w:val="none" w:sz="0" w:space="0" w:color="auto"/>
      </w:divBdr>
    </w:div>
    <w:div w:id="300425574">
      <w:bodyDiv w:val="1"/>
      <w:marLeft w:val="0"/>
      <w:marRight w:val="0"/>
      <w:marTop w:val="0"/>
      <w:marBottom w:val="0"/>
      <w:divBdr>
        <w:top w:val="none" w:sz="0" w:space="0" w:color="auto"/>
        <w:left w:val="none" w:sz="0" w:space="0" w:color="auto"/>
        <w:bottom w:val="none" w:sz="0" w:space="0" w:color="auto"/>
        <w:right w:val="none" w:sz="0" w:space="0" w:color="auto"/>
      </w:divBdr>
    </w:div>
    <w:div w:id="300426670">
      <w:bodyDiv w:val="1"/>
      <w:marLeft w:val="0"/>
      <w:marRight w:val="0"/>
      <w:marTop w:val="0"/>
      <w:marBottom w:val="0"/>
      <w:divBdr>
        <w:top w:val="none" w:sz="0" w:space="0" w:color="auto"/>
        <w:left w:val="none" w:sz="0" w:space="0" w:color="auto"/>
        <w:bottom w:val="none" w:sz="0" w:space="0" w:color="auto"/>
        <w:right w:val="none" w:sz="0" w:space="0" w:color="auto"/>
      </w:divBdr>
    </w:div>
    <w:div w:id="300497447">
      <w:bodyDiv w:val="1"/>
      <w:marLeft w:val="0"/>
      <w:marRight w:val="0"/>
      <w:marTop w:val="0"/>
      <w:marBottom w:val="0"/>
      <w:divBdr>
        <w:top w:val="none" w:sz="0" w:space="0" w:color="auto"/>
        <w:left w:val="none" w:sz="0" w:space="0" w:color="auto"/>
        <w:bottom w:val="none" w:sz="0" w:space="0" w:color="auto"/>
        <w:right w:val="none" w:sz="0" w:space="0" w:color="auto"/>
      </w:divBdr>
    </w:div>
    <w:div w:id="301467878">
      <w:bodyDiv w:val="1"/>
      <w:marLeft w:val="0"/>
      <w:marRight w:val="0"/>
      <w:marTop w:val="0"/>
      <w:marBottom w:val="0"/>
      <w:divBdr>
        <w:top w:val="none" w:sz="0" w:space="0" w:color="auto"/>
        <w:left w:val="none" w:sz="0" w:space="0" w:color="auto"/>
        <w:bottom w:val="none" w:sz="0" w:space="0" w:color="auto"/>
        <w:right w:val="none" w:sz="0" w:space="0" w:color="auto"/>
      </w:divBdr>
    </w:div>
    <w:div w:id="301929938">
      <w:bodyDiv w:val="1"/>
      <w:marLeft w:val="0"/>
      <w:marRight w:val="0"/>
      <w:marTop w:val="0"/>
      <w:marBottom w:val="0"/>
      <w:divBdr>
        <w:top w:val="none" w:sz="0" w:space="0" w:color="auto"/>
        <w:left w:val="none" w:sz="0" w:space="0" w:color="auto"/>
        <w:bottom w:val="none" w:sz="0" w:space="0" w:color="auto"/>
        <w:right w:val="none" w:sz="0" w:space="0" w:color="auto"/>
      </w:divBdr>
    </w:div>
    <w:div w:id="302273905">
      <w:bodyDiv w:val="1"/>
      <w:marLeft w:val="0"/>
      <w:marRight w:val="0"/>
      <w:marTop w:val="0"/>
      <w:marBottom w:val="0"/>
      <w:divBdr>
        <w:top w:val="none" w:sz="0" w:space="0" w:color="auto"/>
        <w:left w:val="none" w:sz="0" w:space="0" w:color="auto"/>
        <w:bottom w:val="none" w:sz="0" w:space="0" w:color="auto"/>
        <w:right w:val="none" w:sz="0" w:space="0" w:color="auto"/>
      </w:divBdr>
    </w:div>
    <w:div w:id="302587542">
      <w:bodyDiv w:val="1"/>
      <w:marLeft w:val="0"/>
      <w:marRight w:val="0"/>
      <w:marTop w:val="0"/>
      <w:marBottom w:val="0"/>
      <w:divBdr>
        <w:top w:val="none" w:sz="0" w:space="0" w:color="auto"/>
        <w:left w:val="none" w:sz="0" w:space="0" w:color="auto"/>
        <w:bottom w:val="none" w:sz="0" w:space="0" w:color="auto"/>
        <w:right w:val="none" w:sz="0" w:space="0" w:color="auto"/>
      </w:divBdr>
    </w:div>
    <w:div w:id="302659250">
      <w:bodyDiv w:val="1"/>
      <w:marLeft w:val="0"/>
      <w:marRight w:val="0"/>
      <w:marTop w:val="0"/>
      <w:marBottom w:val="0"/>
      <w:divBdr>
        <w:top w:val="none" w:sz="0" w:space="0" w:color="auto"/>
        <w:left w:val="none" w:sz="0" w:space="0" w:color="auto"/>
        <w:bottom w:val="none" w:sz="0" w:space="0" w:color="auto"/>
        <w:right w:val="none" w:sz="0" w:space="0" w:color="auto"/>
      </w:divBdr>
    </w:div>
    <w:div w:id="302807318">
      <w:bodyDiv w:val="1"/>
      <w:marLeft w:val="0"/>
      <w:marRight w:val="0"/>
      <w:marTop w:val="0"/>
      <w:marBottom w:val="0"/>
      <w:divBdr>
        <w:top w:val="none" w:sz="0" w:space="0" w:color="auto"/>
        <w:left w:val="none" w:sz="0" w:space="0" w:color="auto"/>
        <w:bottom w:val="none" w:sz="0" w:space="0" w:color="auto"/>
        <w:right w:val="none" w:sz="0" w:space="0" w:color="auto"/>
      </w:divBdr>
    </w:div>
    <w:div w:id="303050833">
      <w:bodyDiv w:val="1"/>
      <w:marLeft w:val="0"/>
      <w:marRight w:val="0"/>
      <w:marTop w:val="0"/>
      <w:marBottom w:val="0"/>
      <w:divBdr>
        <w:top w:val="none" w:sz="0" w:space="0" w:color="auto"/>
        <w:left w:val="none" w:sz="0" w:space="0" w:color="auto"/>
        <w:bottom w:val="none" w:sz="0" w:space="0" w:color="auto"/>
        <w:right w:val="none" w:sz="0" w:space="0" w:color="auto"/>
      </w:divBdr>
    </w:div>
    <w:div w:id="303780600">
      <w:bodyDiv w:val="1"/>
      <w:marLeft w:val="0"/>
      <w:marRight w:val="0"/>
      <w:marTop w:val="0"/>
      <w:marBottom w:val="0"/>
      <w:divBdr>
        <w:top w:val="none" w:sz="0" w:space="0" w:color="auto"/>
        <w:left w:val="none" w:sz="0" w:space="0" w:color="auto"/>
        <w:bottom w:val="none" w:sz="0" w:space="0" w:color="auto"/>
        <w:right w:val="none" w:sz="0" w:space="0" w:color="auto"/>
      </w:divBdr>
    </w:div>
    <w:div w:id="304284873">
      <w:bodyDiv w:val="1"/>
      <w:marLeft w:val="0"/>
      <w:marRight w:val="0"/>
      <w:marTop w:val="0"/>
      <w:marBottom w:val="0"/>
      <w:divBdr>
        <w:top w:val="none" w:sz="0" w:space="0" w:color="auto"/>
        <w:left w:val="none" w:sz="0" w:space="0" w:color="auto"/>
        <w:bottom w:val="none" w:sz="0" w:space="0" w:color="auto"/>
        <w:right w:val="none" w:sz="0" w:space="0" w:color="auto"/>
      </w:divBdr>
    </w:div>
    <w:div w:id="304511779">
      <w:bodyDiv w:val="1"/>
      <w:marLeft w:val="0"/>
      <w:marRight w:val="0"/>
      <w:marTop w:val="0"/>
      <w:marBottom w:val="0"/>
      <w:divBdr>
        <w:top w:val="none" w:sz="0" w:space="0" w:color="auto"/>
        <w:left w:val="none" w:sz="0" w:space="0" w:color="auto"/>
        <w:bottom w:val="none" w:sz="0" w:space="0" w:color="auto"/>
        <w:right w:val="none" w:sz="0" w:space="0" w:color="auto"/>
      </w:divBdr>
    </w:div>
    <w:div w:id="304743435">
      <w:bodyDiv w:val="1"/>
      <w:marLeft w:val="0"/>
      <w:marRight w:val="0"/>
      <w:marTop w:val="0"/>
      <w:marBottom w:val="0"/>
      <w:divBdr>
        <w:top w:val="none" w:sz="0" w:space="0" w:color="auto"/>
        <w:left w:val="none" w:sz="0" w:space="0" w:color="auto"/>
        <w:bottom w:val="none" w:sz="0" w:space="0" w:color="auto"/>
        <w:right w:val="none" w:sz="0" w:space="0" w:color="auto"/>
      </w:divBdr>
    </w:div>
    <w:div w:id="305017547">
      <w:bodyDiv w:val="1"/>
      <w:marLeft w:val="0"/>
      <w:marRight w:val="0"/>
      <w:marTop w:val="0"/>
      <w:marBottom w:val="0"/>
      <w:divBdr>
        <w:top w:val="none" w:sz="0" w:space="0" w:color="auto"/>
        <w:left w:val="none" w:sz="0" w:space="0" w:color="auto"/>
        <w:bottom w:val="none" w:sz="0" w:space="0" w:color="auto"/>
        <w:right w:val="none" w:sz="0" w:space="0" w:color="auto"/>
      </w:divBdr>
    </w:div>
    <w:div w:id="305282031">
      <w:bodyDiv w:val="1"/>
      <w:marLeft w:val="0"/>
      <w:marRight w:val="0"/>
      <w:marTop w:val="0"/>
      <w:marBottom w:val="0"/>
      <w:divBdr>
        <w:top w:val="none" w:sz="0" w:space="0" w:color="auto"/>
        <w:left w:val="none" w:sz="0" w:space="0" w:color="auto"/>
        <w:bottom w:val="none" w:sz="0" w:space="0" w:color="auto"/>
        <w:right w:val="none" w:sz="0" w:space="0" w:color="auto"/>
      </w:divBdr>
    </w:div>
    <w:div w:id="305471374">
      <w:bodyDiv w:val="1"/>
      <w:marLeft w:val="0"/>
      <w:marRight w:val="0"/>
      <w:marTop w:val="0"/>
      <w:marBottom w:val="0"/>
      <w:divBdr>
        <w:top w:val="none" w:sz="0" w:space="0" w:color="auto"/>
        <w:left w:val="none" w:sz="0" w:space="0" w:color="auto"/>
        <w:bottom w:val="none" w:sz="0" w:space="0" w:color="auto"/>
        <w:right w:val="none" w:sz="0" w:space="0" w:color="auto"/>
      </w:divBdr>
    </w:div>
    <w:div w:id="305480136">
      <w:bodyDiv w:val="1"/>
      <w:marLeft w:val="0"/>
      <w:marRight w:val="0"/>
      <w:marTop w:val="0"/>
      <w:marBottom w:val="0"/>
      <w:divBdr>
        <w:top w:val="none" w:sz="0" w:space="0" w:color="auto"/>
        <w:left w:val="none" w:sz="0" w:space="0" w:color="auto"/>
        <w:bottom w:val="none" w:sz="0" w:space="0" w:color="auto"/>
        <w:right w:val="none" w:sz="0" w:space="0" w:color="auto"/>
      </w:divBdr>
    </w:div>
    <w:div w:id="305552401">
      <w:bodyDiv w:val="1"/>
      <w:marLeft w:val="0"/>
      <w:marRight w:val="0"/>
      <w:marTop w:val="0"/>
      <w:marBottom w:val="0"/>
      <w:divBdr>
        <w:top w:val="none" w:sz="0" w:space="0" w:color="auto"/>
        <w:left w:val="none" w:sz="0" w:space="0" w:color="auto"/>
        <w:bottom w:val="none" w:sz="0" w:space="0" w:color="auto"/>
        <w:right w:val="none" w:sz="0" w:space="0" w:color="auto"/>
      </w:divBdr>
    </w:div>
    <w:div w:id="305934853">
      <w:bodyDiv w:val="1"/>
      <w:marLeft w:val="0"/>
      <w:marRight w:val="0"/>
      <w:marTop w:val="0"/>
      <w:marBottom w:val="0"/>
      <w:divBdr>
        <w:top w:val="none" w:sz="0" w:space="0" w:color="auto"/>
        <w:left w:val="none" w:sz="0" w:space="0" w:color="auto"/>
        <w:bottom w:val="none" w:sz="0" w:space="0" w:color="auto"/>
        <w:right w:val="none" w:sz="0" w:space="0" w:color="auto"/>
      </w:divBdr>
    </w:div>
    <w:div w:id="306207045">
      <w:bodyDiv w:val="1"/>
      <w:marLeft w:val="0"/>
      <w:marRight w:val="0"/>
      <w:marTop w:val="0"/>
      <w:marBottom w:val="0"/>
      <w:divBdr>
        <w:top w:val="none" w:sz="0" w:space="0" w:color="auto"/>
        <w:left w:val="none" w:sz="0" w:space="0" w:color="auto"/>
        <w:bottom w:val="none" w:sz="0" w:space="0" w:color="auto"/>
        <w:right w:val="none" w:sz="0" w:space="0" w:color="auto"/>
      </w:divBdr>
    </w:div>
    <w:div w:id="306279036">
      <w:bodyDiv w:val="1"/>
      <w:marLeft w:val="0"/>
      <w:marRight w:val="0"/>
      <w:marTop w:val="0"/>
      <w:marBottom w:val="0"/>
      <w:divBdr>
        <w:top w:val="none" w:sz="0" w:space="0" w:color="auto"/>
        <w:left w:val="none" w:sz="0" w:space="0" w:color="auto"/>
        <w:bottom w:val="none" w:sz="0" w:space="0" w:color="auto"/>
        <w:right w:val="none" w:sz="0" w:space="0" w:color="auto"/>
      </w:divBdr>
    </w:div>
    <w:div w:id="306280991">
      <w:bodyDiv w:val="1"/>
      <w:marLeft w:val="0"/>
      <w:marRight w:val="0"/>
      <w:marTop w:val="0"/>
      <w:marBottom w:val="0"/>
      <w:divBdr>
        <w:top w:val="none" w:sz="0" w:space="0" w:color="auto"/>
        <w:left w:val="none" w:sz="0" w:space="0" w:color="auto"/>
        <w:bottom w:val="none" w:sz="0" w:space="0" w:color="auto"/>
        <w:right w:val="none" w:sz="0" w:space="0" w:color="auto"/>
      </w:divBdr>
    </w:div>
    <w:div w:id="306593387">
      <w:bodyDiv w:val="1"/>
      <w:marLeft w:val="0"/>
      <w:marRight w:val="0"/>
      <w:marTop w:val="0"/>
      <w:marBottom w:val="0"/>
      <w:divBdr>
        <w:top w:val="none" w:sz="0" w:space="0" w:color="auto"/>
        <w:left w:val="none" w:sz="0" w:space="0" w:color="auto"/>
        <w:bottom w:val="none" w:sz="0" w:space="0" w:color="auto"/>
        <w:right w:val="none" w:sz="0" w:space="0" w:color="auto"/>
      </w:divBdr>
    </w:div>
    <w:div w:id="306665801">
      <w:bodyDiv w:val="1"/>
      <w:marLeft w:val="0"/>
      <w:marRight w:val="0"/>
      <w:marTop w:val="0"/>
      <w:marBottom w:val="0"/>
      <w:divBdr>
        <w:top w:val="none" w:sz="0" w:space="0" w:color="auto"/>
        <w:left w:val="none" w:sz="0" w:space="0" w:color="auto"/>
        <w:bottom w:val="none" w:sz="0" w:space="0" w:color="auto"/>
        <w:right w:val="none" w:sz="0" w:space="0" w:color="auto"/>
      </w:divBdr>
    </w:div>
    <w:div w:id="306671765">
      <w:bodyDiv w:val="1"/>
      <w:marLeft w:val="0"/>
      <w:marRight w:val="0"/>
      <w:marTop w:val="0"/>
      <w:marBottom w:val="0"/>
      <w:divBdr>
        <w:top w:val="none" w:sz="0" w:space="0" w:color="auto"/>
        <w:left w:val="none" w:sz="0" w:space="0" w:color="auto"/>
        <w:bottom w:val="none" w:sz="0" w:space="0" w:color="auto"/>
        <w:right w:val="none" w:sz="0" w:space="0" w:color="auto"/>
      </w:divBdr>
    </w:div>
    <w:div w:id="306861652">
      <w:bodyDiv w:val="1"/>
      <w:marLeft w:val="0"/>
      <w:marRight w:val="0"/>
      <w:marTop w:val="0"/>
      <w:marBottom w:val="0"/>
      <w:divBdr>
        <w:top w:val="none" w:sz="0" w:space="0" w:color="auto"/>
        <w:left w:val="none" w:sz="0" w:space="0" w:color="auto"/>
        <w:bottom w:val="none" w:sz="0" w:space="0" w:color="auto"/>
        <w:right w:val="none" w:sz="0" w:space="0" w:color="auto"/>
      </w:divBdr>
    </w:div>
    <w:div w:id="306937485">
      <w:bodyDiv w:val="1"/>
      <w:marLeft w:val="0"/>
      <w:marRight w:val="0"/>
      <w:marTop w:val="0"/>
      <w:marBottom w:val="0"/>
      <w:divBdr>
        <w:top w:val="none" w:sz="0" w:space="0" w:color="auto"/>
        <w:left w:val="none" w:sz="0" w:space="0" w:color="auto"/>
        <w:bottom w:val="none" w:sz="0" w:space="0" w:color="auto"/>
        <w:right w:val="none" w:sz="0" w:space="0" w:color="auto"/>
      </w:divBdr>
    </w:div>
    <w:div w:id="307127331">
      <w:bodyDiv w:val="1"/>
      <w:marLeft w:val="0"/>
      <w:marRight w:val="0"/>
      <w:marTop w:val="0"/>
      <w:marBottom w:val="0"/>
      <w:divBdr>
        <w:top w:val="none" w:sz="0" w:space="0" w:color="auto"/>
        <w:left w:val="none" w:sz="0" w:space="0" w:color="auto"/>
        <w:bottom w:val="none" w:sz="0" w:space="0" w:color="auto"/>
        <w:right w:val="none" w:sz="0" w:space="0" w:color="auto"/>
      </w:divBdr>
    </w:div>
    <w:div w:id="307132593">
      <w:bodyDiv w:val="1"/>
      <w:marLeft w:val="0"/>
      <w:marRight w:val="0"/>
      <w:marTop w:val="0"/>
      <w:marBottom w:val="0"/>
      <w:divBdr>
        <w:top w:val="none" w:sz="0" w:space="0" w:color="auto"/>
        <w:left w:val="none" w:sz="0" w:space="0" w:color="auto"/>
        <w:bottom w:val="none" w:sz="0" w:space="0" w:color="auto"/>
        <w:right w:val="none" w:sz="0" w:space="0" w:color="auto"/>
      </w:divBdr>
    </w:div>
    <w:div w:id="307171216">
      <w:bodyDiv w:val="1"/>
      <w:marLeft w:val="0"/>
      <w:marRight w:val="0"/>
      <w:marTop w:val="0"/>
      <w:marBottom w:val="0"/>
      <w:divBdr>
        <w:top w:val="none" w:sz="0" w:space="0" w:color="auto"/>
        <w:left w:val="none" w:sz="0" w:space="0" w:color="auto"/>
        <w:bottom w:val="none" w:sz="0" w:space="0" w:color="auto"/>
        <w:right w:val="none" w:sz="0" w:space="0" w:color="auto"/>
      </w:divBdr>
    </w:div>
    <w:div w:id="307366879">
      <w:bodyDiv w:val="1"/>
      <w:marLeft w:val="0"/>
      <w:marRight w:val="0"/>
      <w:marTop w:val="0"/>
      <w:marBottom w:val="0"/>
      <w:divBdr>
        <w:top w:val="none" w:sz="0" w:space="0" w:color="auto"/>
        <w:left w:val="none" w:sz="0" w:space="0" w:color="auto"/>
        <w:bottom w:val="none" w:sz="0" w:space="0" w:color="auto"/>
        <w:right w:val="none" w:sz="0" w:space="0" w:color="auto"/>
      </w:divBdr>
    </w:div>
    <w:div w:id="307588634">
      <w:bodyDiv w:val="1"/>
      <w:marLeft w:val="0"/>
      <w:marRight w:val="0"/>
      <w:marTop w:val="0"/>
      <w:marBottom w:val="0"/>
      <w:divBdr>
        <w:top w:val="none" w:sz="0" w:space="0" w:color="auto"/>
        <w:left w:val="none" w:sz="0" w:space="0" w:color="auto"/>
        <w:bottom w:val="none" w:sz="0" w:space="0" w:color="auto"/>
        <w:right w:val="none" w:sz="0" w:space="0" w:color="auto"/>
      </w:divBdr>
    </w:div>
    <w:div w:id="307711248">
      <w:bodyDiv w:val="1"/>
      <w:marLeft w:val="0"/>
      <w:marRight w:val="0"/>
      <w:marTop w:val="0"/>
      <w:marBottom w:val="0"/>
      <w:divBdr>
        <w:top w:val="none" w:sz="0" w:space="0" w:color="auto"/>
        <w:left w:val="none" w:sz="0" w:space="0" w:color="auto"/>
        <w:bottom w:val="none" w:sz="0" w:space="0" w:color="auto"/>
        <w:right w:val="none" w:sz="0" w:space="0" w:color="auto"/>
      </w:divBdr>
    </w:div>
    <w:div w:id="307783819">
      <w:bodyDiv w:val="1"/>
      <w:marLeft w:val="0"/>
      <w:marRight w:val="0"/>
      <w:marTop w:val="0"/>
      <w:marBottom w:val="0"/>
      <w:divBdr>
        <w:top w:val="none" w:sz="0" w:space="0" w:color="auto"/>
        <w:left w:val="none" w:sz="0" w:space="0" w:color="auto"/>
        <w:bottom w:val="none" w:sz="0" w:space="0" w:color="auto"/>
        <w:right w:val="none" w:sz="0" w:space="0" w:color="auto"/>
      </w:divBdr>
    </w:div>
    <w:div w:id="308020822">
      <w:bodyDiv w:val="1"/>
      <w:marLeft w:val="0"/>
      <w:marRight w:val="0"/>
      <w:marTop w:val="0"/>
      <w:marBottom w:val="0"/>
      <w:divBdr>
        <w:top w:val="none" w:sz="0" w:space="0" w:color="auto"/>
        <w:left w:val="none" w:sz="0" w:space="0" w:color="auto"/>
        <w:bottom w:val="none" w:sz="0" w:space="0" w:color="auto"/>
        <w:right w:val="none" w:sz="0" w:space="0" w:color="auto"/>
      </w:divBdr>
    </w:div>
    <w:div w:id="308093230">
      <w:bodyDiv w:val="1"/>
      <w:marLeft w:val="0"/>
      <w:marRight w:val="0"/>
      <w:marTop w:val="0"/>
      <w:marBottom w:val="0"/>
      <w:divBdr>
        <w:top w:val="none" w:sz="0" w:space="0" w:color="auto"/>
        <w:left w:val="none" w:sz="0" w:space="0" w:color="auto"/>
        <w:bottom w:val="none" w:sz="0" w:space="0" w:color="auto"/>
        <w:right w:val="none" w:sz="0" w:space="0" w:color="auto"/>
      </w:divBdr>
    </w:div>
    <w:div w:id="308554114">
      <w:bodyDiv w:val="1"/>
      <w:marLeft w:val="0"/>
      <w:marRight w:val="0"/>
      <w:marTop w:val="0"/>
      <w:marBottom w:val="0"/>
      <w:divBdr>
        <w:top w:val="none" w:sz="0" w:space="0" w:color="auto"/>
        <w:left w:val="none" w:sz="0" w:space="0" w:color="auto"/>
        <w:bottom w:val="none" w:sz="0" w:space="0" w:color="auto"/>
        <w:right w:val="none" w:sz="0" w:space="0" w:color="auto"/>
      </w:divBdr>
    </w:div>
    <w:div w:id="308562709">
      <w:bodyDiv w:val="1"/>
      <w:marLeft w:val="0"/>
      <w:marRight w:val="0"/>
      <w:marTop w:val="0"/>
      <w:marBottom w:val="0"/>
      <w:divBdr>
        <w:top w:val="none" w:sz="0" w:space="0" w:color="auto"/>
        <w:left w:val="none" w:sz="0" w:space="0" w:color="auto"/>
        <w:bottom w:val="none" w:sz="0" w:space="0" w:color="auto"/>
        <w:right w:val="none" w:sz="0" w:space="0" w:color="auto"/>
      </w:divBdr>
    </w:div>
    <w:div w:id="309293321">
      <w:bodyDiv w:val="1"/>
      <w:marLeft w:val="0"/>
      <w:marRight w:val="0"/>
      <w:marTop w:val="0"/>
      <w:marBottom w:val="0"/>
      <w:divBdr>
        <w:top w:val="none" w:sz="0" w:space="0" w:color="auto"/>
        <w:left w:val="none" w:sz="0" w:space="0" w:color="auto"/>
        <w:bottom w:val="none" w:sz="0" w:space="0" w:color="auto"/>
        <w:right w:val="none" w:sz="0" w:space="0" w:color="auto"/>
      </w:divBdr>
    </w:div>
    <w:div w:id="309479007">
      <w:bodyDiv w:val="1"/>
      <w:marLeft w:val="0"/>
      <w:marRight w:val="0"/>
      <w:marTop w:val="0"/>
      <w:marBottom w:val="0"/>
      <w:divBdr>
        <w:top w:val="none" w:sz="0" w:space="0" w:color="auto"/>
        <w:left w:val="none" w:sz="0" w:space="0" w:color="auto"/>
        <w:bottom w:val="none" w:sz="0" w:space="0" w:color="auto"/>
        <w:right w:val="none" w:sz="0" w:space="0" w:color="auto"/>
      </w:divBdr>
    </w:div>
    <w:div w:id="309753539">
      <w:bodyDiv w:val="1"/>
      <w:marLeft w:val="0"/>
      <w:marRight w:val="0"/>
      <w:marTop w:val="0"/>
      <w:marBottom w:val="0"/>
      <w:divBdr>
        <w:top w:val="none" w:sz="0" w:space="0" w:color="auto"/>
        <w:left w:val="none" w:sz="0" w:space="0" w:color="auto"/>
        <w:bottom w:val="none" w:sz="0" w:space="0" w:color="auto"/>
        <w:right w:val="none" w:sz="0" w:space="0" w:color="auto"/>
      </w:divBdr>
    </w:div>
    <w:div w:id="309867679">
      <w:bodyDiv w:val="1"/>
      <w:marLeft w:val="0"/>
      <w:marRight w:val="0"/>
      <w:marTop w:val="0"/>
      <w:marBottom w:val="0"/>
      <w:divBdr>
        <w:top w:val="none" w:sz="0" w:space="0" w:color="auto"/>
        <w:left w:val="none" w:sz="0" w:space="0" w:color="auto"/>
        <w:bottom w:val="none" w:sz="0" w:space="0" w:color="auto"/>
        <w:right w:val="none" w:sz="0" w:space="0" w:color="auto"/>
      </w:divBdr>
    </w:div>
    <w:div w:id="311259130">
      <w:bodyDiv w:val="1"/>
      <w:marLeft w:val="0"/>
      <w:marRight w:val="0"/>
      <w:marTop w:val="0"/>
      <w:marBottom w:val="0"/>
      <w:divBdr>
        <w:top w:val="none" w:sz="0" w:space="0" w:color="auto"/>
        <w:left w:val="none" w:sz="0" w:space="0" w:color="auto"/>
        <w:bottom w:val="none" w:sz="0" w:space="0" w:color="auto"/>
        <w:right w:val="none" w:sz="0" w:space="0" w:color="auto"/>
      </w:divBdr>
    </w:div>
    <w:div w:id="311523010">
      <w:bodyDiv w:val="1"/>
      <w:marLeft w:val="0"/>
      <w:marRight w:val="0"/>
      <w:marTop w:val="0"/>
      <w:marBottom w:val="0"/>
      <w:divBdr>
        <w:top w:val="none" w:sz="0" w:space="0" w:color="auto"/>
        <w:left w:val="none" w:sz="0" w:space="0" w:color="auto"/>
        <w:bottom w:val="none" w:sz="0" w:space="0" w:color="auto"/>
        <w:right w:val="none" w:sz="0" w:space="0" w:color="auto"/>
      </w:divBdr>
    </w:div>
    <w:div w:id="311566611">
      <w:bodyDiv w:val="1"/>
      <w:marLeft w:val="0"/>
      <w:marRight w:val="0"/>
      <w:marTop w:val="0"/>
      <w:marBottom w:val="0"/>
      <w:divBdr>
        <w:top w:val="none" w:sz="0" w:space="0" w:color="auto"/>
        <w:left w:val="none" w:sz="0" w:space="0" w:color="auto"/>
        <w:bottom w:val="none" w:sz="0" w:space="0" w:color="auto"/>
        <w:right w:val="none" w:sz="0" w:space="0" w:color="auto"/>
      </w:divBdr>
    </w:div>
    <w:div w:id="311756739">
      <w:bodyDiv w:val="1"/>
      <w:marLeft w:val="0"/>
      <w:marRight w:val="0"/>
      <w:marTop w:val="0"/>
      <w:marBottom w:val="0"/>
      <w:divBdr>
        <w:top w:val="none" w:sz="0" w:space="0" w:color="auto"/>
        <w:left w:val="none" w:sz="0" w:space="0" w:color="auto"/>
        <w:bottom w:val="none" w:sz="0" w:space="0" w:color="auto"/>
        <w:right w:val="none" w:sz="0" w:space="0" w:color="auto"/>
      </w:divBdr>
    </w:div>
    <w:div w:id="312148427">
      <w:bodyDiv w:val="1"/>
      <w:marLeft w:val="0"/>
      <w:marRight w:val="0"/>
      <w:marTop w:val="0"/>
      <w:marBottom w:val="0"/>
      <w:divBdr>
        <w:top w:val="none" w:sz="0" w:space="0" w:color="auto"/>
        <w:left w:val="none" w:sz="0" w:space="0" w:color="auto"/>
        <w:bottom w:val="none" w:sz="0" w:space="0" w:color="auto"/>
        <w:right w:val="none" w:sz="0" w:space="0" w:color="auto"/>
      </w:divBdr>
    </w:div>
    <w:div w:id="312564258">
      <w:bodyDiv w:val="1"/>
      <w:marLeft w:val="0"/>
      <w:marRight w:val="0"/>
      <w:marTop w:val="0"/>
      <w:marBottom w:val="0"/>
      <w:divBdr>
        <w:top w:val="none" w:sz="0" w:space="0" w:color="auto"/>
        <w:left w:val="none" w:sz="0" w:space="0" w:color="auto"/>
        <w:bottom w:val="none" w:sz="0" w:space="0" w:color="auto"/>
        <w:right w:val="none" w:sz="0" w:space="0" w:color="auto"/>
      </w:divBdr>
    </w:div>
    <w:div w:id="312831239">
      <w:bodyDiv w:val="1"/>
      <w:marLeft w:val="0"/>
      <w:marRight w:val="0"/>
      <w:marTop w:val="0"/>
      <w:marBottom w:val="0"/>
      <w:divBdr>
        <w:top w:val="none" w:sz="0" w:space="0" w:color="auto"/>
        <w:left w:val="none" w:sz="0" w:space="0" w:color="auto"/>
        <w:bottom w:val="none" w:sz="0" w:space="0" w:color="auto"/>
        <w:right w:val="none" w:sz="0" w:space="0" w:color="auto"/>
      </w:divBdr>
    </w:div>
    <w:div w:id="313410257">
      <w:bodyDiv w:val="1"/>
      <w:marLeft w:val="0"/>
      <w:marRight w:val="0"/>
      <w:marTop w:val="0"/>
      <w:marBottom w:val="0"/>
      <w:divBdr>
        <w:top w:val="none" w:sz="0" w:space="0" w:color="auto"/>
        <w:left w:val="none" w:sz="0" w:space="0" w:color="auto"/>
        <w:bottom w:val="none" w:sz="0" w:space="0" w:color="auto"/>
        <w:right w:val="none" w:sz="0" w:space="0" w:color="auto"/>
      </w:divBdr>
    </w:div>
    <w:div w:id="313460164">
      <w:bodyDiv w:val="1"/>
      <w:marLeft w:val="0"/>
      <w:marRight w:val="0"/>
      <w:marTop w:val="0"/>
      <w:marBottom w:val="0"/>
      <w:divBdr>
        <w:top w:val="none" w:sz="0" w:space="0" w:color="auto"/>
        <w:left w:val="none" w:sz="0" w:space="0" w:color="auto"/>
        <w:bottom w:val="none" w:sz="0" w:space="0" w:color="auto"/>
        <w:right w:val="none" w:sz="0" w:space="0" w:color="auto"/>
      </w:divBdr>
    </w:div>
    <w:div w:id="313606889">
      <w:bodyDiv w:val="1"/>
      <w:marLeft w:val="0"/>
      <w:marRight w:val="0"/>
      <w:marTop w:val="0"/>
      <w:marBottom w:val="0"/>
      <w:divBdr>
        <w:top w:val="none" w:sz="0" w:space="0" w:color="auto"/>
        <w:left w:val="none" w:sz="0" w:space="0" w:color="auto"/>
        <w:bottom w:val="none" w:sz="0" w:space="0" w:color="auto"/>
        <w:right w:val="none" w:sz="0" w:space="0" w:color="auto"/>
      </w:divBdr>
    </w:div>
    <w:div w:id="313801427">
      <w:bodyDiv w:val="1"/>
      <w:marLeft w:val="0"/>
      <w:marRight w:val="0"/>
      <w:marTop w:val="0"/>
      <w:marBottom w:val="0"/>
      <w:divBdr>
        <w:top w:val="none" w:sz="0" w:space="0" w:color="auto"/>
        <w:left w:val="none" w:sz="0" w:space="0" w:color="auto"/>
        <w:bottom w:val="none" w:sz="0" w:space="0" w:color="auto"/>
        <w:right w:val="none" w:sz="0" w:space="0" w:color="auto"/>
      </w:divBdr>
    </w:div>
    <w:div w:id="313991320">
      <w:bodyDiv w:val="1"/>
      <w:marLeft w:val="0"/>
      <w:marRight w:val="0"/>
      <w:marTop w:val="0"/>
      <w:marBottom w:val="0"/>
      <w:divBdr>
        <w:top w:val="none" w:sz="0" w:space="0" w:color="auto"/>
        <w:left w:val="none" w:sz="0" w:space="0" w:color="auto"/>
        <w:bottom w:val="none" w:sz="0" w:space="0" w:color="auto"/>
        <w:right w:val="none" w:sz="0" w:space="0" w:color="auto"/>
      </w:divBdr>
    </w:div>
    <w:div w:id="314072579">
      <w:bodyDiv w:val="1"/>
      <w:marLeft w:val="0"/>
      <w:marRight w:val="0"/>
      <w:marTop w:val="0"/>
      <w:marBottom w:val="0"/>
      <w:divBdr>
        <w:top w:val="none" w:sz="0" w:space="0" w:color="auto"/>
        <w:left w:val="none" w:sz="0" w:space="0" w:color="auto"/>
        <w:bottom w:val="none" w:sz="0" w:space="0" w:color="auto"/>
        <w:right w:val="none" w:sz="0" w:space="0" w:color="auto"/>
      </w:divBdr>
    </w:div>
    <w:div w:id="314453897">
      <w:bodyDiv w:val="1"/>
      <w:marLeft w:val="0"/>
      <w:marRight w:val="0"/>
      <w:marTop w:val="0"/>
      <w:marBottom w:val="0"/>
      <w:divBdr>
        <w:top w:val="none" w:sz="0" w:space="0" w:color="auto"/>
        <w:left w:val="none" w:sz="0" w:space="0" w:color="auto"/>
        <w:bottom w:val="none" w:sz="0" w:space="0" w:color="auto"/>
        <w:right w:val="none" w:sz="0" w:space="0" w:color="auto"/>
      </w:divBdr>
    </w:div>
    <w:div w:id="314458626">
      <w:bodyDiv w:val="1"/>
      <w:marLeft w:val="0"/>
      <w:marRight w:val="0"/>
      <w:marTop w:val="0"/>
      <w:marBottom w:val="0"/>
      <w:divBdr>
        <w:top w:val="none" w:sz="0" w:space="0" w:color="auto"/>
        <w:left w:val="none" w:sz="0" w:space="0" w:color="auto"/>
        <w:bottom w:val="none" w:sz="0" w:space="0" w:color="auto"/>
        <w:right w:val="none" w:sz="0" w:space="0" w:color="auto"/>
      </w:divBdr>
    </w:div>
    <w:div w:id="314799542">
      <w:bodyDiv w:val="1"/>
      <w:marLeft w:val="0"/>
      <w:marRight w:val="0"/>
      <w:marTop w:val="0"/>
      <w:marBottom w:val="0"/>
      <w:divBdr>
        <w:top w:val="none" w:sz="0" w:space="0" w:color="auto"/>
        <w:left w:val="none" w:sz="0" w:space="0" w:color="auto"/>
        <w:bottom w:val="none" w:sz="0" w:space="0" w:color="auto"/>
        <w:right w:val="none" w:sz="0" w:space="0" w:color="auto"/>
      </w:divBdr>
    </w:div>
    <w:div w:id="315381502">
      <w:bodyDiv w:val="1"/>
      <w:marLeft w:val="0"/>
      <w:marRight w:val="0"/>
      <w:marTop w:val="0"/>
      <w:marBottom w:val="0"/>
      <w:divBdr>
        <w:top w:val="none" w:sz="0" w:space="0" w:color="auto"/>
        <w:left w:val="none" w:sz="0" w:space="0" w:color="auto"/>
        <w:bottom w:val="none" w:sz="0" w:space="0" w:color="auto"/>
        <w:right w:val="none" w:sz="0" w:space="0" w:color="auto"/>
      </w:divBdr>
    </w:div>
    <w:div w:id="315570049">
      <w:bodyDiv w:val="1"/>
      <w:marLeft w:val="0"/>
      <w:marRight w:val="0"/>
      <w:marTop w:val="0"/>
      <w:marBottom w:val="0"/>
      <w:divBdr>
        <w:top w:val="none" w:sz="0" w:space="0" w:color="auto"/>
        <w:left w:val="none" w:sz="0" w:space="0" w:color="auto"/>
        <w:bottom w:val="none" w:sz="0" w:space="0" w:color="auto"/>
        <w:right w:val="none" w:sz="0" w:space="0" w:color="auto"/>
      </w:divBdr>
    </w:div>
    <w:div w:id="315644872">
      <w:bodyDiv w:val="1"/>
      <w:marLeft w:val="0"/>
      <w:marRight w:val="0"/>
      <w:marTop w:val="0"/>
      <w:marBottom w:val="0"/>
      <w:divBdr>
        <w:top w:val="none" w:sz="0" w:space="0" w:color="auto"/>
        <w:left w:val="none" w:sz="0" w:space="0" w:color="auto"/>
        <w:bottom w:val="none" w:sz="0" w:space="0" w:color="auto"/>
        <w:right w:val="none" w:sz="0" w:space="0" w:color="auto"/>
      </w:divBdr>
    </w:div>
    <w:div w:id="315886844">
      <w:bodyDiv w:val="1"/>
      <w:marLeft w:val="0"/>
      <w:marRight w:val="0"/>
      <w:marTop w:val="0"/>
      <w:marBottom w:val="0"/>
      <w:divBdr>
        <w:top w:val="none" w:sz="0" w:space="0" w:color="auto"/>
        <w:left w:val="none" w:sz="0" w:space="0" w:color="auto"/>
        <w:bottom w:val="none" w:sz="0" w:space="0" w:color="auto"/>
        <w:right w:val="none" w:sz="0" w:space="0" w:color="auto"/>
      </w:divBdr>
    </w:div>
    <w:div w:id="316231387">
      <w:bodyDiv w:val="1"/>
      <w:marLeft w:val="0"/>
      <w:marRight w:val="0"/>
      <w:marTop w:val="0"/>
      <w:marBottom w:val="0"/>
      <w:divBdr>
        <w:top w:val="none" w:sz="0" w:space="0" w:color="auto"/>
        <w:left w:val="none" w:sz="0" w:space="0" w:color="auto"/>
        <w:bottom w:val="none" w:sz="0" w:space="0" w:color="auto"/>
        <w:right w:val="none" w:sz="0" w:space="0" w:color="auto"/>
      </w:divBdr>
    </w:div>
    <w:div w:id="316766501">
      <w:bodyDiv w:val="1"/>
      <w:marLeft w:val="0"/>
      <w:marRight w:val="0"/>
      <w:marTop w:val="0"/>
      <w:marBottom w:val="0"/>
      <w:divBdr>
        <w:top w:val="none" w:sz="0" w:space="0" w:color="auto"/>
        <w:left w:val="none" w:sz="0" w:space="0" w:color="auto"/>
        <w:bottom w:val="none" w:sz="0" w:space="0" w:color="auto"/>
        <w:right w:val="none" w:sz="0" w:space="0" w:color="auto"/>
      </w:divBdr>
    </w:div>
    <w:div w:id="316960351">
      <w:bodyDiv w:val="1"/>
      <w:marLeft w:val="0"/>
      <w:marRight w:val="0"/>
      <w:marTop w:val="0"/>
      <w:marBottom w:val="0"/>
      <w:divBdr>
        <w:top w:val="none" w:sz="0" w:space="0" w:color="auto"/>
        <w:left w:val="none" w:sz="0" w:space="0" w:color="auto"/>
        <w:bottom w:val="none" w:sz="0" w:space="0" w:color="auto"/>
        <w:right w:val="none" w:sz="0" w:space="0" w:color="auto"/>
      </w:divBdr>
    </w:div>
    <w:div w:id="317079143">
      <w:bodyDiv w:val="1"/>
      <w:marLeft w:val="0"/>
      <w:marRight w:val="0"/>
      <w:marTop w:val="0"/>
      <w:marBottom w:val="0"/>
      <w:divBdr>
        <w:top w:val="none" w:sz="0" w:space="0" w:color="auto"/>
        <w:left w:val="none" w:sz="0" w:space="0" w:color="auto"/>
        <w:bottom w:val="none" w:sz="0" w:space="0" w:color="auto"/>
        <w:right w:val="none" w:sz="0" w:space="0" w:color="auto"/>
      </w:divBdr>
    </w:div>
    <w:div w:id="317223021">
      <w:bodyDiv w:val="1"/>
      <w:marLeft w:val="0"/>
      <w:marRight w:val="0"/>
      <w:marTop w:val="0"/>
      <w:marBottom w:val="0"/>
      <w:divBdr>
        <w:top w:val="none" w:sz="0" w:space="0" w:color="auto"/>
        <w:left w:val="none" w:sz="0" w:space="0" w:color="auto"/>
        <w:bottom w:val="none" w:sz="0" w:space="0" w:color="auto"/>
        <w:right w:val="none" w:sz="0" w:space="0" w:color="auto"/>
      </w:divBdr>
    </w:div>
    <w:div w:id="317728412">
      <w:bodyDiv w:val="1"/>
      <w:marLeft w:val="0"/>
      <w:marRight w:val="0"/>
      <w:marTop w:val="0"/>
      <w:marBottom w:val="0"/>
      <w:divBdr>
        <w:top w:val="none" w:sz="0" w:space="0" w:color="auto"/>
        <w:left w:val="none" w:sz="0" w:space="0" w:color="auto"/>
        <w:bottom w:val="none" w:sz="0" w:space="0" w:color="auto"/>
        <w:right w:val="none" w:sz="0" w:space="0" w:color="auto"/>
      </w:divBdr>
    </w:div>
    <w:div w:id="318314221">
      <w:bodyDiv w:val="1"/>
      <w:marLeft w:val="0"/>
      <w:marRight w:val="0"/>
      <w:marTop w:val="0"/>
      <w:marBottom w:val="0"/>
      <w:divBdr>
        <w:top w:val="none" w:sz="0" w:space="0" w:color="auto"/>
        <w:left w:val="none" w:sz="0" w:space="0" w:color="auto"/>
        <w:bottom w:val="none" w:sz="0" w:space="0" w:color="auto"/>
        <w:right w:val="none" w:sz="0" w:space="0" w:color="auto"/>
      </w:divBdr>
    </w:div>
    <w:div w:id="318846798">
      <w:bodyDiv w:val="1"/>
      <w:marLeft w:val="0"/>
      <w:marRight w:val="0"/>
      <w:marTop w:val="0"/>
      <w:marBottom w:val="0"/>
      <w:divBdr>
        <w:top w:val="none" w:sz="0" w:space="0" w:color="auto"/>
        <w:left w:val="none" w:sz="0" w:space="0" w:color="auto"/>
        <w:bottom w:val="none" w:sz="0" w:space="0" w:color="auto"/>
        <w:right w:val="none" w:sz="0" w:space="0" w:color="auto"/>
      </w:divBdr>
    </w:div>
    <w:div w:id="319043304">
      <w:bodyDiv w:val="1"/>
      <w:marLeft w:val="0"/>
      <w:marRight w:val="0"/>
      <w:marTop w:val="0"/>
      <w:marBottom w:val="0"/>
      <w:divBdr>
        <w:top w:val="none" w:sz="0" w:space="0" w:color="auto"/>
        <w:left w:val="none" w:sz="0" w:space="0" w:color="auto"/>
        <w:bottom w:val="none" w:sz="0" w:space="0" w:color="auto"/>
        <w:right w:val="none" w:sz="0" w:space="0" w:color="auto"/>
      </w:divBdr>
    </w:div>
    <w:div w:id="319122210">
      <w:bodyDiv w:val="1"/>
      <w:marLeft w:val="0"/>
      <w:marRight w:val="0"/>
      <w:marTop w:val="0"/>
      <w:marBottom w:val="0"/>
      <w:divBdr>
        <w:top w:val="none" w:sz="0" w:space="0" w:color="auto"/>
        <w:left w:val="none" w:sz="0" w:space="0" w:color="auto"/>
        <w:bottom w:val="none" w:sz="0" w:space="0" w:color="auto"/>
        <w:right w:val="none" w:sz="0" w:space="0" w:color="auto"/>
      </w:divBdr>
    </w:div>
    <w:div w:id="319231819">
      <w:bodyDiv w:val="1"/>
      <w:marLeft w:val="0"/>
      <w:marRight w:val="0"/>
      <w:marTop w:val="0"/>
      <w:marBottom w:val="0"/>
      <w:divBdr>
        <w:top w:val="none" w:sz="0" w:space="0" w:color="auto"/>
        <w:left w:val="none" w:sz="0" w:space="0" w:color="auto"/>
        <w:bottom w:val="none" w:sz="0" w:space="0" w:color="auto"/>
        <w:right w:val="none" w:sz="0" w:space="0" w:color="auto"/>
      </w:divBdr>
    </w:div>
    <w:div w:id="319701958">
      <w:bodyDiv w:val="1"/>
      <w:marLeft w:val="0"/>
      <w:marRight w:val="0"/>
      <w:marTop w:val="0"/>
      <w:marBottom w:val="0"/>
      <w:divBdr>
        <w:top w:val="none" w:sz="0" w:space="0" w:color="auto"/>
        <w:left w:val="none" w:sz="0" w:space="0" w:color="auto"/>
        <w:bottom w:val="none" w:sz="0" w:space="0" w:color="auto"/>
        <w:right w:val="none" w:sz="0" w:space="0" w:color="auto"/>
      </w:divBdr>
    </w:div>
    <w:div w:id="320275783">
      <w:bodyDiv w:val="1"/>
      <w:marLeft w:val="0"/>
      <w:marRight w:val="0"/>
      <w:marTop w:val="0"/>
      <w:marBottom w:val="0"/>
      <w:divBdr>
        <w:top w:val="none" w:sz="0" w:space="0" w:color="auto"/>
        <w:left w:val="none" w:sz="0" w:space="0" w:color="auto"/>
        <w:bottom w:val="none" w:sz="0" w:space="0" w:color="auto"/>
        <w:right w:val="none" w:sz="0" w:space="0" w:color="auto"/>
      </w:divBdr>
    </w:div>
    <w:div w:id="320430383">
      <w:bodyDiv w:val="1"/>
      <w:marLeft w:val="0"/>
      <w:marRight w:val="0"/>
      <w:marTop w:val="0"/>
      <w:marBottom w:val="0"/>
      <w:divBdr>
        <w:top w:val="none" w:sz="0" w:space="0" w:color="auto"/>
        <w:left w:val="none" w:sz="0" w:space="0" w:color="auto"/>
        <w:bottom w:val="none" w:sz="0" w:space="0" w:color="auto"/>
        <w:right w:val="none" w:sz="0" w:space="0" w:color="auto"/>
      </w:divBdr>
    </w:div>
    <w:div w:id="320433369">
      <w:bodyDiv w:val="1"/>
      <w:marLeft w:val="0"/>
      <w:marRight w:val="0"/>
      <w:marTop w:val="0"/>
      <w:marBottom w:val="0"/>
      <w:divBdr>
        <w:top w:val="none" w:sz="0" w:space="0" w:color="auto"/>
        <w:left w:val="none" w:sz="0" w:space="0" w:color="auto"/>
        <w:bottom w:val="none" w:sz="0" w:space="0" w:color="auto"/>
        <w:right w:val="none" w:sz="0" w:space="0" w:color="auto"/>
      </w:divBdr>
    </w:div>
    <w:div w:id="320549122">
      <w:bodyDiv w:val="1"/>
      <w:marLeft w:val="0"/>
      <w:marRight w:val="0"/>
      <w:marTop w:val="0"/>
      <w:marBottom w:val="0"/>
      <w:divBdr>
        <w:top w:val="none" w:sz="0" w:space="0" w:color="auto"/>
        <w:left w:val="none" w:sz="0" w:space="0" w:color="auto"/>
        <w:bottom w:val="none" w:sz="0" w:space="0" w:color="auto"/>
        <w:right w:val="none" w:sz="0" w:space="0" w:color="auto"/>
      </w:divBdr>
    </w:div>
    <w:div w:id="320819293">
      <w:bodyDiv w:val="1"/>
      <w:marLeft w:val="0"/>
      <w:marRight w:val="0"/>
      <w:marTop w:val="0"/>
      <w:marBottom w:val="0"/>
      <w:divBdr>
        <w:top w:val="none" w:sz="0" w:space="0" w:color="auto"/>
        <w:left w:val="none" w:sz="0" w:space="0" w:color="auto"/>
        <w:bottom w:val="none" w:sz="0" w:space="0" w:color="auto"/>
        <w:right w:val="none" w:sz="0" w:space="0" w:color="auto"/>
      </w:divBdr>
    </w:div>
    <w:div w:id="321083033">
      <w:bodyDiv w:val="1"/>
      <w:marLeft w:val="0"/>
      <w:marRight w:val="0"/>
      <w:marTop w:val="0"/>
      <w:marBottom w:val="0"/>
      <w:divBdr>
        <w:top w:val="none" w:sz="0" w:space="0" w:color="auto"/>
        <w:left w:val="none" w:sz="0" w:space="0" w:color="auto"/>
        <w:bottom w:val="none" w:sz="0" w:space="0" w:color="auto"/>
        <w:right w:val="none" w:sz="0" w:space="0" w:color="auto"/>
      </w:divBdr>
    </w:div>
    <w:div w:id="321083784">
      <w:bodyDiv w:val="1"/>
      <w:marLeft w:val="0"/>
      <w:marRight w:val="0"/>
      <w:marTop w:val="0"/>
      <w:marBottom w:val="0"/>
      <w:divBdr>
        <w:top w:val="none" w:sz="0" w:space="0" w:color="auto"/>
        <w:left w:val="none" w:sz="0" w:space="0" w:color="auto"/>
        <w:bottom w:val="none" w:sz="0" w:space="0" w:color="auto"/>
        <w:right w:val="none" w:sz="0" w:space="0" w:color="auto"/>
      </w:divBdr>
    </w:div>
    <w:div w:id="322005695">
      <w:bodyDiv w:val="1"/>
      <w:marLeft w:val="0"/>
      <w:marRight w:val="0"/>
      <w:marTop w:val="0"/>
      <w:marBottom w:val="0"/>
      <w:divBdr>
        <w:top w:val="none" w:sz="0" w:space="0" w:color="auto"/>
        <w:left w:val="none" w:sz="0" w:space="0" w:color="auto"/>
        <w:bottom w:val="none" w:sz="0" w:space="0" w:color="auto"/>
        <w:right w:val="none" w:sz="0" w:space="0" w:color="auto"/>
      </w:divBdr>
    </w:div>
    <w:div w:id="322009991">
      <w:bodyDiv w:val="1"/>
      <w:marLeft w:val="0"/>
      <w:marRight w:val="0"/>
      <w:marTop w:val="0"/>
      <w:marBottom w:val="0"/>
      <w:divBdr>
        <w:top w:val="none" w:sz="0" w:space="0" w:color="auto"/>
        <w:left w:val="none" w:sz="0" w:space="0" w:color="auto"/>
        <w:bottom w:val="none" w:sz="0" w:space="0" w:color="auto"/>
        <w:right w:val="none" w:sz="0" w:space="0" w:color="auto"/>
      </w:divBdr>
    </w:div>
    <w:div w:id="322241812">
      <w:bodyDiv w:val="1"/>
      <w:marLeft w:val="0"/>
      <w:marRight w:val="0"/>
      <w:marTop w:val="0"/>
      <w:marBottom w:val="0"/>
      <w:divBdr>
        <w:top w:val="none" w:sz="0" w:space="0" w:color="auto"/>
        <w:left w:val="none" w:sz="0" w:space="0" w:color="auto"/>
        <w:bottom w:val="none" w:sz="0" w:space="0" w:color="auto"/>
        <w:right w:val="none" w:sz="0" w:space="0" w:color="auto"/>
      </w:divBdr>
    </w:div>
    <w:div w:id="322244857">
      <w:bodyDiv w:val="1"/>
      <w:marLeft w:val="0"/>
      <w:marRight w:val="0"/>
      <w:marTop w:val="0"/>
      <w:marBottom w:val="0"/>
      <w:divBdr>
        <w:top w:val="none" w:sz="0" w:space="0" w:color="auto"/>
        <w:left w:val="none" w:sz="0" w:space="0" w:color="auto"/>
        <w:bottom w:val="none" w:sz="0" w:space="0" w:color="auto"/>
        <w:right w:val="none" w:sz="0" w:space="0" w:color="auto"/>
      </w:divBdr>
    </w:div>
    <w:div w:id="322701870">
      <w:bodyDiv w:val="1"/>
      <w:marLeft w:val="0"/>
      <w:marRight w:val="0"/>
      <w:marTop w:val="0"/>
      <w:marBottom w:val="0"/>
      <w:divBdr>
        <w:top w:val="none" w:sz="0" w:space="0" w:color="auto"/>
        <w:left w:val="none" w:sz="0" w:space="0" w:color="auto"/>
        <w:bottom w:val="none" w:sz="0" w:space="0" w:color="auto"/>
        <w:right w:val="none" w:sz="0" w:space="0" w:color="auto"/>
      </w:divBdr>
    </w:div>
    <w:div w:id="322780628">
      <w:bodyDiv w:val="1"/>
      <w:marLeft w:val="0"/>
      <w:marRight w:val="0"/>
      <w:marTop w:val="0"/>
      <w:marBottom w:val="0"/>
      <w:divBdr>
        <w:top w:val="none" w:sz="0" w:space="0" w:color="auto"/>
        <w:left w:val="none" w:sz="0" w:space="0" w:color="auto"/>
        <w:bottom w:val="none" w:sz="0" w:space="0" w:color="auto"/>
        <w:right w:val="none" w:sz="0" w:space="0" w:color="auto"/>
      </w:divBdr>
    </w:div>
    <w:div w:id="323314753">
      <w:bodyDiv w:val="1"/>
      <w:marLeft w:val="0"/>
      <w:marRight w:val="0"/>
      <w:marTop w:val="0"/>
      <w:marBottom w:val="0"/>
      <w:divBdr>
        <w:top w:val="none" w:sz="0" w:space="0" w:color="auto"/>
        <w:left w:val="none" w:sz="0" w:space="0" w:color="auto"/>
        <w:bottom w:val="none" w:sz="0" w:space="0" w:color="auto"/>
        <w:right w:val="none" w:sz="0" w:space="0" w:color="auto"/>
      </w:divBdr>
    </w:div>
    <w:div w:id="323747864">
      <w:bodyDiv w:val="1"/>
      <w:marLeft w:val="0"/>
      <w:marRight w:val="0"/>
      <w:marTop w:val="0"/>
      <w:marBottom w:val="0"/>
      <w:divBdr>
        <w:top w:val="none" w:sz="0" w:space="0" w:color="auto"/>
        <w:left w:val="none" w:sz="0" w:space="0" w:color="auto"/>
        <w:bottom w:val="none" w:sz="0" w:space="0" w:color="auto"/>
        <w:right w:val="none" w:sz="0" w:space="0" w:color="auto"/>
      </w:divBdr>
    </w:div>
    <w:div w:id="323968995">
      <w:bodyDiv w:val="1"/>
      <w:marLeft w:val="0"/>
      <w:marRight w:val="0"/>
      <w:marTop w:val="0"/>
      <w:marBottom w:val="0"/>
      <w:divBdr>
        <w:top w:val="none" w:sz="0" w:space="0" w:color="auto"/>
        <w:left w:val="none" w:sz="0" w:space="0" w:color="auto"/>
        <w:bottom w:val="none" w:sz="0" w:space="0" w:color="auto"/>
        <w:right w:val="none" w:sz="0" w:space="0" w:color="auto"/>
      </w:divBdr>
    </w:div>
    <w:div w:id="324012865">
      <w:bodyDiv w:val="1"/>
      <w:marLeft w:val="0"/>
      <w:marRight w:val="0"/>
      <w:marTop w:val="0"/>
      <w:marBottom w:val="0"/>
      <w:divBdr>
        <w:top w:val="none" w:sz="0" w:space="0" w:color="auto"/>
        <w:left w:val="none" w:sz="0" w:space="0" w:color="auto"/>
        <w:bottom w:val="none" w:sz="0" w:space="0" w:color="auto"/>
        <w:right w:val="none" w:sz="0" w:space="0" w:color="auto"/>
      </w:divBdr>
    </w:div>
    <w:div w:id="324558119">
      <w:bodyDiv w:val="1"/>
      <w:marLeft w:val="0"/>
      <w:marRight w:val="0"/>
      <w:marTop w:val="0"/>
      <w:marBottom w:val="0"/>
      <w:divBdr>
        <w:top w:val="none" w:sz="0" w:space="0" w:color="auto"/>
        <w:left w:val="none" w:sz="0" w:space="0" w:color="auto"/>
        <w:bottom w:val="none" w:sz="0" w:space="0" w:color="auto"/>
        <w:right w:val="none" w:sz="0" w:space="0" w:color="auto"/>
      </w:divBdr>
    </w:div>
    <w:div w:id="324631300">
      <w:bodyDiv w:val="1"/>
      <w:marLeft w:val="0"/>
      <w:marRight w:val="0"/>
      <w:marTop w:val="0"/>
      <w:marBottom w:val="0"/>
      <w:divBdr>
        <w:top w:val="none" w:sz="0" w:space="0" w:color="auto"/>
        <w:left w:val="none" w:sz="0" w:space="0" w:color="auto"/>
        <w:bottom w:val="none" w:sz="0" w:space="0" w:color="auto"/>
        <w:right w:val="none" w:sz="0" w:space="0" w:color="auto"/>
      </w:divBdr>
    </w:div>
    <w:div w:id="324862729">
      <w:bodyDiv w:val="1"/>
      <w:marLeft w:val="0"/>
      <w:marRight w:val="0"/>
      <w:marTop w:val="0"/>
      <w:marBottom w:val="0"/>
      <w:divBdr>
        <w:top w:val="none" w:sz="0" w:space="0" w:color="auto"/>
        <w:left w:val="none" w:sz="0" w:space="0" w:color="auto"/>
        <w:bottom w:val="none" w:sz="0" w:space="0" w:color="auto"/>
        <w:right w:val="none" w:sz="0" w:space="0" w:color="auto"/>
      </w:divBdr>
    </w:div>
    <w:div w:id="324942920">
      <w:bodyDiv w:val="1"/>
      <w:marLeft w:val="0"/>
      <w:marRight w:val="0"/>
      <w:marTop w:val="0"/>
      <w:marBottom w:val="0"/>
      <w:divBdr>
        <w:top w:val="none" w:sz="0" w:space="0" w:color="auto"/>
        <w:left w:val="none" w:sz="0" w:space="0" w:color="auto"/>
        <w:bottom w:val="none" w:sz="0" w:space="0" w:color="auto"/>
        <w:right w:val="none" w:sz="0" w:space="0" w:color="auto"/>
      </w:divBdr>
    </w:div>
    <w:div w:id="325518954">
      <w:bodyDiv w:val="1"/>
      <w:marLeft w:val="0"/>
      <w:marRight w:val="0"/>
      <w:marTop w:val="0"/>
      <w:marBottom w:val="0"/>
      <w:divBdr>
        <w:top w:val="none" w:sz="0" w:space="0" w:color="auto"/>
        <w:left w:val="none" w:sz="0" w:space="0" w:color="auto"/>
        <w:bottom w:val="none" w:sz="0" w:space="0" w:color="auto"/>
        <w:right w:val="none" w:sz="0" w:space="0" w:color="auto"/>
      </w:divBdr>
    </w:div>
    <w:div w:id="325867513">
      <w:bodyDiv w:val="1"/>
      <w:marLeft w:val="0"/>
      <w:marRight w:val="0"/>
      <w:marTop w:val="0"/>
      <w:marBottom w:val="0"/>
      <w:divBdr>
        <w:top w:val="none" w:sz="0" w:space="0" w:color="auto"/>
        <w:left w:val="none" w:sz="0" w:space="0" w:color="auto"/>
        <w:bottom w:val="none" w:sz="0" w:space="0" w:color="auto"/>
        <w:right w:val="none" w:sz="0" w:space="0" w:color="auto"/>
      </w:divBdr>
    </w:div>
    <w:div w:id="325937806">
      <w:bodyDiv w:val="1"/>
      <w:marLeft w:val="0"/>
      <w:marRight w:val="0"/>
      <w:marTop w:val="0"/>
      <w:marBottom w:val="0"/>
      <w:divBdr>
        <w:top w:val="none" w:sz="0" w:space="0" w:color="auto"/>
        <w:left w:val="none" w:sz="0" w:space="0" w:color="auto"/>
        <w:bottom w:val="none" w:sz="0" w:space="0" w:color="auto"/>
        <w:right w:val="none" w:sz="0" w:space="0" w:color="auto"/>
      </w:divBdr>
    </w:div>
    <w:div w:id="326520076">
      <w:bodyDiv w:val="1"/>
      <w:marLeft w:val="0"/>
      <w:marRight w:val="0"/>
      <w:marTop w:val="0"/>
      <w:marBottom w:val="0"/>
      <w:divBdr>
        <w:top w:val="none" w:sz="0" w:space="0" w:color="auto"/>
        <w:left w:val="none" w:sz="0" w:space="0" w:color="auto"/>
        <w:bottom w:val="none" w:sz="0" w:space="0" w:color="auto"/>
        <w:right w:val="none" w:sz="0" w:space="0" w:color="auto"/>
      </w:divBdr>
    </w:div>
    <w:div w:id="327178080">
      <w:bodyDiv w:val="1"/>
      <w:marLeft w:val="0"/>
      <w:marRight w:val="0"/>
      <w:marTop w:val="0"/>
      <w:marBottom w:val="0"/>
      <w:divBdr>
        <w:top w:val="none" w:sz="0" w:space="0" w:color="auto"/>
        <w:left w:val="none" w:sz="0" w:space="0" w:color="auto"/>
        <w:bottom w:val="none" w:sz="0" w:space="0" w:color="auto"/>
        <w:right w:val="none" w:sz="0" w:space="0" w:color="auto"/>
      </w:divBdr>
    </w:div>
    <w:div w:id="327221600">
      <w:bodyDiv w:val="1"/>
      <w:marLeft w:val="0"/>
      <w:marRight w:val="0"/>
      <w:marTop w:val="0"/>
      <w:marBottom w:val="0"/>
      <w:divBdr>
        <w:top w:val="none" w:sz="0" w:space="0" w:color="auto"/>
        <w:left w:val="none" w:sz="0" w:space="0" w:color="auto"/>
        <w:bottom w:val="none" w:sz="0" w:space="0" w:color="auto"/>
        <w:right w:val="none" w:sz="0" w:space="0" w:color="auto"/>
      </w:divBdr>
    </w:div>
    <w:div w:id="327560053">
      <w:bodyDiv w:val="1"/>
      <w:marLeft w:val="0"/>
      <w:marRight w:val="0"/>
      <w:marTop w:val="0"/>
      <w:marBottom w:val="0"/>
      <w:divBdr>
        <w:top w:val="none" w:sz="0" w:space="0" w:color="auto"/>
        <w:left w:val="none" w:sz="0" w:space="0" w:color="auto"/>
        <w:bottom w:val="none" w:sz="0" w:space="0" w:color="auto"/>
        <w:right w:val="none" w:sz="0" w:space="0" w:color="auto"/>
      </w:divBdr>
    </w:div>
    <w:div w:id="327634748">
      <w:bodyDiv w:val="1"/>
      <w:marLeft w:val="0"/>
      <w:marRight w:val="0"/>
      <w:marTop w:val="0"/>
      <w:marBottom w:val="0"/>
      <w:divBdr>
        <w:top w:val="none" w:sz="0" w:space="0" w:color="auto"/>
        <w:left w:val="none" w:sz="0" w:space="0" w:color="auto"/>
        <w:bottom w:val="none" w:sz="0" w:space="0" w:color="auto"/>
        <w:right w:val="none" w:sz="0" w:space="0" w:color="auto"/>
      </w:divBdr>
    </w:div>
    <w:div w:id="327905033">
      <w:bodyDiv w:val="1"/>
      <w:marLeft w:val="0"/>
      <w:marRight w:val="0"/>
      <w:marTop w:val="0"/>
      <w:marBottom w:val="0"/>
      <w:divBdr>
        <w:top w:val="none" w:sz="0" w:space="0" w:color="auto"/>
        <w:left w:val="none" w:sz="0" w:space="0" w:color="auto"/>
        <w:bottom w:val="none" w:sz="0" w:space="0" w:color="auto"/>
        <w:right w:val="none" w:sz="0" w:space="0" w:color="auto"/>
      </w:divBdr>
    </w:div>
    <w:div w:id="328294439">
      <w:bodyDiv w:val="1"/>
      <w:marLeft w:val="0"/>
      <w:marRight w:val="0"/>
      <w:marTop w:val="0"/>
      <w:marBottom w:val="0"/>
      <w:divBdr>
        <w:top w:val="none" w:sz="0" w:space="0" w:color="auto"/>
        <w:left w:val="none" w:sz="0" w:space="0" w:color="auto"/>
        <w:bottom w:val="none" w:sz="0" w:space="0" w:color="auto"/>
        <w:right w:val="none" w:sz="0" w:space="0" w:color="auto"/>
      </w:divBdr>
    </w:div>
    <w:div w:id="328337856">
      <w:bodyDiv w:val="1"/>
      <w:marLeft w:val="0"/>
      <w:marRight w:val="0"/>
      <w:marTop w:val="0"/>
      <w:marBottom w:val="0"/>
      <w:divBdr>
        <w:top w:val="none" w:sz="0" w:space="0" w:color="auto"/>
        <w:left w:val="none" w:sz="0" w:space="0" w:color="auto"/>
        <w:bottom w:val="none" w:sz="0" w:space="0" w:color="auto"/>
        <w:right w:val="none" w:sz="0" w:space="0" w:color="auto"/>
      </w:divBdr>
    </w:div>
    <w:div w:id="328406207">
      <w:bodyDiv w:val="1"/>
      <w:marLeft w:val="0"/>
      <w:marRight w:val="0"/>
      <w:marTop w:val="0"/>
      <w:marBottom w:val="0"/>
      <w:divBdr>
        <w:top w:val="none" w:sz="0" w:space="0" w:color="auto"/>
        <w:left w:val="none" w:sz="0" w:space="0" w:color="auto"/>
        <w:bottom w:val="none" w:sz="0" w:space="0" w:color="auto"/>
        <w:right w:val="none" w:sz="0" w:space="0" w:color="auto"/>
      </w:divBdr>
    </w:div>
    <w:div w:id="328680946">
      <w:bodyDiv w:val="1"/>
      <w:marLeft w:val="0"/>
      <w:marRight w:val="0"/>
      <w:marTop w:val="0"/>
      <w:marBottom w:val="0"/>
      <w:divBdr>
        <w:top w:val="none" w:sz="0" w:space="0" w:color="auto"/>
        <w:left w:val="none" w:sz="0" w:space="0" w:color="auto"/>
        <w:bottom w:val="none" w:sz="0" w:space="0" w:color="auto"/>
        <w:right w:val="none" w:sz="0" w:space="0" w:color="auto"/>
      </w:divBdr>
    </w:div>
    <w:div w:id="328682982">
      <w:bodyDiv w:val="1"/>
      <w:marLeft w:val="0"/>
      <w:marRight w:val="0"/>
      <w:marTop w:val="0"/>
      <w:marBottom w:val="0"/>
      <w:divBdr>
        <w:top w:val="none" w:sz="0" w:space="0" w:color="auto"/>
        <w:left w:val="none" w:sz="0" w:space="0" w:color="auto"/>
        <w:bottom w:val="none" w:sz="0" w:space="0" w:color="auto"/>
        <w:right w:val="none" w:sz="0" w:space="0" w:color="auto"/>
      </w:divBdr>
    </w:div>
    <w:div w:id="328795323">
      <w:bodyDiv w:val="1"/>
      <w:marLeft w:val="0"/>
      <w:marRight w:val="0"/>
      <w:marTop w:val="0"/>
      <w:marBottom w:val="0"/>
      <w:divBdr>
        <w:top w:val="none" w:sz="0" w:space="0" w:color="auto"/>
        <w:left w:val="none" w:sz="0" w:space="0" w:color="auto"/>
        <w:bottom w:val="none" w:sz="0" w:space="0" w:color="auto"/>
        <w:right w:val="none" w:sz="0" w:space="0" w:color="auto"/>
      </w:divBdr>
    </w:div>
    <w:div w:id="328944660">
      <w:bodyDiv w:val="1"/>
      <w:marLeft w:val="0"/>
      <w:marRight w:val="0"/>
      <w:marTop w:val="0"/>
      <w:marBottom w:val="0"/>
      <w:divBdr>
        <w:top w:val="none" w:sz="0" w:space="0" w:color="auto"/>
        <w:left w:val="none" w:sz="0" w:space="0" w:color="auto"/>
        <w:bottom w:val="none" w:sz="0" w:space="0" w:color="auto"/>
        <w:right w:val="none" w:sz="0" w:space="0" w:color="auto"/>
      </w:divBdr>
    </w:div>
    <w:div w:id="328990961">
      <w:bodyDiv w:val="1"/>
      <w:marLeft w:val="0"/>
      <w:marRight w:val="0"/>
      <w:marTop w:val="0"/>
      <w:marBottom w:val="0"/>
      <w:divBdr>
        <w:top w:val="none" w:sz="0" w:space="0" w:color="auto"/>
        <w:left w:val="none" w:sz="0" w:space="0" w:color="auto"/>
        <w:bottom w:val="none" w:sz="0" w:space="0" w:color="auto"/>
        <w:right w:val="none" w:sz="0" w:space="0" w:color="auto"/>
      </w:divBdr>
    </w:div>
    <w:div w:id="329793691">
      <w:bodyDiv w:val="1"/>
      <w:marLeft w:val="0"/>
      <w:marRight w:val="0"/>
      <w:marTop w:val="0"/>
      <w:marBottom w:val="0"/>
      <w:divBdr>
        <w:top w:val="none" w:sz="0" w:space="0" w:color="auto"/>
        <w:left w:val="none" w:sz="0" w:space="0" w:color="auto"/>
        <w:bottom w:val="none" w:sz="0" w:space="0" w:color="auto"/>
        <w:right w:val="none" w:sz="0" w:space="0" w:color="auto"/>
      </w:divBdr>
    </w:div>
    <w:div w:id="329985484">
      <w:bodyDiv w:val="1"/>
      <w:marLeft w:val="0"/>
      <w:marRight w:val="0"/>
      <w:marTop w:val="0"/>
      <w:marBottom w:val="0"/>
      <w:divBdr>
        <w:top w:val="none" w:sz="0" w:space="0" w:color="auto"/>
        <w:left w:val="none" w:sz="0" w:space="0" w:color="auto"/>
        <w:bottom w:val="none" w:sz="0" w:space="0" w:color="auto"/>
        <w:right w:val="none" w:sz="0" w:space="0" w:color="auto"/>
      </w:divBdr>
    </w:div>
    <w:div w:id="329987077">
      <w:bodyDiv w:val="1"/>
      <w:marLeft w:val="0"/>
      <w:marRight w:val="0"/>
      <w:marTop w:val="0"/>
      <w:marBottom w:val="0"/>
      <w:divBdr>
        <w:top w:val="none" w:sz="0" w:space="0" w:color="auto"/>
        <w:left w:val="none" w:sz="0" w:space="0" w:color="auto"/>
        <w:bottom w:val="none" w:sz="0" w:space="0" w:color="auto"/>
        <w:right w:val="none" w:sz="0" w:space="0" w:color="auto"/>
      </w:divBdr>
    </w:div>
    <w:div w:id="329988519">
      <w:bodyDiv w:val="1"/>
      <w:marLeft w:val="0"/>
      <w:marRight w:val="0"/>
      <w:marTop w:val="0"/>
      <w:marBottom w:val="0"/>
      <w:divBdr>
        <w:top w:val="none" w:sz="0" w:space="0" w:color="auto"/>
        <w:left w:val="none" w:sz="0" w:space="0" w:color="auto"/>
        <w:bottom w:val="none" w:sz="0" w:space="0" w:color="auto"/>
        <w:right w:val="none" w:sz="0" w:space="0" w:color="auto"/>
      </w:divBdr>
    </w:div>
    <w:div w:id="329993250">
      <w:bodyDiv w:val="1"/>
      <w:marLeft w:val="0"/>
      <w:marRight w:val="0"/>
      <w:marTop w:val="0"/>
      <w:marBottom w:val="0"/>
      <w:divBdr>
        <w:top w:val="none" w:sz="0" w:space="0" w:color="auto"/>
        <w:left w:val="none" w:sz="0" w:space="0" w:color="auto"/>
        <w:bottom w:val="none" w:sz="0" w:space="0" w:color="auto"/>
        <w:right w:val="none" w:sz="0" w:space="0" w:color="auto"/>
      </w:divBdr>
    </w:div>
    <w:div w:id="330185148">
      <w:bodyDiv w:val="1"/>
      <w:marLeft w:val="0"/>
      <w:marRight w:val="0"/>
      <w:marTop w:val="0"/>
      <w:marBottom w:val="0"/>
      <w:divBdr>
        <w:top w:val="none" w:sz="0" w:space="0" w:color="auto"/>
        <w:left w:val="none" w:sz="0" w:space="0" w:color="auto"/>
        <w:bottom w:val="none" w:sz="0" w:space="0" w:color="auto"/>
        <w:right w:val="none" w:sz="0" w:space="0" w:color="auto"/>
      </w:divBdr>
    </w:div>
    <w:div w:id="330451527">
      <w:bodyDiv w:val="1"/>
      <w:marLeft w:val="0"/>
      <w:marRight w:val="0"/>
      <w:marTop w:val="0"/>
      <w:marBottom w:val="0"/>
      <w:divBdr>
        <w:top w:val="none" w:sz="0" w:space="0" w:color="auto"/>
        <w:left w:val="none" w:sz="0" w:space="0" w:color="auto"/>
        <w:bottom w:val="none" w:sz="0" w:space="0" w:color="auto"/>
        <w:right w:val="none" w:sz="0" w:space="0" w:color="auto"/>
      </w:divBdr>
    </w:div>
    <w:div w:id="330453170">
      <w:bodyDiv w:val="1"/>
      <w:marLeft w:val="0"/>
      <w:marRight w:val="0"/>
      <w:marTop w:val="0"/>
      <w:marBottom w:val="0"/>
      <w:divBdr>
        <w:top w:val="none" w:sz="0" w:space="0" w:color="auto"/>
        <w:left w:val="none" w:sz="0" w:space="0" w:color="auto"/>
        <w:bottom w:val="none" w:sz="0" w:space="0" w:color="auto"/>
        <w:right w:val="none" w:sz="0" w:space="0" w:color="auto"/>
      </w:divBdr>
    </w:div>
    <w:div w:id="330524079">
      <w:bodyDiv w:val="1"/>
      <w:marLeft w:val="0"/>
      <w:marRight w:val="0"/>
      <w:marTop w:val="0"/>
      <w:marBottom w:val="0"/>
      <w:divBdr>
        <w:top w:val="none" w:sz="0" w:space="0" w:color="auto"/>
        <w:left w:val="none" w:sz="0" w:space="0" w:color="auto"/>
        <w:bottom w:val="none" w:sz="0" w:space="0" w:color="auto"/>
        <w:right w:val="none" w:sz="0" w:space="0" w:color="auto"/>
      </w:divBdr>
    </w:div>
    <w:div w:id="330646283">
      <w:bodyDiv w:val="1"/>
      <w:marLeft w:val="0"/>
      <w:marRight w:val="0"/>
      <w:marTop w:val="0"/>
      <w:marBottom w:val="0"/>
      <w:divBdr>
        <w:top w:val="none" w:sz="0" w:space="0" w:color="auto"/>
        <w:left w:val="none" w:sz="0" w:space="0" w:color="auto"/>
        <w:bottom w:val="none" w:sz="0" w:space="0" w:color="auto"/>
        <w:right w:val="none" w:sz="0" w:space="0" w:color="auto"/>
      </w:divBdr>
    </w:div>
    <w:div w:id="330986636">
      <w:bodyDiv w:val="1"/>
      <w:marLeft w:val="0"/>
      <w:marRight w:val="0"/>
      <w:marTop w:val="0"/>
      <w:marBottom w:val="0"/>
      <w:divBdr>
        <w:top w:val="none" w:sz="0" w:space="0" w:color="auto"/>
        <w:left w:val="none" w:sz="0" w:space="0" w:color="auto"/>
        <w:bottom w:val="none" w:sz="0" w:space="0" w:color="auto"/>
        <w:right w:val="none" w:sz="0" w:space="0" w:color="auto"/>
      </w:divBdr>
    </w:div>
    <w:div w:id="331035283">
      <w:bodyDiv w:val="1"/>
      <w:marLeft w:val="0"/>
      <w:marRight w:val="0"/>
      <w:marTop w:val="0"/>
      <w:marBottom w:val="0"/>
      <w:divBdr>
        <w:top w:val="none" w:sz="0" w:space="0" w:color="auto"/>
        <w:left w:val="none" w:sz="0" w:space="0" w:color="auto"/>
        <w:bottom w:val="none" w:sz="0" w:space="0" w:color="auto"/>
        <w:right w:val="none" w:sz="0" w:space="0" w:color="auto"/>
      </w:divBdr>
    </w:div>
    <w:div w:id="331179350">
      <w:bodyDiv w:val="1"/>
      <w:marLeft w:val="0"/>
      <w:marRight w:val="0"/>
      <w:marTop w:val="0"/>
      <w:marBottom w:val="0"/>
      <w:divBdr>
        <w:top w:val="none" w:sz="0" w:space="0" w:color="auto"/>
        <w:left w:val="none" w:sz="0" w:space="0" w:color="auto"/>
        <w:bottom w:val="none" w:sz="0" w:space="0" w:color="auto"/>
        <w:right w:val="none" w:sz="0" w:space="0" w:color="auto"/>
      </w:divBdr>
    </w:div>
    <w:div w:id="331222214">
      <w:bodyDiv w:val="1"/>
      <w:marLeft w:val="0"/>
      <w:marRight w:val="0"/>
      <w:marTop w:val="0"/>
      <w:marBottom w:val="0"/>
      <w:divBdr>
        <w:top w:val="none" w:sz="0" w:space="0" w:color="auto"/>
        <w:left w:val="none" w:sz="0" w:space="0" w:color="auto"/>
        <w:bottom w:val="none" w:sz="0" w:space="0" w:color="auto"/>
        <w:right w:val="none" w:sz="0" w:space="0" w:color="auto"/>
      </w:divBdr>
    </w:div>
    <w:div w:id="331564605">
      <w:bodyDiv w:val="1"/>
      <w:marLeft w:val="0"/>
      <w:marRight w:val="0"/>
      <w:marTop w:val="0"/>
      <w:marBottom w:val="0"/>
      <w:divBdr>
        <w:top w:val="none" w:sz="0" w:space="0" w:color="auto"/>
        <w:left w:val="none" w:sz="0" w:space="0" w:color="auto"/>
        <w:bottom w:val="none" w:sz="0" w:space="0" w:color="auto"/>
        <w:right w:val="none" w:sz="0" w:space="0" w:color="auto"/>
      </w:divBdr>
    </w:div>
    <w:div w:id="332033174">
      <w:bodyDiv w:val="1"/>
      <w:marLeft w:val="0"/>
      <w:marRight w:val="0"/>
      <w:marTop w:val="0"/>
      <w:marBottom w:val="0"/>
      <w:divBdr>
        <w:top w:val="none" w:sz="0" w:space="0" w:color="auto"/>
        <w:left w:val="none" w:sz="0" w:space="0" w:color="auto"/>
        <w:bottom w:val="none" w:sz="0" w:space="0" w:color="auto"/>
        <w:right w:val="none" w:sz="0" w:space="0" w:color="auto"/>
      </w:divBdr>
    </w:div>
    <w:div w:id="332071862">
      <w:bodyDiv w:val="1"/>
      <w:marLeft w:val="0"/>
      <w:marRight w:val="0"/>
      <w:marTop w:val="0"/>
      <w:marBottom w:val="0"/>
      <w:divBdr>
        <w:top w:val="none" w:sz="0" w:space="0" w:color="auto"/>
        <w:left w:val="none" w:sz="0" w:space="0" w:color="auto"/>
        <w:bottom w:val="none" w:sz="0" w:space="0" w:color="auto"/>
        <w:right w:val="none" w:sz="0" w:space="0" w:color="auto"/>
      </w:divBdr>
    </w:div>
    <w:div w:id="332152560">
      <w:bodyDiv w:val="1"/>
      <w:marLeft w:val="0"/>
      <w:marRight w:val="0"/>
      <w:marTop w:val="0"/>
      <w:marBottom w:val="0"/>
      <w:divBdr>
        <w:top w:val="none" w:sz="0" w:space="0" w:color="auto"/>
        <w:left w:val="none" w:sz="0" w:space="0" w:color="auto"/>
        <w:bottom w:val="none" w:sz="0" w:space="0" w:color="auto"/>
        <w:right w:val="none" w:sz="0" w:space="0" w:color="auto"/>
      </w:divBdr>
    </w:div>
    <w:div w:id="332952703">
      <w:bodyDiv w:val="1"/>
      <w:marLeft w:val="0"/>
      <w:marRight w:val="0"/>
      <w:marTop w:val="0"/>
      <w:marBottom w:val="0"/>
      <w:divBdr>
        <w:top w:val="none" w:sz="0" w:space="0" w:color="auto"/>
        <w:left w:val="none" w:sz="0" w:space="0" w:color="auto"/>
        <w:bottom w:val="none" w:sz="0" w:space="0" w:color="auto"/>
        <w:right w:val="none" w:sz="0" w:space="0" w:color="auto"/>
      </w:divBdr>
    </w:div>
    <w:div w:id="333453728">
      <w:bodyDiv w:val="1"/>
      <w:marLeft w:val="0"/>
      <w:marRight w:val="0"/>
      <w:marTop w:val="0"/>
      <w:marBottom w:val="0"/>
      <w:divBdr>
        <w:top w:val="none" w:sz="0" w:space="0" w:color="auto"/>
        <w:left w:val="none" w:sz="0" w:space="0" w:color="auto"/>
        <w:bottom w:val="none" w:sz="0" w:space="0" w:color="auto"/>
        <w:right w:val="none" w:sz="0" w:space="0" w:color="auto"/>
      </w:divBdr>
    </w:div>
    <w:div w:id="333458824">
      <w:bodyDiv w:val="1"/>
      <w:marLeft w:val="0"/>
      <w:marRight w:val="0"/>
      <w:marTop w:val="0"/>
      <w:marBottom w:val="0"/>
      <w:divBdr>
        <w:top w:val="none" w:sz="0" w:space="0" w:color="auto"/>
        <w:left w:val="none" w:sz="0" w:space="0" w:color="auto"/>
        <w:bottom w:val="none" w:sz="0" w:space="0" w:color="auto"/>
        <w:right w:val="none" w:sz="0" w:space="0" w:color="auto"/>
      </w:divBdr>
    </w:div>
    <w:div w:id="334695222">
      <w:bodyDiv w:val="1"/>
      <w:marLeft w:val="0"/>
      <w:marRight w:val="0"/>
      <w:marTop w:val="0"/>
      <w:marBottom w:val="0"/>
      <w:divBdr>
        <w:top w:val="none" w:sz="0" w:space="0" w:color="auto"/>
        <w:left w:val="none" w:sz="0" w:space="0" w:color="auto"/>
        <w:bottom w:val="none" w:sz="0" w:space="0" w:color="auto"/>
        <w:right w:val="none" w:sz="0" w:space="0" w:color="auto"/>
      </w:divBdr>
    </w:div>
    <w:div w:id="335426299">
      <w:bodyDiv w:val="1"/>
      <w:marLeft w:val="0"/>
      <w:marRight w:val="0"/>
      <w:marTop w:val="0"/>
      <w:marBottom w:val="0"/>
      <w:divBdr>
        <w:top w:val="none" w:sz="0" w:space="0" w:color="auto"/>
        <w:left w:val="none" w:sz="0" w:space="0" w:color="auto"/>
        <w:bottom w:val="none" w:sz="0" w:space="0" w:color="auto"/>
        <w:right w:val="none" w:sz="0" w:space="0" w:color="auto"/>
      </w:divBdr>
    </w:div>
    <w:div w:id="335576879">
      <w:bodyDiv w:val="1"/>
      <w:marLeft w:val="0"/>
      <w:marRight w:val="0"/>
      <w:marTop w:val="0"/>
      <w:marBottom w:val="0"/>
      <w:divBdr>
        <w:top w:val="none" w:sz="0" w:space="0" w:color="auto"/>
        <w:left w:val="none" w:sz="0" w:space="0" w:color="auto"/>
        <w:bottom w:val="none" w:sz="0" w:space="0" w:color="auto"/>
        <w:right w:val="none" w:sz="0" w:space="0" w:color="auto"/>
      </w:divBdr>
    </w:div>
    <w:div w:id="336152645">
      <w:bodyDiv w:val="1"/>
      <w:marLeft w:val="0"/>
      <w:marRight w:val="0"/>
      <w:marTop w:val="0"/>
      <w:marBottom w:val="0"/>
      <w:divBdr>
        <w:top w:val="none" w:sz="0" w:space="0" w:color="auto"/>
        <w:left w:val="none" w:sz="0" w:space="0" w:color="auto"/>
        <w:bottom w:val="none" w:sz="0" w:space="0" w:color="auto"/>
        <w:right w:val="none" w:sz="0" w:space="0" w:color="auto"/>
      </w:divBdr>
    </w:div>
    <w:div w:id="339086548">
      <w:bodyDiv w:val="1"/>
      <w:marLeft w:val="0"/>
      <w:marRight w:val="0"/>
      <w:marTop w:val="0"/>
      <w:marBottom w:val="0"/>
      <w:divBdr>
        <w:top w:val="none" w:sz="0" w:space="0" w:color="auto"/>
        <w:left w:val="none" w:sz="0" w:space="0" w:color="auto"/>
        <w:bottom w:val="none" w:sz="0" w:space="0" w:color="auto"/>
        <w:right w:val="none" w:sz="0" w:space="0" w:color="auto"/>
      </w:divBdr>
    </w:div>
    <w:div w:id="339086627">
      <w:bodyDiv w:val="1"/>
      <w:marLeft w:val="0"/>
      <w:marRight w:val="0"/>
      <w:marTop w:val="0"/>
      <w:marBottom w:val="0"/>
      <w:divBdr>
        <w:top w:val="none" w:sz="0" w:space="0" w:color="auto"/>
        <w:left w:val="none" w:sz="0" w:space="0" w:color="auto"/>
        <w:bottom w:val="none" w:sz="0" w:space="0" w:color="auto"/>
        <w:right w:val="none" w:sz="0" w:space="0" w:color="auto"/>
      </w:divBdr>
    </w:div>
    <w:div w:id="339163578">
      <w:bodyDiv w:val="1"/>
      <w:marLeft w:val="0"/>
      <w:marRight w:val="0"/>
      <w:marTop w:val="0"/>
      <w:marBottom w:val="0"/>
      <w:divBdr>
        <w:top w:val="none" w:sz="0" w:space="0" w:color="auto"/>
        <w:left w:val="none" w:sz="0" w:space="0" w:color="auto"/>
        <w:bottom w:val="none" w:sz="0" w:space="0" w:color="auto"/>
        <w:right w:val="none" w:sz="0" w:space="0" w:color="auto"/>
      </w:divBdr>
    </w:div>
    <w:div w:id="339359870">
      <w:bodyDiv w:val="1"/>
      <w:marLeft w:val="0"/>
      <w:marRight w:val="0"/>
      <w:marTop w:val="0"/>
      <w:marBottom w:val="0"/>
      <w:divBdr>
        <w:top w:val="none" w:sz="0" w:space="0" w:color="auto"/>
        <w:left w:val="none" w:sz="0" w:space="0" w:color="auto"/>
        <w:bottom w:val="none" w:sz="0" w:space="0" w:color="auto"/>
        <w:right w:val="none" w:sz="0" w:space="0" w:color="auto"/>
      </w:divBdr>
    </w:div>
    <w:div w:id="339507367">
      <w:bodyDiv w:val="1"/>
      <w:marLeft w:val="0"/>
      <w:marRight w:val="0"/>
      <w:marTop w:val="0"/>
      <w:marBottom w:val="0"/>
      <w:divBdr>
        <w:top w:val="none" w:sz="0" w:space="0" w:color="auto"/>
        <w:left w:val="none" w:sz="0" w:space="0" w:color="auto"/>
        <w:bottom w:val="none" w:sz="0" w:space="0" w:color="auto"/>
        <w:right w:val="none" w:sz="0" w:space="0" w:color="auto"/>
      </w:divBdr>
    </w:div>
    <w:div w:id="339554167">
      <w:bodyDiv w:val="1"/>
      <w:marLeft w:val="0"/>
      <w:marRight w:val="0"/>
      <w:marTop w:val="0"/>
      <w:marBottom w:val="0"/>
      <w:divBdr>
        <w:top w:val="none" w:sz="0" w:space="0" w:color="auto"/>
        <w:left w:val="none" w:sz="0" w:space="0" w:color="auto"/>
        <w:bottom w:val="none" w:sz="0" w:space="0" w:color="auto"/>
        <w:right w:val="none" w:sz="0" w:space="0" w:color="auto"/>
      </w:divBdr>
    </w:div>
    <w:div w:id="339893646">
      <w:bodyDiv w:val="1"/>
      <w:marLeft w:val="0"/>
      <w:marRight w:val="0"/>
      <w:marTop w:val="0"/>
      <w:marBottom w:val="0"/>
      <w:divBdr>
        <w:top w:val="none" w:sz="0" w:space="0" w:color="auto"/>
        <w:left w:val="none" w:sz="0" w:space="0" w:color="auto"/>
        <w:bottom w:val="none" w:sz="0" w:space="0" w:color="auto"/>
        <w:right w:val="none" w:sz="0" w:space="0" w:color="auto"/>
      </w:divBdr>
    </w:div>
    <w:div w:id="340858068">
      <w:bodyDiv w:val="1"/>
      <w:marLeft w:val="0"/>
      <w:marRight w:val="0"/>
      <w:marTop w:val="0"/>
      <w:marBottom w:val="0"/>
      <w:divBdr>
        <w:top w:val="none" w:sz="0" w:space="0" w:color="auto"/>
        <w:left w:val="none" w:sz="0" w:space="0" w:color="auto"/>
        <w:bottom w:val="none" w:sz="0" w:space="0" w:color="auto"/>
        <w:right w:val="none" w:sz="0" w:space="0" w:color="auto"/>
      </w:divBdr>
    </w:div>
    <w:div w:id="341013949">
      <w:bodyDiv w:val="1"/>
      <w:marLeft w:val="0"/>
      <w:marRight w:val="0"/>
      <w:marTop w:val="0"/>
      <w:marBottom w:val="0"/>
      <w:divBdr>
        <w:top w:val="none" w:sz="0" w:space="0" w:color="auto"/>
        <w:left w:val="none" w:sz="0" w:space="0" w:color="auto"/>
        <w:bottom w:val="none" w:sz="0" w:space="0" w:color="auto"/>
        <w:right w:val="none" w:sz="0" w:space="0" w:color="auto"/>
      </w:divBdr>
    </w:div>
    <w:div w:id="342712586">
      <w:bodyDiv w:val="1"/>
      <w:marLeft w:val="0"/>
      <w:marRight w:val="0"/>
      <w:marTop w:val="0"/>
      <w:marBottom w:val="0"/>
      <w:divBdr>
        <w:top w:val="none" w:sz="0" w:space="0" w:color="auto"/>
        <w:left w:val="none" w:sz="0" w:space="0" w:color="auto"/>
        <w:bottom w:val="none" w:sz="0" w:space="0" w:color="auto"/>
        <w:right w:val="none" w:sz="0" w:space="0" w:color="auto"/>
      </w:divBdr>
    </w:div>
    <w:div w:id="343169086">
      <w:bodyDiv w:val="1"/>
      <w:marLeft w:val="0"/>
      <w:marRight w:val="0"/>
      <w:marTop w:val="0"/>
      <w:marBottom w:val="0"/>
      <w:divBdr>
        <w:top w:val="none" w:sz="0" w:space="0" w:color="auto"/>
        <w:left w:val="none" w:sz="0" w:space="0" w:color="auto"/>
        <w:bottom w:val="none" w:sz="0" w:space="0" w:color="auto"/>
        <w:right w:val="none" w:sz="0" w:space="0" w:color="auto"/>
      </w:divBdr>
    </w:div>
    <w:div w:id="343358959">
      <w:bodyDiv w:val="1"/>
      <w:marLeft w:val="0"/>
      <w:marRight w:val="0"/>
      <w:marTop w:val="0"/>
      <w:marBottom w:val="0"/>
      <w:divBdr>
        <w:top w:val="none" w:sz="0" w:space="0" w:color="auto"/>
        <w:left w:val="none" w:sz="0" w:space="0" w:color="auto"/>
        <w:bottom w:val="none" w:sz="0" w:space="0" w:color="auto"/>
        <w:right w:val="none" w:sz="0" w:space="0" w:color="auto"/>
      </w:divBdr>
    </w:div>
    <w:div w:id="343632625">
      <w:bodyDiv w:val="1"/>
      <w:marLeft w:val="0"/>
      <w:marRight w:val="0"/>
      <w:marTop w:val="0"/>
      <w:marBottom w:val="0"/>
      <w:divBdr>
        <w:top w:val="none" w:sz="0" w:space="0" w:color="auto"/>
        <w:left w:val="none" w:sz="0" w:space="0" w:color="auto"/>
        <w:bottom w:val="none" w:sz="0" w:space="0" w:color="auto"/>
        <w:right w:val="none" w:sz="0" w:space="0" w:color="auto"/>
      </w:divBdr>
    </w:div>
    <w:div w:id="344291131">
      <w:bodyDiv w:val="1"/>
      <w:marLeft w:val="0"/>
      <w:marRight w:val="0"/>
      <w:marTop w:val="0"/>
      <w:marBottom w:val="0"/>
      <w:divBdr>
        <w:top w:val="none" w:sz="0" w:space="0" w:color="auto"/>
        <w:left w:val="none" w:sz="0" w:space="0" w:color="auto"/>
        <w:bottom w:val="none" w:sz="0" w:space="0" w:color="auto"/>
        <w:right w:val="none" w:sz="0" w:space="0" w:color="auto"/>
      </w:divBdr>
    </w:div>
    <w:div w:id="344596755">
      <w:bodyDiv w:val="1"/>
      <w:marLeft w:val="0"/>
      <w:marRight w:val="0"/>
      <w:marTop w:val="0"/>
      <w:marBottom w:val="0"/>
      <w:divBdr>
        <w:top w:val="none" w:sz="0" w:space="0" w:color="auto"/>
        <w:left w:val="none" w:sz="0" w:space="0" w:color="auto"/>
        <w:bottom w:val="none" w:sz="0" w:space="0" w:color="auto"/>
        <w:right w:val="none" w:sz="0" w:space="0" w:color="auto"/>
      </w:divBdr>
    </w:div>
    <w:div w:id="344868157">
      <w:bodyDiv w:val="1"/>
      <w:marLeft w:val="0"/>
      <w:marRight w:val="0"/>
      <w:marTop w:val="0"/>
      <w:marBottom w:val="0"/>
      <w:divBdr>
        <w:top w:val="none" w:sz="0" w:space="0" w:color="auto"/>
        <w:left w:val="none" w:sz="0" w:space="0" w:color="auto"/>
        <w:bottom w:val="none" w:sz="0" w:space="0" w:color="auto"/>
        <w:right w:val="none" w:sz="0" w:space="0" w:color="auto"/>
      </w:divBdr>
    </w:div>
    <w:div w:id="344940352">
      <w:bodyDiv w:val="1"/>
      <w:marLeft w:val="0"/>
      <w:marRight w:val="0"/>
      <w:marTop w:val="0"/>
      <w:marBottom w:val="0"/>
      <w:divBdr>
        <w:top w:val="none" w:sz="0" w:space="0" w:color="auto"/>
        <w:left w:val="none" w:sz="0" w:space="0" w:color="auto"/>
        <w:bottom w:val="none" w:sz="0" w:space="0" w:color="auto"/>
        <w:right w:val="none" w:sz="0" w:space="0" w:color="auto"/>
      </w:divBdr>
    </w:div>
    <w:div w:id="345593588">
      <w:bodyDiv w:val="1"/>
      <w:marLeft w:val="0"/>
      <w:marRight w:val="0"/>
      <w:marTop w:val="0"/>
      <w:marBottom w:val="0"/>
      <w:divBdr>
        <w:top w:val="none" w:sz="0" w:space="0" w:color="auto"/>
        <w:left w:val="none" w:sz="0" w:space="0" w:color="auto"/>
        <w:bottom w:val="none" w:sz="0" w:space="0" w:color="auto"/>
        <w:right w:val="none" w:sz="0" w:space="0" w:color="auto"/>
      </w:divBdr>
    </w:div>
    <w:div w:id="345908254">
      <w:bodyDiv w:val="1"/>
      <w:marLeft w:val="0"/>
      <w:marRight w:val="0"/>
      <w:marTop w:val="0"/>
      <w:marBottom w:val="0"/>
      <w:divBdr>
        <w:top w:val="none" w:sz="0" w:space="0" w:color="auto"/>
        <w:left w:val="none" w:sz="0" w:space="0" w:color="auto"/>
        <w:bottom w:val="none" w:sz="0" w:space="0" w:color="auto"/>
        <w:right w:val="none" w:sz="0" w:space="0" w:color="auto"/>
      </w:divBdr>
    </w:div>
    <w:div w:id="346105050">
      <w:bodyDiv w:val="1"/>
      <w:marLeft w:val="0"/>
      <w:marRight w:val="0"/>
      <w:marTop w:val="0"/>
      <w:marBottom w:val="0"/>
      <w:divBdr>
        <w:top w:val="none" w:sz="0" w:space="0" w:color="auto"/>
        <w:left w:val="none" w:sz="0" w:space="0" w:color="auto"/>
        <w:bottom w:val="none" w:sz="0" w:space="0" w:color="auto"/>
        <w:right w:val="none" w:sz="0" w:space="0" w:color="auto"/>
      </w:divBdr>
    </w:div>
    <w:div w:id="346758644">
      <w:bodyDiv w:val="1"/>
      <w:marLeft w:val="0"/>
      <w:marRight w:val="0"/>
      <w:marTop w:val="0"/>
      <w:marBottom w:val="0"/>
      <w:divBdr>
        <w:top w:val="none" w:sz="0" w:space="0" w:color="auto"/>
        <w:left w:val="none" w:sz="0" w:space="0" w:color="auto"/>
        <w:bottom w:val="none" w:sz="0" w:space="0" w:color="auto"/>
        <w:right w:val="none" w:sz="0" w:space="0" w:color="auto"/>
      </w:divBdr>
    </w:div>
    <w:div w:id="346911710">
      <w:bodyDiv w:val="1"/>
      <w:marLeft w:val="0"/>
      <w:marRight w:val="0"/>
      <w:marTop w:val="0"/>
      <w:marBottom w:val="0"/>
      <w:divBdr>
        <w:top w:val="none" w:sz="0" w:space="0" w:color="auto"/>
        <w:left w:val="none" w:sz="0" w:space="0" w:color="auto"/>
        <w:bottom w:val="none" w:sz="0" w:space="0" w:color="auto"/>
        <w:right w:val="none" w:sz="0" w:space="0" w:color="auto"/>
      </w:divBdr>
    </w:div>
    <w:div w:id="347217019">
      <w:bodyDiv w:val="1"/>
      <w:marLeft w:val="0"/>
      <w:marRight w:val="0"/>
      <w:marTop w:val="0"/>
      <w:marBottom w:val="0"/>
      <w:divBdr>
        <w:top w:val="none" w:sz="0" w:space="0" w:color="auto"/>
        <w:left w:val="none" w:sz="0" w:space="0" w:color="auto"/>
        <w:bottom w:val="none" w:sz="0" w:space="0" w:color="auto"/>
        <w:right w:val="none" w:sz="0" w:space="0" w:color="auto"/>
      </w:divBdr>
    </w:div>
    <w:div w:id="347567320">
      <w:bodyDiv w:val="1"/>
      <w:marLeft w:val="0"/>
      <w:marRight w:val="0"/>
      <w:marTop w:val="0"/>
      <w:marBottom w:val="0"/>
      <w:divBdr>
        <w:top w:val="none" w:sz="0" w:space="0" w:color="auto"/>
        <w:left w:val="none" w:sz="0" w:space="0" w:color="auto"/>
        <w:bottom w:val="none" w:sz="0" w:space="0" w:color="auto"/>
        <w:right w:val="none" w:sz="0" w:space="0" w:color="auto"/>
      </w:divBdr>
    </w:div>
    <w:div w:id="348221028">
      <w:bodyDiv w:val="1"/>
      <w:marLeft w:val="0"/>
      <w:marRight w:val="0"/>
      <w:marTop w:val="0"/>
      <w:marBottom w:val="0"/>
      <w:divBdr>
        <w:top w:val="none" w:sz="0" w:space="0" w:color="auto"/>
        <w:left w:val="none" w:sz="0" w:space="0" w:color="auto"/>
        <w:bottom w:val="none" w:sz="0" w:space="0" w:color="auto"/>
        <w:right w:val="none" w:sz="0" w:space="0" w:color="auto"/>
      </w:divBdr>
    </w:div>
    <w:div w:id="348265455">
      <w:bodyDiv w:val="1"/>
      <w:marLeft w:val="0"/>
      <w:marRight w:val="0"/>
      <w:marTop w:val="0"/>
      <w:marBottom w:val="0"/>
      <w:divBdr>
        <w:top w:val="none" w:sz="0" w:space="0" w:color="auto"/>
        <w:left w:val="none" w:sz="0" w:space="0" w:color="auto"/>
        <w:bottom w:val="none" w:sz="0" w:space="0" w:color="auto"/>
        <w:right w:val="none" w:sz="0" w:space="0" w:color="auto"/>
      </w:divBdr>
    </w:div>
    <w:div w:id="348676534">
      <w:bodyDiv w:val="1"/>
      <w:marLeft w:val="0"/>
      <w:marRight w:val="0"/>
      <w:marTop w:val="0"/>
      <w:marBottom w:val="0"/>
      <w:divBdr>
        <w:top w:val="none" w:sz="0" w:space="0" w:color="auto"/>
        <w:left w:val="none" w:sz="0" w:space="0" w:color="auto"/>
        <w:bottom w:val="none" w:sz="0" w:space="0" w:color="auto"/>
        <w:right w:val="none" w:sz="0" w:space="0" w:color="auto"/>
      </w:divBdr>
    </w:div>
    <w:div w:id="348678089">
      <w:bodyDiv w:val="1"/>
      <w:marLeft w:val="0"/>
      <w:marRight w:val="0"/>
      <w:marTop w:val="0"/>
      <w:marBottom w:val="0"/>
      <w:divBdr>
        <w:top w:val="none" w:sz="0" w:space="0" w:color="auto"/>
        <w:left w:val="none" w:sz="0" w:space="0" w:color="auto"/>
        <w:bottom w:val="none" w:sz="0" w:space="0" w:color="auto"/>
        <w:right w:val="none" w:sz="0" w:space="0" w:color="auto"/>
      </w:divBdr>
    </w:div>
    <w:div w:id="349138541">
      <w:bodyDiv w:val="1"/>
      <w:marLeft w:val="0"/>
      <w:marRight w:val="0"/>
      <w:marTop w:val="0"/>
      <w:marBottom w:val="0"/>
      <w:divBdr>
        <w:top w:val="none" w:sz="0" w:space="0" w:color="auto"/>
        <w:left w:val="none" w:sz="0" w:space="0" w:color="auto"/>
        <w:bottom w:val="none" w:sz="0" w:space="0" w:color="auto"/>
        <w:right w:val="none" w:sz="0" w:space="0" w:color="auto"/>
      </w:divBdr>
    </w:div>
    <w:div w:id="350030211">
      <w:bodyDiv w:val="1"/>
      <w:marLeft w:val="0"/>
      <w:marRight w:val="0"/>
      <w:marTop w:val="0"/>
      <w:marBottom w:val="0"/>
      <w:divBdr>
        <w:top w:val="none" w:sz="0" w:space="0" w:color="auto"/>
        <w:left w:val="none" w:sz="0" w:space="0" w:color="auto"/>
        <w:bottom w:val="none" w:sz="0" w:space="0" w:color="auto"/>
        <w:right w:val="none" w:sz="0" w:space="0" w:color="auto"/>
      </w:divBdr>
    </w:div>
    <w:div w:id="350228983">
      <w:bodyDiv w:val="1"/>
      <w:marLeft w:val="0"/>
      <w:marRight w:val="0"/>
      <w:marTop w:val="0"/>
      <w:marBottom w:val="0"/>
      <w:divBdr>
        <w:top w:val="none" w:sz="0" w:space="0" w:color="auto"/>
        <w:left w:val="none" w:sz="0" w:space="0" w:color="auto"/>
        <w:bottom w:val="none" w:sz="0" w:space="0" w:color="auto"/>
        <w:right w:val="none" w:sz="0" w:space="0" w:color="auto"/>
      </w:divBdr>
    </w:div>
    <w:div w:id="350500027">
      <w:bodyDiv w:val="1"/>
      <w:marLeft w:val="0"/>
      <w:marRight w:val="0"/>
      <w:marTop w:val="0"/>
      <w:marBottom w:val="0"/>
      <w:divBdr>
        <w:top w:val="none" w:sz="0" w:space="0" w:color="auto"/>
        <w:left w:val="none" w:sz="0" w:space="0" w:color="auto"/>
        <w:bottom w:val="none" w:sz="0" w:space="0" w:color="auto"/>
        <w:right w:val="none" w:sz="0" w:space="0" w:color="auto"/>
      </w:divBdr>
    </w:div>
    <w:div w:id="350961813">
      <w:bodyDiv w:val="1"/>
      <w:marLeft w:val="0"/>
      <w:marRight w:val="0"/>
      <w:marTop w:val="0"/>
      <w:marBottom w:val="0"/>
      <w:divBdr>
        <w:top w:val="none" w:sz="0" w:space="0" w:color="auto"/>
        <w:left w:val="none" w:sz="0" w:space="0" w:color="auto"/>
        <w:bottom w:val="none" w:sz="0" w:space="0" w:color="auto"/>
        <w:right w:val="none" w:sz="0" w:space="0" w:color="auto"/>
      </w:divBdr>
    </w:div>
    <w:div w:id="351418748">
      <w:bodyDiv w:val="1"/>
      <w:marLeft w:val="0"/>
      <w:marRight w:val="0"/>
      <w:marTop w:val="0"/>
      <w:marBottom w:val="0"/>
      <w:divBdr>
        <w:top w:val="none" w:sz="0" w:space="0" w:color="auto"/>
        <w:left w:val="none" w:sz="0" w:space="0" w:color="auto"/>
        <w:bottom w:val="none" w:sz="0" w:space="0" w:color="auto"/>
        <w:right w:val="none" w:sz="0" w:space="0" w:color="auto"/>
      </w:divBdr>
    </w:div>
    <w:div w:id="351687665">
      <w:bodyDiv w:val="1"/>
      <w:marLeft w:val="0"/>
      <w:marRight w:val="0"/>
      <w:marTop w:val="0"/>
      <w:marBottom w:val="0"/>
      <w:divBdr>
        <w:top w:val="none" w:sz="0" w:space="0" w:color="auto"/>
        <w:left w:val="none" w:sz="0" w:space="0" w:color="auto"/>
        <w:bottom w:val="none" w:sz="0" w:space="0" w:color="auto"/>
        <w:right w:val="none" w:sz="0" w:space="0" w:color="auto"/>
      </w:divBdr>
    </w:div>
    <w:div w:id="351952339">
      <w:bodyDiv w:val="1"/>
      <w:marLeft w:val="0"/>
      <w:marRight w:val="0"/>
      <w:marTop w:val="0"/>
      <w:marBottom w:val="0"/>
      <w:divBdr>
        <w:top w:val="none" w:sz="0" w:space="0" w:color="auto"/>
        <w:left w:val="none" w:sz="0" w:space="0" w:color="auto"/>
        <w:bottom w:val="none" w:sz="0" w:space="0" w:color="auto"/>
        <w:right w:val="none" w:sz="0" w:space="0" w:color="auto"/>
      </w:divBdr>
    </w:div>
    <w:div w:id="352339404">
      <w:bodyDiv w:val="1"/>
      <w:marLeft w:val="0"/>
      <w:marRight w:val="0"/>
      <w:marTop w:val="0"/>
      <w:marBottom w:val="0"/>
      <w:divBdr>
        <w:top w:val="none" w:sz="0" w:space="0" w:color="auto"/>
        <w:left w:val="none" w:sz="0" w:space="0" w:color="auto"/>
        <w:bottom w:val="none" w:sz="0" w:space="0" w:color="auto"/>
        <w:right w:val="none" w:sz="0" w:space="0" w:color="auto"/>
      </w:divBdr>
    </w:div>
    <w:div w:id="353385147">
      <w:bodyDiv w:val="1"/>
      <w:marLeft w:val="0"/>
      <w:marRight w:val="0"/>
      <w:marTop w:val="0"/>
      <w:marBottom w:val="0"/>
      <w:divBdr>
        <w:top w:val="none" w:sz="0" w:space="0" w:color="auto"/>
        <w:left w:val="none" w:sz="0" w:space="0" w:color="auto"/>
        <w:bottom w:val="none" w:sz="0" w:space="0" w:color="auto"/>
        <w:right w:val="none" w:sz="0" w:space="0" w:color="auto"/>
      </w:divBdr>
    </w:div>
    <w:div w:id="353507524">
      <w:bodyDiv w:val="1"/>
      <w:marLeft w:val="0"/>
      <w:marRight w:val="0"/>
      <w:marTop w:val="0"/>
      <w:marBottom w:val="0"/>
      <w:divBdr>
        <w:top w:val="none" w:sz="0" w:space="0" w:color="auto"/>
        <w:left w:val="none" w:sz="0" w:space="0" w:color="auto"/>
        <w:bottom w:val="none" w:sz="0" w:space="0" w:color="auto"/>
        <w:right w:val="none" w:sz="0" w:space="0" w:color="auto"/>
      </w:divBdr>
    </w:div>
    <w:div w:id="353650677">
      <w:bodyDiv w:val="1"/>
      <w:marLeft w:val="0"/>
      <w:marRight w:val="0"/>
      <w:marTop w:val="0"/>
      <w:marBottom w:val="0"/>
      <w:divBdr>
        <w:top w:val="none" w:sz="0" w:space="0" w:color="auto"/>
        <w:left w:val="none" w:sz="0" w:space="0" w:color="auto"/>
        <w:bottom w:val="none" w:sz="0" w:space="0" w:color="auto"/>
        <w:right w:val="none" w:sz="0" w:space="0" w:color="auto"/>
      </w:divBdr>
    </w:div>
    <w:div w:id="353846803">
      <w:bodyDiv w:val="1"/>
      <w:marLeft w:val="0"/>
      <w:marRight w:val="0"/>
      <w:marTop w:val="0"/>
      <w:marBottom w:val="0"/>
      <w:divBdr>
        <w:top w:val="none" w:sz="0" w:space="0" w:color="auto"/>
        <w:left w:val="none" w:sz="0" w:space="0" w:color="auto"/>
        <w:bottom w:val="none" w:sz="0" w:space="0" w:color="auto"/>
        <w:right w:val="none" w:sz="0" w:space="0" w:color="auto"/>
      </w:divBdr>
    </w:div>
    <w:div w:id="354044785">
      <w:bodyDiv w:val="1"/>
      <w:marLeft w:val="0"/>
      <w:marRight w:val="0"/>
      <w:marTop w:val="0"/>
      <w:marBottom w:val="0"/>
      <w:divBdr>
        <w:top w:val="none" w:sz="0" w:space="0" w:color="auto"/>
        <w:left w:val="none" w:sz="0" w:space="0" w:color="auto"/>
        <w:bottom w:val="none" w:sz="0" w:space="0" w:color="auto"/>
        <w:right w:val="none" w:sz="0" w:space="0" w:color="auto"/>
      </w:divBdr>
    </w:div>
    <w:div w:id="354310505">
      <w:bodyDiv w:val="1"/>
      <w:marLeft w:val="0"/>
      <w:marRight w:val="0"/>
      <w:marTop w:val="0"/>
      <w:marBottom w:val="0"/>
      <w:divBdr>
        <w:top w:val="none" w:sz="0" w:space="0" w:color="auto"/>
        <w:left w:val="none" w:sz="0" w:space="0" w:color="auto"/>
        <w:bottom w:val="none" w:sz="0" w:space="0" w:color="auto"/>
        <w:right w:val="none" w:sz="0" w:space="0" w:color="auto"/>
      </w:divBdr>
    </w:div>
    <w:div w:id="354312416">
      <w:bodyDiv w:val="1"/>
      <w:marLeft w:val="0"/>
      <w:marRight w:val="0"/>
      <w:marTop w:val="0"/>
      <w:marBottom w:val="0"/>
      <w:divBdr>
        <w:top w:val="none" w:sz="0" w:space="0" w:color="auto"/>
        <w:left w:val="none" w:sz="0" w:space="0" w:color="auto"/>
        <w:bottom w:val="none" w:sz="0" w:space="0" w:color="auto"/>
        <w:right w:val="none" w:sz="0" w:space="0" w:color="auto"/>
      </w:divBdr>
    </w:div>
    <w:div w:id="354773408">
      <w:bodyDiv w:val="1"/>
      <w:marLeft w:val="0"/>
      <w:marRight w:val="0"/>
      <w:marTop w:val="0"/>
      <w:marBottom w:val="0"/>
      <w:divBdr>
        <w:top w:val="none" w:sz="0" w:space="0" w:color="auto"/>
        <w:left w:val="none" w:sz="0" w:space="0" w:color="auto"/>
        <w:bottom w:val="none" w:sz="0" w:space="0" w:color="auto"/>
        <w:right w:val="none" w:sz="0" w:space="0" w:color="auto"/>
      </w:divBdr>
    </w:div>
    <w:div w:id="354960510">
      <w:bodyDiv w:val="1"/>
      <w:marLeft w:val="0"/>
      <w:marRight w:val="0"/>
      <w:marTop w:val="0"/>
      <w:marBottom w:val="0"/>
      <w:divBdr>
        <w:top w:val="none" w:sz="0" w:space="0" w:color="auto"/>
        <w:left w:val="none" w:sz="0" w:space="0" w:color="auto"/>
        <w:bottom w:val="none" w:sz="0" w:space="0" w:color="auto"/>
        <w:right w:val="none" w:sz="0" w:space="0" w:color="auto"/>
      </w:divBdr>
    </w:div>
    <w:div w:id="355619770">
      <w:bodyDiv w:val="1"/>
      <w:marLeft w:val="0"/>
      <w:marRight w:val="0"/>
      <w:marTop w:val="0"/>
      <w:marBottom w:val="0"/>
      <w:divBdr>
        <w:top w:val="none" w:sz="0" w:space="0" w:color="auto"/>
        <w:left w:val="none" w:sz="0" w:space="0" w:color="auto"/>
        <w:bottom w:val="none" w:sz="0" w:space="0" w:color="auto"/>
        <w:right w:val="none" w:sz="0" w:space="0" w:color="auto"/>
      </w:divBdr>
    </w:div>
    <w:div w:id="355933183">
      <w:bodyDiv w:val="1"/>
      <w:marLeft w:val="0"/>
      <w:marRight w:val="0"/>
      <w:marTop w:val="0"/>
      <w:marBottom w:val="0"/>
      <w:divBdr>
        <w:top w:val="none" w:sz="0" w:space="0" w:color="auto"/>
        <w:left w:val="none" w:sz="0" w:space="0" w:color="auto"/>
        <w:bottom w:val="none" w:sz="0" w:space="0" w:color="auto"/>
        <w:right w:val="none" w:sz="0" w:space="0" w:color="auto"/>
      </w:divBdr>
    </w:div>
    <w:div w:id="356278222">
      <w:bodyDiv w:val="1"/>
      <w:marLeft w:val="0"/>
      <w:marRight w:val="0"/>
      <w:marTop w:val="0"/>
      <w:marBottom w:val="0"/>
      <w:divBdr>
        <w:top w:val="none" w:sz="0" w:space="0" w:color="auto"/>
        <w:left w:val="none" w:sz="0" w:space="0" w:color="auto"/>
        <w:bottom w:val="none" w:sz="0" w:space="0" w:color="auto"/>
        <w:right w:val="none" w:sz="0" w:space="0" w:color="auto"/>
      </w:divBdr>
    </w:div>
    <w:div w:id="356660682">
      <w:bodyDiv w:val="1"/>
      <w:marLeft w:val="0"/>
      <w:marRight w:val="0"/>
      <w:marTop w:val="0"/>
      <w:marBottom w:val="0"/>
      <w:divBdr>
        <w:top w:val="none" w:sz="0" w:space="0" w:color="auto"/>
        <w:left w:val="none" w:sz="0" w:space="0" w:color="auto"/>
        <w:bottom w:val="none" w:sz="0" w:space="0" w:color="auto"/>
        <w:right w:val="none" w:sz="0" w:space="0" w:color="auto"/>
      </w:divBdr>
    </w:div>
    <w:div w:id="356740720">
      <w:bodyDiv w:val="1"/>
      <w:marLeft w:val="0"/>
      <w:marRight w:val="0"/>
      <w:marTop w:val="0"/>
      <w:marBottom w:val="0"/>
      <w:divBdr>
        <w:top w:val="none" w:sz="0" w:space="0" w:color="auto"/>
        <w:left w:val="none" w:sz="0" w:space="0" w:color="auto"/>
        <w:bottom w:val="none" w:sz="0" w:space="0" w:color="auto"/>
        <w:right w:val="none" w:sz="0" w:space="0" w:color="auto"/>
      </w:divBdr>
    </w:div>
    <w:div w:id="357513122">
      <w:bodyDiv w:val="1"/>
      <w:marLeft w:val="0"/>
      <w:marRight w:val="0"/>
      <w:marTop w:val="0"/>
      <w:marBottom w:val="0"/>
      <w:divBdr>
        <w:top w:val="none" w:sz="0" w:space="0" w:color="auto"/>
        <w:left w:val="none" w:sz="0" w:space="0" w:color="auto"/>
        <w:bottom w:val="none" w:sz="0" w:space="0" w:color="auto"/>
        <w:right w:val="none" w:sz="0" w:space="0" w:color="auto"/>
      </w:divBdr>
    </w:div>
    <w:div w:id="357779862">
      <w:bodyDiv w:val="1"/>
      <w:marLeft w:val="0"/>
      <w:marRight w:val="0"/>
      <w:marTop w:val="0"/>
      <w:marBottom w:val="0"/>
      <w:divBdr>
        <w:top w:val="none" w:sz="0" w:space="0" w:color="auto"/>
        <w:left w:val="none" w:sz="0" w:space="0" w:color="auto"/>
        <w:bottom w:val="none" w:sz="0" w:space="0" w:color="auto"/>
        <w:right w:val="none" w:sz="0" w:space="0" w:color="auto"/>
      </w:divBdr>
    </w:div>
    <w:div w:id="357974385">
      <w:bodyDiv w:val="1"/>
      <w:marLeft w:val="0"/>
      <w:marRight w:val="0"/>
      <w:marTop w:val="0"/>
      <w:marBottom w:val="0"/>
      <w:divBdr>
        <w:top w:val="none" w:sz="0" w:space="0" w:color="auto"/>
        <w:left w:val="none" w:sz="0" w:space="0" w:color="auto"/>
        <w:bottom w:val="none" w:sz="0" w:space="0" w:color="auto"/>
        <w:right w:val="none" w:sz="0" w:space="0" w:color="auto"/>
      </w:divBdr>
    </w:div>
    <w:div w:id="358043646">
      <w:bodyDiv w:val="1"/>
      <w:marLeft w:val="0"/>
      <w:marRight w:val="0"/>
      <w:marTop w:val="0"/>
      <w:marBottom w:val="0"/>
      <w:divBdr>
        <w:top w:val="none" w:sz="0" w:space="0" w:color="auto"/>
        <w:left w:val="none" w:sz="0" w:space="0" w:color="auto"/>
        <w:bottom w:val="none" w:sz="0" w:space="0" w:color="auto"/>
        <w:right w:val="none" w:sz="0" w:space="0" w:color="auto"/>
      </w:divBdr>
    </w:div>
    <w:div w:id="358430361">
      <w:bodyDiv w:val="1"/>
      <w:marLeft w:val="0"/>
      <w:marRight w:val="0"/>
      <w:marTop w:val="0"/>
      <w:marBottom w:val="0"/>
      <w:divBdr>
        <w:top w:val="none" w:sz="0" w:space="0" w:color="auto"/>
        <w:left w:val="none" w:sz="0" w:space="0" w:color="auto"/>
        <w:bottom w:val="none" w:sz="0" w:space="0" w:color="auto"/>
        <w:right w:val="none" w:sz="0" w:space="0" w:color="auto"/>
      </w:divBdr>
    </w:div>
    <w:div w:id="359015003">
      <w:bodyDiv w:val="1"/>
      <w:marLeft w:val="0"/>
      <w:marRight w:val="0"/>
      <w:marTop w:val="0"/>
      <w:marBottom w:val="0"/>
      <w:divBdr>
        <w:top w:val="none" w:sz="0" w:space="0" w:color="auto"/>
        <w:left w:val="none" w:sz="0" w:space="0" w:color="auto"/>
        <w:bottom w:val="none" w:sz="0" w:space="0" w:color="auto"/>
        <w:right w:val="none" w:sz="0" w:space="0" w:color="auto"/>
      </w:divBdr>
    </w:div>
    <w:div w:id="359359598">
      <w:bodyDiv w:val="1"/>
      <w:marLeft w:val="0"/>
      <w:marRight w:val="0"/>
      <w:marTop w:val="0"/>
      <w:marBottom w:val="0"/>
      <w:divBdr>
        <w:top w:val="none" w:sz="0" w:space="0" w:color="auto"/>
        <w:left w:val="none" w:sz="0" w:space="0" w:color="auto"/>
        <w:bottom w:val="none" w:sz="0" w:space="0" w:color="auto"/>
        <w:right w:val="none" w:sz="0" w:space="0" w:color="auto"/>
      </w:divBdr>
    </w:div>
    <w:div w:id="359671909">
      <w:bodyDiv w:val="1"/>
      <w:marLeft w:val="0"/>
      <w:marRight w:val="0"/>
      <w:marTop w:val="0"/>
      <w:marBottom w:val="0"/>
      <w:divBdr>
        <w:top w:val="none" w:sz="0" w:space="0" w:color="auto"/>
        <w:left w:val="none" w:sz="0" w:space="0" w:color="auto"/>
        <w:bottom w:val="none" w:sz="0" w:space="0" w:color="auto"/>
        <w:right w:val="none" w:sz="0" w:space="0" w:color="auto"/>
      </w:divBdr>
    </w:div>
    <w:div w:id="360325326">
      <w:bodyDiv w:val="1"/>
      <w:marLeft w:val="0"/>
      <w:marRight w:val="0"/>
      <w:marTop w:val="0"/>
      <w:marBottom w:val="0"/>
      <w:divBdr>
        <w:top w:val="none" w:sz="0" w:space="0" w:color="auto"/>
        <w:left w:val="none" w:sz="0" w:space="0" w:color="auto"/>
        <w:bottom w:val="none" w:sz="0" w:space="0" w:color="auto"/>
        <w:right w:val="none" w:sz="0" w:space="0" w:color="auto"/>
      </w:divBdr>
    </w:div>
    <w:div w:id="360521649">
      <w:bodyDiv w:val="1"/>
      <w:marLeft w:val="0"/>
      <w:marRight w:val="0"/>
      <w:marTop w:val="0"/>
      <w:marBottom w:val="0"/>
      <w:divBdr>
        <w:top w:val="none" w:sz="0" w:space="0" w:color="auto"/>
        <w:left w:val="none" w:sz="0" w:space="0" w:color="auto"/>
        <w:bottom w:val="none" w:sz="0" w:space="0" w:color="auto"/>
        <w:right w:val="none" w:sz="0" w:space="0" w:color="auto"/>
      </w:divBdr>
    </w:div>
    <w:div w:id="361320672">
      <w:bodyDiv w:val="1"/>
      <w:marLeft w:val="0"/>
      <w:marRight w:val="0"/>
      <w:marTop w:val="0"/>
      <w:marBottom w:val="0"/>
      <w:divBdr>
        <w:top w:val="none" w:sz="0" w:space="0" w:color="auto"/>
        <w:left w:val="none" w:sz="0" w:space="0" w:color="auto"/>
        <w:bottom w:val="none" w:sz="0" w:space="0" w:color="auto"/>
        <w:right w:val="none" w:sz="0" w:space="0" w:color="auto"/>
      </w:divBdr>
    </w:div>
    <w:div w:id="362484215">
      <w:bodyDiv w:val="1"/>
      <w:marLeft w:val="0"/>
      <w:marRight w:val="0"/>
      <w:marTop w:val="0"/>
      <w:marBottom w:val="0"/>
      <w:divBdr>
        <w:top w:val="none" w:sz="0" w:space="0" w:color="auto"/>
        <w:left w:val="none" w:sz="0" w:space="0" w:color="auto"/>
        <w:bottom w:val="none" w:sz="0" w:space="0" w:color="auto"/>
        <w:right w:val="none" w:sz="0" w:space="0" w:color="auto"/>
      </w:divBdr>
    </w:div>
    <w:div w:id="363286383">
      <w:bodyDiv w:val="1"/>
      <w:marLeft w:val="0"/>
      <w:marRight w:val="0"/>
      <w:marTop w:val="0"/>
      <w:marBottom w:val="0"/>
      <w:divBdr>
        <w:top w:val="none" w:sz="0" w:space="0" w:color="auto"/>
        <w:left w:val="none" w:sz="0" w:space="0" w:color="auto"/>
        <w:bottom w:val="none" w:sz="0" w:space="0" w:color="auto"/>
        <w:right w:val="none" w:sz="0" w:space="0" w:color="auto"/>
      </w:divBdr>
    </w:div>
    <w:div w:id="363294264">
      <w:bodyDiv w:val="1"/>
      <w:marLeft w:val="0"/>
      <w:marRight w:val="0"/>
      <w:marTop w:val="0"/>
      <w:marBottom w:val="0"/>
      <w:divBdr>
        <w:top w:val="none" w:sz="0" w:space="0" w:color="auto"/>
        <w:left w:val="none" w:sz="0" w:space="0" w:color="auto"/>
        <w:bottom w:val="none" w:sz="0" w:space="0" w:color="auto"/>
        <w:right w:val="none" w:sz="0" w:space="0" w:color="auto"/>
      </w:divBdr>
    </w:div>
    <w:div w:id="363411271">
      <w:bodyDiv w:val="1"/>
      <w:marLeft w:val="0"/>
      <w:marRight w:val="0"/>
      <w:marTop w:val="0"/>
      <w:marBottom w:val="0"/>
      <w:divBdr>
        <w:top w:val="none" w:sz="0" w:space="0" w:color="auto"/>
        <w:left w:val="none" w:sz="0" w:space="0" w:color="auto"/>
        <w:bottom w:val="none" w:sz="0" w:space="0" w:color="auto"/>
        <w:right w:val="none" w:sz="0" w:space="0" w:color="auto"/>
      </w:divBdr>
    </w:div>
    <w:div w:id="363479727">
      <w:bodyDiv w:val="1"/>
      <w:marLeft w:val="0"/>
      <w:marRight w:val="0"/>
      <w:marTop w:val="0"/>
      <w:marBottom w:val="0"/>
      <w:divBdr>
        <w:top w:val="none" w:sz="0" w:space="0" w:color="auto"/>
        <w:left w:val="none" w:sz="0" w:space="0" w:color="auto"/>
        <w:bottom w:val="none" w:sz="0" w:space="0" w:color="auto"/>
        <w:right w:val="none" w:sz="0" w:space="0" w:color="auto"/>
      </w:divBdr>
    </w:div>
    <w:div w:id="363484008">
      <w:bodyDiv w:val="1"/>
      <w:marLeft w:val="0"/>
      <w:marRight w:val="0"/>
      <w:marTop w:val="0"/>
      <w:marBottom w:val="0"/>
      <w:divBdr>
        <w:top w:val="none" w:sz="0" w:space="0" w:color="auto"/>
        <w:left w:val="none" w:sz="0" w:space="0" w:color="auto"/>
        <w:bottom w:val="none" w:sz="0" w:space="0" w:color="auto"/>
        <w:right w:val="none" w:sz="0" w:space="0" w:color="auto"/>
      </w:divBdr>
    </w:div>
    <w:div w:id="363553465">
      <w:bodyDiv w:val="1"/>
      <w:marLeft w:val="0"/>
      <w:marRight w:val="0"/>
      <w:marTop w:val="0"/>
      <w:marBottom w:val="0"/>
      <w:divBdr>
        <w:top w:val="none" w:sz="0" w:space="0" w:color="auto"/>
        <w:left w:val="none" w:sz="0" w:space="0" w:color="auto"/>
        <w:bottom w:val="none" w:sz="0" w:space="0" w:color="auto"/>
        <w:right w:val="none" w:sz="0" w:space="0" w:color="auto"/>
      </w:divBdr>
    </w:div>
    <w:div w:id="363555747">
      <w:bodyDiv w:val="1"/>
      <w:marLeft w:val="0"/>
      <w:marRight w:val="0"/>
      <w:marTop w:val="0"/>
      <w:marBottom w:val="0"/>
      <w:divBdr>
        <w:top w:val="none" w:sz="0" w:space="0" w:color="auto"/>
        <w:left w:val="none" w:sz="0" w:space="0" w:color="auto"/>
        <w:bottom w:val="none" w:sz="0" w:space="0" w:color="auto"/>
        <w:right w:val="none" w:sz="0" w:space="0" w:color="auto"/>
      </w:divBdr>
    </w:div>
    <w:div w:id="363746944">
      <w:bodyDiv w:val="1"/>
      <w:marLeft w:val="0"/>
      <w:marRight w:val="0"/>
      <w:marTop w:val="0"/>
      <w:marBottom w:val="0"/>
      <w:divBdr>
        <w:top w:val="none" w:sz="0" w:space="0" w:color="auto"/>
        <w:left w:val="none" w:sz="0" w:space="0" w:color="auto"/>
        <w:bottom w:val="none" w:sz="0" w:space="0" w:color="auto"/>
        <w:right w:val="none" w:sz="0" w:space="0" w:color="auto"/>
      </w:divBdr>
    </w:div>
    <w:div w:id="366099180">
      <w:bodyDiv w:val="1"/>
      <w:marLeft w:val="0"/>
      <w:marRight w:val="0"/>
      <w:marTop w:val="0"/>
      <w:marBottom w:val="0"/>
      <w:divBdr>
        <w:top w:val="none" w:sz="0" w:space="0" w:color="auto"/>
        <w:left w:val="none" w:sz="0" w:space="0" w:color="auto"/>
        <w:bottom w:val="none" w:sz="0" w:space="0" w:color="auto"/>
        <w:right w:val="none" w:sz="0" w:space="0" w:color="auto"/>
      </w:divBdr>
    </w:div>
    <w:div w:id="366368476">
      <w:bodyDiv w:val="1"/>
      <w:marLeft w:val="0"/>
      <w:marRight w:val="0"/>
      <w:marTop w:val="0"/>
      <w:marBottom w:val="0"/>
      <w:divBdr>
        <w:top w:val="none" w:sz="0" w:space="0" w:color="auto"/>
        <w:left w:val="none" w:sz="0" w:space="0" w:color="auto"/>
        <w:bottom w:val="none" w:sz="0" w:space="0" w:color="auto"/>
        <w:right w:val="none" w:sz="0" w:space="0" w:color="auto"/>
      </w:divBdr>
    </w:div>
    <w:div w:id="366370657">
      <w:bodyDiv w:val="1"/>
      <w:marLeft w:val="0"/>
      <w:marRight w:val="0"/>
      <w:marTop w:val="0"/>
      <w:marBottom w:val="0"/>
      <w:divBdr>
        <w:top w:val="none" w:sz="0" w:space="0" w:color="auto"/>
        <w:left w:val="none" w:sz="0" w:space="0" w:color="auto"/>
        <w:bottom w:val="none" w:sz="0" w:space="0" w:color="auto"/>
        <w:right w:val="none" w:sz="0" w:space="0" w:color="auto"/>
      </w:divBdr>
    </w:div>
    <w:div w:id="366640671">
      <w:bodyDiv w:val="1"/>
      <w:marLeft w:val="0"/>
      <w:marRight w:val="0"/>
      <w:marTop w:val="0"/>
      <w:marBottom w:val="0"/>
      <w:divBdr>
        <w:top w:val="none" w:sz="0" w:space="0" w:color="auto"/>
        <w:left w:val="none" w:sz="0" w:space="0" w:color="auto"/>
        <w:bottom w:val="none" w:sz="0" w:space="0" w:color="auto"/>
        <w:right w:val="none" w:sz="0" w:space="0" w:color="auto"/>
      </w:divBdr>
    </w:div>
    <w:div w:id="366683665">
      <w:bodyDiv w:val="1"/>
      <w:marLeft w:val="0"/>
      <w:marRight w:val="0"/>
      <w:marTop w:val="0"/>
      <w:marBottom w:val="0"/>
      <w:divBdr>
        <w:top w:val="none" w:sz="0" w:space="0" w:color="auto"/>
        <w:left w:val="none" w:sz="0" w:space="0" w:color="auto"/>
        <w:bottom w:val="none" w:sz="0" w:space="0" w:color="auto"/>
        <w:right w:val="none" w:sz="0" w:space="0" w:color="auto"/>
      </w:divBdr>
    </w:div>
    <w:div w:id="367491671">
      <w:bodyDiv w:val="1"/>
      <w:marLeft w:val="0"/>
      <w:marRight w:val="0"/>
      <w:marTop w:val="0"/>
      <w:marBottom w:val="0"/>
      <w:divBdr>
        <w:top w:val="none" w:sz="0" w:space="0" w:color="auto"/>
        <w:left w:val="none" w:sz="0" w:space="0" w:color="auto"/>
        <w:bottom w:val="none" w:sz="0" w:space="0" w:color="auto"/>
        <w:right w:val="none" w:sz="0" w:space="0" w:color="auto"/>
      </w:divBdr>
    </w:div>
    <w:div w:id="367999424">
      <w:bodyDiv w:val="1"/>
      <w:marLeft w:val="0"/>
      <w:marRight w:val="0"/>
      <w:marTop w:val="0"/>
      <w:marBottom w:val="0"/>
      <w:divBdr>
        <w:top w:val="none" w:sz="0" w:space="0" w:color="auto"/>
        <w:left w:val="none" w:sz="0" w:space="0" w:color="auto"/>
        <w:bottom w:val="none" w:sz="0" w:space="0" w:color="auto"/>
        <w:right w:val="none" w:sz="0" w:space="0" w:color="auto"/>
      </w:divBdr>
    </w:div>
    <w:div w:id="368841786">
      <w:bodyDiv w:val="1"/>
      <w:marLeft w:val="0"/>
      <w:marRight w:val="0"/>
      <w:marTop w:val="0"/>
      <w:marBottom w:val="0"/>
      <w:divBdr>
        <w:top w:val="none" w:sz="0" w:space="0" w:color="auto"/>
        <w:left w:val="none" w:sz="0" w:space="0" w:color="auto"/>
        <w:bottom w:val="none" w:sz="0" w:space="0" w:color="auto"/>
        <w:right w:val="none" w:sz="0" w:space="0" w:color="auto"/>
      </w:divBdr>
    </w:div>
    <w:div w:id="369116085">
      <w:bodyDiv w:val="1"/>
      <w:marLeft w:val="0"/>
      <w:marRight w:val="0"/>
      <w:marTop w:val="0"/>
      <w:marBottom w:val="0"/>
      <w:divBdr>
        <w:top w:val="none" w:sz="0" w:space="0" w:color="auto"/>
        <w:left w:val="none" w:sz="0" w:space="0" w:color="auto"/>
        <w:bottom w:val="none" w:sz="0" w:space="0" w:color="auto"/>
        <w:right w:val="none" w:sz="0" w:space="0" w:color="auto"/>
      </w:divBdr>
    </w:div>
    <w:div w:id="369458037">
      <w:bodyDiv w:val="1"/>
      <w:marLeft w:val="0"/>
      <w:marRight w:val="0"/>
      <w:marTop w:val="0"/>
      <w:marBottom w:val="0"/>
      <w:divBdr>
        <w:top w:val="none" w:sz="0" w:space="0" w:color="auto"/>
        <w:left w:val="none" w:sz="0" w:space="0" w:color="auto"/>
        <w:bottom w:val="none" w:sz="0" w:space="0" w:color="auto"/>
        <w:right w:val="none" w:sz="0" w:space="0" w:color="auto"/>
      </w:divBdr>
    </w:div>
    <w:div w:id="369571681">
      <w:bodyDiv w:val="1"/>
      <w:marLeft w:val="0"/>
      <w:marRight w:val="0"/>
      <w:marTop w:val="0"/>
      <w:marBottom w:val="0"/>
      <w:divBdr>
        <w:top w:val="none" w:sz="0" w:space="0" w:color="auto"/>
        <w:left w:val="none" w:sz="0" w:space="0" w:color="auto"/>
        <w:bottom w:val="none" w:sz="0" w:space="0" w:color="auto"/>
        <w:right w:val="none" w:sz="0" w:space="0" w:color="auto"/>
      </w:divBdr>
    </w:div>
    <w:div w:id="369766348">
      <w:bodyDiv w:val="1"/>
      <w:marLeft w:val="0"/>
      <w:marRight w:val="0"/>
      <w:marTop w:val="0"/>
      <w:marBottom w:val="0"/>
      <w:divBdr>
        <w:top w:val="none" w:sz="0" w:space="0" w:color="auto"/>
        <w:left w:val="none" w:sz="0" w:space="0" w:color="auto"/>
        <w:bottom w:val="none" w:sz="0" w:space="0" w:color="auto"/>
        <w:right w:val="none" w:sz="0" w:space="0" w:color="auto"/>
      </w:divBdr>
    </w:div>
    <w:div w:id="369913668">
      <w:bodyDiv w:val="1"/>
      <w:marLeft w:val="0"/>
      <w:marRight w:val="0"/>
      <w:marTop w:val="0"/>
      <w:marBottom w:val="0"/>
      <w:divBdr>
        <w:top w:val="none" w:sz="0" w:space="0" w:color="auto"/>
        <w:left w:val="none" w:sz="0" w:space="0" w:color="auto"/>
        <w:bottom w:val="none" w:sz="0" w:space="0" w:color="auto"/>
        <w:right w:val="none" w:sz="0" w:space="0" w:color="auto"/>
      </w:divBdr>
    </w:div>
    <w:div w:id="370037244">
      <w:bodyDiv w:val="1"/>
      <w:marLeft w:val="0"/>
      <w:marRight w:val="0"/>
      <w:marTop w:val="0"/>
      <w:marBottom w:val="0"/>
      <w:divBdr>
        <w:top w:val="none" w:sz="0" w:space="0" w:color="auto"/>
        <w:left w:val="none" w:sz="0" w:space="0" w:color="auto"/>
        <w:bottom w:val="none" w:sz="0" w:space="0" w:color="auto"/>
        <w:right w:val="none" w:sz="0" w:space="0" w:color="auto"/>
      </w:divBdr>
    </w:div>
    <w:div w:id="370154427">
      <w:bodyDiv w:val="1"/>
      <w:marLeft w:val="0"/>
      <w:marRight w:val="0"/>
      <w:marTop w:val="0"/>
      <w:marBottom w:val="0"/>
      <w:divBdr>
        <w:top w:val="none" w:sz="0" w:space="0" w:color="auto"/>
        <w:left w:val="none" w:sz="0" w:space="0" w:color="auto"/>
        <w:bottom w:val="none" w:sz="0" w:space="0" w:color="auto"/>
        <w:right w:val="none" w:sz="0" w:space="0" w:color="auto"/>
      </w:divBdr>
    </w:div>
    <w:div w:id="370962600">
      <w:bodyDiv w:val="1"/>
      <w:marLeft w:val="0"/>
      <w:marRight w:val="0"/>
      <w:marTop w:val="0"/>
      <w:marBottom w:val="0"/>
      <w:divBdr>
        <w:top w:val="none" w:sz="0" w:space="0" w:color="auto"/>
        <w:left w:val="none" w:sz="0" w:space="0" w:color="auto"/>
        <w:bottom w:val="none" w:sz="0" w:space="0" w:color="auto"/>
        <w:right w:val="none" w:sz="0" w:space="0" w:color="auto"/>
      </w:divBdr>
    </w:div>
    <w:div w:id="372120244">
      <w:bodyDiv w:val="1"/>
      <w:marLeft w:val="0"/>
      <w:marRight w:val="0"/>
      <w:marTop w:val="0"/>
      <w:marBottom w:val="0"/>
      <w:divBdr>
        <w:top w:val="none" w:sz="0" w:space="0" w:color="auto"/>
        <w:left w:val="none" w:sz="0" w:space="0" w:color="auto"/>
        <w:bottom w:val="none" w:sz="0" w:space="0" w:color="auto"/>
        <w:right w:val="none" w:sz="0" w:space="0" w:color="auto"/>
      </w:divBdr>
    </w:div>
    <w:div w:id="372197956">
      <w:bodyDiv w:val="1"/>
      <w:marLeft w:val="0"/>
      <w:marRight w:val="0"/>
      <w:marTop w:val="0"/>
      <w:marBottom w:val="0"/>
      <w:divBdr>
        <w:top w:val="none" w:sz="0" w:space="0" w:color="auto"/>
        <w:left w:val="none" w:sz="0" w:space="0" w:color="auto"/>
        <w:bottom w:val="none" w:sz="0" w:space="0" w:color="auto"/>
        <w:right w:val="none" w:sz="0" w:space="0" w:color="auto"/>
      </w:divBdr>
    </w:div>
    <w:div w:id="372388096">
      <w:bodyDiv w:val="1"/>
      <w:marLeft w:val="0"/>
      <w:marRight w:val="0"/>
      <w:marTop w:val="0"/>
      <w:marBottom w:val="0"/>
      <w:divBdr>
        <w:top w:val="none" w:sz="0" w:space="0" w:color="auto"/>
        <w:left w:val="none" w:sz="0" w:space="0" w:color="auto"/>
        <w:bottom w:val="none" w:sz="0" w:space="0" w:color="auto"/>
        <w:right w:val="none" w:sz="0" w:space="0" w:color="auto"/>
      </w:divBdr>
    </w:div>
    <w:div w:id="372733434">
      <w:bodyDiv w:val="1"/>
      <w:marLeft w:val="0"/>
      <w:marRight w:val="0"/>
      <w:marTop w:val="0"/>
      <w:marBottom w:val="0"/>
      <w:divBdr>
        <w:top w:val="none" w:sz="0" w:space="0" w:color="auto"/>
        <w:left w:val="none" w:sz="0" w:space="0" w:color="auto"/>
        <w:bottom w:val="none" w:sz="0" w:space="0" w:color="auto"/>
        <w:right w:val="none" w:sz="0" w:space="0" w:color="auto"/>
      </w:divBdr>
    </w:div>
    <w:div w:id="373122014">
      <w:bodyDiv w:val="1"/>
      <w:marLeft w:val="0"/>
      <w:marRight w:val="0"/>
      <w:marTop w:val="0"/>
      <w:marBottom w:val="0"/>
      <w:divBdr>
        <w:top w:val="none" w:sz="0" w:space="0" w:color="auto"/>
        <w:left w:val="none" w:sz="0" w:space="0" w:color="auto"/>
        <w:bottom w:val="none" w:sz="0" w:space="0" w:color="auto"/>
        <w:right w:val="none" w:sz="0" w:space="0" w:color="auto"/>
      </w:divBdr>
    </w:div>
    <w:div w:id="374231333">
      <w:bodyDiv w:val="1"/>
      <w:marLeft w:val="0"/>
      <w:marRight w:val="0"/>
      <w:marTop w:val="0"/>
      <w:marBottom w:val="0"/>
      <w:divBdr>
        <w:top w:val="none" w:sz="0" w:space="0" w:color="auto"/>
        <w:left w:val="none" w:sz="0" w:space="0" w:color="auto"/>
        <w:bottom w:val="none" w:sz="0" w:space="0" w:color="auto"/>
        <w:right w:val="none" w:sz="0" w:space="0" w:color="auto"/>
      </w:divBdr>
    </w:div>
    <w:div w:id="374232717">
      <w:bodyDiv w:val="1"/>
      <w:marLeft w:val="0"/>
      <w:marRight w:val="0"/>
      <w:marTop w:val="0"/>
      <w:marBottom w:val="0"/>
      <w:divBdr>
        <w:top w:val="none" w:sz="0" w:space="0" w:color="auto"/>
        <w:left w:val="none" w:sz="0" w:space="0" w:color="auto"/>
        <w:bottom w:val="none" w:sz="0" w:space="0" w:color="auto"/>
        <w:right w:val="none" w:sz="0" w:space="0" w:color="auto"/>
      </w:divBdr>
    </w:div>
    <w:div w:id="374280068">
      <w:bodyDiv w:val="1"/>
      <w:marLeft w:val="0"/>
      <w:marRight w:val="0"/>
      <w:marTop w:val="0"/>
      <w:marBottom w:val="0"/>
      <w:divBdr>
        <w:top w:val="none" w:sz="0" w:space="0" w:color="auto"/>
        <w:left w:val="none" w:sz="0" w:space="0" w:color="auto"/>
        <w:bottom w:val="none" w:sz="0" w:space="0" w:color="auto"/>
        <w:right w:val="none" w:sz="0" w:space="0" w:color="auto"/>
      </w:divBdr>
    </w:div>
    <w:div w:id="374427050">
      <w:bodyDiv w:val="1"/>
      <w:marLeft w:val="0"/>
      <w:marRight w:val="0"/>
      <w:marTop w:val="0"/>
      <w:marBottom w:val="0"/>
      <w:divBdr>
        <w:top w:val="none" w:sz="0" w:space="0" w:color="auto"/>
        <w:left w:val="none" w:sz="0" w:space="0" w:color="auto"/>
        <w:bottom w:val="none" w:sz="0" w:space="0" w:color="auto"/>
        <w:right w:val="none" w:sz="0" w:space="0" w:color="auto"/>
      </w:divBdr>
    </w:div>
    <w:div w:id="375348829">
      <w:bodyDiv w:val="1"/>
      <w:marLeft w:val="0"/>
      <w:marRight w:val="0"/>
      <w:marTop w:val="0"/>
      <w:marBottom w:val="0"/>
      <w:divBdr>
        <w:top w:val="none" w:sz="0" w:space="0" w:color="auto"/>
        <w:left w:val="none" w:sz="0" w:space="0" w:color="auto"/>
        <w:bottom w:val="none" w:sz="0" w:space="0" w:color="auto"/>
        <w:right w:val="none" w:sz="0" w:space="0" w:color="auto"/>
      </w:divBdr>
    </w:div>
    <w:div w:id="375392200">
      <w:bodyDiv w:val="1"/>
      <w:marLeft w:val="0"/>
      <w:marRight w:val="0"/>
      <w:marTop w:val="0"/>
      <w:marBottom w:val="0"/>
      <w:divBdr>
        <w:top w:val="none" w:sz="0" w:space="0" w:color="auto"/>
        <w:left w:val="none" w:sz="0" w:space="0" w:color="auto"/>
        <w:bottom w:val="none" w:sz="0" w:space="0" w:color="auto"/>
        <w:right w:val="none" w:sz="0" w:space="0" w:color="auto"/>
      </w:divBdr>
    </w:div>
    <w:div w:id="375397689">
      <w:bodyDiv w:val="1"/>
      <w:marLeft w:val="0"/>
      <w:marRight w:val="0"/>
      <w:marTop w:val="0"/>
      <w:marBottom w:val="0"/>
      <w:divBdr>
        <w:top w:val="none" w:sz="0" w:space="0" w:color="auto"/>
        <w:left w:val="none" w:sz="0" w:space="0" w:color="auto"/>
        <w:bottom w:val="none" w:sz="0" w:space="0" w:color="auto"/>
        <w:right w:val="none" w:sz="0" w:space="0" w:color="auto"/>
      </w:divBdr>
    </w:div>
    <w:div w:id="376206023">
      <w:bodyDiv w:val="1"/>
      <w:marLeft w:val="0"/>
      <w:marRight w:val="0"/>
      <w:marTop w:val="0"/>
      <w:marBottom w:val="0"/>
      <w:divBdr>
        <w:top w:val="none" w:sz="0" w:space="0" w:color="auto"/>
        <w:left w:val="none" w:sz="0" w:space="0" w:color="auto"/>
        <w:bottom w:val="none" w:sz="0" w:space="0" w:color="auto"/>
        <w:right w:val="none" w:sz="0" w:space="0" w:color="auto"/>
      </w:divBdr>
    </w:div>
    <w:div w:id="376465696">
      <w:bodyDiv w:val="1"/>
      <w:marLeft w:val="0"/>
      <w:marRight w:val="0"/>
      <w:marTop w:val="0"/>
      <w:marBottom w:val="0"/>
      <w:divBdr>
        <w:top w:val="none" w:sz="0" w:space="0" w:color="auto"/>
        <w:left w:val="none" w:sz="0" w:space="0" w:color="auto"/>
        <w:bottom w:val="none" w:sz="0" w:space="0" w:color="auto"/>
        <w:right w:val="none" w:sz="0" w:space="0" w:color="auto"/>
      </w:divBdr>
    </w:div>
    <w:div w:id="376585412">
      <w:bodyDiv w:val="1"/>
      <w:marLeft w:val="0"/>
      <w:marRight w:val="0"/>
      <w:marTop w:val="0"/>
      <w:marBottom w:val="0"/>
      <w:divBdr>
        <w:top w:val="none" w:sz="0" w:space="0" w:color="auto"/>
        <w:left w:val="none" w:sz="0" w:space="0" w:color="auto"/>
        <w:bottom w:val="none" w:sz="0" w:space="0" w:color="auto"/>
        <w:right w:val="none" w:sz="0" w:space="0" w:color="auto"/>
      </w:divBdr>
    </w:div>
    <w:div w:id="376900126">
      <w:bodyDiv w:val="1"/>
      <w:marLeft w:val="0"/>
      <w:marRight w:val="0"/>
      <w:marTop w:val="0"/>
      <w:marBottom w:val="0"/>
      <w:divBdr>
        <w:top w:val="none" w:sz="0" w:space="0" w:color="auto"/>
        <w:left w:val="none" w:sz="0" w:space="0" w:color="auto"/>
        <w:bottom w:val="none" w:sz="0" w:space="0" w:color="auto"/>
        <w:right w:val="none" w:sz="0" w:space="0" w:color="auto"/>
      </w:divBdr>
    </w:div>
    <w:div w:id="377900683">
      <w:bodyDiv w:val="1"/>
      <w:marLeft w:val="0"/>
      <w:marRight w:val="0"/>
      <w:marTop w:val="0"/>
      <w:marBottom w:val="0"/>
      <w:divBdr>
        <w:top w:val="none" w:sz="0" w:space="0" w:color="auto"/>
        <w:left w:val="none" w:sz="0" w:space="0" w:color="auto"/>
        <w:bottom w:val="none" w:sz="0" w:space="0" w:color="auto"/>
        <w:right w:val="none" w:sz="0" w:space="0" w:color="auto"/>
      </w:divBdr>
    </w:div>
    <w:div w:id="378552719">
      <w:bodyDiv w:val="1"/>
      <w:marLeft w:val="0"/>
      <w:marRight w:val="0"/>
      <w:marTop w:val="0"/>
      <w:marBottom w:val="0"/>
      <w:divBdr>
        <w:top w:val="none" w:sz="0" w:space="0" w:color="auto"/>
        <w:left w:val="none" w:sz="0" w:space="0" w:color="auto"/>
        <w:bottom w:val="none" w:sz="0" w:space="0" w:color="auto"/>
        <w:right w:val="none" w:sz="0" w:space="0" w:color="auto"/>
      </w:divBdr>
    </w:div>
    <w:div w:id="378628075">
      <w:bodyDiv w:val="1"/>
      <w:marLeft w:val="0"/>
      <w:marRight w:val="0"/>
      <w:marTop w:val="0"/>
      <w:marBottom w:val="0"/>
      <w:divBdr>
        <w:top w:val="none" w:sz="0" w:space="0" w:color="auto"/>
        <w:left w:val="none" w:sz="0" w:space="0" w:color="auto"/>
        <w:bottom w:val="none" w:sz="0" w:space="0" w:color="auto"/>
        <w:right w:val="none" w:sz="0" w:space="0" w:color="auto"/>
      </w:divBdr>
    </w:div>
    <w:div w:id="378670489">
      <w:bodyDiv w:val="1"/>
      <w:marLeft w:val="0"/>
      <w:marRight w:val="0"/>
      <w:marTop w:val="0"/>
      <w:marBottom w:val="0"/>
      <w:divBdr>
        <w:top w:val="none" w:sz="0" w:space="0" w:color="auto"/>
        <w:left w:val="none" w:sz="0" w:space="0" w:color="auto"/>
        <w:bottom w:val="none" w:sz="0" w:space="0" w:color="auto"/>
        <w:right w:val="none" w:sz="0" w:space="0" w:color="auto"/>
      </w:divBdr>
    </w:div>
    <w:div w:id="378868749">
      <w:bodyDiv w:val="1"/>
      <w:marLeft w:val="0"/>
      <w:marRight w:val="0"/>
      <w:marTop w:val="0"/>
      <w:marBottom w:val="0"/>
      <w:divBdr>
        <w:top w:val="none" w:sz="0" w:space="0" w:color="auto"/>
        <w:left w:val="none" w:sz="0" w:space="0" w:color="auto"/>
        <w:bottom w:val="none" w:sz="0" w:space="0" w:color="auto"/>
        <w:right w:val="none" w:sz="0" w:space="0" w:color="auto"/>
      </w:divBdr>
    </w:div>
    <w:div w:id="378937202">
      <w:bodyDiv w:val="1"/>
      <w:marLeft w:val="0"/>
      <w:marRight w:val="0"/>
      <w:marTop w:val="0"/>
      <w:marBottom w:val="0"/>
      <w:divBdr>
        <w:top w:val="none" w:sz="0" w:space="0" w:color="auto"/>
        <w:left w:val="none" w:sz="0" w:space="0" w:color="auto"/>
        <w:bottom w:val="none" w:sz="0" w:space="0" w:color="auto"/>
        <w:right w:val="none" w:sz="0" w:space="0" w:color="auto"/>
      </w:divBdr>
    </w:div>
    <w:div w:id="379091595">
      <w:bodyDiv w:val="1"/>
      <w:marLeft w:val="0"/>
      <w:marRight w:val="0"/>
      <w:marTop w:val="0"/>
      <w:marBottom w:val="0"/>
      <w:divBdr>
        <w:top w:val="none" w:sz="0" w:space="0" w:color="auto"/>
        <w:left w:val="none" w:sz="0" w:space="0" w:color="auto"/>
        <w:bottom w:val="none" w:sz="0" w:space="0" w:color="auto"/>
        <w:right w:val="none" w:sz="0" w:space="0" w:color="auto"/>
      </w:divBdr>
    </w:div>
    <w:div w:id="379286036">
      <w:bodyDiv w:val="1"/>
      <w:marLeft w:val="0"/>
      <w:marRight w:val="0"/>
      <w:marTop w:val="0"/>
      <w:marBottom w:val="0"/>
      <w:divBdr>
        <w:top w:val="none" w:sz="0" w:space="0" w:color="auto"/>
        <w:left w:val="none" w:sz="0" w:space="0" w:color="auto"/>
        <w:bottom w:val="none" w:sz="0" w:space="0" w:color="auto"/>
        <w:right w:val="none" w:sz="0" w:space="0" w:color="auto"/>
      </w:divBdr>
    </w:div>
    <w:div w:id="379667975">
      <w:bodyDiv w:val="1"/>
      <w:marLeft w:val="0"/>
      <w:marRight w:val="0"/>
      <w:marTop w:val="0"/>
      <w:marBottom w:val="0"/>
      <w:divBdr>
        <w:top w:val="none" w:sz="0" w:space="0" w:color="auto"/>
        <w:left w:val="none" w:sz="0" w:space="0" w:color="auto"/>
        <w:bottom w:val="none" w:sz="0" w:space="0" w:color="auto"/>
        <w:right w:val="none" w:sz="0" w:space="0" w:color="auto"/>
      </w:divBdr>
    </w:div>
    <w:div w:id="380908596">
      <w:bodyDiv w:val="1"/>
      <w:marLeft w:val="0"/>
      <w:marRight w:val="0"/>
      <w:marTop w:val="0"/>
      <w:marBottom w:val="0"/>
      <w:divBdr>
        <w:top w:val="none" w:sz="0" w:space="0" w:color="auto"/>
        <w:left w:val="none" w:sz="0" w:space="0" w:color="auto"/>
        <w:bottom w:val="none" w:sz="0" w:space="0" w:color="auto"/>
        <w:right w:val="none" w:sz="0" w:space="0" w:color="auto"/>
      </w:divBdr>
    </w:div>
    <w:div w:id="381053184">
      <w:bodyDiv w:val="1"/>
      <w:marLeft w:val="0"/>
      <w:marRight w:val="0"/>
      <w:marTop w:val="0"/>
      <w:marBottom w:val="0"/>
      <w:divBdr>
        <w:top w:val="none" w:sz="0" w:space="0" w:color="auto"/>
        <w:left w:val="none" w:sz="0" w:space="0" w:color="auto"/>
        <w:bottom w:val="none" w:sz="0" w:space="0" w:color="auto"/>
        <w:right w:val="none" w:sz="0" w:space="0" w:color="auto"/>
      </w:divBdr>
    </w:div>
    <w:div w:id="381098328">
      <w:bodyDiv w:val="1"/>
      <w:marLeft w:val="0"/>
      <w:marRight w:val="0"/>
      <w:marTop w:val="0"/>
      <w:marBottom w:val="0"/>
      <w:divBdr>
        <w:top w:val="none" w:sz="0" w:space="0" w:color="auto"/>
        <w:left w:val="none" w:sz="0" w:space="0" w:color="auto"/>
        <w:bottom w:val="none" w:sz="0" w:space="0" w:color="auto"/>
        <w:right w:val="none" w:sz="0" w:space="0" w:color="auto"/>
      </w:divBdr>
    </w:div>
    <w:div w:id="381177041">
      <w:bodyDiv w:val="1"/>
      <w:marLeft w:val="0"/>
      <w:marRight w:val="0"/>
      <w:marTop w:val="0"/>
      <w:marBottom w:val="0"/>
      <w:divBdr>
        <w:top w:val="none" w:sz="0" w:space="0" w:color="auto"/>
        <w:left w:val="none" w:sz="0" w:space="0" w:color="auto"/>
        <w:bottom w:val="none" w:sz="0" w:space="0" w:color="auto"/>
        <w:right w:val="none" w:sz="0" w:space="0" w:color="auto"/>
      </w:divBdr>
    </w:div>
    <w:div w:id="381292590">
      <w:bodyDiv w:val="1"/>
      <w:marLeft w:val="0"/>
      <w:marRight w:val="0"/>
      <w:marTop w:val="0"/>
      <w:marBottom w:val="0"/>
      <w:divBdr>
        <w:top w:val="none" w:sz="0" w:space="0" w:color="auto"/>
        <w:left w:val="none" w:sz="0" w:space="0" w:color="auto"/>
        <w:bottom w:val="none" w:sz="0" w:space="0" w:color="auto"/>
        <w:right w:val="none" w:sz="0" w:space="0" w:color="auto"/>
      </w:divBdr>
    </w:div>
    <w:div w:id="381489295">
      <w:bodyDiv w:val="1"/>
      <w:marLeft w:val="0"/>
      <w:marRight w:val="0"/>
      <w:marTop w:val="0"/>
      <w:marBottom w:val="0"/>
      <w:divBdr>
        <w:top w:val="none" w:sz="0" w:space="0" w:color="auto"/>
        <w:left w:val="none" w:sz="0" w:space="0" w:color="auto"/>
        <w:bottom w:val="none" w:sz="0" w:space="0" w:color="auto"/>
        <w:right w:val="none" w:sz="0" w:space="0" w:color="auto"/>
      </w:divBdr>
    </w:div>
    <w:div w:id="381562863">
      <w:bodyDiv w:val="1"/>
      <w:marLeft w:val="0"/>
      <w:marRight w:val="0"/>
      <w:marTop w:val="0"/>
      <w:marBottom w:val="0"/>
      <w:divBdr>
        <w:top w:val="none" w:sz="0" w:space="0" w:color="auto"/>
        <w:left w:val="none" w:sz="0" w:space="0" w:color="auto"/>
        <w:bottom w:val="none" w:sz="0" w:space="0" w:color="auto"/>
        <w:right w:val="none" w:sz="0" w:space="0" w:color="auto"/>
      </w:divBdr>
    </w:div>
    <w:div w:id="382563915">
      <w:bodyDiv w:val="1"/>
      <w:marLeft w:val="0"/>
      <w:marRight w:val="0"/>
      <w:marTop w:val="0"/>
      <w:marBottom w:val="0"/>
      <w:divBdr>
        <w:top w:val="none" w:sz="0" w:space="0" w:color="auto"/>
        <w:left w:val="none" w:sz="0" w:space="0" w:color="auto"/>
        <w:bottom w:val="none" w:sz="0" w:space="0" w:color="auto"/>
        <w:right w:val="none" w:sz="0" w:space="0" w:color="auto"/>
      </w:divBdr>
    </w:div>
    <w:div w:id="382875296">
      <w:bodyDiv w:val="1"/>
      <w:marLeft w:val="0"/>
      <w:marRight w:val="0"/>
      <w:marTop w:val="0"/>
      <w:marBottom w:val="0"/>
      <w:divBdr>
        <w:top w:val="none" w:sz="0" w:space="0" w:color="auto"/>
        <w:left w:val="none" w:sz="0" w:space="0" w:color="auto"/>
        <w:bottom w:val="none" w:sz="0" w:space="0" w:color="auto"/>
        <w:right w:val="none" w:sz="0" w:space="0" w:color="auto"/>
      </w:divBdr>
    </w:div>
    <w:div w:id="384062721">
      <w:bodyDiv w:val="1"/>
      <w:marLeft w:val="0"/>
      <w:marRight w:val="0"/>
      <w:marTop w:val="0"/>
      <w:marBottom w:val="0"/>
      <w:divBdr>
        <w:top w:val="none" w:sz="0" w:space="0" w:color="auto"/>
        <w:left w:val="none" w:sz="0" w:space="0" w:color="auto"/>
        <w:bottom w:val="none" w:sz="0" w:space="0" w:color="auto"/>
        <w:right w:val="none" w:sz="0" w:space="0" w:color="auto"/>
      </w:divBdr>
    </w:div>
    <w:div w:id="385644567">
      <w:bodyDiv w:val="1"/>
      <w:marLeft w:val="0"/>
      <w:marRight w:val="0"/>
      <w:marTop w:val="0"/>
      <w:marBottom w:val="0"/>
      <w:divBdr>
        <w:top w:val="none" w:sz="0" w:space="0" w:color="auto"/>
        <w:left w:val="none" w:sz="0" w:space="0" w:color="auto"/>
        <w:bottom w:val="none" w:sz="0" w:space="0" w:color="auto"/>
        <w:right w:val="none" w:sz="0" w:space="0" w:color="auto"/>
      </w:divBdr>
    </w:div>
    <w:div w:id="385838952">
      <w:bodyDiv w:val="1"/>
      <w:marLeft w:val="0"/>
      <w:marRight w:val="0"/>
      <w:marTop w:val="0"/>
      <w:marBottom w:val="0"/>
      <w:divBdr>
        <w:top w:val="none" w:sz="0" w:space="0" w:color="auto"/>
        <w:left w:val="none" w:sz="0" w:space="0" w:color="auto"/>
        <w:bottom w:val="none" w:sz="0" w:space="0" w:color="auto"/>
        <w:right w:val="none" w:sz="0" w:space="0" w:color="auto"/>
      </w:divBdr>
    </w:div>
    <w:div w:id="386150239">
      <w:bodyDiv w:val="1"/>
      <w:marLeft w:val="0"/>
      <w:marRight w:val="0"/>
      <w:marTop w:val="0"/>
      <w:marBottom w:val="0"/>
      <w:divBdr>
        <w:top w:val="none" w:sz="0" w:space="0" w:color="auto"/>
        <w:left w:val="none" w:sz="0" w:space="0" w:color="auto"/>
        <w:bottom w:val="none" w:sz="0" w:space="0" w:color="auto"/>
        <w:right w:val="none" w:sz="0" w:space="0" w:color="auto"/>
      </w:divBdr>
    </w:div>
    <w:div w:id="386339862">
      <w:bodyDiv w:val="1"/>
      <w:marLeft w:val="0"/>
      <w:marRight w:val="0"/>
      <w:marTop w:val="0"/>
      <w:marBottom w:val="0"/>
      <w:divBdr>
        <w:top w:val="none" w:sz="0" w:space="0" w:color="auto"/>
        <w:left w:val="none" w:sz="0" w:space="0" w:color="auto"/>
        <w:bottom w:val="none" w:sz="0" w:space="0" w:color="auto"/>
        <w:right w:val="none" w:sz="0" w:space="0" w:color="auto"/>
      </w:divBdr>
    </w:div>
    <w:div w:id="386346966">
      <w:bodyDiv w:val="1"/>
      <w:marLeft w:val="0"/>
      <w:marRight w:val="0"/>
      <w:marTop w:val="0"/>
      <w:marBottom w:val="0"/>
      <w:divBdr>
        <w:top w:val="none" w:sz="0" w:space="0" w:color="auto"/>
        <w:left w:val="none" w:sz="0" w:space="0" w:color="auto"/>
        <w:bottom w:val="none" w:sz="0" w:space="0" w:color="auto"/>
        <w:right w:val="none" w:sz="0" w:space="0" w:color="auto"/>
      </w:divBdr>
    </w:div>
    <w:div w:id="386489464">
      <w:bodyDiv w:val="1"/>
      <w:marLeft w:val="0"/>
      <w:marRight w:val="0"/>
      <w:marTop w:val="0"/>
      <w:marBottom w:val="0"/>
      <w:divBdr>
        <w:top w:val="none" w:sz="0" w:space="0" w:color="auto"/>
        <w:left w:val="none" w:sz="0" w:space="0" w:color="auto"/>
        <w:bottom w:val="none" w:sz="0" w:space="0" w:color="auto"/>
        <w:right w:val="none" w:sz="0" w:space="0" w:color="auto"/>
      </w:divBdr>
    </w:div>
    <w:div w:id="386494048">
      <w:bodyDiv w:val="1"/>
      <w:marLeft w:val="0"/>
      <w:marRight w:val="0"/>
      <w:marTop w:val="0"/>
      <w:marBottom w:val="0"/>
      <w:divBdr>
        <w:top w:val="none" w:sz="0" w:space="0" w:color="auto"/>
        <w:left w:val="none" w:sz="0" w:space="0" w:color="auto"/>
        <w:bottom w:val="none" w:sz="0" w:space="0" w:color="auto"/>
        <w:right w:val="none" w:sz="0" w:space="0" w:color="auto"/>
      </w:divBdr>
    </w:div>
    <w:div w:id="386607927">
      <w:bodyDiv w:val="1"/>
      <w:marLeft w:val="0"/>
      <w:marRight w:val="0"/>
      <w:marTop w:val="0"/>
      <w:marBottom w:val="0"/>
      <w:divBdr>
        <w:top w:val="none" w:sz="0" w:space="0" w:color="auto"/>
        <w:left w:val="none" w:sz="0" w:space="0" w:color="auto"/>
        <w:bottom w:val="none" w:sz="0" w:space="0" w:color="auto"/>
        <w:right w:val="none" w:sz="0" w:space="0" w:color="auto"/>
      </w:divBdr>
    </w:div>
    <w:div w:id="386733064">
      <w:bodyDiv w:val="1"/>
      <w:marLeft w:val="0"/>
      <w:marRight w:val="0"/>
      <w:marTop w:val="0"/>
      <w:marBottom w:val="0"/>
      <w:divBdr>
        <w:top w:val="none" w:sz="0" w:space="0" w:color="auto"/>
        <w:left w:val="none" w:sz="0" w:space="0" w:color="auto"/>
        <w:bottom w:val="none" w:sz="0" w:space="0" w:color="auto"/>
        <w:right w:val="none" w:sz="0" w:space="0" w:color="auto"/>
      </w:divBdr>
    </w:div>
    <w:div w:id="386876147">
      <w:bodyDiv w:val="1"/>
      <w:marLeft w:val="0"/>
      <w:marRight w:val="0"/>
      <w:marTop w:val="0"/>
      <w:marBottom w:val="0"/>
      <w:divBdr>
        <w:top w:val="none" w:sz="0" w:space="0" w:color="auto"/>
        <w:left w:val="none" w:sz="0" w:space="0" w:color="auto"/>
        <w:bottom w:val="none" w:sz="0" w:space="0" w:color="auto"/>
        <w:right w:val="none" w:sz="0" w:space="0" w:color="auto"/>
      </w:divBdr>
    </w:div>
    <w:div w:id="387454552">
      <w:bodyDiv w:val="1"/>
      <w:marLeft w:val="0"/>
      <w:marRight w:val="0"/>
      <w:marTop w:val="0"/>
      <w:marBottom w:val="0"/>
      <w:divBdr>
        <w:top w:val="none" w:sz="0" w:space="0" w:color="auto"/>
        <w:left w:val="none" w:sz="0" w:space="0" w:color="auto"/>
        <w:bottom w:val="none" w:sz="0" w:space="0" w:color="auto"/>
        <w:right w:val="none" w:sz="0" w:space="0" w:color="auto"/>
      </w:divBdr>
    </w:div>
    <w:div w:id="388696741">
      <w:bodyDiv w:val="1"/>
      <w:marLeft w:val="0"/>
      <w:marRight w:val="0"/>
      <w:marTop w:val="0"/>
      <w:marBottom w:val="0"/>
      <w:divBdr>
        <w:top w:val="none" w:sz="0" w:space="0" w:color="auto"/>
        <w:left w:val="none" w:sz="0" w:space="0" w:color="auto"/>
        <w:bottom w:val="none" w:sz="0" w:space="0" w:color="auto"/>
        <w:right w:val="none" w:sz="0" w:space="0" w:color="auto"/>
      </w:divBdr>
    </w:div>
    <w:div w:id="388843506">
      <w:bodyDiv w:val="1"/>
      <w:marLeft w:val="0"/>
      <w:marRight w:val="0"/>
      <w:marTop w:val="0"/>
      <w:marBottom w:val="0"/>
      <w:divBdr>
        <w:top w:val="none" w:sz="0" w:space="0" w:color="auto"/>
        <w:left w:val="none" w:sz="0" w:space="0" w:color="auto"/>
        <w:bottom w:val="none" w:sz="0" w:space="0" w:color="auto"/>
        <w:right w:val="none" w:sz="0" w:space="0" w:color="auto"/>
      </w:divBdr>
    </w:div>
    <w:div w:id="389037940">
      <w:bodyDiv w:val="1"/>
      <w:marLeft w:val="0"/>
      <w:marRight w:val="0"/>
      <w:marTop w:val="0"/>
      <w:marBottom w:val="0"/>
      <w:divBdr>
        <w:top w:val="none" w:sz="0" w:space="0" w:color="auto"/>
        <w:left w:val="none" w:sz="0" w:space="0" w:color="auto"/>
        <w:bottom w:val="none" w:sz="0" w:space="0" w:color="auto"/>
        <w:right w:val="none" w:sz="0" w:space="0" w:color="auto"/>
      </w:divBdr>
    </w:div>
    <w:div w:id="389159845">
      <w:bodyDiv w:val="1"/>
      <w:marLeft w:val="0"/>
      <w:marRight w:val="0"/>
      <w:marTop w:val="0"/>
      <w:marBottom w:val="0"/>
      <w:divBdr>
        <w:top w:val="none" w:sz="0" w:space="0" w:color="auto"/>
        <w:left w:val="none" w:sz="0" w:space="0" w:color="auto"/>
        <w:bottom w:val="none" w:sz="0" w:space="0" w:color="auto"/>
        <w:right w:val="none" w:sz="0" w:space="0" w:color="auto"/>
      </w:divBdr>
    </w:div>
    <w:div w:id="389229779">
      <w:bodyDiv w:val="1"/>
      <w:marLeft w:val="0"/>
      <w:marRight w:val="0"/>
      <w:marTop w:val="0"/>
      <w:marBottom w:val="0"/>
      <w:divBdr>
        <w:top w:val="none" w:sz="0" w:space="0" w:color="auto"/>
        <w:left w:val="none" w:sz="0" w:space="0" w:color="auto"/>
        <w:bottom w:val="none" w:sz="0" w:space="0" w:color="auto"/>
        <w:right w:val="none" w:sz="0" w:space="0" w:color="auto"/>
      </w:divBdr>
    </w:div>
    <w:div w:id="389547635">
      <w:bodyDiv w:val="1"/>
      <w:marLeft w:val="0"/>
      <w:marRight w:val="0"/>
      <w:marTop w:val="0"/>
      <w:marBottom w:val="0"/>
      <w:divBdr>
        <w:top w:val="none" w:sz="0" w:space="0" w:color="auto"/>
        <w:left w:val="none" w:sz="0" w:space="0" w:color="auto"/>
        <w:bottom w:val="none" w:sz="0" w:space="0" w:color="auto"/>
        <w:right w:val="none" w:sz="0" w:space="0" w:color="auto"/>
      </w:divBdr>
    </w:div>
    <w:div w:id="389571047">
      <w:bodyDiv w:val="1"/>
      <w:marLeft w:val="0"/>
      <w:marRight w:val="0"/>
      <w:marTop w:val="0"/>
      <w:marBottom w:val="0"/>
      <w:divBdr>
        <w:top w:val="none" w:sz="0" w:space="0" w:color="auto"/>
        <w:left w:val="none" w:sz="0" w:space="0" w:color="auto"/>
        <w:bottom w:val="none" w:sz="0" w:space="0" w:color="auto"/>
        <w:right w:val="none" w:sz="0" w:space="0" w:color="auto"/>
      </w:divBdr>
    </w:div>
    <w:div w:id="389616903">
      <w:bodyDiv w:val="1"/>
      <w:marLeft w:val="0"/>
      <w:marRight w:val="0"/>
      <w:marTop w:val="0"/>
      <w:marBottom w:val="0"/>
      <w:divBdr>
        <w:top w:val="none" w:sz="0" w:space="0" w:color="auto"/>
        <w:left w:val="none" w:sz="0" w:space="0" w:color="auto"/>
        <w:bottom w:val="none" w:sz="0" w:space="0" w:color="auto"/>
        <w:right w:val="none" w:sz="0" w:space="0" w:color="auto"/>
      </w:divBdr>
    </w:div>
    <w:div w:id="390077950">
      <w:bodyDiv w:val="1"/>
      <w:marLeft w:val="0"/>
      <w:marRight w:val="0"/>
      <w:marTop w:val="0"/>
      <w:marBottom w:val="0"/>
      <w:divBdr>
        <w:top w:val="none" w:sz="0" w:space="0" w:color="auto"/>
        <w:left w:val="none" w:sz="0" w:space="0" w:color="auto"/>
        <w:bottom w:val="none" w:sz="0" w:space="0" w:color="auto"/>
        <w:right w:val="none" w:sz="0" w:space="0" w:color="auto"/>
      </w:divBdr>
    </w:div>
    <w:div w:id="390202248">
      <w:bodyDiv w:val="1"/>
      <w:marLeft w:val="0"/>
      <w:marRight w:val="0"/>
      <w:marTop w:val="0"/>
      <w:marBottom w:val="0"/>
      <w:divBdr>
        <w:top w:val="none" w:sz="0" w:space="0" w:color="auto"/>
        <w:left w:val="none" w:sz="0" w:space="0" w:color="auto"/>
        <w:bottom w:val="none" w:sz="0" w:space="0" w:color="auto"/>
        <w:right w:val="none" w:sz="0" w:space="0" w:color="auto"/>
      </w:divBdr>
    </w:div>
    <w:div w:id="390736906">
      <w:bodyDiv w:val="1"/>
      <w:marLeft w:val="0"/>
      <w:marRight w:val="0"/>
      <w:marTop w:val="0"/>
      <w:marBottom w:val="0"/>
      <w:divBdr>
        <w:top w:val="none" w:sz="0" w:space="0" w:color="auto"/>
        <w:left w:val="none" w:sz="0" w:space="0" w:color="auto"/>
        <w:bottom w:val="none" w:sz="0" w:space="0" w:color="auto"/>
        <w:right w:val="none" w:sz="0" w:space="0" w:color="auto"/>
      </w:divBdr>
    </w:div>
    <w:div w:id="390882371">
      <w:bodyDiv w:val="1"/>
      <w:marLeft w:val="0"/>
      <w:marRight w:val="0"/>
      <w:marTop w:val="0"/>
      <w:marBottom w:val="0"/>
      <w:divBdr>
        <w:top w:val="none" w:sz="0" w:space="0" w:color="auto"/>
        <w:left w:val="none" w:sz="0" w:space="0" w:color="auto"/>
        <w:bottom w:val="none" w:sz="0" w:space="0" w:color="auto"/>
        <w:right w:val="none" w:sz="0" w:space="0" w:color="auto"/>
      </w:divBdr>
    </w:div>
    <w:div w:id="391202391">
      <w:bodyDiv w:val="1"/>
      <w:marLeft w:val="0"/>
      <w:marRight w:val="0"/>
      <w:marTop w:val="0"/>
      <w:marBottom w:val="0"/>
      <w:divBdr>
        <w:top w:val="none" w:sz="0" w:space="0" w:color="auto"/>
        <w:left w:val="none" w:sz="0" w:space="0" w:color="auto"/>
        <w:bottom w:val="none" w:sz="0" w:space="0" w:color="auto"/>
        <w:right w:val="none" w:sz="0" w:space="0" w:color="auto"/>
      </w:divBdr>
    </w:div>
    <w:div w:id="391270320">
      <w:bodyDiv w:val="1"/>
      <w:marLeft w:val="0"/>
      <w:marRight w:val="0"/>
      <w:marTop w:val="0"/>
      <w:marBottom w:val="0"/>
      <w:divBdr>
        <w:top w:val="none" w:sz="0" w:space="0" w:color="auto"/>
        <w:left w:val="none" w:sz="0" w:space="0" w:color="auto"/>
        <w:bottom w:val="none" w:sz="0" w:space="0" w:color="auto"/>
        <w:right w:val="none" w:sz="0" w:space="0" w:color="auto"/>
      </w:divBdr>
    </w:div>
    <w:div w:id="391972355">
      <w:bodyDiv w:val="1"/>
      <w:marLeft w:val="0"/>
      <w:marRight w:val="0"/>
      <w:marTop w:val="0"/>
      <w:marBottom w:val="0"/>
      <w:divBdr>
        <w:top w:val="none" w:sz="0" w:space="0" w:color="auto"/>
        <w:left w:val="none" w:sz="0" w:space="0" w:color="auto"/>
        <w:bottom w:val="none" w:sz="0" w:space="0" w:color="auto"/>
        <w:right w:val="none" w:sz="0" w:space="0" w:color="auto"/>
      </w:divBdr>
    </w:div>
    <w:div w:id="392504258">
      <w:bodyDiv w:val="1"/>
      <w:marLeft w:val="0"/>
      <w:marRight w:val="0"/>
      <w:marTop w:val="0"/>
      <w:marBottom w:val="0"/>
      <w:divBdr>
        <w:top w:val="none" w:sz="0" w:space="0" w:color="auto"/>
        <w:left w:val="none" w:sz="0" w:space="0" w:color="auto"/>
        <w:bottom w:val="none" w:sz="0" w:space="0" w:color="auto"/>
        <w:right w:val="none" w:sz="0" w:space="0" w:color="auto"/>
      </w:divBdr>
    </w:div>
    <w:div w:id="392628048">
      <w:bodyDiv w:val="1"/>
      <w:marLeft w:val="0"/>
      <w:marRight w:val="0"/>
      <w:marTop w:val="0"/>
      <w:marBottom w:val="0"/>
      <w:divBdr>
        <w:top w:val="none" w:sz="0" w:space="0" w:color="auto"/>
        <w:left w:val="none" w:sz="0" w:space="0" w:color="auto"/>
        <w:bottom w:val="none" w:sz="0" w:space="0" w:color="auto"/>
        <w:right w:val="none" w:sz="0" w:space="0" w:color="auto"/>
      </w:divBdr>
    </w:div>
    <w:div w:id="392704213">
      <w:bodyDiv w:val="1"/>
      <w:marLeft w:val="0"/>
      <w:marRight w:val="0"/>
      <w:marTop w:val="0"/>
      <w:marBottom w:val="0"/>
      <w:divBdr>
        <w:top w:val="none" w:sz="0" w:space="0" w:color="auto"/>
        <w:left w:val="none" w:sz="0" w:space="0" w:color="auto"/>
        <w:bottom w:val="none" w:sz="0" w:space="0" w:color="auto"/>
        <w:right w:val="none" w:sz="0" w:space="0" w:color="auto"/>
      </w:divBdr>
    </w:div>
    <w:div w:id="393697316">
      <w:bodyDiv w:val="1"/>
      <w:marLeft w:val="0"/>
      <w:marRight w:val="0"/>
      <w:marTop w:val="0"/>
      <w:marBottom w:val="0"/>
      <w:divBdr>
        <w:top w:val="none" w:sz="0" w:space="0" w:color="auto"/>
        <w:left w:val="none" w:sz="0" w:space="0" w:color="auto"/>
        <w:bottom w:val="none" w:sz="0" w:space="0" w:color="auto"/>
        <w:right w:val="none" w:sz="0" w:space="0" w:color="auto"/>
      </w:divBdr>
    </w:div>
    <w:div w:id="393700597">
      <w:bodyDiv w:val="1"/>
      <w:marLeft w:val="0"/>
      <w:marRight w:val="0"/>
      <w:marTop w:val="0"/>
      <w:marBottom w:val="0"/>
      <w:divBdr>
        <w:top w:val="none" w:sz="0" w:space="0" w:color="auto"/>
        <w:left w:val="none" w:sz="0" w:space="0" w:color="auto"/>
        <w:bottom w:val="none" w:sz="0" w:space="0" w:color="auto"/>
        <w:right w:val="none" w:sz="0" w:space="0" w:color="auto"/>
      </w:divBdr>
    </w:div>
    <w:div w:id="394087769">
      <w:bodyDiv w:val="1"/>
      <w:marLeft w:val="0"/>
      <w:marRight w:val="0"/>
      <w:marTop w:val="0"/>
      <w:marBottom w:val="0"/>
      <w:divBdr>
        <w:top w:val="none" w:sz="0" w:space="0" w:color="auto"/>
        <w:left w:val="none" w:sz="0" w:space="0" w:color="auto"/>
        <w:bottom w:val="none" w:sz="0" w:space="0" w:color="auto"/>
        <w:right w:val="none" w:sz="0" w:space="0" w:color="auto"/>
      </w:divBdr>
    </w:div>
    <w:div w:id="394356748">
      <w:bodyDiv w:val="1"/>
      <w:marLeft w:val="0"/>
      <w:marRight w:val="0"/>
      <w:marTop w:val="0"/>
      <w:marBottom w:val="0"/>
      <w:divBdr>
        <w:top w:val="none" w:sz="0" w:space="0" w:color="auto"/>
        <w:left w:val="none" w:sz="0" w:space="0" w:color="auto"/>
        <w:bottom w:val="none" w:sz="0" w:space="0" w:color="auto"/>
        <w:right w:val="none" w:sz="0" w:space="0" w:color="auto"/>
      </w:divBdr>
    </w:div>
    <w:div w:id="394469446">
      <w:bodyDiv w:val="1"/>
      <w:marLeft w:val="0"/>
      <w:marRight w:val="0"/>
      <w:marTop w:val="0"/>
      <w:marBottom w:val="0"/>
      <w:divBdr>
        <w:top w:val="none" w:sz="0" w:space="0" w:color="auto"/>
        <w:left w:val="none" w:sz="0" w:space="0" w:color="auto"/>
        <w:bottom w:val="none" w:sz="0" w:space="0" w:color="auto"/>
        <w:right w:val="none" w:sz="0" w:space="0" w:color="auto"/>
      </w:divBdr>
    </w:div>
    <w:div w:id="394671071">
      <w:bodyDiv w:val="1"/>
      <w:marLeft w:val="0"/>
      <w:marRight w:val="0"/>
      <w:marTop w:val="0"/>
      <w:marBottom w:val="0"/>
      <w:divBdr>
        <w:top w:val="none" w:sz="0" w:space="0" w:color="auto"/>
        <w:left w:val="none" w:sz="0" w:space="0" w:color="auto"/>
        <w:bottom w:val="none" w:sz="0" w:space="0" w:color="auto"/>
        <w:right w:val="none" w:sz="0" w:space="0" w:color="auto"/>
      </w:divBdr>
    </w:div>
    <w:div w:id="395209294">
      <w:bodyDiv w:val="1"/>
      <w:marLeft w:val="0"/>
      <w:marRight w:val="0"/>
      <w:marTop w:val="0"/>
      <w:marBottom w:val="0"/>
      <w:divBdr>
        <w:top w:val="none" w:sz="0" w:space="0" w:color="auto"/>
        <w:left w:val="none" w:sz="0" w:space="0" w:color="auto"/>
        <w:bottom w:val="none" w:sz="0" w:space="0" w:color="auto"/>
        <w:right w:val="none" w:sz="0" w:space="0" w:color="auto"/>
      </w:divBdr>
    </w:div>
    <w:div w:id="395468496">
      <w:bodyDiv w:val="1"/>
      <w:marLeft w:val="0"/>
      <w:marRight w:val="0"/>
      <w:marTop w:val="0"/>
      <w:marBottom w:val="0"/>
      <w:divBdr>
        <w:top w:val="none" w:sz="0" w:space="0" w:color="auto"/>
        <w:left w:val="none" w:sz="0" w:space="0" w:color="auto"/>
        <w:bottom w:val="none" w:sz="0" w:space="0" w:color="auto"/>
        <w:right w:val="none" w:sz="0" w:space="0" w:color="auto"/>
      </w:divBdr>
    </w:div>
    <w:div w:id="395665543">
      <w:bodyDiv w:val="1"/>
      <w:marLeft w:val="0"/>
      <w:marRight w:val="0"/>
      <w:marTop w:val="0"/>
      <w:marBottom w:val="0"/>
      <w:divBdr>
        <w:top w:val="none" w:sz="0" w:space="0" w:color="auto"/>
        <w:left w:val="none" w:sz="0" w:space="0" w:color="auto"/>
        <w:bottom w:val="none" w:sz="0" w:space="0" w:color="auto"/>
        <w:right w:val="none" w:sz="0" w:space="0" w:color="auto"/>
      </w:divBdr>
    </w:div>
    <w:div w:id="395860474">
      <w:bodyDiv w:val="1"/>
      <w:marLeft w:val="0"/>
      <w:marRight w:val="0"/>
      <w:marTop w:val="0"/>
      <w:marBottom w:val="0"/>
      <w:divBdr>
        <w:top w:val="none" w:sz="0" w:space="0" w:color="auto"/>
        <w:left w:val="none" w:sz="0" w:space="0" w:color="auto"/>
        <w:bottom w:val="none" w:sz="0" w:space="0" w:color="auto"/>
        <w:right w:val="none" w:sz="0" w:space="0" w:color="auto"/>
      </w:divBdr>
    </w:div>
    <w:div w:id="396049630">
      <w:bodyDiv w:val="1"/>
      <w:marLeft w:val="0"/>
      <w:marRight w:val="0"/>
      <w:marTop w:val="0"/>
      <w:marBottom w:val="0"/>
      <w:divBdr>
        <w:top w:val="none" w:sz="0" w:space="0" w:color="auto"/>
        <w:left w:val="none" w:sz="0" w:space="0" w:color="auto"/>
        <w:bottom w:val="none" w:sz="0" w:space="0" w:color="auto"/>
        <w:right w:val="none" w:sz="0" w:space="0" w:color="auto"/>
      </w:divBdr>
    </w:div>
    <w:div w:id="396129634">
      <w:bodyDiv w:val="1"/>
      <w:marLeft w:val="0"/>
      <w:marRight w:val="0"/>
      <w:marTop w:val="0"/>
      <w:marBottom w:val="0"/>
      <w:divBdr>
        <w:top w:val="none" w:sz="0" w:space="0" w:color="auto"/>
        <w:left w:val="none" w:sz="0" w:space="0" w:color="auto"/>
        <w:bottom w:val="none" w:sz="0" w:space="0" w:color="auto"/>
        <w:right w:val="none" w:sz="0" w:space="0" w:color="auto"/>
      </w:divBdr>
    </w:div>
    <w:div w:id="396440345">
      <w:bodyDiv w:val="1"/>
      <w:marLeft w:val="0"/>
      <w:marRight w:val="0"/>
      <w:marTop w:val="0"/>
      <w:marBottom w:val="0"/>
      <w:divBdr>
        <w:top w:val="none" w:sz="0" w:space="0" w:color="auto"/>
        <w:left w:val="none" w:sz="0" w:space="0" w:color="auto"/>
        <w:bottom w:val="none" w:sz="0" w:space="0" w:color="auto"/>
        <w:right w:val="none" w:sz="0" w:space="0" w:color="auto"/>
      </w:divBdr>
    </w:div>
    <w:div w:id="396897299">
      <w:bodyDiv w:val="1"/>
      <w:marLeft w:val="0"/>
      <w:marRight w:val="0"/>
      <w:marTop w:val="0"/>
      <w:marBottom w:val="0"/>
      <w:divBdr>
        <w:top w:val="none" w:sz="0" w:space="0" w:color="auto"/>
        <w:left w:val="none" w:sz="0" w:space="0" w:color="auto"/>
        <w:bottom w:val="none" w:sz="0" w:space="0" w:color="auto"/>
        <w:right w:val="none" w:sz="0" w:space="0" w:color="auto"/>
      </w:divBdr>
    </w:div>
    <w:div w:id="397099127">
      <w:bodyDiv w:val="1"/>
      <w:marLeft w:val="0"/>
      <w:marRight w:val="0"/>
      <w:marTop w:val="0"/>
      <w:marBottom w:val="0"/>
      <w:divBdr>
        <w:top w:val="none" w:sz="0" w:space="0" w:color="auto"/>
        <w:left w:val="none" w:sz="0" w:space="0" w:color="auto"/>
        <w:bottom w:val="none" w:sz="0" w:space="0" w:color="auto"/>
        <w:right w:val="none" w:sz="0" w:space="0" w:color="auto"/>
      </w:divBdr>
    </w:div>
    <w:div w:id="397165998">
      <w:bodyDiv w:val="1"/>
      <w:marLeft w:val="0"/>
      <w:marRight w:val="0"/>
      <w:marTop w:val="0"/>
      <w:marBottom w:val="0"/>
      <w:divBdr>
        <w:top w:val="none" w:sz="0" w:space="0" w:color="auto"/>
        <w:left w:val="none" w:sz="0" w:space="0" w:color="auto"/>
        <w:bottom w:val="none" w:sz="0" w:space="0" w:color="auto"/>
        <w:right w:val="none" w:sz="0" w:space="0" w:color="auto"/>
      </w:divBdr>
    </w:div>
    <w:div w:id="397703403">
      <w:bodyDiv w:val="1"/>
      <w:marLeft w:val="0"/>
      <w:marRight w:val="0"/>
      <w:marTop w:val="0"/>
      <w:marBottom w:val="0"/>
      <w:divBdr>
        <w:top w:val="none" w:sz="0" w:space="0" w:color="auto"/>
        <w:left w:val="none" w:sz="0" w:space="0" w:color="auto"/>
        <w:bottom w:val="none" w:sz="0" w:space="0" w:color="auto"/>
        <w:right w:val="none" w:sz="0" w:space="0" w:color="auto"/>
      </w:divBdr>
    </w:div>
    <w:div w:id="398334493">
      <w:bodyDiv w:val="1"/>
      <w:marLeft w:val="0"/>
      <w:marRight w:val="0"/>
      <w:marTop w:val="0"/>
      <w:marBottom w:val="0"/>
      <w:divBdr>
        <w:top w:val="none" w:sz="0" w:space="0" w:color="auto"/>
        <w:left w:val="none" w:sz="0" w:space="0" w:color="auto"/>
        <w:bottom w:val="none" w:sz="0" w:space="0" w:color="auto"/>
        <w:right w:val="none" w:sz="0" w:space="0" w:color="auto"/>
      </w:divBdr>
    </w:div>
    <w:div w:id="398595528">
      <w:bodyDiv w:val="1"/>
      <w:marLeft w:val="0"/>
      <w:marRight w:val="0"/>
      <w:marTop w:val="0"/>
      <w:marBottom w:val="0"/>
      <w:divBdr>
        <w:top w:val="none" w:sz="0" w:space="0" w:color="auto"/>
        <w:left w:val="none" w:sz="0" w:space="0" w:color="auto"/>
        <w:bottom w:val="none" w:sz="0" w:space="0" w:color="auto"/>
        <w:right w:val="none" w:sz="0" w:space="0" w:color="auto"/>
      </w:divBdr>
    </w:div>
    <w:div w:id="398793837">
      <w:bodyDiv w:val="1"/>
      <w:marLeft w:val="0"/>
      <w:marRight w:val="0"/>
      <w:marTop w:val="0"/>
      <w:marBottom w:val="0"/>
      <w:divBdr>
        <w:top w:val="none" w:sz="0" w:space="0" w:color="auto"/>
        <w:left w:val="none" w:sz="0" w:space="0" w:color="auto"/>
        <w:bottom w:val="none" w:sz="0" w:space="0" w:color="auto"/>
        <w:right w:val="none" w:sz="0" w:space="0" w:color="auto"/>
      </w:divBdr>
    </w:div>
    <w:div w:id="399138926">
      <w:bodyDiv w:val="1"/>
      <w:marLeft w:val="0"/>
      <w:marRight w:val="0"/>
      <w:marTop w:val="0"/>
      <w:marBottom w:val="0"/>
      <w:divBdr>
        <w:top w:val="none" w:sz="0" w:space="0" w:color="auto"/>
        <w:left w:val="none" w:sz="0" w:space="0" w:color="auto"/>
        <w:bottom w:val="none" w:sz="0" w:space="0" w:color="auto"/>
        <w:right w:val="none" w:sz="0" w:space="0" w:color="auto"/>
      </w:divBdr>
    </w:div>
    <w:div w:id="399787660">
      <w:bodyDiv w:val="1"/>
      <w:marLeft w:val="0"/>
      <w:marRight w:val="0"/>
      <w:marTop w:val="0"/>
      <w:marBottom w:val="0"/>
      <w:divBdr>
        <w:top w:val="none" w:sz="0" w:space="0" w:color="auto"/>
        <w:left w:val="none" w:sz="0" w:space="0" w:color="auto"/>
        <w:bottom w:val="none" w:sz="0" w:space="0" w:color="auto"/>
        <w:right w:val="none" w:sz="0" w:space="0" w:color="auto"/>
      </w:divBdr>
    </w:div>
    <w:div w:id="399906450">
      <w:bodyDiv w:val="1"/>
      <w:marLeft w:val="0"/>
      <w:marRight w:val="0"/>
      <w:marTop w:val="0"/>
      <w:marBottom w:val="0"/>
      <w:divBdr>
        <w:top w:val="none" w:sz="0" w:space="0" w:color="auto"/>
        <w:left w:val="none" w:sz="0" w:space="0" w:color="auto"/>
        <w:bottom w:val="none" w:sz="0" w:space="0" w:color="auto"/>
        <w:right w:val="none" w:sz="0" w:space="0" w:color="auto"/>
      </w:divBdr>
    </w:div>
    <w:div w:id="402072739">
      <w:bodyDiv w:val="1"/>
      <w:marLeft w:val="0"/>
      <w:marRight w:val="0"/>
      <w:marTop w:val="0"/>
      <w:marBottom w:val="0"/>
      <w:divBdr>
        <w:top w:val="none" w:sz="0" w:space="0" w:color="auto"/>
        <w:left w:val="none" w:sz="0" w:space="0" w:color="auto"/>
        <w:bottom w:val="none" w:sz="0" w:space="0" w:color="auto"/>
        <w:right w:val="none" w:sz="0" w:space="0" w:color="auto"/>
      </w:divBdr>
    </w:div>
    <w:div w:id="402216633">
      <w:bodyDiv w:val="1"/>
      <w:marLeft w:val="0"/>
      <w:marRight w:val="0"/>
      <w:marTop w:val="0"/>
      <w:marBottom w:val="0"/>
      <w:divBdr>
        <w:top w:val="none" w:sz="0" w:space="0" w:color="auto"/>
        <w:left w:val="none" w:sz="0" w:space="0" w:color="auto"/>
        <w:bottom w:val="none" w:sz="0" w:space="0" w:color="auto"/>
        <w:right w:val="none" w:sz="0" w:space="0" w:color="auto"/>
      </w:divBdr>
    </w:div>
    <w:div w:id="402261136">
      <w:bodyDiv w:val="1"/>
      <w:marLeft w:val="0"/>
      <w:marRight w:val="0"/>
      <w:marTop w:val="0"/>
      <w:marBottom w:val="0"/>
      <w:divBdr>
        <w:top w:val="none" w:sz="0" w:space="0" w:color="auto"/>
        <w:left w:val="none" w:sz="0" w:space="0" w:color="auto"/>
        <w:bottom w:val="none" w:sz="0" w:space="0" w:color="auto"/>
        <w:right w:val="none" w:sz="0" w:space="0" w:color="auto"/>
      </w:divBdr>
    </w:div>
    <w:div w:id="402798388">
      <w:bodyDiv w:val="1"/>
      <w:marLeft w:val="0"/>
      <w:marRight w:val="0"/>
      <w:marTop w:val="0"/>
      <w:marBottom w:val="0"/>
      <w:divBdr>
        <w:top w:val="none" w:sz="0" w:space="0" w:color="auto"/>
        <w:left w:val="none" w:sz="0" w:space="0" w:color="auto"/>
        <w:bottom w:val="none" w:sz="0" w:space="0" w:color="auto"/>
        <w:right w:val="none" w:sz="0" w:space="0" w:color="auto"/>
      </w:divBdr>
    </w:div>
    <w:div w:id="402877146">
      <w:bodyDiv w:val="1"/>
      <w:marLeft w:val="0"/>
      <w:marRight w:val="0"/>
      <w:marTop w:val="0"/>
      <w:marBottom w:val="0"/>
      <w:divBdr>
        <w:top w:val="none" w:sz="0" w:space="0" w:color="auto"/>
        <w:left w:val="none" w:sz="0" w:space="0" w:color="auto"/>
        <w:bottom w:val="none" w:sz="0" w:space="0" w:color="auto"/>
        <w:right w:val="none" w:sz="0" w:space="0" w:color="auto"/>
      </w:divBdr>
    </w:div>
    <w:div w:id="402921468">
      <w:bodyDiv w:val="1"/>
      <w:marLeft w:val="0"/>
      <w:marRight w:val="0"/>
      <w:marTop w:val="0"/>
      <w:marBottom w:val="0"/>
      <w:divBdr>
        <w:top w:val="none" w:sz="0" w:space="0" w:color="auto"/>
        <w:left w:val="none" w:sz="0" w:space="0" w:color="auto"/>
        <w:bottom w:val="none" w:sz="0" w:space="0" w:color="auto"/>
        <w:right w:val="none" w:sz="0" w:space="0" w:color="auto"/>
      </w:divBdr>
    </w:div>
    <w:div w:id="402994520">
      <w:bodyDiv w:val="1"/>
      <w:marLeft w:val="0"/>
      <w:marRight w:val="0"/>
      <w:marTop w:val="0"/>
      <w:marBottom w:val="0"/>
      <w:divBdr>
        <w:top w:val="none" w:sz="0" w:space="0" w:color="auto"/>
        <w:left w:val="none" w:sz="0" w:space="0" w:color="auto"/>
        <w:bottom w:val="none" w:sz="0" w:space="0" w:color="auto"/>
        <w:right w:val="none" w:sz="0" w:space="0" w:color="auto"/>
      </w:divBdr>
    </w:div>
    <w:div w:id="403140622">
      <w:bodyDiv w:val="1"/>
      <w:marLeft w:val="0"/>
      <w:marRight w:val="0"/>
      <w:marTop w:val="0"/>
      <w:marBottom w:val="0"/>
      <w:divBdr>
        <w:top w:val="none" w:sz="0" w:space="0" w:color="auto"/>
        <w:left w:val="none" w:sz="0" w:space="0" w:color="auto"/>
        <w:bottom w:val="none" w:sz="0" w:space="0" w:color="auto"/>
        <w:right w:val="none" w:sz="0" w:space="0" w:color="auto"/>
      </w:divBdr>
    </w:div>
    <w:div w:id="403141111">
      <w:bodyDiv w:val="1"/>
      <w:marLeft w:val="0"/>
      <w:marRight w:val="0"/>
      <w:marTop w:val="0"/>
      <w:marBottom w:val="0"/>
      <w:divBdr>
        <w:top w:val="none" w:sz="0" w:space="0" w:color="auto"/>
        <w:left w:val="none" w:sz="0" w:space="0" w:color="auto"/>
        <w:bottom w:val="none" w:sz="0" w:space="0" w:color="auto"/>
        <w:right w:val="none" w:sz="0" w:space="0" w:color="auto"/>
      </w:divBdr>
    </w:div>
    <w:div w:id="403265847">
      <w:bodyDiv w:val="1"/>
      <w:marLeft w:val="0"/>
      <w:marRight w:val="0"/>
      <w:marTop w:val="0"/>
      <w:marBottom w:val="0"/>
      <w:divBdr>
        <w:top w:val="none" w:sz="0" w:space="0" w:color="auto"/>
        <w:left w:val="none" w:sz="0" w:space="0" w:color="auto"/>
        <w:bottom w:val="none" w:sz="0" w:space="0" w:color="auto"/>
        <w:right w:val="none" w:sz="0" w:space="0" w:color="auto"/>
      </w:divBdr>
    </w:div>
    <w:div w:id="404232023">
      <w:bodyDiv w:val="1"/>
      <w:marLeft w:val="0"/>
      <w:marRight w:val="0"/>
      <w:marTop w:val="0"/>
      <w:marBottom w:val="0"/>
      <w:divBdr>
        <w:top w:val="none" w:sz="0" w:space="0" w:color="auto"/>
        <w:left w:val="none" w:sz="0" w:space="0" w:color="auto"/>
        <w:bottom w:val="none" w:sz="0" w:space="0" w:color="auto"/>
        <w:right w:val="none" w:sz="0" w:space="0" w:color="auto"/>
      </w:divBdr>
    </w:div>
    <w:div w:id="404298550">
      <w:bodyDiv w:val="1"/>
      <w:marLeft w:val="0"/>
      <w:marRight w:val="0"/>
      <w:marTop w:val="0"/>
      <w:marBottom w:val="0"/>
      <w:divBdr>
        <w:top w:val="none" w:sz="0" w:space="0" w:color="auto"/>
        <w:left w:val="none" w:sz="0" w:space="0" w:color="auto"/>
        <w:bottom w:val="none" w:sz="0" w:space="0" w:color="auto"/>
        <w:right w:val="none" w:sz="0" w:space="0" w:color="auto"/>
      </w:divBdr>
    </w:div>
    <w:div w:id="404306206">
      <w:bodyDiv w:val="1"/>
      <w:marLeft w:val="0"/>
      <w:marRight w:val="0"/>
      <w:marTop w:val="0"/>
      <w:marBottom w:val="0"/>
      <w:divBdr>
        <w:top w:val="none" w:sz="0" w:space="0" w:color="auto"/>
        <w:left w:val="none" w:sz="0" w:space="0" w:color="auto"/>
        <w:bottom w:val="none" w:sz="0" w:space="0" w:color="auto"/>
        <w:right w:val="none" w:sz="0" w:space="0" w:color="auto"/>
      </w:divBdr>
    </w:div>
    <w:div w:id="405610476">
      <w:bodyDiv w:val="1"/>
      <w:marLeft w:val="0"/>
      <w:marRight w:val="0"/>
      <w:marTop w:val="0"/>
      <w:marBottom w:val="0"/>
      <w:divBdr>
        <w:top w:val="none" w:sz="0" w:space="0" w:color="auto"/>
        <w:left w:val="none" w:sz="0" w:space="0" w:color="auto"/>
        <w:bottom w:val="none" w:sz="0" w:space="0" w:color="auto"/>
        <w:right w:val="none" w:sz="0" w:space="0" w:color="auto"/>
      </w:divBdr>
    </w:div>
    <w:div w:id="405765526">
      <w:bodyDiv w:val="1"/>
      <w:marLeft w:val="0"/>
      <w:marRight w:val="0"/>
      <w:marTop w:val="0"/>
      <w:marBottom w:val="0"/>
      <w:divBdr>
        <w:top w:val="none" w:sz="0" w:space="0" w:color="auto"/>
        <w:left w:val="none" w:sz="0" w:space="0" w:color="auto"/>
        <w:bottom w:val="none" w:sz="0" w:space="0" w:color="auto"/>
        <w:right w:val="none" w:sz="0" w:space="0" w:color="auto"/>
      </w:divBdr>
    </w:div>
    <w:div w:id="406146504">
      <w:bodyDiv w:val="1"/>
      <w:marLeft w:val="0"/>
      <w:marRight w:val="0"/>
      <w:marTop w:val="0"/>
      <w:marBottom w:val="0"/>
      <w:divBdr>
        <w:top w:val="none" w:sz="0" w:space="0" w:color="auto"/>
        <w:left w:val="none" w:sz="0" w:space="0" w:color="auto"/>
        <w:bottom w:val="none" w:sz="0" w:space="0" w:color="auto"/>
        <w:right w:val="none" w:sz="0" w:space="0" w:color="auto"/>
      </w:divBdr>
    </w:div>
    <w:div w:id="406878657">
      <w:bodyDiv w:val="1"/>
      <w:marLeft w:val="0"/>
      <w:marRight w:val="0"/>
      <w:marTop w:val="0"/>
      <w:marBottom w:val="0"/>
      <w:divBdr>
        <w:top w:val="none" w:sz="0" w:space="0" w:color="auto"/>
        <w:left w:val="none" w:sz="0" w:space="0" w:color="auto"/>
        <w:bottom w:val="none" w:sz="0" w:space="0" w:color="auto"/>
        <w:right w:val="none" w:sz="0" w:space="0" w:color="auto"/>
      </w:divBdr>
    </w:div>
    <w:div w:id="407112775">
      <w:bodyDiv w:val="1"/>
      <w:marLeft w:val="0"/>
      <w:marRight w:val="0"/>
      <w:marTop w:val="0"/>
      <w:marBottom w:val="0"/>
      <w:divBdr>
        <w:top w:val="none" w:sz="0" w:space="0" w:color="auto"/>
        <w:left w:val="none" w:sz="0" w:space="0" w:color="auto"/>
        <w:bottom w:val="none" w:sz="0" w:space="0" w:color="auto"/>
        <w:right w:val="none" w:sz="0" w:space="0" w:color="auto"/>
      </w:divBdr>
    </w:div>
    <w:div w:id="407113943">
      <w:bodyDiv w:val="1"/>
      <w:marLeft w:val="0"/>
      <w:marRight w:val="0"/>
      <w:marTop w:val="0"/>
      <w:marBottom w:val="0"/>
      <w:divBdr>
        <w:top w:val="none" w:sz="0" w:space="0" w:color="auto"/>
        <w:left w:val="none" w:sz="0" w:space="0" w:color="auto"/>
        <w:bottom w:val="none" w:sz="0" w:space="0" w:color="auto"/>
        <w:right w:val="none" w:sz="0" w:space="0" w:color="auto"/>
      </w:divBdr>
    </w:div>
    <w:div w:id="407309452">
      <w:bodyDiv w:val="1"/>
      <w:marLeft w:val="0"/>
      <w:marRight w:val="0"/>
      <w:marTop w:val="0"/>
      <w:marBottom w:val="0"/>
      <w:divBdr>
        <w:top w:val="none" w:sz="0" w:space="0" w:color="auto"/>
        <w:left w:val="none" w:sz="0" w:space="0" w:color="auto"/>
        <w:bottom w:val="none" w:sz="0" w:space="0" w:color="auto"/>
        <w:right w:val="none" w:sz="0" w:space="0" w:color="auto"/>
      </w:divBdr>
    </w:div>
    <w:div w:id="407843212">
      <w:bodyDiv w:val="1"/>
      <w:marLeft w:val="0"/>
      <w:marRight w:val="0"/>
      <w:marTop w:val="0"/>
      <w:marBottom w:val="0"/>
      <w:divBdr>
        <w:top w:val="none" w:sz="0" w:space="0" w:color="auto"/>
        <w:left w:val="none" w:sz="0" w:space="0" w:color="auto"/>
        <w:bottom w:val="none" w:sz="0" w:space="0" w:color="auto"/>
        <w:right w:val="none" w:sz="0" w:space="0" w:color="auto"/>
      </w:divBdr>
    </w:div>
    <w:div w:id="408381751">
      <w:bodyDiv w:val="1"/>
      <w:marLeft w:val="0"/>
      <w:marRight w:val="0"/>
      <w:marTop w:val="0"/>
      <w:marBottom w:val="0"/>
      <w:divBdr>
        <w:top w:val="none" w:sz="0" w:space="0" w:color="auto"/>
        <w:left w:val="none" w:sz="0" w:space="0" w:color="auto"/>
        <w:bottom w:val="none" w:sz="0" w:space="0" w:color="auto"/>
        <w:right w:val="none" w:sz="0" w:space="0" w:color="auto"/>
      </w:divBdr>
    </w:div>
    <w:div w:id="408427583">
      <w:bodyDiv w:val="1"/>
      <w:marLeft w:val="0"/>
      <w:marRight w:val="0"/>
      <w:marTop w:val="0"/>
      <w:marBottom w:val="0"/>
      <w:divBdr>
        <w:top w:val="none" w:sz="0" w:space="0" w:color="auto"/>
        <w:left w:val="none" w:sz="0" w:space="0" w:color="auto"/>
        <w:bottom w:val="none" w:sz="0" w:space="0" w:color="auto"/>
        <w:right w:val="none" w:sz="0" w:space="0" w:color="auto"/>
      </w:divBdr>
    </w:div>
    <w:div w:id="408501495">
      <w:bodyDiv w:val="1"/>
      <w:marLeft w:val="0"/>
      <w:marRight w:val="0"/>
      <w:marTop w:val="0"/>
      <w:marBottom w:val="0"/>
      <w:divBdr>
        <w:top w:val="none" w:sz="0" w:space="0" w:color="auto"/>
        <w:left w:val="none" w:sz="0" w:space="0" w:color="auto"/>
        <w:bottom w:val="none" w:sz="0" w:space="0" w:color="auto"/>
        <w:right w:val="none" w:sz="0" w:space="0" w:color="auto"/>
      </w:divBdr>
    </w:div>
    <w:div w:id="408969969">
      <w:bodyDiv w:val="1"/>
      <w:marLeft w:val="0"/>
      <w:marRight w:val="0"/>
      <w:marTop w:val="0"/>
      <w:marBottom w:val="0"/>
      <w:divBdr>
        <w:top w:val="none" w:sz="0" w:space="0" w:color="auto"/>
        <w:left w:val="none" w:sz="0" w:space="0" w:color="auto"/>
        <w:bottom w:val="none" w:sz="0" w:space="0" w:color="auto"/>
        <w:right w:val="none" w:sz="0" w:space="0" w:color="auto"/>
      </w:divBdr>
    </w:div>
    <w:div w:id="409234902">
      <w:bodyDiv w:val="1"/>
      <w:marLeft w:val="0"/>
      <w:marRight w:val="0"/>
      <w:marTop w:val="0"/>
      <w:marBottom w:val="0"/>
      <w:divBdr>
        <w:top w:val="none" w:sz="0" w:space="0" w:color="auto"/>
        <w:left w:val="none" w:sz="0" w:space="0" w:color="auto"/>
        <w:bottom w:val="none" w:sz="0" w:space="0" w:color="auto"/>
        <w:right w:val="none" w:sz="0" w:space="0" w:color="auto"/>
      </w:divBdr>
    </w:div>
    <w:div w:id="409427623">
      <w:bodyDiv w:val="1"/>
      <w:marLeft w:val="0"/>
      <w:marRight w:val="0"/>
      <w:marTop w:val="0"/>
      <w:marBottom w:val="0"/>
      <w:divBdr>
        <w:top w:val="none" w:sz="0" w:space="0" w:color="auto"/>
        <w:left w:val="none" w:sz="0" w:space="0" w:color="auto"/>
        <w:bottom w:val="none" w:sz="0" w:space="0" w:color="auto"/>
        <w:right w:val="none" w:sz="0" w:space="0" w:color="auto"/>
      </w:divBdr>
    </w:div>
    <w:div w:id="410002514">
      <w:bodyDiv w:val="1"/>
      <w:marLeft w:val="0"/>
      <w:marRight w:val="0"/>
      <w:marTop w:val="0"/>
      <w:marBottom w:val="0"/>
      <w:divBdr>
        <w:top w:val="none" w:sz="0" w:space="0" w:color="auto"/>
        <w:left w:val="none" w:sz="0" w:space="0" w:color="auto"/>
        <w:bottom w:val="none" w:sz="0" w:space="0" w:color="auto"/>
        <w:right w:val="none" w:sz="0" w:space="0" w:color="auto"/>
      </w:divBdr>
    </w:div>
    <w:div w:id="411051032">
      <w:bodyDiv w:val="1"/>
      <w:marLeft w:val="0"/>
      <w:marRight w:val="0"/>
      <w:marTop w:val="0"/>
      <w:marBottom w:val="0"/>
      <w:divBdr>
        <w:top w:val="none" w:sz="0" w:space="0" w:color="auto"/>
        <w:left w:val="none" w:sz="0" w:space="0" w:color="auto"/>
        <w:bottom w:val="none" w:sz="0" w:space="0" w:color="auto"/>
        <w:right w:val="none" w:sz="0" w:space="0" w:color="auto"/>
      </w:divBdr>
    </w:div>
    <w:div w:id="411195526">
      <w:bodyDiv w:val="1"/>
      <w:marLeft w:val="0"/>
      <w:marRight w:val="0"/>
      <w:marTop w:val="0"/>
      <w:marBottom w:val="0"/>
      <w:divBdr>
        <w:top w:val="none" w:sz="0" w:space="0" w:color="auto"/>
        <w:left w:val="none" w:sz="0" w:space="0" w:color="auto"/>
        <w:bottom w:val="none" w:sz="0" w:space="0" w:color="auto"/>
        <w:right w:val="none" w:sz="0" w:space="0" w:color="auto"/>
      </w:divBdr>
    </w:div>
    <w:div w:id="411899392">
      <w:bodyDiv w:val="1"/>
      <w:marLeft w:val="0"/>
      <w:marRight w:val="0"/>
      <w:marTop w:val="0"/>
      <w:marBottom w:val="0"/>
      <w:divBdr>
        <w:top w:val="none" w:sz="0" w:space="0" w:color="auto"/>
        <w:left w:val="none" w:sz="0" w:space="0" w:color="auto"/>
        <w:bottom w:val="none" w:sz="0" w:space="0" w:color="auto"/>
        <w:right w:val="none" w:sz="0" w:space="0" w:color="auto"/>
      </w:divBdr>
    </w:div>
    <w:div w:id="411901150">
      <w:bodyDiv w:val="1"/>
      <w:marLeft w:val="0"/>
      <w:marRight w:val="0"/>
      <w:marTop w:val="0"/>
      <w:marBottom w:val="0"/>
      <w:divBdr>
        <w:top w:val="none" w:sz="0" w:space="0" w:color="auto"/>
        <w:left w:val="none" w:sz="0" w:space="0" w:color="auto"/>
        <w:bottom w:val="none" w:sz="0" w:space="0" w:color="auto"/>
        <w:right w:val="none" w:sz="0" w:space="0" w:color="auto"/>
      </w:divBdr>
    </w:div>
    <w:div w:id="412051189">
      <w:bodyDiv w:val="1"/>
      <w:marLeft w:val="0"/>
      <w:marRight w:val="0"/>
      <w:marTop w:val="0"/>
      <w:marBottom w:val="0"/>
      <w:divBdr>
        <w:top w:val="none" w:sz="0" w:space="0" w:color="auto"/>
        <w:left w:val="none" w:sz="0" w:space="0" w:color="auto"/>
        <w:bottom w:val="none" w:sz="0" w:space="0" w:color="auto"/>
        <w:right w:val="none" w:sz="0" w:space="0" w:color="auto"/>
      </w:divBdr>
    </w:div>
    <w:div w:id="412552981">
      <w:bodyDiv w:val="1"/>
      <w:marLeft w:val="0"/>
      <w:marRight w:val="0"/>
      <w:marTop w:val="0"/>
      <w:marBottom w:val="0"/>
      <w:divBdr>
        <w:top w:val="none" w:sz="0" w:space="0" w:color="auto"/>
        <w:left w:val="none" w:sz="0" w:space="0" w:color="auto"/>
        <w:bottom w:val="none" w:sz="0" w:space="0" w:color="auto"/>
        <w:right w:val="none" w:sz="0" w:space="0" w:color="auto"/>
      </w:divBdr>
    </w:div>
    <w:div w:id="413282005">
      <w:bodyDiv w:val="1"/>
      <w:marLeft w:val="0"/>
      <w:marRight w:val="0"/>
      <w:marTop w:val="0"/>
      <w:marBottom w:val="0"/>
      <w:divBdr>
        <w:top w:val="none" w:sz="0" w:space="0" w:color="auto"/>
        <w:left w:val="none" w:sz="0" w:space="0" w:color="auto"/>
        <w:bottom w:val="none" w:sz="0" w:space="0" w:color="auto"/>
        <w:right w:val="none" w:sz="0" w:space="0" w:color="auto"/>
      </w:divBdr>
    </w:div>
    <w:div w:id="414207237">
      <w:bodyDiv w:val="1"/>
      <w:marLeft w:val="0"/>
      <w:marRight w:val="0"/>
      <w:marTop w:val="0"/>
      <w:marBottom w:val="0"/>
      <w:divBdr>
        <w:top w:val="none" w:sz="0" w:space="0" w:color="auto"/>
        <w:left w:val="none" w:sz="0" w:space="0" w:color="auto"/>
        <w:bottom w:val="none" w:sz="0" w:space="0" w:color="auto"/>
        <w:right w:val="none" w:sz="0" w:space="0" w:color="auto"/>
      </w:divBdr>
    </w:div>
    <w:div w:id="414788381">
      <w:bodyDiv w:val="1"/>
      <w:marLeft w:val="0"/>
      <w:marRight w:val="0"/>
      <w:marTop w:val="0"/>
      <w:marBottom w:val="0"/>
      <w:divBdr>
        <w:top w:val="none" w:sz="0" w:space="0" w:color="auto"/>
        <w:left w:val="none" w:sz="0" w:space="0" w:color="auto"/>
        <w:bottom w:val="none" w:sz="0" w:space="0" w:color="auto"/>
        <w:right w:val="none" w:sz="0" w:space="0" w:color="auto"/>
      </w:divBdr>
    </w:div>
    <w:div w:id="414978295">
      <w:bodyDiv w:val="1"/>
      <w:marLeft w:val="0"/>
      <w:marRight w:val="0"/>
      <w:marTop w:val="0"/>
      <w:marBottom w:val="0"/>
      <w:divBdr>
        <w:top w:val="none" w:sz="0" w:space="0" w:color="auto"/>
        <w:left w:val="none" w:sz="0" w:space="0" w:color="auto"/>
        <w:bottom w:val="none" w:sz="0" w:space="0" w:color="auto"/>
        <w:right w:val="none" w:sz="0" w:space="0" w:color="auto"/>
      </w:divBdr>
    </w:div>
    <w:div w:id="415397874">
      <w:bodyDiv w:val="1"/>
      <w:marLeft w:val="0"/>
      <w:marRight w:val="0"/>
      <w:marTop w:val="0"/>
      <w:marBottom w:val="0"/>
      <w:divBdr>
        <w:top w:val="none" w:sz="0" w:space="0" w:color="auto"/>
        <w:left w:val="none" w:sz="0" w:space="0" w:color="auto"/>
        <w:bottom w:val="none" w:sz="0" w:space="0" w:color="auto"/>
        <w:right w:val="none" w:sz="0" w:space="0" w:color="auto"/>
      </w:divBdr>
    </w:div>
    <w:div w:id="415437827">
      <w:bodyDiv w:val="1"/>
      <w:marLeft w:val="0"/>
      <w:marRight w:val="0"/>
      <w:marTop w:val="0"/>
      <w:marBottom w:val="0"/>
      <w:divBdr>
        <w:top w:val="none" w:sz="0" w:space="0" w:color="auto"/>
        <w:left w:val="none" w:sz="0" w:space="0" w:color="auto"/>
        <w:bottom w:val="none" w:sz="0" w:space="0" w:color="auto"/>
        <w:right w:val="none" w:sz="0" w:space="0" w:color="auto"/>
      </w:divBdr>
    </w:div>
    <w:div w:id="415715577">
      <w:bodyDiv w:val="1"/>
      <w:marLeft w:val="0"/>
      <w:marRight w:val="0"/>
      <w:marTop w:val="0"/>
      <w:marBottom w:val="0"/>
      <w:divBdr>
        <w:top w:val="none" w:sz="0" w:space="0" w:color="auto"/>
        <w:left w:val="none" w:sz="0" w:space="0" w:color="auto"/>
        <w:bottom w:val="none" w:sz="0" w:space="0" w:color="auto"/>
        <w:right w:val="none" w:sz="0" w:space="0" w:color="auto"/>
      </w:divBdr>
    </w:div>
    <w:div w:id="416053886">
      <w:bodyDiv w:val="1"/>
      <w:marLeft w:val="0"/>
      <w:marRight w:val="0"/>
      <w:marTop w:val="0"/>
      <w:marBottom w:val="0"/>
      <w:divBdr>
        <w:top w:val="none" w:sz="0" w:space="0" w:color="auto"/>
        <w:left w:val="none" w:sz="0" w:space="0" w:color="auto"/>
        <w:bottom w:val="none" w:sz="0" w:space="0" w:color="auto"/>
        <w:right w:val="none" w:sz="0" w:space="0" w:color="auto"/>
      </w:divBdr>
    </w:div>
    <w:div w:id="416903553">
      <w:bodyDiv w:val="1"/>
      <w:marLeft w:val="0"/>
      <w:marRight w:val="0"/>
      <w:marTop w:val="0"/>
      <w:marBottom w:val="0"/>
      <w:divBdr>
        <w:top w:val="none" w:sz="0" w:space="0" w:color="auto"/>
        <w:left w:val="none" w:sz="0" w:space="0" w:color="auto"/>
        <w:bottom w:val="none" w:sz="0" w:space="0" w:color="auto"/>
        <w:right w:val="none" w:sz="0" w:space="0" w:color="auto"/>
      </w:divBdr>
    </w:div>
    <w:div w:id="417411193">
      <w:bodyDiv w:val="1"/>
      <w:marLeft w:val="0"/>
      <w:marRight w:val="0"/>
      <w:marTop w:val="0"/>
      <w:marBottom w:val="0"/>
      <w:divBdr>
        <w:top w:val="none" w:sz="0" w:space="0" w:color="auto"/>
        <w:left w:val="none" w:sz="0" w:space="0" w:color="auto"/>
        <w:bottom w:val="none" w:sz="0" w:space="0" w:color="auto"/>
        <w:right w:val="none" w:sz="0" w:space="0" w:color="auto"/>
      </w:divBdr>
    </w:div>
    <w:div w:id="417482238">
      <w:bodyDiv w:val="1"/>
      <w:marLeft w:val="0"/>
      <w:marRight w:val="0"/>
      <w:marTop w:val="0"/>
      <w:marBottom w:val="0"/>
      <w:divBdr>
        <w:top w:val="none" w:sz="0" w:space="0" w:color="auto"/>
        <w:left w:val="none" w:sz="0" w:space="0" w:color="auto"/>
        <w:bottom w:val="none" w:sz="0" w:space="0" w:color="auto"/>
        <w:right w:val="none" w:sz="0" w:space="0" w:color="auto"/>
      </w:divBdr>
    </w:div>
    <w:div w:id="417606350">
      <w:bodyDiv w:val="1"/>
      <w:marLeft w:val="0"/>
      <w:marRight w:val="0"/>
      <w:marTop w:val="0"/>
      <w:marBottom w:val="0"/>
      <w:divBdr>
        <w:top w:val="none" w:sz="0" w:space="0" w:color="auto"/>
        <w:left w:val="none" w:sz="0" w:space="0" w:color="auto"/>
        <w:bottom w:val="none" w:sz="0" w:space="0" w:color="auto"/>
        <w:right w:val="none" w:sz="0" w:space="0" w:color="auto"/>
      </w:divBdr>
    </w:div>
    <w:div w:id="417946450">
      <w:bodyDiv w:val="1"/>
      <w:marLeft w:val="0"/>
      <w:marRight w:val="0"/>
      <w:marTop w:val="0"/>
      <w:marBottom w:val="0"/>
      <w:divBdr>
        <w:top w:val="none" w:sz="0" w:space="0" w:color="auto"/>
        <w:left w:val="none" w:sz="0" w:space="0" w:color="auto"/>
        <w:bottom w:val="none" w:sz="0" w:space="0" w:color="auto"/>
        <w:right w:val="none" w:sz="0" w:space="0" w:color="auto"/>
      </w:divBdr>
    </w:div>
    <w:div w:id="418210810">
      <w:bodyDiv w:val="1"/>
      <w:marLeft w:val="0"/>
      <w:marRight w:val="0"/>
      <w:marTop w:val="0"/>
      <w:marBottom w:val="0"/>
      <w:divBdr>
        <w:top w:val="none" w:sz="0" w:space="0" w:color="auto"/>
        <w:left w:val="none" w:sz="0" w:space="0" w:color="auto"/>
        <w:bottom w:val="none" w:sz="0" w:space="0" w:color="auto"/>
        <w:right w:val="none" w:sz="0" w:space="0" w:color="auto"/>
      </w:divBdr>
    </w:div>
    <w:div w:id="418479513">
      <w:bodyDiv w:val="1"/>
      <w:marLeft w:val="0"/>
      <w:marRight w:val="0"/>
      <w:marTop w:val="0"/>
      <w:marBottom w:val="0"/>
      <w:divBdr>
        <w:top w:val="none" w:sz="0" w:space="0" w:color="auto"/>
        <w:left w:val="none" w:sz="0" w:space="0" w:color="auto"/>
        <w:bottom w:val="none" w:sz="0" w:space="0" w:color="auto"/>
        <w:right w:val="none" w:sz="0" w:space="0" w:color="auto"/>
      </w:divBdr>
    </w:div>
    <w:div w:id="419107349">
      <w:bodyDiv w:val="1"/>
      <w:marLeft w:val="0"/>
      <w:marRight w:val="0"/>
      <w:marTop w:val="0"/>
      <w:marBottom w:val="0"/>
      <w:divBdr>
        <w:top w:val="none" w:sz="0" w:space="0" w:color="auto"/>
        <w:left w:val="none" w:sz="0" w:space="0" w:color="auto"/>
        <w:bottom w:val="none" w:sz="0" w:space="0" w:color="auto"/>
        <w:right w:val="none" w:sz="0" w:space="0" w:color="auto"/>
      </w:divBdr>
    </w:div>
    <w:div w:id="419253787">
      <w:bodyDiv w:val="1"/>
      <w:marLeft w:val="0"/>
      <w:marRight w:val="0"/>
      <w:marTop w:val="0"/>
      <w:marBottom w:val="0"/>
      <w:divBdr>
        <w:top w:val="none" w:sz="0" w:space="0" w:color="auto"/>
        <w:left w:val="none" w:sz="0" w:space="0" w:color="auto"/>
        <w:bottom w:val="none" w:sz="0" w:space="0" w:color="auto"/>
        <w:right w:val="none" w:sz="0" w:space="0" w:color="auto"/>
      </w:divBdr>
    </w:div>
    <w:div w:id="419254601">
      <w:bodyDiv w:val="1"/>
      <w:marLeft w:val="0"/>
      <w:marRight w:val="0"/>
      <w:marTop w:val="0"/>
      <w:marBottom w:val="0"/>
      <w:divBdr>
        <w:top w:val="none" w:sz="0" w:space="0" w:color="auto"/>
        <w:left w:val="none" w:sz="0" w:space="0" w:color="auto"/>
        <w:bottom w:val="none" w:sz="0" w:space="0" w:color="auto"/>
        <w:right w:val="none" w:sz="0" w:space="0" w:color="auto"/>
      </w:divBdr>
    </w:div>
    <w:div w:id="419526575">
      <w:bodyDiv w:val="1"/>
      <w:marLeft w:val="0"/>
      <w:marRight w:val="0"/>
      <w:marTop w:val="0"/>
      <w:marBottom w:val="0"/>
      <w:divBdr>
        <w:top w:val="none" w:sz="0" w:space="0" w:color="auto"/>
        <w:left w:val="none" w:sz="0" w:space="0" w:color="auto"/>
        <w:bottom w:val="none" w:sz="0" w:space="0" w:color="auto"/>
        <w:right w:val="none" w:sz="0" w:space="0" w:color="auto"/>
      </w:divBdr>
    </w:div>
    <w:div w:id="420101361">
      <w:bodyDiv w:val="1"/>
      <w:marLeft w:val="0"/>
      <w:marRight w:val="0"/>
      <w:marTop w:val="0"/>
      <w:marBottom w:val="0"/>
      <w:divBdr>
        <w:top w:val="none" w:sz="0" w:space="0" w:color="auto"/>
        <w:left w:val="none" w:sz="0" w:space="0" w:color="auto"/>
        <w:bottom w:val="none" w:sz="0" w:space="0" w:color="auto"/>
        <w:right w:val="none" w:sz="0" w:space="0" w:color="auto"/>
      </w:divBdr>
    </w:div>
    <w:div w:id="420221625">
      <w:bodyDiv w:val="1"/>
      <w:marLeft w:val="0"/>
      <w:marRight w:val="0"/>
      <w:marTop w:val="0"/>
      <w:marBottom w:val="0"/>
      <w:divBdr>
        <w:top w:val="none" w:sz="0" w:space="0" w:color="auto"/>
        <w:left w:val="none" w:sz="0" w:space="0" w:color="auto"/>
        <w:bottom w:val="none" w:sz="0" w:space="0" w:color="auto"/>
        <w:right w:val="none" w:sz="0" w:space="0" w:color="auto"/>
      </w:divBdr>
    </w:div>
    <w:div w:id="420226849">
      <w:bodyDiv w:val="1"/>
      <w:marLeft w:val="0"/>
      <w:marRight w:val="0"/>
      <w:marTop w:val="0"/>
      <w:marBottom w:val="0"/>
      <w:divBdr>
        <w:top w:val="none" w:sz="0" w:space="0" w:color="auto"/>
        <w:left w:val="none" w:sz="0" w:space="0" w:color="auto"/>
        <w:bottom w:val="none" w:sz="0" w:space="0" w:color="auto"/>
        <w:right w:val="none" w:sz="0" w:space="0" w:color="auto"/>
      </w:divBdr>
    </w:div>
    <w:div w:id="420294797">
      <w:bodyDiv w:val="1"/>
      <w:marLeft w:val="0"/>
      <w:marRight w:val="0"/>
      <w:marTop w:val="0"/>
      <w:marBottom w:val="0"/>
      <w:divBdr>
        <w:top w:val="none" w:sz="0" w:space="0" w:color="auto"/>
        <w:left w:val="none" w:sz="0" w:space="0" w:color="auto"/>
        <w:bottom w:val="none" w:sz="0" w:space="0" w:color="auto"/>
        <w:right w:val="none" w:sz="0" w:space="0" w:color="auto"/>
      </w:divBdr>
    </w:div>
    <w:div w:id="420568559">
      <w:bodyDiv w:val="1"/>
      <w:marLeft w:val="0"/>
      <w:marRight w:val="0"/>
      <w:marTop w:val="0"/>
      <w:marBottom w:val="0"/>
      <w:divBdr>
        <w:top w:val="none" w:sz="0" w:space="0" w:color="auto"/>
        <w:left w:val="none" w:sz="0" w:space="0" w:color="auto"/>
        <w:bottom w:val="none" w:sz="0" w:space="0" w:color="auto"/>
        <w:right w:val="none" w:sz="0" w:space="0" w:color="auto"/>
      </w:divBdr>
    </w:div>
    <w:div w:id="420610197">
      <w:bodyDiv w:val="1"/>
      <w:marLeft w:val="0"/>
      <w:marRight w:val="0"/>
      <w:marTop w:val="0"/>
      <w:marBottom w:val="0"/>
      <w:divBdr>
        <w:top w:val="none" w:sz="0" w:space="0" w:color="auto"/>
        <w:left w:val="none" w:sz="0" w:space="0" w:color="auto"/>
        <w:bottom w:val="none" w:sz="0" w:space="0" w:color="auto"/>
        <w:right w:val="none" w:sz="0" w:space="0" w:color="auto"/>
      </w:divBdr>
    </w:div>
    <w:div w:id="421755988">
      <w:bodyDiv w:val="1"/>
      <w:marLeft w:val="0"/>
      <w:marRight w:val="0"/>
      <w:marTop w:val="0"/>
      <w:marBottom w:val="0"/>
      <w:divBdr>
        <w:top w:val="none" w:sz="0" w:space="0" w:color="auto"/>
        <w:left w:val="none" w:sz="0" w:space="0" w:color="auto"/>
        <w:bottom w:val="none" w:sz="0" w:space="0" w:color="auto"/>
        <w:right w:val="none" w:sz="0" w:space="0" w:color="auto"/>
      </w:divBdr>
    </w:div>
    <w:div w:id="422071506">
      <w:bodyDiv w:val="1"/>
      <w:marLeft w:val="0"/>
      <w:marRight w:val="0"/>
      <w:marTop w:val="0"/>
      <w:marBottom w:val="0"/>
      <w:divBdr>
        <w:top w:val="none" w:sz="0" w:space="0" w:color="auto"/>
        <w:left w:val="none" w:sz="0" w:space="0" w:color="auto"/>
        <w:bottom w:val="none" w:sz="0" w:space="0" w:color="auto"/>
        <w:right w:val="none" w:sz="0" w:space="0" w:color="auto"/>
      </w:divBdr>
    </w:div>
    <w:div w:id="422187217">
      <w:bodyDiv w:val="1"/>
      <w:marLeft w:val="0"/>
      <w:marRight w:val="0"/>
      <w:marTop w:val="0"/>
      <w:marBottom w:val="0"/>
      <w:divBdr>
        <w:top w:val="none" w:sz="0" w:space="0" w:color="auto"/>
        <w:left w:val="none" w:sz="0" w:space="0" w:color="auto"/>
        <w:bottom w:val="none" w:sz="0" w:space="0" w:color="auto"/>
        <w:right w:val="none" w:sz="0" w:space="0" w:color="auto"/>
      </w:divBdr>
    </w:div>
    <w:div w:id="422453121">
      <w:bodyDiv w:val="1"/>
      <w:marLeft w:val="0"/>
      <w:marRight w:val="0"/>
      <w:marTop w:val="0"/>
      <w:marBottom w:val="0"/>
      <w:divBdr>
        <w:top w:val="none" w:sz="0" w:space="0" w:color="auto"/>
        <w:left w:val="none" w:sz="0" w:space="0" w:color="auto"/>
        <w:bottom w:val="none" w:sz="0" w:space="0" w:color="auto"/>
        <w:right w:val="none" w:sz="0" w:space="0" w:color="auto"/>
      </w:divBdr>
    </w:div>
    <w:div w:id="422533421">
      <w:bodyDiv w:val="1"/>
      <w:marLeft w:val="0"/>
      <w:marRight w:val="0"/>
      <w:marTop w:val="0"/>
      <w:marBottom w:val="0"/>
      <w:divBdr>
        <w:top w:val="none" w:sz="0" w:space="0" w:color="auto"/>
        <w:left w:val="none" w:sz="0" w:space="0" w:color="auto"/>
        <w:bottom w:val="none" w:sz="0" w:space="0" w:color="auto"/>
        <w:right w:val="none" w:sz="0" w:space="0" w:color="auto"/>
      </w:divBdr>
    </w:div>
    <w:div w:id="422721206">
      <w:bodyDiv w:val="1"/>
      <w:marLeft w:val="0"/>
      <w:marRight w:val="0"/>
      <w:marTop w:val="0"/>
      <w:marBottom w:val="0"/>
      <w:divBdr>
        <w:top w:val="none" w:sz="0" w:space="0" w:color="auto"/>
        <w:left w:val="none" w:sz="0" w:space="0" w:color="auto"/>
        <w:bottom w:val="none" w:sz="0" w:space="0" w:color="auto"/>
        <w:right w:val="none" w:sz="0" w:space="0" w:color="auto"/>
      </w:divBdr>
    </w:div>
    <w:div w:id="422729231">
      <w:bodyDiv w:val="1"/>
      <w:marLeft w:val="0"/>
      <w:marRight w:val="0"/>
      <w:marTop w:val="0"/>
      <w:marBottom w:val="0"/>
      <w:divBdr>
        <w:top w:val="none" w:sz="0" w:space="0" w:color="auto"/>
        <w:left w:val="none" w:sz="0" w:space="0" w:color="auto"/>
        <w:bottom w:val="none" w:sz="0" w:space="0" w:color="auto"/>
        <w:right w:val="none" w:sz="0" w:space="0" w:color="auto"/>
      </w:divBdr>
    </w:div>
    <w:div w:id="422919615">
      <w:bodyDiv w:val="1"/>
      <w:marLeft w:val="0"/>
      <w:marRight w:val="0"/>
      <w:marTop w:val="0"/>
      <w:marBottom w:val="0"/>
      <w:divBdr>
        <w:top w:val="none" w:sz="0" w:space="0" w:color="auto"/>
        <w:left w:val="none" w:sz="0" w:space="0" w:color="auto"/>
        <w:bottom w:val="none" w:sz="0" w:space="0" w:color="auto"/>
        <w:right w:val="none" w:sz="0" w:space="0" w:color="auto"/>
      </w:divBdr>
    </w:div>
    <w:div w:id="423035017">
      <w:bodyDiv w:val="1"/>
      <w:marLeft w:val="0"/>
      <w:marRight w:val="0"/>
      <w:marTop w:val="0"/>
      <w:marBottom w:val="0"/>
      <w:divBdr>
        <w:top w:val="none" w:sz="0" w:space="0" w:color="auto"/>
        <w:left w:val="none" w:sz="0" w:space="0" w:color="auto"/>
        <w:bottom w:val="none" w:sz="0" w:space="0" w:color="auto"/>
        <w:right w:val="none" w:sz="0" w:space="0" w:color="auto"/>
      </w:divBdr>
    </w:div>
    <w:div w:id="423454318">
      <w:bodyDiv w:val="1"/>
      <w:marLeft w:val="0"/>
      <w:marRight w:val="0"/>
      <w:marTop w:val="0"/>
      <w:marBottom w:val="0"/>
      <w:divBdr>
        <w:top w:val="none" w:sz="0" w:space="0" w:color="auto"/>
        <w:left w:val="none" w:sz="0" w:space="0" w:color="auto"/>
        <w:bottom w:val="none" w:sz="0" w:space="0" w:color="auto"/>
        <w:right w:val="none" w:sz="0" w:space="0" w:color="auto"/>
      </w:divBdr>
    </w:div>
    <w:div w:id="423652777">
      <w:bodyDiv w:val="1"/>
      <w:marLeft w:val="0"/>
      <w:marRight w:val="0"/>
      <w:marTop w:val="0"/>
      <w:marBottom w:val="0"/>
      <w:divBdr>
        <w:top w:val="none" w:sz="0" w:space="0" w:color="auto"/>
        <w:left w:val="none" w:sz="0" w:space="0" w:color="auto"/>
        <w:bottom w:val="none" w:sz="0" w:space="0" w:color="auto"/>
        <w:right w:val="none" w:sz="0" w:space="0" w:color="auto"/>
      </w:divBdr>
    </w:div>
    <w:div w:id="423963524">
      <w:bodyDiv w:val="1"/>
      <w:marLeft w:val="0"/>
      <w:marRight w:val="0"/>
      <w:marTop w:val="0"/>
      <w:marBottom w:val="0"/>
      <w:divBdr>
        <w:top w:val="none" w:sz="0" w:space="0" w:color="auto"/>
        <w:left w:val="none" w:sz="0" w:space="0" w:color="auto"/>
        <w:bottom w:val="none" w:sz="0" w:space="0" w:color="auto"/>
        <w:right w:val="none" w:sz="0" w:space="0" w:color="auto"/>
      </w:divBdr>
    </w:div>
    <w:div w:id="424426683">
      <w:bodyDiv w:val="1"/>
      <w:marLeft w:val="0"/>
      <w:marRight w:val="0"/>
      <w:marTop w:val="0"/>
      <w:marBottom w:val="0"/>
      <w:divBdr>
        <w:top w:val="none" w:sz="0" w:space="0" w:color="auto"/>
        <w:left w:val="none" w:sz="0" w:space="0" w:color="auto"/>
        <w:bottom w:val="none" w:sz="0" w:space="0" w:color="auto"/>
        <w:right w:val="none" w:sz="0" w:space="0" w:color="auto"/>
      </w:divBdr>
    </w:div>
    <w:div w:id="425079410">
      <w:bodyDiv w:val="1"/>
      <w:marLeft w:val="0"/>
      <w:marRight w:val="0"/>
      <w:marTop w:val="0"/>
      <w:marBottom w:val="0"/>
      <w:divBdr>
        <w:top w:val="none" w:sz="0" w:space="0" w:color="auto"/>
        <w:left w:val="none" w:sz="0" w:space="0" w:color="auto"/>
        <w:bottom w:val="none" w:sz="0" w:space="0" w:color="auto"/>
        <w:right w:val="none" w:sz="0" w:space="0" w:color="auto"/>
      </w:divBdr>
    </w:div>
    <w:div w:id="425617557">
      <w:bodyDiv w:val="1"/>
      <w:marLeft w:val="0"/>
      <w:marRight w:val="0"/>
      <w:marTop w:val="0"/>
      <w:marBottom w:val="0"/>
      <w:divBdr>
        <w:top w:val="none" w:sz="0" w:space="0" w:color="auto"/>
        <w:left w:val="none" w:sz="0" w:space="0" w:color="auto"/>
        <w:bottom w:val="none" w:sz="0" w:space="0" w:color="auto"/>
        <w:right w:val="none" w:sz="0" w:space="0" w:color="auto"/>
      </w:divBdr>
    </w:div>
    <w:div w:id="425927676">
      <w:bodyDiv w:val="1"/>
      <w:marLeft w:val="0"/>
      <w:marRight w:val="0"/>
      <w:marTop w:val="0"/>
      <w:marBottom w:val="0"/>
      <w:divBdr>
        <w:top w:val="none" w:sz="0" w:space="0" w:color="auto"/>
        <w:left w:val="none" w:sz="0" w:space="0" w:color="auto"/>
        <w:bottom w:val="none" w:sz="0" w:space="0" w:color="auto"/>
        <w:right w:val="none" w:sz="0" w:space="0" w:color="auto"/>
      </w:divBdr>
    </w:div>
    <w:div w:id="426078858">
      <w:bodyDiv w:val="1"/>
      <w:marLeft w:val="0"/>
      <w:marRight w:val="0"/>
      <w:marTop w:val="0"/>
      <w:marBottom w:val="0"/>
      <w:divBdr>
        <w:top w:val="none" w:sz="0" w:space="0" w:color="auto"/>
        <w:left w:val="none" w:sz="0" w:space="0" w:color="auto"/>
        <w:bottom w:val="none" w:sz="0" w:space="0" w:color="auto"/>
        <w:right w:val="none" w:sz="0" w:space="0" w:color="auto"/>
      </w:divBdr>
    </w:div>
    <w:div w:id="426459798">
      <w:bodyDiv w:val="1"/>
      <w:marLeft w:val="0"/>
      <w:marRight w:val="0"/>
      <w:marTop w:val="0"/>
      <w:marBottom w:val="0"/>
      <w:divBdr>
        <w:top w:val="none" w:sz="0" w:space="0" w:color="auto"/>
        <w:left w:val="none" w:sz="0" w:space="0" w:color="auto"/>
        <w:bottom w:val="none" w:sz="0" w:space="0" w:color="auto"/>
        <w:right w:val="none" w:sz="0" w:space="0" w:color="auto"/>
      </w:divBdr>
    </w:div>
    <w:div w:id="426846749">
      <w:bodyDiv w:val="1"/>
      <w:marLeft w:val="0"/>
      <w:marRight w:val="0"/>
      <w:marTop w:val="0"/>
      <w:marBottom w:val="0"/>
      <w:divBdr>
        <w:top w:val="none" w:sz="0" w:space="0" w:color="auto"/>
        <w:left w:val="none" w:sz="0" w:space="0" w:color="auto"/>
        <w:bottom w:val="none" w:sz="0" w:space="0" w:color="auto"/>
        <w:right w:val="none" w:sz="0" w:space="0" w:color="auto"/>
      </w:divBdr>
    </w:div>
    <w:div w:id="427118558">
      <w:bodyDiv w:val="1"/>
      <w:marLeft w:val="0"/>
      <w:marRight w:val="0"/>
      <w:marTop w:val="0"/>
      <w:marBottom w:val="0"/>
      <w:divBdr>
        <w:top w:val="none" w:sz="0" w:space="0" w:color="auto"/>
        <w:left w:val="none" w:sz="0" w:space="0" w:color="auto"/>
        <w:bottom w:val="none" w:sz="0" w:space="0" w:color="auto"/>
        <w:right w:val="none" w:sz="0" w:space="0" w:color="auto"/>
      </w:divBdr>
    </w:div>
    <w:div w:id="427121602">
      <w:bodyDiv w:val="1"/>
      <w:marLeft w:val="0"/>
      <w:marRight w:val="0"/>
      <w:marTop w:val="0"/>
      <w:marBottom w:val="0"/>
      <w:divBdr>
        <w:top w:val="none" w:sz="0" w:space="0" w:color="auto"/>
        <w:left w:val="none" w:sz="0" w:space="0" w:color="auto"/>
        <w:bottom w:val="none" w:sz="0" w:space="0" w:color="auto"/>
        <w:right w:val="none" w:sz="0" w:space="0" w:color="auto"/>
      </w:divBdr>
    </w:div>
    <w:div w:id="427430216">
      <w:bodyDiv w:val="1"/>
      <w:marLeft w:val="0"/>
      <w:marRight w:val="0"/>
      <w:marTop w:val="0"/>
      <w:marBottom w:val="0"/>
      <w:divBdr>
        <w:top w:val="none" w:sz="0" w:space="0" w:color="auto"/>
        <w:left w:val="none" w:sz="0" w:space="0" w:color="auto"/>
        <w:bottom w:val="none" w:sz="0" w:space="0" w:color="auto"/>
        <w:right w:val="none" w:sz="0" w:space="0" w:color="auto"/>
      </w:divBdr>
    </w:div>
    <w:div w:id="427966645">
      <w:bodyDiv w:val="1"/>
      <w:marLeft w:val="0"/>
      <w:marRight w:val="0"/>
      <w:marTop w:val="0"/>
      <w:marBottom w:val="0"/>
      <w:divBdr>
        <w:top w:val="none" w:sz="0" w:space="0" w:color="auto"/>
        <w:left w:val="none" w:sz="0" w:space="0" w:color="auto"/>
        <w:bottom w:val="none" w:sz="0" w:space="0" w:color="auto"/>
        <w:right w:val="none" w:sz="0" w:space="0" w:color="auto"/>
      </w:divBdr>
    </w:div>
    <w:div w:id="428160814">
      <w:bodyDiv w:val="1"/>
      <w:marLeft w:val="0"/>
      <w:marRight w:val="0"/>
      <w:marTop w:val="0"/>
      <w:marBottom w:val="0"/>
      <w:divBdr>
        <w:top w:val="none" w:sz="0" w:space="0" w:color="auto"/>
        <w:left w:val="none" w:sz="0" w:space="0" w:color="auto"/>
        <w:bottom w:val="none" w:sz="0" w:space="0" w:color="auto"/>
        <w:right w:val="none" w:sz="0" w:space="0" w:color="auto"/>
      </w:divBdr>
    </w:div>
    <w:div w:id="428619478">
      <w:bodyDiv w:val="1"/>
      <w:marLeft w:val="0"/>
      <w:marRight w:val="0"/>
      <w:marTop w:val="0"/>
      <w:marBottom w:val="0"/>
      <w:divBdr>
        <w:top w:val="none" w:sz="0" w:space="0" w:color="auto"/>
        <w:left w:val="none" w:sz="0" w:space="0" w:color="auto"/>
        <w:bottom w:val="none" w:sz="0" w:space="0" w:color="auto"/>
        <w:right w:val="none" w:sz="0" w:space="0" w:color="auto"/>
      </w:divBdr>
    </w:div>
    <w:div w:id="429014451">
      <w:bodyDiv w:val="1"/>
      <w:marLeft w:val="0"/>
      <w:marRight w:val="0"/>
      <w:marTop w:val="0"/>
      <w:marBottom w:val="0"/>
      <w:divBdr>
        <w:top w:val="none" w:sz="0" w:space="0" w:color="auto"/>
        <w:left w:val="none" w:sz="0" w:space="0" w:color="auto"/>
        <w:bottom w:val="none" w:sz="0" w:space="0" w:color="auto"/>
        <w:right w:val="none" w:sz="0" w:space="0" w:color="auto"/>
      </w:divBdr>
    </w:div>
    <w:div w:id="429156454">
      <w:bodyDiv w:val="1"/>
      <w:marLeft w:val="0"/>
      <w:marRight w:val="0"/>
      <w:marTop w:val="0"/>
      <w:marBottom w:val="0"/>
      <w:divBdr>
        <w:top w:val="none" w:sz="0" w:space="0" w:color="auto"/>
        <w:left w:val="none" w:sz="0" w:space="0" w:color="auto"/>
        <w:bottom w:val="none" w:sz="0" w:space="0" w:color="auto"/>
        <w:right w:val="none" w:sz="0" w:space="0" w:color="auto"/>
      </w:divBdr>
    </w:div>
    <w:div w:id="429356832">
      <w:bodyDiv w:val="1"/>
      <w:marLeft w:val="0"/>
      <w:marRight w:val="0"/>
      <w:marTop w:val="0"/>
      <w:marBottom w:val="0"/>
      <w:divBdr>
        <w:top w:val="none" w:sz="0" w:space="0" w:color="auto"/>
        <w:left w:val="none" w:sz="0" w:space="0" w:color="auto"/>
        <w:bottom w:val="none" w:sz="0" w:space="0" w:color="auto"/>
        <w:right w:val="none" w:sz="0" w:space="0" w:color="auto"/>
      </w:divBdr>
    </w:div>
    <w:div w:id="429594187">
      <w:bodyDiv w:val="1"/>
      <w:marLeft w:val="0"/>
      <w:marRight w:val="0"/>
      <w:marTop w:val="0"/>
      <w:marBottom w:val="0"/>
      <w:divBdr>
        <w:top w:val="none" w:sz="0" w:space="0" w:color="auto"/>
        <w:left w:val="none" w:sz="0" w:space="0" w:color="auto"/>
        <w:bottom w:val="none" w:sz="0" w:space="0" w:color="auto"/>
        <w:right w:val="none" w:sz="0" w:space="0" w:color="auto"/>
      </w:divBdr>
    </w:div>
    <w:div w:id="429929461">
      <w:bodyDiv w:val="1"/>
      <w:marLeft w:val="0"/>
      <w:marRight w:val="0"/>
      <w:marTop w:val="0"/>
      <w:marBottom w:val="0"/>
      <w:divBdr>
        <w:top w:val="none" w:sz="0" w:space="0" w:color="auto"/>
        <w:left w:val="none" w:sz="0" w:space="0" w:color="auto"/>
        <w:bottom w:val="none" w:sz="0" w:space="0" w:color="auto"/>
        <w:right w:val="none" w:sz="0" w:space="0" w:color="auto"/>
      </w:divBdr>
    </w:div>
    <w:div w:id="430004897">
      <w:bodyDiv w:val="1"/>
      <w:marLeft w:val="0"/>
      <w:marRight w:val="0"/>
      <w:marTop w:val="0"/>
      <w:marBottom w:val="0"/>
      <w:divBdr>
        <w:top w:val="none" w:sz="0" w:space="0" w:color="auto"/>
        <w:left w:val="none" w:sz="0" w:space="0" w:color="auto"/>
        <w:bottom w:val="none" w:sz="0" w:space="0" w:color="auto"/>
        <w:right w:val="none" w:sz="0" w:space="0" w:color="auto"/>
      </w:divBdr>
    </w:div>
    <w:div w:id="430509153">
      <w:bodyDiv w:val="1"/>
      <w:marLeft w:val="0"/>
      <w:marRight w:val="0"/>
      <w:marTop w:val="0"/>
      <w:marBottom w:val="0"/>
      <w:divBdr>
        <w:top w:val="none" w:sz="0" w:space="0" w:color="auto"/>
        <w:left w:val="none" w:sz="0" w:space="0" w:color="auto"/>
        <w:bottom w:val="none" w:sz="0" w:space="0" w:color="auto"/>
        <w:right w:val="none" w:sz="0" w:space="0" w:color="auto"/>
      </w:divBdr>
    </w:div>
    <w:div w:id="430662004">
      <w:bodyDiv w:val="1"/>
      <w:marLeft w:val="0"/>
      <w:marRight w:val="0"/>
      <w:marTop w:val="0"/>
      <w:marBottom w:val="0"/>
      <w:divBdr>
        <w:top w:val="none" w:sz="0" w:space="0" w:color="auto"/>
        <w:left w:val="none" w:sz="0" w:space="0" w:color="auto"/>
        <w:bottom w:val="none" w:sz="0" w:space="0" w:color="auto"/>
        <w:right w:val="none" w:sz="0" w:space="0" w:color="auto"/>
      </w:divBdr>
    </w:div>
    <w:div w:id="430904912">
      <w:bodyDiv w:val="1"/>
      <w:marLeft w:val="0"/>
      <w:marRight w:val="0"/>
      <w:marTop w:val="0"/>
      <w:marBottom w:val="0"/>
      <w:divBdr>
        <w:top w:val="none" w:sz="0" w:space="0" w:color="auto"/>
        <w:left w:val="none" w:sz="0" w:space="0" w:color="auto"/>
        <w:bottom w:val="none" w:sz="0" w:space="0" w:color="auto"/>
        <w:right w:val="none" w:sz="0" w:space="0" w:color="auto"/>
      </w:divBdr>
    </w:div>
    <w:div w:id="431125460">
      <w:bodyDiv w:val="1"/>
      <w:marLeft w:val="0"/>
      <w:marRight w:val="0"/>
      <w:marTop w:val="0"/>
      <w:marBottom w:val="0"/>
      <w:divBdr>
        <w:top w:val="none" w:sz="0" w:space="0" w:color="auto"/>
        <w:left w:val="none" w:sz="0" w:space="0" w:color="auto"/>
        <w:bottom w:val="none" w:sz="0" w:space="0" w:color="auto"/>
        <w:right w:val="none" w:sz="0" w:space="0" w:color="auto"/>
      </w:divBdr>
    </w:div>
    <w:div w:id="431314935">
      <w:bodyDiv w:val="1"/>
      <w:marLeft w:val="0"/>
      <w:marRight w:val="0"/>
      <w:marTop w:val="0"/>
      <w:marBottom w:val="0"/>
      <w:divBdr>
        <w:top w:val="none" w:sz="0" w:space="0" w:color="auto"/>
        <w:left w:val="none" w:sz="0" w:space="0" w:color="auto"/>
        <w:bottom w:val="none" w:sz="0" w:space="0" w:color="auto"/>
        <w:right w:val="none" w:sz="0" w:space="0" w:color="auto"/>
      </w:divBdr>
    </w:div>
    <w:div w:id="431751532">
      <w:bodyDiv w:val="1"/>
      <w:marLeft w:val="0"/>
      <w:marRight w:val="0"/>
      <w:marTop w:val="0"/>
      <w:marBottom w:val="0"/>
      <w:divBdr>
        <w:top w:val="none" w:sz="0" w:space="0" w:color="auto"/>
        <w:left w:val="none" w:sz="0" w:space="0" w:color="auto"/>
        <w:bottom w:val="none" w:sz="0" w:space="0" w:color="auto"/>
        <w:right w:val="none" w:sz="0" w:space="0" w:color="auto"/>
      </w:divBdr>
    </w:div>
    <w:div w:id="431976727">
      <w:bodyDiv w:val="1"/>
      <w:marLeft w:val="0"/>
      <w:marRight w:val="0"/>
      <w:marTop w:val="0"/>
      <w:marBottom w:val="0"/>
      <w:divBdr>
        <w:top w:val="none" w:sz="0" w:space="0" w:color="auto"/>
        <w:left w:val="none" w:sz="0" w:space="0" w:color="auto"/>
        <w:bottom w:val="none" w:sz="0" w:space="0" w:color="auto"/>
        <w:right w:val="none" w:sz="0" w:space="0" w:color="auto"/>
      </w:divBdr>
    </w:div>
    <w:div w:id="432211436">
      <w:bodyDiv w:val="1"/>
      <w:marLeft w:val="0"/>
      <w:marRight w:val="0"/>
      <w:marTop w:val="0"/>
      <w:marBottom w:val="0"/>
      <w:divBdr>
        <w:top w:val="none" w:sz="0" w:space="0" w:color="auto"/>
        <w:left w:val="none" w:sz="0" w:space="0" w:color="auto"/>
        <w:bottom w:val="none" w:sz="0" w:space="0" w:color="auto"/>
        <w:right w:val="none" w:sz="0" w:space="0" w:color="auto"/>
      </w:divBdr>
    </w:div>
    <w:div w:id="432477868">
      <w:bodyDiv w:val="1"/>
      <w:marLeft w:val="0"/>
      <w:marRight w:val="0"/>
      <w:marTop w:val="0"/>
      <w:marBottom w:val="0"/>
      <w:divBdr>
        <w:top w:val="none" w:sz="0" w:space="0" w:color="auto"/>
        <w:left w:val="none" w:sz="0" w:space="0" w:color="auto"/>
        <w:bottom w:val="none" w:sz="0" w:space="0" w:color="auto"/>
        <w:right w:val="none" w:sz="0" w:space="0" w:color="auto"/>
      </w:divBdr>
    </w:div>
    <w:div w:id="432554960">
      <w:bodyDiv w:val="1"/>
      <w:marLeft w:val="0"/>
      <w:marRight w:val="0"/>
      <w:marTop w:val="0"/>
      <w:marBottom w:val="0"/>
      <w:divBdr>
        <w:top w:val="none" w:sz="0" w:space="0" w:color="auto"/>
        <w:left w:val="none" w:sz="0" w:space="0" w:color="auto"/>
        <w:bottom w:val="none" w:sz="0" w:space="0" w:color="auto"/>
        <w:right w:val="none" w:sz="0" w:space="0" w:color="auto"/>
      </w:divBdr>
    </w:div>
    <w:div w:id="433135440">
      <w:bodyDiv w:val="1"/>
      <w:marLeft w:val="0"/>
      <w:marRight w:val="0"/>
      <w:marTop w:val="0"/>
      <w:marBottom w:val="0"/>
      <w:divBdr>
        <w:top w:val="none" w:sz="0" w:space="0" w:color="auto"/>
        <w:left w:val="none" w:sz="0" w:space="0" w:color="auto"/>
        <w:bottom w:val="none" w:sz="0" w:space="0" w:color="auto"/>
        <w:right w:val="none" w:sz="0" w:space="0" w:color="auto"/>
      </w:divBdr>
    </w:div>
    <w:div w:id="433284006">
      <w:bodyDiv w:val="1"/>
      <w:marLeft w:val="0"/>
      <w:marRight w:val="0"/>
      <w:marTop w:val="0"/>
      <w:marBottom w:val="0"/>
      <w:divBdr>
        <w:top w:val="none" w:sz="0" w:space="0" w:color="auto"/>
        <w:left w:val="none" w:sz="0" w:space="0" w:color="auto"/>
        <w:bottom w:val="none" w:sz="0" w:space="0" w:color="auto"/>
        <w:right w:val="none" w:sz="0" w:space="0" w:color="auto"/>
      </w:divBdr>
    </w:div>
    <w:div w:id="433717903">
      <w:bodyDiv w:val="1"/>
      <w:marLeft w:val="0"/>
      <w:marRight w:val="0"/>
      <w:marTop w:val="0"/>
      <w:marBottom w:val="0"/>
      <w:divBdr>
        <w:top w:val="none" w:sz="0" w:space="0" w:color="auto"/>
        <w:left w:val="none" w:sz="0" w:space="0" w:color="auto"/>
        <w:bottom w:val="none" w:sz="0" w:space="0" w:color="auto"/>
        <w:right w:val="none" w:sz="0" w:space="0" w:color="auto"/>
      </w:divBdr>
    </w:div>
    <w:div w:id="433938991">
      <w:bodyDiv w:val="1"/>
      <w:marLeft w:val="0"/>
      <w:marRight w:val="0"/>
      <w:marTop w:val="0"/>
      <w:marBottom w:val="0"/>
      <w:divBdr>
        <w:top w:val="none" w:sz="0" w:space="0" w:color="auto"/>
        <w:left w:val="none" w:sz="0" w:space="0" w:color="auto"/>
        <w:bottom w:val="none" w:sz="0" w:space="0" w:color="auto"/>
        <w:right w:val="none" w:sz="0" w:space="0" w:color="auto"/>
      </w:divBdr>
    </w:div>
    <w:div w:id="433986061">
      <w:bodyDiv w:val="1"/>
      <w:marLeft w:val="0"/>
      <w:marRight w:val="0"/>
      <w:marTop w:val="0"/>
      <w:marBottom w:val="0"/>
      <w:divBdr>
        <w:top w:val="none" w:sz="0" w:space="0" w:color="auto"/>
        <w:left w:val="none" w:sz="0" w:space="0" w:color="auto"/>
        <w:bottom w:val="none" w:sz="0" w:space="0" w:color="auto"/>
        <w:right w:val="none" w:sz="0" w:space="0" w:color="auto"/>
      </w:divBdr>
    </w:div>
    <w:div w:id="433986802">
      <w:bodyDiv w:val="1"/>
      <w:marLeft w:val="0"/>
      <w:marRight w:val="0"/>
      <w:marTop w:val="0"/>
      <w:marBottom w:val="0"/>
      <w:divBdr>
        <w:top w:val="none" w:sz="0" w:space="0" w:color="auto"/>
        <w:left w:val="none" w:sz="0" w:space="0" w:color="auto"/>
        <w:bottom w:val="none" w:sz="0" w:space="0" w:color="auto"/>
        <w:right w:val="none" w:sz="0" w:space="0" w:color="auto"/>
      </w:divBdr>
    </w:div>
    <w:div w:id="433987595">
      <w:bodyDiv w:val="1"/>
      <w:marLeft w:val="0"/>
      <w:marRight w:val="0"/>
      <w:marTop w:val="0"/>
      <w:marBottom w:val="0"/>
      <w:divBdr>
        <w:top w:val="none" w:sz="0" w:space="0" w:color="auto"/>
        <w:left w:val="none" w:sz="0" w:space="0" w:color="auto"/>
        <w:bottom w:val="none" w:sz="0" w:space="0" w:color="auto"/>
        <w:right w:val="none" w:sz="0" w:space="0" w:color="auto"/>
      </w:divBdr>
    </w:div>
    <w:div w:id="434063497">
      <w:bodyDiv w:val="1"/>
      <w:marLeft w:val="0"/>
      <w:marRight w:val="0"/>
      <w:marTop w:val="0"/>
      <w:marBottom w:val="0"/>
      <w:divBdr>
        <w:top w:val="none" w:sz="0" w:space="0" w:color="auto"/>
        <w:left w:val="none" w:sz="0" w:space="0" w:color="auto"/>
        <w:bottom w:val="none" w:sz="0" w:space="0" w:color="auto"/>
        <w:right w:val="none" w:sz="0" w:space="0" w:color="auto"/>
      </w:divBdr>
    </w:div>
    <w:div w:id="434790372">
      <w:bodyDiv w:val="1"/>
      <w:marLeft w:val="0"/>
      <w:marRight w:val="0"/>
      <w:marTop w:val="0"/>
      <w:marBottom w:val="0"/>
      <w:divBdr>
        <w:top w:val="none" w:sz="0" w:space="0" w:color="auto"/>
        <w:left w:val="none" w:sz="0" w:space="0" w:color="auto"/>
        <w:bottom w:val="none" w:sz="0" w:space="0" w:color="auto"/>
        <w:right w:val="none" w:sz="0" w:space="0" w:color="auto"/>
      </w:divBdr>
    </w:div>
    <w:div w:id="434904862">
      <w:bodyDiv w:val="1"/>
      <w:marLeft w:val="0"/>
      <w:marRight w:val="0"/>
      <w:marTop w:val="0"/>
      <w:marBottom w:val="0"/>
      <w:divBdr>
        <w:top w:val="none" w:sz="0" w:space="0" w:color="auto"/>
        <w:left w:val="none" w:sz="0" w:space="0" w:color="auto"/>
        <w:bottom w:val="none" w:sz="0" w:space="0" w:color="auto"/>
        <w:right w:val="none" w:sz="0" w:space="0" w:color="auto"/>
      </w:divBdr>
    </w:div>
    <w:div w:id="435060349">
      <w:bodyDiv w:val="1"/>
      <w:marLeft w:val="0"/>
      <w:marRight w:val="0"/>
      <w:marTop w:val="0"/>
      <w:marBottom w:val="0"/>
      <w:divBdr>
        <w:top w:val="none" w:sz="0" w:space="0" w:color="auto"/>
        <w:left w:val="none" w:sz="0" w:space="0" w:color="auto"/>
        <w:bottom w:val="none" w:sz="0" w:space="0" w:color="auto"/>
        <w:right w:val="none" w:sz="0" w:space="0" w:color="auto"/>
      </w:divBdr>
    </w:div>
    <w:div w:id="435249379">
      <w:bodyDiv w:val="1"/>
      <w:marLeft w:val="0"/>
      <w:marRight w:val="0"/>
      <w:marTop w:val="0"/>
      <w:marBottom w:val="0"/>
      <w:divBdr>
        <w:top w:val="none" w:sz="0" w:space="0" w:color="auto"/>
        <w:left w:val="none" w:sz="0" w:space="0" w:color="auto"/>
        <w:bottom w:val="none" w:sz="0" w:space="0" w:color="auto"/>
        <w:right w:val="none" w:sz="0" w:space="0" w:color="auto"/>
      </w:divBdr>
    </w:div>
    <w:div w:id="435491268">
      <w:bodyDiv w:val="1"/>
      <w:marLeft w:val="0"/>
      <w:marRight w:val="0"/>
      <w:marTop w:val="0"/>
      <w:marBottom w:val="0"/>
      <w:divBdr>
        <w:top w:val="none" w:sz="0" w:space="0" w:color="auto"/>
        <w:left w:val="none" w:sz="0" w:space="0" w:color="auto"/>
        <w:bottom w:val="none" w:sz="0" w:space="0" w:color="auto"/>
        <w:right w:val="none" w:sz="0" w:space="0" w:color="auto"/>
      </w:divBdr>
    </w:div>
    <w:div w:id="435832350">
      <w:bodyDiv w:val="1"/>
      <w:marLeft w:val="0"/>
      <w:marRight w:val="0"/>
      <w:marTop w:val="0"/>
      <w:marBottom w:val="0"/>
      <w:divBdr>
        <w:top w:val="none" w:sz="0" w:space="0" w:color="auto"/>
        <w:left w:val="none" w:sz="0" w:space="0" w:color="auto"/>
        <w:bottom w:val="none" w:sz="0" w:space="0" w:color="auto"/>
        <w:right w:val="none" w:sz="0" w:space="0" w:color="auto"/>
      </w:divBdr>
    </w:div>
    <w:div w:id="435945936">
      <w:bodyDiv w:val="1"/>
      <w:marLeft w:val="0"/>
      <w:marRight w:val="0"/>
      <w:marTop w:val="0"/>
      <w:marBottom w:val="0"/>
      <w:divBdr>
        <w:top w:val="none" w:sz="0" w:space="0" w:color="auto"/>
        <w:left w:val="none" w:sz="0" w:space="0" w:color="auto"/>
        <w:bottom w:val="none" w:sz="0" w:space="0" w:color="auto"/>
        <w:right w:val="none" w:sz="0" w:space="0" w:color="auto"/>
      </w:divBdr>
    </w:div>
    <w:div w:id="436144985">
      <w:bodyDiv w:val="1"/>
      <w:marLeft w:val="0"/>
      <w:marRight w:val="0"/>
      <w:marTop w:val="0"/>
      <w:marBottom w:val="0"/>
      <w:divBdr>
        <w:top w:val="none" w:sz="0" w:space="0" w:color="auto"/>
        <w:left w:val="none" w:sz="0" w:space="0" w:color="auto"/>
        <w:bottom w:val="none" w:sz="0" w:space="0" w:color="auto"/>
        <w:right w:val="none" w:sz="0" w:space="0" w:color="auto"/>
      </w:divBdr>
    </w:div>
    <w:div w:id="437603441">
      <w:bodyDiv w:val="1"/>
      <w:marLeft w:val="0"/>
      <w:marRight w:val="0"/>
      <w:marTop w:val="0"/>
      <w:marBottom w:val="0"/>
      <w:divBdr>
        <w:top w:val="none" w:sz="0" w:space="0" w:color="auto"/>
        <w:left w:val="none" w:sz="0" w:space="0" w:color="auto"/>
        <w:bottom w:val="none" w:sz="0" w:space="0" w:color="auto"/>
        <w:right w:val="none" w:sz="0" w:space="0" w:color="auto"/>
      </w:divBdr>
    </w:div>
    <w:div w:id="438329966">
      <w:bodyDiv w:val="1"/>
      <w:marLeft w:val="0"/>
      <w:marRight w:val="0"/>
      <w:marTop w:val="0"/>
      <w:marBottom w:val="0"/>
      <w:divBdr>
        <w:top w:val="none" w:sz="0" w:space="0" w:color="auto"/>
        <w:left w:val="none" w:sz="0" w:space="0" w:color="auto"/>
        <w:bottom w:val="none" w:sz="0" w:space="0" w:color="auto"/>
        <w:right w:val="none" w:sz="0" w:space="0" w:color="auto"/>
      </w:divBdr>
    </w:div>
    <w:div w:id="438567974">
      <w:bodyDiv w:val="1"/>
      <w:marLeft w:val="0"/>
      <w:marRight w:val="0"/>
      <w:marTop w:val="0"/>
      <w:marBottom w:val="0"/>
      <w:divBdr>
        <w:top w:val="none" w:sz="0" w:space="0" w:color="auto"/>
        <w:left w:val="none" w:sz="0" w:space="0" w:color="auto"/>
        <w:bottom w:val="none" w:sz="0" w:space="0" w:color="auto"/>
        <w:right w:val="none" w:sz="0" w:space="0" w:color="auto"/>
      </w:divBdr>
    </w:div>
    <w:div w:id="438719756">
      <w:bodyDiv w:val="1"/>
      <w:marLeft w:val="0"/>
      <w:marRight w:val="0"/>
      <w:marTop w:val="0"/>
      <w:marBottom w:val="0"/>
      <w:divBdr>
        <w:top w:val="none" w:sz="0" w:space="0" w:color="auto"/>
        <w:left w:val="none" w:sz="0" w:space="0" w:color="auto"/>
        <w:bottom w:val="none" w:sz="0" w:space="0" w:color="auto"/>
        <w:right w:val="none" w:sz="0" w:space="0" w:color="auto"/>
      </w:divBdr>
    </w:div>
    <w:div w:id="438793706">
      <w:bodyDiv w:val="1"/>
      <w:marLeft w:val="0"/>
      <w:marRight w:val="0"/>
      <w:marTop w:val="0"/>
      <w:marBottom w:val="0"/>
      <w:divBdr>
        <w:top w:val="none" w:sz="0" w:space="0" w:color="auto"/>
        <w:left w:val="none" w:sz="0" w:space="0" w:color="auto"/>
        <w:bottom w:val="none" w:sz="0" w:space="0" w:color="auto"/>
        <w:right w:val="none" w:sz="0" w:space="0" w:color="auto"/>
      </w:divBdr>
    </w:div>
    <w:div w:id="439031874">
      <w:bodyDiv w:val="1"/>
      <w:marLeft w:val="0"/>
      <w:marRight w:val="0"/>
      <w:marTop w:val="0"/>
      <w:marBottom w:val="0"/>
      <w:divBdr>
        <w:top w:val="none" w:sz="0" w:space="0" w:color="auto"/>
        <w:left w:val="none" w:sz="0" w:space="0" w:color="auto"/>
        <w:bottom w:val="none" w:sz="0" w:space="0" w:color="auto"/>
        <w:right w:val="none" w:sz="0" w:space="0" w:color="auto"/>
      </w:divBdr>
    </w:div>
    <w:div w:id="439641653">
      <w:bodyDiv w:val="1"/>
      <w:marLeft w:val="0"/>
      <w:marRight w:val="0"/>
      <w:marTop w:val="0"/>
      <w:marBottom w:val="0"/>
      <w:divBdr>
        <w:top w:val="none" w:sz="0" w:space="0" w:color="auto"/>
        <w:left w:val="none" w:sz="0" w:space="0" w:color="auto"/>
        <w:bottom w:val="none" w:sz="0" w:space="0" w:color="auto"/>
        <w:right w:val="none" w:sz="0" w:space="0" w:color="auto"/>
      </w:divBdr>
    </w:div>
    <w:div w:id="440153779">
      <w:bodyDiv w:val="1"/>
      <w:marLeft w:val="0"/>
      <w:marRight w:val="0"/>
      <w:marTop w:val="0"/>
      <w:marBottom w:val="0"/>
      <w:divBdr>
        <w:top w:val="none" w:sz="0" w:space="0" w:color="auto"/>
        <w:left w:val="none" w:sz="0" w:space="0" w:color="auto"/>
        <w:bottom w:val="none" w:sz="0" w:space="0" w:color="auto"/>
        <w:right w:val="none" w:sz="0" w:space="0" w:color="auto"/>
      </w:divBdr>
    </w:div>
    <w:div w:id="440221697">
      <w:bodyDiv w:val="1"/>
      <w:marLeft w:val="0"/>
      <w:marRight w:val="0"/>
      <w:marTop w:val="0"/>
      <w:marBottom w:val="0"/>
      <w:divBdr>
        <w:top w:val="none" w:sz="0" w:space="0" w:color="auto"/>
        <w:left w:val="none" w:sz="0" w:space="0" w:color="auto"/>
        <w:bottom w:val="none" w:sz="0" w:space="0" w:color="auto"/>
        <w:right w:val="none" w:sz="0" w:space="0" w:color="auto"/>
      </w:divBdr>
    </w:div>
    <w:div w:id="440691003">
      <w:bodyDiv w:val="1"/>
      <w:marLeft w:val="0"/>
      <w:marRight w:val="0"/>
      <w:marTop w:val="0"/>
      <w:marBottom w:val="0"/>
      <w:divBdr>
        <w:top w:val="none" w:sz="0" w:space="0" w:color="auto"/>
        <w:left w:val="none" w:sz="0" w:space="0" w:color="auto"/>
        <w:bottom w:val="none" w:sz="0" w:space="0" w:color="auto"/>
        <w:right w:val="none" w:sz="0" w:space="0" w:color="auto"/>
      </w:divBdr>
    </w:div>
    <w:div w:id="441150740">
      <w:bodyDiv w:val="1"/>
      <w:marLeft w:val="0"/>
      <w:marRight w:val="0"/>
      <w:marTop w:val="0"/>
      <w:marBottom w:val="0"/>
      <w:divBdr>
        <w:top w:val="none" w:sz="0" w:space="0" w:color="auto"/>
        <w:left w:val="none" w:sz="0" w:space="0" w:color="auto"/>
        <w:bottom w:val="none" w:sz="0" w:space="0" w:color="auto"/>
        <w:right w:val="none" w:sz="0" w:space="0" w:color="auto"/>
      </w:divBdr>
    </w:div>
    <w:div w:id="441346206">
      <w:bodyDiv w:val="1"/>
      <w:marLeft w:val="0"/>
      <w:marRight w:val="0"/>
      <w:marTop w:val="0"/>
      <w:marBottom w:val="0"/>
      <w:divBdr>
        <w:top w:val="none" w:sz="0" w:space="0" w:color="auto"/>
        <w:left w:val="none" w:sz="0" w:space="0" w:color="auto"/>
        <w:bottom w:val="none" w:sz="0" w:space="0" w:color="auto"/>
        <w:right w:val="none" w:sz="0" w:space="0" w:color="auto"/>
      </w:divBdr>
    </w:div>
    <w:div w:id="441458134">
      <w:bodyDiv w:val="1"/>
      <w:marLeft w:val="0"/>
      <w:marRight w:val="0"/>
      <w:marTop w:val="0"/>
      <w:marBottom w:val="0"/>
      <w:divBdr>
        <w:top w:val="none" w:sz="0" w:space="0" w:color="auto"/>
        <w:left w:val="none" w:sz="0" w:space="0" w:color="auto"/>
        <w:bottom w:val="none" w:sz="0" w:space="0" w:color="auto"/>
        <w:right w:val="none" w:sz="0" w:space="0" w:color="auto"/>
      </w:divBdr>
    </w:div>
    <w:div w:id="442655179">
      <w:bodyDiv w:val="1"/>
      <w:marLeft w:val="0"/>
      <w:marRight w:val="0"/>
      <w:marTop w:val="0"/>
      <w:marBottom w:val="0"/>
      <w:divBdr>
        <w:top w:val="none" w:sz="0" w:space="0" w:color="auto"/>
        <w:left w:val="none" w:sz="0" w:space="0" w:color="auto"/>
        <w:bottom w:val="none" w:sz="0" w:space="0" w:color="auto"/>
        <w:right w:val="none" w:sz="0" w:space="0" w:color="auto"/>
      </w:divBdr>
    </w:div>
    <w:div w:id="442847105">
      <w:bodyDiv w:val="1"/>
      <w:marLeft w:val="0"/>
      <w:marRight w:val="0"/>
      <w:marTop w:val="0"/>
      <w:marBottom w:val="0"/>
      <w:divBdr>
        <w:top w:val="none" w:sz="0" w:space="0" w:color="auto"/>
        <w:left w:val="none" w:sz="0" w:space="0" w:color="auto"/>
        <w:bottom w:val="none" w:sz="0" w:space="0" w:color="auto"/>
        <w:right w:val="none" w:sz="0" w:space="0" w:color="auto"/>
      </w:divBdr>
    </w:div>
    <w:div w:id="442919543">
      <w:bodyDiv w:val="1"/>
      <w:marLeft w:val="0"/>
      <w:marRight w:val="0"/>
      <w:marTop w:val="0"/>
      <w:marBottom w:val="0"/>
      <w:divBdr>
        <w:top w:val="none" w:sz="0" w:space="0" w:color="auto"/>
        <w:left w:val="none" w:sz="0" w:space="0" w:color="auto"/>
        <w:bottom w:val="none" w:sz="0" w:space="0" w:color="auto"/>
        <w:right w:val="none" w:sz="0" w:space="0" w:color="auto"/>
      </w:divBdr>
    </w:div>
    <w:div w:id="442924836">
      <w:bodyDiv w:val="1"/>
      <w:marLeft w:val="0"/>
      <w:marRight w:val="0"/>
      <w:marTop w:val="0"/>
      <w:marBottom w:val="0"/>
      <w:divBdr>
        <w:top w:val="none" w:sz="0" w:space="0" w:color="auto"/>
        <w:left w:val="none" w:sz="0" w:space="0" w:color="auto"/>
        <w:bottom w:val="none" w:sz="0" w:space="0" w:color="auto"/>
        <w:right w:val="none" w:sz="0" w:space="0" w:color="auto"/>
      </w:divBdr>
    </w:div>
    <w:div w:id="443186423">
      <w:bodyDiv w:val="1"/>
      <w:marLeft w:val="0"/>
      <w:marRight w:val="0"/>
      <w:marTop w:val="0"/>
      <w:marBottom w:val="0"/>
      <w:divBdr>
        <w:top w:val="none" w:sz="0" w:space="0" w:color="auto"/>
        <w:left w:val="none" w:sz="0" w:space="0" w:color="auto"/>
        <w:bottom w:val="none" w:sz="0" w:space="0" w:color="auto"/>
        <w:right w:val="none" w:sz="0" w:space="0" w:color="auto"/>
      </w:divBdr>
    </w:div>
    <w:div w:id="443233306">
      <w:bodyDiv w:val="1"/>
      <w:marLeft w:val="0"/>
      <w:marRight w:val="0"/>
      <w:marTop w:val="0"/>
      <w:marBottom w:val="0"/>
      <w:divBdr>
        <w:top w:val="none" w:sz="0" w:space="0" w:color="auto"/>
        <w:left w:val="none" w:sz="0" w:space="0" w:color="auto"/>
        <w:bottom w:val="none" w:sz="0" w:space="0" w:color="auto"/>
        <w:right w:val="none" w:sz="0" w:space="0" w:color="auto"/>
      </w:divBdr>
    </w:div>
    <w:div w:id="443352957">
      <w:bodyDiv w:val="1"/>
      <w:marLeft w:val="0"/>
      <w:marRight w:val="0"/>
      <w:marTop w:val="0"/>
      <w:marBottom w:val="0"/>
      <w:divBdr>
        <w:top w:val="none" w:sz="0" w:space="0" w:color="auto"/>
        <w:left w:val="none" w:sz="0" w:space="0" w:color="auto"/>
        <w:bottom w:val="none" w:sz="0" w:space="0" w:color="auto"/>
        <w:right w:val="none" w:sz="0" w:space="0" w:color="auto"/>
      </w:divBdr>
    </w:div>
    <w:div w:id="443380360">
      <w:bodyDiv w:val="1"/>
      <w:marLeft w:val="0"/>
      <w:marRight w:val="0"/>
      <w:marTop w:val="0"/>
      <w:marBottom w:val="0"/>
      <w:divBdr>
        <w:top w:val="none" w:sz="0" w:space="0" w:color="auto"/>
        <w:left w:val="none" w:sz="0" w:space="0" w:color="auto"/>
        <w:bottom w:val="none" w:sz="0" w:space="0" w:color="auto"/>
        <w:right w:val="none" w:sz="0" w:space="0" w:color="auto"/>
      </w:divBdr>
    </w:div>
    <w:div w:id="443573097">
      <w:bodyDiv w:val="1"/>
      <w:marLeft w:val="0"/>
      <w:marRight w:val="0"/>
      <w:marTop w:val="0"/>
      <w:marBottom w:val="0"/>
      <w:divBdr>
        <w:top w:val="none" w:sz="0" w:space="0" w:color="auto"/>
        <w:left w:val="none" w:sz="0" w:space="0" w:color="auto"/>
        <w:bottom w:val="none" w:sz="0" w:space="0" w:color="auto"/>
        <w:right w:val="none" w:sz="0" w:space="0" w:color="auto"/>
      </w:divBdr>
    </w:div>
    <w:div w:id="443694803">
      <w:bodyDiv w:val="1"/>
      <w:marLeft w:val="0"/>
      <w:marRight w:val="0"/>
      <w:marTop w:val="0"/>
      <w:marBottom w:val="0"/>
      <w:divBdr>
        <w:top w:val="none" w:sz="0" w:space="0" w:color="auto"/>
        <w:left w:val="none" w:sz="0" w:space="0" w:color="auto"/>
        <w:bottom w:val="none" w:sz="0" w:space="0" w:color="auto"/>
        <w:right w:val="none" w:sz="0" w:space="0" w:color="auto"/>
      </w:divBdr>
    </w:div>
    <w:div w:id="443959481">
      <w:bodyDiv w:val="1"/>
      <w:marLeft w:val="0"/>
      <w:marRight w:val="0"/>
      <w:marTop w:val="0"/>
      <w:marBottom w:val="0"/>
      <w:divBdr>
        <w:top w:val="none" w:sz="0" w:space="0" w:color="auto"/>
        <w:left w:val="none" w:sz="0" w:space="0" w:color="auto"/>
        <w:bottom w:val="none" w:sz="0" w:space="0" w:color="auto"/>
        <w:right w:val="none" w:sz="0" w:space="0" w:color="auto"/>
      </w:divBdr>
    </w:div>
    <w:div w:id="445080134">
      <w:bodyDiv w:val="1"/>
      <w:marLeft w:val="0"/>
      <w:marRight w:val="0"/>
      <w:marTop w:val="0"/>
      <w:marBottom w:val="0"/>
      <w:divBdr>
        <w:top w:val="none" w:sz="0" w:space="0" w:color="auto"/>
        <w:left w:val="none" w:sz="0" w:space="0" w:color="auto"/>
        <w:bottom w:val="none" w:sz="0" w:space="0" w:color="auto"/>
        <w:right w:val="none" w:sz="0" w:space="0" w:color="auto"/>
      </w:divBdr>
    </w:div>
    <w:div w:id="445469193">
      <w:bodyDiv w:val="1"/>
      <w:marLeft w:val="0"/>
      <w:marRight w:val="0"/>
      <w:marTop w:val="0"/>
      <w:marBottom w:val="0"/>
      <w:divBdr>
        <w:top w:val="none" w:sz="0" w:space="0" w:color="auto"/>
        <w:left w:val="none" w:sz="0" w:space="0" w:color="auto"/>
        <w:bottom w:val="none" w:sz="0" w:space="0" w:color="auto"/>
        <w:right w:val="none" w:sz="0" w:space="0" w:color="auto"/>
      </w:divBdr>
    </w:div>
    <w:div w:id="445542016">
      <w:bodyDiv w:val="1"/>
      <w:marLeft w:val="0"/>
      <w:marRight w:val="0"/>
      <w:marTop w:val="0"/>
      <w:marBottom w:val="0"/>
      <w:divBdr>
        <w:top w:val="none" w:sz="0" w:space="0" w:color="auto"/>
        <w:left w:val="none" w:sz="0" w:space="0" w:color="auto"/>
        <w:bottom w:val="none" w:sz="0" w:space="0" w:color="auto"/>
        <w:right w:val="none" w:sz="0" w:space="0" w:color="auto"/>
      </w:divBdr>
    </w:div>
    <w:div w:id="446201222">
      <w:bodyDiv w:val="1"/>
      <w:marLeft w:val="0"/>
      <w:marRight w:val="0"/>
      <w:marTop w:val="0"/>
      <w:marBottom w:val="0"/>
      <w:divBdr>
        <w:top w:val="none" w:sz="0" w:space="0" w:color="auto"/>
        <w:left w:val="none" w:sz="0" w:space="0" w:color="auto"/>
        <w:bottom w:val="none" w:sz="0" w:space="0" w:color="auto"/>
        <w:right w:val="none" w:sz="0" w:space="0" w:color="auto"/>
      </w:divBdr>
    </w:div>
    <w:div w:id="447048169">
      <w:bodyDiv w:val="1"/>
      <w:marLeft w:val="0"/>
      <w:marRight w:val="0"/>
      <w:marTop w:val="0"/>
      <w:marBottom w:val="0"/>
      <w:divBdr>
        <w:top w:val="none" w:sz="0" w:space="0" w:color="auto"/>
        <w:left w:val="none" w:sz="0" w:space="0" w:color="auto"/>
        <w:bottom w:val="none" w:sz="0" w:space="0" w:color="auto"/>
        <w:right w:val="none" w:sz="0" w:space="0" w:color="auto"/>
      </w:divBdr>
    </w:div>
    <w:div w:id="447358314">
      <w:bodyDiv w:val="1"/>
      <w:marLeft w:val="0"/>
      <w:marRight w:val="0"/>
      <w:marTop w:val="0"/>
      <w:marBottom w:val="0"/>
      <w:divBdr>
        <w:top w:val="none" w:sz="0" w:space="0" w:color="auto"/>
        <w:left w:val="none" w:sz="0" w:space="0" w:color="auto"/>
        <w:bottom w:val="none" w:sz="0" w:space="0" w:color="auto"/>
        <w:right w:val="none" w:sz="0" w:space="0" w:color="auto"/>
      </w:divBdr>
    </w:div>
    <w:div w:id="447894763">
      <w:bodyDiv w:val="1"/>
      <w:marLeft w:val="0"/>
      <w:marRight w:val="0"/>
      <w:marTop w:val="0"/>
      <w:marBottom w:val="0"/>
      <w:divBdr>
        <w:top w:val="none" w:sz="0" w:space="0" w:color="auto"/>
        <w:left w:val="none" w:sz="0" w:space="0" w:color="auto"/>
        <w:bottom w:val="none" w:sz="0" w:space="0" w:color="auto"/>
        <w:right w:val="none" w:sz="0" w:space="0" w:color="auto"/>
      </w:divBdr>
    </w:div>
    <w:div w:id="447970546">
      <w:bodyDiv w:val="1"/>
      <w:marLeft w:val="0"/>
      <w:marRight w:val="0"/>
      <w:marTop w:val="0"/>
      <w:marBottom w:val="0"/>
      <w:divBdr>
        <w:top w:val="none" w:sz="0" w:space="0" w:color="auto"/>
        <w:left w:val="none" w:sz="0" w:space="0" w:color="auto"/>
        <w:bottom w:val="none" w:sz="0" w:space="0" w:color="auto"/>
        <w:right w:val="none" w:sz="0" w:space="0" w:color="auto"/>
      </w:divBdr>
    </w:div>
    <w:div w:id="448359137">
      <w:bodyDiv w:val="1"/>
      <w:marLeft w:val="0"/>
      <w:marRight w:val="0"/>
      <w:marTop w:val="0"/>
      <w:marBottom w:val="0"/>
      <w:divBdr>
        <w:top w:val="none" w:sz="0" w:space="0" w:color="auto"/>
        <w:left w:val="none" w:sz="0" w:space="0" w:color="auto"/>
        <w:bottom w:val="none" w:sz="0" w:space="0" w:color="auto"/>
        <w:right w:val="none" w:sz="0" w:space="0" w:color="auto"/>
      </w:divBdr>
    </w:div>
    <w:div w:id="448429899">
      <w:bodyDiv w:val="1"/>
      <w:marLeft w:val="0"/>
      <w:marRight w:val="0"/>
      <w:marTop w:val="0"/>
      <w:marBottom w:val="0"/>
      <w:divBdr>
        <w:top w:val="none" w:sz="0" w:space="0" w:color="auto"/>
        <w:left w:val="none" w:sz="0" w:space="0" w:color="auto"/>
        <w:bottom w:val="none" w:sz="0" w:space="0" w:color="auto"/>
        <w:right w:val="none" w:sz="0" w:space="0" w:color="auto"/>
      </w:divBdr>
    </w:div>
    <w:div w:id="448545692">
      <w:bodyDiv w:val="1"/>
      <w:marLeft w:val="0"/>
      <w:marRight w:val="0"/>
      <w:marTop w:val="0"/>
      <w:marBottom w:val="0"/>
      <w:divBdr>
        <w:top w:val="none" w:sz="0" w:space="0" w:color="auto"/>
        <w:left w:val="none" w:sz="0" w:space="0" w:color="auto"/>
        <w:bottom w:val="none" w:sz="0" w:space="0" w:color="auto"/>
        <w:right w:val="none" w:sz="0" w:space="0" w:color="auto"/>
      </w:divBdr>
    </w:div>
    <w:div w:id="448669684">
      <w:bodyDiv w:val="1"/>
      <w:marLeft w:val="0"/>
      <w:marRight w:val="0"/>
      <w:marTop w:val="0"/>
      <w:marBottom w:val="0"/>
      <w:divBdr>
        <w:top w:val="none" w:sz="0" w:space="0" w:color="auto"/>
        <w:left w:val="none" w:sz="0" w:space="0" w:color="auto"/>
        <w:bottom w:val="none" w:sz="0" w:space="0" w:color="auto"/>
        <w:right w:val="none" w:sz="0" w:space="0" w:color="auto"/>
      </w:divBdr>
    </w:div>
    <w:div w:id="449319524">
      <w:bodyDiv w:val="1"/>
      <w:marLeft w:val="0"/>
      <w:marRight w:val="0"/>
      <w:marTop w:val="0"/>
      <w:marBottom w:val="0"/>
      <w:divBdr>
        <w:top w:val="none" w:sz="0" w:space="0" w:color="auto"/>
        <w:left w:val="none" w:sz="0" w:space="0" w:color="auto"/>
        <w:bottom w:val="none" w:sz="0" w:space="0" w:color="auto"/>
        <w:right w:val="none" w:sz="0" w:space="0" w:color="auto"/>
      </w:divBdr>
    </w:div>
    <w:div w:id="449784413">
      <w:bodyDiv w:val="1"/>
      <w:marLeft w:val="0"/>
      <w:marRight w:val="0"/>
      <w:marTop w:val="0"/>
      <w:marBottom w:val="0"/>
      <w:divBdr>
        <w:top w:val="none" w:sz="0" w:space="0" w:color="auto"/>
        <w:left w:val="none" w:sz="0" w:space="0" w:color="auto"/>
        <w:bottom w:val="none" w:sz="0" w:space="0" w:color="auto"/>
        <w:right w:val="none" w:sz="0" w:space="0" w:color="auto"/>
      </w:divBdr>
    </w:div>
    <w:div w:id="450049811">
      <w:bodyDiv w:val="1"/>
      <w:marLeft w:val="0"/>
      <w:marRight w:val="0"/>
      <w:marTop w:val="0"/>
      <w:marBottom w:val="0"/>
      <w:divBdr>
        <w:top w:val="none" w:sz="0" w:space="0" w:color="auto"/>
        <w:left w:val="none" w:sz="0" w:space="0" w:color="auto"/>
        <w:bottom w:val="none" w:sz="0" w:space="0" w:color="auto"/>
        <w:right w:val="none" w:sz="0" w:space="0" w:color="auto"/>
      </w:divBdr>
    </w:div>
    <w:div w:id="450175436">
      <w:bodyDiv w:val="1"/>
      <w:marLeft w:val="0"/>
      <w:marRight w:val="0"/>
      <w:marTop w:val="0"/>
      <w:marBottom w:val="0"/>
      <w:divBdr>
        <w:top w:val="none" w:sz="0" w:space="0" w:color="auto"/>
        <w:left w:val="none" w:sz="0" w:space="0" w:color="auto"/>
        <w:bottom w:val="none" w:sz="0" w:space="0" w:color="auto"/>
        <w:right w:val="none" w:sz="0" w:space="0" w:color="auto"/>
      </w:divBdr>
    </w:div>
    <w:div w:id="450629938">
      <w:bodyDiv w:val="1"/>
      <w:marLeft w:val="0"/>
      <w:marRight w:val="0"/>
      <w:marTop w:val="0"/>
      <w:marBottom w:val="0"/>
      <w:divBdr>
        <w:top w:val="none" w:sz="0" w:space="0" w:color="auto"/>
        <w:left w:val="none" w:sz="0" w:space="0" w:color="auto"/>
        <w:bottom w:val="none" w:sz="0" w:space="0" w:color="auto"/>
        <w:right w:val="none" w:sz="0" w:space="0" w:color="auto"/>
      </w:divBdr>
    </w:div>
    <w:div w:id="450783893">
      <w:bodyDiv w:val="1"/>
      <w:marLeft w:val="0"/>
      <w:marRight w:val="0"/>
      <w:marTop w:val="0"/>
      <w:marBottom w:val="0"/>
      <w:divBdr>
        <w:top w:val="none" w:sz="0" w:space="0" w:color="auto"/>
        <w:left w:val="none" w:sz="0" w:space="0" w:color="auto"/>
        <w:bottom w:val="none" w:sz="0" w:space="0" w:color="auto"/>
        <w:right w:val="none" w:sz="0" w:space="0" w:color="auto"/>
      </w:divBdr>
    </w:div>
    <w:div w:id="451168388">
      <w:bodyDiv w:val="1"/>
      <w:marLeft w:val="0"/>
      <w:marRight w:val="0"/>
      <w:marTop w:val="0"/>
      <w:marBottom w:val="0"/>
      <w:divBdr>
        <w:top w:val="none" w:sz="0" w:space="0" w:color="auto"/>
        <w:left w:val="none" w:sz="0" w:space="0" w:color="auto"/>
        <w:bottom w:val="none" w:sz="0" w:space="0" w:color="auto"/>
        <w:right w:val="none" w:sz="0" w:space="0" w:color="auto"/>
      </w:divBdr>
    </w:div>
    <w:div w:id="451168928">
      <w:bodyDiv w:val="1"/>
      <w:marLeft w:val="0"/>
      <w:marRight w:val="0"/>
      <w:marTop w:val="0"/>
      <w:marBottom w:val="0"/>
      <w:divBdr>
        <w:top w:val="none" w:sz="0" w:space="0" w:color="auto"/>
        <w:left w:val="none" w:sz="0" w:space="0" w:color="auto"/>
        <w:bottom w:val="none" w:sz="0" w:space="0" w:color="auto"/>
        <w:right w:val="none" w:sz="0" w:space="0" w:color="auto"/>
      </w:divBdr>
    </w:div>
    <w:div w:id="451290957">
      <w:bodyDiv w:val="1"/>
      <w:marLeft w:val="0"/>
      <w:marRight w:val="0"/>
      <w:marTop w:val="0"/>
      <w:marBottom w:val="0"/>
      <w:divBdr>
        <w:top w:val="none" w:sz="0" w:space="0" w:color="auto"/>
        <w:left w:val="none" w:sz="0" w:space="0" w:color="auto"/>
        <w:bottom w:val="none" w:sz="0" w:space="0" w:color="auto"/>
        <w:right w:val="none" w:sz="0" w:space="0" w:color="auto"/>
      </w:divBdr>
    </w:div>
    <w:div w:id="451636089">
      <w:bodyDiv w:val="1"/>
      <w:marLeft w:val="0"/>
      <w:marRight w:val="0"/>
      <w:marTop w:val="0"/>
      <w:marBottom w:val="0"/>
      <w:divBdr>
        <w:top w:val="none" w:sz="0" w:space="0" w:color="auto"/>
        <w:left w:val="none" w:sz="0" w:space="0" w:color="auto"/>
        <w:bottom w:val="none" w:sz="0" w:space="0" w:color="auto"/>
        <w:right w:val="none" w:sz="0" w:space="0" w:color="auto"/>
      </w:divBdr>
    </w:div>
    <w:div w:id="451750923">
      <w:bodyDiv w:val="1"/>
      <w:marLeft w:val="0"/>
      <w:marRight w:val="0"/>
      <w:marTop w:val="0"/>
      <w:marBottom w:val="0"/>
      <w:divBdr>
        <w:top w:val="none" w:sz="0" w:space="0" w:color="auto"/>
        <w:left w:val="none" w:sz="0" w:space="0" w:color="auto"/>
        <w:bottom w:val="none" w:sz="0" w:space="0" w:color="auto"/>
        <w:right w:val="none" w:sz="0" w:space="0" w:color="auto"/>
      </w:divBdr>
    </w:div>
    <w:div w:id="451754765">
      <w:bodyDiv w:val="1"/>
      <w:marLeft w:val="0"/>
      <w:marRight w:val="0"/>
      <w:marTop w:val="0"/>
      <w:marBottom w:val="0"/>
      <w:divBdr>
        <w:top w:val="none" w:sz="0" w:space="0" w:color="auto"/>
        <w:left w:val="none" w:sz="0" w:space="0" w:color="auto"/>
        <w:bottom w:val="none" w:sz="0" w:space="0" w:color="auto"/>
        <w:right w:val="none" w:sz="0" w:space="0" w:color="auto"/>
      </w:divBdr>
    </w:div>
    <w:div w:id="451755443">
      <w:bodyDiv w:val="1"/>
      <w:marLeft w:val="0"/>
      <w:marRight w:val="0"/>
      <w:marTop w:val="0"/>
      <w:marBottom w:val="0"/>
      <w:divBdr>
        <w:top w:val="none" w:sz="0" w:space="0" w:color="auto"/>
        <w:left w:val="none" w:sz="0" w:space="0" w:color="auto"/>
        <w:bottom w:val="none" w:sz="0" w:space="0" w:color="auto"/>
        <w:right w:val="none" w:sz="0" w:space="0" w:color="auto"/>
      </w:divBdr>
    </w:div>
    <w:div w:id="451826507">
      <w:bodyDiv w:val="1"/>
      <w:marLeft w:val="0"/>
      <w:marRight w:val="0"/>
      <w:marTop w:val="0"/>
      <w:marBottom w:val="0"/>
      <w:divBdr>
        <w:top w:val="none" w:sz="0" w:space="0" w:color="auto"/>
        <w:left w:val="none" w:sz="0" w:space="0" w:color="auto"/>
        <w:bottom w:val="none" w:sz="0" w:space="0" w:color="auto"/>
        <w:right w:val="none" w:sz="0" w:space="0" w:color="auto"/>
      </w:divBdr>
    </w:div>
    <w:div w:id="451828315">
      <w:bodyDiv w:val="1"/>
      <w:marLeft w:val="0"/>
      <w:marRight w:val="0"/>
      <w:marTop w:val="0"/>
      <w:marBottom w:val="0"/>
      <w:divBdr>
        <w:top w:val="none" w:sz="0" w:space="0" w:color="auto"/>
        <w:left w:val="none" w:sz="0" w:space="0" w:color="auto"/>
        <w:bottom w:val="none" w:sz="0" w:space="0" w:color="auto"/>
        <w:right w:val="none" w:sz="0" w:space="0" w:color="auto"/>
      </w:divBdr>
    </w:div>
    <w:div w:id="452483169">
      <w:bodyDiv w:val="1"/>
      <w:marLeft w:val="0"/>
      <w:marRight w:val="0"/>
      <w:marTop w:val="0"/>
      <w:marBottom w:val="0"/>
      <w:divBdr>
        <w:top w:val="none" w:sz="0" w:space="0" w:color="auto"/>
        <w:left w:val="none" w:sz="0" w:space="0" w:color="auto"/>
        <w:bottom w:val="none" w:sz="0" w:space="0" w:color="auto"/>
        <w:right w:val="none" w:sz="0" w:space="0" w:color="auto"/>
      </w:divBdr>
    </w:div>
    <w:div w:id="452486499">
      <w:bodyDiv w:val="1"/>
      <w:marLeft w:val="0"/>
      <w:marRight w:val="0"/>
      <w:marTop w:val="0"/>
      <w:marBottom w:val="0"/>
      <w:divBdr>
        <w:top w:val="none" w:sz="0" w:space="0" w:color="auto"/>
        <w:left w:val="none" w:sz="0" w:space="0" w:color="auto"/>
        <w:bottom w:val="none" w:sz="0" w:space="0" w:color="auto"/>
        <w:right w:val="none" w:sz="0" w:space="0" w:color="auto"/>
      </w:divBdr>
    </w:div>
    <w:div w:id="453443936">
      <w:bodyDiv w:val="1"/>
      <w:marLeft w:val="0"/>
      <w:marRight w:val="0"/>
      <w:marTop w:val="0"/>
      <w:marBottom w:val="0"/>
      <w:divBdr>
        <w:top w:val="none" w:sz="0" w:space="0" w:color="auto"/>
        <w:left w:val="none" w:sz="0" w:space="0" w:color="auto"/>
        <w:bottom w:val="none" w:sz="0" w:space="0" w:color="auto"/>
        <w:right w:val="none" w:sz="0" w:space="0" w:color="auto"/>
      </w:divBdr>
    </w:div>
    <w:div w:id="454058178">
      <w:bodyDiv w:val="1"/>
      <w:marLeft w:val="0"/>
      <w:marRight w:val="0"/>
      <w:marTop w:val="0"/>
      <w:marBottom w:val="0"/>
      <w:divBdr>
        <w:top w:val="none" w:sz="0" w:space="0" w:color="auto"/>
        <w:left w:val="none" w:sz="0" w:space="0" w:color="auto"/>
        <w:bottom w:val="none" w:sz="0" w:space="0" w:color="auto"/>
        <w:right w:val="none" w:sz="0" w:space="0" w:color="auto"/>
      </w:divBdr>
    </w:div>
    <w:div w:id="454835433">
      <w:bodyDiv w:val="1"/>
      <w:marLeft w:val="0"/>
      <w:marRight w:val="0"/>
      <w:marTop w:val="0"/>
      <w:marBottom w:val="0"/>
      <w:divBdr>
        <w:top w:val="none" w:sz="0" w:space="0" w:color="auto"/>
        <w:left w:val="none" w:sz="0" w:space="0" w:color="auto"/>
        <w:bottom w:val="none" w:sz="0" w:space="0" w:color="auto"/>
        <w:right w:val="none" w:sz="0" w:space="0" w:color="auto"/>
      </w:divBdr>
    </w:div>
    <w:div w:id="454954940">
      <w:bodyDiv w:val="1"/>
      <w:marLeft w:val="0"/>
      <w:marRight w:val="0"/>
      <w:marTop w:val="0"/>
      <w:marBottom w:val="0"/>
      <w:divBdr>
        <w:top w:val="none" w:sz="0" w:space="0" w:color="auto"/>
        <w:left w:val="none" w:sz="0" w:space="0" w:color="auto"/>
        <w:bottom w:val="none" w:sz="0" w:space="0" w:color="auto"/>
        <w:right w:val="none" w:sz="0" w:space="0" w:color="auto"/>
      </w:divBdr>
    </w:div>
    <w:div w:id="455218443">
      <w:bodyDiv w:val="1"/>
      <w:marLeft w:val="0"/>
      <w:marRight w:val="0"/>
      <w:marTop w:val="0"/>
      <w:marBottom w:val="0"/>
      <w:divBdr>
        <w:top w:val="none" w:sz="0" w:space="0" w:color="auto"/>
        <w:left w:val="none" w:sz="0" w:space="0" w:color="auto"/>
        <w:bottom w:val="none" w:sz="0" w:space="0" w:color="auto"/>
        <w:right w:val="none" w:sz="0" w:space="0" w:color="auto"/>
      </w:divBdr>
    </w:div>
    <w:div w:id="455756923">
      <w:bodyDiv w:val="1"/>
      <w:marLeft w:val="0"/>
      <w:marRight w:val="0"/>
      <w:marTop w:val="0"/>
      <w:marBottom w:val="0"/>
      <w:divBdr>
        <w:top w:val="none" w:sz="0" w:space="0" w:color="auto"/>
        <w:left w:val="none" w:sz="0" w:space="0" w:color="auto"/>
        <w:bottom w:val="none" w:sz="0" w:space="0" w:color="auto"/>
        <w:right w:val="none" w:sz="0" w:space="0" w:color="auto"/>
      </w:divBdr>
    </w:div>
    <w:div w:id="455880192">
      <w:bodyDiv w:val="1"/>
      <w:marLeft w:val="0"/>
      <w:marRight w:val="0"/>
      <w:marTop w:val="0"/>
      <w:marBottom w:val="0"/>
      <w:divBdr>
        <w:top w:val="none" w:sz="0" w:space="0" w:color="auto"/>
        <w:left w:val="none" w:sz="0" w:space="0" w:color="auto"/>
        <w:bottom w:val="none" w:sz="0" w:space="0" w:color="auto"/>
        <w:right w:val="none" w:sz="0" w:space="0" w:color="auto"/>
      </w:divBdr>
    </w:div>
    <w:div w:id="456148346">
      <w:bodyDiv w:val="1"/>
      <w:marLeft w:val="0"/>
      <w:marRight w:val="0"/>
      <w:marTop w:val="0"/>
      <w:marBottom w:val="0"/>
      <w:divBdr>
        <w:top w:val="none" w:sz="0" w:space="0" w:color="auto"/>
        <w:left w:val="none" w:sz="0" w:space="0" w:color="auto"/>
        <w:bottom w:val="none" w:sz="0" w:space="0" w:color="auto"/>
        <w:right w:val="none" w:sz="0" w:space="0" w:color="auto"/>
      </w:divBdr>
    </w:div>
    <w:div w:id="456685133">
      <w:bodyDiv w:val="1"/>
      <w:marLeft w:val="0"/>
      <w:marRight w:val="0"/>
      <w:marTop w:val="0"/>
      <w:marBottom w:val="0"/>
      <w:divBdr>
        <w:top w:val="none" w:sz="0" w:space="0" w:color="auto"/>
        <w:left w:val="none" w:sz="0" w:space="0" w:color="auto"/>
        <w:bottom w:val="none" w:sz="0" w:space="0" w:color="auto"/>
        <w:right w:val="none" w:sz="0" w:space="0" w:color="auto"/>
      </w:divBdr>
    </w:div>
    <w:div w:id="457260644">
      <w:bodyDiv w:val="1"/>
      <w:marLeft w:val="0"/>
      <w:marRight w:val="0"/>
      <w:marTop w:val="0"/>
      <w:marBottom w:val="0"/>
      <w:divBdr>
        <w:top w:val="none" w:sz="0" w:space="0" w:color="auto"/>
        <w:left w:val="none" w:sz="0" w:space="0" w:color="auto"/>
        <w:bottom w:val="none" w:sz="0" w:space="0" w:color="auto"/>
        <w:right w:val="none" w:sz="0" w:space="0" w:color="auto"/>
      </w:divBdr>
    </w:div>
    <w:div w:id="457377537">
      <w:bodyDiv w:val="1"/>
      <w:marLeft w:val="0"/>
      <w:marRight w:val="0"/>
      <w:marTop w:val="0"/>
      <w:marBottom w:val="0"/>
      <w:divBdr>
        <w:top w:val="none" w:sz="0" w:space="0" w:color="auto"/>
        <w:left w:val="none" w:sz="0" w:space="0" w:color="auto"/>
        <w:bottom w:val="none" w:sz="0" w:space="0" w:color="auto"/>
        <w:right w:val="none" w:sz="0" w:space="0" w:color="auto"/>
      </w:divBdr>
    </w:div>
    <w:div w:id="457770999">
      <w:bodyDiv w:val="1"/>
      <w:marLeft w:val="0"/>
      <w:marRight w:val="0"/>
      <w:marTop w:val="0"/>
      <w:marBottom w:val="0"/>
      <w:divBdr>
        <w:top w:val="none" w:sz="0" w:space="0" w:color="auto"/>
        <w:left w:val="none" w:sz="0" w:space="0" w:color="auto"/>
        <w:bottom w:val="none" w:sz="0" w:space="0" w:color="auto"/>
        <w:right w:val="none" w:sz="0" w:space="0" w:color="auto"/>
      </w:divBdr>
    </w:div>
    <w:div w:id="457794575">
      <w:bodyDiv w:val="1"/>
      <w:marLeft w:val="0"/>
      <w:marRight w:val="0"/>
      <w:marTop w:val="0"/>
      <w:marBottom w:val="0"/>
      <w:divBdr>
        <w:top w:val="none" w:sz="0" w:space="0" w:color="auto"/>
        <w:left w:val="none" w:sz="0" w:space="0" w:color="auto"/>
        <w:bottom w:val="none" w:sz="0" w:space="0" w:color="auto"/>
        <w:right w:val="none" w:sz="0" w:space="0" w:color="auto"/>
      </w:divBdr>
    </w:div>
    <w:div w:id="457914317">
      <w:bodyDiv w:val="1"/>
      <w:marLeft w:val="0"/>
      <w:marRight w:val="0"/>
      <w:marTop w:val="0"/>
      <w:marBottom w:val="0"/>
      <w:divBdr>
        <w:top w:val="none" w:sz="0" w:space="0" w:color="auto"/>
        <w:left w:val="none" w:sz="0" w:space="0" w:color="auto"/>
        <w:bottom w:val="none" w:sz="0" w:space="0" w:color="auto"/>
        <w:right w:val="none" w:sz="0" w:space="0" w:color="auto"/>
      </w:divBdr>
    </w:div>
    <w:div w:id="458231788">
      <w:bodyDiv w:val="1"/>
      <w:marLeft w:val="0"/>
      <w:marRight w:val="0"/>
      <w:marTop w:val="0"/>
      <w:marBottom w:val="0"/>
      <w:divBdr>
        <w:top w:val="none" w:sz="0" w:space="0" w:color="auto"/>
        <w:left w:val="none" w:sz="0" w:space="0" w:color="auto"/>
        <w:bottom w:val="none" w:sz="0" w:space="0" w:color="auto"/>
        <w:right w:val="none" w:sz="0" w:space="0" w:color="auto"/>
      </w:divBdr>
    </w:div>
    <w:div w:id="458643054">
      <w:bodyDiv w:val="1"/>
      <w:marLeft w:val="0"/>
      <w:marRight w:val="0"/>
      <w:marTop w:val="0"/>
      <w:marBottom w:val="0"/>
      <w:divBdr>
        <w:top w:val="none" w:sz="0" w:space="0" w:color="auto"/>
        <w:left w:val="none" w:sz="0" w:space="0" w:color="auto"/>
        <w:bottom w:val="none" w:sz="0" w:space="0" w:color="auto"/>
        <w:right w:val="none" w:sz="0" w:space="0" w:color="auto"/>
      </w:divBdr>
    </w:div>
    <w:div w:id="458843317">
      <w:bodyDiv w:val="1"/>
      <w:marLeft w:val="0"/>
      <w:marRight w:val="0"/>
      <w:marTop w:val="0"/>
      <w:marBottom w:val="0"/>
      <w:divBdr>
        <w:top w:val="none" w:sz="0" w:space="0" w:color="auto"/>
        <w:left w:val="none" w:sz="0" w:space="0" w:color="auto"/>
        <w:bottom w:val="none" w:sz="0" w:space="0" w:color="auto"/>
        <w:right w:val="none" w:sz="0" w:space="0" w:color="auto"/>
      </w:divBdr>
    </w:div>
    <w:div w:id="459147935">
      <w:bodyDiv w:val="1"/>
      <w:marLeft w:val="0"/>
      <w:marRight w:val="0"/>
      <w:marTop w:val="0"/>
      <w:marBottom w:val="0"/>
      <w:divBdr>
        <w:top w:val="none" w:sz="0" w:space="0" w:color="auto"/>
        <w:left w:val="none" w:sz="0" w:space="0" w:color="auto"/>
        <w:bottom w:val="none" w:sz="0" w:space="0" w:color="auto"/>
        <w:right w:val="none" w:sz="0" w:space="0" w:color="auto"/>
      </w:divBdr>
    </w:div>
    <w:div w:id="459805932">
      <w:bodyDiv w:val="1"/>
      <w:marLeft w:val="0"/>
      <w:marRight w:val="0"/>
      <w:marTop w:val="0"/>
      <w:marBottom w:val="0"/>
      <w:divBdr>
        <w:top w:val="none" w:sz="0" w:space="0" w:color="auto"/>
        <w:left w:val="none" w:sz="0" w:space="0" w:color="auto"/>
        <w:bottom w:val="none" w:sz="0" w:space="0" w:color="auto"/>
        <w:right w:val="none" w:sz="0" w:space="0" w:color="auto"/>
      </w:divBdr>
    </w:div>
    <w:div w:id="459886605">
      <w:bodyDiv w:val="1"/>
      <w:marLeft w:val="0"/>
      <w:marRight w:val="0"/>
      <w:marTop w:val="0"/>
      <w:marBottom w:val="0"/>
      <w:divBdr>
        <w:top w:val="none" w:sz="0" w:space="0" w:color="auto"/>
        <w:left w:val="none" w:sz="0" w:space="0" w:color="auto"/>
        <w:bottom w:val="none" w:sz="0" w:space="0" w:color="auto"/>
        <w:right w:val="none" w:sz="0" w:space="0" w:color="auto"/>
      </w:divBdr>
    </w:div>
    <w:div w:id="459959920">
      <w:bodyDiv w:val="1"/>
      <w:marLeft w:val="0"/>
      <w:marRight w:val="0"/>
      <w:marTop w:val="0"/>
      <w:marBottom w:val="0"/>
      <w:divBdr>
        <w:top w:val="none" w:sz="0" w:space="0" w:color="auto"/>
        <w:left w:val="none" w:sz="0" w:space="0" w:color="auto"/>
        <w:bottom w:val="none" w:sz="0" w:space="0" w:color="auto"/>
        <w:right w:val="none" w:sz="0" w:space="0" w:color="auto"/>
      </w:divBdr>
    </w:div>
    <w:div w:id="460802940">
      <w:bodyDiv w:val="1"/>
      <w:marLeft w:val="0"/>
      <w:marRight w:val="0"/>
      <w:marTop w:val="0"/>
      <w:marBottom w:val="0"/>
      <w:divBdr>
        <w:top w:val="none" w:sz="0" w:space="0" w:color="auto"/>
        <w:left w:val="none" w:sz="0" w:space="0" w:color="auto"/>
        <w:bottom w:val="none" w:sz="0" w:space="0" w:color="auto"/>
        <w:right w:val="none" w:sz="0" w:space="0" w:color="auto"/>
      </w:divBdr>
    </w:div>
    <w:div w:id="461462531">
      <w:bodyDiv w:val="1"/>
      <w:marLeft w:val="0"/>
      <w:marRight w:val="0"/>
      <w:marTop w:val="0"/>
      <w:marBottom w:val="0"/>
      <w:divBdr>
        <w:top w:val="none" w:sz="0" w:space="0" w:color="auto"/>
        <w:left w:val="none" w:sz="0" w:space="0" w:color="auto"/>
        <w:bottom w:val="none" w:sz="0" w:space="0" w:color="auto"/>
        <w:right w:val="none" w:sz="0" w:space="0" w:color="auto"/>
      </w:divBdr>
    </w:div>
    <w:div w:id="461660140">
      <w:bodyDiv w:val="1"/>
      <w:marLeft w:val="0"/>
      <w:marRight w:val="0"/>
      <w:marTop w:val="0"/>
      <w:marBottom w:val="0"/>
      <w:divBdr>
        <w:top w:val="none" w:sz="0" w:space="0" w:color="auto"/>
        <w:left w:val="none" w:sz="0" w:space="0" w:color="auto"/>
        <w:bottom w:val="none" w:sz="0" w:space="0" w:color="auto"/>
        <w:right w:val="none" w:sz="0" w:space="0" w:color="auto"/>
      </w:divBdr>
    </w:div>
    <w:div w:id="461733672">
      <w:bodyDiv w:val="1"/>
      <w:marLeft w:val="0"/>
      <w:marRight w:val="0"/>
      <w:marTop w:val="0"/>
      <w:marBottom w:val="0"/>
      <w:divBdr>
        <w:top w:val="none" w:sz="0" w:space="0" w:color="auto"/>
        <w:left w:val="none" w:sz="0" w:space="0" w:color="auto"/>
        <w:bottom w:val="none" w:sz="0" w:space="0" w:color="auto"/>
        <w:right w:val="none" w:sz="0" w:space="0" w:color="auto"/>
      </w:divBdr>
    </w:div>
    <w:div w:id="462891818">
      <w:bodyDiv w:val="1"/>
      <w:marLeft w:val="0"/>
      <w:marRight w:val="0"/>
      <w:marTop w:val="0"/>
      <w:marBottom w:val="0"/>
      <w:divBdr>
        <w:top w:val="none" w:sz="0" w:space="0" w:color="auto"/>
        <w:left w:val="none" w:sz="0" w:space="0" w:color="auto"/>
        <w:bottom w:val="none" w:sz="0" w:space="0" w:color="auto"/>
        <w:right w:val="none" w:sz="0" w:space="0" w:color="auto"/>
      </w:divBdr>
    </w:div>
    <w:div w:id="462963133">
      <w:bodyDiv w:val="1"/>
      <w:marLeft w:val="0"/>
      <w:marRight w:val="0"/>
      <w:marTop w:val="0"/>
      <w:marBottom w:val="0"/>
      <w:divBdr>
        <w:top w:val="none" w:sz="0" w:space="0" w:color="auto"/>
        <w:left w:val="none" w:sz="0" w:space="0" w:color="auto"/>
        <w:bottom w:val="none" w:sz="0" w:space="0" w:color="auto"/>
        <w:right w:val="none" w:sz="0" w:space="0" w:color="auto"/>
      </w:divBdr>
    </w:div>
    <w:div w:id="463277404">
      <w:bodyDiv w:val="1"/>
      <w:marLeft w:val="0"/>
      <w:marRight w:val="0"/>
      <w:marTop w:val="0"/>
      <w:marBottom w:val="0"/>
      <w:divBdr>
        <w:top w:val="none" w:sz="0" w:space="0" w:color="auto"/>
        <w:left w:val="none" w:sz="0" w:space="0" w:color="auto"/>
        <w:bottom w:val="none" w:sz="0" w:space="0" w:color="auto"/>
        <w:right w:val="none" w:sz="0" w:space="0" w:color="auto"/>
      </w:divBdr>
    </w:div>
    <w:div w:id="463355397">
      <w:bodyDiv w:val="1"/>
      <w:marLeft w:val="0"/>
      <w:marRight w:val="0"/>
      <w:marTop w:val="0"/>
      <w:marBottom w:val="0"/>
      <w:divBdr>
        <w:top w:val="none" w:sz="0" w:space="0" w:color="auto"/>
        <w:left w:val="none" w:sz="0" w:space="0" w:color="auto"/>
        <w:bottom w:val="none" w:sz="0" w:space="0" w:color="auto"/>
        <w:right w:val="none" w:sz="0" w:space="0" w:color="auto"/>
      </w:divBdr>
    </w:div>
    <w:div w:id="463474545">
      <w:bodyDiv w:val="1"/>
      <w:marLeft w:val="0"/>
      <w:marRight w:val="0"/>
      <w:marTop w:val="0"/>
      <w:marBottom w:val="0"/>
      <w:divBdr>
        <w:top w:val="none" w:sz="0" w:space="0" w:color="auto"/>
        <w:left w:val="none" w:sz="0" w:space="0" w:color="auto"/>
        <w:bottom w:val="none" w:sz="0" w:space="0" w:color="auto"/>
        <w:right w:val="none" w:sz="0" w:space="0" w:color="auto"/>
      </w:divBdr>
    </w:div>
    <w:div w:id="463619077">
      <w:bodyDiv w:val="1"/>
      <w:marLeft w:val="0"/>
      <w:marRight w:val="0"/>
      <w:marTop w:val="0"/>
      <w:marBottom w:val="0"/>
      <w:divBdr>
        <w:top w:val="none" w:sz="0" w:space="0" w:color="auto"/>
        <w:left w:val="none" w:sz="0" w:space="0" w:color="auto"/>
        <w:bottom w:val="none" w:sz="0" w:space="0" w:color="auto"/>
        <w:right w:val="none" w:sz="0" w:space="0" w:color="auto"/>
      </w:divBdr>
    </w:div>
    <w:div w:id="463693889">
      <w:bodyDiv w:val="1"/>
      <w:marLeft w:val="0"/>
      <w:marRight w:val="0"/>
      <w:marTop w:val="0"/>
      <w:marBottom w:val="0"/>
      <w:divBdr>
        <w:top w:val="none" w:sz="0" w:space="0" w:color="auto"/>
        <w:left w:val="none" w:sz="0" w:space="0" w:color="auto"/>
        <w:bottom w:val="none" w:sz="0" w:space="0" w:color="auto"/>
        <w:right w:val="none" w:sz="0" w:space="0" w:color="auto"/>
      </w:divBdr>
    </w:div>
    <w:div w:id="463891936">
      <w:bodyDiv w:val="1"/>
      <w:marLeft w:val="0"/>
      <w:marRight w:val="0"/>
      <w:marTop w:val="0"/>
      <w:marBottom w:val="0"/>
      <w:divBdr>
        <w:top w:val="none" w:sz="0" w:space="0" w:color="auto"/>
        <w:left w:val="none" w:sz="0" w:space="0" w:color="auto"/>
        <w:bottom w:val="none" w:sz="0" w:space="0" w:color="auto"/>
        <w:right w:val="none" w:sz="0" w:space="0" w:color="auto"/>
      </w:divBdr>
    </w:div>
    <w:div w:id="464472356">
      <w:bodyDiv w:val="1"/>
      <w:marLeft w:val="0"/>
      <w:marRight w:val="0"/>
      <w:marTop w:val="0"/>
      <w:marBottom w:val="0"/>
      <w:divBdr>
        <w:top w:val="none" w:sz="0" w:space="0" w:color="auto"/>
        <w:left w:val="none" w:sz="0" w:space="0" w:color="auto"/>
        <w:bottom w:val="none" w:sz="0" w:space="0" w:color="auto"/>
        <w:right w:val="none" w:sz="0" w:space="0" w:color="auto"/>
      </w:divBdr>
    </w:div>
    <w:div w:id="464541637">
      <w:bodyDiv w:val="1"/>
      <w:marLeft w:val="0"/>
      <w:marRight w:val="0"/>
      <w:marTop w:val="0"/>
      <w:marBottom w:val="0"/>
      <w:divBdr>
        <w:top w:val="none" w:sz="0" w:space="0" w:color="auto"/>
        <w:left w:val="none" w:sz="0" w:space="0" w:color="auto"/>
        <w:bottom w:val="none" w:sz="0" w:space="0" w:color="auto"/>
        <w:right w:val="none" w:sz="0" w:space="0" w:color="auto"/>
      </w:divBdr>
    </w:div>
    <w:div w:id="464813012">
      <w:bodyDiv w:val="1"/>
      <w:marLeft w:val="0"/>
      <w:marRight w:val="0"/>
      <w:marTop w:val="0"/>
      <w:marBottom w:val="0"/>
      <w:divBdr>
        <w:top w:val="none" w:sz="0" w:space="0" w:color="auto"/>
        <w:left w:val="none" w:sz="0" w:space="0" w:color="auto"/>
        <w:bottom w:val="none" w:sz="0" w:space="0" w:color="auto"/>
        <w:right w:val="none" w:sz="0" w:space="0" w:color="auto"/>
      </w:divBdr>
    </w:div>
    <w:div w:id="465204545">
      <w:bodyDiv w:val="1"/>
      <w:marLeft w:val="0"/>
      <w:marRight w:val="0"/>
      <w:marTop w:val="0"/>
      <w:marBottom w:val="0"/>
      <w:divBdr>
        <w:top w:val="none" w:sz="0" w:space="0" w:color="auto"/>
        <w:left w:val="none" w:sz="0" w:space="0" w:color="auto"/>
        <w:bottom w:val="none" w:sz="0" w:space="0" w:color="auto"/>
        <w:right w:val="none" w:sz="0" w:space="0" w:color="auto"/>
      </w:divBdr>
    </w:div>
    <w:div w:id="465318398">
      <w:bodyDiv w:val="1"/>
      <w:marLeft w:val="0"/>
      <w:marRight w:val="0"/>
      <w:marTop w:val="0"/>
      <w:marBottom w:val="0"/>
      <w:divBdr>
        <w:top w:val="none" w:sz="0" w:space="0" w:color="auto"/>
        <w:left w:val="none" w:sz="0" w:space="0" w:color="auto"/>
        <w:bottom w:val="none" w:sz="0" w:space="0" w:color="auto"/>
        <w:right w:val="none" w:sz="0" w:space="0" w:color="auto"/>
      </w:divBdr>
    </w:div>
    <w:div w:id="465582253">
      <w:bodyDiv w:val="1"/>
      <w:marLeft w:val="0"/>
      <w:marRight w:val="0"/>
      <w:marTop w:val="0"/>
      <w:marBottom w:val="0"/>
      <w:divBdr>
        <w:top w:val="none" w:sz="0" w:space="0" w:color="auto"/>
        <w:left w:val="none" w:sz="0" w:space="0" w:color="auto"/>
        <w:bottom w:val="none" w:sz="0" w:space="0" w:color="auto"/>
        <w:right w:val="none" w:sz="0" w:space="0" w:color="auto"/>
      </w:divBdr>
    </w:div>
    <w:div w:id="466361878">
      <w:bodyDiv w:val="1"/>
      <w:marLeft w:val="0"/>
      <w:marRight w:val="0"/>
      <w:marTop w:val="0"/>
      <w:marBottom w:val="0"/>
      <w:divBdr>
        <w:top w:val="none" w:sz="0" w:space="0" w:color="auto"/>
        <w:left w:val="none" w:sz="0" w:space="0" w:color="auto"/>
        <w:bottom w:val="none" w:sz="0" w:space="0" w:color="auto"/>
        <w:right w:val="none" w:sz="0" w:space="0" w:color="auto"/>
      </w:divBdr>
    </w:div>
    <w:div w:id="466628559">
      <w:bodyDiv w:val="1"/>
      <w:marLeft w:val="0"/>
      <w:marRight w:val="0"/>
      <w:marTop w:val="0"/>
      <w:marBottom w:val="0"/>
      <w:divBdr>
        <w:top w:val="none" w:sz="0" w:space="0" w:color="auto"/>
        <w:left w:val="none" w:sz="0" w:space="0" w:color="auto"/>
        <w:bottom w:val="none" w:sz="0" w:space="0" w:color="auto"/>
        <w:right w:val="none" w:sz="0" w:space="0" w:color="auto"/>
      </w:divBdr>
    </w:div>
    <w:div w:id="466700431">
      <w:bodyDiv w:val="1"/>
      <w:marLeft w:val="0"/>
      <w:marRight w:val="0"/>
      <w:marTop w:val="0"/>
      <w:marBottom w:val="0"/>
      <w:divBdr>
        <w:top w:val="none" w:sz="0" w:space="0" w:color="auto"/>
        <w:left w:val="none" w:sz="0" w:space="0" w:color="auto"/>
        <w:bottom w:val="none" w:sz="0" w:space="0" w:color="auto"/>
        <w:right w:val="none" w:sz="0" w:space="0" w:color="auto"/>
      </w:divBdr>
    </w:div>
    <w:div w:id="467360698">
      <w:bodyDiv w:val="1"/>
      <w:marLeft w:val="0"/>
      <w:marRight w:val="0"/>
      <w:marTop w:val="0"/>
      <w:marBottom w:val="0"/>
      <w:divBdr>
        <w:top w:val="none" w:sz="0" w:space="0" w:color="auto"/>
        <w:left w:val="none" w:sz="0" w:space="0" w:color="auto"/>
        <w:bottom w:val="none" w:sz="0" w:space="0" w:color="auto"/>
        <w:right w:val="none" w:sz="0" w:space="0" w:color="auto"/>
      </w:divBdr>
    </w:div>
    <w:div w:id="467749884">
      <w:bodyDiv w:val="1"/>
      <w:marLeft w:val="0"/>
      <w:marRight w:val="0"/>
      <w:marTop w:val="0"/>
      <w:marBottom w:val="0"/>
      <w:divBdr>
        <w:top w:val="none" w:sz="0" w:space="0" w:color="auto"/>
        <w:left w:val="none" w:sz="0" w:space="0" w:color="auto"/>
        <w:bottom w:val="none" w:sz="0" w:space="0" w:color="auto"/>
        <w:right w:val="none" w:sz="0" w:space="0" w:color="auto"/>
      </w:divBdr>
    </w:div>
    <w:div w:id="467825949">
      <w:bodyDiv w:val="1"/>
      <w:marLeft w:val="0"/>
      <w:marRight w:val="0"/>
      <w:marTop w:val="0"/>
      <w:marBottom w:val="0"/>
      <w:divBdr>
        <w:top w:val="none" w:sz="0" w:space="0" w:color="auto"/>
        <w:left w:val="none" w:sz="0" w:space="0" w:color="auto"/>
        <w:bottom w:val="none" w:sz="0" w:space="0" w:color="auto"/>
        <w:right w:val="none" w:sz="0" w:space="0" w:color="auto"/>
      </w:divBdr>
    </w:div>
    <w:div w:id="468280232">
      <w:bodyDiv w:val="1"/>
      <w:marLeft w:val="0"/>
      <w:marRight w:val="0"/>
      <w:marTop w:val="0"/>
      <w:marBottom w:val="0"/>
      <w:divBdr>
        <w:top w:val="none" w:sz="0" w:space="0" w:color="auto"/>
        <w:left w:val="none" w:sz="0" w:space="0" w:color="auto"/>
        <w:bottom w:val="none" w:sz="0" w:space="0" w:color="auto"/>
        <w:right w:val="none" w:sz="0" w:space="0" w:color="auto"/>
      </w:divBdr>
    </w:div>
    <w:div w:id="468281996">
      <w:bodyDiv w:val="1"/>
      <w:marLeft w:val="0"/>
      <w:marRight w:val="0"/>
      <w:marTop w:val="0"/>
      <w:marBottom w:val="0"/>
      <w:divBdr>
        <w:top w:val="none" w:sz="0" w:space="0" w:color="auto"/>
        <w:left w:val="none" w:sz="0" w:space="0" w:color="auto"/>
        <w:bottom w:val="none" w:sz="0" w:space="0" w:color="auto"/>
        <w:right w:val="none" w:sz="0" w:space="0" w:color="auto"/>
      </w:divBdr>
    </w:div>
    <w:div w:id="468400640">
      <w:bodyDiv w:val="1"/>
      <w:marLeft w:val="0"/>
      <w:marRight w:val="0"/>
      <w:marTop w:val="0"/>
      <w:marBottom w:val="0"/>
      <w:divBdr>
        <w:top w:val="none" w:sz="0" w:space="0" w:color="auto"/>
        <w:left w:val="none" w:sz="0" w:space="0" w:color="auto"/>
        <w:bottom w:val="none" w:sz="0" w:space="0" w:color="auto"/>
        <w:right w:val="none" w:sz="0" w:space="0" w:color="auto"/>
      </w:divBdr>
    </w:div>
    <w:div w:id="468475226">
      <w:bodyDiv w:val="1"/>
      <w:marLeft w:val="0"/>
      <w:marRight w:val="0"/>
      <w:marTop w:val="0"/>
      <w:marBottom w:val="0"/>
      <w:divBdr>
        <w:top w:val="none" w:sz="0" w:space="0" w:color="auto"/>
        <w:left w:val="none" w:sz="0" w:space="0" w:color="auto"/>
        <w:bottom w:val="none" w:sz="0" w:space="0" w:color="auto"/>
        <w:right w:val="none" w:sz="0" w:space="0" w:color="auto"/>
      </w:divBdr>
    </w:div>
    <w:div w:id="468598015">
      <w:bodyDiv w:val="1"/>
      <w:marLeft w:val="0"/>
      <w:marRight w:val="0"/>
      <w:marTop w:val="0"/>
      <w:marBottom w:val="0"/>
      <w:divBdr>
        <w:top w:val="none" w:sz="0" w:space="0" w:color="auto"/>
        <w:left w:val="none" w:sz="0" w:space="0" w:color="auto"/>
        <w:bottom w:val="none" w:sz="0" w:space="0" w:color="auto"/>
        <w:right w:val="none" w:sz="0" w:space="0" w:color="auto"/>
      </w:divBdr>
    </w:div>
    <w:div w:id="468861337">
      <w:bodyDiv w:val="1"/>
      <w:marLeft w:val="0"/>
      <w:marRight w:val="0"/>
      <w:marTop w:val="0"/>
      <w:marBottom w:val="0"/>
      <w:divBdr>
        <w:top w:val="none" w:sz="0" w:space="0" w:color="auto"/>
        <w:left w:val="none" w:sz="0" w:space="0" w:color="auto"/>
        <w:bottom w:val="none" w:sz="0" w:space="0" w:color="auto"/>
        <w:right w:val="none" w:sz="0" w:space="0" w:color="auto"/>
      </w:divBdr>
    </w:div>
    <w:div w:id="469133384">
      <w:bodyDiv w:val="1"/>
      <w:marLeft w:val="0"/>
      <w:marRight w:val="0"/>
      <w:marTop w:val="0"/>
      <w:marBottom w:val="0"/>
      <w:divBdr>
        <w:top w:val="none" w:sz="0" w:space="0" w:color="auto"/>
        <w:left w:val="none" w:sz="0" w:space="0" w:color="auto"/>
        <w:bottom w:val="none" w:sz="0" w:space="0" w:color="auto"/>
        <w:right w:val="none" w:sz="0" w:space="0" w:color="auto"/>
      </w:divBdr>
    </w:div>
    <w:div w:id="469592260">
      <w:bodyDiv w:val="1"/>
      <w:marLeft w:val="0"/>
      <w:marRight w:val="0"/>
      <w:marTop w:val="0"/>
      <w:marBottom w:val="0"/>
      <w:divBdr>
        <w:top w:val="none" w:sz="0" w:space="0" w:color="auto"/>
        <w:left w:val="none" w:sz="0" w:space="0" w:color="auto"/>
        <w:bottom w:val="none" w:sz="0" w:space="0" w:color="auto"/>
        <w:right w:val="none" w:sz="0" w:space="0" w:color="auto"/>
      </w:divBdr>
    </w:div>
    <w:div w:id="469597597">
      <w:bodyDiv w:val="1"/>
      <w:marLeft w:val="0"/>
      <w:marRight w:val="0"/>
      <w:marTop w:val="0"/>
      <w:marBottom w:val="0"/>
      <w:divBdr>
        <w:top w:val="none" w:sz="0" w:space="0" w:color="auto"/>
        <w:left w:val="none" w:sz="0" w:space="0" w:color="auto"/>
        <w:bottom w:val="none" w:sz="0" w:space="0" w:color="auto"/>
        <w:right w:val="none" w:sz="0" w:space="0" w:color="auto"/>
      </w:divBdr>
    </w:div>
    <w:div w:id="469707514">
      <w:bodyDiv w:val="1"/>
      <w:marLeft w:val="0"/>
      <w:marRight w:val="0"/>
      <w:marTop w:val="0"/>
      <w:marBottom w:val="0"/>
      <w:divBdr>
        <w:top w:val="none" w:sz="0" w:space="0" w:color="auto"/>
        <w:left w:val="none" w:sz="0" w:space="0" w:color="auto"/>
        <w:bottom w:val="none" w:sz="0" w:space="0" w:color="auto"/>
        <w:right w:val="none" w:sz="0" w:space="0" w:color="auto"/>
      </w:divBdr>
    </w:div>
    <w:div w:id="469985099">
      <w:bodyDiv w:val="1"/>
      <w:marLeft w:val="0"/>
      <w:marRight w:val="0"/>
      <w:marTop w:val="0"/>
      <w:marBottom w:val="0"/>
      <w:divBdr>
        <w:top w:val="none" w:sz="0" w:space="0" w:color="auto"/>
        <w:left w:val="none" w:sz="0" w:space="0" w:color="auto"/>
        <w:bottom w:val="none" w:sz="0" w:space="0" w:color="auto"/>
        <w:right w:val="none" w:sz="0" w:space="0" w:color="auto"/>
      </w:divBdr>
    </w:div>
    <w:div w:id="470246746">
      <w:bodyDiv w:val="1"/>
      <w:marLeft w:val="0"/>
      <w:marRight w:val="0"/>
      <w:marTop w:val="0"/>
      <w:marBottom w:val="0"/>
      <w:divBdr>
        <w:top w:val="none" w:sz="0" w:space="0" w:color="auto"/>
        <w:left w:val="none" w:sz="0" w:space="0" w:color="auto"/>
        <w:bottom w:val="none" w:sz="0" w:space="0" w:color="auto"/>
        <w:right w:val="none" w:sz="0" w:space="0" w:color="auto"/>
      </w:divBdr>
    </w:div>
    <w:div w:id="470288894">
      <w:bodyDiv w:val="1"/>
      <w:marLeft w:val="0"/>
      <w:marRight w:val="0"/>
      <w:marTop w:val="0"/>
      <w:marBottom w:val="0"/>
      <w:divBdr>
        <w:top w:val="none" w:sz="0" w:space="0" w:color="auto"/>
        <w:left w:val="none" w:sz="0" w:space="0" w:color="auto"/>
        <w:bottom w:val="none" w:sz="0" w:space="0" w:color="auto"/>
        <w:right w:val="none" w:sz="0" w:space="0" w:color="auto"/>
      </w:divBdr>
    </w:div>
    <w:div w:id="471945829">
      <w:bodyDiv w:val="1"/>
      <w:marLeft w:val="0"/>
      <w:marRight w:val="0"/>
      <w:marTop w:val="0"/>
      <w:marBottom w:val="0"/>
      <w:divBdr>
        <w:top w:val="none" w:sz="0" w:space="0" w:color="auto"/>
        <w:left w:val="none" w:sz="0" w:space="0" w:color="auto"/>
        <w:bottom w:val="none" w:sz="0" w:space="0" w:color="auto"/>
        <w:right w:val="none" w:sz="0" w:space="0" w:color="auto"/>
      </w:divBdr>
    </w:div>
    <w:div w:id="472022253">
      <w:bodyDiv w:val="1"/>
      <w:marLeft w:val="0"/>
      <w:marRight w:val="0"/>
      <w:marTop w:val="0"/>
      <w:marBottom w:val="0"/>
      <w:divBdr>
        <w:top w:val="none" w:sz="0" w:space="0" w:color="auto"/>
        <w:left w:val="none" w:sz="0" w:space="0" w:color="auto"/>
        <w:bottom w:val="none" w:sz="0" w:space="0" w:color="auto"/>
        <w:right w:val="none" w:sz="0" w:space="0" w:color="auto"/>
      </w:divBdr>
    </w:div>
    <w:div w:id="472262300">
      <w:bodyDiv w:val="1"/>
      <w:marLeft w:val="0"/>
      <w:marRight w:val="0"/>
      <w:marTop w:val="0"/>
      <w:marBottom w:val="0"/>
      <w:divBdr>
        <w:top w:val="none" w:sz="0" w:space="0" w:color="auto"/>
        <w:left w:val="none" w:sz="0" w:space="0" w:color="auto"/>
        <w:bottom w:val="none" w:sz="0" w:space="0" w:color="auto"/>
        <w:right w:val="none" w:sz="0" w:space="0" w:color="auto"/>
      </w:divBdr>
    </w:div>
    <w:div w:id="472413244">
      <w:bodyDiv w:val="1"/>
      <w:marLeft w:val="0"/>
      <w:marRight w:val="0"/>
      <w:marTop w:val="0"/>
      <w:marBottom w:val="0"/>
      <w:divBdr>
        <w:top w:val="none" w:sz="0" w:space="0" w:color="auto"/>
        <w:left w:val="none" w:sz="0" w:space="0" w:color="auto"/>
        <w:bottom w:val="none" w:sz="0" w:space="0" w:color="auto"/>
        <w:right w:val="none" w:sz="0" w:space="0" w:color="auto"/>
      </w:divBdr>
    </w:div>
    <w:div w:id="472453435">
      <w:bodyDiv w:val="1"/>
      <w:marLeft w:val="0"/>
      <w:marRight w:val="0"/>
      <w:marTop w:val="0"/>
      <w:marBottom w:val="0"/>
      <w:divBdr>
        <w:top w:val="none" w:sz="0" w:space="0" w:color="auto"/>
        <w:left w:val="none" w:sz="0" w:space="0" w:color="auto"/>
        <w:bottom w:val="none" w:sz="0" w:space="0" w:color="auto"/>
        <w:right w:val="none" w:sz="0" w:space="0" w:color="auto"/>
      </w:divBdr>
    </w:div>
    <w:div w:id="473375944">
      <w:bodyDiv w:val="1"/>
      <w:marLeft w:val="0"/>
      <w:marRight w:val="0"/>
      <w:marTop w:val="0"/>
      <w:marBottom w:val="0"/>
      <w:divBdr>
        <w:top w:val="none" w:sz="0" w:space="0" w:color="auto"/>
        <w:left w:val="none" w:sz="0" w:space="0" w:color="auto"/>
        <w:bottom w:val="none" w:sz="0" w:space="0" w:color="auto"/>
        <w:right w:val="none" w:sz="0" w:space="0" w:color="auto"/>
      </w:divBdr>
    </w:div>
    <w:div w:id="473791223">
      <w:bodyDiv w:val="1"/>
      <w:marLeft w:val="0"/>
      <w:marRight w:val="0"/>
      <w:marTop w:val="0"/>
      <w:marBottom w:val="0"/>
      <w:divBdr>
        <w:top w:val="none" w:sz="0" w:space="0" w:color="auto"/>
        <w:left w:val="none" w:sz="0" w:space="0" w:color="auto"/>
        <w:bottom w:val="none" w:sz="0" w:space="0" w:color="auto"/>
        <w:right w:val="none" w:sz="0" w:space="0" w:color="auto"/>
      </w:divBdr>
    </w:div>
    <w:div w:id="474227254">
      <w:bodyDiv w:val="1"/>
      <w:marLeft w:val="0"/>
      <w:marRight w:val="0"/>
      <w:marTop w:val="0"/>
      <w:marBottom w:val="0"/>
      <w:divBdr>
        <w:top w:val="none" w:sz="0" w:space="0" w:color="auto"/>
        <w:left w:val="none" w:sz="0" w:space="0" w:color="auto"/>
        <w:bottom w:val="none" w:sz="0" w:space="0" w:color="auto"/>
        <w:right w:val="none" w:sz="0" w:space="0" w:color="auto"/>
      </w:divBdr>
    </w:div>
    <w:div w:id="474376239">
      <w:bodyDiv w:val="1"/>
      <w:marLeft w:val="0"/>
      <w:marRight w:val="0"/>
      <w:marTop w:val="0"/>
      <w:marBottom w:val="0"/>
      <w:divBdr>
        <w:top w:val="none" w:sz="0" w:space="0" w:color="auto"/>
        <w:left w:val="none" w:sz="0" w:space="0" w:color="auto"/>
        <w:bottom w:val="none" w:sz="0" w:space="0" w:color="auto"/>
        <w:right w:val="none" w:sz="0" w:space="0" w:color="auto"/>
      </w:divBdr>
    </w:div>
    <w:div w:id="475729687">
      <w:bodyDiv w:val="1"/>
      <w:marLeft w:val="0"/>
      <w:marRight w:val="0"/>
      <w:marTop w:val="0"/>
      <w:marBottom w:val="0"/>
      <w:divBdr>
        <w:top w:val="none" w:sz="0" w:space="0" w:color="auto"/>
        <w:left w:val="none" w:sz="0" w:space="0" w:color="auto"/>
        <w:bottom w:val="none" w:sz="0" w:space="0" w:color="auto"/>
        <w:right w:val="none" w:sz="0" w:space="0" w:color="auto"/>
      </w:divBdr>
    </w:div>
    <w:div w:id="475999797">
      <w:bodyDiv w:val="1"/>
      <w:marLeft w:val="0"/>
      <w:marRight w:val="0"/>
      <w:marTop w:val="0"/>
      <w:marBottom w:val="0"/>
      <w:divBdr>
        <w:top w:val="none" w:sz="0" w:space="0" w:color="auto"/>
        <w:left w:val="none" w:sz="0" w:space="0" w:color="auto"/>
        <w:bottom w:val="none" w:sz="0" w:space="0" w:color="auto"/>
        <w:right w:val="none" w:sz="0" w:space="0" w:color="auto"/>
      </w:divBdr>
    </w:div>
    <w:div w:id="476067883">
      <w:bodyDiv w:val="1"/>
      <w:marLeft w:val="0"/>
      <w:marRight w:val="0"/>
      <w:marTop w:val="0"/>
      <w:marBottom w:val="0"/>
      <w:divBdr>
        <w:top w:val="none" w:sz="0" w:space="0" w:color="auto"/>
        <w:left w:val="none" w:sz="0" w:space="0" w:color="auto"/>
        <w:bottom w:val="none" w:sz="0" w:space="0" w:color="auto"/>
        <w:right w:val="none" w:sz="0" w:space="0" w:color="auto"/>
      </w:divBdr>
    </w:div>
    <w:div w:id="476145308">
      <w:bodyDiv w:val="1"/>
      <w:marLeft w:val="0"/>
      <w:marRight w:val="0"/>
      <w:marTop w:val="0"/>
      <w:marBottom w:val="0"/>
      <w:divBdr>
        <w:top w:val="none" w:sz="0" w:space="0" w:color="auto"/>
        <w:left w:val="none" w:sz="0" w:space="0" w:color="auto"/>
        <w:bottom w:val="none" w:sz="0" w:space="0" w:color="auto"/>
        <w:right w:val="none" w:sz="0" w:space="0" w:color="auto"/>
      </w:divBdr>
    </w:div>
    <w:div w:id="476410645">
      <w:bodyDiv w:val="1"/>
      <w:marLeft w:val="0"/>
      <w:marRight w:val="0"/>
      <w:marTop w:val="0"/>
      <w:marBottom w:val="0"/>
      <w:divBdr>
        <w:top w:val="none" w:sz="0" w:space="0" w:color="auto"/>
        <w:left w:val="none" w:sz="0" w:space="0" w:color="auto"/>
        <w:bottom w:val="none" w:sz="0" w:space="0" w:color="auto"/>
        <w:right w:val="none" w:sz="0" w:space="0" w:color="auto"/>
      </w:divBdr>
    </w:div>
    <w:div w:id="476797894">
      <w:bodyDiv w:val="1"/>
      <w:marLeft w:val="0"/>
      <w:marRight w:val="0"/>
      <w:marTop w:val="0"/>
      <w:marBottom w:val="0"/>
      <w:divBdr>
        <w:top w:val="none" w:sz="0" w:space="0" w:color="auto"/>
        <w:left w:val="none" w:sz="0" w:space="0" w:color="auto"/>
        <w:bottom w:val="none" w:sz="0" w:space="0" w:color="auto"/>
        <w:right w:val="none" w:sz="0" w:space="0" w:color="auto"/>
      </w:divBdr>
    </w:div>
    <w:div w:id="476846075">
      <w:bodyDiv w:val="1"/>
      <w:marLeft w:val="0"/>
      <w:marRight w:val="0"/>
      <w:marTop w:val="0"/>
      <w:marBottom w:val="0"/>
      <w:divBdr>
        <w:top w:val="none" w:sz="0" w:space="0" w:color="auto"/>
        <w:left w:val="none" w:sz="0" w:space="0" w:color="auto"/>
        <w:bottom w:val="none" w:sz="0" w:space="0" w:color="auto"/>
        <w:right w:val="none" w:sz="0" w:space="0" w:color="auto"/>
      </w:divBdr>
    </w:div>
    <w:div w:id="477310517">
      <w:bodyDiv w:val="1"/>
      <w:marLeft w:val="0"/>
      <w:marRight w:val="0"/>
      <w:marTop w:val="0"/>
      <w:marBottom w:val="0"/>
      <w:divBdr>
        <w:top w:val="none" w:sz="0" w:space="0" w:color="auto"/>
        <w:left w:val="none" w:sz="0" w:space="0" w:color="auto"/>
        <w:bottom w:val="none" w:sz="0" w:space="0" w:color="auto"/>
        <w:right w:val="none" w:sz="0" w:space="0" w:color="auto"/>
      </w:divBdr>
    </w:div>
    <w:div w:id="477766392">
      <w:bodyDiv w:val="1"/>
      <w:marLeft w:val="0"/>
      <w:marRight w:val="0"/>
      <w:marTop w:val="0"/>
      <w:marBottom w:val="0"/>
      <w:divBdr>
        <w:top w:val="none" w:sz="0" w:space="0" w:color="auto"/>
        <w:left w:val="none" w:sz="0" w:space="0" w:color="auto"/>
        <w:bottom w:val="none" w:sz="0" w:space="0" w:color="auto"/>
        <w:right w:val="none" w:sz="0" w:space="0" w:color="auto"/>
      </w:divBdr>
    </w:div>
    <w:div w:id="478838492">
      <w:bodyDiv w:val="1"/>
      <w:marLeft w:val="0"/>
      <w:marRight w:val="0"/>
      <w:marTop w:val="0"/>
      <w:marBottom w:val="0"/>
      <w:divBdr>
        <w:top w:val="none" w:sz="0" w:space="0" w:color="auto"/>
        <w:left w:val="none" w:sz="0" w:space="0" w:color="auto"/>
        <w:bottom w:val="none" w:sz="0" w:space="0" w:color="auto"/>
        <w:right w:val="none" w:sz="0" w:space="0" w:color="auto"/>
      </w:divBdr>
    </w:div>
    <w:div w:id="479075133">
      <w:bodyDiv w:val="1"/>
      <w:marLeft w:val="0"/>
      <w:marRight w:val="0"/>
      <w:marTop w:val="0"/>
      <w:marBottom w:val="0"/>
      <w:divBdr>
        <w:top w:val="none" w:sz="0" w:space="0" w:color="auto"/>
        <w:left w:val="none" w:sz="0" w:space="0" w:color="auto"/>
        <w:bottom w:val="none" w:sz="0" w:space="0" w:color="auto"/>
        <w:right w:val="none" w:sz="0" w:space="0" w:color="auto"/>
      </w:divBdr>
    </w:div>
    <w:div w:id="479425328">
      <w:bodyDiv w:val="1"/>
      <w:marLeft w:val="0"/>
      <w:marRight w:val="0"/>
      <w:marTop w:val="0"/>
      <w:marBottom w:val="0"/>
      <w:divBdr>
        <w:top w:val="none" w:sz="0" w:space="0" w:color="auto"/>
        <w:left w:val="none" w:sz="0" w:space="0" w:color="auto"/>
        <w:bottom w:val="none" w:sz="0" w:space="0" w:color="auto"/>
        <w:right w:val="none" w:sz="0" w:space="0" w:color="auto"/>
      </w:divBdr>
    </w:div>
    <w:div w:id="479464283">
      <w:bodyDiv w:val="1"/>
      <w:marLeft w:val="0"/>
      <w:marRight w:val="0"/>
      <w:marTop w:val="0"/>
      <w:marBottom w:val="0"/>
      <w:divBdr>
        <w:top w:val="none" w:sz="0" w:space="0" w:color="auto"/>
        <w:left w:val="none" w:sz="0" w:space="0" w:color="auto"/>
        <w:bottom w:val="none" w:sz="0" w:space="0" w:color="auto"/>
        <w:right w:val="none" w:sz="0" w:space="0" w:color="auto"/>
      </w:divBdr>
    </w:div>
    <w:div w:id="479543320">
      <w:bodyDiv w:val="1"/>
      <w:marLeft w:val="0"/>
      <w:marRight w:val="0"/>
      <w:marTop w:val="0"/>
      <w:marBottom w:val="0"/>
      <w:divBdr>
        <w:top w:val="none" w:sz="0" w:space="0" w:color="auto"/>
        <w:left w:val="none" w:sz="0" w:space="0" w:color="auto"/>
        <w:bottom w:val="none" w:sz="0" w:space="0" w:color="auto"/>
        <w:right w:val="none" w:sz="0" w:space="0" w:color="auto"/>
      </w:divBdr>
    </w:div>
    <w:div w:id="479611966">
      <w:bodyDiv w:val="1"/>
      <w:marLeft w:val="0"/>
      <w:marRight w:val="0"/>
      <w:marTop w:val="0"/>
      <w:marBottom w:val="0"/>
      <w:divBdr>
        <w:top w:val="none" w:sz="0" w:space="0" w:color="auto"/>
        <w:left w:val="none" w:sz="0" w:space="0" w:color="auto"/>
        <w:bottom w:val="none" w:sz="0" w:space="0" w:color="auto"/>
        <w:right w:val="none" w:sz="0" w:space="0" w:color="auto"/>
      </w:divBdr>
    </w:div>
    <w:div w:id="479730167">
      <w:bodyDiv w:val="1"/>
      <w:marLeft w:val="0"/>
      <w:marRight w:val="0"/>
      <w:marTop w:val="0"/>
      <w:marBottom w:val="0"/>
      <w:divBdr>
        <w:top w:val="none" w:sz="0" w:space="0" w:color="auto"/>
        <w:left w:val="none" w:sz="0" w:space="0" w:color="auto"/>
        <w:bottom w:val="none" w:sz="0" w:space="0" w:color="auto"/>
        <w:right w:val="none" w:sz="0" w:space="0" w:color="auto"/>
      </w:divBdr>
    </w:div>
    <w:div w:id="480194235">
      <w:bodyDiv w:val="1"/>
      <w:marLeft w:val="0"/>
      <w:marRight w:val="0"/>
      <w:marTop w:val="0"/>
      <w:marBottom w:val="0"/>
      <w:divBdr>
        <w:top w:val="none" w:sz="0" w:space="0" w:color="auto"/>
        <w:left w:val="none" w:sz="0" w:space="0" w:color="auto"/>
        <w:bottom w:val="none" w:sz="0" w:space="0" w:color="auto"/>
        <w:right w:val="none" w:sz="0" w:space="0" w:color="auto"/>
      </w:divBdr>
    </w:div>
    <w:div w:id="480386415">
      <w:bodyDiv w:val="1"/>
      <w:marLeft w:val="0"/>
      <w:marRight w:val="0"/>
      <w:marTop w:val="0"/>
      <w:marBottom w:val="0"/>
      <w:divBdr>
        <w:top w:val="none" w:sz="0" w:space="0" w:color="auto"/>
        <w:left w:val="none" w:sz="0" w:space="0" w:color="auto"/>
        <w:bottom w:val="none" w:sz="0" w:space="0" w:color="auto"/>
        <w:right w:val="none" w:sz="0" w:space="0" w:color="auto"/>
      </w:divBdr>
    </w:div>
    <w:div w:id="480583193">
      <w:bodyDiv w:val="1"/>
      <w:marLeft w:val="0"/>
      <w:marRight w:val="0"/>
      <w:marTop w:val="0"/>
      <w:marBottom w:val="0"/>
      <w:divBdr>
        <w:top w:val="none" w:sz="0" w:space="0" w:color="auto"/>
        <w:left w:val="none" w:sz="0" w:space="0" w:color="auto"/>
        <w:bottom w:val="none" w:sz="0" w:space="0" w:color="auto"/>
        <w:right w:val="none" w:sz="0" w:space="0" w:color="auto"/>
      </w:divBdr>
    </w:div>
    <w:div w:id="480776576">
      <w:bodyDiv w:val="1"/>
      <w:marLeft w:val="0"/>
      <w:marRight w:val="0"/>
      <w:marTop w:val="0"/>
      <w:marBottom w:val="0"/>
      <w:divBdr>
        <w:top w:val="none" w:sz="0" w:space="0" w:color="auto"/>
        <w:left w:val="none" w:sz="0" w:space="0" w:color="auto"/>
        <w:bottom w:val="none" w:sz="0" w:space="0" w:color="auto"/>
        <w:right w:val="none" w:sz="0" w:space="0" w:color="auto"/>
      </w:divBdr>
    </w:div>
    <w:div w:id="480847534">
      <w:bodyDiv w:val="1"/>
      <w:marLeft w:val="0"/>
      <w:marRight w:val="0"/>
      <w:marTop w:val="0"/>
      <w:marBottom w:val="0"/>
      <w:divBdr>
        <w:top w:val="none" w:sz="0" w:space="0" w:color="auto"/>
        <w:left w:val="none" w:sz="0" w:space="0" w:color="auto"/>
        <w:bottom w:val="none" w:sz="0" w:space="0" w:color="auto"/>
        <w:right w:val="none" w:sz="0" w:space="0" w:color="auto"/>
      </w:divBdr>
    </w:div>
    <w:div w:id="480925716">
      <w:bodyDiv w:val="1"/>
      <w:marLeft w:val="0"/>
      <w:marRight w:val="0"/>
      <w:marTop w:val="0"/>
      <w:marBottom w:val="0"/>
      <w:divBdr>
        <w:top w:val="none" w:sz="0" w:space="0" w:color="auto"/>
        <w:left w:val="none" w:sz="0" w:space="0" w:color="auto"/>
        <w:bottom w:val="none" w:sz="0" w:space="0" w:color="auto"/>
        <w:right w:val="none" w:sz="0" w:space="0" w:color="auto"/>
      </w:divBdr>
    </w:div>
    <w:div w:id="481045552">
      <w:bodyDiv w:val="1"/>
      <w:marLeft w:val="0"/>
      <w:marRight w:val="0"/>
      <w:marTop w:val="0"/>
      <w:marBottom w:val="0"/>
      <w:divBdr>
        <w:top w:val="none" w:sz="0" w:space="0" w:color="auto"/>
        <w:left w:val="none" w:sz="0" w:space="0" w:color="auto"/>
        <w:bottom w:val="none" w:sz="0" w:space="0" w:color="auto"/>
        <w:right w:val="none" w:sz="0" w:space="0" w:color="auto"/>
      </w:divBdr>
    </w:div>
    <w:div w:id="481046684">
      <w:bodyDiv w:val="1"/>
      <w:marLeft w:val="0"/>
      <w:marRight w:val="0"/>
      <w:marTop w:val="0"/>
      <w:marBottom w:val="0"/>
      <w:divBdr>
        <w:top w:val="none" w:sz="0" w:space="0" w:color="auto"/>
        <w:left w:val="none" w:sz="0" w:space="0" w:color="auto"/>
        <w:bottom w:val="none" w:sz="0" w:space="0" w:color="auto"/>
        <w:right w:val="none" w:sz="0" w:space="0" w:color="auto"/>
      </w:divBdr>
    </w:div>
    <w:div w:id="481196863">
      <w:bodyDiv w:val="1"/>
      <w:marLeft w:val="0"/>
      <w:marRight w:val="0"/>
      <w:marTop w:val="0"/>
      <w:marBottom w:val="0"/>
      <w:divBdr>
        <w:top w:val="none" w:sz="0" w:space="0" w:color="auto"/>
        <w:left w:val="none" w:sz="0" w:space="0" w:color="auto"/>
        <w:bottom w:val="none" w:sz="0" w:space="0" w:color="auto"/>
        <w:right w:val="none" w:sz="0" w:space="0" w:color="auto"/>
      </w:divBdr>
    </w:div>
    <w:div w:id="481429979">
      <w:bodyDiv w:val="1"/>
      <w:marLeft w:val="0"/>
      <w:marRight w:val="0"/>
      <w:marTop w:val="0"/>
      <w:marBottom w:val="0"/>
      <w:divBdr>
        <w:top w:val="none" w:sz="0" w:space="0" w:color="auto"/>
        <w:left w:val="none" w:sz="0" w:space="0" w:color="auto"/>
        <w:bottom w:val="none" w:sz="0" w:space="0" w:color="auto"/>
        <w:right w:val="none" w:sz="0" w:space="0" w:color="auto"/>
      </w:divBdr>
    </w:div>
    <w:div w:id="481822278">
      <w:bodyDiv w:val="1"/>
      <w:marLeft w:val="0"/>
      <w:marRight w:val="0"/>
      <w:marTop w:val="0"/>
      <w:marBottom w:val="0"/>
      <w:divBdr>
        <w:top w:val="none" w:sz="0" w:space="0" w:color="auto"/>
        <w:left w:val="none" w:sz="0" w:space="0" w:color="auto"/>
        <w:bottom w:val="none" w:sz="0" w:space="0" w:color="auto"/>
        <w:right w:val="none" w:sz="0" w:space="0" w:color="auto"/>
      </w:divBdr>
    </w:div>
    <w:div w:id="481894834">
      <w:bodyDiv w:val="1"/>
      <w:marLeft w:val="0"/>
      <w:marRight w:val="0"/>
      <w:marTop w:val="0"/>
      <w:marBottom w:val="0"/>
      <w:divBdr>
        <w:top w:val="none" w:sz="0" w:space="0" w:color="auto"/>
        <w:left w:val="none" w:sz="0" w:space="0" w:color="auto"/>
        <w:bottom w:val="none" w:sz="0" w:space="0" w:color="auto"/>
        <w:right w:val="none" w:sz="0" w:space="0" w:color="auto"/>
      </w:divBdr>
    </w:div>
    <w:div w:id="482039875">
      <w:bodyDiv w:val="1"/>
      <w:marLeft w:val="0"/>
      <w:marRight w:val="0"/>
      <w:marTop w:val="0"/>
      <w:marBottom w:val="0"/>
      <w:divBdr>
        <w:top w:val="none" w:sz="0" w:space="0" w:color="auto"/>
        <w:left w:val="none" w:sz="0" w:space="0" w:color="auto"/>
        <w:bottom w:val="none" w:sz="0" w:space="0" w:color="auto"/>
        <w:right w:val="none" w:sz="0" w:space="0" w:color="auto"/>
      </w:divBdr>
    </w:div>
    <w:div w:id="482083689">
      <w:bodyDiv w:val="1"/>
      <w:marLeft w:val="0"/>
      <w:marRight w:val="0"/>
      <w:marTop w:val="0"/>
      <w:marBottom w:val="0"/>
      <w:divBdr>
        <w:top w:val="none" w:sz="0" w:space="0" w:color="auto"/>
        <w:left w:val="none" w:sz="0" w:space="0" w:color="auto"/>
        <w:bottom w:val="none" w:sz="0" w:space="0" w:color="auto"/>
        <w:right w:val="none" w:sz="0" w:space="0" w:color="auto"/>
      </w:divBdr>
    </w:div>
    <w:div w:id="482695714">
      <w:bodyDiv w:val="1"/>
      <w:marLeft w:val="0"/>
      <w:marRight w:val="0"/>
      <w:marTop w:val="0"/>
      <w:marBottom w:val="0"/>
      <w:divBdr>
        <w:top w:val="none" w:sz="0" w:space="0" w:color="auto"/>
        <w:left w:val="none" w:sz="0" w:space="0" w:color="auto"/>
        <w:bottom w:val="none" w:sz="0" w:space="0" w:color="auto"/>
        <w:right w:val="none" w:sz="0" w:space="0" w:color="auto"/>
      </w:divBdr>
    </w:div>
    <w:div w:id="482818613">
      <w:bodyDiv w:val="1"/>
      <w:marLeft w:val="0"/>
      <w:marRight w:val="0"/>
      <w:marTop w:val="0"/>
      <w:marBottom w:val="0"/>
      <w:divBdr>
        <w:top w:val="none" w:sz="0" w:space="0" w:color="auto"/>
        <w:left w:val="none" w:sz="0" w:space="0" w:color="auto"/>
        <w:bottom w:val="none" w:sz="0" w:space="0" w:color="auto"/>
        <w:right w:val="none" w:sz="0" w:space="0" w:color="auto"/>
      </w:divBdr>
    </w:div>
    <w:div w:id="483088362">
      <w:bodyDiv w:val="1"/>
      <w:marLeft w:val="0"/>
      <w:marRight w:val="0"/>
      <w:marTop w:val="0"/>
      <w:marBottom w:val="0"/>
      <w:divBdr>
        <w:top w:val="none" w:sz="0" w:space="0" w:color="auto"/>
        <w:left w:val="none" w:sz="0" w:space="0" w:color="auto"/>
        <w:bottom w:val="none" w:sz="0" w:space="0" w:color="auto"/>
        <w:right w:val="none" w:sz="0" w:space="0" w:color="auto"/>
      </w:divBdr>
    </w:div>
    <w:div w:id="483276840">
      <w:bodyDiv w:val="1"/>
      <w:marLeft w:val="0"/>
      <w:marRight w:val="0"/>
      <w:marTop w:val="0"/>
      <w:marBottom w:val="0"/>
      <w:divBdr>
        <w:top w:val="none" w:sz="0" w:space="0" w:color="auto"/>
        <w:left w:val="none" w:sz="0" w:space="0" w:color="auto"/>
        <w:bottom w:val="none" w:sz="0" w:space="0" w:color="auto"/>
        <w:right w:val="none" w:sz="0" w:space="0" w:color="auto"/>
      </w:divBdr>
    </w:div>
    <w:div w:id="483282898">
      <w:bodyDiv w:val="1"/>
      <w:marLeft w:val="0"/>
      <w:marRight w:val="0"/>
      <w:marTop w:val="0"/>
      <w:marBottom w:val="0"/>
      <w:divBdr>
        <w:top w:val="none" w:sz="0" w:space="0" w:color="auto"/>
        <w:left w:val="none" w:sz="0" w:space="0" w:color="auto"/>
        <w:bottom w:val="none" w:sz="0" w:space="0" w:color="auto"/>
        <w:right w:val="none" w:sz="0" w:space="0" w:color="auto"/>
      </w:divBdr>
    </w:div>
    <w:div w:id="484053974">
      <w:bodyDiv w:val="1"/>
      <w:marLeft w:val="0"/>
      <w:marRight w:val="0"/>
      <w:marTop w:val="0"/>
      <w:marBottom w:val="0"/>
      <w:divBdr>
        <w:top w:val="none" w:sz="0" w:space="0" w:color="auto"/>
        <w:left w:val="none" w:sz="0" w:space="0" w:color="auto"/>
        <w:bottom w:val="none" w:sz="0" w:space="0" w:color="auto"/>
        <w:right w:val="none" w:sz="0" w:space="0" w:color="auto"/>
      </w:divBdr>
    </w:div>
    <w:div w:id="484277851">
      <w:bodyDiv w:val="1"/>
      <w:marLeft w:val="0"/>
      <w:marRight w:val="0"/>
      <w:marTop w:val="0"/>
      <w:marBottom w:val="0"/>
      <w:divBdr>
        <w:top w:val="none" w:sz="0" w:space="0" w:color="auto"/>
        <w:left w:val="none" w:sz="0" w:space="0" w:color="auto"/>
        <w:bottom w:val="none" w:sz="0" w:space="0" w:color="auto"/>
        <w:right w:val="none" w:sz="0" w:space="0" w:color="auto"/>
      </w:divBdr>
    </w:div>
    <w:div w:id="484470100">
      <w:bodyDiv w:val="1"/>
      <w:marLeft w:val="0"/>
      <w:marRight w:val="0"/>
      <w:marTop w:val="0"/>
      <w:marBottom w:val="0"/>
      <w:divBdr>
        <w:top w:val="none" w:sz="0" w:space="0" w:color="auto"/>
        <w:left w:val="none" w:sz="0" w:space="0" w:color="auto"/>
        <w:bottom w:val="none" w:sz="0" w:space="0" w:color="auto"/>
        <w:right w:val="none" w:sz="0" w:space="0" w:color="auto"/>
      </w:divBdr>
    </w:div>
    <w:div w:id="484472572">
      <w:bodyDiv w:val="1"/>
      <w:marLeft w:val="0"/>
      <w:marRight w:val="0"/>
      <w:marTop w:val="0"/>
      <w:marBottom w:val="0"/>
      <w:divBdr>
        <w:top w:val="none" w:sz="0" w:space="0" w:color="auto"/>
        <w:left w:val="none" w:sz="0" w:space="0" w:color="auto"/>
        <w:bottom w:val="none" w:sz="0" w:space="0" w:color="auto"/>
        <w:right w:val="none" w:sz="0" w:space="0" w:color="auto"/>
      </w:divBdr>
    </w:div>
    <w:div w:id="484709018">
      <w:bodyDiv w:val="1"/>
      <w:marLeft w:val="0"/>
      <w:marRight w:val="0"/>
      <w:marTop w:val="0"/>
      <w:marBottom w:val="0"/>
      <w:divBdr>
        <w:top w:val="none" w:sz="0" w:space="0" w:color="auto"/>
        <w:left w:val="none" w:sz="0" w:space="0" w:color="auto"/>
        <w:bottom w:val="none" w:sz="0" w:space="0" w:color="auto"/>
        <w:right w:val="none" w:sz="0" w:space="0" w:color="auto"/>
      </w:divBdr>
    </w:div>
    <w:div w:id="484784488">
      <w:bodyDiv w:val="1"/>
      <w:marLeft w:val="0"/>
      <w:marRight w:val="0"/>
      <w:marTop w:val="0"/>
      <w:marBottom w:val="0"/>
      <w:divBdr>
        <w:top w:val="none" w:sz="0" w:space="0" w:color="auto"/>
        <w:left w:val="none" w:sz="0" w:space="0" w:color="auto"/>
        <w:bottom w:val="none" w:sz="0" w:space="0" w:color="auto"/>
        <w:right w:val="none" w:sz="0" w:space="0" w:color="auto"/>
      </w:divBdr>
    </w:div>
    <w:div w:id="485317233">
      <w:bodyDiv w:val="1"/>
      <w:marLeft w:val="0"/>
      <w:marRight w:val="0"/>
      <w:marTop w:val="0"/>
      <w:marBottom w:val="0"/>
      <w:divBdr>
        <w:top w:val="none" w:sz="0" w:space="0" w:color="auto"/>
        <w:left w:val="none" w:sz="0" w:space="0" w:color="auto"/>
        <w:bottom w:val="none" w:sz="0" w:space="0" w:color="auto"/>
        <w:right w:val="none" w:sz="0" w:space="0" w:color="auto"/>
      </w:divBdr>
    </w:div>
    <w:div w:id="486092087">
      <w:bodyDiv w:val="1"/>
      <w:marLeft w:val="0"/>
      <w:marRight w:val="0"/>
      <w:marTop w:val="0"/>
      <w:marBottom w:val="0"/>
      <w:divBdr>
        <w:top w:val="none" w:sz="0" w:space="0" w:color="auto"/>
        <w:left w:val="none" w:sz="0" w:space="0" w:color="auto"/>
        <w:bottom w:val="none" w:sz="0" w:space="0" w:color="auto"/>
        <w:right w:val="none" w:sz="0" w:space="0" w:color="auto"/>
      </w:divBdr>
    </w:div>
    <w:div w:id="486171213">
      <w:bodyDiv w:val="1"/>
      <w:marLeft w:val="0"/>
      <w:marRight w:val="0"/>
      <w:marTop w:val="0"/>
      <w:marBottom w:val="0"/>
      <w:divBdr>
        <w:top w:val="none" w:sz="0" w:space="0" w:color="auto"/>
        <w:left w:val="none" w:sz="0" w:space="0" w:color="auto"/>
        <w:bottom w:val="none" w:sz="0" w:space="0" w:color="auto"/>
        <w:right w:val="none" w:sz="0" w:space="0" w:color="auto"/>
      </w:divBdr>
    </w:div>
    <w:div w:id="486363336">
      <w:bodyDiv w:val="1"/>
      <w:marLeft w:val="0"/>
      <w:marRight w:val="0"/>
      <w:marTop w:val="0"/>
      <w:marBottom w:val="0"/>
      <w:divBdr>
        <w:top w:val="none" w:sz="0" w:space="0" w:color="auto"/>
        <w:left w:val="none" w:sz="0" w:space="0" w:color="auto"/>
        <w:bottom w:val="none" w:sz="0" w:space="0" w:color="auto"/>
        <w:right w:val="none" w:sz="0" w:space="0" w:color="auto"/>
      </w:divBdr>
    </w:div>
    <w:div w:id="486675612">
      <w:bodyDiv w:val="1"/>
      <w:marLeft w:val="0"/>
      <w:marRight w:val="0"/>
      <w:marTop w:val="0"/>
      <w:marBottom w:val="0"/>
      <w:divBdr>
        <w:top w:val="none" w:sz="0" w:space="0" w:color="auto"/>
        <w:left w:val="none" w:sz="0" w:space="0" w:color="auto"/>
        <w:bottom w:val="none" w:sz="0" w:space="0" w:color="auto"/>
        <w:right w:val="none" w:sz="0" w:space="0" w:color="auto"/>
      </w:divBdr>
    </w:div>
    <w:div w:id="487478406">
      <w:bodyDiv w:val="1"/>
      <w:marLeft w:val="0"/>
      <w:marRight w:val="0"/>
      <w:marTop w:val="0"/>
      <w:marBottom w:val="0"/>
      <w:divBdr>
        <w:top w:val="none" w:sz="0" w:space="0" w:color="auto"/>
        <w:left w:val="none" w:sz="0" w:space="0" w:color="auto"/>
        <w:bottom w:val="none" w:sz="0" w:space="0" w:color="auto"/>
        <w:right w:val="none" w:sz="0" w:space="0" w:color="auto"/>
      </w:divBdr>
    </w:div>
    <w:div w:id="487553189">
      <w:bodyDiv w:val="1"/>
      <w:marLeft w:val="0"/>
      <w:marRight w:val="0"/>
      <w:marTop w:val="0"/>
      <w:marBottom w:val="0"/>
      <w:divBdr>
        <w:top w:val="none" w:sz="0" w:space="0" w:color="auto"/>
        <w:left w:val="none" w:sz="0" w:space="0" w:color="auto"/>
        <w:bottom w:val="none" w:sz="0" w:space="0" w:color="auto"/>
        <w:right w:val="none" w:sz="0" w:space="0" w:color="auto"/>
      </w:divBdr>
    </w:div>
    <w:div w:id="487746067">
      <w:bodyDiv w:val="1"/>
      <w:marLeft w:val="0"/>
      <w:marRight w:val="0"/>
      <w:marTop w:val="0"/>
      <w:marBottom w:val="0"/>
      <w:divBdr>
        <w:top w:val="none" w:sz="0" w:space="0" w:color="auto"/>
        <w:left w:val="none" w:sz="0" w:space="0" w:color="auto"/>
        <w:bottom w:val="none" w:sz="0" w:space="0" w:color="auto"/>
        <w:right w:val="none" w:sz="0" w:space="0" w:color="auto"/>
      </w:divBdr>
    </w:div>
    <w:div w:id="487787056">
      <w:bodyDiv w:val="1"/>
      <w:marLeft w:val="0"/>
      <w:marRight w:val="0"/>
      <w:marTop w:val="0"/>
      <w:marBottom w:val="0"/>
      <w:divBdr>
        <w:top w:val="none" w:sz="0" w:space="0" w:color="auto"/>
        <w:left w:val="none" w:sz="0" w:space="0" w:color="auto"/>
        <w:bottom w:val="none" w:sz="0" w:space="0" w:color="auto"/>
        <w:right w:val="none" w:sz="0" w:space="0" w:color="auto"/>
      </w:divBdr>
    </w:div>
    <w:div w:id="487982317">
      <w:bodyDiv w:val="1"/>
      <w:marLeft w:val="0"/>
      <w:marRight w:val="0"/>
      <w:marTop w:val="0"/>
      <w:marBottom w:val="0"/>
      <w:divBdr>
        <w:top w:val="none" w:sz="0" w:space="0" w:color="auto"/>
        <w:left w:val="none" w:sz="0" w:space="0" w:color="auto"/>
        <w:bottom w:val="none" w:sz="0" w:space="0" w:color="auto"/>
        <w:right w:val="none" w:sz="0" w:space="0" w:color="auto"/>
      </w:divBdr>
    </w:div>
    <w:div w:id="487988162">
      <w:bodyDiv w:val="1"/>
      <w:marLeft w:val="0"/>
      <w:marRight w:val="0"/>
      <w:marTop w:val="0"/>
      <w:marBottom w:val="0"/>
      <w:divBdr>
        <w:top w:val="none" w:sz="0" w:space="0" w:color="auto"/>
        <w:left w:val="none" w:sz="0" w:space="0" w:color="auto"/>
        <w:bottom w:val="none" w:sz="0" w:space="0" w:color="auto"/>
        <w:right w:val="none" w:sz="0" w:space="0" w:color="auto"/>
      </w:divBdr>
    </w:div>
    <w:div w:id="488401009">
      <w:bodyDiv w:val="1"/>
      <w:marLeft w:val="0"/>
      <w:marRight w:val="0"/>
      <w:marTop w:val="0"/>
      <w:marBottom w:val="0"/>
      <w:divBdr>
        <w:top w:val="none" w:sz="0" w:space="0" w:color="auto"/>
        <w:left w:val="none" w:sz="0" w:space="0" w:color="auto"/>
        <w:bottom w:val="none" w:sz="0" w:space="0" w:color="auto"/>
        <w:right w:val="none" w:sz="0" w:space="0" w:color="auto"/>
      </w:divBdr>
    </w:div>
    <w:div w:id="488525415">
      <w:bodyDiv w:val="1"/>
      <w:marLeft w:val="0"/>
      <w:marRight w:val="0"/>
      <w:marTop w:val="0"/>
      <w:marBottom w:val="0"/>
      <w:divBdr>
        <w:top w:val="none" w:sz="0" w:space="0" w:color="auto"/>
        <w:left w:val="none" w:sz="0" w:space="0" w:color="auto"/>
        <w:bottom w:val="none" w:sz="0" w:space="0" w:color="auto"/>
        <w:right w:val="none" w:sz="0" w:space="0" w:color="auto"/>
      </w:divBdr>
    </w:div>
    <w:div w:id="488598446">
      <w:bodyDiv w:val="1"/>
      <w:marLeft w:val="0"/>
      <w:marRight w:val="0"/>
      <w:marTop w:val="0"/>
      <w:marBottom w:val="0"/>
      <w:divBdr>
        <w:top w:val="none" w:sz="0" w:space="0" w:color="auto"/>
        <w:left w:val="none" w:sz="0" w:space="0" w:color="auto"/>
        <w:bottom w:val="none" w:sz="0" w:space="0" w:color="auto"/>
        <w:right w:val="none" w:sz="0" w:space="0" w:color="auto"/>
      </w:divBdr>
    </w:div>
    <w:div w:id="488833746">
      <w:bodyDiv w:val="1"/>
      <w:marLeft w:val="0"/>
      <w:marRight w:val="0"/>
      <w:marTop w:val="0"/>
      <w:marBottom w:val="0"/>
      <w:divBdr>
        <w:top w:val="none" w:sz="0" w:space="0" w:color="auto"/>
        <w:left w:val="none" w:sz="0" w:space="0" w:color="auto"/>
        <w:bottom w:val="none" w:sz="0" w:space="0" w:color="auto"/>
        <w:right w:val="none" w:sz="0" w:space="0" w:color="auto"/>
      </w:divBdr>
    </w:div>
    <w:div w:id="489979276">
      <w:bodyDiv w:val="1"/>
      <w:marLeft w:val="0"/>
      <w:marRight w:val="0"/>
      <w:marTop w:val="0"/>
      <w:marBottom w:val="0"/>
      <w:divBdr>
        <w:top w:val="none" w:sz="0" w:space="0" w:color="auto"/>
        <w:left w:val="none" w:sz="0" w:space="0" w:color="auto"/>
        <w:bottom w:val="none" w:sz="0" w:space="0" w:color="auto"/>
        <w:right w:val="none" w:sz="0" w:space="0" w:color="auto"/>
      </w:divBdr>
    </w:div>
    <w:div w:id="490412341">
      <w:bodyDiv w:val="1"/>
      <w:marLeft w:val="0"/>
      <w:marRight w:val="0"/>
      <w:marTop w:val="0"/>
      <w:marBottom w:val="0"/>
      <w:divBdr>
        <w:top w:val="none" w:sz="0" w:space="0" w:color="auto"/>
        <w:left w:val="none" w:sz="0" w:space="0" w:color="auto"/>
        <w:bottom w:val="none" w:sz="0" w:space="0" w:color="auto"/>
        <w:right w:val="none" w:sz="0" w:space="0" w:color="auto"/>
      </w:divBdr>
    </w:div>
    <w:div w:id="490561540">
      <w:bodyDiv w:val="1"/>
      <w:marLeft w:val="0"/>
      <w:marRight w:val="0"/>
      <w:marTop w:val="0"/>
      <w:marBottom w:val="0"/>
      <w:divBdr>
        <w:top w:val="none" w:sz="0" w:space="0" w:color="auto"/>
        <w:left w:val="none" w:sz="0" w:space="0" w:color="auto"/>
        <w:bottom w:val="none" w:sz="0" w:space="0" w:color="auto"/>
        <w:right w:val="none" w:sz="0" w:space="0" w:color="auto"/>
      </w:divBdr>
    </w:div>
    <w:div w:id="490873490">
      <w:bodyDiv w:val="1"/>
      <w:marLeft w:val="0"/>
      <w:marRight w:val="0"/>
      <w:marTop w:val="0"/>
      <w:marBottom w:val="0"/>
      <w:divBdr>
        <w:top w:val="none" w:sz="0" w:space="0" w:color="auto"/>
        <w:left w:val="none" w:sz="0" w:space="0" w:color="auto"/>
        <w:bottom w:val="none" w:sz="0" w:space="0" w:color="auto"/>
        <w:right w:val="none" w:sz="0" w:space="0" w:color="auto"/>
      </w:divBdr>
    </w:div>
    <w:div w:id="490878504">
      <w:bodyDiv w:val="1"/>
      <w:marLeft w:val="0"/>
      <w:marRight w:val="0"/>
      <w:marTop w:val="0"/>
      <w:marBottom w:val="0"/>
      <w:divBdr>
        <w:top w:val="none" w:sz="0" w:space="0" w:color="auto"/>
        <w:left w:val="none" w:sz="0" w:space="0" w:color="auto"/>
        <w:bottom w:val="none" w:sz="0" w:space="0" w:color="auto"/>
        <w:right w:val="none" w:sz="0" w:space="0" w:color="auto"/>
      </w:divBdr>
    </w:div>
    <w:div w:id="490996495">
      <w:bodyDiv w:val="1"/>
      <w:marLeft w:val="0"/>
      <w:marRight w:val="0"/>
      <w:marTop w:val="0"/>
      <w:marBottom w:val="0"/>
      <w:divBdr>
        <w:top w:val="none" w:sz="0" w:space="0" w:color="auto"/>
        <w:left w:val="none" w:sz="0" w:space="0" w:color="auto"/>
        <w:bottom w:val="none" w:sz="0" w:space="0" w:color="auto"/>
        <w:right w:val="none" w:sz="0" w:space="0" w:color="auto"/>
      </w:divBdr>
    </w:div>
    <w:div w:id="491264323">
      <w:bodyDiv w:val="1"/>
      <w:marLeft w:val="0"/>
      <w:marRight w:val="0"/>
      <w:marTop w:val="0"/>
      <w:marBottom w:val="0"/>
      <w:divBdr>
        <w:top w:val="none" w:sz="0" w:space="0" w:color="auto"/>
        <w:left w:val="none" w:sz="0" w:space="0" w:color="auto"/>
        <w:bottom w:val="none" w:sz="0" w:space="0" w:color="auto"/>
        <w:right w:val="none" w:sz="0" w:space="0" w:color="auto"/>
      </w:divBdr>
    </w:div>
    <w:div w:id="491799723">
      <w:bodyDiv w:val="1"/>
      <w:marLeft w:val="0"/>
      <w:marRight w:val="0"/>
      <w:marTop w:val="0"/>
      <w:marBottom w:val="0"/>
      <w:divBdr>
        <w:top w:val="none" w:sz="0" w:space="0" w:color="auto"/>
        <w:left w:val="none" w:sz="0" w:space="0" w:color="auto"/>
        <w:bottom w:val="none" w:sz="0" w:space="0" w:color="auto"/>
        <w:right w:val="none" w:sz="0" w:space="0" w:color="auto"/>
      </w:divBdr>
    </w:div>
    <w:div w:id="492063595">
      <w:bodyDiv w:val="1"/>
      <w:marLeft w:val="0"/>
      <w:marRight w:val="0"/>
      <w:marTop w:val="0"/>
      <w:marBottom w:val="0"/>
      <w:divBdr>
        <w:top w:val="none" w:sz="0" w:space="0" w:color="auto"/>
        <w:left w:val="none" w:sz="0" w:space="0" w:color="auto"/>
        <w:bottom w:val="none" w:sz="0" w:space="0" w:color="auto"/>
        <w:right w:val="none" w:sz="0" w:space="0" w:color="auto"/>
      </w:divBdr>
    </w:div>
    <w:div w:id="492568633">
      <w:bodyDiv w:val="1"/>
      <w:marLeft w:val="0"/>
      <w:marRight w:val="0"/>
      <w:marTop w:val="0"/>
      <w:marBottom w:val="0"/>
      <w:divBdr>
        <w:top w:val="none" w:sz="0" w:space="0" w:color="auto"/>
        <w:left w:val="none" w:sz="0" w:space="0" w:color="auto"/>
        <w:bottom w:val="none" w:sz="0" w:space="0" w:color="auto"/>
        <w:right w:val="none" w:sz="0" w:space="0" w:color="auto"/>
      </w:divBdr>
    </w:div>
    <w:div w:id="492716967">
      <w:bodyDiv w:val="1"/>
      <w:marLeft w:val="0"/>
      <w:marRight w:val="0"/>
      <w:marTop w:val="0"/>
      <w:marBottom w:val="0"/>
      <w:divBdr>
        <w:top w:val="none" w:sz="0" w:space="0" w:color="auto"/>
        <w:left w:val="none" w:sz="0" w:space="0" w:color="auto"/>
        <w:bottom w:val="none" w:sz="0" w:space="0" w:color="auto"/>
        <w:right w:val="none" w:sz="0" w:space="0" w:color="auto"/>
      </w:divBdr>
    </w:div>
    <w:div w:id="493494110">
      <w:bodyDiv w:val="1"/>
      <w:marLeft w:val="0"/>
      <w:marRight w:val="0"/>
      <w:marTop w:val="0"/>
      <w:marBottom w:val="0"/>
      <w:divBdr>
        <w:top w:val="none" w:sz="0" w:space="0" w:color="auto"/>
        <w:left w:val="none" w:sz="0" w:space="0" w:color="auto"/>
        <w:bottom w:val="none" w:sz="0" w:space="0" w:color="auto"/>
        <w:right w:val="none" w:sz="0" w:space="0" w:color="auto"/>
      </w:divBdr>
    </w:div>
    <w:div w:id="494338682">
      <w:bodyDiv w:val="1"/>
      <w:marLeft w:val="0"/>
      <w:marRight w:val="0"/>
      <w:marTop w:val="0"/>
      <w:marBottom w:val="0"/>
      <w:divBdr>
        <w:top w:val="none" w:sz="0" w:space="0" w:color="auto"/>
        <w:left w:val="none" w:sz="0" w:space="0" w:color="auto"/>
        <w:bottom w:val="none" w:sz="0" w:space="0" w:color="auto"/>
        <w:right w:val="none" w:sz="0" w:space="0" w:color="auto"/>
      </w:divBdr>
    </w:div>
    <w:div w:id="495003543">
      <w:bodyDiv w:val="1"/>
      <w:marLeft w:val="0"/>
      <w:marRight w:val="0"/>
      <w:marTop w:val="0"/>
      <w:marBottom w:val="0"/>
      <w:divBdr>
        <w:top w:val="none" w:sz="0" w:space="0" w:color="auto"/>
        <w:left w:val="none" w:sz="0" w:space="0" w:color="auto"/>
        <w:bottom w:val="none" w:sz="0" w:space="0" w:color="auto"/>
        <w:right w:val="none" w:sz="0" w:space="0" w:color="auto"/>
      </w:divBdr>
    </w:div>
    <w:div w:id="495074151">
      <w:bodyDiv w:val="1"/>
      <w:marLeft w:val="0"/>
      <w:marRight w:val="0"/>
      <w:marTop w:val="0"/>
      <w:marBottom w:val="0"/>
      <w:divBdr>
        <w:top w:val="none" w:sz="0" w:space="0" w:color="auto"/>
        <w:left w:val="none" w:sz="0" w:space="0" w:color="auto"/>
        <w:bottom w:val="none" w:sz="0" w:space="0" w:color="auto"/>
        <w:right w:val="none" w:sz="0" w:space="0" w:color="auto"/>
      </w:divBdr>
    </w:div>
    <w:div w:id="495077643">
      <w:bodyDiv w:val="1"/>
      <w:marLeft w:val="0"/>
      <w:marRight w:val="0"/>
      <w:marTop w:val="0"/>
      <w:marBottom w:val="0"/>
      <w:divBdr>
        <w:top w:val="none" w:sz="0" w:space="0" w:color="auto"/>
        <w:left w:val="none" w:sz="0" w:space="0" w:color="auto"/>
        <w:bottom w:val="none" w:sz="0" w:space="0" w:color="auto"/>
        <w:right w:val="none" w:sz="0" w:space="0" w:color="auto"/>
      </w:divBdr>
    </w:div>
    <w:div w:id="495345926">
      <w:bodyDiv w:val="1"/>
      <w:marLeft w:val="0"/>
      <w:marRight w:val="0"/>
      <w:marTop w:val="0"/>
      <w:marBottom w:val="0"/>
      <w:divBdr>
        <w:top w:val="none" w:sz="0" w:space="0" w:color="auto"/>
        <w:left w:val="none" w:sz="0" w:space="0" w:color="auto"/>
        <w:bottom w:val="none" w:sz="0" w:space="0" w:color="auto"/>
        <w:right w:val="none" w:sz="0" w:space="0" w:color="auto"/>
      </w:divBdr>
    </w:div>
    <w:div w:id="495388094">
      <w:bodyDiv w:val="1"/>
      <w:marLeft w:val="0"/>
      <w:marRight w:val="0"/>
      <w:marTop w:val="0"/>
      <w:marBottom w:val="0"/>
      <w:divBdr>
        <w:top w:val="none" w:sz="0" w:space="0" w:color="auto"/>
        <w:left w:val="none" w:sz="0" w:space="0" w:color="auto"/>
        <w:bottom w:val="none" w:sz="0" w:space="0" w:color="auto"/>
        <w:right w:val="none" w:sz="0" w:space="0" w:color="auto"/>
      </w:divBdr>
    </w:div>
    <w:div w:id="496310976">
      <w:bodyDiv w:val="1"/>
      <w:marLeft w:val="0"/>
      <w:marRight w:val="0"/>
      <w:marTop w:val="0"/>
      <w:marBottom w:val="0"/>
      <w:divBdr>
        <w:top w:val="none" w:sz="0" w:space="0" w:color="auto"/>
        <w:left w:val="none" w:sz="0" w:space="0" w:color="auto"/>
        <w:bottom w:val="none" w:sz="0" w:space="0" w:color="auto"/>
        <w:right w:val="none" w:sz="0" w:space="0" w:color="auto"/>
      </w:divBdr>
    </w:div>
    <w:div w:id="496380395">
      <w:bodyDiv w:val="1"/>
      <w:marLeft w:val="0"/>
      <w:marRight w:val="0"/>
      <w:marTop w:val="0"/>
      <w:marBottom w:val="0"/>
      <w:divBdr>
        <w:top w:val="none" w:sz="0" w:space="0" w:color="auto"/>
        <w:left w:val="none" w:sz="0" w:space="0" w:color="auto"/>
        <w:bottom w:val="none" w:sz="0" w:space="0" w:color="auto"/>
        <w:right w:val="none" w:sz="0" w:space="0" w:color="auto"/>
      </w:divBdr>
    </w:div>
    <w:div w:id="496380626">
      <w:bodyDiv w:val="1"/>
      <w:marLeft w:val="0"/>
      <w:marRight w:val="0"/>
      <w:marTop w:val="0"/>
      <w:marBottom w:val="0"/>
      <w:divBdr>
        <w:top w:val="none" w:sz="0" w:space="0" w:color="auto"/>
        <w:left w:val="none" w:sz="0" w:space="0" w:color="auto"/>
        <w:bottom w:val="none" w:sz="0" w:space="0" w:color="auto"/>
        <w:right w:val="none" w:sz="0" w:space="0" w:color="auto"/>
      </w:divBdr>
    </w:div>
    <w:div w:id="496388691">
      <w:bodyDiv w:val="1"/>
      <w:marLeft w:val="0"/>
      <w:marRight w:val="0"/>
      <w:marTop w:val="0"/>
      <w:marBottom w:val="0"/>
      <w:divBdr>
        <w:top w:val="none" w:sz="0" w:space="0" w:color="auto"/>
        <w:left w:val="none" w:sz="0" w:space="0" w:color="auto"/>
        <w:bottom w:val="none" w:sz="0" w:space="0" w:color="auto"/>
        <w:right w:val="none" w:sz="0" w:space="0" w:color="auto"/>
      </w:divBdr>
    </w:div>
    <w:div w:id="497890386">
      <w:bodyDiv w:val="1"/>
      <w:marLeft w:val="0"/>
      <w:marRight w:val="0"/>
      <w:marTop w:val="0"/>
      <w:marBottom w:val="0"/>
      <w:divBdr>
        <w:top w:val="none" w:sz="0" w:space="0" w:color="auto"/>
        <w:left w:val="none" w:sz="0" w:space="0" w:color="auto"/>
        <w:bottom w:val="none" w:sz="0" w:space="0" w:color="auto"/>
        <w:right w:val="none" w:sz="0" w:space="0" w:color="auto"/>
      </w:divBdr>
    </w:div>
    <w:div w:id="498081499">
      <w:bodyDiv w:val="1"/>
      <w:marLeft w:val="0"/>
      <w:marRight w:val="0"/>
      <w:marTop w:val="0"/>
      <w:marBottom w:val="0"/>
      <w:divBdr>
        <w:top w:val="none" w:sz="0" w:space="0" w:color="auto"/>
        <w:left w:val="none" w:sz="0" w:space="0" w:color="auto"/>
        <w:bottom w:val="none" w:sz="0" w:space="0" w:color="auto"/>
        <w:right w:val="none" w:sz="0" w:space="0" w:color="auto"/>
      </w:divBdr>
    </w:div>
    <w:div w:id="498081736">
      <w:bodyDiv w:val="1"/>
      <w:marLeft w:val="0"/>
      <w:marRight w:val="0"/>
      <w:marTop w:val="0"/>
      <w:marBottom w:val="0"/>
      <w:divBdr>
        <w:top w:val="none" w:sz="0" w:space="0" w:color="auto"/>
        <w:left w:val="none" w:sz="0" w:space="0" w:color="auto"/>
        <w:bottom w:val="none" w:sz="0" w:space="0" w:color="auto"/>
        <w:right w:val="none" w:sz="0" w:space="0" w:color="auto"/>
      </w:divBdr>
    </w:div>
    <w:div w:id="498691276">
      <w:bodyDiv w:val="1"/>
      <w:marLeft w:val="0"/>
      <w:marRight w:val="0"/>
      <w:marTop w:val="0"/>
      <w:marBottom w:val="0"/>
      <w:divBdr>
        <w:top w:val="none" w:sz="0" w:space="0" w:color="auto"/>
        <w:left w:val="none" w:sz="0" w:space="0" w:color="auto"/>
        <w:bottom w:val="none" w:sz="0" w:space="0" w:color="auto"/>
        <w:right w:val="none" w:sz="0" w:space="0" w:color="auto"/>
      </w:divBdr>
    </w:div>
    <w:div w:id="498813993">
      <w:bodyDiv w:val="1"/>
      <w:marLeft w:val="0"/>
      <w:marRight w:val="0"/>
      <w:marTop w:val="0"/>
      <w:marBottom w:val="0"/>
      <w:divBdr>
        <w:top w:val="none" w:sz="0" w:space="0" w:color="auto"/>
        <w:left w:val="none" w:sz="0" w:space="0" w:color="auto"/>
        <w:bottom w:val="none" w:sz="0" w:space="0" w:color="auto"/>
        <w:right w:val="none" w:sz="0" w:space="0" w:color="auto"/>
      </w:divBdr>
    </w:div>
    <w:div w:id="499007148">
      <w:bodyDiv w:val="1"/>
      <w:marLeft w:val="0"/>
      <w:marRight w:val="0"/>
      <w:marTop w:val="0"/>
      <w:marBottom w:val="0"/>
      <w:divBdr>
        <w:top w:val="none" w:sz="0" w:space="0" w:color="auto"/>
        <w:left w:val="none" w:sz="0" w:space="0" w:color="auto"/>
        <w:bottom w:val="none" w:sz="0" w:space="0" w:color="auto"/>
        <w:right w:val="none" w:sz="0" w:space="0" w:color="auto"/>
      </w:divBdr>
    </w:div>
    <w:div w:id="499083727">
      <w:bodyDiv w:val="1"/>
      <w:marLeft w:val="0"/>
      <w:marRight w:val="0"/>
      <w:marTop w:val="0"/>
      <w:marBottom w:val="0"/>
      <w:divBdr>
        <w:top w:val="none" w:sz="0" w:space="0" w:color="auto"/>
        <w:left w:val="none" w:sz="0" w:space="0" w:color="auto"/>
        <w:bottom w:val="none" w:sz="0" w:space="0" w:color="auto"/>
        <w:right w:val="none" w:sz="0" w:space="0" w:color="auto"/>
      </w:divBdr>
    </w:div>
    <w:div w:id="499195050">
      <w:bodyDiv w:val="1"/>
      <w:marLeft w:val="0"/>
      <w:marRight w:val="0"/>
      <w:marTop w:val="0"/>
      <w:marBottom w:val="0"/>
      <w:divBdr>
        <w:top w:val="none" w:sz="0" w:space="0" w:color="auto"/>
        <w:left w:val="none" w:sz="0" w:space="0" w:color="auto"/>
        <w:bottom w:val="none" w:sz="0" w:space="0" w:color="auto"/>
        <w:right w:val="none" w:sz="0" w:space="0" w:color="auto"/>
      </w:divBdr>
    </w:div>
    <w:div w:id="499346706">
      <w:bodyDiv w:val="1"/>
      <w:marLeft w:val="0"/>
      <w:marRight w:val="0"/>
      <w:marTop w:val="0"/>
      <w:marBottom w:val="0"/>
      <w:divBdr>
        <w:top w:val="none" w:sz="0" w:space="0" w:color="auto"/>
        <w:left w:val="none" w:sz="0" w:space="0" w:color="auto"/>
        <w:bottom w:val="none" w:sz="0" w:space="0" w:color="auto"/>
        <w:right w:val="none" w:sz="0" w:space="0" w:color="auto"/>
      </w:divBdr>
    </w:div>
    <w:div w:id="499469720">
      <w:bodyDiv w:val="1"/>
      <w:marLeft w:val="0"/>
      <w:marRight w:val="0"/>
      <w:marTop w:val="0"/>
      <w:marBottom w:val="0"/>
      <w:divBdr>
        <w:top w:val="none" w:sz="0" w:space="0" w:color="auto"/>
        <w:left w:val="none" w:sz="0" w:space="0" w:color="auto"/>
        <w:bottom w:val="none" w:sz="0" w:space="0" w:color="auto"/>
        <w:right w:val="none" w:sz="0" w:space="0" w:color="auto"/>
      </w:divBdr>
    </w:div>
    <w:div w:id="499739316">
      <w:bodyDiv w:val="1"/>
      <w:marLeft w:val="0"/>
      <w:marRight w:val="0"/>
      <w:marTop w:val="0"/>
      <w:marBottom w:val="0"/>
      <w:divBdr>
        <w:top w:val="none" w:sz="0" w:space="0" w:color="auto"/>
        <w:left w:val="none" w:sz="0" w:space="0" w:color="auto"/>
        <w:bottom w:val="none" w:sz="0" w:space="0" w:color="auto"/>
        <w:right w:val="none" w:sz="0" w:space="0" w:color="auto"/>
      </w:divBdr>
    </w:div>
    <w:div w:id="499926427">
      <w:bodyDiv w:val="1"/>
      <w:marLeft w:val="0"/>
      <w:marRight w:val="0"/>
      <w:marTop w:val="0"/>
      <w:marBottom w:val="0"/>
      <w:divBdr>
        <w:top w:val="none" w:sz="0" w:space="0" w:color="auto"/>
        <w:left w:val="none" w:sz="0" w:space="0" w:color="auto"/>
        <w:bottom w:val="none" w:sz="0" w:space="0" w:color="auto"/>
        <w:right w:val="none" w:sz="0" w:space="0" w:color="auto"/>
      </w:divBdr>
    </w:div>
    <w:div w:id="500048750">
      <w:bodyDiv w:val="1"/>
      <w:marLeft w:val="0"/>
      <w:marRight w:val="0"/>
      <w:marTop w:val="0"/>
      <w:marBottom w:val="0"/>
      <w:divBdr>
        <w:top w:val="none" w:sz="0" w:space="0" w:color="auto"/>
        <w:left w:val="none" w:sz="0" w:space="0" w:color="auto"/>
        <w:bottom w:val="none" w:sz="0" w:space="0" w:color="auto"/>
        <w:right w:val="none" w:sz="0" w:space="0" w:color="auto"/>
      </w:divBdr>
    </w:div>
    <w:div w:id="500120927">
      <w:bodyDiv w:val="1"/>
      <w:marLeft w:val="0"/>
      <w:marRight w:val="0"/>
      <w:marTop w:val="0"/>
      <w:marBottom w:val="0"/>
      <w:divBdr>
        <w:top w:val="none" w:sz="0" w:space="0" w:color="auto"/>
        <w:left w:val="none" w:sz="0" w:space="0" w:color="auto"/>
        <w:bottom w:val="none" w:sz="0" w:space="0" w:color="auto"/>
        <w:right w:val="none" w:sz="0" w:space="0" w:color="auto"/>
      </w:divBdr>
    </w:div>
    <w:div w:id="500510380">
      <w:bodyDiv w:val="1"/>
      <w:marLeft w:val="0"/>
      <w:marRight w:val="0"/>
      <w:marTop w:val="0"/>
      <w:marBottom w:val="0"/>
      <w:divBdr>
        <w:top w:val="none" w:sz="0" w:space="0" w:color="auto"/>
        <w:left w:val="none" w:sz="0" w:space="0" w:color="auto"/>
        <w:bottom w:val="none" w:sz="0" w:space="0" w:color="auto"/>
        <w:right w:val="none" w:sz="0" w:space="0" w:color="auto"/>
      </w:divBdr>
    </w:div>
    <w:div w:id="500514402">
      <w:bodyDiv w:val="1"/>
      <w:marLeft w:val="0"/>
      <w:marRight w:val="0"/>
      <w:marTop w:val="0"/>
      <w:marBottom w:val="0"/>
      <w:divBdr>
        <w:top w:val="none" w:sz="0" w:space="0" w:color="auto"/>
        <w:left w:val="none" w:sz="0" w:space="0" w:color="auto"/>
        <w:bottom w:val="none" w:sz="0" w:space="0" w:color="auto"/>
        <w:right w:val="none" w:sz="0" w:space="0" w:color="auto"/>
      </w:divBdr>
    </w:div>
    <w:div w:id="500585505">
      <w:bodyDiv w:val="1"/>
      <w:marLeft w:val="0"/>
      <w:marRight w:val="0"/>
      <w:marTop w:val="0"/>
      <w:marBottom w:val="0"/>
      <w:divBdr>
        <w:top w:val="none" w:sz="0" w:space="0" w:color="auto"/>
        <w:left w:val="none" w:sz="0" w:space="0" w:color="auto"/>
        <w:bottom w:val="none" w:sz="0" w:space="0" w:color="auto"/>
        <w:right w:val="none" w:sz="0" w:space="0" w:color="auto"/>
      </w:divBdr>
    </w:div>
    <w:div w:id="500658250">
      <w:bodyDiv w:val="1"/>
      <w:marLeft w:val="0"/>
      <w:marRight w:val="0"/>
      <w:marTop w:val="0"/>
      <w:marBottom w:val="0"/>
      <w:divBdr>
        <w:top w:val="none" w:sz="0" w:space="0" w:color="auto"/>
        <w:left w:val="none" w:sz="0" w:space="0" w:color="auto"/>
        <w:bottom w:val="none" w:sz="0" w:space="0" w:color="auto"/>
        <w:right w:val="none" w:sz="0" w:space="0" w:color="auto"/>
      </w:divBdr>
    </w:div>
    <w:div w:id="500660697">
      <w:bodyDiv w:val="1"/>
      <w:marLeft w:val="0"/>
      <w:marRight w:val="0"/>
      <w:marTop w:val="0"/>
      <w:marBottom w:val="0"/>
      <w:divBdr>
        <w:top w:val="none" w:sz="0" w:space="0" w:color="auto"/>
        <w:left w:val="none" w:sz="0" w:space="0" w:color="auto"/>
        <w:bottom w:val="none" w:sz="0" w:space="0" w:color="auto"/>
        <w:right w:val="none" w:sz="0" w:space="0" w:color="auto"/>
      </w:divBdr>
    </w:div>
    <w:div w:id="500896645">
      <w:bodyDiv w:val="1"/>
      <w:marLeft w:val="0"/>
      <w:marRight w:val="0"/>
      <w:marTop w:val="0"/>
      <w:marBottom w:val="0"/>
      <w:divBdr>
        <w:top w:val="none" w:sz="0" w:space="0" w:color="auto"/>
        <w:left w:val="none" w:sz="0" w:space="0" w:color="auto"/>
        <w:bottom w:val="none" w:sz="0" w:space="0" w:color="auto"/>
        <w:right w:val="none" w:sz="0" w:space="0" w:color="auto"/>
      </w:divBdr>
    </w:div>
    <w:div w:id="501090256">
      <w:bodyDiv w:val="1"/>
      <w:marLeft w:val="0"/>
      <w:marRight w:val="0"/>
      <w:marTop w:val="0"/>
      <w:marBottom w:val="0"/>
      <w:divBdr>
        <w:top w:val="none" w:sz="0" w:space="0" w:color="auto"/>
        <w:left w:val="none" w:sz="0" w:space="0" w:color="auto"/>
        <w:bottom w:val="none" w:sz="0" w:space="0" w:color="auto"/>
        <w:right w:val="none" w:sz="0" w:space="0" w:color="auto"/>
      </w:divBdr>
    </w:div>
    <w:div w:id="501238907">
      <w:bodyDiv w:val="1"/>
      <w:marLeft w:val="0"/>
      <w:marRight w:val="0"/>
      <w:marTop w:val="0"/>
      <w:marBottom w:val="0"/>
      <w:divBdr>
        <w:top w:val="none" w:sz="0" w:space="0" w:color="auto"/>
        <w:left w:val="none" w:sz="0" w:space="0" w:color="auto"/>
        <w:bottom w:val="none" w:sz="0" w:space="0" w:color="auto"/>
        <w:right w:val="none" w:sz="0" w:space="0" w:color="auto"/>
      </w:divBdr>
    </w:div>
    <w:div w:id="501312462">
      <w:bodyDiv w:val="1"/>
      <w:marLeft w:val="0"/>
      <w:marRight w:val="0"/>
      <w:marTop w:val="0"/>
      <w:marBottom w:val="0"/>
      <w:divBdr>
        <w:top w:val="none" w:sz="0" w:space="0" w:color="auto"/>
        <w:left w:val="none" w:sz="0" w:space="0" w:color="auto"/>
        <w:bottom w:val="none" w:sz="0" w:space="0" w:color="auto"/>
        <w:right w:val="none" w:sz="0" w:space="0" w:color="auto"/>
      </w:divBdr>
    </w:div>
    <w:div w:id="501313614">
      <w:bodyDiv w:val="1"/>
      <w:marLeft w:val="0"/>
      <w:marRight w:val="0"/>
      <w:marTop w:val="0"/>
      <w:marBottom w:val="0"/>
      <w:divBdr>
        <w:top w:val="none" w:sz="0" w:space="0" w:color="auto"/>
        <w:left w:val="none" w:sz="0" w:space="0" w:color="auto"/>
        <w:bottom w:val="none" w:sz="0" w:space="0" w:color="auto"/>
        <w:right w:val="none" w:sz="0" w:space="0" w:color="auto"/>
      </w:divBdr>
    </w:div>
    <w:div w:id="501316250">
      <w:bodyDiv w:val="1"/>
      <w:marLeft w:val="0"/>
      <w:marRight w:val="0"/>
      <w:marTop w:val="0"/>
      <w:marBottom w:val="0"/>
      <w:divBdr>
        <w:top w:val="none" w:sz="0" w:space="0" w:color="auto"/>
        <w:left w:val="none" w:sz="0" w:space="0" w:color="auto"/>
        <w:bottom w:val="none" w:sz="0" w:space="0" w:color="auto"/>
        <w:right w:val="none" w:sz="0" w:space="0" w:color="auto"/>
      </w:divBdr>
    </w:div>
    <w:div w:id="501702349">
      <w:bodyDiv w:val="1"/>
      <w:marLeft w:val="0"/>
      <w:marRight w:val="0"/>
      <w:marTop w:val="0"/>
      <w:marBottom w:val="0"/>
      <w:divBdr>
        <w:top w:val="none" w:sz="0" w:space="0" w:color="auto"/>
        <w:left w:val="none" w:sz="0" w:space="0" w:color="auto"/>
        <w:bottom w:val="none" w:sz="0" w:space="0" w:color="auto"/>
        <w:right w:val="none" w:sz="0" w:space="0" w:color="auto"/>
      </w:divBdr>
    </w:div>
    <w:div w:id="501744727">
      <w:bodyDiv w:val="1"/>
      <w:marLeft w:val="0"/>
      <w:marRight w:val="0"/>
      <w:marTop w:val="0"/>
      <w:marBottom w:val="0"/>
      <w:divBdr>
        <w:top w:val="none" w:sz="0" w:space="0" w:color="auto"/>
        <w:left w:val="none" w:sz="0" w:space="0" w:color="auto"/>
        <w:bottom w:val="none" w:sz="0" w:space="0" w:color="auto"/>
        <w:right w:val="none" w:sz="0" w:space="0" w:color="auto"/>
      </w:divBdr>
    </w:div>
    <w:div w:id="501898646">
      <w:bodyDiv w:val="1"/>
      <w:marLeft w:val="0"/>
      <w:marRight w:val="0"/>
      <w:marTop w:val="0"/>
      <w:marBottom w:val="0"/>
      <w:divBdr>
        <w:top w:val="none" w:sz="0" w:space="0" w:color="auto"/>
        <w:left w:val="none" w:sz="0" w:space="0" w:color="auto"/>
        <w:bottom w:val="none" w:sz="0" w:space="0" w:color="auto"/>
        <w:right w:val="none" w:sz="0" w:space="0" w:color="auto"/>
      </w:divBdr>
    </w:div>
    <w:div w:id="502014169">
      <w:bodyDiv w:val="1"/>
      <w:marLeft w:val="0"/>
      <w:marRight w:val="0"/>
      <w:marTop w:val="0"/>
      <w:marBottom w:val="0"/>
      <w:divBdr>
        <w:top w:val="none" w:sz="0" w:space="0" w:color="auto"/>
        <w:left w:val="none" w:sz="0" w:space="0" w:color="auto"/>
        <w:bottom w:val="none" w:sz="0" w:space="0" w:color="auto"/>
        <w:right w:val="none" w:sz="0" w:space="0" w:color="auto"/>
      </w:divBdr>
    </w:div>
    <w:div w:id="502356458">
      <w:bodyDiv w:val="1"/>
      <w:marLeft w:val="0"/>
      <w:marRight w:val="0"/>
      <w:marTop w:val="0"/>
      <w:marBottom w:val="0"/>
      <w:divBdr>
        <w:top w:val="none" w:sz="0" w:space="0" w:color="auto"/>
        <w:left w:val="none" w:sz="0" w:space="0" w:color="auto"/>
        <w:bottom w:val="none" w:sz="0" w:space="0" w:color="auto"/>
        <w:right w:val="none" w:sz="0" w:space="0" w:color="auto"/>
      </w:divBdr>
    </w:div>
    <w:div w:id="502552741">
      <w:bodyDiv w:val="1"/>
      <w:marLeft w:val="0"/>
      <w:marRight w:val="0"/>
      <w:marTop w:val="0"/>
      <w:marBottom w:val="0"/>
      <w:divBdr>
        <w:top w:val="none" w:sz="0" w:space="0" w:color="auto"/>
        <w:left w:val="none" w:sz="0" w:space="0" w:color="auto"/>
        <w:bottom w:val="none" w:sz="0" w:space="0" w:color="auto"/>
        <w:right w:val="none" w:sz="0" w:space="0" w:color="auto"/>
      </w:divBdr>
    </w:div>
    <w:div w:id="502621222">
      <w:bodyDiv w:val="1"/>
      <w:marLeft w:val="0"/>
      <w:marRight w:val="0"/>
      <w:marTop w:val="0"/>
      <w:marBottom w:val="0"/>
      <w:divBdr>
        <w:top w:val="none" w:sz="0" w:space="0" w:color="auto"/>
        <w:left w:val="none" w:sz="0" w:space="0" w:color="auto"/>
        <w:bottom w:val="none" w:sz="0" w:space="0" w:color="auto"/>
        <w:right w:val="none" w:sz="0" w:space="0" w:color="auto"/>
      </w:divBdr>
    </w:div>
    <w:div w:id="502671192">
      <w:bodyDiv w:val="1"/>
      <w:marLeft w:val="0"/>
      <w:marRight w:val="0"/>
      <w:marTop w:val="0"/>
      <w:marBottom w:val="0"/>
      <w:divBdr>
        <w:top w:val="none" w:sz="0" w:space="0" w:color="auto"/>
        <w:left w:val="none" w:sz="0" w:space="0" w:color="auto"/>
        <w:bottom w:val="none" w:sz="0" w:space="0" w:color="auto"/>
        <w:right w:val="none" w:sz="0" w:space="0" w:color="auto"/>
      </w:divBdr>
    </w:div>
    <w:div w:id="503010124">
      <w:bodyDiv w:val="1"/>
      <w:marLeft w:val="0"/>
      <w:marRight w:val="0"/>
      <w:marTop w:val="0"/>
      <w:marBottom w:val="0"/>
      <w:divBdr>
        <w:top w:val="none" w:sz="0" w:space="0" w:color="auto"/>
        <w:left w:val="none" w:sz="0" w:space="0" w:color="auto"/>
        <w:bottom w:val="none" w:sz="0" w:space="0" w:color="auto"/>
        <w:right w:val="none" w:sz="0" w:space="0" w:color="auto"/>
      </w:divBdr>
    </w:div>
    <w:div w:id="503084392">
      <w:bodyDiv w:val="1"/>
      <w:marLeft w:val="0"/>
      <w:marRight w:val="0"/>
      <w:marTop w:val="0"/>
      <w:marBottom w:val="0"/>
      <w:divBdr>
        <w:top w:val="none" w:sz="0" w:space="0" w:color="auto"/>
        <w:left w:val="none" w:sz="0" w:space="0" w:color="auto"/>
        <w:bottom w:val="none" w:sz="0" w:space="0" w:color="auto"/>
        <w:right w:val="none" w:sz="0" w:space="0" w:color="auto"/>
      </w:divBdr>
    </w:div>
    <w:div w:id="503202247">
      <w:bodyDiv w:val="1"/>
      <w:marLeft w:val="0"/>
      <w:marRight w:val="0"/>
      <w:marTop w:val="0"/>
      <w:marBottom w:val="0"/>
      <w:divBdr>
        <w:top w:val="none" w:sz="0" w:space="0" w:color="auto"/>
        <w:left w:val="none" w:sz="0" w:space="0" w:color="auto"/>
        <w:bottom w:val="none" w:sz="0" w:space="0" w:color="auto"/>
        <w:right w:val="none" w:sz="0" w:space="0" w:color="auto"/>
      </w:divBdr>
    </w:div>
    <w:div w:id="503324213">
      <w:bodyDiv w:val="1"/>
      <w:marLeft w:val="0"/>
      <w:marRight w:val="0"/>
      <w:marTop w:val="0"/>
      <w:marBottom w:val="0"/>
      <w:divBdr>
        <w:top w:val="none" w:sz="0" w:space="0" w:color="auto"/>
        <w:left w:val="none" w:sz="0" w:space="0" w:color="auto"/>
        <w:bottom w:val="none" w:sz="0" w:space="0" w:color="auto"/>
        <w:right w:val="none" w:sz="0" w:space="0" w:color="auto"/>
      </w:divBdr>
    </w:div>
    <w:div w:id="503672290">
      <w:bodyDiv w:val="1"/>
      <w:marLeft w:val="0"/>
      <w:marRight w:val="0"/>
      <w:marTop w:val="0"/>
      <w:marBottom w:val="0"/>
      <w:divBdr>
        <w:top w:val="none" w:sz="0" w:space="0" w:color="auto"/>
        <w:left w:val="none" w:sz="0" w:space="0" w:color="auto"/>
        <w:bottom w:val="none" w:sz="0" w:space="0" w:color="auto"/>
        <w:right w:val="none" w:sz="0" w:space="0" w:color="auto"/>
      </w:divBdr>
    </w:div>
    <w:div w:id="503934236">
      <w:bodyDiv w:val="1"/>
      <w:marLeft w:val="0"/>
      <w:marRight w:val="0"/>
      <w:marTop w:val="0"/>
      <w:marBottom w:val="0"/>
      <w:divBdr>
        <w:top w:val="none" w:sz="0" w:space="0" w:color="auto"/>
        <w:left w:val="none" w:sz="0" w:space="0" w:color="auto"/>
        <w:bottom w:val="none" w:sz="0" w:space="0" w:color="auto"/>
        <w:right w:val="none" w:sz="0" w:space="0" w:color="auto"/>
      </w:divBdr>
    </w:div>
    <w:div w:id="504518789">
      <w:bodyDiv w:val="1"/>
      <w:marLeft w:val="0"/>
      <w:marRight w:val="0"/>
      <w:marTop w:val="0"/>
      <w:marBottom w:val="0"/>
      <w:divBdr>
        <w:top w:val="none" w:sz="0" w:space="0" w:color="auto"/>
        <w:left w:val="none" w:sz="0" w:space="0" w:color="auto"/>
        <w:bottom w:val="none" w:sz="0" w:space="0" w:color="auto"/>
        <w:right w:val="none" w:sz="0" w:space="0" w:color="auto"/>
      </w:divBdr>
    </w:div>
    <w:div w:id="504629740">
      <w:bodyDiv w:val="1"/>
      <w:marLeft w:val="0"/>
      <w:marRight w:val="0"/>
      <w:marTop w:val="0"/>
      <w:marBottom w:val="0"/>
      <w:divBdr>
        <w:top w:val="none" w:sz="0" w:space="0" w:color="auto"/>
        <w:left w:val="none" w:sz="0" w:space="0" w:color="auto"/>
        <w:bottom w:val="none" w:sz="0" w:space="0" w:color="auto"/>
        <w:right w:val="none" w:sz="0" w:space="0" w:color="auto"/>
      </w:divBdr>
    </w:div>
    <w:div w:id="504635810">
      <w:bodyDiv w:val="1"/>
      <w:marLeft w:val="0"/>
      <w:marRight w:val="0"/>
      <w:marTop w:val="0"/>
      <w:marBottom w:val="0"/>
      <w:divBdr>
        <w:top w:val="none" w:sz="0" w:space="0" w:color="auto"/>
        <w:left w:val="none" w:sz="0" w:space="0" w:color="auto"/>
        <w:bottom w:val="none" w:sz="0" w:space="0" w:color="auto"/>
        <w:right w:val="none" w:sz="0" w:space="0" w:color="auto"/>
      </w:divBdr>
    </w:div>
    <w:div w:id="504708038">
      <w:bodyDiv w:val="1"/>
      <w:marLeft w:val="0"/>
      <w:marRight w:val="0"/>
      <w:marTop w:val="0"/>
      <w:marBottom w:val="0"/>
      <w:divBdr>
        <w:top w:val="none" w:sz="0" w:space="0" w:color="auto"/>
        <w:left w:val="none" w:sz="0" w:space="0" w:color="auto"/>
        <w:bottom w:val="none" w:sz="0" w:space="0" w:color="auto"/>
        <w:right w:val="none" w:sz="0" w:space="0" w:color="auto"/>
      </w:divBdr>
    </w:div>
    <w:div w:id="504710288">
      <w:bodyDiv w:val="1"/>
      <w:marLeft w:val="0"/>
      <w:marRight w:val="0"/>
      <w:marTop w:val="0"/>
      <w:marBottom w:val="0"/>
      <w:divBdr>
        <w:top w:val="none" w:sz="0" w:space="0" w:color="auto"/>
        <w:left w:val="none" w:sz="0" w:space="0" w:color="auto"/>
        <w:bottom w:val="none" w:sz="0" w:space="0" w:color="auto"/>
        <w:right w:val="none" w:sz="0" w:space="0" w:color="auto"/>
      </w:divBdr>
    </w:div>
    <w:div w:id="505484511">
      <w:bodyDiv w:val="1"/>
      <w:marLeft w:val="0"/>
      <w:marRight w:val="0"/>
      <w:marTop w:val="0"/>
      <w:marBottom w:val="0"/>
      <w:divBdr>
        <w:top w:val="none" w:sz="0" w:space="0" w:color="auto"/>
        <w:left w:val="none" w:sz="0" w:space="0" w:color="auto"/>
        <w:bottom w:val="none" w:sz="0" w:space="0" w:color="auto"/>
        <w:right w:val="none" w:sz="0" w:space="0" w:color="auto"/>
      </w:divBdr>
    </w:div>
    <w:div w:id="505632823">
      <w:bodyDiv w:val="1"/>
      <w:marLeft w:val="0"/>
      <w:marRight w:val="0"/>
      <w:marTop w:val="0"/>
      <w:marBottom w:val="0"/>
      <w:divBdr>
        <w:top w:val="none" w:sz="0" w:space="0" w:color="auto"/>
        <w:left w:val="none" w:sz="0" w:space="0" w:color="auto"/>
        <w:bottom w:val="none" w:sz="0" w:space="0" w:color="auto"/>
        <w:right w:val="none" w:sz="0" w:space="0" w:color="auto"/>
      </w:divBdr>
    </w:div>
    <w:div w:id="506098878">
      <w:bodyDiv w:val="1"/>
      <w:marLeft w:val="0"/>
      <w:marRight w:val="0"/>
      <w:marTop w:val="0"/>
      <w:marBottom w:val="0"/>
      <w:divBdr>
        <w:top w:val="none" w:sz="0" w:space="0" w:color="auto"/>
        <w:left w:val="none" w:sz="0" w:space="0" w:color="auto"/>
        <w:bottom w:val="none" w:sz="0" w:space="0" w:color="auto"/>
        <w:right w:val="none" w:sz="0" w:space="0" w:color="auto"/>
      </w:divBdr>
    </w:div>
    <w:div w:id="507522943">
      <w:bodyDiv w:val="1"/>
      <w:marLeft w:val="0"/>
      <w:marRight w:val="0"/>
      <w:marTop w:val="0"/>
      <w:marBottom w:val="0"/>
      <w:divBdr>
        <w:top w:val="none" w:sz="0" w:space="0" w:color="auto"/>
        <w:left w:val="none" w:sz="0" w:space="0" w:color="auto"/>
        <w:bottom w:val="none" w:sz="0" w:space="0" w:color="auto"/>
        <w:right w:val="none" w:sz="0" w:space="0" w:color="auto"/>
      </w:divBdr>
    </w:div>
    <w:div w:id="507595805">
      <w:bodyDiv w:val="1"/>
      <w:marLeft w:val="0"/>
      <w:marRight w:val="0"/>
      <w:marTop w:val="0"/>
      <w:marBottom w:val="0"/>
      <w:divBdr>
        <w:top w:val="none" w:sz="0" w:space="0" w:color="auto"/>
        <w:left w:val="none" w:sz="0" w:space="0" w:color="auto"/>
        <w:bottom w:val="none" w:sz="0" w:space="0" w:color="auto"/>
        <w:right w:val="none" w:sz="0" w:space="0" w:color="auto"/>
      </w:divBdr>
    </w:div>
    <w:div w:id="508568590">
      <w:bodyDiv w:val="1"/>
      <w:marLeft w:val="0"/>
      <w:marRight w:val="0"/>
      <w:marTop w:val="0"/>
      <w:marBottom w:val="0"/>
      <w:divBdr>
        <w:top w:val="none" w:sz="0" w:space="0" w:color="auto"/>
        <w:left w:val="none" w:sz="0" w:space="0" w:color="auto"/>
        <w:bottom w:val="none" w:sz="0" w:space="0" w:color="auto"/>
        <w:right w:val="none" w:sz="0" w:space="0" w:color="auto"/>
      </w:divBdr>
    </w:div>
    <w:div w:id="508913839">
      <w:bodyDiv w:val="1"/>
      <w:marLeft w:val="0"/>
      <w:marRight w:val="0"/>
      <w:marTop w:val="0"/>
      <w:marBottom w:val="0"/>
      <w:divBdr>
        <w:top w:val="none" w:sz="0" w:space="0" w:color="auto"/>
        <w:left w:val="none" w:sz="0" w:space="0" w:color="auto"/>
        <w:bottom w:val="none" w:sz="0" w:space="0" w:color="auto"/>
        <w:right w:val="none" w:sz="0" w:space="0" w:color="auto"/>
      </w:divBdr>
    </w:div>
    <w:div w:id="509490792">
      <w:bodyDiv w:val="1"/>
      <w:marLeft w:val="0"/>
      <w:marRight w:val="0"/>
      <w:marTop w:val="0"/>
      <w:marBottom w:val="0"/>
      <w:divBdr>
        <w:top w:val="none" w:sz="0" w:space="0" w:color="auto"/>
        <w:left w:val="none" w:sz="0" w:space="0" w:color="auto"/>
        <w:bottom w:val="none" w:sz="0" w:space="0" w:color="auto"/>
        <w:right w:val="none" w:sz="0" w:space="0" w:color="auto"/>
      </w:divBdr>
    </w:div>
    <w:div w:id="509834947">
      <w:bodyDiv w:val="1"/>
      <w:marLeft w:val="0"/>
      <w:marRight w:val="0"/>
      <w:marTop w:val="0"/>
      <w:marBottom w:val="0"/>
      <w:divBdr>
        <w:top w:val="none" w:sz="0" w:space="0" w:color="auto"/>
        <w:left w:val="none" w:sz="0" w:space="0" w:color="auto"/>
        <w:bottom w:val="none" w:sz="0" w:space="0" w:color="auto"/>
        <w:right w:val="none" w:sz="0" w:space="0" w:color="auto"/>
      </w:divBdr>
    </w:div>
    <w:div w:id="510143968">
      <w:bodyDiv w:val="1"/>
      <w:marLeft w:val="0"/>
      <w:marRight w:val="0"/>
      <w:marTop w:val="0"/>
      <w:marBottom w:val="0"/>
      <w:divBdr>
        <w:top w:val="none" w:sz="0" w:space="0" w:color="auto"/>
        <w:left w:val="none" w:sz="0" w:space="0" w:color="auto"/>
        <w:bottom w:val="none" w:sz="0" w:space="0" w:color="auto"/>
        <w:right w:val="none" w:sz="0" w:space="0" w:color="auto"/>
      </w:divBdr>
    </w:div>
    <w:div w:id="510146850">
      <w:bodyDiv w:val="1"/>
      <w:marLeft w:val="0"/>
      <w:marRight w:val="0"/>
      <w:marTop w:val="0"/>
      <w:marBottom w:val="0"/>
      <w:divBdr>
        <w:top w:val="none" w:sz="0" w:space="0" w:color="auto"/>
        <w:left w:val="none" w:sz="0" w:space="0" w:color="auto"/>
        <w:bottom w:val="none" w:sz="0" w:space="0" w:color="auto"/>
        <w:right w:val="none" w:sz="0" w:space="0" w:color="auto"/>
      </w:divBdr>
    </w:div>
    <w:div w:id="510216622">
      <w:bodyDiv w:val="1"/>
      <w:marLeft w:val="0"/>
      <w:marRight w:val="0"/>
      <w:marTop w:val="0"/>
      <w:marBottom w:val="0"/>
      <w:divBdr>
        <w:top w:val="none" w:sz="0" w:space="0" w:color="auto"/>
        <w:left w:val="none" w:sz="0" w:space="0" w:color="auto"/>
        <w:bottom w:val="none" w:sz="0" w:space="0" w:color="auto"/>
        <w:right w:val="none" w:sz="0" w:space="0" w:color="auto"/>
      </w:divBdr>
    </w:div>
    <w:div w:id="510800079">
      <w:bodyDiv w:val="1"/>
      <w:marLeft w:val="0"/>
      <w:marRight w:val="0"/>
      <w:marTop w:val="0"/>
      <w:marBottom w:val="0"/>
      <w:divBdr>
        <w:top w:val="none" w:sz="0" w:space="0" w:color="auto"/>
        <w:left w:val="none" w:sz="0" w:space="0" w:color="auto"/>
        <w:bottom w:val="none" w:sz="0" w:space="0" w:color="auto"/>
        <w:right w:val="none" w:sz="0" w:space="0" w:color="auto"/>
      </w:divBdr>
    </w:div>
    <w:div w:id="511139824">
      <w:bodyDiv w:val="1"/>
      <w:marLeft w:val="0"/>
      <w:marRight w:val="0"/>
      <w:marTop w:val="0"/>
      <w:marBottom w:val="0"/>
      <w:divBdr>
        <w:top w:val="none" w:sz="0" w:space="0" w:color="auto"/>
        <w:left w:val="none" w:sz="0" w:space="0" w:color="auto"/>
        <w:bottom w:val="none" w:sz="0" w:space="0" w:color="auto"/>
        <w:right w:val="none" w:sz="0" w:space="0" w:color="auto"/>
      </w:divBdr>
    </w:div>
    <w:div w:id="511456293">
      <w:bodyDiv w:val="1"/>
      <w:marLeft w:val="0"/>
      <w:marRight w:val="0"/>
      <w:marTop w:val="0"/>
      <w:marBottom w:val="0"/>
      <w:divBdr>
        <w:top w:val="none" w:sz="0" w:space="0" w:color="auto"/>
        <w:left w:val="none" w:sz="0" w:space="0" w:color="auto"/>
        <w:bottom w:val="none" w:sz="0" w:space="0" w:color="auto"/>
        <w:right w:val="none" w:sz="0" w:space="0" w:color="auto"/>
      </w:divBdr>
    </w:div>
    <w:div w:id="511578552">
      <w:bodyDiv w:val="1"/>
      <w:marLeft w:val="0"/>
      <w:marRight w:val="0"/>
      <w:marTop w:val="0"/>
      <w:marBottom w:val="0"/>
      <w:divBdr>
        <w:top w:val="none" w:sz="0" w:space="0" w:color="auto"/>
        <w:left w:val="none" w:sz="0" w:space="0" w:color="auto"/>
        <w:bottom w:val="none" w:sz="0" w:space="0" w:color="auto"/>
        <w:right w:val="none" w:sz="0" w:space="0" w:color="auto"/>
      </w:divBdr>
    </w:div>
    <w:div w:id="511719853">
      <w:bodyDiv w:val="1"/>
      <w:marLeft w:val="0"/>
      <w:marRight w:val="0"/>
      <w:marTop w:val="0"/>
      <w:marBottom w:val="0"/>
      <w:divBdr>
        <w:top w:val="none" w:sz="0" w:space="0" w:color="auto"/>
        <w:left w:val="none" w:sz="0" w:space="0" w:color="auto"/>
        <w:bottom w:val="none" w:sz="0" w:space="0" w:color="auto"/>
        <w:right w:val="none" w:sz="0" w:space="0" w:color="auto"/>
      </w:divBdr>
    </w:div>
    <w:div w:id="512037818">
      <w:bodyDiv w:val="1"/>
      <w:marLeft w:val="0"/>
      <w:marRight w:val="0"/>
      <w:marTop w:val="0"/>
      <w:marBottom w:val="0"/>
      <w:divBdr>
        <w:top w:val="none" w:sz="0" w:space="0" w:color="auto"/>
        <w:left w:val="none" w:sz="0" w:space="0" w:color="auto"/>
        <w:bottom w:val="none" w:sz="0" w:space="0" w:color="auto"/>
        <w:right w:val="none" w:sz="0" w:space="0" w:color="auto"/>
      </w:divBdr>
    </w:div>
    <w:div w:id="512259549">
      <w:bodyDiv w:val="1"/>
      <w:marLeft w:val="0"/>
      <w:marRight w:val="0"/>
      <w:marTop w:val="0"/>
      <w:marBottom w:val="0"/>
      <w:divBdr>
        <w:top w:val="none" w:sz="0" w:space="0" w:color="auto"/>
        <w:left w:val="none" w:sz="0" w:space="0" w:color="auto"/>
        <w:bottom w:val="none" w:sz="0" w:space="0" w:color="auto"/>
        <w:right w:val="none" w:sz="0" w:space="0" w:color="auto"/>
      </w:divBdr>
    </w:div>
    <w:div w:id="512495808">
      <w:bodyDiv w:val="1"/>
      <w:marLeft w:val="0"/>
      <w:marRight w:val="0"/>
      <w:marTop w:val="0"/>
      <w:marBottom w:val="0"/>
      <w:divBdr>
        <w:top w:val="none" w:sz="0" w:space="0" w:color="auto"/>
        <w:left w:val="none" w:sz="0" w:space="0" w:color="auto"/>
        <w:bottom w:val="none" w:sz="0" w:space="0" w:color="auto"/>
        <w:right w:val="none" w:sz="0" w:space="0" w:color="auto"/>
      </w:divBdr>
    </w:div>
    <w:div w:id="512917020">
      <w:bodyDiv w:val="1"/>
      <w:marLeft w:val="0"/>
      <w:marRight w:val="0"/>
      <w:marTop w:val="0"/>
      <w:marBottom w:val="0"/>
      <w:divBdr>
        <w:top w:val="none" w:sz="0" w:space="0" w:color="auto"/>
        <w:left w:val="none" w:sz="0" w:space="0" w:color="auto"/>
        <w:bottom w:val="none" w:sz="0" w:space="0" w:color="auto"/>
        <w:right w:val="none" w:sz="0" w:space="0" w:color="auto"/>
      </w:divBdr>
    </w:div>
    <w:div w:id="513149469">
      <w:bodyDiv w:val="1"/>
      <w:marLeft w:val="0"/>
      <w:marRight w:val="0"/>
      <w:marTop w:val="0"/>
      <w:marBottom w:val="0"/>
      <w:divBdr>
        <w:top w:val="none" w:sz="0" w:space="0" w:color="auto"/>
        <w:left w:val="none" w:sz="0" w:space="0" w:color="auto"/>
        <w:bottom w:val="none" w:sz="0" w:space="0" w:color="auto"/>
        <w:right w:val="none" w:sz="0" w:space="0" w:color="auto"/>
      </w:divBdr>
    </w:div>
    <w:div w:id="513496805">
      <w:bodyDiv w:val="1"/>
      <w:marLeft w:val="0"/>
      <w:marRight w:val="0"/>
      <w:marTop w:val="0"/>
      <w:marBottom w:val="0"/>
      <w:divBdr>
        <w:top w:val="none" w:sz="0" w:space="0" w:color="auto"/>
        <w:left w:val="none" w:sz="0" w:space="0" w:color="auto"/>
        <w:bottom w:val="none" w:sz="0" w:space="0" w:color="auto"/>
        <w:right w:val="none" w:sz="0" w:space="0" w:color="auto"/>
      </w:divBdr>
    </w:div>
    <w:div w:id="513767995">
      <w:bodyDiv w:val="1"/>
      <w:marLeft w:val="0"/>
      <w:marRight w:val="0"/>
      <w:marTop w:val="0"/>
      <w:marBottom w:val="0"/>
      <w:divBdr>
        <w:top w:val="none" w:sz="0" w:space="0" w:color="auto"/>
        <w:left w:val="none" w:sz="0" w:space="0" w:color="auto"/>
        <w:bottom w:val="none" w:sz="0" w:space="0" w:color="auto"/>
        <w:right w:val="none" w:sz="0" w:space="0" w:color="auto"/>
      </w:divBdr>
    </w:div>
    <w:div w:id="513881538">
      <w:bodyDiv w:val="1"/>
      <w:marLeft w:val="0"/>
      <w:marRight w:val="0"/>
      <w:marTop w:val="0"/>
      <w:marBottom w:val="0"/>
      <w:divBdr>
        <w:top w:val="none" w:sz="0" w:space="0" w:color="auto"/>
        <w:left w:val="none" w:sz="0" w:space="0" w:color="auto"/>
        <w:bottom w:val="none" w:sz="0" w:space="0" w:color="auto"/>
        <w:right w:val="none" w:sz="0" w:space="0" w:color="auto"/>
      </w:divBdr>
    </w:div>
    <w:div w:id="514422923">
      <w:bodyDiv w:val="1"/>
      <w:marLeft w:val="0"/>
      <w:marRight w:val="0"/>
      <w:marTop w:val="0"/>
      <w:marBottom w:val="0"/>
      <w:divBdr>
        <w:top w:val="none" w:sz="0" w:space="0" w:color="auto"/>
        <w:left w:val="none" w:sz="0" w:space="0" w:color="auto"/>
        <w:bottom w:val="none" w:sz="0" w:space="0" w:color="auto"/>
        <w:right w:val="none" w:sz="0" w:space="0" w:color="auto"/>
      </w:divBdr>
    </w:div>
    <w:div w:id="514660515">
      <w:bodyDiv w:val="1"/>
      <w:marLeft w:val="0"/>
      <w:marRight w:val="0"/>
      <w:marTop w:val="0"/>
      <w:marBottom w:val="0"/>
      <w:divBdr>
        <w:top w:val="none" w:sz="0" w:space="0" w:color="auto"/>
        <w:left w:val="none" w:sz="0" w:space="0" w:color="auto"/>
        <w:bottom w:val="none" w:sz="0" w:space="0" w:color="auto"/>
        <w:right w:val="none" w:sz="0" w:space="0" w:color="auto"/>
      </w:divBdr>
    </w:div>
    <w:div w:id="514924591">
      <w:bodyDiv w:val="1"/>
      <w:marLeft w:val="0"/>
      <w:marRight w:val="0"/>
      <w:marTop w:val="0"/>
      <w:marBottom w:val="0"/>
      <w:divBdr>
        <w:top w:val="none" w:sz="0" w:space="0" w:color="auto"/>
        <w:left w:val="none" w:sz="0" w:space="0" w:color="auto"/>
        <w:bottom w:val="none" w:sz="0" w:space="0" w:color="auto"/>
        <w:right w:val="none" w:sz="0" w:space="0" w:color="auto"/>
      </w:divBdr>
    </w:div>
    <w:div w:id="515385199">
      <w:bodyDiv w:val="1"/>
      <w:marLeft w:val="0"/>
      <w:marRight w:val="0"/>
      <w:marTop w:val="0"/>
      <w:marBottom w:val="0"/>
      <w:divBdr>
        <w:top w:val="none" w:sz="0" w:space="0" w:color="auto"/>
        <w:left w:val="none" w:sz="0" w:space="0" w:color="auto"/>
        <w:bottom w:val="none" w:sz="0" w:space="0" w:color="auto"/>
        <w:right w:val="none" w:sz="0" w:space="0" w:color="auto"/>
      </w:divBdr>
    </w:div>
    <w:div w:id="515537985">
      <w:bodyDiv w:val="1"/>
      <w:marLeft w:val="0"/>
      <w:marRight w:val="0"/>
      <w:marTop w:val="0"/>
      <w:marBottom w:val="0"/>
      <w:divBdr>
        <w:top w:val="none" w:sz="0" w:space="0" w:color="auto"/>
        <w:left w:val="none" w:sz="0" w:space="0" w:color="auto"/>
        <w:bottom w:val="none" w:sz="0" w:space="0" w:color="auto"/>
        <w:right w:val="none" w:sz="0" w:space="0" w:color="auto"/>
      </w:divBdr>
    </w:div>
    <w:div w:id="515769963">
      <w:bodyDiv w:val="1"/>
      <w:marLeft w:val="0"/>
      <w:marRight w:val="0"/>
      <w:marTop w:val="0"/>
      <w:marBottom w:val="0"/>
      <w:divBdr>
        <w:top w:val="none" w:sz="0" w:space="0" w:color="auto"/>
        <w:left w:val="none" w:sz="0" w:space="0" w:color="auto"/>
        <w:bottom w:val="none" w:sz="0" w:space="0" w:color="auto"/>
        <w:right w:val="none" w:sz="0" w:space="0" w:color="auto"/>
      </w:divBdr>
    </w:div>
    <w:div w:id="516044617">
      <w:bodyDiv w:val="1"/>
      <w:marLeft w:val="0"/>
      <w:marRight w:val="0"/>
      <w:marTop w:val="0"/>
      <w:marBottom w:val="0"/>
      <w:divBdr>
        <w:top w:val="none" w:sz="0" w:space="0" w:color="auto"/>
        <w:left w:val="none" w:sz="0" w:space="0" w:color="auto"/>
        <w:bottom w:val="none" w:sz="0" w:space="0" w:color="auto"/>
        <w:right w:val="none" w:sz="0" w:space="0" w:color="auto"/>
      </w:divBdr>
    </w:div>
    <w:div w:id="516307567">
      <w:bodyDiv w:val="1"/>
      <w:marLeft w:val="0"/>
      <w:marRight w:val="0"/>
      <w:marTop w:val="0"/>
      <w:marBottom w:val="0"/>
      <w:divBdr>
        <w:top w:val="none" w:sz="0" w:space="0" w:color="auto"/>
        <w:left w:val="none" w:sz="0" w:space="0" w:color="auto"/>
        <w:bottom w:val="none" w:sz="0" w:space="0" w:color="auto"/>
        <w:right w:val="none" w:sz="0" w:space="0" w:color="auto"/>
      </w:divBdr>
    </w:div>
    <w:div w:id="516819477">
      <w:bodyDiv w:val="1"/>
      <w:marLeft w:val="0"/>
      <w:marRight w:val="0"/>
      <w:marTop w:val="0"/>
      <w:marBottom w:val="0"/>
      <w:divBdr>
        <w:top w:val="none" w:sz="0" w:space="0" w:color="auto"/>
        <w:left w:val="none" w:sz="0" w:space="0" w:color="auto"/>
        <w:bottom w:val="none" w:sz="0" w:space="0" w:color="auto"/>
        <w:right w:val="none" w:sz="0" w:space="0" w:color="auto"/>
      </w:divBdr>
    </w:div>
    <w:div w:id="517276179">
      <w:bodyDiv w:val="1"/>
      <w:marLeft w:val="0"/>
      <w:marRight w:val="0"/>
      <w:marTop w:val="0"/>
      <w:marBottom w:val="0"/>
      <w:divBdr>
        <w:top w:val="none" w:sz="0" w:space="0" w:color="auto"/>
        <w:left w:val="none" w:sz="0" w:space="0" w:color="auto"/>
        <w:bottom w:val="none" w:sz="0" w:space="0" w:color="auto"/>
        <w:right w:val="none" w:sz="0" w:space="0" w:color="auto"/>
      </w:divBdr>
    </w:div>
    <w:div w:id="517425033">
      <w:bodyDiv w:val="1"/>
      <w:marLeft w:val="0"/>
      <w:marRight w:val="0"/>
      <w:marTop w:val="0"/>
      <w:marBottom w:val="0"/>
      <w:divBdr>
        <w:top w:val="none" w:sz="0" w:space="0" w:color="auto"/>
        <w:left w:val="none" w:sz="0" w:space="0" w:color="auto"/>
        <w:bottom w:val="none" w:sz="0" w:space="0" w:color="auto"/>
        <w:right w:val="none" w:sz="0" w:space="0" w:color="auto"/>
      </w:divBdr>
    </w:div>
    <w:div w:id="517692620">
      <w:bodyDiv w:val="1"/>
      <w:marLeft w:val="0"/>
      <w:marRight w:val="0"/>
      <w:marTop w:val="0"/>
      <w:marBottom w:val="0"/>
      <w:divBdr>
        <w:top w:val="none" w:sz="0" w:space="0" w:color="auto"/>
        <w:left w:val="none" w:sz="0" w:space="0" w:color="auto"/>
        <w:bottom w:val="none" w:sz="0" w:space="0" w:color="auto"/>
        <w:right w:val="none" w:sz="0" w:space="0" w:color="auto"/>
      </w:divBdr>
    </w:div>
    <w:div w:id="518008399">
      <w:bodyDiv w:val="1"/>
      <w:marLeft w:val="0"/>
      <w:marRight w:val="0"/>
      <w:marTop w:val="0"/>
      <w:marBottom w:val="0"/>
      <w:divBdr>
        <w:top w:val="none" w:sz="0" w:space="0" w:color="auto"/>
        <w:left w:val="none" w:sz="0" w:space="0" w:color="auto"/>
        <w:bottom w:val="none" w:sz="0" w:space="0" w:color="auto"/>
        <w:right w:val="none" w:sz="0" w:space="0" w:color="auto"/>
      </w:divBdr>
    </w:div>
    <w:div w:id="518081235">
      <w:bodyDiv w:val="1"/>
      <w:marLeft w:val="0"/>
      <w:marRight w:val="0"/>
      <w:marTop w:val="0"/>
      <w:marBottom w:val="0"/>
      <w:divBdr>
        <w:top w:val="none" w:sz="0" w:space="0" w:color="auto"/>
        <w:left w:val="none" w:sz="0" w:space="0" w:color="auto"/>
        <w:bottom w:val="none" w:sz="0" w:space="0" w:color="auto"/>
        <w:right w:val="none" w:sz="0" w:space="0" w:color="auto"/>
      </w:divBdr>
    </w:div>
    <w:div w:id="518088737">
      <w:bodyDiv w:val="1"/>
      <w:marLeft w:val="0"/>
      <w:marRight w:val="0"/>
      <w:marTop w:val="0"/>
      <w:marBottom w:val="0"/>
      <w:divBdr>
        <w:top w:val="none" w:sz="0" w:space="0" w:color="auto"/>
        <w:left w:val="none" w:sz="0" w:space="0" w:color="auto"/>
        <w:bottom w:val="none" w:sz="0" w:space="0" w:color="auto"/>
        <w:right w:val="none" w:sz="0" w:space="0" w:color="auto"/>
      </w:divBdr>
    </w:div>
    <w:div w:id="518277813">
      <w:bodyDiv w:val="1"/>
      <w:marLeft w:val="0"/>
      <w:marRight w:val="0"/>
      <w:marTop w:val="0"/>
      <w:marBottom w:val="0"/>
      <w:divBdr>
        <w:top w:val="none" w:sz="0" w:space="0" w:color="auto"/>
        <w:left w:val="none" w:sz="0" w:space="0" w:color="auto"/>
        <w:bottom w:val="none" w:sz="0" w:space="0" w:color="auto"/>
        <w:right w:val="none" w:sz="0" w:space="0" w:color="auto"/>
      </w:divBdr>
    </w:div>
    <w:div w:id="518662143">
      <w:bodyDiv w:val="1"/>
      <w:marLeft w:val="0"/>
      <w:marRight w:val="0"/>
      <w:marTop w:val="0"/>
      <w:marBottom w:val="0"/>
      <w:divBdr>
        <w:top w:val="none" w:sz="0" w:space="0" w:color="auto"/>
        <w:left w:val="none" w:sz="0" w:space="0" w:color="auto"/>
        <w:bottom w:val="none" w:sz="0" w:space="0" w:color="auto"/>
        <w:right w:val="none" w:sz="0" w:space="0" w:color="auto"/>
      </w:divBdr>
    </w:div>
    <w:div w:id="519201596">
      <w:bodyDiv w:val="1"/>
      <w:marLeft w:val="0"/>
      <w:marRight w:val="0"/>
      <w:marTop w:val="0"/>
      <w:marBottom w:val="0"/>
      <w:divBdr>
        <w:top w:val="none" w:sz="0" w:space="0" w:color="auto"/>
        <w:left w:val="none" w:sz="0" w:space="0" w:color="auto"/>
        <w:bottom w:val="none" w:sz="0" w:space="0" w:color="auto"/>
        <w:right w:val="none" w:sz="0" w:space="0" w:color="auto"/>
      </w:divBdr>
    </w:div>
    <w:div w:id="519320382">
      <w:bodyDiv w:val="1"/>
      <w:marLeft w:val="0"/>
      <w:marRight w:val="0"/>
      <w:marTop w:val="0"/>
      <w:marBottom w:val="0"/>
      <w:divBdr>
        <w:top w:val="none" w:sz="0" w:space="0" w:color="auto"/>
        <w:left w:val="none" w:sz="0" w:space="0" w:color="auto"/>
        <w:bottom w:val="none" w:sz="0" w:space="0" w:color="auto"/>
        <w:right w:val="none" w:sz="0" w:space="0" w:color="auto"/>
      </w:divBdr>
    </w:div>
    <w:div w:id="520096963">
      <w:bodyDiv w:val="1"/>
      <w:marLeft w:val="0"/>
      <w:marRight w:val="0"/>
      <w:marTop w:val="0"/>
      <w:marBottom w:val="0"/>
      <w:divBdr>
        <w:top w:val="none" w:sz="0" w:space="0" w:color="auto"/>
        <w:left w:val="none" w:sz="0" w:space="0" w:color="auto"/>
        <w:bottom w:val="none" w:sz="0" w:space="0" w:color="auto"/>
        <w:right w:val="none" w:sz="0" w:space="0" w:color="auto"/>
      </w:divBdr>
    </w:div>
    <w:div w:id="520321014">
      <w:bodyDiv w:val="1"/>
      <w:marLeft w:val="0"/>
      <w:marRight w:val="0"/>
      <w:marTop w:val="0"/>
      <w:marBottom w:val="0"/>
      <w:divBdr>
        <w:top w:val="none" w:sz="0" w:space="0" w:color="auto"/>
        <w:left w:val="none" w:sz="0" w:space="0" w:color="auto"/>
        <w:bottom w:val="none" w:sz="0" w:space="0" w:color="auto"/>
        <w:right w:val="none" w:sz="0" w:space="0" w:color="auto"/>
      </w:divBdr>
    </w:div>
    <w:div w:id="520633209">
      <w:bodyDiv w:val="1"/>
      <w:marLeft w:val="0"/>
      <w:marRight w:val="0"/>
      <w:marTop w:val="0"/>
      <w:marBottom w:val="0"/>
      <w:divBdr>
        <w:top w:val="none" w:sz="0" w:space="0" w:color="auto"/>
        <w:left w:val="none" w:sz="0" w:space="0" w:color="auto"/>
        <w:bottom w:val="none" w:sz="0" w:space="0" w:color="auto"/>
        <w:right w:val="none" w:sz="0" w:space="0" w:color="auto"/>
      </w:divBdr>
    </w:div>
    <w:div w:id="521558441">
      <w:bodyDiv w:val="1"/>
      <w:marLeft w:val="0"/>
      <w:marRight w:val="0"/>
      <w:marTop w:val="0"/>
      <w:marBottom w:val="0"/>
      <w:divBdr>
        <w:top w:val="none" w:sz="0" w:space="0" w:color="auto"/>
        <w:left w:val="none" w:sz="0" w:space="0" w:color="auto"/>
        <w:bottom w:val="none" w:sz="0" w:space="0" w:color="auto"/>
        <w:right w:val="none" w:sz="0" w:space="0" w:color="auto"/>
      </w:divBdr>
    </w:div>
    <w:div w:id="521893460">
      <w:bodyDiv w:val="1"/>
      <w:marLeft w:val="0"/>
      <w:marRight w:val="0"/>
      <w:marTop w:val="0"/>
      <w:marBottom w:val="0"/>
      <w:divBdr>
        <w:top w:val="none" w:sz="0" w:space="0" w:color="auto"/>
        <w:left w:val="none" w:sz="0" w:space="0" w:color="auto"/>
        <w:bottom w:val="none" w:sz="0" w:space="0" w:color="auto"/>
        <w:right w:val="none" w:sz="0" w:space="0" w:color="auto"/>
      </w:divBdr>
    </w:div>
    <w:div w:id="521944253">
      <w:bodyDiv w:val="1"/>
      <w:marLeft w:val="0"/>
      <w:marRight w:val="0"/>
      <w:marTop w:val="0"/>
      <w:marBottom w:val="0"/>
      <w:divBdr>
        <w:top w:val="none" w:sz="0" w:space="0" w:color="auto"/>
        <w:left w:val="none" w:sz="0" w:space="0" w:color="auto"/>
        <w:bottom w:val="none" w:sz="0" w:space="0" w:color="auto"/>
        <w:right w:val="none" w:sz="0" w:space="0" w:color="auto"/>
      </w:divBdr>
    </w:div>
    <w:div w:id="522329014">
      <w:bodyDiv w:val="1"/>
      <w:marLeft w:val="0"/>
      <w:marRight w:val="0"/>
      <w:marTop w:val="0"/>
      <w:marBottom w:val="0"/>
      <w:divBdr>
        <w:top w:val="none" w:sz="0" w:space="0" w:color="auto"/>
        <w:left w:val="none" w:sz="0" w:space="0" w:color="auto"/>
        <w:bottom w:val="none" w:sz="0" w:space="0" w:color="auto"/>
        <w:right w:val="none" w:sz="0" w:space="0" w:color="auto"/>
      </w:divBdr>
    </w:div>
    <w:div w:id="522672194">
      <w:bodyDiv w:val="1"/>
      <w:marLeft w:val="0"/>
      <w:marRight w:val="0"/>
      <w:marTop w:val="0"/>
      <w:marBottom w:val="0"/>
      <w:divBdr>
        <w:top w:val="none" w:sz="0" w:space="0" w:color="auto"/>
        <w:left w:val="none" w:sz="0" w:space="0" w:color="auto"/>
        <w:bottom w:val="none" w:sz="0" w:space="0" w:color="auto"/>
        <w:right w:val="none" w:sz="0" w:space="0" w:color="auto"/>
      </w:divBdr>
    </w:div>
    <w:div w:id="522977930">
      <w:bodyDiv w:val="1"/>
      <w:marLeft w:val="0"/>
      <w:marRight w:val="0"/>
      <w:marTop w:val="0"/>
      <w:marBottom w:val="0"/>
      <w:divBdr>
        <w:top w:val="none" w:sz="0" w:space="0" w:color="auto"/>
        <w:left w:val="none" w:sz="0" w:space="0" w:color="auto"/>
        <w:bottom w:val="none" w:sz="0" w:space="0" w:color="auto"/>
        <w:right w:val="none" w:sz="0" w:space="0" w:color="auto"/>
      </w:divBdr>
    </w:div>
    <w:div w:id="522979492">
      <w:bodyDiv w:val="1"/>
      <w:marLeft w:val="0"/>
      <w:marRight w:val="0"/>
      <w:marTop w:val="0"/>
      <w:marBottom w:val="0"/>
      <w:divBdr>
        <w:top w:val="none" w:sz="0" w:space="0" w:color="auto"/>
        <w:left w:val="none" w:sz="0" w:space="0" w:color="auto"/>
        <w:bottom w:val="none" w:sz="0" w:space="0" w:color="auto"/>
        <w:right w:val="none" w:sz="0" w:space="0" w:color="auto"/>
      </w:divBdr>
    </w:div>
    <w:div w:id="523130438">
      <w:bodyDiv w:val="1"/>
      <w:marLeft w:val="0"/>
      <w:marRight w:val="0"/>
      <w:marTop w:val="0"/>
      <w:marBottom w:val="0"/>
      <w:divBdr>
        <w:top w:val="none" w:sz="0" w:space="0" w:color="auto"/>
        <w:left w:val="none" w:sz="0" w:space="0" w:color="auto"/>
        <w:bottom w:val="none" w:sz="0" w:space="0" w:color="auto"/>
        <w:right w:val="none" w:sz="0" w:space="0" w:color="auto"/>
      </w:divBdr>
    </w:div>
    <w:div w:id="523176701">
      <w:bodyDiv w:val="1"/>
      <w:marLeft w:val="0"/>
      <w:marRight w:val="0"/>
      <w:marTop w:val="0"/>
      <w:marBottom w:val="0"/>
      <w:divBdr>
        <w:top w:val="none" w:sz="0" w:space="0" w:color="auto"/>
        <w:left w:val="none" w:sz="0" w:space="0" w:color="auto"/>
        <w:bottom w:val="none" w:sz="0" w:space="0" w:color="auto"/>
        <w:right w:val="none" w:sz="0" w:space="0" w:color="auto"/>
      </w:divBdr>
    </w:div>
    <w:div w:id="523176998">
      <w:bodyDiv w:val="1"/>
      <w:marLeft w:val="0"/>
      <w:marRight w:val="0"/>
      <w:marTop w:val="0"/>
      <w:marBottom w:val="0"/>
      <w:divBdr>
        <w:top w:val="none" w:sz="0" w:space="0" w:color="auto"/>
        <w:left w:val="none" w:sz="0" w:space="0" w:color="auto"/>
        <w:bottom w:val="none" w:sz="0" w:space="0" w:color="auto"/>
        <w:right w:val="none" w:sz="0" w:space="0" w:color="auto"/>
      </w:divBdr>
    </w:div>
    <w:div w:id="523714687">
      <w:bodyDiv w:val="1"/>
      <w:marLeft w:val="0"/>
      <w:marRight w:val="0"/>
      <w:marTop w:val="0"/>
      <w:marBottom w:val="0"/>
      <w:divBdr>
        <w:top w:val="none" w:sz="0" w:space="0" w:color="auto"/>
        <w:left w:val="none" w:sz="0" w:space="0" w:color="auto"/>
        <w:bottom w:val="none" w:sz="0" w:space="0" w:color="auto"/>
        <w:right w:val="none" w:sz="0" w:space="0" w:color="auto"/>
      </w:divBdr>
    </w:div>
    <w:div w:id="523901281">
      <w:bodyDiv w:val="1"/>
      <w:marLeft w:val="0"/>
      <w:marRight w:val="0"/>
      <w:marTop w:val="0"/>
      <w:marBottom w:val="0"/>
      <w:divBdr>
        <w:top w:val="none" w:sz="0" w:space="0" w:color="auto"/>
        <w:left w:val="none" w:sz="0" w:space="0" w:color="auto"/>
        <w:bottom w:val="none" w:sz="0" w:space="0" w:color="auto"/>
        <w:right w:val="none" w:sz="0" w:space="0" w:color="auto"/>
      </w:divBdr>
    </w:div>
    <w:div w:id="525363553">
      <w:bodyDiv w:val="1"/>
      <w:marLeft w:val="0"/>
      <w:marRight w:val="0"/>
      <w:marTop w:val="0"/>
      <w:marBottom w:val="0"/>
      <w:divBdr>
        <w:top w:val="none" w:sz="0" w:space="0" w:color="auto"/>
        <w:left w:val="none" w:sz="0" w:space="0" w:color="auto"/>
        <w:bottom w:val="none" w:sz="0" w:space="0" w:color="auto"/>
        <w:right w:val="none" w:sz="0" w:space="0" w:color="auto"/>
      </w:divBdr>
    </w:div>
    <w:div w:id="525675226">
      <w:bodyDiv w:val="1"/>
      <w:marLeft w:val="0"/>
      <w:marRight w:val="0"/>
      <w:marTop w:val="0"/>
      <w:marBottom w:val="0"/>
      <w:divBdr>
        <w:top w:val="none" w:sz="0" w:space="0" w:color="auto"/>
        <w:left w:val="none" w:sz="0" w:space="0" w:color="auto"/>
        <w:bottom w:val="none" w:sz="0" w:space="0" w:color="auto"/>
        <w:right w:val="none" w:sz="0" w:space="0" w:color="auto"/>
      </w:divBdr>
    </w:div>
    <w:div w:id="525755900">
      <w:bodyDiv w:val="1"/>
      <w:marLeft w:val="0"/>
      <w:marRight w:val="0"/>
      <w:marTop w:val="0"/>
      <w:marBottom w:val="0"/>
      <w:divBdr>
        <w:top w:val="none" w:sz="0" w:space="0" w:color="auto"/>
        <w:left w:val="none" w:sz="0" w:space="0" w:color="auto"/>
        <w:bottom w:val="none" w:sz="0" w:space="0" w:color="auto"/>
        <w:right w:val="none" w:sz="0" w:space="0" w:color="auto"/>
      </w:divBdr>
    </w:div>
    <w:div w:id="525826474">
      <w:bodyDiv w:val="1"/>
      <w:marLeft w:val="0"/>
      <w:marRight w:val="0"/>
      <w:marTop w:val="0"/>
      <w:marBottom w:val="0"/>
      <w:divBdr>
        <w:top w:val="none" w:sz="0" w:space="0" w:color="auto"/>
        <w:left w:val="none" w:sz="0" w:space="0" w:color="auto"/>
        <w:bottom w:val="none" w:sz="0" w:space="0" w:color="auto"/>
        <w:right w:val="none" w:sz="0" w:space="0" w:color="auto"/>
      </w:divBdr>
    </w:div>
    <w:div w:id="526259058">
      <w:bodyDiv w:val="1"/>
      <w:marLeft w:val="0"/>
      <w:marRight w:val="0"/>
      <w:marTop w:val="0"/>
      <w:marBottom w:val="0"/>
      <w:divBdr>
        <w:top w:val="none" w:sz="0" w:space="0" w:color="auto"/>
        <w:left w:val="none" w:sz="0" w:space="0" w:color="auto"/>
        <w:bottom w:val="none" w:sz="0" w:space="0" w:color="auto"/>
        <w:right w:val="none" w:sz="0" w:space="0" w:color="auto"/>
      </w:divBdr>
    </w:div>
    <w:div w:id="526286546">
      <w:bodyDiv w:val="1"/>
      <w:marLeft w:val="0"/>
      <w:marRight w:val="0"/>
      <w:marTop w:val="0"/>
      <w:marBottom w:val="0"/>
      <w:divBdr>
        <w:top w:val="none" w:sz="0" w:space="0" w:color="auto"/>
        <w:left w:val="none" w:sz="0" w:space="0" w:color="auto"/>
        <w:bottom w:val="none" w:sz="0" w:space="0" w:color="auto"/>
        <w:right w:val="none" w:sz="0" w:space="0" w:color="auto"/>
      </w:divBdr>
    </w:div>
    <w:div w:id="526452901">
      <w:bodyDiv w:val="1"/>
      <w:marLeft w:val="0"/>
      <w:marRight w:val="0"/>
      <w:marTop w:val="0"/>
      <w:marBottom w:val="0"/>
      <w:divBdr>
        <w:top w:val="none" w:sz="0" w:space="0" w:color="auto"/>
        <w:left w:val="none" w:sz="0" w:space="0" w:color="auto"/>
        <w:bottom w:val="none" w:sz="0" w:space="0" w:color="auto"/>
        <w:right w:val="none" w:sz="0" w:space="0" w:color="auto"/>
      </w:divBdr>
    </w:div>
    <w:div w:id="526599228">
      <w:bodyDiv w:val="1"/>
      <w:marLeft w:val="0"/>
      <w:marRight w:val="0"/>
      <w:marTop w:val="0"/>
      <w:marBottom w:val="0"/>
      <w:divBdr>
        <w:top w:val="none" w:sz="0" w:space="0" w:color="auto"/>
        <w:left w:val="none" w:sz="0" w:space="0" w:color="auto"/>
        <w:bottom w:val="none" w:sz="0" w:space="0" w:color="auto"/>
        <w:right w:val="none" w:sz="0" w:space="0" w:color="auto"/>
      </w:divBdr>
    </w:div>
    <w:div w:id="526874422">
      <w:bodyDiv w:val="1"/>
      <w:marLeft w:val="0"/>
      <w:marRight w:val="0"/>
      <w:marTop w:val="0"/>
      <w:marBottom w:val="0"/>
      <w:divBdr>
        <w:top w:val="none" w:sz="0" w:space="0" w:color="auto"/>
        <w:left w:val="none" w:sz="0" w:space="0" w:color="auto"/>
        <w:bottom w:val="none" w:sz="0" w:space="0" w:color="auto"/>
        <w:right w:val="none" w:sz="0" w:space="0" w:color="auto"/>
      </w:divBdr>
    </w:div>
    <w:div w:id="527375719">
      <w:bodyDiv w:val="1"/>
      <w:marLeft w:val="0"/>
      <w:marRight w:val="0"/>
      <w:marTop w:val="0"/>
      <w:marBottom w:val="0"/>
      <w:divBdr>
        <w:top w:val="none" w:sz="0" w:space="0" w:color="auto"/>
        <w:left w:val="none" w:sz="0" w:space="0" w:color="auto"/>
        <w:bottom w:val="none" w:sz="0" w:space="0" w:color="auto"/>
        <w:right w:val="none" w:sz="0" w:space="0" w:color="auto"/>
      </w:divBdr>
    </w:div>
    <w:div w:id="527527645">
      <w:bodyDiv w:val="1"/>
      <w:marLeft w:val="0"/>
      <w:marRight w:val="0"/>
      <w:marTop w:val="0"/>
      <w:marBottom w:val="0"/>
      <w:divBdr>
        <w:top w:val="none" w:sz="0" w:space="0" w:color="auto"/>
        <w:left w:val="none" w:sz="0" w:space="0" w:color="auto"/>
        <w:bottom w:val="none" w:sz="0" w:space="0" w:color="auto"/>
        <w:right w:val="none" w:sz="0" w:space="0" w:color="auto"/>
      </w:divBdr>
    </w:div>
    <w:div w:id="527909979">
      <w:bodyDiv w:val="1"/>
      <w:marLeft w:val="0"/>
      <w:marRight w:val="0"/>
      <w:marTop w:val="0"/>
      <w:marBottom w:val="0"/>
      <w:divBdr>
        <w:top w:val="none" w:sz="0" w:space="0" w:color="auto"/>
        <w:left w:val="none" w:sz="0" w:space="0" w:color="auto"/>
        <w:bottom w:val="none" w:sz="0" w:space="0" w:color="auto"/>
        <w:right w:val="none" w:sz="0" w:space="0" w:color="auto"/>
      </w:divBdr>
    </w:div>
    <w:div w:id="527986540">
      <w:bodyDiv w:val="1"/>
      <w:marLeft w:val="0"/>
      <w:marRight w:val="0"/>
      <w:marTop w:val="0"/>
      <w:marBottom w:val="0"/>
      <w:divBdr>
        <w:top w:val="none" w:sz="0" w:space="0" w:color="auto"/>
        <w:left w:val="none" w:sz="0" w:space="0" w:color="auto"/>
        <w:bottom w:val="none" w:sz="0" w:space="0" w:color="auto"/>
        <w:right w:val="none" w:sz="0" w:space="0" w:color="auto"/>
      </w:divBdr>
    </w:div>
    <w:div w:id="528185916">
      <w:bodyDiv w:val="1"/>
      <w:marLeft w:val="0"/>
      <w:marRight w:val="0"/>
      <w:marTop w:val="0"/>
      <w:marBottom w:val="0"/>
      <w:divBdr>
        <w:top w:val="none" w:sz="0" w:space="0" w:color="auto"/>
        <w:left w:val="none" w:sz="0" w:space="0" w:color="auto"/>
        <w:bottom w:val="none" w:sz="0" w:space="0" w:color="auto"/>
        <w:right w:val="none" w:sz="0" w:space="0" w:color="auto"/>
      </w:divBdr>
    </w:div>
    <w:div w:id="528638981">
      <w:bodyDiv w:val="1"/>
      <w:marLeft w:val="0"/>
      <w:marRight w:val="0"/>
      <w:marTop w:val="0"/>
      <w:marBottom w:val="0"/>
      <w:divBdr>
        <w:top w:val="none" w:sz="0" w:space="0" w:color="auto"/>
        <w:left w:val="none" w:sz="0" w:space="0" w:color="auto"/>
        <w:bottom w:val="none" w:sz="0" w:space="0" w:color="auto"/>
        <w:right w:val="none" w:sz="0" w:space="0" w:color="auto"/>
      </w:divBdr>
    </w:div>
    <w:div w:id="528834120">
      <w:bodyDiv w:val="1"/>
      <w:marLeft w:val="0"/>
      <w:marRight w:val="0"/>
      <w:marTop w:val="0"/>
      <w:marBottom w:val="0"/>
      <w:divBdr>
        <w:top w:val="none" w:sz="0" w:space="0" w:color="auto"/>
        <w:left w:val="none" w:sz="0" w:space="0" w:color="auto"/>
        <w:bottom w:val="none" w:sz="0" w:space="0" w:color="auto"/>
        <w:right w:val="none" w:sz="0" w:space="0" w:color="auto"/>
      </w:divBdr>
    </w:div>
    <w:div w:id="529103000">
      <w:bodyDiv w:val="1"/>
      <w:marLeft w:val="0"/>
      <w:marRight w:val="0"/>
      <w:marTop w:val="0"/>
      <w:marBottom w:val="0"/>
      <w:divBdr>
        <w:top w:val="none" w:sz="0" w:space="0" w:color="auto"/>
        <w:left w:val="none" w:sz="0" w:space="0" w:color="auto"/>
        <w:bottom w:val="none" w:sz="0" w:space="0" w:color="auto"/>
        <w:right w:val="none" w:sz="0" w:space="0" w:color="auto"/>
      </w:divBdr>
    </w:div>
    <w:div w:id="529146709">
      <w:bodyDiv w:val="1"/>
      <w:marLeft w:val="0"/>
      <w:marRight w:val="0"/>
      <w:marTop w:val="0"/>
      <w:marBottom w:val="0"/>
      <w:divBdr>
        <w:top w:val="none" w:sz="0" w:space="0" w:color="auto"/>
        <w:left w:val="none" w:sz="0" w:space="0" w:color="auto"/>
        <w:bottom w:val="none" w:sz="0" w:space="0" w:color="auto"/>
        <w:right w:val="none" w:sz="0" w:space="0" w:color="auto"/>
      </w:divBdr>
    </w:div>
    <w:div w:id="529487304">
      <w:bodyDiv w:val="1"/>
      <w:marLeft w:val="0"/>
      <w:marRight w:val="0"/>
      <w:marTop w:val="0"/>
      <w:marBottom w:val="0"/>
      <w:divBdr>
        <w:top w:val="none" w:sz="0" w:space="0" w:color="auto"/>
        <w:left w:val="none" w:sz="0" w:space="0" w:color="auto"/>
        <w:bottom w:val="none" w:sz="0" w:space="0" w:color="auto"/>
        <w:right w:val="none" w:sz="0" w:space="0" w:color="auto"/>
      </w:divBdr>
    </w:div>
    <w:div w:id="529728722">
      <w:bodyDiv w:val="1"/>
      <w:marLeft w:val="0"/>
      <w:marRight w:val="0"/>
      <w:marTop w:val="0"/>
      <w:marBottom w:val="0"/>
      <w:divBdr>
        <w:top w:val="none" w:sz="0" w:space="0" w:color="auto"/>
        <w:left w:val="none" w:sz="0" w:space="0" w:color="auto"/>
        <w:bottom w:val="none" w:sz="0" w:space="0" w:color="auto"/>
        <w:right w:val="none" w:sz="0" w:space="0" w:color="auto"/>
      </w:divBdr>
    </w:div>
    <w:div w:id="529760137">
      <w:bodyDiv w:val="1"/>
      <w:marLeft w:val="0"/>
      <w:marRight w:val="0"/>
      <w:marTop w:val="0"/>
      <w:marBottom w:val="0"/>
      <w:divBdr>
        <w:top w:val="none" w:sz="0" w:space="0" w:color="auto"/>
        <w:left w:val="none" w:sz="0" w:space="0" w:color="auto"/>
        <w:bottom w:val="none" w:sz="0" w:space="0" w:color="auto"/>
        <w:right w:val="none" w:sz="0" w:space="0" w:color="auto"/>
      </w:divBdr>
    </w:div>
    <w:div w:id="529877358">
      <w:bodyDiv w:val="1"/>
      <w:marLeft w:val="0"/>
      <w:marRight w:val="0"/>
      <w:marTop w:val="0"/>
      <w:marBottom w:val="0"/>
      <w:divBdr>
        <w:top w:val="none" w:sz="0" w:space="0" w:color="auto"/>
        <w:left w:val="none" w:sz="0" w:space="0" w:color="auto"/>
        <w:bottom w:val="none" w:sz="0" w:space="0" w:color="auto"/>
        <w:right w:val="none" w:sz="0" w:space="0" w:color="auto"/>
      </w:divBdr>
    </w:div>
    <w:div w:id="529880060">
      <w:bodyDiv w:val="1"/>
      <w:marLeft w:val="0"/>
      <w:marRight w:val="0"/>
      <w:marTop w:val="0"/>
      <w:marBottom w:val="0"/>
      <w:divBdr>
        <w:top w:val="none" w:sz="0" w:space="0" w:color="auto"/>
        <w:left w:val="none" w:sz="0" w:space="0" w:color="auto"/>
        <w:bottom w:val="none" w:sz="0" w:space="0" w:color="auto"/>
        <w:right w:val="none" w:sz="0" w:space="0" w:color="auto"/>
      </w:divBdr>
    </w:div>
    <w:div w:id="529949829">
      <w:bodyDiv w:val="1"/>
      <w:marLeft w:val="0"/>
      <w:marRight w:val="0"/>
      <w:marTop w:val="0"/>
      <w:marBottom w:val="0"/>
      <w:divBdr>
        <w:top w:val="none" w:sz="0" w:space="0" w:color="auto"/>
        <w:left w:val="none" w:sz="0" w:space="0" w:color="auto"/>
        <w:bottom w:val="none" w:sz="0" w:space="0" w:color="auto"/>
        <w:right w:val="none" w:sz="0" w:space="0" w:color="auto"/>
      </w:divBdr>
    </w:div>
    <w:div w:id="530654586">
      <w:bodyDiv w:val="1"/>
      <w:marLeft w:val="0"/>
      <w:marRight w:val="0"/>
      <w:marTop w:val="0"/>
      <w:marBottom w:val="0"/>
      <w:divBdr>
        <w:top w:val="none" w:sz="0" w:space="0" w:color="auto"/>
        <w:left w:val="none" w:sz="0" w:space="0" w:color="auto"/>
        <w:bottom w:val="none" w:sz="0" w:space="0" w:color="auto"/>
        <w:right w:val="none" w:sz="0" w:space="0" w:color="auto"/>
      </w:divBdr>
    </w:div>
    <w:div w:id="530731924">
      <w:bodyDiv w:val="1"/>
      <w:marLeft w:val="0"/>
      <w:marRight w:val="0"/>
      <w:marTop w:val="0"/>
      <w:marBottom w:val="0"/>
      <w:divBdr>
        <w:top w:val="none" w:sz="0" w:space="0" w:color="auto"/>
        <w:left w:val="none" w:sz="0" w:space="0" w:color="auto"/>
        <w:bottom w:val="none" w:sz="0" w:space="0" w:color="auto"/>
        <w:right w:val="none" w:sz="0" w:space="0" w:color="auto"/>
      </w:divBdr>
    </w:div>
    <w:div w:id="530805648">
      <w:bodyDiv w:val="1"/>
      <w:marLeft w:val="0"/>
      <w:marRight w:val="0"/>
      <w:marTop w:val="0"/>
      <w:marBottom w:val="0"/>
      <w:divBdr>
        <w:top w:val="none" w:sz="0" w:space="0" w:color="auto"/>
        <w:left w:val="none" w:sz="0" w:space="0" w:color="auto"/>
        <w:bottom w:val="none" w:sz="0" w:space="0" w:color="auto"/>
        <w:right w:val="none" w:sz="0" w:space="0" w:color="auto"/>
      </w:divBdr>
    </w:div>
    <w:div w:id="531068579">
      <w:bodyDiv w:val="1"/>
      <w:marLeft w:val="0"/>
      <w:marRight w:val="0"/>
      <w:marTop w:val="0"/>
      <w:marBottom w:val="0"/>
      <w:divBdr>
        <w:top w:val="none" w:sz="0" w:space="0" w:color="auto"/>
        <w:left w:val="none" w:sz="0" w:space="0" w:color="auto"/>
        <w:bottom w:val="none" w:sz="0" w:space="0" w:color="auto"/>
        <w:right w:val="none" w:sz="0" w:space="0" w:color="auto"/>
      </w:divBdr>
    </w:div>
    <w:div w:id="531186543">
      <w:bodyDiv w:val="1"/>
      <w:marLeft w:val="0"/>
      <w:marRight w:val="0"/>
      <w:marTop w:val="0"/>
      <w:marBottom w:val="0"/>
      <w:divBdr>
        <w:top w:val="none" w:sz="0" w:space="0" w:color="auto"/>
        <w:left w:val="none" w:sz="0" w:space="0" w:color="auto"/>
        <w:bottom w:val="none" w:sz="0" w:space="0" w:color="auto"/>
        <w:right w:val="none" w:sz="0" w:space="0" w:color="auto"/>
      </w:divBdr>
    </w:div>
    <w:div w:id="532688630">
      <w:bodyDiv w:val="1"/>
      <w:marLeft w:val="0"/>
      <w:marRight w:val="0"/>
      <w:marTop w:val="0"/>
      <w:marBottom w:val="0"/>
      <w:divBdr>
        <w:top w:val="none" w:sz="0" w:space="0" w:color="auto"/>
        <w:left w:val="none" w:sz="0" w:space="0" w:color="auto"/>
        <w:bottom w:val="none" w:sz="0" w:space="0" w:color="auto"/>
        <w:right w:val="none" w:sz="0" w:space="0" w:color="auto"/>
      </w:divBdr>
    </w:div>
    <w:div w:id="532764892">
      <w:bodyDiv w:val="1"/>
      <w:marLeft w:val="0"/>
      <w:marRight w:val="0"/>
      <w:marTop w:val="0"/>
      <w:marBottom w:val="0"/>
      <w:divBdr>
        <w:top w:val="none" w:sz="0" w:space="0" w:color="auto"/>
        <w:left w:val="none" w:sz="0" w:space="0" w:color="auto"/>
        <w:bottom w:val="none" w:sz="0" w:space="0" w:color="auto"/>
        <w:right w:val="none" w:sz="0" w:space="0" w:color="auto"/>
      </w:divBdr>
    </w:div>
    <w:div w:id="533885624">
      <w:bodyDiv w:val="1"/>
      <w:marLeft w:val="0"/>
      <w:marRight w:val="0"/>
      <w:marTop w:val="0"/>
      <w:marBottom w:val="0"/>
      <w:divBdr>
        <w:top w:val="none" w:sz="0" w:space="0" w:color="auto"/>
        <w:left w:val="none" w:sz="0" w:space="0" w:color="auto"/>
        <w:bottom w:val="none" w:sz="0" w:space="0" w:color="auto"/>
        <w:right w:val="none" w:sz="0" w:space="0" w:color="auto"/>
      </w:divBdr>
    </w:div>
    <w:div w:id="534075211">
      <w:bodyDiv w:val="1"/>
      <w:marLeft w:val="0"/>
      <w:marRight w:val="0"/>
      <w:marTop w:val="0"/>
      <w:marBottom w:val="0"/>
      <w:divBdr>
        <w:top w:val="none" w:sz="0" w:space="0" w:color="auto"/>
        <w:left w:val="none" w:sz="0" w:space="0" w:color="auto"/>
        <w:bottom w:val="none" w:sz="0" w:space="0" w:color="auto"/>
        <w:right w:val="none" w:sz="0" w:space="0" w:color="auto"/>
      </w:divBdr>
    </w:div>
    <w:div w:id="534082437">
      <w:bodyDiv w:val="1"/>
      <w:marLeft w:val="0"/>
      <w:marRight w:val="0"/>
      <w:marTop w:val="0"/>
      <w:marBottom w:val="0"/>
      <w:divBdr>
        <w:top w:val="none" w:sz="0" w:space="0" w:color="auto"/>
        <w:left w:val="none" w:sz="0" w:space="0" w:color="auto"/>
        <w:bottom w:val="none" w:sz="0" w:space="0" w:color="auto"/>
        <w:right w:val="none" w:sz="0" w:space="0" w:color="auto"/>
      </w:divBdr>
    </w:div>
    <w:div w:id="534196600">
      <w:bodyDiv w:val="1"/>
      <w:marLeft w:val="0"/>
      <w:marRight w:val="0"/>
      <w:marTop w:val="0"/>
      <w:marBottom w:val="0"/>
      <w:divBdr>
        <w:top w:val="none" w:sz="0" w:space="0" w:color="auto"/>
        <w:left w:val="none" w:sz="0" w:space="0" w:color="auto"/>
        <w:bottom w:val="none" w:sz="0" w:space="0" w:color="auto"/>
        <w:right w:val="none" w:sz="0" w:space="0" w:color="auto"/>
      </w:divBdr>
    </w:div>
    <w:div w:id="534469590">
      <w:bodyDiv w:val="1"/>
      <w:marLeft w:val="0"/>
      <w:marRight w:val="0"/>
      <w:marTop w:val="0"/>
      <w:marBottom w:val="0"/>
      <w:divBdr>
        <w:top w:val="none" w:sz="0" w:space="0" w:color="auto"/>
        <w:left w:val="none" w:sz="0" w:space="0" w:color="auto"/>
        <w:bottom w:val="none" w:sz="0" w:space="0" w:color="auto"/>
        <w:right w:val="none" w:sz="0" w:space="0" w:color="auto"/>
      </w:divBdr>
    </w:div>
    <w:div w:id="534539586">
      <w:bodyDiv w:val="1"/>
      <w:marLeft w:val="0"/>
      <w:marRight w:val="0"/>
      <w:marTop w:val="0"/>
      <w:marBottom w:val="0"/>
      <w:divBdr>
        <w:top w:val="none" w:sz="0" w:space="0" w:color="auto"/>
        <w:left w:val="none" w:sz="0" w:space="0" w:color="auto"/>
        <w:bottom w:val="none" w:sz="0" w:space="0" w:color="auto"/>
        <w:right w:val="none" w:sz="0" w:space="0" w:color="auto"/>
      </w:divBdr>
    </w:div>
    <w:div w:id="536546289">
      <w:bodyDiv w:val="1"/>
      <w:marLeft w:val="0"/>
      <w:marRight w:val="0"/>
      <w:marTop w:val="0"/>
      <w:marBottom w:val="0"/>
      <w:divBdr>
        <w:top w:val="none" w:sz="0" w:space="0" w:color="auto"/>
        <w:left w:val="none" w:sz="0" w:space="0" w:color="auto"/>
        <w:bottom w:val="none" w:sz="0" w:space="0" w:color="auto"/>
        <w:right w:val="none" w:sz="0" w:space="0" w:color="auto"/>
      </w:divBdr>
    </w:div>
    <w:div w:id="536698004">
      <w:bodyDiv w:val="1"/>
      <w:marLeft w:val="0"/>
      <w:marRight w:val="0"/>
      <w:marTop w:val="0"/>
      <w:marBottom w:val="0"/>
      <w:divBdr>
        <w:top w:val="none" w:sz="0" w:space="0" w:color="auto"/>
        <w:left w:val="none" w:sz="0" w:space="0" w:color="auto"/>
        <w:bottom w:val="none" w:sz="0" w:space="0" w:color="auto"/>
        <w:right w:val="none" w:sz="0" w:space="0" w:color="auto"/>
      </w:divBdr>
    </w:div>
    <w:div w:id="536964482">
      <w:bodyDiv w:val="1"/>
      <w:marLeft w:val="0"/>
      <w:marRight w:val="0"/>
      <w:marTop w:val="0"/>
      <w:marBottom w:val="0"/>
      <w:divBdr>
        <w:top w:val="none" w:sz="0" w:space="0" w:color="auto"/>
        <w:left w:val="none" w:sz="0" w:space="0" w:color="auto"/>
        <w:bottom w:val="none" w:sz="0" w:space="0" w:color="auto"/>
        <w:right w:val="none" w:sz="0" w:space="0" w:color="auto"/>
      </w:divBdr>
    </w:div>
    <w:div w:id="537478122">
      <w:bodyDiv w:val="1"/>
      <w:marLeft w:val="0"/>
      <w:marRight w:val="0"/>
      <w:marTop w:val="0"/>
      <w:marBottom w:val="0"/>
      <w:divBdr>
        <w:top w:val="none" w:sz="0" w:space="0" w:color="auto"/>
        <w:left w:val="none" w:sz="0" w:space="0" w:color="auto"/>
        <w:bottom w:val="none" w:sz="0" w:space="0" w:color="auto"/>
        <w:right w:val="none" w:sz="0" w:space="0" w:color="auto"/>
      </w:divBdr>
    </w:div>
    <w:div w:id="538081239">
      <w:bodyDiv w:val="1"/>
      <w:marLeft w:val="0"/>
      <w:marRight w:val="0"/>
      <w:marTop w:val="0"/>
      <w:marBottom w:val="0"/>
      <w:divBdr>
        <w:top w:val="none" w:sz="0" w:space="0" w:color="auto"/>
        <w:left w:val="none" w:sz="0" w:space="0" w:color="auto"/>
        <w:bottom w:val="none" w:sz="0" w:space="0" w:color="auto"/>
        <w:right w:val="none" w:sz="0" w:space="0" w:color="auto"/>
      </w:divBdr>
    </w:div>
    <w:div w:id="538202316">
      <w:bodyDiv w:val="1"/>
      <w:marLeft w:val="0"/>
      <w:marRight w:val="0"/>
      <w:marTop w:val="0"/>
      <w:marBottom w:val="0"/>
      <w:divBdr>
        <w:top w:val="none" w:sz="0" w:space="0" w:color="auto"/>
        <w:left w:val="none" w:sz="0" w:space="0" w:color="auto"/>
        <w:bottom w:val="none" w:sz="0" w:space="0" w:color="auto"/>
        <w:right w:val="none" w:sz="0" w:space="0" w:color="auto"/>
      </w:divBdr>
    </w:div>
    <w:div w:id="538250426">
      <w:bodyDiv w:val="1"/>
      <w:marLeft w:val="0"/>
      <w:marRight w:val="0"/>
      <w:marTop w:val="0"/>
      <w:marBottom w:val="0"/>
      <w:divBdr>
        <w:top w:val="none" w:sz="0" w:space="0" w:color="auto"/>
        <w:left w:val="none" w:sz="0" w:space="0" w:color="auto"/>
        <w:bottom w:val="none" w:sz="0" w:space="0" w:color="auto"/>
        <w:right w:val="none" w:sz="0" w:space="0" w:color="auto"/>
      </w:divBdr>
    </w:div>
    <w:div w:id="538476443">
      <w:bodyDiv w:val="1"/>
      <w:marLeft w:val="0"/>
      <w:marRight w:val="0"/>
      <w:marTop w:val="0"/>
      <w:marBottom w:val="0"/>
      <w:divBdr>
        <w:top w:val="none" w:sz="0" w:space="0" w:color="auto"/>
        <w:left w:val="none" w:sz="0" w:space="0" w:color="auto"/>
        <w:bottom w:val="none" w:sz="0" w:space="0" w:color="auto"/>
        <w:right w:val="none" w:sz="0" w:space="0" w:color="auto"/>
      </w:divBdr>
    </w:div>
    <w:div w:id="539362255">
      <w:bodyDiv w:val="1"/>
      <w:marLeft w:val="0"/>
      <w:marRight w:val="0"/>
      <w:marTop w:val="0"/>
      <w:marBottom w:val="0"/>
      <w:divBdr>
        <w:top w:val="none" w:sz="0" w:space="0" w:color="auto"/>
        <w:left w:val="none" w:sz="0" w:space="0" w:color="auto"/>
        <w:bottom w:val="none" w:sz="0" w:space="0" w:color="auto"/>
        <w:right w:val="none" w:sz="0" w:space="0" w:color="auto"/>
      </w:divBdr>
    </w:div>
    <w:div w:id="539561136">
      <w:bodyDiv w:val="1"/>
      <w:marLeft w:val="0"/>
      <w:marRight w:val="0"/>
      <w:marTop w:val="0"/>
      <w:marBottom w:val="0"/>
      <w:divBdr>
        <w:top w:val="none" w:sz="0" w:space="0" w:color="auto"/>
        <w:left w:val="none" w:sz="0" w:space="0" w:color="auto"/>
        <w:bottom w:val="none" w:sz="0" w:space="0" w:color="auto"/>
        <w:right w:val="none" w:sz="0" w:space="0" w:color="auto"/>
      </w:divBdr>
    </w:div>
    <w:div w:id="540093704">
      <w:bodyDiv w:val="1"/>
      <w:marLeft w:val="0"/>
      <w:marRight w:val="0"/>
      <w:marTop w:val="0"/>
      <w:marBottom w:val="0"/>
      <w:divBdr>
        <w:top w:val="none" w:sz="0" w:space="0" w:color="auto"/>
        <w:left w:val="none" w:sz="0" w:space="0" w:color="auto"/>
        <w:bottom w:val="none" w:sz="0" w:space="0" w:color="auto"/>
        <w:right w:val="none" w:sz="0" w:space="0" w:color="auto"/>
      </w:divBdr>
    </w:div>
    <w:div w:id="540364014">
      <w:bodyDiv w:val="1"/>
      <w:marLeft w:val="0"/>
      <w:marRight w:val="0"/>
      <w:marTop w:val="0"/>
      <w:marBottom w:val="0"/>
      <w:divBdr>
        <w:top w:val="none" w:sz="0" w:space="0" w:color="auto"/>
        <w:left w:val="none" w:sz="0" w:space="0" w:color="auto"/>
        <w:bottom w:val="none" w:sz="0" w:space="0" w:color="auto"/>
        <w:right w:val="none" w:sz="0" w:space="0" w:color="auto"/>
      </w:divBdr>
    </w:div>
    <w:div w:id="540748461">
      <w:bodyDiv w:val="1"/>
      <w:marLeft w:val="0"/>
      <w:marRight w:val="0"/>
      <w:marTop w:val="0"/>
      <w:marBottom w:val="0"/>
      <w:divBdr>
        <w:top w:val="none" w:sz="0" w:space="0" w:color="auto"/>
        <w:left w:val="none" w:sz="0" w:space="0" w:color="auto"/>
        <w:bottom w:val="none" w:sz="0" w:space="0" w:color="auto"/>
        <w:right w:val="none" w:sz="0" w:space="0" w:color="auto"/>
      </w:divBdr>
    </w:div>
    <w:div w:id="540938621">
      <w:bodyDiv w:val="1"/>
      <w:marLeft w:val="0"/>
      <w:marRight w:val="0"/>
      <w:marTop w:val="0"/>
      <w:marBottom w:val="0"/>
      <w:divBdr>
        <w:top w:val="none" w:sz="0" w:space="0" w:color="auto"/>
        <w:left w:val="none" w:sz="0" w:space="0" w:color="auto"/>
        <w:bottom w:val="none" w:sz="0" w:space="0" w:color="auto"/>
        <w:right w:val="none" w:sz="0" w:space="0" w:color="auto"/>
      </w:divBdr>
    </w:div>
    <w:div w:id="541132525">
      <w:bodyDiv w:val="1"/>
      <w:marLeft w:val="0"/>
      <w:marRight w:val="0"/>
      <w:marTop w:val="0"/>
      <w:marBottom w:val="0"/>
      <w:divBdr>
        <w:top w:val="none" w:sz="0" w:space="0" w:color="auto"/>
        <w:left w:val="none" w:sz="0" w:space="0" w:color="auto"/>
        <w:bottom w:val="none" w:sz="0" w:space="0" w:color="auto"/>
        <w:right w:val="none" w:sz="0" w:space="0" w:color="auto"/>
      </w:divBdr>
    </w:div>
    <w:div w:id="541137464">
      <w:bodyDiv w:val="1"/>
      <w:marLeft w:val="0"/>
      <w:marRight w:val="0"/>
      <w:marTop w:val="0"/>
      <w:marBottom w:val="0"/>
      <w:divBdr>
        <w:top w:val="none" w:sz="0" w:space="0" w:color="auto"/>
        <w:left w:val="none" w:sz="0" w:space="0" w:color="auto"/>
        <w:bottom w:val="none" w:sz="0" w:space="0" w:color="auto"/>
        <w:right w:val="none" w:sz="0" w:space="0" w:color="auto"/>
      </w:divBdr>
    </w:div>
    <w:div w:id="541137820">
      <w:bodyDiv w:val="1"/>
      <w:marLeft w:val="0"/>
      <w:marRight w:val="0"/>
      <w:marTop w:val="0"/>
      <w:marBottom w:val="0"/>
      <w:divBdr>
        <w:top w:val="none" w:sz="0" w:space="0" w:color="auto"/>
        <w:left w:val="none" w:sz="0" w:space="0" w:color="auto"/>
        <w:bottom w:val="none" w:sz="0" w:space="0" w:color="auto"/>
        <w:right w:val="none" w:sz="0" w:space="0" w:color="auto"/>
      </w:divBdr>
    </w:div>
    <w:div w:id="541484800">
      <w:bodyDiv w:val="1"/>
      <w:marLeft w:val="0"/>
      <w:marRight w:val="0"/>
      <w:marTop w:val="0"/>
      <w:marBottom w:val="0"/>
      <w:divBdr>
        <w:top w:val="none" w:sz="0" w:space="0" w:color="auto"/>
        <w:left w:val="none" w:sz="0" w:space="0" w:color="auto"/>
        <w:bottom w:val="none" w:sz="0" w:space="0" w:color="auto"/>
        <w:right w:val="none" w:sz="0" w:space="0" w:color="auto"/>
      </w:divBdr>
    </w:div>
    <w:div w:id="542913243">
      <w:bodyDiv w:val="1"/>
      <w:marLeft w:val="0"/>
      <w:marRight w:val="0"/>
      <w:marTop w:val="0"/>
      <w:marBottom w:val="0"/>
      <w:divBdr>
        <w:top w:val="none" w:sz="0" w:space="0" w:color="auto"/>
        <w:left w:val="none" w:sz="0" w:space="0" w:color="auto"/>
        <w:bottom w:val="none" w:sz="0" w:space="0" w:color="auto"/>
        <w:right w:val="none" w:sz="0" w:space="0" w:color="auto"/>
      </w:divBdr>
    </w:div>
    <w:div w:id="543055395">
      <w:bodyDiv w:val="1"/>
      <w:marLeft w:val="0"/>
      <w:marRight w:val="0"/>
      <w:marTop w:val="0"/>
      <w:marBottom w:val="0"/>
      <w:divBdr>
        <w:top w:val="none" w:sz="0" w:space="0" w:color="auto"/>
        <w:left w:val="none" w:sz="0" w:space="0" w:color="auto"/>
        <w:bottom w:val="none" w:sz="0" w:space="0" w:color="auto"/>
        <w:right w:val="none" w:sz="0" w:space="0" w:color="auto"/>
      </w:divBdr>
    </w:div>
    <w:div w:id="543177227">
      <w:bodyDiv w:val="1"/>
      <w:marLeft w:val="0"/>
      <w:marRight w:val="0"/>
      <w:marTop w:val="0"/>
      <w:marBottom w:val="0"/>
      <w:divBdr>
        <w:top w:val="none" w:sz="0" w:space="0" w:color="auto"/>
        <w:left w:val="none" w:sz="0" w:space="0" w:color="auto"/>
        <w:bottom w:val="none" w:sz="0" w:space="0" w:color="auto"/>
        <w:right w:val="none" w:sz="0" w:space="0" w:color="auto"/>
      </w:divBdr>
    </w:div>
    <w:div w:id="543642464">
      <w:bodyDiv w:val="1"/>
      <w:marLeft w:val="0"/>
      <w:marRight w:val="0"/>
      <w:marTop w:val="0"/>
      <w:marBottom w:val="0"/>
      <w:divBdr>
        <w:top w:val="none" w:sz="0" w:space="0" w:color="auto"/>
        <w:left w:val="none" w:sz="0" w:space="0" w:color="auto"/>
        <w:bottom w:val="none" w:sz="0" w:space="0" w:color="auto"/>
        <w:right w:val="none" w:sz="0" w:space="0" w:color="auto"/>
      </w:divBdr>
    </w:div>
    <w:div w:id="543719055">
      <w:bodyDiv w:val="1"/>
      <w:marLeft w:val="0"/>
      <w:marRight w:val="0"/>
      <w:marTop w:val="0"/>
      <w:marBottom w:val="0"/>
      <w:divBdr>
        <w:top w:val="none" w:sz="0" w:space="0" w:color="auto"/>
        <w:left w:val="none" w:sz="0" w:space="0" w:color="auto"/>
        <w:bottom w:val="none" w:sz="0" w:space="0" w:color="auto"/>
        <w:right w:val="none" w:sz="0" w:space="0" w:color="auto"/>
      </w:divBdr>
    </w:div>
    <w:div w:id="543954994">
      <w:bodyDiv w:val="1"/>
      <w:marLeft w:val="0"/>
      <w:marRight w:val="0"/>
      <w:marTop w:val="0"/>
      <w:marBottom w:val="0"/>
      <w:divBdr>
        <w:top w:val="none" w:sz="0" w:space="0" w:color="auto"/>
        <w:left w:val="none" w:sz="0" w:space="0" w:color="auto"/>
        <w:bottom w:val="none" w:sz="0" w:space="0" w:color="auto"/>
        <w:right w:val="none" w:sz="0" w:space="0" w:color="auto"/>
      </w:divBdr>
    </w:div>
    <w:div w:id="544409540">
      <w:bodyDiv w:val="1"/>
      <w:marLeft w:val="0"/>
      <w:marRight w:val="0"/>
      <w:marTop w:val="0"/>
      <w:marBottom w:val="0"/>
      <w:divBdr>
        <w:top w:val="none" w:sz="0" w:space="0" w:color="auto"/>
        <w:left w:val="none" w:sz="0" w:space="0" w:color="auto"/>
        <w:bottom w:val="none" w:sz="0" w:space="0" w:color="auto"/>
        <w:right w:val="none" w:sz="0" w:space="0" w:color="auto"/>
      </w:divBdr>
    </w:div>
    <w:div w:id="544563307">
      <w:bodyDiv w:val="1"/>
      <w:marLeft w:val="0"/>
      <w:marRight w:val="0"/>
      <w:marTop w:val="0"/>
      <w:marBottom w:val="0"/>
      <w:divBdr>
        <w:top w:val="none" w:sz="0" w:space="0" w:color="auto"/>
        <w:left w:val="none" w:sz="0" w:space="0" w:color="auto"/>
        <w:bottom w:val="none" w:sz="0" w:space="0" w:color="auto"/>
        <w:right w:val="none" w:sz="0" w:space="0" w:color="auto"/>
      </w:divBdr>
    </w:div>
    <w:div w:id="544683329">
      <w:bodyDiv w:val="1"/>
      <w:marLeft w:val="0"/>
      <w:marRight w:val="0"/>
      <w:marTop w:val="0"/>
      <w:marBottom w:val="0"/>
      <w:divBdr>
        <w:top w:val="none" w:sz="0" w:space="0" w:color="auto"/>
        <w:left w:val="none" w:sz="0" w:space="0" w:color="auto"/>
        <w:bottom w:val="none" w:sz="0" w:space="0" w:color="auto"/>
        <w:right w:val="none" w:sz="0" w:space="0" w:color="auto"/>
      </w:divBdr>
    </w:div>
    <w:div w:id="544950593">
      <w:bodyDiv w:val="1"/>
      <w:marLeft w:val="0"/>
      <w:marRight w:val="0"/>
      <w:marTop w:val="0"/>
      <w:marBottom w:val="0"/>
      <w:divBdr>
        <w:top w:val="none" w:sz="0" w:space="0" w:color="auto"/>
        <w:left w:val="none" w:sz="0" w:space="0" w:color="auto"/>
        <w:bottom w:val="none" w:sz="0" w:space="0" w:color="auto"/>
        <w:right w:val="none" w:sz="0" w:space="0" w:color="auto"/>
      </w:divBdr>
    </w:div>
    <w:div w:id="545143562">
      <w:bodyDiv w:val="1"/>
      <w:marLeft w:val="0"/>
      <w:marRight w:val="0"/>
      <w:marTop w:val="0"/>
      <w:marBottom w:val="0"/>
      <w:divBdr>
        <w:top w:val="none" w:sz="0" w:space="0" w:color="auto"/>
        <w:left w:val="none" w:sz="0" w:space="0" w:color="auto"/>
        <w:bottom w:val="none" w:sz="0" w:space="0" w:color="auto"/>
        <w:right w:val="none" w:sz="0" w:space="0" w:color="auto"/>
      </w:divBdr>
    </w:div>
    <w:div w:id="545457022">
      <w:bodyDiv w:val="1"/>
      <w:marLeft w:val="0"/>
      <w:marRight w:val="0"/>
      <w:marTop w:val="0"/>
      <w:marBottom w:val="0"/>
      <w:divBdr>
        <w:top w:val="none" w:sz="0" w:space="0" w:color="auto"/>
        <w:left w:val="none" w:sz="0" w:space="0" w:color="auto"/>
        <w:bottom w:val="none" w:sz="0" w:space="0" w:color="auto"/>
        <w:right w:val="none" w:sz="0" w:space="0" w:color="auto"/>
      </w:divBdr>
    </w:div>
    <w:div w:id="546381519">
      <w:bodyDiv w:val="1"/>
      <w:marLeft w:val="0"/>
      <w:marRight w:val="0"/>
      <w:marTop w:val="0"/>
      <w:marBottom w:val="0"/>
      <w:divBdr>
        <w:top w:val="none" w:sz="0" w:space="0" w:color="auto"/>
        <w:left w:val="none" w:sz="0" w:space="0" w:color="auto"/>
        <w:bottom w:val="none" w:sz="0" w:space="0" w:color="auto"/>
        <w:right w:val="none" w:sz="0" w:space="0" w:color="auto"/>
      </w:divBdr>
    </w:div>
    <w:div w:id="546452132">
      <w:bodyDiv w:val="1"/>
      <w:marLeft w:val="0"/>
      <w:marRight w:val="0"/>
      <w:marTop w:val="0"/>
      <w:marBottom w:val="0"/>
      <w:divBdr>
        <w:top w:val="none" w:sz="0" w:space="0" w:color="auto"/>
        <w:left w:val="none" w:sz="0" w:space="0" w:color="auto"/>
        <w:bottom w:val="none" w:sz="0" w:space="0" w:color="auto"/>
        <w:right w:val="none" w:sz="0" w:space="0" w:color="auto"/>
      </w:divBdr>
    </w:div>
    <w:div w:id="546599934">
      <w:bodyDiv w:val="1"/>
      <w:marLeft w:val="0"/>
      <w:marRight w:val="0"/>
      <w:marTop w:val="0"/>
      <w:marBottom w:val="0"/>
      <w:divBdr>
        <w:top w:val="none" w:sz="0" w:space="0" w:color="auto"/>
        <w:left w:val="none" w:sz="0" w:space="0" w:color="auto"/>
        <w:bottom w:val="none" w:sz="0" w:space="0" w:color="auto"/>
        <w:right w:val="none" w:sz="0" w:space="0" w:color="auto"/>
      </w:divBdr>
    </w:div>
    <w:div w:id="546991933">
      <w:bodyDiv w:val="1"/>
      <w:marLeft w:val="0"/>
      <w:marRight w:val="0"/>
      <w:marTop w:val="0"/>
      <w:marBottom w:val="0"/>
      <w:divBdr>
        <w:top w:val="none" w:sz="0" w:space="0" w:color="auto"/>
        <w:left w:val="none" w:sz="0" w:space="0" w:color="auto"/>
        <w:bottom w:val="none" w:sz="0" w:space="0" w:color="auto"/>
        <w:right w:val="none" w:sz="0" w:space="0" w:color="auto"/>
      </w:divBdr>
    </w:div>
    <w:div w:id="547378747">
      <w:bodyDiv w:val="1"/>
      <w:marLeft w:val="0"/>
      <w:marRight w:val="0"/>
      <w:marTop w:val="0"/>
      <w:marBottom w:val="0"/>
      <w:divBdr>
        <w:top w:val="none" w:sz="0" w:space="0" w:color="auto"/>
        <w:left w:val="none" w:sz="0" w:space="0" w:color="auto"/>
        <w:bottom w:val="none" w:sz="0" w:space="0" w:color="auto"/>
        <w:right w:val="none" w:sz="0" w:space="0" w:color="auto"/>
      </w:divBdr>
    </w:div>
    <w:div w:id="547647944">
      <w:bodyDiv w:val="1"/>
      <w:marLeft w:val="0"/>
      <w:marRight w:val="0"/>
      <w:marTop w:val="0"/>
      <w:marBottom w:val="0"/>
      <w:divBdr>
        <w:top w:val="none" w:sz="0" w:space="0" w:color="auto"/>
        <w:left w:val="none" w:sz="0" w:space="0" w:color="auto"/>
        <w:bottom w:val="none" w:sz="0" w:space="0" w:color="auto"/>
        <w:right w:val="none" w:sz="0" w:space="0" w:color="auto"/>
      </w:divBdr>
    </w:div>
    <w:div w:id="547688238">
      <w:bodyDiv w:val="1"/>
      <w:marLeft w:val="0"/>
      <w:marRight w:val="0"/>
      <w:marTop w:val="0"/>
      <w:marBottom w:val="0"/>
      <w:divBdr>
        <w:top w:val="none" w:sz="0" w:space="0" w:color="auto"/>
        <w:left w:val="none" w:sz="0" w:space="0" w:color="auto"/>
        <w:bottom w:val="none" w:sz="0" w:space="0" w:color="auto"/>
        <w:right w:val="none" w:sz="0" w:space="0" w:color="auto"/>
      </w:divBdr>
    </w:div>
    <w:div w:id="548080373">
      <w:bodyDiv w:val="1"/>
      <w:marLeft w:val="0"/>
      <w:marRight w:val="0"/>
      <w:marTop w:val="0"/>
      <w:marBottom w:val="0"/>
      <w:divBdr>
        <w:top w:val="none" w:sz="0" w:space="0" w:color="auto"/>
        <w:left w:val="none" w:sz="0" w:space="0" w:color="auto"/>
        <w:bottom w:val="none" w:sz="0" w:space="0" w:color="auto"/>
        <w:right w:val="none" w:sz="0" w:space="0" w:color="auto"/>
      </w:divBdr>
    </w:div>
    <w:div w:id="548541223">
      <w:bodyDiv w:val="1"/>
      <w:marLeft w:val="0"/>
      <w:marRight w:val="0"/>
      <w:marTop w:val="0"/>
      <w:marBottom w:val="0"/>
      <w:divBdr>
        <w:top w:val="none" w:sz="0" w:space="0" w:color="auto"/>
        <w:left w:val="none" w:sz="0" w:space="0" w:color="auto"/>
        <w:bottom w:val="none" w:sz="0" w:space="0" w:color="auto"/>
        <w:right w:val="none" w:sz="0" w:space="0" w:color="auto"/>
      </w:divBdr>
    </w:div>
    <w:div w:id="548616778">
      <w:bodyDiv w:val="1"/>
      <w:marLeft w:val="0"/>
      <w:marRight w:val="0"/>
      <w:marTop w:val="0"/>
      <w:marBottom w:val="0"/>
      <w:divBdr>
        <w:top w:val="none" w:sz="0" w:space="0" w:color="auto"/>
        <w:left w:val="none" w:sz="0" w:space="0" w:color="auto"/>
        <w:bottom w:val="none" w:sz="0" w:space="0" w:color="auto"/>
        <w:right w:val="none" w:sz="0" w:space="0" w:color="auto"/>
      </w:divBdr>
    </w:div>
    <w:div w:id="548953713">
      <w:bodyDiv w:val="1"/>
      <w:marLeft w:val="0"/>
      <w:marRight w:val="0"/>
      <w:marTop w:val="0"/>
      <w:marBottom w:val="0"/>
      <w:divBdr>
        <w:top w:val="none" w:sz="0" w:space="0" w:color="auto"/>
        <w:left w:val="none" w:sz="0" w:space="0" w:color="auto"/>
        <w:bottom w:val="none" w:sz="0" w:space="0" w:color="auto"/>
        <w:right w:val="none" w:sz="0" w:space="0" w:color="auto"/>
      </w:divBdr>
    </w:div>
    <w:div w:id="549224104">
      <w:bodyDiv w:val="1"/>
      <w:marLeft w:val="0"/>
      <w:marRight w:val="0"/>
      <w:marTop w:val="0"/>
      <w:marBottom w:val="0"/>
      <w:divBdr>
        <w:top w:val="none" w:sz="0" w:space="0" w:color="auto"/>
        <w:left w:val="none" w:sz="0" w:space="0" w:color="auto"/>
        <w:bottom w:val="none" w:sz="0" w:space="0" w:color="auto"/>
        <w:right w:val="none" w:sz="0" w:space="0" w:color="auto"/>
      </w:divBdr>
    </w:div>
    <w:div w:id="549267198">
      <w:bodyDiv w:val="1"/>
      <w:marLeft w:val="0"/>
      <w:marRight w:val="0"/>
      <w:marTop w:val="0"/>
      <w:marBottom w:val="0"/>
      <w:divBdr>
        <w:top w:val="none" w:sz="0" w:space="0" w:color="auto"/>
        <w:left w:val="none" w:sz="0" w:space="0" w:color="auto"/>
        <w:bottom w:val="none" w:sz="0" w:space="0" w:color="auto"/>
        <w:right w:val="none" w:sz="0" w:space="0" w:color="auto"/>
      </w:divBdr>
    </w:div>
    <w:div w:id="549461330">
      <w:bodyDiv w:val="1"/>
      <w:marLeft w:val="0"/>
      <w:marRight w:val="0"/>
      <w:marTop w:val="0"/>
      <w:marBottom w:val="0"/>
      <w:divBdr>
        <w:top w:val="none" w:sz="0" w:space="0" w:color="auto"/>
        <w:left w:val="none" w:sz="0" w:space="0" w:color="auto"/>
        <w:bottom w:val="none" w:sz="0" w:space="0" w:color="auto"/>
        <w:right w:val="none" w:sz="0" w:space="0" w:color="auto"/>
      </w:divBdr>
    </w:div>
    <w:div w:id="549852219">
      <w:bodyDiv w:val="1"/>
      <w:marLeft w:val="0"/>
      <w:marRight w:val="0"/>
      <w:marTop w:val="0"/>
      <w:marBottom w:val="0"/>
      <w:divBdr>
        <w:top w:val="none" w:sz="0" w:space="0" w:color="auto"/>
        <w:left w:val="none" w:sz="0" w:space="0" w:color="auto"/>
        <w:bottom w:val="none" w:sz="0" w:space="0" w:color="auto"/>
        <w:right w:val="none" w:sz="0" w:space="0" w:color="auto"/>
      </w:divBdr>
    </w:div>
    <w:div w:id="550001135">
      <w:bodyDiv w:val="1"/>
      <w:marLeft w:val="0"/>
      <w:marRight w:val="0"/>
      <w:marTop w:val="0"/>
      <w:marBottom w:val="0"/>
      <w:divBdr>
        <w:top w:val="none" w:sz="0" w:space="0" w:color="auto"/>
        <w:left w:val="none" w:sz="0" w:space="0" w:color="auto"/>
        <w:bottom w:val="none" w:sz="0" w:space="0" w:color="auto"/>
        <w:right w:val="none" w:sz="0" w:space="0" w:color="auto"/>
      </w:divBdr>
    </w:div>
    <w:div w:id="551118003">
      <w:bodyDiv w:val="1"/>
      <w:marLeft w:val="0"/>
      <w:marRight w:val="0"/>
      <w:marTop w:val="0"/>
      <w:marBottom w:val="0"/>
      <w:divBdr>
        <w:top w:val="none" w:sz="0" w:space="0" w:color="auto"/>
        <w:left w:val="none" w:sz="0" w:space="0" w:color="auto"/>
        <w:bottom w:val="none" w:sz="0" w:space="0" w:color="auto"/>
        <w:right w:val="none" w:sz="0" w:space="0" w:color="auto"/>
      </w:divBdr>
    </w:div>
    <w:div w:id="551579397">
      <w:bodyDiv w:val="1"/>
      <w:marLeft w:val="0"/>
      <w:marRight w:val="0"/>
      <w:marTop w:val="0"/>
      <w:marBottom w:val="0"/>
      <w:divBdr>
        <w:top w:val="none" w:sz="0" w:space="0" w:color="auto"/>
        <w:left w:val="none" w:sz="0" w:space="0" w:color="auto"/>
        <w:bottom w:val="none" w:sz="0" w:space="0" w:color="auto"/>
        <w:right w:val="none" w:sz="0" w:space="0" w:color="auto"/>
      </w:divBdr>
    </w:div>
    <w:div w:id="551889857">
      <w:bodyDiv w:val="1"/>
      <w:marLeft w:val="0"/>
      <w:marRight w:val="0"/>
      <w:marTop w:val="0"/>
      <w:marBottom w:val="0"/>
      <w:divBdr>
        <w:top w:val="none" w:sz="0" w:space="0" w:color="auto"/>
        <w:left w:val="none" w:sz="0" w:space="0" w:color="auto"/>
        <w:bottom w:val="none" w:sz="0" w:space="0" w:color="auto"/>
        <w:right w:val="none" w:sz="0" w:space="0" w:color="auto"/>
      </w:divBdr>
    </w:div>
    <w:div w:id="552085681">
      <w:bodyDiv w:val="1"/>
      <w:marLeft w:val="0"/>
      <w:marRight w:val="0"/>
      <w:marTop w:val="0"/>
      <w:marBottom w:val="0"/>
      <w:divBdr>
        <w:top w:val="none" w:sz="0" w:space="0" w:color="auto"/>
        <w:left w:val="none" w:sz="0" w:space="0" w:color="auto"/>
        <w:bottom w:val="none" w:sz="0" w:space="0" w:color="auto"/>
        <w:right w:val="none" w:sz="0" w:space="0" w:color="auto"/>
      </w:divBdr>
    </w:div>
    <w:div w:id="552230220">
      <w:bodyDiv w:val="1"/>
      <w:marLeft w:val="0"/>
      <w:marRight w:val="0"/>
      <w:marTop w:val="0"/>
      <w:marBottom w:val="0"/>
      <w:divBdr>
        <w:top w:val="none" w:sz="0" w:space="0" w:color="auto"/>
        <w:left w:val="none" w:sz="0" w:space="0" w:color="auto"/>
        <w:bottom w:val="none" w:sz="0" w:space="0" w:color="auto"/>
        <w:right w:val="none" w:sz="0" w:space="0" w:color="auto"/>
      </w:divBdr>
    </w:div>
    <w:div w:id="553659327">
      <w:bodyDiv w:val="1"/>
      <w:marLeft w:val="0"/>
      <w:marRight w:val="0"/>
      <w:marTop w:val="0"/>
      <w:marBottom w:val="0"/>
      <w:divBdr>
        <w:top w:val="none" w:sz="0" w:space="0" w:color="auto"/>
        <w:left w:val="none" w:sz="0" w:space="0" w:color="auto"/>
        <w:bottom w:val="none" w:sz="0" w:space="0" w:color="auto"/>
        <w:right w:val="none" w:sz="0" w:space="0" w:color="auto"/>
      </w:divBdr>
    </w:div>
    <w:div w:id="553736738">
      <w:bodyDiv w:val="1"/>
      <w:marLeft w:val="0"/>
      <w:marRight w:val="0"/>
      <w:marTop w:val="0"/>
      <w:marBottom w:val="0"/>
      <w:divBdr>
        <w:top w:val="none" w:sz="0" w:space="0" w:color="auto"/>
        <w:left w:val="none" w:sz="0" w:space="0" w:color="auto"/>
        <w:bottom w:val="none" w:sz="0" w:space="0" w:color="auto"/>
        <w:right w:val="none" w:sz="0" w:space="0" w:color="auto"/>
      </w:divBdr>
    </w:div>
    <w:div w:id="554395694">
      <w:bodyDiv w:val="1"/>
      <w:marLeft w:val="0"/>
      <w:marRight w:val="0"/>
      <w:marTop w:val="0"/>
      <w:marBottom w:val="0"/>
      <w:divBdr>
        <w:top w:val="none" w:sz="0" w:space="0" w:color="auto"/>
        <w:left w:val="none" w:sz="0" w:space="0" w:color="auto"/>
        <w:bottom w:val="none" w:sz="0" w:space="0" w:color="auto"/>
        <w:right w:val="none" w:sz="0" w:space="0" w:color="auto"/>
      </w:divBdr>
    </w:div>
    <w:div w:id="554970338">
      <w:bodyDiv w:val="1"/>
      <w:marLeft w:val="0"/>
      <w:marRight w:val="0"/>
      <w:marTop w:val="0"/>
      <w:marBottom w:val="0"/>
      <w:divBdr>
        <w:top w:val="none" w:sz="0" w:space="0" w:color="auto"/>
        <w:left w:val="none" w:sz="0" w:space="0" w:color="auto"/>
        <w:bottom w:val="none" w:sz="0" w:space="0" w:color="auto"/>
        <w:right w:val="none" w:sz="0" w:space="0" w:color="auto"/>
      </w:divBdr>
    </w:div>
    <w:div w:id="555161151">
      <w:bodyDiv w:val="1"/>
      <w:marLeft w:val="0"/>
      <w:marRight w:val="0"/>
      <w:marTop w:val="0"/>
      <w:marBottom w:val="0"/>
      <w:divBdr>
        <w:top w:val="none" w:sz="0" w:space="0" w:color="auto"/>
        <w:left w:val="none" w:sz="0" w:space="0" w:color="auto"/>
        <w:bottom w:val="none" w:sz="0" w:space="0" w:color="auto"/>
        <w:right w:val="none" w:sz="0" w:space="0" w:color="auto"/>
      </w:divBdr>
    </w:div>
    <w:div w:id="555312174">
      <w:bodyDiv w:val="1"/>
      <w:marLeft w:val="0"/>
      <w:marRight w:val="0"/>
      <w:marTop w:val="0"/>
      <w:marBottom w:val="0"/>
      <w:divBdr>
        <w:top w:val="none" w:sz="0" w:space="0" w:color="auto"/>
        <w:left w:val="none" w:sz="0" w:space="0" w:color="auto"/>
        <w:bottom w:val="none" w:sz="0" w:space="0" w:color="auto"/>
        <w:right w:val="none" w:sz="0" w:space="0" w:color="auto"/>
      </w:divBdr>
    </w:div>
    <w:div w:id="556018599">
      <w:bodyDiv w:val="1"/>
      <w:marLeft w:val="0"/>
      <w:marRight w:val="0"/>
      <w:marTop w:val="0"/>
      <w:marBottom w:val="0"/>
      <w:divBdr>
        <w:top w:val="none" w:sz="0" w:space="0" w:color="auto"/>
        <w:left w:val="none" w:sz="0" w:space="0" w:color="auto"/>
        <w:bottom w:val="none" w:sz="0" w:space="0" w:color="auto"/>
        <w:right w:val="none" w:sz="0" w:space="0" w:color="auto"/>
      </w:divBdr>
    </w:div>
    <w:div w:id="556476244">
      <w:bodyDiv w:val="1"/>
      <w:marLeft w:val="0"/>
      <w:marRight w:val="0"/>
      <w:marTop w:val="0"/>
      <w:marBottom w:val="0"/>
      <w:divBdr>
        <w:top w:val="none" w:sz="0" w:space="0" w:color="auto"/>
        <w:left w:val="none" w:sz="0" w:space="0" w:color="auto"/>
        <w:bottom w:val="none" w:sz="0" w:space="0" w:color="auto"/>
        <w:right w:val="none" w:sz="0" w:space="0" w:color="auto"/>
      </w:divBdr>
    </w:div>
    <w:div w:id="556745191">
      <w:bodyDiv w:val="1"/>
      <w:marLeft w:val="0"/>
      <w:marRight w:val="0"/>
      <w:marTop w:val="0"/>
      <w:marBottom w:val="0"/>
      <w:divBdr>
        <w:top w:val="none" w:sz="0" w:space="0" w:color="auto"/>
        <w:left w:val="none" w:sz="0" w:space="0" w:color="auto"/>
        <w:bottom w:val="none" w:sz="0" w:space="0" w:color="auto"/>
        <w:right w:val="none" w:sz="0" w:space="0" w:color="auto"/>
      </w:divBdr>
    </w:div>
    <w:div w:id="556864831">
      <w:bodyDiv w:val="1"/>
      <w:marLeft w:val="0"/>
      <w:marRight w:val="0"/>
      <w:marTop w:val="0"/>
      <w:marBottom w:val="0"/>
      <w:divBdr>
        <w:top w:val="none" w:sz="0" w:space="0" w:color="auto"/>
        <w:left w:val="none" w:sz="0" w:space="0" w:color="auto"/>
        <w:bottom w:val="none" w:sz="0" w:space="0" w:color="auto"/>
        <w:right w:val="none" w:sz="0" w:space="0" w:color="auto"/>
      </w:divBdr>
    </w:div>
    <w:div w:id="557131318">
      <w:bodyDiv w:val="1"/>
      <w:marLeft w:val="0"/>
      <w:marRight w:val="0"/>
      <w:marTop w:val="0"/>
      <w:marBottom w:val="0"/>
      <w:divBdr>
        <w:top w:val="none" w:sz="0" w:space="0" w:color="auto"/>
        <w:left w:val="none" w:sz="0" w:space="0" w:color="auto"/>
        <w:bottom w:val="none" w:sz="0" w:space="0" w:color="auto"/>
        <w:right w:val="none" w:sz="0" w:space="0" w:color="auto"/>
      </w:divBdr>
    </w:div>
    <w:div w:id="557328289">
      <w:bodyDiv w:val="1"/>
      <w:marLeft w:val="0"/>
      <w:marRight w:val="0"/>
      <w:marTop w:val="0"/>
      <w:marBottom w:val="0"/>
      <w:divBdr>
        <w:top w:val="none" w:sz="0" w:space="0" w:color="auto"/>
        <w:left w:val="none" w:sz="0" w:space="0" w:color="auto"/>
        <w:bottom w:val="none" w:sz="0" w:space="0" w:color="auto"/>
        <w:right w:val="none" w:sz="0" w:space="0" w:color="auto"/>
      </w:divBdr>
    </w:div>
    <w:div w:id="557667503">
      <w:bodyDiv w:val="1"/>
      <w:marLeft w:val="0"/>
      <w:marRight w:val="0"/>
      <w:marTop w:val="0"/>
      <w:marBottom w:val="0"/>
      <w:divBdr>
        <w:top w:val="none" w:sz="0" w:space="0" w:color="auto"/>
        <w:left w:val="none" w:sz="0" w:space="0" w:color="auto"/>
        <w:bottom w:val="none" w:sz="0" w:space="0" w:color="auto"/>
        <w:right w:val="none" w:sz="0" w:space="0" w:color="auto"/>
      </w:divBdr>
    </w:div>
    <w:div w:id="558174041">
      <w:bodyDiv w:val="1"/>
      <w:marLeft w:val="0"/>
      <w:marRight w:val="0"/>
      <w:marTop w:val="0"/>
      <w:marBottom w:val="0"/>
      <w:divBdr>
        <w:top w:val="none" w:sz="0" w:space="0" w:color="auto"/>
        <w:left w:val="none" w:sz="0" w:space="0" w:color="auto"/>
        <w:bottom w:val="none" w:sz="0" w:space="0" w:color="auto"/>
        <w:right w:val="none" w:sz="0" w:space="0" w:color="auto"/>
      </w:divBdr>
    </w:div>
    <w:div w:id="560216510">
      <w:bodyDiv w:val="1"/>
      <w:marLeft w:val="0"/>
      <w:marRight w:val="0"/>
      <w:marTop w:val="0"/>
      <w:marBottom w:val="0"/>
      <w:divBdr>
        <w:top w:val="none" w:sz="0" w:space="0" w:color="auto"/>
        <w:left w:val="none" w:sz="0" w:space="0" w:color="auto"/>
        <w:bottom w:val="none" w:sz="0" w:space="0" w:color="auto"/>
        <w:right w:val="none" w:sz="0" w:space="0" w:color="auto"/>
      </w:divBdr>
    </w:div>
    <w:div w:id="560291822">
      <w:bodyDiv w:val="1"/>
      <w:marLeft w:val="0"/>
      <w:marRight w:val="0"/>
      <w:marTop w:val="0"/>
      <w:marBottom w:val="0"/>
      <w:divBdr>
        <w:top w:val="none" w:sz="0" w:space="0" w:color="auto"/>
        <w:left w:val="none" w:sz="0" w:space="0" w:color="auto"/>
        <w:bottom w:val="none" w:sz="0" w:space="0" w:color="auto"/>
        <w:right w:val="none" w:sz="0" w:space="0" w:color="auto"/>
      </w:divBdr>
    </w:div>
    <w:div w:id="560557274">
      <w:bodyDiv w:val="1"/>
      <w:marLeft w:val="0"/>
      <w:marRight w:val="0"/>
      <w:marTop w:val="0"/>
      <w:marBottom w:val="0"/>
      <w:divBdr>
        <w:top w:val="none" w:sz="0" w:space="0" w:color="auto"/>
        <w:left w:val="none" w:sz="0" w:space="0" w:color="auto"/>
        <w:bottom w:val="none" w:sz="0" w:space="0" w:color="auto"/>
        <w:right w:val="none" w:sz="0" w:space="0" w:color="auto"/>
      </w:divBdr>
    </w:div>
    <w:div w:id="561017154">
      <w:bodyDiv w:val="1"/>
      <w:marLeft w:val="0"/>
      <w:marRight w:val="0"/>
      <w:marTop w:val="0"/>
      <w:marBottom w:val="0"/>
      <w:divBdr>
        <w:top w:val="none" w:sz="0" w:space="0" w:color="auto"/>
        <w:left w:val="none" w:sz="0" w:space="0" w:color="auto"/>
        <w:bottom w:val="none" w:sz="0" w:space="0" w:color="auto"/>
        <w:right w:val="none" w:sz="0" w:space="0" w:color="auto"/>
      </w:divBdr>
    </w:div>
    <w:div w:id="561066462">
      <w:bodyDiv w:val="1"/>
      <w:marLeft w:val="0"/>
      <w:marRight w:val="0"/>
      <w:marTop w:val="0"/>
      <w:marBottom w:val="0"/>
      <w:divBdr>
        <w:top w:val="none" w:sz="0" w:space="0" w:color="auto"/>
        <w:left w:val="none" w:sz="0" w:space="0" w:color="auto"/>
        <w:bottom w:val="none" w:sz="0" w:space="0" w:color="auto"/>
        <w:right w:val="none" w:sz="0" w:space="0" w:color="auto"/>
      </w:divBdr>
    </w:div>
    <w:div w:id="561257660">
      <w:bodyDiv w:val="1"/>
      <w:marLeft w:val="0"/>
      <w:marRight w:val="0"/>
      <w:marTop w:val="0"/>
      <w:marBottom w:val="0"/>
      <w:divBdr>
        <w:top w:val="none" w:sz="0" w:space="0" w:color="auto"/>
        <w:left w:val="none" w:sz="0" w:space="0" w:color="auto"/>
        <w:bottom w:val="none" w:sz="0" w:space="0" w:color="auto"/>
        <w:right w:val="none" w:sz="0" w:space="0" w:color="auto"/>
      </w:divBdr>
    </w:div>
    <w:div w:id="561258086">
      <w:bodyDiv w:val="1"/>
      <w:marLeft w:val="0"/>
      <w:marRight w:val="0"/>
      <w:marTop w:val="0"/>
      <w:marBottom w:val="0"/>
      <w:divBdr>
        <w:top w:val="none" w:sz="0" w:space="0" w:color="auto"/>
        <w:left w:val="none" w:sz="0" w:space="0" w:color="auto"/>
        <w:bottom w:val="none" w:sz="0" w:space="0" w:color="auto"/>
        <w:right w:val="none" w:sz="0" w:space="0" w:color="auto"/>
      </w:divBdr>
    </w:div>
    <w:div w:id="561869109">
      <w:bodyDiv w:val="1"/>
      <w:marLeft w:val="0"/>
      <w:marRight w:val="0"/>
      <w:marTop w:val="0"/>
      <w:marBottom w:val="0"/>
      <w:divBdr>
        <w:top w:val="none" w:sz="0" w:space="0" w:color="auto"/>
        <w:left w:val="none" w:sz="0" w:space="0" w:color="auto"/>
        <w:bottom w:val="none" w:sz="0" w:space="0" w:color="auto"/>
        <w:right w:val="none" w:sz="0" w:space="0" w:color="auto"/>
      </w:divBdr>
    </w:div>
    <w:div w:id="562133774">
      <w:bodyDiv w:val="1"/>
      <w:marLeft w:val="0"/>
      <w:marRight w:val="0"/>
      <w:marTop w:val="0"/>
      <w:marBottom w:val="0"/>
      <w:divBdr>
        <w:top w:val="none" w:sz="0" w:space="0" w:color="auto"/>
        <w:left w:val="none" w:sz="0" w:space="0" w:color="auto"/>
        <w:bottom w:val="none" w:sz="0" w:space="0" w:color="auto"/>
        <w:right w:val="none" w:sz="0" w:space="0" w:color="auto"/>
      </w:divBdr>
    </w:div>
    <w:div w:id="562329907">
      <w:bodyDiv w:val="1"/>
      <w:marLeft w:val="0"/>
      <w:marRight w:val="0"/>
      <w:marTop w:val="0"/>
      <w:marBottom w:val="0"/>
      <w:divBdr>
        <w:top w:val="none" w:sz="0" w:space="0" w:color="auto"/>
        <w:left w:val="none" w:sz="0" w:space="0" w:color="auto"/>
        <w:bottom w:val="none" w:sz="0" w:space="0" w:color="auto"/>
        <w:right w:val="none" w:sz="0" w:space="0" w:color="auto"/>
      </w:divBdr>
    </w:div>
    <w:div w:id="562982542">
      <w:bodyDiv w:val="1"/>
      <w:marLeft w:val="0"/>
      <w:marRight w:val="0"/>
      <w:marTop w:val="0"/>
      <w:marBottom w:val="0"/>
      <w:divBdr>
        <w:top w:val="none" w:sz="0" w:space="0" w:color="auto"/>
        <w:left w:val="none" w:sz="0" w:space="0" w:color="auto"/>
        <w:bottom w:val="none" w:sz="0" w:space="0" w:color="auto"/>
        <w:right w:val="none" w:sz="0" w:space="0" w:color="auto"/>
      </w:divBdr>
    </w:div>
    <w:div w:id="564032750">
      <w:bodyDiv w:val="1"/>
      <w:marLeft w:val="0"/>
      <w:marRight w:val="0"/>
      <w:marTop w:val="0"/>
      <w:marBottom w:val="0"/>
      <w:divBdr>
        <w:top w:val="none" w:sz="0" w:space="0" w:color="auto"/>
        <w:left w:val="none" w:sz="0" w:space="0" w:color="auto"/>
        <w:bottom w:val="none" w:sz="0" w:space="0" w:color="auto"/>
        <w:right w:val="none" w:sz="0" w:space="0" w:color="auto"/>
      </w:divBdr>
    </w:div>
    <w:div w:id="564343085">
      <w:bodyDiv w:val="1"/>
      <w:marLeft w:val="0"/>
      <w:marRight w:val="0"/>
      <w:marTop w:val="0"/>
      <w:marBottom w:val="0"/>
      <w:divBdr>
        <w:top w:val="none" w:sz="0" w:space="0" w:color="auto"/>
        <w:left w:val="none" w:sz="0" w:space="0" w:color="auto"/>
        <w:bottom w:val="none" w:sz="0" w:space="0" w:color="auto"/>
        <w:right w:val="none" w:sz="0" w:space="0" w:color="auto"/>
      </w:divBdr>
    </w:div>
    <w:div w:id="564952026">
      <w:bodyDiv w:val="1"/>
      <w:marLeft w:val="0"/>
      <w:marRight w:val="0"/>
      <w:marTop w:val="0"/>
      <w:marBottom w:val="0"/>
      <w:divBdr>
        <w:top w:val="none" w:sz="0" w:space="0" w:color="auto"/>
        <w:left w:val="none" w:sz="0" w:space="0" w:color="auto"/>
        <w:bottom w:val="none" w:sz="0" w:space="0" w:color="auto"/>
        <w:right w:val="none" w:sz="0" w:space="0" w:color="auto"/>
      </w:divBdr>
    </w:div>
    <w:div w:id="565411385">
      <w:bodyDiv w:val="1"/>
      <w:marLeft w:val="0"/>
      <w:marRight w:val="0"/>
      <w:marTop w:val="0"/>
      <w:marBottom w:val="0"/>
      <w:divBdr>
        <w:top w:val="none" w:sz="0" w:space="0" w:color="auto"/>
        <w:left w:val="none" w:sz="0" w:space="0" w:color="auto"/>
        <w:bottom w:val="none" w:sz="0" w:space="0" w:color="auto"/>
        <w:right w:val="none" w:sz="0" w:space="0" w:color="auto"/>
      </w:divBdr>
    </w:div>
    <w:div w:id="566375729">
      <w:bodyDiv w:val="1"/>
      <w:marLeft w:val="0"/>
      <w:marRight w:val="0"/>
      <w:marTop w:val="0"/>
      <w:marBottom w:val="0"/>
      <w:divBdr>
        <w:top w:val="none" w:sz="0" w:space="0" w:color="auto"/>
        <w:left w:val="none" w:sz="0" w:space="0" w:color="auto"/>
        <w:bottom w:val="none" w:sz="0" w:space="0" w:color="auto"/>
        <w:right w:val="none" w:sz="0" w:space="0" w:color="auto"/>
      </w:divBdr>
    </w:div>
    <w:div w:id="566376958">
      <w:bodyDiv w:val="1"/>
      <w:marLeft w:val="0"/>
      <w:marRight w:val="0"/>
      <w:marTop w:val="0"/>
      <w:marBottom w:val="0"/>
      <w:divBdr>
        <w:top w:val="none" w:sz="0" w:space="0" w:color="auto"/>
        <w:left w:val="none" w:sz="0" w:space="0" w:color="auto"/>
        <w:bottom w:val="none" w:sz="0" w:space="0" w:color="auto"/>
        <w:right w:val="none" w:sz="0" w:space="0" w:color="auto"/>
      </w:divBdr>
    </w:div>
    <w:div w:id="567034100">
      <w:bodyDiv w:val="1"/>
      <w:marLeft w:val="0"/>
      <w:marRight w:val="0"/>
      <w:marTop w:val="0"/>
      <w:marBottom w:val="0"/>
      <w:divBdr>
        <w:top w:val="none" w:sz="0" w:space="0" w:color="auto"/>
        <w:left w:val="none" w:sz="0" w:space="0" w:color="auto"/>
        <w:bottom w:val="none" w:sz="0" w:space="0" w:color="auto"/>
        <w:right w:val="none" w:sz="0" w:space="0" w:color="auto"/>
      </w:divBdr>
    </w:div>
    <w:div w:id="567114218">
      <w:bodyDiv w:val="1"/>
      <w:marLeft w:val="0"/>
      <w:marRight w:val="0"/>
      <w:marTop w:val="0"/>
      <w:marBottom w:val="0"/>
      <w:divBdr>
        <w:top w:val="none" w:sz="0" w:space="0" w:color="auto"/>
        <w:left w:val="none" w:sz="0" w:space="0" w:color="auto"/>
        <w:bottom w:val="none" w:sz="0" w:space="0" w:color="auto"/>
        <w:right w:val="none" w:sz="0" w:space="0" w:color="auto"/>
      </w:divBdr>
    </w:div>
    <w:div w:id="567887742">
      <w:bodyDiv w:val="1"/>
      <w:marLeft w:val="0"/>
      <w:marRight w:val="0"/>
      <w:marTop w:val="0"/>
      <w:marBottom w:val="0"/>
      <w:divBdr>
        <w:top w:val="none" w:sz="0" w:space="0" w:color="auto"/>
        <w:left w:val="none" w:sz="0" w:space="0" w:color="auto"/>
        <w:bottom w:val="none" w:sz="0" w:space="0" w:color="auto"/>
        <w:right w:val="none" w:sz="0" w:space="0" w:color="auto"/>
      </w:divBdr>
    </w:div>
    <w:div w:id="568148493">
      <w:bodyDiv w:val="1"/>
      <w:marLeft w:val="0"/>
      <w:marRight w:val="0"/>
      <w:marTop w:val="0"/>
      <w:marBottom w:val="0"/>
      <w:divBdr>
        <w:top w:val="none" w:sz="0" w:space="0" w:color="auto"/>
        <w:left w:val="none" w:sz="0" w:space="0" w:color="auto"/>
        <w:bottom w:val="none" w:sz="0" w:space="0" w:color="auto"/>
        <w:right w:val="none" w:sz="0" w:space="0" w:color="auto"/>
      </w:divBdr>
    </w:div>
    <w:div w:id="568227056">
      <w:bodyDiv w:val="1"/>
      <w:marLeft w:val="0"/>
      <w:marRight w:val="0"/>
      <w:marTop w:val="0"/>
      <w:marBottom w:val="0"/>
      <w:divBdr>
        <w:top w:val="none" w:sz="0" w:space="0" w:color="auto"/>
        <w:left w:val="none" w:sz="0" w:space="0" w:color="auto"/>
        <w:bottom w:val="none" w:sz="0" w:space="0" w:color="auto"/>
        <w:right w:val="none" w:sz="0" w:space="0" w:color="auto"/>
      </w:divBdr>
    </w:div>
    <w:div w:id="568534709">
      <w:bodyDiv w:val="1"/>
      <w:marLeft w:val="0"/>
      <w:marRight w:val="0"/>
      <w:marTop w:val="0"/>
      <w:marBottom w:val="0"/>
      <w:divBdr>
        <w:top w:val="none" w:sz="0" w:space="0" w:color="auto"/>
        <w:left w:val="none" w:sz="0" w:space="0" w:color="auto"/>
        <w:bottom w:val="none" w:sz="0" w:space="0" w:color="auto"/>
        <w:right w:val="none" w:sz="0" w:space="0" w:color="auto"/>
      </w:divBdr>
    </w:div>
    <w:div w:id="569001427">
      <w:bodyDiv w:val="1"/>
      <w:marLeft w:val="0"/>
      <w:marRight w:val="0"/>
      <w:marTop w:val="0"/>
      <w:marBottom w:val="0"/>
      <w:divBdr>
        <w:top w:val="none" w:sz="0" w:space="0" w:color="auto"/>
        <w:left w:val="none" w:sz="0" w:space="0" w:color="auto"/>
        <w:bottom w:val="none" w:sz="0" w:space="0" w:color="auto"/>
        <w:right w:val="none" w:sz="0" w:space="0" w:color="auto"/>
      </w:divBdr>
    </w:div>
    <w:div w:id="570120899">
      <w:bodyDiv w:val="1"/>
      <w:marLeft w:val="0"/>
      <w:marRight w:val="0"/>
      <w:marTop w:val="0"/>
      <w:marBottom w:val="0"/>
      <w:divBdr>
        <w:top w:val="none" w:sz="0" w:space="0" w:color="auto"/>
        <w:left w:val="none" w:sz="0" w:space="0" w:color="auto"/>
        <w:bottom w:val="none" w:sz="0" w:space="0" w:color="auto"/>
        <w:right w:val="none" w:sz="0" w:space="0" w:color="auto"/>
      </w:divBdr>
    </w:div>
    <w:div w:id="570312018">
      <w:bodyDiv w:val="1"/>
      <w:marLeft w:val="0"/>
      <w:marRight w:val="0"/>
      <w:marTop w:val="0"/>
      <w:marBottom w:val="0"/>
      <w:divBdr>
        <w:top w:val="none" w:sz="0" w:space="0" w:color="auto"/>
        <w:left w:val="none" w:sz="0" w:space="0" w:color="auto"/>
        <w:bottom w:val="none" w:sz="0" w:space="0" w:color="auto"/>
        <w:right w:val="none" w:sz="0" w:space="0" w:color="auto"/>
      </w:divBdr>
    </w:div>
    <w:div w:id="570432213">
      <w:bodyDiv w:val="1"/>
      <w:marLeft w:val="0"/>
      <w:marRight w:val="0"/>
      <w:marTop w:val="0"/>
      <w:marBottom w:val="0"/>
      <w:divBdr>
        <w:top w:val="none" w:sz="0" w:space="0" w:color="auto"/>
        <w:left w:val="none" w:sz="0" w:space="0" w:color="auto"/>
        <w:bottom w:val="none" w:sz="0" w:space="0" w:color="auto"/>
        <w:right w:val="none" w:sz="0" w:space="0" w:color="auto"/>
      </w:divBdr>
    </w:div>
    <w:div w:id="570500682">
      <w:bodyDiv w:val="1"/>
      <w:marLeft w:val="0"/>
      <w:marRight w:val="0"/>
      <w:marTop w:val="0"/>
      <w:marBottom w:val="0"/>
      <w:divBdr>
        <w:top w:val="none" w:sz="0" w:space="0" w:color="auto"/>
        <w:left w:val="none" w:sz="0" w:space="0" w:color="auto"/>
        <w:bottom w:val="none" w:sz="0" w:space="0" w:color="auto"/>
        <w:right w:val="none" w:sz="0" w:space="0" w:color="auto"/>
      </w:divBdr>
    </w:div>
    <w:div w:id="570695803">
      <w:bodyDiv w:val="1"/>
      <w:marLeft w:val="0"/>
      <w:marRight w:val="0"/>
      <w:marTop w:val="0"/>
      <w:marBottom w:val="0"/>
      <w:divBdr>
        <w:top w:val="none" w:sz="0" w:space="0" w:color="auto"/>
        <w:left w:val="none" w:sz="0" w:space="0" w:color="auto"/>
        <w:bottom w:val="none" w:sz="0" w:space="0" w:color="auto"/>
        <w:right w:val="none" w:sz="0" w:space="0" w:color="auto"/>
      </w:divBdr>
    </w:div>
    <w:div w:id="570702766">
      <w:bodyDiv w:val="1"/>
      <w:marLeft w:val="0"/>
      <w:marRight w:val="0"/>
      <w:marTop w:val="0"/>
      <w:marBottom w:val="0"/>
      <w:divBdr>
        <w:top w:val="none" w:sz="0" w:space="0" w:color="auto"/>
        <w:left w:val="none" w:sz="0" w:space="0" w:color="auto"/>
        <w:bottom w:val="none" w:sz="0" w:space="0" w:color="auto"/>
        <w:right w:val="none" w:sz="0" w:space="0" w:color="auto"/>
      </w:divBdr>
    </w:div>
    <w:div w:id="571043262">
      <w:bodyDiv w:val="1"/>
      <w:marLeft w:val="0"/>
      <w:marRight w:val="0"/>
      <w:marTop w:val="0"/>
      <w:marBottom w:val="0"/>
      <w:divBdr>
        <w:top w:val="none" w:sz="0" w:space="0" w:color="auto"/>
        <w:left w:val="none" w:sz="0" w:space="0" w:color="auto"/>
        <w:bottom w:val="none" w:sz="0" w:space="0" w:color="auto"/>
        <w:right w:val="none" w:sz="0" w:space="0" w:color="auto"/>
      </w:divBdr>
    </w:div>
    <w:div w:id="571280782">
      <w:bodyDiv w:val="1"/>
      <w:marLeft w:val="0"/>
      <w:marRight w:val="0"/>
      <w:marTop w:val="0"/>
      <w:marBottom w:val="0"/>
      <w:divBdr>
        <w:top w:val="none" w:sz="0" w:space="0" w:color="auto"/>
        <w:left w:val="none" w:sz="0" w:space="0" w:color="auto"/>
        <w:bottom w:val="none" w:sz="0" w:space="0" w:color="auto"/>
        <w:right w:val="none" w:sz="0" w:space="0" w:color="auto"/>
      </w:divBdr>
    </w:div>
    <w:div w:id="571501473">
      <w:bodyDiv w:val="1"/>
      <w:marLeft w:val="0"/>
      <w:marRight w:val="0"/>
      <w:marTop w:val="0"/>
      <w:marBottom w:val="0"/>
      <w:divBdr>
        <w:top w:val="none" w:sz="0" w:space="0" w:color="auto"/>
        <w:left w:val="none" w:sz="0" w:space="0" w:color="auto"/>
        <w:bottom w:val="none" w:sz="0" w:space="0" w:color="auto"/>
        <w:right w:val="none" w:sz="0" w:space="0" w:color="auto"/>
      </w:divBdr>
    </w:div>
    <w:div w:id="571694536">
      <w:bodyDiv w:val="1"/>
      <w:marLeft w:val="0"/>
      <w:marRight w:val="0"/>
      <w:marTop w:val="0"/>
      <w:marBottom w:val="0"/>
      <w:divBdr>
        <w:top w:val="none" w:sz="0" w:space="0" w:color="auto"/>
        <w:left w:val="none" w:sz="0" w:space="0" w:color="auto"/>
        <w:bottom w:val="none" w:sz="0" w:space="0" w:color="auto"/>
        <w:right w:val="none" w:sz="0" w:space="0" w:color="auto"/>
      </w:divBdr>
    </w:div>
    <w:div w:id="572206664">
      <w:bodyDiv w:val="1"/>
      <w:marLeft w:val="0"/>
      <w:marRight w:val="0"/>
      <w:marTop w:val="0"/>
      <w:marBottom w:val="0"/>
      <w:divBdr>
        <w:top w:val="none" w:sz="0" w:space="0" w:color="auto"/>
        <w:left w:val="none" w:sz="0" w:space="0" w:color="auto"/>
        <w:bottom w:val="none" w:sz="0" w:space="0" w:color="auto"/>
        <w:right w:val="none" w:sz="0" w:space="0" w:color="auto"/>
      </w:divBdr>
    </w:div>
    <w:div w:id="573201520">
      <w:bodyDiv w:val="1"/>
      <w:marLeft w:val="0"/>
      <w:marRight w:val="0"/>
      <w:marTop w:val="0"/>
      <w:marBottom w:val="0"/>
      <w:divBdr>
        <w:top w:val="none" w:sz="0" w:space="0" w:color="auto"/>
        <w:left w:val="none" w:sz="0" w:space="0" w:color="auto"/>
        <w:bottom w:val="none" w:sz="0" w:space="0" w:color="auto"/>
        <w:right w:val="none" w:sz="0" w:space="0" w:color="auto"/>
      </w:divBdr>
    </w:div>
    <w:div w:id="573468201">
      <w:bodyDiv w:val="1"/>
      <w:marLeft w:val="0"/>
      <w:marRight w:val="0"/>
      <w:marTop w:val="0"/>
      <w:marBottom w:val="0"/>
      <w:divBdr>
        <w:top w:val="none" w:sz="0" w:space="0" w:color="auto"/>
        <w:left w:val="none" w:sz="0" w:space="0" w:color="auto"/>
        <w:bottom w:val="none" w:sz="0" w:space="0" w:color="auto"/>
        <w:right w:val="none" w:sz="0" w:space="0" w:color="auto"/>
      </w:divBdr>
    </w:div>
    <w:div w:id="573471597">
      <w:bodyDiv w:val="1"/>
      <w:marLeft w:val="0"/>
      <w:marRight w:val="0"/>
      <w:marTop w:val="0"/>
      <w:marBottom w:val="0"/>
      <w:divBdr>
        <w:top w:val="none" w:sz="0" w:space="0" w:color="auto"/>
        <w:left w:val="none" w:sz="0" w:space="0" w:color="auto"/>
        <w:bottom w:val="none" w:sz="0" w:space="0" w:color="auto"/>
        <w:right w:val="none" w:sz="0" w:space="0" w:color="auto"/>
      </w:divBdr>
    </w:div>
    <w:div w:id="573734893">
      <w:bodyDiv w:val="1"/>
      <w:marLeft w:val="0"/>
      <w:marRight w:val="0"/>
      <w:marTop w:val="0"/>
      <w:marBottom w:val="0"/>
      <w:divBdr>
        <w:top w:val="none" w:sz="0" w:space="0" w:color="auto"/>
        <w:left w:val="none" w:sz="0" w:space="0" w:color="auto"/>
        <w:bottom w:val="none" w:sz="0" w:space="0" w:color="auto"/>
        <w:right w:val="none" w:sz="0" w:space="0" w:color="auto"/>
      </w:divBdr>
    </w:div>
    <w:div w:id="573852261">
      <w:bodyDiv w:val="1"/>
      <w:marLeft w:val="0"/>
      <w:marRight w:val="0"/>
      <w:marTop w:val="0"/>
      <w:marBottom w:val="0"/>
      <w:divBdr>
        <w:top w:val="none" w:sz="0" w:space="0" w:color="auto"/>
        <w:left w:val="none" w:sz="0" w:space="0" w:color="auto"/>
        <w:bottom w:val="none" w:sz="0" w:space="0" w:color="auto"/>
        <w:right w:val="none" w:sz="0" w:space="0" w:color="auto"/>
      </w:divBdr>
    </w:div>
    <w:div w:id="574556551">
      <w:bodyDiv w:val="1"/>
      <w:marLeft w:val="0"/>
      <w:marRight w:val="0"/>
      <w:marTop w:val="0"/>
      <w:marBottom w:val="0"/>
      <w:divBdr>
        <w:top w:val="none" w:sz="0" w:space="0" w:color="auto"/>
        <w:left w:val="none" w:sz="0" w:space="0" w:color="auto"/>
        <w:bottom w:val="none" w:sz="0" w:space="0" w:color="auto"/>
        <w:right w:val="none" w:sz="0" w:space="0" w:color="auto"/>
      </w:divBdr>
    </w:div>
    <w:div w:id="575015034">
      <w:bodyDiv w:val="1"/>
      <w:marLeft w:val="0"/>
      <w:marRight w:val="0"/>
      <w:marTop w:val="0"/>
      <w:marBottom w:val="0"/>
      <w:divBdr>
        <w:top w:val="none" w:sz="0" w:space="0" w:color="auto"/>
        <w:left w:val="none" w:sz="0" w:space="0" w:color="auto"/>
        <w:bottom w:val="none" w:sz="0" w:space="0" w:color="auto"/>
        <w:right w:val="none" w:sz="0" w:space="0" w:color="auto"/>
      </w:divBdr>
    </w:div>
    <w:div w:id="575169974">
      <w:bodyDiv w:val="1"/>
      <w:marLeft w:val="0"/>
      <w:marRight w:val="0"/>
      <w:marTop w:val="0"/>
      <w:marBottom w:val="0"/>
      <w:divBdr>
        <w:top w:val="none" w:sz="0" w:space="0" w:color="auto"/>
        <w:left w:val="none" w:sz="0" w:space="0" w:color="auto"/>
        <w:bottom w:val="none" w:sz="0" w:space="0" w:color="auto"/>
        <w:right w:val="none" w:sz="0" w:space="0" w:color="auto"/>
      </w:divBdr>
    </w:div>
    <w:div w:id="575558195">
      <w:bodyDiv w:val="1"/>
      <w:marLeft w:val="0"/>
      <w:marRight w:val="0"/>
      <w:marTop w:val="0"/>
      <w:marBottom w:val="0"/>
      <w:divBdr>
        <w:top w:val="none" w:sz="0" w:space="0" w:color="auto"/>
        <w:left w:val="none" w:sz="0" w:space="0" w:color="auto"/>
        <w:bottom w:val="none" w:sz="0" w:space="0" w:color="auto"/>
        <w:right w:val="none" w:sz="0" w:space="0" w:color="auto"/>
      </w:divBdr>
    </w:div>
    <w:div w:id="575672904">
      <w:bodyDiv w:val="1"/>
      <w:marLeft w:val="0"/>
      <w:marRight w:val="0"/>
      <w:marTop w:val="0"/>
      <w:marBottom w:val="0"/>
      <w:divBdr>
        <w:top w:val="none" w:sz="0" w:space="0" w:color="auto"/>
        <w:left w:val="none" w:sz="0" w:space="0" w:color="auto"/>
        <w:bottom w:val="none" w:sz="0" w:space="0" w:color="auto"/>
        <w:right w:val="none" w:sz="0" w:space="0" w:color="auto"/>
      </w:divBdr>
    </w:div>
    <w:div w:id="576137833">
      <w:bodyDiv w:val="1"/>
      <w:marLeft w:val="0"/>
      <w:marRight w:val="0"/>
      <w:marTop w:val="0"/>
      <w:marBottom w:val="0"/>
      <w:divBdr>
        <w:top w:val="none" w:sz="0" w:space="0" w:color="auto"/>
        <w:left w:val="none" w:sz="0" w:space="0" w:color="auto"/>
        <w:bottom w:val="none" w:sz="0" w:space="0" w:color="auto"/>
        <w:right w:val="none" w:sz="0" w:space="0" w:color="auto"/>
      </w:divBdr>
    </w:div>
    <w:div w:id="576283490">
      <w:bodyDiv w:val="1"/>
      <w:marLeft w:val="0"/>
      <w:marRight w:val="0"/>
      <w:marTop w:val="0"/>
      <w:marBottom w:val="0"/>
      <w:divBdr>
        <w:top w:val="none" w:sz="0" w:space="0" w:color="auto"/>
        <w:left w:val="none" w:sz="0" w:space="0" w:color="auto"/>
        <w:bottom w:val="none" w:sz="0" w:space="0" w:color="auto"/>
        <w:right w:val="none" w:sz="0" w:space="0" w:color="auto"/>
      </w:divBdr>
    </w:div>
    <w:div w:id="576328886">
      <w:bodyDiv w:val="1"/>
      <w:marLeft w:val="0"/>
      <w:marRight w:val="0"/>
      <w:marTop w:val="0"/>
      <w:marBottom w:val="0"/>
      <w:divBdr>
        <w:top w:val="none" w:sz="0" w:space="0" w:color="auto"/>
        <w:left w:val="none" w:sz="0" w:space="0" w:color="auto"/>
        <w:bottom w:val="none" w:sz="0" w:space="0" w:color="auto"/>
        <w:right w:val="none" w:sz="0" w:space="0" w:color="auto"/>
      </w:divBdr>
    </w:div>
    <w:div w:id="576791407">
      <w:bodyDiv w:val="1"/>
      <w:marLeft w:val="0"/>
      <w:marRight w:val="0"/>
      <w:marTop w:val="0"/>
      <w:marBottom w:val="0"/>
      <w:divBdr>
        <w:top w:val="none" w:sz="0" w:space="0" w:color="auto"/>
        <w:left w:val="none" w:sz="0" w:space="0" w:color="auto"/>
        <w:bottom w:val="none" w:sz="0" w:space="0" w:color="auto"/>
        <w:right w:val="none" w:sz="0" w:space="0" w:color="auto"/>
      </w:divBdr>
    </w:div>
    <w:div w:id="577057188">
      <w:bodyDiv w:val="1"/>
      <w:marLeft w:val="0"/>
      <w:marRight w:val="0"/>
      <w:marTop w:val="0"/>
      <w:marBottom w:val="0"/>
      <w:divBdr>
        <w:top w:val="none" w:sz="0" w:space="0" w:color="auto"/>
        <w:left w:val="none" w:sz="0" w:space="0" w:color="auto"/>
        <w:bottom w:val="none" w:sz="0" w:space="0" w:color="auto"/>
        <w:right w:val="none" w:sz="0" w:space="0" w:color="auto"/>
      </w:divBdr>
    </w:div>
    <w:div w:id="577714267">
      <w:bodyDiv w:val="1"/>
      <w:marLeft w:val="0"/>
      <w:marRight w:val="0"/>
      <w:marTop w:val="0"/>
      <w:marBottom w:val="0"/>
      <w:divBdr>
        <w:top w:val="none" w:sz="0" w:space="0" w:color="auto"/>
        <w:left w:val="none" w:sz="0" w:space="0" w:color="auto"/>
        <w:bottom w:val="none" w:sz="0" w:space="0" w:color="auto"/>
        <w:right w:val="none" w:sz="0" w:space="0" w:color="auto"/>
      </w:divBdr>
    </w:div>
    <w:div w:id="578910586">
      <w:bodyDiv w:val="1"/>
      <w:marLeft w:val="0"/>
      <w:marRight w:val="0"/>
      <w:marTop w:val="0"/>
      <w:marBottom w:val="0"/>
      <w:divBdr>
        <w:top w:val="none" w:sz="0" w:space="0" w:color="auto"/>
        <w:left w:val="none" w:sz="0" w:space="0" w:color="auto"/>
        <w:bottom w:val="none" w:sz="0" w:space="0" w:color="auto"/>
        <w:right w:val="none" w:sz="0" w:space="0" w:color="auto"/>
      </w:divBdr>
    </w:div>
    <w:div w:id="580796864">
      <w:bodyDiv w:val="1"/>
      <w:marLeft w:val="0"/>
      <w:marRight w:val="0"/>
      <w:marTop w:val="0"/>
      <w:marBottom w:val="0"/>
      <w:divBdr>
        <w:top w:val="none" w:sz="0" w:space="0" w:color="auto"/>
        <w:left w:val="none" w:sz="0" w:space="0" w:color="auto"/>
        <w:bottom w:val="none" w:sz="0" w:space="0" w:color="auto"/>
        <w:right w:val="none" w:sz="0" w:space="0" w:color="auto"/>
      </w:divBdr>
    </w:div>
    <w:div w:id="580918128">
      <w:bodyDiv w:val="1"/>
      <w:marLeft w:val="0"/>
      <w:marRight w:val="0"/>
      <w:marTop w:val="0"/>
      <w:marBottom w:val="0"/>
      <w:divBdr>
        <w:top w:val="none" w:sz="0" w:space="0" w:color="auto"/>
        <w:left w:val="none" w:sz="0" w:space="0" w:color="auto"/>
        <w:bottom w:val="none" w:sz="0" w:space="0" w:color="auto"/>
        <w:right w:val="none" w:sz="0" w:space="0" w:color="auto"/>
      </w:divBdr>
    </w:div>
    <w:div w:id="580991455">
      <w:bodyDiv w:val="1"/>
      <w:marLeft w:val="0"/>
      <w:marRight w:val="0"/>
      <w:marTop w:val="0"/>
      <w:marBottom w:val="0"/>
      <w:divBdr>
        <w:top w:val="none" w:sz="0" w:space="0" w:color="auto"/>
        <w:left w:val="none" w:sz="0" w:space="0" w:color="auto"/>
        <w:bottom w:val="none" w:sz="0" w:space="0" w:color="auto"/>
        <w:right w:val="none" w:sz="0" w:space="0" w:color="auto"/>
      </w:divBdr>
    </w:div>
    <w:div w:id="582449166">
      <w:bodyDiv w:val="1"/>
      <w:marLeft w:val="0"/>
      <w:marRight w:val="0"/>
      <w:marTop w:val="0"/>
      <w:marBottom w:val="0"/>
      <w:divBdr>
        <w:top w:val="none" w:sz="0" w:space="0" w:color="auto"/>
        <w:left w:val="none" w:sz="0" w:space="0" w:color="auto"/>
        <w:bottom w:val="none" w:sz="0" w:space="0" w:color="auto"/>
        <w:right w:val="none" w:sz="0" w:space="0" w:color="auto"/>
      </w:divBdr>
    </w:div>
    <w:div w:id="582766182">
      <w:bodyDiv w:val="1"/>
      <w:marLeft w:val="0"/>
      <w:marRight w:val="0"/>
      <w:marTop w:val="0"/>
      <w:marBottom w:val="0"/>
      <w:divBdr>
        <w:top w:val="none" w:sz="0" w:space="0" w:color="auto"/>
        <w:left w:val="none" w:sz="0" w:space="0" w:color="auto"/>
        <w:bottom w:val="none" w:sz="0" w:space="0" w:color="auto"/>
        <w:right w:val="none" w:sz="0" w:space="0" w:color="auto"/>
      </w:divBdr>
    </w:div>
    <w:div w:id="582881421">
      <w:bodyDiv w:val="1"/>
      <w:marLeft w:val="0"/>
      <w:marRight w:val="0"/>
      <w:marTop w:val="0"/>
      <w:marBottom w:val="0"/>
      <w:divBdr>
        <w:top w:val="none" w:sz="0" w:space="0" w:color="auto"/>
        <w:left w:val="none" w:sz="0" w:space="0" w:color="auto"/>
        <w:bottom w:val="none" w:sz="0" w:space="0" w:color="auto"/>
        <w:right w:val="none" w:sz="0" w:space="0" w:color="auto"/>
      </w:divBdr>
    </w:div>
    <w:div w:id="583221173">
      <w:bodyDiv w:val="1"/>
      <w:marLeft w:val="0"/>
      <w:marRight w:val="0"/>
      <w:marTop w:val="0"/>
      <w:marBottom w:val="0"/>
      <w:divBdr>
        <w:top w:val="none" w:sz="0" w:space="0" w:color="auto"/>
        <w:left w:val="none" w:sz="0" w:space="0" w:color="auto"/>
        <w:bottom w:val="none" w:sz="0" w:space="0" w:color="auto"/>
        <w:right w:val="none" w:sz="0" w:space="0" w:color="auto"/>
      </w:divBdr>
    </w:div>
    <w:div w:id="583416498">
      <w:bodyDiv w:val="1"/>
      <w:marLeft w:val="0"/>
      <w:marRight w:val="0"/>
      <w:marTop w:val="0"/>
      <w:marBottom w:val="0"/>
      <w:divBdr>
        <w:top w:val="none" w:sz="0" w:space="0" w:color="auto"/>
        <w:left w:val="none" w:sz="0" w:space="0" w:color="auto"/>
        <w:bottom w:val="none" w:sz="0" w:space="0" w:color="auto"/>
        <w:right w:val="none" w:sz="0" w:space="0" w:color="auto"/>
      </w:divBdr>
    </w:div>
    <w:div w:id="583993096">
      <w:bodyDiv w:val="1"/>
      <w:marLeft w:val="0"/>
      <w:marRight w:val="0"/>
      <w:marTop w:val="0"/>
      <w:marBottom w:val="0"/>
      <w:divBdr>
        <w:top w:val="none" w:sz="0" w:space="0" w:color="auto"/>
        <w:left w:val="none" w:sz="0" w:space="0" w:color="auto"/>
        <w:bottom w:val="none" w:sz="0" w:space="0" w:color="auto"/>
        <w:right w:val="none" w:sz="0" w:space="0" w:color="auto"/>
      </w:divBdr>
    </w:div>
    <w:div w:id="584077121">
      <w:bodyDiv w:val="1"/>
      <w:marLeft w:val="0"/>
      <w:marRight w:val="0"/>
      <w:marTop w:val="0"/>
      <w:marBottom w:val="0"/>
      <w:divBdr>
        <w:top w:val="none" w:sz="0" w:space="0" w:color="auto"/>
        <w:left w:val="none" w:sz="0" w:space="0" w:color="auto"/>
        <w:bottom w:val="none" w:sz="0" w:space="0" w:color="auto"/>
        <w:right w:val="none" w:sz="0" w:space="0" w:color="auto"/>
      </w:divBdr>
    </w:div>
    <w:div w:id="584263314">
      <w:bodyDiv w:val="1"/>
      <w:marLeft w:val="0"/>
      <w:marRight w:val="0"/>
      <w:marTop w:val="0"/>
      <w:marBottom w:val="0"/>
      <w:divBdr>
        <w:top w:val="none" w:sz="0" w:space="0" w:color="auto"/>
        <w:left w:val="none" w:sz="0" w:space="0" w:color="auto"/>
        <w:bottom w:val="none" w:sz="0" w:space="0" w:color="auto"/>
        <w:right w:val="none" w:sz="0" w:space="0" w:color="auto"/>
      </w:divBdr>
    </w:div>
    <w:div w:id="585044106">
      <w:bodyDiv w:val="1"/>
      <w:marLeft w:val="0"/>
      <w:marRight w:val="0"/>
      <w:marTop w:val="0"/>
      <w:marBottom w:val="0"/>
      <w:divBdr>
        <w:top w:val="none" w:sz="0" w:space="0" w:color="auto"/>
        <w:left w:val="none" w:sz="0" w:space="0" w:color="auto"/>
        <w:bottom w:val="none" w:sz="0" w:space="0" w:color="auto"/>
        <w:right w:val="none" w:sz="0" w:space="0" w:color="auto"/>
      </w:divBdr>
    </w:div>
    <w:div w:id="585573117">
      <w:bodyDiv w:val="1"/>
      <w:marLeft w:val="0"/>
      <w:marRight w:val="0"/>
      <w:marTop w:val="0"/>
      <w:marBottom w:val="0"/>
      <w:divBdr>
        <w:top w:val="none" w:sz="0" w:space="0" w:color="auto"/>
        <w:left w:val="none" w:sz="0" w:space="0" w:color="auto"/>
        <w:bottom w:val="none" w:sz="0" w:space="0" w:color="auto"/>
        <w:right w:val="none" w:sz="0" w:space="0" w:color="auto"/>
      </w:divBdr>
    </w:div>
    <w:div w:id="585842910">
      <w:bodyDiv w:val="1"/>
      <w:marLeft w:val="0"/>
      <w:marRight w:val="0"/>
      <w:marTop w:val="0"/>
      <w:marBottom w:val="0"/>
      <w:divBdr>
        <w:top w:val="none" w:sz="0" w:space="0" w:color="auto"/>
        <w:left w:val="none" w:sz="0" w:space="0" w:color="auto"/>
        <w:bottom w:val="none" w:sz="0" w:space="0" w:color="auto"/>
        <w:right w:val="none" w:sz="0" w:space="0" w:color="auto"/>
      </w:divBdr>
    </w:div>
    <w:div w:id="585918190">
      <w:bodyDiv w:val="1"/>
      <w:marLeft w:val="0"/>
      <w:marRight w:val="0"/>
      <w:marTop w:val="0"/>
      <w:marBottom w:val="0"/>
      <w:divBdr>
        <w:top w:val="none" w:sz="0" w:space="0" w:color="auto"/>
        <w:left w:val="none" w:sz="0" w:space="0" w:color="auto"/>
        <w:bottom w:val="none" w:sz="0" w:space="0" w:color="auto"/>
        <w:right w:val="none" w:sz="0" w:space="0" w:color="auto"/>
      </w:divBdr>
    </w:div>
    <w:div w:id="585965534">
      <w:bodyDiv w:val="1"/>
      <w:marLeft w:val="0"/>
      <w:marRight w:val="0"/>
      <w:marTop w:val="0"/>
      <w:marBottom w:val="0"/>
      <w:divBdr>
        <w:top w:val="none" w:sz="0" w:space="0" w:color="auto"/>
        <w:left w:val="none" w:sz="0" w:space="0" w:color="auto"/>
        <w:bottom w:val="none" w:sz="0" w:space="0" w:color="auto"/>
        <w:right w:val="none" w:sz="0" w:space="0" w:color="auto"/>
      </w:divBdr>
    </w:div>
    <w:div w:id="586160181">
      <w:bodyDiv w:val="1"/>
      <w:marLeft w:val="0"/>
      <w:marRight w:val="0"/>
      <w:marTop w:val="0"/>
      <w:marBottom w:val="0"/>
      <w:divBdr>
        <w:top w:val="none" w:sz="0" w:space="0" w:color="auto"/>
        <w:left w:val="none" w:sz="0" w:space="0" w:color="auto"/>
        <w:bottom w:val="none" w:sz="0" w:space="0" w:color="auto"/>
        <w:right w:val="none" w:sz="0" w:space="0" w:color="auto"/>
      </w:divBdr>
    </w:div>
    <w:div w:id="586381410">
      <w:bodyDiv w:val="1"/>
      <w:marLeft w:val="0"/>
      <w:marRight w:val="0"/>
      <w:marTop w:val="0"/>
      <w:marBottom w:val="0"/>
      <w:divBdr>
        <w:top w:val="none" w:sz="0" w:space="0" w:color="auto"/>
        <w:left w:val="none" w:sz="0" w:space="0" w:color="auto"/>
        <w:bottom w:val="none" w:sz="0" w:space="0" w:color="auto"/>
        <w:right w:val="none" w:sz="0" w:space="0" w:color="auto"/>
      </w:divBdr>
    </w:div>
    <w:div w:id="586573262">
      <w:bodyDiv w:val="1"/>
      <w:marLeft w:val="0"/>
      <w:marRight w:val="0"/>
      <w:marTop w:val="0"/>
      <w:marBottom w:val="0"/>
      <w:divBdr>
        <w:top w:val="none" w:sz="0" w:space="0" w:color="auto"/>
        <w:left w:val="none" w:sz="0" w:space="0" w:color="auto"/>
        <w:bottom w:val="none" w:sz="0" w:space="0" w:color="auto"/>
        <w:right w:val="none" w:sz="0" w:space="0" w:color="auto"/>
      </w:divBdr>
    </w:div>
    <w:div w:id="586885853">
      <w:bodyDiv w:val="1"/>
      <w:marLeft w:val="0"/>
      <w:marRight w:val="0"/>
      <w:marTop w:val="0"/>
      <w:marBottom w:val="0"/>
      <w:divBdr>
        <w:top w:val="none" w:sz="0" w:space="0" w:color="auto"/>
        <w:left w:val="none" w:sz="0" w:space="0" w:color="auto"/>
        <w:bottom w:val="none" w:sz="0" w:space="0" w:color="auto"/>
        <w:right w:val="none" w:sz="0" w:space="0" w:color="auto"/>
      </w:divBdr>
    </w:div>
    <w:div w:id="587807911">
      <w:bodyDiv w:val="1"/>
      <w:marLeft w:val="0"/>
      <w:marRight w:val="0"/>
      <w:marTop w:val="0"/>
      <w:marBottom w:val="0"/>
      <w:divBdr>
        <w:top w:val="none" w:sz="0" w:space="0" w:color="auto"/>
        <w:left w:val="none" w:sz="0" w:space="0" w:color="auto"/>
        <w:bottom w:val="none" w:sz="0" w:space="0" w:color="auto"/>
        <w:right w:val="none" w:sz="0" w:space="0" w:color="auto"/>
      </w:divBdr>
    </w:div>
    <w:div w:id="588002427">
      <w:bodyDiv w:val="1"/>
      <w:marLeft w:val="0"/>
      <w:marRight w:val="0"/>
      <w:marTop w:val="0"/>
      <w:marBottom w:val="0"/>
      <w:divBdr>
        <w:top w:val="none" w:sz="0" w:space="0" w:color="auto"/>
        <w:left w:val="none" w:sz="0" w:space="0" w:color="auto"/>
        <w:bottom w:val="none" w:sz="0" w:space="0" w:color="auto"/>
        <w:right w:val="none" w:sz="0" w:space="0" w:color="auto"/>
      </w:divBdr>
    </w:div>
    <w:div w:id="588075272">
      <w:bodyDiv w:val="1"/>
      <w:marLeft w:val="0"/>
      <w:marRight w:val="0"/>
      <w:marTop w:val="0"/>
      <w:marBottom w:val="0"/>
      <w:divBdr>
        <w:top w:val="none" w:sz="0" w:space="0" w:color="auto"/>
        <w:left w:val="none" w:sz="0" w:space="0" w:color="auto"/>
        <w:bottom w:val="none" w:sz="0" w:space="0" w:color="auto"/>
        <w:right w:val="none" w:sz="0" w:space="0" w:color="auto"/>
      </w:divBdr>
    </w:div>
    <w:div w:id="588082351">
      <w:bodyDiv w:val="1"/>
      <w:marLeft w:val="0"/>
      <w:marRight w:val="0"/>
      <w:marTop w:val="0"/>
      <w:marBottom w:val="0"/>
      <w:divBdr>
        <w:top w:val="none" w:sz="0" w:space="0" w:color="auto"/>
        <w:left w:val="none" w:sz="0" w:space="0" w:color="auto"/>
        <w:bottom w:val="none" w:sz="0" w:space="0" w:color="auto"/>
        <w:right w:val="none" w:sz="0" w:space="0" w:color="auto"/>
      </w:divBdr>
    </w:div>
    <w:div w:id="588126533">
      <w:bodyDiv w:val="1"/>
      <w:marLeft w:val="0"/>
      <w:marRight w:val="0"/>
      <w:marTop w:val="0"/>
      <w:marBottom w:val="0"/>
      <w:divBdr>
        <w:top w:val="none" w:sz="0" w:space="0" w:color="auto"/>
        <w:left w:val="none" w:sz="0" w:space="0" w:color="auto"/>
        <w:bottom w:val="none" w:sz="0" w:space="0" w:color="auto"/>
        <w:right w:val="none" w:sz="0" w:space="0" w:color="auto"/>
      </w:divBdr>
    </w:div>
    <w:div w:id="588735624">
      <w:bodyDiv w:val="1"/>
      <w:marLeft w:val="0"/>
      <w:marRight w:val="0"/>
      <w:marTop w:val="0"/>
      <w:marBottom w:val="0"/>
      <w:divBdr>
        <w:top w:val="none" w:sz="0" w:space="0" w:color="auto"/>
        <w:left w:val="none" w:sz="0" w:space="0" w:color="auto"/>
        <w:bottom w:val="none" w:sz="0" w:space="0" w:color="auto"/>
        <w:right w:val="none" w:sz="0" w:space="0" w:color="auto"/>
      </w:divBdr>
    </w:div>
    <w:div w:id="588808150">
      <w:bodyDiv w:val="1"/>
      <w:marLeft w:val="0"/>
      <w:marRight w:val="0"/>
      <w:marTop w:val="0"/>
      <w:marBottom w:val="0"/>
      <w:divBdr>
        <w:top w:val="none" w:sz="0" w:space="0" w:color="auto"/>
        <w:left w:val="none" w:sz="0" w:space="0" w:color="auto"/>
        <w:bottom w:val="none" w:sz="0" w:space="0" w:color="auto"/>
        <w:right w:val="none" w:sz="0" w:space="0" w:color="auto"/>
      </w:divBdr>
    </w:div>
    <w:div w:id="588974856">
      <w:bodyDiv w:val="1"/>
      <w:marLeft w:val="0"/>
      <w:marRight w:val="0"/>
      <w:marTop w:val="0"/>
      <w:marBottom w:val="0"/>
      <w:divBdr>
        <w:top w:val="none" w:sz="0" w:space="0" w:color="auto"/>
        <w:left w:val="none" w:sz="0" w:space="0" w:color="auto"/>
        <w:bottom w:val="none" w:sz="0" w:space="0" w:color="auto"/>
        <w:right w:val="none" w:sz="0" w:space="0" w:color="auto"/>
      </w:divBdr>
    </w:div>
    <w:div w:id="589196554">
      <w:bodyDiv w:val="1"/>
      <w:marLeft w:val="0"/>
      <w:marRight w:val="0"/>
      <w:marTop w:val="0"/>
      <w:marBottom w:val="0"/>
      <w:divBdr>
        <w:top w:val="none" w:sz="0" w:space="0" w:color="auto"/>
        <w:left w:val="none" w:sz="0" w:space="0" w:color="auto"/>
        <w:bottom w:val="none" w:sz="0" w:space="0" w:color="auto"/>
        <w:right w:val="none" w:sz="0" w:space="0" w:color="auto"/>
      </w:divBdr>
    </w:div>
    <w:div w:id="589854509">
      <w:bodyDiv w:val="1"/>
      <w:marLeft w:val="0"/>
      <w:marRight w:val="0"/>
      <w:marTop w:val="0"/>
      <w:marBottom w:val="0"/>
      <w:divBdr>
        <w:top w:val="none" w:sz="0" w:space="0" w:color="auto"/>
        <w:left w:val="none" w:sz="0" w:space="0" w:color="auto"/>
        <w:bottom w:val="none" w:sz="0" w:space="0" w:color="auto"/>
        <w:right w:val="none" w:sz="0" w:space="0" w:color="auto"/>
      </w:divBdr>
    </w:div>
    <w:div w:id="590086484">
      <w:bodyDiv w:val="1"/>
      <w:marLeft w:val="0"/>
      <w:marRight w:val="0"/>
      <w:marTop w:val="0"/>
      <w:marBottom w:val="0"/>
      <w:divBdr>
        <w:top w:val="none" w:sz="0" w:space="0" w:color="auto"/>
        <w:left w:val="none" w:sz="0" w:space="0" w:color="auto"/>
        <w:bottom w:val="none" w:sz="0" w:space="0" w:color="auto"/>
        <w:right w:val="none" w:sz="0" w:space="0" w:color="auto"/>
      </w:divBdr>
    </w:div>
    <w:div w:id="590091762">
      <w:bodyDiv w:val="1"/>
      <w:marLeft w:val="0"/>
      <w:marRight w:val="0"/>
      <w:marTop w:val="0"/>
      <w:marBottom w:val="0"/>
      <w:divBdr>
        <w:top w:val="none" w:sz="0" w:space="0" w:color="auto"/>
        <w:left w:val="none" w:sz="0" w:space="0" w:color="auto"/>
        <w:bottom w:val="none" w:sz="0" w:space="0" w:color="auto"/>
        <w:right w:val="none" w:sz="0" w:space="0" w:color="auto"/>
      </w:divBdr>
    </w:div>
    <w:div w:id="590117963">
      <w:bodyDiv w:val="1"/>
      <w:marLeft w:val="0"/>
      <w:marRight w:val="0"/>
      <w:marTop w:val="0"/>
      <w:marBottom w:val="0"/>
      <w:divBdr>
        <w:top w:val="none" w:sz="0" w:space="0" w:color="auto"/>
        <w:left w:val="none" w:sz="0" w:space="0" w:color="auto"/>
        <w:bottom w:val="none" w:sz="0" w:space="0" w:color="auto"/>
        <w:right w:val="none" w:sz="0" w:space="0" w:color="auto"/>
      </w:divBdr>
    </w:div>
    <w:div w:id="590551053">
      <w:bodyDiv w:val="1"/>
      <w:marLeft w:val="0"/>
      <w:marRight w:val="0"/>
      <w:marTop w:val="0"/>
      <w:marBottom w:val="0"/>
      <w:divBdr>
        <w:top w:val="none" w:sz="0" w:space="0" w:color="auto"/>
        <w:left w:val="none" w:sz="0" w:space="0" w:color="auto"/>
        <w:bottom w:val="none" w:sz="0" w:space="0" w:color="auto"/>
        <w:right w:val="none" w:sz="0" w:space="0" w:color="auto"/>
      </w:divBdr>
    </w:div>
    <w:div w:id="590553618">
      <w:bodyDiv w:val="1"/>
      <w:marLeft w:val="0"/>
      <w:marRight w:val="0"/>
      <w:marTop w:val="0"/>
      <w:marBottom w:val="0"/>
      <w:divBdr>
        <w:top w:val="none" w:sz="0" w:space="0" w:color="auto"/>
        <w:left w:val="none" w:sz="0" w:space="0" w:color="auto"/>
        <w:bottom w:val="none" w:sz="0" w:space="0" w:color="auto"/>
        <w:right w:val="none" w:sz="0" w:space="0" w:color="auto"/>
      </w:divBdr>
    </w:div>
    <w:div w:id="591204964">
      <w:bodyDiv w:val="1"/>
      <w:marLeft w:val="0"/>
      <w:marRight w:val="0"/>
      <w:marTop w:val="0"/>
      <w:marBottom w:val="0"/>
      <w:divBdr>
        <w:top w:val="none" w:sz="0" w:space="0" w:color="auto"/>
        <w:left w:val="none" w:sz="0" w:space="0" w:color="auto"/>
        <w:bottom w:val="none" w:sz="0" w:space="0" w:color="auto"/>
        <w:right w:val="none" w:sz="0" w:space="0" w:color="auto"/>
      </w:divBdr>
    </w:div>
    <w:div w:id="591821262">
      <w:bodyDiv w:val="1"/>
      <w:marLeft w:val="0"/>
      <w:marRight w:val="0"/>
      <w:marTop w:val="0"/>
      <w:marBottom w:val="0"/>
      <w:divBdr>
        <w:top w:val="none" w:sz="0" w:space="0" w:color="auto"/>
        <w:left w:val="none" w:sz="0" w:space="0" w:color="auto"/>
        <w:bottom w:val="none" w:sz="0" w:space="0" w:color="auto"/>
        <w:right w:val="none" w:sz="0" w:space="0" w:color="auto"/>
      </w:divBdr>
    </w:div>
    <w:div w:id="592932769">
      <w:bodyDiv w:val="1"/>
      <w:marLeft w:val="0"/>
      <w:marRight w:val="0"/>
      <w:marTop w:val="0"/>
      <w:marBottom w:val="0"/>
      <w:divBdr>
        <w:top w:val="none" w:sz="0" w:space="0" w:color="auto"/>
        <w:left w:val="none" w:sz="0" w:space="0" w:color="auto"/>
        <w:bottom w:val="none" w:sz="0" w:space="0" w:color="auto"/>
        <w:right w:val="none" w:sz="0" w:space="0" w:color="auto"/>
      </w:divBdr>
    </w:div>
    <w:div w:id="593128412">
      <w:bodyDiv w:val="1"/>
      <w:marLeft w:val="0"/>
      <w:marRight w:val="0"/>
      <w:marTop w:val="0"/>
      <w:marBottom w:val="0"/>
      <w:divBdr>
        <w:top w:val="none" w:sz="0" w:space="0" w:color="auto"/>
        <w:left w:val="none" w:sz="0" w:space="0" w:color="auto"/>
        <w:bottom w:val="none" w:sz="0" w:space="0" w:color="auto"/>
        <w:right w:val="none" w:sz="0" w:space="0" w:color="auto"/>
      </w:divBdr>
    </w:div>
    <w:div w:id="593319409">
      <w:bodyDiv w:val="1"/>
      <w:marLeft w:val="0"/>
      <w:marRight w:val="0"/>
      <w:marTop w:val="0"/>
      <w:marBottom w:val="0"/>
      <w:divBdr>
        <w:top w:val="none" w:sz="0" w:space="0" w:color="auto"/>
        <w:left w:val="none" w:sz="0" w:space="0" w:color="auto"/>
        <w:bottom w:val="none" w:sz="0" w:space="0" w:color="auto"/>
        <w:right w:val="none" w:sz="0" w:space="0" w:color="auto"/>
      </w:divBdr>
    </w:div>
    <w:div w:id="593443968">
      <w:bodyDiv w:val="1"/>
      <w:marLeft w:val="0"/>
      <w:marRight w:val="0"/>
      <w:marTop w:val="0"/>
      <w:marBottom w:val="0"/>
      <w:divBdr>
        <w:top w:val="none" w:sz="0" w:space="0" w:color="auto"/>
        <w:left w:val="none" w:sz="0" w:space="0" w:color="auto"/>
        <w:bottom w:val="none" w:sz="0" w:space="0" w:color="auto"/>
        <w:right w:val="none" w:sz="0" w:space="0" w:color="auto"/>
      </w:divBdr>
    </w:div>
    <w:div w:id="593827965">
      <w:bodyDiv w:val="1"/>
      <w:marLeft w:val="0"/>
      <w:marRight w:val="0"/>
      <w:marTop w:val="0"/>
      <w:marBottom w:val="0"/>
      <w:divBdr>
        <w:top w:val="none" w:sz="0" w:space="0" w:color="auto"/>
        <w:left w:val="none" w:sz="0" w:space="0" w:color="auto"/>
        <w:bottom w:val="none" w:sz="0" w:space="0" w:color="auto"/>
        <w:right w:val="none" w:sz="0" w:space="0" w:color="auto"/>
      </w:divBdr>
    </w:div>
    <w:div w:id="593977660">
      <w:bodyDiv w:val="1"/>
      <w:marLeft w:val="0"/>
      <w:marRight w:val="0"/>
      <w:marTop w:val="0"/>
      <w:marBottom w:val="0"/>
      <w:divBdr>
        <w:top w:val="none" w:sz="0" w:space="0" w:color="auto"/>
        <w:left w:val="none" w:sz="0" w:space="0" w:color="auto"/>
        <w:bottom w:val="none" w:sz="0" w:space="0" w:color="auto"/>
        <w:right w:val="none" w:sz="0" w:space="0" w:color="auto"/>
      </w:divBdr>
    </w:div>
    <w:div w:id="594749611">
      <w:bodyDiv w:val="1"/>
      <w:marLeft w:val="0"/>
      <w:marRight w:val="0"/>
      <w:marTop w:val="0"/>
      <w:marBottom w:val="0"/>
      <w:divBdr>
        <w:top w:val="none" w:sz="0" w:space="0" w:color="auto"/>
        <w:left w:val="none" w:sz="0" w:space="0" w:color="auto"/>
        <w:bottom w:val="none" w:sz="0" w:space="0" w:color="auto"/>
        <w:right w:val="none" w:sz="0" w:space="0" w:color="auto"/>
      </w:divBdr>
    </w:div>
    <w:div w:id="595554125">
      <w:bodyDiv w:val="1"/>
      <w:marLeft w:val="0"/>
      <w:marRight w:val="0"/>
      <w:marTop w:val="0"/>
      <w:marBottom w:val="0"/>
      <w:divBdr>
        <w:top w:val="none" w:sz="0" w:space="0" w:color="auto"/>
        <w:left w:val="none" w:sz="0" w:space="0" w:color="auto"/>
        <w:bottom w:val="none" w:sz="0" w:space="0" w:color="auto"/>
        <w:right w:val="none" w:sz="0" w:space="0" w:color="auto"/>
      </w:divBdr>
    </w:div>
    <w:div w:id="595558015">
      <w:bodyDiv w:val="1"/>
      <w:marLeft w:val="0"/>
      <w:marRight w:val="0"/>
      <w:marTop w:val="0"/>
      <w:marBottom w:val="0"/>
      <w:divBdr>
        <w:top w:val="none" w:sz="0" w:space="0" w:color="auto"/>
        <w:left w:val="none" w:sz="0" w:space="0" w:color="auto"/>
        <w:bottom w:val="none" w:sz="0" w:space="0" w:color="auto"/>
        <w:right w:val="none" w:sz="0" w:space="0" w:color="auto"/>
      </w:divBdr>
    </w:div>
    <w:div w:id="595795090">
      <w:bodyDiv w:val="1"/>
      <w:marLeft w:val="0"/>
      <w:marRight w:val="0"/>
      <w:marTop w:val="0"/>
      <w:marBottom w:val="0"/>
      <w:divBdr>
        <w:top w:val="none" w:sz="0" w:space="0" w:color="auto"/>
        <w:left w:val="none" w:sz="0" w:space="0" w:color="auto"/>
        <w:bottom w:val="none" w:sz="0" w:space="0" w:color="auto"/>
        <w:right w:val="none" w:sz="0" w:space="0" w:color="auto"/>
      </w:divBdr>
    </w:div>
    <w:div w:id="595943863">
      <w:bodyDiv w:val="1"/>
      <w:marLeft w:val="0"/>
      <w:marRight w:val="0"/>
      <w:marTop w:val="0"/>
      <w:marBottom w:val="0"/>
      <w:divBdr>
        <w:top w:val="none" w:sz="0" w:space="0" w:color="auto"/>
        <w:left w:val="none" w:sz="0" w:space="0" w:color="auto"/>
        <w:bottom w:val="none" w:sz="0" w:space="0" w:color="auto"/>
        <w:right w:val="none" w:sz="0" w:space="0" w:color="auto"/>
      </w:divBdr>
    </w:div>
    <w:div w:id="596327617">
      <w:bodyDiv w:val="1"/>
      <w:marLeft w:val="0"/>
      <w:marRight w:val="0"/>
      <w:marTop w:val="0"/>
      <w:marBottom w:val="0"/>
      <w:divBdr>
        <w:top w:val="none" w:sz="0" w:space="0" w:color="auto"/>
        <w:left w:val="none" w:sz="0" w:space="0" w:color="auto"/>
        <w:bottom w:val="none" w:sz="0" w:space="0" w:color="auto"/>
        <w:right w:val="none" w:sz="0" w:space="0" w:color="auto"/>
      </w:divBdr>
    </w:div>
    <w:div w:id="596912391">
      <w:bodyDiv w:val="1"/>
      <w:marLeft w:val="0"/>
      <w:marRight w:val="0"/>
      <w:marTop w:val="0"/>
      <w:marBottom w:val="0"/>
      <w:divBdr>
        <w:top w:val="none" w:sz="0" w:space="0" w:color="auto"/>
        <w:left w:val="none" w:sz="0" w:space="0" w:color="auto"/>
        <w:bottom w:val="none" w:sz="0" w:space="0" w:color="auto"/>
        <w:right w:val="none" w:sz="0" w:space="0" w:color="auto"/>
      </w:divBdr>
    </w:div>
    <w:div w:id="597098707">
      <w:bodyDiv w:val="1"/>
      <w:marLeft w:val="0"/>
      <w:marRight w:val="0"/>
      <w:marTop w:val="0"/>
      <w:marBottom w:val="0"/>
      <w:divBdr>
        <w:top w:val="none" w:sz="0" w:space="0" w:color="auto"/>
        <w:left w:val="none" w:sz="0" w:space="0" w:color="auto"/>
        <w:bottom w:val="none" w:sz="0" w:space="0" w:color="auto"/>
        <w:right w:val="none" w:sz="0" w:space="0" w:color="auto"/>
      </w:divBdr>
    </w:div>
    <w:div w:id="597521834">
      <w:bodyDiv w:val="1"/>
      <w:marLeft w:val="0"/>
      <w:marRight w:val="0"/>
      <w:marTop w:val="0"/>
      <w:marBottom w:val="0"/>
      <w:divBdr>
        <w:top w:val="none" w:sz="0" w:space="0" w:color="auto"/>
        <w:left w:val="none" w:sz="0" w:space="0" w:color="auto"/>
        <w:bottom w:val="none" w:sz="0" w:space="0" w:color="auto"/>
        <w:right w:val="none" w:sz="0" w:space="0" w:color="auto"/>
      </w:divBdr>
    </w:div>
    <w:div w:id="597639354">
      <w:bodyDiv w:val="1"/>
      <w:marLeft w:val="0"/>
      <w:marRight w:val="0"/>
      <w:marTop w:val="0"/>
      <w:marBottom w:val="0"/>
      <w:divBdr>
        <w:top w:val="none" w:sz="0" w:space="0" w:color="auto"/>
        <w:left w:val="none" w:sz="0" w:space="0" w:color="auto"/>
        <w:bottom w:val="none" w:sz="0" w:space="0" w:color="auto"/>
        <w:right w:val="none" w:sz="0" w:space="0" w:color="auto"/>
      </w:divBdr>
    </w:div>
    <w:div w:id="597908136">
      <w:bodyDiv w:val="1"/>
      <w:marLeft w:val="0"/>
      <w:marRight w:val="0"/>
      <w:marTop w:val="0"/>
      <w:marBottom w:val="0"/>
      <w:divBdr>
        <w:top w:val="none" w:sz="0" w:space="0" w:color="auto"/>
        <w:left w:val="none" w:sz="0" w:space="0" w:color="auto"/>
        <w:bottom w:val="none" w:sz="0" w:space="0" w:color="auto"/>
        <w:right w:val="none" w:sz="0" w:space="0" w:color="auto"/>
      </w:divBdr>
    </w:div>
    <w:div w:id="597909607">
      <w:bodyDiv w:val="1"/>
      <w:marLeft w:val="0"/>
      <w:marRight w:val="0"/>
      <w:marTop w:val="0"/>
      <w:marBottom w:val="0"/>
      <w:divBdr>
        <w:top w:val="none" w:sz="0" w:space="0" w:color="auto"/>
        <w:left w:val="none" w:sz="0" w:space="0" w:color="auto"/>
        <w:bottom w:val="none" w:sz="0" w:space="0" w:color="auto"/>
        <w:right w:val="none" w:sz="0" w:space="0" w:color="auto"/>
      </w:divBdr>
    </w:div>
    <w:div w:id="598177073">
      <w:bodyDiv w:val="1"/>
      <w:marLeft w:val="0"/>
      <w:marRight w:val="0"/>
      <w:marTop w:val="0"/>
      <w:marBottom w:val="0"/>
      <w:divBdr>
        <w:top w:val="none" w:sz="0" w:space="0" w:color="auto"/>
        <w:left w:val="none" w:sz="0" w:space="0" w:color="auto"/>
        <w:bottom w:val="none" w:sz="0" w:space="0" w:color="auto"/>
        <w:right w:val="none" w:sz="0" w:space="0" w:color="auto"/>
      </w:divBdr>
    </w:div>
    <w:div w:id="598951752">
      <w:bodyDiv w:val="1"/>
      <w:marLeft w:val="0"/>
      <w:marRight w:val="0"/>
      <w:marTop w:val="0"/>
      <w:marBottom w:val="0"/>
      <w:divBdr>
        <w:top w:val="none" w:sz="0" w:space="0" w:color="auto"/>
        <w:left w:val="none" w:sz="0" w:space="0" w:color="auto"/>
        <w:bottom w:val="none" w:sz="0" w:space="0" w:color="auto"/>
        <w:right w:val="none" w:sz="0" w:space="0" w:color="auto"/>
      </w:divBdr>
    </w:div>
    <w:div w:id="599408504">
      <w:bodyDiv w:val="1"/>
      <w:marLeft w:val="0"/>
      <w:marRight w:val="0"/>
      <w:marTop w:val="0"/>
      <w:marBottom w:val="0"/>
      <w:divBdr>
        <w:top w:val="none" w:sz="0" w:space="0" w:color="auto"/>
        <w:left w:val="none" w:sz="0" w:space="0" w:color="auto"/>
        <w:bottom w:val="none" w:sz="0" w:space="0" w:color="auto"/>
        <w:right w:val="none" w:sz="0" w:space="0" w:color="auto"/>
      </w:divBdr>
    </w:div>
    <w:div w:id="599410142">
      <w:bodyDiv w:val="1"/>
      <w:marLeft w:val="0"/>
      <w:marRight w:val="0"/>
      <w:marTop w:val="0"/>
      <w:marBottom w:val="0"/>
      <w:divBdr>
        <w:top w:val="none" w:sz="0" w:space="0" w:color="auto"/>
        <w:left w:val="none" w:sz="0" w:space="0" w:color="auto"/>
        <w:bottom w:val="none" w:sz="0" w:space="0" w:color="auto"/>
        <w:right w:val="none" w:sz="0" w:space="0" w:color="auto"/>
      </w:divBdr>
    </w:div>
    <w:div w:id="599530110">
      <w:bodyDiv w:val="1"/>
      <w:marLeft w:val="0"/>
      <w:marRight w:val="0"/>
      <w:marTop w:val="0"/>
      <w:marBottom w:val="0"/>
      <w:divBdr>
        <w:top w:val="none" w:sz="0" w:space="0" w:color="auto"/>
        <w:left w:val="none" w:sz="0" w:space="0" w:color="auto"/>
        <w:bottom w:val="none" w:sz="0" w:space="0" w:color="auto"/>
        <w:right w:val="none" w:sz="0" w:space="0" w:color="auto"/>
      </w:divBdr>
    </w:div>
    <w:div w:id="599799362">
      <w:bodyDiv w:val="1"/>
      <w:marLeft w:val="0"/>
      <w:marRight w:val="0"/>
      <w:marTop w:val="0"/>
      <w:marBottom w:val="0"/>
      <w:divBdr>
        <w:top w:val="none" w:sz="0" w:space="0" w:color="auto"/>
        <w:left w:val="none" w:sz="0" w:space="0" w:color="auto"/>
        <w:bottom w:val="none" w:sz="0" w:space="0" w:color="auto"/>
        <w:right w:val="none" w:sz="0" w:space="0" w:color="auto"/>
      </w:divBdr>
    </w:div>
    <w:div w:id="600339873">
      <w:bodyDiv w:val="1"/>
      <w:marLeft w:val="0"/>
      <w:marRight w:val="0"/>
      <w:marTop w:val="0"/>
      <w:marBottom w:val="0"/>
      <w:divBdr>
        <w:top w:val="none" w:sz="0" w:space="0" w:color="auto"/>
        <w:left w:val="none" w:sz="0" w:space="0" w:color="auto"/>
        <w:bottom w:val="none" w:sz="0" w:space="0" w:color="auto"/>
        <w:right w:val="none" w:sz="0" w:space="0" w:color="auto"/>
      </w:divBdr>
    </w:div>
    <w:div w:id="600722953">
      <w:bodyDiv w:val="1"/>
      <w:marLeft w:val="0"/>
      <w:marRight w:val="0"/>
      <w:marTop w:val="0"/>
      <w:marBottom w:val="0"/>
      <w:divBdr>
        <w:top w:val="none" w:sz="0" w:space="0" w:color="auto"/>
        <w:left w:val="none" w:sz="0" w:space="0" w:color="auto"/>
        <w:bottom w:val="none" w:sz="0" w:space="0" w:color="auto"/>
        <w:right w:val="none" w:sz="0" w:space="0" w:color="auto"/>
      </w:divBdr>
    </w:div>
    <w:div w:id="600914673">
      <w:bodyDiv w:val="1"/>
      <w:marLeft w:val="0"/>
      <w:marRight w:val="0"/>
      <w:marTop w:val="0"/>
      <w:marBottom w:val="0"/>
      <w:divBdr>
        <w:top w:val="none" w:sz="0" w:space="0" w:color="auto"/>
        <w:left w:val="none" w:sz="0" w:space="0" w:color="auto"/>
        <w:bottom w:val="none" w:sz="0" w:space="0" w:color="auto"/>
        <w:right w:val="none" w:sz="0" w:space="0" w:color="auto"/>
      </w:divBdr>
    </w:div>
    <w:div w:id="600994857">
      <w:bodyDiv w:val="1"/>
      <w:marLeft w:val="0"/>
      <w:marRight w:val="0"/>
      <w:marTop w:val="0"/>
      <w:marBottom w:val="0"/>
      <w:divBdr>
        <w:top w:val="none" w:sz="0" w:space="0" w:color="auto"/>
        <w:left w:val="none" w:sz="0" w:space="0" w:color="auto"/>
        <w:bottom w:val="none" w:sz="0" w:space="0" w:color="auto"/>
        <w:right w:val="none" w:sz="0" w:space="0" w:color="auto"/>
      </w:divBdr>
    </w:div>
    <w:div w:id="602032364">
      <w:bodyDiv w:val="1"/>
      <w:marLeft w:val="0"/>
      <w:marRight w:val="0"/>
      <w:marTop w:val="0"/>
      <w:marBottom w:val="0"/>
      <w:divBdr>
        <w:top w:val="none" w:sz="0" w:space="0" w:color="auto"/>
        <w:left w:val="none" w:sz="0" w:space="0" w:color="auto"/>
        <w:bottom w:val="none" w:sz="0" w:space="0" w:color="auto"/>
        <w:right w:val="none" w:sz="0" w:space="0" w:color="auto"/>
      </w:divBdr>
    </w:div>
    <w:div w:id="602109040">
      <w:bodyDiv w:val="1"/>
      <w:marLeft w:val="0"/>
      <w:marRight w:val="0"/>
      <w:marTop w:val="0"/>
      <w:marBottom w:val="0"/>
      <w:divBdr>
        <w:top w:val="none" w:sz="0" w:space="0" w:color="auto"/>
        <w:left w:val="none" w:sz="0" w:space="0" w:color="auto"/>
        <w:bottom w:val="none" w:sz="0" w:space="0" w:color="auto"/>
        <w:right w:val="none" w:sz="0" w:space="0" w:color="auto"/>
      </w:divBdr>
    </w:div>
    <w:div w:id="602419483">
      <w:bodyDiv w:val="1"/>
      <w:marLeft w:val="0"/>
      <w:marRight w:val="0"/>
      <w:marTop w:val="0"/>
      <w:marBottom w:val="0"/>
      <w:divBdr>
        <w:top w:val="none" w:sz="0" w:space="0" w:color="auto"/>
        <w:left w:val="none" w:sz="0" w:space="0" w:color="auto"/>
        <w:bottom w:val="none" w:sz="0" w:space="0" w:color="auto"/>
        <w:right w:val="none" w:sz="0" w:space="0" w:color="auto"/>
      </w:divBdr>
    </w:div>
    <w:div w:id="602613558">
      <w:bodyDiv w:val="1"/>
      <w:marLeft w:val="0"/>
      <w:marRight w:val="0"/>
      <w:marTop w:val="0"/>
      <w:marBottom w:val="0"/>
      <w:divBdr>
        <w:top w:val="none" w:sz="0" w:space="0" w:color="auto"/>
        <w:left w:val="none" w:sz="0" w:space="0" w:color="auto"/>
        <w:bottom w:val="none" w:sz="0" w:space="0" w:color="auto"/>
        <w:right w:val="none" w:sz="0" w:space="0" w:color="auto"/>
      </w:divBdr>
    </w:div>
    <w:div w:id="602684441">
      <w:bodyDiv w:val="1"/>
      <w:marLeft w:val="0"/>
      <w:marRight w:val="0"/>
      <w:marTop w:val="0"/>
      <w:marBottom w:val="0"/>
      <w:divBdr>
        <w:top w:val="none" w:sz="0" w:space="0" w:color="auto"/>
        <w:left w:val="none" w:sz="0" w:space="0" w:color="auto"/>
        <w:bottom w:val="none" w:sz="0" w:space="0" w:color="auto"/>
        <w:right w:val="none" w:sz="0" w:space="0" w:color="auto"/>
      </w:divBdr>
    </w:div>
    <w:div w:id="602693353">
      <w:bodyDiv w:val="1"/>
      <w:marLeft w:val="0"/>
      <w:marRight w:val="0"/>
      <w:marTop w:val="0"/>
      <w:marBottom w:val="0"/>
      <w:divBdr>
        <w:top w:val="none" w:sz="0" w:space="0" w:color="auto"/>
        <w:left w:val="none" w:sz="0" w:space="0" w:color="auto"/>
        <w:bottom w:val="none" w:sz="0" w:space="0" w:color="auto"/>
        <w:right w:val="none" w:sz="0" w:space="0" w:color="auto"/>
      </w:divBdr>
    </w:div>
    <w:div w:id="602766133">
      <w:bodyDiv w:val="1"/>
      <w:marLeft w:val="0"/>
      <w:marRight w:val="0"/>
      <w:marTop w:val="0"/>
      <w:marBottom w:val="0"/>
      <w:divBdr>
        <w:top w:val="none" w:sz="0" w:space="0" w:color="auto"/>
        <w:left w:val="none" w:sz="0" w:space="0" w:color="auto"/>
        <w:bottom w:val="none" w:sz="0" w:space="0" w:color="auto"/>
        <w:right w:val="none" w:sz="0" w:space="0" w:color="auto"/>
      </w:divBdr>
    </w:div>
    <w:div w:id="602882832">
      <w:bodyDiv w:val="1"/>
      <w:marLeft w:val="0"/>
      <w:marRight w:val="0"/>
      <w:marTop w:val="0"/>
      <w:marBottom w:val="0"/>
      <w:divBdr>
        <w:top w:val="none" w:sz="0" w:space="0" w:color="auto"/>
        <w:left w:val="none" w:sz="0" w:space="0" w:color="auto"/>
        <w:bottom w:val="none" w:sz="0" w:space="0" w:color="auto"/>
        <w:right w:val="none" w:sz="0" w:space="0" w:color="auto"/>
      </w:divBdr>
    </w:div>
    <w:div w:id="602997270">
      <w:bodyDiv w:val="1"/>
      <w:marLeft w:val="0"/>
      <w:marRight w:val="0"/>
      <w:marTop w:val="0"/>
      <w:marBottom w:val="0"/>
      <w:divBdr>
        <w:top w:val="none" w:sz="0" w:space="0" w:color="auto"/>
        <w:left w:val="none" w:sz="0" w:space="0" w:color="auto"/>
        <w:bottom w:val="none" w:sz="0" w:space="0" w:color="auto"/>
        <w:right w:val="none" w:sz="0" w:space="0" w:color="auto"/>
      </w:divBdr>
    </w:div>
    <w:div w:id="603224179">
      <w:bodyDiv w:val="1"/>
      <w:marLeft w:val="0"/>
      <w:marRight w:val="0"/>
      <w:marTop w:val="0"/>
      <w:marBottom w:val="0"/>
      <w:divBdr>
        <w:top w:val="none" w:sz="0" w:space="0" w:color="auto"/>
        <w:left w:val="none" w:sz="0" w:space="0" w:color="auto"/>
        <w:bottom w:val="none" w:sz="0" w:space="0" w:color="auto"/>
        <w:right w:val="none" w:sz="0" w:space="0" w:color="auto"/>
      </w:divBdr>
    </w:div>
    <w:div w:id="603734069">
      <w:bodyDiv w:val="1"/>
      <w:marLeft w:val="0"/>
      <w:marRight w:val="0"/>
      <w:marTop w:val="0"/>
      <w:marBottom w:val="0"/>
      <w:divBdr>
        <w:top w:val="none" w:sz="0" w:space="0" w:color="auto"/>
        <w:left w:val="none" w:sz="0" w:space="0" w:color="auto"/>
        <w:bottom w:val="none" w:sz="0" w:space="0" w:color="auto"/>
        <w:right w:val="none" w:sz="0" w:space="0" w:color="auto"/>
      </w:divBdr>
    </w:div>
    <w:div w:id="604114725">
      <w:bodyDiv w:val="1"/>
      <w:marLeft w:val="0"/>
      <w:marRight w:val="0"/>
      <w:marTop w:val="0"/>
      <w:marBottom w:val="0"/>
      <w:divBdr>
        <w:top w:val="none" w:sz="0" w:space="0" w:color="auto"/>
        <w:left w:val="none" w:sz="0" w:space="0" w:color="auto"/>
        <w:bottom w:val="none" w:sz="0" w:space="0" w:color="auto"/>
        <w:right w:val="none" w:sz="0" w:space="0" w:color="auto"/>
      </w:divBdr>
    </w:div>
    <w:div w:id="604188907">
      <w:bodyDiv w:val="1"/>
      <w:marLeft w:val="0"/>
      <w:marRight w:val="0"/>
      <w:marTop w:val="0"/>
      <w:marBottom w:val="0"/>
      <w:divBdr>
        <w:top w:val="none" w:sz="0" w:space="0" w:color="auto"/>
        <w:left w:val="none" w:sz="0" w:space="0" w:color="auto"/>
        <w:bottom w:val="none" w:sz="0" w:space="0" w:color="auto"/>
        <w:right w:val="none" w:sz="0" w:space="0" w:color="auto"/>
      </w:divBdr>
    </w:div>
    <w:div w:id="605112058">
      <w:bodyDiv w:val="1"/>
      <w:marLeft w:val="0"/>
      <w:marRight w:val="0"/>
      <w:marTop w:val="0"/>
      <w:marBottom w:val="0"/>
      <w:divBdr>
        <w:top w:val="none" w:sz="0" w:space="0" w:color="auto"/>
        <w:left w:val="none" w:sz="0" w:space="0" w:color="auto"/>
        <w:bottom w:val="none" w:sz="0" w:space="0" w:color="auto"/>
        <w:right w:val="none" w:sz="0" w:space="0" w:color="auto"/>
      </w:divBdr>
    </w:div>
    <w:div w:id="605188870">
      <w:bodyDiv w:val="1"/>
      <w:marLeft w:val="0"/>
      <w:marRight w:val="0"/>
      <w:marTop w:val="0"/>
      <w:marBottom w:val="0"/>
      <w:divBdr>
        <w:top w:val="none" w:sz="0" w:space="0" w:color="auto"/>
        <w:left w:val="none" w:sz="0" w:space="0" w:color="auto"/>
        <w:bottom w:val="none" w:sz="0" w:space="0" w:color="auto"/>
        <w:right w:val="none" w:sz="0" w:space="0" w:color="auto"/>
      </w:divBdr>
    </w:div>
    <w:div w:id="605230388">
      <w:bodyDiv w:val="1"/>
      <w:marLeft w:val="0"/>
      <w:marRight w:val="0"/>
      <w:marTop w:val="0"/>
      <w:marBottom w:val="0"/>
      <w:divBdr>
        <w:top w:val="none" w:sz="0" w:space="0" w:color="auto"/>
        <w:left w:val="none" w:sz="0" w:space="0" w:color="auto"/>
        <w:bottom w:val="none" w:sz="0" w:space="0" w:color="auto"/>
        <w:right w:val="none" w:sz="0" w:space="0" w:color="auto"/>
      </w:divBdr>
    </w:div>
    <w:div w:id="605622609">
      <w:bodyDiv w:val="1"/>
      <w:marLeft w:val="0"/>
      <w:marRight w:val="0"/>
      <w:marTop w:val="0"/>
      <w:marBottom w:val="0"/>
      <w:divBdr>
        <w:top w:val="none" w:sz="0" w:space="0" w:color="auto"/>
        <w:left w:val="none" w:sz="0" w:space="0" w:color="auto"/>
        <w:bottom w:val="none" w:sz="0" w:space="0" w:color="auto"/>
        <w:right w:val="none" w:sz="0" w:space="0" w:color="auto"/>
      </w:divBdr>
    </w:div>
    <w:div w:id="606347381">
      <w:bodyDiv w:val="1"/>
      <w:marLeft w:val="0"/>
      <w:marRight w:val="0"/>
      <w:marTop w:val="0"/>
      <w:marBottom w:val="0"/>
      <w:divBdr>
        <w:top w:val="none" w:sz="0" w:space="0" w:color="auto"/>
        <w:left w:val="none" w:sz="0" w:space="0" w:color="auto"/>
        <w:bottom w:val="none" w:sz="0" w:space="0" w:color="auto"/>
        <w:right w:val="none" w:sz="0" w:space="0" w:color="auto"/>
      </w:divBdr>
    </w:div>
    <w:div w:id="606616083">
      <w:bodyDiv w:val="1"/>
      <w:marLeft w:val="0"/>
      <w:marRight w:val="0"/>
      <w:marTop w:val="0"/>
      <w:marBottom w:val="0"/>
      <w:divBdr>
        <w:top w:val="none" w:sz="0" w:space="0" w:color="auto"/>
        <w:left w:val="none" w:sz="0" w:space="0" w:color="auto"/>
        <w:bottom w:val="none" w:sz="0" w:space="0" w:color="auto"/>
        <w:right w:val="none" w:sz="0" w:space="0" w:color="auto"/>
      </w:divBdr>
    </w:div>
    <w:div w:id="606616600">
      <w:bodyDiv w:val="1"/>
      <w:marLeft w:val="0"/>
      <w:marRight w:val="0"/>
      <w:marTop w:val="0"/>
      <w:marBottom w:val="0"/>
      <w:divBdr>
        <w:top w:val="none" w:sz="0" w:space="0" w:color="auto"/>
        <w:left w:val="none" w:sz="0" w:space="0" w:color="auto"/>
        <w:bottom w:val="none" w:sz="0" w:space="0" w:color="auto"/>
        <w:right w:val="none" w:sz="0" w:space="0" w:color="auto"/>
      </w:divBdr>
    </w:div>
    <w:div w:id="606624525">
      <w:bodyDiv w:val="1"/>
      <w:marLeft w:val="0"/>
      <w:marRight w:val="0"/>
      <w:marTop w:val="0"/>
      <w:marBottom w:val="0"/>
      <w:divBdr>
        <w:top w:val="none" w:sz="0" w:space="0" w:color="auto"/>
        <w:left w:val="none" w:sz="0" w:space="0" w:color="auto"/>
        <w:bottom w:val="none" w:sz="0" w:space="0" w:color="auto"/>
        <w:right w:val="none" w:sz="0" w:space="0" w:color="auto"/>
      </w:divBdr>
    </w:div>
    <w:div w:id="607665578">
      <w:bodyDiv w:val="1"/>
      <w:marLeft w:val="0"/>
      <w:marRight w:val="0"/>
      <w:marTop w:val="0"/>
      <w:marBottom w:val="0"/>
      <w:divBdr>
        <w:top w:val="none" w:sz="0" w:space="0" w:color="auto"/>
        <w:left w:val="none" w:sz="0" w:space="0" w:color="auto"/>
        <w:bottom w:val="none" w:sz="0" w:space="0" w:color="auto"/>
        <w:right w:val="none" w:sz="0" w:space="0" w:color="auto"/>
      </w:divBdr>
    </w:div>
    <w:div w:id="607926742">
      <w:bodyDiv w:val="1"/>
      <w:marLeft w:val="0"/>
      <w:marRight w:val="0"/>
      <w:marTop w:val="0"/>
      <w:marBottom w:val="0"/>
      <w:divBdr>
        <w:top w:val="none" w:sz="0" w:space="0" w:color="auto"/>
        <w:left w:val="none" w:sz="0" w:space="0" w:color="auto"/>
        <w:bottom w:val="none" w:sz="0" w:space="0" w:color="auto"/>
        <w:right w:val="none" w:sz="0" w:space="0" w:color="auto"/>
      </w:divBdr>
    </w:div>
    <w:div w:id="608390763">
      <w:bodyDiv w:val="1"/>
      <w:marLeft w:val="0"/>
      <w:marRight w:val="0"/>
      <w:marTop w:val="0"/>
      <w:marBottom w:val="0"/>
      <w:divBdr>
        <w:top w:val="none" w:sz="0" w:space="0" w:color="auto"/>
        <w:left w:val="none" w:sz="0" w:space="0" w:color="auto"/>
        <w:bottom w:val="none" w:sz="0" w:space="0" w:color="auto"/>
        <w:right w:val="none" w:sz="0" w:space="0" w:color="auto"/>
      </w:divBdr>
    </w:div>
    <w:div w:id="609050825">
      <w:bodyDiv w:val="1"/>
      <w:marLeft w:val="0"/>
      <w:marRight w:val="0"/>
      <w:marTop w:val="0"/>
      <w:marBottom w:val="0"/>
      <w:divBdr>
        <w:top w:val="none" w:sz="0" w:space="0" w:color="auto"/>
        <w:left w:val="none" w:sz="0" w:space="0" w:color="auto"/>
        <w:bottom w:val="none" w:sz="0" w:space="0" w:color="auto"/>
        <w:right w:val="none" w:sz="0" w:space="0" w:color="auto"/>
      </w:divBdr>
    </w:div>
    <w:div w:id="609749922">
      <w:bodyDiv w:val="1"/>
      <w:marLeft w:val="0"/>
      <w:marRight w:val="0"/>
      <w:marTop w:val="0"/>
      <w:marBottom w:val="0"/>
      <w:divBdr>
        <w:top w:val="none" w:sz="0" w:space="0" w:color="auto"/>
        <w:left w:val="none" w:sz="0" w:space="0" w:color="auto"/>
        <w:bottom w:val="none" w:sz="0" w:space="0" w:color="auto"/>
        <w:right w:val="none" w:sz="0" w:space="0" w:color="auto"/>
      </w:divBdr>
    </w:div>
    <w:div w:id="611208769">
      <w:bodyDiv w:val="1"/>
      <w:marLeft w:val="0"/>
      <w:marRight w:val="0"/>
      <w:marTop w:val="0"/>
      <w:marBottom w:val="0"/>
      <w:divBdr>
        <w:top w:val="none" w:sz="0" w:space="0" w:color="auto"/>
        <w:left w:val="none" w:sz="0" w:space="0" w:color="auto"/>
        <w:bottom w:val="none" w:sz="0" w:space="0" w:color="auto"/>
        <w:right w:val="none" w:sz="0" w:space="0" w:color="auto"/>
      </w:divBdr>
    </w:div>
    <w:div w:id="611405448">
      <w:bodyDiv w:val="1"/>
      <w:marLeft w:val="0"/>
      <w:marRight w:val="0"/>
      <w:marTop w:val="0"/>
      <w:marBottom w:val="0"/>
      <w:divBdr>
        <w:top w:val="none" w:sz="0" w:space="0" w:color="auto"/>
        <w:left w:val="none" w:sz="0" w:space="0" w:color="auto"/>
        <w:bottom w:val="none" w:sz="0" w:space="0" w:color="auto"/>
        <w:right w:val="none" w:sz="0" w:space="0" w:color="auto"/>
      </w:divBdr>
    </w:div>
    <w:div w:id="611859866">
      <w:bodyDiv w:val="1"/>
      <w:marLeft w:val="0"/>
      <w:marRight w:val="0"/>
      <w:marTop w:val="0"/>
      <w:marBottom w:val="0"/>
      <w:divBdr>
        <w:top w:val="none" w:sz="0" w:space="0" w:color="auto"/>
        <w:left w:val="none" w:sz="0" w:space="0" w:color="auto"/>
        <w:bottom w:val="none" w:sz="0" w:space="0" w:color="auto"/>
        <w:right w:val="none" w:sz="0" w:space="0" w:color="auto"/>
      </w:divBdr>
    </w:div>
    <w:div w:id="611979233">
      <w:bodyDiv w:val="1"/>
      <w:marLeft w:val="0"/>
      <w:marRight w:val="0"/>
      <w:marTop w:val="0"/>
      <w:marBottom w:val="0"/>
      <w:divBdr>
        <w:top w:val="none" w:sz="0" w:space="0" w:color="auto"/>
        <w:left w:val="none" w:sz="0" w:space="0" w:color="auto"/>
        <w:bottom w:val="none" w:sz="0" w:space="0" w:color="auto"/>
        <w:right w:val="none" w:sz="0" w:space="0" w:color="auto"/>
      </w:divBdr>
    </w:div>
    <w:div w:id="612829802">
      <w:bodyDiv w:val="1"/>
      <w:marLeft w:val="0"/>
      <w:marRight w:val="0"/>
      <w:marTop w:val="0"/>
      <w:marBottom w:val="0"/>
      <w:divBdr>
        <w:top w:val="none" w:sz="0" w:space="0" w:color="auto"/>
        <w:left w:val="none" w:sz="0" w:space="0" w:color="auto"/>
        <w:bottom w:val="none" w:sz="0" w:space="0" w:color="auto"/>
        <w:right w:val="none" w:sz="0" w:space="0" w:color="auto"/>
      </w:divBdr>
    </w:div>
    <w:div w:id="613244898">
      <w:bodyDiv w:val="1"/>
      <w:marLeft w:val="0"/>
      <w:marRight w:val="0"/>
      <w:marTop w:val="0"/>
      <w:marBottom w:val="0"/>
      <w:divBdr>
        <w:top w:val="none" w:sz="0" w:space="0" w:color="auto"/>
        <w:left w:val="none" w:sz="0" w:space="0" w:color="auto"/>
        <w:bottom w:val="none" w:sz="0" w:space="0" w:color="auto"/>
        <w:right w:val="none" w:sz="0" w:space="0" w:color="auto"/>
      </w:divBdr>
    </w:div>
    <w:div w:id="613362122">
      <w:bodyDiv w:val="1"/>
      <w:marLeft w:val="0"/>
      <w:marRight w:val="0"/>
      <w:marTop w:val="0"/>
      <w:marBottom w:val="0"/>
      <w:divBdr>
        <w:top w:val="none" w:sz="0" w:space="0" w:color="auto"/>
        <w:left w:val="none" w:sz="0" w:space="0" w:color="auto"/>
        <w:bottom w:val="none" w:sz="0" w:space="0" w:color="auto"/>
        <w:right w:val="none" w:sz="0" w:space="0" w:color="auto"/>
      </w:divBdr>
    </w:div>
    <w:div w:id="613437316">
      <w:bodyDiv w:val="1"/>
      <w:marLeft w:val="0"/>
      <w:marRight w:val="0"/>
      <w:marTop w:val="0"/>
      <w:marBottom w:val="0"/>
      <w:divBdr>
        <w:top w:val="none" w:sz="0" w:space="0" w:color="auto"/>
        <w:left w:val="none" w:sz="0" w:space="0" w:color="auto"/>
        <w:bottom w:val="none" w:sz="0" w:space="0" w:color="auto"/>
        <w:right w:val="none" w:sz="0" w:space="0" w:color="auto"/>
      </w:divBdr>
    </w:div>
    <w:div w:id="613513203">
      <w:bodyDiv w:val="1"/>
      <w:marLeft w:val="0"/>
      <w:marRight w:val="0"/>
      <w:marTop w:val="0"/>
      <w:marBottom w:val="0"/>
      <w:divBdr>
        <w:top w:val="none" w:sz="0" w:space="0" w:color="auto"/>
        <w:left w:val="none" w:sz="0" w:space="0" w:color="auto"/>
        <w:bottom w:val="none" w:sz="0" w:space="0" w:color="auto"/>
        <w:right w:val="none" w:sz="0" w:space="0" w:color="auto"/>
      </w:divBdr>
    </w:div>
    <w:div w:id="614293123">
      <w:bodyDiv w:val="1"/>
      <w:marLeft w:val="0"/>
      <w:marRight w:val="0"/>
      <w:marTop w:val="0"/>
      <w:marBottom w:val="0"/>
      <w:divBdr>
        <w:top w:val="none" w:sz="0" w:space="0" w:color="auto"/>
        <w:left w:val="none" w:sz="0" w:space="0" w:color="auto"/>
        <w:bottom w:val="none" w:sz="0" w:space="0" w:color="auto"/>
        <w:right w:val="none" w:sz="0" w:space="0" w:color="auto"/>
      </w:divBdr>
    </w:div>
    <w:div w:id="614366580">
      <w:bodyDiv w:val="1"/>
      <w:marLeft w:val="0"/>
      <w:marRight w:val="0"/>
      <w:marTop w:val="0"/>
      <w:marBottom w:val="0"/>
      <w:divBdr>
        <w:top w:val="none" w:sz="0" w:space="0" w:color="auto"/>
        <w:left w:val="none" w:sz="0" w:space="0" w:color="auto"/>
        <w:bottom w:val="none" w:sz="0" w:space="0" w:color="auto"/>
        <w:right w:val="none" w:sz="0" w:space="0" w:color="auto"/>
      </w:divBdr>
    </w:div>
    <w:div w:id="614748541">
      <w:bodyDiv w:val="1"/>
      <w:marLeft w:val="0"/>
      <w:marRight w:val="0"/>
      <w:marTop w:val="0"/>
      <w:marBottom w:val="0"/>
      <w:divBdr>
        <w:top w:val="none" w:sz="0" w:space="0" w:color="auto"/>
        <w:left w:val="none" w:sz="0" w:space="0" w:color="auto"/>
        <w:bottom w:val="none" w:sz="0" w:space="0" w:color="auto"/>
        <w:right w:val="none" w:sz="0" w:space="0" w:color="auto"/>
      </w:divBdr>
    </w:div>
    <w:div w:id="615253298">
      <w:bodyDiv w:val="1"/>
      <w:marLeft w:val="0"/>
      <w:marRight w:val="0"/>
      <w:marTop w:val="0"/>
      <w:marBottom w:val="0"/>
      <w:divBdr>
        <w:top w:val="none" w:sz="0" w:space="0" w:color="auto"/>
        <w:left w:val="none" w:sz="0" w:space="0" w:color="auto"/>
        <w:bottom w:val="none" w:sz="0" w:space="0" w:color="auto"/>
        <w:right w:val="none" w:sz="0" w:space="0" w:color="auto"/>
      </w:divBdr>
    </w:div>
    <w:div w:id="615871823">
      <w:bodyDiv w:val="1"/>
      <w:marLeft w:val="0"/>
      <w:marRight w:val="0"/>
      <w:marTop w:val="0"/>
      <w:marBottom w:val="0"/>
      <w:divBdr>
        <w:top w:val="none" w:sz="0" w:space="0" w:color="auto"/>
        <w:left w:val="none" w:sz="0" w:space="0" w:color="auto"/>
        <w:bottom w:val="none" w:sz="0" w:space="0" w:color="auto"/>
        <w:right w:val="none" w:sz="0" w:space="0" w:color="auto"/>
      </w:divBdr>
    </w:div>
    <w:div w:id="616447375">
      <w:bodyDiv w:val="1"/>
      <w:marLeft w:val="0"/>
      <w:marRight w:val="0"/>
      <w:marTop w:val="0"/>
      <w:marBottom w:val="0"/>
      <w:divBdr>
        <w:top w:val="none" w:sz="0" w:space="0" w:color="auto"/>
        <w:left w:val="none" w:sz="0" w:space="0" w:color="auto"/>
        <w:bottom w:val="none" w:sz="0" w:space="0" w:color="auto"/>
        <w:right w:val="none" w:sz="0" w:space="0" w:color="auto"/>
      </w:divBdr>
    </w:div>
    <w:div w:id="616763963">
      <w:bodyDiv w:val="1"/>
      <w:marLeft w:val="0"/>
      <w:marRight w:val="0"/>
      <w:marTop w:val="0"/>
      <w:marBottom w:val="0"/>
      <w:divBdr>
        <w:top w:val="none" w:sz="0" w:space="0" w:color="auto"/>
        <w:left w:val="none" w:sz="0" w:space="0" w:color="auto"/>
        <w:bottom w:val="none" w:sz="0" w:space="0" w:color="auto"/>
        <w:right w:val="none" w:sz="0" w:space="0" w:color="auto"/>
      </w:divBdr>
    </w:div>
    <w:div w:id="618075962">
      <w:bodyDiv w:val="1"/>
      <w:marLeft w:val="0"/>
      <w:marRight w:val="0"/>
      <w:marTop w:val="0"/>
      <w:marBottom w:val="0"/>
      <w:divBdr>
        <w:top w:val="none" w:sz="0" w:space="0" w:color="auto"/>
        <w:left w:val="none" w:sz="0" w:space="0" w:color="auto"/>
        <w:bottom w:val="none" w:sz="0" w:space="0" w:color="auto"/>
        <w:right w:val="none" w:sz="0" w:space="0" w:color="auto"/>
      </w:divBdr>
    </w:div>
    <w:div w:id="619071434">
      <w:bodyDiv w:val="1"/>
      <w:marLeft w:val="0"/>
      <w:marRight w:val="0"/>
      <w:marTop w:val="0"/>
      <w:marBottom w:val="0"/>
      <w:divBdr>
        <w:top w:val="none" w:sz="0" w:space="0" w:color="auto"/>
        <w:left w:val="none" w:sz="0" w:space="0" w:color="auto"/>
        <w:bottom w:val="none" w:sz="0" w:space="0" w:color="auto"/>
        <w:right w:val="none" w:sz="0" w:space="0" w:color="auto"/>
      </w:divBdr>
    </w:div>
    <w:div w:id="619266055">
      <w:bodyDiv w:val="1"/>
      <w:marLeft w:val="0"/>
      <w:marRight w:val="0"/>
      <w:marTop w:val="0"/>
      <w:marBottom w:val="0"/>
      <w:divBdr>
        <w:top w:val="none" w:sz="0" w:space="0" w:color="auto"/>
        <w:left w:val="none" w:sz="0" w:space="0" w:color="auto"/>
        <w:bottom w:val="none" w:sz="0" w:space="0" w:color="auto"/>
        <w:right w:val="none" w:sz="0" w:space="0" w:color="auto"/>
      </w:divBdr>
    </w:div>
    <w:div w:id="619267838">
      <w:bodyDiv w:val="1"/>
      <w:marLeft w:val="0"/>
      <w:marRight w:val="0"/>
      <w:marTop w:val="0"/>
      <w:marBottom w:val="0"/>
      <w:divBdr>
        <w:top w:val="none" w:sz="0" w:space="0" w:color="auto"/>
        <w:left w:val="none" w:sz="0" w:space="0" w:color="auto"/>
        <w:bottom w:val="none" w:sz="0" w:space="0" w:color="auto"/>
        <w:right w:val="none" w:sz="0" w:space="0" w:color="auto"/>
      </w:divBdr>
    </w:div>
    <w:div w:id="620116138">
      <w:bodyDiv w:val="1"/>
      <w:marLeft w:val="0"/>
      <w:marRight w:val="0"/>
      <w:marTop w:val="0"/>
      <w:marBottom w:val="0"/>
      <w:divBdr>
        <w:top w:val="none" w:sz="0" w:space="0" w:color="auto"/>
        <w:left w:val="none" w:sz="0" w:space="0" w:color="auto"/>
        <w:bottom w:val="none" w:sz="0" w:space="0" w:color="auto"/>
        <w:right w:val="none" w:sz="0" w:space="0" w:color="auto"/>
      </w:divBdr>
    </w:div>
    <w:div w:id="620890540">
      <w:bodyDiv w:val="1"/>
      <w:marLeft w:val="0"/>
      <w:marRight w:val="0"/>
      <w:marTop w:val="0"/>
      <w:marBottom w:val="0"/>
      <w:divBdr>
        <w:top w:val="none" w:sz="0" w:space="0" w:color="auto"/>
        <w:left w:val="none" w:sz="0" w:space="0" w:color="auto"/>
        <w:bottom w:val="none" w:sz="0" w:space="0" w:color="auto"/>
        <w:right w:val="none" w:sz="0" w:space="0" w:color="auto"/>
      </w:divBdr>
    </w:div>
    <w:div w:id="621037518">
      <w:bodyDiv w:val="1"/>
      <w:marLeft w:val="0"/>
      <w:marRight w:val="0"/>
      <w:marTop w:val="0"/>
      <w:marBottom w:val="0"/>
      <w:divBdr>
        <w:top w:val="none" w:sz="0" w:space="0" w:color="auto"/>
        <w:left w:val="none" w:sz="0" w:space="0" w:color="auto"/>
        <w:bottom w:val="none" w:sz="0" w:space="0" w:color="auto"/>
        <w:right w:val="none" w:sz="0" w:space="0" w:color="auto"/>
      </w:divBdr>
    </w:div>
    <w:div w:id="621309650">
      <w:bodyDiv w:val="1"/>
      <w:marLeft w:val="0"/>
      <w:marRight w:val="0"/>
      <w:marTop w:val="0"/>
      <w:marBottom w:val="0"/>
      <w:divBdr>
        <w:top w:val="none" w:sz="0" w:space="0" w:color="auto"/>
        <w:left w:val="none" w:sz="0" w:space="0" w:color="auto"/>
        <w:bottom w:val="none" w:sz="0" w:space="0" w:color="auto"/>
        <w:right w:val="none" w:sz="0" w:space="0" w:color="auto"/>
      </w:divBdr>
    </w:div>
    <w:div w:id="621427216">
      <w:bodyDiv w:val="1"/>
      <w:marLeft w:val="0"/>
      <w:marRight w:val="0"/>
      <w:marTop w:val="0"/>
      <w:marBottom w:val="0"/>
      <w:divBdr>
        <w:top w:val="none" w:sz="0" w:space="0" w:color="auto"/>
        <w:left w:val="none" w:sz="0" w:space="0" w:color="auto"/>
        <w:bottom w:val="none" w:sz="0" w:space="0" w:color="auto"/>
        <w:right w:val="none" w:sz="0" w:space="0" w:color="auto"/>
      </w:divBdr>
    </w:div>
    <w:div w:id="621497172">
      <w:bodyDiv w:val="1"/>
      <w:marLeft w:val="0"/>
      <w:marRight w:val="0"/>
      <w:marTop w:val="0"/>
      <w:marBottom w:val="0"/>
      <w:divBdr>
        <w:top w:val="none" w:sz="0" w:space="0" w:color="auto"/>
        <w:left w:val="none" w:sz="0" w:space="0" w:color="auto"/>
        <w:bottom w:val="none" w:sz="0" w:space="0" w:color="auto"/>
        <w:right w:val="none" w:sz="0" w:space="0" w:color="auto"/>
      </w:divBdr>
    </w:div>
    <w:div w:id="621620726">
      <w:bodyDiv w:val="1"/>
      <w:marLeft w:val="0"/>
      <w:marRight w:val="0"/>
      <w:marTop w:val="0"/>
      <w:marBottom w:val="0"/>
      <w:divBdr>
        <w:top w:val="none" w:sz="0" w:space="0" w:color="auto"/>
        <w:left w:val="none" w:sz="0" w:space="0" w:color="auto"/>
        <w:bottom w:val="none" w:sz="0" w:space="0" w:color="auto"/>
        <w:right w:val="none" w:sz="0" w:space="0" w:color="auto"/>
      </w:divBdr>
    </w:div>
    <w:div w:id="621765317">
      <w:bodyDiv w:val="1"/>
      <w:marLeft w:val="0"/>
      <w:marRight w:val="0"/>
      <w:marTop w:val="0"/>
      <w:marBottom w:val="0"/>
      <w:divBdr>
        <w:top w:val="none" w:sz="0" w:space="0" w:color="auto"/>
        <w:left w:val="none" w:sz="0" w:space="0" w:color="auto"/>
        <w:bottom w:val="none" w:sz="0" w:space="0" w:color="auto"/>
        <w:right w:val="none" w:sz="0" w:space="0" w:color="auto"/>
      </w:divBdr>
    </w:div>
    <w:div w:id="621767263">
      <w:bodyDiv w:val="1"/>
      <w:marLeft w:val="0"/>
      <w:marRight w:val="0"/>
      <w:marTop w:val="0"/>
      <w:marBottom w:val="0"/>
      <w:divBdr>
        <w:top w:val="none" w:sz="0" w:space="0" w:color="auto"/>
        <w:left w:val="none" w:sz="0" w:space="0" w:color="auto"/>
        <w:bottom w:val="none" w:sz="0" w:space="0" w:color="auto"/>
        <w:right w:val="none" w:sz="0" w:space="0" w:color="auto"/>
      </w:divBdr>
    </w:div>
    <w:div w:id="622467066">
      <w:bodyDiv w:val="1"/>
      <w:marLeft w:val="0"/>
      <w:marRight w:val="0"/>
      <w:marTop w:val="0"/>
      <w:marBottom w:val="0"/>
      <w:divBdr>
        <w:top w:val="none" w:sz="0" w:space="0" w:color="auto"/>
        <w:left w:val="none" w:sz="0" w:space="0" w:color="auto"/>
        <w:bottom w:val="none" w:sz="0" w:space="0" w:color="auto"/>
        <w:right w:val="none" w:sz="0" w:space="0" w:color="auto"/>
      </w:divBdr>
    </w:div>
    <w:div w:id="622688462">
      <w:bodyDiv w:val="1"/>
      <w:marLeft w:val="0"/>
      <w:marRight w:val="0"/>
      <w:marTop w:val="0"/>
      <w:marBottom w:val="0"/>
      <w:divBdr>
        <w:top w:val="none" w:sz="0" w:space="0" w:color="auto"/>
        <w:left w:val="none" w:sz="0" w:space="0" w:color="auto"/>
        <w:bottom w:val="none" w:sz="0" w:space="0" w:color="auto"/>
        <w:right w:val="none" w:sz="0" w:space="0" w:color="auto"/>
      </w:divBdr>
    </w:div>
    <w:div w:id="623077476">
      <w:bodyDiv w:val="1"/>
      <w:marLeft w:val="0"/>
      <w:marRight w:val="0"/>
      <w:marTop w:val="0"/>
      <w:marBottom w:val="0"/>
      <w:divBdr>
        <w:top w:val="none" w:sz="0" w:space="0" w:color="auto"/>
        <w:left w:val="none" w:sz="0" w:space="0" w:color="auto"/>
        <w:bottom w:val="none" w:sz="0" w:space="0" w:color="auto"/>
        <w:right w:val="none" w:sz="0" w:space="0" w:color="auto"/>
      </w:divBdr>
    </w:div>
    <w:div w:id="623079156">
      <w:bodyDiv w:val="1"/>
      <w:marLeft w:val="0"/>
      <w:marRight w:val="0"/>
      <w:marTop w:val="0"/>
      <w:marBottom w:val="0"/>
      <w:divBdr>
        <w:top w:val="none" w:sz="0" w:space="0" w:color="auto"/>
        <w:left w:val="none" w:sz="0" w:space="0" w:color="auto"/>
        <w:bottom w:val="none" w:sz="0" w:space="0" w:color="auto"/>
        <w:right w:val="none" w:sz="0" w:space="0" w:color="auto"/>
      </w:divBdr>
    </w:div>
    <w:div w:id="623733857">
      <w:bodyDiv w:val="1"/>
      <w:marLeft w:val="0"/>
      <w:marRight w:val="0"/>
      <w:marTop w:val="0"/>
      <w:marBottom w:val="0"/>
      <w:divBdr>
        <w:top w:val="none" w:sz="0" w:space="0" w:color="auto"/>
        <w:left w:val="none" w:sz="0" w:space="0" w:color="auto"/>
        <w:bottom w:val="none" w:sz="0" w:space="0" w:color="auto"/>
        <w:right w:val="none" w:sz="0" w:space="0" w:color="auto"/>
      </w:divBdr>
    </w:div>
    <w:div w:id="623775768">
      <w:bodyDiv w:val="1"/>
      <w:marLeft w:val="0"/>
      <w:marRight w:val="0"/>
      <w:marTop w:val="0"/>
      <w:marBottom w:val="0"/>
      <w:divBdr>
        <w:top w:val="none" w:sz="0" w:space="0" w:color="auto"/>
        <w:left w:val="none" w:sz="0" w:space="0" w:color="auto"/>
        <w:bottom w:val="none" w:sz="0" w:space="0" w:color="auto"/>
        <w:right w:val="none" w:sz="0" w:space="0" w:color="auto"/>
      </w:divBdr>
    </w:div>
    <w:div w:id="624165095">
      <w:bodyDiv w:val="1"/>
      <w:marLeft w:val="0"/>
      <w:marRight w:val="0"/>
      <w:marTop w:val="0"/>
      <w:marBottom w:val="0"/>
      <w:divBdr>
        <w:top w:val="none" w:sz="0" w:space="0" w:color="auto"/>
        <w:left w:val="none" w:sz="0" w:space="0" w:color="auto"/>
        <w:bottom w:val="none" w:sz="0" w:space="0" w:color="auto"/>
        <w:right w:val="none" w:sz="0" w:space="0" w:color="auto"/>
      </w:divBdr>
    </w:div>
    <w:div w:id="624235098">
      <w:bodyDiv w:val="1"/>
      <w:marLeft w:val="0"/>
      <w:marRight w:val="0"/>
      <w:marTop w:val="0"/>
      <w:marBottom w:val="0"/>
      <w:divBdr>
        <w:top w:val="none" w:sz="0" w:space="0" w:color="auto"/>
        <w:left w:val="none" w:sz="0" w:space="0" w:color="auto"/>
        <w:bottom w:val="none" w:sz="0" w:space="0" w:color="auto"/>
        <w:right w:val="none" w:sz="0" w:space="0" w:color="auto"/>
      </w:divBdr>
    </w:div>
    <w:div w:id="626157751">
      <w:bodyDiv w:val="1"/>
      <w:marLeft w:val="0"/>
      <w:marRight w:val="0"/>
      <w:marTop w:val="0"/>
      <w:marBottom w:val="0"/>
      <w:divBdr>
        <w:top w:val="none" w:sz="0" w:space="0" w:color="auto"/>
        <w:left w:val="none" w:sz="0" w:space="0" w:color="auto"/>
        <w:bottom w:val="none" w:sz="0" w:space="0" w:color="auto"/>
        <w:right w:val="none" w:sz="0" w:space="0" w:color="auto"/>
      </w:divBdr>
    </w:div>
    <w:div w:id="626203160">
      <w:bodyDiv w:val="1"/>
      <w:marLeft w:val="0"/>
      <w:marRight w:val="0"/>
      <w:marTop w:val="0"/>
      <w:marBottom w:val="0"/>
      <w:divBdr>
        <w:top w:val="none" w:sz="0" w:space="0" w:color="auto"/>
        <w:left w:val="none" w:sz="0" w:space="0" w:color="auto"/>
        <w:bottom w:val="none" w:sz="0" w:space="0" w:color="auto"/>
        <w:right w:val="none" w:sz="0" w:space="0" w:color="auto"/>
      </w:divBdr>
    </w:div>
    <w:div w:id="626545654">
      <w:bodyDiv w:val="1"/>
      <w:marLeft w:val="0"/>
      <w:marRight w:val="0"/>
      <w:marTop w:val="0"/>
      <w:marBottom w:val="0"/>
      <w:divBdr>
        <w:top w:val="none" w:sz="0" w:space="0" w:color="auto"/>
        <w:left w:val="none" w:sz="0" w:space="0" w:color="auto"/>
        <w:bottom w:val="none" w:sz="0" w:space="0" w:color="auto"/>
        <w:right w:val="none" w:sz="0" w:space="0" w:color="auto"/>
      </w:divBdr>
    </w:div>
    <w:div w:id="626551130">
      <w:bodyDiv w:val="1"/>
      <w:marLeft w:val="0"/>
      <w:marRight w:val="0"/>
      <w:marTop w:val="0"/>
      <w:marBottom w:val="0"/>
      <w:divBdr>
        <w:top w:val="none" w:sz="0" w:space="0" w:color="auto"/>
        <w:left w:val="none" w:sz="0" w:space="0" w:color="auto"/>
        <w:bottom w:val="none" w:sz="0" w:space="0" w:color="auto"/>
        <w:right w:val="none" w:sz="0" w:space="0" w:color="auto"/>
      </w:divBdr>
    </w:div>
    <w:div w:id="626661215">
      <w:bodyDiv w:val="1"/>
      <w:marLeft w:val="0"/>
      <w:marRight w:val="0"/>
      <w:marTop w:val="0"/>
      <w:marBottom w:val="0"/>
      <w:divBdr>
        <w:top w:val="none" w:sz="0" w:space="0" w:color="auto"/>
        <w:left w:val="none" w:sz="0" w:space="0" w:color="auto"/>
        <w:bottom w:val="none" w:sz="0" w:space="0" w:color="auto"/>
        <w:right w:val="none" w:sz="0" w:space="0" w:color="auto"/>
      </w:divBdr>
    </w:div>
    <w:div w:id="626816620">
      <w:bodyDiv w:val="1"/>
      <w:marLeft w:val="0"/>
      <w:marRight w:val="0"/>
      <w:marTop w:val="0"/>
      <w:marBottom w:val="0"/>
      <w:divBdr>
        <w:top w:val="none" w:sz="0" w:space="0" w:color="auto"/>
        <w:left w:val="none" w:sz="0" w:space="0" w:color="auto"/>
        <w:bottom w:val="none" w:sz="0" w:space="0" w:color="auto"/>
        <w:right w:val="none" w:sz="0" w:space="0" w:color="auto"/>
      </w:divBdr>
    </w:div>
    <w:div w:id="627123819">
      <w:bodyDiv w:val="1"/>
      <w:marLeft w:val="0"/>
      <w:marRight w:val="0"/>
      <w:marTop w:val="0"/>
      <w:marBottom w:val="0"/>
      <w:divBdr>
        <w:top w:val="none" w:sz="0" w:space="0" w:color="auto"/>
        <w:left w:val="none" w:sz="0" w:space="0" w:color="auto"/>
        <w:bottom w:val="none" w:sz="0" w:space="0" w:color="auto"/>
        <w:right w:val="none" w:sz="0" w:space="0" w:color="auto"/>
      </w:divBdr>
    </w:div>
    <w:div w:id="627468179">
      <w:bodyDiv w:val="1"/>
      <w:marLeft w:val="0"/>
      <w:marRight w:val="0"/>
      <w:marTop w:val="0"/>
      <w:marBottom w:val="0"/>
      <w:divBdr>
        <w:top w:val="none" w:sz="0" w:space="0" w:color="auto"/>
        <w:left w:val="none" w:sz="0" w:space="0" w:color="auto"/>
        <w:bottom w:val="none" w:sz="0" w:space="0" w:color="auto"/>
        <w:right w:val="none" w:sz="0" w:space="0" w:color="auto"/>
      </w:divBdr>
    </w:div>
    <w:div w:id="627784956">
      <w:bodyDiv w:val="1"/>
      <w:marLeft w:val="0"/>
      <w:marRight w:val="0"/>
      <w:marTop w:val="0"/>
      <w:marBottom w:val="0"/>
      <w:divBdr>
        <w:top w:val="none" w:sz="0" w:space="0" w:color="auto"/>
        <w:left w:val="none" w:sz="0" w:space="0" w:color="auto"/>
        <w:bottom w:val="none" w:sz="0" w:space="0" w:color="auto"/>
        <w:right w:val="none" w:sz="0" w:space="0" w:color="auto"/>
      </w:divBdr>
    </w:div>
    <w:div w:id="628168539">
      <w:bodyDiv w:val="1"/>
      <w:marLeft w:val="0"/>
      <w:marRight w:val="0"/>
      <w:marTop w:val="0"/>
      <w:marBottom w:val="0"/>
      <w:divBdr>
        <w:top w:val="none" w:sz="0" w:space="0" w:color="auto"/>
        <w:left w:val="none" w:sz="0" w:space="0" w:color="auto"/>
        <w:bottom w:val="none" w:sz="0" w:space="0" w:color="auto"/>
        <w:right w:val="none" w:sz="0" w:space="0" w:color="auto"/>
      </w:divBdr>
    </w:div>
    <w:div w:id="628555982">
      <w:bodyDiv w:val="1"/>
      <w:marLeft w:val="0"/>
      <w:marRight w:val="0"/>
      <w:marTop w:val="0"/>
      <w:marBottom w:val="0"/>
      <w:divBdr>
        <w:top w:val="none" w:sz="0" w:space="0" w:color="auto"/>
        <w:left w:val="none" w:sz="0" w:space="0" w:color="auto"/>
        <w:bottom w:val="none" w:sz="0" w:space="0" w:color="auto"/>
        <w:right w:val="none" w:sz="0" w:space="0" w:color="auto"/>
      </w:divBdr>
    </w:div>
    <w:div w:id="628706609">
      <w:bodyDiv w:val="1"/>
      <w:marLeft w:val="0"/>
      <w:marRight w:val="0"/>
      <w:marTop w:val="0"/>
      <w:marBottom w:val="0"/>
      <w:divBdr>
        <w:top w:val="none" w:sz="0" w:space="0" w:color="auto"/>
        <w:left w:val="none" w:sz="0" w:space="0" w:color="auto"/>
        <w:bottom w:val="none" w:sz="0" w:space="0" w:color="auto"/>
        <w:right w:val="none" w:sz="0" w:space="0" w:color="auto"/>
      </w:divBdr>
    </w:div>
    <w:div w:id="629363169">
      <w:bodyDiv w:val="1"/>
      <w:marLeft w:val="0"/>
      <w:marRight w:val="0"/>
      <w:marTop w:val="0"/>
      <w:marBottom w:val="0"/>
      <w:divBdr>
        <w:top w:val="none" w:sz="0" w:space="0" w:color="auto"/>
        <w:left w:val="none" w:sz="0" w:space="0" w:color="auto"/>
        <w:bottom w:val="none" w:sz="0" w:space="0" w:color="auto"/>
        <w:right w:val="none" w:sz="0" w:space="0" w:color="auto"/>
      </w:divBdr>
    </w:div>
    <w:div w:id="629629904">
      <w:bodyDiv w:val="1"/>
      <w:marLeft w:val="0"/>
      <w:marRight w:val="0"/>
      <w:marTop w:val="0"/>
      <w:marBottom w:val="0"/>
      <w:divBdr>
        <w:top w:val="none" w:sz="0" w:space="0" w:color="auto"/>
        <w:left w:val="none" w:sz="0" w:space="0" w:color="auto"/>
        <w:bottom w:val="none" w:sz="0" w:space="0" w:color="auto"/>
        <w:right w:val="none" w:sz="0" w:space="0" w:color="auto"/>
      </w:divBdr>
    </w:div>
    <w:div w:id="630014435">
      <w:bodyDiv w:val="1"/>
      <w:marLeft w:val="0"/>
      <w:marRight w:val="0"/>
      <w:marTop w:val="0"/>
      <w:marBottom w:val="0"/>
      <w:divBdr>
        <w:top w:val="none" w:sz="0" w:space="0" w:color="auto"/>
        <w:left w:val="none" w:sz="0" w:space="0" w:color="auto"/>
        <w:bottom w:val="none" w:sz="0" w:space="0" w:color="auto"/>
        <w:right w:val="none" w:sz="0" w:space="0" w:color="auto"/>
      </w:divBdr>
    </w:div>
    <w:div w:id="630285485">
      <w:bodyDiv w:val="1"/>
      <w:marLeft w:val="0"/>
      <w:marRight w:val="0"/>
      <w:marTop w:val="0"/>
      <w:marBottom w:val="0"/>
      <w:divBdr>
        <w:top w:val="none" w:sz="0" w:space="0" w:color="auto"/>
        <w:left w:val="none" w:sz="0" w:space="0" w:color="auto"/>
        <w:bottom w:val="none" w:sz="0" w:space="0" w:color="auto"/>
        <w:right w:val="none" w:sz="0" w:space="0" w:color="auto"/>
      </w:divBdr>
    </w:div>
    <w:div w:id="630751076">
      <w:bodyDiv w:val="1"/>
      <w:marLeft w:val="0"/>
      <w:marRight w:val="0"/>
      <w:marTop w:val="0"/>
      <w:marBottom w:val="0"/>
      <w:divBdr>
        <w:top w:val="none" w:sz="0" w:space="0" w:color="auto"/>
        <w:left w:val="none" w:sz="0" w:space="0" w:color="auto"/>
        <w:bottom w:val="none" w:sz="0" w:space="0" w:color="auto"/>
        <w:right w:val="none" w:sz="0" w:space="0" w:color="auto"/>
      </w:divBdr>
    </w:div>
    <w:div w:id="631446893">
      <w:bodyDiv w:val="1"/>
      <w:marLeft w:val="0"/>
      <w:marRight w:val="0"/>
      <w:marTop w:val="0"/>
      <w:marBottom w:val="0"/>
      <w:divBdr>
        <w:top w:val="none" w:sz="0" w:space="0" w:color="auto"/>
        <w:left w:val="none" w:sz="0" w:space="0" w:color="auto"/>
        <w:bottom w:val="none" w:sz="0" w:space="0" w:color="auto"/>
        <w:right w:val="none" w:sz="0" w:space="0" w:color="auto"/>
      </w:divBdr>
    </w:div>
    <w:div w:id="631599411">
      <w:bodyDiv w:val="1"/>
      <w:marLeft w:val="0"/>
      <w:marRight w:val="0"/>
      <w:marTop w:val="0"/>
      <w:marBottom w:val="0"/>
      <w:divBdr>
        <w:top w:val="none" w:sz="0" w:space="0" w:color="auto"/>
        <w:left w:val="none" w:sz="0" w:space="0" w:color="auto"/>
        <w:bottom w:val="none" w:sz="0" w:space="0" w:color="auto"/>
        <w:right w:val="none" w:sz="0" w:space="0" w:color="auto"/>
      </w:divBdr>
    </w:div>
    <w:div w:id="631903529">
      <w:bodyDiv w:val="1"/>
      <w:marLeft w:val="0"/>
      <w:marRight w:val="0"/>
      <w:marTop w:val="0"/>
      <w:marBottom w:val="0"/>
      <w:divBdr>
        <w:top w:val="none" w:sz="0" w:space="0" w:color="auto"/>
        <w:left w:val="none" w:sz="0" w:space="0" w:color="auto"/>
        <w:bottom w:val="none" w:sz="0" w:space="0" w:color="auto"/>
        <w:right w:val="none" w:sz="0" w:space="0" w:color="auto"/>
      </w:divBdr>
    </w:div>
    <w:div w:id="632096865">
      <w:bodyDiv w:val="1"/>
      <w:marLeft w:val="0"/>
      <w:marRight w:val="0"/>
      <w:marTop w:val="0"/>
      <w:marBottom w:val="0"/>
      <w:divBdr>
        <w:top w:val="none" w:sz="0" w:space="0" w:color="auto"/>
        <w:left w:val="none" w:sz="0" w:space="0" w:color="auto"/>
        <w:bottom w:val="none" w:sz="0" w:space="0" w:color="auto"/>
        <w:right w:val="none" w:sz="0" w:space="0" w:color="auto"/>
      </w:divBdr>
    </w:div>
    <w:div w:id="632254546">
      <w:bodyDiv w:val="1"/>
      <w:marLeft w:val="0"/>
      <w:marRight w:val="0"/>
      <w:marTop w:val="0"/>
      <w:marBottom w:val="0"/>
      <w:divBdr>
        <w:top w:val="none" w:sz="0" w:space="0" w:color="auto"/>
        <w:left w:val="none" w:sz="0" w:space="0" w:color="auto"/>
        <w:bottom w:val="none" w:sz="0" w:space="0" w:color="auto"/>
        <w:right w:val="none" w:sz="0" w:space="0" w:color="auto"/>
      </w:divBdr>
    </w:div>
    <w:div w:id="632448768">
      <w:bodyDiv w:val="1"/>
      <w:marLeft w:val="0"/>
      <w:marRight w:val="0"/>
      <w:marTop w:val="0"/>
      <w:marBottom w:val="0"/>
      <w:divBdr>
        <w:top w:val="none" w:sz="0" w:space="0" w:color="auto"/>
        <w:left w:val="none" w:sz="0" w:space="0" w:color="auto"/>
        <w:bottom w:val="none" w:sz="0" w:space="0" w:color="auto"/>
        <w:right w:val="none" w:sz="0" w:space="0" w:color="auto"/>
      </w:divBdr>
    </w:div>
    <w:div w:id="633100727">
      <w:bodyDiv w:val="1"/>
      <w:marLeft w:val="0"/>
      <w:marRight w:val="0"/>
      <w:marTop w:val="0"/>
      <w:marBottom w:val="0"/>
      <w:divBdr>
        <w:top w:val="none" w:sz="0" w:space="0" w:color="auto"/>
        <w:left w:val="none" w:sz="0" w:space="0" w:color="auto"/>
        <w:bottom w:val="none" w:sz="0" w:space="0" w:color="auto"/>
        <w:right w:val="none" w:sz="0" w:space="0" w:color="auto"/>
      </w:divBdr>
    </w:div>
    <w:div w:id="633363973">
      <w:bodyDiv w:val="1"/>
      <w:marLeft w:val="0"/>
      <w:marRight w:val="0"/>
      <w:marTop w:val="0"/>
      <w:marBottom w:val="0"/>
      <w:divBdr>
        <w:top w:val="none" w:sz="0" w:space="0" w:color="auto"/>
        <w:left w:val="none" w:sz="0" w:space="0" w:color="auto"/>
        <w:bottom w:val="none" w:sz="0" w:space="0" w:color="auto"/>
        <w:right w:val="none" w:sz="0" w:space="0" w:color="auto"/>
      </w:divBdr>
    </w:div>
    <w:div w:id="633490558">
      <w:bodyDiv w:val="1"/>
      <w:marLeft w:val="0"/>
      <w:marRight w:val="0"/>
      <w:marTop w:val="0"/>
      <w:marBottom w:val="0"/>
      <w:divBdr>
        <w:top w:val="none" w:sz="0" w:space="0" w:color="auto"/>
        <w:left w:val="none" w:sz="0" w:space="0" w:color="auto"/>
        <w:bottom w:val="none" w:sz="0" w:space="0" w:color="auto"/>
        <w:right w:val="none" w:sz="0" w:space="0" w:color="auto"/>
      </w:divBdr>
    </w:div>
    <w:div w:id="633873370">
      <w:bodyDiv w:val="1"/>
      <w:marLeft w:val="0"/>
      <w:marRight w:val="0"/>
      <w:marTop w:val="0"/>
      <w:marBottom w:val="0"/>
      <w:divBdr>
        <w:top w:val="none" w:sz="0" w:space="0" w:color="auto"/>
        <w:left w:val="none" w:sz="0" w:space="0" w:color="auto"/>
        <w:bottom w:val="none" w:sz="0" w:space="0" w:color="auto"/>
        <w:right w:val="none" w:sz="0" w:space="0" w:color="auto"/>
      </w:divBdr>
    </w:div>
    <w:div w:id="634068284">
      <w:bodyDiv w:val="1"/>
      <w:marLeft w:val="0"/>
      <w:marRight w:val="0"/>
      <w:marTop w:val="0"/>
      <w:marBottom w:val="0"/>
      <w:divBdr>
        <w:top w:val="none" w:sz="0" w:space="0" w:color="auto"/>
        <w:left w:val="none" w:sz="0" w:space="0" w:color="auto"/>
        <w:bottom w:val="none" w:sz="0" w:space="0" w:color="auto"/>
        <w:right w:val="none" w:sz="0" w:space="0" w:color="auto"/>
      </w:divBdr>
    </w:div>
    <w:div w:id="634485300">
      <w:bodyDiv w:val="1"/>
      <w:marLeft w:val="0"/>
      <w:marRight w:val="0"/>
      <w:marTop w:val="0"/>
      <w:marBottom w:val="0"/>
      <w:divBdr>
        <w:top w:val="none" w:sz="0" w:space="0" w:color="auto"/>
        <w:left w:val="none" w:sz="0" w:space="0" w:color="auto"/>
        <w:bottom w:val="none" w:sz="0" w:space="0" w:color="auto"/>
        <w:right w:val="none" w:sz="0" w:space="0" w:color="auto"/>
      </w:divBdr>
    </w:div>
    <w:div w:id="634869579">
      <w:bodyDiv w:val="1"/>
      <w:marLeft w:val="0"/>
      <w:marRight w:val="0"/>
      <w:marTop w:val="0"/>
      <w:marBottom w:val="0"/>
      <w:divBdr>
        <w:top w:val="none" w:sz="0" w:space="0" w:color="auto"/>
        <w:left w:val="none" w:sz="0" w:space="0" w:color="auto"/>
        <w:bottom w:val="none" w:sz="0" w:space="0" w:color="auto"/>
        <w:right w:val="none" w:sz="0" w:space="0" w:color="auto"/>
      </w:divBdr>
    </w:div>
    <w:div w:id="635376630">
      <w:bodyDiv w:val="1"/>
      <w:marLeft w:val="0"/>
      <w:marRight w:val="0"/>
      <w:marTop w:val="0"/>
      <w:marBottom w:val="0"/>
      <w:divBdr>
        <w:top w:val="none" w:sz="0" w:space="0" w:color="auto"/>
        <w:left w:val="none" w:sz="0" w:space="0" w:color="auto"/>
        <w:bottom w:val="none" w:sz="0" w:space="0" w:color="auto"/>
        <w:right w:val="none" w:sz="0" w:space="0" w:color="auto"/>
      </w:divBdr>
    </w:div>
    <w:div w:id="636182642">
      <w:bodyDiv w:val="1"/>
      <w:marLeft w:val="0"/>
      <w:marRight w:val="0"/>
      <w:marTop w:val="0"/>
      <w:marBottom w:val="0"/>
      <w:divBdr>
        <w:top w:val="none" w:sz="0" w:space="0" w:color="auto"/>
        <w:left w:val="none" w:sz="0" w:space="0" w:color="auto"/>
        <w:bottom w:val="none" w:sz="0" w:space="0" w:color="auto"/>
        <w:right w:val="none" w:sz="0" w:space="0" w:color="auto"/>
      </w:divBdr>
    </w:div>
    <w:div w:id="636254694">
      <w:bodyDiv w:val="1"/>
      <w:marLeft w:val="0"/>
      <w:marRight w:val="0"/>
      <w:marTop w:val="0"/>
      <w:marBottom w:val="0"/>
      <w:divBdr>
        <w:top w:val="none" w:sz="0" w:space="0" w:color="auto"/>
        <w:left w:val="none" w:sz="0" w:space="0" w:color="auto"/>
        <w:bottom w:val="none" w:sz="0" w:space="0" w:color="auto"/>
        <w:right w:val="none" w:sz="0" w:space="0" w:color="auto"/>
      </w:divBdr>
    </w:div>
    <w:div w:id="638189880">
      <w:bodyDiv w:val="1"/>
      <w:marLeft w:val="0"/>
      <w:marRight w:val="0"/>
      <w:marTop w:val="0"/>
      <w:marBottom w:val="0"/>
      <w:divBdr>
        <w:top w:val="none" w:sz="0" w:space="0" w:color="auto"/>
        <w:left w:val="none" w:sz="0" w:space="0" w:color="auto"/>
        <w:bottom w:val="none" w:sz="0" w:space="0" w:color="auto"/>
        <w:right w:val="none" w:sz="0" w:space="0" w:color="auto"/>
      </w:divBdr>
    </w:div>
    <w:div w:id="638532288">
      <w:bodyDiv w:val="1"/>
      <w:marLeft w:val="0"/>
      <w:marRight w:val="0"/>
      <w:marTop w:val="0"/>
      <w:marBottom w:val="0"/>
      <w:divBdr>
        <w:top w:val="none" w:sz="0" w:space="0" w:color="auto"/>
        <w:left w:val="none" w:sz="0" w:space="0" w:color="auto"/>
        <w:bottom w:val="none" w:sz="0" w:space="0" w:color="auto"/>
        <w:right w:val="none" w:sz="0" w:space="0" w:color="auto"/>
      </w:divBdr>
    </w:div>
    <w:div w:id="638649977">
      <w:bodyDiv w:val="1"/>
      <w:marLeft w:val="0"/>
      <w:marRight w:val="0"/>
      <w:marTop w:val="0"/>
      <w:marBottom w:val="0"/>
      <w:divBdr>
        <w:top w:val="none" w:sz="0" w:space="0" w:color="auto"/>
        <w:left w:val="none" w:sz="0" w:space="0" w:color="auto"/>
        <w:bottom w:val="none" w:sz="0" w:space="0" w:color="auto"/>
        <w:right w:val="none" w:sz="0" w:space="0" w:color="auto"/>
      </w:divBdr>
    </w:div>
    <w:div w:id="638727488">
      <w:bodyDiv w:val="1"/>
      <w:marLeft w:val="0"/>
      <w:marRight w:val="0"/>
      <w:marTop w:val="0"/>
      <w:marBottom w:val="0"/>
      <w:divBdr>
        <w:top w:val="none" w:sz="0" w:space="0" w:color="auto"/>
        <w:left w:val="none" w:sz="0" w:space="0" w:color="auto"/>
        <w:bottom w:val="none" w:sz="0" w:space="0" w:color="auto"/>
        <w:right w:val="none" w:sz="0" w:space="0" w:color="auto"/>
      </w:divBdr>
    </w:div>
    <w:div w:id="638805154">
      <w:bodyDiv w:val="1"/>
      <w:marLeft w:val="0"/>
      <w:marRight w:val="0"/>
      <w:marTop w:val="0"/>
      <w:marBottom w:val="0"/>
      <w:divBdr>
        <w:top w:val="none" w:sz="0" w:space="0" w:color="auto"/>
        <w:left w:val="none" w:sz="0" w:space="0" w:color="auto"/>
        <w:bottom w:val="none" w:sz="0" w:space="0" w:color="auto"/>
        <w:right w:val="none" w:sz="0" w:space="0" w:color="auto"/>
      </w:divBdr>
    </w:div>
    <w:div w:id="639459293">
      <w:bodyDiv w:val="1"/>
      <w:marLeft w:val="0"/>
      <w:marRight w:val="0"/>
      <w:marTop w:val="0"/>
      <w:marBottom w:val="0"/>
      <w:divBdr>
        <w:top w:val="none" w:sz="0" w:space="0" w:color="auto"/>
        <w:left w:val="none" w:sz="0" w:space="0" w:color="auto"/>
        <w:bottom w:val="none" w:sz="0" w:space="0" w:color="auto"/>
        <w:right w:val="none" w:sz="0" w:space="0" w:color="auto"/>
      </w:divBdr>
    </w:div>
    <w:div w:id="639919476">
      <w:bodyDiv w:val="1"/>
      <w:marLeft w:val="0"/>
      <w:marRight w:val="0"/>
      <w:marTop w:val="0"/>
      <w:marBottom w:val="0"/>
      <w:divBdr>
        <w:top w:val="none" w:sz="0" w:space="0" w:color="auto"/>
        <w:left w:val="none" w:sz="0" w:space="0" w:color="auto"/>
        <w:bottom w:val="none" w:sz="0" w:space="0" w:color="auto"/>
        <w:right w:val="none" w:sz="0" w:space="0" w:color="auto"/>
      </w:divBdr>
    </w:div>
    <w:div w:id="640038290">
      <w:bodyDiv w:val="1"/>
      <w:marLeft w:val="0"/>
      <w:marRight w:val="0"/>
      <w:marTop w:val="0"/>
      <w:marBottom w:val="0"/>
      <w:divBdr>
        <w:top w:val="none" w:sz="0" w:space="0" w:color="auto"/>
        <w:left w:val="none" w:sz="0" w:space="0" w:color="auto"/>
        <w:bottom w:val="none" w:sz="0" w:space="0" w:color="auto"/>
        <w:right w:val="none" w:sz="0" w:space="0" w:color="auto"/>
      </w:divBdr>
    </w:div>
    <w:div w:id="640580983">
      <w:bodyDiv w:val="1"/>
      <w:marLeft w:val="0"/>
      <w:marRight w:val="0"/>
      <w:marTop w:val="0"/>
      <w:marBottom w:val="0"/>
      <w:divBdr>
        <w:top w:val="none" w:sz="0" w:space="0" w:color="auto"/>
        <w:left w:val="none" w:sz="0" w:space="0" w:color="auto"/>
        <w:bottom w:val="none" w:sz="0" w:space="0" w:color="auto"/>
        <w:right w:val="none" w:sz="0" w:space="0" w:color="auto"/>
      </w:divBdr>
    </w:div>
    <w:div w:id="640619043">
      <w:bodyDiv w:val="1"/>
      <w:marLeft w:val="0"/>
      <w:marRight w:val="0"/>
      <w:marTop w:val="0"/>
      <w:marBottom w:val="0"/>
      <w:divBdr>
        <w:top w:val="none" w:sz="0" w:space="0" w:color="auto"/>
        <w:left w:val="none" w:sz="0" w:space="0" w:color="auto"/>
        <w:bottom w:val="none" w:sz="0" w:space="0" w:color="auto"/>
        <w:right w:val="none" w:sz="0" w:space="0" w:color="auto"/>
      </w:divBdr>
    </w:div>
    <w:div w:id="641354408">
      <w:bodyDiv w:val="1"/>
      <w:marLeft w:val="0"/>
      <w:marRight w:val="0"/>
      <w:marTop w:val="0"/>
      <w:marBottom w:val="0"/>
      <w:divBdr>
        <w:top w:val="none" w:sz="0" w:space="0" w:color="auto"/>
        <w:left w:val="none" w:sz="0" w:space="0" w:color="auto"/>
        <w:bottom w:val="none" w:sz="0" w:space="0" w:color="auto"/>
        <w:right w:val="none" w:sz="0" w:space="0" w:color="auto"/>
      </w:divBdr>
    </w:div>
    <w:div w:id="641733946">
      <w:bodyDiv w:val="1"/>
      <w:marLeft w:val="0"/>
      <w:marRight w:val="0"/>
      <w:marTop w:val="0"/>
      <w:marBottom w:val="0"/>
      <w:divBdr>
        <w:top w:val="none" w:sz="0" w:space="0" w:color="auto"/>
        <w:left w:val="none" w:sz="0" w:space="0" w:color="auto"/>
        <w:bottom w:val="none" w:sz="0" w:space="0" w:color="auto"/>
        <w:right w:val="none" w:sz="0" w:space="0" w:color="auto"/>
      </w:divBdr>
    </w:div>
    <w:div w:id="642319300">
      <w:bodyDiv w:val="1"/>
      <w:marLeft w:val="0"/>
      <w:marRight w:val="0"/>
      <w:marTop w:val="0"/>
      <w:marBottom w:val="0"/>
      <w:divBdr>
        <w:top w:val="none" w:sz="0" w:space="0" w:color="auto"/>
        <w:left w:val="none" w:sz="0" w:space="0" w:color="auto"/>
        <w:bottom w:val="none" w:sz="0" w:space="0" w:color="auto"/>
        <w:right w:val="none" w:sz="0" w:space="0" w:color="auto"/>
      </w:divBdr>
    </w:div>
    <w:div w:id="642392695">
      <w:bodyDiv w:val="1"/>
      <w:marLeft w:val="0"/>
      <w:marRight w:val="0"/>
      <w:marTop w:val="0"/>
      <w:marBottom w:val="0"/>
      <w:divBdr>
        <w:top w:val="none" w:sz="0" w:space="0" w:color="auto"/>
        <w:left w:val="none" w:sz="0" w:space="0" w:color="auto"/>
        <w:bottom w:val="none" w:sz="0" w:space="0" w:color="auto"/>
        <w:right w:val="none" w:sz="0" w:space="0" w:color="auto"/>
      </w:divBdr>
    </w:div>
    <w:div w:id="642462777">
      <w:bodyDiv w:val="1"/>
      <w:marLeft w:val="0"/>
      <w:marRight w:val="0"/>
      <w:marTop w:val="0"/>
      <w:marBottom w:val="0"/>
      <w:divBdr>
        <w:top w:val="none" w:sz="0" w:space="0" w:color="auto"/>
        <w:left w:val="none" w:sz="0" w:space="0" w:color="auto"/>
        <w:bottom w:val="none" w:sz="0" w:space="0" w:color="auto"/>
        <w:right w:val="none" w:sz="0" w:space="0" w:color="auto"/>
      </w:divBdr>
    </w:div>
    <w:div w:id="642587215">
      <w:bodyDiv w:val="1"/>
      <w:marLeft w:val="0"/>
      <w:marRight w:val="0"/>
      <w:marTop w:val="0"/>
      <w:marBottom w:val="0"/>
      <w:divBdr>
        <w:top w:val="none" w:sz="0" w:space="0" w:color="auto"/>
        <w:left w:val="none" w:sz="0" w:space="0" w:color="auto"/>
        <w:bottom w:val="none" w:sz="0" w:space="0" w:color="auto"/>
        <w:right w:val="none" w:sz="0" w:space="0" w:color="auto"/>
      </w:divBdr>
    </w:div>
    <w:div w:id="642740482">
      <w:bodyDiv w:val="1"/>
      <w:marLeft w:val="0"/>
      <w:marRight w:val="0"/>
      <w:marTop w:val="0"/>
      <w:marBottom w:val="0"/>
      <w:divBdr>
        <w:top w:val="none" w:sz="0" w:space="0" w:color="auto"/>
        <w:left w:val="none" w:sz="0" w:space="0" w:color="auto"/>
        <w:bottom w:val="none" w:sz="0" w:space="0" w:color="auto"/>
        <w:right w:val="none" w:sz="0" w:space="0" w:color="auto"/>
      </w:divBdr>
    </w:div>
    <w:div w:id="643238317">
      <w:bodyDiv w:val="1"/>
      <w:marLeft w:val="0"/>
      <w:marRight w:val="0"/>
      <w:marTop w:val="0"/>
      <w:marBottom w:val="0"/>
      <w:divBdr>
        <w:top w:val="none" w:sz="0" w:space="0" w:color="auto"/>
        <w:left w:val="none" w:sz="0" w:space="0" w:color="auto"/>
        <w:bottom w:val="none" w:sz="0" w:space="0" w:color="auto"/>
        <w:right w:val="none" w:sz="0" w:space="0" w:color="auto"/>
      </w:divBdr>
    </w:div>
    <w:div w:id="643438187">
      <w:bodyDiv w:val="1"/>
      <w:marLeft w:val="0"/>
      <w:marRight w:val="0"/>
      <w:marTop w:val="0"/>
      <w:marBottom w:val="0"/>
      <w:divBdr>
        <w:top w:val="none" w:sz="0" w:space="0" w:color="auto"/>
        <w:left w:val="none" w:sz="0" w:space="0" w:color="auto"/>
        <w:bottom w:val="none" w:sz="0" w:space="0" w:color="auto"/>
        <w:right w:val="none" w:sz="0" w:space="0" w:color="auto"/>
      </w:divBdr>
    </w:div>
    <w:div w:id="643850768">
      <w:bodyDiv w:val="1"/>
      <w:marLeft w:val="0"/>
      <w:marRight w:val="0"/>
      <w:marTop w:val="0"/>
      <w:marBottom w:val="0"/>
      <w:divBdr>
        <w:top w:val="none" w:sz="0" w:space="0" w:color="auto"/>
        <w:left w:val="none" w:sz="0" w:space="0" w:color="auto"/>
        <w:bottom w:val="none" w:sz="0" w:space="0" w:color="auto"/>
        <w:right w:val="none" w:sz="0" w:space="0" w:color="auto"/>
      </w:divBdr>
    </w:div>
    <w:div w:id="644237422">
      <w:bodyDiv w:val="1"/>
      <w:marLeft w:val="0"/>
      <w:marRight w:val="0"/>
      <w:marTop w:val="0"/>
      <w:marBottom w:val="0"/>
      <w:divBdr>
        <w:top w:val="none" w:sz="0" w:space="0" w:color="auto"/>
        <w:left w:val="none" w:sz="0" w:space="0" w:color="auto"/>
        <w:bottom w:val="none" w:sz="0" w:space="0" w:color="auto"/>
        <w:right w:val="none" w:sz="0" w:space="0" w:color="auto"/>
      </w:divBdr>
    </w:div>
    <w:div w:id="644285956">
      <w:bodyDiv w:val="1"/>
      <w:marLeft w:val="0"/>
      <w:marRight w:val="0"/>
      <w:marTop w:val="0"/>
      <w:marBottom w:val="0"/>
      <w:divBdr>
        <w:top w:val="none" w:sz="0" w:space="0" w:color="auto"/>
        <w:left w:val="none" w:sz="0" w:space="0" w:color="auto"/>
        <w:bottom w:val="none" w:sz="0" w:space="0" w:color="auto"/>
        <w:right w:val="none" w:sz="0" w:space="0" w:color="auto"/>
      </w:divBdr>
    </w:div>
    <w:div w:id="644507126">
      <w:bodyDiv w:val="1"/>
      <w:marLeft w:val="0"/>
      <w:marRight w:val="0"/>
      <w:marTop w:val="0"/>
      <w:marBottom w:val="0"/>
      <w:divBdr>
        <w:top w:val="none" w:sz="0" w:space="0" w:color="auto"/>
        <w:left w:val="none" w:sz="0" w:space="0" w:color="auto"/>
        <w:bottom w:val="none" w:sz="0" w:space="0" w:color="auto"/>
        <w:right w:val="none" w:sz="0" w:space="0" w:color="auto"/>
      </w:divBdr>
    </w:div>
    <w:div w:id="644548113">
      <w:bodyDiv w:val="1"/>
      <w:marLeft w:val="0"/>
      <w:marRight w:val="0"/>
      <w:marTop w:val="0"/>
      <w:marBottom w:val="0"/>
      <w:divBdr>
        <w:top w:val="none" w:sz="0" w:space="0" w:color="auto"/>
        <w:left w:val="none" w:sz="0" w:space="0" w:color="auto"/>
        <w:bottom w:val="none" w:sz="0" w:space="0" w:color="auto"/>
        <w:right w:val="none" w:sz="0" w:space="0" w:color="auto"/>
      </w:divBdr>
    </w:div>
    <w:div w:id="644896808">
      <w:bodyDiv w:val="1"/>
      <w:marLeft w:val="0"/>
      <w:marRight w:val="0"/>
      <w:marTop w:val="0"/>
      <w:marBottom w:val="0"/>
      <w:divBdr>
        <w:top w:val="none" w:sz="0" w:space="0" w:color="auto"/>
        <w:left w:val="none" w:sz="0" w:space="0" w:color="auto"/>
        <w:bottom w:val="none" w:sz="0" w:space="0" w:color="auto"/>
        <w:right w:val="none" w:sz="0" w:space="0" w:color="auto"/>
      </w:divBdr>
    </w:div>
    <w:div w:id="645550956">
      <w:bodyDiv w:val="1"/>
      <w:marLeft w:val="0"/>
      <w:marRight w:val="0"/>
      <w:marTop w:val="0"/>
      <w:marBottom w:val="0"/>
      <w:divBdr>
        <w:top w:val="none" w:sz="0" w:space="0" w:color="auto"/>
        <w:left w:val="none" w:sz="0" w:space="0" w:color="auto"/>
        <w:bottom w:val="none" w:sz="0" w:space="0" w:color="auto"/>
        <w:right w:val="none" w:sz="0" w:space="0" w:color="auto"/>
      </w:divBdr>
    </w:div>
    <w:div w:id="645815689">
      <w:bodyDiv w:val="1"/>
      <w:marLeft w:val="0"/>
      <w:marRight w:val="0"/>
      <w:marTop w:val="0"/>
      <w:marBottom w:val="0"/>
      <w:divBdr>
        <w:top w:val="none" w:sz="0" w:space="0" w:color="auto"/>
        <w:left w:val="none" w:sz="0" w:space="0" w:color="auto"/>
        <w:bottom w:val="none" w:sz="0" w:space="0" w:color="auto"/>
        <w:right w:val="none" w:sz="0" w:space="0" w:color="auto"/>
      </w:divBdr>
    </w:div>
    <w:div w:id="646320080">
      <w:bodyDiv w:val="1"/>
      <w:marLeft w:val="0"/>
      <w:marRight w:val="0"/>
      <w:marTop w:val="0"/>
      <w:marBottom w:val="0"/>
      <w:divBdr>
        <w:top w:val="none" w:sz="0" w:space="0" w:color="auto"/>
        <w:left w:val="none" w:sz="0" w:space="0" w:color="auto"/>
        <w:bottom w:val="none" w:sz="0" w:space="0" w:color="auto"/>
        <w:right w:val="none" w:sz="0" w:space="0" w:color="auto"/>
      </w:divBdr>
    </w:div>
    <w:div w:id="646475131">
      <w:bodyDiv w:val="1"/>
      <w:marLeft w:val="0"/>
      <w:marRight w:val="0"/>
      <w:marTop w:val="0"/>
      <w:marBottom w:val="0"/>
      <w:divBdr>
        <w:top w:val="none" w:sz="0" w:space="0" w:color="auto"/>
        <w:left w:val="none" w:sz="0" w:space="0" w:color="auto"/>
        <w:bottom w:val="none" w:sz="0" w:space="0" w:color="auto"/>
        <w:right w:val="none" w:sz="0" w:space="0" w:color="auto"/>
      </w:divBdr>
    </w:div>
    <w:div w:id="646477557">
      <w:bodyDiv w:val="1"/>
      <w:marLeft w:val="0"/>
      <w:marRight w:val="0"/>
      <w:marTop w:val="0"/>
      <w:marBottom w:val="0"/>
      <w:divBdr>
        <w:top w:val="none" w:sz="0" w:space="0" w:color="auto"/>
        <w:left w:val="none" w:sz="0" w:space="0" w:color="auto"/>
        <w:bottom w:val="none" w:sz="0" w:space="0" w:color="auto"/>
        <w:right w:val="none" w:sz="0" w:space="0" w:color="auto"/>
      </w:divBdr>
    </w:div>
    <w:div w:id="647054391">
      <w:bodyDiv w:val="1"/>
      <w:marLeft w:val="0"/>
      <w:marRight w:val="0"/>
      <w:marTop w:val="0"/>
      <w:marBottom w:val="0"/>
      <w:divBdr>
        <w:top w:val="none" w:sz="0" w:space="0" w:color="auto"/>
        <w:left w:val="none" w:sz="0" w:space="0" w:color="auto"/>
        <w:bottom w:val="none" w:sz="0" w:space="0" w:color="auto"/>
        <w:right w:val="none" w:sz="0" w:space="0" w:color="auto"/>
      </w:divBdr>
    </w:div>
    <w:div w:id="647134109">
      <w:bodyDiv w:val="1"/>
      <w:marLeft w:val="0"/>
      <w:marRight w:val="0"/>
      <w:marTop w:val="0"/>
      <w:marBottom w:val="0"/>
      <w:divBdr>
        <w:top w:val="none" w:sz="0" w:space="0" w:color="auto"/>
        <w:left w:val="none" w:sz="0" w:space="0" w:color="auto"/>
        <w:bottom w:val="none" w:sz="0" w:space="0" w:color="auto"/>
        <w:right w:val="none" w:sz="0" w:space="0" w:color="auto"/>
      </w:divBdr>
    </w:div>
    <w:div w:id="647590188">
      <w:bodyDiv w:val="1"/>
      <w:marLeft w:val="0"/>
      <w:marRight w:val="0"/>
      <w:marTop w:val="0"/>
      <w:marBottom w:val="0"/>
      <w:divBdr>
        <w:top w:val="none" w:sz="0" w:space="0" w:color="auto"/>
        <w:left w:val="none" w:sz="0" w:space="0" w:color="auto"/>
        <w:bottom w:val="none" w:sz="0" w:space="0" w:color="auto"/>
        <w:right w:val="none" w:sz="0" w:space="0" w:color="auto"/>
      </w:divBdr>
    </w:div>
    <w:div w:id="647636368">
      <w:bodyDiv w:val="1"/>
      <w:marLeft w:val="0"/>
      <w:marRight w:val="0"/>
      <w:marTop w:val="0"/>
      <w:marBottom w:val="0"/>
      <w:divBdr>
        <w:top w:val="none" w:sz="0" w:space="0" w:color="auto"/>
        <w:left w:val="none" w:sz="0" w:space="0" w:color="auto"/>
        <w:bottom w:val="none" w:sz="0" w:space="0" w:color="auto"/>
        <w:right w:val="none" w:sz="0" w:space="0" w:color="auto"/>
      </w:divBdr>
    </w:div>
    <w:div w:id="648021295">
      <w:bodyDiv w:val="1"/>
      <w:marLeft w:val="0"/>
      <w:marRight w:val="0"/>
      <w:marTop w:val="0"/>
      <w:marBottom w:val="0"/>
      <w:divBdr>
        <w:top w:val="none" w:sz="0" w:space="0" w:color="auto"/>
        <w:left w:val="none" w:sz="0" w:space="0" w:color="auto"/>
        <w:bottom w:val="none" w:sz="0" w:space="0" w:color="auto"/>
        <w:right w:val="none" w:sz="0" w:space="0" w:color="auto"/>
      </w:divBdr>
    </w:div>
    <w:div w:id="648049856">
      <w:bodyDiv w:val="1"/>
      <w:marLeft w:val="0"/>
      <w:marRight w:val="0"/>
      <w:marTop w:val="0"/>
      <w:marBottom w:val="0"/>
      <w:divBdr>
        <w:top w:val="none" w:sz="0" w:space="0" w:color="auto"/>
        <w:left w:val="none" w:sz="0" w:space="0" w:color="auto"/>
        <w:bottom w:val="none" w:sz="0" w:space="0" w:color="auto"/>
        <w:right w:val="none" w:sz="0" w:space="0" w:color="auto"/>
      </w:divBdr>
    </w:div>
    <w:div w:id="648217788">
      <w:bodyDiv w:val="1"/>
      <w:marLeft w:val="0"/>
      <w:marRight w:val="0"/>
      <w:marTop w:val="0"/>
      <w:marBottom w:val="0"/>
      <w:divBdr>
        <w:top w:val="none" w:sz="0" w:space="0" w:color="auto"/>
        <w:left w:val="none" w:sz="0" w:space="0" w:color="auto"/>
        <w:bottom w:val="none" w:sz="0" w:space="0" w:color="auto"/>
        <w:right w:val="none" w:sz="0" w:space="0" w:color="auto"/>
      </w:divBdr>
    </w:div>
    <w:div w:id="648246391">
      <w:bodyDiv w:val="1"/>
      <w:marLeft w:val="0"/>
      <w:marRight w:val="0"/>
      <w:marTop w:val="0"/>
      <w:marBottom w:val="0"/>
      <w:divBdr>
        <w:top w:val="none" w:sz="0" w:space="0" w:color="auto"/>
        <w:left w:val="none" w:sz="0" w:space="0" w:color="auto"/>
        <w:bottom w:val="none" w:sz="0" w:space="0" w:color="auto"/>
        <w:right w:val="none" w:sz="0" w:space="0" w:color="auto"/>
      </w:divBdr>
    </w:div>
    <w:div w:id="649019318">
      <w:bodyDiv w:val="1"/>
      <w:marLeft w:val="0"/>
      <w:marRight w:val="0"/>
      <w:marTop w:val="0"/>
      <w:marBottom w:val="0"/>
      <w:divBdr>
        <w:top w:val="none" w:sz="0" w:space="0" w:color="auto"/>
        <w:left w:val="none" w:sz="0" w:space="0" w:color="auto"/>
        <w:bottom w:val="none" w:sz="0" w:space="0" w:color="auto"/>
        <w:right w:val="none" w:sz="0" w:space="0" w:color="auto"/>
      </w:divBdr>
    </w:div>
    <w:div w:id="649022302">
      <w:bodyDiv w:val="1"/>
      <w:marLeft w:val="0"/>
      <w:marRight w:val="0"/>
      <w:marTop w:val="0"/>
      <w:marBottom w:val="0"/>
      <w:divBdr>
        <w:top w:val="none" w:sz="0" w:space="0" w:color="auto"/>
        <w:left w:val="none" w:sz="0" w:space="0" w:color="auto"/>
        <w:bottom w:val="none" w:sz="0" w:space="0" w:color="auto"/>
        <w:right w:val="none" w:sz="0" w:space="0" w:color="auto"/>
      </w:divBdr>
    </w:div>
    <w:div w:id="649746760">
      <w:bodyDiv w:val="1"/>
      <w:marLeft w:val="0"/>
      <w:marRight w:val="0"/>
      <w:marTop w:val="0"/>
      <w:marBottom w:val="0"/>
      <w:divBdr>
        <w:top w:val="none" w:sz="0" w:space="0" w:color="auto"/>
        <w:left w:val="none" w:sz="0" w:space="0" w:color="auto"/>
        <w:bottom w:val="none" w:sz="0" w:space="0" w:color="auto"/>
        <w:right w:val="none" w:sz="0" w:space="0" w:color="auto"/>
      </w:divBdr>
    </w:div>
    <w:div w:id="650138303">
      <w:bodyDiv w:val="1"/>
      <w:marLeft w:val="0"/>
      <w:marRight w:val="0"/>
      <w:marTop w:val="0"/>
      <w:marBottom w:val="0"/>
      <w:divBdr>
        <w:top w:val="none" w:sz="0" w:space="0" w:color="auto"/>
        <w:left w:val="none" w:sz="0" w:space="0" w:color="auto"/>
        <w:bottom w:val="none" w:sz="0" w:space="0" w:color="auto"/>
        <w:right w:val="none" w:sz="0" w:space="0" w:color="auto"/>
      </w:divBdr>
    </w:div>
    <w:div w:id="650447611">
      <w:bodyDiv w:val="1"/>
      <w:marLeft w:val="0"/>
      <w:marRight w:val="0"/>
      <w:marTop w:val="0"/>
      <w:marBottom w:val="0"/>
      <w:divBdr>
        <w:top w:val="none" w:sz="0" w:space="0" w:color="auto"/>
        <w:left w:val="none" w:sz="0" w:space="0" w:color="auto"/>
        <w:bottom w:val="none" w:sz="0" w:space="0" w:color="auto"/>
        <w:right w:val="none" w:sz="0" w:space="0" w:color="auto"/>
      </w:divBdr>
    </w:div>
    <w:div w:id="651253679">
      <w:bodyDiv w:val="1"/>
      <w:marLeft w:val="0"/>
      <w:marRight w:val="0"/>
      <w:marTop w:val="0"/>
      <w:marBottom w:val="0"/>
      <w:divBdr>
        <w:top w:val="none" w:sz="0" w:space="0" w:color="auto"/>
        <w:left w:val="none" w:sz="0" w:space="0" w:color="auto"/>
        <w:bottom w:val="none" w:sz="0" w:space="0" w:color="auto"/>
        <w:right w:val="none" w:sz="0" w:space="0" w:color="auto"/>
      </w:divBdr>
    </w:div>
    <w:div w:id="651258637">
      <w:bodyDiv w:val="1"/>
      <w:marLeft w:val="0"/>
      <w:marRight w:val="0"/>
      <w:marTop w:val="0"/>
      <w:marBottom w:val="0"/>
      <w:divBdr>
        <w:top w:val="none" w:sz="0" w:space="0" w:color="auto"/>
        <w:left w:val="none" w:sz="0" w:space="0" w:color="auto"/>
        <w:bottom w:val="none" w:sz="0" w:space="0" w:color="auto"/>
        <w:right w:val="none" w:sz="0" w:space="0" w:color="auto"/>
      </w:divBdr>
    </w:div>
    <w:div w:id="651757722">
      <w:bodyDiv w:val="1"/>
      <w:marLeft w:val="0"/>
      <w:marRight w:val="0"/>
      <w:marTop w:val="0"/>
      <w:marBottom w:val="0"/>
      <w:divBdr>
        <w:top w:val="none" w:sz="0" w:space="0" w:color="auto"/>
        <w:left w:val="none" w:sz="0" w:space="0" w:color="auto"/>
        <w:bottom w:val="none" w:sz="0" w:space="0" w:color="auto"/>
        <w:right w:val="none" w:sz="0" w:space="0" w:color="auto"/>
      </w:divBdr>
    </w:div>
    <w:div w:id="651911934">
      <w:bodyDiv w:val="1"/>
      <w:marLeft w:val="0"/>
      <w:marRight w:val="0"/>
      <w:marTop w:val="0"/>
      <w:marBottom w:val="0"/>
      <w:divBdr>
        <w:top w:val="none" w:sz="0" w:space="0" w:color="auto"/>
        <w:left w:val="none" w:sz="0" w:space="0" w:color="auto"/>
        <w:bottom w:val="none" w:sz="0" w:space="0" w:color="auto"/>
        <w:right w:val="none" w:sz="0" w:space="0" w:color="auto"/>
      </w:divBdr>
    </w:div>
    <w:div w:id="652174106">
      <w:bodyDiv w:val="1"/>
      <w:marLeft w:val="0"/>
      <w:marRight w:val="0"/>
      <w:marTop w:val="0"/>
      <w:marBottom w:val="0"/>
      <w:divBdr>
        <w:top w:val="none" w:sz="0" w:space="0" w:color="auto"/>
        <w:left w:val="none" w:sz="0" w:space="0" w:color="auto"/>
        <w:bottom w:val="none" w:sz="0" w:space="0" w:color="auto"/>
        <w:right w:val="none" w:sz="0" w:space="0" w:color="auto"/>
      </w:divBdr>
    </w:div>
    <w:div w:id="652372550">
      <w:bodyDiv w:val="1"/>
      <w:marLeft w:val="0"/>
      <w:marRight w:val="0"/>
      <w:marTop w:val="0"/>
      <w:marBottom w:val="0"/>
      <w:divBdr>
        <w:top w:val="none" w:sz="0" w:space="0" w:color="auto"/>
        <w:left w:val="none" w:sz="0" w:space="0" w:color="auto"/>
        <w:bottom w:val="none" w:sz="0" w:space="0" w:color="auto"/>
        <w:right w:val="none" w:sz="0" w:space="0" w:color="auto"/>
      </w:divBdr>
    </w:div>
    <w:div w:id="652567468">
      <w:bodyDiv w:val="1"/>
      <w:marLeft w:val="0"/>
      <w:marRight w:val="0"/>
      <w:marTop w:val="0"/>
      <w:marBottom w:val="0"/>
      <w:divBdr>
        <w:top w:val="none" w:sz="0" w:space="0" w:color="auto"/>
        <w:left w:val="none" w:sz="0" w:space="0" w:color="auto"/>
        <w:bottom w:val="none" w:sz="0" w:space="0" w:color="auto"/>
        <w:right w:val="none" w:sz="0" w:space="0" w:color="auto"/>
      </w:divBdr>
    </w:div>
    <w:div w:id="652755373">
      <w:bodyDiv w:val="1"/>
      <w:marLeft w:val="0"/>
      <w:marRight w:val="0"/>
      <w:marTop w:val="0"/>
      <w:marBottom w:val="0"/>
      <w:divBdr>
        <w:top w:val="none" w:sz="0" w:space="0" w:color="auto"/>
        <w:left w:val="none" w:sz="0" w:space="0" w:color="auto"/>
        <w:bottom w:val="none" w:sz="0" w:space="0" w:color="auto"/>
        <w:right w:val="none" w:sz="0" w:space="0" w:color="auto"/>
      </w:divBdr>
    </w:div>
    <w:div w:id="653677783">
      <w:bodyDiv w:val="1"/>
      <w:marLeft w:val="0"/>
      <w:marRight w:val="0"/>
      <w:marTop w:val="0"/>
      <w:marBottom w:val="0"/>
      <w:divBdr>
        <w:top w:val="none" w:sz="0" w:space="0" w:color="auto"/>
        <w:left w:val="none" w:sz="0" w:space="0" w:color="auto"/>
        <w:bottom w:val="none" w:sz="0" w:space="0" w:color="auto"/>
        <w:right w:val="none" w:sz="0" w:space="0" w:color="auto"/>
      </w:divBdr>
    </w:div>
    <w:div w:id="653729479">
      <w:bodyDiv w:val="1"/>
      <w:marLeft w:val="0"/>
      <w:marRight w:val="0"/>
      <w:marTop w:val="0"/>
      <w:marBottom w:val="0"/>
      <w:divBdr>
        <w:top w:val="none" w:sz="0" w:space="0" w:color="auto"/>
        <w:left w:val="none" w:sz="0" w:space="0" w:color="auto"/>
        <w:bottom w:val="none" w:sz="0" w:space="0" w:color="auto"/>
        <w:right w:val="none" w:sz="0" w:space="0" w:color="auto"/>
      </w:divBdr>
    </w:div>
    <w:div w:id="654408602">
      <w:bodyDiv w:val="1"/>
      <w:marLeft w:val="0"/>
      <w:marRight w:val="0"/>
      <w:marTop w:val="0"/>
      <w:marBottom w:val="0"/>
      <w:divBdr>
        <w:top w:val="none" w:sz="0" w:space="0" w:color="auto"/>
        <w:left w:val="none" w:sz="0" w:space="0" w:color="auto"/>
        <w:bottom w:val="none" w:sz="0" w:space="0" w:color="auto"/>
        <w:right w:val="none" w:sz="0" w:space="0" w:color="auto"/>
      </w:divBdr>
    </w:div>
    <w:div w:id="654723541">
      <w:bodyDiv w:val="1"/>
      <w:marLeft w:val="0"/>
      <w:marRight w:val="0"/>
      <w:marTop w:val="0"/>
      <w:marBottom w:val="0"/>
      <w:divBdr>
        <w:top w:val="none" w:sz="0" w:space="0" w:color="auto"/>
        <w:left w:val="none" w:sz="0" w:space="0" w:color="auto"/>
        <w:bottom w:val="none" w:sz="0" w:space="0" w:color="auto"/>
        <w:right w:val="none" w:sz="0" w:space="0" w:color="auto"/>
      </w:divBdr>
    </w:div>
    <w:div w:id="655034266">
      <w:bodyDiv w:val="1"/>
      <w:marLeft w:val="0"/>
      <w:marRight w:val="0"/>
      <w:marTop w:val="0"/>
      <w:marBottom w:val="0"/>
      <w:divBdr>
        <w:top w:val="none" w:sz="0" w:space="0" w:color="auto"/>
        <w:left w:val="none" w:sz="0" w:space="0" w:color="auto"/>
        <w:bottom w:val="none" w:sz="0" w:space="0" w:color="auto"/>
        <w:right w:val="none" w:sz="0" w:space="0" w:color="auto"/>
      </w:divBdr>
    </w:div>
    <w:div w:id="655962397">
      <w:bodyDiv w:val="1"/>
      <w:marLeft w:val="0"/>
      <w:marRight w:val="0"/>
      <w:marTop w:val="0"/>
      <w:marBottom w:val="0"/>
      <w:divBdr>
        <w:top w:val="none" w:sz="0" w:space="0" w:color="auto"/>
        <w:left w:val="none" w:sz="0" w:space="0" w:color="auto"/>
        <w:bottom w:val="none" w:sz="0" w:space="0" w:color="auto"/>
        <w:right w:val="none" w:sz="0" w:space="0" w:color="auto"/>
      </w:divBdr>
    </w:div>
    <w:div w:id="657340445">
      <w:bodyDiv w:val="1"/>
      <w:marLeft w:val="0"/>
      <w:marRight w:val="0"/>
      <w:marTop w:val="0"/>
      <w:marBottom w:val="0"/>
      <w:divBdr>
        <w:top w:val="none" w:sz="0" w:space="0" w:color="auto"/>
        <w:left w:val="none" w:sz="0" w:space="0" w:color="auto"/>
        <w:bottom w:val="none" w:sz="0" w:space="0" w:color="auto"/>
        <w:right w:val="none" w:sz="0" w:space="0" w:color="auto"/>
      </w:divBdr>
    </w:div>
    <w:div w:id="657618322">
      <w:bodyDiv w:val="1"/>
      <w:marLeft w:val="0"/>
      <w:marRight w:val="0"/>
      <w:marTop w:val="0"/>
      <w:marBottom w:val="0"/>
      <w:divBdr>
        <w:top w:val="none" w:sz="0" w:space="0" w:color="auto"/>
        <w:left w:val="none" w:sz="0" w:space="0" w:color="auto"/>
        <w:bottom w:val="none" w:sz="0" w:space="0" w:color="auto"/>
        <w:right w:val="none" w:sz="0" w:space="0" w:color="auto"/>
      </w:divBdr>
    </w:div>
    <w:div w:id="657995814">
      <w:bodyDiv w:val="1"/>
      <w:marLeft w:val="0"/>
      <w:marRight w:val="0"/>
      <w:marTop w:val="0"/>
      <w:marBottom w:val="0"/>
      <w:divBdr>
        <w:top w:val="none" w:sz="0" w:space="0" w:color="auto"/>
        <w:left w:val="none" w:sz="0" w:space="0" w:color="auto"/>
        <w:bottom w:val="none" w:sz="0" w:space="0" w:color="auto"/>
        <w:right w:val="none" w:sz="0" w:space="0" w:color="auto"/>
      </w:divBdr>
    </w:div>
    <w:div w:id="658965418">
      <w:bodyDiv w:val="1"/>
      <w:marLeft w:val="0"/>
      <w:marRight w:val="0"/>
      <w:marTop w:val="0"/>
      <w:marBottom w:val="0"/>
      <w:divBdr>
        <w:top w:val="none" w:sz="0" w:space="0" w:color="auto"/>
        <w:left w:val="none" w:sz="0" w:space="0" w:color="auto"/>
        <w:bottom w:val="none" w:sz="0" w:space="0" w:color="auto"/>
        <w:right w:val="none" w:sz="0" w:space="0" w:color="auto"/>
      </w:divBdr>
    </w:div>
    <w:div w:id="659428702">
      <w:bodyDiv w:val="1"/>
      <w:marLeft w:val="0"/>
      <w:marRight w:val="0"/>
      <w:marTop w:val="0"/>
      <w:marBottom w:val="0"/>
      <w:divBdr>
        <w:top w:val="none" w:sz="0" w:space="0" w:color="auto"/>
        <w:left w:val="none" w:sz="0" w:space="0" w:color="auto"/>
        <w:bottom w:val="none" w:sz="0" w:space="0" w:color="auto"/>
        <w:right w:val="none" w:sz="0" w:space="0" w:color="auto"/>
      </w:divBdr>
    </w:div>
    <w:div w:id="659769222">
      <w:bodyDiv w:val="1"/>
      <w:marLeft w:val="0"/>
      <w:marRight w:val="0"/>
      <w:marTop w:val="0"/>
      <w:marBottom w:val="0"/>
      <w:divBdr>
        <w:top w:val="none" w:sz="0" w:space="0" w:color="auto"/>
        <w:left w:val="none" w:sz="0" w:space="0" w:color="auto"/>
        <w:bottom w:val="none" w:sz="0" w:space="0" w:color="auto"/>
        <w:right w:val="none" w:sz="0" w:space="0" w:color="auto"/>
      </w:divBdr>
    </w:div>
    <w:div w:id="659843584">
      <w:bodyDiv w:val="1"/>
      <w:marLeft w:val="0"/>
      <w:marRight w:val="0"/>
      <w:marTop w:val="0"/>
      <w:marBottom w:val="0"/>
      <w:divBdr>
        <w:top w:val="none" w:sz="0" w:space="0" w:color="auto"/>
        <w:left w:val="none" w:sz="0" w:space="0" w:color="auto"/>
        <w:bottom w:val="none" w:sz="0" w:space="0" w:color="auto"/>
        <w:right w:val="none" w:sz="0" w:space="0" w:color="auto"/>
      </w:divBdr>
    </w:div>
    <w:div w:id="660235813">
      <w:bodyDiv w:val="1"/>
      <w:marLeft w:val="0"/>
      <w:marRight w:val="0"/>
      <w:marTop w:val="0"/>
      <w:marBottom w:val="0"/>
      <w:divBdr>
        <w:top w:val="none" w:sz="0" w:space="0" w:color="auto"/>
        <w:left w:val="none" w:sz="0" w:space="0" w:color="auto"/>
        <w:bottom w:val="none" w:sz="0" w:space="0" w:color="auto"/>
        <w:right w:val="none" w:sz="0" w:space="0" w:color="auto"/>
      </w:divBdr>
    </w:div>
    <w:div w:id="660279961">
      <w:bodyDiv w:val="1"/>
      <w:marLeft w:val="0"/>
      <w:marRight w:val="0"/>
      <w:marTop w:val="0"/>
      <w:marBottom w:val="0"/>
      <w:divBdr>
        <w:top w:val="none" w:sz="0" w:space="0" w:color="auto"/>
        <w:left w:val="none" w:sz="0" w:space="0" w:color="auto"/>
        <w:bottom w:val="none" w:sz="0" w:space="0" w:color="auto"/>
        <w:right w:val="none" w:sz="0" w:space="0" w:color="auto"/>
      </w:divBdr>
    </w:div>
    <w:div w:id="660622286">
      <w:bodyDiv w:val="1"/>
      <w:marLeft w:val="0"/>
      <w:marRight w:val="0"/>
      <w:marTop w:val="0"/>
      <w:marBottom w:val="0"/>
      <w:divBdr>
        <w:top w:val="none" w:sz="0" w:space="0" w:color="auto"/>
        <w:left w:val="none" w:sz="0" w:space="0" w:color="auto"/>
        <w:bottom w:val="none" w:sz="0" w:space="0" w:color="auto"/>
        <w:right w:val="none" w:sz="0" w:space="0" w:color="auto"/>
      </w:divBdr>
    </w:div>
    <w:div w:id="660693377">
      <w:bodyDiv w:val="1"/>
      <w:marLeft w:val="0"/>
      <w:marRight w:val="0"/>
      <w:marTop w:val="0"/>
      <w:marBottom w:val="0"/>
      <w:divBdr>
        <w:top w:val="none" w:sz="0" w:space="0" w:color="auto"/>
        <w:left w:val="none" w:sz="0" w:space="0" w:color="auto"/>
        <w:bottom w:val="none" w:sz="0" w:space="0" w:color="auto"/>
        <w:right w:val="none" w:sz="0" w:space="0" w:color="auto"/>
      </w:divBdr>
    </w:div>
    <w:div w:id="661004717">
      <w:bodyDiv w:val="1"/>
      <w:marLeft w:val="0"/>
      <w:marRight w:val="0"/>
      <w:marTop w:val="0"/>
      <w:marBottom w:val="0"/>
      <w:divBdr>
        <w:top w:val="none" w:sz="0" w:space="0" w:color="auto"/>
        <w:left w:val="none" w:sz="0" w:space="0" w:color="auto"/>
        <w:bottom w:val="none" w:sz="0" w:space="0" w:color="auto"/>
        <w:right w:val="none" w:sz="0" w:space="0" w:color="auto"/>
      </w:divBdr>
    </w:div>
    <w:div w:id="661005247">
      <w:bodyDiv w:val="1"/>
      <w:marLeft w:val="0"/>
      <w:marRight w:val="0"/>
      <w:marTop w:val="0"/>
      <w:marBottom w:val="0"/>
      <w:divBdr>
        <w:top w:val="none" w:sz="0" w:space="0" w:color="auto"/>
        <w:left w:val="none" w:sz="0" w:space="0" w:color="auto"/>
        <w:bottom w:val="none" w:sz="0" w:space="0" w:color="auto"/>
        <w:right w:val="none" w:sz="0" w:space="0" w:color="auto"/>
      </w:divBdr>
    </w:div>
    <w:div w:id="661666546">
      <w:bodyDiv w:val="1"/>
      <w:marLeft w:val="0"/>
      <w:marRight w:val="0"/>
      <w:marTop w:val="0"/>
      <w:marBottom w:val="0"/>
      <w:divBdr>
        <w:top w:val="none" w:sz="0" w:space="0" w:color="auto"/>
        <w:left w:val="none" w:sz="0" w:space="0" w:color="auto"/>
        <w:bottom w:val="none" w:sz="0" w:space="0" w:color="auto"/>
        <w:right w:val="none" w:sz="0" w:space="0" w:color="auto"/>
      </w:divBdr>
    </w:div>
    <w:div w:id="661737234">
      <w:bodyDiv w:val="1"/>
      <w:marLeft w:val="0"/>
      <w:marRight w:val="0"/>
      <w:marTop w:val="0"/>
      <w:marBottom w:val="0"/>
      <w:divBdr>
        <w:top w:val="none" w:sz="0" w:space="0" w:color="auto"/>
        <w:left w:val="none" w:sz="0" w:space="0" w:color="auto"/>
        <w:bottom w:val="none" w:sz="0" w:space="0" w:color="auto"/>
        <w:right w:val="none" w:sz="0" w:space="0" w:color="auto"/>
      </w:divBdr>
    </w:div>
    <w:div w:id="661934305">
      <w:bodyDiv w:val="1"/>
      <w:marLeft w:val="0"/>
      <w:marRight w:val="0"/>
      <w:marTop w:val="0"/>
      <w:marBottom w:val="0"/>
      <w:divBdr>
        <w:top w:val="none" w:sz="0" w:space="0" w:color="auto"/>
        <w:left w:val="none" w:sz="0" w:space="0" w:color="auto"/>
        <w:bottom w:val="none" w:sz="0" w:space="0" w:color="auto"/>
        <w:right w:val="none" w:sz="0" w:space="0" w:color="auto"/>
      </w:divBdr>
    </w:div>
    <w:div w:id="662052772">
      <w:bodyDiv w:val="1"/>
      <w:marLeft w:val="0"/>
      <w:marRight w:val="0"/>
      <w:marTop w:val="0"/>
      <w:marBottom w:val="0"/>
      <w:divBdr>
        <w:top w:val="none" w:sz="0" w:space="0" w:color="auto"/>
        <w:left w:val="none" w:sz="0" w:space="0" w:color="auto"/>
        <w:bottom w:val="none" w:sz="0" w:space="0" w:color="auto"/>
        <w:right w:val="none" w:sz="0" w:space="0" w:color="auto"/>
      </w:divBdr>
    </w:div>
    <w:div w:id="662244883">
      <w:bodyDiv w:val="1"/>
      <w:marLeft w:val="0"/>
      <w:marRight w:val="0"/>
      <w:marTop w:val="0"/>
      <w:marBottom w:val="0"/>
      <w:divBdr>
        <w:top w:val="none" w:sz="0" w:space="0" w:color="auto"/>
        <w:left w:val="none" w:sz="0" w:space="0" w:color="auto"/>
        <w:bottom w:val="none" w:sz="0" w:space="0" w:color="auto"/>
        <w:right w:val="none" w:sz="0" w:space="0" w:color="auto"/>
      </w:divBdr>
    </w:div>
    <w:div w:id="662775985">
      <w:bodyDiv w:val="1"/>
      <w:marLeft w:val="0"/>
      <w:marRight w:val="0"/>
      <w:marTop w:val="0"/>
      <w:marBottom w:val="0"/>
      <w:divBdr>
        <w:top w:val="none" w:sz="0" w:space="0" w:color="auto"/>
        <w:left w:val="none" w:sz="0" w:space="0" w:color="auto"/>
        <w:bottom w:val="none" w:sz="0" w:space="0" w:color="auto"/>
        <w:right w:val="none" w:sz="0" w:space="0" w:color="auto"/>
      </w:divBdr>
    </w:div>
    <w:div w:id="662854540">
      <w:bodyDiv w:val="1"/>
      <w:marLeft w:val="0"/>
      <w:marRight w:val="0"/>
      <w:marTop w:val="0"/>
      <w:marBottom w:val="0"/>
      <w:divBdr>
        <w:top w:val="none" w:sz="0" w:space="0" w:color="auto"/>
        <w:left w:val="none" w:sz="0" w:space="0" w:color="auto"/>
        <w:bottom w:val="none" w:sz="0" w:space="0" w:color="auto"/>
        <w:right w:val="none" w:sz="0" w:space="0" w:color="auto"/>
      </w:divBdr>
    </w:div>
    <w:div w:id="662978311">
      <w:bodyDiv w:val="1"/>
      <w:marLeft w:val="0"/>
      <w:marRight w:val="0"/>
      <w:marTop w:val="0"/>
      <w:marBottom w:val="0"/>
      <w:divBdr>
        <w:top w:val="none" w:sz="0" w:space="0" w:color="auto"/>
        <w:left w:val="none" w:sz="0" w:space="0" w:color="auto"/>
        <w:bottom w:val="none" w:sz="0" w:space="0" w:color="auto"/>
        <w:right w:val="none" w:sz="0" w:space="0" w:color="auto"/>
      </w:divBdr>
    </w:div>
    <w:div w:id="663581898">
      <w:bodyDiv w:val="1"/>
      <w:marLeft w:val="0"/>
      <w:marRight w:val="0"/>
      <w:marTop w:val="0"/>
      <w:marBottom w:val="0"/>
      <w:divBdr>
        <w:top w:val="none" w:sz="0" w:space="0" w:color="auto"/>
        <w:left w:val="none" w:sz="0" w:space="0" w:color="auto"/>
        <w:bottom w:val="none" w:sz="0" w:space="0" w:color="auto"/>
        <w:right w:val="none" w:sz="0" w:space="0" w:color="auto"/>
      </w:divBdr>
    </w:div>
    <w:div w:id="663821383">
      <w:bodyDiv w:val="1"/>
      <w:marLeft w:val="0"/>
      <w:marRight w:val="0"/>
      <w:marTop w:val="0"/>
      <w:marBottom w:val="0"/>
      <w:divBdr>
        <w:top w:val="none" w:sz="0" w:space="0" w:color="auto"/>
        <w:left w:val="none" w:sz="0" w:space="0" w:color="auto"/>
        <w:bottom w:val="none" w:sz="0" w:space="0" w:color="auto"/>
        <w:right w:val="none" w:sz="0" w:space="0" w:color="auto"/>
      </w:divBdr>
    </w:div>
    <w:div w:id="664161708">
      <w:bodyDiv w:val="1"/>
      <w:marLeft w:val="0"/>
      <w:marRight w:val="0"/>
      <w:marTop w:val="0"/>
      <w:marBottom w:val="0"/>
      <w:divBdr>
        <w:top w:val="none" w:sz="0" w:space="0" w:color="auto"/>
        <w:left w:val="none" w:sz="0" w:space="0" w:color="auto"/>
        <w:bottom w:val="none" w:sz="0" w:space="0" w:color="auto"/>
        <w:right w:val="none" w:sz="0" w:space="0" w:color="auto"/>
      </w:divBdr>
    </w:div>
    <w:div w:id="664623726">
      <w:bodyDiv w:val="1"/>
      <w:marLeft w:val="0"/>
      <w:marRight w:val="0"/>
      <w:marTop w:val="0"/>
      <w:marBottom w:val="0"/>
      <w:divBdr>
        <w:top w:val="none" w:sz="0" w:space="0" w:color="auto"/>
        <w:left w:val="none" w:sz="0" w:space="0" w:color="auto"/>
        <w:bottom w:val="none" w:sz="0" w:space="0" w:color="auto"/>
        <w:right w:val="none" w:sz="0" w:space="0" w:color="auto"/>
      </w:divBdr>
    </w:div>
    <w:div w:id="664674535">
      <w:bodyDiv w:val="1"/>
      <w:marLeft w:val="0"/>
      <w:marRight w:val="0"/>
      <w:marTop w:val="0"/>
      <w:marBottom w:val="0"/>
      <w:divBdr>
        <w:top w:val="none" w:sz="0" w:space="0" w:color="auto"/>
        <w:left w:val="none" w:sz="0" w:space="0" w:color="auto"/>
        <w:bottom w:val="none" w:sz="0" w:space="0" w:color="auto"/>
        <w:right w:val="none" w:sz="0" w:space="0" w:color="auto"/>
      </w:divBdr>
    </w:div>
    <w:div w:id="664749296">
      <w:bodyDiv w:val="1"/>
      <w:marLeft w:val="0"/>
      <w:marRight w:val="0"/>
      <w:marTop w:val="0"/>
      <w:marBottom w:val="0"/>
      <w:divBdr>
        <w:top w:val="none" w:sz="0" w:space="0" w:color="auto"/>
        <w:left w:val="none" w:sz="0" w:space="0" w:color="auto"/>
        <w:bottom w:val="none" w:sz="0" w:space="0" w:color="auto"/>
        <w:right w:val="none" w:sz="0" w:space="0" w:color="auto"/>
      </w:divBdr>
    </w:div>
    <w:div w:id="664943946">
      <w:bodyDiv w:val="1"/>
      <w:marLeft w:val="0"/>
      <w:marRight w:val="0"/>
      <w:marTop w:val="0"/>
      <w:marBottom w:val="0"/>
      <w:divBdr>
        <w:top w:val="none" w:sz="0" w:space="0" w:color="auto"/>
        <w:left w:val="none" w:sz="0" w:space="0" w:color="auto"/>
        <w:bottom w:val="none" w:sz="0" w:space="0" w:color="auto"/>
        <w:right w:val="none" w:sz="0" w:space="0" w:color="auto"/>
      </w:divBdr>
    </w:div>
    <w:div w:id="665207015">
      <w:bodyDiv w:val="1"/>
      <w:marLeft w:val="0"/>
      <w:marRight w:val="0"/>
      <w:marTop w:val="0"/>
      <w:marBottom w:val="0"/>
      <w:divBdr>
        <w:top w:val="none" w:sz="0" w:space="0" w:color="auto"/>
        <w:left w:val="none" w:sz="0" w:space="0" w:color="auto"/>
        <w:bottom w:val="none" w:sz="0" w:space="0" w:color="auto"/>
        <w:right w:val="none" w:sz="0" w:space="0" w:color="auto"/>
      </w:divBdr>
    </w:div>
    <w:div w:id="665324419">
      <w:bodyDiv w:val="1"/>
      <w:marLeft w:val="0"/>
      <w:marRight w:val="0"/>
      <w:marTop w:val="0"/>
      <w:marBottom w:val="0"/>
      <w:divBdr>
        <w:top w:val="none" w:sz="0" w:space="0" w:color="auto"/>
        <w:left w:val="none" w:sz="0" w:space="0" w:color="auto"/>
        <w:bottom w:val="none" w:sz="0" w:space="0" w:color="auto"/>
        <w:right w:val="none" w:sz="0" w:space="0" w:color="auto"/>
      </w:divBdr>
    </w:div>
    <w:div w:id="666174061">
      <w:bodyDiv w:val="1"/>
      <w:marLeft w:val="0"/>
      <w:marRight w:val="0"/>
      <w:marTop w:val="0"/>
      <w:marBottom w:val="0"/>
      <w:divBdr>
        <w:top w:val="none" w:sz="0" w:space="0" w:color="auto"/>
        <w:left w:val="none" w:sz="0" w:space="0" w:color="auto"/>
        <w:bottom w:val="none" w:sz="0" w:space="0" w:color="auto"/>
        <w:right w:val="none" w:sz="0" w:space="0" w:color="auto"/>
      </w:divBdr>
    </w:div>
    <w:div w:id="666251386">
      <w:bodyDiv w:val="1"/>
      <w:marLeft w:val="0"/>
      <w:marRight w:val="0"/>
      <w:marTop w:val="0"/>
      <w:marBottom w:val="0"/>
      <w:divBdr>
        <w:top w:val="none" w:sz="0" w:space="0" w:color="auto"/>
        <w:left w:val="none" w:sz="0" w:space="0" w:color="auto"/>
        <w:bottom w:val="none" w:sz="0" w:space="0" w:color="auto"/>
        <w:right w:val="none" w:sz="0" w:space="0" w:color="auto"/>
      </w:divBdr>
    </w:div>
    <w:div w:id="666788011">
      <w:bodyDiv w:val="1"/>
      <w:marLeft w:val="0"/>
      <w:marRight w:val="0"/>
      <w:marTop w:val="0"/>
      <w:marBottom w:val="0"/>
      <w:divBdr>
        <w:top w:val="none" w:sz="0" w:space="0" w:color="auto"/>
        <w:left w:val="none" w:sz="0" w:space="0" w:color="auto"/>
        <w:bottom w:val="none" w:sz="0" w:space="0" w:color="auto"/>
        <w:right w:val="none" w:sz="0" w:space="0" w:color="auto"/>
      </w:divBdr>
    </w:div>
    <w:div w:id="668021287">
      <w:bodyDiv w:val="1"/>
      <w:marLeft w:val="0"/>
      <w:marRight w:val="0"/>
      <w:marTop w:val="0"/>
      <w:marBottom w:val="0"/>
      <w:divBdr>
        <w:top w:val="none" w:sz="0" w:space="0" w:color="auto"/>
        <w:left w:val="none" w:sz="0" w:space="0" w:color="auto"/>
        <w:bottom w:val="none" w:sz="0" w:space="0" w:color="auto"/>
        <w:right w:val="none" w:sz="0" w:space="0" w:color="auto"/>
      </w:divBdr>
    </w:div>
    <w:div w:id="668093425">
      <w:bodyDiv w:val="1"/>
      <w:marLeft w:val="0"/>
      <w:marRight w:val="0"/>
      <w:marTop w:val="0"/>
      <w:marBottom w:val="0"/>
      <w:divBdr>
        <w:top w:val="none" w:sz="0" w:space="0" w:color="auto"/>
        <w:left w:val="none" w:sz="0" w:space="0" w:color="auto"/>
        <w:bottom w:val="none" w:sz="0" w:space="0" w:color="auto"/>
        <w:right w:val="none" w:sz="0" w:space="0" w:color="auto"/>
      </w:divBdr>
    </w:div>
    <w:div w:id="668140015">
      <w:bodyDiv w:val="1"/>
      <w:marLeft w:val="0"/>
      <w:marRight w:val="0"/>
      <w:marTop w:val="0"/>
      <w:marBottom w:val="0"/>
      <w:divBdr>
        <w:top w:val="none" w:sz="0" w:space="0" w:color="auto"/>
        <w:left w:val="none" w:sz="0" w:space="0" w:color="auto"/>
        <w:bottom w:val="none" w:sz="0" w:space="0" w:color="auto"/>
        <w:right w:val="none" w:sz="0" w:space="0" w:color="auto"/>
      </w:divBdr>
    </w:div>
    <w:div w:id="668603774">
      <w:bodyDiv w:val="1"/>
      <w:marLeft w:val="0"/>
      <w:marRight w:val="0"/>
      <w:marTop w:val="0"/>
      <w:marBottom w:val="0"/>
      <w:divBdr>
        <w:top w:val="none" w:sz="0" w:space="0" w:color="auto"/>
        <w:left w:val="none" w:sz="0" w:space="0" w:color="auto"/>
        <w:bottom w:val="none" w:sz="0" w:space="0" w:color="auto"/>
        <w:right w:val="none" w:sz="0" w:space="0" w:color="auto"/>
      </w:divBdr>
    </w:div>
    <w:div w:id="668826126">
      <w:bodyDiv w:val="1"/>
      <w:marLeft w:val="0"/>
      <w:marRight w:val="0"/>
      <w:marTop w:val="0"/>
      <w:marBottom w:val="0"/>
      <w:divBdr>
        <w:top w:val="none" w:sz="0" w:space="0" w:color="auto"/>
        <w:left w:val="none" w:sz="0" w:space="0" w:color="auto"/>
        <w:bottom w:val="none" w:sz="0" w:space="0" w:color="auto"/>
        <w:right w:val="none" w:sz="0" w:space="0" w:color="auto"/>
      </w:divBdr>
    </w:div>
    <w:div w:id="669135143">
      <w:bodyDiv w:val="1"/>
      <w:marLeft w:val="0"/>
      <w:marRight w:val="0"/>
      <w:marTop w:val="0"/>
      <w:marBottom w:val="0"/>
      <w:divBdr>
        <w:top w:val="none" w:sz="0" w:space="0" w:color="auto"/>
        <w:left w:val="none" w:sz="0" w:space="0" w:color="auto"/>
        <w:bottom w:val="none" w:sz="0" w:space="0" w:color="auto"/>
        <w:right w:val="none" w:sz="0" w:space="0" w:color="auto"/>
      </w:divBdr>
    </w:div>
    <w:div w:id="670447941">
      <w:bodyDiv w:val="1"/>
      <w:marLeft w:val="0"/>
      <w:marRight w:val="0"/>
      <w:marTop w:val="0"/>
      <w:marBottom w:val="0"/>
      <w:divBdr>
        <w:top w:val="none" w:sz="0" w:space="0" w:color="auto"/>
        <w:left w:val="none" w:sz="0" w:space="0" w:color="auto"/>
        <w:bottom w:val="none" w:sz="0" w:space="0" w:color="auto"/>
        <w:right w:val="none" w:sz="0" w:space="0" w:color="auto"/>
      </w:divBdr>
    </w:div>
    <w:div w:id="670641563">
      <w:bodyDiv w:val="1"/>
      <w:marLeft w:val="0"/>
      <w:marRight w:val="0"/>
      <w:marTop w:val="0"/>
      <w:marBottom w:val="0"/>
      <w:divBdr>
        <w:top w:val="none" w:sz="0" w:space="0" w:color="auto"/>
        <w:left w:val="none" w:sz="0" w:space="0" w:color="auto"/>
        <w:bottom w:val="none" w:sz="0" w:space="0" w:color="auto"/>
        <w:right w:val="none" w:sz="0" w:space="0" w:color="auto"/>
      </w:divBdr>
    </w:div>
    <w:div w:id="671027745">
      <w:bodyDiv w:val="1"/>
      <w:marLeft w:val="0"/>
      <w:marRight w:val="0"/>
      <w:marTop w:val="0"/>
      <w:marBottom w:val="0"/>
      <w:divBdr>
        <w:top w:val="none" w:sz="0" w:space="0" w:color="auto"/>
        <w:left w:val="none" w:sz="0" w:space="0" w:color="auto"/>
        <w:bottom w:val="none" w:sz="0" w:space="0" w:color="auto"/>
        <w:right w:val="none" w:sz="0" w:space="0" w:color="auto"/>
      </w:divBdr>
    </w:div>
    <w:div w:id="671226621">
      <w:bodyDiv w:val="1"/>
      <w:marLeft w:val="0"/>
      <w:marRight w:val="0"/>
      <w:marTop w:val="0"/>
      <w:marBottom w:val="0"/>
      <w:divBdr>
        <w:top w:val="none" w:sz="0" w:space="0" w:color="auto"/>
        <w:left w:val="none" w:sz="0" w:space="0" w:color="auto"/>
        <w:bottom w:val="none" w:sz="0" w:space="0" w:color="auto"/>
        <w:right w:val="none" w:sz="0" w:space="0" w:color="auto"/>
      </w:divBdr>
    </w:div>
    <w:div w:id="671294675">
      <w:bodyDiv w:val="1"/>
      <w:marLeft w:val="0"/>
      <w:marRight w:val="0"/>
      <w:marTop w:val="0"/>
      <w:marBottom w:val="0"/>
      <w:divBdr>
        <w:top w:val="none" w:sz="0" w:space="0" w:color="auto"/>
        <w:left w:val="none" w:sz="0" w:space="0" w:color="auto"/>
        <w:bottom w:val="none" w:sz="0" w:space="0" w:color="auto"/>
        <w:right w:val="none" w:sz="0" w:space="0" w:color="auto"/>
      </w:divBdr>
    </w:div>
    <w:div w:id="671369999">
      <w:bodyDiv w:val="1"/>
      <w:marLeft w:val="0"/>
      <w:marRight w:val="0"/>
      <w:marTop w:val="0"/>
      <w:marBottom w:val="0"/>
      <w:divBdr>
        <w:top w:val="none" w:sz="0" w:space="0" w:color="auto"/>
        <w:left w:val="none" w:sz="0" w:space="0" w:color="auto"/>
        <w:bottom w:val="none" w:sz="0" w:space="0" w:color="auto"/>
        <w:right w:val="none" w:sz="0" w:space="0" w:color="auto"/>
      </w:divBdr>
    </w:div>
    <w:div w:id="672219702">
      <w:bodyDiv w:val="1"/>
      <w:marLeft w:val="0"/>
      <w:marRight w:val="0"/>
      <w:marTop w:val="0"/>
      <w:marBottom w:val="0"/>
      <w:divBdr>
        <w:top w:val="none" w:sz="0" w:space="0" w:color="auto"/>
        <w:left w:val="none" w:sz="0" w:space="0" w:color="auto"/>
        <w:bottom w:val="none" w:sz="0" w:space="0" w:color="auto"/>
        <w:right w:val="none" w:sz="0" w:space="0" w:color="auto"/>
      </w:divBdr>
    </w:div>
    <w:div w:id="672611812">
      <w:bodyDiv w:val="1"/>
      <w:marLeft w:val="0"/>
      <w:marRight w:val="0"/>
      <w:marTop w:val="0"/>
      <w:marBottom w:val="0"/>
      <w:divBdr>
        <w:top w:val="none" w:sz="0" w:space="0" w:color="auto"/>
        <w:left w:val="none" w:sz="0" w:space="0" w:color="auto"/>
        <w:bottom w:val="none" w:sz="0" w:space="0" w:color="auto"/>
        <w:right w:val="none" w:sz="0" w:space="0" w:color="auto"/>
      </w:divBdr>
    </w:div>
    <w:div w:id="672614251">
      <w:bodyDiv w:val="1"/>
      <w:marLeft w:val="0"/>
      <w:marRight w:val="0"/>
      <w:marTop w:val="0"/>
      <w:marBottom w:val="0"/>
      <w:divBdr>
        <w:top w:val="none" w:sz="0" w:space="0" w:color="auto"/>
        <w:left w:val="none" w:sz="0" w:space="0" w:color="auto"/>
        <w:bottom w:val="none" w:sz="0" w:space="0" w:color="auto"/>
        <w:right w:val="none" w:sz="0" w:space="0" w:color="auto"/>
      </w:divBdr>
    </w:div>
    <w:div w:id="672873189">
      <w:bodyDiv w:val="1"/>
      <w:marLeft w:val="0"/>
      <w:marRight w:val="0"/>
      <w:marTop w:val="0"/>
      <w:marBottom w:val="0"/>
      <w:divBdr>
        <w:top w:val="none" w:sz="0" w:space="0" w:color="auto"/>
        <w:left w:val="none" w:sz="0" w:space="0" w:color="auto"/>
        <w:bottom w:val="none" w:sz="0" w:space="0" w:color="auto"/>
        <w:right w:val="none" w:sz="0" w:space="0" w:color="auto"/>
      </w:divBdr>
    </w:div>
    <w:div w:id="673537738">
      <w:bodyDiv w:val="1"/>
      <w:marLeft w:val="0"/>
      <w:marRight w:val="0"/>
      <w:marTop w:val="0"/>
      <w:marBottom w:val="0"/>
      <w:divBdr>
        <w:top w:val="none" w:sz="0" w:space="0" w:color="auto"/>
        <w:left w:val="none" w:sz="0" w:space="0" w:color="auto"/>
        <w:bottom w:val="none" w:sz="0" w:space="0" w:color="auto"/>
        <w:right w:val="none" w:sz="0" w:space="0" w:color="auto"/>
      </w:divBdr>
    </w:div>
    <w:div w:id="673803098">
      <w:bodyDiv w:val="1"/>
      <w:marLeft w:val="0"/>
      <w:marRight w:val="0"/>
      <w:marTop w:val="0"/>
      <w:marBottom w:val="0"/>
      <w:divBdr>
        <w:top w:val="none" w:sz="0" w:space="0" w:color="auto"/>
        <w:left w:val="none" w:sz="0" w:space="0" w:color="auto"/>
        <w:bottom w:val="none" w:sz="0" w:space="0" w:color="auto"/>
        <w:right w:val="none" w:sz="0" w:space="0" w:color="auto"/>
      </w:divBdr>
    </w:div>
    <w:div w:id="674502379">
      <w:bodyDiv w:val="1"/>
      <w:marLeft w:val="0"/>
      <w:marRight w:val="0"/>
      <w:marTop w:val="0"/>
      <w:marBottom w:val="0"/>
      <w:divBdr>
        <w:top w:val="none" w:sz="0" w:space="0" w:color="auto"/>
        <w:left w:val="none" w:sz="0" w:space="0" w:color="auto"/>
        <w:bottom w:val="none" w:sz="0" w:space="0" w:color="auto"/>
        <w:right w:val="none" w:sz="0" w:space="0" w:color="auto"/>
      </w:divBdr>
    </w:div>
    <w:div w:id="674575727">
      <w:bodyDiv w:val="1"/>
      <w:marLeft w:val="0"/>
      <w:marRight w:val="0"/>
      <w:marTop w:val="0"/>
      <w:marBottom w:val="0"/>
      <w:divBdr>
        <w:top w:val="none" w:sz="0" w:space="0" w:color="auto"/>
        <w:left w:val="none" w:sz="0" w:space="0" w:color="auto"/>
        <w:bottom w:val="none" w:sz="0" w:space="0" w:color="auto"/>
        <w:right w:val="none" w:sz="0" w:space="0" w:color="auto"/>
      </w:divBdr>
    </w:div>
    <w:div w:id="674575831">
      <w:bodyDiv w:val="1"/>
      <w:marLeft w:val="0"/>
      <w:marRight w:val="0"/>
      <w:marTop w:val="0"/>
      <w:marBottom w:val="0"/>
      <w:divBdr>
        <w:top w:val="none" w:sz="0" w:space="0" w:color="auto"/>
        <w:left w:val="none" w:sz="0" w:space="0" w:color="auto"/>
        <w:bottom w:val="none" w:sz="0" w:space="0" w:color="auto"/>
        <w:right w:val="none" w:sz="0" w:space="0" w:color="auto"/>
      </w:divBdr>
    </w:div>
    <w:div w:id="674652482">
      <w:bodyDiv w:val="1"/>
      <w:marLeft w:val="0"/>
      <w:marRight w:val="0"/>
      <w:marTop w:val="0"/>
      <w:marBottom w:val="0"/>
      <w:divBdr>
        <w:top w:val="none" w:sz="0" w:space="0" w:color="auto"/>
        <w:left w:val="none" w:sz="0" w:space="0" w:color="auto"/>
        <w:bottom w:val="none" w:sz="0" w:space="0" w:color="auto"/>
        <w:right w:val="none" w:sz="0" w:space="0" w:color="auto"/>
      </w:divBdr>
    </w:div>
    <w:div w:id="674767353">
      <w:bodyDiv w:val="1"/>
      <w:marLeft w:val="0"/>
      <w:marRight w:val="0"/>
      <w:marTop w:val="0"/>
      <w:marBottom w:val="0"/>
      <w:divBdr>
        <w:top w:val="none" w:sz="0" w:space="0" w:color="auto"/>
        <w:left w:val="none" w:sz="0" w:space="0" w:color="auto"/>
        <w:bottom w:val="none" w:sz="0" w:space="0" w:color="auto"/>
        <w:right w:val="none" w:sz="0" w:space="0" w:color="auto"/>
      </w:divBdr>
    </w:div>
    <w:div w:id="674958253">
      <w:bodyDiv w:val="1"/>
      <w:marLeft w:val="0"/>
      <w:marRight w:val="0"/>
      <w:marTop w:val="0"/>
      <w:marBottom w:val="0"/>
      <w:divBdr>
        <w:top w:val="none" w:sz="0" w:space="0" w:color="auto"/>
        <w:left w:val="none" w:sz="0" w:space="0" w:color="auto"/>
        <w:bottom w:val="none" w:sz="0" w:space="0" w:color="auto"/>
        <w:right w:val="none" w:sz="0" w:space="0" w:color="auto"/>
      </w:divBdr>
    </w:div>
    <w:div w:id="675032921">
      <w:bodyDiv w:val="1"/>
      <w:marLeft w:val="0"/>
      <w:marRight w:val="0"/>
      <w:marTop w:val="0"/>
      <w:marBottom w:val="0"/>
      <w:divBdr>
        <w:top w:val="none" w:sz="0" w:space="0" w:color="auto"/>
        <w:left w:val="none" w:sz="0" w:space="0" w:color="auto"/>
        <w:bottom w:val="none" w:sz="0" w:space="0" w:color="auto"/>
        <w:right w:val="none" w:sz="0" w:space="0" w:color="auto"/>
      </w:divBdr>
    </w:div>
    <w:div w:id="675500644">
      <w:bodyDiv w:val="1"/>
      <w:marLeft w:val="0"/>
      <w:marRight w:val="0"/>
      <w:marTop w:val="0"/>
      <w:marBottom w:val="0"/>
      <w:divBdr>
        <w:top w:val="none" w:sz="0" w:space="0" w:color="auto"/>
        <w:left w:val="none" w:sz="0" w:space="0" w:color="auto"/>
        <w:bottom w:val="none" w:sz="0" w:space="0" w:color="auto"/>
        <w:right w:val="none" w:sz="0" w:space="0" w:color="auto"/>
      </w:divBdr>
    </w:div>
    <w:div w:id="675814825">
      <w:bodyDiv w:val="1"/>
      <w:marLeft w:val="0"/>
      <w:marRight w:val="0"/>
      <w:marTop w:val="0"/>
      <w:marBottom w:val="0"/>
      <w:divBdr>
        <w:top w:val="none" w:sz="0" w:space="0" w:color="auto"/>
        <w:left w:val="none" w:sz="0" w:space="0" w:color="auto"/>
        <w:bottom w:val="none" w:sz="0" w:space="0" w:color="auto"/>
        <w:right w:val="none" w:sz="0" w:space="0" w:color="auto"/>
      </w:divBdr>
    </w:div>
    <w:div w:id="676155864">
      <w:bodyDiv w:val="1"/>
      <w:marLeft w:val="0"/>
      <w:marRight w:val="0"/>
      <w:marTop w:val="0"/>
      <w:marBottom w:val="0"/>
      <w:divBdr>
        <w:top w:val="none" w:sz="0" w:space="0" w:color="auto"/>
        <w:left w:val="none" w:sz="0" w:space="0" w:color="auto"/>
        <w:bottom w:val="none" w:sz="0" w:space="0" w:color="auto"/>
        <w:right w:val="none" w:sz="0" w:space="0" w:color="auto"/>
      </w:divBdr>
    </w:div>
    <w:div w:id="676227595">
      <w:bodyDiv w:val="1"/>
      <w:marLeft w:val="0"/>
      <w:marRight w:val="0"/>
      <w:marTop w:val="0"/>
      <w:marBottom w:val="0"/>
      <w:divBdr>
        <w:top w:val="none" w:sz="0" w:space="0" w:color="auto"/>
        <w:left w:val="none" w:sz="0" w:space="0" w:color="auto"/>
        <w:bottom w:val="none" w:sz="0" w:space="0" w:color="auto"/>
        <w:right w:val="none" w:sz="0" w:space="0" w:color="auto"/>
      </w:divBdr>
    </w:div>
    <w:div w:id="676423412">
      <w:bodyDiv w:val="1"/>
      <w:marLeft w:val="0"/>
      <w:marRight w:val="0"/>
      <w:marTop w:val="0"/>
      <w:marBottom w:val="0"/>
      <w:divBdr>
        <w:top w:val="none" w:sz="0" w:space="0" w:color="auto"/>
        <w:left w:val="none" w:sz="0" w:space="0" w:color="auto"/>
        <w:bottom w:val="none" w:sz="0" w:space="0" w:color="auto"/>
        <w:right w:val="none" w:sz="0" w:space="0" w:color="auto"/>
      </w:divBdr>
    </w:div>
    <w:div w:id="677007784">
      <w:bodyDiv w:val="1"/>
      <w:marLeft w:val="0"/>
      <w:marRight w:val="0"/>
      <w:marTop w:val="0"/>
      <w:marBottom w:val="0"/>
      <w:divBdr>
        <w:top w:val="none" w:sz="0" w:space="0" w:color="auto"/>
        <w:left w:val="none" w:sz="0" w:space="0" w:color="auto"/>
        <w:bottom w:val="none" w:sz="0" w:space="0" w:color="auto"/>
        <w:right w:val="none" w:sz="0" w:space="0" w:color="auto"/>
      </w:divBdr>
    </w:div>
    <w:div w:id="677080142">
      <w:bodyDiv w:val="1"/>
      <w:marLeft w:val="0"/>
      <w:marRight w:val="0"/>
      <w:marTop w:val="0"/>
      <w:marBottom w:val="0"/>
      <w:divBdr>
        <w:top w:val="none" w:sz="0" w:space="0" w:color="auto"/>
        <w:left w:val="none" w:sz="0" w:space="0" w:color="auto"/>
        <w:bottom w:val="none" w:sz="0" w:space="0" w:color="auto"/>
        <w:right w:val="none" w:sz="0" w:space="0" w:color="auto"/>
      </w:divBdr>
    </w:div>
    <w:div w:id="677119470">
      <w:bodyDiv w:val="1"/>
      <w:marLeft w:val="0"/>
      <w:marRight w:val="0"/>
      <w:marTop w:val="0"/>
      <w:marBottom w:val="0"/>
      <w:divBdr>
        <w:top w:val="none" w:sz="0" w:space="0" w:color="auto"/>
        <w:left w:val="none" w:sz="0" w:space="0" w:color="auto"/>
        <w:bottom w:val="none" w:sz="0" w:space="0" w:color="auto"/>
        <w:right w:val="none" w:sz="0" w:space="0" w:color="auto"/>
      </w:divBdr>
    </w:div>
    <w:div w:id="677468475">
      <w:bodyDiv w:val="1"/>
      <w:marLeft w:val="0"/>
      <w:marRight w:val="0"/>
      <w:marTop w:val="0"/>
      <w:marBottom w:val="0"/>
      <w:divBdr>
        <w:top w:val="none" w:sz="0" w:space="0" w:color="auto"/>
        <w:left w:val="none" w:sz="0" w:space="0" w:color="auto"/>
        <w:bottom w:val="none" w:sz="0" w:space="0" w:color="auto"/>
        <w:right w:val="none" w:sz="0" w:space="0" w:color="auto"/>
      </w:divBdr>
    </w:div>
    <w:div w:id="677998609">
      <w:bodyDiv w:val="1"/>
      <w:marLeft w:val="0"/>
      <w:marRight w:val="0"/>
      <w:marTop w:val="0"/>
      <w:marBottom w:val="0"/>
      <w:divBdr>
        <w:top w:val="none" w:sz="0" w:space="0" w:color="auto"/>
        <w:left w:val="none" w:sz="0" w:space="0" w:color="auto"/>
        <w:bottom w:val="none" w:sz="0" w:space="0" w:color="auto"/>
        <w:right w:val="none" w:sz="0" w:space="0" w:color="auto"/>
      </w:divBdr>
    </w:div>
    <w:div w:id="677999084">
      <w:bodyDiv w:val="1"/>
      <w:marLeft w:val="0"/>
      <w:marRight w:val="0"/>
      <w:marTop w:val="0"/>
      <w:marBottom w:val="0"/>
      <w:divBdr>
        <w:top w:val="none" w:sz="0" w:space="0" w:color="auto"/>
        <w:left w:val="none" w:sz="0" w:space="0" w:color="auto"/>
        <w:bottom w:val="none" w:sz="0" w:space="0" w:color="auto"/>
        <w:right w:val="none" w:sz="0" w:space="0" w:color="auto"/>
      </w:divBdr>
    </w:div>
    <w:div w:id="678122757">
      <w:bodyDiv w:val="1"/>
      <w:marLeft w:val="0"/>
      <w:marRight w:val="0"/>
      <w:marTop w:val="0"/>
      <w:marBottom w:val="0"/>
      <w:divBdr>
        <w:top w:val="none" w:sz="0" w:space="0" w:color="auto"/>
        <w:left w:val="none" w:sz="0" w:space="0" w:color="auto"/>
        <w:bottom w:val="none" w:sz="0" w:space="0" w:color="auto"/>
        <w:right w:val="none" w:sz="0" w:space="0" w:color="auto"/>
      </w:divBdr>
    </w:div>
    <w:div w:id="678507916">
      <w:bodyDiv w:val="1"/>
      <w:marLeft w:val="0"/>
      <w:marRight w:val="0"/>
      <w:marTop w:val="0"/>
      <w:marBottom w:val="0"/>
      <w:divBdr>
        <w:top w:val="none" w:sz="0" w:space="0" w:color="auto"/>
        <w:left w:val="none" w:sz="0" w:space="0" w:color="auto"/>
        <w:bottom w:val="none" w:sz="0" w:space="0" w:color="auto"/>
        <w:right w:val="none" w:sz="0" w:space="0" w:color="auto"/>
      </w:divBdr>
    </w:div>
    <w:div w:id="679435522">
      <w:bodyDiv w:val="1"/>
      <w:marLeft w:val="0"/>
      <w:marRight w:val="0"/>
      <w:marTop w:val="0"/>
      <w:marBottom w:val="0"/>
      <w:divBdr>
        <w:top w:val="none" w:sz="0" w:space="0" w:color="auto"/>
        <w:left w:val="none" w:sz="0" w:space="0" w:color="auto"/>
        <w:bottom w:val="none" w:sz="0" w:space="0" w:color="auto"/>
        <w:right w:val="none" w:sz="0" w:space="0" w:color="auto"/>
      </w:divBdr>
    </w:div>
    <w:div w:id="679697013">
      <w:bodyDiv w:val="1"/>
      <w:marLeft w:val="0"/>
      <w:marRight w:val="0"/>
      <w:marTop w:val="0"/>
      <w:marBottom w:val="0"/>
      <w:divBdr>
        <w:top w:val="none" w:sz="0" w:space="0" w:color="auto"/>
        <w:left w:val="none" w:sz="0" w:space="0" w:color="auto"/>
        <w:bottom w:val="none" w:sz="0" w:space="0" w:color="auto"/>
        <w:right w:val="none" w:sz="0" w:space="0" w:color="auto"/>
      </w:divBdr>
    </w:div>
    <w:div w:id="680202117">
      <w:bodyDiv w:val="1"/>
      <w:marLeft w:val="0"/>
      <w:marRight w:val="0"/>
      <w:marTop w:val="0"/>
      <w:marBottom w:val="0"/>
      <w:divBdr>
        <w:top w:val="none" w:sz="0" w:space="0" w:color="auto"/>
        <w:left w:val="none" w:sz="0" w:space="0" w:color="auto"/>
        <w:bottom w:val="none" w:sz="0" w:space="0" w:color="auto"/>
        <w:right w:val="none" w:sz="0" w:space="0" w:color="auto"/>
      </w:divBdr>
    </w:div>
    <w:div w:id="680358108">
      <w:bodyDiv w:val="1"/>
      <w:marLeft w:val="0"/>
      <w:marRight w:val="0"/>
      <w:marTop w:val="0"/>
      <w:marBottom w:val="0"/>
      <w:divBdr>
        <w:top w:val="none" w:sz="0" w:space="0" w:color="auto"/>
        <w:left w:val="none" w:sz="0" w:space="0" w:color="auto"/>
        <w:bottom w:val="none" w:sz="0" w:space="0" w:color="auto"/>
        <w:right w:val="none" w:sz="0" w:space="0" w:color="auto"/>
      </w:divBdr>
    </w:div>
    <w:div w:id="680394996">
      <w:bodyDiv w:val="1"/>
      <w:marLeft w:val="0"/>
      <w:marRight w:val="0"/>
      <w:marTop w:val="0"/>
      <w:marBottom w:val="0"/>
      <w:divBdr>
        <w:top w:val="none" w:sz="0" w:space="0" w:color="auto"/>
        <w:left w:val="none" w:sz="0" w:space="0" w:color="auto"/>
        <w:bottom w:val="none" w:sz="0" w:space="0" w:color="auto"/>
        <w:right w:val="none" w:sz="0" w:space="0" w:color="auto"/>
      </w:divBdr>
    </w:div>
    <w:div w:id="680549491">
      <w:bodyDiv w:val="1"/>
      <w:marLeft w:val="0"/>
      <w:marRight w:val="0"/>
      <w:marTop w:val="0"/>
      <w:marBottom w:val="0"/>
      <w:divBdr>
        <w:top w:val="none" w:sz="0" w:space="0" w:color="auto"/>
        <w:left w:val="none" w:sz="0" w:space="0" w:color="auto"/>
        <w:bottom w:val="none" w:sz="0" w:space="0" w:color="auto"/>
        <w:right w:val="none" w:sz="0" w:space="0" w:color="auto"/>
      </w:divBdr>
    </w:div>
    <w:div w:id="681316397">
      <w:bodyDiv w:val="1"/>
      <w:marLeft w:val="0"/>
      <w:marRight w:val="0"/>
      <w:marTop w:val="0"/>
      <w:marBottom w:val="0"/>
      <w:divBdr>
        <w:top w:val="none" w:sz="0" w:space="0" w:color="auto"/>
        <w:left w:val="none" w:sz="0" w:space="0" w:color="auto"/>
        <w:bottom w:val="none" w:sz="0" w:space="0" w:color="auto"/>
        <w:right w:val="none" w:sz="0" w:space="0" w:color="auto"/>
      </w:divBdr>
    </w:div>
    <w:div w:id="681972836">
      <w:bodyDiv w:val="1"/>
      <w:marLeft w:val="0"/>
      <w:marRight w:val="0"/>
      <w:marTop w:val="0"/>
      <w:marBottom w:val="0"/>
      <w:divBdr>
        <w:top w:val="none" w:sz="0" w:space="0" w:color="auto"/>
        <w:left w:val="none" w:sz="0" w:space="0" w:color="auto"/>
        <w:bottom w:val="none" w:sz="0" w:space="0" w:color="auto"/>
        <w:right w:val="none" w:sz="0" w:space="0" w:color="auto"/>
      </w:divBdr>
    </w:div>
    <w:div w:id="681972953">
      <w:bodyDiv w:val="1"/>
      <w:marLeft w:val="0"/>
      <w:marRight w:val="0"/>
      <w:marTop w:val="0"/>
      <w:marBottom w:val="0"/>
      <w:divBdr>
        <w:top w:val="none" w:sz="0" w:space="0" w:color="auto"/>
        <w:left w:val="none" w:sz="0" w:space="0" w:color="auto"/>
        <w:bottom w:val="none" w:sz="0" w:space="0" w:color="auto"/>
        <w:right w:val="none" w:sz="0" w:space="0" w:color="auto"/>
      </w:divBdr>
    </w:div>
    <w:div w:id="681973883">
      <w:bodyDiv w:val="1"/>
      <w:marLeft w:val="0"/>
      <w:marRight w:val="0"/>
      <w:marTop w:val="0"/>
      <w:marBottom w:val="0"/>
      <w:divBdr>
        <w:top w:val="none" w:sz="0" w:space="0" w:color="auto"/>
        <w:left w:val="none" w:sz="0" w:space="0" w:color="auto"/>
        <w:bottom w:val="none" w:sz="0" w:space="0" w:color="auto"/>
        <w:right w:val="none" w:sz="0" w:space="0" w:color="auto"/>
      </w:divBdr>
    </w:div>
    <w:div w:id="682704022">
      <w:bodyDiv w:val="1"/>
      <w:marLeft w:val="0"/>
      <w:marRight w:val="0"/>
      <w:marTop w:val="0"/>
      <w:marBottom w:val="0"/>
      <w:divBdr>
        <w:top w:val="none" w:sz="0" w:space="0" w:color="auto"/>
        <w:left w:val="none" w:sz="0" w:space="0" w:color="auto"/>
        <w:bottom w:val="none" w:sz="0" w:space="0" w:color="auto"/>
        <w:right w:val="none" w:sz="0" w:space="0" w:color="auto"/>
      </w:divBdr>
    </w:div>
    <w:div w:id="682784301">
      <w:bodyDiv w:val="1"/>
      <w:marLeft w:val="0"/>
      <w:marRight w:val="0"/>
      <w:marTop w:val="0"/>
      <w:marBottom w:val="0"/>
      <w:divBdr>
        <w:top w:val="none" w:sz="0" w:space="0" w:color="auto"/>
        <w:left w:val="none" w:sz="0" w:space="0" w:color="auto"/>
        <w:bottom w:val="none" w:sz="0" w:space="0" w:color="auto"/>
        <w:right w:val="none" w:sz="0" w:space="0" w:color="auto"/>
      </w:divBdr>
    </w:div>
    <w:div w:id="683242095">
      <w:bodyDiv w:val="1"/>
      <w:marLeft w:val="0"/>
      <w:marRight w:val="0"/>
      <w:marTop w:val="0"/>
      <w:marBottom w:val="0"/>
      <w:divBdr>
        <w:top w:val="none" w:sz="0" w:space="0" w:color="auto"/>
        <w:left w:val="none" w:sz="0" w:space="0" w:color="auto"/>
        <w:bottom w:val="none" w:sz="0" w:space="0" w:color="auto"/>
        <w:right w:val="none" w:sz="0" w:space="0" w:color="auto"/>
      </w:divBdr>
    </w:div>
    <w:div w:id="683283794">
      <w:bodyDiv w:val="1"/>
      <w:marLeft w:val="0"/>
      <w:marRight w:val="0"/>
      <w:marTop w:val="0"/>
      <w:marBottom w:val="0"/>
      <w:divBdr>
        <w:top w:val="none" w:sz="0" w:space="0" w:color="auto"/>
        <w:left w:val="none" w:sz="0" w:space="0" w:color="auto"/>
        <w:bottom w:val="none" w:sz="0" w:space="0" w:color="auto"/>
        <w:right w:val="none" w:sz="0" w:space="0" w:color="auto"/>
      </w:divBdr>
    </w:div>
    <w:div w:id="683821765">
      <w:bodyDiv w:val="1"/>
      <w:marLeft w:val="0"/>
      <w:marRight w:val="0"/>
      <w:marTop w:val="0"/>
      <w:marBottom w:val="0"/>
      <w:divBdr>
        <w:top w:val="none" w:sz="0" w:space="0" w:color="auto"/>
        <w:left w:val="none" w:sz="0" w:space="0" w:color="auto"/>
        <w:bottom w:val="none" w:sz="0" w:space="0" w:color="auto"/>
        <w:right w:val="none" w:sz="0" w:space="0" w:color="auto"/>
      </w:divBdr>
    </w:div>
    <w:div w:id="683896133">
      <w:bodyDiv w:val="1"/>
      <w:marLeft w:val="0"/>
      <w:marRight w:val="0"/>
      <w:marTop w:val="0"/>
      <w:marBottom w:val="0"/>
      <w:divBdr>
        <w:top w:val="none" w:sz="0" w:space="0" w:color="auto"/>
        <w:left w:val="none" w:sz="0" w:space="0" w:color="auto"/>
        <w:bottom w:val="none" w:sz="0" w:space="0" w:color="auto"/>
        <w:right w:val="none" w:sz="0" w:space="0" w:color="auto"/>
      </w:divBdr>
    </w:div>
    <w:div w:id="683939945">
      <w:bodyDiv w:val="1"/>
      <w:marLeft w:val="0"/>
      <w:marRight w:val="0"/>
      <w:marTop w:val="0"/>
      <w:marBottom w:val="0"/>
      <w:divBdr>
        <w:top w:val="none" w:sz="0" w:space="0" w:color="auto"/>
        <w:left w:val="none" w:sz="0" w:space="0" w:color="auto"/>
        <w:bottom w:val="none" w:sz="0" w:space="0" w:color="auto"/>
        <w:right w:val="none" w:sz="0" w:space="0" w:color="auto"/>
      </w:divBdr>
    </w:div>
    <w:div w:id="684014052">
      <w:bodyDiv w:val="1"/>
      <w:marLeft w:val="0"/>
      <w:marRight w:val="0"/>
      <w:marTop w:val="0"/>
      <w:marBottom w:val="0"/>
      <w:divBdr>
        <w:top w:val="none" w:sz="0" w:space="0" w:color="auto"/>
        <w:left w:val="none" w:sz="0" w:space="0" w:color="auto"/>
        <w:bottom w:val="none" w:sz="0" w:space="0" w:color="auto"/>
        <w:right w:val="none" w:sz="0" w:space="0" w:color="auto"/>
      </w:divBdr>
    </w:div>
    <w:div w:id="684402186">
      <w:bodyDiv w:val="1"/>
      <w:marLeft w:val="0"/>
      <w:marRight w:val="0"/>
      <w:marTop w:val="0"/>
      <w:marBottom w:val="0"/>
      <w:divBdr>
        <w:top w:val="none" w:sz="0" w:space="0" w:color="auto"/>
        <w:left w:val="none" w:sz="0" w:space="0" w:color="auto"/>
        <w:bottom w:val="none" w:sz="0" w:space="0" w:color="auto"/>
        <w:right w:val="none" w:sz="0" w:space="0" w:color="auto"/>
      </w:divBdr>
    </w:div>
    <w:div w:id="684552727">
      <w:bodyDiv w:val="1"/>
      <w:marLeft w:val="0"/>
      <w:marRight w:val="0"/>
      <w:marTop w:val="0"/>
      <w:marBottom w:val="0"/>
      <w:divBdr>
        <w:top w:val="none" w:sz="0" w:space="0" w:color="auto"/>
        <w:left w:val="none" w:sz="0" w:space="0" w:color="auto"/>
        <w:bottom w:val="none" w:sz="0" w:space="0" w:color="auto"/>
        <w:right w:val="none" w:sz="0" w:space="0" w:color="auto"/>
      </w:divBdr>
    </w:div>
    <w:div w:id="684552898">
      <w:bodyDiv w:val="1"/>
      <w:marLeft w:val="0"/>
      <w:marRight w:val="0"/>
      <w:marTop w:val="0"/>
      <w:marBottom w:val="0"/>
      <w:divBdr>
        <w:top w:val="none" w:sz="0" w:space="0" w:color="auto"/>
        <w:left w:val="none" w:sz="0" w:space="0" w:color="auto"/>
        <w:bottom w:val="none" w:sz="0" w:space="0" w:color="auto"/>
        <w:right w:val="none" w:sz="0" w:space="0" w:color="auto"/>
      </w:divBdr>
    </w:div>
    <w:div w:id="684593608">
      <w:bodyDiv w:val="1"/>
      <w:marLeft w:val="0"/>
      <w:marRight w:val="0"/>
      <w:marTop w:val="0"/>
      <w:marBottom w:val="0"/>
      <w:divBdr>
        <w:top w:val="none" w:sz="0" w:space="0" w:color="auto"/>
        <w:left w:val="none" w:sz="0" w:space="0" w:color="auto"/>
        <w:bottom w:val="none" w:sz="0" w:space="0" w:color="auto"/>
        <w:right w:val="none" w:sz="0" w:space="0" w:color="auto"/>
      </w:divBdr>
    </w:div>
    <w:div w:id="685055051">
      <w:bodyDiv w:val="1"/>
      <w:marLeft w:val="0"/>
      <w:marRight w:val="0"/>
      <w:marTop w:val="0"/>
      <w:marBottom w:val="0"/>
      <w:divBdr>
        <w:top w:val="none" w:sz="0" w:space="0" w:color="auto"/>
        <w:left w:val="none" w:sz="0" w:space="0" w:color="auto"/>
        <w:bottom w:val="none" w:sz="0" w:space="0" w:color="auto"/>
        <w:right w:val="none" w:sz="0" w:space="0" w:color="auto"/>
      </w:divBdr>
    </w:div>
    <w:div w:id="685256670">
      <w:bodyDiv w:val="1"/>
      <w:marLeft w:val="0"/>
      <w:marRight w:val="0"/>
      <w:marTop w:val="0"/>
      <w:marBottom w:val="0"/>
      <w:divBdr>
        <w:top w:val="none" w:sz="0" w:space="0" w:color="auto"/>
        <w:left w:val="none" w:sz="0" w:space="0" w:color="auto"/>
        <w:bottom w:val="none" w:sz="0" w:space="0" w:color="auto"/>
        <w:right w:val="none" w:sz="0" w:space="0" w:color="auto"/>
      </w:divBdr>
    </w:div>
    <w:div w:id="685375507">
      <w:bodyDiv w:val="1"/>
      <w:marLeft w:val="0"/>
      <w:marRight w:val="0"/>
      <w:marTop w:val="0"/>
      <w:marBottom w:val="0"/>
      <w:divBdr>
        <w:top w:val="none" w:sz="0" w:space="0" w:color="auto"/>
        <w:left w:val="none" w:sz="0" w:space="0" w:color="auto"/>
        <w:bottom w:val="none" w:sz="0" w:space="0" w:color="auto"/>
        <w:right w:val="none" w:sz="0" w:space="0" w:color="auto"/>
      </w:divBdr>
    </w:div>
    <w:div w:id="686054570">
      <w:bodyDiv w:val="1"/>
      <w:marLeft w:val="0"/>
      <w:marRight w:val="0"/>
      <w:marTop w:val="0"/>
      <w:marBottom w:val="0"/>
      <w:divBdr>
        <w:top w:val="none" w:sz="0" w:space="0" w:color="auto"/>
        <w:left w:val="none" w:sz="0" w:space="0" w:color="auto"/>
        <w:bottom w:val="none" w:sz="0" w:space="0" w:color="auto"/>
        <w:right w:val="none" w:sz="0" w:space="0" w:color="auto"/>
      </w:divBdr>
    </w:div>
    <w:div w:id="686641633">
      <w:bodyDiv w:val="1"/>
      <w:marLeft w:val="0"/>
      <w:marRight w:val="0"/>
      <w:marTop w:val="0"/>
      <w:marBottom w:val="0"/>
      <w:divBdr>
        <w:top w:val="none" w:sz="0" w:space="0" w:color="auto"/>
        <w:left w:val="none" w:sz="0" w:space="0" w:color="auto"/>
        <w:bottom w:val="none" w:sz="0" w:space="0" w:color="auto"/>
        <w:right w:val="none" w:sz="0" w:space="0" w:color="auto"/>
      </w:divBdr>
    </w:div>
    <w:div w:id="686758100">
      <w:bodyDiv w:val="1"/>
      <w:marLeft w:val="0"/>
      <w:marRight w:val="0"/>
      <w:marTop w:val="0"/>
      <w:marBottom w:val="0"/>
      <w:divBdr>
        <w:top w:val="none" w:sz="0" w:space="0" w:color="auto"/>
        <w:left w:val="none" w:sz="0" w:space="0" w:color="auto"/>
        <w:bottom w:val="none" w:sz="0" w:space="0" w:color="auto"/>
        <w:right w:val="none" w:sz="0" w:space="0" w:color="auto"/>
      </w:divBdr>
    </w:div>
    <w:div w:id="686948643">
      <w:bodyDiv w:val="1"/>
      <w:marLeft w:val="0"/>
      <w:marRight w:val="0"/>
      <w:marTop w:val="0"/>
      <w:marBottom w:val="0"/>
      <w:divBdr>
        <w:top w:val="none" w:sz="0" w:space="0" w:color="auto"/>
        <w:left w:val="none" w:sz="0" w:space="0" w:color="auto"/>
        <w:bottom w:val="none" w:sz="0" w:space="0" w:color="auto"/>
        <w:right w:val="none" w:sz="0" w:space="0" w:color="auto"/>
      </w:divBdr>
    </w:div>
    <w:div w:id="687024464">
      <w:bodyDiv w:val="1"/>
      <w:marLeft w:val="0"/>
      <w:marRight w:val="0"/>
      <w:marTop w:val="0"/>
      <w:marBottom w:val="0"/>
      <w:divBdr>
        <w:top w:val="none" w:sz="0" w:space="0" w:color="auto"/>
        <w:left w:val="none" w:sz="0" w:space="0" w:color="auto"/>
        <w:bottom w:val="none" w:sz="0" w:space="0" w:color="auto"/>
        <w:right w:val="none" w:sz="0" w:space="0" w:color="auto"/>
      </w:divBdr>
    </w:div>
    <w:div w:id="687103181">
      <w:bodyDiv w:val="1"/>
      <w:marLeft w:val="0"/>
      <w:marRight w:val="0"/>
      <w:marTop w:val="0"/>
      <w:marBottom w:val="0"/>
      <w:divBdr>
        <w:top w:val="none" w:sz="0" w:space="0" w:color="auto"/>
        <w:left w:val="none" w:sz="0" w:space="0" w:color="auto"/>
        <w:bottom w:val="none" w:sz="0" w:space="0" w:color="auto"/>
        <w:right w:val="none" w:sz="0" w:space="0" w:color="auto"/>
      </w:divBdr>
    </w:div>
    <w:div w:id="687177162">
      <w:bodyDiv w:val="1"/>
      <w:marLeft w:val="0"/>
      <w:marRight w:val="0"/>
      <w:marTop w:val="0"/>
      <w:marBottom w:val="0"/>
      <w:divBdr>
        <w:top w:val="none" w:sz="0" w:space="0" w:color="auto"/>
        <w:left w:val="none" w:sz="0" w:space="0" w:color="auto"/>
        <w:bottom w:val="none" w:sz="0" w:space="0" w:color="auto"/>
        <w:right w:val="none" w:sz="0" w:space="0" w:color="auto"/>
      </w:divBdr>
    </w:div>
    <w:div w:id="687369668">
      <w:bodyDiv w:val="1"/>
      <w:marLeft w:val="0"/>
      <w:marRight w:val="0"/>
      <w:marTop w:val="0"/>
      <w:marBottom w:val="0"/>
      <w:divBdr>
        <w:top w:val="none" w:sz="0" w:space="0" w:color="auto"/>
        <w:left w:val="none" w:sz="0" w:space="0" w:color="auto"/>
        <w:bottom w:val="none" w:sz="0" w:space="0" w:color="auto"/>
        <w:right w:val="none" w:sz="0" w:space="0" w:color="auto"/>
      </w:divBdr>
    </w:div>
    <w:div w:id="688020492">
      <w:bodyDiv w:val="1"/>
      <w:marLeft w:val="0"/>
      <w:marRight w:val="0"/>
      <w:marTop w:val="0"/>
      <w:marBottom w:val="0"/>
      <w:divBdr>
        <w:top w:val="none" w:sz="0" w:space="0" w:color="auto"/>
        <w:left w:val="none" w:sz="0" w:space="0" w:color="auto"/>
        <w:bottom w:val="none" w:sz="0" w:space="0" w:color="auto"/>
        <w:right w:val="none" w:sz="0" w:space="0" w:color="auto"/>
      </w:divBdr>
    </w:div>
    <w:div w:id="688067710">
      <w:bodyDiv w:val="1"/>
      <w:marLeft w:val="0"/>
      <w:marRight w:val="0"/>
      <w:marTop w:val="0"/>
      <w:marBottom w:val="0"/>
      <w:divBdr>
        <w:top w:val="none" w:sz="0" w:space="0" w:color="auto"/>
        <w:left w:val="none" w:sz="0" w:space="0" w:color="auto"/>
        <w:bottom w:val="none" w:sz="0" w:space="0" w:color="auto"/>
        <w:right w:val="none" w:sz="0" w:space="0" w:color="auto"/>
      </w:divBdr>
    </w:div>
    <w:div w:id="688528593">
      <w:bodyDiv w:val="1"/>
      <w:marLeft w:val="0"/>
      <w:marRight w:val="0"/>
      <w:marTop w:val="0"/>
      <w:marBottom w:val="0"/>
      <w:divBdr>
        <w:top w:val="none" w:sz="0" w:space="0" w:color="auto"/>
        <w:left w:val="none" w:sz="0" w:space="0" w:color="auto"/>
        <w:bottom w:val="none" w:sz="0" w:space="0" w:color="auto"/>
        <w:right w:val="none" w:sz="0" w:space="0" w:color="auto"/>
      </w:divBdr>
    </w:div>
    <w:div w:id="689259654">
      <w:bodyDiv w:val="1"/>
      <w:marLeft w:val="0"/>
      <w:marRight w:val="0"/>
      <w:marTop w:val="0"/>
      <w:marBottom w:val="0"/>
      <w:divBdr>
        <w:top w:val="none" w:sz="0" w:space="0" w:color="auto"/>
        <w:left w:val="none" w:sz="0" w:space="0" w:color="auto"/>
        <w:bottom w:val="none" w:sz="0" w:space="0" w:color="auto"/>
        <w:right w:val="none" w:sz="0" w:space="0" w:color="auto"/>
      </w:divBdr>
    </w:div>
    <w:div w:id="689376925">
      <w:bodyDiv w:val="1"/>
      <w:marLeft w:val="0"/>
      <w:marRight w:val="0"/>
      <w:marTop w:val="0"/>
      <w:marBottom w:val="0"/>
      <w:divBdr>
        <w:top w:val="none" w:sz="0" w:space="0" w:color="auto"/>
        <w:left w:val="none" w:sz="0" w:space="0" w:color="auto"/>
        <w:bottom w:val="none" w:sz="0" w:space="0" w:color="auto"/>
        <w:right w:val="none" w:sz="0" w:space="0" w:color="auto"/>
      </w:divBdr>
    </w:div>
    <w:div w:id="689453806">
      <w:bodyDiv w:val="1"/>
      <w:marLeft w:val="0"/>
      <w:marRight w:val="0"/>
      <w:marTop w:val="0"/>
      <w:marBottom w:val="0"/>
      <w:divBdr>
        <w:top w:val="none" w:sz="0" w:space="0" w:color="auto"/>
        <w:left w:val="none" w:sz="0" w:space="0" w:color="auto"/>
        <w:bottom w:val="none" w:sz="0" w:space="0" w:color="auto"/>
        <w:right w:val="none" w:sz="0" w:space="0" w:color="auto"/>
      </w:divBdr>
    </w:div>
    <w:div w:id="689835403">
      <w:bodyDiv w:val="1"/>
      <w:marLeft w:val="0"/>
      <w:marRight w:val="0"/>
      <w:marTop w:val="0"/>
      <w:marBottom w:val="0"/>
      <w:divBdr>
        <w:top w:val="none" w:sz="0" w:space="0" w:color="auto"/>
        <w:left w:val="none" w:sz="0" w:space="0" w:color="auto"/>
        <w:bottom w:val="none" w:sz="0" w:space="0" w:color="auto"/>
        <w:right w:val="none" w:sz="0" w:space="0" w:color="auto"/>
      </w:divBdr>
    </w:div>
    <w:div w:id="689844289">
      <w:bodyDiv w:val="1"/>
      <w:marLeft w:val="0"/>
      <w:marRight w:val="0"/>
      <w:marTop w:val="0"/>
      <w:marBottom w:val="0"/>
      <w:divBdr>
        <w:top w:val="none" w:sz="0" w:space="0" w:color="auto"/>
        <w:left w:val="none" w:sz="0" w:space="0" w:color="auto"/>
        <w:bottom w:val="none" w:sz="0" w:space="0" w:color="auto"/>
        <w:right w:val="none" w:sz="0" w:space="0" w:color="auto"/>
      </w:divBdr>
    </w:div>
    <w:div w:id="690297732">
      <w:bodyDiv w:val="1"/>
      <w:marLeft w:val="0"/>
      <w:marRight w:val="0"/>
      <w:marTop w:val="0"/>
      <w:marBottom w:val="0"/>
      <w:divBdr>
        <w:top w:val="none" w:sz="0" w:space="0" w:color="auto"/>
        <w:left w:val="none" w:sz="0" w:space="0" w:color="auto"/>
        <w:bottom w:val="none" w:sz="0" w:space="0" w:color="auto"/>
        <w:right w:val="none" w:sz="0" w:space="0" w:color="auto"/>
      </w:divBdr>
    </w:div>
    <w:div w:id="690377548">
      <w:bodyDiv w:val="1"/>
      <w:marLeft w:val="0"/>
      <w:marRight w:val="0"/>
      <w:marTop w:val="0"/>
      <w:marBottom w:val="0"/>
      <w:divBdr>
        <w:top w:val="none" w:sz="0" w:space="0" w:color="auto"/>
        <w:left w:val="none" w:sz="0" w:space="0" w:color="auto"/>
        <w:bottom w:val="none" w:sz="0" w:space="0" w:color="auto"/>
        <w:right w:val="none" w:sz="0" w:space="0" w:color="auto"/>
      </w:divBdr>
    </w:div>
    <w:div w:id="691109257">
      <w:bodyDiv w:val="1"/>
      <w:marLeft w:val="0"/>
      <w:marRight w:val="0"/>
      <w:marTop w:val="0"/>
      <w:marBottom w:val="0"/>
      <w:divBdr>
        <w:top w:val="none" w:sz="0" w:space="0" w:color="auto"/>
        <w:left w:val="none" w:sz="0" w:space="0" w:color="auto"/>
        <w:bottom w:val="none" w:sz="0" w:space="0" w:color="auto"/>
        <w:right w:val="none" w:sz="0" w:space="0" w:color="auto"/>
      </w:divBdr>
    </w:div>
    <w:div w:id="691227528">
      <w:bodyDiv w:val="1"/>
      <w:marLeft w:val="0"/>
      <w:marRight w:val="0"/>
      <w:marTop w:val="0"/>
      <w:marBottom w:val="0"/>
      <w:divBdr>
        <w:top w:val="none" w:sz="0" w:space="0" w:color="auto"/>
        <w:left w:val="none" w:sz="0" w:space="0" w:color="auto"/>
        <w:bottom w:val="none" w:sz="0" w:space="0" w:color="auto"/>
        <w:right w:val="none" w:sz="0" w:space="0" w:color="auto"/>
      </w:divBdr>
    </w:div>
    <w:div w:id="691417550">
      <w:bodyDiv w:val="1"/>
      <w:marLeft w:val="0"/>
      <w:marRight w:val="0"/>
      <w:marTop w:val="0"/>
      <w:marBottom w:val="0"/>
      <w:divBdr>
        <w:top w:val="none" w:sz="0" w:space="0" w:color="auto"/>
        <w:left w:val="none" w:sz="0" w:space="0" w:color="auto"/>
        <w:bottom w:val="none" w:sz="0" w:space="0" w:color="auto"/>
        <w:right w:val="none" w:sz="0" w:space="0" w:color="auto"/>
      </w:divBdr>
    </w:div>
    <w:div w:id="691615481">
      <w:bodyDiv w:val="1"/>
      <w:marLeft w:val="0"/>
      <w:marRight w:val="0"/>
      <w:marTop w:val="0"/>
      <w:marBottom w:val="0"/>
      <w:divBdr>
        <w:top w:val="none" w:sz="0" w:space="0" w:color="auto"/>
        <w:left w:val="none" w:sz="0" w:space="0" w:color="auto"/>
        <w:bottom w:val="none" w:sz="0" w:space="0" w:color="auto"/>
        <w:right w:val="none" w:sz="0" w:space="0" w:color="auto"/>
      </w:divBdr>
    </w:div>
    <w:div w:id="691802050">
      <w:bodyDiv w:val="1"/>
      <w:marLeft w:val="0"/>
      <w:marRight w:val="0"/>
      <w:marTop w:val="0"/>
      <w:marBottom w:val="0"/>
      <w:divBdr>
        <w:top w:val="none" w:sz="0" w:space="0" w:color="auto"/>
        <w:left w:val="none" w:sz="0" w:space="0" w:color="auto"/>
        <w:bottom w:val="none" w:sz="0" w:space="0" w:color="auto"/>
        <w:right w:val="none" w:sz="0" w:space="0" w:color="auto"/>
      </w:divBdr>
    </w:div>
    <w:div w:id="692925651">
      <w:bodyDiv w:val="1"/>
      <w:marLeft w:val="0"/>
      <w:marRight w:val="0"/>
      <w:marTop w:val="0"/>
      <w:marBottom w:val="0"/>
      <w:divBdr>
        <w:top w:val="none" w:sz="0" w:space="0" w:color="auto"/>
        <w:left w:val="none" w:sz="0" w:space="0" w:color="auto"/>
        <w:bottom w:val="none" w:sz="0" w:space="0" w:color="auto"/>
        <w:right w:val="none" w:sz="0" w:space="0" w:color="auto"/>
      </w:divBdr>
    </w:div>
    <w:div w:id="693337883">
      <w:bodyDiv w:val="1"/>
      <w:marLeft w:val="0"/>
      <w:marRight w:val="0"/>
      <w:marTop w:val="0"/>
      <w:marBottom w:val="0"/>
      <w:divBdr>
        <w:top w:val="none" w:sz="0" w:space="0" w:color="auto"/>
        <w:left w:val="none" w:sz="0" w:space="0" w:color="auto"/>
        <w:bottom w:val="none" w:sz="0" w:space="0" w:color="auto"/>
        <w:right w:val="none" w:sz="0" w:space="0" w:color="auto"/>
      </w:divBdr>
    </w:div>
    <w:div w:id="693652032">
      <w:bodyDiv w:val="1"/>
      <w:marLeft w:val="0"/>
      <w:marRight w:val="0"/>
      <w:marTop w:val="0"/>
      <w:marBottom w:val="0"/>
      <w:divBdr>
        <w:top w:val="none" w:sz="0" w:space="0" w:color="auto"/>
        <w:left w:val="none" w:sz="0" w:space="0" w:color="auto"/>
        <w:bottom w:val="none" w:sz="0" w:space="0" w:color="auto"/>
        <w:right w:val="none" w:sz="0" w:space="0" w:color="auto"/>
      </w:divBdr>
    </w:div>
    <w:div w:id="693726440">
      <w:bodyDiv w:val="1"/>
      <w:marLeft w:val="0"/>
      <w:marRight w:val="0"/>
      <w:marTop w:val="0"/>
      <w:marBottom w:val="0"/>
      <w:divBdr>
        <w:top w:val="none" w:sz="0" w:space="0" w:color="auto"/>
        <w:left w:val="none" w:sz="0" w:space="0" w:color="auto"/>
        <w:bottom w:val="none" w:sz="0" w:space="0" w:color="auto"/>
        <w:right w:val="none" w:sz="0" w:space="0" w:color="auto"/>
      </w:divBdr>
    </w:div>
    <w:div w:id="694114106">
      <w:bodyDiv w:val="1"/>
      <w:marLeft w:val="0"/>
      <w:marRight w:val="0"/>
      <w:marTop w:val="0"/>
      <w:marBottom w:val="0"/>
      <w:divBdr>
        <w:top w:val="none" w:sz="0" w:space="0" w:color="auto"/>
        <w:left w:val="none" w:sz="0" w:space="0" w:color="auto"/>
        <w:bottom w:val="none" w:sz="0" w:space="0" w:color="auto"/>
        <w:right w:val="none" w:sz="0" w:space="0" w:color="auto"/>
      </w:divBdr>
    </w:div>
    <w:div w:id="694188020">
      <w:bodyDiv w:val="1"/>
      <w:marLeft w:val="0"/>
      <w:marRight w:val="0"/>
      <w:marTop w:val="0"/>
      <w:marBottom w:val="0"/>
      <w:divBdr>
        <w:top w:val="none" w:sz="0" w:space="0" w:color="auto"/>
        <w:left w:val="none" w:sz="0" w:space="0" w:color="auto"/>
        <w:bottom w:val="none" w:sz="0" w:space="0" w:color="auto"/>
        <w:right w:val="none" w:sz="0" w:space="0" w:color="auto"/>
      </w:divBdr>
    </w:div>
    <w:div w:id="694504633">
      <w:bodyDiv w:val="1"/>
      <w:marLeft w:val="0"/>
      <w:marRight w:val="0"/>
      <w:marTop w:val="0"/>
      <w:marBottom w:val="0"/>
      <w:divBdr>
        <w:top w:val="none" w:sz="0" w:space="0" w:color="auto"/>
        <w:left w:val="none" w:sz="0" w:space="0" w:color="auto"/>
        <w:bottom w:val="none" w:sz="0" w:space="0" w:color="auto"/>
        <w:right w:val="none" w:sz="0" w:space="0" w:color="auto"/>
      </w:divBdr>
    </w:div>
    <w:div w:id="695276348">
      <w:bodyDiv w:val="1"/>
      <w:marLeft w:val="0"/>
      <w:marRight w:val="0"/>
      <w:marTop w:val="0"/>
      <w:marBottom w:val="0"/>
      <w:divBdr>
        <w:top w:val="none" w:sz="0" w:space="0" w:color="auto"/>
        <w:left w:val="none" w:sz="0" w:space="0" w:color="auto"/>
        <w:bottom w:val="none" w:sz="0" w:space="0" w:color="auto"/>
        <w:right w:val="none" w:sz="0" w:space="0" w:color="auto"/>
      </w:divBdr>
    </w:div>
    <w:div w:id="695539153">
      <w:bodyDiv w:val="1"/>
      <w:marLeft w:val="0"/>
      <w:marRight w:val="0"/>
      <w:marTop w:val="0"/>
      <w:marBottom w:val="0"/>
      <w:divBdr>
        <w:top w:val="none" w:sz="0" w:space="0" w:color="auto"/>
        <w:left w:val="none" w:sz="0" w:space="0" w:color="auto"/>
        <w:bottom w:val="none" w:sz="0" w:space="0" w:color="auto"/>
        <w:right w:val="none" w:sz="0" w:space="0" w:color="auto"/>
      </w:divBdr>
    </w:div>
    <w:div w:id="696079637">
      <w:bodyDiv w:val="1"/>
      <w:marLeft w:val="0"/>
      <w:marRight w:val="0"/>
      <w:marTop w:val="0"/>
      <w:marBottom w:val="0"/>
      <w:divBdr>
        <w:top w:val="none" w:sz="0" w:space="0" w:color="auto"/>
        <w:left w:val="none" w:sz="0" w:space="0" w:color="auto"/>
        <w:bottom w:val="none" w:sz="0" w:space="0" w:color="auto"/>
        <w:right w:val="none" w:sz="0" w:space="0" w:color="auto"/>
      </w:divBdr>
    </w:div>
    <w:div w:id="696736228">
      <w:bodyDiv w:val="1"/>
      <w:marLeft w:val="0"/>
      <w:marRight w:val="0"/>
      <w:marTop w:val="0"/>
      <w:marBottom w:val="0"/>
      <w:divBdr>
        <w:top w:val="none" w:sz="0" w:space="0" w:color="auto"/>
        <w:left w:val="none" w:sz="0" w:space="0" w:color="auto"/>
        <w:bottom w:val="none" w:sz="0" w:space="0" w:color="auto"/>
        <w:right w:val="none" w:sz="0" w:space="0" w:color="auto"/>
      </w:divBdr>
    </w:div>
    <w:div w:id="697241091">
      <w:bodyDiv w:val="1"/>
      <w:marLeft w:val="0"/>
      <w:marRight w:val="0"/>
      <w:marTop w:val="0"/>
      <w:marBottom w:val="0"/>
      <w:divBdr>
        <w:top w:val="none" w:sz="0" w:space="0" w:color="auto"/>
        <w:left w:val="none" w:sz="0" w:space="0" w:color="auto"/>
        <w:bottom w:val="none" w:sz="0" w:space="0" w:color="auto"/>
        <w:right w:val="none" w:sz="0" w:space="0" w:color="auto"/>
      </w:divBdr>
    </w:div>
    <w:div w:id="697394354">
      <w:bodyDiv w:val="1"/>
      <w:marLeft w:val="0"/>
      <w:marRight w:val="0"/>
      <w:marTop w:val="0"/>
      <w:marBottom w:val="0"/>
      <w:divBdr>
        <w:top w:val="none" w:sz="0" w:space="0" w:color="auto"/>
        <w:left w:val="none" w:sz="0" w:space="0" w:color="auto"/>
        <w:bottom w:val="none" w:sz="0" w:space="0" w:color="auto"/>
        <w:right w:val="none" w:sz="0" w:space="0" w:color="auto"/>
      </w:divBdr>
    </w:div>
    <w:div w:id="697513437">
      <w:bodyDiv w:val="1"/>
      <w:marLeft w:val="0"/>
      <w:marRight w:val="0"/>
      <w:marTop w:val="0"/>
      <w:marBottom w:val="0"/>
      <w:divBdr>
        <w:top w:val="none" w:sz="0" w:space="0" w:color="auto"/>
        <w:left w:val="none" w:sz="0" w:space="0" w:color="auto"/>
        <w:bottom w:val="none" w:sz="0" w:space="0" w:color="auto"/>
        <w:right w:val="none" w:sz="0" w:space="0" w:color="auto"/>
      </w:divBdr>
    </w:div>
    <w:div w:id="698239743">
      <w:bodyDiv w:val="1"/>
      <w:marLeft w:val="0"/>
      <w:marRight w:val="0"/>
      <w:marTop w:val="0"/>
      <w:marBottom w:val="0"/>
      <w:divBdr>
        <w:top w:val="none" w:sz="0" w:space="0" w:color="auto"/>
        <w:left w:val="none" w:sz="0" w:space="0" w:color="auto"/>
        <w:bottom w:val="none" w:sz="0" w:space="0" w:color="auto"/>
        <w:right w:val="none" w:sz="0" w:space="0" w:color="auto"/>
      </w:divBdr>
    </w:div>
    <w:div w:id="698553660">
      <w:bodyDiv w:val="1"/>
      <w:marLeft w:val="0"/>
      <w:marRight w:val="0"/>
      <w:marTop w:val="0"/>
      <w:marBottom w:val="0"/>
      <w:divBdr>
        <w:top w:val="none" w:sz="0" w:space="0" w:color="auto"/>
        <w:left w:val="none" w:sz="0" w:space="0" w:color="auto"/>
        <w:bottom w:val="none" w:sz="0" w:space="0" w:color="auto"/>
        <w:right w:val="none" w:sz="0" w:space="0" w:color="auto"/>
      </w:divBdr>
    </w:div>
    <w:div w:id="698776248">
      <w:bodyDiv w:val="1"/>
      <w:marLeft w:val="0"/>
      <w:marRight w:val="0"/>
      <w:marTop w:val="0"/>
      <w:marBottom w:val="0"/>
      <w:divBdr>
        <w:top w:val="none" w:sz="0" w:space="0" w:color="auto"/>
        <w:left w:val="none" w:sz="0" w:space="0" w:color="auto"/>
        <w:bottom w:val="none" w:sz="0" w:space="0" w:color="auto"/>
        <w:right w:val="none" w:sz="0" w:space="0" w:color="auto"/>
      </w:divBdr>
    </w:div>
    <w:div w:id="698818181">
      <w:bodyDiv w:val="1"/>
      <w:marLeft w:val="0"/>
      <w:marRight w:val="0"/>
      <w:marTop w:val="0"/>
      <w:marBottom w:val="0"/>
      <w:divBdr>
        <w:top w:val="none" w:sz="0" w:space="0" w:color="auto"/>
        <w:left w:val="none" w:sz="0" w:space="0" w:color="auto"/>
        <w:bottom w:val="none" w:sz="0" w:space="0" w:color="auto"/>
        <w:right w:val="none" w:sz="0" w:space="0" w:color="auto"/>
      </w:divBdr>
    </w:div>
    <w:div w:id="699017732">
      <w:bodyDiv w:val="1"/>
      <w:marLeft w:val="0"/>
      <w:marRight w:val="0"/>
      <w:marTop w:val="0"/>
      <w:marBottom w:val="0"/>
      <w:divBdr>
        <w:top w:val="none" w:sz="0" w:space="0" w:color="auto"/>
        <w:left w:val="none" w:sz="0" w:space="0" w:color="auto"/>
        <w:bottom w:val="none" w:sz="0" w:space="0" w:color="auto"/>
        <w:right w:val="none" w:sz="0" w:space="0" w:color="auto"/>
      </w:divBdr>
    </w:div>
    <w:div w:id="699278942">
      <w:bodyDiv w:val="1"/>
      <w:marLeft w:val="0"/>
      <w:marRight w:val="0"/>
      <w:marTop w:val="0"/>
      <w:marBottom w:val="0"/>
      <w:divBdr>
        <w:top w:val="none" w:sz="0" w:space="0" w:color="auto"/>
        <w:left w:val="none" w:sz="0" w:space="0" w:color="auto"/>
        <w:bottom w:val="none" w:sz="0" w:space="0" w:color="auto"/>
        <w:right w:val="none" w:sz="0" w:space="0" w:color="auto"/>
      </w:divBdr>
    </w:div>
    <w:div w:id="699354731">
      <w:bodyDiv w:val="1"/>
      <w:marLeft w:val="0"/>
      <w:marRight w:val="0"/>
      <w:marTop w:val="0"/>
      <w:marBottom w:val="0"/>
      <w:divBdr>
        <w:top w:val="none" w:sz="0" w:space="0" w:color="auto"/>
        <w:left w:val="none" w:sz="0" w:space="0" w:color="auto"/>
        <w:bottom w:val="none" w:sz="0" w:space="0" w:color="auto"/>
        <w:right w:val="none" w:sz="0" w:space="0" w:color="auto"/>
      </w:divBdr>
    </w:div>
    <w:div w:id="699428025">
      <w:bodyDiv w:val="1"/>
      <w:marLeft w:val="0"/>
      <w:marRight w:val="0"/>
      <w:marTop w:val="0"/>
      <w:marBottom w:val="0"/>
      <w:divBdr>
        <w:top w:val="none" w:sz="0" w:space="0" w:color="auto"/>
        <w:left w:val="none" w:sz="0" w:space="0" w:color="auto"/>
        <w:bottom w:val="none" w:sz="0" w:space="0" w:color="auto"/>
        <w:right w:val="none" w:sz="0" w:space="0" w:color="auto"/>
      </w:divBdr>
    </w:div>
    <w:div w:id="699474232">
      <w:bodyDiv w:val="1"/>
      <w:marLeft w:val="0"/>
      <w:marRight w:val="0"/>
      <w:marTop w:val="0"/>
      <w:marBottom w:val="0"/>
      <w:divBdr>
        <w:top w:val="none" w:sz="0" w:space="0" w:color="auto"/>
        <w:left w:val="none" w:sz="0" w:space="0" w:color="auto"/>
        <w:bottom w:val="none" w:sz="0" w:space="0" w:color="auto"/>
        <w:right w:val="none" w:sz="0" w:space="0" w:color="auto"/>
      </w:divBdr>
    </w:div>
    <w:div w:id="699672753">
      <w:bodyDiv w:val="1"/>
      <w:marLeft w:val="0"/>
      <w:marRight w:val="0"/>
      <w:marTop w:val="0"/>
      <w:marBottom w:val="0"/>
      <w:divBdr>
        <w:top w:val="none" w:sz="0" w:space="0" w:color="auto"/>
        <w:left w:val="none" w:sz="0" w:space="0" w:color="auto"/>
        <w:bottom w:val="none" w:sz="0" w:space="0" w:color="auto"/>
        <w:right w:val="none" w:sz="0" w:space="0" w:color="auto"/>
      </w:divBdr>
    </w:div>
    <w:div w:id="699863979">
      <w:bodyDiv w:val="1"/>
      <w:marLeft w:val="0"/>
      <w:marRight w:val="0"/>
      <w:marTop w:val="0"/>
      <w:marBottom w:val="0"/>
      <w:divBdr>
        <w:top w:val="none" w:sz="0" w:space="0" w:color="auto"/>
        <w:left w:val="none" w:sz="0" w:space="0" w:color="auto"/>
        <w:bottom w:val="none" w:sz="0" w:space="0" w:color="auto"/>
        <w:right w:val="none" w:sz="0" w:space="0" w:color="auto"/>
      </w:divBdr>
    </w:div>
    <w:div w:id="700129948">
      <w:bodyDiv w:val="1"/>
      <w:marLeft w:val="0"/>
      <w:marRight w:val="0"/>
      <w:marTop w:val="0"/>
      <w:marBottom w:val="0"/>
      <w:divBdr>
        <w:top w:val="none" w:sz="0" w:space="0" w:color="auto"/>
        <w:left w:val="none" w:sz="0" w:space="0" w:color="auto"/>
        <w:bottom w:val="none" w:sz="0" w:space="0" w:color="auto"/>
        <w:right w:val="none" w:sz="0" w:space="0" w:color="auto"/>
      </w:divBdr>
    </w:div>
    <w:div w:id="700282294">
      <w:bodyDiv w:val="1"/>
      <w:marLeft w:val="0"/>
      <w:marRight w:val="0"/>
      <w:marTop w:val="0"/>
      <w:marBottom w:val="0"/>
      <w:divBdr>
        <w:top w:val="none" w:sz="0" w:space="0" w:color="auto"/>
        <w:left w:val="none" w:sz="0" w:space="0" w:color="auto"/>
        <w:bottom w:val="none" w:sz="0" w:space="0" w:color="auto"/>
        <w:right w:val="none" w:sz="0" w:space="0" w:color="auto"/>
      </w:divBdr>
    </w:div>
    <w:div w:id="700975893">
      <w:bodyDiv w:val="1"/>
      <w:marLeft w:val="0"/>
      <w:marRight w:val="0"/>
      <w:marTop w:val="0"/>
      <w:marBottom w:val="0"/>
      <w:divBdr>
        <w:top w:val="none" w:sz="0" w:space="0" w:color="auto"/>
        <w:left w:val="none" w:sz="0" w:space="0" w:color="auto"/>
        <w:bottom w:val="none" w:sz="0" w:space="0" w:color="auto"/>
        <w:right w:val="none" w:sz="0" w:space="0" w:color="auto"/>
      </w:divBdr>
    </w:div>
    <w:div w:id="701442256">
      <w:bodyDiv w:val="1"/>
      <w:marLeft w:val="0"/>
      <w:marRight w:val="0"/>
      <w:marTop w:val="0"/>
      <w:marBottom w:val="0"/>
      <w:divBdr>
        <w:top w:val="none" w:sz="0" w:space="0" w:color="auto"/>
        <w:left w:val="none" w:sz="0" w:space="0" w:color="auto"/>
        <w:bottom w:val="none" w:sz="0" w:space="0" w:color="auto"/>
        <w:right w:val="none" w:sz="0" w:space="0" w:color="auto"/>
      </w:divBdr>
    </w:div>
    <w:div w:id="701908009">
      <w:bodyDiv w:val="1"/>
      <w:marLeft w:val="0"/>
      <w:marRight w:val="0"/>
      <w:marTop w:val="0"/>
      <w:marBottom w:val="0"/>
      <w:divBdr>
        <w:top w:val="none" w:sz="0" w:space="0" w:color="auto"/>
        <w:left w:val="none" w:sz="0" w:space="0" w:color="auto"/>
        <w:bottom w:val="none" w:sz="0" w:space="0" w:color="auto"/>
        <w:right w:val="none" w:sz="0" w:space="0" w:color="auto"/>
      </w:divBdr>
    </w:div>
    <w:div w:id="702097596">
      <w:bodyDiv w:val="1"/>
      <w:marLeft w:val="0"/>
      <w:marRight w:val="0"/>
      <w:marTop w:val="0"/>
      <w:marBottom w:val="0"/>
      <w:divBdr>
        <w:top w:val="none" w:sz="0" w:space="0" w:color="auto"/>
        <w:left w:val="none" w:sz="0" w:space="0" w:color="auto"/>
        <w:bottom w:val="none" w:sz="0" w:space="0" w:color="auto"/>
        <w:right w:val="none" w:sz="0" w:space="0" w:color="auto"/>
      </w:divBdr>
    </w:div>
    <w:div w:id="702635534">
      <w:bodyDiv w:val="1"/>
      <w:marLeft w:val="0"/>
      <w:marRight w:val="0"/>
      <w:marTop w:val="0"/>
      <w:marBottom w:val="0"/>
      <w:divBdr>
        <w:top w:val="none" w:sz="0" w:space="0" w:color="auto"/>
        <w:left w:val="none" w:sz="0" w:space="0" w:color="auto"/>
        <w:bottom w:val="none" w:sz="0" w:space="0" w:color="auto"/>
        <w:right w:val="none" w:sz="0" w:space="0" w:color="auto"/>
      </w:divBdr>
    </w:div>
    <w:div w:id="702705877">
      <w:bodyDiv w:val="1"/>
      <w:marLeft w:val="0"/>
      <w:marRight w:val="0"/>
      <w:marTop w:val="0"/>
      <w:marBottom w:val="0"/>
      <w:divBdr>
        <w:top w:val="none" w:sz="0" w:space="0" w:color="auto"/>
        <w:left w:val="none" w:sz="0" w:space="0" w:color="auto"/>
        <w:bottom w:val="none" w:sz="0" w:space="0" w:color="auto"/>
        <w:right w:val="none" w:sz="0" w:space="0" w:color="auto"/>
      </w:divBdr>
    </w:div>
    <w:div w:id="703336451">
      <w:bodyDiv w:val="1"/>
      <w:marLeft w:val="0"/>
      <w:marRight w:val="0"/>
      <w:marTop w:val="0"/>
      <w:marBottom w:val="0"/>
      <w:divBdr>
        <w:top w:val="none" w:sz="0" w:space="0" w:color="auto"/>
        <w:left w:val="none" w:sz="0" w:space="0" w:color="auto"/>
        <w:bottom w:val="none" w:sz="0" w:space="0" w:color="auto"/>
        <w:right w:val="none" w:sz="0" w:space="0" w:color="auto"/>
      </w:divBdr>
    </w:div>
    <w:div w:id="703747431">
      <w:bodyDiv w:val="1"/>
      <w:marLeft w:val="0"/>
      <w:marRight w:val="0"/>
      <w:marTop w:val="0"/>
      <w:marBottom w:val="0"/>
      <w:divBdr>
        <w:top w:val="none" w:sz="0" w:space="0" w:color="auto"/>
        <w:left w:val="none" w:sz="0" w:space="0" w:color="auto"/>
        <w:bottom w:val="none" w:sz="0" w:space="0" w:color="auto"/>
        <w:right w:val="none" w:sz="0" w:space="0" w:color="auto"/>
      </w:divBdr>
    </w:div>
    <w:div w:id="704210894">
      <w:bodyDiv w:val="1"/>
      <w:marLeft w:val="0"/>
      <w:marRight w:val="0"/>
      <w:marTop w:val="0"/>
      <w:marBottom w:val="0"/>
      <w:divBdr>
        <w:top w:val="none" w:sz="0" w:space="0" w:color="auto"/>
        <w:left w:val="none" w:sz="0" w:space="0" w:color="auto"/>
        <w:bottom w:val="none" w:sz="0" w:space="0" w:color="auto"/>
        <w:right w:val="none" w:sz="0" w:space="0" w:color="auto"/>
      </w:divBdr>
    </w:div>
    <w:div w:id="704257247">
      <w:bodyDiv w:val="1"/>
      <w:marLeft w:val="0"/>
      <w:marRight w:val="0"/>
      <w:marTop w:val="0"/>
      <w:marBottom w:val="0"/>
      <w:divBdr>
        <w:top w:val="none" w:sz="0" w:space="0" w:color="auto"/>
        <w:left w:val="none" w:sz="0" w:space="0" w:color="auto"/>
        <w:bottom w:val="none" w:sz="0" w:space="0" w:color="auto"/>
        <w:right w:val="none" w:sz="0" w:space="0" w:color="auto"/>
      </w:divBdr>
    </w:div>
    <w:div w:id="704334179">
      <w:bodyDiv w:val="1"/>
      <w:marLeft w:val="0"/>
      <w:marRight w:val="0"/>
      <w:marTop w:val="0"/>
      <w:marBottom w:val="0"/>
      <w:divBdr>
        <w:top w:val="none" w:sz="0" w:space="0" w:color="auto"/>
        <w:left w:val="none" w:sz="0" w:space="0" w:color="auto"/>
        <w:bottom w:val="none" w:sz="0" w:space="0" w:color="auto"/>
        <w:right w:val="none" w:sz="0" w:space="0" w:color="auto"/>
      </w:divBdr>
    </w:div>
    <w:div w:id="704793204">
      <w:bodyDiv w:val="1"/>
      <w:marLeft w:val="0"/>
      <w:marRight w:val="0"/>
      <w:marTop w:val="0"/>
      <w:marBottom w:val="0"/>
      <w:divBdr>
        <w:top w:val="none" w:sz="0" w:space="0" w:color="auto"/>
        <w:left w:val="none" w:sz="0" w:space="0" w:color="auto"/>
        <w:bottom w:val="none" w:sz="0" w:space="0" w:color="auto"/>
        <w:right w:val="none" w:sz="0" w:space="0" w:color="auto"/>
      </w:divBdr>
    </w:div>
    <w:div w:id="705638946">
      <w:bodyDiv w:val="1"/>
      <w:marLeft w:val="0"/>
      <w:marRight w:val="0"/>
      <w:marTop w:val="0"/>
      <w:marBottom w:val="0"/>
      <w:divBdr>
        <w:top w:val="none" w:sz="0" w:space="0" w:color="auto"/>
        <w:left w:val="none" w:sz="0" w:space="0" w:color="auto"/>
        <w:bottom w:val="none" w:sz="0" w:space="0" w:color="auto"/>
        <w:right w:val="none" w:sz="0" w:space="0" w:color="auto"/>
      </w:divBdr>
    </w:div>
    <w:div w:id="705956916">
      <w:bodyDiv w:val="1"/>
      <w:marLeft w:val="0"/>
      <w:marRight w:val="0"/>
      <w:marTop w:val="0"/>
      <w:marBottom w:val="0"/>
      <w:divBdr>
        <w:top w:val="none" w:sz="0" w:space="0" w:color="auto"/>
        <w:left w:val="none" w:sz="0" w:space="0" w:color="auto"/>
        <w:bottom w:val="none" w:sz="0" w:space="0" w:color="auto"/>
        <w:right w:val="none" w:sz="0" w:space="0" w:color="auto"/>
      </w:divBdr>
    </w:div>
    <w:div w:id="708184569">
      <w:bodyDiv w:val="1"/>
      <w:marLeft w:val="0"/>
      <w:marRight w:val="0"/>
      <w:marTop w:val="0"/>
      <w:marBottom w:val="0"/>
      <w:divBdr>
        <w:top w:val="none" w:sz="0" w:space="0" w:color="auto"/>
        <w:left w:val="none" w:sz="0" w:space="0" w:color="auto"/>
        <w:bottom w:val="none" w:sz="0" w:space="0" w:color="auto"/>
        <w:right w:val="none" w:sz="0" w:space="0" w:color="auto"/>
      </w:divBdr>
    </w:div>
    <w:div w:id="708647319">
      <w:bodyDiv w:val="1"/>
      <w:marLeft w:val="0"/>
      <w:marRight w:val="0"/>
      <w:marTop w:val="0"/>
      <w:marBottom w:val="0"/>
      <w:divBdr>
        <w:top w:val="none" w:sz="0" w:space="0" w:color="auto"/>
        <w:left w:val="none" w:sz="0" w:space="0" w:color="auto"/>
        <w:bottom w:val="none" w:sz="0" w:space="0" w:color="auto"/>
        <w:right w:val="none" w:sz="0" w:space="0" w:color="auto"/>
      </w:divBdr>
    </w:div>
    <w:div w:id="709451977">
      <w:bodyDiv w:val="1"/>
      <w:marLeft w:val="0"/>
      <w:marRight w:val="0"/>
      <w:marTop w:val="0"/>
      <w:marBottom w:val="0"/>
      <w:divBdr>
        <w:top w:val="none" w:sz="0" w:space="0" w:color="auto"/>
        <w:left w:val="none" w:sz="0" w:space="0" w:color="auto"/>
        <w:bottom w:val="none" w:sz="0" w:space="0" w:color="auto"/>
        <w:right w:val="none" w:sz="0" w:space="0" w:color="auto"/>
      </w:divBdr>
    </w:div>
    <w:div w:id="709843047">
      <w:bodyDiv w:val="1"/>
      <w:marLeft w:val="0"/>
      <w:marRight w:val="0"/>
      <w:marTop w:val="0"/>
      <w:marBottom w:val="0"/>
      <w:divBdr>
        <w:top w:val="none" w:sz="0" w:space="0" w:color="auto"/>
        <w:left w:val="none" w:sz="0" w:space="0" w:color="auto"/>
        <w:bottom w:val="none" w:sz="0" w:space="0" w:color="auto"/>
        <w:right w:val="none" w:sz="0" w:space="0" w:color="auto"/>
      </w:divBdr>
    </w:div>
    <w:div w:id="710112969">
      <w:bodyDiv w:val="1"/>
      <w:marLeft w:val="0"/>
      <w:marRight w:val="0"/>
      <w:marTop w:val="0"/>
      <w:marBottom w:val="0"/>
      <w:divBdr>
        <w:top w:val="none" w:sz="0" w:space="0" w:color="auto"/>
        <w:left w:val="none" w:sz="0" w:space="0" w:color="auto"/>
        <w:bottom w:val="none" w:sz="0" w:space="0" w:color="auto"/>
        <w:right w:val="none" w:sz="0" w:space="0" w:color="auto"/>
      </w:divBdr>
    </w:div>
    <w:div w:id="710301051">
      <w:bodyDiv w:val="1"/>
      <w:marLeft w:val="0"/>
      <w:marRight w:val="0"/>
      <w:marTop w:val="0"/>
      <w:marBottom w:val="0"/>
      <w:divBdr>
        <w:top w:val="none" w:sz="0" w:space="0" w:color="auto"/>
        <w:left w:val="none" w:sz="0" w:space="0" w:color="auto"/>
        <w:bottom w:val="none" w:sz="0" w:space="0" w:color="auto"/>
        <w:right w:val="none" w:sz="0" w:space="0" w:color="auto"/>
      </w:divBdr>
    </w:div>
    <w:div w:id="710693753">
      <w:bodyDiv w:val="1"/>
      <w:marLeft w:val="0"/>
      <w:marRight w:val="0"/>
      <w:marTop w:val="0"/>
      <w:marBottom w:val="0"/>
      <w:divBdr>
        <w:top w:val="none" w:sz="0" w:space="0" w:color="auto"/>
        <w:left w:val="none" w:sz="0" w:space="0" w:color="auto"/>
        <w:bottom w:val="none" w:sz="0" w:space="0" w:color="auto"/>
        <w:right w:val="none" w:sz="0" w:space="0" w:color="auto"/>
      </w:divBdr>
    </w:div>
    <w:div w:id="710886025">
      <w:bodyDiv w:val="1"/>
      <w:marLeft w:val="0"/>
      <w:marRight w:val="0"/>
      <w:marTop w:val="0"/>
      <w:marBottom w:val="0"/>
      <w:divBdr>
        <w:top w:val="none" w:sz="0" w:space="0" w:color="auto"/>
        <w:left w:val="none" w:sz="0" w:space="0" w:color="auto"/>
        <w:bottom w:val="none" w:sz="0" w:space="0" w:color="auto"/>
        <w:right w:val="none" w:sz="0" w:space="0" w:color="auto"/>
      </w:divBdr>
    </w:div>
    <w:div w:id="711422864">
      <w:bodyDiv w:val="1"/>
      <w:marLeft w:val="0"/>
      <w:marRight w:val="0"/>
      <w:marTop w:val="0"/>
      <w:marBottom w:val="0"/>
      <w:divBdr>
        <w:top w:val="none" w:sz="0" w:space="0" w:color="auto"/>
        <w:left w:val="none" w:sz="0" w:space="0" w:color="auto"/>
        <w:bottom w:val="none" w:sz="0" w:space="0" w:color="auto"/>
        <w:right w:val="none" w:sz="0" w:space="0" w:color="auto"/>
      </w:divBdr>
    </w:div>
    <w:div w:id="711542482">
      <w:bodyDiv w:val="1"/>
      <w:marLeft w:val="0"/>
      <w:marRight w:val="0"/>
      <w:marTop w:val="0"/>
      <w:marBottom w:val="0"/>
      <w:divBdr>
        <w:top w:val="none" w:sz="0" w:space="0" w:color="auto"/>
        <w:left w:val="none" w:sz="0" w:space="0" w:color="auto"/>
        <w:bottom w:val="none" w:sz="0" w:space="0" w:color="auto"/>
        <w:right w:val="none" w:sz="0" w:space="0" w:color="auto"/>
      </w:divBdr>
    </w:div>
    <w:div w:id="711610708">
      <w:bodyDiv w:val="1"/>
      <w:marLeft w:val="0"/>
      <w:marRight w:val="0"/>
      <w:marTop w:val="0"/>
      <w:marBottom w:val="0"/>
      <w:divBdr>
        <w:top w:val="none" w:sz="0" w:space="0" w:color="auto"/>
        <w:left w:val="none" w:sz="0" w:space="0" w:color="auto"/>
        <w:bottom w:val="none" w:sz="0" w:space="0" w:color="auto"/>
        <w:right w:val="none" w:sz="0" w:space="0" w:color="auto"/>
      </w:divBdr>
    </w:div>
    <w:div w:id="711656655">
      <w:bodyDiv w:val="1"/>
      <w:marLeft w:val="0"/>
      <w:marRight w:val="0"/>
      <w:marTop w:val="0"/>
      <w:marBottom w:val="0"/>
      <w:divBdr>
        <w:top w:val="none" w:sz="0" w:space="0" w:color="auto"/>
        <w:left w:val="none" w:sz="0" w:space="0" w:color="auto"/>
        <w:bottom w:val="none" w:sz="0" w:space="0" w:color="auto"/>
        <w:right w:val="none" w:sz="0" w:space="0" w:color="auto"/>
      </w:divBdr>
    </w:div>
    <w:div w:id="711658197">
      <w:bodyDiv w:val="1"/>
      <w:marLeft w:val="0"/>
      <w:marRight w:val="0"/>
      <w:marTop w:val="0"/>
      <w:marBottom w:val="0"/>
      <w:divBdr>
        <w:top w:val="none" w:sz="0" w:space="0" w:color="auto"/>
        <w:left w:val="none" w:sz="0" w:space="0" w:color="auto"/>
        <w:bottom w:val="none" w:sz="0" w:space="0" w:color="auto"/>
        <w:right w:val="none" w:sz="0" w:space="0" w:color="auto"/>
      </w:divBdr>
    </w:div>
    <w:div w:id="712265052">
      <w:bodyDiv w:val="1"/>
      <w:marLeft w:val="0"/>
      <w:marRight w:val="0"/>
      <w:marTop w:val="0"/>
      <w:marBottom w:val="0"/>
      <w:divBdr>
        <w:top w:val="none" w:sz="0" w:space="0" w:color="auto"/>
        <w:left w:val="none" w:sz="0" w:space="0" w:color="auto"/>
        <w:bottom w:val="none" w:sz="0" w:space="0" w:color="auto"/>
        <w:right w:val="none" w:sz="0" w:space="0" w:color="auto"/>
      </w:divBdr>
    </w:div>
    <w:div w:id="713310626">
      <w:bodyDiv w:val="1"/>
      <w:marLeft w:val="0"/>
      <w:marRight w:val="0"/>
      <w:marTop w:val="0"/>
      <w:marBottom w:val="0"/>
      <w:divBdr>
        <w:top w:val="none" w:sz="0" w:space="0" w:color="auto"/>
        <w:left w:val="none" w:sz="0" w:space="0" w:color="auto"/>
        <w:bottom w:val="none" w:sz="0" w:space="0" w:color="auto"/>
        <w:right w:val="none" w:sz="0" w:space="0" w:color="auto"/>
      </w:divBdr>
    </w:div>
    <w:div w:id="713387498">
      <w:bodyDiv w:val="1"/>
      <w:marLeft w:val="0"/>
      <w:marRight w:val="0"/>
      <w:marTop w:val="0"/>
      <w:marBottom w:val="0"/>
      <w:divBdr>
        <w:top w:val="none" w:sz="0" w:space="0" w:color="auto"/>
        <w:left w:val="none" w:sz="0" w:space="0" w:color="auto"/>
        <w:bottom w:val="none" w:sz="0" w:space="0" w:color="auto"/>
        <w:right w:val="none" w:sz="0" w:space="0" w:color="auto"/>
      </w:divBdr>
    </w:div>
    <w:div w:id="713426745">
      <w:bodyDiv w:val="1"/>
      <w:marLeft w:val="0"/>
      <w:marRight w:val="0"/>
      <w:marTop w:val="0"/>
      <w:marBottom w:val="0"/>
      <w:divBdr>
        <w:top w:val="none" w:sz="0" w:space="0" w:color="auto"/>
        <w:left w:val="none" w:sz="0" w:space="0" w:color="auto"/>
        <w:bottom w:val="none" w:sz="0" w:space="0" w:color="auto"/>
        <w:right w:val="none" w:sz="0" w:space="0" w:color="auto"/>
      </w:divBdr>
    </w:div>
    <w:div w:id="713579098">
      <w:bodyDiv w:val="1"/>
      <w:marLeft w:val="0"/>
      <w:marRight w:val="0"/>
      <w:marTop w:val="0"/>
      <w:marBottom w:val="0"/>
      <w:divBdr>
        <w:top w:val="none" w:sz="0" w:space="0" w:color="auto"/>
        <w:left w:val="none" w:sz="0" w:space="0" w:color="auto"/>
        <w:bottom w:val="none" w:sz="0" w:space="0" w:color="auto"/>
        <w:right w:val="none" w:sz="0" w:space="0" w:color="auto"/>
      </w:divBdr>
    </w:div>
    <w:div w:id="713774025">
      <w:bodyDiv w:val="1"/>
      <w:marLeft w:val="0"/>
      <w:marRight w:val="0"/>
      <w:marTop w:val="0"/>
      <w:marBottom w:val="0"/>
      <w:divBdr>
        <w:top w:val="none" w:sz="0" w:space="0" w:color="auto"/>
        <w:left w:val="none" w:sz="0" w:space="0" w:color="auto"/>
        <w:bottom w:val="none" w:sz="0" w:space="0" w:color="auto"/>
        <w:right w:val="none" w:sz="0" w:space="0" w:color="auto"/>
      </w:divBdr>
    </w:div>
    <w:div w:id="713888623">
      <w:bodyDiv w:val="1"/>
      <w:marLeft w:val="0"/>
      <w:marRight w:val="0"/>
      <w:marTop w:val="0"/>
      <w:marBottom w:val="0"/>
      <w:divBdr>
        <w:top w:val="none" w:sz="0" w:space="0" w:color="auto"/>
        <w:left w:val="none" w:sz="0" w:space="0" w:color="auto"/>
        <w:bottom w:val="none" w:sz="0" w:space="0" w:color="auto"/>
        <w:right w:val="none" w:sz="0" w:space="0" w:color="auto"/>
      </w:divBdr>
    </w:div>
    <w:div w:id="714043282">
      <w:bodyDiv w:val="1"/>
      <w:marLeft w:val="0"/>
      <w:marRight w:val="0"/>
      <w:marTop w:val="0"/>
      <w:marBottom w:val="0"/>
      <w:divBdr>
        <w:top w:val="none" w:sz="0" w:space="0" w:color="auto"/>
        <w:left w:val="none" w:sz="0" w:space="0" w:color="auto"/>
        <w:bottom w:val="none" w:sz="0" w:space="0" w:color="auto"/>
        <w:right w:val="none" w:sz="0" w:space="0" w:color="auto"/>
      </w:divBdr>
    </w:div>
    <w:div w:id="714162127">
      <w:bodyDiv w:val="1"/>
      <w:marLeft w:val="0"/>
      <w:marRight w:val="0"/>
      <w:marTop w:val="0"/>
      <w:marBottom w:val="0"/>
      <w:divBdr>
        <w:top w:val="none" w:sz="0" w:space="0" w:color="auto"/>
        <w:left w:val="none" w:sz="0" w:space="0" w:color="auto"/>
        <w:bottom w:val="none" w:sz="0" w:space="0" w:color="auto"/>
        <w:right w:val="none" w:sz="0" w:space="0" w:color="auto"/>
      </w:divBdr>
    </w:div>
    <w:div w:id="714547091">
      <w:bodyDiv w:val="1"/>
      <w:marLeft w:val="0"/>
      <w:marRight w:val="0"/>
      <w:marTop w:val="0"/>
      <w:marBottom w:val="0"/>
      <w:divBdr>
        <w:top w:val="none" w:sz="0" w:space="0" w:color="auto"/>
        <w:left w:val="none" w:sz="0" w:space="0" w:color="auto"/>
        <w:bottom w:val="none" w:sz="0" w:space="0" w:color="auto"/>
        <w:right w:val="none" w:sz="0" w:space="0" w:color="auto"/>
      </w:divBdr>
    </w:div>
    <w:div w:id="715084651">
      <w:bodyDiv w:val="1"/>
      <w:marLeft w:val="0"/>
      <w:marRight w:val="0"/>
      <w:marTop w:val="0"/>
      <w:marBottom w:val="0"/>
      <w:divBdr>
        <w:top w:val="none" w:sz="0" w:space="0" w:color="auto"/>
        <w:left w:val="none" w:sz="0" w:space="0" w:color="auto"/>
        <w:bottom w:val="none" w:sz="0" w:space="0" w:color="auto"/>
        <w:right w:val="none" w:sz="0" w:space="0" w:color="auto"/>
      </w:divBdr>
    </w:div>
    <w:div w:id="715206828">
      <w:bodyDiv w:val="1"/>
      <w:marLeft w:val="0"/>
      <w:marRight w:val="0"/>
      <w:marTop w:val="0"/>
      <w:marBottom w:val="0"/>
      <w:divBdr>
        <w:top w:val="none" w:sz="0" w:space="0" w:color="auto"/>
        <w:left w:val="none" w:sz="0" w:space="0" w:color="auto"/>
        <w:bottom w:val="none" w:sz="0" w:space="0" w:color="auto"/>
        <w:right w:val="none" w:sz="0" w:space="0" w:color="auto"/>
      </w:divBdr>
    </w:div>
    <w:div w:id="715355587">
      <w:bodyDiv w:val="1"/>
      <w:marLeft w:val="0"/>
      <w:marRight w:val="0"/>
      <w:marTop w:val="0"/>
      <w:marBottom w:val="0"/>
      <w:divBdr>
        <w:top w:val="none" w:sz="0" w:space="0" w:color="auto"/>
        <w:left w:val="none" w:sz="0" w:space="0" w:color="auto"/>
        <w:bottom w:val="none" w:sz="0" w:space="0" w:color="auto"/>
        <w:right w:val="none" w:sz="0" w:space="0" w:color="auto"/>
      </w:divBdr>
    </w:div>
    <w:div w:id="715392975">
      <w:bodyDiv w:val="1"/>
      <w:marLeft w:val="0"/>
      <w:marRight w:val="0"/>
      <w:marTop w:val="0"/>
      <w:marBottom w:val="0"/>
      <w:divBdr>
        <w:top w:val="none" w:sz="0" w:space="0" w:color="auto"/>
        <w:left w:val="none" w:sz="0" w:space="0" w:color="auto"/>
        <w:bottom w:val="none" w:sz="0" w:space="0" w:color="auto"/>
        <w:right w:val="none" w:sz="0" w:space="0" w:color="auto"/>
      </w:divBdr>
    </w:div>
    <w:div w:id="715472451">
      <w:bodyDiv w:val="1"/>
      <w:marLeft w:val="0"/>
      <w:marRight w:val="0"/>
      <w:marTop w:val="0"/>
      <w:marBottom w:val="0"/>
      <w:divBdr>
        <w:top w:val="none" w:sz="0" w:space="0" w:color="auto"/>
        <w:left w:val="none" w:sz="0" w:space="0" w:color="auto"/>
        <w:bottom w:val="none" w:sz="0" w:space="0" w:color="auto"/>
        <w:right w:val="none" w:sz="0" w:space="0" w:color="auto"/>
      </w:divBdr>
    </w:div>
    <w:div w:id="716317059">
      <w:bodyDiv w:val="1"/>
      <w:marLeft w:val="0"/>
      <w:marRight w:val="0"/>
      <w:marTop w:val="0"/>
      <w:marBottom w:val="0"/>
      <w:divBdr>
        <w:top w:val="none" w:sz="0" w:space="0" w:color="auto"/>
        <w:left w:val="none" w:sz="0" w:space="0" w:color="auto"/>
        <w:bottom w:val="none" w:sz="0" w:space="0" w:color="auto"/>
        <w:right w:val="none" w:sz="0" w:space="0" w:color="auto"/>
      </w:divBdr>
    </w:div>
    <w:div w:id="716469556">
      <w:bodyDiv w:val="1"/>
      <w:marLeft w:val="0"/>
      <w:marRight w:val="0"/>
      <w:marTop w:val="0"/>
      <w:marBottom w:val="0"/>
      <w:divBdr>
        <w:top w:val="none" w:sz="0" w:space="0" w:color="auto"/>
        <w:left w:val="none" w:sz="0" w:space="0" w:color="auto"/>
        <w:bottom w:val="none" w:sz="0" w:space="0" w:color="auto"/>
        <w:right w:val="none" w:sz="0" w:space="0" w:color="auto"/>
      </w:divBdr>
    </w:div>
    <w:div w:id="717124670">
      <w:bodyDiv w:val="1"/>
      <w:marLeft w:val="0"/>
      <w:marRight w:val="0"/>
      <w:marTop w:val="0"/>
      <w:marBottom w:val="0"/>
      <w:divBdr>
        <w:top w:val="none" w:sz="0" w:space="0" w:color="auto"/>
        <w:left w:val="none" w:sz="0" w:space="0" w:color="auto"/>
        <w:bottom w:val="none" w:sz="0" w:space="0" w:color="auto"/>
        <w:right w:val="none" w:sz="0" w:space="0" w:color="auto"/>
      </w:divBdr>
    </w:div>
    <w:div w:id="717125615">
      <w:bodyDiv w:val="1"/>
      <w:marLeft w:val="0"/>
      <w:marRight w:val="0"/>
      <w:marTop w:val="0"/>
      <w:marBottom w:val="0"/>
      <w:divBdr>
        <w:top w:val="none" w:sz="0" w:space="0" w:color="auto"/>
        <w:left w:val="none" w:sz="0" w:space="0" w:color="auto"/>
        <w:bottom w:val="none" w:sz="0" w:space="0" w:color="auto"/>
        <w:right w:val="none" w:sz="0" w:space="0" w:color="auto"/>
      </w:divBdr>
    </w:div>
    <w:div w:id="717165501">
      <w:bodyDiv w:val="1"/>
      <w:marLeft w:val="0"/>
      <w:marRight w:val="0"/>
      <w:marTop w:val="0"/>
      <w:marBottom w:val="0"/>
      <w:divBdr>
        <w:top w:val="none" w:sz="0" w:space="0" w:color="auto"/>
        <w:left w:val="none" w:sz="0" w:space="0" w:color="auto"/>
        <w:bottom w:val="none" w:sz="0" w:space="0" w:color="auto"/>
        <w:right w:val="none" w:sz="0" w:space="0" w:color="auto"/>
      </w:divBdr>
    </w:div>
    <w:div w:id="717365559">
      <w:bodyDiv w:val="1"/>
      <w:marLeft w:val="0"/>
      <w:marRight w:val="0"/>
      <w:marTop w:val="0"/>
      <w:marBottom w:val="0"/>
      <w:divBdr>
        <w:top w:val="none" w:sz="0" w:space="0" w:color="auto"/>
        <w:left w:val="none" w:sz="0" w:space="0" w:color="auto"/>
        <w:bottom w:val="none" w:sz="0" w:space="0" w:color="auto"/>
        <w:right w:val="none" w:sz="0" w:space="0" w:color="auto"/>
      </w:divBdr>
    </w:div>
    <w:div w:id="717633050">
      <w:bodyDiv w:val="1"/>
      <w:marLeft w:val="0"/>
      <w:marRight w:val="0"/>
      <w:marTop w:val="0"/>
      <w:marBottom w:val="0"/>
      <w:divBdr>
        <w:top w:val="none" w:sz="0" w:space="0" w:color="auto"/>
        <w:left w:val="none" w:sz="0" w:space="0" w:color="auto"/>
        <w:bottom w:val="none" w:sz="0" w:space="0" w:color="auto"/>
        <w:right w:val="none" w:sz="0" w:space="0" w:color="auto"/>
      </w:divBdr>
    </w:div>
    <w:div w:id="717822381">
      <w:bodyDiv w:val="1"/>
      <w:marLeft w:val="0"/>
      <w:marRight w:val="0"/>
      <w:marTop w:val="0"/>
      <w:marBottom w:val="0"/>
      <w:divBdr>
        <w:top w:val="none" w:sz="0" w:space="0" w:color="auto"/>
        <w:left w:val="none" w:sz="0" w:space="0" w:color="auto"/>
        <w:bottom w:val="none" w:sz="0" w:space="0" w:color="auto"/>
        <w:right w:val="none" w:sz="0" w:space="0" w:color="auto"/>
      </w:divBdr>
    </w:div>
    <w:div w:id="717974278">
      <w:bodyDiv w:val="1"/>
      <w:marLeft w:val="0"/>
      <w:marRight w:val="0"/>
      <w:marTop w:val="0"/>
      <w:marBottom w:val="0"/>
      <w:divBdr>
        <w:top w:val="none" w:sz="0" w:space="0" w:color="auto"/>
        <w:left w:val="none" w:sz="0" w:space="0" w:color="auto"/>
        <w:bottom w:val="none" w:sz="0" w:space="0" w:color="auto"/>
        <w:right w:val="none" w:sz="0" w:space="0" w:color="auto"/>
      </w:divBdr>
    </w:div>
    <w:div w:id="718944950">
      <w:bodyDiv w:val="1"/>
      <w:marLeft w:val="0"/>
      <w:marRight w:val="0"/>
      <w:marTop w:val="0"/>
      <w:marBottom w:val="0"/>
      <w:divBdr>
        <w:top w:val="none" w:sz="0" w:space="0" w:color="auto"/>
        <w:left w:val="none" w:sz="0" w:space="0" w:color="auto"/>
        <w:bottom w:val="none" w:sz="0" w:space="0" w:color="auto"/>
        <w:right w:val="none" w:sz="0" w:space="0" w:color="auto"/>
      </w:divBdr>
    </w:div>
    <w:div w:id="719061704">
      <w:bodyDiv w:val="1"/>
      <w:marLeft w:val="0"/>
      <w:marRight w:val="0"/>
      <w:marTop w:val="0"/>
      <w:marBottom w:val="0"/>
      <w:divBdr>
        <w:top w:val="none" w:sz="0" w:space="0" w:color="auto"/>
        <w:left w:val="none" w:sz="0" w:space="0" w:color="auto"/>
        <w:bottom w:val="none" w:sz="0" w:space="0" w:color="auto"/>
        <w:right w:val="none" w:sz="0" w:space="0" w:color="auto"/>
      </w:divBdr>
    </w:div>
    <w:div w:id="719128908">
      <w:bodyDiv w:val="1"/>
      <w:marLeft w:val="0"/>
      <w:marRight w:val="0"/>
      <w:marTop w:val="0"/>
      <w:marBottom w:val="0"/>
      <w:divBdr>
        <w:top w:val="none" w:sz="0" w:space="0" w:color="auto"/>
        <w:left w:val="none" w:sz="0" w:space="0" w:color="auto"/>
        <w:bottom w:val="none" w:sz="0" w:space="0" w:color="auto"/>
        <w:right w:val="none" w:sz="0" w:space="0" w:color="auto"/>
      </w:divBdr>
    </w:div>
    <w:div w:id="719327121">
      <w:bodyDiv w:val="1"/>
      <w:marLeft w:val="0"/>
      <w:marRight w:val="0"/>
      <w:marTop w:val="0"/>
      <w:marBottom w:val="0"/>
      <w:divBdr>
        <w:top w:val="none" w:sz="0" w:space="0" w:color="auto"/>
        <w:left w:val="none" w:sz="0" w:space="0" w:color="auto"/>
        <w:bottom w:val="none" w:sz="0" w:space="0" w:color="auto"/>
        <w:right w:val="none" w:sz="0" w:space="0" w:color="auto"/>
      </w:divBdr>
    </w:div>
    <w:div w:id="719522216">
      <w:bodyDiv w:val="1"/>
      <w:marLeft w:val="0"/>
      <w:marRight w:val="0"/>
      <w:marTop w:val="0"/>
      <w:marBottom w:val="0"/>
      <w:divBdr>
        <w:top w:val="none" w:sz="0" w:space="0" w:color="auto"/>
        <w:left w:val="none" w:sz="0" w:space="0" w:color="auto"/>
        <w:bottom w:val="none" w:sz="0" w:space="0" w:color="auto"/>
        <w:right w:val="none" w:sz="0" w:space="0" w:color="auto"/>
      </w:divBdr>
    </w:div>
    <w:div w:id="719599140">
      <w:bodyDiv w:val="1"/>
      <w:marLeft w:val="0"/>
      <w:marRight w:val="0"/>
      <w:marTop w:val="0"/>
      <w:marBottom w:val="0"/>
      <w:divBdr>
        <w:top w:val="none" w:sz="0" w:space="0" w:color="auto"/>
        <w:left w:val="none" w:sz="0" w:space="0" w:color="auto"/>
        <w:bottom w:val="none" w:sz="0" w:space="0" w:color="auto"/>
        <w:right w:val="none" w:sz="0" w:space="0" w:color="auto"/>
      </w:divBdr>
    </w:div>
    <w:div w:id="720130601">
      <w:bodyDiv w:val="1"/>
      <w:marLeft w:val="0"/>
      <w:marRight w:val="0"/>
      <w:marTop w:val="0"/>
      <w:marBottom w:val="0"/>
      <w:divBdr>
        <w:top w:val="none" w:sz="0" w:space="0" w:color="auto"/>
        <w:left w:val="none" w:sz="0" w:space="0" w:color="auto"/>
        <w:bottom w:val="none" w:sz="0" w:space="0" w:color="auto"/>
        <w:right w:val="none" w:sz="0" w:space="0" w:color="auto"/>
      </w:divBdr>
    </w:div>
    <w:div w:id="720137352">
      <w:bodyDiv w:val="1"/>
      <w:marLeft w:val="0"/>
      <w:marRight w:val="0"/>
      <w:marTop w:val="0"/>
      <w:marBottom w:val="0"/>
      <w:divBdr>
        <w:top w:val="none" w:sz="0" w:space="0" w:color="auto"/>
        <w:left w:val="none" w:sz="0" w:space="0" w:color="auto"/>
        <w:bottom w:val="none" w:sz="0" w:space="0" w:color="auto"/>
        <w:right w:val="none" w:sz="0" w:space="0" w:color="auto"/>
      </w:divBdr>
    </w:div>
    <w:div w:id="720327018">
      <w:bodyDiv w:val="1"/>
      <w:marLeft w:val="0"/>
      <w:marRight w:val="0"/>
      <w:marTop w:val="0"/>
      <w:marBottom w:val="0"/>
      <w:divBdr>
        <w:top w:val="none" w:sz="0" w:space="0" w:color="auto"/>
        <w:left w:val="none" w:sz="0" w:space="0" w:color="auto"/>
        <w:bottom w:val="none" w:sz="0" w:space="0" w:color="auto"/>
        <w:right w:val="none" w:sz="0" w:space="0" w:color="auto"/>
      </w:divBdr>
    </w:div>
    <w:div w:id="720329514">
      <w:bodyDiv w:val="1"/>
      <w:marLeft w:val="0"/>
      <w:marRight w:val="0"/>
      <w:marTop w:val="0"/>
      <w:marBottom w:val="0"/>
      <w:divBdr>
        <w:top w:val="none" w:sz="0" w:space="0" w:color="auto"/>
        <w:left w:val="none" w:sz="0" w:space="0" w:color="auto"/>
        <w:bottom w:val="none" w:sz="0" w:space="0" w:color="auto"/>
        <w:right w:val="none" w:sz="0" w:space="0" w:color="auto"/>
      </w:divBdr>
    </w:div>
    <w:div w:id="720595564">
      <w:bodyDiv w:val="1"/>
      <w:marLeft w:val="0"/>
      <w:marRight w:val="0"/>
      <w:marTop w:val="0"/>
      <w:marBottom w:val="0"/>
      <w:divBdr>
        <w:top w:val="none" w:sz="0" w:space="0" w:color="auto"/>
        <w:left w:val="none" w:sz="0" w:space="0" w:color="auto"/>
        <w:bottom w:val="none" w:sz="0" w:space="0" w:color="auto"/>
        <w:right w:val="none" w:sz="0" w:space="0" w:color="auto"/>
      </w:divBdr>
    </w:div>
    <w:div w:id="720858850">
      <w:bodyDiv w:val="1"/>
      <w:marLeft w:val="0"/>
      <w:marRight w:val="0"/>
      <w:marTop w:val="0"/>
      <w:marBottom w:val="0"/>
      <w:divBdr>
        <w:top w:val="none" w:sz="0" w:space="0" w:color="auto"/>
        <w:left w:val="none" w:sz="0" w:space="0" w:color="auto"/>
        <w:bottom w:val="none" w:sz="0" w:space="0" w:color="auto"/>
        <w:right w:val="none" w:sz="0" w:space="0" w:color="auto"/>
      </w:divBdr>
    </w:div>
    <w:div w:id="721098944">
      <w:bodyDiv w:val="1"/>
      <w:marLeft w:val="0"/>
      <w:marRight w:val="0"/>
      <w:marTop w:val="0"/>
      <w:marBottom w:val="0"/>
      <w:divBdr>
        <w:top w:val="none" w:sz="0" w:space="0" w:color="auto"/>
        <w:left w:val="none" w:sz="0" w:space="0" w:color="auto"/>
        <w:bottom w:val="none" w:sz="0" w:space="0" w:color="auto"/>
        <w:right w:val="none" w:sz="0" w:space="0" w:color="auto"/>
      </w:divBdr>
    </w:div>
    <w:div w:id="721441872">
      <w:bodyDiv w:val="1"/>
      <w:marLeft w:val="0"/>
      <w:marRight w:val="0"/>
      <w:marTop w:val="0"/>
      <w:marBottom w:val="0"/>
      <w:divBdr>
        <w:top w:val="none" w:sz="0" w:space="0" w:color="auto"/>
        <w:left w:val="none" w:sz="0" w:space="0" w:color="auto"/>
        <w:bottom w:val="none" w:sz="0" w:space="0" w:color="auto"/>
        <w:right w:val="none" w:sz="0" w:space="0" w:color="auto"/>
      </w:divBdr>
    </w:div>
    <w:div w:id="722025359">
      <w:bodyDiv w:val="1"/>
      <w:marLeft w:val="0"/>
      <w:marRight w:val="0"/>
      <w:marTop w:val="0"/>
      <w:marBottom w:val="0"/>
      <w:divBdr>
        <w:top w:val="none" w:sz="0" w:space="0" w:color="auto"/>
        <w:left w:val="none" w:sz="0" w:space="0" w:color="auto"/>
        <w:bottom w:val="none" w:sz="0" w:space="0" w:color="auto"/>
        <w:right w:val="none" w:sz="0" w:space="0" w:color="auto"/>
      </w:divBdr>
    </w:div>
    <w:div w:id="722219557">
      <w:bodyDiv w:val="1"/>
      <w:marLeft w:val="0"/>
      <w:marRight w:val="0"/>
      <w:marTop w:val="0"/>
      <w:marBottom w:val="0"/>
      <w:divBdr>
        <w:top w:val="none" w:sz="0" w:space="0" w:color="auto"/>
        <w:left w:val="none" w:sz="0" w:space="0" w:color="auto"/>
        <w:bottom w:val="none" w:sz="0" w:space="0" w:color="auto"/>
        <w:right w:val="none" w:sz="0" w:space="0" w:color="auto"/>
      </w:divBdr>
    </w:div>
    <w:div w:id="722757112">
      <w:bodyDiv w:val="1"/>
      <w:marLeft w:val="0"/>
      <w:marRight w:val="0"/>
      <w:marTop w:val="0"/>
      <w:marBottom w:val="0"/>
      <w:divBdr>
        <w:top w:val="none" w:sz="0" w:space="0" w:color="auto"/>
        <w:left w:val="none" w:sz="0" w:space="0" w:color="auto"/>
        <w:bottom w:val="none" w:sz="0" w:space="0" w:color="auto"/>
        <w:right w:val="none" w:sz="0" w:space="0" w:color="auto"/>
      </w:divBdr>
    </w:div>
    <w:div w:id="724328512">
      <w:bodyDiv w:val="1"/>
      <w:marLeft w:val="0"/>
      <w:marRight w:val="0"/>
      <w:marTop w:val="0"/>
      <w:marBottom w:val="0"/>
      <w:divBdr>
        <w:top w:val="none" w:sz="0" w:space="0" w:color="auto"/>
        <w:left w:val="none" w:sz="0" w:space="0" w:color="auto"/>
        <w:bottom w:val="none" w:sz="0" w:space="0" w:color="auto"/>
        <w:right w:val="none" w:sz="0" w:space="0" w:color="auto"/>
      </w:divBdr>
    </w:div>
    <w:div w:id="724524233">
      <w:bodyDiv w:val="1"/>
      <w:marLeft w:val="0"/>
      <w:marRight w:val="0"/>
      <w:marTop w:val="0"/>
      <w:marBottom w:val="0"/>
      <w:divBdr>
        <w:top w:val="none" w:sz="0" w:space="0" w:color="auto"/>
        <w:left w:val="none" w:sz="0" w:space="0" w:color="auto"/>
        <w:bottom w:val="none" w:sz="0" w:space="0" w:color="auto"/>
        <w:right w:val="none" w:sz="0" w:space="0" w:color="auto"/>
      </w:divBdr>
    </w:div>
    <w:div w:id="725102053">
      <w:bodyDiv w:val="1"/>
      <w:marLeft w:val="0"/>
      <w:marRight w:val="0"/>
      <w:marTop w:val="0"/>
      <w:marBottom w:val="0"/>
      <w:divBdr>
        <w:top w:val="none" w:sz="0" w:space="0" w:color="auto"/>
        <w:left w:val="none" w:sz="0" w:space="0" w:color="auto"/>
        <w:bottom w:val="none" w:sz="0" w:space="0" w:color="auto"/>
        <w:right w:val="none" w:sz="0" w:space="0" w:color="auto"/>
      </w:divBdr>
    </w:div>
    <w:div w:id="725421038">
      <w:bodyDiv w:val="1"/>
      <w:marLeft w:val="0"/>
      <w:marRight w:val="0"/>
      <w:marTop w:val="0"/>
      <w:marBottom w:val="0"/>
      <w:divBdr>
        <w:top w:val="none" w:sz="0" w:space="0" w:color="auto"/>
        <w:left w:val="none" w:sz="0" w:space="0" w:color="auto"/>
        <w:bottom w:val="none" w:sz="0" w:space="0" w:color="auto"/>
        <w:right w:val="none" w:sz="0" w:space="0" w:color="auto"/>
      </w:divBdr>
    </w:div>
    <w:div w:id="725489394">
      <w:bodyDiv w:val="1"/>
      <w:marLeft w:val="0"/>
      <w:marRight w:val="0"/>
      <w:marTop w:val="0"/>
      <w:marBottom w:val="0"/>
      <w:divBdr>
        <w:top w:val="none" w:sz="0" w:space="0" w:color="auto"/>
        <w:left w:val="none" w:sz="0" w:space="0" w:color="auto"/>
        <w:bottom w:val="none" w:sz="0" w:space="0" w:color="auto"/>
        <w:right w:val="none" w:sz="0" w:space="0" w:color="auto"/>
      </w:divBdr>
    </w:div>
    <w:div w:id="725566820">
      <w:bodyDiv w:val="1"/>
      <w:marLeft w:val="0"/>
      <w:marRight w:val="0"/>
      <w:marTop w:val="0"/>
      <w:marBottom w:val="0"/>
      <w:divBdr>
        <w:top w:val="none" w:sz="0" w:space="0" w:color="auto"/>
        <w:left w:val="none" w:sz="0" w:space="0" w:color="auto"/>
        <w:bottom w:val="none" w:sz="0" w:space="0" w:color="auto"/>
        <w:right w:val="none" w:sz="0" w:space="0" w:color="auto"/>
      </w:divBdr>
    </w:div>
    <w:div w:id="725907508">
      <w:bodyDiv w:val="1"/>
      <w:marLeft w:val="0"/>
      <w:marRight w:val="0"/>
      <w:marTop w:val="0"/>
      <w:marBottom w:val="0"/>
      <w:divBdr>
        <w:top w:val="none" w:sz="0" w:space="0" w:color="auto"/>
        <w:left w:val="none" w:sz="0" w:space="0" w:color="auto"/>
        <w:bottom w:val="none" w:sz="0" w:space="0" w:color="auto"/>
        <w:right w:val="none" w:sz="0" w:space="0" w:color="auto"/>
      </w:divBdr>
    </w:div>
    <w:div w:id="725957394">
      <w:bodyDiv w:val="1"/>
      <w:marLeft w:val="0"/>
      <w:marRight w:val="0"/>
      <w:marTop w:val="0"/>
      <w:marBottom w:val="0"/>
      <w:divBdr>
        <w:top w:val="none" w:sz="0" w:space="0" w:color="auto"/>
        <w:left w:val="none" w:sz="0" w:space="0" w:color="auto"/>
        <w:bottom w:val="none" w:sz="0" w:space="0" w:color="auto"/>
        <w:right w:val="none" w:sz="0" w:space="0" w:color="auto"/>
      </w:divBdr>
    </w:div>
    <w:div w:id="726218821">
      <w:bodyDiv w:val="1"/>
      <w:marLeft w:val="0"/>
      <w:marRight w:val="0"/>
      <w:marTop w:val="0"/>
      <w:marBottom w:val="0"/>
      <w:divBdr>
        <w:top w:val="none" w:sz="0" w:space="0" w:color="auto"/>
        <w:left w:val="none" w:sz="0" w:space="0" w:color="auto"/>
        <w:bottom w:val="none" w:sz="0" w:space="0" w:color="auto"/>
        <w:right w:val="none" w:sz="0" w:space="0" w:color="auto"/>
      </w:divBdr>
    </w:div>
    <w:div w:id="726225208">
      <w:bodyDiv w:val="1"/>
      <w:marLeft w:val="0"/>
      <w:marRight w:val="0"/>
      <w:marTop w:val="0"/>
      <w:marBottom w:val="0"/>
      <w:divBdr>
        <w:top w:val="none" w:sz="0" w:space="0" w:color="auto"/>
        <w:left w:val="none" w:sz="0" w:space="0" w:color="auto"/>
        <w:bottom w:val="none" w:sz="0" w:space="0" w:color="auto"/>
        <w:right w:val="none" w:sz="0" w:space="0" w:color="auto"/>
      </w:divBdr>
    </w:div>
    <w:div w:id="726690175">
      <w:bodyDiv w:val="1"/>
      <w:marLeft w:val="0"/>
      <w:marRight w:val="0"/>
      <w:marTop w:val="0"/>
      <w:marBottom w:val="0"/>
      <w:divBdr>
        <w:top w:val="none" w:sz="0" w:space="0" w:color="auto"/>
        <w:left w:val="none" w:sz="0" w:space="0" w:color="auto"/>
        <w:bottom w:val="none" w:sz="0" w:space="0" w:color="auto"/>
        <w:right w:val="none" w:sz="0" w:space="0" w:color="auto"/>
      </w:divBdr>
    </w:div>
    <w:div w:id="727338434">
      <w:bodyDiv w:val="1"/>
      <w:marLeft w:val="0"/>
      <w:marRight w:val="0"/>
      <w:marTop w:val="0"/>
      <w:marBottom w:val="0"/>
      <w:divBdr>
        <w:top w:val="none" w:sz="0" w:space="0" w:color="auto"/>
        <w:left w:val="none" w:sz="0" w:space="0" w:color="auto"/>
        <w:bottom w:val="none" w:sz="0" w:space="0" w:color="auto"/>
        <w:right w:val="none" w:sz="0" w:space="0" w:color="auto"/>
      </w:divBdr>
    </w:div>
    <w:div w:id="727799216">
      <w:bodyDiv w:val="1"/>
      <w:marLeft w:val="0"/>
      <w:marRight w:val="0"/>
      <w:marTop w:val="0"/>
      <w:marBottom w:val="0"/>
      <w:divBdr>
        <w:top w:val="none" w:sz="0" w:space="0" w:color="auto"/>
        <w:left w:val="none" w:sz="0" w:space="0" w:color="auto"/>
        <w:bottom w:val="none" w:sz="0" w:space="0" w:color="auto"/>
        <w:right w:val="none" w:sz="0" w:space="0" w:color="auto"/>
      </w:divBdr>
    </w:div>
    <w:div w:id="728650368">
      <w:bodyDiv w:val="1"/>
      <w:marLeft w:val="0"/>
      <w:marRight w:val="0"/>
      <w:marTop w:val="0"/>
      <w:marBottom w:val="0"/>
      <w:divBdr>
        <w:top w:val="none" w:sz="0" w:space="0" w:color="auto"/>
        <w:left w:val="none" w:sz="0" w:space="0" w:color="auto"/>
        <w:bottom w:val="none" w:sz="0" w:space="0" w:color="auto"/>
        <w:right w:val="none" w:sz="0" w:space="0" w:color="auto"/>
      </w:divBdr>
    </w:div>
    <w:div w:id="729306417">
      <w:bodyDiv w:val="1"/>
      <w:marLeft w:val="0"/>
      <w:marRight w:val="0"/>
      <w:marTop w:val="0"/>
      <w:marBottom w:val="0"/>
      <w:divBdr>
        <w:top w:val="none" w:sz="0" w:space="0" w:color="auto"/>
        <w:left w:val="none" w:sz="0" w:space="0" w:color="auto"/>
        <w:bottom w:val="none" w:sz="0" w:space="0" w:color="auto"/>
        <w:right w:val="none" w:sz="0" w:space="0" w:color="auto"/>
      </w:divBdr>
    </w:div>
    <w:div w:id="729423122">
      <w:bodyDiv w:val="1"/>
      <w:marLeft w:val="0"/>
      <w:marRight w:val="0"/>
      <w:marTop w:val="0"/>
      <w:marBottom w:val="0"/>
      <w:divBdr>
        <w:top w:val="none" w:sz="0" w:space="0" w:color="auto"/>
        <w:left w:val="none" w:sz="0" w:space="0" w:color="auto"/>
        <w:bottom w:val="none" w:sz="0" w:space="0" w:color="auto"/>
        <w:right w:val="none" w:sz="0" w:space="0" w:color="auto"/>
      </w:divBdr>
    </w:div>
    <w:div w:id="730079741">
      <w:bodyDiv w:val="1"/>
      <w:marLeft w:val="0"/>
      <w:marRight w:val="0"/>
      <w:marTop w:val="0"/>
      <w:marBottom w:val="0"/>
      <w:divBdr>
        <w:top w:val="none" w:sz="0" w:space="0" w:color="auto"/>
        <w:left w:val="none" w:sz="0" w:space="0" w:color="auto"/>
        <w:bottom w:val="none" w:sz="0" w:space="0" w:color="auto"/>
        <w:right w:val="none" w:sz="0" w:space="0" w:color="auto"/>
      </w:divBdr>
    </w:div>
    <w:div w:id="730538140">
      <w:bodyDiv w:val="1"/>
      <w:marLeft w:val="0"/>
      <w:marRight w:val="0"/>
      <w:marTop w:val="0"/>
      <w:marBottom w:val="0"/>
      <w:divBdr>
        <w:top w:val="none" w:sz="0" w:space="0" w:color="auto"/>
        <w:left w:val="none" w:sz="0" w:space="0" w:color="auto"/>
        <w:bottom w:val="none" w:sz="0" w:space="0" w:color="auto"/>
        <w:right w:val="none" w:sz="0" w:space="0" w:color="auto"/>
      </w:divBdr>
    </w:div>
    <w:div w:id="730661602">
      <w:bodyDiv w:val="1"/>
      <w:marLeft w:val="0"/>
      <w:marRight w:val="0"/>
      <w:marTop w:val="0"/>
      <w:marBottom w:val="0"/>
      <w:divBdr>
        <w:top w:val="none" w:sz="0" w:space="0" w:color="auto"/>
        <w:left w:val="none" w:sz="0" w:space="0" w:color="auto"/>
        <w:bottom w:val="none" w:sz="0" w:space="0" w:color="auto"/>
        <w:right w:val="none" w:sz="0" w:space="0" w:color="auto"/>
      </w:divBdr>
    </w:div>
    <w:div w:id="731007643">
      <w:bodyDiv w:val="1"/>
      <w:marLeft w:val="0"/>
      <w:marRight w:val="0"/>
      <w:marTop w:val="0"/>
      <w:marBottom w:val="0"/>
      <w:divBdr>
        <w:top w:val="none" w:sz="0" w:space="0" w:color="auto"/>
        <w:left w:val="none" w:sz="0" w:space="0" w:color="auto"/>
        <w:bottom w:val="none" w:sz="0" w:space="0" w:color="auto"/>
        <w:right w:val="none" w:sz="0" w:space="0" w:color="auto"/>
      </w:divBdr>
    </w:div>
    <w:div w:id="731075727">
      <w:bodyDiv w:val="1"/>
      <w:marLeft w:val="0"/>
      <w:marRight w:val="0"/>
      <w:marTop w:val="0"/>
      <w:marBottom w:val="0"/>
      <w:divBdr>
        <w:top w:val="none" w:sz="0" w:space="0" w:color="auto"/>
        <w:left w:val="none" w:sz="0" w:space="0" w:color="auto"/>
        <w:bottom w:val="none" w:sz="0" w:space="0" w:color="auto"/>
        <w:right w:val="none" w:sz="0" w:space="0" w:color="auto"/>
      </w:divBdr>
    </w:div>
    <w:div w:id="731579608">
      <w:bodyDiv w:val="1"/>
      <w:marLeft w:val="0"/>
      <w:marRight w:val="0"/>
      <w:marTop w:val="0"/>
      <w:marBottom w:val="0"/>
      <w:divBdr>
        <w:top w:val="none" w:sz="0" w:space="0" w:color="auto"/>
        <w:left w:val="none" w:sz="0" w:space="0" w:color="auto"/>
        <w:bottom w:val="none" w:sz="0" w:space="0" w:color="auto"/>
        <w:right w:val="none" w:sz="0" w:space="0" w:color="auto"/>
      </w:divBdr>
    </w:div>
    <w:div w:id="732315159">
      <w:bodyDiv w:val="1"/>
      <w:marLeft w:val="0"/>
      <w:marRight w:val="0"/>
      <w:marTop w:val="0"/>
      <w:marBottom w:val="0"/>
      <w:divBdr>
        <w:top w:val="none" w:sz="0" w:space="0" w:color="auto"/>
        <w:left w:val="none" w:sz="0" w:space="0" w:color="auto"/>
        <w:bottom w:val="none" w:sz="0" w:space="0" w:color="auto"/>
        <w:right w:val="none" w:sz="0" w:space="0" w:color="auto"/>
      </w:divBdr>
    </w:div>
    <w:div w:id="732581249">
      <w:bodyDiv w:val="1"/>
      <w:marLeft w:val="0"/>
      <w:marRight w:val="0"/>
      <w:marTop w:val="0"/>
      <w:marBottom w:val="0"/>
      <w:divBdr>
        <w:top w:val="none" w:sz="0" w:space="0" w:color="auto"/>
        <w:left w:val="none" w:sz="0" w:space="0" w:color="auto"/>
        <w:bottom w:val="none" w:sz="0" w:space="0" w:color="auto"/>
        <w:right w:val="none" w:sz="0" w:space="0" w:color="auto"/>
      </w:divBdr>
    </w:div>
    <w:div w:id="732653982">
      <w:bodyDiv w:val="1"/>
      <w:marLeft w:val="0"/>
      <w:marRight w:val="0"/>
      <w:marTop w:val="0"/>
      <w:marBottom w:val="0"/>
      <w:divBdr>
        <w:top w:val="none" w:sz="0" w:space="0" w:color="auto"/>
        <w:left w:val="none" w:sz="0" w:space="0" w:color="auto"/>
        <w:bottom w:val="none" w:sz="0" w:space="0" w:color="auto"/>
        <w:right w:val="none" w:sz="0" w:space="0" w:color="auto"/>
      </w:divBdr>
    </w:div>
    <w:div w:id="732699752">
      <w:bodyDiv w:val="1"/>
      <w:marLeft w:val="0"/>
      <w:marRight w:val="0"/>
      <w:marTop w:val="0"/>
      <w:marBottom w:val="0"/>
      <w:divBdr>
        <w:top w:val="none" w:sz="0" w:space="0" w:color="auto"/>
        <w:left w:val="none" w:sz="0" w:space="0" w:color="auto"/>
        <w:bottom w:val="none" w:sz="0" w:space="0" w:color="auto"/>
        <w:right w:val="none" w:sz="0" w:space="0" w:color="auto"/>
      </w:divBdr>
    </w:div>
    <w:div w:id="732705525">
      <w:bodyDiv w:val="1"/>
      <w:marLeft w:val="0"/>
      <w:marRight w:val="0"/>
      <w:marTop w:val="0"/>
      <w:marBottom w:val="0"/>
      <w:divBdr>
        <w:top w:val="none" w:sz="0" w:space="0" w:color="auto"/>
        <w:left w:val="none" w:sz="0" w:space="0" w:color="auto"/>
        <w:bottom w:val="none" w:sz="0" w:space="0" w:color="auto"/>
        <w:right w:val="none" w:sz="0" w:space="0" w:color="auto"/>
      </w:divBdr>
    </w:div>
    <w:div w:id="732774855">
      <w:bodyDiv w:val="1"/>
      <w:marLeft w:val="0"/>
      <w:marRight w:val="0"/>
      <w:marTop w:val="0"/>
      <w:marBottom w:val="0"/>
      <w:divBdr>
        <w:top w:val="none" w:sz="0" w:space="0" w:color="auto"/>
        <w:left w:val="none" w:sz="0" w:space="0" w:color="auto"/>
        <w:bottom w:val="none" w:sz="0" w:space="0" w:color="auto"/>
        <w:right w:val="none" w:sz="0" w:space="0" w:color="auto"/>
      </w:divBdr>
    </w:div>
    <w:div w:id="732965392">
      <w:bodyDiv w:val="1"/>
      <w:marLeft w:val="0"/>
      <w:marRight w:val="0"/>
      <w:marTop w:val="0"/>
      <w:marBottom w:val="0"/>
      <w:divBdr>
        <w:top w:val="none" w:sz="0" w:space="0" w:color="auto"/>
        <w:left w:val="none" w:sz="0" w:space="0" w:color="auto"/>
        <w:bottom w:val="none" w:sz="0" w:space="0" w:color="auto"/>
        <w:right w:val="none" w:sz="0" w:space="0" w:color="auto"/>
      </w:divBdr>
    </w:div>
    <w:div w:id="733235257">
      <w:bodyDiv w:val="1"/>
      <w:marLeft w:val="0"/>
      <w:marRight w:val="0"/>
      <w:marTop w:val="0"/>
      <w:marBottom w:val="0"/>
      <w:divBdr>
        <w:top w:val="none" w:sz="0" w:space="0" w:color="auto"/>
        <w:left w:val="none" w:sz="0" w:space="0" w:color="auto"/>
        <w:bottom w:val="none" w:sz="0" w:space="0" w:color="auto"/>
        <w:right w:val="none" w:sz="0" w:space="0" w:color="auto"/>
      </w:divBdr>
    </w:div>
    <w:div w:id="733507176">
      <w:bodyDiv w:val="1"/>
      <w:marLeft w:val="0"/>
      <w:marRight w:val="0"/>
      <w:marTop w:val="0"/>
      <w:marBottom w:val="0"/>
      <w:divBdr>
        <w:top w:val="none" w:sz="0" w:space="0" w:color="auto"/>
        <w:left w:val="none" w:sz="0" w:space="0" w:color="auto"/>
        <w:bottom w:val="none" w:sz="0" w:space="0" w:color="auto"/>
        <w:right w:val="none" w:sz="0" w:space="0" w:color="auto"/>
      </w:divBdr>
    </w:div>
    <w:div w:id="733813636">
      <w:bodyDiv w:val="1"/>
      <w:marLeft w:val="0"/>
      <w:marRight w:val="0"/>
      <w:marTop w:val="0"/>
      <w:marBottom w:val="0"/>
      <w:divBdr>
        <w:top w:val="none" w:sz="0" w:space="0" w:color="auto"/>
        <w:left w:val="none" w:sz="0" w:space="0" w:color="auto"/>
        <w:bottom w:val="none" w:sz="0" w:space="0" w:color="auto"/>
        <w:right w:val="none" w:sz="0" w:space="0" w:color="auto"/>
      </w:divBdr>
    </w:div>
    <w:div w:id="734623319">
      <w:bodyDiv w:val="1"/>
      <w:marLeft w:val="0"/>
      <w:marRight w:val="0"/>
      <w:marTop w:val="0"/>
      <w:marBottom w:val="0"/>
      <w:divBdr>
        <w:top w:val="none" w:sz="0" w:space="0" w:color="auto"/>
        <w:left w:val="none" w:sz="0" w:space="0" w:color="auto"/>
        <w:bottom w:val="none" w:sz="0" w:space="0" w:color="auto"/>
        <w:right w:val="none" w:sz="0" w:space="0" w:color="auto"/>
      </w:divBdr>
    </w:div>
    <w:div w:id="735081805">
      <w:bodyDiv w:val="1"/>
      <w:marLeft w:val="0"/>
      <w:marRight w:val="0"/>
      <w:marTop w:val="0"/>
      <w:marBottom w:val="0"/>
      <w:divBdr>
        <w:top w:val="none" w:sz="0" w:space="0" w:color="auto"/>
        <w:left w:val="none" w:sz="0" w:space="0" w:color="auto"/>
        <w:bottom w:val="none" w:sz="0" w:space="0" w:color="auto"/>
        <w:right w:val="none" w:sz="0" w:space="0" w:color="auto"/>
      </w:divBdr>
    </w:div>
    <w:div w:id="735471012">
      <w:bodyDiv w:val="1"/>
      <w:marLeft w:val="0"/>
      <w:marRight w:val="0"/>
      <w:marTop w:val="0"/>
      <w:marBottom w:val="0"/>
      <w:divBdr>
        <w:top w:val="none" w:sz="0" w:space="0" w:color="auto"/>
        <w:left w:val="none" w:sz="0" w:space="0" w:color="auto"/>
        <w:bottom w:val="none" w:sz="0" w:space="0" w:color="auto"/>
        <w:right w:val="none" w:sz="0" w:space="0" w:color="auto"/>
      </w:divBdr>
    </w:div>
    <w:div w:id="735710168">
      <w:bodyDiv w:val="1"/>
      <w:marLeft w:val="0"/>
      <w:marRight w:val="0"/>
      <w:marTop w:val="0"/>
      <w:marBottom w:val="0"/>
      <w:divBdr>
        <w:top w:val="none" w:sz="0" w:space="0" w:color="auto"/>
        <w:left w:val="none" w:sz="0" w:space="0" w:color="auto"/>
        <w:bottom w:val="none" w:sz="0" w:space="0" w:color="auto"/>
        <w:right w:val="none" w:sz="0" w:space="0" w:color="auto"/>
      </w:divBdr>
    </w:div>
    <w:div w:id="736057206">
      <w:bodyDiv w:val="1"/>
      <w:marLeft w:val="0"/>
      <w:marRight w:val="0"/>
      <w:marTop w:val="0"/>
      <w:marBottom w:val="0"/>
      <w:divBdr>
        <w:top w:val="none" w:sz="0" w:space="0" w:color="auto"/>
        <w:left w:val="none" w:sz="0" w:space="0" w:color="auto"/>
        <w:bottom w:val="none" w:sz="0" w:space="0" w:color="auto"/>
        <w:right w:val="none" w:sz="0" w:space="0" w:color="auto"/>
      </w:divBdr>
    </w:div>
    <w:div w:id="736247183">
      <w:bodyDiv w:val="1"/>
      <w:marLeft w:val="0"/>
      <w:marRight w:val="0"/>
      <w:marTop w:val="0"/>
      <w:marBottom w:val="0"/>
      <w:divBdr>
        <w:top w:val="none" w:sz="0" w:space="0" w:color="auto"/>
        <w:left w:val="none" w:sz="0" w:space="0" w:color="auto"/>
        <w:bottom w:val="none" w:sz="0" w:space="0" w:color="auto"/>
        <w:right w:val="none" w:sz="0" w:space="0" w:color="auto"/>
      </w:divBdr>
    </w:div>
    <w:div w:id="736516988">
      <w:bodyDiv w:val="1"/>
      <w:marLeft w:val="0"/>
      <w:marRight w:val="0"/>
      <w:marTop w:val="0"/>
      <w:marBottom w:val="0"/>
      <w:divBdr>
        <w:top w:val="none" w:sz="0" w:space="0" w:color="auto"/>
        <w:left w:val="none" w:sz="0" w:space="0" w:color="auto"/>
        <w:bottom w:val="none" w:sz="0" w:space="0" w:color="auto"/>
        <w:right w:val="none" w:sz="0" w:space="0" w:color="auto"/>
      </w:divBdr>
    </w:div>
    <w:div w:id="736630014">
      <w:bodyDiv w:val="1"/>
      <w:marLeft w:val="0"/>
      <w:marRight w:val="0"/>
      <w:marTop w:val="0"/>
      <w:marBottom w:val="0"/>
      <w:divBdr>
        <w:top w:val="none" w:sz="0" w:space="0" w:color="auto"/>
        <w:left w:val="none" w:sz="0" w:space="0" w:color="auto"/>
        <w:bottom w:val="none" w:sz="0" w:space="0" w:color="auto"/>
        <w:right w:val="none" w:sz="0" w:space="0" w:color="auto"/>
      </w:divBdr>
    </w:div>
    <w:div w:id="736779991">
      <w:bodyDiv w:val="1"/>
      <w:marLeft w:val="0"/>
      <w:marRight w:val="0"/>
      <w:marTop w:val="0"/>
      <w:marBottom w:val="0"/>
      <w:divBdr>
        <w:top w:val="none" w:sz="0" w:space="0" w:color="auto"/>
        <w:left w:val="none" w:sz="0" w:space="0" w:color="auto"/>
        <w:bottom w:val="none" w:sz="0" w:space="0" w:color="auto"/>
        <w:right w:val="none" w:sz="0" w:space="0" w:color="auto"/>
      </w:divBdr>
    </w:div>
    <w:div w:id="738091170">
      <w:bodyDiv w:val="1"/>
      <w:marLeft w:val="0"/>
      <w:marRight w:val="0"/>
      <w:marTop w:val="0"/>
      <w:marBottom w:val="0"/>
      <w:divBdr>
        <w:top w:val="none" w:sz="0" w:space="0" w:color="auto"/>
        <w:left w:val="none" w:sz="0" w:space="0" w:color="auto"/>
        <w:bottom w:val="none" w:sz="0" w:space="0" w:color="auto"/>
        <w:right w:val="none" w:sz="0" w:space="0" w:color="auto"/>
      </w:divBdr>
    </w:div>
    <w:div w:id="738091874">
      <w:bodyDiv w:val="1"/>
      <w:marLeft w:val="0"/>
      <w:marRight w:val="0"/>
      <w:marTop w:val="0"/>
      <w:marBottom w:val="0"/>
      <w:divBdr>
        <w:top w:val="none" w:sz="0" w:space="0" w:color="auto"/>
        <w:left w:val="none" w:sz="0" w:space="0" w:color="auto"/>
        <w:bottom w:val="none" w:sz="0" w:space="0" w:color="auto"/>
        <w:right w:val="none" w:sz="0" w:space="0" w:color="auto"/>
      </w:divBdr>
    </w:div>
    <w:div w:id="739212716">
      <w:bodyDiv w:val="1"/>
      <w:marLeft w:val="0"/>
      <w:marRight w:val="0"/>
      <w:marTop w:val="0"/>
      <w:marBottom w:val="0"/>
      <w:divBdr>
        <w:top w:val="none" w:sz="0" w:space="0" w:color="auto"/>
        <w:left w:val="none" w:sz="0" w:space="0" w:color="auto"/>
        <w:bottom w:val="none" w:sz="0" w:space="0" w:color="auto"/>
        <w:right w:val="none" w:sz="0" w:space="0" w:color="auto"/>
      </w:divBdr>
    </w:div>
    <w:div w:id="739249664">
      <w:bodyDiv w:val="1"/>
      <w:marLeft w:val="0"/>
      <w:marRight w:val="0"/>
      <w:marTop w:val="0"/>
      <w:marBottom w:val="0"/>
      <w:divBdr>
        <w:top w:val="none" w:sz="0" w:space="0" w:color="auto"/>
        <w:left w:val="none" w:sz="0" w:space="0" w:color="auto"/>
        <w:bottom w:val="none" w:sz="0" w:space="0" w:color="auto"/>
        <w:right w:val="none" w:sz="0" w:space="0" w:color="auto"/>
      </w:divBdr>
    </w:div>
    <w:div w:id="739249992">
      <w:bodyDiv w:val="1"/>
      <w:marLeft w:val="0"/>
      <w:marRight w:val="0"/>
      <w:marTop w:val="0"/>
      <w:marBottom w:val="0"/>
      <w:divBdr>
        <w:top w:val="none" w:sz="0" w:space="0" w:color="auto"/>
        <w:left w:val="none" w:sz="0" w:space="0" w:color="auto"/>
        <w:bottom w:val="none" w:sz="0" w:space="0" w:color="auto"/>
        <w:right w:val="none" w:sz="0" w:space="0" w:color="auto"/>
      </w:divBdr>
    </w:div>
    <w:div w:id="739445456">
      <w:bodyDiv w:val="1"/>
      <w:marLeft w:val="0"/>
      <w:marRight w:val="0"/>
      <w:marTop w:val="0"/>
      <w:marBottom w:val="0"/>
      <w:divBdr>
        <w:top w:val="none" w:sz="0" w:space="0" w:color="auto"/>
        <w:left w:val="none" w:sz="0" w:space="0" w:color="auto"/>
        <w:bottom w:val="none" w:sz="0" w:space="0" w:color="auto"/>
        <w:right w:val="none" w:sz="0" w:space="0" w:color="auto"/>
      </w:divBdr>
    </w:div>
    <w:div w:id="740063315">
      <w:bodyDiv w:val="1"/>
      <w:marLeft w:val="0"/>
      <w:marRight w:val="0"/>
      <w:marTop w:val="0"/>
      <w:marBottom w:val="0"/>
      <w:divBdr>
        <w:top w:val="none" w:sz="0" w:space="0" w:color="auto"/>
        <w:left w:val="none" w:sz="0" w:space="0" w:color="auto"/>
        <w:bottom w:val="none" w:sz="0" w:space="0" w:color="auto"/>
        <w:right w:val="none" w:sz="0" w:space="0" w:color="auto"/>
      </w:divBdr>
    </w:div>
    <w:div w:id="740712370">
      <w:bodyDiv w:val="1"/>
      <w:marLeft w:val="0"/>
      <w:marRight w:val="0"/>
      <w:marTop w:val="0"/>
      <w:marBottom w:val="0"/>
      <w:divBdr>
        <w:top w:val="none" w:sz="0" w:space="0" w:color="auto"/>
        <w:left w:val="none" w:sz="0" w:space="0" w:color="auto"/>
        <w:bottom w:val="none" w:sz="0" w:space="0" w:color="auto"/>
        <w:right w:val="none" w:sz="0" w:space="0" w:color="auto"/>
      </w:divBdr>
    </w:div>
    <w:div w:id="741148132">
      <w:bodyDiv w:val="1"/>
      <w:marLeft w:val="0"/>
      <w:marRight w:val="0"/>
      <w:marTop w:val="0"/>
      <w:marBottom w:val="0"/>
      <w:divBdr>
        <w:top w:val="none" w:sz="0" w:space="0" w:color="auto"/>
        <w:left w:val="none" w:sz="0" w:space="0" w:color="auto"/>
        <w:bottom w:val="none" w:sz="0" w:space="0" w:color="auto"/>
        <w:right w:val="none" w:sz="0" w:space="0" w:color="auto"/>
      </w:divBdr>
    </w:div>
    <w:div w:id="741221103">
      <w:bodyDiv w:val="1"/>
      <w:marLeft w:val="0"/>
      <w:marRight w:val="0"/>
      <w:marTop w:val="0"/>
      <w:marBottom w:val="0"/>
      <w:divBdr>
        <w:top w:val="none" w:sz="0" w:space="0" w:color="auto"/>
        <w:left w:val="none" w:sz="0" w:space="0" w:color="auto"/>
        <w:bottom w:val="none" w:sz="0" w:space="0" w:color="auto"/>
        <w:right w:val="none" w:sz="0" w:space="0" w:color="auto"/>
      </w:divBdr>
    </w:div>
    <w:div w:id="741291115">
      <w:bodyDiv w:val="1"/>
      <w:marLeft w:val="0"/>
      <w:marRight w:val="0"/>
      <w:marTop w:val="0"/>
      <w:marBottom w:val="0"/>
      <w:divBdr>
        <w:top w:val="none" w:sz="0" w:space="0" w:color="auto"/>
        <w:left w:val="none" w:sz="0" w:space="0" w:color="auto"/>
        <w:bottom w:val="none" w:sz="0" w:space="0" w:color="auto"/>
        <w:right w:val="none" w:sz="0" w:space="0" w:color="auto"/>
      </w:divBdr>
    </w:div>
    <w:div w:id="741607136">
      <w:bodyDiv w:val="1"/>
      <w:marLeft w:val="0"/>
      <w:marRight w:val="0"/>
      <w:marTop w:val="0"/>
      <w:marBottom w:val="0"/>
      <w:divBdr>
        <w:top w:val="none" w:sz="0" w:space="0" w:color="auto"/>
        <w:left w:val="none" w:sz="0" w:space="0" w:color="auto"/>
        <w:bottom w:val="none" w:sz="0" w:space="0" w:color="auto"/>
        <w:right w:val="none" w:sz="0" w:space="0" w:color="auto"/>
      </w:divBdr>
    </w:div>
    <w:div w:id="741634366">
      <w:bodyDiv w:val="1"/>
      <w:marLeft w:val="0"/>
      <w:marRight w:val="0"/>
      <w:marTop w:val="0"/>
      <w:marBottom w:val="0"/>
      <w:divBdr>
        <w:top w:val="none" w:sz="0" w:space="0" w:color="auto"/>
        <w:left w:val="none" w:sz="0" w:space="0" w:color="auto"/>
        <w:bottom w:val="none" w:sz="0" w:space="0" w:color="auto"/>
        <w:right w:val="none" w:sz="0" w:space="0" w:color="auto"/>
      </w:divBdr>
    </w:div>
    <w:div w:id="741636665">
      <w:bodyDiv w:val="1"/>
      <w:marLeft w:val="0"/>
      <w:marRight w:val="0"/>
      <w:marTop w:val="0"/>
      <w:marBottom w:val="0"/>
      <w:divBdr>
        <w:top w:val="none" w:sz="0" w:space="0" w:color="auto"/>
        <w:left w:val="none" w:sz="0" w:space="0" w:color="auto"/>
        <w:bottom w:val="none" w:sz="0" w:space="0" w:color="auto"/>
        <w:right w:val="none" w:sz="0" w:space="0" w:color="auto"/>
      </w:divBdr>
    </w:div>
    <w:div w:id="742071251">
      <w:bodyDiv w:val="1"/>
      <w:marLeft w:val="0"/>
      <w:marRight w:val="0"/>
      <w:marTop w:val="0"/>
      <w:marBottom w:val="0"/>
      <w:divBdr>
        <w:top w:val="none" w:sz="0" w:space="0" w:color="auto"/>
        <w:left w:val="none" w:sz="0" w:space="0" w:color="auto"/>
        <w:bottom w:val="none" w:sz="0" w:space="0" w:color="auto"/>
        <w:right w:val="none" w:sz="0" w:space="0" w:color="auto"/>
      </w:divBdr>
    </w:div>
    <w:div w:id="742264992">
      <w:bodyDiv w:val="1"/>
      <w:marLeft w:val="0"/>
      <w:marRight w:val="0"/>
      <w:marTop w:val="0"/>
      <w:marBottom w:val="0"/>
      <w:divBdr>
        <w:top w:val="none" w:sz="0" w:space="0" w:color="auto"/>
        <w:left w:val="none" w:sz="0" w:space="0" w:color="auto"/>
        <w:bottom w:val="none" w:sz="0" w:space="0" w:color="auto"/>
        <w:right w:val="none" w:sz="0" w:space="0" w:color="auto"/>
      </w:divBdr>
    </w:div>
    <w:div w:id="742527484">
      <w:bodyDiv w:val="1"/>
      <w:marLeft w:val="0"/>
      <w:marRight w:val="0"/>
      <w:marTop w:val="0"/>
      <w:marBottom w:val="0"/>
      <w:divBdr>
        <w:top w:val="none" w:sz="0" w:space="0" w:color="auto"/>
        <w:left w:val="none" w:sz="0" w:space="0" w:color="auto"/>
        <w:bottom w:val="none" w:sz="0" w:space="0" w:color="auto"/>
        <w:right w:val="none" w:sz="0" w:space="0" w:color="auto"/>
      </w:divBdr>
    </w:div>
    <w:div w:id="742685338">
      <w:bodyDiv w:val="1"/>
      <w:marLeft w:val="0"/>
      <w:marRight w:val="0"/>
      <w:marTop w:val="0"/>
      <w:marBottom w:val="0"/>
      <w:divBdr>
        <w:top w:val="none" w:sz="0" w:space="0" w:color="auto"/>
        <w:left w:val="none" w:sz="0" w:space="0" w:color="auto"/>
        <w:bottom w:val="none" w:sz="0" w:space="0" w:color="auto"/>
        <w:right w:val="none" w:sz="0" w:space="0" w:color="auto"/>
      </w:divBdr>
    </w:div>
    <w:div w:id="742876941">
      <w:bodyDiv w:val="1"/>
      <w:marLeft w:val="0"/>
      <w:marRight w:val="0"/>
      <w:marTop w:val="0"/>
      <w:marBottom w:val="0"/>
      <w:divBdr>
        <w:top w:val="none" w:sz="0" w:space="0" w:color="auto"/>
        <w:left w:val="none" w:sz="0" w:space="0" w:color="auto"/>
        <w:bottom w:val="none" w:sz="0" w:space="0" w:color="auto"/>
        <w:right w:val="none" w:sz="0" w:space="0" w:color="auto"/>
      </w:divBdr>
    </w:div>
    <w:div w:id="743331856">
      <w:bodyDiv w:val="1"/>
      <w:marLeft w:val="0"/>
      <w:marRight w:val="0"/>
      <w:marTop w:val="0"/>
      <w:marBottom w:val="0"/>
      <w:divBdr>
        <w:top w:val="none" w:sz="0" w:space="0" w:color="auto"/>
        <w:left w:val="none" w:sz="0" w:space="0" w:color="auto"/>
        <w:bottom w:val="none" w:sz="0" w:space="0" w:color="auto"/>
        <w:right w:val="none" w:sz="0" w:space="0" w:color="auto"/>
      </w:divBdr>
    </w:div>
    <w:div w:id="743600731">
      <w:bodyDiv w:val="1"/>
      <w:marLeft w:val="0"/>
      <w:marRight w:val="0"/>
      <w:marTop w:val="0"/>
      <w:marBottom w:val="0"/>
      <w:divBdr>
        <w:top w:val="none" w:sz="0" w:space="0" w:color="auto"/>
        <w:left w:val="none" w:sz="0" w:space="0" w:color="auto"/>
        <w:bottom w:val="none" w:sz="0" w:space="0" w:color="auto"/>
        <w:right w:val="none" w:sz="0" w:space="0" w:color="auto"/>
      </w:divBdr>
    </w:div>
    <w:div w:id="744692653">
      <w:bodyDiv w:val="1"/>
      <w:marLeft w:val="0"/>
      <w:marRight w:val="0"/>
      <w:marTop w:val="0"/>
      <w:marBottom w:val="0"/>
      <w:divBdr>
        <w:top w:val="none" w:sz="0" w:space="0" w:color="auto"/>
        <w:left w:val="none" w:sz="0" w:space="0" w:color="auto"/>
        <w:bottom w:val="none" w:sz="0" w:space="0" w:color="auto"/>
        <w:right w:val="none" w:sz="0" w:space="0" w:color="auto"/>
      </w:divBdr>
    </w:div>
    <w:div w:id="744910968">
      <w:bodyDiv w:val="1"/>
      <w:marLeft w:val="0"/>
      <w:marRight w:val="0"/>
      <w:marTop w:val="0"/>
      <w:marBottom w:val="0"/>
      <w:divBdr>
        <w:top w:val="none" w:sz="0" w:space="0" w:color="auto"/>
        <w:left w:val="none" w:sz="0" w:space="0" w:color="auto"/>
        <w:bottom w:val="none" w:sz="0" w:space="0" w:color="auto"/>
        <w:right w:val="none" w:sz="0" w:space="0" w:color="auto"/>
      </w:divBdr>
    </w:div>
    <w:div w:id="744954862">
      <w:bodyDiv w:val="1"/>
      <w:marLeft w:val="0"/>
      <w:marRight w:val="0"/>
      <w:marTop w:val="0"/>
      <w:marBottom w:val="0"/>
      <w:divBdr>
        <w:top w:val="none" w:sz="0" w:space="0" w:color="auto"/>
        <w:left w:val="none" w:sz="0" w:space="0" w:color="auto"/>
        <w:bottom w:val="none" w:sz="0" w:space="0" w:color="auto"/>
        <w:right w:val="none" w:sz="0" w:space="0" w:color="auto"/>
      </w:divBdr>
    </w:div>
    <w:div w:id="745347486">
      <w:bodyDiv w:val="1"/>
      <w:marLeft w:val="0"/>
      <w:marRight w:val="0"/>
      <w:marTop w:val="0"/>
      <w:marBottom w:val="0"/>
      <w:divBdr>
        <w:top w:val="none" w:sz="0" w:space="0" w:color="auto"/>
        <w:left w:val="none" w:sz="0" w:space="0" w:color="auto"/>
        <w:bottom w:val="none" w:sz="0" w:space="0" w:color="auto"/>
        <w:right w:val="none" w:sz="0" w:space="0" w:color="auto"/>
      </w:divBdr>
    </w:div>
    <w:div w:id="745734725">
      <w:bodyDiv w:val="1"/>
      <w:marLeft w:val="0"/>
      <w:marRight w:val="0"/>
      <w:marTop w:val="0"/>
      <w:marBottom w:val="0"/>
      <w:divBdr>
        <w:top w:val="none" w:sz="0" w:space="0" w:color="auto"/>
        <w:left w:val="none" w:sz="0" w:space="0" w:color="auto"/>
        <w:bottom w:val="none" w:sz="0" w:space="0" w:color="auto"/>
        <w:right w:val="none" w:sz="0" w:space="0" w:color="auto"/>
      </w:divBdr>
    </w:div>
    <w:div w:id="745805603">
      <w:bodyDiv w:val="1"/>
      <w:marLeft w:val="0"/>
      <w:marRight w:val="0"/>
      <w:marTop w:val="0"/>
      <w:marBottom w:val="0"/>
      <w:divBdr>
        <w:top w:val="none" w:sz="0" w:space="0" w:color="auto"/>
        <w:left w:val="none" w:sz="0" w:space="0" w:color="auto"/>
        <w:bottom w:val="none" w:sz="0" w:space="0" w:color="auto"/>
        <w:right w:val="none" w:sz="0" w:space="0" w:color="auto"/>
      </w:divBdr>
    </w:div>
    <w:div w:id="746001042">
      <w:bodyDiv w:val="1"/>
      <w:marLeft w:val="0"/>
      <w:marRight w:val="0"/>
      <w:marTop w:val="0"/>
      <w:marBottom w:val="0"/>
      <w:divBdr>
        <w:top w:val="none" w:sz="0" w:space="0" w:color="auto"/>
        <w:left w:val="none" w:sz="0" w:space="0" w:color="auto"/>
        <w:bottom w:val="none" w:sz="0" w:space="0" w:color="auto"/>
        <w:right w:val="none" w:sz="0" w:space="0" w:color="auto"/>
      </w:divBdr>
    </w:div>
    <w:div w:id="746808328">
      <w:bodyDiv w:val="1"/>
      <w:marLeft w:val="0"/>
      <w:marRight w:val="0"/>
      <w:marTop w:val="0"/>
      <w:marBottom w:val="0"/>
      <w:divBdr>
        <w:top w:val="none" w:sz="0" w:space="0" w:color="auto"/>
        <w:left w:val="none" w:sz="0" w:space="0" w:color="auto"/>
        <w:bottom w:val="none" w:sz="0" w:space="0" w:color="auto"/>
        <w:right w:val="none" w:sz="0" w:space="0" w:color="auto"/>
      </w:divBdr>
    </w:div>
    <w:div w:id="747075258">
      <w:bodyDiv w:val="1"/>
      <w:marLeft w:val="0"/>
      <w:marRight w:val="0"/>
      <w:marTop w:val="0"/>
      <w:marBottom w:val="0"/>
      <w:divBdr>
        <w:top w:val="none" w:sz="0" w:space="0" w:color="auto"/>
        <w:left w:val="none" w:sz="0" w:space="0" w:color="auto"/>
        <w:bottom w:val="none" w:sz="0" w:space="0" w:color="auto"/>
        <w:right w:val="none" w:sz="0" w:space="0" w:color="auto"/>
      </w:divBdr>
    </w:div>
    <w:div w:id="747114024">
      <w:bodyDiv w:val="1"/>
      <w:marLeft w:val="0"/>
      <w:marRight w:val="0"/>
      <w:marTop w:val="0"/>
      <w:marBottom w:val="0"/>
      <w:divBdr>
        <w:top w:val="none" w:sz="0" w:space="0" w:color="auto"/>
        <w:left w:val="none" w:sz="0" w:space="0" w:color="auto"/>
        <w:bottom w:val="none" w:sz="0" w:space="0" w:color="auto"/>
        <w:right w:val="none" w:sz="0" w:space="0" w:color="auto"/>
      </w:divBdr>
    </w:div>
    <w:div w:id="747191003">
      <w:bodyDiv w:val="1"/>
      <w:marLeft w:val="0"/>
      <w:marRight w:val="0"/>
      <w:marTop w:val="0"/>
      <w:marBottom w:val="0"/>
      <w:divBdr>
        <w:top w:val="none" w:sz="0" w:space="0" w:color="auto"/>
        <w:left w:val="none" w:sz="0" w:space="0" w:color="auto"/>
        <w:bottom w:val="none" w:sz="0" w:space="0" w:color="auto"/>
        <w:right w:val="none" w:sz="0" w:space="0" w:color="auto"/>
      </w:divBdr>
    </w:div>
    <w:div w:id="748506812">
      <w:bodyDiv w:val="1"/>
      <w:marLeft w:val="0"/>
      <w:marRight w:val="0"/>
      <w:marTop w:val="0"/>
      <w:marBottom w:val="0"/>
      <w:divBdr>
        <w:top w:val="none" w:sz="0" w:space="0" w:color="auto"/>
        <w:left w:val="none" w:sz="0" w:space="0" w:color="auto"/>
        <w:bottom w:val="none" w:sz="0" w:space="0" w:color="auto"/>
        <w:right w:val="none" w:sz="0" w:space="0" w:color="auto"/>
      </w:divBdr>
    </w:div>
    <w:div w:id="748582219">
      <w:bodyDiv w:val="1"/>
      <w:marLeft w:val="0"/>
      <w:marRight w:val="0"/>
      <w:marTop w:val="0"/>
      <w:marBottom w:val="0"/>
      <w:divBdr>
        <w:top w:val="none" w:sz="0" w:space="0" w:color="auto"/>
        <w:left w:val="none" w:sz="0" w:space="0" w:color="auto"/>
        <w:bottom w:val="none" w:sz="0" w:space="0" w:color="auto"/>
        <w:right w:val="none" w:sz="0" w:space="0" w:color="auto"/>
      </w:divBdr>
    </w:div>
    <w:div w:id="748769450">
      <w:bodyDiv w:val="1"/>
      <w:marLeft w:val="0"/>
      <w:marRight w:val="0"/>
      <w:marTop w:val="0"/>
      <w:marBottom w:val="0"/>
      <w:divBdr>
        <w:top w:val="none" w:sz="0" w:space="0" w:color="auto"/>
        <w:left w:val="none" w:sz="0" w:space="0" w:color="auto"/>
        <w:bottom w:val="none" w:sz="0" w:space="0" w:color="auto"/>
        <w:right w:val="none" w:sz="0" w:space="0" w:color="auto"/>
      </w:divBdr>
    </w:div>
    <w:div w:id="748961995">
      <w:bodyDiv w:val="1"/>
      <w:marLeft w:val="0"/>
      <w:marRight w:val="0"/>
      <w:marTop w:val="0"/>
      <w:marBottom w:val="0"/>
      <w:divBdr>
        <w:top w:val="none" w:sz="0" w:space="0" w:color="auto"/>
        <w:left w:val="none" w:sz="0" w:space="0" w:color="auto"/>
        <w:bottom w:val="none" w:sz="0" w:space="0" w:color="auto"/>
        <w:right w:val="none" w:sz="0" w:space="0" w:color="auto"/>
      </w:divBdr>
    </w:div>
    <w:div w:id="749084119">
      <w:bodyDiv w:val="1"/>
      <w:marLeft w:val="0"/>
      <w:marRight w:val="0"/>
      <w:marTop w:val="0"/>
      <w:marBottom w:val="0"/>
      <w:divBdr>
        <w:top w:val="none" w:sz="0" w:space="0" w:color="auto"/>
        <w:left w:val="none" w:sz="0" w:space="0" w:color="auto"/>
        <w:bottom w:val="none" w:sz="0" w:space="0" w:color="auto"/>
        <w:right w:val="none" w:sz="0" w:space="0" w:color="auto"/>
      </w:divBdr>
    </w:div>
    <w:div w:id="751203270">
      <w:bodyDiv w:val="1"/>
      <w:marLeft w:val="0"/>
      <w:marRight w:val="0"/>
      <w:marTop w:val="0"/>
      <w:marBottom w:val="0"/>
      <w:divBdr>
        <w:top w:val="none" w:sz="0" w:space="0" w:color="auto"/>
        <w:left w:val="none" w:sz="0" w:space="0" w:color="auto"/>
        <w:bottom w:val="none" w:sz="0" w:space="0" w:color="auto"/>
        <w:right w:val="none" w:sz="0" w:space="0" w:color="auto"/>
      </w:divBdr>
    </w:div>
    <w:div w:id="751511557">
      <w:bodyDiv w:val="1"/>
      <w:marLeft w:val="0"/>
      <w:marRight w:val="0"/>
      <w:marTop w:val="0"/>
      <w:marBottom w:val="0"/>
      <w:divBdr>
        <w:top w:val="none" w:sz="0" w:space="0" w:color="auto"/>
        <w:left w:val="none" w:sz="0" w:space="0" w:color="auto"/>
        <w:bottom w:val="none" w:sz="0" w:space="0" w:color="auto"/>
        <w:right w:val="none" w:sz="0" w:space="0" w:color="auto"/>
      </w:divBdr>
    </w:div>
    <w:div w:id="751661843">
      <w:bodyDiv w:val="1"/>
      <w:marLeft w:val="0"/>
      <w:marRight w:val="0"/>
      <w:marTop w:val="0"/>
      <w:marBottom w:val="0"/>
      <w:divBdr>
        <w:top w:val="none" w:sz="0" w:space="0" w:color="auto"/>
        <w:left w:val="none" w:sz="0" w:space="0" w:color="auto"/>
        <w:bottom w:val="none" w:sz="0" w:space="0" w:color="auto"/>
        <w:right w:val="none" w:sz="0" w:space="0" w:color="auto"/>
      </w:divBdr>
    </w:div>
    <w:div w:id="751701869">
      <w:bodyDiv w:val="1"/>
      <w:marLeft w:val="0"/>
      <w:marRight w:val="0"/>
      <w:marTop w:val="0"/>
      <w:marBottom w:val="0"/>
      <w:divBdr>
        <w:top w:val="none" w:sz="0" w:space="0" w:color="auto"/>
        <w:left w:val="none" w:sz="0" w:space="0" w:color="auto"/>
        <w:bottom w:val="none" w:sz="0" w:space="0" w:color="auto"/>
        <w:right w:val="none" w:sz="0" w:space="0" w:color="auto"/>
      </w:divBdr>
    </w:div>
    <w:div w:id="752167916">
      <w:bodyDiv w:val="1"/>
      <w:marLeft w:val="0"/>
      <w:marRight w:val="0"/>
      <w:marTop w:val="0"/>
      <w:marBottom w:val="0"/>
      <w:divBdr>
        <w:top w:val="none" w:sz="0" w:space="0" w:color="auto"/>
        <w:left w:val="none" w:sz="0" w:space="0" w:color="auto"/>
        <w:bottom w:val="none" w:sz="0" w:space="0" w:color="auto"/>
        <w:right w:val="none" w:sz="0" w:space="0" w:color="auto"/>
      </w:divBdr>
    </w:div>
    <w:div w:id="752824272">
      <w:bodyDiv w:val="1"/>
      <w:marLeft w:val="0"/>
      <w:marRight w:val="0"/>
      <w:marTop w:val="0"/>
      <w:marBottom w:val="0"/>
      <w:divBdr>
        <w:top w:val="none" w:sz="0" w:space="0" w:color="auto"/>
        <w:left w:val="none" w:sz="0" w:space="0" w:color="auto"/>
        <w:bottom w:val="none" w:sz="0" w:space="0" w:color="auto"/>
        <w:right w:val="none" w:sz="0" w:space="0" w:color="auto"/>
      </w:divBdr>
    </w:div>
    <w:div w:id="753480175">
      <w:bodyDiv w:val="1"/>
      <w:marLeft w:val="0"/>
      <w:marRight w:val="0"/>
      <w:marTop w:val="0"/>
      <w:marBottom w:val="0"/>
      <w:divBdr>
        <w:top w:val="none" w:sz="0" w:space="0" w:color="auto"/>
        <w:left w:val="none" w:sz="0" w:space="0" w:color="auto"/>
        <w:bottom w:val="none" w:sz="0" w:space="0" w:color="auto"/>
        <w:right w:val="none" w:sz="0" w:space="0" w:color="auto"/>
      </w:divBdr>
    </w:div>
    <w:div w:id="753598592">
      <w:bodyDiv w:val="1"/>
      <w:marLeft w:val="0"/>
      <w:marRight w:val="0"/>
      <w:marTop w:val="0"/>
      <w:marBottom w:val="0"/>
      <w:divBdr>
        <w:top w:val="none" w:sz="0" w:space="0" w:color="auto"/>
        <w:left w:val="none" w:sz="0" w:space="0" w:color="auto"/>
        <w:bottom w:val="none" w:sz="0" w:space="0" w:color="auto"/>
        <w:right w:val="none" w:sz="0" w:space="0" w:color="auto"/>
      </w:divBdr>
    </w:div>
    <w:div w:id="754941405">
      <w:bodyDiv w:val="1"/>
      <w:marLeft w:val="0"/>
      <w:marRight w:val="0"/>
      <w:marTop w:val="0"/>
      <w:marBottom w:val="0"/>
      <w:divBdr>
        <w:top w:val="none" w:sz="0" w:space="0" w:color="auto"/>
        <w:left w:val="none" w:sz="0" w:space="0" w:color="auto"/>
        <w:bottom w:val="none" w:sz="0" w:space="0" w:color="auto"/>
        <w:right w:val="none" w:sz="0" w:space="0" w:color="auto"/>
      </w:divBdr>
    </w:div>
    <w:div w:id="755135362">
      <w:bodyDiv w:val="1"/>
      <w:marLeft w:val="0"/>
      <w:marRight w:val="0"/>
      <w:marTop w:val="0"/>
      <w:marBottom w:val="0"/>
      <w:divBdr>
        <w:top w:val="none" w:sz="0" w:space="0" w:color="auto"/>
        <w:left w:val="none" w:sz="0" w:space="0" w:color="auto"/>
        <w:bottom w:val="none" w:sz="0" w:space="0" w:color="auto"/>
        <w:right w:val="none" w:sz="0" w:space="0" w:color="auto"/>
      </w:divBdr>
    </w:div>
    <w:div w:id="755441694">
      <w:bodyDiv w:val="1"/>
      <w:marLeft w:val="0"/>
      <w:marRight w:val="0"/>
      <w:marTop w:val="0"/>
      <w:marBottom w:val="0"/>
      <w:divBdr>
        <w:top w:val="none" w:sz="0" w:space="0" w:color="auto"/>
        <w:left w:val="none" w:sz="0" w:space="0" w:color="auto"/>
        <w:bottom w:val="none" w:sz="0" w:space="0" w:color="auto"/>
        <w:right w:val="none" w:sz="0" w:space="0" w:color="auto"/>
      </w:divBdr>
    </w:div>
    <w:div w:id="755708119">
      <w:bodyDiv w:val="1"/>
      <w:marLeft w:val="0"/>
      <w:marRight w:val="0"/>
      <w:marTop w:val="0"/>
      <w:marBottom w:val="0"/>
      <w:divBdr>
        <w:top w:val="none" w:sz="0" w:space="0" w:color="auto"/>
        <w:left w:val="none" w:sz="0" w:space="0" w:color="auto"/>
        <w:bottom w:val="none" w:sz="0" w:space="0" w:color="auto"/>
        <w:right w:val="none" w:sz="0" w:space="0" w:color="auto"/>
      </w:divBdr>
    </w:div>
    <w:div w:id="756755678">
      <w:bodyDiv w:val="1"/>
      <w:marLeft w:val="0"/>
      <w:marRight w:val="0"/>
      <w:marTop w:val="0"/>
      <w:marBottom w:val="0"/>
      <w:divBdr>
        <w:top w:val="none" w:sz="0" w:space="0" w:color="auto"/>
        <w:left w:val="none" w:sz="0" w:space="0" w:color="auto"/>
        <w:bottom w:val="none" w:sz="0" w:space="0" w:color="auto"/>
        <w:right w:val="none" w:sz="0" w:space="0" w:color="auto"/>
      </w:divBdr>
    </w:div>
    <w:div w:id="756906307">
      <w:bodyDiv w:val="1"/>
      <w:marLeft w:val="0"/>
      <w:marRight w:val="0"/>
      <w:marTop w:val="0"/>
      <w:marBottom w:val="0"/>
      <w:divBdr>
        <w:top w:val="none" w:sz="0" w:space="0" w:color="auto"/>
        <w:left w:val="none" w:sz="0" w:space="0" w:color="auto"/>
        <w:bottom w:val="none" w:sz="0" w:space="0" w:color="auto"/>
        <w:right w:val="none" w:sz="0" w:space="0" w:color="auto"/>
      </w:divBdr>
    </w:div>
    <w:div w:id="756942964">
      <w:bodyDiv w:val="1"/>
      <w:marLeft w:val="0"/>
      <w:marRight w:val="0"/>
      <w:marTop w:val="0"/>
      <w:marBottom w:val="0"/>
      <w:divBdr>
        <w:top w:val="none" w:sz="0" w:space="0" w:color="auto"/>
        <w:left w:val="none" w:sz="0" w:space="0" w:color="auto"/>
        <w:bottom w:val="none" w:sz="0" w:space="0" w:color="auto"/>
        <w:right w:val="none" w:sz="0" w:space="0" w:color="auto"/>
      </w:divBdr>
    </w:div>
    <w:div w:id="756943657">
      <w:bodyDiv w:val="1"/>
      <w:marLeft w:val="0"/>
      <w:marRight w:val="0"/>
      <w:marTop w:val="0"/>
      <w:marBottom w:val="0"/>
      <w:divBdr>
        <w:top w:val="none" w:sz="0" w:space="0" w:color="auto"/>
        <w:left w:val="none" w:sz="0" w:space="0" w:color="auto"/>
        <w:bottom w:val="none" w:sz="0" w:space="0" w:color="auto"/>
        <w:right w:val="none" w:sz="0" w:space="0" w:color="auto"/>
      </w:divBdr>
    </w:div>
    <w:div w:id="757141479">
      <w:bodyDiv w:val="1"/>
      <w:marLeft w:val="0"/>
      <w:marRight w:val="0"/>
      <w:marTop w:val="0"/>
      <w:marBottom w:val="0"/>
      <w:divBdr>
        <w:top w:val="none" w:sz="0" w:space="0" w:color="auto"/>
        <w:left w:val="none" w:sz="0" w:space="0" w:color="auto"/>
        <w:bottom w:val="none" w:sz="0" w:space="0" w:color="auto"/>
        <w:right w:val="none" w:sz="0" w:space="0" w:color="auto"/>
      </w:divBdr>
    </w:div>
    <w:div w:id="757483849">
      <w:bodyDiv w:val="1"/>
      <w:marLeft w:val="0"/>
      <w:marRight w:val="0"/>
      <w:marTop w:val="0"/>
      <w:marBottom w:val="0"/>
      <w:divBdr>
        <w:top w:val="none" w:sz="0" w:space="0" w:color="auto"/>
        <w:left w:val="none" w:sz="0" w:space="0" w:color="auto"/>
        <w:bottom w:val="none" w:sz="0" w:space="0" w:color="auto"/>
        <w:right w:val="none" w:sz="0" w:space="0" w:color="auto"/>
      </w:divBdr>
    </w:div>
    <w:div w:id="758251839">
      <w:bodyDiv w:val="1"/>
      <w:marLeft w:val="0"/>
      <w:marRight w:val="0"/>
      <w:marTop w:val="0"/>
      <w:marBottom w:val="0"/>
      <w:divBdr>
        <w:top w:val="none" w:sz="0" w:space="0" w:color="auto"/>
        <w:left w:val="none" w:sz="0" w:space="0" w:color="auto"/>
        <w:bottom w:val="none" w:sz="0" w:space="0" w:color="auto"/>
        <w:right w:val="none" w:sz="0" w:space="0" w:color="auto"/>
      </w:divBdr>
    </w:div>
    <w:div w:id="758672236">
      <w:bodyDiv w:val="1"/>
      <w:marLeft w:val="0"/>
      <w:marRight w:val="0"/>
      <w:marTop w:val="0"/>
      <w:marBottom w:val="0"/>
      <w:divBdr>
        <w:top w:val="none" w:sz="0" w:space="0" w:color="auto"/>
        <w:left w:val="none" w:sz="0" w:space="0" w:color="auto"/>
        <w:bottom w:val="none" w:sz="0" w:space="0" w:color="auto"/>
        <w:right w:val="none" w:sz="0" w:space="0" w:color="auto"/>
      </w:divBdr>
    </w:div>
    <w:div w:id="758791537">
      <w:bodyDiv w:val="1"/>
      <w:marLeft w:val="0"/>
      <w:marRight w:val="0"/>
      <w:marTop w:val="0"/>
      <w:marBottom w:val="0"/>
      <w:divBdr>
        <w:top w:val="none" w:sz="0" w:space="0" w:color="auto"/>
        <w:left w:val="none" w:sz="0" w:space="0" w:color="auto"/>
        <w:bottom w:val="none" w:sz="0" w:space="0" w:color="auto"/>
        <w:right w:val="none" w:sz="0" w:space="0" w:color="auto"/>
      </w:divBdr>
    </w:div>
    <w:div w:id="758910033">
      <w:bodyDiv w:val="1"/>
      <w:marLeft w:val="0"/>
      <w:marRight w:val="0"/>
      <w:marTop w:val="0"/>
      <w:marBottom w:val="0"/>
      <w:divBdr>
        <w:top w:val="none" w:sz="0" w:space="0" w:color="auto"/>
        <w:left w:val="none" w:sz="0" w:space="0" w:color="auto"/>
        <w:bottom w:val="none" w:sz="0" w:space="0" w:color="auto"/>
        <w:right w:val="none" w:sz="0" w:space="0" w:color="auto"/>
      </w:divBdr>
    </w:div>
    <w:div w:id="759062214">
      <w:bodyDiv w:val="1"/>
      <w:marLeft w:val="0"/>
      <w:marRight w:val="0"/>
      <w:marTop w:val="0"/>
      <w:marBottom w:val="0"/>
      <w:divBdr>
        <w:top w:val="none" w:sz="0" w:space="0" w:color="auto"/>
        <w:left w:val="none" w:sz="0" w:space="0" w:color="auto"/>
        <w:bottom w:val="none" w:sz="0" w:space="0" w:color="auto"/>
        <w:right w:val="none" w:sz="0" w:space="0" w:color="auto"/>
      </w:divBdr>
    </w:div>
    <w:div w:id="759134174">
      <w:bodyDiv w:val="1"/>
      <w:marLeft w:val="0"/>
      <w:marRight w:val="0"/>
      <w:marTop w:val="0"/>
      <w:marBottom w:val="0"/>
      <w:divBdr>
        <w:top w:val="none" w:sz="0" w:space="0" w:color="auto"/>
        <w:left w:val="none" w:sz="0" w:space="0" w:color="auto"/>
        <w:bottom w:val="none" w:sz="0" w:space="0" w:color="auto"/>
        <w:right w:val="none" w:sz="0" w:space="0" w:color="auto"/>
      </w:divBdr>
    </w:div>
    <w:div w:id="759639912">
      <w:bodyDiv w:val="1"/>
      <w:marLeft w:val="0"/>
      <w:marRight w:val="0"/>
      <w:marTop w:val="0"/>
      <w:marBottom w:val="0"/>
      <w:divBdr>
        <w:top w:val="none" w:sz="0" w:space="0" w:color="auto"/>
        <w:left w:val="none" w:sz="0" w:space="0" w:color="auto"/>
        <w:bottom w:val="none" w:sz="0" w:space="0" w:color="auto"/>
        <w:right w:val="none" w:sz="0" w:space="0" w:color="auto"/>
      </w:divBdr>
    </w:div>
    <w:div w:id="759982635">
      <w:bodyDiv w:val="1"/>
      <w:marLeft w:val="0"/>
      <w:marRight w:val="0"/>
      <w:marTop w:val="0"/>
      <w:marBottom w:val="0"/>
      <w:divBdr>
        <w:top w:val="none" w:sz="0" w:space="0" w:color="auto"/>
        <w:left w:val="none" w:sz="0" w:space="0" w:color="auto"/>
        <w:bottom w:val="none" w:sz="0" w:space="0" w:color="auto"/>
        <w:right w:val="none" w:sz="0" w:space="0" w:color="auto"/>
      </w:divBdr>
    </w:div>
    <w:div w:id="759984318">
      <w:bodyDiv w:val="1"/>
      <w:marLeft w:val="0"/>
      <w:marRight w:val="0"/>
      <w:marTop w:val="0"/>
      <w:marBottom w:val="0"/>
      <w:divBdr>
        <w:top w:val="none" w:sz="0" w:space="0" w:color="auto"/>
        <w:left w:val="none" w:sz="0" w:space="0" w:color="auto"/>
        <w:bottom w:val="none" w:sz="0" w:space="0" w:color="auto"/>
        <w:right w:val="none" w:sz="0" w:space="0" w:color="auto"/>
      </w:divBdr>
    </w:div>
    <w:div w:id="760177965">
      <w:bodyDiv w:val="1"/>
      <w:marLeft w:val="0"/>
      <w:marRight w:val="0"/>
      <w:marTop w:val="0"/>
      <w:marBottom w:val="0"/>
      <w:divBdr>
        <w:top w:val="none" w:sz="0" w:space="0" w:color="auto"/>
        <w:left w:val="none" w:sz="0" w:space="0" w:color="auto"/>
        <w:bottom w:val="none" w:sz="0" w:space="0" w:color="auto"/>
        <w:right w:val="none" w:sz="0" w:space="0" w:color="auto"/>
      </w:divBdr>
    </w:div>
    <w:div w:id="760221395">
      <w:bodyDiv w:val="1"/>
      <w:marLeft w:val="0"/>
      <w:marRight w:val="0"/>
      <w:marTop w:val="0"/>
      <w:marBottom w:val="0"/>
      <w:divBdr>
        <w:top w:val="none" w:sz="0" w:space="0" w:color="auto"/>
        <w:left w:val="none" w:sz="0" w:space="0" w:color="auto"/>
        <w:bottom w:val="none" w:sz="0" w:space="0" w:color="auto"/>
        <w:right w:val="none" w:sz="0" w:space="0" w:color="auto"/>
      </w:divBdr>
    </w:div>
    <w:div w:id="760570608">
      <w:bodyDiv w:val="1"/>
      <w:marLeft w:val="0"/>
      <w:marRight w:val="0"/>
      <w:marTop w:val="0"/>
      <w:marBottom w:val="0"/>
      <w:divBdr>
        <w:top w:val="none" w:sz="0" w:space="0" w:color="auto"/>
        <w:left w:val="none" w:sz="0" w:space="0" w:color="auto"/>
        <w:bottom w:val="none" w:sz="0" w:space="0" w:color="auto"/>
        <w:right w:val="none" w:sz="0" w:space="0" w:color="auto"/>
      </w:divBdr>
    </w:div>
    <w:div w:id="760640103">
      <w:bodyDiv w:val="1"/>
      <w:marLeft w:val="0"/>
      <w:marRight w:val="0"/>
      <w:marTop w:val="0"/>
      <w:marBottom w:val="0"/>
      <w:divBdr>
        <w:top w:val="none" w:sz="0" w:space="0" w:color="auto"/>
        <w:left w:val="none" w:sz="0" w:space="0" w:color="auto"/>
        <w:bottom w:val="none" w:sz="0" w:space="0" w:color="auto"/>
        <w:right w:val="none" w:sz="0" w:space="0" w:color="auto"/>
      </w:divBdr>
    </w:div>
    <w:div w:id="760762295">
      <w:bodyDiv w:val="1"/>
      <w:marLeft w:val="0"/>
      <w:marRight w:val="0"/>
      <w:marTop w:val="0"/>
      <w:marBottom w:val="0"/>
      <w:divBdr>
        <w:top w:val="none" w:sz="0" w:space="0" w:color="auto"/>
        <w:left w:val="none" w:sz="0" w:space="0" w:color="auto"/>
        <w:bottom w:val="none" w:sz="0" w:space="0" w:color="auto"/>
        <w:right w:val="none" w:sz="0" w:space="0" w:color="auto"/>
      </w:divBdr>
    </w:div>
    <w:div w:id="761025575">
      <w:bodyDiv w:val="1"/>
      <w:marLeft w:val="0"/>
      <w:marRight w:val="0"/>
      <w:marTop w:val="0"/>
      <w:marBottom w:val="0"/>
      <w:divBdr>
        <w:top w:val="none" w:sz="0" w:space="0" w:color="auto"/>
        <w:left w:val="none" w:sz="0" w:space="0" w:color="auto"/>
        <w:bottom w:val="none" w:sz="0" w:space="0" w:color="auto"/>
        <w:right w:val="none" w:sz="0" w:space="0" w:color="auto"/>
      </w:divBdr>
    </w:div>
    <w:div w:id="761099621">
      <w:bodyDiv w:val="1"/>
      <w:marLeft w:val="0"/>
      <w:marRight w:val="0"/>
      <w:marTop w:val="0"/>
      <w:marBottom w:val="0"/>
      <w:divBdr>
        <w:top w:val="none" w:sz="0" w:space="0" w:color="auto"/>
        <w:left w:val="none" w:sz="0" w:space="0" w:color="auto"/>
        <w:bottom w:val="none" w:sz="0" w:space="0" w:color="auto"/>
        <w:right w:val="none" w:sz="0" w:space="0" w:color="auto"/>
      </w:divBdr>
    </w:div>
    <w:div w:id="761147085">
      <w:bodyDiv w:val="1"/>
      <w:marLeft w:val="0"/>
      <w:marRight w:val="0"/>
      <w:marTop w:val="0"/>
      <w:marBottom w:val="0"/>
      <w:divBdr>
        <w:top w:val="none" w:sz="0" w:space="0" w:color="auto"/>
        <w:left w:val="none" w:sz="0" w:space="0" w:color="auto"/>
        <w:bottom w:val="none" w:sz="0" w:space="0" w:color="auto"/>
        <w:right w:val="none" w:sz="0" w:space="0" w:color="auto"/>
      </w:divBdr>
    </w:div>
    <w:div w:id="761220167">
      <w:bodyDiv w:val="1"/>
      <w:marLeft w:val="0"/>
      <w:marRight w:val="0"/>
      <w:marTop w:val="0"/>
      <w:marBottom w:val="0"/>
      <w:divBdr>
        <w:top w:val="none" w:sz="0" w:space="0" w:color="auto"/>
        <w:left w:val="none" w:sz="0" w:space="0" w:color="auto"/>
        <w:bottom w:val="none" w:sz="0" w:space="0" w:color="auto"/>
        <w:right w:val="none" w:sz="0" w:space="0" w:color="auto"/>
      </w:divBdr>
    </w:div>
    <w:div w:id="761414092">
      <w:bodyDiv w:val="1"/>
      <w:marLeft w:val="0"/>
      <w:marRight w:val="0"/>
      <w:marTop w:val="0"/>
      <w:marBottom w:val="0"/>
      <w:divBdr>
        <w:top w:val="none" w:sz="0" w:space="0" w:color="auto"/>
        <w:left w:val="none" w:sz="0" w:space="0" w:color="auto"/>
        <w:bottom w:val="none" w:sz="0" w:space="0" w:color="auto"/>
        <w:right w:val="none" w:sz="0" w:space="0" w:color="auto"/>
      </w:divBdr>
    </w:div>
    <w:div w:id="761419640">
      <w:bodyDiv w:val="1"/>
      <w:marLeft w:val="0"/>
      <w:marRight w:val="0"/>
      <w:marTop w:val="0"/>
      <w:marBottom w:val="0"/>
      <w:divBdr>
        <w:top w:val="none" w:sz="0" w:space="0" w:color="auto"/>
        <w:left w:val="none" w:sz="0" w:space="0" w:color="auto"/>
        <w:bottom w:val="none" w:sz="0" w:space="0" w:color="auto"/>
        <w:right w:val="none" w:sz="0" w:space="0" w:color="auto"/>
      </w:divBdr>
    </w:div>
    <w:div w:id="761798749">
      <w:bodyDiv w:val="1"/>
      <w:marLeft w:val="0"/>
      <w:marRight w:val="0"/>
      <w:marTop w:val="0"/>
      <w:marBottom w:val="0"/>
      <w:divBdr>
        <w:top w:val="none" w:sz="0" w:space="0" w:color="auto"/>
        <w:left w:val="none" w:sz="0" w:space="0" w:color="auto"/>
        <w:bottom w:val="none" w:sz="0" w:space="0" w:color="auto"/>
        <w:right w:val="none" w:sz="0" w:space="0" w:color="auto"/>
      </w:divBdr>
    </w:div>
    <w:div w:id="761875413">
      <w:bodyDiv w:val="1"/>
      <w:marLeft w:val="0"/>
      <w:marRight w:val="0"/>
      <w:marTop w:val="0"/>
      <w:marBottom w:val="0"/>
      <w:divBdr>
        <w:top w:val="none" w:sz="0" w:space="0" w:color="auto"/>
        <w:left w:val="none" w:sz="0" w:space="0" w:color="auto"/>
        <w:bottom w:val="none" w:sz="0" w:space="0" w:color="auto"/>
        <w:right w:val="none" w:sz="0" w:space="0" w:color="auto"/>
      </w:divBdr>
    </w:div>
    <w:div w:id="762454524">
      <w:bodyDiv w:val="1"/>
      <w:marLeft w:val="0"/>
      <w:marRight w:val="0"/>
      <w:marTop w:val="0"/>
      <w:marBottom w:val="0"/>
      <w:divBdr>
        <w:top w:val="none" w:sz="0" w:space="0" w:color="auto"/>
        <w:left w:val="none" w:sz="0" w:space="0" w:color="auto"/>
        <w:bottom w:val="none" w:sz="0" w:space="0" w:color="auto"/>
        <w:right w:val="none" w:sz="0" w:space="0" w:color="auto"/>
      </w:divBdr>
    </w:div>
    <w:div w:id="762460028">
      <w:bodyDiv w:val="1"/>
      <w:marLeft w:val="0"/>
      <w:marRight w:val="0"/>
      <w:marTop w:val="0"/>
      <w:marBottom w:val="0"/>
      <w:divBdr>
        <w:top w:val="none" w:sz="0" w:space="0" w:color="auto"/>
        <w:left w:val="none" w:sz="0" w:space="0" w:color="auto"/>
        <w:bottom w:val="none" w:sz="0" w:space="0" w:color="auto"/>
        <w:right w:val="none" w:sz="0" w:space="0" w:color="auto"/>
      </w:divBdr>
    </w:div>
    <w:div w:id="763888483">
      <w:bodyDiv w:val="1"/>
      <w:marLeft w:val="0"/>
      <w:marRight w:val="0"/>
      <w:marTop w:val="0"/>
      <w:marBottom w:val="0"/>
      <w:divBdr>
        <w:top w:val="none" w:sz="0" w:space="0" w:color="auto"/>
        <w:left w:val="none" w:sz="0" w:space="0" w:color="auto"/>
        <w:bottom w:val="none" w:sz="0" w:space="0" w:color="auto"/>
        <w:right w:val="none" w:sz="0" w:space="0" w:color="auto"/>
      </w:divBdr>
    </w:div>
    <w:div w:id="764153311">
      <w:bodyDiv w:val="1"/>
      <w:marLeft w:val="0"/>
      <w:marRight w:val="0"/>
      <w:marTop w:val="0"/>
      <w:marBottom w:val="0"/>
      <w:divBdr>
        <w:top w:val="none" w:sz="0" w:space="0" w:color="auto"/>
        <w:left w:val="none" w:sz="0" w:space="0" w:color="auto"/>
        <w:bottom w:val="none" w:sz="0" w:space="0" w:color="auto"/>
        <w:right w:val="none" w:sz="0" w:space="0" w:color="auto"/>
      </w:divBdr>
    </w:div>
    <w:div w:id="765464397">
      <w:bodyDiv w:val="1"/>
      <w:marLeft w:val="0"/>
      <w:marRight w:val="0"/>
      <w:marTop w:val="0"/>
      <w:marBottom w:val="0"/>
      <w:divBdr>
        <w:top w:val="none" w:sz="0" w:space="0" w:color="auto"/>
        <w:left w:val="none" w:sz="0" w:space="0" w:color="auto"/>
        <w:bottom w:val="none" w:sz="0" w:space="0" w:color="auto"/>
        <w:right w:val="none" w:sz="0" w:space="0" w:color="auto"/>
      </w:divBdr>
    </w:div>
    <w:div w:id="765611086">
      <w:bodyDiv w:val="1"/>
      <w:marLeft w:val="0"/>
      <w:marRight w:val="0"/>
      <w:marTop w:val="0"/>
      <w:marBottom w:val="0"/>
      <w:divBdr>
        <w:top w:val="none" w:sz="0" w:space="0" w:color="auto"/>
        <w:left w:val="none" w:sz="0" w:space="0" w:color="auto"/>
        <w:bottom w:val="none" w:sz="0" w:space="0" w:color="auto"/>
        <w:right w:val="none" w:sz="0" w:space="0" w:color="auto"/>
      </w:divBdr>
    </w:div>
    <w:div w:id="765732325">
      <w:bodyDiv w:val="1"/>
      <w:marLeft w:val="0"/>
      <w:marRight w:val="0"/>
      <w:marTop w:val="0"/>
      <w:marBottom w:val="0"/>
      <w:divBdr>
        <w:top w:val="none" w:sz="0" w:space="0" w:color="auto"/>
        <w:left w:val="none" w:sz="0" w:space="0" w:color="auto"/>
        <w:bottom w:val="none" w:sz="0" w:space="0" w:color="auto"/>
        <w:right w:val="none" w:sz="0" w:space="0" w:color="auto"/>
      </w:divBdr>
    </w:div>
    <w:div w:id="765737168">
      <w:bodyDiv w:val="1"/>
      <w:marLeft w:val="0"/>
      <w:marRight w:val="0"/>
      <w:marTop w:val="0"/>
      <w:marBottom w:val="0"/>
      <w:divBdr>
        <w:top w:val="none" w:sz="0" w:space="0" w:color="auto"/>
        <w:left w:val="none" w:sz="0" w:space="0" w:color="auto"/>
        <w:bottom w:val="none" w:sz="0" w:space="0" w:color="auto"/>
        <w:right w:val="none" w:sz="0" w:space="0" w:color="auto"/>
      </w:divBdr>
    </w:div>
    <w:div w:id="766461522">
      <w:bodyDiv w:val="1"/>
      <w:marLeft w:val="0"/>
      <w:marRight w:val="0"/>
      <w:marTop w:val="0"/>
      <w:marBottom w:val="0"/>
      <w:divBdr>
        <w:top w:val="none" w:sz="0" w:space="0" w:color="auto"/>
        <w:left w:val="none" w:sz="0" w:space="0" w:color="auto"/>
        <w:bottom w:val="none" w:sz="0" w:space="0" w:color="auto"/>
        <w:right w:val="none" w:sz="0" w:space="0" w:color="auto"/>
      </w:divBdr>
    </w:div>
    <w:div w:id="766659082">
      <w:bodyDiv w:val="1"/>
      <w:marLeft w:val="0"/>
      <w:marRight w:val="0"/>
      <w:marTop w:val="0"/>
      <w:marBottom w:val="0"/>
      <w:divBdr>
        <w:top w:val="none" w:sz="0" w:space="0" w:color="auto"/>
        <w:left w:val="none" w:sz="0" w:space="0" w:color="auto"/>
        <w:bottom w:val="none" w:sz="0" w:space="0" w:color="auto"/>
        <w:right w:val="none" w:sz="0" w:space="0" w:color="auto"/>
      </w:divBdr>
    </w:div>
    <w:div w:id="767308644">
      <w:bodyDiv w:val="1"/>
      <w:marLeft w:val="0"/>
      <w:marRight w:val="0"/>
      <w:marTop w:val="0"/>
      <w:marBottom w:val="0"/>
      <w:divBdr>
        <w:top w:val="none" w:sz="0" w:space="0" w:color="auto"/>
        <w:left w:val="none" w:sz="0" w:space="0" w:color="auto"/>
        <w:bottom w:val="none" w:sz="0" w:space="0" w:color="auto"/>
        <w:right w:val="none" w:sz="0" w:space="0" w:color="auto"/>
      </w:divBdr>
    </w:div>
    <w:div w:id="768350419">
      <w:bodyDiv w:val="1"/>
      <w:marLeft w:val="0"/>
      <w:marRight w:val="0"/>
      <w:marTop w:val="0"/>
      <w:marBottom w:val="0"/>
      <w:divBdr>
        <w:top w:val="none" w:sz="0" w:space="0" w:color="auto"/>
        <w:left w:val="none" w:sz="0" w:space="0" w:color="auto"/>
        <w:bottom w:val="none" w:sz="0" w:space="0" w:color="auto"/>
        <w:right w:val="none" w:sz="0" w:space="0" w:color="auto"/>
      </w:divBdr>
    </w:div>
    <w:div w:id="768432455">
      <w:bodyDiv w:val="1"/>
      <w:marLeft w:val="0"/>
      <w:marRight w:val="0"/>
      <w:marTop w:val="0"/>
      <w:marBottom w:val="0"/>
      <w:divBdr>
        <w:top w:val="none" w:sz="0" w:space="0" w:color="auto"/>
        <w:left w:val="none" w:sz="0" w:space="0" w:color="auto"/>
        <w:bottom w:val="none" w:sz="0" w:space="0" w:color="auto"/>
        <w:right w:val="none" w:sz="0" w:space="0" w:color="auto"/>
      </w:divBdr>
    </w:div>
    <w:div w:id="768693667">
      <w:bodyDiv w:val="1"/>
      <w:marLeft w:val="0"/>
      <w:marRight w:val="0"/>
      <w:marTop w:val="0"/>
      <w:marBottom w:val="0"/>
      <w:divBdr>
        <w:top w:val="none" w:sz="0" w:space="0" w:color="auto"/>
        <w:left w:val="none" w:sz="0" w:space="0" w:color="auto"/>
        <w:bottom w:val="none" w:sz="0" w:space="0" w:color="auto"/>
        <w:right w:val="none" w:sz="0" w:space="0" w:color="auto"/>
      </w:divBdr>
    </w:div>
    <w:div w:id="768745012">
      <w:bodyDiv w:val="1"/>
      <w:marLeft w:val="0"/>
      <w:marRight w:val="0"/>
      <w:marTop w:val="0"/>
      <w:marBottom w:val="0"/>
      <w:divBdr>
        <w:top w:val="none" w:sz="0" w:space="0" w:color="auto"/>
        <w:left w:val="none" w:sz="0" w:space="0" w:color="auto"/>
        <w:bottom w:val="none" w:sz="0" w:space="0" w:color="auto"/>
        <w:right w:val="none" w:sz="0" w:space="0" w:color="auto"/>
      </w:divBdr>
    </w:div>
    <w:div w:id="768887996">
      <w:bodyDiv w:val="1"/>
      <w:marLeft w:val="0"/>
      <w:marRight w:val="0"/>
      <w:marTop w:val="0"/>
      <w:marBottom w:val="0"/>
      <w:divBdr>
        <w:top w:val="none" w:sz="0" w:space="0" w:color="auto"/>
        <w:left w:val="none" w:sz="0" w:space="0" w:color="auto"/>
        <w:bottom w:val="none" w:sz="0" w:space="0" w:color="auto"/>
        <w:right w:val="none" w:sz="0" w:space="0" w:color="auto"/>
      </w:divBdr>
    </w:div>
    <w:div w:id="769131664">
      <w:bodyDiv w:val="1"/>
      <w:marLeft w:val="0"/>
      <w:marRight w:val="0"/>
      <w:marTop w:val="0"/>
      <w:marBottom w:val="0"/>
      <w:divBdr>
        <w:top w:val="none" w:sz="0" w:space="0" w:color="auto"/>
        <w:left w:val="none" w:sz="0" w:space="0" w:color="auto"/>
        <w:bottom w:val="none" w:sz="0" w:space="0" w:color="auto"/>
        <w:right w:val="none" w:sz="0" w:space="0" w:color="auto"/>
      </w:divBdr>
    </w:div>
    <w:div w:id="769158472">
      <w:bodyDiv w:val="1"/>
      <w:marLeft w:val="0"/>
      <w:marRight w:val="0"/>
      <w:marTop w:val="0"/>
      <w:marBottom w:val="0"/>
      <w:divBdr>
        <w:top w:val="none" w:sz="0" w:space="0" w:color="auto"/>
        <w:left w:val="none" w:sz="0" w:space="0" w:color="auto"/>
        <w:bottom w:val="none" w:sz="0" w:space="0" w:color="auto"/>
        <w:right w:val="none" w:sz="0" w:space="0" w:color="auto"/>
      </w:divBdr>
    </w:div>
    <w:div w:id="770468191">
      <w:bodyDiv w:val="1"/>
      <w:marLeft w:val="0"/>
      <w:marRight w:val="0"/>
      <w:marTop w:val="0"/>
      <w:marBottom w:val="0"/>
      <w:divBdr>
        <w:top w:val="none" w:sz="0" w:space="0" w:color="auto"/>
        <w:left w:val="none" w:sz="0" w:space="0" w:color="auto"/>
        <w:bottom w:val="none" w:sz="0" w:space="0" w:color="auto"/>
        <w:right w:val="none" w:sz="0" w:space="0" w:color="auto"/>
      </w:divBdr>
    </w:div>
    <w:div w:id="770587547">
      <w:bodyDiv w:val="1"/>
      <w:marLeft w:val="0"/>
      <w:marRight w:val="0"/>
      <w:marTop w:val="0"/>
      <w:marBottom w:val="0"/>
      <w:divBdr>
        <w:top w:val="none" w:sz="0" w:space="0" w:color="auto"/>
        <w:left w:val="none" w:sz="0" w:space="0" w:color="auto"/>
        <w:bottom w:val="none" w:sz="0" w:space="0" w:color="auto"/>
        <w:right w:val="none" w:sz="0" w:space="0" w:color="auto"/>
      </w:divBdr>
    </w:div>
    <w:div w:id="770783343">
      <w:bodyDiv w:val="1"/>
      <w:marLeft w:val="0"/>
      <w:marRight w:val="0"/>
      <w:marTop w:val="0"/>
      <w:marBottom w:val="0"/>
      <w:divBdr>
        <w:top w:val="none" w:sz="0" w:space="0" w:color="auto"/>
        <w:left w:val="none" w:sz="0" w:space="0" w:color="auto"/>
        <w:bottom w:val="none" w:sz="0" w:space="0" w:color="auto"/>
        <w:right w:val="none" w:sz="0" w:space="0" w:color="auto"/>
      </w:divBdr>
    </w:div>
    <w:div w:id="770976294">
      <w:bodyDiv w:val="1"/>
      <w:marLeft w:val="0"/>
      <w:marRight w:val="0"/>
      <w:marTop w:val="0"/>
      <w:marBottom w:val="0"/>
      <w:divBdr>
        <w:top w:val="none" w:sz="0" w:space="0" w:color="auto"/>
        <w:left w:val="none" w:sz="0" w:space="0" w:color="auto"/>
        <w:bottom w:val="none" w:sz="0" w:space="0" w:color="auto"/>
        <w:right w:val="none" w:sz="0" w:space="0" w:color="auto"/>
      </w:divBdr>
    </w:div>
    <w:div w:id="772167033">
      <w:bodyDiv w:val="1"/>
      <w:marLeft w:val="0"/>
      <w:marRight w:val="0"/>
      <w:marTop w:val="0"/>
      <w:marBottom w:val="0"/>
      <w:divBdr>
        <w:top w:val="none" w:sz="0" w:space="0" w:color="auto"/>
        <w:left w:val="none" w:sz="0" w:space="0" w:color="auto"/>
        <w:bottom w:val="none" w:sz="0" w:space="0" w:color="auto"/>
        <w:right w:val="none" w:sz="0" w:space="0" w:color="auto"/>
      </w:divBdr>
    </w:div>
    <w:div w:id="772357662">
      <w:bodyDiv w:val="1"/>
      <w:marLeft w:val="0"/>
      <w:marRight w:val="0"/>
      <w:marTop w:val="0"/>
      <w:marBottom w:val="0"/>
      <w:divBdr>
        <w:top w:val="none" w:sz="0" w:space="0" w:color="auto"/>
        <w:left w:val="none" w:sz="0" w:space="0" w:color="auto"/>
        <w:bottom w:val="none" w:sz="0" w:space="0" w:color="auto"/>
        <w:right w:val="none" w:sz="0" w:space="0" w:color="auto"/>
      </w:divBdr>
    </w:div>
    <w:div w:id="772556975">
      <w:bodyDiv w:val="1"/>
      <w:marLeft w:val="0"/>
      <w:marRight w:val="0"/>
      <w:marTop w:val="0"/>
      <w:marBottom w:val="0"/>
      <w:divBdr>
        <w:top w:val="none" w:sz="0" w:space="0" w:color="auto"/>
        <w:left w:val="none" w:sz="0" w:space="0" w:color="auto"/>
        <w:bottom w:val="none" w:sz="0" w:space="0" w:color="auto"/>
        <w:right w:val="none" w:sz="0" w:space="0" w:color="auto"/>
      </w:divBdr>
    </w:div>
    <w:div w:id="773553186">
      <w:bodyDiv w:val="1"/>
      <w:marLeft w:val="0"/>
      <w:marRight w:val="0"/>
      <w:marTop w:val="0"/>
      <w:marBottom w:val="0"/>
      <w:divBdr>
        <w:top w:val="none" w:sz="0" w:space="0" w:color="auto"/>
        <w:left w:val="none" w:sz="0" w:space="0" w:color="auto"/>
        <w:bottom w:val="none" w:sz="0" w:space="0" w:color="auto"/>
        <w:right w:val="none" w:sz="0" w:space="0" w:color="auto"/>
      </w:divBdr>
    </w:div>
    <w:div w:id="773671611">
      <w:bodyDiv w:val="1"/>
      <w:marLeft w:val="0"/>
      <w:marRight w:val="0"/>
      <w:marTop w:val="0"/>
      <w:marBottom w:val="0"/>
      <w:divBdr>
        <w:top w:val="none" w:sz="0" w:space="0" w:color="auto"/>
        <w:left w:val="none" w:sz="0" w:space="0" w:color="auto"/>
        <w:bottom w:val="none" w:sz="0" w:space="0" w:color="auto"/>
        <w:right w:val="none" w:sz="0" w:space="0" w:color="auto"/>
      </w:divBdr>
    </w:div>
    <w:div w:id="774517478">
      <w:bodyDiv w:val="1"/>
      <w:marLeft w:val="0"/>
      <w:marRight w:val="0"/>
      <w:marTop w:val="0"/>
      <w:marBottom w:val="0"/>
      <w:divBdr>
        <w:top w:val="none" w:sz="0" w:space="0" w:color="auto"/>
        <w:left w:val="none" w:sz="0" w:space="0" w:color="auto"/>
        <w:bottom w:val="none" w:sz="0" w:space="0" w:color="auto"/>
        <w:right w:val="none" w:sz="0" w:space="0" w:color="auto"/>
      </w:divBdr>
    </w:div>
    <w:div w:id="774986923">
      <w:bodyDiv w:val="1"/>
      <w:marLeft w:val="0"/>
      <w:marRight w:val="0"/>
      <w:marTop w:val="0"/>
      <w:marBottom w:val="0"/>
      <w:divBdr>
        <w:top w:val="none" w:sz="0" w:space="0" w:color="auto"/>
        <w:left w:val="none" w:sz="0" w:space="0" w:color="auto"/>
        <w:bottom w:val="none" w:sz="0" w:space="0" w:color="auto"/>
        <w:right w:val="none" w:sz="0" w:space="0" w:color="auto"/>
      </w:divBdr>
    </w:div>
    <w:div w:id="775559962">
      <w:bodyDiv w:val="1"/>
      <w:marLeft w:val="0"/>
      <w:marRight w:val="0"/>
      <w:marTop w:val="0"/>
      <w:marBottom w:val="0"/>
      <w:divBdr>
        <w:top w:val="none" w:sz="0" w:space="0" w:color="auto"/>
        <w:left w:val="none" w:sz="0" w:space="0" w:color="auto"/>
        <w:bottom w:val="none" w:sz="0" w:space="0" w:color="auto"/>
        <w:right w:val="none" w:sz="0" w:space="0" w:color="auto"/>
      </w:divBdr>
    </w:div>
    <w:div w:id="775564625">
      <w:bodyDiv w:val="1"/>
      <w:marLeft w:val="0"/>
      <w:marRight w:val="0"/>
      <w:marTop w:val="0"/>
      <w:marBottom w:val="0"/>
      <w:divBdr>
        <w:top w:val="none" w:sz="0" w:space="0" w:color="auto"/>
        <w:left w:val="none" w:sz="0" w:space="0" w:color="auto"/>
        <w:bottom w:val="none" w:sz="0" w:space="0" w:color="auto"/>
        <w:right w:val="none" w:sz="0" w:space="0" w:color="auto"/>
      </w:divBdr>
    </w:div>
    <w:div w:id="775754967">
      <w:bodyDiv w:val="1"/>
      <w:marLeft w:val="0"/>
      <w:marRight w:val="0"/>
      <w:marTop w:val="0"/>
      <w:marBottom w:val="0"/>
      <w:divBdr>
        <w:top w:val="none" w:sz="0" w:space="0" w:color="auto"/>
        <w:left w:val="none" w:sz="0" w:space="0" w:color="auto"/>
        <w:bottom w:val="none" w:sz="0" w:space="0" w:color="auto"/>
        <w:right w:val="none" w:sz="0" w:space="0" w:color="auto"/>
      </w:divBdr>
    </w:div>
    <w:div w:id="775904186">
      <w:bodyDiv w:val="1"/>
      <w:marLeft w:val="0"/>
      <w:marRight w:val="0"/>
      <w:marTop w:val="0"/>
      <w:marBottom w:val="0"/>
      <w:divBdr>
        <w:top w:val="none" w:sz="0" w:space="0" w:color="auto"/>
        <w:left w:val="none" w:sz="0" w:space="0" w:color="auto"/>
        <w:bottom w:val="none" w:sz="0" w:space="0" w:color="auto"/>
        <w:right w:val="none" w:sz="0" w:space="0" w:color="auto"/>
      </w:divBdr>
    </w:div>
    <w:div w:id="775908545">
      <w:bodyDiv w:val="1"/>
      <w:marLeft w:val="0"/>
      <w:marRight w:val="0"/>
      <w:marTop w:val="0"/>
      <w:marBottom w:val="0"/>
      <w:divBdr>
        <w:top w:val="none" w:sz="0" w:space="0" w:color="auto"/>
        <w:left w:val="none" w:sz="0" w:space="0" w:color="auto"/>
        <w:bottom w:val="none" w:sz="0" w:space="0" w:color="auto"/>
        <w:right w:val="none" w:sz="0" w:space="0" w:color="auto"/>
      </w:divBdr>
    </w:div>
    <w:div w:id="776019797">
      <w:bodyDiv w:val="1"/>
      <w:marLeft w:val="0"/>
      <w:marRight w:val="0"/>
      <w:marTop w:val="0"/>
      <w:marBottom w:val="0"/>
      <w:divBdr>
        <w:top w:val="none" w:sz="0" w:space="0" w:color="auto"/>
        <w:left w:val="none" w:sz="0" w:space="0" w:color="auto"/>
        <w:bottom w:val="none" w:sz="0" w:space="0" w:color="auto"/>
        <w:right w:val="none" w:sz="0" w:space="0" w:color="auto"/>
      </w:divBdr>
    </w:div>
    <w:div w:id="776102896">
      <w:bodyDiv w:val="1"/>
      <w:marLeft w:val="0"/>
      <w:marRight w:val="0"/>
      <w:marTop w:val="0"/>
      <w:marBottom w:val="0"/>
      <w:divBdr>
        <w:top w:val="none" w:sz="0" w:space="0" w:color="auto"/>
        <w:left w:val="none" w:sz="0" w:space="0" w:color="auto"/>
        <w:bottom w:val="none" w:sz="0" w:space="0" w:color="auto"/>
        <w:right w:val="none" w:sz="0" w:space="0" w:color="auto"/>
      </w:divBdr>
    </w:div>
    <w:div w:id="776170962">
      <w:bodyDiv w:val="1"/>
      <w:marLeft w:val="0"/>
      <w:marRight w:val="0"/>
      <w:marTop w:val="0"/>
      <w:marBottom w:val="0"/>
      <w:divBdr>
        <w:top w:val="none" w:sz="0" w:space="0" w:color="auto"/>
        <w:left w:val="none" w:sz="0" w:space="0" w:color="auto"/>
        <w:bottom w:val="none" w:sz="0" w:space="0" w:color="auto"/>
        <w:right w:val="none" w:sz="0" w:space="0" w:color="auto"/>
      </w:divBdr>
    </w:div>
    <w:div w:id="776220606">
      <w:bodyDiv w:val="1"/>
      <w:marLeft w:val="0"/>
      <w:marRight w:val="0"/>
      <w:marTop w:val="0"/>
      <w:marBottom w:val="0"/>
      <w:divBdr>
        <w:top w:val="none" w:sz="0" w:space="0" w:color="auto"/>
        <w:left w:val="none" w:sz="0" w:space="0" w:color="auto"/>
        <w:bottom w:val="none" w:sz="0" w:space="0" w:color="auto"/>
        <w:right w:val="none" w:sz="0" w:space="0" w:color="auto"/>
      </w:divBdr>
    </w:div>
    <w:div w:id="776415131">
      <w:bodyDiv w:val="1"/>
      <w:marLeft w:val="0"/>
      <w:marRight w:val="0"/>
      <w:marTop w:val="0"/>
      <w:marBottom w:val="0"/>
      <w:divBdr>
        <w:top w:val="none" w:sz="0" w:space="0" w:color="auto"/>
        <w:left w:val="none" w:sz="0" w:space="0" w:color="auto"/>
        <w:bottom w:val="none" w:sz="0" w:space="0" w:color="auto"/>
        <w:right w:val="none" w:sz="0" w:space="0" w:color="auto"/>
      </w:divBdr>
    </w:div>
    <w:div w:id="776631881">
      <w:bodyDiv w:val="1"/>
      <w:marLeft w:val="0"/>
      <w:marRight w:val="0"/>
      <w:marTop w:val="0"/>
      <w:marBottom w:val="0"/>
      <w:divBdr>
        <w:top w:val="none" w:sz="0" w:space="0" w:color="auto"/>
        <w:left w:val="none" w:sz="0" w:space="0" w:color="auto"/>
        <w:bottom w:val="none" w:sz="0" w:space="0" w:color="auto"/>
        <w:right w:val="none" w:sz="0" w:space="0" w:color="auto"/>
      </w:divBdr>
    </w:div>
    <w:div w:id="777411514">
      <w:bodyDiv w:val="1"/>
      <w:marLeft w:val="0"/>
      <w:marRight w:val="0"/>
      <w:marTop w:val="0"/>
      <w:marBottom w:val="0"/>
      <w:divBdr>
        <w:top w:val="none" w:sz="0" w:space="0" w:color="auto"/>
        <w:left w:val="none" w:sz="0" w:space="0" w:color="auto"/>
        <w:bottom w:val="none" w:sz="0" w:space="0" w:color="auto"/>
        <w:right w:val="none" w:sz="0" w:space="0" w:color="auto"/>
      </w:divBdr>
    </w:div>
    <w:div w:id="777943868">
      <w:bodyDiv w:val="1"/>
      <w:marLeft w:val="0"/>
      <w:marRight w:val="0"/>
      <w:marTop w:val="0"/>
      <w:marBottom w:val="0"/>
      <w:divBdr>
        <w:top w:val="none" w:sz="0" w:space="0" w:color="auto"/>
        <w:left w:val="none" w:sz="0" w:space="0" w:color="auto"/>
        <w:bottom w:val="none" w:sz="0" w:space="0" w:color="auto"/>
        <w:right w:val="none" w:sz="0" w:space="0" w:color="auto"/>
      </w:divBdr>
    </w:div>
    <w:div w:id="777992207">
      <w:bodyDiv w:val="1"/>
      <w:marLeft w:val="0"/>
      <w:marRight w:val="0"/>
      <w:marTop w:val="0"/>
      <w:marBottom w:val="0"/>
      <w:divBdr>
        <w:top w:val="none" w:sz="0" w:space="0" w:color="auto"/>
        <w:left w:val="none" w:sz="0" w:space="0" w:color="auto"/>
        <w:bottom w:val="none" w:sz="0" w:space="0" w:color="auto"/>
        <w:right w:val="none" w:sz="0" w:space="0" w:color="auto"/>
      </w:divBdr>
    </w:div>
    <w:div w:id="778182786">
      <w:bodyDiv w:val="1"/>
      <w:marLeft w:val="0"/>
      <w:marRight w:val="0"/>
      <w:marTop w:val="0"/>
      <w:marBottom w:val="0"/>
      <w:divBdr>
        <w:top w:val="none" w:sz="0" w:space="0" w:color="auto"/>
        <w:left w:val="none" w:sz="0" w:space="0" w:color="auto"/>
        <w:bottom w:val="none" w:sz="0" w:space="0" w:color="auto"/>
        <w:right w:val="none" w:sz="0" w:space="0" w:color="auto"/>
      </w:divBdr>
    </w:div>
    <w:div w:id="778331457">
      <w:bodyDiv w:val="1"/>
      <w:marLeft w:val="0"/>
      <w:marRight w:val="0"/>
      <w:marTop w:val="0"/>
      <w:marBottom w:val="0"/>
      <w:divBdr>
        <w:top w:val="none" w:sz="0" w:space="0" w:color="auto"/>
        <w:left w:val="none" w:sz="0" w:space="0" w:color="auto"/>
        <w:bottom w:val="none" w:sz="0" w:space="0" w:color="auto"/>
        <w:right w:val="none" w:sz="0" w:space="0" w:color="auto"/>
      </w:divBdr>
    </w:div>
    <w:div w:id="778599041">
      <w:bodyDiv w:val="1"/>
      <w:marLeft w:val="0"/>
      <w:marRight w:val="0"/>
      <w:marTop w:val="0"/>
      <w:marBottom w:val="0"/>
      <w:divBdr>
        <w:top w:val="none" w:sz="0" w:space="0" w:color="auto"/>
        <w:left w:val="none" w:sz="0" w:space="0" w:color="auto"/>
        <w:bottom w:val="none" w:sz="0" w:space="0" w:color="auto"/>
        <w:right w:val="none" w:sz="0" w:space="0" w:color="auto"/>
      </w:divBdr>
    </w:div>
    <w:div w:id="778640525">
      <w:bodyDiv w:val="1"/>
      <w:marLeft w:val="0"/>
      <w:marRight w:val="0"/>
      <w:marTop w:val="0"/>
      <w:marBottom w:val="0"/>
      <w:divBdr>
        <w:top w:val="none" w:sz="0" w:space="0" w:color="auto"/>
        <w:left w:val="none" w:sz="0" w:space="0" w:color="auto"/>
        <w:bottom w:val="none" w:sz="0" w:space="0" w:color="auto"/>
        <w:right w:val="none" w:sz="0" w:space="0" w:color="auto"/>
      </w:divBdr>
    </w:div>
    <w:div w:id="779182771">
      <w:bodyDiv w:val="1"/>
      <w:marLeft w:val="0"/>
      <w:marRight w:val="0"/>
      <w:marTop w:val="0"/>
      <w:marBottom w:val="0"/>
      <w:divBdr>
        <w:top w:val="none" w:sz="0" w:space="0" w:color="auto"/>
        <w:left w:val="none" w:sz="0" w:space="0" w:color="auto"/>
        <w:bottom w:val="none" w:sz="0" w:space="0" w:color="auto"/>
        <w:right w:val="none" w:sz="0" w:space="0" w:color="auto"/>
      </w:divBdr>
    </w:div>
    <w:div w:id="779762269">
      <w:bodyDiv w:val="1"/>
      <w:marLeft w:val="0"/>
      <w:marRight w:val="0"/>
      <w:marTop w:val="0"/>
      <w:marBottom w:val="0"/>
      <w:divBdr>
        <w:top w:val="none" w:sz="0" w:space="0" w:color="auto"/>
        <w:left w:val="none" w:sz="0" w:space="0" w:color="auto"/>
        <w:bottom w:val="none" w:sz="0" w:space="0" w:color="auto"/>
        <w:right w:val="none" w:sz="0" w:space="0" w:color="auto"/>
      </w:divBdr>
    </w:div>
    <w:div w:id="780031623">
      <w:bodyDiv w:val="1"/>
      <w:marLeft w:val="0"/>
      <w:marRight w:val="0"/>
      <w:marTop w:val="0"/>
      <w:marBottom w:val="0"/>
      <w:divBdr>
        <w:top w:val="none" w:sz="0" w:space="0" w:color="auto"/>
        <w:left w:val="none" w:sz="0" w:space="0" w:color="auto"/>
        <w:bottom w:val="none" w:sz="0" w:space="0" w:color="auto"/>
        <w:right w:val="none" w:sz="0" w:space="0" w:color="auto"/>
      </w:divBdr>
    </w:div>
    <w:div w:id="780227947">
      <w:bodyDiv w:val="1"/>
      <w:marLeft w:val="0"/>
      <w:marRight w:val="0"/>
      <w:marTop w:val="0"/>
      <w:marBottom w:val="0"/>
      <w:divBdr>
        <w:top w:val="none" w:sz="0" w:space="0" w:color="auto"/>
        <w:left w:val="none" w:sz="0" w:space="0" w:color="auto"/>
        <w:bottom w:val="none" w:sz="0" w:space="0" w:color="auto"/>
        <w:right w:val="none" w:sz="0" w:space="0" w:color="auto"/>
      </w:divBdr>
    </w:div>
    <w:div w:id="780341762">
      <w:bodyDiv w:val="1"/>
      <w:marLeft w:val="0"/>
      <w:marRight w:val="0"/>
      <w:marTop w:val="0"/>
      <w:marBottom w:val="0"/>
      <w:divBdr>
        <w:top w:val="none" w:sz="0" w:space="0" w:color="auto"/>
        <w:left w:val="none" w:sz="0" w:space="0" w:color="auto"/>
        <w:bottom w:val="none" w:sz="0" w:space="0" w:color="auto"/>
        <w:right w:val="none" w:sz="0" w:space="0" w:color="auto"/>
      </w:divBdr>
    </w:div>
    <w:div w:id="780999159">
      <w:bodyDiv w:val="1"/>
      <w:marLeft w:val="0"/>
      <w:marRight w:val="0"/>
      <w:marTop w:val="0"/>
      <w:marBottom w:val="0"/>
      <w:divBdr>
        <w:top w:val="none" w:sz="0" w:space="0" w:color="auto"/>
        <w:left w:val="none" w:sz="0" w:space="0" w:color="auto"/>
        <w:bottom w:val="none" w:sz="0" w:space="0" w:color="auto"/>
        <w:right w:val="none" w:sz="0" w:space="0" w:color="auto"/>
      </w:divBdr>
    </w:div>
    <w:div w:id="781262592">
      <w:bodyDiv w:val="1"/>
      <w:marLeft w:val="0"/>
      <w:marRight w:val="0"/>
      <w:marTop w:val="0"/>
      <w:marBottom w:val="0"/>
      <w:divBdr>
        <w:top w:val="none" w:sz="0" w:space="0" w:color="auto"/>
        <w:left w:val="none" w:sz="0" w:space="0" w:color="auto"/>
        <w:bottom w:val="none" w:sz="0" w:space="0" w:color="auto"/>
        <w:right w:val="none" w:sz="0" w:space="0" w:color="auto"/>
      </w:divBdr>
    </w:div>
    <w:div w:id="781263071">
      <w:bodyDiv w:val="1"/>
      <w:marLeft w:val="0"/>
      <w:marRight w:val="0"/>
      <w:marTop w:val="0"/>
      <w:marBottom w:val="0"/>
      <w:divBdr>
        <w:top w:val="none" w:sz="0" w:space="0" w:color="auto"/>
        <w:left w:val="none" w:sz="0" w:space="0" w:color="auto"/>
        <w:bottom w:val="none" w:sz="0" w:space="0" w:color="auto"/>
        <w:right w:val="none" w:sz="0" w:space="0" w:color="auto"/>
      </w:divBdr>
    </w:div>
    <w:div w:id="782307076">
      <w:bodyDiv w:val="1"/>
      <w:marLeft w:val="0"/>
      <w:marRight w:val="0"/>
      <w:marTop w:val="0"/>
      <w:marBottom w:val="0"/>
      <w:divBdr>
        <w:top w:val="none" w:sz="0" w:space="0" w:color="auto"/>
        <w:left w:val="none" w:sz="0" w:space="0" w:color="auto"/>
        <w:bottom w:val="none" w:sz="0" w:space="0" w:color="auto"/>
        <w:right w:val="none" w:sz="0" w:space="0" w:color="auto"/>
      </w:divBdr>
    </w:div>
    <w:div w:id="783304963">
      <w:bodyDiv w:val="1"/>
      <w:marLeft w:val="0"/>
      <w:marRight w:val="0"/>
      <w:marTop w:val="0"/>
      <w:marBottom w:val="0"/>
      <w:divBdr>
        <w:top w:val="none" w:sz="0" w:space="0" w:color="auto"/>
        <w:left w:val="none" w:sz="0" w:space="0" w:color="auto"/>
        <w:bottom w:val="none" w:sz="0" w:space="0" w:color="auto"/>
        <w:right w:val="none" w:sz="0" w:space="0" w:color="auto"/>
      </w:divBdr>
    </w:div>
    <w:div w:id="783353980">
      <w:bodyDiv w:val="1"/>
      <w:marLeft w:val="0"/>
      <w:marRight w:val="0"/>
      <w:marTop w:val="0"/>
      <w:marBottom w:val="0"/>
      <w:divBdr>
        <w:top w:val="none" w:sz="0" w:space="0" w:color="auto"/>
        <w:left w:val="none" w:sz="0" w:space="0" w:color="auto"/>
        <w:bottom w:val="none" w:sz="0" w:space="0" w:color="auto"/>
        <w:right w:val="none" w:sz="0" w:space="0" w:color="auto"/>
      </w:divBdr>
    </w:div>
    <w:div w:id="783505365">
      <w:bodyDiv w:val="1"/>
      <w:marLeft w:val="0"/>
      <w:marRight w:val="0"/>
      <w:marTop w:val="0"/>
      <w:marBottom w:val="0"/>
      <w:divBdr>
        <w:top w:val="none" w:sz="0" w:space="0" w:color="auto"/>
        <w:left w:val="none" w:sz="0" w:space="0" w:color="auto"/>
        <w:bottom w:val="none" w:sz="0" w:space="0" w:color="auto"/>
        <w:right w:val="none" w:sz="0" w:space="0" w:color="auto"/>
      </w:divBdr>
    </w:div>
    <w:div w:id="784226956">
      <w:bodyDiv w:val="1"/>
      <w:marLeft w:val="0"/>
      <w:marRight w:val="0"/>
      <w:marTop w:val="0"/>
      <w:marBottom w:val="0"/>
      <w:divBdr>
        <w:top w:val="none" w:sz="0" w:space="0" w:color="auto"/>
        <w:left w:val="none" w:sz="0" w:space="0" w:color="auto"/>
        <w:bottom w:val="none" w:sz="0" w:space="0" w:color="auto"/>
        <w:right w:val="none" w:sz="0" w:space="0" w:color="auto"/>
      </w:divBdr>
    </w:div>
    <w:div w:id="784347232">
      <w:bodyDiv w:val="1"/>
      <w:marLeft w:val="0"/>
      <w:marRight w:val="0"/>
      <w:marTop w:val="0"/>
      <w:marBottom w:val="0"/>
      <w:divBdr>
        <w:top w:val="none" w:sz="0" w:space="0" w:color="auto"/>
        <w:left w:val="none" w:sz="0" w:space="0" w:color="auto"/>
        <w:bottom w:val="none" w:sz="0" w:space="0" w:color="auto"/>
        <w:right w:val="none" w:sz="0" w:space="0" w:color="auto"/>
      </w:divBdr>
    </w:div>
    <w:div w:id="784543085">
      <w:bodyDiv w:val="1"/>
      <w:marLeft w:val="0"/>
      <w:marRight w:val="0"/>
      <w:marTop w:val="0"/>
      <w:marBottom w:val="0"/>
      <w:divBdr>
        <w:top w:val="none" w:sz="0" w:space="0" w:color="auto"/>
        <w:left w:val="none" w:sz="0" w:space="0" w:color="auto"/>
        <w:bottom w:val="none" w:sz="0" w:space="0" w:color="auto"/>
        <w:right w:val="none" w:sz="0" w:space="0" w:color="auto"/>
      </w:divBdr>
    </w:div>
    <w:div w:id="784665305">
      <w:bodyDiv w:val="1"/>
      <w:marLeft w:val="0"/>
      <w:marRight w:val="0"/>
      <w:marTop w:val="0"/>
      <w:marBottom w:val="0"/>
      <w:divBdr>
        <w:top w:val="none" w:sz="0" w:space="0" w:color="auto"/>
        <w:left w:val="none" w:sz="0" w:space="0" w:color="auto"/>
        <w:bottom w:val="none" w:sz="0" w:space="0" w:color="auto"/>
        <w:right w:val="none" w:sz="0" w:space="0" w:color="auto"/>
      </w:divBdr>
    </w:div>
    <w:div w:id="785274113">
      <w:bodyDiv w:val="1"/>
      <w:marLeft w:val="0"/>
      <w:marRight w:val="0"/>
      <w:marTop w:val="0"/>
      <w:marBottom w:val="0"/>
      <w:divBdr>
        <w:top w:val="none" w:sz="0" w:space="0" w:color="auto"/>
        <w:left w:val="none" w:sz="0" w:space="0" w:color="auto"/>
        <w:bottom w:val="none" w:sz="0" w:space="0" w:color="auto"/>
        <w:right w:val="none" w:sz="0" w:space="0" w:color="auto"/>
      </w:divBdr>
    </w:div>
    <w:div w:id="785545859">
      <w:bodyDiv w:val="1"/>
      <w:marLeft w:val="0"/>
      <w:marRight w:val="0"/>
      <w:marTop w:val="0"/>
      <w:marBottom w:val="0"/>
      <w:divBdr>
        <w:top w:val="none" w:sz="0" w:space="0" w:color="auto"/>
        <w:left w:val="none" w:sz="0" w:space="0" w:color="auto"/>
        <w:bottom w:val="none" w:sz="0" w:space="0" w:color="auto"/>
        <w:right w:val="none" w:sz="0" w:space="0" w:color="auto"/>
      </w:divBdr>
    </w:div>
    <w:div w:id="786002910">
      <w:bodyDiv w:val="1"/>
      <w:marLeft w:val="0"/>
      <w:marRight w:val="0"/>
      <w:marTop w:val="0"/>
      <w:marBottom w:val="0"/>
      <w:divBdr>
        <w:top w:val="none" w:sz="0" w:space="0" w:color="auto"/>
        <w:left w:val="none" w:sz="0" w:space="0" w:color="auto"/>
        <w:bottom w:val="none" w:sz="0" w:space="0" w:color="auto"/>
        <w:right w:val="none" w:sz="0" w:space="0" w:color="auto"/>
      </w:divBdr>
    </w:div>
    <w:div w:id="788285395">
      <w:bodyDiv w:val="1"/>
      <w:marLeft w:val="0"/>
      <w:marRight w:val="0"/>
      <w:marTop w:val="0"/>
      <w:marBottom w:val="0"/>
      <w:divBdr>
        <w:top w:val="none" w:sz="0" w:space="0" w:color="auto"/>
        <w:left w:val="none" w:sz="0" w:space="0" w:color="auto"/>
        <w:bottom w:val="none" w:sz="0" w:space="0" w:color="auto"/>
        <w:right w:val="none" w:sz="0" w:space="0" w:color="auto"/>
      </w:divBdr>
    </w:div>
    <w:div w:id="788547900">
      <w:bodyDiv w:val="1"/>
      <w:marLeft w:val="0"/>
      <w:marRight w:val="0"/>
      <w:marTop w:val="0"/>
      <w:marBottom w:val="0"/>
      <w:divBdr>
        <w:top w:val="none" w:sz="0" w:space="0" w:color="auto"/>
        <w:left w:val="none" w:sz="0" w:space="0" w:color="auto"/>
        <w:bottom w:val="none" w:sz="0" w:space="0" w:color="auto"/>
        <w:right w:val="none" w:sz="0" w:space="0" w:color="auto"/>
      </w:divBdr>
    </w:div>
    <w:div w:id="788666013">
      <w:bodyDiv w:val="1"/>
      <w:marLeft w:val="0"/>
      <w:marRight w:val="0"/>
      <w:marTop w:val="0"/>
      <w:marBottom w:val="0"/>
      <w:divBdr>
        <w:top w:val="none" w:sz="0" w:space="0" w:color="auto"/>
        <w:left w:val="none" w:sz="0" w:space="0" w:color="auto"/>
        <w:bottom w:val="none" w:sz="0" w:space="0" w:color="auto"/>
        <w:right w:val="none" w:sz="0" w:space="0" w:color="auto"/>
      </w:divBdr>
    </w:div>
    <w:div w:id="789128033">
      <w:bodyDiv w:val="1"/>
      <w:marLeft w:val="0"/>
      <w:marRight w:val="0"/>
      <w:marTop w:val="0"/>
      <w:marBottom w:val="0"/>
      <w:divBdr>
        <w:top w:val="none" w:sz="0" w:space="0" w:color="auto"/>
        <w:left w:val="none" w:sz="0" w:space="0" w:color="auto"/>
        <w:bottom w:val="none" w:sz="0" w:space="0" w:color="auto"/>
        <w:right w:val="none" w:sz="0" w:space="0" w:color="auto"/>
      </w:divBdr>
    </w:div>
    <w:div w:id="789202394">
      <w:bodyDiv w:val="1"/>
      <w:marLeft w:val="0"/>
      <w:marRight w:val="0"/>
      <w:marTop w:val="0"/>
      <w:marBottom w:val="0"/>
      <w:divBdr>
        <w:top w:val="none" w:sz="0" w:space="0" w:color="auto"/>
        <w:left w:val="none" w:sz="0" w:space="0" w:color="auto"/>
        <w:bottom w:val="none" w:sz="0" w:space="0" w:color="auto"/>
        <w:right w:val="none" w:sz="0" w:space="0" w:color="auto"/>
      </w:divBdr>
    </w:div>
    <w:div w:id="789206692">
      <w:bodyDiv w:val="1"/>
      <w:marLeft w:val="0"/>
      <w:marRight w:val="0"/>
      <w:marTop w:val="0"/>
      <w:marBottom w:val="0"/>
      <w:divBdr>
        <w:top w:val="none" w:sz="0" w:space="0" w:color="auto"/>
        <w:left w:val="none" w:sz="0" w:space="0" w:color="auto"/>
        <w:bottom w:val="none" w:sz="0" w:space="0" w:color="auto"/>
        <w:right w:val="none" w:sz="0" w:space="0" w:color="auto"/>
      </w:divBdr>
    </w:div>
    <w:div w:id="789318302">
      <w:bodyDiv w:val="1"/>
      <w:marLeft w:val="0"/>
      <w:marRight w:val="0"/>
      <w:marTop w:val="0"/>
      <w:marBottom w:val="0"/>
      <w:divBdr>
        <w:top w:val="none" w:sz="0" w:space="0" w:color="auto"/>
        <w:left w:val="none" w:sz="0" w:space="0" w:color="auto"/>
        <w:bottom w:val="none" w:sz="0" w:space="0" w:color="auto"/>
        <w:right w:val="none" w:sz="0" w:space="0" w:color="auto"/>
      </w:divBdr>
    </w:div>
    <w:div w:id="789787996">
      <w:bodyDiv w:val="1"/>
      <w:marLeft w:val="0"/>
      <w:marRight w:val="0"/>
      <w:marTop w:val="0"/>
      <w:marBottom w:val="0"/>
      <w:divBdr>
        <w:top w:val="none" w:sz="0" w:space="0" w:color="auto"/>
        <w:left w:val="none" w:sz="0" w:space="0" w:color="auto"/>
        <w:bottom w:val="none" w:sz="0" w:space="0" w:color="auto"/>
        <w:right w:val="none" w:sz="0" w:space="0" w:color="auto"/>
      </w:divBdr>
    </w:div>
    <w:div w:id="789937765">
      <w:bodyDiv w:val="1"/>
      <w:marLeft w:val="0"/>
      <w:marRight w:val="0"/>
      <w:marTop w:val="0"/>
      <w:marBottom w:val="0"/>
      <w:divBdr>
        <w:top w:val="none" w:sz="0" w:space="0" w:color="auto"/>
        <w:left w:val="none" w:sz="0" w:space="0" w:color="auto"/>
        <w:bottom w:val="none" w:sz="0" w:space="0" w:color="auto"/>
        <w:right w:val="none" w:sz="0" w:space="0" w:color="auto"/>
      </w:divBdr>
    </w:div>
    <w:div w:id="790367735">
      <w:bodyDiv w:val="1"/>
      <w:marLeft w:val="0"/>
      <w:marRight w:val="0"/>
      <w:marTop w:val="0"/>
      <w:marBottom w:val="0"/>
      <w:divBdr>
        <w:top w:val="none" w:sz="0" w:space="0" w:color="auto"/>
        <w:left w:val="none" w:sz="0" w:space="0" w:color="auto"/>
        <w:bottom w:val="none" w:sz="0" w:space="0" w:color="auto"/>
        <w:right w:val="none" w:sz="0" w:space="0" w:color="auto"/>
      </w:divBdr>
    </w:div>
    <w:div w:id="790435350">
      <w:bodyDiv w:val="1"/>
      <w:marLeft w:val="0"/>
      <w:marRight w:val="0"/>
      <w:marTop w:val="0"/>
      <w:marBottom w:val="0"/>
      <w:divBdr>
        <w:top w:val="none" w:sz="0" w:space="0" w:color="auto"/>
        <w:left w:val="none" w:sz="0" w:space="0" w:color="auto"/>
        <w:bottom w:val="none" w:sz="0" w:space="0" w:color="auto"/>
        <w:right w:val="none" w:sz="0" w:space="0" w:color="auto"/>
      </w:divBdr>
    </w:div>
    <w:div w:id="790587277">
      <w:bodyDiv w:val="1"/>
      <w:marLeft w:val="0"/>
      <w:marRight w:val="0"/>
      <w:marTop w:val="0"/>
      <w:marBottom w:val="0"/>
      <w:divBdr>
        <w:top w:val="none" w:sz="0" w:space="0" w:color="auto"/>
        <w:left w:val="none" w:sz="0" w:space="0" w:color="auto"/>
        <w:bottom w:val="none" w:sz="0" w:space="0" w:color="auto"/>
        <w:right w:val="none" w:sz="0" w:space="0" w:color="auto"/>
      </w:divBdr>
    </w:div>
    <w:div w:id="791217255">
      <w:bodyDiv w:val="1"/>
      <w:marLeft w:val="0"/>
      <w:marRight w:val="0"/>
      <w:marTop w:val="0"/>
      <w:marBottom w:val="0"/>
      <w:divBdr>
        <w:top w:val="none" w:sz="0" w:space="0" w:color="auto"/>
        <w:left w:val="none" w:sz="0" w:space="0" w:color="auto"/>
        <w:bottom w:val="none" w:sz="0" w:space="0" w:color="auto"/>
        <w:right w:val="none" w:sz="0" w:space="0" w:color="auto"/>
      </w:divBdr>
    </w:div>
    <w:div w:id="791746881">
      <w:bodyDiv w:val="1"/>
      <w:marLeft w:val="0"/>
      <w:marRight w:val="0"/>
      <w:marTop w:val="0"/>
      <w:marBottom w:val="0"/>
      <w:divBdr>
        <w:top w:val="none" w:sz="0" w:space="0" w:color="auto"/>
        <w:left w:val="none" w:sz="0" w:space="0" w:color="auto"/>
        <w:bottom w:val="none" w:sz="0" w:space="0" w:color="auto"/>
        <w:right w:val="none" w:sz="0" w:space="0" w:color="auto"/>
      </w:divBdr>
    </w:div>
    <w:div w:id="791829785">
      <w:bodyDiv w:val="1"/>
      <w:marLeft w:val="0"/>
      <w:marRight w:val="0"/>
      <w:marTop w:val="0"/>
      <w:marBottom w:val="0"/>
      <w:divBdr>
        <w:top w:val="none" w:sz="0" w:space="0" w:color="auto"/>
        <w:left w:val="none" w:sz="0" w:space="0" w:color="auto"/>
        <w:bottom w:val="none" w:sz="0" w:space="0" w:color="auto"/>
        <w:right w:val="none" w:sz="0" w:space="0" w:color="auto"/>
      </w:divBdr>
    </w:div>
    <w:div w:id="792092453">
      <w:bodyDiv w:val="1"/>
      <w:marLeft w:val="0"/>
      <w:marRight w:val="0"/>
      <w:marTop w:val="0"/>
      <w:marBottom w:val="0"/>
      <w:divBdr>
        <w:top w:val="none" w:sz="0" w:space="0" w:color="auto"/>
        <w:left w:val="none" w:sz="0" w:space="0" w:color="auto"/>
        <w:bottom w:val="none" w:sz="0" w:space="0" w:color="auto"/>
        <w:right w:val="none" w:sz="0" w:space="0" w:color="auto"/>
      </w:divBdr>
    </w:div>
    <w:div w:id="792408430">
      <w:bodyDiv w:val="1"/>
      <w:marLeft w:val="0"/>
      <w:marRight w:val="0"/>
      <w:marTop w:val="0"/>
      <w:marBottom w:val="0"/>
      <w:divBdr>
        <w:top w:val="none" w:sz="0" w:space="0" w:color="auto"/>
        <w:left w:val="none" w:sz="0" w:space="0" w:color="auto"/>
        <w:bottom w:val="none" w:sz="0" w:space="0" w:color="auto"/>
        <w:right w:val="none" w:sz="0" w:space="0" w:color="auto"/>
      </w:divBdr>
    </w:div>
    <w:div w:id="792601578">
      <w:bodyDiv w:val="1"/>
      <w:marLeft w:val="0"/>
      <w:marRight w:val="0"/>
      <w:marTop w:val="0"/>
      <w:marBottom w:val="0"/>
      <w:divBdr>
        <w:top w:val="none" w:sz="0" w:space="0" w:color="auto"/>
        <w:left w:val="none" w:sz="0" w:space="0" w:color="auto"/>
        <w:bottom w:val="none" w:sz="0" w:space="0" w:color="auto"/>
        <w:right w:val="none" w:sz="0" w:space="0" w:color="auto"/>
      </w:divBdr>
    </w:div>
    <w:div w:id="793209623">
      <w:bodyDiv w:val="1"/>
      <w:marLeft w:val="0"/>
      <w:marRight w:val="0"/>
      <w:marTop w:val="0"/>
      <w:marBottom w:val="0"/>
      <w:divBdr>
        <w:top w:val="none" w:sz="0" w:space="0" w:color="auto"/>
        <w:left w:val="none" w:sz="0" w:space="0" w:color="auto"/>
        <w:bottom w:val="none" w:sz="0" w:space="0" w:color="auto"/>
        <w:right w:val="none" w:sz="0" w:space="0" w:color="auto"/>
      </w:divBdr>
    </w:div>
    <w:div w:id="793475641">
      <w:bodyDiv w:val="1"/>
      <w:marLeft w:val="0"/>
      <w:marRight w:val="0"/>
      <w:marTop w:val="0"/>
      <w:marBottom w:val="0"/>
      <w:divBdr>
        <w:top w:val="none" w:sz="0" w:space="0" w:color="auto"/>
        <w:left w:val="none" w:sz="0" w:space="0" w:color="auto"/>
        <w:bottom w:val="none" w:sz="0" w:space="0" w:color="auto"/>
        <w:right w:val="none" w:sz="0" w:space="0" w:color="auto"/>
      </w:divBdr>
    </w:div>
    <w:div w:id="794060389">
      <w:bodyDiv w:val="1"/>
      <w:marLeft w:val="0"/>
      <w:marRight w:val="0"/>
      <w:marTop w:val="0"/>
      <w:marBottom w:val="0"/>
      <w:divBdr>
        <w:top w:val="none" w:sz="0" w:space="0" w:color="auto"/>
        <w:left w:val="none" w:sz="0" w:space="0" w:color="auto"/>
        <w:bottom w:val="none" w:sz="0" w:space="0" w:color="auto"/>
        <w:right w:val="none" w:sz="0" w:space="0" w:color="auto"/>
      </w:divBdr>
    </w:div>
    <w:div w:id="794326901">
      <w:bodyDiv w:val="1"/>
      <w:marLeft w:val="0"/>
      <w:marRight w:val="0"/>
      <w:marTop w:val="0"/>
      <w:marBottom w:val="0"/>
      <w:divBdr>
        <w:top w:val="none" w:sz="0" w:space="0" w:color="auto"/>
        <w:left w:val="none" w:sz="0" w:space="0" w:color="auto"/>
        <w:bottom w:val="none" w:sz="0" w:space="0" w:color="auto"/>
        <w:right w:val="none" w:sz="0" w:space="0" w:color="auto"/>
      </w:divBdr>
    </w:div>
    <w:div w:id="794756553">
      <w:bodyDiv w:val="1"/>
      <w:marLeft w:val="0"/>
      <w:marRight w:val="0"/>
      <w:marTop w:val="0"/>
      <w:marBottom w:val="0"/>
      <w:divBdr>
        <w:top w:val="none" w:sz="0" w:space="0" w:color="auto"/>
        <w:left w:val="none" w:sz="0" w:space="0" w:color="auto"/>
        <w:bottom w:val="none" w:sz="0" w:space="0" w:color="auto"/>
        <w:right w:val="none" w:sz="0" w:space="0" w:color="auto"/>
      </w:divBdr>
    </w:div>
    <w:div w:id="794913323">
      <w:bodyDiv w:val="1"/>
      <w:marLeft w:val="0"/>
      <w:marRight w:val="0"/>
      <w:marTop w:val="0"/>
      <w:marBottom w:val="0"/>
      <w:divBdr>
        <w:top w:val="none" w:sz="0" w:space="0" w:color="auto"/>
        <w:left w:val="none" w:sz="0" w:space="0" w:color="auto"/>
        <w:bottom w:val="none" w:sz="0" w:space="0" w:color="auto"/>
        <w:right w:val="none" w:sz="0" w:space="0" w:color="auto"/>
      </w:divBdr>
    </w:div>
    <w:div w:id="795414325">
      <w:bodyDiv w:val="1"/>
      <w:marLeft w:val="0"/>
      <w:marRight w:val="0"/>
      <w:marTop w:val="0"/>
      <w:marBottom w:val="0"/>
      <w:divBdr>
        <w:top w:val="none" w:sz="0" w:space="0" w:color="auto"/>
        <w:left w:val="none" w:sz="0" w:space="0" w:color="auto"/>
        <w:bottom w:val="none" w:sz="0" w:space="0" w:color="auto"/>
        <w:right w:val="none" w:sz="0" w:space="0" w:color="auto"/>
      </w:divBdr>
    </w:div>
    <w:div w:id="795953056">
      <w:bodyDiv w:val="1"/>
      <w:marLeft w:val="0"/>
      <w:marRight w:val="0"/>
      <w:marTop w:val="0"/>
      <w:marBottom w:val="0"/>
      <w:divBdr>
        <w:top w:val="none" w:sz="0" w:space="0" w:color="auto"/>
        <w:left w:val="none" w:sz="0" w:space="0" w:color="auto"/>
        <w:bottom w:val="none" w:sz="0" w:space="0" w:color="auto"/>
        <w:right w:val="none" w:sz="0" w:space="0" w:color="auto"/>
      </w:divBdr>
    </w:div>
    <w:div w:id="797533688">
      <w:bodyDiv w:val="1"/>
      <w:marLeft w:val="0"/>
      <w:marRight w:val="0"/>
      <w:marTop w:val="0"/>
      <w:marBottom w:val="0"/>
      <w:divBdr>
        <w:top w:val="none" w:sz="0" w:space="0" w:color="auto"/>
        <w:left w:val="none" w:sz="0" w:space="0" w:color="auto"/>
        <w:bottom w:val="none" w:sz="0" w:space="0" w:color="auto"/>
        <w:right w:val="none" w:sz="0" w:space="0" w:color="auto"/>
      </w:divBdr>
    </w:div>
    <w:div w:id="797603357">
      <w:bodyDiv w:val="1"/>
      <w:marLeft w:val="0"/>
      <w:marRight w:val="0"/>
      <w:marTop w:val="0"/>
      <w:marBottom w:val="0"/>
      <w:divBdr>
        <w:top w:val="none" w:sz="0" w:space="0" w:color="auto"/>
        <w:left w:val="none" w:sz="0" w:space="0" w:color="auto"/>
        <w:bottom w:val="none" w:sz="0" w:space="0" w:color="auto"/>
        <w:right w:val="none" w:sz="0" w:space="0" w:color="auto"/>
      </w:divBdr>
    </w:div>
    <w:div w:id="797994216">
      <w:bodyDiv w:val="1"/>
      <w:marLeft w:val="0"/>
      <w:marRight w:val="0"/>
      <w:marTop w:val="0"/>
      <w:marBottom w:val="0"/>
      <w:divBdr>
        <w:top w:val="none" w:sz="0" w:space="0" w:color="auto"/>
        <w:left w:val="none" w:sz="0" w:space="0" w:color="auto"/>
        <w:bottom w:val="none" w:sz="0" w:space="0" w:color="auto"/>
        <w:right w:val="none" w:sz="0" w:space="0" w:color="auto"/>
      </w:divBdr>
    </w:div>
    <w:div w:id="798110927">
      <w:bodyDiv w:val="1"/>
      <w:marLeft w:val="0"/>
      <w:marRight w:val="0"/>
      <w:marTop w:val="0"/>
      <w:marBottom w:val="0"/>
      <w:divBdr>
        <w:top w:val="none" w:sz="0" w:space="0" w:color="auto"/>
        <w:left w:val="none" w:sz="0" w:space="0" w:color="auto"/>
        <w:bottom w:val="none" w:sz="0" w:space="0" w:color="auto"/>
        <w:right w:val="none" w:sz="0" w:space="0" w:color="auto"/>
      </w:divBdr>
    </w:div>
    <w:div w:id="798762033">
      <w:bodyDiv w:val="1"/>
      <w:marLeft w:val="0"/>
      <w:marRight w:val="0"/>
      <w:marTop w:val="0"/>
      <w:marBottom w:val="0"/>
      <w:divBdr>
        <w:top w:val="none" w:sz="0" w:space="0" w:color="auto"/>
        <w:left w:val="none" w:sz="0" w:space="0" w:color="auto"/>
        <w:bottom w:val="none" w:sz="0" w:space="0" w:color="auto"/>
        <w:right w:val="none" w:sz="0" w:space="0" w:color="auto"/>
      </w:divBdr>
    </w:div>
    <w:div w:id="799768130">
      <w:bodyDiv w:val="1"/>
      <w:marLeft w:val="0"/>
      <w:marRight w:val="0"/>
      <w:marTop w:val="0"/>
      <w:marBottom w:val="0"/>
      <w:divBdr>
        <w:top w:val="none" w:sz="0" w:space="0" w:color="auto"/>
        <w:left w:val="none" w:sz="0" w:space="0" w:color="auto"/>
        <w:bottom w:val="none" w:sz="0" w:space="0" w:color="auto"/>
        <w:right w:val="none" w:sz="0" w:space="0" w:color="auto"/>
      </w:divBdr>
    </w:div>
    <w:div w:id="799960236">
      <w:bodyDiv w:val="1"/>
      <w:marLeft w:val="0"/>
      <w:marRight w:val="0"/>
      <w:marTop w:val="0"/>
      <w:marBottom w:val="0"/>
      <w:divBdr>
        <w:top w:val="none" w:sz="0" w:space="0" w:color="auto"/>
        <w:left w:val="none" w:sz="0" w:space="0" w:color="auto"/>
        <w:bottom w:val="none" w:sz="0" w:space="0" w:color="auto"/>
        <w:right w:val="none" w:sz="0" w:space="0" w:color="auto"/>
      </w:divBdr>
    </w:div>
    <w:div w:id="800417526">
      <w:bodyDiv w:val="1"/>
      <w:marLeft w:val="0"/>
      <w:marRight w:val="0"/>
      <w:marTop w:val="0"/>
      <w:marBottom w:val="0"/>
      <w:divBdr>
        <w:top w:val="none" w:sz="0" w:space="0" w:color="auto"/>
        <w:left w:val="none" w:sz="0" w:space="0" w:color="auto"/>
        <w:bottom w:val="none" w:sz="0" w:space="0" w:color="auto"/>
        <w:right w:val="none" w:sz="0" w:space="0" w:color="auto"/>
      </w:divBdr>
    </w:div>
    <w:div w:id="801113626">
      <w:bodyDiv w:val="1"/>
      <w:marLeft w:val="0"/>
      <w:marRight w:val="0"/>
      <w:marTop w:val="0"/>
      <w:marBottom w:val="0"/>
      <w:divBdr>
        <w:top w:val="none" w:sz="0" w:space="0" w:color="auto"/>
        <w:left w:val="none" w:sz="0" w:space="0" w:color="auto"/>
        <w:bottom w:val="none" w:sz="0" w:space="0" w:color="auto"/>
        <w:right w:val="none" w:sz="0" w:space="0" w:color="auto"/>
      </w:divBdr>
    </w:div>
    <w:div w:id="801382212">
      <w:bodyDiv w:val="1"/>
      <w:marLeft w:val="0"/>
      <w:marRight w:val="0"/>
      <w:marTop w:val="0"/>
      <w:marBottom w:val="0"/>
      <w:divBdr>
        <w:top w:val="none" w:sz="0" w:space="0" w:color="auto"/>
        <w:left w:val="none" w:sz="0" w:space="0" w:color="auto"/>
        <w:bottom w:val="none" w:sz="0" w:space="0" w:color="auto"/>
        <w:right w:val="none" w:sz="0" w:space="0" w:color="auto"/>
      </w:divBdr>
    </w:div>
    <w:div w:id="802044360">
      <w:bodyDiv w:val="1"/>
      <w:marLeft w:val="0"/>
      <w:marRight w:val="0"/>
      <w:marTop w:val="0"/>
      <w:marBottom w:val="0"/>
      <w:divBdr>
        <w:top w:val="none" w:sz="0" w:space="0" w:color="auto"/>
        <w:left w:val="none" w:sz="0" w:space="0" w:color="auto"/>
        <w:bottom w:val="none" w:sz="0" w:space="0" w:color="auto"/>
        <w:right w:val="none" w:sz="0" w:space="0" w:color="auto"/>
      </w:divBdr>
    </w:div>
    <w:div w:id="802116156">
      <w:bodyDiv w:val="1"/>
      <w:marLeft w:val="0"/>
      <w:marRight w:val="0"/>
      <w:marTop w:val="0"/>
      <w:marBottom w:val="0"/>
      <w:divBdr>
        <w:top w:val="none" w:sz="0" w:space="0" w:color="auto"/>
        <w:left w:val="none" w:sz="0" w:space="0" w:color="auto"/>
        <w:bottom w:val="none" w:sz="0" w:space="0" w:color="auto"/>
        <w:right w:val="none" w:sz="0" w:space="0" w:color="auto"/>
      </w:divBdr>
    </w:div>
    <w:div w:id="803158895">
      <w:bodyDiv w:val="1"/>
      <w:marLeft w:val="0"/>
      <w:marRight w:val="0"/>
      <w:marTop w:val="0"/>
      <w:marBottom w:val="0"/>
      <w:divBdr>
        <w:top w:val="none" w:sz="0" w:space="0" w:color="auto"/>
        <w:left w:val="none" w:sz="0" w:space="0" w:color="auto"/>
        <w:bottom w:val="none" w:sz="0" w:space="0" w:color="auto"/>
        <w:right w:val="none" w:sz="0" w:space="0" w:color="auto"/>
      </w:divBdr>
    </w:div>
    <w:div w:id="803235301">
      <w:bodyDiv w:val="1"/>
      <w:marLeft w:val="0"/>
      <w:marRight w:val="0"/>
      <w:marTop w:val="0"/>
      <w:marBottom w:val="0"/>
      <w:divBdr>
        <w:top w:val="none" w:sz="0" w:space="0" w:color="auto"/>
        <w:left w:val="none" w:sz="0" w:space="0" w:color="auto"/>
        <w:bottom w:val="none" w:sz="0" w:space="0" w:color="auto"/>
        <w:right w:val="none" w:sz="0" w:space="0" w:color="auto"/>
      </w:divBdr>
    </w:div>
    <w:div w:id="803278293">
      <w:bodyDiv w:val="1"/>
      <w:marLeft w:val="0"/>
      <w:marRight w:val="0"/>
      <w:marTop w:val="0"/>
      <w:marBottom w:val="0"/>
      <w:divBdr>
        <w:top w:val="none" w:sz="0" w:space="0" w:color="auto"/>
        <w:left w:val="none" w:sz="0" w:space="0" w:color="auto"/>
        <w:bottom w:val="none" w:sz="0" w:space="0" w:color="auto"/>
        <w:right w:val="none" w:sz="0" w:space="0" w:color="auto"/>
      </w:divBdr>
    </w:div>
    <w:div w:id="803422511">
      <w:bodyDiv w:val="1"/>
      <w:marLeft w:val="0"/>
      <w:marRight w:val="0"/>
      <w:marTop w:val="0"/>
      <w:marBottom w:val="0"/>
      <w:divBdr>
        <w:top w:val="none" w:sz="0" w:space="0" w:color="auto"/>
        <w:left w:val="none" w:sz="0" w:space="0" w:color="auto"/>
        <w:bottom w:val="none" w:sz="0" w:space="0" w:color="auto"/>
        <w:right w:val="none" w:sz="0" w:space="0" w:color="auto"/>
      </w:divBdr>
    </w:div>
    <w:div w:id="803429300">
      <w:bodyDiv w:val="1"/>
      <w:marLeft w:val="0"/>
      <w:marRight w:val="0"/>
      <w:marTop w:val="0"/>
      <w:marBottom w:val="0"/>
      <w:divBdr>
        <w:top w:val="none" w:sz="0" w:space="0" w:color="auto"/>
        <w:left w:val="none" w:sz="0" w:space="0" w:color="auto"/>
        <w:bottom w:val="none" w:sz="0" w:space="0" w:color="auto"/>
        <w:right w:val="none" w:sz="0" w:space="0" w:color="auto"/>
      </w:divBdr>
    </w:div>
    <w:div w:id="803547631">
      <w:bodyDiv w:val="1"/>
      <w:marLeft w:val="0"/>
      <w:marRight w:val="0"/>
      <w:marTop w:val="0"/>
      <w:marBottom w:val="0"/>
      <w:divBdr>
        <w:top w:val="none" w:sz="0" w:space="0" w:color="auto"/>
        <w:left w:val="none" w:sz="0" w:space="0" w:color="auto"/>
        <w:bottom w:val="none" w:sz="0" w:space="0" w:color="auto"/>
        <w:right w:val="none" w:sz="0" w:space="0" w:color="auto"/>
      </w:divBdr>
    </w:div>
    <w:div w:id="803810443">
      <w:bodyDiv w:val="1"/>
      <w:marLeft w:val="0"/>
      <w:marRight w:val="0"/>
      <w:marTop w:val="0"/>
      <w:marBottom w:val="0"/>
      <w:divBdr>
        <w:top w:val="none" w:sz="0" w:space="0" w:color="auto"/>
        <w:left w:val="none" w:sz="0" w:space="0" w:color="auto"/>
        <w:bottom w:val="none" w:sz="0" w:space="0" w:color="auto"/>
        <w:right w:val="none" w:sz="0" w:space="0" w:color="auto"/>
      </w:divBdr>
    </w:div>
    <w:div w:id="804154862">
      <w:bodyDiv w:val="1"/>
      <w:marLeft w:val="0"/>
      <w:marRight w:val="0"/>
      <w:marTop w:val="0"/>
      <w:marBottom w:val="0"/>
      <w:divBdr>
        <w:top w:val="none" w:sz="0" w:space="0" w:color="auto"/>
        <w:left w:val="none" w:sz="0" w:space="0" w:color="auto"/>
        <w:bottom w:val="none" w:sz="0" w:space="0" w:color="auto"/>
        <w:right w:val="none" w:sz="0" w:space="0" w:color="auto"/>
      </w:divBdr>
    </w:div>
    <w:div w:id="804203046">
      <w:bodyDiv w:val="1"/>
      <w:marLeft w:val="0"/>
      <w:marRight w:val="0"/>
      <w:marTop w:val="0"/>
      <w:marBottom w:val="0"/>
      <w:divBdr>
        <w:top w:val="none" w:sz="0" w:space="0" w:color="auto"/>
        <w:left w:val="none" w:sz="0" w:space="0" w:color="auto"/>
        <w:bottom w:val="none" w:sz="0" w:space="0" w:color="auto"/>
        <w:right w:val="none" w:sz="0" w:space="0" w:color="auto"/>
      </w:divBdr>
    </w:div>
    <w:div w:id="804543519">
      <w:bodyDiv w:val="1"/>
      <w:marLeft w:val="0"/>
      <w:marRight w:val="0"/>
      <w:marTop w:val="0"/>
      <w:marBottom w:val="0"/>
      <w:divBdr>
        <w:top w:val="none" w:sz="0" w:space="0" w:color="auto"/>
        <w:left w:val="none" w:sz="0" w:space="0" w:color="auto"/>
        <w:bottom w:val="none" w:sz="0" w:space="0" w:color="auto"/>
        <w:right w:val="none" w:sz="0" w:space="0" w:color="auto"/>
      </w:divBdr>
    </w:div>
    <w:div w:id="804544462">
      <w:bodyDiv w:val="1"/>
      <w:marLeft w:val="0"/>
      <w:marRight w:val="0"/>
      <w:marTop w:val="0"/>
      <w:marBottom w:val="0"/>
      <w:divBdr>
        <w:top w:val="none" w:sz="0" w:space="0" w:color="auto"/>
        <w:left w:val="none" w:sz="0" w:space="0" w:color="auto"/>
        <w:bottom w:val="none" w:sz="0" w:space="0" w:color="auto"/>
        <w:right w:val="none" w:sz="0" w:space="0" w:color="auto"/>
      </w:divBdr>
    </w:div>
    <w:div w:id="805699976">
      <w:bodyDiv w:val="1"/>
      <w:marLeft w:val="0"/>
      <w:marRight w:val="0"/>
      <w:marTop w:val="0"/>
      <w:marBottom w:val="0"/>
      <w:divBdr>
        <w:top w:val="none" w:sz="0" w:space="0" w:color="auto"/>
        <w:left w:val="none" w:sz="0" w:space="0" w:color="auto"/>
        <w:bottom w:val="none" w:sz="0" w:space="0" w:color="auto"/>
        <w:right w:val="none" w:sz="0" w:space="0" w:color="auto"/>
      </w:divBdr>
    </w:div>
    <w:div w:id="806241506">
      <w:bodyDiv w:val="1"/>
      <w:marLeft w:val="0"/>
      <w:marRight w:val="0"/>
      <w:marTop w:val="0"/>
      <w:marBottom w:val="0"/>
      <w:divBdr>
        <w:top w:val="none" w:sz="0" w:space="0" w:color="auto"/>
        <w:left w:val="none" w:sz="0" w:space="0" w:color="auto"/>
        <w:bottom w:val="none" w:sz="0" w:space="0" w:color="auto"/>
        <w:right w:val="none" w:sz="0" w:space="0" w:color="auto"/>
      </w:divBdr>
    </w:div>
    <w:div w:id="806364553">
      <w:bodyDiv w:val="1"/>
      <w:marLeft w:val="0"/>
      <w:marRight w:val="0"/>
      <w:marTop w:val="0"/>
      <w:marBottom w:val="0"/>
      <w:divBdr>
        <w:top w:val="none" w:sz="0" w:space="0" w:color="auto"/>
        <w:left w:val="none" w:sz="0" w:space="0" w:color="auto"/>
        <w:bottom w:val="none" w:sz="0" w:space="0" w:color="auto"/>
        <w:right w:val="none" w:sz="0" w:space="0" w:color="auto"/>
      </w:divBdr>
    </w:div>
    <w:div w:id="807012434">
      <w:bodyDiv w:val="1"/>
      <w:marLeft w:val="0"/>
      <w:marRight w:val="0"/>
      <w:marTop w:val="0"/>
      <w:marBottom w:val="0"/>
      <w:divBdr>
        <w:top w:val="none" w:sz="0" w:space="0" w:color="auto"/>
        <w:left w:val="none" w:sz="0" w:space="0" w:color="auto"/>
        <w:bottom w:val="none" w:sz="0" w:space="0" w:color="auto"/>
        <w:right w:val="none" w:sz="0" w:space="0" w:color="auto"/>
      </w:divBdr>
    </w:div>
    <w:div w:id="807086088">
      <w:bodyDiv w:val="1"/>
      <w:marLeft w:val="0"/>
      <w:marRight w:val="0"/>
      <w:marTop w:val="0"/>
      <w:marBottom w:val="0"/>
      <w:divBdr>
        <w:top w:val="none" w:sz="0" w:space="0" w:color="auto"/>
        <w:left w:val="none" w:sz="0" w:space="0" w:color="auto"/>
        <w:bottom w:val="none" w:sz="0" w:space="0" w:color="auto"/>
        <w:right w:val="none" w:sz="0" w:space="0" w:color="auto"/>
      </w:divBdr>
    </w:div>
    <w:div w:id="807167764">
      <w:bodyDiv w:val="1"/>
      <w:marLeft w:val="0"/>
      <w:marRight w:val="0"/>
      <w:marTop w:val="0"/>
      <w:marBottom w:val="0"/>
      <w:divBdr>
        <w:top w:val="none" w:sz="0" w:space="0" w:color="auto"/>
        <w:left w:val="none" w:sz="0" w:space="0" w:color="auto"/>
        <w:bottom w:val="none" w:sz="0" w:space="0" w:color="auto"/>
        <w:right w:val="none" w:sz="0" w:space="0" w:color="auto"/>
      </w:divBdr>
    </w:div>
    <w:div w:id="807435430">
      <w:bodyDiv w:val="1"/>
      <w:marLeft w:val="0"/>
      <w:marRight w:val="0"/>
      <w:marTop w:val="0"/>
      <w:marBottom w:val="0"/>
      <w:divBdr>
        <w:top w:val="none" w:sz="0" w:space="0" w:color="auto"/>
        <w:left w:val="none" w:sz="0" w:space="0" w:color="auto"/>
        <w:bottom w:val="none" w:sz="0" w:space="0" w:color="auto"/>
        <w:right w:val="none" w:sz="0" w:space="0" w:color="auto"/>
      </w:divBdr>
    </w:div>
    <w:div w:id="807480342">
      <w:bodyDiv w:val="1"/>
      <w:marLeft w:val="0"/>
      <w:marRight w:val="0"/>
      <w:marTop w:val="0"/>
      <w:marBottom w:val="0"/>
      <w:divBdr>
        <w:top w:val="none" w:sz="0" w:space="0" w:color="auto"/>
        <w:left w:val="none" w:sz="0" w:space="0" w:color="auto"/>
        <w:bottom w:val="none" w:sz="0" w:space="0" w:color="auto"/>
        <w:right w:val="none" w:sz="0" w:space="0" w:color="auto"/>
      </w:divBdr>
    </w:div>
    <w:div w:id="807825124">
      <w:bodyDiv w:val="1"/>
      <w:marLeft w:val="0"/>
      <w:marRight w:val="0"/>
      <w:marTop w:val="0"/>
      <w:marBottom w:val="0"/>
      <w:divBdr>
        <w:top w:val="none" w:sz="0" w:space="0" w:color="auto"/>
        <w:left w:val="none" w:sz="0" w:space="0" w:color="auto"/>
        <w:bottom w:val="none" w:sz="0" w:space="0" w:color="auto"/>
        <w:right w:val="none" w:sz="0" w:space="0" w:color="auto"/>
      </w:divBdr>
    </w:div>
    <w:div w:id="808133408">
      <w:bodyDiv w:val="1"/>
      <w:marLeft w:val="0"/>
      <w:marRight w:val="0"/>
      <w:marTop w:val="0"/>
      <w:marBottom w:val="0"/>
      <w:divBdr>
        <w:top w:val="none" w:sz="0" w:space="0" w:color="auto"/>
        <w:left w:val="none" w:sz="0" w:space="0" w:color="auto"/>
        <w:bottom w:val="none" w:sz="0" w:space="0" w:color="auto"/>
        <w:right w:val="none" w:sz="0" w:space="0" w:color="auto"/>
      </w:divBdr>
    </w:div>
    <w:div w:id="808327015">
      <w:bodyDiv w:val="1"/>
      <w:marLeft w:val="0"/>
      <w:marRight w:val="0"/>
      <w:marTop w:val="0"/>
      <w:marBottom w:val="0"/>
      <w:divBdr>
        <w:top w:val="none" w:sz="0" w:space="0" w:color="auto"/>
        <w:left w:val="none" w:sz="0" w:space="0" w:color="auto"/>
        <w:bottom w:val="none" w:sz="0" w:space="0" w:color="auto"/>
        <w:right w:val="none" w:sz="0" w:space="0" w:color="auto"/>
      </w:divBdr>
    </w:div>
    <w:div w:id="808785727">
      <w:bodyDiv w:val="1"/>
      <w:marLeft w:val="0"/>
      <w:marRight w:val="0"/>
      <w:marTop w:val="0"/>
      <w:marBottom w:val="0"/>
      <w:divBdr>
        <w:top w:val="none" w:sz="0" w:space="0" w:color="auto"/>
        <w:left w:val="none" w:sz="0" w:space="0" w:color="auto"/>
        <w:bottom w:val="none" w:sz="0" w:space="0" w:color="auto"/>
        <w:right w:val="none" w:sz="0" w:space="0" w:color="auto"/>
      </w:divBdr>
    </w:div>
    <w:div w:id="809175495">
      <w:bodyDiv w:val="1"/>
      <w:marLeft w:val="0"/>
      <w:marRight w:val="0"/>
      <w:marTop w:val="0"/>
      <w:marBottom w:val="0"/>
      <w:divBdr>
        <w:top w:val="none" w:sz="0" w:space="0" w:color="auto"/>
        <w:left w:val="none" w:sz="0" w:space="0" w:color="auto"/>
        <w:bottom w:val="none" w:sz="0" w:space="0" w:color="auto"/>
        <w:right w:val="none" w:sz="0" w:space="0" w:color="auto"/>
      </w:divBdr>
    </w:div>
    <w:div w:id="809398192">
      <w:bodyDiv w:val="1"/>
      <w:marLeft w:val="0"/>
      <w:marRight w:val="0"/>
      <w:marTop w:val="0"/>
      <w:marBottom w:val="0"/>
      <w:divBdr>
        <w:top w:val="none" w:sz="0" w:space="0" w:color="auto"/>
        <w:left w:val="none" w:sz="0" w:space="0" w:color="auto"/>
        <w:bottom w:val="none" w:sz="0" w:space="0" w:color="auto"/>
        <w:right w:val="none" w:sz="0" w:space="0" w:color="auto"/>
      </w:divBdr>
    </w:div>
    <w:div w:id="809444106">
      <w:bodyDiv w:val="1"/>
      <w:marLeft w:val="0"/>
      <w:marRight w:val="0"/>
      <w:marTop w:val="0"/>
      <w:marBottom w:val="0"/>
      <w:divBdr>
        <w:top w:val="none" w:sz="0" w:space="0" w:color="auto"/>
        <w:left w:val="none" w:sz="0" w:space="0" w:color="auto"/>
        <w:bottom w:val="none" w:sz="0" w:space="0" w:color="auto"/>
        <w:right w:val="none" w:sz="0" w:space="0" w:color="auto"/>
      </w:divBdr>
    </w:div>
    <w:div w:id="809513659">
      <w:bodyDiv w:val="1"/>
      <w:marLeft w:val="0"/>
      <w:marRight w:val="0"/>
      <w:marTop w:val="0"/>
      <w:marBottom w:val="0"/>
      <w:divBdr>
        <w:top w:val="none" w:sz="0" w:space="0" w:color="auto"/>
        <w:left w:val="none" w:sz="0" w:space="0" w:color="auto"/>
        <w:bottom w:val="none" w:sz="0" w:space="0" w:color="auto"/>
        <w:right w:val="none" w:sz="0" w:space="0" w:color="auto"/>
      </w:divBdr>
    </w:div>
    <w:div w:id="809708150">
      <w:bodyDiv w:val="1"/>
      <w:marLeft w:val="0"/>
      <w:marRight w:val="0"/>
      <w:marTop w:val="0"/>
      <w:marBottom w:val="0"/>
      <w:divBdr>
        <w:top w:val="none" w:sz="0" w:space="0" w:color="auto"/>
        <w:left w:val="none" w:sz="0" w:space="0" w:color="auto"/>
        <w:bottom w:val="none" w:sz="0" w:space="0" w:color="auto"/>
        <w:right w:val="none" w:sz="0" w:space="0" w:color="auto"/>
      </w:divBdr>
    </w:div>
    <w:div w:id="810052188">
      <w:bodyDiv w:val="1"/>
      <w:marLeft w:val="0"/>
      <w:marRight w:val="0"/>
      <w:marTop w:val="0"/>
      <w:marBottom w:val="0"/>
      <w:divBdr>
        <w:top w:val="none" w:sz="0" w:space="0" w:color="auto"/>
        <w:left w:val="none" w:sz="0" w:space="0" w:color="auto"/>
        <w:bottom w:val="none" w:sz="0" w:space="0" w:color="auto"/>
        <w:right w:val="none" w:sz="0" w:space="0" w:color="auto"/>
      </w:divBdr>
    </w:div>
    <w:div w:id="811141665">
      <w:bodyDiv w:val="1"/>
      <w:marLeft w:val="0"/>
      <w:marRight w:val="0"/>
      <w:marTop w:val="0"/>
      <w:marBottom w:val="0"/>
      <w:divBdr>
        <w:top w:val="none" w:sz="0" w:space="0" w:color="auto"/>
        <w:left w:val="none" w:sz="0" w:space="0" w:color="auto"/>
        <w:bottom w:val="none" w:sz="0" w:space="0" w:color="auto"/>
        <w:right w:val="none" w:sz="0" w:space="0" w:color="auto"/>
      </w:divBdr>
    </w:div>
    <w:div w:id="811604685">
      <w:bodyDiv w:val="1"/>
      <w:marLeft w:val="0"/>
      <w:marRight w:val="0"/>
      <w:marTop w:val="0"/>
      <w:marBottom w:val="0"/>
      <w:divBdr>
        <w:top w:val="none" w:sz="0" w:space="0" w:color="auto"/>
        <w:left w:val="none" w:sz="0" w:space="0" w:color="auto"/>
        <w:bottom w:val="none" w:sz="0" w:space="0" w:color="auto"/>
        <w:right w:val="none" w:sz="0" w:space="0" w:color="auto"/>
      </w:divBdr>
    </w:div>
    <w:div w:id="812599644">
      <w:bodyDiv w:val="1"/>
      <w:marLeft w:val="0"/>
      <w:marRight w:val="0"/>
      <w:marTop w:val="0"/>
      <w:marBottom w:val="0"/>
      <w:divBdr>
        <w:top w:val="none" w:sz="0" w:space="0" w:color="auto"/>
        <w:left w:val="none" w:sz="0" w:space="0" w:color="auto"/>
        <w:bottom w:val="none" w:sz="0" w:space="0" w:color="auto"/>
        <w:right w:val="none" w:sz="0" w:space="0" w:color="auto"/>
      </w:divBdr>
    </w:div>
    <w:div w:id="813135535">
      <w:bodyDiv w:val="1"/>
      <w:marLeft w:val="0"/>
      <w:marRight w:val="0"/>
      <w:marTop w:val="0"/>
      <w:marBottom w:val="0"/>
      <w:divBdr>
        <w:top w:val="none" w:sz="0" w:space="0" w:color="auto"/>
        <w:left w:val="none" w:sz="0" w:space="0" w:color="auto"/>
        <w:bottom w:val="none" w:sz="0" w:space="0" w:color="auto"/>
        <w:right w:val="none" w:sz="0" w:space="0" w:color="auto"/>
      </w:divBdr>
    </w:div>
    <w:div w:id="813332501">
      <w:bodyDiv w:val="1"/>
      <w:marLeft w:val="0"/>
      <w:marRight w:val="0"/>
      <w:marTop w:val="0"/>
      <w:marBottom w:val="0"/>
      <w:divBdr>
        <w:top w:val="none" w:sz="0" w:space="0" w:color="auto"/>
        <w:left w:val="none" w:sz="0" w:space="0" w:color="auto"/>
        <w:bottom w:val="none" w:sz="0" w:space="0" w:color="auto"/>
        <w:right w:val="none" w:sz="0" w:space="0" w:color="auto"/>
      </w:divBdr>
    </w:div>
    <w:div w:id="814106475">
      <w:bodyDiv w:val="1"/>
      <w:marLeft w:val="0"/>
      <w:marRight w:val="0"/>
      <w:marTop w:val="0"/>
      <w:marBottom w:val="0"/>
      <w:divBdr>
        <w:top w:val="none" w:sz="0" w:space="0" w:color="auto"/>
        <w:left w:val="none" w:sz="0" w:space="0" w:color="auto"/>
        <w:bottom w:val="none" w:sz="0" w:space="0" w:color="auto"/>
        <w:right w:val="none" w:sz="0" w:space="0" w:color="auto"/>
      </w:divBdr>
    </w:div>
    <w:div w:id="814416232">
      <w:bodyDiv w:val="1"/>
      <w:marLeft w:val="0"/>
      <w:marRight w:val="0"/>
      <w:marTop w:val="0"/>
      <w:marBottom w:val="0"/>
      <w:divBdr>
        <w:top w:val="none" w:sz="0" w:space="0" w:color="auto"/>
        <w:left w:val="none" w:sz="0" w:space="0" w:color="auto"/>
        <w:bottom w:val="none" w:sz="0" w:space="0" w:color="auto"/>
        <w:right w:val="none" w:sz="0" w:space="0" w:color="auto"/>
      </w:divBdr>
    </w:div>
    <w:div w:id="815029697">
      <w:bodyDiv w:val="1"/>
      <w:marLeft w:val="0"/>
      <w:marRight w:val="0"/>
      <w:marTop w:val="0"/>
      <w:marBottom w:val="0"/>
      <w:divBdr>
        <w:top w:val="none" w:sz="0" w:space="0" w:color="auto"/>
        <w:left w:val="none" w:sz="0" w:space="0" w:color="auto"/>
        <w:bottom w:val="none" w:sz="0" w:space="0" w:color="auto"/>
        <w:right w:val="none" w:sz="0" w:space="0" w:color="auto"/>
      </w:divBdr>
    </w:div>
    <w:div w:id="815143164">
      <w:bodyDiv w:val="1"/>
      <w:marLeft w:val="0"/>
      <w:marRight w:val="0"/>
      <w:marTop w:val="0"/>
      <w:marBottom w:val="0"/>
      <w:divBdr>
        <w:top w:val="none" w:sz="0" w:space="0" w:color="auto"/>
        <w:left w:val="none" w:sz="0" w:space="0" w:color="auto"/>
        <w:bottom w:val="none" w:sz="0" w:space="0" w:color="auto"/>
        <w:right w:val="none" w:sz="0" w:space="0" w:color="auto"/>
      </w:divBdr>
    </w:div>
    <w:div w:id="815146041">
      <w:bodyDiv w:val="1"/>
      <w:marLeft w:val="0"/>
      <w:marRight w:val="0"/>
      <w:marTop w:val="0"/>
      <w:marBottom w:val="0"/>
      <w:divBdr>
        <w:top w:val="none" w:sz="0" w:space="0" w:color="auto"/>
        <w:left w:val="none" w:sz="0" w:space="0" w:color="auto"/>
        <w:bottom w:val="none" w:sz="0" w:space="0" w:color="auto"/>
        <w:right w:val="none" w:sz="0" w:space="0" w:color="auto"/>
      </w:divBdr>
    </w:div>
    <w:div w:id="815534933">
      <w:bodyDiv w:val="1"/>
      <w:marLeft w:val="0"/>
      <w:marRight w:val="0"/>
      <w:marTop w:val="0"/>
      <w:marBottom w:val="0"/>
      <w:divBdr>
        <w:top w:val="none" w:sz="0" w:space="0" w:color="auto"/>
        <w:left w:val="none" w:sz="0" w:space="0" w:color="auto"/>
        <w:bottom w:val="none" w:sz="0" w:space="0" w:color="auto"/>
        <w:right w:val="none" w:sz="0" w:space="0" w:color="auto"/>
      </w:divBdr>
    </w:div>
    <w:div w:id="815680258">
      <w:bodyDiv w:val="1"/>
      <w:marLeft w:val="0"/>
      <w:marRight w:val="0"/>
      <w:marTop w:val="0"/>
      <w:marBottom w:val="0"/>
      <w:divBdr>
        <w:top w:val="none" w:sz="0" w:space="0" w:color="auto"/>
        <w:left w:val="none" w:sz="0" w:space="0" w:color="auto"/>
        <w:bottom w:val="none" w:sz="0" w:space="0" w:color="auto"/>
        <w:right w:val="none" w:sz="0" w:space="0" w:color="auto"/>
      </w:divBdr>
    </w:div>
    <w:div w:id="815923826">
      <w:bodyDiv w:val="1"/>
      <w:marLeft w:val="0"/>
      <w:marRight w:val="0"/>
      <w:marTop w:val="0"/>
      <w:marBottom w:val="0"/>
      <w:divBdr>
        <w:top w:val="none" w:sz="0" w:space="0" w:color="auto"/>
        <w:left w:val="none" w:sz="0" w:space="0" w:color="auto"/>
        <w:bottom w:val="none" w:sz="0" w:space="0" w:color="auto"/>
        <w:right w:val="none" w:sz="0" w:space="0" w:color="auto"/>
      </w:divBdr>
    </w:div>
    <w:div w:id="816142497">
      <w:bodyDiv w:val="1"/>
      <w:marLeft w:val="0"/>
      <w:marRight w:val="0"/>
      <w:marTop w:val="0"/>
      <w:marBottom w:val="0"/>
      <w:divBdr>
        <w:top w:val="none" w:sz="0" w:space="0" w:color="auto"/>
        <w:left w:val="none" w:sz="0" w:space="0" w:color="auto"/>
        <w:bottom w:val="none" w:sz="0" w:space="0" w:color="auto"/>
        <w:right w:val="none" w:sz="0" w:space="0" w:color="auto"/>
      </w:divBdr>
    </w:div>
    <w:div w:id="816608159">
      <w:bodyDiv w:val="1"/>
      <w:marLeft w:val="0"/>
      <w:marRight w:val="0"/>
      <w:marTop w:val="0"/>
      <w:marBottom w:val="0"/>
      <w:divBdr>
        <w:top w:val="none" w:sz="0" w:space="0" w:color="auto"/>
        <w:left w:val="none" w:sz="0" w:space="0" w:color="auto"/>
        <w:bottom w:val="none" w:sz="0" w:space="0" w:color="auto"/>
        <w:right w:val="none" w:sz="0" w:space="0" w:color="auto"/>
      </w:divBdr>
    </w:div>
    <w:div w:id="816648651">
      <w:bodyDiv w:val="1"/>
      <w:marLeft w:val="0"/>
      <w:marRight w:val="0"/>
      <w:marTop w:val="0"/>
      <w:marBottom w:val="0"/>
      <w:divBdr>
        <w:top w:val="none" w:sz="0" w:space="0" w:color="auto"/>
        <w:left w:val="none" w:sz="0" w:space="0" w:color="auto"/>
        <w:bottom w:val="none" w:sz="0" w:space="0" w:color="auto"/>
        <w:right w:val="none" w:sz="0" w:space="0" w:color="auto"/>
      </w:divBdr>
    </w:div>
    <w:div w:id="816844749">
      <w:bodyDiv w:val="1"/>
      <w:marLeft w:val="0"/>
      <w:marRight w:val="0"/>
      <w:marTop w:val="0"/>
      <w:marBottom w:val="0"/>
      <w:divBdr>
        <w:top w:val="none" w:sz="0" w:space="0" w:color="auto"/>
        <w:left w:val="none" w:sz="0" w:space="0" w:color="auto"/>
        <w:bottom w:val="none" w:sz="0" w:space="0" w:color="auto"/>
        <w:right w:val="none" w:sz="0" w:space="0" w:color="auto"/>
      </w:divBdr>
    </w:div>
    <w:div w:id="817306631">
      <w:bodyDiv w:val="1"/>
      <w:marLeft w:val="0"/>
      <w:marRight w:val="0"/>
      <w:marTop w:val="0"/>
      <w:marBottom w:val="0"/>
      <w:divBdr>
        <w:top w:val="none" w:sz="0" w:space="0" w:color="auto"/>
        <w:left w:val="none" w:sz="0" w:space="0" w:color="auto"/>
        <w:bottom w:val="none" w:sz="0" w:space="0" w:color="auto"/>
        <w:right w:val="none" w:sz="0" w:space="0" w:color="auto"/>
      </w:divBdr>
    </w:div>
    <w:div w:id="817309746">
      <w:bodyDiv w:val="1"/>
      <w:marLeft w:val="0"/>
      <w:marRight w:val="0"/>
      <w:marTop w:val="0"/>
      <w:marBottom w:val="0"/>
      <w:divBdr>
        <w:top w:val="none" w:sz="0" w:space="0" w:color="auto"/>
        <w:left w:val="none" w:sz="0" w:space="0" w:color="auto"/>
        <w:bottom w:val="none" w:sz="0" w:space="0" w:color="auto"/>
        <w:right w:val="none" w:sz="0" w:space="0" w:color="auto"/>
      </w:divBdr>
    </w:div>
    <w:div w:id="817646496">
      <w:bodyDiv w:val="1"/>
      <w:marLeft w:val="0"/>
      <w:marRight w:val="0"/>
      <w:marTop w:val="0"/>
      <w:marBottom w:val="0"/>
      <w:divBdr>
        <w:top w:val="none" w:sz="0" w:space="0" w:color="auto"/>
        <w:left w:val="none" w:sz="0" w:space="0" w:color="auto"/>
        <w:bottom w:val="none" w:sz="0" w:space="0" w:color="auto"/>
        <w:right w:val="none" w:sz="0" w:space="0" w:color="auto"/>
      </w:divBdr>
    </w:div>
    <w:div w:id="817772709">
      <w:bodyDiv w:val="1"/>
      <w:marLeft w:val="0"/>
      <w:marRight w:val="0"/>
      <w:marTop w:val="0"/>
      <w:marBottom w:val="0"/>
      <w:divBdr>
        <w:top w:val="none" w:sz="0" w:space="0" w:color="auto"/>
        <w:left w:val="none" w:sz="0" w:space="0" w:color="auto"/>
        <w:bottom w:val="none" w:sz="0" w:space="0" w:color="auto"/>
        <w:right w:val="none" w:sz="0" w:space="0" w:color="auto"/>
      </w:divBdr>
    </w:div>
    <w:div w:id="817916683">
      <w:bodyDiv w:val="1"/>
      <w:marLeft w:val="0"/>
      <w:marRight w:val="0"/>
      <w:marTop w:val="0"/>
      <w:marBottom w:val="0"/>
      <w:divBdr>
        <w:top w:val="none" w:sz="0" w:space="0" w:color="auto"/>
        <w:left w:val="none" w:sz="0" w:space="0" w:color="auto"/>
        <w:bottom w:val="none" w:sz="0" w:space="0" w:color="auto"/>
        <w:right w:val="none" w:sz="0" w:space="0" w:color="auto"/>
      </w:divBdr>
    </w:div>
    <w:div w:id="818306996">
      <w:bodyDiv w:val="1"/>
      <w:marLeft w:val="0"/>
      <w:marRight w:val="0"/>
      <w:marTop w:val="0"/>
      <w:marBottom w:val="0"/>
      <w:divBdr>
        <w:top w:val="none" w:sz="0" w:space="0" w:color="auto"/>
        <w:left w:val="none" w:sz="0" w:space="0" w:color="auto"/>
        <w:bottom w:val="none" w:sz="0" w:space="0" w:color="auto"/>
        <w:right w:val="none" w:sz="0" w:space="0" w:color="auto"/>
      </w:divBdr>
    </w:div>
    <w:div w:id="818576243">
      <w:bodyDiv w:val="1"/>
      <w:marLeft w:val="0"/>
      <w:marRight w:val="0"/>
      <w:marTop w:val="0"/>
      <w:marBottom w:val="0"/>
      <w:divBdr>
        <w:top w:val="none" w:sz="0" w:space="0" w:color="auto"/>
        <w:left w:val="none" w:sz="0" w:space="0" w:color="auto"/>
        <w:bottom w:val="none" w:sz="0" w:space="0" w:color="auto"/>
        <w:right w:val="none" w:sz="0" w:space="0" w:color="auto"/>
      </w:divBdr>
    </w:div>
    <w:div w:id="818764186">
      <w:bodyDiv w:val="1"/>
      <w:marLeft w:val="0"/>
      <w:marRight w:val="0"/>
      <w:marTop w:val="0"/>
      <w:marBottom w:val="0"/>
      <w:divBdr>
        <w:top w:val="none" w:sz="0" w:space="0" w:color="auto"/>
        <w:left w:val="none" w:sz="0" w:space="0" w:color="auto"/>
        <w:bottom w:val="none" w:sz="0" w:space="0" w:color="auto"/>
        <w:right w:val="none" w:sz="0" w:space="0" w:color="auto"/>
      </w:divBdr>
    </w:div>
    <w:div w:id="818958520">
      <w:bodyDiv w:val="1"/>
      <w:marLeft w:val="0"/>
      <w:marRight w:val="0"/>
      <w:marTop w:val="0"/>
      <w:marBottom w:val="0"/>
      <w:divBdr>
        <w:top w:val="none" w:sz="0" w:space="0" w:color="auto"/>
        <w:left w:val="none" w:sz="0" w:space="0" w:color="auto"/>
        <w:bottom w:val="none" w:sz="0" w:space="0" w:color="auto"/>
        <w:right w:val="none" w:sz="0" w:space="0" w:color="auto"/>
      </w:divBdr>
    </w:div>
    <w:div w:id="819275558">
      <w:bodyDiv w:val="1"/>
      <w:marLeft w:val="0"/>
      <w:marRight w:val="0"/>
      <w:marTop w:val="0"/>
      <w:marBottom w:val="0"/>
      <w:divBdr>
        <w:top w:val="none" w:sz="0" w:space="0" w:color="auto"/>
        <w:left w:val="none" w:sz="0" w:space="0" w:color="auto"/>
        <w:bottom w:val="none" w:sz="0" w:space="0" w:color="auto"/>
        <w:right w:val="none" w:sz="0" w:space="0" w:color="auto"/>
      </w:divBdr>
    </w:div>
    <w:div w:id="819423420">
      <w:bodyDiv w:val="1"/>
      <w:marLeft w:val="0"/>
      <w:marRight w:val="0"/>
      <w:marTop w:val="0"/>
      <w:marBottom w:val="0"/>
      <w:divBdr>
        <w:top w:val="none" w:sz="0" w:space="0" w:color="auto"/>
        <w:left w:val="none" w:sz="0" w:space="0" w:color="auto"/>
        <w:bottom w:val="none" w:sz="0" w:space="0" w:color="auto"/>
        <w:right w:val="none" w:sz="0" w:space="0" w:color="auto"/>
      </w:divBdr>
    </w:div>
    <w:div w:id="819424602">
      <w:bodyDiv w:val="1"/>
      <w:marLeft w:val="0"/>
      <w:marRight w:val="0"/>
      <w:marTop w:val="0"/>
      <w:marBottom w:val="0"/>
      <w:divBdr>
        <w:top w:val="none" w:sz="0" w:space="0" w:color="auto"/>
        <w:left w:val="none" w:sz="0" w:space="0" w:color="auto"/>
        <w:bottom w:val="none" w:sz="0" w:space="0" w:color="auto"/>
        <w:right w:val="none" w:sz="0" w:space="0" w:color="auto"/>
      </w:divBdr>
    </w:div>
    <w:div w:id="820121011">
      <w:bodyDiv w:val="1"/>
      <w:marLeft w:val="0"/>
      <w:marRight w:val="0"/>
      <w:marTop w:val="0"/>
      <w:marBottom w:val="0"/>
      <w:divBdr>
        <w:top w:val="none" w:sz="0" w:space="0" w:color="auto"/>
        <w:left w:val="none" w:sz="0" w:space="0" w:color="auto"/>
        <w:bottom w:val="none" w:sz="0" w:space="0" w:color="auto"/>
        <w:right w:val="none" w:sz="0" w:space="0" w:color="auto"/>
      </w:divBdr>
    </w:div>
    <w:div w:id="820275730">
      <w:bodyDiv w:val="1"/>
      <w:marLeft w:val="0"/>
      <w:marRight w:val="0"/>
      <w:marTop w:val="0"/>
      <w:marBottom w:val="0"/>
      <w:divBdr>
        <w:top w:val="none" w:sz="0" w:space="0" w:color="auto"/>
        <w:left w:val="none" w:sz="0" w:space="0" w:color="auto"/>
        <w:bottom w:val="none" w:sz="0" w:space="0" w:color="auto"/>
        <w:right w:val="none" w:sz="0" w:space="0" w:color="auto"/>
      </w:divBdr>
    </w:div>
    <w:div w:id="820732158">
      <w:bodyDiv w:val="1"/>
      <w:marLeft w:val="0"/>
      <w:marRight w:val="0"/>
      <w:marTop w:val="0"/>
      <w:marBottom w:val="0"/>
      <w:divBdr>
        <w:top w:val="none" w:sz="0" w:space="0" w:color="auto"/>
        <w:left w:val="none" w:sz="0" w:space="0" w:color="auto"/>
        <w:bottom w:val="none" w:sz="0" w:space="0" w:color="auto"/>
        <w:right w:val="none" w:sz="0" w:space="0" w:color="auto"/>
      </w:divBdr>
    </w:div>
    <w:div w:id="820778251">
      <w:bodyDiv w:val="1"/>
      <w:marLeft w:val="0"/>
      <w:marRight w:val="0"/>
      <w:marTop w:val="0"/>
      <w:marBottom w:val="0"/>
      <w:divBdr>
        <w:top w:val="none" w:sz="0" w:space="0" w:color="auto"/>
        <w:left w:val="none" w:sz="0" w:space="0" w:color="auto"/>
        <w:bottom w:val="none" w:sz="0" w:space="0" w:color="auto"/>
        <w:right w:val="none" w:sz="0" w:space="0" w:color="auto"/>
      </w:divBdr>
    </w:div>
    <w:div w:id="820923013">
      <w:bodyDiv w:val="1"/>
      <w:marLeft w:val="0"/>
      <w:marRight w:val="0"/>
      <w:marTop w:val="0"/>
      <w:marBottom w:val="0"/>
      <w:divBdr>
        <w:top w:val="none" w:sz="0" w:space="0" w:color="auto"/>
        <w:left w:val="none" w:sz="0" w:space="0" w:color="auto"/>
        <w:bottom w:val="none" w:sz="0" w:space="0" w:color="auto"/>
        <w:right w:val="none" w:sz="0" w:space="0" w:color="auto"/>
      </w:divBdr>
    </w:div>
    <w:div w:id="821046895">
      <w:bodyDiv w:val="1"/>
      <w:marLeft w:val="0"/>
      <w:marRight w:val="0"/>
      <w:marTop w:val="0"/>
      <w:marBottom w:val="0"/>
      <w:divBdr>
        <w:top w:val="none" w:sz="0" w:space="0" w:color="auto"/>
        <w:left w:val="none" w:sz="0" w:space="0" w:color="auto"/>
        <w:bottom w:val="none" w:sz="0" w:space="0" w:color="auto"/>
        <w:right w:val="none" w:sz="0" w:space="0" w:color="auto"/>
      </w:divBdr>
    </w:div>
    <w:div w:id="821123290">
      <w:bodyDiv w:val="1"/>
      <w:marLeft w:val="0"/>
      <w:marRight w:val="0"/>
      <w:marTop w:val="0"/>
      <w:marBottom w:val="0"/>
      <w:divBdr>
        <w:top w:val="none" w:sz="0" w:space="0" w:color="auto"/>
        <w:left w:val="none" w:sz="0" w:space="0" w:color="auto"/>
        <w:bottom w:val="none" w:sz="0" w:space="0" w:color="auto"/>
        <w:right w:val="none" w:sz="0" w:space="0" w:color="auto"/>
      </w:divBdr>
    </w:div>
    <w:div w:id="821166556">
      <w:bodyDiv w:val="1"/>
      <w:marLeft w:val="0"/>
      <w:marRight w:val="0"/>
      <w:marTop w:val="0"/>
      <w:marBottom w:val="0"/>
      <w:divBdr>
        <w:top w:val="none" w:sz="0" w:space="0" w:color="auto"/>
        <w:left w:val="none" w:sz="0" w:space="0" w:color="auto"/>
        <w:bottom w:val="none" w:sz="0" w:space="0" w:color="auto"/>
        <w:right w:val="none" w:sz="0" w:space="0" w:color="auto"/>
      </w:divBdr>
    </w:div>
    <w:div w:id="822156628">
      <w:bodyDiv w:val="1"/>
      <w:marLeft w:val="0"/>
      <w:marRight w:val="0"/>
      <w:marTop w:val="0"/>
      <w:marBottom w:val="0"/>
      <w:divBdr>
        <w:top w:val="none" w:sz="0" w:space="0" w:color="auto"/>
        <w:left w:val="none" w:sz="0" w:space="0" w:color="auto"/>
        <w:bottom w:val="none" w:sz="0" w:space="0" w:color="auto"/>
        <w:right w:val="none" w:sz="0" w:space="0" w:color="auto"/>
      </w:divBdr>
    </w:div>
    <w:div w:id="822241556">
      <w:bodyDiv w:val="1"/>
      <w:marLeft w:val="0"/>
      <w:marRight w:val="0"/>
      <w:marTop w:val="0"/>
      <w:marBottom w:val="0"/>
      <w:divBdr>
        <w:top w:val="none" w:sz="0" w:space="0" w:color="auto"/>
        <w:left w:val="none" w:sz="0" w:space="0" w:color="auto"/>
        <w:bottom w:val="none" w:sz="0" w:space="0" w:color="auto"/>
        <w:right w:val="none" w:sz="0" w:space="0" w:color="auto"/>
      </w:divBdr>
    </w:div>
    <w:div w:id="822356027">
      <w:bodyDiv w:val="1"/>
      <w:marLeft w:val="0"/>
      <w:marRight w:val="0"/>
      <w:marTop w:val="0"/>
      <w:marBottom w:val="0"/>
      <w:divBdr>
        <w:top w:val="none" w:sz="0" w:space="0" w:color="auto"/>
        <w:left w:val="none" w:sz="0" w:space="0" w:color="auto"/>
        <w:bottom w:val="none" w:sz="0" w:space="0" w:color="auto"/>
        <w:right w:val="none" w:sz="0" w:space="0" w:color="auto"/>
      </w:divBdr>
    </w:div>
    <w:div w:id="822501476">
      <w:bodyDiv w:val="1"/>
      <w:marLeft w:val="0"/>
      <w:marRight w:val="0"/>
      <w:marTop w:val="0"/>
      <w:marBottom w:val="0"/>
      <w:divBdr>
        <w:top w:val="none" w:sz="0" w:space="0" w:color="auto"/>
        <w:left w:val="none" w:sz="0" w:space="0" w:color="auto"/>
        <w:bottom w:val="none" w:sz="0" w:space="0" w:color="auto"/>
        <w:right w:val="none" w:sz="0" w:space="0" w:color="auto"/>
      </w:divBdr>
    </w:div>
    <w:div w:id="822507680">
      <w:bodyDiv w:val="1"/>
      <w:marLeft w:val="0"/>
      <w:marRight w:val="0"/>
      <w:marTop w:val="0"/>
      <w:marBottom w:val="0"/>
      <w:divBdr>
        <w:top w:val="none" w:sz="0" w:space="0" w:color="auto"/>
        <w:left w:val="none" w:sz="0" w:space="0" w:color="auto"/>
        <w:bottom w:val="none" w:sz="0" w:space="0" w:color="auto"/>
        <w:right w:val="none" w:sz="0" w:space="0" w:color="auto"/>
      </w:divBdr>
    </w:div>
    <w:div w:id="823161820">
      <w:bodyDiv w:val="1"/>
      <w:marLeft w:val="0"/>
      <w:marRight w:val="0"/>
      <w:marTop w:val="0"/>
      <w:marBottom w:val="0"/>
      <w:divBdr>
        <w:top w:val="none" w:sz="0" w:space="0" w:color="auto"/>
        <w:left w:val="none" w:sz="0" w:space="0" w:color="auto"/>
        <w:bottom w:val="none" w:sz="0" w:space="0" w:color="auto"/>
        <w:right w:val="none" w:sz="0" w:space="0" w:color="auto"/>
      </w:divBdr>
    </w:div>
    <w:div w:id="823203527">
      <w:bodyDiv w:val="1"/>
      <w:marLeft w:val="0"/>
      <w:marRight w:val="0"/>
      <w:marTop w:val="0"/>
      <w:marBottom w:val="0"/>
      <w:divBdr>
        <w:top w:val="none" w:sz="0" w:space="0" w:color="auto"/>
        <w:left w:val="none" w:sz="0" w:space="0" w:color="auto"/>
        <w:bottom w:val="none" w:sz="0" w:space="0" w:color="auto"/>
        <w:right w:val="none" w:sz="0" w:space="0" w:color="auto"/>
      </w:divBdr>
    </w:div>
    <w:div w:id="823929323">
      <w:bodyDiv w:val="1"/>
      <w:marLeft w:val="0"/>
      <w:marRight w:val="0"/>
      <w:marTop w:val="0"/>
      <w:marBottom w:val="0"/>
      <w:divBdr>
        <w:top w:val="none" w:sz="0" w:space="0" w:color="auto"/>
        <w:left w:val="none" w:sz="0" w:space="0" w:color="auto"/>
        <w:bottom w:val="none" w:sz="0" w:space="0" w:color="auto"/>
        <w:right w:val="none" w:sz="0" w:space="0" w:color="auto"/>
      </w:divBdr>
    </w:div>
    <w:div w:id="824586270">
      <w:bodyDiv w:val="1"/>
      <w:marLeft w:val="0"/>
      <w:marRight w:val="0"/>
      <w:marTop w:val="0"/>
      <w:marBottom w:val="0"/>
      <w:divBdr>
        <w:top w:val="none" w:sz="0" w:space="0" w:color="auto"/>
        <w:left w:val="none" w:sz="0" w:space="0" w:color="auto"/>
        <w:bottom w:val="none" w:sz="0" w:space="0" w:color="auto"/>
        <w:right w:val="none" w:sz="0" w:space="0" w:color="auto"/>
      </w:divBdr>
    </w:div>
    <w:div w:id="824662829">
      <w:bodyDiv w:val="1"/>
      <w:marLeft w:val="0"/>
      <w:marRight w:val="0"/>
      <w:marTop w:val="0"/>
      <w:marBottom w:val="0"/>
      <w:divBdr>
        <w:top w:val="none" w:sz="0" w:space="0" w:color="auto"/>
        <w:left w:val="none" w:sz="0" w:space="0" w:color="auto"/>
        <w:bottom w:val="none" w:sz="0" w:space="0" w:color="auto"/>
        <w:right w:val="none" w:sz="0" w:space="0" w:color="auto"/>
      </w:divBdr>
    </w:div>
    <w:div w:id="824980505">
      <w:bodyDiv w:val="1"/>
      <w:marLeft w:val="0"/>
      <w:marRight w:val="0"/>
      <w:marTop w:val="0"/>
      <w:marBottom w:val="0"/>
      <w:divBdr>
        <w:top w:val="none" w:sz="0" w:space="0" w:color="auto"/>
        <w:left w:val="none" w:sz="0" w:space="0" w:color="auto"/>
        <w:bottom w:val="none" w:sz="0" w:space="0" w:color="auto"/>
        <w:right w:val="none" w:sz="0" w:space="0" w:color="auto"/>
      </w:divBdr>
    </w:div>
    <w:div w:id="825046533">
      <w:bodyDiv w:val="1"/>
      <w:marLeft w:val="0"/>
      <w:marRight w:val="0"/>
      <w:marTop w:val="0"/>
      <w:marBottom w:val="0"/>
      <w:divBdr>
        <w:top w:val="none" w:sz="0" w:space="0" w:color="auto"/>
        <w:left w:val="none" w:sz="0" w:space="0" w:color="auto"/>
        <w:bottom w:val="none" w:sz="0" w:space="0" w:color="auto"/>
        <w:right w:val="none" w:sz="0" w:space="0" w:color="auto"/>
      </w:divBdr>
    </w:div>
    <w:div w:id="825390979">
      <w:bodyDiv w:val="1"/>
      <w:marLeft w:val="0"/>
      <w:marRight w:val="0"/>
      <w:marTop w:val="0"/>
      <w:marBottom w:val="0"/>
      <w:divBdr>
        <w:top w:val="none" w:sz="0" w:space="0" w:color="auto"/>
        <w:left w:val="none" w:sz="0" w:space="0" w:color="auto"/>
        <w:bottom w:val="none" w:sz="0" w:space="0" w:color="auto"/>
        <w:right w:val="none" w:sz="0" w:space="0" w:color="auto"/>
      </w:divBdr>
    </w:div>
    <w:div w:id="825510375">
      <w:bodyDiv w:val="1"/>
      <w:marLeft w:val="0"/>
      <w:marRight w:val="0"/>
      <w:marTop w:val="0"/>
      <w:marBottom w:val="0"/>
      <w:divBdr>
        <w:top w:val="none" w:sz="0" w:space="0" w:color="auto"/>
        <w:left w:val="none" w:sz="0" w:space="0" w:color="auto"/>
        <w:bottom w:val="none" w:sz="0" w:space="0" w:color="auto"/>
        <w:right w:val="none" w:sz="0" w:space="0" w:color="auto"/>
      </w:divBdr>
    </w:div>
    <w:div w:id="825704439">
      <w:bodyDiv w:val="1"/>
      <w:marLeft w:val="0"/>
      <w:marRight w:val="0"/>
      <w:marTop w:val="0"/>
      <w:marBottom w:val="0"/>
      <w:divBdr>
        <w:top w:val="none" w:sz="0" w:space="0" w:color="auto"/>
        <w:left w:val="none" w:sz="0" w:space="0" w:color="auto"/>
        <w:bottom w:val="none" w:sz="0" w:space="0" w:color="auto"/>
        <w:right w:val="none" w:sz="0" w:space="0" w:color="auto"/>
      </w:divBdr>
    </w:div>
    <w:div w:id="825895606">
      <w:bodyDiv w:val="1"/>
      <w:marLeft w:val="0"/>
      <w:marRight w:val="0"/>
      <w:marTop w:val="0"/>
      <w:marBottom w:val="0"/>
      <w:divBdr>
        <w:top w:val="none" w:sz="0" w:space="0" w:color="auto"/>
        <w:left w:val="none" w:sz="0" w:space="0" w:color="auto"/>
        <w:bottom w:val="none" w:sz="0" w:space="0" w:color="auto"/>
        <w:right w:val="none" w:sz="0" w:space="0" w:color="auto"/>
      </w:divBdr>
    </w:div>
    <w:div w:id="826703349">
      <w:bodyDiv w:val="1"/>
      <w:marLeft w:val="0"/>
      <w:marRight w:val="0"/>
      <w:marTop w:val="0"/>
      <w:marBottom w:val="0"/>
      <w:divBdr>
        <w:top w:val="none" w:sz="0" w:space="0" w:color="auto"/>
        <w:left w:val="none" w:sz="0" w:space="0" w:color="auto"/>
        <w:bottom w:val="none" w:sz="0" w:space="0" w:color="auto"/>
        <w:right w:val="none" w:sz="0" w:space="0" w:color="auto"/>
      </w:divBdr>
    </w:div>
    <w:div w:id="827744342">
      <w:bodyDiv w:val="1"/>
      <w:marLeft w:val="0"/>
      <w:marRight w:val="0"/>
      <w:marTop w:val="0"/>
      <w:marBottom w:val="0"/>
      <w:divBdr>
        <w:top w:val="none" w:sz="0" w:space="0" w:color="auto"/>
        <w:left w:val="none" w:sz="0" w:space="0" w:color="auto"/>
        <w:bottom w:val="none" w:sz="0" w:space="0" w:color="auto"/>
        <w:right w:val="none" w:sz="0" w:space="0" w:color="auto"/>
      </w:divBdr>
    </w:div>
    <w:div w:id="828399613">
      <w:bodyDiv w:val="1"/>
      <w:marLeft w:val="0"/>
      <w:marRight w:val="0"/>
      <w:marTop w:val="0"/>
      <w:marBottom w:val="0"/>
      <w:divBdr>
        <w:top w:val="none" w:sz="0" w:space="0" w:color="auto"/>
        <w:left w:val="none" w:sz="0" w:space="0" w:color="auto"/>
        <w:bottom w:val="none" w:sz="0" w:space="0" w:color="auto"/>
        <w:right w:val="none" w:sz="0" w:space="0" w:color="auto"/>
      </w:divBdr>
    </w:div>
    <w:div w:id="828523747">
      <w:bodyDiv w:val="1"/>
      <w:marLeft w:val="0"/>
      <w:marRight w:val="0"/>
      <w:marTop w:val="0"/>
      <w:marBottom w:val="0"/>
      <w:divBdr>
        <w:top w:val="none" w:sz="0" w:space="0" w:color="auto"/>
        <w:left w:val="none" w:sz="0" w:space="0" w:color="auto"/>
        <w:bottom w:val="none" w:sz="0" w:space="0" w:color="auto"/>
        <w:right w:val="none" w:sz="0" w:space="0" w:color="auto"/>
      </w:divBdr>
    </w:div>
    <w:div w:id="828787659">
      <w:bodyDiv w:val="1"/>
      <w:marLeft w:val="0"/>
      <w:marRight w:val="0"/>
      <w:marTop w:val="0"/>
      <w:marBottom w:val="0"/>
      <w:divBdr>
        <w:top w:val="none" w:sz="0" w:space="0" w:color="auto"/>
        <w:left w:val="none" w:sz="0" w:space="0" w:color="auto"/>
        <w:bottom w:val="none" w:sz="0" w:space="0" w:color="auto"/>
        <w:right w:val="none" w:sz="0" w:space="0" w:color="auto"/>
      </w:divBdr>
    </w:div>
    <w:div w:id="828861079">
      <w:bodyDiv w:val="1"/>
      <w:marLeft w:val="0"/>
      <w:marRight w:val="0"/>
      <w:marTop w:val="0"/>
      <w:marBottom w:val="0"/>
      <w:divBdr>
        <w:top w:val="none" w:sz="0" w:space="0" w:color="auto"/>
        <w:left w:val="none" w:sz="0" w:space="0" w:color="auto"/>
        <w:bottom w:val="none" w:sz="0" w:space="0" w:color="auto"/>
        <w:right w:val="none" w:sz="0" w:space="0" w:color="auto"/>
      </w:divBdr>
    </w:div>
    <w:div w:id="829177076">
      <w:bodyDiv w:val="1"/>
      <w:marLeft w:val="0"/>
      <w:marRight w:val="0"/>
      <w:marTop w:val="0"/>
      <w:marBottom w:val="0"/>
      <w:divBdr>
        <w:top w:val="none" w:sz="0" w:space="0" w:color="auto"/>
        <w:left w:val="none" w:sz="0" w:space="0" w:color="auto"/>
        <w:bottom w:val="none" w:sz="0" w:space="0" w:color="auto"/>
        <w:right w:val="none" w:sz="0" w:space="0" w:color="auto"/>
      </w:divBdr>
    </w:div>
    <w:div w:id="829828492">
      <w:bodyDiv w:val="1"/>
      <w:marLeft w:val="0"/>
      <w:marRight w:val="0"/>
      <w:marTop w:val="0"/>
      <w:marBottom w:val="0"/>
      <w:divBdr>
        <w:top w:val="none" w:sz="0" w:space="0" w:color="auto"/>
        <w:left w:val="none" w:sz="0" w:space="0" w:color="auto"/>
        <w:bottom w:val="none" w:sz="0" w:space="0" w:color="auto"/>
        <w:right w:val="none" w:sz="0" w:space="0" w:color="auto"/>
      </w:divBdr>
    </w:div>
    <w:div w:id="829830097">
      <w:bodyDiv w:val="1"/>
      <w:marLeft w:val="0"/>
      <w:marRight w:val="0"/>
      <w:marTop w:val="0"/>
      <w:marBottom w:val="0"/>
      <w:divBdr>
        <w:top w:val="none" w:sz="0" w:space="0" w:color="auto"/>
        <w:left w:val="none" w:sz="0" w:space="0" w:color="auto"/>
        <w:bottom w:val="none" w:sz="0" w:space="0" w:color="auto"/>
        <w:right w:val="none" w:sz="0" w:space="0" w:color="auto"/>
      </w:divBdr>
    </w:div>
    <w:div w:id="830145689">
      <w:bodyDiv w:val="1"/>
      <w:marLeft w:val="0"/>
      <w:marRight w:val="0"/>
      <w:marTop w:val="0"/>
      <w:marBottom w:val="0"/>
      <w:divBdr>
        <w:top w:val="none" w:sz="0" w:space="0" w:color="auto"/>
        <w:left w:val="none" w:sz="0" w:space="0" w:color="auto"/>
        <w:bottom w:val="none" w:sz="0" w:space="0" w:color="auto"/>
        <w:right w:val="none" w:sz="0" w:space="0" w:color="auto"/>
      </w:divBdr>
    </w:div>
    <w:div w:id="830413148">
      <w:bodyDiv w:val="1"/>
      <w:marLeft w:val="0"/>
      <w:marRight w:val="0"/>
      <w:marTop w:val="0"/>
      <w:marBottom w:val="0"/>
      <w:divBdr>
        <w:top w:val="none" w:sz="0" w:space="0" w:color="auto"/>
        <w:left w:val="none" w:sz="0" w:space="0" w:color="auto"/>
        <w:bottom w:val="none" w:sz="0" w:space="0" w:color="auto"/>
        <w:right w:val="none" w:sz="0" w:space="0" w:color="auto"/>
      </w:divBdr>
    </w:div>
    <w:div w:id="831215393">
      <w:bodyDiv w:val="1"/>
      <w:marLeft w:val="0"/>
      <w:marRight w:val="0"/>
      <w:marTop w:val="0"/>
      <w:marBottom w:val="0"/>
      <w:divBdr>
        <w:top w:val="none" w:sz="0" w:space="0" w:color="auto"/>
        <w:left w:val="none" w:sz="0" w:space="0" w:color="auto"/>
        <w:bottom w:val="none" w:sz="0" w:space="0" w:color="auto"/>
        <w:right w:val="none" w:sz="0" w:space="0" w:color="auto"/>
      </w:divBdr>
    </w:div>
    <w:div w:id="831219092">
      <w:bodyDiv w:val="1"/>
      <w:marLeft w:val="0"/>
      <w:marRight w:val="0"/>
      <w:marTop w:val="0"/>
      <w:marBottom w:val="0"/>
      <w:divBdr>
        <w:top w:val="none" w:sz="0" w:space="0" w:color="auto"/>
        <w:left w:val="none" w:sz="0" w:space="0" w:color="auto"/>
        <w:bottom w:val="none" w:sz="0" w:space="0" w:color="auto"/>
        <w:right w:val="none" w:sz="0" w:space="0" w:color="auto"/>
      </w:divBdr>
    </w:div>
    <w:div w:id="831332865">
      <w:bodyDiv w:val="1"/>
      <w:marLeft w:val="0"/>
      <w:marRight w:val="0"/>
      <w:marTop w:val="0"/>
      <w:marBottom w:val="0"/>
      <w:divBdr>
        <w:top w:val="none" w:sz="0" w:space="0" w:color="auto"/>
        <w:left w:val="none" w:sz="0" w:space="0" w:color="auto"/>
        <w:bottom w:val="none" w:sz="0" w:space="0" w:color="auto"/>
        <w:right w:val="none" w:sz="0" w:space="0" w:color="auto"/>
      </w:divBdr>
    </w:div>
    <w:div w:id="831339159">
      <w:bodyDiv w:val="1"/>
      <w:marLeft w:val="0"/>
      <w:marRight w:val="0"/>
      <w:marTop w:val="0"/>
      <w:marBottom w:val="0"/>
      <w:divBdr>
        <w:top w:val="none" w:sz="0" w:space="0" w:color="auto"/>
        <w:left w:val="none" w:sz="0" w:space="0" w:color="auto"/>
        <w:bottom w:val="none" w:sz="0" w:space="0" w:color="auto"/>
        <w:right w:val="none" w:sz="0" w:space="0" w:color="auto"/>
      </w:divBdr>
    </w:div>
    <w:div w:id="831531114">
      <w:bodyDiv w:val="1"/>
      <w:marLeft w:val="0"/>
      <w:marRight w:val="0"/>
      <w:marTop w:val="0"/>
      <w:marBottom w:val="0"/>
      <w:divBdr>
        <w:top w:val="none" w:sz="0" w:space="0" w:color="auto"/>
        <w:left w:val="none" w:sz="0" w:space="0" w:color="auto"/>
        <w:bottom w:val="none" w:sz="0" w:space="0" w:color="auto"/>
        <w:right w:val="none" w:sz="0" w:space="0" w:color="auto"/>
      </w:divBdr>
    </w:div>
    <w:div w:id="831718885">
      <w:bodyDiv w:val="1"/>
      <w:marLeft w:val="0"/>
      <w:marRight w:val="0"/>
      <w:marTop w:val="0"/>
      <w:marBottom w:val="0"/>
      <w:divBdr>
        <w:top w:val="none" w:sz="0" w:space="0" w:color="auto"/>
        <w:left w:val="none" w:sz="0" w:space="0" w:color="auto"/>
        <w:bottom w:val="none" w:sz="0" w:space="0" w:color="auto"/>
        <w:right w:val="none" w:sz="0" w:space="0" w:color="auto"/>
      </w:divBdr>
    </w:div>
    <w:div w:id="831873559">
      <w:bodyDiv w:val="1"/>
      <w:marLeft w:val="0"/>
      <w:marRight w:val="0"/>
      <w:marTop w:val="0"/>
      <w:marBottom w:val="0"/>
      <w:divBdr>
        <w:top w:val="none" w:sz="0" w:space="0" w:color="auto"/>
        <w:left w:val="none" w:sz="0" w:space="0" w:color="auto"/>
        <w:bottom w:val="none" w:sz="0" w:space="0" w:color="auto"/>
        <w:right w:val="none" w:sz="0" w:space="0" w:color="auto"/>
      </w:divBdr>
    </w:div>
    <w:div w:id="832452040">
      <w:bodyDiv w:val="1"/>
      <w:marLeft w:val="0"/>
      <w:marRight w:val="0"/>
      <w:marTop w:val="0"/>
      <w:marBottom w:val="0"/>
      <w:divBdr>
        <w:top w:val="none" w:sz="0" w:space="0" w:color="auto"/>
        <w:left w:val="none" w:sz="0" w:space="0" w:color="auto"/>
        <w:bottom w:val="none" w:sz="0" w:space="0" w:color="auto"/>
        <w:right w:val="none" w:sz="0" w:space="0" w:color="auto"/>
      </w:divBdr>
    </w:div>
    <w:div w:id="832572931">
      <w:bodyDiv w:val="1"/>
      <w:marLeft w:val="0"/>
      <w:marRight w:val="0"/>
      <w:marTop w:val="0"/>
      <w:marBottom w:val="0"/>
      <w:divBdr>
        <w:top w:val="none" w:sz="0" w:space="0" w:color="auto"/>
        <w:left w:val="none" w:sz="0" w:space="0" w:color="auto"/>
        <w:bottom w:val="none" w:sz="0" w:space="0" w:color="auto"/>
        <w:right w:val="none" w:sz="0" w:space="0" w:color="auto"/>
      </w:divBdr>
    </w:div>
    <w:div w:id="832985324">
      <w:bodyDiv w:val="1"/>
      <w:marLeft w:val="0"/>
      <w:marRight w:val="0"/>
      <w:marTop w:val="0"/>
      <w:marBottom w:val="0"/>
      <w:divBdr>
        <w:top w:val="none" w:sz="0" w:space="0" w:color="auto"/>
        <w:left w:val="none" w:sz="0" w:space="0" w:color="auto"/>
        <w:bottom w:val="none" w:sz="0" w:space="0" w:color="auto"/>
        <w:right w:val="none" w:sz="0" w:space="0" w:color="auto"/>
      </w:divBdr>
    </w:div>
    <w:div w:id="833571593">
      <w:bodyDiv w:val="1"/>
      <w:marLeft w:val="0"/>
      <w:marRight w:val="0"/>
      <w:marTop w:val="0"/>
      <w:marBottom w:val="0"/>
      <w:divBdr>
        <w:top w:val="none" w:sz="0" w:space="0" w:color="auto"/>
        <w:left w:val="none" w:sz="0" w:space="0" w:color="auto"/>
        <w:bottom w:val="none" w:sz="0" w:space="0" w:color="auto"/>
        <w:right w:val="none" w:sz="0" w:space="0" w:color="auto"/>
      </w:divBdr>
    </w:div>
    <w:div w:id="833646668">
      <w:bodyDiv w:val="1"/>
      <w:marLeft w:val="0"/>
      <w:marRight w:val="0"/>
      <w:marTop w:val="0"/>
      <w:marBottom w:val="0"/>
      <w:divBdr>
        <w:top w:val="none" w:sz="0" w:space="0" w:color="auto"/>
        <w:left w:val="none" w:sz="0" w:space="0" w:color="auto"/>
        <w:bottom w:val="none" w:sz="0" w:space="0" w:color="auto"/>
        <w:right w:val="none" w:sz="0" w:space="0" w:color="auto"/>
      </w:divBdr>
    </w:div>
    <w:div w:id="834150646">
      <w:bodyDiv w:val="1"/>
      <w:marLeft w:val="0"/>
      <w:marRight w:val="0"/>
      <w:marTop w:val="0"/>
      <w:marBottom w:val="0"/>
      <w:divBdr>
        <w:top w:val="none" w:sz="0" w:space="0" w:color="auto"/>
        <w:left w:val="none" w:sz="0" w:space="0" w:color="auto"/>
        <w:bottom w:val="none" w:sz="0" w:space="0" w:color="auto"/>
        <w:right w:val="none" w:sz="0" w:space="0" w:color="auto"/>
      </w:divBdr>
    </w:div>
    <w:div w:id="834152543">
      <w:bodyDiv w:val="1"/>
      <w:marLeft w:val="0"/>
      <w:marRight w:val="0"/>
      <w:marTop w:val="0"/>
      <w:marBottom w:val="0"/>
      <w:divBdr>
        <w:top w:val="none" w:sz="0" w:space="0" w:color="auto"/>
        <w:left w:val="none" w:sz="0" w:space="0" w:color="auto"/>
        <w:bottom w:val="none" w:sz="0" w:space="0" w:color="auto"/>
        <w:right w:val="none" w:sz="0" w:space="0" w:color="auto"/>
      </w:divBdr>
    </w:div>
    <w:div w:id="835070180">
      <w:bodyDiv w:val="1"/>
      <w:marLeft w:val="0"/>
      <w:marRight w:val="0"/>
      <w:marTop w:val="0"/>
      <w:marBottom w:val="0"/>
      <w:divBdr>
        <w:top w:val="none" w:sz="0" w:space="0" w:color="auto"/>
        <w:left w:val="none" w:sz="0" w:space="0" w:color="auto"/>
        <w:bottom w:val="none" w:sz="0" w:space="0" w:color="auto"/>
        <w:right w:val="none" w:sz="0" w:space="0" w:color="auto"/>
      </w:divBdr>
    </w:div>
    <w:div w:id="835264540">
      <w:bodyDiv w:val="1"/>
      <w:marLeft w:val="0"/>
      <w:marRight w:val="0"/>
      <w:marTop w:val="0"/>
      <w:marBottom w:val="0"/>
      <w:divBdr>
        <w:top w:val="none" w:sz="0" w:space="0" w:color="auto"/>
        <w:left w:val="none" w:sz="0" w:space="0" w:color="auto"/>
        <w:bottom w:val="none" w:sz="0" w:space="0" w:color="auto"/>
        <w:right w:val="none" w:sz="0" w:space="0" w:color="auto"/>
      </w:divBdr>
    </w:div>
    <w:div w:id="835456165">
      <w:bodyDiv w:val="1"/>
      <w:marLeft w:val="0"/>
      <w:marRight w:val="0"/>
      <w:marTop w:val="0"/>
      <w:marBottom w:val="0"/>
      <w:divBdr>
        <w:top w:val="none" w:sz="0" w:space="0" w:color="auto"/>
        <w:left w:val="none" w:sz="0" w:space="0" w:color="auto"/>
        <w:bottom w:val="none" w:sz="0" w:space="0" w:color="auto"/>
        <w:right w:val="none" w:sz="0" w:space="0" w:color="auto"/>
      </w:divBdr>
    </w:div>
    <w:div w:id="835732843">
      <w:bodyDiv w:val="1"/>
      <w:marLeft w:val="0"/>
      <w:marRight w:val="0"/>
      <w:marTop w:val="0"/>
      <w:marBottom w:val="0"/>
      <w:divBdr>
        <w:top w:val="none" w:sz="0" w:space="0" w:color="auto"/>
        <w:left w:val="none" w:sz="0" w:space="0" w:color="auto"/>
        <w:bottom w:val="none" w:sz="0" w:space="0" w:color="auto"/>
        <w:right w:val="none" w:sz="0" w:space="0" w:color="auto"/>
      </w:divBdr>
    </w:div>
    <w:div w:id="836262219">
      <w:bodyDiv w:val="1"/>
      <w:marLeft w:val="0"/>
      <w:marRight w:val="0"/>
      <w:marTop w:val="0"/>
      <w:marBottom w:val="0"/>
      <w:divBdr>
        <w:top w:val="none" w:sz="0" w:space="0" w:color="auto"/>
        <w:left w:val="none" w:sz="0" w:space="0" w:color="auto"/>
        <w:bottom w:val="none" w:sz="0" w:space="0" w:color="auto"/>
        <w:right w:val="none" w:sz="0" w:space="0" w:color="auto"/>
      </w:divBdr>
    </w:div>
    <w:div w:id="836264964">
      <w:bodyDiv w:val="1"/>
      <w:marLeft w:val="0"/>
      <w:marRight w:val="0"/>
      <w:marTop w:val="0"/>
      <w:marBottom w:val="0"/>
      <w:divBdr>
        <w:top w:val="none" w:sz="0" w:space="0" w:color="auto"/>
        <w:left w:val="none" w:sz="0" w:space="0" w:color="auto"/>
        <w:bottom w:val="none" w:sz="0" w:space="0" w:color="auto"/>
        <w:right w:val="none" w:sz="0" w:space="0" w:color="auto"/>
      </w:divBdr>
    </w:div>
    <w:div w:id="837187577">
      <w:bodyDiv w:val="1"/>
      <w:marLeft w:val="0"/>
      <w:marRight w:val="0"/>
      <w:marTop w:val="0"/>
      <w:marBottom w:val="0"/>
      <w:divBdr>
        <w:top w:val="none" w:sz="0" w:space="0" w:color="auto"/>
        <w:left w:val="none" w:sz="0" w:space="0" w:color="auto"/>
        <w:bottom w:val="none" w:sz="0" w:space="0" w:color="auto"/>
        <w:right w:val="none" w:sz="0" w:space="0" w:color="auto"/>
      </w:divBdr>
    </w:div>
    <w:div w:id="837228021">
      <w:bodyDiv w:val="1"/>
      <w:marLeft w:val="0"/>
      <w:marRight w:val="0"/>
      <w:marTop w:val="0"/>
      <w:marBottom w:val="0"/>
      <w:divBdr>
        <w:top w:val="none" w:sz="0" w:space="0" w:color="auto"/>
        <w:left w:val="none" w:sz="0" w:space="0" w:color="auto"/>
        <w:bottom w:val="none" w:sz="0" w:space="0" w:color="auto"/>
        <w:right w:val="none" w:sz="0" w:space="0" w:color="auto"/>
      </w:divBdr>
    </w:div>
    <w:div w:id="837237317">
      <w:bodyDiv w:val="1"/>
      <w:marLeft w:val="0"/>
      <w:marRight w:val="0"/>
      <w:marTop w:val="0"/>
      <w:marBottom w:val="0"/>
      <w:divBdr>
        <w:top w:val="none" w:sz="0" w:space="0" w:color="auto"/>
        <w:left w:val="none" w:sz="0" w:space="0" w:color="auto"/>
        <w:bottom w:val="none" w:sz="0" w:space="0" w:color="auto"/>
        <w:right w:val="none" w:sz="0" w:space="0" w:color="auto"/>
      </w:divBdr>
    </w:div>
    <w:div w:id="837578883">
      <w:bodyDiv w:val="1"/>
      <w:marLeft w:val="0"/>
      <w:marRight w:val="0"/>
      <w:marTop w:val="0"/>
      <w:marBottom w:val="0"/>
      <w:divBdr>
        <w:top w:val="none" w:sz="0" w:space="0" w:color="auto"/>
        <w:left w:val="none" w:sz="0" w:space="0" w:color="auto"/>
        <w:bottom w:val="none" w:sz="0" w:space="0" w:color="auto"/>
        <w:right w:val="none" w:sz="0" w:space="0" w:color="auto"/>
      </w:divBdr>
    </w:div>
    <w:div w:id="837769652">
      <w:bodyDiv w:val="1"/>
      <w:marLeft w:val="0"/>
      <w:marRight w:val="0"/>
      <w:marTop w:val="0"/>
      <w:marBottom w:val="0"/>
      <w:divBdr>
        <w:top w:val="none" w:sz="0" w:space="0" w:color="auto"/>
        <w:left w:val="none" w:sz="0" w:space="0" w:color="auto"/>
        <w:bottom w:val="none" w:sz="0" w:space="0" w:color="auto"/>
        <w:right w:val="none" w:sz="0" w:space="0" w:color="auto"/>
      </w:divBdr>
    </w:div>
    <w:div w:id="838037646">
      <w:bodyDiv w:val="1"/>
      <w:marLeft w:val="0"/>
      <w:marRight w:val="0"/>
      <w:marTop w:val="0"/>
      <w:marBottom w:val="0"/>
      <w:divBdr>
        <w:top w:val="none" w:sz="0" w:space="0" w:color="auto"/>
        <w:left w:val="none" w:sz="0" w:space="0" w:color="auto"/>
        <w:bottom w:val="none" w:sz="0" w:space="0" w:color="auto"/>
        <w:right w:val="none" w:sz="0" w:space="0" w:color="auto"/>
      </w:divBdr>
    </w:div>
    <w:div w:id="838421029">
      <w:bodyDiv w:val="1"/>
      <w:marLeft w:val="0"/>
      <w:marRight w:val="0"/>
      <w:marTop w:val="0"/>
      <w:marBottom w:val="0"/>
      <w:divBdr>
        <w:top w:val="none" w:sz="0" w:space="0" w:color="auto"/>
        <w:left w:val="none" w:sz="0" w:space="0" w:color="auto"/>
        <w:bottom w:val="none" w:sz="0" w:space="0" w:color="auto"/>
        <w:right w:val="none" w:sz="0" w:space="0" w:color="auto"/>
      </w:divBdr>
    </w:div>
    <w:div w:id="838471595">
      <w:bodyDiv w:val="1"/>
      <w:marLeft w:val="0"/>
      <w:marRight w:val="0"/>
      <w:marTop w:val="0"/>
      <w:marBottom w:val="0"/>
      <w:divBdr>
        <w:top w:val="none" w:sz="0" w:space="0" w:color="auto"/>
        <w:left w:val="none" w:sz="0" w:space="0" w:color="auto"/>
        <w:bottom w:val="none" w:sz="0" w:space="0" w:color="auto"/>
        <w:right w:val="none" w:sz="0" w:space="0" w:color="auto"/>
      </w:divBdr>
    </w:div>
    <w:div w:id="839659430">
      <w:bodyDiv w:val="1"/>
      <w:marLeft w:val="0"/>
      <w:marRight w:val="0"/>
      <w:marTop w:val="0"/>
      <w:marBottom w:val="0"/>
      <w:divBdr>
        <w:top w:val="none" w:sz="0" w:space="0" w:color="auto"/>
        <w:left w:val="none" w:sz="0" w:space="0" w:color="auto"/>
        <w:bottom w:val="none" w:sz="0" w:space="0" w:color="auto"/>
        <w:right w:val="none" w:sz="0" w:space="0" w:color="auto"/>
      </w:divBdr>
    </w:div>
    <w:div w:id="839736190">
      <w:bodyDiv w:val="1"/>
      <w:marLeft w:val="0"/>
      <w:marRight w:val="0"/>
      <w:marTop w:val="0"/>
      <w:marBottom w:val="0"/>
      <w:divBdr>
        <w:top w:val="none" w:sz="0" w:space="0" w:color="auto"/>
        <w:left w:val="none" w:sz="0" w:space="0" w:color="auto"/>
        <w:bottom w:val="none" w:sz="0" w:space="0" w:color="auto"/>
        <w:right w:val="none" w:sz="0" w:space="0" w:color="auto"/>
      </w:divBdr>
    </w:div>
    <w:div w:id="840124018">
      <w:bodyDiv w:val="1"/>
      <w:marLeft w:val="0"/>
      <w:marRight w:val="0"/>
      <w:marTop w:val="0"/>
      <w:marBottom w:val="0"/>
      <w:divBdr>
        <w:top w:val="none" w:sz="0" w:space="0" w:color="auto"/>
        <w:left w:val="none" w:sz="0" w:space="0" w:color="auto"/>
        <w:bottom w:val="none" w:sz="0" w:space="0" w:color="auto"/>
        <w:right w:val="none" w:sz="0" w:space="0" w:color="auto"/>
      </w:divBdr>
    </w:div>
    <w:div w:id="840240109">
      <w:bodyDiv w:val="1"/>
      <w:marLeft w:val="0"/>
      <w:marRight w:val="0"/>
      <w:marTop w:val="0"/>
      <w:marBottom w:val="0"/>
      <w:divBdr>
        <w:top w:val="none" w:sz="0" w:space="0" w:color="auto"/>
        <w:left w:val="none" w:sz="0" w:space="0" w:color="auto"/>
        <w:bottom w:val="none" w:sz="0" w:space="0" w:color="auto"/>
        <w:right w:val="none" w:sz="0" w:space="0" w:color="auto"/>
      </w:divBdr>
    </w:div>
    <w:div w:id="840584233">
      <w:bodyDiv w:val="1"/>
      <w:marLeft w:val="0"/>
      <w:marRight w:val="0"/>
      <w:marTop w:val="0"/>
      <w:marBottom w:val="0"/>
      <w:divBdr>
        <w:top w:val="none" w:sz="0" w:space="0" w:color="auto"/>
        <w:left w:val="none" w:sz="0" w:space="0" w:color="auto"/>
        <w:bottom w:val="none" w:sz="0" w:space="0" w:color="auto"/>
        <w:right w:val="none" w:sz="0" w:space="0" w:color="auto"/>
      </w:divBdr>
    </w:div>
    <w:div w:id="840896024">
      <w:bodyDiv w:val="1"/>
      <w:marLeft w:val="0"/>
      <w:marRight w:val="0"/>
      <w:marTop w:val="0"/>
      <w:marBottom w:val="0"/>
      <w:divBdr>
        <w:top w:val="none" w:sz="0" w:space="0" w:color="auto"/>
        <w:left w:val="none" w:sz="0" w:space="0" w:color="auto"/>
        <w:bottom w:val="none" w:sz="0" w:space="0" w:color="auto"/>
        <w:right w:val="none" w:sz="0" w:space="0" w:color="auto"/>
      </w:divBdr>
    </w:div>
    <w:div w:id="840899030">
      <w:bodyDiv w:val="1"/>
      <w:marLeft w:val="0"/>
      <w:marRight w:val="0"/>
      <w:marTop w:val="0"/>
      <w:marBottom w:val="0"/>
      <w:divBdr>
        <w:top w:val="none" w:sz="0" w:space="0" w:color="auto"/>
        <w:left w:val="none" w:sz="0" w:space="0" w:color="auto"/>
        <w:bottom w:val="none" w:sz="0" w:space="0" w:color="auto"/>
        <w:right w:val="none" w:sz="0" w:space="0" w:color="auto"/>
      </w:divBdr>
    </w:div>
    <w:div w:id="842208673">
      <w:bodyDiv w:val="1"/>
      <w:marLeft w:val="0"/>
      <w:marRight w:val="0"/>
      <w:marTop w:val="0"/>
      <w:marBottom w:val="0"/>
      <w:divBdr>
        <w:top w:val="none" w:sz="0" w:space="0" w:color="auto"/>
        <w:left w:val="none" w:sz="0" w:space="0" w:color="auto"/>
        <w:bottom w:val="none" w:sz="0" w:space="0" w:color="auto"/>
        <w:right w:val="none" w:sz="0" w:space="0" w:color="auto"/>
      </w:divBdr>
    </w:div>
    <w:div w:id="842276859">
      <w:bodyDiv w:val="1"/>
      <w:marLeft w:val="0"/>
      <w:marRight w:val="0"/>
      <w:marTop w:val="0"/>
      <w:marBottom w:val="0"/>
      <w:divBdr>
        <w:top w:val="none" w:sz="0" w:space="0" w:color="auto"/>
        <w:left w:val="none" w:sz="0" w:space="0" w:color="auto"/>
        <w:bottom w:val="none" w:sz="0" w:space="0" w:color="auto"/>
        <w:right w:val="none" w:sz="0" w:space="0" w:color="auto"/>
      </w:divBdr>
    </w:div>
    <w:div w:id="842429918">
      <w:bodyDiv w:val="1"/>
      <w:marLeft w:val="0"/>
      <w:marRight w:val="0"/>
      <w:marTop w:val="0"/>
      <w:marBottom w:val="0"/>
      <w:divBdr>
        <w:top w:val="none" w:sz="0" w:space="0" w:color="auto"/>
        <w:left w:val="none" w:sz="0" w:space="0" w:color="auto"/>
        <w:bottom w:val="none" w:sz="0" w:space="0" w:color="auto"/>
        <w:right w:val="none" w:sz="0" w:space="0" w:color="auto"/>
      </w:divBdr>
    </w:div>
    <w:div w:id="842819203">
      <w:bodyDiv w:val="1"/>
      <w:marLeft w:val="0"/>
      <w:marRight w:val="0"/>
      <w:marTop w:val="0"/>
      <w:marBottom w:val="0"/>
      <w:divBdr>
        <w:top w:val="none" w:sz="0" w:space="0" w:color="auto"/>
        <w:left w:val="none" w:sz="0" w:space="0" w:color="auto"/>
        <w:bottom w:val="none" w:sz="0" w:space="0" w:color="auto"/>
        <w:right w:val="none" w:sz="0" w:space="0" w:color="auto"/>
      </w:divBdr>
    </w:div>
    <w:div w:id="842859382">
      <w:bodyDiv w:val="1"/>
      <w:marLeft w:val="0"/>
      <w:marRight w:val="0"/>
      <w:marTop w:val="0"/>
      <w:marBottom w:val="0"/>
      <w:divBdr>
        <w:top w:val="none" w:sz="0" w:space="0" w:color="auto"/>
        <w:left w:val="none" w:sz="0" w:space="0" w:color="auto"/>
        <w:bottom w:val="none" w:sz="0" w:space="0" w:color="auto"/>
        <w:right w:val="none" w:sz="0" w:space="0" w:color="auto"/>
      </w:divBdr>
    </w:div>
    <w:div w:id="843280450">
      <w:bodyDiv w:val="1"/>
      <w:marLeft w:val="0"/>
      <w:marRight w:val="0"/>
      <w:marTop w:val="0"/>
      <w:marBottom w:val="0"/>
      <w:divBdr>
        <w:top w:val="none" w:sz="0" w:space="0" w:color="auto"/>
        <w:left w:val="none" w:sz="0" w:space="0" w:color="auto"/>
        <w:bottom w:val="none" w:sz="0" w:space="0" w:color="auto"/>
        <w:right w:val="none" w:sz="0" w:space="0" w:color="auto"/>
      </w:divBdr>
    </w:div>
    <w:div w:id="843860400">
      <w:bodyDiv w:val="1"/>
      <w:marLeft w:val="0"/>
      <w:marRight w:val="0"/>
      <w:marTop w:val="0"/>
      <w:marBottom w:val="0"/>
      <w:divBdr>
        <w:top w:val="none" w:sz="0" w:space="0" w:color="auto"/>
        <w:left w:val="none" w:sz="0" w:space="0" w:color="auto"/>
        <w:bottom w:val="none" w:sz="0" w:space="0" w:color="auto"/>
        <w:right w:val="none" w:sz="0" w:space="0" w:color="auto"/>
      </w:divBdr>
    </w:div>
    <w:div w:id="844511681">
      <w:bodyDiv w:val="1"/>
      <w:marLeft w:val="0"/>
      <w:marRight w:val="0"/>
      <w:marTop w:val="0"/>
      <w:marBottom w:val="0"/>
      <w:divBdr>
        <w:top w:val="none" w:sz="0" w:space="0" w:color="auto"/>
        <w:left w:val="none" w:sz="0" w:space="0" w:color="auto"/>
        <w:bottom w:val="none" w:sz="0" w:space="0" w:color="auto"/>
        <w:right w:val="none" w:sz="0" w:space="0" w:color="auto"/>
      </w:divBdr>
    </w:div>
    <w:div w:id="844784401">
      <w:bodyDiv w:val="1"/>
      <w:marLeft w:val="0"/>
      <w:marRight w:val="0"/>
      <w:marTop w:val="0"/>
      <w:marBottom w:val="0"/>
      <w:divBdr>
        <w:top w:val="none" w:sz="0" w:space="0" w:color="auto"/>
        <w:left w:val="none" w:sz="0" w:space="0" w:color="auto"/>
        <w:bottom w:val="none" w:sz="0" w:space="0" w:color="auto"/>
        <w:right w:val="none" w:sz="0" w:space="0" w:color="auto"/>
      </w:divBdr>
    </w:div>
    <w:div w:id="845289495">
      <w:bodyDiv w:val="1"/>
      <w:marLeft w:val="0"/>
      <w:marRight w:val="0"/>
      <w:marTop w:val="0"/>
      <w:marBottom w:val="0"/>
      <w:divBdr>
        <w:top w:val="none" w:sz="0" w:space="0" w:color="auto"/>
        <w:left w:val="none" w:sz="0" w:space="0" w:color="auto"/>
        <w:bottom w:val="none" w:sz="0" w:space="0" w:color="auto"/>
        <w:right w:val="none" w:sz="0" w:space="0" w:color="auto"/>
      </w:divBdr>
    </w:div>
    <w:div w:id="845366633">
      <w:bodyDiv w:val="1"/>
      <w:marLeft w:val="0"/>
      <w:marRight w:val="0"/>
      <w:marTop w:val="0"/>
      <w:marBottom w:val="0"/>
      <w:divBdr>
        <w:top w:val="none" w:sz="0" w:space="0" w:color="auto"/>
        <w:left w:val="none" w:sz="0" w:space="0" w:color="auto"/>
        <w:bottom w:val="none" w:sz="0" w:space="0" w:color="auto"/>
        <w:right w:val="none" w:sz="0" w:space="0" w:color="auto"/>
      </w:divBdr>
    </w:div>
    <w:div w:id="845366966">
      <w:bodyDiv w:val="1"/>
      <w:marLeft w:val="0"/>
      <w:marRight w:val="0"/>
      <w:marTop w:val="0"/>
      <w:marBottom w:val="0"/>
      <w:divBdr>
        <w:top w:val="none" w:sz="0" w:space="0" w:color="auto"/>
        <w:left w:val="none" w:sz="0" w:space="0" w:color="auto"/>
        <w:bottom w:val="none" w:sz="0" w:space="0" w:color="auto"/>
        <w:right w:val="none" w:sz="0" w:space="0" w:color="auto"/>
      </w:divBdr>
    </w:div>
    <w:div w:id="845481720">
      <w:bodyDiv w:val="1"/>
      <w:marLeft w:val="0"/>
      <w:marRight w:val="0"/>
      <w:marTop w:val="0"/>
      <w:marBottom w:val="0"/>
      <w:divBdr>
        <w:top w:val="none" w:sz="0" w:space="0" w:color="auto"/>
        <w:left w:val="none" w:sz="0" w:space="0" w:color="auto"/>
        <w:bottom w:val="none" w:sz="0" w:space="0" w:color="auto"/>
        <w:right w:val="none" w:sz="0" w:space="0" w:color="auto"/>
      </w:divBdr>
    </w:div>
    <w:div w:id="845902876">
      <w:bodyDiv w:val="1"/>
      <w:marLeft w:val="0"/>
      <w:marRight w:val="0"/>
      <w:marTop w:val="0"/>
      <w:marBottom w:val="0"/>
      <w:divBdr>
        <w:top w:val="none" w:sz="0" w:space="0" w:color="auto"/>
        <w:left w:val="none" w:sz="0" w:space="0" w:color="auto"/>
        <w:bottom w:val="none" w:sz="0" w:space="0" w:color="auto"/>
        <w:right w:val="none" w:sz="0" w:space="0" w:color="auto"/>
      </w:divBdr>
    </w:div>
    <w:div w:id="846283631">
      <w:bodyDiv w:val="1"/>
      <w:marLeft w:val="0"/>
      <w:marRight w:val="0"/>
      <w:marTop w:val="0"/>
      <w:marBottom w:val="0"/>
      <w:divBdr>
        <w:top w:val="none" w:sz="0" w:space="0" w:color="auto"/>
        <w:left w:val="none" w:sz="0" w:space="0" w:color="auto"/>
        <w:bottom w:val="none" w:sz="0" w:space="0" w:color="auto"/>
        <w:right w:val="none" w:sz="0" w:space="0" w:color="auto"/>
      </w:divBdr>
    </w:div>
    <w:div w:id="846988544">
      <w:bodyDiv w:val="1"/>
      <w:marLeft w:val="0"/>
      <w:marRight w:val="0"/>
      <w:marTop w:val="0"/>
      <w:marBottom w:val="0"/>
      <w:divBdr>
        <w:top w:val="none" w:sz="0" w:space="0" w:color="auto"/>
        <w:left w:val="none" w:sz="0" w:space="0" w:color="auto"/>
        <w:bottom w:val="none" w:sz="0" w:space="0" w:color="auto"/>
        <w:right w:val="none" w:sz="0" w:space="0" w:color="auto"/>
      </w:divBdr>
    </w:div>
    <w:div w:id="846989026">
      <w:bodyDiv w:val="1"/>
      <w:marLeft w:val="0"/>
      <w:marRight w:val="0"/>
      <w:marTop w:val="0"/>
      <w:marBottom w:val="0"/>
      <w:divBdr>
        <w:top w:val="none" w:sz="0" w:space="0" w:color="auto"/>
        <w:left w:val="none" w:sz="0" w:space="0" w:color="auto"/>
        <w:bottom w:val="none" w:sz="0" w:space="0" w:color="auto"/>
        <w:right w:val="none" w:sz="0" w:space="0" w:color="auto"/>
      </w:divBdr>
    </w:div>
    <w:div w:id="847016805">
      <w:bodyDiv w:val="1"/>
      <w:marLeft w:val="0"/>
      <w:marRight w:val="0"/>
      <w:marTop w:val="0"/>
      <w:marBottom w:val="0"/>
      <w:divBdr>
        <w:top w:val="none" w:sz="0" w:space="0" w:color="auto"/>
        <w:left w:val="none" w:sz="0" w:space="0" w:color="auto"/>
        <w:bottom w:val="none" w:sz="0" w:space="0" w:color="auto"/>
        <w:right w:val="none" w:sz="0" w:space="0" w:color="auto"/>
      </w:divBdr>
    </w:div>
    <w:div w:id="847064780">
      <w:bodyDiv w:val="1"/>
      <w:marLeft w:val="0"/>
      <w:marRight w:val="0"/>
      <w:marTop w:val="0"/>
      <w:marBottom w:val="0"/>
      <w:divBdr>
        <w:top w:val="none" w:sz="0" w:space="0" w:color="auto"/>
        <w:left w:val="none" w:sz="0" w:space="0" w:color="auto"/>
        <w:bottom w:val="none" w:sz="0" w:space="0" w:color="auto"/>
        <w:right w:val="none" w:sz="0" w:space="0" w:color="auto"/>
      </w:divBdr>
    </w:div>
    <w:div w:id="847137354">
      <w:bodyDiv w:val="1"/>
      <w:marLeft w:val="0"/>
      <w:marRight w:val="0"/>
      <w:marTop w:val="0"/>
      <w:marBottom w:val="0"/>
      <w:divBdr>
        <w:top w:val="none" w:sz="0" w:space="0" w:color="auto"/>
        <w:left w:val="none" w:sz="0" w:space="0" w:color="auto"/>
        <w:bottom w:val="none" w:sz="0" w:space="0" w:color="auto"/>
        <w:right w:val="none" w:sz="0" w:space="0" w:color="auto"/>
      </w:divBdr>
    </w:div>
    <w:div w:id="847215494">
      <w:bodyDiv w:val="1"/>
      <w:marLeft w:val="0"/>
      <w:marRight w:val="0"/>
      <w:marTop w:val="0"/>
      <w:marBottom w:val="0"/>
      <w:divBdr>
        <w:top w:val="none" w:sz="0" w:space="0" w:color="auto"/>
        <w:left w:val="none" w:sz="0" w:space="0" w:color="auto"/>
        <w:bottom w:val="none" w:sz="0" w:space="0" w:color="auto"/>
        <w:right w:val="none" w:sz="0" w:space="0" w:color="auto"/>
      </w:divBdr>
    </w:div>
    <w:div w:id="847253533">
      <w:bodyDiv w:val="1"/>
      <w:marLeft w:val="0"/>
      <w:marRight w:val="0"/>
      <w:marTop w:val="0"/>
      <w:marBottom w:val="0"/>
      <w:divBdr>
        <w:top w:val="none" w:sz="0" w:space="0" w:color="auto"/>
        <w:left w:val="none" w:sz="0" w:space="0" w:color="auto"/>
        <w:bottom w:val="none" w:sz="0" w:space="0" w:color="auto"/>
        <w:right w:val="none" w:sz="0" w:space="0" w:color="auto"/>
      </w:divBdr>
    </w:div>
    <w:div w:id="848064391">
      <w:bodyDiv w:val="1"/>
      <w:marLeft w:val="0"/>
      <w:marRight w:val="0"/>
      <w:marTop w:val="0"/>
      <w:marBottom w:val="0"/>
      <w:divBdr>
        <w:top w:val="none" w:sz="0" w:space="0" w:color="auto"/>
        <w:left w:val="none" w:sz="0" w:space="0" w:color="auto"/>
        <w:bottom w:val="none" w:sz="0" w:space="0" w:color="auto"/>
        <w:right w:val="none" w:sz="0" w:space="0" w:color="auto"/>
      </w:divBdr>
    </w:div>
    <w:div w:id="848374958">
      <w:bodyDiv w:val="1"/>
      <w:marLeft w:val="0"/>
      <w:marRight w:val="0"/>
      <w:marTop w:val="0"/>
      <w:marBottom w:val="0"/>
      <w:divBdr>
        <w:top w:val="none" w:sz="0" w:space="0" w:color="auto"/>
        <w:left w:val="none" w:sz="0" w:space="0" w:color="auto"/>
        <w:bottom w:val="none" w:sz="0" w:space="0" w:color="auto"/>
        <w:right w:val="none" w:sz="0" w:space="0" w:color="auto"/>
      </w:divBdr>
    </w:div>
    <w:div w:id="848443530">
      <w:bodyDiv w:val="1"/>
      <w:marLeft w:val="0"/>
      <w:marRight w:val="0"/>
      <w:marTop w:val="0"/>
      <w:marBottom w:val="0"/>
      <w:divBdr>
        <w:top w:val="none" w:sz="0" w:space="0" w:color="auto"/>
        <w:left w:val="none" w:sz="0" w:space="0" w:color="auto"/>
        <w:bottom w:val="none" w:sz="0" w:space="0" w:color="auto"/>
        <w:right w:val="none" w:sz="0" w:space="0" w:color="auto"/>
      </w:divBdr>
    </w:div>
    <w:div w:id="848446530">
      <w:bodyDiv w:val="1"/>
      <w:marLeft w:val="0"/>
      <w:marRight w:val="0"/>
      <w:marTop w:val="0"/>
      <w:marBottom w:val="0"/>
      <w:divBdr>
        <w:top w:val="none" w:sz="0" w:space="0" w:color="auto"/>
        <w:left w:val="none" w:sz="0" w:space="0" w:color="auto"/>
        <w:bottom w:val="none" w:sz="0" w:space="0" w:color="auto"/>
        <w:right w:val="none" w:sz="0" w:space="0" w:color="auto"/>
      </w:divBdr>
    </w:div>
    <w:div w:id="849836727">
      <w:bodyDiv w:val="1"/>
      <w:marLeft w:val="0"/>
      <w:marRight w:val="0"/>
      <w:marTop w:val="0"/>
      <w:marBottom w:val="0"/>
      <w:divBdr>
        <w:top w:val="none" w:sz="0" w:space="0" w:color="auto"/>
        <w:left w:val="none" w:sz="0" w:space="0" w:color="auto"/>
        <w:bottom w:val="none" w:sz="0" w:space="0" w:color="auto"/>
        <w:right w:val="none" w:sz="0" w:space="0" w:color="auto"/>
      </w:divBdr>
    </w:div>
    <w:div w:id="850292454">
      <w:bodyDiv w:val="1"/>
      <w:marLeft w:val="0"/>
      <w:marRight w:val="0"/>
      <w:marTop w:val="0"/>
      <w:marBottom w:val="0"/>
      <w:divBdr>
        <w:top w:val="none" w:sz="0" w:space="0" w:color="auto"/>
        <w:left w:val="none" w:sz="0" w:space="0" w:color="auto"/>
        <w:bottom w:val="none" w:sz="0" w:space="0" w:color="auto"/>
        <w:right w:val="none" w:sz="0" w:space="0" w:color="auto"/>
      </w:divBdr>
    </w:div>
    <w:div w:id="850488746">
      <w:bodyDiv w:val="1"/>
      <w:marLeft w:val="0"/>
      <w:marRight w:val="0"/>
      <w:marTop w:val="0"/>
      <w:marBottom w:val="0"/>
      <w:divBdr>
        <w:top w:val="none" w:sz="0" w:space="0" w:color="auto"/>
        <w:left w:val="none" w:sz="0" w:space="0" w:color="auto"/>
        <w:bottom w:val="none" w:sz="0" w:space="0" w:color="auto"/>
        <w:right w:val="none" w:sz="0" w:space="0" w:color="auto"/>
      </w:divBdr>
    </w:div>
    <w:div w:id="850726697">
      <w:bodyDiv w:val="1"/>
      <w:marLeft w:val="0"/>
      <w:marRight w:val="0"/>
      <w:marTop w:val="0"/>
      <w:marBottom w:val="0"/>
      <w:divBdr>
        <w:top w:val="none" w:sz="0" w:space="0" w:color="auto"/>
        <w:left w:val="none" w:sz="0" w:space="0" w:color="auto"/>
        <w:bottom w:val="none" w:sz="0" w:space="0" w:color="auto"/>
        <w:right w:val="none" w:sz="0" w:space="0" w:color="auto"/>
      </w:divBdr>
    </w:div>
    <w:div w:id="851383996">
      <w:bodyDiv w:val="1"/>
      <w:marLeft w:val="0"/>
      <w:marRight w:val="0"/>
      <w:marTop w:val="0"/>
      <w:marBottom w:val="0"/>
      <w:divBdr>
        <w:top w:val="none" w:sz="0" w:space="0" w:color="auto"/>
        <w:left w:val="none" w:sz="0" w:space="0" w:color="auto"/>
        <w:bottom w:val="none" w:sz="0" w:space="0" w:color="auto"/>
        <w:right w:val="none" w:sz="0" w:space="0" w:color="auto"/>
      </w:divBdr>
    </w:div>
    <w:div w:id="851800362">
      <w:bodyDiv w:val="1"/>
      <w:marLeft w:val="0"/>
      <w:marRight w:val="0"/>
      <w:marTop w:val="0"/>
      <w:marBottom w:val="0"/>
      <w:divBdr>
        <w:top w:val="none" w:sz="0" w:space="0" w:color="auto"/>
        <w:left w:val="none" w:sz="0" w:space="0" w:color="auto"/>
        <w:bottom w:val="none" w:sz="0" w:space="0" w:color="auto"/>
        <w:right w:val="none" w:sz="0" w:space="0" w:color="auto"/>
      </w:divBdr>
    </w:div>
    <w:div w:id="852845097">
      <w:bodyDiv w:val="1"/>
      <w:marLeft w:val="0"/>
      <w:marRight w:val="0"/>
      <w:marTop w:val="0"/>
      <w:marBottom w:val="0"/>
      <w:divBdr>
        <w:top w:val="none" w:sz="0" w:space="0" w:color="auto"/>
        <w:left w:val="none" w:sz="0" w:space="0" w:color="auto"/>
        <w:bottom w:val="none" w:sz="0" w:space="0" w:color="auto"/>
        <w:right w:val="none" w:sz="0" w:space="0" w:color="auto"/>
      </w:divBdr>
    </w:div>
    <w:div w:id="852955547">
      <w:bodyDiv w:val="1"/>
      <w:marLeft w:val="0"/>
      <w:marRight w:val="0"/>
      <w:marTop w:val="0"/>
      <w:marBottom w:val="0"/>
      <w:divBdr>
        <w:top w:val="none" w:sz="0" w:space="0" w:color="auto"/>
        <w:left w:val="none" w:sz="0" w:space="0" w:color="auto"/>
        <w:bottom w:val="none" w:sz="0" w:space="0" w:color="auto"/>
        <w:right w:val="none" w:sz="0" w:space="0" w:color="auto"/>
      </w:divBdr>
    </w:div>
    <w:div w:id="852963286">
      <w:bodyDiv w:val="1"/>
      <w:marLeft w:val="0"/>
      <w:marRight w:val="0"/>
      <w:marTop w:val="0"/>
      <w:marBottom w:val="0"/>
      <w:divBdr>
        <w:top w:val="none" w:sz="0" w:space="0" w:color="auto"/>
        <w:left w:val="none" w:sz="0" w:space="0" w:color="auto"/>
        <w:bottom w:val="none" w:sz="0" w:space="0" w:color="auto"/>
        <w:right w:val="none" w:sz="0" w:space="0" w:color="auto"/>
      </w:divBdr>
    </w:div>
    <w:div w:id="853034419">
      <w:bodyDiv w:val="1"/>
      <w:marLeft w:val="0"/>
      <w:marRight w:val="0"/>
      <w:marTop w:val="0"/>
      <w:marBottom w:val="0"/>
      <w:divBdr>
        <w:top w:val="none" w:sz="0" w:space="0" w:color="auto"/>
        <w:left w:val="none" w:sz="0" w:space="0" w:color="auto"/>
        <w:bottom w:val="none" w:sz="0" w:space="0" w:color="auto"/>
        <w:right w:val="none" w:sz="0" w:space="0" w:color="auto"/>
      </w:divBdr>
    </w:div>
    <w:div w:id="853421719">
      <w:bodyDiv w:val="1"/>
      <w:marLeft w:val="0"/>
      <w:marRight w:val="0"/>
      <w:marTop w:val="0"/>
      <w:marBottom w:val="0"/>
      <w:divBdr>
        <w:top w:val="none" w:sz="0" w:space="0" w:color="auto"/>
        <w:left w:val="none" w:sz="0" w:space="0" w:color="auto"/>
        <w:bottom w:val="none" w:sz="0" w:space="0" w:color="auto"/>
        <w:right w:val="none" w:sz="0" w:space="0" w:color="auto"/>
      </w:divBdr>
    </w:div>
    <w:div w:id="853542529">
      <w:bodyDiv w:val="1"/>
      <w:marLeft w:val="0"/>
      <w:marRight w:val="0"/>
      <w:marTop w:val="0"/>
      <w:marBottom w:val="0"/>
      <w:divBdr>
        <w:top w:val="none" w:sz="0" w:space="0" w:color="auto"/>
        <w:left w:val="none" w:sz="0" w:space="0" w:color="auto"/>
        <w:bottom w:val="none" w:sz="0" w:space="0" w:color="auto"/>
        <w:right w:val="none" w:sz="0" w:space="0" w:color="auto"/>
      </w:divBdr>
    </w:div>
    <w:div w:id="853810014">
      <w:bodyDiv w:val="1"/>
      <w:marLeft w:val="0"/>
      <w:marRight w:val="0"/>
      <w:marTop w:val="0"/>
      <w:marBottom w:val="0"/>
      <w:divBdr>
        <w:top w:val="none" w:sz="0" w:space="0" w:color="auto"/>
        <w:left w:val="none" w:sz="0" w:space="0" w:color="auto"/>
        <w:bottom w:val="none" w:sz="0" w:space="0" w:color="auto"/>
        <w:right w:val="none" w:sz="0" w:space="0" w:color="auto"/>
      </w:divBdr>
    </w:div>
    <w:div w:id="854004011">
      <w:bodyDiv w:val="1"/>
      <w:marLeft w:val="0"/>
      <w:marRight w:val="0"/>
      <w:marTop w:val="0"/>
      <w:marBottom w:val="0"/>
      <w:divBdr>
        <w:top w:val="none" w:sz="0" w:space="0" w:color="auto"/>
        <w:left w:val="none" w:sz="0" w:space="0" w:color="auto"/>
        <w:bottom w:val="none" w:sz="0" w:space="0" w:color="auto"/>
        <w:right w:val="none" w:sz="0" w:space="0" w:color="auto"/>
      </w:divBdr>
    </w:div>
    <w:div w:id="854811441">
      <w:bodyDiv w:val="1"/>
      <w:marLeft w:val="0"/>
      <w:marRight w:val="0"/>
      <w:marTop w:val="0"/>
      <w:marBottom w:val="0"/>
      <w:divBdr>
        <w:top w:val="none" w:sz="0" w:space="0" w:color="auto"/>
        <w:left w:val="none" w:sz="0" w:space="0" w:color="auto"/>
        <w:bottom w:val="none" w:sz="0" w:space="0" w:color="auto"/>
        <w:right w:val="none" w:sz="0" w:space="0" w:color="auto"/>
      </w:divBdr>
    </w:div>
    <w:div w:id="855078991">
      <w:bodyDiv w:val="1"/>
      <w:marLeft w:val="0"/>
      <w:marRight w:val="0"/>
      <w:marTop w:val="0"/>
      <w:marBottom w:val="0"/>
      <w:divBdr>
        <w:top w:val="none" w:sz="0" w:space="0" w:color="auto"/>
        <w:left w:val="none" w:sz="0" w:space="0" w:color="auto"/>
        <w:bottom w:val="none" w:sz="0" w:space="0" w:color="auto"/>
        <w:right w:val="none" w:sz="0" w:space="0" w:color="auto"/>
      </w:divBdr>
    </w:div>
    <w:div w:id="855195104">
      <w:bodyDiv w:val="1"/>
      <w:marLeft w:val="0"/>
      <w:marRight w:val="0"/>
      <w:marTop w:val="0"/>
      <w:marBottom w:val="0"/>
      <w:divBdr>
        <w:top w:val="none" w:sz="0" w:space="0" w:color="auto"/>
        <w:left w:val="none" w:sz="0" w:space="0" w:color="auto"/>
        <w:bottom w:val="none" w:sz="0" w:space="0" w:color="auto"/>
        <w:right w:val="none" w:sz="0" w:space="0" w:color="auto"/>
      </w:divBdr>
    </w:div>
    <w:div w:id="855197369">
      <w:bodyDiv w:val="1"/>
      <w:marLeft w:val="0"/>
      <w:marRight w:val="0"/>
      <w:marTop w:val="0"/>
      <w:marBottom w:val="0"/>
      <w:divBdr>
        <w:top w:val="none" w:sz="0" w:space="0" w:color="auto"/>
        <w:left w:val="none" w:sz="0" w:space="0" w:color="auto"/>
        <w:bottom w:val="none" w:sz="0" w:space="0" w:color="auto"/>
        <w:right w:val="none" w:sz="0" w:space="0" w:color="auto"/>
      </w:divBdr>
    </w:div>
    <w:div w:id="855580016">
      <w:bodyDiv w:val="1"/>
      <w:marLeft w:val="0"/>
      <w:marRight w:val="0"/>
      <w:marTop w:val="0"/>
      <w:marBottom w:val="0"/>
      <w:divBdr>
        <w:top w:val="none" w:sz="0" w:space="0" w:color="auto"/>
        <w:left w:val="none" w:sz="0" w:space="0" w:color="auto"/>
        <w:bottom w:val="none" w:sz="0" w:space="0" w:color="auto"/>
        <w:right w:val="none" w:sz="0" w:space="0" w:color="auto"/>
      </w:divBdr>
    </w:div>
    <w:div w:id="855659466">
      <w:bodyDiv w:val="1"/>
      <w:marLeft w:val="0"/>
      <w:marRight w:val="0"/>
      <w:marTop w:val="0"/>
      <w:marBottom w:val="0"/>
      <w:divBdr>
        <w:top w:val="none" w:sz="0" w:space="0" w:color="auto"/>
        <w:left w:val="none" w:sz="0" w:space="0" w:color="auto"/>
        <w:bottom w:val="none" w:sz="0" w:space="0" w:color="auto"/>
        <w:right w:val="none" w:sz="0" w:space="0" w:color="auto"/>
      </w:divBdr>
    </w:div>
    <w:div w:id="855846641">
      <w:bodyDiv w:val="1"/>
      <w:marLeft w:val="0"/>
      <w:marRight w:val="0"/>
      <w:marTop w:val="0"/>
      <w:marBottom w:val="0"/>
      <w:divBdr>
        <w:top w:val="none" w:sz="0" w:space="0" w:color="auto"/>
        <w:left w:val="none" w:sz="0" w:space="0" w:color="auto"/>
        <w:bottom w:val="none" w:sz="0" w:space="0" w:color="auto"/>
        <w:right w:val="none" w:sz="0" w:space="0" w:color="auto"/>
      </w:divBdr>
    </w:div>
    <w:div w:id="856119969">
      <w:bodyDiv w:val="1"/>
      <w:marLeft w:val="0"/>
      <w:marRight w:val="0"/>
      <w:marTop w:val="0"/>
      <w:marBottom w:val="0"/>
      <w:divBdr>
        <w:top w:val="none" w:sz="0" w:space="0" w:color="auto"/>
        <w:left w:val="none" w:sz="0" w:space="0" w:color="auto"/>
        <w:bottom w:val="none" w:sz="0" w:space="0" w:color="auto"/>
        <w:right w:val="none" w:sz="0" w:space="0" w:color="auto"/>
      </w:divBdr>
    </w:div>
    <w:div w:id="856389050">
      <w:bodyDiv w:val="1"/>
      <w:marLeft w:val="0"/>
      <w:marRight w:val="0"/>
      <w:marTop w:val="0"/>
      <w:marBottom w:val="0"/>
      <w:divBdr>
        <w:top w:val="none" w:sz="0" w:space="0" w:color="auto"/>
        <w:left w:val="none" w:sz="0" w:space="0" w:color="auto"/>
        <w:bottom w:val="none" w:sz="0" w:space="0" w:color="auto"/>
        <w:right w:val="none" w:sz="0" w:space="0" w:color="auto"/>
      </w:divBdr>
    </w:div>
    <w:div w:id="857159924">
      <w:bodyDiv w:val="1"/>
      <w:marLeft w:val="0"/>
      <w:marRight w:val="0"/>
      <w:marTop w:val="0"/>
      <w:marBottom w:val="0"/>
      <w:divBdr>
        <w:top w:val="none" w:sz="0" w:space="0" w:color="auto"/>
        <w:left w:val="none" w:sz="0" w:space="0" w:color="auto"/>
        <w:bottom w:val="none" w:sz="0" w:space="0" w:color="auto"/>
        <w:right w:val="none" w:sz="0" w:space="0" w:color="auto"/>
      </w:divBdr>
    </w:div>
    <w:div w:id="857279034">
      <w:bodyDiv w:val="1"/>
      <w:marLeft w:val="0"/>
      <w:marRight w:val="0"/>
      <w:marTop w:val="0"/>
      <w:marBottom w:val="0"/>
      <w:divBdr>
        <w:top w:val="none" w:sz="0" w:space="0" w:color="auto"/>
        <w:left w:val="none" w:sz="0" w:space="0" w:color="auto"/>
        <w:bottom w:val="none" w:sz="0" w:space="0" w:color="auto"/>
        <w:right w:val="none" w:sz="0" w:space="0" w:color="auto"/>
      </w:divBdr>
    </w:div>
    <w:div w:id="857697677">
      <w:bodyDiv w:val="1"/>
      <w:marLeft w:val="0"/>
      <w:marRight w:val="0"/>
      <w:marTop w:val="0"/>
      <w:marBottom w:val="0"/>
      <w:divBdr>
        <w:top w:val="none" w:sz="0" w:space="0" w:color="auto"/>
        <w:left w:val="none" w:sz="0" w:space="0" w:color="auto"/>
        <w:bottom w:val="none" w:sz="0" w:space="0" w:color="auto"/>
        <w:right w:val="none" w:sz="0" w:space="0" w:color="auto"/>
      </w:divBdr>
    </w:div>
    <w:div w:id="857891159">
      <w:bodyDiv w:val="1"/>
      <w:marLeft w:val="0"/>
      <w:marRight w:val="0"/>
      <w:marTop w:val="0"/>
      <w:marBottom w:val="0"/>
      <w:divBdr>
        <w:top w:val="none" w:sz="0" w:space="0" w:color="auto"/>
        <w:left w:val="none" w:sz="0" w:space="0" w:color="auto"/>
        <w:bottom w:val="none" w:sz="0" w:space="0" w:color="auto"/>
        <w:right w:val="none" w:sz="0" w:space="0" w:color="auto"/>
      </w:divBdr>
    </w:div>
    <w:div w:id="858085783">
      <w:bodyDiv w:val="1"/>
      <w:marLeft w:val="0"/>
      <w:marRight w:val="0"/>
      <w:marTop w:val="0"/>
      <w:marBottom w:val="0"/>
      <w:divBdr>
        <w:top w:val="none" w:sz="0" w:space="0" w:color="auto"/>
        <w:left w:val="none" w:sz="0" w:space="0" w:color="auto"/>
        <w:bottom w:val="none" w:sz="0" w:space="0" w:color="auto"/>
        <w:right w:val="none" w:sz="0" w:space="0" w:color="auto"/>
      </w:divBdr>
    </w:div>
    <w:div w:id="858348211">
      <w:bodyDiv w:val="1"/>
      <w:marLeft w:val="0"/>
      <w:marRight w:val="0"/>
      <w:marTop w:val="0"/>
      <w:marBottom w:val="0"/>
      <w:divBdr>
        <w:top w:val="none" w:sz="0" w:space="0" w:color="auto"/>
        <w:left w:val="none" w:sz="0" w:space="0" w:color="auto"/>
        <w:bottom w:val="none" w:sz="0" w:space="0" w:color="auto"/>
        <w:right w:val="none" w:sz="0" w:space="0" w:color="auto"/>
      </w:divBdr>
    </w:div>
    <w:div w:id="858396916">
      <w:bodyDiv w:val="1"/>
      <w:marLeft w:val="0"/>
      <w:marRight w:val="0"/>
      <w:marTop w:val="0"/>
      <w:marBottom w:val="0"/>
      <w:divBdr>
        <w:top w:val="none" w:sz="0" w:space="0" w:color="auto"/>
        <w:left w:val="none" w:sz="0" w:space="0" w:color="auto"/>
        <w:bottom w:val="none" w:sz="0" w:space="0" w:color="auto"/>
        <w:right w:val="none" w:sz="0" w:space="0" w:color="auto"/>
      </w:divBdr>
    </w:div>
    <w:div w:id="858473367">
      <w:bodyDiv w:val="1"/>
      <w:marLeft w:val="0"/>
      <w:marRight w:val="0"/>
      <w:marTop w:val="0"/>
      <w:marBottom w:val="0"/>
      <w:divBdr>
        <w:top w:val="none" w:sz="0" w:space="0" w:color="auto"/>
        <w:left w:val="none" w:sz="0" w:space="0" w:color="auto"/>
        <w:bottom w:val="none" w:sz="0" w:space="0" w:color="auto"/>
        <w:right w:val="none" w:sz="0" w:space="0" w:color="auto"/>
      </w:divBdr>
    </w:div>
    <w:div w:id="858659727">
      <w:bodyDiv w:val="1"/>
      <w:marLeft w:val="0"/>
      <w:marRight w:val="0"/>
      <w:marTop w:val="0"/>
      <w:marBottom w:val="0"/>
      <w:divBdr>
        <w:top w:val="none" w:sz="0" w:space="0" w:color="auto"/>
        <w:left w:val="none" w:sz="0" w:space="0" w:color="auto"/>
        <w:bottom w:val="none" w:sz="0" w:space="0" w:color="auto"/>
        <w:right w:val="none" w:sz="0" w:space="0" w:color="auto"/>
      </w:divBdr>
    </w:div>
    <w:div w:id="858853212">
      <w:bodyDiv w:val="1"/>
      <w:marLeft w:val="0"/>
      <w:marRight w:val="0"/>
      <w:marTop w:val="0"/>
      <w:marBottom w:val="0"/>
      <w:divBdr>
        <w:top w:val="none" w:sz="0" w:space="0" w:color="auto"/>
        <w:left w:val="none" w:sz="0" w:space="0" w:color="auto"/>
        <w:bottom w:val="none" w:sz="0" w:space="0" w:color="auto"/>
        <w:right w:val="none" w:sz="0" w:space="0" w:color="auto"/>
      </w:divBdr>
    </w:div>
    <w:div w:id="859777778">
      <w:bodyDiv w:val="1"/>
      <w:marLeft w:val="0"/>
      <w:marRight w:val="0"/>
      <w:marTop w:val="0"/>
      <w:marBottom w:val="0"/>
      <w:divBdr>
        <w:top w:val="none" w:sz="0" w:space="0" w:color="auto"/>
        <w:left w:val="none" w:sz="0" w:space="0" w:color="auto"/>
        <w:bottom w:val="none" w:sz="0" w:space="0" w:color="auto"/>
        <w:right w:val="none" w:sz="0" w:space="0" w:color="auto"/>
      </w:divBdr>
    </w:div>
    <w:div w:id="859927533">
      <w:bodyDiv w:val="1"/>
      <w:marLeft w:val="0"/>
      <w:marRight w:val="0"/>
      <w:marTop w:val="0"/>
      <w:marBottom w:val="0"/>
      <w:divBdr>
        <w:top w:val="none" w:sz="0" w:space="0" w:color="auto"/>
        <w:left w:val="none" w:sz="0" w:space="0" w:color="auto"/>
        <w:bottom w:val="none" w:sz="0" w:space="0" w:color="auto"/>
        <w:right w:val="none" w:sz="0" w:space="0" w:color="auto"/>
      </w:divBdr>
    </w:div>
    <w:div w:id="860239358">
      <w:bodyDiv w:val="1"/>
      <w:marLeft w:val="0"/>
      <w:marRight w:val="0"/>
      <w:marTop w:val="0"/>
      <w:marBottom w:val="0"/>
      <w:divBdr>
        <w:top w:val="none" w:sz="0" w:space="0" w:color="auto"/>
        <w:left w:val="none" w:sz="0" w:space="0" w:color="auto"/>
        <w:bottom w:val="none" w:sz="0" w:space="0" w:color="auto"/>
        <w:right w:val="none" w:sz="0" w:space="0" w:color="auto"/>
      </w:divBdr>
    </w:div>
    <w:div w:id="860510303">
      <w:bodyDiv w:val="1"/>
      <w:marLeft w:val="0"/>
      <w:marRight w:val="0"/>
      <w:marTop w:val="0"/>
      <w:marBottom w:val="0"/>
      <w:divBdr>
        <w:top w:val="none" w:sz="0" w:space="0" w:color="auto"/>
        <w:left w:val="none" w:sz="0" w:space="0" w:color="auto"/>
        <w:bottom w:val="none" w:sz="0" w:space="0" w:color="auto"/>
        <w:right w:val="none" w:sz="0" w:space="0" w:color="auto"/>
      </w:divBdr>
    </w:div>
    <w:div w:id="860825897">
      <w:bodyDiv w:val="1"/>
      <w:marLeft w:val="0"/>
      <w:marRight w:val="0"/>
      <w:marTop w:val="0"/>
      <w:marBottom w:val="0"/>
      <w:divBdr>
        <w:top w:val="none" w:sz="0" w:space="0" w:color="auto"/>
        <w:left w:val="none" w:sz="0" w:space="0" w:color="auto"/>
        <w:bottom w:val="none" w:sz="0" w:space="0" w:color="auto"/>
        <w:right w:val="none" w:sz="0" w:space="0" w:color="auto"/>
      </w:divBdr>
    </w:div>
    <w:div w:id="861279997">
      <w:bodyDiv w:val="1"/>
      <w:marLeft w:val="0"/>
      <w:marRight w:val="0"/>
      <w:marTop w:val="0"/>
      <w:marBottom w:val="0"/>
      <w:divBdr>
        <w:top w:val="none" w:sz="0" w:space="0" w:color="auto"/>
        <w:left w:val="none" w:sz="0" w:space="0" w:color="auto"/>
        <w:bottom w:val="none" w:sz="0" w:space="0" w:color="auto"/>
        <w:right w:val="none" w:sz="0" w:space="0" w:color="auto"/>
      </w:divBdr>
    </w:div>
    <w:div w:id="861477253">
      <w:bodyDiv w:val="1"/>
      <w:marLeft w:val="0"/>
      <w:marRight w:val="0"/>
      <w:marTop w:val="0"/>
      <w:marBottom w:val="0"/>
      <w:divBdr>
        <w:top w:val="none" w:sz="0" w:space="0" w:color="auto"/>
        <w:left w:val="none" w:sz="0" w:space="0" w:color="auto"/>
        <w:bottom w:val="none" w:sz="0" w:space="0" w:color="auto"/>
        <w:right w:val="none" w:sz="0" w:space="0" w:color="auto"/>
      </w:divBdr>
    </w:div>
    <w:div w:id="861672677">
      <w:bodyDiv w:val="1"/>
      <w:marLeft w:val="0"/>
      <w:marRight w:val="0"/>
      <w:marTop w:val="0"/>
      <w:marBottom w:val="0"/>
      <w:divBdr>
        <w:top w:val="none" w:sz="0" w:space="0" w:color="auto"/>
        <w:left w:val="none" w:sz="0" w:space="0" w:color="auto"/>
        <w:bottom w:val="none" w:sz="0" w:space="0" w:color="auto"/>
        <w:right w:val="none" w:sz="0" w:space="0" w:color="auto"/>
      </w:divBdr>
    </w:div>
    <w:div w:id="862402106">
      <w:bodyDiv w:val="1"/>
      <w:marLeft w:val="0"/>
      <w:marRight w:val="0"/>
      <w:marTop w:val="0"/>
      <w:marBottom w:val="0"/>
      <w:divBdr>
        <w:top w:val="none" w:sz="0" w:space="0" w:color="auto"/>
        <w:left w:val="none" w:sz="0" w:space="0" w:color="auto"/>
        <w:bottom w:val="none" w:sz="0" w:space="0" w:color="auto"/>
        <w:right w:val="none" w:sz="0" w:space="0" w:color="auto"/>
      </w:divBdr>
    </w:div>
    <w:div w:id="862790525">
      <w:bodyDiv w:val="1"/>
      <w:marLeft w:val="0"/>
      <w:marRight w:val="0"/>
      <w:marTop w:val="0"/>
      <w:marBottom w:val="0"/>
      <w:divBdr>
        <w:top w:val="none" w:sz="0" w:space="0" w:color="auto"/>
        <w:left w:val="none" w:sz="0" w:space="0" w:color="auto"/>
        <w:bottom w:val="none" w:sz="0" w:space="0" w:color="auto"/>
        <w:right w:val="none" w:sz="0" w:space="0" w:color="auto"/>
      </w:divBdr>
    </w:div>
    <w:div w:id="863129371">
      <w:bodyDiv w:val="1"/>
      <w:marLeft w:val="0"/>
      <w:marRight w:val="0"/>
      <w:marTop w:val="0"/>
      <w:marBottom w:val="0"/>
      <w:divBdr>
        <w:top w:val="none" w:sz="0" w:space="0" w:color="auto"/>
        <w:left w:val="none" w:sz="0" w:space="0" w:color="auto"/>
        <w:bottom w:val="none" w:sz="0" w:space="0" w:color="auto"/>
        <w:right w:val="none" w:sz="0" w:space="0" w:color="auto"/>
      </w:divBdr>
    </w:div>
    <w:div w:id="863131624">
      <w:bodyDiv w:val="1"/>
      <w:marLeft w:val="0"/>
      <w:marRight w:val="0"/>
      <w:marTop w:val="0"/>
      <w:marBottom w:val="0"/>
      <w:divBdr>
        <w:top w:val="none" w:sz="0" w:space="0" w:color="auto"/>
        <w:left w:val="none" w:sz="0" w:space="0" w:color="auto"/>
        <w:bottom w:val="none" w:sz="0" w:space="0" w:color="auto"/>
        <w:right w:val="none" w:sz="0" w:space="0" w:color="auto"/>
      </w:divBdr>
    </w:div>
    <w:div w:id="863248412">
      <w:bodyDiv w:val="1"/>
      <w:marLeft w:val="0"/>
      <w:marRight w:val="0"/>
      <w:marTop w:val="0"/>
      <w:marBottom w:val="0"/>
      <w:divBdr>
        <w:top w:val="none" w:sz="0" w:space="0" w:color="auto"/>
        <w:left w:val="none" w:sz="0" w:space="0" w:color="auto"/>
        <w:bottom w:val="none" w:sz="0" w:space="0" w:color="auto"/>
        <w:right w:val="none" w:sz="0" w:space="0" w:color="auto"/>
      </w:divBdr>
    </w:div>
    <w:div w:id="863716830">
      <w:bodyDiv w:val="1"/>
      <w:marLeft w:val="0"/>
      <w:marRight w:val="0"/>
      <w:marTop w:val="0"/>
      <w:marBottom w:val="0"/>
      <w:divBdr>
        <w:top w:val="none" w:sz="0" w:space="0" w:color="auto"/>
        <w:left w:val="none" w:sz="0" w:space="0" w:color="auto"/>
        <w:bottom w:val="none" w:sz="0" w:space="0" w:color="auto"/>
        <w:right w:val="none" w:sz="0" w:space="0" w:color="auto"/>
      </w:divBdr>
    </w:div>
    <w:div w:id="864027073">
      <w:bodyDiv w:val="1"/>
      <w:marLeft w:val="0"/>
      <w:marRight w:val="0"/>
      <w:marTop w:val="0"/>
      <w:marBottom w:val="0"/>
      <w:divBdr>
        <w:top w:val="none" w:sz="0" w:space="0" w:color="auto"/>
        <w:left w:val="none" w:sz="0" w:space="0" w:color="auto"/>
        <w:bottom w:val="none" w:sz="0" w:space="0" w:color="auto"/>
        <w:right w:val="none" w:sz="0" w:space="0" w:color="auto"/>
      </w:divBdr>
    </w:div>
    <w:div w:id="864250291">
      <w:bodyDiv w:val="1"/>
      <w:marLeft w:val="0"/>
      <w:marRight w:val="0"/>
      <w:marTop w:val="0"/>
      <w:marBottom w:val="0"/>
      <w:divBdr>
        <w:top w:val="none" w:sz="0" w:space="0" w:color="auto"/>
        <w:left w:val="none" w:sz="0" w:space="0" w:color="auto"/>
        <w:bottom w:val="none" w:sz="0" w:space="0" w:color="auto"/>
        <w:right w:val="none" w:sz="0" w:space="0" w:color="auto"/>
      </w:divBdr>
    </w:div>
    <w:div w:id="864294199">
      <w:bodyDiv w:val="1"/>
      <w:marLeft w:val="0"/>
      <w:marRight w:val="0"/>
      <w:marTop w:val="0"/>
      <w:marBottom w:val="0"/>
      <w:divBdr>
        <w:top w:val="none" w:sz="0" w:space="0" w:color="auto"/>
        <w:left w:val="none" w:sz="0" w:space="0" w:color="auto"/>
        <w:bottom w:val="none" w:sz="0" w:space="0" w:color="auto"/>
        <w:right w:val="none" w:sz="0" w:space="0" w:color="auto"/>
      </w:divBdr>
    </w:div>
    <w:div w:id="864639018">
      <w:bodyDiv w:val="1"/>
      <w:marLeft w:val="0"/>
      <w:marRight w:val="0"/>
      <w:marTop w:val="0"/>
      <w:marBottom w:val="0"/>
      <w:divBdr>
        <w:top w:val="none" w:sz="0" w:space="0" w:color="auto"/>
        <w:left w:val="none" w:sz="0" w:space="0" w:color="auto"/>
        <w:bottom w:val="none" w:sz="0" w:space="0" w:color="auto"/>
        <w:right w:val="none" w:sz="0" w:space="0" w:color="auto"/>
      </w:divBdr>
    </w:div>
    <w:div w:id="864950590">
      <w:bodyDiv w:val="1"/>
      <w:marLeft w:val="0"/>
      <w:marRight w:val="0"/>
      <w:marTop w:val="0"/>
      <w:marBottom w:val="0"/>
      <w:divBdr>
        <w:top w:val="none" w:sz="0" w:space="0" w:color="auto"/>
        <w:left w:val="none" w:sz="0" w:space="0" w:color="auto"/>
        <w:bottom w:val="none" w:sz="0" w:space="0" w:color="auto"/>
        <w:right w:val="none" w:sz="0" w:space="0" w:color="auto"/>
      </w:divBdr>
    </w:div>
    <w:div w:id="864951102">
      <w:bodyDiv w:val="1"/>
      <w:marLeft w:val="0"/>
      <w:marRight w:val="0"/>
      <w:marTop w:val="0"/>
      <w:marBottom w:val="0"/>
      <w:divBdr>
        <w:top w:val="none" w:sz="0" w:space="0" w:color="auto"/>
        <w:left w:val="none" w:sz="0" w:space="0" w:color="auto"/>
        <w:bottom w:val="none" w:sz="0" w:space="0" w:color="auto"/>
        <w:right w:val="none" w:sz="0" w:space="0" w:color="auto"/>
      </w:divBdr>
    </w:div>
    <w:div w:id="865369320">
      <w:bodyDiv w:val="1"/>
      <w:marLeft w:val="0"/>
      <w:marRight w:val="0"/>
      <w:marTop w:val="0"/>
      <w:marBottom w:val="0"/>
      <w:divBdr>
        <w:top w:val="none" w:sz="0" w:space="0" w:color="auto"/>
        <w:left w:val="none" w:sz="0" w:space="0" w:color="auto"/>
        <w:bottom w:val="none" w:sz="0" w:space="0" w:color="auto"/>
        <w:right w:val="none" w:sz="0" w:space="0" w:color="auto"/>
      </w:divBdr>
    </w:div>
    <w:div w:id="865756618">
      <w:bodyDiv w:val="1"/>
      <w:marLeft w:val="0"/>
      <w:marRight w:val="0"/>
      <w:marTop w:val="0"/>
      <w:marBottom w:val="0"/>
      <w:divBdr>
        <w:top w:val="none" w:sz="0" w:space="0" w:color="auto"/>
        <w:left w:val="none" w:sz="0" w:space="0" w:color="auto"/>
        <w:bottom w:val="none" w:sz="0" w:space="0" w:color="auto"/>
        <w:right w:val="none" w:sz="0" w:space="0" w:color="auto"/>
      </w:divBdr>
    </w:div>
    <w:div w:id="865947722">
      <w:bodyDiv w:val="1"/>
      <w:marLeft w:val="0"/>
      <w:marRight w:val="0"/>
      <w:marTop w:val="0"/>
      <w:marBottom w:val="0"/>
      <w:divBdr>
        <w:top w:val="none" w:sz="0" w:space="0" w:color="auto"/>
        <w:left w:val="none" w:sz="0" w:space="0" w:color="auto"/>
        <w:bottom w:val="none" w:sz="0" w:space="0" w:color="auto"/>
        <w:right w:val="none" w:sz="0" w:space="0" w:color="auto"/>
      </w:divBdr>
    </w:div>
    <w:div w:id="866871670">
      <w:bodyDiv w:val="1"/>
      <w:marLeft w:val="0"/>
      <w:marRight w:val="0"/>
      <w:marTop w:val="0"/>
      <w:marBottom w:val="0"/>
      <w:divBdr>
        <w:top w:val="none" w:sz="0" w:space="0" w:color="auto"/>
        <w:left w:val="none" w:sz="0" w:space="0" w:color="auto"/>
        <w:bottom w:val="none" w:sz="0" w:space="0" w:color="auto"/>
        <w:right w:val="none" w:sz="0" w:space="0" w:color="auto"/>
      </w:divBdr>
    </w:div>
    <w:div w:id="867335212">
      <w:bodyDiv w:val="1"/>
      <w:marLeft w:val="0"/>
      <w:marRight w:val="0"/>
      <w:marTop w:val="0"/>
      <w:marBottom w:val="0"/>
      <w:divBdr>
        <w:top w:val="none" w:sz="0" w:space="0" w:color="auto"/>
        <w:left w:val="none" w:sz="0" w:space="0" w:color="auto"/>
        <w:bottom w:val="none" w:sz="0" w:space="0" w:color="auto"/>
        <w:right w:val="none" w:sz="0" w:space="0" w:color="auto"/>
      </w:divBdr>
    </w:div>
    <w:div w:id="867453835">
      <w:bodyDiv w:val="1"/>
      <w:marLeft w:val="0"/>
      <w:marRight w:val="0"/>
      <w:marTop w:val="0"/>
      <w:marBottom w:val="0"/>
      <w:divBdr>
        <w:top w:val="none" w:sz="0" w:space="0" w:color="auto"/>
        <w:left w:val="none" w:sz="0" w:space="0" w:color="auto"/>
        <w:bottom w:val="none" w:sz="0" w:space="0" w:color="auto"/>
        <w:right w:val="none" w:sz="0" w:space="0" w:color="auto"/>
      </w:divBdr>
    </w:div>
    <w:div w:id="867719130">
      <w:bodyDiv w:val="1"/>
      <w:marLeft w:val="0"/>
      <w:marRight w:val="0"/>
      <w:marTop w:val="0"/>
      <w:marBottom w:val="0"/>
      <w:divBdr>
        <w:top w:val="none" w:sz="0" w:space="0" w:color="auto"/>
        <w:left w:val="none" w:sz="0" w:space="0" w:color="auto"/>
        <w:bottom w:val="none" w:sz="0" w:space="0" w:color="auto"/>
        <w:right w:val="none" w:sz="0" w:space="0" w:color="auto"/>
      </w:divBdr>
    </w:div>
    <w:div w:id="867720561">
      <w:bodyDiv w:val="1"/>
      <w:marLeft w:val="0"/>
      <w:marRight w:val="0"/>
      <w:marTop w:val="0"/>
      <w:marBottom w:val="0"/>
      <w:divBdr>
        <w:top w:val="none" w:sz="0" w:space="0" w:color="auto"/>
        <w:left w:val="none" w:sz="0" w:space="0" w:color="auto"/>
        <w:bottom w:val="none" w:sz="0" w:space="0" w:color="auto"/>
        <w:right w:val="none" w:sz="0" w:space="0" w:color="auto"/>
      </w:divBdr>
    </w:div>
    <w:div w:id="868449480">
      <w:bodyDiv w:val="1"/>
      <w:marLeft w:val="0"/>
      <w:marRight w:val="0"/>
      <w:marTop w:val="0"/>
      <w:marBottom w:val="0"/>
      <w:divBdr>
        <w:top w:val="none" w:sz="0" w:space="0" w:color="auto"/>
        <w:left w:val="none" w:sz="0" w:space="0" w:color="auto"/>
        <w:bottom w:val="none" w:sz="0" w:space="0" w:color="auto"/>
        <w:right w:val="none" w:sz="0" w:space="0" w:color="auto"/>
      </w:divBdr>
    </w:div>
    <w:div w:id="868641510">
      <w:bodyDiv w:val="1"/>
      <w:marLeft w:val="0"/>
      <w:marRight w:val="0"/>
      <w:marTop w:val="0"/>
      <w:marBottom w:val="0"/>
      <w:divBdr>
        <w:top w:val="none" w:sz="0" w:space="0" w:color="auto"/>
        <w:left w:val="none" w:sz="0" w:space="0" w:color="auto"/>
        <w:bottom w:val="none" w:sz="0" w:space="0" w:color="auto"/>
        <w:right w:val="none" w:sz="0" w:space="0" w:color="auto"/>
      </w:divBdr>
    </w:div>
    <w:div w:id="868683368">
      <w:bodyDiv w:val="1"/>
      <w:marLeft w:val="0"/>
      <w:marRight w:val="0"/>
      <w:marTop w:val="0"/>
      <w:marBottom w:val="0"/>
      <w:divBdr>
        <w:top w:val="none" w:sz="0" w:space="0" w:color="auto"/>
        <w:left w:val="none" w:sz="0" w:space="0" w:color="auto"/>
        <w:bottom w:val="none" w:sz="0" w:space="0" w:color="auto"/>
        <w:right w:val="none" w:sz="0" w:space="0" w:color="auto"/>
      </w:divBdr>
    </w:div>
    <w:div w:id="868880958">
      <w:bodyDiv w:val="1"/>
      <w:marLeft w:val="0"/>
      <w:marRight w:val="0"/>
      <w:marTop w:val="0"/>
      <w:marBottom w:val="0"/>
      <w:divBdr>
        <w:top w:val="none" w:sz="0" w:space="0" w:color="auto"/>
        <w:left w:val="none" w:sz="0" w:space="0" w:color="auto"/>
        <w:bottom w:val="none" w:sz="0" w:space="0" w:color="auto"/>
        <w:right w:val="none" w:sz="0" w:space="0" w:color="auto"/>
      </w:divBdr>
    </w:div>
    <w:div w:id="868949331">
      <w:bodyDiv w:val="1"/>
      <w:marLeft w:val="0"/>
      <w:marRight w:val="0"/>
      <w:marTop w:val="0"/>
      <w:marBottom w:val="0"/>
      <w:divBdr>
        <w:top w:val="none" w:sz="0" w:space="0" w:color="auto"/>
        <w:left w:val="none" w:sz="0" w:space="0" w:color="auto"/>
        <w:bottom w:val="none" w:sz="0" w:space="0" w:color="auto"/>
        <w:right w:val="none" w:sz="0" w:space="0" w:color="auto"/>
      </w:divBdr>
    </w:div>
    <w:div w:id="869147221">
      <w:bodyDiv w:val="1"/>
      <w:marLeft w:val="0"/>
      <w:marRight w:val="0"/>
      <w:marTop w:val="0"/>
      <w:marBottom w:val="0"/>
      <w:divBdr>
        <w:top w:val="none" w:sz="0" w:space="0" w:color="auto"/>
        <w:left w:val="none" w:sz="0" w:space="0" w:color="auto"/>
        <w:bottom w:val="none" w:sz="0" w:space="0" w:color="auto"/>
        <w:right w:val="none" w:sz="0" w:space="0" w:color="auto"/>
      </w:divBdr>
    </w:div>
    <w:div w:id="869150298">
      <w:bodyDiv w:val="1"/>
      <w:marLeft w:val="0"/>
      <w:marRight w:val="0"/>
      <w:marTop w:val="0"/>
      <w:marBottom w:val="0"/>
      <w:divBdr>
        <w:top w:val="none" w:sz="0" w:space="0" w:color="auto"/>
        <w:left w:val="none" w:sz="0" w:space="0" w:color="auto"/>
        <w:bottom w:val="none" w:sz="0" w:space="0" w:color="auto"/>
        <w:right w:val="none" w:sz="0" w:space="0" w:color="auto"/>
      </w:divBdr>
    </w:div>
    <w:div w:id="869489586">
      <w:bodyDiv w:val="1"/>
      <w:marLeft w:val="0"/>
      <w:marRight w:val="0"/>
      <w:marTop w:val="0"/>
      <w:marBottom w:val="0"/>
      <w:divBdr>
        <w:top w:val="none" w:sz="0" w:space="0" w:color="auto"/>
        <w:left w:val="none" w:sz="0" w:space="0" w:color="auto"/>
        <w:bottom w:val="none" w:sz="0" w:space="0" w:color="auto"/>
        <w:right w:val="none" w:sz="0" w:space="0" w:color="auto"/>
      </w:divBdr>
    </w:div>
    <w:div w:id="869533789">
      <w:bodyDiv w:val="1"/>
      <w:marLeft w:val="0"/>
      <w:marRight w:val="0"/>
      <w:marTop w:val="0"/>
      <w:marBottom w:val="0"/>
      <w:divBdr>
        <w:top w:val="none" w:sz="0" w:space="0" w:color="auto"/>
        <w:left w:val="none" w:sz="0" w:space="0" w:color="auto"/>
        <w:bottom w:val="none" w:sz="0" w:space="0" w:color="auto"/>
        <w:right w:val="none" w:sz="0" w:space="0" w:color="auto"/>
      </w:divBdr>
    </w:div>
    <w:div w:id="869800838">
      <w:bodyDiv w:val="1"/>
      <w:marLeft w:val="0"/>
      <w:marRight w:val="0"/>
      <w:marTop w:val="0"/>
      <w:marBottom w:val="0"/>
      <w:divBdr>
        <w:top w:val="none" w:sz="0" w:space="0" w:color="auto"/>
        <w:left w:val="none" w:sz="0" w:space="0" w:color="auto"/>
        <w:bottom w:val="none" w:sz="0" w:space="0" w:color="auto"/>
        <w:right w:val="none" w:sz="0" w:space="0" w:color="auto"/>
      </w:divBdr>
    </w:div>
    <w:div w:id="869802450">
      <w:bodyDiv w:val="1"/>
      <w:marLeft w:val="0"/>
      <w:marRight w:val="0"/>
      <w:marTop w:val="0"/>
      <w:marBottom w:val="0"/>
      <w:divBdr>
        <w:top w:val="none" w:sz="0" w:space="0" w:color="auto"/>
        <w:left w:val="none" w:sz="0" w:space="0" w:color="auto"/>
        <w:bottom w:val="none" w:sz="0" w:space="0" w:color="auto"/>
        <w:right w:val="none" w:sz="0" w:space="0" w:color="auto"/>
      </w:divBdr>
    </w:div>
    <w:div w:id="869878868">
      <w:bodyDiv w:val="1"/>
      <w:marLeft w:val="0"/>
      <w:marRight w:val="0"/>
      <w:marTop w:val="0"/>
      <w:marBottom w:val="0"/>
      <w:divBdr>
        <w:top w:val="none" w:sz="0" w:space="0" w:color="auto"/>
        <w:left w:val="none" w:sz="0" w:space="0" w:color="auto"/>
        <w:bottom w:val="none" w:sz="0" w:space="0" w:color="auto"/>
        <w:right w:val="none" w:sz="0" w:space="0" w:color="auto"/>
      </w:divBdr>
    </w:div>
    <w:div w:id="870067746">
      <w:bodyDiv w:val="1"/>
      <w:marLeft w:val="0"/>
      <w:marRight w:val="0"/>
      <w:marTop w:val="0"/>
      <w:marBottom w:val="0"/>
      <w:divBdr>
        <w:top w:val="none" w:sz="0" w:space="0" w:color="auto"/>
        <w:left w:val="none" w:sz="0" w:space="0" w:color="auto"/>
        <w:bottom w:val="none" w:sz="0" w:space="0" w:color="auto"/>
        <w:right w:val="none" w:sz="0" w:space="0" w:color="auto"/>
      </w:divBdr>
    </w:div>
    <w:div w:id="870145429">
      <w:bodyDiv w:val="1"/>
      <w:marLeft w:val="0"/>
      <w:marRight w:val="0"/>
      <w:marTop w:val="0"/>
      <w:marBottom w:val="0"/>
      <w:divBdr>
        <w:top w:val="none" w:sz="0" w:space="0" w:color="auto"/>
        <w:left w:val="none" w:sz="0" w:space="0" w:color="auto"/>
        <w:bottom w:val="none" w:sz="0" w:space="0" w:color="auto"/>
        <w:right w:val="none" w:sz="0" w:space="0" w:color="auto"/>
      </w:divBdr>
    </w:div>
    <w:div w:id="870454511">
      <w:bodyDiv w:val="1"/>
      <w:marLeft w:val="0"/>
      <w:marRight w:val="0"/>
      <w:marTop w:val="0"/>
      <w:marBottom w:val="0"/>
      <w:divBdr>
        <w:top w:val="none" w:sz="0" w:space="0" w:color="auto"/>
        <w:left w:val="none" w:sz="0" w:space="0" w:color="auto"/>
        <w:bottom w:val="none" w:sz="0" w:space="0" w:color="auto"/>
        <w:right w:val="none" w:sz="0" w:space="0" w:color="auto"/>
      </w:divBdr>
    </w:div>
    <w:div w:id="870459209">
      <w:bodyDiv w:val="1"/>
      <w:marLeft w:val="0"/>
      <w:marRight w:val="0"/>
      <w:marTop w:val="0"/>
      <w:marBottom w:val="0"/>
      <w:divBdr>
        <w:top w:val="none" w:sz="0" w:space="0" w:color="auto"/>
        <w:left w:val="none" w:sz="0" w:space="0" w:color="auto"/>
        <w:bottom w:val="none" w:sz="0" w:space="0" w:color="auto"/>
        <w:right w:val="none" w:sz="0" w:space="0" w:color="auto"/>
      </w:divBdr>
    </w:div>
    <w:div w:id="870844885">
      <w:bodyDiv w:val="1"/>
      <w:marLeft w:val="0"/>
      <w:marRight w:val="0"/>
      <w:marTop w:val="0"/>
      <w:marBottom w:val="0"/>
      <w:divBdr>
        <w:top w:val="none" w:sz="0" w:space="0" w:color="auto"/>
        <w:left w:val="none" w:sz="0" w:space="0" w:color="auto"/>
        <w:bottom w:val="none" w:sz="0" w:space="0" w:color="auto"/>
        <w:right w:val="none" w:sz="0" w:space="0" w:color="auto"/>
      </w:divBdr>
    </w:div>
    <w:div w:id="871042215">
      <w:bodyDiv w:val="1"/>
      <w:marLeft w:val="0"/>
      <w:marRight w:val="0"/>
      <w:marTop w:val="0"/>
      <w:marBottom w:val="0"/>
      <w:divBdr>
        <w:top w:val="none" w:sz="0" w:space="0" w:color="auto"/>
        <w:left w:val="none" w:sz="0" w:space="0" w:color="auto"/>
        <w:bottom w:val="none" w:sz="0" w:space="0" w:color="auto"/>
        <w:right w:val="none" w:sz="0" w:space="0" w:color="auto"/>
      </w:divBdr>
    </w:div>
    <w:div w:id="871650298">
      <w:bodyDiv w:val="1"/>
      <w:marLeft w:val="0"/>
      <w:marRight w:val="0"/>
      <w:marTop w:val="0"/>
      <w:marBottom w:val="0"/>
      <w:divBdr>
        <w:top w:val="none" w:sz="0" w:space="0" w:color="auto"/>
        <w:left w:val="none" w:sz="0" w:space="0" w:color="auto"/>
        <w:bottom w:val="none" w:sz="0" w:space="0" w:color="auto"/>
        <w:right w:val="none" w:sz="0" w:space="0" w:color="auto"/>
      </w:divBdr>
    </w:div>
    <w:div w:id="871918843">
      <w:bodyDiv w:val="1"/>
      <w:marLeft w:val="0"/>
      <w:marRight w:val="0"/>
      <w:marTop w:val="0"/>
      <w:marBottom w:val="0"/>
      <w:divBdr>
        <w:top w:val="none" w:sz="0" w:space="0" w:color="auto"/>
        <w:left w:val="none" w:sz="0" w:space="0" w:color="auto"/>
        <w:bottom w:val="none" w:sz="0" w:space="0" w:color="auto"/>
        <w:right w:val="none" w:sz="0" w:space="0" w:color="auto"/>
      </w:divBdr>
    </w:div>
    <w:div w:id="871966550">
      <w:bodyDiv w:val="1"/>
      <w:marLeft w:val="0"/>
      <w:marRight w:val="0"/>
      <w:marTop w:val="0"/>
      <w:marBottom w:val="0"/>
      <w:divBdr>
        <w:top w:val="none" w:sz="0" w:space="0" w:color="auto"/>
        <w:left w:val="none" w:sz="0" w:space="0" w:color="auto"/>
        <w:bottom w:val="none" w:sz="0" w:space="0" w:color="auto"/>
        <w:right w:val="none" w:sz="0" w:space="0" w:color="auto"/>
      </w:divBdr>
    </w:div>
    <w:div w:id="872303199">
      <w:bodyDiv w:val="1"/>
      <w:marLeft w:val="0"/>
      <w:marRight w:val="0"/>
      <w:marTop w:val="0"/>
      <w:marBottom w:val="0"/>
      <w:divBdr>
        <w:top w:val="none" w:sz="0" w:space="0" w:color="auto"/>
        <w:left w:val="none" w:sz="0" w:space="0" w:color="auto"/>
        <w:bottom w:val="none" w:sz="0" w:space="0" w:color="auto"/>
        <w:right w:val="none" w:sz="0" w:space="0" w:color="auto"/>
      </w:divBdr>
    </w:div>
    <w:div w:id="872811792">
      <w:bodyDiv w:val="1"/>
      <w:marLeft w:val="0"/>
      <w:marRight w:val="0"/>
      <w:marTop w:val="0"/>
      <w:marBottom w:val="0"/>
      <w:divBdr>
        <w:top w:val="none" w:sz="0" w:space="0" w:color="auto"/>
        <w:left w:val="none" w:sz="0" w:space="0" w:color="auto"/>
        <w:bottom w:val="none" w:sz="0" w:space="0" w:color="auto"/>
        <w:right w:val="none" w:sz="0" w:space="0" w:color="auto"/>
      </w:divBdr>
    </w:div>
    <w:div w:id="873079521">
      <w:bodyDiv w:val="1"/>
      <w:marLeft w:val="0"/>
      <w:marRight w:val="0"/>
      <w:marTop w:val="0"/>
      <w:marBottom w:val="0"/>
      <w:divBdr>
        <w:top w:val="none" w:sz="0" w:space="0" w:color="auto"/>
        <w:left w:val="none" w:sz="0" w:space="0" w:color="auto"/>
        <w:bottom w:val="none" w:sz="0" w:space="0" w:color="auto"/>
        <w:right w:val="none" w:sz="0" w:space="0" w:color="auto"/>
      </w:divBdr>
    </w:div>
    <w:div w:id="873736426">
      <w:bodyDiv w:val="1"/>
      <w:marLeft w:val="0"/>
      <w:marRight w:val="0"/>
      <w:marTop w:val="0"/>
      <w:marBottom w:val="0"/>
      <w:divBdr>
        <w:top w:val="none" w:sz="0" w:space="0" w:color="auto"/>
        <w:left w:val="none" w:sz="0" w:space="0" w:color="auto"/>
        <w:bottom w:val="none" w:sz="0" w:space="0" w:color="auto"/>
        <w:right w:val="none" w:sz="0" w:space="0" w:color="auto"/>
      </w:divBdr>
    </w:div>
    <w:div w:id="874076559">
      <w:bodyDiv w:val="1"/>
      <w:marLeft w:val="0"/>
      <w:marRight w:val="0"/>
      <w:marTop w:val="0"/>
      <w:marBottom w:val="0"/>
      <w:divBdr>
        <w:top w:val="none" w:sz="0" w:space="0" w:color="auto"/>
        <w:left w:val="none" w:sz="0" w:space="0" w:color="auto"/>
        <w:bottom w:val="none" w:sz="0" w:space="0" w:color="auto"/>
        <w:right w:val="none" w:sz="0" w:space="0" w:color="auto"/>
      </w:divBdr>
    </w:div>
    <w:div w:id="874579044">
      <w:bodyDiv w:val="1"/>
      <w:marLeft w:val="0"/>
      <w:marRight w:val="0"/>
      <w:marTop w:val="0"/>
      <w:marBottom w:val="0"/>
      <w:divBdr>
        <w:top w:val="none" w:sz="0" w:space="0" w:color="auto"/>
        <w:left w:val="none" w:sz="0" w:space="0" w:color="auto"/>
        <w:bottom w:val="none" w:sz="0" w:space="0" w:color="auto"/>
        <w:right w:val="none" w:sz="0" w:space="0" w:color="auto"/>
      </w:divBdr>
    </w:div>
    <w:div w:id="875198705">
      <w:bodyDiv w:val="1"/>
      <w:marLeft w:val="0"/>
      <w:marRight w:val="0"/>
      <w:marTop w:val="0"/>
      <w:marBottom w:val="0"/>
      <w:divBdr>
        <w:top w:val="none" w:sz="0" w:space="0" w:color="auto"/>
        <w:left w:val="none" w:sz="0" w:space="0" w:color="auto"/>
        <w:bottom w:val="none" w:sz="0" w:space="0" w:color="auto"/>
        <w:right w:val="none" w:sz="0" w:space="0" w:color="auto"/>
      </w:divBdr>
    </w:div>
    <w:div w:id="875310762">
      <w:bodyDiv w:val="1"/>
      <w:marLeft w:val="0"/>
      <w:marRight w:val="0"/>
      <w:marTop w:val="0"/>
      <w:marBottom w:val="0"/>
      <w:divBdr>
        <w:top w:val="none" w:sz="0" w:space="0" w:color="auto"/>
        <w:left w:val="none" w:sz="0" w:space="0" w:color="auto"/>
        <w:bottom w:val="none" w:sz="0" w:space="0" w:color="auto"/>
        <w:right w:val="none" w:sz="0" w:space="0" w:color="auto"/>
      </w:divBdr>
    </w:div>
    <w:div w:id="875658688">
      <w:bodyDiv w:val="1"/>
      <w:marLeft w:val="0"/>
      <w:marRight w:val="0"/>
      <w:marTop w:val="0"/>
      <w:marBottom w:val="0"/>
      <w:divBdr>
        <w:top w:val="none" w:sz="0" w:space="0" w:color="auto"/>
        <w:left w:val="none" w:sz="0" w:space="0" w:color="auto"/>
        <w:bottom w:val="none" w:sz="0" w:space="0" w:color="auto"/>
        <w:right w:val="none" w:sz="0" w:space="0" w:color="auto"/>
      </w:divBdr>
    </w:div>
    <w:div w:id="876507137">
      <w:bodyDiv w:val="1"/>
      <w:marLeft w:val="0"/>
      <w:marRight w:val="0"/>
      <w:marTop w:val="0"/>
      <w:marBottom w:val="0"/>
      <w:divBdr>
        <w:top w:val="none" w:sz="0" w:space="0" w:color="auto"/>
        <w:left w:val="none" w:sz="0" w:space="0" w:color="auto"/>
        <w:bottom w:val="none" w:sz="0" w:space="0" w:color="auto"/>
        <w:right w:val="none" w:sz="0" w:space="0" w:color="auto"/>
      </w:divBdr>
    </w:div>
    <w:div w:id="876772190">
      <w:bodyDiv w:val="1"/>
      <w:marLeft w:val="0"/>
      <w:marRight w:val="0"/>
      <w:marTop w:val="0"/>
      <w:marBottom w:val="0"/>
      <w:divBdr>
        <w:top w:val="none" w:sz="0" w:space="0" w:color="auto"/>
        <w:left w:val="none" w:sz="0" w:space="0" w:color="auto"/>
        <w:bottom w:val="none" w:sz="0" w:space="0" w:color="auto"/>
        <w:right w:val="none" w:sz="0" w:space="0" w:color="auto"/>
      </w:divBdr>
    </w:div>
    <w:div w:id="876896938">
      <w:bodyDiv w:val="1"/>
      <w:marLeft w:val="0"/>
      <w:marRight w:val="0"/>
      <w:marTop w:val="0"/>
      <w:marBottom w:val="0"/>
      <w:divBdr>
        <w:top w:val="none" w:sz="0" w:space="0" w:color="auto"/>
        <w:left w:val="none" w:sz="0" w:space="0" w:color="auto"/>
        <w:bottom w:val="none" w:sz="0" w:space="0" w:color="auto"/>
        <w:right w:val="none" w:sz="0" w:space="0" w:color="auto"/>
      </w:divBdr>
    </w:div>
    <w:div w:id="876940285">
      <w:bodyDiv w:val="1"/>
      <w:marLeft w:val="0"/>
      <w:marRight w:val="0"/>
      <w:marTop w:val="0"/>
      <w:marBottom w:val="0"/>
      <w:divBdr>
        <w:top w:val="none" w:sz="0" w:space="0" w:color="auto"/>
        <w:left w:val="none" w:sz="0" w:space="0" w:color="auto"/>
        <w:bottom w:val="none" w:sz="0" w:space="0" w:color="auto"/>
        <w:right w:val="none" w:sz="0" w:space="0" w:color="auto"/>
      </w:divBdr>
    </w:div>
    <w:div w:id="877081839">
      <w:bodyDiv w:val="1"/>
      <w:marLeft w:val="0"/>
      <w:marRight w:val="0"/>
      <w:marTop w:val="0"/>
      <w:marBottom w:val="0"/>
      <w:divBdr>
        <w:top w:val="none" w:sz="0" w:space="0" w:color="auto"/>
        <w:left w:val="none" w:sz="0" w:space="0" w:color="auto"/>
        <w:bottom w:val="none" w:sz="0" w:space="0" w:color="auto"/>
        <w:right w:val="none" w:sz="0" w:space="0" w:color="auto"/>
      </w:divBdr>
    </w:div>
    <w:div w:id="877399635">
      <w:bodyDiv w:val="1"/>
      <w:marLeft w:val="0"/>
      <w:marRight w:val="0"/>
      <w:marTop w:val="0"/>
      <w:marBottom w:val="0"/>
      <w:divBdr>
        <w:top w:val="none" w:sz="0" w:space="0" w:color="auto"/>
        <w:left w:val="none" w:sz="0" w:space="0" w:color="auto"/>
        <w:bottom w:val="none" w:sz="0" w:space="0" w:color="auto"/>
        <w:right w:val="none" w:sz="0" w:space="0" w:color="auto"/>
      </w:divBdr>
    </w:div>
    <w:div w:id="877621529">
      <w:bodyDiv w:val="1"/>
      <w:marLeft w:val="0"/>
      <w:marRight w:val="0"/>
      <w:marTop w:val="0"/>
      <w:marBottom w:val="0"/>
      <w:divBdr>
        <w:top w:val="none" w:sz="0" w:space="0" w:color="auto"/>
        <w:left w:val="none" w:sz="0" w:space="0" w:color="auto"/>
        <w:bottom w:val="none" w:sz="0" w:space="0" w:color="auto"/>
        <w:right w:val="none" w:sz="0" w:space="0" w:color="auto"/>
      </w:divBdr>
    </w:div>
    <w:div w:id="877937079">
      <w:bodyDiv w:val="1"/>
      <w:marLeft w:val="0"/>
      <w:marRight w:val="0"/>
      <w:marTop w:val="0"/>
      <w:marBottom w:val="0"/>
      <w:divBdr>
        <w:top w:val="none" w:sz="0" w:space="0" w:color="auto"/>
        <w:left w:val="none" w:sz="0" w:space="0" w:color="auto"/>
        <w:bottom w:val="none" w:sz="0" w:space="0" w:color="auto"/>
        <w:right w:val="none" w:sz="0" w:space="0" w:color="auto"/>
      </w:divBdr>
    </w:div>
    <w:div w:id="878132518">
      <w:bodyDiv w:val="1"/>
      <w:marLeft w:val="0"/>
      <w:marRight w:val="0"/>
      <w:marTop w:val="0"/>
      <w:marBottom w:val="0"/>
      <w:divBdr>
        <w:top w:val="none" w:sz="0" w:space="0" w:color="auto"/>
        <w:left w:val="none" w:sz="0" w:space="0" w:color="auto"/>
        <w:bottom w:val="none" w:sz="0" w:space="0" w:color="auto"/>
        <w:right w:val="none" w:sz="0" w:space="0" w:color="auto"/>
      </w:divBdr>
    </w:div>
    <w:div w:id="878399408">
      <w:bodyDiv w:val="1"/>
      <w:marLeft w:val="0"/>
      <w:marRight w:val="0"/>
      <w:marTop w:val="0"/>
      <w:marBottom w:val="0"/>
      <w:divBdr>
        <w:top w:val="none" w:sz="0" w:space="0" w:color="auto"/>
        <w:left w:val="none" w:sz="0" w:space="0" w:color="auto"/>
        <w:bottom w:val="none" w:sz="0" w:space="0" w:color="auto"/>
        <w:right w:val="none" w:sz="0" w:space="0" w:color="auto"/>
      </w:divBdr>
    </w:div>
    <w:div w:id="878781232">
      <w:bodyDiv w:val="1"/>
      <w:marLeft w:val="0"/>
      <w:marRight w:val="0"/>
      <w:marTop w:val="0"/>
      <w:marBottom w:val="0"/>
      <w:divBdr>
        <w:top w:val="none" w:sz="0" w:space="0" w:color="auto"/>
        <w:left w:val="none" w:sz="0" w:space="0" w:color="auto"/>
        <w:bottom w:val="none" w:sz="0" w:space="0" w:color="auto"/>
        <w:right w:val="none" w:sz="0" w:space="0" w:color="auto"/>
      </w:divBdr>
    </w:div>
    <w:div w:id="878859084">
      <w:bodyDiv w:val="1"/>
      <w:marLeft w:val="0"/>
      <w:marRight w:val="0"/>
      <w:marTop w:val="0"/>
      <w:marBottom w:val="0"/>
      <w:divBdr>
        <w:top w:val="none" w:sz="0" w:space="0" w:color="auto"/>
        <w:left w:val="none" w:sz="0" w:space="0" w:color="auto"/>
        <w:bottom w:val="none" w:sz="0" w:space="0" w:color="auto"/>
        <w:right w:val="none" w:sz="0" w:space="0" w:color="auto"/>
      </w:divBdr>
    </w:div>
    <w:div w:id="879055262">
      <w:bodyDiv w:val="1"/>
      <w:marLeft w:val="0"/>
      <w:marRight w:val="0"/>
      <w:marTop w:val="0"/>
      <w:marBottom w:val="0"/>
      <w:divBdr>
        <w:top w:val="none" w:sz="0" w:space="0" w:color="auto"/>
        <w:left w:val="none" w:sz="0" w:space="0" w:color="auto"/>
        <w:bottom w:val="none" w:sz="0" w:space="0" w:color="auto"/>
        <w:right w:val="none" w:sz="0" w:space="0" w:color="auto"/>
      </w:divBdr>
    </w:div>
    <w:div w:id="879125938">
      <w:bodyDiv w:val="1"/>
      <w:marLeft w:val="0"/>
      <w:marRight w:val="0"/>
      <w:marTop w:val="0"/>
      <w:marBottom w:val="0"/>
      <w:divBdr>
        <w:top w:val="none" w:sz="0" w:space="0" w:color="auto"/>
        <w:left w:val="none" w:sz="0" w:space="0" w:color="auto"/>
        <w:bottom w:val="none" w:sz="0" w:space="0" w:color="auto"/>
        <w:right w:val="none" w:sz="0" w:space="0" w:color="auto"/>
      </w:divBdr>
    </w:div>
    <w:div w:id="879131052">
      <w:bodyDiv w:val="1"/>
      <w:marLeft w:val="0"/>
      <w:marRight w:val="0"/>
      <w:marTop w:val="0"/>
      <w:marBottom w:val="0"/>
      <w:divBdr>
        <w:top w:val="none" w:sz="0" w:space="0" w:color="auto"/>
        <w:left w:val="none" w:sz="0" w:space="0" w:color="auto"/>
        <w:bottom w:val="none" w:sz="0" w:space="0" w:color="auto"/>
        <w:right w:val="none" w:sz="0" w:space="0" w:color="auto"/>
      </w:divBdr>
    </w:div>
    <w:div w:id="879393208">
      <w:bodyDiv w:val="1"/>
      <w:marLeft w:val="0"/>
      <w:marRight w:val="0"/>
      <w:marTop w:val="0"/>
      <w:marBottom w:val="0"/>
      <w:divBdr>
        <w:top w:val="none" w:sz="0" w:space="0" w:color="auto"/>
        <w:left w:val="none" w:sz="0" w:space="0" w:color="auto"/>
        <w:bottom w:val="none" w:sz="0" w:space="0" w:color="auto"/>
        <w:right w:val="none" w:sz="0" w:space="0" w:color="auto"/>
      </w:divBdr>
    </w:div>
    <w:div w:id="880167337">
      <w:bodyDiv w:val="1"/>
      <w:marLeft w:val="0"/>
      <w:marRight w:val="0"/>
      <w:marTop w:val="0"/>
      <w:marBottom w:val="0"/>
      <w:divBdr>
        <w:top w:val="none" w:sz="0" w:space="0" w:color="auto"/>
        <w:left w:val="none" w:sz="0" w:space="0" w:color="auto"/>
        <w:bottom w:val="none" w:sz="0" w:space="0" w:color="auto"/>
        <w:right w:val="none" w:sz="0" w:space="0" w:color="auto"/>
      </w:divBdr>
    </w:div>
    <w:div w:id="881013015">
      <w:bodyDiv w:val="1"/>
      <w:marLeft w:val="0"/>
      <w:marRight w:val="0"/>
      <w:marTop w:val="0"/>
      <w:marBottom w:val="0"/>
      <w:divBdr>
        <w:top w:val="none" w:sz="0" w:space="0" w:color="auto"/>
        <w:left w:val="none" w:sz="0" w:space="0" w:color="auto"/>
        <w:bottom w:val="none" w:sz="0" w:space="0" w:color="auto"/>
        <w:right w:val="none" w:sz="0" w:space="0" w:color="auto"/>
      </w:divBdr>
    </w:div>
    <w:div w:id="881795180">
      <w:bodyDiv w:val="1"/>
      <w:marLeft w:val="0"/>
      <w:marRight w:val="0"/>
      <w:marTop w:val="0"/>
      <w:marBottom w:val="0"/>
      <w:divBdr>
        <w:top w:val="none" w:sz="0" w:space="0" w:color="auto"/>
        <w:left w:val="none" w:sz="0" w:space="0" w:color="auto"/>
        <w:bottom w:val="none" w:sz="0" w:space="0" w:color="auto"/>
        <w:right w:val="none" w:sz="0" w:space="0" w:color="auto"/>
      </w:divBdr>
    </w:div>
    <w:div w:id="882139553">
      <w:bodyDiv w:val="1"/>
      <w:marLeft w:val="0"/>
      <w:marRight w:val="0"/>
      <w:marTop w:val="0"/>
      <w:marBottom w:val="0"/>
      <w:divBdr>
        <w:top w:val="none" w:sz="0" w:space="0" w:color="auto"/>
        <w:left w:val="none" w:sz="0" w:space="0" w:color="auto"/>
        <w:bottom w:val="none" w:sz="0" w:space="0" w:color="auto"/>
        <w:right w:val="none" w:sz="0" w:space="0" w:color="auto"/>
      </w:divBdr>
    </w:div>
    <w:div w:id="882250363">
      <w:bodyDiv w:val="1"/>
      <w:marLeft w:val="0"/>
      <w:marRight w:val="0"/>
      <w:marTop w:val="0"/>
      <w:marBottom w:val="0"/>
      <w:divBdr>
        <w:top w:val="none" w:sz="0" w:space="0" w:color="auto"/>
        <w:left w:val="none" w:sz="0" w:space="0" w:color="auto"/>
        <w:bottom w:val="none" w:sz="0" w:space="0" w:color="auto"/>
        <w:right w:val="none" w:sz="0" w:space="0" w:color="auto"/>
      </w:divBdr>
    </w:div>
    <w:div w:id="882403067">
      <w:bodyDiv w:val="1"/>
      <w:marLeft w:val="0"/>
      <w:marRight w:val="0"/>
      <w:marTop w:val="0"/>
      <w:marBottom w:val="0"/>
      <w:divBdr>
        <w:top w:val="none" w:sz="0" w:space="0" w:color="auto"/>
        <w:left w:val="none" w:sz="0" w:space="0" w:color="auto"/>
        <w:bottom w:val="none" w:sz="0" w:space="0" w:color="auto"/>
        <w:right w:val="none" w:sz="0" w:space="0" w:color="auto"/>
      </w:divBdr>
    </w:div>
    <w:div w:id="882407891">
      <w:bodyDiv w:val="1"/>
      <w:marLeft w:val="0"/>
      <w:marRight w:val="0"/>
      <w:marTop w:val="0"/>
      <w:marBottom w:val="0"/>
      <w:divBdr>
        <w:top w:val="none" w:sz="0" w:space="0" w:color="auto"/>
        <w:left w:val="none" w:sz="0" w:space="0" w:color="auto"/>
        <w:bottom w:val="none" w:sz="0" w:space="0" w:color="auto"/>
        <w:right w:val="none" w:sz="0" w:space="0" w:color="auto"/>
      </w:divBdr>
    </w:div>
    <w:div w:id="883255886">
      <w:bodyDiv w:val="1"/>
      <w:marLeft w:val="0"/>
      <w:marRight w:val="0"/>
      <w:marTop w:val="0"/>
      <w:marBottom w:val="0"/>
      <w:divBdr>
        <w:top w:val="none" w:sz="0" w:space="0" w:color="auto"/>
        <w:left w:val="none" w:sz="0" w:space="0" w:color="auto"/>
        <w:bottom w:val="none" w:sz="0" w:space="0" w:color="auto"/>
        <w:right w:val="none" w:sz="0" w:space="0" w:color="auto"/>
      </w:divBdr>
    </w:div>
    <w:div w:id="884364869">
      <w:bodyDiv w:val="1"/>
      <w:marLeft w:val="0"/>
      <w:marRight w:val="0"/>
      <w:marTop w:val="0"/>
      <w:marBottom w:val="0"/>
      <w:divBdr>
        <w:top w:val="none" w:sz="0" w:space="0" w:color="auto"/>
        <w:left w:val="none" w:sz="0" w:space="0" w:color="auto"/>
        <w:bottom w:val="none" w:sz="0" w:space="0" w:color="auto"/>
        <w:right w:val="none" w:sz="0" w:space="0" w:color="auto"/>
      </w:divBdr>
    </w:div>
    <w:div w:id="884948216">
      <w:bodyDiv w:val="1"/>
      <w:marLeft w:val="0"/>
      <w:marRight w:val="0"/>
      <w:marTop w:val="0"/>
      <w:marBottom w:val="0"/>
      <w:divBdr>
        <w:top w:val="none" w:sz="0" w:space="0" w:color="auto"/>
        <w:left w:val="none" w:sz="0" w:space="0" w:color="auto"/>
        <w:bottom w:val="none" w:sz="0" w:space="0" w:color="auto"/>
        <w:right w:val="none" w:sz="0" w:space="0" w:color="auto"/>
      </w:divBdr>
    </w:div>
    <w:div w:id="885219316">
      <w:bodyDiv w:val="1"/>
      <w:marLeft w:val="0"/>
      <w:marRight w:val="0"/>
      <w:marTop w:val="0"/>
      <w:marBottom w:val="0"/>
      <w:divBdr>
        <w:top w:val="none" w:sz="0" w:space="0" w:color="auto"/>
        <w:left w:val="none" w:sz="0" w:space="0" w:color="auto"/>
        <w:bottom w:val="none" w:sz="0" w:space="0" w:color="auto"/>
        <w:right w:val="none" w:sz="0" w:space="0" w:color="auto"/>
      </w:divBdr>
    </w:div>
    <w:div w:id="885288657">
      <w:bodyDiv w:val="1"/>
      <w:marLeft w:val="0"/>
      <w:marRight w:val="0"/>
      <w:marTop w:val="0"/>
      <w:marBottom w:val="0"/>
      <w:divBdr>
        <w:top w:val="none" w:sz="0" w:space="0" w:color="auto"/>
        <w:left w:val="none" w:sz="0" w:space="0" w:color="auto"/>
        <w:bottom w:val="none" w:sz="0" w:space="0" w:color="auto"/>
        <w:right w:val="none" w:sz="0" w:space="0" w:color="auto"/>
      </w:divBdr>
    </w:div>
    <w:div w:id="885337083">
      <w:bodyDiv w:val="1"/>
      <w:marLeft w:val="0"/>
      <w:marRight w:val="0"/>
      <w:marTop w:val="0"/>
      <w:marBottom w:val="0"/>
      <w:divBdr>
        <w:top w:val="none" w:sz="0" w:space="0" w:color="auto"/>
        <w:left w:val="none" w:sz="0" w:space="0" w:color="auto"/>
        <w:bottom w:val="none" w:sz="0" w:space="0" w:color="auto"/>
        <w:right w:val="none" w:sz="0" w:space="0" w:color="auto"/>
      </w:divBdr>
    </w:div>
    <w:div w:id="885675458">
      <w:bodyDiv w:val="1"/>
      <w:marLeft w:val="0"/>
      <w:marRight w:val="0"/>
      <w:marTop w:val="0"/>
      <w:marBottom w:val="0"/>
      <w:divBdr>
        <w:top w:val="none" w:sz="0" w:space="0" w:color="auto"/>
        <w:left w:val="none" w:sz="0" w:space="0" w:color="auto"/>
        <w:bottom w:val="none" w:sz="0" w:space="0" w:color="auto"/>
        <w:right w:val="none" w:sz="0" w:space="0" w:color="auto"/>
      </w:divBdr>
    </w:div>
    <w:div w:id="885992259">
      <w:bodyDiv w:val="1"/>
      <w:marLeft w:val="0"/>
      <w:marRight w:val="0"/>
      <w:marTop w:val="0"/>
      <w:marBottom w:val="0"/>
      <w:divBdr>
        <w:top w:val="none" w:sz="0" w:space="0" w:color="auto"/>
        <w:left w:val="none" w:sz="0" w:space="0" w:color="auto"/>
        <w:bottom w:val="none" w:sz="0" w:space="0" w:color="auto"/>
        <w:right w:val="none" w:sz="0" w:space="0" w:color="auto"/>
      </w:divBdr>
    </w:div>
    <w:div w:id="886067445">
      <w:bodyDiv w:val="1"/>
      <w:marLeft w:val="0"/>
      <w:marRight w:val="0"/>
      <w:marTop w:val="0"/>
      <w:marBottom w:val="0"/>
      <w:divBdr>
        <w:top w:val="none" w:sz="0" w:space="0" w:color="auto"/>
        <w:left w:val="none" w:sz="0" w:space="0" w:color="auto"/>
        <w:bottom w:val="none" w:sz="0" w:space="0" w:color="auto"/>
        <w:right w:val="none" w:sz="0" w:space="0" w:color="auto"/>
      </w:divBdr>
    </w:div>
    <w:div w:id="886799139">
      <w:bodyDiv w:val="1"/>
      <w:marLeft w:val="0"/>
      <w:marRight w:val="0"/>
      <w:marTop w:val="0"/>
      <w:marBottom w:val="0"/>
      <w:divBdr>
        <w:top w:val="none" w:sz="0" w:space="0" w:color="auto"/>
        <w:left w:val="none" w:sz="0" w:space="0" w:color="auto"/>
        <w:bottom w:val="none" w:sz="0" w:space="0" w:color="auto"/>
        <w:right w:val="none" w:sz="0" w:space="0" w:color="auto"/>
      </w:divBdr>
    </w:div>
    <w:div w:id="886989148">
      <w:bodyDiv w:val="1"/>
      <w:marLeft w:val="0"/>
      <w:marRight w:val="0"/>
      <w:marTop w:val="0"/>
      <w:marBottom w:val="0"/>
      <w:divBdr>
        <w:top w:val="none" w:sz="0" w:space="0" w:color="auto"/>
        <w:left w:val="none" w:sz="0" w:space="0" w:color="auto"/>
        <w:bottom w:val="none" w:sz="0" w:space="0" w:color="auto"/>
        <w:right w:val="none" w:sz="0" w:space="0" w:color="auto"/>
      </w:divBdr>
    </w:div>
    <w:div w:id="887298209">
      <w:bodyDiv w:val="1"/>
      <w:marLeft w:val="0"/>
      <w:marRight w:val="0"/>
      <w:marTop w:val="0"/>
      <w:marBottom w:val="0"/>
      <w:divBdr>
        <w:top w:val="none" w:sz="0" w:space="0" w:color="auto"/>
        <w:left w:val="none" w:sz="0" w:space="0" w:color="auto"/>
        <w:bottom w:val="none" w:sz="0" w:space="0" w:color="auto"/>
        <w:right w:val="none" w:sz="0" w:space="0" w:color="auto"/>
      </w:divBdr>
    </w:div>
    <w:div w:id="887690834">
      <w:bodyDiv w:val="1"/>
      <w:marLeft w:val="0"/>
      <w:marRight w:val="0"/>
      <w:marTop w:val="0"/>
      <w:marBottom w:val="0"/>
      <w:divBdr>
        <w:top w:val="none" w:sz="0" w:space="0" w:color="auto"/>
        <w:left w:val="none" w:sz="0" w:space="0" w:color="auto"/>
        <w:bottom w:val="none" w:sz="0" w:space="0" w:color="auto"/>
        <w:right w:val="none" w:sz="0" w:space="0" w:color="auto"/>
      </w:divBdr>
    </w:div>
    <w:div w:id="888153038">
      <w:bodyDiv w:val="1"/>
      <w:marLeft w:val="0"/>
      <w:marRight w:val="0"/>
      <w:marTop w:val="0"/>
      <w:marBottom w:val="0"/>
      <w:divBdr>
        <w:top w:val="none" w:sz="0" w:space="0" w:color="auto"/>
        <w:left w:val="none" w:sz="0" w:space="0" w:color="auto"/>
        <w:bottom w:val="none" w:sz="0" w:space="0" w:color="auto"/>
        <w:right w:val="none" w:sz="0" w:space="0" w:color="auto"/>
      </w:divBdr>
    </w:div>
    <w:div w:id="888685535">
      <w:bodyDiv w:val="1"/>
      <w:marLeft w:val="0"/>
      <w:marRight w:val="0"/>
      <w:marTop w:val="0"/>
      <w:marBottom w:val="0"/>
      <w:divBdr>
        <w:top w:val="none" w:sz="0" w:space="0" w:color="auto"/>
        <w:left w:val="none" w:sz="0" w:space="0" w:color="auto"/>
        <w:bottom w:val="none" w:sz="0" w:space="0" w:color="auto"/>
        <w:right w:val="none" w:sz="0" w:space="0" w:color="auto"/>
      </w:divBdr>
    </w:div>
    <w:div w:id="889267690">
      <w:bodyDiv w:val="1"/>
      <w:marLeft w:val="0"/>
      <w:marRight w:val="0"/>
      <w:marTop w:val="0"/>
      <w:marBottom w:val="0"/>
      <w:divBdr>
        <w:top w:val="none" w:sz="0" w:space="0" w:color="auto"/>
        <w:left w:val="none" w:sz="0" w:space="0" w:color="auto"/>
        <w:bottom w:val="none" w:sz="0" w:space="0" w:color="auto"/>
        <w:right w:val="none" w:sz="0" w:space="0" w:color="auto"/>
      </w:divBdr>
    </w:div>
    <w:div w:id="889343708">
      <w:bodyDiv w:val="1"/>
      <w:marLeft w:val="0"/>
      <w:marRight w:val="0"/>
      <w:marTop w:val="0"/>
      <w:marBottom w:val="0"/>
      <w:divBdr>
        <w:top w:val="none" w:sz="0" w:space="0" w:color="auto"/>
        <w:left w:val="none" w:sz="0" w:space="0" w:color="auto"/>
        <w:bottom w:val="none" w:sz="0" w:space="0" w:color="auto"/>
        <w:right w:val="none" w:sz="0" w:space="0" w:color="auto"/>
      </w:divBdr>
    </w:div>
    <w:div w:id="889682581">
      <w:bodyDiv w:val="1"/>
      <w:marLeft w:val="0"/>
      <w:marRight w:val="0"/>
      <w:marTop w:val="0"/>
      <w:marBottom w:val="0"/>
      <w:divBdr>
        <w:top w:val="none" w:sz="0" w:space="0" w:color="auto"/>
        <w:left w:val="none" w:sz="0" w:space="0" w:color="auto"/>
        <w:bottom w:val="none" w:sz="0" w:space="0" w:color="auto"/>
        <w:right w:val="none" w:sz="0" w:space="0" w:color="auto"/>
      </w:divBdr>
    </w:div>
    <w:div w:id="889918453">
      <w:bodyDiv w:val="1"/>
      <w:marLeft w:val="0"/>
      <w:marRight w:val="0"/>
      <w:marTop w:val="0"/>
      <w:marBottom w:val="0"/>
      <w:divBdr>
        <w:top w:val="none" w:sz="0" w:space="0" w:color="auto"/>
        <w:left w:val="none" w:sz="0" w:space="0" w:color="auto"/>
        <w:bottom w:val="none" w:sz="0" w:space="0" w:color="auto"/>
        <w:right w:val="none" w:sz="0" w:space="0" w:color="auto"/>
      </w:divBdr>
    </w:div>
    <w:div w:id="890532362">
      <w:bodyDiv w:val="1"/>
      <w:marLeft w:val="0"/>
      <w:marRight w:val="0"/>
      <w:marTop w:val="0"/>
      <w:marBottom w:val="0"/>
      <w:divBdr>
        <w:top w:val="none" w:sz="0" w:space="0" w:color="auto"/>
        <w:left w:val="none" w:sz="0" w:space="0" w:color="auto"/>
        <w:bottom w:val="none" w:sz="0" w:space="0" w:color="auto"/>
        <w:right w:val="none" w:sz="0" w:space="0" w:color="auto"/>
      </w:divBdr>
    </w:div>
    <w:div w:id="891233789">
      <w:bodyDiv w:val="1"/>
      <w:marLeft w:val="0"/>
      <w:marRight w:val="0"/>
      <w:marTop w:val="0"/>
      <w:marBottom w:val="0"/>
      <w:divBdr>
        <w:top w:val="none" w:sz="0" w:space="0" w:color="auto"/>
        <w:left w:val="none" w:sz="0" w:space="0" w:color="auto"/>
        <w:bottom w:val="none" w:sz="0" w:space="0" w:color="auto"/>
        <w:right w:val="none" w:sz="0" w:space="0" w:color="auto"/>
      </w:divBdr>
    </w:div>
    <w:div w:id="891237616">
      <w:bodyDiv w:val="1"/>
      <w:marLeft w:val="0"/>
      <w:marRight w:val="0"/>
      <w:marTop w:val="0"/>
      <w:marBottom w:val="0"/>
      <w:divBdr>
        <w:top w:val="none" w:sz="0" w:space="0" w:color="auto"/>
        <w:left w:val="none" w:sz="0" w:space="0" w:color="auto"/>
        <w:bottom w:val="none" w:sz="0" w:space="0" w:color="auto"/>
        <w:right w:val="none" w:sz="0" w:space="0" w:color="auto"/>
      </w:divBdr>
    </w:div>
    <w:div w:id="891695895">
      <w:bodyDiv w:val="1"/>
      <w:marLeft w:val="0"/>
      <w:marRight w:val="0"/>
      <w:marTop w:val="0"/>
      <w:marBottom w:val="0"/>
      <w:divBdr>
        <w:top w:val="none" w:sz="0" w:space="0" w:color="auto"/>
        <w:left w:val="none" w:sz="0" w:space="0" w:color="auto"/>
        <w:bottom w:val="none" w:sz="0" w:space="0" w:color="auto"/>
        <w:right w:val="none" w:sz="0" w:space="0" w:color="auto"/>
      </w:divBdr>
    </w:div>
    <w:div w:id="892035118">
      <w:bodyDiv w:val="1"/>
      <w:marLeft w:val="0"/>
      <w:marRight w:val="0"/>
      <w:marTop w:val="0"/>
      <w:marBottom w:val="0"/>
      <w:divBdr>
        <w:top w:val="none" w:sz="0" w:space="0" w:color="auto"/>
        <w:left w:val="none" w:sz="0" w:space="0" w:color="auto"/>
        <w:bottom w:val="none" w:sz="0" w:space="0" w:color="auto"/>
        <w:right w:val="none" w:sz="0" w:space="0" w:color="auto"/>
      </w:divBdr>
    </w:div>
    <w:div w:id="892083189">
      <w:bodyDiv w:val="1"/>
      <w:marLeft w:val="0"/>
      <w:marRight w:val="0"/>
      <w:marTop w:val="0"/>
      <w:marBottom w:val="0"/>
      <w:divBdr>
        <w:top w:val="none" w:sz="0" w:space="0" w:color="auto"/>
        <w:left w:val="none" w:sz="0" w:space="0" w:color="auto"/>
        <w:bottom w:val="none" w:sz="0" w:space="0" w:color="auto"/>
        <w:right w:val="none" w:sz="0" w:space="0" w:color="auto"/>
      </w:divBdr>
    </w:div>
    <w:div w:id="892423340">
      <w:bodyDiv w:val="1"/>
      <w:marLeft w:val="0"/>
      <w:marRight w:val="0"/>
      <w:marTop w:val="0"/>
      <w:marBottom w:val="0"/>
      <w:divBdr>
        <w:top w:val="none" w:sz="0" w:space="0" w:color="auto"/>
        <w:left w:val="none" w:sz="0" w:space="0" w:color="auto"/>
        <w:bottom w:val="none" w:sz="0" w:space="0" w:color="auto"/>
        <w:right w:val="none" w:sz="0" w:space="0" w:color="auto"/>
      </w:divBdr>
    </w:div>
    <w:div w:id="892622873">
      <w:bodyDiv w:val="1"/>
      <w:marLeft w:val="0"/>
      <w:marRight w:val="0"/>
      <w:marTop w:val="0"/>
      <w:marBottom w:val="0"/>
      <w:divBdr>
        <w:top w:val="none" w:sz="0" w:space="0" w:color="auto"/>
        <w:left w:val="none" w:sz="0" w:space="0" w:color="auto"/>
        <w:bottom w:val="none" w:sz="0" w:space="0" w:color="auto"/>
        <w:right w:val="none" w:sz="0" w:space="0" w:color="auto"/>
      </w:divBdr>
    </w:div>
    <w:div w:id="893195390">
      <w:bodyDiv w:val="1"/>
      <w:marLeft w:val="0"/>
      <w:marRight w:val="0"/>
      <w:marTop w:val="0"/>
      <w:marBottom w:val="0"/>
      <w:divBdr>
        <w:top w:val="none" w:sz="0" w:space="0" w:color="auto"/>
        <w:left w:val="none" w:sz="0" w:space="0" w:color="auto"/>
        <w:bottom w:val="none" w:sz="0" w:space="0" w:color="auto"/>
        <w:right w:val="none" w:sz="0" w:space="0" w:color="auto"/>
      </w:divBdr>
    </w:div>
    <w:div w:id="893202503">
      <w:bodyDiv w:val="1"/>
      <w:marLeft w:val="0"/>
      <w:marRight w:val="0"/>
      <w:marTop w:val="0"/>
      <w:marBottom w:val="0"/>
      <w:divBdr>
        <w:top w:val="none" w:sz="0" w:space="0" w:color="auto"/>
        <w:left w:val="none" w:sz="0" w:space="0" w:color="auto"/>
        <w:bottom w:val="none" w:sz="0" w:space="0" w:color="auto"/>
        <w:right w:val="none" w:sz="0" w:space="0" w:color="auto"/>
      </w:divBdr>
    </w:div>
    <w:div w:id="893275502">
      <w:bodyDiv w:val="1"/>
      <w:marLeft w:val="0"/>
      <w:marRight w:val="0"/>
      <w:marTop w:val="0"/>
      <w:marBottom w:val="0"/>
      <w:divBdr>
        <w:top w:val="none" w:sz="0" w:space="0" w:color="auto"/>
        <w:left w:val="none" w:sz="0" w:space="0" w:color="auto"/>
        <w:bottom w:val="none" w:sz="0" w:space="0" w:color="auto"/>
        <w:right w:val="none" w:sz="0" w:space="0" w:color="auto"/>
      </w:divBdr>
    </w:div>
    <w:div w:id="893586450">
      <w:bodyDiv w:val="1"/>
      <w:marLeft w:val="0"/>
      <w:marRight w:val="0"/>
      <w:marTop w:val="0"/>
      <w:marBottom w:val="0"/>
      <w:divBdr>
        <w:top w:val="none" w:sz="0" w:space="0" w:color="auto"/>
        <w:left w:val="none" w:sz="0" w:space="0" w:color="auto"/>
        <w:bottom w:val="none" w:sz="0" w:space="0" w:color="auto"/>
        <w:right w:val="none" w:sz="0" w:space="0" w:color="auto"/>
      </w:divBdr>
    </w:div>
    <w:div w:id="893737143">
      <w:bodyDiv w:val="1"/>
      <w:marLeft w:val="0"/>
      <w:marRight w:val="0"/>
      <w:marTop w:val="0"/>
      <w:marBottom w:val="0"/>
      <w:divBdr>
        <w:top w:val="none" w:sz="0" w:space="0" w:color="auto"/>
        <w:left w:val="none" w:sz="0" w:space="0" w:color="auto"/>
        <w:bottom w:val="none" w:sz="0" w:space="0" w:color="auto"/>
        <w:right w:val="none" w:sz="0" w:space="0" w:color="auto"/>
      </w:divBdr>
    </w:div>
    <w:div w:id="893925434">
      <w:bodyDiv w:val="1"/>
      <w:marLeft w:val="0"/>
      <w:marRight w:val="0"/>
      <w:marTop w:val="0"/>
      <w:marBottom w:val="0"/>
      <w:divBdr>
        <w:top w:val="none" w:sz="0" w:space="0" w:color="auto"/>
        <w:left w:val="none" w:sz="0" w:space="0" w:color="auto"/>
        <w:bottom w:val="none" w:sz="0" w:space="0" w:color="auto"/>
        <w:right w:val="none" w:sz="0" w:space="0" w:color="auto"/>
      </w:divBdr>
    </w:div>
    <w:div w:id="894312237">
      <w:bodyDiv w:val="1"/>
      <w:marLeft w:val="0"/>
      <w:marRight w:val="0"/>
      <w:marTop w:val="0"/>
      <w:marBottom w:val="0"/>
      <w:divBdr>
        <w:top w:val="none" w:sz="0" w:space="0" w:color="auto"/>
        <w:left w:val="none" w:sz="0" w:space="0" w:color="auto"/>
        <w:bottom w:val="none" w:sz="0" w:space="0" w:color="auto"/>
        <w:right w:val="none" w:sz="0" w:space="0" w:color="auto"/>
      </w:divBdr>
    </w:div>
    <w:div w:id="895048100">
      <w:bodyDiv w:val="1"/>
      <w:marLeft w:val="0"/>
      <w:marRight w:val="0"/>
      <w:marTop w:val="0"/>
      <w:marBottom w:val="0"/>
      <w:divBdr>
        <w:top w:val="none" w:sz="0" w:space="0" w:color="auto"/>
        <w:left w:val="none" w:sz="0" w:space="0" w:color="auto"/>
        <w:bottom w:val="none" w:sz="0" w:space="0" w:color="auto"/>
        <w:right w:val="none" w:sz="0" w:space="0" w:color="auto"/>
      </w:divBdr>
    </w:div>
    <w:div w:id="895550358">
      <w:bodyDiv w:val="1"/>
      <w:marLeft w:val="0"/>
      <w:marRight w:val="0"/>
      <w:marTop w:val="0"/>
      <w:marBottom w:val="0"/>
      <w:divBdr>
        <w:top w:val="none" w:sz="0" w:space="0" w:color="auto"/>
        <w:left w:val="none" w:sz="0" w:space="0" w:color="auto"/>
        <w:bottom w:val="none" w:sz="0" w:space="0" w:color="auto"/>
        <w:right w:val="none" w:sz="0" w:space="0" w:color="auto"/>
      </w:divBdr>
    </w:div>
    <w:div w:id="895893952">
      <w:bodyDiv w:val="1"/>
      <w:marLeft w:val="0"/>
      <w:marRight w:val="0"/>
      <w:marTop w:val="0"/>
      <w:marBottom w:val="0"/>
      <w:divBdr>
        <w:top w:val="none" w:sz="0" w:space="0" w:color="auto"/>
        <w:left w:val="none" w:sz="0" w:space="0" w:color="auto"/>
        <w:bottom w:val="none" w:sz="0" w:space="0" w:color="auto"/>
        <w:right w:val="none" w:sz="0" w:space="0" w:color="auto"/>
      </w:divBdr>
    </w:div>
    <w:div w:id="896085894">
      <w:bodyDiv w:val="1"/>
      <w:marLeft w:val="0"/>
      <w:marRight w:val="0"/>
      <w:marTop w:val="0"/>
      <w:marBottom w:val="0"/>
      <w:divBdr>
        <w:top w:val="none" w:sz="0" w:space="0" w:color="auto"/>
        <w:left w:val="none" w:sz="0" w:space="0" w:color="auto"/>
        <w:bottom w:val="none" w:sz="0" w:space="0" w:color="auto"/>
        <w:right w:val="none" w:sz="0" w:space="0" w:color="auto"/>
      </w:divBdr>
    </w:div>
    <w:div w:id="896235787">
      <w:bodyDiv w:val="1"/>
      <w:marLeft w:val="0"/>
      <w:marRight w:val="0"/>
      <w:marTop w:val="0"/>
      <w:marBottom w:val="0"/>
      <w:divBdr>
        <w:top w:val="none" w:sz="0" w:space="0" w:color="auto"/>
        <w:left w:val="none" w:sz="0" w:space="0" w:color="auto"/>
        <w:bottom w:val="none" w:sz="0" w:space="0" w:color="auto"/>
        <w:right w:val="none" w:sz="0" w:space="0" w:color="auto"/>
      </w:divBdr>
    </w:div>
    <w:div w:id="896401592">
      <w:bodyDiv w:val="1"/>
      <w:marLeft w:val="0"/>
      <w:marRight w:val="0"/>
      <w:marTop w:val="0"/>
      <w:marBottom w:val="0"/>
      <w:divBdr>
        <w:top w:val="none" w:sz="0" w:space="0" w:color="auto"/>
        <w:left w:val="none" w:sz="0" w:space="0" w:color="auto"/>
        <w:bottom w:val="none" w:sz="0" w:space="0" w:color="auto"/>
        <w:right w:val="none" w:sz="0" w:space="0" w:color="auto"/>
      </w:divBdr>
    </w:div>
    <w:div w:id="896554169">
      <w:bodyDiv w:val="1"/>
      <w:marLeft w:val="0"/>
      <w:marRight w:val="0"/>
      <w:marTop w:val="0"/>
      <w:marBottom w:val="0"/>
      <w:divBdr>
        <w:top w:val="none" w:sz="0" w:space="0" w:color="auto"/>
        <w:left w:val="none" w:sz="0" w:space="0" w:color="auto"/>
        <w:bottom w:val="none" w:sz="0" w:space="0" w:color="auto"/>
        <w:right w:val="none" w:sz="0" w:space="0" w:color="auto"/>
      </w:divBdr>
    </w:div>
    <w:div w:id="896865381">
      <w:bodyDiv w:val="1"/>
      <w:marLeft w:val="0"/>
      <w:marRight w:val="0"/>
      <w:marTop w:val="0"/>
      <w:marBottom w:val="0"/>
      <w:divBdr>
        <w:top w:val="none" w:sz="0" w:space="0" w:color="auto"/>
        <w:left w:val="none" w:sz="0" w:space="0" w:color="auto"/>
        <w:bottom w:val="none" w:sz="0" w:space="0" w:color="auto"/>
        <w:right w:val="none" w:sz="0" w:space="0" w:color="auto"/>
      </w:divBdr>
    </w:div>
    <w:div w:id="897592931">
      <w:bodyDiv w:val="1"/>
      <w:marLeft w:val="0"/>
      <w:marRight w:val="0"/>
      <w:marTop w:val="0"/>
      <w:marBottom w:val="0"/>
      <w:divBdr>
        <w:top w:val="none" w:sz="0" w:space="0" w:color="auto"/>
        <w:left w:val="none" w:sz="0" w:space="0" w:color="auto"/>
        <w:bottom w:val="none" w:sz="0" w:space="0" w:color="auto"/>
        <w:right w:val="none" w:sz="0" w:space="0" w:color="auto"/>
      </w:divBdr>
    </w:div>
    <w:div w:id="897713468">
      <w:bodyDiv w:val="1"/>
      <w:marLeft w:val="0"/>
      <w:marRight w:val="0"/>
      <w:marTop w:val="0"/>
      <w:marBottom w:val="0"/>
      <w:divBdr>
        <w:top w:val="none" w:sz="0" w:space="0" w:color="auto"/>
        <w:left w:val="none" w:sz="0" w:space="0" w:color="auto"/>
        <w:bottom w:val="none" w:sz="0" w:space="0" w:color="auto"/>
        <w:right w:val="none" w:sz="0" w:space="0" w:color="auto"/>
      </w:divBdr>
    </w:div>
    <w:div w:id="897939044">
      <w:bodyDiv w:val="1"/>
      <w:marLeft w:val="0"/>
      <w:marRight w:val="0"/>
      <w:marTop w:val="0"/>
      <w:marBottom w:val="0"/>
      <w:divBdr>
        <w:top w:val="none" w:sz="0" w:space="0" w:color="auto"/>
        <w:left w:val="none" w:sz="0" w:space="0" w:color="auto"/>
        <w:bottom w:val="none" w:sz="0" w:space="0" w:color="auto"/>
        <w:right w:val="none" w:sz="0" w:space="0" w:color="auto"/>
      </w:divBdr>
    </w:div>
    <w:div w:id="899630937">
      <w:bodyDiv w:val="1"/>
      <w:marLeft w:val="0"/>
      <w:marRight w:val="0"/>
      <w:marTop w:val="0"/>
      <w:marBottom w:val="0"/>
      <w:divBdr>
        <w:top w:val="none" w:sz="0" w:space="0" w:color="auto"/>
        <w:left w:val="none" w:sz="0" w:space="0" w:color="auto"/>
        <w:bottom w:val="none" w:sz="0" w:space="0" w:color="auto"/>
        <w:right w:val="none" w:sz="0" w:space="0" w:color="auto"/>
      </w:divBdr>
    </w:div>
    <w:div w:id="899826780">
      <w:bodyDiv w:val="1"/>
      <w:marLeft w:val="0"/>
      <w:marRight w:val="0"/>
      <w:marTop w:val="0"/>
      <w:marBottom w:val="0"/>
      <w:divBdr>
        <w:top w:val="none" w:sz="0" w:space="0" w:color="auto"/>
        <w:left w:val="none" w:sz="0" w:space="0" w:color="auto"/>
        <w:bottom w:val="none" w:sz="0" w:space="0" w:color="auto"/>
        <w:right w:val="none" w:sz="0" w:space="0" w:color="auto"/>
      </w:divBdr>
    </w:div>
    <w:div w:id="899897698">
      <w:bodyDiv w:val="1"/>
      <w:marLeft w:val="0"/>
      <w:marRight w:val="0"/>
      <w:marTop w:val="0"/>
      <w:marBottom w:val="0"/>
      <w:divBdr>
        <w:top w:val="none" w:sz="0" w:space="0" w:color="auto"/>
        <w:left w:val="none" w:sz="0" w:space="0" w:color="auto"/>
        <w:bottom w:val="none" w:sz="0" w:space="0" w:color="auto"/>
        <w:right w:val="none" w:sz="0" w:space="0" w:color="auto"/>
      </w:divBdr>
    </w:div>
    <w:div w:id="900409822">
      <w:bodyDiv w:val="1"/>
      <w:marLeft w:val="0"/>
      <w:marRight w:val="0"/>
      <w:marTop w:val="0"/>
      <w:marBottom w:val="0"/>
      <w:divBdr>
        <w:top w:val="none" w:sz="0" w:space="0" w:color="auto"/>
        <w:left w:val="none" w:sz="0" w:space="0" w:color="auto"/>
        <w:bottom w:val="none" w:sz="0" w:space="0" w:color="auto"/>
        <w:right w:val="none" w:sz="0" w:space="0" w:color="auto"/>
      </w:divBdr>
    </w:div>
    <w:div w:id="900480118">
      <w:bodyDiv w:val="1"/>
      <w:marLeft w:val="0"/>
      <w:marRight w:val="0"/>
      <w:marTop w:val="0"/>
      <w:marBottom w:val="0"/>
      <w:divBdr>
        <w:top w:val="none" w:sz="0" w:space="0" w:color="auto"/>
        <w:left w:val="none" w:sz="0" w:space="0" w:color="auto"/>
        <w:bottom w:val="none" w:sz="0" w:space="0" w:color="auto"/>
        <w:right w:val="none" w:sz="0" w:space="0" w:color="auto"/>
      </w:divBdr>
    </w:div>
    <w:div w:id="900671168">
      <w:bodyDiv w:val="1"/>
      <w:marLeft w:val="0"/>
      <w:marRight w:val="0"/>
      <w:marTop w:val="0"/>
      <w:marBottom w:val="0"/>
      <w:divBdr>
        <w:top w:val="none" w:sz="0" w:space="0" w:color="auto"/>
        <w:left w:val="none" w:sz="0" w:space="0" w:color="auto"/>
        <w:bottom w:val="none" w:sz="0" w:space="0" w:color="auto"/>
        <w:right w:val="none" w:sz="0" w:space="0" w:color="auto"/>
      </w:divBdr>
    </w:div>
    <w:div w:id="900674864">
      <w:bodyDiv w:val="1"/>
      <w:marLeft w:val="0"/>
      <w:marRight w:val="0"/>
      <w:marTop w:val="0"/>
      <w:marBottom w:val="0"/>
      <w:divBdr>
        <w:top w:val="none" w:sz="0" w:space="0" w:color="auto"/>
        <w:left w:val="none" w:sz="0" w:space="0" w:color="auto"/>
        <w:bottom w:val="none" w:sz="0" w:space="0" w:color="auto"/>
        <w:right w:val="none" w:sz="0" w:space="0" w:color="auto"/>
      </w:divBdr>
    </w:div>
    <w:div w:id="900867621">
      <w:bodyDiv w:val="1"/>
      <w:marLeft w:val="0"/>
      <w:marRight w:val="0"/>
      <w:marTop w:val="0"/>
      <w:marBottom w:val="0"/>
      <w:divBdr>
        <w:top w:val="none" w:sz="0" w:space="0" w:color="auto"/>
        <w:left w:val="none" w:sz="0" w:space="0" w:color="auto"/>
        <w:bottom w:val="none" w:sz="0" w:space="0" w:color="auto"/>
        <w:right w:val="none" w:sz="0" w:space="0" w:color="auto"/>
      </w:divBdr>
    </w:div>
    <w:div w:id="901405308">
      <w:bodyDiv w:val="1"/>
      <w:marLeft w:val="0"/>
      <w:marRight w:val="0"/>
      <w:marTop w:val="0"/>
      <w:marBottom w:val="0"/>
      <w:divBdr>
        <w:top w:val="none" w:sz="0" w:space="0" w:color="auto"/>
        <w:left w:val="none" w:sz="0" w:space="0" w:color="auto"/>
        <w:bottom w:val="none" w:sz="0" w:space="0" w:color="auto"/>
        <w:right w:val="none" w:sz="0" w:space="0" w:color="auto"/>
      </w:divBdr>
    </w:div>
    <w:div w:id="901719235">
      <w:bodyDiv w:val="1"/>
      <w:marLeft w:val="0"/>
      <w:marRight w:val="0"/>
      <w:marTop w:val="0"/>
      <w:marBottom w:val="0"/>
      <w:divBdr>
        <w:top w:val="none" w:sz="0" w:space="0" w:color="auto"/>
        <w:left w:val="none" w:sz="0" w:space="0" w:color="auto"/>
        <w:bottom w:val="none" w:sz="0" w:space="0" w:color="auto"/>
        <w:right w:val="none" w:sz="0" w:space="0" w:color="auto"/>
      </w:divBdr>
    </w:div>
    <w:div w:id="902253629">
      <w:bodyDiv w:val="1"/>
      <w:marLeft w:val="0"/>
      <w:marRight w:val="0"/>
      <w:marTop w:val="0"/>
      <w:marBottom w:val="0"/>
      <w:divBdr>
        <w:top w:val="none" w:sz="0" w:space="0" w:color="auto"/>
        <w:left w:val="none" w:sz="0" w:space="0" w:color="auto"/>
        <w:bottom w:val="none" w:sz="0" w:space="0" w:color="auto"/>
        <w:right w:val="none" w:sz="0" w:space="0" w:color="auto"/>
      </w:divBdr>
    </w:div>
    <w:div w:id="902372409">
      <w:bodyDiv w:val="1"/>
      <w:marLeft w:val="0"/>
      <w:marRight w:val="0"/>
      <w:marTop w:val="0"/>
      <w:marBottom w:val="0"/>
      <w:divBdr>
        <w:top w:val="none" w:sz="0" w:space="0" w:color="auto"/>
        <w:left w:val="none" w:sz="0" w:space="0" w:color="auto"/>
        <w:bottom w:val="none" w:sz="0" w:space="0" w:color="auto"/>
        <w:right w:val="none" w:sz="0" w:space="0" w:color="auto"/>
      </w:divBdr>
    </w:div>
    <w:div w:id="902639012">
      <w:bodyDiv w:val="1"/>
      <w:marLeft w:val="0"/>
      <w:marRight w:val="0"/>
      <w:marTop w:val="0"/>
      <w:marBottom w:val="0"/>
      <w:divBdr>
        <w:top w:val="none" w:sz="0" w:space="0" w:color="auto"/>
        <w:left w:val="none" w:sz="0" w:space="0" w:color="auto"/>
        <w:bottom w:val="none" w:sz="0" w:space="0" w:color="auto"/>
        <w:right w:val="none" w:sz="0" w:space="0" w:color="auto"/>
      </w:divBdr>
    </w:div>
    <w:div w:id="903222872">
      <w:bodyDiv w:val="1"/>
      <w:marLeft w:val="0"/>
      <w:marRight w:val="0"/>
      <w:marTop w:val="0"/>
      <w:marBottom w:val="0"/>
      <w:divBdr>
        <w:top w:val="none" w:sz="0" w:space="0" w:color="auto"/>
        <w:left w:val="none" w:sz="0" w:space="0" w:color="auto"/>
        <w:bottom w:val="none" w:sz="0" w:space="0" w:color="auto"/>
        <w:right w:val="none" w:sz="0" w:space="0" w:color="auto"/>
      </w:divBdr>
    </w:div>
    <w:div w:id="903838817">
      <w:bodyDiv w:val="1"/>
      <w:marLeft w:val="0"/>
      <w:marRight w:val="0"/>
      <w:marTop w:val="0"/>
      <w:marBottom w:val="0"/>
      <w:divBdr>
        <w:top w:val="none" w:sz="0" w:space="0" w:color="auto"/>
        <w:left w:val="none" w:sz="0" w:space="0" w:color="auto"/>
        <w:bottom w:val="none" w:sz="0" w:space="0" w:color="auto"/>
        <w:right w:val="none" w:sz="0" w:space="0" w:color="auto"/>
      </w:divBdr>
    </w:div>
    <w:div w:id="903874293">
      <w:bodyDiv w:val="1"/>
      <w:marLeft w:val="0"/>
      <w:marRight w:val="0"/>
      <w:marTop w:val="0"/>
      <w:marBottom w:val="0"/>
      <w:divBdr>
        <w:top w:val="none" w:sz="0" w:space="0" w:color="auto"/>
        <w:left w:val="none" w:sz="0" w:space="0" w:color="auto"/>
        <w:bottom w:val="none" w:sz="0" w:space="0" w:color="auto"/>
        <w:right w:val="none" w:sz="0" w:space="0" w:color="auto"/>
      </w:divBdr>
    </w:div>
    <w:div w:id="904266530">
      <w:bodyDiv w:val="1"/>
      <w:marLeft w:val="0"/>
      <w:marRight w:val="0"/>
      <w:marTop w:val="0"/>
      <w:marBottom w:val="0"/>
      <w:divBdr>
        <w:top w:val="none" w:sz="0" w:space="0" w:color="auto"/>
        <w:left w:val="none" w:sz="0" w:space="0" w:color="auto"/>
        <w:bottom w:val="none" w:sz="0" w:space="0" w:color="auto"/>
        <w:right w:val="none" w:sz="0" w:space="0" w:color="auto"/>
      </w:divBdr>
    </w:div>
    <w:div w:id="904727511">
      <w:bodyDiv w:val="1"/>
      <w:marLeft w:val="0"/>
      <w:marRight w:val="0"/>
      <w:marTop w:val="0"/>
      <w:marBottom w:val="0"/>
      <w:divBdr>
        <w:top w:val="none" w:sz="0" w:space="0" w:color="auto"/>
        <w:left w:val="none" w:sz="0" w:space="0" w:color="auto"/>
        <w:bottom w:val="none" w:sz="0" w:space="0" w:color="auto"/>
        <w:right w:val="none" w:sz="0" w:space="0" w:color="auto"/>
      </w:divBdr>
    </w:div>
    <w:div w:id="904952826">
      <w:bodyDiv w:val="1"/>
      <w:marLeft w:val="0"/>
      <w:marRight w:val="0"/>
      <w:marTop w:val="0"/>
      <w:marBottom w:val="0"/>
      <w:divBdr>
        <w:top w:val="none" w:sz="0" w:space="0" w:color="auto"/>
        <w:left w:val="none" w:sz="0" w:space="0" w:color="auto"/>
        <w:bottom w:val="none" w:sz="0" w:space="0" w:color="auto"/>
        <w:right w:val="none" w:sz="0" w:space="0" w:color="auto"/>
      </w:divBdr>
    </w:div>
    <w:div w:id="905529126">
      <w:bodyDiv w:val="1"/>
      <w:marLeft w:val="0"/>
      <w:marRight w:val="0"/>
      <w:marTop w:val="0"/>
      <w:marBottom w:val="0"/>
      <w:divBdr>
        <w:top w:val="none" w:sz="0" w:space="0" w:color="auto"/>
        <w:left w:val="none" w:sz="0" w:space="0" w:color="auto"/>
        <w:bottom w:val="none" w:sz="0" w:space="0" w:color="auto"/>
        <w:right w:val="none" w:sz="0" w:space="0" w:color="auto"/>
      </w:divBdr>
    </w:div>
    <w:div w:id="905804509">
      <w:bodyDiv w:val="1"/>
      <w:marLeft w:val="0"/>
      <w:marRight w:val="0"/>
      <w:marTop w:val="0"/>
      <w:marBottom w:val="0"/>
      <w:divBdr>
        <w:top w:val="none" w:sz="0" w:space="0" w:color="auto"/>
        <w:left w:val="none" w:sz="0" w:space="0" w:color="auto"/>
        <w:bottom w:val="none" w:sz="0" w:space="0" w:color="auto"/>
        <w:right w:val="none" w:sz="0" w:space="0" w:color="auto"/>
      </w:divBdr>
    </w:div>
    <w:div w:id="905921102">
      <w:bodyDiv w:val="1"/>
      <w:marLeft w:val="0"/>
      <w:marRight w:val="0"/>
      <w:marTop w:val="0"/>
      <w:marBottom w:val="0"/>
      <w:divBdr>
        <w:top w:val="none" w:sz="0" w:space="0" w:color="auto"/>
        <w:left w:val="none" w:sz="0" w:space="0" w:color="auto"/>
        <w:bottom w:val="none" w:sz="0" w:space="0" w:color="auto"/>
        <w:right w:val="none" w:sz="0" w:space="0" w:color="auto"/>
      </w:divBdr>
    </w:div>
    <w:div w:id="906036855">
      <w:bodyDiv w:val="1"/>
      <w:marLeft w:val="0"/>
      <w:marRight w:val="0"/>
      <w:marTop w:val="0"/>
      <w:marBottom w:val="0"/>
      <w:divBdr>
        <w:top w:val="none" w:sz="0" w:space="0" w:color="auto"/>
        <w:left w:val="none" w:sz="0" w:space="0" w:color="auto"/>
        <w:bottom w:val="none" w:sz="0" w:space="0" w:color="auto"/>
        <w:right w:val="none" w:sz="0" w:space="0" w:color="auto"/>
      </w:divBdr>
    </w:div>
    <w:div w:id="906106466">
      <w:bodyDiv w:val="1"/>
      <w:marLeft w:val="0"/>
      <w:marRight w:val="0"/>
      <w:marTop w:val="0"/>
      <w:marBottom w:val="0"/>
      <w:divBdr>
        <w:top w:val="none" w:sz="0" w:space="0" w:color="auto"/>
        <w:left w:val="none" w:sz="0" w:space="0" w:color="auto"/>
        <w:bottom w:val="none" w:sz="0" w:space="0" w:color="auto"/>
        <w:right w:val="none" w:sz="0" w:space="0" w:color="auto"/>
      </w:divBdr>
    </w:div>
    <w:div w:id="906307767">
      <w:bodyDiv w:val="1"/>
      <w:marLeft w:val="0"/>
      <w:marRight w:val="0"/>
      <w:marTop w:val="0"/>
      <w:marBottom w:val="0"/>
      <w:divBdr>
        <w:top w:val="none" w:sz="0" w:space="0" w:color="auto"/>
        <w:left w:val="none" w:sz="0" w:space="0" w:color="auto"/>
        <w:bottom w:val="none" w:sz="0" w:space="0" w:color="auto"/>
        <w:right w:val="none" w:sz="0" w:space="0" w:color="auto"/>
      </w:divBdr>
    </w:div>
    <w:div w:id="906456425">
      <w:bodyDiv w:val="1"/>
      <w:marLeft w:val="0"/>
      <w:marRight w:val="0"/>
      <w:marTop w:val="0"/>
      <w:marBottom w:val="0"/>
      <w:divBdr>
        <w:top w:val="none" w:sz="0" w:space="0" w:color="auto"/>
        <w:left w:val="none" w:sz="0" w:space="0" w:color="auto"/>
        <w:bottom w:val="none" w:sz="0" w:space="0" w:color="auto"/>
        <w:right w:val="none" w:sz="0" w:space="0" w:color="auto"/>
      </w:divBdr>
    </w:div>
    <w:div w:id="906458337">
      <w:bodyDiv w:val="1"/>
      <w:marLeft w:val="0"/>
      <w:marRight w:val="0"/>
      <w:marTop w:val="0"/>
      <w:marBottom w:val="0"/>
      <w:divBdr>
        <w:top w:val="none" w:sz="0" w:space="0" w:color="auto"/>
        <w:left w:val="none" w:sz="0" w:space="0" w:color="auto"/>
        <w:bottom w:val="none" w:sz="0" w:space="0" w:color="auto"/>
        <w:right w:val="none" w:sz="0" w:space="0" w:color="auto"/>
      </w:divBdr>
    </w:div>
    <w:div w:id="906887651">
      <w:bodyDiv w:val="1"/>
      <w:marLeft w:val="0"/>
      <w:marRight w:val="0"/>
      <w:marTop w:val="0"/>
      <w:marBottom w:val="0"/>
      <w:divBdr>
        <w:top w:val="none" w:sz="0" w:space="0" w:color="auto"/>
        <w:left w:val="none" w:sz="0" w:space="0" w:color="auto"/>
        <w:bottom w:val="none" w:sz="0" w:space="0" w:color="auto"/>
        <w:right w:val="none" w:sz="0" w:space="0" w:color="auto"/>
      </w:divBdr>
    </w:div>
    <w:div w:id="907105772">
      <w:bodyDiv w:val="1"/>
      <w:marLeft w:val="0"/>
      <w:marRight w:val="0"/>
      <w:marTop w:val="0"/>
      <w:marBottom w:val="0"/>
      <w:divBdr>
        <w:top w:val="none" w:sz="0" w:space="0" w:color="auto"/>
        <w:left w:val="none" w:sz="0" w:space="0" w:color="auto"/>
        <w:bottom w:val="none" w:sz="0" w:space="0" w:color="auto"/>
        <w:right w:val="none" w:sz="0" w:space="0" w:color="auto"/>
      </w:divBdr>
    </w:div>
    <w:div w:id="908342467">
      <w:bodyDiv w:val="1"/>
      <w:marLeft w:val="0"/>
      <w:marRight w:val="0"/>
      <w:marTop w:val="0"/>
      <w:marBottom w:val="0"/>
      <w:divBdr>
        <w:top w:val="none" w:sz="0" w:space="0" w:color="auto"/>
        <w:left w:val="none" w:sz="0" w:space="0" w:color="auto"/>
        <w:bottom w:val="none" w:sz="0" w:space="0" w:color="auto"/>
        <w:right w:val="none" w:sz="0" w:space="0" w:color="auto"/>
      </w:divBdr>
    </w:div>
    <w:div w:id="909192832">
      <w:bodyDiv w:val="1"/>
      <w:marLeft w:val="0"/>
      <w:marRight w:val="0"/>
      <w:marTop w:val="0"/>
      <w:marBottom w:val="0"/>
      <w:divBdr>
        <w:top w:val="none" w:sz="0" w:space="0" w:color="auto"/>
        <w:left w:val="none" w:sz="0" w:space="0" w:color="auto"/>
        <w:bottom w:val="none" w:sz="0" w:space="0" w:color="auto"/>
        <w:right w:val="none" w:sz="0" w:space="0" w:color="auto"/>
      </w:divBdr>
    </w:div>
    <w:div w:id="909270843">
      <w:bodyDiv w:val="1"/>
      <w:marLeft w:val="0"/>
      <w:marRight w:val="0"/>
      <w:marTop w:val="0"/>
      <w:marBottom w:val="0"/>
      <w:divBdr>
        <w:top w:val="none" w:sz="0" w:space="0" w:color="auto"/>
        <w:left w:val="none" w:sz="0" w:space="0" w:color="auto"/>
        <w:bottom w:val="none" w:sz="0" w:space="0" w:color="auto"/>
        <w:right w:val="none" w:sz="0" w:space="0" w:color="auto"/>
      </w:divBdr>
    </w:div>
    <w:div w:id="909802178">
      <w:bodyDiv w:val="1"/>
      <w:marLeft w:val="0"/>
      <w:marRight w:val="0"/>
      <w:marTop w:val="0"/>
      <w:marBottom w:val="0"/>
      <w:divBdr>
        <w:top w:val="none" w:sz="0" w:space="0" w:color="auto"/>
        <w:left w:val="none" w:sz="0" w:space="0" w:color="auto"/>
        <w:bottom w:val="none" w:sz="0" w:space="0" w:color="auto"/>
        <w:right w:val="none" w:sz="0" w:space="0" w:color="auto"/>
      </w:divBdr>
    </w:div>
    <w:div w:id="909999247">
      <w:bodyDiv w:val="1"/>
      <w:marLeft w:val="0"/>
      <w:marRight w:val="0"/>
      <w:marTop w:val="0"/>
      <w:marBottom w:val="0"/>
      <w:divBdr>
        <w:top w:val="none" w:sz="0" w:space="0" w:color="auto"/>
        <w:left w:val="none" w:sz="0" w:space="0" w:color="auto"/>
        <w:bottom w:val="none" w:sz="0" w:space="0" w:color="auto"/>
        <w:right w:val="none" w:sz="0" w:space="0" w:color="auto"/>
      </w:divBdr>
    </w:div>
    <w:div w:id="910962377">
      <w:bodyDiv w:val="1"/>
      <w:marLeft w:val="0"/>
      <w:marRight w:val="0"/>
      <w:marTop w:val="0"/>
      <w:marBottom w:val="0"/>
      <w:divBdr>
        <w:top w:val="none" w:sz="0" w:space="0" w:color="auto"/>
        <w:left w:val="none" w:sz="0" w:space="0" w:color="auto"/>
        <w:bottom w:val="none" w:sz="0" w:space="0" w:color="auto"/>
        <w:right w:val="none" w:sz="0" w:space="0" w:color="auto"/>
      </w:divBdr>
    </w:div>
    <w:div w:id="910964787">
      <w:bodyDiv w:val="1"/>
      <w:marLeft w:val="0"/>
      <w:marRight w:val="0"/>
      <w:marTop w:val="0"/>
      <w:marBottom w:val="0"/>
      <w:divBdr>
        <w:top w:val="none" w:sz="0" w:space="0" w:color="auto"/>
        <w:left w:val="none" w:sz="0" w:space="0" w:color="auto"/>
        <w:bottom w:val="none" w:sz="0" w:space="0" w:color="auto"/>
        <w:right w:val="none" w:sz="0" w:space="0" w:color="auto"/>
      </w:divBdr>
    </w:div>
    <w:div w:id="911506500">
      <w:bodyDiv w:val="1"/>
      <w:marLeft w:val="0"/>
      <w:marRight w:val="0"/>
      <w:marTop w:val="0"/>
      <w:marBottom w:val="0"/>
      <w:divBdr>
        <w:top w:val="none" w:sz="0" w:space="0" w:color="auto"/>
        <w:left w:val="none" w:sz="0" w:space="0" w:color="auto"/>
        <w:bottom w:val="none" w:sz="0" w:space="0" w:color="auto"/>
        <w:right w:val="none" w:sz="0" w:space="0" w:color="auto"/>
      </w:divBdr>
    </w:div>
    <w:div w:id="911740271">
      <w:bodyDiv w:val="1"/>
      <w:marLeft w:val="0"/>
      <w:marRight w:val="0"/>
      <w:marTop w:val="0"/>
      <w:marBottom w:val="0"/>
      <w:divBdr>
        <w:top w:val="none" w:sz="0" w:space="0" w:color="auto"/>
        <w:left w:val="none" w:sz="0" w:space="0" w:color="auto"/>
        <w:bottom w:val="none" w:sz="0" w:space="0" w:color="auto"/>
        <w:right w:val="none" w:sz="0" w:space="0" w:color="auto"/>
      </w:divBdr>
    </w:div>
    <w:div w:id="911768398">
      <w:bodyDiv w:val="1"/>
      <w:marLeft w:val="0"/>
      <w:marRight w:val="0"/>
      <w:marTop w:val="0"/>
      <w:marBottom w:val="0"/>
      <w:divBdr>
        <w:top w:val="none" w:sz="0" w:space="0" w:color="auto"/>
        <w:left w:val="none" w:sz="0" w:space="0" w:color="auto"/>
        <w:bottom w:val="none" w:sz="0" w:space="0" w:color="auto"/>
        <w:right w:val="none" w:sz="0" w:space="0" w:color="auto"/>
      </w:divBdr>
    </w:div>
    <w:div w:id="911814701">
      <w:bodyDiv w:val="1"/>
      <w:marLeft w:val="0"/>
      <w:marRight w:val="0"/>
      <w:marTop w:val="0"/>
      <w:marBottom w:val="0"/>
      <w:divBdr>
        <w:top w:val="none" w:sz="0" w:space="0" w:color="auto"/>
        <w:left w:val="none" w:sz="0" w:space="0" w:color="auto"/>
        <w:bottom w:val="none" w:sz="0" w:space="0" w:color="auto"/>
        <w:right w:val="none" w:sz="0" w:space="0" w:color="auto"/>
      </w:divBdr>
    </w:div>
    <w:div w:id="911818441">
      <w:bodyDiv w:val="1"/>
      <w:marLeft w:val="0"/>
      <w:marRight w:val="0"/>
      <w:marTop w:val="0"/>
      <w:marBottom w:val="0"/>
      <w:divBdr>
        <w:top w:val="none" w:sz="0" w:space="0" w:color="auto"/>
        <w:left w:val="none" w:sz="0" w:space="0" w:color="auto"/>
        <w:bottom w:val="none" w:sz="0" w:space="0" w:color="auto"/>
        <w:right w:val="none" w:sz="0" w:space="0" w:color="auto"/>
      </w:divBdr>
    </w:div>
    <w:div w:id="911963802">
      <w:bodyDiv w:val="1"/>
      <w:marLeft w:val="0"/>
      <w:marRight w:val="0"/>
      <w:marTop w:val="0"/>
      <w:marBottom w:val="0"/>
      <w:divBdr>
        <w:top w:val="none" w:sz="0" w:space="0" w:color="auto"/>
        <w:left w:val="none" w:sz="0" w:space="0" w:color="auto"/>
        <w:bottom w:val="none" w:sz="0" w:space="0" w:color="auto"/>
        <w:right w:val="none" w:sz="0" w:space="0" w:color="auto"/>
      </w:divBdr>
    </w:div>
    <w:div w:id="912154714">
      <w:bodyDiv w:val="1"/>
      <w:marLeft w:val="0"/>
      <w:marRight w:val="0"/>
      <w:marTop w:val="0"/>
      <w:marBottom w:val="0"/>
      <w:divBdr>
        <w:top w:val="none" w:sz="0" w:space="0" w:color="auto"/>
        <w:left w:val="none" w:sz="0" w:space="0" w:color="auto"/>
        <w:bottom w:val="none" w:sz="0" w:space="0" w:color="auto"/>
        <w:right w:val="none" w:sz="0" w:space="0" w:color="auto"/>
      </w:divBdr>
    </w:div>
    <w:div w:id="912354346">
      <w:bodyDiv w:val="1"/>
      <w:marLeft w:val="0"/>
      <w:marRight w:val="0"/>
      <w:marTop w:val="0"/>
      <w:marBottom w:val="0"/>
      <w:divBdr>
        <w:top w:val="none" w:sz="0" w:space="0" w:color="auto"/>
        <w:left w:val="none" w:sz="0" w:space="0" w:color="auto"/>
        <w:bottom w:val="none" w:sz="0" w:space="0" w:color="auto"/>
        <w:right w:val="none" w:sz="0" w:space="0" w:color="auto"/>
      </w:divBdr>
    </w:div>
    <w:div w:id="912743290">
      <w:bodyDiv w:val="1"/>
      <w:marLeft w:val="0"/>
      <w:marRight w:val="0"/>
      <w:marTop w:val="0"/>
      <w:marBottom w:val="0"/>
      <w:divBdr>
        <w:top w:val="none" w:sz="0" w:space="0" w:color="auto"/>
        <w:left w:val="none" w:sz="0" w:space="0" w:color="auto"/>
        <w:bottom w:val="none" w:sz="0" w:space="0" w:color="auto"/>
        <w:right w:val="none" w:sz="0" w:space="0" w:color="auto"/>
      </w:divBdr>
    </w:div>
    <w:div w:id="912854551">
      <w:bodyDiv w:val="1"/>
      <w:marLeft w:val="0"/>
      <w:marRight w:val="0"/>
      <w:marTop w:val="0"/>
      <w:marBottom w:val="0"/>
      <w:divBdr>
        <w:top w:val="none" w:sz="0" w:space="0" w:color="auto"/>
        <w:left w:val="none" w:sz="0" w:space="0" w:color="auto"/>
        <w:bottom w:val="none" w:sz="0" w:space="0" w:color="auto"/>
        <w:right w:val="none" w:sz="0" w:space="0" w:color="auto"/>
      </w:divBdr>
    </w:div>
    <w:div w:id="913125345">
      <w:bodyDiv w:val="1"/>
      <w:marLeft w:val="0"/>
      <w:marRight w:val="0"/>
      <w:marTop w:val="0"/>
      <w:marBottom w:val="0"/>
      <w:divBdr>
        <w:top w:val="none" w:sz="0" w:space="0" w:color="auto"/>
        <w:left w:val="none" w:sz="0" w:space="0" w:color="auto"/>
        <w:bottom w:val="none" w:sz="0" w:space="0" w:color="auto"/>
        <w:right w:val="none" w:sz="0" w:space="0" w:color="auto"/>
      </w:divBdr>
    </w:div>
    <w:div w:id="913928395">
      <w:bodyDiv w:val="1"/>
      <w:marLeft w:val="0"/>
      <w:marRight w:val="0"/>
      <w:marTop w:val="0"/>
      <w:marBottom w:val="0"/>
      <w:divBdr>
        <w:top w:val="none" w:sz="0" w:space="0" w:color="auto"/>
        <w:left w:val="none" w:sz="0" w:space="0" w:color="auto"/>
        <w:bottom w:val="none" w:sz="0" w:space="0" w:color="auto"/>
        <w:right w:val="none" w:sz="0" w:space="0" w:color="auto"/>
      </w:divBdr>
    </w:div>
    <w:div w:id="914171176">
      <w:bodyDiv w:val="1"/>
      <w:marLeft w:val="0"/>
      <w:marRight w:val="0"/>
      <w:marTop w:val="0"/>
      <w:marBottom w:val="0"/>
      <w:divBdr>
        <w:top w:val="none" w:sz="0" w:space="0" w:color="auto"/>
        <w:left w:val="none" w:sz="0" w:space="0" w:color="auto"/>
        <w:bottom w:val="none" w:sz="0" w:space="0" w:color="auto"/>
        <w:right w:val="none" w:sz="0" w:space="0" w:color="auto"/>
      </w:divBdr>
    </w:div>
    <w:div w:id="915096586">
      <w:bodyDiv w:val="1"/>
      <w:marLeft w:val="0"/>
      <w:marRight w:val="0"/>
      <w:marTop w:val="0"/>
      <w:marBottom w:val="0"/>
      <w:divBdr>
        <w:top w:val="none" w:sz="0" w:space="0" w:color="auto"/>
        <w:left w:val="none" w:sz="0" w:space="0" w:color="auto"/>
        <w:bottom w:val="none" w:sz="0" w:space="0" w:color="auto"/>
        <w:right w:val="none" w:sz="0" w:space="0" w:color="auto"/>
      </w:divBdr>
    </w:div>
    <w:div w:id="915283090">
      <w:bodyDiv w:val="1"/>
      <w:marLeft w:val="0"/>
      <w:marRight w:val="0"/>
      <w:marTop w:val="0"/>
      <w:marBottom w:val="0"/>
      <w:divBdr>
        <w:top w:val="none" w:sz="0" w:space="0" w:color="auto"/>
        <w:left w:val="none" w:sz="0" w:space="0" w:color="auto"/>
        <w:bottom w:val="none" w:sz="0" w:space="0" w:color="auto"/>
        <w:right w:val="none" w:sz="0" w:space="0" w:color="auto"/>
      </w:divBdr>
    </w:div>
    <w:div w:id="915357818">
      <w:bodyDiv w:val="1"/>
      <w:marLeft w:val="0"/>
      <w:marRight w:val="0"/>
      <w:marTop w:val="0"/>
      <w:marBottom w:val="0"/>
      <w:divBdr>
        <w:top w:val="none" w:sz="0" w:space="0" w:color="auto"/>
        <w:left w:val="none" w:sz="0" w:space="0" w:color="auto"/>
        <w:bottom w:val="none" w:sz="0" w:space="0" w:color="auto"/>
        <w:right w:val="none" w:sz="0" w:space="0" w:color="auto"/>
      </w:divBdr>
    </w:div>
    <w:div w:id="915437059">
      <w:bodyDiv w:val="1"/>
      <w:marLeft w:val="0"/>
      <w:marRight w:val="0"/>
      <w:marTop w:val="0"/>
      <w:marBottom w:val="0"/>
      <w:divBdr>
        <w:top w:val="none" w:sz="0" w:space="0" w:color="auto"/>
        <w:left w:val="none" w:sz="0" w:space="0" w:color="auto"/>
        <w:bottom w:val="none" w:sz="0" w:space="0" w:color="auto"/>
        <w:right w:val="none" w:sz="0" w:space="0" w:color="auto"/>
      </w:divBdr>
    </w:div>
    <w:div w:id="916521515">
      <w:bodyDiv w:val="1"/>
      <w:marLeft w:val="0"/>
      <w:marRight w:val="0"/>
      <w:marTop w:val="0"/>
      <w:marBottom w:val="0"/>
      <w:divBdr>
        <w:top w:val="none" w:sz="0" w:space="0" w:color="auto"/>
        <w:left w:val="none" w:sz="0" w:space="0" w:color="auto"/>
        <w:bottom w:val="none" w:sz="0" w:space="0" w:color="auto"/>
        <w:right w:val="none" w:sz="0" w:space="0" w:color="auto"/>
      </w:divBdr>
    </w:div>
    <w:div w:id="916741938">
      <w:bodyDiv w:val="1"/>
      <w:marLeft w:val="0"/>
      <w:marRight w:val="0"/>
      <w:marTop w:val="0"/>
      <w:marBottom w:val="0"/>
      <w:divBdr>
        <w:top w:val="none" w:sz="0" w:space="0" w:color="auto"/>
        <w:left w:val="none" w:sz="0" w:space="0" w:color="auto"/>
        <w:bottom w:val="none" w:sz="0" w:space="0" w:color="auto"/>
        <w:right w:val="none" w:sz="0" w:space="0" w:color="auto"/>
      </w:divBdr>
    </w:div>
    <w:div w:id="917250514">
      <w:bodyDiv w:val="1"/>
      <w:marLeft w:val="0"/>
      <w:marRight w:val="0"/>
      <w:marTop w:val="0"/>
      <w:marBottom w:val="0"/>
      <w:divBdr>
        <w:top w:val="none" w:sz="0" w:space="0" w:color="auto"/>
        <w:left w:val="none" w:sz="0" w:space="0" w:color="auto"/>
        <w:bottom w:val="none" w:sz="0" w:space="0" w:color="auto"/>
        <w:right w:val="none" w:sz="0" w:space="0" w:color="auto"/>
      </w:divBdr>
    </w:div>
    <w:div w:id="917325009">
      <w:bodyDiv w:val="1"/>
      <w:marLeft w:val="0"/>
      <w:marRight w:val="0"/>
      <w:marTop w:val="0"/>
      <w:marBottom w:val="0"/>
      <w:divBdr>
        <w:top w:val="none" w:sz="0" w:space="0" w:color="auto"/>
        <w:left w:val="none" w:sz="0" w:space="0" w:color="auto"/>
        <w:bottom w:val="none" w:sz="0" w:space="0" w:color="auto"/>
        <w:right w:val="none" w:sz="0" w:space="0" w:color="auto"/>
      </w:divBdr>
    </w:div>
    <w:div w:id="917326403">
      <w:bodyDiv w:val="1"/>
      <w:marLeft w:val="0"/>
      <w:marRight w:val="0"/>
      <w:marTop w:val="0"/>
      <w:marBottom w:val="0"/>
      <w:divBdr>
        <w:top w:val="none" w:sz="0" w:space="0" w:color="auto"/>
        <w:left w:val="none" w:sz="0" w:space="0" w:color="auto"/>
        <w:bottom w:val="none" w:sz="0" w:space="0" w:color="auto"/>
        <w:right w:val="none" w:sz="0" w:space="0" w:color="auto"/>
      </w:divBdr>
    </w:div>
    <w:div w:id="917522601">
      <w:bodyDiv w:val="1"/>
      <w:marLeft w:val="0"/>
      <w:marRight w:val="0"/>
      <w:marTop w:val="0"/>
      <w:marBottom w:val="0"/>
      <w:divBdr>
        <w:top w:val="none" w:sz="0" w:space="0" w:color="auto"/>
        <w:left w:val="none" w:sz="0" w:space="0" w:color="auto"/>
        <w:bottom w:val="none" w:sz="0" w:space="0" w:color="auto"/>
        <w:right w:val="none" w:sz="0" w:space="0" w:color="auto"/>
      </w:divBdr>
    </w:div>
    <w:div w:id="917785880">
      <w:bodyDiv w:val="1"/>
      <w:marLeft w:val="0"/>
      <w:marRight w:val="0"/>
      <w:marTop w:val="0"/>
      <w:marBottom w:val="0"/>
      <w:divBdr>
        <w:top w:val="none" w:sz="0" w:space="0" w:color="auto"/>
        <w:left w:val="none" w:sz="0" w:space="0" w:color="auto"/>
        <w:bottom w:val="none" w:sz="0" w:space="0" w:color="auto"/>
        <w:right w:val="none" w:sz="0" w:space="0" w:color="auto"/>
      </w:divBdr>
    </w:div>
    <w:div w:id="918371298">
      <w:bodyDiv w:val="1"/>
      <w:marLeft w:val="0"/>
      <w:marRight w:val="0"/>
      <w:marTop w:val="0"/>
      <w:marBottom w:val="0"/>
      <w:divBdr>
        <w:top w:val="none" w:sz="0" w:space="0" w:color="auto"/>
        <w:left w:val="none" w:sz="0" w:space="0" w:color="auto"/>
        <w:bottom w:val="none" w:sz="0" w:space="0" w:color="auto"/>
        <w:right w:val="none" w:sz="0" w:space="0" w:color="auto"/>
      </w:divBdr>
    </w:div>
    <w:div w:id="918441829">
      <w:bodyDiv w:val="1"/>
      <w:marLeft w:val="0"/>
      <w:marRight w:val="0"/>
      <w:marTop w:val="0"/>
      <w:marBottom w:val="0"/>
      <w:divBdr>
        <w:top w:val="none" w:sz="0" w:space="0" w:color="auto"/>
        <w:left w:val="none" w:sz="0" w:space="0" w:color="auto"/>
        <w:bottom w:val="none" w:sz="0" w:space="0" w:color="auto"/>
        <w:right w:val="none" w:sz="0" w:space="0" w:color="auto"/>
      </w:divBdr>
    </w:div>
    <w:div w:id="918519046">
      <w:bodyDiv w:val="1"/>
      <w:marLeft w:val="0"/>
      <w:marRight w:val="0"/>
      <w:marTop w:val="0"/>
      <w:marBottom w:val="0"/>
      <w:divBdr>
        <w:top w:val="none" w:sz="0" w:space="0" w:color="auto"/>
        <w:left w:val="none" w:sz="0" w:space="0" w:color="auto"/>
        <w:bottom w:val="none" w:sz="0" w:space="0" w:color="auto"/>
        <w:right w:val="none" w:sz="0" w:space="0" w:color="auto"/>
      </w:divBdr>
    </w:div>
    <w:div w:id="918755393">
      <w:bodyDiv w:val="1"/>
      <w:marLeft w:val="0"/>
      <w:marRight w:val="0"/>
      <w:marTop w:val="0"/>
      <w:marBottom w:val="0"/>
      <w:divBdr>
        <w:top w:val="none" w:sz="0" w:space="0" w:color="auto"/>
        <w:left w:val="none" w:sz="0" w:space="0" w:color="auto"/>
        <w:bottom w:val="none" w:sz="0" w:space="0" w:color="auto"/>
        <w:right w:val="none" w:sz="0" w:space="0" w:color="auto"/>
      </w:divBdr>
    </w:div>
    <w:div w:id="918827645">
      <w:bodyDiv w:val="1"/>
      <w:marLeft w:val="0"/>
      <w:marRight w:val="0"/>
      <w:marTop w:val="0"/>
      <w:marBottom w:val="0"/>
      <w:divBdr>
        <w:top w:val="none" w:sz="0" w:space="0" w:color="auto"/>
        <w:left w:val="none" w:sz="0" w:space="0" w:color="auto"/>
        <w:bottom w:val="none" w:sz="0" w:space="0" w:color="auto"/>
        <w:right w:val="none" w:sz="0" w:space="0" w:color="auto"/>
      </w:divBdr>
    </w:div>
    <w:div w:id="918831389">
      <w:bodyDiv w:val="1"/>
      <w:marLeft w:val="0"/>
      <w:marRight w:val="0"/>
      <w:marTop w:val="0"/>
      <w:marBottom w:val="0"/>
      <w:divBdr>
        <w:top w:val="none" w:sz="0" w:space="0" w:color="auto"/>
        <w:left w:val="none" w:sz="0" w:space="0" w:color="auto"/>
        <w:bottom w:val="none" w:sz="0" w:space="0" w:color="auto"/>
        <w:right w:val="none" w:sz="0" w:space="0" w:color="auto"/>
      </w:divBdr>
    </w:div>
    <w:div w:id="918952296">
      <w:bodyDiv w:val="1"/>
      <w:marLeft w:val="0"/>
      <w:marRight w:val="0"/>
      <w:marTop w:val="0"/>
      <w:marBottom w:val="0"/>
      <w:divBdr>
        <w:top w:val="none" w:sz="0" w:space="0" w:color="auto"/>
        <w:left w:val="none" w:sz="0" w:space="0" w:color="auto"/>
        <w:bottom w:val="none" w:sz="0" w:space="0" w:color="auto"/>
        <w:right w:val="none" w:sz="0" w:space="0" w:color="auto"/>
      </w:divBdr>
    </w:div>
    <w:div w:id="919215521">
      <w:bodyDiv w:val="1"/>
      <w:marLeft w:val="0"/>
      <w:marRight w:val="0"/>
      <w:marTop w:val="0"/>
      <w:marBottom w:val="0"/>
      <w:divBdr>
        <w:top w:val="none" w:sz="0" w:space="0" w:color="auto"/>
        <w:left w:val="none" w:sz="0" w:space="0" w:color="auto"/>
        <w:bottom w:val="none" w:sz="0" w:space="0" w:color="auto"/>
        <w:right w:val="none" w:sz="0" w:space="0" w:color="auto"/>
      </w:divBdr>
    </w:div>
    <w:div w:id="919414477">
      <w:bodyDiv w:val="1"/>
      <w:marLeft w:val="0"/>
      <w:marRight w:val="0"/>
      <w:marTop w:val="0"/>
      <w:marBottom w:val="0"/>
      <w:divBdr>
        <w:top w:val="none" w:sz="0" w:space="0" w:color="auto"/>
        <w:left w:val="none" w:sz="0" w:space="0" w:color="auto"/>
        <w:bottom w:val="none" w:sz="0" w:space="0" w:color="auto"/>
        <w:right w:val="none" w:sz="0" w:space="0" w:color="auto"/>
      </w:divBdr>
    </w:div>
    <w:div w:id="919950485">
      <w:bodyDiv w:val="1"/>
      <w:marLeft w:val="0"/>
      <w:marRight w:val="0"/>
      <w:marTop w:val="0"/>
      <w:marBottom w:val="0"/>
      <w:divBdr>
        <w:top w:val="none" w:sz="0" w:space="0" w:color="auto"/>
        <w:left w:val="none" w:sz="0" w:space="0" w:color="auto"/>
        <w:bottom w:val="none" w:sz="0" w:space="0" w:color="auto"/>
        <w:right w:val="none" w:sz="0" w:space="0" w:color="auto"/>
      </w:divBdr>
    </w:div>
    <w:div w:id="920061224">
      <w:bodyDiv w:val="1"/>
      <w:marLeft w:val="0"/>
      <w:marRight w:val="0"/>
      <w:marTop w:val="0"/>
      <w:marBottom w:val="0"/>
      <w:divBdr>
        <w:top w:val="none" w:sz="0" w:space="0" w:color="auto"/>
        <w:left w:val="none" w:sz="0" w:space="0" w:color="auto"/>
        <w:bottom w:val="none" w:sz="0" w:space="0" w:color="auto"/>
        <w:right w:val="none" w:sz="0" w:space="0" w:color="auto"/>
      </w:divBdr>
    </w:div>
    <w:div w:id="920875394">
      <w:bodyDiv w:val="1"/>
      <w:marLeft w:val="0"/>
      <w:marRight w:val="0"/>
      <w:marTop w:val="0"/>
      <w:marBottom w:val="0"/>
      <w:divBdr>
        <w:top w:val="none" w:sz="0" w:space="0" w:color="auto"/>
        <w:left w:val="none" w:sz="0" w:space="0" w:color="auto"/>
        <w:bottom w:val="none" w:sz="0" w:space="0" w:color="auto"/>
        <w:right w:val="none" w:sz="0" w:space="0" w:color="auto"/>
      </w:divBdr>
    </w:div>
    <w:div w:id="920988205">
      <w:bodyDiv w:val="1"/>
      <w:marLeft w:val="0"/>
      <w:marRight w:val="0"/>
      <w:marTop w:val="0"/>
      <w:marBottom w:val="0"/>
      <w:divBdr>
        <w:top w:val="none" w:sz="0" w:space="0" w:color="auto"/>
        <w:left w:val="none" w:sz="0" w:space="0" w:color="auto"/>
        <w:bottom w:val="none" w:sz="0" w:space="0" w:color="auto"/>
        <w:right w:val="none" w:sz="0" w:space="0" w:color="auto"/>
      </w:divBdr>
    </w:div>
    <w:div w:id="921255444">
      <w:bodyDiv w:val="1"/>
      <w:marLeft w:val="0"/>
      <w:marRight w:val="0"/>
      <w:marTop w:val="0"/>
      <w:marBottom w:val="0"/>
      <w:divBdr>
        <w:top w:val="none" w:sz="0" w:space="0" w:color="auto"/>
        <w:left w:val="none" w:sz="0" w:space="0" w:color="auto"/>
        <w:bottom w:val="none" w:sz="0" w:space="0" w:color="auto"/>
        <w:right w:val="none" w:sz="0" w:space="0" w:color="auto"/>
      </w:divBdr>
    </w:div>
    <w:div w:id="921723002">
      <w:bodyDiv w:val="1"/>
      <w:marLeft w:val="0"/>
      <w:marRight w:val="0"/>
      <w:marTop w:val="0"/>
      <w:marBottom w:val="0"/>
      <w:divBdr>
        <w:top w:val="none" w:sz="0" w:space="0" w:color="auto"/>
        <w:left w:val="none" w:sz="0" w:space="0" w:color="auto"/>
        <w:bottom w:val="none" w:sz="0" w:space="0" w:color="auto"/>
        <w:right w:val="none" w:sz="0" w:space="0" w:color="auto"/>
      </w:divBdr>
    </w:div>
    <w:div w:id="922374329">
      <w:bodyDiv w:val="1"/>
      <w:marLeft w:val="0"/>
      <w:marRight w:val="0"/>
      <w:marTop w:val="0"/>
      <w:marBottom w:val="0"/>
      <w:divBdr>
        <w:top w:val="none" w:sz="0" w:space="0" w:color="auto"/>
        <w:left w:val="none" w:sz="0" w:space="0" w:color="auto"/>
        <w:bottom w:val="none" w:sz="0" w:space="0" w:color="auto"/>
        <w:right w:val="none" w:sz="0" w:space="0" w:color="auto"/>
      </w:divBdr>
    </w:div>
    <w:div w:id="922421507">
      <w:bodyDiv w:val="1"/>
      <w:marLeft w:val="0"/>
      <w:marRight w:val="0"/>
      <w:marTop w:val="0"/>
      <w:marBottom w:val="0"/>
      <w:divBdr>
        <w:top w:val="none" w:sz="0" w:space="0" w:color="auto"/>
        <w:left w:val="none" w:sz="0" w:space="0" w:color="auto"/>
        <w:bottom w:val="none" w:sz="0" w:space="0" w:color="auto"/>
        <w:right w:val="none" w:sz="0" w:space="0" w:color="auto"/>
      </w:divBdr>
    </w:div>
    <w:div w:id="922451344">
      <w:bodyDiv w:val="1"/>
      <w:marLeft w:val="0"/>
      <w:marRight w:val="0"/>
      <w:marTop w:val="0"/>
      <w:marBottom w:val="0"/>
      <w:divBdr>
        <w:top w:val="none" w:sz="0" w:space="0" w:color="auto"/>
        <w:left w:val="none" w:sz="0" w:space="0" w:color="auto"/>
        <w:bottom w:val="none" w:sz="0" w:space="0" w:color="auto"/>
        <w:right w:val="none" w:sz="0" w:space="0" w:color="auto"/>
      </w:divBdr>
    </w:div>
    <w:div w:id="922645985">
      <w:bodyDiv w:val="1"/>
      <w:marLeft w:val="0"/>
      <w:marRight w:val="0"/>
      <w:marTop w:val="0"/>
      <w:marBottom w:val="0"/>
      <w:divBdr>
        <w:top w:val="none" w:sz="0" w:space="0" w:color="auto"/>
        <w:left w:val="none" w:sz="0" w:space="0" w:color="auto"/>
        <w:bottom w:val="none" w:sz="0" w:space="0" w:color="auto"/>
        <w:right w:val="none" w:sz="0" w:space="0" w:color="auto"/>
      </w:divBdr>
    </w:div>
    <w:div w:id="922883994">
      <w:bodyDiv w:val="1"/>
      <w:marLeft w:val="0"/>
      <w:marRight w:val="0"/>
      <w:marTop w:val="0"/>
      <w:marBottom w:val="0"/>
      <w:divBdr>
        <w:top w:val="none" w:sz="0" w:space="0" w:color="auto"/>
        <w:left w:val="none" w:sz="0" w:space="0" w:color="auto"/>
        <w:bottom w:val="none" w:sz="0" w:space="0" w:color="auto"/>
        <w:right w:val="none" w:sz="0" w:space="0" w:color="auto"/>
      </w:divBdr>
    </w:div>
    <w:div w:id="923303405">
      <w:bodyDiv w:val="1"/>
      <w:marLeft w:val="0"/>
      <w:marRight w:val="0"/>
      <w:marTop w:val="0"/>
      <w:marBottom w:val="0"/>
      <w:divBdr>
        <w:top w:val="none" w:sz="0" w:space="0" w:color="auto"/>
        <w:left w:val="none" w:sz="0" w:space="0" w:color="auto"/>
        <w:bottom w:val="none" w:sz="0" w:space="0" w:color="auto"/>
        <w:right w:val="none" w:sz="0" w:space="0" w:color="auto"/>
      </w:divBdr>
    </w:div>
    <w:div w:id="923345308">
      <w:bodyDiv w:val="1"/>
      <w:marLeft w:val="0"/>
      <w:marRight w:val="0"/>
      <w:marTop w:val="0"/>
      <w:marBottom w:val="0"/>
      <w:divBdr>
        <w:top w:val="none" w:sz="0" w:space="0" w:color="auto"/>
        <w:left w:val="none" w:sz="0" w:space="0" w:color="auto"/>
        <w:bottom w:val="none" w:sz="0" w:space="0" w:color="auto"/>
        <w:right w:val="none" w:sz="0" w:space="0" w:color="auto"/>
      </w:divBdr>
    </w:div>
    <w:div w:id="923487908">
      <w:bodyDiv w:val="1"/>
      <w:marLeft w:val="0"/>
      <w:marRight w:val="0"/>
      <w:marTop w:val="0"/>
      <w:marBottom w:val="0"/>
      <w:divBdr>
        <w:top w:val="none" w:sz="0" w:space="0" w:color="auto"/>
        <w:left w:val="none" w:sz="0" w:space="0" w:color="auto"/>
        <w:bottom w:val="none" w:sz="0" w:space="0" w:color="auto"/>
        <w:right w:val="none" w:sz="0" w:space="0" w:color="auto"/>
      </w:divBdr>
    </w:div>
    <w:div w:id="923732143">
      <w:bodyDiv w:val="1"/>
      <w:marLeft w:val="0"/>
      <w:marRight w:val="0"/>
      <w:marTop w:val="0"/>
      <w:marBottom w:val="0"/>
      <w:divBdr>
        <w:top w:val="none" w:sz="0" w:space="0" w:color="auto"/>
        <w:left w:val="none" w:sz="0" w:space="0" w:color="auto"/>
        <w:bottom w:val="none" w:sz="0" w:space="0" w:color="auto"/>
        <w:right w:val="none" w:sz="0" w:space="0" w:color="auto"/>
      </w:divBdr>
    </w:div>
    <w:div w:id="923957832">
      <w:bodyDiv w:val="1"/>
      <w:marLeft w:val="0"/>
      <w:marRight w:val="0"/>
      <w:marTop w:val="0"/>
      <w:marBottom w:val="0"/>
      <w:divBdr>
        <w:top w:val="none" w:sz="0" w:space="0" w:color="auto"/>
        <w:left w:val="none" w:sz="0" w:space="0" w:color="auto"/>
        <w:bottom w:val="none" w:sz="0" w:space="0" w:color="auto"/>
        <w:right w:val="none" w:sz="0" w:space="0" w:color="auto"/>
      </w:divBdr>
    </w:div>
    <w:div w:id="924072690">
      <w:bodyDiv w:val="1"/>
      <w:marLeft w:val="0"/>
      <w:marRight w:val="0"/>
      <w:marTop w:val="0"/>
      <w:marBottom w:val="0"/>
      <w:divBdr>
        <w:top w:val="none" w:sz="0" w:space="0" w:color="auto"/>
        <w:left w:val="none" w:sz="0" w:space="0" w:color="auto"/>
        <w:bottom w:val="none" w:sz="0" w:space="0" w:color="auto"/>
        <w:right w:val="none" w:sz="0" w:space="0" w:color="auto"/>
      </w:divBdr>
    </w:div>
    <w:div w:id="925265850">
      <w:bodyDiv w:val="1"/>
      <w:marLeft w:val="0"/>
      <w:marRight w:val="0"/>
      <w:marTop w:val="0"/>
      <w:marBottom w:val="0"/>
      <w:divBdr>
        <w:top w:val="none" w:sz="0" w:space="0" w:color="auto"/>
        <w:left w:val="none" w:sz="0" w:space="0" w:color="auto"/>
        <w:bottom w:val="none" w:sz="0" w:space="0" w:color="auto"/>
        <w:right w:val="none" w:sz="0" w:space="0" w:color="auto"/>
      </w:divBdr>
    </w:div>
    <w:div w:id="925580581">
      <w:bodyDiv w:val="1"/>
      <w:marLeft w:val="0"/>
      <w:marRight w:val="0"/>
      <w:marTop w:val="0"/>
      <w:marBottom w:val="0"/>
      <w:divBdr>
        <w:top w:val="none" w:sz="0" w:space="0" w:color="auto"/>
        <w:left w:val="none" w:sz="0" w:space="0" w:color="auto"/>
        <w:bottom w:val="none" w:sz="0" w:space="0" w:color="auto"/>
        <w:right w:val="none" w:sz="0" w:space="0" w:color="auto"/>
      </w:divBdr>
    </w:div>
    <w:div w:id="926307083">
      <w:bodyDiv w:val="1"/>
      <w:marLeft w:val="0"/>
      <w:marRight w:val="0"/>
      <w:marTop w:val="0"/>
      <w:marBottom w:val="0"/>
      <w:divBdr>
        <w:top w:val="none" w:sz="0" w:space="0" w:color="auto"/>
        <w:left w:val="none" w:sz="0" w:space="0" w:color="auto"/>
        <w:bottom w:val="none" w:sz="0" w:space="0" w:color="auto"/>
        <w:right w:val="none" w:sz="0" w:space="0" w:color="auto"/>
      </w:divBdr>
    </w:div>
    <w:div w:id="926311136">
      <w:bodyDiv w:val="1"/>
      <w:marLeft w:val="0"/>
      <w:marRight w:val="0"/>
      <w:marTop w:val="0"/>
      <w:marBottom w:val="0"/>
      <w:divBdr>
        <w:top w:val="none" w:sz="0" w:space="0" w:color="auto"/>
        <w:left w:val="none" w:sz="0" w:space="0" w:color="auto"/>
        <w:bottom w:val="none" w:sz="0" w:space="0" w:color="auto"/>
        <w:right w:val="none" w:sz="0" w:space="0" w:color="auto"/>
      </w:divBdr>
    </w:div>
    <w:div w:id="926426358">
      <w:bodyDiv w:val="1"/>
      <w:marLeft w:val="0"/>
      <w:marRight w:val="0"/>
      <w:marTop w:val="0"/>
      <w:marBottom w:val="0"/>
      <w:divBdr>
        <w:top w:val="none" w:sz="0" w:space="0" w:color="auto"/>
        <w:left w:val="none" w:sz="0" w:space="0" w:color="auto"/>
        <w:bottom w:val="none" w:sz="0" w:space="0" w:color="auto"/>
        <w:right w:val="none" w:sz="0" w:space="0" w:color="auto"/>
      </w:divBdr>
    </w:div>
    <w:div w:id="926501156">
      <w:bodyDiv w:val="1"/>
      <w:marLeft w:val="0"/>
      <w:marRight w:val="0"/>
      <w:marTop w:val="0"/>
      <w:marBottom w:val="0"/>
      <w:divBdr>
        <w:top w:val="none" w:sz="0" w:space="0" w:color="auto"/>
        <w:left w:val="none" w:sz="0" w:space="0" w:color="auto"/>
        <w:bottom w:val="none" w:sz="0" w:space="0" w:color="auto"/>
        <w:right w:val="none" w:sz="0" w:space="0" w:color="auto"/>
      </w:divBdr>
    </w:div>
    <w:div w:id="926885350">
      <w:bodyDiv w:val="1"/>
      <w:marLeft w:val="0"/>
      <w:marRight w:val="0"/>
      <w:marTop w:val="0"/>
      <w:marBottom w:val="0"/>
      <w:divBdr>
        <w:top w:val="none" w:sz="0" w:space="0" w:color="auto"/>
        <w:left w:val="none" w:sz="0" w:space="0" w:color="auto"/>
        <w:bottom w:val="none" w:sz="0" w:space="0" w:color="auto"/>
        <w:right w:val="none" w:sz="0" w:space="0" w:color="auto"/>
      </w:divBdr>
    </w:div>
    <w:div w:id="926965363">
      <w:bodyDiv w:val="1"/>
      <w:marLeft w:val="0"/>
      <w:marRight w:val="0"/>
      <w:marTop w:val="0"/>
      <w:marBottom w:val="0"/>
      <w:divBdr>
        <w:top w:val="none" w:sz="0" w:space="0" w:color="auto"/>
        <w:left w:val="none" w:sz="0" w:space="0" w:color="auto"/>
        <w:bottom w:val="none" w:sz="0" w:space="0" w:color="auto"/>
        <w:right w:val="none" w:sz="0" w:space="0" w:color="auto"/>
      </w:divBdr>
    </w:div>
    <w:div w:id="926966649">
      <w:bodyDiv w:val="1"/>
      <w:marLeft w:val="0"/>
      <w:marRight w:val="0"/>
      <w:marTop w:val="0"/>
      <w:marBottom w:val="0"/>
      <w:divBdr>
        <w:top w:val="none" w:sz="0" w:space="0" w:color="auto"/>
        <w:left w:val="none" w:sz="0" w:space="0" w:color="auto"/>
        <w:bottom w:val="none" w:sz="0" w:space="0" w:color="auto"/>
        <w:right w:val="none" w:sz="0" w:space="0" w:color="auto"/>
      </w:divBdr>
    </w:div>
    <w:div w:id="927150716">
      <w:bodyDiv w:val="1"/>
      <w:marLeft w:val="0"/>
      <w:marRight w:val="0"/>
      <w:marTop w:val="0"/>
      <w:marBottom w:val="0"/>
      <w:divBdr>
        <w:top w:val="none" w:sz="0" w:space="0" w:color="auto"/>
        <w:left w:val="none" w:sz="0" w:space="0" w:color="auto"/>
        <w:bottom w:val="none" w:sz="0" w:space="0" w:color="auto"/>
        <w:right w:val="none" w:sz="0" w:space="0" w:color="auto"/>
      </w:divBdr>
    </w:div>
    <w:div w:id="927614837">
      <w:bodyDiv w:val="1"/>
      <w:marLeft w:val="0"/>
      <w:marRight w:val="0"/>
      <w:marTop w:val="0"/>
      <w:marBottom w:val="0"/>
      <w:divBdr>
        <w:top w:val="none" w:sz="0" w:space="0" w:color="auto"/>
        <w:left w:val="none" w:sz="0" w:space="0" w:color="auto"/>
        <w:bottom w:val="none" w:sz="0" w:space="0" w:color="auto"/>
        <w:right w:val="none" w:sz="0" w:space="0" w:color="auto"/>
      </w:divBdr>
    </w:div>
    <w:div w:id="927693257">
      <w:bodyDiv w:val="1"/>
      <w:marLeft w:val="0"/>
      <w:marRight w:val="0"/>
      <w:marTop w:val="0"/>
      <w:marBottom w:val="0"/>
      <w:divBdr>
        <w:top w:val="none" w:sz="0" w:space="0" w:color="auto"/>
        <w:left w:val="none" w:sz="0" w:space="0" w:color="auto"/>
        <w:bottom w:val="none" w:sz="0" w:space="0" w:color="auto"/>
        <w:right w:val="none" w:sz="0" w:space="0" w:color="auto"/>
      </w:divBdr>
    </w:div>
    <w:div w:id="928083322">
      <w:bodyDiv w:val="1"/>
      <w:marLeft w:val="0"/>
      <w:marRight w:val="0"/>
      <w:marTop w:val="0"/>
      <w:marBottom w:val="0"/>
      <w:divBdr>
        <w:top w:val="none" w:sz="0" w:space="0" w:color="auto"/>
        <w:left w:val="none" w:sz="0" w:space="0" w:color="auto"/>
        <w:bottom w:val="none" w:sz="0" w:space="0" w:color="auto"/>
        <w:right w:val="none" w:sz="0" w:space="0" w:color="auto"/>
      </w:divBdr>
    </w:div>
    <w:div w:id="928386132">
      <w:bodyDiv w:val="1"/>
      <w:marLeft w:val="0"/>
      <w:marRight w:val="0"/>
      <w:marTop w:val="0"/>
      <w:marBottom w:val="0"/>
      <w:divBdr>
        <w:top w:val="none" w:sz="0" w:space="0" w:color="auto"/>
        <w:left w:val="none" w:sz="0" w:space="0" w:color="auto"/>
        <w:bottom w:val="none" w:sz="0" w:space="0" w:color="auto"/>
        <w:right w:val="none" w:sz="0" w:space="0" w:color="auto"/>
      </w:divBdr>
    </w:div>
    <w:div w:id="928537774">
      <w:bodyDiv w:val="1"/>
      <w:marLeft w:val="0"/>
      <w:marRight w:val="0"/>
      <w:marTop w:val="0"/>
      <w:marBottom w:val="0"/>
      <w:divBdr>
        <w:top w:val="none" w:sz="0" w:space="0" w:color="auto"/>
        <w:left w:val="none" w:sz="0" w:space="0" w:color="auto"/>
        <w:bottom w:val="none" w:sz="0" w:space="0" w:color="auto"/>
        <w:right w:val="none" w:sz="0" w:space="0" w:color="auto"/>
      </w:divBdr>
    </w:div>
    <w:div w:id="928540676">
      <w:bodyDiv w:val="1"/>
      <w:marLeft w:val="0"/>
      <w:marRight w:val="0"/>
      <w:marTop w:val="0"/>
      <w:marBottom w:val="0"/>
      <w:divBdr>
        <w:top w:val="none" w:sz="0" w:space="0" w:color="auto"/>
        <w:left w:val="none" w:sz="0" w:space="0" w:color="auto"/>
        <w:bottom w:val="none" w:sz="0" w:space="0" w:color="auto"/>
        <w:right w:val="none" w:sz="0" w:space="0" w:color="auto"/>
      </w:divBdr>
    </w:div>
    <w:div w:id="929579511">
      <w:bodyDiv w:val="1"/>
      <w:marLeft w:val="0"/>
      <w:marRight w:val="0"/>
      <w:marTop w:val="0"/>
      <w:marBottom w:val="0"/>
      <w:divBdr>
        <w:top w:val="none" w:sz="0" w:space="0" w:color="auto"/>
        <w:left w:val="none" w:sz="0" w:space="0" w:color="auto"/>
        <w:bottom w:val="none" w:sz="0" w:space="0" w:color="auto"/>
        <w:right w:val="none" w:sz="0" w:space="0" w:color="auto"/>
      </w:divBdr>
    </w:div>
    <w:div w:id="930045369">
      <w:bodyDiv w:val="1"/>
      <w:marLeft w:val="0"/>
      <w:marRight w:val="0"/>
      <w:marTop w:val="0"/>
      <w:marBottom w:val="0"/>
      <w:divBdr>
        <w:top w:val="none" w:sz="0" w:space="0" w:color="auto"/>
        <w:left w:val="none" w:sz="0" w:space="0" w:color="auto"/>
        <w:bottom w:val="none" w:sz="0" w:space="0" w:color="auto"/>
        <w:right w:val="none" w:sz="0" w:space="0" w:color="auto"/>
      </w:divBdr>
    </w:div>
    <w:div w:id="930509728">
      <w:bodyDiv w:val="1"/>
      <w:marLeft w:val="0"/>
      <w:marRight w:val="0"/>
      <w:marTop w:val="0"/>
      <w:marBottom w:val="0"/>
      <w:divBdr>
        <w:top w:val="none" w:sz="0" w:space="0" w:color="auto"/>
        <w:left w:val="none" w:sz="0" w:space="0" w:color="auto"/>
        <w:bottom w:val="none" w:sz="0" w:space="0" w:color="auto"/>
        <w:right w:val="none" w:sz="0" w:space="0" w:color="auto"/>
      </w:divBdr>
    </w:div>
    <w:div w:id="932207430">
      <w:bodyDiv w:val="1"/>
      <w:marLeft w:val="0"/>
      <w:marRight w:val="0"/>
      <w:marTop w:val="0"/>
      <w:marBottom w:val="0"/>
      <w:divBdr>
        <w:top w:val="none" w:sz="0" w:space="0" w:color="auto"/>
        <w:left w:val="none" w:sz="0" w:space="0" w:color="auto"/>
        <w:bottom w:val="none" w:sz="0" w:space="0" w:color="auto"/>
        <w:right w:val="none" w:sz="0" w:space="0" w:color="auto"/>
      </w:divBdr>
    </w:div>
    <w:div w:id="932670408">
      <w:bodyDiv w:val="1"/>
      <w:marLeft w:val="0"/>
      <w:marRight w:val="0"/>
      <w:marTop w:val="0"/>
      <w:marBottom w:val="0"/>
      <w:divBdr>
        <w:top w:val="none" w:sz="0" w:space="0" w:color="auto"/>
        <w:left w:val="none" w:sz="0" w:space="0" w:color="auto"/>
        <w:bottom w:val="none" w:sz="0" w:space="0" w:color="auto"/>
        <w:right w:val="none" w:sz="0" w:space="0" w:color="auto"/>
      </w:divBdr>
    </w:div>
    <w:div w:id="932737632">
      <w:bodyDiv w:val="1"/>
      <w:marLeft w:val="0"/>
      <w:marRight w:val="0"/>
      <w:marTop w:val="0"/>
      <w:marBottom w:val="0"/>
      <w:divBdr>
        <w:top w:val="none" w:sz="0" w:space="0" w:color="auto"/>
        <w:left w:val="none" w:sz="0" w:space="0" w:color="auto"/>
        <w:bottom w:val="none" w:sz="0" w:space="0" w:color="auto"/>
        <w:right w:val="none" w:sz="0" w:space="0" w:color="auto"/>
      </w:divBdr>
    </w:div>
    <w:div w:id="933055468">
      <w:bodyDiv w:val="1"/>
      <w:marLeft w:val="0"/>
      <w:marRight w:val="0"/>
      <w:marTop w:val="0"/>
      <w:marBottom w:val="0"/>
      <w:divBdr>
        <w:top w:val="none" w:sz="0" w:space="0" w:color="auto"/>
        <w:left w:val="none" w:sz="0" w:space="0" w:color="auto"/>
        <w:bottom w:val="none" w:sz="0" w:space="0" w:color="auto"/>
        <w:right w:val="none" w:sz="0" w:space="0" w:color="auto"/>
      </w:divBdr>
    </w:div>
    <w:div w:id="933173706">
      <w:bodyDiv w:val="1"/>
      <w:marLeft w:val="0"/>
      <w:marRight w:val="0"/>
      <w:marTop w:val="0"/>
      <w:marBottom w:val="0"/>
      <w:divBdr>
        <w:top w:val="none" w:sz="0" w:space="0" w:color="auto"/>
        <w:left w:val="none" w:sz="0" w:space="0" w:color="auto"/>
        <w:bottom w:val="none" w:sz="0" w:space="0" w:color="auto"/>
        <w:right w:val="none" w:sz="0" w:space="0" w:color="auto"/>
      </w:divBdr>
    </w:div>
    <w:div w:id="933712553">
      <w:bodyDiv w:val="1"/>
      <w:marLeft w:val="0"/>
      <w:marRight w:val="0"/>
      <w:marTop w:val="0"/>
      <w:marBottom w:val="0"/>
      <w:divBdr>
        <w:top w:val="none" w:sz="0" w:space="0" w:color="auto"/>
        <w:left w:val="none" w:sz="0" w:space="0" w:color="auto"/>
        <w:bottom w:val="none" w:sz="0" w:space="0" w:color="auto"/>
        <w:right w:val="none" w:sz="0" w:space="0" w:color="auto"/>
      </w:divBdr>
    </w:div>
    <w:div w:id="934092469">
      <w:bodyDiv w:val="1"/>
      <w:marLeft w:val="0"/>
      <w:marRight w:val="0"/>
      <w:marTop w:val="0"/>
      <w:marBottom w:val="0"/>
      <w:divBdr>
        <w:top w:val="none" w:sz="0" w:space="0" w:color="auto"/>
        <w:left w:val="none" w:sz="0" w:space="0" w:color="auto"/>
        <w:bottom w:val="none" w:sz="0" w:space="0" w:color="auto"/>
        <w:right w:val="none" w:sz="0" w:space="0" w:color="auto"/>
      </w:divBdr>
    </w:div>
    <w:div w:id="934363378">
      <w:bodyDiv w:val="1"/>
      <w:marLeft w:val="0"/>
      <w:marRight w:val="0"/>
      <w:marTop w:val="0"/>
      <w:marBottom w:val="0"/>
      <w:divBdr>
        <w:top w:val="none" w:sz="0" w:space="0" w:color="auto"/>
        <w:left w:val="none" w:sz="0" w:space="0" w:color="auto"/>
        <w:bottom w:val="none" w:sz="0" w:space="0" w:color="auto"/>
        <w:right w:val="none" w:sz="0" w:space="0" w:color="auto"/>
      </w:divBdr>
    </w:div>
    <w:div w:id="934903184">
      <w:bodyDiv w:val="1"/>
      <w:marLeft w:val="0"/>
      <w:marRight w:val="0"/>
      <w:marTop w:val="0"/>
      <w:marBottom w:val="0"/>
      <w:divBdr>
        <w:top w:val="none" w:sz="0" w:space="0" w:color="auto"/>
        <w:left w:val="none" w:sz="0" w:space="0" w:color="auto"/>
        <w:bottom w:val="none" w:sz="0" w:space="0" w:color="auto"/>
        <w:right w:val="none" w:sz="0" w:space="0" w:color="auto"/>
      </w:divBdr>
    </w:div>
    <w:div w:id="935138944">
      <w:bodyDiv w:val="1"/>
      <w:marLeft w:val="0"/>
      <w:marRight w:val="0"/>
      <w:marTop w:val="0"/>
      <w:marBottom w:val="0"/>
      <w:divBdr>
        <w:top w:val="none" w:sz="0" w:space="0" w:color="auto"/>
        <w:left w:val="none" w:sz="0" w:space="0" w:color="auto"/>
        <w:bottom w:val="none" w:sz="0" w:space="0" w:color="auto"/>
        <w:right w:val="none" w:sz="0" w:space="0" w:color="auto"/>
      </w:divBdr>
    </w:div>
    <w:div w:id="935212290">
      <w:bodyDiv w:val="1"/>
      <w:marLeft w:val="0"/>
      <w:marRight w:val="0"/>
      <w:marTop w:val="0"/>
      <w:marBottom w:val="0"/>
      <w:divBdr>
        <w:top w:val="none" w:sz="0" w:space="0" w:color="auto"/>
        <w:left w:val="none" w:sz="0" w:space="0" w:color="auto"/>
        <w:bottom w:val="none" w:sz="0" w:space="0" w:color="auto"/>
        <w:right w:val="none" w:sz="0" w:space="0" w:color="auto"/>
      </w:divBdr>
    </w:div>
    <w:div w:id="935402823">
      <w:bodyDiv w:val="1"/>
      <w:marLeft w:val="0"/>
      <w:marRight w:val="0"/>
      <w:marTop w:val="0"/>
      <w:marBottom w:val="0"/>
      <w:divBdr>
        <w:top w:val="none" w:sz="0" w:space="0" w:color="auto"/>
        <w:left w:val="none" w:sz="0" w:space="0" w:color="auto"/>
        <w:bottom w:val="none" w:sz="0" w:space="0" w:color="auto"/>
        <w:right w:val="none" w:sz="0" w:space="0" w:color="auto"/>
      </w:divBdr>
    </w:div>
    <w:div w:id="935746858">
      <w:bodyDiv w:val="1"/>
      <w:marLeft w:val="0"/>
      <w:marRight w:val="0"/>
      <w:marTop w:val="0"/>
      <w:marBottom w:val="0"/>
      <w:divBdr>
        <w:top w:val="none" w:sz="0" w:space="0" w:color="auto"/>
        <w:left w:val="none" w:sz="0" w:space="0" w:color="auto"/>
        <w:bottom w:val="none" w:sz="0" w:space="0" w:color="auto"/>
        <w:right w:val="none" w:sz="0" w:space="0" w:color="auto"/>
      </w:divBdr>
    </w:div>
    <w:div w:id="935943488">
      <w:bodyDiv w:val="1"/>
      <w:marLeft w:val="0"/>
      <w:marRight w:val="0"/>
      <w:marTop w:val="0"/>
      <w:marBottom w:val="0"/>
      <w:divBdr>
        <w:top w:val="none" w:sz="0" w:space="0" w:color="auto"/>
        <w:left w:val="none" w:sz="0" w:space="0" w:color="auto"/>
        <w:bottom w:val="none" w:sz="0" w:space="0" w:color="auto"/>
        <w:right w:val="none" w:sz="0" w:space="0" w:color="auto"/>
      </w:divBdr>
    </w:div>
    <w:div w:id="936015567">
      <w:bodyDiv w:val="1"/>
      <w:marLeft w:val="0"/>
      <w:marRight w:val="0"/>
      <w:marTop w:val="0"/>
      <w:marBottom w:val="0"/>
      <w:divBdr>
        <w:top w:val="none" w:sz="0" w:space="0" w:color="auto"/>
        <w:left w:val="none" w:sz="0" w:space="0" w:color="auto"/>
        <w:bottom w:val="none" w:sz="0" w:space="0" w:color="auto"/>
        <w:right w:val="none" w:sz="0" w:space="0" w:color="auto"/>
      </w:divBdr>
    </w:div>
    <w:div w:id="936207969">
      <w:bodyDiv w:val="1"/>
      <w:marLeft w:val="0"/>
      <w:marRight w:val="0"/>
      <w:marTop w:val="0"/>
      <w:marBottom w:val="0"/>
      <w:divBdr>
        <w:top w:val="none" w:sz="0" w:space="0" w:color="auto"/>
        <w:left w:val="none" w:sz="0" w:space="0" w:color="auto"/>
        <w:bottom w:val="none" w:sz="0" w:space="0" w:color="auto"/>
        <w:right w:val="none" w:sz="0" w:space="0" w:color="auto"/>
      </w:divBdr>
    </w:div>
    <w:div w:id="936594281">
      <w:bodyDiv w:val="1"/>
      <w:marLeft w:val="0"/>
      <w:marRight w:val="0"/>
      <w:marTop w:val="0"/>
      <w:marBottom w:val="0"/>
      <w:divBdr>
        <w:top w:val="none" w:sz="0" w:space="0" w:color="auto"/>
        <w:left w:val="none" w:sz="0" w:space="0" w:color="auto"/>
        <w:bottom w:val="none" w:sz="0" w:space="0" w:color="auto"/>
        <w:right w:val="none" w:sz="0" w:space="0" w:color="auto"/>
      </w:divBdr>
    </w:div>
    <w:div w:id="936714143">
      <w:bodyDiv w:val="1"/>
      <w:marLeft w:val="0"/>
      <w:marRight w:val="0"/>
      <w:marTop w:val="0"/>
      <w:marBottom w:val="0"/>
      <w:divBdr>
        <w:top w:val="none" w:sz="0" w:space="0" w:color="auto"/>
        <w:left w:val="none" w:sz="0" w:space="0" w:color="auto"/>
        <w:bottom w:val="none" w:sz="0" w:space="0" w:color="auto"/>
        <w:right w:val="none" w:sz="0" w:space="0" w:color="auto"/>
      </w:divBdr>
    </w:div>
    <w:div w:id="936716007">
      <w:bodyDiv w:val="1"/>
      <w:marLeft w:val="0"/>
      <w:marRight w:val="0"/>
      <w:marTop w:val="0"/>
      <w:marBottom w:val="0"/>
      <w:divBdr>
        <w:top w:val="none" w:sz="0" w:space="0" w:color="auto"/>
        <w:left w:val="none" w:sz="0" w:space="0" w:color="auto"/>
        <w:bottom w:val="none" w:sz="0" w:space="0" w:color="auto"/>
        <w:right w:val="none" w:sz="0" w:space="0" w:color="auto"/>
      </w:divBdr>
    </w:div>
    <w:div w:id="937177967">
      <w:bodyDiv w:val="1"/>
      <w:marLeft w:val="0"/>
      <w:marRight w:val="0"/>
      <w:marTop w:val="0"/>
      <w:marBottom w:val="0"/>
      <w:divBdr>
        <w:top w:val="none" w:sz="0" w:space="0" w:color="auto"/>
        <w:left w:val="none" w:sz="0" w:space="0" w:color="auto"/>
        <w:bottom w:val="none" w:sz="0" w:space="0" w:color="auto"/>
        <w:right w:val="none" w:sz="0" w:space="0" w:color="auto"/>
      </w:divBdr>
    </w:div>
    <w:div w:id="937297226">
      <w:bodyDiv w:val="1"/>
      <w:marLeft w:val="0"/>
      <w:marRight w:val="0"/>
      <w:marTop w:val="0"/>
      <w:marBottom w:val="0"/>
      <w:divBdr>
        <w:top w:val="none" w:sz="0" w:space="0" w:color="auto"/>
        <w:left w:val="none" w:sz="0" w:space="0" w:color="auto"/>
        <w:bottom w:val="none" w:sz="0" w:space="0" w:color="auto"/>
        <w:right w:val="none" w:sz="0" w:space="0" w:color="auto"/>
      </w:divBdr>
    </w:div>
    <w:div w:id="937373796">
      <w:bodyDiv w:val="1"/>
      <w:marLeft w:val="0"/>
      <w:marRight w:val="0"/>
      <w:marTop w:val="0"/>
      <w:marBottom w:val="0"/>
      <w:divBdr>
        <w:top w:val="none" w:sz="0" w:space="0" w:color="auto"/>
        <w:left w:val="none" w:sz="0" w:space="0" w:color="auto"/>
        <w:bottom w:val="none" w:sz="0" w:space="0" w:color="auto"/>
        <w:right w:val="none" w:sz="0" w:space="0" w:color="auto"/>
      </w:divBdr>
    </w:div>
    <w:div w:id="937560706">
      <w:bodyDiv w:val="1"/>
      <w:marLeft w:val="0"/>
      <w:marRight w:val="0"/>
      <w:marTop w:val="0"/>
      <w:marBottom w:val="0"/>
      <w:divBdr>
        <w:top w:val="none" w:sz="0" w:space="0" w:color="auto"/>
        <w:left w:val="none" w:sz="0" w:space="0" w:color="auto"/>
        <w:bottom w:val="none" w:sz="0" w:space="0" w:color="auto"/>
        <w:right w:val="none" w:sz="0" w:space="0" w:color="auto"/>
      </w:divBdr>
    </w:div>
    <w:div w:id="937716289">
      <w:bodyDiv w:val="1"/>
      <w:marLeft w:val="0"/>
      <w:marRight w:val="0"/>
      <w:marTop w:val="0"/>
      <w:marBottom w:val="0"/>
      <w:divBdr>
        <w:top w:val="none" w:sz="0" w:space="0" w:color="auto"/>
        <w:left w:val="none" w:sz="0" w:space="0" w:color="auto"/>
        <w:bottom w:val="none" w:sz="0" w:space="0" w:color="auto"/>
        <w:right w:val="none" w:sz="0" w:space="0" w:color="auto"/>
      </w:divBdr>
    </w:div>
    <w:div w:id="937828240">
      <w:bodyDiv w:val="1"/>
      <w:marLeft w:val="0"/>
      <w:marRight w:val="0"/>
      <w:marTop w:val="0"/>
      <w:marBottom w:val="0"/>
      <w:divBdr>
        <w:top w:val="none" w:sz="0" w:space="0" w:color="auto"/>
        <w:left w:val="none" w:sz="0" w:space="0" w:color="auto"/>
        <w:bottom w:val="none" w:sz="0" w:space="0" w:color="auto"/>
        <w:right w:val="none" w:sz="0" w:space="0" w:color="auto"/>
      </w:divBdr>
    </w:div>
    <w:div w:id="938954826">
      <w:bodyDiv w:val="1"/>
      <w:marLeft w:val="0"/>
      <w:marRight w:val="0"/>
      <w:marTop w:val="0"/>
      <w:marBottom w:val="0"/>
      <w:divBdr>
        <w:top w:val="none" w:sz="0" w:space="0" w:color="auto"/>
        <w:left w:val="none" w:sz="0" w:space="0" w:color="auto"/>
        <w:bottom w:val="none" w:sz="0" w:space="0" w:color="auto"/>
        <w:right w:val="none" w:sz="0" w:space="0" w:color="auto"/>
      </w:divBdr>
    </w:div>
    <w:div w:id="939141417">
      <w:bodyDiv w:val="1"/>
      <w:marLeft w:val="0"/>
      <w:marRight w:val="0"/>
      <w:marTop w:val="0"/>
      <w:marBottom w:val="0"/>
      <w:divBdr>
        <w:top w:val="none" w:sz="0" w:space="0" w:color="auto"/>
        <w:left w:val="none" w:sz="0" w:space="0" w:color="auto"/>
        <w:bottom w:val="none" w:sz="0" w:space="0" w:color="auto"/>
        <w:right w:val="none" w:sz="0" w:space="0" w:color="auto"/>
      </w:divBdr>
    </w:div>
    <w:div w:id="939141484">
      <w:bodyDiv w:val="1"/>
      <w:marLeft w:val="0"/>
      <w:marRight w:val="0"/>
      <w:marTop w:val="0"/>
      <w:marBottom w:val="0"/>
      <w:divBdr>
        <w:top w:val="none" w:sz="0" w:space="0" w:color="auto"/>
        <w:left w:val="none" w:sz="0" w:space="0" w:color="auto"/>
        <w:bottom w:val="none" w:sz="0" w:space="0" w:color="auto"/>
        <w:right w:val="none" w:sz="0" w:space="0" w:color="auto"/>
      </w:divBdr>
    </w:div>
    <w:div w:id="939142703">
      <w:bodyDiv w:val="1"/>
      <w:marLeft w:val="0"/>
      <w:marRight w:val="0"/>
      <w:marTop w:val="0"/>
      <w:marBottom w:val="0"/>
      <w:divBdr>
        <w:top w:val="none" w:sz="0" w:space="0" w:color="auto"/>
        <w:left w:val="none" w:sz="0" w:space="0" w:color="auto"/>
        <w:bottom w:val="none" w:sz="0" w:space="0" w:color="auto"/>
        <w:right w:val="none" w:sz="0" w:space="0" w:color="auto"/>
      </w:divBdr>
    </w:div>
    <w:div w:id="939683207">
      <w:bodyDiv w:val="1"/>
      <w:marLeft w:val="0"/>
      <w:marRight w:val="0"/>
      <w:marTop w:val="0"/>
      <w:marBottom w:val="0"/>
      <w:divBdr>
        <w:top w:val="none" w:sz="0" w:space="0" w:color="auto"/>
        <w:left w:val="none" w:sz="0" w:space="0" w:color="auto"/>
        <w:bottom w:val="none" w:sz="0" w:space="0" w:color="auto"/>
        <w:right w:val="none" w:sz="0" w:space="0" w:color="auto"/>
      </w:divBdr>
    </w:div>
    <w:div w:id="940185345">
      <w:bodyDiv w:val="1"/>
      <w:marLeft w:val="0"/>
      <w:marRight w:val="0"/>
      <w:marTop w:val="0"/>
      <w:marBottom w:val="0"/>
      <w:divBdr>
        <w:top w:val="none" w:sz="0" w:space="0" w:color="auto"/>
        <w:left w:val="none" w:sz="0" w:space="0" w:color="auto"/>
        <w:bottom w:val="none" w:sz="0" w:space="0" w:color="auto"/>
        <w:right w:val="none" w:sz="0" w:space="0" w:color="auto"/>
      </w:divBdr>
    </w:div>
    <w:div w:id="940377055">
      <w:bodyDiv w:val="1"/>
      <w:marLeft w:val="0"/>
      <w:marRight w:val="0"/>
      <w:marTop w:val="0"/>
      <w:marBottom w:val="0"/>
      <w:divBdr>
        <w:top w:val="none" w:sz="0" w:space="0" w:color="auto"/>
        <w:left w:val="none" w:sz="0" w:space="0" w:color="auto"/>
        <w:bottom w:val="none" w:sz="0" w:space="0" w:color="auto"/>
        <w:right w:val="none" w:sz="0" w:space="0" w:color="auto"/>
      </w:divBdr>
    </w:div>
    <w:div w:id="940837416">
      <w:bodyDiv w:val="1"/>
      <w:marLeft w:val="0"/>
      <w:marRight w:val="0"/>
      <w:marTop w:val="0"/>
      <w:marBottom w:val="0"/>
      <w:divBdr>
        <w:top w:val="none" w:sz="0" w:space="0" w:color="auto"/>
        <w:left w:val="none" w:sz="0" w:space="0" w:color="auto"/>
        <w:bottom w:val="none" w:sz="0" w:space="0" w:color="auto"/>
        <w:right w:val="none" w:sz="0" w:space="0" w:color="auto"/>
      </w:divBdr>
    </w:div>
    <w:div w:id="941304718">
      <w:bodyDiv w:val="1"/>
      <w:marLeft w:val="0"/>
      <w:marRight w:val="0"/>
      <w:marTop w:val="0"/>
      <w:marBottom w:val="0"/>
      <w:divBdr>
        <w:top w:val="none" w:sz="0" w:space="0" w:color="auto"/>
        <w:left w:val="none" w:sz="0" w:space="0" w:color="auto"/>
        <w:bottom w:val="none" w:sz="0" w:space="0" w:color="auto"/>
        <w:right w:val="none" w:sz="0" w:space="0" w:color="auto"/>
      </w:divBdr>
    </w:div>
    <w:div w:id="941454724">
      <w:bodyDiv w:val="1"/>
      <w:marLeft w:val="0"/>
      <w:marRight w:val="0"/>
      <w:marTop w:val="0"/>
      <w:marBottom w:val="0"/>
      <w:divBdr>
        <w:top w:val="none" w:sz="0" w:space="0" w:color="auto"/>
        <w:left w:val="none" w:sz="0" w:space="0" w:color="auto"/>
        <w:bottom w:val="none" w:sz="0" w:space="0" w:color="auto"/>
        <w:right w:val="none" w:sz="0" w:space="0" w:color="auto"/>
      </w:divBdr>
    </w:div>
    <w:div w:id="942034005">
      <w:bodyDiv w:val="1"/>
      <w:marLeft w:val="0"/>
      <w:marRight w:val="0"/>
      <w:marTop w:val="0"/>
      <w:marBottom w:val="0"/>
      <w:divBdr>
        <w:top w:val="none" w:sz="0" w:space="0" w:color="auto"/>
        <w:left w:val="none" w:sz="0" w:space="0" w:color="auto"/>
        <w:bottom w:val="none" w:sz="0" w:space="0" w:color="auto"/>
        <w:right w:val="none" w:sz="0" w:space="0" w:color="auto"/>
      </w:divBdr>
    </w:div>
    <w:div w:id="942109231">
      <w:bodyDiv w:val="1"/>
      <w:marLeft w:val="0"/>
      <w:marRight w:val="0"/>
      <w:marTop w:val="0"/>
      <w:marBottom w:val="0"/>
      <w:divBdr>
        <w:top w:val="none" w:sz="0" w:space="0" w:color="auto"/>
        <w:left w:val="none" w:sz="0" w:space="0" w:color="auto"/>
        <w:bottom w:val="none" w:sz="0" w:space="0" w:color="auto"/>
        <w:right w:val="none" w:sz="0" w:space="0" w:color="auto"/>
      </w:divBdr>
    </w:div>
    <w:div w:id="942227472">
      <w:bodyDiv w:val="1"/>
      <w:marLeft w:val="0"/>
      <w:marRight w:val="0"/>
      <w:marTop w:val="0"/>
      <w:marBottom w:val="0"/>
      <w:divBdr>
        <w:top w:val="none" w:sz="0" w:space="0" w:color="auto"/>
        <w:left w:val="none" w:sz="0" w:space="0" w:color="auto"/>
        <w:bottom w:val="none" w:sz="0" w:space="0" w:color="auto"/>
        <w:right w:val="none" w:sz="0" w:space="0" w:color="auto"/>
      </w:divBdr>
    </w:div>
    <w:div w:id="942685093">
      <w:bodyDiv w:val="1"/>
      <w:marLeft w:val="0"/>
      <w:marRight w:val="0"/>
      <w:marTop w:val="0"/>
      <w:marBottom w:val="0"/>
      <w:divBdr>
        <w:top w:val="none" w:sz="0" w:space="0" w:color="auto"/>
        <w:left w:val="none" w:sz="0" w:space="0" w:color="auto"/>
        <w:bottom w:val="none" w:sz="0" w:space="0" w:color="auto"/>
        <w:right w:val="none" w:sz="0" w:space="0" w:color="auto"/>
      </w:divBdr>
    </w:div>
    <w:div w:id="942803857">
      <w:bodyDiv w:val="1"/>
      <w:marLeft w:val="0"/>
      <w:marRight w:val="0"/>
      <w:marTop w:val="0"/>
      <w:marBottom w:val="0"/>
      <w:divBdr>
        <w:top w:val="none" w:sz="0" w:space="0" w:color="auto"/>
        <w:left w:val="none" w:sz="0" w:space="0" w:color="auto"/>
        <w:bottom w:val="none" w:sz="0" w:space="0" w:color="auto"/>
        <w:right w:val="none" w:sz="0" w:space="0" w:color="auto"/>
      </w:divBdr>
    </w:div>
    <w:div w:id="943196777">
      <w:bodyDiv w:val="1"/>
      <w:marLeft w:val="0"/>
      <w:marRight w:val="0"/>
      <w:marTop w:val="0"/>
      <w:marBottom w:val="0"/>
      <w:divBdr>
        <w:top w:val="none" w:sz="0" w:space="0" w:color="auto"/>
        <w:left w:val="none" w:sz="0" w:space="0" w:color="auto"/>
        <w:bottom w:val="none" w:sz="0" w:space="0" w:color="auto"/>
        <w:right w:val="none" w:sz="0" w:space="0" w:color="auto"/>
      </w:divBdr>
    </w:div>
    <w:div w:id="943684130">
      <w:bodyDiv w:val="1"/>
      <w:marLeft w:val="0"/>
      <w:marRight w:val="0"/>
      <w:marTop w:val="0"/>
      <w:marBottom w:val="0"/>
      <w:divBdr>
        <w:top w:val="none" w:sz="0" w:space="0" w:color="auto"/>
        <w:left w:val="none" w:sz="0" w:space="0" w:color="auto"/>
        <w:bottom w:val="none" w:sz="0" w:space="0" w:color="auto"/>
        <w:right w:val="none" w:sz="0" w:space="0" w:color="auto"/>
      </w:divBdr>
    </w:div>
    <w:div w:id="943734669">
      <w:bodyDiv w:val="1"/>
      <w:marLeft w:val="0"/>
      <w:marRight w:val="0"/>
      <w:marTop w:val="0"/>
      <w:marBottom w:val="0"/>
      <w:divBdr>
        <w:top w:val="none" w:sz="0" w:space="0" w:color="auto"/>
        <w:left w:val="none" w:sz="0" w:space="0" w:color="auto"/>
        <w:bottom w:val="none" w:sz="0" w:space="0" w:color="auto"/>
        <w:right w:val="none" w:sz="0" w:space="0" w:color="auto"/>
      </w:divBdr>
    </w:div>
    <w:div w:id="944383443">
      <w:bodyDiv w:val="1"/>
      <w:marLeft w:val="0"/>
      <w:marRight w:val="0"/>
      <w:marTop w:val="0"/>
      <w:marBottom w:val="0"/>
      <w:divBdr>
        <w:top w:val="none" w:sz="0" w:space="0" w:color="auto"/>
        <w:left w:val="none" w:sz="0" w:space="0" w:color="auto"/>
        <w:bottom w:val="none" w:sz="0" w:space="0" w:color="auto"/>
        <w:right w:val="none" w:sz="0" w:space="0" w:color="auto"/>
      </w:divBdr>
    </w:div>
    <w:div w:id="944386429">
      <w:bodyDiv w:val="1"/>
      <w:marLeft w:val="0"/>
      <w:marRight w:val="0"/>
      <w:marTop w:val="0"/>
      <w:marBottom w:val="0"/>
      <w:divBdr>
        <w:top w:val="none" w:sz="0" w:space="0" w:color="auto"/>
        <w:left w:val="none" w:sz="0" w:space="0" w:color="auto"/>
        <w:bottom w:val="none" w:sz="0" w:space="0" w:color="auto"/>
        <w:right w:val="none" w:sz="0" w:space="0" w:color="auto"/>
      </w:divBdr>
    </w:div>
    <w:div w:id="944658080">
      <w:bodyDiv w:val="1"/>
      <w:marLeft w:val="0"/>
      <w:marRight w:val="0"/>
      <w:marTop w:val="0"/>
      <w:marBottom w:val="0"/>
      <w:divBdr>
        <w:top w:val="none" w:sz="0" w:space="0" w:color="auto"/>
        <w:left w:val="none" w:sz="0" w:space="0" w:color="auto"/>
        <w:bottom w:val="none" w:sz="0" w:space="0" w:color="auto"/>
        <w:right w:val="none" w:sz="0" w:space="0" w:color="auto"/>
      </w:divBdr>
    </w:div>
    <w:div w:id="946546537">
      <w:bodyDiv w:val="1"/>
      <w:marLeft w:val="0"/>
      <w:marRight w:val="0"/>
      <w:marTop w:val="0"/>
      <w:marBottom w:val="0"/>
      <w:divBdr>
        <w:top w:val="none" w:sz="0" w:space="0" w:color="auto"/>
        <w:left w:val="none" w:sz="0" w:space="0" w:color="auto"/>
        <w:bottom w:val="none" w:sz="0" w:space="0" w:color="auto"/>
        <w:right w:val="none" w:sz="0" w:space="0" w:color="auto"/>
      </w:divBdr>
    </w:div>
    <w:div w:id="947078707">
      <w:bodyDiv w:val="1"/>
      <w:marLeft w:val="0"/>
      <w:marRight w:val="0"/>
      <w:marTop w:val="0"/>
      <w:marBottom w:val="0"/>
      <w:divBdr>
        <w:top w:val="none" w:sz="0" w:space="0" w:color="auto"/>
        <w:left w:val="none" w:sz="0" w:space="0" w:color="auto"/>
        <w:bottom w:val="none" w:sz="0" w:space="0" w:color="auto"/>
        <w:right w:val="none" w:sz="0" w:space="0" w:color="auto"/>
      </w:divBdr>
    </w:div>
    <w:div w:id="947078748">
      <w:bodyDiv w:val="1"/>
      <w:marLeft w:val="0"/>
      <w:marRight w:val="0"/>
      <w:marTop w:val="0"/>
      <w:marBottom w:val="0"/>
      <w:divBdr>
        <w:top w:val="none" w:sz="0" w:space="0" w:color="auto"/>
        <w:left w:val="none" w:sz="0" w:space="0" w:color="auto"/>
        <w:bottom w:val="none" w:sz="0" w:space="0" w:color="auto"/>
        <w:right w:val="none" w:sz="0" w:space="0" w:color="auto"/>
      </w:divBdr>
    </w:div>
    <w:div w:id="947389207">
      <w:bodyDiv w:val="1"/>
      <w:marLeft w:val="0"/>
      <w:marRight w:val="0"/>
      <w:marTop w:val="0"/>
      <w:marBottom w:val="0"/>
      <w:divBdr>
        <w:top w:val="none" w:sz="0" w:space="0" w:color="auto"/>
        <w:left w:val="none" w:sz="0" w:space="0" w:color="auto"/>
        <w:bottom w:val="none" w:sz="0" w:space="0" w:color="auto"/>
        <w:right w:val="none" w:sz="0" w:space="0" w:color="auto"/>
      </w:divBdr>
    </w:div>
    <w:div w:id="947395901">
      <w:bodyDiv w:val="1"/>
      <w:marLeft w:val="0"/>
      <w:marRight w:val="0"/>
      <w:marTop w:val="0"/>
      <w:marBottom w:val="0"/>
      <w:divBdr>
        <w:top w:val="none" w:sz="0" w:space="0" w:color="auto"/>
        <w:left w:val="none" w:sz="0" w:space="0" w:color="auto"/>
        <w:bottom w:val="none" w:sz="0" w:space="0" w:color="auto"/>
        <w:right w:val="none" w:sz="0" w:space="0" w:color="auto"/>
      </w:divBdr>
    </w:div>
    <w:div w:id="947396644">
      <w:bodyDiv w:val="1"/>
      <w:marLeft w:val="0"/>
      <w:marRight w:val="0"/>
      <w:marTop w:val="0"/>
      <w:marBottom w:val="0"/>
      <w:divBdr>
        <w:top w:val="none" w:sz="0" w:space="0" w:color="auto"/>
        <w:left w:val="none" w:sz="0" w:space="0" w:color="auto"/>
        <w:bottom w:val="none" w:sz="0" w:space="0" w:color="auto"/>
        <w:right w:val="none" w:sz="0" w:space="0" w:color="auto"/>
      </w:divBdr>
    </w:div>
    <w:div w:id="947740659">
      <w:bodyDiv w:val="1"/>
      <w:marLeft w:val="0"/>
      <w:marRight w:val="0"/>
      <w:marTop w:val="0"/>
      <w:marBottom w:val="0"/>
      <w:divBdr>
        <w:top w:val="none" w:sz="0" w:space="0" w:color="auto"/>
        <w:left w:val="none" w:sz="0" w:space="0" w:color="auto"/>
        <w:bottom w:val="none" w:sz="0" w:space="0" w:color="auto"/>
        <w:right w:val="none" w:sz="0" w:space="0" w:color="auto"/>
      </w:divBdr>
    </w:div>
    <w:div w:id="947782180">
      <w:bodyDiv w:val="1"/>
      <w:marLeft w:val="0"/>
      <w:marRight w:val="0"/>
      <w:marTop w:val="0"/>
      <w:marBottom w:val="0"/>
      <w:divBdr>
        <w:top w:val="none" w:sz="0" w:space="0" w:color="auto"/>
        <w:left w:val="none" w:sz="0" w:space="0" w:color="auto"/>
        <w:bottom w:val="none" w:sz="0" w:space="0" w:color="auto"/>
        <w:right w:val="none" w:sz="0" w:space="0" w:color="auto"/>
      </w:divBdr>
    </w:div>
    <w:div w:id="948194422">
      <w:bodyDiv w:val="1"/>
      <w:marLeft w:val="0"/>
      <w:marRight w:val="0"/>
      <w:marTop w:val="0"/>
      <w:marBottom w:val="0"/>
      <w:divBdr>
        <w:top w:val="none" w:sz="0" w:space="0" w:color="auto"/>
        <w:left w:val="none" w:sz="0" w:space="0" w:color="auto"/>
        <w:bottom w:val="none" w:sz="0" w:space="0" w:color="auto"/>
        <w:right w:val="none" w:sz="0" w:space="0" w:color="auto"/>
      </w:divBdr>
    </w:div>
    <w:div w:id="948314153">
      <w:bodyDiv w:val="1"/>
      <w:marLeft w:val="0"/>
      <w:marRight w:val="0"/>
      <w:marTop w:val="0"/>
      <w:marBottom w:val="0"/>
      <w:divBdr>
        <w:top w:val="none" w:sz="0" w:space="0" w:color="auto"/>
        <w:left w:val="none" w:sz="0" w:space="0" w:color="auto"/>
        <w:bottom w:val="none" w:sz="0" w:space="0" w:color="auto"/>
        <w:right w:val="none" w:sz="0" w:space="0" w:color="auto"/>
      </w:divBdr>
    </w:div>
    <w:div w:id="948320018">
      <w:bodyDiv w:val="1"/>
      <w:marLeft w:val="0"/>
      <w:marRight w:val="0"/>
      <w:marTop w:val="0"/>
      <w:marBottom w:val="0"/>
      <w:divBdr>
        <w:top w:val="none" w:sz="0" w:space="0" w:color="auto"/>
        <w:left w:val="none" w:sz="0" w:space="0" w:color="auto"/>
        <w:bottom w:val="none" w:sz="0" w:space="0" w:color="auto"/>
        <w:right w:val="none" w:sz="0" w:space="0" w:color="auto"/>
      </w:divBdr>
    </w:div>
    <w:div w:id="948589950">
      <w:bodyDiv w:val="1"/>
      <w:marLeft w:val="0"/>
      <w:marRight w:val="0"/>
      <w:marTop w:val="0"/>
      <w:marBottom w:val="0"/>
      <w:divBdr>
        <w:top w:val="none" w:sz="0" w:space="0" w:color="auto"/>
        <w:left w:val="none" w:sz="0" w:space="0" w:color="auto"/>
        <w:bottom w:val="none" w:sz="0" w:space="0" w:color="auto"/>
        <w:right w:val="none" w:sz="0" w:space="0" w:color="auto"/>
      </w:divBdr>
    </w:div>
    <w:div w:id="948590623">
      <w:bodyDiv w:val="1"/>
      <w:marLeft w:val="0"/>
      <w:marRight w:val="0"/>
      <w:marTop w:val="0"/>
      <w:marBottom w:val="0"/>
      <w:divBdr>
        <w:top w:val="none" w:sz="0" w:space="0" w:color="auto"/>
        <w:left w:val="none" w:sz="0" w:space="0" w:color="auto"/>
        <w:bottom w:val="none" w:sz="0" w:space="0" w:color="auto"/>
        <w:right w:val="none" w:sz="0" w:space="0" w:color="auto"/>
      </w:divBdr>
    </w:div>
    <w:div w:id="949168392">
      <w:bodyDiv w:val="1"/>
      <w:marLeft w:val="0"/>
      <w:marRight w:val="0"/>
      <w:marTop w:val="0"/>
      <w:marBottom w:val="0"/>
      <w:divBdr>
        <w:top w:val="none" w:sz="0" w:space="0" w:color="auto"/>
        <w:left w:val="none" w:sz="0" w:space="0" w:color="auto"/>
        <w:bottom w:val="none" w:sz="0" w:space="0" w:color="auto"/>
        <w:right w:val="none" w:sz="0" w:space="0" w:color="auto"/>
      </w:divBdr>
    </w:div>
    <w:div w:id="949774805">
      <w:bodyDiv w:val="1"/>
      <w:marLeft w:val="0"/>
      <w:marRight w:val="0"/>
      <w:marTop w:val="0"/>
      <w:marBottom w:val="0"/>
      <w:divBdr>
        <w:top w:val="none" w:sz="0" w:space="0" w:color="auto"/>
        <w:left w:val="none" w:sz="0" w:space="0" w:color="auto"/>
        <w:bottom w:val="none" w:sz="0" w:space="0" w:color="auto"/>
        <w:right w:val="none" w:sz="0" w:space="0" w:color="auto"/>
      </w:divBdr>
    </w:div>
    <w:div w:id="950431531">
      <w:bodyDiv w:val="1"/>
      <w:marLeft w:val="0"/>
      <w:marRight w:val="0"/>
      <w:marTop w:val="0"/>
      <w:marBottom w:val="0"/>
      <w:divBdr>
        <w:top w:val="none" w:sz="0" w:space="0" w:color="auto"/>
        <w:left w:val="none" w:sz="0" w:space="0" w:color="auto"/>
        <w:bottom w:val="none" w:sz="0" w:space="0" w:color="auto"/>
        <w:right w:val="none" w:sz="0" w:space="0" w:color="auto"/>
      </w:divBdr>
    </w:div>
    <w:div w:id="950552952">
      <w:bodyDiv w:val="1"/>
      <w:marLeft w:val="0"/>
      <w:marRight w:val="0"/>
      <w:marTop w:val="0"/>
      <w:marBottom w:val="0"/>
      <w:divBdr>
        <w:top w:val="none" w:sz="0" w:space="0" w:color="auto"/>
        <w:left w:val="none" w:sz="0" w:space="0" w:color="auto"/>
        <w:bottom w:val="none" w:sz="0" w:space="0" w:color="auto"/>
        <w:right w:val="none" w:sz="0" w:space="0" w:color="auto"/>
      </w:divBdr>
    </w:div>
    <w:div w:id="950669947">
      <w:bodyDiv w:val="1"/>
      <w:marLeft w:val="0"/>
      <w:marRight w:val="0"/>
      <w:marTop w:val="0"/>
      <w:marBottom w:val="0"/>
      <w:divBdr>
        <w:top w:val="none" w:sz="0" w:space="0" w:color="auto"/>
        <w:left w:val="none" w:sz="0" w:space="0" w:color="auto"/>
        <w:bottom w:val="none" w:sz="0" w:space="0" w:color="auto"/>
        <w:right w:val="none" w:sz="0" w:space="0" w:color="auto"/>
      </w:divBdr>
    </w:div>
    <w:div w:id="950933860">
      <w:bodyDiv w:val="1"/>
      <w:marLeft w:val="0"/>
      <w:marRight w:val="0"/>
      <w:marTop w:val="0"/>
      <w:marBottom w:val="0"/>
      <w:divBdr>
        <w:top w:val="none" w:sz="0" w:space="0" w:color="auto"/>
        <w:left w:val="none" w:sz="0" w:space="0" w:color="auto"/>
        <w:bottom w:val="none" w:sz="0" w:space="0" w:color="auto"/>
        <w:right w:val="none" w:sz="0" w:space="0" w:color="auto"/>
      </w:divBdr>
    </w:div>
    <w:div w:id="951714152">
      <w:bodyDiv w:val="1"/>
      <w:marLeft w:val="0"/>
      <w:marRight w:val="0"/>
      <w:marTop w:val="0"/>
      <w:marBottom w:val="0"/>
      <w:divBdr>
        <w:top w:val="none" w:sz="0" w:space="0" w:color="auto"/>
        <w:left w:val="none" w:sz="0" w:space="0" w:color="auto"/>
        <w:bottom w:val="none" w:sz="0" w:space="0" w:color="auto"/>
        <w:right w:val="none" w:sz="0" w:space="0" w:color="auto"/>
      </w:divBdr>
    </w:div>
    <w:div w:id="952437894">
      <w:bodyDiv w:val="1"/>
      <w:marLeft w:val="0"/>
      <w:marRight w:val="0"/>
      <w:marTop w:val="0"/>
      <w:marBottom w:val="0"/>
      <w:divBdr>
        <w:top w:val="none" w:sz="0" w:space="0" w:color="auto"/>
        <w:left w:val="none" w:sz="0" w:space="0" w:color="auto"/>
        <w:bottom w:val="none" w:sz="0" w:space="0" w:color="auto"/>
        <w:right w:val="none" w:sz="0" w:space="0" w:color="auto"/>
      </w:divBdr>
    </w:div>
    <w:div w:id="952590462">
      <w:bodyDiv w:val="1"/>
      <w:marLeft w:val="0"/>
      <w:marRight w:val="0"/>
      <w:marTop w:val="0"/>
      <w:marBottom w:val="0"/>
      <w:divBdr>
        <w:top w:val="none" w:sz="0" w:space="0" w:color="auto"/>
        <w:left w:val="none" w:sz="0" w:space="0" w:color="auto"/>
        <w:bottom w:val="none" w:sz="0" w:space="0" w:color="auto"/>
        <w:right w:val="none" w:sz="0" w:space="0" w:color="auto"/>
      </w:divBdr>
    </w:div>
    <w:div w:id="953636986">
      <w:bodyDiv w:val="1"/>
      <w:marLeft w:val="0"/>
      <w:marRight w:val="0"/>
      <w:marTop w:val="0"/>
      <w:marBottom w:val="0"/>
      <w:divBdr>
        <w:top w:val="none" w:sz="0" w:space="0" w:color="auto"/>
        <w:left w:val="none" w:sz="0" w:space="0" w:color="auto"/>
        <w:bottom w:val="none" w:sz="0" w:space="0" w:color="auto"/>
        <w:right w:val="none" w:sz="0" w:space="0" w:color="auto"/>
      </w:divBdr>
    </w:div>
    <w:div w:id="953682040">
      <w:bodyDiv w:val="1"/>
      <w:marLeft w:val="0"/>
      <w:marRight w:val="0"/>
      <w:marTop w:val="0"/>
      <w:marBottom w:val="0"/>
      <w:divBdr>
        <w:top w:val="none" w:sz="0" w:space="0" w:color="auto"/>
        <w:left w:val="none" w:sz="0" w:space="0" w:color="auto"/>
        <w:bottom w:val="none" w:sz="0" w:space="0" w:color="auto"/>
        <w:right w:val="none" w:sz="0" w:space="0" w:color="auto"/>
      </w:divBdr>
    </w:div>
    <w:div w:id="953947075">
      <w:bodyDiv w:val="1"/>
      <w:marLeft w:val="0"/>
      <w:marRight w:val="0"/>
      <w:marTop w:val="0"/>
      <w:marBottom w:val="0"/>
      <w:divBdr>
        <w:top w:val="none" w:sz="0" w:space="0" w:color="auto"/>
        <w:left w:val="none" w:sz="0" w:space="0" w:color="auto"/>
        <w:bottom w:val="none" w:sz="0" w:space="0" w:color="auto"/>
        <w:right w:val="none" w:sz="0" w:space="0" w:color="auto"/>
      </w:divBdr>
    </w:div>
    <w:div w:id="954405908">
      <w:bodyDiv w:val="1"/>
      <w:marLeft w:val="0"/>
      <w:marRight w:val="0"/>
      <w:marTop w:val="0"/>
      <w:marBottom w:val="0"/>
      <w:divBdr>
        <w:top w:val="none" w:sz="0" w:space="0" w:color="auto"/>
        <w:left w:val="none" w:sz="0" w:space="0" w:color="auto"/>
        <w:bottom w:val="none" w:sz="0" w:space="0" w:color="auto"/>
        <w:right w:val="none" w:sz="0" w:space="0" w:color="auto"/>
      </w:divBdr>
    </w:div>
    <w:div w:id="954412046">
      <w:bodyDiv w:val="1"/>
      <w:marLeft w:val="0"/>
      <w:marRight w:val="0"/>
      <w:marTop w:val="0"/>
      <w:marBottom w:val="0"/>
      <w:divBdr>
        <w:top w:val="none" w:sz="0" w:space="0" w:color="auto"/>
        <w:left w:val="none" w:sz="0" w:space="0" w:color="auto"/>
        <w:bottom w:val="none" w:sz="0" w:space="0" w:color="auto"/>
        <w:right w:val="none" w:sz="0" w:space="0" w:color="auto"/>
      </w:divBdr>
    </w:div>
    <w:div w:id="954868966">
      <w:bodyDiv w:val="1"/>
      <w:marLeft w:val="0"/>
      <w:marRight w:val="0"/>
      <w:marTop w:val="0"/>
      <w:marBottom w:val="0"/>
      <w:divBdr>
        <w:top w:val="none" w:sz="0" w:space="0" w:color="auto"/>
        <w:left w:val="none" w:sz="0" w:space="0" w:color="auto"/>
        <w:bottom w:val="none" w:sz="0" w:space="0" w:color="auto"/>
        <w:right w:val="none" w:sz="0" w:space="0" w:color="auto"/>
      </w:divBdr>
    </w:div>
    <w:div w:id="954992606">
      <w:bodyDiv w:val="1"/>
      <w:marLeft w:val="0"/>
      <w:marRight w:val="0"/>
      <w:marTop w:val="0"/>
      <w:marBottom w:val="0"/>
      <w:divBdr>
        <w:top w:val="none" w:sz="0" w:space="0" w:color="auto"/>
        <w:left w:val="none" w:sz="0" w:space="0" w:color="auto"/>
        <w:bottom w:val="none" w:sz="0" w:space="0" w:color="auto"/>
        <w:right w:val="none" w:sz="0" w:space="0" w:color="auto"/>
      </w:divBdr>
    </w:div>
    <w:div w:id="955990856">
      <w:bodyDiv w:val="1"/>
      <w:marLeft w:val="0"/>
      <w:marRight w:val="0"/>
      <w:marTop w:val="0"/>
      <w:marBottom w:val="0"/>
      <w:divBdr>
        <w:top w:val="none" w:sz="0" w:space="0" w:color="auto"/>
        <w:left w:val="none" w:sz="0" w:space="0" w:color="auto"/>
        <w:bottom w:val="none" w:sz="0" w:space="0" w:color="auto"/>
        <w:right w:val="none" w:sz="0" w:space="0" w:color="auto"/>
      </w:divBdr>
    </w:div>
    <w:div w:id="956373525">
      <w:bodyDiv w:val="1"/>
      <w:marLeft w:val="0"/>
      <w:marRight w:val="0"/>
      <w:marTop w:val="0"/>
      <w:marBottom w:val="0"/>
      <w:divBdr>
        <w:top w:val="none" w:sz="0" w:space="0" w:color="auto"/>
        <w:left w:val="none" w:sz="0" w:space="0" w:color="auto"/>
        <w:bottom w:val="none" w:sz="0" w:space="0" w:color="auto"/>
        <w:right w:val="none" w:sz="0" w:space="0" w:color="auto"/>
      </w:divBdr>
    </w:div>
    <w:div w:id="956452019">
      <w:bodyDiv w:val="1"/>
      <w:marLeft w:val="0"/>
      <w:marRight w:val="0"/>
      <w:marTop w:val="0"/>
      <w:marBottom w:val="0"/>
      <w:divBdr>
        <w:top w:val="none" w:sz="0" w:space="0" w:color="auto"/>
        <w:left w:val="none" w:sz="0" w:space="0" w:color="auto"/>
        <w:bottom w:val="none" w:sz="0" w:space="0" w:color="auto"/>
        <w:right w:val="none" w:sz="0" w:space="0" w:color="auto"/>
      </w:divBdr>
    </w:div>
    <w:div w:id="956452734">
      <w:bodyDiv w:val="1"/>
      <w:marLeft w:val="0"/>
      <w:marRight w:val="0"/>
      <w:marTop w:val="0"/>
      <w:marBottom w:val="0"/>
      <w:divBdr>
        <w:top w:val="none" w:sz="0" w:space="0" w:color="auto"/>
        <w:left w:val="none" w:sz="0" w:space="0" w:color="auto"/>
        <w:bottom w:val="none" w:sz="0" w:space="0" w:color="auto"/>
        <w:right w:val="none" w:sz="0" w:space="0" w:color="auto"/>
      </w:divBdr>
    </w:div>
    <w:div w:id="956912144">
      <w:bodyDiv w:val="1"/>
      <w:marLeft w:val="0"/>
      <w:marRight w:val="0"/>
      <w:marTop w:val="0"/>
      <w:marBottom w:val="0"/>
      <w:divBdr>
        <w:top w:val="none" w:sz="0" w:space="0" w:color="auto"/>
        <w:left w:val="none" w:sz="0" w:space="0" w:color="auto"/>
        <w:bottom w:val="none" w:sz="0" w:space="0" w:color="auto"/>
        <w:right w:val="none" w:sz="0" w:space="0" w:color="auto"/>
      </w:divBdr>
    </w:div>
    <w:div w:id="957031006">
      <w:bodyDiv w:val="1"/>
      <w:marLeft w:val="0"/>
      <w:marRight w:val="0"/>
      <w:marTop w:val="0"/>
      <w:marBottom w:val="0"/>
      <w:divBdr>
        <w:top w:val="none" w:sz="0" w:space="0" w:color="auto"/>
        <w:left w:val="none" w:sz="0" w:space="0" w:color="auto"/>
        <w:bottom w:val="none" w:sz="0" w:space="0" w:color="auto"/>
        <w:right w:val="none" w:sz="0" w:space="0" w:color="auto"/>
      </w:divBdr>
    </w:div>
    <w:div w:id="957032692">
      <w:bodyDiv w:val="1"/>
      <w:marLeft w:val="0"/>
      <w:marRight w:val="0"/>
      <w:marTop w:val="0"/>
      <w:marBottom w:val="0"/>
      <w:divBdr>
        <w:top w:val="none" w:sz="0" w:space="0" w:color="auto"/>
        <w:left w:val="none" w:sz="0" w:space="0" w:color="auto"/>
        <w:bottom w:val="none" w:sz="0" w:space="0" w:color="auto"/>
        <w:right w:val="none" w:sz="0" w:space="0" w:color="auto"/>
      </w:divBdr>
    </w:div>
    <w:div w:id="957108655">
      <w:bodyDiv w:val="1"/>
      <w:marLeft w:val="0"/>
      <w:marRight w:val="0"/>
      <w:marTop w:val="0"/>
      <w:marBottom w:val="0"/>
      <w:divBdr>
        <w:top w:val="none" w:sz="0" w:space="0" w:color="auto"/>
        <w:left w:val="none" w:sz="0" w:space="0" w:color="auto"/>
        <w:bottom w:val="none" w:sz="0" w:space="0" w:color="auto"/>
        <w:right w:val="none" w:sz="0" w:space="0" w:color="auto"/>
      </w:divBdr>
    </w:div>
    <w:div w:id="957223335">
      <w:bodyDiv w:val="1"/>
      <w:marLeft w:val="0"/>
      <w:marRight w:val="0"/>
      <w:marTop w:val="0"/>
      <w:marBottom w:val="0"/>
      <w:divBdr>
        <w:top w:val="none" w:sz="0" w:space="0" w:color="auto"/>
        <w:left w:val="none" w:sz="0" w:space="0" w:color="auto"/>
        <w:bottom w:val="none" w:sz="0" w:space="0" w:color="auto"/>
        <w:right w:val="none" w:sz="0" w:space="0" w:color="auto"/>
      </w:divBdr>
    </w:div>
    <w:div w:id="957373049">
      <w:bodyDiv w:val="1"/>
      <w:marLeft w:val="0"/>
      <w:marRight w:val="0"/>
      <w:marTop w:val="0"/>
      <w:marBottom w:val="0"/>
      <w:divBdr>
        <w:top w:val="none" w:sz="0" w:space="0" w:color="auto"/>
        <w:left w:val="none" w:sz="0" w:space="0" w:color="auto"/>
        <w:bottom w:val="none" w:sz="0" w:space="0" w:color="auto"/>
        <w:right w:val="none" w:sz="0" w:space="0" w:color="auto"/>
      </w:divBdr>
    </w:div>
    <w:div w:id="958031728">
      <w:bodyDiv w:val="1"/>
      <w:marLeft w:val="0"/>
      <w:marRight w:val="0"/>
      <w:marTop w:val="0"/>
      <w:marBottom w:val="0"/>
      <w:divBdr>
        <w:top w:val="none" w:sz="0" w:space="0" w:color="auto"/>
        <w:left w:val="none" w:sz="0" w:space="0" w:color="auto"/>
        <w:bottom w:val="none" w:sz="0" w:space="0" w:color="auto"/>
        <w:right w:val="none" w:sz="0" w:space="0" w:color="auto"/>
      </w:divBdr>
    </w:div>
    <w:div w:id="958073233">
      <w:bodyDiv w:val="1"/>
      <w:marLeft w:val="0"/>
      <w:marRight w:val="0"/>
      <w:marTop w:val="0"/>
      <w:marBottom w:val="0"/>
      <w:divBdr>
        <w:top w:val="none" w:sz="0" w:space="0" w:color="auto"/>
        <w:left w:val="none" w:sz="0" w:space="0" w:color="auto"/>
        <w:bottom w:val="none" w:sz="0" w:space="0" w:color="auto"/>
        <w:right w:val="none" w:sz="0" w:space="0" w:color="auto"/>
      </w:divBdr>
    </w:div>
    <w:div w:id="958101205">
      <w:bodyDiv w:val="1"/>
      <w:marLeft w:val="0"/>
      <w:marRight w:val="0"/>
      <w:marTop w:val="0"/>
      <w:marBottom w:val="0"/>
      <w:divBdr>
        <w:top w:val="none" w:sz="0" w:space="0" w:color="auto"/>
        <w:left w:val="none" w:sz="0" w:space="0" w:color="auto"/>
        <w:bottom w:val="none" w:sz="0" w:space="0" w:color="auto"/>
        <w:right w:val="none" w:sz="0" w:space="0" w:color="auto"/>
      </w:divBdr>
    </w:div>
    <w:div w:id="958757650">
      <w:bodyDiv w:val="1"/>
      <w:marLeft w:val="0"/>
      <w:marRight w:val="0"/>
      <w:marTop w:val="0"/>
      <w:marBottom w:val="0"/>
      <w:divBdr>
        <w:top w:val="none" w:sz="0" w:space="0" w:color="auto"/>
        <w:left w:val="none" w:sz="0" w:space="0" w:color="auto"/>
        <w:bottom w:val="none" w:sz="0" w:space="0" w:color="auto"/>
        <w:right w:val="none" w:sz="0" w:space="0" w:color="auto"/>
      </w:divBdr>
    </w:div>
    <w:div w:id="958802341">
      <w:bodyDiv w:val="1"/>
      <w:marLeft w:val="0"/>
      <w:marRight w:val="0"/>
      <w:marTop w:val="0"/>
      <w:marBottom w:val="0"/>
      <w:divBdr>
        <w:top w:val="none" w:sz="0" w:space="0" w:color="auto"/>
        <w:left w:val="none" w:sz="0" w:space="0" w:color="auto"/>
        <w:bottom w:val="none" w:sz="0" w:space="0" w:color="auto"/>
        <w:right w:val="none" w:sz="0" w:space="0" w:color="auto"/>
      </w:divBdr>
    </w:div>
    <w:div w:id="959067981">
      <w:bodyDiv w:val="1"/>
      <w:marLeft w:val="0"/>
      <w:marRight w:val="0"/>
      <w:marTop w:val="0"/>
      <w:marBottom w:val="0"/>
      <w:divBdr>
        <w:top w:val="none" w:sz="0" w:space="0" w:color="auto"/>
        <w:left w:val="none" w:sz="0" w:space="0" w:color="auto"/>
        <w:bottom w:val="none" w:sz="0" w:space="0" w:color="auto"/>
        <w:right w:val="none" w:sz="0" w:space="0" w:color="auto"/>
      </w:divBdr>
    </w:div>
    <w:div w:id="959189188">
      <w:bodyDiv w:val="1"/>
      <w:marLeft w:val="0"/>
      <w:marRight w:val="0"/>
      <w:marTop w:val="0"/>
      <w:marBottom w:val="0"/>
      <w:divBdr>
        <w:top w:val="none" w:sz="0" w:space="0" w:color="auto"/>
        <w:left w:val="none" w:sz="0" w:space="0" w:color="auto"/>
        <w:bottom w:val="none" w:sz="0" w:space="0" w:color="auto"/>
        <w:right w:val="none" w:sz="0" w:space="0" w:color="auto"/>
      </w:divBdr>
    </w:div>
    <w:div w:id="959579370">
      <w:bodyDiv w:val="1"/>
      <w:marLeft w:val="0"/>
      <w:marRight w:val="0"/>
      <w:marTop w:val="0"/>
      <w:marBottom w:val="0"/>
      <w:divBdr>
        <w:top w:val="none" w:sz="0" w:space="0" w:color="auto"/>
        <w:left w:val="none" w:sz="0" w:space="0" w:color="auto"/>
        <w:bottom w:val="none" w:sz="0" w:space="0" w:color="auto"/>
        <w:right w:val="none" w:sz="0" w:space="0" w:color="auto"/>
      </w:divBdr>
    </w:div>
    <w:div w:id="959650851">
      <w:bodyDiv w:val="1"/>
      <w:marLeft w:val="0"/>
      <w:marRight w:val="0"/>
      <w:marTop w:val="0"/>
      <w:marBottom w:val="0"/>
      <w:divBdr>
        <w:top w:val="none" w:sz="0" w:space="0" w:color="auto"/>
        <w:left w:val="none" w:sz="0" w:space="0" w:color="auto"/>
        <w:bottom w:val="none" w:sz="0" w:space="0" w:color="auto"/>
        <w:right w:val="none" w:sz="0" w:space="0" w:color="auto"/>
      </w:divBdr>
    </w:div>
    <w:div w:id="960038907">
      <w:bodyDiv w:val="1"/>
      <w:marLeft w:val="0"/>
      <w:marRight w:val="0"/>
      <w:marTop w:val="0"/>
      <w:marBottom w:val="0"/>
      <w:divBdr>
        <w:top w:val="none" w:sz="0" w:space="0" w:color="auto"/>
        <w:left w:val="none" w:sz="0" w:space="0" w:color="auto"/>
        <w:bottom w:val="none" w:sz="0" w:space="0" w:color="auto"/>
        <w:right w:val="none" w:sz="0" w:space="0" w:color="auto"/>
      </w:divBdr>
    </w:div>
    <w:div w:id="960302473">
      <w:bodyDiv w:val="1"/>
      <w:marLeft w:val="0"/>
      <w:marRight w:val="0"/>
      <w:marTop w:val="0"/>
      <w:marBottom w:val="0"/>
      <w:divBdr>
        <w:top w:val="none" w:sz="0" w:space="0" w:color="auto"/>
        <w:left w:val="none" w:sz="0" w:space="0" w:color="auto"/>
        <w:bottom w:val="none" w:sz="0" w:space="0" w:color="auto"/>
        <w:right w:val="none" w:sz="0" w:space="0" w:color="auto"/>
      </w:divBdr>
    </w:div>
    <w:div w:id="960649915">
      <w:bodyDiv w:val="1"/>
      <w:marLeft w:val="0"/>
      <w:marRight w:val="0"/>
      <w:marTop w:val="0"/>
      <w:marBottom w:val="0"/>
      <w:divBdr>
        <w:top w:val="none" w:sz="0" w:space="0" w:color="auto"/>
        <w:left w:val="none" w:sz="0" w:space="0" w:color="auto"/>
        <w:bottom w:val="none" w:sz="0" w:space="0" w:color="auto"/>
        <w:right w:val="none" w:sz="0" w:space="0" w:color="auto"/>
      </w:divBdr>
    </w:div>
    <w:div w:id="960763655">
      <w:bodyDiv w:val="1"/>
      <w:marLeft w:val="0"/>
      <w:marRight w:val="0"/>
      <w:marTop w:val="0"/>
      <w:marBottom w:val="0"/>
      <w:divBdr>
        <w:top w:val="none" w:sz="0" w:space="0" w:color="auto"/>
        <w:left w:val="none" w:sz="0" w:space="0" w:color="auto"/>
        <w:bottom w:val="none" w:sz="0" w:space="0" w:color="auto"/>
        <w:right w:val="none" w:sz="0" w:space="0" w:color="auto"/>
      </w:divBdr>
    </w:div>
    <w:div w:id="960763771">
      <w:bodyDiv w:val="1"/>
      <w:marLeft w:val="0"/>
      <w:marRight w:val="0"/>
      <w:marTop w:val="0"/>
      <w:marBottom w:val="0"/>
      <w:divBdr>
        <w:top w:val="none" w:sz="0" w:space="0" w:color="auto"/>
        <w:left w:val="none" w:sz="0" w:space="0" w:color="auto"/>
        <w:bottom w:val="none" w:sz="0" w:space="0" w:color="auto"/>
        <w:right w:val="none" w:sz="0" w:space="0" w:color="auto"/>
      </w:divBdr>
    </w:div>
    <w:div w:id="961225812">
      <w:bodyDiv w:val="1"/>
      <w:marLeft w:val="0"/>
      <w:marRight w:val="0"/>
      <w:marTop w:val="0"/>
      <w:marBottom w:val="0"/>
      <w:divBdr>
        <w:top w:val="none" w:sz="0" w:space="0" w:color="auto"/>
        <w:left w:val="none" w:sz="0" w:space="0" w:color="auto"/>
        <w:bottom w:val="none" w:sz="0" w:space="0" w:color="auto"/>
        <w:right w:val="none" w:sz="0" w:space="0" w:color="auto"/>
      </w:divBdr>
    </w:div>
    <w:div w:id="961418779">
      <w:bodyDiv w:val="1"/>
      <w:marLeft w:val="0"/>
      <w:marRight w:val="0"/>
      <w:marTop w:val="0"/>
      <w:marBottom w:val="0"/>
      <w:divBdr>
        <w:top w:val="none" w:sz="0" w:space="0" w:color="auto"/>
        <w:left w:val="none" w:sz="0" w:space="0" w:color="auto"/>
        <w:bottom w:val="none" w:sz="0" w:space="0" w:color="auto"/>
        <w:right w:val="none" w:sz="0" w:space="0" w:color="auto"/>
      </w:divBdr>
    </w:div>
    <w:div w:id="961691431">
      <w:bodyDiv w:val="1"/>
      <w:marLeft w:val="0"/>
      <w:marRight w:val="0"/>
      <w:marTop w:val="0"/>
      <w:marBottom w:val="0"/>
      <w:divBdr>
        <w:top w:val="none" w:sz="0" w:space="0" w:color="auto"/>
        <w:left w:val="none" w:sz="0" w:space="0" w:color="auto"/>
        <w:bottom w:val="none" w:sz="0" w:space="0" w:color="auto"/>
        <w:right w:val="none" w:sz="0" w:space="0" w:color="auto"/>
      </w:divBdr>
    </w:div>
    <w:div w:id="962157604">
      <w:bodyDiv w:val="1"/>
      <w:marLeft w:val="0"/>
      <w:marRight w:val="0"/>
      <w:marTop w:val="0"/>
      <w:marBottom w:val="0"/>
      <w:divBdr>
        <w:top w:val="none" w:sz="0" w:space="0" w:color="auto"/>
        <w:left w:val="none" w:sz="0" w:space="0" w:color="auto"/>
        <w:bottom w:val="none" w:sz="0" w:space="0" w:color="auto"/>
        <w:right w:val="none" w:sz="0" w:space="0" w:color="auto"/>
      </w:divBdr>
    </w:div>
    <w:div w:id="962267191">
      <w:bodyDiv w:val="1"/>
      <w:marLeft w:val="0"/>
      <w:marRight w:val="0"/>
      <w:marTop w:val="0"/>
      <w:marBottom w:val="0"/>
      <w:divBdr>
        <w:top w:val="none" w:sz="0" w:space="0" w:color="auto"/>
        <w:left w:val="none" w:sz="0" w:space="0" w:color="auto"/>
        <w:bottom w:val="none" w:sz="0" w:space="0" w:color="auto"/>
        <w:right w:val="none" w:sz="0" w:space="0" w:color="auto"/>
      </w:divBdr>
    </w:div>
    <w:div w:id="962270175">
      <w:bodyDiv w:val="1"/>
      <w:marLeft w:val="0"/>
      <w:marRight w:val="0"/>
      <w:marTop w:val="0"/>
      <w:marBottom w:val="0"/>
      <w:divBdr>
        <w:top w:val="none" w:sz="0" w:space="0" w:color="auto"/>
        <w:left w:val="none" w:sz="0" w:space="0" w:color="auto"/>
        <w:bottom w:val="none" w:sz="0" w:space="0" w:color="auto"/>
        <w:right w:val="none" w:sz="0" w:space="0" w:color="auto"/>
      </w:divBdr>
    </w:div>
    <w:div w:id="962729385">
      <w:bodyDiv w:val="1"/>
      <w:marLeft w:val="0"/>
      <w:marRight w:val="0"/>
      <w:marTop w:val="0"/>
      <w:marBottom w:val="0"/>
      <w:divBdr>
        <w:top w:val="none" w:sz="0" w:space="0" w:color="auto"/>
        <w:left w:val="none" w:sz="0" w:space="0" w:color="auto"/>
        <w:bottom w:val="none" w:sz="0" w:space="0" w:color="auto"/>
        <w:right w:val="none" w:sz="0" w:space="0" w:color="auto"/>
      </w:divBdr>
    </w:div>
    <w:div w:id="962880744">
      <w:bodyDiv w:val="1"/>
      <w:marLeft w:val="0"/>
      <w:marRight w:val="0"/>
      <w:marTop w:val="0"/>
      <w:marBottom w:val="0"/>
      <w:divBdr>
        <w:top w:val="none" w:sz="0" w:space="0" w:color="auto"/>
        <w:left w:val="none" w:sz="0" w:space="0" w:color="auto"/>
        <w:bottom w:val="none" w:sz="0" w:space="0" w:color="auto"/>
        <w:right w:val="none" w:sz="0" w:space="0" w:color="auto"/>
      </w:divBdr>
    </w:div>
    <w:div w:id="963467838">
      <w:bodyDiv w:val="1"/>
      <w:marLeft w:val="0"/>
      <w:marRight w:val="0"/>
      <w:marTop w:val="0"/>
      <w:marBottom w:val="0"/>
      <w:divBdr>
        <w:top w:val="none" w:sz="0" w:space="0" w:color="auto"/>
        <w:left w:val="none" w:sz="0" w:space="0" w:color="auto"/>
        <w:bottom w:val="none" w:sz="0" w:space="0" w:color="auto"/>
        <w:right w:val="none" w:sz="0" w:space="0" w:color="auto"/>
      </w:divBdr>
    </w:div>
    <w:div w:id="963727606">
      <w:bodyDiv w:val="1"/>
      <w:marLeft w:val="0"/>
      <w:marRight w:val="0"/>
      <w:marTop w:val="0"/>
      <w:marBottom w:val="0"/>
      <w:divBdr>
        <w:top w:val="none" w:sz="0" w:space="0" w:color="auto"/>
        <w:left w:val="none" w:sz="0" w:space="0" w:color="auto"/>
        <w:bottom w:val="none" w:sz="0" w:space="0" w:color="auto"/>
        <w:right w:val="none" w:sz="0" w:space="0" w:color="auto"/>
      </w:divBdr>
    </w:div>
    <w:div w:id="964047137">
      <w:bodyDiv w:val="1"/>
      <w:marLeft w:val="0"/>
      <w:marRight w:val="0"/>
      <w:marTop w:val="0"/>
      <w:marBottom w:val="0"/>
      <w:divBdr>
        <w:top w:val="none" w:sz="0" w:space="0" w:color="auto"/>
        <w:left w:val="none" w:sz="0" w:space="0" w:color="auto"/>
        <w:bottom w:val="none" w:sz="0" w:space="0" w:color="auto"/>
        <w:right w:val="none" w:sz="0" w:space="0" w:color="auto"/>
      </w:divBdr>
    </w:div>
    <w:div w:id="964116430">
      <w:bodyDiv w:val="1"/>
      <w:marLeft w:val="0"/>
      <w:marRight w:val="0"/>
      <w:marTop w:val="0"/>
      <w:marBottom w:val="0"/>
      <w:divBdr>
        <w:top w:val="none" w:sz="0" w:space="0" w:color="auto"/>
        <w:left w:val="none" w:sz="0" w:space="0" w:color="auto"/>
        <w:bottom w:val="none" w:sz="0" w:space="0" w:color="auto"/>
        <w:right w:val="none" w:sz="0" w:space="0" w:color="auto"/>
      </w:divBdr>
    </w:div>
    <w:div w:id="964389469">
      <w:bodyDiv w:val="1"/>
      <w:marLeft w:val="0"/>
      <w:marRight w:val="0"/>
      <w:marTop w:val="0"/>
      <w:marBottom w:val="0"/>
      <w:divBdr>
        <w:top w:val="none" w:sz="0" w:space="0" w:color="auto"/>
        <w:left w:val="none" w:sz="0" w:space="0" w:color="auto"/>
        <w:bottom w:val="none" w:sz="0" w:space="0" w:color="auto"/>
        <w:right w:val="none" w:sz="0" w:space="0" w:color="auto"/>
      </w:divBdr>
    </w:div>
    <w:div w:id="964580845">
      <w:bodyDiv w:val="1"/>
      <w:marLeft w:val="0"/>
      <w:marRight w:val="0"/>
      <w:marTop w:val="0"/>
      <w:marBottom w:val="0"/>
      <w:divBdr>
        <w:top w:val="none" w:sz="0" w:space="0" w:color="auto"/>
        <w:left w:val="none" w:sz="0" w:space="0" w:color="auto"/>
        <w:bottom w:val="none" w:sz="0" w:space="0" w:color="auto"/>
        <w:right w:val="none" w:sz="0" w:space="0" w:color="auto"/>
      </w:divBdr>
    </w:div>
    <w:div w:id="964853305">
      <w:bodyDiv w:val="1"/>
      <w:marLeft w:val="0"/>
      <w:marRight w:val="0"/>
      <w:marTop w:val="0"/>
      <w:marBottom w:val="0"/>
      <w:divBdr>
        <w:top w:val="none" w:sz="0" w:space="0" w:color="auto"/>
        <w:left w:val="none" w:sz="0" w:space="0" w:color="auto"/>
        <w:bottom w:val="none" w:sz="0" w:space="0" w:color="auto"/>
        <w:right w:val="none" w:sz="0" w:space="0" w:color="auto"/>
      </w:divBdr>
    </w:div>
    <w:div w:id="965114663">
      <w:bodyDiv w:val="1"/>
      <w:marLeft w:val="0"/>
      <w:marRight w:val="0"/>
      <w:marTop w:val="0"/>
      <w:marBottom w:val="0"/>
      <w:divBdr>
        <w:top w:val="none" w:sz="0" w:space="0" w:color="auto"/>
        <w:left w:val="none" w:sz="0" w:space="0" w:color="auto"/>
        <w:bottom w:val="none" w:sz="0" w:space="0" w:color="auto"/>
        <w:right w:val="none" w:sz="0" w:space="0" w:color="auto"/>
      </w:divBdr>
    </w:div>
    <w:div w:id="966008700">
      <w:bodyDiv w:val="1"/>
      <w:marLeft w:val="0"/>
      <w:marRight w:val="0"/>
      <w:marTop w:val="0"/>
      <w:marBottom w:val="0"/>
      <w:divBdr>
        <w:top w:val="none" w:sz="0" w:space="0" w:color="auto"/>
        <w:left w:val="none" w:sz="0" w:space="0" w:color="auto"/>
        <w:bottom w:val="none" w:sz="0" w:space="0" w:color="auto"/>
        <w:right w:val="none" w:sz="0" w:space="0" w:color="auto"/>
      </w:divBdr>
    </w:div>
    <w:div w:id="966162324">
      <w:bodyDiv w:val="1"/>
      <w:marLeft w:val="0"/>
      <w:marRight w:val="0"/>
      <w:marTop w:val="0"/>
      <w:marBottom w:val="0"/>
      <w:divBdr>
        <w:top w:val="none" w:sz="0" w:space="0" w:color="auto"/>
        <w:left w:val="none" w:sz="0" w:space="0" w:color="auto"/>
        <w:bottom w:val="none" w:sz="0" w:space="0" w:color="auto"/>
        <w:right w:val="none" w:sz="0" w:space="0" w:color="auto"/>
      </w:divBdr>
    </w:div>
    <w:div w:id="966663794">
      <w:bodyDiv w:val="1"/>
      <w:marLeft w:val="0"/>
      <w:marRight w:val="0"/>
      <w:marTop w:val="0"/>
      <w:marBottom w:val="0"/>
      <w:divBdr>
        <w:top w:val="none" w:sz="0" w:space="0" w:color="auto"/>
        <w:left w:val="none" w:sz="0" w:space="0" w:color="auto"/>
        <w:bottom w:val="none" w:sz="0" w:space="0" w:color="auto"/>
        <w:right w:val="none" w:sz="0" w:space="0" w:color="auto"/>
      </w:divBdr>
    </w:div>
    <w:div w:id="966665611">
      <w:bodyDiv w:val="1"/>
      <w:marLeft w:val="0"/>
      <w:marRight w:val="0"/>
      <w:marTop w:val="0"/>
      <w:marBottom w:val="0"/>
      <w:divBdr>
        <w:top w:val="none" w:sz="0" w:space="0" w:color="auto"/>
        <w:left w:val="none" w:sz="0" w:space="0" w:color="auto"/>
        <w:bottom w:val="none" w:sz="0" w:space="0" w:color="auto"/>
        <w:right w:val="none" w:sz="0" w:space="0" w:color="auto"/>
      </w:divBdr>
    </w:div>
    <w:div w:id="966812243">
      <w:bodyDiv w:val="1"/>
      <w:marLeft w:val="0"/>
      <w:marRight w:val="0"/>
      <w:marTop w:val="0"/>
      <w:marBottom w:val="0"/>
      <w:divBdr>
        <w:top w:val="none" w:sz="0" w:space="0" w:color="auto"/>
        <w:left w:val="none" w:sz="0" w:space="0" w:color="auto"/>
        <w:bottom w:val="none" w:sz="0" w:space="0" w:color="auto"/>
        <w:right w:val="none" w:sz="0" w:space="0" w:color="auto"/>
      </w:divBdr>
    </w:div>
    <w:div w:id="966815230">
      <w:bodyDiv w:val="1"/>
      <w:marLeft w:val="0"/>
      <w:marRight w:val="0"/>
      <w:marTop w:val="0"/>
      <w:marBottom w:val="0"/>
      <w:divBdr>
        <w:top w:val="none" w:sz="0" w:space="0" w:color="auto"/>
        <w:left w:val="none" w:sz="0" w:space="0" w:color="auto"/>
        <w:bottom w:val="none" w:sz="0" w:space="0" w:color="auto"/>
        <w:right w:val="none" w:sz="0" w:space="0" w:color="auto"/>
      </w:divBdr>
    </w:div>
    <w:div w:id="966934857">
      <w:bodyDiv w:val="1"/>
      <w:marLeft w:val="0"/>
      <w:marRight w:val="0"/>
      <w:marTop w:val="0"/>
      <w:marBottom w:val="0"/>
      <w:divBdr>
        <w:top w:val="none" w:sz="0" w:space="0" w:color="auto"/>
        <w:left w:val="none" w:sz="0" w:space="0" w:color="auto"/>
        <w:bottom w:val="none" w:sz="0" w:space="0" w:color="auto"/>
        <w:right w:val="none" w:sz="0" w:space="0" w:color="auto"/>
      </w:divBdr>
    </w:div>
    <w:div w:id="967248323">
      <w:bodyDiv w:val="1"/>
      <w:marLeft w:val="0"/>
      <w:marRight w:val="0"/>
      <w:marTop w:val="0"/>
      <w:marBottom w:val="0"/>
      <w:divBdr>
        <w:top w:val="none" w:sz="0" w:space="0" w:color="auto"/>
        <w:left w:val="none" w:sz="0" w:space="0" w:color="auto"/>
        <w:bottom w:val="none" w:sz="0" w:space="0" w:color="auto"/>
        <w:right w:val="none" w:sz="0" w:space="0" w:color="auto"/>
      </w:divBdr>
    </w:div>
    <w:div w:id="967786673">
      <w:bodyDiv w:val="1"/>
      <w:marLeft w:val="0"/>
      <w:marRight w:val="0"/>
      <w:marTop w:val="0"/>
      <w:marBottom w:val="0"/>
      <w:divBdr>
        <w:top w:val="none" w:sz="0" w:space="0" w:color="auto"/>
        <w:left w:val="none" w:sz="0" w:space="0" w:color="auto"/>
        <w:bottom w:val="none" w:sz="0" w:space="0" w:color="auto"/>
        <w:right w:val="none" w:sz="0" w:space="0" w:color="auto"/>
      </w:divBdr>
    </w:div>
    <w:div w:id="967856050">
      <w:bodyDiv w:val="1"/>
      <w:marLeft w:val="0"/>
      <w:marRight w:val="0"/>
      <w:marTop w:val="0"/>
      <w:marBottom w:val="0"/>
      <w:divBdr>
        <w:top w:val="none" w:sz="0" w:space="0" w:color="auto"/>
        <w:left w:val="none" w:sz="0" w:space="0" w:color="auto"/>
        <w:bottom w:val="none" w:sz="0" w:space="0" w:color="auto"/>
        <w:right w:val="none" w:sz="0" w:space="0" w:color="auto"/>
      </w:divBdr>
    </w:div>
    <w:div w:id="967929977">
      <w:bodyDiv w:val="1"/>
      <w:marLeft w:val="0"/>
      <w:marRight w:val="0"/>
      <w:marTop w:val="0"/>
      <w:marBottom w:val="0"/>
      <w:divBdr>
        <w:top w:val="none" w:sz="0" w:space="0" w:color="auto"/>
        <w:left w:val="none" w:sz="0" w:space="0" w:color="auto"/>
        <w:bottom w:val="none" w:sz="0" w:space="0" w:color="auto"/>
        <w:right w:val="none" w:sz="0" w:space="0" w:color="auto"/>
      </w:divBdr>
    </w:div>
    <w:div w:id="968050734">
      <w:bodyDiv w:val="1"/>
      <w:marLeft w:val="0"/>
      <w:marRight w:val="0"/>
      <w:marTop w:val="0"/>
      <w:marBottom w:val="0"/>
      <w:divBdr>
        <w:top w:val="none" w:sz="0" w:space="0" w:color="auto"/>
        <w:left w:val="none" w:sz="0" w:space="0" w:color="auto"/>
        <w:bottom w:val="none" w:sz="0" w:space="0" w:color="auto"/>
        <w:right w:val="none" w:sz="0" w:space="0" w:color="auto"/>
      </w:divBdr>
    </w:div>
    <w:div w:id="968320911">
      <w:bodyDiv w:val="1"/>
      <w:marLeft w:val="0"/>
      <w:marRight w:val="0"/>
      <w:marTop w:val="0"/>
      <w:marBottom w:val="0"/>
      <w:divBdr>
        <w:top w:val="none" w:sz="0" w:space="0" w:color="auto"/>
        <w:left w:val="none" w:sz="0" w:space="0" w:color="auto"/>
        <w:bottom w:val="none" w:sz="0" w:space="0" w:color="auto"/>
        <w:right w:val="none" w:sz="0" w:space="0" w:color="auto"/>
      </w:divBdr>
    </w:div>
    <w:div w:id="968634047">
      <w:bodyDiv w:val="1"/>
      <w:marLeft w:val="0"/>
      <w:marRight w:val="0"/>
      <w:marTop w:val="0"/>
      <w:marBottom w:val="0"/>
      <w:divBdr>
        <w:top w:val="none" w:sz="0" w:space="0" w:color="auto"/>
        <w:left w:val="none" w:sz="0" w:space="0" w:color="auto"/>
        <w:bottom w:val="none" w:sz="0" w:space="0" w:color="auto"/>
        <w:right w:val="none" w:sz="0" w:space="0" w:color="auto"/>
      </w:divBdr>
    </w:div>
    <w:div w:id="969214053">
      <w:bodyDiv w:val="1"/>
      <w:marLeft w:val="0"/>
      <w:marRight w:val="0"/>
      <w:marTop w:val="0"/>
      <w:marBottom w:val="0"/>
      <w:divBdr>
        <w:top w:val="none" w:sz="0" w:space="0" w:color="auto"/>
        <w:left w:val="none" w:sz="0" w:space="0" w:color="auto"/>
        <w:bottom w:val="none" w:sz="0" w:space="0" w:color="auto"/>
        <w:right w:val="none" w:sz="0" w:space="0" w:color="auto"/>
      </w:divBdr>
    </w:div>
    <w:div w:id="969868736">
      <w:bodyDiv w:val="1"/>
      <w:marLeft w:val="0"/>
      <w:marRight w:val="0"/>
      <w:marTop w:val="0"/>
      <w:marBottom w:val="0"/>
      <w:divBdr>
        <w:top w:val="none" w:sz="0" w:space="0" w:color="auto"/>
        <w:left w:val="none" w:sz="0" w:space="0" w:color="auto"/>
        <w:bottom w:val="none" w:sz="0" w:space="0" w:color="auto"/>
        <w:right w:val="none" w:sz="0" w:space="0" w:color="auto"/>
      </w:divBdr>
    </w:div>
    <w:div w:id="970014223">
      <w:bodyDiv w:val="1"/>
      <w:marLeft w:val="0"/>
      <w:marRight w:val="0"/>
      <w:marTop w:val="0"/>
      <w:marBottom w:val="0"/>
      <w:divBdr>
        <w:top w:val="none" w:sz="0" w:space="0" w:color="auto"/>
        <w:left w:val="none" w:sz="0" w:space="0" w:color="auto"/>
        <w:bottom w:val="none" w:sz="0" w:space="0" w:color="auto"/>
        <w:right w:val="none" w:sz="0" w:space="0" w:color="auto"/>
      </w:divBdr>
    </w:div>
    <w:div w:id="970095383">
      <w:bodyDiv w:val="1"/>
      <w:marLeft w:val="0"/>
      <w:marRight w:val="0"/>
      <w:marTop w:val="0"/>
      <w:marBottom w:val="0"/>
      <w:divBdr>
        <w:top w:val="none" w:sz="0" w:space="0" w:color="auto"/>
        <w:left w:val="none" w:sz="0" w:space="0" w:color="auto"/>
        <w:bottom w:val="none" w:sz="0" w:space="0" w:color="auto"/>
        <w:right w:val="none" w:sz="0" w:space="0" w:color="auto"/>
      </w:divBdr>
    </w:div>
    <w:div w:id="970355728">
      <w:bodyDiv w:val="1"/>
      <w:marLeft w:val="0"/>
      <w:marRight w:val="0"/>
      <w:marTop w:val="0"/>
      <w:marBottom w:val="0"/>
      <w:divBdr>
        <w:top w:val="none" w:sz="0" w:space="0" w:color="auto"/>
        <w:left w:val="none" w:sz="0" w:space="0" w:color="auto"/>
        <w:bottom w:val="none" w:sz="0" w:space="0" w:color="auto"/>
        <w:right w:val="none" w:sz="0" w:space="0" w:color="auto"/>
      </w:divBdr>
    </w:div>
    <w:div w:id="970943293">
      <w:bodyDiv w:val="1"/>
      <w:marLeft w:val="0"/>
      <w:marRight w:val="0"/>
      <w:marTop w:val="0"/>
      <w:marBottom w:val="0"/>
      <w:divBdr>
        <w:top w:val="none" w:sz="0" w:space="0" w:color="auto"/>
        <w:left w:val="none" w:sz="0" w:space="0" w:color="auto"/>
        <w:bottom w:val="none" w:sz="0" w:space="0" w:color="auto"/>
        <w:right w:val="none" w:sz="0" w:space="0" w:color="auto"/>
      </w:divBdr>
    </w:div>
    <w:div w:id="970986709">
      <w:bodyDiv w:val="1"/>
      <w:marLeft w:val="0"/>
      <w:marRight w:val="0"/>
      <w:marTop w:val="0"/>
      <w:marBottom w:val="0"/>
      <w:divBdr>
        <w:top w:val="none" w:sz="0" w:space="0" w:color="auto"/>
        <w:left w:val="none" w:sz="0" w:space="0" w:color="auto"/>
        <w:bottom w:val="none" w:sz="0" w:space="0" w:color="auto"/>
        <w:right w:val="none" w:sz="0" w:space="0" w:color="auto"/>
      </w:divBdr>
    </w:div>
    <w:div w:id="971205607">
      <w:bodyDiv w:val="1"/>
      <w:marLeft w:val="0"/>
      <w:marRight w:val="0"/>
      <w:marTop w:val="0"/>
      <w:marBottom w:val="0"/>
      <w:divBdr>
        <w:top w:val="none" w:sz="0" w:space="0" w:color="auto"/>
        <w:left w:val="none" w:sz="0" w:space="0" w:color="auto"/>
        <w:bottom w:val="none" w:sz="0" w:space="0" w:color="auto"/>
        <w:right w:val="none" w:sz="0" w:space="0" w:color="auto"/>
      </w:divBdr>
    </w:div>
    <w:div w:id="971404939">
      <w:bodyDiv w:val="1"/>
      <w:marLeft w:val="0"/>
      <w:marRight w:val="0"/>
      <w:marTop w:val="0"/>
      <w:marBottom w:val="0"/>
      <w:divBdr>
        <w:top w:val="none" w:sz="0" w:space="0" w:color="auto"/>
        <w:left w:val="none" w:sz="0" w:space="0" w:color="auto"/>
        <w:bottom w:val="none" w:sz="0" w:space="0" w:color="auto"/>
        <w:right w:val="none" w:sz="0" w:space="0" w:color="auto"/>
      </w:divBdr>
    </w:div>
    <w:div w:id="971445094">
      <w:bodyDiv w:val="1"/>
      <w:marLeft w:val="0"/>
      <w:marRight w:val="0"/>
      <w:marTop w:val="0"/>
      <w:marBottom w:val="0"/>
      <w:divBdr>
        <w:top w:val="none" w:sz="0" w:space="0" w:color="auto"/>
        <w:left w:val="none" w:sz="0" w:space="0" w:color="auto"/>
        <w:bottom w:val="none" w:sz="0" w:space="0" w:color="auto"/>
        <w:right w:val="none" w:sz="0" w:space="0" w:color="auto"/>
      </w:divBdr>
    </w:div>
    <w:div w:id="971521974">
      <w:bodyDiv w:val="1"/>
      <w:marLeft w:val="0"/>
      <w:marRight w:val="0"/>
      <w:marTop w:val="0"/>
      <w:marBottom w:val="0"/>
      <w:divBdr>
        <w:top w:val="none" w:sz="0" w:space="0" w:color="auto"/>
        <w:left w:val="none" w:sz="0" w:space="0" w:color="auto"/>
        <w:bottom w:val="none" w:sz="0" w:space="0" w:color="auto"/>
        <w:right w:val="none" w:sz="0" w:space="0" w:color="auto"/>
      </w:divBdr>
    </w:div>
    <w:div w:id="971785664">
      <w:bodyDiv w:val="1"/>
      <w:marLeft w:val="0"/>
      <w:marRight w:val="0"/>
      <w:marTop w:val="0"/>
      <w:marBottom w:val="0"/>
      <w:divBdr>
        <w:top w:val="none" w:sz="0" w:space="0" w:color="auto"/>
        <w:left w:val="none" w:sz="0" w:space="0" w:color="auto"/>
        <w:bottom w:val="none" w:sz="0" w:space="0" w:color="auto"/>
        <w:right w:val="none" w:sz="0" w:space="0" w:color="auto"/>
      </w:divBdr>
    </w:div>
    <w:div w:id="972250159">
      <w:bodyDiv w:val="1"/>
      <w:marLeft w:val="0"/>
      <w:marRight w:val="0"/>
      <w:marTop w:val="0"/>
      <w:marBottom w:val="0"/>
      <w:divBdr>
        <w:top w:val="none" w:sz="0" w:space="0" w:color="auto"/>
        <w:left w:val="none" w:sz="0" w:space="0" w:color="auto"/>
        <w:bottom w:val="none" w:sz="0" w:space="0" w:color="auto"/>
        <w:right w:val="none" w:sz="0" w:space="0" w:color="auto"/>
      </w:divBdr>
    </w:div>
    <w:div w:id="972368359">
      <w:bodyDiv w:val="1"/>
      <w:marLeft w:val="0"/>
      <w:marRight w:val="0"/>
      <w:marTop w:val="0"/>
      <w:marBottom w:val="0"/>
      <w:divBdr>
        <w:top w:val="none" w:sz="0" w:space="0" w:color="auto"/>
        <w:left w:val="none" w:sz="0" w:space="0" w:color="auto"/>
        <w:bottom w:val="none" w:sz="0" w:space="0" w:color="auto"/>
        <w:right w:val="none" w:sz="0" w:space="0" w:color="auto"/>
      </w:divBdr>
    </w:div>
    <w:div w:id="972709474">
      <w:bodyDiv w:val="1"/>
      <w:marLeft w:val="0"/>
      <w:marRight w:val="0"/>
      <w:marTop w:val="0"/>
      <w:marBottom w:val="0"/>
      <w:divBdr>
        <w:top w:val="none" w:sz="0" w:space="0" w:color="auto"/>
        <w:left w:val="none" w:sz="0" w:space="0" w:color="auto"/>
        <w:bottom w:val="none" w:sz="0" w:space="0" w:color="auto"/>
        <w:right w:val="none" w:sz="0" w:space="0" w:color="auto"/>
      </w:divBdr>
    </w:div>
    <w:div w:id="972906118">
      <w:bodyDiv w:val="1"/>
      <w:marLeft w:val="0"/>
      <w:marRight w:val="0"/>
      <w:marTop w:val="0"/>
      <w:marBottom w:val="0"/>
      <w:divBdr>
        <w:top w:val="none" w:sz="0" w:space="0" w:color="auto"/>
        <w:left w:val="none" w:sz="0" w:space="0" w:color="auto"/>
        <w:bottom w:val="none" w:sz="0" w:space="0" w:color="auto"/>
        <w:right w:val="none" w:sz="0" w:space="0" w:color="auto"/>
      </w:divBdr>
    </w:div>
    <w:div w:id="973019913">
      <w:bodyDiv w:val="1"/>
      <w:marLeft w:val="0"/>
      <w:marRight w:val="0"/>
      <w:marTop w:val="0"/>
      <w:marBottom w:val="0"/>
      <w:divBdr>
        <w:top w:val="none" w:sz="0" w:space="0" w:color="auto"/>
        <w:left w:val="none" w:sz="0" w:space="0" w:color="auto"/>
        <w:bottom w:val="none" w:sz="0" w:space="0" w:color="auto"/>
        <w:right w:val="none" w:sz="0" w:space="0" w:color="auto"/>
      </w:divBdr>
    </w:div>
    <w:div w:id="973635358">
      <w:bodyDiv w:val="1"/>
      <w:marLeft w:val="0"/>
      <w:marRight w:val="0"/>
      <w:marTop w:val="0"/>
      <w:marBottom w:val="0"/>
      <w:divBdr>
        <w:top w:val="none" w:sz="0" w:space="0" w:color="auto"/>
        <w:left w:val="none" w:sz="0" w:space="0" w:color="auto"/>
        <w:bottom w:val="none" w:sz="0" w:space="0" w:color="auto"/>
        <w:right w:val="none" w:sz="0" w:space="0" w:color="auto"/>
      </w:divBdr>
    </w:div>
    <w:div w:id="973874850">
      <w:bodyDiv w:val="1"/>
      <w:marLeft w:val="0"/>
      <w:marRight w:val="0"/>
      <w:marTop w:val="0"/>
      <w:marBottom w:val="0"/>
      <w:divBdr>
        <w:top w:val="none" w:sz="0" w:space="0" w:color="auto"/>
        <w:left w:val="none" w:sz="0" w:space="0" w:color="auto"/>
        <w:bottom w:val="none" w:sz="0" w:space="0" w:color="auto"/>
        <w:right w:val="none" w:sz="0" w:space="0" w:color="auto"/>
      </w:divBdr>
    </w:div>
    <w:div w:id="974145090">
      <w:bodyDiv w:val="1"/>
      <w:marLeft w:val="0"/>
      <w:marRight w:val="0"/>
      <w:marTop w:val="0"/>
      <w:marBottom w:val="0"/>
      <w:divBdr>
        <w:top w:val="none" w:sz="0" w:space="0" w:color="auto"/>
        <w:left w:val="none" w:sz="0" w:space="0" w:color="auto"/>
        <w:bottom w:val="none" w:sz="0" w:space="0" w:color="auto"/>
        <w:right w:val="none" w:sz="0" w:space="0" w:color="auto"/>
      </w:divBdr>
    </w:div>
    <w:div w:id="974212337">
      <w:bodyDiv w:val="1"/>
      <w:marLeft w:val="0"/>
      <w:marRight w:val="0"/>
      <w:marTop w:val="0"/>
      <w:marBottom w:val="0"/>
      <w:divBdr>
        <w:top w:val="none" w:sz="0" w:space="0" w:color="auto"/>
        <w:left w:val="none" w:sz="0" w:space="0" w:color="auto"/>
        <w:bottom w:val="none" w:sz="0" w:space="0" w:color="auto"/>
        <w:right w:val="none" w:sz="0" w:space="0" w:color="auto"/>
      </w:divBdr>
    </w:div>
    <w:div w:id="974455743">
      <w:bodyDiv w:val="1"/>
      <w:marLeft w:val="0"/>
      <w:marRight w:val="0"/>
      <w:marTop w:val="0"/>
      <w:marBottom w:val="0"/>
      <w:divBdr>
        <w:top w:val="none" w:sz="0" w:space="0" w:color="auto"/>
        <w:left w:val="none" w:sz="0" w:space="0" w:color="auto"/>
        <w:bottom w:val="none" w:sz="0" w:space="0" w:color="auto"/>
        <w:right w:val="none" w:sz="0" w:space="0" w:color="auto"/>
      </w:divBdr>
    </w:div>
    <w:div w:id="974915958">
      <w:bodyDiv w:val="1"/>
      <w:marLeft w:val="0"/>
      <w:marRight w:val="0"/>
      <w:marTop w:val="0"/>
      <w:marBottom w:val="0"/>
      <w:divBdr>
        <w:top w:val="none" w:sz="0" w:space="0" w:color="auto"/>
        <w:left w:val="none" w:sz="0" w:space="0" w:color="auto"/>
        <w:bottom w:val="none" w:sz="0" w:space="0" w:color="auto"/>
        <w:right w:val="none" w:sz="0" w:space="0" w:color="auto"/>
      </w:divBdr>
    </w:div>
    <w:div w:id="975065218">
      <w:bodyDiv w:val="1"/>
      <w:marLeft w:val="0"/>
      <w:marRight w:val="0"/>
      <w:marTop w:val="0"/>
      <w:marBottom w:val="0"/>
      <w:divBdr>
        <w:top w:val="none" w:sz="0" w:space="0" w:color="auto"/>
        <w:left w:val="none" w:sz="0" w:space="0" w:color="auto"/>
        <w:bottom w:val="none" w:sz="0" w:space="0" w:color="auto"/>
        <w:right w:val="none" w:sz="0" w:space="0" w:color="auto"/>
      </w:divBdr>
    </w:div>
    <w:div w:id="975068150">
      <w:bodyDiv w:val="1"/>
      <w:marLeft w:val="0"/>
      <w:marRight w:val="0"/>
      <w:marTop w:val="0"/>
      <w:marBottom w:val="0"/>
      <w:divBdr>
        <w:top w:val="none" w:sz="0" w:space="0" w:color="auto"/>
        <w:left w:val="none" w:sz="0" w:space="0" w:color="auto"/>
        <w:bottom w:val="none" w:sz="0" w:space="0" w:color="auto"/>
        <w:right w:val="none" w:sz="0" w:space="0" w:color="auto"/>
      </w:divBdr>
    </w:div>
    <w:div w:id="975641762">
      <w:bodyDiv w:val="1"/>
      <w:marLeft w:val="0"/>
      <w:marRight w:val="0"/>
      <w:marTop w:val="0"/>
      <w:marBottom w:val="0"/>
      <w:divBdr>
        <w:top w:val="none" w:sz="0" w:space="0" w:color="auto"/>
        <w:left w:val="none" w:sz="0" w:space="0" w:color="auto"/>
        <w:bottom w:val="none" w:sz="0" w:space="0" w:color="auto"/>
        <w:right w:val="none" w:sz="0" w:space="0" w:color="auto"/>
      </w:divBdr>
    </w:div>
    <w:div w:id="975642763">
      <w:bodyDiv w:val="1"/>
      <w:marLeft w:val="0"/>
      <w:marRight w:val="0"/>
      <w:marTop w:val="0"/>
      <w:marBottom w:val="0"/>
      <w:divBdr>
        <w:top w:val="none" w:sz="0" w:space="0" w:color="auto"/>
        <w:left w:val="none" w:sz="0" w:space="0" w:color="auto"/>
        <w:bottom w:val="none" w:sz="0" w:space="0" w:color="auto"/>
        <w:right w:val="none" w:sz="0" w:space="0" w:color="auto"/>
      </w:divBdr>
    </w:div>
    <w:div w:id="976109599">
      <w:bodyDiv w:val="1"/>
      <w:marLeft w:val="0"/>
      <w:marRight w:val="0"/>
      <w:marTop w:val="0"/>
      <w:marBottom w:val="0"/>
      <w:divBdr>
        <w:top w:val="none" w:sz="0" w:space="0" w:color="auto"/>
        <w:left w:val="none" w:sz="0" w:space="0" w:color="auto"/>
        <w:bottom w:val="none" w:sz="0" w:space="0" w:color="auto"/>
        <w:right w:val="none" w:sz="0" w:space="0" w:color="auto"/>
      </w:divBdr>
    </w:div>
    <w:div w:id="976495713">
      <w:bodyDiv w:val="1"/>
      <w:marLeft w:val="0"/>
      <w:marRight w:val="0"/>
      <w:marTop w:val="0"/>
      <w:marBottom w:val="0"/>
      <w:divBdr>
        <w:top w:val="none" w:sz="0" w:space="0" w:color="auto"/>
        <w:left w:val="none" w:sz="0" w:space="0" w:color="auto"/>
        <w:bottom w:val="none" w:sz="0" w:space="0" w:color="auto"/>
        <w:right w:val="none" w:sz="0" w:space="0" w:color="auto"/>
      </w:divBdr>
    </w:div>
    <w:div w:id="976567728">
      <w:bodyDiv w:val="1"/>
      <w:marLeft w:val="0"/>
      <w:marRight w:val="0"/>
      <w:marTop w:val="0"/>
      <w:marBottom w:val="0"/>
      <w:divBdr>
        <w:top w:val="none" w:sz="0" w:space="0" w:color="auto"/>
        <w:left w:val="none" w:sz="0" w:space="0" w:color="auto"/>
        <w:bottom w:val="none" w:sz="0" w:space="0" w:color="auto"/>
        <w:right w:val="none" w:sz="0" w:space="0" w:color="auto"/>
      </w:divBdr>
    </w:div>
    <w:div w:id="976570634">
      <w:bodyDiv w:val="1"/>
      <w:marLeft w:val="0"/>
      <w:marRight w:val="0"/>
      <w:marTop w:val="0"/>
      <w:marBottom w:val="0"/>
      <w:divBdr>
        <w:top w:val="none" w:sz="0" w:space="0" w:color="auto"/>
        <w:left w:val="none" w:sz="0" w:space="0" w:color="auto"/>
        <w:bottom w:val="none" w:sz="0" w:space="0" w:color="auto"/>
        <w:right w:val="none" w:sz="0" w:space="0" w:color="auto"/>
      </w:divBdr>
    </w:div>
    <w:div w:id="977027985">
      <w:bodyDiv w:val="1"/>
      <w:marLeft w:val="0"/>
      <w:marRight w:val="0"/>
      <w:marTop w:val="0"/>
      <w:marBottom w:val="0"/>
      <w:divBdr>
        <w:top w:val="none" w:sz="0" w:space="0" w:color="auto"/>
        <w:left w:val="none" w:sz="0" w:space="0" w:color="auto"/>
        <w:bottom w:val="none" w:sz="0" w:space="0" w:color="auto"/>
        <w:right w:val="none" w:sz="0" w:space="0" w:color="auto"/>
      </w:divBdr>
    </w:div>
    <w:div w:id="977613021">
      <w:bodyDiv w:val="1"/>
      <w:marLeft w:val="0"/>
      <w:marRight w:val="0"/>
      <w:marTop w:val="0"/>
      <w:marBottom w:val="0"/>
      <w:divBdr>
        <w:top w:val="none" w:sz="0" w:space="0" w:color="auto"/>
        <w:left w:val="none" w:sz="0" w:space="0" w:color="auto"/>
        <w:bottom w:val="none" w:sz="0" w:space="0" w:color="auto"/>
        <w:right w:val="none" w:sz="0" w:space="0" w:color="auto"/>
      </w:divBdr>
    </w:div>
    <w:div w:id="977686548">
      <w:bodyDiv w:val="1"/>
      <w:marLeft w:val="0"/>
      <w:marRight w:val="0"/>
      <w:marTop w:val="0"/>
      <w:marBottom w:val="0"/>
      <w:divBdr>
        <w:top w:val="none" w:sz="0" w:space="0" w:color="auto"/>
        <w:left w:val="none" w:sz="0" w:space="0" w:color="auto"/>
        <w:bottom w:val="none" w:sz="0" w:space="0" w:color="auto"/>
        <w:right w:val="none" w:sz="0" w:space="0" w:color="auto"/>
      </w:divBdr>
    </w:div>
    <w:div w:id="977956476">
      <w:bodyDiv w:val="1"/>
      <w:marLeft w:val="0"/>
      <w:marRight w:val="0"/>
      <w:marTop w:val="0"/>
      <w:marBottom w:val="0"/>
      <w:divBdr>
        <w:top w:val="none" w:sz="0" w:space="0" w:color="auto"/>
        <w:left w:val="none" w:sz="0" w:space="0" w:color="auto"/>
        <w:bottom w:val="none" w:sz="0" w:space="0" w:color="auto"/>
        <w:right w:val="none" w:sz="0" w:space="0" w:color="auto"/>
      </w:divBdr>
    </w:div>
    <w:div w:id="978459531">
      <w:bodyDiv w:val="1"/>
      <w:marLeft w:val="0"/>
      <w:marRight w:val="0"/>
      <w:marTop w:val="0"/>
      <w:marBottom w:val="0"/>
      <w:divBdr>
        <w:top w:val="none" w:sz="0" w:space="0" w:color="auto"/>
        <w:left w:val="none" w:sz="0" w:space="0" w:color="auto"/>
        <w:bottom w:val="none" w:sz="0" w:space="0" w:color="auto"/>
        <w:right w:val="none" w:sz="0" w:space="0" w:color="auto"/>
      </w:divBdr>
    </w:div>
    <w:div w:id="979308753">
      <w:bodyDiv w:val="1"/>
      <w:marLeft w:val="0"/>
      <w:marRight w:val="0"/>
      <w:marTop w:val="0"/>
      <w:marBottom w:val="0"/>
      <w:divBdr>
        <w:top w:val="none" w:sz="0" w:space="0" w:color="auto"/>
        <w:left w:val="none" w:sz="0" w:space="0" w:color="auto"/>
        <w:bottom w:val="none" w:sz="0" w:space="0" w:color="auto"/>
        <w:right w:val="none" w:sz="0" w:space="0" w:color="auto"/>
      </w:divBdr>
    </w:div>
    <w:div w:id="979651989">
      <w:bodyDiv w:val="1"/>
      <w:marLeft w:val="0"/>
      <w:marRight w:val="0"/>
      <w:marTop w:val="0"/>
      <w:marBottom w:val="0"/>
      <w:divBdr>
        <w:top w:val="none" w:sz="0" w:space="0" w:color="auto"/>
        <w:left w:val="none" w:sz="0" w:space="0" w:color="auto"/>
        <w:bottom w:val="none" w:sz="0" w:space="0" w:color="auto"/>
        <w:right w:val="none" w:sz="0" w:space="0" w:color="auto"/>
      </w:divBdr>
    </w:div>
    <w:div w:id="980383827">
      <w:bodyDiv w:val="1"/>
      <w:marLeft w:val="0"/>
      <w:marRight w:val="0"/>
      <w:marTop w:val="0"/>
      <w:marBottom w:val="0"/>
      <w:divBdr>
        <w:top w:val="none" w:sz="0" w:space="0" w:color="auto"/>
        <w:left w:val="none" w:sz="0" w:space="0" w:color="auto"/>
        <w:bottom w:val="none" w:sz="0" w:space="0" w:color="auto"/>
        <w:right w:val="none" w:sz="0" w:space="0" w:color="auto"/>
      </w:divBdr>
    </w:div>
    <w:div w:id="980840586">
      <w:bodyDiv w:val="1"/>
      <w:marLeft w:val="0"/>
      <w:marRight w:val="0"/>
      <w:marTop w:val="0"/>
      <w:marBottom w:val="0"/>
      <w:divBdr>
        <w:top w:val="none" w:sz="0" w:space="0" w:color="auto"/>
        <w:left w:val="none" w:sz="0" w:space="0" w:color="auto"/>
        <w:bottom w:val="none" w:sz="0" w:space="0" w:color="auto"/>
        <w:right w:val="none" w:sz="0" w:space="0" w:color="auto"/>
      </w:divBdr>
    </w:div>
    <w:div w:id="981156100">
      <w:bodyDiv w:val="1"/>
      <w:marLeft w:val="0"/>
      <w:marRight w:val="0"/>
      <w:marTop w:val="0"/>
      <w:marBottom w:val="0"/>
      <w:divBdr>
        <w:top w:val="none" w:sz="0" w:space="0" w:color="auto"/>
        <w:left w:val="none" w:sz="0" w:space="0" w:color="auto"/>
        <w:bottom w:val="none" w:sz="0" w:space="0" w:color="auto"/>
        <w:right w:val="none" w:sz="0" w:space="0" w:color="auto"/>
      </w:divBdr>
    </w:div>
    <w:div w:id="981272251">
      <w:bodyDiv w:val="1"/>
      <w:marLeft w:val="0"/>
      <w:marRight w:val="0"/>
      <w:marTop w:val="0"/>
      <w:marBottom w:val="0"/>
      <w:divBdr>
        <w:top w:val="none" w:sz="0" w:space="0" w:color="auto"/>
        <w:left w:val="none" w:sz="0" w:space="0" w:color="auto"/>
        <w:bottom w:val="none" w:sz="0" w:space="0" w:color="auto"/>
        <w:right w:val="none" w:sz="0" w:space="0" w:color="auto"/>
      </w:divBdr>
    </w:div>
    <w:div w:id="981276921">
      <w:bodyDiv w:val="1"/>
      <w:marLeft w:val="0"/>
      <w:marRight w:val="0"/>
      <w:marTop w:val="0"/>
      <w:marBottom w:val="0"/>
      <w:divBdr>
        <w:top w:val="none" w:sz="0" w:space="0" w:color="auto"/>
        <w:left w:val="none" w:sz="0" w:space="0" w:color="auto"/>
        <w:bottom w:val="none" w:sz="0" w:space="0" w:color="auto"/>
        <w:right w:val="none" w:sz="0" w:space="0" w:color="auto"/>
      </w:divBdr>
    </w:div>
    <w:div w:id="981350491">
      <w:bodyDiv w:val="1"/>
      <w:marLeft w:val="0"/>
      <w:marRight w:val="0"/>
      <w:marTop w:val="0"/>
      <w:marBottom w:val="0"/>
      <w:divBdr>
        <w:top w:val="none" w:sz="0" w:space="0" w:color="auto"/>
        <w:left w:val="none" w:sz="0" w:space="0" w:color="auto"/>
        <w:bottom w:val="none" w:sz="0" w:space="0" w:color="auto"/>
        <w:right w:val="none" w:sz="0" w:space="0" w:color="auto"/>
      </w:divBdr>
    </w:div>
    <w:div w:id="981470317">
      <w:bodyDiv w:val="1"/>
      <w:marLeft w:val="0"/>
      <w:marRight w:val="0"/>
      <w:marTop w:val="0"/>
      <w:marBottom w:val="0"/>
      <w:divBdr>
        <w:top w:val="none" w:sz="0" w:space="0" w:color="auto"/>
        <w:left w:val="none" w:sz="0" w:space="0" w:color="auto"/>
        <w:bottom w:val="none" w:sz="0" w:space="0" w:color="auto"/>
        <w:right w:val="none" w:sz="0" w:space="0" w:color="auto"/>
      </w:divBdr>
    </w:div>
    <w:div w:id="982320450">
      <w:bodyDiv w:val="1"/>
      <w:marLeft w:val="0"/>
      <w:marRight w:val="0"/>
      <w:marTop w:val="0"/>
      <w:marBottom w:val="0"/>
      <w:divBdr>
        <w:top w:val="none" w:sz="0" w:space="0" w:color="auto"/>
        <w:left w:val="none" w:sz="0" w:space="0" w:color="auto"/>
        <w:bottom w:val="none" w:sz="0" w:space="0" w:color="auto"/>
        <w:right w:val="none" w:sz="0" w:space="0" w:color="auto"/>
      </w:divBdr>
    </w:div>
    <w:div w:id="982390535">
      <w:bodyDiv w:val="1"/>
      <w:marLeft w:val="0"/>
      <w:marRight w:val="0"/>
      <w:marTop w:val="0"/>
      <w:marBottom w:val="0"/>
      <w:divBdr>
        <w:top w:val="none" w:sz="0" w:space="0" w:color="auto"/>
        <w:left w:val="none" w:sz="0" w:space="0" w:color="auto"/>
        <w:bottom w:val="none" w:sz="0" w:space="0" w:color="auto"/>
        <w:right w:val="none" w:sz="0" w:space="0" w:color="auto"/>
      </w:divBdr>
    </w:div>
    <w:div w:id="982778116">
      <w:bodyDiv w:val="1"/>
      <w:marLeft w:val="0"/>
      <w:marRight w:val="0"/>
      <w:marTop w:val="0"/>
      <w:marBottom w:val="0"/>
      <w:divBdr>
        <w:top w:val="none" w:sz="0" w:space="0" w:color="auto"/>
        <w:left w:val="none" w:sz="0" w:space="0" w:color="auto"/>
        <w:bottom w:val="none" w:sz="0" w:space="0" w:color="auto"/>
        <w:right w:val="none" w:sz="0" w:space="0" w:color="auto"/>
      </w:divBdr>
    </w:div>
    <w:div w:id="983239478">
      <w:bodyDiv w:val="1"/>
      <w:marLeft w:val="0"/>
      <w:marRight w:val="0"/>
      <w:marTop w:val="0"/>
      <w:marBottom w:val="0"/>
      <w:divBdr>
        <w:top w:val="none" w:sz="0" w:space="0" w:color="auto"/>
        <w:left w:val="none" w:sz="0" w:space="0" w:color="auto"/>
        <w:bottom w:val="none" w:sz="0" w:space="0" w:color="auto"/>
        <w:right w:val="none" w:sz="0" w:space="0" w:color="auto"/>
      </w:divBdr>
    </w:div>
    <w:div w:id="983512310">
      <w:bodyDiv w:val="1"/>
      <w:marLeft w:val="0"/>
      <w:marRight w:val="0"/>
      <w:marTop w:val="0"/>
      <w:marBottom w:val="0"/>
      <w:divBdr>
        <w:top w:val="none" w:sz="0" w:space="0" w:color="auto"/>
        <w:left w:val="none" w:sz="0" w:space="0" w:color="auto"/>
        <w:bottom w:val="none" w:sz="0" w:space="0" w:color="auto"/>
        <w:right w:val="none" w:sz="0" w:space="0" w:color="auto"/>
      </w:divBdr>
    </w:div>
    <w:div w:id="983893477">
      <w:bodyDiv w:val="1"/>
      <w:marLeft w:val="0"/>
      <w:marRight w:val="0"/>
      <w:marTop w:val="0"/>
      <w:marBottom w:val="0"/>
      <w:divBdr>
        <w:top w:val="none" w:sz="0" w:space="0" w:color="auto"/>
        <w:left w:val="none" w:sz="0" w:space="0" w:color="auto"/>
        <w:bottom w:val="none" w:sz="0" w:space="0" w:color="auto"/>
        <w:right w:val="none" w:sz="0" w:space="0" w:color="auto"/>
      </w:divBdr>
    </w:div>
    <w:div w:id="983970258">
      <w:bodyDiv w:val="1"/>
      <w:marLeft w:val="0"/>
      <w:marRight w:val="0"/>
      <w:marTop w:val="0"/>
      <w:marBottom w:val="0"/>
      <w:divBdr>
        <w:top w:val="none" w:sz="0" w:space="0" w:color="auto"/>
        <w:left w:val="none" w:sz="0" w:space="0" w:color="auto"/>
        <w:bottom w:val="none" w:sz="0" w:space="0" w:color="auto"/>
        <w:right w:val="none" w:sz="0" w:space="0" w:color="auto"/>
      </w:divBdr>
    </w:div>
    <w:div w:id="983973825">
      <w:bodyDiv w:val="1"/>
      <w:marLeft w:val="0"/>
      <w:marRight w:val="0"/>
      <w:marTop w:val="0"/>
      <w:marBottom w:val="0"/>
      <w:divBdr>
        <w:top w:val="none" w:sz="0" w:space="0" w:color="auto"/>
        <w:left w:val="none" w:sz="0" w:space="0" w:color="auto"/>
        <w:bottom w:val="none" w:sz="0" w:space="0" w:color="auto"/>
        <w:right w:val="none" w:sz="0" w:space="0" w:color="auto"/>
      </w:divBdr>
    </w:div>
    <w:div w:id="984629703">
      <w:bodyDiv w:val="1"/>
      <w:marLeft w:val="0"/>
      <w:marRight w:val="0"/>
      <w:marTop w:val="0"/>
      <w:marBottom w:val="0"/>
      <w:divBdr>
        <w:top w:val="none" w:sz="0" w:space="0" w:color="auto"/>
        <w:left w:val="none" w:sz="0" w:space="0" w:color="auto"/>
        <w:bottom w:val="none" w:sz="0" w:space="0" w:color="auto"/>
        <w:right w:val="none" w:sz="0" w:space="0" w:color="auto"/>
      </w:divBdr>
    </w:div>
    <w:div w:id="985864314">
      <w:bodyDiv w:val="1"/>
      <w:marLeft w:val="0"/>
      <w:marRight w:val="0"/>
      <w:marTop w:val="0"/>
      <w:marBottom w:val="0"/>
      <w:divBdr>
        <w:top w:val="none" w:sz="0" w:space="0" w:color="auto"/>
        <w:left w:val="none" w:sz="0" w:space="0" w:color="auto"/>
        <w:bottom w:val="none" w:sz="0" w:space="0" w:color="auto"/>
        <w:right w:val="none" w:sz="0" w:space="0" w:color="auto"/>
      </w:divBdr>
    </w:div>
    <w:div w:id="986133198">
      <w:bodyDiv w:val="1"/>
      <w:marLeft w:val="0"/>
      <w:marRight w:val="0"/>
      <w:marTop w:val="0"/>
      <w:marBottom w:val="0"/>
      <w:divBdr>
        <w:top w:val="none" w:sz="0" w:space="0" w:color="auto"/>
        <w:left w:val="none" w:sz="0" w:space="0" w:color="auto"/>
        <w:bottom w:val="none" w:sz="0" w:space="0" w:color="auto"/>
        <w:right w:val="none" w:sz="0" w:space="0" w:color="auto"/>
      </w:divBdr>
    </w:div>
    <w:div w:id="986784863">
      <w:bodyDiv w:val="1"/>
      <w:marLeft w:val="0"/>
      <w:marRight w:val="0"/>
      <w:marTop w:val="0"/>
      <w:marBottom w:val="0"/>
      <w:divBdr>
        <w:top w:val="none" w:sz="0" w:space="0" w:color="auto"/>
        <w:left w:val="none" w:sz="0" w:space="0" w:color="auto"/>
        <w:bottom w:val="none" w:sz="0" w:space="0" w:color="auto"/>
        <w:right w:val="none" w:sz="0" w:space="0" w:color="auto"/>
      </w:divBdr>
    </w:div>
    <w:div w:id="986935641">
      <w:bodyDiv w:val="1"/>
      <w:marLeft w:val="0"/>
      <w:marRight w:val="0"/>
      <w:marTop w:val="0"/>
      <w:marBottom w:val="0"/>
      <w:divBdr>
        <w:top w:val="none" w:sz="0" w:space="0" w:color="auto"/>
        <w:left w:val="none" w:sz="0" w:space="0" w:color="auto"/>
        <w:bottom w:val="none" w:sz="0" w:space="0" w:color="auto"/>
        <w:right w:val="none" w:sz="0" w:space="0" w:color="auto"/>
      </w:divBdr>
    </w:div>
    <w:div w:id="987056253">
      <w:bodyDiv w:val="1"/>
      <w:marLeft w:val="0"/>
      <w:marRight w:val="0"/>
      <w:marTop w:val="0"/>
      <w:marBottom w:val="0"/>
      <w:divBdr>
        <w:top w:val="none" w:sz="0" w:space="0" w:color="auto"/>
        <w:left w:val="none" w:sz="0" w:space="0" w:color="auto"/>
        <w:bottom w:val="none" w:sz="0" w:space="0" w:color="auto"/>
        <w:right w:val="none" w:sz="0" w:space="0" w:color="auto"/>
      </w:divBdr>
    </w:div>
    <w:div w:id="987785591">
      <w:bodyDiv w:val="1"/>
      <w:marLeft w:val="0"/>
      <w:marRight w:val="0"/>
      <w:marTop w:val="0"/>
      <w:marBottom w:val="0"/>
      <w:divBdr>
        <w:top w:val="none" w:sz="0" w:space="0" w:color="auto"/>
        <w:left w:val="none" w:sz="0" w:space="0" w:color="auto"/>
        <w:bottom w:val="none" w:sz="0" w:space="0" w:color="auto"/>
        <w:right w:val="none" w:sz="0" w:space="0" w:color="auto"/>
      </w:divBdr>
    </w:div>
    <w:div w:id="988365388">
      <w:bodyDiv w:val="1"/>
      <w:marLeft w:val="0"/>
      <w:marRight w:val="0"/>
      <w:marTop w:val="0"/>
      <w:marBottom w:val="0"/>
      <w:divBdr>
        <w:top w:val="none" w:sz="0" w:space="0" w:color="auto"/>
        <w:left w:val="none" w:sz="0" w:space="0" w:color="auto"/>
        <w:bottom w:val="none" w:sz="0" w:space="0" w:color="auto"/>
        <w:right w:val="none" w:sz="0" w:space="0" w:color="auto"/>
      </w:divBdr>
    </w:div>
    <w:div w:id="988553229">
      <w:bodyDiv w:val="1"/>
      <w:marLeft w:val="0"/>
      <w:marRight w:val="0"/>
      <w:marTop w:val="0"/>
      <w:marBottom w:val="0"/>
      <w:divBdr>
        <w:top w:val="none" w:sz="0" w:space="0" w:color="auto"/>
        <w:left w:val="none" w:sz="0" w:space="0" w:color="auto"/>
        <w:bottom w:val="none" w:sz="0" w:space="0" w:color="auto"/>
        <w:right w:val="none" w:sz="0" w:space="0" w:color="auto"/>
      </w:divBdr>
    </w:div>
    <w:div w:id="988821948">
      <w:bodyDiv w:val="1"/>
      <w:marLeft w:val="0"/>
      <w:marRight w:val="0"/>
      <w:marTop w:val="0"/>
      <w:marBottom w:val="0"/>
      <w:divBdr>
        <w:top w:val="none" w:sz="0" w:space="0" w:color="auto"/>
        <w:left w:val="none" w:sz="0" w:space="0" w:color="auto"/>
        <w:bottom w:val="none" w:sz="0" w:space="0" w:color="auto"/>
        <w:right w:val="none" w:sz="0" w:space="0" w:color="auto"/>
      </w:divBdr>
    </w:div>
    <w:div w:id="988900017">
      <w:bodyDiv w:val="1"/>
      <w:marLeft w:val="0"/>
      <w:marRight w:val="0"/>
      <w:marTop w:val="0"/>
      <w:marBottom w:val="0"/>
      <w:divBdr>
        <w:top w:val="none" w:sz="0" w:space="0" w:color="auto"/>
        <w:left w:val="none" w:sz="0" w:space="0" w:color="auto"/>
        <w:bottom w:val="none" w:sz="0" w:space="0" w:color="auto"/>
        <w:right w:val="none" w:sz="0" w:space="0" w:color="auto"/>
      </w:divBdr>
    </w:div>
    <w:div w:id="989018480">
      <w:bodyDiv w:val="1"/>
      <w:marLeft w:val="0"/>
      <w:marRight w:val="0"/>
      <w:marTop w:val="0"/>
      <w:marBottom w:val="0"/>
      <w:divBdr>
        <w:top w:val="none" w:sz="0" w:space="0" w:color="auto"/>
        <w:left w:val="none" w:sz="0" w:space="0" w:color="auto"/>
        <w:bottom w:val="none" w:sz="0" w:space="0" w:color="auto"/>
        <w:right w:val="none" w:sz="0" w:space="0" w:color="auto"/>
      </w:divBdr>
    </w:div>
    <w:div w:id="989602360">
      <w:bodyDiv w:val="1"/>
      <w:marLeft w:val="0"/>
      <w:marRight w:val="0"/>
      <w:marTop w:val="0"/>
      <w:marBottom w:val="0"/>
      <w:divBdr>
        <w:top w:val="none" w:sz="0" w:space="0" w:color="auto"/>
        <w:left w:val="none" w:sz="0" w:space="0" w:color="auto"/>
        <w:bottom w:val="none" w:sz="0" w:space="0" w:color="auto"/>
        <w:right w:val="none" w:sz="0" w:space="0" w:color="auto"/>
      </w:divBdr>
    </w:div>
    <w:div w:id="989790623">
      <w:bodyDiv w:val="1"/>
      <w:marLeft w:val="0"/>
      <w:marRight w:val="0"/>
      <w:marTop w:val="0"/>
      <w:marBottom w:val="0"/>
      <w:divBdr>
        <w:top w:val="none" w:sz="0" w:space="0" w:color="auto"/>
        <w:left w:val="none" w:sz="0" w:space="0" w:color="auto"/>
        <w:bottom w:val="none" w:sz="0" w:space="0" w:color="auto"/>
        <w:right w:val="none" w:sz="0" w:space="0" w:color="auto"/>
      </w:divBdr>
    </w:div>
    <w:div w:id="989795485">
      <w:bodyDiv w:val="1"/>
      <w:marLeft w:val="0"/>
      <w:marRight w:val="0"/>
      <w:marTop w:val="0"/>
      <w:marBottom w:val="0"/>
      <w:divBdr>
        <w:top w:val="none" w:sz="0" w:space="0" w:color="auto"/>
        <w:left w:val="none" w:sz="0" w:space="0" w:color="auto"/>
        <w:bottom w:val="none" w:sz="0" w:space="0" w:color="auto"/>
        <w:right w:val="none" w:sz="0" w:space="0" w:color="auto"/>
      </w:divBdr>
    </w:div>
    <w:div w:id="990018873">
      <w:bodyDiv w:val="1"/>
      <w:marLeft w:val="0"/>
      <w:marRight w:val="0"/>
      <w:marTop w:val="0"/>
      <w:marBottom w:val="0"/>
      <w:divBdr>
        <w:top w:val="none" w:sz="0" w:space="0" w:color="auto"/>
        <w:left w:val="none" w:sz="0" w:space="0" w:color="auto"/>
        <w:bottom w:val="none" w:sz="0" w:space="0" w:color="auto"/>
        <w:right w:val="none" w:sz="0" w:space="0" w:color="auto"/>
      </w:divBdr>
    </w:div>
    <w:div w:id="990210648">
      <w:bodyDiv w:val="1"/>
      <w:marLeft w:val="0"/>
      <w:marRight w:val="0"/>
      <w:marTop w:val="0"/>
      <w:marBottom w:val="0"/>
      <w:divBdr>
        <w:top w:val="none" w:sz="0" w:space="0" w:color="auto"/>
        <w:left w:val="none" w:sz="0" w:space="0" w:color="auto"/>
        <w:bottom w:val="none" w:sz="0" w:space="0" w:color="auto"/>
        <w:right w:val="none" w:sz="0" w:space="0" w:color="auto"/>
      </w:divBdr>
    </w:div>
    <w:div w:id="990786878">
      <w:bodyDiv w:val="1"/>
      <w:marLeft w:val="0"/>
      <w:marRight w:val="0"/>
      <w:marTop w:val="0"/>
      <w:marBottom w:val="0"/>
      <w:divBdr>
        <w:top w:val="none" w:sz="0" w:space="0" w:color="auto"/>
        <w:left w:val="none" w:sz="0" w:space="0" w:color="auto"/>
        <w:bottom w:val="none" w:sz="0" w:space="0" w:color="auto"/>
        <w:right w:val="none" w:sz="0" w:space="0" w:color="auto"/>
      </w:divBdr>
    </w:div>
    <w:div w:id="991448810">
      <w:bodyDiv w:val="1"/>
      <w:marLeft w:val="0"/>
      <w:marRight w:val="0"/>
      <w:marTop w:val="0"/>
      <w:marBottom w:val="0"/>
      <w:divBdr>
        <w:top w:val="none" w:sz="0" w:space="0" w:color="auto"/>
        <w:left w:val="none" w:sz="0" w:space="0" w:color="auto"/>
        <w:bottom w:val="none" w:sz="0" w:space="0" w:color="auto"/>
        <w:right w:val="none" w:sz="0" w:space="0" w:color="auto"/>
      </w:divBdr>
    </w:div>
    <w:div w:id="991449918">
      <w:bodyDiv w:val="1"/>
      <w:marLeft w:val="0"/>
      <w:marRight w:val="0"/>
      <w:marTop w:val="0"/>
      <w:marBottom w:val="0"/>
      <w:divBdr>
        <w:top w:val="none" w:sz="0" w:space="0" w:color="auto"/>
        <w:left w:val="none" w:sz="0" w:space="0" w:color="auto"/>
        <w:bottom w:val="none" w:sz="0" w:space="0" w:color="auto"/>
        <w:right w:val="none" w:sz="0" w:space="0" w:color="auto"/>
      </w:divBdr>
    </w:div>
    <w:div w:id="991760327">
      <w:bodyDiv w:val="1"/>
      <w:marLeft w:val="0"/>
      <w:marRight w:val="0"/>
      <w:marTop w:val="0"/>
      <w:marBottom w:val="0"/>
      <w:divBdr>
        <w:top w:val="none" w:sz="0" w:space="0" w:color="auto"/>
        <w:left w:val="none" w:sz="0" w:space="0" w:color="auto"/>
        <w:bottom w:val="none" w:sz="0" w:space="0" w:color="auto"/>
        <w:right w:val="none" w:sz="0" w:space="0" w:color="auto"/>
      </w:divBdr>
    </w:div>
    <w:div w:id="992023569">
      <w:bodyDiv w:val="1"/>
      <w:marLeft w:val="0"/>
      <w:marRight w:val="0"/>
      <w:marTop w:val="0"/>
      <w:marBottom w:val="0"/>
      <w:divBdr>
        <w:top w:val="none" w:sz="0" w:space="0" w:color="auto"/>
        <w:left w:val="none" w:sz="0" w:space="0" w:color="auto"/>
        <w:bottom w:val="none" w:sz="0" w:space="0" w:color="auto"/>
        <w:right w:val="none" w:sz="0" w:space="0" w:color="auto"/>
      </w:divBdr>
    </w:div>
    <w:div w:id="992871459">
      <w:bodyDiv w:val="1"/>
      <w:marLeft w:val="0"/>
      <w:marRight w:val="0"/>
      <w:marTop w:val="0"/>
      <w:marBottom w:val="0"/>
      <w:divBdr>
        <w:top w:val="none" w:sz="0" w:space="0" w:color="auto"/>
        <w:left w:val="none" w:sz="0" w:space="0" w:color="auto"/>
        <w:bottom w:val="none" w:sz="0" w:space="0" w:color="auto"/>
        <w:right w:val="none" w:sz="0" w:space="0" w:color="auto"/>
      </w:divBdr>
    </w:div>
    <w:div w:id="993022066">
      <w:bodyDiv w:val="1"/>
      <w:marLeft w:val="0"/>
      <w:marRight w:val="0"/>
      <w:marTop w:val="0"/>
      <w:marBottom w:val="0"/>
      <w:divBdr>
        <w:top w:val="none" w:sz="0" w:space="0" w:color="auto"/>
        <w:left w:val="none" w:sz="0" w:space="0" w:color="auto"/>
        <w:bottom w:val="none" w:sz="0" w:space="0" w:color="auto"/>
        <w:right w:val="none" w:sz="0" w:space="0" w:color="auto"/>
      </w:divBdr>
    </w:div>
    <w:div w:id="993224206">
      <w:bodyDiv w:val="1"/>
      <w:marLeft w:val="0"/>
      <w:marRight w:val="0"/>
      <w:marTop w:val="0"/>
      <w:marBottom w:val="0"/>
      <w:divBdr>
        <w:top w:val="none" w:sz="0" w:space="0" w:color="auto"/>
        <w:left w:val="none" w:sz="0" w:space="0" w:color="auto"/>
        <w:bottom w:val="none" w:sz="0" w:space="0" w:color="auto"/>
        <w:right w:val="none" w:sz="0" w:space="0" w:color="auto"/>
      </w:divBdr>
    </w:div>
    <w:div w:id="993338920">
      <w:bodyDiv w:val="1"/>
      <w:marLeft w:val="0"/>
      <w:marRight w:val="0"/>
      <w:marTop w:val="0"/>
      <w:marBottom w:val="0"/>
      <w:divBdr>
        <w:top w:val="none" w:sz="0" w:space="0" w:color="auto"/>
        <w:left w:val="none" w:sz="0" w:space="0" w:color="auto"/>
        <w:bottom w:val="none" w:sz="0" w:space="0" w:color="auto"/>
        <w:right w:val="none" w:sz="0" w:space="0" w:color="auto"/>
      </w:divBdr>
    </w:div>
    <w:div w:id="993607803">
      <w:bodyDiv w:val="1"/>
      <w:marLeft w:val="0"/>
      <w:marRight w:val="0"/>
      <w:marTop w:val="0"/>
      <w:marBottom w:val="0"/>
      <w:divBdr>
        <w:top w:val="none" w:sz="0" w:space="0" w:color="auto"/>
        <w:left w:val="none" w:sz="0" w:space="0" w:color="auto"/>
        <w:bottom w:val="none" w:sz="0" w:space="0" w:color="auto"/>
        <w:right w:val="none" w:sz="0" w:space="0" w:color="auto"/>
      </w:divBdr>
    </w:div>
    <w:div w:id="993945325">
      <w:bodyDiv w:val="1"/>
      <w:marLeft w:val="0"/>
      <w:marRight w:val="0"/>
      <w:marTop w:val="0"/>
      <w:marBottom w:val="0"/>
      <w:divBdr>
        <w:top w:val="none" w:sz="0" w:space="0" w:color="auto"/>
        <w:left w:val="none" w:sz="0" w:space="0" w:color="auto"/>
        <w:bottom w:val="none" w:sz="0" w:space="0" w:color="auto"/>
        <w:right w:val="none" w:sz="0" w:space="0" w:color="auto"/>
      </w:divBdr>
    </w:div>
    <w:div w:id="994453195">
      <w:bodyDiv w:val="1"/>
      <w:marLeft w:val="0"/>
      <w:marRight w:val="0"/>
      <w:marTop w:val="0"/>
      <w:marBottom w:val="0"/>
      <w:divBdr>
        <w:top w:val="none" w:sz="0" w:space="0" w:color="auto"/>
        <w:left w:val="none" w:sz="0" w:space="0" w:color="auto"/>
        <w:bottom w:val="none" w:sz="0" w:space="0" w:color="auto"/>
        <w:right w:val="none" w:sz="0" w:space="0" w:color="auto"/>
      </w:divBdr>
    </w:div>
    <w:div w:id="994530546">
      <w:bodyDiv w:val="1"/>
      <w:marLeft w:val="0"/>
      <w:marRight w:val="0"/>
      <w:marTop w:val="0"/>
      <w:marBottom w:val="0"/>
      <w:divBdr>
        <w:top w:val="none" w:sz="0" w:space="0" w:color="auto"/>
        <w:left w:val="none" w:sz="0" w:space="0" w:color="auto"/>
        <w:bottom w:val="none" w:sz="0" w:space="0" w:color="auto"/>
        <w:right w:val="none" w:sz="0" w:space="0" w:color="auto"/>
      </w:divBdr>
    </w:div>
    <w:div w:id="995455279">
      <w:bodyDiv w:val="1"/>
      <w:marLeft w:val="0"/>
      <w:marRight w:val="0"/>
      <w:marTop w:val="0"/>
      <w:marBottom w:val="0"/>
      <w:divBdr>
        <w:top w:val="none" w:sz="0" w:space="0" w:color="auto"/>
        <w:left w:val="none" w:sz="0" w:space="0" w:color="auto"/>
        <w:bottom w:val="none" w:sz="0" w:space="0" w:color="auto"/>
        <w:right w:val="none" w:sz="0" w:space="0" w:color="auto"/>
      </w:divBdr>
    </w:div>
    <w:div w:id="996419997">
      <w:bodyDiv w:val="1"/>
      <w:marLeft w:val="0"/>
      <w:marRight w:val="0"/>
      <w:marTop w:val="0"/>
      <w:marBottom w:val="0"/>
      <w:divBdr>
        <w:top w:val="none" w:sz="0" w:space="0" w:color="auto"/>
        <w:left w:val="none" w:sz="0" w:space="0" w:color="auto"/>
        <w:bottom w:val="none" w:sz="0" w:space="0" w:color="auto"/>
        <w:right w:val="none" w:sz="0" w:space="0" w:color="auto"/>
      </w:divBdr>
    </w:div>
    <w:div w:id="996609512">
      <w:bodyDiv w:val="1"/>
      <w:marLeft w:val="0"/>
      <w:marRight w:val="0"/>
      <w:marTop w:val="0"/>
      <w:marBottom w:val="0"/>
      <w:divBdr>
        <w:top w:val="none" w:sz="0" w:space="0" w:color="auto"/>
        <w:left w:val="none" w:sz="0" w:space="0" w:color="auto"/>
        <w:bottom w:val="none" w:sz="0" w:space="0" w:color="auto"/>
        <w:right w:val="none" w:sz="0" w:space="0" w:color="auto"/>
      </w:divBdr>
    </w:div>
    <w:div w:id="997196369">
      <w:bodyDiv w:val="1"/>
      <w:marLeft w:val="0"/>
      <w:marRight w:val="0"/>
      <w:marTop w:val="0"/>
      <w:marBottom w:val="0"/>
      <w:divBdr>
        <w:top w:val="none" w:sz="0" w:space="0" w:color="auto"/>
        <w:left w:val="none" w:sz="0" w:space="0" w:color="auto"/>
        <w:bottom w:val="none" w:sz="0" w:space="0" w:color="auto"/>
        <w:right w:val="none" w:sz="0" w:space="0" w:color="auto"/>
      </w:divBdr>
    </w:div>
    <w:div w:id="997421690">
      <w:bodyDiv w:val="1"/>
      <w:marLeft w:val="0"/>
      <w:marRight w:val="0"/>
      <w:marTop w:val="0"/>
      <w:marBottom w:val="0"/>
      <w:divBdr>
        <w:top w:val="none" w:sz="0" w:space="0" w:color="auto"/>
        <w:left w:val="none" w:sz="0" w:space="0" w:color="auto"/>
        <w:bottom w:val="none" w:sz="0" w:space="0" w:color="auto"/>
        <w:right w:val="none" w:sz="0" w:space="0" w:color="auto"/>
      </w:divBdr>
    </w:div>
    <w:div w:id="997465385">
      <w:bodyDiv w:val="1"/>
      <w:marLeft w:val="0"/>
      <w:marRight w:val="0"/>
      <w:marTop w:val="0"/>
      <w:marBottom w:val="0"/>
      <w:divBdr>
        <w:top w:val="none" w:sz="0" w:space="0" w:color="auto"/>
        <w:left w:val="none" w:sz="0" w:space="0" w:color="auto"/>
        <w:bottom w:val="none" w:sz="0" w:space="0" w:color="auto"/>
        <w:right w:val="none" w:sz="0" w:space="0" w:color="auto"/>
      </w:divBdr>
    </w:div>
    <w:div w:id="998314858">
      <w:bodyDiv w:val="1"/>
      <w:marLeft w:val="0"/>
      <w:marRight w:val="0"/>
      <w:marTop w:val="0"/>
      <w:marBottom w:val="0"/>
      <w:divBdr>
        <w:top w:val="none" w:sz="0" w:space="0" w:color="auto"/>
        <w:left w:val="none" w:sz="0" w:space="0" w:color="auto"/>
        <w:bottom w:val="none" w:sz="0" w:space="0" w:color="auto"/>
        <w:right w:val="none" w:sz="0" w:space="0" w:color="auto"/>
      </w:divBdr>
    </w:div>
    <w:div w:id="998969472">
      <w:bodyDiv w:val="1"/>
      <w:marLeft w:val="0"/>
      <w:marRight w:val="0"/>
      <w:marTop w:val="0"/>
      <w:marBottom w:val="0"/>
      <w:divBdr>
        <w:top w:val="none" w:sz="0" w:space="0" w:color="auto"/>
        <w:left w:val="none" w:sz="0" w:space="0" w:color="auto"/>
        <w:bottom w:val="none" w:sz="0" w:space="0" w:color="auto"/>
        <w:right w:val="none" w:sz="0" w:space="0" w:color="auto"/>
      </w:divBdr>
    </w:div>
    <w:div w:id="999428665">
      <w:bodyDiv w:val="1"/>
      <w:marLeft w:val="0"/>
      <w:marRight w:val="0"/>
      <w:marTop w:val="0"/>
      <w:marBottom w:val="0"/>
      <w:divBdr>
        <w:top w:val="none" w:sz="0" w:space="0" w:color="auto"/>
        <w:left w:val="none" w:sz="0" w:space="0" w:color="auto"/>
        <w:bottom w:val="none" w:sz="0" w:space="0" w:color="auto"/>
        <w:right w:val="none" w:sz="0" w:space="0" w:color="auto"/>
      </w:divBdr>
    </w:div>
    <w:div w:id="999575262">
      <w:bodyDiv w:val="1"/>
      <w:marLeft w:val="0"/>
      <w:marRight w:val="0"/>
      <w:marTop w:val="0"/>
      <w:marBottom w:val="0"/>
      <w:divBdr>
        <w:top w:val="none" w:sz="0" w:space="0" w:color="auto"/>
        <w:left w:val="none" w:sz="0" w:space="0" w:color="auto"/>
        <w:bottom w:val="none" w:sz="0" w:space="0" w:color="auto"/>
        <w:right w:val="none" w:sz="0" w:space="0" w:color="auto"/>
      </w:divBdr>
    </w:div>
    <w:div w:id="999581431">
      <w:bodyDiv w:val="1"/>
      <w:marLeft w:val="0"/>
      <w:marRight w:val="0"/>
      <w:marTop w:val="0"/>
      <w:marBottom w:val="0"/>
      <w:divBdr>
        <w:top w:val="none" w:sz="0" w:space="0" w:color="auto"/>
        <w:left w:val="none" w:sz="0" w:space="0" w:color="auto"/>
        <w:bottom w:val="none" w:sz="0" w:space="0" w:color="auto"/>
        <w:right w:val="none" w:sz="0" w:space="0" w:color="auto"/>
      </w:divBdr>
    </w:div>
    <w:div w:id="999768778">
      <w:bodyDiv w:val="1"/>
      <w:marLeft w:val="0"/>
      <w:marRight w:val="0"/>
      <w:marTop w:val="0"/>
      <w:marBottom w:val="0"/>
      <w:divBdr>
        <w:top w:val="none" w:sz="0" w:space="0" w:color="auto"/>
        <w:left w:val="none" w:sz="0" w:space="0" w:color="auto"/>
        <w:bottom w:val="none" w:sz="0" w:space="0" w:color="auto"/>
        <w:right w:val="none" w:sz="0" w:space="0" w:color="auto"/>
      </w:divBdr>
    </w:div>
    <w:div w:id="999770708">
      <w:bodyDiv w:val="1"/>
      <w:marLeft w:val="0"/>
      <w:marRight w:val="0"/>
      <w:marTop w:val="0"/>
      <w:marBottom w:val="0"/>
      <w:divBdr>
        <w:top w:val="none" w:sz="0" w:space="0" w:color="auto"/>
        <w:left w:val="none" w:sz="0" w:space="0" w:color="auto"/>
        <w:bottom w:val="none" w:sz="0" w:space="0" w:color="auto"/>
        <w:right w:val="none" w:sz="0" w:space="0" w:color="auto"/>
      </w:divBdr>
    </w:div>
    <w:div w:id="1000041623">
      <w:bodyDiv w:val="1"/>
      <w:marLeft w:val="0"/>
      <w:marRight w:val="0"/>
      <w:marTop w:val="0"/>
      <w:marBottom w:val="0"/>
      <w:divBdr>
        <w:top w:val="none" w:sz="0" w:space="0" w:color="auto"/>
        <w:left w:val="none" w:sz="0" w:space="0" w:color="auto"/>
        <w:bottom w:val="none" w:sz="0" w:space="0" w:color="auto"/>
        <w:right w:val="none" w:sz="0" w:space="0" w:color="auto"/>
      </w:divBdr>
    </w:div>
    <w:div w:id="1000159420">
      <w:bodyDiv w:val="1"/>
      <w:marLeft w:val="0"/>
      <w:marRight w:val="0"/>
      <w:marTop w:val="0"/>
      <w:marBottom w:val="0"/>
      <w:divBdr>
        <w:top w:val="none" w:sz="0" w:space="0" w:color="auto"/>
        <w:left w:val="none" w:sz="0" w:space="0" w:color="auto"/>
        <w:bottom w:val="none" w:sz="0" w:space="0" w:color="auto"/>
        <w:right w:val="none" w:sz="0" w:space="0" w:color="auto"/>
      </w:divBdr>
    </w:div>
    <w:div w:id="1000817847">
      <w:bodyDiv w:val="1"/>
      <w:marLeft w:val="0"/>
      <w:marRight w:val="0"/>
      <w:marTop w:val="0"/>
      <w:marBottom w:val="0"/>
      <w:divBdr>
        <w:top w:val="none" w:sz="0" w:space="0" w:color="auto"/>
        <w:left w:val="none" w:sz="0" w:space="0" w:color="auto"/>
        <w:bottom w:val="none" w:sz="0" w:space="0" w:color="auto"/>
        <w:right w:val="none" w:sz="0" w:space="0" w:color="auto"/>
      </w:divBdr>
    </w:div>
    <w:div w:id="1001356146">
      <w:bodyDiv w:val="1"/>
      <w:marLeft w:val="0"/>
      <w:marRight w:val="0"/>
      <w:marTop w:val="0"/>
      <w:marBottom w:val="0"/>
      <w:divBdr>
        <w:top w:val="none" w:sz="0" w:space="0" w:color="auto"/>
        <w:left w:val="none" w:sz="0" w:space="0" w:color="auto"/>
        <w:bottom w:val="none" w:sz="0" w:space="0" w:color="auto"/>
        <w:right w:val="none" w:sz="0" w:space="0" w:color="auto"/>
      </w:divBdr>
    </w:div>
    <w:div w:id="1001545564">
      <w:bodyDiv w:val="1"/>
      <w:marLeft w:val="0"/>
      <w:marRight w:val="0"/>
      <w:marTop w:val="0"/>
      <w:marBottom w:val="0"/>
      <w:divBdr>
        <w:top w:val="none" w:sz="0" w:space="0" w:color="auto"/>
        <w:left w:val="none" w:sz="0" w:space="0" w:color="auto"/>
        <w:bottom w:val="none" w:sz="0" w:space="0" w:color="auto"/>
        <w:right w:val="none" w:sz="0" w:space="0" w:color="auto"/>
      </w:divBdr>
    </w:div>
    <w:div w:id="1001734044">
      <w:bodyDiv w:val="1"/>
      <w:marLeft w:val="0"/>
      <w:marRight w:val="0"/>
      <w:marTop w:val="0"/>
      <w:marBottom w:val="0"/>
      <w:divBdr>
        <w:top w:val="none" w:sz="0" w:space="0" w:color="auto"/>
        <w:left w:val="none" w:sz="0" w:space="0" w:color="auto"/>
        <w:bottom w:val="none" w:sz="0" w:space="0" w:color="auto"/>
        <w:right w:val="none" w:sz="0" w:space="0" w:color="auto"/>
      </w:divBdr>
    </w:div>
    <w:div w:id="1002464223">
      <w:bodyDiv w:val="1"/>
      <w:marLeft w:val="0"/>
      <w:marRight w:val="0"/>
      <w:marTop w:val="0"/>
      <w:marBottom w:val="0"/>
      <w:divBdr>
        <w:top w:val="none" w:sz="0" w:space="0" w:color="auto"/>
        <w:left w:val="none" w:sz="0" w:space="0" w:color="auto"/>
        <w:bottom w:val="none" w:sz="0" w:space="0" w:color="auto"/>
        <w:right w:val="none" w:sz="0" w:space="0" w:color="auto"/>
      </w:divBdr>
    </w:div>
    <w:div w:id="1002658042">
      <w:bodyDiv w:val="1"/>
      <w:marLeft w:val="0"/>
      <w:marRight w:val="0"/>
      <w:marTop w:val="0"/>
      <w:marBottom w:val="0"/>
      <w:divBdr>
        <w:top w:val="none" w:sz="0" w:space="0" w:color="auto"/>
        <w:left w:val="none" w:sz="0" w:space="0" w:color="auto"/>
        <w:bottom w:val="none" w:sz="0" w:space="0" w:color="auto"/>
        <w:right w:val="none" w:sz="0" w:space="0" w:color="auto"/>
      </w:divBdr>
    </w:div>
    <w:div w:id="1002663343">
      <w:bodyDiv w:val="1"/>
      <w:marLeft w:val="0"/>
      <w:marRight w:val="0"/>
      <w:marTop w:val="0"/>
      <w:marBottom w:val="0"/>
      <w:divBdr>
        <w:top w:val="none" w:sz="0" w:space="0" w:color="auto"/>
        <w:left w:val="none" w:sz="0" w:space="0" w:color="auto"/>
        <w:bottom w:val="none" w:sz="0" w:space="0" w:color="auto"/>
        <w:right w:val="none" w:sz="0" w:space="0" w:color="auto"/>
      </w:divBdr>
    </w:div>
    <w:div w:id="1002929276">
      <w:bodyDiv w:val="1"/>
      <w:marLeft w:val="0"/>
      <w:marRight w:val="0"/>
      <w:marTop w:val="0"/>
      <w:marBottom w:val="0"/>
      <w:divBdr>
        <w:top w:val="none" w:sz="0" w:space="0" w:color="auto"/>
        <w:left w:val="none" w:sz="0" w:space="0" w:color="auto"/>
        <w:bottom w:val="none" w:sz="0" w:space="0" w:color="auto"/>
        <w:right w:val="none" w:sz="0" w:space="0" w:color="auto"/>
      </w:divBdr>
    </w:div>
    <w:div w:id="1003316597">
      <w:bodyDiv w:val="1"/>
      <w:marLeft w:val="0"/>
      <w:marRight w:val="0"/>
      <w:marTop w:val="0"/>
      <w:marBottom w:val="0"/>
      <w:divBdr>
        <w:top w:val="none" w:sz="0" w:space="0" w:color="auto"/>
        <w:left w:val="none" w:sz="0" w:space="0" w:color="auto"/>
        <w:bottom w:val="none" w:sz="0" w:space="0" w:color="auto"/>
        <w:right w:val="none" w:sz="0" w:space="0" w:color="auto"/>
      </w:divBdr>
    </w:div>
    <w:div w:id="1003556287">
      <w:bodyDiv w:val="1"/>
      <w:marLeft w:val="0"/>
      <w:marRight w:val="0"/>
      <w:marTop w:val="0"/>
      <w:marBottom w:val="0"/>
      <w:divBdr>
        <w:top w:val="none" w:sz="0" w:space="0" w:color="auto"/>
        <w:left w:val="none" w:sz="0" w:space="0" w:color="auto"/>
        <w:bottom w:val="none" w:sz="0" w:space="0" w:color="auto"/>
        <w:right w:val="none" w:sz="0" w:space="0" w:color="auto"/>
      </w:divBdr>
    </w:div>
    <w:div w:id="1003974466">
      <w:bodyDiv w:val="1"/>
      <w:marLeft w:val="0"/>
      <w:marRight w:val="0"/>
      <w:marTop w:val="0"/>
      <w:marBottom w:val="0"/>
      <w:divBdr>
        <w:top w:val="none" w:sz="0" w:space="0" w:color="auto"/>
        <w:left w:val="none" w:sz="0" w:space="0" w:color="auto"/>
        <w:bottom w:val="none" w:sz="0" w:space="0" w:color="auto"/>
        <w:right w:val="none" w:sz="0" w:space="0" w:color="auto"/>
      </w:divBdr>
    </w:div>
    <w:div w:id="1004015534">
      <w:bodyDiv w:val="1"/>
      <w:marLeft w:val="0"/>
      <w:marRight w:val="0"/>
      <w:marTop w:val="0"/>
      <w:marBottom w:val="0"/>
      <w:divBdr>
        <w:top w:val="none" w:sz="0" w:space="0" w:color="auto"/>
        <w:left w:val="none" w:sz="0" w:space="0" w:color="auto"/>
        <w:bottom w:val="none" w:sz="0" w:space="0" w:color="auto"/>
        <w:right w:val="none" w:sz="0" w:space="0" w:color="auto"/>
      </w:divBdr>
    </w:div>
    <w:div w:id="1004279787">
      <w:bodyDiv w:val="1"/>
      <w:marLeft w:val="0"/>
      <w:marRight w:val="0"/>
      <w:marTop w:val="0"/>
      <w:marBottom w:val="0"/>
      <w:divBdr>
        <w:top w:val="none" w:sz="0" w:space="0" w:color="auto"/>
        <w:left w:val="none" w:sz="0" w:space="0" w:color="auto"/>
        <w:bottom w:val="none" w:sz="0" w:space="0" w:color="auto"/>
        <w:right w:val="none" w:sz="0" w:space="0" w:color="auto"/>
      </w:divBdr>
    </w:div>
    <w:div w:id="1004547501">
      <w:bodyDiv w:val="1"/>
      <w:marLeft w:val="0"/>
      <w:marRight w:val="0"/>
      <w:marTop w:val="0"/>
      <w:marBottom w:val="0"/>
      <w:divBdr>
        <w:top w:val="none" w:sz="0" w:space="0" w:color="auto"/>
        <w:left w:val="none" w:sz="0" w:space="0" w:color="auto"/>
        <w:bottom w:val="none" w:sz="0" w:space="0" w:color="auto"/>
        <w:right w:val="none" w:sz="0" w:space="0" w:color="auto"/>
      </w:divBdr>
    </w:div>
    <w:div w:id="1004674327">
      <w:bodyDiv w:val="1"/>
      <w:marLeft w:val="0"/>
      <w:marRight w:val="0"/>
      <w:marTop w:val="0"/>
      <w:marBottom w:val="0"/>
      <w:divBdr>
        <w:top w:val="none" w:sz="0" w:space="0" w:color="auto"/>
        <w:left w:val="none" w:sz="0" w:space="0" w:color="auto"/>
        <w:bottom w:val="none" w:sz="0" w:space="0" w:color="auto"/>
        <w:right w:val="none" w:sz="0" w:space="0" w:color="auto"/>
      </w:divBdr>
    </w:div>
    <w:div w:id="1004746358">
      <w:bodyDiv w:val="1"/>
      <w:marLeft w:val="0"/>
      <w:marRight w:val="0"/>
      <w:marTop w:val="0"/>
      <w:marBottom w:val="0"/>
      <w:divBdr>
        <w:top w:val="none" w:sz="0" w:space="0" w:color="auto"/>
        <w:left w:val="none" w:sz="0" w:space="0" w:color="auto"/>
        <w:bottom w:val="none" w:sz="0" w:space="0" w:color="auto"/>
        <w:right w:val="none" w:sz="0" w:space="0" w:color="auto"/>
      </w:divBdr>
    </w:div>
    <w:div w:id="1004822325">
      <w:bodyDiv w:val="1"/>
      <w:marLeft w:val="0"/>
      <w:marRight w:val="0"/>
      <w:marTop w:val="0"/>
      <w:marBottom w:val="0"/>
      <w:divBdr>
        <w:top w:val="none" w:sz="0" w:space="0" w:color="auto"/>
        <w:left w:val="none" w:sz="0" w:space="0" w:color="auto"/>
        <w:bottom w:val="none" w:sz="0" w:space="0" w:color="auto"/>
        <w:right w:val="none" w:sz="0" w:space="0" w:color="auto"/>
      </w:divBdr>
    </w:div>
    <w:div w:id="1005208568">
      <w:bodyDiv w:val="1"/>
      <w:marLeft w:val="0"/>
      <w:marRight w:val="0"/>
      <w:marTop w:val="0"/>
      <w:marBottom w:val="0"/>
      <w:divBdr>
        <w:top w:val="none" w:sz="0" w:space="0" w:color="auto"/>
        <w:left w:val="none" w:sz="0" w:space="0" w:color="auto"/>
        <w:bottom w:val="none" w:sz="0" w:space="0" w:color="auto"/>
        <w:right w:val="none" w:sz="0" w:space="0" w:color="auto"/>
      </w:divBdr>
    </w:div>
    <w:div w:id="1005287384">
      <w:bodyDiv w:val="1"/>
      <w:marLeft w:val="0"/>
      <w:marRight w:val="0"/>
      <w:marTop w:val="0"/>
      <w:marBottom w:val="0"/>
      <w:divBdr>
        <w:top w:val="none" w:sz="0" w:space="0" w:color="auto"/>
        <w:left w:val="none" w:sz="0" w:space="0" w:color="auto"/>
        <w:bottom w:val="none" w:sz="0" w:space="0" w:color="auto"/>
        <w:right w:val="none" w:sz="0" w:space="0" w:color="auto"/>
      </w:divBdr>
    </w:div>
    <w:div w:id="1005479877">
      <w:bodyDiv w:val="1"/>
      <w:marLeft w:val="0"/>
      <w:marRight w:val="0"/>
      <w:marTop w:val="0"/>
      <w:marBottom w:val="0"/>
      <w:divBdr>
        <w:top w:val="none" w:sz="0" w:space="0" w:color="auto"/>
        <w:left w:val="none" w:sz="0" w:space="0" w:color="auto"/>
        <w:bottom w:val="none" w:sz="0" w:space="0" w:color="auto"/>
        <w:right w:val="none" w:sz="0" w:space="0" w:color="auto"/>
      </w:divBdr>
    </w:div>
    <w:div w:id="1005550987">
      <w:bodyDiv w:val="1"/>
      <w:marLeft w:val="0"/>
      <w:marRight w:val="0"/>
      <w:marTop w:val="0"/>
      <w:marBottom w:val="0"/>
      <w:divBdr>
        <w:top w:val="none" w:sz="0" w:space="0" w:color="auto"/>
        <w:left w:val="none" w:sz="0" w:space="0" w:color="auto"/>
        <w:bottom w:val="none" w:sz="0" w:space="0" w:color="auto"/>
        <w:right w:val="none" w:sz="0" w:space="0" w:color="auto"/>
      </w:divBdr>
    </w:div>
    <w:div w:id="1005669169">
      <w:bodyDiv w:val="1"/>
      <w:marLeft w:val="0"/>
      <w:marRight w:val="0"/>
      <w:marTop w:val="0"/>
      <w:marBottom w:val="0"/>
      <w:divBdr>
        <w:top w:val="none" w:sz="0" w:space="0" w:color="auto"/>
        <w:left w:val="none" w:sz="0" w:space="0" w:color="auto"/>
        <w:bottom w:val="none" w:sz="0" w:space="0" w:color="auto"/>
        <w:right w:val="none" w:sz="0" w:space="0" w:color="auto"/>
      </w:divBdr>
    </w:div>
    <w:div w:id="1005746664">
      <w:bodyDiv w:val="1"/>
      <w:marLeft w:val="0"/>
      <w:marRight w:val="0"/>
      <w:marTop w:val="0"/>
      <w:marBottom w:val="0"/>
      <w:divBdr>
        <w:top w:val="none" w:sz="0" w:space="0" w:color="auto"/>
        <w:left w:val="none" w:sz="0" w:space="0" w:color="auto"/>
        <w:bottom w:val="none" w:sz="0" w:space="0" w:color="auto"/>
        <w:right w:val="none" w:sz="0" w:space="0" w:color="auto"/>
      </w:divBdr>
    </w:div>
    <w:div w:id="1006592304">
      <w:bodyDiv w:val="1"/>
      <w:marLeft w:val="0"/>
      <w:marRight w:val="0"/>
      <w:marTop w:val="0"/>
      <w:marBottom w:val="0"/>
      <w:divBdr>
        <w:top w:val="none" w:sz="0" w:space="0" w:color="auto"/>
        <w:left w:val="none" w:sz="0" w:space="0" w:color="auto"/>
        <w:bottom w:val="none" w:sz="0" w:space="0" w:color="auto"/>
        <w:right w:val="none" w:sz="0" w:space="0" w:color="auto"/>
      </w:divBdr>
    </w:div>
    <w:div w:id="1006833718">
      <w:bodyDiv w:val="1"/>
      <w:marLeft w:val="0"/>
      <w:marRight w:val="0"/>
      <w:marTop w:val="0"/>
      <w:marBottom w:val="0"/>
      <w:divBdr>
        <w:top w:val="none" w:sz="0" w:space="0" w:color="auto"/>
        <w:left w:val="none" w:sz="0" w:space="0" w:color="auto"/>
        <w:bottom w:val="none" w:sz="0" w:space="0" w:color="auto"/>
        <w:right w:val="none" w:sz="0" w:space="0" w:color="auto"/>
      </w:divBdr>
    </w:div>
    <w:div w:id="1006861483">
      <w:bodyDiv w:val="1"/>
      <w:marLeft w:val="0"/>
      <w:marRight w:val="0"/>
      <w:marTop w:val="0"/>
      <w:marBottom w:val="0"/>
      <w:divBdr>
        <w:top w:val="none" w:sz="0" w:space="0" w:color="auto"/>
        <w:left w:val="none" w:sz="0" w:space="0" w:color="auto"/>
        <w:bottom w:val="none" w:sz="0" w:space="0" w:color="auto"/>
        <w:right w:val="none" w:sz="0" w:space="0" w:color="auto"/>
      </w:divBdr>
    </w:div>
    <w:div w:id="1006979205">
      <w:bodyDiv w:val="1"/>
      <w:marLeft w:val="0"/>
      <w:marRight w:val="0"/>
      <w:marTop w:val="0"/>
      <w:marBottom w:val="0"/>
      <w:divBdr>
        <w:top w:val="none" w:sz="0" w:space="0" w:color="auto"/>
        <w:left w:val="none" w:sz="0" w:space="0" w:color="auto"/>
        <w:bottom w:val="none" w:sz="0" w:space="0" w:color="auto"/>
        <w:right w:val="none" w:sz="0" w:space="0" w:color="auto"/>
      </w:divBdr>
    </w:div>
    <w:div w:id="1007363381">
      <w:bodyDiv w:val="1"/>
      <w:marLeft w:val="0"/>
      <w:marRight w:val="0"/>
      <w:marTop w:val="0"/>
      <w:marBottom w:val="0"/>
      <w:divBdr>
        <w:top w:val="none" w:sz="0" w:space="0" w:color="auto"/>
        <w:left w:val="none" w:sz="0" w:space="0" w:color="auto"/>
        <w:bottom w:val="none" w:sz="0" w:space="0" w:color="auto"/>
        <w:right w:val="none" w:sz="0" w:space="0" w:color="auto"/>
      </w:divBdr>
    </w:div>
    <w:div w:id="1007369159">
      <w:bodyDiv w:val="1"/>
      <w:marLeft w:val="0"/>
      <w:marRight w:val="0"/>
      <w:marTop w:val="0"/>
      <w:marBottom w:val="0"/>
      <w:divBdr>
        <w:top w:val="none" w:sz="0" w:space="0" w:color="auto"/>
        <w:left w:val="none" w:sz="0" w:space="0" w:color="auto"/>
        <w:bottom w:val="none" w:sz="0" w:space="0" w:color="auto"/>
        <w:right w:val="none" w:sz="0" w:space="0" w:color="auto"/>
      </w:divBdr>
    </w:div>
    <w:div w:id="1007749401">
      <w:bodyDiv w:val="1"/>
      <w:marLeft w:val="0"/>
      <w:marRight w:val="0"/>
      <w:marTop w:val="0"/>
      <w:marBottom w:val="0"/>
      <w:divBdr>
        <w:top w:val="none" w:sz="0" w:space="0" w:color="auto"/>
        <w:left w:val="none" w:sz="0" w:space="0" w:color="auto"/>
        <w:bottom w:val="none" w:sz="0" w:space="0" w:color="auto"/>
        <w:right w:val="none" w:sz="0" w:space="0" w:color="auto"/>
      </w:divBdr>
    </w:div>
    <w:div w:id="1007828005">
      <w:bodyDiv w:val="1"/>
      <w:marLeft w:val="0"/>
      <w:marRight w:val="0"/>
      <w:marTop w:val="0"/>
      <w:marBottom w:val="0"/>
      <w:divBdr>
        <w:top w:val="none" w:sz="0" w:space="0" w:color="auto"/>
        <w:left w:val="none" w:sz="0" w:space="0" w:color="auto"/>
        <w:bottom w:val="none" w:sz="0" w:space="0" w:color="auto"/>
        <w:right w:val="none" w:sz="0" w:space="0" w:color="auto"/>
      </w:divBdr>
    </w:div>
    <w:div w:id="1008219080">
      <w:bodyDiv w:val="1"/>
      <w:marLeft w:val="0"/>
      <w:marRight w:val="0"/>
      <w:marTop w:val="0"/>
      <w:marBottom w:val="0"/>
      <w:divBdr>
        <w:top w:val="none" w:sz="0" w:space="0" w:color="auto"/>
        <w:left w:val="none" w:sz="0" w:space="0" w:color="auto"/>
        <w:bottom w:val="none" w:sz="0" w:space="0" w:color="auto"/>
        <w:right w:val="none" w:sz="0" w:space="0" w:color="auto"/>
      </w:divBdr>
    </w:div>
    <w:div w:id="1008368909">
      <w:bodyDiv w:val="1"/>
      <w:marLeft w:val="0"/>
      <w:marRight w:val="0"/>
      <w:marTop w:val="0"/>
      <w:marBottom w:val="0"/>
      <w:divBdr>
        <w:top w:val="none" w:sz="0" w:space="0" w:color="auto"/>
        <w:left w:val="none" w:sz="0" w:space="0" w:color="auto"/>
        <w:bottom w:val="none" w:sz="0" w:space="0" w:color="auto"/>
        <w:right w:val="none" w:sz="0" w:space="0" w:color="auto"/>
      </w:divBdr>
    </w:div>
    <w:div w:id="1008753169">
      <w:bodyDiv w:val="1"/>
      <w:marLeft w:val="0"/>
      <w:marRight w:val="0"/>
      <w:marTop w:val="0"/>
      <w:marBottom w:val="0"/>
      <w:divBdr>
        <w:top w:val="none" w:sz="0" w:space="0" w:color="auto"/>
        <w:left w:val="none" w:sz="0" w:space="0" w:color="auto"/>
        <w:bottom w:val="none" w:sz="0" w:space="0" w:color="auto"/>
        <w:right w:val="none" w:sz="0" w:space="0" w:color="auto"/>
      </w:divBdr>
    </w:div>
    <w:div w:id="1008823496">
      <w:bodyDiv w:val="1"/>
      <w:marLeft w:val="0"/>
      <w:marRight w:val="0"/>
      <w:marTop w:val="0"/>
      <w:marBottom w:val="0"/>
      <w:divBdr>
        <w:top w:val="none" w:sz="0" w:space="0" w:color="auto"/>
        <w:left w:val="none" w:sz="0" w:space="0" w:color="auto"/>
        <w:bottom w:val="none" w:sz="0" w:space="0" w:color="auto"/>
        <w:right w:val="none" w:sz="0" w:space="0" w:color="auto"/>
      </w:divBdr>
    </w:div>
    <w:div w:id="1008865810">
      <w:bodyDiv w:val="1"/>
      <w:marLeft w:val="0"/>
      <w:marRight w:val="0"/>
      <w:marTop w:val="0"/>
      <w:marBottom w:val="0"/>
      <w:divBdr>
        <w:top w:val="none" w:sz="0" w:space="0" w:color="auto"/>
        <w:left w:val="none" w:sz="0" w:space="0" w:color="auto"/>
        <w:bottom w:val="none" w:sz="0" w:space="0" w:color="auto"/>
        <w:right w:val="none" w:sz="0" w:space="0" w:color="auto"/>
      </w:divBdr>
    </w:div>
    <w:div w:id="1008874833">
      <w:bodyDiv w:val="1"/>
      <w:marLeft w:val="0"/>
      <w:marRight w:val="0"/>
      <w:marTop w:val="0"/>
      <w:marBottom w:val="0"/>
      <w:divBdr>
        <w:top w:val="none" w:sz="0" w:space="0" w:color="auto"/>
        <w:left w:val="none" w:sz="0" w:space="0" w:color="auto"/>
        <w:bottom w:val="none" w:sz="0" w:space="0" w:color="auto"/>
        <w:right w:val="none" w:sz="0" w:space="0" w:color="auto"/>
      </w:divBdr>
    </w:div>
    <w:div w:id="1008992447">
      <w:bodyDiv w:val="1"/>
      <w:marLeft w:val="0"/>
      <w:marRight w:val="0"/>
      <w:marTop w:val="0"/>
      <w:marBottom w:val="0"/>
      <w:divBdr>
        <w:top w:val="none" w:sz="0" w:space="0" w:color="auto"/>
        <w:left w:val="none" w:sz="0" w:space="0" w:color="auto"/>
        <w:bottom w:val="none" w:sz="0" w:space="0" w:color="auto"/>
        <w:right w:val="none" w:sz="0" w:space="0" w:color="auto"/>
      </w:divBdr>
    </w:div>
    <w:div w:id="1009065770">
      <w:bodyDiv w:val="1"/>
      <w:marLeft w:val="0"/>
      <w:marRight w:val="0"/>
      <w:marTop w:val="0"/>
      <w:marBottom w:val="0"/>
      <w:divBdr>
        <w:top w:val="none" w:sz="0" w:space="0" w:color="auto"/>
        <w:left w:val="none" w:sz="0" w:space="0" w:color="auto"/>
        <w:bottom w:val="none" w:sz="0" w:space="0" w:color="auto"/>
        <w:right w:val="none" w:sz="0" w:space="0" w:color="auto"/>
      </w:divBdr>
    </w:div>
    <w:div w:id="1009328573">
      <w:bodyDiv w:val="1"/>
      <w:marLeft w:val="0"/>
      <w:marRight w:val="0"/>
      <w:marTop w:val="0"/>
      <w:marBottom w:val="0"/>
      <w:divBdr>
        <w:top w:val="none" w:sz="0" w:space="0" w:color="auto"/>
        <w:left w:val="none" w:sz="0" w:space="0" w:color="auto"/>
        <w:bottom w:val="none" w:sz="0" w:space="0" w:color="auto"/>
        <w:right w:val="none" w:sz="0" w:space="0" w:color="auto"/>
      </w:divBdr>
    </w:div>
    <w:div w:id="1009796898">
      <w:bodyDiv w:val="1"/>
      <w:marLeft w:val="0"/>
      <w:marRight w:val="0"/>
      <w:marTop w:val="0"/>
      <w:marBottom w:val="0"/>
      <w:divBdr>
        <w:top w:val="none" w:sz="0" w:space="0" w:color="auto"/>
        <w:left w:val="none" w:sz="0" w:space="0" w:color="auto"/>
        <w:bottom w:val="none" w:sz="0" w:space="0" w:color="auto"/>
        <w:right w:val="none" w:sz="0" w:space="0" w:color="auto"/>
      </w:divBdr>
    </w:div>
    <w:div w:id="1009798714">
      <w:bodyDiv w:val="1"/>
      <w:marLeft w:val="0"/>
      <w:marRight w:val="0"/>
      <w:marTop w:val="0"/>
      <w:marBottom w:val="0"/>
      <w:divBdr>
        <w:top w:val="none" w:sz="0" w:space="0" w:color="auto"/>
        <w:left w:val="none" w:sz="0" w:space="0" w:color="auto"/>
        <w:bottom w:val="none" w:sz="0" w:space="0" w:color="auto"/>
        <w:right w:val="none" w:sz="0" w:space="0" w:color="auto"/>
      </w:divBdr>
    </w:div>
    <w:div w:id="1009869367">
      <w:bodyDiv w:val="1"/>
      <w:marLeft w:val="0"/>
      <w:marRight w:val="0"/>
      <w:marTop w:val="0"/>
      <w:marBottom w:val="0"/>
      <w:divBdr>
        <w:top w:val="none" w:sz="0" w:space="0" w:color="auto"/>
        <w:left w:val="none" w:sz="0" w:space="0" w:color="auto"/>
        <w:bottom w:val="none" w:sz="0" w:space="0" w:color="auto"/>
        <w:right w:val="none" w:sz="0" w:space="0" w:color="auto"/>
      </w:divBdr>
    </w:div>
    <w:div w:id="1009871338">
      <w:bodyDiv w:val="1"/>
      <w:marLeft w:val="0"/>
      <w:marRight w:val="0"/>
      <w:marTop w:val="0"/>
      <w:marBottom w:val="0"/>
      <w:divBdr>
        <w:top w:val="none" w:sz="0" w:space="0" w:color="auto"/>
        <w:left w:val="none" w:sz="0" w:space="0" w:color="auto"/>
        <w:bottom w:val="none" w:sz="0" w:space="0" w:color="auto"/>
        <w:right w:val="none" w:sz="0" w:space="0" w:color="auto"/>
      </w:divBdr>
    </w:div>
    <w:div w:id="1009989422">
      <w:bodyDiv w:val="1"/>
      <w:marLeft w:val="0"/>
      <w:marRight w:val="0"/>
      <w:marTop w:val="0"/>
      <w:marBottom w:val="0"/>
      <w:divBdr>
        <w:top w:val="none" w:sz="0" w:space="0" w:color="auto"/>
        <w:left w:val="none" w:sz="0" w:space="0" w:color="auto"/>
        <w:bottom w:val="none" w:sz="0" w:space="0" w:color="auto"/>
        <w:right w:val="none" w:sz="0" w:space="0" w:color="auto"/>
      </w:divBdr>
    </w:div>
    <w:div w:id="1010180830">
      <w:bodyDiv w:val="1"/>
      <w:marLeft w:val="0"/>
      <w:marRight w:val="0"/>
      <w:marTop w:val="0"/>
      <w:marBottom w:val="0"/>
      <w:divBdr>
        <w:top w:val="none" w:sz="0" w:space="0" w:color="auto"/>
        <w:left w:val="none" w:sz="0" w:space="0" w:color="auto"/>
        <w:bottom w:val="none" w:sz="0" w:space="0" w:color="auto"/>
        <w:right w:val="none" w:sz="0" w:space="0" w:color="auto"/>
      </w:divBdr>
    </w:div>
    <w:div w:id="1011757561">
      <w:bodyDiv w:val="1"/>
      <w:marLeft w:val="0"/>
      <w:marRight w:val="0"/>
      <w:marTop w:val="0"/>
      <w:marBottom w:val="0"/>
      <w:divBdr>
        <w:top w:val="none" w:sz="0" w:space="0" w:color="auto"/>
        <w:left w:val="none" w:sz="0" w:space="0" w:color="auto"/>
        <w:bottom w:val="none" w:sz="0" w:space="0" w:color="auto"/>
        <w:right w:val="none" w:sz="0" w:space="0" w:color="auto"/>
      </w:divBdr>
    </w:div>
    <w:div w:id="1012343086">
      <w:bodyDiv w:val="1"/>
      <w:marLeft w:val="0"/>
      <w:marRight w:val="0"/>
      <w:marTop w:val="0"/>
      <w:marBottom w:val="0"/>
      <w:divBdr>
        <w:top w:val="none" w:sz="0" w:space="0" w:color="auto"/>
        <w:left w:val="none" w:sz="0" w:space="0" w:color="auto"/>
        <w:bottom w:val="none" w:sz="0" w:space="0" w:color="auto"/>
        <w:right w:val="none" w:sz="0" w:space="0" w:color="auto"/>
      </w:divBdr>
    </w:div>
    <w:div w:id="1012486168">
      <w:bodyDiv w:val="1"/>
      <w:marLeft w:val="0"/>
      <w:marRight w:val="0"/>
      <w:marTop w:val="0"/>
      <w:marBottom w:val="0"/>
      <w:divBdr>
        <w:top w:val="none" w:sz="0" w:space="0" w:color="auto"/>
        <w:left w:val="none" w:sz="0" w:space="0" w:color="auto"/>
        <w:bottom w:val="none" w:sz="0" w:space="0" w:color="auto"/>
        <w:right w:val="none" w:sz="0" w:space="0" w:color="auto"/>
      </w:divBdr>
    </w:div>
    <w:div w:id="1012955533">
      <w:bodyDiv w:val="1"/>
      <w:marLeft w:val="0"/>
      <w:marRight w:val="0"/>
      <w:marTop w:val="0"/>
      <w:marBottom w:val="0"/>
      <w:divBdr>
        <w:top w:val="none" w:sz="0" w:space="0" w:color="auto"/>
        <w:left w:val="none" w:sz="0" w:space="0" w:color="auto"/>
        <w:bottom w:val="none" w:sz="0" w:space="0" w:color="auto"/>
        <w:right w:val="none" w:sz="0" w:space="0" w:color="auto"/>
      </w:divBdr>
    </w:div>
    <w:div w:id="1012997781">
      <w:bodyDiv w:val="1"/>
      <w:marLeft w:val="0"/>
      <w:marRight w:val="0"/>
      <w:marTop w:val="0"/>
      <w:marBottom w:val="0"/>
      <w:divBdr>
        <w:top w:val="none" w:sz="0" w:space="0" w:color="auto"/>
        <w:left w:val="none" w:sz="0" w:space="0" w:color="auto"/>
        <w:bottom w:val="none" w:sz="0" w:space="0" w:color="auto"/>
        <w:right w:val="none" w:sz="0" w:space="0" w:color="auto"/>
      </w:divBdr>
    </w:div>
    <w:div w:id="1013066618">
      <w:bodyDiv w:val="1"/>
      <w:marLeft w:val="0"/>
      <w:marRight w:val="0"/>
      <w:marTop w:val="0"/>
      <w:marBottom w:val="0"/>
      <w:divBdr>
        <w:top w:val="none" w:sz="0" w:space="0" w:color="auto"/>
        <w:left w:val="none" w:sz="0" w:space="0" w:color="auto"/>
        <w:bottom w:val="none" w:sz="0" w:space="0" w:color="auto"/>
        <w:right w:val="none" w:sz="0" w:space="0" w:color="auto"/>
      </w:divBdr>
    </w:div>
    <w:div w:id="1013263583">
      <w:bodyDiv w:val="1"/>
      <w:marLeft w:val="0"/>
      <w:marRight w:val="0"/>
      <w:marTop w:val="0"/>
      <w:marBottom w:val="0"/>
      <w:divBdr>
        <w:top w:val="none" w:sz="0" w:space="0" w:color="auto"/>
        <w:left w:val="none" w:sz="0" w:space="0" w:color="auto"/>
        <w:bottom w:val="none" w:sz="0" w:space="0" w:color="auto"/>
        <w:right w:val="none" w:sz="0" w:space="0" w:color="auto"/>
      </w:divBdr>
    </w:div>
    <w:div w:id="1013653518">
      <w:bodyDiv w:val="1"/>
      <w:marLeft w:val="0"/>
      <w:marRight w:val="0"/>
      <w:marTop w:val="0"/>
      <w:marBottom w:val="0"/>
      <w:divBdr>
        <w:top w:val="none" w:sz="0" w:space="0" w:color="auto"/>
        <w:left w:val="none" w:sz="0" w:space="0" w:color="auto"/>
        <w:bottom w:val="none" w:sz="0" w:space="0" w:color="auto"/>
        <w:right w:val="none" w:sz="0" w:space="0" w:color="auto"/>
      </w:divBdr>
    </w:div>
    <w:div w:id="1014261397">
      <w:bodyDiv w:val="1"/>
      <w:marLeft w:val="0"/>
      <w:marRight w:val="0"/>
      <w:marTop w:val="0"/>
      <w:marBottom w:val="0"/>
      <w:divBdr>
        <w:top w:val="none" w:sz="0" w:space="0" w:color="auto"/>
        <w:left w:val="none" w:sz="0" w:space="0" w:color="auto"/>
        <w:bottom w:val="none" w:sz="0" w:space="0" w:color="auto"/>
        <w:right w:val="none" w:sz="0" w:space="0" w:color="auto"/>
      </w:divBdr>
    </w:div>
    <w:div w:id="1014578179">
      <w:bodyDiv w:val="1"/>
      <w:marLeft w:val="0"/>
      <w:marRight w:val="0"/>
      <w:marTop w:val="0"/>
      <w:marBottom w:val="0"/>
      <w:divBdr>
        <w:top w:val="none" w:sz="0" w:space="0" w:color="auto"/>
        <w:left w:val="none" w:sz="0" w:space="0" w:color="auto"/>
        <w:bottom w:val="none" w:sz="0" w:space="0" w:color="auto"/>
        <w:right w:val="none" w:sz="0" w:space="0" w:color="auto"/>
      </w:divBdr>
    </w:div>
    <w:div w:id="1014772771">
      <w:bodyDiv w:val="1"/>
      <w:marLeft w:val="0"/>
      <w:marRight w:val="0"/>
      <w:marTop w:val="0"/>
      <w:marBottom w:val="0"/>
      <w:divBdr>
        <w:top w:val="none" w:sz="0" w:space="0" w:color="auto"/>
        <w:left w:val="none" w:sz="0" w:space="0" w:color="auto"/>
        <w:bottom w:val="none" w:sz="0" w:space="0" w:color="auto"/>
        <w:right w:val="none" w:sz="0" w:space="0" w:color="auto"/>
      </w:divBdr>
    </w:div>
    <w:div w:id="1015808235">
      <w:bodyDiv w:val="1"/>
      <w:marLeft w:val="0"/>
      <w:marRight w:val="0"/>
      <w:marTop w:val="0"/>
      <w:marBottom w:val="0"/>
      <w:divBdr>
        <w:top w:val="none" w:sz="0" w:space="0" w:color="auto"/>
        <w:left w:val="none" w:sz="0" w:space="0" w:color="auto"/>
        <w:bottom w:val="none" w:sz="0" w:space="0" w:color="auto"/>
        <w:right w:val="none" w:sz="0" w:space="0" w:color="auto"/>
      </w:divBdr>
    </w:div>
    <w:div w:id="1015957162">
      <w:bodyDiv w:val="1"/>
      <w:marLeft w:val="0"/>
      <w:marRight w:val="0"/>
      <w:marTop w:val="0"/>
      <w:marBottom w:val="0"/>
      <w:divBdr>
        <w:top w:val="none" w:sz="0" w:space="0" w:color="auto"/>
        <w:left w:val="none" w:sz="0" w:space="0" w:color="auto"/>
        <w:bottom w:val="none" w:sz="0" w:space="0" w:color="auto"/>
        <w:right w:val="none" w:sz="0" w:space="0" w:color="auto"/>
      </w:divBdr>
    </w:div>
    <w:div w:id="1016082564">
      <w:bodyDiv w:val="1"/>
      <w:marLeft w:val="0"/>
      <w:marRight w:val="0"/>
      <w:marTop w:val="0"/>
      <w:marBottom w:val="0"/>
      <w:divBdr>
        <w:top w:val="none" w:sz="0" w:space="0" w:color="auto"/>
        <w:left w:val="none" w:sz="0" w:space="0" w:color="auto"/>
        <w:bottom w:val="none" w:sz="0" w:space="0" w:color="auto"/>
        <w:right w:val="none" w:sz="0" w:space="0" w:color="auto"/>
      </w:divBdr>
    </w:div>
    <w:div w:id="1016422474">
      <w:bodyDiv w:val="1"/>
      <w:marLeft w:val="0"/>
      <w:marRight w:val="0"/>
      <w:marTop w:val="0"/>
      <w:marBottom w:val="0"/>
      <w:divBdr>
        <w:top w:val="none" w:sz="0" w:space="0" w:color="auto"/>
        <w:left w:val="none" w:sz="0" w:space="0" w:color="auto"/>
        <w:bottom w:val="none" w:sz="0" w:space="0" w:color="auto"/>
        <w:right w:val="none" w:sz="0" w:space="0" w:color="auto"/>
      </w:divBdr>
    </w:div>
    <w:div w:id="1016466137">
      <w:bodyDiv w:val="1"/>
      <w:marLeft w:val="0"/>
      <w:marRight w:val="0"/>
      <w:marTop w:val="0"/>
      <w:marBottom w:val="0"/>
      <w:divBdr>
        <w:top w:val="none" w:sz="0" w:space="0" w:color="auto"/>
        <w:left w:val="none" w:sz="0" w:space="0" w:color="auto"/>
        <w:bottom w:val="none" w:sz="0" w:space="0" w:color="auto"/>
        <w:right w:val="none" w:sz="0" w:space="0" w:color="auto"/>
      </w:divBdr>
    </w:div>
    <w:div w:id="1016468497">
      <w:bodyDiv w:val="1"/>
      <w:marLeft w:val="0"/>
      <w:marRight w:val="0"/>
      <w:marTop w:val="0"/>
      <w:marBottom w:val="0"/>
      <w:divBdr>
        <w:top w:val="none" w:sz="0" w:space="0" w:color="auto"/>
        <w:left w:val="none" w:sz="0" w:space="0" w:color="auto"/>
        <w:bottom w:val="none" w:sz="0" w:space="0" w:color="auto"/>
        <w:right w:val="none" w:sz="0" w:space="0" w:color="auto"/>
      </w:divBdr>
    </w:div>
    <w:div w:id="1016691301">
      <w:bodyDiv w:val="1"/>
      <w:marLeft w:val="0"/>
      <w:marRight w:val="0"/>
      <w:marTop w:val="0"/>
      <w:marBottom w:val="0"/>
      <w:divBdr>
        <w:top w:val="none" w:sz="0" w:space="0" w:color="auto"/>
        <w:left w:val="none" w:sz="0" w:space="0" w:color="auto"/>
        <w:bottom w:val="none" w:sz="0" w:space="0" w:color="auto"/>
        <w:right w:val="none" w:sz="0" w:space="0" w:color="auto"/>
      </w:divBdr>
    </w:div>
    <w:div w:id="1018774573">
      <w:bodyDiv w:val="1"/>
      <w:marLeft w:val="0"/>
      <w:marRight w:val="0"/>
      <w:marTop w:val="0"/>
      <w:marBottom w:val="0"/>
      <w:divBdr>
        <w:top w:val="none" w:sz="0" w:space="0" w:color="auto"/>
        <w:left w:val="none" w:sz="0" w:space="0" w:color="auto"/>
        <w:bottom w:val="none" w:sz="0" w:space="0" w:color="auto"/>
        <w:right w:val="none" w:sz="0" w:space="0" w:color="auto"/>
      </w:divBdr>
    </w:div>
    <w:div w:id="1018853906">
      <w:bodyDiv w:val="1"/>
      <w:marLeft w:val="0"/>
      <w:marRight w:val="0"/>
      <w:marTop w:val="0"/>
      <w:marBottom w:val="0"/>
      <w:divBdr>
        <w:top w:val="none" w:sz="0" w:space="0" w:color="auto"/>
        <w:left w:val="none" w:sz="0" w:space="0" w:color="auto"/>
        <w:bottom w:val="none" w:sz="0" w:space="0" w:color="auto"/>
        <w:right w:val="none" w:sz="0" w:space="0" w:color="auto"/>
      </w:divBdr>
    </w:div>
    <w:div w:id="1019352017">
      <w:bodyDiv w:val="1"/>
      <w:marLeft w:val="0"/>
      <w:marRight w:val="0"/>
      <w:marTop w:val="0"/>
      <w:marBottom w:val="0"/>
      <w:divBdr>
        <w:top w:val="none" w:sz="0" w:space="0" w:color="auto"/>
        <w:left w:val="none" w:sz="0" w:space="0" w:color="auto"/>
        <w:bottom w:val="none" w:sz="0" w:space="0" w:color="auto"/>
        <w:right w:val="none" w:sz="0" w:space="0" w:color="auto"/>
      </w:divBdr>
    </w:div>
    <w:div w:id="1019548172">
      <w:bodyDiv w:val="1"/>
      <w:marLeft w:val="0"/>
      <w:marRight w:val="0"/>
      <w:marTop w:val="0"/>
      <w:marBottom w:val="0"/>
      <w:divBdr>
        <w:top w:val="none" w:sz="0" w:space="0" w:color="auto"/>
        <w:left w:val="none" w:sz="0" w:space="0" w:color="auto"/>
        <w:bottom w:val="none" w:sz="0" w:space="0" w:color="auto"/>
        <w:right w:val="none" w:sz="0" w:space="0" w:color="auto"/>
      </w:divBdr>
    </w:div>
    <w:div w:id="1019744065">
      <w:bodyDiv w:val="1"/>
      <w:marLeft w:val="0"/>
      <w:marRight w:val="0"/>
      <w:marTop w:val="0"/>
      <w:marBottom w:val="0"/>
      <w:divBdr>
        <w:top w:val="none" w:sz="0" w:space="0" w:color="auto"/>
        <w:left w:val="none" w:sz="0" w:space="0" w:color="auto"/>
        <w:bottom w:val="none" w:sz="0" w:space="0" w:color="auto"/>
        <w:right w:val="none" w:sz="0" w:space="0" w:color="auto"/>
      </w:divBdr>
    </w:div>
    <w:div w:id="1020857751">
      <w:bodyDiv w:val="1"/>
      <w:marLeft w:val="0"/>
      <w:marRight w:val="0"/>
      <w:marTop w:val="0"/>
      <w:marBottom w:val="0"/>
      <w:divBdr>
        <w:top w:val="none" w:sz="0" w:space="0" w:color="auto"/>
        <w:left w:val="none" w:sz="0" w:space="0" w:color="auto"/>
        <w:bottom w:val="none" w:sz="0" w:space="0" w:color="auto"/>
        <w:right w:val="none" w:sz="0" w:space="0" w:color="auto"/>
      </w:divBdr>
    </w:div>
    <w:div w:id="1020932169">
      <w:bodyDiv w:val="1"/>
      <w:marLeft w:val="0"/>
      <w:marRight w:val="0"/>
      <w:marTop w:val="0"/>
      <w:marBottom w:val="0"/>
      <w:divBdr>
        <w:top w:val="none" w:sz="0" w:space="0" w:color="auto"/>
        <w:left w:val="none" w:sz="0" w:space="0" w:color="auto"/>
        <w:bottom w:val="none" w:sz="0" w:space="0" w:color="auto"/>
        <w:right w:val="none" w:sz="0" w:space="0" w:color="auto"/>
      </w:divBdr>
    </w:div>
    <w:div w:id="1021051794">
      <w:bodyDiv w:val="1"/>
      <w:marLeft w:val="0"/>
      <w:marRight w:val="0"/>
      <w:marTop w:val="0"/>
      <w:marBottom w:val="0"/>
      <w:divBdr>
        <w:top w:val="none" w:sz="0" w:space="0" w:color="auto"/>
        <w:left w:val="none" w:sz="0" w:space="0" w:color="auto"/>
        <w:bottom w:val="none" w:sz="0" w:space="0" w:color="auto"/>
        <w:right w:val="none" w:sz="0" w:space="0" w:color="auto"/>
      </w:divBdr>
    </w:div>
    <w:div w:id="1021204319">
      <w:bodyDiv w:val="1"/>
      <w:marLeft w:val="0"/>
      <w:marRight w:val="0"/>
      <w:marTop w:val="0"/>
      <w:marBottom w:val="0"/>
      <w:divBdr>
        <w:top w:val="none" w:sz="0" w:space="0" w:color="auto"/>
        <w:left w:val="none" w:sz="0" w:space="0" w:color="auto"/>
        <w:bottom w:val="none" w:sz="0" w:space="0" w:color="auto"/>
        <w:right w:val="none" w:sz="0" w:space="0" w:color="auto"/>
      </w:divBdr>
    </w:div>
    <w:div w:id="1021277856">
      <w:bodyDiv w:val="1"/>
      <w:marLeft w:val="0"/>
      <w:marRight w:val="0"/>
      <w:marTop w:val="0"/>
      <w:marBottom w:val="0"/>
      <w:divBdr>
        <w:top w:val="none" w:sz="0" w:space="0" w:color="auto"/>
        <w:left w:val="none" w:sz="0" w:space="0" w:color="auto"/>
        <w:bottom w:val="none" w:sz="0" w:space="0" w:color="auto"/>
        <w:right w:val="none" w:sz="0" w:space="0" w:color="auto"/>
      </w:divBdr>
    </w:div>
    <w:div w:id="1021584574">
      <w:bodyDiv w:val="1"/>
      <w:marLeft w:val="0"/>
      <w:marRight w:val="0"/>
      <w:marTop w:val="0"/>
      <w:marBottom w:val="0"/>
      <w:divBdr>
        <w:top w:val="none" w:sz="0" w:space="0" w:color="auto"/>
        <w:left w:val="none" w:sz="0" w:space="0" w:color="auto"/>
        <w:bottom w:val="none" w:sz="0" w:space="0" w:color="auto"/>
        <w:right w:val="none" w:sz="0" w:space="0" w:color="auto"/>
      </w:divBdr>
    </w:div>
    <w:div w:id="1021934175">
      <w:bodyDiv w:val="1"/>
      <w:marLeft w:val="0"/>
      <w:marRight w:val="0"/>
      <w:marTop w:val="0"/>
      <w:marBottom w:val="0"/>
      <w:divBdr>
        <w:top w:val="none" w:sz="0" w:space="0" w:color="auto"/>
        <w:left w:val="none" w:sz="0" w:space="0" w:color="auto"/>
        <w:bottom w:val="none" w:sz="0" w:space="0" w:color="auto"/>
        <w:right w:val="none" w:sz="0" w:space="0" w:color="auto"/>
      </w:divBdr>
    </w:div>
    <w:div w:id="1021977688">
      <w:bodyDiv w:val="1"/>
      <w:marLeft w:val="0"/>
      <w:marRight w:val="0"/>
      <w:marTop w:val="0"/>
      <w:marBottom w:val="0"/>
      <w:divBdr>
        <w:top w:val="none" w:sz="0" w:space="0" w:color="auto"/>
        <w:left w:val="none" w:sz="0" w:space="0" w:color="auto"/>
        <w:bottom w:val="none" w:sz="0" w:space="0" w:color="auto"/>
        <w:right w:val="none" w:sz="0" w:space="0" w:color="auto"/>
      </w:divBdr>
    </w:div>
    <w:div w:id="1022048186">
      <w:bodyDiv w:val="1"/>
      <w:marLeft w:val="0"/>
      <w:marRight w:val="0"/>
      <w:marTop w:val="0"/>
      <w:marBottom w:val="0"/>
      <w:divBdr>
        <w:top w:val="none" w:sz="0" w:space="0" w:color="auto"/>
        <w:left w:val="none" w:sz="0" w:space="0" w:color="auto"/>
        <w:bottom w:val="none" w:sz="0" w:space="0" w:color="auto"/>
        <w:right w:val="none" w:sz="0" w:space="0" w:color="auto"/>
      </w:divBdr>
    </w:div>
    <w:div w:id="1022052913">
      <w:bodyDiv w:val="1"/>
      <w:marLeft w:val="0"/>
      <w:marRight w:val="0"/>
      <w:marTop w:val="0"/>
      <w:marBottom w:val="0"/>
      <w:divBdr>
        <w:top w:val="none" w:sz="0" w:space="0" w:color="auto"/>
        <w:left w:val="none" w:sz="0" w:space="0" w:color="auto"/>
        <w:bottom w:val="none" w:sz="0" w:space="0" w:color="auto"/>
        <w:right w:val="none" w:sz="0" w:space="0" w:color="auto"/>
      </w:divBdr>
    </w:div>
    <w:div w:id="1022707532">
      <w:bodyDiv w:val="1"/>
      <w:marLeft w:val="0"/>
      <w:marRight w:val="0"/>
      <w:marTop w:val="0"/>
      <w:marBottom w:val="0"/>
      <w:divBdr>
        <w:top w:val="none" w:sz="0" w:space="0" w:color="auto"/>
        <w:left w:val="none" w:sz="0" w:space="0" w:color="auto"/>
        <w:bottom w:val="none" w:sz="0" w:space="0" w:color="auto"/>
        <w:right w:val="none" w:sz="0" w:space="0" w:color="auto"/>
      </w:divBdr>
    </w:div>
    <w:div w:id="1023634615">
      <w:bodyDiv w:val="1"/>
      <w:marLeft w:val="0"/>
      <w:marRight w:val="0"/>
      <w:marTop w:val="0"/>
      <w:marBottom w:val="0"/>
      <w:divBdr>
        <w:top w:val="none" w:sz="0" w:space="0" w:color="auto"/>
        <w:left w:val="none" w:sz="0" w:space="0" w:color="auto"/>
        <w:bottom w:val="none" w:sz="0" w:space="0" w:color="auto"/>
        <w:right w:val="none" w:sz="0" w:space="0" w:color="auto"/>
      </w:divBdr>
    </w:div>
    <w:div w:id="1024096386">
      <w:bodyDiv w:val="1"/>
      <w:marLeft w:val="0"/>
      <w:marRight w:val="0"/>
      <w:marTop w:val="0"/>
      <w:marBottom w:val="0"/>
      <w:divBdr>
        <w:top w:val="none" w:sz="0" w:space="0" w:color="auto"/>
        <w:left w:val="none" w:sz="0" w:space="0" w:color="auto"/>
        <w:bottom w:val="none" w:sz="0" w:space="0" w:color="auto"/>
        <w:right w:val="none" w:sz="0" w:space="0" w:color="auto"/>
      </w:divBdr>
    </w:div>
    <w:div w:id="1025449523">
      <w:bodyDiv w:val="1"/>
      <w:marLeft w:val="0"/>
      <w:marRight w:val="0"/>
      <w:marTop w:val="0"/>
      <w:marBottom w:val="0"/>
      <w:divBdr>
        <w:top w:val="none" w:sz="0" w:space="0" w:color="auto"/>
        <w:left w:val="none" w:sz="0" w:space="0" w:color="auto"/>
        <w:bottom w:val="none" w:sz="0" w:space="0" w:color="auto"/>
        <w:right w:val="none" w:sz="0" w:space="0" w:color="auto"/>
      </w:divBdr>
    </w:div>
    <w:div w:id="1025599664">
      <w:bodyDiv w:val="1"/>
      <w:marLeft w:val="0"/>
      <w:marRight w:val="0"/>
      <w:marTop w:val="0"/>
      <w:marBottom w:val="0"/>
      <w:divBdr>
        <w:top w:val="none" w:sz="0" w:space="0" w:color="auto"/>
        <w:left w:val="none" w:sz="0" w:space="0" w:color="auto"/>
        <w:bottom w:val="none" w:sz="0" w:space="0" w:color="auto"/>
        <w:right w:val="none" w:sz="0" w:space="0" w:color="auto"/>
      </w:divBdr>
    </w:div>
    <w:div w:id="1026558143">
      <w:bodyDiv w:val="1"/>
      <w:marLeft w:val="0"/>
      <w:marRight w:val="0"/>
      <w:marTop w:val="0"/>
      <w:marBottom w:val="0"/>
      <w:divBdr>
        <w:top w:val="none" w:sz="0" w:space="0" w:color="auto"/>
        <w:left w:val="none" w:sz="0" w:space="0" w:color="auto"/>
        <w:bottom w:val="none" w:sz="0" w:space="0" w:color="auto"/>
        <w:right w:val="none" w:sz="0" w:space="0" w:color="auto"/>
      </w:divBdr>
    </w:div>
    <w:div w:id="1026562641">
      <w:bodyDiv w:val="1"/>
      <w:marLeft w:val="0"/>
      <w:marRight w:val="0"/>
      <w:marTop w:val="0"/>
      <w:marBottom w:val="0"/>
      <w:divBdr>
        <w:top w:val="none" w:sz="0" w:space="0" w:color="auto"/>
        <w:left w:val="none" w:sz="0" w:space="0" w:color="auto"/>
        <w:bottom w:val="none" w:sz="0" w:space="0" w:color="auto"/>
        <w:right w:val="none" w:sz="0" w:space="0" w:color="auto"/>
      </w:divBdr>
    </w:div>
    <w:div w:id="1026757072">
      <w:bodyDiv w:val="1"/>
      <w:marLeft w:val="0"/>
      <w:marRight w:val="0"/>
      <w:marTop w:val="0"/>
      <w:marBottom w:val="0"/>
      <w:divBdr>
        <w:top w:val="none" w:sz="0" w:space="0" w:color="auto"/>
        <w:left w:val="none" w:sz="0" w:space="0" w:color="auto"/>
        <w:bottom w:val="none" w:sz="0" w:space="0" w:color="auto"/>
        <w:right w:val="none" w:sz="0" w:space="0" w:color="auto"/>
      </w:divBdr>
    </w:div>
    <w:div w:id="1026832036">
      <w:bodyDiv w:val="1"/>
      <w:marLeft w:val="0"/>
      <w:marRight w:val="0"/>
      <w:marTop w:val="0"/>
      <w:marBottom w:val="0"/>
      <w:divBdr>
        <w:top w:val="none" w:sz="0" w:space="0" w:color="auto"/>
        <w:left w:val="none" w:sz="0" w:space="0" w:color="auto"/>
        <w:bottom w:val="none" w:sz="0" w:space="0" w:color="auto"/>
        <w:right w:val="none" w:sz="0" w:space="0" w:color="auto"/>
      </w:divBdr>
    </w:div>
    <w:div w:id="1027023539">
      <w:bodyDiv w:val="1"/>
      <w:marLeft w:val="0"/>
      <w:marRight w:val="0"/>
      <w:marTop w:val="0"/>
      <w:marBottom w:val="0"/>
      <w:divBdr>
        <w:top w:val="none" w:sz="0" w:space="0" w:color="auto"/>
        <w:left w:val="none" w:sz="0" w:space="0" w:color="auto"/>
        <w:bottom w:val="none" w:sz="0" w:space="0" w:color="auto"/>
        <w:right w:val="none" w:sz="0" w:space="0" w:color="auto"/>
      </w:divBdr>
    </w:div>
    <w:div w:id="1027219152">
      <w:bodyDiv w:val="1"/>
      <w:marLeft w:val="0"/>
      <w:marRight w:val="0"/>
      <w:marTop w:val="0"/>
      <w:marBottom w:val="0"/>
      <w:divBdr>
        <w:top w:val="none" w:sz="0" w:space="0" w:color="auto"/>
        <w:left w:val="none" w:sz="0" w:space="0" w:color="auto"/>
        <w:bottom w:val="none" w:sz="0" w:space="0" w:color="auto"/>
        <w:right w:val="none" w:sz="0" w:space="0" w:color="auto"/>
      </w:divBdr>
    </w:div>
    <w:div w:id="1027289968">
      <w:bodyDiv w:val="1"/>
      <w:marLeft w:val="0"/>
      <w:marRight w:val="0"/>
      <w:marTop w:val="0"/>
      <w:marBottom w:val="0"/>
      <w:divBdr>
        <w:top w:val="none" w:sz="0" w:space="0" w:color="auto"/>
        <w:left w:val="none" w:sz="0" w:space="0" w:color="auto"/>
        <w:bottom w:val="none" w:sz="0" w:space="0" w:color="auto"/>
        <w:right w:val="none" w:sz="0" w:space="0" w:color="auto"/>
      </w:divBdr>
    </w:div>
    <w:div w:id="1027751879">
      <w:bodyDiv w:val="1"/>
      <w:marLeft w:val="0"/>
      <w:marRight w:val="0"/>
      <w:marTop w:val="0"/>
      <w:marBottom w:val="0"/>
      <w:divBdr>
        <w:top w:val="none" w:sz="0" w:space="0" w:color="auto"/>
        <w:left w:val="none" w:sz="0" w:space="0" w:color="auto"/>
        <w:bottom w:val="none" w:sz="0" w:space="0" w:color="auto"/>
        <w:right w:val="none" w:sz="0" w:space="0" w:color="auto"/>
      </w:divBdr>
    </w:div>
    <w:div w:id="1027870432">
      <w:bodyDiv w:val="1"/>
      <w:marLeft w:val="0"/>
      <w:marRight w:val="0"/>
      <w:marTop w:val="0"/>
      <w:marBottom w:val="0"/>
      <w:divBdr>
        <w:top w:val="none" w:sz="0" w:space="0" w:color="auto"/>
        <w:left w:val="none" w:sz="0" w:space="0" w:color="auto"/>
        <w:bottom w:val="none" w:sz="0" w:space="0" w:color="auto"/>
        <w:right w:val="none" w:sz="0" w:space="0" w:color="auto"/>
      </w:divBdr>
    </w:div>
    <w:div w:id="1027949211">
      <w:bodyDiv w:val="1"/>
      <w:marLeft w:val="0"/>
      <w:marRight w:val="0"/>
      <w:marTop w:val="0"/>
      <w:marBottom w:val="0"/>
      <w:divBdr>
        <w:top w:val="none" w:sz="0" w:space="0" w:color="auto"/>
        <w:left w:val="none" w:sz="0" w:space="0" w:color="auto"/>
        <w:bottom w:val="none" w:sz="0" w:space="0" w:color="auto"/>
        <w:right w:val="none" w:sz="0" w:space="0" w:color="auto"/>
      </w:divBdr>
    </w:div>
    <w:div w:id="1028066332">
      <w:bodyDiv w:val="1"/>
      <w:marLeft w:val="0"/>
      <w:marRight w:val="0"/>
      <w:marTop w:val="0"/>
      <w:marBottom w:val="0"/>
      <w:divBdr>
        <w:top w:val="none" w:sz="0" w:space="0" w:color="auto"/>
        <w:left w:val="none" w:sz="0" w:space="0" w:color="auto"/>
        <w:bottom w:val="none" w:sz="0" w:space="0" w:color="auto"/>
        <w:right w:val="none" w:sz="0" w:space="0" w:color="auto"/>
      </w:divBdr>
    </w:div>
    <w:div w:id="1028484015">
      <w:bodyDiv w:val="1"/>
      <w:marLeft w:val="0"/>
      <w:marRight w:val="0"/>
      <w:marTop w:val="0"/>
      <w:marBottom w:val="0"/>
      <w:divBdr>
        <w:top w:val="none" w:sz="0" w:space="0" w:color="auto"/>
        <w:left w:val="none" w:sz="0" w:space="0" w:color="auto"/>
        <w:bottom w:val="none" w:sz="0" w:space="0" w:color="auto"/>
        <w:right w:val="none" w:sz="0" w:space="0" w:color="auto"/>
      </w:divBdr>
    </w:div>
    <w:div w:id="1028524630">
      <w:bodyDiv w:val="1"/>
      <w:marLeft w:val="0"/>
      <w:marRight w:val="0"/>
      <w:marTop w:val="0"/>
      <w:marBottom w:val="0"/>
      <w:divBdr>
        <w:top w:val="none" w:sz="0" w:space="0" w:color="auto"/>
        <w:left w:val="none" w:sz="0" w:space="0" w:color="auto"/>
        <w:bottom w:val="none" w:sz="0" w:space="0" w:color="auto"/>
        <w:right w:val="none" w:sz="0" w:space="0" w:color="auto"/>
      </w:divBdr>
    </w:div>
    <w:div w:id="1028531182">
      <w:bodyDiv w:val="1"/>
      <w:marLeft w:val="0"/>
      <w:marRight w:val="0"/>
      <w:marTop w:val="0"/>
      <w:marBottom w:val="0"/>
      <w:divBdr>
        <w:top w:val="none" w:sz="0" w:space="0" w:color="auto"/>
        <w:left w:val="none" w:sz="0" w:space="0" w:color="auto"/>
        <w:bottom w:val="none" w:sz="0" w:space="0" w:color="auto"/>
        <w:right w:val="none" w:sz="0" w:space="0" w:color="auto"/>
      </w:divBdr>
    </w:div>
    <w:div w:id="1028681141">
      <w:bodyDiv w:val="1"/>
      <w:marLeft w:val="0"/>
      <w:marRight w:val="0"/>
      <w:marTop w:val="0"/>
      <w:marBottom w:val="0"/>
      <w:divBdr>
        <w:top w:val="none" w:sz="0" w:space="0" w:color="auto"/>
        <w:left w:val="none" w:sz="0" w:space="0" w:color="auto"/>
        <w:bottom w:val="none" w:sz="0" w:space="0" w:color="auto"/>
        <w:right w:val="none" w:sz="0" w:space="0" w:color="auto"/>
      </w:divBdr>
    </w:div>
    <w:div w:id="1028945909">
      <w:bodyDiv w:val="1"/>
      <w:marLeft w:val="0"/>
      <w:marRight w:val="0"/>
      <w:marTop w:val="0"/>
      <w:marBottom w:val="0"/>
      <w:divBdr>
        <w:top w:val="none" w:sz="0" w:space="0" w:color="auto"/>
        <w:left w:val="none" w:sz="0" w:space="0" w:color="auto"/>
        <w:bottom w:val="none" w:sz="0" w:space="0" w:color="auto"/>
        <w:right w:val="none" w:sz="0" w:space="0" w:color="auto"/>
      </w:divBdr>
    </w:div>
    <w:div w:id="1029067529">
      <w:bodyDiv w:val="1"/>
      <w:marLeft w:val="0"/>
      <w:marRight w:val="0"/>
      <w:marTop w:val="0"/>
      <w:marBottom w:val="0"/>
      <w:divBdr>
        <w:top w:val="none" w:sz="0" w:space="0" w:color="auto"/>
        <w:left w:val="none" w:sz="0" w:space="0" w:color="auto"/>
        <w:bottom w:val="none" w:sz="0" w:space="0" w:color="auto"/>
        <w:right w:val="none" w:sz="0" w:space="0" w:color="auto"/>
      </w:divBdr>
    </w:div>
    <w:div w:id="1029140298">
      <w:bodyDiv w:val="1"/>
      <w:marLeft w:val="0"/>
      <w:marRight w:val="0"/>
      <w:marTop w:val="0"/>
      <w:marBottom w:val="0"/>
      <w:divBdr>
        <w:top w:val="none" w:sz="0" w:space="0" w:color="auto"/>
        <w:left w:val="none" w:sz="0" w:space="0" w:color="auto"/>
        <w:bottom w:val="none" w:sz="0" w:space="0" w:color="auto"/>
        <w:right w:val="none" w:sz="0" w:space="0" w:color="auto"/>
      </w:divBdr>
    </w:div>
    <w:div w:id="1029718676">
      <w:bodyDiv w:val="1"/>
      <w:marLeft w:val="0"/>
      <w:marRight w:val="0"/>
      <w:marTop w:val="0"/>
      <w:marBottom w:val="0"/>
      <w:divBdr>
        <w:top w:val="none" w:sz="0" w:space="0" w:color="auto"/>
        <w:left w:val="none" w:sz="0" w:space="0" w:color="auto"/>
        <w:bottom w:val="none" w:sz="0" w:space="0" w:color="auto"/>
        <w:right w:val="none" w:sz="0" w:space="0" w:color="auto"/>
      </w:divBdr>
    </w:div>
    <w:div w:id="1029918523">
      <w:bodyDiv w:val="1"/>
      <w:marLeft w:val="0"/>
      <w:marRight w:val="0"/>
      <w:marTop w:val="0"/>
      <w:marBottom w:val="0"/>
      <w:divBdr>
        <w:top w:val="none" w:sz="0" w:space="0" w:color="auto"/>
        <w:left w:val="none" w:sz="0" w:space="0" w:color="auto"/>
        <w:bottom w:val="none" w:sz="0" w:space="0" w:color="auto"/>
        <w:right w:val="none" w:sz="0" w:space="0" w:color="auto"/>
      </w:divBdr>
    </w:div>
    <w:div w:id="1030033714">
      <w:bodyDiv w:val="1"/>
      <w:marLeft w:val="0"/>
      <w:marRight w:val="0"/>
      <w:marTop w:val="0"/>
      <w:marBottom w:val="0"/>
      <w:divBdr>
        <w:top w:val="none" w:sz="0" w:space="0" w:color="auto"/>
        <w:left w:val="none" w:sz="0" w:space="0" w:color="auto"/>
        <w:bottom w:val="none" w:sz="0" w:space="0" w:color="auto"/>
        <w:right w:val="none" w:sz="0" w:space="0" w:color="auto"/>
      </w:divBdr>
    </w:div>
    <w:div w:id="1030061321">
      <w:bodyDiv w:val="1"/>
      <w:marLeft w:val="0"/>
      <w:marRight w:val="0"/>
      <w:marTop w:val="0"/>
      <w:marBottom w:val="0"/>
      <w:divBdr>
        <w:top w:val="none" w:sz="0" w:space="0" w:color="auto"/>
        <w:left w:val="none" w:sz="0" w:space="0" w:color="auto"/>
        <w:bottom w:val="none" w:sz="0" w:space="0" w:color="auto"/>
        <w:right w:val="none" w:sz="0" w:space="0" w:color="auto"/>
      </w:divBdr>
    </w:div>
    <w:div w:id="1030687332">
      <w:bodyDiv w:val="1"/>
      <w:marLeft w:val="0"/>
      <w:marRight w:val="0"/>
      <w:marTop w:val="0"/>
      <w:marBottom w:val="0"/>
      <w:divBdr>
        <w:top w:val="none" w:sz="0" w:space="0" w:color="auto"/>
        <w:left w:val="none" w:sz="0" w:space="0" w:color="auto"/>
        <w:bottom w:val="none" w:sz="0" w:space="0" w:color="auto"/>
        <w:right w:val="none" w:sz="0" w:space="0" w:color="auto"/>
      </w:divBdr>
    </w:div>
    <w:div w:id="1030960694">
      <w:bodyDiv w:val="1"/>
      <w:marLeft w:val="0"/>
      <w:marRight w:val="0"/>
      <w:marTop w:val="0"/>
      <w:marBottom w:val="0"/>
      <w:divBdr>
        <w:top w:val="none" w:sz="0" w:space="0" w:color="auto"/>
        <w:left w:val="none" w:sz="0" w:space="0" w:color="auto"/>
        <w:bottom w:val="none" w:sz="0" w:space="0" w:color="auto"/>
        <w:right w:val="none" w:sz="0" w:space="0" w:color="auto"/>
      </w:divBdr>
    </w:div>
    <w:div w:id="1031957384">
      <w:bodyDiv w:val="1"/>
      <w:marLeft w:val="0"/>
      <w:marRight w:val="0"/>
      <w:marTop w:val="0"/>
      <w:marBottom w:val="0"/>
      <w:divBdr>
        <w:top w:val="none" w:sz="0" w:space="0" w:color="auto"/>
        <w:left w:val="none" w:sz="0" w:space="0" w:color="auto"/>
        <w:bottom w:val="none" w:sz="0" w:space="0" w:color="auto"/>
        <w:right w:val="none" w:sz="0" w:space="0" w:color="auto"/>
      </w:divBdr>
    </w:div>
    <w:div w:id="1032152776">
      <w:bodyDiv w:val="1"/>
      <w:marLeft w:val="0"/>
      <w:marRight w:val="0"/>
      <w:marTop w:val="0"/>
      <w:marBottom w:val="0"/>
      <w:divBdr>
        <w:top w:val="none" w:sz="0" w:space="0" w:color="auto"/>
        <w:left w:val="none" w:sz="0" w:space="0" w:color="auto"/>
        <w:bottom w:val="none" w:sz="0" w:space="0" w:color="auto"/>
        <w:right w:val="none" w:sz="0" w:space="0" w:color="auto"/>
      </w:divBdr>
    </w:div>
    <w:div w:id="1032414211">
      <w:bodyDiv w:val="1"/>
      <w:marLeft w:val="0"/>
      <w:marRight w:val="0"/>
      <w:marTop w:val="0"/>
      <w:marBottom w:val="0"/>
      <w:divBdr>
        <w:top w:val="none" w:sz="0" w:space="0" w:color="auto"/>
        <w:left w:val="none" w:sz="0" w:space="0" w:color="auto"/>
        <w:bottom w:val="none" w:sz="0" w:space="0" w:color="auto"/>
        <w:right w:val="none" w:sz="0" w:space="0" w:color="auto"/>
      </w:divBdr>
    </w:div>
    <w:div w:id="1032538565">
      <w:bodyDiv w:val="1"/>
      <w:marLeft w:val="0"/>
      <w:marRight w:val="0"/>
      <w:marTop w:val="0"/>
      <w:marBottom w:val="0"/>
      <w:divBdr>
        <w:top w:val="none" w:sz="0" w:space="0" w:color="auto"/>
        <w:left w:val="none" w:sz="0" w:space="0" w:color="auto"/>
        <w:bottom w:val="none" w:sz="0" w:space="0" w:color="auto"/>
        <w:right w:val="none" w:sz="0" w:space="0" w:color="auto"/>
      </w:divBdr>
    </w:div>
    <w:div w:id="1033463691">
      <w:bodyDiv w:val="1"/>
      <w:marLeft w:val="0"/>
      <w:marRight w:val="0"/>
      <w:marTop w:val="0"/>
      <w:marBottom w:val="0"/>
      <w:divBdr>
        <w:top w:val="none" w:sz="0" w:space="0" w:color="auto"/>
        <w:left w:val="none" w:sz="0" w:space="0" w:color="auto"/>
        <w:bottom w:val="none" w:sz="0" w:space="0" w:color="auto"/>
        <w:right w:val="none" w:sz="0" w:space="0" w:color="auto"/>
      </w:divBdr>
    </w:div>
    <w:div w:id="1033534885">
      <w:bodyDiv w:val="1"/>
      <w:marLeft w:val="0"/>
      <w:marRight w:val="0"/>
      <w:marTop w:val="0"/>
      <w:marBottom w:val="0"/>
      <w:divBdr>
        <w:top w:val="none" w:sz="0" w:space="0" w:color="auto"/>
        <w:left w:val="none" w:sz="0" w:space="0" w:color="auto"/>
        <w:bottom w:val="none" w:sz="0" w:space="0" w:color="auto"/>
        <w:right w:val="none" w:sz="0" w:space="0" w:color="auto"/>
      </w:divBdr>
    </w:div>
    <w:div w:id="1034230186">
      <w:bodyDiv w:val="1"/>
      <w:marLeft w:val="0"/>
      <w:marRight w:val="0"/>
      <w:marTop w:val="0"/>
      <w:marBottom w:val="0"/>
      <w:divBdr>
        <w:top w:val="none" w:sz="0" w:space="0" w:color="auto"/>
        <w:left w:val="none" w:sz="0" w:space="0" w:color="auto"/>
        <w:bottom w:val="none" w:sz="0" w:space="0" w:color="auto"/>
        <w:right w:val="none" w:sz="0" w:space="0" w:color="auto"/>
      </w:divBdr>
    </w:div>
    <w:div w:id="1034579362">
      <w:bodyDiv w:val="1"/>
      <w:marLeft w:val="0"/>
      <w:marRight w:val="0"/>
      <w:marTop w:val="0"/>
      <w:marBottom w:val="0"/>
      <w:divBdr>
        <w:top w:val="none" w:sz="0" w:space="0" w:color="auto"/>
        <w:left w:val="none" w:sz="0" w:space="0" w:color="auto"/>
        <w:bottom w:val="none" w:sz="0" w:space="0" w:color="auto"/>
        <w:right w:val="none" w:sz="0" w:space="0" w:color="auto"/>
      </w:divBdr>
    </w:div>
    <w:div w:id="1034694921">
      <w:bodyDiv w:val="1"/>
      <w:marLeft w:val="0"/>
      <w:marRight w:val="0"/>
      <w:marTop w:val="0"/>
      <w:marBottom w:val="0"/>
      <w:divBdr>
        <w:top w:val="none" w:sz="0" w:space="0" w:color="auto"/>
        <w:left w:val="none" w:sz="0" w:space="0" w:color="auto"/>
        <w:bottom w:val="none" w:sz="0" w:space="0" w:color="auto"/>
        <w:right w:val="none" w:sz="0" w:space="0" w:color="auto"/>
      </w:divBdr>
    </w:div>
    <w:div w:id="1035427950">
      <w:bodyDiv w:val="1"/>
      <w:marLeft w:val="0"/>
      <w:marRight w:val="0"/>
      <w:marTop w:val="0"/>
      <w:marBottom w:val="0"/>
      <w:divBdr>
        <w:top w:val="none" w:sz="0" w:space="0" w:color="auto"/>
        <w:left w:val="none" w:sz="0" w:space="0" w:color="auto"/>
        <w:bottom w:val="none" w:sz="0" w:space="0" w:color="auto"/>
        <w:right w:val="none" w:sz="0" w:space="0" w:color="auto"/>
      </w:divBdr>
    </w:div>
    <w:div w:id="1036273707">
      <w:bodyDiv w:val="1"/>
      <w:marLeft w:val="0"/>
      <w:marRight w:val="0"/>
      <w:marTop w:val="0"/>
      <w:marBottom w:val="0"/>
      <w:divBdr>
        <w:top w:val="none" w:sz="0" w:space="0" w:color="auto"/>
        <w:left w:val="none" w:sz="0" w:space="0" w:color="auto"/>
        <w:bottom w:val="none" w:sz="0" w:space="0" w:color="auto"/>
        <w:right w:val="none" w:sz="0" w:space="0" w:color="auto"/>
      </w:divBdr>
    </w:div>
    <w:div w:id="1036352544">
      <w:bodyDiv w:val="1"/>
      <w:marLeft w:val="0"/>
      <w:marRight w:val="0"/>
      <w:marTop w:val="0"/>
      <w:marBottom w:val="0"/>
      <w:divBdr>
        <w:top w:val="none" w:sz="0" w:space="0" w:color="auto"/>
        <w:left w:val="none" w:sz="0" w:space="0" w:color="auto"/>
        <w:bottom w:val="none" w:sz="0" w:space="0" w:color="auto"/>
        <w:right w:val="none" w:sz="0" w:space="0" w:color="auto"/>
      </w:divBdr>
    </w:div>
    <w:div w:id="1036541865">
      <w:bodyDiv w:val="1"/>
      <w:marLeft w:val="0"/>
      <w:marRight w:val="0"/>
      <w:marTop w:val="0"/>
      <w:marBottom w:val="0"/>
      <w:divBdr>
        <w:top w:val="none" w:sz="0" w:space="0" w:color="auto"/>
        <w:left w:val="none" w:sz="0" w:space="0" w:color="auto"/>
        <w:bottom w:val="none" w:sz="0" w:space="0" w:color="auto"/>
        <w:right w:val="none" w:sz="0" w:space="0" w:color="auto"/>
      </w:divBdr>
    </w:div>
    <w:div w:id="1036546487">
      <w:bodyDiv w:val="1"/>
      <w:marLeft w:val="0"/>
      <w:marRight w:val="0"/>
      <w:marTop w:val="0"/>
      <w:marBottom w:val="0"/>
      <w:divBdr>
        <w:top w:val="none" w:sz="0" w:space="0" w:color="auto"/>
        <w:left w:val="none" w:sz="0" w:space="0" w:color="auto"/>
        <w:bottom w:val="none" w:sz="0" w:space="0" w:color="auto"/>
        <w:right w:val="none" w:sz="0" w:space="0" w:color="auto"/>
      </w:divBdr>
    </w:div>
    <w:div w:id="1036659221">
      <w:bodyDiv w:val="1"/>
      <w:marLeft w:val="0"/>
      <w:marRight w:val="0"/>
      <w:marTop w:val="0"/>
      <w:marBottom w:val="0"/>
      <w:divBdr>
        <w:top w:val="none" w:sz="0" w:space="0" w:color="auto"/>
        <w:left w:val="none" w:sz="0" w:space="0" w:color="auto"/>
        <w:bottom w:val="none" w:sz="0" w:space="0" w:color="auto"/>
        <w:right w:val="none" w:sz="0" w:space="0" w:color="auto"/>
      </w:divBdr>
    </w:div>
    <w:div w:id="1037705829">
      <w:bodyDiv w:val="1"/>
      <w:marLeft w:val="0"/>
      <w:marRight w:val="0"/>
      <w:marTop w:val="0"/>
      <w:marBottom w:val="0"/>
      <w:divBdr>
        <w:top w:val="none" w:sz="0" w:space="0" w:color="auto"/>
        <w:left w:val="none" w:sz="0" w:space="0" w:color="auto"/>
        <w:bottom w:val="none" w:sz="0" w:space="0" w:color="auto"/>
        <w:right w:val="none" w:sz="0" w:space="0" w:color="auto"/>
      </w:divBdr>
    </w:div>
    <w:div w:id="1037897047">
      <w:bodyDiv w:val="1"/>
      <w:marLeft w:val="0"/>
      <w:marRight w:val="0"/>
      <w:marTop w:val="0"/>
      <w:marBottom w:val="0"/>
      <w:divBdr>
        <w:top w:val="none" w:sz="0" w:space="0" w:color="auto"/>
        <w:left w:val="none" w:sz="0" w:space="0" w:color="auto"/>
        <w:bottom w:val="none" w:sz="0" w:space="0" w:color="auto"/>
        <w:right w:val="none" w:sz="0" w:space="0" w:color="auto"/>
      </w:divBdr>
    </w:div>
    <w:div w:id="1038166849">
      <w:bodyDiv w:val="1"/>
      <w:marLeft w:val="0"/>
      <w:marRight w:val="0"/>
      <w:marTop w:val="0"/>
      <w:marBottom w:val="0"/>
      <w:divBdr>
        <w:top w:val="none" w:sz="0" w:space="0" w:color="auto"/>
        <w:left w:val="none" w:sz="0" w:space="0" w:color="auto"/>
        <w:bottom w:val="none" w:sz="0" w:space="0" w:color="auto"/>
        <w:right w:val="none" w:sz="0" w:space="0" w:color="auto"/>
      </w:divBdr>
    </w:div>
    <w:div w:id="1038432736">
      <w:bodyDiv w:val="1"/>
      <w:marLeft w:val="0"/>
      <w:marRight w:val="0"/>
      <w:marTop w:val="0"/>
      <w:marBottom w:val="0"/>
      <w:divBdr>
        <w:top w:val="none" w:sz="0" w:space="0" w:color="auto"/>
        <w:left w:val="none" w:sz="0" w:space="0" w:color="auto"/>
        <w:bottom w:val="none" w:sz="0" w:space="0" w:color="auto"/>
        <w:right w:val="none" w:sz="0" w:space="0" w:color="auto"/>
      </w:divBdr>
    </w:div>
    <w:div w:id="1038512299">
      <w:bodyDiv w:val="1"/>
      <w:marLeft w:val="0"/>
      <w:marRight w:val="0"/>
      <w:marTop w:val="0"/>
      <w:marBottom w:val="0"/>
      <w:divBdr>
        <w:top w:val="none" w:sz="0" w:space="0" w:color="auto"/>
        <w:left w:val="none" w:sz="0" w:space="0" w:color="auto"/>
        <w:bottom w:val="none" w:sz="0" w:space="0" w:color="auto"/>
        <w:right w:val="none" w:sz="0" w:space="0" w:color="auto"/>
      </w:divBdr>
    </w:div>
    <w:div w:id="1038552010">
      <w:bodyDiv w:val="1"/>
      <w:marLeft w:val="0"/>
      <w:marRight w:val="0"/>
      <w:marTop w:val="0"/>
      <w:marBottom w:val="0"/>
      <w:divBdr>
        <w:top w:val="none" w:sz="0" w:space="0" w:color="auto"/>
        <w:left w:val="none" w:sz="0" w:space="0" w:color="auto"/>
        <w:bottom w:val="none" w:sz="0" w:space="0" w:color="auto"/>
        <w:right w:val="none" w:sz="0" w:space="0" w:color="auto"/>
      </w:divBdr>
    </w:div>
    <w:div w:id="1039162359">
      <w:bodyDiv w:val="1"/>
      <w:marLeft w:val="0"/>
      <w:marRight w:val="0"/>
      <w:marTop w:val="0"/>
      <w:marBottom w:val="0"/>
      <w:divBdr>
        <w:top w:val="none" w:sz="0" w:space="0" w:color="auto"/>
        <w:left w:val="none" w:sz="0" w:space="0" w:color="auto"/>
        <w:bottom w:val="none" w:sz="0" w:space="0" w:color="auto"/>
        <w:right w:val="none" w:sz="0" w:space="0" w:color="auto"/>
      </w:divBdr>
    </w:div>
    <w:div w:id="1039745530">
      <w:bodyDiv w:val="1"/>
      <w:marLeft w:val="0"/>
      <w:marRight w:val="0"/>
      <w:marTop w:val="0"/>
      <w:marBottom w:val="0"/>
      <w:divBdr>
        <w:top w:val="none" w:sz="0" w:space="0" w:color="auto"/>
        <w:left w:val="none" w:sz="0" w:space="0" w:color="auto"/>
        <w:bottom w:val="none" w:sz="0" w:space="0" w:color="auto"/>
        <w:right w:val="none" w:sz="0" w:space="0" w:color="auto"/>
      </w:divBdr>
    </w:div>
    <w:div w:id="1039860663">
      <w:bodyDiv w:val="1"/>
      <w:marLeft w:val="0"/>
      <w:marRight w:val="0"/>
      <w:marTop w:val="0"/>
      <w:marBottom w:val="0"/>
      <w:divBdr>
        <w:top w:val="none" w:sz="0" w:space="0" w:color="auto"/>
        <w:left w:val="none" w:sz="0" w:space="0" w:color="auto"/>
        <w:bottom w:val="none" w:sz="0" w:space="0" w:color="auto"/>
        <w:right w:val="none" w:sz="0" w:space="0" w:color="auto"/>
      </w:divBdr>
    </w:div>
    <w:div w:id="1040059061">
      <w:bodyDiv w:val="1"/>
      <w:marLeft w:val="0"/>
      <w:marRight w:val="0"/>
      <w:marTop w:val="0"/>
      <w:marBottom w:val="0"/>
      <w:divBdr>
        <w:top w:val="none" w:sz="0" w:space="0" w:color="auto"/>
        <w:left w:val="none" w:sz="0" w:space="0" w:color="auto"/>
        <w:bottom w:val="none" w:sz="0" w:space="0" w:color="auto"/>
        <w:right w:val="none" w:sz="0" w:space="0" w:color="auto"/>
      </w:divBdr>
    </w:div>
    <w:div w:id="1040084970">
      <w:bodyDiv w:val="1"/>
      <w:marLeft w:val="0"/>
      <w:marRight w:val="0"/>
      <w:marTop w:val="0"/>
      <w:marBottom w:val="0"/>
      <w:divBdr>
        <w:top w:val="none" w:sz="0" w:space="0" w:color="auto"/>
        <w:left w:val="none" w:sz="0" w:space="0" w:color="auto"/>
        <w:bottom w:val="none" w:sz="0" w:space="0" w:color="auto"/>
        <w:right w:val="none" w:sz="0" w:space="0" w:color="auto"/>
      </w:divBdr>
    </w:div>
    <w:div w:id="1040324106">
      <w:bodyDiv w:val="1"/>
      <w:marLeft w:val="0"/>
      <w:marRight w:val="0"/>
      <w:marTop w:val="0"/>
      <w:marBottom w:val="0"/>
      <w:divBdr>
        <w:top w:val="none" w:sz="0" w:space="0" w:color="auto"/>
        <w:left w:val="none" w:sz="0" w:space="0" w:color="auto"/>
        <w:bottom w:val="none" w:sz="0" w:space="0" w:color="auto"/>
        <w:right w:val="none" w:sz="0" w:space="0" w:color="auto"/>
      </w:divBdr>
    </w:div>
    <w:div w:id="1040662696">
      <w:bodyDiv w:val="1"/>
      <w:marLeft w:val="0"/>
      <w:marRight w:val="0"/>
      <w:marTop w:val="0"/>
      <w:marBottom w:val="0"/>
      <w:divBdr>
        <w:top w:val="none" w:sz="0" w:space="0" w:color="auto"/>
        <w:left w:val="none" w:sz="0" w:space="0" w:color="auto"/>
        <w:bottom w:val="none" w:sz="0" w:space="0" w:color="auto"/>
        <w:right w:val="none" w:sz="0" w:space="0" w:color="auto"/>
      </w:divBdr>
    </w:div>
    <w:div w:id="1040671120">
      <w:bodyDiv w:val="1"/>
      <w:marLeft w:val="0"/>
      <w:marRight w:val="0"/>
      <w:marTop w:val="0"/>
      <w:marBottom w:val="0"/>
      <w:divBdr>
        <w:top w:val="none" w:sz="0" w:space="0" w:color="auto"/>
        <w:left w:val="none" w:sz="0" w:space="0" w:color="auto"/>
        <w:bottom w:val="none" w:sz="0" w:space="0" w:color="auto"/>
        <w:right w:val="none" w:sz="0" w:space="0" w:color="auto"/>
      </w:divBdr>
    </w:div>
    <w:div w:id="1040782458">
      <w:bodyDiv w:val="1"/>
      <w:marLeft w:val="0"/>
      <w:marRight w:val="0"/>
      <w:marTop w:val="0"/>
      <w:marBottom w:val="0"/>
      <w:divBdr>
        <w:top w:val="none" w:sz="0" w:space="0" w:color="auto"/>
        <w:left w:val="none" w:sz="0" w:space="0" w:color="auto"/>
        <w:bottom w:val="none" w:sz="0" w:space="0" w:color="auto"/>
        <w:right w:val="none" w:sz="0" w:space="0" w:color="auto"/>
      </w:divBdr>
    </w:div>
    <w:div w:id="1041057103">
      <w:bodyDiv w:val="1"/>
      <w:marLeft w:val="0"/>
      <w:marRight w:val="0"/>
      <w:marTop w:val="0"/>
      <w:marBottom w:val="0"/>
      <w:divBdr>
        <w:top w:val="none" w:sz="0" w:space="0" w:color="auto"/>
        <w:left w:val="none" w:sz="0" w:space="0" w:color="auto"/>
        <w:bottom w:val="none" w:sz="0" w:space="0" w:color="auto"/>
        <w:right w:val="none" w:sz="0" w:space="0" w:color="auto"/>
      </w:divBdr>
    </w:div>
    <w:div w:id="1041171961">
      <w:bodyDiv w:val="1"/>
      <w:marLeft w:val="0"/>
      <w:marRight w:val="0"/>
      <w:marTop w:val="0"/>
      <w:marBottom w:val="0"/>
      <w:divBdr>
        <w:top w:val="none" w:sz="0" w:space="0" w:color="auto"/>
        <w:left w:val="none" w:sz="0" w:space="0" w:color="auto"/>
        <w:bottom w:val="none" w:sz="0" w:space="0" w:color="auto"/>
        <w:right w:val="none" w:sz="0" w:space="0" w:color="auto"/>
      </w:divBdr>
    </w:div>
    <w:div w:id="1041172787">
      <w:bodyDiv w:val="1"/>
      <w:marLeft w:val="0"/>
      <w:marRight w:val="0"/>
      <w:marTop w:val="0"/>
      <w:marBottom w:val="0"/>
      <w:divBdr>
        <w:top w:val="none" w:sz="0" w:space="0" w:color="auto"/>
        <w:left w:val="none" w:sz="0" w:space="0" w:color="auto"/>
        <w:bottom w:val="none" w:sz="0" w:space="0" w:color="auto"/>
        <w:right w:val="none" w:sz="0" w:space="0" w:color="auto"/>
      </w:divBdr>
    </w:div>
    <w:div w:id="1041398493">
      <w:bodyDiv w:val="1"/>
      <w:marLeft w:val="0"/>
      <w:marRight w:val="0"/>
      <w:marTop w:val="0"/>
      <w:marBottom w:val="0"/>
      <w:divBdr>
        <w:top w:val="none" w:sz="0" w:space="0" w:color="auto"/>
        <w:left w:val="none" w:sz="0" w:space="0" w:color="auto"/>
        <w:bottom w:val="none" w:sz="0" w:space="0" w:color="auto"/>
        <w:right w:val="none" w:sz="0" w:space="0" w:color="auto"/>
      </w:divBdr>
    </w:div>
    <w:div w:id="1042168612">
      <w:bodyDiv w:val="1"/>
      <w:marLeft w:val="0"/>
      <w:marRight w:val="0"/>
      <w:marTop w:val="0"/>
      <w:marBottom w:val="0"/>
      <w:divBdr>
        <w:top w:val="none" w:sz="0" w:space="0" w:color="auto"/>
        <w:left w:val="none" w:sz="0" w:space="0" w:color="auto"/>
        <w:bottom w:val="none" w:sz="0" w:space="0" w:color="auto"/>
        <w:right w:val="none" w:sz="0" w:space="0" w:color="auto"/>
      </w:divBdr>
    </w:div>
    <w:div w:id="1042251428">
      <w:bodyDiv w:val="1"/>
      <w:marLeft w:val="0"/>
      <w:marRight w:val="0"/>
      <w:marTop w:val="0"/>
      <w:marBottom w:val="0"/>
      <w:divBdr>
        <w:top w:val="none" w:sz="0" w:space="0" w:color="auto"/>
        <w:left w:val="none" w:sz="0" w:space="0" w:color="auto"/>
        <w:bottom w:val="none" w:sz="0" w:space="0" w:color="auto"/>
        <w:right w:val="none" w:sz="0" w:space="0" w:color="auto"/>
      </w:divBdr>
    </w:div>
    <w:div w:id="1042361012">
      <w:bodyDiv w:val="1"/>
      <w:marLeft w:val="0"/>
      <w:marRight w:val="0"/>
      <w:marTop w:val="0"/>
      <w:marBottom w:val="0"/>
      <w:divBdr>
        <w:top w:val="none" w:sz="0" w:space="0" w:color="auto"/>
        <w:left w:val="none" w:sz="0" w:space="0" w:color="auto"/>
        <w:bottom w:val="none" w:sz="0" w:space="0" w:color="auto"/>
        <w:right w:val="none" w:sz="0" w:space="0" w:color="auto"/>
      </w:divBdr>
    </w:div>
    <w:div w:id="1043021027">
      <w:bodyDiv w:val="1"/>
      <w:marLeft w:val="0"/>
      <w:marRight w:val="0"/>
      <w:marTop w:val="0"/>
      <w:marBottom w:val="0"/>
      <w:divBdr>
        <w:top w:val="none" w:sz="0" w:space="0" w:color="auto"/>
        <w:left w:val="none" w:sz="0" w:space="0" w:color="auto"/>
        <w:bottom w:val="none" w:sz="0" w:space="0" w:color="auto"/>
        <w:right w:val="none" w:sz="0" w:space="0" w:color="auto"/>
      </w:divBdr>
    </w:div>
    <w:div w:id="1043289971">
      <w:bodyDiv w:val="1"/>
      <w:marLeft w:val="0"/>
      <w:marRight w:val="0"/>
      <w:marTop w:val="0"/>
      <w:marBottom w:val="0"/>
      <w:divBdr>
        <w:top w:val="none" w:sz="0" w:space="0" w:color="auto"/>
        <w:left w:val="none" w:sz="0" w:space="0" w:color="auto"/>
        <w:bottom w:val="none" w:sz="0" w:space="0" w:color="auto"/>
        <w:right w:val="none" w:sz="0" w:space="0" w:color="auto"/>
      </w:divBdr>
    </w:div>
    <w:div w:id="1043403913">
      <w:bodyDiv w:val="1"/>
      <w:marLeft w:val="0"/>
      <w:marRight w:val="0"/>
      <w:marTop w:val="0"/>
      <w:marBottom w:val="0"/>
      <w:divBdr>
        <w:top w:val="none" w:sz="0" w:space="0" w:color="auto"/>
        <w:left w:val="none" w:sz="0" w:space="0" w:color="auto"/>
        <w:bottom w:val="none" w:sz="0" w:space="0" w:color="auto"/>
        <w:right w:val="none" w:sz="0" w:space="0" w:color="auto"/>
      </w:divBdr>
    </w:div>
    <w:div w:id="1043407241">
      <w:bodyDiv w:val="1"/>
      <w:marLeft w:val="0"/>
      <w:marRight w:val="0"/>
      <w:marTop w:val="0"/>
      <w:marBottom w:val="0"/>
      <w:divBdr>
        <w:top w:val="none" w:sz="0" w:space="0" w:color="auto"/>
        <w:left w:val="none" w:sz="0" w:space="0" w:color="auto"/>
        <w:bottom w:val="none" w:sz="0" w:space="0" w:color="auto"/>
        <w:right w:val="none" w:sz="0" w:space="0" w:color="auto"/>
      </w:divBdr>
    </w:div>
    <w:div w:id="1043674010">
      <w:bodyDiv w:val="1"/>
      <w:marLeft w:val="0"/>
      <w:marRight w:val="0"/>
      <w:marTop w:val="0"/>
      <w:marBottom w:val="0"/>
      <w:divBdr>
        <w:top w:val="none" w:sz="0" w:space="0" w:color="auto"/>
        <w:left w:val="none" w:sz="0" w:space="0" w:color="auto"/>
        <w:bottom w:val="none" w:sz="0" w:space="0" w:color="auto"/>
        <w:right w:val="none" w:sz="0" w:space="0" w:color="auto"/>
      </w:divBdr>
    </w:div>
    <w:div w:id="1043945025">
      <w:bodyDiv w:val="1"/>
      <w:marLeft w:val="0"/>
      <w:marRight w:val="0"/>
      <w:marTop w:val="0"/>
      <w:marBottom w:val="0"/>
      <w:divBdr>
        <w:top w:val="none" w:sz="0" w:space="0" w:color="auto"/>
        <w:left w:val="none" w:sz="0" w:space="0" w:color="auto"/>
        <w:bottom w:val="none" w:sz="0" w:space="0" w:color="auto"/>
        <w:right w:val="none" w:sz="0" w:space="0" w:color="auto"/>
      </w:divBdr>
    </w:div>
    <w:div w:id="1043989884">
      <w:bodyDiv w:val="1"/>
      <w:marLeft w:val="0"/>
      <w:marRight w:val="0"/>
      <w:marTop w:val="0"/>
      <w:marBottom w:val="0"/>
      <w:divBdr>
        <w:top w:val="none" w:sz="0" w:space="0" w:color="auto"/>
        <w:left w:val="none" w:sz="0" w:space="0" w:color="auto"/>
        <w:bottom w:val="none" w:sz="0" w:space="0" w:color="auto"/>
        <w:right w:val="none" w:sz="0" w:space="0" w:color="auto"/>
      </w:divBdr>
    </w:div>
    <w:div w:id="1044257469">
      <w:bodyDiv w:val="1"/>
      <w:marLeft w:val="0"/>
      <w:marRight w:val="0"/>
      <w:marTop w:val="0"/>
      <w:marBottom w:val="0"/>
      <w:divBdr>
        <w:top w:val="none" w:sz="0" w:space="0" w:color="auto"/>
        <w:left w:val="none" w:sz="0" w:space="0" w:color="auto"/>
        <w:bottom w:val="none" w:sz="0" w:space="0" w:color="auto"/>
        <w:right w:val="none" w:sz="0" w:space="0" w:color="auto"/>
      </w:divBdr>
    </w:div>
    <w:div w:id="1044449031">
      <w:bodyDiv w:val="1"/>
      <w:marLeft w:val="0"/>
      <w:marRight w:val="0"/>
      <w:marTop w:val="0"/>
      <w:marBottom w:val="0"/>
      <w:divBdr>
        <w:top w:val="none" w:sz="0" w:space="0" w:color="auto"/>
        <w:left w:val="none" w:sz="0" w:space="0" w:color="auto"/>
        <w:bottom w:val="none" w:sz="0" w:space="0" w:color="auto"/>
        <w:right w:val="none" w:sz="0" w:space="0" w:color="auto"/>
      </w:divBdr>
    </w:div>
    <w:div w:id="1044479716">
      <w:bodyDiv w:val="1"/>
      <w:marLeft w:val="0"/>
      <w:marRight w:val="0"/>
      <w:marTop w:val="0"/>
      <w:marBottom w:val="0"/>
      <w:divBdr>
        <w:top w:val="none" w:sz="0" w:space="0" w:color="auto"/>
        <w:left w:val="none" w:sz="0" w:space="0" w:color="auto"/>
        <w:bottom w:val="none" w:sz="0" w:space="0" w:color="auto"/>
        <w:right w:val="none" w:sz="0" w:space="0" w:color="auto"/>
      </w:divBdr>
    </w:div>
    <w:div w:id="1044719895">
      <w:bodyDiv w:val="1"/>
      <w:marLeft w:val="0"/>
      <w:marRight w:val="0"/>
      <w:marTop w:val="0"/>
      <w:marBottom w:val="0"/>
      <w:divBdr>
        <w:top w:val="none" w:sz="0" w:space="0" w:color="auto"/>
        <w:left w:val="none" w:sz="0" w:space="0" w:color="auto"/>
        <w:bottom w:val="none" w:sz="0" w:space="0" w:color="auto"/>
        <w:right w:val="none" w:sz="0" w:space="0" w:color="auto"/>
      </w:divBdr>
    </w:div>
    <w:div w:id="1045256946">
      <w:bodyDiv w:val="1"/>
      <w:marLeft w:val="0"/>
      <w:marRight w:val="0"/>
      <w:marTop w:val="0"/>
      <w:marBottom w:val="0"/>
      <w:divBdr>
        <w:top w:val="none" w:sz="0" w:space="0" w:color="auto"/>
        <w:left w:val="none" w:sz="0" w:space="0" w:color="auto"/>
        <w:bottom w:val="none" w:sz="0" w:space="0" w:color="auto"/>
        <w:right w:val="none" w:sz="0" w:space="0" w:color="auto"/>
      </w:divBdr>
    </w:div>
    <w:div w:id="1045328346">
      <w:bodyDiv w:val="1"/>
      <w:marLeft w:val="0"/>
      <w:marRight w:val="0"/>
      <w:marTop w:val="0"/>
      <w:marBottom w:val="0"/>
      <w:divBdr>
        <w:top w:val="none" w:sz="0" w:space="0" w:color="auto"/>
        <w:left w:val="none" w:sz="0" w:space="0" w:color="auto"/>
        <w:bottom w:val="none" w:sz="0" w:space="0" w:color="auto"/>
        <w:right w:val="none" w:sz="0" w:space="0" w:color="auto"/>
      </w:divBdr>
    </w:div>
    <w:div w:id="1045645642">
      <w:bodyDiv w:val="1"/>
      <w:marLeft w:val="0"/>
      <w:marRight w:val="0"/>
      <w:marTop w:val="0"/>
      <w:marBottom w:val="0"/>
      <w:divBdr>
        <w:top w:val="none" w:sz="0" w:space="0" w:color="auto"/>
        <w:left w:val="none" w:sz="0" w:space="0" w:color="auto"/>
        <w:bottom w:val="none" w:sz="0" w:space="0" w:color="auto"/>
        <w:right w:val="none" w:sz="0" w:space="0" w:color="auto"/>
      </w:divBdr>
    </w:div>
    <w:div w:id="1045831825">
      <w:bodyDiv w:val="1"/>
      <w:marLeft w:val="0"/>
      <w:marRight w:val="0"/>
      <w:marTop w:val="0"/>
      <w:marBottom w:val="0"/>
      <w:divBdr>
        <w:top w:val="none" w:sz="0" w:space="0" w:color="auto"/>
        <w:left w:val="none" w:sz="0" w:space="0" w:color="auto"/>
        <w:bottom w:val="none" w:sz="0" w:space="0" w:color="auto"/>
        <w:right w:val="none" w:sz="0" w:space="0" w:color="auto"/>
      </w:divBdr>
    </w:div>
    <w:div w:id="1045837347">
      <w:bodyDiv w:val="1"/>
      <w:marLeft w:val="0"/>
      <w:marRight w:val="0"/>
      <w:marTop w:val="0"/>
      <w:marBottom w:val="0"/>
      <w:divBdr>
        <w:top w:val="none" w:sz="0" w:space="0" w:color="auto"/>
        <w:left w:val="none" w:sz="0" w:space="0" w:color="auto"/>
        <w:bottom w:val="none" w:sz="0" w:space="0" w:color="auto"/>
        <w:right w:val="none" w:sz="0" w:space="0" w:color="auto"/>
      </w:divBdr>
    </w:div>
    <w:div w:id="1045956964">
      <w:bodyDiv w:val="1"/>
      <w:marLeft w:val="0"/>
      <w:marRight w:val="0"/>
      <w:marTop w:val="0"/>
      <w:marBottom w:val="0"/>
      <w:divBdr>
        <w:top w:val="none" w:sz="0" w:space="0" w:color="auto"/>
        <w:left w:val="none" w:sz="0" w:space="0" w:color="auto"/>
        <w:bottom w:val="none" w:sz="0" w:space="0" w:color="auto"/>
        <w:right w:val="none" w:sz="0" w:space="0" w:color="auto"/>
      </w:divBdr>
    </w:div>
    <w:div w:id="1046301128">
      <w:bodyDiv w:val="1"/>
      <w:marLeft w:val="0"/>
      <w:marRight w:val="0"/>
      <w:marTop w:val="0"/>
      <w:marBottom w:val="0"/>
      <w:divBdr>
        <w:top w:val="none" w:sz="0" w:space="0" w:color="auto"/>
        <w:left w:val="none" w:sz="0" w:space="0" w:color="auto"/>
        <w:bottom w:val="none" w:sz="0" w:space="0" w:color="auto"/>
        <w:right w:val="none" w:sz="0" w:space="0" w:color="auto"/>
      </w:divBdr>
    </w:div>
    <w:div w:id="1046684697">
      <w:bodyDiv w:val="1"/>
      <w:marLeft w:val="0"/>
      <w:marRight w:val="0"/>
      <w:marTop w:val="0"/>
      <w:marBottom w:val="0"/>
      <w:divBdr>
        <w:top w:val="none" w:sz="0" w:space="0" w:color="auto"/>
        <w:left w:val="none" w:sz="0" w:space="0" w:color="auto"/>
        <w:bottom w:val="none" w:sz="0" w:space="0" w:color="auto"/>
        <w:right w:val="none" w:sz="0" w:space="0" w:color="auto"/>
      </w:divBdr>
    </w:div>
    <w:div w:id="1047266885">
      <w:bodyDiv w:val="1"/>
      <w:marLeft w:val="0"/>
      <w:marRight w:val="0"/>
      <w:marTop w:val="0"/>
      <w:marBottom w:val="0"/>
      <w:divBdr>
        <w:top w:val="none" w:sz="0" w:space="0" w:color="auto"/>
        <w:left w:val="none" w:sz="0" w:space="0" w:color="auto"/>
        <w:bottom w:val="none" w:sz="0" w:space="0" w:color="auto"/>
        <w:right w:val="none" w:sz="0" w:space="0" w:color="auto"/>
      </w:divBdr>
    </w:div>
    <w:div w:id="1047531073">
      <w:bodyDiv w:val="1"/>
      <w:marLeft w:val="0"/>
      <w:marRight w:val="0"/>
      <w:marTop w:val="0"/>
      <w:marBottom w:val="0"/>
      <w:divBdr>
        <w:top w:val="none" w:sz="0" w:space="0" w:color="auto"/>
        <w:left w:val="none" w:sz="0" w:space="0" w:color="auto"/>
        <w:bottom w:val="none" w:sz="0" w:space="0" w:color="auto"/>
        <w:right w:val="none" w:sz="0" w:space="0" w:color="auto"/>
      </w:divBdr>
    </w:div>
    <w:div w:id="1047871385">
      <w:bodyDiv w:val="1"/>
      <w:marLeft w:val="0"/>
      <w:marRight w:val="0"/>
      <w:marTop w:val="0"/>
      <w:marBottom w:val="0"/>
      <w:divBdr>
        <w:top w:val="none" w:sz="0" w:space="0" w:color="auto"/>
        <w:left w:val="none" w:sz="0" w:space="0" w:color="auto"/>
        <w:bottom w:val="none" w:sz="0" w:space="0" w:color="auto"/>
        <w:right w:val="none" w:sz="0" w:space="0" w:color="auto"/>
      </w:divBdr>
    </w:div>
    <w:div w:id="1048072562">
      <w:bodyDiv w:val="1"/>
      <w:marLeft w:val="0"/>
      <w:marRight w:val="0"/>
      <w:marTop w:val="0"/>
      <w:marBottom w:val="0"/>
      <w:divBdr>
        <w:top w:val="none" w:sz="0" w:space="0" w:color="auto"/>
        <w:left w:val="none" w:sz="0" w:space="0" w:color="auto"/>
        <w:bottom w:val="none" w:sz="0" w:space="0" w:color="auto"/>
        <w:right w:val="none" w:sz="0" w:space="0" w:color="auto"/>
      </w:divBdr>
    </w:div>
    <w:div w:id="1048073278">
      <w:bodyDiv w:val="1"/>
      <w:marLeft w:val="0"/>
      <w:marRight w:val="0"/>
      <w:marTop w:val="0"/>
      <w:marBottom w:val="0"/>
      <w:divBdr>
        <w:top w:val="none" w:sz="0" w:space="0" w:color="auto"/>
        <w:left w:val="none" w:sz="0" w:space="0" w:color="auto"/>
        <w:bottom w:val="none" w:sz="0" w:space="0" w:color="auto"/>
        <w:right w:val="none" w:sz="0" w:space="0" w:color="auto"/>
      </w:divBdr>
    </w:div>
    <w:div w:id="1048143544">
      <w:bodyDiv w:val="1"/>
      <w:marLeft w:val="0"/>
      <w:marRight w:val="0"/>
      <w:marTop w:val="0"/>
      <w:marBottom w:val="0"/>
      <w:divBdr>
        <w:top w:val="none" w:sz="0" w:space="0" w:color="auto"/>
        <w:left w:val="none" w:sz="0" w:space="0" w:color="auto"/>
        <w:bottom w:val="none" w:sz="0" w:space="0" w:color="auto"/>
        <w:right w:val="none" w:sz="0" w:space="0" w:color="auto"/>
      </w:divBdr>
    </w:div>
    <w:div w:id="1048259682">
      <w:bodyDiv w:val="1"/>
      <w:marLeft w:val="0"/>
      <w:marRight w:val="0"/>
      <w:marTop w:val="0"/>
      <w:marBottom w:val="0"/>
      <w:divBdr>
        <w:top w:val="none" w:sz="0" w:space="0" w:color="auto"/>
        <w:left w:val="none" w:sz="0" w:space="0" w:color="auto"/>
        <w:bottom w:val="none" w:sz="0" w:space="0" w:color="auto"/>
        <w:right w:val="none" w:sz="0" w:space="0" w:color="auto"/>
      </w:divBdr>
    </w:div>
    <w:div w:id="1048382396">
      <w:bodyDiv w:val="1"/>
      <w:marLeft w:val="0"/>
      <w:marRight w:val="0"/>
      <w:marTop w:val="0"/>
      <w:marBottom w:val="0"/>
      <w:divBdr>
        <w:top w:val="none" w:sz="0" w:space="0" w:color="auto"/>
        <w:left w:val="none" w:sz="0" w:space="0" w:color="auto"/>
        <w:bottom w:val="none" w:sz="0" w:space="0" w:color="auto"/>
        <w:right w:val="none" w:sz="0" w:space="0" w:color="auto"/>
      </w:divBdr>
    </w:div>
    <w:div w:id="1048453810">
      <w:bodyDiv w:val="1"/>
      <w:marLeft w:val="0"/>
      <w:marRight w:val="0"/>
      <w:marTop w:val="0"/>
      <w:marBottom w:val="0"/>
      <w:divBdr>
        <w:top w:val="none" w:sz="0" w:space="0" w:color="auto"/>
        <w:left w:val="none" w:sz="0" w:space="0" w:color="auto"/>
        <w:bottom w:val="none" w:sz="0" w:space="0" w:color="auto"/>
        <w:right w:val="none" w:sz="0" w:space="0" w:color="auto"/>
      </w:divBdr>
    </w:div>
    <w:div w:id="1048721132">
      <w:bodyDiv w:val="1"/>
      <w:marLeft w:val="0"/>
      <w:marRight w:val="0"/>
      <w:marTop w:val="0"/>
      <w:marBottom w:val="0"/>
      <w:divBdr>
        <w:top w:val="none" w:sz="0" w:space="0" w:color="auto"/>
        <w:left w:val="none" w:sz="0" w:space="0" w:color="auto"/>
        <w:bottom w:val="none" w:sz="0" w:space="0" w:color="auto"/>
        <w:right w:val="none" w:sz="0" w:space="0" w:color="auto"/>
      </w:divBdr>
    </w:div>
    <w:div w:id="1048841028">
      <w:bodyDiv w:val="1"/>
      <w:marLeft w:val="0"/>
      <w:marRight w:val="0"/>
      <w:marTop w:val="0"/>
      <w:marBottom w:val="0"/>
      <w:divBdr>
        <w:top w:val="none" w:sz="0" w:space="0" w:color="auto"/>
        <w:left w:val="none" w:sz="0" w:space="0" w:color="auto"/>
        <w:bottom w:val="none" w:sz="0" w:space="0" w:color="auto"/>
        <w:right w:val="none" w:sz="0" w:space="0" w:color="auto"/>
      </w:divBdr>
    </w:div>
    <w:div w:id="1048994145">
      <w:bodyDiv w:val="1"/>
      <w:marLeft w:val="0"/>
      <w:marRight w:val="0"/>
      <w:marTop w:val="0"/>
      <w:marBottom w:val="0"/>
      <w:divBdr>
        <w:top w:val="none" w:sz="0" w:space="0" w:color="auto"/>
        <w:left w:val="none" w:sz="0" w:space="0" w:color="auto"/>
        <w:bottom w:val="none" w:sz="0" w:space="0" w:color="auto"/>
        <w:right w:val="none" w:sz="0" w:space="0" w:color="auto"/>
      </w:divBdr>
    </w:div>
    <w:div w:id="1049377966">
      <w:bodyDiv w:val="1"/>
      <w:marLeft w:val="0"/>
      <w:marRight w:val="0"/>
      <w:marTop w:val="0"/>
      <w:marBottom w:val="0"/>
      <w:divBdr>
        <w:top w:val="none" w:sz="0" w:space="0" w:color="auto"/>
        <w:left w:val="none" w:sz="0" w:space="0" w:color="auto"/>
        <w:bottom w:val="none" w:sz="0" w:space="0" w:color="auto"/>
        <w:right w:val="none" w:sz="0" w:space="0" w:color="auto"/>
      </w:divBdr>
    </w:div>
    <w:div w:id="1049458088">
      <w:bodyDiv w:val="1"/>
      <w:marLeft w:val="0"/>
      <w:marRight w:val="0"/>
      <w:marTop w:val="0"/>
      <w:marBottom w:val="0"/>
      <w:divBdr>
        <w:top w:val="none" w:sz="0" w:space="0" w:color="auto"/>
        <w:left w:val="none" w:sz="0" w:space="0" w:color="auto"/>
        <w:bottom w:val="none" w:sz="0" w:space="0" w:color="auto"/>
        <w:right w:val="none" w:sz="0" w:space="0" w:color="auto"/>
      </w:divBdr>
    </w:div>
    <w:div w:id="1049916280">
      <w:bodyDiv w:val="1"/>
      <w:marLeft w:val="0"/>
      <w:marRight w:val="0"/>
      <w:marTop w:val="0"/>
      <w:marBottom w:val="0"/>
      <w:divBdr>
        <w:top w:val="none" w:sz="0" w:space="0" w:color="auto"/>
        <w:left w:val="none" w:sz="0" w:space="0" w:color="auto"/>
        <w:bottom w:val="none" w:sz="0" w:space="0" w:color="auto"/>
        <w:right w:val="none" w:sz="0" w:space="0" w:color="auto"/>
      </w:divBdr>
    </w:div>
    <w:div w:id="1050036296">
      <w:bodyDiv w:val="1"/>
      <w:marLeft w:val="0"/>
      <w:marRight w:val="0"/>
      <w:marTop w:val="0"/>
      <w:marBottom w:val="0"/>
      <w:divBdr>
        <w:top w:val="none" w:sz="0" w:space="0" w:color="auto"/>
        <w:left w:val="none" w:sz="0" w:space="0" w:color="auto"/>
        <w:bottom w:val="none" w:sz="0" w:space="0" w:color="auto"/>
        <w:right w:val="none" w:sz="0" w:space="0" w:color="auto"/>
      </w:divBdr>
    </w:div>
    <w:div w:id="1050692307">
      <w:bodyDiv w:val="1"/>
      <w:marLeft w:val="0"/>
      <w:marRight w:val="0"/>
      <w:marTop w:val="0"/>
      <w:marBottom w:val="0"/>
      <w:divBdr>
        <w:top w:val="none" w:sz="0" w:space="0" w:color="auto"/>
        <w:left w:val="none" w:sz="0" w:space="0" w:color="auto"/>
        <w:bottom w:val="none" w:sz="0" w:space="0" w:color="auto"/>
        <w:right w:val="none" w:sz="0" w:space="0" w:color="auto"/>
      </w:divBdr>
    </w:div>
    <w:div w:id="1050836200">
      <w:bodyDiv w:val="1"/>
      <w:marLeft w:val="0"/>
      <w:marRight w:val="0"/>
      <w:marTop w:val="0"/>
      <w:marBottom w:val="0"/>
      <w:divBdr>
        <w:top w:val="none" w:sz="0" w:space="0" w:color="auto"/>
        <w:left w:val="none" w:sz="0" w:space="0" w:color="auto"/>
        <w:bottom w:val="none" w:sz="0" w:space="0" w:color="auto"/>
        <w:right w:val="none" w:sz="0" w:space="0" w:color="auto"/>
      </w:divBdr>
    </w:div>
    <w:div w:id="1051080264">
      <w:bodyDiv w:val="1"/>
      <w:marLeft w:val="0"/>
      <w:marRight w:val="0"/>
      <w:marTop w:val="0"/>
      <w:marBottom w:val="0"/>
      <w:divBdr>
        <w:top w:val="none" w:sz="0" w:space="0" w:color="auto"/>
        <w:left w:val="none" w:sz="0" w:space="0" w:color="auto"/>
        <w:bottom w:val="none" w:sz="0" w:space="0" w:color="auto"/>
        <w:right w:val="none" w:sz="0" w:space="0" w:color="auto"/>
      </w:divBdr>
    </w:div>
    <w:div w:id="1051266118">
      <w:bodyDiv w:val="1"/>
      <w:marLeft w:val="0"/>
      <w:marRight w:val="0"/>
      <w:marTop w:val="0"/>
      <w:marBottom w:val="0"/>
      <w:divBdr>
        <w:top w:val="none" w:sz="0" w:space="0" w:color="auto"/>
        <w:left w:val="none" w:sz="0" w:space="0" w:color="auto"/>
        <w:bottom w:val="none" w:sz="0" w:space="0" w:color="auto"/>
        <w:right w:val="none" w:sz="0" w:space="0" w:color="auto"/>
      </w:divBdr>
    </w:div>
    <w:div w:id="1051341051">
      <w:bodyDiv w:val="1"/>
      <w:marLeft w:val="0"/>
      <w:marRight w:val="0"/>
      <w:marTop w:val="0"/>
      <w:marBottom w:val="0"/>
      <w:divBdr>
        <w:top w:val="none" w:sz="0" w:space="0" w:color="auto"/>
        <w:left w:val="none" w:sz="0" w:space="0" w:color="auto"/>
        <w:bottom w:val="none" w:sz="0" w:space="0" w:color="auto"/>
        <w:right w:val="none" w:sz="0" w:space="0" w:color="auto"/>
      </w:divBdr>
    </w:div>
    <w:div w:id="1051345322">
      <w:bodyDiv w:val="1"/>
      <w:marLeft w:val="0"/>
      <w:marRight w:val="0"/>
      <w:marTop w:val="0"/>
      <w:marBottom w:val="0"/>
      <w:divBdr>
        <w:top w:val="none" w:sz="0" w:space="0" w:color="auto"/>
        <w:left w:val="none" w:sz="0" w:space="0" w:color="auto"/>
        <w:bottom w:val="none" w:sz="0" w:space="0" w:color="auto"/>
        <w:right w:val="none" w:sz="0" w:space="0" w:color="auto"/>
      </w:divBdr>
    </w:div>
    <w:div w:id="1051733205">
      <w:bodyDiv w:val="1"/>
      <w:marLeft w:val="0"/>
      <w:marRight w:val="0"/>
      <w:marTop w:val="0"/>
      <w:marBottom w:val="0"/>
      <w:divBdr>
        <w:top w:val="none" w:sz="0" w:space="0" w:color="auto"/>
        <w:left w:val="none" w:sz="0" w:space="0" w:color="auto"/>
        <w:bottom w:val="none" w:sz="0" w:space="0" w:color="auto"/>
        <w:right w:val="none" w:sz="0" w:space="0" w:color="auto"/>
      </w:divBdr>
    </w:div>
    <w:div w:id="1052580842">
      <w:bodyDiv w:val="1"/>
      <w:marLeft w:val="0"/>
      <w:marRight w:val="0"/>
      <w:marTop w:val="0"/>
      <w:marBottom w:val="0"/>
      <w:divBdr>
        <w:top w:val="none" w:sz="0" w:space="0" w:color="auto"/>
        <w:left w:val="none" w:sz="0" w:space="0" w:color="auto"/>
        <w:bottom w:val="none" w:sz="0" w:space="0" w:color="auto"/>
        <w:right w:val="none" w:sz="0" w:space="0" w:color="auto"/>
      </w:divBdr>
    </w:div>
    <w:div w:id="1052776246">
      <w:bodyDiv w:val="1"/>
      <w:marLeft w:val="0"/>
      <w:marRight w:val="0"/>
      <w:marTop w:val="0"/>
      <w:marBottom w:val="0"/>
      <w:divBdr>
        <w:top w:val="none" w:sz="0" w:space="0" w:color="auto"/>
        <w:left w:val="none" w:sz="0" w:space="0" w:color="auto"/>
        <w:bottom w:val="none" w:sz="0" w:space="0" w:color="auto"/>
        <w:right w:val="none" w:sz="0" w:space="0" w:color="auto"/>
      </w:divBdr>
    </w:div>
    <w:div w:id="1052849350">
      <w:bodyDiv w:val="1"/>
      <w:marLeft w:val="0"/>
      <w:marRight w:val="0"/>
      <w:marTop w:val="0"/>
      <w:marBottom w:val="0"/>
      <w:divBdr>
        <w:top w:val="none" w:sz="0" w:space="0" w:color="auto"/>
        <w:left w:val="none" w:sz="0" w:space="0" w:color="auto"/>
        <w:bottom w:val="none" w:sz="0" w:space="0" w:color="auto"/>
        <w:right w:val="none" w:sz="0" w:space="0" w:color="auto"/>
      </w:divBdr>
    </w:div>
    <w:div w:id="1053116356">
      <w:bodyDiv w:val="1"/>
      <w:marLeft w:val="0"/>
      <w:marRight w:val="0"/>
      <w:marTop w:val="0"/>
      <w:marBottom w:val="0"/>
      <w:divBdr>
        <w:top w:val="none" w:sz="0" w:space="0" w:color="auto"/>
        <w:left w:val="none" w:sz="0" w:space="0" w:color="auto"/>
        <w:bottom w:val="none" w:sz="0" w:space="0" w:color="auto"/>
        <w:right w:val="none" w:sz="0" w:space="0" w:color="auto"/>
      </w:divBdr>
    </w:div>
    <w:div w:id="1053232769">
      <w:bodyDiv w:val="1"/>
      <w:marLeft w:val="0"/>
      <w:marRight w:val="0"/>
      <w:marTop w:val="0"/>
      <w:marBottom w:val="0"/>
      <w:divBdr>
        <w:top w:val="none" w:sz="0" w:space="0" w:color="auto"/>
        <w:left w:val="none" w:sz="0" w:space="0" w:color="auto"/>
        <w:bottom w:val="none" w:sz="0" w:space="0" w:color="auto"/>
        <w:right w:val="none" w:sz="0" w:space="0" w:color="auto"/>
      </w:divBdr>
    </w:div>
    <w:div w:id="1053315443">
      <w:bodyDiv w:val="1"/>
      <w:marLeft w:val="0"/>
      <w:marRight w:val="0"/>
      <w:marTop w:val="0"/>
      <w:marBottom w:val="0"/>
      <w:divBdr>
        <w:top w:val="none" w:sz="0" w:space="0" w:color="auto"/>
        <w:left w:val="none" w:sz="0" w:space="0" w:color="auto"/>
        <w:bottom w:val="none" w:sz="0" w:space="0" w:color="auto"/>
        <w:right w:val="none" w:sz="0" w:space="0" w:color="auto"/>
      </w:divBdr>
    </w:div>
    <w:div w:id="1053626126">
      <w:bodyDiv w:val="1"/>
      <w:marLeft w:val="0"/>
      <w:marRight w:val="0"/>
      <w:marTop w:val="0"/>
      <w:marBottom w:val="0"/>
      <w:divBdr>
        <w:top w:val="none" w:sz="0" w:space="0" w:color="auto"/>
        <w:left w:val="none" w:sz="0" w:space="0" w:color="auto"/>
        <w:bottom w:val="none" w:sz="0" w:space="0" w:color="auto"/>
        <w:right w:val="none" w:sz="0" w:space="0" w:color="auto"/>
      </w:divBdr>
    </w:div>
    <w:div w:id="1053699243">
      <w:bodyDiv w:val="1"/>
      <w:marLeft w:val="0"/>
      <w:marRight w:val="0"/>
      <w:marTop w:val="0"/>
      <w:marBottom w:val="0"/>
      <w:divBdr>
        <w:top w:val="none" w:sz="0" w:space="0" w:color="auto"/>
        <w:left w:val="none" w:sz="0" w:space="0" w:color="auto"/>
        <w:bottom w:val="none" w:sz="0" w:space="0" w:color="auto"/>
        <w:right w:val="none" w:sz="0" w:space="0" w:color="auto"/>
      </w:divBdr>
    </w:div>
    <w:div w:id="1053843627">
      <w:bodyDiv w:val="1"/>
      <w:marLeft w:val="0"/>
      <w:marRight w:val="0"/>
      <w:marTop w:val="0"/>
      <w:marBottom w:val="0"/>
      <w:divBdr>
        <w:top w:val="none" w:sz="0" w:space="0" w:color="auto"/>
        <w:left w:val="none" w:sz="0" w:space="0" w:color="auto"/>
        <w:bottom w:val="none" w:sz="0" w:space="0" w:color="auto"/>
        <w:right w:val="none" w:sz="0" w:space="0" w:color="auto"/>
      </w:divBdr>
    </w:div>
    <w:div w:id="1054088465">
      <w:bodyDiv w:val="1"/>
      <w:marLeft w:val="0"/>
      <w:marRight w:val="0"/>
      <w:marTop w:val="0"/>
      <w:marBottom w:val="0"/>
      <w:divBdr>
        <w:top w:val="none" w:sz="0" w:space="0" w:color="auto"/>
        <w:left w:val="none" w:sz="0" w:space="0" w:color="auto"/>
        <w:bottom w:val="none" w:sz="0" w:space="0" w:color="auto"/>
        <w:right w:val="none" w:sz="0" w:space="0" w:color="auto"/>
      </w:divBdr>
    </w:div>
    <w:div w:id="1054619135">
      <w:bodyDiv w:val="1"/>
      <w:marLeft w:val="0"/>
      <w:marRight w:val="0"/>
      <w:marTop w:val="0"/>
      <w:marBottom w:val="0"/>
      <w:divBdr>
        <w:top w:val="none" w:sz="0" w:space="0" w:color="auto"/>
        <w:left w:val="none" w:sz="0" w:space="0" w:color="auto"/>
        <w:bottom w:val="none" w:sz="0" w:space="0" w:color="auto"/>
        <w:right w:val="none" w:sz="0" w:space="0" w:color="auto"/>
      </w:divBdr>
    </w:div>
    <w:div w:id="1055007237">
      <w:bodyDiv w:val="1"/>
      <w:marLeft w:val="0"/>
      <w:marRight w:val="0"/>
      <w:marTop w:val="0"/>
      <w:marBottom w:val="0"/>
      <w:divBdr>
        <w:top w:val="none" w:sz="0" w:space="0" w:color="auto"/>
        <w:left w:val="none" w:sz="0" w:space="0" w:color="auto"/>
        <w:bottom w:val="none" w:sz="0" w:space="0" w:color="auto"/>
        <w:right w:val="none" w:sz="0" w:space="0" w:color="auto"/>
      </w:divBdr>
    </w:div>
    <w:div w:id="1055161928">
      <w:bodyDiv w:val="1"/>
      <w:marLeft w:val="0"/>
      <w:marRight w:val="0"/>
      <w:marTop w:val="0"/>
      <w:marBottom w:val="0"/>
      <w:divBdr>
        <w:top w:val="none" w:sz="0" w:space="0" w:color="auto"/>
        <w:left w:val="none" w:sz="0" w:space="0" w:color="auto"/>
        <w:bottom w:val="none" w:sz="0" w:space="0" w:color="auto"/>
        <w:right w:val="none" w:sz="0" w:space="0" w:color="auto"/>
      </w:divBdr>
    </w:div>
    <w:div w:id="1055588901">
      <w:bodyDiv w:val="1"/>
      <w:marLeft w:val="0"/>
      <w:marRight w:val="0"/>
      <w:marTop w:val="0"/>
      <w:marBottom w:val="0"/>
      <w:divBdr>
        <w:top w:val="none" w:sz="0" w:space="0" w:color="auto"/>
        <w:left w:val="none" w:sz="0" w:space="0" w:color="auto"/>
        <w:bottom w:val="none" w:sz="0" w:space="0" w:color="auto"/>
        <w:right w:val="none" w:sz="0" w:space="0" w:color="auto"/>
      </w:divBdr>
    </w:div>
    <w:div w:id="1055809722">
      <w:bodyDiv w:val="1"/>
      <w:marLeft w:val="0"/>
      <w:marRight w:val="0"/>
      <w:marTop w:val="0"/>
      <w:marBottom w:val="0"/>
      <w:divBdr>
        <w:top w:val="none" w:sz="0" w:space="0" w:color="auto"/>
        <w:left w:val="none" w:sz="0" w:space="0" w:color="auto"/>
        <w:bottom w:val="none" w:sz="0" w:space="0" w:color="auto"/>
        <w:right w:val="none" w:sz="0" w:space="0" w:color="auto"/>
      </w:divBdr>
    </w:div>
    <w:div w:id="1055927575">
      <w:bodyDiv w:val="1"/>
      <w:marLeft w:val="0"/>
      <w:marRight w:val="0"/>
      <w:marTop w:val="0"/>
      <w:marBottom w:val="0"/>
      <w:divBdr>
        <w:top w:val="none" w:sz="0" w:space="0" w:color="auto"/>
        <w:left w:val="none" w:sz="0" w:space="0" w:color="auto"/>
        <w:bottom w:val="none" w:sz="0" w:space="0" w:color="auto"/>
        <w:right w:val="none" w:sz="0" w:space="0" w:color="auto"/>
      </w:divBdr>
    </w:div>
    <w:div w:id="1055935639">
      <w:bodyDiv w:val="1"/>
      <w:marLeft w:val="0"/>
      <w:marRight w:val="0"/>
      <w:marTop w:val="0"/>
      <w:marBottom w:val="0"/>
      <w:divBdr>
        <w:top w:val="none" w:sz="0" w:space="0" w:color="auto"/>
        <w:left w:val="none" w:sz="0" w:space="0" w:color="auto"/>
        <w:bottom w:val="none" w:sz="0" w:space="0" w:color="auto"/>
        <w:right w:val="none" w:sz="0" w:space="0" w:color="auto"/>
      </w:divBdr>
    </w:div>
    <w:div w:id="1056395451">
      <w:bodyDiv w:val="1"/>
      <w:marLeft w:val="0"/>
      <w:marRight w:val="0"/>
      <w:marTop w:val="0"/>
      <w:marBottom w:val="0"/>
      <w:divBdr>
        <w:top w:val="none" w:sz="0" w:space="0" w:color="auto"/>
        <w:left w:val="none" w:sz="0" w:space="0" w:color="auto"/>
        <w:bottom w:val="none" w:sz="0" w:space="0" w:color="auto"/>
        <w:right w:val="none" w:sz="0" w:space="0" w:color="auto"/>
      </w:divBdr>
    </w:div>
    <w:div w:id="1056969733">
      <w:bodyDiv w:val="1"/>
      <w:marLeft w:val="0"/>
      <w:marRight w:val="0"/>
      <w:marTop w:val="0"/>
      <w:marBottom w:val="0"/>
      <w:divBdr>
        <w:top w:val="none" w:sz="0" w:space="0" w:color="auto"/>
        <w:left w:val="none" w:sz="0" w:space="0" w:color="auto"/>
        <w:bottom w:val="none" w:sz="0" w:space="0" w:color="auto"/>
        <w:right w:val="none" w:sz="0" w:space="0" w:color="auto"/>
      </w:divBdr>
    </w:div>
    <w:div w:id="1057120077">
      <w:bodyDiv w:val="1"/>
      <w:marLeft w:val="0"/>
      <w:marRight w:val="0"/>
      <w:marTop w:val="0"/>
      <w:marBottom w:val="0"/>
      <w:divBdr>
        <w:top w:val="none" w:sz="0" w:space="0" w:color="auto"/>
        <w:left w:val="none" w:sz="0" w:space="0" w:color="auto"/>
        <w:bottom w:val="none" w:sz="0" w:space="0" w:color="auto"/>
        <w:right w:val="none" w:sz="0" w:space="0" w:color="auto"/>
      </w:divBdr>
    </w:div>
    <w:div w:id="1058474443">
      <w:bodyDiv w:val="1"/>
      <w:marLeft w:val="0"/>
      <w:marRight w:val="0"/>
      <w:marTop w:val="0"/>
      <w:marBottom w:val="0"/>
      <w:divBdr>
        <w:top w:val="none" w:sz="0" w:space="0" w:color="auto"/>
        <w:left w:val="none" w:sz="0" w:space="0" w:color="auto"/>
        <w:bottom w:val="none" w:sz="0" w:space="0" w:color="auto"/>
        <w:right w:val="none" w:sz="0" w:space="0" w:color="auto"/>
      </w:divBdr>
    </w:div>
    <w:div w:id="1058936107">
      <w:bodyDiv w:val="1"/>
      <w:marLeft w:val="0"/>
      <w:marRight w:val="0"/>
      <w:marTop w:val="0"/>
      <w:marBottom w:val="0"/>
      <w:divBdr>
        <w:top w:val="none" w:sz="0" w:space="0" w:color="auto"/>
        <w:left w:val="none" w:sz="0" w:space="0" w:color="auto"/>
        <w:bottom w:val="none" w:sz="0" w:space="0" w:color="auto"/>
        <w:right w:val="none" w:sz="0" w:space="0" w:color="auto"/>
      </w:divBdr>
    </w:div>
    <w:div w:id="1059062080">
      <w:bodyDiv w:val="1"/>
      <w:marLeft w:val="0"/>
      <w:marRight w:val="0"/>
      <w:marTop w:val="0"/>
      <w:marBottom w:val="0"/>
      <w:divBdr>
        <w:top w:val="none" w:sz="0" w:space="0" w:color="auto"/>
        <w:left w:val="none" w:sz="0" w:space="0" w:color="auto"/>
        <w:bottom w:val="none" w:sz="0" w:space="0" w:color="auto"/>
        <w:right w:val="none" w:sz="0" w:space="0" w:color="auto"/>
      </w:divBdr>
    </w:div>
    <w:div w:id="1059400444">
      <w:bodyDiv w:val="1"/>
      <w:marLeft w:val="0"/>
      <w:marRight w:val="0"/>
      <w:marTop w:val="0"/>
      <w:marBottom w:val="0"/>
      <w:divBdr>
        <w:top w:val="none" w:sz="0" w:space="0" w:color="auto"/>
        <w:left w:val="none" w:sz="0" w:space="0" w:color="auto"/>
        <w:bottom w:val="none" w:sz="0" w:space="0" w:color="auto"/>
        <w:right w:val="none" w:sz="0" w:space="0" w:color="auto"/>
      </w:divBdr>
    </w:div>
    <w:div w:id="1059405529">
      <w:bodyDiv w:val="1"/>
      <w:marLeft w:val="0"/>
      <w:marRight w:val="0"/>
      <w:marTop w:val="0"/>
      <w:marBottom w:val="0"/>
      <w:divBdr>
        <w:top w:val="none" w:sz="0" w:space="0" w:color="auto"/>
        <w:left w:val="none" w:sz="0" w:space="0" w:color="auto"/>
        <w:bottom w:val="none" w:sz="0" w:space="0" w:color="auto"/>
        <w:right w:val="none" w:sz="0" w:space="0" w:color="auto"/>
      </w:divBdr>
    </w:div>
    <w:div w:id="1059474970">
      <w:bodyDiv w:val="1"/>
      <w:marLeft w:val="0"/>
      <w:marRight w:val="0"/>
      <w:marTop w:val="0"/>
      <w:marBottom w:val="0"/>
      <w:divBdr>
        <w:top w:val="none" w:sz="0" w:space="0" w:color="auto"/>
        <w:left w:val="none" w:sz="0" w:space="0" w:color="auto"/>
        <w:bottom w:val="none" w:sz="0" w:space="0" w:color="auto"/>
        <w:right w:val="none" w:sz="0" w:space="0" w:color="auto"/>
      </w:divBdr>
    </w:div>
    <w:div w:id="1059549747">
      <w:bodyDiv w:val="1"/>
      <w:marLeft w:val="0"/>
      <w:marRight w:val="0"/>
      <w:marTop w:val="0"/>
      <w:marBottom w:val="0"/>
      <w:divBdr>
        <w:top w:val="none" w:sz="0" w:space="0" w:color="auto"/>
        <w:left w:val="none" w:sz="0" w:space="0" w:color="auto"/>
        <w:bottom w:val="none" w:sz="0" w:space="0" w:color="auto"/>
        <w:right w:val="none" w:sz="0" w:space="0" w:color="auto"/>
      </w:divBdr>
    </w:div>
    <w:div w:id="1060522968">
      <w:bodyDiv w:val="1"/>
      <w:marLeft w:val="0"/>
      <w:marRight w:val="0"/>
      <w:marTop w:val="0"/>
      <w:marBottom w:val="0"/>
      <w:divBdr>
        <w:top w:val="none" w:sz="0" w:space="0" w:color="auto"/>
        <w:left w:val="none" w:sz="0" w:space="0" w:color="auto"/>
        <w:bottom w:val="none" w:sz="0" w:space="0" w:color="auto"/>
        <w:right w:val="none" w:sz="0" w:space="0" w:color="auto"/>
      </w:divBdr>
    </w:div>
    <w:div w:id="1060908321">
      <w:bodyDiv w:val="1"/>
      <w:marLeft w:val="0"/>
      <w:marRight w:val="0"/>
      <w:marTop w:val="0"/>
      <w:marBottom w:val="0"/>
      <w:divBdr>
        <w:top w:val="none" w:sz="0" w:space="0" w:color="auto"/>
        <w:left w:val="none" w:sz="0" w:space="0" w:color="auto"/>
        <w:bottom w:val="none" w:sz="0" w:space="0" w:color="auto"/>
        <w:right w:val="none" w:sz="0" w:space="0" w:color="auto"/>
      </w:divBdr>
    </w:div>
    <w:div w:id="1061103240">
      <w:bodyDiv w:val="1"/>
      <w:marLeft w:val="0"/>
      <w:marRight w:val="0"/>
      <w:marTop w:val="0"/>
      <w:marBottom w:val="0"/>
      <w:divBdr>
        <w:top w:val="none" w:sz="0" w:space="0" w:color="auto"/>
        <w:left w:val="none" w:sz="0" w:space="0" w:color="auto"/>
        <w:bottom w:val="none" w:sz="0" w:space="0" w:color="auto"/>
        <w:right w:val="none" w:sz="0" w:space="0" w:color="auto"/>
      </w:divBdr>
    </w:div>
    <w:div w:id="1061244742">
      <w:bodyDiv w:val="1"/>
      <w:marLeft w:val="0"/>
      <w:marRight w:val="0"/>
      <w:marTop w:val="0"/>
      <w:marBottom w:val="0"/>
      <w:divBdr>
        <w:top w:val="none" w:sz="0" w:space="0" w:color="auto"/>
        <w:left w:val="none" w:sz="0" w:space="0" w:color="auto"/>
        <w:bottom w:val="none" w:sz="0" w:space="0" w:color="auto"/>
        <w:right w:val="none" w:sz="0" w:space="0" w:color="auto"/>
      </w:divBdr>
    </w:div>
    <w:div w:id="1061247088">
      <w:bodyDiv w:val="1"/>
      <w:marLeft w:val="0"/>
      <w:marRight w:val="0"/>
      <w:marTop w:val="0"/>
      <w:marBottom w:val="0"/>
      <w:divBdr>
        <w:top w:val="none" w:sz="0" w:space="0" w:color="auto"/>
        <w:left w:val="none" w:sz="0" w:space="0" w:color="auto"/>
        <w:bottom w:val="none" w:sz="0" w:space="0" w:color="auto"/>
        <w:right w:val="none" w:sz="0" w:space="0" w:color="auto"/>
      </w:divBdr>
    </w:div>
    <w:div w:id="1061364143">
      <w:bodyDiv w:val="1"/>
      <w:marLeft w:val="0"/>
      <w:marRight w:val="0"/>
      <w:marTop w:val="0"/>
      <w:marBottom w:val="0"/>
      <w:divBdr>
        <w:top w:val="none" w:sz="0" w:space="0" w:color="auto"/>
        <w:left w:val="none" w:sz="0" w:space="0" w:color="auto"/>
        <w:bottom w:val="none" w:sz="0" w:space="0" w:color="auto"/>
        <w:right w:val="none" w:sz="0" w:space="0" w:color="auto"/>
      </w:divBdr>
    </w:div>
    <w:div w:id="1061753777">
      <w:bodyDiv w:val="1"/>
      <w:marLeft w:val="0"/>
      <w:marRight w:val="0"/>
      <w:marTop w:val="0"/>
      <w:marBottom w:val="0"/>
      <w:divBdr>
        <w:top w:val="none" w:sz="0" w:space="0" w:color="auto"/>
        <w:left w:val="none" w:sz="0" w:space="0" w:color="auto"/>
        <w:bottom w:val="none" w:sz="0" w:space="0" w:color="auto"/>
        <w:right w:val="none" w:sz="0" w:space="0" w:color="auto"/>
      </w:divBdr>
    </w:div>
    <w:div w:id="1061832343">
      <w:bodyDiv w:val="1"/>
      <w:marLeft w:val="0"/>
      <w:marRight w:val="0"/>
      <w:marTop w:val="0"/>
      <w:marBottom w:val="0"/>
      <w:divBdr>
        <w:top w:val="none" w:sz="0" w:space="0" w:color="auto"/>
        <w:left w:val="none" w:sz="0" w:space="0" w:color="auto"/>
        <w:bottom w:val="none" w:sz="0" w:space="0" w:color="auto"/>
        <w:right w:val="none" w:sz="0" w:space="0" w:color="auto"/>
      </w:divBdr>
    </w:div>
    <w:div w:id="1063138467">
      <w:bodyDiv w:val="1"/>
      <w:marLeft w:val="0"/>
      <w:marRight w:val="0"/>
      <w:marTop w:val="0"/>
      <w:marBottom w:val="0"/>
      <w:divBdr>
        <w:top w:val="none" w:sz="0" w:space="0" w:color="auto"/>
        <w:left w:val="none" w:sz="0" w:space="0" w:color="auto"/>
        <w:bottom w:val="none" w:sz="0" w:space="0" w:color="auto"/>
        <w:right w:val="none" w:sz="0" w:space="0" w:color="auto"/>
      </w:divBdr>
    </w:div>
    <w:div w:id="1064066751">
      <w:bodyDiv w:val="1"/>
      <w:marLeft w:val="0"/>
      <w:marRight w:val="0"/>
      <w:marTop w:val="0"/>
      <w:marBottom w:val="0"/>
      <w:divBdr>
        <w:top w:val="none" w:sz="0" w:space="0" w:color="auto"/>
        <w:left w:val="none" w:sz="0" w:space="0" w:color="auto"/>
        <w:bottom w:val="none" w:sz="0" w:space="0" w:color="auto"/>
        <w:right w:val="none" w:sz="0" w:space="0" w:color="auto"/>
      </w:divBdr>
    </w:div>
    <w:div w:id="1064332829">
      <w:bodyDiv w:val="1"/>
      <w:marLeft w:val="0"/>
      <w:marRight w:val="0"/>
      <w:marTop w:val="0"/>
      <w:marBottom w:val="0"/>
      <w:divBdr>
        <w:top w:val="none" w:sz="0" w:space="0" w:color="auto"/>
        <w:left w:val="none" w:sz="0" w:space="0" w:color="auto"/>
        <w:bottom w:val="none" w:sz="0" w:space="0" w:color="auto"/>
        <w:right w:val="none" w:sz="0" w:space="0" w:color="auto"/>
      </w:divBdr>
    </w:div>
    <w:div w:id="1064524761">
      <w:bodyDiv w:val="1"/>
      <w:marLeft w:val="0"/>
      <w:marRight w:val="0"/>
      <w:marTop w:val="0"/>
      <w:marBottom w:val="0"/>
      <w:divBdr>
        <w:top w:val="none" w:sz="0" w:space="0" w:color="auto"/>
        <w:left w:val="none" w:sz="0" w:space="0" w:color="auto"/>
        <w:bottom w:val="none" w:sz="0" w:space="0" w:color="auto"/>
        <w:right w:val="none" w:sz="0" w:space="0" w:color="auto"/>
      </w:divBdr>
    </w:div>
    <w:div w:id="1064640153">
      <w:bodyDiv w:val="1"/>
      <w:marLeft w:val="0"/>
      <w:marRight w:val="0"/>
      <w:marTop w:val="0"/>
      <w:marBottom w:val="0"/>
      <w:divBdr>
        <w:top w:val="none" w:sz="0" w:space="0" w:color="auto"/>
        <w:left w:val="none" w:sz="0" w:space="0" w:color="auto"/>
        <w:bottom w:val="none" w:sz="0" w:space="0" w:color="auto"/>
        <w:right w:val="none" w:sz="0" w:space="0" w:color="auto"/>
      </w:divBdr>
    </w:div>
    <w:div w:id="1064719668">
      <w:bodyDiv w:val="1"/>
      <w:marLeft w:val="0"/>
      <w:marRight w:val="0"/>
      <w:marTop w:val="0"/>
      <w:marBottom w:val="0"/>
      <w:divBdr>
        <w:top w:val="none" w:sz="0" w:space="0" w:color="auto"/>
        <w:left w:val="none" w:sz="0" w:space="0" w:color="auto"/>
        <w:bottom w:val="none" w:sz="0" w:space="0" w:color="auto"/>
        <w:right w:val="none" w:sz="0" w:space="0" w:color="auto"/>
      </w:divBdr>
    </w:div>
    <w:div w:id="1065448399">
      <w:bodyDiv w:val="1"/>
      <w:marLeft w:val="0"/>
      <w:marRight w:val="0"/>
      <w:marTop w:val="0"/>
      <w:marBottom w:val="0"/>
      <w:divBdr>
        <w:top w:val="none" w:sz="0" w:space="0" w:color="auto"/>
        <w:left w:val="none" w:sz="0" w:space="0" w:color="auto"/>
        <w:bottom w:val="none" w:sz="0" w:space="0" w:color="auto"/>
        <w:right w:val="none" w:sz="0" w:space="0" w:color="auto"/>
      </w:divBdr>
    </w:div>
    <w:div w:id="1065493507">
      <w:bodyDiv w:val="1"/>
      <w:marLeft w:val="0"/>
      <w:marRight w:val="0"/>
      <w:marTop w:val="0"/>
      <w:marBottom w:val="0"/>
      <w:divBdr>
        <w:top w:val="none" w:sz="0" w:space="0" w:color="auto"/>
        <w:left w:val="none" w:sz="0" w:space="0" w:color="auto"/>
        <w:bottom w:val="none" w:sz="0" w:space="0" w:color="auto"/>
        <w:right w:val="none" w:sz="0" w:space="0" w:color="auto"/>
      </w:divBdr>
    </w:div>
    <w:div w:id="1065563561">
      <w:bodyDiv w:val="1"/>
      <w:marLeft w:val="0"/>
      <w:marRight w:val="0"/>
      <w:marTop w:val="0"/>
      <w:marBottom w:val="0"/>
      <w:divBdr>
        <w:top w:val="none" w:sz="0" w:space="0" w:color="auto"/>
        <w:left w:val="none" w:sz="0" w:space="0" w:color="auto"/>
        <w:bottom w:val="none" w:sz="0" w:space="0" w:color="auto"/>
        <w:right w:val="none" w:sz="0" w:space="0" w:color="auto"/>
      </w:divBdr>
    </w:div>
    <w:div w:id="1066100359">
      <w:bodyDiv w:val="1"/>
      <w:marLeft w:val="0"/>
      <w:marRight w:val="0"/>
      <w:marTop w:val="0"/>
      <w:marBottom w:val="0"/>
      <w:divBdr>
        <w:top w:val="none" w:sz="0" w:space="0" w:color="auto"/>
        <w:left w:val="none" w:sz="0" w:space="0" w:color="auto"/>
        <w:bottom w:val="none" w:sz="0" w:space="0" w:color="auto"/>
        <w:right w:val="none" w:sz="0" w:space="0" w:color="auto"/>
      </w:divBdr>
    </w:div>
    <w:div w:id="1066143220">
      <w:bodyDiv w:val="1"/>
      <w:marLeft w:val="0"/>
      <w:marRight w:val="0"/>
      <w:marTop w:val="0"/>
      <w:marBottom w:val="0"/>
      <w:divBdr>
        <w:top w:val="none" w:sz="0" w:space="0" w:color="auto"/>
        <w:left w:val="none" w:sz="0" w:space="0" w:color="auto"/>
        <w:bottom w:val="none" w:sz="0" w:space="0" w:color="auto"/>
        <w:right w:val="none" w:sz="0" w:space="0" w:color="auto"/>
      </w:divBdr>
    </w:div>
    <w:div w:id="1066680823">
      <w:bodyDiv w:val="1"/>
      <w:marLeft w:val="0"/>
      <w:marRight w:val="0"/>
      <w:marTop w:val="0"/>
      <w:marBottom w:val="0"/>
      <w:divBdr>
        <w:top w:val="none" w:sz="0" w:space="0" w:color="auto"/>
        <w:left w:val="none" w:sz="0" w:space="0" w:color="auto"/>
        <w:bottom w:val="none" w:sz="0" w:space="0" w:color="auto"/>
        <w:right w:val="none" w:sz="0" w:space="0" w:color="auto"/>
      </w:divBdr>
    </w:div>
    <w:div w:id="1066800006">
      <w:bodyDiv w:val="1"/>
      <w:marLeft w:val="0"/>
      <w:marRight w:val="0"/>
      <w:marTop w:val="0"/>
      <w:marBottom w:val="0"/>
      <w:divBdr>
        <w:top w:val="none" w:sz="0" w:space="0" w:color="auto"/>
        <w:left w:val="none" w:sz="0" w:space="0" w:color="auto"/>
        <w:bottom w:val="none" w:sz="0" w:space="0" w:color="auto"/>
        <w:right w:val="none" w:sz="0" w:space="0" w:color="auto"/>
      </w:divBdr>
    </w:div>
    <w:div w:id="1067147741">
      <w:bodyDiv w:val="1"/>
      <w:marLeft w:val="0"/>
      <w:marRight w:val="0"/>
      <w:marTop w:val="0"/>
      <w:marBottom w:val="0"/>
      <w:divBdr>
        <w:top w:val="none" w:sz="0" w:space="0" w:color="auto"/>
        <w:left w:val="none" w:sz="0" w:space="0" w:color="auto"/>
        <w:bottom w:val="none" w:sz="0" w:space="0" w:color="auto"/>
        <w:right w:val="none" w:sz="0" w:space="0" w:color="auto"/>
      </w:divBdr>
    </w:div>
    <w:div w:id="1067262805">
      <w:bodyDiv w:val="1"/>
      <w:marLeft w:val="0"/>
      <w:marRight w:val="0"/>
      <w:marTop w:val="0"/>
      <w:marBottom w:val="0"/>
      <w:divBdr>
        <w:top w:val="none" w:sz="0" w:space="0" w:color="auto"/>
        <w:left w:val="none" w:sz="0" w:space="0" w:color="auto"/>
        <w:bottom w:val="none" w:sz="0" w:space="0" w:color="auto"/>
        <w:right w:val="none" w:sz="0" w:space="0" w:color="auto"/>
      </w:divBdr>
    </w:div>
    <w:div w:id="1067417010">
      <w:bodyDiv w:val="1"/>
      <w:marLeft w:val="0"/>
      <w:marRight w:val="0"/>
      <w:marTop w:val="0"/>
      <w:marBottom w:val="0"/>
      <w:divBdr>
        <w:top w:val="none" w:sz="0" w:space="0" w:color="auto"/>
        <w:left w:val="none" w:sz="0" w:space="0" w:color="auto"/>
        <w:bottom w:val="none" w:sz="0" w:space="0" w:color="auto"/>
        <w:right w:val="none" w:sz="0" w:space="0" w:color="auto"/>
      </w:divBdr>
    </w:div>
    <w:div w:id="1067455764">
      <w:bodyDiv w:val="1"/>
      <w:marLeft w:val="0"/>
      <w:marRight w:val="0"/>
      <w:marTop w:val="0"/>
      <w:marBottom w:val="0"/>
      <w:divBdr>
        <w:top w:val="none" w:sz="0" w:space="0" w:color="auto"/>
        <w:left w:val="none" w:sz="0" w:space="0" w:color="auto"/>
        <w:bottom w:val="none" w:sz="0" w:space="0" w:color="auto"/>
        <w:right w:val="none" w:sz="0" w:space="0" w:color="auto"/>
      </w:divBdr>
    </w:div>
    <w:div w:id="1067459728">
      <w:bodyDiv w:val="1"/>
      <w:marLeft w:val="0"/>
      <w:marRight w:val="0"/>
      <w:marTop w:val="0"/>
      <w:marBottom w:val="0"/>
      <w:divBdr>
        <w:top w:val="none" w:sz="0" w:space="0" w:color="auto"/>
        <w:left w:val="none" w:sz="0" w:space="0" w:color="auto"/>
        <w:bottom w:val="none" w:sz="0" w:space="0" w:color="auto"/>
        <w:right w:val="none" w:sz="0" w:space="0" w:color="auto"/>
      </w:divBdr>
    </w:div>
    <w:div w:id="1067655463">
      <w:bodyDiv w:val="1"/>
      <w:marLeft w:val="0"/>
      <w:marRight w:val="0"/>
      <w:marTop w:val="0"/>
      <w:marBottom w:val="0"/>
      <w:divBdr>
        <w:top w:val="none" w:sz="0" w:space="0" w:color="auto"/>
        <w:left w:val="none" w:sz="0" w:space="0" w:color="auto"/>
        <w:bottom w:val="none" w:sz="0" w:space="0" w:color="auto"/>
        <w:right w:val="none" w:sz="0" w:space="0" w:color="auto"/>
      </w:divBdr>
    </w:div>
    <w:div w:id="1068725084">
      <w:bodyDiv w:val="1"/>
      <w:marLeft w:val="0"/>
      <w:marRight w:val="0"/>
      <w:marTop w:val="0"/>
      <w:marBottom w:val="0"/>
      <w:divBdr>
        <w:top w:val="none" w:sz="0" w:space="0" w:color="auto"/>
        <w:left w:val="none" w:sz="0" w:space="0" w:color="auto"/>
        <w:bottom w:val="none" w:sz="0" w:space="0" w:color="auto"/>
        <w:right w:val="none" w:sz="0" w:space="0" w:color="auto"/>
      </w:divBdr>
    </w:div>
    <w:div w:id="1069377496">
      <w:bodyDiv w:val="1"/>
      <w:marLeft w:val="0"/>
      <w:marRight w:val="0"/>
      <w:marTop w:val="0"/>
      <w:marBottom w:val="0"/>
      <w:divBdr>
        <w:top w:val="none" w:sz="0" w:space="0" w:color="auto"/>
        <w:left w:val="none" w:sz="0" w:space="0" w:color="auto"/>
        <w:bottom w:val="none" w:sz="0" w:space="0" w:color="auto"/>
        <w:right w:val="none" w:sz="0" w:space="0" w:color="auto"/>
      </w:divBdr>
    </w:div>
    <w:div w:id="1069618688">
      <w:bodyDiv w:val="1"/>
      <w:marLeft w:val="0"/>
      <w:marRight w:val="0"/>
      <w:marTop w:val="0"/>
      <w:marBottom w:val="0"/>
      <w:divBdr>
        <w:top w:val="none" w:sz="0" w:space="0" w:color="auto"/>
        <w:left w:val="none" w:sz="0" w:space="0" w:color="auto"/>
        <w:bottom w:val="none" w:sz="0" w:space="0" w:color="auto"/>
        <w:right w:val="none" w:sz="0" w:space="0" w:color="auto"/>
      </w:divBdr>
    </w:div>
    <w:div w:id="1069881275">
      <w:bodyDiv w:val="1"/>
      <w:marLeft w:val="0"/>
      <w:marRight w:val="0"/>
      <w:marTop w:val="0"/>
      <w:marBottom w:val="0"/>
      <w:divBdr>
        <w:top w:val="none" w:sz="0" w:space="0" w:color="auto"/>
        <w:left w:val="none" w:sz="0" w:space="0" w:color="auto"/>
        <w:bottom w:val="none" w:sz="0" w:space="0" w:color="auto"/>
        <w:right w:val="none" w:sz="0" w:space="0" w:color="auto"/>
      </w:divBdr>
    </w:div>
    <w:div w:id="1070078468">
      <w:bodyDiv w:val="1"/>
      <w:marLeft w:val="0"/>
      <w:marRight w:val="0"/>
      <w:marTop w:val="0"/>
      <w:marBottom w:val="0"/>
      <w:divBdr>
        <w:top w:val="none" w:sz="0" w:space="0" w:color="auto"/>
        <w:left w:val="none" w:sz="0" w:space="0" w:color="auto"/>
        <w:bottom w:val="none" w:sz="0" w:space="0" w:color="auto"/>
        <w:right w:val="none" w:sz="0" w:space="0" w:color="auto"/>
      </w:divBdr>
    </w:div>
    <w:div w:id="1070229994">
      <w:bodyDiv w:val="1"/>
      <w:marLeft w:val="0"/>
      <w:marRight w:val="0"/>
      <w:marTop w:val="0"/>
      <w:marBottom w:val="0"/>
      <w:divBdr>
        <w:top w:val="none" w:sz="0" w:space="0" w:color="auto"/>
        <w:left w:val="none" w:sz="0" w:space="0" w:color="auto"/>
        <w:bottom w:val="none" w:sz="0" w:space="0" w:color="auto"/>
        <w:right w:val="none" w:sz="0" w:space="0" w:color="auto"/>
      </w:divBdr>
    </w:div>
    <w:div w:id="1070542172">
      <w:bodyDiv w:val="1"/>
      <w:marLeft w:val="0"/>
      <w:marRight w:val="0"/>
      <w:marTop w:val="0"/>
      <w:marBottom w:val="0"/>
      <w:divBdr>
        <w:top w:val="none" w:sz="0" w:space="0" w:color="auto"/>
        <w:left w:val="none" w:sz="0" w:space="0" w:color="auto"/>
        <w:bottom w:val="none" w:sz="0" w:space="0" w:color="auto"/>
        <w:right w:val="none" w:sz="0" w:space="0" w:color="auto"/>
      </w:divBdr>
    </w:div>
    <w:div w:id="1070813861">
      <w:bodyDiv w:val="1"/>
      <w:marLeft w:val="0"/>
      <w:marRight w:val="0"/>
      <w:marTop w:val="0"/>
      <w:marBottom w:val="0"/>
      <w:divBdr>
        <w:top w:val="none" w:sz="0" w:space="0" w:color="auto"/>
        <w:left w:val="none" w:sz="0" w:space="0" w:color="auto"/>
        <w:bottom w:val="none" w:sz="0" w:space="0" w:color="auto"/>
        <w:right w:val="none" w:sz="0" w:space="0" w:color="auto"/>
      </w:divBdr>
    </w:div>
    <w:div w:id="1071538232">
      <w:bodyDiv w:val="1"/>
      <w:marLeft w:val="0"/>
      <w:marRight w:val="0"/>
      <w:marTop w:val="0"/>
      <w:marBottom w:val="0"/>
      <w:divBdr>
        <w:top w:val="none" w:sz="0" w:space="0" w:color="auto"/>
        <w:left w:val="none" w:sz="0" w:space="0" w:color="auto"/>
        <w:bottom w:val="none" w:sz="0" w:space="0" w:color="auto"/>
        <w:right w:val="none" w:sz="0" w:space="0" w:color="auto"/>
      </w:divBdr>
    </w:div>
    <w:div w:id="1071736374">
      <w:bodyDiv w:val="1"/>
      <w:marLeft w:val="0"/>
      <w:marRight w:val="0"/>
      <w:marTop w:val="0"/>
      <w:marBottom w:val="0"/>
      <w:divBdr>
        <w:top w:val="none" w:sz="0" w:space="0" w:color="auto"/>
        <w:left w:val="none" w:sz="0" w:space="0" w:color="auto"/>
        <w:bottom w:val="none" w:sz="0" w:space="0" w:color="auto"/>
        <w:right w:val="none" w:sz="0" w:space="0" w:color="auto"/>
      </w:divBdr>
    </w:div>
    <w:div w:id="1071925597">
      <w:bodyDiv w:val="1"/>
      <w:marLeft w:val="0"/>
      <w:marRight w:val="0"/>
      <w:marTop w:val="0"/>
      <w:marBottom w:val="0"/>
      <w:divBdr>
        <w:top w:val="none" w:sz="0" w:space="0" w:color="auto"/>
        <w:left w:val="none" w:sz="0" w:space="0" w:color="auto"/>
        <w:bottom w:val="none" w:sz="0" w:space="0" w:color="auto"/>
        <w:right w:val="none" w:sz="0" w:space="0" w:color="auto"/>
      </w:divBdr>
    </w:div>
    <w:div w:id="1071925741">
      <w:bodyDiv w:val="1"/>
      <w:marLeft w:val="0"/>
      <w:marRight w:val="0"/>
      <w:marTop w:val="0"/>
      <w:marBottom w:val="0"/>
      <w:divBdr>
        <w:top w:val="none" w:sz="0" w:space="0" w:color="auto"/>
        <w:left w:val="none" w:sz="0" w:space="0" w:color="auto"/>
        <w:bottom w:val="none" w:sz="0" w:space="0" w:color="auto"/>
        <w:right w:val="none" w:sz="0" w:space="0" w:color="auto"/>
      </w:divBdr>
    </w:div>
    <w:div w:id="1072235811">
      <w:bodyDiv w:val="1"/>
      <w:marLeft w:val="0"/>
      <w:marRight w:val="0"/>
      <w:marTop w:val="0"/>
      <w:marBottom w:val="0"/>
      <w:divBdr>
        <w:top w:val="none" w:sz="0" w:space="0" w:color="auto"/>
        <w:left w:val="none" w:sz="0" w:space="0" w:color="auto"/>
        <w:bottom w:val="none" w:sz="0" w:space="0" w:color="auto"/>
        <w:right w:val="none" w:sz="0" w:space="0" w:color="auto"/>
      </w:divBdr>
    </w:div>
    <w:div w:id="1072436263">
      <w:bodyDiv w:val="1"/>
      <w:marLeft w:val="0"/>
      <w:marRight w:val="0"/>
      <w:marTop w:val="0"/>
      <w:marBottom w:val="0"/>
      <w:divBdr>
        <w:top w:val="none" w:sz="0" w:space="0" w:color="auto"/>
        <w:left w:val="none" w:sz="0" w:space="0" w:color="auto"/>
        <w:bottom w:val="none" w:sz="0" w:space="0" w:color="auto"/>
        <w:right w:val="none" w:sz="0" w:space="0" w:color="auto"/>
      </w:divBdr>
    </w:div>
    <w:div w:id="1072506067">
      <w:bodyDiv w:val="1"/>
      <w:marLeft w:val="0"/>
      <w:marRight w:val="0"/>
      <w:marTop w:val="0"/>
      <w:marBottom w:val="0"/>
      <w:divBdr>
        <w:top w:val="none" w:sz="0" w:space="0" w:color="auto"/>
        <w:left w:val="none" w:sz="0" w:space="0" w:color="auto"/>
        <w:bottom w:val="none" w:sz="0" w:space="0" w:color="auto"/>
        <w:right w:val="none" w:sz="0" w:space="0" w:color="auto"/>
      </w:divBdr>
    </w:div>
    <w:div w:id="1072506551">
      <w:bodyDiv w:val="1"/>
      <w:marLeft w:val="0"/>
      <w:marRight w:val="0"/>
      <w:marTop w:val="0"/>
      <w:marBottom w:val="0"/>
      <w:divBdr>
        <w:top w:val="none" w:sz="0" w:space="0" w:color="auto"/>
        <w:left w:val="none" w:sz="0" w:space="0" w:color="auto"/>
        <w:bottom w:val="none" w:sz="0" w:space="0" w:color="auto"/>
        <w:right w:val="none" w:sz="0" w:space="0" w:color="auto"/>
      </w:divBdr>
    </w:div>
    <w:div w:id="1072578599">
      <w:bodyDiv w:val="1"/>
      <w:marLeft w:val="0"/>
      <w:marRight w:val="0"/>
      <w:marTop w:val="0"/>
      <w:marBottom w:val="0"/>
      <w:divBdr>
        <w:top w:val="none" w:sz="0" w:space="0" w:color="auto"/>
        <w:left w:val="none" w:sz="0" w:space="0" w:color="auto"/>
        <w:bottom w:val="none" w:sz="0" w:space="0" w:color="auto"/>
        <w:right w:val="none" w:sz="0" w:space="0" w:color="auto"/>
      </w:divBdr>
    </w:div>
    <w:div w:id="1072890285">
      <w:bodyDiv w:val="1"/>
      <w:marLeft w:val="0"/>
      <w:marRight w:val="0"/>
      <w:marTop w:val="0"/>
      <w:marBottom w:val="0"/>
      <w:divBdr>
        <w:top w:val="none" w:sz="0" w:space="0" w:color="auto"/>
        <w:left w:val="none" w:sz="0" w:space="0" w:color="auto"/>
        <w:bottom w:val="none" w:sz="0" w:space="0" w:color="auto"/>
        <w:right w:val="none" w:sz="0" w:space="0" w:color="auto"/>
      </w:divBdr>
    </w:div>
    <w:div w:id="1072892507">
      <w:bodyDiv w:val="1"/>
      <w:marLeft w:val="0"/>
      <w:marRight w:val="0"/>
      <w:marTop w:val="0"/>
      <w:marBottom w:val="0"/>
      <w:divBdr>
        <w:top w:val="none" w:sz="0" w:space="0" w:color="auto"/>
        <w:left w:val="none" w:sz="0" w:space="0" w:color="auto"/>
        <w:bottom w:val="none" w:sz="0" w:space="0" w:color="auto"/>
        <w:right w:val="none" w:sz="0" w:space="0" w:color="auto"/>
      </w:divBdr>
    </w:div>
    <w:div w:id="1072895737">
      <w:bodyDiv w:val="1"/>
      <w:marLeft w:val="0"/>
      <w:marRight w:val="0"/>
      <w:marTop w:val="0"/>
      <w:marBottom w:val="0"/>
      <w:divBdr>
        <w:top w:val="none" w:sz="0" w:space="0" w:color="auto"/>
        <w:left w:val="none" w:sz="0" w:space="0" w:color="auto"/>
        <w:bottom w:val="none" w:sz="0" w:space="0" w:color="auto"/>
        <w:right w:val="none" w:sz="0" w:space="0" w:color="auto"/>
      </w:divBdr>
    </w:div>
    <w:div w:id="1073551672">
      <w:bodyDiv w:val="1"/>
      <w:marLeft w:val="0"/>
      <w:marRight w:val="0"/>
      <w:marTop w:val="0"/>
      <w:marBottom w:val="0"/>
      <w:divBdr>
        <w:top w:val="none" w:sz="0" w:space="0" w:color="auto"/>
        <w:left w:val="none" w:sz="0" w:space="0" w:color="auto"/>
        <w:bottom w:val="none" w:sz="0" w:space="0" w:color="auto"/>
        <w:right w:val="none" w:sz="0" w:space="0" w:color="auto"/>
      </w:divBdr>
    </w:div>
    <w:div w:id="1074935222">
      <w:bodyDiv w:val="1"/>
      <w:marLeft w:val="0"/>
      <w:marRight w:val="0"/>
      <w:marTop w:val="0"/>
      <w:marBottom w:val="0"/>
      <w:divBdr>
        <w:top w:val="none" w:sz="0" w:space="0" w:color="auto"/>
        <w:left w:val="none" w:sz="0" w:space="0" w:color="auto"/>
        <w:bottom w:val="none" w:sz="0" w:space="0" w:color="auto"/>
        <w:right w:val="none" w:sz="0" w:space="0" w:color="auto"/>
      </w:divBdr>
    </w:div>
    <w:div w:id="1075737687">
      <w:bodyDiv w:val="1"/>
      <w:marLeft w:val="0"/>
      <w:marRight w:val="0"/>
      <w:marTop w:val="0"/>
      <w:marBottom w:val="0"/>
      <w:divBdr>
        <w:top w:val="none" w:sz="0" w:space="0" w:color="auto"/>
        <w:left w:val="none" w:sz="0" w:space="0" w:color="auto"/>
        <w:bottom w:val="none" w:sz="0" w:space="0" w:color="auto"/>
        <w:right w:val="none" w:sz="0" w:space="0" w:color="auto"/>
      </w:divBdr>
    </w:div>
    <w:div w:id="1076515125">
      <w:bodyDiv w:val="1"/>
      <w:marLeft w:val="0"/>
      <w:marRight w:val="0"/>
      <w:marTop w:val="0"/>
      <w:marBottom w:val="0"/>
      <w:divBdr>
        <w:top w:val="none" w:sz="0" w:space="0" w:color="auto"/>
        <w:left w:val="none" w:sz="0" w:space="0" w:color="auto"/>
        <w:bottom w:val="none" w:sz="0" w:space="0" w:color="auto"/>
        <w:right w:val="none" w:sz="0" w:space="0" w:color="auto"/>
      </w:divBdr>
    </w:div>
    <w:div w:id="1076787007">
      <w:bodyDiv w:val="1"/>
      <w:marLeft w:val="0"/>
      <w:marRight w:val="0"/>
      <w:marTop w:val="0"/>
      <w:marBottom w:val="0"/>
      <w:divBdr>
        <w:top w:val="none" w:sz="0" w:space="0" w:color="auto"/>
        <w:left w:val="none" w:sz="0" w:space="0" w:color="auto"/>
        <w:bottom w:val="none" w:sz="0" w:space="0" w:color="auto"/>
        <w:right w:val="none" w:sz="0" w:space="0" w:color="auto"/>
      </w:divBdr>
    </w:div>
    <w:div w:id="1076904081">
      <w:bodyDiv w:val="1"/>
      <w:marLeft w:val="0"/>
      <w:marRight w:val="0"/>
      <w:marTop w:val="0"/>
      <w:marBottom w:val="0"/>
      <w:divBdr>
        <w:top w:val="none" w:sz="0" w:space="0" w:color="auto"/>
        <w:left w:val="none" w:sz="0" w:space="0" w:color="auto"/>
        <w:bottom w:val="none" w:sz="0" w:space="0" w:color="auto"/>
        <w:right w:val="none" w:sz="0" w:space="0" w:color="auto"/>
      </w:divBdr>
    </w:div>
    <w:div w:id="1077169565">
      <w:bodyDiv w:val="1"/>
      <w:marLeft w:val="0"/>
      <w:marRight w:val="0"/>
      <w:marTop w:val="0"/>
      <w:marBottom w:val="0"/>
      <w:divBdr>
        <w:top w:val="none" w:sz="0" w:space="0" w:color="auto"/>
        <w:left w:val="none" w:sz="0" w:space="0" w:color="auto"/>
        <w:bottom w:val="none" w:sz="0" w:space="0" w:color="auto"/>
        <w:right w:val="none" w:sz="0" w:space="0" w:color="auto"/>
      </w:divBdr>
    </w:div>
    <w:div w:id="1077288587">
      <w:bodyDiv w:val="1"/>
      <w:marLeft w:val="0"/>
      <w:marRight w:val="0"/>
      <w:marTop w:val="0"/>
      <w:marBottom w:val="0"/>
      <w:divBdr>
        <w:top w:val="none" w:sz="0" w:space="0" w:color="auto"/>
        <w:left w:val="none" w:sz="0" w:space="0" w:color="auto"/>
        <w:bottom w:val="none" w:sz="0" w:space="0" w:color="auto"/>
        <w:right w:val="none" w:sz="0" w:space="0" w:color="auto"/>
      </w:divBdr>
    </w:div>
    <w:div w:id="1077439026">
      <w:bodyDiv w:val="1"/>
      <w:marLeft w:val="0"/>
      <w:marRight w:val="0"/>
      <w:marTop w:val="0"/>
      <w:marBottom w:val="0"/>
      <w:divBdr>
        <w:top w:val="none" w:sz="0" w:space="0" w:color="auto"/>
        <w:left w:val="none" w:sz="0" w:space="0" w:color="auto"/>
        <w:bottom w:val="none" w:sz="0" w:space="0" w:color="auto"/>
        <w:right w:val="none" w:sz="0" w:space="0" w:color="auto"/>
      </w:divBdr>
    </w:div>
    <w:div w:id="1077484863">
      <w:bodyDiv w:val="1"/>
      <w:marLeft w:val="0"/>
      <w:marRight w:val="0"/>
      <w:marTop w:val="0"/>
      <w:marBottom w:val="0"/>
      <w:divBdr>
        <w:top w:val="none" w:sz="0" w:space="0" w:color="auto"/>
        <w:left w:val="none" w:sz="0" w:space="0" w:color="auto"/>
        <w:bottom w:val="none" w:sz="0" w:space="0" w:color="auto"/>
        <w:right w:val="none" w:sz="0" w:space="0" w:color="auto"/>
      </w:divBdr>
    </w:div>
    <w:div w:id="1080062731">
      <w:bodyDiv w:val="1"/>
      <w:marLeft w:val="0"/>
      <w:marRight w:val="0"/>
      <w:marTop w:val="0"/>
      <w:marBottom w:val="0"/>
      <w:divBdr>
        <w:top w:val="none" w:sz="0" w:space="0" w:color="auto"/>
        <w:left w:val="none" w:sz="0" w:space="0" w:color="auto"/>
        <w:bottom w:val="none" w:sz="0" w:space="0" w:color="auto"/>
        <w:right w:val="none" w:sz="0" w:space="0" w:color="auto"/>
      </w:divBdr>
    </w:div>
    <w:div w:id="1080173483">
      <w:bodyDiv w:val="1"/>
      <w:marLeft w:val="0"/>
      <w:marRight w:val="0"/>
      <w:marTop w:val="0"/>
      <w:marBottom w:val="0"/>
      <w:divBdr>
        <w:top w:val="none" w:sz="0" w:space="0" w:color="auto"/>
        <w:left w:val="none" w:sz="0" w:space="0" w:color="auto"/>
        <w:bottom w:val="none" w:sz="0" w:space="0" w:color="auto"/>
        <w:right w:val="none" w:sz="0" w:space="0" w:color="auto"/>
      </w:divBdr>
    </w:div>
    <w:div w:id="1080255000">
      <w:bodyDiv w:val="1"/>
      <w:marLeft w:val="0"/>
      <w:marRight w:val="0"/>
      <w:marTop w:val="0"/>
      <w:marBottom w:val="0"/>
      <w:divBdr>
        <w:top w:val="none" w:sz="0" w:space="0" w:color="auto"/>
        <w:left w:val="none" w:sz="0" w:space="0" w:color="auto"/>
        <w:bottom w:val="none" w:sz="0" w:space="0" w:color="auto"/>
        <w:right w:val="none" w:sz="0" w:space="0" w:color="auto"/>
      </w:divBdr>
    </w:div>
    <w:div w:id="1080643478">
      <w:bodyDiv w:val="1"/>
      <w:marLeft w:val="0"/>
      <w:marRight w:val="0"/>
      <w:marTop w:val="0"/>
      <w:marBottom w:val="0"/>
      <w:divBdr>
        <w:top w:val="none" w:sz="0" w:space="0" w:color="auto"/>
        <w:left w:val="none" w:sz="0" w:space="0" w:color="auto"/>
        <w:bottom w:val="none" w:sz="0" w:space="0" w:color="auto"/>
        <w:right w:val="none" w:sz="0" w:space="0" w:color="auto"/>
      </w:divBdr>
    </w:div>
    <w:div w:id="1080719088">
      <w:bodyDiv w:val="1"/>
      <w:marLeft w:val="0"/>
      <w:marRight w:val="0"/>
      <w:marTop w:val="0"/>
      <w:marBottom w:val="0"/>
      <w:divBdr>
        <w:top w:val="none" w:sz="0" w:space="0" w:color="auto"/>
        <w:left w:val="none" w:sz="0" w:space="0" w:color="auto"/>
        <w:bottom w:val="none" w:sz="0" w:space="0" w:color="auto"/>
        <w:right w:val="none" w:sz="0" w:space="0" w:color="auto"/>
      </w:divBdr>
    </w:div>
    <w:div w:id="1080910584">
      <w:bodyDiv w:val="1"/>
      <w:marLeft w:val="0"/>
      <w:marRight w:val="0"/>
      <w:marTop w:val="0"/>
      <w:marBottom w:val="0"/>
      <w:divBdr>
        <w:top w:val="none" w:sz="0" w:space="0" w:color="auto"/>
        <w:left w:val="none" w:sz="0" w:space="0" w:color="auto"/>
        <w:bottom w:val="none" w:sz="0" w:space="0" w:color="auto"/>
        <w:right w:val="none" w:sz="0" w:space="0" w:color="auto"/>
      </w:divBdr>
    </w:div>
    <w:div w:id="1081760189">
      <w:bodyDiv w:val="1"/>
      <w:marLeft w:val="0"/>
      <w:marRight w:val="0"/>
      <w:marTop w:val="0"/>
      <w:marBottom w:val="0"/>
      <w:divBdr>
        <w:top w:val="none" w:sz="0" w:space="0" w:color="auto"/>
        <w:left w:val="none" w:sz="0" w:space="0" w:color="auto"/>
        <w:bottom w:val="none" w:sz="0" w:space="0" w:color="auto"/>
        <w:right w:val="none" w:sz="0" w:space="0" w:color="auto"/>
      </w:divBdr>
    </w:div>
    <w:div w:id="1081871281">
      <w:bodyDiv w:val="1"/>
      <w:marLeft w:val="0"/>
      <w:marRight w:val="0"/>
      <w:marTop w:val="0"/>
      <w:marBottom w:val="0"/>
      <w:divBdr>
        <w:top w:val="none" w:sz="0" w:space="0" w:color="auto"/>
        <w:left w:val="none" w:sz="0" w:space="0" w:color="auto"/>
        <w:bottom w:val="none" w:sz="0" w:space="0" w:color="auto"/>
        <w:right w:val="none" w:sz="0" w:space="0" w:color="auto"/>
      </w:divBdr>
    </w:div>
    <w:div w:id="1082339398">
      <w:bodyDiv w:val="1"/>
      <w:marLeft w:val="0"/>
      <w:marRight w:val="0"/>
      <w:marTop w:val="0"/>
      <w:marBottom w:val="0"/>
      <w:divBdr>
        <w:top w:val="none" w:sz="0" w:space="0" w:color="auto"/>
        <w:left w:val="none" w:sz="0" w:space="0" w:color="auto"/>
        <w:bottom w:val="none" w:sz="0" w:space="0" w:color="auto"/>
        <w:right w:val="none" w:sz="0" w:space="0" w:color="auto"/>
      </w:divBdr>
    </w:div>
    <w:div w:id="1082797553">
      <w:bodyDiv w:val="1"/>
      <w:marLeft w:val="0"/>
      <w:marRight w:val="0"/>
      <w:marTop w:val="0"/>
      <w:marBottom w:val="0"/>
      <w:divBdr>
        <w:top w:val="none" w:sz="0" w:space="0" w:color="auto"/>
        <w:left w:val="none" w:sz="0" w:space="0" w:color="auto"/>
        <w:bottom w:val="none" w:sz="0" w:space="0" w:color="auto"/>
        <w:right w:val="none" w:sz="0" w:space="0" w:color="auto"/>
      </w:divBdr>
    </w:div>
    <w:div w:id="1082919414">
      <w:bodyDiv w:val="1"/>
      <w:marLeft w:val="0"/>
      <w:marRight w:val="0"/>
      <w:marTop w:val="0"/>
      <w:marBottom w:val="0"/>
      <w:divBdr>
        <w:top w:val="none" w:sz="0" w:space="0" w:color="auto"/>
        <w:left w:val="none" w:sz="0" w:space="0" w:color="auto"/>
        <w:bottom w:val="none" w:sz="0" w:space="0" w:color="auto"/>
        <w:right w:val="none" w:sz="0" w:space="0" w:color="auto"/>
      </w:divBdr>
    </w:div>
    <w:div w:id="1082993239">
      <w:bodyDiv w:val="1"/>
      <w:marLeft w:val="0"/>
      <w:marRight w:val="0"/>
      <w:marTop w:val="0"/>
      <w:marBottom w:val="0"/>
      <w:divBdr>
        <w:top w:val="none" w:sz="0" w:space="0" w:color="auto"/>
        <w:left w:val="none" w:sz="0" w:space="0" w:color="auto"/>
        <w:bottom w:val="none" w:sz="0" w:space="0" w:color="auto"/>
        <w:right w:val="none" w:sz="0" w:space="0" w:color="auto"/>
      </w:divBdr>
    </w:div>
    <w:div w:id="1083335657">
      <w:bodyDiv w:val="1"/>
      <w:marLeft w:val="0"/>
      <w:marRight w:val="0"/>
      <w:marTop w:val="0"/>
      <w:marBottom w:val="0"/>
      <w:divBdr>
        <w:top w:val="none" w:sz="0" w:space="0" w:color="auto"/>
        <w:left w:val="none" w:sz="0" w:space="0" w:color="auto"/>
        <w:bottom w:val="none" w:sz="0" w:space="0" w:color="auto"/>
        <w:right w:val="none" w:sz="0" w:space="0" w:color="auto"/>
      </w:divBdr>
    </w:div>
    <w:div w:id="1083338300">
      <w:bodyDiv w:val="1"/>
      <w:marLeft w:val="0"/>
      <w:marRight w:val="0"/>
      <w:marTop w:val="0"/>
      <w:marBottom w:val="0"/>
      <w:divBdr>
        <w:top w:val="none" w:sz="0" w:space="0" w:color="auto"/>
        <w:left w:val="none" w:sz="0" w:space="0" w:color="auto"/>
        <w:bottom w:val="none" w:sz="0" w:space="0" w:color="auto"/>
        <w:right w:val="none" w:sz="0" w:space="0" w:color="auto"/>
      </w:divBdr>
    </w:div>
    <w:div w:id="1083725500">
      <w:bodyDiv w:val="1"/>
      <w:marLeft w:val="0"/>
      <w:marRight w:val="0"/>
      <w:marTop w:val="0"/>
      <w:marBottom w:val="0"/>
      <w:divBdr>
        <w:top w:val="none" w:sz="0" w:space="0" w:color="auto"/>
        <w:left w:val="none" w:sz="0" w:space="0" w:color="auto"/>
        <w:bottom w:val="none" w:sz="0" w:space="0" w:color="auto"/>
        <w:right w:val="none" w:sz="0" w:space="0" w:color="auto"/>
      </w:divBdr>
    </w:div>
    <w:div w:id="1083911086">
      <w:bodyDiv w:val="1"/>
      <w:marLeft w:val="0"/>
      <w:marRight w:val="0"/>
      <w:marTop w:val="0"/>
      <w:marBottom w:val="0"/>
      <w:divBdr>
        <w:top w:val="none" w:sz="0" w:space="0" w:color="auto"/>
        <w:left w:val="none" w:sz="0" w:space="0" w:color="auto"/>
        <w:bottom w:val="none" w:sz="0" w:space="0" w:color="auto"/>
        <w:right w:val="none" w:sz="0" w:space="0" w:color="auto"/>
      </w:divBdr>
    </w:div>
    <w:div w:id="1084372711">
      <w:bodyDiv w:val="1"/>
      <w:marLeft w:val="0"/>
      <w:marRight w:val="0"/>
      <w:marTop w:val="0"/>
      <w:marBottom w:val="0"/>
      <w:divBdr>
        <w:top w:val="none" w:sz="0" w:space="0" w:color="auto"/>
        <w:left w:val="none" w:sz="0" w:space="0" w:color="auto"/>
        <w:bottom w:val="none" w:sz="0" w:space="0" w:color="auto"/>
        <w:right w:val="none" w:sz="0" w:space="0" w:color="auto"/>
      </w:divBdr>
    </w:div>
    <w:div w:id="1084572561">
      <w:bodyDiv w:val="1"/>
      <w:marLeft w:val="0"/>
      <w:marRight w:val="0"/>
      <w:marTop w:val="0"/>
      <w:marBottom w:val="0"/>
      <w:divBdr>
        <w:top w:val="none" w:sz="0" w:space="0" w:color="auto"/>
        <w:left w:val="none" w:sz="0" w:space="0" w:color="auto"/>
        <w:bottom w:val="none" w:sz="0" w:space="0" w:color="auto"/>
        <w:right w:val="none" w:sz="0" w:space="0" w:color="auto"/>
      </w:divBdr>
    </w:div>
    <w:div w:id="1084838705">
      <w:bodyDiv w:val="1"/>
      <w:marLeft w:val="0"/>
      <w:marRight w:val="0"/>
      <w:marTop w:val="0"/>
      <w:marBottom w:val="0"/>
      <w:divBdr>
        <w:top w:val="none" w:sz="0" w:space="0" w:color="auto"/>
        <w:left w:val="none" w:sz="0" w:space="0" w:color="auto"/>
        <w:bottom w:val="none" w:sz="0" w:space="0" w:color="auto"/>
        <w:right w:val="none" w:sz="0" w:space="0" w:color="auto"/>
      </w:divBdr>
    </w:div>
    <w:div w:id="1085222124">
      <w:bodyDiv w:val="1"/>
      <w:marLeft w:val="0"/>
      <w:marRight w:val="0"/>
      <w:marTop w:val="0"/>
      <w:marBottom w:val="0"/>
      <w:divBdr>
        <w:top w:val="none" w:sz="0" w:space="0" w:color="auto"/>
        <w:left w:val="none" w:sz="0" w:space="0" w:color="auto"/>
        <w:bottom w:val="none" w:sz="0" w:space="0" w:color="auto"/>
        <w:right w:val="none" w:sz="0" w:space="0" w:color="auto"/>
      </w:divBdr>
    </w:div>
    <w:div w:id="1085372469">
      <w:bodyDiv w:val="1"/>
      <w:marLeft w:val="0"/>
      <w:marRight w:val="0"/>
      <w:marTop w:val="0"/>
      <w:marBottom w:val="0"/>
      <w:divBdr>
        <w:top w:val="none" w:sz="0" w:space="0" w:color="auto"/>
        <w:left w:val="none" w:sz="0" w:space="0" w:color="auto"/>
        <w:bottom w:val="none" w:sz="0" w:space="0" w:color="auto"/>
        <w:right w:val="none" w:sz="0" w:space="0" w:color="auto"/>
      </w:divBdr>
    </w:div>
    <w:div w:id="1085373589">
      <w:bodyDiv w:val="1"/>
      <w:marLeft w:val="0"/>
      <w:marRight w:val="0"/>
      <w:marTop w:val="0"/>
      <w:marBottom w:val="0"/>
      <w:divBdr>
        <w:top w:val="none" w:sz="0" w:space="0" w:color="auto"/>
        <w:left w:val="none" w:sz="0" w:space="0" w:color="auto"/>
        <w:bottom w:val="none" w:sz="0" w:space="0" w:color="auto"/>
        <w:right w:val="none" w:sz="0" w:space="0" w:color="auto"/>
      </w:divBdr>
    </w:div>
    <w:div w:id="1085540576">
      <w:bodyDiv w:val="1"/>
      <w:marLeft w:val="0"/>
      <w:marRight w:val="0"/>
      <w:marTop w:val="0"/>
      <w:marBottom w:val="0"/>
      <w:divBdr>
        <w:top w:val="none" w:sz="0" w:space="0" w:color="auto"/>
        <w:left w:val="none" w:sz="0" w:space="0" w:color="auto"/>
        <w:bottom w:val="none" w:sz="0" w:space="0" w:color="auto"/>
        <w:right w:val="none" w:sz="0" w:space="0" w:color="auto"/>
      </w:divBdr>
    </w:div>
    <w:div w:id="1085569882">
      <w:bodyDiv w:val="1"/>
      <w:marLeft w:val="0"/>
      <w:marRight w:val="0"/>
      <w:marTop w:val="0"/>
      <w:marBottom w:val="0"/>
      <w:divBdr>
        <w:top w:val="none" w:sz="0" w:space="0" w:color="auto"/>
        <w:left w:val="none" w:sz="0" w:space="0" w:color="auto"/>
        <w:bottom w:val="none" w:sz="0" w:space="0" w:color="auto"/>
        <w:right w:val="none" w:sz="0" w:space="0" w:color="auto"/>
      </w:divBdr>
    </w:div>
    <w:div w:id="1086194483">
      <w:bodyDiv w:val="1"/>
      <w:marLeft w:val="0"/>
      <w:marRight w:val="0"/>
      <w:marTop w:val="0"/>
      <w:marBottom w:val="0"/>
      <w:divBdr>
        <w:top w:val="none" w:sz="0" w:space="0" w:color="auto"/>
        <w:left w:val="none" w:sz="0" w:space="0" w:color="auto"/>
        <w:bottom w:val="none" w:sz="0" w:space="0" w:color="auto"/>
        <w:right w:val="none" w:sz="0" w:space="0" w:color="auto"/>
      </w:divBdr>
    </w:div>
    <w:div w:id="1086804510">
      <w:bodyDiv w:val="1"/>
      <w:marLeft w:val="0"/>
      <w:marRight w:val="0"/>
      <w:marTop w:val="0"/>
      <w:marBottom w:val="0"/>
      <w:divBdr>
        <w:top w:val="none" w:sz="0" w:space="0" w:color="auto"/>
        <w:left w:val="none" w:sz="0" w:space="0" w:color="auto"/>
        <w:bottom w:val="none" w:sz="0" w:space="0" w:color="auto"/>
        <w:right w:val="none" w:sz="0" w:space="0" w:color="auto"/>
      </w:divBdr>
    </w:div>
    <w:div w:id="1087769063">
      <w:bodyDiv w:val="1"/>
      <w:marLeft w:val="0"/>
      <w:marRight w:val="0"/>
      <w:marTop w:val="0"/>
      <w:marBottom w:val="0"/>
      <w:divBdr>
        <w:top w:val="none" w:sz="0" w:space="0" w:color="auto"/>
        <w:left w:val="none" w:sz="0" w:space="0" w:color="auto"/>
        <w:bottom w:val="none" w:sz="0" w:space="0" w:color="auto"/>
        <w:right w:val="none" w:sz="0" w:space="0" w:color="auto"/>
      </w:divBdr>
    </w:div>
    <w:div w:id="1087918896">
      <w:bodyDiv w:val="1"/>
      <w:marLeft w:val="0"/>
      <w:marRight w:val="0"/>
      <w:marTop w:val="0"/>
      <w:marBottom w:val="0"/>
      <w:divBdr>
        <w:top w:val="none" w:sz="0" w:space="0" w:color="auto"/>
        <w:left w:val="none" w:sz="0" w:space="0" w:color="auto"/>
        <w:bottom w:val="none" w:sz="0" w:space="0" w:color="auto"/>
        <w:right w:val="none" w:sz="0" w:space="0" w:color="auto"/>
      </w:divBdr>
    </w:div>
    <w:div w:id="1087969092">
      <w:bodyDiv w:val="1"/>
      <w:marLeft w:val="0"/>
      <w:marRight w:val="0"/>
      <w:marTop w:val="0"/>
      <w:marBottom w:val="0"/>
      <w:divBdr>
        <w:top w:val="none" w:sz="0" w:space="0" w:color="auto"/>
        <w:left w:val="none" w:sz="0" w:space="0" w:color="auto"/>
        <w:bottom w:val="none" w:sz="0" w:space="0" w:color="auto"/>
        <w:right w:val="none" w:sz="0" w:space="0" w:color="auto"/>
      </w:divBdr>
    </w:div>
    <w:div w:id="1088039195">
      <w:bodyDiv w:val="1"/>
      <w:marLeft w:val="0"/>
      <w:marRight w:val="0"/>
      <w:marTop w:val="0"/>
      <w:marBottom w:val="0"/>
      <w:divBdr>
        <w:top w:val="none" w:sz="0" w:space="0" w:color="auto"/>
        <w:left w:val="none" w:sz="0" w:space="0" w:color="auto"/>
        <w:bottom w:val="none" w:sz="0" w:space="0" w:color="auto"/>
        <w:right w:val="none" w:sz="0" w:space="0" w:color="auto"/>
      </w:divBdr>
    </w:div>
    <w:div w:id="1088235742">
      <w:bodyDiv w:val="1"/>
      <w:marLeft w:val="0"/>
      <w:marRight w:val="0"/>
      <w:marTop w:val="0"/>
      <w:marBottom w:val="0"/>
      <w:divBdr>
        <w:top w:val="none" w:sz="0" w:space="0" w:color="auto"/>
        <w:left w:val="none" w:sz="0" w:space="0" w:color="auto"/>
        <w:bottom w:val="none" w:sz="0" w:space="0" w:color="auto"/>
        <w:right w:val="none" w:sz="0" w:space="0" w:color="auto"/>
      </w:divBdr>
    </w:div>
    <w:div w:id="1088427443">
      <w:bodyDiv w:val="1"/>
      <w:marLeft w:val="0"/>
      <w:marRight w:val="0"/>
      <w:marTop w:val="0"/>
      <w:marBottom w:val="0"/>
      <w:divBdr>
        <w:top w:val="none" w:sz="0" w:space="0" w:color="auto"/>
        <w:left w:val="none" w:sz="0" w:space="0" w:color="auto"/>
        <w:bottom w:val="none" w:sz="0" w:space="0" w:color="auto"/>
        <w:right w:val="none" w:sz="0" w:space="0" w:color="auto"/>
      </w:divBdr>
    </w:div>
    <w:div w:id="1088501322">
      <w:bodyDiv w:val="1"/>
      <w:marLeft w:val="0"/>
      <w:marRight w:val="0"/>
      <w:marTop w:val="0"/>
      <w:marBottom w:val="0"/>
      <w:divBdr>
        <w:top w:val="none" w:sz="0" w:space="0" w:color="auto"/>
        <w:left w:val="none" w:sz="0" w:space="0" w:color="auto"/>
        <w:bottom w:val="none" w:sz="0" w:space="0" w:color="auto"/>
        <w:right w:val="none" w:sz="0" w:space="0" w:color="auto"/>
      </w:divBdr>
    </w:div>
    <w:div w:id="1088890684">
      <w:bodyDiv w:val="1"/>
      <w:marLeft w:val="0"/>
      <w:marRight w:val="0"/>
      <w:marTop w:val="0"/>
      <w:marBottom w:val="0"/>
      <w:divBdr>
        <w:top w:val="none" w:sz="0" w:space="0" w:color="auto"/>
        <w:left w:val="none" w:sz="0" w:space="0" w:color="auto"/>
        <w:bottom w:val="none" w:sz="0" w:space="0" w:color="auto"/>
        <w:right w:val="none" w:sz="0" w:space="0" w:color="auto"/>
      </w:divBdr>
    </w:div>
    <w:div w:id="1089541677">
      <w:bodyDiv w:val="1"/>
      <w:marLeft w:val="0"/>
      <w:marRight w:val="0"/>
      <w:marTop w:val="0"/>
      <w:marBottom w:val="0"/>
      <w:divBdr>
        <w:top w:val="none" w:sz="0" w:space="0" w:color="auto"/>
        <w:left w:val="none" w:sz="0" w:space="0" w:color="auto"/>
        <w:bottom w:val="none" w:sz="0" w:space="0" w:color="auto"/>
        <w:right w:val="none" w:sz="0" w:space="0" w:color="auto"/>
      </w:divBdr>
    </w:div>
    <w:div w:id="1089543249">
      <w:bodyDiv w:val="1"/>
      <w:marLeft w:val="0"/>
      <w:marRight w:val="0"/>
      <w:marTop w:val="0"/>
      <w:marBottom w:val="0"/>
      <w:divBdr>
        <w:top w:val="none" w:sz="0" w:space="0" w:color="auto"/>
        <w:left w:val="none" w:sz="0" w:space="0" w:color="auto"/>
        <w:bottom w:val="none" w:sz="0" w:space="0" w:color="auto"/>
        <w:right w:val="none" w:sz="0" w:space="0" w:color="auto"/>
      </w:divBdr>
    </w:div>
    <w:div w:id="1089694407">
      <w:bodyDiv w:val="1"/>
      <w:marLeft w:val="0"/>
      <w:marRight w:val="0"/>
      <w:marTop w:val="0"/>
      <w:marBottom w:val="0"/>
      <w:divBdr>
        <w:top w:val="none" w:sz="0" w:space="0" w:color="auto"/>
        <w:left w:val="none" w:sz="0" w:space="0" w:color="auto"/>
        <w:bottom w:val="none" w:sz="0" w:space="0" w:color="auto"/>
        <w:right w:val="none" w:sz="0" w:space="0" w:color="auto"/>
      </w:divBdr>
    </w:div>
    <w:div w:id="1089734603">
      <w:bodyDiv w:val="1"/>
      <w:marLeft w:val="0"/>
      <w:marRight w:val="0"/>
      <w:marTop w:val="0"/>
      <w:marBottom w:val="0"/>
      <w:divBdr>
        <w:top w:val="none" w:sz="0" w:space="0" w:color="auto"/>
        <w:left w:val="none" w:sz="0" w:space="0" w:color="auto"/>
        <w:bottom w:val="none" w:sz="0" w:space="0" w:color="auto"/>
        <w:right w:val="none" w:sz="0" w:space="0" w:color="auto"/>
      </w:divBdr>
    </w:div>
    <w:div w:id="1089736753">
      <w:bodyDiv w:val="1"/>
      <w:marLeft w:val="0"/>
      <w:marRight w:val="0"/>
      <w:marTop w:val="0"/>
      <w:marBottom w:val="0"/>
      <w:divBdr>
        <w:top w:val="none" w:sz="0" w:space="0" w:color="auto"/>
        <w:left w:val="none" w:sz="0" w:space="0" w:color="auto"/>
        <w:bottom w:val="none" w:sz="0" w:space="0" w:color="auto"/>
        <w:right w:val="none" w:sz="0" w:space="0" w:color="auto"/>
      </w:divBdr>
    </w:div>
    <w:div w:id="1090395443">
      <w:bodyDiv w:val="1"/>
      <w:marLeft w:val="0"/>
      <w:marRight w:val="0"/>
      <w:marTop w:val="0"/>
      <w:marBottom w:val="0"/>
      <w:divBdr>
        <w:top w:val="none" w:sz="0" w:space="0" w:color="auto"/>
        <w:left w:val="none" w:sz="0" w:space="0" w:color="auto"/>
        <w:bottom w:val="none" w:sz="0" w:space="0" w:color="auto"/>
        <w:right w:val="none" w:sz="0" w:space="0" w:color="auto"/>
      </w:divBdr>
    </w:div>
    <w:div w:id="1090931704">
      <w:bodyDiv w:val="1"/>
      <w:marLeft w:val="0"/>
      <w:marRight w:val="0"/>
      <w:marTop w:val="0"/>
      <w:marBottom w:val="0"/>
      <w:divBdr>
        <w:top w:val="none" w:sz="0" w:space="0" w:color="auto"/>
        <w:left w:val="none" w:sz="0" w:space="0" w:color="auto"/>
        <w:bottom w:val="none" w:sz="0" w:space="0" w:color="auto"/>
        <w:right w:val="none" w:sz="0" w:space="0" w:color="auto"/>
      </w:divBdr>
    </w:div>
    <w:div w:id="1092816962">
      <w:bodyDiv w:val="1"/>
      <w:marLeft w:val="0"/>
      <w:marRight w:val="0"/>
      <w:marTop w:val="0"/>
      <w:marBottom w:val="0"/>
      <w:divBdr>
        <w:top w:val="none" w:sz="0" w:space="0" w:color="auto"/>
        <w:left w:val="none" w:sz="0" w:space="0" w:color="auto"/>
        <w:bottom w:val="none" w:sz="0" w:space="0" w:color="auto"/>
        <w:right w:val="none" w:sz="0" w:space="0" w:color="auto"/>
      </w:divBdr>
    </w:div>
    <w:div w:id="1092898423">
      <w:bodyDiv w:val="1"/>
      <w:marLeft w:val="0"/>
      <w:marRight w:val="0"/>
      <w:marTop w:val="0"/>
      <w:marBottom w:val="0"/>
      <w:divBdr>
        <w:top w:val="none" w:sz="0" w:space="0" w:color="auto"/>
        <w:left w:val="none" w:sz="0" w:space="0" w:color="auto"/>
        <w:bottom w:val="none" w:sz="0" w:space="0" w:color="auto"/>
        <w:right w:val="none" w:sz="0" w:space="0" w:color="auto"/>
      </w:divBdr>
    </w:div>
    <w:div w:id="1092972562">
      <w:bodyDiv w:val="1"/>
      <w:marLeft w:val="0"/>
      <w:marRight w:val="0"/>
      <w:marTop w:val="0"/>
      <w:marBottom w:val="0"/>
      <w:divBdr>
        <w:top w:val="none" w:sz="0" w:space="0" w:color="auto"/>
        <w:left w:val="none" w:sz="0" w:space="0" w:color="auto"/>
        <w:bottom w:val="none" w:sz="0" w:space="0" w:color="auto"/>
        <w:right w:val="none" w:sz="0" w:space="0" w:color="auto"/>
      </w:divBdr>
    </w:div>
    <w:div w:id="1093280757">
      <w:bodyDiv w:val="1"/>
      <w:marLeft w:val="0"/>
      <w:marRight w:val="0"/>
      <w:marTop w:val="0"/>
      <w:marBottom w:val="0"/>
      <w:divBdr>
        <w:top w:val="none" w:sz="0" w:space="0" w:color="auto"/>
        <w:left w:val="none" w:sz="0" w:space="0" w:color="auto"/>
        <w:bottom w:val="none" w:sz="0" w:space="0" w:color="auto"/>
        <w:right w:val="none" w:sz="0" w:space="0" w:color="auto"/>
      </w:divBdr>
    </w:div>
    <w:div w:id="1093403217">
      <w:bodyDiv w:val="1"/>
      <w:marLeft w:val="0"/>
      <w:marRight w:val="0"/>
      <w:marTop w:val="0"/>
      <w:marBottom w:val="0"/>
      <w:divBdr>
        <w:top w:val="none" w:sz="0" w:space="0" w:color="auto"/>
        <w:left w:val="none" w:sz="0" w:space="0" w:color="auto"/>
        <w:bottom w:val="none" w:sz="0" w:space="0" w:color="auto"/>
        <w:right w:val="none" w:sz="0" w:space="0" w:color="auto"/>
      </w:divBdr>
    </w:div>
    <w:div w:id="1093818318">
      <w:bodyDiv w:val="1"/>
      <w:marLeft w:val="0"/>
      <w:marRight w:val="0"/>
      <w:marTop w:val="0"/>
      <w:marBottom w:val="0"/>
      <w:divBdr>
        <w:top w:val="none" w:sz="0" w:space="0" w:color="auto"/>
        <w:left w:val="none" w:sz="0" w:space="0" w:color="auto"/>
        <w:bottom w:val="none" w:sz="0" w:space="0" w:color="auto"/>
        <w:right w:val="none" w:sz="0" w:space="0" w:color="auto"/>
      </w:divBdr>
    </w:div>
    <w:div w:id="1094789564">
      <w:bodyDiv w:val="1"/>
      <w:marLeft w:val="0"/>
      <w:marRight w:val="0"/>
      <w:marTop w:val="0"/>
      <w:marBottom w:val="0"/>
      <w:divBdr>
        <w:top w:val="none" w:sz="0" w:space="0" w:color="auto"/>
        <w:left w:val="none" w:sz="0" w:space="0" w:color="auto"/>
        <w:bottom w:val="none" w:sz="0" w:space="0" w:color="auto"/>
        <w:right w:val="none" w:sz="0" w:space="0" w:color="auto"/>
      </w:divBdr>
    </w:div>
    <w:div w:id="1095370162">
      <w:bodyDiv w:val="1"/>
      <w:marLeft w:val="0"/>
      <w:marRight w:val="0"/>
      <w:marTop w:val="0"/>
      <w:marBottom w:val="0"/>
      <w:divBdr>
        <w:top w:val="none" w:sz="0" w:space="0" w:color="auto"/>
        <w:left w:val="none" w:sz="0" w:space="0" w:color="auto"/>
        <w:bottom w:val="none" w:sz="0" w:space="0" w:color="auto"/>
        <w:right w:val="none" w:sz="0" w:space="0" w:color="auto"/>
      </w:divBdr>
    </w:div>
    <w:div w:id="1095595868">
      <w:bodyDiv w:val="1"/>
      <w:marLeft w:val="0"/>
      <w:marRight w:val="0"/>
      <w:marTop w:val="0"/>
      <w:marBottom w:val="0"/>
      <w:divBdr>
        <w:top w:val="none" w:sz="0" w:space="0" w:color="auto"/>
        <w:left w:val="none" w:sz="0" w:space="0" w:color="auto"/>
        <w:bottom w:val="none" w:sz="0" w:space="0" w:color="auto"/>
        <w:right w:val="none" w:sz="0" w:space="0" w:color="auto"/>
      </w:divBdr>
    </w:div>
    <w:div w:id="1095634513">
      <w:bodyDiv w:val="1"/>
      <w:marLeft w:val="0"/>
      <w:marRight w:val="0"/>
      <w:marTop w:val="0"/>
      <w:marBottom w:val="0"/>
      <w:divBdr>
        <w:top w:val="none" w:sz="0" w:space="0" w:color="auto"/>
        <w:left w:val="none" w:sz="0" w:space="0" w:color="auto"/>
        <w:bottom w:val="none" w:sz="0" w:space="0" w:color="auto"/>
        <w:right w:val="none" w:sz="0" w:space="0" w:color="auto"/>
      </w:divBdr>
    </w:div>
    <w:div w:id="1095907129">
      <w:bodyDiv w:val="1"/>
      <w:marLeft w:val="0"/>
      <w:marRight w:val="0"/>
      <w:marTop w:val="0"/>
      <w:marBottom w:val="0"/>
      <w:divBdr>
        <w:top w:val="none" w:sz="0" w:space="0" w:color="auto"/>
        <w:left w:val="none" w:sz="0" w:space="0" w:color="auto"/>
        <w:bottom w:val="none" w:sz="0" w:space="0" w:color="auto"/>
        <w:right w:val="none" w:sz="0" w:space="0" w:color="auto"/>
      </w:divBdr>
    </w:div>
    <w:div w:id="1095980936">
      <w:bodyDiv w:val="1"/>
      <w:marLeft w:val="0"/>
      <w:marRight w:val="0"/>
      <w:marTop w:val="0"/>
      <w:marBottom w:val="0"/>
      <w:divBdr>
        <w:top w:val="none" w:sz="0" w:space="0" w:color="auto"/>
        <w:left w:val="none" w:sz="0" w:space="0" w:color="auto"/>
        <w:bottom w:val="none" w:sz="0" w:space="0" w:color="auto"/>
        <w:right w:val="none" w:sz="0" w:space="0" w:color="auto"/>
      </w:divBdr>
    </w:div>
    <w:div w:id="1096173189">
      <w:bodyDiv w:val="1"/>
      <w:marLeft w:val="0"/>
      <w:marRight w:val="0"/>
      <w:marTop w:val="0"/>
      <w:marBottom w:val="0"/>
      <w:divBdr>
        <w:top w:val="none" w:sz="0" w:space="0" w:color="auto"/>
        <w:left w:val="none" w:sz="0" w:space="0" w:color="auto"/>
        <w:bottom w:val="none" w:sz="0" w:space="0" w:color="auto"/>
        <w:right w:val="none" w:sz="0" w:space="0" w:color="auto"/>
      </w:divBdr>
    </w:div>
    <w:div w:id="1096483097">
      <w:bodyDiv w:val="1"/>
      <w:marLeft w:val="0"/>
      <w:marRight w:val="0"/>
      <w:marTop w:val="0"/>
      <w:marBottom w:val="0"/>
      <w:divBdr>
        <w:top w:val="none" w:sz="0" w:space="0" w:color="auto"/>
        <w:left w:val="none" w:sz="0" w:space="0" w:color="auto"/>
        <w:bottom w:val="none" w:sz="0" w:space="0" w:color="auto"/>
        <w:right w:val="none" w:sz="0" w:space="0" w:color="auto"/>
      </w:divBdr>
    </w:div>
    <w:div w:id="1096706293">
      <w:bodyDiv w:val="1"/>
      <w:marLeft w:val="0"/>
      <w:marRight w:val="0"/>
      <w:marTop w:val="0"/>
      <w:marBottom w:val="0"/>
      <w:divBdr>
        <w:top w:val="none" w:sz="0" w:space="0" w:color="auto"/>
        <w:left w:val="none" w:sz="0" w:space="0" w:color="auto"/>
        <w:bottom w:val="none" w:sz="0" w:space="0" w:color="auto"/>
        <w:right w:val="none" w:sz="0" w:space="0" w:color="auto"/>
      </w:divBdr>
    </w:div>
    <w:div w:id="1096905640">
      <w:bodyDiv w:val="1"/>
      <w:marLeft w:val="0"/>
      <w:marRight w:val="0"/>
      <w:marTop w:val="0"/>
      <w:marBottom w:val="0"/>
      <w:divBdr>
        <w:top w:val="none" w:sz="0" w:space="0" w:color="auto"/>
        <w:left w:val="none" w:sz="0" w:space="0" w:color="auto"/>
        <w:bottom w:val="none" w:sz="0" w:space="0" w:color="auto"/>
        <w:right w:val="none" w:sz="0" w:space="0" w:color="auto"/>
      </w:divBdr>
    </w:div>
    <w:div w:id="1097360440">
      <w:bodyDiv w:val="1"/>
      <w:marLeft w:val="0"/>
      <w:marRight w:val="0"/>
      <w:marTop w:val="0"/>
      <w:marBottom w:val="0"/>
      <w:divBdr>
        <w:top w:val="none" w:sz="0" w:space="0" w:color="auto"/>
        <w:left w:val="none" w:sz="0" w:space="0" w:color="auto"/>
        <w:bottom w:val="none" w:sz="0" w:space="0" w:color="auto"/>
        <w:right w:val="none" w:sz="0" w:space="0" w:color="auto"/>
      </w:divBdr>
    </w:div>
    <w:div w:id="1097364734">
      <w:bodyDiv w:val="1"/>
      <w:marLeft w:val="0"/>
      <w:marRight w:val="0"/>
      <w:marTop w:val="0"/>
      <w:marBottom w:val="0"/>
      <w:divBdr>
        <w:top w:val="none" w:sz="0" w:space="0" w:color="auto"/>
        <w:left w:val="none" w:sz="0" w:space="0" w:color="auto"/>
        <w:bottom w:val="none" w:sz="0" w:space="0" w:color="auto"/>
        <w:right w:val="none" w:sz="0" w:space="0" w:color="auto"/>
      </w:divBdr>
    </w:div>
    <w:div w:id="1097402928">
      <w:bodyDiv w:val="1"/>
      <w:marLeft w:val="0"/>
      <w:marRight w:val="0"/>
      <w:marTop w:val="0"/>
      <w:marBottom w:val="0"/>
      <w:divBdr>
        <w:top w:val="none" w:sz="0" w:space="0" w:color="auto"/>
        <w:left w:val="none" w:sz="0" w:space="0" w:color="auto"/>
        <w:bottom w:val="none" w:sz="0" w:space="0" w:color="auto"/>
        <w:right w:val="none" w:sz="0" w:space="0" w:color="auto"/>
      </w:divBdr>
    </w:div>
    <w:div w:id="1097561025">
      <w:bodyDiv w:val="1"/>
      <w:marLeft w:val="0"/>
      <w:marRight w:val="0"/>
      <w:marTop w:val="0"/>
      <w:marBottom w:val="0"/>
      <w:divBdr>
        <w:top w:val="none" w:sz="0" w:space="0" w:color="auto"/>
        <w:left w:val="none" w:sz="0" w:space="0" w:color="auto"/>
        <w:bottom w:val="none" w:sz="0" w:space="0" w:color="auto"/>
        <w:right w:val="none" w:sz="0" w:space="0" w:color="auto"/>
      </w:divBdr>
    </w:div>
    <w:div w:id="1098407549">
      <w:bodyDiv w:val="1"/>
      <w:marLeft w:val="0"/>
      <w:marRight w:val="0"/>
      <w:marTop w:val="0"/>
      <w:marBottom w:val="0"/>
      <w:divBdr>
        <w:top w:val="none" w:sz="0" w:space="0" w:color="auto"/>
        <w:left w:val="none" w:sz="0" w:space="0" w:color="auto"/>
        <w:bottom w:val="none" w:sz="0" w:space="0" w:color="auto"/>
        <w:right w:val="none" w:sz="0" w:space="0" w:color="auto"/>
      </w:divBdr>
    </w:div>
    <w:div w:id="1098407666">
      <w:bodyDiv w:val="1"/>
      <w:marLeft w:val="0"/>
      <w:marRight w:val="0"/>
      <w:marTop w:val="0"/>
      <w:marBottom w:val="0"/>
      <w:divBdr>
        <w:top w:val="none" w:sz="0" w:space="0" w:color="auto"/>
        <w:left w:val="none" w:sz="0" w:space="0" w:color="auto"/>
        <w:bottom w:val="none" w:sz="0" w:space="0" w:color="auto"/>
        <w:right w:val="none" w:sz="0" w:space="0" w:color="auto"/>
      </w:divBdr>
    </w:div>
    <w:div w:id="1098869552">
      <w:bodyDiv w:val="1"/>
      <w:marLeft w:val="0"/>
      <w:marRight w:val="0"/>
      <w:marTop w:val="0"/>
      <w:marBottom w:val="0"/>
      <w:divBdr>
        <w:top w:val="none" w:sz="0" w:space="0" w:color="auto"/>
        <w:left w:val="none" w:sz="0" w:space="0" w:color="auto"/>
        <w:bottom w:val="none" w:sz="0" w:space="0" w:color="auto"/>
        <w:right w:val="none" w:sz="0" w:space="0" w:color="auto"/>
      </w:divBdr>
    </w:div>
    <w:div w:id="1099134576">
      <w:bodyDiv w:val="1"/>
      <w:marLeft w:val="0"/>
      <w:marRight w:val="0"/>
      <w:marTop w:val="0"/>
      <w:marBottom w:val="0"/>
      <w:divBdr>
        <w:top w:val="none" w:sz="0" w:space="0" w:color="auto"/>
        <w:left w:val="none" w:sz="0" w:space="0" w:color="auto"/>
        <w:bottom w:val="none" w:sz="0" w:space="0" w:color="auto"/>
        <w:right w:val="none" w:sz="0" w:space="0" w:color="auto"/>
      </w:divBdr>
    </w:div>
    <w:div w:id="1099326288">
      <w:bodyDiv w:val="1"/>
      <w:marLeft w:val="0"/>
      <w:marRight w:val="0"/>
      <w:marTop w:val="0"/>
      <w:marBottom w:val="0"/>
      <w:divBdr>
        <w:top w:val="none" w:sz="0" w:space="0" w:color="auto"/>
        <w:left w:val="none" w:sz="0" w:space="0" w:color="auto"/>
        <w:bottom w:val="none" w:sz="0" w:space="0" w:color="auto"/>
        <w:right w:val="none" w:sz="0" w:space="0" w:color="auto"/>
      </w:divBdr>
    </w:div>
    <w:div w:id="1099369169">
      <w:bodyDiv w:val="1"/>
      <w:marLeft w:val="0"/>
      <w:marRight w:val="0"/>
      <w:marTop w:val="0"/>
      <w:marBottom w:val="0"/>
      <w:divBdr>
        <w:top w:val="none" w:sz="0" w:space="0" w:color="auto"/>
        <w:left w:val="none" w:sz="0" w:space="0" w:color="auto"/>
        <w:bottom w:val="none" w:sz="0" w:space="0" w:color="auto"/>
        <w:right w:val="none" w:sz="0" w:space="0" w:color="auto"/>
      </w:divBdr>
    </w:div>
    <w:div w:id="1099832726">
      <w:bodyDiv w:val="1"/>
      <w:marLeft w:val="0"/>
      <w:marRight w:val="0"/>
      <w:marTop w:val="0"/>
      <w:marBottom w:val="0"/>
      <w:divBdr>
        <w:top w:val="none" w:sz="0" w:space="0" w:color="auto"/>
        <w:left w:val="none" w:sz="0" w:space="0" w:color="auto"/>
        <w:bottom w:val="none" w:sz="0" w:space="0" w:color="auto"/>
        <w:right w:val="none" w:sz="0" w:space="0" w:color="auto"/>
      </w:divBdr>
    </w:div>
    <w:div w:id="1100176405">
      <w:bodyDiv w:val="1"/>
      <w:marLeft w:val="0"/>
      <w:marRight w:val="0"/>
      <w:marTop w:val="0"/>
      <w:marBottom w:val="0"/>
      <w:divBdr>
        <w:top w:val="none" w:sz="0" w:space="0" w:color="auto"/>
        <w:left w:val="none" w:sz="0" w:space="0" w:color="auto"/>
        <w:bottom w:val="none" w:sz="0" w:space="0" w:color="auto"/>
        <w:right w:val="none" w:sz="0" w:space="0" w:color="auto"/>
      </w:divBdr>
    </w:div>
    <w:div w:id="1100492775">
      <w:bodyDiv w:val="1"/>
      <w:marLeft w:val="0"/>
      <w:marRight w:val="0"/>
      <w:marTop w:val="0"/>
      <w:marBottom w:val="0"/>
      <w:divBdr>
        <w:top w:val="none" w:sz="0" w:space="0" w:color="auto"/>
        <w:left w:val="none" w:sz="0" w:space="0" w:color="auto"/>
        <w:bottom w:val="none" w:sz="0" w:space="0" w:color="auto"/>
        <w:right w:val="none" w:sz="0" w:space="0" w:color="auto"/>
      </w:divBdr>
    </w:div>
    <w:div w:id="1100680870">
      <w:bodyDiv w:val="1"/>
      <w:marLeft w:val="0"/>
      <w:marRight w:val="0"/>
      <w:marTop w:val="0"/>
      <w:marBottom w:val="0"/>
      <w:divBdr>
        <w:top w:val="none" w:sz="0" w:space="0" w:color="auto"/>
        <w:left w:val="none" w:sz="0" w:space="0" w:color="auto"/>
        <w:bottom w:val="none" w:sz="0" w:space="0" w:color="auto"/>
        <w:right w:val="none" w:sz="0" w:space="0" w:color="auto"/>
      </w:divBdr>
    </w:div>
    <w:div w:id="1101023697">
      <w:bodyDiv w:val="1"/>
      <w:marLeft w:val="0"/>
      <w:marRight w:val="0"/>
      <w:marTop w:val="0"/>
      <w:marBottom w:val="0"/>
      <w:divBdr>
        <w:top w:val="none" w:sz="0" w:space="0" w:color="auto"/>
        <w:left w:val="none" w:sz="0" w:space="0" w:color="auto"/>
        <w:bottom w:val="none" w:sz="0" w:space="0" w:color="auto"/>
        <w:right w:val="none" w:sz="0" w:space="0" w:color="auto"/>
      </w:divBdr>
    </w:div>
    <w:div w:id="1101535813">
      <w:bodyDiv w:val="1"/>
      <w:marLeft w:val="0"/>
      <w:marRight w:val="0"/>
      <w:marTop w:val="0"/>
      <w:marBottom w:val="0"/>
      <w:divBdr>
        <w:top w:val="none" w:sz="0" w:space="0" w:color="auto"/>
        <w:left w:val="none" w:sz="0" w:space="0" w:color="auto"/>
        <w:bottom w:val="none" w:sz="0" w:space="0" w:color="auto"/>
        <w:right w:val="none" w:sz="0" w:space="0" w:color="auto"/>
      </w:divBdr>
    </w:div>
    <w:div w:id="1101991637">
      <w:bodyDiv w:val="1"/>
      <w:marLeft w:val="0"/>
      <w:marRight w:val="0"/>
      <w:marTop w:val="0"/>
      <w:marBottom w:val="0"/>
      <w:divBdr>
        <w:top w:val="none" w:sz="0" w:space="0" w:color="auto"/>
        <w:left w:val="none" w:sz="0" w:space="0" w:color="auto"/>
        <w:bottom w:val="none" w:sz="0" w:space="0" w:color="auto"/>
        <w:right w:val="none" w:sz="0" w:space="0" w:color="auto"/>
      </w:divBdr>
    </w:div>
    <w:div w:id="1102144124">
      <w:bodyDiv w:val="1"/>
      <w:marLeft w:val="0"/>
      <w:marRight w:val="0"/>
      <w:marTop w:val="0"/>
      <w:marBottom w:val="0"/>
      <w:divBdr>
        <w:top w:val="none" w:sz="0" w:space="0" w:color="auto"/>
        <w:left w:val="none" w:sz="0" w:space="0" w:color="auto"/>
        <w:bottom w:val="none" w:sz="0" w:space="0" w:color="auto"/>
        <w:right w:val="none" w:sz="0" w:space="0" w:color="auto"/>
      </w:divBdr>
    </w:div>
    <w:div w:id="1102262340">
      <w:bodyDiv w:val="1"/>
      <w:marLeft w:val="0"/>
      <w:marRight w:val="0"/>
      <w:marTop w:val="0"/>
      <w:marBottom w:val="0"/>
      <w:divBdr>
        <w:top w:val="none" w:sz="0" w:space="0" w:color="auto"/>
        <w:left w:val="none" w:sz="0" w:space="0" w:color="auto"/>
        <w:bottom w:val="none" w:sz="0" w:space="0" w:color="auto"/>
        <w:right w:val="none" w:sz="0" w:space="0" w:color="auto"/>
      </w:divBdr>
    </w:div>
    <w:div w:id="1102384878">
      <w:bodyDiv w:val="1"/>
      <w:marLeft w:val="0"/>
      <w:marRight w:val="0"/>
      <w:marTop w:val="0"/>
      <w:marBottom w:val="0"/>
      <w:divBdr>
        <w:top w:val="none" w:sz="0" w:space="0" w:color="auto"/>
        <w:left w:val="none" w:sz="0" w:space="0" w:color="auto"/>
        <w:bottom w:val="none" w:sz="0" w:space="0" w:color="auto"/>
        <w:right w:val="none" w:sz="0" w:space="0" w:color="auto"/>
      </w:divBdr>
    </w:div>
    <w:div w:id="1102459175">
      <w:bodyDiv w:val="1"/>
      <w:marLeft w:val="0"/>
      <w:marRight w:val="0"/>
      <w:marTop w:val="0"/>
      <w:marBottom w:val="0"/>
      <w:divBdr>
        <w:top w:val="none" w:sz="0" w:space="0" w:color="auto"/>
        <w:left w:val="none" w:sz="0" w:space="0" w:color="auto"/>
        <w:bottom w:val="none" w:sz="0" w:space="0" w:color="auto"/>
        <w:right w:val="none" w:sz="0" w:space="0" w:color="auto"/>
      </w:divBdr>
    </w:div>
    <w:div w:id="1102795506">
      <w:bodyDiv w:val="1"/>
      <w:marLeft w:val="0"/>
      <w:marRight w:val="0"/>
      <w:marTop w:val="0"/>
      <w:marBottom w:val="0"/>
      <w:divBdr>
        <w:top w:val="none" w:sz="0" w:space="0" w:color="auto"/>
        <w:left w:val="none" w:sz="0" w:space="0" w:color="auto"/>
        <w:bottom w:val="none" w:sz="0" w:space="0" w:color="auto"/>
        <w:right w:val="none" w:sz="0" w:space="0" w:color="auto"/>
      </w:divBdr>
    </w:div>
    <w:div w:id="1102845504">
      <w:bodyDiv w:val="1"/>
      <w:marLeft w:val="0"/>
      <w:marRight w:val="0"/>
      <w:marTop w:val="0"/>
      <w:marBottom w:val="0"/>
      <w:divBdr>
        <w:top w:val="none" w:sz="0" w:space="0" w:color="auto"/>
        <w:left w:val="none" w:sz="0" w:space="0" w:color="auto"/>
        <w:bottom w:val="none" w:sz="0" w:space="0" w:color="auto"/>
        <w:right w:val="none" w:sz="0" w:space="0" w:color="auto"/>
      </w:divBdr>
    </w:div>
    <w:div w:id="1103106625">
      <w:bodyDiv w:val="1"/>
      <w:marLeft w:val="0"/>
      <w:marRight w:val="0"/>
      <w:marTop w:val="0"/>
      <w:marBottom w:val="0"/>
      <w:divBdr>
        <w:top w:val="none" w:sz="0" w:space="0" w:color="auto"/>
        <w:left w:val="none" w:sz="0" w:space="0" w:color="auto"/>
        <w:bottom w:val="none" w:sz="0" w:space="0" w:color="auto"/>
        <w:right w:val="none" w:sz="0" w:space="0" w:color="auto"/>
      </w:divBdr>
    </w:div>
    <w:div w:id="1103306251">
      <w:bodyDiv w:val="1"/>
      <w:marLeft w:val="0"/>
      <w:marRight w:val="0"/>
      <w:marTop w:val="0"/>
      <w:marBottom w:val="0"/>
      <w:divBdr>
        <w:top w:val="none" w:sz="0" w:space="0" w:color="auto"/>
        <w:left w:val="none" w:sz="0" w:space="0" w:color="auto"/>
        <w:bottom w:val="none" w:sz="0" w:space="0" w:color="auto"/>
        <w:right w:val="none" w:sz="0" w:space="0" w:color="auto"/>
      </w:divBdr>
    </w:div>
    <w:div w:id="1103646023">
      <w:bodyDiv w:val="1"/>
      <w:marLeft w:val="0"/>
      <w:marRight w:val="0"/>
      <w:marTop w:val="0"/>
      <w:marBottom w:val="0"/>
      <w:divBdr>
        <w:top w:val="none" w:sz="0" w:space="0" w:color="auto"/>
        <w:left w:val="none" w:sz="0" w:space="0" w:color="auto"/>
        <w:bottom w:val="none" w:sz="0" w:space="0" w:color="auto"/>
        <w:right w:val="none" w:sz="0" w:space="0" w:color="auto"/>
      </w:divBdr>
    </w:div>
    <w:div w:id="1103647110">
      <w:bodyDiv w:val="1"/>
      <w:marLeft w:val="0"/>
      <w:marRight w:val="0"/>
      <w:marTop w:val="0"/>
      <w:marBottom w:val="0"/>
      <w:divBdr>
        <w:top w:val="none" w:sz="0" w:space="0" w:color="auto"/>
        <w:left w:val="none" w:sz="0" w:space="0" w:color="auto"/>
        <w:bottom w:val="none" w:sz="0" w:space="0" w:color="auto"/>
        <w:right w:val="none" w:sz="0" w:space="0" w:color="auto"/>
      </w:divBdr>
    </w:div>
    <w:div w:id="1105658186">
      <w:bodyDiv w:val="1"/>
      <w:marLeft w:val="0"/>
      <w:marRight w:val="0"/>
      <w:marTop w:val="0"/>
      <w:marBottom w:val="0"/>
      <w:divBdr>
        <w:top w:val="none" w:sz="0" w:space="0" w:color="auto"/>
        <w:left w:val="none" w:sz="0" w:space="0" w:color="auto"/>
        <w:bottom w:val="none" w:sz="0" w:space="0" w:color="auto"/>
        <w:right w:val="none" w:sz="0" w:space="0" w:color="auto"/>
      </w:divBdr>
    </w:div>
    <w:div w:id="1105929091">
      <w:bodyDiv w:val="1"/>
      <w:marLeft w:val="0"/>
      <w:marRight w:val="0"/>
      <w:marTop w:val="0"/>
      <w:marBottom w:val="0"/>
      <w:divBdr>
        <w:top w:val="none" w:sz="0" w:space="0" w:color="auto"/>
        <w:left w:val="none" w:sz="0" w:space="0" w:color="auto"/>
        <w:bottom w:val="none" w:sz="0" w:space="0" w:color="auto"/>
        <w:right w:val="none" w:sz="0" w:space="0" w:color="auto"/>
      </w:divBdr>
    </w:div>
    <w:div w:id="1106073846">
      <w:bodyDiv w:val="1"/>
      <w:marLeft w:val="0"/>
      <w:marRight w:val="0"/>
      <w:marTop w:val="0"/>
      <w:marBottom w:val="0"/>
      <w:divBdr>
        <w:top w:val="none" w:sz="0" w:space="0" w:color="auto"/>
        <w:left w:val="none" w:sz="0" w:space="0" w:color="auto"/>
        <w:bottom w:val="none" w:sz="0" w:space="0" w:color="auto"/>
        <w:right w:val="none" w:sz="0" w:space="0" w:color="auto"/>
      </w:divBdr>
    </w:div>
    <w:div w:id="1106578101">
      <w:bodyDiv w:val="1"/>
      <w:marLeft w:val="0"/>
      <w:marRight w:val="0"/>
      <w:marTop w:val="0"/>
      <w:marBottom w:val="0"/>
      <w:divBdr>
        <w:top w:val="none" w:sz="0" w:space="0" w:color="auto"/>
        <w:left w:val="none" w:sz="0" w:space="0" w:color="auto"/>
        <w:bottom w:val="none" w:sz="0" w:space="0" w:color="auto"/>
        <w:right w:val="none" w:sz="0" w:space="0" w:color="auto"/>
      </w:divBdr>
    </w:div>
    <w:div w:id="1106803085">
      <w:bodyDiv w:val="1"/>
      <w:marLeft w:val="0"/>
      <w:marRight w:val="0"/>
      <w:marTop w:val="0"/>
      <w:marBottom w:val="0"/>
      <w:divBdr>
        <w:top w:val="none" w:sz="0" w:space="0" w:color="auto"/>
        <w:left w:val="none" w:sz="0" w:space="0" w:color="auto"/>
        <w:bottom w:val="none" w:sz="0" w:space="0" w:color="auto"/>
        <w:right w:val="none" w:sz="0" w:space="0" w:color="auto"/>
      </w:divBdr>
    </w:div>
    <w:div w:id="1107653548">
      <w:bodyDiv w:val="1"/>
      <w:marLeft w:val="0"/>
      <w:marRight w:val="0"/>
      <w:marTop w:val="0"/>
      <w:marBottom w:val="0"/>
      <w:divBdr>
        <w:top w:val="none" w:sz="0" w:space="0" w:color="auto"/>
        <w:left w:val="none" w:sz="0" w:space="0" w:color="auto"/>
        <w:bottom w:val="none" w:sz="0" w:space="0" w:color="auto"/>
        <w:right w:val="none" w:sz="0" w:space="0" w:color="auto"/>
      </w:divBdr>
    </w:div>
    <w:div w:id="1108235101">
      <w:bodyDiv w:val="1"/>
      <w:marLeft w:val="0"/>
      <w:marRight w:val="0"/>
      <w:marTop w:val="0"/>
      <w:marBottom w:val="0"/>
      <w:divBdr>
        <w:top w:val="none" w:sz="0" w:space="0" w:color="auto"/>
        <w:left w:val="none" w:sz="0" w:space="0" w:color="auto"/>
        <w:bottom w:val="none" w:sz="0" w:space="0" w:color="auto"/>
        <w:right w:val="none" w:sz="0" w:space="0" w:color="auto"/>
      </w:divBdr>
    </w:div>
    <w:div w:id="1109008485">
      <w:bodyDiv w:val="1"/>
      <w:marLeft w:val="0"/>
      <w:marRight w:val="0"/>
      <w:marTop w:val="0"/>
      <w:marBottom w:val="0"/>
      <w:divBdr>
        <w:top w:val="none" w:sz="0" w:space="0" w:color="auto"/>
        <w:left w:val="none" w:sz="0" w:space="0" w:color="auto"/>
        <w:bottom w:val="none" w:sz="0" w:space="0" w:color="auto"/>
        <w:right w:val="none" w:sz="0" w:space="0" w:color="auto"/>
      </w:divBdr>
    </w:div>
    <w:div w:id="1109011481">
      <w:bodyDiv w:val="1"/>
      <w:marLeft w:val="0"/>
      <w:marRight w:val="0"/>
      <w:marTop w:val="0"/>
      <w:marBottom w:val="0"/>
      <w:divBdr>
        <w:top w:val="none" w:sz="0" w:space="0" w:color="auto"/>
        <w:left w:val="none" w:sz="0" w:space="0" w:color="auto"/>
        <w:bottom w:val="none" w:sz="0" w:space="0" w:color="auto"/>
        <w:right w:val="none" w:sz="0" w:space="0" w:color="auto"/>
      </w:divBdr>
    </w:div>
    <w:div w:id="1109399006">
      <w:bodyDiv w:val="1"/>
      <w:marLeft w:val="0"/>
      <w:marRight w:val="0"/>
      <w:marTop w:val="0"/>
      <w:marBottom w:val="0"/>
      <w:divBdr>
        <w:top w:val="none" w:sz="0" w:space="0" w:color="auto"/>
        <w:left w:val="none" w:sz="0" w:space="0" w:color="auto"/>
        <w:bottom w:val="none" w:sz="0" w:space="0" w:color="auto"/>
        <w:right w:val="none" w:sz="0" w:space="0" w:color="auto"/>
      </w:divBdr>
    </w:div>
    <w:div w:id="1109812102">
      <w:bodyDiv w:val="1"/>
      <w:marLeft w:val="0"/>
      <w:marRight w:val="0"/>
      <w:marTop w:val="0"/>
      <w:marBottom w:val="0"/>
      <w:divBdr>
        <w:top w:val="none" w:sz="0" w:space="0" w:color="auto"/>
        <w:left w:val="none" w:sz="0" w:space="0" w:color="auto"/>
        <w:bottom w:val="none" w:sz="0" w:space="0" w:color="auto"/>
        <w:right w:val="none" w:sz="0" w:space="0" w:color="auto"/>
      </w:divBdr>
    </w:div>
    <w:div w:id="1109818106">
      <w:bodyDiv w:val="1"/>
      <w:marLeft w:val="0"/>
      <w:marRight w:val="0"/>
      <w:marTop w:val="0"/>
      <w:marBottom w:val="0"/>
      <w:divBdr>
        <w:top w:val="none" w:sz="0" w:space="0" w:color="auto"/>
        <w:left w:val="none" w:sz="0" w:space="0" w:color="auto"/>
        <w:bottom w:val="none" w:sz="0" w:space="0" w:color="auto"/>
        <w:right w:val="none" w:sz="0" w:space="0" w:color="auto"/>
      </w:divBdr>
    </w:div>
    <w:div w:id="1110053569">
      <w:bodyDiv w:val="1"/>
      <w:marLeft w:val="0"/>
      <w:marRight w:val="0"/>
      <w:marTop w:val="0"/>
      <w:marBottom w:val="0"/>
      <w:divBdr>
        <w:top w:val="none" w:sz="0" w:space="0" w:color="auto"/>
        <w:left w:val="none" w:sz="0" w:space="0" w:color="auto"/>
        <w:bottom w:val="none" w:sz="0" w:space="0" w:color="auto"/>
        <w:right w:val="none" w:sz="0" w:space="0" w:color="auto"/>
      </w:divBdr>
    </w:div>
    <w:div w:id="1110321051">
      <w:bodyDiv w:val="1"/>
      <w:marLeft w:val="0"/>
      <w:marRight w:val="0"/>
      <w:marTop w:val="0"/>
      <w:marBottom w:val="0"/>
      <w:divBdr>
        <w:top w:val="none" w:sz="0" w:space="0" w:color="auto"/>
        <w:left w:val="none" w:sz="0" w:space="0" w:color="auto"/>
        <w:bottom w:val="none" w:sz="0" w:space="0" w:color="auto"/>
        <w:right w:val="none" w:sz="0" w:space="0" w:color="auto"/>
      </w:divBdr>
    </w:div>
    <w:div w:id="1110705661">
      <w:bodyDiv w:val="1"/>
      <w:marLeft w:val="0"/>
      <w:marRight w:val="0"/>
      <w:marTop w:val="0"/>
      <w:marBottom w:val="0"/>
      <w:divBdr>
        <w:top w:val="none" w:sz="0" w:space="0" w:color="auto"/>
        <w:left w:val="none" w:sz="0" w:space="0" w:color="auto"/>
        <w:bottom w:val="none" w:sz="0" w:space="0" w:color="auto"/>
        <w:right w:val="none" w:sz="0" w:space="0" w:color="auto"/>
      </w:divBdr>
    </w:div>
    <w:div w:id="1110780384">
      <w:bodyDiv w:val="1"/>
      <w:marLeft w:val="0"/>
      <w:marRight w:val="0"/>
      <w:marTop w:val="0"/>
      <w:marBottom w:val="0"/>
      <w:divBdr>
        <w:top w:val="none" w:sz="0" w:space="0" w:color="auto"/>
        <w:left w:val="none" w:sz="0" w:space="0" w:color="auto"/>
        <w:bottom w:val="none" w:sz="0" w:space="0" w:color="auto"/>
        <w:right w:val="none" w:sz="0" w:space="0" w:color="auto"/>
      </w:divBdr>
    </w:div>
    <w:div w:id="1110903602">
      <w:bodyDiv w:val="1"/>
      <w:marLeft w:val="0"/>
      <w:marRight w:val="0"/>
      <w:marTop w:val="0"/>
      <w:marBottom w:val="0"/>
      <w:divBdr>
        <w:top w:val="none" w:sz="0" w:space="0" w:color="auto"/>
        <w:left w:val="none" w:sz="0" w:space="0" w:color="auto"/>
        <w:bottom w:val="none" w:sz="0" w:space="0" w:color="auto"/>
        <w:right w:val="none" w:sz="0" w:space="0" w:color="auto"/>
      </w:divBdr>
    </w:div>
    <w:div w:id="1110973166">
      <w:bodyDiv w:val="1"/>
      <w:marLeft w:val="0"/>
      <w:marRight w:val="0"/>
      <w:marTop w:val="0"/>
      <w:marBottom w:val="0"/>
      <w:divBdr>
        <w:top w:val="none" w:sz="0" w:space="0" w:color="auto"/>
        <w:left w:val="none" w:sz="0" w:space="0" w:color="auto"/>
        <w:bottom w:val="none" w:sz="0" w:space="0" w:color="auto"/>
        <w:right w:val="none" w:sz="0" w:space="0" w:color="auto"/>
      </w:divBdr>
    </w:div>
    <w:div w:id="1112017000">
      <w:bodyDiv w:val="1"/>
      <w:marLeft w:val="0"/>
      <w:marRight w:val="0"/>
      <w:marTop w:val="0"/>
      <w:marBottom w:val="0"/>
      <w:divBdr>
        <w:top w:val="none" w:sz="0" w:space="0" w:color="auto"/>
        <w:left w:val="none" w:sz="0" w:space="0" w:color="auto"/>
        <w:bottom w:val="none" w:sz="0" w:space="0" w:color="auto"/>
        <w:right w:val="none" w:sz="0" w:space="0" w:color="auto"/>
      </w:divBdr>
    </w:div>
    <w:div w:id="1112094771">
      <w:bodyDiv w:val="1"/>
      <w:marLeft w:val="0"/>
      <w:marRight w:val="0"/>
      <w:marTop w:val="0"/>
      <w:marBottom w:val="0"/>
      <w:divBdr>
        <w:top w:val="none" w:sz="0" w:space="0" w:color="auto"/>
        <w:left w:val="none" w:sz="0" w:space="0" w:color="auto"/>
        <w:bottom w:val="none" w:sz="0" w:space="0" w:color="auto"/>
        <w:right w:val="none" w:sz="0" w:space="0" w:color="auto"/>
      </w:divBdr>
    </w:div>
    <w:div w:id="1112280541">
      <w:bodyDiv w:val="1"/>
      <w:marLeft w:val="0"/>
      <w:marRight w:val="0"/>
      <w:marTop w:val="0"/>
      <w:marBottom w:val="0"/>
      <w:divBdr>
        <w:top w:val="none" w:sz="0" w:space="0" w:color="auto"/>
        <w:left w:val="none" w:sz="0" w:space="0" w:color="auto"/>
        <w:bottom w:val="none" w:sz="0" w:space="0" w:color="auto"/>
        <w:right w:val="none" w:sz="0" w:space="0" w:color="auto"/>
      </w:divBdr>
    </w:div>
    <w:div w:id="1112285945">
      <w:bodyDiv w:val="1"/>
      <w:marLeft w:val="0"/>
      <w:marRight w:val="0"/>
      <w:marTop w:val="0"/>
      <w:marBottom w:val="0"/>
      <w:divBdr>
        <w:top w:val="none" w:sz="0" w:space="0" w:color="auto"/>
        <w:left w:val="none" w:sz="0" w:space="0" w:color="auto"/>
        <w:bottom w:val="none" w:sz="0" w:space="0" w:color="auto"/>
        <w:right w:val="none" w:sz="0" w:space="0" w:color="auto"/>
      </w:divBdr>
    </w:div>
    <w:div w:id="1112363156">
      <w:bodyDiv w:val="1"/>
      <w:marLeft w:val="0"/>
      <w:marRight w:val="0"/>
      <w:marTop w:val="0"/>
      <w:marBottom w:val="0"/>
      <w:divBdr>
        <w:top w:val="none" w:sz="0" w:space="0" w:color="auto"/>
        <w:left w:val="none" w:sz="0" w:space="0" w:color="auto"/>
        <w:bottom w:val="none" w:sz="0" w:space="0" w:color="auto"/>
        <w:right w:val="none" w:sz="0" w:space="0" w:color="auto"/>
      </w:divBdr>
    </w:div>
    <w:div w:id="1112548904">
      <w:bodyDiv w:val="1"/>
      <w:marLeft w:val="0"/>
      <w:marRight w:val="0"/>
      <w:marTop w:val="0"/>
      <w:marBottom w:val="0"/>
      <w:divBdr>
        <w:top w:val="none" w:sz="0" w:space="0" w:color="auto"/>
        <w:left w:val="none" w:sz="0" w:space="0" w:color="auto"/>
        <w:bottom w:val="none" w:sz="0" w:space="0" w:color="auto"/>
        <w:right w:val="none" w:sz="0" w:space="0" w:color="auto"/>
      </w:divBdr>
    </w:div>
    <w:div w:id="1112821732">
      <w:bodyDiv w:val="1"/>
      <w:marLeft w:val="0"/>
      <w:marRight w:val="0"/>
      <w:marTop w:val="0"/>
      <w:marBottom w:val="0"/>
      <w:divBdr>
        <w:top w:val="none" w:sz="0" w:space="0" w:color="auto"/>
        <w:left w:val="none" w:sz="0" w:space="0" w:color="auto"/>
        <w:bottom w:val="none" w:sz="0" w:space="0" w:color="auto"/>
        <w:right w:val="none" w:sz="0" w:space="0" w:color="auto"/>
      </w:divBdr>
    </w:div>
    <w:div w:id="1113204780">
      <w:bodyDiv w:val="1"/>
      <w:marLeft w:val="0"/>
      <w:marRight w:val="0"/>
      <w:marTop w:val="0"/>
      <w:marBottom w:val="0"/>
      <w:divBdr>
        <w:top w:val="none" w:sz="0" w:space="0" w:color="auto"/>
        <w:left w:val="none" w:sz="0" w:space="0" w:color="auto"/>
        <w:bottom w:val="none" w:sz="0" w:space="0" w:color="auto"/>
        <w:right w:val="none" w:sz="0" w:space="0" w:color="auto"/>
      </w:divBdr>
    </w:div>
    <w:div w:id="1113981783">
      <w:bodyDiv w:val="1"/>
      <w:marLeft w:val="0"/>
      <w:marRight w:val="0"/>
      <w:marTop w:val="0"/>
      <w:marBottom w:val="0"/>
      <w:divBdr>
        <w:top w:val="none" w:sz="0" w:space="0" w:color="auto"/>
        <w:left w:val="none" w:sz="0" w:space="0" w:color="auto"/>
        <w:bottom w:val="none" w:sz="0" w:space="0" w:color="auto"/>
        <w:right w:val="none" w:sz="0" w:space="0" w:color="auto"/>
      </w:divBdr>
    </w:div>
    <w:div w:id="1114446094">
      <w:bodyDiv w:val="1"/>
      <w:marLeft w:val="0"/>
      <w:marRight w:val="0"/>
      <w:marTop w:val="0"/>
      <w:marBottom w:val="0"/>
      <w:divBdr>
        <w:top w:val="none" w:sz="0" w:space="0" w:color="auto"/>
        <w:left w:val="none" w:sz="0" w:space="0" w:color="auto"/>
        <w:bottom w:val="none" w:sz="0" w:space="0" w:color="auto"/>
        <w:right w:val="none" w:sz="0" w:space="0" w:color="auto"/>
      </w:divBdr>
    </w:div>
    <w:div w:id="1114784078">
      <w:bodyDiv w:val="1"/>
      <w:marLeft w:val="0"/>
      <w:marRight w:val="0"/>
      <w:marTop w:val="0"/>
      <w:marBottom w:val="0"/>
      <w:divBdr>
        <w:top w:val="none" w:sz="0" w:space="0" w:color="auto"/>
        <w:left w:val="none" w:sz="0" w:space="0" w:color="auto"/>
        <w:bottom w:val="none" w:sz="0" w:space="0" w:color="auto"/>
        <w:right w:val="none" w:sz="0" w:space="0" w:color="auto"/>
      </w:divBdr>
    </w:div>
    <w:div w:id="1115175638">
      <w:bodyDiv w:val="1"/>
      <w:marLeft w:val="0"/>
      <w:marRight w:val="0"/>
      <w:marTop w:val="0"/>
      <w:marBottom w:val="0"/>
      <w:divBdr>
        <w:top w:val="none" w:sz="0" w:space="0" w:color="auto"/>
        <w:left w:val="none" w:sz="0" w:space="0" w:color="auto"/>
        <w:bottom w:val="none" w:sz="0" w:space="0" w:color="auto"/>
        <w:right w:val="none" w:sz="0" w:space="0" w:color="auto"/>
      </w:divBdr>
    </w:div>
    <w:div w:id="1115635986">
      <w:bodyDiv w:val="1"/>
      <w:marLeft w:val="0"/>
      <w:marRight w:val="0"/>
      <w:marTop w:val="0"/>
      <w:marBottom w:val="0"/>
      <w:divBdr>
        <w:top w:val="none" w:sz="0" w:space="0" w:color="auto"/>
        <w:left w:val="none" w:sz="0" w:space="0" w:color="auto"/>
        <w:bottom w:val="none" w:sz="0" w:space="0" w:color="auto"/>
        <w:right w:val="none" w:sz="0" w:space="0" w:color="auto"/>
      </w:divBdr>
    </w:div>
    <w:div w:id="1116680970">
      <w:bodyDiv w:val="1"/>
      <w:marLeft w:val="0"/>
      <w:marRight w:val="0"/>
      <w:marTop w:val="0"/>
      <w:marBottom w:val="0"/>
      <w:divBdr>
        <w:top w:val="none" w:sz="0" w:space="0" w:color="auto"/>
        <w:left w:val="none" w:sz="0" w:space="0" w:color="auto"/>
        <w:bottom w:val="none" w:sz="0" w:space="0" w:color="auto"/>
        <w:right w:val="none" w:sz="0" w:space="0" w:color="auto"/>
      </w:divBdr>
    </w:div>
    <w:div w:id="1116870375">
      <w:bodyDiv w:val="1"/>
      <w:marLeft w:val="0"/>
      <w:marRight w:val="0"/>
      <w:marTop w:val="0"/>
      <w:marBottom w:val="0"/>
      <w:divBdr>
        <w:top w:val="none" w:sz="0" w:space="0" w:color="auto"/>
        <w:left w:val="none" w:sz="0" w:space="0" w:color="auto"/>
        <w:bottom w:val="none" w:sz="0" w:space="0" w:color="auto"/>
        <w:right w:val="none" w:sz="0" w:space="0" w:color="auto"/>
      </w:divBdr>
    </w:div>
    <w:div w:id="1117719442">
      <w:bodyDiv w:val="1"/>
      <w:marLeft w:val="0"/>
      <w:marRight w:val="0"/>
      <w:marTop w:val="0"/>
      <w:marBottom w:val="0"/>
      <w:divBdr>
        <w:top w:val="none" w:sz="0" w:space="0" w:color="auto"/>
        <w:left w:val="none" w:sz="0" w:space="0" w:color="auto"/>
        <w:bottom w:val="none" w:sz="0" w:space="0" w:color="auto"/>
        <w:right w:val="none" w:sz="0" w:space="0" w:color="auto"/>
      </w:divBdr>
    </w:div>
    <w:div w:id="1118570424">
      <w:bodyDiv w:val="1"/>
      <w:marLeft w:val="0"/>
      <w:marRight w:val="0"/>
      <w:marTop w:val="0"/>
      <w:marBottom w:val="0"/>
      <w:divBdr>
        <w:top w:val="none" w:sz="0" w:space="0" w:color="auto"/>
        <w:left w:val="none" w:sz="0" w:space="0" w:color="auto"/>
        <w:bottom w:val="none" w:sz="0" w:space="0" w:color="auto"/>
        <w:right w:val="none" w:sz="0" w:space="0" w:color="auto"/>
      </w:divBdr>
    </w:div>
    <w:div w:id="1118791512">
      <w:bodyDiv w:val="1"/>
      <w:marLeft w:val="0"/>
      <w:marRight w:val="0"/>
      <w:marTop w:val="0"/>
      <w:marBottom w:val="0"/>
      <w:divBdr>
        <w:top w:val="none" w:sz="0" w:space="0" w:color="auto"/>
        <w:left w:val="none" w:sz="0" w:space="0" w:color="auto"/>
        <w:bottom w:val="none" w:sz="0" w:space="0" w:color="auto"/>
        <w:right w:val="none" w:sz="0" w:space="0" w:color="auto"/>
      </w:divBdr>
    </w:div>
    <w:div w:id="1118917552">
      <w:bodyDiv w:val="1"/>
      <w:marLeft w:val="0"/>
      <w:marRight w:val="0"/>
      <w:marTop w:val="0"/>
      <w:marBottom w:val="0"/>
      <w:divBdr>
        <w:top w:val="none" w:sz="0" w:space="0" w:color="auto"/>
        <w:left w:val="none" w:sz="0" w:space="0" w:color="auto"/>
        <w:bottom w:val="none" w:sz="0" w:space="0" w:color="auto"/>
        <w:right w:val="none" w:sz="0" w:space="0" w:color="auto"/>
      </w:divBdr>
    </w:div>
    <w:div w:id="1119765599">
      <w:bodyDiv w:val="1"/>
      <w:marLeft w:val="0"/>
      <w:marRight w:val="0"/>
      <w:marTop w:val="0"/>
      <w:marBottom w:val="0"/>
      <w:divBdr>
        <w:top w:val="none" w:sz="0" w:space="0" w:color="auto"/>
        <w:left w:val="none" w:sz="0" w:space="0" w:color="auto"/>
        <w:bottom w:val="none" w:sz="0" w:space="0" w:color="auto"/>
        <w:right w:val="none" w:sz="0" w:space="0" w:color="auto"/>
      </w:divBdr>
    </w:div>
    <w:div w:id="1120104289">
      <w:bodyDiv w:val="1"/>
      <w:marLeft w:val="0"/>
      <w:marRight w:val="0"/>
      <w:marTop w:val="0"/>
      <w:marBottom w:val="0"/>
      <w:divBdr>
        <w:top w:val="none" w:sz="0" w:space="0" w:color="auto"/>
        <w:left w:val="none" w:sz="0" w:space="0" w:color="auto"/>
        <w:bottom w:val="none" w:sz="0" w:space="0" w:color="auto"/>
        <w:right w:val="none" w:sz="0" w:space="0" w:color="auto"/>
      </w:divBdr>
    </w:div>
    <w:div w:id="1120145916">
      <w:bodyDiv w:val="1"/>
      <w:marLeft w:val="0"/>
      <w:marRight w:val="0"/>
      <w:marTop w:val="0"/>
      <w:marBottom w:val="0"/>
      <w:divBdr>
        <w:top w:val="none" w:sz="0" w:space="0" w:color="auto"/>
        <w:left w:val="none" w:sz="0" w:space="0" w:color="auto"/>
        <w:bottom w:val="none" w:sz="0" w:space="0" w:color="auto"/>
        <w:right w:val="none" w:sz="0" w:space="0" w:color="auto"/>
      </w:divBdr>
    </w:div>
    <w:div w:id="1120345424">
      <w:bodyDiv w:val="1"/>
      <w:marLeft w:val="0"/>
      <w:marRight w:val="0"/>
      <w:marTop w:val="0"/>
      <w:marBottom w:val="0"/>
      <w:divBdr>
        <w:top w:val="none" w:sz="0" w:space="0" w:color="auto"/>
        <w:left w:val="none" w:sz="0" w:space="0" w:color="auto"/>
        <w:bottom w:val="none" w:sz="0" w:space="0" w:color="auto"/>
        <w:right w:val="none" w:sz="0" w:space="0" w:color="auto"/>
      </w:divBdr>
    </w:div>
    <w:div w:id="1120412948">
      <w:bodyDiv w:val="1"/>
      <w:marLeft w:val="0"/>
      <w:marRight w:val="0"/>
      <w:marTop w:val="0"/>
      <w:marBottom w:val="0"/>
      <w:divBdr>
        <w:top w:val="none" w:sz="0" w:space="0" w:color="auto"/>
        <w:left w:val="none" w:sz="0" w:space="0" w:color="auto"/>
        <w:bottom w:val="none" w:sz="0" w:space="0" w:color="auto"/>
        <w:right w:val="none" w:sz="0" w:space="0" w:color="auto"/>
      </w:divBdr>
    </w:div>
    <w:div w:id="1120420340">
      <w:bodyDiv w:val="1"/>
      <w:marLeft w:val="0"/>
      <w:marRight w:val="0"/>
      <w:marTop w:val="0"/>
      <w:marBottom w:val="0"/>
      <w:divBdr>
        <w:top w:val="none" w:sz="0" w:space="0" w:color="auto"/>
        <w:left w:val="none" w:sz="0" w:space="0" w:color="auto"/>
        <w:bottom w:val="none" w:sz="0" w:space="0" w:color="auto"/>
        <w:right w:val="none" w:sz="0" w:space="0" w:color="auto"/>
      </w:divBdr>
    </w:div>
    <w:div w:id="1120607964">
      <w:bodyDiv w:val="1"/>
      <w:marLeft w:val="0"/>
      <w:marRight w:val="0"/>
      <w:marTop w:val="0"/>
      <w:marBottom w:val="0"/>
      <w:divBdr>
        <w:top w:val="none" w:sz="0" w:space="0" w:color="auto"/>
        <w:left w:val="none" w:sz="0" w:space="0" w:color="auto"/>
        <w:bottom w:val="none" w:sz="0" w:space="0" w:color="auto"/>
        <w:right w:val="none" w:sz="0" w:space="0" w:color="auto"/>
      </w:divBdr>
    </w:div>
    <w:div w:id="1120954373">
      <w:bodyDiv w:val="1"/>
      <w:marLeft w:val="0"/>
      <w:marRight w:val="0"/>
      <w:marTop w:val="0"/>
      <w:marBottom w:val="0"/>
      <w:divBdr>
        <w:top w:val="none" w:sz="0" w:space="0" w:color="auto"/>
        <w:left w:val="none" w:sz="0" w:space="0" w:color="auto"/>
        <w:bottom w:val="none" w:sz="0" w:space="0" w:color="auto"/>
        <w:right w:val="none" w:sz="0" w:space="0" w:color="auto"/>
      </w:divBdr>
    </w:div>
    <w:div w:id="1121219711">
      <w:bodyDiv w:val="1"/>
      <w:marLeft w:val="0"/>
      <w:marRight w:val="0"/>
      <w:marTop w:val="0"/>
      <w:marBottom w:val="0"/>
      <w:divBdr>
        <w:top w:val="none" w:sz="0" w:space="0" w:color="auto"/>
        <w:left w:val="none" w:sz="0" w:space="0" w:color="auto"/>
        <w:bottom w:val="none" w:sz="0" w:space="0" w:color="auto"/>
        <w:right w:val="none" w:sz="0" w:space="0" w:color="auto"/>
      </w:divBdr>
    </w:div>
    <w:div w:id="1122191651">
      <w:bodyDiv w:val="1"/>
      <w:marLeft w:val="0"/>
      <w:marRight w:val="0"/>
      <w:marTop w:val="0"/>
      <w:marBottom w:val="0"/>
      <w:divBdr>
        <w:top w:val="none" w:sz="0" w:space="0" w:color="auto"/>
        <w:left w:val="none" w:sz="0" w:space="0" w:color="auto"/>
        <w:bottom w:val="none" w:sz="0" w:space="0" w:color="auto"/>
        <w:right w:val="none" w:sz="0" w:space="0" w:color="auto"/>
      </w:divBdr>
    </w:div>
    <w:div w:id="1122849413">
      <w:bodyDiv w:val="1"/>
      <w:marLeft w:val="0"/>
      <w:marRight w:val="0"/>
      <w:marTop w:val="0"/>
      <w:marBottom w:val="0"/>
      <w:divBdr>
        <w:top w:val="none" w:sz="0" w:space="0" w:color="auto"/>
        <w:left w:val="none" w:sz="0" w:space="0" w:color="auto"/>
        <w:bottom w:val="none" w:sz="0" w:space="0" w:color="auto"/>
        <w:right w:val="none" w:sz="0" w:space="0" w:color="auto"/>
      </w:divBdr>
    </w:div>
    <w:div w:id="1123422580">
      <w:bodyDiv w:val="1"/>
      <w:marLeft w:val="0"/>
      <w:marRight w:val="0"/>
      <w:marTop w:val="0"/>
      <w:marBottom w:val="0"/>
      <w:divBdr>
        <w:top w:val="none" w:sz="0" w:space="0" w:color="auto"/>
        <w:left w:val="none" w:sz="0" w:space="0" w:color="auto"/>
        <w:bottom w:val="none" w:sz="0" w:space="0" w:color="auto"/>
        <w:right w:val="none" w:sz="0" w:space="0" w:color="auto"/>
      </w:divBdr>
    </w:div>
    <w:div w:id="1124225913">
      <w:bodyDiv w:val="1"/>
      <w:marLeft w:val="0"/>
      <w:marRight w:val="0"/>
      <w:marTop w:val="0"/>
      <w:marBottom w:val="0"/>
      <w:divBdr>
        <w:top w:val="none" w:sz="0" w:space="0" w:color="auto"/>
        <w:left w:val="none" w:sz="0" w:space="0" w:color="auto"/>
        <w:bottom w:val="none" w:sz="0" w:space="0" w:color="auto"/>
        <w:right w:val="none" w:sz="0" w:space="0" w:color="auto"/>
      </w:divBdr>
    </w:div>
    <w:div w:id="1124274534">
      <w:bodyDiv w:val="1"/>
      <w:marLeft w:val="0"/>
      <w:marRight w:val="0"/>
      <w:marTop w:val="0"/>
      <w:marBottom w:val="0"/>
      <w:divBdr>
        <w:top w:val="none" w:sz="0" w:space="0" w:color="auto"/>
        <w:left w:val="none" w:sz="0" w:space="0" w:color="auto"/>
        <w:bottom w:val="none" w:sz="0" w:space="0" w:color="auto"/>
        <w:right w:val="none" w:sz="0" w:space="0" w:color="auto"/>
      </w:divBdr>
    </w:div>
    <w:div w:id="1125125596">
      <w:bodyDiv w:val="1"/>
      <w:marLeft w:val="0"/>
      <w:marRight w:val="0"/>
      <w:marTop w:val="0"/>
      <w:marBottom w:val="0"/>
      <w:divBdr>
        <w:top w:val="none" w:sz="0" w:space="0" w:color="auto"/>
        <w:left w:val="none" w:sz="0" w:space="0" w:color="auto"/>
        <w:bottom w:val="none" w:sz="0" w:space="0" w:color="auto"/>
        <w:right w:val="none" w:sz="0" w:space="0" w:color="auto"/>
      </w:divBdr>
    </w:div>
    <w:div w:id="1125271207">
      <w:bodyDiv w:val="1"/>
      <w:marLeft w:val="0"/>
      <w:marRight w:val="0"/>
      <w:marTop w:val="0"/>
      <w:marBottom w:val="0"/>
      <w:divBdr>
        <w:top w:val="none" w:sz="0" w:space="0" w:color="auto"/>
        <w:left w:val="none" w:sz="0" w:space="0" w:color="auto"/>
        <w:bottom w:val="none" w:sz="0" w:space="0" w:color="auto"/>
        <w:right w:val="none" w:sz="0" w:space="0" w:color="auto"/>
      </w:divBdr>
    </w:div>
    <w:div w:id="1125273655">
      <w:bodyDiv w:val="1"/>
      <w:marLeft w:val="0"/>
      <w:marRight w:val="0"/>
      <w:marTop w:val="0"/>
      <w:marBottom w:val="0"/>
      <w:divBdr>
        <w:top w:val="none" w:sz="0" w:space="0" w:color="auto"/>
        <w:left w:val="none" w:sz="0" w:space="0" w:color="auto"/>
        <w:bottom w:val="none" w:sz="0" w:space="0" w:color="auto"/>
        <w:right w:val="none" w:sz="0" w:space="0" w:color="auto"/>
      </w:divBdr>
    </w:div>
    <w:div w:id="1125543933">
      <w:bodyDiv w:val="1"/>
      <w:marLeft w:val="0"/>
      <w:marRight w:val="0"/>
      <w:marTop w:val="0"/>
      <w:marBottom w:val="0"/>
      <w:divBdr>
        <w:top w:val="none" w:sz="0" w:space="0" w:color="auto"/>
        <w:left w:val="none" w:sz="0" w:space="0" w:color="auto"/>
        <w:bottom w:val="none" w:sz="0" w:space="0" w:color="auto"/>
        <w:right w:val="none" w:sz="0" w:space="0" w:color="auto"/>
      </w:divBdr>
    </w:div>
    <w:div w:id="1126195538">
      <w:bodyDiv w:val="1"/>
      <w:marLeft w:val="0"/>
      <w:marRight w:val="0"/>
      <w:marTop w:val="0"/>
      <w:marBottom w:val="0"/>
      <w:divBdr>
        <w:top w:val="none" w:sz="0" w:space="0" w:color="auto"/>
        <w:left w:val="none" w:sz="0" w:space="0" w:color="auto"/>
        <w:bottom w:val="none" w:sz="0" w:space="0" w:color="auto"/>
        <w:right w:val="none" w:sz="0" w:space="0" w:color="auto"/>
      </w:divBdr>
    </w:div>
    <w:div w:id="1126968086">
      <w:bodyDiv w:val="1"/>
      <w:marLeft w:val="0"/>
      <w:marRight w:val="0"/>
      <w:marTop w:val="0"/>
      <w:marBottom w:val="0"/>
      <w:divBdr>
        <w:top w:val="none" w:sz="0" w:space="0" w:color="auto"/>
        <w:left w:val="none" w:sz="0" w:space="0" w:color="auto"/>
        <w:bottom w:val="none" w:sz="0" w:space="0" w:color="auto"/>
        <w:right w:val="none" w:sz="0" w:space="0" w:color="auto"/>
      </w:divBdr>
    </w:div>
    <w:div w:id="1127821193">
      <w:bodyDiv w:val="1"/>
      <w:marLeft w:val="0"/>
      <w:marRight w:val="0"/>
      <w:marTop w:val="0"/>
      <w:marBottom w:val="0"/>
      <w:divBdr>
        <w:top w:val="none" w:sz="0" w:space="0" w:color="auto"/>
        <w:left w:val="none" w:sz="0" w:space="0" w:color="auto"/>
        <w:bottom w:val="none" w:sz="0" w:space="0" w:color="auto"/>
        <w:right w:val="none" w:sz="0" w:space="0" w:color="auto"/>
      </w:divBdr>
    </w:div>
    <w:div w:id="1128082187">
      <w:bodyDiv w:val="1"/>
      <w:marLeft w:val="0"/>
      <w:marRight w:val="0"/>
      <w:marTop w:val="0"/>
      <w:marBottom w:val="0"/>
      <w:divBdr>
        <w:top w:val="none" w:sz="0" w:space="0" w:color="auto"/>
        <w:left w:val="none" w:sz="0" w:space="0" w:color="auto"/>
        <w:bottom w:val="none" w:sz="0" w:space="0" w:color="auto"/>
        <w:right w:val="none" w:sz="0" w:space="0" w:color="auto"/>
      </w:divBdr>
    </w:div>
    <w:div w:id="1128202963">
      <w:bodyDiv w:val="1"/>
      <w:marLeft w:val="0"/>
      <w:marRight w:val="0"/>
      <w:marTop w:val="0"/>
      <w:marBottom w:val="0"/>
      <w:divBdr>
        <w:top w:val="none" w:sz="0" w:space="0" w:color="auto"/>
        <w:left w:val="none" w:sz="0" w:space="0" w:color="auto"/>
        <w:bottom w:val="none" w:sz="0" w:space="0" w:color="auto"/>
        <w:right w:val="none" w:sz="0" w:space="0" w:color="auto"/>
      </w:divBdr>
    </w:div>
    <w:div w:id="1128550151">
      <w:bodyDiv w:val="1"/>
      <w:marLeft w:val="0"/>
      <w:marRight w:val="0"/>
      <w:marTop w:val="0"/>
      <w:marBottom w:val="0"/>
      <w:divBdr>
        <w:top w:val="none" w:sz="0" w:space="0" w:color="auto"/>
        <w:left w:val="none" w:sz="0" w:space="0" w:color="auto"/>
        <w:bottom w:val="none" w:sz="0" w:space="0" w:color="auto"/>
        <w:right w:val="none" w:sz="0" w:space="0" w:color="auto"/>
      </w:divBdr>
    </w:div>
    <w:div w:id="1128620348">
      <w:bodyDiv w:val="1"/>
      <w:marLeft w:val="0"/>
      <w:marRight w:val="0"/>
      <w:marTop w:val="0"/>
      <w:marBottom w:val="0"/>
      <w:divBdr>
        <w:top w:val="none" w:sz="0" w:space="0" w:color="auto"/>
        <w:left w:val="none" w:sz="0" w:space="0" w:color="auto"/>
        <w:bottom w:val="none" w:sz="0" w:space="0" w:color="auto"/>
        <w:right w:val="none" w:sz="0" w:space="0" w:color="auto"/>
      </w:divBdr>
    </w:div>
    <w:div w:id="1128664335">
      <w:bodyDiv w:val="1"/>
      <w:marLeft w:val="0"/>
      <w:marRight w:val="0"/>
      <w:marTop w:val="0"/>
      <w:marBottom w:val="0"/>
      <w:divBdr>
        <w:top w:val="none" w:sz="0" w:space="0" w:color="auto"/>
        <w:left w:val="none" w:sz="0" w:space="0" w:color="auto"/>
        <w:bottom w:val="none" w:sz="0" w:space="0" w:color="auto"/>
        <w:right w:val="none" w:sz="0" w:space="0" w:color="auto"/>
      </w:divBdr>
    </w:div>
    <w:div w:id="1128815813">
      <w:bodyDiv w:val="1"/>
      <w:marLeft w:val="0"/>
      <w:marRight w:val="0"/>
      <w:marTop w:val="0"/>
      <w:marBottom w:val="0"/>
      <w:divBdr>
        <w:top w:val="none" w:sz="0" w:space="0" w:color="auto"/>
        <w:left w:val="none" w:sz="0" w:space="0" w:color="auto"/>
        <w:bottom w:val="none" w:sz="0" w:space="0" w:color="auto"/>
        <w:right w:val="none" w:sz="0" w:space="0" w:color="auto"/>
      </w:divBdr>
    </w:div>
    <w:div w:id="1128817138">
      <w:bodyDiv w:val="1"/>
      <w:marLeft w:val="0"/>
      <w:marRight w:val="0"/>
      <w:marTop w:val="0"/>
      <w:marBottom w:val="0"/>
      <w:divBdr>
        <w:top w:val="none" w:sz="0" w:space="0" w:color="auto"/>
        <w:left w:val="none" w:sz="0" w:space="0" w:color="auto"/>
        <w:bottom w:val="none" w:sz="0" w:space="0" w:color="auto"/>
        <w:right w:val="none" w:sz="0" w:space="0" w:color="auto"/>
      </w:divBdr>
    </w:div>
    <w:div w:id="1128822421">
      <w:bodyDiv w:val="1"/>
      <w:marLeft w:val="0"/>
      <w:marRight w:val="0"/>
      <w:marTop w:val="0"/>
      <w:marBottom w:val="0"/>
      <w:divBdr>
        <w:top w:val="none" w:sz="0" w:space="0" w:color="auto"/>
        <w:left w:val="none" w:sz="0" w:space="0" w:color="auto"/>
        <w:bottom w:val="none" w:sz="0" w:space="0" w:color="auto"/>
        <w:right w:val="none" w:sz="0" w:space="0" w:color="auto"/>
      </w:divBdr>
    </w:div>
    <w:div w:id="1129056061">
      <w:bodyDiv w:val="1"/>
      <w:marLeft w:val="0"/>
      <w:marRight w:val="0"/>
      <w:marTop w:val="0"/>
      <w:marBottom w:val="0"/>
      <w:divBdr>
        <w:top w:val="none" w:sz="0" w:space="0" w:color="auto"/>
        <w:left w:val="none" w:sz="0" w:space="0" w:color="auto"/>
        <w:bottom w:val="none" w:sz="0" w:space="0" w:color="auto"/>
        <w:right w:val="none" w:sz="0" w:space="0" w:color="auto"/>
      </w:divBdr>
    </w:div>
    <w:div w:id="1129317738">
      <w:bodyDiv w:val="1"/>
      <w:marLeft w:val="0"/>
      <w:marRight w:val="0"/>
      <w:marTop w:val="0"/>
      <w:marBottom w:val="0"/>
      <w:divBdr>
        <w:top w:val="none" w:sz="0" w:space="0" w:color="auto"/>
        <w:left w:val="none" w:sz="0" w:space="0" w:color="auto"/>
        <w:bottom w:val="none" w:sz="0" w:space="0" w:color="auto"/>
        <w:right w:val="none" w:sz="0" w:space="0" w:color="auto"/>
      </w:divBdr>
    </w:div>
    <w:div w:id="1129395485">
      <w:bodyDiv w:val="1"/>
      <w:marLeft w:val="0"/>
      <w:marRight w:val="0"/>
      <w:marTop w:val="0"/>
      <w:marBottom w:val="0"/>
      <w:divBdr>
        <w:top w:val="none" w:sz="0" w:space="0" w:color="auto"/>
        <w:left w:val="none" w:sz="0" w:space="0" w:color="auto"/>
        <w:bottom w:val="none" w:sz="0" w:space="0" w:color="auto"/>
        <w:right w:val="none" w:sz="0" w:space="0" w:color="auto"/>
      </w:divBdr>
    </w:div>
    <w:div w:id="1129543709">
      <w:bodyDiv w:val="1"/>
      <w:marLeft w:val="0"/>
      <w:marRight w:val="0"/>
      <w:marTop w:val="0"/>
      <w:marBottom w:val="0"/>
      <w:divBdr>
        <w:top w:val="none" w:sz="0" w:space="0" w:color="auto"/>
        <w:left w:val="none" w:sz="0" w:space="0" w:color="auto"/>
        <w:bottom w:val="none" w:sz="0" w:space="0" w:color="auto"/>
        <w:right w:val="none" w:sz="0" w:space="0" w:color="auto"/>
      </w:divBdr>
    </w:div>
    <w:div w:id="1129862731">
      <w:bodyDiv w:val="1"/>
      <w:marLeft w:val="0"/>
      <w:marRight w:val="0"/>
      <w:marTop w:val="0"/>
      <w:marBottom w:val="0"/>
      <w:divBdr>
        <w:top w:val="none" w:sz="0" w:space="0" w:color="auto"/>
        <w:left w:val="none" w:sz="0" w:space="0" w:color="auto"/>
        <w:bottom w:val="none" w:sz="0" w:space="0" w:color="auto"/>
        <w:right w:val="none" w:sz="0" w:space="0" w:color="auto"/>
      </w:divBdr>
    </w:div>
    <w:div w:id="1129972860">
      <w:bodyDiv w:val="1"/>
      <w:marLeft w:val="0"/>
      <w:marRight w:val="0"/>
      <w:marTop w:val="0"/>
      <w:marBottom w:val="0"/>
      <w:divBdr>
        <w:top w:val="none" w:sz="0" w:space="0" w:color="auto"/>
        <w:left w:val="none" w:sz="0" w:space="0" w:color="auto"/>
        <w:bottom w:val="none" w:sz="0" w:space="0" w:color="auto"/>
        <w:right w:val="none" w:sz="0" w:space="0" w:color="auto"/>
      </w:divBdr>
    </w:div>
    <w:div w:id="1130249299">
      <w:bodyDiv w:val="1"/>
      <w:marLeft w:val="0"/>
      <w:marRight w:val="0"/>
      <w:marTop w:val="0"/>
      <w:marBottom w:val="0"/>
      <w:divBdr>
        <w:top w:val="none" w:sz="0" w:space="0" w:color="auto"/>
        <w:left w:val="none" w:sz="0" w:space="0" w:color="auto"/>
        <w:bottom w:val="none" w:sz="0" w:space="0" w:color="auto"/>
        <w:right w:val="none" w:sz="0" w:space="0" w:color="auto"/>
      </w:divBdr>
    </w:div>
    <w:div w:id="1130368659">
      <w:bodyDiv w:val="1"/>
      <w:marLeft w:val="0"/>
      <w:marRight w:val="0"/>
      <w:marTop w:val="0"/>
      <w:marBottom w:val="0"/>
      <w:divBdr>
        <w:top w:val="none" w:sz="0" w:space="0" w:color="auto"/>
        <w:left w:val="none" w:sz="0" w:space="0" w:color="auto"/>
        <w:bottom w:val="none" w:sz="0" w:space="0" w:color="auto"/>
        <w:right w:val="none" w:sz="0" w:space="0" w:color="auto"/>
      </w:divBdr>
    </w:div>
    <w:div w:id="1130434888">
      <w:bodyDiv w:val="1"/>
      <w:marLeft w:val="0"/>
      <w:marRight w:val="0"/>
      <w:marTop w:val="0"/>
      <w:marBottom w:val="0"/>
      <w:divBdr>
        <w:top w:val="none" w:sz="0" w:space="0" w:color="auto"/>
        <w:left w:val="none" w:sz="0" w:space="0" w:color="auto"/>
        <w:bottom w:val="none" w:sz="0" w:space="0" w:color="auto"/>
        <w:right w:val="none" w:sz="0" w:space="0" w:color="auto"/>
      </w:divBdr>
    </w:div>
    <w:div w:id="1130438956">
      <w:bodyDiv w:val="1"/>
      <w:marLeft w:val="0"/>
      <w:marRight w:val="0"/>
      <w:marTop w:val="0"/>
      <w:marBottom w:val="0"/>
      <w:divBdr>
        <w:top w:val="none" w:sz="0" w:space="0" w:color="auto"/>
        <w:left w:val="none" w:sz="0" w:space="0" w:color="auto"/>
        <w:bottom w:val="none" w:sz="0" w:space="0" w:color="auto"/>
        <w:right w:val="none" w:sz="0" w:space="0" w:color="auto"/>
      </w:divBdr>
    </w:div>
    <w:div w:id="1131751566">
      <w:bodyDiv w:val="1"/>
      <w:marLeft w:val="0"/>
      <w:marRight w:val="0"/>
      <w:marTop w:val="0"/>
      <w:marBottom w:val="0"/>
      <w:divBdr>
        <w:top w:val="none" w:sz="0" w:space="0" w:color="auto"/>
        <w:left w:val="none" w:sz="0" w:space="0" w:color="auto"/>
        <w:bottom w:val="none" w:sz="0" w:space="0" w:color="auto"/>
        <w:right w:val="none" w:sz="0" w:space="0" w:color="auto"/>
      </w:divBdr>
    </w:div>
    <w:div w:id="1131901495">
      <w:bodyDiv w:val="1"/>
      <w:marLeft w:val="0"/>
      <w:marRight w:val="0"/>
      <w:marTop w:val="0"/>
      <w:marBottom w:val="0"/>
      <w:divBdr>
        <w:top w:val="none" w:sz="0" w:space="0" w:color="auto"/>
        <w:left w:val="none" w:sz="0" w:space="0" w:color="auto"/>
        <w:bottom w:val="none" w:sz="0" w:space="0" w:color="auto"/>
        <w:right w:val="none" w:sz="0" w:space="0" w:color="auto"/>
      </w:divBdr>
    </w:div>
    <w:div w:id="1132408441">
      <w:bodyDiv w:val="1"/>
      <w:marLeft w:val="0"/>
      <w:marRight w:val="0"/>
      <w:marTop w:val="0"/>
      <w:marBottom w:val="0"/>
      <w:divBdr>
        <w:top w:val="none" w:sz="0" w:space="0" w:color="auto"/>
        <w:left w:val="none" w:sz="0" w:space="0" w:color="auto"/>
        <w:bottom w:val="none" w:sz="0" w:space="0" w:color="auto"/>
        <w:right w:val="none" w:sz="0" w:space="0" w:color="auto"/>
      </w:divBdr>
    </w:div>
    <w:div w:id="1132478232">
      <w:bodyDiv w:val="1"/>
      <w:marLeft w:val="0"/>
      <w:marRight w:val="0"/>
      <w:marTop w:val="0"/>
      <w:marBottom w:val="0"/>
      <w:divBdr>
        <w:top w:val="none" w:sz="0" w:space="0" w:color="auto"/>
        <w:left w:val="none" w:sz="0" w:space="0" w:color="auto"/>
        <w:bottom w:val="none" w:sz="0" w:space="0" w:color="auto"/>
        <w:right w:val="none" w:sz="0" w:space="0" w:color="auto"/>
      </w:divBdr>
    </w:div>
    <w:div w:id="1132671818">
      <w:bodyDiv w:val="1"/>
      <w:marLeft w:val="0"/>
      <w:marRight w:val="0"/>
      <w:marTop w:val="0"/>
      <w:marBottom w:val="0"/>
      <w:divBdr>
        <w:top w:val="none" w:sz="0" w:space="0" w:color="auto"/>
        <w:left w:val="none" w:sz="0" w:space="0" w:color="auto"/>
        <w:bottom w:val="none" w:sz="0" w:space="0" w:color="auto"/>
        <w:right w:val="none" w:sz="0" w:space="0" w:color="auto"/>
      </w:divBdr>
    </w:div>
    <w:div w:id="1133524552">
      <w:bodyDiv w:val="1"/>
      <w:marLeft w:val="0"/>
      <w:marRight w:val="0"/>
      <w:marTop w:val="0"/>
      <w:marBottom w:val="0"/>
      <w:divBdr>
        <w:top w:val="none" w:sz="0" w:space="0" w:color="auto"/>
        <w:left w:val="none" w:sz="0" w:space="0" w:color="auto"/>
        <w:bottom w:val="none" w:sz="0" w:space="0" w:color="auto"/>
        <w:right w:val="none" w:sz="0" w:space="0" w:color="auto"/>
      </w:divBdr>
    </w:div>
    <w:div w:id="1133790459">
      <w:bodyDiv w:val="1"/>
      <w:marLeft w:val="0"/>
      <w:marRight w:val="0"/>
      <w:marTop w:val="0"/>
      <w:marBottom w:val="0"/>
      <w:divBdr>
        <w:top w:val="none" w:sz="0" w:space="0" w:color="auto"/>
        <w:left w:val="none" w:sz="0" w:space="0" w:color="auto"/>
        <w:bottom w:val="none" w:sz="0" w:space="0" w:color="auto"/>
        <w:right w:val="none" w:sz="0" w:space="0" w:color="auto"/>
      </w:divBdr>
    </w:div>
    <w:div w:id="1133982957">
      <w:bodyDiv w:val="1"/>
      <w:marLeft w:val="0"/>
      <w:marRight w:val="0"/>
      <w:marTop w:val="0"/>
      <w:marBottom w:val="0"/>
      <w:divBdr>
        <w:top w:val="none" w:sz="0" w:space="0" w:color="auto"/>
        <w:left w:val="none" w:sz="0" w:space="0" w:color="auto"/>
        <w:bottom w:val="none" w:sz="0" w:space="0" w:color="auto"/>
        <w:right w:val="none" w:sz="0" w:space="0" w:color="auto"/>
      </w:divBdr>
    </w:div>
    <w:div w:id="1135030134">
      <w:bodyDiv w:val="1"/>
      <w:marLeft w:val="0"/>
      <w:marRight w:val="0"/>
      <w:marTop w:val="0"/>
      <w:marBottom w:val="0"/>
      <w:divBdr>
        <w:top w:val="none" w:sz="0" w:space="0" w:color="auto"/>
        <w:left w:val="none" w:sz="0" w:space="0" w:color="auto"/>
        <w:bottom w:val="none" w:sz="0" w:space="0" w:color="auto"/>
        <w:right w:val="none" w:sz="0" w:space="0" w:color="auto"/>
      </w:divBdr>
    </w:div>
    <w:div w:id="1135178907">
      <w:bodyDiv w:val="1"/>
      <w:marLeft w:val="0"/>
      <w:marRight w:val="0"/>
      <w:marTop w:val="0"/>
      <w:marBottom w:val="0"/>
      <w:divBdr>
        <w:top w:val="none" w:sz="0" w:space="0" w:color="auto"/>
        <w:left w:val="none" w:sz="0" w:space="0" w:color="auto"/>
        <w:bottom w:val="none" w:sz="0" w:space="0" w:color="auto"/>
        <w:right w:val="none" w:sz="0" w:space="0" w:color="auto"/>
      </w:divBdr>
    </w:div>
    <w:div w:id="1135412562">
      <w:bodyDiv w:val="1"/>
      <w:marLeft w:val="0"/>
      <w:marRight w:val="0"/>
      <w:marTop w:val="0"/>
      <w:marBottom w:val="0"/>
      <w:divBdr>
        <w:top w:val="none" w:sz="0" w:space="0" w:color="auto"/>
        <w:left w:val="none" w:sz="0" w:space="0" w:color="auto"/>
        <w:bottom w:val="none" w:sz="0" w:space="0" w:color="auto"/>
        <w:right w:val="none" w:sz="0" w:space="0" w:color="auto"/>
      </w:divBdr>
    </w:div>
    <w:div w:id="1135492145">
      <w:bodyDiv w:val="1"/>
      <w:marLeft w:val="0"/>
      <w:marRight w:val="0"/>
      <w:marTop w:val="0"/>
      <w:marBottom w:val="0"/>
      <w:divBdr>
        <w:top w:val="none" w:sz="0" w:space="0" w:color="auto"/>
        <w:left w:val="none" w:sz="0" w:space="0" w:color="auto"/>
        <w:bottom w:val="none" w:sz="0" w:space="0" w:color="auto"/>
        <w:right w:val="none" w:sz="0" w:space="0" w:color="auto"/>
      </w:divBdr>
    </w:div>
    <w:div w:id="1135759046">
      <w:bodyDiv w:val="1"/>
      <w:marLeft w:val="0"/>
      <w:marRight w:val="0"/>
      <w:marTop w:val="0"/>
      <w:marBottom w:val="0"/>
      <w:divBdr>
        <w:top w:val="none" w:sz="0" w:space="0" w:color="auto"/>
        <w:left w:val="none" w:sz="0" w:space="0" w:color="auto"/>
        <w:bottom w:val="none" w:sz="0" w:space="0" w:color="auto"/>
        <w:right w:val="none" w:sz="0" w:space="0" w:color="auto"/>
      </w:divBdr>
    </w:div>
    <w:div w:id="1135871908">
      <w:bodyDiv w:val="1"/>
      <w:marLeft w:val="0"/>
      <w:marRight w:val="0"/>
      <w:marTop w:val="0"/>
      <w:marBottom w:val="0"/>
      <w:divBdr>
        <w:top w:val="none" w:sz="0" w:space="0" w:color="auto"/>
        <w:left w:val="none" w:sz="0" w:space="0" w:color="auto"/>
        <w:bottom w:val="none" w:sz="0" w:space="0" w:color="auto"/>
        <w:right w:val="none" w:sz="0" w:space="0" w:color="auto"/>
      </w:divBdr>
    </w:div>
    <w:div w:id="1136021223">
      <w:bodyDiv w:val="1"/>
      <w:marLeft w:val="0"/>
      <w:marRight w:val="0"/>
      <w:marTop w:val="0"/>
      <w:marBottom w:val="0"/>
      <w:divBdr>
        <w:top w:val="none" w:sz="0" w:space="0" w:color="auto"/>
        <w:left w:val="none" w:sz="0" w:space="0" w:color="auto"/>
        <w:bottom w:val="none" w:sz="0" w:space="0" w:color="auto"/>
        <w:right w:val="none" w:sz="0" w:space="0" w:color="auto"/>
      </w:divBdr>
    </w:div>
    <w:div w:id="1136029195">
      <w:bodyDiv w:val="1"/>
      <w:marLeft w:val="0"/>
      <w:marRight w:val="0"/>
      <w:marTop w:val="0"/>
      <w:marBottom w:val="0"/>
      <w:divBdr>
        <w:top w:val="none" w:sz="0" w:space="0" w:color="auto"/>
        <w:left w:val="none" w:sz="0" w:space="0" w:color="auto"/>
        <w:bottom w:val="none" w:sz="0" w:space="0" w:color="auto"/>
        <w:right w:val="none" w:sz="0" w:space="0" w:color="auto"/>
      </w:divBdr>
    </w:div>
    <w:div w:id="1136139899">
      <w:bodyDiv w:val="1"/>
      <w:marLeft w:val="0"/>
      <w:marRight w:val="0"/>
      <w:marTop w:val="0"/>
      <w:marBottom w:val="0"/>
      <w:divBdr>
        <w:top w:val="none" w:sz="0" w:space="0" w:color="auto"/>
        <w:left w:val="none" w:sz="0" w:space="0" w:color="auto"/>
        <w:bottom w:val="none" w:sz="0" w:space="0" w:color="auto"/>
        <w:right w:val="none" w:sz="0" w:space="0" w:color="auto"/>
      </w:divBdr>
    </w:div>
    <w:div w:id="1136486741">
      <w:bodyDiv w:val="1"/>
      <w:marLeft w:val="0"/>
      <w:marRight w:val="0"/>
      <w:marTop w:val="0"/>
      <w:marBottom w:val="0"/>
      <w:divBdr>
        <w:top w:val="none" w:sz="0" w:space="0" w:color="auto"/>
        <w:left w:val="none" w:sz="0" w:space="0" w:color="auto"/>
        <w:bottom w:val="none" w:sz="0" w:space="0" w:color="auto"/>
        <w:right w:val="none" w:sz="0" w:space="0" w:color="auto"/>
      </w:divBdr>
    </w:div>
    <w:div w:id="1136679672">
      <w:bodyDiv w:val="1"/>
      <w:marLeft w:val="0"/>
      <w:marRight w:val="0"/>
      <w:marTop w:val="0"/>
      <w:marBottom w:val="0"/>
      <w:divBdr>
        <w:top w:val="none" w:sz="0" w:space="0" w:color="auto"/>
        <w:left w:val="none" w:sz="0" w:space="0" w:color="auto"/>
        <w:bottom w:val="none" w:sz="0" w:space="0" w:color="auto"/>
        <w:right w:val="none" w:sz="0" w:space="0" w:color="auto"/>
      </w:divBdr>
    </w:div>
    <w:div w:id="1136794323">
      <w:bodyDiv w:val="1"/>
      <w:marLeft w:val="0"/>
      <w:marRight w:val="0"/>
      <w:marTop w:val="0"/>
      <w:marBottom w:val="0"/>
      <w:divBdr>
        <w:top w:val="none" w:sz="0" w:space="0" w:color="auto"/>
        <w:left w:val="none" w:sz="0" w:space="0" w:color="auto"/>
        <w:bottom w:val="none" w:sz="0" w:space="0" w:color="auto"/>
        <w:right w:val="none" w:sz="0" w:space="0" w:color="auto"/>
      </w:divBdr>
    </w:div>
    <w:div w:id="1136918975">
      <w:bodyDiv w:val="1"/>
      <w:marLeft w:val="0"/>
      <w:marRight w:val="0"/>
      <w:marTop w:val="0"/>
      <w:marBottom w:val="0"/>
      <w:divBdr>
        <w:top w:val="none" w:sz="0" w:space="0" w:color="auto"/>
        <w:left w:val="none" w:sz="0" w:space="0" w:color="auto"/>
        <w:bottom w:val="none" w:sz="0" w:space="0" w:color="auto"/>
        <w:right w:val="none" w:sz="0" w:space="0" w:color="auto"/>
      </w:divBdr>
    </w:div>
    <w:div w:id="1136989572">
      <w:bodyDiv w:val="1"/>
      <w:marLeft w:val="0"/>
      <w:marRight w:val="0"/>
      <w:marTop w:val="0"/>
      <w:marBottom w:val="0"/>
      <w:divBdr>
        <w:top w:val="none" w:sz="0" w:space="0" w:color="auto"/>
        <w:left w:val="none" w:sz="0" w:space="0" w:color="auto"/>
        <w:bottom w:val="none" w:sz="0" w:space="0" w:color="auto"/>
        <w:right w:val="none" w:sz="0" w:space="0" w:color="auto"/>
      </w:divBdr>
    </w:div>
    <w:div w:id="1136992597">
      <w:bodyDiv w:val="1"/>
      <w:marLeft w:val="0"/>
      <w:marRight w:val="0"/>
      <w:marTop w:val="0"/>
      <w:marBottom w:val="0"/>
      <w:divBdr>
        <w:top w:val="none" w:sz="0" w:space="0" w:color="auto"/>
        <w:left w:val="none" w:sz="0" w:space="0" w:color="auto"/>
        <w:bottom w:val="none" w:sz="0" w:space="0" w:color="auto"/>
        <w:right w:val="none" w:sz="0" w:space="0" w:color="auto"/>
      </w:divBdr>
    </w:div>
    <w:div w:id="1138108378">
      <w:bodyDiv w:val="1"/>
      <w:marLeft w:val="0"/>
      <w:marRight w:val="0"/>
      <w:marTop w:val="0"/>
      <w:marBottom w:val="0"/>
      <w:divBdr>
        <w:top w:val="none" w:sz="0" w:space="0" w:color="auto"/>
        <w:left w:val="none" w:sz="0" w:space="0" w:color="auto"/>
        <w:bottom w:val="none" w:sz="0" w:space="0" w:color="auto"/>
        <w:right w:val="none" w:sz="0" w:space="0" w:color="auto"/>
      </w:divBdr>
    </w:div>
    <w:div w:id="1138257516">
      <w:bodyDiv w:val="1"/>
      <w:marLeft w:val="0"/>
      <w:marRight w:val="0"/>
      <w:marTop w:val="0"/>
      <w:marBottom w:val="0"/>
      <w:divBdr>
        <w:top w:val="none" w:sz="0" w:space="0" w:color="auto"/>
        <w:left w:val="none" w:sz="0" w:space="0" w:color="auto"/>
        <w:bottom w:val="none" w:sz="0" w:space="0" w:color="auto"/>
        <w:right w:val="none" w:sz="0" w:space="0" w:color="auto"/>
      </w:divBdr>
    </w:div>
    <w:div w:id="1138377459">
      <w:bodyDiv w:val="1"/>
      <w:marLeft w:val="0"/>
      <w:marRight w:val="0"/>
      <w:marTop w:val="0"/>
      <w:marBottom w:val="0"/>
      <w:divBdr>
        <w:top w:val="none" w:sz="0" w:space="0" w:color="auto"/>
        <w:left w:val="none" w:sz="0" w:space="0" w:color="auto"/>
        <w:bottom w:val="none" w:sz="0" w:space="0" w:color="auto"/>
        <w:right w:val="none" w:sz="0" w:space="0" w:color="auto"/>
      </w:divBdr>
    </w:div>
    <w:div w:id="1138765746">
      <w:bodyDiv w:val="1"/>
      <w:marLeft w:val="0"/>
      <w:marRight w:val="0"/>
      <w:marTop w:val="0"/>
      <w:marBottom w:val="0"/>
      <w:divBdr>
        <w:top w:val="none" w:sz="0" w:space="0" w:color="auto"/>
        <w:left w:val="none" w:sz="0" w:space="0" w:color="auto"/>
        <w:bottom w:val="none" w:sz="0" w:space="0" w:color="auto"/>
        <w:right w:val="none" w:sz="0" w:space="0" w:color="auto"/>
      </w:divBdr>
    </w:div>
    <w:div w:id="1138766934">
      <w:bodyDiv w:val="1"/>
      <w:marLeft w:val="0"/>
      <w:marRight w:val="0"/>
      <w:marTop w:val="0"/>
      <w:marBottom w:val="0"/>
      <w:divBdr>
        <w:top w:val="none" w:sz="0" w:space="0" w:color="auto"/>
        <w:left w:val="none" w:sz="0" w:space="0" w:color="auto"/>
        <w:bottom w:val="none" w:sz="0" w:space="0" w:color="auto"/>
        <w:right w:val="none" w:sz="0" w:space="0" w:color="auto"/>
      </w:divBdr>
    </w:div>
    <w:div w:id="1138768431">
      <w:bodyDiv w:val="1"/>
      <w:marLeft w:val="0"/>
      <w:marRight w:val="0"/>
      <w:marTop w:val="0"/>
      <w:marBottom w:val="0"/>
      <w:divBdr>
        <w:top w:val="none" w:sz="0" w:space="0" w:color="auto"/>
        <w:left w:val="none" w:sz="0" w:space="0" w:color="auto"/>
        <w:bottom w:val="none" w:sz="0" w:space="0" w:color="auto"/>
        <w:right w:val="none" w:sz="0" w:space="0" w:color="auto"/>
      </w:divBdr>
    </w:div>
    <w:div w:id="1138839612">
      <w:bodyDiv w:val="1"/>
      <w:marLeft w:val="0"/>
      <w:marRight w:val="0"/>
      <w:marTop w:val="0"/>
      <w:marBottom w:val="0"/>
      <w:divBdr>
        <w:top w:val="none" w:sz="0" w:space="0" w:color="auto"/>
        <w:left w:val="none" w:sz="0" w:space="0" w:color="auto"/>
        <w:bottom w:val="none" w:sz="0" w:space="0" w:color="auto"/>
        <w:right w:val="none" w:sz="0" w:space="0" w:color="auto"/>
      </w:divBdr>
    </w:div>
    <w:div w:id="1139153080">
      <w:bodyDiv w:val="1"/>
      <w:marLeft w:val="0"/>
      <w:marRight w:val="0"/>
      <w:marTop w:val="0"/>
      <w:marBottom w:val="0"/>
      <w:divBdr>
        <w:top w:val="none" w:sz="0" w:space="0" w:color="auto"/>
        <w:left w:val="none" w:sz="0" w:space="0" w:color="auto"/>
        <w:bottom w:val="none" w:sz="0" w:space="0" w:color="auto"/>
        <w:right w:val="none" w:sz="0" w:space="0" w:color="auto"/>
      </w:divBdr>
    </w:div>
    <w:div w:id="1139227224">
      <w:bodyDiv w:val="1"/>
      <w:marLeft w:val="0"/>
      <w:marRight w:val="0"/>
      <w:marTop w:val="0"/>
      <w:marBottom w:val="0"/>
      <w:divBdr>
        <w:top w:val="none" w:sz="0" w:space="0" w:color="auto"/>
        <w:left w:val="none" w:sz="0" w:space="0" w:color="auto"/>
        <w:bottom w:val="none" w:sz="0" w:space="0" w:color="auto"/>
        <w:right w:val="none" w:sz="0" w:space="0" w:color="auto"/>
      </w:divBdr>
    </w:div>
    <w:div w:id="1140030285">
      <w:bodyDiv w:val="1"/>
      <w:marLeft w:val="0"/>
      <w:marRight w:val="0"/>
      <w:marTop w:val="0"/>
      <w:marBottom w:val="0"/>
      <w:divBdr>
        <w:top w:val="none" w:sz="0" w:space="0" w:color="auto"/>
        <w:left w:val="none" w:sz="0" w:space="0" w:color="auto"/>
        <w:bottom w:val="none" w:sz="0" w:space="0" w:color="auto"/>
        <w:right w:val="none" w:sz="0" w:space="0" w:color="auto"/>
      </w:divBdr>
    </w:div>
    <w:div w:id="1140226316">
      <w:bodyDiv w:val="1"/>
      <w:marLeft w:val="0"/>
      <w:marRight w:val="0"/>
      <w:marTop w:val="0"/>
      <w:marBottom w:val="0"/>
      <w:divBdr>
        <w:top w:val="none" w:sz="0" w:space="0" w:color="auto"/>
        <w:left w:val="none" w:sz="0" w:space="0" w:color="auto"/>
        <w:bottom w:val="none" w:sz="0" w:space="0" w:color="auto"/>
        <w:right w:val="none" w:sz="0" w:space="0" w:color="auto"/>
      </w:divBdr>
    </w:div>
    <w:div w:id="1140416938">
      <w:bodyDiv w:val="1"/>
      <w:marLeft w:val="0"/>
      <w:marRight w:val="0"/>
      <w:marTop w:val="0"/>
      <w:marBottom w:val="0"/>
      <w:divBdr>
        <w:top w:val="none" w:sz="0" w:space="0" w:color="auto"/>
        <w:left w:val="none" w:sz="0" w:space="0" w:color="auto"/>
        <w:bottom w:val="none" w:sz="0" w:space="0" w:color="auto"/>
        <w:right w:val="none" w:sz="0" w:space="0" w:color="auto"/>
      </w:divBdr>
    </w:div>
    <w:div w:id="1140808943">
      <w:bodyDiv w:val="1"/>
      <w:marLeft w:val="0"/>
      <w:marRight w:val="0"/>
      <w:marTop w:val="0"/>
      <w:marBottom w:val="0"/>
      <w:divBdr>
        <w:top w:val="none" w:sz="0" w:space="0" w:color="auto"/>
        <w:left w:val="none" w:sz="0" w:space="0" w:color="auto"/>
        <w:bottom w:val="none" w:sz="0" w:space="0" w:color="auto"/>
        <w:right w:val="none" w:sz="0" w:space="0" w:color="auto"/>
      </w:divBdr>
    </w:div>
    <w:div w:id="1141263822">
      <w:bodyDiv w:val="1"/>
      <w:marLeft w:val="0"/>
      <w:marRight w:val="0"/>
      <w:marTop w:val="0"/>
      <w:marBottom w:val="0"/>
      <w:divBdr>
        <w:top w:val="none" w:sz="0" w:space="0" w:color="auto"/>
        <w:left w:val="none" w:sz="0" w:space="0" w:color="auto"/>
        <w:bottom w:val="none" w:sz="0" w:space="0" w:color="auto"/>
        <w:right w:val="none" w:sz="0" w:space="0" w:color="auto"/>
      </w:divBdr>
    </w:div>
    <w:div w:id="1141310170">
      <w:bodyDiv w:val="1"/>
      <w:marLeft w:val="0"/>
      <w:marRight w:val="0"/>
      <w:marTop w:val="0"/>
      <w:marBottom w:val="0"/>
      <w:divBdr>
        <w:top w:val="none" w:sz="0" w:space="0" w:color="auto"/>
        <w:left w:val="none" w:sz="0" w:space="0" w:color="auto"/>
        <w:bottom w:val="none" w:sz="0" w:space="0" w:color="auto"/>
        <w:right w:val="none" w:sz="0" w:space="0" w:color="auto"/>
      </w:divBdr>
    </w:div>
    <w:div w:id="1141582584">
      <w:bodyDiv w:val="1"/>
      <w:marLeft w:val="0"/>
      <w:marRight w:val="0"/>
      <w:marTop w:val="0"/>
      <w:marBottom w:val="0"/>
      <w:divBdr>
        <w:top w:val="none" w:sz="0" w:space="0" w:color="auto"/>
        <w:left w:val="none" w:sz="0" w:space="0" w:color="auto"/>
        <w:bottom w:val="none" w:sz="0" w:space="0" w:color="auto"/>
        <w:right w:val="none" w:sz="0" w:space="0" w:color="auto"/>
      </w:divBdr>
    </w:div>
    <w:div w:id="1142503130">
      <w:bodyDiv w:val="1"/>
      <w:marLeft w:val="0"/>
      <w:marRight w:val="0"/>
      <w:marTop w:val="0"/>
      <w:marBottom w:val="0"/>
      <w:divBdr>
        <w:top w:val="none" w:sz="0" w:space="0" w:color="auto"/>
        <w:left w:val="none" w:sz="0" w:space="0" w:color="auto"/>
        <w:bottom w:val="none" w:sz="0" w:space="0" w:color="auto"/>
        <w:right w:val="none" w:sz="0" w:space="0" w:color="auto"/>
      </w:divBdr>
    </w:div>
    <w:div w:id="1142625673">
      <w:bodyDiv w:val="1"/>
      <w:marLeft w:val="0"/>
      <w:marRight w:val="0"/>
      <w:marTop w:val="0"/>
      <w:marBottom w:val="0"/>
      <w:divBdr>
        <w:top w:val="none" w:sz="0" w:space="0" w:color="auto"/>
        <w:left w:val="none" w:sz="0" w:space="0" w:color="auto"/>
        <w:bottom w:val="none" w:sz="0" w:space="0" w:color="auto"/>
        <w:right w:val="none" w:sz="0" w:space="0" w:color="auto"/>
      </w:divBdr>
    </w:div>
    <w:div w:id="1143277062">
      <w:bodyDiv w:val="1"/>
      <w:marLeft w:val="0"/>
      <w:marRight w:val="0"/>
      <w:marTop w:val="0"/>
      <w:marBottom w:val="0"/>
      <w:divBdr>
        <w:top w:val="none" w:sz="0" w:space="0" w:color="auto"/>
        <w:left w:val="none" w:sz="0" w:space="0" w:color="auto"/>
        <w:bottom w:val="none" w:sz="0" w:space="0" w:color="auto"/>
        <w:right w:val="none" w:sz="0" w:space="0" w:color="auto"/>
      </w:divBdr>
    </w:div>
    <w:div w:id="1144011411">
      <w:bodyDiv w:val="1"/>
      <w:marLeft w:val="0"/>
      <w:marRight w:val="0"/>
      <w:marTop w:val="0"/>
      <w:marBottom w:val="0"/>
      <w:divBdr>
        <w:top w:val="none" w:sz="0" w:space="0" w:color="auto"/>
        <w:left w:val="none" w:sz="0" w:space="0" w:color="auto"/>
        <w:bottom w:val="none" w:sz="0" w:space="0" w:color="auto"/>
        <w:right w:val="none" w:sz="0" w:space="0" w:color="auto"/>
      </w:divBdr>
    </w:div>
    <w:div w:id="1144129417">
      <w:bodyDiv w:val="1"/>
      <w:marLeft w:val="0"/>
      <w:marRight w:val="0"/>
      <w:marTop w:val="0"/>
      <w:marBottom w:val="0"/>
      <w:divBdr>
        <w:top w:val="none" w:sz="0" w:space="0" w:color="auto"/>
        <w:left w:val="none" w:sz="0" w:space="0" w:color="auto"/>
        <w:bottom w:val="none" w:sz="0" w:space="0" w:color="auto"/>
        <w:right w:val="none" w:sz="0" w:space="0" w:color="auto"/>
      </w:divBdr>
    </w:div>
    <w:div w:id="1144661000">
      <w:bodyDiv w:val="1"/>
      <w:marLeft w:val="0"/>
      <w:marRight w:val="0"/>
      <w:marTop w:val="0"/>
      <w:marBottom w:val="0"/>
      <w:divBdr>
        <w:top w:val="none" w:sz="0" w:space="0" w:color="auto"/>
        <w:left w:val="none" w:sz="0" w:space="0" w:color="auto"/>
        <w:bottom w:val="none" w:sz="0" w:space="0" w:color="auto"/>
        <w:right w:val="none" w:sz="0" w:space="0" w:color="auto"/>
      </w:divBdr>
    </w:div>
    <w:div w:id="1144737425">
      <w:bodyDiv w:val="1"/>
      <w:marLeft w:val="0"/>
      <w:marRight w:val="0"/>
      <w:marTop w:val="0"/>
      <w:marBottom w:val="0"/>
      <w:divBdr>
        <w:top w:val="none" w:sz="0" w:space="0" w:color="auto"/>
        <w:left w:val="none" w:sz="0" w:space="0" w:color="auto"/>
        <w:bottom w:val="none" w:sz="0" w:space="0" w:color="auto"/>
        <w:right w:val="none" w:sz="0" w:space="0" w:color="auto"/>
      </w:divBdr>
    </w:div>
    <w:div w:id="1144815173">
      <w:bodyDiv w:val="1"/>
      <w:marLeft w:val="0"/>
      <w:marRight w:val="0"/>
      <w:marTop w:val="0"/>
      <w:marBottom w:val="0"/>
      <w:divBdr>
        <w:top w:val="none" w:sz="0" w:space="0" w:color="auto"/>
        <w:left w:val="none" w:sz="0" w:space="0" w:color="auto"/>
        <w:bottom w:val="none" w:sz="0" w:space="0" w:color="auto"/>
        <w:right w:val="none" w:sz="0" w:space="0" w:color="auto"/>
      </w:divBdr>
    </w:div>
    <w:div w:id="1144855080">
      <w:bodyDiv w:val="1"/>
      <w:marLeft w:val="0"/>
      <w:marRight w:val="0"/>
      <w:marTop w:val="0"/>
      <w:marBottom w:val="0"/>
      <w:divBdr>
        <w:top w:val="none" w:sz="0" w:space="0" w:color="auto"/>
        <w:left w:val="none" w:sz="0" w:space="0" w:color="auto"/>
        <w:bottom w:val="none" w:sz="0" w:space="0" w:color="auto"/>
        <w:right w:val="none" w:sz="0" w:space="0" w:color="auto"/>
      </w:divBdr>
    </w:div>
    <w:div w:id="1144928254">
      <w:bodyDiv w:val="1"/>
      <w:marLeft w:val="0"/>
      <w:marRight w:val="0"/>
      <w:marTop w:val="0"/>
      <w:marBottom w:val="0"/>
      <w:divBdr>
        <w:top w:val="none" w:sz="0" w:space="0" w:color="auto"/>
        <w:left w:val="none" w:sz="0" w:space="0" w:color="auto"/>
        <w:bottom w:val="none" w:sz="0" w:space="0" w:color="auto"/>
        <w:right w:val="none" w:sz="0" w:space="0" w:color="auto"/>
      </w:divBdr>
    </w:div>
    <w:div w:id="1146166085">
      <w:bodyDiv w:val="1"/>
      <w:marLeft w:val="0"/>
      <w:marRight w:val="0"/>
      <w:marTop w:val="0"/>
      <w:marBottom w:val="0"/>
      <w:divBdr>
        <w:top w:val="none" w:sz="0" w:space="0" w:color="auto"/>
        <w:left w:val="none" w:sz="0" w:space="0" w:color="auto"/>
        <w:bottom w:val="none" w:sz="0" w:space="0" w:color="auto"/>
        <w:right w:val="none" w:sz="0" w:space="0" w:color="auto"/>
      </w:divBdr>
    </w:div>
    <w:div w:id="1146318389">
      <w:bodyDiv w:val="1"/>
      <w:marLeft w:val="0"/>
      <w:marRight w:val="0"/>
      <w:marTop w:val="0"/>
      <w:marBottom w:val="0"/>
      <w:divBdr>
        <w:top w:val="none" w:sz="0" w:space="0" w:color="auto"/>
        <w:left w:val="none" w:sz="0" w:space="0" w:color="auto"/>
        <w:bottom w:val="none" w:sz="0" w:space="0" w:color="auto"/>
        <w:right w:val="none" w:sz="0" w:space="0" w:color="auto"/>
      </w:divBdr>
    </w:div>
    <w:div w:id="1146823122">
      <w:bodyDiv w:val="1"/>
      <w:marLeft w:val="0"/>
      <w:marRight w:val="0"/>
      <w:marTop w:val="0"/>
      <w:marBottom w:val="0"/>
      <w:divBdr>
        <w:top w:val="none" w:sz="0" w:space="0" w:color="auto"/>
        <w:left w:val="none" w:sz="0" w:space="0" w:color="auto"/>
        <w:bottom w:val="none" w:sz="0" w:space="0" w:color="auto"/>
        <w:right w:val="none" w:sz="0" w:space="0" w:color="auto"/>
      </w:divBdr>
    </w:div>
    <w:div w:id="1147404739">
      <w:bodyDiv w:val="1"/>
      <w:marLeft w:val="0"/>
      <w:marRight w:val="0"/>
      <w:marTop w:val="0"/>
      <w:marBottom w:val="0"/>
      <w:divBdr>
        <w:top w:val="none" w:sz="0" w:space="0" w:color="auto"/>
        <w:left w:val="none" w:sz="0" w:space="0" w:color="auto"/>
        <w:bottom w:val="none" w:sz="0" w:space="0" w:color="auto"/>
        <w:right w:val="none" w:sz="0" w:space="0" w:color="auto"/>
      </w:divBdr>
    </w:div>
    <w:div w:id="1148401467">
      <w:bodyDiv w:val="1"/>
      <w:marLeft w:val="0"/>
      <w:marRight w:val="0"/>
      <w:marTop w:val="0"/>
      <w:marBottom w:val="0"/>
      <w:divBdr>
        <w:top w:val="none" w:sz="0" w:space="0" w:color="auto"/>
        <w:left w:val="none" w:sz="0" w:space="0" w:color="auto"/>
        <w:bottom w:val="none" w:sz="0" w:space="0" w:color="auto"/>
        <w:right w:val="none" w:sz="0" w:space="0" w:color="auto"/>
      </w:divBdr>
    </w:div>
    <w:div w:id="1149321899">
      <w:bodyDiv w:val="1"/>
      <w:marLeft w:val="0"/>
      <w:marRight w:val="0"/>
      <w:marTop w:val="0"/>
      <w:marBottom w:val="0"/>
      <w:divBdr>
        <w:top w:val="none" w:sz="0" w:space="0" w:color="auto"/>
        <w:left w:val="none" w:sz="0" w:space="0" w:color="auto"/>
        <w:bottom w:val="none" w:sz="0" w:space="0" w:color="auto"/>
        <w:right w:val="none" w:sz="0" w:space="0" w:color="auto"/>
      </w:divBdr>
    </w:div>
    <w:div w:id="1149665024">
      <w:bodyDiv w:val="1"/>
      <w:marLeft w:val="0"/>
      <w:marRight w:val="0"/>
      <w:marTop w:val="0"/>
      <w:marBottom w:val="0"/>
      <w:divBdr>
        <w:top w:val="none" w:sz="0" w:space="0" w:color="auto"/>
        <w:left w:val="none" w:sz="0" w:space="0" w:color="auto"/>
        <w:bottom w:val="none" w:sz="0" w:space="0" w:color="auto"/>
        <w:right w:val="none" w:sz="0" w:space="0" w:color="auto"/>
      </w:divBdr>
    </w:div>
    <w:div w:id="1149712343">
      <w:bodyDiv w:val="1"/>
      <w:marLeft w:val="0"/>
      <w:marRight w:val="0"/>
      <w:marTop w:val="0"/>
      <w:marBottom w:val="0"/>
      <w:divBdr>
        <w:top w:val="none" w:sz="0" w:space="0" w:color="auto"/>
        <w:left w:val="none" w:sz="0" w:space="0" w:color="auto"/>
        <w:bottom w:val="none" w:sz="0" w:space="0" w:color="auto"/>
        <w:right w:val="none" w:sz="0" w:space="0" w:color="auto"/>
      </w:divBdr>
    </w:div>
    <w:div w:id="1149831942">
      <w:bodyDiv w:val="1"/>
      <w:marLeft w:val="0"/>
      <w:marRight w:val="0"/>
      <w:marTop w:val="0"/>
      <w:marBottom w:val="0"/>
      <w:divBdr>
        <w:top w:val="none" w:sz="0" w:space="0" w:color="auto"/>
        <w:left w:val="none" w:sz="0" w:space="0" w:color="auto"/>
        <w:bottom w:val="none" w:sz="0" w:space="0" w:color="auto"/>
        <w:right w:val="none" w:sz="0" w:space="0" w:color="auto"/>
      </w:divBdr>
    </w:div>
    <w:div w:id="1149975771">
      <w:bodyDiv w:val="1"/>
      <w:marLeft w:val="0"/>
      <w:marRight w:val="0"/>
      <w:marTop w:val="0"/>
      <w:marBottom w:val="0"/>
      <w:divBdr>
        <w:top w:val="none" w:sz="0" w:space="0" w:color="auto"/>
        <w:left w:val="none" w:sz="0" w:space="0" w:color="auto"/>
        <w:bottom w:val="none" w:sz="0" w:space="0" w:color="auto"/>
        <w:right w:val="none" w:sz="0" w:space="0" w:color="auto"/>
      </w:divBdr>
    </w:div>
    <w:div w:id="1151291684">
      <w:bodyDiv w:val="1"/>
      <w:marLeft w:val="0"/>
      <w:marRight w:val="0"/>
      <w:marTop w:val="0"/>
      <w:marBottom w:val="0"/>
      <w:divBdr>
        <w:top w:val="none" w:sz="0" w:space="0" w:color="auto"/>
        <w:left w:val="none" w:sz="0" w:space="0" w:color="auto"/>
        <w:bottom w:val="none" w:sz="0" w:space="0" w:color="auto"/>
        <w:right w:val="none" w:sz="0" w:space="0" w:color="auto"/>
      </w:divBdr>
    </w:div>
    <w:div w:id="1151411081">
      <w:bodyDiv w:val="1"/>
      <w:marLeft w:val="0"/>
      <w:marRight w:val="0"/>
      <w:marTop w:val="0"/>
      <w:marBottom w:val="0"/>
      <w:divBdr>
        <w:top w:val="none" w:sz="0" w:space="0" w:color="auto"/>
        <w:left w:val="none" w:sz="0" w:space="0" w:color="auto"/>
        <w:bottom w:val="none" w:sz="0" w:space="0" w:color="auto"/>
        <w:right w:val="none" w:sz="0" w:space="0" w:color="auto"/>
      </w:divBdr>
    </w:div>
    <w:div w:id="1151601411">
      <w:bodyDiv w:val="1"/>
      <w:marLeft w:val="0"/>
      <w:marRight w:val="0"/>
      <w:marTop w:val="0"/>
      <w:marBottom w:val="0"/>
      <w:divBdr>
        <w:top w:val="none" w:sz="0" w:space="0" w:color="auto"/>
        <w:left w:val="none" w:sz="0" w:space="0" w:color="auto"/>
        <w:bottom w:val="none" w:sz="0" w:space="0" w:color="auto"/>
        <w:right w:val="none" w:sz="0" w:space="0" w:color="auto"/>
      </w:divBdr>
    </w:div>
    <w:div w:id="1151677148">
      <w:bodyDiv w:val="1"/>
      <w:marLeft w:val="0"/>
      <w:marRight w:val="0"/>
      <w:marTop w:val="0"/>
      <w:marBottom w:val="0"/>
      <w:divBdr>
        <w:top w:val="none" w:sz="0" w:space="0" w:color="auto"/>
        <w:left w:val="none" w:sz="0" w:space="0" w:color="auto"/>
        <w:bottom w:val="none" w:sz="0" w:space="0" w:color="auto"/>
        <w:right w:val="none" w:sz="0" w:space="0" w:color="auto"/>
      </w:divBdr>
    </w:div>
    <w:div w:id="1151797906">
      <w:bodyDiv w:val="1"/>
      <w:marLeft w:val="0"/>
      <w:marRight w:val="0"/>
      <w:marTop w:val="0"/>
      <w:marBottom w:val="0"/>
      <w:divBdr>
        <w:top w:val="none" w:sz="0" w:space="0" w:color="auto"/>
        <w:left w:val="none" w:sz="0" w:space="0" w:color="auto"/>
        <w:bottom w:val="none" w:sz="0" w:space="0" w:color="auto"/>
        <w:right w:val="none" w:sz="0" w:space="0" w:color="auto"/>
      </w:divBdr>
    </w:div>
    <w:div w:id="1152020325">
      <w:bodyDiv w:val="1"/>
      <w:marLeft w:val="0"/>
      <w:marRight w:val="0"/>
      <w:marTop w:val="0"/>
      <w:marBottom w:val="0"/>
      <w:divBdr>
        <w:top w:val="none" w:sz="0" w:space="0" w:color="auto"/>
        <w:left w:val="none" w:sz="0" w:space="0" w:color="auto"/>
        <w:bottom w:val="none" w:sz="0" w:space="0" w:color="auto"/>
        <w:right w:val="none" w:sz="0" w:space="0" w:color="auto"/>
      </w:divBdr>
    </w:div>
    <w:div w:id="1152212322">
      <w:bodyDiv w:val="1"/>
      <w:marLeft w:val="0"/>
      <w:marRight w:val="0"/>
      <w:marTop w:val="0"/>
      <w:marBottom w:val="0"/>
      <w:divBdr>
        <w:top w:val="none" w:sz="0" w:space="0" w:color="auto"/>
        <w:left w:val="none" w:sz="0" w:space="0" w:color="auto"/>
        <w:bottom w:val="none" w:sz="0" w:space="0" w:color="auto"/>
        <w:right w:val="none" w:sz="0" w:space="0" w:color="auto"/>
      </w:divBdr>
    </w:div>
    <w:div w:id="1152797898">
      <w:bodyDiv w:val="1"/>
      <w:marLeft w:val="0"/>
      <w:marRight w:val="0"/>
      <w:marTop w:val="0"/>
      <w:marBottom w:val="0"/>
      <w:divBdr>
        <w:top w:val="none" w:sz="0" w:space="0" w:color="auto"/>
        <w:left w:val="none" w:sz="0" w:space="0" w:color="auto"/>
        <w:bottom w:val="none" w:sz="0" w:space="0" w:color="auto"/>
        <w:right w:val="none" w:sz="0" w:space="0" w:color="auto"/>
      </w:divBdr>
    </w:div>
    <w:div w:id="1154024168">
      <w:bodyDiv w:val="1"/>
      <w:marLeft w:val="0"/>
      <w:marRight w:val="0"/>
      <w:marTop w:val="0"/>
      <w:marBottom w:val="0"/>
      <w:divBdr>
        <w:top w:val="none" w:sz="0" w:space="0" w:color="auto"/>
        <w:left w:val="none" w:sz="0" w:space="0" w:color="auto"/>
        <w:bottom w:val="none" w:sz="0" w:space="0" w:color="auto"/>
        <w:right w:val="none" w:sz="0" w:space="0" w:color="auto"/>
      </w:divBdr>
    </w:div>
    <w:div w:id="1154370778">
      <w:bodyDiv w:val="1"/>
      <w:marLeft w:val="0"/>
      <w:marRight w:val="0"/>
      <w:marTop w:val="0"/>
      <w:marBottom w:val="0"/>
      <w:divBdr>
        <w:top w:val="none" w:sz="0" w:space="0" w:color="auto"/>
        <w:left w:val="none" w:sz="0" w:space="0" w:color="auto"/>
        <w:bottom w:val="none" w:sz="0" w:space="0" w:color="auto"/>
        <w:right w:val="none" w:sz="0" w:space="0" w:color="auto"/>
      </w:divBdr>
    </w:div>
    <w:div w:id="1154755456">
      <w:bodyDiv w:val="1"/>
      <w:marLeft w:val="0"/>
      <w:marRight w:val="0"/>
      <w:marTop w:val="0"/>
      <w:marBottom w:val="0"/>
      <w:divBdr>
        <w:top w:val="none" w:sz="0" w:space="0" w:color="auto"/>
        <w:left w:val="none" w:sz="0" w:space="0" w:color="auto"/>
        <w:bottom w:val="none" w:sz="0" w:space="0" w:color="auto"/>
        <w:right w:val="none" w:sz="0" w:space="0" w:color="auto"/>
      </w:divBdr>
    </w:div>
    <w:div w:id="1155223347">
      <w:bodyDiv w:val="1"/>
      <w:marLeft w:val="0"/>
      <w:marRight w:val="0"/>
      <w:marTop w:val="0"/>
      <w:marBottom w:val="0"/>
      <w:divBdr>
        <w:top w:val="none" w:sz="0" w:space="0" w:color="auto"/>
        <w:left w:val="none" w:sz="0" w:space="0" w:color="auto"/>
        <w:bottom w:val="none" w:sz="0" w:space="0" w:color="auto"/>
        <w:right w:val="none" w:sz="0" w:space="0" w:color="auto"/>
      </w:divBdr>
    </w:div>
    <w:div w:id="1155491859">
      <w:bodyDiv w:val="1"/>
      <w:marLeft w:val="0"/>
      <w:marRight w:val="0"/>
      <w:marTop w:val="0"/>
      <w:marBottom w:val="0"/>
      <w:divBdr>
        <w:top w:val="none" w:sz="0" w:space="0" w:color="auto"/>
        <w:left w:val="none" w:sz="0" w:space="0" w:color="auto"/>
        <w:bottom w:val="none" w:sz="0" w:space="0" w:color="auto"/>
        <w:right w:val="none" w:sz="0" w:space="0" w:color="auto"/>
      </w:divBdr>
    </w:div>
    <w:div w:id="1156458625">
      <w:bodyDiv w:val="1"/>
      <w:marLeft w:val="0"/>
      <w:marRight w:val="0"/>
      <w:marTop w:val="0"/>
      <w:marBottom w:val="0"/>
      <w:divBdr>
        <w:top w:val="none" w:sz="0" w:space="0" w:color="auto"/>
        <w:left w:val="none" w:sz="0" w:space="0" w:color="auto"/>
        <w:bottom w:val="none" w:sz="0" w:space="0" w:color="auto"/>
        <w:right w:val="none" w:sz="0" w:space="0" w:color="auto"/>
      </w:divBdr>
    </w:div>
    <w:div w:id="1157183913">
      <w:bodyDiv w:val="1"/>
      <w:marLeft w:val="0"/>
      <w:marRight w:val="0"/>
      <w:marTop w:val="0"/>
      <w:marBottom w:val="0"/>
      <w:divBdr>
        <w:top w:val="none" w:sz="0" w:space="0" w:color="auto"/>
        <w:left w:val="none" w:sz="0" w:space="0" w:color="auto"/>
        <w:bottom w:val="none" w:sz="0" w:space="0" w:color="auto"/>
        <w:right w:val="none" w:sz="0" w:space="0" w:color="auto"/>
      </w:divBdr>
    </w:div>
    <w:div w:id="1157186563">
      <w:bodyDiv w:val="1"/>
      <w:marLeft w:val="0"/>
      <w:marRight w:val="0"/>
      <w:marTop w:val="0"/>
      <w:marBottom w:val="0"/>
      <w:divBdr>
        <w:top w:val="none" w:sz="0" w:space="0" w:color="auto"/>
        <w:left w:val="none" w:sz="0" w:space="0" w:color="auto"/>
        <w:bottom w:val="none" w:sz="0" w:space="0" w:color="auto"/>
        <w:right w:val="none" w:sz="0" w:space="0" w:color="auto"/>
      </w:divBdr>
    </w:div>
    <w:div w:id="1157383881">
      <w:bodyDiv w:val="1"/>
      <w:marLeft w:val="0"/>
      <w:marRight w:val="0"/>
      <w:marTop w:val="0"/>
      <w:marBottom w:val="0"/>
      <w:divBdr>
        <w:top w:val="none" w:sz="0" w:space="0" w:color="auto"/>
        <w:left w:val="none" w:sz="0" w:space="0" w:color="auto"/>
        <w:bottom w:val="none" w:sz="0" w:space="0" w:color="auto"/>
        <w:right w:val="none" w:sz="0" w:space="0" w:color="auto"/>
      </w:divBdr>
    </w:div>
    <w:div w:id="1157384546">
      <w:bodyDiv w:val="1"/>
      <w:marLeft w:val="0"/>
      <w:marRight w:val="0"/>
      <w:marTop w:val="0"/>
      <w:marBottom w:val="0"/>
      <w:divBdr>
        <w:top w:val="none" w:sz="0" w:space="0" w:color="auto"/>
        <w:left w:val="none" w:sz="0" w:space="0" w:color="auto"/>
        <w:bottom w:val="none" w:sz="0" w:space="0" w:color="auto"/>
        <w:right w:val="none" w:sz="0" w:space="0" w:color="auto"/>
      </w:divBdr>
    </w:div>
    <w:div w:id="1157456342">
      <w:bodyDiv w:val="1"/>
      <w:marLeft w:val="0"/>
      <w:marRight w:val="0"/>
      <w:marTop w:val="0"/>
      <w:marBottom w:val="0"/>
      <w:divBdr>
        <w:top w:val="none" w:sz="0" w:space="0" w:color="auto"/>
        <w:left w:val="none" w:sz="0" w:space="0" w:color="auto"/>
        <w:bottom w:val="none" w:sz="0" w:space="0" w:color="auto"/>
        <w:right w:val="none" w:sz="0" w:space="0" w:color="auto"/>
      </w:divBdr>
    </w:div>
    <w:div w:id="1157571759">
      <w:bodyDiv w:val="1"/>
      <w:marLeft w:val="0"/>
      <w:marRight w:val="0"/>
      <w:marTop w:val="0"/>
      <w:marBottom w:val="0"/>
      <w:divBdr>
        <w:top w:val="none" w:sz="0" w:space="0" w:color="auto"/>
        <w:left w:val="none" w:sz="0" w:space="0" w:color="auto"/>
        <w:bottom w:val="none" w:sz="0" w:space="0" w:color="auto"/>
        <w:right w:val="none" w:sz="0" w:space="0" w:color="auto"/>
      </w:divBdr>
    </w:div>
    <w:div w:id="1157847108">
      <w:bodyDiv w:val="1"/>
      <w:marLeft w:val="0"/>
      <w:marRight w:val="0"/>
      <w:marTop w:val="0"/>
      <w:marBottom w:val="0"/>
      <w:divBdr>
        <w:top w:val="none" w:sz="0" w:space="0" w:color="auto"/>
        <w:left w:val="none" w:sz="0" w:space="0" w:color="auto"/>
        <w:bottom w:val="none" w:sz="0" w:space="0" w:color="auto"/>
        <w:right w:val="none" w:sz="0" w:space="0" w:color="auto"/>
      </w:divBdr>
    </w:div>
    <w:div w:id="1157918527">
      <w:bodyDiv w:val="1"/>
      <w:marLeft w:val="0"/>
      <w:marRight w:val="0"/>
      <w:marTop w:val="0"/>
      <w:marBottom w:val="0"/>
      <w:divBdr>
        <w:top w:val="none" w:sz="0" w:space="0" w:color="auto"/>
        <w:left w:val="none" w:sz="0" w:space="0" w:color="auto"/>
        <w:bottom w:val="none" w:sz="0" w:space="0" w:color="auto"/>
        <w:right w:val="none" w:sz="0" w:space="0" w:color="auto"/>
      </w:divBdr>
    </w:div>
    <w:div w:id="1158423237">
      <w:bodyDiv w:val="1"/>
      <w:marLeft w:val="0"/>
      <w:marRight w:val="0"/>
      <w:marTop w:val="0"/>
      <w:marBottom w:val="0"/>
      <w:divBdr>
        <w:top w:val="none" w:sz="0" w:space="0" w:color="auto"/>
        <w:left w:val="none" w:sz="0" w:space="0" w:color="auto"/>
        <w:bottom w:val="none" w:sz="0" w:space="0" w:color="auto"/>
        <w:right w:val="none" w:sz="0" w:space="0" w:color="auto"/>
      </w:divBdr>
    </w:div>
    <w:div w:id="1158571613">
      <w:bodyDiv w:val="1"/>
      <w:marLeft w:val="0"/>
      <w:marRight w:val="0"/>
      <w:marTop w:val="0"/>
      <w:marBottom w:val="0"/>
      <w:divBdr>
        <w:top w:val="none" w:sz="0" w:space="0" w:color="auto"/>
        <w:left w:val="none" w:sz="0" w:space="0" w:color="auto"/>
        <w:bottom w:val="none" w:sz="0" w:space="0" w:color="auto"/>
        <w:right w:val="none" w:sz="0" w:space="0" w:color="auto"/>
      </w:divBdr>
    </w:div>
    <w:div w:id="1158964074">
      <w:bodyDiv w:val="1"/>
      <w:marLeft w:val="0"/>
      <w:marRight w:val="0"/>
      <w:marTop w:val="0"/>
      <w:marBottom w:val="0"/>
      <w:divBdr>
        <w:top w:val="none" w:sz="0" w:space="0" w:color="auto"/>
        <w:left w:val="none" w:sz="0" w:space="0" w:color="auto"/>
        <w:bottom w:val="none" w:sz="0" w:space="0" w:color="auto"/>
        <w:right w:val="none" w:sz="0" w:space="0" w:color="auto"/>
      </w:divBdr>
    </w:div>
    <w:div w:id="1159422734">
      <w:bodyDiv w:val="1"/>
      <w:marLeft w:val="0"/>
      <w:marRight w:val="0"/>
      <w:marTop w:val="0"/>
      <w:marBottom w:val="0"/>
      <w:divBdr>
        <w:top w:val="none" w:sz="0" w:space="0" w:color="auto"/>
        <w:left w:val="none" w:sz="0" w:space="0" w:color="auto"/>
        <w:bottom w:val="none" w:sz="0" w:space="0" w:color="auto"/>
        <w:right w:val="none" w:sz="0" w:space="0" w:color="auto"/>
      </w:divBdr>
    </w:div>
    <w:div w:id="1159468604">
      <w:bodyDiv w:val="1"/>
      <w:marLeft w:val="0"/>
      <w:marRight w:val="0"/>
      <w:marTop w:val="0"/>
      <w:marBottom w:val="0"/>
      <w:divBdr>
        <w:top w:val="none" w:sz="0" w:space="0" w:color="auto"/>
        <w:left w:val="none" w:sz="0" w:space="0" w:color="auto"/>
        <w:bottom w:val="none" w:sz="0" w:space="0" w:color="auto"/>
        <w:right w:val="none" w:sz="0" w:space="0" w:color="auto"/>
      </w:divBdr>
    </w:div>
    <w:div w:id="1159689428">
      <w:bodyDiv w:val="1"/>
      <w:marLeft w:val="0"/>
      <w:marRight w:val="0"/>
      <w:marTop w:val="0"/>
      <w:marBottom w:val="0"/>
      <w:divBdr>
        <w:top w:val="none" w:sz="0" w:space="0" w:color="auto"/>
        <w:left w:val="none" w:sz="0" w:space="0" w:color="auto"/>
        <w:bottom w:val="none" w:sz="0" w:space="0" w:color="auto"/>
        <w:right w:val="none" w:sz="0" w:space="0" w:color="auto"/>
      </w:divBdr>
    </w:div>
    <w:div w:id="1159736956">
      <w:bodyDiv w:val="1"/>
      <w:marLeft w:val="0"/>
      <w:marRight w:val="0"/>
      <w:marTop w:val="0"/>
      <w:marBottom w:val="0"/>
      <w:divBdr>
        <w:top w:val="none" w:sz="0" w:space="0" w:color="auto"/>
        <w:left w:val="none" w:sz="0" w:space="0" w:color="auto"/>
        <w:bottom w:val="none" w:sz="0" w:space="0" w:color="auto"/>
        <w:right w:val="none" w:sz="0" w:space="0" w:color="auto"/>
      </w:divBdr>
    </w:div>
    <w:div w:id="1159808157">
      <w:bodyDiv w:val="1"/>
      <w:marLeft w:val="0"/>
      <w:marRight w:val="0"/>
      <w:marTop w:val="0"/>
      <w:marBottom w:val="0"/>
      <w:divBdr>
        <w:top w:val="none" w:sz="0" w:space="0" w:color="auto"/>
        <w:left w:val="none" w:sz="0" w:space="0" w:color="auto"/>
        <w:bottom w:val="none" w:sz="0" w:space="0" w:color="auto"/>
        <w:right w:val="none" w:sz="0" w:space="0" w:color="auto"/>
      </w:divBdr>
    </w:div>
    <w:div w:id="1161389667">
      <w:bodyDiv w:val="1"/>
      <w:marLeft w:val="0"/>
      <w:marRight w:val="0"/>
      <w:marTop w:val="0"/>
      <w:marBottom w:val="0"/>
      <w:divBdr>
        <w:top w:val="none" w:sz="0" w:space="0" w:color="auto"/>
        <w:left w:val="none" w:sz="0" w:space="0" w:color="auto"/>
        <w:bottom w:val="none" w:sz="0" w:space="0" w:color="auto"/>
        <w:right w:val="none" w:sz="0" w:space="0" w:color="auto"/>
      </w:divBdr>
    </w:div>
    <w:div w:id="1161433404">
      <w:bodyDiv w:val="1"/>
      <w:marLeft w:val="0"/>
      <w:marRight w:val="0"/>
      <w:marTop w:val="0"/>
      <w:marBottom w:val="0"/>
      <w:divBdr>
        <w:top w:val="none" w:sz="0" w:space="0" w:color="auto"/>
        <w:left w:val="none" w:sz="0" w:space="0" w:color="auto"/>
        <w:bottom w:val="none" w:sz="0" w:space="0" w:color="auto"/>
        <w:right w:val="none" w:sz="0" w:space="0" w:color="auto"/>
      </w:divBdr>
    </w:div>
    <w:div w:id="1162089713">
      <w:bodyDiv w:val="1"/>
      <w:marLeft w:val="0"/>
      <w:marRight w:val="0"/>
      <w:marTop w:val="0"/>
      <w:marBottom w:val="0"/>
      <w:divBdr>
        <w:top w:val="none" w:sz="0" w:space="0" w:color="auto"/>
        <w:left w:val="none" w:sz="0" w:space="0" w:color="auto"/>
        <w:bottom w:val="none" w:sz="0" w:space="0" w:color="auto"/>
        <w:right w:val="none" w:sz="0" w:space="0" w:color="auto"/>
      </w:divBdr>
    </w:div>
    <w:div w:id="1162117094">
      <w:bodyDiv w:val="1"/>
      <w:marLeft w:val="0"/>
      <w:marRight w:val="0"/>
      <w:marTop w:val="0"/>
      <w:marBottom w:val="0"/>
      <w:divBdr>
        <w:top w:val="none" w:sz="0" w:space="0" w:color="auto"/>
        <w:left w:val="none" w:sz="0" w:space="0" w:color="auto"/>
        <w:bottom w:val="none" w:sz="0" w:space="0" w:color="auto"/>
        <w:right w:val="none" w:sz="0" w:space="0" w:color="auto"/>
      </w:divBdr>
    </w:div>
    <w:div w:id="1163204224">
      <w:bodyDiv w:val="1"/>
      <w:marLeft w:val="0"/>
      <w:marRight w:val="0"/>
      <w:marTop w:val="0"/>
      <w:marBottom w:val="0"/>
      <w:divBdr>
        <w:top w:val="none" w:sz="0" w:space="0" w:color="auto"/>
        <w:left w:val="none" w:sz="0" w:space="0" w:color="auto"/>
        <w:bottom w:val="none" w:sz="0" w:space="0" w:color="auto"/>
        <w:right w:val="none" w:sz="0" w:space="0" w:color="auto"/>
      </w:divBdr>
    </w:div>
    <w:div w:id="1163280997">
      <w:bodyDiv w:val="1"/>
      <w:marLeft w:val="0"/>
      <w:marRight w:val="0"/>
      <w:marTop w:val="0"/>
      <w:marBottom w:val="0"/>
      <w:divBdr>
        <w:top w:val="none" w:sz="0" w:space="0" w:color="auto"/>
        <w:left w:val="none" w:sz="0" w:space="0" w:color="auto"/>
        <w:bottom w:val="none" w:sz="0" w:space="0" w:color="auto"/>
        <w:right w:val="none" w:sz="0" w:space="0" w:color="auto"/>
      </w:divBdr>
    </w:div>
    <w:div w:id="1163350486">
      <w:bodyDiv w:val="1"/>
      <w:marLeft w:val="0"/>
      <w:marRight w:val="0"/>
      <w:marTop w:val="0"/>
      <w:marBottom w:val="0"/>
      <w:divBdr>
        <w:top w:val="none" w:sz="0" w:space="0" w:color="auto"/>
        <w:left w:val="none" w:sz="0" w:space="0" w:color="auto"/>
        <w:bottom w:val="none" w:sz="0" w:space="0" w:color="auto"/>
        <w:right w:val="none" w:sz="0" w:space="0" w:color="auto"/>
      </w:divBdr>
    </w:div>
    <w:div w:id="1163473330">
      <w:bodyDiv w:val="1"/>
      <w:marLeft w:val="0"/>
      <w:marRight w:val="0"/>
      <w:marTop w:val="0"/>
      <w:marBottom w:val="0"/>
      <w:divBdr>
        <w:top w:val="none" w:sz="0" w:space="0" w:color="auto"/>
        <w:left w:val="none" w:sz="0" w:space="0" w:color="auto"/>
        <w:bottom w:val="none" w:sz="0" w:space="0" w:color="auto"/>
        <w:right w:val="none" w:sz="0" w:space="0" w:color="auto"/>
      </w:divBdr>
    </w:div>
    <w:div w:id="1163621056">
      <w:bodyDiv w:val="1"/>
      <w:marLeft w:val="0"/>
      <w:marRight w:val="0"/>
      <w:marTop w:val="0"/>
      <w:marBottom w:val="0"/>
      <w:divBdr>
        <w:top w:val="none" w:sz="0" w:space="0" w:color="auto"/>
        <w:left w:val="none" w:sz="0" w:space="0" w:color="auto"/>
        <w:bottom w:val="none" w:sz="0" w:space="0" w:color="auto"/>
        <w:right w:val="none" w:sz="0" w:space="0" w:color="auto"/>
      </w:divBdr>
    </w:div>
    <w:div w:id="1163661585">
      <w:bodyDiv w:val="1"/>
      <w:marLeft w:val="0"/>
      <w:marRight w:val="0"/>
      <w:marTop w:val="0"/>
      <w:marBottom w:val="0"/>
      <w:divBdr>
        <w:top w:val="none" w:sz="0" w:space="0" w:color="auto"/>
        <w:left w:val="none" w:sz="0" w:space="0" w:color="auto"/>
        <w:bottom w:val="none" w:sz="0" w:space="0" w:color="auto"/>
        <w:right w:val="none" w:sz="0" w:space="0" w:color="auto"/>
      </w:divBdr>
    </w:div>
    <w:div w:id="1163854993">
      <w:bodyDiv w:val="1"/>
      <w:marLeft w:val="0"/>
      <w:marRight w:val="0"/>
      <w:marTop w:val="0"/>
      <w:marBottom w:val="0"/>
      <w:divBdr>
        <w:top w:val="none" w:sz="0" w:space="0" w:color="auto"/>
        <w:left w:val="none" w:sz="0" w:space="0" w:color="auto"/>
        <w:bottom w:val="none" w:sz="0" w:space="0" w:color="auto"/>
        <w:right w:val="none" w:sz="0" w:space="0" w:color="auto"/>
      </w:divBdr>
    </w:div>
    <w:div w:id="1164275073">
      <w:bodyDiv w:val="1"/>
      <w:marLeft w:val="0"/>
      <w:marRight w:val="0"/>
      <w:marTop w:val="0"/>
      <w:marBottom w:val="0"/>
      <w:divBdr>
        <w:top w:val="none" w:sz="0" w:space="0" w:color="auto"/>
        <w:left w:val="none" w:sz="0" w:space="0" w:color="auto"/>
        <w:bottom w:val="none" w:sz="0" w:space="0" w:color="auto"/>
        <w:right w:val="none" w:sz="0" w:space="0" w:color="auto"/>
      </w:divBdr>
    </w:div>
    <w:div w:id="1165323830">
      <w:bodyDiv w:val="1"/>
      <w:marLeft w:val="0"/>
      <w:marRight w:val="0"/>
      <w:marTop w:val="0"/>
      <w:marBottom w:val="0"/>
      <w:divBdr>
        <w:top w:val="none" w:sz="0" w:space="0" w:color="auto"/>
        <w:left w:val="none" w:sz="0" w:space="0" w:color="auto"/>
        <w:bottom w:val="none" w:sz="0" w:space="0" w:color="auto"/>
        <w:right w:val="none" w:sz="0" w:space="0" w:color="auto"/>
      </w:divBdr>
    </w:div>
    <w:div w:id="1165704920">
      <w:bodyDiv w:val="1"/>
      <w:marLeft w:val="0"/>
      <w:marRight w:val="0"/>
      <w:marTop w:val="0"/>
      <w:marBottom w:val="0"/>
      <w:divBdr>
        <w:top w:val="none" w:sz="0" w:space="0" w:color="auto"/>
        <w:left w:val="none" w:sz="0" w:space="0" w:color="auto"/>
        <w:bottom w:val="none" w:sz="0" w:space="0" w:color="auto"/>
        <w:right w:val="none" w:sz="0" w:space="0" w:color="auto"/>
      </w:divBdr>
    </w:div>
    <w:div w:id="1165785960">
      <w:bodyDiv w:val="1"/>
      <w:marLeft w:val="0"/>
      <w:marRight w:val="0"/>
      <w:marTop w:val="0"/>
      <w:marBottom w:val="0"/>
      <w:divBdr>
        <w:top w:val="none" w:sz="0" w:space="0" w:color="auto"/>
        <w:left w:val="none" w:sz="0" w:space="0" w:color="auto"/>
        <w:bottom w:val="none" w:sz="0" w:space="0" w:color="auto"/>
        <w:right w:val="none" w:sz="0" w:space="0" w:color="auto"/>
      </w:divBdr>
    </w:div>
    <w:div w:id="1166170606">
      <w:bodyDiv w:val="1"/>
      <w:marLeft w:val="0"/>
      <w:marRight w:val="0"/>
      <w:marTop w:val="0"/>
      <w:marBottom w:val="0"/>
      <w:divBdr>
        <w:top w:val="none" w:sz="0" w:space="0" w:color="auto"/>
        <w:left w:val="none" w:sz="0" w:space="0" w:color="auto"/>
        <w:bottom w:val="none" w:sz="0" w:space="0" w:color="auto"/>
        <w:right w:val="none" w:sz="0" w:space="0" w:color="auto"/>
      </w:divBdr>
    </w:div>
    <w:div w:id="1166286202">
      <w:bodyDiv w:val="1"/>
      <w:marLeft w:val="0"/>
      <w:marRight w:val="0"/>
      <w:marTop w:val="0"/>
      <w:marBottom w:val="0"/>
      <w:divBdr>
        <w:top w:val="none" w:sz="0" w:space="0" w:color="auto"/>
        <w:left w:val="none" w:sz="0" w:space="0" w:color="auto"/>
        <w:bottom w:val="none" w:sz="0" w:space="0" w:color="auto"/>
        <w:right w:val="none" w:sz="0" w:space="0" w:color="auto"/>
      </w:divBdr>
    </w:div>
    <w:div w:id="1167090606">
      <w:bodyDiv w:val="1"/>
      <w:marLeft w:val="0"/>
      <w:marRight w:val="0"/>
      <w:marTop w:val="0"/>
      <w:marBottom w:val="0"/>
      <w:divBdr>
        <w:top w:val="none" w:sz="0" w:space="0" w:color="auto"/>
        <w:left w:val="none" w:sz="0" w:space="0" w:color="auto"/>
        <w:bottom w:val="none" w:sz="0" w:space="0" w:color="auto"/>
        <w:right w:val="none" w:sz="0" w:space="0" w:color="auto"/>
      </w:divBdr>
    </w:div>
    <w:div w:id="1167743247">
      <w:bodyDiv w:val="1"/>
      <w:marLeft w:val="0"/>
      <w:marRight w:val="0"/>
      <w:marTop w:val="0"/>
      <w:marBottom w:val="0"/>
      <w:divBdr>
        <w:top w:val="none" w:sz="0" w:space="0" w:color="auto"/>
        <w:left w:val="none" w:sz="0" w:space="0" w:color="auto"/>
        <w:bottom w:val="none" w:sz="0" w:space="0" w:color="auto"/>
        <w:right w:val="none" w:sz="0" w:space="0" w:color="auto"/>
      </w:divBdr>
    </w:div>
    <w:div w:id="1168138357">
      <w:bodyDiv w:val="1"/>
      <w:marLeft w:val="0"/>
      <w:marRight w:val="0"/>
      <w:marTop w:val="0"/>
      <w:marBottom w:val="0"/>
      <w:divBdr>
        <w:top w:val="none" w:sz="0" w:space="0" w:color="auto"/>
        <w:left w:val="none" w:sz="0" w:space="0" w:color="auto"/>
        <w:bottom w:val="none" w:sz="0" w:space="0" w:color="auto"/>
        <w:right w:val="none" w:sz="0" w:space="0" w:color="auto"/>
      </w:divBdr>
    </w:div>
    <w:div w:id="1168254451">
      <w:bodyDiv w:val="1"/>
      <w:marLeft w:val="0"/>
      <w:marRight w:val="0"/>
      <w:marTop w:val="0"/>
      <w:marBottom w:val="0"/>
      <w:divBdr>
        <w:top w:val="none" w:sz="0" w:space="0" w:color="auto"/>
        <w:left w:val="none" w:sz="0" w:space="0" w:color="auto"/>
        <w:bottom w:val="none" w:sz="0" w:space="0" w:color="auto"/>
        <w:right w:val="none" w:sz="0" w:space="0" w:color="auto"/>
      </w:divBdr>
    </w:div>
    <w:div w:id="1168328614">
      <w:bodyDiv w:val="1"/>
      <w:marLeft w:val="0"/>
      <w:marRight w:val="0"/>
      <w:marTop w:val="0"/>
      <w:marBottom w:val="0"/>
      <w:divBdr>
        <w:top w:val="none" w:sz="0" w:space="0" w:color="auto"/>
        <w:left w:val="none" w:sz="0" w:space="0" w:color="auto"/>
        <w:bottom w:val="none" w:sz="0" w:space="0" w:color="auto"/>
        <w:right w:val="none" w:sz="0" w:space="0" w:color="auto"/>
      </w:divBdr>
    </w:div>
    <w:div w:id="1168444336">
      <w:bodyDiv w:val="1"/>
      <w:marLeft w:val="0"/>
      <w:marRight w:val="0"/>
      <w:marTop w:val="0"/>
      <w:marBottom w:val="0"/>
      <w:divBdr>
        <w:top w:val="none" w:sz="0" w:space="0" w:color="auto"/>
        <w:left w:val="none" w:sz="0" w:space="0" w:color="auto"/>
        <w:bottom w:val="none" w:sz="0" w:space="0" w:color="auto"/>
        <w:right w:val="none" w:sz="0" w:space="0" w:color="auto"/>
      </w:divBdr>
    </w:div>
    <w:div w:id="1168520016">
      <w:bodyDiv w:val="1"/>
      <w:marLeft w:val="0"/>
      <w:marRight w:val="0"/>
      <w:marTop w:val="0"/>
      <w:marBottom w:val="0"/>
      <w:divBdr>
        <w:top w:val="none" w:sz="0" w:space="0" w:color="auto"/>
        <w:left w:val="none" w:sz="0" w:space="0" w:color="auto"/>
        <w:bottom w:val="none" w:sz="0" w:space="0" w:color="auto"/>
        <w:right w:val="none" w:sz="0" w:space="0" w:color="auto"/>
      </w:divBdr>
    </w:div>
    <w:div w:id="1168638037">
      <w:bodyDiv w:val="1"/>
      <w:marLeft w:val="0"/>
      <w:marRight w:val="0"/>
      <w:marTop w:val="0"/>
      <w:marBottom w:val="0"/>
      <w:divBdr>
        <w:top w:val="none" w:sz="0" w:space="0" w:color="auto"/>
        <w:left w:val="none" w:sz="0" w:space="0" w:color="auto"/>
        <w:bottom w:val="none" w:sz="0" w:space="0" w:color="auto"/>
        <w:right w:val="none" w:sz="0" w:space="0" w:color="auto"/>
      </w:divBdr>
    </w:div>
    <w:div w:id="1168639784">
      <w:bodyDiv w:val="1"/>
      <w:marLeft w:val="0"/>
      <w:marRight w:val="0"/>
      <w:marTop w:val="0"/>
      <w:marBottom w:val="0"/>
      <w:divBdr>
        <w:top w:val="none" w:sz="0" w:space="0" w:color="auto"/>
        <w:left w:val="none" w:sz="0" w:space="0" w:color="auto"/>
        <w:bottom w:val="none" w:sz="0" w:space="0" w:color="auto"/>
        <w:right w:val="none" w:sz="0" w:space="0" w:color="auto"/>
      </w:divBdr>
    </w:div>
    <w:div w:id="1169325698">
      <w:bodyDiv w:val="1"/>
      <w:marLeft w:val="0"/>
      <w:marRight w:val="0"/>
      <w:marTop w:val="0"/>
      <w:marBottom w:val="0"/>
      <w:divBdr>
        <w:top w:val="none" w:sz="0" w:space="0" w:color="auto"/>
        <w:left w:val="none" w:sz="0" w:space="0" w:color="auto"/>
        <w:bottom w:val="none" w:sz="0" w:space="0" w:color="auto"/>
        <w:right w:val="none" w:sz="0" w:space="0" w:color="auto"/>
      </w:divBdr>
    </w:div>
    <w:div w:id="1169447380">
      <w:bodyDiv w:val="1"/>
      <w:marLeft w:val="0"/>
      <w:marRight w:val="0"/>
      <w:marTop w:val="0"/>
      <w:marBottom w:val="0"/>
      <w:divBdr>
        <w:top w:val="none" w:sz="0" w:space="0" w:color="auto"/>
        <w:left w:val="none" w:sz="0" w:space="0" w:color="auto"/>
        <w:bottom w:val="none" w:sz="0" w:space="0" w:color="auto"/>
        <w:right w:val="none" w:sz="0" w:space="0" w:color="auto"/>
      </w:divBdr>
    </w:div>
    <w:div w:id="1169557951">
      <w:bodyDiv w:val="1"/>
      <w:marLeft w:val="0"/>
      <w:marRight w:val="0"/>
      <w:marTop w:val="0"/>
      <w:marBottom w:val="0"/>
      <w:divBdr>
        <w:top w:val="none" w:sz="0" w:space="0" w:color="auto"/>
        <w:left w:val="none" w:sz="0" w:space="0" w:color="auto"/>
        <w:bottom w:val="none" w:sz="0" w:space="0" w:color="auto"/>
        <w:right w:val="none" w:sz="0" w:space="0" w:color="auto"/>
      </w:divBdr>
    </w:div>
    <w:div w:id="1169559333">
      <w:bodyDiv w:val="1"/>
      <w:marLeft w:val="0"/>
      <w:marRight w:val="0"/>
      <w:marTop w:val="0"/>
      <w:marBottom w:val="0"/>
      <w:divBdr>
        <w:top w:val="none" w:sz="0" w:space="0" w:color="auto"/>
        <w:left w:val="none" w:sz="0" w:space="0" w:color="auto"/>
        <w:bottom w:val="none" w:sz="0" w:space="0" w:color="auto"/>
        <w:right w:val="none" w:sz="0" w:space="0" w:color="auto"/>
      </w:divBdr>
    </w:div>
    <w:div w:id="1169566174">
      <w:bodyDiv w:val="1"/>
      <w:marLeft w:val="0"/>
      <w:marRight w:val="0"/>
      <w:marTop w:val="0"/>
      <w:marBottom w:val="0"/>
      <w:divBdr>
        <w:top w:val="none" w:sz="0" w:space="0" w:color="auto"/>
        <w:left w:val="none" w:sz="0" w:space="0" w:color="auto"/>
        <w:bottom w:val="none" w:sz="0" w:space="0" w:color="auto"/>
        <w:right w:val="none" w:sz="0" w:space="0" w:color="auto"/>
      </w:divBdr>
    </w:div>
    <w:div w:id="1170293578">
      <w:bodyDiv w:val="1"/>
      <w:marLeft w:val="0"/>
      <w:marRight w:val="0"/>
      <w:marTop w:val="0"/>
      <w:marBottom w:val="0"/>
      <w:divBdr>
        <w:top w:val="none" w:sz="0" w:space="0" w:color="auto"/>
        <w:left w:val="none" w:sz="0" w:space="0" w:color="auto"/>
        <w:bottom w:val="none" w:sz="0" w:space="0" w:color="auto"/>
        <w:right w:val="none" w:sz="0" w:space="0" w:color="auto"/>
      </w:divBdr>
    </w:div>
    <w:div w:id="1170481203">
      <w:bodyDiv w:val="1"/>
      <w:marLeft w:val="0"/>
      <w:marRight w:val="0"/>
      <w:marTop w:val="0"/>
      <w:marBottom w:val="0"/>
      <w:divBdr>
        <w:top w:val="none" w:sz="0" w:space="0" w:color="auto"/>
        <w:left w:val="none" w:sz="0" w:space="0" w:color="auto"/>
        <w:bottom w:val="none" w:sz="0" w:space="0" w:color="auto"/>
        <w:right w:val="none" w:sz="0" w:space="0" w:color="auto"/>
      </w:divBdr>
    </w:div>
    <w:div w:id="1170490725">
      <w:bodyDiv w:val="1"/>
      <w:marLeft w:val="0"/>
      <w:marRight w:val="0"/>
      <w:marTop w:val="0"/>
      <w:marBottom w:val="0"/>
      <w:divBdr>
        <w:top w:val="none" w:sz="0" w:space="0" w:color="auto"/>
        <w:left w:val="none" w:sz="0" w:space="0" w:color="auto"/>
        <w:bottom w:val="none" w:sz="0" w:space="0" w:color="auto"/>
        <w:right w:val="none" w:sz="0" w:space="0" w:color="auto"/>
      </w:divBdr>
    </w:div>
    <w:div w:id="1170868131">
      <w:bodyDiv w:val="1"/>
      <w:marLeft w:val="0"/>
      <w:marRight w:val="0"/>
      <w:marTop w:val="0"/>
      <w:marBottom w:val="0"/>
      <w:divBdr>
        <w:top w:val="none" w:sz="0" w:space="0" w:color="auto"/>
        <w:left w:val="none" w:sz="0" w:space="0" w:color="auto"/>
        <w:bottom w:val="none" w:sz="0" w:space="0" w:color="auto"/>
        <w:right w:val="none" w:sz="0" w:space="0" w:color="auto"/>
      </w:divBdr>
    </w:div>
    <w:div w:id="1170873775">
      <w:bodyDiv w:val="1"/>
      <w:marLeft w:val="0"/>
      <w:marRight w:val="0"/>
      <w:marTop w:val="0"/>
      <w:marBottom w:val="0"/>
      <w:divBdr>
        <w:top w:val="none" w:sz="0" w:space="0" w:color="auto"/>
        <w:left w:val="none" w:sz="0" w:space="0" w:color="auto"/>
        <w:bottom w:val="none" w:sz="0" w:space="0" w:color="auto"/>
        <w:right w:val="none" w:sz="0" w:space="0" w:color="auto"/>
      </w:divBdr>
    </w:div>
    <w:div w:id="1170876274">
      <w:bodyDiv w:val="1"/>
      <w:marLeft w:val="0"/>
      <w:marRight w:val="0"/>
      <w:marTop w:val="0"/>
      <w:marBottom w:val="0"/>
      <w:divBdr>
        <w:top w:val="none" w:sz="0" w:space="0" w:color="auto"/>
        <w:left w:val="none" w:sz="0" w:space="0" w:color="auto"/>
        <w:bottom w:val="none" w:sz="0" w:space="0" w:color="auto"/>
        <w:right w:val="none" w:sz="0" w:space="0" w:color="auto"/>
      </w:divBdr>
    </w:div>
    <w:div w:id="1170946730">
      <w:bodyDiv w:val="1"/>
      <w:marLeft w:val="0"/>
      <w:marRight w:val="0"/>
      <w:marTop w:val="0"/>
      <w:marBottom w:val="0"/>
      <w:divBdr>
        <w:top w:val="none" w:sz="0" w:space="0" w:color="auto"/>
        <w:left w:val="none" w:sz="0" w:space="0" w:color="auto"/>
        <w:bottom w:val="none" w:sz="0" w:space="0" w:color="auto"/>
        <w:right w:val="none" w:sz="0" w:space="0" w:color="auto"/>
      </w:divBdr>
    </w:div>
    <w:div w:id="1171065684">
      <w:bodyDiv w:val="1"/>
      <w:marLeft w:val="0"/>
      <w:marRight w:val="0"/>
      <w:marTop w:val="0"/>
      <w:marBottom w:val="0"/>
      <w:divBdr>
        <w:top w:val="none" w:sz="0" w:space="0" w:color="auto"/>
        <w:left w:val="none" w:sz="0" w:space="0" w:color="auto"/>
        <w:bottom w:val="none" w:sz="0" w:space="0" w:color="auto"/>
        <w:right w:val="none" w:sz="0" w:space="0" w:color="auto"/>
      </w:divBdr>
    </w:div>
    <w:div w:id="1171070310">
      <w:bodyDiv w:val="1"/>
      <w:marLeft w:val="0"/>
      <w:marRight w:val="0"/>
      <w:marTop w:val="0"/>
      <w:marBottom w:val="0"/>
      <w:divBdr>
        <w:top w:val="none" w:sz="0" w:space="0" w:color="auto"/>
        <w:left w:val="none" w:sz="0" w:space="0" w:color="auto"/>
        <w:bottom w:val="none" w:sz="0" w:space="0" w:color="auto"/>
        <w:right w:val="none" w:sz="0" w:space="0" w:color="auto"/>
      </w:divBdr>
    </w:div>
    <w:div w:id="1171414475">
      <w:bodyDiv w:val="1"/>
      <w:marLeft w:val="0"/>
      <w:marRight w:val="0"/>
      <w:marTop w:val="0"/>
      <w:marBottom w:val="0"/>
      <w:divBdr>
        <w:top w:val="none" w:sz="0" w:space="0" w:color="auto"/>
        <w:left w:val="none" w:sz="0" w:space="0" w:color="auto"/>
        <w:bottom w:val="none" w:sz="0" w:space="0" w:color="auto"/>
        <w:right w:val="none" w:sz="0" w:space="0" w:color="auto"/>
      </w:divBdr>
    </w:div>
    <w:div w:id="1171486281">
      <w:bodyDiv w:val="1"/>
      <w:marLeft w:val="0"/>
      <w:marRight w:val="0"/>
      <w:marTop w:val="0"/>
      <w:marBottom w:val="0"/>
      <w:divBdr>
        <w:top w:val="none" w:sz="0" w:space="0" w:color="auto"/>
        <w:left w:val="none" w:sz="0" w:space="0" w:color="auto"/>
        <w:bottom w:val="none" w:sz="0" w:space="0" w:color="auto"/>
        <w:right w:val="none" w:sz="0" w:space="0" w:color="auto"/>
      </w:divBdr>
    </w:div>
    <w:div w:id="1171725263">
      <w:bodyDiv w:val="1"/>
      <w:marLeft w:val="0"/>
      <w:marRight w:val="0"/>
      <w:marTop w:val="0"/>
      <w:marBottom w:val="0"/>
      <w:divBdr>
        <w:top w:val="none" w:sz="0" w:space="0" w:color="auto"/>
        <w:left w:val="none" w:sz="0" w:space="0" w:color="auto"/>
        <w:bottom w:val="none" w:sz="0" w:space="0" w:color="auto"/>
        <w:right w:val="none" w:sz="0" w:space="0" w:color="auto"/>
      </w:divBdr>
    </w:div>
    <w:div w:id="1171874665">
      <w:bodyDiv w:val="1"/>
      <w:marLeft w:val="0"/>
      <w:marRight w:val="0"/>
      <w:marTop w:val="0"/>
      <w:marBottom w:val="0"/>
      <w:divBdr>
        <w:top w:val="none" w:sz="0" w:space="0" w:color="auto"/>
        <w:left w:val="none" w:sz="0" w:space="0" w:color="auto"/>
        <w:bottom w:val="none" w:sz="0" w:space="0" w:color="auto"/>
        <w:right w:val="none" w:sz="0" w:space="0" w:color="auto"/>
      </w:divBdr>
    </w:div>
    <w:div w:id="1172258159">
      <w:bodyDiv w:val="1"/>
      <w:marLeft w:val="0"/>
      <w:marRight w:val="0"/>
      <w:marTop w:val="0"/>
      <w:marBottom w:val="0"/>
      <w:divBdr>
        <w:top w:val="none" w:sz="0" w:space="0" w:color="auto"/>
        <w:left w:val="none" w:sz="0" w:space="0" w:color="auto"/>
        <w:bottom w:val="none" w:sz="0" w:space="0" w:color="auto"/>
        <w:right w:val="none" w:sz="0" w:space="0" w:color="auto"/>
      </w:divBdr>
    </w:div>
    <w:div w:id="1172642735">
      <w:bodyDiv w:val="1"/>
      <w:marLeft w:val="0"/>
      <w:marRight w:val="0"/>
      <w:marTop w:val="0"/>
      <w:marBottom w:val="0"/>
      <w:divBdr>
        <w:top w:val="none" w:sz="0" w:space="0" w:color="auto"/>
        <w:left w:val="none" w:sz="0" w:space="0" w:color="auto"/>
        <w:bottom w:val="none" w:sz="0" w:space="0" w:color="auto"/>
        <w:right w:val="none" w:sz="0" w:space="0" w:color="auto"/>
      </w:divBdr>
    </w:div>
    <w:div w:id="1173109287">
      <w:bodyDiv w:val="1"/>
      <w:marLeft w:val="0"/>
      <w:marRight w:val="0"/>
      <w:marTop w:val="0"/>
      <w:marBottom w:val="0"/>
      <w:divBdr>
        <w:top w:val="none" w:sz="0" w:space="0" w:color="auto"/>
        <w:left w:val="none" w:sz="0" w:space="0" w:color="auto"/>
        <w:bottom w:val="none" w:sz="0" w:space="0" w:color="auto"/>
        <w:right w:val="none" w:sz="0" w:space="0" w:color="auto"/>
      </w:divBdr>
    </w:div>
    <w:div w:id="1173494746">
      <w:bodyDiv w:val="1"/>
      <w:marLeft w:val="0"/>
      <w:marRight w:val="0"/>
      <w:marTop w:val="0"/>
      <w:marBottom w:val="0"/>
      <w:divBdr>
        <w:top w:val="none" w:sz="0" w:space="0" w:color="auto"/>
        <w:left w:val="none" w:sz="0" w:space="0" w:color="auto"/>
        <w:bottom w:val="none" w:sz="0" w:space="0" w:color="auto"/>
        <w:right w:val="none" w:sz="0" w:space="0" w:color="auto"/>
      </w:divBdr>
    </w:div>
    <w:div w:id="1173765296">
      <w:bodyDiv w:val="1"/>
      <w:marLeft w:val="0"/>
      <w:marRight w:val="0"/>
      <w:marTop w:val="0"/>
      <w:marBottom w:val="0"/>
      <w:divBdr>
        <w:top w:val="none" w:sz="0" w:space="0" w:color="auto"/>
        <w:left w:val="none" w:sz="0" w:space="0" w:color="auto"/>
        <w:bottom w:val="none" w:sz="0" w:space="0" w:color="auto"/>
        <w:right w:val="none" w:sz="0" w:space="0" w:color="auto"/>
      </w:divBdr>
    </w:div>
    <w:div w:id="1174026556">
      <w:bodyDiv w:val="1"/>
      <w:marLeft w:val="0"/>
      <w:marRight w:val="0"/>
      <w:marTop w:val="0"/>
      <w:marBottom w:val="0"/>
      <w:divBdr>
        <w:top w:val="none" w:sz="0" w:space="0" w:color="auto"/>
        <w:left w:val="none" w:sz="0" w:space="0" w:color="auto"/>
        <w:bottom w:val="none" w:sz="0" w:space="0" w:color="auto"/>
        <w:right w:val="none" w:sz="0" w:space="0" w:color="auto"/>
      </w:divBdr>
    </w:div>
    <w:div w:id="1174150031">
      <w:bodyDiv w:val="1"/>
      <w:marLeft w:val="0"/>
      <w:marRight w:val="0"/>
      <w:marTop w:val="0"/>
      <w:marBottom w:val="0"/>
      <w:divBdr>
        <w:top w:val="none" w:sz="0" w:space="0" w:color="auto"/>
        <w:left w:val="none" w:sz="0" w:space="0" w:color="auto"/>
        <w:bottom w:val="none" w:sz="0" w:space="0" w:color="auto"/>
        <w:right w:val="none" w:sz="0" w:space="0" w:color="auto"/>
      </w:divBdr>
    </w:div>
    <w:div w:id="1174419020">
      <w:bodyDiv w:val="1"/>
      <w:marLeft w:val="0"/>
      <w:marRight w:val="0"/>
      <w:marTop w:val="0"/>
      <w:marBottom w:val="0"/>
      <w:divBdr>
        <w:top w:val="none" w:sz="0" w:space="0" w:color="auto"/>
        <w:left w:val="none" w:sz="0" w:space="0" w:color="auto"/>
        <w:bottom w:val="none" w:sz="0" w:space="0" w:color="auto"/>
        <w:right w:val="none" w:sz="0" w:space="0" w:color="auto"/>
      </w:divBdr>
    </w:div>
    <w:div w:id="1174683893">
      <w:bodyDiv w:val="1"/>
      <w:marLeft w:val="0"/>
      <w:marRight w:val="0"/>
      <w:marTop w:val="0"/>
      <w:marBottom w:val="0"/>
      <w:divBdr>
        <w:top w:val="none" w:sz="0" w:space="0" w:color="auto"/>
        <w:left w:val="none" w:sz="0" w:space="0" w:color="auto"/>
        <w:bottom w:val="none" w:sz="0" w:space="0" w:color="auto"/>
        <w:right w:val="none" w:sz="0" w:space="0" w:color="auto"/>
      </w:divBdr>
    </w:div>
    <w:div w:id="1175412679">
      <w:bodyDiv w:val="1"/>
      <w:marLeft w:val="0"/>
      <w:marRight w:val="0"/>
      <w:marTop w:val="0"/>
      <w:marBottom w:val="0"/>
      <w:divBdr>
        <w:top w:val="none" w:sz="0" w:space="0" w:color="auto"/>
        <w:left w:val="none" w:sz="0" w:space="0" w:color="auto"/>
        <w:bottom w:val="none" w:sz="0" w:space="0" w:color="auto"/>
        <w:right w:val="none" w:sz="0" w:space="0" w:color="auto"/>
      </w:divBdr>
    </w:div>
    <w:div w:id="1175605880">
      <w:bodyDiv w:val="1"/>
      <w:marLeft w:val="0"/>
      <w:marRight w:val="0"/>
      <w:marTop w:val="0"/>
      <w:marBottom w:val="0"/>
      <w:divBdr>
        <w:top w:val="none" w:sz="0" w:space="0" w:color="auto"/>
        <w:left w:val="none" w:sz="0" w:space="0" w:color="auto"/>
        <w:bottom w:val="none" w:sz="0" w:space="0" w:color="auto"/>
        <w:right w:val="none" w:sz="0" w:space="0" w:color="auto"/>
      </w:divBdr>
    </w:div>
    <w:div w:id="1175993865">
      <w:bodyDiv w:val="1"/>
      <w:marLeft w:val="0"/>
      <w:marRight w:val="0"/>
      <w:marTop w:val="0"/>
      <w:marBottom w:val="0"/>
      <w:divBdr>
        <w:top w:val="none" w:sz="0" w:space="0" w:color="auto"/>
        <w:left w:val="none" w:sz="0" w:space="0" w:color="auto"/>
        <w:bottom w:val="none" w:sz="0" w:space="0" w:color="auto"/>
        <w:right w:val="none" w:sz="0" w:space="0" w:color="auto"/>
      </w:divBdr>
    </w:div>
    <w:div w:id="1176268577">
      <w:bodyDiv w:val="1"/>
      <w:marLeft w:val="0"/>
      <w:marRight w:val="0"/>
      <w:marTop w:val="0"/>
      <w:marBottom w:val="0"/>
      <w:divBdr>
        <w:top w:val="none" w:sz="0" w:space="0" w:color="auto"/>
        <w:left w:val="none" w:sz="0" w:space="0" w:color="auto"/>
        <w:bottom w:val="none" w:sz="0" w:space="0" w:color="auto"/>
        <w:right w:val="none" w:sz="0" w:space="0" w:color="auto"/>
      </w:divBdr>
    </w:div>
    <w:div w:id="1176312565">
      <w:bodyDiv w:val="1"/>
      <w:marLeft w:val="0"/>
      <w:marRight w:val="0"/>
      <w:marTop w:val="0"/>
      <w:marBottom w:val="0"/>
      <w:divBdr>
        <w:top w:val="none" w:sz="0" w:space="0" w:color="auto"/>
        <w:left w:val="none" w:sz="0" w:space="0" w:color="auto"/>
        <w:bottom w:val="none" w:sz="0" w:space="0" w:color="auto"/>
        <w:right w:val="none" w:sz="0" w:space="0" w:color="auto"/>
      </w:divBdr>
    </w:div>
    <w:div w:id="1176576265">
      <w:bodyDiv w:val="1"/>
      <w:marLeft w:val="0"/>
      <w:marRight w:val="0"/>
      <w:marTop w:val="0"/>
      <w:marBottom w:val="0"/>
      <w:divBdr>
        <w:top w:val="none" w:sz="0" w:space="0" w:color="auto"/>
        <w:left w:val="none" w:sz="0" w:space="0" w:color="auto"/>
        <w:bottom w:val="none" w:sz="0" w:space="0" w:color="auto"/>
        <w:right w:val="none" w:sz="0" w:space="0" w:color="auto"/>
      </w:divBdr>
    </w:div>
    <w:div w:id="1176844869">
      <w:bodyDiv w:val="1"/>
      <w:marLeft w:val="0"/>
      <w:marRight w:val="0"/>
      <w:marTop w:val="0"/>
      <w:marBottom w:val="0"/>
      <w:divBdr>
        <w:top w:val="none" w:sz="0" w:space="0" w:color="auto"/>
        <w:left w:val="none" w:sz="0" w:space="0" w:color="auto"/>
        <w:bottom w:val="none" w:sz="0" w:space="0" w:color="auto"/>
        <w:right w:val="none" w:sz="0" w:space="0" w:color="auto"/>
      </w:divBdr>
    </w:div>
    <w:div w:id="1177187365">
      <w:bodyDiv w:val="1"/>
      <w:marLeft w:val="0"/>
      <w:marRight w:val="0"/>
      <w:marTop w:val="0"/>
      <w:marBottom w:val="0"/>
      <w:divBdr>
        <w:top w:val="none" w:sz="0" w:space="0" w:color="auto"/>
        <w:left w:val="none" w:sz="0" w:space="0" w:color="auto"/>
        <w:bottom w:val="none" w:sz="0" w:space="0" w:color="auto"/>
        <w:right w:val="none" w:sz="0" w:space="0" w:color="auto"/>
      </w:divBdr>
    </w:div>
    <w:div w:id="1177381085">
      <w:bodyDiv w:val="1"/>
      <w:marLeft w:val="0"/>
      <w:marRight w:val="0"/>
      <w:marTop w:val="0"/>
      <w:marBottom w:val="0"/>
      <w:divBdr>
        <w:top w:val="none" w:sz="0" w:space="0" w:color="auto"/>
        <w:left w:val="none" w:sz="0" w:space="0" w:color="auto"/>
        <w:bottom w:val="none" w:sz="0" w:space="0" w:color="auto"/>
        <w:right w:val="none" w:sz="0" w:space="0" w:color="auto"/>
      </w:divBdr>
    </w:div>
    <w:div w:id="1177423354">
      <w:bodyDiv w:val="1"/>
      <w:marLeft w:val="0"/>
      <w:marRight w:val="0"/>
      <w:marTop w:val="0"/>
      <w:marBottom w:val="0"/>
      <w:divBdr>
        <w:top w:val="none" w:sz="0" w:space="0" w:color="auto"/>
        <w:left w:val="none" w:sz="0" w:space="0" w:color="auto"/>
        <w:bottom w:val="none" w:sz="0" w:space="0" w:color="auto"/>
        <w:right w:val="none" w:sz="0" w:space="0" w:color="auto"/>
      </w:divBdr>
    </w:div>
    <w:div w:id="1177695374">
      <w:bodyDiv w:val="1"/>
      <w:marLeft w:val="0"/>
      <w:marRight w:val="0"/>
      <w:marTop w:val="0"/>
      <w:marBottom w:val="0"/>
      <w:divBdr>
        <w:top w:val="none" w:sz="0" w:space="0" w:color="auto"/>
        <w:left w:val="none" w:sz="0" w:space="0" w:color="auto"/>
        <w:bottom w:val="none" w:sz="0" w:space="0" w:color="auto"/>
        <w:right w:val="none" w:sz="0" w:space="0" w:color="auto"/>
      </w:divBdr>
    </w:div>
    <w:div w:id="1177772647">
      <w:bodyDiv w:val="1"/>
      <w:marLeft w:val="0"/>
      <w:marRight w:val="0"/>
      <w:marTop w:val="0"/>
      <w:marBottom w:val="0"/>
      <w:divBdr>
        <w:top w:val="none" w:sz="0" w:space="0" w:color="auto"/>
        <w:left w:val="none" w:sz="0" w:space="0" w:color="auto"/>
        <w:bottom w:val="none" w:sz="0" w:space="0" w:color="auto"/>
        <w:right w:val="none" w:sz="0" w:space="0" w:color="auto"/>
      </w:divBdr>
    </w:div>
    <w:div w:id="1178080367">
      <w:bodyDiv w:val="1"/>
      <w:marLeft w:val="0"/>
      <w:marRight w:val="0"/>
      <w:marTop w:val="0"/>
      <w:marBottom w:val="0"/>
      <w:divBdr>
        <w:top w:val="none" w:sz="0" w:space="0" w:color="auto"/>
        <w:left w:val="none" w:sz="0" w:space="0" w:color="auto"/>
        <w:bottom w:val="none" w:sz="0" w:space="0" w:color="auto"/>
        <w:right w:val="none" w:sz="0" w:space="0" w:color="auto"/>
      </w:divBdr>
    </w:div>
    <w:div w:id="1178273557">
      <w:bodyDiv w:val="1"/>
      <w:marLeft w:val="0"/>
      <w:marRight w:val="0"/>
      <w:marTop w:val="0"/>
      <w:marBottom w:val="0"/>
      <w:divBdr>
        <w:top w:val="none" w:sz="0" w:space="0" w:color="auto"/>
        <w:left w:val="none" w:sz="0" w:space="0" w:color="auto"/>
        <w:bottom w:val="none" w:sz="0" w:space="0" w:color="auto"/>
        <w:right w:val="none" w:sz="0" w:space="0" w:color="auto"/>
      </w:divBdr>
    </w:div>
    <w:div w:id="1179193386">
      <w:bodyDiv w:val="1"/>
      <w:marLeft w:val="0"/>
      <w:marRight w:val="0"/>
      <w:marTop w:val="0"/>
      <w:marBottom w:val="0"/>
      <w:divBdr>
        <w:top w:val="none" w:sz="0" w:space="0" w:color="auto"/>
        <w:left w:val="none" w:sz="0" w:space="0" w:color="auto"/>
        <w:bottom w:val="none" w:sz="0" w:space="0" w:color="auto"/>
        <w:right w:val="none" w:sz="0" w:space="0" w:color="auto"/>
      </w:divBdr>
    </w:div>
    <w:div w:id="1179732653">
      <w:bodyDiv w:val="1"/>
      <w:marLeft w:val="0"/>
      <w:marRight w:val="0"/>
      <w:marTop w:val="0"/>
      <w:marBottom w:val="0"/>
      <w:divBdr>
        <w:top w:val="none" w:sz="0" w:space="0" w:color="auto"/>
        <w:left w:val="none" w:sz="0" w:space="0" w:color="auto"/>
        <w:bottom w:val="none" w:sz="0" w:space="0" w:color="auto"/>
        <w:right w:val="none" w:sz="0" w:space="0" w:color="auto"/>
      </w:divBdr>
    </w:div>
    <w:div w:id="1179806459">
      <w:bodyDiv w:val="1"/>
      <w:marLeft w:val="0"/>
      <w:marRight w:val="0"/>
      <w:marTop w:val="0"/>
      <w:marBottom w:val="0"/>
      <w:divBdr>
        <w:top w:val="none" w:sz="0" w:space="0" w:color="auto"/>
        <w:left w:val="none" w:sz="0" w:space="0" w:color="auto"/>
        <w:bottom w:val="none" w:sz="0" w:space="0" w:color="auto"/>
        <w:right w:val="none" w:sz="0" w:space="0" w:color="auto"/>
      </w:divBdr>
    </w:div>
    <w:div w:id="1179999198">
      <w:bodyDiv w:val="1"/>
      <w:marLeft w:val="0"/>
      <w:marRight w:val="0"/>
      <w:marTop w:val="0"/>
      <w:marBottom w:val="0"/>
      <w:divBdr>
        <w:top w:val="none" w:sz="0" w:space="0" w:color="auto"/>
        <w:left w:val="none" w:sz="0" w:space="0" w:color="auto"/>
        <w:bottom w:val="none" w:sz="0" w:space="0" w:color="auto"/>
        <w:right w:val="none" w:sz="0" w:space="0" w:color="auto"/>
      </w:divBdr>
    </w:div>
    <w:div w:id="1180050736">
      <w:bodyDiv w:val="1"/>
      <w:marLeft w:val="0"/>
      <w:marRight w:val="0"/>
      <w:marTop w:val="0"/>
      <w:marBottom w:val="0"/>
      <w:divBdr>
        <w:top w:val="none" w:sz="0" w:space="0" w:color="auto"/>
        <w:left w:val="none" w:sz="0" w:space="0" w:color="auto"/>
        <w:bottom w:val="none" w:sz="0" w:space="0" w:color="auto"/>
        <w:right w:val="none" w:sz="0" w:space="0" w:color="auto"/>
      </w:divBdr>
    </w:div>
    <w:div w:id="1180506376">
      <w:bodyDiv w:val="1"/>
      <w:marLeft w:val="0"/>
      <w:marRight w:val="0"/>
      <w:marTop w:val="0"/>
      <w:marBottom w:val="0"/>
      <w:divBdr>
        <w:top w:val="none" w:sz="0" w:space="0" w:color="auto"/>
        <w:left w:val="none" w:sz="0" w:space="0" w:color="auto"/>
        <w:bottom w:val="none" w:sz="0" w:space="0" w:color="auto"/>
        <w:right w:val="none" w:sz="0" w:space="0" w:color="auto"/>
      </w:divBdr>
    </w:div>
    <w:div w:id="1180698688">
      <w:bodyDiv w:val="1"/>
      <w:marLeft w:val="0"/>
      <w:marRight w:val="0"/>
      <w:marTop w:val="0"/>
      <w:marBottom w:val="0"/>
      <w:divBdr>
        <w:top w:val="none" w:sz="0" w:space="0" w:color="auto"/>
        <w:left w:val="none" w:sz="0" w:space="0" w:color="auto"/>
        <w:bottom w:val="none" w:sz="0" w:space="0" w:color="auto"/>
        <w:right w:val="none" w:sz="0" w:space="0" w:color="auto"/>
      </w:divBdr>
    </w:div>
    <w:div w:id="1180701211">
      <w:bodyDiv w:val="1"/>
      <w:marLeft w:val="0"/>
      <w:marRight w:val="0"/>
      <w:marTop w:val="0"/>
      <w:marBottom w:val="0"/>
      <w:divBdr>
        <w:top w:val="none" w:sz="0" w:space="0" w:color="auto"/>
        <w:left w:val="none" w:sz="0" w:space="0" w:color="auto"/>
        <w:bottom w:val="none" w:sz="0" w:space="0" w:color="auto"/>
        <w:right w:val="none" w:sz="0" w:space="0" w:color="auto"/>
      </w:divBdr>
    </w:div>
    <w:div w:id="1180850523">
      <w:bodyDiv w:val="1"/>
      <w:marLeft w:val="0"/>
      <w:marRight w:val="0"/>
      <w:marTop w:val="0"/>
      <w:marBottom w:val="0"/>
      <w:divBdr>
        <w:top w:val="none" w:sz="0" w:space="0" w:color="auto"/>
        <w:left w:val="none" w:sz="0" w:space="0" w:color="auto"/>
        <w:bottom w:val="none" w:sz="0" w:space="0" w:color="auto"/>
        <w:right w:val="none" w:sz="0" w:space="0" w:color="auto"/>
      </w:divBdr>
    </w:div>
    <w:div w:id="1180897378">
      <w:bodyDiv w:val="1"/>
      <w:marLeft w:val="0"/>
      <w:marRight w:val="0"/>
      <w:marTop w:val="0"/>
      <w:marBottom w:val="0"/>
      <w:divBdr>
        <w:top w:val="none" w:sz="0" w:space="0" w:color="auto"/>
        <w:left w:val="none" w:sz="0" w:space="0" w:color="auto"/>
        <w:bottom w:val="none" w:sz="0" w:space="0" w:color="auto"/>
        <w:right w:val="none" w:sz="0" w:space="0" w:color="auto"/>
      </w:divBdr>
    </w:div>
    <w:div w:id="1181235551">
      <w:bodyDiv w:val="1"/>
      <w:marLeft w:val="0"/>
      <w:marRight w:val="0"/>
      <w:marTop w:val="0"/>
      <w:marBottom w:val="0"/>
      <w:divBdr>
        <w:top w:val="none" w:sz="0" w:space="0" w:color="auto"/>
        <w:left w:val="none" w:sz="0" w:space="0" w:color="auto"/>
        <w:bottom w:val="none" w:sz="0" w:space="0" w:color="auto"/>
        <w:right w:val="none" w:sz="0" w:space="0" w:color="auto"/>
      </w:divBdr>
    </w:div>
    <w:div w:id="1181359588">
      <w:bodyDiv w:val="1"/>
      <w:marLeft w:val="0"/>
      <w:marRight w:val="0"/>
      <w:marTop w:val="0"/>
      <w:marBottom w:val="0"/>
      <w:divBdr>
        <w:top w:val="none" w:sz="0" w:space="0" w:color="auto"/>
        <w:left w:val="none" w:sz="0" w:space="0" w:color="auto"/>
        <w:bottom w:val="none" w:sz="0" w:space="0" w:color="auto"/>
        <w:right w:val="none" w:sz="0" w:space="0" w:color="auto"/>
      </w:divBdr>
    </w:div>
    <w:div w:id="1181434210">
      <w:bodyDiv w:val="1"/>
      <w:marLeft w:val="0"/>
      <w:marRight w:val="0"/>
      <w:marTop w:val="0"/>
      <w:marBottom w:val="0"/>
      <w:divBdr>
        <w:top w:val="none" w:sz="0" w:space="0" w:color="auto"/>
        <w:left w:val="none" w:sz="0" w:space="0" w:color="auto"/>
        <w:bottom w:val="none" w:sz="0" w:space="0" w:color="auto"/>
        <w:right w:val="none" w:sz="0" w:space="0" w:color="auto"/>
      </w:divBdr>
    </w:div>
    <w:div w:id="1182158746">
      <w:bodyDiv w:val="1"/>
      <w:marLeft w:val="0"/>
      <w:marRight w:val="0"/>
      <w:marTop w:val="0"/>
      <w:marBottom w:val="0"/>
      <w:divBdr>
        <w:top w:val="none" w:sz="0" w:space="0" w:color="auto"/>
        <w:left w:val="none" w:sz="0" w:space="0" w:color="auto"/>
        <w:bottom w:val="none" w:sz="0" w:space="0" w:color="auto"/>
        <w:right w:val="none" w:sz="0" w:space="0" w:color="auto"/>
      </w:divBdr>
    </w:div>
    <w:div w:id="1182357894">
      <w:bodyDiv w:val="1"/>
      <w:marLeft w:val="0"/>
      <w:marRight w:val="0"/>
      <w:marTop w:val="0"/>
      <w:marBottom w:val="0"/>
      <w:divBdr>
        <w:top w:val="none" w:sz="0" w:space="0" w:color="auto"/>
        <w:left w:val="none" w:sz="0" w:space="0" w:color="auto"/>
        <w:bottom w:val="none" w:sz="0" w:space="0" w:color="auto"/>
        <w:right w:val="none" w:sz="0" w:space="0" w:color="auto"/>
      </w:divBdr>
    </w:div>
    <w:div w:id="1182622108">
      <w:bodyDiv w:val="1"/>
      <w:marLeft w:val="0"/>
      <w:marRight w:val="0"/>
      <w:marTop w:val="0"/>
      <w:marBottom w:val="0"/>
      <w:divBdr>
        <w:top w:val="none" w:sz="0" w:space="0" w:color="auto"/>
        <w:left w:val="none" w:sz="0" w:space="0" w:color="auto"/>
        <w:bottom w:val="none" w:sz="0" w:space="0" w:color="auto"/>
        <w:right w:val="none" w:sz="0" w:space="0" w:color="auto"/>
      </w:divBdr>
    </w:div>
    <w:div w:id="1183128096">
      <w:bodyDiv w:val="1"/>
      <w:marLeft w:val="0"/>
      <w:marRight w:val="0"/>
      <w:marTop w:val="0"/>
      <w:marBottom w:val="0"/>
      <w:divBdr>
        <w:top w:val="none" w:sz="0" w:space="0" w:color="auto"/>
        <w:left w:val="none" w:sz="0" w:space="0" w:color="auto"/>
        <w:bottom w:val="none" w:sz="0" w:space="0" w:color="auto"/>
        <w:right w:val="none" w:sz="0" w:space="0" w:color="auto"/>
      </w:divBdr>
    </w:div>
    <w:div w:id="1183396774">
      <w:bodyDiv w:val="1"/>
      <w:marLeft w:val="0"/>
      <w:marRight w:val="0"/>
      <w:marTop w:val="0"/>
      <w:marBottom w:val="0"/>
      <w:divBdr>
        <w:top w:val="none" w:sz="0" w:space="0" w:color="auto"/>
        <w:left w:val="none" w:sz="0" w:space="0" w:color="auto"/>
        <w:bottom w:val="none" w:sz="0" w:space="0" w:color="auto"/>
        <w:right w:val="none" w:sz="0" w:space="0" w:color="auto"/>
      </w:divBdr>
    </w:div>
    <w:div w:id="1183545809">
      <w:bodyDiv w:val="1"/>
      <w:marLeft w:val="0"/>
      <w:marRight w:val="0"/>
      <w:marTop w:val="0"/>
      <w:marBottom w:val="0"/>
      <w:divBdr>
        <w:top w:val="none" w:sz="0" w:space="0" w:color="auto"/>
        <w:left w:val="none" w:sz="0" w:space="0" w:color="auto"/>
        <w:bottom w:val="none" w:sz="0" w:space="0" w:color="auto"/>
        <w:right w:val="none" w:sz="0" w:space="0" w:color="auto"/>
      </w:divBdr>
    </w:div>
    <w:div w:id="1183743251">
      <w:bodyDiv w:val="1"/>
      <w:marLeft w:val="0"/>
      <w:marRight w:val="0"/>
      <w:marTop w:val="0"/>
      <w:marBottom w:val="0"/>
      <w:divBdr>
        <w:top w:val="none" w:sz="0" w:space="0" w:color="auto"/>
        <w:left w:val="none" w:sz="0" w:space="0" w:color="auto"/>
        <w:bottom w:val="none" w:sz="0" w:space="0" w:color="auto"/>
        <w:right w:val="none" w:sz="0" w:space="0" w:color="auto"/>
      </w:divBdr>
    </w:div>
    <w:div w:id="1183783246">
      <w:bodyDiv w:val="1"/>
      <w:marLeft w:val="0"/>
      <w:marRight w:val="0"/>
      <w:marTop w:val="0"/>
      <w:marBottom w:val="0"/>
      <w:divBdr>
        <w:top w:val="none" w:sz="0" w:space="0" w:color="auto"/>
        <w:left w:val="none" w:sz="0" w:space="0" w:color="auto"/>
        <w:bottom w:val="none" w:sz="0" w:space="0" w:color="auto"/>
        <w:right w:val="none" w:sz="0" w:space="0" w:color="auto"/>
      </w:divBdr>
    </w:div>
    <w:div w:id="1183973854">
      <w:bodyDiv w:val="1"/>
      <w:marLeft w:val="0"/>
      <w:marRight w:val="0"/>
      <w:marTop w:val="0"/>
      <w:marBottom w:val="0"/>
      <w:divBdr>
        <w:top w:val="none" w:sz="0" w:space="0" w:color="auto"/>
        <w:left w:val="none" w:sz="0" w:space="0" w:color="auto"/>
        <w:bottom w:val="none" w:sz="0" w:space="0" w:color="auto"/>
        <w:right w:val="none" w:sz="0" w:space="0" w:color="auto"/>
      </w:divBdr>
    </w:div>
    <w:div w:id="1184056355">
      <w:bodyDiv w:val="1"/>
      <w:marLeft w:val="0"/>
      <w:marRight w:val="0"/>
      <w:marTop w:val="0"/>
      <w:marBottom w:val="0"/>
      <w:divBdr>
        <w:top w:val="none" w:sz="0" w:space="0" w:color="auto"/>
        <w:left w:val="none" w:sz="0" w:space="0" w:color="auto"/>
        <w:bottom w:val="none" w:sz="0" w:space="0" w:color="auto"/>
        <w:right w:val="none" w:sz="0" w:space="0" w:color="auto"/>
      </w:divBdr>
    </w:div>
    <w:div w:id="1184242338">
      <w:bodyDiv w:val="1"/>
      <w:marLeft w:val="0"/>
      <w:marRight w:val="0"/>
      <w:marTop w:val="0"/>
      <w:marBottom w:val="0"/>
      <w:divBdr>
        <w:top w:val="none" w:sz="0" w:space="0" w:color="auto"/>
        <w:left w:val="none" w:sz="0" w:space="0" w:color="auto"/>
        <w:bottom w:val="none" w:sz="0" w:space="0" w:color="auto"/>
        <w:right w:val="none" w:sz="0" w:space="0" w:color="auto"/>
      </w:divBdr>
    </w:div>
    <w:div w:id="1184324841">
      <w:bodyDiv w:val="1"/>
      <w:marLeft w:val="0"/>
      <w:marRight w:val="0"/>
      <w:marTop w:val="0"/>
      <w:marBottom w:val="0"/>
      <w:divBdr>
        <w:top w:val="none" w:sz="0" w:space="0" w:color="auto"/>
        <w:left w:val="none" w:sz="0" w:space="0" w:color="auto"/>
        <w:bottom w:val="none" w:sz="0" w:space="0" w:color="auto"/>
        <w:right w:val="none" w:sz="0" w:space="0" w:color="auto"/>
      </w:divBdr>
    </w:div>
    <w:div w:id="1185316695">
      <w:bodyDiv w:val="1"/>
      <w:marLeft w:val="0"/>
      <w:marRight w:val="0"/>
      <w:marTop w:val="0"/>
      <w:marBottom w:val="0"/>
      <w:divBdr>
        <w:top w:val="none" w:sz="0" w:space="0" w:color="auto"/>
        <w:left w:val="none" w:sz="0" w:space="0" w:color="auto"/>
        <w:bottom w:val="none" w:sz="0" w:space="0" w:color="auto"/>
        <w:right w:val="none" w:sz="0" w:space="0" w:color="auto"/>
      </w:divBdr>
    </w:div>
    <w:div w:id="1185483403">
      <w:bodyDiv w:val="1"/>
      <w:marLeft w:val="0"/>
      <w:marRight w:val="0"/>
      <w:marTop w:val="0"/>
      <w:marBottom w:val="0"/>
      <w:divBdr>
        <w:top w:val="none" w:sz="0" w:space="0" w:color="auto"/>
        <w:left w:val="none" w:sz="0" w:space="0" w:color="auto"/>
        <w:bottom w:val="none" w:sz="0" w:space="0" w:color="auto"/>
        <w:right w:val="none" w:sz="0" w:space="0" w:color="auto"/>
      </w:divBdr>
    </w:div>
    <w:div w:id="1185629838">
      <w:bodyDiv w:val="1"/>
      <w:marLeft w:val="0"/>
      <w:marRight w:val="0"/>
      <w:marTop w:val="0"/>
      <w:marBottom w:val="0"/>
      <w:divBdr>
        <w:top w:val="none" w:sz="0" w:space="0" w:color="auto"/>
        <w:left w:val="none" w:sz="0" w:space="0" w:color="auto"/>
        <w:bottom w:val="none" w:sz="0" w:space="0" w:color="auto"/>
        <w:right w:val="none" w:sz="0" w:space="0" w:color="auto"/>
      </w:divBdr>
    </w:div>
    <w:div w:id="1186095906">
      <w:bodyDiv w:val="1"/>
      <w:marLeft w:val="0"/>
      <w:marRight w:val="0"/>
      <w:marTop w:val="0"/>
      <w:marBottom w:val="0"/>
      <w:divBdr>
        <w:top w:val="none" w:sz="0" w:space="0" w:color="auto"/>
        <w:left w:val="none" w:sz="0" w:space="0" w:color="auto"/>
        <w:bottom w:val="none" w:sz="0" w:space="0" w:color="auto"/>
        <w:right w:val="none" w:sz="0" w:space="0" w:color="auto"/>
      </w:divBdr>
    </w:div>
    <w:div w:id="1186098625">
      <w:bodyDiv w:val="1"/>
      <w:marLeft w:val="0"/>
      <w:marRight w:val="0"/>
      <w:marTop w:val="0"/>
      <w:marBottom w:val="0"/>
      <w:divBdr>
        <w:top w:val="none" w:sz="0" w:space="0" w:color="auto"/>
        <w:left w:val="none" w:sz="0" w:space="0" w:color="auto"/>
        <w:bottom w:val="none" w:sz="0" w:space="0" w:color="auto"/>
        <w:right w:val="none" w:sz="0" w:space="0" w:color="auto"/>
      </w:divBdr>
    </w:div>
    <w:div w:id="1186870616">
      <w:bodyDiv w:val="1"/>
      <w:marLeft w:val="0"/>
      <w:marRight w:val="0"/>
      <w:marTop w:val="0"/>
      <w:marBottom w:val="0"/>
      <w:divBdr>
        <w:top w:val="none" w:sz="0" w:space="0" w:color="auto"/>
        <w:left w:val="none" w:sz="0" w:space="0" w:color="auto"/>
        <w:bottom w:val="none" w:sz="0" w:space="0" w:color="auto"/>
        <w:right w:val="none" w:sz="0" w:space="0" w:color="auto"/>
      </w:divBdr>
    </w:div>
    <w:div w:id="1187254003">
      <w:bodyDiv w:val="1"/>
      <w:marLeft w:val="0"/>
      <w:marRight w:val="0"/>
      <w:marTop w:val="0"/>
      <w:marBottom w:val="0"/>
      <w:divBdr>
        <w:top w:val="none" w:sz="0" w:space="0" w:color="auto"/>
        <w:left w:val="none" w:sz="0" w:space="0" w:color="auto"/>
        <w:bottom w:val="none" w:sz="0" w:space="0" w:color="auto"/>
        <w:right w:val="none" w:sz="0" w:space="0" w:color="auto"/>
      </w:divBdr>
    </w:div>
    <w:div w:id="1187329296">
      <w:bodyDiv w:val="1"/>
      <w:marLeft w:val="0"/>
      <w:marRight w:val="0"/>
      <w:marTop w:val="0"/>
      <w:marBottom w:val="0"/>
      <w:divBdr>
        <w:top w:val="none" w:sz="0" w:space="0" w:color="auto"/>
        <w:left w:val="none" w:sz="0" w:space="0" w:color="auto"/>
        <w:bottom w:val="none" w:sz="0" w:space="0" w:color="auto"/>
        <w:right w:val="none" w:sz="0" w:space="0" w:color="auto"/>
      </w:divBdr>
    </w:div>
    <w:div w:id="1187670444">
      <w:bodyDiv w:val="1"/>
      <w:marLeft w:val="0"/>
      <w:marRight w:val="0"/>
      <w:marTop w:val="0"/>
      <w:marBottom w:val="0"/>
      <w:divBdr>
        <w:top w:val="none" w:sz="0" w:space="0" w:color="auto"/>
        <w:left w:val="none" w:sz="0" w:space="0" w:color="auto"/>
        <w:bottom w:val="none" w:sz="0" w:space="0" w:color="auto"/>
        <w:right w:val="none" w:sz="0" w:space="0" w:color="auto"/>
      </w:divBdr>
    </w:div>
    <w:div w:id="1187907122">
      <w:bodyDiv w:val="1"/>
      <w:marLeft w:val="0"/>
      <w:marRight w:val="0"/>
      <w:marTop w:val="0"/>
      <w:marBottom w:val="0"/>
      <w:divBdr>
        <w:top w:val="none" w:sz="0" w:space="0" w:color="auto"/>
        <w:left w:val="none" w:sz="0" w:space="0" w:color="auto"/>
        <w:bottom w:val="none" w:sz="0" w:space="0" w:color="auto"/>
        <w:right w:val="none" w:sz="0" w:space="0" w:color="auto"/>
      </w:divBdr>
    </w:div>
    <w:div w:id="1188369339">
      <w:bodyDiv w:val="1"/>
      <w:marLeft w:val="0"/>
      <w:marRight w:val="0"/>
      <w:marTop w:val="0"/>
      <w:marBottom w:val="0"/>
      <w:divBdr>
        <w:top w:val="none" w:sz="0" w:space="0" w:color="auto"/>
        <w:left w:val="none" w:sz="0" w:space="0" w:color="auto"/>
        <w:bottom w:val="none" w:sz="0" w:space="0" w:color="auto"/>
        <w:right w:val="none" w:sz="0" w:space="0" w:color="auto"/>
      </w:divBdr>
    </w:div>
    <w:div w:id="1188445222">
      <w:bodyDiv w:val="1"/>
      <w:marLeft w:val="0"/>
      <w:marRight w:val="0"/>
      <w:marTop w:val="0"/>
      <w:marBottom w:val="0"/>
      <w:divBdr>
        <w:top w:val="none" w:sz="0" w:space="0" w:color="auto"/>
        <w:left w:val="none" w:sz="0" w:space="0" w:color="auto"/>
        <w:bottom w:val="none" w:sz="0" w:space="0" w:color="auto"/>
        <w:right w:val="none" w:sz="0" w:space="0" w:color="auto"/>
      </w:divBdr>
    </w:div>
    <w:div w:id="1188567420">
      <w:bodyDiv w:val="1"/>
      <w:marLeft w:val="0"/>
      <w:marRight w:val="0"/>
      <w:marTop w:val="0"/>
      <w:marBottom w:val="0"/>
      <w:divBdr>
        <w:top w:val="none" w:sz="0" w:space="0" w:color="auto"/>
        <w:left w:val="none" w:sz="0" w:space="0" w:color="auto"/>
        <w:bottom w:val="none" w:sz="0" w:space="0" w:color="auto"/>
        <w:right w:val="none" w:sz="0" w:space="0" w:color="auto"/>
      </w:divBdr>
    </w:div>
    <w:div w:id="1188638601">
      <w:bodyDiv w:val="1"/>
      <w:marLeft w:val="0"/>
      <w:marRight w:val="0"/>
      <w:marTop w:val="0"/>
      <w:marBottom w:val="0"/>
      <w:divBdr>
        <w:top w:val="none" w:sz="0" w:space="0" w:color="auto"/>
        <w:left w:val="none" w:sz="0" w:space="0" w:color="auto"/>
        <w:bottom w:val="none" w:sz="0" w:space="0" w:color="auto"/>
        <w:right w:val="none" w:sz="0" w:space="0" w:color="auto"/>
      </w:divBdr>
    </w:div>
    <w:div w:id="1188835872">
      <w:bodyDiv w:val="1"/>
      <w:marLeft w:val="0"/>
      <w:marRight w:val="0"/>
      <w:marTop w:val="0"/>
      <w:marBottom w:val="0"/>
      <w:divBdr>
        <w:top w:val="none" w:sz="0" w:space="0" w:color="auto"/>
        <w:left w:val="none" w:sz="0" w:space="0" w:color="auto"/>
        <w:bottom w:val="none" w:sz="0" w:space="0" w:color="auto"/>
        <w:right w:val="none" w:sz="0" w:space="0" w:color="auto"/>
      </w:divBdr>
    </w:div>
    <w:div w:id="1188911757">
      <w:bodyDiv w:val="1"/>
      <w:marLeft w:val="0"/>
      <w:marRight w:val="0"/>
      <w:marTop w:val="0"/>
      <w:marBottom w:val="0"/>
      <w:divBdr>
        <w:top w:val="none" w:sz="0" w:space="0" w:color="auto"/>
        <w:left w:val="none" w:sz="0" w:space="0" w:color="auto"/>
        <w:bottom w:val="none" w:sz="0" w:space="0" w:color="auto"/>
        <w:right w:val="none" w:sz="0" w:space="0" w:color="auto"/>
      </w:divBdr>
    </w:div>
    <w:div w:id="1189294426">
      <w:bodyDiv w:val="1"/>
      <w:marLeft w:val="0"/>
      <w:marRight w:val="0"/>
      <w:marTop w:val="0"/>
      <w:marBottom w:val="0"/>
      <w:divBdr>
        <w:top w:val="none" w:sz="0" w:space="0" w:color="auto"/>
        <w:left w:val="none" w:sz="0" w:space="0" w:color="auto"/>
        <w:bottom w:val="none" w:sz="0" w:space="0" w:color="auto"/>
        <w:right w:val="none" w:sz="0" w:space="0" w:color="auto"/>
      </w:divBdr>
    </w:div>
    <w:div w:id="1189490836">
      <w:bodyDiv w:val="1"/>
      <w:marLeft w:val="0"/>
      <w:marRight w:val="0"/>
      <w:marTop w:val="0"/>
      <w:marBottom w:val="0"/>
      <w:divBdr>
        <w:top w:val="none" w:sz="0" w:space="0" w:color="auto"/>
        <w:left w:val="none" w:sz="0" w:space="0" w:color="auto"/>
        <w:bottom w:val="none" w:sz="0" w:space="0" w:color="auto"/>
        <w:right w:val="none" w:sz="0" w:space="0" w:color="auto"/>
      </w:divBdr>
    </w:div>
    <w:div w:id="1189560109">
      <w:bodyDiv w:val="1"/>
      <w:marLeft w:val="0"/>
      <w:marRight w:val="0"/>
      <w:marTop w:val="0"/>
      <w:marBottom w:val="0"/>
      <w:divBdr>
        <w:top w:val="none" w:sz="0" w:space="0" w:color="auto"/>
        <w:left w:val="none" w:sz="0" w:space="0" w:color="auto"/>
        <w:bottom w:val="none" w:sz="0" w:space="0" w:color="auto"/>
        <w:right w:val="none" w:sz="0" w:space="0" w:color="auto"/>
      </w:divBdr>
    </w:div>
    <w:div w:id="1189560633">
      <w:bodyDiv w:val="1"/>
      <w:marLeft w:val="0"/>
      <w:marRight w:val="0"/>
      <w:marTop w:val="0"/>
      <w:marBottom w:val="0"/>
      <w:divBdr>
        <w:top w:val="none" w:sz="0" w:space="0" w:color="auto"/>
        <w:left w:val="none" w:sz="0" w:space="0" w:color="auto"/>
        <w:bottom w:val="none" w:sz="0" w:space="0" w:color="auto"/>
        <w:right w:val="none" w:sz="0" w:space="0" w:color="auto"/>
      </w:divBdr>
    </w:div>
    <w:div w:id="1190139305">
      <w:bodyDiv w:val="1"/>
      <w:marLeft w:val="0"/>
      <w:marRight w:val="0"/>
      <w:marTop w:val="0"/>
      <w:marBottom w:val="0"/>
      <w:divBdr>
        <w:top w:val="none" w:sz="0" w:space="0" w:color="auto"/>
        <w:left w:val="none" w:sz="0" w:space="0" w:color="auto"/>
        <w:bottom w:val="none" w:sz="0" w:space="0" w:color="auto"/>
        <w:right w:val="none" w:sz="0" w:space="0" w:color="auto"/>
      </w:divBdr>
    </w:div>
    <w:div w:id="1190487231">
      <w:bodyDiv w:val="1"/>
      <w:marLeft w:val="0"/>
      <w:marRight w:val="0"/>
      <w:marTop w:val="0"/>
      <w:marBottom w:val="0"/>
      <w:divBdr>
        <w:top w:val="none" w:sz="0" w:space="0" w:color="auto"/>
        <w:left w:val="none" w:sz="0" w:space="0" w:color="auto"/>
        <w:bottom w:val="none" w:sz="0" w:space="0" w:color="auto"/>
        <w:right w:val="none" w:sz="0" w:space="0" w:color="auto"/>
      </w:divBdr>
    </w:div>
    <w:div w:id="1191146992">
      <w:bodyDiv w:val="1"/>
      <w:marLeft w:val="0"/>
      <w:marRight w:val="0"/>
      <w:marTop w:val="0"/>
      <w:marBottom w:val="0"/>
      <w:divBdr>
        <w:top w:val="none" w:sz="0" w:space="0" w:color="auto"/>
        <w:left w:val="none" w:sz="0" w:space="0" w:color="auto"/>
        <w:bottom w:val="none" w:sz="0" w:space="0" w:color="auto"/>
        <w:right w:val="none" w:sz="0" w:space="0" w:color="auto"/>
      </w:divBdr>
    </w:div>
    <w:div w:id="1191379248">
      <w:bodyDiv w:val="1"/>
      <w:marLeft w:val="0"/>
      <w:marRight w:val="0"/>
      <w:marTop w:val="0"/>
      <w:marBottom w:val="0"/>
      <w:divBdr>
        <w:top w:val="none" w:sz="0" w:space="0" w:color="auto"/>
        <w:left w:val="none" w:sz="0" w:space="0" w:color="auto"/>
        <w:bottom w:val="none" w:sz="0" w:space="0" w:color="auto"/>
        <w:right w:val="none" w:sz="0" w:space="0" w:color="auto"/>
      </w:divBdr>
    </w:div>
    <w:div w:id="1191841510">
      <w:bodyDiv w:val="1"/>
      <w:marLeft w:val="0"/>
      <w:marRight w:val="0"/>
      <w:marTop w:val="0"/>
      <w:marBottom w:val="0"/>
      <w:divBdr>
        <w:top w:val="none" w:sz="0" w:space="0" w:color="auto"/>
        <w:left w:val="none" w:sz="0" w:space="0" w:color="auto"/>
        <w:bottom w:val="none" w:sz="0" w:space="0" w:color="auto"/>
        <w:right w:val="none" w:sz="0" w:space="0" w:color="auto"/>
      </w:divBdr>
    </w:div>
    <w:div w:id="1192189004">
      <w:bodyDiv w:val="1"/>
      <w:marLeft w:val="0"/>
      <w:marRight w:val="0"/>
      <w:marTop w:val="0"/>
      <w:marBottom w:val="0"/>
      <w:divBdr>
        <w:top w:val="none" w:sz="0" w:space="0" w:color="auto"/>
        <w:left w:val="none" w:sz="0" w:space="0" w:color="auto"/>
        <w:bottom w:val="none" w:sz="0" w:space="0" w:color="auto"/>
        <w:right w:val="none" w:sz="0" w:space="0" w:color="auto"/>
      </w:divBdr>
    </w:div>
    <w:div w:id="1192377122">
      <w:bodyDiv w:val="1"/>
      <w:marLeft w:val="0"/>
      <w:marRight w:val="0"/>
      <w:marTop w:val="0"/>
      <w:marBottom w:val="0"/>
      <w:divBdr>
        <w:top w:val="none" w:sz="0" w:space="0" w:color="auto"/>
        <w:left w:val="none" w:sz="0" w:space="0" w:color="auto"/>
        <w:bottom w:val="none" w:sz="0" w:space="0" w:color="auto"/>
        <w:right w:val="none" w:sz="0" w:space="0" w:color="auto"/>
      </w:divBdr>
    </w:div>
    <w:div w:id="1192378276">
      <w:bodyDiv w:val="1"/>
      <w:marLeft w:val="0"/>
      <w:marRight w:val="0"/>
      <w:marTop w:val="0"/>
      <w:marBottom w:val="0"/>
      <w:divBdr>
        <w:top w:val="none" w:sz="0" w:space="0" w:color="auto"/>
        <w:left w:val="none" w:sz="0" w:space="0" w:color="auto"/>
        <w:bottom w:val="none" w:sz="0" w:space="0" w:color="auto"/>
        <w:right w:val="none" w:sz="0" w:space="0" w:color="auto"/>
      </w:divBdr>
    </w:div>
    <w:div w:id="1192499224">
      <w:bodyDiv w:val="1"/>
      <w:marLeft w:val="0"/>
      <w:marRight w:val="0"/>
      <w:marTop w:val="0"/>
      <w:marBottom w:val="0"/>
      <w:divBdr>
        <w:top w:val="none" w:sz="0" w:space="0" w:color="auto"/>
        <w:left w:val="none" w:sz="0" w:space="0" w:color="auto"/>
        <w:bottom w:val="none" w:sz="0" w:space="0" w:color="auto"/>
        <w:right w:val="none" w:sz="0" w:space="0" w:color="auto"/>
      </w:divBdr>
    </w:div>
    <w:div w:id="1193111265">
      <w:bodyDiv w:val="1"/>
      <w:marLeft w:val="0"/>
      <w:marRight w:val="0"/>
      <w:marTop w:val="0"/>
      <w:marBottom w:val="0"/>
      <w:divBdr>
        <w:top w:val="none" w:sz="0" w:space="0" w:color="auto"/>
        <w:left w:val="none" w:sz="0" w:space="0" w:color="auto"/>
        <w:bottom w:val="none" w:sz="0" w:space="0" w:color="auto"/>
        <w:right w:val="none" w:sz="0" w:space="0" w:color="auto"/>
      </w:divBdr>
    </w:div>
    <w:div w:id="1193224972">
      <w:bodyDiv w:val="1"/>
      <w:marLeft w:val="0"/>
      <w:marRight w:val="0"/>
      <w:marTop w:val="0"/>
      <w:marBottom w:val="0"/>
      <w:divBdr>
        <w:top w:val="none" w:sz="0" w:space="0" w:color="auto"/>
        <w:left w:val="none" w:sz="0" w:space="0" w:color="auto"/>
        <w:bottom w:val="none" w:sz="0" w:space="0" w:color="auto"/>
        <w:right w:val="none" w:sz="0" w:space="0" w:color="auto"/>
      </w:divBdr>
    </w:div>
    <w:div w:id="1193691245">
      <w:bodyDiv w:val="1"/>
      <w:marLeft w:val="0"/>
      <w:marRight w:val="0"/>
      <w:marTop w:val="0"/>
      <w:marBottom w:val="0"/>
      <w:divBdr>
        <w:top w:val="none" w:sz="0" w:space="0" w:color="auto"/>
        <w:left w:val="none" w:sz="0" w:space="0" w:color="auto"/>
        <w:bottom w:val="none" w:sz="0" w:space="0" w:color="auto"/>
        <w:right w:val="none" w:sz="0" w:space="0" w:color="auto"/>
      </w:divBdr>
    </w:div>
    <w:div w:id="1194270306">
      <w:bodyDiv w:val="1"/>
      <w:marLeft w:val="0"/>
      <w:marRight w:val="0"/>
      <w:marTop w:val="0"/>
      <w:marBottom w:val="0"/>
      <w:divBdr>
        <w:top w:val="none" w:sz="0" w:space="0" w:color="auto"/>
        <w:left w:val="none" w:sz="0" w:space="0" w:color="auto"/>
        <w:bottom w:val="none" w:sz="0" w:space="0" w:color="auto"/>
        <w:right w:val="none" w:sz="0" w:space="0" w:color="auto"/>
      </w:divBdr>
    </w:div>
    <w:div w:id="1194687146">
      <w:bodyDiv w:val="1"/>
      <w:marLeft w:val="0"/>
      <w:marRight w:val="0"/>
      <w:marTop w:val="0"/>
      <w:marBottom w:val="0"/>
      <w:divBdr>
        <w:top w:val="none" w:sz="0" w:space="0" w:color="auto"/>
        <w:left w:val="none" w:sz="0" w:space="0" w:color="auto"/>
        <w:bottom w:val="none" w:sz="0" w:space="0" w:color="auto"/>
        <w:right w:val="none" w:sz="0" w:space="0" w:color="auto"/>
      </w:divBdr>
    </w:div>
    <w:div w:id="1194877929">
      <w:bodyDiv w:val="1"/>
      <w:marLeft w:val="0"/>
      <w:marRight w:val="0"/>
      <w:marTop w:val="0"/>
      <w:marBottom w:val="0"/>
      <w:divBdr>
        <w:top w:val="none" w:sz="0" w:space="0" w:color="auto"/>
        <w:left w:val="none" w:sz="0" w:space="0" w:color="auto"/>
        <w:bottom w:val="none" w:sz="0" w:space="0" w:color="auto"/>
        <w:right w:val="none" w:sz="0" w:space="0" w:color="auto"/>
      </w:divBdr>
    </w:div>
    <w:div w:id="1195730621">
      <w:bodyDiv w:val="1"/>
      <w:marLeft w:val="0"/>
      <w:marRight w:val="0"/>
      <w:marTop w:val="0"/>
      <w:marBottom w:val="0"/>
      <w:divBdr>
        <w:top w:val="none" w:sz="0" w:space="0" w:color="auto"/>
        <w:left w:val="none" w:sz="0" w:space="0" w:color="auto"/>
        <w:bottom w:val="none" w:sz="0" w:space="0" w:color="auto"/>
        <w:right w:val="none" w:sz="0" w:space="0" w:color="auto"/>
      </w:divBdr>
    </w:div>
    <w:div w:id="1196231834">
      <w:bodyDiv w:val="1"/>
      <w:marLeft w:val="0"/>
      <w:marRight w:val="0"/>
      <w:marTop w:val="0"/>
      <w:marBottom w:val="0"/>
      <w:divBdr>
        <w:top w:val="none" w:sz="0" w:space="0" w:color="auto"/>
        <w:left w:val="none" w:sz="0" w:space="0" w:color="auto"/>
        <w:bottom w:val="none" w:sz="0" w:space="0" w:color="auto"/>
        <w:right w:val="none" w:sz="0" w:space="0" w:color="auto"/>
      </w:divBdr>
    </w:div>
    <w:div w:id="1196893244">
      <w:bodyDiv w:val="1"/>
      <w:marLeft w:val="0"/>
      <w:marRight w:val="0"/>
      <w:marTop w:val="0"/>
      <w:marBottom w:val="0"/>
      <w:divBdr>
        <w:top w:val="none" w:sz="0" w:space="0" w:color="auto"/>
        <w:left w:val="none" w:sz="0" w:space="0" w:color="auto"/>
        <w:bottom w:val="none" w:sz="0" w:space="0" w:color="auto"/>
        <w:right w:val="none" w:sz="0" w:space="0" w:color="auto"/>
      </w:divBdr>
    </w:div>
    <w:div w:id="1197159464">
      <w:bodyDiv w:val="1"/>
      <w:marLeft w:val="0"/>
      <w:marRight w:val="0"/>
      <w:marTop w:val="0"/>
      <w:marBottom w:val="0"/>
      <w:divBdr>
        <w:top w:val="none" w:sz="0" w:space="0" w:color="auto"/>
        <w:left w:val="none" w:sz="0" w:space="0" w:color="auto"/>
        <w:bottom w:val="none" w:sz="0" w:space="0" w:color="auto"/>
        <w:right w:val="none" w:sz="0" w:space="0" w:color="auto"/>
      </w:divBdr>
    </w:div>
    <w:div w:id="1197543505">
      <w:bodyDiv w:val="1"/>
      <w:marLeft w:val="0"/>
      <w:marRight w:val="0"/>
      <w:marTop w:val="0"/>
      <w:marBottom w:val="0"/>
      <w:divBdr>
        <w:top w:val="none" w:sz="0" w:space="0" w:color="auto"/>
        <w:left w:val="none" w:sz="0" w:space="0" w:color="auto"/>
        <w:bottom w:val="none" w:sz="0" w:space="0" w:color="auto"/>
        <w:right w:val="none" w:sz="0" w:space="0" w:color="auto"/>
      </w:divBdr>
    </w:div>
    <w:div w:id="1197740474">
      <w:bodyDiv w:val="1"/>
      <w:marLeft w:val="0"/>
      <w:marRight w:val="0"/>
      <w:marTop w:val="0"/>
      <w:marBottom w:val="0"/>
      <w:divBdr>
        <w:top w:val="none" w:sz="0" w:space="0" w:color="auto"/>
        <w:left w:val="none" w:sz="0" w:space="0" w:color="auto"/>
        <w:bottom w:val="none" w:sz="0" w:space="0" w:color="auto"/>
        <w:right w:val="none" w:sz="0" w:space="0" w:color="auto"/>
      </w:divBdr>
    </w:div>
    <w:div w:id="1198548910">
      <w:bodyDiv w:val="1"/>
      <w:marLeft w:val="0"/>
      <w:marRight w:val="0"/>
      <w:marTop w:val="0"/>
      <w:marBottom w:val="0"/>
      <w:divBdr>
        <w:top w:val="none" w:sz="0" w:space="0" w:color="auto"/>
        <w:left w:val="none" w:sz="0" w:space="0" w:color="auto"/>
        <w:bottom w:val="none" w:sz="0" w:space="0" w:color="auto"/>
        <w:right w:val="none" w:sz="0" w:space="0" w:color="auto"/>
      </w:divBdr>
    </w:div>
    <w:div w:id="1198929758">
      <w:bodyDiv w:val="1"/>
      <w:marLeft w:val="0"/>
      <w:marRight w:val="0"/>
      <w:marTop w:val="0"/>
      <w:marBottom w:val="0"/>
      <w:divBdr>
        <w:top w:val="none" w:sz="0" w:space="0" w:color="auto"/>
        <w:left w:val="none" w:sz="0" w:space="0" w:color="auto"/>
        <w:bottom w:val="none" w:sz="0" w:space="0" w:color="auto"/>
        <w:right w:val="none" w:sz="0" w:space="0" w:color="auto"/>
      </w:divBdr>
    </w:div>
    <w:div w:id="1199004572">
      <w:bodyDiv w:val="1"/>
      <w:marLeft w:val="0"/>
      <w:marRight w:val="0"/>
      <w:marTop w:val="0"/>
      <w:marBottom w:val="0"/>
      <w:divBdr>
        <w:top w:val="none" w:sz="0" w:space="0" w:color="auto"/>
        <w:left w:val="none" w:sz="0" w:space="0" w:color="auto"/>
        <w:bottom w:val="none" w:sz="0" w:space="0" w:color="auto"/>
        <w:right w:val="none" w:sz="0" w:space="0" w:color="auto"/>
      </w:divBdr>
    </w:div>
    <w:div w:id="1199274767">
      <w:bodyDiv w:val="1"/>
      <w:marLeft w:val="0"/>
      <w:marRight w:val="0"/>
      <w:marTop w:val="0"/>
      <w:marBottom w:val="0"/>
      <w:divBdr>
        <w:top w:val="none" w:sz="0" w:space="0" w:color="auto"/>
        <w:left w:val="none" w:sz="0" w:space="0" w:color="auto"/>
        <w:bottom w:val="none" w:sz="0" w:space="0" w:color="auto"/>
        <w:right w:val="none" w:sz="0" w:space="0" w:color="auto"/>
      </w:divBdr>
    </w:div>
    <w:div w:id="1199322129">
      <w:bodyDiv w:val="1"/>
      <w:marLeft w:val="0"/>
      <w:marRight w:val="0"/>
      <w:marTop w:val="0"/>
      <w:marBottom w:val="0"/>
      <w:divBdr>
        <w:top w:val="none" w:sz="0" w:space="0" w:color="auto"/>
        <w:left w:val="none" w:sz="0" w:space="0" w:color="auto"/>
        <w:bottom w:val="none" w:sz="0" w:space="0" w:color="auto"/>
        <w:right w:val="none" w:sz="0" w:space="0" w:color="auto"/>
      </w:divBdr>
    </w:div>
    <w:div w:id="1199512358">
      <w:bodyDiv w:val="1"/>
      <w:marLeft w:val="0"/>
      <w:marRight w:val="0"/>
      <w:marTop w:val="0"/>
      <w:marBottom w:val="0"/>
      <w:divBdr>
        <w:top w:val="none" w:sz="0" w:space="0" w:color="auto"/>
        <w:left w:val="none" w:sz="0" w:space="0" w:color="auto"/>
        <w:bottom w:val="none" w:sz="0" w:space="0" w:color="auto"/>
        <w:right w:val="none" w:sz="0" w:space="0" w:color="auto"/>
      </w:divBdr>
    </w:div>
    <w:div w:id="1199582713">
      <w:bodyDiv w:val="1"/>
      <w:marLeft w:val="0"/>
      <w:marRight w:val="0"/>
      <w:marTop w:val="0"/>
      <w:marBottom w:val="0"/>
      <w:divBdr>
        <w:top w:val="none" w:sz="0" w:space="0" w:color="auto"/>
        <w:left w:val="none" w:sz="0" w:space="0" w:color="auto"/>
        <w:bottom w:val="none" w:sz="0" w:space="0" w:color="auto"/>
        <w:right w:val="none" w:sz="0" w:space="0" w:color="auto"/>
      </w:divBdr>
    </w:div>
    <w:div w:id="1199657278">
      <w:bodyDiv w:val="1"/>
      <w:marLeft w:val="0"/>
      <w:marRight w:val="0"/>
      <w:marTop w:val="0"/>
      <w:marBottom w:val="0"/>
      <w:divBdr>
        <w:top w:val="none" w:sz="0" w:space="0" w:color="auto"/>
        <w:left w:val="none" w:sz="0" w:space="0" w:color="auto"/>
        <w:bottom w:val="none" w:sz="0" w:space="0" w:color="auto"/>
        <w:right w:val="none" w:sz="0" w:space="0" w:color="auto"/>
      </w:divBdr>
    </w:div>
    <w:div w:id="1199902310">
      <w:bodyDiv w:val="1"/>
      <w:marLeft w:val="0"/>
      <w:marRight w:val="0"/>
      <w:marTop w:val="0"/>
      <w:marBottom w:val="0"/>
      <w:divBdr>
        <w:top w:val="none" w:sz="0" w:space="0" w:color="auto"/>
        <w:left w:val="none" w:sz="0" w:space="0" w:color="auto"/>
        <w:bottom w:val="none" w:sz="0" w:space="0" w:color="auto"/>
        <w:right w:val="none" w:sz="0" w:space="0" w:color="auto"/>
      </w:divBdr>
    </w:div>
    <w:div w:id="1200364488">
      <w:bodyDiv w:val="1"/>
      <w:marLeft w:val="0"/>
      <w:marRight w:val="0"/>
      <w:marTop w:val="0"/>
      <w:marBottom w:val="0"/>
      <w:divBdr>
        <w:top w:val="none" w:sz="0" w:space="0" w:color="auto"/>
        <w:left w:val="none" w:sz="0" w:space="0" w:color="auto"/>
        <w:bottom w:val="none" w:sz="0" w:space="0" w:color="auto"/>
        <w:right w:val="none" w:sz="0" w:space="0" w:color="auto"/>
      </w:divBdr>
    </w:div>
    <w:div w:id="1200774997">
      <w:bodyDiv w:val="1"/>
      <w:marLeft w:val="0"/>
      <w:marRight w:val="0"/>
      <w:marTop w:val="0"/>
      <w:marBottom w:val="0"/>
      <w:divBdr>
        <w:top w:val="none" w:sz="0" w:space="0" w:color="auto"/>
        <w:left w:val="none" w:sz="0" w:space="0" w:color="auto"/>
        <w:bottom w:val="none" w:sz="0" w:space="0" w:color="auto"/>
        <w:right w:val="none" w:sz="0" w:space="0" w:color="auto"/>
      </w:divBdr>
    </w:div>
    <w:div w:id="1200819955">
      <w:bodyDiv w:val="1"/>
      <w:marLeft w:val="0"/>
      <w:marRight w:val="0"/>
      <w:marTop w:val="0"/>
      <w:marBottom w:val="0"/>
      <w:divBdr>
        <w:top w:val="none" w:sz="0" w:space="0" w:color="auto"/>
        <w:left w:val="none" w:sz="0" w:space="0" w:color="auto"/>
        <w:bottom w:val="none" w:sz="0" w:space="0" w:color="auto"/>
        <w:right w:val="none" w:sz="0" w:space="0" w:color="auto"/>
      </w:divBdr>
    </w:div>
    <w:div w:id="1200970670">
      <w:bodyDiv w:val="1"/>
      <w:marLeft w:val="0"/>
      <w:marRight w:val="0"/>
      <w:marTop w:val="0"/>
      <w:marBottom w:val="0"/>
      <w:divBdr>
        <w:top w:val="none" w:sz="0" w:space="0" w:color="auto"/>
        <w:left w:val="none" w:sz="0" w:space="0" w:color="auto"/>
        <w:bottom w:val="none" w:sz="0" w:space="0" w:color="auto"/>
        <w:right w:val="none" w:sz="0" w:space="0" w:color="auto"/>
      </w:divBdr>
    </w:div>
    <w:div w:id="1201085618">
      <w:bodyDiv w:val="1"/>
      <w:marLeft w:val="0"/>
      <w:marRight w:val="0"/>
      <w:marTop w:val="0"/>
      <w:marBottom w:val="0"/>
      <w:divBdr>
        <w:top w:val="none" w:sz="0" w:space="0" w:color="auto"/>
        <w:left w:val="none" w:sz="0" w:space="0" w:color="auto"/>
        <w:bottom w:val="none" w:sz="0" w:space="0" w:color="auto"/>
        <w:right w:val="none" w:sz="0" w:space="0" w:color="auto"/>
      </w:divBdr>
    </w:div>
    <w:div w:id="1201479874">
      <w:bodyDiv w:val="1"/>
      <w:marLeft w:val="0"/>
      <w:marRight w:val="0"/>
      <w:marTop w:val="0"/>
      <w:marBottom w:val="0"/>
      <w:divBdr>
        <w:top w:val="none" w:sz="0" w:space="0" w:color="auto"/>
        <w:left w:val="none" w:sz="0" w:space="0" w:color="auto"/>
        <w:bottom w:val="none" w:sz="0" w:space="0" w:color="auto"/>
        <w:right w:val="none" w:sz="0" w:space="0" w:color="auto"/>
      </w:divBdr>
    </w:div>
    <w:div w:id="1201624286">
      <w:bodyDiv w:val="1"/>
      <w:marLeft w:val="0"/>
      <w:marRight w:val="0"/>
      <w:marTop w:val="0"/>
      <w:marBottom w:val="0"/>
      <w:divBdr>
        <w:top w:val="none" w:sz="0" w:space="0" w:color="auto"/>
        <w:left w:val="none" w:sz="0" w:space="0" w:color="auto"/>
        <w:bottom w:val="none" w:sz="0" w:space="0" w:color="auto"/>
        <w:right w:val="none" w:sz="0" w:space="0" w:color="auto"/>
      </w:divBdr>
    </w:div>
    <w:div w:id="1202011695">
      <w:bodyDiv w:val="1"/>
      <w:marLeft w:val="0"/>
      <w:marRight w:val="0"/>
      <w:marTop w:val="0"/>
      <w:marBottom w:val="0"/>
      <w:divBdr>
        <w:top w:val="none" w:sz="0" w:space="0" w:color="auto"/>
        <w:left w:val="none" w:sz="0" w:space="0" w:color="auto"/>
        <w:bottom w:val="none" w:sz="0" w:space="0" w:color="auto"/>
        <w:right w:val="none" w:sz="0" w:space="0" w:color="auto"/>
      </w:divBdr>
    </w:div>
    <w:div w:id="1202283801">
      <w:bodyDiv w:val="1"/>
      <w:marLeft w:val="0"/>
      <w:marRight w:val="0"/>
      <w:marTop w:val="0"/>
      <w:marBottom w:val="0"/>
      <w:divBdr>
        <w:top w:val="none" w:sz="0" w:space="0" w:color="auto"/>
        <w:left w:val="none" w:sz="0" w:space="0" w:color="auto"/>
        <w:bottom w:val="none" w:sz="0" w:space="0" w:color="auto"/>
        <w:right w:val="none" w:sz="0" w:space="0" w:color="auto"/>
      </w:divBdr>
    </w:div>
    <w:div w:id="1202323769">
      <w:bodyDiv w:val="1"/>
      <w:marLeft w:val="0"/>
      <w:marRight w:val="0"/>
      <w:marTop w:val="0"/>
      <w:marBottom w:val="0"/>
      <w:divBdr>
        <w:top w:val="none" w:sz="0" w:space="0" w:color="auto"/>
        <w:left w:val="none" w:sz="0" w:space="0" w:color="auto"/>
        <w:bottom w:val="none" w:sz="0" w:space="0" w:color="auto"/>
        <w:right w:val="none" w:sz="0" w:space="0" w:color="auto"/>
      </w:divBdr>
    </w:div>
    <w:div w:id="1202867122">
      <w:bodyDiv w:val="1"/>
      <w:marLeft w:val="0"/>
      <w:marRight w:val="0"/>
      <w:marTop w:val="0"/>
      <w:marBottom w:val="0"/>
      <w:divBdr>
        <w:top w:val="none" w:sz="0" w:space="0" w:color="auto"/>
        <w:left w:val="none" w:sz="0" w:space="0" w:color="auto"/>
        <w:bottom w:val="none" w:sz="0" w:space="0" w:color="auto"/>
        <w:right w:val="none" w:sz="0" w:space="0" w:color="auto"/>
      </w:divBdr>
    </w:div>
    <w:div w:id="1203054479">
      <w:bodyDiv w:val="1"/>
      <w:marLeft w:val="0"/>
      <w:marRight w:val="0"/>
      <w:marTop w:val="0"/>
      <w:marBottom w:val="0"/>
      <w:divBdr>
        <w:top w:val="none" w:sz="0" w:space="0" w:color="auto"/>
        <w:left w:val="none" w:sz="0" w:space="0" w:color="auto"/>
        <w:bottom w:val="none" w:sz="0" w:space="0" w:color="auto"/>
        <w:right w:val="none" w:sz="0" w:space="0" w:color="auto"/>
      </w:divBdr>
    </w:div>
    <w:div w:id="1203176822">
      <w:bodyDiv w:val="1"/>
      <w:marLeft w:val="0"/>
      <w:marRight w:val="0"/>
      <w:marTop w:val="0"/>
      <w:marBottom w:val="0"/>
      <w:divBdr>
        <w:top w:val="none" w:sz="0" w:space="0" w:color="auto"/>
        <w:left w:val="none" w:sz="0" w:space="0" w:color="auto"/>
        <w:bottom w:val="none" w:sz="0" w:space="0" w:color="auto"/>
        <w:right w:val="none" w:sz="0" w:space="0" w:color="auto"/>
      </w:divBdr>
    </w:div>
    <w:div w:id="1203325149">
      <w:bodyDiv w:val="1"/>
      <w:marLeft w:val="0"/>
      <w:marRight w:val="0"/>
      <w:marTop w:val="0"/>
      <w:marBottom w:val="0"/>
      <w:divBdr>
        <w:top w:val="none" w:sz="0" w:space="0" w:color="auto"/>
        <w:left w:val="none" w:sz="0" w:space="0" w:color="auto"/>
        <w:bottom w:val="none" w:sz="0" w:space="0" w:color="auto"/>
        <w:right w:val="none" w:sz="0" w:space="0" w:color="auto"/>
      </w:divBdr>
    </w:div>
    <w:div w:id="1203438254">
      <w:bodyDiv w:val="1"/>
      <w:marLeft w:val="0"/>
      <w:marRight w:val="0"/>
      <w:marTop w:val="0"/>
      <w:marBottom w:val="0"/>
      <w:divBdr>
        <w:top w:val="none" w:sz="0" w:space="0" w:color="auto"/>
        <w:left w:val="none" w:sz="0" w:space="0" w:color="auto"/>
        <w:bottom w:val="none" w:sz="0" w:space="0" w:color="auto"/>
        <w:right w:val="none" w:sz="0" w:space="0" w:color="auto"/>
      </w:divBdr>
    </w:div>
    <w:div w:id="1203833980">
      <w:bodyDiv w:val="1"/>
      <w:marLeft w:val="0"/>
      <w:marRight w:val="0"/>
      <w:marTop w:val="0"/>
      <w:marBottom w:val="0"/>
      <w:divBdr>
        <w:top w:val="none" w:sz="0" w:space="0" w:color="auto"/>
        <w:left w:val="none" w:sz="0" w:space="0" w:color="auto"/>
        <w:bottom w:val="none" w:sz="0" w:space="0" w:color="auto"/>
        <w:right w:val="none" w:sz="0" w:space="0" w:color="auto"/>
      </w:divBdr>
    </w:div>
    <w:div w:id="1204249469">
      <w:bodyDiv w:val="1"/>
      <w:marLeft w:val="0"/>
      <w:marRight w:val="0"/>
      <w:marTop w:val="0"/>
      <w:marBottom w:val="0"/>
      <w:divBdr>
        <w:top w:val="none" w:sz="0" w:space="0" w:color="auto"/>
        <w:left w:val="none" w:sz="0" w:space="0" w:color="auto"/>
        <w:bottom w:val="none" w:sz="0" w:space="0" w:color="auto"/>
        <w:right w:val="none" w:sz="0" w:space="0" w:color="auto"/>
      </w:divBdr>
    </w:div>
    <w:div w:id="1204292022">
      <w:bodyDiv w:val="1"/>
      <w:marLeft w:val="0"/>
      <w:marRight w:val="0"/>
      <w:marTop w:val="0"/>
      <w:marBottom w:val="0"/>
      <w:divBdr>
        <w:top w:val="none" w:sz="0" w:space="0" w:color="auto"/>
        <w:left w:val="none" w:sz="0" w:space="0" w:color="auto"/>
        <w:bottom w:val="none" w:sz="0" w:space="0" w:color="auto"/>
        <w:right w:val="none" w:sz="0" w:space="0" w:color="auto"/>
      </w:divBdr>
    </w:div>
    <w:div w:id="1204442938">
      <w:bodyDiv w:val="1"/>
      <w:marLeft w:val="0"/>
      <w:marRight w:val="0"/>
      <w:marTop w:val="0"/>
      <w:marBottom w:val="0"/>
      <w:divBdr>
        <w:top w:val="none" w:sz="0" w:space="0" w:color="auto"/>
        <w:left w:val="none" w:sz="0" w:space="0" w:color="auto"/>
        <w:bottom w:val="none" w:sz="0" w:space="0" w:color="auto"/>
        <w:right w:val="none" w:sz="0" w:space="0" w:color="auto"/>
      </w:divBdr>
    </w:div>
    <w:div w:id="1204754903">
      <w:bodyDiv w:val="1"/>
      <w:marLeft w:val="0"/>
      <w:marRight w:val="0"/>
      <w:marTop w:val="0"/>
      <w:marBottom w:val="0"/>
      <w:divBdr>
        <w:top w:val="none" w:sz="0" w:space="0" w:color="auto"/>
        <w:left w:val="none" w:sz="0" w:space="0" w:color="auto"/>
        <w:bottom w:val="none" w:sz="0" w:space="0" w:color="auto"/>
        <w:right w:val="none" w:sz="0" w:space="0" w:color="auto"/>
      </w:divBdr>
    </w:div>
    <w:div w:id="1205289798">
      <w:bodyDiv w:val="1"/>
      <w:marLeft w:val="0"/>
      <w:marRight w:val="0"/>
      <w:marTop w:val="0"/>
      <w:marBottom w:val="0"/>
      <w:divBdr>
        <w:top w:val="none" w:sz="0" w:space="0" w:color="auto"/>
        <w:left w:val="none" w:sz="0" w:space="0" w:color="auto"/>
        <w:bottom w:val="none" w:sz="0" w:space="0" w:color="auto"/>
        <w:right w:val="none" w:sz="0" w:space="0" w:color="auto"/>
      </w:divBdr>
    </w:div>
    <w:div w:id="1205559662">
      <w:bodyDiv w:val="1"/>
      <w:marLeft w:val="0"/>
      <w:marRight w:val="0"/>
      <w:marTop w:val="0"/>
      <w:marBottom w:val="0"/>
      <w:divBdr>
        <w:top w:val="none" w:sz="0" w:space="0" w:color="auto"/>
        <w:left w:val="none" w:sz="0" w:space="0" w:color="auto"/>
        <w:bottom w:val="none" w:sz="0" w:space="0" w:color="auto"/>
        <w:right w:val="none" w:sz="0" w:space="0" w:color="auto"/>
      </w:divBdr>
    </w:div>
    <w:div w:id="1205949533">
      <w:bodyDiv w:val="1"/>
      <w:marLeft w:val="0"/>
      <w:marRight w:val="0"/>
      <w:marTop w:val="0"/>
      <w:marBottom w:val="0"/>
      <w:divBdr>
        <w:top w:val="none" w:sz="0" w:space="0" w:color="auto"/>
        <w:left w:val="none" w:sz="0" w:space="0" w:color="auto"/>
        <w:bottom w:val="none" w:sz="0" w:space="0" w:color="auto"/>
        <w:right w:val="none" w:sz="0" w:space="0" w:color="auto"/>
      </w:divBdr>
    </w:div>
    <w:div w:id="1206018315">
      <w:bodyDiv w:val="1"/>
      <w:marLeft w:val="0"/>
      <w:marRight w:val="0"/>
      <w:marTop w:val="0"/>
      <w:marBottom w:val="0"/>
      <w:divBdr>
        <w:top w:val="none" w:sz="0" w:space="0" w:color="auto"/>
        <w:left w:val="none" w:sz="0" w:space="0" w:color="auto"/>
        <w:bottom w:val="none" w:sz="0" w:space="0" w:color="auto"/>
        <w:right w:val="none" w:sz="0" w:space="0" w:color="auto"/>
      </w:divBdr>
    </w:div>
    <w:div w:id="1206063765">
      <w:bodyDiv w:val="1"/>
      <w:marLeft w:val="0"/>
      <w:marRight w:val="0"/>
      <w:marTop w:val="0"/>
      <w:marBottom w:val="0"/>
      <w:divBdr>
        <w:top w:val="none" w:sz="0" w:space="0" w:color="auto"/>
        <w:left w:val="none" w:sz="0" w:space="0" w:color="auto"/>
        <w:bottom w:val="none" w:sz="0" w:space="0" w:color="auto"/>
        <w:right w:val="none" w:sz="0" w:space="0" w:color="auto"/>
      </w:divBdr>
    </w:div>
    <w:div w:id="1206336762">
      <w:bodyDiv w:val="1"/>
      <w:marLeft w:val="0"/>
      <w:marRight w:val="0"/>
      <w:marTop w:val="0"/>
      <w:marBottom w:val="0"/>
      <w:divBdr>
        <w:top w:val="none" w:sz="0" w:space="0" w:color="auto"/>
        <w:left w:val="none" w:sz="0" w:space="0" w:color="auto"/>
        <w:bottom w:val="none" w:sz="0" w:space="0" w:color="auto"/>
        <w:right w:val="none" w:sz="0" w:space="0" w:color="auto"/>
      </w:divBdr>
    </w:div>
    <w:div w:id="1206914108">
      <w:bodyDiv w:val="1"/>
      <w:marLeft w:val="0"/>
      <w:marRight w:val="0"/>
      <w:marTop w:val="0"/>
      <w:marBottom w:val="0"/>
      <w:divBdr>
        <w:top w:val="none" w:sz="0" w:space="0" w:color="auto"/>
        <w:left w:val="none" w:sz="0" w:space="0" w:color="auto"/>
        <w:bottom w:val="none" w:sz="0" w:space="0" w:color="auto"/>
        <w:right w:val="none" w:sz="0" w:space="0" w:color="auto"/>
      </w:divBdr>
    </w:div>
    <w:div w:id="1207373394">
      <w:bodyDiv w:val="1"/>
      <w:marLeft w:val="0"/>
      <w:marRight w:val="0"/>
      <w:marTop w:val="0"/>
      <w:marBottom w:val="0"/>
      <w:divBdr>
        <w:top w:val="none" w:sz="0" w:space="0" w:color="auto"/>
        <w:left w:val="none" w:sz="0" w:space="0" w:color="auto"/>
        <w:bottom w:val="none" w:sz="0" w:space="0" w:color="auto"/>
        <w:right w:val="none" w:sz="0" w:space="0" w:color="auto"/>
      </w:divBdr>
    </w:div>
    <w:div w:id="1207719718">
      <w:bodyDiv w:val="1"/>
      <w:marLeft w:val="0"/>
      <w:marRight w:val="0"/>
      <w:marTop w:val="0"/>
      <w:marBottom w:val="0"/>
      <w:divBdr>
        <w:top w:val="none" w:sz="0" w:space="0" w:color="auto"/>
        <w:left w:val="none" w:sz="0" w:space="0" w:color="auto"/>
        <w:bottom w:val="none" w:sz="0" w:space="0" w:color="auto"/>
        <w:right w:val="none" w:sz="0" w:space="0" w:color="auto"/>
      </w:divBdr>
    </w:div>
    <w:div w:id="1208450657">
      <w:bodyDiv w:val="1"/>
      <w:marLeft w:val="0"/>
      <w:marRight w:val="0"/>
      <w:marTop w:val="0"/>
      <w:marBottom w:val="0"/>
      <w:divBdr>
        <w:top w:val="none" w:sz="0" w:space="0" w:color="auto"/>
        <w:left w:val="none" w:sz="0" w:space="0" w:color="auto"/>
        <w:bottom w:val="none" w:sz="0" w:space="0" w:color="auto"/>
        <w:right w:val="none" w:sz="0" w:space="0" w:color="auto"/>
      </w:divBdr>
    </w:div>
    <w:div w:id="1208496099">
      <w:bodyDiv w:val="1"/>
      <w:marLeft w:val="0"/>
      <w:marRight w:val="0"/>
      <w:marTop w:val="0"/>
      <w:marBottom w:val="0"/>
      <w:divBdr>
        <w:top w:val="none" w:sz="0" w:space="0" w:color="auto"/>
        <w:left w:val="none" w:sz="0" w:space="0" w:color="auto"/>
        <w:bottom w:val="none" w:sz="0" w:space="0" w:color="auto"/>
        <w:right w:val="none" w:sz="0" w:space="0" w:color="auto"/>
      </w:divBdr>
    </w:div>
    <w:div w:id="1208761001">
      <w:bodyDiv w:val="1"/>
      <w:marLeft w:val="0"/>
      <w:marRight w:val="0"/>
      <w:marTop w:val="0"/>
      <w:marBottom w:val="0"/>
      <w:divBdr>
        <w:top w:val="none" w:sz="0" w:space="0" w:color="auto"/>
        <w:left w:val="none" w:sz="0" w:space="0" w:color="auto"/>
        <w:bottom w:val="none" w:sz="0" w:space="0" w:color="auto"/>
        <w:right w:val="none" w:sz="0" w:space="0" w:color="auto"/>
      </w:divBdr>
    </w:div>
    <w:div w:id="1209605470">
      <w:bodyDiv w:val="1"/>
      <w:marLeft w:val="0"/>
      <w:marRight w:val="0"/>
      <w:marTop w:val="0"/>
      <w:marBottom w:val="0"/>
      <w:divBdr>
        <w:top w:val="none" w:sz="0" w:space="0" w:color="auto"/>
        <w:left w:val="none" w:sz="0" w:space="0" w:color="auto"/>
        <w:bottom w:val="none" w:sz="0" w:space="0" w:color="auto"/>
        <w:right w:val="none" w:sz="0" w:space="0" w:color="auto"/>
      </w:divBdr>
    </w:div>
    <w:div w:id="1209805540">
      <w:bodyDiv w:val="1"/>
      <w:marLeft w:val="0"/>
      <w:marRight w:val="0"/>
      <w:marTop w:val="0"/>
      <w:marBottom w:val="0"/>
      <w:divBdr>
        <w:top w:val="none" w:sz="0" w:space="0" w:color="auto"/>
        <w:left w:val="none" w:sz="0" w:space="0" w:color="auto"/>
        <w:bottom w:val="none" w:sz="0" w:space="0" w:color="auto"/>
        <w:right w:val="none" w:sz="0" w:space="0" w:color="auto"/>
      </w:divBdr>
    </w:div>
    <w:div w:id="1209949590">
      <w:bodyDiv w:val="1"/>
      <w:marLeft w:val="0"/>
      <w:marRight w:val="0"/>
      <w:marTop w:val="0"/>
      <w:marBottom w:val="0"/>
      <w:divBdr>
        <w:top w:val="none" w:sz="0" w:space="0" w:color="auto"/>
        <w:left w:val="none" w:sz="0" w:space="0" w:color="auto"/>
        <w:bottom w:val="none" w:sz="0" w:space="0" w:color="auto"/>
        <w:right w:val="none" w:sz="0" w:space="0" w:color="auto"/>
      </w:divBdr>
    </w:div>
    <w:div w:id="1210074423">
      <w:bodyDiv w:val="1"/>
      <w:marLeft w:val="0"/>
      <w:marRight w:val="0"/>
      <w:marTop w:val="0"/>
      <w:marBottom w:val="0"/>
      <w:divBdr>
        <w:top w:val="none" w:sz="0" w:space="0" w:color="auto"/>
        <w:left w:val="none" w:sz="0" w:space="0" w:color="auto"/>
        <w:bottom w:val="none" w:sz="0" w:space="0" w:color="auto"/>
        <w:right w:val="none" w:sz="0" w:space="0" w:color="auto"/>
      </w:divBdr>
    </w:div>
    <w:div w:id="1210190261">
      <w:bodyDiv w:val="1"/>
      <w:marLeft w:val="0"/>
      <w:marRight w:val="0"/>
      <w:marTop w:val="0"/>
      <w:marBottom w:val="0"/>
      <w:divBdr>
        <w:top w:val="none" w:sz="0" w:space="0" w:color="auto"/>
        <w:left w:val="none" w:sz="0" w:space="0" w:color="auto"/>
        <w:bottom w:val="none" w:sz="0" w:space="0" w:color="auto"/>
        <w:right w:val="none" w:sz="0" w:space="0" w:color="auto"/>
      </w:divBdr>
    </w:div>
    <w:div w:id="1210799842">
      <w:bodyDiv w:val="1"/>
      <w:marLeft w:val="0"/>
      <w:marRight w:val="0"/>
      <w:marTop w:val="0"/>
      <w:marBottom w:val="0"/>
      <w:divBdr>
        <w:top w:val="none" w:sz="0" w:space="0" w:color="auto"/>
        <w:left w:val="none" w:sz="0" w:space="0" w:color="auto"/>
        <w:bottom w:val="none" w:sz="0" w:space="0" w:color="auto"/>
        <w:right w:val="none" w:sz="0" w:space="0" w:color="auto"/>
      </w:divBdr>
    </w:div>
    <w:div w:id="1210998345">
      <w:bodyDiv w:val="1"/>
      <w:marLeft w:val="0"/>
      <w:marRight w:val="0"/>
      <w:marTop w:val="0"/>
      <w:marBottom w:val="0"/>
      <w:divBdr>
        <w:top w:val="none" w:sz="0" w:space="0" w:color="auto"/>
        <w:left w:val="none" w:sz="0" w:space="0" w:color="auto"/>
        <w:bottom w:val="none" w:sz="0" w:space="0" w:color="auto"/>
        <w:right w:val="none" w:sz="0" w:space="0" w:color="auto"/>
      </w:divBdr>
    </w:div>
    <w:div w:id="1211264442">
      <w:bodyDiv w:val="1"/>
      <w:marLeft w:val="0"/>
      <w:marRight w:val="0"/>
      <w:marTop w:val="0"/>
      <w:marBottom w:val="0"/>
      <w:divBdr>
        <w:top w:val="none" w:sz="0" w:space="0" w:color="auto"/>
        <w:left w:val="none" w:sz="0" w:space="0" w:color="auto"/>
        <w:bottom w:val="none" w:sz="0" w:space="0" w:color="auto"/>
        <w:right w:val="none" w:sz="0" w:space="0" w:color="auto"/>
      </w:divBdr>
    </w:div>
    <w:div w:id="1211841445">
      <w:bodyDiv w:val="1"/>
      <w:marLeft w:val="0"/>
      <w:marRight w:val="0"/>
      <w:marTop w:val="0"/>
      <w:marBottom w:val="0"/>
      <w:divBdr>
        <w:top w:val="none" w:sz="0" w:space="0" w:color="auto"/>
        <w:left w:val="none" w:sz="0" w:space="0" w:color="auto"/>
        <w:bottom w:val="none" w:sz="0" w:space="0" w:color="auto"/>
        <w:right w:val="none" w:sz="0" w:space="0" w:color="auto"/>
      </w:divBdr>
    </w:div>
    <w:div w:id="1211918473">
      <w:bodyDiv w:val="1"/>
      <w:marLeft w:val="0"/>
      <w:marRight w:val="0"/>
      <w:marTop w:val="0"/>
      <w:marBottom w:val="0"/>
      <w:divBdr>
        <w:top w:val="none" w:sz="0" w:space="0" w:color="auto"/>
        <w:left w:val="none" w:sz="0" w:space="0" w:color="auto"/>
        <w:bottom w:val="none" w:sz="0" w:space="0" w:color="auto"/>
        <w:right w:val="none" w:sz="0" w:space="0" w:color="auto"/>
      </w:divBdr>
    </w:div>
    <w:div w:id="1211957678">
      <w:bodyDiv w:val="1"/>
      <w:marLeft w:val="0"/>
      <w:marRight w:val="0"/>
      <w:marTop w:val="0"/>
      <w:marBottom w:val="0"/>
      <w:divBdr>
        <w:top w:val="none" w:sz="0" w:space="0" w:color="auto"/>
        <w:left w:val="none" w:sz="0" w:space="0" w:color="auto"/>
        <w:bottom w:val="none" w:sz="0" w:space="0" w:color="auto"/>
        <w:right w:val="none" w:sz="0" w:space="0" w:color="auto"/>
      </w:divBdr>
    </w:div>
    <w:div w:id="1213269835">
      <w:bodyDiv w:val="1"/>
      <w:marLeft w:val="0"/>
      <w:marRight w:val="0"/>
      <w:marTop w:val="0"/>
      <w:marBottom w:val="0"/>
      <w:divBdr>
        <w:top w:val="none" w:sz="0" w:space="0" w:color="auto"/>
        <w:left w:val="none" w:sz="0" w:space="0" w:color="auto"/>
        <w:bottom w:val="none" w:sz="0" w:space="0" w:color="auto"/>
        <w:right w:val="none" w:sz="0" w:space="0" w:color="auto"/>
      </w:divBdr>
    </w:div>
    <w:div w:id="1213613830">
      <w:bodyDiv w:val="1"/>
      <w:marLeft w:val="0"/>
      <w:marRight w:val="0"/>
      <w:marTop w:val="0"/>
      <w:marBottom w:val="0"/>
      <w:divBdr>
        <w:top w:val="none" w:sz="0" w:space="0" w:color="auto"/>
        <w:left w:val="none" w:sz="0" w:space="0" w:color="auto"/>
        <w:bottom w:val="none" w:sz="0" w:space="0" w:color="auto"/>
        <w:right w:val="none" w:sz="0" w:space="0" w:color="auto"/>
      </w:divBdr>
    </w:div>
    <w:div w:id="1215121029">
      <w:bodyDiv w:val="1"/>
      <w:marLeft w:val="0"/>
      <w:marRight w:val="0"/>
      <w:marTop w:val="0"/>
      <w:marBottom w:val="0"/>
      <w:divBdr>
        <w:top w:val="none" w:sz="0" w:space="0" w:color="auto"/>
        <w:left w:val="none" w:sz="0" w:space="0" w:color="auto"/>
        <w:bottom w:val="none" w:sz="0" w:space="0" w:color="auto"/>
        <w:right w:val="none" w:sz="0" w:space="0" w:color="auto"/>
      </w:divBdr>
    </w:div>
    <w:div w:id="1215775738">
      <w:bodyDiv w:val="1"/>
      <w:marLeft w:val="0"/>
      <w:marRight w:val="0"/>
      <w:marTop w:val="0"/>
      <w:marBottom w:val="0"/>
      <w:divBdr>
        <w:top w:val="none" w:sz="0" w:space="0" w:color="auto"/>
        <w:left w:val="none" w:sz="0" w:space="0" w:color="auto"/>
        <w:bottom w:val="none" w:sz="0" w:space="0" w:color="auto"/>
        <w:right w:val="none" w:sz="0" w:space="0" w:color="auto"/>
      </w:divBdr>
    </w:div>
    <w:div w:id="1216350176">
      <w:bodyDiv w:val="1"/>
      <w:marLeft w:val="0"/>
      <w:marRight w:val="0"/>
      <w:marTop w:val="0"/>
      <w:marBottom w:val="0"/>
      <w:divBdr>
        <w:top w:val="none" w:sz="0" w:space="0" w:color="auto"/>
        <w:left w:val="none" w:sz="0" w:space="0" w:color="auto"/>
        <w:bottom w:val="none" w:sz="0" w:space="0" w:color="auto"/>
        <w:right w:val="none" w:sz="0" w:space="0" w:color="auto"/>
      </w:divBdr>
    </w:div>
    <w:div w:id="1216964759">
      <w:bodyDiv w:val="1"/>
      <w:marLeft w:val="0"/>
      <w:marRight w:val="0"/>
      <w:marTop w:val="0"/>
      <w:marBottom w:val="0"/>
      <w:divBdr>
        <w:top w:val="none" w:sz="0" w:space="0" w:color="auto"/>
        <w:left w:val="none" w:sz="0" w:space="0" w:color="auto"/>
        <w:bottom w:val="none" w:sz="0" w:space="0" w:color="auto"/>
        <w:right w:val="none" w:sz="0" w:space="0" w:color="auto"/>
      </w:divBdr>
    </w:div>
    <w:div w:id="1216968326">
      <w:bodyDiv w:val="1"/>
      <w:marLeft w:val="0"/>
      <w:marRight w:val="0"/>
      <w:marTop w:val="0"/>
      <w:marBottom w:val="0"/>
      <w:divBdr>
        <w:top w:val="none" w:sz="0" w:space="0" w:color="auto"/>
        <w:left w:val="none" w:sz="0" w:space="0" w:color="auto"/>
        <w:bottom w:val="none" w:sz="0" w:space="0" w:color="auto"/>
        <w:right w:val="none" w:sz="0" w:space="0" w:color="auto"/>
      </w:divBdr>
    </w:div>
    <w:div w:id="1217013664">
      <w:bodyDiv w:val="1"/>
      <w:marLeft w:val="0"/>
      <w:marRight w:val="0"/>
      <w:marTop w:val="0"/>
      <w:marBottom w:val="0"/>
      <w:divBdr>
        <w:top w:val="none" w:sz="0" w:space="0" w:color="auto"/>
        <w:left w:val="none" w:sz="0" w:space="0" w:color="auto"/>
        <w:bottom w:val="none" w:sz="0" w:space="0" w:color="auto"/>
        <w:right w:val="none" w:sz="0" w:space="0" w:color="auto"/>
      </w:divBdr>
    </w:div>
    <w:div w:id="1217353399">
      <w:bodyDiv w:val="1"/>
      <w:marLeft w:val="0"/>
      <w:marRight w:val="0"/>
      <w:marTop w:val="0"/>
      <w:marBottom w:val="0"/>
      <w:divBdr>
        <w:top w:val="none" w:sz="0" w:space="0" w:color="auto"/>
        <w:left w:val="none" w:sz="0" w:space="0" w:color="auto"/>
        <w:bottom w:val="none" w:sz="0" w:space="0" w:color="auto"/>
        <w:right w:val="none" w:sz="0" w:space="0" w:color="auto"/>
      </w:divBdr>
    </w:div>
    <w:div w:id="1217812443">
      <w:bodyDiv w:val="1"/>
      <w:marLeft w:val="0"/>
      <w:marRight w:val="0"/>
      <w:marTop w:val="0"/>
      <w:marBottom w:val="0"/>
      <w:divBdr>
        <w:top w:val="none" w:sz="0" w:space="0" w:color="auto"/>
        <w:left w:val="none" w:sz="0" w:space="0" w:color="auto"/>
        <w:bottom w:val="none" w:sz="0" w:space="0" w:color="auto"/>
        <w:right w:val="none" w:sz="0" w:space="0" w:color="auto"/>
      </w:divBdr>
    </w:div>
    <w:div w:id="1217855569">
      <w:bodyDiv w:val="1"/>
      <w:marLeft w:val="0"/>
      <w:marRight w:val="0"/>
      <w:marTop w:val="0"/>
      <w:marBottom w:val="0"/>
      <w:divBdr>
        <w:top w:val="none" w:sz="0" w:space="0" w:color="auto"/>
        <w:left w:val="none" w:sz="0" w:space="0" w:color="auto"/>
        <w:bottom w:val="none" w:sz="0" w:space="0" w:color="auto"/>
        <w:right w:val="none" w:sz="0" w:space="0" w:color="auto"/>
      </w:divBdr>
    </w:div>
    <w:div w:id="1218319964">
      <w:bodyDiv w:val="1"/>
      <w:marLeft w:val="0"/>
      <w:marRight w:val="0"/>
      <w:marTop w:val="0"/>
      <w:marBottom w:val="0"/>
      <w:divBdr>
        <w:top w:val="none" w:sz="0" w:space="0" w:color="auto"/>
        <w:left w:val="none" w:sz="0" w:space="0" w:color="auto"/>
        <w:bottom w:val="none" w:sz="0" w:space="0" w:color="auto"/>
        <w:right w:val="none" w:sz="0" w:space="0" w:color="auto"/>
      </w:divBdr>
    </w:div>
    <w:div w:id="1218475649">
      <w:bodyDiv w:val="1"/>
      <w:marLeft w:val="0"/>
      <w:marRight w:val="0"/>
      <w:marTop w:val="0"/>
      <w:marBottom w:val="0"/>
      <w:divBdr>
        <w:top w:val="none" w:sz="0" w:space="0" w:color="auto"/>
        <w:left w:val="none" w:sz="0" w:space="0" w:color="auto"/>
        <w:bottom w:val="none" w:sz="0" w:space="0" w:color="auto"/>
        <w:right w:val="none" w:sz="0" w:space="0" w:color="auto"/>
      </w:divBdr>
    </w:div>
    <w:div w:id="1218712156">
      <w:bodyDiv w:val="1"/>
      <w:marLeft w:val="0"/>
      <w:marRight w:val="0"/>
      <w:marTop w:val="0"/>
      <w:marBottom w:val="0"/>
      <w:divBdr>
        <w:top w:val="none" w:sz="0" w:space="0" w:color="auto"/>
        <w:left w:val="none" w:sz="0" w:space="0" w:color="auto"/>
        <w:bottom w:val="none" w:sz="0" w:space="0" w:color="auto"/>
        <w:right w:val="none" w:sz="0" w:space="0" w:color="auto"/>
      </w:divBdr>
    </w:div>
    <w:div w:id="1218933010">
      <w:bodyDiv w:val="1"/>
      <w:marLeft w:val="0"/>
      <w:marRight w:val="0"/>
      <w:marTop w:val="0"/>
      <w:marBottom w:val="0"/>
      <w:divBdr>
        <w:top w:val="none" w:sz="0" w:space="0" w:color="auto"/>
        <w:left w:val="none" w:sz="0" w:space="0" w:color="auto"/>
        <w:bottom w:val="none" w:sz="0" w:space="0" w:color="auto"/>
        <w:right w:val="none" w:sz="0" w:space="0" w:color="auto"/>
      </w:divBdr>
    </w:div>
    <w:div w:id="1219049952">
      <w:bodyDiv w:val="1"/>
      <w:marLeft w:val="0"/>
      <w:marRight w:val="0"/>
      <w:marTop w:val="0"/>
      <w:marBottom w:val="0"/>
      <w:divBdr>
        <w:top w:val="none" w:sz="0" w:space="0" w:color="auto"/>
        <w:left w:val="none" w:sz="0" w:space="0" w:color="auto"/>
        <w:bottom w:val="none" w:sz="0" w:space="0" w:color="auto"/>
        <w:right w:val="none" w:sz="0" w:space="0" w:color="auto"/>
      </w:divBdr>
    </w:div>
    <w:div w:id="1219248131">
      <w:bodyDiv w:val="1"/>
      <w:marLeft w:val="0"/>
      <w:marRight w:val="0"/>
      <w:marTop w:val="0"/>
      <w:marBottom w:val="0"/>
      <w:divBdr>
        <w:top w:val="none" w:sz="0" w:space="0" w:color="auto"/>
        <w:left w:val="none" w:sz="0" w:space="0" w:color="auto"/>
        <w:bottom w:val="none" w:sz="0" w:space="0" w:color="auto"/>
        <w:right w:val="none" w:sz="0" w:space="0" w:color="auto"/>
      </w:divBdr>
    </w:div>
    <w:div w:id="1220939410">
      <w:bodyDiv w:val="1"/>
      <w:marLeft w:val="0"/>
      <w:marRight w:val="0"/>
      <w:marTop w:val="0"/>
      <w:marBottom w:val="0"/>
      <w:divBdr>
        <w:top w:val="none" w:sz="0" w:space="0" w:color="auto"/>
        <w:left w:val="none" w:sz="0" w:space="0" w:color="auto"/>
        <w:bottom w:val="none" w:sz="0" w:space="0" w:color="auto"/>
        <w:right w:val="none" w:sz="0" w:space="0" w:color="auto"/>
      </w:divBdr>
    </w:div>
    <w:div w:id="1221283736">
      <w:bodyDiv w:val="1"/>
      <w:marLeft w:val="0"/>
      <w:marRight w:val="0"/>
      <w:marTop w:val="0"/>
      <w:marBottom w:val="0"/>
      <w:divBdr>
        <w:top w:val="none" w:sz="0" w:space="0" w:color="auto"/>
        <w:left w:val="none" w:sz="0" w:space="0" w:color="auto"/>
        <w:bottom w:val="none" w:sz="0" w:space="0" w:color="auto"/>
        <w:right w:val="none" w:sz="0" w:space="0" w:color="auto"/>
      </w:divBdr>
    </w:div>
    <w:div w:id="1221551258">
      <w:bodyDiv w:val="1"/>
      <w:marLeft w:val="0"/>
      <w:marRight w:val="0"/>
      <w:marTop w:val="0"/>
      <w:marBottom w:val="0"/>
      <w:divBdr>
        <w:top w:val="none" w:sz="0" w:space="0" w:color="auto"/>
        <w:left w:val="none" w:sz="0" w:space="0" w:color="auto"/>
        <w:bottom w:val="none" w:sz="0" w:space="0" w:color="auto"/>
        <w:right w:val="none" w:sz="0" w:space="0" w:color="auto"/>
      </w:divBdr>
    </w:div>
    <w:div w:id="1221671163">
      <w:bodyDiv w:val="1"/>
      <w:marLeft w:val="0"/>
      <w:marRight w:val="0"/>
      <w:marTop w:val="0"/>
      <w:marBottom w:val="0"/>
      <w:divBdr>
        <w:top w:val="none" w:sz="0" w:space="0" w:color="auto"/>
        <w:left w:val="none" w:sz="0" w:space="0" w:color="auto"/>
        <w:bottom w:val="none" w:sz="0" w:space="0" w:color="auto"/>
        <w:right w:val="none" w:sz="0" w:space="0" w:color="auto"/>
      </w:divBdr>
    </w:div>
    <w:div w:id="1222060191">
      <w:bodyDiv w:val="1"/>
      <w:marLeft w:val="0"/>
      <w:marRight w:val="0"/>
      <w:marTop w:val="0"/>
      <w:marBottom w:val="0"/>
      <w:divBdr>
        <w:top w:val="none" w:sz="0" w:space="0" w:color="auto"/>
        <w:left w:val="none" w:sz="0" w:space="0" w:color="auto"/>
        <w:bottom w:val="none" w:sz="0" w:space="0" w:color="auto"/>
        <w:right w:val="none" w:sz="0" w:space="0" w:color="auto"/>
      </w:divBdr>
    </w:div>
    <w:div w:id="1222250923">
      <w:bodyDiv w:val="1"/>
      <w:marLeft w:val="0"/>
      <w:marRight w:val="0"/>
      <w:marTop w:val="0"/>
      <w:marBottom w:val="0"/>
      <w:divBdr>
        <w:top w:val="none" w:sz="0" w:space="0" w:color="auto"/>
        <w:left w:val="none" w:sz="0" w:space="0" w:color="auto"/>
        <w:bottom w:val="none" w:sz="0" w:space="0" w:color="auto"/>
        <w:right w:val="none" w:sz="0" w:space="0" w:color="auto"/>
      </w:divBdr>
    </w:div>
    <w:div w:id="1222400985">
      <w:bodyDiv w:val="1"/>
      <w:marLeft w:val="0"/>
      <w:marRight w:val="0"/>
      <w:marTop w:val="0"/>
      <w:marBottom w:val="0"/>
      <w:divBdr>
        <w:top w:val="none" w:sz="0" w:space="0" w:color="auto"/>
        <w:left w:val="none" w:sz="0" w:space="0" w:color="auto"/>
        <w:bottom w:val="none" w:sz="0" w:space="0" w:color="auto"/>
        <w:right w:val="none" w:sz="0" w:space="0" w:color="auto"/>
      </w:divBdr>
    </w:div>
    <w:div w:id="1222643453">
      <w:bodyDiv w:val="1"/>
      <w:marLeft w:val="0"/>
      <w:marRight w:val="0"/>
      <w:marTop w:val="0"/>
      <w:marBottom w:val="0"/>
      <w:divBdr>
        <w:top w:val="none" w:sz="0" w:space="0" w:color="auto"/>
        <w:left w:val="none" w:sz="0" w:space="0" w:color="auto"/>
        <w:bottom w:val="none" w:sz="0" w:space="0" w:color="auto"/>
        <w:right w:val="none" w:sz="0" w:space="0" w:color="auto"/>
      </w:divBdr>
    </w:div>
    <w:div w:id="1223103320">
      <w:bodyDiv w:val="1"/>
      <w:marLeft w:val="0"/>
      <w:marRight w:val="0"/>
      <w:marTop w:val="0"/>
      <w:marBottom w:val="0"/>
      <w:divBdr>
        <w:top w:val="none" w:sz="0" w:space="0" w:color="auto"/>
        <w:left w:val="none" w:sz="0" w:space="0" w:color="auto"/>
        <w:bottom w:val="none" w:sz="0" w:space="0" w:color="auto"/>
        <w:right w:val="none" w:sz="0" w:space="0" w:color="auto"/>
      </w:divBdr>
    </w:div>
    <w:div w:id="1223524255">
      <w:bodyDiv w:val="1"/>
      <w:marLeft w:val="0"/>
      <w:marRight w:val="0"/>
      <w:marTop w:val="0"/>
      <w:marBottom w:val="0"/>
      <w:divBdr>
        <w:top w:val="none" w:sz="0" w:space="0" w:color="auto"/>
        <w:left w:val="none" w:sz="0" w:space="0" w:color="auto"/>
        <w:bottom w:val="none" w:sz="0" w:space="0" w:color="auto"/>
        <w:right w:val="none" w:sz="0" w:space="0" w:color="auto"/>
      </w:divBdr>
    </w:div>
    <w:div w:id="1223638319">
      <w:bodyDiv w:val="1"/>
      <w:marLeft w:val="0"/>
      <w:marRight w:val="0"/>
      <w:marTop w:val="0"/>
      <w:marBottom w:val="0"/>
      <w:divBdr>
        <w:top w:val="none" w:sz="0" w:space="0" w:color="auto"/>
        <w:left w:val="none" w:sz="0" w:space="0" w:color="auto"/>
        <w:bottom w:val="none" w:sz="0" w:space="0" w:color="auto"/>
        <w:right w:val="none" w:sz="0" w:space="0" w:color="auto"/>
      </w:divBdr>
    </w:div>
    <w:div w:id="1224373269">
      <w:bodyDiv w:val="1"/>
      <w:marLeft w:val="0"/>
      <w:marRight w:val="0"/>
      <w:marTop w:val="0"/>
      <w:marBottom w:val="0"/>
      <w:divBdr>
        <w:top w:val="none" w:sz="0" w:space="0" w:color="auto"/>
        <w:left w:val="none" w:sz="0" w:space="0" w:color="auto"/>
        <w:bottom w:val="none" w:sz="0" w:space="0" w:color="auto"/>
        <w:right w:val="none" w:sz="0" w:space="0" w:color="auto"/>
      </w:divBdr>
    </w:div>
    <w:div w:id="1224563854">
      <w:bodyDiv w:val="1"/>
      <w:marLeft w:val="0"/>
      <w:marRight w:val="0"/>
      <w:marTop w:val="0"/>
      <w:marBottom w:val="0"/>
      <w:divBdr>
        <w:top w:val="none" w:sz="0" w:space="0" w:color="auto"/>
        <w:left w:val="none" w:sz="0" w:space="0" w:color="auto"/>
        <w:bottom w:val="none" w:sz="0" w:space="0" w:color="auto"/>
        <w:right w:val="none" w:sz="0" w:space="0" w:color="auto"/>
      </w:divBdr>
    </w:div>
    <w:div w:id="1225071191">
      <w:bodyDiv w:val="1"/>
      <w:marLeft w:val="0"/>
      <w:marRight w:val="0"/>
      <w:marTop w:val="0"/>
      <w:marBottom w:val="0"/>
      <w:divBdr>
        <w:top w:val="none" w:sz="0" w:space="0" w:color="auto"/>
        <w:left w:val="none" w:sz="0" w:space="0" w:color="auto"/>
        <w:bottom w:val="none" w:sz="0" w:space="0" w:color="auto"/>
        <w:right w:val="none" w:sz="0" w:space="0" w:color="auto"/>
      </w:divBdr>
    </w:div>
    <w:div w:id="1225221296">
      <w:bodyDiv w:val="1"/>
      <w:marLeft w:val="0"/>
      <w:marRight w:val="0"/>
      <w:marTop w:val="0"/>
      <w:marBottom w:val="0"/>
      <w:divBdr>
        <w:top w:val="none" w:sz="0" w:space="0" w:color="auto"/>
        <w:left w:val="none" w:sz="0" w:space="0" w:color="auto"/>
        <w:bottom w:val="none" w:sz="0" w:space="0" w:color="auto"/>
        <w:right w:val="none" w:sz="0" w:space="0" w:color="auto"/>
      </w:divBdr>
    </w:div>
    <w:div w:id="1225262343">
      <w:bodyDiv w:val="1"/>
      <w:marLeft w:val="0"/>
      <w:marRight w:val="0"/>
      <w:marTop w:val="0"/>
      <w:marBottom w:val="0"/>
      <w:divBdr>
        <w:top w:val="none" w:sz="0" w:space="0" w:color="auto"/>
        <w:left w:val="none" w:sz="0" w:space="0" w:color="auto"/>
        <w:bottom w:val="none" w:sz="0" w:space="0" w:color="auto"/>
        <w:right w:val="none" w:sz="0" w:space="0" w:color="auto"/>
      </w:divBdr>
    </w:div>
    <w:div w:id="1225683352">
      <w:bodyDiv w:val="1"/>
      <w:marLeft w:val="0"/>
      <w:marRight w:val="0"/>
      <w:marTop w:val="0"/>
      <w:marBottom w:val="0"/>
      <w:divBdr>
        <w:top w:val="none" w:sz="0" w:space="0" w:color="auto"/>
        <w:left w:val="none" w:sz="0" w:space="0" w:color="auto"/>
        <w:bottom w:val="none" w:sz="0" w:space="0" w:color="auto"/>
        <w:right w:val="none" w:sz="0" w:space="0" w:color="auto"/>
      </w:divBdr>
    </w:div>
    <w:div w:id="1225917521">
      <w:bodyDiv w:val="1"/>
      <w:marLeft w:val="0"/>
      <w:marRight w:val="0"/>
      <w:marTop w:val="0"/>
      <w:marBottom w:val="0"/>
      <w:divBdr>
        <w:top w:val="none" w:sz="0" w:space="0" w:color="auto"/>
        <w:left w:val="none" w:sz="0" w:space="0" w:color="auto"/>
        <w:bottom w:val="none" w:sz="0" w:space="0" w:color="auto"/>
        <w:right w:val="none" w:sz="0" w:space="0" w:color="auto"/>
      </w:divBdr>
    </w:div>
    <w:div w:id="1226332074">
      <w:bodyDiv w:val="1"/>
      <w:marLeft w:val="0"/>
      <w:marRight w:val="0"/>
      <w:marTop w:val="0"/>
      <w:marBottom w:val="0"/>
      <w:divBdr>
        <w:top w:val="none" w:sz="0" w:space="0" w:color="auto"/>
        <w:left w:val="none" w:sz="0" w:space="0" w:color="auto"/>
        <w:bottom w:val="none" w:sz="0" w:space="0" w:color="auto"/>
        <w:right w:val="none" w:sz="0" w:space="0" w:color="auto"/>
      </w:divBdr>
    </w:div>
    <w:div w:id="1226335066">
      <w:bodyDiv w:val="1"/>
      <w:marLeft w:val="0"/>
      <w:marRight w:val="0"/>
      <w:marTop w:val="0"/>
      <w:marBottom w:val="0"/>
      <w:divBdr>
        <w:top w:val="none" w:sz="0" w:space="0" w:color="auto"/>
        <w:left w:val="none" w:sz="0" w:space="0" w:color="auto"/>
        <w:bottom w:val="none" w:sz="0" w:space="0" w:color="auto"/>
        <w:right w:val="none" w:sz="0" w:space="0" w:color="auto"/>
      </w:divBdr>
    </w:div>
    <w:div w:id="1226405314">
      <w:bodyDiv w:val="1"/>
      <w:marLeft w:val="0"/>
      <w:marRight w:val="0"/>
      <w:marTop w:val="0"/>
      <w:marBottom w:val="0"/>
      <w:divBdr>
        <w:top w:val="none" w:sz="0" w:space="0" w:color="auto"/>
        <w:left w:val="none" w:sz="0" w:space="0" w:color="auto"/>
        <w:bottom w:val="none" w:sz="0" w:space="0" w:color="auto"/>
        <w:right w:val="none" w:sz="0" w:space="0" w:color="auto"/>
      </w:divBdr>
    </w:div>
    <w:div w:id="1226720787">
      <w:bodyDiv w:val="1"/>
      <w:marLeft w:val="0"/>
      <w:marRight w:val="0"/>
      <w:marTop w:val="0"/>
      <w:marBottom w:val="0"/>
      <w:divBdr>
        <w:top w:val="none" w:sz="0" w:space="0" w:color="auto"/>
        <w:left w:val="none" w:sz="0" w:space="0" w:color="auto"/>
        <w:bottom w:val="none" w:sz="0" w:space="0" w:color="auto"/>
        <w:right w:val="none" w:sz="0" w:space="0" w:color="auto"/>
      </w:divBdr>
    </w:div>
    <w:div w:id="1227034908">
      <w:bodyDiv w:val="1"/>
      <w:marLeft w:val="0"/>
      <w:marRight w:val="0"/>
      <w:marTop w:val="0"/>
      <w:marBottom w:val="0"/>
      <w:divBdr>
        <w:top w:val="none" w:sz="0" w:space="0" w:color="auto"/>
        <w:left w:val="none" w:sz="0" w:space="0" w:color="auto"/>
        <w:bottom w:val="none" w:sz="0" w:space="0" w:color="auto"/>
        <w:right w:val="none" w:sz="0" w:space="0" w:color="auto"/>
      </w:divBdr>
    </w:div>
    <w:div w:id="1228301199">
      <w:bodyDiv w:val="1"/>
      <w:marLeft w:val="0"/>
      <w:marRight w:val="0"/>
      <w:marTop w:val="0"/>
      <w:marBottom w:val="0"/>
      <w:divBdr>
        <w:top w:val="none" w:sz="0" w:space="0" w:color="auto"/>
        <w:left w:val="none" w:sz="0" w:space="0" w:color="auto"/>
        <w:bottom w:val="none" w:sz="0" w:space="0" w:color="auto"/>
        <w:right w:val="none" w:sz="0" w:space="0" w:color="auto"/>
      </w:divBdr>
    </w:div>
    <w:div w:id="1228414685">
      <w:bodyDiv w:val="1"/>
      <w:marLeft w:val="0"/>
      <w:marRight w:val="0"/>
      <w:marTop w:val="0"/>
      <w:marBottom w:val="0"/>
      <w:divBdr>
        <w:top w:val="none" w:sz="0" w:space="0" w:color="auto"/>
        <w:left w:val="none" w:sz="0" w:space="0" w:color="auto"/>
        <w:bottom w:val="none" w:sz="0" w:space="0" w:color="auto"/>
        <w:right w:val="none" w:sz="0" w:space="0" w:color="auto"/>
      </w:divBdr>
    </w:div>
    <w:div w:id="1228800306">
      <w:bodyDiv w:val="1"/>
      <w:marLeft w:val="0"/>
      <w:marRight w:val="0"/>
      <w:marTop w:val="0"/>
      <w:marBottom w:val="0"/>
      <w:divBdr>
        <w:top w:val="none" w:sz="0" w:space="0" w:color="auto"/>
        <w:left w:val="none" w:sz="0" w:space="0" w:color="auto"/>
        <w:bottom w:val="none" w:sz="0" w:space="0" w:color="auto"/>
        <w:right w:val="none" w:sz="0" w:space="0" w:color="auto"/>
      </w:divBdr>
    </w:div>
    <w:div w:id="1228877914">
      <w:bodyDiv w:val="1"/>
      <w:marLeft w:val="0"/>
      <w:marRight w:val="0"/>
      <w:marTop w:val="0"/>
      <w:marBottom w:val="0"/>
      <w:divBdr>
        <w:top w:val="none" w:sz="0" w:space="0" w:color="auto"/>
        <w:left w:val="none" w:sz="0" w:space="0" w:color="auto"/>
        <w:bottom w:val="none" w:sz="0" w:space="0" w:color="auto"/>
        <w:right w:val="none" w:sz="0" w:space="0" w:color="auto"/>
      </w:divBdr>
    </w:div>
    <w:div w:id="1229223393">
      <w:bodyDiv w:val="1"/>
      <w:marLeft w:val="0"/>
      <w:marRight w:val="0"/>
      <w:marTop w:val="0"/>
      <w:marBottom w:val="0"/>
      <w:divBdr>
        <w:top w:val="none" w:sz="0" w:space="0" w:color="auto"/>
        <w:left w:val="none" w:sz="0" w:space="0" w:color="auto"/>
        <w:bottom w:val="none" w:sz="0" w:space="0" w:color="auto"/>
        <w:right w:val="none" w:sz="0" w:space="0" w:color="auto"/>
      </w:divBdr>
    </w:div>
    <w:div w:id="1229343727">
      <w:bodyDiv w:val="1"/>
      <w:marLeft w:val="0"/>
      <w:marRight w:val="0"/>
      <w:marTop w:val="0"/>
      <w:marBottom w:val="0"/>
      <w:divBdr>
        <w:top w:val="none" w:sz="0" w:space="0" w:color="auto"/>
        <w:left w:val="none" w:sz="0" w:space="0" w:color="auto"/>
        <w:bottom w:val="none" w:sz="0" w:space="0" w:color="auto"/>
        <w:right w:val="none" w:sz="0" w:space="0" w:color="auto"/>
      </w:divBdr>
    </w:div>
    <w:div w:id="1229532392">
      <w:bodyDiv w:val="1"/>
      <w:marLeft w:val="0"/>
      <w:marRight w:val="0"/>
      <w:marTop w:val="0"/>
      <w:marBottom w:val="0"/>
      <w:divBdr>
        <w:top w:val="none" w:sz="0" w:space="0" w:color="auto"/>
        <w:left w:val="none" w:sz="0" w:space="0" w:color="auto"/>
        <w:bottom w:val="none" w:sz="0" w:space="0" w:color="auto"/>
        <w:right w:val="none" w:sz="0" w:space="0" w:color="auto"/>
      </w:divBdr>
    </w:div>
    <w:div w:id="1229536522">
      <w:bodyDiv w:val="1"/>
      <w:marLeft w:val="0"/>
      <w:marRight w:val="0"/>
      <w:marTop w:val="0"/>
      <w:marBottom w:val="0"/>
      <w:divBdr>
        <w:top w:val="none" w:sz="0" w:space="0" w:color="auto"/>
        <w:left w:val="none" w:sz="0" w:space="0" w:color="auto"/>
        <w:bottom w:val="none" w:sz="0" w:space="0" w:color="auto"/>
        <w:right w:val="none" w:sz="0" w:space="0" w:color="auto"/>
      </w:divBdr>
    </w:div>
    <w:div w:id="1229652225">
      <w:bodyDiv w:val="1"/>
      <w:marLeft w:val="0"/>
      <w:marRight w:val="0"/>
      <w:marTop w:val="0"/>
      <w:marBottom w:val="0"/>
      <w:divBdr>
        <w:top w:val="none" w:sz="0" w:space="0" w:color="auto"/>
        <w:left w:val="none" w:sz="0" w:space="0" w:color="auto"/>
        <w:bottom w:val="none" w:sz="0" w:space="0" w:color="auto"/>
        <w:right w:val="none" w:sz="0" w:space="0" w:color="auto"/>
      </w:divBdr>
    </w:div>
    <w:div w:id="1229802775">
      <w:bodyDiv w:val="1"/>
      <w:marLeft w:val="0"/>
      <w:marRight w:val="0"/>
      <w:marTop w:val="0"/>
      <w:marBottom w:val="0"/>
      <w:divBdr>
        <w:top w:val="none" w:sz="0" w:space="0" w:color="auto"/>
        <w:left w:val="none" w:sz="0" w:space="0" w:color="auto"/>
        <w:bottom w:val="none" w:sz="0" w:space="0" w:color="auto"/>
        <w:right w:val="none" w:sz="0" w:space="0" w:color="auto"/>
      </w:divBdr>
    </w:div>
    <w:div w:id="1230190875">
      <w:bodyDiv w:val="1"/>
      <w:marLeft w:val="0"/>
      <w:marRight w:val="0"/>
      <w:marTop w:val="0"/>
      <w:marBottom w:val="0"/>
      <w:divBdr>
        <w:top w:val="none" w:sz="0" w:space="0" w:color="auto"/>
        <w:left w:val="none" w:sz="0" w:space="0" w:color="auto"/>
        <w:bottom w:val="none" w:sz="0" w:space="0" w:color="auto"/>
        <w:right w:val="none" w:sz="0" w:space="0" w:color="auto"/>
      </w:divBdr>
    </w:div>
    <w:div w:id="1231816845">
      <w:bodyDiv w:val="1"/>
      <w:marLeft w:val="0"/>
      <w:marRight w:val="0"/>
      <w:marTop w:val="0"/>
      <w:marBottom w:val="0"/>
      <w:divBdr>
        <w:top w:val="none" w:sz="0" w:space="0" w:color="auto"/>
        <w:left w:val="none" w:sz="0" w:space="0" w:color="auto"/>
        <w:bottom w:val="none" w:sz="0" w:space="0" w:color="auto"/>
        <w:right w:val="none" w:sz="0" w:space="0" w:color="auto"/>
      </w:divBdr>
    </w:div>
    <w:div w:id="1233156241">
      <w:bodyDiv w:val="1"/>
      <w:marLeft w:val="0"/>
      <w:marRight w:val="0"/>
      <w:marTop w:val="0"/>
      <w:marBottom w:val="0"/>
      <w:divBdr>
        <w:top w:val="none" w:sz="0" w:space="0" w:color="auto"/>
        <w:left w:val="none" w:sz="0" w:space="0" w:color="auto"/>
        <w:bottom w:val="none" w:sz="0" w:space="0" w:color="auto"/>
        <w:right w:val="none" w:sz="0" w:space="0" w:color="auto"/>
      </w:divBdr>
    </w:div>
    <w:div w:id="1233388214">
      <w:bodyDiv w:val="1"/>
      <w:marLeft w:val="0"/>
      <w:marRight w:val="0"/>
      <w:marTop w:val="0"/>
      <w:marBottom w:val="0"/>
      <w:divBdr>
        <w:top w:val="none" w:sz="0" w:space="0" w:color="auto"/>
        <w:left w:val="none" w:sz="0" w:space="0" w:color="auto"/>
        <w:bottom w:val="none" w:sz="0" w:space="0" w:color="auto"/>
        <w:right w:val="none" w:sz="0" w:space="0" w:color="auto"/>
      </w:divBdr>
    </w:div>
    <w:div w:id="1233462488">
      <w:bodyDiv w:val="1"/>
      <w:marLeft w:val="0"/>
      <w:marRight w:val="0"/>
      <w:marTop w:val="0"/>
      <w:marBottom w:val="0"/>
      <w:divBdr>
        <w:top w:val="none" w:sz="0" w:space="0" w:color="auto"/>
        <w:left w:val="none" w:sz="0" w:space="0" w:color="auto"/>
        <w:bottom w:val="none" w:sz="0" w:space="0" w:color="auto"/>
        <w:right w:val="none" w:sz="0" w:space="0" w:color="auto"/>
      </w:divBdr>
    </w:div>
    <w:div w:id="1234008204">
      <w:bodyDiv w:val="1"/>
      <w:marLeft w:val="0"/>
      <w:marRight w:val="0"/>
      <w:marTop w:val="0"/>
      <w:marBottom w:val="0"/>
      <w:divBdr>
        <w:top w:val="none" w:sz="0" w:space="0" w:color="auto"/>
        <w:left w:val="none" w:sz="0" w:space="0" w:color="auto"/>
        <w:bottom w:val="none" w:sz="0" w:space="0" w:color="auto"/>
        <w:right w:val="none" w:sz="0" w:space="0" w:color="auto"/>
      </w:divBdr>
    </w:div>
    <w:div w:id="1234045893">
      <w:bodyDiv w:val="1"/>
      <w:marLeft w:val="0"/>
      <w:marRight w:val="0"/>
      <w:marTop w:val="0"/>
      <w:marBottom w:val="0"/>
      <w:divBdr>
        <w:top w:val="none" w:sz="0" w:space="0" w:color="auto"/>
        <w:left w:val="none" w:sz="0" w:space="0" w:color="auto"/>
        <w:bottom w:val="none" w:sz="0" w:space="0" w:color="auto"/>
        <w:right w:val="none" w:sz="0" w:space="0" w:color="auto"/>
      </w:divBdr>
    </w:div>
    <w:div w:id="1234075094">
      <w:bodyDiv w:val="1"/>
      <w:marLeft w:val="0"/>
      <w:marRight w:val="0"/>
      <w:marTop w:val="0"/>
      <w:marBottom w:val="0"/>
      <w:divBdr>
        <w:top w:val="none" w:sz="0" w:space="0" w:color="auto"/>
        <w:left w:val="none" w:sz="0" w:space="0" w:color="auto"/>
        <w:bottom w:val="none" w:sz="0" w:space="0" w:color="auto"/>
        <w:right w:val="none" w:sz="0" w:space="0" w:color="auto"/>
      </w:divBdr>
    </w:div>
    <w:div w:id="1234702985">
      <w:bodyDiv w:val="1"/>
      <w:marLeft w:val="0"/>
      <w:marRight w:val="0"/>
      <w:marTop w:val="0"/>
      <w:marBottom w:val="0"/>
      <w:divBdr>
        <w:top w:val="none" w:sz="0" w:space="0" w:color="auto"/>
        <w:left w:val="none" w:sz="0" w:space="0" w:color="auto"/>
        <w:bottom w:val="none" w:sz="0" w:space="0" w:color="auto"/>
        <w:right w:val="none" w:sz="0" w:space="0" w:color="auto"/>
      </w:divBdr>
    </w:div>
    <w:div w:id="1234927570">
      <w:bodyDiv w:val="1"/>
      <w:marLeft w:val="0"/>
      <w:marRight w:val="0"/>
      <w:marTop w:val="0"/>
      <w:marBottom w:val="0"/>
      <w:divBdr>
        <w:top w:val="none" w:sz="0" w:space="0" w:color="auto"/>
        <w:left w:val="none" w:sz="0" w:space="0" w:color="auto"/>
        <w:bottom w:val="none" w:sz="0" w:space="0" w:color="auto"/>
        <w:right w:val="none" w:sz="0" w:space="0" w:color="auto"/>
      </w:divBdr>
    </w:div>
    <w:div w:id="1235701044">
      <w:bodyDiv w:val="1"/>
      <w:marLeft w:val="0"/>
      <w:marRight w:val="0"/>
      <w:marTop w:val="0"/>
      <w:marBottom w:val="0"/>
      <w:divBdr>
        <w:top w:val="none" w:sz="0" w:space="0" w:color="auto"/>
        <w:left w:val="none" w:sz="0" w:space="0" w:color="auto"/>
        <w:bottom w:val="none" w:sz="0" w:space="0" w:color="auto"/>
        <w:right w:val="none" w:sz="0" w:space="0" w:color="auto"/>
      </w:divBdr>
    </w:div>
    <w:div w:id="1235891262">
      <w:bodyDiv w:val="1"/>
      <w:marLeft w:val="0"/>
      <w:marRight w:val="0"/>
      <w:marTop w:val="0"/>
      <w:marBottom w:val="0"/>
      <w:divBdr>
        <w:top w:val="none" w:sz="0" w:space="0" w:color="auto"/>
        <w:left w:val="none" w:sz="0" w:space="0" w:color="auto"/>
        <w:bottom w:val="none" w:sz="0" w:space="0" w:color="auto"/>
        <w:right w:val="none" w:sz="0" w:space="0" w:color="auto"/>
      </w:divBdr>
    </w:div>
    <w:div w:id="1235894217">
      <w:bodyDiv w:val="1"/>
      <w:marLeft w:val="0"/>
      <w:marRight w:val="0"/>
      <w:marTop w:val="0"/>
      <w:marBottom w:val="0"/>
      <w:divBdr>
        <w:top w:val="none" w:sz="0" w:space="0" w:color="auto"/>
        <w:left w:val="none" w:sz="0" w:space="0" w:color="auto"/>
        <w:bottom w:val="none" w:sz="0" w:space="0" w:color="auto"/>
        <w:right w:val="none" w:sz="0" w:space="0" w:color="auto"/>
      </w:divBdr>
    </w:div>
    <w:div w:id="1236040894">
      <w:bodyDiv w:val="1"/>
      <w:marLeft w:val="0"/>
      <w:marRight w:val="0"/>
      <w:marTop w:val="0"/>
      <w:marBottom w:val="0"/>
      <w:divBdr>
        <w:top w:val="none" w:sz="0" w:space="0" w:color="auto"/>
        <w:left w:val="none" w:sz="0" w:space="0" w:color="auto"/>
        <w:bottom w:val="none" w:sz="0" w:space="0" w:color="auto"/>
        <w:right w:val="none" w:sz="0" w:space="0" w:color="auto"/>
      </w:divBdr>
    </w:div>
    <w:div w:id="1236549564">
      <w:bodyDiv w:val="1"/>
      <w:marLeft w:val="0"/>
      <w:marRight w:val="0"/>
      <w:marTop w:val="0"/>
      <w:marBottom w:val="0"/>
      <w:divBdr>
        <w:top w:val="none" w:sz="0" w:space="0" w:color="auto"/>
        <w:left w:val="none" w:sz="0" w:space="0" w:color="auto"/>
        <w:bottom w:val="none" w:sz="0" w:space="0" w:color="auto"/>
        <w:right w:val="none" w:sz="0" w:space="0" w:color="auto"/>
      </w:divBdr>
    </w:div>
    <w:div w:id="1237587615">
      <w:bodyDiv w:val="1"/>
      <w:marLeft w:val="0"/>
      <w:marRight w:val="0"/>
      <w:marTop w:val="0"/>
      <w:marBottom w:val="0"/>
      <w:divBdr>
        <w:top w:val="none" w:sz="0" w:space="0" w:color="auto"/>
        <w:left w:val="none" w:sz="0" w:space="0" w:color="auto"/>
        <w:bottom w:val="none" w:sz="0" w:space="0" w:color="auto"/>
        <w:right w:val="none" w:sz="0" w:space="0" w:color="auto"/>
      </w:divBdr>
    </w:div>
    <w:div w:id="1237590267">
      <w:bodyDiv w:val="1"/>
      <w:marLeft w:val="0"/>
      <w:marRight w:val="0"/>
      <w:marTop w:val="0"/>
      <w:marBottom w:val="0"/>
      <w:divBdr>
        <w:top w:val="none" w:sz="0" w:space="0" w:color="auto"/>
        <w:left w:val="none" w:sz="0" w:space="0" w:color="auto"/>
        <w:bottom w:val="none" w:sz="0" w:space="0" w:color="auto"/>
        <w:right w:val="none" w:sz="0" w:space="0" w:color="auto"/>
      </w:divBdr>
    </w:div>
    <w:div w:id="1237745156">
      <w:bodyDiv w:val="1"/>
      <w:marLeft w:val="0"/>
      <w:marRight w:val="0"/>
      <w:marTop w:val="0"/>
      <w:marBottom w:val="0"/>
      <w:divBdr>
        <w:top w:val="none" w:sz="0" w:space="0" w:color="auto"/>
        <w:left w:val="none" w:sz="0" w:space="0" w:color="auto"/>
        <w:bottom w:val="none" w:sz="0" w:space="0" w:color="auto"/>
        <w:right w:val="none" w:sz="0" w:space="0" w:color="auto"/>
      </w:divBdr>
    </w:div>
    <w:div w:id="1238050934">
      <w:bodyDiv w:val="1"/>
      <w:marLeft w:val="0"/>
      <w:marRight w:val="0"/>
      <w:marTop w:val="0"/>
      <w:marBottom w:val="0"/>
      <w:divBdr>
        <w:top w:val="none" w:sz="0" w:space="0" w:color="auto"/>
        <w:left w:val="none" w:sz="0" w:space="0" w:color="auto"/>
        <w:bottom w:val="none" w:sz="0" w:space="0" w:color="auto"/>
        <w:right w:val="none" w:sz="0" w:space="0" w:color="auto"/>
      </w:divBdr>
    </w:div>
    <w:div w:id="1238130701">
      <w:bodyDiv w:val="1"/>
      <w:marLeft w:val="0"/>
      <w:marRight w:val="0"/>
      <w:marTop w:val="0"/>
      <w:marBottom w:val="0"/>
      <w:divBdr>
        <w:top w:val="none" w:sz="0" w:space="0" w:color="auto"/>
        <w:left w:val="none" w:sz="0" w:space="0" w:color="auto"/>
        <w:bottom w:val="none" w:sz="0" w:space="0" w:color="auto"/>
        <w:right w:val="none" w:sz="0" w:space="0" w:color="auto"/>
      </w:divBdr>
    </w:div>
    <w:div w:id="1238249619">
      <w:bodyDiv w:val="1"/>
      <w:marLeft w:val="0"/>
      <w:marRight w:val="0"/>
      <w:marTop w:val="0"/>
      <w:marBottom w:val="0"/>
      <w:divBdr>
        <w:top w:val="none" w:sz="0" w:space="0" w:color="auto"/>
        <w:left w:val="none" w:sz="0" w:space="0" w:color="auto"/>
        <w:bottom w:val="none" w:sz="0" w:space="0" w:color="auto"/>
        <w:right w:val="none" w:sz="0" w:space="0" w:color="auto"/>
      </w:divBdr>
    </w:div>
    <w:div w:id="1238662819">
      <w:bodyDiv w:val="1"/>
      <w:marLeft w:val="0"/>
      <w:marRight w:val="0"/>
      <w:marTop w:val="0"/>
      <w:marBottom w:val="0"/>
      <w:divBdr>
        <w:top w:val="none" w:sz="0" w:space="0" w:color="auto"/>
        <w:left w:val="none" w:sz="0" w:space="0" w:color="auto"/>
        <w:bottom w:val="none" w:sz="0" w:space="0" w:color="auto"/>
        <w:right w:val="none" w:sz="0" w:space="0" w:color="auto"/>
      </w:divBdr>
    </w:div>
    <w:div w:id="1238788623">
      <w:bodyDiv w:val="1"/>
      <w:marLeft w:val="0"/>
      <w:marRight w:val="0"/>
      <w:marTop w:val="0"/>
      <w:marBottom w:val="0"/>
      <w:divBdr>
        <w:top w:val="none" w:sz="0" w:space="0" w:color="auto"/>
        <w:left w:val="none" w:sz="0" w:space="0" w:color="auto"/>
        <w:bottom w:val="none" w:sz="0" w:space="0" w:color="auto"/>
        <w:right w:val="none" w:sz="0" w:space="0" w:color="auto"/>
      </w:divBdr>
    </w:div>
    <w:div w:id="1240016486">
      <w:bodyDiv w:val="1"/>
      <w:marLeft w:val="0"/>
      <w:marRight w:val="0"/>
      <w:marTop w:val="0"/>
      <w:marBottom w:val="0"/>
      <w:divBdr>
        <w:top w:val="none" w:sz="0" w:space="0" w:color="auto"/>
        <w:left w:val="none" w:sz="0" w:space="0" w:color="auto"/>
        <w:bottom w:val="none" w:sz="0" w:space="0" w:color="auto"/>
        <w:right w:val="none" w:sz="0" w:space="0" w:color="auto"/>
      </w:divBdr>
    </w:div>
    <w:div w:id="1240670526">
      <w:bodyDiv w:val="1"/>
      <w:marLeft w:val="0"/>
      <w:marRight w:val="0"/>
      <w:marTop w:val="0"/>
      <w:marBottom w:val="0"/>
      <w:divBdr>
        <w:top w:val="none" w:sz="0" w:space="0" w:color="auto"/>
        <w:left w:val="none" w:sz="0" w:space="0" w:color="auto"/>
        <w:bottom w:val="none" w:sz="0" w:space="0" w:color="auto"/>
        <w:right w:val="none" w:sz="0" w:space="0" w:color="auto"/>
      </w:divBdr>
    </w:div>
    <w:div w:id="1241059452">
      <w:bodyDiv w:val="1"/>
      <w:marLeft w:val="0"/>
      <w:marRight w:val="0"/>
      <w:marTop w:val="0"/>
      <w:marBottom w:val="0"/>
      <w:divBdr>
        <w:top w:val="none" w:sz="0" w:space="0" w:color="auto"/>
        <w:left w:val="none" w:sz="0" w:space="0" w:color="auto"/>
        <w:bottom w:val="none" w:sz="0" w:space="0" w:color="auto"/>
        <w:right w:val="none" w:sz="0" w:space="0" w:color="auto"/>
      </w:divBdr>
    </w:div>
    <w:div w:id="1241283032">
      <w:bodyDiv w:val="1"/>
      <w:marLeft w:val="0"/>
      <w:marRight w:val="0"/>
      <w:marTop w:val="0"/>
      <w:marBottom w:val="0"/>
      <w:divBdr>
        <w:top w:val="none" w:sz="0" w:space="0" w:color="auto"/>
        <w:left w:val="none" w:sz="0" w:space="0" w:color="auto"/>
        <w:bottom w:val="none" w:sz="0" w:space="0" w:color="auto"/>
        <w:right w:val="none" w:sz="0" w:space="0" w:color="auto"/>
      </w:divBdr>
    </w:div>
    <w:div w:id="1241328816">
      <w:bodyDiv w:val="1"/>
      <w:marLeft w:val="0"/>
      <w:marRight w:val="0"/>
      <w:marTop w:val="0"/>
      <w:marBottom w:val="0"/>
      <w:divBdr>
        <w:top w:val="none" w:sz="0" w:space="0" w:color="auto"/>
        <w:left w:val="none" w:sz="0" w:space="0" w:color="auto"/>
        <w:bottom w:val="none" w:sz="0" w:space="0" w:color="auto"/>
        <w:right w:val="none" w:sz="0" w:space="0" w:color="auto"/>
      </w:divBdr>
    </w:div>
    <w:div w:id="1241409889">
      <w:bodyDiv w:val="1"/>
      <w:marLeft w:val="0"/>
      <w:marRight w:val="0"/>
      <w:marTop w:val="0"/>
      <w:marBottom w:val="0"/>
      <w:divBdr>
        <w:top w:val="none" w:sz="0" w:space="0" w:color="auto"/>
        <w:left w:val="none" w:sz="0" w:space="0" w:color="auto"/>
        <w:bottom w:val="none" w:sz="0" w:space="0" w:color="auto"/>
        <w:right w:val="none" w:sz="0" w:space="0" w:color="auto"/>
      </w:divBdr>
    </w:div>
    <w:div w:id="1241910581">
      <w:bodyDiv w:val="1"/>
      <w:marLeft w:val="0"/>
      <w:marRight w:val="0"/>
      <w:marTop w:val="0"/>
      <w:marBottom w:val="0"/>
      <w:divBdr>
        <w:top w:val="none" w:sz="0" w:space="0" w:color="auto"/>
        <w:left w:val="none" w:sz="0" w:space="0" w:color="auto"/>
        <w:bottom w:val="none" w:sz="0" w:space="0" w:color="auto"/>
        <w:right w:val="none" w:sz="0" w:space="0" w:color="auto"/>
      </w:divBdr>
    </w:div>
    <w:div w:id="1242714004">
      <w:bodyDiv w:val="1"/>
      <w:marLeft w:val="0"/>
      <w:marRight w:val="0"/>
      <w:marTop w:val="0"/>
      <w:marBottom w:val="0"/>
      <w:divBdr>
        <w:top w:val="none" w:sz="0" w:space="0" w:color="auto"/>
        <w:left w:val="none" w:sz="0" w:space="0" w:color="auto"/>
        <w:bottom w:val="none" w:sz="0" w:space="0" w:color="auto"/>
        <w:right w:val="none" w:sz="0" w:space="0" w:color="auto"/>
      </w:divBdr>
    </w:div>
    <w:div w:id="1243368702">
      <w:bodyDiv w:val="1"/>
      <w:marLeft w:val="0"/>
      <w:marRight w:val="0"/>
      <w:marTop w:val="0"/>
      <w:marBottom w:val="0"/>
      <w:divBdr>
        <w:top w:val="none" w:sz="0" w:space="0" w:color="auto"/>
        <w:left w:val="none" w:sz="0" w:space="0" w:color="auto"/>
        <w:bottom w:val="none" w:sz="0" w:space="0" w:color="auto"/>
        <w:right w:val="none" w:sz="0" w:space="0" w:color="auto"/>
      </w:divBdr>
    </w:div>
    <w:div w:id="1243417920">
      <w:bodyDiv w:val="1"/>
      <w:marLeft w:val="0"/>
      <w:marRight w:val="0"/>
      <w:marTop w:val="0"/>
      <w:marBottom w:val="0"/>
      <w:divBdr>
        <w:top w:val="none" w:sz="0" w:space="0" w:color="auto"/>
        <w:left w:val="none" w:sz="0" w:space="0" w:color="auto"/>
        <w:bottom w:val="none" w:sz="0" w:space="0" w:color="auto"/>
        <w:right w:val="none" w:sz="0" w:space="0" w:color="auto"/>
      </w:divBdr>
    </w:div>
    <w:div w:id="1243485402">
      <w:bodyDiv w:val="1"/>
      <w:marLeft w:val="0"/>
      <w:marRight w:val="0"/>
      <w:marTop w:val="0"/>
      <w:marBottom w:val="0"/>
      <w:divBdr>
        <w:top w:val="none" w:sz="0" w:space="0" w:color="auto"/>
        <w:left w:val="none" w:sz="0" w:space="0" w:color="auto"/>
        <w:bottom w:val="none" w:sz="0" w:space="0" w:color="auto"/>
        <w:right w:val="none" w:sz="0" w:space="0" w:color="auto"/>
      </w:divBdr>
    </w:div>
    <w:div w:id="1244026944">
      <w:bodyDiv w:val="1"/>
      <w:marLeft w:val="0"/>
      <w:marRight w:val="0"/>
      <w:marTop w:val="0"/>
      <w:marBottom w:val="0"/>
      <w:divBdr>
        <w:top w:val="none" w:sz="0" w:space="0" w:color="auto"/>
        <w:left w:val="none" w:sz="0" w:space="0" w:color="auto"/>
        <w:bottom w:val="none" w:sz="0" w:space="0" w:color="auto"/>
        <w:right w:val="none" w:sz="0" w:space="0" w:color="auto"/>
      </w:divBdr>
    </w:div>
    <w:div w:id="1244755783">
      <w:bodyDiv w:val="1"/>
      <w:marLeft w:val="0"/>
      <w:marRight w:val="0"/>
      <w:marTop w:val="0"/>
      <w:marBottom w:val="0"/>
      <w:divBdr>
        <w:top w:val="none" w:sz="0" w:space="0" w:color="auto"/>
        <w:left w:val="none" w:sz="0" w:space="0" w:color="auto"/>
        <w:bottom w:val="none" w:sz="0" w:space="0" w:color="auto"/>
        <w:right w:val="none" w:sz="0" w:space="0" w:color="auto"/>
      </w:divBdr>
    </w:div>
    <w:div w:id="1245147768">
      <w:bodyDiv w:val="1"/>
      <w:marLeft w:val="0"/>
      <w:marRight w:val="0"/>
      <w:marTop w:val="0"/>
      <w:marBottom w:val="0"/>
      <w:divBdr>
        <w:top w:val="none" w:sz="0" w:space="0" w:color="auto"/>
        <w:left w:val="none" w:sz="0" w:space="0" w:color="auto"/>
        <w:bottom w:val="none" w:sz="0" w:space="0" w:color="auto"/>
        <w:right w:val="none" w:sz="0" w:space="0" w:color="auto"/>
      </w:divBdr>
    </w:div>
    <w:div w:id="1245532916">
      <w:bodyDiv w:val="1"/>
      <w:marLeft w:val="0"/>
      <w:marRight w:val="0"/>
      <w:marTop w:val="0"/>
      <w:marBottom w:val="0"/>
      <w:divBdr>
        <w:top w:val="none" w:sz="0" w:space="0" w:color="auto"/>
        <w:left w:val="none" w:sz="0" w:space="0" w:color="auto"/>
        <w:bottom w:val="none" w:sz="0" w:space="0" w:color="auto"/>
        <w:right w:val="none" w:sz="0" w:space="0" w:color="auto"/>
      </w:divBdr>
    </w:div>
    <w:div w:id="1245728086">
      <w:bodyDiv w:val="1"/>
      <w:marLeft w:val="0"/>
      <w:marRight w:val="0"/>
      <w:marTop w:val="0"/>
      <w:marBottom w:val="0"/>
      <w:divBdr>
        <w:top w:val="none" w:sz="0" w:space="0" w:color="auto"/>
        <w:left w:val="none" w:sz="0" w:space="0" w:color="auto"/>
        <w:bottom w:val="none" w:sz="0" w:space="0" w:color="auto"/>
        <w:right w:val="none" w:sz="0" w:space="0" w:color="auto"/>
      </w:divBdr>
    </w:div>
    <w:div w:id="1245801242">
      <w:bodyDiv w:val="1"/>
      <w:marLeft w:val="0"/>
      <w:marRight w:val="0"/>
      <w:marTop w:val="0"/>
      <w:marBottom w:val="0"/>
      <w:divBdr>
        <w:top w:val="none" w:sz="0" w:space="0" w:color="auto"/>
        <w:left w:val="none" w:sz="0" w:space="0" w:color="auto"/>
        <w:bottom w:val="none" w:sz="0" w:space="0" w:color="auto"/>
        <w:right w:val="none" w:sz="0" w:space="0" w:color="auto"/>
      </w:divBdr>
    </w:div>
    <w:div w:id="1246189181">
      <w:bodyDiv w:val="1"/>
      <w:marLeft w:val="0"/>
      <w:marRight w:val="0"/>
      <w:marTop w:val="0"/>
      <w:marBottom w:val="0"/>
      <w:divBdr>
        <w:top w:val="none" w:sz="0" w:space="0" w:color="auto"/>
        <w:left w:val="none" w:sz="0" w:space="0" w:color="auto"/>
        <w:bottom w:val="none" w:sz="0" w:space="0" w:color="auto"/>
        <w:right w:val="none" w:sz="0" w:space="0" w:color="auto"/>
      </w:divBdr>
    </w:div>
    <w:div w:id="1246378343">
      <w:bodyDiv w:val="1"/>
      <w:marLeft w:val="0"/>
      <w:marRight w:val="0"/>
      <w:marTop w:val="0"/>
      <w:marBottom w:val="0"/>
      <w:divBdr>
        <w:top w:val="none" w:sz="0" w:space="0" w:color="auto"/>
        <w:left w:val="none" w:sz="0" w:space="0" w:color="auto"/>
        <w:bottom w:val="none" w:sz="0" w:space="0" w:color="auto"/>
        <w:right w:val="none" w:sz="0" w:space="0" w:color="auto"/>
      </w:divBdr>
    </w:div>
    <w:div w:id="1247347142">
      <w:bodyDiv w:val="1"/>
      <w:marLeft w:val="0"/>
      <w:marRight w:val="0"/>
      <w:marTop w:val="0"/>
      <w:marBottom w:val="0"/>
      <w:divBdr>
        <w:top w:val="none" w:sz="0" w:space="0" w:color="auto"/>
        <w:left w:val="none" w:sz="0" w:space="0" w:color="auto"/>
        <w:bottom w:val="none" w:sz="0" w:space="0" w:color="auto"/>
        <w:right w:val="none" w:sz="0" w:space="0" w:color="auto"/>
      </w:divBdr>
    </w:div>
    <w:div w:id="1247421000">
      <w:bodyDiv w:val="1"/>
      <w:marLeft w:val="0"/>
      <w:marRight w:val="0"/>
      <w:marTop w:val="0"/>
      <w:marBottom w:val="0"/>
      <w:divBdr>
        <w:top w:val="none" w:sz="0" w:space="0" w:color="auto"/>
        <w:left w:val="none" w:sz="0" w:space="0" w:color="auto"/>
        <w:bottom w:val="none" w:sz="0" w:space="0" w:color="auto"/>
        <w:right w:val="none" w:sz="0" w:space="0" w:color="auto"/>
      </w:divBdr>
    </w:div>
    <w:div w:id="1247615385">
      <w:bodyDiv w:val="1"/>
      <w:marLeft w:val="0"/>
      <w:marRight w:val="0"/>
      <w:marTop w:val="0"/>
      <w:marBottom w:val="0"/>
      <w:divBdr>
        <w:top w:val="none" w:sz="0" w:space="0" w:color="auto"/>
        <w:left w:val="none" w:sz="0" w:space="0" w:color="auto"/>
        <w:bottom w:val="none" w:sz="0" w:space="0" w:color="auto"/>
        <w:right w:val="none" w:sz="0" w:space="0" w:color="auto"/>
      </w:divBdr>
    </w:div>
    <w:div w:id="1247762539">
      <w:bodyDiv w:val="1"/>
      <w:marLeft w:val="0"/>
      <w:marRight w:val="0"/>
      <w:marTop w:val="0"/>
      <w:marBottom w:val="0"/>
      <w:divBdr>
        <w:top w:val="none" w:sz="0" w:space="0" w:color="auto"/>
        <w:left w:val="none" w:sz="0" w:space="0" w:color="auto"/>
        <w:bottom w:val="none" w:sz="0" w:space="0" w:color="auto"/>
        <w:right w:val="none" w:sz="0" w:space="0" w:color="auto"/>
      </w:divBdr>
    </w:div>
    <w:div w:id="1248424335">
      <w:bodyDiv w:val="1"/>
      <w:marLeft w:val="0"/>
      <w:marRight w:val="0"/>
      <w:marTop w:val="0"/>
      <w:marBottom w:val="0"/>
      <w:divBdr>
        <w:top w:val="none" w:sz="0" w:space="0" w:color="auto"/>
        <w:left w:val="none" w:sz="0" w:space="0" w:color="auto"/>
        <w:bottom w:val="none" w:sz="0" w:space="0" w:color="auto"/>
        <w:right w:val="none" w:sz="0" w:space="0" w:color="auto"/>
      </w:divBdr>
    </w:div>
    <w:div w:id="1248611134">
      <w:bodyDiv w:val="1"/>
      <w:marLeft w:val="0"/>
      <w:marRight w:val="0"/>
      <w:marTop w:val="0"/>
      <w:marBottom w:val="0"/>
      <w:divBdr>
        <w:top w:val="none" w:sz="0" w:space="0" w:color="auto"/>
        <w:left w:val="none" w:sz="0" w:space="0" w:color="auto"/>
        <w:bottom w:val="none" w:sz="0" w:space="0" w:color="auto"/>
        <w:right w:val="none" w:sz="0" w:space="0" w:color="auto"/>
      </w:divBdr>
    </w:div>
    <w:div w:id="1248878334">
      <w:bodyDiv w:val="1"/>
      <w:marLeft w:val="0"/>
      <w:marRight w:val="0"/>
      <w:marTop w:val="0"/>
      <w:marBottom w:val="0"/>
      <w:divBdr>
        <w:top w:val="none" w:sz="0" w:space="0" w:color="auto"/>
        <w:left w:val="none" w:sz="0" w:space="0" w:color="auto"/>
        <w:bottom w:val="none" w:sz="0" w:space="0" w:color="auto"/>
        <w:right w:val="none" w:sz="0" w:space="0" w:color="auto"/>
      </w:divBdr>
    </w:div>
    <w:div w:id="1248996164">
      <w:bodyDiv w:val="1"/>
      <w:marLeft w:val="0"/>
      <w:marRight w:val="0"/>
      <w:marTop w:val="0"/>
      <w:marBottom w:val="0"/>
      <w:divBdr>
        <w:top w:val="none" w:sz="0" w:space="0" w:color="auto"/>
        <w:left w:val="none" w:sz="0" w:space="0" w:color="auto"/>
        <w:bottom w:val="none" w:sz="0" w:space="0" w:color="auto"/>
        <w:right w:val="none" w:sz="0" w:space="0" w:color="auto"/>
      </w:divBdr>
    </w:div>
    <w:div w:id="1249345149">
      <w:bodyDiv w:val="1"/>
      <w:marLeft w:val="0"/>
      <w:marRight w:val="0"/>
      <w:marTop w:val="0"/>
      <w:marBottom w:val="0"/>
      <w:divBdr>
        <w:top w:val="none" w:sz="0" w:space="0" w:color="auto"/>
        <w:left w:val="none" w:sz="0" w:space="0" w:color="auto"/>
        <w:bottom w:val="none" w:sz="0" w:space="0" w:color="auto"/>
        <w:right w:val="none" w:sz="0" w:space="0" w:color="auto"/>
      </w:divBdr>
    </w:div>
    <w:div w:id="1250041960">
      <w:bodyDiv w:val="1"/>
      <w:marLeft w:val="0"/>
      <w:marRight w:val="0"/>
      <w:marTop w:val="0"/>
      <w:marBottom w:val="0"/>
      <w:divBdr>
        <w:top w:val="none" w:sz="0" w:space="0" w:color="auto"/>
        <w:left w:val="none" w:sz="0" w:space="0" w:color="auto"/>
        <w:bottom w:val="none" w:sz="0" w:space="0" w:color="auto"/>
        <w:right w:val="none" w:sz="0" w:space="0" w:color="auto"/>
      </w:divBdr>
    </w:div>
    <w:div w:id="1251233281">
      <w:bodyDiv w:val="1"/>
      <w:marLeft w:val="0"/>
      <w:marRight w:val="0"/>
      <w:marTop w:val="0"/>
      <w:marBottom w:val="0"/>
      <w:divBdr>
        <w:top w:val="none" w:sz="0" w:space="0" w:color="auto"/>
        <w:left w:val="none" w:sz="0" w:space="0" w:color="auto"/>
        <w:bottom w:val="none" w:sz="0" w:space="0" w:color="auto"/>
        <w:right w:val="none" w:sz="0" w:space="0" w:color="auto"/>
      </w:divBdr>
    </w:div>
    <w:div w:id="1251234742">
      <w:bodyDiv w:val="1"/>
      <w:marLeft w:val="0"/>
      <w:marRight w:val="0"/>
      <w:marTop w:val="0"/>
      <w:marBottom w:val="0"/>
      <w:divBdr>
        <w:top w:val="none" w:sz="0" w:space="0" w:color="auto"/>
        <w:left w:val="none" w:sz="0" w:space="0" w:color="auto"/>
        <w:bottom w:val="none" w:sz="0" w:space="0" w:color="auto"/>
        <w:right w:val="none" w:sz="0" w:space="0" w:color="auto"/>
      </w:divBdr>
    </w:div>
    <w:div w:id="1252351662">
      <w:bodyDiv w:val="1"/>
      <w:marLeft w:val="0"/>
      <w:marRight w:val="0"/>
      <w:marTop w:val="0"/>
      <w:marBottom w:val="0"/>
      <w:divBdr>
        <w:top w:val="none" w:sz="0" w:space="0" w:color="auto"/>
        <w:left w:val="none" w:sz="0" w:space="0" w:color="auto"/>
        <w:bottom w:val="none" w:sz="0" w:space="0" w:color="auto"/>
        <w:right w:val="none" w:sz="0" w:space="0" w:color="auto"/>
      </w:divBdr>
    </w:div>
    <w:div w:id="1252734078">
      <w:bodyDiv w:val="1"/>
      <w:marLeft w:val="0"/>
      <w:marRight w:val="0"/>
      <w:marTop w:val="0"/>
      <w:marBottom w:val="0"/>
      <w:divBdr>
        <w:top w:val="none" w:sz="0" w:space="0" w:color="auto"/>
        <w:left w:val="none" w:sz="0" w:space="0" w:color="auto"/>
        <w:bottom w:val="none" w:sz="0" w:space="0" w:color="auto"/>
        <w:right w:val="none" w:sz="0" w:space="0" w:color="auto"/>
      </w:divBdr>
    </w:div>
    <w:div w:id="1252855259">
      <w:bodyDiv w:val="1"/>
      <w:marLeft w:val="0"/>
      <w:marRight w:val="0"/>
      <w:marTop w:val="0"/>
      <w:marBottom w:val="0"/>
      <w:divBdr>
        <w:top w:val="none" w:sz="0" w:space="0" w:color="auto"/>
        <w:left w:val="none" w:sz="0" w:space="0" w:color="auto"/>
        <w:bottom w:val="none" w:sz="0" w:space="0" w:color="auto"/>
        <w:right w:val="none" w:sz="0" w:space="0" w:color="auto"/>
      </w:divBdr>
    </w:div>
    <w:div w:id="1253129316">
      <w:bodyDiv w:val="1"/>
      <w:marLeft w:val="0"/>
      <w:marRight w:val="0"/>
      <w:marTop w:val="0"/>
      <w:marBottom w:val="0"/>
      <w:divBdr>
        <w:top w:val="none" w:sz="0" w:space="0" w:color="auto"/>
        <w:left w:val="none" w:sz="0" w:space="0" w:color="auto"/>
        <w:bottom w:val="none" w:sz="0" w:space="0" w:color="auto"/>
        <w:right w:val="none" w:sz="0" w:space="0" w:color="auto"/>
      </w:divBdr>
    </w:div>
    <w:div w:id="1253277615">
      <w:bodyDiv w:val="1"/>
      <w:marLeft w:val="0"/>
      <w:marRight w:val="0"/>
      <w:marTop w:val="0"/>
      <w:marBottom w:val="0"/>
      <w:divBdr>
        <w:top w:val="none" w:sz="0" w:space="0" w:color="auto"/>
        <w:left w:val="none" w:sz="0" w:space="0" w:color="auto"/>
        <w:bottom w:val="none" w:sz="0" w:space="0" w:color="auto"/>
        <w:right w:val="none" w:sz="0" w:space="0" w:color="auto"/>
      </w:divBdr>
    </w:div>
    <w:div w:id="1253587332">
      <w:bodyDiv w:val="1"/>
      <w:marLeft w:val="0"/>
      <w:marRight w:val="0"/>
      <w:marTop w:val="0"/>
      <w:marBottom w:val="0"/>
      <w:divBdr>
        <w:top w:val="none" w:sz="0" w:space="0" w:color="auto"/>
        <w:left w:val="none" w:sz="0" w:space="0" w:color="auto"/>
        <w:bottom w:val="none" w:sz="0" w:space="0" w:color="auto"/>
        <w:right w:val="none" w:sz="0" w:space="0" w:color="auto"/>
      </w:divBdr>
    </w:div>
    <w:div w:id="1253589406">
      <w:bodyDiv w:val="1"/>
      <w:marLeft w:val="0"/>
      <w:marRight w:val="0"/>
      <w:marTop w:val="0"/>
      <w:marBottom w:val="0"/>
      <w:divBdr>
        <w:top w:val="none" w:sz="0" w:space="0" w:color="auto"/>
        <w:left w:val="none" w:sz="0" w:space="0" w:color="auto"/>
        <w:bottom w:val="none" w:sz="0" w:space="0" w:color="auto"/>
        <w:right w:val="none" w:sz="0" w:space="0" w:color="auto"/>
      </w:divBdr>
    </w:div>
    <w:div w:id="1254513883">
      <w:bodyDiv w:val="1"/>
      <w:marLeft w:val="0"/>
      <w:marRight w:val="0"/>
      <w:marTop w:val="0"/>
      <w:marBottom w:val="0"/>
      <w:divBdr>
        <w:top w:val="none" w:sz="0" w:space="0" w:color="auto"/>
        <w:left w:val="none" w:sz="0" w:space="0" w:color="auto"/>
        <w:bottom w:val="none" w:sz="0" w:space="0" w:color="auto"/>
        <w:right w:val="none" w:sz="0" w:space="0" w:color="auto"/>
      </w:divBdr>
    </w:div>
    <w:div w:id="1254707130">
      <w:bodyDiv w:val="1"/>
      <w:marLeft w:val="0"/>
      <w:marRight w:val="0"/>
      <w:marTop w:val="0"/>
      <w:marBottom w:val="0"/>
      <w:divBdr>
        <w:top w:val="none" w:sz="0" w:space="0" w:color="auto"/>
        <w:left w:val="none" w:sz="0" w:space="0" w:color="auto"/>
        <w:bottom w:val="none" w:sz="0" w:space="0" w:color="auto"/>
        <w:right w:val="none" w:sz="0" w:space="0" w:color="auto"/>
      </w:divBdr>
    </w:div>
    <w:div w:id="1254776288">
      <w:bodyDiv w:val="1"/>
      <w:marLeft w:val="0"/>
      <w:marRight w:val="0"/>
      <w:marTop w:val="0"/>
      <w:marBottom w:val="0"/>
      <w:divBdr>
        <w:top w:val="none" w:sz="0" w:space="0" w:color="auto"/>
        <w:left w:val="none" w:sz="0" w:space="0" w:color="auto"/>
        <w:bottom w:val="none" w:sz="0" w:space="0" w:color="auto"/>
        <w:right w:val="none" w:sz="0" w:space="0" w:color="auto"/>
      </w:divBdr>
    </w:div>
    <w:div w:id="1255360869">
      <w:bodyDiv w:val="1"/>
      <w:marLeft w:val="0"/>
      <w:marRight w:val="0"/>
      <w:marTop w:val="0"/>
      <w:marBottom w:val="0"/>
      <w:divBdr>
        <w:top w:val="none" w:sz="0" w:space="0" w:color="auto"/>
        <w:left w:val="none" w:sz="0" w:space="0" w:color="auto"/>
        <w:bottom w:val="none" w:sz="0" w:space="0" w:color="auto"/>
        <w:right w:val="none" w:sz="0" w:space="0" w:color="auto"/>
      </w:divBdr>
    </w:div>
    <w:div w:id="1256011378">
      <w:bodyDiv w:val="1"/>
      <w:marLeft w:val="0"/>
      <w:marRight w:val="0"/>
      <w:marTop w:val="0"/>
      <w:marBottom w:val="0"/>
      <w:divBdr>
        <w:top w:val="none" w:sz="0" w:space="0" w:color="auto"/>
        <w:left w:val="none" w:sz="0" w:space="0" w:color="auto"/>
        <w:bottom w:val="none" w:sz="0" w:space="0" w:color="auto"/>
        <w:right w:val="none" w:sz="0" w:space="0" w:color="auto"/>
      </w:divBdr>
    </w:div>
    <w:div w:id="1256667231">
      <w:bodyDiv w:val="1"/>
      <w:marLeft w:val="0"/>
      <w:marRight w:val="0"/>
      <w:marTop w:val="0"/>
      <w:marBottom w:val="0"/>
      <w:divBdr>
        <w:top w:val="none" w:sz="0" w:space="0" w:color="auto"/>
        <w:left w:val="none" w:sz="0" w:space="0" w:color="auto"/>
        <w:bottom w:val="none" w:sz="0" w:space="0" w:color="auto"/>
        <w:right w:val="none" w:sz="0" w:space="0" w:color="auto"/>
      </w:divBdr>
    </w:div>
    <w:div w:id="1257012936">
      <w:bodyDiv w:val="1"/>
      <w:marLeft w:val="0"/>
      <w:marRight w:val="0"/>
      <w:marTop w:val="0"/>
      <w:marBottom w:val="0"/>
      <w:divBdr>
        <w:top w:val="none" w:sz="0" w:space="0" w:color="auto"/>
        <w:left w:val="none" w:sz="0" w:space="0" w:color="auto"/>
        <w:bottom w:val="none" w:sz="0" w:space="0" w:color="auto"/>
        <w:right w:val="none" w:sz="0" w:space="0" w:color="auto"/>
      </w:divBdr>
    </w:div>
    <w:div w:id="1257636051">
      <w:bodyDiv w:val="1"/>
      <w:marLeft w:val="0"/>
      <w:marRight w:val="0"/>
      <w:marTop w:val="0"/>
      <w:marBottom w:val="0"/>
      <w:divBdr>
        <w:top w:val="none" w:sz="0" w:space="0" w:color="auto"/>
        <w:left w:val="none" w:sz="0" w:space="0" w:color="auto"/>
        <w:bottom w:val="none" w:sz="0" w:space="0" w:color="auto"/>
        <w:right w:val="none" w:sz="0" w:space="0" w:color="auto"/>
      </w:divBdr>
    </w:div>
    <w:div w:id="1257792410">
      <w:bodyDiv w:val="1"/>
      <w:marLeft w:val="0"/>
      <w:marRight w:val="0"/>
      <w:marTop w:val="0"/>
      <w:marBottom w:val="0"/>
      <w:divBdr>
        <w:top w:val="none" w:sz="0" w:space="0" w:color="auto"/>
        <w:left w:val="none" w:sz="0" w:space="0" w:color="auto"/>
        <w:bottom w:val="none" w:sz="0" w:space="0" w:color="auto"/>
        <w:right w:val="none" w:sz="0" w:space="0" w:color="auto"/>
      </w:divBdr>
    </w:div>
    <w:div w:id="1257984399">
      <w:bodyDiv w:val="1"/>
      <w:marLeft w:val="0"/>
      <w:marRight w:val="0"/>
      <w:marTop w:val="0"/>
      <w:marBottom w:val="0"/>
      <w:divBdr>
        <w:top w:val="none" w:sz="0" w:space="0" w:color="auto"/>
        <w:left w:val="none" w:sz="0" w:space="0" w:color="auto"/>
        <w:bottom w:val="none" w:sz="0" w:space="0" w:color="auto"/>
        <w:right w:val="none" w:sz="0" w:space="0" w:color="auto"/>
      </w:divBdr>
    </w:div>
    <w:div w:id="1258709109">
      <w:bodyDiv w:val="1"/>
      <w:marLeft w:val="0"/>
      <w:marRight w:val="0"/>
      <w:marTop w:val="0"/>
      <w:marBottom w:val="0"/>
      <w:divBdr>
        <w:top w:val="none" w:sz="0" w:space="0" w:color="auto"/>
        <w:left w:val="none" w:sz="0" w:space="0" w:color="auto"/>
        <w:bottom w:val="none" w:sz="0" w:space="0" w:color="auto"/>
        <w:right w:val="none" w:sz="0" w:space="0" w:color="auto"/>
      </w:divBdr>
    </w:div>
    <w:div w:id="1258825620">
      <w:bodyDiv w:val="1"/>
      <w:marLeft w:val="0"/>
      <w:marRight w:val="0"/>
      <w:marTop w:val="0"/>
      <w:marBottom w:val="0"/>
      <w:divBdr>
        <w:top w:val="none" w:sz="0" w:space="0" w:color="auto"/>
        <w:left w:val="none" w:sz="0" w:space="0" w:color="auto"/>
        <w:bottom w:val="none" w:sz="0" w:space="0" w:color="auto"/>
        <w:right w:val="none" w:sz="0" w:space="0" w:color="auto"/>
      </w:divBdr>
    </w:div>
    <w:div w:id="1259602109">
      <w:bodyDiv w:val="1"/>
      <w:marLeft w:val="0"/>
      <w:marRight w:val="0"/>
      <w:marTop w:val="0"/>
      <w:marBottom w:val="0"/>
      <w:divBdr>
        <w:top w:val="none" w:sz="0" w:space="0" w:color="auto"/>
        <w:left w:val="none" w:sz="0" w:space="0" w:color="auto"/>
        <w:bottom w:val="none" w:sz="0" w:space="0" w:color="auto"/>
        <w:right w:val="none" w:sz="0" w:space="0" w:color="auto"/>
      </w:divBdr>
    </w:div>
    <w:div w:id="1260406582">
      <w:bodyDiv w:val="1"/>
      <w:marLeft w:val="0"/>
      <w:marRight w:val="0"/>
      <w:marTop w:val="0"/>
      <w:marBottom w:val="0"/>
      <w:divBdr>
        <w:top w:val="none" w:sz="0" w:space="0" w:color="auto"/>
        <w:left w:val="none" w:sz="0" w:space="0" w:color="auto"/>
        <w:bottom w:val="none" w:sz="0" w:space="0" w:color="auto"/>
        <w:right w:val="none" w:sz="0" w:space="0" w:color="auto"/>
      </w:divBdr>
    </w:div>
    <w:div w:id="1260603795">
      <w:bodyDiv w:val="1"/>
      <w:marLeft w:val="0"/>
      <w:marRight w:val="0"/>
      <w:marTop w:val="0"/>
      <w:marBottom w:val="0"/>
      <w:divBdr>
        <w:top w:val="none" w:sz="0" w:space="0" w:color="auto"/>
        <w:left w:val="none" w:sz="0" w:space="0" w:color="auto"/>
        <w:bottom w:val="none" w:sz="0" w:space="0" w:color="auto"/>
        <w:right w:val="none" w:sz="0" w:space="0" w:color="auto"/>
      </w:divBdr>
    </w:div>
    <w:div w:id="1260680772">
      <w:bodyDiv w:val="1"/>
      <w:marLeft w:val="0"/>
      <w:marRight w:val="0"/>
      <w:marTop w:val="0"/>
      <w:marBottom w:val="0"/>
      <w:divBdr>
        <w:top w:val="none" w:sz="0" w:space="0" w:color="auto"/>
        <w:left w:val="none" w:sz="0" w:space="0" w:color="auto"/>
        <w:bottom w:val="none" w:sz="0" w:space="0" w:color="auto"/>
        <w:right w:val="none" w:sz="0" w:space="0" w:color="auto"/>
      </w:divBdr>
    </w:div>
    <w:div w:id="1260719065">
      <w:bodyDiv w:val="1"/>
      <w:marLeft w:val="0"/>
      <w:marRight w:val="0"/>
      <w:marTop w:val="0"/>
      <w:marBottom w:val="0"/>
      <w:divBdr>
        <w:top w:val="none" w:sz="0" w:space="0" w:color="auto"/>
        <w:left w:val="none" w:sz="0" w:space="0" w:color="auto"/>
        <w:bottom w:val="none" w:sz="0" w:space="0" w:color="auto"/>
        <w:right w:val="none" w:sz="0" w:space="0" w:color="auto"/>
      </w:divBdr>
    </w:div>
    <w:div w:id="1261256655">
      <w:bodyDiv w:val="1"/>
      <w:marLeft w:val="0"/>
      <w:marRight w:val="0"/>
      <w:marTop w:val="0"/>
      <w:marBottom w:val="0"/>
      <w:divBdr>
        <w:top w:val="none" w:sz="0" w:space="0" w:color="auto"/>
        <w:left w:val="none" w:sz="0" w:space="0" w:color="auto"/>
        <w:bottom w:val="none" w:sz="0" w:space="0" w:color="auto"/>
        <w:right w:val="none" w:sz="0" w:space="0" w:color="auto"/>
      </w:divBdr>
    </w:div>
    <w:div w:id="1261262037">
      <w:bodyDiv w:val="1"/>
      <w:marLeft w:val="0"/>
      <w:marRight w:val="0"/>
      <w:marTop w:val="0"/>
      <w:marBottom w:val="0"/>
      <w:divBdr>
        <w:top w:val="none" w:sz="0" w:space="0" w:color="auto"/>
        <w:left w:val="none" w:sz="0" w:space="0" w:color="auto"/>
        <w:bottom w:val="none" w:sz="0" w:space="0" w:color="auto"/>
        <w:right w:val="none" w:sz="0" w:space="0" w:color="auto"/>
      </w:divBdr>
    </w:div>
    <w:div w:id="1261445673">
      <w:bodyDiv w:val="1"/>
      <w:marLeft w:val="0"/>
      <w:marRight w:val="0"/>
      <w:marTop w:val="0"/>
      <w:marBottom w:val="0"/>
      <w:divBdr>
        <w:top w:val="none" w:sz="0" w:space="0" w:color="auto"/>
        <w:left w:val="none" w:sz="0" w:space="0" w:color="auto"/>
        <w:bottom w:val="none" w:sz="0" w:space="0" w:color="auto"/>
        <w:right w:val="none" w:sz="0" w:space="0" w:color="auto"/>
      </w:divBdr>
    </w:div>
    <w:div w:id="1261641238">
      <w:bodyDiv w:val="1"/>
      <w:marLeft w:val="0"/>
      <w:marRight w:val="0"/>
      <w:marTop w:val="0"/>
      <w:marBottom w:val="0"/>
      <w:divBdr>
        <w:top w:val="none" w:sz="0" w:space="0" w:color="auto"/>
        <w:left w:val="none" w:sz="0" w:space="0" w:color="auto"/>
        <w:bottom w:val="none" w:sz="0" w:space="0" w:color="auto"/>
        <w:right w:val="none" w:sz="0" w:space="0" w:color="auto"/>
      </w:divBdr>
    </w:div>
    <w:div w:id="1261839792">
      <w:bodyDiv w:val="1"/>
      <w:marLeft w:val="0"/>
      <w:marRight w:val="0"/>
      <w:marTop w:val="0"/>
      <w:marBottom w:val="0"/>
      <w:divBdr>
        <w:top w:val="none" w:sz="0" w:space="0" w:color="auto"/>
        <w:left w:val="none" w:sz="0" w:space="0" w:color="auto"/>
        <w:bottom w:val="none" w:sz="0" w:space="0" w:color="auto"/>
        <w:right w:val="none" w:sz="0" w:space="0" w:color="auto"/>
      </w:divBdr>
    </w:div>
    <w:div w:id="1262107756">
      <w:bodyDiv w:val="1"/>
      <w:marLeft w:val="0"/>
      <w:marRight w:val="0"/>
      <w:marTop w:val="0"/>
      <w:marBottom w:val="0"/>
      <w:divBdr>
        <w:top w:val="none" w:sz="0" w:space="0" w:color="auto"/>
        <w:left w:val="none" w:sz="0" w:space="0" w:color="auto"/>
        <w:bottom w:val="none" w:sz="0" w:space="0" w:color="auto"/>
        <w:right w:val="none" w:sz="0" w:space="0" w:color="auto"/>
      </w:divBdr>
    </w:div>
    <w:div w:id="1262180526">
      <w:bodyDiv w:val="1"/>
      <w:marLeft w:val="0"/>
      <w:marRight w:val="0"/>
      <w:marTop w:val="0"/>
      <w:marBottom w:val="0"/>
      <w:divBdr>
        <w:top w:val="none" w:sz="0" w:space="0" w:color="auto"/>
        <w:left w:val="none" w:sz="0" w:space="0" w:color="auto"/>
        <w:bottom w:val="none" w:sz="0" w:space="0" w:color="auto"/>
        <w:right w:val="none" w:sz="0" w:space="0" w:color="auto"/>
      </w:divBdr>
    </w:div>
    <w:div w:id="1262839083">
      <w:bodyDiv w:val="1"/>
      <w:marLeft w:val="0"/>
      <w:marRight w:val="0"/>
      <w:marTop w:val="0"/>
      <w:marBottom w:val="0"/>
      <w:divBdr>
        <w:top w:val="none" w:sz="0" w:space="0" w:color="auto"/>
        <w:left w:val="none" w:sz="0" w:space="0" w:color="auto"/>
        <w:bottom w:val="none" w:sz="0" w:space="0" w:color="auto"/>
        <w:right w:val="none" w:sz="0" w:space="0" w:color="auto"/>
      </w:divBdr>
    </w:div>
    <w:div w:id="1263030798">
      <w:bodyDiv w:val="1"/>
      <w:marLeft w:val="0"/>
      <w:marRight w:val="0"/>
      <w:marTop w:val="0"/>
      <w:marBottom w:val="0"/>
      <w:divBdr>
        <w:top w:val="none" w:sz="0" w:space="0" w:color="auto"/>
        <w:left w:val="none" w:sz="0" w:space="0" w:color="auto"/>
        <w:bottom w:val="none" w:sz="0" w:space="0" w:color="auto"/>
        <w:right w:val="none" w:sz="0" w:space="0" w:color="auto"/>
      </w:divBdr>
    </w:div>
    <w:div w:id="1263488586">
      <w:bodyDiv w:val="1"/>
      <w:marLeft w:val="0"/>
      <w:marRight w:val="0"/>
      <w:marTop w:val="0"/>
      <w:marBottom w:val="0"/>
      <w:divBdr>
        <w:top w:val="none" w:sz="0" w:space="0" w:color="auto"/>
        <w:left w:val="none" w:sz="0" w:space="0" w:color="auto"/>
        <w:bottom w:val="none" w:sz="0" w:space="0" w:color="auto"/>
        <w:right w:val="none" w:sz="0" w:space="0" w:color="auto"/>
      </w:divBdr>
    </w:div>
    <w:div w:id="1263761874">
      <w:bodyDiv w:val="1"/>
      <w:marLeft w:val="0"/>
      <w:marRight w:val="0"/>
      <w:marTop w:val="0"/>
      <w:marBottom w:val="0"/>
      <w:divBdr>
        <w:top w:val="none" w:sz="0" w:space="0" w:color="auto"/>
        <w:left w:val="none" w:sz="0" w:space="0" w:color="auto"/>
        <w:bottom w:val="none" w:sz="0" w:space="0" w:color="auto"/>
        <w:right w:val="none" w:sz="0" w:space="0" w:color="auto"/>
      </w:divBdr>
    </w:div>
    <w:div w:id="1264221796">
      <w:bodyDiv w:val="1"/>
      <w:marLeft w:val="0"/>
      <w:marRight w:val="0"/>
      <w:marTop w:val="0"/>
      <w:marBottom w:val="0"/>
      <w:divBdr>
        <w:top w:val="none" w:sz="0" w:space="0" w:color="auto"/>
        <w:left w:val="none" w:sz="0" w:space="0" w:color="auto"/>
        <w:bottom w:val="none" w:sz="0" w:space="0" w:color="auto"/>
        <w:right w:val="none" w:sz="0" w:space="0" w:color="auto"/>
      </w:divBdr>
    </w:div>
    <w:div w:id="1264344269">
      <w:bodyDiv w:val="1"/>
      <w:marLeft w:val="0"/>
      <w:marRight w:val="0"/>
      <w:marTop w:val="0"/>
      <w:marBottom w:val="0"/>
      <w:divBdr>
        <w:top w:val="none" w:sz="0" w:space="0" w:color="auto"/>
        <w:left w:val="none" w:sz="0" w:space="0" w:color="auto"/>
        <w:bottom w:val="none" w:sz="0" w:space="0" w:color="auto"/>
        <w:right w:val="none" w:sz="0" w:space="0" w:color="auto"/>
      </w:divBdr>
    </w:div>
    <w:div w:id="1264455292">
      <w:bodyDiv w:val="1"/>
      <w:marLeft w:val="0"/>
      <w:marRight w:val="0"/>
      <w:marTop w:val="0"/>
      <w:marBottom w:val="0"/>
      <w:divBdr>
        <w:top w:val="none" w:sz="0" w:space="0" w:color="auto"/>
        <w:left w:val="none" w:sz="0" w:space="0" w:color="auto"/>
        <w:bottom w:val="none" w:sz="0" w:space="0" w:color="auto"/>
        <w:right w:val="none" w:sz="0" w:space="0" w:color="auto"/>
      </w:divBdr>
    </w:div>
    <w:div w:id="1264609305">
      <w:bodyDiv w:val="1"/>
      <w:marLeft w:val="0"/>
      <w:marRight w:val="0"/>
      <w:marTop w:val="0"/>
      <w:marBottom w:val="0"/>
      <w:divBdr>
        <w:top w:val="none" w:sz="0" w:space="0" w:color="auto"/>
        <w:left w:val="none" w:sz="0" w:space="0" w:color="auto"/>
        <w:bottom w:val="none" w:sz="0" w:space="0" w:color="auto"/>
        <w:right w:val="none" w:sz="0" w:space="0" w:color="auto"/>
      </w:divBdr>
    </w:div>
    <w:div w:id="1264844841">
      <w:bodyDiv w:val="1"/>
      <w:marLeft w:val="0"/>
      <w:marRight w:val="0"/>
      <w:marTop w:val="0"/>
      <w:marBottom w:val="0"/>
      <w:divBdr>
        <w:top w:val="none" w:sz="0" w:space="0" w:color="auto"/>
        <w:left w:val="none" w:sz="0" w:space="0" w:color="auto"/>
        <w:bottom w:val="none" w:sz="0" w:space="0" w:color="auto"/>
        <w:right w:val="none" w:sz="0" w:space="0" w:color="auto"/>
      </w:divBdr>
    </w:div>
    <w:div w:id="1264846729">
      <w:bodyDiv w:val="1"/>
      <w:marLeft w:val="0"/>
      <w:marRight w:val="0"/>
      <w:marTop w:val="0"/>
      <w:marBottom w:val="0"/>
      <w:divBdr>
        <w:top w:val="none" w:sz="0" w:space="0" w:color="auto"/>
        <w:left w:val="none" w:sz="0" w:space="0" w:color="auto"/>
        <w:bottom w:val="none" w:sz="0" w:space="0" w:color="auto"/>
        <w:right w:val="none" w:sz="0" w:space="0" w:color="auto"/>
      </w:divBdr>
    </w:div>
    <w:div w:id="1264916470">
      <w:bodyDiv w:val="1"/>
      <w:marLeft w:val="0"/>
      <w:marRight w:val="0"/>
      <w:marTop w:val="0"/>
      <w:marBottom w:val="0"/>
      <w:divBdr>
        <w:top w:val="none" w:sz="0" w:space="0" w:color="auto"/>
        <w:left w:val="none" w:sz="0" w:space="0" w:color="auto"/>
        <w:bottom w:val="none" w:sz="0" w:space="0" w:color="auto"/>
        <w:right w:val="none" w:sz="0" w:space="0" w:color="auto"/>
      </w:divBdr>
    </w:div>
    <w:div w:id="1265260059">
      <w:bodyDiv w:val="1"/>
      <w:marLeft w:val="0"/>
      <w:marRight w:val="0"/>
      <w:marTop w:val="0"/>
      <w:marBottom w:val="0"/>
      <w:divBdr>
        <w:top w:val="none" w:sz="0" w:space="0" w:color="auto"/>
        <w:left w:val="none" w:sz="0" w:space="0" w:color="auto"/>
        <w:bottom w:val="none" w:sz="0" w:space="0" w:color="auto"/>
        <w:right w:val="none" w:sz="0" w:space="0" w:color="auto"/>
      </w:divBdr>
    </w:div>
    <w:div w:id="1265771763">
      <w:bodyDiv w:val="1"/>
      <w:marLeft w:val="0"/>
      <w:marRight w:val="0"/>
      <w:marTop w:val="0"/>
      <w:marBottom w:val="0"/>
      <w:divBdr>
        <w:top w:val="none" w:sz="0" w:space="0" w:color="auto"/>
        <w:left w:val="none" w:sz="0" w:space="0" w:color="auto"/>
        <w:bottom w:val="none" w:sz="0" w:space="0" w:color="auto"/>
        <w:right w:val="none" w:sz="0" w:space="0" w:color="auto"/>
      </w:divBdr>
    </w:div>
    <w:div w:id="1267230734">
      <w:bodyDiv w:val="1"/>
      <w:marLeft w:val="0"/>
      <w:marRight w:val="0"/>
      <w:marTop w:val="0"/>
      <w:marBottom w:val="0"/>
      <w:divBdr>
        <w:top w:val="none" w:sz="0" w:space="0" w:color="auto"/>
        <w:left w:val="none" w:sz="0" w:space="0" w:color="auto"/>
        <w:bottom w:val="none" w:sz="0" w:space="0" w:color="auto"/>
        <w:right w:val="none" w:sz="0" w:space="0" w:color="auto"/>
      </w:divBdr>
    </w:div>
    <w:div w:id="1267343974">
      <w:bodyDiv w:val="1"/>
      <w:marLeft w:val="0"/>
      <w:marRight w:val="0"/>
      <w:marTop w:val="0"/>
      <w:marBottom w:val="0"/>
      <w:divBdr>
        <w:top w:val="none" w:sz="0" w:space="0" w:color="auto"/>
        <w:left w:val="none" w:sz="0" w:space="0" w:color="auto"/>
        <w:bottom w:val="none" w:sz="0" w:space="0" w:color="auto"/>
        <w:right w:val="none" w:sz="0" w:space="0" w:color="auto"/>
      </w:divBdr>
    </w:div>
    <w:div w:id="1267352791">
      <w:bodyDiv w:val="1"/>
      <w:marLeft w:val="0"/>
      <w:marRight w:val="0"/>
      <w:marTop w:val="0"/>
      <w:marBottom w:val="0"/>
      <w:divBdr>
        <w:top w:val="none" w:sz="0" w:space="0" w:color="auto"/>
        <w:left w:val="none" w:sz="0" w:space="0" w:color="auto"/>
        <w:bottom w:val="none" w:sz="0" w:space="0" w:color="auto"/>
        <w:right w:val="none" w:sz="0" w:space="0" w:color="auto"/>
      </w:divBdr>
    </w:div>
    <w:div w:id="1267690548">
      <w:bodyDiv w:val="1"/>
      <w:marLeft w:val="0"/>
      <w:marRight w:val="0"/>
      <w:marTop w:val="0"/>
      <w:marBottom w:val="0"/>
      <w:divBdr>
        <w:top w:val="none" w:sz="0" w:space="0" w:color="auto"/>
        <w:left w:val="none" w:sz="0" w:space="0" w:color="auto"/>
        <w:bottom w:val="none" w:sz="0" w:space="0" w:color="auto"/>
        <w:right w:val="none" w:sz="0" w:space="0" w:color="auto"/>
      </w:divBdr>
    </w:div>
    <w:div w:id="1268345640">
      <w:bodyDiv w:val="1"/>
      <w:marLeft w:val="0"/>
      <w:marRight w:val="0"/>
      <w:marTop w:val="0"/>
      <w:marBottom w:val="0"/>
      <w:divBdr>
        <w:top w:val="none" w:sz="0" w:space="0" w:color="auto"/>
        <w:left w:val="none" w:sz="0" w:space="0" w:color="auto"/>
        <w:bottom w:val="none" w:sz="0" w:space="0" w:color="auto"/>
        <w:right w:val="none" w:sz="0" w:space="0" w:color="auto"/>
      </w:divBdr>
    </w:div>
    <w:div w:id="1268930104">
      <w:bodyDiv w:val="1"/>
      <w:marLeft w:val="0"/>
      <w:marRight w:val="0"/>
      <w:marTop w:val="0"/>
      <w:marBottom w:val="0"/>
      <w:divBdr>
        <w:top w:val="none" w:sz="0" w:space="0" w:color="auto"/>
        <w:left w:val="none" w:sz="0" w:space="0" w:color="auto"/>
        <w:bottom w:val="none" w:sz="0" w:space="0" w:color="auto"/>
        <w:right w:val="none" w:sz="0" w:space="0" w:color="auto"/>
      </w:divBdr>
    </w:div>
    <w:div w:id="1269697205">
      <w:bodyDiv w:val="1"/>
      <w:marLeft w:val="0"/>
      <w:marRight w:val="0"/>
      <w:marTop w:val="0"/>
      <w:marBottom w:val="0"/>
      <w:divBdr>
        <w:top w:val="none" w:sz="0" w:space="0" w:color="auto"/>
        <w:left w:val="none" w:sz="0" w:space="0" w:color="auto"/>
        <w:bottom w:val="none" w:sz="0" w:space="0" w:color="auto"/>
        <w:right w:val="none" w:sz="0" w:space="0" w:color="auto"/>
      </w:divBdr>
    </w:div>
    <w:div w:id="1270355547">
      <w:bodyDiv w:val="1"/>
      <w:marLeft w:val="0"/>
      <w:marRight w:val="0"/>
      <w:marTop w:val="0"/>
      <w:marBottom w:val="0"/>
      <w:divBdr>
        <w:top w:val="none" w:sz="0" w:space="0" w:color="auto"/>
        <w:left w:val="none" w:sz="0" w:space="0" w:color="auto"/>
        <w:bottom w:val="none" w:sz="0" w:space="0" w:color="auto"/>
        <w:right w:val="none" w:sz="0" w:space="0" w:color="auto"/>
      </w:divBdr>
    </w:div>
    <w:div w:id="1270896277">
      <w:bodyDiv w:val="1"/>
      <w:marLeft w:val="0"/>
      <w:marRight w:val="0"/>
      <w:marTop w:val="0"/>
      <w:marBottom w:val="0"/>
      <w:divBdr>
        <w:top w:val="none" w:sz="0" w:space="0" w:color="auto"/>
        <w:left w:val="none" w:sz="0" w:space="0" w:color="auto"/>
        <w:bottom w:val="none" w:sz="0" w:space="0" w:color="auto"/>
        <w:right w:val="none" w:sz="0" w:space="0" w:color="auto"/>
      </w:divBdr>
    </w:div>
    <w:div w:id="1271086671">
      <w:bodyDiv w:val="1"/>
      <w:marLeft w:val="0"/>
      <w:marRight w:val="0"/>
      <w:marTop w:val="0"/>
      <w:marBottom w:val="0"/>
      <w:divBdr>
        <w:top w:val="none" w:sz="0" w:space="0" w:color="auto"/>
        <w:left w:val="none" w:sz="0" w:space="0" w:color="auto"/>
        <w:bottom w:val="none" w:sz="0" w:space="0" w:color="auto"/>
        <w:right w:val="none" w:sz="0" w:space="0" w:color="auto"/>
      </w:divBdr>
    </w:div>
    <w:div w:id="1271091009">
      <w:bodyDiv w:val="1"/>
      <w:marLeft w:val="0"/>
      <w:marRight w:val="0"/>
      <w:marTop w:val="0"/>
      <w:marBottom w:val="0"/>
      <w:divBdr>
        <w:top w:val="none" w:sz="0" w:space="0" w:color="auto"/>
        <w:left w:val="none" w:sz="0" w:space="0" w:color="auto"/>
        <w:bottom w:val="none" w:sz="0" w:space="0" w:color="auto"/>
        <w:right w:val="none" w:sz="0" w:space="0" w:color="auto"/>
      </w:divBdr>
    </w:div>
    <w:div w:id="1271550040">
      <w:bodyDiv w:val="1"/>
      <w:marLeft w:val="0"/>
      <w:marRight w:val="0"/>
      <w:marTop w:val="0"/>
      <w:marBottom w:val="0"/>
      <w:divBdr>
        <w:top w:val="none" w:sz="0" w:space="0" w:color="auto"/>
        <w:left w:val="none" w:sz="0" w:space="0" w:color="auto"/>
        <w:bottom w:val="none" w:sz="0" w:space="0" w:color="auto"/>
        <w:right w:val="none" w:sz="0" w:space="0" w:color="auto"/>
      </w:divBdr>
    </w:div>
    <w:div w:id="1271887557">
      <w:bodyDiv w:val="1"/>
      <w:marLeft w:val="0"/>
      <w:marRight w:val="0"/>
      <w:marTop w:val="0"/>
      <w:marBottom w:val="0"/>
      <w:divBdr>
        <w:top w:val="none" w:sz="0" w:space="0" w:color="auto"/>
        <w:left w:val="none" w:sz="0" w:space="0" w:color="auto"/>
        <w:bottom w:val="none" w:sz="0" w:space="0" w:color="auto"/>
        <w:right w:val="none" w:sz="0" w:space="0" w:color="auto"/>
      </w:divBdr>
    </w:div>
    <w:div w:id="1272591260">
      <w:bodyDiv w:val="1"/>
      <w:marLeft w:val="0"/>
      <w:marRight w:val="0"/>
      <w:marTop w:val="0"/>
      <w:marBottom w:val="0"/>
      <w:divBdr>
        <w:top w:val="none" w:sz="0" w:space="0" w:color="auto"/>
        <w:left w:val="none" w:sz="0" w:space="0" w:color="auto"/>
        <w:bottom w:val="none" w:sz="0" w:space="0" w:color="auto"/>
        <w:right w:val="none" w:sz="0" w:space="0" w:color="auto"/>
      </w:divBdr>
    </w:div>
    <w:div w:id="1272854975">
      <w:bodyDiv w:val="1"/>
      <w:marLeft w:val="0"/>
      <w:marRight w:val="0"/>
      <w:marTop w:val="0"/>
      <w:marBottom w:val="0"/>
      <w:divBdr>
        <w:top w:val="none" w:sz="0" w:space="0" w:color="auto"/>
        <w:left w:val="none" w:sz="0" w:space="0" w:color="auto"/>
        <w:bottom w:val="none" w:sz="0" w:space="0" w:color="auto"/>
        <w:right w:val="none" w:sz="0" w:space="0" w:color="auto"/>
      </w:divBdr>
    </w:div>
    <w:div w:id="1273366983">
      <w:bodyDiv w:val="1"/>
      <w:marLeft w:val="0"/>
      <w:marRight w:val="0"/>
      <w:marTop w:val="0"/>
      <w:marBottom w:val="0"/>
      <w:divBdr>
        <w:top w:val="none" w:sz="0" w:space="0" w:color="auto"/>
        <w:left w:val="none" w:sz="0" w:space="0" w:color="auto"/>
        <w:bottom w:val="none" w:sz="0" w:space="0" w:color="auto"/>
        <w:right w:val="none" w:sz="0" w:space="0" w:color="auto"/>
      </w:divBdr>
    </w:div>
    <w:div w:id="1273517926">
      <w:bodyDiv w:val="1"/>
      <w:marLeft w:val="0"/>
      <w:marRight w:val="0"/>
      <w:marTop w:val="0"/>
      <w:marBottom w:val="0"/>
      <w:divBdr>
        <w:top w:val="none" w:sz="0" w:space="0" w:color="auto"/>
        <w:left w:val="none" w:sz="0" w:space="0" w:color="auto"/>
        <w:bottom w:val="none" w:sz="0" w:space="0" w:color="auto"/>
        <w:right w:val="none" w:sz="0" w:space="0" w:color="auto"/>
      </w:divBdr>
    </w:div>
    <w:div w:id="1273824786">
      <w:bodyDiv w:val="1"/>
      <w:marLeft w:val="0"/>
      <w:marRight w:val="0"/>
      <w:marTop w:val="0"/>
      <w:marBottom w:val="0"/>
      <w:divBdr>
        <w:top w:val="none" w:sz="0" w:space="0" w:color="auto"/>
        <w:left w:val="none" w:sz="0" w:space="0" w:color="auto"/>
        <w:bottom w:val="none" w:sz="0" w:space="0" w:color="auto"/>
        <w:right w:val="none" w:sz="0" w:space="0" w:color="auto"/>
      </w:divBdr>
    </w:div>
    <w:div w:id="1274093901">
      <w:bodyDiv w:val="1"/>
      <w:marLeft w:val="0"/>
      <w:marRight w:val="0"/>
      <w:marTop w:val="0"/>
      <w:marBottom w:val="0"/>
      <w:divBdr>
        <w:top w:val="none" w:sz="0" w:space="0" w:color="auto"/>
        <w:left w:val="none" w:sz="0" w:space="0" w:color="auto"/>
        <w:bottom w:val="none" w:sz="0" w:space="0" w:color="auto"/>
        <w:right w:val="none" w:sz="0" w:space="0" w:color="auto"/>
      </w:divBdr>
    </w:div>
    <w:div w:id="1274245878">
      <w:bodyDiv w:val="1"/>
      <w:marLeft w:val="0"/>
      <w:marRight w:val="0"/>
      <w:marTop w:val="0"/>
      <w:marBottom w:val="0"/>
      <w:divBdr>
        <w:top w:val="none" w:sz="0" w:space="0" w:color="auto"/>
        <w:left w:val="none" w:sz="0" w:space="0" w:color="auto"/>
        <w:bottom w:val="none" w:sz="0" w:space="0" w:color="auto"/>
        <w:right w:val="none" w:sz="0" w:space="0" w:color="auto"/>
      </w:divBdr>
    </w:div>
    <w:div w:id="1274284510">
      <w:bodyDiv w:val="1"/>
      <w:marLeft w:val="0"/>
      <w:marRight w:val="0"/>
      <w:marTop w:val="0"/>
      <w:marBottom w:val="0"/>
      <w:divBdr>
        <w:top w:val="none" w:sz="0" w:space="0" w:color="auto"/>
        <w:left w:val="none" w:sz="0" w:space="0" w:color="auto"/>
        <w:bottom w:val="none" w:sz="0" w:space="0" w:color="auto"/>
        <w:right w:val="none" w:sz="0" w:space="0" w:color="auto"/>
      </w:divBdr>
    </w:div>
    <w:div w:id="1274442547">
      <w:bodyDiv w:val="1"/>
      <w:marLeft w:val="0"/>
      <w:marRight w:val="0"/>
      <w:marTop w:val="0"/>
      <w:marBottom w:val="0"/>
      <w:divBdr>
        <w:top w:val="none" w:sz="0" w:space="0" w:color="auto"/>
        <w:left w:val="none" w:sz="0" w:space="0" w:color="auto"/>
        <w:bottom w:val="none" w:sz="0" w:space="0" w:color="auto"/>
        <w:right w:val="none" w:sz="0" w:space="0" w:color="auto"/>
      </w:divBdr>
    </w:div>
    <w:div w:id="1274482408">
      <w:bodyDiv w:val="1"/>
      <w:marLeft w:val="0"/>
      <w:marRight w:val="0"/>
      <w:marTop w:val="0"/>
      <w:marBottom w:val="0"/>
      <w:divBdr>
        <w:top w:val="none" w:sz="0" w:space="0" w:color="auto"/>
        <w:left w:val="none" w:sz="0" w:space="0" w:color="auto"/>
        <w:bottom w:val="none" w:sz="0" w:space="0" w:color="auto"/>
        <w:right w:val="none" w:sz="0" w:space="0" w:color="auto"/>
      </w:divBdr>
    </w:div>
    <w:div w:id="1274556940">
      <w:bodyDiv w:val="1"/>
      <w:marLeft w:val="0"/>
      <w:marRight w:val="0"/>
      <w:marTop w:val="0"/>
      <w:marBottom w:val="0"/>
      <w:divBdr>
        <w:top w:val="none" w:sz="0" w:space="0" w:color="auto"/>
        <w:left w:val="none" w:sz="0" w:space="0" w:color="auto"/>
        <w:bottom w:val="none" w:sz="0" w:space="0" w:color="auto"/>
        <w:right w:val="none" w:sz="0" w:space="0" w:color="auto"/>
      </w:divBdr>
    </w:div>
    <w:div w:id="1275286847">
      <w:bodyDiv w:val="1"/>
      <w:marLeft w:val="0"/>
      <w:marRight w:val="0"/>
      <w:marTop w:val="0"/>
      <w:marBottom w:val="0"/>
      <w:divBdr>
        <w:top w:val="none" w:sz="0" w:space="0" w:color="auto"/>
        <w:left w:val="none" w:sz="0" w:space="0" w:color="auto"/>
        <w:bottom w:val="none" w:sz="0" w:space="0" w:color="auto"/>
        <w:right w:val="none" w:sz="0" w:space="0" w:color="auto"/>
      </w:divBdr>
    </w:div>
    <w:div w:id="1275551949">
      <w:bodyDiv w:val="1"/>
      <w:marLeft w:val="0"/>
      <w:marRight w:val="0"/>
      <w:marTop w:val="0"/>
      <w:marBottom w:val="0"/>
      <w:divBdr>
        <w:top w:val="none" w:sz="0" w:space="0" w:color="auto"/>
        <w:left w:val="none" w:sz="0" w:space="0" w:color="auto"/>
        <w:bottom w:val="none" w:sz="0" w:space="0" w:color="auto"/>
        <w:right w:val="none" w:sz="0" w:space="0" w:color="auto"/>
      </w:divBdr>
    </w:div>
    <w:div w:id="1275792082">
      <w:bodyDiv w:val="1"/>
      <w:marLeft w:val="0"/>
      <w:marRight w:val="0"/>
      <w:marTop w:val="0"/>
      <w:marBottom w:val="0"/>
      <w:divBdr>
        <w:top w:val="none" w:sz="0" w:space="0" w:color="auto"/>
        <w:left w:val="none" w:sz="0" w:space="0" w:color="auto"/>
        <w:bottom w:val="none" w:sz="0" w:space="0" w:color="auto"/>
        <w:right w:val="none" w:sz="0" w:space="0" w:color="auto"/>
      </w:divBdr>
    </w:div>
    <w:div w:id="1277130101">
      <w:bodyDiv w:val="1"/>
      <w:marLeft w:val="0"/>
      <w:marRight w:val="0"/>
      <w:marTop w:val="0"/>
      <w:marBottom w:val="0"/>
      <w:divBdr>
        <w:top w:val="none" w:sz="0" w:space="0" w:color="auto"/>
        <w:left w:val="none" w:sz="0" w:space="0" w:color="auto"/>
        <w:bottom w:val="none" w:sz="0" w:space="0" w:color="auto"/>
        <w:right w:val="none" w:sz="0" w:space="0" w:color="auto"/>
      </w:divBdr>
    </w:div>
    <w:div w:id="1277565176">
      <w:bodyDiv w:val="1"/>
      <w:marLeft w:val="0"/>
      <w:marRight w:val="0"/>
      <w:marTop w:val="0"/>
      <w:marBottom w:val="0"/>
      <w:divBdr>
        <w:top w:val="none" w:sz="0" w:space="0" w:color="auto"/>
        <w:left w:val="none" w:sz="0" w:space="0" w:color="auto"/>
        <w:bottom w:val="none" w:sz="0" w:space="0" w:color="auto"/>
        <w:right w:val="none" w:sz="0" w:space="0" w:color="auto"/>
      </w:divBdr>
    </w:div>
    <w:div w:id="1277710151">
      <w:bodyDiv w:val="1"/>
      <w:marLeft w:val="0"/>
      <w:marRight w:val="0"/>
      <w:marTop w:val="0"/>
      <w:marBottom w:val="0"/>
      <w:divBdr>
        <w:top w:val="none" w:sz="0" w:space="0" w:color="auto"/>
        <w:left w:val="none" w:sz="0" w:space="0" w:color="auto"/>
        <w:bottom w:val="none" w:sz="0" w:space="0" w:color="auto"/>
        <w:right w:val="none" w:sz="0" w:space="0" w:color="auto"/>
      </w:divBdr>
    </w:div>
    <w:div w:id="1277983499">
      <w:bodyDiv w:val="1"/>
      <w:marLeft w:val="0"/>
      <w:marRight w:val="0"/>
      <w:marTop w:val="0"/>
      <w:marBottom w:val="0"/>
      <w:divBdr>
        <w:top w:val="none" w:sz="0" w:space="0" w:color="auto"/>
        <w:left w:val="none" w:sz="0" w:space="0" w:color="auto"/>
        <w:bottom w:val="none" w:sz="0" w:space="0" w:color="auto"/>
        <w:right w:val="none" w:sz="0" w:space="0" w:color="auto"/>
      </w:divBdr>
    </w:div>
    <w:div w:id="1278834250">
      <w:bodyDiv w:val="1"/>
      <w:marLeft w:val="0"/>
      <w:marRight w:val="0"/>
      <w:marTop w:val="0"/>
      <w:marBottom w:val="0"/>
      <w:divBdr>
        <w:top w:val="none" w:sz="0" w:space="0" w:color="auto"/>
        <w:left w:val="none" w:sz="0" w:space="0" w:color="auto"/>
        <w:bottom w:val="none" w:sz="0" w:space="0" w:color="auto"/>
        <w:right w:val="none" w:sz="0" w:space="0" w:color="auto"/>
      </w:divBdr>
    </w:div>
    <w:div w:id="1279412627">
      <w:bodyDiv w:val="1"/>
      <w:marLeft w:val="0"/>
      <w:marRight w:val="0"/>
      <w:marTop w:val="0"/>
      <w:marBottom w:val="0"/>
      <w:divBdr>
        <w:top w:val="none" w:sz="0" w:space="0" w:color="auto"/>
        <w:left w:val="none" w:sz="0" w:space="0" w:color="auto"/>
        <w:bottom w:val="none" w:sz="0" w:space="0" w:color="auto"/>
        <w:right w:val="none" w:sz="0" w:space="0" w:color="auto"/>
      </w:divBdr>
    </w:div>
    <w:div w:id="1279675381">
      <w:bodyDiv w:val="1"/>
      <w:marLeft w:val="0"/>
      <w:marRight w:val="0"/>
      <w:marTop w:val="0"/>
      <w:marBottom w:val="0"/>
      <w:divBdr>
        <w:top w:val="none" w:sz="0" w:space="0" w:color="auto"/>
        <w:left w:val="none" w:sz="0" w:space="0" w:color="auto"/>
        <w:bottom w:val="none" w:sz="0" w:space="0" w:color="auto"/>
        <w:right w:val="none" w:sz="0" w:space="0" w:color="auto"/>
      </w:divBdr>
    </w:div>
    <w:div w:id="1279678553">
      <w:bodyDiv w:val="1"/>
      <w:marLeft w:val="0"/>
      <w:marRight w:val="0"/>
      <w:marTop w:val="0"/>
      <w:marBottom w:val="0"/>
      <w:divBdr>
        <w:top w:val="none" w:sz="0" w:space="0" w:color="auto"/>
        <w:left w:val="none" w:sz="0" w:space="0" w:color="auto"/>
        <w:bottom w:val="none" w:sz="0" w:space="0" w:color="auto"/>
        <w:right w:val="none" w:sz="0" w:space="0" w:color="auto"/>
      </w:divBdr>
    </w:div>
    <w:div w:id="1279683896">
      <w:bodyDiv w:val="1"/>
      <w:marLeft w:val="0"/>
      <w:marRight w:val="0"/>
      <w:marTop w:val="0"/>
      <w:marBottom w:val="0"/>
      <w:divBdr>
        <w:top w:val="none" w:sz="0" w:space="0" w:color="auto"/>
        <w:left w:val="none" w:sz="0" w:space="0" w:color="auto"/>
        <w:bottom w:val="none" w:sz="0" w:space="0" w:color="auto"/>
        <w:right w:val="none" w:sz="0" w:space="0" w:color="auto"/>
      </w:divBdr>
    </w:div>
    <w:div w:id="1280524901">
      <w:bodyDiv w:val="1"/>
      <w:marLeft w:val="0"/>
      <w:marRight w:val="0"/>
      <w:marTop w:val="0"/>
      <w:marBottom w:val="0"/>
      <w:divBdr>
        <w:top w:val="none" w:sz="0" w:space="0" w:color="auto"/>
        <w:left w:val="none" w:sz="0" w:space="0" w:color="auto"/>
        <w:bottom w:val="none" w:sz="0" w:space="0" w:color="auto"/>
        <w:right w:val="none" w:sz="0" w:space="0" w:color="auto"/>
      </w:divBdr>
    </w:div>
    <w:div w:id="1281185626">
      <w:bodyDiv w:val="1"/>
      <w:marLeft w:val="0"/>
      <w:marRight w:val="0"/>
      <w:marTop w:val="0"/>
      <w:marBottom w:val="0"/>
      <w:divBdr>
        <w:top w:val="none" w:sz="0" w:space="0" w:color="auto"/>
        <w:left w:val="none" w:sz="0" w:space="0" w:color="auto"/>
        <w:bottom w:val="none" w:sz="0" w:space="0" w:color="auto"/>
        <w:right w:val="none" w:sz="0" w:space="0" w:color="auto"/>
      </w:divBdr>
    </w:div>
    <w:div w:id="1281305975">
      <w:bodyDiv w:val="1"/>
      <w:marLeft w:val="0"/>
      <w:marRight w:val="0"/>
      <w:marTop w:val="0"/>
      <w:marBottom w:val="0"/>
      <w:divBdr>
        <w:top w:val="none" w:sz="0" w:space="0" w:color="auto"/>
        <w:left w:val="none" w:sz="0" w:space="0" w:color="auto"/>
        <w:bottom w:val="none" w:sz="0" w:space="0" w:color="auto"/>
        <w:right w:val="none" w:sz="0" w:space="0" w:color="auto"/>
      </w:divBdr>
    </w:div>
    <w:div w:id="1281914706">
      <w:bodyDiv w:val="1"/>
      <w:marLeft w:val="0"/>
      <w:marRight w:val="0"/>
      <w:marTop w:val="0"/>
      <w:marBottom w:val="0"/>
      <w:divBdr>
        <w:top w:val="none" w:sz="0" w:space="0" w:color="auto"/>
        <w:left w:val="none" w:sz="0" w:space="0" w:color="auto"/>
        <w:bottom w:val="none" w:sz="0" w:space="0" w:color="auto"/>
        <w:right w:val="none" w:sz="0" w:space="0" w:color="auto"/>
      </w:divBdr>
    </w:div>
    <w:div w:id="1282111277">
      <w:bodyDiv w:val="1"/>
      <w:marLeft w:val="0"/>
      <w:marRight w:val="0"/>
      <w:marTop w:val="0"/>
      <w:marBottom w:val="0"/>
      <w:divBdr>
        <w:top w:val="none" w:sz="0" w:space="0" w:color="auto"/>
        <w:left w:val="none" w:sz="0" w:space="0" w:color="auto"/>
        <w:bottom w:val="none" w:sz="0" w:space="0" w:color="auto"/>
        <w:right w:val="none" w:sz="0" w:space="0" w:color="auto"/>
      </w:divBdr>
    </w:div>
    <w:div w:id="1282301854">
      <w:bodyDiv w:val="1"/>
      <w:marLeft w:val="0"/>
      <w:marRight w:val="0"/>
      <w:marTop w:val="0"/>
      <w:marBottom w:val="0"/>
      <w:divBdr>
        <w:top w:val="none" w:sz="0" w:space="0" w:color="auto"/>
        <w:left w:val="none" w:sz="0" w:space="0" w:color="auto"/>
        <w:bottom w:val="none" w:sz="0" w:space="0" w:color="auto"/>
        <w:right w:val="none" w:sz="0" w:space="0" w:color="auto"/>
      </w:divBdr>
    </w:div>
    <w:div w:id="1282689883">
      <w:bodyDiv w:val="1"/>
      <w:marLeft w:val="0"/>
      <w:marRight w:val="0"/>
      <w:marTop w:val="0"/>
      <w:marBottom w:val="0"/>
      <w:divBdr>
        <w:top w:val="none" w:sz="0" w:space="0" w:color="auto"/>
        <w:left w:val="none" w:sz="0" w:space="0" w:color="auto"/>
        <w:bottom w:val="none" w:sz="0" w:space="0" w:color="auto"/>
        <w:right w:val="none" w:sz="0" w:space="0" w:color="auto"/>
      </w:divBdr>
    </w:div>
    <w:div w:id="1283342297">
      <w:bodyDiv w:val="1"/>
      <w:marLeft w:val="0"/>
      <w:marRight w:val="0"/>
      <w:marTop w:val="0"/>
      <w:marBottom w:val="0"/>
      <w:divBdr>
        <w:top w:val="none" w:sz="0" w:space="0" w:color="auto"/>
        <w:left w:val="none" w:sz="0" w:space="0" w:color="auto"/>
        <w:bottom w:val="none" w:sz="0" w:space="0" w:color="auto"/>
        <w:right w:val="none" w:sz="0" w:space="0" w:color="auto"/>
      </w:divBdr>
    </w:div>
    <w:div w:id="1283344345">
      <w:bodyDiv w:val="1"/>
      <w:marLeft w:val="0"/>
      <w:marRight w:val="0"/>
      <w:marTop w:val="0"/>
      <w:marBottom w:val="0"/>
      <w:divBdr>
        <w:top w:val="none" w:sz="0" w:space="0" w:color="auto"/>
        <w:left w:val="none" w:sz="0" w:space="0" w:color="auto"/>
        <w:bottom w:val="none" w:sz="0" w:space="0" w:color="auto"/>
        <w:right w:val="none" w:sz="0" w:space="0" w:color="auto"/>
      </w:divBdr>
    </w:div>
    <w:div w:id="1283616534">
      <w:bodyDiv w:val="1"/>
      <w:marLeft w:val="0"/>
      <w:marRight w:val="0"/>
      <w:marTop w:val="0"/>
      <w:marBottom w:val="0"/>
      <w:divBdr>
        <w:top w:val="none" w:sz="0" w:space="0" w:color="auto"/>
        <w:left w:val="none" w:sz="0" w:space="0" w:color="auto"/>
        <w:bottom w:val="none" w:sz="0" w:space="0" w:color="auto"/>
        <w:right w:val="none" w:sz="0" w:space="0" w:color="auto"/>
      </w:divBdr>
    </w:div>
    <w:div w:id="1283682333">
      <w:bodyDiv w:val="1"/>
      <w:marLeft w:val="0"/>
      <w:marRight w:val="0"/>
      <w:marTop w:val="0"/>
      <w:marBottom w:val="0"/>
      <w:divBdr>
        <w:top w:val="none" w:sz="0" w:space="0" w:color="auto"/>
        <w:left w:val="none" w:sz="0" w:space="0" w:color="auto"/>
        <w:bottom w:val="none" w:sz="0" w:space="0" w:color="auto"/>
        <w:right w:val="none" w:sz="0" w:space="0" w:color="auto"/>
      </w:divBdr>
    </w:div>
    <w:div w:id="1283807283">
      <w:bodyDiv w:val="1"/>
      <w:marLeft w:val="0"/>
      <w:marRight w:val="0"/>
      <w:marTop w:val="0"/>
      <w:marBottom w:val="0"/>
      <w:divBdr>
        <w:top w:val="none" w:sz="0" w:space="0" w:color="auto"/>
        <w:left w:val="none" w:sz="0" w:space="0" w:color="auto"/>
        <w:bottom w:val="none" w:sz="0" w:space="0" w:color="auto"/>
        <w:right w:val="none" w:sz="0" w:space="0" w:color="auto"/>
      </w:divBdr>
    </w:div>
    <w:div w:id="1284113672">
      <w:bodyDiv w:val="1"/>
      <w:marLeft w:val="0"/>
      <w:marRight w:val="0"/>
      <w:marTop w:val="0"/>
      <w:marBottom w:val="0"/>
      <w:divBdr>
        <w:top w:val="none" w:sz="0" w:space="0" w:color="auto"/>
        <w:left w:val="none" w:sz="0" w:space="0" w:color="auto"/>
        <w:bottom w:val="none" w:sz="0" w:space="0" w:color="auto"/>
        <w:right w:val="none" w:sz="0" w:space="0" w:color="auto"/>
      </w:divBdr>
    </w:div>
    <w:div w:id="1284919439">
      <w:bodyDiv w:val="1"/>
      <w:marLeft w:val="0"/>
      <w:marRight w:val="0"/>
      <w:marTop w:val="0"/>
      <w:marBottom w:val="0"/>
      <w:divBdr>
        <w:top w:val="none" w:sz="0" w:space="0" w:color="auto"/>
        <w:left w:val="none" w:sz="0" w:space="0" w:color="auto"/>
        <w:bottom w:val="none" w:sz="0" w:space="0" w:color="auto"/>
        <w:right w:val="none" w:sz="0" w:space="0" w:color="auto"/>
      </w:divBdr>
    </w:div>
    <w:div w:id="1284920513">
      <w:bodyDiv w:val="1"/>
      <w:marLeft w:val="0"/>
      <w:marRight w:val="0"/>
      <w:marTop w:val="0"/>
      <w:marBottom w:val="0"/>
      <w:divBdr>
        <w:top w:val="none" w:sz="0" w:space="0" w:color="auto"/>
        <w:left w:val="none" w:sz="0" w:space="0" w:color="auto"/>
        <w:bottom w:val="none" w:sz="0" w:space="0" w:color="auto"/>
        <w:right w:val="none" w:sz="0" w:space="0" w:color="auto"/>
      </w:divBdr>
    </w:div>
    <w:div w:id="1285193254">
      <w:bodyDiv w:val="1"/>
      <w:marLeft w:val="0"/>
      <w:marRight w:val="0"/>
      <w:marTop w:val="0"/>
      <w:marBottom w:val="0"/>
      <w:divBdr>
        <w:top w:val="none" w:sz="0" w:space="0" w:color="auto"/>
        <w:left w:val="none" w:sz="0" w:space="0" w:color="auto"/>
        <w:bottom w:val="none" w:sz="0" w:space="0" w:color="auto"/>
        <w:right w:val="none" w:sz="0" w:space="0" w:color="auto"/>
      </w:divBdr>
    </w:div>
    <w:div w:id="1285770848">
      <w:bodyDiv w:val="1"/>
      <w:marLeft w:val="0"/>
      <w:marRight w:val="0"/>
      <w:marTop w:val="0"/>
      <w:marBottom w:val="0"/>
      <w:divBdr>
        <w:top w:val="none" w:sz="0" w:space="0" w:color="auto"/>
        <w:left w:val="none" w:sz="0" w:space="0" w:color="auto"/>
        <w:bottom w:val="none" w:sz="0" w:space="0" w:color="auto"/>
        <w:right w:val="none" w:sz="0" w:space="0" w:color="auto"/>
      </w:divBdr>
    </w:div>
    <w:div w:id="1285844090">
      <w:bodyDiv w:val="1"/>
      <w:marLeft w:val="0"/>
      <w:marRight w:val="0"/>
      <w:marTop w:val="0"/>
      <w:marBottom w:val="0"/>
      <w:divBdr>
        <w:top w:val="none" w:sz="0" w:space="0" w:color="auto"/>
        <w:left w:val="none" w:sz="0" w:space="0" w:color="auto"/>
        <w:bottom w:val="none" w:sz="0" w:space="0" w:color="auto"/>
        <w:right w:val="none" w:sz="0" w:space="0" w:color="auto"/>
      </w:divBdr>
    </w:div>
    <w:div w:id="1286110770">
      <w:bodyDiv w:val="1"/>
      <w:marLeft w:val="0"/>
      <w:marRight w:val="0"/>
      <w:marTop w:val="0"/>
      <w:marBottom w:val="0"/>
      <w:divBdr>
        <w:top w:val="none" w:sz="0" w:space="0" w:color="auto"/>
        <w:left w:val="none" w:sz="0" w:space="0" w:color="auto"/>
        <w:bottom w:val="none" w:sz="0" w:space="0" w:color="auto"/>
        <w:right w:val="none" w:sz="0" w:space="0" w:color="auto"/>
      </w:divBdr>
    </w:div>
    <w:div w:id="1287542408">
      <w:bodyDiv w:val="1"/>
      <w:marLeft w:val="0"/>
      <w:marRight w:val="0"/>
      <w:marTop w:val="0"/>
      <w:marBottom w:val="0"/>
      <w:divBdr>
        <w:top w:val="none" w:sz="0" w:space="0" w:color="auto"/>
        <w:left w:val="none" w:sz="0" w:space="0" w:color="auto"/>
        <w:bottom w:val="none" w:sz="0" w:space="0" w:color="auto"/>
        <w:right w:val="none" w:sz="0" w:space="0" w:color="auto"/>
      </w:divBdr>
    </w:div>
    <w:div w:id="1287615372">
      <w:bodyDiv w:val="1"/>
      <w:marLeft w:val="0"/>
      <w:marRight w:val="0"/>
      <w:marTop w:val="0"/>
      <w:marBottom w:val="0"/>
      <w:divBdr>
        <w:top w:val="none" w:sz="0" w:space="0" w:color="auto"/>
        <w:left w:val="none" w:sz="0" w:space="0" w:color="auto"/>
        <w:bottom w:val="none" w:sz="0" w:space="0" w:color="auto"/>
        <w:right w:val="none" w:sz="0" w:space="0" w:color="auto"/>
      </w:divBdr>
    </w:div>
    <w:div w:id="1287666059">
      <w:bodyDiv w:val="1"/>
      <w:marLeft w:val="0"/>
      <w:marRight w:val="0"/>
      <w:marTop w:val="0"/>
      <w:marBottom w:val="0"/>
      <w:divBdr>
        <w:top w:val="none" w:sz="0" w:space="0" w:color="auto"/>
        <w:left w:val="none" w:sz="0" w:space="0" w:color="auto"/>
        <w:bottom w:val="none" w:sz="0" w:space="0" w:color="auto"/>
        <w:right w:val="none" w:sz="0" w:space="0" w:color="auto"/>
      </w:divBdr>
    </w:div>
    <w:div w:id="1288700131">
      <w:bodyDiv w:val="1"/>
      <w:marLeft w:val="0"/>
      <w:marRight w:val="0"/>
      <w:marTop w:val="0"/>
      <w:marBottom w:val="0"/>
      <w:divBdr>
        <w:top w:val="none" w:sz="0" w:space="0" w:color="auto"/>
        <w:left w:val="none" w:sz="0" w:space="0" w:color="auto"/>
        <w:bottom w:val="none" w:sz="0" w:space="0" w:color="auto"/>
        <w:right w:val="none" w:sz="0" w:space="0" w:color="auto"/>
      </w:divBdr>
    </w:div>
    <w:div w:id="1288969625">
      <w:bodyDiv w:val="1"/>
      <w:marLeft w:val="0"/>
      <w:marRight w:val="0"/>
      <w:marTop w:val="0"/>
      <w:marBottom w:val="0"/>
      <w:divBdr>
        <w:top w:val="none" w:sz="0" w:space="0" w:color="auto"/>
        <w:left w:val="none" w:sz="0" w:space="0" w:color="auto"/>
        <w:bottom w:val="none" w:sz="0" w:space="0" w:color="auto"/>
        <w:right w:val="none" w:sz="0" w:space="0" w:color="auto"/>
      </w:divBdr>
    </w:div>
    <w:div w:id="1288975349">
      <w:bodyDiv w:val="1"/>
      <w:marLeft w:val="0"/>
      <w:marRight w:val="0"/>
      <w:marTop w:val="0"/>
      <w:marBottom w:val="0"/>
      <w:divBdr>
        <w:top w:val="none" w:sz="0" w:space="0" w:color="auto"/>
        <w:left w:val="none" w:sz="0" w:space="0" w:color="auto"/>
        <w:bottom w:val="none" w:sz="0" w:space="0" w:color="auto"/>
        <w:right w:val="none" w:sz="0" w:space="0" w:color="auto"/>
      </w:divBdr>
    </w:div>
    <w:div w:id="1289240977">
      <w:bodyDiv w:val="1"/>
      <w:marLeft w:val="0"/>
      <w:marRight w:val="0"/>
      <w:marTop w:val="0"/>
      <w:marBottom w:val="0"/>
      <w:divBdr>
        <w:top w:val="none" w:sz="0" w:space="0" w:color="auto"/>
        <w:left w:val="none" w:sz="0" w:space="0" w:color="auto"/>
        <w:bottom w:val="none" w:sz="0" w:space="0" w:color="auto"/>
        <w:right w:val="none" w:sz="0" w:space="0" w:color="auto"/>
      </w:divBdr>
    </w:div>
    <w:div w:id="1289698768">
      <w:bodyDiv w:val="1"/>
      <w:marLeft w:val="0"/>
      <w:marRight w:val="0"/>
      <w:marTop w:val="0"/>
      <w:marBottom w:val="0"/>
      <w:divBdr>
        <w:top w:val="none" w:sz="0" w:space="0" w:color="auto"/>
        <w:left w:val="none" w:sz="0" w:space="0" w:color="auto"/>
        <w:bottom w:val="none" w:sz="0" w:space="0" w:color="auto"/>
        <w:right w:val="none" w:sz="0" w:space="0" w:color="auto"/>
      </w:divBdr>
    </w:div>
    <w:div w:id="1291016051">
      <w:bodyDiv w:val="1"/>
      <w:marLeft w:val="0"/>
      <w:marRight w:val="0"/>
      <w:marTop w:val="0"/>
      <w:marBottom w:val="0"/>
      <w:divBdr>
        <w:top w:val="none" w:sz="0" w:space="0" w:color="auto"/>
        <w:left w:val="none" w:sz="0" w:space="0" w:color="auto"/>
        <w:bottom w:val="none" w:sz="0" w:space="0" w:color="auto"/>
        <w:right w:val="none" w:sz="0" w:space="0" w:color="auto"/>
      </w:divBdr>
    </w:div>
    <w:div w:id="1291208142">
      <w:bodyDiv w:val="1"/>
      <w:marLeft w:val="0"/>
      <w:marRight w:val="0"/>
      <w:marTop w:val="0"/>
      <w:marBottom w:val="0"/>
      <w:divBdr>
        <w:top w:val="none" w:sz="0" w:space="0" w:color="auto"/>
        <w:left w:val="none" w:sz="0" w:space="0" w:color="auto"/>
        <w:bottom w:val="none" w:sz="0" w:space="0" w:color="auto"/>
        <w:right w:val="none" w:sz="0" w:space="0" w:color="auto"/>
      </w:divBdr>
    </w:div>
    <w:div w:id="1291398472">
      <w:bodyDiv w:val="1"/>
      <w:marLeft w:val="0"/>
      <w:marRight w:val="0"/>
      <w:marTop w:val="0"/>
      <w:marBottom w:val="0"/>
      <w:divBdr>
        <w:top w:val="none" w:sz="0" w:space="0" w:color="auto"/>
        <w:left w:val="none" w:sz="0" w:space="0" w:color="auto"/>
        <w:bottom w:val="none" w:sz="0" w:space="0" w:color="auto"/>
        <w:right w:val="none" w:sz="0" w:space="0" w:color="auto"/>
      </w:divBdr>
    </w:div>
    <w:div w:id="1291401349">
      <w:bodyDiv w:val="1"/>
      <w:marLeft w:val="0"/>
      <w:marRight w:val="0"/>
      <w:marTop w:val="0"/>
      <w:marBottom w:val="0"/>
      <w:divBdr>
        <w:top w:val="none" w:sz="0" w:space="0" w:color="auto"/>
        <w:left w:val="none" w:sz="0" w:space="0" w:color="auto"/>
        <w:bottom w:val="none" w:sz="0" w:space="0" w:color="auto"/>
        <w:right w:val="none" w:sz="0" w:space="0" w:color="auto"/>
      </w:divBdr>
    </w:div>
    <w:div w:id="1291520568">
      <w:bodyDiv w:val="1"/>
      <w:marLeft w:val="0"/>
      <w:marRight w:val="0"/>
      <w:marTop w:val="0"/>
      <w:marBottom w:val="0"/>
      <w:divBdr>
        <w:top w:val="none" w:sz="0" w:space="0" w:color="auto"/>
        <w:left w:val="none" w:sz="0" w:space="0" w:color="auto"/>
        <w:bottom w:val="none" w:sz="0" w:space="0" w:color="auto"/>
        <w:right w:val="none" w:sz="0" w:space="0" w:color="auto"/>
      </w:divBdr>
    </w:div>
    <w:div w:id="1292246871">
      <w:bodyDiv w:val="1"/>
      <w:marLeft w:val="0"/>
      <w:marRight w:val="0"/>
      <w:marTop w:val="0"/>
      <w:marBottom w:val="0"/>
      <w:divBdr>
        <w:top w:val="none" w:sz="0" w:space="0" w:color="auto"/>
        <w:left w:val="none" w:sz="0" w:space="0" w:color="auto"/>
        <w:bottom w:val="none" w:sz="0" w:space="0" w:color="auto"/>
        <w:right w:val="none" w:sz="0" w:space="0" w:color="auto"/>
      </w:divBdr>
    </w:div>
    <w:div w:id="1292321775">
      <w:bodyDiv w:val="1"/>
      <w:marLeft w:val="0"/>
      <w:marRight w:val="0"/>
      <w:marTop w:val="0"/>
      <w:marBottom w:val="0"/>
      <w:divBdr>
        <w:top w:val="none" w:sz="0" w:space="0" w:color="auto"/>
        <w:left w:val="none" w:sz="0" w:space="0" w:color="auto"/>
        <w:bottom w:val="none" w:sz="0" w:space="0" w:color="auto"/>
        <w:right w:val="none" w:sz="0" w:space="0" w:color="auto"/>
      </w:divBdr>
    </w:div>
    <w:div w:id="1292521076">
      <w:bodyDiv w:val="1"/>
      <w:marLeft w:val="0"/>
      <w:marRight w:val="0"/>
      <w:marTop w:val="0"/>
      <w:marBottom w:val="0"/>
      <w:divBdr>
        <w:top w:val="none" w:sz="0" w:space="0" w:color="auto"/>
        <w:left w:val="none" w:sz="0" w:space="0" w:color="auto"/>
        <w:bottom w:val="none" w:sz="0" w:space="0" w:color="auto"/>
        <w:right w:val="none" w:sz="0" w:space="0" w:color="auto"/>
      </w:divBdr>
    </w:div>
    <w:div w:id="1292900311">
      <w:bodyDiv w:val="1"/>
      <w:marLeft w:val="0"/>
      <w:marRight w:val="0"/>
      <w:marTop w:val="0"/>
      <w:marBottom w:val="0"/>
      <w:divBdr>
        <w:top w:val="none" w:sz="0" w:space="0" w:color="auto"/>
        <w:left w:val="none" w:sz="0" w:space="0" w:color="auto"/>
        <w:bottom w:val="none" w:sz="0" w:space="0" w:color="auto"/>
        <w:right w:val="none" w:sz="0" w:space="0" w:color="auto"/>
      </w:divBdr>
    </w:div>
    <w:div w:id="1293442360">
      <w:bodyDiv w:val="1"/>
      <w:marLeft w:val="0"/>
      <w:marRight w:val="0"/>
      <w:marTop w:val="0"/>
      <w:marBottom w:val="0"/>
      <w:divBdr>
        <w:top w:val="none" w:sz="0" w:space="0" w:color="auto"/>
        <w:left w:val="none" w:sz="0" w:space="0" w:color="auto"/>
        <w:bottom w:val="none" w:sz="0" w:space="0" w:color="auto"/>
        <w:right w:val="none" w:sz="0" w:space="0" w:color="auto"/>
      </w:divBdr>
    </w:div>
    <w:div w:id="1294170804">
      <w:bodyDiv w:val="1"/>
      <w:marLeft w:val="0"/>
      <w:marRight w:val="0"/>
      <w:marTop w:val="0"/>
      <w:marBottom w:val="0"/>
      <w:divBdr>
        <w:top w:val="none" w:sz="0" w:space="0" w:color="auto"/>
        <w:left w:val="none" w:sz="0" w:space="0" w:color="auto"/>
        <w:bottom w:val="none" w:sz="0" w:space="0" w:color="auto"/>
        <w:right w:val="none" w:sz="0" w:space="0" w:color="auto"/>
      </w:divBdr>
    </w:div>
    <w:div w:id="1294286186">
      <w:bodyDiv w:val="1"/>
      <w:marLeft w:val="0"/>
      <w:marRight w:val="0"/>
      <w:marTop w:val="0"/>
      <w:marBottom w:val="0"/>
      <w:divBdr>
        <w:top w:val="none" w:sz="0" w:space="0" w:color="auto"/>
        <w:left w:val="none" w:sz="0" w:space="0" w:color="auto"/>
        <w:bottom w:val="none" w:sz="0" w:space="0" w:color="auto"/>
        <w:right w:val="none" w:sz="0" w:space="0" w:color="auto"/>
      </w:divBdr>
    </w:div>
    <w:div w:id="1294480665">
      <w:bodyDiv w:val="1"/>
      <w:marLeft w:val="0"/>
      <w:marRight w:val="0"/>
      <w:marTop w:val="0"/>
      <w:marBottom w:val="0"/>
      <w:divBdr>
        <w:top w:val="none" w:sz="0" w:space="0" w:color="auto"/>
        <w:left w:val="none" w:sz="0" w:space="0" w:color="auto"/>
        <w:bottom w:val="none" w:sz="0" w:space="0" w:color="auto"/>
        <w:right w:val="none" w:sz="0" w:space="0" w:color="auto"/>
      </w:divBdr>
    </w:div>
    <w:div w:id="1295526416">
      <w:bodyDiv w:val="1"/>
      <w:marLeft w:val="0"/>
      <w:marRight w:val="0"/>
      <w:marTop w:val="0"/>
      <w:marBottom w:val="0"/>
      <w:divBdr>
        <w:top w:val="none" w:sz="0" w:space="0" w:color="auto"/>
        <w:left w:val="none" w:sz="0" w:space="0" w:color="auto"/>
        <w:bottom w:val="none" w:sz="0" w:space="0" w:color="auto"/>
        <w:right w:val="none" w:sz="0" w:space="0" w:color="auto"/>
      </w:divBdr>
    </w:div>
    <w:div w:id="1295911183">
      <w:bodyDiv w:val="1"/>
      <w:marLeft w:val="0"/>
      <w:marRight w:val="0"/>
      <w:marTop w:val="0"/>
      <w:marBottom w:val="0"/>
      <w:divBdr>
        <w:top w:val="none" w:sz="0" w:space="0" w:color="auto"/>
        <w:left w:val="none" w:sz="0" w:space="0" w:color="auto"/>
        <w:bottom w:val="none" w:sz="0" w:space="0" w:color="auto"/>
        <w:right w:val="none" w:sz="0" w:space="0" w:color="auto"/>
      </w:divBdr>
    </w:div>
    <w:div w:id="1296062491">
      <w:bodyDiv w:val="1"/>
      <w:marLeft w:val="0"/>
      <w:marRight w:val="0"/>
      <w:marTop w:val="0"/>
      <w:marBottom w:val="0"/>
      <w:divBdr>
        <w:top w:val="none" w:sz="0" w:space="0" w:color="auto"/>
        <w:left w:val="none" w:sz="0" w:space="0" w:color="auto"/>
        <w:bottom w:val="none" w:sz="0" w:space="0" w:color="auto"/>
        <w:right w:val="none" w:sz="0" w:space="0" w:color="auto"/>
      </w:divBdr>
    </w:div>
    <w:div w:id="1296448250">
      <w:bodyDiv w:val="1"/>
      <w:marLeft w:val="0"/>
      <w:marRight w:val="0"/>
      <w:marTop w:val="0"/>
      <w:marBottom w:val="0"/>
      <w:divBdr>
        <w:top w:val="none" w:sz="0" w:space="0" w:color="auto"/>
        <w:left w:val="none" w:sz="0" w:space="0" w:color="auto"/>
        <w:bottom w:val="none" w:sz="0" w:space="0" w:color="auto"/>
        <w:right w:val="none" w:sz="0" w:space="0" w:color="auto"/>
      </w:divBdr>
    </w:div>
    <w:div w:id="1296526734">
      <w:bodyDiv w:val="1"/>
      <w:marLeft w:val="0"/>
      <w:marRight w:val="0"/>
      <w:marTop w:val="0"/>
      <w:marBottom w:val="0"/>
      <w:divBdr>
        <w:top w:val="none" w:sz="0" w:space="0" w:color="auto"/>
        <w:left w:val="none" w:sz="0" w:space="0" w:color="auto"/>
        <w:bottom w:val="none" w:sz="0" w:space="0" w:color="auto"/>
        <w:right w:val="none" w:sz="0" w:space="0" w:color="auto"/>
      </w:divBdr>
    </w:div>
    <w:div w:id="1297221254">
      <w:bodyDiv w:val="1"/>
      <w:marLeft w:val="0"/>
      <w:marRight w:val="0"/>
      <w:marTop w:val="0"/>
      <w:marBottom w:val="0"/>
      <w:divBdr>
        <w:top w:val="none" w:sz="0" w:space="0" w:color="auto"/>
        <w:left w:val="none" w:sz="0" w:space="0" w:color="auto"/>
        <w:bottom w:val="none" w:sz="0" w:space="0" w:color="auto"/>
        <w:right w:val="none" w:sz="0" w:space="0" w:color="auto"/>
      </w:divBdr>
    </w:div>
    <w:div w:id="1297489426">
      <w:bodyDiv w:val="1"/>
      <w:marLeft w:val="0"/>
      <w:marRight w:val="0"/>
      <w:marTop w:val="0"/>
      <w:marBottom w:val="0"/>
      <w:divBdr>
        <w:top w:val="none" w:sz="0" w:space="0" w:color="auto"/>
        <w:left w:val="none" w:sz="0" w:space="0" w:color="auto"/>
        <w:bottom w:val="none" w:sz="0" w:space="0" w:color="auto"/>
        <w:right w:val="none" w:sz="0" w:space="0" w:color="auto"/>
      </w:divBdr>
    </w:div>
    <w:div w:id="1297568242">
      <w:bodyDiv w:val="1"/>
      <w:marLeft w:val="0"/>
      <w:marRight w:val="0"/>
      <w:marTop w:val="0"/>
      <w:marBottom w:val="0"/>
      <w:divBdr>
        <w:top w:val="none" w:sz="0" w:space="0" w:color="auto"/>
        <w:left w:val="none" w:sz="0" w:space="0" w:color="auto"/>
        <w:bottom w:val="none" w:sz="0" w:space="0" w:color="auto"/>
        <w:right w:val="none" w:sz="0" w:space="0" w:color="auto"/>
      </w:divBdr>
    </w:div>
    <w:div w:id="1297688281">
      <w:bodyDiv w:val="1"/>
      <w:marLeft w:val="0"/>
      <w:marRight w:val="0"/>
      <w:marTop w:val="0"/>
      <w:marBottom w:val="0"/>
      <w:divBdr>
        <w:top w:val="none" w:sz="0" w:space="0" w:color="auto"/>
        <w:left w:val="none" w:sz="0" w:space="0" w:color="auto"/>
        <w:bottom w:val="none" w:sz="0" w:space="0" w:color="auto"/>
        <w:right w:val="none" w:sz="0" w:space="0" w:color="auto"/>
      </w:divBdr>
    </w:div>
    <w:div w:id="1297953272">
      <w:bodyDiv w:val="1"/>
      <w:marLeft w:val="0"/>
      <w:marRight w:val="0"/>
      <w:marTop w:val="0"/>
      <w:marBottom w:val="0"/>
      <w:divBdr>
        <w:top w:val="none" w:sz="0" w:space="0" w:color="auto"/>
        <w:left w:val="none" w:sz="0" w:space="0" w:color="auto"/>
        <w:bottom w:val="none" w:sz="0" w:space="0" w:color="auto"/>
        <w:right w:val="none" w:sz="0" w:space="0" w:color="auto"/>
      </w:divBdr>
    </w:div>
    <w:div w:id="1298223756">
      <w:bodyDiv w:val="1"/>
      <w:marLeft w:val="0"/>
      <w:marRight w:val="0"/>
      <w:marTop w:val="0"/>
      <w:marBottom w:val="0"/>
      <w:divBdr>
        <w:top w:val="none" w:sz="0" w:space="0" w:color="auto"/>
        <w:left w:val="none" w:sz="0" w:space="0" w:color="auto"/>
        <w:bottom w:val="none" w:sz="0" w:space="0" w:color="auto"/>
        <w:right w:val="none" w:sz="0" w:space="0" w:color="auto"/>
      </w:divBdr>
    </w:div>
    <w:div w:id="1298485759">
      <w:bodyDiv w:val="1"/>
      <w:marLeft w:val="0"/>
      <w:marRight w:val="0"/>
      <w:marTop w:val="0"/>
      <w:marBottom w:val="0"/>
      <w:divBdr>
        <w:top w:val="none" w:sz="0" w:space="0" w:color="auto"/>
        <w:left w:val="none" w:sz="0" w:space="0" w:color="auto"/>
        <w:bottom w:val="none" w:sz="0" w:space="0" w:color="auto"/>
        <w:right w:val="none" w:sz="0" w:space="0" w:color="auto"/>
      </w:divBdr>
    </w:div>
    <w:div w:id="1298755605">
      <w:bodyDiv w:val="1"/>
      <w:marLeft w:val="0"/>
      <w:marRight w:val="0"/>
      <w:marTop w:val="0"/>
      <w:marBottom w:val="0"/>
      <w:divBdr>
        <w:top w:val="none" w:sz="0" w:space="0" w:color="auto"/>
        <w:left w:val="none" w:sz="0" w:space="0" w:color="auto"/>
        <w:bottom w:val="none" w:sz="0" w:space="0" w:color="auto"/>
        <w:right w:val="none" w:sz="0" w:space="0" w:color="auto"/>
      </w:divBdr>
    </w:div>
    <w:div w:id="1298955020">
      <w:bodyDiv w:val="1"/>
      <w:marLeft w:val="0"/>
      <w:marRight w:val="0"/>
      <w:marTop w:val="0"/>
      <w:marBottom w:val="0"/>
      <w:divBdr>
        <w:top w:val="none" w:sz="0" w:space="0" w:color="auto"/>
        <w:left w:val="none" w:sz="0" w:space="0" w:color="auto"/>
        <w:bottom w:val="none" w:sz="0" w:space="0" w:color="auto"/>
        <w:right w:val="none" w:sz="0" w:space="0" w:color="auto"/>
      </w:divBdr>
    </w:div>
    <w:div w:id="1299453127">
      <w:bodyDiv w:val="1"/>
      <w:marLeft w:val="0"/>
      <w:marRight w:val="0"/>
      <w:marTop w:val="0"/>
      <w:marBottom w:val="0"/>
      <w:divBdr>
        <w:top w:val="none" w:sz="0" w:space="0" w:color="auto"/>
        <w:left w:val="none" w:sz="0" w:space="0" w:color="auto"/>
        <w:bottom w:val="none" w:sz="0" w:space="0" w:color="auto"/>
        <w:right w:val="none" w:sz="0" w:space="0" w:color="auto"/>
      </w:divBdr>
    </w:div>
    <w:div w:id="1299456893">
      <w:bodyDiv w:val="1"/>
      <w:marLeft w:val="0"/>
      <w:marRight w:val="0"/>
      <w:marTop w:val="0"/>
      <w:marBottom w:val="0"/>
      <w:divBdr>
        <w:top w:val="none" w:sz="0" w:space="0" w:color="auto"/>
        <w:left w:val="none" w:sz="0" w:space="0" w:color="auto"/>
        <w:bottom w:val="none" w:sz="0" w:space="0" w:color="auto"/>
        <w:right w:val="none" w:sz="0" w:space="0" w:color="auto"/>
      </w:divBdr>
    </w:div>
    <w:div w:id="1299648305">
      <w:bodyDiv w:val="1"/>
      <w:marLeft w:val="0"/>
      <w:marRight w:val="0"/>
      <w:marTop w:val="0"/>
      <w:marBottom w:val="0"/>
      <w:divBdr>
        <w:top w:val="none" w:sz="0" w:space="0" w:color="auto"/>
        <w:left w:val="none" w:sz="0" w:space="0" w:color="auto"/>
        <w:bottom w:val="none" w:sz="0" w:space="0" w:color="auto"/>
        <w:right w:val="none" w:sz="0" w:space="0" w:color="auto"/>
      </w:divBdr>
    </w:div>
    <w:div w:id="1299652636">
      <w:bodyDiv w:val="1"/>
      <w:marLeft w:val="0"/>
      <w:marRight w:val="0"/>
      <w:marTop w:val="0"/>
      <w:marBottom w:val="0"/>
      <w:divBdr>
        <w:top w:val="none" w:sz="0" w:space="0" w:color="auto"/>
        <w:left w:val="none" w:sz="0" w:space="0" w:color="auto"/>
        <w:bottom w:val="none" w:sz="0" w:space="0" w:color="auto"/>
        <w:right w:val="none" w:sz="0" w:space="0" w:color="auto"/>
      </w:divBdr>
    </w:div>
    <w:div w:id="1299653609">
      <w:bodyDiv w:val="1"/>
      <w:marLeft w:val="0"/>
      <w:marRight w:val="0"/>
      <w:marTop w:val="0"/>
      <w:marBottom w:val="0"/>
      <w:divBdr>
        <w:top w:val="none" w:sz="0" w:space="0" w:color="auto"/>
        <w:left w:val="none" w:sz="0" w:space="0" w:color="auto"/>
        <w:bottom w:val="none" w:sz="0" w:space="0" w:color="auto"/>
        <w:right w:val="none" w:sz="0" w:space="0" w:color="auto"/>
      </w:divBdr>
    </w:div>
    <w:div w:id="1299802265">
      <w:bodyDiv w:val="1"/>
      <w:marLeft w:val="0"/>
      <w:marRight w:val="0"/>
      <w:marTop w:val="0"/>
      <w:marBottom w:val="0"/>
      <w:divBdr>
        <w:top w:val="none" w:sz="0" w:space="0" w:color="auto"/>
        <w:left w:val="none" w:sz="0" w:space="0" w:color="auto"/>
        <w:bottom w:val="none" w:sz="0" w:space="0" w:color="auto"/>
        <w:right w:val="none" w:sz="0" w:space="0" w:color="auto"/>
      </w:divBdr>
    </w:div>
    <w:div w:id="1299917823">
      <w:bodyDiv w:val="1"/>
      <w:marLeft w:val="0"/>
      <w:marRight w:val="0"/>
      <w:marTop w:val="0"/>
      <w:marBottom w:val="0"/>
      <w:divBdr>
        <w:top w:val="none" w:sz="0" w:space="0" w:color="auto"/>
        <w:left w:val="none" w:sz="0" w:space="0" w:color="auto"/>
        <w:bottom w:val="none" w:sz="0" w:space="0" w:color="auto"/>
        <w:right w:val="none" w:sz="0" w:space="0" w:color="auto"/>
      </w:divBdr>
    </w:div>
    <w:div w:id="1300261068">
      <w:bodyDiv w:val="1"/>
      <w:marLeft w:val="0"/>
      <w:marRight w:val="0"/>
      <w:marTop w:val="0"/>
      <w:marBottom w:val="0"/>
      <w:divBdr>
        <w:top w:val="none" w:sz="0" w:space="0" w:color="auto"/>
        <w:left w:val="none" w:sz="0" w:space="0" w:color="auto"/>
        <w:bottom w:val="none" w:sz="0" w:space="0" w:color="auto"/>
        <w:right w:val="none" w:sz="0" w:space="0" w:color="auto"/>
      </w:divBdr>
    </w:div>
    <w:div w:id="1300451242">
      <w:bodyDiv w:val="1"/>
      <w:marLeft w:val="0"/>
      <w:marRight w:val="0"/>
      <w:marTop w:val="0"/>
      <w:marBottom w:val="0"/>
      <w:divBdr>
        <w:top w:val="none" w:sz="0" w:space="0" w:color="auto"/>
        <w:left w:val="none" w:sz="0" w:space="0" w:color="auto"/>
        <w:bottom w:val="none" w:sz="0" w:space="0" w:color="auto"/>
        <w:right w:val="none" w:sz="0" w:space="0" w:color="auto"/>
      </w:divBdr>
    </w:div>
    <w:div w:id="1300451675">
      <w:bodyDiv w:val="1"/>
      <w:marLeft w:val="0"/>
      <w:marRight w:val="0"/>
      <w:marTop w:val="0"/>
      <w:marBottom w:val="0"/>
      <w:divBdr>
        <w:top w:val="none" w:sz="0" w:space="0" w:color="auto"/>
        <w:left w:val="none" w:sz="0" w:space="0" w:color="auto"/>
        <w:bottom w:val="none" w:sz="0" w:space="0" w:color="auto"/>
        <w:right w:val="none" w:sz="0" w:space="0" w:color="auto"/>
      </w:divBdr>
    </w:div>
    <w:div w:id="1300763462">
      <w:bodyDiv w:val="1"/>
      <w:marLeft w:val="0"/>
      <w:marRight w:val="0"/>
      <w:marTop w:val="0"/>
      <w:marBottom w:val="0"/>
      <w:divBdr>
        <w:top w:val="none" w:sz="0" w:space="0" w:color="auto"/>
        <w:left w:val="none" w:sz="0" w:space="0" w:color="auto"/>
        <w:bottom w:val="none" w:sz="0" w:space="0" w:color="auto"/>
        <w:right w:val="none" w:sz="0" w:space="0" w:color="auto"/>
      </w:divBdr>
    </w:div>
    <w:div w:id="1300841590">
      <w:bodyDiv w:val="1"/>
      <w:marLeft w:val="0"/>
      <w:marRight w:val="0"/>
      <w:marTop w:val="0"/>
      <w:marBottom w:val="0"/>
      <w:divBdr>
        <w:top w:val="none" w:sz="0" w:space="0" w:color="auto"/>
        <w:left w:val="none" w:sz="0" w:space="0" w:color="auto"/>
        <w:bottom w:val="none" w:sz="0" w:space="0" w:color="auto"/>
        <w:right w:val="none" w:sz="0" w:space="0" w:color="auto"/>
      </w:divBdr>
    </w:div>
    <w:div w:id="1301301361">
      <w:bodyDiv w:val="1"/>
      <w:marLeft w:val="0"/>
      <w:marRight w:val="0"/>
      <w:marTop w:val="0"/>
      <w:marBottom w:val="0"/>
      <w:divBdr>
        <w:top w:val="none" w:sz="0" w:space="0" w:color="auto"/>
        <w:left w:val="none" w:sz="0" w:space="0" w:color="auto"/>
        <w:bottom w:val="none" w:sz="0" w:space="0" w:color="auto"/>
        <w:right w:val="none" w:sz="0" w:space="0" w:color="auto"/>
      </w:divBdr>
    </w:div>
    <w:div w:id="1301306411">
      <w:bodyDiv w:val="1"/>
      <w:marLeft w:val="0"/>
      <w:marRight w:val="0"/>
      <w:marTop w:val="0"/>
      <w:marBottom w:val="0"/>
      <w:divBdr>
        <w:top w:val="none" w:sz="0" w:space="0" w:color="auto"/>
        <w:left w:val="none" w:sz="0" w:space="0" w:color="auto"/>
        <w:bottom w:val="none" w:sz="0" w:space="0" w:color="auto"/>
        <w:right w:val="none" w:sz="0" w:space="0" w:color="auto"/>
      </w:divBdr>
    </w:div>
    <w:div w:id="1301617532">
      <w:bodyDiv w:val="1"/>
      <w:marLeft w:val="0"/>
      <w:marRight w:val="0"/>
      <w:marTop w:val="0"/>
      <w:marBottom w:val="0"/>
      <w:divBdr>
        <w:top w:val="none" w:sz="0" w:space="0" w:color="auto"/>
        <w:left w:val="none" w:sz="0" w:space="0" w:color="auto"/>
        <w:bottom w:val="none" w:sz="0" w:space="0" w:color="auto"/>
        <w:right w:val="none" w:sz="0" w:space="0" w:color="auto"/>
      </w:divBdr>
    </w:div>
    <w:div w:id="1301768799">
      <w:bodyDiv w:val="1"/>
      <w:marLeft w:val="0"/>
      <w:marRight w:val="0"/>
      <w:marTop w:val="0"/>
      <w:marBottom w:val="0"/>
      <w:divBdr>
        <w:top w:val="none" w:sz="0" w:space="0" w:color="auto"/>
        <w:left w:val="none" w:sz="0" w:space="0" w:color="auto"/>
        <w:bottom w:val="none" w:sz="0" w:space="0" w:color="auto"/>
        <w:right w:val="none" w:sz="0" w:space="0" w:color="auto"/>
      </w:divBdr>
    </w:div>
    <w:div w:id="1301807588">
      <w:bodyDiv w:val="1"/>
      <w:marLeft w:val="0"/>
      <w:marRight w:val="0"/>
      <w:marTop w:val="0"/>
      <w:marBottom w:val="0"/>
      <w:divBdr>
        <w:top w:val="none" w:sz="0" w:space="0" w:color="auto"/>
        <w:left w:val="none" w:sz="0" w:space="0" w:color="auto"/>
        <w:bottom w:val="none" w:sz="0" w:space="0" w:color="auto"/>
        <w:right w:val="none" w:sz="0" w:space="0" w:color="auto"/>
      </w:divBdr>
    </w:div>
    <w:div w:id="1301883184">
      <w:bodyDiv w:val="1"/>
      <w:marLeft w:val="0"/>
      <w:marRight w:val="0"/>
      <w:marTop w:val="0"/>
      <w:marBottom w:val="0"/>
      <w:divBdr>
        <w:top w:val="none" w:sz="0" w:space="0" w:color="auto"/>
        <w:left w:val="none" w:sz="0" w:space="0" w:color="auto"/>
        <w:bottom w:val="none" w:sz="0" w:space="0" w:color="auto"/>
        <w:right w:val="none" w:sz="0" w:space="0" w:color="auto"/>
      </w:divBdr>
    </w:div>
    <w:div w:id="1301964145">
      <w:bodyDiv w:val="1"/>
      <w:marLeft w:val="0"/>
      <w:marRight w:val="0"/>
      <w:marTop w:val="0"/>
      <w:marBottom w:val="0"/>
      <w:divBdr>
        <w:top w:val="none" w:sz="0" w:space="0" w:color="auto"/>
        <w:left w:val="none" w:sz="0" w:space="0" w:color="auto"/>
        <w:bottom w:val="none" w:sz="0" w:space="0" w:color="auto"/>
        <w:right w:val="none" w:sz="0" w:space="0" w:color="auto"/>
      </w:divBdr>
    </w:div>
    <w:div w:id="1302348694">
      <w:bodyDiv w:val="1"/>
      <w:marLeft w:val="0"/>
      <w:marRight w:val="0"/>
      <w:marTop w:val="0"/>
      <w:marBottom w:val="0"/>
      <w:divBdr>
        <w:top w:val="none" w:sz="0" w:space="0" w:color="auto"/>
        <w:left w:val="none" w:sz="0" w:space="0" w:color="auto"/>
        <w:bottom w:val="none" w:sz="0" w:space="0" w:color="auto"/>
        <w:right w:val="none" w:sz="0" w:space="0" w:color="auto"/>
      </w:divBdr>
    </w:div>
    <w:div w:id="1302417493">
      <w:bodyDiv w:val="1"/>
      <w:marLeft w:val="0"/>
      <w:marRight w:val="0"/>
      <w:marTop w:val="0"/>
      <w:marBottom w:val="0"/>
      <w:divBdr>
        <w:top w:val="none" w:sz="0" w:space="0" w:color="auto"/>
        <w:left w:val="none" w:sz="0" w:space="0" w:color="auto"/>
        <w:bottom w:val="none" w:sz="0" w:space="0" w:color="auto"/>
        <w:right w:val="none" w:sz="0" w:space="0" w:color="auto"/>
      </w:divBdr>
    </w:div>
    <w:div w:id="1302687624">
      <w:bodyDiv w:val="1"/>
      <w:marLeft w:val="0"/>
      <w:marRight w:val="0"/>
      <w:marTop w:val="0"/>
      <w:marBottom w:val="0"/>
      <w:divBdr>
        <w:top w:val="none" w:sz="0" w:space="0" w:color="auto"/>
        <w:left w:val="none" w:sz="0" w:space="0" w:color="auto"/>
        <w:bottom w:val="none" w:sz="0" w:space="0" w:color="auto"/>
        <w:right w:val="none" w:sz="0" w:space="0" w:color="auto"/>
      </w:divBdr>
    </w:div>
    <w:div w:id="1303195166">
      <w:bodyDiv w:val="1"/>
      <w:marLeft w:val="0"/>
      <w:marRight w:val="0"/>
      <w:marTop w:val="0"/>
      <w:marBottom w:val="0"/>
      <w:divBdr>
        <w:top w:val="none" w:sz="0" w:space="0" w:color="auto"/>
        <w:left w:val="none" w:sz="0" w:space="0" w:color="auto"/>
        <w:bottom w:val="none" w:sz="0" w:space="0" w:color="auto"/>
        <w:right w:val="none" w:sz="0" w:space="0" w:color="auto"/>
      </w:divBdr>
    </w:div>
    <w:div w:id="1303844952">
      <w:bodyDiv w:val="1"/>
      <w:marLeft w:val="0"/>
      <w:marRight w:val="0"/>
      <w:marTop w:val="0"/>
      <w:marBottom w:val="0"/>
      <w:divBdr>
        <w:top w:val="none" w:sz="0" w:space="0" w:color="auto"/>
        <w:left w:val="none" w:sz="0" w:space="0" w:color="auto"/>
        <w:bottom w:val="none" w:sz="0" w:space="0" w:color="auto"/>
        <w:right w:val="none" w:sz="0" w:space="0" w:color="auto"/>
      </w:divBdr>
    </w:div>
    <w:div w:id="1304651761">
      <w:bodyDiv w:val="1"/>
      <w:marLeft w:val="0"/>
      <w:marRight w:val="0"/>
      <w:marTop w:val="0"/>
      <w:marBottom w:val="0"/>
      <w:divBdr>
        <w:top w:val="none" w:sz="0" w:space="0" w:color="auto"/>
        <w:left w:val="none" w:sz="0" w:space="0" w:color="auto"/>
        <w:bottom w:val="none" w:sz="0" w:space="0" w:color="auto"/>
        <w:right w:val="none" w:sz="0" w:space="0" w:color="auto"/>
      </w:divBdr>
    </w:div>
    <w:div w:id="1305231282">
      <w:bodyDiv w:val="1"/>
      <w:marLeft w:val="0"/>
      <w:marRight w:val="0"/>
      <w:marTop w:val="0"/>
      <w:marBottom w:val="0"/>
      <w:divBdr>
        <w:top w:val="none" w:sz="0" w:space="0" w:color="auto"/>
        <w:left w:val="none" w:sz="0" w:space="0" w:color="auto"/>
        <w:bottom w:val="none" w:sz="0" w:space="0" w:color="auto"/>
        <w:right w:val="none" w:sz="0" w:space="0" w:color="auto"/>
      </w:divBdr>
    </w:div>
    <w:div w:id="1305424092">
      <w:bodyDiv w:val="1"/>
      <w:marLeft w:val="0"/>
      <w:marRight w:val="0"/>
      <w:marTop w:val="0"/>
      <w:marBottom w:val="0"/>
      <w:divBdr>
        <w:top w:val="none" w:sz="0" w:space="0" w:color="auto"/>
        <w:left w:val="none" w:sz="0" w:space="0" w:color="auto"/>
        <w:bottom w:val="none" w:sz="0" w:space="0" w:color="auto"/>
        <w:right w:val="none" w:sz="0" w:space="0" w:color="auto"/>
      </w:divBdr>
    </w:div>
    <w:div w:id="1305425501">
      <w:bodyDiv w:val="1"/>
      <w:marLeft w:val="0"/>
      <w:marRight w:val="0"/>
      <w:marTop w:val="0"/>
      <w:marBottom w:val="0"/>
      <w:divBdr>
        <w:top w:val="none" w:sz="0" w:space="0" w:color="auto"/>
        <w:left w:val="none" w:sz="0" w:space="0" w:color="auto"/>
        <w:bottom w:val="none" w:sz="0" w:space="0" w:color="auto"/>
        <w:right w:val="none" w:sz="0" w:space="0" w:color="auto"/>
      </w:divBdr>
    </w:div>
    <w:div w:id="1305768843">
      <w:bodyDiv w:val="1"/>
      <w:marLeft w:val="0"/>
      <w:marRight w:val="0"/>
      <w:marTop w:val="0"/>
      <w:marBottom w:val="0"/>
      <w:divBdr>
        <w:top w:val="none" w:sz="0" w:space="0" w:color="auto"/>
        <w:left w:val="none" w:sz="0" w:space="0" w:color="auto"/>
        <w:bottom w:val="none" w:sz="0" w:space="0" w:color="auto"/>
        <w:right w:val="none" w:sz="0" w:space="0" w:color="auto"/>
      </w:divBdr>
    </w:div>
    <w:div w:id="1306006561">
      <w:bodyDiv w:val="1"/>
      <w:marLeft w:val="0"/>
      <w:marRight w:val="0"/>
      <w:marTop w:val="0"/>
      <w:marBottom w:val="0"/>
      <w:divBdr>
        <w:top w:val="none" w:sz="0" w:space="0" w:color="auto"/>
        <w:left w:val="none" w:sz="0" w:space="0" w:color="auto"/>
        <w:bottom w:val="none" w:sz="0" w:space="0" w:color="auto"/>
        <w:right w:val="none" w:sz="0" w:space="0" w:color="auto"/>
      </w:divBdr>
    </w:div>
    <w:div w:id="1306011178">
      <w:bodyDiv w:val="1"/>
      <w:marLeft w:val="0"/>
      <w:marRight w:val="0"/>
      <w:marTop w:val="0"/>
      <w:marBottom w:val="0"/>
      <w:divBdr>
        <w:top w:val="none" w:sz="0" w:space="0" w:color="auto"/>
        <w:left w:val="none" w:sz="0" w:space="0" w:color="auto"/>
        <w:bottom w:val="none" w:sz="0" w:space="0" w:color="auto"/>
        <w:right w:val="none" w:sz="0" w:space="0" w:color="auto"/>
      </w:divBdr>
    </w:div>
    <w:div w:id="1306199226">
      <w:bodyDiv w:val="1"/>
      <w:marLeft w:val="0"/>
      <w:marRight w:val="0"/>
      <w:marTop w:val="0"/>
      <w:marBottom w:val="0"/>
      <w:divBdr>
        <w:top w:val="none" w:sz="0" w:space="0" w:color="auto"/>
        <w:left w:val="none" w:sz="0" w:space="0" w:color="auto"/>
        <w:bottom w:val="none" w:sz="0" w:space="0" w:color="auto"/>
        <w:right w:val="none" w:sz="0" w:space="0" w:color="auto"/>
      </w:divBdr>
    </w:div>
    <w:div w:id="1306277454">
      <w:bodyDiv w:val="1"/>
      <w:marLeft w:val="0"/>
      <w:marRight w:val="0"/>
      <w:marTop w:val="0"/>
      <w:marBottom w:val="0"/>
      <w:divBdr>
        <w:top w:val="none" w:sz="0" w:space="0" w:color="auto"/>
        <w:left w:val="none" w:sz="0" w:space="0" w:color="auto"/>
        <w:bottom w:val="none" w:sz="0" w:space="0" w:color="auto"/>
        <w:right w:val="none" w:sz="0" w:space="0" w:color="auto"/>
      </w:divBdr>
    </w:div>
    <w:div w:id="1306663864">
      <w:bodyDiv w:val="1"/>
      <w:marLeft w:val="0"/>
      <w:marRight w:val="0"/>
      <w:marTop w:val="0"/>
      <w:marBottom w:val="0"/>
      <w:divBdr>
        <w:top w:val="none" w:sz="0" w:space="0" w:color="auto"/>
        <w:left w:val="none" w:sz="0" w:space="0" w:color="auto"/>
        <w:bottom w:val="none" w:sz="0" w:space="0" w:color="auto"/>
        <w:right w:val="none" w:sz="0" w:space="0" w:color="auto"/>
      </w:divBdr>
    </w:div>
    <w:div w:id="1307010593">
      <w:bodyDiv w:val="1"/>
      <w:marLeft w:val="0"/>
      <w:marRight w:val="0"/>
      <w:marTop w:val="0"/>
      <w:marBottom w:val="0"/>
      <w:divBdr>
        <w:top w:val="none" w:sz="0" w:space="0" w:color="auto"/>
        <w:left w:val="none" w:sz="0" w:space="0" w:color="auto"/>
        <w:bottom w:val="none" w:sz="0" w:space="0" w:color="auto"/>
        <w:right w:val="none" w:sz="0" w:space="0" w:color="auto"/>
      </w:divBdr>
    </w:div>
    <w:div w:id="1307707228">
      <w:bodyDiv w:val="1"/>
      <w:marLeft w:val="0"/>
      <w:marRight w:val="0"/>
      <w:marTop w:val="0"/>
      <w:marBottom w:val="0"/>
      <w:divBdr>
        <w:top w:val="none" w:sz="0" w:space="0" w:color="auto"/>
        <w:left w:val="none" w:sz="0" w:space="0" w:color="auto"/>
        <w:bottom w:val="none" w:sz="0" w:space="0" w:color="auto"/>
        <w:right w:val="none" w:sz="0" w:space="0" w:color="auto"/>
      </w:divBdr>
    </w:div>
    <w:div w:id="1307777758">
      <w:bodyDiv w:val="1"/>
      <w:marLeft w:val="0"/>
      <w:marRight w:val="0"/>
      <w:marTop w:val="0"/>
      <w:marBottom w:val="0"/>
      <w:divBdr>
        <w:top w:val="none" w:sz="0" w:space="0" w:color="auto"/>
        <w:left w:val="none" w:sz="0" w:space="0" w:color="auto"/>
        <w:bottom w:val="none" w:sz="0" w:space="0" w:color="auto"/>
        <w:right w:val="none" w:sz="0" w:space="0" w:color="auto"/>
      </w:divBdr>
    </w:div>
    <w:div w:id="1307930265">
      <w:bodyDiv w:val="1"/>
      <w:marLeft w:val="0"/>
      <w:marRight w:val="0"/>
      <w:marTop w:val="0"/>
      <w:marBottom w:val="0"/>
      <w:divBdr>
        <w:top w:val="none" w:sz="0" w:space="0" w:color="auto"/>
        <w:left w:val="none" w:sz="0" w:space="0" w:color="auto"/>
        <w:bottom w:val="none" w:sz="0" w:space="0" w:color="auto"/>
        <w:right w:val="none" w:sz="0" w:space="0" w:color="auto"/>
      </w:divBdr>
    </w:div>
    <w:div w:id="1308319594">
      <w:bodyDiv w:val="1"/>
      <w:marLeft w:val="0"/>
      <w:marRight w:val="0"/>
      <w:marTop w:val="0"/>
      <w:marBottom w:val="0"/>
      <w:divBdr>
        <w:top w:val="none" w:sz="0" w:space="0" w:color="auto"/>
        <w:left w:val="none" w:sz="0" w:space="0" w:color="auto"/>
        <w:bottom w:val="none" w:sz="0" w:space="0" w:color="auto"/>
        <w:right w:val="none" w:sz="0" w:space="0" w:color="auto"/>
      </w:divBdr>
    </w:div>
    <w:div w:id="1308782366">
      <w:bodyDiv w:val="1"/>
      <w:marLeft w:val="0"/>
      <w:marRight w:val="0"/>
      <w:marTop w:val="0"/>
      <w:marBottom w:val="0"/>
      <w:divBdr>
        <w:top w:val="none" w:sz="0" w:space="0" w:color="auto"/>
        <w:left w:val="none" w:sz="0" w:space="0" w:color="auto"/>
        <w:bottom w:val="none" w:sz="0" w:space="0" w:color="auto"/>
        <w:right w:val="none" w:sz="0" w:space="0" w:color="auto"/>
      </w:divBdr>
    </w:div>
    <w:div w:id="1309551464">
      <w:bodyDiv w:val="1"/>
      <w:marLeft w:val="0"/>
      <w:marRight w:val="0"/>
      <w:marTop w:val="0"/>
      <w:marBottom w:val="0"/>
      <w:divBdr>
        <w:top w:val="none" w:sz="0" w:space="0" w:color="auto"/>
        <w:left w:val="none" w:sz="0" w:space="0" w:color="auto"/>
        <w:bottom w:val="none" w:sz="0" w:space="0" w:color="auto"/>
        <w:right w:val="none" w:sz="0" w:space="0" w:color="auto"/>
      </w:divBdr>
    </w:div>
    <w:div w:id="1311444890">
      <w:bodyDiv w:val="1"/>
      <w:marLeft w:val="0"/>
      <w:marRight w:val="0"/>
      <w:marTop w:val="0"/>
      <w:marBottom w:val="0"/>
      <w:divBdr>
        <w:top w:val="none" w:sz="0" w:space="0" w:color="auto"/>
        <w:left w:val="none" w:sz="0" w:space="0" w:color="auto"/>
        <w:bottom w:val="none" w:sz="0" w:space="0" w:color="auto"/>
        <w:right w:val="none" w:sz="0" w:space="0" w:color="auto"/>
      </w:divBdr>
    </w:div>
    <w:div w:id="1312055910">
      <w:bodyDiv w:val="1"/>
      <w:marLeft w:val="0"/>
      <w:marRight w:val="0"/>
      <w:marTop w:val="0"/>
      <w:marBottom w:val="0"/>
      <w:divBdr>
        <w:top w:val="none" w:sz="0" w:space="0" w:color="auto"/>
        <w:left w:val="none" w:sz="0" w:space="0" w:color="auto"/>
        <w:bottom w:val="none" w:sz="0" w:space="0" w:color="auto"/>
        <w:right w:val="none" w:sz="0" w:space="0" w:color="auto"/>
      </w:divBdr>
    </w:div>
    <w:div w:id="1312323518">
      <w:bodyDiv w:val="1"/>
      <w:marLeft w:val="0"/>
      <w:marRight w:val="0"/>
      <w:marTop w:val="0"/>
      <w:marBottom w:val="0"/>
      <w:divBdr>
        <w:top w:val="none" w:sz="0" w:space="0" w:color="auto"/>
        <w:left w:val="none" w:sz="0" w:space="0" w:color="auto"/>
        <w:bottom w:val="none" w:sz="0" w:space="0" w:color="auto"/>
        <w:right w:val="none" w:sz="0" w:space="0" w:color="auto"/>
      </w:divBdr>
    </w:div>
    <w:div w:id="1312634516">
      <w:bodyDiv w:val="1"/>
      <w:marLeft w:val="0"/>
      <w:marRight w:val="0"/>
      <w:marTop w:val="0"/>
      <w:marBottom w:val="0"/>
      <w:divBdr>
        <w:top w:val="none" w:sz="0" w:space="0" w:color="auto"/>
        <w:left w:val="none" w:sz="0" w:space="0" w:color="auto"/>
        <w:bottom w:val="none" w:sz="0" w:space="0" w:color="auto"/>
        <w:right w:val="none" w:sz="0" w:space="0" w:color="auto"/>
      </w:divBdr>
    </w:div>
    <w:div w:id="1312827951">
      <w:bodyDiv w:val="1"/>
      <w:marLeft w:val="0"/>
      <w:marRight w:val="0"/>
      <w:marTop w:val="0"/>
      <w:marBottom w:val="0"/>
      <w:divBdr>
        <w:top w:val="none" w:sz="0" w:space="0" w:color="auto"/>
        <w:left w:val="none" w:sz="0" w:space="0" w:color="auto"/>
        <w:bottom w:val="none" w:sz="0" w:space="0" w:color="auto"/>
        <w:right w:val="none" w:sz="0" w:space="0" w:color="auto"/>
      </w:divBdr>
    </w:div>
    <w:div w:id="1313018701">
      <w:bodyDiv w:val="1"/>
      <w:marLeft w:val="0"/>
      <w:marRight w:val="0"/>
      <w:marTop w:val="0"/>
      <w:marBottom w:val="0"/>
      <w:divBdr>
        <w:top w:val="none" w:sz="0" w:space="0" w:color="auto"/>
        <w:left w:val="none" w:sz="0" w:space="0" w:color="auto"/>
        <w:bottom w:val="none" w:sz="0" w:space="0" w:color="auto"/>
        <w:right w:val="none" w:sz="0" w:space="0" w:color="auto"/>
      </w:divBdr>
    </w:div>
    <w:div w:id="1313946471">
      <w:bodyDiv w:val="1"/>
      <w:marLeft w:val="0"/>
      <w:marRight w:val="0"/>
      <w:marTop w:val="0"/>
      <w:marBottom w:val="0"/>
      <w:divBdr>
        <w:top w:val="none" w:sz="0" w:space="0" w:color="auto"/>
        <w:left w:val="none" w:sz="0" w:space="0" w:color="auto"/>
        <w:bottom w:val="none" w:sz="0" w:space="0" w:color="auto"/>
        <w:right w:val="none" w:sz="0" w:space="0" w:color="auto"/>
      </w:divBdr>
    </w:div>
    <w:div w:id="1314410732">
      <w:bodyDiv w:val="1"/>
      <w:marLeft w:val="0"/>
      <w:marRight w:val="0"/>
      <w:marTop w:val="0"/>
      <w:marBottom w:val="0"/>
      <w:divBdr>
        <w:top w:val="none" w:sz="0" w:space="0" w:color="auto"/>
        <w:left w:val="none" w:sz="0" w:space="0" w:color="auto"/>
        <w:bottom w:val="none" w:sz="0" w:space="0" w:color="auto"/>
        <w:right w:val="none" w:sz="0" w:space="0" w:color="auto"/>
      </w:divBdr>
    </w:div>
    <w:div w:id="1314674816">
      <w:bodyDiv w:val="1"/>
      <w:marLeft w:val="0"/>
      <w:marRight w:val="0"/>
      <w:marTop w:val="0"/>
      <w:marBottom w:val="0"/>
      <w:divBdr>
        <w:top w:val="none" w:sz="0" w:space="0" w:color="auto"/>
        <w:left w:val="none" w:sz="0" w:space="0" w:color="auto"/>
        <w:bottom w:val="none" w:sz="0" w:space="0" w:color="auto"/>
        <w:right w:val="none" w:sz="0" w:space="0" w:color="auto"/>
      </w:divBdr>
    </w:div>
    <w:div w:id="1314946475">
      <w:bodyDiv w:val="1"/>
      <w:marLeft w:val="0"/>
      <w:marRight w:val="0"/>
      <w:marTop w:val="0"/>
      <w:marBottom w:val="0"/>
      <w:divBdr>
        <w:top w:val="none" w:sz="0" w:space="0" w:color="auto"/>
        <w:left w:val="none" w:sz="0" w:space="0" w:color="auto"/>
        <w:bottom w:val="none" w:sz="0" w:space="0" w:color="auto"/>
        <w:right w:val="none" w:sz="0" w:space="0" w:color="auto"/>
      </w:divBdr>
    </w:div>
    <w:div w:id="1315063400">
      <w:bodyDiv w:val="1"/>
      <w:marLeft w:val="0"/>
      <w:marRight w:val="0"/>
      <w:marTop w:val="0"/>
      <w:marBottom w:val="0"/>
      <w:divBdr>
        <w:top w:val="none" w:sz="0" w:space="0" w:color="auto"/>
        <w:left w:val="none" w:sz="0" w:space="0" w:color="auto"/>
        <w:bottom w:val="none" w:sz="0" w:space="0" w:color="auto"/>
        <w:right w:val="none" w:sz="0" w:space="0" w:color="auto"/>
      </w:divBdr>
    </w:div>
    <w:div w:id="1315135866">
      <w:bodyDiv w:val="1"/>
      <w:marLeft w:val="0"/>
      <w:marRight w:val="0"/>
      <w:marTop w:val="0"/>
      <w:marBottom w:val="0"/>
      <w:divBdr>
        <w:top w:val="none" w:sz="0" w:space="0" w:color="auto"/>
        <w:left w:val="none" w:sz="0" w:space="0" w:color="auto"/>
        <w:bottom w:val="none" w:sz="0" w:space="0" w:color="auto"/>
        <w:right w:val="none" w:sz="0" w:space="0" w:color="auto"/>
      </w:divBdr>
    </w:div>
    <w:div w:id="1315178285">
      <w:bodyDiv w:val="1"/>
      <w:marLeft w:val="0"/>
      <w:marRight w:val="0"/>
      <w:marTop w:val="0"/>
      <w:marBottom w:val="0"/>
      <w:divBdr>
        <w:top w:val="none" w:sz="0" w:space="0" w:color="auto"/>
        <w:left w:val="none" w:sz="0" w:space="0" w:color="auto"/>
        <w:bottom w:val="none" w:sz="0" w:space="0" w:color="auto"/>
        <w:right w:val="none" w:sz="0" w:space="0" w:color="auto"/>
      </w:divBdr>
    </w:div>
    <w:div w:id="1315374018">
      <w:bodyDiv w:val="1"/>
      <w:marLeft w:val="0"/>
      <w:marRight w:val="0"/>
      <w:marTop w:val="0"/>
      <w:marBottom w:val="0"/>
      <w:divBdr>
        <w:top w:val="none" w:sz="0" w:space="0" w:color="auto"/>
        <w:left w:val="none" w:sz="0" w:space="0" w:color="auto"/>
        <w:bottom w:val="none" w:sz="0" w:space="0" w:color="auto"/>
        <w:right w:val="none" w:sz="0" w:space="0" w:color="auto"/>
      </w:divBdr>
    </w:div>
    <w:div w:id="1315404360">
      <w:bodyDiv w:val="1"/>
      <w:marLeft w:val="0"/>
      <w:marRight w:val="0"/>
      <w:marTop w:val="0"/>
      <w:marBottom w:val="0"/>
      <w:divBdr>
        <w:top w:val="none" w:sz="0" w:space="0" w:color="auto"/>
        <w:left w:val="none" w:sz="0" w:space="0" w:color="auto"/>
        <w:bottom w:val="none" w:sz="0" w:space="0" w:color="auto"/>
        <w:right w:val="none" w:sz="0" w:space="0" w:color="auto"/>
      </w:divBdr>
    </w:div>
    <w:div w:id="1315794244">
      <w:bodyDiv w:val="1"/>
      <w:marLeft w:val="0"/>
      <w:marRight w:val="0"/>
      <w:marTop w:val="0"/>
      <w:marBottom w:val="0"/>
      <w:divBdr>
        <w:top w:val="none" w:sz="0" w:space="0" w:color="auto"/>
        <w:left w:val="none" w:sz="0" w:space="0" w:color="auto"/>
        <w:bottom w:val="none" w:sz="0" w:space="0" w:color="auto"/>
        <w:right w:val="none" w:sz="0" w:space="0" w:color="auto"/>
      </w:divBdr>
    </w:div>
    <w:div w:id="1316035881">
      <w:bodyDiv w:val="1"/>
      <w:marLeft w:val="0"/>
      <w:marRight w:val="0"/>
      <w:marTop w:val="0"/>
      <w:marBottom w:val="0"/>
      <w:divBdr>
        <w:top w:val="none" w:sz="0" w:space="0" w:color="auto"/>
        <w:left w:val="none" w:sz="0" w:space="0" w:color="auto"/>
        <w:bottom w:val="none" w:sz="0" w:space="0" w:color="auto"/>
        <w:right w:val="none" w:sz="0" w:space="0" w:color="auto"/>
      </w:divBdr>
    </w:div>
    <w:div w:id="1316107848">
      <w:bodyDiv w:val="1"/>
      <w:marLeft w:val="0"/>
      <w:marRight w:val="0"/>
      <w:marTop w:val="0"/>
      <w:marBottom w:val="0"/>
      <w:divBdr>
        <w:top w:val="none" w:sz="0" w:space="0" w:color="auto"/>
        <w:left w:val="none" w:sz="0" w:space="0" w:color="auto"/>
        <w:bottom w:val="none" w:sz="0" w:space="0" w:color="auto"/>
        <w:right w:val="none" w:sz="0" w:space="0" w:color="auto"/>
      </w:divBdr>
    </w:div>
    <w:div w:id="1316300694">
      <w:bodyDiv w:val="1"/>
      <w:marLeft w:val="0"/>
      <w:marRight w:val="0"/>
      <w:marTop w:val="0"/>
      <w:marBottom w:val="0"/>
      <w:divBdr>
        <w:top w:val="none" w:sz="0" w:space="0" w:color="auto"/>
        <w:left w:val="none" w:sz="0" w:space="0" w:color="auto"/>
        <w:bottom w:val="none" w:sz="0" w:space="0" w:color="auto"/>
        <w:right w:val="none" w:sz="0" w:space="0" w:color="auto"/>
      </w:divBdr>
    </w:div>
    <w:div w:id="1316494753">
      <w:bodyDiv w:val="1"/>
      <w:marLeft w:val="0"/>
      <w:marRight w:val="0"/>
      <w:marTop w:val="0"/>
      <w:marBottom w:val="0"/>
      <w:divBdr>
        <w:top w:val="none" w:sz="0" w:space="0" w:color="auto"/>
        <w:left w:val="none" w:sz="0" w:space="0" w:color="auto"/>
        <w:bottom w:val="none" w:sz="0" w:space="0" w:color="auto"/>
        <w:right w:val="none" w:sz="0" w:space="0" w:color="auto"/>
      </w:divBdr>
    </w:div>
    <w:div w:id="1316573228">
      <w:bodyDiv w:val="1"/>
      <w:marLeft w:val="0"/>
      <w:marRight w:val="0"/>
      <w:marTop w:val="0"/>
      <w:marBottom w:val="0"/>
      <w:divBdr>
        <w:top w:val="none" w:sz="0" w:space="0" w:color="auto"/>
        <w:left w:val="none" w:sz="0" w:space="0" w:color="auto"/>
        <w:bottom w:val="none" w:sz="0" w:space="0" w:color="auto"/>
        <w:right w:val="none" w:sz="0" w:space="0" w:color="auto"/>
      </w:divBdr>
    </w:div>
    <w:div w:id="1316757791">
      <w:bodyDiv w:val="1"/>
      <w:marLeft w:val="0"/>
      <w:marRight w:val="0"/>
      <w:marTop w:val="0"/>
      <w:marBottom w:val="0"/>
      <w:divBdr>
        <w:top w:val="none" w:sz="0" w:space="0" w:color="auto"/>
        <w:left w:val="none" w:sz="0" w:space="0" w:color="auto"/>
        <w:bottom w:val="none" w:sz="0" w:space="0" w:color="auto"/>
        <w:right w:val="none" w:sz="0" w:space="0" w:color="auto"/>
      </w:divBdr>
    </w:div>
    <w:div w:id="1316910941">
      <w:bodyDiv w:val="1"/>
      <w:marLeft w:val="0"/>
      <w:marRight w:val="0"/>
      <w:marTop w:val="0"/>
      <w:marBottom w:val="0"/>
      <w:divBdr>
        <w:top w:val="none" w:sz="0" w:space="0" w:color="auto"/>
        <w:left w:val="none" w:sz="0" w:space="0" w:color="auto"/>
        <w:bottom w:val="none" w:sz="0" w:space="0" w:color="auto"/>
        <w:right w:val="none" w:sz="0" w:space="0" w:color="auto"/>
      </w:divBdr>
    </w:div>
    <w:div w:id="1317370896">
      <w:bodyDiv w:val="1"/>
      <w:marLeft w:val="0"/>
      <w:marRight w:val="0"/>
      <w:marTop w:val="0"/>
      <w:marBottom w:val="0"/>
      <w:divBdr>
        <w:top w:val="none" w:sz="0" w:space="0" w:color="auto"/>
        <w:left w:val="none" w:sz="0" w:space="0" w:color="auto"/>
        <w:bottom w:val="none" w:sz="0" w:space="0" w:color="auto"/>
        <w:right w:val="none" w:sz="0" w:space="0" w:color="auto"/>
      </w:divBdr>
    </w:div>
    <w:div w:id="1317799828">
      <w:bodyDiv w:val="1"/>
      <w:marLeft w:val="0"/>
      <w:marRight w:val="0"/>
      <w:marTop w:val="0"/>
      <w:marBottom w:val="0"/>
      <w:divBdr>
        <w:top w:val="none" w:sz="0" w:space="0" w:color="auto"/>
        <w:left w:val="none" w:sz="0" w:space="0" w:color="auto"/>
        <w:bottom w:val="none" w:sz="0" w:space="0" w:color="auto"/>
        <w:right w:val="none" w:sz="0" w:space="0" w:color="auto"/>
      </w:divBdr>
    </w:div>
    <w:div w:id="1318605302">
      <w:bodyDiv w:val="1"/>
      <w:marLeft w:val="0"/>
      <w:marRight w:val="0"/>
      <w:marTop w:val="0"/>
      <w:marBottom w:val="0"/>
      <w:divBdr>
        <w:top w:val="none" w:sz="0" w:space="0" w:color="auto"/>
        <w:left w:val="none" w:sz="0" w:space="0" w:color="auto"/>
        <w:bottom w:val="none" w:sz="0" w:space="0" w:color="auto"/>
        <w:right w:val="none" w:sz="0" w:space="0" w:color="auto"/>
      </w:divBdr>
    </w:div>
    <w:div w:id="1318652499">
      <w:bodyDiv w:val="1"/>
      <w:marLeft w:val="0"/>
      <w:marRight w:val="0"/>
      <w:marTop w:val="0"/>
      <w:marBottom w:val="0"/>
      <w:divBdr>
        <w:top w:val="none" w:sz="0" w:space="0" w:color="auto"/>
        <w:left w:val="none" w:sz="0" w:space="0" w:color="auto"/>
        <w:bottom w:val="none" w:sz="0" w:space="0" w:color="auto"/>
        <w:right w:val="none" w:sz="0" w:space="0" w:color="auto"/>
      </w:divBdr>
    </w:div>
    <w:div w:id="1318917483">
      <w:bodyDiv w:val="1"/>
      <w:marLeft w:val="0"/>
      <w:marRight w:val="0"/>
      <w:marTop w:val="0"/>
      <w:marBottom w:val="0"/>
      <w:divBdr>
        <w:top w:val="none" w:sz="0" w:space="0" w:color="auto"/>
        <w:left w:val="none" w:sz="0" w:space="0" w:color="auto"/>
        <w:bottom w:val="none" w:sz="0" w:space="0" w:color="auto"/>
        <w:right w:val="none" w:sz="0" w:space="0" w:color="auto"/>
      </w:divBdr>
    </w:div>
    <w:div w:id="1319070364">
      <w:bodyDiv w:val="1"/>
      <w:marLeft w:val="0"/>
      <w:marRight w:val="0"/>
      <w:marTop w:val="0"/>
      <w:marBottom w:val="0"/>
      <w:divBdr>
        <w:top w:val="none" w:sz="0" w:space="0" w:color="auto"/>
        <w:left w:val="none" w:sz="0" w:space="0" w:color="auto"/>
        <w:bottom w:val="none" w:sz="0" w:space="0" w:color="auto"/>
        <w:right w:val="none" w:sz="0" w:space="0" w:color="auto"/>
      </w:divBdr>
    </w:div>
    <w:div w:id="1319110988">
      <w:bodyDiv w:val="1"/>
      <w:marLeft w:val="0"/>
      <w:marRight w:val="0"/>
      <w:marTop w:val="0"/>
      <w:marBottom w:val="0"/>
      <w:divBdr>
        <w:top w:val="none" w:sz="0" w:space="0" w:color="auto"/>
        <w:left w:val="none" w:sz="0" w:space="0" w:color="auto"/>
        <w:bottom w:val="none" w:sz="0" w:space="0" w:color="auto"/>
        <w:right w:val="none" w:sz="0" w:space="0" w:color="auto"/>
      </w:divBdr>
    </w:div>
    <w:div w:id="1319261569">
      <w:bodyDiv w:val="1"/>
      <w:marLeft w:val="0"/>
      <w:marRight w:val="0"/>
      <w:marTop w:val="0"/>
      <w:marBottom w:val="0"/>
      <w:divBdr>
        <w:top w:val="none" w:sz="0" w:space="0" w:color="auto"/>
        <w:left w:val="none" w:sz="0" w:space="0" w:color="auto"/>
        <w:bottom w:val="none" w:sz="0" w:space="0" w:color="auto"/>
        <w:right w:val="none" w:sz="0" w:space="0" w:color="auto"/>
      </w:divBdr>
    </w:div>
    <w:div w:id="1319573189">
      <w:bodyDiv w:val="1"/>
      <w:marLeft w:val="0"/>
      <w:marRight w:val="0"/>
      <w:marTop w:val="0"/>
      <w:marBottom w:val="0"/>
      <w:divBdr>
        <w:top w:val="none" w:sz="0" w:space="0" w:color="auto"/>
        <w:left w:val="none" w:sz="0" w:space="0" w:color="auto"/>
        <w:bottom w:val="none" w:sz="0" w:space="0" w:color="auto"/>
        <w:right w:val="none" w:sz="0" w:space="0" w:color="auto"/>
      </w:divBdr>
    </w:div>
    <w:div w:id="1320310354">
      <w:bodyDiv w:val="1"/>
      <w:marLeft w:val="0"/>
      <w:marRight w:val="0"/>
      <w:marTop w:val="0"/>
      <w:marBottom w:val="0"/>
      <w:divBdr>
        <w:top w:val="none" w:sz="0" w:space="0" w:color="auto"/>
        <w:left w:val="none" w:sz="0" w:space="0" w:color="auto"/>
        <w:bottom w:val="none" w:sz="0" w:space="0" w:color="auto"/>
        <w:right w:val="none" w:sz="0" w:space="0" w:color="auto"/>
      </w:divBdr>
    </w:div>
    <w:div w:id="1320765532">
      <w:bodyDiv w:val="1"/>
      <w:marLeft w:val="0"/>
      <w:marRight w:val="0"/>
      <w:marTop w:val="0"/>
      <w:marBottom w:val="0"/>
      <w:divBdr>
        <w:top w:val="none" w:sz="0" w:space="0" w:color="auto"/>
        <w:left w:val="none" w:sz="0" w:space="0" w:color="auto"/>
        <w:bottom w:val="none" w:sz="0" w:space="0" w:color="auto"/>
        <w:right w:val="none" w:sz="0" w:space="0" w:color="auto"/>
      </w:divBdr>
    </w:div>
    <w:div w:id="1320888247">
      <w:bodyDiv w:val="1"/>
      <w:marLeft w:val="0"/>
      <w:marRight w:val="0"/>
      <w:marTop w:val="0"/>
      <w:marBottom w:val="0"/>
      <w:divBdr>
        <w:top w:val="none" w:sz="0" w:space="0" w:color="auto"/>
        <w:left w:val="none" w:sz="0" w:space="0" w:color="auto"/>
        <w:bottom w:val="none" w:sz="0" w:space="0" w:color="auto"/>
        <w:right w:val="none" w:sz="0" w:space="0" w:color="auto"/>
      </w:divBdr>
    </w:div>
    <w:div w:id="1321041872">
      <w:bodyDiv w:val="1"/>
      <w:marLeft w:val="0"/>
      <w:marRight w:val="0"/>
      <w:marTop w:val="0"/>
      <w:marBottom w:val="0"/>
      <w:divBdr>
        <w:top w:val="none" w:sz="0" w:space="0" w:color="auto"/>
        <w:left w:val="none" w:sz="0" w:space="0" w:color="auto"/>
        <w:bottom w:val="none" w:sz="0" w:space="0" w:color="auto"/>
        <w:right w:val="none" w:sz="0" w:space="0" w:color="auto"/>
      </w:divBdr>
    </w:div>
    <w:div w:id="1323463833">
      <w:bodyDiv w:val="1"/>
      <w:marLeft w:val="0"/>
      <w:marRight w:val="0"/>
      <w:marTop w:val="0"/>
      <w:marBottom w:val="0"/>
      <w:divBdr>
        <w:top w:val="none" w:sz="0" w:space="0" w:color="auto"/>
        <w:left w:val="none" w:sz="0" w:space="0" w:color="auto"/>
        <w:bottom w:val="none" w:sz="0" w:space="0" w:color="auto"/>
        <w:right w:val="none" w:sz="0" w:space="0" w:color="auto"/>
      </w:divBdr>
    </w:div>
    <w:div w:id="1323705545">
      <w:bodyDiv w:val="1"/>
      <w:marLeft w:val="0"/>
      <w:marRight w:val="0"/>
      <w:marTop w:val="0"/>
      <w:marBottom w:val="0"/>
      <w:divBdr>
        <w:top w:val="none" w:sz="0" w:space="0" w:color="auto"/>
        <w:left w:val="none" w:sz="0" w:space="0" w:color="auto"/>
        <w:bottom w:val="none" w:sz="0" w:space="0" w:color="auto"/>
        <w:right w:val="none" w:sz="0" w:space="0" w:color="auto"/>
      </w:divBdr>
    </w:div>
    <w:div w:id="1324510852">
      <w:bodyDiv w:val="1"/>
      <w:marLeft w:val="0"/>
      <w:marRight w:val="0"/>
      <w:marTop w:val="0"/>
      <w:marBottom w:val="0"/>
      <w:divBdr>
        <w:top w:val="none" w:sz="0" w:space="0" w:color="auto"/>
        <w:left w:val="none" w:sz="0" w:space="0" w:color="auto"/>
        <w:bottom w:val="none" w:sz="0" w:space="0" w:color="auto"/>
        <w:right w:val="none" w:sz="0" w:space="0" w:color="auto"/>
      </w:divBdr>
    </w:div>
    <w:div w:id="1325627236">
      <w:bodyDiv w:val="1"/>
      <w:marLeft w:val="0"/>
      <w:marRight w:val="0"/>
      <w:marTop w:val="0"/>
      <w:marBottom w:val="0"/>
      <w:divBdr>
        <w:top w:val="none" w:sz="0" w:space="0" w:color="auto"/>
        <w:left w:val="none" w:sz="0" w:space="0" w:color="auto"/>
        <w:bottom w:val="none" w:sz="0" w:space="0" w:color="auto"/>
        <w:right w:val="none" w:sz="0" w:space="0" w:color="auto"/>
      </w:divBdr>
    </w:div>
    <w:div w:id="1325815921">
      <w:bodyDiv w:val="1"/>
      <w:marLeft w:val="0"/>
      <w:marRight w:val="0"/>
      <w:marTop w:val="0"/>
      <w:marBottom w:val="0"/>
      <w:divBdr>
        <w:top w:val="none" w:sz="0" w:space="0" w:color="auto"/>
        <w:left w:val="none" w:sz="0" w:space="0" w:color="auto"/>
        <w:bottom w:val="none" w:sz="0" w:space="0" w:color="auto"/>
        <w:right w:val="none" w:sz="0" w:space="0" w:color="auto"/>
      </w:divBdr>
    </w:div>
    <w:div w:id="1325861790">
      <w:bodyDiv w:val="1"/>
      <w:marLeft w:val="0"/>
      <w:marRight w:val="0"/>
      <w:marTop w:val="0"/>
      <w:marBottom w:val="0"/>
      <w:divBdr>
        <w:top w:val="none" w:sz="0" w:space="0" w:color="auto"/>
        <w:left w:val="none" w:sz="0" w:space="0" w:color="auto"/>
        <w:bottom w:val="none" w:sz="0" w:space="0" w:color="auto"/>
        <w:right w:val="none" w:sz="0" w:space="0" w:color="auto"/>
      </w:divBdr>
    </w:div>
    <w:div w:id="1325891335">
      <w:bodyDiv w:val="1"/>
      <w:marLeft w:val="0"/>
      <w:marRight w:val="0"/>
      <w:marTop w:val="0"/>
      <w:marBottom w:val="0"/>
      <w:divBdr>
        <w:top w:val="none" w:sz="0" w:space="0" w:color="auto"/>
        <w:left w:val="none" w:sz="0" w:space="0" w:color="auto"/>
        <w:bottom w:val="none" w:sz="0" w:space="0" w:color="auto"/>
        <w:right w:val="none" w:sz="0" w:space="0" w:color="auto"/>
      </w:divBdr>
    </w:div>
    <w:div w:id="1325938729">
      <w:bodyDiv w:val="1"/>
      <w:marLeft w:val="0"/>
      <w:marRight w:val="0"/>
      <w:marTop w:val="0"/>
      <w:marBottom w:val="0"/>
      <w:divBdr>
        <w:top w:val="none" w:sz="0" w:space="0" w:color="auto"/>
        <w:left w:val="none" w:sz="0" w:space="0" w:color="auto"/>
        <w:bottom w:val="none" w:sz="0" w:space="0" w:color="auto"/>
        <w:right w:val="none" w:sz="0" w:space="0" w:color="auto"/>
      </w:divBdr>
    </w:div>
    <w:div w:id="1326014704">
      <w:bodyDiv w:val="1"/>
      <w:marLeft w:val="0"/>
      <w:marRight w:val="0"/>
      <w:marTop w:val="0"/>
      <w:marBottom w:val="0"/>
      <w:divBdr>
        <w:top w:val="none" w:sz="0" w:space="0" w:color="auto"/>
        <w:left w:val="none" w:sz="0" w:space="0" w:color="auto"/>
        <w:bottom w:val="none" w:sz="0" w:space="0" w:color="auto"/>
        <w:right w:val="none" w:sz="0" w:space="0" w:color="auto"/>
      </w:divBdr>
    </w:div>
    <w:div w:id="1326350282">
      <w:bodyDiv w:val="1"/>
      <w:marLeft w:val="0"/>
      <w:marRight w:val="0"/>
      <w:marTop w:val="0"/>
      <w:marBottom w:val="0"/>
      <w:divBdr>
        <w:top w:val="none" w:sz="0" w:space="0" w:color="auto"/>
        <w:left w:val="none" w:sz="0" w:space="0" w:color="auto"/>
        <w:bottom w:val="none" w:sz="0" w:space="0" w:color="auto"/>
        <w:right w:val="none" w:sz="0" w:space="0" w:color="auto"/>
      </w:divBdr>
    </w:div>
    <w:div w:id="1326472409">
      <w:bodyDiv w:val="1"/>
      <w:marLeft w:val="0"/>
      <w:marRight w:val="0"/>
      <w:marTop w:val="0"/>
      <w:marBottom w:val="0"/>
      <w:divBdr>
        <w:top w:val="none" w:sz="0" w:space="0" w:color="auto"/>
        <w:left w:val="none" w:sz="0" w:space="0" w:color="auto"/>
        <w:bottom w:val="none" w:sz="0" w:space="0" w:color="auto"/>
        <w:right w:val="none" w:sz="0" w:space="0" w:color="auto"/>
      </w:divBdr>
    </w:div>
    <w:div w:id="1326740835">
      <w:bodyDiv w:val="1"/>
      <w:marLeft w:val="0"/>
      <w:marRight w:val="0"/>
      <w:marTop w:val="0"/>
      <w:marBottom w:val="0"/>
      <w:divBdr>
        <w:top w:val="none" w:sz="0" w:space="0" w:color="auto"/>
        <w:left w:val="none" w:sz="0" w:space="0" w:color="auto"/>
        <w:bottom w:val="none" w:sz="0" w:space="0" w:color="auto"/>
        <w:right w:val="none" w:sz="0" w:space="0" w:color="auto"/>
      </w:divBdr>
    </w:div>
    <w:div w:id="1326854943">
      <w:bodyDiv w:val="1"/>
      <w:marLeft w:val="0"/>
      <w:marRight w:val="0"/>
      <w:marTop w:val="0"/>
      <w:marBottom w:val="0"/>
      <w:divBdr>
        <w:top w:val="none" w:sz="0" w:space="0" w:color="auto"/>
        <w:left w:val="none" w:sz="0" w:space="0" w:color="auto"/>
        <w:bottom w:val="none" w:sz="0" w:space="0" w:color="auto"/>
        <w:right w:val="none" w:sz="0" w:space="0" w:color="auto"/>
      </w:divBdr>
    </w:div>
    <w:div w:id="1326931969">
      <w:bodyDiv w:val="1"/>
      <w:marLeft w:val="0"/>
      <w:marRight w:val="0"/>
      <w:marTop w:val="0"/>
      <w:marBottom w:val="0"/>
      <w:divBdr>
        <w:top w:val="none" w:sz="0" w:space="0" w:color="auto"/>
        <w:left w:val="none" w:sz="0" w:space="0" w:color="auto"/>
        <w:bottom w:val="none" w:sz="0" w:space="0" w:color="auto"/>
        <w:right w:val="none" w:sz="0" w:space="0" w:color="auto"/>
      </w:divBdr>
    </w:div>
    <w:div w:id="1326981348">
      <w:bodyDiv w:val="1"/>
      <w:marLeft w:val="0"/>
      <w:marRight w:val="0"/>
      <w:marTop w:val="0"/>
      <w:marBottom w:val="0"/>
      <w:divBdr>
        <w:top w:val="none" w:sz="0" w:space="0" w:color="auto"/>
        <w:left w:val="none" w:sz="0" w:space="0" w:color="auto"/>
        <w:bottom w:val="none" w:sz="0" w:space="0" w:color="auto"/>
        <w:right w:val="none" w:sz="0" w:space="0" w:color="auto"/>
      </w:divBdr>
    </w:div>
    <w:div w:id="1327131097">
      <w:bodyDiv w:val="1"/>
      <w:marLeft w:val="0"/>
      <w:marRight w:val="0"/>
      <w:marTop w:val="0"/>
      <w:marBottom w:val="0"/>
      <w:divBdr>
        <w:top w:val="none" w:sz="0" w:space="0" w:color="auto"/>
        <w:left w:val="none" w:sz="0" w:space="0" w:color="auto"/>
        <w:bottom w:val="none" w:sz="0" w:space="0" w:color="auto"/>
        <w:right w:val="none" w:sz="0" w:space="0" w:color="auto"/>
      </w:divBdr>
    </w:div>
    <w:div w:id="1327435038">
      <w:bodyDiv w:val="1"/>
      <w:marLeft w:val="0"/>
      <w:marRight w:val="0"/>
      <w:marTop w:val="0"/>
      <w:marBottom w:val="0"/>
      <w:divBdr>
        <w:top w:val="none" w:sz="0" w:space="0" w:color="auto"/>
        <w:left w:val="none" w:sz="0" w:space="0" w:color="auto"/>
        <w:bottom w:val="none" w:sz="0" w:space="0" w:color="auto"/>
        <w:right w:val="none" w:sz="0" w:space="0" w:color="auto"/>
      </w:divBdr>
    </w:div>
    <w:div w:id="1328435552">
      <w:bodyDiv w:val="1"/>
      <w:marLeft w:val="0"/>
      <w:marRight w:val="0"/>
      <w:marTop w:val="0"/>
      <w:marBottom w:val="0"/>
      <w:divBdr>
        <w:top w:val="none" w:sz="0" w:space="0" w:color="auto"/>
        <w:left w:val="none" w:sz="0" w:space="0" w:color="auto"/>
        <w:bottom w:val="none" w:sz="0" w:space="0" w:color="auto"/>
        <w:right w:val="none" w:sz="0" w:space="0" w:color="auto"/>
      </w:divBdr>
    </w:div>
    <w:div w:id="1328821438">
      <w:bodyDiv w:val="1"/>
      <w:marLeft w:val="0"/>
      <w:marRight w:val="0"/>
      <w:marTop w:val="0"/>
      <w:marBottom w:val="0"/>
      <w:divBdr>
        <w:top w:val="none" w:sz="0" w:space="0" w:color="auto"/>
        <w:left w:val="none" w:sz="0" w:space="0" w:color="auto"/>
        <w:bottom w:val="none" w:sz="0" w:space="0" w:color="auto"/>
        <w:right w:val="none" w:sz="0" w:space="0" w:color="auto"/>
      </w:divBdr>
    </w:div>
    <w:div w:id="1329214689">
      <w:bodyDiv w:val="1"/>
      <w:marLeft w:val="0"/>
      <w:marRight w:val="0"/>
      <w:marTop w:val="0"/>
      <w:marBottom w:val="0"/>
      <w:divBdr>
        <w:top w:val="none" w:sz="0" w:space="0" w:color="auto"/>
        <w:left w:val="none" w:sz="0" w:space="0" w:color="auto"/>
        <w:bottom w:val="none" w:sz="0" w:space="0" w:color="auto"/>
        <w:right w:val="none" w:sz="0" w:space="0" w:color="auto"/>
      </w:divBdr>
    </w:div>
    <w:div w:id="1329554534">
      <w:bodyDiv w:val="1"/>
      <w:marLeft w:val="0"/>
      <w:marRight w:val="0"/>
      <w:marTop w:val="0"/>
      <w:marBottom w:val="0"/>
      <w:divBdr>
        <w:top w:val="none" w:sz="0" w:space="0" w:color="auto"/>
        <w:left w:val="none" w:sz="0" w:space="0" w:color="auto"/>
        <w:bottom w:val="none" w:sz="0" w:space="0" w:color="auto"/>
        <w:right w:val="none" w:sz="0" w:space="0" w:color="auto"/>
      </w:divBdr>
    </w:div>
    <w:div w:id="1329938371">
      <w:bodyDiv w:val="1"/>
      <w:marLeft w:val="0"/>
      <w:marRight w:val="0"/>
      <w:marTop w:val="0"/>
      <w:marBottom w:val="0"/>
      <w:divBdr>
        <w:top w:val="none" w:sz="0" w:space="0" w:color="auto"/>
        <w:left w:val="none" w:sz="0" w:space="0" w:color="auto"/>
        <w:bottom w:val="none" w:sz="0" w:space="0" w:color="auto"/>
        <w:right w:val="none" w:sz="0" w:space="0" w:color="auto"/>
      </w:divBdr>
    </w:div>
    <w:div w:id="1330522916">
      <w:bodyDiv w:val="1"/>
      <w:marLeft w:val="0"/>
      <w:marRight w:val="0"/>
      <w:marTop w:val="0"/>
      <w:marBottom w:val="0"/>
      <w:divBdr>
        <w:top w:val="none" w:sz="0" w:space="0" w:color="auto"/>
        <w:left w:val="none" w:sz="0" w:space="0" w:color="auto"/>
        <w:bottom w:val="none" w:sz="0" w:space="0" w:color="auto"/>
        <w:right w:val="none" w:sz="0" w:space="0" w:color="auto"/>
      </w:divBdr>
    </w:div>
    <w:div w:id="1330595330">
      <w:bodyDiv w:val="1"/>
      <w:marLeft w:val="0"/>
      <w:marRight w:val="0"/>
      <w:marTop w:val="0"/>
      <w:marBottom w:val="0"/>
      <w:divBdr>
        <w:top w:val="none" w:sz="0" w:space="0" w:color="auto"/>
        <w:left w:val="none" w:sz="0" w:space="0" w:color="auto"/>
        <w:bottom w:val="none" w:sz="0" w:space="0" w:color="auto"/>
        <w:right w:val="none" w:sz="0" w:space="0" w:color="auto"/>
      </w:divBdr>
    </w:div>
    <w:div w:id="1330795929">
      <w:bodyDiv w:val="1"/>
      <w:marLeft w:val="0"/>
      <w:marRight w:val="0"/>
      <w:marTop w:val="0"/>
      <w:marBottom w:val="0"/>
      <w:divBdr>
        <w:top w:val="none" w:sz="0" w:space="0" w:color="auto"/>
        <w:left w:val="none" w:sz="0" w:space="0" w:color="auto"/>
        <w:bottom w:val="none" w:sz="0" w:space="0" w:color="auto"/>
        <w:right w:val="none" w:sz="0" w:space="0" w:color="auto"/>
      </w:divBdr>
    </w:div>
    <w:div w:id="1331450457">
      <w:bodyDiv w:val="1"/>
      <w:marLeft w:val="0"/>
      <w:marRight w:val="0"/>
      <w:marTop w:val="0"/>
      <w:marBottom w:val="0"/>
      <w:divBdr>
        <w:top w:val="none" w:sz="0" w:space="0" w:color="auto"/>
        <w:left w:val="none" w:sz="0" w:space="0" w:color="auto"/>
        <w:bottom w:val="none" w:sz="0" w:space="0" w:color="auto"/>
        <w:right w:val="none" w:sz="0" w:space="0" w:color="auto"/>
      </w:divBdr>
    </w:div>
    <w:div w:id="1332291214">
      <w:bodyDiv w:val="1"/>
      <w:marLeft w:val="0"/>
      <w:marRight w:val="0"/>
      <w:marTop w:val="0"/>
      <w:marBottom w:val="0"/>
      <w:divBdr>
        <w:top w:val="none" w:sz="0" w:space="0" w:color="auto"/>
        <w:left w:val="none" w:sz="0" w:space="0" w:color="auto"/>
        <w:bottom w:val="none" w:sz="0" w:space="0" w:color="auto"/>
        <w:right w:val="none" w:sz="0" w:space="0" w:color="auto"/>
      </w:divBdr>
    </w:div>
    <w:div w:id="1333023120">
      <w:bodyDiv w:val="1"/>
      <w:marLeft w:val="0"/>
      <w:marRight w:val="0"/>
      <w:marTop w:val="0"/>
      <w:marBottom w:val="0"/>
      <w:divBdr>
        <w:top w:val="none" w:sz="0" w:space="0" w:color="auto"/>
        <w:left w:val="none" w:sz="0" w:space="0" w:color="auto"/>
        <w:bottom w:val="none" w:sz="0" w:space="0" w:color="auto"/>
        <w:right w:val="none" w:sz="0" w:space="0" w:color="auto"/>
      </w:divBdr>
    </w:div>
    <w:div w:id="1333222336">
      <w:bodyDiv w:val="1"/>
      <w:marLeft w:val="0"/>
      <w:marRight w:val="0"/>
      <w:marTop w:val="0"/>
      <w:marBottom w:val="0"/>
      <w:divBdr>
        <w:top w:val="none" w:sz="0" w:space="0" w:color="auto"/>
        <w:left w:val="none" w:sz="0" w:space="0" w:color="auto"/>
        <w:bottom w:val="none" w:sz="0" w:space="0" w:color="auto"/>
        <w:right w:val="none" w:sz="0" w:space="0" w:color="auto"/>
      </w:divBdr>
    </w:div>
    <w:div w:id="1333752621">
      <w:bodyDiv w:val="1"/>
      <w:marLeft w:val="0"/>
      <w:marRight w:val="0"/>
      <w:marTop w:val="0"/>
      <w:marBottom w:val="0"/>
      <w:divBdr>
        <w:top w:val="none" w:sz="0" w:space="0" w:color="auto"/>
        <w:left w:val="none" w:sz="0" w:space="0" w:color="auto"/>
        <w:bottom w:val="none" w:sz="0" w:space="0" w:color="auto"/>
        <w:right w:val="none" w:sz="0" w:space="0" w:color="auto"/>
      </w:divBdr>
    </w:div>
    <w:div w:id="1333875394">
      <w:bodyDiv w:val="1"/>
      <w:marLeft w:val="0"/>
      <w:marRight w:val="0"/>
      <w:marTop w:val="0"/>
      <w:marBottom w:val="0"/>
      <w:divBdr>
        <w:top w:val="none" w:sz="0" w:space="0" w:color="auto"/>
        <w:left w:val="none" w:sz="0" w:space="0" w:color="auto"/>
        <w:bottom w:val="none" w:sz="0" w:space="0" w:color="auto"/>
        <w:right w:val="none" w:sz="0" w:space="0" w:color="auto"/>
      </w:divBdr>
    </w:div>
    <w:div w:id="1334260811">
      <w:bodyDiv w:val="1"/>
      <w:marLeft w:val="0"/>
      <w:marRight w:val="0"/>
      <w:marTop w:val="0"/>
      <w:marBottom w:val="0"/>
      <w:divBdr>
        <w:top w:val="none" w:sz="0" w:space="0" w:color="auto"/>
        <w:left w:val="none" w:sz="0" w:space="0" w:color="auto"/>
        <w:bottom w:val="none" w:sz="0" w:space="0" w:color="auto"/>
        <w:right w:val="none" w:sz="0" w:space="0" w:color="auto"/>
      </w:divBdr>
    </w:div>
    <w:div w:id="1334340924">
      <w:bodyDiv w:val="1"/>
      <w:marLeft w:val="0"/>
      <w:marRight w:val="0"/>
      <w:marTop w:val="0"/>
      <w:marBottom w:val="0"/>
      <w:divBdr>
        <w:top w:val="none" w:sz="0" w:space="0" w:color="auto"/>
        <w:left w:val="none" w:sz="0" w:space="0" w:color="auto"/>
        <w:bottom w:val="none" w:sz="0" w:space="0" w:color="auto"/>
        <w:right w:val="none" w:sz="0" w:space="0" w:color="auto"/>
      </w:divBdr>
    </w:div>
    <w:div w:id="1334410974">
      <w:bodyDiv w:val="1"/>
      <w:marLeft w:val="0"/>
      <w:marRight w:val="0"/>
      <w:marTop w:val="0"/>
      <w:marBottom w:val="0"/>
      <w:divBdr>
        <w:top w:val="none" w:sz="0" w:space="0" w:color="auto"/>
        <w:left w:val="none" w:sz="0" w:space="0" w:color="auto"/>
        <w:bottom w:val="none" w:sz="0" w:space="0" w:color="auto"/>
        <w:right w:val="none" w:sz="0" w:space="0" w:color="auto"/>
      </w:divBdr>
    </w:div>
    <w:div w:id="1334456701">
      <w:bodyDiv w:val="1"/>
      <w:marLeft w:val="0"/>
      <w:marRight w:val="0"/>
      <w:marTop w:val="0"/>
      <w:marBottom w:val="0"/>
      <w:divBdr>
        <w:top w:val="none" w:sz="0" w:space="0" w:color="auto"/>
        <w:left w:val="none" w:sz="0" w:space="0" w:color="auto"/>
        <w:bottom w:val="none" w:sz="0" w:space="0" w:color="auto"/>
        <w:right w:val="none" w:sz="0" w:space="0" w:color="auto"/>
      </w:divBdr>
    </w:div>
    <w:div w:id="1334531030">
      <w:bodyDiv w:val="1"/>
      <w:marLeft w:val="0"/>
      <w:marRight w:val="0"/>
      <w:marTop w:val="0"/>
      <w:marBottom w:val="0"/>
      <w:divBdr>
        <w:top w:val="none" w:sz="0" w:space="0" w:color="auto"/>
        <w:left w:val="none" w:sz="0" w:space="0" w:color="auto"/>
        <w:bottom w:val="none" w:sz="0" w:space="0" w:color="auto"/>
        <w:right w:val="none" w:sz="0" w:space="0" w:color="auto"/>
      </w:divBdr>
    </w:div>
    <w:div w:id="1334717933">
      <w:bodyDiv w:val="1"/>
      <w:marLeft w:val="0"/>
      <w:marRight w:val="0"/>
      <w:marTop w:val="0"/>
      <w:marBottom w:val="0"/>
      <w:divBdr>
        <w:top w:val="none" w:sz="0" w:space="0" w:color="auto"/>
        <w:left w:val="none" w:sz="0" w:space="0" w:color="auto"/>
        <w:bottom w:val="none" w:sz="0" w:space="0" w:color="auto"/>
        <w:right w:val="none" w:sz="0" w:space="0" w:color="auto"/>
      </w:divBdr>
    </w:div>
    <w:div w:id="1334720858">
      <w:bodyDiv w:val="1"/>
      <w:marLeft w:val="0"/>
      <w:marRight w:val="0"/>
      <w:marTop w:val="0"/>
      <w:marBottom w:val="0"/>
      <w:divBdr>
        <w:top w:val="none" w:sz="0" w:space="0" w:color="auto"/>
        <w:left w:val="none" w:sz="0" w:space="0" w:color="auto"/>
        <w:bottom w:val="none" w:sz="0" w:space="0" w:color="auto"/>
        <w:right w:val="none" w:sz="0" w:space="0" w:color="auto"/>
      </w:divBdr>
    </w:div>
    <w:div w:id="1334868809">
      <w:bodyDiv w:val="1"/>
      <w:marLeft w:val="0"/>
      <w:marRight w:val="0"/>
      <w:marTop w:val="0"/>
      <w:marBottom w:val="0"/>
      <w:divBdr>
        <w:top w:val="none" w:sz="0" w:space="0" w:color="auto"/>
        <w:left w:val="none" w:sz="0" w:space="0" w:color="auto"/>
        <w:bottom w:val="none" w:sz="0" w:space="0" w:color="auto"/>
        <w:right w:val="none" w:sz="0" w:space="0" w:color="auto"/>
      </w:divBdr>
    </w:div>
    <w:div w:id="1334991546">
      <w:bodyDiv w:val="1"/>
      <w:marLeft w:val="0"/>
      <w:marRight w:val="0"/>
      <w:marTop w:val="0"/>
      <w:marBottom w:val="0"/>
      <w:divBdr>
        <w:top w:val="none" w:sz="0" w:space="0" w:color="auto"/>
        <w:left w:val="none" w:sz="0" w:space="0" w:color="auto"/>
        <w:bottom w:val="none" w:sz="0" w:space="0" w:color="auto"/>
        <w:right w:val="none" w:sz="0" w:space="0" w:color="auto"/>
      </w:divBdr>
    </w:div>
    <w:div w:id="1335182119">
      <w:bodyDiv w:val="1"/>
      <w:marLeft w:val="0"/>
      <w:marRight w:val="0"/>
      <w:marTop w:val="0"/>
      <w:marBottom w:val="0"/>
      <w:divBdr>
        <w:top w:val="none" w:sz="0" w:space="0" w:color="auto"/>
        <w:left w:val="none" w:sz="0" w:space="0" w:color="auto"/>
        <w:bottom w:val="none" w:sz="0" w:space="0" w:color="auto"/>
        <w:right w:val="none" w:sz="0" w:space="0" w:color="auto"/>
      </w:divBdr>
    </w:div>
    <w:div w:id="1336155383">
      <w:bodyDiv w:val="1"/>
      <w:marLeft w:val="0"/>
      <w:marRight w:val="0"/>
      <w:marTop w:val="0"/>
      <w:marBottom w:val="0"/>
      <w:divBdr>
        <w:top w:val="none" w:sz="0" w:space="0" w:color="auto"/>
        <w:left w:val="none" w:sz="0" w:space="0" w:color="auto"/>
        <w:bottom w:val="none" w:sz="0" w:space="0" w:color="auto"/>
        <w:right w:val="none" w:sz="0" w:space="0" w:color="auto"/>
      </w:divBdr>
    </w:div>
    <w:div w:id="1336952462">
      <w:bodyDiv w:val="1"/>
      <w:marLeft w:val="0"/>
      <w:marRight w:val="0"/>
      <w:marTop w:val="0"/>
      <w:marBottom w:val="0"/>
      <w:divBdr>
        <w:top w:val="none" w:sz="0" w:space="0" w:color="auto"/>
        <w:left w:val="none" w:sz="0" w:space="0" w:color="auto"/>
        <w:bottom w:val="none" w:sz="0" w:space="0" w:color="auto"/>
        <w:right w:val="none" w:sz="0" w:space="0" w:color="auto"/>
      </w:divBdr>
    </w:div>
    <w:div w:id="1337077132">
      <w:bodyDiv w:val="1"/>
      <w:marLeft w:val="0"/>
      <w:marRight w:val="0"/>
      <w:marTop w:val="0"/>
      <w:marBottom w:val="0"/>
      <w:divBdr>
        <w:top w:val="none" w:sz="0" w:space="0" w:color="auto"/>
        <w:left w:val="none" w:sz="0" w:space="0" w:color="auto"/>
        <w:bottom w:val="none" w:sz="0" w:space="0" w:color="auto"/>
        <w:right w:val="none" w:sz="0" w:space="0" w:color="auto"/>
      </w:divBdr>
    </w:div>
    <w:div w:id="1337151053">
      <w:bodyDiv w:val="1"/>
      <w:marLeft w:val="0"/>
      <w:marRight w:val="0"/>
      <w:marTop w:val="0"/>
      <w:marBottom w:val="0"/>
      <w:divBdr>
        <w:top w:val="none" w:sz="0" w:space="0" w:color="auto"/>
        <w:left w:val="none" w:sz="0" w:space="0" w:color="auto"/>
        <w:bottom w:val="none" w:sz="0" w:space="0" w:color="auto"/>
        <w:right w:val="none" w:sz="0" w:space="0" w:color="auto"/>
      </w:divBdr>
    </w:div>
    <w:div w:id="1337346381">
      <w:bodyDiv w:val="1"/>
      <w:marLeft w:val="0"/>
      <w:marRight w:val="0"/>
      <w:marTop w:val="0"/>
      <w:marBottom w:val="0"/>
      <w:divBdr>
        <w:top w:val="none" w:sz="0" w:space="0" w:color="auto"/>
        <w:left w:val="none" w:sz="0" w:space="0" w:color="auto"/>
        <w:bottom w:val="none" w:sz="0" w:space="0" w:color="auto"/>
        <w:right w:val="none" w:sz="0" w:space="0" w:color="auto"/>
      </w:divBdr>
    </w:div>
    <w:div w:id="1337462967">
      <w:bodyDiv w:val="1"/>
      <w:marLeft w:val="0"/>
      <w:marRight w:val="0"/>
      <w:marTop w:val="0"/>
      <w:marBottom w:val="0"/>
      <w:divBdr>
        <w:top w:val="none" w:sz="0" w:space="0" w:color="auto"/>
        <w:left w:val="none" w:sz="0" w:space="0" w:color="auto"/>
        <w:bottom w:val="none" w:sz="0" w:space="0" w:color="auto"/>
        <w:right w:val="none" w:sz="0" w:space="0" w:color="auto"/>
      </w:divBdr>
    </w:div>
    <w:div w:id="1337805932">
      <w:bodyDiv w:val="1"/>
      <w:marLeft w:val="0"/>
      <w:marRight w:val="0"/>
      <w:marTop w:val="0"/>
      <w:marBottom w:val="0"/>
      <w:divBdr>
        <w:top w:val="none" w:sz="0" w:space="0" w:color="auto"/>
        <w:left w:val="none" w:sz="0" w:space="0" w:color="auto"/>
        <w:bottom w:val="none" w:sz="0" w:space="0" w:color="auto"/>
        <w:right w:val="none" w:sz="0" w:space="0" w:color="auto"/>
      </w:divBdr>
    </w:div>
    <w:div w:id="1338069576">
      <w:bodyDiv w:val="1"/>
      <w:marLeft w:val="0"/>
      <w:marRight w:val="0"/>
      <w:marTop w:val="0"/>
      <w:marBottom w:val="0"/>
      <w:divBdr>
        <w:top w:val="none" w:sz="0" w:space="0" w:color="auto"/>
        <w:left w:val="none" w:sz="0" w:space="0" w:color="auto"/>
        <w:bottom w:val="none" w:sz="0" w:space="0" w:color="auto"/>
        <w:right w:val="none" w:sz="0" w:space="0" w:color="auto"/>
      </w:divBdr>
    </w:div>
    <w:div w:id="1338464509">
      <w:bodyDiv w:val="1"/>
      <w:marLeft w:val="0"/>
      <w:marRight w:val="0"/>
      <w:marTop w:val="0"/>
      <w:marBottom w:val="0"/>
      <w:divBdr>
        <w:top w:val="none" w:sz="0" w:space="0" w:color="auto"/>
        <w:left w:val="none" w:sz="0" w:space="0" w:color="auto"/>
        <w:bottom w:val="none" w:sz="0" w:space="0" w:color="auto"/>
        <w:right w:val="none" w:sz="0" w:space="0" w:color="auto"/>
      </w:divBdr>
    </w:div>
    <w:div w:id="1338844092">
      <w:bodyDiv w:val="1"/>
      <w:marLeft w:val="0"/>
      <w:marRight w:val="0"/>
      <w:marTop w:val="0"/>
      <w:marBottom w:val="0"/>
      <w:divBdr>
        <w:top w:val="none" w:sz="0" w:space="0" w:color="auto"/>
        <w:left w:val="none" w:sz="0" w:space="0" w:color="auto"/>
        <w:bottom w:val="none" w:sz="0" w:space="0" w:color="auto"/>
        <w:right w:val="none" w:sz="0" w:space="0" w:color="auto"/>
      </w:divBdr>
    </w:div>
    <w:div w:id="1338925542">
      <w:bodyDiv w:val="1"/>
      <w:marLeft w:val="0"/>
      <w:marRight w:val="0"/>
      <w:marTop w:val="0"/>
      <w:marBottom w:val="0"/>
      <w:divBdr>
        <w:top w:val="none" w:sz="0" w:space="0" w:color="auto"/>
        <w:left w:val="none" w:sz="0" w:space="0" w:color="auto"/>
        <w:bottom w:val="none" w:sz="0" w:space="0" w:color="auto"/>
        <w:right w:val="none" w:sz="0" w:space="0" w:color="auto"/>
      </w:divBdr>
    </w:div>
    <w:div w:id="1339042977">
      <w:bodyDiv w:val="1"/>
      <w:marLeft w:val="0"/>
      <w:marRight w:val="0"/>
      <w:marTop w:val="0"/>
      <w:marBottom w:val="0"/>
      <w:divBdr>
        <w:top w:val="none" w:sz="0" w:space="0" w:color="auto"/>
        <w:left w:val="none" w:sz="0" w:space="0" w:color="auto"/>
        <w:bottom w:val="none" w:sz="0" w:space="0" w:color="auto"/>
        <w:right w:val="none" w:sz="0" w:space="0" w:color="auto"/>
      </w:divBdr>
    </w:div>
    <w:div w:id="1339187329">
      <w:bodyDiv w:val="1"/>
      <w:marLeft w:val="0"/>
      <w:marRight w:val="0"/>
      <w:marTop w:val="0"/>
      <w:marBottom w:val="0"/>
      <w:divBdr>
        <w:top w:val="none" w:sz="0" w:space="0" w:color="auto"/>
        <w:left w:val="none" w:sz="0" w:space="0" w:color="auto"/>
        <w:bottom w:val="none" w:sz="0" w:space="0" w:color="auto"/>
        <w:right w:val="none" w:sz="0" w:space="0" w:color="auto"/>
      </w:divBdr>
    </w:div>
    <w:div w:id="1339238723">
      <w:bodyDiv w:val="1"/>
      <w:marLeft w:val="0"/>
      <w:marRight w:val="0"/>
      <w:marTop w:val="0"/>
      <w:marBottom w:val="0"/>
      <w:divBdr>
        <w:top w:val="none" w:sz="0" w:space="0" w:color="auto"/>
        <w:left w:val="none" w:sz="0" w:space="0" w:color="auto"/>
        <w:bottom w:val="none" w:sz="0" w:space="0" w:color="auto"/>
        <w:right w:val="none" w:sz="0" w:space="0" w:color="auto"/>
      </w:divBdr>
    </w:div>
    <w:div w:id="1339573386">
      <w:bodyDiv w:val="1"/>
      <w:marLeft w:val="0"/>
      <w:marRight w:val="0"/>
      <w:marTop w:val="0"/>
      <w:marBottom w:val="0"/>
      <w:divBdr>
        <w:top w:val="none" w:sz="0" w:space="0" w:color="auto"/>
        <w:left w:val="none" w:sz="0" w:space="0" w:color="auto"/>
        <w:bottom w:val="none" w:sz="0" w:space="0" w:color="auto"/>
        <w:right w:val="none" w:sz="0" w:space="0" w:color="auto"/>
      </w:divBdr>
    </w:div>
    <w:div w:id="1339696122">
      <w:bodyDiv w:val="1"/>
      <w:marLeft w:val="0"/>
      <w:marRight w:val="0"/>
      <w:marTop w:val="0"/>
      <w:marBottom w:val="0"/>
      <w:divBdr>
        <w:top w:val="none" w:sz="0" w:space="0" w:color="auto"/>
        <w:left w:val="none" w:sz="0" w:space="0" w:color="auto"/>
        <w:bottom w:val="none" w:sz="0" w:space="0" w:color="auto"/>
        <w:right w:val="none" w:sz="0" w:space="0" w:color="auto"/>
      </w:divBdr>
    </w:div>
    <w:div w:id="1339846823">
      <w:bodyDiv w:val="1"/>
      <w:marLeft w:val="0"/>
      <w:marRight w:val="0"/>
      <w:marTop w:val="0"/>
      <w:marBottom w:val="0"/>
      <w:divBdr>
        <w:top w:val="none" w:sz="0" w:space="0" w:color="auto"/>
        <w:left w:val="none" w:sz="0" w:space="0" w:color="auto"/>
        <w:bottom w:val="none" w:sz="0" w:space="0" w:color="auto"/>
        <w:right w:val="none" w:sz="0" w:space="0" w:color="auto"/>
      </w:divBdr>
    </w:div>
    <w:div w:id="1339849528">
      <w:bodyDiv w:val="1"/>
      <w:marLeft w:val="0"/>
      <w:marRight w:val="0"/>
      <w:marTop w:val="0"/>
      <w:marBottom w:val="0"/>
      <w:divBdr>
        <w:top w:val="none" w:sz="0" w:space="0" w:color="auto"/>
        <w:left w:val="none" w:sz="0" w:space="0" w:color="auto"/>
        <w:bottom w:val="none" w:sz="0" w:space="0" w:color="auto"/>
        <w:right w:val="none" w:sz="0" w:space="0" w:color="auto"/>
      </w:divBdr>
    </w:div>
    <w:div w:id="1340544596">
      <w:bodyDiv w:val="1"/>
      <w:marLeft w:val="0"/>
      <w:marRight w:val="0"/>
      <w:marTop w:val="0"/>
      <w:marBottom w:val="0"/>
      <w:divBdr>
        <w:top w:val="none" w:sz="0" w:space="0" w:color="auto"/>
        <w:left w:val="none" w:sz="0" w:space="0" w:color="auto"/>
        <w:bottom w:val="none" w:sz="0" w:space="0" w:color="auto"/>
        <w:right w:val="none" w:sz="0" w:space="0" w:color="auto"/>
      </w:divBdr>
    </w:div>
    <w:div w:id="1340692854">
      <w:bodyDiv w:val="1"/>
      <w:marLeft w:val="0"/>
      <w:marRight w:val="0"/>
      <w:marTop w:val="0"/>
      <w:marBottom w:val="0"/>
      <w:divBdr>
        <w:top w:val="none" w:sz="0" w:space="0" w:color="auto"/>
        <w:left w:val="none" w:sz="0" w:space="0" w:color="auto"/>
        <w:bottom w:val="none" w:sz="0" w:space="0" w:color="auto"/>
        <w:right w:val="none" w:sz="0" w:space="0" w:color="auto"/>
      </w:divBdr>
    </w:div>
    <w:div w:id="1340888130">
      <w:bodyDiv w:val="1"/>
      <w:marLeft w:val="0"/>
      <w:marRight w:val="0"/>
      <w:marTop w:val="0"/>
      <w:marBottom w:val="0"/>
      <w:divBdr>
        <w:top w:val="none" w:sz="0" w:space="0" w:color="auto"/>
        <w:left w:val="none" w:sz="0" w:space="0" w:color="auto"/>
        <w:bottom w:val="none" w:sz="0" w:space="0" w:color="auto"/>
        <w:right w:val="none" w:sz="0" w:space="0" w:color="auto"/>
      </w:divBdr>
    </w:div>
    <w:div w:id="1340962381">
      <w:bodyDiv w:val="1"/>
      <w:marLeft w:val="0"/>
      <w:marRight w:val="0"/>
      <w:marTop w:val="0"/>
      <w:marBottom w:val="0"/>
      <w:divBdr>
        <w:top w:val="none" w:sz="0" w:space="0" w:color="auto"/>
        <w:left w:val="none" w:sz="0" w:space="0" w:color="auto"/>
        <w:bottom w:val="none" w:sz="0" w:space="0" w:color="auto"/>
        <w:right w:val="none" w:sz="0" w:space="0" w:color="auto"/>
      </w:divBdr>
    </w:div>
    <w:div w:id="1341811474">
      <w:bodyDiv w:val="1"/>
      <w:marLeft w:val="0"/>
      <w:marRight w:val="0"/>
      <w:marTop w:val="0"/>
      <w:marBottom w:val="0"/>
      <w:divBdr>
        <w:top w:val="none" w:sz="0" w:space="0" w:color="auto"/>
        <w:left w:val="none" w:sz="0" w:space="0" w:color="auto"/>
        <w:bottom w:val="none" w:sz="0" w:space="0" w:color="auto"/>
        <w:right w:val="none" w:sz="0" w:space="0" w:color="auto"/>
      </w:divBdr>
    </w:div>
    <w:div w:id="1342048930">
      <w:bodyDiv w:val="1"/>
      <w:marLeft w:val="0"/>
      <w:marRight w:val="0"/>
      <w:marTop w:val="0"/>
      <w:marBottom w:val="0"/>
      <w:divBdr>
        <w:top w:val="none" w:sz="0" w:space="0" w:color="auto"/>
        <w:left w:val="none" w:sz="0" w:space="0" w:color="auto"/>
        <w:bottom w:val="none" w:sz="0" w:space="0" w:color="auto"/>
        <w:right w:val="none" w:sz="0" w:space="0" w:color="auto"/>
      </w:divBdr>
    </w:div>
    <w:div w:id="1342120752">
      <w:bodyDiv w:val="1"/>
      <w:marLeft w:val="0"/>
      <w:marRight w:val="0"/>
      <w:marTop w:val="0"/>
      <w:marBottom w:val="0"/>
      <w:divBdr>
        <w:top w:val="none" w:sz="0" w:space="0" w:color="auto"/>
        <w:left w:val="none" w:sz="0" w:space="0" w:color="auto"/>
        <w:bottom w:val="none" w:sz="0" w:space="0" w:color="auto"/>
        <w:right w:val="none" w:sz="0" w:space="0" w:color="auto"/>
      </w:divBdr>
    </w:div>
    <w:div w:id="1342195424">
      <w:bodyDiv w:val="1"/>
      <w:marLeft w:val="0"/>
      <w:marRight w:val="0"/>
      <w:marTop w:val="0"/>
      <w:marBottom w:val="0"/>
      <w:divBdr>
        <w:top w:val="none" w:sz="0" w:space="0" w:color="auto"/>
        <w:left w:val="none" w:sz="0" w:space="0" w:color="auto"/>
        <w:bottom w:val="none" w:sz="0" w:space="0" w:color="auto"/>
        <w:right w:val="none" w:sz="0" w:space="0" w:color="auto"/>
      </w:divBdr>
    </w:div>
    <w:div w:id="1342195753">
      <w:bodyDiv w:val="1"/>
      <w:marLeft w:val="0"/>
      <w:marRight w:val="0"/>
      <w:marTop w:val="0"/>
      <w:marBottom w:val="0"/>
      <w:divBdr>
        <w:top w:val="none" w:sz="0" w:space="0" w:color="auto"/>
        <w:left w:val="none" w:sz="0" w:space="0" w:color="auto"/>
        <w:bottom w:val="none" w:sz="0" w:space="0" w:color="auto"/>
        <w:right w:val="none" w:sz="0" w:space="0" w:color="auto"/>
      </w:divBdr>
    </w:div>
    <w:div w:id="1342929802">
      <w:bodyDiv w:val="1"/>
      <w:marLeft w:val="0"/>
      <w:marRight w:val="0"/>
      <w:marTop w:val="0"/>
      <w:marBottom w:val="0"/>
      <w:divBdr>
        <w:top w:val="none" w:sz="0" w:space="0" w:color="auto"/>
        <w:left w:val="none" w:sz="0" w:space="0" w:color="auto"/>
        <w:bottom w:val="none" w:sz="0" w:space="0" w:color="auto"/>
        <w:right w:val="none" w:sz="0" w:space="0" w:color="auto"/>
      </w:divBdr>
    </w:div>
    <w:div w:id="1343509034">
      <w:bodyDiv w:val="1"/>
      <w:marLeft w:val="0"/>
      <w:marRight w:val="0"/>
      <w:marTop w:val="0"/>
      <w:marBottom w:val="0"/>
      <w:divBdr>
        <w:top w:val="none" w:sz="0" w:space="0" w:color="auto"/>
        <w:left w:val="none" w:sz="0" w:space="0" w:color="auto"/>
        <w:bottom w:val="none" w:sz="0" w:space="0" w:color="auto"/>
        <w:right w:val="none" w:sz="0" w:space="0" w:color="auto"/>
      </w:divBdr>
    </w:div>
    <w:div w:id="1343584275">
      <w:bodyDiv w:val="1"/>
      <w:marLeft w:val="0"/>
      <w:marRight w:val="0"/>
      <w:marTop w:val="0"/>
      <w:marBottom w:val="0"/>
      <w:divBdr>
        <w:top w:val="none" w:sz="0" w:space="0" w:color="auto"/>
        <w:left w:val="none" w:sz="0" w:space="0" w:color="auto"/>
        <w:bottom w:val="none" w:sz="0" w:space="0" w:color="auto"/>
        <w:right w:val="none" w:sz="0" w:space="0" w:color="auto"/>
      </w:divBdr>
    </w:div>
    <w:div w:id="1343624022">
      <w:bodyDiv w:val="1"/>
      <w:marLeft w:val="0"/>
      <w:marRight w:val="0"/>
      <w:marTop w:val="0"/>
      <w:marBottom w:val="0"/>
      <w:divBdr>
        <w:top w:val="none" w:sz="0" w:space="0" w:color="auto"/>
        <w:left w:val="none" w:sz="0" w:space="0" w:color="auto"/>
        <w:bottom w:val="none" w:sz="0" w:space="0" w:color="auto"/>
        <w:right w:val="none" w:sz="0" w:space="0" w:color="auto"/>
      </w:divBdr>
    </w:div>
    <w:div w:id="1344093481">
      <w:bodyDiv w:val="1"/>
      <w:marLeft w:val="0"/>
      <w:marRight w:val="0"/>
      <w:marTop w:val="0"/>
      <w:marBottom w:val="0"/>
      <w:divBdr>
        <w:top w:val="none" w:sz="0" w:space="0" w:color="auto"/>
        <w:left w:val="none" w:sz="0" w:space="0" w:color="auto"/>
        <w:bottom w:val="none" w:sz="0" w:space="0" w:color="auto"/>
        <w:right w:val="none" w:sz="0" w:space="0" w:color="auto"/>
      </w:divBdr>
    </w:div>
    <w:div w:id="1344283418">
      <w:bodyDiv w:val="1"/>
      <w:marLeft w:val="0"/>
      <w:marRight w:val="0"/>
      <w:marTop w:val="0"/>
      <w:marBottom w:val="0"/>
      <w:divBdr>
        <w:top w:val="none" w:sz="0" w:space="0" w:color="auto"/>
        <w:left w:val="none" w:sz="0" w:space="0" w:color="auto"/>
        <w:bottom w:val="none" w:sz="0" w:space="0" w:color="auto"/>
        <w:right w:val="none" w:sz="0" w:space="0" w:color="auto"/>
      </w:divBdr>
    </w:div>
    <w:div w:id="1344359099">
      <w:bodyDiv w:val="1"/>
      <w:marLeft w:val="0"/>
      <w:marRight w:val="0"/>
      <w:marTop w:val="0"/>
      <w:marBottom w:val="0"/>
      <w:divBdr>
        <w:top w:val="none" w:sz="0" w:space="0" w:color="auto"/>
        <w:left w:val="none" w:sz="0" w:space="0" w:color="auto"/>
        <w:bottom w:val="none" w:sz="0" w:space="0" w:color="auto"/>
        <w:right w:val="none" w:sz="0" w:space="0" w:color="auto"/>
      </w:divBdr>
    </w:div>
    <w:div w:id="1344670873">
      <w:bodyDiv w:val="1"/>
      <w:marLeft w:val="0"/>
      <w:marRight w:val="0"/>
      <w:marTop w:val="0"/>
      <w:marBottom w:val="0"/>
      <w:divBdr>
        <w:top w:val="none" w:sz="0" w:space="0" w:color="auto"/>
        <w:left w:val="none" w:sz="0" w:space="0" w:color="auto"/>
        <w:bottom w:val="none" w:sz="0" w:space="0" w:color="auto"/>
        <w:right w:val="none" w:sz="0" w:space="0" w:color="auto"/>
      </w:divBdr>
    </w:div>
    <w:div w:id="1344741027">
      <w:bodyDiv w:val="1"/>
      <w:marLeft w:val="0"/>
      <w:marRight w:val="0"/>
      <w:marTop w:val="0"/>
      <w:marBottom w:val="0"/>
      <w:divBdr>
        <w:top w:val="none" w:sz="0" w:space="0" w:color="auto"/>
        <w:left w:val="none" w:sz="0" w:space="0" w:color="auto"/>
        <w:bottom w:val="none" w:sz="0" w:space="0" w:color="auto"/>
        <w:right w:val="none" w:sz="0" w:space="0" w:color="auto"/>
      </w:divBdr>
    </w:div>
    <w:div w:id="1344741616">
      <w:bodyDiv w:val="1"/>
      <w:marLeft w:val="0"/>
      <w:marRight w:val="0"/>
      <w:marTop w:val="0"/>
      <w:marBottom w:val="0"/>
      <w:divBdr>
        <w:top w:val="none" w:sz="0" w:space="0" w:color="auto"/>
        <w:left w:val="none" w:sz="0" w:space="0" w:color="auto"/>
        <w:bottom w:val="none" w:sz="0" w:space="0" w:color="auto"/>
        <w:right w:val="none" w:sz="0" w:space="0" w:color="auto"/>
      </w:divBdr>
    </w:div>
    <w:div w:id="1344938707">
      <w:bodyDiv w:val="1"/>
      <w:marLeft w:val="0"/>
      <w:marRight w:val="0"/>
      <w:marTop w:val="0"/>
      <w:marBottom w:val="0"/>
      <w:divBdr>
        <w:top w:val="none" w:sz="0" w:space="0" w:color="auto"/>
        <w:left w:val="none" w:sz="0" w:space="0" w:color="auto"/>
        <w:bottom w:val="none" w:sz="0" w:space="0" w:color="auto"/>
        <w:right w:val="none" w:sz="0" w:space="0" w:color="auto"/>
      </w:divBdr>
    </w:div>
    <w:div w:id="1345016340">
      <w:bodyDiv w:val="1"/>
      <w:marLeft w:val="0"/>
      <w:marRight w:val="0"/>
      <w:marTop w:val="0"/>
      <w:marBottom w:val="0"/>
      <w:divBdr>
        <w:top w:val="none" w:sz="0" w:space="0" w:color="auto"/>
        <w:left w:val="none" w:sz="0" w:space="0" w:color="auto"/>
        <w:bottom w:val="none" w:sz="0" w:space="0" w:color="auto"/>
        <w:right w:val="none" w:sz="0" w:space="0" w:color="auto"/>
      </w:divBdr>
    </w:div>
    <w:div w:id="1345937767">
      <w:bodyDiv w:val="1"/>
      <w:marLeft w:val="0"/>
      <w:marRight w:val="0"/>
      <w:marTop w:val="0"/>
      <w:marBottom w:val="0"/>
      <w:divBdr>
        <w:top w:val="none" w:sz="0" w:space="0" w:color="auto"/>
        <w:left w:val="none" w:sz="0" w:space="0" w:color="auto"/>
        <w:bottom w:val="none" w:sz="0" w:space="0" w:color="auto"/>
        <w:right w:val="none" w:sz="0" w:space="0" w:color="auto"/>
      </w:divBdr>
    </w:div>
    <w:div w:id="1346057690">
      <w:bodyDiv w:val="1"/>
      <w:marLeft w:val="0"/>
      <w:marRight w:val="0"/>
      <w:marTop w:val="0"/>
      <w:marBottom w:val="0"/>
      <w:divBdr>
        <w:top w:val="none" w:sz="0" w:space="0" w:color="auto"/>
        <w:left w:val="none" w:sz="0" w:space="0" w:color="auto"/>
        <w:bottom w:val="none" w:sz="0" w:space="0" w:color="auto"/>
        <w:right w:val="none" w:sz="0" w:space="0" w:color="auto"/>
      </w:divBdr>
    </w:div>
    <w:div w:id="1346205314">
      <w:bodyDiv w:val="1"/>
      <w:marLeft w:val="0"/>
      <w:marRight w:val="0"/>
      <w:marTop w:val="0"/>
      <w:marBottom w:val="0"/>
      <w:divBdr>
        <w:top w:val="none" w:sz="0" w:space="0" w:color="auto"/>
        <w:left w:val="none" w:sz="0" w:space="0" w:color="auto"/>
        <w:bottom w:val="none" w:sz="0" w:space="0" w:color="auto"/>
        <w:right w:val="none" w:sz="0" w:space="0" w:color="auto"/>
      </w:divBdr>
    </w:div>
    <w:div w:id="1346437968">
      <w:bodyDiv w:val="1"/>
      <w:marLeft w:val="0"/>
      <w:marRight w:val="0"/>
      <w:marTop w:val="0"/>
      <w:marBottom w:val="0"/>
      <w:divBdr>
        <w:top w:val="none" w:sz="0" w:space="0" w:color="auto"/>
        <w:left w:val="none" w:sz="0" w:space="0" w:color="auto"/>
        <w:bottom w:val="none" w:sz="0" w:space="0" w:color="auto"/>
        <w:right w:val="none" w:sz="0" w:space="0" w:color="auto"/>
      </w:divBdr>
    </w:div>
    <w:div w:id="1348094826">
      <w:bodyDiv w:val="1"/>
      <w:marLeft w:val="0"/>
      <w:marRight w:val="0"/>
      <w:marTop w:val="0"/>
      <w:marBottom w:val="0"/>
      <w:divBdr>
        <w:top w:val="none" w:sz="0" w:space="0" w:color="auto"/>
        <w:left w:val="none" w:sz="0" w:space="0" w:color="auto"/>
        <w:bottom w:val="none" w:sz="0" w:space="0" w:color="auto"/>
        <w:right w:val="none" w:sz="0" w:space="0" w:color="auto"/>
      </w:divBdr>
    </w:div>
    <w:div w:id="1348606233">
      <w:bodyDiv w:val="1"/>
      <w:marLeft w:val="0"/>
      <w:marRight w:val="0"/>
      <w:marTop w:val="0"/>
      <w:marBottom w:val="0"/>
      <w:divBdr>
        <w:top w:val="none" w:sz="0" w:space="0" w:color="auto"/>
        <w:left w:val="none" w:sz="0" w:space="0" w:color="auto"/>
        <w:bottom w:val="none" w:sz="0" w:space="0" w:color="auto"/>
        <w:right w:val="none" w:sz="0" w:space="0" w:color="auto"/>
      </w:divBdr>
    </w:div>
    <w:div w:id="1348798025">
      <w:bodyDiv w:val="1"/>
      <w:marLeft w:val="0"/>
      <w:marRight w:val="0"/>
      <w:marTop w:val="0"/>
      <w:marBottom w:val="0"/>
      <w:divBdr>
        <w:top w:val="none" w:sz="0" w:space="0" w:color="auto"/>
        <w:left w:val="none" w:sz="0" w:space="0" w:color="auto"/>
        <w:bottom w:val="none" w:sz="0" w:space="0" w:color="auto"/>
        <w:right w:val="none" w:sz="0" w:space="0" w:color="auto"/>
      </w:divBdr>
    </w:div>
    <w:div w:id="1348946152">
      <w:bodyDiv w:val="1"/>
      <w:marLeft w:val="0"/>
      <w:marRight w:val="0"/>
      <w:marTop w:val="0"/>
      <w:marBottom w:val="0"/>
      <w:divBdr>
        <w:top w:val="none" w:sz="0" w:space="0" w:color="auto"/>
        <w:left w:val="none" w:sz="0" w:space="0" w:color="auto"/>
        <w:bottom w:val="none" w:sz="0" w:space="0" w:color="auto"/>
        <w:right w:val="none" w:sz="0" w:space="0" w:color="auto"/>
      </w:divBdr>
    </w:div>
    <w:div w:id="1349135678">
      <w:bodyDiv w:val="1"/>
      <w:marLeft w:val="0"/>
      <w:marRight w:val="0"/>
      <w:marTop w:val="0"/>
      <w:marBottom w:val="0"/>
      <w:divBdr>
        <w:top w:val="none" w:sz="0" w:space="0" w:color="auto"/>
        <w:left w:val="none" w:sz="0" w:space="0" w:color="auto"/>
        <w:bottom w:val="none" w:sz="0" w:space="0" w:color="auto"/>
        <w:right w:val="none" w:sz="0" w:space="0" w:color="auto"/>
      </w:divBdr>
    </w:div>
    <w:div w:id="1349216342">
      <w:bodyDiv w:val="1"/>
      <w:marLeft w:val="0"/>
      <w:marRight w:val="0"/>
      <w:marTop w:val="0"/>
      <w:marBottom w:val="0"/>
      <w:divBdr>
        <w:top w:val="none" w:sz="0" w:space="0" w:color="auto"/>
        <w:left w:val="none" w:sz="0" w:space="0" w:color="auto"/>
        <w:bottom w:val="none" w:sz="0" w:space="0" w:color="auto"/>
        <w:right w:val="none" w:sz="0" w:space="0" w:color="auto"/>
      </w:divBdr>
    </w:div>
    <w:div w:id="1349257196">
      <w:bodyDiv w:val="1"/>
      <w:marLeft w:val="0"/>
      <w:marRight w:val="0"/>
      <w:marTop w:val="0"/>
      <w:marBottom w:val="0"/>
      <w:divBdr>
        <w:top w:val="none" w:sz="0" w:space="0" w:color="auto"/>
        <w:left w:val="none" w:sz="0" w:space="0" w:color="auto"/>
        <w:bottom w:val="none" w:sz="0" w:space="0" w:color="auto"/>
        <w:right w:val="none" w:sz="0" w:space="0" w:color="auto"/>
      </w:divBdr>
    </w:div>
    <w:div w:id="1350184434">
      <w:bodyDiv w:val="1"/>
      <w:marLeft w:val="0"/>
      <w:marRight w:val="0"/>
      <w:marTop w:val="0"/>
      <w:marBottom w:val="0"/>
      <w:divBdr>
        <w:top w:val="none" w:sz="0" w:space="0" w:color="auto"/>
        <w:left w:val="none" w:sz="0" w:space="0" w:color="auto"/>
        <w:bottom w:val="none" w:sz="0" w:space="0" w:color="auto"/>
        <w:right w:val="none" w:sz="0" w:space="0" w:color="auto"/>
      </w:divBdr>
    </w:div>
    <w:div w:id="1350372128">
      <w:bodyDiv w:val="1"/>
      <w:marLeft w:val="0"/>
      <w:marRight w:val="0"/>
      <w:marTop w:val="0"/>
      <w:marBottom w:val="0"/>
      <w:divBdr>
        <w:top w:val="none" w:sz="0" w:space="0" w:color="auto"/>
        <w:left w:val="none" w:sz="0" w:space="0" w:color="auto"/>
        <w:bottom w:val="none" w:sz="0" w:space="0" w:color="auto"/>
        <w:right w:val="none" w:sz="0" w:space="0" w:color="auto"/>
      </w:divBdr>
    </w:div>
    <w:div w:id="1350521263">
      <w:bodyDiv w:val="1"/>
      <w:marLeft w:val="0"/>
      <w:marRight w:val="0"/>
      <w:marTop w:val="0"/>
      <w:marBottom w:val="0"/>
      <w:divBdr>
        <w:top w:val="none" w:sz="0" w:space="0" w:color="auto"/>
        <w:left w:val="none" w:sz="0" w:space="0" w:color="auto"/>
        <w:bottom w:val="none" w:sz="0" w:space="0" w:color="auto"/>
        <w:right w:val="none" w:sz="0" w:space="0" w:color="auto"/>
      </w:divBdr>
    </w:div>
    <w:div w:id="1352225258">
      <w:bodyDiv w:val="1"/>
      <w:marLeft w:val="0"/>
      <w:marRight w:val="0"/>
      <w:marTop w:val="0"/>
      <w:marBottom w:val="0"/>
      <w:divBdr>
        <w:top w:val="none" w:sz="0" w:space="0" w:color="auto"/>
        <w:left w:val="none" w:sz="0" w:space="0" w:color="auto"/>
        <w:bottom w:val="none" w:sz="0" w:space="0" w:color="auto"/>
        <w:right w:val="none" w:sz="0" w:space="0" w:color="auto"/>
      </w:divBdr>
    </w:div>
    <w:div w:id="1352367721">
      <w:bodyDiv w:val="1"/>
      <w:marLeft w:val="0"/>
      <w:marRight w:val="0"/>
      <w:marTop w:val="0"/>
      <w:marBottom w:val="0"/>
      <w:divBdr>
        <w:top w:val="none" w:sz="0" w:space="0" w:color="auto"/>
        <w:left w:val="none" w:sz="0" w:space="0" w:color="auto"/>
        <w:bottom w:val="none" w:sz="0" w:space="0" w:color="auto"/>
        <w:right w:val="none" w:sz="0" w:space="0" w:color="auto"/>
      </w:divBdr>
    </w:div>
    <w:div w:id="1352950441">
      <w:bodyDiv w:val="1"/>
      <w:marLeft w:val="0"/>
      <w:marRight w:val="0"/>
      <w:marTop w:val="0"/>
      <w:marBottom w:val="0"/>
      <w:divBdr>
        <w:top w:val="none" w:sz="0" w:space="0" w:color="auto"/>
        <w:left w:val="none" w:sz="0" w:space="0" w:color="auto"/>
        <w:bottom w:val="none" w:sz="0" w:space="0" w:color="auto"/>
        <w:right w:val="none" w:sz="0" w:space="0" w:color="auto"/>
      </w:divBdr>
    </w:div>
    <w:div w:id="1352995597">
      <w:bodyDiv w:val="1"/>
      <w:marLeft w:val="0"/>
      <w:marRight w:val="0"/>
      <w:marTop w:val="0"/>
      <w:marBottom w:val="0"/>
      <w:divBdr>
        <w:top w:val="none" w:sz="0" w:space="0" w:color="auto"/>
        <w:left w:val="none" w:sz="0" w:space="0" w:color="auto"/>
        <w:bottom w:val="none" w:sz="0" w:space="0" w:color="auto"/>
        <w:right w:val="none" w:sz="0" w:space="0" w:color="auto"/>
      </w:divBdr>
    </w:div>
    <w:div w:id="1353995252">
      <w:bodyDiv w:val="1"/>
      <w:marLeft w:val="0"/>
      <w:marRight w:val="0"/>
      <w:marTop w:val="0"/>
      <w:marBottom w:val="0"/>
      <w:divBdr>
        <w:top w:val="none" w:sz="0" w:space="0" w:color="auto"/>
        <w:left w:val="none" w:sz="0" w:space="0" w:color="auto"/>
        <w:bottom w:val="none" w:sz="0" w:space="0" w:color="auto"/>
        <w:right w:val="none" w:sz="0" w:space="0" w:color="auto"/>
      </w:divBdr>
    </w:div>
    <w:div w:id="1353999030">
      <w:bodyDiv w:val="1"/>
      <w:marLeft w:val="0"/>
      <w:marRight w:val="0"/>
      <w:marTop w:val="0"/>
      <w:marBottom w:val="0"/>
      <w:divBdr>
        <w:top w:val="none" w:sz="0" w:space="0" w:color="auto"/>
        <w:left w:val="none" w:sz="0" w:space="0" w:color="auto"/>
        <w:bottom w:val="none" w:sz="0" w:space="0" w:color="auto"/>
        <w:right w:val="none" w:sz="0" w:space="0" w:color="auto"/>
      </w:divBdr>
    </w:div>
    <w:div w:id="1354116292">
      <w:bodyDiv w:val="1"/>
      <w:marLeft w:val="0"/>
      <w:marRight w:val="0"/>
      <w:marTop w:val="0"/>
      <w:marBottom w:val="0"/>
      <w:divBdr>
        <w:top w:val="none" w:sz="0" w:space="0" w:color="auto"/>
        <w:left w:val="none" w:sz="0" w:space="0" w:color="auto"/>
        <w:bottom w:val="none" w:sz="0" w:space="0" w:color="auto"/>
        <w:right w:val="none" w:sz="0" w:space="0" w:color="auto"/>
      </w:divBdr>
    </w:div>
    <w:div w:id="1354191752">
      <w:bodyDiv w:val="1"/>
      <w:marLeft w:val="0"/>
      <w:marRight w:val="0"/>
      <w:marTop w:val="0"/>
      <w:marBottom w:val="0"/>
      <w:divBdr>
        <w:top w:val="none" w:sz="0" w:space="0" w:color="auto"/>
        <w:left w:val="none" w:sz="0" w:space="0" w:color="auto"/>
        <w:bottom w:val="none" w:sz="0" w:space="0" w:color="auto"/>
        <w:right w:val="none" w:sz="0" w:space="0" w:color="auto"/>
      </w:divBdr>
    </w:div>
    <w:div w:id="1354452704">
      <w:bodyDiv w:val="1"/>
      <w:marLeft w:val="0"/>
      <w:marRight w:val="0"/>
      <w:marTop w:val="0"/>
      <w:marBottom w:val="0"/>
      <w:divBdr>
        <w:top w:val="none" w:sz="0" w:space="0" w:color="auto"/>
        <w:left w:val="none" w:sz="0" w:space="0" w:color="auto"/>
        <w:bottom w:val="none" w:sz="0" w:space="0" w:color="auto"/>
        <w:right w:val="none" w:sz="0" w:space="0" w:color="auto"/>
      </w:divBdr>
    </w:div>
    <w:div w:id="1355108087">
      <w:bodyDiv w:val="1"/>
      <w:marLeft w:val="0"/>
      <w:marRight w:val="0"/>
      <w:marTop w:val="0"/>
      <w:marBottom w:val="0"/>
      <w:divBdr>
        <w:top w:val="none" w:sz="0" w:space="0" w:color="auto"/>
        <w:left w:val="none" w:sz="0" w:space="0" w:color="auto"/>
        <w:bottom w:val="none" w:sz="0" w:space="0" w:color="auto"/>
        <w:right w:val="none" w:sz="0" w:space="0" w:color="auto"/>
      </w:divBdr>
    </w:div>
    <w:div w:id="1355423713">
      <w:bodyDiv w:val="1"/>
      <w:marLeft w:val="0"/>
      <w:marRight w:val="0"/>
      <w:marTop w:val="0"/>
      <w:marBottom w:val="0"/>
      <w:divBdr>
        <w:top w:val="none" w:sz="0" w:space="0" w:color="auto"/>
        <w:left w:val="none" w:sz="0" w:space="0" w:color="auto"/>
        <w:bottom w:val="none" w:sz="0" w:space="0" w:color="auto"/>
        <w:right w:val="none" w:sz="0" w:space="0" w:color="auto"/>
      </w:divBdr>
    </w:div>
    <w:div w:id="1355620374">
      <w:bodyDiv w:val="1"/>
      <w:marLeft w:val="0"/>
      <w:marRight w:val="0"/>
      <w:marTop w:val="0"/>
      <w:marBottom w:val="0"/>
      <w:divBdr>
        <w:top w:val="none" w:sz="0" w:space="0" w:color="auto"/>
        <w:left w:val="none" w:sz="0" w:space="0" w:color="auto"/>
        <w:bottom w:val="none" w:sz="0" w:space="0" w:color="auto"/>
        <w:right w:val="none" w:sz="0" w:space="0" w:color="auto"/>
      </w:divBdr>
    </w:div>
    <w:div w:id="1355886822">
      <w:bodyDiv w:val="1"/>
      <w:marLeft w:val="0"/>
      <w:marRight w:val="0"/>
      <w:marTop w:val="0"/>
      <w:marBottom w:val="0"/>
      <w:divBdr>
        <w:top w:val="none" w:sz="0" w:space="0" w:color="auto"/>
        <w:left w:val="none" w:sz="0" w:space="0" w:color="auto"/>
        <w:bottom w:val="none" w:sz="0" w:space="0" w:color="auto"/>
        <w:right w:val="none" w:sz="0" w:space="0" w:color="auto"/>
      </w:divBdr>
    </w:div>
    <w:div w:id="1356079485">
      <w:bodyDiv w:val="1"/>
      <w:marLeft w:val="0"/>
      <w:marRight w:val="0"/>
      <w:marTop w:val="0"/>
      <w:marBottom w:val="0"/>
      <w:divBdr>
        <w:top w:val="none" w:sz="0" w:space="0" w:color="auto"/>
        <w:left w:val="none" w:sz="0" w:space="0" w:color="auto"/>
        <w:bottom w:val="none" w:sz="0" w:space="0" w:color="auto"/>
        <w:right w:val="none" w:sz="0" w:space="0" w:color="auto"/>
      </w:divBdr>
    </w:div>
    <w:div w:id="1356343602">
      <w:bodyDiv w:val="1"/>
      <w:marLeft w:val="0"/>
      <w:marRight w:val="0"/>
      <w:marTop w:val="0"/>
      <w:marBottom w:val="0"/>
      <w:divBdr>
        <w:top w:val="none" w:sz="0" w:space="0" w:color="auto"/>
        <w:left w:val="none" w:sz="0" w:space="0" w:color="auto"/>
        <w:bottom w:val="none" w:sz="0" w:space="0" w:color="auto"/>
        <w:right w:val="none" w:sz="0" w:space="0" w:color="auto"/>
      </w:divBdr>
    </w:div>
    <w:div w:id="1356690289">
      <w:bodyDiv w:val="1"/>
      <w:marLeft w:val="0"/>
      <w:marRight w:val="0"/>
      <w:marTop w:val="0"/>
      <w:marBottom w:val="0"/>
      <w:divBdr>
        <w:top w:val="none" w:sz="0" w:space="0" w:color="auto"/>
        <w:left w:val="none" w:sz="0" w:space="0" w:color="auto"/>
        <w:bottom w:val="none" w:sz="0" w:space="0" w:color="auto"/>
        <w:right w:val="none" w:sz="0" w:space="0" w:color="auto"/>
      </w:divBdr>
    </w:div>
    <w:div w:id="1357152237">
      <w:bodyDiv w:val="1"/>
      <w:marLeft w:val="0"/>
      <w:marRight w:val="0"/>
      <w:marTop w:val="0"/>
      <w:marBottom w:val="0"/>
      <w:divBdr>
        <w:top w:val="none" w:sz="0" w:space="0" w:color="auto"/>
        <w:left w:val="none" w:sz="0" w:space="0" w:color="auto"/>
        <w:bottom w:val="none" w:sz="0" w:space="0" w:color="auto"/>
        <w:right w:val="none" w:sz="0" w:space="0" w:color="auto"/>
      </w:divBdr>
    </w:div>
    <w:div w:id="1358040622">
      <w:bodyDiv w:val="1"/>
      <w:marLeft w:val="0"/>
      <w:marRight w:val="0"/>
      <w:marTop w:val="0"/>
      <w:marBottom w:val="0"/>
      <w:divBdr>
        <w:top w:val="none" w:sz="0" w:space="0" w:color="auto"/>
        <w:left w:val="none" w:sz="0" w:space="0" w:color="auto"/>
        <w:bottom w:val="none" w:sz="0" w:space="0" w:color="auto"/>
        <w:right w:val="none" w:sz="0" w:space="0" w:color="auto"/>
      </w:divBdr>
    </w:div>
    <w:div w:id="1358044756">
      <w:bodyDiv w:val="1"/>
      <w:marLeft w:val="0"/>
      <w:marRight w:val="0"/>
      <w:marTop w:val="0"/>
      <w:marBottom w:val="0"/>
      <w:divBdr>
        <w:top w:val="none" w:sz="0" w:space="0" w:color="auto"/>
        <w:left w:val="none" w:sz="0" w:space="0" w:color="auto"/>
        <w:bottom w:val="none" w:sz="0" w:space="0" w:color="auto"/>
        <w:right w:val="none" w:sz="0" w:space="0" w:color="auto"/>
      </w:divBdr>
    </w:div>
    <w:div w:id="1358235089">
      <w:bodyDiv w:val="1"/>
      <w:marLeft w:val="0"/>
      <w:marRight w:val="0"/>
      <w:marTop w:val="0"/>
      <w:marBottom w:val="0"/>
      <w:divBdr>
        <w:top w:val="none" w:sz="0" w:space="0" w:color="auto"/>
        <w:left w:val="none" w:sz="0" w:space="0" w:color="auto"/>
        <w:bottom w:val="none" w:sz="0" w:space="0" w:color="auto"/>
        <w:right w:val="none" w:sz="0" w:space="0" w:color="auto"/>
      </w:divBdr>
    </w:div>
    <w:div w:id="1358390439">
      <w:bodyDiv w:val="1"/>
      <w:marLeft w:val="0"/>
      <w:marRight w:val="0"/>
      <w:marTop w:val="0"/>
      <w:marBottom w:val="0"/>
      <w:divBdr>
        <w:top w:val="none" w:sz="0" w:space="0" w:color="auto"/>
        <w:left w:val="none" w:sz="0" w:space="0" w:color="auto"/>
        <w:bottom w:val="none" w:sz="0" w:space="0" w:color="auto"/>
        <w:right w:val="none" w:sz="0" w:space="0" w:color="auto"/>
      </w:divBdr>
    </w:div>
    <w:div w:id="1358459810">
      <w:bodyDiv w:val="1"/>
      <w:marLeft w:val="0"/>
      <w:marRight w:val="0"/>
      <w:marTop w:val="0"/>
      <w:marBottom w:val="0"/>
      <w:divBdr>
        <w:top w:val="none" w:sz="0" w:space="0" w:color="auto"/>
        <w:left w:val="none" w:sz="0" w:space="0" w:color="auto"/>
        <w:bottom w:val="none" w:sz="0" w:space="0" w:color="auto"/>
        <w:right w:val="none" w:sz="0" w:space="0" w:color="auto"/>
      </w:divBdr>
    </w:div>
    <w:div w:id="1358507694">
      <w:bodyDiv w:val="1"/>
      <w:marLeft w:val="0"/>
      <w:marRight w:val="0"/>
      <w:marTop w:val="0"/>
      <w:marBottom w:val="0"/>
      <w:divBdr>
        <w:top w:val="none" w:sz="0" w:space="0" w:color="auto"/>
        <w:left w:val="none" w:sz="0" w:space="0" w:color="auto"/>
        <w:bottom w:val="none" w:sz="0" w:space="0" w:color="auto"/>
        <w:right w:val="none" w:sz="0" w:space="0" w:color="auto"/>
      </w:divBdr>
    </w:div>
    <w:div w:id="1358848635">
      <w:bodyDiv w:val="1"/>
      <w:marLeft w:val="0"/>
      <w:marRight w:val="0"/>
      <w:marTop w:val="0"/>
      <w:marBottom w:val="0"/>
      <w:divBdr>
        <w:top w:val="none" w:sz="0" w:space="0" w:color="auto"/>
        <w:left w:val="none" w:sz="0" w:space="0" w:color="auto"/>
        <w:bottom w:val="none" w:sz="0" w:space="0" w:color="auto"/>
        <w:right w:val="none" w:sz="0" w:space="0" w:color="auto"/>
      </w:divBdr>
    </w:div>
    <w:div w:id="1358963300">
      <w:bodyDiv w:val="1"/>
      <w:marLeft w:val="0"/>
      <w:marRight w:val="0"/>
      <w:marTop w:val="0"/>
      <w:marBottom w:val="0"/>
      <w:divBdr>
        <w:top w:val="none" w:sz="0" w:space="0" w:color="auto"/>
        <w:left w:val="none" w:sz="0" w:space="0" w:color="auto"/>
        <w:bottom w:val="none" w:sz="0" w:space="0" w:color="auto"/>
        <w:right w:val="none" w:sz="0" w:space="0" w:color="auto"/>
      </w:divBdr>
    </w:div>
    <w:div w:id="1359623281">
      <w:bodyDiv w:val="1"/>
      <w:marLeft w:val="0"/>
      <w:marRight w:val="0"/>
      <w:marTop w:val="0"/>
      <w:marBottom w:val="0"/>
      <w:divBdr>
        <w:top w:val="none" w:sz="0" w:space="0" w:color="auto"/>
        <w:left w:val="none" w:sz="0" w:space="0" w:color="auto"/>
        <w:bottom w:val="none" w:sz="0" w:space="0" w:color="auto"/>
        <w:right w:val="none" w:sz="0" w:space="0" w:color="auto"/>
      </w:divBdr>
    </w:div>
    <w:div w:id="1359964002">
      <w:bodyDiv w:val="1"/>
      <w:marLeft w:val="0"/>
      <w:marRight w:val="0"/>
      <w:marTop w:val="0"/>
      <w:marBottom w:val="0"/>
      <w:divBdr>
        <w:top w:val="none" w:sz="0" w:space="0" w:color="auto"/>
        <w:left w:val="none" w:sz="0" w:space="0" w:color="auto"/>
        <w:bottom w:val="none" w:sz="0" w:space="0" w:color="auto"/>
        <w:right w:val="none" w:sz="0" w:space="0" w:color="auto"/>
      </w:divBdr>
    </w:div>
    <w:div w:id="1360205422">
      <w:bodyDiv w:val="1"/>
      <w:marLeft w:val="0"/>
      <w:marRight w:val="0"/>
      <w:marTop w:val="0"/>
      <w:marBottom w:val="0"/>
      <w:divBdr>
        <w:top w:val="none" w:sz="0" w:space="0" w:color="auto"/>
        <w:left w:val="none" w:sz="0" w:space="0" w:color="auto"/>
        <w:bottom w:val="none" w:sz="0" w:space="0" w:color="auto"/>
        <w:right w:val="none" w:sz="0" w:space="0" w:color="auto"/>
      </w:divBdr>
    </w:div>
    <w:div w:id="1360231166">
      <w:bodyDiv w:val="1"/>
      <w:marLeft w:val="0"/>
      <w:marRight w:val="0"/>
      <w:marTop w:val="0"/>
      <w:marBottom w:val="0"/>
      <w:divBdr>
        <w:top w:val="none" w:sz="0" w:space="0" w:color="auto"/>
        <w:left w:val="none" w:sz="0" w:space="0" w:color="auto"/>
        <w:bottom w:val="none" w:sz="0" w:space="0" w:color="auto"/>
        <w:right w:val="none" w:sz="0" w:space="0" w:color="auto"/>
      </w:divBdr>
    </w:div>
    <w:div w:id="1361005218">
      <w:bodyDiv w:val="1"/>
      <w:marLeft w:val="0"/>
      <w:marRight w:val="0"/>
      <w:marTop w:val="0"/>
      <w:marBottom w:val="0"/>
      <w:divBdr>
        <w:top w:val="none" w:sz="0" w:space="0" w:color="auto"/>
        <w:left w:val="none" w:sz="0" w:space="0" w:color="auto"/>
        <w:bottom w:val="none" w:sz="0" w:space="0" w:color="auto"/>
        <w:right w:val="none" w:sz="0" w:space="0" w:color="auto"/>
      </w:divBdr>
    </w:div>
    <w:div w:id="1361318377">
      <w:bodyDiv w:val="1"/>
      <w:marLeft w:val="0"/>
      <w:marRight w:val="0"/>
      <w:marTop w:val="0"/>
      <w:marBottom w:val="0"/>
      <w:divBdr>
        <w:top w:val="none" w:sz="0" w:space="0" w:color="auto"/>
        <w:left w:val="none" w:sz="0" w:space="0" w:color="auto"/>
        <w:bottom w:val="none" w:sz="0" w:space="0" w:color="auto"/>
        <w:right w:val="none" w:sz="0" w:space="0" w:color="auto"/>
      </w:divBdr>
    </w:div>
    <w:div w:id="1361392746">
      <w:bodyDiv w:val="1"/>
      <w:marLeft w:val="0"/>
      <w:marRight w:val="0"/>
      <w:marTop w:val="0"/>
      <w:marBottom w:val="0"/>
      <w:divBdr>
        <w:top w:val="none" w:sz="0" w:space="0" w:color="auto"/>
        <w:left w:val="none" w:sz="0" w:space="0" w:color="auto"/>
        <w:bottom w:val="none" w:sz="0" w:space="0" w:color="auto"/>
        <w:right w:val="none" w:sz="0" w:space="0" w:color="auto"/>
      </w:divBdr>
    </w:div>
    <w:div w:id="1361707243">
      <w:bodyDiv w:val="1"/>
      <w:marLeft w:val="0"/>
      <w:marRight w:val="0"/>
      <w:marTop w:val="0"/>
      <w:marBottom w:val="0"/>
      <w:divBdr>
        <w:top w:val="none" w:sz="0" w:space="0" w:color="auto"/>
        <w:left w:val="none" w:sz="0" w:space="0" w:color="auto"/>
        <w:bottom w:val="none" w:sz="0" w:space="0" w:color="auto"/>
        <w:right w:val="none" w:sz="0" w:space="0" w:color="auto"/>
      </w:divBdr>
    </w:div>
    <w:div w:id="1361738412">
      <w:bodyDiv w:val="1"/>
      <w:marLeft w:val="0"/>
      <w:marRight w:val="0"/>
      <w:marTop w:val="0"/>
      <w:marBottom w:val="0"/>
      <w:divBdr>
        <w:top w:val="none" w:sz="0" w:space="0" w:color="auto"/>
        <w:left w:val="none" w:sz="0" w:space="0" w:color="auto"/>
        <w:bottom w:val="none" w:sz="0" w:space="0" w:color="auto"/>
        <w:right w:val="none" w:sz="0" w:space="0" w:color="auto"/>
      </w:divBdr>
    </w:div>
    <w:div w:id="1361779873">
      <w:bodyDiv w:val="1"/>
      <w:marLeft w:val="0"/>
      <w:marRight w:val="0"/>
      <w:marTop w:val="0"/>
      <w:marBottom w:val="0"/>
      <w:divBdr>
        <w:top w:val="none" w:sz="0" w:space="0" w:color="auto"/>
        <w:left w:val="none" w:sz="0" w:space="0" w:color="auto"/>
        <w:bottom w:val="none" w:sz="0" w:space="0" w:color="auto"/>
        <w:right w:val="none" w:sz="0" w:space="0" w:color="auto"/>
      </w:divBdr>
    </w:div>
    <w:div w:id="1361935491">
      <w:bodyDiv w:val="1"/>
      <w:marLeft w:val="0"/>
      <w:marRight w:val="0"/>
      <w:marTop w:val="0"/>
      <w:marBottom w:val="0"/>
      <w:divBdr>
        <w:top w:val="none" w:sz="0" w:space="0" w:color="auto"/>
        <w:left w:val="none" w:sz="0" w:space="0" w:color="auto"/>
        <w:bottom w:val="none" w:sz="0" w:space="0" w:color="auto"/>
        <w:right w:val="none" w:sz="0" w:space="0" w:color="auto"/>
      </w:divBdr>
    </w:div>
    <w:div w:id="1362390430">
      <w:bodyDiv w:val="1"/>
      <w:marLeft w:val="0"/>
      <w:marRight w:val="0"/>
      <w:marTop w:val="0"/>
      <w:marBottom w:val="0"/>
      <w:divBdr>
        <w:top w:val="none" w:sz="0" w:space="0" w:color="auto"/>
        <w:left w:val="none" w:sz="0" w:space="0" w:color="auto"/>
        <w:bottom w:val="none" w:sz="0" w:space="0" w:color="auto"/>
        <w:right w:val="none" w:sz="0" w:space="0" w:color="auto"/>
      </w:divBdr>
    </w:div>
    <w:div w:id="1362393201">
      <w:bodyDiv w:val="1"/>
      <w:marLeft w:val="0"/>
      <w:marRight w:val="0"/>
      <w:marTop w:val="0"/>
      <w:marBottom w:val="0"/>
      <w:divBdr>
        <w:top w:val="none" w:sz="0" w:space="0" w:color="auto"/>
        <w:left w:val="none" w:sz="0" w:space="0" w:color="auto"/>
        <w:bottom w:val="none" w:sz="0" w:space="0" w:color="auto"/>
        <w:right w:val="none" w:sz="0" w:space="0" w:color="auto"/>
      </w:divBdr>
    </w:div>
    <w:div w:id="1362586218">
      <w:bodyDiv w:val="1"/>
      <w:marLeft w:val="0"/>
      <w:marRight w:val="0"/>
      <w:marTop w:val="0"/>
      <w:marBottom w:val="0"/>
      <w:divBdr>
        <w:top w:val="none" w:sz="0" w:space="0" w:color="auto"/>
        <w:left w:val="none" w:sz="0" w:space="0" w:color="auto"/>
        <w:bottom w:val="none" w:sz="0" w:space="0" w:color="auto"/>
        <w:right w:val="none" w:sz="0" w:space="0" w:color="auto"/>
      </w:divBdr>
    </w:div>
    <w:div w:id="1362628595">
      <w:bodyDiv w:val="1"/>
      <w:marLeft w:val="0"/>
      <w:marRight w:val="0"/>
      <w:marTop w:val="0"/>
      <w:marBottom w:val="0"/>
      <w:divBdr>
        <w:top w:val="none" w:sz="0" w:space="0" w:color="auto"/>
        <w:left w:val="none" w:sz="0" w:space="0" w:color="auto"/>
        <w:bottom w:val="none" w:sz="0" w:space="0" w:color="auto"/>
        <w:right w:val="none" w:sz="0" w:space="0" w:color="auto"/>
      </w:divBdr>
    </w:div>
    <w:div w:id="1362903535">
      <w:bodyDiv w:val="1"/>
      <w:marLeft w:val="0"/>
      <w:marRight w:val="0"/>
      <w:marTop w:val="0"/>
      <w:marBottom w:val="0"/>
      <w:divBdr>
        <w:top w:val="none" w:sz="0" w:space="0" w:color="auto"/>
        <w:left w:val="none" w:sz="0" w:space="0" w:color="auto"/>
        <w:bottom w:val="none" w:sz="0" w:space="0" w:color="auto"/>
        <w:right w:val="none" w:sz="0" w:space="0" w:color="auto"/>
      </w:divBdr>
    </w:div>
    <w:div w:id="1362971310">
      <w:bodyDiv w:val="1"/>
      <w:marLeft w:val="0"/>
      <w:marRight w:val="0"/>
      <w:marTop w:val="0"/>
      <w:marBottom w:val="0"/>
      <w:divBdr>
        <w:top w:val="none" w:sz="0" w:space="0" w:color="auto"/>
        <w:left w:val="none" w:sz="0" w:space="0" w:color="auto"/>
        <w:bottom w:val="none" w:sz="0" w:space="0" w:color="auto"/>
        <w:right w:val="none" w:sz="0" w:space="0" w:color="auto"/>
      </w:divBdr>
    </w:div>
    <w:div w:id="1363239924">
      <w:bodyDiv w:val="1"/>
      <w:marLeft w:val="0"/>
      <w:marRight w:val="0"/>
      <w:marTop w:val="0"/>
      <w:marBottom w:val="0"/>
      <w:divBdr>
        <w:top w:val="none" w:sz="0" w:space="0" w:color="auto"/>
        <w:left w:val="none" w:sz="0" w:space="0" w:color="auto"/>
        <w:bottom w:val="none" w:sz="0" w:space="0" w:color="auto"/>
        <w:right w:val="none" w:sz="0" w:space="0" w:color="auto"/>
      </w:divBdr>
    </w:div>
    <w:div w:id="1363554758">
      <w:bodyDiv w:val="1"/>
      <w:marLeft w:val="0"/>
      <w:marRight w:val="0"/>
      <w:marTop w:val="0"/>
      <w:marBottom w:val="0"/>
      <w:divBdr>
        <w:top w:val="none" w:sz="0" w:space="0" w:color="auto"/>
        <w:left w:val="none" w:sz="0" w:space="0" w:color="auto"/>
        <w:bottom w:val="none" w:sz="0" w:space="0" w:color="auto"/>
        <w:right w:val="none" w:sz="0" w:space="0" w:color="auto"/>
      </w:divBdr>
    </w:div>
    <w:div w:id="1363749642">
      <w:bodyDiv w:val="1"/>
      <w:marLeft w:val="0"/>
      <w:marRight w:val="0"/>
      <w:marTop w:val="0"/>
      <w:marBottom w:val="0"/>
      <w:divBdr>
        <w:top w:val="none" w:sz="0" w:space="0" w:color="auto"/>
        <w:left w:val="none" w:sz="0" w:space="0" w:color="auto"/>
        <w:bottom w:val="none" w:sz="0" w:space="0" w:color="auto"/>
        <w:right w:val="none" w:sz="0" w:space="0" w:color="auto"/>
      </w:divBdr>
    </w:div>
    <w:div w:id="1363826318">
      <w:bodyDiv w:val="1"/>
      <w:marLeft w:val="0"/>
      <w:marRight w:val="0"/>
      <w:marTop w:val="0"/>
      <w:marBottom w:val="0"/>
      <w:divBdr>
        <w:top w:val="none" w:sz="0" w:space="0" w:color="auto"/>
        <w:left w:val="none" w:sz="0" w:space="0" w:color="auto"/>
        <w:bottom w:val="none" w:sz="0" w:space="0" w:color="auto"/>
        <w:right w:val="none" w:sz="0" w:space="0" w:color="auto"/>
      </w:divBdr>
    </w:div>
    <w:div w:id="1363899797">
      <w:bodyDiv w:val="1"/>
      <w:marLeft w:val="0"/>
      <w:marRight w:val="0"/>
      <w:marTop w:val="0"/>
      <w:marBottom w:val="0"/>
      <w:divBdr>
        <w:top w:val="none" w:sz="0" w:space="0" w:color="auto"/>
        <w:left w:val="none" w:sz="0" w:space="0" w:color="auto"/>
        <w:bottom w:val="none" w:sz="0" w:space="0" w:color="auto"/>
        <w:right w:val="none" w:sz="0" w:space="0" w:color="auto"/>
      </w:divBdr>
    </w:div>
    <w:div w:id="1364136421">
      <w:bodyDiv w:val="1"/>
      <w:marLeft w:val="0"/>
      <w:marRight w:val="0"/>
      <w:marTop w:val="0"/>
      <w:marBottom w:val="0"/>
      <w:divBdr>
        <w:top w:val="none" w:sz="0" w:space="0" w:color="auto"/>
        <w:left w:val="none" w:sz="0" w:space="0" w:color="auto"/>
        <w:bottom w:val="none" w:sz="0" w:space="0" w:color="auto"/>
        <w:right w:val="none" w:sz="0" w:space="0" w:color="auto"/>
      </w:divBdr>
    </w:div>
    <w:div w:id="1364164012">
      <w:bodyDiv w:val="1"/>
      <w:marLeft w:val="0"/>
      <w:marRight w:val="0"/>
      <w:marTop w:val="0"/>
      <w:marBottom w:val="0"/>
      <w:divBdr>
        <w:top w:val="none" w:sz="0" w:space="0" w:color="auto"/>
        <w:left w:val="none" w:sz="0" w:space="0" w:color="auto"/>
        <w:bottom w:val="none" w:sz="0" w:space="0" w:color="auto"/>
        <w:right w:val="none" w:sz="0" w:space="0" w:color="auto"/>
      </w:divBdr>
    </w:div>
    <w:div w:id="1364474416">
      <w:bodyDiv w:val="1"/>
      <w:marLeft w:val="0"/>
      <w:marRight w:val="0"/>
      <w:marTop w:val="0"/>
      <w:marBottom w:val="0"/>
      <w:divBdr>
        <w:top w:val="none" w:sz="0" w:space="0" w:color="auto"/>
        <w:left w:val="none" w:sz="0" w:space="0" w:color="auto"/>
        <w:bottom w:val="none" w:sz="0" w:space="0" w:color="auto"/>
        <w:right w:val="none" w:sz="0" w:space="0" w:color="auto"/>
      </w:divBdr>
    </w:div>
    <w:div w:id="1364790100">
      <w:bodyDiv w:val="1"/>
      <w:marLeft w:val="0"/>
      <w:marRight w:val="0"/>
      <w:marTop w:val="0"/>
      <w:marBottom w:val="0"/>
      <w:divBdr>
        <w:top w:val="none" w:sz="0" w:space="0" w:color="auto"/>
        <w:left w:val="none" w:sz="0" w:space="0" w:color="auto"/>
        <w:bottom w:val="none" w:sz="0" w:space="0" w:color="auto"/>
        <w:right w:val="none" w:sz="0" w:space="0" w:color="auto"/>
      </w:divBdr>
    </w:div>
    <w:div w:id="1365253160">
      <w:bodyDiv w:val="1"/>
      <w:marLeft w:val="0"/>
      <w:marRight w:val="0"/>
      <w:marTop w:val="0"/>
      <w:marBottom w:val="0"/>
      <w:divBdr>
        <w:top w:val="none" w:sz="0" w:space="0" w:color="auto"/>
        <w:left w:val="none" w:sz="0" w:space="0" w:color="auto"/>
        <w:bottom w:val="none" w:sz="0" w:space="0" w:color="auto"/>
        <w:right w:val="none" w:sz="0" w:space="0" w:color="auto"/>
      </w:divBdr>
    </w:div>
    <w:div w:id="1365640231">
      <w:bodyDiv w:val="1"/>
      <w:marLeft w:val="0"/>
      <w:marRight w:val="0"/>
      <w:marTop w:val="0"/>
      <w:marBottom w:val="0"/>
      <w:divBdr>
        <w:top w:val="none" w:sz="0" w:space="0" w:color="auto"/>
        <w:left w:val="none" w:sz="0" w:space="0" w:color="auto"/>
        <w:bottom w:val="none" w:sz="0" w:space="0" w:color="auto"/>
        <w:right w:val="none" w:sz="0" w:space="0" w:color="auto"/>
      </w:divBdr>
    </w:div>
    <w:div w:id="1365867577">
      <w:bodyDiv w:val="1"/>
      <w:marLeft w:val="0"/>
      <w:marRight w:val="0"/>
      <w:marTop w:val="0"/>
      <w:marBottom w:val="0"/>
      <w:divBdr>
        <w:top w:val="none" w:sz="0" w:space="0" w:color="auto"/>
        <w:left w:val="none" w:sz="0" w:space="0" w:color="auto"/>
        <w:bottom w:val="none" w:sz="0" w:space="0" w:color="auto"/>
        <w:right w:val="none" w:sz="0" w:space="0" w:color="auto"/>
      </w:divBdr>
    </w:div>
    <w:div w:id="1366563461">
      <w:bodyDiv w:val="1"/>
      <w:marLeft w:val="0"/>
      <w:marRight w:val="0"/>
      <w:marTop w:val="0"/>
      <w:marBottom w:val="0"/>
      <w:divBdr>
        <w:top w:val="none" w:sz="0" w:space="0" w:color="auto"/>
        <w:left w:val="none" w:sz="0" w:space="0" w:color="auto"/>
        <w:bottom w:val="none" w:sz="0" w:space="0" w:color="auto"/>
        <w:right w:val="none" w:sz="0" w:space="0" w:color="auto"/>
      </w:divBdr>
    </w:div>
    <w:div w:id="1367490655">
      <w:bodyDiv w:val="1"/>
      <w:marLeft w:val="0"/>
      <w:marRight w:val="0"/>
      <w:marTop w:val="0"/>
      <w:marBottom w:val="0"/>
      <w:divBdr>
        <w:top w:val="none" w:sz="0" w:space="0" w:color="auto"/>
        <w:left w:val="none" w:sz="0" w:space="0" w:color="auto"/>
        <w:bottom w:val="none" w:sz="0" w:space="0" w:color="auto"/>
        <w:right w:val="none" w:sz="0" w:space="0" w:color="auto"/>
      </w:divBdr>
    </w:div>
    <w:div w:id="1368721401">
      <w:bodyDiv w:val="1"/>
      <w:marLeft w:val="0"/>
      <w:marRight w:val="0"/>
      <w:marTop w:val="0"/>
      <w:marBottom w:val="0"/>
      <w:divBdr>
        <w:top w:val="none" w:sz="0" w:space="0" w:color="auto"/>
        <w:left w:val="none" w:sz="0" w:space="0" w:color="auto"/>
        <w:bottom w:val="none" w:sz="0" w:space="0" w:color="auto"/>
        <w:right w:val="none" w:sz="0" w:space="0" w:color="auto"/>
      </w:divBdr>
    </w:div>
    <w:div w:id="1368948279">
      <w:bodyDiv w:val="1"/>
      <w:marLeft w:val="0"/>
      <w:marRight w:val="0"/>
      <w:marTop w:val="0"/>
      <w:marBottom w:val="0"/>
      <w:divBdr>
        <w:top w:val="none" w:sz="0" w:space="0" w:color="auto"/>
        <w:left w:val="none" w:sz="0" w:space="0" w:color="auto"/>
        <w:bottom w:val="none" w:sz="0" w:space="0" w:color="auto"/>
        <w:right w:val="none" w:sz="0" w:space="0" w:color="auto"/>
      </w:divBdr>
    </w:div>
    <w:div w:id="1369140985">
      <w:bodyDiv w:val="1"/>
      <w:marLeft w:val="0"/>
      <w:marRight w:val="0"/>
      <w:marTop w:val="0"/>
      <w:marBottom w:val="0"/>
      <w:divBdr>
        <w:top w:val="none" w:sz="0" w:space="0" w:color="auto"/>
        <w:left w:val="none" w:sz="0" w:space="0" w:color="auto"/>
        <w:bottom w:val="none" w:sz="0" w:space="0" w:color="auto"/>
        <w:right w:val="none" w:sz="0" w:space="0" w:color="auto"/>
      </w:divBdr>
    </w:div>
    <w:div w:id="1369527665">
      <w:bodyDiv w:val="1"/>
      <w:marLeft w:val="0"/>
      <w:marRight w:val="0"/>
      <w:marTop w:val="0"/>
      <w:marBottom w:val="0"/>
      <w:divBdr>
        <w:top w:val="none" w:sz="0" w:space="0" w:color="auto"/>
        <w:left w:val="none" w:sz="0" w:space="0" w:color="auto"/>
        <w:bottom w:val="none" w:sz="0" w:space="0" w:color="auto"/>
        <w:right w:val="none" w:sz="0" w:space="0" w:color="auto"/>
      </w:divBdr>
    </w:div>
    <w:div w:id="1369574645">
      <w:bodyDiv w:val="1"/>
      <w:marLeft w:val="0"/>
      <w:marRight w:val="0"/>
      <w:marTop w:val="0"/>
      <w:marBottom w:val="0"/>
      <w:divBdr>
        <w:top w:val="none" w:sz="0" w:space="0" w:color="auto"/>
        <w:left w:val="none" w:sz="0" w:space="0" w:color="auto"/>
        <w:bottom w:val="none" w:sz="0" w:space="0" w:color="auto"/>
        <w:right w:val="none" w:sz="0" w:space="0" w:color="auto"/>
      </w:divBdr>
    </w:div>
    <w:div w:id="1369645625">
      <w:bodyDiv w:val="1"/>
      <w:marLeft w:val="0"/>
      <w:marRight w:val="0"/>
      <w:marTop w:val="0"/>
      <w:marBottom w:val="0"/>
      <w:divBdr>
        <w:top w:val="none" w:sz="0" w:space="0" w:color="auto"/>
        <w:left w:val="none" w:sz="0" w:space="0" w:color="auto"/>
        <w:bottom w:val="none" w:sz="0" w:space="0" w:color="auto"/>
        <w:right w:val="none" w:sz="0" w:space="0" w:color="auto"/>
      </w:divBdr>
    </w:div>
    <w:div w:id="1369791210">
      <w:bodyDiv w:val="1"/>
      <w:marLeft w:val="0"/>
      <w:marRight w:val="0"/>
      <w:marTop w:val="0"/>
      <w:marBottom w:val="0"/>
      <w:divBdr>
        <w:top w:val="none" w:sz="0" w:space="0" w:color="auto"/>
        <w:left w:val="none" w:sz="0" w:space="0" w:color="auto"/>
        <w:bottom w:val="none" w:sz="0" w:space="0" w:color="auto"/>
        <w:right w:val="none" w:sz="0" w:space="0" w:color="auto"/>
      </w:divBdr>
    </w:div>
    <w:div w:id="1370492901">
      <w:bodyDiv w:val="1"/>
      <w:marLeft w:val="0"/>
      <w:marRight w:val="0"/>
      <w:marTop w:val="0"/>
      <w:marBottom w:val="0"/>
      <w:divBdr>
        <w:top w:val="none" w:sz="0" w:space="0" w:color="auto"/>
        <w:left w:val="none" w:sz="0" w:space="0" w:color="auto"/>
        <w:bottom w:val="none" w:sz="0" w:space="0" w:color="auto"/>
        <w:right w:val="none" w:sz="0" w:space="0" w:color="auto"/>
      </w:divBdr>
    </w:div>
    <w:div w:id="1370647989">
      <w:bodyDiv w:val="1"/>
      <w:marLeft w:val="0"/>
      <w:marRight w:val="0"/>
      <w:marTop w:val="0"/>
      <w:marBottom w:val="0"/>
      <w:divBdr>
        <w:top w:val="none" w:sz="0" w:space="0" w:color="auto"/>
        <w:left w:val="none" w:sz="0" w:space="0" w:color="auto"/>
        <w:bottom w:val="none" w:sz="0" w:space="0" w:color="auto"/>
        <w:right w:val="none" w:sz="0" w:space="0" w:color="auto"/>
      </w:divBdr>
    </w:div>
    <w:div w:id="1371107003">
      <w:bodyDiv w:val="1"/>
      <w:marLeft w:val="0"/>
      <w:marRight w:val="0"/>
      <w:marTop w:val="0"/>
      <w:marBottom w:val="0"/>
      <w:divBdr>
        <w:top w:val="none" w:sz="0" w:space="0" w:color="auto"/>
        <w:left w:val="none" w:sz="0" w:space="0" w:color="auto"/>
        <w:bottom w:val="none" w:sz="0" w:space="0" w:color="auto"/>
        <w:right w:val="none" w:sz="0" w:space="0" w:color="auto"/>
      </w:divBdr>
    </w:div>
    <w:div w:id="1371298158">
      <w:bodyDiv w:val="1"/>
      <w:marLeft w:val="0"/>
      <w:marRight w:val="0"/>
      <w:marTop w:val="0"/>
      <w:marBottom w:val="0"/>
      <w:divBdr>
        <w:top w:val="none" w:sz="0" w:space="0" w:color="auto"/>
        <w:left w:val="none" w:sz="0" w:space="0" w:color="auto"/>
        <w:bottom w:val="none" w:sz="0" w:space="0" w:color="auto"/>
        <w:right w:val="none" w:sz="0" w:space="0" w:color="auto"/>
      </w:divBdr>
    </w:div>
    <w:div w:id="1371343525">
      <w:bodyDiv w:val="1"/>
      <w:marLeft w:val="0"/>
      <w:marRight w:val="0"/>
      <w:marTop w:val="0"/>
      <w:marBottom w:val="0"/>
      <w:divBdr>
        <w:top w:val="none" w:sz="0" w:space="0" w:color="auto"/>
        <w:left w:val="none" w:sz="0" w:space="0" w:color="auto"/>
        <w:bottom w:val="none" w:sz="0" w:space="0" w:color="auto"/>
        <w:right w:val="none" w:sz="0" w:space="0" w:color="auto"/>
      </w:divBdr>
    </w:div>
    <w:div w:id="1371606859">
      <w:bodyDiv w:val="1"/>
      <w:marLeft w:val="0"/>
      <w:marRight w:val="0"/>
      <w:marTop w:val="0"/>
      <w:marBottom w:val="0"/>
      <w:divBdr>
        <w:top w:val="none" w:sz="0" w:space="0" w:color="auto"/>
        <w:left w:val="none" w:sz="0" w:space="0" w:color="auto"/>
        <w:bottom w:val="none" w:sz="0" w:space="0" w:color="auto"/>
        <w:right w:val="none" w:sz="0" w:space="0" w:color="auto"/>
      </w:divBdr>
    </w:div>
    <w:div w:id="1371882581">
      <w:bodyDiv w:val="1"/>
      <w:marLeft w:val="0"/>
      <w:marRight w:val="0"/>
      <w:marTop w:val="0"/>
      <w:marBottom w:val="0"/>
      <w:divBdr>
        <w:top w:val="none" w:sz="0" w:space="0" w:color="auto"/>
        <w:left w:val="none" w:sz="0" w:space="0" w:color="auto"/>
        <w:bottom w:val="none" w:sz="0" w:space="0" w:color="auto"/>
        <w:right w:val="none" w:sz="0" w:space="0" w:color="auto"/>
      </w:divBdr>
    </w:div>
    <w:div w:id="1372075071">
      <w:bodyDiv w:val="1"/>
      <w:marLeft w:val="0"/>
      <w:marRight w:val="0"/>
      <w:marTop w:val="0"/>
      <w:marBottom w:val="0"/>
      <w:divBdr>
        <w:top w:val="none" w:sz="0" w:space="0" w:color="auto"/>
        <w:left w:val="none" w:sz="0" w:space="0" w:color="auto"/>
        <w:bottom w:val="none" w:sz="0" w:space="0" w:color="auto"/>
        <w:right w:val="none" w:sz="0" w:space="0" w:color="auto"/>
      </w:divBdr>
    </w:div>
    <w:div w:id="1373070246">
      <w:bodyDiv w:val="1"/>
      <w:marLeft w:val="0"/>
      <w:marRight w:val="0"/>
      <w:marTop w:val="0"/>
      <w:marBottom w:val="0"/>
      <w:divBdr>
        <w:top w:val="none" w:sz="0" w:space="0" w:color="auto"/>
        <w:left w:val="none" w:sz="0" w:space="0" w:color="auto"/>
        <w:bottom w:val="none" w:sz="0" w:space="0" w:color="auto"/>
        <w:right w:val="none" w:sz="0" w:space="0" w:color="auto"/>
      </w:divBdr>
    </w:div>
    <w:div w:id="1373530494">
      <w:bodyDiv w:val="1"/>
      <w:marLeft w:val="0"/>
      <w:marRight w:val="0"/>
      <w:marTop w:val="0"/>
      <w:marBottom w:val="0"/>
      <w:divBdr>
        <w:top w:val="none" w:sz="0" w:space="0" w:color="auto"/>
        <w:left w:val="none" w:sz="0" w:space="0" w:color="auto"/>
        <w:bottom w:val="none" w:sz="0" w:space="0" w:color="auto"/>
        <w:right w:val="none" w:sz="0" w:space="0" w:color="auto"/>
      </w:divBdr>
    </w:div>
    <w:div w:id="1373651008">
      <w:bodyDiv w:val="1"/>
      <w:marLeft w:val="0"/>
      <w:marRight w:val="0"/>
      <w:marTop w:val="0"/>
      <w:marBottom w:val="0"/>
      <w:divBdr>
        <w:top w:val="none" w:sz="0" w:space="0" w:color="auto"/>
        <w:left w:val="none" w:sz="0" w:space="0" w:color="auto"/>
        <w:bottom w:val="none" w:sz="0" w:space="0" w:color="auto"/>
        <w:right w:val="none" w:sz="0" w:space="0" w:color="auto"/>
      </w:divBdr>
    </w:div>
    <w:div w:id="1373841709">
      <w:bodyDiv w:val="1"/>
      <w:marLeft w:val="0"/>
      <w:marRight w:val="0"/>
      <w:marTop w:val="0"/>
      <w:marBottom w:val="0"/>
      <w:divBdr>
        <w:top w:val="none" w:sz="0" w:space="0" w:color="auto"/>
        <w:left w:val="none" w:sz="0" w:space="0" w:color="auto"/>
        <w:bottom w:val="none" w:sz="0" w:space="0" w:color="auto"/>
        <w:right w:val="none" w:sz="0" w:space="0" w:color="auto"/>
      </w:divBdr>
    </w:div>
    <w:div w:id="1374768652">
      <w:bodyDiv w:val="1"/>
      <w:marLeft w:val="0"/>
      <w:marRight w:val="0"/>
      <w:marTop w:val="0"/>
      <w:marBottom w:val="0"/>
      <w:divBdr>
        <w:top w:val="none" w:sz="0" w:space="0" w:color="auto"/>
        <w:left w:val="none" w:sz="0" w:space="0" w:color="auto"/>
        <w:bottom w:val="none" w:sz="0" w:space="0" w:color="auto"/>
        <w:right w:val="none" w:sz="0" w:space="0" w:color="auto"/>
      </w:divBdr>
    </w:div>
    <w:div w:id="1374844807">
      <w:bodyDiv w:val="1"/>
      <w:marLeft w:val="0"/>
      <w:marRight w:val="0"/>
      <w:marTop w:val="0"/>
      <w:marBottom w:val="0"/>
      <w:divBdr>
        <w:top w:val="none" w:sz="0" w:space="0" w:color="auto"/>
        <w:left w:val="none" w:sz="0" w:space="0" w:color="auto"/>
        <w:bottom w:val="none" w:sz="0" w:space="0" w:color="auto"/>
        <w:right w:val="none" w:sz="0" w:space="0" w:color="auto"/>
      </w:divBdr>
    </w:div>
    <w:div w:id="1375155814">
      <w:bodyDiv w:val="1"/>
      <w:marLeft w:val="0"/>
      <w:marRight w:val="0"/>
      <w:marTop w:val="0"/>
      <w:marBottom w:val="0"/>
      <w:divBdr>
        <w:top w:val="none" w:sz="0" w:space="0" w:color="auto"/>
        <w:left w:val="none" w:sz="0" w:space="0" w:color="auto"/>
        <w:bottom w:val="none" w:sz="0" w:space="0" w:color="auto"/>
        <w:right w:val="none" w:sz="0" w:space="0" w:color="auto"/>
      </w:divBdr>
    </w:div>
    <w:div w:id="1375470329">
      <w:bodyDiv w:val="1"/>
      <w:marLeft w:val="0"/>
      <w:marRight w:val="0"/>
      <w:marTop w:val="0"/>
      <w:marBottom w:val="0"/>
      <w:divBdr>
        <w:top w:val="none" w:sz="0" w:space="0" w:color="auto"/>
        <w:left w:val="none" w:sz="0" w:space="0" w:color="auto"/>
        <w:bottom w:val="none" w:sz="0" w:space="0" w:color="auto"/>
        <w:right w:val="none" w:sz="0" w:space="0" w:color="auto"/>
      </w:divBdr>
    </w:div>
    <w:div w:id="1375618459">
      <w:bodyDiv w:val="1"/>
      <w:marLeft w:val="0"/>
      <w:marRight w:val="0"/>
      <w:marTop w:val="0"/>
      <w:marBottom w:val="0"/>
      <w:divBdr>
        <w:top w:val="none" w:sz="0" w:space="0" w:color="auto"/>
        <w:left w:val="none" w:sz="0" w:space="0" w:color="auto"/>
        <w:bottom w:val="none" w:sz="0" w:space="0" w:color="auto"/>
        <w:right w:val="none" w:sz="0" w:space="0" w:color="auto"/>
      </w:divBdr>
    </w:div>
    <w:div w:id="1375696059">
      <w:bodyDiv w:val="1"/>
      <w:marLeft w:val="0"/>
      <w:marRight w:val="0"/>
      <w:marTop w:val="0"/>
      <w:marBottom w:val="0"/>
      <w:divBdr>
        <w:top w:val="none" w:sz="0" w:space="0" w:color="auto"/>
        <w:left w:val="none" w:sz="0" w:space="0" w:color="auto"/>
        <w:bottom w:val="none" w:sz="0" w:space="0" w:color="auto"/>
        <w:right w:val="none" w:sz="0" w:space="0" w:color="auto"/>
      </w:divBdr>
    </w:div>
    <w:div w:id="1375734105">
      <w:bodyDiv w:val="1"/>
      <w:marLeft w:val="0"/>
      <w:marRight w:val="0"/>
      <w:marTop w:val="0"/>
      <w:marBottom w:val="0"/>
      <w:divBdr>
        <w:top w:val="none" w:sz="0" w:space="0" w:color="auto"/>
        <w:left w:val="none" w:sz="0" w:space="0" w:color="auto"/>
        <w:bottom w:val="none" w:sz="0" w:space="0" w:color="auto"/>
        <w:right w:val="none" w:sz="0" w:space="0" w:color="auto"/>
      </w:divBdr>
    </w:div>
    <w:div w:id="1375929365">
      <w:bodyDiv w:val="1"/>
      <w:marLeft w:val="0"/>
      <w:marRight w:val="0"/>
      <w:marTop w:val="0"/>
      <w:marBottom w:val="0"/>
      <w:divBdr>
        <w:top w:val="none" w:sz="0" w:space="0" w:color="auto"/>
        <w:left w:val="none" w:sz="0" w:space="0" w:color="auto"/>
        <w:bottom w:val="none" w:sz="0" w:space="0" w:color="auto"/>
        <w:right w:val="none" w:sz="0" w:space="0" w:color="auto"/>
      </w:divBdr>
    </w:div>
    <w:div w:id="1376274456">
      <w:bodyDiv w:val="1"/>
      <w:marLeft w:val="0"/>
      <w:marRight w:val="0"/>
      <w:marTop w:val="0"/>
      <w:marBottom w:val="0"/>
      <w:divBdr>
        <w:top w:val="none" w:sz="0" w:space="0" w:color="auto"/>
        <w:left w:val="none" w:sz="0" w:space="0" w:color="auto"/>
        <w:bottom w:val="none" w:sz="0" w:space="0" w:color="auto"/>
        <w:right w:val="none" w:sz="0" w:space="0" w:color="auto"/>
      </w:divBdr>
    </w:div>
    <w:div w:id="1376659250">
      <w:bodyDiv w:val="1"/>
      <w:marLeft w:val="0"/>
      <w:marRight w:val="0"/>
      <w:marTop w:val="0"/>
      <w:marBottom w:val="0"/>
      <w:divBdr>
        <w:top w:val="none" w:sz="0" w:space="0" w:color="auto"/>
        <w:left w:val="none" w:sz="0" w:space="0" w:color="auto"/>
        <w:bottom w:val="none" w:sz="0" w:space="0" w:color="auto"/>
        <w:right w:val="none" w:sz="0" w:space="0" w:color="auto"/>
      </w:divBdr>
    </w:div>
    <w:div w:id="1377000406">
      <w:bodyDiv w:val="1"/>
      <w:marLeft w:val="0"/>
      <w:marRight w:val="0"/>
      <w:marTop w:val="0"/>
      <w:marBottom w:val="0"/>
      <w:divBdr>
        <w:top w:val="none" w:sz="0" w:space="0" w:color="auto"/>
        <w:left w:val="none" w:sz="0" w:space="0" w:color="auto"/>
        <w:bottom w:val="none" w:sz="0" w:space="0" w:color="auto"/>
        <w:right w:val="none" w:sz="0" w:space="0" w:color="auto"/>
      </w:divBdr>
    </w:div>
    <w:div w:id="1377462949">
      <w:bodyDiv w:val="1"/>
      <w:marLeft w:val="0"/>
      <w:marRight w:val="0"/>
      <w:marTop w:val="0"/>
      <w:marBottom w:val="0"/>
      <w:divBdr>
        <w:top w:val="none" w:sz="0" w:space="0" w:color="auto"/>
        <w:left w:val="none" w:sz="0" w:space="0" w:color="auto"/>
        <w:bottom w:val="none" w:sz="0" w:space="0" w:color="auto"/>
        <w:right w:val="none" w:sz="0" w:space="0" w:color="auto"/>
      </w:divBdr>
    </w:div>
    <w:div w:id="1377466803">
      <w:bodyDiv w:val="1"/>
      <w:marLeft w:val="0"/>
      <w:marRight w:val="0"/>
      <w:marTop w:val="0"/>
      <w:marBottom w:val="0"/>
      <w:divBdr>
        <w:top w:val="none" w:sz="0" w:space="0" w:color="auto"/>
        <w:left w:val="none" w:sz="0" w:space="0" w:color="auto"/>
        <w:bottom w:val="none" w:sz="0" w:space="0" w:color="auto"/>
        <w:right w:val="none" w:sz="0" w:space="0" w:color="auto"/>
      </w:divBdr>
    </w:div>
    <w:div w:id="1377507928">
      <w:bodyDiv w:val="1"/>
      <w:marLeft w:val="0"/>
      <w:marRight w:val="0"/>
      <w:marTop w:val="0"/>
      <w:marBottom w:val="0"/>
      <w:divBdr>
        <w:top w:val="none" w:sz="0" w:space="0" w:color="auto"/>
        <w:left w:val="none" w:sz="0" w:space="0" w:color="auto"/>
        <w:bottom w:val="none" w:sz="0" w:space="0" w:color="auto"/>
        <w:right w:val="none" w:sz="0" w:space="0" w:color="auto"/>
      </w:divBdr>
    </w:div>
    <w:div w:id="1377513037">
      <w:bodyDiv w:val="1"/>
      <w:marLeft w:val="0"/>
      <w:marRight w:val="0"/>
      <w:marTop w:val="0"/>
      <w:marBottom w:val="0"/>
      <w:divBdr>
        <w:top w:val="none" w:sz="0" w:space="0" w:color="auto"/>
        <w:left w:val="none" w:sz="0" w:space="0" w:color="auto"/>
        <w:bottom w:val="none" w:sz="0" w:space="0" w:color="auto"/>
        <w:right w:val="none" w:sz="0" w:space="0" w:color="auto"/>
      </w:divBdr>
    </w:div>
    <w:div w:id="1377659012">
      <w:bodyDiv w:val="1"/>
      <w:marLeft w:val="0"/>
      <w:marRight w:val="0"/>
      <w:marTop w:val="0"/>
      <w:marBottom w:val="0"/>
      <w:divBdr>
        <w:top w:val="none" w:sz="0" w:space="0" w:color="auto"/>
        <w:left w:val="none" w:sz="0" w:space="0" w:color="auto"/>
        <w:bottom w:val="none" w:sz="0" w:space="0" w:color="auto"/>
        <w:right w:val="none" w:sz="0" w:space="0" w:color="auto"/>
      </w:divBdr>
    </w:div>
    <w:div w:id="1377924180">
      <w:bodyDiv w:val="1"/>
      <w:marLeft w:val="0"/>
      <w:marRight w:val="0"/>
      <w:marTop w:val="0"/>
      <w:marBottom w:val="0"/>
      <w:divBdr>
        <w:top w:val="none" w:sz="0" w:space="0" w:color="auto"/>
        <w:left w:val="none" w:sz="0" w:space="0" w:color="auto"/>
        <w:bottom w:val="none" w:sz="0" w:space="0" w:color="auto"/>
        <w:right w:val="none" w:sz="0" w:space="0" w:color="auto"/>
      </w:divBdr>
    </w:div>
    <w:div w:id="1377972897">
      <w:bodyDiv w:val="1"/>
      <w:marLeft w:val="0"/>
      <w:marRight w:val="0"/>
      <w:marTop w:val="0"/>
      <w:marBottom w:val="0"/>
      <w:divBdr>
        <w:top w:val="none" w:sz="0" w:space="0" w:color="auto"/>
        <w:left w:val="none" w:sz="0" w:space="0" w:color="auto"/>
        <w:bottom w:val="none" w:sz="0" w:space="0" w:color="auto"/>
        <w:right w:val="none" w:sz="0" w:space="0" w:color="auto"/>
      </w:divBdr>
    </w:div>
    <w:div w:id="1378050743">
      <w:bodyDiv w:val="1"/>
      <w:marLeft w:val="0"/>
      <w:marRight w:val="0"/>
      <w:marTop w:val="0"/>
      <w:marBottom w:val="0"/>
      <w:divBdr>
        <w:top w:val="none" w:sz="0" w:space="0" w:color="auto"/>
        <w:left w:val="none" w:sz="0" w:space="0" w:color="auto"/>
        <w:bottom w:val="none" w:sz="0" w:space="0" w:color="auto"/>
        <w:right w:val="none" w:sz="0" w:space="0" w:color="auto"/>
      </w:divBdr>
    </w:div>
    <w:div w:id="1378118687">
      <w:bodyDiv w:val="1"/>
      <w:marLeft w:val="0"/>
      <w:marRight w:val="0"/>
      <w:marTop w:val="0"/>
      <w:marBottom w:val="0"/>
      <w:divBdr>
        <w:top w:val="none" w:sz="0" w:space="0" w:color="auto"/>
        <w:left w:val="none" w:sz="0" w:space="0" w:color="auto"/>
        <w:bottom w:val="none" w:sz="0" w:space="0" w:color="auto"/>
        <w:right w:val="none" w:sz="0" w:space="0" w:color="auto"/>
      </w:divBdr>
    </w:div>
    <w:div w:id="1378353872">
      <w:bodyDiv w:val="1"/>
      <w:marLeft w:val="0"/>
      <w:marRight w:val="0"/>
      <w:marTop w:val="0"/>
      <w:marBottom w:val="0"/>
      <w:divBdr>
        <w:top w:val="none" w:sz="0" w:space="0" w:color="auto"/>
        <w:left w:val="none" w:sz="0" w:space="0" w:color="auto"/>
        <w:bottom w:val="none" w:sz="0" w:space="0" w:color="auto"/>
        <w:right w:val="none" w:sz="0" w:space="0" w:color="auto"/>
      </w:divBdr>
    </w:div>
    <w:div w:id="1379159677">
      <w:bodyDiv w:val="1"/>
      <w:marLeft w:val="0"/>
      <w:marRight w:val="0"/>
      <w:marTop w:val="0"/>
      <w:marBottom w:val="0"/>
      <w:divBdr>
        <w:top w:val="none" w:sz="0" w:space="0" w:color="auto"/>
        <w:left w:val="none" w:sz="0" w:space="0" w:color="auto"/>
        <w:bottom w:val="none" w:sz="0" w:space="0" w:color="auto"/>
        <w:right w:val="none" w:sz="0" w:space="0" w:color="auto"/>
      </w:divBdr>
    </w:div>
    <w:div w:id="1379162144">
      <w:bodyDiv w:val="1"/>
      <w:marLeft w:val="0"/>
      <w:marRight w:val="0"/>
      <w:marTop w:val="0"/>
      <w:marBottom w:val="0"/>
      <w:divBdr>
        <w:top w:val="none" w:sz="0" w:space="0" w:color="auto"/>
        <w:left w:val="none" w:sz="0" w:space="0" w:color="auto"/>
        <w:bottom w:val="none" w:sz="0" w:space="0" w:color="auto"/>
        <w:right w:val="none" w:sz="0" w:space="0" w:color="auto"/>
      </w:divBdr>
    </w:div>
    <w:div w:id="1379163097">
      <w:bodyDiv w:val="1"/>
      <w:marLeft w:val="0"/>
      <w:marRight w:val="0"/>
      <w:marTop w:val="0"/>
      <w:marBottom w:val="0"/>
      <w:divBdr>
        <w:top w:val="none" w:sz="0" w:space="0" w:color="auto"/>
        <w:left w:val="none" w:sz="0" w:space="0" w:color="auto"/>
        <w:bottom w:val="none" w:sz="0" w:space="0" w:color="auto"/>
        <w:right w:val="none" w:sz="0" w:space="0" w:color="auto"/>
      </w:divBdr>
    </w:div>
    <w:div w:id="1379739788">
      <w:bodyDiv w:val="1"/>
      <w:marLeft w:val="0"/>
      <w:marRight w:val="0"/>
      <w:marTop w:val="0"/>
      <w:marBottom w:val="0"/>
      <w:divBdr>
        <w:top w:val="none" w:sz="0" w:space="0" w:color="auto"/>
        <w:left w:val="none" w:sz="0" w:space="0" w:color="auto"/>
        <w:bottom w:val="none" w:sz="0" w:space="0" w:color="auto"/>
        <w:right w:val="none" w:sz="0" w:space="0" w:color="auto"/>
      </w:divBdr>
    </w:div>
    <w:div w:id="1379741077">
      <w:bodyDiv w:val="1"/>
      <w:marLeft w:val="0"/>
      <w:marRight w:val="0"/>
      <w:marTop w:val="0"/>
      <w:marBottom w:val="0"/>
      <w:divBdr>
        <w:top w:val="none" w:sz="0" w:space="0" w:color="auto"/>
        <w:left w:val="none" w:sz="0" w:space="0" w:color="auto"/>
        <w:bottom w:val="none" w:sz="0" w:space="0" w:color="auto"/>
        <w:right w:val="none" w:sz="0" w:space="0" w:color="auto"/>
      </w:divBdr>
    </w:div>
    <w:div w:id="1379935971">
      <w:bodyDiv w:val="1"/>
      <w:marLeft w:val="0"/>
      <w:marRight w:val="0"/>
      <w:marTop w:val="0"/>
      <w:marBottom w:val="0"/>
      <w:divBdr>
        <w:top w:val="none" w:sz="0" w:space="0" w:color="auto"/>
        <w:left w:val="none" w:sz="0" w:space="0" w:color="auto"/>
        <w:bottom w:val="none" w:sz="0" w:space="0" w:color="auto"/>
        <w:right w:val="none" w:sz="0" w:space="0" w:color="auto"/>
      </w:divBdr>
    </w:div>
    <w:div w:id="1380472419">
      <w:bodyDiv w:val="1"/>
      <w:marLeft w:val="0"/>
      <w:marRight w:val="0"/>
      <w:marTop w:val="0"/>
      <w:marBottom w:val="0"/>
      <w:divBdr>
        <w:top w:val="none" w:sz="0" w:space="0" w:color="auto"/>
        <w:left w:val="none" w:sz="0" w:space="0" w:color="auto"/>
        <w:bottom w:val="none" w:sz="0" w:space="0" w:color="auto"/>
        <w:right w:val="none" w:sz="0" w:space="0" w:color="auto"/>
      </w:divBdr>
    </w:div>
    <w:div w:id="1380665869">
      <w:bodyDiv w:val="1"/>
      <w:marLeft w:val="0"/>
      <w:marRight w:val="0"/>
      <w:marTop w:val="0"/>
      <w:marBottom w:val="0"/>
      <w:divBdr>
        <w:top w:val="none" w:sz="0" w:space="0" w:color="auto"/>
        <w:left w:val="none" w:sz="0" w:space="0" w:color="auto"/>
        <w:bottom w:val="none" w:sz="0" w:space="0" w:color="auto"/>
        <w:right w:val="none" w:sz="0" w:space="0" w:color="auto"/>
      </w:divBdr>
    </w:div>
    <w:div w:id="1381199425">
      <w:bodyDiv w:val="1"/>
      <w:marLeft w:val="0"/>
      <w:marRight w:val="0"/>
      <w:marTop w:val="0"/>
      <w:marBottom w:val="0"/>
      <w:divBdr>
        <w:top w:val="none" w:sz="0" w:space="0" w:color="auto"/>
        <w:left w:val="none" w:sz="0" w:space="0" w:color="auto"/>
        <w:bottom w:val="none" w:sz="0" w:space="0" w:color="auto"/>
        <w:right w:val="none" w:sz="0" w:space="0" w:color="auto"/>
      </w:divBdr>
    </w:div>
    <w:div w:id="1381510618">
      <w:bodyDiv w:val="1"/>
      <w:marLeft w:val="0"/>
      <w:marRight w:val="0"/>
      <w:marTop w:val="0"/>
      <w:marBottom w:val="0"/>
      <w:divBdr>
        <w:top w:val="none" w:sz="0" w:space="0" w:color="auto"/>
        <w:left w:val="none" w:sz="0" w:space="0" w:color="auto"/>
        <w:bottom w:val="none" w:sz="0" w:space="0" w:color="auto"/>
        <w:right w:val="none" w:sz="0" w:space="0" w:color="auto"/>
      </w:divBdr>
    </w:div>
    <w:div w:id="1381784851">
      <w:bodyDiv w:val="1"/>
      <w:marLeft w:val="0"/>
      <w:marRight w:val="0"/>
      <w:marTop w:val="0"/>
      <w:marBottom w:val="0"/>
      <w:divBdr>
        <w:top w:val="none" w:sz="0" w:space="0" w:color="auto"/>
        <w:left w:val="none" w:sz="0" w:space="0" w:color="auto"/>
        <w:bottom w:val="none" w:sz="0" w:space="0" w:color="auto"/>
        <w:right w:val="none" w:sz="0" w:space="0" w:color="auto"/>
      </w:divBdr>
    </w:div>
    <w:div w:id="1382247070">
      <w:bodyDiv w:val="1"/>
      <w:marLeft w:val="0"/>
      <w:marRight w:val="0"/>
      <w:marTop w:val="0"/>
      <w:marBottom w:val="0"/>
      <w:divBdr>
        <w:top w:val="none" w:sz="0" w:space="0" w:color="auto"/>
        <w:left w:val="none" w:sz="0" w:space="0" w:color="auto"/>
        <w:bottom w:val="none" w:sz="0" w:space="0" w:color="auto"/>
        <w:right w:val="none" w:sz="0" w:space="0" w:color="auto"/>
      </w:divBdr>
    </w:div>
    <w:div w:id="1382898523">
      <w:bodyDiv w:val="1"/>
      <w:marLeft w:val="0"/>
      <w:marRight w:val="0"/>
      <w:marTop w:val="0"/>
      <w:marBottom w:val="0"/>
      <w:divBdr>
        <w:top w:val="none" w:sz="0" w:space="0" w:color="auto"/>
        <w:left w:val="none" w:sz="0" w:space="0" w:color="auto"/>
        <w:bottom w:val="none" w:sz="0" w:space="0" w:color="auto"/>
        <w:right w:val="none" w:sz="0" w:space="0" w:color="auto"/>
      </w:divBdr>
    </w:div>
    <w:div w:id="1383557392">
      <w:bodyDiv w:val="1"/>
      <w:marLeft w:val="0"/>
      <w:marRight w:val="0"/>
      <w:marTop w:val="0"/>
      <w:marBottom w:val="0"/>
      <w:divBdr>
        <w:top w:val="none" w:sz="0" w:space="0" w:color="auto"/>
        <w:left w:val="none" w:sz="0" w:space="0" w:color="auto"/>
        <w:bottom w:val="none" w:sz="0" w:space="0" w:color="auto"/>
        <w:right w:val="none" w:sz="0" w:space="0" w:color="auto"/>
      </w:divBdr>
    </w:div>
    <w:div w:id="1383754796">
      <w:bodyDiv w:val="1"/>
      <w:marLeft w:val="0"/>
      <w:marRight w:val="0"/>
      <w:marTop w:val="0"/>
      <w:marBottom w:val="0"/>
      <w:divBdr>
        <w:top w:val="none" w:sz="0" w:space="0" w:color="auto"/>
        <w:left w:val="none" w:sz="0" w:space="0" w:color="auto"/>
        <w:bottom w:val="none" w:sz="0" w:space="0" w:color="auto"/>
        <w:right w:val="none" w:sz="0" w:space="0" w:color="auto"/>
      </w:divBdr>
    </w:div>
    <w:div w:id="1383821889">
      <w:bodyDiv w:val="1"/>
      <w:marLeft w:val="0"/>
      <w:marRight w:val="0"/>
      <w:marTop w:val="0"/>
      <w:marBottom w:val="0"/>
      <w:divBdr>
        <w:top w:val="none" w:sz="0" w:space="0" w:color="auto"/>
        <w:left w:val="none" w:sz="0" w:space="0" w:color="auto"/>
        <w:bottom w:val="none" w:sz="0" w:space="0" w:color="auto"/>
        <w:right w:val="none" w:sz="0" w:space="0" w:color="auto"/>
      </w:divBdr>
    </w:div>
    <w:div w:id="1383872320">
      <w:bodyDiv w:val="1"/>
      <w:marLeft w:val="0"/>
      <w:marRight w:val="0"/>
      <w:marTop w:val="0"/>
      <w:marBottom w:val="0"/>
      <w:divBdr>
        <w:top w:val="none" w:sz="0" w:space="0" w:color="auto"/>
        <w:left w:val="none" w:sz="0" w:space="0" w:color="auto"/>
        <w:bottom w:val="none" w:sz="0" w:space="0" w:color="auto"/>
        <w:right w:val="none" w:sz="0" w:space="0" w:color="auto"/>
      </w:divBdr>
    </w:div>
    <w:div w:id="1384058650">
      <w:bodyDiv w:val="1"/>
      <w:marLeft w:val="0"/>
      <w:marRight w:val="0"/>
      <w:marTop w:val="0"/>
      <w:marBottom w:val="0"/>
      <w:divBdr>
        <w:top w:val="none" w:sz="0" w:space="0" w:color="auto"/>
        <w:left w:val="none" w:sz="0" w:space="0" w:color="auto"/>
        <w:bottom w:val="none" w:sz="0" w:space="0" w:color="auto"/>
        <w:right w:val="none" w:sz="0" w:space="0" w:color="auto"/>
      </w:divBdr>
    </w:div>
    <w:div w:id="1384409007">
      <w:bodyDiv w:val="1"/>
      <w:marLeft w:val="0"/>
      <w:marRight w:val="0"/>
      <w:marTop w:val="0"/>
      <w:marBottom w:val="0"/>
      <w:divBdr>
        <w:top w:val="none" w:sz="0" w:space="0" w:color="auto"/>
        <w:left w:val="none" w:sz="0" w:space="0" w:color="auto"/>
        <w:bottom w:val="none" w:sz="0" w:space="0" w:color="auto"/>
        <w:right w:val="none" w:sz="0" w:space="0" w:color="auto"/>
      </w:divBdr>
    </w:div>
    <w:div w:id="1384716442">
      <w:bodyDiv w:val="1"/>
      <w:marLeft w:val="0"/>
      <w:marRight w:val="0"/>
      <w:marTop w:val="0"/>
      <w:marBottom w:val="0"/>
      <w:divBdr>
        <w:top w:val="none" w:sz="0" w:space="0" w:color="auto"/>
        <w:left w:val="none" w:sz="0" w:space="0" w:color="auto"/>
        <w:bottom w:val="none" w:sz="0" w:space="0" w:color="auto"/>
        <w:right w:val="none" w:sz="0" w:space="0" w:color="auto"/>
      </w:divBdr>
    </w:div>
    <w:div w:id="1385058561">
      <w:bodyDiv w:val="1"/>
      <w:marLeft w:val="0"/>
      <w:marRight w:val="0"/>
      <w:marTop w:val="0"/>
      <w:marBottom w:val="0"/>
      <w:divBdr>
        <w:top w:val="none" w:sz="0" w:space="0" w:color="auto"/>
        <w:left w:val="none" w:sz="0" w:space="0" w:color="auto"/>
        <w:bottom w:val="none" w:sz="0" w:space="0" w:color="auto"/>
        <w:right w:val="none" w:sz="0" w:space="0" w:color="auto"/>
      </w:divBdr>
    </w:div>
    <w:div w:id="1385518230">
      <w:bodyDiv w:val="1"/>
      <w:marLeft w:val="0"/>
      <w:marRight w:val="0"/>
      <w:marTop w:val="0"/>
      <w:marBottom w:val="0"/>
      <w:divBdr>
        <w:top w:val="none" w:sz="0" w:space="0" w:color="auto"/>
        <w:left w:val="none" w:sz="0" w:space="0" w:color="auto"/>
        <w:bottom w:val="none" w:sz="0" w:space="0" w:color="auto"/>
        <w:right w:val="none" w:sz="0" w:space="0" w:color="auto"/>
      </w:divBdr>
    </w:div>
    <w:div w:id="1385643590">
      <w:bodyDiv w:val="1"/>
      <w:marLeft w:val="0"/>
      <w:marRight w:val="0"/>
      <w:marTop w:val="0"/>
      <w:marBottom w:val="0"/>
      <w:divBdr>
        <w:top w:val="none" w:sz="0" w:space="0" w:color="auto"/>
        <w:left w:val="none" w:sz="0" w:space="0" w:color="auto"/>
        <w:bottom w:val="none" w:sz="0" w:space="0" w:color="auto"/>
        <w:right w:val="none" w:sz="0" w:space="0" w:color="auto"/>
      </w:divBdr>
    </w:div>
    <w:div w:id="1385716626">
      <w:bodyDiv w:val="1"/>
      <w:marLeft w:val="0"/>
      <w:marRight w:val="0"/>
      <w:marTop w:val="0"/>
      <w:marBottom w:val="0"/>
      <w:divBdr>
        <w:top w:val="none" w:sz="0" w:space="0" w:color="auto"/>
        <w:left w:val="none" w:sz="0" w:space="0" w:color="auto"/>
        <w:bottom w:val="none" w:sz="0" w:space="0" w:color="auto"/>
        <w:right w:val="none" w:sz="0" w:space="0" w:color="auto"/>
      </w:divBdr>
    </w:div>
    <w:div w:id="1385906065">
      <w:bodyDiv w:val="1"/>
      <w:marLeft w:val="0"/>
      <w:marRight w:val="0"/>
      <w:marTop w:val="0"/>
      <w:marBottom w:val="0"/>
      <w:divBdr>
        <w:top w:val="none" w:sz="0" w:space="0" w:color="auto"/>
        <w:left w:val="none" w:sz="0" w:space="0" w:color="auto"/>
        <w:bottom w:val="none" w:sz="0" w:space="0" w:color="auto"/>
        <w:right w:val="none" w:sz="0" w:space="0" w:color="auto"/>
      </w:divBdr>
    </w:div>
    <w:div w:id="1386031591">
      <w:bodyDiv w:val="1"/>
      <w:marLeft w:val="0"/>
      <w:marRight w:val="0"/>
      <w:marTop w:val="0"/>
      <w:marBottom w:val="0"/>
      <w:divBdr>
        <w:top w:val="none" w:sz="0" w:space="0" w:color="auto"/>
        <w:left w:val="none" w:sz="0" w:space="0" w:color="auto"/>
        <w:bottom w:val="none" w:sz="0" w:space="0" w:color="auto"/>
        <w:right w:val="none" w:sz="0" w:space="0" w:color="auto"/>
      </w:divBdr>
    </w:div>
    <w:div w:id="1386179170">
      <w:bodyDiv w:val="1"/>
      <w:marLeft w:val="0"/>
      <w:marRight w:val="0"/>
      <w:marTop w:val="0"/>
      <w:marBottom w:val="0"/>
      <w:divBdr>
        <w:top w:val="none" w:sz="0" w:space="0" w:color="auto"/>
        <w:left w:val="none" w:sz="0" w:space="0" w:color="auto"/>
        <w:bottom w:val="none" w:sz="0" w:space="0" w:color="auto"/>
        <w:right w:val="none" w:sz="0" w:space="0" w:color="auto"/>
      </w:divBdr>
    </w:div>
    <w:div w:id="1386299134">
      <w:bodyDiv w:val="1"/>
      <w:marLeft w:val="0"/>
      <w:marRight w:val="0"/>
      <w:marTop w:val="0"/>
      <w:marBottom w:val="0"/>
      <w:divBdr>
        <w:top w:val="none" w:sz="0" w:space="0" w:color="auto"/>
        <w:left w:val="none" w:sz="0" w:space="0" w:color="auto"/>
        <w:bottom w:val="none" w:sz="0" w:space="0" w:color="auto"/>
        <w:right w:val="none" w:sz="0" w:space="0" w:color="auto"/>
      </w:divBdr>
    </w:div>
    <w:div w:id="1386375217">
      <w:bodyDiv w:val="1"/>
      <w:marLeft w:val="0"/>
      <w:marRight w:val="0"/>
      <w:marTop w:val="0"/>
      <w:marBottom w:val="0"/>
      <w:divBdr>
        <w:top w:val="none" w:sz="0" w:space="0" w:color="auto"/>
        <w:left w:val="none" w:sz="0" w:space="0" w:color="auto"/>
        <w:bottom w:val="none" w:sz="0" w:space="0" w:color="auto"/>
        <w:right w:val="none" w:sz="0" w:space="0" w:color="auto"/>
      </w:divBdr>
    </w:div>
    <w:div w:id="1386874049">
      <w:bodyDiv w:val="1"/>
      <w:marLeft w:val="0"/>
      <w:marRight w:val="0"/>
      <w:marTop w:val="0"/>
      <w:marBottom w:val="0"/>
      <w:divBdr>
        <w:top w:val="none" w:sz="0" w:space="0" w:color="auto"/>
        <w:left w:val="none" w:sz="0" w:space="0" w:color="auto"/>
        <w:bottom w:val="none" w:sz="0" w:space="0" w:color="auto"/>
        <w:right w:val="none" w:sz="0" w:space="0" w:color="auto"/>
      </w:divBdr>
    </w:div>
    <w:div w:id="1387030727">
      <w:bodyDiv w:val="1"/>
      <w:marLeft w:val="0"/>
      <w:marRight w:val="0"/>
      <w:marTop w:val="0"/>
      <w:marBottom w:val="0"/>
      <w:divBdr>
        <w:top w:val="none" w:sz="0" w:space="0" w:color="auto"/>
        <w:left w:val="none" w:sz="0" w:space="0" w:color="auto"/>
        <w:bottom w:val="none" w:sz="0" w:space="0" w:color="auto"/>
        <w:right w:val="none" w:sz="0" w:space="0" w:color="auto"/>
      </w:divBdr>
    </w:div>
    <w:div w:id="1387946356">
      <w:bodyDiv w:val="1"/>
      <w:marLeft w:val="0"/>
      <w:marRight w:val="0"/>
      <w:marTop w:val="0"/>
      <w:marBottom w:val="0"/>
      <w:divBdr>
        <w:top w:val="none" w:sz="0" w:space="0" w:color="auto"/>
        <w:left w:val="none" w:sz="0" w:space="0" w:color="auto"/>
        <w:bottom w:val="none" w:sz="0" w:space="0" w:color="auto"/>
        <w:right w:val="none" w:sz="0" w:space="0" w:color="auto"/>
      </w:divBdr>
    </w:div>
    <w:div w:id="1387995732">
      <w:bodyDiv w:val="1"/>
      <w:marLeft w:val="0"/>
      <w:marRight w:val="0"/>
      <w:marTop w:val="0"/>
      <w:marBottom w:val="0"/>
      <w:divBdr>
        <w:top w:val="none" w:sz="0" w:space="0" w:color="auto"/>
        <w:left w:val="none" w:sz="0" w:space="0" w:color="auto"/>
        <w:bottom w:val="none" w:sz="0" w:space="0" w:color="auto"/>
        <w:right w:val="none" w:sz="0" w:space="0" w:color="auto"/>
      </w:divBdr>
    </w:div>
    <w:div w:id="1388651790">
      <w:bodyDiv w:val="1"/>
      <w:marLeft w:val="0"/>
      <w:marRight w:val="0"/>
      <w:marTop w:val="0"/>
      <w:marBottom w:val="0"/>
      <w:divBdr>
        <w:top w:val="none" w:sz="0" w:space="0" w:color="auto"/>
        <w:left w:val="none" w:sz="0" w:space="0" w:color="auto"/>
        <w:bottom w:val="none" w:sz="0" w:space="0" w:color="auto"/>
        <w:right w:val="none" w:sz="0" w:space="0" w:color="auto"/>
      </w:divBdr>
    </w:div>
    <w:div w:id="1388844189">
      <w:bodyDiv w:val="1"/>
      <w:marLeft w:val="0"/>
      <w:marRight w:val="0"/>
      <w:marTop w:val="0"/>
      <w:marBottom w:val="0"/>
      <w:divBdr>
        <w:top w:val="none" w:sz="0" w:space="0" w:color="auto"/>
        <w:left w:val="none" w:sz="0" w:space="0" w:color="auto"/>
        <w:bottom w:val="none" w:sz="0" w:space="0" w:color="auto"/>
        <w:right w:val="none" w:sz="0" w:space="0" w:color="auto"/>
      </w:divBdr>
    </w:div>
    <w:div w:id="1388846224">
      <w:bodyDiv w:val="1"/>
      <w:marLeft w:val="0"/>
      <w:marRight w:val="0"/>
      <w:marTop w:val="0"/>
      <w:marBottom w:val="0"/>
      <w:divBdr>
        <w:top w:val="none" w:sz="0" w:space="0" w:color="auto"/>
        <w:left w:val="none" w:sz="0" w:space="0" w:color="auto"/>
        <w:bottom w:val="none" w:sz="0" w:space="0" w:color="auto"/>
        <w:right w:val="none" w:sz="0" w:space="0" w:color="auto"/>
      </w:divBdr>
    </w:div>
    <w:div w:id="1389067713">
      <w:bodyDiv w:val="1"/>
      <w:marLeft w:val="0"/>
      <w:marRight w:val="0"/>
      <w:marTop w:val="0"/>
      <w:marBottom w:val="0"/>
      <w:divBdr>
        <w:top w:val="none" w:sz="0" w:space="0" w:color="auto"/>
        <w:left w:val="none" w:sz="0" w:space="0" w:color="auto"/>
        <w:bottom w:val="none" w:sz="0" w:space="0" w:color="auto"/>
        <w:right w:val="none" w:sz="0" w:space="0" w:color="auto"/>
      </w:divBdr>
    </w:div>
    <w:div w:id="1390303533">
      <w:bodyDiv w:val="1"/>
      <w:marLeft w:val="0"/>
      <w:marRight w:val="0"/>
      <w:marTop w:val="0"/>
      <w:marBottom w:val="0"/>
      <w:divBdr>
        <w:top w:val="none" w:sz="0" w:space="0" w:color="auto"/>
        <w:left w:val="none" w:sz="0" w:space="0" w:color="auto"/>
        <w:bottom w:val="none" w:sz="0" w:space="0" w:color="auto"/>
        <w:right w:val="none" w:sz="0" w:space="0" w:color="auto"/>
      </w:divBdr>
    </w:div>
    <w:div w:id="1390418492">
      <w:bodyDiv w:val="1"/>
      <w:marLeft w:val="0"/>
      <w:marRight w:val="0"/>
      <w:marTop w:val="0"/>
      <w:marBottom w:val="0"/>
      <w:divBdr>
        <w:top w:val="none" w:sz="0" w:space="0" w:color="auto"/>
        <w:left w:val="none" w:sz="0" w:space="0" w:color="auto"/>
        <w:bottom w:val="none" w:sz="0" w:space="0" w:color="auto"/>
        <w:right w:val="none" w:sz="0" w:space="0" w:color="auto"/>
      </w:divBdr>
    </w:div>
    <w:div w:id="1390421139">
      <w:bodyDiv w:val="1"/>
      <w:marLeft w:val="0"/>
      <w:marRight w:val="0"/>
      <w:marTop w:val="0"/>
      <w:marBottom w:val="0"/>
      <w:divBdr>
        <w:top w:val="none" w:sz="0" w:space="0" w:color="auto"/>
        <w:left w:val="none" w:sz="0" w:space="0" w:color="auto"/>
        <w:bottom w:val="none" w:sz="0" w:space="0" w:color="auto"/>
        <w:right w:val="none" w:sz="0" w:space="0" w:color="auto"/>
      </w:divBdr>
    </w:div>
    <w:div w:id="1390542877">
      <w:bodyDiv w:val="1"/>
      <w:marLeft w:val="0"/>
      <w:marRight w:val="0"/>
      <w:marTop w:val="0"/>
      <w:marBottom w:val="0"/>
      <w:divBdr>
        <w:top w:val="none" w:sz="0" w:space="0" w:color="auto"/>
        <w:left w:val="none" w:sz="0" w:space="0" w:color="auto"/>
        <w:bottom w:val="none" w:sz="0" w:space="0" w:color="auto"/>
        <w:right w:val="none" w:sz="0" w:space="0" w:color="auto"/>
      </w:divBdr>
    </w:div>
    <w:div w:id="1390809766">
      <w:bodyDiv w:val="1"/>
      <w:marLeft w:val="0"/>
      <w:marRight w:val="0"/>
      <w:marTop w:val="0"/>
      <w:marBottom w:val="0"/>
      <w:divBdr>
        <w:top w:val="none" w:sz="0" w:space="0" w:color="auto"/>
        <w:left w:val="none" w:sz="0" w:space="0" w:color="auto"/>
        <w:bottom w:val="none" w:sz="0" w:space="0" w:color="auto"/>
        <w:right w:val="none" w:sz="0" w:space="0" w:color="auto"/>
      </w:divBdr>
    </w:div>
    <w:div w:id="1390884683">
      <w:bodyDiv w:val="1"/>
      <w:marLeft w:val="0"/>
      <w:marRight w:val="0"/>
      <w:marTop w:val="0"/>
      <w:marBottom w:val="0"/>
      <w:divBdr>
        <w:top w:val="none" w:sz="0" w:space="0" w:color="auto"/>
        <w:left w:val="none" w:sz="0" w:space="0" w:color="auto"/>
        <w:bottom w:val="none" w:sz="0" w:space="0" w:color="auto"/>
        <w:right w:val="none" w:sz="0" w:space="0" w:color="auto"/>
      </w:divBdr>
    </w:div>
    <w:div w:id="1391346929">
      <w:bodyDiv w:val="1"/>
      <w:marLeft w:val="0"/>
      <w:marRight w:val="0"/>
      <w:marTop w:val="0"/>
      <w:marBottom w:val="0"/>
      <w:divBdr>
        <w:top w:val="none" w:sz="0" w:space="0" w:color="auto"/>
        <w:left w:val="none" w:sz="0" w:space="0" w:color="auto"/>
        <w:bottom w:val="none" w:sz="0" w:space="0" w:color="auto"/>
        <w:right w:val="none" w:sz="0" w:space="0" w:color="auto"/>
      </w:divBdr>
    </w:div>
    <w:div w:id="1391922960">
      <w:bodyDiv w:val="1"/>
      <w:marLeft w:val="0"/>
      <w:marRight w:val="0"/>
      <w:marTop w:val="0"/>
      <w:marBottom w:val="0"/>
      <w:divBdr>
        <w:top w:val="none" w:sz="0" w:space="0" w:color="auto"/>
        <w:left w:val="none" w:sz="0" w:space="0" w:color="auto"/>
        <w:bottom w:val="none" w:sz="0" w:space="0" w:color="auto"/>
        <w:right w:val="none" w:sz="0" w:space="0" w:color="auto"/>
      </w:divBdr>
    </w:div>
    <w:div w:id="1393045278">
      <w:bodyDiv w:val="1"/>
      <w:marLeft w:val="0"/>
      <w:marRight w:val="0"/>
      <w:marTop w:val="0"/>
      <w:marBottom w:val="0"/>
      <w:divBdr>
        <w:top w:val="none" w:sz="0" w:space="0" w:color="auto"/>
        <w:left w:val="none" w:sz="0" w:space="0" w:color="auto"/>
        <w:bottom w:val="none" w:sz="0" w:space="0" w:color="auto"/>
        <w:right w:val="none" w:sz="0" w:space="0" w:color="auto"/>
      </w:divBdr>
    </w:div>
    <w:div w:id="1393432611">
      <w:bodyDiv w:val="1"/>
      <w:marLeft w:val="0"/>
      <w:marRight w:val="0"/>
      <w:marTop w:val="0"/>
      <w:marBottom w:val="0"/>
      <w:divBdr>
        <w:top w:val="none" w:sz="0" w:space="0" w:color="auto"/>
        <w:left w:val="none" w:sz="0" w:space="0" w:color="auto"/>
        <w:bottom w:val="none" w:sz="0" w:space="0" w:color="auto"/>
        <w:right w:val="none" w:sz="0" w:space="0" w:color="auto"/>
      </w:divBdr>
    </w:div>
    <w:div w:id="1393651651">
      <w:bodyDiv w:val="1"/>
      <w:marLeft w:val="0"/>
      <w:marRight w:val="0"/>
      <w:marTop w:val="0"/>
      <w:marBottom w:val="0"/>
      <w:divBdr>
        <w:top w:val="none" w:sz="0" w:space="0" w:color="auto"/>
        <w:left w:val="none" w:sz="0" w:space="0" w:color="auto"/>
        <w:bottom w:val="none" w:sz="0" w:space="0" w:color="auto"/>
        <w:right w:val="none" w:sz="0" w:space="0" w:color="auto"/>
      </w:divBdr>
    </w:div>
    <w:div w:id="1393652572">
      <w:bodyDiv w:val="1"/>
      <w:marLeft w:val="0"/>
      <w:marRight w:val="0"/>
      <w:marTop w:val="0"/>
      <w:marBottom w:val="0"/>
      <w:divBdr>
        <w:top w:val="none" w:sz="0" w:space="0" w:color="auto"/>
        <w:left w:val="none" w:sz="0" w:space="0" w:color="auto"/>
        <w:bottom w:val="none" w:sz="0" w:space="0" w:color="auto"/>
        <w:right w:val="none" w:sz="0" w:space="0" w:color="auto"/>
      </w:divBdr>
    </w:div>
    <w:div w:id="1395356259">
      <w:bodyDiv w:val="1"/>
      <w:marLeft w:val="0"/>
      <w:marRight w:val="0"/>
      <w:marTop w:val="0"/>
      <w:marBottom w:val="0"/>
      <w:divBdr>
        <w:top w:val="none" w:sz="0" w:space="0" w:color="auto"/>
        <w:left w:val="none" w:sz="0" w:space="0" w:color="auto"/>
        <w:bottom w:val="none" w:sz="0" w:space="0" w:color="auto"/>
        <w:right w:val="none" w:sz="0" w:space="0" w:color="auto"/>
      </w:divBdr>
    </w:div>
    <w:div w:id="1395617135">
      <w:bodyDiv w:val="1"/>
      <w:marLeft w:val="0"/>
      <w:marRight w:val="0"/>
      <w:marTop w:val="0"/>
      <w:marBottom w:val="0"/>
      <w:divBdr>
        <w:top w:val="none" w:sz="0" w:space="0" w:color="auto"/>
        <w:left w:val="none" w:sz="0" w:space="0" w:color="auto"/>
        <w:bottom w:val="none" w:sz="0" w:space="0" w:color="auto"/>
        <w:right w:val="none" w:sz="0" w:space="0" w:color="auto"/>
      </w:divBdr>
    </w:div>
    <w:div w:id="1395932800">
      <w:bodyDiv w:val="1"/>
      <w:marLeft w:val="0"/>
      <w:marRight w:val="0"/>
      <w:marTop w:val="0"/>
      <w:marBottom w:val="0"/>
      <w:divBdr>
        <w:top w:val="none" w:sz="0" w:space="0" w:color="auto"/>
        <w:left w:val="none" w:sz="0" w:space="0" w:color="auto"/>
        <w:bottom w:val="none" w:sz="0" w:space="0" w:color="auto"/>
        <w:right w:val="none" w:sz="0" w:space="0" w:color="auto"/>
      </w:divBdr>
    </w:div>
    <w:div w:id="1396204768">
      <w:bodyDiv w:val="1"/>
      <w:marLeft w:val="0"/>
      <w:marRight w:val="0"/>
      <w:marTop w:val="0"/>
      <w:marBottom w:val="0"/>
      <w:divBdr>
        <w:top w:val="none" w:sz="0" w:space="0" w:color="auto"/>
        <w:left w:val="none" w:sz="0" w:space="0" w:color="auto"/>
        <w:bottom w:val="none" w:sz="0" w:space="0" w:color="auto"/>
        <w:right w:val="none" w:sz="0" w:space="0" w:color="auto"/>
      </w:divBdr>
    </w:div>
    <w:div w:id="1396463993">
      <w:bodyDiv w:val="1"/>
      <w:marLeft w:val="0"/>
      <w:marRight w:val="0"/>
      <w:marTop w:val="0"/>
      <w:marBottom w:val="0"/>
      <w:divBdr>
        <w:top w:val="none" w:sz="0" w:space="0" w:color="auto"/>
        <w:left w:val="none" w:sz="0" w:space="0" w:color="auto"/>
        <w:bottom w:val="none" w:sz="0" w:space="0" w:color="auto"/>
        <w:right w:val="none" w:sz="0" w:space="0" w:color="auto"/>
      </w:divBdr>
    </w:div>
    <w:div w:id="1396471894">
      <w:bodyDiv w:val="1"/>
      <w:marLeft w:val="0"/>
      <w:marRight w:val="0"/>
      <w:marTop w:val="0"/>
      <w:marBottom w:val="0"/>
      <w:divBdr>
        <w:top w:val="none" w:sz="0" w:space="0" w:color="auto"/>
        <w:left w:val="none" w:sz="0" w:space="0" w:color="auto"/>
        <w:bottom w:val="none" w:sz="0" w:space="0" w:color="auto"/>
        <w:right w:val="none" w:sz="0" w:space="0" w:color="auto"/>
      </w:divBdr>
    </w:div>
    <w:div w:id="1396508542">
      <w:bodyDiv w:val="1"/>
      <w:marLeft w:val="0"/>
      <w:marRight w:val="0"/>
      <w:marTop w:val="0"/>
      <w:marBottom w:val="0"/>
      <w:divBdr>
        <w:top w:val="none" w:sz="0" w:space="0" w:color="auto"/>
        <w:left w:val="none" w:sz="0" w:space="0" w:color="auto"/>
        <w:bottom w:val="none" w:sz="0" w:space="0" w:color="auto"/>
        <w:right w:val="none" w:sz="0" w:space="0" w:color="auto"/>
      </w:divBdr>
    </w:div>
    <w:div w:id="1396512574">
      <w:bodyDiv w:val="1"/>
      <w:marLeft w:val="0"/>
      <w:marRight w:val="0"/>
      <w:marTop w:val="0"/>
      <w:marBottom w:val="0"/>
      <w:divBdr>
        <w:top w:val="none" w:sz="0" w:space="0" w:color="auto"/>
        <w:left w:val="none" w:sz="0" w:space="0" w:color="auto"/>
        <w:bottom w:val="none" w:sz="0" w:space="0" w:color="auto"/>
        <w:right w:val="none" w:sz="0" w:space="0" w:color="auto"/>
      </w:divBdr>
    </w:div>
    <w:div w:id="1396900367">
      <w:bodyDiv w:val="1"/>
      <w:marLeft w:val="0"/>
      <w:marRight w:val="0"/>
      <w:marTop w:val="0"/>
      <w:marBottom w:val="0"/>
      <w:divBdr>
        <w:top w:val="none" w:sz="0" w:space="0" w:color="auto"/>
        <w:left w:val="none" w:sz="0" w:space="0" w:color="auto"/>
        <w:bottom w:val="none" w:sz="0" w:space="0" w:color="auto"/>
        <w:right w:val="none" w:sz="0" w:space="0" w:color="auto"/>
      </w:divBdr>
    </w:div>
    <w:div w:id="1397435417">
      <w:bodyDiv w:val="1"/>
      <w:marLeft w:val="0"/>
      <w:marRight w:val="0"/>
      <w:marTop w:val="0"/>
      <w:marBottom w:val="0"/>
      <w:divBdr>
        <w:top w:val="none" w:sz="0" w:space="0" w:color="auto"/>
        <w:left w:val="none" w:sz="0" w:space="0" w:color="auto"/>
        <w:bottom w:val="none" w:sz="0" w:space="0" w:color="auto"/>
        <w:right w:val="none" w:sz="0" w:space="0" w:color="auto"/>
      </w:divBdr>
    </w:div>
    <w:div w:id="1398046633">
      <w:bodyDiv w:val="1"/>
      <w:marLeft w:val="0"/>
      <w:marRight w:val="0"/>
      <w:marTop w:val="0"/>
      <w:marBottom w:val="0"/>
      <w:divBdr>
        <w:top w:val="none" w:sz="0" w:space="0" w:color="auto"/>
        <w:left w:val="none" w:sz="0" w:space="0" w:color="auto"/>
        <w:bottom w:val="none" w:sz="0" w:space="0" w:color="auto"/>
        <w:right w:val="none" w:sz="0" w:space="0" w:color="auto"/>
      </w:divBdr>
    </w:div>
    <w:div w:id="1398088375">
      <w:bodyDiv w:val="1"/>
      <w:marLeft w:val="0"/>
      <w:marRight w:val="0"/>
      <w:marTop w:val="0"/>
      <w:marBottom w:val="0"/>
      <w:divBdr>
        <w:top w:val="none" w:sz="0" w:space="0" w:color="auto"/>
        <w:left w:val="none" w:sz="0" w:space="0" w:color="auto"/>
        <w:bottom w:val="none" w:sz="0" w:space="0" w:color="auto"/>
        <w:right w:val="none" w:sz="0" w:space="0" w:color="auto"/>
      </w:divBdr>
    </w:div>
    <w:div w:id="1398288006">
      <w:bodyDiv w:val="1"/>
      <w:marLeft w:val="0"/>
      <w:marRight w:val="0"/>
      <w:marTop w:val="0"/>
      <w:marBottom w:val="0"/>
      <w:divBdr>
        <w:top w:val="none" w:sz="0" w:space="0" w:color="auto"/>
        <w:left w:val="none" w:sz="0" w:space="0" w:color="auto"/>
        <w:bottom w:val="none" w:sz="0" w:space="0" w:color="auto"/>
        <w:right w:val="none" w:sz="0" w:space="0" w:color="auto"/>
      </w:divBdr>
    </w:div>
    <w:div w:id="1398556896">
      <w:bodyDiv w:val="1"/>
      <w:marLeft w:val="0"/>
      <w:marRight w:val="0"/>
      <w:marTop w:val="0"/>
      <w:marBottom w:val="0"/>
      <w:divBdr>
        <w:top w:val="none" w:sz="0" w:space="0" w:color="auto"/>
        <w:left w:val="none" w:sz="0" w:space="0" w:color="auto"/>
        <w:bottom w:val="none" w:sz="0" w:space="0" w:color="auto"/>
        <w:right w:val="none" w:sz="0" w:space="0" w:color="auto"/>
      </w:divBdr>
    </w:div>
    <w:div w:id="1398868318">
      <w:bodyDiv w:val="1"/>
      <w:marLeft w:val="0"/>
      <w:marRight w:val="0"/>
      <w:marTop w:val="0"/>
      <w:marBottom w:val="0"/>
      <w:divBdr>
        <w:top w:val="none" w:sz="0" w:space="0" w:color="auto"/>
        <w:left w:val="none" w:sz="0" w:space="0" w:color="auto"/>
        <w:bottom w:val="none" w:sz="0" w:space="0" w:color="auto"/>
        <w:right w:val="none" w:sz="0" w:space="0" w:color="auto"/>
      </w:divBdr>
    </w:div>
    <w:div w:id="1399673921">
      <w:bodyDiv w:val="1"/>
      <w:marLeft w:val="0"/>
      <w:marRight w:val="0"/>
      <w:marTop w:val="0"/>
      <w:marBottom w:val="0"/>
      <w:divBdr>
        <w:top w:val="none" w:sz="0" w:space="0" w:color="auto"/>
        <w:left w:val="none" w:sz="0" w:space="0" w:color="auto"/>
        <w:bottom w:val="none" w:sz="0" w:space="0" w:color="auto"/>
        <w:right w:val="none" w:sz="0" w:space="0" w:color="auto"/>
      </w:divBdr>
    </w:div>
    <w:div w:id="1399859297">
      <w:bodyDiv w:val="1"/>
      <w:marLeft w:val="0"/>
      <w:marRight w:val="0"/>
      <w:marTop w:val="0"/>
      <w:marBottom w:val="0"/>
      <w:divBdr>
        <w:top w:val="none" w:sz="0" w:space="0" w:color="auto"/>
        <w:left w:val="none" w:sz="0" w:space="0" w:color="auto"/>
        <w:bottom w:val="none" w:sz="0" w:space="0" w:color="auto"/>
        <w:right w:val="none" w:sz="0" w:space="0" w:color="auto"/>
      </w:divBdr>
    </w:div>
    <w:div w:id="1400250707">
      <w:bodyDiv w:val="1"/>
      <w:marLeft w:val="0"/>
      <w:marRight w:val="0"/>
      <w:marTop w:val="0"/>
      <w:marBottom w:val="0"/>
      <w:divBdr>
        <w:top w:val="none" w:sz="0" w:space="0" w:color="auto"/>
        <w:left w:val="none" w:sz="0" w:space="0" w:color="auto"/>
        <w:bottom w:val="none" w:sz="0" w:space="0" w:color="auto"/>
        <w:right w:val="none" w:sz="0" w:space="0" w:color="auto"/>
      </w:divBdr>
    </w:div>
    <w:div w:id="1400515158">
      <w:bodyDiv w:val="1"/>
      <w:marLeft w:val="0"/>
      <w:marRight w:val="0"/>
      <w:marTop w:val="0"/>
      <w:marBottom w:val="0"/>
      <w:divBdr>
        <w:top w:val="none" w:sz="0" w:space="0" w:color="auto"/>
        <w:left w:val="none" w:sz="0" w:space="0" w:color="auto"/>
        <w:bottom w:val="none" w:sz="0" w:space="0" w:color="auto"/>
        <w:right w:val="none" w:sz="0" w:space="0" w:color="auto"/>
      </w:divBdr>
    </w:div>
    <w:div w:id="1401171921">
      <w:bodyDiv w:val="1"/>
      <w:marLeft w:val="0"/>
      <w:marRight w:val="0"/>
      <w:marTop w:val="0"/>
      <w:marBottom w:val="0"/>
      <w:divBdr>
        <w:top w:val="none" w:sz="0" w:space="0" w:color="auto"/>
        <w:left w:val="none" w:sz="0" w:space="0" w:color="auto"/>
        <w:bottom w:val="none" w:sz="0" w:space="0" w:color="auto"/>
        <w:right w:val="none" w:sz="0" w:space="0" w:color="auto"/>
      </w:divBdr>
    </w:div>
    <w:div w:id="1401244290">
      <w:bodyDiv w:val="1"/>
      <w:marLeft w:val="0"/>
      <w:marRight w:val="0"/>
      <w:marTop w:val="0"/>
      <w:marBottom w:val="0"/>
      <w:divBdr>
        <w:top w:val="none" w:sz="0" w:space="0" w:color="auto"/>
        <w:left w:val="none" w:sz="0" w:space="0" w:color="auto"/>
        <w:bottom w:val="none" w:sz="0" w:space="0" w:color="auto"/>
        <w:right w:val="none" w:sz="0" w:space="0" w:color="auto"/>
      </w:divBdr>
    </w:div>
    <w:div w:id="1401249918">
      <w:bodyDiv w:val="1"/>
      <w:marLeft w:val="0"/>
      <w:marRight w:val="0"/>
      <w:marTop w:val="0"/>
      <w:marBottom w:val="0"/>
      <w:divBdr>
        <w:top w:val="none" w:sz="0" w:space="0" w:color="auto"/>
        <w:left w:val="none" w:sz="0" w:space="0" w:color="auto"/>
        <w:bottom w:val="none" w:sz="0" w:space="0" w:color="auto"/>
        <w:right w:val="none" w:sz="0" w:space="0" w:color="auto"/>
      </w:divBdr>
    </w:div>
    <w:div w:id="1401631439">
      <w:bodyDiv w:val="1"/>
      <w:marLeft w:val="0"/>
      <w:marRight w:val="0"/>
      <w:marTop w:val="0"/>
      <w:marBottom w:val="0"/>
      <w:divBdr>
        <w:top w:val="none" w:sz="0" w:space="0" w:color="auto"/>
        <w:left w:val="none" w:sz="0" w:space="0" w:color="auto"/>
        <w:bottom w:val="none" w:sz="0" w:space="0" w:color="auto"/>
        <w:right w:val="none" w:sz="0" w:space="0" w:color="auto"/>
      </w:divBdr>
    </w:div>
    <w:div w:id="1401905596">
      <w:bodyDiv w:val="1"/>
      <w:marLeft w:val="0"/>
      <w:marRight w:val="0"/>
      <w:marTop w:val="0"/>
      <w:marBottom w:val="0"/>
      <w:divBdr>
        <w:top w:val="none" w:sz="0" w:space="0" w:color="auto"/>
        <w:left w:val="none" w:sz="0" w:space="0" w:color="auto"/>
        <w:bottom w:val="none" w:sz="0" w:space="0" w:color="auto"/>
        <w:right w:val="none" w:sz="0" w:space="0" w:color="auto"/>
      </w:divBdr>
    </w:div>
    <w:div w:id="1402211239">
      <w:bodyDiv w:val="1"/>
      <w:marLeft w:val="0"/>
      <w:marRight w:val="0"/>
      <w:marTop w:val="0"/>
      <w:marBottom w:val="0"/>
      <w:divBdr>
        <w:top w:val="none" w:sz="0" w:space="0" w:color="auto"/>
        <w:left w:val="none" w:sz="0" w:space="0" w:color="auto"/>
        <w:bottom w:val="none" w:sz="0" w:space="0" w:color="auto"/>
        <w:right w:val="none" w:sz="0" w:space="0" w:color="auto"/>
      </w:divBdr>
    </w:div>
    <w:div w:id="1402557316">
      <w:bodyDiv w:val="1"/>
      <w:marLeft w:val="0"/>
      <w:marRight w:val="0"/>
      <w:marTop w:val="0"/>
      <w:marBottom w:val="0"/>
      <w:divBdr>
        <w:top w:val="none" w:sz="0" w:space="0" w:color="auto"/>
        <w:left w:val="none" w:sz="0" w:space="0" w:color="auto"/>
        <w:bottom w:val="none" w:sz="0" w:space="0" w:color="auto"/>
        <w:right w:val="none" w:sz="0" w:space="0" w:color="auto"/>
      </w:divBdr>
    </w:div>
    <w:div w:id="1402560676">
      <w:bodyDiv w:val="1"/>
      <w:marLeft w:val="0"/>
      <w:marRight w:val="0"/>
      <w:marTop w:val="0"/>
      <w:marBottom w:val="0"/>
      <w:divBdr>
        <w:top w:val="none" w:sz="0" w:space="0" w:color="auto"/>
        <w:left w:val="none" w:sz="0" w:space="0" w:color="auto"/>
        <w:bottom w:val="none" w:sz="0" w:space="0" w:color="auto"/>
        <w:right w:val="none" w:sz="0" w:space="0" w:color="auto"/>
      </w:divBdr>
    </w:div>
    <w:div w:id="1403219612">
      <w:bodyDiv w:val="1"/>
      <w:marLeft w:val="0"/>
      <w:marRight w:val="0"/>
      <w:marTop w:val="0"/>
      <w:marBottom w:val="0"/>
      <w:divBdr>
        <w:top w:val="none" w:sz="0" w:space="0" w:color="auto"/>
        <w:left w:val="none" w:sz="0" w:space="0" w:color="auto"/>
        <w:bottom w:val="none" w:sz="0" w:space="0" w:color="auto"/>
        <w:right w:val="none" w:sz="0" w:space="0" w:color="auto"/>
      </w:divBdr>
    </w:div>
    <w:div w:id="1403672889">
      <w:bodyDiv w:val="1"/>
      <w:marLeft w:val="0"/>
      <w:marRight w:val="0"/>
      <w:marTop w:val="0"/>
      <w:marBottom w:val="0"/>
      <w:divBdr>
        <w:top w:val="none" w:sz="0" w:space="0" w:color="auto"/>
        <w:left w:val="none" w:sz="0" w:space="0" w:color="auto"/>
        <w:bottom w:val="none" w:sz="0" w:space="0" w:color="auto"/>
        <w:right w:val="none" w:sz="0" w:space="0" w:color="auto"/>
      </w:divBdr>
    </w:div>
    <w:div w:id="1403747851">
      <w:bodyDiv w:val="1"/>
      <w:marLeft w:val="0"/>
      <w:marRight w:val="0"/>
      <w:marTop w:val="0"/>
      <w:marBottom w:val="0"/>
      <w:divBdr>
        <w:top w:val="none" w:sz="0" w:space="0" w:color="auto"/>
        <w:left w:val="none" w:sz="0" w:space="0" w:color="auto"/>
        <w:bottom w:val="none" w:sz="0" w:space="0" w:color="auto"/>
        <w:right w:val="none" w:sz="0" w:space="0" w:color="auto"/>
      </w:divBdr>
    </w:div>
    <w:div w:id="1404596641">
      <w:bodyDiv w:val="1"/>
      <w:marLeft w:val="0"/>
      <w:marRight w:val="0"/>
      <w:marTop w:val="0"/>
      <w:marBottom w:val="0"/>
      <w:divBdr>
        <w:top w:val="none" w:sz="0" w:space="0" w:color="auto"/>
        <w:left w:val="none" w:sz="0" w:space="0" w:color="auto"/>
        <w:bottom w:val="none" w:sz="0" w:space="0" w:color="auto"/>
        <w:right w:val="none" w:sz="0" w:space="0" w:color="auto"/>
      </w:divBdr>
    </w:div>
    <w:div w:id="1404833048">
      <w:bodyDiv w:val="1"/>
      <w:marLeft w:val="0"/>
      <w:marRight w:val="0"/>
      <w:marTop w:val="0"/>
      <w:marBottom w:val="0"/>
      <w:divBdr>
        <w:top w:val="none" w:sz="0" w:space="0" w:color="auto"/>
        <w:left w:val="none" w:sz="0" w:space="0" w:color="auto"/>
        <w:bottom w:val="none" w:sz="0" w:space="0" w:color="auto"/>
        <w:right w:val="none" w:sz="0" w:space="0" w:color="auto"/>
      </w:divBdr>
    </w:div>
    <w:div w:id="1405227806">
      <w:bodyDiv w:val="1"/>
      <w:marLeft w:val="0"/>
      <w:marRight w:val="0"/>
      <w:marTop w:val="0"/>
      <w:marBottom w:val="0"/>
      <w:divBdr>
        <w:top w:val="none" w:sz="0" w:space="0" w:color="auto"/>
        <w:left w:val="none" w:sz="0" w:space="0" w:color="auto"/>
        <w:bottom w:val="none" w:sz="0" w:space="0" w:color="auto"/>
        <w:right w:val="none" w:sz="0" w:space="0" w:color="auto"/>
      </w:divBdr>
    </w:div>
    <w:div w:id="1405449242">
      <w:bodyDiv w:val="1"/>
      <w:marLeft w:val="0"/>
      <w:marRight w:val="0"/>
      <w:marTop w:val="0"/>
      <w:marBottom w:val="0"/>
      <w:divBdr>
        <w:top w:val="none" w:sz="0" w:space="0" w:color="auto"/>
        <w:left w:val="none" w:sz="0" w:space="0" w:color="auto"/>
        <w:bottom w:val="none" w:sz="0" w:space="0" w:color="auto"/>
        <w:right w:val="none" w:sz="0" w:space="0" w:color="auto"/>
      </w:divBdr>
    </w:div>
    <w:div w:id="1405488133">
      <w:bodyDiv w:val="1"/>
      <w:marLeft w:val="0"/>
      <w:marRight w:val="0"/>
      <w:marTop w:val="0"/>
      <w:marBottom w:val="0"/>
      <w:divBdr>
        <w:top w:val="none" w:sz="0" w:space="0" w:color="auto"/>
        <w:left w:val="none" w:sz="0" w:space="0" w:color="auto"/>
        <w:bottom w:val="none" w:sz="0" w:space="0" w:color="auto"/>
        <w:right w:val="none" w:sz="0" w:space="0" w:color="auto"/>
      </w:divBdr>
    </w:div>
    <w:div w:id="1405639676">
      <w:bodyDiv w:val="1"/>
      <w:marLeft w:val="0"/>
      <w:marRight w:val="0"/>
      <w:marTop w:val="0"/>
      <w:marBottom w:val="0"/>
      <w:divBdr>
        <w:top w:val="none" w:sz="0" w:space="0" w:color="auto"/>
        <w:left w:val="none" w:sz="0" w:space="0" w:color="auto"/>
        <w:bottom w:val="none" w:sz="0" w:space="0" w:color="auto"/>
        <w:right w:val="none" w:sz="0" w:space="0" w:color="auto"/>
      </w:divBdr>
    </w:div>
    <w:div w:id="1405639984">
      <w:bodyDiv w:val="1"/>
      <w:marLeft w:val="0"/>
      <w:marRight w:val="0"/>
      <w:marTop w:val="0"/>
      <w:marBottom w:val="0"/>
      <w:divBdr>
        <w:top w:val="none" w:sz="0" w:space="0" w:color="auto"/>
        <w:left w:val="none" w:sz="0" w:space="0" w:color="auto"/>
        <w:bottom w:val="none" w:sz="0" w:space="0" w:color="auto"/>
        <w:right w:val="none" w:sz="0" w:space="0" w:color="auto"/>
      </w:divBdr>
    </w:div>
    <w:div w:id="1405957094">
      <w:bodyDiv w:val="1"/>
      <w:marLeft w:val="0"/>
      <w:marRight w:val="0"/>
      <w:marTop w:val="0"/>
      <w:marBottom w:val="0"/>
      <w:divBdr>
        <w:top w:val="none" w:sz="0" w:space="0" w:color="auto"/>
        <w:left w:val="none" w:sz="0" w:space="0" w:color="auto"/>
        <w:bottom w:val="none" w:sz="0" w:space="0" w:color="auto"/>
        <w:right w:val="none" w:sz="0" w:space="0" w:color="auto"/>
      </w:divBdr>
    </w:div>
    <w:div w:id="1406106859">
      <w:bodyDiv w:val="1"/>
      <w:marLeft w:val="0"/>
      <w:marRight w:val="0"/>
      <w:marTop w:val="0"/>
      <w:marBottom w:val="0"/>
      <w:divBdr>
        <w:top w:val="none" w:sz="0" w:space="0" w:color="auto"/>
        <w:left w:val="none" w:sz="0" w:space="0" w:color="auto"/>
        <w:bottom w:val="none" w:sz="0" w:space="0" w:color="auto"/>
        <w:right w:val="none" w:sz="0" w:space="0" w:color="auto"/>
      </w:divBdr>
    </w:div>
    <w:div w:id="1406339136">
      <w:bodyDiv w:val="1"/>
      <w:marLeft w:val="0"/>
      <w:marRight w:val="0"/>
      <w:marTop w:val="0"/>
      <w:marBottom w:val="0"/>
      <w:divBdr>
        <w:top w:val="none" w:sz="0" w:space="0" w:color="auto"/>
        <w:left w:val="none" w:sz="0" w:space="0" w:color="auto"/>
        <w:bottom w:val="none" w:sz="0" w:space="0" w:color="auto"/>
        <w:right w:val="none" w:sz="0" w:space="0" w:color="auto"/>
      </w:divBdr>
    </w:div>
    <w:div w:id="1406342171">
      <w:bodyDiv w:val="1"/>
      <w:marLeft w:val="0"/>
      <w:marRight w:val="0"/>
      <w:marTop w:val="0"/>
      <w:marBottom w:val="0"/>
      <w:divBdr>
        <w:top w:val="none" w:sz="0" w:space="0" w:color="auto"/>
        <w:left w:val="none" w:sz="0" w:space="0" w:color="auto"/>
        <w:bottom w:val="none" w:sz="0" w:space="0" w:color="auto"/>
        <w:right w:val="none" w:sz="0" w:space="0" w:color="auto"/>
      </w:divBdr>
    </w:div>
    <w:div w:id="1406679985">
      <w:bodyDiv w:val="1"/>
      <w:marLeft w:val="0"/>
      <w:marRight w:val="0"/>
      <w:marTop w:val="0"/>
      <w:marBottom w:val="0"/>
      <w:divBdr>
        <w:top w:val="none" w:sz="0" w:space="0" w:color="auto"/>
        <w:left w:val="none" w:sz="0" w:space="0" w:color="auto"/>
        <w:bottom w:val="none" w:sz="0" w:space="0" w:color="auto"/>
        <w:right w:val="none" w:sz="0" w:space="0" w:color="auto"/>
      </w:divBdr>
    </w:div>
    <w:div w:id="1407075637">
      <w:bodyDiv w:val="1"/>
      <w:marLeft w:val="0"/>
      <w:marRight w:val="0"/>
      <w:marTop w:val="0"/>
      <w:marBottom w:val="0"/>
      <w:divBdr>
        <w:top w:val="none" w:sz="0" w:space="0" w:color="auto"/>
        <w:left w:val="none" w:sz="0" w:space="0" w:color="auto"/>
        <w:bottom w:val="none" w:sz="0" w:space="0" w:color="auto"/>
        <w:right w:val="none" w:sz="0" w:space="0" w:color="auto"/>
      </w:divBdr>
    </w:div>
    <w:div w:id="1407724950">
      <w:bodyDiv w:val="1"/>
      <w:marLeft w:val="0"/>
      <w:marRight w:val="0"/>
      <w:marTop w:val="0"/>
      <w:marBottom w:val="0"/>
      <w:divBdr>
        <w:top w:val="none" w:sz="0" w:space="0" w:color="auto"/>
        <w:left w:val="none" w:sz="0" w:space="0" w:color="auto"/>
        <w:bottom w:val="none" w:sz="0" w:space="0" w:color="auto"/>
        <w:right w:val="none" w:sz="0" w:space="0" w:color="auto"/>
      </w:divBdr>
    </w:div>
    <w:div w:id="1408185684">
      <w:bodyDiv w:val="1"/>
      <w:marLeft w:val="0"/>
      <w:marRight w:val="0"/>
      <w:marTop w:val="0"/>
      <w:marBottom w:val="0"/>
      <w:divBdr>
        <w:top w:val="none" w:sz="0" w:space="0" w:color="auto"/>
        <w:left w:val="none" w:sz="0" w:space="0" w:color="auto"/>
        <w:bottom w:val="none" w:sz="0" w:space="0" w:color="auto"/>
        <w:right w:val="none" w:sz="0" w:space="0" w:color="auto"/>
      </w:divBdr>
    </w:div>
    <w:div w:id="1408766268">
      <w:bodyDiv w:val="1"/>
      <w:marLeft w:val="0"/>
      <w:marRight w:val="0"/>
      <w:marTop w:val="0"/>
      <w:marBottom w:val="0"/>
      <w:divBdr>
        <w:top w:val="none" w:sz="0" w:space="0" w:color="auto"/>
        <w:left w:val="none" w:sz="0" w:space="0" w:color="auto"/>
        <w:bottom w:val="none" w:sz="0" w:space="0" w:color="auto"/>
        <w:right w:val="none" w:sz="0" w:space="0" w:color="auto"/>
      </w:divBdr>
    </w:div>
    <w:div w:id="1408846317">
      <w:bodyDiv w:val="1"/>
      <w:marLeft w:val="0"/>
      <w:marRight w:val="0"/>
      <w:marTop w:val="0"/>
      <w:marBottom w:val="0"/>
      <w:divBdr>
        <w:top w:val="none" w:sz="0" w:space="0" w:color="auto"/>
        <w:left w:val="none" w:sz="0" w:space="0" w:color="auto"/>
        <w:bottom w:val="none" w:sz="0" w:space="0" w:color="auto"/>
        <w:right w:val="none" w:sz="0" w:space="0" w:color="auto"/>
      </w:divBdr>
    </w:div>
    <w:div w:id="1409108058">
      <w:bodyDiv w:val="1"/>
      <w:marLeft w:val="0"/>
      <w:marRight w:val="0"/>
      <w:marTop w:val="0"/>
      <w:marBottom w:val="0"/>
      <w:divBdr>
        <w:top w:val="none" w:sz="0" w:space="0" w:color="auto"/>
        <w:left w:val="none" w:sz="0" w:space="0" w:color="auto"/>
        <w:bottom w:val="none" w:sz="0" w:space="0" w:color="auto"/>
        <w:right w:val="none" w:sz="0" w:space="0" w:color="auto"/>
      </w:divBdr>
    </w:div>
    <w:div w:id="1409185161">
      <w:bodyDiv w:val="1"/>
      <w:marLeft w:val="0"/>
      <w:marRight w:val="0"/>
      <w:marTop w:val="0"/>
      <w:marBottom w:val="0"/>
      <w:divBdr>
        <w:top w:val="none" w:sz="0" w:space="0" w:color="auto"/>
        <w:left w:val="none" w:sz="0" w:space="0" w:color="auto"/>
        <w:bottom w:val="none" w:sz="0" w:space="0" w:color="auto"/>
        <w:right w:val="none" w:sz="0" w:space="0" w:color="auto"/>
      </w:divBdr>
    </w:div>
    <w:div w:id="1409307559">
      <w:bodyDiv w:val="1"/>
      <w:marLeft w:val="0"/>
      <w:marRight w:val="0"/>
      <w:marTop w:val="0"/>
      <w:marBottom w:val="0"/>
      <w:divBdr>
        <w:top w:val="none" w:sz="0" w:space="0" w:color="auto"/>
        <w:left w:val="none" w:sz="0" w:space="0" w:color="auto"/>
        <w:bottom w:val="none" w:sz="0" w:space="0" w:color="auto"/>
        <w:right w:val="none" w:sz="0" w:space="0" w:color="auto"/>
      </w:divBdr>
    </w:div>
    <w:div w:id="1409769306">
      <w:bodyDiv w:val="1"/>
      <w:marLeft w:val="0"/>
      <w:marRight w:val="0"/>
      <w:marTop w:val="0"/>
      <w:marBottom w:val="0"/>
      <w:divBdr>
        <w:top w:val="none" w:sz="0" w:space="0" w:color="auto"/>
        <w:left w:val="none" w:sz="0" w:space="0" w:color="auto"/>
        <w:bottom w:val="none" w:sz="0" w:space="0" w:color="auto"/>
        <w:right w:val="none" w:sz="0" w:space="0" w:color="auto"/>
      </w:divBdr>
    </w:div>
    <w:div w:id="1410228088">
      <w:bodyDiv w:val="1"/>
      <w:marLeft w:val="0"/>
      <w:marRight w:val="0"/>
      <w:marTop w:val="0"/>
      <w:marBottom w:val="0"/>
      <w:divBdr>
        <w:top w:val="none" w:sz="0" w:space="0" w:color="auto"/>
        <w:left w:val="none" w:sz="0" w:space="0" w:color="auto"/>
        <w:bottom w:val="none" w:sz="0" w:space="0" w:color="auto"/>
        <w:right w:val="none" w:sz="0" w:space="0" w:color="auto"/>
      </w:divBdr>
    </w:div>
    <w:div w:id="1410732736">
      <w:bodyDiv w:val="1"/>
      <w:marLeft w:val="0"/>
      <w:marRight w:val="0"/>
      <w:marTop w:val="0"/>
      <w:marBottom w:val="0"/>
      <w:divBdr>
        <w:top w:val="none" w:sz="0" w:space="0" w:color="auto"/>
        <w:left w:val="none" w:sz="0" w:space="0" w:color="auto"/>
        <w:bottom w:val="none" w:sz="0" w:space="0" w:color="auto"/>
        <w:right w:val="none" w:sz="0" w:space="0" w:color="auto"/>
      </w:divBdr>
    </w:div>
    <w:div w:id="1411004476">
      <w:bodyDiv w:val="1"/>
      <w:marLeft w:val="0"/>
      <w:marRight w:val="0"/>
      <w:marTop w:val="0"/>
      <w:marBottom w:val="0"/>
      <w:divBdr>
        <w:top w:val="none" w:sz="0" w:space="0" w:color="auto"/>
        <w:left w:val="none" w:sz="0" w:space="0" w:color="auto"/>
        <w:bottom w:val="none" w:sz="0" w:space="0" w:color="auto"/>
        <w:right w:val="none" w:sz="0" w:space="0" w:color="auto"/>
      </w:divBdr>
    </w:div>
    <w:div w:id="1411123160">
      <w:bodyDiv w:val="1"/>
      <w:marLeft w:val="0"/>
      <w:marRight w:val="0"/>
      <w:marTop w:val="0"/>
      <w:marBottom w:val="0"/>
      <w:divBdr>
        <w:top w:val="none" w:sz="0" w:space="0" w:color="auto"/>
        <w:left w:val="none" w:sz="0" w:space="0" w:color="auto"/>
        <w:bottom w:val="none" w:sz="0" w:space="0" w:color="auto"/>
        <w:right w:val="none" w:sz="0" w:space="0" w:color="auto"/>
      </w:divBdr>
    </w:div>
    <w:div w:id="1411581431">
      <w:bodyDiv w:val="1"/>
      <w:marLeft w:val="0"/>
      <w:marRight w:val="0"/>
      <w:marTop w:val="0"/>
      <w:marBottom w:val="0"/>
      <w:divBdr>
        <w:top w:val="none" w:sz="0" w:space="0" w:color="auto"/>
        <w:left w:val="none" w:sz="0" w:space="0" w:color="auto"/>
        <w:bottom w:val="none" w:sz="0" w:space="0" w:color="auto"/>
        <w:right w:val="none" w:sz="0" w:space="0" w:color="auto"/>
      </w:divBdr>
    </w:div>
    <w:div w:id="1411855636">
      <w:bodyDiv w:val="1"/>
      <w:marLeft w:val="0"/>
      <w:marRight w:val="0"/>
      <w:marTop w:val="0"/>
      <w:marBottom w:val="0"/>
      <w:divBdr>
        <w:top w:val="none" w:sz="0" w:space="0" w:color="auto"/>
        <w:left w:val="none" w:sz="0" w:space="0" w:color="auto"/>
        <w:bottom w:val="none" w:sz="0" w:space="0" w:color="auto"/>
        <w:right w:val="none" w:sz="0" w:space="0" w:color="auto"/>
      </w:divBdr>
    </w:div>
    <w:div w:id="1412005089">
      <w:bodyDiv w:val="1"/>
      <w:marLeft w:val="0"/>
      <w:marRight w:val="0"/>
      <w:marTop w:val="0"/>
      <w:marBottom w:val="0"/>
      <w:divBdr>
        <w:top w:val="none" w:sz="0" w:space="0" w:color="auto"/>
        <w:left w:val="none" w:sz="0" w:space="0" w:color="auto"/>
        <w:bottom w:val="none" w:sz="0" w:space="0" w:color="auto"/>
        <w:right w:val="none" w:sz="0" w:space="0" w:color="auto"/>
      </w:divBdr>
    </w:div>
    <w:div w:id="1412048175">
      <w:bodyDiv w:val="1"/>
      <w:marLeft w:val="0"/>
      <w:marRight w:val="0"/>
      <w:marTop w:val="0"/>
      <w:marBottom w:val="0"/>
      <w:divBdr>
        <w:top w:val="none" w:sz="0" w:space="0" w:color="auto"/>
        <w:left w:val="none" w:sz="0" w:space="0" w:color="auto"/>
        <w:bottom w:val="none" w:sz="0" w:space="0" w:color="auto"/>
        <w:right w:val="none" w:sz="0" w:space="0" w:color="auto"/>
      </w:divBdr>
    </w:div>
    <w:div w:id="1413354116">
      <w:bodyDiv w:val="1"/>
      <w:marLeft w:val="0"/>
      <w:marRight w:val="0"/>
      <w:marTop w:val="0"/>
      <w:marBottom w:val="0"/>
      <w:divBdr>
        <w:top w:val="none" w:sz="0" w:space="0" w:color="auto"/>
        <w:left w:val="none" w:sz="0" w:space="0" w:color="auto"/>
        <w:bottom w:val="none" w:sz="0" w:space="0" w:color="auto"/>
        <w:right w:val="none" w:sz="0" w:space="0" w:color="auto"/>
      </w:divBdr>
    </w:div>
    <w:div w:id="1413356398">
      <w:bodyDiv w:val="1"/>
      <w:marLeft w:val="0"/>
      <w:marRight w:val="0"/>
      <w:marTop w:val="0"/>
      <w:marBottom w:val="0"/>
      <w:divBdr>
        <w:top w:val="none" w:sz="0" w:space="0" w:color="auto"/>
        <w:left w:val="none" w:sz="0" w:space="0" w:color="auto"/>
        <w:bottom w:val="none" w:sz="0" w:space="0" w:color="auto"/>
        <w:right w:val="none" w:sz="0" w:space="0" w:color="auto"/>
      </w:divBdr>
    </w:div>
    <w:div w:id="1413431234">
      <w:bodyDiv w:val="1"/>
      <w:marLeft w:val="0"/>
      <w:marRight w:val="0"/>
      <w:marTop w:val="0"/>
      <w:marBottom w:val="0"/>
      <w:divBdr>
        <w:top w:val="none" w:sz="0" w:space="0" w:color="auto"/>
        <w:left w:val="none" w:sz="0" w:space="0" w:color="auto"/>
        <w:bottom w:val="none" w:sz="0" w:space="0" w:color="auto"/>
        <w:right w:val="none" w:sz="0" w:space="0" w:color="auto"/>
      </w:divBdr>
    </w:div>
    <w:div w:id="1413620945">
      <w:bodyDiv w:val="1"/>
      <w:marLeft w:val="0"/>
      <w:marRight w:val="0"/>
      <w:marTop w:val="0"/>
      <w:marBottom w:val="0"/>
      <w:divBdr>
        <w:top w:val="none" w:sz="0" w:space="0" w:color="auto"/>
        <w:left w:val="none" w:sz="0" w:space="0" w:color="auto"/>
        <w:bottom w:val="none" w:sz="0" w:space="0" w:color="auto"/>
        <w:right w:val="none" w:sz="0" w:space="0" w:color="auto"/>
      </w:divBdr>
    </w:div>
    <w:div w:id="1413813234">
      <w:bodyDiv w:val="1"/>
      <w:marLeft w:val="0"/>
      <w:marRight w:val="0"/>
      <w:marTop w:val="0"/>
      <w:marBottom w:val="0"/>
      <w:divBdr>
        <w:top w:val="none" w:sz="0" w:space="0" w:color="auto"/>
        <w:left w:val="none" w:sz="0" w:space="0" w:color="auto"/>
        <w:bottom w:val="none" w:sz="0" w:space="0" w:color="auto"/>
        <w:right w:val="none" w:sz="0" w:space="0" w:color="auto"/>
      </w:divBdr>
    </w:div>
    <w:div w:id="1414164215">
      <w:bodyDiv w:val="1"/>
      <w:marLeft w:val="0"/>
      <w:marRight w:val="0"/>
      <w:marTop w:val="0"/>
      <w:marBottom w:val="0"/>
      <w:divBdr>
        <w:top w:val="none" w:sz="0" w:space="0" w:color="auto"/>
        <w:left w:val="none" w:sz="0" w:space="0" w:color="auto"/>
        <w:bottom w:val="none" w:sz="0" w:space="0" w:color="auto"/>
        <w:right w:val="none" w:sz="0" w:space="0" w:color="auto"/>
      </w:divBdr>
    </w:div>
    <w:div w:id="1415124720">
      <w:bodyDiv w:val="1"/>
      <w:marLeft w:val="0"/>
      <w:marRight w:val="0"/>
      <w:marTop w:val="0"/>
      <w:marBottom w:val="0"/>
      <w:divBdr>
        <w:top w:val="none" w:sz="0" w:space="0" w:color="auto"/>
        <w:left w:val="none" w:sz="0" w:space="0" w:color="auto"/>
        <w:bottom w:val="none" w:sz="0" w:space="0" w:color="auto"/>
        <w:right w:val="none" w:sz="0" w:space="0" w:color="auto"/>
      </w:divBdr>
    </w:div>
    <w:div w:id="1416169451">
      <w:bodyDiv w:val="1"/>
      <w:marLeft w:val="0"/>
      <w:marRight w:val="0"/>
      <w:marTop w:val="0"/>
      <w:marBottom w:val="0"/>
      <w:divBdr>
        <w:top w:val="none" w:sz="0" w:space="0" w:color="auto"/>
        <w:left w:val="none" w:sz="0" w:space="0" w:color="auto"/>
        <w:bottom w:val="none" w:sz="0" w:space="0" w:color="auto"/>
        <w:right w:val="none" w:sz="0" w:space="0" w:color="auto"/>
      </w:divBdr>
    </w:div>
    <w:div w:id="1416315543">
      <w:bodyDiv w:val="1"/>
      <w:marLeft w:val="0"/>
      <w:marRight w:val="0"/>
      <w:marTop w:val="0"/>
      <w:marBottom w:val="0"/>
      <w:divBdr>
        <w:top w:val="none" w:sz="0" w:space="0" w:color="auto"/>
        <w:left w:val="none" w:sz="0" w:space="0" w:color="auto"/>
        <w:bottom w:val="none" w:sz="0" w:space="0" w:color="auto"/>
        <w:right w:val="none" w:sz="0" w:space="0" w:color="auto"/>
      </w:divBdr>
    </w:div>
    <w:div w:id="1416321180">
      <w:bodyDiv w:val="1"/>
      <w:marLeft w:val="0"/>
      <w:marRight w:val="0"/>
      <w:marTop w:val="0"/>
      <w:marBottom w:val="0"/>
      <w:divBdr>
        <w:top w:val="none" w:sz="0" w:space="0" w:color="auto"/>
        <w:left w:val="none" w:sz="0" w:space="0" w:color="auto"/>
        <w:bottom w:val="none" w:sz="0" w:space="0" w:color="auto"/>
        <w:right w:val="none" w:sz="0" w:space="0" w:color="auto"/>
      </w:divBdr>
    </w:div>
    <w:div w:id="1416779196">
      <w:bodyDiv w:val="1"/>
      <w:marLeft w:val="0"/>
      <w:marRight w:val="0"/>
      <w:marTop w:val="0"/>
      <w:marBottom w:val="0"/>
      <w:divBdr>
        <w:top w:val="none" w:sz="0" w:space="0" w:color="auto"/>
        <w:left w:val="none" w:sz="0" w:space="0" w:color="auto"/>
        <w:bottom w:val="none" w:sz="0" w:space="0" w:color="auto"/>
        <w:right w:val="none" w:sz="0" w:space="0" w:color="auto"/>
      </w:divBdr>
    </w:div>
    <w:div w:id="1416782790">
      <w:bodyDiv w:val="1"/>
      <w:marLeft w:val="0"/>
      <w:marRight w:val="0"/>
      <w:marTop w:val="0"/>
      <w:marBottom w:val="0"/>
      <w:divBdr>
        <w:top w:val="none" w:sz="0" w:space="0" w:color="auto"/>
        <w:left w:val="none" w:sz="0" w:space="0" w:color="auto"/>
        <w:bottom w:val="none" w:sz="0" w:space="0" w:color="auto"/>
        <w:right w:val="none" w:sz="0" w:space="0" w:color="auto"/>
      </w:divBdr>
    </w:div>
    <w:div w:id="1416824541">
      <w:bodyDiv w:val="1"/>
      <w:marLeft w:val="0"/>
      <w:marRight w:val="0"/>
      <w:marTop w:val="0"/>
      <w:marBottom w:val="0"/>
      <w:divBdr>
        <w:top w:val="none" w:sz="0" w:space="0" w:color="auto"/>
        <w:left w:val="none" w:sz="0" w:space="0" w:color="auto"/>
        <w:bottom w:val="none" w:sz="0" w:space="0" w:color="auto"/>
        <w:right w:val="none" w:sz="0" w:space="0" w:color="auto"/>
      </w:divBdr>
    </w:div>
    <w:div w:id="1416896127">
      <w:bodyDiv w:val="1"/>
      <w:marLeft w:val="0"/>
      <w:marRight w:val="0"/>
      <w:marTop w:val="0"/>
      <w:marBottom w:val="0"/>
      <w:divBdr>
        <w:top w:val="none" w:sz="0" w:space="0" w:color="auto"/>
        <w:left w:val="none" w:sz="0" w:space="0" w:color="auto"/>
        <w:bottom w:val="none" w:sz="0" w:space="0" w:color="auto"/>
        <w:right w:val="none" w:sz="0" w:space="0" w:color="auto"/>
      </w:divBdr>
    </w:div>
    <w:div w:id="1417165280">
      <w:bodyDiv w:val="1"/>
      <w:marLeft w:val="0"/>
      <w:marRight w:val="0"/>
      <w:marTop w:val="0"/>
      <w:marBottom w:val="0"/>
      <w:divBdr>
        <w:top w:val="none" w:sz="0" w:space="0" w:color="auto"/>
        <w:left w:val="none" w:sz="0" w:space="0" w:color="auto"/>
        <w:bottom w:val="none" w:sz="0" w:space="0" w:color="auto"/>
        <w:right w:val="none" w:sz="0" w:space="0" w:color="auto"/>
      </w:divBdr>
    </w:div>
    <w:div w:id="1417357151">
      <w:bodyDiv w:val="1"/>
      <w:marLeft w:val="0"/>
      <w:marRight w:val="0"/>
      <w:marTop w:val="0"/>
      <w:marBottom w:val="0"/>
      <w:divBdr>
        <w:top w:val="none" w:sz="0" w:space="0" w:color="auto"/>
        <w:left w:val="none" w:sz="0" w:space="0" w:color="auto"/>
        <w:bottom w:val="none" w:sz="0" w:space="0" w:color="auto"/>
        <w:right w:val="none" w:sz="0" w:space="0" w:color="auto"/>
      </w:divBdr>
    </w:div>
    <w:div w:id="1417442101">
      <w:bodyDiv w:val="1"/>
      <w:marLeft w:val="0"/>
      <w:marRight w:val="0"/>
      <w:marTop w:val="0"/>
      <w:marBottom w:val="0"/>
      <w:divBdr>
        <w:top w:val="none" w:sz="0" w:space="0" w:color="auto"/>
        <w:left w:val="none" w:sz="0" w:space="0" w:color="auto"/>
        <w:bottom w:val="none" w:sz="0" w:space="0" w:color="auto"/>
        <w:right w:val="none" w:sz="0" w:space="0" w:color="auto"/>
      </w:divBdr>
    </w:div>
    <w:div w:id="1417938231">
      <w:bodyDiv w:val="1"/>
      <w:marLeft w:val="0"/>
      <w:marRight w:val="0"/>
      <w:marTop w:val="0"/>
      <w:marBottom w:val="0"/>
      <w:divBdr>
        <w:top w:val="none" w:sz="0" w:space="0" w:color="auto"/>
        <w:left w:val="none" w:sz="0" w:space="0" w:color="auto"/>
        <w:bottom w:val="none" w:sz="0" w:space="0" w:color="auto"/>
        <w:right w:val="none" w:sz="0" w:space="0" w:color="auto"/>
      </w:divBdr>
    </w:div>
    <w:div w:id="1418165882">
      <w:bodyDiv w:val="1"/>
      <w:marLeft w:val="0"/>
      <w:marRight w:val="0"/>
      <w:marTop w:val="0"/>
      <w:marBottom w:val="0"/>
      <w:divBdr>
        <w:top w:val="none" w:sz="0" w:space="0" w:color="auto"/>
        <w:left w:val="none" w:sz="0" w:space="0" w:color="auto"/>
        <w:bottom w:val="none" w:sz="0" w:space="0" w:color="auto"/>
        <w:right w:val="none" w:sz="0" w:space="0" w:color="auto"/>
      </w:divBdr>
    </w:div>
    <w:div w:id="1418479570">
      <w:bodyDiv w:val="1"/>
      <w:marLeft w:val="0"/>
      <w:marRight w:val="0"/>
      <w:marTop w:val="0"/>
      <w:marBottom w:val="0"/>
      <w:divBdr>
        <w:top w:val="none" w:sz="0" w:space="0" w:color="auto"/>
        <w:left w:val="none" w:sz="0" w:space="0" w:color="auto"/>
        <w:bottom w:val="none" w:sz="0" w:space="0" w:color="auto"/>
        <w:right w:val="none" w:sz="0" w:space="0" w:color="auto"/>
      </w:divBdr>
    </w:div>
    <w:div w:id="1419132168">
      <w:bodyDiv w:val="1"/>
      <w:marLeft w:val="0"/>
      <w:marRight w:val="0"/>
      <w:marTop w:val="0"/>
      <w:marBottom w:val="0"/>
      <w:divBdr>
        <w:top w:val="none" w:sz="0" w:space="0" w:color="auto"/>
        <w:left w:val="none" w:sz="0" w:space="0" w:color="auto"/>
        <w:bottom w:val="none" w:sz="0" w:space="0" w:color="auto"/>
        <w:right w:val="none" w:sz="0" w:space="0" w:color="auto"/>
      </w:divBdr>
    </w:div>
    <w:div w:id="1420715644">
      <w:bodyDiv w:val="1"/>
      <w:marLeft w:val="0"/>
      <w:marRight w:val="0"/>
      <w:marTop w:val="0"/>
      <w:marBottom w:val="0"/>
      <w:divBdr>
        <w:top w:val="none" w:sz="0" w:space="0" w:color="auto"/>
        <w:left w:val="none" w:sz="0" w:space="0" w:color="auto"/>
        <w:bottom w:val="none" w:sz="0" w:space="0" w:color="auto"/>
        <w:right w:val="none" w:sz="0" w:space="0" w:color="auto"/>
      </w:divBdr>
    </w:div>
    <w:div w:id="1420716994">
      <w:bodyDiv w:val="1"/>
      <w:marLeft w:val="0"/>
      <w:marRight w:val="0"/>
      <w:marTop w:val="0"/>
      <w:marBottom w:val="0"/>
      <w:divBdr>
        <w:top w:val="none" w:sz="0" w:space="0" w:color="auto"/>
        <w:left w:val="none" w:sz="0" w:space="0" w:color="auto"/>
        <w:bottom w:val="none" w:sz="0" w:space="0" w:color="auto"/>
        <w:right w:val="none" w:sz="0" w:space="0" w:color="auto"/>
      </w:divBdr>
    </w:div>
    <w:div w:id="1420980173">
      <w:bodyDiv w:val="1"/>
      <w:marLeft w:val="0"/>
      <w:marRight w:val="0"/>
      <w:marTop w:val="0"/>
      <w:marBottom w:val="0"/>
      <w:divBdr>
        <w:top w:val="none" w:sz="0" w:space="0" w:color="auto"/>
        <w:left w:val="none" w:sz="0" w:space="0" w:color="auto"/>
        <w:bottom w:val="none" w:sz="0" w:space="0" w:color="auto"/>
        <w:right w:val="none" w:sz="0" w:space="0" w:color="auto"/>
      </w:divBdr>
    </w:div>
    <w:div w:id="1421220404">
      <w:bodyDiv w:val="1"/>
      <w:marLeft w:val="0"/>
      <w:marRight w:val="0"/>
      <w:marTop w:val="0"/>
      <w:marBottom w:val="0"/>
      <w:divBdr>
        <w:top w:val="none" w:sz="0" w:space="0" w:color="auto"/>
        <w:left w:val="none" w:sz="0" w:space="0" w:color="auto"/>
        <w:bottom w:val="none" w:sz="0" w:space="0" w:color="auto"/>
        <w:right w:val="none" w:sz="0" w:space="0" w:color="auto"/>
      </w:divBdr>
    </w:div>
    <w:div w:id="1422023388">
      <w:bodyDiv w:val="1"/>
      <w:marLeft w:val="0"/>
      <w:marRight w:val="0"/>
      <w:marTop w:val="0"/>
      <w:marBottom w:val="0"/>
      <w:divBdr>
        <w:top w:val="none" w:sz="0" w:space="0" w:color="auto"/>
        <w:left w:val="none" w:sz="0" w:space="0" w:color="auto"/>
        <w:bottom w:val="none" w:sz="0" w:space="0" w:color="auto"/>
        <w:right w:val="none" w:sz="0" w:space="0" w:color="auto"/>
      </w:divBdr>
    </w:div>
    <w:div w:id="1422532159">
      <w:bodyDiv w:val="1"/>
      <w:marLeft w:val="0"/>
      <w:marRight w:val="0"/>
      <w:marTop w:val="0"/>
      <w:marBottom w:val="0"/>
      <w:divBdr>
        <w:top w:val="none" w:sz="0" w:space="0" w:color="auto"/>
        <w:left w:val="none" w:sz="0" w:space="0" w:color="auto"/>
        <w:bottom w:val="none" w:sz="0" w:space="0" w:color="auto"/>
        <w:right w:val="none" w:sz="0" w:space="0" w:color="auto"/>
      </w:divBdr>
    </w:div>
    <w:div w:id="1422532584">
      <w:bodyDiv w:val="1"/>
      <w:marLeft w:val="0"/>
      <w:marRight w:val="0"/>
      <w:marTop w:val="0"/>
      <w:marBottom w:val="0"/>
      <w:divBdr>
        <w:top w:val="none" w:sz="0" w:space="0" w:color="auto"/>
        <w:left w:val="none" w:sz="0" w:space="0" w:color="auto"/>
        <w:bottom w:val="none" w:sz="0" w:space="0" w:color="auto"/>
        <w:right w:val="none" w:sz="0" w:space="0" w:color="auto"/>
      </w:divBdr>
    </w:div>
    <w:div w:id="1422793353">
      <w:bodyDiv w:val="1"/>
      <w:marLeft w:val="0"/>
      <w:marRight w:val="0"/>
      <w:marTop w:val="0"/>
      <w:marBottom w:val="0"/>
      <w:divBdr>
        <w:top w:val="none" w:sz="0" w:space="0" w:color="auto"/>
        <w:left w:val="none" w:sz="0" w:space="0" w:color="auto"/>
        <w:bottom w:val="none" w:sz="0" w:space="0" w:color="auto"/>
        <w:right w:val="none" w:sz="0" w:space="0" w:color="auto"/>
      </w:divBdr>
    </w:div>
    <w:div w:id="1422797205">
      <w:bodyDiv w:val="1"/>
      <w:marLeft w:val="0"/>
      <w:marRight w:val="0"/>
      <w:marTop w:val="0"/>
      <w:marBottom w:val="0"/>
      <w:divBdr>
        <w:top w:val="none" w:sz="0" w:space="0" w:color="auto"/>
        <w:left w:val="none" w:sz="0" w:space="0" w:color="auto"/>
        <w:bottom w:val="none" w:sz="0" w:space="0" w:color="auto"/>
        <w:right w:val="none" w:sz="0" w:space="0" w:color="auto"/>
      </w:divBdr>
    </w:div>
    <w:div w:id="1422944280">
      <w:bodyDiv w:val="1"/>
      <w:marLeft w:val="0"/>
      <w:marRight w:val="0"/>
      <w:marTop w:val="0"/>
      <w:marBottom w:val="0"/>
      <w:divBdr>
        <w:top w:val="none" w:sz="0" w:space="0" w:color="auto"/>
        <w:left w:val="none" w:sz="0" w:space="0" w:color="auto"/>
        <w:bottom w:val="none" w:sz="0" w:space="0" w:color="auto"/>
        <w:right w:val="none" w:sz="0" w:space="0" w:color="auto"/>
      </w:divBdr>
    </w:div>
    <w:div w:id="1423330975">
      <w:bodyDiv w:val="1"/>
      <w:marLeft w:val="0"/>
      <w:marRight w:val="0"/>
      <w:marTop w:val="0"/>
      <w:marBottom w:val="0"/>
      <w:divBdr>
        <w:top w:val="none" w:sz="0" w:space="0" w:color="auto"/>
        <w:left w:val="none" w:sz="0" w:space="0" w:color="auto"/>
        <w:bottom w:val="none" w:sz="0" w:space="0" w:color="auto"/>
        <w:right w:val="none" w:sz="0" w:space="0" w:color="auto"/>
      </w:divBdr>
    </w:div>
    <w:div w:id="1423407419">
      <w:bodyDiv w:val="1"/>
      <w:marLeft w:val="0"/>
      <w:marRight w:val="0"/>
      <w:marTop w:val="0"/>
      <w:marBottom w:val="0"/>
      <w:divBdr>
        <w:top w:val="none" w:sz="0" w:space="0" w:color="auto"/>
        <w:left w:val="none" w:sz="0" w:space="0" w:color="auto"/>
        <w:bottom w:val="none" w:sz="0" w:space="0" w:color="auto"/>
        <w:right w:val="none" w:sz="0" w:space="0" w:color="auto"/>
      </w:divBdr>
    </w:div>
    <w:div w:id="1423524514">
      <w:bodyDiv w:val="1"/>
      <w:marLeft w:val="0"/>
      <w:marRight w:val="0"/>
      <w:marTop w:val="0"/>
      <w:marBottom w:val="0"/>
      <w:divBdr>
        <w:top w:val="none" w:sz="0" w:space="0" w:color="auto"/>
        <w:left w:val="none" w:sz="0" w:space="0" w:color="auto"/>
        <w:bottom w:val="none" w:sz="0" w:space="0" w:color="auto"/>
        <w:right w:val="none" w:sz="0" w:space="0" w:color="auto"/>
      </w:divBdr>
    </w:div>
    <w:div w:id="1423916710">
      <w:bodyDiv w:val="1"/>
      <w:marLeft w:val="0"/>
      <w:marRight w:val="0"/>
      <w:marTop w:val="0"/>
      <w:marBottom w:val="0"/>
      <w:divBdr>
        <w:top w:val="none" w:sz="0" w:space="0" w:color="auto"/>
        <w:left w:val="none" w:sz="0" w:space="0" w:color="auto"/>
        <w:bottom w:val="none" w:sz="0" w:space="0" w:color="auto"/>
        <w:right w:val="none" w:sz="0" w:space="0" w:color="auto"/>
      </w:divBdr>
    </w:div>
    <w:div w:id="1424181758">
      <w:bodyDiv w:val="1"/>
      <w:marLeft w:val="0"/>
      <w:marRight w:val="0"/>
      <w:marTop w:val="0"/>
      <w:marBottom w:val="0"/>
      <w:divBdr>
        <w:top w:val="none" w:sz="0" w:space="0" w:color="auto"/>
        <w:left w:val="none" w:sz="0" w:space="0" w:color="auto"/>
        <w:bottom w:val="none" w:sz="0" w:space="0" w:color="auto"/>
        <w:right w:val="none" w:sz="0" w:space="0" w:color="auto"/>
      </w:divBdr>
    </w:div>
    <w:div w:id="1424187845">
      <w:bodyDiv w:val="1"/>
      <w:marLeft w:val="0"/>
      <w:marRight w:val="0"/>
      <w:marTop w:val="0"/>
      <w:marBottom w:val="0"/>
      <w:divBdr>
        <w:top w:val="none" w:sz="0" w:space="0" w:color="auto"/>
        <w:left w:val="none" w:sz="0" w:space="0" w:color="auto"/>
        <w:bottom w:val="none" w:sz="0" w:space="0" w:color="auto"/>
        <w:right w:val="none" w:sz="0" w:space="0" w:color="auto"/>
      </w:divBdr>
    </w:div>
    <w:div w:id="1424301428">
      <w:bodyDiv w:val="1"/>
      <w:marLeft w:val="0"/>
      <w:marRight w:val="0"/>
      <w:marTop w:val="0"/>
      <w:marBottom w:val="0"/>
      <w:divBdr>
        <w:top w:val="none" w:sz="0" w:space="0" w:color="auto"/>
        <w:left w:val="none" w:sz="0" w:space="0" w:color="auto"/>
        <w:bottom w:val="none" w:sz="0" w:space="0" w:color="auto"/>
        <w:right w:val="none" w:sz="0" w:space="0" w:color="auto"/>
      </w:divBdr>
    </w:div>
    <w:div w:id="1424374047">
      <w:bodyDiv w:val="1"/>
      <w:marLeft w:val="0"/>
      <w:marRight w:val="0"/>
      <w:marTop w:val="0"/>
      <w:marBottom w:val="0"/>
      <w:divBdr>
        <w:top w:val="none" w:sz="0" w:space="0" w:color="auto"/>
        <w:left w:val="none" w:sz="0" w:space="0" w:color="auto"/>
        <w:bottom w:val="none" w:sz="0" w:space="0" w:color="auto"/>
        <w:right w:val="none" w:sz="0" w:space="0" w:color="auto"/>
      </w:divBdr>
    </w:div>
    <w:div w:id="1424454151">
      <w:bodyDiv w:val="1"/>
      <w:marLeft w:val="0"/>
      <w:marRight w:val="0"/>
      <w:marTop w:val="0"/>
      <w:marBottom w:val="0"/>
      <w:divBdr>
        <w:top w:val="none" w:sz="0" w:space="0" w:color="auto"/>
        <w:left w:val="none" w:sz="0" w:space="0" w:color="auto"/>
        <w:bottom w:val="none" w:sz="0" w:space="0" w:color="auto"/>
        <w:right w:val="none" w:sz="0" w:space="0" w:color="auto"/>
      </w:divBdr>
    </w:div>
    <w:div w:id="1424763433">
      <w:bodyDiv w:val="1"/>
      <w:marLeft w:val="0"/>
      <w:marRight w:val="0"/>
      <w:marTop w:val="0"/>
      <w:marBottom w:val="0"/>
      <w:divBdr>
        <w:top w:val="none" w:sz="0" w:space="0" w:color="auto"/>
        <w:left w:val="none" w:sz="0" w:space="0" w:color="auto"/>
        <w:bottom w:val="none" w:sz="0" w:space="0" w:color="auto"/>
        <w:right w:val="none" w:sz="0" w:space="0" w:color="auto"/>
      </w:divBdr>
    </w:div>
    <w:div w:id="1424884193">
      <w:bodyDiv w:val="1"/>
      <w:marLeft w:val="0"/>
      <w:marRight w:val="0"/>
      <w:marTop w:val="0"/>
      <w:marBottom w:val="0"/>
      <w:divBdr>
        <w:top w:val="none" w:sz="0" w:space="0" w:color="auto"/>
        <w:left w:val="none" w:sz="0" w:space="0" w:color="auto"/>
        <w:bottom w:val="none" w:sz="0" w:space="0" w:color="auto"/>
        <w:right w:val="none" w:sz="0" w:space="0" w:color="auto"/>
      </w:divBdr>
    </w:div>
    <w:div w:id="1425225201">
      <w:bodyDiv w:val="1"/>
      <w:marLeft w:val="0"/>
      <w:marRight w:val="0"/>
      <w:marTop w:val="0"/>
      <w:marBottom w:val="0"/>
      <w:divBdr>
        <w:top w:val="none" w:sz="0" w:space="0" w:color="auto"/>
        <w:left w:val="none" w:sz="0" w:space="0" w:color="auto"/>
        <w:bottom w:val="none" w:sz="0" w:space="0" w:color="auto"/>
        <w:right w:val="none" w:sz="0" w:space="0" w:color="auto"/>
      </w:divBdr>
    </w:div>
    <w:div w:id="1425304004">
      <w:bodyDiv w:val="1"/>
      <w:marLeft w:val="0"/>
      <w:marRight w:val="0"/>
      <w:marTop w:val="0"/>
      <w:marBottom w:val="0"/>
      <w:divBdr>
        <w:top w:val="none" w:sz="0" w:space="0" w:color="auto"/>
        <w:left w:val="none" w:sz="0" w:space="0" w:color="auto"/>
        <w:bottom w:val="none" w:sz="0" w:space="0" w:color="auto"/>
        <w:right w:val="none" w:sz="0" w:space="0" w:color="auto"/>
      </w:divBdr>
    </w:div>
    <w:div w:id="1425954242">
      <w:bodyDiv w:val="1"/>
      <w:marLeft w:val="0"/>
      <w:marRight w:val="0"/>
      <w:marTop w:val="0"/>
      <w:marBottom w:val="0"/>
      <w:divBdr>
        <w:top w:val="none" w:sz="0" w:space="0" w:color="auto"/>
        <w:left w:val="none" w:sz="0" w:space="0" w:color="auto"/>
        <w:bottom w:val="none" w:sz="0" w:space="0" w:color="auto"/>
        <w:right w:val="none" w:sz="0" w:space="0" w:color="auto"/>
      </w:divBdr>
    </w:div>
    <w:div w:id="1426488910">
      <w:bodyDiv w:val="1"/>
      <w:marLeft w:val="0"/>
      <w:marRight w:val="0"/>
      <w:marTop w:val="0"/>
      <w:marBottom w:val="0"/>
      <w:divBdr>
        <w:top w:val="none" w:sz="0" w:space="0" w:color="auto"/>
        <w:left w:val="none" w:sz="0" w:space="0" w:color="auto"/>
        <w:bottom w:val="none" w:sz="0" w:space="0" w:color="auto"/>
        <w:right w:val="none" w:sz="0" w:space="0" w:color="auto"/>
      </w:divBdr>
    </w:div>
    <w:div w:id="1426878505">
      <w:bodyDiv w:val="1"/>
      <w:marLeft w:val="0"/>
      <w:marRight w:val="0"/>
      <w:marTop w:val="0"/>
      <w:marBottom w:val="0"/>
      <w:divBdr>
        <w:top w:val="none" w:sz="0" w:space="0" w:color="auto"/>
        <w:left w:val="none" w:sz="0" w:space="0" w:color="auto"/>
        <w:bottom w:val="none" w:sz="0" w:space="0" w:color="auto"/>
        <w:right w:val="none" w:sz="0" w:space="0" w:color="auto"/>
      </w:divBdr>
    </w:div>
    <w:div w:id="1427191051">
      <w:bodyDiv w:val="1"/>
      <w:marLeft w:val="0"/>
      <w:marRight w:val="0"/>
      <w:marTop w:val="0"/>
      <w:marBottom w:val="0"/>
      <w:divBdr>
        <w:top w:val="none" w:sz="0" w:space="0" w:color="auto"/>
        <w:left w:val="none" w:sz="0" w:space="0" w:color="auto"/>
        <w:bottom w:val="none" w:sz="0" w:space="0" w:color="auto"/>
        <w:right w:val="none" w:sz="0" w:space="0" w:color="auto"/>
      </w:divBdr>
    </w:div>
    <w:div w:id="1428502832">
      <w:bodyDiv w:val="1"/>
      <w:marLeft w:val="0"/>
      <w:marRight w:val="0"/>
      <w:marTop w:val="0"/>
      <w:marBottom w:val="0"/>
      <w:divBdr>
        <w:top w:val="none" w:sz="0" w:space="0" w:color="auto"/>
        <w:left w:val="none" w:sz="0" w:space="0" w:color="auto"/>
        <w:bottom w:val="none" w:sz="0" w:space="0" w:color="auto"/>
        <w:right w:val="none" w:sz="0" w:space="0" w:color="auto"/>
      </w:divBdr>
    </w:div>
    <w:div w:id="1428648118">
      <w:bodyDiv w:val="1"/>
      <w:marLeft w:val="0"/>
      <w:marRight w:val="0"/>
      <w:marTop w:val="0"/>
      <w:marBottom w:val="0"/>
      <w:divBdr>
        <w:top w:val="none" w:sz="0" w:space="0" w:color="auto"/>
        <w:left w:val="none" w:sz="0" w:space="0" w:color="auto"/>
        <w:bottom w:val="none" w:sz="0" w:space="0" w:color="auto"/>
        <w:right w:val="none" w:sz="0" w:space="0" w:color="auto"/>
      </w:divBdr>
    </w:div>
    <w:div w:id="1428766053">
      <w:bodyDiv w:val="1"/>
      <w:marLeft w:val="0"/>
      <w:marRight w:val="0"/>
      <w:marTop w:val="0"/>
      <w:marBottom w:val="0"/>
      <w:divBdr>
        <w:top w:val="none" w:sz="0" w:space="0" w:color="auto"/>
        <w:left w:val="none" w:sz="0" w:space="0" w:color="auto"/>
        <w:bottom w:val="none" w:sz="0" w:space="0" w:color="auto"/>
        <w:right w:val="none" w:sz="0" w:space="0" w:color="auto"/>
      </w:divBdr>
    </w:div>
    <w:div w:id="1428963795">
      <w:bodyDiv w:val="1"/>
      <w:marLeft w:val="0"/>
      <w:marRight w:val="0"/>
      <w:marTop w:val="0"/>
      <w:marBottom w:val="0"/>
      <w:divBdr>
        <w:top w:val="none" w:sz="0" w:space="0" w:color="auto"/>
        <w:left w:val="none" w:sz="0" w:space="0" w:color="auto"/>
        <w:bottom w:val="none" w:sz="0" w:space="0" w:color="auto"/>
        <w:right w:val="none" w:sz="0" w:space="0" w:color="auto"/>
      </w:divBdr>
    </w:div>
    <w:div w:id="1430194821">
      <w:bodyDiv w:val="1"/>
      <w:marLeft w:val="0"/>
      <w:marRight w:val="0"/>
      <w:marTop w:val="0"/>
      <w:marBottom w:val="0"/>
      <w:divBdr>
        <w:top w:val="none" w:sz="0" w:space="0" w:color="auto"/>
        <w:left w:val="none" w:sz="0" w:space="0" w:color="auto"/>
        <w:bottom w:val="none" w:sz="0" w:space="0" w:color="auto"/>
        <w:right w:val="none" w:sz="0" w:space="0" w:color="auto"/>
      </w:divBdr>
    </w:div>
    <w:div w:id="1430274045">
      <w:bodyDiv w:val="1"/>
      <w:marLeft w:val="0"/>
      <w:marRight w:val="0"/>
      <w:marTop w:val="0"/>
      <w:marBottom w:val="0"/>
      <w:divBdr>
        <w:top w:val="none" w:sz="0" w:space="0" w:color="auto"/>
        <w:left w:val="none" w:sz="0" w:space="0" w:color="auto"/>
        <w:bottom w:val="none" w:sz="0" w:space="0" w:color="auto"/>
        <w:right w:val="none" w:sz="0" w:space="0" w:color="auto"/>
      </w:divBdr>
    </w:div>
    <w:div w:id="1430393479">
      <w:bodyDiv w:val="1"/>
      <w:marLeft w:val="0"/>
      <w:marRight w:val="0"/>
      <w:marTop w:val="0"/>
      <w:marBottom w:val="0"/>
      <w:divBdr>
        <w:top w:val="none" w:sz="0" w:space="0" w:color="auto"/>
        <w:left w:val="none" w:sz="0" w:space="0" w:color="auto"/>
        <w:bottom w:val="none" w:sz="0" w:space="0" w:color="auto"/>
        <w:right w:val="none" w:sz="0" w:space="0" w:color="auto"/>
      </w:divBdr>
    </w:div>
    <w:div w:id="1430545755">
      <w:bodyDiv w:val="1"/>
      <w:marLeft w:val="0"/>
      <w:marRight w:val="0"/>
      <w:marTop w:val="0"/>
      <w:marBottom w:val="0"/>
      <w:divBdr>
        <w:top w:val="none" w:sz="0" w:space="0" w:color="auto"/>
        <w:left w:val="none" w:sz="0" w:space="0" w:color="auto"/>
        <w:bottom w:val="none" w:sz="0" w:space="0" w:color="auto"/>
        <w:right w:val="none" w:sz="0" w:space="0" w:color="auto"/>
      </w:divBdr>
    </w:div>
    <w:div w:id="1430810403">
      <w:bodyDiv w:val="1"/>
      <w:marLeft w:val="0"/>
      <w:marRight w:val="0"/>
      <w:marTop w:val="0"/>
      <w:marBottom w:val="0"/>
      <w:divBdr>
        <w:top w:val="none" w:sz="0" w:space="0" w:color="auto"/>
        <w:left w:val="none" w:sz="0" w:space="0" w:color="auto"/>
        <w:bottom w:val="none" w:sz="0" w:space="0" w:color="auto"/>
        <w:right w:val="none" w:sz="0" w:space="0" w:color="auto"/>
      </w:divBdr>
    </w:div>
    <w:div w:id="1431076084">
      <w:bodyDiv w:val="1"/>
      <w:marLeft w:val="0"/>
      <w:marRight w:val="0"/>
      <w:marTop w:val="0"/>
      <w:marBottom w:val="0"/>
      <w:divBdr>
        <w:top w:val="none" w:sz="0" w:space="0" w:color="auto"/>
        <w:left w:val="none" w:sz="0" w:space="0" w:color="auto"/>
        <w:bottom w:val="none" w:sz="0" w:space="0" w:color="auto"/>
        <w:right w:val="none" w:sz="0" w:space="0" w:color="auto"/>
      </w:divBdr>
    </w:div>
    <w:div w:id="1431391330">
      <w:bodyDiv w:val="1"/>
      <w:marLeft w:val="0"/>
      <w:marRight w:val="0"/>
      <w:marTop w:val="0"/>
      <w:marBottom w:val="0"/>
      <w:divBdr>
        <w:top w:val="none" w:sz="0" w:space="0" w:color="auto"/>
        <w:left w:val="none" w:sz="0" w:space="0" w:color="auto"/>
        <w:bottom w:val="none" w:sz="0" w:space="0" w:color="auto"/>
        <w:right w:val="none" w:sz="0" w:space="0" w:color="auto"/>
      </w:divBdr>
    </w:div>
    <w:div w:id="1431660395">
      <w:bodyDiv w:val="1"/>
      <w:marLeft w:val="0"/>
      <w:marRight w:val="0"/>
      <w:marTop w:val="0"/>
      <w:marBottom w:val="0"/>
      <w:divBdr>
        <w:top w:val="none" w:sz="0" w:space="0" w:color="auto"/>
        <w:left w:val="none" w:sz="0" w:space="0" w:color="auto"/>
        <w:bottom w:val="none" w:sz="0" w:space="0" w:color="auto"/>
        <w:right w:val="none" w:sz="0" w:space="0" w:color="auto"/>
      </w:divBdr>
    </w:div>
    <w:div w:id="1432509155">
      <w:bodyDiv w:val="1"/>
      <w:marLeft w:val="0"/>
      <w:marRight w:val="0"/>
      <w:marTop w:val="0"/>
      <w:marBottom w:val="0"/>
      <w:divBdr>
        <w:top w:val="none" w:sz="0" w:space="0" w:color="auto"/>
        <w:left w:val="none" w:sz="0" w:space="0" w:color="auto"/>
        <w:bottom w:val="none" w:sz="0" w:space="0" w:color="auto"/>
        <w:right w:val="none" w:sz="0" w:space="0" w:color="auto"/>
      </w:divBdr>
    </w:div>
    <w:div w:id="1433234604">
      <w:bodyDiv w:val="1"/>
      <w:marLeft w:val="0"/>
      <w:marRight w:val="0"/>
      <w:marTop w:val="0"/>
      <w:marBottom w:val="0"/>
      <w:divBdr>
        <w:top w:val="none" w:sz="0" w:space="0" w:color="auto"/>
        <w:left w:val="none" w:sz="0" w:space="0" w:color="auto"/>
        <w:bottom w:val="none" w:sz="0" w:space="0" w:color="auto"/>
        <w:right w:val="none" w:sz="0" w:space="0" w:color="auto"/>
      </w:divBdr>
    </w:div>
    <w:div w:id="1433280676">
      <w:bodyDiv w:val="1"/>
      <w:marLeft w:val="0"/>
      <w:marRight w:val="0"/>
      <w:marTop w:val="0"/>
      <w:marBottom w:val="0"/>
      <w:divBdr>
        <w:top w:val="none" w:sz="0" w:space="0" w:color="auto"/>
        <w:left w:val="none" w:sz="0" w:space="0" w:color="auto"/>
        <w:bottom w:val="none" w:sz="0" w:space="0" w:color="auto"/>
        <w:right w:val="none" w:sz="0" w:space="0" w:color="auto"/>
      </w:divBdr>
    </w:div>
    <w:div w:id="1433430554">
      <w:bodyDiv w:val="1"/>
      <w:marLeft w:val="0"/>
      <w:marRight w:val="0"/>
      <w:marTop w:val="0"/>
      <w:marBottom w:val="0"/>
      <w:divBdr>
        <w:top w:val="none" w:sz="0" w:space="0" w:color="auto"/>
        <w:left w:val="none" w:sz="0" w:space="0" w:color="auto"/>
        <w:bottom w:val="none" w:sz="0" w:space="0" w:color="auto"/>
        <w:right w:val="none" w:sz="0" w:space="0" w:color="auto"/>
      </w:divBdr>
    </w:div>
    <w:div w:id="1433743370">
      <w:bodyDiv w:val="1"/>
      <w:marLeft w:val="0"/>
      <w:marRight w:val="0"/>
      <w:marTop w:val="0"/>
      <w:marBottom w:val="0"/>
      <w:divBdr>
        <w:top w:val="none" w:sz="0" w:space="0" w:color="auto"/>
        <w:left w:val="none" w:sz="0" w:space="0" w:color="auto"/>
        <w:bottom w:val="none" w:sz="0" w:space="0" w:color="auto"/>
        <w:right w:val="none" w:sz="0" w:space="0" w:color="auto"/>
      </w:divBdr>
    </w:div>
    <w:div w:id="1433821766">
      <w:bodyDiv w:val="1"/>
      <w:marLeft w:val="0"/>
      <w:marRight w:val="0"/>
      <w:marTop w:val="0"/>
      <w:marBottom w:val="0"/>
      <w:divBdr>
        <w:top w:val="none" w:sz="0" w:space="0" w:color="auto"/>
        <w:left w:val="none" w:sz="0" w:space="0" w:color="auto"/>
        <w:bottom w:val="none" w:sz="0" w:space="0" w:color="auto"/>
        <w:right w:val="none" w:sz="0" w:space="0" w:color="auto"/>
      </w:divBdr>
    </w:div>
    <w:div w:id="1434201371">
      <w:bodyDiv w:val="1"/>
      <w:marLeft w:val="0"/>
      <w:marRight w:val="0"/>
      <w:marTop w:val="0"/>
      <w:marBottom w:val="0"/>
      <w:divBdr>
        <w:top w:val="none" w:sz="0" w:space="0" w:color="auto"/>
        <w:left w:val="none" w:sz="0" w:space="0" w:color="auto"/>
        <w:bottom w:val="none" w:sz="0" w:space="0" w:color="auto"/>
        <w:right w:val="none" w:sz="0" w:space="0" w:color="auto"/>
      </w:divBdr>
    </w:div>
    <w:div w:id="1434396188">
      <w:bodyDiv w:val="1"/>
      <w:marLeft w:val="0"/>
      <w:marRight w:val="0"/>
      <w:marTop w:val="0"/>
      <w:marBottom w:val="0"/>
      <w:divBdr>
        <w:top w:val="none" w:sz="0" w:space="0" w:color="auto"/>
        <w:left w:val="none" w:sz="0" w:space="0" w:color="auto"/>
        <w:bottom w:val="none" w:sz="0" w:space="0" w:color="auto"/>
        <w:right w:val="none" w:sz="0" w:space="0" w:color="auto"/>
      </w:divBdr>
    </w:div>
    <w:div w:id="1434745858">
      <w:bodyDiv w:val="1"/>
      <w:marLeft w:val="0"/>
      <w:marRight w:val="0"/>
      <w:marTop w:val="0"/>
      <w:marBottom w:val="0"/>
      <w:divBdr>
        <w:top w:val="none" w:sz="0" w:space="0" w:color="auto"/>
        <w:left w:val="none" w:sz="0" w:space="0" w:color="auto"/>
        <w:bottom w:val="none" w:sz="0" w:space="0" w:color="auto"/>
        <w:right w:val="none" w:sz="0" w:space="0" w:color="auto"/>
      </w:divBdr>
    </w:div>
    <w:div w:id="1434862620">
      <w:bodyDiv w:val="1"/>
      <w:marLeft w:val="0"/>
      <w:marRight w:val="0"/>
      <w:marTop w:val="0"/>
      <w:marBottom w:val="0"/>
      <w:divBdr>
        <w:top w:val="none" w:sz="0" w:space="0" w:color="auto"/>
        <w:left w:val="none" w:sz="0" w:space="0" w:color="auto"/>
        <w:bottom w:val="none" w:sz="0" w:space="0" w:color="auto"/>
        <w:right w:val="none" w:sz="0" w:space="0" w:color="auto"/>
      </w:divBdr>
    </w:div>
    <w:div w:id="1435401024">
      <w:bodyDiv w:val="1"/>
      <w:marLeft w:val="0"/>
      <w:marRight w:val="0"/>
      <w:marTop w:val="0"/>
      <w:marBottom w:val="0"/>
      <w:divBdr>
        <w:top w:val="none" w:sz="0" w:space="0" w:color="auto"/>
        <w:left w:val="none" w:sz="0" w:space="0" w:color="auto"/>
        <w:bottom w:val="none" w:sz="0" w:space="0" w:color="auto"/>
        <w:right w:val="none" w:sz="0" w:space="0" w:color="auto"/>
      </w:divBdr>
    </w:div>
    <w:div w:id="1435444685">
      <w:bodyDiv w:val="1"/>
      <w:marLeft w:val="0"/>
      <w:marRight w:val="0"/>
      <w:marTop w:val="0"/>
      <w:marBottom w:val="0"/>
      <w:divBdr>
        <w:top w:val="none" w:sz="0" w:space="0" w:color="auto"/>
        <w:left w:val="none" w:sz="0" w:space="0" w:color="auto"/>
        <w:bottom w:val="none" w:sz="0" w:space="0" w:color="auto"/>
        <w:right w:val="none" w:sz="0" w:space="0" w:color="auto"/>
      </w:divBdr>
    </w:div>
    <w:div w:id="1435662819">
      <w:bodyDiv w:val="1"/>
      <w:marLeft w:val="0"/>
      <w:marRight w:val="0"/>
      <w:marTop w:val="0"/>
      <w:marBottom w:val="0"/>
      <w:divBdr>
        <w:top w:val="none" w:sz="0" w:space="0" w:color="auto"/>
        <w:left w:val="none" w:sz="0" w:space="0" w:color="auto"/>
        <w:bottom w:val="none" w:sz="0" w:space="0" w:color="auto"/>
        <w:right w:val="none" w:sz="0" w:space="0" w:color="auto"/>
      </w:divBdr>
    </w:div>
    <w:div w:id="1435708318">
      <w:bodyDiv w:val="1"/>
      <w:marLeft w:val="0"/>
      <w:marRight w:val="0"/>
      <w:marTop w:val="0"/>
      <w:marBottom w:val="0"/>
      <w:divBdr>
        <w:top w:val="none" w:sz="0" w:space="0" w:color="auto"/>
        <w:left w:val="none" w:sz="0" w:space="0" w:color="auto"/>
        <w:bottom w:val="none" w:sz="0" w:space="0" w:color="auto"/>
        <w:right w:val="none" w:sz="0" w:space="0" w:color="auto"/>
      </w:divBdr>
    </w:div>
    <w:div w:id="1435981040">
      <w:bodyDiv w:val="1"/>
      <w:marLeft w:val="0"/>
      <w:marRight w:val="0"/>
      <w:marTop w:val="0"/>
      <w:marBottom w:val="0"/>
      <w:divBdr>
        <w:top w:val="none" w:sz="0" w:space="0" w:color="auto"/>
        <w:left w:val="none" w:sz="0" w:space="0" w:color="auto"/>
        <w:bottom w:val="none" w:sz="0" w:space="0" w:color="auto"/>
        <w:right w:val="none" w:sz="0" w:space="0" w:color="auto"/>
      </w:divBdr>
    </w:div>
    <w:div w:id="1436629320">
      <w:bodyDiv w:val="1"/>
      <w:marLeft w:val="0"/>
      <w:marRight w:val="0"/>
      <w:marTop w:val="0"/>
      <w:marBottom w:val="0"/>
      <w:divBdr>
        <w:top w:val="none" w:sz="0" w:space="0" w:color="auto"/>
        <w:left w:val="none" w:sz="0" w:space="0" w:color="auto"/>
        <w:bottom w:val="none" w:sz="0" w:space="0" w:color="auto"/>
        <w:right w:val="none" w:sz="0" w:space="0" w:color="auto"/>
      </w:divBdr>
    </w:div>
    <w:div w:id="1438478161">
      <w:bodyDiv w:val="1"/>
      <w:marLeft w:val="0"/>
      <w:marRight w:val="0"/>
      <w:marTop w:val="0"/>
      <w:marBottom w:val="0"/>
      <w:divBdr>
        <w:top w:val="none" w:sz="0" w:space="0" w:color="auto"/>
        <w:left w:val="none" w:sz="0" w:space="0" w:color="auto"/>
        <w:bottom w:val="none" w:sz="0" w:space="0" w:color="auto"/>
        <w:right w:val="none" w:sz="0" w:space="0" w:color="auto"/>
      </w:divBdr>
    </w:div>
    <w:div w:id="1438480991">
      <w:bodyDiv w:val="1"/>
      <w:marLeft w:val="0"/>
      <w:marRight w:val="0"/>
      <w:marTop w:val="0"/>
      <w:marBottom w:val="0"/>
      <w:divBdr>
        <w:top w:val="none" w:sz="0" w:space="0" w:color="auto"/>
        <w:left w:val="none" w:sz="0" w:space="0" w:color="auto"/>
        <w:bottom w:val="none" w:sz="0" w:space="0" w:color="auto"/>
        <w:right w:val="none" w:sz="0" w:space="0" w:color="auto"/>
      </w:divBdr>
    </w:div>
    <w:div w:id="1438525852">
      <w:bodyDiv w:val="1"/>
      <w:marLeft w:val="0"/>
      <w:marRight w:val="0"/>
      <w:marTop w:val="0"/>
      <w:marBottom w:val="0"/>
      <w:divBdr>
        <w:top w:val="none" w:sz="0" w:space="0" w:color="auto"/>
        <w:left w:val="none" w:sz="0" w:space="0" w:color="auto"/>
        <w:bottom w:val="none" w:sz="0" w:space="0" w:color="auto"/>
        <w:right w:val="none" w:sz="0" w:space="0" w:color="auto"/>
      </w:divBdr>
    </w:div>
    <w:div w:id="1438595328">
      <w:bodyDiv w:val="1"/>
      <w:marLeft w:val="0"/>
      <w:marRight w:val="0"/>
      <w:marTop w:val="0"/>
      <w:marBottom w:val="0"/>
      <w:divBdr>
        <w:top w:val="none" w:sz="0" w:space="0" w:color="auto"/>
        <w:left w:val="none" w:sz="0" w:space="0" w:color="auto"/>
        <w:bottom w:val="none" w:sz="0" w:space="0" w:color="auto"/>
        <w:right w:val="none" w:sz="0" w:space="0" w:color="auto"/>
      </w:divBdr>
    </w:div>
    <w:div w:id="1438601738">
      <w:bodyDiv w:val="1"/>
      <w:marLeft w:val="0"/>
      <w:marRight w:val="0"/>
      <w:marTop w:val="0"/>
      <w:marBottom w:val="0"/>
      <w:divBdr>
        <w:top w:val="none" w:sz="0" w:space="0" w:color="auto"/>
        <w:left w:val="none" w:sz="0" w:space="0" w:color="auto"/>
        <w:bottom w:val="none" w:sz="0" w:space="0" w:color="auto"/>
        <w:right w:val="none" w:sz="0" w:space="0" w:color="auto"/>
      </w:divBdr>
    </w:div>
    <w:div w:id="1438867059">
      <w:bodyDiv w:val="1"/>
      <w:marLeft w:val="0"/>
      <w:marRight w:val="0"/>
      <w:marTop w:val="0"/>
      <w:marBottom w:val="0"/>
      <w:divBdr>
        <w:top w:val="none" w:sz="0" w:space="0" w:color="auto"/>
        <w:left w:val="none" w:sz="0" w:space="0" w:color="auto"/>
        <w:bottom w:val="none" w:sz="0" w:space="0" w:color="auto"/>
        <w:right w:val="none" w:sz="0" w:space="0" w:color="auto"/>
      </w:divBdr>
    </w:div>
    <w:div w:id="1439137571">
      <w:bodyDiv w:val="1"/>
      <w:marLeft w:val="0"/>
      <w:marRight w:val="0"/>
      <w:marTop w:val="0"/>
      <w:marBottom w:val="0"/>
      <w:divBdr>
        <w:top w:val="none" w:sz="0" w:space="0" w:color="auto"/>
        <w:left w:val="none" w:sz="0" w:space="0" w:color="auto"/>
        <w:bottom w:val="none" w:sz="0" w:space="0" w:color="auto"/>
        <w:right w:val="none" w:sz="0" w:space="0" w:color="auto"/>
      </w:divBdr>
    </w:div>
    <w:div w:id="1439568885">
      <w:bodyDiv w:val="1"/>
      <w:marLeft w:val="0"/>
      <w:marRight w:val="0"/>
      <w:marTop w:val="0"/>
      <w:marBottom w:val="0"/>
      <w:divBdr>
        <w:top w:val="none" w:sz="0" w:space="0" w:color="auto"/>
        <w:left w:val="none" w:sz="0" w:space="0" w:color="auto"/>
        <w:bottom w:val="none" w:sz="0" w:space="0" w:color="auto"/>
        <w:right w:val="none" w:sz="0" w:space="0" w:color="auto"/>
      </w:divBdr>
    </w:div>
    <w:div w:id="1439645750">
      <w:bodyDiv w:val="1"/>
      <w:marLeft w:val="0"/>
      <w:marRight w:val="0"/>
      <w:marTop w:val="0"/>
      <w:marBottom w:val="0"/>
      <w:divBdr>
        <w:top w:val="none" w:sz="0" w:space="0" w:color="auto"/>
        <w:left w:val="none" w:sz="0" w:space="0" w:color="auto"/>
        <w:bottom w:val="none" w:sz="0" w:space="0" w:color="auto"/>
        <w:right w:val="none" w:sz="0" w:space="0" w:color="auto"/>
      </w:divBdr>
    </w:div>
    <w:div w:id="1440373424">
      <w:bodyDiv w:val="1"/>
      <w:marLeft w:val="0"/>
      <w:marRight w:val="0"/>
      <w:marTop w:val="0"/>
      <w:marBottom w:val="0"/>
      <w:divBdr>
        <w:top w:val="none" w:sz="0" w:space="0" w:color="auto"/>
        <w:left w:val="none" w:sz="0" w:space="0" w:color="auto"/>
        <w:bottom w:val="none" w:sz="0" w:space="0" w:color="auto"/>
        <w:right w:val="none" w:sz="0" w:space="0" w:color="auto"/>
      </w:divBdr>
    </w:div>
    <w:div w:id="1440834599">
      <w:bodyDiv w:val="1"/>
      <w:marLeft w:val="0"/>
      <w:marRight w:val="0"/>
      <w:marTop w:val="0"/>
      <w:marBottom w:val="0"/>
      <w:divBdr>
        <w:top w:val="none" w:sz="0" w:space="0" w:color="auto"/>
        <w:left w:val="none" w:sz="0" w:space="0" w:color="auto"/>
        <w:bottom w:val="none" w:sz="0" w:space="0" w:color="auto"/>
        <w:right w:val="none" w:sz="0" w:space="0" w:color="auto"/>
      </w:divBdr>
    </w:div>
    <w:div w:id="1441098128">
      <w:bodyDiv w:val="1"/>
      <w:marLeft w:val="0"/>
      <w:marRight w:val="0"/>
      <w:marTop w:val="0"/>
      <w:marBottom w:val="0"/>
      <w:divBdr>
        <w:top w:val="none" w:sz="0" w:space="0" w:color="auto"/>
        <w:left w:val="none" w:sz="0" w:space="0" w:color="auto"/>
        <w:bottom w:val="none" w:sz="0" w:space="0" w:color="auto"/>
        <w:right w:val="none" w:sz="0" w:space="0" w:color="auto"/>
      </w:divBdr>
    </w:div>
    <w:div w:id="1441145894">
      <w:bodyDiv w:val="1"/>
      <w:marLeft w:val="0"/>
      <w:marRight w:val="0"/>
      <w:marTop w:val="0"/>
      <w:marBottom w:val="0"/>
      <w:divBdr>
        <w:top w:val="none" w:sz="0" w:space="0" w:color="auto"/>
        <w:left w:val="none" w:sz="0" w:space="0" w:color="auto"/>
        <w:bottom w:val="none" w:sz="0" w:space="0" w:color="auto"/>
        <w:right w:val="none" w:sz="0" w:space="0" w:color="auto"/>
      </w:divBdr>
    </w:div>
    <w:div w:id="1441217933">
      <w:bodyDiv w:val="1"/>
      <w:marLeft w:val="0"/>
      <w:marRight w:val="0"/>
      <w:marTop w:val="0"/>
      <w:marBottom w:val="0"/>
      <w:divBdr>
        <w:top w:val="none" w:sz="0" w:space="0" w:color="auto"/>
        <w:left w:val="none" w:sz="0" w:space="0" w:color="auto"/>
        <w:bottom w:val="none" w:sz="0" w:space="0" w:color="auto"/>
        <w:right w:val="none" w:sz="0" w:space="0" w:color="auto"/>
      </w:divBdr>
    </w:div>
    <w:div w:id="1441218756">
      <w:bodyDiv w:val="1"/>
      <w:marLeft w:val="0"/>
      <w:marRight w:val="0"/>
      <w:marTop w:val="0"/>
      <w:marBottom w:val="0"/>
      <w:divBdr>
        <w:top w:val="none" w:sz="0" w:space="0" w:color="auto"/>
        <w:left w:val="none" w:sz="0" w:space="0" w:color="auto"/>
        <w:bottom w:val="none" w:sz="0" w:space="0" w:color="auto"/>
        <w:right w:val="none" w:sz="0" w:space="0" w:color="auto"/>
      </w:divBdr>
    </w:div>
    <w:div w:id="1441602634">
      <w:bodyDiv w:val="1"/>
      <w:marLeft w:val="0"/>
      <w:marRight w:val="0"/>
      <w:marTop w:val="0"/>
      <w:marBottom w:val="0"/>
      <w:divBdr>
        <w:top w:val="none" w:sz="0" w:space="0" w:color="auto"/>
        <w:left w:val="none" w:sz="0" w:space="0" w:color="auto"/>
        <w:bottom w:val="none" w:sz="0" w:space="0" w:color="auto"/>
        <w:right w:val="none" w:sz="0" w:space="0" w:color="auto"/>
      </w:divBdr>
    </w:div>
    <w:div w:id="1441608659">
      <w:bodyDiv w:val="1"/>
      <w:marLeft w:val="0"/>
      <w:marRight w:val="0"/>
      <w:marTop w:val="0"/>
      <w:marBottom w:val="0"/>
      <w:divBdr>
        <w:top w:val="none" w:sz="0" w:space="0" w:color="auto"/>
        <w:left w:val="none" w:sz="0" w:space="0" w:color="auto"/>
        <w:bottom w:val="none" w:sz="0" w:space="0" w:color="auto"/>
        <w:right w:val="none" w:sz="0" w:space="0" w:color="auto"/>
      </w:divBdr>
    </w:div>
    <w:div w:id="1441995359">
      <w:bodyDiv w:val="1"/>
      <w:marLeft w:val="0"/>
      <w:marRight w:val="0"/>
      <w:marTop w:val="0"/>
      <w:marBottom w:val="0"/>
      <w:divBdr>
        <w:top w:val="none" w:sz="0" w:space="0" w:color="auto"/>
        <w:left w:val="none" w:sz="0" w:space="0" w:color="auto"/>
        <w:bottom w:val="none" w:sz="0" w:space="0" w:color="auto"/>
        <w:right w:val="none" w:sz="0" w:space="0" w:color="auto"/>
      </w:divBdr>
    </w:div>
    <w:div w:id="1441997670">
      <w:bodyDiv w:val="1"/>
      <w:marLeft w:val="0"/>
      <w:marRight w:val="0"/>
      <w:marTop w:val="0"/>
      <w:marBottom w:val="0"/>
      <w:divBdr>
        <w:top w:val="none" w:sz="0" w:space="0" w:color="auto"/>
        <w:left w:val="none" w:sz="0" w:space="0" w:color="auto"/>
        <w:bottom w:val="none" w:sz="0" w:space="0" w:color="auto"/>
        <w:right w:val="none" w:sz="0" w:space="0" w:color="auto"/>
      </w:divBdr>
    </w:div>
    <w:div w:id="1442070482">
      <w:bodyDiv w:val="1"/>
      <w:marLeft w:val="0"/>
      <w:marRight w:val="0"/>
      <w:marTop w:val="0"/>
      <w:marBottom w:val="0"/>
      <w:divBdr>
        <w:top w:val="none" w:sz="0" w:space="0" w:color="auto"/>
        <w:left w:val="none" w:sz="0" w:space="0" w:color="auto"/>
        <w:bottom w:val="none" w:sz="0" w:space="0" w:color="auto"/>
        <w:right w:val="none" w:sz="0" w:space="0" w:color="auto"/>
      </w:divBdr>
    </w:div>
    <w:div w:id="1442072282">
      <w:bodyDiv w:val="1"/>
      <w:marLeft w:val="0"/>
      <w:marRight w:val="0"/>
      <w:marTop w:val="0"/>
      <w:marBottom w:val="0"/>
      <w:divBdr>
        <w:top w:val="none" w:sz="0" w:space="0" w:color="auto"/>
        <w:left w:val="none" w:sz="0" w:space="0" w:color="auto"/>
        <w:bottom w:val="none" w:sz="0" w:space="0" w:color="auto"/>
        <w:right w:val="none" w:sz="0" w:space="0" w:color="auto"/>
      </w:divBdr>
    </w:div>
    <w:div w:id="1442072593">
      <w:bodyDiv w:val="1"/>
      <w:marLeft w:val="0"/>
      <w:marRight w:val="0"/>
      <w:marTop w:val="0"/>
      <w:marBottom w:val="0"/>
      <w:divBdr>
        <w:top w:val="none" w:sz="0" w:space="0" w:color="auto"/>
        <w:left w:val="none" w:sz="0" w:space="0" w:color="auto"/>
        <w:bottom w:val="none" w:sz="0" w:space="0" w:color="auto"/>
        <w:right w:val="none" w:sz="0" w:space="0" w:color="auto"/>
      </w:divBdr>
    </w:div>
    <w:div w:id="1442261226">
      <w:bodyDiv w:val="1"/>
      <w:marLeft w:val="0"/>
      <w:marRight w:val="0"/>
      <w:marTop w:val="0"/>
      <w:marBottom w:val="0"/>
      <w:divBdr>
        <w:top w:val="none" w:sz="0" w:space="0" w:color="auto"/>
        <w:left w:val="none" w:sz="0" w:space="0" w:color="auto"/>
        <w:bottom w:val="none" w:sz="0" w:space="0" w:color="auto"/>
        <w:right w:val="none" w:sz="0" w:space="0" w:color="auto"/>
      </w:divBdr>
    </w:div>
    <w:div w:id="1442527715">
      <w:bodyDiv w:val="1"/>
      <w:marLeft w:val="0"/>
      <w:marRight w:val="0"/>
      <w:marTop w:val="0"/>
      <w:marBottom w:val="0"/>
      <w:divBdr>
        <w:top w:val="none" w:sz="0" w:space="0" w:color="auto"/>
        <w:left w:val="none" w:sz="0" w:space="0" w:color="auto"/>
        <w:bottom w:val="none" w:sz="0" w:space="0" w:color="auto"/>
        <w:right w:val="none" w:sz="0" w:space="0" w:color="auto"/>
      </w:divBdr>
    </w:div>
    <w:div w:id="1443956414">
      <w:bodyDiv w:val="1"/>
      <w:marLeft w:val="0"/>
      <w:marRight w:val="0"/>
      <w:marTop w:val="0"/>
      <w:marBottom w:val="0"/>
      <w:divBdr>
        <w:top w:val="none" w:sz="0" w:space="0" w:color="auto"/>
        <w:left w:val="none" w:sz="0" w:space="0" w:color="auto"/>
        <w:bottom w:val="none" w:sz="0" w:space="0" w:color="auto"/>
        <w:right w:val="none" w:sz="0" w:space="0" w:color="auto"/>
      </w:divBdr>
    </w:div>
    <w:div w:id="1444693520">
      <w:bodyDiv w:val="1"/>
      <w:marLeft w:val="0"/>
      <w:marRight w:val="0"/>
      <w:marTop w:val="0"/>
      <w:marBottom w:val="0"/>
      <w:divBdr>
        <w:top w:val="none" w:sz="0" w:space="0" w:color="auto"/>
        <w:left w:val="none" w:sz="0" w:space="0" w:color="auto"/>
        <w:bottom w:val="none" w:sz="0" w:space="0" w:color="auto"/>
        <w:right w:val="none" w:sz="0" w:space="0" w:color="auto"/>
      </w:divBdr>
    </w:div>
    <w:div w:id="1445077482">
      <w:bodyDiv w:val="1"/>
      <w:marLeft w:val="0"/>
      <w:marRight w:val="0"/>
      <w:marTop w:val="0"/>
      <w:marBottom w:val="0"/>
      <w:divBdr>
        <w:top w:val="none" w:sz="0" w:space="0" w:color="auto"/>
        <w:left w:val="none" w:sz="0" w:space="0" w:color="auto"/>
        <w:bottom w:val="none" w:sz="0" w:space="0" w:color="auto"/>
        <w:right w:val="none" w:sz="0" w:space="0" w:color="auto"/>
      </w:divBdr>
    </w:div>
    <w:div w:id="1445492374">
      <w:bodyDiv w:val="1"/>
      <w:marLeft w:val="0"/>
      <w:marRight w:val="0"/>
      <w:marTop w:val="0"/>
      <w:marBottom w:val="0"/>
      <w:divBdr>
        <w:top w:val="none" w:sz="0" w:space="0" w:color="auto"/>
        <w:left w:val="none" w:sz="0" w:space="0" w:color="auto"/>
        <w:bottom w:val="none" w:sz="0" w:space="0" w:color="auto"/>
        <w:right w:val="none" w:sz="0" w:space="0" w:color="auto"/>
      </w:divBdr>
    </w:div>
    <w:div w:id="1445688540">
      <w:bodyDiv w:val="1"/>
      <w:marLeft w:val="0"/>
      <w:marRight w:val="0"/>
      <w:marTop w:val="0"/>
      <w:marBottom w:val="0"/>
      <w:divBdr>
        <w:top w:val="none" w:sz="0" w:space="0" w:color="auto"/>
        <w:left w:val="none" w:sz="0" w:space="0" w:color="auto"/>
        <w:bottom w:val="none" w:sz="0" w:space="0" w:color="auto"/>
        <w:right w:val="none" w:sz="0" w:space="0" w:color="auto"/>
      </w:divBdr>
    </w:div>
    <w:div w:id="1445877936">
      <w:bodyDiv w:val="1"/>
      <w:marLeft w:val="0"/>
      <w:marRight w:val="0"/>
      <w:marTop w:val="0"/>
      <w:marBottom w:val="0"/>
      <w:divBdr>
        <w:top w:val="none" w:sz="0" w:space="0" w:color="auto"/>
        <w:left w:val="none" w:sz="0" w:space="0" w:color="auto"/>
        <w:bottom w:val="none" w:sz="0" w:space="0" w:color="auto"/>
        <w:right w:val="none" w:sz="0" w:space="0" w:color="auto"/>
      </w:divBdr>
    </w:div>
    <w:div w:id="1446080327">
      <w:bodyDiv w:val="1"/>
      <w:marLeft w:val="0"/>
      <w:marRight w:val="0"/>
      <w:marTop w:val="0"/>
      <w:marBottom w:val="0"/>
      <w:divBdr>
        <w:top w:val="none" w:sz="0" w:space="0" w:color="auto"/>
        <w:left w:val="none" w:sz="0" w:space="0" w:color="auto"/>
        <w:bottom w:val="none" w:sz="0" w:space="0" w:color="auto"/>
        <w:right w:val="none" w:sz="0" w:space="0" w:color="auto"/>
      </w:divBdr>
    </w:div>
    <w:div w:id="1446536821">
      <w:bodyDiv w:val="1"/>
      <w:marLeft w:val="0"/>
      <w:marRight w:val="0"/>
      <w:marTop w:val="0"/>
      <w:marBottom w:val="0"/>
      <w:divBdr>
        <w:top w:val="none" w:sz="0" w:space="0" w:color="auto"/>
        <w:left w:val="none" w:sz="0" w:space="0" w:color="auto"/>
        <w:bottom w:val="none" w:sz="0" w:space="0" w:color="auto"/>
        <w:right w:val="none" w:sz="0" w:space="0" w:color="auto"/>
      </w:divBdr>
    </w:div>
    <w:div w:id="1446731506">
      <w:bodyDiv w:val="1"/>
      <w:marLeft w:val="0"/>
      <w:marRight w:val="0"/>
      <w:marTop w:val="0"/>
      <w:marBottom w:val="0"/>
      <w:divBdr>
        <w:top w:val="none" w:sz="0" w:space="0" w:color="auto"/>
        <w:left w:val="none" w:sz="0" w:space="0" w:color="auto"/>
        <w:bottom w:val="none" w:sz="0" w:space="0" w:color="auto"/>
        <w:right w:val="none" w:sz="0" w:space="0" w:color="auto"/>
      </w:divBdr>
    </w:div>
    <w:div w:id="1446999985">
      <w:bodyDiv w:val="1"/>
      <w:marLeft w:val="0"/>
      <w:marRight w:val="0"/>
      <w:marTop w:val="0"/>
      <w:marBottom w:val="0"/>
      <w:divBdr>
        <w:top w:val="none" w:sz="0" w:space="0" w:color="auto"/>
        <w:left w:val="none" w:sz="0" w:space="0" w:color="auto"/>
        <w:bottom w:val="none" w:sz="0" w:space="0" w:color="auto"/>
        <w:right w:val="none" w:sz="0" w:space="0" w:color="auto"/>
      </w:divBdr>
    </w:div>
    <w:div w:id="1447120727">
      <w:bodyDiv w:val="1"/>
      <w:marLeft w:val="0"/>
      <w:marRight w:val="0"/>
      <w:marTop w:val="0"/>
      <w:marBottom w:val="0"/>
      <w:divBdr>
        <w:top w:val="none" w:sz="0" w:space="0" w:color="auto"/>
        <w:left w:val="none" w:sz="0" w:space="0" w:color="auto"/>
        <w:bottom w:val="none" w:sz="0" w:space="0" w:color="auto"/>
        <w:right w:val="none" w:sz="0" w:space="0" w:color="auto"/>
      </w:divBdr>
    </w:div>
    <w:div w:id="1448426119">
      <w:bodyDiv w:val="1"/>
      <w:marLeft w:val="0"/>
      <w:marRight w:val="0"/>
      <w:marTop w:val="0"/>
      <w:marBottom w:val="0"/>
      <w:divBdr>
        <w:top w:val="none" w:sz="0" w:space="0" w:color="auto"/>
        <w:left w:val="none" w:sz="0" w:space="0" w:color="auto"/>
        <w:bottom w:val="none" w:sz="0" w:space="0" w:color="auto"/>
        <w:right w:val="none" w:sz="0" w:space="0" w:color="auto"/>
      </w:divBdr>
    </w:div>
    <w:div w:id="1448697033">
      <w:bodyDiv w:val="1"/>
      <w:marLeft w:val="0"/>
      <w:marRight w:val="0"/>
      <w:marTop w:val="0"/>
      <w:marBottom w:val="0"/>
      <w:divBdr>
        <w:top w:val="none" w:sz="0" w:space="0" w:color="auto"/>
        <w:left w:val="none" w:sz="0" w:space="0" w:color="auto"/>
        <w:bottom w:val="none" w:sz="0" w:space="0" w:color="auto"/>
        <w:right w:val="none" w:sz="0" w:space="0" w:color="auto"/>
      </w:divBdr>
    </w:div>
    <w:div w:id="1448811840">
      <w:bodyDiv w:val="1"/>
      <w:marLeft w:val="0"/>
      <w:marRight w:val="0"/>
      <w:marTop w:val="0"/>
      <w:marBottom w:val="0"/>
      <w:divBdr>
        <w:top w:val="none" w:sz="0" w:space="0" w:color="auto"/>
        <w:left w:val="none" w:sz="0" w:space="0" w:color="auto"/>
        <w:bottom w:val="none" w:sz="0" w:space="0" w:color="auto"/>
        <w:right w:val="none" w:sz="0" w:space="0" w:color="auto"/>
      </w:divBdr>
    </w:div>
    <w:div w:id="1449814310">
      <w:bodyDiv w:val="1"/>
      <w:marLeft w:val="0"/>
      <w:marRight w:val="0"/>
      <w:marTop w:val="0"/>
      <w:marBottom w:val="0"/>
      <w:divBdr>
        <w:top w:val="none" w:sz="0" w:space="0" w:color="auto"/>
        <w:left w:val="none" w:sz="0" w:space="0" w:color="auto"/>
        <w:bottom w:val="none" w:sz="0" w:space="0" w:color="auto"/>
        <w:right w:val="none" w:sz="0" w:space="0" w:color="auto"/>
      </w:divBdr>
    </w:div>
    <w:div w:id="1450007091">
      <w:bodyDiv w:val="1"/>
      <w:marLeft w:val="0"/>
      <w:marRight w:val="0"/>
      <w:marTop w:val="0"/>
      <w:marBottom w:val="0"/>
      <w:divBdr>
        <w:top w:val="none" w:sz="0" w:space="0" w:color="auto"/>
        <w:left w:val="none" w:sz="0" w:space="0" w:color="auto"/>
        <w:bottom w:val="none" w:sz="0" w:space="0" w:color="auto"/>
        <w:right w:val="none" w:sz="0" w:space="0" w:color="auto"/>
      </w:divBdr>
    </w:div>
    <w:div w:id="1450122963">
      <w:bodyDiv w:val="1"/>
      <w:marLeft w:val="0"/>
      <w:marRight w:val="0"/>
      <w:marTop w:val="0"/>
      <w:marBottom w:val="0"/>
      <w:divBdr>
        <w:top w:val="none" w:sz="0" w:space="0" w:color="auto"/>
        <w:left w:val="none" w:sz="0" w:space="0" w:color="auto"/>
        <w:bottom w:val="none" w:sz="0" w:space="0" w:color="auto"/>
        <w:right w:val="none" w:sz="0" w:space="0" w:color="auto"/>
      </w:divBdr>
    </w:div>
    <w:div w:id="1450197378">
      <w:bodyDiv w:val="1"/>
      <w:marLeft w:val="0"/>
      <w:marRight w:val="0"/>
      <w:marTop w:val="0"/>
      <w:marBottom w:val="0"/>
      <w:divBdr>
        <w:top w:val="none" w:sz="0" w:space="0" w:color="auto"/>
        <w:left w:val="none" w:sz="0" w:space="0" w:color="auto"/>
        <w:bottom w:val="none" w:sz="0" w:space="0" w:color="auto"/>
        <w:right w:val="none" w:sz="0" w:space="0" w:color="auto"/>
      </w:divBdr>
    </w:div>
    <w:div w:id="1450779837">
      <w:bodyDiv w:val="1"/>
      <w:marLeft w:val="0"/>
      <w:marRight w:val="0"/>
      <w:marTop w:val="0"/>
      <w:marBottom w:val="0"/>
      <w:divBdr>
        <w:top w:val="none" w:sz="0" w:space="0" w:color="auto"/>
        <w:left w:val="none" w:sz="0" w:space="0" w:color="auto"/>
        <w:bottom w:val="none" w:sz="0" w:space="0" w:color="auto"/>
        <w:right w:val="none" w:sz="0" w:space="0" w:color="auto"/>
      </w:divBdr>
    </w:div>
    <w:div w:id="1452092499">
      <w:bodyDiv w:val="1"/>
      <w:marLeft w:val="0"/>
      <w:marRight w:val="0"/>
      <w:marTop w:val="0"/>
      <w:marBottom w:val="0"/>
      <w:divBdr>
        <w:top w:val="none" w:sz="0" w:space="0" w:color="auto"/>
        <w:left w:val="none" w:sz="0" w:space="0" w:color="auto"/>
        <w:bottom w:val="none" w:sz="0" w:space="0" w:color="auto"/>
        <w:right w:val="none" w:sz="0" w:space="0" w:color="auto"/>
      </w:divBdr>
    </w:div>
    <w:div w:id="1452436965">
      <w:bodyDiv w:val="1"/>
      <w:marLeft w:val="0"/>
      <w:marRight w:val="0"/>
      <w:marTop w:val="0"/>
      <w:marBottom w:val="0"/>
      <w:divBdr>
        <w:top w:val="none" w:sz="0" w:space="0" w:color="auto"/>
        <w:left w:val="none" w:sz="0" w:space="0" w:color="auto"/>
        <w:bottom w:val="none" w:sz="0" w:space="0" w:color="auto"/>
        <w:right w:val="none" w:sz="0" w:space="0" w:color="auto"/>
      </w:divBdr>
    </w:div>
    <w:div w:id="1452479923">
      <w:bodyDiv w:val="1"/>
      <w:marLeft w:val="0"/>
      <w:marRight w:val="0"/>
      <w:marTop w:val="0"/>
      <w:marBottom w:val="0"/>
      <w:divBdr>
        <w:top w:val="none" w:sz="0" w:space="0" w:color="auto"/>
        <w:left w:val="none" w:sz="0" w:space="0" w:color="auto"/>
        <w:bottom w:val="none" w:sz="0" w:space="0" w:color="auto"/>
        <w:right w:val="none" w:sz="0" w:space="0" w:color="auto"/>
      </w:divBdr>
    </w:div>
    <w:div w:id="1452934951">
      <w:bodyDiv w:val="1"/>
      <w:marLeft w:val="0"/>
      <w:marRight w:val="0"/>
      <w:marTop w:val="0"/>
      <w:marBottom w:val="0"/>
      <w:divBdr>
        <w:top w:val="none" w:sz="0" w:space="0" w:color="auto"/>
        <w:left w:val="none" w:sz="0" w:space="0" w:color="auto"/>
        <w:bottom w:val="none" w:sz="0" w:space="0" w:color="auto"/>
        <w:right w:val="none" w:sz="0" w:space="0" w:color="auto"/>
      </w:divBdr>
    </w:div>
    <w:div w:id="1453207187">
      <w:bodyDiv w:val="1"/>
      <w:marLeft w:val="0"/>
      <w:marRight w:val="0"/>
      <w:marTop w:val="0"/>
      <w:marBottom w:val="0"/>
      <w:divBdr>
        <w:top w:val="none" w:sz="0" w:space="0" w:color="auto"/>
        <w:left w:val="none" w:sz="0" w:space="0" w:color="auto"/>
        <w:bottom w:val="none" w:sz="0" w:space="0" w:color="auto"/>
        <w:right w:val="none" w:sz="0" w:space="0" w:color="auto"/>
      </w:divBdr>
    </w:div>
    <w:div w:id="1453937420">
      <w:bodyDiv w:val="1"/>
      <w:marLeft w:val="0"/>
      <w:marRight w:val="0"/>
      <w:marTop w:val="0"/>
      <w:marBottom w:val="0"/>
      <w:divBdr>
        <w:top w:val="none" w:sz="0" w:space="0" w:color="auto"/>
        <w:left w:val="none" w:sz="0" w:space="0" w:color="auto"/>
        <w:bottom w:val="none" w:sz="0" w:space="0" w:color="auto"/>
        <w:right w:val="none" w:sz="0" w:space="0" w:color="auto"/>
      </w:divBdr>
    </w:div>
    <w:div w:id="1454208703">
      <w:bodyDiv w:val="1"/>
      <w:marLeft w:val="0"/>
      <w:marRight w:val="0"/>
      <w:marTop w:val="0"/>
      <w:marBottom w:val="0"/>
      <w:divBdr>
        <w:top w:val="none" w:sz="0" w:space="0" w:color="auto"/>
        <w:left w:val="none" w:sz="0" w:space="0" w:color="auto"/>
        <w:bottom w:val="none" w:sz="0" w:space="0" w:color="auto"/>
        <w:right w:val="none" w:sz="0" w:space="0" w:color="auto"/>
      </w:divBdr>
    </w:div>
    <w:div w:id="1454209169">
      <w:bodyDiv w:val="1"/>
      <w:marLeft w:val="0"/>
      <w:marRight w:val="0"/>
      <w:marTop w:val="0"/>
      <w:marBottom w:val="0"/>
      <w:divBdr>
        <w:top w:val="none" w:sz="0" w:space="0" w:color="auto"/>
        <w:left w:val="none" w:sz="0" w:space="0" w:color="auto"/>
        <w:bottom w:val="none" w:sz="0" w:space="0" w:color="auto"/>
        <w:right w:val="none" w:sz="0" w:space="0" w:color="auto"/>
      </w:divBdr>
    </w:div>
    <w:div w:id="1454441174">
      <w:bodyDiv w:val="1"/>
      <w:marLeft w:val="0"/>
      <w:marRight w:val="0"/>
      <w:marTop w:val="0"/>
      <w:marBottom w:val="0"/>
      <w:divBdr>
        <w:top w:val="none" w:sz="0" w:space="0" w:color="auto"/>
        <w:left w:val="none" w:sz="0" w:space="0" w:color="auto"/>
        <w:bottom w:val="none" w:sz="0" w:space="0" w:color="auto"/>
        <w:right w:val="none" w:sz="0" w:space="0" w:color="auto"/>
      </w:divBdr>
    </w:div>
    <w:div w:id="1454592127">
      <w:bodyDiv w:val="1"/>
      <w:marLeft w:val="0"/>
      <w:marRight w:val="0"/>
      <w:marTop w:val="0"/>
      <w:marBottom w:val="0"/>
      <w:divBdr>
        <w:top w:val="none" w:sz="0" w:space="0" w:color="auto"/>
        <w:left w:val="none" w:sz="0" w:space="0" w:color="auto"/>
        <w:bottom w:val="none" w:sz="0" w:space="0" w:color="auto"/>
        <w:right w:val="none" w:sz="0" w:space="0" w:color="auto"/>
      </w:divBdr>
    </w:div>
    <w:div w:id="1455096172">
      <w:bodyDiv w:val="1"/>
      <w:marLeft w:val="0"/>
      <w:marRight w:val="0"/>
      <w:marTop w:val="0"/>
      <w:marBottom w:val="0"/>
      <w:divBdr>
        <w:top w:val="none" w:sz="0" w:space="0" w:color="auto"/>
        <w:left w:val="none" w:sz="0" w:space="0" w:color="auto"/>
        <w:bottom w:val="none" w:sz="0" w:space="0" w:color="auto"/>
        <w:right w:val="none" w:sz="0" w:space="0" w:color="auto"/>
      </w:divBdr>
    </w:div>
    <w:div w:id="1455755830">
      <w:bodyDiv w:val="1"/>
      <w:marLeft w:val="0"/>
      <w:marRight w:val="0"/>
      <w:marTop w:val="0"/>
      <w:marBottom w:val="0"/>
      <w:divBdr>
        <w:top w:val="none" w:sz="0" w:space="0" w:color="auto"/>
        <w:left w:val="none" w:sz="0" w:space="0" w:color="auto"/>
        <w:bottom w:val="none" w:sz="0" w:space="0" w:color="auto"/>
        <w:right w:val="none" w:sz="0" w:space="0" w:color="auto"/>
      </w:divBdr>
    </w:div>
    <w:div w:id="1455758126">
      <w:bodyDiv w:val="1"/>
      <w:marLeft w:val="0"/>
      <w:marRight w:val="0"/>
      <w:marTop w:val="0"/>
      <w:marBottom w:val="0"/>
      <w:divBdr>
        <w:top w:val="none" w:sz="0" w:space="0" w:color="auto"/>
        <w:left w:val="none" w:sz="0" w:space="0" w:color="auto"/>
        <w:bottom w:val="none" w:sz="0" w:space="0" w:color="auto"/>
        <w:right w:val="none" w:sz="0" w:space="0" w:color="auto"/>
      </w:divBdr>
    </w:div>
    <w:div w:id="1456099395">
      <w:bodyDiv w:val="1"/>
      <w:marLeft w:val="0"/>
      <w:marRight w:val="0"/>
      <w:marTop w:val="0"/>
      <w:marBottom w:val="0"/>
      <w:divBdr>
        <w:top w:val="none" w:sz="0" w:space="0" w:color="auto"/>
        <w:left w:val="none" w:sz="0" w:space="0" w:color="auto"/>
        <w:bottom w:val="none" w:sz="0" w:space="0" w:color="auto"/>
        <w:right w:val="none" w:sz="0" w:space="0" w:color="auto"/>
      </w:divBdr>
    </w:div>
    <w:div w:id="1456176553">
      <w:bodyDiv w:val="1"/>
      <w:marLeft w:val="0"/>
      <w:marRight w:val="0"/>
      <w:marTop w:val="0"/>
      <w:marBottom w:val="0"/>
      <w:divBdr>
        <w:top w:val="none" w:sz="0" w:space="0" w:color="auto"/>
        <w:left w:val="none" w:sz="0" w:space="0" w:color="auto"/>
        <w:bottom w:val="none" w:sz="0" w:space="0" w:color="auto"/>
        <w:right w:val="none" w:sz="0" w:space="0" w:color="auto"/>
      </w:divBdr>
    </w:div>
    <w:div w:id="1456557365">
      <w:bodyDiv w:val="1"/>
      <w:marLeft w:val="0"/>
      <w:marRight w:val="0"/>
      <w:marTop w:val="0"/>
      <w:marBottom w:val="0"/>
      <w:divBdr>
        <w:top w:val="none" w:sz="0" w:space="0" w:color="auto"/>
        <w:left w:val="none" w:sz="0" w:space="0" w:color="auto"/>
        <w:bottom w:val="none" w:sz="0" w:space="0" w:color="auto"/>
        <w:right w:val="none" w:sz="0" w:space="0" w:color="auto"/>
      </w:divBdr>
    </w:div>
    <w:div w:id="1457600037">
      <w:bodyDiv w:val="1"/>
      <w:marLeft w:val="0"/>
      <w:marRight w:val="0"/>
      <w:marTop w:val="0"/>
      <w:marBottom w:val="0"/>
      <w:divBdr>
        <w:top w:val="none" w:sz="0" w:space="0" w:color="auto"/>
        <w:left w:val="none" w:sz="0" w:space="0" w:color="auto"/>
        <w:bottom w:val="none" w:sz="0" w:space="0" w:color="auto"/>
        <w:right w:val="none" w:sz="0" w:space="0" w:color="auto"/>
      </w:divBdr>
    </w:div>
    <w:div w:id="1457600977">
      <w:bodyDiv w:val="1"/>
      <w:marLeft w:val="0"/>
      <w:marRight w:val="0"/>
      <w:marTop w:val="0"/>
      <w:marBottom w:val="0"/>
      <w:divBdr>
        <w:top w:val="none" w:sz="0" w:space="0" w:color="auto"/>
        <w:left w:val="none" w:sz="0" w:space="0" w:color="auto"/>
        <w:bottom w:val="none" w:sz="0" w:space="0" w:color="auto"/>
        <w:right w:val="none" w:sz="0" w:space="0" w:color="auto"/>
      </w:divBdr>
    </w:div>
    <w:div w:id="1457749486">
      <w:bodyDiv w:val="1"/>
      <w:marLeft w:val="0"/>
      <w:marRight w:val="0"/>
      <w:marTop w:val="0"/>
      <w:marBottom w:val="0"/>
      <w:divBdr>
        <w:top w:val="none" w:sz="0" w:space="0" w:color="auto"/>
        <w:left w:val="none" w:sz="0" w:space="0" w:color="auto"/>
        <w:bottom w:val="none" w:sz="0" w:space="0" w:color="auto"/>
        <w:right w:val="none" w:sz="0" w:space="0" w:color="auto"/>
      </w:divBdr>
    </w:div>
    <w:div w:id="1457942924">
      <w:bodyDiv w:val="1"/>
      <w:marLeft w:val="0"/>
      <w:marRight w:val="0"/>
      <w:marTop w:val="0"/>
      <w:marBottom w:val="0"/>
      <w:divBdr>
        <w:top w:val="none" w:sz="0" w:space="0" w:color="auto"/>
        <w:left w:val="none" w:sz="0" w:space="0" w:color="auto"/>
        <w:bottom w:val="none" w:sz="0" w:space="0" w:color="auto"/>
        <w:right w:val="none" w:sz="0" w:space="0" w:color="auto"/>
      </w:divBdr>
    </w:div>
    <w:div w:id="1458063010">
      <w:bodyDiv w:val="1"/>
      <w:marLeft w:val="0"/>
      <w:marRight w:val="0"/>
      <w:marTop w:val="0"/>
      <w:marBottom w:val="0"/>
      <w:divBdr>
        <w:top w:val="none" w:sz="0" w:space="0" w:color="auto"/>
        <w:left w:val="none" w:sz="0" w:space="0" w:color="auto"/>
        <w:bottom w:val="none" w:sz="0" w:space="0" w:color="auto"/>
        <w:right w:val="none" w:sz="0" w:space="0" w:color="auto"/>
      </w:divBdr>
    </w:div>
    <w:div w:id="1458135145">
      <w:bodyDiv w:val="1"/>
      <w:marLeft w:val="0"/>
      <w:marRight w:val="0"/>
      <w:marTop w:val="0"/>
      <w:marBottom w:val="0"/>
      <w:divBdr>
        <w:top w:val="none" w:sz="0" w:space="0" w:color="auto"/>
        <w:left w:val="none" w:sz="0" w:space="0" w:color="auto"/>
        <w:bottom w:val="none" w:sz="0" w:space="0" w:color="auto"/>
        <w:right w:val="none" w:sz="0" w:space="0" w:color="auto"/>
      </w:divBdr>
    </w:div>
    <w:div w:id="1458329616">
      <w:bodyDiv w:val="1"/>
      <w:marLeft w:val="0"/>
      <w:marRight w:val="0"/>
      <w:marTop w:val="0"/>
      <w:marBottom w:val="0"/>
      <w:divBdr>
        <w:top w:val="none" w:sz="0" w:space="0" w:color="auto"/>
        <w:left w:val="none" w:sz="0" w:space="0" w:color="auto"/>
        <w:bottom w:val="none" w:sz="0" w:space="0" w:color="auto"/>
        <w:right w:val="none" w:sz="0" w:space="0" w:color="auto"/>
      </w:divBdr>
      <w:divsChild>
        <w:div w:id="365570149">
          <w:marLeft w:val="0"/>
          <w:marRight w:val="0"/>
          <w:marTop w:val="0"/>
          <w:marBottom w:val="0"/>
          <w:divBdr>
            <w:top w:val="none" w:sz="0" w:space="0" w:color="auto"/>
            <w:left w:val="none" w:sz="0" w:space="0" w:color="auto"/>
            <w:bottom w:val="none" w:sz="0" w:space="0" w:color="auto"/>
            <w:right w:val="none" w:sz="0" w:space="0" w:color="auto"/>
          </w:divBdr>
        </w:div>
        <w:div w:id="1370640742">
          <w:marLeft w:val="0"/>
          <w:marRight w:val="0"/>
          <w:marTop w:val="0"/>
          <w:marBottom w:val="0"/>
          <w:divBdr>
            <w:top w:val="none" w:sz="0" w:space="0" w:color="auto"/>
            <w:left w:val="none" w:sz="0" w:space="0" w:color="auto"/>
            <w:bottom w:val="none" w:sz="0" w:space="0" w:color="auto"/>
            <w:right w:val="none" w:sz="0" w:space="0" w:color="auto"/>
          </w:divBdr>
        </w:div>
      </w:divsChild>
    </w:div>
    <w:div w:id="1458766125">
      <w:bodyDiv w:val="1"/>
      <w:marLeft w:val="0"/>
      <w:marRight w:val="0"/>
      <w:marTop w:val="0"/>
      <w:marBottom w:val="0"/>
      <w:divBdr>
        <w:top w:val="none" w:sz="0" w:space="0" w:color="auto"/>
        <w:left w:val="none" w:sz="0" w:space="0" w:color="auto"/>
        <w:bottom w:val="none" w:sz="0" w:space="0" w:color="auto"/>
        <w:right w:val="none" w:sz="0" w:space="0" w:color="auto"/>
      </w:divBdr>
    </w:div>
    <w:div w:id="1459184418">
      <w:bodyDiv w:val="1"/>
      <w:marLeft w:val="0"/>
      <w:marRight w:val="0"/>
      <w:marTop w:val="0"/>
      <w:marBottom w:val="0"/>
      <w:divBdr>
        <w:top w:val="none" w:sz="0" w:space="0" w:color="auto"/>
        <w:left w:val="none" w:sz="0" w:space="0" w:color="auto"/>
        <w:bottom w:val="none" w:sz="0" w:space="0" w:color="auto"/>
        <w:right w:val="none" w:sz="0" w:space="0" w:color="auto"/>
      </w:divBdr>
    </w:div>
    <w:div w:id="1460100498">
      <w:bodyDiv w:val="1"/>
      <w:marLeft w:val="0"/>
      <w:marRight w:val="0"/>
      <w:marTop w:val="0"/>
      <w:marBottom w:val="0"/>
      <w:divBdr>
        <w:top w:val="none" w:sz="0" w:space="0" w:color="auto"/>
        <w:left w:val="none" w:sz="0" w:space="0" w:color="auto"/>
        <w:bottom w:val="none" w:sz="0" w:space="0" w:color="auto"/>
        <w:right w:val="none" w:sz="0" w:space="0" w:color="auto"/>
      </w:divBdr>
    </w:div>
    <w:div w:id="1460144422">
      <w:bodyDiv w:val="1"/>
      <w:marLeft w:val="0"/>
      <w:marRight w:val="0"/>
      <w:marTop w:val="0"/>
      <w:marBottom w:val="0"/>
      <w:divBdr>
        <w:top w:val="none" w:sz="0" w:space="0" w:color="auto"/>
        <w:left w:val="none" w:sz="0" w:space="0" w:color="auto"/>
        <w:bottom w:val="none" w:sz="0" w:space="0" w:color="auto"/>
        <w:right w:val="none" w:sz="0" w:space="0" w:color="auto"/>
      </w:divBdr>
    </w:div>
    <w:div w:id="1460222973">
      <w:bodyDiv w:val="1"/>
      <w:marLeft w:val="0"/>
      <w:marRight w:val="0"/>
      <w:marTop w:val="0"/>
      <w:marBottom w:val="0"/>
      <w:divBdr>
        <w:top w:val="none" w:sz="0" w:space="0" w:color="auto"/>
        <w:left w:val="none" w:sz="0" w:space="0" w:color="auto"/>
        <w:bottom w:val="none" w:sz="0" w:space="0" w:color="auto"/>
        <w:right w:val="none" w:sz="0" w:space="0" w:color="auto"/>
      </w:divBdr>
    </w:div>
    <w:div w:id="1460879295">
      <w:bodyDiv w:val="1"/>
      <w:marLeft w:val="0"/>
      <w:marRight w:val="0"/>
      <w:marTop w:val="0"/>
      <w:marBottom w:val="0"/>
      <w:divBdr>
        <w:top w:val="none" w:sz="0" w:space="0" w:color="auto"/>
        <w:left w:val="none" w:sz="0" w:space="0" w:color="auto"/>
        <w:bottom w:val="none" w:sz="0" w:space="0" w:color="auto"/>
        <w:right w:val="none" w:sz="0" w:space="0" w:color="auto"/>
      </w:divBdr>
    </w:div>
    <w:div w:id="1461143767">
      <w:bodyDiv w:val="1"/>
      <w:marLeft w:val="0"/>
      <w:marRight w:val="0"/>
      <w:marTop w:val="0"/>
      <w:marBottom w:val="0"/>
      <w:divBdr>
        <w:top w:val="none" w:sz="0" w:space="0" w:color="auto"/>
        <w:left w:val="none" w:sz="0" w:space="0" w:color="auto"/>
        <w:bottom w:val="none" w:sz="0" w:space="0" w:color="auto"/>
        <w:right w:val="none" w:sz="0" w:space="0" w:color="auto"/>
      </w:divBdr>
    </w:div>
    <w:div w:id="1461847008">
      <w:bodyDiv w:val="1"/>
      <w:marLeft w:val="0"/>
      <w:marRight w:val="0"/>
      <w:marTop w:val="0"/>
      <w:marBottom w:val="0"/>
      <w:divBdr>
        <w:top w:val="none" w:sz="0" w:space="0" w:color="auto"/>
        <w:left w:val="none" w:sz="0" w:space="0" w:color="auto"/>
        <w:bottom w:val="none" w:sz="0" w:space="0" w:color="auto"/>
        <w:right w:val="none" w:sz="0" w:space="0" w:color="auto"/>
      </w:divBdr>
    </w:div>
    <w:div w:id="1461993487">
      <w:bodyDiv w:val="1"/>
      <w:marLeft w:val="0"/>
      <w:marRight w:val="0"/>
      <w:marTop w:val="0"/>
      <w:marBottom w:val="0"/>
      <w:divBdr>
        <w:top w:val="none" w:sz="0" w:space="0" w:color="auto"/>
        <w:left w:val="none" w:sz="0" w:space="0" w:color="auto"/>
        <w:bottom w:val="none" w:sz="0" w:space="0" w:color="auto"/>
        <w:right w:val="none" w:sz="0" w:space="0" w:color="auto"/>
      </w:divBdr>
    </w:div>
    <w:div w:id="1462531337">
      <w:bodyDiv w:val="1"/>
      <w:marLeft w:val="0"/>
      <w:marRight w:val="0"/>
      <w:marTop w:val="0"/>
      <w:marBottom w:val="0"/>
      <w:divBdr>
        <w:top w:val="none" w:sz="0" w:space="0" w:color="auto"/>
        <w:left w:val="none" w:sz="0" w:space="0" w:color="auto"/>
        <w:bottom w:val="none" w:sz="0" w:space="0" w:color="auto"/>
        <w:right w:val="none" w:sz="0" w:space="0" w:color="auto"/>
      </w:divBdr>
    </w:div>
    <w:div w:id="1463503160">
      <w:bodyDiv w:val="1"/>
      <w:marLeft w:val="0"/>
      <w:marRight w:val="0"/>
      <w:marTop w:val="0"/>
      <w:marBottom w:val="0"/>
      <w:divBdr>
        <w:top w:val="none" w:sz="0" w:space="0" w:color="auto"/>
        <w:left w:val="none" w:sz="0" w:space="0" w:color="auto"/>
        <w:bottom w:val="none" w:sz="0" w:space="0" w:color="auto"/>
        <w:right w:val="none" w:sz="0" w:space="0" w:color="auto"/>
      </w:divBdr>
    </w:div>
    <w:div w:id="1463579675">
      <w:bodyDiv w:val="1"/>
      <w:marLeft w:val="0"/>
      <w:marRight w:val="0"/>
      <w:marTop w:val="0"/>
      <w:marBottom w:val="0"/>
      <w:divBdr>
        <w:top w:val="none" w:sz="0" w:space="0" w:color="auto"/>
        <w:left w:val="none" w:sz="0" w:space="0" w:color="auto"/>
        <w:bottom w:val="none" w:sz="0" w:space="0" w:color="auto"/>
        <w:right w:val="none" w:sz="0" w:space="0" w:color="auto"/>
      </w:divBdr>
    </w:div>
    <w:div w:id="1463689233">
      <w:bodyDiv w:val="1"/>
      <w:marLeft w:val="0"/>
      <w:marRight w:val="0"/>
      <w:marTop w:val="0"/>
      <w:marBottom w:val="0"/>
      <w:divBdr>
        <w:top w:val="none" w:sz="0" w:space="0" w:color="auto"/>
        <w:left w:val="none" w:sz="0" w:space="0" w:color="auto"/>
        <w:bottom w:val="none" w:sz="0" w:space="0" w:color="auto"/>
        <w:right w:val="none" w:sz="0" w:space="0" w:color="auto"/>
      </w:divBdr>
    </w:div>
    <w:div w:id="1464617052">
      <w:bodyDiv w:val="1"/>
      <w:marLeft w:val="0"/>
      <w:marRight w:val="0"/>
      <w:marTop w:val="0"/>
      <w:marBottom w:val="0"/>
      <w:divBdr>
        <w:top w:val="none" w:sz="0" w:space="0" w:color="auto"/>
        <w:left w:val="none" w:sz="0" w:space="0" w:color="auto"/>
        <w:bottom w:val="none" w:sz="0" w:space="0" w:color="auto"/>
        <w:right w:val="none" w:sz="0" w:space="0" w:color="auto"/>
      </w:divBdr>
    </w:div>
    <w:div w:id="1464805980">
      <w:bodyDiv w:val="1"/>
      <w:marLeft w:val="0"/>
      <w:marRight w:val="0"/>
      <w:marTop w:val="0"/>
      <w:marBottom w:val="0"/>
      <w:divBdr>
        <w:top w:val="none" w:sz="0" w:space="0" w:color="auto"/>
        <w:left w:val="none" w:sz="0" w:space="0" w:color="auto"/>
        <w:bottom w:val="none" w:sz="0" w:space="0" w:color="auto"/>
        <w:right w:val="none" w:sz="0" w:space="0" w:color="auto"/>
      </w:divBdr>
    </w:div>
    <w:div w:id="1465005370">
      <w:bodyDiv w:val="1"/>
      <w:marLeft w:val="0"/>
      <w:marRight w:val="0"/>
      <w:marTop w:val="0"/>
      <w:marBottom w:val="0"/>
      <w:divBdr>
        <w:top w:val="none" w:sz="0" w:space="0" w:color="auto"/>
        <w:left w:val="none" w:sz="0" w:space="0" w:color="auto"/>
        <w:bottom w:val="none" w:sz="0" w:space="0" w:color="auto"/>
        <w:right w:val="none" w:sz="0" w:space="0" w:color="auto"/>
      </w:divBdr>
    </w:div>
    <w:div w:id="1465082342">
      <w:bodyDiv w:val="1"/>
      <w:marLeft w:val="0"/>
      <w:marRight w:val="0"/>
      <w:marTop w:val="0"/>
      <w:marBottom w:val="0"/>
      <w:divBdr>
        <w:top w:val="none" w:sz="0" w:space="0" w:color="auto"/>
        <w:left w:val="none" w:sz="0" w:space="0" w:color="auto"/>
        <w:bottom w:val="none" w:sz="0" w:space="0" w:color="auto"/>
        <w:right w:val="none" w:sz="0" w:space="0" w:color="auto"/>
      </w:divBdr>
    </w:div>
    <w:div w:id="1465655471">
      <w:bodyDiv w:val="1"/>
      <w:marLeft w:val="0"/>
      <w:marRight w:val="0"/>
      <w:marTop w:val="0"/>
      <w:marBottom w:val="0"/>
      <w:divBdr>
        <w:top w:val="none" w:sz="0" w:space="0" w:color="auto"/>
        <w:left w:val="none" w:sz="0" w:space="0" w:color="auto"/>
        <w:bottom w:val="none" w:sz="0" w:space="0" w:color="auto"/>
        <w:right w:val="none" w:sz="0" w:space="0" w:color="auto"/>
      </w:divBdr>
    </w:div>
    <w:div w:id="1465926829">
      <w:bodyDiv w:val="1"/>
      <w:marLeft w:val="0"/>
      <w:marRight w:val="0"/>
      <w:marTop w:val="0"/>
      <w:marBottom w:val="0"/>
      <w:divBdr>
        <w:top w:val="none" w:sz="0" w:space="0" w:color="auto"/>
        <w:left w:val="none" w:sz="0" w:space="0" w:color="auto"/>
        <w:bottom w:val="none" w:sz="0" w:space="0" w:color="auto"/>
        <w:right w:val="none" w:sz="0" w:space="0" w:color="auto"/>
      </w:divBdr>
    </w:div>
    <w:div w:id="1466313043">
      <w:bodyDiv w:val="1"/>
      <w:marLeft w:val="0"/>
      <w:marRight w:val="0"/>
      <w:marTop w:val="0"/>
      <w:marBottom w:val="0"/>
      <w:divBdr>
        <w:top w:val="none" w:sz="0" w:space="0" w:color="auto"/>
        <w:left w:val="none" w:sz="0" w:space="0" w:color="auto"/>
        <w:bottom w:val="none" w:sz="0" w:space="0" w:color="auto"/>
        <w:right w:val="none" w:sz="0" w:space="0" w:color="auto"/>
      </w:divBdr>
    </w:div>
    <w:div w:id="1466580341">
      <w:bodyDiv w:val="1"/>
      <w:marLeft w:val="0"/>
      <w:marRight w:val="0"/>
      <w:marTop w:val="0"/>
      <w:marBottom w:val="0"/>
      <w:divBdr>
        <w:top w:val="none" w:sz="0" w:space="0" w:color="auto"/>
        <w:left w:val="none" w:sz="0" w:space="0" w:color="auto"/>
        <w:bottom w:val="none" w:sz="0" w:space="0" w:color="auto"/>
        <w:right w:val="none" w:sz="0" w:space="0" w:color="auto"/>
      </w:divBdr>
    </w:div>
    <w:div w:id="1466848963">
      <w:bodyDiv w:val="1"/>
      <w:marLeft w:val="0"/>
      <w:marRight w:val="0"/>
      <w:marTop w:val="0"/>
      <w:marBottom w:val="0"/>
      <w:divBdr>
        <w:top w:val="none" w:sz="0" w:space="0" w:color="auto"/>
        <w:left w:val="none" w:sz="0" w:space="0" w:color="auto"/>
        <w:bottom w:val="none" w:sz="0" w:space="0" w:color="auto"/>
        <w:right w:val="none" w:sz="0" w:space="0" w:color="auto"/>
      </w:divBdr>
    </w:div>
    <w:div w:id="1466893768">
      <w:bodyDiv w:val="1"/>
      <w:marLeft w:val="0"/>
      <w:marRight w:val="0"/>
      <w:marTop w:val="0"/>
      <w:marBottom w:val="0"/>
      <w:divBdr>
        <w:top w:val="none" w:sz="0" w:space="0" w:color="auto"/>
        <w:left w:val="none" w:sz="0" w:space="0" w:color="auto"/>
        <w:bottom w:val="none" w:sz="0" w:space="0" w:color="auto"/>
        <w:right w:val="none" w:sz="0" w:space="0" w:color="auto"/>
      </w:divBdr>
    </w:div>
    <w:div w:id="1467357380">
      <w:bodyDiv w:val="1"/>
      <w:marLeft w:val="0"/>
      <w:marRight w:val="0"/>
      <w:marTop w:val="0"/>
      <w:marBottom w:val="0"/>
      <w:divBdr>
        <w:top w:val="none" w:sz="0" w:space="0" w:color="auto"/>
        <w:left w:val="none" w:sz="0" w:space="0" w:color="auto"/>
        <w:bottom w:val="none" w:sz="0" w:space="0" w:color="auto"/>
        <w:right w:val="none" w:sz="0" w:space="0" w:color="auto"/>
      </w:divBdr>
    </w:div>
    <w:div w:id="1468545194">
      <w:bodyDiv w:val="1"/>
      <w:marLeft w:val="0"/>
      <w:marRight w:val="0"/>
      <w:marTop w:val="0"/>
      <w:marBottom w:val="0"/>
      <w:divBdr>
        <w:top w:val="none" w:sz="0" w:space="0" w:color="auto"/>
        <w:left w:val="none" w:sz="0" w:space="0" w:color="auto"/>
        <w:bottom w:val="none" w:sz="0" w:space="0" w:color="auto"/>
        <w:right w:val="none" w:sz="0" w:space="0" w:color="auto"/>
      </w:divBdr>
    </w:div>
    <w:div w:id="1468621082">
      <w:bodyDiv w:val="1"/>
      <w:marLeft w:val="0"/>
      <w:marRight w:val="0"/>
      <w:marTop w:val="0"/>
      <w:marBottom w:val="0"/>
      <w:divBdr>
        <w:top w:val="none" w:sz="0" w:space="0" w:color="auto"/>
        <w:left w:val="none" w:sz="0" w:space="0" w:color="auto"/>
        <w:bottom w:val="none" w:sz="0" w:space="0" w:color="auto"/>
        <w:right w:val="none" w:sz="0" w:space="0" w:color="auto"/>
      </w:divBdr>
    </w:div>
    <w:div w:id="1468668510">
      <w:bodyDiv w:val="1"/>
      <w:marLeft w:val="0"/>
      <w:marRight w:val="0"/>
      <w:marTop w:val="0"/>
      <w:marBottom w:val="0"/>
      <w:divBdr>
        <w:top w:val="none" w:sz="0" w:space="0" w:color="auto"/>
        <w:left w:val="none" w:sz="0" w:space="0" w:color="auto"/>
        <w:bottom w:val="none" w:sz="0" w:space="0" w:color="auto"/>
        <w:right w:val="none" w:sz="0" w:space="0" w:color="auto"/>
      </w:divBdr>
    </w:div>
    <w:div w:id="1469130647">
      <w:bodyDiv w:val="1"/>
      <w:marLeft w:val="0"/>
      <w:marRight w:val="0"/>
      <w:marTop w:val="0"/>
      <w:marBottom w:val="0"/>
      <w:divBdr>
        <w:top w:val="none" w:sz="0" w:space="0" w:color="auto"/>
        <w:left w:val="none" w:sz="0" w:space="0" w:color="auto"/>
        <w:bottom w:val="none" w:sz="0" w:space="0" w:color="auto"/>
        <w:right w:val="none" w:sz="0" w:space="0" w:color="auto"/>
      </w:divBdr>
    </w:div>
    <w:div w:id="1469318944">
      <w:bodyDiv w:val="1"/>
      <w:marLeft w:val="0"/>
      <w:marRight w:val="0"/>
      <w:marTop w:val="0"/>
      <w:marBottom w:val="0"/>
      <w:divBdr>
        <w:top w:val="none" w:sz="0" w:space="0" w:color="auto"/>
        <w:left w:val="none" w:sz="0" w:space="0" w:color="auto"/>
        <w:bottom w:val="none" w:sz="0" w:space="0" w:color="auto"/>
        <w:right w:val="none" w:sz="0" w:space="0" w:color="auto"/>
      </w:divBdr>
    </w:div>
    <w:div w:id="1469779382">
      <w:bodyDiv w:val="1"/>
      <w:marLeft w:val="0"/>
      <w:marRight w:val="0"/>
      <w:marTop w:val="0"/>
      <w:marBottom w:val="0"/>
      <w:divBdr>
        <w:top w:val="none" w:sz="0" w:space="0" w:color="auto"/>
        <w:left w:val="none" w:sz="0" w:space="0" w:color="auto"/>
        <w:bottom w:val="none" w:sz="0" w:space="0" w:color="auto"/>
        <w:right w:val="none" w:sz="0" w:space="0" w:color="auto"/>
      </w:divBdr>
    </w:div>
    <w:div w:id="1470123610">
      <w:bodyDiv w:val="1"/>
      <w:marLeft w:val="0"/>
      <w:marRight w:val="0"/>
      <w:marTop w:val="0"/>
      <w:marBottom w:val="0"/>
      <w:divBdr>
        <w:top w:val="none" w:sz="0" w:space="0" w:color="auto"/>
        <w:left w:val="none" w:sz="0" w:space="0" w:color="auto"/>
        <w:bottom w:val="none" w:sz="0" w:space="0" w:color="auto"/>
        <w:right w:val="none" w:sz="0" w:space="0" w:color="auto"/>
      </w:divBdr>
    </w:div>
    <w:div w:id="1470173921">
      <w:bodyDiv w:val="1"/>
      <w:marLeft w:val="0"/>
      <w:marRight w:val="0"/>
      <w:marTop w:val="0"/>
      <w:marBottom w:val="0"/>
      <w:divBdr>
        <w:top w:val="none" w:sz="0" w:space="0" w:color="auto"/>
        <w:left w:val="none" w:sz="0" w:space="0" w:color="auto"/>
        <w:bottom w:val="none" w:sz="0" w:space="0" w:color="auto"/>
        <w:right w:val="none" w:sz="0" w:space="0" w:color="auto"/>
      </w:divBdr>
    </w:div>
    <w:div w:id="1470323942">
      <w:bodyDiv w:val="1"/>
      <w:marLeft w:val="0"/>
      <w:marRight w:val="0"/>
      <w:marTop w:val="0"/>
      <w:marBottom w:val="0"/>
      <w:divBdr>
        <w:top w:val="none" w:sz="0" w:space="0" w:color="auto"/>
        <w:left w:val="none" w:sz="0" w:space="0" w:color="auto"/>
        <w:bottom w:val="none" w:sz="0" w:space="0" w:color="auto"/>
        <w:right w:val="none" w:sz="0" w:space="0" w:color="auto"/>
      </w:divBdr>
    </w:div>
    <w:div w:id="1470325440">
      <w:bodyDiv w:val="1"/>
      <w:marLeft w:val="0"/>
      <w:marRight w:val="0"/>
      <w:marTop w:val="0"/>
      <w:marBottom w:val="0"/>
      <w:divBdr>
        <w:top w:val="none" w:sz="0" w:space="0" w:color="auto"/>
        <w:left w:val="none" w:sz="0" w:space="0" w:color="auto"/>
        <w:bottom w:val="none" w:sz="0" w:space="0" w:color="auto"/>
        <w:right w:val="none" w:sz="0" w:space="0" w:color="auto"/>
      </w:divBdr>
    </w:div>
    <w:div w:id="1470391977">
      <w:bodyDiv w:val="1"/>
      <w:marLeft w:val="0"/>
      <w:marRight w:val="0"/>
      <w:marTop w:val="0"/>
      <w:marBottom w:val="0"/>
      <w:divBdr>
        <w:top w:val="none" w:sz="0" w:space="0" w:color="auto"/>
        <w:left w:val="none" w:sz="0" w:space="0" w:color="auto"/>
        <w:bottom w:val="none" w:sz="0" w:space="0" w:color="auto"/>
        <w:right w:val="none" w:sz="0" w:space="0" w:color="auto"/>
      </w:divBdr>
    </w:div>
    <w:div w:id="1470511873">
      <w:bodyDiv w:val="1"/>
      <w:marLeft w:val="0"/>
      <w:marRight w:val="0"/>
      <w:marTop w:val="0"/>
      <w:marBottom w:val="0"/>
      <w:divBdr>
        <w:top w:val="none" w:sz="0" w:space="0" w:color="auto"/>
        <w:left w:val="none" w:sz="0" w:space="0" w:color="auto"/>
        <w:bottom w:val="none" w:sz="0" w:space="0" w:color="auto"/>
        <w:right w:val="none" w:sz="0" w:space="0" w:color="auto"/>
      </w:divBdr>
    </w:div>
    <w:div w:id="1470896082">
      <w:bodyDiv w:val="1"/>
      <w:marLeft w:val="0"/>
      <w:marRight w:val="0"/>
      <w:marTop w:val="0"/>
      <w:marBottom w:val="0"/>
      <w:divBdr>
        <w:top w:val="none" w:sz="0" w:space="0" w:color="auto"/>
        <w:left w:val="none" w:sz="0" w:space="0" w:color="auto"/>
        <w:bottom w:val="none" w:sz="0" w:space="0" w:color="auto"/>
        <w:right w:val="none" w:sz="0" w:space="0" w:color="auto"/>
      </w:divBdr>
    </w:div>
    <w:div w:id="1471558847">
      <w:bodyDiv w:val="1"/>
      <w:marLeft w:val="0"/>
      <w:marRight w:val="0"/>
      <w:marTop w:val="0"/>
      <w:marBottom w:val="0"/>
      <w:divBdr>
        <w:top w:val="none" w:sz="0" w:space="0" w:color="auto"/>
        <w:left w:val="none" w:sz="0" w:space="0" w:color="auto"/>
        <w:bottom w:val="none" w:sz="0" w:space="0" w:color="auto"/>
        <w:right w:val="none" w:sz="0" w:space="0" w:color="auto"/>
      </w:divBdr>
    </w:div>
    <w:div w:id="1471706303">
      <w:bodyDiv w:val="1"/>
      <w:marLeft w:val="0"/>
      <w:marRight w:val="0"/>
      <w:marTop w:val="0"/>
      <w:marBottom w:val="0"/>
      <w:divBdr>
        <w:top w:val="none" w:sz="0" w:space="0" w:color="auto"/>
        <w:left w:val="none" w:sz="0" w:space="0" w:color="auto"/>
        <w:bottom w:val="none" w:sz="0" w:space="0" w:color="auto"/>
        <w:right w:val="none" w:sz="0" w:space="0" w:color="auto"/>
      </w:divBdr>
    </w:div>
    <w:div w:id="1471902939">
      <w:bodyDiv w:val="1"/>
      <w:marLeft w:val="0"/>
      <w:marRight w:val="0"/>
      <w:marTop w:val="0"/>
      <w:marBottom w:val="0"/>
      <w:divBdr>
        <w:top w:val="none" w:sz="0" w:space="0" w:color="auto"/>
        <w:left w:val="none" w:sz="0" w:space="0" w:color="auto"/>
        <w:bottom w:val="none" w:sz="0" w:space="0" w:color="auto"/>
        <w:right w:val="none" w:sz="0" w:space="0" w:color="auto"/>
      </w:divBdr>
    </w:div>
    <w:div w:id="1472553400">
      <w:bodyDiv w:val="1"/>
      <w:marLeft w:val="0"/>
      <w:marRight w:val="0"/>
      <w:marTop w:val="0"/>
      <w:marBottom w:val="0"/>
      <w:divBdr>
        <w:top w:val="none" w:sz="0" w:space="0" w:color="auto"/>
        <w:left w:val="none" w:sz="0" w:space="0" w:color="auto"/>
        <w:bottom w:val="none" w:sz="0" w:space="0" w:color="auto"/>
        <w:right w:val="none" w:sz="0" w:space="0" w:color="auto"/>
      </w:divBdr>
    </w:div>
    <w:div w:id="1473138854">
      <w:bodyDiv w:val="1"/>
      <w:marLeft w:val="0"/>
      <w:marRight w:val="0"/>
      <w:marTop w:val="0"/>
      <w:marBottom w:val="0"/>
      <w:divBdr>
        <w:top w:val="none" w:sz="0" w:space="0" w:color="auto"/>
        <w:left w:val="none" w:sz="0" w:space="0" w:color="auto"/>
        <w:bottom w:val="none" w:sz="0" w:space="0" w:color="auto"/>
        <w:right w:val="none" w:sz="0" w:space="0" w:color="auto"/>
      </w:divBdr>
    </w:div>
    <w:div w:id="1473326504">
      <w:bodyDiv w:val="1"/>
      <w:marLeft w:val="0"/>
      <w:marRight w:val="0"/>
      <w:marTop w:val="0"/>
      <w:marBottom w:val="0"/>
      <w:divBdr>
        <w:top w:val="none" w:sz="0" w:space="0" w:color="auto"/>
        <w:left w:val="none" w:sz="0" w:space="0" w:color="auto"/>
        <w:bottom w:val="none" w:sz="0" w:space="0" w:color="auto"/>
        <w:right w:val="none" w:sz="0" w:space="0" w:color="auto"/>
      </w:divBdr>
    </w:div>
    <w:div w:id="1473327342">
      <w:bodyDiv w:val="1"/>
      <w:marLeft w:val="0"/>
      <w:marRight w:val="0"/>
      <w:marTop w:val="0"/>
      <w:marBottom w:val="0"/>
      <w:divBdr>
        <w:top w:val="none" w:sz="0" w:space="0" w:color="auto"/>
        <w:left w:val="none" w:sz="0" w:space="0" w:color="auto"/>
        <w:bottom w:val="none" w:sz="0" w:space="0" w:color="auto"/>
        <w:right w:val="none" w:sz="0" w:space="0" w:color="auto"/>
      </w:divBdr>
    </w:div>
    <w:div w:id="1473446192">
      <w:bodyDiv w:val="1"/>
      <w:marLeft w:val="0"/>
      <w:marRight w:val="0"/>
      <w:marTop w:val="0"/>
      <w:marBottom w:val="0"/>
      <w:divBdr>
        <w:top w:val="none" w:sz="0" w:space="0" w:color="auto"/>
        <w:left w:val="none" w:sz="0" w:space="0" w:color="auto"/>
        <w:bottom w:val="none" w:sz="0" w:space="0" w:color="auto"/>
        <w:right w:val="none" w:sz="0" w:space="0" w:color="auto"/>
      </w:divBdr>
    </w:div>
    <w:div w:id="1473521498">
      <w:bodyDiv w:val="1"/>
      <w:marLeft w:val="0"/>
      <w:marRight w:val="0"/>
      <w:marTop w:val="0"/>
      <w:marBottom w:val="0"/>
      <w:divBdr>
        <w:top w:val="none" w:sz="0" w:space="0" w:color="auto"/>
        <w:left w:val="none" w:sz="0" w:space="0" w:color="auto"/>
        <w:bottom w:val="none" w:sz="0" w:space="0" w:color="auto"/>
        <w:right w:val="none" w:sz="0" w:space="0" w:color="auto"/>
      </w:divBdr>
    </w:div>
    <w:div w:id="1473868757">
      <w:bodyDiv w:val="1"/>
      <w:marLeft w:val="0"/>
      <w:marRight w:val="0"/>
      <w:marTop w:val="0"/>
      <w:marBottom w:val="0"/>
      <w:divBdr>
        <w:top w:val="none" w:sz="0" w:space="0" w:color="auto"/>
        <w:left w:val="none" w:sz="0" w:space="0" w:color="auto"/>
        <w:bottom w:val="none" w:sz="0" w:space="0" w:color="auto"/>
        <w:right w:val="none" w:sz="0" w:space="0" w:color="auto"/>
      </w:divBdr>
    </w:div>
    <w:div w:id="1473913232">
      <w:bodyDiv w:val="1"/>
      <w:marLeft w:val="0"/>
      <w:marRight w:val="0"/>
      <w:marTop w:val="0"/>
      <w:marBottom w:val="0"/>
      <w:divBdr>
        <w:top w:val="none" w:sz="0" w:space="0" w:color="auto"/>
        <w:left w:val="none" w:sz="0" w:space="0" w:color="auto"/>
        <w:bottom w:val="none" w:sz="0" w:space="0" w:color="auto"/>
        <w:right w:val="none" w:sz="0" w:space="0" w:color="auto"/>
      </w:divBdr>
    </w:div>
    <w:div w:id="1474063090">
      <w:bodyDiv w:val="1"/>
      <w:marLeft w:val="0"/>
      <w:marRight w:val="0"/>
      <w:marTop w:val="0"/>
      <w:marBottom w:val="0"/>
      <w:divBdr>
        <w:top w:val="none" w:sz="0" w:space="0" w:color="auto"/>
        <w:left w:val="none" w:sz="0" w:space="0" w:color="auto"/>
        <w:bottom w:val="none" w:sz="0" w:space="0" w:color="auto"/>
        <w:right w:val="none" w:sz="0" w:space="0" w:color="auto"/>
      </w:divBdr>
    </w:div>
    <w:div w:id="1474367894">
      <w:bodyDiv w:val="1"/>
      <w:marLeft w:val="0"/>
      <w:marRight w:val="0"/>
      <w:marTop w:val="0"/>
      <w:marBottom w:val="0"/>
      <w:divBdr>
        <w:top w:val="none" w:sz="0" w:space="0" w:color="auto"/>
        <w:left w:val="none" w:sz="0" w:space="0" w:color="auto"/>
        <w:bottom w:val="none" w:sz="0" w:space="0" w:color="auto"/>
        <w:right w:val="none" w:sz="0" w:space="0" w:color="auto"/>
      </w:divBdr>
    </w:div>
    <w:div w:id="1475297907">
      <w:bodyDiv w:val="1"/>
      <w:marLeft w:val="0"/>
      <w:marRight w:val="0"/>
      <w:marTop w:val="0"/>
      <w:marBottom w:val="0"/>
      <w:divBdr>
        <w:top w:val="none" w:sz="0" w:space="0" w:color="auto"/>
        <w:left w:val="none" w:sz="0" w:space="0" w:color="auto"/>
        <w:bottom w:val="none" w:sz="0" w:space="0" w:color="auto"/>
        <w:right w:val="none" w:sz="0" w:space="0" w:color="auto"/>
      </w:divBdr>
    </w:div>
    <w:div w:id="1476144993">
      <w:bodyDiv w:val="1"/>
      <w:marLeft w:val="0"/>
      <w:marRight w:val="0"/>
      <w:marTop w:val="0"/>
      <w:marBottom w:val="0"/>
      <w:divBdr>
        <w:top w:val="none" w:sz="0" w:space="0" w:color="auto"/>
        <w:left w:val="none" w:sz="0" w:space="0" w:color="auto"/>
        <w:bottom w:val="none" w:sz="0" w:space="0" w:color="auto"/>
        <w:right w:val="none" w:sz="0" w:space="0" w:color="auto"/>
      </w:divBdr>
    </w:div>
    <w:div w:id="1476216237">
      <w:bodyDiv w:val="1"/>
      <w:marLeft w:val="0"/>
      <w:marRight w:val="0"/>
      <w:marTop w:val="0"/>
      <w:marBottom w:val="0"/>
      <w:divBdr>
        <w:top w:val="none" w:sz="0" w:space="0" w:color="auto"/>
        <w:left w:val="none" w:sz="0" w:space="0" w:color="auto"/>
        <w:bottom w:val="none" w:sz="0" w:space="0" w:color="auto"/>
        <w:right w:val="none" w:sz="0" w:space="0" w:color="auto"/>
      </w:divBdr>
    </w:div>
    <w:div w:id="1476288752">
      <w:bodyDiv w:val="1"/>
      <w:marLeft w:val="0"/>
      <w:marRight w:val="0"/>
      <w:marTop w:val="0"/>
      <w:marBottom w:val="0"/>
      <w:divBdr>
        <w:top w:val="none" w:sz="0" w:space="0" w:color="auto"/>
        <w:left w:val="none" w:sz="0" w:space="0" w:color="auto"/>
        <w:bottom w:val="none" w:sz="0" w:space="0" w:color="auto"/>
        <w:right w:val="none" w:sz="0" w:space="0" w:color="auto"/>
      </w:divBdr>
    </w:div>
    <w:div w:id="1476292694">
      <w:bodyDiv w:val="1"/>
      <w:marLeft w:val="0"/>
      <w:marRight w:val="0"/>
      <w:marTop w:val="0"/>
      <w:marBottom w:val="0"/>
      <w:divBdr>
        <w:top w:val="none" w:sz="0" w:space="0" w:color="auto"/>
        <w:left w:val="none" w:sz="0" w:space="0" w:color="auto"/>
        <w:bottom w:val="none" w:sz="0" w:space="0" w:color="auto"/>
        <w:right w:val="none" w:sz="0" w:space="0" w:color="auto"/>
      </w:divBdr>
    </w:div>
    <w:div w:id="1476334008">
      <w:bodyDiv w:val="1"/>
      <w:marLeft w:val="0"/>
      <w:marRight w:val="0"/>
      <w:marTop w:val="0"/>
      <w:marBottom w:val="0"/>
      <w:divBdr>
        <w:top w:val="none" w:sz="0" w:space="0" w:color="auto"/>
        <w:left w:val="none" w:sz="0" w:space="0" w:color="auto"/>
        <w:bottom w:val="none" w:sz="0" w:space="0" w:color="auto"/>
        <w:right w:val="none" w:sz="0" w:space="0" w:color="auto"/>
      </w:divBdr>
    </w:div>
    <w:div w:id="1476490791">
      <w:bodyDiv w:val="1"/>
      <w:marLeft w:val="0"/>
      <w:marRight w:val="0"/>
      <w:marTop w:val="0"/>
      <w:marBottom w:val="0"/>
      <w:divBdr>
        <w:top w:val="none" w:sz="0" w:space="0" w:color="auto"/>
        <w:left w:val="none" w:sz="0" w:space="0" w:color="auto"/>
        <w:bottom w:val="none" w:sz="0" w:space="0" w:color="auto"/>
        <w:right w:val="none" w:sz="0" w:space="0" w:color="auto"/>
      </w:divBdr>
    </w:div>
    <w:div w:id="1477142906">
      <w:bodyDiv w:val="1"/>
      <w:marLeft w:val="0"/>
      <w:marRight w:val="0"/>
      <w:marTop w:val="0"/>
      <w:marBottom w:val="0"/>
      <w:divBdr>
        <w:top w:val="none" w:sz="0" w:space="0" w:color="auto"/>
        <w:left w:val="none" w:sz="0" w:space="0" w:color="auto"/>
        <w:bottom w:val="none" w:sz="0" w:space="0" w:color="auto"/>
        <w:right w:val="none" w:sz="0" w:space="0" w:color="auto"/>
      </w:divBdr>
    </w:div>
    <w:div w:id="1477334192">
      <w:bodyDiv w:val="1"/>
      <w:marLeft w:val="0"/>
      <w:marRight w:val="0"/>
      <w:marTop w:val="0"/>
      <w:marBottom w:val="0"/>
      <w:divBdr>
        <w:top w:val="none" w:sz="0" w:space="0" w:color="auto"/>
        <w:left w:val="none" w:sz="0" w:space="0" w:color="auto"/>
        <w:bottom w:val="none" w:sz="0" w:space="0" w:color="auto"/>
        <w:right w:val="none" w:sz="0" w:space="0" w:color="auto"/>
      </w:divBdr>
    </w:div>
    <w:div w:id="1477913001">
      <w:bodyDiv w:val="1"/>
      <w:marLeft w:val="0"/>
      <w:marRight w:val="0"/>
      <w:marTop w:val="0"/>
      <w:marBottom w:val="0"/>
      <w:divBdr>
        <w:top w:val="none" w:sz="0" w:space="0" w:color="auto"/>
        <w:left w:val="none" w:sz="0" w:space="0" w:color="auto"/>
        <w:bottom w:val="none" w:sz="0" w:space="0" w:color="auto"/>
        <w:right w:val="none" w:sz="0" w:space="0" w:color="auto"/>
      </w:divBdr>
    </w:div>
    <w:div w:id="1478108197">
      <w:bodyDiv w:val="1"/>
      <w:marLeft w:val="0"/>
      <w:marRight w:val="0"/>
      <w:marTop w:val="0"/>
      <w:marBottom w:val="0"/>
      <w:divBdr>
        <w:top w:val="none" w:sz="0" w:space="0" w:color="auto"/>
        <w:left w:val="none" w:sz="0" w:space="0" w:color="auto"/>
        <w:bottom w:val="none" w:sz="0" w:space="0" w:color="auto"/>
        <w:right w:val="none" w:sz="0" w:space="0" w:color="auto"/>
      </w:divBdr>
    </w:div>
    <w:div w:id="1478301691">
      <w:bodyDiv w:val="1"/>
      <w:marLeft w:val="0"/>
      <w:marRight w:val="0"/>
      <w:marTop w:val="0"/>
      <w:marBottom w:val="0"/>
      <w:divBdr>
        <w:top w:val="none" w:sz="0" w:space="0" w:color="auto"/>
        <w:left w:val="none" w:sz="0" w:space="0" w:color="auto"/>
        <w:bottom w:val="none" w:sz="0" w:space="0" w:color="auto"/>
        <w:right w:val="none" w:sz="0" w:space="0" w:color="auto"/>
      </w:divBdr>
    </w:div>
    <w:div w:id="1478454165">
      <w:bodyDiv w:val="1"/>
      <w:marLeft w:val="0"/>
      <w:marRight w:val="0"/>
      <w:marTop w:val="0"/>
      <w:marBottom w:val="0"/>
      <w:divBdr>
        <w:top w:val="none" w:sz="0" w:space="0" w:color="auto"/>
        <w:left w:val="none" w:sz="0" w:space="0" w:color="auto"/>
        <w:bottom w:val="none" w:sz="0" w:space="0" w:color="auto"/>
        <w:right w:val="none" w:sz="0" w:space="0" w:color="auto"/>
      </w:divBdr>
    </w:div>
    <w:div w:id="1478648235">
      <w:bodyDiv w:val="1"/>
      <w:marLeft w:val="0"/>
      <w:marRight w:val="0"/>
      <w:marTop w:val="0"/>
      <w:marBottom w:val="0"/>
      <w:divBdr>
        <w:top w:val="none" w:sz="0" w:space="0" w:color="auto"/>
        <w:left w:val="none" w:sz="0" w:space="0" w:color="auto"/>
        <w:bottom w:val="none" w:sz="0" w:space="0" w:color="auto"/>
        <w:right w:val="none" w:sz="0" w:space="0" w:color="auto"/>
      </w:divBdr>
    </w:div>
    <w:div w:id="1479954566">
      <w:bodyDiv w:val="1"/>
      <w:marLeft w:val="0"/>
      <w:marRight w:val="0"/>
      <w:marTop w:val="0"/>
      <w:marBottom w:val="0"/>
      <w:divBdr>
        <w:top w:val="none" w:sz="0" w:space="0" w:color="auto"/>
        <w:left w:val="none" w:sz="0" w:space="0" w:color="auto"/>
        <w:bottom w:val="none" w:sz="0" w:space="0" w:color="auto"/>
        <w:right w:val="none" w:sz="0" w:space="0" w:color="auto"/>
      </w:divBdr>
    </w:div>
    <w:div w:id="1481926933">
      <w:bodyDiv w:val="1"/>
      <w:marLeft w:val="0"/>
      <w:marRight w:val="0"/>
      <w:marTop w:val="0"/>
      <w:marBottom w:val="0"/>
      <w:divBdr>
        <w:top w:val="none" w:sz="0" w:space="0" w:color="auto"/>
        <w:left w:val="none" w:sz="0" w:space="0" w:color="auto"/>
        <w:bottom w:val="none" w:sz="0" w:space="0" w:color="auto"/>
        <w:right w:val="none" w:sz="0" w:space="0" w:color="auto"/>
      </w:divBdr>
    </w:div>
    <w:div w:id="1482427019">
      <w:bodyDiv w:val="1"/>
      <w:marLeft w:val="0"/>
      <w:marRight w:val="0"/>
      <w:marTop w:val="0"/>
      <w:marBottom w:val="0"/>
      <w:divBdr>
        <w:top w:val="none" w:sz="0" w:space="0" w:color="auto"/>
        <w:left w:val="none" w:sz="0" w:space="0" w:color="auto"/>
        <w:bottom w:val="none" w:sz="0" w:space="0" w:color="auto"/>
        <w:right w:val="none" w:sz="0" w:space="0" w:color="auto"/>
      </w:divBdr>
    </w:div>
    <w:div w:id="1482501259">
      <w:bodyDiv w:val="1"/>
      <w:marLeft w:val="0"/>
      <w:marRight w:val="0"/>
      <w:marTop w:val="0"/>
      <w:marBottom w:val="0"/>
      <w:divBdr>
        <w:top w:val="none" w:sz="0" w:space="0" w:color="auto"/>
        <w:left w:val="none" w:sz="0" w:space="0" w:color="auto"/>
        <w:bottom w:val="none" w:sz="0" w:space="0" w:color="auto"/>
        <w:right w:val="none" w:sz="0" w:space="0" w:color="auto"/>
      </w:divBdr>
    </w:div>
    <w:div w:id="1483044389">
      <w:bodyDiv w:val="1"/>
      <w:marLeft w:val="0"/>
      <w:marRight w:val="0"/>
      <w:marTop w:val="0"/>
      <w:marBottom w:val="0"/>
      <w:divBdr>
        <w:top w:val="none" w:sz="0" w:space="0" w:color="auto"/>
        <w:left w:val="none" w:sz="0" w:space="0" w:color="auto"/>
        <w:bottom w:val="none" w:sz="0" w:space="0" w:color="auto"/>
        <w:right w:val="none" w:sz="0" w:space="0" w:color="auto"/>
      </w:divBdr>
    </w:div>
    <w:div w:id="1483160236">
      <w:bodyDiv w:val="1"/>
      <w:marLeft w:val="0"/>
      <w:marRight w:val="0"/>
      <w:marTop w:val="0"/>
      <w:marBottom w:val="0"/>
      <w:divBdr>
        <w:top w:val="none" w:sz="0" w:space="0" w:color="auto"/>
        <w:left w:val="none" w:sz="0" w:space="0" w:color="auto"/>
        <w:bottom w:val="none" w:sz="0" w:space="0" w:color="auto"/>
        <w:right w:val="none" w:sz="0" w:space="0" w:color="auto"/>
      </w:divBdr>
    </w:div>
    <w:div w:id="1483542844">
      <w:bodyDiv w:val="1"/>
      <w:marLeft w:val="0"/>
      <w:marRight w:val="0"/>
      <w:marTop w:val="0"/>
      <w:marBottom w:val="0"/>
      <w:divBdr>
        <w:top w:val="none" w:sz="0" w:space="0" w:color="auto"/>
        <w:left w:val="none" w:sz="0" w:space="0" w:color="auto"/>
        <w:bottom w:val="none" w:sz="0" w:space="0" w:color="auto"/>
        <w:right w:val="none" w:sz="0" w:space="0" w:color="auto"/>
      </w:divBdr>
    </w:div>
    <w:div w:id="1483544806">
      <w:bodyDiv w:val="1"/>
      <w:marLeft w:val="0"/>
      <w:marRight w:val="0"/>
      <w:marTop w:val="0"/>
      <w:marBottom w:val="0"/>
      <w:divBdr>
        <w:top w:val="none" w:sz="0" w:space="0" w:color="auto"/>
        <w:left w:val="none" w:sz="0" w:space="0" w:color="auto"/>
        <w:bottom w:val="none" w:sz="0" w:space="0" w:color="auto"/>
        <w:right w:val="none" w:sz="0" w:space="0" w:color="auto"/>
      </w:divBdr>
    </w:div>
    <w:div w:id="1484079431">
      <w:bodyDiv w:val="1"/>
      <w:marLeft w:val="0"/>
      <w:marRight w:val="0"/>
      <w:marTop w:val="0"/>
      <w:marBottom w:val="0"/>
      <w:divBdr>
        <w:top w:val="none" w:sz="0" w:space="0" w:color="auto"/>
        <w:left w:val="none" w:sz="0" w:space="0" w:color="auto"/>
        <w:bottom w:val="none" w:sz="0" w:space="0" w:color="auto"/>
        <w:right w:val="none" w:sz="0" w:space="0" w:color="auto"/>
      </w:divBdr>
    </w:div>
    <w:div w:id="1484196483">
      <w:bodyDiv w:val="1"/>
      <w:marLeft w:val="0"/>
      <w:marRight w:val="0"/>
      <w:marTop w:val="0"/>
      <w:marBottom w:val="0"/>
      <w:divBdr>
        <w:top w:val="none" w:sz="0" w:space="0" w:color="auto"/>
        <w:left w:val="none" w:sz="0" w:space="0" w:color="auto"/>
        <w:bottom w:val="none" w:sz="0" w:space="0" w:color="auto"/>
        <w:right w:val="none" w:sz="0" w:space="0" w:color="auto"/>
      </w:divBdr>
    </w:div>
    <w:div w:id="1484273083">
      <w:bodyDiv w:val="1"/>
      <w:marLeft w:val="0"/>
      <w:marRight w:val="0"/>
      <w:marTop w:val="0"/>
      <w:marBottom w:val="0"/>
      <w:divBdr>
        <w:top w:val="none" w:sz="0" w:space="0" w:color="auto"/>
        <w:left w:val="none" w:sz="0" w:space="0" w:color="auto"/>
        <w:bottom w:val="none" w:sz="0" w:space="0" w:color="auto"/>
        <w:right w:val="none" w:sz="0" w:space="0" w:color="auto"/>
      </w:divBdr>
    </w:div>
    <w:div w:id="1484933950">
      <w:bodyDiv w:val="1"/>
      <w:marLeft w:val="0"/>
      <w:marRight w:val="0"/>
      <w:marTop w:val="0"/>
      <w:marBottom w:val="0"/>
      <w:divBdr>
        <w:top w:val="none" w:sz="0" w:space="0" w:color="auto"/>
        <w:left w:val="none" w:sz="0" w:space="0" w:color="auto"/>
        <w:bottom w:val="none" w:sz="0" w:space="0" w:color="auto"/>
        <w:right w:val="none" w:sz="0" w:space="0" w:color="auto"/>
      </w:divBdr>
    </w:div>
    <w:div w:id="1485002348">
      <w:bodyDiv w:val="1"/>
      <w:marLeft w:val="0"/>
      <w:marRight w:val="0"/>
      <w:marTop w:val="0"/>
      <w:marBottom w:val="0"/>
      <w:divBdr>
        <w:top w:val="none" w:sz="0" w:space="0" w:color="auto"/>
        <w:left w:val="none" w:sz="0" w:space="0" w:color="auto"/>
        <w:bottom w:val="none" w:sz="0" w:space="0" w:color="auto"/>
        <w:right w:val="none" w:sz="0" w:space="0" w:color="auto"/>
      </w:divBdr>
    </w:div>
    <w:div w:id="1485314444">
      <w:bodyDiv w:val="1"/>
      <w:marLeft w:val="0"/>
      <w:marRight w:val="0"/>
      <w:marTop w:val="0"/>
      <w:marBottom w:val="0"/>
      <w:divBdr>
        <w:top w:val="none" w:sz="0" w:space="0" w:color="auto"/>
        <w:left w:val="none" w:sz="0" w:space="0" w:color="auto"/>
        <w:bottom w:val="none" w:sz="0" w:space="0" w:color="auto"/>
        <w:right w:val="none" w:sz="0" w:space="0" w:color="auto"/>
      </w:divBdr>
    </w:div>
    <w:div w:id="1485783281">
      <w:bodyDiv w:val="1"/>
      <w:marLeft w:val="0"/>
      <w:marRight w:val="0"/>
      <w:marTop w:val="0"/>
      <w:marBottom w:val="0"/>
      <w:divBdr>
        <w:top w:val="none" w:sz="0" w:space="0" w:color="auto"/>
        <w:left w:val="none" w:sz="0" w:space="0" w:color="auto"/>
        <w:bottom w:val="none" w:sz="0" w:space="0" w:color="auto"/>
        <w:right w:val="none" w:sz="0" w:space="0" w:color="auto"/>
      </w:divBdr>
    </w:div>
    <w:div w:id="1485858650">
      <w:bodyDiv w:val="1"/>
      <w:marLeft w:val="0"/>
      <w:marRight w:val="0"/>
      <w:marTop w:val="0"/>
      <w:marBottom w:val="0"/>
      <w:divBdr>
        <w:top w:val="none" w:sz="0" w:space="0" w:color="auto"/>
        <w:left w:val="none" w:sz="0" w:space="0" w:color="auto"/>
        <w:bottom w:val="none" w:sz="0" w:space="0" w:color="auto"/>
        <w:right w:val="none" w:sz="0" w:space="0" w:color="auto"/>
      </w:divBdr>
    </w:div>
    <w:div w:id="1486622322">
      <w:bodyDiv w:val="1"/>
      <w:marLeft w:val="0"/>
      <w:marRight w:val="0"/>
      <w:marTop w:val="0"/>
      <w:marBottom w:val="0"/>
      <w:divBdr>
        <w:top w:val="none" w:sz="0" w:space="0" w:color="auto"/>
        <w:left w:val="none" w:sz="0" w:space="0" w:color="auto"/>
        <w:bottom w:val="none" w:sz="0" w:space="0" w:color="auto"/>
        <w:right w:val="none" w:sz="0" w:space="0" w:color="auto"/>
      </w:divBdr>
    </w:div>
    <w:div w:id="1487093727">
      <w:bodyDiv w:val="1"/>
      <w:marLeft w:val="0"/>
      <w:marRight w:val="0"/>
      <w:marTop w:val="0"/>
      <w:marBottom w:val="0"/>
      <w:divBdr>
        <w:top w:val="none" w:sz="0" w:space="0" w:color="auto"/>
        <w:left w:val="none" w:sz="0" w:space="0" w:color="auto"/>
        <w:bottom w:val="none" w:sz="0" w:space="0" w:color="auto"/>
        <w:right w:val="none" w:sz="0" w:space="0" w:color="auto"/>
      </w:divBdr>
    </w:div>
    <w:div w:id="1487667964">
      <w:bodyDiv w:val="1"/>
      <w:marLeft w:val="0"/>
      <w:marRight w:val="0"/>
      <w:marTop w:val="0"/>
      <w:marBottom w:val="0"/>
      <w:divBdr>
        <w:top w:val="none" w:sz="0" w:space="0" w:color="auto"/>
        <w:left w:val="none" w:sz="0" w:space="0" w:color="auto"/>
        <w:bottom w:val="none" w:sz="0" w:space="0" w:color="auto"/>
        <w:right w:val="none" w:sz="0" w:space="0" w:color="auto"/>
      </w:divBdr>
    </w:div>
    <w:div w:id="1487896313">
      <w:bodyDiv w:val="1"/>
      <w:marLeft w:val="0"/>
      <w:marRight w:val="0"/>
      <w:marTop w:val="0"/>
      <w:marBottom w:val="0"/>
      <w:divBdr>
        <w:top w:val="none" w:sz="0" w:space="0" w:color="auto"/>
        <w:left w:val="none" w:sz="0" w:space="0" w:color="auto"/>
        <w:bottom w:val="none" w:sz="0" w:space="0" w:color="auto"/>
        <w:right w:val="none" w:sz="0" w:space="0" w:color="auto"/>
      </w:divBdr>
    </w:div>
    <w:div w:id="1488017677">
      <w:bodyDiv w:val="1"/>
      <w:marLeft w:val="0"/>
      <w:marRight w:val="0"/>
      <w:marTop w:val="0"/>
      <w:marBottom w:val="0"/>
      <w:divBdr>
        <w:top w:val="none" w:sz="0" w:space="0" w:color="auto"/>
        <w:left w:val="none" w:sz="0" w:space="0" w:color="auto"/>
        <w:bottom w:val="none" w:sz="0" w:space="0" w:color="auto"/>
        <w:right w:val="none" w:sz="0" w:space="0" w:color="auto"/>
      </w:divBdr>
    </w:div>
    <w:div w:id="1488327350">
      <w:bodyDiv w:val="1"/>
      <w:marLeft w:val="0"/>
      <w:marRight w:val="0"/>
      <w:marTop w:val="0"/>
      <w:marBottom w:val="0"/>
      <w:divBdr>
        <w:top w:val="none" w:sz="0" w:space="0" w:color="auto"/>
        <w:left w:val="none" w:sz="0" w:space="0" w:color="auto"/>
        <w:bottom w:val="none" w:sz="0" w:space="0" w:color="auto"/>
        <w:right w:val="none" w:sz="0" w:space="0" w:color="auto"/>
      </w:divBdr>
    </w:div>
    <w:div w:id="1489054653">
      <w:bodyDiv w:val="1"/>
      <w:marLeft w:val="0"/>
      <w:marRight w:val="0"/>
      <w:marTop w:val="0"/>
      <w:marBottom w:val="0"/>
      <w:divBdr>
        <w:top w:val="none" w:sz="0" w:space="0" w:color="auto"/>
        <w:left w:val="none" w:sz="0" w:space="0" w:color="auto"/>
        <w:bottom w:val="none" w:sz="0" w:space="0" w:color="auto"/>
        <w:right w:val="none" w:sz="0" w:space="0" w:color="auto"/>
      </w:divBdr>
    </w:div>
    <w:div w:id="1489057830">
      <w:bodyDiv w:val="1"/>
      <w:marLeft w:val="0"/>
      <w:marRight w:val="0"/>
      <w:marTop w:val="0"/>
      <w:marBottom w:val="0"/>
      <w:divBdr>
        <w:top w:val="none" w:sz="0" w:space="0" w:color="auto"/>
        <w:left w:val="none" w:sz="0" w:space="0" w:color="auto"/>
        <w:bottom w:val="none" w:sz="0" w:space="0" w:color="auto"/>
        <w:right w:val="none" w:sz="0" w:space="0" w:color="auto"/>
      </w:divBdr>
    </w:div>
    <w:div w:id="1489322794">
      <w:bodyDiv w:val="1"/>
      <w:marLeft w:val="0"/>
      <w:marRight w:val="0"/>
      <w:marTop w:val="0"/>
      <w:marBottom w:val="0"/>
      <w:divBdr>
        <w:top w:val="none" w:sz="0" w:space="0" w:color="auto"/>
        <w:left w:val="none" w:sz="0" w:space="0" w:color="auto"/>
        <w:bottom w:val="none" w:sz="0" w:space="0" w:color="auto"/>
        <w:right w:val="none" w:sz="0" w:space="0" w:color="auto"/>
      </w:divBdr>
    </w:div>
    <w:div w:id="1489663271">
      <w:bodyDiv w:val="1"/>
      <w:marLeft w:val="0"/>
      <w:marRight w:val="0"/>
      <w:marTop w:val="0"/>
      <w:marBottom w:val="0"/>
      <w:divBdr>
        <w:top w:val="none" w:sz="0" w:space="0" w:color="auto"/>
        <w:left w:val="none" w:sz="0" w:space="0" w:color="auto"/>
        <w:bottom w:val="none" w:sz="0" w:space="0" w:color="auto"/>
        <w:right w:val="none" w:sz="0" w:space="0" w:color="auto"/>
      </w:divBdr>
    </w:div>
    <w:div w:id="1489665058">
      <w:bodyDiv w:val="1"/>
      <w:marLeft w:val="0"/>
      <w:marRight w:val="0"/>
      <w:marTop w:val="0"/>
      <w:marBottom w:val="0"/>
      <w:divBdr>
        <w:top w:val="none" w:sz="0" w:space="0" w:color="auto"/>
        <w:left w:val="none" w:sz="0" w:space="0" w:color="auto"/>
        <w:bottom w:val="none" w:sz="0" w:space="0" w:color="auto"/>
        <w:right w:val="none" w:sz="0" w:space="0" w:color="auto"/>
      </w:divBdr>
    </w:div>
    <w:div w:id="1489786402">
      <w:bodyDiv w:val="1"/>
      <w:marLeft w:val="0"/>
      <w:marRight w:val="0"/>
      <w:marTop w:val="0"/>
      <w:marBottom w:val="0"/>
      <w:divBdr>
        <w:top w:val="none" w:sz="0" w:space="0" w:color="auto"/>
        <w:left w:val="none" w:sz="0" w:space="0" w:color="auto"/>
        <w:bottom w:val="none" w:sz="0" w:space="0" w:color="auto"/>
        <w:right w:val="none" w:sz="0" w:space="0" w:color="auto"/>
      </w:divBdr>
    </w:div>
    <w:div w:id="1490634689">
      <w:bodyDiv w:val="1"/>
      <w:marLeft w:val="0"/>
      <w:marRight w:val="0"/>
      <w:marTop w:val="0"/>
      <w:marBottom w:val="0"/>
      <w:divBdr>
        <w:top w:val="none" w:sz="0" w:space="0" w:color="auto"/>
        <w:left w:val="none" w:sz="0" w:space="0" w:color="auto"/>
        <w:bottom w:val="none" w:sz="0" w:space="0" w:color="auto"/>
        <w:right w:val="none" w:sz="0" w:space="0" w:color="auto"/>
      </w:divBdr>
    </w:div>
    <w:div w:id="1491021887">
      <w:bodyDiv w:val="1"/>
      <w:marLeft w:val="0"/>
      <w:marRight w:val="0"/>
      <w:marTop w:val="0"/>
      <w:marBottom w:val="0"/>
      <w:divBdr>
        <w:top w:val="none" w:sz="0" w:space="0" w:color="auto"/>
        <w:left w:val="none" w:sz="0" w:space="0" w:color="auto"/>
        <w:bottom w:val="none" w:sz="0" w:space="0" w:color="auto"/>
        <w:right w:val="none" w:sz="0" w:space="0" w:color="auto"/>
      </w:divBdr>
    </w:div>
    <w:div w:id="1491143490">
      <w:bodyDiv w:val="1"/>
      <w:marLeft w:val="0"/>
      <w:marRight w:val="0"/>
      <w:marTop w:val="0"/>
      <w:marBottom w:val="0"/>
      <w:divBdr>
        <w:top w:val="none" w:sz="0" w:space="0" w:color="auto"/>
        <w:left w:val="none" w:sz="0" w:space="0" w:color="auto"/>
        <w:bottom w:val="none" w:sz="0" w:space="0" w:color="auto"/>
        <w:right w:val="none" w:sz="0" w:space="0" w:color="auto"/>
      </w:divBdr>
    </w:div>
    <w:div w:id="1491557799">
      <w:bodyDiv w:val="1"/>
      <w:marLeft w:val="0"/>
      <w:marRight w:val="0"/>
      <w:marTop w:val="0"/>
      <w:marBottom w:val="0"/>
      <w:divBdr>
        <w:top w:val="none" w:sz="0" w:space="0" w:color="auto"/>
        <w:left w:val="none" w:sz="0" w:space="0" w:color="auto"/>
        <w:bottom w:val="none" w:sz="0" w:space="0" w:color="auto"/>
        <w:right w:val="none" w:sz="0" w:space="0" w:color="auto"/>
      </w:divBdr>
    </w:div>
    <w:div w:id="1491680638">
      <w:bodyDiv w:val="1"/>
      <w:marLeft w:val="0"/>
      <w:marRight w:val="0"/>
      <w:marTop w:val="0"/>
      <w:marBottom w:val="0"/>
      <w:divBdr>
        <w:top w:val="none" w:sz="0" w:space="0" w:color="auto"/>
        <w:left w:val="none" w:sz="0" w:space="0" w:color="auto"/>
        <w:bottom w:val="none" w:sz="0" w:space="0" w:color="auto"/>
        <w:right w:val="none" w:sz="0" w:space="0" w:color="auto"/>
      </w:divBdr>
    </w:div>
    <w:div w:id="1492019766">
      <w:bodyDiv w:val="1"/>
      <w:marLeft w:val="0"/>
      <w:marRight w:val="0"/>
      <w:marTop w:val="0"/>
      <w:marBottom w:val="0"/>
      <w:divBdr>
        <w:top w:val="none" w:sz="0" w:space="0" w:color="auto"/>
        <w:left w:val="none" w:sz="0" w:space="0" w:color="auto"/>
        <w:bottom w:val="none" w:sz="0" w:space="0" w:color="auto"/>
        <w:right w:val="none" w:sz="0" w:space="0" w:color="auto"/>
      </w:divBdr>
    </w:div>
    <w:div w:id="1493527542">
      <w:bodyDiv w:val="1"/>
      <w:marLeft w:val="0"/>
      <w:marRight w:val="0"/>
      <w:marTop w:val="0"/>
      <w:marBottom w:val="0"/>
      <w:divBdr>
        <w:top w:val="none" w:sz="0" w:space="0" w:color="auto"/>
        <w:left w:val="none" w:sz="0" w:space="0" w:color="auto"/>
        <w:bottom w:val="none" w:sz="0" w:space="0" w:color="auto"/>
        <w:right w:val="none" w:sz="0" w:space="0" w:color="auto"/>
      </w:divBdr>
    </w:div>
    <w:div w:id="1493643952">
      <w:bodyDiv w:val="1"/>
      <w:marLeft w:val="0"/>
      <w:marRight w:val="0"/>
      <w:marTop w:val="0"/>
      <w:marBottom w:val="0"/>
      <w:divBdr>
        <w:top w:val="none" w:sz="0" w:space="0" w:color="auto"/>
        <w:left w:val="none" w:sz="0" w:space="0" w:color="auto"/>
        <w:bottom w:val="none" w:sz="0" w:space="0" w:color="auto"/>
        <w:right w:val="none" w:sz="0" w:space="0" w:color="auto"/>
      </w:divBdr>
    </w:div>
    <w:div w:id="1493712738">
      <w:bodyDiv w:val="1"/>
      <w:marLeft w:val="0"/>
      <w:marRight w:val="0"/>
      <w:marTop w:val="0"/>
      <w:marBottom w:val="0"/>
      <w:divBdr>
        <w:top w:val="none" w:sz="0" w:space="0" w:color="auto"/>
        <w:left w:val="none" w:sz="0" w:space="0" w:color="auto"/>
        <w:bottom w:val="none" w:sz="0" w:space="0" w:color="auto"/>
        <w:right w:val="none" w:sz="0" w:space="0" w:color="auto"/>
      </w:divBdr>
    </w:div>
    <w:div w:id="1494444798">
      <w:bodyDiv w:val="1"/>
      <w:marLeft w:val="0"/>
      <w:marRight w:val="0"/>
      <w:marTop w:val="0"/>
      <w:marBottom w:val="0"/>
      <w:divBdr>
        <w:top w:val="none" w:sz="0" w:space="0" w:color="auto"/>
        <w:left w:val="none" w:sz="0" w:space="0" w:color="auto"/>
        <w:bottom w:val="none" w:sz="0" w:space="0" w:color="auto"/>
        <w:right w:val="none" w:sz="0" w:space="0" w:color="auto"/>
      </w:divBdr>
    </w:div>
    <w:div w:id="1494488555">
      <w:bodyDiv w:val="1"/>
      <w:marLeft w:val="0"/>
      <w:marRight w:val="0"/>
      <w:marTop w:val="0"/>
      <w:marBottom w:val="0"/>
      <w:divBdr>
        <w:top w:val="none" w:sz="0" w:space="0" w:color="auto"/>
        <w:left w:val="none" w:sz="0" w:space="0" w:color="auto"/>
        <w:bottom w:val="none" w:sz="0" w:space="0" w:color="auto"/>
        <w:right w:val="none" w:sz="0" w:space="0" w:color="auto"/>
      </w:divBdr>
    </w:div>
    <w:div w:id="1494907568">
      <w:bodyDiv w:val="1"/>
      <w:marLeft w:val="0"/>
      <w:marRight w:val="0"/>
      <w:marTop w:val="0"/>
      <w:marBottom w:val="0"/>
      <w:divBdr>
        <w:top w:val="none" w:sz="0" w:space="0" w:color="auto"/>
        <w:left w:val="none" w:sz="0" w:space="0" w:color="auto"/>
        <w:bottom w:val="none" w:sz="0" w:space="0" w:color="auto"/>
        <w:right w:val="none" w:sz="0" w:space="0" w:color="auto"/>
      </w:divBdr>
    </w:div>
    <w:div w:id="1495074250">
      <w:bodyDiv w:val="1"/>
      <w:marLeft w:val="0"/>
      <w:marRight w:val="0"/>
      <w:marTop w:val="0"/>
      <w:marBottom w:val="0"/>
      <w:divBdr>
        <w:top w:val="none" w:sz="0" w:space="0" w:color="auto"/>
        <w:left w:val="none" w:sz="0" w:space="0" w:color="auto"/>
        <w:bottom w:val="none" w:sz="0" w:space="0" w:color="auto"/>
        <w:right w:val="none" w:sz="0" w:space="0" w:color="auto"/>
      </w:divBdr>
    </w:div>
    <w:div w:id="1495218904">
      <w:bodyDiv w:val="1"/>
      <w:marLeft w:val="0"/>
      <w:marRight w:val="0"/>
      <w:marTop w:val="0"/>
      <w:marBottom w:val="0"/>
      <w:divBdr>
        <w:top w:val="none" w:sz="0" w:space="0" w:color="auto"/>
        <w:left w:val="none" w:sz="0" w:space="0" w:color="auto"/>
        <w:bottom w:val="none" w:sz="0" w:space="0" w:color="auto"/>
        <w:right w:val="none" w:sz="0" w:space="0" w:color="auto"/>
      </w:divBdr>
    </w:div>
    <w:div w:id="1495417686">
      <w:bodyDiv w:val="1"/>
      <w:marLeft w:val="0"/>
      <w:marRight w:val="0"/>
      <w:marTop w:val="0"/>
      <w:marBottom w:val="0"/>
      <w:divBdr>
        <w:top w:val="none" w:sz="0" w:space="0" w:color="auto"/>
        <w:left w:val="none" w:sz="0" w:space="0" w:color="auto"/>
        <w:bottom w:val="none" w:sz="0" w:space="0" w:color="auto"/>
        <w:right w:val="none" w:sz="0" w:space="0" w:color="auto"/>
      </w:divBdr>
    </w:div>
    <w:div w:id="1495603095">
      <w:bodyDiv w:val="1"/>
      <w:marLeft w:val="0"/>
      <w:marRight w:val="0"/>
      <w:marTop w:val="0"/>
      <w:marBottom w:val="0"/>
      <w:divBdr>
        <w:top w:val="none" w:sz="0" w:space="0" w:color="auto"/>
        <w:left w:val="none" w:sz="0" w:space="0" w:color="auto"/>
        <w:bottom w:val="none" w:sz="0" w:space="0" w:color="auto"/>
        <w:right w:val="none" w:sz="0" w:space="0" w:color="auto"/>
      </w:divBdr>
    </w:div>
    <w:div w:id="1495603853">
      <w:bodyDiv w:val="1"/>
      <w:marLeft w:val="0"/>
      <w:marRight w:val="0"/>
      <w:marTop w:val="0"/>
      <w:marBottom w:val="0"/>
      <w:divBdr>
        <w:top w:val="none" w:sz="0" w:space="0" w:color="auto"/>
        <w:left w:val="none" w:sz="0" w:space="0" w:color="auto"/>
        <w:bottom w:val="none" w:sz="0" w:space="0" w:color="auto"/>
        <w:right w:val="none" w:sz="0" w:space="0" w:color="auto"/>
      </w:divBdr>
    </w:div>
    <w:div w:id="1495759768">
      <w:bodyDiv w:val="1"/>
      <w:marLeft w:val="0"/>
      <w:marRight w:val="0"/>
      <w:marTop w:val="0"/>
      <w:marBottom w:val="0"/>
      <w:divBdr>
        <w:top w:val="none" w:sz="0" w:space="0" w:color="auto"/>
        <w:left w:val="none" w:sz="0" w:space="0" w:color="auto"/>
        <w:bottom w:val="none" w:sz="0" w:space="0" w:color="auto"/>
        <w:right w:val="none" w:sz="0" w:space="0" w:color="auto"/>
      </w:divBdr>
    </w:div>
    <w:div w:id="1495949467">
      <w:bodyDiv w:val="1"/>
      <w:marLeft w:val="0"/>
      <w:marRight w:val="0"/>
      <w:marTop w:val="0"/>
      <w:marBottom w:val="0"/>
      <w:divBdr>
        <w:top w:val="none" w:sz="0" w:space="0" w:color="auto"/>
        <w:left w:val="none" w:sz="0" w:space="0" w:color="auto"/>
        <w:bottom w:val="none" w:sz="0" w:space="0" w:color="auto"/>
        <w:right w:val="none" w:sz="0" w:space="0" w:color="auto"/>
      </w:divBdr>
    </w:div>
    <w:div w:id="1495995600">
      <w:bodyDiv w:val="1"/>
      <w:marLeft w:val="0"/>
      <w:marRight w:val="0"/>
      <w:marTop w:val="0"/>
      <w:marBottom w:val="0"/>
      <w:divBdr>
        <w:top w:val="none" w:sz="0" w:space="0" w:color="auto"/>
        <w:left w:val="none" w:sz="0" w:space="0" w:color="auto"/>
        <w:bottom w:val="none" w:sz="0" w:space="0" w:color="auto"/>
        <w:right w:val="none" w:sz="0" w:space="0" w:color="auto"/>
      </w:divBdr>
    </w:div>
    <w:div w:id="1496147027">
      <w:bodyDiv w:val="1"/>
      <w:marLeft w:val="0"/>
      <w:marRight w:val="0"/>
      <w:marTop w:val="0"/>
      <w:marBottom w:val="0"/>
      <w:divBdr>
        <w:top w:val="none" w:sz="0" w:space="0" w:color="auto"/>
        <w:left w:val="none" w:sz="0" w:space="0" w:color="auto"/>
        <w:bottom w:val="none" w:sz="0" w:space="0" w:color="auto"/>
        <w:right w:val="none" w:sz="0" w:space="0" w:color="auto"/>
      </w:divBdr>
    </w:div>
    <w:div w:id="1497264950">
      <w:bodyDiv w:val="1"/>
      <w:marLeft w:val="0"/>
      <w:marRight w:val="0"/>
      <w:marTop w:val="0"/>
      <w:marBottom w:val="0"/>
      <w:divBdr>
        <w:top w:val="none" w:sz="0" w:space="0" w:color="auto"/>
        <w:left w:val="none" w:sz="0" w:space="0" w:color="auto"/>
        <w:bottom w:val="none" w:sz="0" w:space="0" w:color="auto"/>
        <w:right w:val="none" w:sz="0" w:space="0" w:color="auto"/>
      </w:divBdr>
    </w:div>
    <w:div w:id="1497920104">
      <w:bodyDiv w:val="1"/>
      <w:marLeft w:val="0"/>
      <w:marRight w:val="0"/>
      <w:marTop w:val="0"/>
      <w:marBottom w:val="0"/>
      <w:divBdr>
        <w:top w:val="none" w:sz="0" w:space="0" w:color="auto"/>
        <w:left w:val="none" w:sz="0" w:space="0" w:color="auto"/>
        <w:bottom w:val="none" w:sz="0" w:space="0" w:color="auto"/>
        <w:right w:val="none" w:sz="0" w:space="0" w:color="auto"/>
      </w:divBdr>
    </w:div>
    <w:div w:id="1498302368">
      <w:bodyDiv w:val="1"/>
      <w:marLeft w:val="0"/>
      <w:marRight w:val="0"/>
      <w:marTop w:val="0"/>
      <w:marBottom w:val="0"/>
      <w:divBdr>
        <w:top w:val="none" w:sz="0" w:space="0" w:color="auto"/>
        <w:left w:val="none" w:sz="0" w:space="0" w:color="auto"/>
        <w:bottom w:val="none" w:sz="0" w:space="0" w:color="auto"/>
        <w:right w:val="none" w:sz="0" w:space="0" w:color="auto"/>
      </w:divBdr>
    </w:div>
    <w:div w:id="1498617231">
      <w:bodyDiv w:val="1"/>
      <w:marLeft w:val="0"/>
      <w:marRight w:val="0"/>
      <w:marTop w:val="0"/>
      <w:marBottom w:val="0"/>
      <w:divBdr>
        <w:top w:val="none" w:sz="0" w:space="0" w:color="auto"/>
        <w:left w:val="none" w:sz="0" w:space="0" w:color="auto"/>
        <w:bottom w:val="none" w:sz="0" w:space="0" w:color="auto"/>
        <w:right w:val="none" w:sz="0" w:space="0" w:color="auto"/>
      </w:divBdr>
    </w:div>
    <w:div w:id="1498690864">
      <w:bodyDiv w:val="1"/>
      <w:marLeft w:val="0"/>
      <w:marRight w:val="0"/>
      <w:marTop w:val="0"/>
      <w:marBottom w:val="0"/>
      <w:divBdr>
        <w:top w:val="none" w:sz="0" w:space="0" w:color="auto"/>
        <w:left w:val="none" w:sz="0" w:space="0" w:color="auto"/>
        <w:bottom w:val="none" w:sz="0" w:space="0" w:color="auto"/>
        <w:right w:val="none" w:sz="0" w:space="0" w:color="auto"/>
      </w:divBdr>
    </w:div>
    <w:div w:id="1498762952">
      <w:bodyDiv w:val="1"/>
      <w:marLeft w:val="0"/>
      <w:marRight w:val="0"/>
      <w:marTop w:val="0"/>
      <w:marBottom w:val="0"/>
      <w:divBdr>
        <w:top w:val="none" w:sz="0" w:space="0" w:color="auto"/>
        <w:left w:val="none" w:sz="0" w:space="0" w:color="auto"/>
        <w:bottom w:val="none" w:sz="0" w:space="0" w:color="auto"/>
        <w:right w:val="none" w:sz="0" w:space="0" w:color="auto"/>
      </w:divBdr>
    </w:div>
    <w:div w:id="1498886847">
      <w:bodyDiv w:val="1"/>
      <w:marLeft w:val="0"/>
      <w:marRight w:val="0"/>
      <w:marTop w:val="0"/>
      <w:marBottom w:val="0"/>
      <w:divBdr>
        <w:top w:val="none" w:sz="0" w:space="0" w:color="auto"/>
        <w:left w:val="none" w:sz="0" w:space="0" w:color="auto"/>
        <w:bottom w:val="none" w:sz="0" w:space="0" w:color="auto"/>
        <w:right w:val="none" w:sz="0" w:space="0" w:color="auto"/>
      </w:divBdr>
    </w:div>
    <w:div w:id="1498955076">
      <w:bodyDiv w:val="1"/>
      <w:marLeft w:val="0"/>
      <w:marRight w:val="0"/>
      <w:marTop w:val="0"/>
      <w:marBottom w:val="0"/>
      <w:divBdr>
        <w:top w:val="none" w:sz="0" w:space="0" w:color="auto"/>
        <w:left w:val="none" w:sz="0" w:space="0" w:color="auto"/>
        <w:bottom w:val="none" w:sz="0" w:space="0" w:color="auto"/>
        <w:right w:val="none" w:sz="0" w:space="0" w:color="auto"/>
      </w:divBdr>
    </w:div>
    <w:div w:id="1499036562">
      <w:bodyDiv w:val="1"/>
      <w:marLeft w:val="0"/>
      <w:marRight w:val="0"/>
      <w:marTop w:val="0"/>
      <w:marBottom w:val="0"/>
      <w:divBdr>
        <w:top w:val="none" w:sz="0" w:space="0" w:color="auto"/>
        <w:left w:val="none" w:sz="0" w:space="0" w:color="auto"/>
        <w:bottom w:val="none" w:sz="0" w:space="0" w:color="auto"/>
        <w:right w:val="none" w:sz="0" w:space="0" w:color="auto"/>
      </w:divBdr>
    </w:div>
    <w:div w:id="1499227713">
      <w:bodyDiv w:val="1"/>
      <w:marLeft w:val="0"/>
      <w:marRight w:val="0"/>
      <w:marTop w:val="0"/>
      <w:marBottom w:val="0"/>
      <w:divBdr>
        <w:top w:val="none" w:sz="0" w:space="0" w:color="auto"/>
        <w:left w:val="none" w:sz="0" w:space="0" w:color="auto"/>
        <w:bottom w:val="none" w:sz="0" w:space="0" w:color="auto"/>
        <w:right w:val="none" w:sz="0" w:space="0" w:color="auto"/>
      </w:divBdr>
    </w:div>
    <w:div w:id="1500996605">
      <w:bodyDiv w:val="1"/>
      <w:marLeft w:val="0"/>
      <w:marRight w:val="0"/>
      <w:marTop w:val="0"/>
      <w:marBottom w:val="0"/>
      <w:divBdr>
        <w:top w:val="none" w:sz="0" w:space="0" w:color="auto"/>
        <w:left w:val="none" w:sz="0" w:space="0" w:color="auto"/>
        <w:bottom w:val="none" w:sz="0" w:space="0" w:color="auto"/>
        <w:right w:val="none" w:sz="0" w:space="0" w:color="auto"/>
      </w:divBdr>
    </w:div>
    <w:div w:id="1501041663">
      <w:bodyDiv w:val="1"/>
      <w:marLeft w:val="0"/>
      <w:marRight w:val="0"/>
      <w:marTop w:val="0"/>
      <w:marBottom w:val="0"/>
      <w:divBdr>
        <w:top w:val="none" w:sz="0" w:space="0" w:color="auto"/>
        <w:left w:val="none" w:sz="0" w:space="0" w:color="auto"/>
        <w:bottom w:val="none" w:sz="0" w:space="0" w:color="auto"/>
        <w:right w:val="none" w:sz="0" w:space="0" w:color="auto"/>
      </w:divBdr>
    </w:div>
    <w:div w:id="1501115799">
      <w:bodyDiv w:val="1"/>
      <w:marLeft w:val="0"/>
      <w:marRight w:val="0"/>
      <w:marTop w:val="0"/>
      <w:marBottom w:val="0"/>
      <w:divBdr>
        <w:top w:val="none" w:sz="0" w:space="0" w:color="auto"/>
        <w:left w:val="none" w:sz="0" w:space="0" w:color="auto"/>
        <w:bottom w:val="none" w:sz="0" w:space="0" w:color="auto"/>
        <w:right w:val="none" w:sz="0" w:space="0" w:color="auto"/>
      </w:divBdr>
    </w:div>
    <w:div w:id="1501194580">
      <w:bodyDiv w:val="1"/>
      <w:marLeft w:val="0"/>
      <w:marRight w:val="0"/>
      <w:marTop w:val="0"/>
      <w:marBottom w:val="0"/>
      <w:divBdr>
        <w:top w:val="none" w:sz="0" w:space="0" w:color="auto"/>
        <w:left w:val="none" w:sz="0" w:space="0" w:color="auto"/>
        <w:bottom w:val="none" w:sz="0" w:space="0" w:color="auto"/>
        <w:right w:val="none" w:sz="0" w:space="0" w:color="auto"/>
      </w:divBdr>
    </w:div>
    <w:div w:id="1501965579">
      <w:bodyDiv w:val="1"/>
      <w:marLeft w:val="0"/>
      <w:marRight w:val="0"/>
      <w:marTop w:val="0"/>
      <w:marBottom w:val="0"/>
      <w:divBdr>
        <w:top w:val="none" w:sz="0" w:space="0" w:color="auto"/>
        <w:left w:val="none" w:sz="0" w:space="0" w:color="auto"/>
        <w:bottom w:val="none" w:sz="0" w:space="0" w:color="auto"/>
        <w:right w:val="none" w:sz="0" w:space="0" w:color="auto"/>
      </w:divBdr>
    </w:div>
    <w:div w:id="1502237321">
      <w:bodyDiv w:val="1"/>
      <w:marLeft w:val="0"/>
      <w:marRight w:val="0"/>
      <w:marTop w:val="0"/>
      <w:marBottom w:val="0"/>
      <w:divBdr>
        <w:top w:val="none" w:sz="0" w:space="0" w:color="auto"/>
        <w:left w:val="none" w:sz="0" w:space="0" w:color="auto"/>
        <w:bottom w:val="none" w:sz="0" w:space="0" w:color="auto"/>
        <w:right w:val="none" w:sz="0" w:space="0" w:color="auto"/>
      </w:divBdr>
    </w:div>
    <w:div w:id="1502306150">
      <w:bodyDiv w:val="1"/>
      <w:marLeft w:val="0"/>
      <w:marRight w:val="0"/>
      <w:marTop w:val="0"/>
      <w:marBottom w:val="0"/>
      <w:divBdr>
        <w:top w:val="none" w:sz="0" w:space="0" w:color="auto"/>
        <w:left w:val="none" w:sz="0" w:space="0" w:color="auto"/>
        <w:bottom w:val="none" w:sz="0" w:space="0" w:color="auto"/>
        <w:right w:val="none" w:sz="0" w:space="0" w:color="auto"/>
      </w:divBdr>
    </w:div>
    <w:div w:id="1502702150">
      <w:bodyDiv w:val="1"/>
      <w:marLeft w:val="0"/>
      <w:marRight w:val="0"/>
      <w:marTop w:val="0"/>
      <w:marBottom w:val="0"/>
      <w:divBdr>
        <w:top w:val="none" w:sz="0" w:space="0" w:color="auto"/>
        <w:left w:val="none" w:sz="0" w:space="0" w:color="auto"/>
        <w:bottom w:val="none" w:sz="0" w:space="0" w:color="auto"/>
        <w:right w:val="none" w:sz="0" w:space="0" w:color="auto"/>
      </w:divBdr>
    </w:div>
    <w:div w:id="1502811405">
      <w:bodyDiv w:val="1"/>
      <w:marLeft w:val="0"/>
      <w:marRight w:val="0"/>
      <w:marTop w:val="0"/>
      <w:marBottom w:val="0"/>
      <w:divBdr>
        <w:top w:val="none" w:sz="0" w:space="0" w:color="auto"/>
        <w:left w:val="none" w:sz="0" w:space="0" w:color="auto"/>
        <w:bottom w:val="none" w:sz="0" w:space="0" w:color="auto"/>
        <w:right w:val="none" w:sz="0" w:space="0" w:color="auto"/>
      </w:divBdr>
    </w:div>
    <w:div w:id="1503009204">
      <w:bodyDiv w:val="1"/>
      <w:marLeft w:val="0"/>
      <w:marRight w:val="0"/>
      <w:marTop w:val="0"/>
      <w:marBottom w:val="0"/>
      <w:divBdr>
        <w:top w:val="none" w:sz="0" w:space="0" w:color="auto"/>
        <w:left w:val="none" w:sz="0" w:space="0" w:color="auto"/>
        <w:bottom w:val="none" w:sz="0" w:space="0" w:color="auto"/>
        <w:right w:val="none" w:sz="0" w:space="0" w:color="auto"/>
      </w:divBdr>
    </w:div>
    <w:div w:id="1503474232">
      <w:bodyDiv w:val="1"/>
      <w:marLeft w:val="0"/>
      <w:marRight w:val="0"/>
      <w:marTop w:val="0"/>
      <w:marBottom w:val="0"/>
      <w:divBdr>
        <w:top w:val="none" w:sz="0" w:space="0" w:color="auto"/>
        <w:left w:val="none" w:sz="0" w:space="0" w:color="auto"/>
        <w:bottom w:val="none" w:sz="0" w:space="0" w:color="auto"/>
        <w:right w:val="none" w:sz="0" w:space="0" w:color="auto"/>
      </w:divBdr>
    </w:div>
    <w:div w:id="1503616820">
      <w:bodyDiv w:val="1"/>
      <w:marLeft w:val="0"/>
      <w:marRight w:val="0"/>
      <w:marTop w:val="0"/>
      <w:marBottom w:val="0"/>
      <w:divBdr>
        <w:top w:val="none" w:sz="0" w:space="0" w:color="auto"/>
        <w:left w:val="none" w:sz="0" w:space="0" w:color="auto"/>
        <w:bottom w:val="none" w:sz="0" w:space="0" w:color="auto"/>
        <w:right w:val="none" w:sz="0" w:space="0" w:color="auto"/>
      </w:divBdr>
    </w:div>
    <w:div w:id="1503661176">
      <w:bodyDiv w:val="1"/>
      <w:marLeft w:val="0"/>
      <w:marRight w:val="0"/>
      <w:marTop w:val="0"/>
      <w:marBottom w:val="0"/>
      <w:divBdr>
        <w:top w:val="none" w:sz="0" w:space="0" w:color="auto"/>
        <w:left w:val="none" w:sz="0" w:space="0" w:color="auto"/>
        <w:bottom w:val="none" w:sz="0" w:space="0" w:color="auto"/>
        <w:right w:val="none" w:sz="0" w:space="0" w:color="auto"/>
      </w:divBdr>
    </w:div>
    <w:div w:id="1503741841">
      <w:bodyDiv w:val="1"/>
      <w:marLeft w:val="0"/>
      <w:marRight w:val="0"/>
      <w:marTop w:val="0"/>
      <w:marBottom w:val="0"/>
      <w:divBdr>
        <w:top w:val="none" w:sz="0" w:space="0" w:color="auto"/>
        <w:left w:val="none" w:sz="0" w:space="0" w:color="auto"/>
        <w:bottom w:val="none" w:sz="0" w:space="0" w:color="auto"/>
        <w:right w:val="none" w:sz="0" w:space="0" w:color="auto"/>
      </w:divBdr>
    </w:div>
    <w:div w:id="1504053457">
      <w:bodyDiv w:val="1"/>
      <w:marLeft w:val="0"/>
      <w:marRight w:val="0"/>
      <w:marTop w:val="0"/>
      <w:marBottom w:val="0"/>
      <w:divBdr>
        <w:top w:val="none" w:sz="0" w:space="0" w:color="auto"/>
        <w:left w:val="none" w:sz="0" w:space="0" w:color="auto"/>
        <w:bottom w:val="none" w:sz="0" w:space="0" w:color="auto"/>
        <w:right w:val="none" w:sz="0" w:space="0" w:color="auto"/>
      </w:divBdr>
    </w:div>
    <w:div w:id="1504202266">
      <w:bodyDiv w:val="1"/>
      <w:marLeft w:val="0"/>
      <w:marRight w:val="0"/>
      <w:marTop w:val="0"/>
      <w:marBottom w:val="0"/>
      <w:divBdr>
        <w:top w:val="none" w:sz="0" w:space="0" w:color="auto"/>
        <w:left w:val="none" w:sz="0" w:space="0" w:color="auto"/>
        <w:bottom w:val="none" w:sz="0" w:space="0" w:color="auto"/>
        <w:right w:val="none" w:sz="0" w:space="0" w:color="auto"/>
      </w:divBdr>
    </w:div>
    <w:div w:id="1504274217">
      <w:bodyDiv w:val="1"/>
      <w:marLeft w:val="0"/>
      <w:marRight w:val="0"/>
      <w:marTop w:val="0"/>
      <w:marBottom w:val="0"/>
      <w:divBdr>
        <w:top w:val="none" w:sz="0" w:space="0" w:color="auto"/>
        <w:left w:val="none" w:sz="0" w:space="0" w:color="auto"/>
        <w:bottom w:val="none" w:sz="0" w:space="0" w:color="auto"/>
        <w:right w:val="none" w:sz="0" w:space="0" w:color="auto"/>
      </w:divBdr>
    </w:div>
    <w:div w:id="1504278457">
      <w:bodyDiv w:val="1"/>
      <w:marLeft w:val="0"/>
      <w:marRight w:val="0"/>
      <w:marTop w:val="0"/>
      <w:marBottom w:val="0"/>
      <w:divBdr>
        <w:top w:val="none" w:sz="0" w:space="0" w:color="auto"/>
        <w:left w:val="none" w:sz="0" w:space="0" w:color="auto"/>
        <w:bottom w:val="none" w:sz="0" w:space="0" w:color="auto"/>
        <w:right w:val="none" w:sz="0" w:space="0" w:color="auto"/>
      </w:divBdr>
    </w:div>
    <w:div w:id="1504583545">
      <w:bodyDiv w:val="1"/>
      <w:marLeft w:val="0"/>
      <w:marRight w:val="0"/>
      <w:marTop w:val="0"/>
      <w:marBottom w:val="0"/>
      <w:divBdr>
        <w:top w:val="none" w:sz="0" w:space="0" w:color="auto"/>
        <w:left w:val="none" w:sz="0" w:space="0" w:color="auto"/>
        <w:bottom w:val="none" w:sz="0" w:space="0" w:color="auto"/>
        <w:right w:val="none" w:sz="0" w:space="0" w:color="auto"/>
      </w:divBdr>
    </w:div>
    <w:div w:id="1504659943">
      <w:bodyDiv w:val="1"/>
      <w:marLeft w:val="0"/>
      <w:marRight w:val="0"/>
      <w:marTop w:val="0"/>
      <w:marBottom w:val="0"/>
      <w:divBdr>
        <w:top w:val="none" w:sz="0" w:space="0" w:color="auto"/>
        <w:left w:val="none" w:sz="0" w:space="0" w:color="auto"/>
        <w:bottom w:val="none" w:sz="0" w:space="0" w:color="auto"/>
        <w:right w:val="none" w:sz="0" w:space="0" w:color="auto"/>
      </w:divBdr>
    </w:div>
    <w:div w:id="1504736930">
      <w:bodyDiv w:val="1"/>
      <w:marLeft w:val="0"/>
      <w:marRight w:val="0"/>
      <w:marTop w:val="0"/>
      <w:marBottom w:val="0"/>
      <w:divBdr>
        <w:top w:val="none" w:sz="0" w:space="0" w:color="auto"/>
        <w:left w:val="none" w:sz="0" w:space="0" w:color="auto"/>
        <w:bottom w:val="none" w:sz="0" w:space="0" w:color="auto"/>
        <w:right w:val="none" w:sz="0" w:space="0" w:color="auto"/>
      </w:divBdr>
    </w:div>
    <w:div w:id="1505317545">
      <w:bodyDiv w:val="1"/>
      <w:marLeft w:val="0"/>
      <w:marRight w:val="0"/>
      <w:marTop w:val="0"/>
      <w:marBottom w:val="0"/>
      <w:divBdr>
        <w:top w:val="none" w:sz="0" w:space="0" w:color="auto"/>
        <w:left w:val="none" w:sz="0" w:space="0" w:color="auto"/>
        <w:bottom w:val="none" w:sz="0" w:space="0" w:color="auto"/>
        <w:right w:val="none" w:sz="0" w:space="0" w:color="auto"/>
      </w:divBdr>
    </w:div>
    <w:div w:id="1505440571">
      <w:bodyDiv w:val="1"/>
      <w:marLeft w:val="0"/>
      <w:marRight w:val="0"/>
      <w:marTop w:val="0"/>
      <w:marBottom w:val="0"/>
      <w:divBdr>
        <w:top w:val="none" w:sz="0" w:space="0" w:color="auto"/>
        <w:left w:val="none" w:sz="0" w:space="0" w:color="auto"/>
        <w:bottom w:val="none" w:sz="0" w:space="0" w:color="auto"/>
        <w:right w:val="none" w:sz="0" w:space="0" w:color="auto"/>
      </w:divBdr>
    </w:div>
    <w:div w:id="1505894428">
      <w:bodyDiv w:val="1"/>
      <w:marLeft w:val="0"/>
      <w:marRight w:val="0"/>
      <w:marTop w:val="0"/>
      <w:marBottom w:val="0"/>
      <w:divBdr>
        <w:top w:val="none" w:sz="0" w:space="0" w:color="auto"/>
        <w:left w:val="none" w:sz="0" w:space="0" w:color="auto"/>
        <w:bottom w:val="none" w:sz="0" w:space="0" w:color="auto"/>
        <w:right w:val="none" w:sz="0" w:space="0" w:color="auto"/>
      </w:divBdr>
    </w:div>
    <w:div w:id="1506483234">
      <w:bodyDiv w:val="1"/>
      <w:marLeft w:val="0"/>
      <w:marRight w:val="0"/>
      <w:marTop w:val="0"/>
      <w:marBottom w:val="0"/>
      <w:divBdr>
        <w:top w:val="none" w:sz="0" w:space="0" w:color="auto"/>
        <w:left w:val="none" w:sz="0" w:space="0" w:color="auto"/>
        <w:bottom w:val="none" w:sz="0" w:space="0" w:color="auto"/>
        <w:right w:val="none" w:sz="0" w:space="0" w:color="auto"/>
      </w:divBdr>
    </w:div>
    <w:div w:id="1506630726">
      <w:bodyDiv w:val="1"/>
      <w:marLeft w:val="0"/>
      <w:marRight w:val="0"/>
      <w:marTop w:val="0"/>
      <w:marBottom w:val="0"/>
      <w:divBdr>
        <w:top w:val="none" w:sz="0" w:space="0" w:color="auto"/>
        <w:left w:val="none" w:sz="0" w:space="0" w:color="auto"/>
        <w:bottom w:val="none" w:sz="0" w:space="0" w:color="auto"/>
        <w:right w:val="none" w:sz="0" w:space="0" w:color="auto"/>
      </w:divBdr>
    </w:div>
    <w:div w:id="1506632005">
      <w:bodyDiv w:val="1"/>
      <w:marLeft w:val="0"/>
      <w:marRight w:val="0"/>
      <w:marTop w:val="0"/>
      <w:marBottom w:val="0"/>
      <w:divBdr>
        <w:top w:val="none" w:sz="0" w:space="0" w:color="auto"/>
        <w:left w:val="none" w:sz="0" w:space="0" w:color="auto"/>
        <w:bottom w:val="none" w:sz="0" w:space="0" w:color="auto"/>
        <w:right w:val="none" w:sz="0" w:space="0" w:color="auto"/>
      </w:divBdr>
    </w:div>
    <w:div w:id="1506675460">
      <w:bodyDiv w:val="1"/>
      <w:marLeft w:val="0"/>
      <w:marRight w:val="0"/>
      <w:marTop w:val="0"/>
      <w:marBottom w:val="0"/>
      <w:divBdr>
        <w:top w:val="none" w:sz="0" w:space="0" w:color="auto"/>
        <w:left w:val="none" w:sz="0" w:space="0" w:color="auto"/>
        <w:bottom w:val="none" w:sz="0" w:space="0" w:color="auto"/>
        <w:right w:val="none" w:sz="0" w:space="0" w:color="auto"/>
      </w:divBdr>
    </w:div>
    <w:div w:id="1506936049">
      <w:bodyDiv w:val="1"/>
      <w:marLeft w:val="0"/>
      <w:marRight w:val="0"/>
      <w:marTop w:val="0"/>
      <w:marBottom w:val="0"/>
      <w:divBdr>
        <w:top w:val="none" w:sz="0" w:space="0" w:color="auto"/>
        <w:left w:val="none" w:sz="0" w:space="0" w:color="auto"/>
        <w:bottom w:val="none" w:sz="0" w:space="0" w:color="auto"/>
        <w:right w:val="none" w:sz="0" w:space="0" w:color="auto"/>
      </w:divBdr>
    </w:div>
    <w:div w:id="1506937995">
      <w:bodyDiv w:val="1"/>
      <w:marLeft w:val="0"/>
      <w:marRight w:val="0"/>
      <w:marTop w:val="0"/>
      <w:marBottom w:val="0"/>
      <w:divBdr>
        <w:top w:val="none" w:sz="0" w:space="0" w:color="auto"/>
        <w:left w:val="none" w:sz="0" w:space="0" w:color="auto"/>
        <w:bottom w:val="none" w:sz="0" w:space="0" w:color="auto"/>
        <w:right w:val="none" w:sz="0" w:space="0" w:color="auto"/>
      </w:divBdr>
    </w:div>
    <w:div w:id="1506940382">
      <w:bodyDiv w:val="1"/>
      <w:marLeft w:val="0"/>
      <w:marRight w:val="0"/>
      <w:marTop w:val="0"/>
      <w:marBottom w:val="0"/>
      <w:divBdr>
        <w:top w:val="none" w:sz="0" w:space="0" w:color="auto"/>
        <w:left w:val="none" w:sz="0" w:space="0" w:color="auto"/>
        <w:bottom w:val="none" w:sz="0" w:space="0" w:color="auto"/>
        <w:right w:val="none" w:sz="0" w:space="0" w:color="auto"/>
      </w:divBdr>
    </w:div>
    <w:div w:id="1507163907">
      <w:bodyDiv w:val="1"/>
      <w:marLeft w:val="0"/>
      <w:marRight w:val="0"/>
      <w:marTop w:val="0"/>
      <w:marBottom w:val="0"/>
      <w:divBdr>
        <w:top w:val="none" w:sz="0" w:space="0" w:color="auto"/>
        <w:left w:val="none" w:sz="0" w:space="0" w:color="auto"/>
        <w:bottom w:val="none" w:sz="0" w:space="0" w:color="auto"/>
        <w:right w:val="none" w:sz="0" w:space="0" w:color="auto"/>
      </w:divBdr>
    </w:div>
    <w:div w:id="1507286106">
      <w:bodyDiv w:val="1"/>
      <w:marLeft w:val="0"/>
      <w:marRight w:val="0"/>
      <w:marTop w:val="0"/>
      <w:marBottom w:val="0"/>
      <w:divBdr>
        <w:top w:val="none" w:sz="0" w:space="0" w:color="auto"/>
        <w:left w:val="none" w:sz="0" w:space="0" w:color="auto"/>
        <w:bottom w:val="none" w:sz="0" w:space="0" w:color="auto"/>
        <w:right w:val="none" w:sz="0" w:space="0" w:color="auto"/>
      </w:divBdr>
    </w:div>
    <w:div w:id="1507403880">
      <w:bodyDiv w:val="1"/>
      <w:marLeft w:val="0"/>
      <w:marRight w:val="0"/>
      <w:marTop w:val="0"/>
      <w:marBottom w:val="0"/>
      <w:divBdr>
        <w:top w:val="none" w:sz="0" w:space="0" w:color="auto"/>
        <w:left w:val="none" w:sz="0" w:space="0" w:color="auto"/>
        <w:bottom w:val="none" w:sz="0" w:space="0" w:color="auto"/>
        <w:right w:val="none" w:sz="0" w:space="0" w:color="auto"/>
      </w:divBdr>
    </w:div>
    <w:div w:id="1507864049">
      <w:bodyDiv w:val="1"/>
      <w:marLeft w:val="0"/>
      <w:marRight w:val="0"/>
      <w:marTop w:val="0"/>
      <w:marBottom w:val="0"/>
      <w:divBdr>
        <w:top w:val="none" w:sz="0" w:space="0" w:color="auto"/>
        <w:left w:val="none" w:sz="0" w:space="0" w:color="auto"/>
        <w:bottom w:val="none" w:sz="0" w:space="0" w:color="auto"/>
        <w:right w:val="none" w:sz="0" w:space="0" w:color="auto"/>
      </w:divBdr>
    </w:div>
    <w:div w:id="1508400894">
      <w:bodyDiv w:val="1"/>
      <w:marLeft w:val="0"/>
      <w:marRight w:val="0"/>
      <w:marTop w:val="0"/>
      <w:marBottom w:val="0"/>
      <w:divBdr>
        <w:top w:val="none" w:sz="0" w:space="0" w:color="auto"/>
        <w:left w:val="none" w:sz="0" w:space="0" w:color="auto"/>
        <w:bottom w:val="none" w:sz="0" w:space="0" w:color="auto"/>
        <w:right w:val="none" w:sz="0" w:space="0" w:color="auto"/>
      </w:divBdr>
    </w:div>
    <w:div w:id="1508518208">
      <w:bodyDiv w:val="1"/>
      <w:marLeft w:val="0"/>
      <w:marRight w:val="0"/>
      <w:marTop w:val="0"/>
      <w:marBottom w:val="0"/>
      <w:divBdr>
        <w:top w:val="none" w:sz="0" w:space="0" w:color="auto"/>
        <w:left w:val="none" w:sz="0" w:space="0" w:color="auto"/>
        <w:bottom w:val="none" w:sz="0" w:space="0" w:color="auto"/>
        <w:right w:val="none" w:sz="0" w:space="0" w:color="auto"/>
      </w:divBdr>
    </w:div>
    <w:div w:id="1509757321">
      <w:bodyDiv w:val="1"/>
      <w:marLeft w:val="0"/>
      <w:marRight w:val="0"/>
      <w:marTop w:val="0"/>
      <w:marBottom w:val="0"/>
      <w:divBdr>
        <w:top w:val="none" w:sz="0" w:space="0" w:color="auto"/>
        <w:left w:val="none" w:sz="0" w:space="0" w:color="auto"/>
        <w:bottom w:val="none" w:sz="0" w:space="0" w:color="auto"/>
        <w:right w:val="none" w:sz="0" w:space="0" w:color="auto"/>
      </w:divBdr>
    </w:div>
    <w:div w:id="1509825500">
      <w:bodyDiv w:val="1"/>
      <w:marLeft w:val="0"/>
      <w:marRight w:val="0"/>
      <w:marTop w:val="0"/>
      <w:marBottom w:val="0"/>
      <w:divBdr>
        <w:top w:val="none" w:sz="0" w:space="0" w:color="auto"/>
        <w:left w:val="none" w:sz="0" w:space="0" w:color="auto"/>
        <w:bottom w:val="none" w:sz="0" w:space="0" w:color="auto"/>
        <w:right w:val="none" w:sz="0" w:space="0" w:color="auto"/>
      </w:divBdr>
    </w:div>
    <w:div w:id="1510097242">
      <w:bodyDiv w:val="1"/>
      <w:marLeft w:val="0"/>
      <w:marRight w:val="0"/>
      <w:marTop w:val="0"/>
      <w:marBottom w:val="0"/>
      <w:divBdr>
        <w:top w:val="none" w:sz="0" w:space="0" w:color="auto"/>
        <w:left w:val="none" w:sz="0" w:space="0" w:color="auto"/>
        <w:bottom w:val="none" w:sz="0" w:space="0" w:color="auto"/>
        <w:right w:val="none" w:sz="0" w:space="0" w:color="auto"/>
      </w:divBdr>
    </w:div>
    <w:div w:id="1510485597">
      <w:bodyDiv w:val="1"/>
      <w:marLeft w:val="0"/>
      <w:marRight w:val="0"/>
      <w:marTop w:val="0"/>
      <w:marBottom w:val="0"/>
      <w:divBdr>
        <w:top w:val="none" w:sz="0" w:space="0" w:color="auto"/>
        <w:left w:val="none" w:sz="0" w:space="0" w:color="auto"/>
        <w:bottom w:val="none" w:sz="0" w:space="0" w:color="auto"/>
        <w:right w:val="none" w:sz="0" w:space="0" w:color="auto"/>
      </w:divBdr>
    </w:div>
    <w:div w:id="1510754878">
      <w:bodyDiv w:val="1"/>
      <w:marLeft w:val="0"/>
      <w:marRight w:val="0"/>
      <w:marTop w:val="0"/>
      <w:marBottom w:val="0"/>
      <w:divBdr>
        <w:top w:val="none" w:sz="0" w:space="0" w:color="auto"/>
        <w:left w:val="none" w:sz="0" w:space="0" w:color="auto"/>
        <w:bottom w:val="none" w:sz="0" w:space="0" w:color="auto"/>
        <w:right w:val="none" w:sz="0" w:space="0" w:color="auto"/>
      </w:divBdr>
    </w:div>
    <w:div w:id="1510825337">
      <w:bodyDiv w:val="1"/>
      <w:marLeft w:val="0"/>
      <w:marRight w:val="0"/>
      <w:marTop w:val="0"/>
      <w:marBottom w:val="0"/>
      <w:divBdr>
        <w:top w:val="none" w:sz="0" w:space="0" w:color="auto"/>
        <w:left w:val="none" w:sz="0" w:space="0" w:color="auto"/>
        <w:bottom w:val="none" w:sz="0" w:space="0" w:color="auto"/>
        <w:right w:val="none" w:sz="0" w:space="0" w:color="auto"/>
      </w:divBdr>
    </w:div>
    <w:div w:id="1511138515">
      <w:bodyDiv w:val="1"/>
      <w:marLeft w:val="0"/>
      <w:marRight w:val="0"/>
      <w:marTop w:val="0"/>
      <w:marBottom w:val="0"/>
      <w:divBdr>
        <w:top w:val="none" w:sz="0" w:space="0" w:color="auto"/>
        <w:left w:val="none" w:sz="0" w:space="0" w:color="auto"/>
        <w:bottom w:val="none" w:sz="0" w:space="0" w:color="auto"/>
        <w:right w:val="none" w:sz="0" w:space="0" w:color="auto"/>
      </w:divBdr>
    </w:div>
    <w:div w:id="1511336680">
      <w:bodyDiv w:val="1"/>
      <w:marLeft w:val="0"/>
      <w:marRight w:val="0"/>
      <w:marTop w:val="0"/>
      <w:marBottom w:val="0"/>
      <w:divBdr>
        <w:top w:val="none" w:sz="0" w:space="0" w:color="auto"/>
        <w:left w:val="none" w:sz="0" w:space="0" w:color="auto"/>
        <w:bottom w:val="none" w:sz="0" w:space="0" w:color="auto"/>
        <w:right w:val="none" w:sz="0" w:space="0" w:color="auto"/>
      </w:divBdr>
    </w:div>
    <w:div w:id="1512260852">
      <w:bodyDiv w:val="1"/>
      <w:marLeft w:val="0"/>
      <w:marRight w:val="0"/>
      <w:marTop w:val="0"/>
      <w:marBottom w:val="0"/>
      <w:divBdr>
        <w:top w:val="none" w:sz="0" w:space="0" w:color="auto"/>
        <w:left w:val="none" w:sz="0" w:space="0" w:color="auto"/>
        <w:bottom w:val="none" w:sz="0" w:space="0" w:color="auto"/>
        <w:right w:val="none" w:sz="0" w:space="0" w:color="auto"/>
      </w:divBdr>
    </w:div>
    <w:div w:id="1512836553">
      <w:bodyDiv w:val="1"/>
      <w:marLeft w:val="0"/>
      <w:marRight w:val="0"/>
      <w:marTop w:val="0"/>
      <w:marBottom w:val="0"/>
      <w:divBdr>
        <w:top w:val="none" w:sz="0" w:space="0" w:color="auto"/>
        <w:left w:val="none" w:sz="0" w:space="0" w:color="auto"/>
        <w:bottom w:val="none" w:sz="0" w:space="0" w:color="auto"/>
        <w:right w:val="none" w:sz="0" w:space="0" w:color="auto"/>
      </w:divBdr>
    </w:div>
    <w:div w:id="1513033711">
      <w:bodyDiv w:val="1"/>
      <w:marLeft w:val="0"/>
      <w:marRight w:val="0"/>
      <w:marTop w:val="0"/>
      <w:marBottom w:val="0"/>
      <w:divBdr>
        <w:top w:val="none" w:sz="0" w:space="0" w:color="auto"/>
        <w:left w:val="none" w:sz="0" w:space="0" w:color="auto"/>
        <w:bottom w:val="none" w:sz="0" w:space="0" w:color="auto"/>
        <w:right w:val="none" w:sz="0" w:space="0" w:color="auto"/>
      </w:divBdr>
    </w:div>
    <w:div w:id="1514800980">
      <w:bodyDiv w:val="1"/>
      <w:marLeft w:val="0"/>
      <w:marRight w:val="0"/>
      <w:marTop w:val="0"/>
      <w:marBottom w:val="0"/>
      <w:divBdr>
        <w:top w:val="none" w:sz="0" w:space="0" w:color="auto"/>
        <w:left w:val="none" w:sz="0" w:space="0" w:color="auto"/>
        <w:bottom w:val="none" w:sz="0" w:space="0" w:color="auto"/>
        <w:right w:val="none" w:sz="0" w:space="0" w:color="auto"/>
      </w:divBdr>
    </w:div>
    <w:div w:id="1514996080">
      <w:bodyDiv w:val="1"/>
      <w:marLeft w:val="0"/>
      <w:marRight w:val="0"/>
      <w:marTop w:val="0"/>
      <w:marBottom w:val="0"/>
      <w:divBdr>
        <w:top w:val="none" w:sz="0" w:space="0" w:color="auto"/>
        <w:left w:val="none" w:sz="0" w:space="0" w:color="auto"/>
        <w:bottom w:val="none" w:sz="0" w:space="0" w:color="auto"/>
        <w:right w:val="none" w:sz="0" w:space="0" w:color="auto"/>
      </w:divBdr>
    </w:div>
    <w:div w:id="1515026146">
      <w:bodyDiv w:val="1"/>
      <w:marLeft w:val="0"/>
      <w:marRight w:val="0"/>
      <w:marTop w:val="0"/>
      <w:marBottom w:val="0"/>
      <w:divBdr>
        <w:top w:val="none" w:sz="0" w:space="0" w:color="auto"/>
        <w:left w:val="none" w:sz="0" w:space="0" w:color="auto"/>
        <w:bottom w:val="none" w:sz="0" w:space="0" w:color="auto"/>
        <w:right w:val="none" w:sz="0" w:space="0" w:color="auto"/>
      </w:divBdr>
    </w:div>
    <w:div w:id="1515338153">
      <w:bodyDiv w:val="1"/>
      <w:marLeft w:val="0"/>
      <w:marRight w:val="0"/>
      <w:marTop w:val="0"/>
      <w:marBottom w:val="0"/>
      <w:divBdr>
        <w:top w:val="none" w:sz="0" w:space="0" w:color="auto"/>
        <w:left w:val="none" w:sz="0" w:space="0" w:color="auto"/>
        <w:bottom w:val="none" w:sz="0" w:space="0" w:color="auto"/>
        <w:right w:val="none" w:sz="0" w:space="0" w:color="auto"/>
      </w:divBdr>
    </w:div>
    <w:div w:id="1515418382">
      <w:bodyDiv w:val="1"/>
      <w:marLeft w:val="0"/>
      <w:marRight w:val="0"/>
      <w:marTop w:val="0"/>
      <w:marBottom w:val="0"/>
      <w:divBdr>
        <w:top w:val="none" w:sz="0" w:space="0" w:color="auto"/>
        <w:left w:val="none" w:sz="0" w:space="0" w:color="auto"/>
        <w:bottom w:val="none" w:sz="0" w:space="0" w:color="auto"/>
        <w:right w:val="none" w:sz="0" w:space="0" w:color="auto"/>
      </w:divBdr>
    </w:div>
    <w:div w:id="1515419337">
      <w:bodyDiv w:val="1"/>
      <w:marLeft w:val="0"/>
      <w:marRight w:val="0"/>
      <w:marTop w:val="0"/>
      <w:marBottom w:val="0"/>
      <w:divBdr>
        <w:top w:val="none" w:sz="0" w:space="0" w:color="auto"/>
        <w:left w:val="none" w:sz="0" w:space="0" w:color="auto"/>
        <w:bottom w:val="none" w:sz="0" w:space="0" w:color="auto"/>
        <w:right w:val="none" w:sz="0" w:space="0" w:color="auto"/>
      </w:divBdr>
    </w:div>
    <w:div w:id="1515537779">
      <w:bodyDiv w:val="1"/>
      <w:marLeft w:val="0"/>
      <w:marRight w:val="0"/>
      <w:marTop w:val="0"/>
      <w:marBottom w:val="0"/>
      <w:divBdr>
        <w:top w:val="none" w:sz="0" w:space="0" w:color="auto"/>
        <w:left w:val="none" w:sz="0" w:space="0" w:color="auto"/>
        <w:bottom w:val="none" w:sz="0" w:space="0" w:color="auto"/>
        <w:right w:val="none" w:sz="0" w:space="0" w:color="auto"/>
      </w:divBdr>
    </w:div>
    <w:div w:id="1515614466">
      <w:bodyDiv w:val="1"/>
      <w:marLeft w:val="0"/>
      <w:marRight w:val="0"/>
      <w:marTop w:val="0"/>
      <w:marBottom w:val="0"/>
      <w:divBdr>
        <w:top w:val="none" w:sz="0" w:space="0" w:color="auto"/>
        <w:left w:val="none" w:sz="0" w:space="0" w:color="auto"/>
        <w:bottom w:val="none" w:sz="0" w:space="0" w:color="auto"/>
        <w:right w:val="none" w:sz="0" w:space="0" w:color="auto"/>
      </w:divBdr>
    </w:div>
    <w:div w:id="1516114402">
      <w:bodyDiv w:val="1"/>
      <w:marLeft w:val="0"/>
      <w:marRight w:val="0"/>
      <w:marTop w:val="0"/>
      <w:marBottom w:val="0"/>
      <w:divBdr>
        <w:top w:val="none" w:sz="0" w:space="0" w:color="auto"/>
        <w:left w:val="none" w:sz="0" w:space="0" w:color="auto"/>
        <w:bottom w:val="none" w:sz="0" w:space="0" w:color="auto"/>
        <w:right w:val="none" w:sz="0" w:space="0" w:color="auto"/>
      </w:divBdr>
    </w:div>
    <w:div w:id="1516729602">
      <w:bodyDiv w:val="1"/>
      <w:marLeft w:val="0"/>
      <w:marRight w:val="0"/>
      <w:marTop w:val="0"/>
      <w:marBottom w:val="0"/>
      <w:divBdr>
        <w:top w:val="none" w:sz="0" w:space="0" w:color="auto"/>
        <w:left w:val="none" w:sz="0" w:space="0" w:color="auto"/>
        <w:bottom w:val="none" w:sz="0" w:space="0" w:color="auto"/>
        <w:right w:val="none" w:sz="0" w:space="0" w:color="auto"/>
      </w:divBdr>
    </w:div>
    <w:div w:id="1517572662">
      <w:bodyDiv w:val="1"/>
      <w:marLeft w:val="0"/>
      <w:marRight w:val="0"/>
      <w:marTop w:val="0"/>
      <w:marBottom w:val="0"/>
      <w:divBdr>
        <w:top w:val="none" w:sz="0" w:space="0" w:color="auto"/>
        <w:left w:val="none" w:sz="0" w:space="0" w:color="auto"/>
        <w:bottom w:val="none" w:sz="0" w:space="0" w:color="auto"/>
        <w:right w:val="none" w:sz="0" w:space="0" w:color="auto"/>
      </w:divBdr>
    </w:div>
    <w:div w:id="1518999444">
      <w:bodyDiv w:val="1"/>
      <w:marLeft w:val="0"/>
      <w:marRight w:val="0"/>
      <w:marTop w:val="0"/>
      <w:marBottom w:val="0"/>
      <w:divBdr>
        <w:top w:val="none" w:sz="0" w:space="0" w:color="auto"/>
        <w:left w:val="none" w:sz="0" w:space="0" w:color="auto"/>
        <w:bottom w:val="none" w:sz="0" w:space="0" w:color="auto"/>
        <w:right w:val="none" w:sz="0" w:space="0" w:color="auto"/>
      </w:divBdr>
    </w:div>
    <w:div w:id="1519007774">
      <w:bodyDiv w:val="1"/>
      <w:marLeft w:val="0"/>
      <w:marRight w:val="0"/>
      <w:marTop w:val="0"/>
      <w:marBottom w:val="0"/>
      <w:divBdr>
        <w:top w:val="none" w:sz="0" w:space="0" w:color="auto"/>
        <w:left w:val="none" w:sz="0" w:space="0" w:color="auto"/>
        <w:bottom w:val="none" w:sz="0" w:space="0" w:color="auto"/>
        <w:right w:val="none" w:sz="0" w:space="0" w:color="auto"/>
      </w:divBdr>
    </w:div>
    <w:div w:id="1519267923">
      <w:bodyDiv w:val="1"/>
      <w:marLeft w:val="0"/>
      <w:marRight w:val="0"/>
      <w:marTop w:val="0"/>
      <w:marBottom w:val="0"/>
      <w:divBdr>
        <w:top w:val="none" w:sz="0" w:space="0" w:color="auto"/>
        <w:left w:val="none" w:sz="0" w:space="0" w:color="auto"/>
        <w:bottom w:val="none" w:sz="0" w:space="0" w:color="auto"/>
        <w:right w:val="none" w:sz="0" w:space="0" w:color="auto"/>
      </w:divBdr>
    </w:div>
    <w:div w:id="1519545573">
      <w:bodyDiv w:val="1"/>
      <w:marLeft w:val="0"/>
      <w:marRight w:val="0"/>
      <w:marTop w:val="0"/>
      <w:marBottom w:val="0"/>
      <w:divBdr>
        <w:top w:val="none" w:sz="0" w:space="0" w:color="auto"/>
        <w:left w:val="none" w:sz="0" w:space="0" w:color="auto"/>
        <w:bottom w:val="none" w:sz="0" w:space="0" w:color="auto"/>
        <w:right w:val="none" w:sz="0" w:space="0" w:color="auto"/>
      </w:divBdr>
    </w:div>
    <w:div w:id="1519663404">
      <w:bodyDiv w:val="1"/>
      <w:marLeft w:val="0"/>
      <w:marRight w:val="0"/>
      <w:marTop w:val="0"/>
      <w:marBottom w:val="0"/>
      <w:divBdr>
        <w:top w:val="none" w:sz="0" w:space="0" w:color="auto"/>
        <w:left w:val="none" w:sz="0" w:space="0" w:color="auto"/>
        <w:bottom w:val="none" w:sz="0" w:space="0" w:color="auto"/>
        <w:right w:val="none" w:sz="0" w:space="0" w:color="auto"/>
      </w:divBdr>
    </w:div>
    <w:div w:id="1519931434">
      <w:bodyDiv w:val="1"/>
      <w:marLeft w:val="0"/>
      <w:marRight w:val="0"/>
      <w:marTop w:val="0"/>
      <w:marBottom w:val="0"/>
      <w:divBdr>
        <w:top w:val="none" w:sz="0" w:space="0" w:color="auto"/>
        <w:left w:val="none" w:sz="0" w:space="0" w:color="auto"/>
        <w:bottom w:val="none" w:sz="0" w:space="0" w:color="auto"/>
        <w:right w:val="none" w:sz="0" w:space="0" w:color="auto"/>
      </w:divBdr>
    </w:div>
    <w:div w:id="1520048569">
      <w:bodyDiv w:val="1"/>
      <w:marLeft w:val="0"/>
      <w:marRight w:val="0"/>
      <w:marTop w:val="0"/>
      <w:marBottom w:val="0"/>
      <w:divBdr>
        <w:top w:val="none" w:sz="0" w:space="0" w:color="auto"/>
        <w:left w:val="none" w:sz="0" w:space="0" w:color="auto"/>
        <w:bottom w:val="none" w:sz="0" w:space="0" w:color="auto"/>
        <w:right w:val="none" w:sz="0" w:space="0" w:color="auto"/>
      </w:divBdr>
    </w:div>
    <w:div w:id="1520780104">
      <w:bodyDiv w:val="1"/>
      <w:marLeft w:val="0"/>
      <w:marRight w:val="0"/>
      <w:marTop w:val="0"/>
      <w:marBottom w:val="0"/>
      <w:divBdr>
        <w:top w:val="none" w:sz="0" w:space="0" w:color="auto"/>
        <w:left w:val="none" w:sz="0" w:space="0" w:color="auto"/>
        <w:bottom w:val="none" w:sz="0" w:space="0" w:color="auto"/>
        <w:right w:val="none" w:sz="0" w:space="0" w:color="auto"/>
      </w:divBdr>
    </w:div>
    <w:div w:id="1521430632">
      <w:bodyDiv w:val="1"/>
      <w:marLeft w:val="0"/>
      <w:marRight w:val="0"/>
      <w:marTop w:val="0"/>
      <w:marBottom w:val="0"/>
      <w:divBdr>
        <w:top w:val="none" w:sz="0" w:space="0" w:color="auto"/>
        <w:left w:val="none" w:sz="0" w:space="0" w:color="auto"/>
        <w:bottom w:val="none" w:sz="0" w:space="0" w:color="auto"/>
        <w:right w:val="none" w:sz="0" w:space="0" w:color="auto"/>
      </w:divBdr>
    </w:div>
    <w:div w:id="1521430968">
      <w:bodyDiv w:val="1"/>
      <w:marLeft w:val="0"/>
      <w:marRight w:val="0"/>
      <w:marTop w:val="0"/>
      <w:marBottom w:val="0"/>
      <w:divBdr>
        <w:top w:val="none" w:sz="0" w:space="0" w:color="auto"/>
        <w:left w:val="none" w:sz="0" w:space="0" w:color="auto"/>
        <w:bottom w:val="none" w:sz="0" w:space="0" w:color="auto"/>
        <w:right w:val="none" w:sz="0" w:space="0" w:color="auto"/>
      </w:divBdr>
    </w:div>
    <w:div w:id="1521434403">
      <w:bodyDiv w:val="1"/>
      <w:marLeft w:val="0"/>
      <w:marRight w:val="0"/>
      <w:marTop w:val="0"/>
      <w:marBottom w:val="0"/>
      <w:divBdr>
        <w:top w:val="none" w:sz="0" w:space="0" w:color="auto"/>
        <w:left w:val="none" w:sz="0" w:space="0" w:color="auto"/>
        <w:bottom w:val="none" w:sz="0" w:space="0" w:color="auto"/>
        <w:right w:val="none" w:sz="0" w:space="0" w:color="auto"/>
      </w:divBdr>
    </w:div>
    <w:div w:id="1522009510">
      <w:bodyDiv w:val="1"/>
      <w:marLeft w:val="0"/>
      <w:marRight w:val="0"/>
      <w:marTop w:val="0"/>
      <w:marBottom w:val="0"/>
      <w:divBdr>
        <w:top w:val="none" w:sz="0" w:space="0" w:color="auto"/>
        <w:left w:val="none" w:sz="0" w:space="0" w:color="auto"/>
        <w:bottom w:val="none" w:sz="0" w:space="0" w:color="auto"/>
        <w:right w:val="none" w:sz="0" w:space="0" w:color="auto"/>
      </w:divBdr>
    </w:div>
    <w:div w:id="1522009759">
      <w:bodyDiv w:val="1"/>
      <w:marLeft w:val="0"/>
      <w:marRight w:val="0"/>
      <w:marTop w:val="0"/>
      <w:marBottom w:val="0"/>
      <w:divBdr>
        <w:top w:val="none" w:sz="0" w:space="0" w:color="auto"/>
        <w:left w:val="none" w:sz="0" w:space="0" w:color="auto"/>
        <w:bottom w:val="none" w:sz="0" w:space="0" w:color="auto"/>
        <w:right w:val="none" w:sz="0" w:space="0" w:color="auto"/>
      </w:divBdr>
    </w:div>
    <w:div w:id="1522282930">
      <w:bodyDiv w:val="1"/>
      <w:marLeft w:val="0"/>
      <w:marRight w:val="0"/>
      <w:marTop w:val="0"/>
      <w:marBottom w:val="0"/>
      <w:divBdr>
        <w:top w:val="none" w:sz="0" w:space="0" w:color="auto"/>
        <w:left w:val="none" w:sz="0" w:space="0" w:color="auto"/>
        <w:bottom w:val="none" w:sz="0" w:space="0" w:color="auto"/>
        <w:right w:val="none" w:sz="0" w:space="0" w:color="auto"/>
      </w:divBdr>
    </w:div>
    <w:div w:id="1522355851">
      <w:bodyDiv w:val="1"/>
      <w:marLeft w:val="0"/>
      <w:marRight w:val="0"/>
      <w:marTop w:val="0"/>
      <w:marBottom w:val="0"/>
      <w:divBdr>
        <w:top w:val="none" w:sz="0" w:space="0" w:color="auto"/>
        <w:left w:val="none" w:sz="0" w:space="0" w:color="auto"/>
        <w:bottom w:val="none" w:sz="0" w:space="0" w:color="auto"/>
        <w:right w:val="none" w:sz="0" w:space="0" w:color="auto"/>
      </w:divBdr>
    </w:div>
    <w:div w:id="1522548064">
      <w:bodyDiv w:val="1"/>
      <w:marLeft w:val="0"/>
      <w:marRight w:val="0"/>
      <w:marTop w:val="0"/>
      <w:marBottom w:val="0"/>
      <w:divBdr>
        <w:top w:val="none" w:sz="0" w:space="0" w:color="auto"/>
        <w:left w:val="none" w:sz="0" w:space="0" w:color="auto"/>
        <w:bottom w:val="none" w:sz="0" w:space="0" w:color="auto"/>
        <w:right w:val="none" w:sz="0" w:space="0" w:color="auto"/>
      </w:divBdr>
    </w:div>
    <w:div w:id="1522623547">
      <w:bodyDiv w:val="1"/>
      <w:marLeft w:val="0"/>
      <w:marRight w:val="0"/>
      <w:marTop w:val="0"/>
      <w:marBottom w:val="0"/>
      <w:divBdr>
        <w:top w:val="none" w:sz="0" w:space="0" w:color="auto"/>
        <w:left w:val="none" w:sz="0" w:space="0" w:color="auto"/>
        <w:bottom w:val="none" w:sz="0" w:space="0" w:color="auto"/>
        <w:right w:val="none" w:sz="0" w:space="0" w:color="auto"/>
      </w:divBdr>
    </w:div>
    <w:div w:id="1523088303">
      <w:bodyDiv w:val="1"/>
      <w:marLeft w:val="0"/>
      <w:marRight w:val="0"/>
      <w:marTop w:val="0"/>
      <w:marBottom w:val="0"/>
      <w:divBdr>
        <w:top w:val="none" w:sz="0" w:space="0" w:color="auto"/>
        <w:left w:val="none" w:sz="0" w:space="0" w:color="auto"/>
        <w:bottom w:val="none" w:sz="0" w:space="0" w:color="auto"/>
        <w:right w:val="none" w:sz="0" w:space="0" w:color="auto"/>
      </w:divBdr>
    </w:div>
    <w:div w:id="1523207523">
      <w:bodyDiv w:val="1"/>
      <w:marLeft w:val="0"/>
      <w:marRight w:val="0"/>
      <w:marTop w:val="0"/>
      <w:marBottom w:val="0"/>
      <w:divBdr>
        <w:top w:val="none" w:sz="0" w:space="0" w:color="auto"/>
        <w:left w:val="none" w:sz="0" w:space="0" w:color="auto"/>
        <w:bottom w:val="none" w:sz="0" w:space="0" w:color="auto"/>
        <w:right w:val="none" w:sz="0" w:space="0" w:color="auto"/>
      </w:divBdr>
    </w:div>
    <w:div w:id="1523276877">
      <w:bodyDiv w:val="1"/>
      <w:marLeft w:val="0"/>
      <w:marRight w:val="0"/>
      <w:marTop w:val="0"/>
      <w:marBottom w:val="0"/>
      <w:divBdr>
        <w:top w:val="none" w:sz="0" w:space="0" w:color="auto"/>
        <w:left w:val="none" w:sz="0" w:space="0" w:color="auto"/>
        <w:bottom w:val="none" w:sz="0" w:space="0" w:color="auto"/>
        <w:right w:val="none" w:sz="0" w:space="0" w:color="auto"/>
      </w:divBdr>
    </w:div>
    <w:div w:id="1523517560">
      <w:bodyDiv w:val="1"/>
      <w:marLeft w:val="0"/>
      <w:marRight w:val="0"/>
      <w:marTop w:val="0"/>
      <w:marBottom w:val="0"/>
      <w:divBdr>
        <w:top w:val="none" w:sz="0" w:space="0" w:color="auto"/>
        <w:left w:val="none" w:sz="0" w:space="0" w:color="auto"/>
        <w:bottom w:val="none" w:sz="0" w:space="0" w:color="auto"/>
        <w:right w:val="none" w:sz="0" w:space="0" w:color="auto"/>
      </w:divBdr>
    </w:div>
    <w:div w:id="1524435529">
      <w:bodyDiv w:val="1"/>
      <w:marLeft w:val="0"/>
      <w:marRight w:val="0"/>
      <w:marTop w:val="0"/>
      <w:marBottom w:val="0"/>
      <w:divBdr>
        <w:top w:val="none" w:sz="0" w:space="0" w:color="auto"/>
        <w:left w:val="none" w:sz="0" w:space="0" w:color="auto"/>
        <w:bottom w:val="none" w:sz="0" w:space="0" w:color="auto"/>
        <w:right w:val="none" w:sz="0" w:space="0" w:color="auto"/>
      </w:divBdr>
    </w:div>
    <w:div w:id="1524855358">
      <w:bodyDiv w:val="1"/>
      <w:marLeft w:val="0"/>
      <w:marRight w:val="0"/>
      <w:marTop w:val="0"/>
      <w:marBottom w:val="0"/>
      <w:divBdr>
        <w:top w:val="none" w:sz="0" w:space="0" w:color="auto"/>
        <w:left w:val="none" w:sz="0" w:space="0" w:color="auto"/>
        <w:bottom w:val="none" w:sz="0" w:space="0" w:color="auto"/>
        <w:right w:val="none" w:sz="0" w:space="0" w:color="auto"/>
      </w:divBdr>
    </w:div>
    <w:div w:id="1524904838">
      <w:bodyDiv w:val="1"/>
      <w:marLeft w:val="0"/>
      <w:marRight w:val="0"/>
      <w:marTop w:val="0"/>
      <w:marBottom w:val="0"/>
      <w:divBdr>
        <w:top w:val="none" w:sz="0" w:space="0" w:color="auto"/>
        <w:left w:val="none" w:sz="0" w:space="0" w:color="auto"/>
        <w:bottom w:val="none" w:sz="0" w:space="0" w:color="auto"/>
        <w:right w:val="none" w:sz="0" w:space="0" w:color="auto"/>
      </w:divBdr>
    </w:div>
    <w:div w:id="1525097084">
      <w:bodyDiv w:val="1"/>
      <w:marLeft w:val="0"/>
      <w:marRight w:val="0"/>
      <w:marTop w:val="0"/>
      <w:marBottom w:val="0"/>
      <w:divBdr>
        <w:top w:val="none" w:sz="0" w:space="0" w:color="auto"/>
        <w:left w:val="none" w:sz="0" w:space="0" w:color="auto"/>
        <w:bottom w:val="none" w:sz="0" w:space="0" w:color="auto"/>
        <w:right w:val="none" w:sz="0" w:space="0" w:color="auto"/>
      </w:divBdr>
    </w:div>
    <w:div w:id="1525244585">
      <w:bodyDiv w:val="1"/>
      <w:marLeft w:val="0"/>
      <w:marRight w:val="0"/>
      <w:marTop w:val="0"/>
      <w:marBottom w:val="0"/>
      <w:divBdr>
        <w:top w:val="none" w:sz="0" w:space="0" w:color="auto"/>
        <w:left w:val="none" w:sz="0" w:space="0" w:color="auto"/>
        <w:bottom w:val="none" w:sz="0" w:space="0" w:color="auto"/>
        <w:right w:val="none" w:sz="0" w:space="0" w:color="auto"/>
      </w:divBdr>
    </w:div>
    <w:div w:id="1525706403">
      <w:bodyDiv w:val="1"/>
      <w:marLeft w:val="0"/>
      <w:marRight w:val="0"/>
      <w:marTop w:val="0"/>
      <w:marBottom w:val="0"/>
      <w:divBdr>
        <w:top w:val="none" w:sz="0" w:space="0" w:color="auto"/>
        <w:left w:val="none" w:sz="0" w:space="0" w:color="auto"/>
        <w:bottom w:val="none" w:sz="0" w:space="0" w:color="auto"/>
        <w:right w:val="none" w:sz="0" w:space="0" w:color="auto"/>
      </w:divBdr>
    </w:div>
    <w:div w:id="1526094816">
      <w:bodyDiv w:val="1"/>
      <w:marLeft w:val="0"/>
      <w:marRight w:val="0"/>
      <w:marTop w:val="0"/>
      <w:marBottom w:val="0"/>
      <w:divBdr>
        <w:top w:val="none" w:sz="0" w:space="0" w:color="auto"/>
        <w:left w:val="none" w:sz="0" w:space="0" w:color="auto"/>
        <w:bottom w:val="none" w:sz="0" w:space="0" w:color="auto"/>
        <w:right w:val="none" w:sz="0" w:space="0" w:color="auto"/>
      </w:divBdr>
    </w:div>
    <w:div w:id="1526747047">
      <w:bodyDiv w:val="1"/>
      <w:marLeft w:val="0"/>
      <w:marRight w:val="0"/>
      <w:marTop w:val="0"/>
      <w:marBottom w:val="0"/>
      <w:divBdr>
        <w:top w:val="none" w:sz="0" w:space="0" w:color="auto"/>
        <w:left w:val="none" w:sz="0" w:space="0" w:color="auto"/>
        <w:bottom w:val="none" w:sz="0" w:space="0" w:color="auto"/>
        <w:right w:val="none" w:sz="0" w:space="0" w:color="auto"/>
      </w:divBdr>
    </w:div>
    <w:div w:id="1526866223">
      <w:bodyDiv w:val="1"/>
      <w:marLeft w:val="0"/>
      <w:marRight w:val="0"/>
      <w:marTop w:val="0"/>
      <w:marBottom w:val="0"/>
      <w:divBdr>
        <w:top w:val="none" w:sz="0" w:space="0" w:color="auto"/>
        <w:left w:val="none" w:sz="0" w:space="0" w:color="auto"/>
        <w:bottom w:val="none" w:sz="0" w:space="0" w:color="auto"/>
        <w:right w:val="none" w:sz="0" w:space="0" w:color="auto"/>
      </w:divBdr>
    </w:div>
    <w:div w:id="1527058943">
      <w:bodyDiv w:val="1"/>
      <w:marLeft w:val="0"/>
      <w:marRight w:val="0"/>
      <w:marTop w:val="0"/>
      <w:marBottom w:val="0"/>
      <w:divBdr>
        <w:top w:val="none" w:sz="0" w:space="0" w:color="auto"/>
        <w:left w:val="none" w:sz="0" w:space="0" w:color="auto"/>
        <w:bottom w:val="none" w:sz="0" w:space="0" w:color="auto"/>
        <w:right w:val="none" w:sz="0" w:space="0" w:color="auto"/>
      </w:divBdr>
    </w:div>
    <w:div w:id="1527137052">
      <w:bodyDiv w:val="1"/>
      <w:marLeft w:val="0"/>
      <w:marRight w:val="0"/>
      <w:marTop w:val="0"/>
      <w:marBottom w:val="0"/>
      <w:divBdr>
        <w:top w:val="none" w:sz="0" w:space="0" w:color="auto"/>
        <w:left w:val="none" w:sz="0" w:space="0" w:color="auto"/>
        <w:bottom w:val="none" w:sz="0" w:space="0" w:color="auto"/>
        <w:right w:val="none" w:sz="0" w:space="0" w:color="auto"/>
      </w:divBdr>
    </w:div>
    <w:div w:id="1527519363">
      <w:bodyDiv w:val="1"/>
      <w:marLeft w:val="0"/>
      <w:marRight w:val="0"/>
      <w:marTop w:val="0"/>
      <w:marBottom w:val="0"/>
      <w:divBdr>
        <w:top w:val="none" w:sz="0" w:space="0" w:color="auto"/>
        <w:left w:val="none" w:sz="0" w:space="0" w:color="auto"/>
        <w:bottom w:val="none" w:sz="0" w:space="0" w:color="auto"/>
        <w:right w:val="none" w:sz="0" w:space="0" w:color="auto"/>
      </w:divBdr>
    </w:div>
    <w:div w:id="1527982648">
      <w:bodyDiv w:val="1"/>
      <w:marLeft w:val="0"/>
      <w:marRight w:val="0"/>
      <w:marTop w:val="0"/>
      <w:marBottom w:val="0"/>
      <w:divBdr>
        <w:top w:val="none" w:sz="0" w:space="0" w:color="auto"/>
        <w:left w:val="none" w:sz="0" w:space="0" w:color="auto"/>
        <w:bottom w:val="none" w:sz="0" w:space="0" w:color="auto"/>
        <w:right w:val="none" w:sz="0" w:space="0" w:color="auto"/>
      </w:divBdr>
    </w:div>
    <w:div w:id="1528135115">
      <w:bodyDiv w:val="1"/>
      <w:marLeft w:val="0"/>
      <w:marRight w:val="0"/>
      <w:marTop w:val="0"/>
      <w:marBottom w:val="0"/>
      <w:divBdr>
        <w:top w:val="none" w:sz="0" w:space="0" w:color="auto"/>
        <w:left w:val="none" w:sz="0" w:space="0" w:color="auto"/>
        <w:bottom w:val="none" w:sz="0" w:space="0" w:color="auto"/>
        <w:right w:val="none" w:sz="0" w:space="0" w:color="auto"/>
      </w:divBdr>
    </w:div>
    <w:div w:id="1528367649">
      <w:bodyDiv w:val="1"/>
      <w:marLeft w:val="0"/>
      <w:marRight w:val="0"/>
      <w:marTop w:val="0"/>
      <w:marBottom w:val="0"/>
      <w:divBdr>
        <w:top w:val="none" w:sz="0" w:space="0" w:color="auto"/>
        <w:left w:val="none" w:sz="0" w:space="0" w:color="auto"/>
        <w:bottom w:val="none" w:sz="0" w:space="0" w:color="auto"/>
        <w:right w:val="none" w:sz="0" w:space="0" w:color="auto"/>
      </w:divBdr>
    </w:div>
    <w:div w:id="1528451367">
      <w:bodyDiv w:val="1"/>
      <w:marLeft w:val="0"/>
      <w:marRight w:val="0"/>
      <w:marTop w:val="0"/>
      <w:marBottom w:val="0"/>
      <w:divBdr>
        <w:top w:val="none" w:sz="0" w:space="0" w:color="auto"/>
        <w:left w:val="none" w:sz="0" w:space="0" w:color="auto"/>
        <w:bottom w:val="none" w:sz="0" w:space="0" w:color="auto"/>
        <w:right w:val="none" w:sz="0" w:space="0" w:color="auto"/>
      </w:divBdr>
    </w:div>
    <w:div w:id="1528833711">
      <w:bodyDiv w:val="1"/>
      <w:marLeft w:val="0"/>
      <w:marRight w:val="0"/>
      <w:marTop w:val="0"/>
      <w:marBottom w:val="0"/>
      <w:divBdr>
        <w:top w:val="none" w:sz="0" w:space="0" w:color="auto"/>
        <w:left w:val="none" w:sz="0" w:space="0" w:color="auto"/>
        <w:bottom w:val="none" w:sz="0" w:space="0" w:color="auto"/>
        <w:right w:val="none" w:sz="0" w:space="0" w:color="auto"/>
      </w:divBdr>
    </w:div>
    <w:div w:id="1529104992">
      <w:bodyDiv w:val="1"/>
      <w:marLeft w:val="0"/>
      <w:marRight w:val="0"/>
      <w:marTop w:val="0"/>
      <w:marBottom w:val="0"/>
      <w:divBdr>
        <w:top w:val="none" w:sz="0" w:space="0" w:color="auto"/>
        <w:left w:val="none" w:sz="0" w:space="0" w:color="auto"/>
        <w:bottom w:val="none" w:sz="0" w:space="0" w:color="auto"/>
        <w:right w:val="none" w:sz="0" w:space="0" w:color="auto"/>
      </w:divBdr>
    </w:div>
    <w:div w:id="1530025997">
      <w:bodyDiv w:val="1"/>
      <w:marLeft w:val="0"/>
      <w:marRight w:val="0"/>
      <w:marTop w:val="0"/>
      <w:marBottom w:val="0"/>
      <w:divBdr>
        <w:top w:val="none" w:sz="0" w:space="0" w:color="auto"/>
        <w:left w:val="none" w:sz="0" w:space="0" w:color="auto"/>
        <w:bottom w:val="none" w:sz="0" w:space="0" w:color="auto"/>
        <w:right w:val="none" w:sz="0" w:space="0" w:color="auto"/>
      </w:divBdr>
    </w:div>
    <w:div w:id="1530294003">
      <w:bodyDiv w:val="1"/>
      <w:marLeft w:val="0"/>
      <w:marRight w:val="0"/>
      <w:marTop w:val="0"/>
      <w:marBottom w:val="0"/>
      <w:divBdr>
        <w:top w:val="none" w:sz="0" w:space="0" w:color="auto"/>
        <w:left w:val="none" w:sz="0" w:space="0" w:color="auto"/>
        <w:bottom w:val="none" w:sz="0" w:space="0" w:color="auto"/>
        <w:right w:val="none" w:sz="0" w:space="0" w:color="auto"/>
      </w:divBdr>
    </w:div>
    <w:div w:id="1530684623">
      <w:bodyDiv w:val="1"/>
      <w:marLeft w:val="0"/>
      <w:marRight w:val="0"/>
      <w:marTop w:val="0"/>
      <w:marBottom w:val="0"/>
      <w:divBdr>
        <w:top w:val="none" w:sz="0" w:space="0" w:color="auto"/>
        <w:left w:val="none" w:sz="0" w:space="0" w:color="auto"/>
        <w:bottom w:val="none" w:sz="0" w:space="0" w:color="auto"/>
        <w:right w:val="none" w:sz="0" w:space="0" w:color="auto"/>
      </w:divBdr>
    </w:div>
    <w:div w:id="1531064780">
      <w:bodyDiv w:val="1"/>
      <w:marLeft w:val="0"/>
      <w:marRight w:val="0"/>
      <w:marTop w:val="0"/>
      <w:marBottom w:val="0"/>
      <w:divBdr>
        <w:top w:val="none" w:sz="0" w:space="0" w:color="auto"/>
        <w:left w:val="none" w:sz="0" w:space="0" w:color="auto"/>
        <w:bottom w:val="none" w:sz="0" w:space="0" w:color="auto"/>
        <w:right w:val="none" w:sz="0" w:space="0" w:color="auto"/>
      </w:divBdr>
    </w:div>
    <w:div w:id="1531600902">
      <w:bodyDiv w:val="1"/>
      <w:marLeft w:val="0"/>
      <w:marRight w:val="0"/>
      <w:marTop w:val="0"/>
      <w:marBottom w:val="0"/>
      <w:divBdr>
        <w:top w:val="none" w:sz="0" w:space="0" w:color="auto"/>
        <w:left w:val="none" w:sz="0" w:space="0" w:color="auto"/>
        <w:bottom w:val="none" w:sz="0" w:space="0" w:color="auto"/>
        <w:right w:val="none" w:sz="0" w:space="0" w:color="auto"/>
      </w:divBdr>
    </w:div>
    <w:div w:id="1531605403">
      <w:bodyDiv w:val="1"/>
      <w:marLeft w:val="0"/>
      <w:marRight w:val="0"/>
      <w:marTop w:val="0"/>
      <w:marBottom w:val="0"/>
      <w:divBdr>
        <w:top w:val="none" w:sz="0" w:space="0" w:color="auto"/>
        <w:left w:val="none" w:sz="0" w:space="0" w:color="auto"/>
        <w:bottom w:val="none" w:sz="0" w:space="0" w:color="auto"/>
        <w:right w:val="none" w:sz="0" w:space="0" w:color="auto"/>
      </w:divBdr>
    </w:div>
    <w:div w:id="1532763955">
      <w:bodyDiv w:val="1"/>
      <w:marLeft w:val="0"/>
      <w:marRight w:val="0"/>
      <w:marTop w:val="0"/>
      <w:marBottom w:val="0"/>
      <w:divBdr>
        <w:top w:val="none" w:sz="0" w:space="0" w:color="auto"/>
        <w:left w:val="none" w:sz="0" w:space="0" w:color="auto"/>
        <w:bottom w:val="none" w:sz="0" w:space="0" w:color="auto"/>
        <w:right w:val="none" w:sz="0" w:space="0" w:color="auto"/>
      </w:divBdr>
    </w:div>
    <w:div w:id="1533806820">
      <w:bodyDiv w:val="1"/>
      <w:marLeft w:val="0"/>
      <w:marRight w:val="0"/>
      <w:marTop w:val="0"/>
      <w:marBottom w:val="0"/>
      <w:divBdr>
        <w:top w:val="none" w:sz="0" w:space="0" w:color="auto"/>
        <w:left w:val="none" w:sz="0" w:space="0" w:color="auto"/>
        <w:bottom w:val="none" w:sz="0" w:space="0" w:color="auto"/>
        <w:right w:val="none" w:sz="0" w:space="0" w:color="auto"/>
      </w:divBdr>
    </w:div>
    <w:div w:id="1534416927">
      <w:bodyDiv w:val="1"/>
      <w:marLeft w:val="0"/>
      <w:marRight w:val="0"/>
      <w:marTop w:val="0"/>
      <w:marBottom w:val="0"/>
      <w:divBdr>
        <w:top w:val="none" w:sz="0" w:space="0" w:color="auto"/>
        <w:left w:val="none" w:sz="0" w:space="0" w:color="auto"/>
        <w:bottom w:val="none" w:sz="0" w:space="0" w:color="auto"/>
        <w:right w:val="none" w:sz="0" w:space="0" w:color="auto"/>
      </w:divBdr>
    </w:div>
    <w:div w:id="1534685576">
      <w:bodyDiv w:val="1"/>
      <w:marLeft w:val="0"/>
      <w:marRight w:val="0"/>
      <w:marTop w:val="0"/>
      <w:marBottom w:val="0"/>
      <w:divBdr>
        <w:top w:val="none" w:sz="0" w:space="0" w:color="auto"/>
        <w:left w:val="none" w:sz="0" w:space="0" w:color="auto"/>
        <w:bottom w:val="none" w:sz="0" w:space="0" w:color="auto"/>
        <w:right w:val="none" w:sz="0" w:space="0" w:color="auto"/>
      </w:divBdr>
    </w:div>
    <w:div w:id="1535342952">
      <w:bodyDiv w:val="1"/>
      <w:marLeft w:val="0"/>
      <w:marRight w:val="0"/>
      <w:marTop w:val="0"/>
      <w:marBottom w:val="0"/>
      <w:divBdr>
        <w:top w:val="none" w:sz="0" w:space="0" w:color="auto"/>
        <w:left w:val="none" w:sz="0" w:space="0" w:color="auto"/>
        <w:bottom w:val="none" w:sz="0" w:space="0" w:color="auto"/>
        <w:right w:val="none" w:sz="0" w:space="0" w:color="auto"/>
      </w:divBdr>
    </w:div>
    <w:div w:id="1535774314">
      <w:bodyDiv w:val="1"/>
      <w:marLeft w:val="0"/>
      <w:marRight w:val="0"/>
      <w:marTop w:val="0"/>
      <w:marBottom w:val="0"/>
      <w:divBdr>
        <w:top w:val="none" w:sz="0" w:space="0" w:color="auto"/>
        <w:left w:val="none" w:sz="0" w:space="0" w:color="auto"/>
        <w:bottom w:val="none" w:sz="0" w:space="0" w:color="auto"/>
        <w:right w:val="none" w:sz="0" w:space="0" w:color="auto"/>
      </w:divBdr>
    </w:div>
    <w:div w:id="1535843887">
      <w:bodyDiv w:val="1"/>
      <w:marLeft w:val="0"/>
      <w:marRight w:val="0"/>
      <w:marTop w:val="0"/>
      <w:marBottom w:val="0"/>
      <w:divBdr>
        <w:top w:val="none" w:sz="0" w:space="0" w:color="auto"/>
        <w:left w:val="none" w:sz="0" w:space="0" w:color="auto"/>
        <w:bottom w:val="none" w:sz="0" w:space="0" w:color="auto"/>
        <w:right w:val="none" w:sz="0" w:space="0" w:color="auto"/>
      </w:divBdr>
    </w:div>
    <w:div w:id="1535926379">
      <w:bodyDiv w:val="1"/>
      <w:marLeft w:val="0"/>
      <w:marRight w:val="0"/>
      <w:marTop w:val="0"/>
      <w:marBottom w:val="0"/>
      <w:divBdr>
        <w:top w:val="none" w:sz="0" w:space="0" w:color="auto"/>
        <w:left w:val="none" w:sz="0" w:space="0" w:color="auto"/>
        <w:bottom w:val="none" w:sz="0" w:space="0" w:color="auto"/>
        <w:right w:val="none" w:sz="0" w:space="0" w:color="auto"/>
      </w:divBdr>
    </w:div>
    <w:div w:id="1535996905">
      <w:bodyDiv w:val="1"/>
      <w:marLeft w:val="0"/>
      <w:marRight w:val="0"/>
      <w:marTop w:val="0"/>
      <w:marBottom w:val="0"/>
      <w:divBdr>
        <w:top w:val="none" w:sz="0" w:space="0" w:color="auto"/>
        <w:left w:val="none" w:sz="0" w:space="0" w:color="auto"/>
        <w:bottom w:val="none" w:sz="0" w:space="0" w:color="auto"/>
        <w:right w:val="none" w:sz="0" w:space="0" w:color="auto"/>
      </w:divBdr>
    </w:div>
    <w:div w:id="1537308640">
      <w:bodyDiv w:val="1"/>
      <w:marLeft w:val="0"/>
      <w:marRight w:val="0"/>
      <w:marTop w:val="0"/>
      <w:marBottom w:val="0"/>
      <w:divBdr>
        <w:top w:val="none" w:sz="0" w:space="0" w:color="auto"/>
        <w:left w:val="none" w:sz="0" w:space="0" w:color="auto"/>
        <w:bottom w:val="none" w:sz="0" w:space="0" w:color="auto"/>
        <w:right w:val="none" w:sz="0" w:space="0" w:color="auto"/>
      </w:divBdr>
    </w:div>
    <w:div w:id="1537616320">
      <w:bodyDiv w:val="1"/>
      <w:marLeft w:val="0"/>
      <w:marRight w:val="0"/>
      <w:marTop w:val="0"/>
      <w:marBottom w:val="0"/>
      <w:divBdr>
        <w:top w:val="none" w:sz="0" w:space="0" w:color="auto"/>
        <w:left w:val="none" w:sz="0" w:space="0" w:color="auto"/>
        <w:bottom w:val="none" w:sz="0" w:space="0" w:color="auto"/>
        <w:right w:val="none" w:sz="0" w:space="0" w:color="auto"/>
      </w:divBdr>
    </w:div>
    <w:div w:id="1537616771">
      <w:bodyDiv w:val="1"/>
      <w:marLeft w:val="0"/>
      <w:marRight w:val="0"/>
      <w:marTop w:val="0"/>
      <w:marBottom w:val="0"/>
      <w:divBdr>
        <w:top w:val="none" w:sz="0" w:space="0" w:color="auto"/>
        <w:left w:val="none" w:sz="0" w:space="0" w:color="auto"/>
        <w:bottom w:val="none" w:sz="0" w:space="0" w:color="auto"/>
        <w:right w:val="none" w:sz="0" w:space="0" w:color="auto"/>
      </w:divBdr>
    </w:div>
    <w:div w:id="1537617956">
      <w:bodyDiv w:val="1"/>
      <w:marLeft w:val="0"/>
      <w:marRight w:val="0"/>
      <w:marTop w:val="0"/>
      <w:marBottom w:val="0"/>
      <w:divBdr>
        <w:top w:val="none" w:sz="0" w:space="0" w:color="auto"/>
        <w:left w:val="none" w:sz="0" w:space="0" w:color="auto"/>
        <w:bottom w:val="none" w:sz="0" w:space="0" w:color="auto"/>
        <w:right w:val="none" w:sz="0" w:space="0" w:color="auto"/>
      </w:divBdr>
    </w:div>
    <w:div w:id="1538003286">
      <w:bodyDiv w:val="1"/>
      <w:marLeft w:val="0"/>
      <w:marRight w:val="0"/>
      <w:marTop w:val="0"/>
      <w:marBottom w:val="0"/>
      <w:divBdr>
        <w:top w:val="none" w:sz="0" w:space="0" w:color="auto"/>
        <w:left w:val="none" w:sz="0" w:space="0" w:color="auto"/>
        <w:bottom w:val="none" w:sz="0" w:space="0" w:color="auto"/>
        <w:right w:val="none" w:sz="0" w:space="0" w:color="auto"/>
      </w:divBdr>
    </w:div>
    <w:div w:id="1538272026">
      <w:bodyDiv w:val="1"/>
      <w:marLeft w:val="0"/>
      <w:marRight w:val="0"/>
      <w:marTop w:val="0"/>
      <w:marBottom w:val="0"/>
      <w:divBdr>
        <w:top w:val="none" w:sz="0" w:space="0" w:color="auto"/>
        <w:left w:val="none" w:sz="0" w:space="0" w:color="auto"/>
        <w:bottom w:val="none" w:sz="0" w:space="0" w:color="auto"/>
        <w:right w:val="none" w:sz="0" w:space="0" w:color="auto"/>
      </w:divBdr>
    </w:div>
    <w:div w:id="1538813353">
      <w:bodyDiv w:val="1"/>
      <w:marLeft w:val="0"/>
      <w:marRight w:val="0"/>
      <w:marTop w:val="0"/>
      <w:marBottom w:val="0"/>
      <w:divBdr>
        <w:top w:val="none" w:sz="0" w:space="0" w:color="auto"/>
        <w:left w:val="none" w:sz="0" w:space="0" w:color="auto"/>
        <w:bottom w:val="none" w:sz="0" w:space="0" w:color="auto"/>
        <w:right w:val="none" w:sz="0" w:space="0" w:color="auto"/>
      </w:divBdr>
    </w:div>
    <w:div w:id="1538883541">
      <w:bodyDiv w:val="1"/>
      <w:marLeft w:val="0"/>
      <w:marRight w:val="0"/>
      <w:marTop w:val="0"/>
      <w:marBottom w:val="0"/>
      <w:divBdr>
        <w:top w:val="none" w:sz="0" w:space="0" w:color="auto"/>
        <w:left w:val="none" w:sz="0" w:space="0" w:color="auto"/>
        <w:bottom w:val="none" w:sz="0" w:space="0" w:color="auto"/>
        <w:right w:val="none" w:sz="0" w:space="0" w:color="auto"/>
      </w:divBdr>
    </w:div>
    <w:div w:id="1539665822">
      <w:bodyDiv w:val="1"/>
      <w:marLeft w:val="0"/>
      <w:marRight w:val="0"/>
      <w:marTop w:val="0"/>
      <w:marBottom w:val="0"/>
      <w:divBdr>
        <w:top w:val="none" w:sz="0" w:space="0" w:color="auto"/>
        <w:left w:val="none" w:sz="0" w:space="0" w:color="auto"/>
        <w:bottom w:val="none" w:sz="0" w:space="0" w:color="auto"/>
        <w:right w:val="none" w:sz="0" w:space="0" w:color="auto"/>
      </w:divBdr>
    </w:div>
    <w:div w:id="1539900031">
      <w:bodyDiv w:val="1"/>
      <w:marLeft w:val="0"/>
      <w:marRight w:val="0"/>
      <w:marTop w:val="0"/>
      <w:marBottom w:val="0"/>
      <w:divBdr>
        <w:top w:val="none" w:sz="0" w:space="0" w:color="auto"/>
        <w:left w:val="none" w:sz="0" w:space="0" w:color="auto"/>
        <w:bottom w:val="none" w:sz="0" w:space="0" w:color="auto"/>
        <w:right w:val="none" w:sz="0" w:space="0" w:color="auto"/>
      </w:divBdr>
    </w:div>
    <w:div w:id="1540051296">
      <w:bodyDiv w:val="1"/>
      <w:marLeft w:val="0"/>
      <w:marRight w:val="0"/>
      <w:marTop w:val="0"/>
      <w:marBottom w:val="0"/>
      <w:divBdr>
        <w:top w:val="none" w:sz="0" w:space="0" w:color="auto"/>
        <w:left w:val="none" w:sz="0" w:space="0" w:color="auto"/>
        <w:bottom w:val="none" w:sz="0" w:space="0" w:color="auto"/>
        <w:right w:val="none" w:sz="0" w:space="0" w:color="auto"/>
      </w:divBdr>
    </w:div>
    <w:div w:id="1540118589">
      <w:bodyDiv w:val="1"/>
      <w:marLeft w:val="0"/>
      <w:marRight w:val="0"/>
      <w:marTop w:val="0"/>
      <w:marBottom w:val="0"/>
      <w:divBdr>
        <w:top w:val="none" w:sz="0" w:space="0" w:color="auto"/>
        <w:left w:val="none" w:sz="0" w:space="0" w:color="auto"/>
        <w:bottom w:val="none" w:sz="0" w:space="0" w:color="auto"/>
        <w:right w:val="none" w:sz="0" w:space="0" w:color="auto"/>
      </w:divBdr>
    </w:div>
    <w:div w:id="1540316469">
      <w:bodyDiv w:val="1"/>
      <w:marLeft w:val="0"/>
      <w:marRight w:val="0"/>
      <w:marTop w:val="0"/>
      <w:marBottom w:val="0"/>
      <w:divBdr>
        <w:top w:val="none" w:sz="0" w:space="0" w:color="auto"/>
        <w:left w:val="none" w:sz="0" w:space="0" w:color="auto"/>
        <w:bottom w:val="none" w:sz="0" w:space="0" w:color="auto"/>
        <w:right w:val="none" w:sz="0" w:space="0" w:color="auto"/>
      </w:divBdr>
    </w:div>
    <w:div w:id="1540362540">
      <w:bodyDiv w:val="1"/>
      <w:marLeft w:val="0"/>
      <w:marRight w:val="0"/>
      <w:marTop w:val="0"/>
      <w:marBottom w:val="0"/>
      <w:divBdr>
        <w:top w:val="none" w:sz="0" w:space="0" w:color="auto"/>
        <w:left w:val="none" w:sz="0" w:space="0" w:color="auto"/>
        <w:bottom w:val="none" w:sz="0" w:space="0" w:color="auto"/>
        <w:right w:val="none" w:sz="0" w:space="0" w:color="auto"/>
      </w:divBdr>
    </w:div>
    <w:div w:id="1540823058">
      <w:bodyDiv w:val="1"/>
      <w:marLeft w:val="0"/>
      <w:marRight w:val="0"/>
      <w:marTop w:val="0"/>
      <w:marBottom w:val="0"/>
      <w:divBdr>
        <w:top w:val="none" w:sz="0" w:space="0" w:color="auto"/>
        <w:left w:val="none" w:sz="0" w:space="0" w:color="auto"/>
        <w:bottom w:val="none" w:sz="0" w:space="0" w:color="auto"/>
        <w:right w:val="none" w:sz="0" w:space="0" w:color="auto"/>
      </w:divBdr>
    </w:div>
    <w:div w:id="1541548617">
      <w:bodyDiv w:val="1"/>
      <w:marLeft w:val="0"/>
      <w:marRight w:val="0"/>
      <w:marTop w:val="0"/>
      <w:marBottom w:val="0"/>
      <w:divBdr>
        <w:top w:val="none" w:sz="0" w:space="0" w:color="auto"/>
        <w:left w:val="none" w:sz="0" w:space="0" w:color="auto"/>
        <w:bottom w:val="none" w:sz="0" w:space="0" w:color="auto"/>
        <w:right w:val="none" w:sz="0" w:space="0" w:color="auto"/>
      </w:divBdr>
    </w:div>
    <w:div w:id="1542592637">
      <w:bodyDiv w:val="1"/>
      <w:marLeft w:val="0"/>
      <w:marRight w:val="0"/>
      <w:marTop w:val="0"/>
      <w:marBottom w:val="0"/>
      <w:divBdr>
        <w:top w:val="none" w:sz="0" w:space="0" w:color="auto"/>
        <w:left w:val="none" w:sz="0" w:space="0" w:color="auto"/>
        <w:bottom w:val="none" w:sz="0" w:space="0" w:color="auto"/>
        <w:right w:val="none" w:sz="0" w:space="0" w:color="auto"/>
      </w:divBdr>
    </w:div>
    <w:div w:id="1542786049">
      <w:bodyDiv w:val="1"/>
      <w:marLeft w:val="0"/>
      <w:marRight w:val="0"/>
      <w:marTop w:val="0"/>
      <w:marBottom w:val="0"/>
      <w:divBdr>
        <w:top w:val="none" w:sz="0" w:space="0" w:color="auto"/>
        <w:left w:val="none" w:sz="0" w:space="0" w:color="auto"/>
        <w:bottom w:val="none" w:sz="0" w:space="0" w:color="auto"/>
        <w:right w:val="none" w:sz="0" w:space="0" w:color="auto"/>
      </w:divBdr>
    </w:div>
    <w:div w:id="1543246040">
      <w:bodyDiv w:val="1"/>
      <w:marLeft w:val="0"/>
      <w:marRight w:val="0"/>
      <w:marTop w:val="0"/>
      <w:marBottom w:val="0"/>
      <w:divBdr>
        <w:top w:val="none" w:sz="0" w:space="0" w:color="auto"/>
        <w:left w:val="none" w:sz="0" w:space="0" w:color="auto"/>
        <w:bottom w:val="none" w:sz="0" w:space="0" w:color="auto"/>
        <w:right w:val="none" w:sz="0" w:space="0" w:color="auto"/>
      </w:divBdr>
    </w:div>
    <w:div w:id="1543400300">
      <w:bodyDiv w:val="1"/>
      <w:marLeft w:val="0"/>
      <w:marRight w:val="0"/>
      <w:marTop w:val="0"/>
      <w:marBottom w:val="0"/>
      <w:divBdr>
        <w:top w:val="none" w:sz="0" w:space="0" w:color="auto"/>
        <w:left w:val="none" w:sz="0" w:space="0" w:color="auto"/>
        <w:bottom w:val="none" w:sz="0" w:space="0" w:color="auto"/>
        <w:right w:val="none" w:sz="0" w:space="0" w:color="auto"/>
      </w:divBdr>
    </w:div>
    <w:div w:id="1543520658">
      <w:bodyDiv w:val="1"/>
      <w:marLeft w:val="0"/>
      <w:marRight w:val="0"/>
      <w:marTop w:val="0"/>
      <w:marBottom w:val="0"/>
      <w:divBdr>
        <w:top w:val="none" w:sz="0" w:space="0" w:color="auto"/>
        <w:left w:val="none" w:sz="0" w:space="0" w:color="auto"/>
        <w:bottom w:val="none" w:sz="0" w:space="0" w:color="auto"/>
        <w:right w:val="none" w:sz="0" w:space="0" w:color="auto"/>
      </w:divBdr>
    </w:div>
    <w:div w:id="1543860060">
      <w:bodyDiv w:val="1"/>
      <w:marLeft w:val="0"/>
      <w:marRight w:val="0"/>
      <w:marTop w:val="0"/>
      <w:marBottom w:val="0"/>
      <w:divBdr>
        <w:top w:val="none" w:sz="0" w:space="0" w:color="auto"/>
        <w:left w:val="none" w:sz="0" w:space="0" w:color="auto"/>
        <w:bottom w:val="none" w:sz="0" w:space="0" w:color="auto"/>
        <w:right w:val="none" w:sz="0" w:space="0" w:color="auto"/>
      </w:divBdr>
    </w:div>
    <w:div w:id="1544713694">
      <w:bodyDiv w:val="1"/>
      <w:marLeft w:val="0"/>
      <w:marRight w:val="0"/>
      <w:marTop w:val="0"/>
      <w:marBottom w:val="0"/>
      <w:divBdr>
        <w:top w:val="none" w:sz="0" w:space="0" w:color="auto"/>
        <w:left w:val="none" w:sz="0" w:space="0" w:color="auto"/>
        <w:bottom w:val="none" w:sz="0" w:space="0" w:color="auto"/>
        <w:right w:val="none" w:sz="0" w:space="0" w:color="auto"/>
      </w:divBdr>
    </w:div>
    <w:div w:id="1545479531">
      <w:bodyDiv w:val="1"/>
      <w:marLeft w:val="0"/>
      <w:marRight w:val="0"/>
      <w:marTop w:val="0"/>
      <w:marBottom w:val="0"/>
      <w:divBdr>
        <w:top w:val="none" w:sz="0" w:space="0" w:color="auto"/>
        <w:left w:val="none" w:sz="0" w:space="0" w:color="auto"/>
        <w:bottom w:val="none" w:sz="0" w:space="0" w:color="auto"/>
        <w:right w:val="none" w:sz="0" w:space="0" w:color="auto"/>
      </w:divBdr>
    </w:div>
    <w:div w:id="1545827651">
      <w:bodyDiv w:val="1"/>
      <w:marLeft w:val="0"/>
      <w:marRight w:val="0"/>
      <w:marTop w:val="0"/>
      <w:marBottom w:val="0"/>
      <w:divBdr>
        <w:top w:val="none" w:sz="0" w:space="0" w:color="auto"/>
        <w:left w:val="none" w:sz="0" w:space="0" w:color="auto"/>
        <w:bottom w:val="none" w:sz="0" w:space="0" w:color="auto"/>
        <w:right w:val="none" w:sz="0" w:space="0" w:color="auto"/>
      </w:divBdr>
    </w:div>
    <w:div w:id="1546406699">
      <w:bodyDiv w:val="1"/>
      <w:marLeft w:val="0"/>
      <w:marRight w:val="0"/>
      <w:marTop w:val="0"/>
      <w:marBottom w:val="0"/>
      <w:divBdr>
        <w:top w:val="none" w:sz="0" w:space="0" w:color="auto"/>
        <w:left w:val="none" w:sz="0" w:space="0" w:color="auto"/>
        <w:bottom w:val="none" w:sz="0" w:space="0" w:color="auto"/>
        <w:right w:val="none" w:sz="0" w:space="0" w:color="auto"/>
      </w:divBdr>
    </w:div>
    <w:div w:id="1546408150">
      <w:bodyDiv w:val="1"/>
      <w:marLeft w:val="0"/>
      <w:marRight w:val="0"/>
      <w:marTop w:val="0"/>
      <w:marBottom w:val="0"/>
      <w:divBdr>
        <w:top w:val="none" w:sz="0" w:space="0" w:color="auto"/>
        <w:left w:val="none" w:sz="0" w:space="0" w:color="auto"/>
        <w:bottom w:val="none" w:sz="0" w:space="0" w:color="auto"/>
        <w:right w:val="none" w:sz="0" w:space="0" w:color="auto"/>
      </w:divBdr>
    </w:div>
    <w:div w:id="1546530139">
      <w:bodyDiv w:val="1"/>
      <w:marLeft w:val="0"/>
      <w:marRight w:val="0"/>
      <w:marTop w:val="0"/>
      <w:marBottom w:val="0"/>
      <w:divBdr>
        <w:top w:val="none" w:sz="0" w:space="0" w:color="auto"/>
        <w:left w:val="none" w:sz="0" w:space="0" w:color="auto"/>
        <w:bottom w:val="none" w:sz="0" w:space="0" w:color="auto"/>
        <w:right w:val="none" w:sz="0" w:space="0" w:color="auto"/>
      </w:divBdr>
    </w:div>
    <w:div w:id="1546596378">
      <w:bodyDiv w:val="1"/>
      <w:marLeft w:val="0"/>
      <w:marRight w:val="0"/>
      <w:marTop w:val="0"/>
      <w:marBottom w:val="0"/>
      <w:divBdr>
        <w:top w:val="none" w:sz="0" w:space="0" w:color="auto"/>
        <w:left w:val="none" w:sz="0" w:space="0" w:color="auto"/>
        <w:bottom w:val="none" w:sz="0" w:space="0" w:color="auto"/>
        <w:right w:val="none" w:sz="0" w:space="0" w:color="auto"/>
      </w:divBdr>
    </w:div>
    <w:div w:id="1546990669">
      <w:bodyDiv w:val="1"/>
      <w:marLeft w:val="0"/>
      <w:marRight w:val="0"/>
      <w:marTop w:val="0"/>
      <w:marBottom w:val="0"/>
      <w:divBdr>
        <w:top w:val="none" w:sz="0" w:space="0" w:color="auto"/>
        <w:left w:val="none" w:sz="0" w:space="0" w:color="auto"/>
        <w:bottom w:val="none" w:sz="0" w:space="0" w:color="auto"/>
        <w:right w:val="none" w:sz="0" w:space="0" w:color="auto"/>
      </w:divBdr>
    </w:div>
    <w:div w:id="1547060913">
      <w:bodyDiv w:val="1"/>
      <w:marLeft w:val="0"/>
      <w:marRight w:val="0"/>
      <w:marTop w:val="0"/>
      <w:marBottom w:val="0"/>
      <w:divBdr>
        <w:top w:val="none" w:sz="0" w:space="0" w:color="auto"/>
        <w:left w:val="none" w:sz="0" w:space="0" w:color="auto"/>
        <w:bottom w:val="none" w:sz="0" w:space="0" w:color="auto"/>
        <w:right w:val="none" w:sz="0" w:space="0" w:color="auto"/>
      </w:divBdr>
    </w:div>
    <w:div w:id="1547447879">
      <w:bodyDiv w:val="1"/>
      <w:marLeft w:val="0"/>
      <w:marRight w:val="0"/>
      <w:marTop w:val="0"/>
      <w:marBottom w:val="0"/>
      <w:divBdr>
        <w:top w:val="none" w:sz="0" w:space="0" w:color="auto"/>
        <w:left w:val="none" w:sz="0" w:space="0" w:color="auto"/>
        <w:bottom w:val="none" w:sz="0" w:space="0" w:color="auto"/>
        <w:right w:val="none" w:sz="0" w:space="0" w:color="auto"/>
      </w:divBdr>
    </w:div>
    <w:div w:id="1547836290">
      <w:bodyDiv w:val="1"/>
      <w:marLeft w:val="0"/>
      <w:marRight w:val="0"/>
      <w:marTop w:val="0"/>
      <w:marBottom w:val="0"/>
      <w:divBdr>
        <w:top w:val="none" w:sz="0" w:space="0" w:color="auto"/>
        <w:left w:val="none" w:sz="0" w:space="0" w:color="auto"/>
        <w:bottom w:val="none" w:sz="0" w:space="0" w:color="auto"/>
        <w:right w:val="none" w:sz="0" w:space="0" w:color="auto"/>
      </w:divBdr>
    </w:div>
    <w:div w:id="1547839848">
      <w:bodyDiv w:val="1"/>
      <w:marLeft w:val="0"/>
      <w:marRight w:val="0"/>
      <w:marTop w:val="0"/>
      <w:marBottom w:val="0"/>
      <w:divBdr>
        <w:top w:val="none" w:sz="0" w:space="0" w:color="auto"/>
        <w:left w:val="none" w:sz="0" w:space="0" w:color="auto"/>
        <w:bottom w:val="none" w:sz="0" w:space="0" w:color="auto"/>
        <w:right w:val="none" w:sz="0" w:space="0" w:color="auto"/>
      </w:divBdr>
    </w:div>
    <w:div w:id="1548057711">
      <w:bodyDiv w:val="1"/>
      <w:marLeft w:val="0"/>
      <w:marRight w:val="0"/>
      <w:marTop w:val="0"/>
      <w:marBottom w:val="0"/>
      <w:divBdr>
        <w:top w:val="none" w:sz="0" w:space="0" w:color="auto"/>
        <w:left w:val="none" w:sz="0" w:space="0" w:color="auto"/>
        <w:bottom w:val="none" w:sz="0" w:space="0" w:color="auto"/>
        <w:right w:val="none" w:sz="0" w:space="0" w:color="auto"/>
      </w:divBdr>
    </w:div>
    <w:div w:id="1548491409">
      <w:bodyDiv w:val="1"/>
      <w:marLeft w:val="0"/>
      <w:marRight w:val="0"/>
      <w:marTop w:val="0"/>
      <w:marBottom w:val="0"/>
      <w:divBdr>
        <w:top w:val="none" w:sz="0" w:space="0" w:color="auto"/>
        <w:left w:val="none" w:sz="0" w:space="0" w:color="auto"/>
        <w:bottom w:val="none" w:sz="0" w:space="0" w:color="auto"/>
        <w:right w:val="none" w:sz="0" w:space="0" w:color="auto"/>
      </w:divBdr>
    </w:div>
    <w:div w:id="1548563031">
      <w:bodyDiv w:val="1"/>
      <w:marLeft w:val="0"/>
      <w:marRight w:val="0"/>
      <w:marTop w:val="0"/>
      <w:marBottom w:val="0"/>
      <w:divBdr>
        <w:top w:val="none" w:sz="0" w:space="0" w:color="auto"/>
        <w:left w:val="none" w:sz="0" w:space="0" w:color="auto"/>
        <w:bottom w:val="none" w:sz="0" w:space="0" w:color="auto"/>
        <w:right w:val="none" w:sz="0" w:space="0" w:color="auto"/>
      </w:divBdr>
    </w:div>
    <w:div w:id="1548955258">
      <w:bodyDiv w:val="1"/>
      <w:marLeft w:val="0"/>
      <w:marRight w:val="0"/>
      <w:marTop w:val="0"/>
      <w:marBottom w:val="0"/>
      <w:divBdr>
        <w:top w:val="none" w:sz="0" w:space="0" w:color="auto"/>
        <w:left w:val="none" w:sz="0" w:space="0" w:color="auto"/>
        <w:bottom w:val="none" w:sz="0" w:space="0" w:color="auto"/>
        <w:right w:val="none" w:sz="0" w:space="0" w:color="auto"/>
      </w:divBdr>
    </w:div>
    <w:div w:id="1549686051">
      <w:bodyDiv w:val="1"/>
      <w:marLeft w:val="0"/>
      <w:marRight w:val="0"/>
      <w:marTop w:val="0"/>
      <w:marBottom w:val="0"/>
      <w:divBdr>
        <w:top w:val="none" w:sz="0" w:space="0" w:color="auto"/>
        <w:left w:val="none" w:sz="0" w:space="0" w:color="auto"/>
        <w:bottom w:val="none" w:sz="0" w:space="0" w:color="auto"/>
        <w:right w:val="none" w:sz="0" w:space="0" w:color="auto"/>
      </w:divBdr>
    </w:div>
    <w:div w:id="1549803621">
      <w:bodyDiv w:val="1"/>
      <w:marLeft w:val="0"/>
      <w:marRight w:val="0"/>
      <w:marTop w:val="0"/>
      <w:marBottom w:val="0"/>
      <w:divBdr>
        <w:top w:val="none" w:sz="0" w:space="0" w:color="auto"/>
        <w:left w:val="none" w:sz="0" w:space="0" w:color="auto"/>
        <w:bottom w:val="none" w:sz="0" w:space="0" w:color="auto"/>
        <w:right w:val="none" w:sz="0" w:space="0" w:color="auto"/>
      </w:divBdr>
    </w:div>
    <w:div w:id="1549956939">
      <w:bodyDiv w:val="1"/>
      <w:marLeft w:val="0"/>
      <w:marRight w:val="0"/>
      <w:marTop w:val="0"/>
      <w:marBottom w:val="0"/>
      <w:divBdr>
        <w:top w:val="none" w:sz="0" w:space="0" w:color="auto"/>
        <w:left w:val="none" w:sz="0" w:space="0" w:color="auto"/>
        <w:bottom w:val="none" w:sz="0" w:space="0" w:color="auto"/>
        <w:right w:val="none" w:sz="0" w:space="0" w:color="auto"/>
      </w:divBdr>
    </w:div>
    <w:div w:id="1550071622">
      <w:bodyDiv w:val="1"/>
      <w:marLeft w:val="0"/>
      <w:marRight w:val="0"/>
      <w:marTop w:val="0"/>
      <w:marBottom w:val="0"/>
      <w:divBdr>
        <w:top w:val="none" w:sz="0" w:space="0" w:color="auto"/>
        <w:left w:val="none" w:sz="0" w:space="0" w:color="auto"/>
        <w:bottom w:val="none" w:sz="0" w:space="0" w:color="auto"/>
        <w:right w:val="none" w:sz="0" w:space="0" w:color="auto"/>
      </w:divBdr>
    </w:div>
    <w:div w:id="1550143360">
      <w:bodyDiv w:val="1"/>
      <w:marLeft w:val="0"/>
      <w:marRight w:val="0"/>
      <w:marTop w:val="0"/>
      <w:marBottom w:val="0"/>
      <w:divBdr>
        <w:top w:val="none" w:sz="0" w:space="0" w:color="auto"/>
        <w:left w:val="none" w:sz="0" w:space="0" w:color="auto"/>
        <w:bottom w:val="none" w:sz="0" w:space="0" w:color="auto"/>
        <w:right w:val="none" w:sz="0" w:space="0" w:color="auto"/>
      </w:divBdr>
    </w:div>
    <w:div w:id="1550605669">
      <w:bodyDiv w:val="1"/>
      <w:marLeft w:val="0"/>
      <w:marRight w:val="0"/>
      <w:marTop w:val="0"/>
      <w:marBottom w:val="0"/>
      <w:divBdr>
        <w:top w:val="none" w:sz="0" w:space="0" w:color="auto"/>
        <w:left w:val="none" w:sz="0" w:space="0" w:color="auto"/>
        <w:bottom w:val="none" w:sz="0" w:space="0" w:color="auto"/>
        <w:right w:val="none" w:sz="0" w:space="0" w:color="auto"/>
      </w:divBdr>
    </w:div>
    <w:div w:id="1550993710">
      <w:bodyDiv w:val="1"/>
      <w:marLeft w:val="0"/>
      <w:marRight w:val="0"/>
      <w:marTop w:val="0"/>
      <w:marBottom w:val="0"/>
      <w:divBdr>
        <w:top w:val="none" w:sz="0" w:space="0" w:color="auto"/>
        <w:left w:val="none" w:sz="0" w:space="0" w:color="auto"/>
        <w:bottom w:val="none" w:sz="0" w:space="0" w:color="auto"/>
        <w:right w:val="none" w:sz="0" w:space="0" w:color="auto"/>
      </w:divBdr>
    </w:div>
    <w:div w:id="1551064898">
      <w:bodyDiv w:val="1"/>
      <w:marLeft w:val="0"/>
      <w:marRight w:val="0"/>
      <w:marTop w:val="0"/>
      <w:marBottom w:val="0"/>
      <w:divBdr>
        <w:top w:val="none" w:sz="0" w:space="0" w:color="auto"/>
        <w:left w:val="none" w:sz="0" w:space="0" w:color="auto"/>
        <w:bottom w:val="none" w:sz="0" w:space="0" w:color="auto"/>
        <w:right w:val="none" w:sz="0" w:space="0" w:color="auto"/>
      </w:divBdr>
    </w:div>
    <w:div w:id="1551383268">
      <w:bodyDiv w:val="1"/>
      <w:marLeft w:val="0"/>
      <w:marRight w:val="0"/>
      <w:marTop w:val="0"/>
      <w:marBottom w:val="0"/>
      <w:divBdr>
        <w:top w:val="none" w:sz="0" w:space="0" w:color="auto"/>
        <w:left w:val="none" w:sz="0" w:space="0" w:color="auto"/>
        <w:bottom w:val="none" w:sz="0" w:space="0" w:color="auto"/>
        <w:right w:val="none" w:sz="0" w:space="0" w:color="auto"/>
      </w:divBdr>
    </w:div>
    <w:div w:id="1551727374">
      <w:bodyDiv w:val="1"/>
      <w:marLeft w:val="0"/>
      <w:marRight w:val="0"/>
      <w:marTop w:val="0"/>
      <w:marBottom w:val="0"/>
      <w:divBdr>
        <w:top w:val="none" w:sz="0" w:space="0" w:color="auto"/>
        <w:left w:val="none" w:sz="0" w:space="0" w:color="auto"/>
        <w:bottom w:val="none" w:sz="0" w:space="0" w:color="auto"/>
        <w:right w:val="none" w:sz="0" w:space="0" w:color="auto"/>
      </w:divBdr>
    </w:div>
    <w:div w:id="1551962571">
      <w:bodyDiv w:val="1"/>
      <w:marLeft w:val="0"/>
      <w:marRight w:val="0"/>
      <w:marTop w:val="0"/>
      <w:marBottom w:val="0"/>
      <w:divBdr>
        <w:top w:val="none" w:sz="0" w:space="0" w:color="auto"/>
        <w:left w:val="none" w:sz="0" w:space="0" w:color="auto"/>
        <w:bottom w:val="none" w:sz="0" w:space="0" w:color="auto"/>
        <w:right w:val="none" w:sz="0" w:space="0" w:color="auto"/>
      </w:divBdr>
    </w:div>
    <w:div w:id="1552229426">
      <w:bodyDiv w:val="1"/>
      <w:marLeft w:val="0"/>
      <w:marRight w:val="0"/>
      <w:marTop w:val="0"/>
      <w:marBottom w:val="0"/>
      <w:divBdr>
        <w:top w:val="none" w:sz="0" w:space="0" w:color="auto"/>
        <w:left w:val="none" w:sz="0" w:space="0" w:color="auto"/>
        <w:bottom w:val="none" w:sz="0" w:space="0" w:color="auto"/>
        <w:right w:val="none" w:sz="0" w:space="0" w:color="auto"/>
      </w:divBdr>
    </w:div>
    <w:div w:id="1552305900">
      <w:bodyDiv w:val="1"/>
      <w:marLeft w:val="0"/>
      <w:marRight w:val="0"/>
      <w:marTop w:val="0"/>
      <w:marBottom w:val="0"/>
      <w:divBdr>
        <w:top w:val="none" w:sz="0" w:space="0" w:color="auto"/>
        <w:left w:val="none" w:sz="0" w:space="0" w:color="auto"/>
        <w:bottom w:val="none" w:sz="0" w:space="0" w:color="auto"/>
        <w:right w:val="none" w:sz="0" w:space="0" w:color="auto"/>
      </w:divBdr>
    </w:div>
    <w:div w:id="1552494500">
      <w:bodyDiv w:val="1"/>
      <w:marLeft w:val="0"/>
      <w:marRight w:val="0"/>
      <w:marTop w:val="0"/>
      <w:marBottom w:val="0"/>
      <w:divBdr>
        <w:top w:val="none" w:sz="0" w:space="0" w:color="auto"/>
        <w:left w:val="none" w:sz="0" w:space="0" w:color="auto"/>
        <w:bottom w:val="none" w:sz="0" w:space="0" w:color="auto"/>
        <w:right w:val="none" w:sz="0" w:space="0" w:color="auto"/>
      </w:divBdr>
    </w:div>
    <w:div w:id="1552494919">
      <w:bodyDiv w:val="1"/>
      <w:marLeft w:val="0"/>
      <w:marRight w:val="0"/>
      <w:marTop w:val="0"/>
      <w:marBottom w:val="0"/>
      <w:divBdr>
        <w:top w:val="none" w:sz="0" w:space="0" w:color="auto"/>
        <w:left w:val="none" w:sz="0" w:space="0" w:color="auto"/>
        <w:bottom w:val="none" w:sz="0" w:space="0" w:color="auto"/>
        <w:right w:val="none" w:sz="0" w:space="0" w:color="auto"/>
      </w:divBdr>
    </w:div>
    <w:div w:id="1552502447">
      <w:bodyDiv w:val="1"/>
      <w:marLeft w:val="0"/>
      <w:marRight w:val="0"/>
      <w:marTop w:val="0"/>
      <w:marBottom w:val="0"/>
      <w:divBdr>
        <w:top w:val="none" w:sz="0" w:space="0" w:color="auto"/>
        <w:left w:val="none" w:sz="0" w:space="0" w:color="auto"/>
        <w:bottom w:val="none" w:sz="0" w:space="0" w:color="auto"/>
        <w:right w:val="none" w:sz="0" w:space="0" w:color="auto"/>
      </w:divBdr>
    </w:div>
    <w:div w:id="1552886114">
      <w:bodyDiv w:val="1"/>
      <w:marLeft w:val="0"/>
      <w:marRight w:val="0"/>
      <w:marTop w:val="0"/>
      <w:marBottom w:val="0"/>
      <w:divBdr>
        <w:top w:val="none" w:sz="0" w:space="0" w:color="auto"/>
        <w:left w:val="none" w:sz="0" w:space="0" w:color="auto"/>
        <w:bottom w:val="none" w:sz="0" w:space="0" w:color="auto"/>
        <w:right w:val="none" w:sz="0" w:space="0" w:color="auto"/>
      </w:divBdr>
    </w:div>
    <w:div w:id="1553537059">
      <w:bodyDiv w:val="1"/>
      <w:marLeft w:val="0"/>
      <w:marRight w:val="0"/>
      <w:marTop w:val="0"/>
      <w:marBottom w:val="0"/>
      <w:divBdr>
        <w:top w:val="none" w:sz="0" w:space="0" w:color="auto"/>
        <w:left w:val="none" w:sz="0" w:space="0" w:color="auto"/>
        <w:bottom w:val="none" w:sz="0" w:space="0" w:color="auto"/>
        <w:right w:val="none" w:sz="0" w:space="0" w:color="auto"/>
      </w:divBdr>
    </w:div>
    <w:div w:id="1553813494">
      <w:bodyDiv w:val="1"/>
      <w:marLeft w:val="0"/>
      <w:marRight w:val="0"/>
      <w:marTop w:val="0"/>
      <w:marBottom w:val="0"/>
      <w:divBdr>
        <w:top w:val="none" w:sz="0" w:space="0" w:color="auto"/>
        <w:left w:val="none" w:sz="0" w:space="0" w:color="auto"/>
        <w:bottom w:val="none" w:sz="0" w:space="0" w:color="auto"/>
        <w:right w:val="none" w:sz="0" w:space="0" w:color="auto"/>
      </w:divBdr>
    </w:div>
    <w:div w:id="1554001791">
      <w:bodyDiv w:val="1"/>
      <w:marLeft w:val="0"/>
      <w:marRight w:val="0"/>
      <w:marTop w:val="0"/>
      <w:marBottom w:val="0"/>
      <w:divBdr>
        <w:top w:val="none" w:sz="0" w:space="0" w:color="auto"/>
        <w:left w:val="none" w:sz="0" w:space="0" w:color="auto"/>
        <w:bottom w:val="none" w:sz="0" w:space="0" w:color="auto"/>
        <w:right w:val="none" w:sz="0" w:space="0" w:color="auto"/>
      </w:divBdr>
    </w:div>
    <w:div w:id="1554074456">
      <w:bodyDiv w:val="1"/>
      <w:marLeft w:val="0"/>
      <w:marRight w:val="0"/>
      <w:marTop w:val="0"/>
      <w:marBottom w:val="0"/>
      <w:divBdr>
        <w:top w:val="none" w:sz="0" w:space="0" w:color="auto"/>
        <w:left w:val="none" w:sz="0" w:space="0" w:color="auto"/>
        <w:bottom w:val="none" w:sz="0" w:space="0" w:color="auto"/>
        <w:right w:val="none" w:sz="0" w:space="0" w:color="auto"/>
      </w:divBdr>
    </w:div>
    <w:div w:id="1554081435">
      <w:bodyDiv w:val="1"/>
      <w:marLeft w:val="0"/>
      <w:marRight w:val="0"/>
      <w:marTop w:val="0"/>
      <w:marBottom w:val="0"/>
      <w:divBdr>
        <w:top w:val="none" w:sz="0" w:space="0" w:color="auto"/>
        <w:left w:val="none" w:sz="0" w:space="0" w:color="auto"/>
        <w:bottom w:val="none" w:sz="0" w:space="0" w:color="auto"/>
        <w:right w:val="none" w:sz="0" w:space="0" w:color="auto"/>
      </w:divBdr>
    </w:div>
    <w:div w:id="1554733732">
      <w:bodyDiv w:val="1"/>
      <w:marLeft w:val="0"/>
      <w:marRight w:val="0"/>
      <w:marTop w:val="0"/>
      <w:marBottom w:val="0"/>
      <w:divBdr>
        <w:top w:val="none" w:sz="0" w:space="0" w:color="auto"/>
        <w:left w:val="none" w:sz="0" w:space="0" w:color="auto"/>
        <w:bottom w:val="none" w:sz="0" w:space="0" w:color="auto"/>
        <w:right w:val="none" w:sz="0" w:space="0" w:color="auto"/>
      </w:divBdr>
    </w:div>
    <w:div w:id="1555653480">
      <w:bodyDiv w:val="1"/>
      <w:marLeft w:val="0"/>
      <w:marRight w:val="0"/>
      <w:marTop w:val="0"/>
      <w:marBottom w:val="0"/>
      <w:divBdr>
        <w:top w:val="none" w:sz="0" w:space="0" w:color="auto"/>
        <w:left w:val="none" w:sz="0" w:space="0" w:color="auto"/>
        <w:bottom w:val="none" w:sz="0" w:space="0" w:color="auto"/>
        <w:right w:val="none" w:sz="0" w:space="0" w:color="auto"/>
      </w:divBdr>
    </w:div>
    <w:div w:id="1555962986">
      <w:bodyDiv w:val="1"/>
      <w:marLeft w:val="0"/>
      <w:marRight w:val="0"/>
      <w:marTop w:val="0"/>
      <w:marBottom w:val="0"/>
      <w:divBdr>
        <w:top w:val="none" w:sz="0" w:space="0" w:color="auto"/>
        <w:left w:val="none" w:sz="0" w:space="0" w:color="auto"/>
        <w:bottom w:val="none" w:sz="0" w:space="0" w:color="auto"/>
        <w:right w:val="none" w:sz="0" w:space="0" w:color="auto"/>
      </w:divBdr>
    </w:div>
    <w:div w:id="1556041691">
      <w:bodyDiv w:val="1"/>
      <w:marLeft w:val="0"/>
      <w:marRight w:val="0"/>
      <w:marTop w:val="0"/>
      <w:marBottom w:val="0"/>
      <w:divBdr>
        <w:top w:val="none" w:sz="0" w:space="0" w:color="auto"/>
        <w:left w:val="none" w:sz="0" w:space="0" w:color="auto"/>
        <w:bottom w:val="none" w:sz="0" w:space="0" w:color="auto"/>
        <w:right w:val="none" w:sz="0" w:space="0" w:color="auto"/>
      </w:divBdr>
    </w:div>
    <w:div w:id="1556962164">
      <w:bodyDiv w:val="1"/>
      <w:marLeft w:val="0"/>
      <w:marRight w:val="0"/>
      <w:marTop w:val="0"/>
      <w:marBottom w:val="0"/>
      <w:divBdr>
        <w:top w:val="none" w:sz="0" w:space="0" w:color="auto"/>
        <w:left w:val="none" w:sz="0" w:space="0" w:color="auto"/>
        <w:bottom w:val="none" w:sz="0" w:space="0" w:color="auto"/>
        <w:right w:val="none" w:sz="0" w:space="0" w:color="auto"/>
      </w:divBdr>
    </w:div>
    <w:div w:id="1557744619">
      <w:bodyDiv w:val="1"/>
      <w:marLeft w:val="0"/>
      <w:marRight w:val="0"/>
      <w:marTop w:val="0"/>
      <w:marBottom w:val="0"/>
      <w:divBdr>
        <w:top w:val="none" w:sz="0" w:space="0" w:color="auto"/>
        <w:left w:val="none" w:sz="0" w:space="0" w:color="auto"/>
        <w:bottom w:val="none" w:sz="0" w:space="0" w:color="auto"/>
        <w:right w:val="none" w:sz="0" w:space="0" w:color="auto"/>
      </w:divBdr>
    </w:div>
    <w:div w:id="1558322305">
      <w:bodyDiv w:val="1"/>
      <w:marLeft w:val="0"/>
      <w:marRight w:val="0"/>
      <w:marTop w:val="0"/>
      <w:marBottom w:val="0"/>
      <w:divBdr>
        <w:top w:val="none" w:sz="0" w:space="0" w:color="auto"/>
        <w:left w:val="none" w:sz="0" w:space="0" w:color="auto"/>
        <w:bottom w:val="none" w:sz="0" w:space="0" w:color="auto"/>
        <w:right w:val="none" w:sz="0" w:space="0" w:color="auto"/>
      </w:divBdr>
    </w:div>
    <w:div w:id="1558660298">
      <w:bodyDiv w:val="1"/>
      <w:marLeft w:val="0"/>
      <w:marRight w:val="0"/>
      <w:marTop w:val="0"/>
      <w:marBottom w:val="0"/>
      <w:divBdr>
        <w:top w:val="none" w:sz="0" w:space="0" w:color="auto"/>
        <w:left w:val="none" w:sz="0" w:space="0" w:color="auto"/>
        <w:bottom w:val="none" w:sz="0" w:space="0" w:color="auto"/>
        <w:right w:val="none" w:sz="0" w:space="0" w:color="auto"/>
      </w:divBdr>
    </w:div>
    <w:div w:id="1559123418">
      <w:bodyDiv w:val="1"/>
      <w:marLeft w:val="0"/>
      <w:marRight w:val="0"/>
      <w:marTop w:val="0"/>
      <w:marBottom w:val="0"/>
      <w:divBdr>
        <w:top w:val="none" w:sz="0" w:space="0" w:color="auto"/>
        <w:left w:val="none" w:sz="0" w:space="0" w:color="auto"/>
        <w:bottom w:val="none" w:sz="0" w:space="0" w:color="auto"/>
        <w:right w:val="none" w:sz="0" w:space="0" w:color="auto"/>
      </w:divBdr>
    </w:div>
    <w:div w:id="1559436883">
      <w:bodyDiv w:val="1"/>
      <w:marLeft w:val="0"/>
      <w:marRight w:val="0"/>
      <w:marTop w:val="0"/>
      <w:marBottom w:val="0"/>
      <w:divBdr>
        <w:top w:val="none" w:sz="0" w:space="0" w:color="auto"/>
        <w:left w:val="none" w:sz="0" w:space="0" w:color="auto"/>
        <w:bottom w:val="none" w:sz="0" w:space="0" w:color="auto"/>
        <w:right w:val="none" w:sz="0" w:space="0" w:color="auto"/>
      </w:divBdr>
    </w:div>
    <w:div w:id="1559782834">
      <w:bodyDiv w:val="1"/>
      <w:marLeft w:val="0"/>
      <w:marRight w:val="0"/>
      <w:marTop w:val="0"/>
      <w:marBottom w:val="0"/>
      <w:divBdr>
        <w:top w:val="none" w:sz="0" w:space="0" w:color="auto"/>
        <w:left w:val="none" w:sz="0" w:space="0" w:color="auto"/>
        <w:bottom w:val="none" w:sz="0" w:space="0" w:color="auto"/>
        <w:right w:val="none" w:sz="0" w:space="0" w:color="auto"/>
      </w:divBdr>
    </w:div>
    <w:div w:id="1559979360">
      <w:bodyDiv w:val="1"/>
      <w:marLeft w:val="0"/>
      <w:marRight w:val="0"/>
      <w:marTop w:val="0"/>
      <w:marBottom w:val="0"/>
      <w:divBdr>
        <w:top w:val="none" w:sz="0" w:space="0" w:color="auto"/>
        <w:left w:val="none" w:sz="0" w:space="0" w:color="auto"/>
        <w:bottom w:val="none" w:sz="0" w:space="0" w:color="auto"/>
        <w:right w:val="none" w:sz="0" w:space="0" w:color="auto"/>
      </w:divBdr>
    </w:div>
    <w:div w:id="1560284065">
      <w:bodyDiv w:val="1"/>
      <w:marLeft w:val="0"/>
      <w:marRight w:val="0"/>
      <w:marTop w:val="0"/>
      <w:marBottom w:val="0"/>
      <w:divBdr>
        <w:top w:val="none" w:sz="0" w:space="0" w:color="auto"/>
        <w:left w:val="none" w:sz="0" w:space="0" w:color="auto"/>
        <w:bottom w:val="none" w:sz="0" w:space="0" w:color="auto"/>
        <w:right w:val="none" w:sz="0" w:space="0" w:color="auto"/>
      </w:divBdr>
    </w:div>
    <w:div w:id="1560631773">
      <w:bodyDiv w:val="1"/>
      <w:marLeft w:val="0"/>
      <w:marRight w:val="0"/>
      <w:marTop w:val="0"/>
      <w:marBottom w:val="0"/>
      <w:divBdr>
        <w:top w:val="none" w:sz="0" w:space="0" w:color="auto"/>
        <w:left w:val="none" w:sz="0" w:space="0" w:color="auto"/>
        <w:bottom w:val="none" w:sz="0" w:space="0" w:color="auto"/>
        <w:right w:val="none" w:sz="0" w:space="0" w:color="auto"/>
      </w:divBdr>
    </w:div>
    <w:div w:id="1560901617">
      <w:bodyDiv w:val="1"/>
      <w:marLeft w:val="0"/>
      <w:marRight w:val="0"/>
      <w:marTop w:val="0"/>
      <w:marBottom w:val="0"/>
      <w:divBdr>
        <w:top w:val="none" w:sz="0" w:space="0" w:color="auto"/>
        <w:left w:val="none" w:sz="0" w:space="0" w:color="auto"/>
        <w:bottom w:val="none" w:sz="0" w:space="0" w:color="auto"/>
        <w:right w:val="none" w:sz="0" w:space="0" w:color="auto"/>
      </w:divBdr>
    </w:div>
    <w:div w:id="1561212817">
      <w:bodyDiv w:val="1"/>
      <w:marLeft w:val="0"/>
      <w:marRight w:val="0"/>
      <w:marTop w:val="0"/>
      <w:marBottom w:val="0"/>
      <w:divBdr>
        <w:top w:val="none" w:sz="0" w:space="0" w:color="auto"/>
        <w:left w:val="none" w:sz="0" w:space="0" w:color="auto"/>
        <w:bottom w:val="none" w:sz="0" w:space="0" w:color="auto"/>
        <w:right w:val="none" w:sz="0" w:space="0" w:color="auto"/>
      </w:divBdr>
    </w:div>
    <w:div w:id="1561407834">
      <w:bodyDiv w:val="1"/>
      <w:marLeft w:val="0"/>
      <w:marRight w:val="0"/>
      <w:marTop w:val="0"/>
      <w:marBottom w:val="0"/>
      <w:divBdr>
        <w:top w:val="none" w:sz="0" w:space="0" w:color="auto"/>
        <w:left w:val="none" w:sz="0" w:space="0" w:color="auto"/>
        <w:bottom w:val="none" w:sz="0" w:space="0" w:color="auto"/>
        <w:right w:val="none" w:sz="0" w:space="0" w:color="auto"/>
      </w:divBdr>
    </w:div>
    <w:div w:id="1561480206">
      <w:bodyDiv w:val="1"/>
      <w:marLeft w:val="0"/>
      <w:marRight w:val="0"/>
      <w:marTop w:val="0"/>
      <w:marBottom w:val="0"/>
      <w:divBdr>
        <w:top w:val="none" w:sz="0" w:space="0" w:color="auto"/>
        <w:left w:val="none" w:sz="0" w:space="0" w:color="auto"/>
        <w:bottom w:val="none" w:sz="0" w:space="0" w:color="auto"/>
        <w:right w:val="none" w:sz="0" w:space="0" w:color="auto"/>
      </w:divBdr>
    </w:div>
    <w:div w:id="1561868914">
      <w:bodyDiv w:val="1"/>
      <w:marLeft w:val="0"/>
      <w:marRight w:val="0"/>
      <w:marTop w:val="0"/>
      <w:marBottom w:val="0"/>
      <w:divBdr>
        <w:top w:val="none" w:sz="0" w:space="0" w:color="auto"/>
        <w:left w:val="none" w:sz="0" w:space="0" w:color="auto"/>
        <w:bottom w:val="none" w:sz="0" w:space="0" w:color="auto"/>
        <w:right w:val="none" w:sz="0" w:space="0" w:color="auto"/>
      </w:divBdr>
    </w:div>
    <w:div w:id="1562787250">
      <w:bodyDiv w:val="1"/>
      <w:marLeft w:val="0"/>
      <w:marRight w:val="0"/>
      <w:marTop w:val="0"/>
      <w:marBottom w:val="0"/>
      <w:divBdr>
        <w:top w:val="none" w:sz="0" w:space="0" w:color="auto"/>
        <w:left w:val="none" w:sz="0" w:space="0" w:color="auto"/>
        <w:bottom w:val="none" w:sz="0" w:space="0" w:color="auto"/>
        <w:right w:val="none" w:sz="0" w:space="0" w:color="auto"/>
      </w:divBdr>
    </w:div>
    <w:div w:id="1563128288">
      <w:bodyDiv w:val="1"/>
      <w:marLeft w:val="0"/>
      <w:marRight w:val="0"/>
      <w:marTop w:val="0"/>
      <w:marBottom w:val="0"/>
      <w:divBdr>
        <w:top w:val="none" w:sz="0" w:space="0" w:color="auto"/>
        <w:left w:val="none" w:sz="0" w:space="0" w:color="auto"/>
        <w:bottom w:val="none" w:sz="0" w:space="0" w:color="auto"/>
        <w:right w:val="none" w:sz="0" w:space="0" w:color="auto"/>
      </w:divBdr>
    </w:div>
    <w:div w:id="1563297649">
      <w:bodyDiv w:val="1"/>
      <w:marLeft w:val="0"/>
      <w:marRight w:val="0"/>
      <w:marTop w:val="0"/>
      <w:marBottom w:val="0"/>
      <w:divBdr>
        <w:top w:val="none" w:sz="0" w:space="0" w:color="auto"/>
        <w:left w:val="none" w:sz="0" w:space="0" w:color="auto"/>
        <w:bottom w:val="none" w:sz="0" w:space="0" w:color="auto"/>
        <w:right w:val="none" w:sz="0" w:space="0" w:color="auto"/>
      </w:divBdr>
    </w:div>
    <w:div w:id="1563373494">
      <w:bodyDiv w:val="1"/>
      <w:marLeft w:val="0"/>
      <w:marRight w:val="0"/>
      <w:marTop w:val="0"/>
      <w:marBottom w:val="0"/>
      <w:divBdr>
        <w:top w:val="none" w:sz="0" w:space="0" w:color="auto"/>
        <w:left w:val="none" w:sz="0" w:space="0" w:color="auto"/>
        <w:bottom w:val="none" w:sz="0" w:space="0" w:color="auto"/>
        <w:right w:val="none" w:sz="0" w:space="0" w:color="auto"/>
      </w:divBdr>
    </w:div>
    <w:div w:id="1563449114">
      <w:bodyDiv w:val="1"/>
      <w:marLeft w:val="0"/>
      <w:marRight w:val="0"/>
      <w:marTop w:val="0"/>
      <w:marBottom w:val="0"/>
      <w:divBdr>
        <w:top w:val="none" w:sz="0" w:space="0" w:color="auto"/>
        <w:left w:val="none" w:sz="0" w:space="0" w:color="auto"/>
        <w:bottom w:val="none" w:sz="0" w:space="0" w:color="auto"/>
        <w:right w:val="none" w:sz="0" w:space="0" w:color="auto"/>
      </w:divBdr>
    </w:div>
    <w:div w:id="1563787253">
      <w:bodyDiv w:val="1"/>
      <w:marLeft w:val="0"/>
      <w:marRight w:val="0"/>
      <w:marTop w:val="0"/>
      <w:marBottom w:val="0"/>
      <w:divBdr>
        <w:top w:val="none" w:sz="0" w:space="0" w:color="auto"/>
        <w:left w:val="none" w:sz="0" w:space="0" w:color="auto"/>
        <w:bottom w:val="none" w:sz="0" w:space="0" w:color="auto"/>
        <w:right w:val="none" w:sz="0" w:space="0" w:color="auto"/>
      </w:divBdr>
    </w:div>
    <w:div w:id="1564027120">
      <w:bodyDiv w:val="1"/>
      <w:marLeft w:val="0"/>
      <w:marRight w:val="0"/>
      <w:marTop w:val="0"/>
      <w:marBottom w:val="0"/>
      <w:divBdr>
        <w:top w:val="none" w:sz="0" w:space="0" w:color="auto"/>
        <w:left w:val="none" w:sz="0" w:space="0" w:color="auto"/>
        <w:bottom w:val="none" w:sz="0" w:space="0" w:color="auto"/>
        <w:right w:val="none" w:sz="0" w:space="0" w:color="auto"/>
      </w:divBdr>
    </w:div>
    <w:div w:id="1564754864">
      <w:bodyDiv w:val="1"/>
      <w:marLeft w:val="0"/>
      <w:marRight w:val="0"/>
      <w:marTop w:val="0"/>
      <w:marBottom w:val="0"/>
      <w:divBdr>
        <w:top w:val="none" w:sz="0" w:space="0" w:color="auto"/>
        <w:left w:val="none" w:sz="0" w:space="0" w:color="auto"/>
        <w:bottom w:val="none" w:sz="0" w:space="0" w:color="auto"/>
        <w:right w:val="none" w:sz="0" w:space="0" w:color="auto"/>
      </w:divBdr>
    </w:div>
    <w:div w:id="1565069176">
      <w:bodyDiv w:val="1"/>
      <w:marLeft w:val="0"/>
      <w:marRight w:val="0"/>
      <w:marTop w:val="0"/>
      <w:marBottom w:val="0"/>
      <w:divBdr>
        <w:top w:val="none" w:sz="0" w:space="0" w:color="auto"/>
        <w:left w:val="none" w:sz="0" w:space="0" w:color="auto"/>
        <w:bottom w:val="none" w:sz="0" w:space="0" w:color="auto"/>
        <w:right w:val="none" w:sz="0" w:space="0" w:color="auto"/>
      </w:divBdr>
    </w:div>
    <w:div w:id="1565336025">
      <w:bodyDiv w:val="1"/>
      <w:marLeft w:val="0"/>
      <w:marRight w:val="0"/>
      <w:marTop w:val="0"/>
      <w:marBottom w:val="0"/>
      <w:divBdr>
        <w:top w:val="none" w:sz="0" w:space="0" w:color="auto"/>
        <w:left w:val="none" w:sz="0" w:space="0" w:color="auto"/>
        <w:bottom w:val="none" w:sz="0" w:space="0" w:color="auto"/>
        <w:right w:val="none" w:sz="0" w:space="0" w:color="auto"/>
      </w:divBdr>
    </w:div>
    <w:div w:id="1565410321">
      <w:bodyDiv w:val="1"/>
      <w:marLeft w:val="0"/>
      <w:marRight w:val="0"/>
      <w:marTop w:val="0"/>
      <w:marBottom w:val="0"/>
      <w:divBdr>
        <w:top w:val="none" w:sz="0" w:space="0" w:color="auto"/>
        <w:left w:val="none" w:sz="0" w:space="0" w:color="auto"/>
        <w:bottom w:val="none" w:sz="0" w:space="0" w:color="auto"/>
        <w:right w:val="none" w:sz="0" w:space="0" w:color="auto"/>
      </w:divBdr>
    </w:div>
    <w:div w:id="1565798711">
      <w:bodyDiv w:val="1"/>
      <w:marLeft w:val="0"/>
      <w:marRight w:val="0"/>
      <w:marTop w:val="0"/>
      <w:marBottom w:val="0"/>
      <w:divBdr>
        <w:top w:val="none" w:sz="0" w:space="0" w:color="auto"/>
        <w:left w:val="none" w:sz="0" w:space="0" w:color="auto"/>
        <w:bottom w:val="none" w:sz="0" w:space="0" w:color="auto"/>
        <w:right w:val="none" w:sz="0" w:space="0" w:color="auto"/>
      </w:divBdr>
    </w:div>
    <w:div w:id="1565917952">
      <w:bodyDiv w:val="1"/>
      <w:marLeft w:val="0"/>
      <w:marRight w:val="0"/>
      <w:marTop w:val="0"/>
      <w:marBottom w:val="0"/>
      <w:divBdr>
        <w:top w:val="none" w:sz="0" w:space="0" w:color="auto"/>
        <w:left w:val="none" w:sz="0" w:space="0" w:color="auto"/>
        <w:bottom w:val="none" w:sz="0" w:space="0" w:color="auto"/>
        <w:right w:val="none" w:sz="0" w:space="0" w:color="auto"/>
      </w:divBdr>
    </w:div>
    <w:div w:id="1566143633">
      <w:bodyDiv w:val="1"/>
      <w:marLeft w:val="0"/>
      <w:marRight w:val="0"/>
      <w:marTop w:val="0"/>
      <w:marBottom w:val="0"/>
      <w:divBdr>
        <w:top w:val="none" w:sz="0" w:space="0" w:color="auto"/>
        <w:left w:val="none" w:sz="0" w:space="0" w:color="auto"/>
        <w:bottom w:val="none" w:sz="0" w:space="0" w:color="auto"/>
        <w:right w:val="none" w:sz="0" w:space="0" w:color="auto"/>
      </w:divBdr>
    </w:div>
    <w:div w:id="1566333277">
      <w:bodyDiv w:val="1"/>
      <w:marLeft w:val="0"/>
      <w:marRight w:val="0"/>
      <w:marTop w:val="0"/>
      <w:marBottom w:val="0"/>
      <w:divBdr>
        <w:top w:val="none" w:sz="0" w:space="0" w:color="auto"/>
        <w:left w:val="none" w:sz="0" w:space="0" w:color="auto"/>
        <w:bottom w:val="none" w:sz="0" w:space="0" w:color="auto"/>
        <w:right w:val="none" w:sz="0" w:space="0" w:color="auto"/>
      </w:divBdr>
    </w:div>
    <w:div w:id="1566407045">
      <w:bodyDiv w:val="1"/>
      <w:marLeft w:val="0"/>
      <w:marRight w:val="0"/>
      <w:marTop w:val="0"/>
      <w:marBottom w:val="0"/>
      <w:divBdr>
        <w:top w:val="none" w:sz="0" w:space="0" w:color="auto"/>
        <w:left w:val="none" w:sz="0" w:space="0" w:color="auto"/>
        <w:bottom w:val="none" w:sz="0" w:space="0" w:color="auto"/>
        <w:right w:val="none" w:sz="0" w:space="0" w:color="auto"/>
      </w:divBdr>
    </w:div>
    <w:div w:id="1566716510">
      <w:bodyDiv w:val="1"/>
      <w:marLeft w:val="0"/>
      <w:marRight w:val="0"/>
      <w:marTop w:val="0"/>
      <w:marBottom w:val="0"/>
      <w:divBdr>
        <w:top w:val="none" w:sz="0" w:space="0" w:color="auto"/>
        <w:left w:val="none" w:sz="0" w:space="0" w:color="auto"/>
        <w:bottom w:val="none" w:sz="0" w:space="0" w:color="auto"/>
        <w:right w:val="none" w:sz="0" w:space="0" w:color="auto"/>
      </w:divBdr>
    </w:div>
    <w:div w:id="1566722622">
      <w:bodyDiv w:val="1"/>
      <w:marLeft w:val="0"/>
      <w:marRight w:val="0"/>
      <w:marTop w:val="0"/>
      <w:marBottom w:val="0"/>
      <w:divBdr>
        <w:top w:val="none" w:sz="0" w:space="0" w:color="auto"/>
        <w:left w:val="none" w:sz="0" w:space="0" w:color="auto"/>
        <w:bottom w:val="none" w:sz="0" w:space="0" w:color="auto"/>
        <w:right w:val="none" w:sz="0" w:space="0" w:color="auto"/>
      </w:divBdr>
    </w:div>
    <w:div w:id="1567490608">
      <w:bodyDiv w:val="1"/>
      <w:marLeft w:val="0"/>
      <w:marRight w:val="0"/>
      <w:marTop w:val="0"/>
      <w:marBottom w:val="0"/>
      <w:divBdr>
        <w:top w:val="none" w:sz="0" w:space="0" w:color="auto"/>
        <w:left w:val="none" w:sz="0" w:space="0" w:color="auto"/>
        <w:bottom w:val="none" w:sz="0" w:space="0" w:color="auto"/>
        <w:right w:val="none" w:sz="0" w:space="0" w:color="auto"/>
      </w:divBdr>
    </w:div>
    <w:div w:id="1567912757">
      <w:bodyDiv w:val="1"/>
      <w:marLeft w:val="0"/>
      <w:marRight w:val="0"/>
      <w:marTop w:val="0"/>
      <w:marBottom w:val="0"/>
      <w:divBdr>
        <w:top w:val="none" w:sz="0" w:space="0" w:color="auto"/>
        <w:left w:val="none" w:sz="0" w:space="0" w:color="auto"/>
        <w:bottom w:val="none" w:sz="0" w:space="0" w:color="auto"/>
        <w:right w:val="none" w:sz="0" w:space="0" w:color="auto"/>
      </w:divBdr>
    </w:div>
    <w:div w:id="1568300859">
      <w:bodyDiv w:val="1"/>
      <w:marLeft w:val="0"/>
      <w:marRight w:val="0"/>
      <w:marTop w:val="0"/>
      <w:marBottom w:val="0"/>
      <w:divBdr>
        <w:top w:val="none" w:sz="0" w:space="0" w:color="auto"/>
        <w:left w:val="none" w:sz="0" w:space="0" w:color="auto"/>
        <w:bottom w:val="none" w:sz="0" w:space="0" w:color="auto"/>
        <w:right w:val="none" w:sz="0" w:space="0" w:color="auto"/>
      </w:divBdr>
    </w:div>
    <w:div w:id="1568370897">
      <w:bodyDiv w:val="1"/>
      <w:marLeft w:val="0"/>
      <w:marRight w:val="0"/>
      <w:marTop w:val="0"/>
      <w:marBottom w:val="0"/>
      <w:divBdr>
        <w:top w:val="none" w:sz="0" w:space="0" w:color="auto"/>
        <w:left w:val="none" w:sz="0" w:space="0" w:color="auto"/>
        <w:bottom w:val="none" w:sz="0" w:space="0" w:color="auto"/>
        <w:right w:val="none" w:sz="0" w:space="0" w:color="auto"/>
      </w:divBdr>
    </w:div>
    <w:div w:id="1568686526">
      <w:bodyDiv w:val="1"/>
      <w:marLeft w:val="0"/>
      <w:marRight w:val="0"/>
      <w:marTop w:val="0"/>
      <w:marBottom w:val="0"/>
      <w:divBdr>
        <w:top w:val="none" w:sz="0" w:space="0" w:color="auto"/>
        <w:left w:val="none" w:sz="0" w:space="0" w:color="auto"/>
        <w:bottom w:val="none" w:sz="0" w:space="0" w:color="auto"/>
        <w:right w:val="none" w:sz="0" w:space="0" w:color="auto"/>
      </w:divBdr>
    </w:div>
    <w:div w:id="1568877472">
      <w:bodyDiv w:val="1"/>
      <w:marLeft w:val="0"/>
      <w:marRight w:val="0"/>
      <w:marTop w:val="0"/>
      <w:marBottom w:val="0"/>
      <w:divBdr>
        <w:top w:val="none" w:sz="0" w:space="0" w:color="auto"/>
        <w:left w:val="none" w:sz="0" w:space="0" w:color="auto"/>
        <w:bottom w:val="none" w:sz="0" w:space="0" w:color="auto"/>
        <w:right w:val="none" w:sz="0" w:space="0" w:color="auto"/>
      </w:divBdr>
    </w:div>
    <w:div w:id="1568882394">
      <w:bodyDiv w:val="1"/>
      <w:marLeft w:val="0"/>
      <w:marRight w:val="0"/>
      <w:marTop w:val="0"/>
      <w:marBottom w:val="0"/>
      <w:divBdr>
        <w:top w:val="none" w:sz="0" w:space="0" w:color="auto"/>
        <w:left w:val="none" w:sz="0" w:space="0" w:color="auto"/>
        <w:bottom w:val="none" w:sz="0" w:space="0" w:color="auto"/>
        <w:right w:val="none" w:sz="0" w:space="0" w:color="auto"/>
      </w:divBdr>
    </w:div>
    <w:div w:id="1569264991">
      <w:bodyDiv w:val="1"/>
      <w:marLeft w:val="0"/>
      <w:marRight w:val="0"/>
      <w:marTop w:val="0"/>
      <w:marBottom w:val="0"/>
      <w:divBdr>
        <w:top w:val="none" w:sz="0" w:space="0" w:color="auto"/>
        <w:left w:val="none" w:sz="0" w:space="0" w:color="auto"/>
        <w:bottom w:val="none" w:sz="0" w:space="0" w:color="auto"/>
        <w:right w:val="none" w:sz="0" w:space="0" w:color="auto"/>
      </w:divBdr>
    </w:div>
    <w:div w:id="1569924985">
      <w:bodyDiv w:val="1"/>
      <w:marLeft w:val="0"/>
      <w:marRight w:val="0"/>
      <w:marTop w:val="0"/>
      <w:marBottom w:val="0"/>
      <w:divBdr>
        <w:top w:val="none" w:sz="0" w:space="0" w:color="auto"/>
        <w:left w:val="none" w:sz="0" w:space="0" w:color="auto"/>
        <w:bottom w:val="none" w:sz="0" w:space="0" w:color="auto"/>
        <w:right w:val="none" w:sz="0" w:space="0" w:color="auto"/>
      </w:divBdr>
    </w:div>
    <w:div w:id="1570111670">
      <w:bodyDiv w:val="1"/>
      <w:marLeft w:val="0"/>
      <w:marRight w:val="0"/>
      <w:marTop w:val="0"/>
      <w:marBottom w:val="0"/>
      <w:divBdr>
        <w:top w:val="none" w:sz="0" w:space="0" w:color="auto"/>
        <w:left w:val="none" w:sz="0" w:space="0" w:color="auto"/>
        <w:bottom w:val="none" w:sz="0" w:space="0" w:color="auto"/>
        <w:right w:val="none" w:sz="0" w:space="0" w:color="auto"/>
      </w:divBdr>
    </w:div>
    <w:div w:id="1570650981">
      <w:bodyDiv w:val="1"/>
      <w:marLeft w:val="0"/>
      <w:marRight w:val="0"/>
      <w:marTop w:val="0"/>
      <w:marBottom w:val="0"/>
      <w:divBdr>
        <w:top w:val="none" w:sz="0" w:space="0" w:color="auto"/>
        <w:left w:val="none" w:sz="0" w:space="0" w:color="auto"/>
        <w:bottom w:val="none" w:sz="0" w:space="0" w:color="auto"/>
        <w:right w:val="none" w:sz="0" w:space="0" w:color="auto"/>
      </w:divBdr>
    </w:div>
    <w:div w:id="1571379523">
      <w:bodyDiv w:val="1"/>
      <w:marLeft w:val="0"/>
      <w:marRight w:val="0"/>
      <w:marTop w:val="0"/>
      <w:marBottom w:val="0"/>
      <w:divBdr>
        <w:top w:val="none" w:sz="0" w:space="0" w:color="auto"/>
        <w:left w:val="none" w:sz="0" w:space="0" w:color="auto"/>
        <w:bottom w:val="none" w:sz="0" w:space="0" w:color="auto"/>
        <w:right w:val="none" w:sz="0" w:space="0" w:color="auto"/>
      </w:divBdr>
    </w:div>
    <w:div w:id="1571959915">
      <w:bodyDiv w:val="1"/>
      <w:marLeft w:val="0"/>
      <w:marRight w:val="0"/>
      <w:marTop w:val="0"/>
      <w:marBottom w:val="0"/>
      <w:divBdr>
        <w:top w:val="none" w:sz="0" w:space="0" w:color="auto"/>
        <w:left w:val="none" w:sz="0" w:space="0" w:color="auto"/>
        <w:bottom w:val="none" w:sz="0" w:space="0" w:color="auto"/>
        <w:right w:val="none" w:sz="0" w:space="0" w:color="auto"/>
      </w:divBdr>
    </w:div>
    <w:div w:id="1572306118">
      <w:bodyDiv w:val="1"/>
      <w:marLeft w:val="0"/>
      <w:marRight w:val="0"/>
      <w:marTop w:val="0"/>
      <w:marBottom w:val="0"/>
      <w:divBdr>
        <w:top w:val="none" w:sz="0" w:space="0" w:color="auto"/>
        <w:left w:val="none" w:sz="0" w:space="0" w:color="auto"/>
        <w:bottom w:val="none" w:sz="0" w:space="0" w:color="auto"/>
        <w:right w:val="none" w:sz="0" w:space="0" w:color="auto"/>
      </w:divBdr>
    </w:div>
    <w:div w:id="1572735763">
      <w:bodyDiv w:val="1"/>
      <w:marLeft w:val="0"/>
      <w:marRight w:val="0"/>
      <w:marTop w:val="0"/>
      <w:marBottom w:val="0"/>
      <w:divBdr>
        <w:top w:val="none" w:sz="0" w:space="0" w:color="auto"/>
        <w:left w:val="none" w:sz="0" w:space="0" w:color="auto"/>
        <w:bottom w:val="none" w:sz="0" w:space="0" w:color="auto"/>
        <w:right w:val="none" w:sz="0" w:space="0" w:color="auto"/>
      </w:divBdr>
    </w:div>
    <w:div w:id="1573084154">
      <w:bodyDiv w:val="1"/>
      <w:marLeft w:val="0"/>
      <w:marRight w:val="0"/>
      <w:marTop w:val="0"/>
      <w:marBottom w:val="0"/>
      <w:divBdr>
        <w:top w:val="none" w:sz="0" w:space="0" w:color="auto"/>
        <w:left w:val="none" w:sz="0" w:space="0" w:color="auto"/>
        <w:bottom w:val="none" w:sz="0" w:space="0" w:color="auto"/>
        <w:right w:val="none" w:sz="0" w:space="0" w:color="auto"/>
      </w:divBdr>
    </w:div>
    <w:div w:id="1573269091">
      <w:bodyDiv w:val="1"/>
      <w:marLeft w:val="0"/>
      <w:marRight w:val="0"/>
      <w:marTop w:val="0"/>
      <w:marBottom w:val="0"/>
      <w:divBdr>
        <w:top w:val="none" w:sz="0" w:space="0" w:color="auto"/>
        <w:left w:val="none" w:sz="0" w:space="0" w:color="auto"/>
        <w:bottom w:val="none" w:sz="0" w:space="0" w:color="auto"/>
        <w:right w:val="none" w:sz="0" w:space="0" w:color="auto"/>
      </w:divBdr>
    </w:div>
    <w:div w:id="1573737743">
      <w:bodyDiv w:val="1"/>
      <w:marLeft w:val="0"/>
      <w:marRight w:val="0"/>
      <w:marTop w:val="0"/>
      <w:marBottom w:val="0"/>
      <w:divBdr>
        <w:top w:val="none" w:sz="0" w:space="0" w:color="auto"/>
        <w:left w:val="none" w:sz="0" w:space="0" w:color="auto"/>
        <w:bottom w:val="none" w:sz="0" w:space="0" w:color="auto"/>
        <w:right w:val="none" w:sz="0" w:space="0" w:color="auto"/>
      </w:divBdr>
    </w:div>
    <w:div w:id="1574005702">
      <w:bodyDiv w:val="1"/>
      <w:marLeft w:val="0"/>
      <w:marRight w:val="0"/>
      <w:marTop w:val="0"/>
      <w:marBottom w:val="0"/>
      <w:divBdr>
        <w:top w:val="none" w:sz="0" w:space="0" w:color="auto"/>
        <w:left w:val="none" w:sz="0" w:space="0" w:color="auto"/>
        <w:bottom w:val="none" w:sz="0" w:space="0" w:color="auto"/>
        <w:right w:val="none" w:sz="0" w:space="0" w:color="auto"/>
      </w:divBdr>
    </w:div>
    <w:div w:id="1574269813">
      <w:bodyDiv w:val="1"/>
      <w:marLeft w:val="0"/>
      <w:marRight w:val="0"/>
      <w:marTop w:val="0"/>
      <w:marBottom w:val="0"/>
      <w:divBdr>
        <w:top w:val="none" w:sz="0" w:space="0" w:color="auto"/>
        <w:left w:val="none" w:sz="0" w:space="0" w:color="auto"/>
        <w:bottom w:val="none" w:sz="0" w:space="0" w:color="auto"/>
        <w:right w:val="none" w:sz="0" w:space="0" w:color="auto"/>
      </w:divBdr>
    </w:div>
    <w:div w:id="1574311854">
      <w:bodyDiv w:val="1"/>
      <w:marLeft w:val="0"/>
      <w:marRight w:val="0"/>
      <w:marTop w:val="0"/>
      <w:marBottom w:val="0"/>
      <w:divBdr>
        <w:top w:val="none" w:sz="0" w:space="0" w:color="auto"/>
        <w:left w:val="none" w:sz="0" w:space="0" w:color="auto"/>
        <w:bottom w:val="none" w:sz="0" w:space="0" w:color="auto"/>
        <w:right w:val="none" w:sz="0" w:space="0" w:color="auto"/>
      </w:divBdr>
    </w:div>
    <w:div w:id="1574507080">
      <w:bodyDiv w:val="1"/>
      <w:marLeft w:val="0"/>
      <w:marRight w:val="0"/>
      <w:marTop w:val="0"/>
      <w:marBottom w:val="0"/>
      <w:divBdr>
        <w:top w:val="none" w:sz="0" w:space="0" w:color="auto"/>
        <w:left w:val="none" w:sz="0" w:space="0" w:color="auto"/>
        <w:bottom w:val="none" w:sz="0" w:space="0" w:color="auto"/>
        <w:right w:val="none" w:sz="0" w:space="0" w:color="auto"/>
      </w:divBdr>
    </w:div>
    <w:div w:id="1575310230">
      <w:bodyDiv w:val="1"/>
      <w:marLeft w:val="0"/>
      <w:marRight w:val="0"/>
      <w:marTop w:val="0"/>
      <w:marBottom w:val="0"/>
      <w:divBdr>
        <w:top w:val="none" w:sz="0" w:space="0" w:color="auto"/>
        <w:left w:val="none" w:sz="0" w:space="0" w:color="auto"/>
        <w:bottom w:val="none" w:sz="0" w:space="0" w:color="auto"/>
        <w:right w:val="none" w:sz="0" w:space="0" w:color="auto"/>
      </w:divBdr>
    </w:div>
    <w:div w:id="1575355589">
      <w:bodyDiv w:val="1"/>
      <w:marLeft w:val="0"/>
      <w:marRight w:val="0"/>
      <w:marTop w:val="0"/>
      <w:marBottom w:val="0"/>
      <w:divBdr>
        <w:top w:val="none" w:sz="0" w:space="0" w:color="auto"/>
        <w:left w:val="none" w:sz="0" w:space="0" w:color="auto"/>
        <w:bottom w:val="none" w:sz="0" w:space="0" w:color="auto"/>
        <w:right w:val="none" w:sz="0" w:space="0" w:color="auto"/>
      </w:divBdr>
    </w:div>
    <w:div w:id="1576235522">
      <w:bodyDiv w:val="1"/>
      <w:marLeft w:val="0"/>
      <w:marRight w:val="0"/>
      <w:marTop w:val="0"/>
      <w:marBottom w:val="0"/>
      <w:divBdr>
        <w:top w:val="none" w:sz="0" w:space="0" w:color="auto"/>
        <w:left w:val="none" w:sz="0" w:space="0" w:color="auto"/>
        <w:bottom w:val="none" w:sz="0" w:space="0" w:color="auto"/>
        <w:right w:val="none" w:sz="0" w:space="0" w:color="auto"/>
      </w:divBdr>
    </w:div>
    <w:div w:id="1577082515">
      <w:bodyDiv w:val="1"/>
      <w:marLeft w:val="0"/>
      <w:marRight w:val="0"/>
      <w:marTop w:val="0"/>
      <w:marBottom w:val="0"/>
      <w:divBdr>
        <w:top w:val="none" w:sz="0" w:space="0" w:color="auto"/>
        <w:left w:val="none" w:sz="0" w:space="0" w:color="auto"/>
        <w:bottom w:val="none" w:sz="0" w:space="0" w:color="auto"/>
        <w:right w:val="none" w:sz="0" w:space="0" w:color="auto"/>
      </w:divBdr>
    </w:div>
    <w:div w:id="1577276309">
      <w:bodyDiv w:val="1"/>
      <w:marLeft w:val="0"/>
      <w:marRight w:val="0"/>
      <w:marTop w:val="0"/>
      <w:marBottom w:val="0"/>
      <w:divBdr>
        <w:top w:val="none" w:sz="0" w:space="0" w:color="auto"/>
        <w:left w:val="none" w:sz="0" w:space="0" w:color="auto"/>
        <w:bottom w:val="none" w:sz="0" w:space="0" w:color="auto"/>
        <w:right w:val="none" w:sz="0" w:space="0" w:color="auto"/>
      </w:divBdr>
    </w:div>
    <w:div w:id="1577280847">
      <w:bodyDiv w:val="1"/>
      <w:marLeft w:val="0"/>
      <w:marRight w:val="0"/>
      <w:marTop w:val="0"/>
      <w:marBottom w:val="0"/>
      <w:divBdr>
        <w:top w:val="none" w:sz="0" w:space="0" w:color="auto"/>
        <w:left w:val="none" w:sz="0" w:space="0" w:color="auto"/>
        <w:bottom w:val="none" w:sz="0" w:space="0" w:color="auto"/>
        <w:right w:val="none" w:sz="0" w:space="0" w:color="auto"/>
      </w:divBdr>
    </w:div>
    <w:div w:id="1577396419">
      <w:bodyDiv w:val="1"/>
      <w:marLeft w:val="0"/>
      <w:marRight w:val="0"/>
      <w:marTop w:val="0"/>
      <w:marBottom w:val="0"/>
      <w:divBdr>
        <w:top w:val="none" w:sz="0" w:space="0" w:color="auto"/>
        <w:left w:val="none" w:sz="0" w:space="0" w:color="auto"/>
        <w:bottom w:val="none" w:sz="0" w:space="0" w:color="auto"/>
        <w:right w:val="none" w:sz="0" w:space="0" w:color="auto"/>
      </w:divBdr>
    </w:div>
    <w:div w:id="1578130682">
      <w:bodyDiv w:val="1"/>
      <w:marLeft w:val="0"/>
      <w:marRight w:val="0"/>
      <w:marTop w:val="0"/>
      <w:marBottom w:val="0"/>
      <w:divBdr>
        <w:top w:val="none" w:sz="0" w:space="0" w:color="auto"/>
        <w:left w:val="none" w:sz="0" w:space="0" w:color="auto"/>
        <w:bottom w:val="none" w:sz="0" w:space="0" w:color="auto"/>
        <w:right w:val="none" w:sz="0" w:space="0" w:color="auto"/>
      </w:divBdr>
    </w:div>
    <w:div w:id="1578586987">
      <w:bodyDiv w:val="1"/>
      <w:marLeft w:val="0"/>
      <w:marRight w:val="0"/>
      <w:marTop w:val="0"/>
      <w:marBottom w:val="0"/>
      <w:divBdr>
        <w:top w:val="none" w:sz="0" w:space="0" w:color="auto"/>
        <w:left w:val="none" w:sz="0" w:space="0" w:color="auto"/>
        <w:bottom w:val="none" w:sz="0" w:space="0" w:color="auto"/>
        <w:right w:val="none" w:sz="0" w:space="0" w:color="auto"/>
      </w:divBdr>
    </w:div>
    <w:div w:id="1578591480">
      <w:bodyDiv w:val="1"/>
      <w:marLeft w:val="0"/>
      <w:marRight w:val="0"/>
      <w:marTop w:val="0"/>
      <w:marBottom w:val="0"/>
      <w:divBdr>
        <w:top w:val="none" w:sz="0" w:space="0" w:color="auto"/>
        <w:left w:val="none" w:sz="0" w:space="0" w:color="auto"/>
        <w:bottom w:val="none" w:sz="0" w:space="0" w:color="auto"/>
        <w:right w:val="none" w:sz="0" w:space="0" w:color="auto"/>
      </w:divBdr>
    </w:div>
    <w:div w:id="1578782974">
      <w:bodyDiv w:val="1"/>
      <w:marLeft w:val="0"/>
      <w:marRight w:val="0"/>
      <w:marTop w:val="0"/>
      <w:marBottom w:val="0"/>
      <w:divBdr>
        <w:top w:val="none" w:sz="0" w:space="0" w:color="auto"/>
        <w:left w:val="none" w:sz="0" w:space="0" w:color="auto"/>
        <w:bottom w:val="none" w:sz="0" w:space="0" w:color="auto"/>
        <w:right w:val="none" w:sz="0" w:space="0" w:color="auto"/>
      </w:divBdr>
    </w:div>
    <w:div w:id="1578858053">
      <w:bodyDiv w:val="1"/>
      <w:marLeft w:val="0"/>
      <w:marRight w:val="0"/>
      <w:marTop w:val="0"/>
      <w:marBottom w:val="0"/>
      <w:divBdr>
        <w:top w:val="none" w:sz="0" w:space="0" w:color="auto"/>
        <w:left w:val="none" w:sz="0" w:space="0" w:color="auto"/>
        <w:bottom w:val="none" w:sz="0" w:space="0" w:color="auto"/>
        <w:right w:val="none" w:sz="0" w:space="0" w:color="auto"/>
      </w:divBdr>
    </w:div>
    <w:div w:id="1579632308">
      <w:bodyDiv w:val="1"/>
      <w:marLeft w:val="0"/>
      <w:marRight w:val="0"/>
      <w:marTop w:val="0"/>
      <w:marBottom w:val="0"/>
      <w:divBdr>
        <w:top w:val="none" w:sz="0" w:space="0" w:color="auto"/>
        <w:left w:val="none" w:sz="0" w:space="0" w:color="auto"/>
        <w:bottom w:val="none" w:sz="0" w:space="0" w:color="auto"/>
        <w:right w:val="none" w:sz="0" w:space="0" w:color="auto"/>
      </w:divBdr>
    </w:div>
    <w:div w:id="1580019310">
      <w:bodyDiv w:val="1"/>
      <w:marLeft w:val="0"/>
      <w:marRight w:val="0"/>
      <w:marTop w:val="0"/>
      <w:marBottom w:val="0"/>
      <w:divBdr>
        <w:top w:val="none" w:sz="0" w:space="0" w:color="auto"/>
        <w:left w:val="none" w:sz="0" w:space="0" w:color="auto"/>
        <w:bottom w:val="none" w:sz="0" w:space="0" w:color="auto"/>
        <w:right w:val="none" w:sz="0" w:space="0" w:color="auto"/>
      </w:divBdr>
    </w:div>
    <w:div w:id="1580139433">
      <w:bodyDiv w:val="1"/>
      <w:marLeft w:val="0"/>
      <w:marRight w:val="0"/>
      <w:marTop w:val="0"/>
      <w:marBottom w:val="0"/>
      <w:divBdr>
        <w:top w:val="none" w:sz="0" w:space="0" w:color="auto"/>
        <w:left w:val="none" w:sz="0" w:space="0" w:color="auto"/>
        <w:bottom w:val="none" w:sz="0" w:space="0" w:color="auto"/>
        <w:right w:val="none" w:sz="0" w:space="0" w:color="auto"/>
      </w:divBdr>
    </w:div>
    <w:div w:id="1580212272">
      <w:bodyDiv w:val="1"/>
      <w:marLeft w:val="0"/>
      <w:marRight w:val="0"/>
      <w:marTop w:val="0"/>
      <w:marBottom w:val="0"/>
      <w:divBdr>
        <w:top w:val="none" w:sz="0" w:space="0" w:color="auto"/>
        <w:left w:val="none" w:sz="0" w:space="0" w:color="auto"/>
        <w:bottom w:val="none" w:sz="0" w:space="0" w:color="auto"/>
        <w:right w:val="none" w:sz="0" w:space="0" w:color="auto"/>
      </w:divBdr>
    </w:div>
    <w:div w:id="1580216903">
      <w:bodyDiv w:val="1"/>
      <w:marLeft w:val="0"/>
      <w:marRight w:val="0"/>
      <w:marTop w:val="0"/>
      <w:marBottom w:val="0"/>
      <w:divBdr>
        <w:top w:val="none" w:sz="0" w:space="0" w:color="auto"/>
        <w:left w:val="none" w:sz="0" w:space="0" w:color="auto"/>
        <w:bottom w:val="none" w:sz="0" w:space="0" w:color="auto"/>
        <w:right w:val="none" w:sz="0" w:space="0" w:color="auto"/>
      </w:divBdr>
    </w:div>
    <w:div w:id="1580604027">
      <w:bodyDiv w:val="1"/>
      <w:marLeft w:val="0"/>
      <w:marRight w:val="0"/>
      <w:marTop w:val="0"/>
      <w:marBottom w:val="0"/>
      <w:divBdr>
        <w:top w:val="none" w:sz="0" w:space="0" w:color="auto"/>
        <w:left w:val="none" w:sz="0" w:space="0" w:color="auto"/>
        <w:bottom w:val="none" w:sz="0" w:space="0" w:color="auto"/>
        <w:right w:val="none" w:sz="0" w:space="0" w:color="auto"/>
      </w:divBdr>
    </w:div>
    <w:div w:id="1580628348">
      <w:bodyDiv w:val="1"/>
      <w:marLeft w:val="0"/>
      <w:marRight w:val="0"/>
      <w:marTop w:val="0"/>
      <w:marBottom w:val="0"/>
      <w:divBdr>
        <w:top w:val="none" w:sz="0" w:space="0" w:color="auto"/>
        <w:left w:val="none" w:sz="0" w:space="0" w:color="auto"/>
        <w:bottom w:val="none" w:sz="0" w:space="0" w:color="auto"/>
        <w:right w:val="none" w:sz="0" w:space="0" w:color="auto"/>
      </w:divBdr>
    </w:div>
    <w:div w:id="1580669991">
      <w:bodyDiv w:val="1"/>
      <w:marLeft w:val="0"/>
      <w:marRight w:val="0"/>
      <w:marTop w:val="0"/>
      <w:marBottom w:val="0"/>
      <w:divBdr>
        <w:top w:val="none" w:sz="0" w:space="0" w:color="auto"/>
        <w:left w:val="none" w:sz="0" w:space="0" w:color="auto"/>
        <w:bottom w:val="none" w:sz="0" w:space="0" w:color="auto"/>
        <w:right w:val="none" w:sz="0" w:space="0" w:color="auto"/>
      </w:divBdr>
    </w:div>
    <w:div w:id="1581140618">
      <w:bodyDiv w:val="1"/>
      <w:marLeft w:val="0"/>
      <w:marRight w:val="0"/>
      <w:marTop w:val="0"/>
      <w:marBottom w:val="0"/>
      <w:divBdr>
        <w:top w:val="none" w:sz="0" w:space="0" w:color="auto"/>
        <w:left w:val="none" w:sz="0" w:space="0" w:color="auto"/>
        <w:bottom w:val="none" w:sz="0" w:space="0" w:color="auto"/>
        <w:right w:val="none" w:sz="0" w:space="0" w:color="auto"/>
      </w:divBdr>
    </w:div>
    <w:div w:id="1581407515">
      <w:bodyDiv w:val="1"/>
      <w:marLeft w:val="0"/>
      <w:marRight w:val="0"/>
      <w:marTop w:val="0"/>
      <w:marBottom w:val="0"/>
      <w:divBdr>
        <w:top w:val="none" w:sz="0" w:space="0" w:color="auto"/>
        <w:left w:val="none" w:sz="0" w:space="0" w:color="auto"/>
        <w:bottom w:val="none" w:sz="0" w:space="0" w:color="auto"/>
        <w:right w:val="none" w:sz="0" w:space="0" w:color="auto"/>
      </w:divBdr>
    </w:div>
    <w:div w:id="1581449419">
      <w:bodyDiv w:val="1"/>
      <w:marLeft w:val="0"/>
      <w:marRight w:val="0"/>
      <w:marTop w:val="0"/>
      <w:marBottom w:val="0"/>
      <w:divBdr>
        <w:top w:val="none" w:sz="0" w:space="0" w:color="auto"/>
        <w:left w:val="none" w:sz="0" w:space="0" w:color="auto"/>
        <w:bottom w:val="none" w:sz="0" w:space="0" w:color="auto"/>
        <w:right w:val="none" w:sz="0" w:space="0" w:color="auto"/>
      </w:divBdr>
    </w:div>
    <w:div w:id="1581720796">
      <w:bodyDiv w:val="1"/>
      <w:marLeft w:val="0"/>
      <w:marRight w:val="0"/>
      <w:marTop w:val="0"/>
      <w:marBottom w:val="0"/>
      <w:divBdr>
        <w:top w:val="none" w:sz="0" w:space="0" w:color="auto"/>
        <w:left w:val="none" w:sz="0" w:space="0" w:color="auto"/>
        <w:bottom w:val="none" w:sz="0" w:space="0" w:color="auto"/>
        <w:right w:val="none" w:sz="0" w:space="0" w:color="auto"/>
      </w:divBdr>
    </w:div>
    <w:div w:id="1582567981">
      <w:bodyDiv w:val="1"/>
      <w:marLeft w:val="0"/>
      <w:marRight w:val="0"/>
      <w:marTop w:val="0"/>
      <w:marBottom w:val="0"/>
      <w:divBdr>
        <w:top w:val="none" w:sz="0" w:space="0" w:color="auto"/>
        <w:left w:val="none" w:sz="0" w:space="0" w:color="auto"/>
        <w:bottom w:val="none" w:sz="0" w:space="0" w:color="auto"/>
        <w:right w:val="none" w:sz="0" w:space="0" w:color="auto"/>
      </w:divBdr>
    </w:div>
    <w:div w:id="1583105022">
      <w:bodyDiv w:val="1"/>
      <w:marLeft w:val="0"/>
      <w:marRight w:val="0"/>
      <w:marTop w:val="0"/>
      <w:marBottom w:val="0"/>
      <w:divBdr>
        <w:top w:val="none" w:sz="0" w:space="0" w:color="auto"/>
        <w:left w:val="none" w:sz="0" w:space="0" w:color="auto"/>
        <w:bottom w:val="none" w:sz="0" w:space="0" w:color="auto"/>
        <w:right w:val="none" w:sz="0" w:space="0" w:color="auto"/>
      </w:divBdr>
    </w:div>
    <w:div w:id="1583177115">
      <w:bodyDiv w:val="1"/>
      <w:marLeft w:val="0"/>
      <w:marRight w:val="0"/>
      <w:marTop w:val="0"/>
      <w:marBottom w:val="0"/>
      <w:divBdr>
        <w:top w:val="none" w:sz="0" w:space="0" w:color="auto"/>
        <w:left w:val="none" w:sz="0" w:space="0" w:color="auto"/>
        <w:bottom w:val="none" w:sz="0" w:space="0" w:color="auto"/>
        <w:right w:val="none" w:sz="0" w:space="0" w:color="auto"/>
      </w:divBdr>
    </w:div>
    <w:div w:id="1583293536">
      <w:bodyDiv w:val="1"/>
      <w:marLeft w:val="0"/>
      <w:marRight w:val="0"/>
      <w:marTop w:val="0"/>
      <w:marBottom w:val="0"/>
      <w:divBdr>
        <w:top w:val="none" w:sz="0" w:space="0" w:color="auto"/>
        <w:left w:val="none" w:sz="0" w:space="0" w:color="auto"/>
        <w:bottom w:val="none" w:sz="0" w:space="0" w:color="auto"/>
        <w:right w:val="none" w:sz="0" w:space="0" w:color="auto"/>
      </w:divBdr>
    </w:div>
    <w:div w:id="1583638175">
      <w:bodyDiv w:val="1"/>
      <w:marLeft w:val="0"/>
      <w:marRight w:val="0"/>
      <w:marTop w:val="0"/>
      <w:marBottom w:val="0"/>
      <w:divBdr>
        <w:top w:val="none" w:sz="0" w:space="0" w:color="auto"/>
        <w:left w:val="none" w:sz="0" w:space="0" w:color="auto"/>
        <w:bottom w:val="none" w:sz="0" w:space="0" w:color="auto"/>
        <w:right w:val="none" w:sz="0" w:space="0" w:color="auto"/>
      </w:divBdr>
    </w:div>
    <w:div w:id="1583640130">
      <w:bodyDiv w:val="1"/>
      <w:marLeft w:val="0"/>
      <w:marRight w:val="0"/>
      <w:marTop w:val="0"/>
      <w:marBottom w:val="0"/>
      <w:divBdr>
        <w:top w:val="none" w:sz="0" w:space="0" w:color="auto"/>
        <w:left w:val="none" w:sz="0" w:space="0" w:color="auto"/>
        <w:bottom w:val="none" w:sz="0" w:space="0" w:color="auto"/>
        <w:right w:val="none" w:sz="0" w:space="0" w:color="auto"/>
      </w:divBdr>
    </w:div>
    <w:div w:id="1584291338">
      <w:bodyDiv w:val="1"/>
      <w:marLeft w:val="0"/>
      <w:marRight w:val="0"/>
      <w:marTop w:val="0"/>
      <w:marBottom w:val="0"/>
      <w:divBdr>
        <w:top w:val="none" w:sz="0" w:space="0" w:color="auto"/>
        <w:left w:val="none" w:sz="0" w:space="0" w:color="auto"/>
        <w:bottom w:val="none" w:sz="0" w:space="0" w:color="auto"/>
        <w:right w:val="none" w:sz="0" w:space="0" w:color="auto"/>
      </w:divBdr>
    </w:div>
    <w:div w:id="1584484286">
      <w:bodyDiv w:val="1"/>
      <w:marLeft w:val="0"/>
      <w:marRight w:val="0"/>
      <w:marTop w:val="0"/>
      <w:marBottom w:val="0"/>
      <w:divBdr>
        <w:top w:val="none" w:sz="0" w:space="0" w:color="auto"/>
        <w:left w:val="none" w:sz="0" w:space="0" w:color="auto"/>
        <w:bottom w:val="none" w:sz="0" w:space="0" w:color="auto"/>
        <w:right w:val="none" w:sz="0" w:space="0" w:color="auto"/>
      </w:divBdr>
    </w:div>
    <w:div w:id="1584803050">
      <w:bodyDiv w:val="1"/>
      <w:marLeft w:val="0"/>
      <w:marRight w:val="0"/>
      <w:marTop w:val="0"/>
      <w:marBottom w:val="0"/>
      <w:divBdr>
        <w:top w:val="none" w:sz="0" w:space="0" w:color="auto"/>
        <w:left w:val="none" w:sz="0" w:space="0" w:color="auto"/>
        <w:bottom w:val="none" w:sz="0" w:space="0" w:color="auto"/>
        <w:right w:val="none" w:sz="0" w:space="0" w:color="auto"/>
      </w:divBdr>
    </w:div>
    <w:div w:id="1584992214">
      <w:bodyDiv w:val="1"/>
      <w:marLeft w:val="0"/>
      <w:marRight w:val="0"/>
      <w:marTop w:val="0"/>
      <w:marBottom w:val="0"/>
      <w:divBdr>
        <w:top w:val="none" w:sz="0" w:space="0" w:color="auto"/>
        <w:left w:val="none" w:sz="0" w:space="0" w:color="auto"/>
        <w:bottom w:val="none" w:sz="0" w:space="0" w:color="auto"/>
        <w:right w:val="none" w:sz="0" w:space="0" w:color="auto"/>
      </w:divBdr>
    </w:div>
    <w:div w:id="1585341446">
      <w:bodyDiv w:val="1"/>
      <w:marLeft w:val="0"/>
      <w:marRight w:val="0"/>
      <w:marTop w:val="0"/>
      <w:marBottom w:val="0"/>
      <w:divBdr>
        <w:top w:val="none" w:sz="0" w:space="0" w:color="auto"/>
        <w:left w:val="none" w:sz="0" w:space="0" w:color="auto"/>
        <w:bottom w:val="none" w:sz="0" w:space="0" w:color="auto"/>
        <w:right w:val="none" w:sz="0" w:space="0" w:color="auto"/>
      </w:divBdr>
    </w:div>
    <w:div w:id="1585650188">
      <w:bodyDiv w:val="1"/>
      <w:marLeft w:val="0"/>
      <w:marRight w:val="0"/>
      <w:marTop w:val="0"/>
      <w:marBottom w:val="0"/>
      <w:divBdr>
        <w:top w:val="none" w:sz="0" w:space="0" w:color="auto"/>
        <w:left w:val="none" w:sz="0" w:space="0" w:color="auto"/>
        <w:bottom w:val="none" w:sz="0" w:space="0" w:color="auto"/>
        <w:right w:val="none" w:sz="0" w:space="0" w:color="auto"/>
      </w:divBdr>
    </w:div>
    <w:div w:id="1586065840">
      <w:bodyDiv w:val="1"/>
      <w:marLeft w:val="0"/>
      <w:marRight w:val="0"/>
      <w:marTop w:val="0"/>
      <w:marBottom w:val="0"/>
      <w:divBdr>
        <w:top w:val="none" w:sz="0" w:space="0" w:color="auto"/>
        <w:left w:val="none" w:sz="0" w:space="0" w:color="auto"/>
        <w:bottom w:val="none" w:sz="0" w:space="0" w:color="auto"/>
        <w:right w:val="none" w:sz="0" w:space="0" w:color="auto"/>
      </w:divBdr>
    </w:div>
    <w:div w:id="1586264348">
      <w:bodyDiv w:val="1"/>
      <w:marLeft w:val="0"/>
      <w:marRight w:val="0"/>
      <w:marTop w:val="0"/>
      <w:marBottom w:val="0"/>
      <w:divBdr>
        <w:top w:val="none" w:sz="0" w:space="0" w:color="auto"/>
        <w:left w:val="none" w:sz="0" w:space="0" w:color="auto"/>
        <w:bottom w:val="none" w:sz="0" w:space="0" w:color="auto"/>
        <w:right w:val="none" w:sz="0" w:space="0" w:color="auto"/>
      </w:divBdr>
    </w:div>
    <w:div w:id="1586845540">
      <w:bodyDiv w:val="1"/>
      <w:marLeft w:val="0"/>
      <w:marRight w:val="0"/>
      <w:marTop w:val="0"/>
      <w:marBottom w:val="0"/>
      <w:divBdr>
        <w:top w:val="none" w:sz="0" w:space="0" w:color="auto"/>
        <w:left w:val="none" w:sz="0" w:space="0" w:color="auto"/>
        <w:bottom w:val="none" w:sz="0" w:space="0" w:color="auto"/>
        <w:right w:val="none" w:sz="0" w:space="0" w:color="auto"/>
      </w:divBdr>
    </w:div>
    <w:div w:id="1587111174">
      <w:bodyDiv w:val="1"/>
      <w:marLeft w:val="0"/>
      <w:marRight w:val="0"/>
      <w:marTop w:val="0"/>
      <w:marBottom w:val="0"/>
      <w:divBdr>
        <w:top w:val="none" w:sz="0" w:space="0" w:color="auto"/>
        <w:left w:val="none" w:sz="0" w:space="0" w:color="auto"/>
        <w:bottom w:val="none" w:sz="0" w:space="0" w:color="auto"/>
        <w:right w:val="none" w:sz="0" w:space="0" w:color="auto"/>
      </w:divBdr>
    </w:div>
    <w:div w:id="1587230180">
      <w:bodyDiv w:val="1"/>
      <w:marLeft w:val="0"/>
      <w:marRight w:val="0"/>
      <w:marTop w:val="0"/>
      <w:marBottom w:val="0"/>
      <w:divBdr>
        <w:top w:val="none" w:sz="0" w:space="0" w:color="auto"/>
        <w:left w:val="none" w:sz="0" w:space="0" w:color="auto"/>
        <w:bottom w:val="none" w:sz="0" w:space="0" w:color="auto"/>
        <w:right w:val="none" w:sz="0" w:space="0" w:color="auto"/>
      </w:divBdr>
    </w:div>
    <w:div w:id="1587958524">
      <w:bodyDiv w:val="1"/>
      <w:marLeft w:val="0"/>
      <w:marRight w:val="0"/>
      <w:marTop w:val="0"/>
      <w:marBottom w:val="0"/>
      <w:divBdr>
        <w:top w:val="none" w:sz="0" w:space="0" w:color="auto"/>
        <w:left w:val="none" w:sz="0" w:space="0" w:color="auto"/>
        <w:bottom w:val="none" w:sz="0" w:space="0" w:color="auto"/>
        <w:right w:val="none" w:sz="0" w:space="0" w:color="auto"/>
      </w:divBdr>
    </w:div>
    <w:div w:id="1587959982">
      <w:bodyDiv w:val="1"/>
      <w:marLeft w:val="0"/>
      <w:marRight w:val="0"/>
      <w:marTop w:val="0"/>
      <w:marBottom w:val="0"/>
      <w:divBdr>
        <w:top w:val="none" w:sz="0" w:space="0" w:color="auto"/>
        <w:left w:val="none" w:sz="0" w:space="0" w:color="auto"/>
        <w:bottom w:val="none" w:sz="0" w:space="0" w:color="auto"/>
        <w:right w:val="none" w:sz="0" w:space="0" w:color="auto"/>
      </w:divBdr>
    </w:div>
    <w:div w:id="1588342224">
      <w:bodyDiv w:val="1"/>
      <w:marLeft w:val="0"/>
      <w:marRight w:val="0"/>
      <w:marTop w:val="0"/>
      <w:marBottom w:val="0"/>
      <w:divBdr>
        <w:top w:val="none" w:sz="0" w:space="0" w:color="auto"/>
        <w:left w:val="none" w:sz="0" w:space="0" w:color="auto"/>
        <w:bottom w:val="none" w:sz="0" w:space="0" w:color="auto"/>
        <w:right w:val="none" w:sz="0" w:space="0" w:color="auto"/>
      </w:divBdr>
    </w:div>
    <w:div w:id="1589192050">
      <w:bodyDiv w:val="1"/>
      <w:marLeft w:val="0"/>
      <w:marRight w:val="0"/>
      <w:marTop w:val="0"/>
      <w:marBottom w:val="0"/>
      <w:divBdr>
        <w:top w:val="none" w:sz="0" w:space="0" w:color="auto"/>
        <w:left w:val="none" w:sz="0" w:space="0" w:color="auto"/>
        <w:bottom w:val="none" w:sz="0" w:space="0" w:color="auto"/>
        <w:right w:val="none" w:sz="0" w:space="0" w:color="auto"/>
      </w:divBdr>
    </w:div>
    <w:div w:id="1589387186">
      <w:bodyDiv w:val="1"/>
      <w:marLeft w:val="0"/>
      <w:marRight w:val="0"/>
      <w:marTop w:val="0"/>
      <w:marBottom w:val="0"/>
      <w:divBdr>
        <w:top w:val="none" w:sz="0" w:space="0" w:color="auto"/>
        <w:left w:val="none" w:sz="0" w:space="0" w:color="auto"/>
        <w:bottom w:val="none" w:sz="0" w:space="0" w:color="auto"/>
        <w:right w:val="none" w:sz="0" w:space="0" w:color="auto"/>
      </w:divBdr>
    </w:div>
    <w:div w:id="1589460210">
      <w:bodyDiv w:val="1"/>
      <w:marLeft w:val="0"/>
      <w:marRight w:val="0"/>
      <w:marTop w:val="0"/>
      <w:marBottom w:val="0"/>
      <w:divBdr>
        <w:top w:val="none" w:sz="0" w:space="0" w:color="auto"/>
        <w:left w:val="none" w:sz="0" w:space="0" w:color="auto"/>
        <w:bottom w:val="none" w:sz="0" w:space="0" w:color="auto"/>
        <w:right w:val="none" w:sz="0" w:space="0" w:color="auto"/>
      </w:divBdr>
    </w:div>
    <w:div w:id="1589652651">
      <w:bodyDiv w:val="1"/>
      <w:marLeft w:val="0"/>
      <w:marRight w:val="0"/>
      <w:marTop w:val="0"/>
      <w:marBottom w:val="0"/>
      <w:divBdr>
        <w:top w:val="none" w:sz="0" w:space="0" w:color="auto"/>
        <w:left w:val="none" w:sz="0" w:space="0" w:color="auto"/>
        <w:bottom w:val="none" w:sz="0" w:space="0" w:color="auto"/>
        <w:right w:val="none" w:sz="0" w:space="0" w:color="auto"/>
      </w:divBdr>
    </w:div>
    <w:div w:id="1589772330">
      <w:bodyDiv w:val="1"/>
      <w:marLeft w:val="0"/>
      <w:marRight w:val="0"/>
      <w:marTop w:val="0"/>
      <w:marBottom w:val="0"/>
      <w:divBdr>
        <w:top w:val="none" w:sz="0" w:space="0" w:color="auto"/>
        <w:left w:val="none" w:sz="0" w:space="0" w:color="auto"/>
        <w:bottom w:val="none" w:sz="0" w:space="0" w:color="auto"/>
        <w:right w:val="none" w:sz="0" w:space="0" w:color="auto"/>
      </w:divBdr>
    </w:div>
    <w:div w:id="1589847019">
      <w:bodyDiv w:val="1"/>
      <w:marLeft w:val="0"/>
      <w:marRight w:val="0"/>
      <w:marTop w:val="0"/>
      <w:marBottom w:val="0"/>
      <w:divBdr>
        <w:top w:val="none" w:sz="0" w:space="0" w:color="auto"/>
        <w:left w:val="none" w:sz="0" w:space="0" w:color="auto"/>
        <w:bottom w:val="none" w:sz="0" w:space="0" w:color="auto"/>
        <w:right w:val="none" w:sz="0" w:space="0" w:color="auto"/>
      </w:divBdr>
    </w:div>
    <w:div w:id="1589847453">
      <w:bodyDiv w:val="1"/>
      <w:marLeft w:val="0"/>
      <w:marRight w:val="0"/>
      <w:marTop w:val="0"/>
      <w:marBottom w:val="0"/>
      <w:divBdr>
        <w:top w:val="none" w:sz="0" w:space="0" w:color="auto"/>
        <w:left w:val="none" w:sz="0" w:space="0" w:color="auto"/>
        <w:bottom w:val="none" w:sz="0" w:space="0" w:color="auto"/>
        <w:right w:val="none" w:sz="0" w:space="0" w:color="auto"/>
      </w:divBdr>
    </w:div>
    <w:div w:id="1590043262">
      <w:bodyDiv w:val="1"/>
      <w:marLeft w:val="0"/>
      <w:marRight w:val="0"/>
      <w:marTop w:val="0"/>
      <w:marBottom w:val="0"/>
      <w:divBdr>
        <w:top w:val="none" w:sz="0" w:space="0" w:color="auto"/>
        <w:left w:val="none" w:sz="0" w:space="0" w:color="auto"/>
        <w:bottom w:val="none" w:sz="0" w:space="0" w:color="auto"/>
        <w:right w:val="none" w:sz="0" w:space="0" w:color="auto"/>
      </w:divBdr>
    </w:div>
    <w:div w:id="1590114715">
      <w:bodyDiv w:val="1"/>
      <w:marLeft w:val="0"/>
      <w:marRight w:val="0"/>
      <w:marTop w:val="0"/>
      <w:marBottom w:val="0"/>
      <w:divBdr>
        <w:top w:val="none" w:sz="0" w:space="0" w:color="auto"/>
        <w:left w:val="none" w:sz="0" w:space="0" w:color="auto"/>
        <w:bottom w:val="none" w:sz="0" w:space="0" w:color="auto"/>
        <w:right w:val="none" w:sz="0" w:space="0" w:color="auto"/>
      </w:divBdr>
    </w:div>
    <w:div w:id="1590188497">
      <w:bodyDiv w:val="1"/>
      <w:marLeft w:val="0"/>
      <w:marRight w:val="0"/>
      <w:marTop w:val="0"/>
      <w:marBottom w:val="0"/>
      <w:divBdr>
        <w:top w:val="none" w:sz="0" w:space="0" w:color="auto"/>
        <w:left w:val="none" w:sz="0" w:space="0" w:color="auto"/>
        <w:bottom w:val="none" w:sz="0" w:space="0" w:color="auto"/>
        <w:right w:val="none" w:sz="0" w:space="0" w:color="auto"/>
      </w:divBdr>
    </w:div>
    <w:div w:id="1590578669">
      <w:bodyDiv w:val="1"/>
      <w:marLeft w:val="0"/>
      <w:marRight w:val="0"/>
      <w:marTop w:val="0"/>
      <w:marBottom w:val="0"/>
      <w:divBdr>
        <w:top w:val="none" w:sz="0" w:space="0" w:color="auto"/>
        <w:left w:val="none" w:sz="0" w:space="0" w:color="auto"/>
        <w:bottom w:val="none" w:sz="0" w:space="0" w:color="auto"/>
        <w:right w:val="none" w:sz="0" w:space="0" w:color="auto"/>
      </w:divBdr>
    </w:div>
    <w:div w:id="1591621599">
      <w:bodyDiv w:val="1"/>
      <w:marLeft w:val="0"/>
      <w:marRight w:val="0"/>
      <w:marTop w:val="0"/>
      <w:marBottom w:val="0"/>
      <w:divBdr>
        <w:top w:val="none" w:sz="0" w:space="0" w:color="auto"/>
        <w:left w:val="none" w:sz="0" w:space="0" w:color="auto"/>
        <w:bottom w:val="none" w:sz="0" w:space="0" w:color="auto"/>
        <w:right w:val="none" w:sz="0" w:space="0" w:color="auto"/>
      </w:divBdr>
    </w:div>
    <w:div w:id="1592079545">
      <w:bodyDiv w:val="1"/>
      <w:marLeft w:val="0"/>
      <w:marRight w:val="0"/>
      <w:marTop w:val="0"/>
      <w:marBottom w:val="0"/>
      <w:divBdr>
        <w:top w:val="none" w:sz="0" w:space="0" w:color="auto"/>
        <w:left w:val="none" w:sz="0" w:space="0" w:color="auto"/>
        <w:bottom w:val="none" w:sz="0" w:space="0" w:color="auto"/>
        <w:right w:val="none" w:sz="0" w:space="0" w:color="auto"/>
      </w:divBdr>
    </w:div>
    <w:div w:id="1592616211">
      <w:bodyDiv w:val="1"/>
      <w:marLeft w:val="0"/>
      <w:marRight w:val="0"/>
      <w:marTop w:val="0"/>
      <w:marBottom w:val="0"/>
      <w:divBdr>
        <w:top w:val="none" w:sz="0" w:space="0" w:color="auto"/>
        <w:left w:val="none" w:sz="0" w:space="0" w:color="auto"/>
        <w:bottom w:val="none" w:sz="0" w:space="0" w:color="auto"/>
        <w:right w:val="none" w:sz="0" w:space="0" w:color="auto"/>
      </w:divBdr>
    </w:div>
    <w:div w:id="1592618537">
      <w:bodyDiv w:val="1"/>
      <w:marLeft w:val="0"/>
      <w:marRight w:val="0"/>
      <w:marTop w:val="0"/>
      <w:marBottom w:val="0"/>
      <w:divBdr>
        <w:top w:val="none" w:sz="0" w:space="0" w:color="auto"/>
        <w:left w:val="none" w:sz="0" w:space="0" w:color="auto"/>
        <w:bottom w:val="none" w:sz="0" w:space="0" w:color="auto"/>
        <w:right w:val="none" w:sz="0" w:space="0" w:color="auto"/>
      </w:divBdr>
    </w:div>
    <w:div w:id="1592816784">
      <w:bodyDiv w:val="1"/>
      <w:marLeft w:val="0"/>
      <w:marRight w:val="0"/>
      <w:marTop w:val="0"/>
      <w:marBottom w:val="0"/>
      <w:divBdr>
        <w:top w:val="none" w:sz="0" w:space="0" w:color="auto"/>
        <w:left w:val="none" w:sz="0" w:space="0" w:color="auto"/>
        <w:bottom w:val="none" w:sz="0" w:space="0" w:color="auto"/>
        <w:right w:val="none" w:sz="0" w:space="0" w:color="auto"/>
      </w:divBdr>
    </w:div>
    <w:div w:id="1593397234">
      <w:bodyDiv w:val="1"/>
      <w:marLeft w:val="0"/>
      <w:marRight w:val="0"/>
      <w:marTop w:val="0"/>
      <w:marBottom w:val="0"/>
      <w:divBdr>
        <w:top w:val="none" w:sz="0" w:space="0" w:color="auto"/>
        <w:left w:val="none" w:sz="0" w:space="0" w:color="auto"/>
        <w:bottom w:val="none" w:sz="0" w:space="0" w:color="auto"/>
        <w:right w:val="none" w:sz="0" w:space="0" w:color="auto"/>
      </w:divBdr>
    </w:div>
    <w:div w:id="1594363742">
      <w:bodyDiv w:val="1"/>
      <w:marLeft w:val="0"/>
      <w:marRight w:val="0"/>
      <w:marTop w:val="0"/>
      <w:marBottom w:val="0"/>
      <w:divBdr>
        <w:top w:val="none" w:sz="0" w:space="0" w:color="auto"/>
        <w:left w:val="none" w:sz="0" w:space="0" w:color="auto"/>
        <w:bottom w:val="none" w:sz="0" w:space="0" w:color="auto"/>
        <w:right w:val="none" w:sz="0" w:space="0" w:color="auto"/>
      </w:divBdr>
    </w:div>
    <w:div w:id="1594433163">
      <w:bodyDiv w:val="1"/>
      <w:marLeft w:val="0"/>
      <w:marRight w:val="0"/>
      <w:marTop w:val="0"/>
      <w:marBottom w:val="0"/>
      <w:divBdr>
        <w:top w:val="none" w:sz="0" w:space="0" w:color="auto"/>
        <w:left w:val="none" w:sz="0" w:space="0" w:color="auto"/>
        <w:bottom w:val="none" w:sz="0" w:space="0" w:color="auto"/>
        <w:right w:val="none" w:sz="0" w:space="0" w:color="auto"/>
      </w:divBdr>
    </w:div>
    <w:div w:id="1594435991">
      <w:bodyDiv w:val="1"/>
      <w:marLeft w:val="0"/>
      <w:marRight w:val="0"/>
      <w:marTop w:val="0"/>
      <w:marBottom w:val="0"/>
      <w:divBdr>
        <w:top w:val="none" w:sz="0" w:space="0" w:color="auto"/>
        <w:left w:val="none" w:sz="0" w:space="0" w:color="auto"/>
        <w:bottom w:val="none" w:sz="0" w:space="0" w:color="auto"/>
        <w:right w:val="none" w:sz="0" w:space="0" w:color="auto"/>
      </w:divBdr>
    </w:div>
    <w:div w:id="1594632142">
      <w:bodyDiv w:val="1"/>
      <w:marLeft w:val="0"/>
      <w:marRight w:val="0"/>
      <w:marTop w:val="0"/>
      <w:marBottom w:val="0"/>
      <w:divBdr>
        <w:top w:val="none" w:sz="0" w:space="0" w:color="auto"/>
        <w:left w:val="none" w:sz="0" w:space="0" w:color="auto"/>
        <w:bottom w:val="none" w:sz="0" w:space="0" w:color="auto"/>
        <w:right w:val="none" w:sz="0" w:space="0" w:color="auto"/>
      </w:divBdr>
    </w:div>
    <w:div w:id="1594895043">
      <w:bodyDiv w:val="1"/>
      <w:marLeft w:val="0"/>
      <w:marRight w:val="0"/>
      <w:marTop w:val="0"/>
      <w:marBottom w:val="0"/>
      <w:divBdr>
        <w:top w:val="none" w:sz="0" w:space="0" w:color="auto"/>
        <w:left w:val="none" w:sz="0" w:space="0" w:color="auto"/>
        <w:bottom w:val="none" w:sz="0" w:space="0" w:color="auto"/>
        <w:right w:val="none" w:sz="0" w:space="0" w:color="auto"/>
      </w:divBdr>
    </w:div>
    <w:div w:id="1594897401">
      <w:bodyDiv w:val="1"/>
      <w:marLeft w:val="0"/>
      <w:marRight w:val="0"/>
      <w:marTop w:val="0"/>
      <w:marBottom w:val="0"/>
      <w:divBdr>
        <w:top w:val="none" w:sz="0" w:space="0" w:color="auto"/>
        <w:left w:val="none" w:sz="0" w:space="0" w:color="auto"/>
        <w:bottom w:val="none" w:sz="0" w:space="0" w:color="auto"/>
        <w:right w:val="none" w:sz="0" w:space="0" w:color="auto"/>
      </w:divBdr>
    </w:div>
    <w:div w:id="1595046128">
      <w:bodyDiv w:val="1"/>
      <w:marLeft w:val="0"/>
      <w:marRight w:val="0"/>
      <w:marTop w:val="0"/>
      <w:marBottom w:val="0"/>
      <w:divBdr>
        <w:top w:val="none" w:sz="0" w:space="0" w:color="auto"/>
        <w:left w:val="none" w:sz="0" w:space="0" w:color="auto"/>
        <w:bottom w:val="none" w:sz="0" w:space="0" w:color="auto"/>
        <w:right w:val="none" w:sz="0" w:space="0" w:color="auto"/>
      </w:divBdr>
    </w:div>
    <w:div w:id="1595629204">
      <w:bodyDiv w:val="1"/>
      <w:marLeft w:val="0"/>
      <w:marRight w:val="0"/>
      <w:marTop w:val="0"/>
      <w:marBottom w:val="0"/>
      <w:divBdr>
        <w:top w:val="none" w:sz="0" w:space="0" w:color="auto"/>
        <w:left w:val="none" w:sz="0" w:space="0" w:color="auto"/>
        <w:bottom w:val="none" w:sz="0" w:space="0" w:color="auto"/>
        <w:right w:val="none" w:sz="0" w:space="0" w:color="auto"/>
      </w:divBdr>
    </w:div>
    <w:div w:id="1595629295">
      <w:bodyDiv w:val="1"/>
      <w:marLeft w:val="0"/>
      <w:marRight w:val="0"/>
      <w:marTop w:val="0"/>
      <w:marBottom w:val="0"/>
      <w:divBdr>
        <w:top w:val="none" w:sz="0" w:space="0" w:color="auto"/>
        <w:left w:val="none" w:sz="0" w:space="0" w:color="auto"/>
        <w:bottom w:val="none" w:sz="0" w:space="0" w:color="auto"/>
        <w:right w:val="none" w:sz="0" w:space="0" w:color="auto"/>
      </w:divBdr>
    </w:div>
    <w:div w:id="1595670609">
      <w:bodyDiv w:val="1"/>
      <w:marLeft w:val="0"/>
      <w:marRight w:val="0"/>
      <w:marTop w:val="0"/>
      <w:marBottom w:val="0"/>
      <w:divBdr>
        <w:top w:val="none" w:sz="0" w:space="0" w:color="auto"/>
        <w:left w:val="none" w:sz="0" w:space="0" w:color="auto"/>
        <w:bottom w:val="none" w:sz="0" w:space="0" w:color="auto"/>
        <w:right w:val="none" w:sz="0" w:space="0" w:color="auto"/>
      </w:divBdr>
    </w:div>
    <w:div w:id="1596016561">
      <w:bodyDiv w:val="1"/>
      <w:marLeft w:val="0"/>
      <w:marRight w:val="0"/>
      <w:marTop w:val="0"/>
      <w:marBottom w:val="0"/>
      <w:divBdr>
        <w:top w:val="none" w:sz="0" w:space="0" w:color="auto"/>
        <w:left w:val="none" w:sz="0" w:space="0" w:color="auto"/>
        <w:bottom w:val="none" w:sz="0" w:space="0" w:color="auto"/>
        <w:right w:val="none" w:sz="0" w:space="0" w:color="auto"/>
      </w:divBdr>
    </w:div>
    <w:div w:id="1596549327">
      <w:bodyDiv w:val="1"/>
      <w:marLeft w:val="0"/>
      <w:marRight w:val="0"/>
      <w:marTop w:val="0"/>
      <w:marBottom w:val="0"/>
      <w:divBdr>
        <w:top w:val="none" w:sz="0" w:space="0" w:color="auto"/>
        <w:left w:val="none" w:sz="0" w:space="0" w:color="auto"/>
        <w:bottom w:val="none" w:sz="0" w:space="0" w:color="auto"/>
        <w:right w:val="none" w:sz="0" w:space="0" w:color="auto"/>
      </w:divBdr>
    </w:div>
    <w:div w:id="1596549844">
      <w:bodyDiv w:val="1"/>
      <w:marLeft w:val="0"/>
      <w:marRight w:val="0"/>
      <w:marTop w:val="0"/>
      <w:marBottom w:val="0"/>
      <w:divBdr>
        <w:top w:val="none" w:sz="0" w:space="0" w:color="auto"/>
        <w:left w:val="none" w:sz="0" w:space="0" w:color="auto"/>
        <w:bottom w:val="none" w:sz="0" w:space="0" w:color="auto"/>
        <w:right w:val="none" w:sz="0" w:space="0" w:color="auto"/>
      </w:divBdr>
    </w:div>
    <w:div w:id="1596746674">
      <w:bodyDiv w:val="1"/>
      <w:marLeft w:val="0"/>
      <w:marRight w:val="0"/>
      <w:marTop w:val="0"/>
      <w:marBottom w:val="0"/>
      <w:divBdr>
        <w:top w:val="none" w:sz="0" w:space="0" w:color="auto"/>
        <w:left w:val="none" w:sz="0" w:space="0" w:color="auto"/>
        <w:bottom w:val="none" w:sz="0" w:space="0" w:color="auto"/>
        <w:right w:val="none" w:sz="0" w:space="0" w:color="auto"/>
      </w:divBdr>
    </w:div>
    <w:div w:id="1596936658">
      <w:bodyDiv w:val="1"/>
      <w:marLeft w:val="0"/>
      <w:marRight w:val="0"/>
      <w:marTop w:val="0"/>
      <w:marBottom w:val="0"/>
      <w:divBdr>
        <w:top w:val="none" w:sz="0" w:space="0" w:color="auto"/>
        <w:left w:val="none" w:sz="0" w:space="0" w:color="auto"/>
        <w:bottom w:val="none" w:sz="0" w:space="0" w:color="auto"/>
        <w:right w:val="none" w:sz="0" w:space="0" w:color="auto"/>
      </w:divBdr>
    </w:div>
    <w:div w:id="1597135729">
      <w:bodyDiv w:val="1"/>
      <w:marLeft w:val="0"/>
      <w:marRight w:val="0"/>
      <w:marTop w:val="0"/>
      <w:marBottom w:val="0"/>
      <w:divBdr>
        <w:top w:val="none" w:sz="0" w:space="0" w:color="auto"/>
        <w:left w:val="none" w:sz="0" w:space="0" w:color="auto"/>
        <w:bottom w:val="none" w:sz="0" w:space="0" w:color="auto"/>
        <w:right w:val="none" w:sz="0" w:space="0" w:color="auto"/>
      </w:divBdr>
    </w:div>
    <w:div w:id="1597981232">
      <w:bodyDiv w:val="1"/>
      <w:marLeft w:val="0"/>
      <w:marRight w:val="0"/>
      <w:marTop w:val="0"/>
      <w:marBottom w:val="0"/>
      <w:divBdr>
        <w:top w:val="none" w:sz="0" w:space="0" w:color="auto"/>
        <w:left w:val="none" w:sz="0" w:space="0" w:color="auto"/>
        <w:bottom w:val="none" w:sz="0" w:space="0" w:color="auto"/>
        <w:right w:val="none" w:sz="0" w:space="0" w:color="auto"/>
      </w:divBdr>
    </w:div>
    <w:div w:id="1599631636">
      <w:bodyDiv w:val="1"/>
      <w:marLeft w:val="0"/>
      <w:marRight w:val="0"/>
      <w:marTop w:val="0"/>
      <w:marBottom w:val="0"/>
      <w:divBdr>
        <w:top w:val="none" w:sz="0" w:space="0" w:color="auto"/>
        <w:left w:val="none" w:sz="0" w:space="0" w:color="auto"/>
        <w:bottom w:val="none" w:sz="0" w:space="0" w:color="auto"/>
        <w:right w:val="none" w:sz="0" w:space="0" w:color="auto"/>
      </w:divBdr>
    </w:div>
    <w:div w:id="1600068551">
      <w:bodyDiv w:val="1"/>
      <w:marLeft w:val="0"/>
      <w:marRight w:val="0"/>
      <w:marTop w:val="0"/>
      <w:marBottom w:val="0"/>
      <w:divBdr>
        <w:top w:val="none" w:sz="0" w:space="0" w:color="auto"/>
        <w:left w:val="none" w:sz="0" w:space="0" w:color="auto"/>
        <w:bottom w:val="none" w:sz="0" w:space="0" w:color="auto"/>
        <w:right w:val="none" w:sz="0" w:space="0" w:color="auto"/>
      </w:divBdr>
    </w:div>
    <w:div w:id="1601134414">
      <w:bodyDiv w:val="1"/>
      <w:marLeft w:val="0"/>
      <w:marRight w:val="0"/>
      <w:marTop w:val="0"/>
      <w:marBottom w:val="0"/>
      <w:divBdr>
        <w:top w:val="none" w:sz="0" w:space="0" w:color="auto"/>
        <w:left w:val="none" w:sz="0" w:space="0" w:color="auto"/>
        <w:bottom w:val="none" w:sz="0" w:space="0" w:color="auto"/>
        <w:right w:val="none" w:sz="0" w:space="0" w:color="auto"/>
      </w:divBdr>
    </w:div>
    <w:div w:id="1601180609">
      <w:bodyDiv w:val="1"/>
      <w:marLeft w:val="0"/>
      <w:marRight w:val="0"/>
      <w:marTop w:val="0"/>
      <w:marBottom w:val="0"/>
      <w:divBdr>
        <w:top w:val="none" w:sz="0" w:space="0" w:color="auto"/>
        <w:left w:val="none" w:sz="0" w:space="0" w:color="auto"/>
        <w:bottom w:val="none" w:sz="0" w:space="0" w:color="auto"/>
        <w:right w:val="none" w:sz="0" w:space="0" w:color="auto"/>
      </w:divBdr>
    </w:div>
    <w:div w:id="1601717716">
      <w:bodyDiv w:val="1"/>
      <w:marLeft w:val="0"/>
      <w:marRight w:val="0"/>
      <w:marTop w:val="0"/>
      <w:marBottom w:val="0"/>
      <w:divBdr>
        <w:top w:val="none" w:sz="0" w:space="0" w:color="auto"/>
        <w:left w:val="none" w:sz="0" w:space="0" w:color="auto"/>
        <w:bottom w:val="none" w:sz="0" w:space="0" w:color="auto"/>
        <w:right w:val="none" w:sz="0" w:space="0" w:color="auto"/>
      </w:divBdr>
    </w:div>
    <w:div w:id="1601791807">
      <w:bodyDiv w:val="1"/>
      <w:marLeft w:val="0"/>
      <w:marRight w:val="0"/>
      <w:marTop w:val="0"/>
      <w:marBottom w:val="0"/>
      <w:divBdr>
        <w:top w:val="none" w:sz="0" w:space="0" w:color="auto"/>
        <w:left w:val="none" w:sz="0" w:space="0" w:color="auto"/>
        <w:bottom w:val="none" w:sz="0" w:space="0" w:color="auto"/>
        <w:right w:val="none" w:sz="0" w:space="0" w:color="auto"/>
      </w:divBdr>
    </w:div>
    <w:div w:id="1601916751">
      <w:bodyDiv w:val="1"/>
      <w:marLeft w:val="0"/>
      <w:marRight w:val="0"/>
      <w:marTop w:val="0"/>
      <w:marBottom w:val="0"/>
      <w:divBdr>
        <w:top w:val="none" w:sz="0" w:space="0" w:color="auto"/>
        <w:left w:val="none" w:sz="0" w:space="0" w:color="auto"/>
        <w:bottom w:val="none" w:sz="0" w:space="0" w:color="auto"/>
        <w:right w:val="none" w:sz="0" w:space="0" w:color="auto"/>
      </w:divBdr>
    </w:div>
    <w:div w:id="1602031736">
      <w:bodyDiv w:val="1"/>
      <w:marLeft w:val="0"/>
      <w:marRight w:val="0"/>
      <w:marTop w:val="0"/>
      <w:marBottom w:val="0"/>
      <w:divBdr>
        <w:top w:val="none" w:sz="0" w:space="0" w:color="auto"/>
        <w:left w:val="none" w:sz="0" w:space="0" w:color="auto"/>
        <w:bottom w:val="none" w:sz="0" w:space="0" w:color="auto"/>
        <w:right w:val="none" w:sz="0" w:space="0" w:color="auto"/>
      </w:divBdr>
    </w:div>
    <w:div w:id="1603102833">
      <w:bodyDiv w:val="1"/>
      <w:marLeft w:val="0"/>
      <w:marRight w:val="0"/>
      <w:marTop w:val="0"/>
      <w:marBottom w:val="0"/>
      <w:divBdr>
        <w:top w:val="none" w:sz="0" w:space="0" w:color="auto"/>
        <w:left w:val="none" w:sz="0" w:space="0" w:color="auto"/>
        <w:bottom w:val="none" w:sz="0" w:space="0" w:color="auto"/>
        <w:right w:val="none" w:sz="0" w:space="0" w:color="auto"/>
      </w:divBdr>
    </w:div>
    <w:div w:id="1603144346">
      <w:bodyDiv w:val="1"/>
      <w:marLeft w:val="0"/>
      <w:marRight w:val="0"/>
      <w:marTop w:val="0"/>
      <w:marBottom w:val="0"/>
      <w:divBdr>
        <w:top w:val="none" w:sz="0" w:space="0" w:color="auto"/>
        <w:left w:val="none" w:sz="0" w:space="0" w:color="auto"/>
        <w:bottom w:val="none" w:sz="0" w:space="0" w:color="auto"/>
        <w:right w:val="none" w:sz="0" w:space="0" w:color="auto"/>
      </w:divBdr>
    </w:div>
    <w:div w:id="1603224106">
      <w:bodyDiv w:val="1"/>
      <w:marLeft w:val="0"/>
      <w:marRight w:val="0"/>
      <w:marTop w:val="0"/>
      <w:marBottom w:val="0"/>
      <w:divBdr>
        <w:top w:val="none" w:sz="0" w:space="0" w:color="auto"/>
        <w:left w:val="none" w:sz="0" w:space="0" w:color="auto"/>
        <w:bottom w:val="none" w:sz="0" w:space="0" w:color="auto"/>
        <w:right w:val="none" w:sz="0" w:space="0" w:color="auto"/>
      </w:divBdr>
    </w:div>
    <w:div w:id="1603491185">
      <w:bodyDiv w:val="1"/>
      <w:marLeft w:val="0"/>
      <w:marRight w:val="0"/>
      <w:marTop w:val="0"/>
      <w:marBottom w:val="0"/>
      <w:divBdr>
        <w:top w:val="none" w:sz="0" w:space="0" w:color="auto"/>
        <w:left w:val="none" w:sz="0" w:space="0" w:color="auto"/>
        <w:bottom w:val="none" w:sz="0" w:space="0" w:color="auto"/>
        <w:right w:val="none" w:sz="0" w:space="0" w:color="auto"/>
      </w:divBdr>
    </w:div>
    <w:div w:id="1603684628">
      <w:bodyDiv w:val="1"/>
      <w:marLeft w:val="0"/>
      <w:marRight w:val="0"/>
      <w:marTop w:val="0"/>
      <w:marBottom w:val="0"/>
      <w:divBdr>
        <w:top w:val="none" w:sz="0" w:space="0" w:color="auto"/>
        <w:left w:val="none" w:sz="0" w:space="0" w:color="auto"/>
        <w:bottom w:val="none" w:sz="0" w:space="0" w:color="auto"/>
        <w:right w:val="none" w:sz="0" w:space="0" w:color="auto"/>
      </w:divBdr>
    </w:div>
    <w:div w:id="1603879962">
      <w:bodyDiv w:val="1"/>
      <w:marLeft w:val="0"/>
      <w:marRight w:val="0"/>
      <w:marTop w:val="0"/>
      <w:marBottom w:val="0"/>
      <w:divBdr>
        <w:top w:val="none" w:sz="0" w:space="0" w:color="auto"/>
        <w:left w:val="none" w:sz="0" w:space="0" w:color="auto"/>
        <w:bottom w:val="none" w:sz="0" w:space="0" w:color="auto"/>
        <w:right w:val="none" w:sz="0" w:space="0" w:color="auto"/>
      </w:divBdr>
    </w:div>
    <w:div w:id="1603954388">
      <w:bodyDiv w:val="1"/>
      <w:marLeft w:val="0"/>
      <w:marRight w:val="0"/>
      <w:marTop w:val="0"/>
      <w:marBottom w:val="0"/>
      <w:divBdr>
        <w:top w:val="none" w:sz="0" w:space="0" w:color="auto"/>
        <w:left w:val="none" w:sz="0" w:space="0" w:color="auto"/>
        <w:bottom w:val="none" w:sz="0" w:space="0" w:color="auto"/>
        <w:right w:val="none" w:sz="0" w:space="0" w:color="auto"/>
      </w:divBdr>
    </w:div>
    <w:div w:id="1605184426">
      <w:bodyDiv w:val="1"/>
      <w:marLeft w:val="0"/>
      <w:marRight w:val="0"/>
      <w:marTop w:val="0"/>
      <w:marBottom w:val="0"/>
      <w:divBdr>
        <w:top w:val="none" w:sz="0" w:space="0" w:color="auto"/>
        <w:left w:val="none" w:sz="0" w:space="0" w:color="auto"/>
        <w:bottom w:val="none" w:sz="0" w:space="0" w:color="auto"/>
        <w:right w:val="none" w:sz="0" w:space="0" w:color="auto"/>
      </w:divBdr>
    </w:div>
    <w:div w:id="1605386366">
      <w:bodyDiv w:val="1"/>
      <w:marLeft w:val="0"/>
      <w:marRight w:val="0"/>
      <w:marTop w:val="0"/>
      <w:marBottom w:val="0"/>
      <w:divBdr>
        <w:top w:val="none" w:sz="0" w:space="0" w:color="auto"/>
        <w:left w:val="none" w:sz="0" w:space="0" w:color="auto"/>
        <w:bottom w:val="none" w:sz="0" w:space="0" w:color="auto"/>
        <w:right w:val="none" w:sz="0" w:space="0" w:color="auto"/>
      </w:divBdr>
    </w:div>
    <w:div w:id="1605573910">
      <w:bodyDiv w:val="1"/>
      <w:marLeft w:val="0"/>
      <w:marRight w:val="0"/>
      <w:marTop w:val="0"/>
      <w:marBottom w:val="0"/>
      <w:divBdr>
        <w:top w:val="none" w:sz="0" w:space="0" w:color="auto"/>
        <w:left w:val="none" w:sz="0" w:space="0" w:color="auto"/>
        <w:bottom w:val="none" w:sz="0" w:space="0" w:color="auto"/>
        <w:right w:val="none" w:sz="0" w:space="0" w:color="auto"/>
      </w:divBdr>
    </w:div>
    <w:div w:id="1605916128">
      <w:bodyDiv w:val="1"/>
      <w:marLeft w:val="0"/>
      <w:marRight w:val="0"/>
      <w:marTop w:val="0"/>
      <w:marBottom w:val="0"/>
      <w:divBdr>
        <w:top w:val="none" w:sz="0" w:space="0" w:color="auto"/>
        <w:left w:val="none" w:sz="0" w:space="0" w:color="auto"/>
        <w:bottom w:val="none" w:sz="0" w:space="0" w:color="auto"/>
        <w:right w:val="none" w:sz="0" w:space="0" w:color="auto"/>
      </w:divBdr>
    </w:div>
    <w:div w:id="1605917302">
      <w:bodyDiv w:val="1"/>
      <w:marLeft w:val="0"/>
      <w:marRight w:val="0"/>
      <w:marTop w:val="0"/>
      <w:marBottom w:val="0"/>
      <w:divBdr>
        <w:top w:val="none" w:sz="0" w:space="0" w:color="auto"/>
        <w:left w:val="none" w:sz="0" w:space="0" w:color="auto"/>
        <w:bottom w:val="none" w:sz="0" w:space="0" w:color="auto"/>
        <w:right w:val="none" w:sz="0" w:space="0" w:color="auto"/>
      </w:divBdr>
    </w:div>
    <w:div w:id="1606157940">
      <w:bodyDiv w:val="1"/>
      <w:marLeft w:val="0"/>
      <w:marRight w:val="0"/>
      <w:marTop w:val="0"/>
      <w:marBottom w:val="0"/>
      <w:divBdr>
        <w:top w:val="none" w:sz="0" w:space="0" w:color="auto"/>
        <w:left w:val="none" w:sz="0" w:space="0" w:color="auto"/>
        <w:bottom w:val="none" w:sz="0" w:space="0" w:color="auto"/>
        <w:right w:val="none" w:sz="0" w:space="0" w:color="auto"/>
      </w:divBdr>
    </w:div>
    <w:div w:id="1606425023">
      <w:bodyDiv w:val="1"/>
      <w:marLeft w:val="0"/>
      <w:marRight w:val="0"/>
      <w:marTop w:val="0"/>
      <w:marBottom w:val="0"/>
      <w:divBdr>
        <w:top w:val="none" w:sz="0" w:space="0" w:color="auto"/>
        <w:left w:val="none" w:sz="0" w:space="0" w:color="auto"/>
        <w:bottom w:val="none" w:sz="0" w:space="0" w:color="auto"/>
        <w:right w:val="none" w:sz="0" w:space="0" w:color="auto"/>
      </w:divBdr>
    </w:div>
    <w:div w:id="1606620848">
      <w:bodyDiv w:val="1"/>
      <w:marLeft w:val="0"/>
      <w:marRight w:val="0"/>
      <w:marTop w:val="0"/>
      <w:marBottom w:val="0"/>
      <w:divBdr>
        <w:top w:val="none" w:sz="0" w:space="0" w:color="auto"/>
        <w:left w:val="none" w:sz="0" w:space="0" w:color="auto"/>
        <w:bottom w:val="none" w:sz="0" w:space="0" w:color="auto"/>
        <w:right w:val="none" w:sz="0" w:space="0" w:color="auto"/>
      </w:divBdr>
    </w:div>
    <w:div w:id="1607149913">
      <w:bodyDiv w:val="1"/>
      <w:marLeft w:val="0"/>
      <w:marRight w:val="0"/>
      <w:marTop w:val="0"/>
      <w:marBottom w:val="0"/>
      <w:divBdr>
        <w:top w:val="none" w:sz="0" w:space="0" w:color="auto"/>
        <w:left w:val="none" w:sz="0" w:space="0" w:color="auto"/>
        <w:bottom w:val="none" w:sz="0" w:space="0" w:color="auto"/>
        <w:right w:val="none" w:sz="0" w:space="0" w:color="auto"/>
      </w:divBdr>
    </w:div>
    <w:div w:id="1607425071">
      <w:bodyDiv w:val="1"/>
      <w:marLeft w:val="0"/>
      <w:marRight w:val="0"/>
      <w:marTop w:val="0"/>
      <w:marBottom w:val="0"/>
      <w:divBdr>
        <w:top w:val="none" w:sz="0" w:space="0" w:color="auto"/>
        <w:left w:val="none" w:sz="0" w:space="0" w:color="auto"/>
        <w:bottom w:val="none" w:sz="0" w:space="0" w:color="auto"/>
        <w:right w:val="none" w:sz="0" w:space="0" w:color="auto"/>
      </w:divBdr>
    </w:div>
    <w:div w:id="1607541189">
      <w:bodyDiv w:val="1"/>
      <w:marLeft w:val="0"/>
      <w:marRight w:val="0"/>
      <w:marTop w:val="0"/>
      <w:marBottom w:val="0"/>
      <w:divBdr>
        <w:top w:val="none" w:sz="0" w:space="0" w:color="auto"/>
        <w:left w:val="none" w:sz="0" w:space="0" w:color="auto"/>
        <w:bottom w:val="none" w:sz="0" w:space="0" w:color="auto"/>
        <w:right w:val="none" w:sz="0" w:space="0" w:color="auto"/>
      </w:divBdr>
    </w:div>
    <w:div w:id="1608732182">
      <w:bodyDiv w:val="1"/>
      <w:marLeft w:val="0"/>
      <w:marRight w:val="0"/>
      <w:marTop w:val="0"/>
      <w:marBottom w:val="0"/>
      <w:divBdr>
        <w:top w:val="none" w:sz="0" w:space="0" w:color="auto"/>
        <w:left w:val="none" w:sz="0" w:space="0" w:color="auto"/>
        <w:bottom w:val="none" w:sz="0" w:space="0" w:color="auto"/>
        <w:right w:val="none" w:sz="0" w:space="0" w:color="auto"/>
      </w:divBdr>
    </w:div>
    <w:div w:id="1609652443">
      <w:bodyDiv w:val="1"/>
      <w:marLeft w:val="0"/>
      <w:marRight w:val="0"/>
      <w:marTop w:val="0"/>
      <w:marBottom w:val="0"/>
      <w:divBdr>
        <w:top w:val="none" w:sz="0" w:space="0" w:color="auto"/>
        <w:left w:val="none" w:sz="0" w:space="0" w:color="auto"/>
        <w:bottom w:val="none" w:sz="0" w:space="0" w:color="auto"/>
        <w:right w:val="none" w:sz="0" w:space="0" w:color="auto"/>
      </w:divBdr>
    </w:div>
    <w:div w:id="1609779481">
      <w:bodyDiv w:val="1"/>
      <w:marLeft w:val="0"/>
      <w:marRight w:val="0"/>
      <w:marTop w:val="0"/>
      <w:marBottom w:val="0"/>
      <w:divBdr>
        <w:top w:val="none" w:sz="0" w:space="0" w:color="auto"/>
        <w:left w:val="none" w:sz="0" w:space="0" w:color="auto"/>
        <w:bottom w:val="none" w:sz="0" w:space="0" w:color="auto"/>
        <w:right w:val="none" w:sz="0" w:space="0" w:color="auto"/>
      </w:divBdr>
    </w:div>
    <w:div w:id="1609892409">
      <w:bodyDiv w:val="1"/>
      <w:marLeft w:val="0"/>
      <w:marRight w:val="0"/>
      <w:marTop w:val="0"/>
      <w:marBottom w:val="0"/>
      <w:divBdr>
        <w:top w:val="none" w:sz="0" w:space="0" w:color="auto"/>
        <w:left w:val="none" w:sz="0" w:space="0" w:color="auto"/>
        <w:bottom w:val="none" w:sz="0" w:space="0" w:color="auto"/>
        <w:right w:val="none" w:sz="0" w:space="0" w:color="auto"/>
      </w:divBdr>
    </w:div>
    <w:div w:id="1610042286">
      <w:bodyDiv w:val="1"/>
      <w:marLeft w:val="0"/>
      <w:marRight w:val="0"/>
      <w:marTop w:val="0"/>
      <w:marBottom w:val="0"/>
      <w:divBdr>
        <w:top w:val="none" w:sz="0" w:space="0" w:color="auto"/>
        <w:left w:val="none" w:sz="0" w:space="0" w:color="auto"/>
        <w:bottom w:val="none" w:sz="0" w:space="0" w:color="auto"/>
        <w:right w:val="none" w:sz="0" w:space="0" w:color="auto"/>
      </w:divBdr>
    </w:div>
    <w:div w:id="1610232804">
      <w:bodyDiv w:val="1"/>
      <w:marLeft w:val="0"/>
      <w:marRight w:val="0"/>
      <w:marTop w:val="0"/>
      <w:marBottom w:val="0"/>
      <w:divBdr>
        <w:top w:val="none" w:sz="0" w:space="0" w:color="auto"/>
        <w:left w:val="none" w:sz="0" w:space="0" w:color="auto"/>
        <w:bottom w:val="none" w:sz="0" w:space="0" w:color="auto"/>
        <w:right w:val="none" w:sz="0" w:space="0" w:color="auto"/>
      </w:divBdr>
    </w:div>
    <w:div w:id="1610506332">
      <w:bodyDiv w:val="1"/>
      <w:marLeft w:val="0"/>
      <w:marRight w:val="0"/>
      <w:marTop w:val="0"/>
      <w:marBottom w:val="0"/>
      <w:divBdr>
        <w:top w:val="none" w:sz="0" w:space="0" w:color="auto"/>
        <w:left w:val="none" w:sz="0" w:space="0" w:color="auto"/>
        <w:bottom w:val="none" w:sz="0" w:space="0" w:color="auto"/>
        <w:right w:val="none" w:sz="0" w:space="0" w:color="auto"/>
      </w:divBdr>
    </w:div>
    <w:div w:id="1610770081">
      <w:bodyDiv w:val="1"/>
      <w:marLeft w:val="0"/>
      <w:marRight w:val="0"/>
      <w:marTop w:val="0"/>
      <w:marBottom w:val="0"/>
      <w:divBdr>
        <w:top w:val="none" w:sz="0" w:space="0" w:color="auto"/>
        <w:left w:val="none" w:sz="0" w:space="0" w:color="auto"/>
        <w:bottom w:val="none" w:sz="0" w:space="0" w:color="auto"/>
        <w:right w:val="none" w:sz="0" w:space="0" w:color="auto"/>
      </w:divBdr>
    </w:div>
    <w:div w:id="1610968182">
      <w:bodyDiv w:val="1"/>
      <w:marLeft w:val="0"/>
      <w:marRight w:val="0"/>
      <w:marTop w:val="0"/>
      <w:marBottom w:val="0"/>
      <w:divBdr>
        <w:top w:val="none" w:sz="0" w:space="0" w:color="auto"/>
        <w:left w:val="none" w:sz="0" w:space="0" w:color="auto"/>
        <w:bottom w:val="none" w:sz="0" w:space="0" w:color="auto"/>
        <w:right w:val="none" w:sz="0" w:space="0" w:color="auto"/>
      </w:divBdr>
    </w:div>
    <w:div w:id="1611085396">
      <w:bodyDiv w:val="1"/>
      <w:marLeft w:val="0"/>
      <w:marRight w:val="0"/>
      <w:marTop w:val="0"/>
      <w:marBottom w:val="0"/>
      <w:divBdr>
        <w:top w:val="none" w:sz="0" w:space="0" w:color="auto"/>
        <w:left w:val="none" w:sz="0" w:space="0" w:color="auto"/>
        <w:bottom w:val="none" w:sz="0" w:space="0" w:color="auto"/>
        <w:right w:val="none" w:sz="0" w:space="0" w:color="auto"/>
      </w:divBdr>
    </w:div>
    <w:div w:id="1612056124">
      <w:bodyDiv w:val="1"/>
      <w:marLeft w:val="0"/>
      <w:marRight w:val="0"/>
      <w:marTop w:val="0"/>
      <w:marBottom w:val="0"/>
      <w:divBdr>
        <w:top w:val="none" w:sz="0" w:space="0" w:color="auto"/>
        <w:left w:val="none" w:sz="0" w:space="0" w:color="auto"/>
        <w:bottom w:val="none" w:sz="0" w:space="0" w:color="auto"/>
        <w:right w:val="none" w:sz="0" w:space="0" w:color="auto"/>
      </w:divBdr>
    </w:div>
    <w:div w:id="1612202990">
      <w:bodyDiv w:val="1"/>
      <w:marLeft w:val="0"/>
      <w:marRight w:val="0"/>
      <w:marTop w:val="0"/>
      <w:marBottom w:val="0"/>
      <w:divBdr>
        <w:top w:val="none" w:sz="0" w:space="0" w:color="auto"/>
        <w:left w:val="none" w:sz="0" w:space="0" w:color="auto"/>
        <w:bottom w:val="none" w:sz="0" w:space="0" w:color="auto"/>
        <w:right w:val="none" w:sz="0" w:space="0" w:color="auto"/>
      </w:divBdr>
    </w:div>
    <w:div w:id="1612467882">
      <w:bodyDiv w:val="1"/>
      <w:marLeft w:val="0"/>
      <w:marRight w:val="0"/>
      <w:marTop w:val="0"/>
      <w:marBottom w:val="0"/>
      <w:divBdr>
        <w:top w:val="none" w:sz="0" w:space="0" w:color="auto"/>
        <w:left w:val="none" w:sz="0" w:space="0" w:color="auto"/>
        <w:bottom w:val="none" w:sz="0" w:space="0" w:color="auto"/>
        <w:right w:val="none" w:sz="0" w:space="0" w:color="auto"/>
      </w:divBdr>
    </w:div>
    <w:div w:id="1612980648">
      <w:bodyDiv w:val="1"/>
      <w:marLeft w:val="0"/>
      <w:marRight w:val="0"/>
      <w:marTop w:val="0"/>
      <w:marBottom w:val="0"/>
      <w:divBdr>
        <w:top w:val="none" w:sz="0" w:space="0" w:color="auto"/>
        <w:left w:val="none" w:sz="0" w:space="0" w:color="auto"/>
        <w:bottom w:val="none" w:sz="0" w:space="0" w:color="auto"/>
        <w:right w:val="none" w:sz="0" w:space="0" w:color="auto"/>
      </w:divBdr>
    </w:div>
    <w:div w:id="1614052529">
      <w:bodyDiv w:val="1"/>
      <w:marLeft w:val="0"/>
      <w:marRight w:val="0"/>
      <w:marTop w:val="0"/>
      <w:marBottom w:val="0"/>
      <w:divBdr>
        <w:top w:val="none" w:sz="0" w:space="0" w:color="auto"/>
        <w:left w:val="none" w:sz="0" w:space="0" w:color="auto"/>
        <w:bottom w:val="none" w:sz="0" w:space="0" w:color="auto"/>
        <w:right w:val="none" w:sz="0" w:space="0" w:color="auto"/>
      </w:divBdr>
    </w:div>
    <w:div w:id="1614283296">
      <w:bodyDiv w:val="1"/>
      <w:marLeft w:val="0"/>
      <w:marRight w:val="0"/>
      <w:marTop w:val="0"/>
      <w:marBottom w:val="0"/>
      <w:divBdr>
        <w:top w:val="none" w:sz="0" w:space="0" w:color="auto"/>
        <w:left w:val="none" w:sz="0" w:space="0" w:color="auto"/>
        <w:bottom w:val="none" w:sz="0" w:space="0" w:color="auto"/>
        <w:right w:val="none" w:sz="0" w:space="0" w:color="auto"/>
      </w:divBdr>
    </w:div>
    <w:div w:id="1614288829">
      <w:bodyDiv w:val="1"/>
      <w:marLeft w:val="0"/>
      <w:marRight w:val="0"/>
      <w:marTop w:val="0"/>
      <w:marBottom w:val="0"/>
      <w:divBdr>
        <w:top w:val="none" w:sz="0" w:space="0" w:color="auto"/>
        <w:left w:val="none" w:sz="0" w:space="0" w:color="auto"/>
        <w:bottom w:val="none" w:sz="0" w:space="0" w:color="auto"/>
        <w:right w:val="none" w:sz="0" w:space="0" w:color="auto"/>
      </w:divBdr>
    </w:div>
    <w:div w:id="1614677616">
      <w:bodyDiv w:val="1"/>
      <w:marLeft w:val="0"/>
      <w:marRight w:val="0"/>
      <w:marTop w:val="0"/>
      <w:marBottom w:val="0"/>
      <w:divBdr>
        <w:top w:val="none" w:sz="0" w:space="0" w:color="auto"/>
        <w:left w:val="none" w:sz="0" w:space="0" w:color="auto"/>
        <w:bottom w:val="none" w:sz="0" w:space="0" w:color="auto"/>
        <w:right w:val="none" w:sz="0" w:space="0" w:color="auto"/>
      </w:divBdr>
    </w:div>
    <w:div w:id="1615091471">
      <w:bodyDiv w:val="1"/>
      <w:marLeft w:val="0"/>
      <w:marRight w:val="0"/>
      <w:marTop w:val="0"/>
      <w:marBottom w:val="0"/>
      <w:divBdr>
        <w:top w:val="none" w:sz="0" w:space="0" w:color="auto"/>
        <w:left w:val="none" w:sz="0" w:space="0" w:color="auto"/>
        <w:bottom w:val="none" w:sz="0" w:space="0" w:color="auto"/>
        <w:right w:val="none" w:sz="0" w:space="0" w:color="auto"/>
      </w:divBdr>
    </w:div>
    <w:div w:id="1615166612">
      <w:bodyDiv w:val="1"/>
      <w:marLeft w:val="0"/>
      <w:marRight w:val="0"/>
      <w:marTop w:val="0"/>
      <w:marBottom w:val="0"/>
      <w:divBdr>
        <w:top w:val="none" w:sz="0" w:space="0" w:color="auto"/>
        <w:left w:val="none" w:sz="0" w:space="0" w:color="auto"/>
        <w:bottom w:val="none" w:sz="0" w:space="0" w:color="auto"/>
        <w:right w:val="none" w:sz="0" w:space="0" w:color="auto"/>
      </w:divBdr>
    </w:div>
    <w:div w:id="1615206654">
      <w:bodyDiv w:val="1"/>
      <w:marLeft w:val="0"/>
      <w:marRight w:val="0"/>
      <w:marTop w:val="0"/>
      <w:marBottom w:val="0"/>
      <w:divBdr>
        <w:top w:val="none" w:sz="0" w:space="0" w:color="auto"/>
        <w:left w:val="none" w:sz="0" w:space="0" w:color="auto"/>
        <w:bottom w:val="none" w:sz="0" w:space="0" w:color="auto"/>
        <w:right w:val="none" w:sz="0" w:space="0" w:color="auto"/>
      </w:divBdr>
    </w:div>
    <w:div w:id="1615358331">
      <w:bodyDiv w:val="1"/>
      <w:marLeft w:val="0"/>
      <w:marRight w:val="0"/>
      <w:marTop w:val="0"/>
      <w:marBottom w:val="0"/>
      <w:divBdr>
        <w:top w:val="none" w:sz="0" w:space="0" w:color="auto"/>
        <w:left w:val="none" w:sz="0" w:space="0" w:color="auto"/>
        <w:bottom w:val="none" w:sz="0" w:space="0" w:color="auto"/>
        <w:right w:val="none" w:sz="0" w:space="0" w:color="auto"/>
      </w:divBdr>
    </w:div>
    <w:div w:id="1615791747">
      <w:bodyDiv w:val="1"/>
      <w:marLeft w:val="0"/>
      <w:marRight w:val="0"/>
      <w:marTop w:val="0"/>
      <w:marBottom w:val="0"/>
      <w:divBdr>
        <w:top w:val="none" w:sz="0" w:space="0" w:color="auto"/>
        <w:left w:val="none" w:sz="0" w:space="0" w:color="auto"/>
        <w:bottom w:val="none" w:sz="0" w:space="0" w:color="auto"/>
        <w:right w:val="none" w:sz="0" w:space="0" w:color="auto"/>
      </w:divBdr>
    </w:div>
    <w:div w:id="1616063030">
      <w:bodyDiv w:val="1"/>
      <w:marLeft w:val="0"/>
      <w:marRight w:val="0"/>
      <w:marTop w:val="0"/>
      <w:marBottom w:val="0"/>
      <w:divBdr>
        <w:top w:val="none" w:sz="0" w:space="0" w:color="auto"/>
        <w:left w:val="none" w:sz="0" w:space="0" w:color="auto"/>
        <w:bottom w:val="none" w:sz="0" w:space="0" w:color="auto"/>
        <w:right w:val="none" w:sz="0" w:space="0" w:color="auto"/>
      </w:divBdr>
    </w:div>
    <w:div w:id="1616063778">
      <w:bodyDiv w:val="1"/>
      <w:marLeft w:val="0"/>
      <w:marRight w:val="0"/>
      <w:marTop w:val="0"/>
      <w:marBottom w:val="0"/>
      <w:divBdr>
        <w:top w:val="none" w:sz="0" w:space="0" w:color="auto"/>
        <w:left w:val="none" w:sz="0" w:space="0" w:color="auto"/>
        <w:bottom w:val="none" w:sz="0" w:space="0" w:color="auto"/>
        <w:right w:val="none" w:sz="0" w:space="0" w:color="auto"/>
      </w:divBdr>
    </w:div>
    <w:div w:id="1616864355">
      <w:bodyDiv w:val="1"/>
      <w:marLeft w:val="0"/>
      <w:marRight w:val="0"/>
      <w:marTop w:val="0"/>
      <w:marBottom w:val="0"/>
      <w:divBdr>
        <w:top w:val="none" w:sz="0" w:space="0" w:color="auto"/>
        <w:left w:val="none" w:sz="0" w:space="0" w:color="auto"/>
        <w:bottom w:val="none" w:sz="0" w:space="0" w:color="auto"/>
        <w:right w:val="none" w:sz="0" w:space="0" w:color="auto"/>
      </w:divBdr>
    </w:div>
    <w:div w:id="1617055606">
      <w:bodyDiv w:val="1"/>
      <w:marLeft w:val="0"/>
      <w:marRight w:val="0"/>
      <w:marTop w:val="0"/>
      <w:marBottom w:val="0"/>
      <w:divBdr>
        <w:top w:val="none" w:sz="0" w:space="0" w:color="auto"/>
        <w:left w:val="none" w:sz="0" w:space="0" w:color="auto"/>
        <w:bottom w:val="none" w:sz="0" w:space="0" w:color="auto"/>
        <w:right w:val="none" w:sz="0" w:space="0" w:color="auto"/>
      </w:divBdr>
    </w:div>
    <w:div w:id="1617058888">
      <w:bodyDiv w:val="1"/>
      <w:marLeft w:val="0"/>
      <w:marRight w:val="0"/>
      <w:marTop w:val="0"/>
      <w:marBottom w:val="0"/>
      <w:divBdr>
        <w:top w:val="none" w:sz="0" w:space="0" w:color="auto"/>
        <w:left w:val="none" w:sz="0" w:space="0" w:color="auto"/>
        <w:bottom w:val="none" w:sz="0" w:space="0" w:color="auto"/>
        <w:right w:val="none" w:sz="0" w:space="0" w:color="auto"/>
      </w:divBdr>
    </w:div>
    <w:div w:id="1617759738">
      <w:bodyDiv w:val="1"/>
      <w:marLeft w:val="0"/>
      <w:marRight w:val="0"/>
      <w:marTop w:val="0"/>
      <w:marBottom w:val="0"/>
      <w:divBdr>
        <w:top w:val="none" w:sz="0" w:space="0" w:color="auto"/>
        <w:left w:val="none" w:sz="0" w:space="0" w:color="auto"/>
        <w:bottom w:val="none" w:sz="0" w:space="0" w:color="auto"/>
        <w:right w:val="none" w:sz="0" w:space="0" w:color="auto"/>
      </w:divBdr>
    </w:div>
    <w:div w:id="1617786781">
      <w:bodyDiv w:val="1"/>
      <w:marLeft w:val="0"/>
      <w:marRight w:val="0"/>
      <w:marTop w:val="0"/>
      <w:marBottom w:val="0"/>
      <w:divBdr>
        <w:top w:val="none" w:sz="0" w:space="0" w:color="auto"/>
        <w:left w:val="none" w:sz="0" w:space="0" w:color="auto"/>
        <w:bottom w:val="none" w:sz="0" w:space="0" w:color="auto"/>
        <w:right w:val="none" w:sz="0" w:space="0" w:color="auto"/>
      </w:divBdr>
    </w:div>
    <w:div w:id="1617982025">
      <w:bodyDiv w:val="1"/>
      <w:marLeft w:val="0"/>
      <w:marRight w:val="0"/>
      <w:marTop w:val="0"/>
      <w:marBottom w:val="0"/>
      <w:divBdr>
        <w:top w:val="none" w:sz="0" w:space="0" w:color="auto"/>
        <w:left w:val="none" w:sz="0" w:space="0" w:color="auto"/>
        <w:bottom w:val="none" w:sz="0" w:space="0" w:color="auto"/>
        <w:right w:val="none" w:sz="0" w:space="0" w:color="auto"/>
      </w:divBdr>
    </w:div>
    <w:div w:id="1618177792">
      <w:bodyDiv w:val="1"/>
      <w:marLeft w:val="0"/>
      <w:marRight w:val="0"/>
      <w:marTop w:val="0"/>
      <w:marBottom w:val="0"/>
      <w:divBdr>
        <w:top w:val="none" w:sz="0" w:space="0" w:color="auto"/>
        <w:left w:val="none" w:sz="0" w:space="0" w:color="auto"/>
        <w:bottom w:val="none" w:sz="0" w:space="0" w:color="auto"/>
        <w:right w:val="none" w:sz="0" w:space="0" w:color="auto"/>
      </w:divBdr>
    </w:div>
    <w:div w:id="1618440608">
      <w:bodyDiv w:val="1"/>
      <w:marLeft w:val="0"/>
      <w:marRight w:val="0"/>
      <w:marTop w:val="0"/>
      <w:marBottom w:val="0"/>
      <w:divBdr>
        <w:top w:val="none" w:sz="0" w:space="0" w:color="auto"/>
        <w:left w:val="none" w:sz="0" w:space="0" w:color="auto"/>
        <w:bottom w:val="none" w:sz="0" w:space="0" w:color="auto"/>
        <w:right w:val="none" w:sz="0" w:space="0" w:color="auto"/>
      </w:divBdr>
    </w:div>
    <w:div w:id="1619097802">
      <w:bodyDiv w:val="1"/>
      <w:marLeft w:val="0"/>
      <w:marRight w:val="0"/>
      <w:marTop w:val="0"/>
      <w:marBottom w:val="0"/>
      <w:divBdr>
        <w:top w:val="none" w:sz="0" w:space="0" w:color="auto"/>
        <w:left w:val="none" w:sz="0" w:space="0" w:color="auto"/>
        <w:bottom w:val="none" w:sz="0" w:space="0" w:color="auto"/>
        <w:right w:val="none" w:sz="0" w:space="0" w:color="auto"/>
      </w:divBdr>
    </w:div>
    <w:div w:id="1619487457">
      <w:bodyDiv w:val="1"/>
      <w:marLeft w:val="0"/>
      <w:marRight w:val="0"/>
      <w:marTop w:val="0"/>
      <w:marBottom w:val="0"/>
      <w:divBdr>
        <w:top w:val="none" w:sz="0" w:space="0" w:color="auto"/>
        <w:left w:val="none" w:sz="0" w:space="0" w:color="auto"/>
        <w:bottom w:val="none" w:sz="0" w:space="0" w:color="auto"/>
        <w:right w:val="none" w:sz="0" w:space="0" w:color="auto"/>
      </w:divBdr>
    </w:div>
    <w:div w:id="1619994797">
      <w:bodyDiv w:val="1"/>
      <w:marLeft w:val="0"/>
      <w:marRight w:val="0"/>
      <w:marTop w:val="0"/>
      <w:marBottom w:val="0"/>
      <w:divBdr>
        <w:top w:val="none" w:sz="0" w:space="0" w:color="auto"/>
        <w:left w:val="none" w:sz="0" w:space="0" w:color="auto"/>
        <w:bottom w:val="none" w:sz="0" w:space="0" w:color="auto"/>
        <w:right w:val="none" w:sz="0" w:space="0" w:color="auto"/>
      </w:divBdr>
    </w:div>
    <w:div w:id="1620333115">
      <w:bodyDiv w:val="1"/>
      <w:marLeft w:val="0"/>
      <w:marRight w:val="0"/>
      <w:marTop w:val="0"/>
      <w:marBottom w:val="0"/>
      <w:divBdr>
        <w:top w:val="none" w:sz="0" w:space="0" w:color="auto"/>
        <w:left w:val="none" w:sz="0" w:space="0" w:color="auto"/>
        <w:bottom w:val="none" w:sz="0" w:space="0" w:color="auto"/>
        <w:right w:val="none" w:sz="0" w:space="0" w:color="auto"/>
      </w:divBdr>
    </w:div>
    <w:div w:id="1620378759">
      <w:bodyDiv w:val="1"/>
      <w:marLeft w:val="0"/>
      <w:marRight w:val="0"/>
      <w:marTop w:val="0"/>
      <w:marBottom w:val="0"/>
      <w:divBdr>
        <w:top w:val="none" w:sz="0" w:space="0" w:color="auto"/>
        <w:left w:val="none" w:sz="0" w:space="0" w:color="auto"/>
        <w:bottom w:val="none" w:sz="0" w:space="0" w:color="auto"/>
        <w:right w:val="none" w:sz="0" w:space="0" w:color="auto"/>
      </w:divBdr>
    </w:div>
    <w:div w:id="1620993749">
      <w:bodyDiv w:val="1"/>
      <w:marLeft w:val="0"/>
      <w:marRight w:val="0"/>
      <w:marTop w:val="0"/>
      <w:marBottom w:val="0"/>
      <w:divBdr>
        <w:top w:val="none" w:sz="0" w:space="0" w:color="auto"/>
        <w:left w:val="none" w:sz="0" w:space="0" w:color="auto"/>
        <w:bottom w:val="none" w:sz="0" w:space="0" w:color="auto"/>
        <w:right w:val="none" w:sz="0" w:space="0" w:color="auto"/>
      </w:divBdr>
    </w:div>
    <w:div w:id="1621033681">
      <w:bodyDiv w:val="1"/>
      <w:marLeft w:val="0"/>
      <w:marRight w:val="0"/>
      <w:marTop w:val="0"/>
      <w:marBottom w:val="0"/>
      <w:divBdr>
        <w:top w:val="none" w:sz="0" w:space="0" w:color="auto"/>
        <w:left w:val="none" w:sz="0" w:space="0" w:color="auto"/>
        <w:bottom w:val="none" w:sz="0" w:space="0" w:color="auto"/>
        <w:right w:val="none" w:sz="0" w:space="0" w:color="auto"/>
      </w:divBdr>
    </w:div>
    <w:div w:id="1621915511">
      <w:bodyDiv w:val="1"/>
      <w:marLeft w:val="0"/>
      <w:marRight w:val="0"/>
      <w:marTop w:val="0"/>
      <w:marBottom w:val="0"/>
      <w:divBdr>
        <w:top w:val="none" w:sz="0" w:space="0" w:color="auto"/>
        <w:left w:val="none" w:sz="0" w:space="0" w:color="auto"/>
        <w:bottom w:val="none" w:sz="0" w:space="0" w:color="auto"/>
        <w:right w:val="none" w:sz="0" w:space="0" w:color="auto"/>
      </w:divBdr>
    </w:div>
    <w:div w:id="1622416066">
      <w:bodyDiv w:val="1"/>
      <w:marLeft w:val="0"/>
      <w:marRight w:val="0"/>
      <w:marTop w:val="0"/>
      <w:marBottom w:val="0"/>
      <w:divBdr>
        <w:top w:val="none" w:sz="0" w:space="0" w:color="auto"/>
        <w:left w:val="none" w:sz="0" w:space="0" w:color="auto"/>
        <w:bottom w:val="none" w:sz="0" w:space="0" w:color="auto"/>
        <w:right w:val="none" w:sz="0" w:space="0" w:color="auto"/>
      </w:divBdr>
    </w:div>
    <w:div w:id="1622493900">
      <w:bodyDiv w:val="1"/>
      <w:marLeft w:val="0"/>
      <w:marRight w:val="0"/>
      <w:marTop w:val="0"/>
      <w:marBottom w:val="0"/>
      <w:divBdr>
        <w:top w:val="none" w:sz="0" w:space="0" w:color="auto"/>
        <w:left w:val="none" w:sz="0" w:space="0" w:color="auto"/>
        <w:bottom w:val="none" w:sz="0" w:space="0" w:color="auto"/>
        <w:right w:val="none" w:sz="0" w:space="0" w:color="auto"/>
      </w:divBdr>
    </w:div>
    <w:div w:id="1622541214">
      <w:bodyDiv w:val="1"/>
      <w:marLeft w:val="0"/>
      <w:marRight w:val="0"/>
      <w:marTop w:val="0"/>
      <w:marBottom w:val="0"/>
      <w:divBdr>
        <w:top w:val="none" w:sz="0" w:space="0" w:color="auto"/>
        <w:left w:val="none" w:sz="0" w:space="0" w:color="auto"/>
        <w:bottom w:val="none" w:sz="0" w:space="0" w:color="auto"/>
        <w:right w:val="none" w:sz="0" w:space="0" w:color="auto"/>
      </w:divBdr>
    </w:div>
    <w:div w:id="1623195733">
      <w:bodyDiv w:val="1"/>
      <w:marLeft w:val="0"/>
      <w:marRight w:val="0"/>
      <w:marTop w:val="0"/>
      <w:marBottom w:val="0"/>
      <w:divBdr>
        <w:top w:val="none" w:sz="0" w:space="0" w:color="auto"/>
        <w:left w:val="none" w:sz="0" w:space="0" w:color="auto"/>
        <w:bottom w:val="none" w:sz="0" w:space="0" w:color="auto"/>
        <w:right w:val="none" w:sz="0" w:space="0" w:color="auto"/>
      </w:divBdr>
    </w:div>
    <w:div w:id="1623264098">
      <w:bodyDiv w:val="1"/>
      <w:marLeft w:val="0"/>
      <w:marRight w:val="0"/>
      <w:marTop w:val="0"/>
      <w:marBottom w:val="0"/>
      <w:divBdr>
        <w:top w:val="none" w:sz="0" w:space="0" w:color="auto"/>
        <w:left w:val="none" w:sz="0" w:space="0" w:color="auto"/>
        <w:bottom w:val="none" w:sz="0" w:space="0" w:color="auto"/>
        <w:right w:val="none" w:sz="0" w:space="0" w:color="auto"/>
      </w:divBdr>
    </w:div>
    <w:div w:id="1623267547">
      <w:bodyDiv w:val="1"/>
      <w:marLeft w:val="0"/>
      <w:marRight w:val="0"/>
      <w:marTop w:val="0"/>
      <w:marBottom w:val="0"/>
      <w:divBdr>
        <w:top w:val="none" w:sz="0" w:space="0" w:color="auto"/>
        <w:left w:val="none" w:sz="0" w:space="0" w:color="auto"/>
        <w:bottom w:val="none" w:sz="0" w:space="0" w:color="auto"/>
        <w:right w:val="none" w:sz="0" w:space="0" w:color="auto"/>
      </w:divBdr>
    </w:div>
    <w:div w:id="1623345299">
      <w:bodyDiv w:val="1"/>
      <w:marLeft w:val="0"/>
      <w:marRight w:val="0"/>
      <w:marTop w:val="0"/>
      <w:marBottom w:val="0"/>
      <w:divBdr>
        <w:top w:val="none" w:sz="0" w:space="0" w:color="auto"/>
        <w:left w:val="none" w:sz="0" w:space="0" w:color="auto"/>
        <w:bottom w:val="none" w:sz="0" w:space="0" w:color="auto"/>
        <w:right w:val="none" w:sz="0" w:space="0" w:color="auto"/>
      </w:divBdr>
    </w:div>
    <w:div w:id="1623614037">
      <w:bodyDiv w:val="1"/>
      <w:marLeft w:val="0"/>
      <w:marRight w:val="0"/>
      <w:marTop w:val="0"/>
      <w:marBottom w:val="0"/>
      <w:divBdr>
        <w:top w:val="none" w:sz="0" w:space="0" w:color="auto"/>
        <w:left w:val="none" w:sz="0" w:space="0" w:color="auto"/>
        <w:bottom w:val="none" w:sz="0" w:space="0" w:color="auto"/>
        <w:right w:val="none" w:sz="0" w:space="0" w:color="auto"/>
      </w:divBdr>
    </w:div>
    <w:div w:id="1624187896">
      <w:bodyDiv w:val="1"/>
      <w:marLeft w:val="0"/>
      <w:marRight w:val="0"/>
      <w:marTop w:val="0"/>
      <w:marBottom w:val="0"/>
      <w:divBdr>
        <w:top w:val="none" w:sz="0" w:space="0" w:color="auto"/>
        <w:left w:val="none" w:sz="0" w:space="0" w:color="auto"/>
        <w:bottom w:val="none" w:sz="0" w:space="0" w:color="auto"/>
        <w:right w:val="none" w:sz="0" w:space="0" w:color="auto"/>
      </w:divBdr>
    </w:div>
    <w:div w:id="1624648447">
      <w:bodyDiv w:val="1"/>
      <w:marLeft w:val="0"/>
      <w:marRight w:val="0"/>
      <w:marTop w:val="0"/>
      <w:marBottom w:val="0"/>
      <w:divBdr>
        <w:top w:val="none" w:sz="0" w:space="0" w:color="auto"/>
        <w:left w:val="none" w:sz="0" w:space="0" w:color="auto"/>
        <w:bottom w:val="none" w:sz="0" w:space="0" w:color="auto"/>
        <w:right w:val="none" w:sz="0" w:space="0" w:color="auto"/>
      </w:divBdr>
    </w:div>
    <w:div w:id="1625193796">
      <w:bodyDiv w:val="1"/>
      <w:marLeft w:val="0"/>
      <w:marRight w:val="0"/>
      <w:marTop w:val="0"/>
      <w:marBottom w:val="0"/>
      <w:divBdr>
        <w:top w:val="none" w:sz="0" w:space="0" w:color="auto"/>
        <w:left w:val="none" w:sz="0" w:space="0" w:color="auto"/>
        <w:bottom w:val="none" w:sz="0" w:space="0" w:color="auto"/>
        <w:right w:val="none" w:sz="0" w:space="0" w:color="auto"/>
      </w:divBdr>
    </w:div>
    <w:div w:id="1626499193">
      <w:bodyDiv w:val="1"/>
      <w:marLeft w:val="0"/>
      <w:marRight w:val="0"/>
      <w:marTop w:val="0"/>
      <w:marBottom w:val="0"/>
      <w:divBdr>
        <w:top w:val="none" w:sz="0" w:space="0" w:color="auto"/>
        <w:left w:val="none" w:sz="0" w:space="0" w:color="auto"/>
        <w:bottom w:val="none" w:sz="0" w:space="0" w:color="auto"/>
        <w:right w:val="none" w:sz="0" w:space="0" w:color="auto"/>
      </w:divBdr>
    </w:div>
    <w:div w:id="1626614492">
      <w:bodyDiv w:val="1"/>
      <w:marLeft w:val="0"/>
      <w:marRight w:val="0"/>
      <w:marTop w:val="0"/>
      <w:marBottom w:val="0"/>
      <w:divBdr>
        <w:top w:val="none" w:sz="0" w:space="0" w:color="auto"/>
        <w:left w:val="none" w:sz="0" w:space="0" w:color="auto"/>
        <w:bottom w:val="none" w:sz="0" w:space="0" w:color="auto"/>
        <w:right w:val="none" w:sz="0" w:space="0" w:color="auto"/>
      </w:divBdr>
    </w:div>
    <w:div w:id="1627660409">
      <w:bodyDiv w:val="1"/>
      <w:marLeft w:val="0"/>
      <w:marRight w:val="0"/>
      <w:marTop w:val="0"/>
      <w:marBottom w:val="0"/>
      <w:divBdr>
        <w:top w:val="none" w:sz="0" w:space="0" w:color="auto"/>
        <w:left w:val="none" w:sz="0" w:space="0" w:color="auto"/>
        <w:bottom w:val="none" w:sz="0" w:space="0" w:color="auto"/>
        <w:right w:val="none" w:sz="0" w:space="0" w:color="auto"/>
      </w:divBdr>
    </w:div>
    <w:div w:id="1627661504">
      <w:bodyDiv w:val="1"/>
      <w:marLeft w:val="0"/>
      <w:marRight w:val="0"/>
      <w:marTop w:val="0"/>
      <w:marBottom w:val="0"/>
      <w:divBdr>
        <w:top w:val="none" w:sz="0" w:space="0" w:color="auto"/>
        <w:left w:val="none" w:sz="0" w:space="0" w:color="auto"/>
        <w:bottom w:val="none" w:sz="0" w:space="0" w:color="auto"/>
        <w:right w:val="none" w:sz="0" w:space="0" w:color="auto"/>
      </w:divBdr>
    </w:div>
    <w:div w:id="1627732889">
      <w:bodyDiv w:val="1"/>
      <w:marLeft w:val="0"/>
      <w:marRight w:val="0"/>
      <w:marTop w:val="0"/>
      <w:marBottom w:val="0"/>
      <w:divBdr>
        <w:top w:val="none" w:sz="0" w:space="0" w:color="auto"/>
        <w:left w:val="none" w:sz="0" w:space="0" w:color="auto"/>
        <w:bottom w:val="none" w:sz="0" w:space="0" w:color="auto"/>
        <w:right w:val="none" w:sz="0" w:space="0" w:color="auto"/>
      </w:divBdr>
    </w:div>
    <w:div w:id="1628127377">
      <w:bodyDiv w:val="1"/>
      <w:marLeft w:val="0"/>
      <w:marRight w:val="0"/>
      <w:marTop w:val="0"/>
      <w:marBottom w:val="0"/>
      <w:divBdr>
        <w:top w:val="none" w:sz="0" w:space="0" w:color="auto"/>
        <w:left w:val="none" w:sz="0" w:space="0" w:color="auto"/>
        <w:bottom w:val="none" w:sz="0" w:space="0" w:color="auto"/>
        <w:right w:val="none" w:sz="0" w:space="0" w:color="auto"/>
      </w:divBdr>
    </w:div>
    <w:div w:id="1628200081">
      <w:bodyDiv w:val="1"/>
      <w:marLeft w:val="0"/>
      <w:marRight w:val="0"/>
      <w:marTop w:val="0"/>
      <w:marBottom w:val="0"/>
      <w:divBdr>
        <w:top w:val="none" w:sz="0" w:space="0" w:color="auto"/>
        <w:left w:val="none" w:sz="0" w:space="0" w:color="auto"/>
        <w:bottom w:val="none" w:sz="0" w:space="0" w:color="auto"/>
        <w:right w:val="none" w:sz="0" w:space="0" w:color="auto"/>
      </w:divBdr>
    </w:div>
    <w:div w:id="1628200909">
      <w:bodyDiv w:val="1"/>
      <w:marLeft w:val="0"/>
      <w:marRight w:val="0"/>
      <w:marTop w:val="0"/>
      <w:marBottom w:val="0"/>
      <w:divBdr>
        <w:top w:val="none" w:sz="0" w:space="0" w:color="auto"/>
        <w:left w:val="none" w:sz="0" w:space="0" w:color="auto"/>
        <w:bottom w:val="none" w:sz="0" w:space="0" w:color="auto"/>
        <w:right w:val="none" w:sz="0" w:space="0" w:color="auto"/>
      </w:divBdr>
    </w:div>
    <w:div w:id="1628201758">
      <w:bodyDiv w:val="1"/>
      <w:marLeft w:val="0"/>
      <w:marRight w:val="0"/>
      <w:marTop w:val="0"/>
      <w:marBottom w:val="0"/>
      <w:divBdr>
        <w:top w:val="none" w:sz="0" w:space="0" w:color="auto"/>
        <w:left w:val="none" w:sz="0" w:space="0" w:color="auto"/>
        <w:bottom w:val="none" w:sz="0" w:space="0" w:color="auto"/>
        <w:right w:val="none" w:sz="0" w:space="0" w:color="auto"/>
      </w:divBdr>
    </w:div>
    <w:div w:id="1629118330">
      <w:bodyDiv w:val="1"/>
      <w:marLeft w:val="0"/>
      <w:marRight w:val="0"/>
      <w:marTop w:val="0"/>
      <w:marBottom w:val="0"/>
      <w:divBdr>
        <w:top w:val="none" w:sz="0" w:space="0" w:color="auto"/>
        <w:left w:val="none" w:sz="0" w:space="0" w:color="auto"/>
        <w:bottom w:val="none" w:sz="0" w:space="0" w:color="auto"/>
        <w:right w:val="none" w:sz="0" w:space="0" w:color="auto"/>
      </w:divBdr>
    </w:div>
    <w:div w:id="1629896843">
      <w:bodyDiv w:val="1"/>
      <w:marLeft w:val="0"/>
      <w:marRight w:val="0"/>
      <w:marTop w:val="0"/>
      <w:marBottom w:val="0"/>
      <w:divBdr>
        <w:top w:val="none" w:sz="0" w:space="0" w:color="auto"/>
        <w:left w:val="none" w:sz="0" w:space="0" w:color="auto"/>
        <w:bottom w:val="none" w:sz="0" w:space="0" w:color="auto"/>
        <w:right w:val="none" w:sz="0" w:space="0" w:color="auto"/>
      </w:divBdr>
    </w:div>
    <w:div w:id="1630012307">
      <w:bodyDiv w:val="1"/>
      <w:marLeft w:val="0"/>
      <w:marRight w:val="0"/>
      <w:marTop w:val="0"/>
      <w:marBottom w:val="0"/>
      <w:divBdr>
        <w:top w:val="none" w:sz="0" w:space="0" w:color="auto"/>
        <w:left w:val="none" w:sz="0" w:space="0" w:color="auto"/>
        <w:bottom w:val="none" w:sz="0" w:space="0" w:color="auto"/>
        <w:right w:val="none" w:sz="0" w:space="0" w:color="auto"/>
      </w:divBdr>
    </w:div>
    <w:div w:id="1630428348">
      <w:bodyDiv w:val="1"/>
      <w:marLeft w:val="0"/>
      <w:marRight w:val="0"/>
      <w:marTop w:val="0"/>
      <w:marBottom w:val="0"/>
      <w:divBdr>
        <w:top w:val="none" w:sz="0" w:space="0" w:color="auto"/>
        <w:left w:val="none" w:sz="0" w:space="0" w:color="auto"/>
        <w:bottom w:val="none" w:sz="0" w:space="0" w:color="auto"/>
        <w:right w:val="none" w:sz="0" w:space="0" w:color="auto"/>
      </w:divBdr>
    </w:div>
    <w:div w:id="1630893550">
      <w:bodyDiv w:val="1"/>
      <w:marLeft w:val="0"/>
      <w:marRight w:val="0"/>
      <w:marTop w:val="0"/>
      <w:marBottom w:val="0"/>
      <w:divBdr>
        <w:top w:val="none" w:sz="0" w:space="0" w:color="auto"/>
        <w:left w:val="none" w:sz="0" w:space="0" w:color="auto"/>
        <w:bottom w:val="none" w:sz="0" w:space="0" w:color="auto"/>
        <w:right w:val="none" w:sz="0" w:space="0" w:color="auto"/>
      </w:divBdr>
    </w:div>
    <w:div w:id="1630935875">
      <w:bodyDiv w:val="1"/>
      <w:marLeft w:val="0"/>
      <w:marRight w:val="0"/>
      <w:marTop w:val="0"/>
      <w:marBottom w:val="0"/>
      <w:divBdr>
        <w:top w:val="none" w:sz="0" w:space="0" w:color="auto"/>
        <w:left w:val="none" w:sz="0" w:space="0" w:color="auto"/>
        <w:bottom w:val="none" w:sz="0" w:space="0" w:color="auto"/>
        <w:right w:val="none" w:sz="0" w:space="0" w:color="auto"/>
      </w:divBdr>
    </w:div>
    <w:div w:id="1631280714">
      <w:bodyDiv w:val="1"/>
      <w:marLeft w:val="0"/>
      <w:marRight w:val="0"/>
      <w:marTop w:val="0"/>
      <w:marBottom w:val="0"/>
      <w:divBdr>
        <w:top w:val="none" w:sz="0" w:space="0" w:color="auto"/>
        <w:left w:val="none" w:sz="0" w:space="0" w:color="auto"/>
        <w:bottom w:val="none" w:sz="0" w:space="0" w:color="auto"/>
        <w:right w:val="none" w:sz="0" w:space="0" w:color="auto"/>
      </w:divBdr>
    </w:div>
    <w:div w:id="1631588456">
      <w:bodyDiv w:val="1"/>
      <w:marLeft w:val="0"/>
      <w:marRight w:val="0"/>
      <w:marTop w:val="0"/>
      <w:marBottom w:val="0"/>
      <w:divBdr>
        <w:top w:val="none" w:sz="0" w:space="0" w:color="auto"/>
        <w:left w:val="none" w:sz="0" w:space="0" w:color="auto"/>
        <w:bottom w:val="none" w:sz="0" w:space="0" w:color="auto"/>
        <w:right w:val="none" w:sz="0" w:space="0" w:color="auto"/>
      </w:divBdr>
    </w:div>
    <w:div w:id="1632175695">
      <w:bodyDiv w:val="1"/>
      <w:marLeft w:val="0"/>
      <w:marRight w:val="0"/>
      <w:marTop w:val="0"/>
      <w:marBottom w:val="0"/>
      <w:divBdr>
        <w:top w:val="none" w:sz="0" w:space="0" w:color="auto"/>
        <w:left w:val="none" w:sz="0" w:space="0" w:color="auto"/>
        <w:bottom w:val="none" w:sz="0" w:space="0" w:color="auto"/>
        <w:right w:val="none" w:sz="0" w:space="0" w:color="auto"/>
      </w:divBdr>
    </w:div>
    <w:div w:id="1632975796">
      <w:bodyDiv w:val="1"/>
      <w:marLeft w:val="0"/>
      <w:marRight w:val="0"/>
      <w:marTop w:val="0"/>
      <w:marBottom w:val="0"/>
      <w:divBdr>
        <w:top w:val="none" w:sz="0" w:space="0" w:color="auto"/>
        <w:left w:val="none" w:sz="0" w:space="0" w:color="auto"/>
        <w:bottom w:val="none" w:sz="0" w:space="0" w:color="auto"/>
        <w:right w:val="none" w:sz="0" w:space="0" w:color="auto"/>
      </w:divBdr>
    </w:div>
    <w:div w:id="1633368769">
      <w:bodyDiv w:val="1"/>
      <w:marLeft w:val="0"/>
      <w:marRight w:val="0"/>
      <w:marTop w:val="0"/>
      <w:marBottom w:val="0"/>
      <w:divBdr>
        <w:top w:val="none" w:sz="0" w:space="0" w:color="auto"/>
        <w:left w:val="none" w:sz="0" w:space="0" w:color="auto"/>
        <w:bottom w:val="none" w:sz="0" w:space="0" w:color="auto"/>
        <w:right w:val="none" w:sz="0" w:space="0" w:color="auto"/>
      </w:divBdr>
    </w:div>
    <w:div w:id="1633831088">
      <w:bodyDiv w:val="1"/>
      <w:marLeft w:val="0"/>
      <w:marRight w:val="0"/>
      <w:marTop w:val="0"/>
      <w:marBottom w:val="0"/>
      <w:divBdr>
        <w:top w:val="none" w:sz="0" w:space="0" w:color="auto"/>
        <w:left w:val="none" w:sz="0" w:space="0" w:color="auto"/>
        <w:bottom w:val="none" w:sz="0" w:space="0" w:color="auto"/>
        <w:right w:val="none" w:sz="0" w:space="0" w:color="auto"/>
      </w:divBdr>
    </w:div>
    <w:div w:id="1634407679">
      <w:bodyDiv w:val="1"/>
      <w:marLeft w:val="0"/>
      <w:marRight w:val="0"/>
      <w:marTop w:val="0"/>
      <w:marBottom w:val="0"/>
      <w:divBdr>
        <w:top w:val="none" w:sz="0" w:space="0" w:color="auto"/>
        <w:left w:val="none" w:sz="0" w:space="0" w:color="auto"/>
        <w:bottom w:val="none" w:sz="0" w:space="0" w:color="auto"/>
        <w:right w:val="none" w:sz="0" w:space="0" w:color="auto"/>
      </w:divBdr>
    </w:div>
    <w:div w:id="1634827926">
      <w:bodyDiv w:val="1"/>
      <w:marLeft w:val="0"/>
      <w:marRight w:val="0"/>
      <w:marTop w:val="0"/>
      <w:marBottom w:val="0"/>
      <w:divBdr>
        <w:top w:val="none" w:sz="0" w:space="0" w:color="auto"/>
        <w:left w:val="none" w:sz="0" w:space="0" w:color="auto"/>
        <w:bottom w:val="none" w:sz="0" w:space="0" w:color="auto"/>
        <w:right w:val="none" w:sz="0" w:space="0" w:color="auto"/>
      </w:divBdr>
    </w:div>
    <w:div w:id="1634867693">
      <w:bodyDiv w:val="1"/>
      <w:marLeft w:val="0"/>
      <w:marRight w:val="0"/>
      <w:marTop w:val="0"/>
      <w:marBottom w:val="0"/>
      <w:divBdr>
        <w:top w:val="none" w:sz="0" w:space="0" w:color="auto"/>
        <w:left w:val="none" w:sz="0" w:space="0" w:color="auto"/>
        <w:bottom w:val="none" w:sz="0" w:space="0" w:color="auto"/>
        <w:right w:val="none" w:sz="0" w:space="0" w:color="auto"/>
      </w:divBdr>
    </w:div>
    <w:div w:id="1635209123">
      <w:bodyDiv w:val="1"/>
      <w:marLeft w:val="0"/>
      <w:marRight w:val="0"/>
      <w:marTop w:val="0"/>
      <w:marBottom w:val="0"/>
      <w:divBdr>
        <w:top w:val="none" w:sz="0" w:space="0" w:color="auto"/>
        <w:left w:val="none" w:sz="0" w:space="0" w:color="auto"/>
        <w:bottom w:val="none" w:sz="0" w:space="0" w:color="auto"/>
        <w:right w:val="none" w:sz="0" w:space="0" w:color="auto"/>
      </w:divBdr>
    </w:div>
    <w:div w:id="1635258884">
      <w:bodyDiv w:val="1"/>
      <w:marLeft w:val="0"/>
      <w:marRight w:val="0"/>
      <w:marTop w:val="0"/>
      <w:marBottom w:val="0"/>
      <w:divBdr>
        <w:top w:val="none" w:sz="0" w:space="0" w:color="auto"/>
        <w:left w:val="none" w:sz="0" w:space="0" w:color="auto"/>
        <w:bottom w:val="none" w:sz="0" w:space="0" w:color="auto"/>
        <w:right w:val="none" w:sz="0" w:space="0" w:color="auto"/>
      </w:divBdr>
    </w:div>
    <w:div w:id="1635331209">
      <w:bodyDiv w:val="1"/>
      <w:marLeft w:val="0"/>
      <w:marRight w:val="0"/>
      <w:marTop w:val="0"/>
      <w:marBottom w:val="0"/>
      <w:divBdr>
        <w:top w:val="none" w:sz="0" w:space="0" w:color="auto"/>
        <w:left w:val="none" w:sz="0" w:space="0" w:color="auto"/>
        <w:bottom w:val="none" w:sz="0" w:space="0" w:color="auto"/>
        <w:right w:val="none" w:sz="0" w:space="0" w:color="auto"/>
      </w:divBdr>
    </w:div>
    <w:div w:id="1635678097">
      <w:bodyDiv w:val="1"/>
      <w:marLeft w:val="0"/>
      <w:marRight w:val="0"/>
      <w:marTop w:val="0"/>
      <w:marBottom w:val="0"/>
      <w:divBdr>
        <w:top w:val="none" w:sz="0" w:space="0" w:color="auto"/>
        <w:left w:val="none" w:sz="0" w:space="0" w:color="auto"/>
        <w:bottom w:val="none" w:sz="0" w:space="0" w:color="auto"/>
        <w:right w:val="none" w:sz="0" w:space="0" w:color="auto"/>
      </w:divBdr>
    </w:div>
    <w:div w:id="1636134876">
      <w:bodyDiv w:val="1"/>
      <w:marLeft w:val="0"/>
      <w:marRight w:val="0"/>
      <w:marTop w:val="0"/>
      <w:marBottom w:val="0"/>
      <w:divBdr>
        <w:top w:val="none" w:sz="0" w:space="0" w:color="auto"/>
        <w:left w:val="none" w:sz="0" w:space="0" w:color="auto"/>
        <w:bottom w:val="none" w:sz="0" w:space="0" w:color="auto"/>
        <w:right w:val="none" w:sz="0" w:space="0" w:color="auto"/>
      </w:divBdr>
    </w:div>
    <w:div w:id="1636448115">
      <w:bodyDiv w:val="1"/>
      <w:marLeft w:val="0"/>
      <w:marRight w:val="0"/>
      <w:marTop w:val="0"/>
      <w:marBottom w:val="0"/>
      <w:divBdr>
        <w:top w:val="none" w:sz="0" w:space="0" w:color="auto"/>
        <w:left w:val="none" w:sz="0" w:space="0" w:color="auto"/>
        <w:bottom w:val="none" w:sz="0" w:space="0" w:color="auto"/>
        <w:right w:val="none" w:sz="0" w:space="0" w:color="auto"/>
      </w:divBdr>
    </w:div>
    <w:div w:id="1636717236">
      <w:bodyDiv w:val="1"/>
      <w:marLeft w:val="0"/>
      <w:marRight w:val="0"/>
      <w:marTop w:val="0"/>
      <w:marBottom w:val="0"/>
      <w:divBdr>
        <w:top w:val="none" w:sz="0" w:space="0" w:color="auto"/>
        <w:left w:val="none" w:sz="0" w:space="0" w:color="auto"/>
        <w:bottom w:val="none" w:sz="0" w:space="0" w:color="auto"/>
        <w:right w:val="none" w:sz="0" w:space="0" w:color="auto"/>
      </w:divBdr>
    </w:div>
    <w:div w:id="1636763668">
      <w:bodyDiv w:val="1"/>
      <w:marLeft w:val="0"/>
      <w:marRight w:val="0"/>
      <w:marTop w:val="0"/>
      <w:marBottom w:val="0"/>
      <w:divBdr>
        <w:top w:val="none" w:sz="0" w:space="0" w:color="auto"/>
        <w:left w:val="none" w:sz="0" w:space="0" w:color="auto"/>
        <w:bottom w:val="none" w:sz="0" w:space="0" w:color="auto"/>
        <w:right w:val="none" w:sz="0" w:space="0" w:color="auto"/>
      </w:divBdr>
    </w:div>
    <w:div w:id="1636838318">
      <w:bodyDiv w:val="1"/>
      <w:marLeft w:val="0"/>
      <w:marRight w:val="0"/>
      <w:marTop w:val="0"/>
      <w:marBottom w:val="0"/>
      <w:divBdr>
        <w:top w:val="none" w:sz="0" w:space="0" w:color="auto"/>
        <w:left w:val="none" w:sz="0" w:space="0" w:color="auto"/>
        <w:bottom w:val="none" w:sz="0" w:space="0" w:color="auto"/>
        <w:right w:val="none" w:sz="0" w:space="0" w:color="auto"/>
      </w:divBdr>
    </w:div>
    <w:div w:id="1637374430">
      <w:bodyDiv w:val="1"/>
      <w:marLeft w:val="0"/>
      <w:marRight w:val="0"/>
      <w:marTop w:val="0"/>
      <w:marBottom w:val="0"/>
      <w:divBdr>
        <w:top w:val="none" w:sz="0" w:space="0" w:color="auto"/>
        <w:left w:val="none" w:sz="0" w:space="0" w:color="auto"/>
        <w:bottom w:val="none" w:sz="0" w:space="0" w:color="auto"/>
        <w:right w:val="none" w:sz="0" w:space="0" w:color="auto"/>
      </w:divBdr>
    </w:div>
    <w:div w:id="1637486941">
      <w:bodyDiv w:val="1"/>
      <w:marLeft w:val="0"/>
      <w:marRight w:val="0"/>
      <w:marTop w:val="0"/>
      <w:marBottom w:val="0"/>
      <w:divBdr>
        <w:top w:val="none" w:sz="0" w:space="0" w:color="auto"/>
        <w:left w:val="none" w:sz="0" w:space="0" w:color="auto"/>
        <w:bottom w:val="none" w:sz="0" w:space="0" w:color="auto"/>
        <w:right w:val="none" w:sz="0" w:space="0" w:color="auto"/>
      </w:divBdr>
    </w:div>
    <w:div w:id="1637754375">
      <w:bodyDiv w:val="1"/>
      <w:marLeft w:val="0"/>
      <w:marRight w:val="0"/>
      <w:marTop w:val="0"/>
      <w:marBottom w:val="0"/>
      <w:divBdr>
        <w:top w:val="none" w:sz="0" w:space="0" w:color="auto"/>
        <w:left w:val="none" w:sz="0" w:space="0" w:color="auto"/>
        <w:bottom w:val="none" w:sz="0" w:space="0" w:color="auto"/>
        <w:right w:val="none" w:sz="0" w:space="0" w:color="auto"/>
      </w:divBdr>
    </w:div>
    <w:div w:id="1637906032">
      <w:bodyDiv w:val="1"/>
      <w:marLeft w:val="0"/>
      <w:marRight w:val="0"/>
      <w:marTop w:val="0"/>
      <w:marBottom w:val="0"/>
      <w:divBdr>
        <w:top w:val="none" w:sz="0" w:space="0" w:color="auto"/>
        <w:left w:val="none" w:sz="0" w:space="0" w:color="auto"/>
        <w:bottom w:val="none" w:sz="0" w:space="0" w:color="auto"/>
        <w:right w:val="none" w:sz="0" w:space="0" w:color="auto"/>
      </w:divBdr>
    </w:div>
    <w:div w:id="1638022910">
      <w:bodyDiv w:val="1"/>
      <w:marLeft w:val="0"/>
      <w:marRight w:val="0"/>
      <w:marTop w:val="0"/>
      <w:marBottom w:val="0"/>
      <w:divBdr>
        <w:top w:val="none" w:sz="0" w:space="0" w:color="auto"/>
        <w:left w:val="none" w:sz="0" w:space="0" w:color="auto"/>
        <w:bottom w:val="none" w:sz="0" w:space="0" w:color="auto"/>
        <w:right w:val="none" w:sz="0" w:space="0" w:color="auto"/>
      </w:divBdr>
    </w:div>
    <w:div w:id="1638100359">
      <w:bodyDiv w:val="1"/>
      <w:marLeft w:val="0"/>
      <w:marRight w:val="0"/>
      <w:marTop w:val="0"/>
      <w:marBottom w:val="0"/>
      <w:divBdr>
        <w:top w:val="none" w:sz="0" w:space="0" w:color="auto"/>
        <w:left w:val="none" w:sz="0" w:space="0" w:color="auto"/>
        <w:bottom w:val="none" w:sz="0" w:space="0" w:color="auto"/>
        <w:right w:val="none" w:sz="0" w:space="0" w:color="auto"/>
      </w:divBdr>
    </w:div>
    <w:div w:id="1638103779">
      <w:bodyDiv w:val="1"/>
      <w:marLeft w:val="0"/>
      <w:marRight w:val="0"/>
      <w:marTop w:val="0"/>
      <w:marBottom w:val="0"/>
      <w:divBdr>
        <w:top w:val="none" w:sz="0" w:space="0" w:color="auto"/>
        <w:left w:val="none" w:sz="0" w:space="0" w:color="auto"/>
        <w:bottom w:val="none" w:sz="0" w:space="0" w:color="auto"/>
        <w:right w:val="none" w:sz="0" w:space="0" w:color="auto"/>
      </w:divBdr>
    </w:div>
    <w:div w:id="1638219917">
      <w:bodyDiv w:val="1"/>
      <w:marLeft w:val="0"/>
      <w:marRight w:val="0"/>
      <w:marTop w:val="0"/>
      <w:marBottom w:val="0"/>
      <w:divBdr>
        <w:top w:val="none" w:sz="0" w:space="0" w:color="auto"/>
        <w:left w:val="none" w:sz="0" w:space="0" w:color="auto"/>
        <w:bottom w:val="none" w:sz="0" w:space="0" w:color="auto"/>
        <w:right w:val="none" w:sz="0" w:space="0" w:color="auto"/>
      </w:divBdr>
    </w:div>
    <w:div w:id="1639066395">
      <w:bodyDiv w:val="1"/>
      <w:marLeft w:val="0"/>
      <w:marRight w:val="0"/>
      <w:marTop w:val="0"/>
      <w:marBottom w:val="0"/>
      <w:divBdr>
        <w:top w:val="none" w:sz="0" w:space="0" w:color="auto"/>
        <w:left w:val="none" w:sz="0" w:space="0" w:color="auto"/>
        <w:bottom w:val="none" w:sz="0" w:space="0" w:color="auto"/>
        <w:right w:val="none" w:sz="0" w:space="0" w:color="auto"/>
      </w:divBdr>
    </w:div>
    <w:div w:id="1639141907">
      <w:bodyDiv w:val="1"/>
      <w:marLeft w:val="0"/>
      <w:marRight w:val="0"/>
      <w:marTop w:val="0"/>
      <w:marBottom w:val="0"/>
      <w:divBdr>
        <w:top w:val="none" w:sz="0" w:space="0" w:color="auto"/>
        <w:left w:val="none" w:sz="0" w:space="0" w:color="auto"/>
        <w:bottom w:val="none" w:sz="0" w:space="0" w:color="auto"/>
        <w:right w:val="none" w:sz="0" w:space="0" w:color="auto"/>
      </w:divBdr>
    </w:div>
    <w:div w:id="1639870292">
      <w:bodyDiv w:val="1"/>
      <w:marLeft w:val="0"/>
      <w:marRight w:val="0"/>
      <w:marTop w:val="0"/>
      <w:marBottom w:val="0"/>
      <w:divBdr>
        <w:top w:val="none" w:sz="0" w:space="0" w:color="auto"/>
        <w:left w:val="none" w:sz="0" w:space="0" w:color="auto"/>
        <w:bottom w:val="none" w:sz="0" w:space="0" w:color="auto"/>
        <w:right w:val="none" w:sz="0" w:space="0" w:color="auto"/>
      </w:divBdr>
    </w:div>
    <w:div w:id="1639871826">
      <w:bodyDiv w:val="1"/>
      <w:marLeft w:val="0"/>
      <w:marRight w:val="0"/>
      <w:marTop w:val="0"/>
      <w:marBottom w:val="0"/>
      <w:divBdr>
        <w:top w:val="none" w:sz="0" w:space="0" w:color="auto"/>
        <w:left w:val="none" w:sz="0" w:space="0" w:color="auto"/>
        <w:bottom w:val="none" w:sz="0" w:space="0" w:color="auto"/>
        <w:right w:val="none" w:sz="0" w:space="0" w:color="auto"/>
      </w:divBdr>
    </w:div>
    <w:div w:id="1639990223">
      <w:bodyDiv w:val="1"/>
      <w:marLeft w:val="0"/>
      <w:marRight w:val="0"/>
      <w:marTop w:val="0"/>
      <w:marBottom w:val="0"/>
      <w:divBdr>
        <w:top w:val="none" w:sz="0" w:space="0" w:color="auto"/>
        <w:left w:val="none" w:sz="0" w:space="0" w:color="auto"/>
        <w:bottom w:val="none" w:sz="0" w:space="0" w:color="auto"/>
        <w:right w:val="none" w:sz="0" w:space="0" w:color="auto"/>
      </w:divBdr>
    </w:div>
    <w:div w:id="1640110623">
      <w:bodyDiv w:val="1"/>
      <w:marLeft w:val="0"/>
      <w:marRight w:val="0"/>
      <w:marTop w:val="0"/>
      <w:marBottom w:val="0"/>
      <w:divBdr>
        <w:top w:val="none" w:sz="0" w:space="0" w:color="auto"/>
        <w:left w:val="none" w:sz="0" w:space="0" w:color="auto"/>
        <w:bottom w:val="none" w:sz="0" w:space="0" w:color="auto"/>
        <w:right w:val="none" w:sz="0" w:space="0" w:color="auto"/>
      </w:divBdr>
    </w:div>
    <w:div w:id="1640988033">
      <w:bodyDiv w:val="1"/>
      <w:marLeft w:val="0"/>
      <w:marRight w:val="0"/>
      <w:marTop w:val="0"/>
      <w:marBottom w:val="0"/>
      <w:divBdr>
        <w:top w:val="none" w:sz="0" w:space="0" w:color="auto"/>
        <w:left w:val="none" w:sz="0" w:space="0" w:color="auto"/>
        <w:bottom w:val="none" w:sz="0" w:space="0" w:color="auto"/>
        <w:right w:val="none" w:sz="0" w:space="0" w:color="auto"/>
      </w:divBdr>
    </w:div>
    <w:div w:id="1641036285">
      <w:bodyDiv w:val="1"/>
      <w:marLeft w:val="0"/>
      <w:marRight w:val="0"/>
      <w:marTop w:val="0"/>
      <w:marBottom w:val="0"/>
      <w:divBdr>
        <w:top w:val="none" w:sz="0" w:space="0" w:color="auto"/>
        <w:left w:val="none" w:sz="0" w:space="0" w:color="auto"/>
        <w:bottom w:val="none" w:sz="0" w:space="0" w:color="auto"/>
        <w:right w:val="none" w:sz="0" w:space="0" w:color="auto"/>
      </w:divBdr>
    </w:div>
    <w:div w:id="1642005473">
      <w:bodyDiv w:val="1"/>
      <w:marLeft w:val="0"/>
      <w:marRight w:val="0"/>
      <w:marTop w:val="0"/>
      <w:marBottom w:val="0"/>
      <w:divBdr>
        <w:top w:val="none" w:sz="0" w:space="0" w:color="auto"/>
        <w:left w:val="none" w:sz="0" w:space="0" w:color="auto"/>
        <w:bottom w:val="none" w:sz="0" w:space="0" w:color="auto"/>
        <w:right w:val="none" w:sz="0" w:space="0" w:color="auto"/>
      </w:divBdr>
    </w:div>
    <w:div w:id="1642615155">
      <w:bodyDiv w:val="1"/>
      <w:marLeft w:val="0"/>
      <w:marRight w:val="0"/>
      <w:marTop w:val="0"/>
      <w:marBottom w:val="0"/>
      <w:divBdr>
        <w:top w:val="none" w:sz="0" w:space="0" w:color="auto"/>
        <w:left w:val="none" w:sz="0" w:space="0" w:color="auto"/>
        <w:bottom w:val="none" w:sz="0" w:space="0" w:color="auto"/>
        <w:right w:val="none" w:sz="0" w:space="0" w:color="auto"/>
      </w:divBdr>
    </w:div>
    <w:div w:id="1642688932">
      <w:bodyDiv w:val="1"/>
      <w:marLeft w:val="0"/>
      <w:marRight w:val="0"/>
      <w:marTop w:val="0"/>
      <w:marBottom w:val="0"/>
      <w:divBdr>
        <w:top w:val="none" w:sz="0" w:space="0" w:color="auto"/>
        <w:left w:val="none" w:sz="0" w:space="0" w:color="auto"/>
        <w:bottom w:val="none" w:sz="0" w:space="0" w:color="auto"/>
        <w:right w:val="none" w:sz="0" w:space="0" w:color="auto"/>
      </w:divBdr>
    </w:div>
    <w:div w:id="1642805180">
      <w:bodyDiv w:val="1"/>
      <w:marLeft w:val="0"/>
      <w:marRight w:val="0"/>
      <w:marTop w:val="0"/>
      <w:marBottom w:val="0"/>
      <w:divBdr>
        <w:top w:val="none" w:sz="0" w:space="0" w:color="auto"/>
        <w:left w:val="none" w:sz="0" w:space="0" w:color="auto"/>
        <w:bottom w:val="none" w:sz="0" w:space="0" w:color="auto"/>
        <w:right w:val="none" w:sz="0" w:space="0" w:color="auto"/>
      </w:divBdr>
    </w:div>
    <w:div w:id="1643004935">
      <w:bodyDiv w:val="1"/>
      <w:marLeft w:val="0"/>
      <w:marRight w:val="0"/>
      <w:marTop w:val="0"/>
      <w:marBottom w:val="0"/>
      <w:divBdr>
        <w:top w:val="none" w:sz="0" w:space="0" w:color="auto"/>
        <w:left w:val="none" w:sz="0" w:space="0" w:color="auto"/>
        <w:bottom w:val="none" w:sz="0" w:space="0" w:color="auto"/>
        <w:right w:val="none" w:sz="0" w:space="0" w:color="auto"/>
      </w:divBdr>
    </w:div>
    <w:div w:id="1643658910">
      <w:bodyDiv w:val="1"/>
      <w:marLeft w:val="0"/>
      <w:marRight w:val="0"/>
      <w:marTop w:val="0"/>
      <w:marBottom w:val="0"/>
      <w:divBdr>
        <w:top w:val="none" w:sz="0" w:space="0" w:color="auto"/>
        <w:left w:val="none" w:sz="0" w:space="0" w:color="auto"/>
        <w:bottom w:val="none" w:sz="0" w:space="0" w:color="auto"/>
        <w:right w:val="none" w:sz="0" w:space="0" w:color="auto"/>
      </w:divBdr>
    </w:div>
    <w:div w:id="1643925845">
      <w:bodyDiv w:val="1"/>
      <w:marLeft w:val="0"/>
      <w:marRight w:val="0"/>
      <w:marTop w:val="0"/>
      <w:marBottom w:val="0"/>
      <w:divBdr>
        <w:top w:val="none" w:sz="0" w:space="0" w:color="auto"/>
        <w:left w:val="none" w:sz="0" w:space="0" w:color="auto"/>
        <w:bottom w:val="none" w:sz="0" w:space="0" w:color="auto"/>
        <w:right w:val="none" w:sz="0" w:space="0" w:color="auto"/>
      </w:divBdr>
    </w:div>
    <w:div w:id="1644039542">
      <w:bodyDiv w:val="1"/>
      <w:marLeft w:val="0"/>
      <w:marRight w:val="0"/>
      <w:marTop w:val="0"/>
      <w:marBottom w:val="0"/>
      <w:divBdr>
        <w:top w:val="none" w:sz="0" w:space="0" w:color="auto"/>
        <w:left w:val="none" w:sz="0" w:space="0" w:color="auto"/>
        <w:bottom w:val="none" w:sz="0" w:space="0" w:color="auto"/>
        <w:right w:val="none" w:sz="0" w:space="0" w:color="auto"/>
      </w:divBdr>
    </w:div>
    <w:div w:id="1646155227">
      <w:bodyDiv w:val="1"/>
      <w:marLeft w:val="0"/>
      <w:marRight w:val="0"/>
      <w:marTop w:val="0"/>
      <w:marBottom w:val="0"/>
      <w:divBdr>
        <w:top w:val="none" w:sz="0" w:space="0" w:color="auto"/>
        <w:left w:val="none" w:sz="0" w:space="0" w:color="auto"/>
        <w:bottom w:val="none" w:sz="0" w:space="0" w:color="auto"/>
        <w:right w:val="none" w:sz="0" w:space="0" w:color="auto"/>
      </w:divBdr>
    </w:div>
    <w:div w:id="1646199887">
      <w:bodyDiv w:val="1"/>
      <w:marLeft w:val="0"/>
      <w:marRight w:val="0"/>
      <w:marTop w:val="0"/>
      <w:marBottom w:val="0"/>
      <w:divBdr>
        <w:top w:val="none" w:sz="0" w:space="0" w:color="auto"/>
        <w:left w:val="none" w:sz="0" w:space="0" w:color="auto"/>
        <w:bottom w:val="none" w:sz="0" w:space="0" w:color="auto"/>
        <w:right w:val="none" w:sz="0" w:space="0" w:color="auto"/>
      </w:divBdr>
    </w:div>
    <w:div w:id="1646278569">
      <w:bodyDiv w:val="1"/>
      <w:marLeft w:val="0"/>
      <w:marRight w:val="0"/>
      <w:marTop w:val="0"/>
      <w:marBottom w:val="0"/>
      <w:divBdr>
        <w:top w:val="none" w:sz="0" w:space="0" w:color="auto"/>
        <w:left w:val="none" w:sz="0" w:space="0" w:color="auto"/>
        <w:bottom w:val="none" w:sz="0" w:space="0" w:color="auto"/>
        <w:right w:val="none" w:sz="0" w:space="0" w:color="auto"/>
      </w:divBdr>
    </w:div>
    <w:div w:id="1646467814">
      <w:bodyDiv w:val="1"/>
      <w:marLeft w:val="0"/>
      <w:marRight w:val="0"/>
      <w:marTop w:val="0"/>
      <w:marBottom w:val="0"/>
      <w:divBdr>
        <w:top w:val="none" w:sz="0" w:space="0" w:color="auto"/>
        <w:left w:val="none" w:sz="0" w:space="0" w:color="auto"/>
        <w:bottom w:val="none" w:sz="0" w:space="0" w:color="auto"/>
        <w:right w:val="none" w:sz="0" w:space="0" w:color="auto"/>
      </w:divBdr>
    </w:div>
    <w:div w:id="1646546148">
      <w:bodyDiv w:val="1"/>
      <w:marLeft w:val="0"/>
      <w:marRight w:val="0"/>
      <w:marTop w:val="0"/>
      <w:marBottom w:val="0"/>
      <w:divBdr>
        <w:top w:val="none" w:sz="0" w:space="0" w:color="auto"/>
        <w:left w:val="none" w:sz="0" w:space="0" w:color="auto"/>
        <w:bottom w:val="none" w:sz="0" w:space="0" w:color="auto"/>
        <w:right w:val="none" w:sz="0" w:space="0" w:color="auto"/>
      </w:divBdr>
    </w:div>
    <w:div w:id="1646660220">
      <w:bodyDiv w:val="1"/>
      <w:marLeft w:val="0"/>
      <w:marRight w:val="0"/>
      <w:marTop w:val="0"/>
      <w:marBottom w:val="0"/>
      <w:divBdr>
        <w:top w:val="none" w:sz="0" w:space="0" w:color="auto"/>
        <w:left w:val="none" w:sz="0" w:space="0" w:color="auto"/>
        <w:bottom w:val="none" w:sz="0" w:space="0" w:color="auto"/>
        <w:right w:val="none" w:sz="0" w:space="0" w:color="auto"/>
      </w:divBdr>
    </w:div>
    <w:div w:id="1646743042">
      <w:bodyDiv w:val="1"/>
      <w:marLeft w:val="0"/>
      <w:marRight w:val="0"/>
      <w:marTop w:val="0"/>
      <w:marBottom w:val="0"/>
      <w:divBdr>
        <w:top w:val="none" w:sz="0" w:space="0" w:color="auto"/>
        <w:left w:val="none" w:sz="0" w:space="0" w:color="auto"/>
        <w:bottom w:val="none" w:sz="0" w:space="0" w:color="auto"/>
        <w:right w:val="none" w:sz="0" w:space="0" w:color="auto"/>
      </w:divBdr>
    </w:div>
    <w:div w:id="1647129878">
      <w:bodyDiv w:val="1"/>
      <w:marLeft w:val="0"/>
      <w:marRight w:val="0"/>
      <w:marTop w:val="0"/>
      <w:marBottom w:val="0"/>
      <w:divBdr>
        <w:top w:val="none" w:sz="0" w:space="0" w:color="auto"/>
        <w:left w:val="none" w:sz="0" w:space="0" w:color="auto"/>
        <w:bottom w:val="none" w:sz="0" w:space="0" w:color="auto"/>
        <w:right w:val="none" w:sz="0" w:space="0" w:color="auto"/>
      </w:divBdr>
    </w:div>
    <w:div w:id="1647277554">
      <w:bodyDiv w:val="1"/>
      <w:marLeft w:val="0"/>
      <w:marRight w:val="0"/>
      <w:marTop w:val="0"/>
      <w:marBottom w:val="0"/>
      <w:divBdr>
        <w:top w:val="none" w:sz="0" w:space="0" w:color="auto"/>
        <w:left w:val="none" w:sz="0" w:space="0" w:color="auto"/>
        <w:bottom w:val="none" w:sz="0" w:space="0" w:color="auto"/>
        <w:right w:val="none" w:sz="0" w:space="0" w:color="auto"/>
      </w:divBdr>
    </w:div>
    <w:div w:id="1647278235">
      <w:bodyDiv w:val="1"/>
      <w:marLeft w:val="0"/>
      <w:marRight w:val="0"/>
      <w:marTop w:val="0"/>
      <w:marBottom w:val="0"/>
      <w:divBdr>
        <w:top w:val="none" w:sz="0" w:space="0" w:color="auto"/>
        <w:left w:val="none" w:sz="0" w:space="0" w:color="auto"/>
        <w:bottom w:val="none" w:sz="0" w:space="0" w:color="auto"/>
        <w:right w:val="none" w:sz="0" w:space="0" w:color="auto"/>
      </w:divBdr>
    </w:div>
    <w:div w:id="1647314778">
      <w:bodyDiv w:val="1"/>
      <w:marLeft w:val="0"/>
      <w:marRight w:val="0"/>
      <w:marTop w:val="0"/>
      <w:marBottom w:val="0"/>
      <w:divBdr>
        <w:top w:val="none" w:sz="0" w:space="0" w:color="auto"/>
        <w:left w:val="none" w:sz="0" w:space="0" w:color="auto"/>
        <w:bottom w:val="none" w:sz="0" w:space="0" w:color="auto"/>
        <w:right w:val="none" w:sz="0" w:space="0" w:color="auto"/>
      </w:divBdr>
    </w:div>
    <w:div w:id="1647513465">
      <w:bodyDiv w:val="1"/>
      <w:marLeft w:val="0"/>
      <w:marRight w:val="0"/>
      <w:marTop w:val="0"/>
      <w:marBottom w:val="0"/>
      <w:divBdr>
        <w:top w:val="none" w:sz="0" w:space="0" w:color="auto"/>
        <w:left w:val="none" w:sz="0" w:space="0" w:color="auto"/>
        <w:bottom w:val="none" w:sz="0" w:space="0" w:color="auto"/>
        <w:right w:val="none" w:sz="0" w:space="0" w:color="auto"/>
      </w:divBdr>
    </w:div>
    <w:div w:id="1648053566">
      <w:bodyDiv w:val="1"/>
      <w:marLeft w:val="0"/>
      <w:marRight w:val="0"/>
      <w:marTop w:val="0"/>
      <w:marBottom w:val="0"/>
      <w:divBdr>
        <w:top w:val="none" w:sz="0" w:space="0" w:color="auto"/>
        <w:left w:val="none" w:sz="0" w:space="0" w:color="auto"/>
        <w:bottom w:val="none" w:sz="0" w:space="0" w:color="auto"/>
        <w:right w:val="none" w:sz="0" w:space="0" w:color="auto"/>
      </w:divBdr>
    </w:div>
    <w:div w:id="1648776337">
      <w:bodyDiv w:val="1"/>
      <w:marLeft w:val="0"/>
      <w:marRight w:val="0"/>
      <w:marTop w:val="0"/>
      <w:marBottom w:val="0"/>
      <w:divBdr>
        <w:top w:val="none" w:sz="0" w:space="0" w:color="auto"/>
        <w:left w:val="none" w:sz="0" w:space="0" w:color="auto"/>
        <w:bottom w:val="none" w:sz="0" w:space="0" w:color="auto"/>
        <w:right w:val="none" w:sz="0" w:space="0" w:color="auto"/>
      </w:divBdr>
    </w:div>
    <w:div w:id="1649287084">
      <w:bodyDiv w:val="1"/>
      <w:marLeft w:val="0"/>
      <w:marRight w:val="0"/>
      <w:marTop w:val="0"/>
      <w:marBottom w:val="0"/>
      <w:divBdr>
        <w:top w:val="none" w:sz="0" w:space="0" w:color="auto"/>
        <w:left w:val="none" w:sz="0" w:space="0" w:color="auto"/>
        <w:bottom w:val="none" w:sz="0" w:space="0" w:color="auto"/>
        <w:right w:val="none" w:sz="0" w:space="0" w:color="auto"/>
      </w:divBdr>
    </w:div>
    <w:div w:id="1649550298">
      <w:bodyDiv w:val="1"/>
      <w:marLeft w:val="0"/>
      <w:marRight w:val="0"/>
      <w:marTop w:val="0"/>
      <w:marBottom w:val="0"/>
      <w:divBdr>
        <w:top w:val="none" w:sz="0" w:space="0" w:color="auto"/>
        <w:left w:val="none" w:sz="0" w:space="0" w:color="auto"/>
        <w:bottom w:val="none" w:sz="0" w:space="0" w:color="auto"/>
        <w:right w:val="none" w:sz="0" w:space="0" w:color="auto"/>
      </w:divBdr>
    </w:div>
    <w:div w:id="1650011024">
      <w:bodyDiv w:val="1"/>
      <w:marLeft w:val="0"/>
      <w:marRight w:val="0"/>
      <w:marTop w:val="0"/>
      <w:marBottom w:val="0"/>
      <w:divBdr>
        <w:top w:val="none" w:sz="0" w:space="0" w:color="auto"/>
        <w:left w:val="none" w:sz="0" w:space="0" w:color="auto"/>
        <w:bottom w:val="none" w:sz="0" w:space="0" w:color="auto"/>
        <w:right w:val="none" w:sz="0" w:space="0" w:color="auto"/>
      </w:divBdr>
    </w:div>
    <w:div w:id="1650744989">
      <w:bodyDiv w:val="1"/>
      <w:marLeft w:val="0"/>
      <w:marRight w:val="0"/>
      <w:marTop w:val="0"/>
      <w:marBottom w:val="0"/>
      <w:divBdr>
        <w:top w:val="none" w:sz="0" w:space="0" w:color="auto"/>
        <w:left w:val="none" w:sz="0" w:space="0" w:color="auto"/>
        <w:bottom w:val="none" w:sz="0" w:space="0" w:color="auto"/>
        <w:right w:val="none" w:sz="0" w:space="0" w:color="auto"/>
      </w:divBdr>
    </w:div>
    <w:div w:id="1651976157">
      <w:bodyDiv w:val="1"/>
      <w:marLeft w:val="0"/>
      <w:marRight w:val="0"/>
      <w:marTop w:val="0"/>
      <w:marBottom w:val="0"/>
      <w:divBdr>
        <w:top w:val="none" w:sz="0" w:space="0" w:color="auto"/>
        <w:left w:val="none" w:sz="0" w:space="0" w:color="auto"/>
        <w:bottom w:val="none" w:sz="0" w:space="0" w:color="auto"/>
        <w:right w:val="none" w:sz="0" w:space="0" w:color="auto"/>
      </w:divBdr>
    </w:div>
    <w:div w:id="1651977622">
      <w:bodyDiv w:val="1"/>
      <w:marLeft w:val="0"/>
      <w:marRight w:val="0"/>
      <w:marTop w:val="0"/>
      <w:marBottom w:val="0"/>
      <w:divBdr>
        <w:top w:val="none" w:sz="0" w:space="0" w:color="auto"/>
        <w:left w:val="none" w:sz="0" w:space="0" w:color="auto"/>
        <w:bottom w:val="none" w:sz="0" w:space="0" w:color="auto"/>
        <w:right w:val="none" w:sz="0" w:space="0" w:color="auto"/>
      </w:divBdr>
    </w:div>
    <w:div w:id="1651981406">
      <w:bodyDiv w:val="1"/>
      <w:marLeft w:val="0"/>
      <w:marRight w:val="0"/>
      <w:marTop w:val="0"/>
      <w:marBottom w:val="0"/>
      <w:divBdr>
        <w:top w:val="none" w:sz="0" w:space="0" w:color="auto"/>
        <w:left w:val="none" w:sz="0" w:space="0" w:color="auto"/>
        <w:bottom w:val="none" w:sz="0" w:space="0" w:color="auto"/>
        <w:right w:val="none" w:sz="0" w:space="0" w:color="auto"/>
      </w:divBdr>
    </w:div>
    <w:div w:id="1652247681">
      <w:bodyDiv w:val="1"/>
      <w:marLeft w:val="0"/>
      <w:marRight w:val="0"/>
      <w:marTop w:val="0"/>
      <w:marBottom w:val="0"/>
      <w:divBdr>
        <w:top w:val="none" w:sz="0" w:space="0" w:color="auto"/>
        <w:left w:val="none" w:sz="0" w:space="0" w:color="auto"/>
        <w:bottom w:val="none" w:sz="0" w:space="0" w:color="auto"/>
        <w:right w:val="none" w:sz="0" w:space="0" w:color="auto"/>
      </w:divBdr>
    </w:div>
    <w:div w:id="1653021012">
      <w:bodyDiv w:val="1"/>
      <w:marLeft w:val="0"/>
      <w:marRight w:val="0"/>
      <w:marTop w:val="0"/>
      <w:marBottom w:val="0"/>
      <w:divBdr>
        <w:top w:val="none" w:sz="0" w:space="0" w:color="auto"/>
        <w:left w:val="none" w:sz="0" w:space="0" w:color="auto"/>
        <w:bottom w:val="none" w:sz="0" w:space="0" w:color="auto"/>
        <w:right w:val="none" w:sz="0" w:space="0" w:color="auto"/>
      </w:divBdr>
    </w:div>
    <w:div w:id="1653026453">
      <w:bodyDiv w:val="1"/>
      <w:marLeft w:val="0"/>
      <w:marRight w:val="0"/>
      <w:marTop w:val="0"/>
      <w:marBottom w:val="0"/>
      <w:divBdr>
        <w:top w:val="none" w:sz="0" w:space="0" w:color="auto"/>
        <w:left w:val="none" w:sz="0" w:space="0" w:color="auto"/>
        <w:bottom w:val="none" w:sz="0" w:space="0" w:color="auto"/>
        <w:right w:val="none" w:sz="0" w:space="0" w:color="auto"/>
      </w:divBdr>
    </w:div>
    <w:div w:id="1653100393">
      <w:bodyDiv w:val="1"/>
      <w:marLeft w:val="0"/>
      <w:marRight w:val="0"/>
      <w:marTop w:val="0"/>
      <w:marBottom w:val="0"/>
      <w:divBdr>
        <w:top w:val="none" w:sz="0" w:space="0" w:color="auto"/>
        <w:left w:val="none" w:sz="0" w:space="0" w:color="auto"/>
        <w:bottom w:val="none" w:sz="0" w:space="0" w:color="auto"/>
        <w:right w:val="none" w:sz="0" w:space="0" w:color="auto"/>
      </w:divBdr>
    </w:div>
    <w:div w:id="1653219445">
      <w:bodyDiv w:val="1"/>
      <w:marLeft w:val="0"/>
      <w:marRight w:val="0"/>
      <w:marTop w:val="0"/>
      <w:marBottom w:val="0"/>
      <w:divBdr>
        <w:top w:val="none" w:sz="0" w:space="0" w:color="auto"/>
        <w:left w:val="none" w:sz="0" w:space="0" w:color="auto"/>
        <w:bottom w:val="none" w:sz="0" w:space="0" w:color="auto"/>
        <w:right w:val="none" w:sz="0" w:space="0" w:color="auto"/>
      </w:divBdr>
    </w:div>
    <w:div w:id="1653831738">
      <w:bodyDiv w:val="1"/>
      <w:marLeft w:val="0"/>
      <w:marRight w:val="0"/>
      <w:marTop w:val="0"/>
      <w:marBottom w:val="0"/>
      <w:divBdr>
        <w:top w:val="none" w:sz="0" w:space="0" w:color="auto"/>
        <w:left w:val="none" w:sz="0" w:space="0" w:color="auto"/>
        <w:bottom w:val="none" w:sz="0" w:space="0" w:color="auto"/>
        <w:right w:val="none" w:sz="0" w:space="0" w:color="auto"/>
      </w:divBdr>
    </w:div>
    <w:div w:id="1653941971">
      <w:bodyDiv w:val="1"/>
      <w:marLeft w:val="0"/>
      <w:marRight w:val="0"/>
      <w:marTop w:val="0"/>
      <w:marBottom w:val="0"/>
      <w:divBdr>
        <w:top w:val="none" w:sz="0" w:space="0" w:color="auto"/>
        <w:left w:val="none" w:sz="0" w:space="0" w:color="auto"/>
        <w:bottom w:val="none" w:sz="0" w:space="0" w:color="auto"/>
        <w:right w:val="none" w:sz="0" w:space="0" w:color="auto"/>
      </w:divBdr>
    </w:div>
    <w:div w:id="1655335402">
      <w:bodyDiv w:val="1"/>
      <w:marLeft w:val="0"/>
      <w:marRight w:val="0"/>
      <w:marTop w:val="0"/>
      <w:marBottom w:val="0"/>
      <w:divBdr>
        <w:top w:val="none" w:sz="0" w:space="0" w:color="auto"/>
        <w:left w:val="none" w:sz="0" w:space="0" w:color="auto"/>
        <w:bottom w:val="none" w:sz="0" w:space="0" w:color="auto"/>
        <w:right w:val="none" w:sz="0" w:space="0" w:color="auto"/>
      </w:divBdr>
    </w:div>
    <w:div w:id="1655528161">
      <w:bodyDiv w:val="1"/>
      <w:marLeft w:val="0"/>
      <w:marRight w:val="0"/>
      <w:marTop w:val="0"/>
      <w:marBottom w:val="0"/>
      <w:divBdr>
        <w:top w:val="none" w:sz="0" w:space="0" w:color="auto"/>
        <w:left w:val="none" w:sz="0" w:space="0" w:color="auto"/>
        <w:bottom w:val="none" w:sz="0" w:space="0" w:color="auto"/>
        <w:right w:val="none" w:sz="0" w:space="0" w:color="auto"/>
      </w:divBdr>
    </w:div>
    <w:div w:id="1655642029">
      <w:bodyDiv w:val="1"/>
      <w:marLeft w:val="0"/>
      <w:marRight w:val="0"/>
      <w:marTop w:val="0"/>
      <w:marBottom w:val="0"/>
      <w:divBdr>
        <w:top w:val="none" w:sz="0" w:space="0" w:color="auto"/>
        <w:left w:val="none" w:sz="0" w:space="0" w:color="auto"/>
        <w:bottom w:val="none" w:sz="0" w:space="0" w:color="auto"/>
        <w:right w:val="none" w:sz="0" w:space="0" w:color="auto"/>
      </w:divBdr>
    </w:div>
    <w:div w:id="1655836870">
      <w:bodyDiv w:val="1"/>
      <w:marLeft w:val="0"/>
      <w:marRight w:val="0"/>
      <w:marTop w:val="0"/>
      <w:marBottom w:val="0"/>
      <w:divBdr>
        <w:top w:val="none" w:sz="0" w:space="0" w:color="auto"/>
        <w:left w:val="none" w:sz="0" w:space="0" w:color="auto"/>
        <w:bottom w:val="none" w:sz="0" w:space="0" w:color="auto"/>
        <w:right w:val="none" w:sz="0" w:space="0" w:color="auto"/>
      </w:divBdr>
    </w:div>
    <w:div w:id="1655838498">
      <w:bodyDiv w:val="1"/>
      <w:marLeft w:val="0"/>
      <w:marRight w:val="0"/>
      <w:marTop w:val="0"/>
      <w:marBottom w:val="0"/>
      <w:divBdr>
        <w:top w:val="none" w:sz="0" w:space="0" w:color="auto"/>
        <w:left w:val="none" w:sz="0" w:space="0" w:color="auto"/>
        <w:bottom w:val="none" w:sz="0" w:space="0" w:color="auto"/>
        <w:right w:val="none" w:sz="0" w:space="0" w:color="auto"/>
      </w:divBdr>
    </w:div>
    <w:div w:id="1656492786">
      <w:bodyDiv w:val="1"/>
      <w:marLeft w:val="0"/>
      <w:marRight w:val="0"/>
      <w:marTop w:val="0"/>
      <w:marBottom w:val="0"/>
      <w:divBdr>
        <w:top w:val="none" w:sz="0" w:space="0" w:color="auto"/>
        <w:left w:val="none" w:sz="0" w:space="0" w:color="auto"/>
        <w:bottom w:val="none" w:sz="0" w:space="0" w:color="auto"/>
        <w:right w:val="none" w:sz="0" w:space="0" w:color="auto"/>
      </w:divBdr>
    </w:div>
    <w:div w:id="1656563579">
      <w:bodyDiv w:val="1"/>
      <w:marLeft w:val="0"/>
      <w:marRight w:val="0"/>
      <w:marTop w:val="0"/>
      <w:marBottom w:val="0"/>
      <w:divBdr>
        <w:top w:val="none" w:sz="0" w:space="0" w:color="auto"/>
        <w:left w:val="none" w:sz="0" w:space="0" w:color="auto"/>
        <w:bottom w:val="none" w:sz="0" w:space="0" w:color="auto"/>
        <w:right w:val="none" w:sz="0" w:space="0" w:color="auto"/>
      </w:divBdr>
    </w:div>
    <w:div w:id="1656840761">
      <w:bodyDiv w:val="1"/>
      <w:marLeft w:val="0"/>
      <w:marRight w:val="0"/>
      <w:marTop w:val="0"/>
      <w:marBottom w:val="0"/>
      <w:divBdr>
        <w:top w:val="none" w:sz="0" w:space="0" w:color="auto"/>
        <w:left w:val="none" w:sz="0" w:space="0" w:color="auto"/>
        <w:bottom w:val="none" w:sz="0" w:space="0" w:color="auto"/>
        <w:right w:val="none" w:sz="0" w:space="0" w:color="auto"/>
      </w:divBdr>
    </w:div>
    <w:div w:id="1657104190">
      <w:bodyDiv w:val="1"/>
      <w:marLeft w:val="0"/>
      <w:marRight w:val="0"/>
      <w:marTop w:val="0"/>
      <w:marBottom w:val="0"/>
      <w:divBdr>
        <w:top w:val="none" w:sz="0" w:space="0" w:color="auto"/>
        <w:left w:val="none" w:sz="0" w:space="0" w:color="auto"/>
        <w:bottom w:val="none" w:sz="0" w:space="0" w:color="auto"/>
        <w:right w:val="none" w:sz="0" w:space="0" w:color="auto"/>
      </w:divBdr>
    </w:div>
    <w:div w:id="1657104837">
      <w:bodyDiv w:val="1"/>
      <w:marLeft w:val="0"/>
      <w:marRight w:val="0"/>
      <w:marTop w:val="0"/>
      <w:marBottom w:val="0"/>
      <w:divBdr>
        <w:top w:val="none" w:sz="0" w:space="0" w:color="auto"/>
        <w:left w:val="none" w:sz="0" w:space="0" w:color="auto"/>
        <w:bottom w:val="none" w:sz="0" w:space="0" w:color="auto"/>
        <w:right w:val="none" w:sz="0" w:space="0" w:color="auto"/>
      </w:divBdr>
    </w:div>
    <w:div w:id="1657340989">
      <w:bodyDiv w:val="1"/>
      <w:marLeft w:val="0"/>
      <w:marRight w:val="0"/>
      <w:marTop w:val="0"/>
      <w:marBottom w:val="0"/>
      <w:divBdr>
        <w:top w:val="none" w:sz="0" w:space="0" w:color="auto"/>
        <w:left w:val="none" w:sz="0" w:space="0" w:color="auto"/>
        <w:bottom w:val="none" w:sz="0" w:space="0" w:color="auto"/>
        <w:right w:val="none" w:sz="0" w:space="0" w:color="auto"/>
      </w:divBdr>
    </w:div>
    <w:div w:id="1657609869">
      <w:bodyDiv w:val="1"/>
      <w:marLeft w:val="0"/>
      <w:marRight w:val="0"/>
      <w:marTop w:val="0"/>
      <w:marBottom w:val="0"/>
      <w:divBdr>
        <w:top w:val="none" w:sz="0" w:space="0" w:color="auto"/>
        <w:left w:val="none" w:sz="0" w:space="0" w:color="auto"/>
        <w:bottom w:val="none" w:sz="0" w:space="0" w:color="auto"/>
        <w:right w:val="none" w:sz="0" w:space="0" w:color="auto"/>
      </w:divBdr>
    </w:div>
    <w:div w:id="1657881588">
      <w:bodyDiv w:val="1"/>
      <w:marLeft w:val="0"/>
      <w:marRight w:val="0"/>
      <w:marTop w:val="0"/>
      <w:marBottom w:val="0"/>
      <w:divBdr>
        <w:top w:val="none" w:sz="0" w:space="0" w:color="auto"/>
        <w:left w:val="none" w:sz="0" w:space="0" w:color="auto"/>
        <w:bottom w:val="none" w:sz="0" w:space="0" w:color="auto"/>
        <w:right w:val="none" w:sz="0" w:space="0" w:color="auto"/>
      </w:divBdr>
    </w:div>
    <w:div w:id="1658343863">
      <w:bodyDiv w:val="1"/>
      <w:marLeft w:val="0"/>
      <w:marRight w:val="0"/>
      <w:marTop w:val="0"/>
      <w:marBottom w:val="0"/>
      <w:divBdr>
        <w:top w:val="none" w:sz="0" w:space="0" w:color="auto"/>
        <w:left w:val="none" w:sz="0" w:space="0" w:color="auto"/>
        <w:bottom w:val="none" w:sz="0" w:space="0" w:color="auto"/>
        <w:right w:val="none" w:sz="0" w:space="0" w:color="auto"/>
      </w:divBdr>
    </w:div>
    <w:div w:id="1658417526">
      <w:bodyDiv w:val="1"/>
      <w:marLeft w:val="0"/>
      <w:marRight w:val="0"/>
      <w:marTop w:val="0"/>
      <w:marBottom w:val="0"/>
      <w:divBdr>
        <w:top w:val="none" w:sz="0" w:space="0" w:color="auto"/>
        <w:left w:val="none" w:sz="0" w:space="0" w:color="auto"/>
        <w:bottom w:val="none" w:sz="0" w:space="0" w:color="auto"/>
        <w:right w:val="none" w:sz="0" w:space="0" w:color="auto"/>
      </w:divBdr>
    </w:div>
    <w:div w:id="1658730859">
      <w:bodyDiv w:val="1"/>
      <w:marLeft w:val="0"/>
      <w:marRight w:val="0"/>
      <w:marTop w:val="0"/>
      <w:marBottom w:val="0"/>
      <w:divBdr>
        <w:top w:val="none" w:sz="0" w:space="0" w:color="auto"/>
        <w:left w:val="none" w:sz="0" w:space="0" w:color="auto"/>
        <w:bottom w:val="none" w:sz="0" w:space="0" w:color="auto"/>
        <w:right w:val="none" w:sz="0" w:space="0" w:color="auto"/>
      </w:divBdr>
    </w:div>
    <w:div w:id="1658991669">
      <w:bodyDiv w:val="1"/>
      <w:marLeft w:val="0"/>
      <w:marRight w:val="0"/>
      <w:marTop w:val="0"/>
      <w:marBottom w:val="0"/>
      <w:divBdr>
        <w:top w:val="none" w:sz="0" w:space="0" w:color="auto"/>
        <w:left w:val="none" w:sz="0" w:space="0" w:color="auto"/>
        <w:bottom w:val="none" w:sz="0" w:space="0" w:color="auto"/>
        <w:right w:val="none" w:sz="0" w:space="0" w:color="auto"/>
      </w:divBdr>
    </w:div>
    <w:div w:id="1658998020">
      <w:bodyDiv w:val="1"/>
      <w:marLeft w:val="0"/>
      <w:marRight w:val="0"/>
      <w:marTop w:val="0"/>
      <w:marBottom w:val="0"/>
      <w:divBdr>
        <w:top w:val="none" w:sz="0" w:space="0" w:color="auto"/>
        <w:left w:val="none" w:sz="0" w:space="0" w:color="auto"/>
        <w:bottom w:val="none" w:sz="0" w:space="0" w:color="auto"/>
        <w:right w:val="none" w:sz="0" w:space="0" w:color="auto"/>
      </w:divBdr>
    </w:div>
    <w:div w:id="1659384398">
      <w:bodyDiv w:val="1"/>
      <w:marLeft w:val="0"/>
      <w:marRight w:val="0"/>
      <w:marTop w:val="0"/>
      <w:marBottom w:val="0"/>
      <w:divBdr>
        <w:top w:val="none" w:sz="0" w:space="0" w:color="auto"/>
        <w:left w:val="none" w:sz="0" w:space="0" w:color="auto"/>
        <w:bottom w:val="none" w:sz="0" w:space="0" w:color="auto"/>
        <w:right w:val="none" w:sz="0" w:space="0" w:color="auto"/>
      </w:divBdr>
    </w:div>
    <w:div w:id="1659462149">
      <w:bodyDiv w:val="1"/>
      <w:marLeft w:val="0"/>
      <w:marRight w:val="0"/>
      <w:marTop w:val="0"/>
      <w:marBottom w:val="0"/>
      <w:divBdr>
        <w:top w:val="none" w:sz="0" w:space="0" w:color="auto"/>
        <w:left w:val="none" w:sz="0" w:space="0" w:color="auto"/>
        <w:bottom w:val="none" w:sz="0" w:space="0" w:color="auto"/>
        <w:right w:val="none" w:sz="0" w:space="0" w:color="auto"/>
      </w:divBdr>
    </w:div>
    <w:div w:id="1659844443">
      <w:bodyDiv w:val="1"/>
      <w:marLeft w:val="0"/>
      <w:marRight w:val="0"/>
      <w:marTop w:val="0"/>
      <w:marBottom w:val="0"/>
      <w:divBdr>
        <w:top w:val="none" w:sz="0" w:space="0" w:color="auto"/>
        <w:left w:val="none" w:sz="0" w:space="0" w:color="auto"/>
        <w:bottom w:val="none" w:sz="0" w:space="0" w:color="auto"/>
        <w:right w:val="none" w:sz="0" w:space="0" w:color="auto"/>
      </w:divBdr>
    </w:div>
    <w:div w:id="1660035723">
      <w:bodyDiv w:val="1"/>
      <w:marLeft w:val="0"/>
      <w:marRight w:val="0"/>
      <w:marTop w:val="0"/>
      <w:marBottom w:val="0"/>
      <w:divBdr>
        <w:top w:val="none" w:sz="0" w:space="0" w:color="auto"/>
        <w:left w:val="none" w:sz="0" w:space="0" w:color="auto"/>
        <w:bottom w:val="none" w:sz="0" w:space="0" w:color="auto"/>
        <w:right w:val="none" w:sz="0" w:space="0" w:color="auto"/>
      </w:divBdr>
    </w:div>
    <w:div w:id="1660186477">
      <w:bodyDiv w:val="1"/>
      <w:marLeft w:val="0"/>
      <w:marRight w:val="0"/>
      <w:marTop w:val="0"/>
      <w:marBottom w:val="0"/>
      <w:divBdr>
        <w:top w:val="none" w:sz="0" w:space="0" w:color="auto"/>
        <w:left w:val="none" w:sz="0" w:space="0" w:color="auto"/>
        <w:bottom w:val="none" w:sz="0" w:space="0" w:color="auto"/>
        <w:right w:val="none" w:sz="0" w:space="0" w:color="auto"/>
      </w:divBdr>
    </w:div>
    <w:div w:id="1660645787">
      <w:bodyDiv w:val="1"/>
      <w:marLeft w:val="0"/>
      <w:marRight w:val="0"/>
      <w:marTop w:val="0"/>
      <w:marBottom w:val="0"/>
      <w:divBdr>
        <w:top w:val="none" w:sz="0" w:space="0" w:color="auto"/>
        <w:left w:val="none" w:sz="0" w:space="0" w:color="auto"/>
        <w:bottom w:val="none" w:sz="0" w:space="0" w:color="auto"/>
        <w:right w:val="none" w:sz="0" w:space="0" w:color="auto"/>
      </w:divBdr>
    </w:div>
    <w:div w:id="1661344547">
      <w:bodyDiv w:val="1"/>
      <w:marLeft w:val="0"/>
      <w:marRight w:val="0"/>
      <w:marTop w:val="0"/>
      <w:marBottom w:val="0"/>
      <w:divBdr>
        <w:top w:val="none" w:sz="0" w:space="0" w:color="auto"/>
        <w:left w:val="none" w:sz="0" w:space="0" w:color="auto"/>
        <w:bottom w:val="none" w:sz="0" w:space="0" w:color="auto"/>
        <w:right w:val="none" w:sz="0" w:space="0" w:color="auto"/>
      </w:divBdr>
    </w:div>
    <w:div w:id="1661421969">
      <w:bodyDiv w:val="1"/>
      <w:marLeft w:val="0"/>
      <w:marRight w:val="0"/>
      <w:marTop w:val="0"/>
      <w:marBottom w:val="0"/>
      <w:divBdr>
        <w:top w:val="none" w:sz="0" w:space="0" w:color="auto"/>
        <w:left w:val="none" w:sz="0" w:space="0" w:color="auto"/>
        <w:bottom w:val="none" w:sz="0" w:space="0" w:color="auto"/>
        <w:right w:val="none" w:sz="0" w:space="0" w:color="auto"/>
      </w:divBdr>
    </w:div>
    <w:div w:id="1661497983">
      <w:bodyDiv w:val="1"/>
      <w:marLeft w:val="0"/>
      <w:marRight w:val="0"/>
      <w:marTop w:val="0"/>
      <w:marBottom w:val="0"/>
      <w:divBdr>
        <w:top w:val="none" w:sz="0" w:space="0" w:color="auto"/>
        <w:left w:val="none" w:sz="0" w:space="0" w:color="auto"/>
        <w:bottom w:val="none" w:sz="0" w:space="0" w:color="auto"/>
        <w:right w:val="none" w:sz="0" w:space="0" w:color="auto"/>
      </w:divBdr>
    </w:div>
    <w:div w:id="1661696630">
      <w:bodyDiv w:val="1"/>
      <w:marLeft w:val="0"/>
      <w:marRight w:val="0"/>
      <w:marTop w:val="0"/>
      <w:marBottom w:val="0"/>
      <w:divBdr>
        <w:top w:val="none" w:sz="0" w:space="0" w:color="auto"/>
        <w:left w:val="none" w:sz="0" w:space="0" w:color="auto"/>
        <w:bottom w:val="none" w:sz="0" w:space="0" w:color="auto"/>
        <w:right w:val="none" w:sz="0" w:space="0" w:color="auto"/>
      </w:divBdr>
    </w:div>
    <w:div w:id="1661730984">
      <w:bodyDiv w:val="1"/>
      <w:marLeft w:val="0"/>
      <w:marRight w:val="0"/>
      <w:marTop w:val="0"/>
      <w:marBottom w:val="0"/>
      <w:divBdr>
        <w:top w:val="none" w:sz="0" w:space="0" w:color="auto"/>
        <w:left w:val="none" w:sz="0" w:space="0" w:color="auto"/>
        <w:bottom w:val="none" w:sz="0" w:space="0" w:color="auto"/>
        <w:right w:val="none" w:sz="0" w:space="0" w:color="auto"/>
      </w:divBdr>
    </w:div>
    <w:div w:id="1662201020">
      <w:bodyDiv w:val="1"/>
      <w:marLeft w:val="0"/>
      <w:marRight w:val="0"/>
      <w:marTop w:val="0"/>
      <w:marBottom w:val="0"/>
      <w:divBdr>
        <w:top w:val="none" w:sz="0" w:space="0" w:color="auto"/>
        <w:left w:val="none" w:sz="0" w:space="0" w:color="auto"/>
        <w:bottom w:val="none" w:sz="0" w:space="0" w:color="auto"/>
        <w:right w:val="none" w:sz="0" w:space="0" w:color="auto"/>
      </w:divBdr>
    </w:div>
    <w:div w:id="1662386740">
      <w:bodyDiv w:val="1"/>
      <w:marLeft w:val="0"/>
      <w:marRight w:val="0"/>
      <w:marTop w:val="0"/>
      <w:marBottom w:val="0"/>
      <w:divBdr>
        <w:top w:val="none" w:sz="0" w:space="0" w:color="auto"/>
        <w:left w:val="none" w:sz="0" w:space="0" w:color="auto"/>
        <w:bottom w:val="none" w:sz="0" w:space="0" w:color="auto"/>
        <w:right w:val="none" w:sz="0" w:space="0" w:color="auto"/>
      </w:divBdr>
    </w:div>
    <w:div w:id="1662542587">
      <w:bodyDiv w:val="1"/>
      <w:marLeft w:val="0"/>
      <w:marRight w:val="0"/>
      <w:marTop w:val="0"/>
      <w:marBottom w:val="0"/>
      <w:divBdr>
        <w:top w:val="none" w:sz="0" w:space="0" w:color="auto"/>
        <w:left w:val="none" w:sz="0" w:space="0" w:color="auto"/>
        <w:bottom w:val="none" w:sz="0" w:space="0" w:color="auto"/>
        <w:right w:val="none" w:sz="0" w:space="0" w:color="auto"/>
      </w:divBdr>
    </w:div>
    <w:div w:id="1662923415">
      <w:bodyDiv w:val="1"/>
      <w:marLeft w:val="0"/>
      <w:marRight w:val="0"/>
      <w:marTop w:val="0"/>
      <w:marBottom w:val="0"/>
      <w:divBdr>
        <w:top w:val="none" w:sz="0" w:space="0" w:color="auto"/>
        <w:left w:val="none" w:sz="0" w:space="0" w:color="auto"/>
        <w:bottom w:val="none" w:sz="0" w:space="0" w:color="auto"/>
        <w:right w:val="none" w:sz="0" w:space="0" w:color="auto"/>
      </w:divBdr>
    </w:div>
    <w:div w:id="1663005013">
      <w:bodyDiv w:val="1"/>
      <w:marLeft w:val="0"/>
      <w:marRight w:val="0"/>
      <w:marTop w:val="0"/>
      <w:marBottom w:val="0"/>
      <w:divBdr>
        <w:top w:val="none" w:sz="0" w:space="0" w:color="auto"/>
        <w:left w:val="none" w:sz="0" w:space="0" w:color="auto"/>
        <w:bottom w:val="none" w:sz="0" w:space="0" w:color="auto"/>
        <w:right w:val="none" w:sz="0" w:space="0" w:color="auto"/>
      </w:divBdr>
    </w:div>
    <w:div w:id="1663196770">
      <w:bodyDiv w:val="1"/>
      <w:marLeft w:val="0"/>
      <w:marRight w:val="0"/>
      <w:marTop w:val="0"/>
      <w:marBottom w:val="0"/>
      <w:divBdr>
        <w:top w:val="none" w:sz="0" w:space="0" w:color="auto"/>
        <w:left w:val="none" w:sz="0" w:space="0" w:color="auto"/>
        <w:bottom w:val="none" w:sz="0" w:space="0" w:color="auto"/>
        <w:right w:val="none" w:sz="0" w:space="0" w:color="auto"/>
      </w:divBdr>
    </w:div>
    <w:div w:id="1663662375">
      <w:bodyDiv w:val="1"/>
      <w:marLeft w:val="0"/>
      <w:marRight w:val="0"/>
      <w:marTop w:val="0"/>
      <w:marBottom w:val="0"/>
      <w:divBdr>
        <w:top w:val="none" w:sz="0" w:space="0" w:color="auto"/>
        <w:left w:val="none" w:sz="0" w:space="0" w:color="auto"/>
        <w:bottom w:val="none" w:sz="0" w:space="0" w:color="auto"/>
        <w:right w:val="none" w:sz="0" w:space="0" w:color="auto"/>
      </w:divBdr>
    </w:div>
    <w:div w:id="1663851177">
      <w:bodyDiv w:val="1"/>
      <w:marLeft w:val="0"/>
      <w:marRight w:val="0"/>
      <w:marTop w:val="0"/>
      <w:marBottom w:val="0"/>
      <w:divBdr>
        <w:top w:val="none" w:sz="0" w:space="0" w:color="auto"/>
        <w:left w:val="none" w:sz="0" w:space="0" w:color="auto"/>
        <w:bottom w:val="none" w:sz="0" w:space="0" w:color="auto"/>
        <w:right w:val="none" w:sz="0" w:space="0" w:color="auto"/>
      </w:divBdr>
    </w:div>
    <w:div w:id="1664314205">
      <w:bodyDiv w:val="1"/>
      <w:marLeft w:val="0"/>
      <w:marRight w:val="0"/>
      <w:marTop w:val="0"/>
      <w:marBottom w:val="0"/>
      <w:divBdr>
        <w:top w:val="none" w:sz="0" w:space="0" w:color="auto"/>
        <w:left w:val="none" w:sz="0" w:space="0" w:color="auto"/>
        <w:bottom w:val="none" w:sz="0" w:space="0" w:color="auto"/>
        <w:right w:val="none" w:sz="0" w:space="0" w:color="auto"/>
      </w:divBdr>
    </w:div>
    <w:div w:id="1664433900">
      <w:bodyDiv w:val="1"/>
      <w:marLeft w:val="0"/>
      <w:marRight w:val="0"/>
      <w:marTop w:val="0"/>
      <w:marBottom w:val="0"/>
      <w:divBdr>
        <w:top w:val="none" w:sz="0" w:space="0" w:color="auto"/>
        <w:left w:val="none" w:sz="0" w:space="0" w:color="auto"/>
        <w:bottom w:val="none" w:sz="0" w:space="0" w:color="auto"/>
        <w:right w:val="none" w:sz="0" w:space="0" w:color="auto"/>
      </w:divBdr>
    </w:div>
    <w:div w:id="1665158130">
      <w:bodyDiv w:val="1"/>
      <w:marLeft w:val="0"/>
      <w:marRight w:val="0"/>
      <w:marTop w:val="0"/>
      <w:marBottom w:val="0"/>
      <w:divBdr>
        <w:top w:val="none" w:sz="0" w:space="0" w:color="auto"/>
        <w:left w:val="none" w:sz="0" w:space="0" w:color="auto"/>
        <w:bottom w:val="none" w:sz="0" w:space="0" w:color="auto"/>
        <w:right w:val="none" w:sz="0" w:space="0" w:color="auto"/>
      </w:divBdr>
    </w:div>
    <w:div w:id="1665282421">
      <w:bodyDiv w:val="1"/>
      <w:marLeft w:val="0"/>
      <w:marRight w:val="0"/>
      <w:marTop w:val="0"/>
      <w:marBottom w:val="0"/>
      <w:divBdr>
        <w:top w:val="none" w:sz="0" w:space="0" w:color="auto"/>
        <w:left w:val="none" w:sz="0" w:space="0" w:color="auto"/>
        <w:bottom w:val="none" w:sz="0" w:space="0" w:color="auto"/>
        <w:right w:val="none" w:sz="0" w:space="0" w:color="auto"/>
      </w:divBdr>
    </w:div>
    <w:div w:id="1665813955">
      <w:bodyDiv w:val="1"/>
      <w:marLeft w:val="0"/>
      <w:marRight w:val="0"/>
      <w:marTop w:val="0"/>
      <w:marBottom w:val="0"/>
      <w:divBdr>
        <w:top w:val="none" w:sz="0" w:space="0" w:color="auto"/>
        <w:left w:val="none" w:sz="0" w:space="0" w:color="auto"/>
        <w:bottom w:val="none" w:sz="0" w:space="0" w:color="auto"/>
        <w:right w:val="none" w:sz="0" w:space="0" w:color="auto"/>
      </w:divBdr>
    </w:div>
    <w:div w:id="1665863544">
      <w:bodyDiv w:val="1"/>
      <w:marLeft w:val="0"/>
      <w:marRight w:val="0"/>
      <w:marTop w:val="0"/>
      <w:marBottom w:val="0"/>
      <w:divBdr>
        <w:top w:val="none" w:sz="0" w:space="0" w:color="auto"/>
        <w:left w:val="none" w:sz="0" w:space="0" w:color="auto"/>
        <w:bottom w:val="none" w:sz="0" w:space="0" w:color="auto"/>
        <w:right w:val="none" w:sz="0" w:space="0" w:color="auto"/>
      </w:divBdr>
    </w:div>
    <w:div w:id="1666324344">
      <w:bodyDiv w:val="1"/>
      <w:marLeft w:val="0"/>
      <w:marRight w:val="0"/>
      <w:marTop w:val="0"/>
      <w:marBottom w:val="0"/>
      <w:divBdr>
        <w:top w:val="none" w:sz="0" w:space="0" w:color="auto"/>
        <w:left w:val="none" w:sz="0" w:space="0" w:color="auto"/>
        <w:bottom w:val="none" w:sz="0" w:space="0" w:color="auto"/>
        <w:right w:val="none" w:sz="0" w:space="0" w:color="auto"/>
      </w:divBdr>
    </w:div>
    <w:div w:id="1666543756">
      <w:bodyDiv w:val="1"/>
      <w:marLeft w:val="0"/>
      <w:marRight w:val="0"/>
      <w:marTop w:val="0"/>
      <w:marBottom w:val="0"/>
      <w:divBdr>
        <w:top w:val="none" w:sz="0" w:space="0" w:color="auto"/>
        <w:left w:val="none" w:sz="0" w:space="0" w:color="auto"/>
        <w:bottom w:val="none" w:sz="0" w:space="0" w:color="auto"/>
        <w:right w:val="none" w:sz="0" w:space="0" w:color="auto"/>
      </w:divBdr>
    </w:div>
    <w:div w:id="1666860842">
      <w:bodyDiv w:val="1"/>
      <w:marLeft w:val="0"/>
      <w:marRight w:val="0"/>
      <w:marTop w:val="0"/>
      <w:marBottom w:val="0"/>
      <w:divBdr>
        <w:top w:val="none" w:sz="0" w:space="0" w:color="auto"/>
        <w:left w:val="none" w:sz="0" w:space="0" w:color="auto"/>
        <w:bottom w:val="none" w:sz="0" w:space="0" w:color="auto"/>
        <w:right w:val="none" w:sz="0" w:space="0" w:color="auto"/>
      </w:divBdr>
    </w:div>
    <w:div w:id="1667250286">
      <w:bodyDiv w:val="1"/>
      <w:marLeft w:val="0"/>
      <w:marRight w:val="0"/>
      <w:marTop w:val="0"/>
      <w:marBottom w:val="0"/>
      <w:divBdr>
        <w:top w:val="none" w:sz="0" w:space="0" w:color="auto"/>
        <w:left w:val="none" w:sz="0" w:space="0" w:color="auto"/>
        <w:bottom w:val="none" w:sz="0" w:space="0" w:color="auto"/>
        <w:right w:val="none" w:sz="0" w:space="0" w:color="auto"/>
      </w:divBdr>
    </w:div>
    <w:div w:id="1667708188">
      <w:bodyDiv w:val="1"/>
      <w:marLeft w:val="0"/>
      <w:marRight w:val="0"/>
      <w:marTop w:val="0"/>
      <w:marBottom w:val="0"/>
      <w:divBdr>
        <w:top w:val="none" w:sz="0" w:space="0" w:color="auto"/>
        <w:left w:val="none" w:sz="0" w:space="0" w:color="auto"/>
        <w:bottom w:val="none" w:sz="0" w:space="0" w:color="auto"/>
        <w:right w:val="none" w:sz="0" w:space="0" w:color="auto"/>
      </w:divBdr>
    </w:div>
    <w:div w:id="1669022268">
      <w:bodyDiv w:val="1"/>
      <w:marLeft w:val="0"/>
      <w:marRight w:val="0"/>
      <w:marTop w:val="0"/>
      <w:marBottom w:val="0"/>
      <w:divBdr>
        <w:top w:val="none" w:sz="0" w:space="0" w:color="auto"/>
        <w:left w:val="none" w:sz="0" w:space="0" w:color="auto"/>
        <w:bottom w:val="none" w:sz="0" w:space="0" w:color="auto"/>
        <w:right w:val="none" w:sz="0" w:space="0" w:color="auto"/>
      </w:divBdr>
    </w:div>
    <w:div w:id="1669288314">
      <w:bodyDiv w:val="1"/>
      <w:marLeft w:val="0"/>
      <w:marRight w:val="0"/>
      <w:marTop w:val="0"/>
      <w:marBottom w:val="0"/>
      <w:divBdr>
        <w:top w:val="none" w:sz="0" w:space="0" w:color="auto"/>
        <w:left w:val="none" w:sz="0" w:space="0" w:color="auto"/>
        <w:bottom w:val="none" w:sz="0" w:space="0" w:color="auto"/>
        <w:right w:val="none" w:sz="0" w:space="0" w:color="auto"/>
      </w:divBdr>
    </w:div>
    <w:div w:id="1669553229">
      <w:bodyDiv w:val="1"/>
      <w:marLeft w:val="0"/>
      <w:marRight w:val="0"/>
      <w:marTop w:val="0"/>
      <w:marBottom w:val="0"/>
      <w:divBdr>
        <w:top w:val="none" w:sz="0" w:space="0" w:color="auto"/>
        <w:left w:val="none" w:sz="0" w:space="0" w:color="auto"/>
        <w:bottom w:val="none" w:sz="0" w:space="0" w:color="auto"/>
        <w:right w:val="none" w:sz="0" w:space="0" w:color="auto"/>
      </w:divBdr>
    </w:div>
    <w:div w:id="1669557926">
      <w:bodyDiv w:val="1"/>
      <w:marLeft w:val="0"/>
      <w:marRight w:val="0"/>
      <w:marTop w:val="0"/>
      <w:marBottom w:val="0"/>
      <w:divBdr>
        <w:top w:val="none" w:sz="0" w:space="0" w:color="auto"/>
        <w:left w:val="none" w:sz="0" w:space="0" w:color="auto"/>
        <w:bottom w:val="none" w:sz="0" w:space="0" w:color="auto"/>
        <w:right w:val="none" w:sz="0" w:space="0" w:color="auto"/>
      </w:divBdr>
    </w:div>
    <w:div w:id="1669670912">
      <w:bodyDiv w:val="1"/>
      <w:marLeft w:val="0"/>
      <w:marRight w:val="0"/>
      <w:marTop w:val="0"/>
      <w:marBottom w:val="0"/>
      <w:divBdr>
        <w:top w:val="none" w:sz="0" w:space="0" w:color="auto"/>
        <w:left w:val="none" w:sz="0" w:space="0" w:color="auto"/>
        <w:bottom w:val="none" w:sz="0" w:space="0" w:color="auto"/>
        <w:right w:val="none" w:sz="0" w:space="0" w:color="auto"/>
      </w:divBdr>
    </w:div>
    <w:div w:id="1669938179">
      <w:bodyDiv w:val="1"/>
      <w:marLeft w:val="0"/>
      <w:marRight w:val="0"/>
      <w:marTop w:val="0"/>
      <w:marBottom w:val="0"/>
      <w:divBdr>
        <w:top w:val="none" w:sz="0" w:space="0" w:color="auto"/>
        <w:left w:val="none" w:sz="0" w:space="0" w:color="auto"/>
        <w:bottom w:val="none" w:sz="0" w:space="0" w:color="auto"/>
        <w:right w:val="none" w:sz="0" w:space="0" w:color="auto"/>
      </w:divBdr>
    </w:div>
    <w:div w:id="1669944194">
      <w:bodyDiv w:val="1"/>
      <w:marLeft w:val="0"/>
      <w:marRight w:val="0"/>
      <w:marTop w:val="0"/>
      <w:marBottom w:val="0"/>
      <w:divBdr>
        <w:top w:val="none" w:sz="0" w:space="0" w:color="auto"/>
        <w:left w:val="none" w:sz="0" w:space="0" w:color="auto"/>
        <w:bottom w:val="none" w:sz="0" w:space="0" w:color="auto"/>
        <w:right w:val="none" w:sz="0" w:space="0" w:color="auto"/>
      </w:divBdr>
    </w:div>
    <w:div w:id="1670212749">
      <w:bodyDiv w:val="1"/>
      <w:marLeft w:val="0"/>
      <w:marRight w:val="0"/>
      <w:marTop w:val="0"/>
      <w:marBottom w:val="0"/>
      <w:divBdr>
        <w:top w:val="none" w:sz="0" w:space="0" w:color="auto"/>
        <w:left w:val="none" w:sz="0" w:space="0" w:color="auto"/>
        <w:bottom w:val="none" w:sz="0" w:space="0" w:color="auto"/>
        <w:right w:val="none" w:sz="0" w:space="0" w:color="auto"/>
      </w:divBdr>
    </w:div>
    <w:div w:id="1671062335">
      <w:bodyDiv w:val="1"/>
      <w:marLeft w:val="0"/>
      <w:marRight w:val="0"/>
      <w:marTop w:val="0"/>
      <w:marBottom w:val="0"/>
      <w:divBdr>
        <w:top w:val="none" w:sz="0" w:space="0" w:color="auto"/>
        <w:left w:val="none" w:sz="0" w:space="0" w:color="auto"/>
        <w:bottom w:val="none" w:sz="0" w:space="0" w:color="auto"/>
        <w:right w:val="none" w:sz="0" w:space="0" w:color="auto"/>
      </w:divBdr>
    </w:div>
    <w:div w:id="1671523157">
      <w:bodyDiv w:val="1"/>
      <w:marLeft w:val="0"/>
      <w:marRight w:val="0"/>
      <w:marTop w:val="0"/>
      <w:marBottom w:val="0"/>
      <w:divBdr>
        <w:top w:val="none" w:sz="0" w:space="0" w:color="auto"/>
        <w:left w:val="none" w:sz="0" w:space="0" w:color="auto"/>
        <w:bottom w:val="none" w:sz="0" w:space="0" w:color="auto"/>
        <w:right w:val="none" w:sz="0" w:space="0" w:color="auto"/>
      </w:divBdr>
    </w:div>
    <w:div w:id="1671565214">
      <w:bodyDiv w:val="1"/>
      <w:marLeft w:val="0"/>
      <w:marRight w:val="0"/>
      <w:marTop w:val="0"/>
      <w:marBottom w:val="0"/>
      <w:divBdr>
        <w:top w:val="none" w:sz="0" w:space="0" w:color="auto"/>
        <w:left w:val="none" w:sz="0" w:space="0" w:color="auto"/>
        <w:bottom w:val="none" w:sz="0" w:space="0" w:color="auto"/>
        <w:right w:val="none" w:sz="0" w:space="0" w:color="auto"/>
      </w:divBdr>
    </w:div>
    <w:div w:id="1671635832">
      <w:bodyDiv w:val="1"/>
      <w:marLeft w:val="0"/>
      <w:marRight w:val="0"/>
      <w:marTop w:val="0"/>
      <w:marBottom w:val="0"/>
      <w:divBdr>
        <w:top w:val="none" w:sz="0" w:space="0" w:color="auto"/>
        <w:left w:val="none" w:sz="0" w:space="0" w:color="auto"/>
        <w:bottom w:val="none" w:sz="0" w:space="0" w:color="auto"/>
        <w:right w:val="none" w:sz="0" w:space="0" w:color="auto"/>
      </w:divBdr>
    </w:div>
    <w:div w:id="1671641576">
      <w:bodyDiv w:val="1"/>
      <w:marLeft w:val="0"/>
      <w:marRight w:val="0"/>
      <w:marTop w:val="0"/>
      <w:marBottom w:val="0"/>
      <w:divBdr>
        <w:top w:val="none" w:sz="0" w:space="0" w:color="auto"/>
        <w:left w:val="none" w:sz="0" w:space="0" w:color="auto"/>
        <w:bottom w:val="none" w:sz="0" w:space="0" w:color="auto"/>
        <w:right w:val="none" w:sz="0" w:space="0" w:color="auto"/>
      </w:divBdr>
    </w:div>
    <w:div w:id="1671642204">
      <w:bodyDiv w:val="1"/>
      <w:marLeft w:val="0"/>
      <w:marRight w:val="0"/>
      <w:marTop w:val="0"/>
      <w:marBottom w:val="0"/>
      <w:divBdr>
        <w:top w:val="none" w:sz="0" w:space="0" w:color="auto"/>
        <w:left w:val="none" w:sz="0" w:space="0" w:color="auto"/>
        <w:bottom w:val="none" w:sz="0" w:space="0" w:color="auto"/>
        <w:right w:val="none" w:sz="0" w:space="0" w:color="auto"/>
      </w:divBdr>
    </w:div>
    <w:div w:id="1671712109">
      <w:bodyDiv w:val="1"/>
      <w:marLeft w:val="0"/>
      <w:marRight w:val="0"/>
      <w:marTop w:val="0"/>
      <w:marBottom w:val="0"/>
      <w:divBdr>
        <w:top w:val="none" w:sz="0" w:space="0" w:color="auto"/>
        <w:left w:val="none" w:sz="0" w:space="0" w:color="auto"/>
        <w:bottom w:val="none" w:sz="0" w:space="0" w:color="auto"/>
        <w:right w:val="none" w:sz="0" w:space="0" w:color="auto"/>
      </w:divBdr>
    </w:div>
    <w:div w:id="1671832748">
      <w:bodyDiv w:val="1"/>
      <w:marLeft w:val="0"/>
      <w:marRight w:val="0"/>
      <w:marTop w:val="0"/>
      <w:marBottom w:val="0"/>
      <w:divBdr>
        <w:top w:val="none" w:sz="0" w:space="0" w:color="auto"/>
        <w:left w:val="none" w:sz="0" w:space="0" w:color="auto"/>
        <w:bottom w:val="none" w:sz="0" w:space="0" w:color="auto"/>
        <w:right w:val="none" w:sz="0" w:space="0" w:color="auto"/>
      </w:divBdr>
    </w:div>
    <w:div w:id="1672026094">
      <w:bodyDiv w:val="1"/>
      <w:marLeft w:val="0"/>
      <w:marRight w:val="0"/>
      <w:marTop w:val="0"/>
      <w:marBottom w:val="0"/>
      <w:divBdr>
        <w:top w:val="none" w:sz="0" w:space="0" w:color="auto"/>
        <w:left w:val="none" w:sz="0" w:space="0" w:color="auto"/>
        <w:bottom w:val="none" w:sz="0" w:space="0" w:color="auto"/>
        <w:right w:val="none" w:sz="0" w:space="0" w:color="auto"/>
      </w:divBdr>
    </w:div>
    <w:div w:id="1672676214">
      <w:bodyDiv w:val="1"/>
      <w:marLeft w:val="0"/>
      <w:marRight w:val="0"/>
      <w:marTop w:val="0"/>
      <w:marBottom w:val="0"/>
      <w:divBdr>
        <w:top w:val="none" w:sz="0" w:space="0" w:color="auto"/>
        <w:left w:val="none" w:sz="0" w:space="0" w:color="auto"/>
        <w:bottom w:val="none" w:sz="0" w:space="0" w:color="auto"/>
        <w:right w:val="none" w:sz="0" w:space="0" w:color="auto"/>
      </w:divBdr>
    </w:div>
    <w:div w:id="1672754241">
      <w:bodyDiv w:val="1"/>
      <w:marLeft w:val="0"/>
      <w:marRight w:val="0"/>
      <w:marTop w:val="0"/>
      <w:marBottom w:val="0"/>
      <w:divBdr>
        <w:top w:val="none" w:sz="0" w:space="0" w:color="auto"/>
        <w:left w:val="none" w:sz="0" w:space="0" w:color="auto"/>
        <w:bottom w:val="none" w:sz="0" w:space="0" w:color="auto"/>
        <w:right w:val="none" w:sz="0" w:space="0" w:color="auto"/>
      </w:divBdr>
    </w:div>
    <w:div w:id="1673098494">
      <w:bodyDiv w:val="1"/>
      <w:marLeft w:val="0"/>
      <w:marRight w:val="0"/>
      <w:marTop w:val="0"/>
      <w:marBottom w:val="0"/>
      <w:divBdr>
        <w:top w:val="none" w:sz="0" w:space="0" w:color="auto"/>
        <w:left w:val="none" w:sz="0" w:space="0" w:color="auto"/>
        <w:bottom w:val="none" w:sz="0" w:space="0" w:color="auto"/>
        <w:right w:val="none" w:sz="0" w:space="0" w:color="auto"/>
      </w:divBdr>
    </w:div>
    <w:div w:id="1673099638">
      <w:bodyDiv w:val="1"/>
      <w:marLeft w:val="0"/>
      <w:marRight w:val="0"/>
      <w:marTop w:val="0"/>
      <w:marBottom w:val="0"/>
      <w:divBdr>
        <w:top w:val="none" w:sz="0" w:space="0" w:color="auto"/>
        <w:left w:val="none" w:sz="0" w:space="0" w:color="auto"/>
        <w:bottom w:val="none" w:sz="0" w:space="0" w:color="auto"/>
        <w:right w:val="none" w:sz="0" w:space="0" w:color="auto"/>
      </w:divBdr>
    </w:div>
    <w:div w:id="1673215221">
      <w:bodyDiv w:val="1"/>
      <w:marLeft w:val="0"/>
      <w:marRight w:val="0"/>
      <w:marTop w:val="0"/>
      <w:marBottom w:val="0"/>
      <w:divBdr>
        <w:top w:val="none" w:sz="0" w:space="0" w:color="auto"/>
        <w:left w:val="none" w:sz="0" w:space="0" w:color="auto"/>
        <w:bottom w:val="none" w:sz="0" w:space="0" w:color="auto"/>
        <w:right w:val="none" w:sz="0" w:space="0" w:color="auto"/>
      </w:divBdr>
    </w:div>
    <w:div w:id="1673289219">
      <w:bodyDiv w:val="1"/>
      <w:marLeft w:val="0"/>
      <w:marRight w:val="0"/>
      <w:marTop w:val="0"/>
      <w:marBottom w:val="0"/>
      <w:divBdr>
        <w:top w:val="none" w:sz="0" w:space="0" w:color="auto"/>
        <w:left w:val="none" w:sz="0" w:space="0" w:color="auto"/>
        <w:bottom w:val="none" w:sz="0" w:space="0" w:color="auto"/>
        <w:right w:val="none" w:sz="0" w:space="0" w:color="auto"/>
      </w:divBdr>
    </w:div>
    <w:div w:id="1673995588">
      <w:bodyDiv w:val="1"/>
      <w:marLeft w:val="0"/>
      <w:marRight w:val="0"/>
      <w:marTop w:val="0"/>
      <w:marBottom w:val="0"/>
      <w:divBdr>
        <w:top w:val="none" w:sz="0" w:space="0" w:color="auto"/>
        <w:left w:val="none" w:sz="0" w:space="0" w:color="auto"/>
        <w:bottom w:val="none" w:sz="0" w:space="0" w:color="auto"/>
        <w:right w:val="none" w:sz="0" w:space="0" w:color="auto"/>
      </w:divBdr>
    </w:div>
    <w:div w:id="1675263857">
      <w:bodyDiv w:val="1"/>
      <w:marLeft w:val="0"/>
      <w:marRight w:val="0"/>
      <w:marTop w:val="0"/>
      <w:marBottom w:val="0"/>
      <w:divBdr>
        <w:top w:val="none" w:sz="0" w:space="0" w:color="auto"/>
        <w:left w:val="none" w:sz="0" w:space="0" w:color="auto"/>
        <w:bottom w:val="none" w:sz="0" w:space="0" w:color="auto"/>
        <w:right w:val="none" w:sz="0" w:space="0" w:color="auto"/>
      </w:divBdr>
    </w:div>
    <w:div w:id="1675455271">
      <w:bodyDiv w:val="1"/>
      <w:marLeft w:val="0"/>
      <w:marRight w:val="0"/>
      <w:marTop w:val="0"/>
      <w:marBottom w:val="0"/>
      <w:divBdr>
        <w:top w:val="none" w:sz="0" w:space="0" w:color="auto"/>
        <w:left w:val="none" w:sz="0" w:space="0" w:color="auto"/>
        <w:bottom w:val="none" w:sz="0" w:space="0" w:color="auto"/>
        <w:right w:val="none" w:sz="0" w:space="0" w:color="auto"/>
      </w:divBdr>
    </w:div>
    <w:div w:id="1675953362">
      <w:bodyDiv w:val="1"/>
      <w:marLeft w:val="0"/>
      <w:marRight w:val="0"/>
      <w:marTop w:val="0"/>
      <w:marBottom w:val="0"/>
      <w:divBdr>
        <w:top w:val="none" w:sz="0" w:space="0" w:color="auto"/>
        <w:left w:val="none" w:sz="0" w:space="0" w:color="auto"/>
        <w:bottom w:val="none" w:sz="0" w:space="0" w:color="auto"/>
        <w:right w:val="none" w:sz="0" w:space="0" w:color="auto"/>
      </w:divBdr>
    </w:div>
    <w:div w:id="1676346606">
      <w:bodyDiv w:val="1"/>
      <w:marLeft w:val="0"/>
      <w:marRight w:val="0"/>
      <w:marTop w:val="0"/>
      <w:marBottom w:val="0"/>
      <w:divBdr>
        <w:top w:val="none" w:sz="0" w:space="0" w:color="auto"/>
        <w:left w:val="none" w:sz="0" w:space="0" w:color="auto"/>
        <w:bottom w:val="none" w:sz="0" w:space="0" w:color="auto"/>
        <w:right w:val="none" w:sz="0" w:space="0" w:color="auto"/>
      </w:divBdr>
    </w:div>
    <w:div w:id="1676497422">
      <w:bodyDiv w:val="1"/>
      <w:marLeft w:val="0"/>
      <w:marRight w:val="0"/>
      <w:marTop w:val="0"/>
      <w:marBottom w:val="0"/>
      <w:divBdr>
        <w:top w:val="none" w:sz="0" w:space="0" w:color="auto"/>
        <w:left w:val="none" w:sz="0" w:space="0" w:color="auto"/>
        <w:bottom w:val="none" w:sz="0" w:space="0" w:color="auto"/>
        <w:right w:val="none" w:sz="0" w:space="0" w:color="auto"/>
      </w:divBdr>
    </w:div>
    <w:div w:id="1676766231">
      <w:bodyDiv w:val="1"/>
      <w:marLeft w:val="0"/>
      <w:marRight w:val="0"/>
      <w:marTop w:val="0"/>
      <w:marBottom w:val="0"/>
      <w:divBdr>
        <w:top w:val="none" w:sz="0" w:space="0" w:color="auto"/>
        <w:left w:val="none" w:sz="0" w:space="0" w:color="auto"/>
        <w:bottom w:val="none" w:sz="0" w:space="0" w:color="auto"/>
        <w:right w:val="none" w:sz="0" w:space="0" w:color="auto"/>
      </w:divBdr>
    </w:div>
    <w:div w:id="1676953055">
      <w:bodyDiv w:val="1"/>
      <w:marLeft w:val="0"/>
      <w:marRight w:val="0"/>
      <w:marTop w:val="0"/>
      <w:marBottom w:val="0"/>
      <w:divBdr>
        <w:top w:val="none" w:sz="0" w:space="0" w:color="auto"/>
        <w:left w:val="none" w:sz="0" w:space="0" w:color="auto"/>
        <w:bottom w:val="none" w:sz="0" w:space="0" w:color="auto"/>
        <w:right w:val="none" w:sz="0" w:space="0" w:color="auto"/>
      </w:divBdr>
    </w:div>
    <w:div w:id="1677030661">
      <w:bodyDiv w:val="1"/>
      <w:marLeft w:val="0"/>
      <w:marRight w:val="0"/>
      <w:marTop w:val="0"/>
      <w:marBottom w:val="0"/>
      <w:divBdr>
        <w:top w:val="none" w:sz="0" w:space="0" w:color="auto"/>
        <w:left w:val="none" w:sz="0" w:space="0" w:color="auto"/>
        <w:bottom w:val="none" w:sz="0" w:space="0" w:color="auto"/>
        <w:right w:val="none" w:sz="0" w:space="0" w:color="auto"/>
      </w:divBdr>
    </w:div>
    <w:div w:id="1677423201">
      <w:bodyDiv w:val="1"/>
      <w:marLeft w:val="0"/>
      <w:marRight w:val="0"/>
      <w:marTop w:val="0"/>
      <w:marBottom w:val="0"/>
      <w:divBdr>
        <w:top w:val="none" w:sz="0" w:space="0" w:color="auto"/>
        <w:left w:val="none" w:sz="0" w:space="0" w:color="auto"/>
        <w:bottom w:val="none" w:sz="0" w:space="0" w:color="auto"/>
        <w:right w:val="none" w:sz="0" w:space="0" w:color="auto"/>
      </w:divBdr>
    </w:div>
    <w:div w:id="1677683774">
      <w:bodyDiv w:val="1"/>
      <w:marLeft w:val="0"/>
      <w:marRight w:val="0"/>
      <w:marTop w:val="0"/>
      <w:marBottom w:val="0"/>
      <w:divBdr>
        <w:top w:val="none" w:sz="0" w:space="0" w:color="auto"/>
        <w:left w:val="none" w:sz="0" w:space="0" w:color="auto"/>
        <w:bottom w:val="none" w:sz="0" w:space="0" w:color="auto"/>
        <w:right w:val="none" w:sz="0" w:space="0" w:color="auto"/>
      </w:divBdr>
    </w:div>
    <w:div w:id="1677921624">
      <w:bodyDiv w:val="1"/>
      <w:marLeft w:val="0"/>
      <w:marRight w:val="0"/>
      <w:marTop w:val="0"/>
      <w:marBottom w:val="0"/>
      <w:divBdr>
        <w:top w:val="none" w:sz="0" w:space="0" w:color="auto"/>
        <w:left w:val="none" w:sz="0" w:space="0" w:color="auto"/>
        <w:bottom w:val="none" w:sz="0" w:space="0" w:color="auto"/>
        <w:right w:val="none" w:sz="0" w:space="0" w:color="auto"/>
      </w:divBdr>
    </w:div>
    <w:div w:id="1678341390">
      <w:bodyDiv w:val="1"/>
      <w:marLeft w:val="0"/>
      <w:marRight w:val="0"/>
      <w:marTop w:val="0"/>
      <w:marBottom w:val="0"/>
      <w:divBdr>
        <w:top w:val="none" w:sz="0" w:space="0" w:color="auto"/>
        <w:left w:val="none" w:sz="0" w:space="0" w:color="auto"/>
        <w:bottom w:val="none" w:sz="0" w:space="0" w:color="auto"/>
        <w:right w:val="none" w:sz="0" w:space="0" w:color="auto"/>
      </w:divBdr>
    </w:div>
    <w:div w:id="1678382573">
      <w:bodyDiv w:val="1"/>
      <w:marLeft w:val="0"/>
      <w:marRight w:val="0"/>
      <w:marTop w:val="0"/>
      <w:marBottom w:val="0"/>
      <w:divBdr>
        <w:top w:val="none" w:sz="0" w:space="0" w:color="auto"/>
        <w:left w:val="none" w:sz="0" w:space="0" w:color="auto"/>
        <w:bottom w:val="none" w:sz="0" w:space="0" w:color="auto"/>
        <w:right w:val="none" w:sz="0" w:space="0" w:color="auto"/>
      </w:divBdr>
    </w:div>
    <w:div w:id="1678463558">
      <w:bodyDiv w:val="1"/>
      <w:marLeft w:val="0"/>
      <w:marRight w:val="0"/>
      <w:marTop w:val="0"/>
      <w:marBottom w:val="0"/>
      <w:divBdr>
        <w:top w:val="none" w:sz="0" w:space="0" w:color="auto"/>
        <w:left w:val="none" w:sz="0" w:space="0" w:color="auto"/>
        <w:bottom w:val="none" w:sz="0" w:space="0" w:color="auto"/>
        <w:right w:val="none" w:sz="0" w:space="0" w:color="auto"/>
      </w:divBdr>
    </w:div>
    <w:div w:id="1678532048">
      <w:bodyDiv w:val="1"/>
      <w:marLeft w:val="0"/>
      <w:marRight w:val="0"/>
      <w:marTop w:val="0"/>
      <w:marBottom w:val="0"/>
      <w:divBdr>
        <w:top w:val="none" w:sz="0" w:space="0" w:color="auto"/>
        <w:left w:val="none" w:sz="0" w:space="0" w:color="auto"/>
        <w:bottom w:val="none" w:sz="0" w:space="0" w:color="auto"/>
        <w:right w:val="none" w:sz="0" w:space="0" w:color="auto"/>
      </w:divBdr>
    </w:div>
    <w:div w:id="1678845921">
      <w:bodyDiv w:val="1"/>
      <w:marLeft w:val="0"/>
      <w:marRight w:val="0"/>
      <w:marTop w:val="0"/>
      <w:marBottom w:val="0"/>
      <w:divBdr>
        <w:top w:val="none" w:sz="0" w:space="0" w:color="auto"/>
        <w:left w:val="none" w:sz="0" w:space="0" w:color="auto"/>
        <w:bottom w:val="none" w:sz="0" w:space="0" w:color="auto"/>
        <w:right w:val="none" w:sz="0" w:space="0" w:color="auto"/>
      </w:divBdr>
    </w:div>
    <w:div w:id="1678999330">
      <w:bodyDiv w:val="1"/>
      <w:marLeft w:val="0"/>
      <w:marRight w:val="0"/>
      <w:marTop w:val="0"/>
      <w:marBottom w:val="0"/>
      <w:divBdr>
        <w:top w:val="none" w:sz="0" w:space="0" w:color="auto"/>
        <w:left w:val="none" w:sz="0" w:space="0" w:color="auto"/>
        <w:bottom w:val="none" w:sz="0" w:space="0" w:color="auto"/>
        <w:right w:val="none" w:sz="0" w:space="0" w:color="auto"/>
      </w:divBdr>
    </w:div>
    <w:div w:id="1679381359">
      <w:bodyDiv w:val="1"/>
      <w:marLeft w:val="0"/>
      <w:marRight w:val="0"/>
      <w:marTop w:val="0"/>
      <w:marBottom w:val="0"/>
      <w:divBdr>
        <w:top w:val="none" w:sz="0" w:space="0" w:color="auto"/>
        <w:left w:val="none" w:sz="0" w:space="0" w:color="auto"/>
        <w:bottom w:val="none" w:sz="0" w:space="0" w:color="auto"/>
        <w:right w:val="none" w:sz="0" w:space="0" w:color="auto"/>
      </w:divBdr>
    </w:div>
    <w:div w:id="1680304830">
      <w:bodyDiv w:val="1"/>
      <w:marLeft w:val="0"/>
      <w:marRight w:val="0"/>
      <w:marTop w:val="0"/>
      <w:marBottom w:val="0"/>
      <w:divBdr>
        <w:top w:val="none" w:sz="0" w:space="0" w:color="auto"/>
        <w:left w:val="none" w:sz="0" w:space="0" w:color="auto"/>
        <w:bottom w:val="none" w:sz="0" w:space="0" w:color="auto"/>
        <w:right w:val="none" w:sz="0" w:space="0" w:color="auto"/>
      </w:divBdr>
    </w:div>
    <w:div w:id="1680308035">
      <w:bodyDiv w:val="1"/>
      <w:marLeft w:val="0"/>
      <w:marRight w:val="0"/>
      <w:marTop w:val="0"/>
      <w:marBottom w:val="0"/>
      <w:divBdr>
        <w:top w:val="none" w:sz="0" w:space="0" w:color="auto"/>
        <w:left w:val="none" w:sz="0" w:space="0" w:color="auto"/>
        <w:bottom w:val="none" w:sz="0" w:space="0" w:color="auto"/>
        <w:right w:val="none" w:sz="0" w:space="0" w:color="auto"/>
      </w:divBdr>
    </w:div>
    <w:div w:id="1681545449">
      <w:bodyDiv w:val="1"/>
      <w:marLeft w:val="0"/>
      <w:marRight w:val="0"/>
      <w:marTop w:val="0"/>
      <w:marBottom w:val="0"/>
      <w:divBdr>
        <w:top w:val="none" w:sz="0" w:space="0" w:color="auto"/>
        <w:left w:val="none" w:sz="0" w:space="0" w:color="auto"/>
        <w:bottom w:val="none" w:sz="0" w:space="0" w:color="auto"/>
        <w:right w:val="none" w:sz="0" w:space="0" w:color="auto"/>
      </w:divBdr>
    </w:div>
    <w:div w:id="1681617204">
      <w:bodyDiv w:val="1"/>
      <w:marLeft w:val="0"/>
      <w:marRight w:val="0"/>
      <w:marTop w:val="0"/>
      <w:marBottom w:val="0"/>
      <w:divBdr>
        <w:top w:val="none" w:sz="0" w:space="0" w:color="auto"/>
        <w:left w:val="none" w:sz="0" w:space="0" w:color="auto"/>
        <w:bottom w:val="none" w:sz="0" w:space="0" w:color="auto"/>
        <w:right w:val="none" w:sz="0" w:space="0" w:color="auto"/>
      </w:divBdr>
    </w:div>
    <w:div w:id="1681732194">
      <w:bodyDiv w:val="1"/>
      <w:marLeft w:val="0"/>
      <w:marRight w:val="0"/>
      <w:marTop w:val="0"/>
      <w:marBottom w:val="0"/>
      <w:divBdr>
        <w:top w:val="none" w:sz="0" w:space="0" w:color="auto"/>
        <w:left w:val="none" w:sz="0" w:space="0" w:color="auto"/>
        <w:bottom w:val="none" w:sz="0" w:space="0" w:color="auto"/>
        <w:right w:val="none" w:sz="0" w:space="0" w:color="auto"/>
      </w:divBdr>
    </w:div>
    <w:div w:id="1681733967">
      <w:bodyDiv w:val="1"/>
      <w:marLeft w:val="0"/>
      <w:marRight w:val="0"/>
      <w:marTop w:val="0"/>
      <w:marBottom w:val="0"/>
      <w:divBdr>
        <w:top w:val="none" w:sz="0" w:space="0" w:color="auto"/>
        <w:left w:val="none" w:sz="0" w:space="0" w:color="auto"/>
        <w:bottom w:val="none" w:sz="0" w:space="0" w:color="auto"/>
        <w:right w:val="none" w:sz="0" w:space="0" w:color="auto"/>
      </w:divBdr>
    </w:div>
    <w:div w:id="1682899124">
      <w:bodyDiv w:val="1"/>
      <w:marLeft w:val="0"/>
      <w:marRight w:val="0"/>
      <w:marTop w:val="0"/>
      <w:marBottom w:val="0"/>
      <w:divBdr>
        <w:top w:val="none" w:sz="0" w:space="0" w:color="auto"/>
        <w:left w:val="none" w:sz="0" w:space="0" w:color="auto"/>
        <w:bottom w:val="none" w:sz="0" w:space="0" w:color="auto"/>
        <w:right w:val="none" w:sz="0" w:space="0" w:color="auto"/>
      </w:divBdr>
    </w:div>
    <w:div w:id="1683046143">
      <w:bodyDiv w:val="1"/>
      <w:marLeft w:val="0"/>
      <w:marRight w:val="0"/>
      <w:marTop w:val="0"/>
      <w:marBottom w:val="0"/>
      <w:divBdr>
        <w:top w:val="none" w:sz="0" w:space="0" w:color="auto"/>
        <w:left w:val="none" w:sz="0" w:space="0" w:color="auto"/>
        <w:bottom w:val="none" w:sz="0" w:space="0" w:color="auto"/>
        <w:right w:val="none" w:sz="0" w:space="0" w:color="auto"/>
      </w:divBdr>
    </w:div>
    <w:div w:id="1683318038">
      <w:bodyDiv w:val="1"/>
      <w:marLeft w:val="0"/>
      <w:marRight w:val="0"/>
      <w:marTop w:val="0"/>
      <w:marBottom w:val="0"/>
      <w:divBdr>
        <w:top w:val="none" w:sz="0" w:space="0" w:color="auto"/>
        <w:left w:val="none" w:sz="0" w:space="0" w:color="auto"/>
        <w:bottom w:val="none" w:sz="0" w:space="0" w:color="auto"/>
        <w:right w:val="none" w:sz="0" w:space="0" w:color="auto"/>
      </w:divBdr>
    </w:div>
    <w:div w:id="1685159758">
      <w:bodyDiv w:val="1"/>
      <w:marLeft w:val="0"/>
      <w:marRight w:val="0"/>
      <w:marTop w:val="0"/>
      <w:marBottom w:val="0"/>
      <w:divBdr>
        <w:top w:val="none" w:sz="0" w:space="0" w:color="auto"/>
        <w:left w:val="none" w:sz="0" w:space="0" w:color="auto"/>
        <w:bottom w:val="none" w:sz="0" w:space="0" w:color="auto"/>
        <w:right w:val="none" w:sz="0" w:space="0" w:color="auto"/>
      </w:divBdr>
    </w:div>
    <w:div w:id="1685787556">
      <w:bodyDiv w:val="1"/>
      <w:marLeft w:val="0"/>
      <w:marRight w:val="0"/>
      <w:marTop w:val="0"/>
      <w:marBottom w:val="0"/>
      <w:divBdr>
        <w:top w:val="none" w:sz="0" w:space="0" w:color="auto"/>
        <w:left w:val="none" w:sz="0" w:space="0" w:color="auto"/>
        <w:bottom w:val="none" w:sz="0" w:space="0" w:color="auto"/>
        <w:right w:val="none" w:sz="0" w:space="0" w:color="auto"/>
      </w:divBdr>
    </w:div>
    <w:div w:id="1686200930">
      <w:bodyDiv w:val="1"/>
      <w:marLeft w:val="0"/>
      <w:marRight w:val="0"/>
      <w:marTop w:val="0"/>
      <w:marBottom w:val="0"/>
      <w:divBdr>
        <w:top w:val="none" w:sz="0" w:space="0" w:color="auto"/>
        <w:left w:val="none" w:sz="0" w:space="0" w:color="auto"/>
        <w:bottom w:val="none" w:sz="0" w:space="0" w:color="auto"/>
        <w:right w:val="none" w:sz="0" w:space="0" w:color="auto"/>
      </w:divBdr>
    </w:div>
    <w:div w:id="1686706276">
      <w:bodyDiv w:val="1"/>
      <w:marLeft w:val="0"/>
      <w:marRight w:val="0"/>
      <w:marTop w:val="0"/>
      <w:marBottom w:val="0"/>
      <w:divBdr>
        <w:top w:val="none" w:sz="0" w:space="0" w:color="auto"/>
        <w:left w:val="none" w:sz="0" w:space="0" w:color="auto"/>
        <w:bottom w:val="none" w:sz="0" w:space="0" w:color="auto"/>
        <w:right w:val="none" w:sz="0" w:space="0" w:color="auto"/>
      </w:divBdr>
    </w:div>
    <w:div w:id="1687368430">
      <w:bodyDiv w:val="1"/>
      <w:marLeft w:val="0"/>
      <w:marRight w:val="0"/>
      <w:marTop w:val="0"/>
      <w:marBottom w:val="0"/>
      <w:divBdr>
        <w:top w:val="none" w:sz="0" w:space="0" w:color="auto"/>
        <w:left w:val="none" w:sz="0" w:space="0" w:color="auto"/>
        <w:bottom w:val="none" w:sz="0" w:space="0" w:color="auto"/>
        <w:right w:val="none" w:sz="0" w:space="0" w:color="auto"/>
      </w:divBdr>
    </w:div>
    <w:div w:id="1687488370">
      <w:bodyDiv w:val="1"/>
      <w:marLeft w:val="0"/>
      <w:marRight w:val="0"/>
      <w:marTop w:val="0"/>
      <w:marBottom w:val="0"/>
      <w:divBdr>
        <w:top w:val="none" w:sz="0" w:space="0" w:color="auto"/>
        <w:left w:val="none" w:sz="0" w:space="0" w:color="auto"/>
        <w:bottom w:val="none" w:sz="0" w:space="0" w:color="auto"/>
        <w:right w:val="none" w:sz="0" w:space="0" w:color="auto"/>
      </w:divBdr>
    </w:div>
    <w:div w:id="1687556799">
      <w:bodyDiv w:val="1"/>
      <w:marLeft w:val="0"/>
      <w:marRight w:val="0"/>
      <w:marTop w:val="0"/>
      <w:marBottom w:val="0"/>
      <w:divBdr>
        <w:top w:val="none" w:sz="0" w:space="0" w:color="auto"/>
        <w:left w:val="none" w:sz="0" w:space="0" w:color="auto"/>
        <w:bottom w:val="none" w:sz="0" w:space="0" w:color="auto"/>
        <w:right w:val="none" w:sz="0" w:space="0" w:color="auto"/>
      </w:divBdr>
    </w:div>
    <w:div w:id="1688091646">
      <w:bodyDiv w:val="1"/>
      <w:marLeft w:val="0"/>
      <w:marRight w:val="0"/>
      <w:marTop w:val="0"/>
      <w:marBottom w:val="0"/>
      <w:divBdr>
        <w:top w:val="none" w:sz="0" w:space="0" w:color="auto"/>
        <w:left w:val="none" w:sz="0" w:space="0" w:color="auto"/>
        <w:bottom w:val="none" w:sz="0" w:space="0" w:color="auto"/>
        <w:right w:val="none" w:sz="0" w:space="0" w:color="auto"/>
      </w:divBdr>
    </w:div>
    <w:div w:id="1689212067">
      <w:bodyDiv w:val="1"/>
      <w:marLeft w:val="0"/>
      <w:marRight w:val="0"/>
      <w:marTop w:val="0"/>
      <w:marBottom w:val="0"/>
      <w:divBdr>
        <w:top w:val="none" w:sz="0" w:space="0" w:color="auto"/>
        <w:left w:val="none" w:sz="0" w:space="0" w:color="auto"/>
        <w:bottom w:val="none" w:sz="0" w:space="0" w:color="auto"/>
        <w:right w:val="none" w:sz="0" w:space="0" w:color="auto"/>
      </w:divBdr>
    </w:div>
    <w:div w:id="1690108500">
      <w:bodyDiv w:val="1"/>
      <w:marLeft w:val="0"/>
      <w:marRight w:val="0"/>
      <w:marTop w:val="0"/>
      <w:marBottom w:val="0"/>
      <w:divBdr>
        <w:top w:val="none" w:sz="0" w:space="0" w:color="auto"/>
        <w:left w:val="none" w:sz="0" w:space="0" w:color="auto"/>
        <w:bottom w:val="none" w:sz="0" w:space="0" w:color="auto"/>
        <w:right w:val="none" w:sz="0" w:space="0" w:color="auto"/>
      </w:divBdr>
    </w:div>
    <w:div w:id="1690334985">
      <w:bodyDiv w:val="1"/>
      <w:marLeft w:val="0"/>
      <w:marRight w:val="0"/>
      <w:marTop w:val="0"/>
      <w:marBottom w:val="0"/>
      <w:divBdr>
        <w:top w:val="none" w:sz="0" w:space="0" w:color="auto"/>
        <w:left w:val="none" w:sz="0" w:space="0" w:color="auto"/>
        <w:bottom w:val="none" w:sz="0" w:space="0" w:color="auto"/>
        <w:right w:val="none" w:sz="0" w:space="0" w:color="auto"/>
      </w:divBdr>
    </w:div>
    <w:div w:id="1690713623">
      <w:bodyDiv w:val="1"/>
      <w:marLeft w:val="0"/>
      <w:marRight w:val="0"/>
      <w:marTop w:val="0"/>
      <w:marBottom w:val="0"/>
      <w:divBdr>
        <w:top w:val="none" w:sz="0" w:space="0" w:color="auto"/>
        <w:left w:val="none" w:sz="0" w:space="0" w:color="auto"/>
        <w:bottom w:val="none" w:sz="0" w:space="0" w:color="auto"/>
        <w:right w:val="none" w:sz="0" w:space="0" w:color="auto"/>
      </w:divBdr>
    </w:div>
    <w:div w:id="1690716412">
      <w:bodyDiv w:val="1"/>
      <w:marLeft w:val="0"/>
      <w:marRight w:val="0"/>
      <w:marTop w:val="0"/>
      <w:marBottom w:val="0"/>
      <w:divBdr>
        <w:top w:val="none" w:sz="0" w:space="0" w:color="auto"/>
        <w:left w:val="none" w:sz="0" w:space="0" w:color="auto"/>
        <w:bottom w:val="none" w:sz="0" w:space="0" w:color="auto"/>
        <w:right w:val="none" w:sz="0" w:space="0" w:color="auto"/>
      </w:divBdr>
    </w:div>
    <w:div w:id="1690831080">
      <w:bodyDiv w:val="1"/>
      <w:marLeft w:val="0"/>
      <w:marRight w:val="0"/>
      <w:marTop w:val="0"/>
      <w:marBottom w:val="0"/>
      <w:divBdr>
        <w:top w:val="none" w:sz="0" w:space="0" w:color="auto"/>
        <w:left w:val="none" w:sz="0" w:space="0" w:color="auto"/>
        <w:bottom w:val="none" w:sz="0" w:space="0" w:color="auto"/>
        <w:right w:val="none" w:sz="0" w:space="0" w:color="auto"/>
      </w:divBdr>
    </w:div>
    <w:div w:id="1691029370">
      <w:bodyDiv w:val="1"/>
      <w:marLeft w:val="0"/>
      <w:marRight w:val="0"/>
      <w:marTop w:val="0"/>
      <w:marBottom w:val="0"/>
      <w:divBdr>
        <w:top w:val="none" w:sz="0" w:space="0" w:color="auto"/>
        <w:left w:val="none" w:sz="0" w:space="0" w:color="auto"/>
        <w:bottom w:val="none" w:sz="0" w:space="0" w:color="auto"/>
        <w:right w:val="none" w:sz="0" w:space="0" w:color="auto"/>
      </w:divBdr>
    </w:div>
    <w:div w:id="1691030296">
      <w:bodyDiv w:val="1"/>
      <w:marLeft w:val="0"/>
      <w:marRight w:val="0"/>
      <w:marTop w:val="0"/>
      <w:marBottom w:val="0"/>
      <w:divBdr>
        <w:top w:val="none" w:sz="0" w:space="0" w:color="auto"/>
        <w:left w:val="none" w:sz="0" w:space="0" w:color="auto"/>
        <w:bottom w:val="none" w:sz="0" w:space="0" w:color="auto"/>
        <w:right w:val="none" w:sz="0" w:space="0" w:color="auto"/>
      </w:divBdr>
    </w:div>
    <w:div w:id="1691488389">
      <w:bodyDiv w:val="1"/>
      <w:marLeft w:val="0"/>
      <w:marRight w:val="0"/>
      <w:marTop w:val="0"/>
      <w:marBottom w:val="0"/>
      <w:divBdr>
        <w:top w:val="none" w:sz="0" w:space="0" w:color="auto"/>
        <w:left w:val="none" w:sz="0" w:space="0" w:color="auto"/>
        <w:bottom w:val="none" w:sz="0" w:space="0" w:color="auto"/>
        <w:right w:val="none" w:sz="0" w:space="0" w:color="auto"/>
      </w:divBdr>
    </w:div>
    <w:div w:id="1692607337">
      <w:bodyDiv w:val="1"/>
      <w:marLeft w:val="0"/>
      <w:marRight w:val="0"/>
      <w:marTop w:val="0"/>
      <w:marBottom w:val="0"/>
      <w:divBdr>
        <w:top w:val="none" w:sz="0" w:space="0" w:color="auto"/>
        <w:left w:val="none" w:sz="0" w:space="0" w:color="auto"/>
        <w:bottom w:val="none" w:sz="0" w:space="0" w:color="auto"/>
        <w:right w:val="none" w:sz="0" w:space="0" w:color="auto"/>
      </w:divBdr>
    </w:div>
    <w:div w:id="1693074417">
      <w:bodyDiv w:val="1"/>
      <w:marLeft w:val="0"/>
      <w:marRight w:val="0"/>
      <w:marTop w:val="0"/>
      <w:marBottom w:val="0"/>
      <w:divBdr>
        <w:top w:val="none" w:sz="0" w:space="0" w:color="auto"/>
        <w:left w:val="none" w:sz="0" w:space="0" w:color="auto"/>
        <w:bottom w:val="none" w:sz="0" w:space="0" w:color="auto"/>
        <w:right w:val="none" w:sz="0" w:space="0" w:color="auto"/>
      </w:divBdr>
    </w:div>
    <w:div w:id="1694115061">
      <w:bodyDiv w:val="1"/>
      <w:marLeft w:val="0"/>
      <w:marRight w:val="0"/>
      <w:marTop w:val="0"/>
      <w:marBottom w:val="0"/>
      <w:divBdr>
        <w:top w:val="none" w:sz="0" w:space="0" w:color="auto"/>
        <w:left w:val="none" w:sz="0" w:space="0" w:color="auto"/>
        <w:bottom w:val="none" w:sz="0" w:space="0" w:color="auto"/>
        <w:right w:val="none" w:sz="0" w:space="0" w:color="auto"/>
      </w:divBdr>
    </w:div>
    <w:div w:id="1695300516">
      <w:bodyDiv w:val="1"/>
      <w:marLeft w:val="0"/>
      <w:marRight w:val="0"/>
      <w:marTop w:val="0"/>
      <w:marBottom w:val="0"/>
      <w:divBdr>
        <w:top w:val="none" w:sz="0" w:space="0" w:color="auto"/>
        <w:left w:val="none" w:sz="0" w:space="0" w:color="auto"/>
        <w:bottom w:val="none" w:sz="0" w:space="0" w:color="auto"/>
        <w:right w:val="none" w:sz="0" w:space="0" w:color="auto"/>
      </w:divBdr>
    </w:div>
    <w:div w:id="1695572800">
      <w:bodyDiv w:val="1"/>
      <w:marLeft w:val="0"/>
      <w:marRight w:val="0"/>
      <w:marTop w:val="0"/>
      <w:marBottom w:val="0"/>
      <w:divBdr>
        <w:top w:val="none" w:sz="0" w:space="0" w:color="auto"/>
        <w:left w:val="none" w:sz="0" w:space="0" w:color="auto"/>
        <w:bottom w:val="none" w:sz="0" w:space="0" w:color="auto"/>
        <w:right w:val="none" w:sz="0" w:space="0" w:color="auto"/>
      </w:divBdr>
    </w:div>
    <w:div w:id="1695762308">
      <w:bodyDiv w:val="1"/>
      <w:marLeft w:val="0"/>
      <w:marRight w:val="0"/>
      <w:marTop w:val="0"/>
      <w:marBottom w:val="0"/>
      <w:divBdr>
        <w:top w:val="none" w:sz="0" w:space="0" w:color="auto"/>
        <w:left w:val="none" w:sz="0" w:space="0" w:color="auto"/>
        <w:bottom w:val="none" w:sz="0" w:space="0" w:color="auto"/>
        <w:right w:val="none" w:sz="0" w:space="0" w:color="auto"/>
      </w:divBdr>
    </w:div>
    <w:div w:id="1695812929">
      <w:bodyDiv w:val="1"/>
      <w:marLeft w:val="0"/>
      <w:marRight w:val="0"/>
      <w:marTop w:val="0"/>
      <w:marBottom w:val="0"/>
      <w:divBdr>
        <w:top w:val="none" w:sz="0" w:space="0" w:color="auto"/>
        <w:left w:val="none" w:sz="0" w:space="0" w:color="auto"/>
        <w:bottom w:val="none" w:sz="0" w:space="0" w:color="auto"/>
        <w:right w:val="none" w:sz="0" w:space="0" w:color="auto"/>
      </w:divBdr>
    </w:div>
    <w:div w:id="1695879983">
      <w:bodyDiv w:val="1"/>
      <w:marLeft w:val="0"/>
      <w:marRight w:val="0"/>
      <w:marTop w:val="0"/>
      <w:marBottom w:val="0"/>
      <w:divBdr>
        <w:top w:val="none" w:sz="0" w:space="0" w:color="auto"/>
        <w:left w:val="none" w:sz="0" w:space="0" w:color="auto"/>
        <w:bottom w:val="none" w:sz="0" w:space="0" w:color="auto"/>
        <w:right w:val="none" w:sz="0" w:space="0" w:color="auto"/>
      </w:divBdr>
    </w:div>
    <w:div w:id="1695963380">
      <w:bodyDiv w:val="1"/>
      <w:marLeft w:val="0"/>
      <w:marRight w:val="0"/>
      <w:marTop w:val="0"/>
      <w:marBottom w:val="0"/>
      <w:divBdr>
        <w:top w:val="none" w:sz="0" w:space="0" w:color="auto"/>
        <w:left w:val="none" w:sz="0" w:space="0" w:color="auto"/>
        <w:bottom w:val="none" w:sz="0" w:space="0" w:color="auto"/>
        <w:right w:val="none" w:sz="0" w:space="0" w:color="auto"/>
      </w:divBdr>
    </w:div>
    <w:div w:id="1696687107">
      <w:bodyDiv w:val="1"/>
      <w:marLeft w:val="0"/>
      <w:marRight w:val="0"/>
      <w:marTop w:val="0"/>
      <w:marBottom w:val="0"/>
      <w:divBdr>
        <w:top w:val="none" w:sz="0" w:space="0" w:color="auto"/>
        <w:left w:val="none" w:sz="0" w:space="0" w:color="auto"/>
        <w:bottom w:val="none" w:sz="0" w:space="0" w:color="auto"/>
        <w:right w:val="none" w:sz="0" w:space="0" w:color="auto"/>
      </w:divBdr>
    </w:div>
    <w:div w:id="1696727824">
      <w:bodyDiv w:val="1"/>
      <w:marLeft w:val="0"/>
      <w:marRight w:val="0"/>
      <w:marTop w:val="0"/>
      <w:marBottom w:val="0"/>
      <w:divBdr>
        <w:top w:val="none" w:sz="0" w:space="0" w:color="auto"/>
        <w:left w:val="none" w:sz="0" w:space="0" w:color="auto"/>
        <w:bottom w:val="none" w:sz="0" w:space="0" w:color="auto"/>
        <w:right w:val="none" w:sz="0" w:space="0" w:color="auto"/>
      </w:divBdr>
    </w:div>
    <w:div w:id="1696732302">
      <w:bodyDiv w:val="1"/>
      <w:marLeft w:val="0"/>
      <w:marRight w:val="0"/>
      <w:marTop w:val="0"/>
      <w:marBottom w:val="0"/>
      <w:divBdr>
        <w:top w:val="none" w:sz="0" w:space="0" w:color="auto"/>
        <w:left w:val="none" w:sz="0" w:space="0" w:color="auto"/>
        <w:bottom w:val="none" w:sz="0" w:space="0" w:color="auto"/>
        <w:right w:val="none" w:sz="0" w:space="0" w:color="auto"/>
      </w:divBdr>
    </w:div>
    <w:div w:id="1696927641">
      <w:bodyDiv w:val="1"/>
      <w:marLeft w:val="0"/>
      <w:marRight w:val="0"/>
      <w:marTop w:val="0"/>
      <w:marBottom w:val="0"/>
      <w:divBdr>
        <w:top w:val="none" w:sz="0" w:space="0" w:color="auto"/>
        <w:left w:val="none" w:sz="0" w:space="0" w:color="auto"/>
        <w:bottom w:val="none" w:sz="0" w:space="0" w:color="auto"/>
        <w:right w:val="none" w:sz="0" w:space="0" w:color="auto"/>
      </w:divBdr>
    </w:div>
    <w:div w:id="1697463689">
      <w:bodyDiv w:val="1"/>
      <w:marLeft w:val="0"/>
      <w:marRight w:val="0"/>
      <w:marTop w:val="0"/>
      <w:marBottom w:val="0"/>
      <w:divBdr>
        <w:top w:val="none" w:sz="0" w:space="0" w:color="auto"/>
        <w:left w:val="none" w:sz="0" w:space="0" w:color="auto"/>
        <w:bottom w:val="none" w:sz="0" w:space="0" w:color="auto"/>
        <w:right w:val="none" w:sz="0" w:space="0" w:color="auto"/>
      </w:divBdr>
    </w:div>
    <w:div w:id="1697654452">
      <w:bodyDiv w:val="1"/>
      <w:marLeft w:val="0"/>
      <w:marRight w:val="0"/>
      <w:marTop w:val="0"/>
      <w:marBottom w:val="0"/>
      <w:divBdr>
        <w:top w:val="none" w:sz="0" w:space="0" w:color="auto"/>
        <w:left w:val="none" w:sz="0" w:space="0" w:color="auto"/>
        <w:bottom w:val="none" w:sz="0" w:space="0" w:color="auto"/>
        <w:right w:val="none" w:sz="0" w:space="0" w:color="auto"/>
      </w:divBdr>
    </w:div>
    <w:div w:id="1697654496">
      <w:bodyDiv w:val="1"/>
      <w:marLeft w:val="0"/>
      <w:marRight w:val="0"/>
      <w:marTop w:val="0"/>
      <w:marBottom w:val="0"/>
      <w:divBdr>
        <w:top w:val="none" w:sz="0" w:space="0" w:color="auto"/>
        <w:left w:val="none" w:sz="0" w:space="0" w:color="auto"/>
        <w:bottom w:val="none" w:sz="0" w:space="0" w:color="auto"/>
        <w:right w:val="none" w:sz="0" w:space="0" w:color="auto"/>
      </w:divBdr>
    </w:div>
    <w:div w:id="1697849992">
      <w:bodyDiv w:val="1"/>
      <w:marLeft w:val="0"/>
      <w:marRight w:val="0"/>
      <w:marTop w:val="0"/>
      <w:marBottom w:val="0"/>
      <w:divBdr>
        <w:top w:val="none" w:sz="0" w:space="0" w:color="auto"/>
        <w:left w:val="none" w:sz="0" w:space="0" w:color="auto"/>
        <w:bottom w:val="none" w:sz="0" w:space="0" w:color="auto"/>
        <w:right w:val="none" w:sz="0" w:space="0" w:color="auto"/>
      </w:divBdr>
    </w:div>
    <w:div w:id="1698042606">
      <w:bodyDiv w:val="1"/>
      <w:marLeft w:val="0"/>
      <w:marRight w:val="0"/>
      <w:marTop w:val="0"/>
      <w:marBottom w:val="0"/>
      <w:divBdr>
        <w:top w:val="none" w:sz="0" w:space="0" w:color="auto"/>
        <w:left w:val="none" w:sz="0" w:space="0" w:color="auto"/>
        <w:bottom w:val="none" w:sz="0" w:space="0" w:color="auto"/>
        <w:right w:val="none" w:sz="0" w:space="0" w:color="auto"/>
      </w:divBdr>
    </w:div>
    <w:div w:id="1698238510">
      <w:bodyDiv w:val="1"/>
      <w:marLeft w:val="0"/>
      <w:marRight w:val="0"/>
      <w:marTop w:val="0"/>
      <w:marBottom w:val="0"/>
      <w:divBdr>
        <w:top w:val="none" w:sz="0" w:space="0" w:color="auto"/>
        <w:left w:val="none" w:sz="0" w:space="0" w:color="auto"/>
        <w:bottom w:val="none" w:sz="0" w:space="0" w:color="auto"/>
        <w:right w:val="none" w:sz="0" w:space="0" w:color="auto"/>
      </w:divBdr>
    </w:div>
    <w:div w:id="1698964908">
      <w:bodyDiv w:val="1"/>
      <w:marLeft w:val="0"/>
      <w:marRight w:val="0"/>
      <w:marTop w:val="0"/>
      <w:marBottom w:val="0"/>
      <w:divBdr>
        <w:top w:val="none" w:sz="0" w:space="0" w:color="auto"/>
        <w:left w:val="none" w:sz="0" w:space="0" w:color="auto"/>
        <w:bottom w:val="none" w:sz="0" w:space="0" w:color="auto"/>
        <w:right w:val="none" w:sz="0" w:space="0" w:color="auto"/>
      </w:divBdr>
    </w:div>
    <w:div w:id="1698966389">
      <w:bodyDiv w:val="1"/>
      <w:marLeft w:val="0"/>
      <w:marRight w:val="0"/>
      <w:marTop w:val="0"/>
      <w:marBottom w:val="0"/>
      <w:divBdr>
        <w:top w:val="none" w:sz="0" w:space="0" w:color="auto"/>
        <w:left w:val="none" w:sz="0" w:space="0" w:color="auto"/>
        <w:bottom w:val="none" w:sz="0" w:space="0" w:color="auto"/>
        <w:right w:val="none" w:sz="0" w:space="0" w:color="auto"/>
      </w:divBdr>
    </w:div>
    <w:div w:id="1699114195">
      <w:bodyDiv w:val="1"/>
      <w:marLeft w:val="0"/>
      <w:marRight w:val="0"/>
      <w:marTop w:val="0"/>
      <w:marBottom w:val="0"/>
      <w:divBdr>
        <w:top w:val="none" w:sz="0" w:space="0" w:color="auto"/>
        <w:left w:val="none" w:sz="0" w:space="0" w:color="auto"/>
        <w:bottom w:val="none" w:sz="0" w:space="0" w:color="auto"/>
        <w:right w:val="none" w:sz="0" w:space="0" w:color="auto"/>
      </w:divBdr>
    </w:div>
    <w:div w:id="1699311658">
      <w:bodyDiv w:val="1"/>
      <w:marLeft w:val="0"/>
      <w:marRight w:val="0"/>
      <w:marTop w:val="0"/>
      <w:marBottom w:val="0"/>
      <w:divBdr>
        <w:top w:val="none" w:sz="0" w:space="0" w:color="auto"/>
        <w:left w:val="none" w:sz="0" w:space="0" w:color="auto"/>
        <w:bottom w:val="none" w:sz="0" w:space="0" w:color="auto"/>
        <w:right w:val="none" w:sz="0" w:space="0" w:color="auto"/>
      </w:divBdr>
    </w:div>
    <w:div w:id="1699626759">
      <w:bodyDiv w:val="1"/>
      <w:marLeft w:val="0"/>
      <w:marRight w:val="0"/>
      <w:marTop w:val="0"/>
      <w:marBottom w:val="0"/>
      <w:divBdr>
        <w:top w:val="none" w:sz="0" w:space="0" w:color="auto"/>
        <w:left w:val="none" w:sz="0" w:space="0" w:color="auto"/>
        <w:bottom w:val="none" w:sz="0" w:space="0" w:color="auto"/>
        <w:right w:val="none" w:sz="0" w:space="0" w:color="auto"/>
      </w:divBdr>
    </w:div>
    <w:div w:id="1700399147">
      <w:bodyDiv w:val="1"/>
      <w:marLeft w:val="0"/>
      <w:marRight w:val="0"/>
      <w:marTop w:val="0"/>
      <w:marBottom w:val="0"/>
      <w:divBdr>
        <w:top w:val="none" w:sz="0" w:space="0" w:color="auto"/>
        <w:left w:val="none" w:sz="0" w:space="0" w:color="auto"/>
        <w:bottom w:val="none" w:sz="0" w:space="0" w:color="auto"/>
        <w:right w:val="none" w:sz="0" w:space="0" w:color="auto"/>
      </w:divBdr>
    </w:div>
    <w:div w:id="1700400100">
      <w:bodyDiv w:val="1"/>
      <w:marLeft w:val="0"/>
      <w:marRight w:val="0"/>
      <w:marTop w:val="0"/>
      <w:marBottom w:val="0"/>
      <w:divBdr>
        <w:top w:val="none" w:sz="0" w:space="0" w:color="auto"/>
        <w:left w:val="none" w:sz="0" w:space="0" w:color="auto"/>
        <w:bottom w:val="none" w:sz="0" w:space="0" w:color="auto"/>
        <w:right w:val="none" w:sz="0" w:space="0" w:color="auto"/>
      </w:divBdr>
    </w:div>
    <w:div w:id="1700666432">
      <w:bodyDiv w:val="1"/>
      <w:marLeft w:val="0"/>
      <w:marRight w:val="0"/>
      <w:marTop w:val="0"/>
      <w:marBottom w:val="0"/>
      <w:divBdr>
        <w:top w:val="none" w:sz="0" w:space="0" w:color="auto"/>
        <w:left w:val="none" w:sz="0" w:space="0" w:color="auto"/>
        <w:bottom w:val="none" w:sz="0" w:space="0" w:color="auto"/>
        <w:right w:val="none" w:sz="0" w:space="0" w:color="auto"/>
      </w:divBdr>
    </w:div>
    <w:div w:id="1700812731">
      <w:bodyDiv w:val="1"/>
      <w:marLeft w:val="0"/>
      <w:marRight w:val="0"/>
      <w:marTop w:val="0"/>
      <w:marBottom w:val="0"/>
      <w:divBdr>
        <w:top w:val="none" w:sz="0" w:space="0" w:color="auto"/>
        <w:left w:val="none" w:sz="0" w:space="0" w:color="auto"/>
        <w:bottom w:val="none" w:sz="0" w:space="0" w:color="auto"/>
        <w:right w:val="none" w:sz="0" w:space="0" w:color="auto"/>
      </w:divBdr>
    </w:div>
    <w:div w:id="1701123968">
      <w:bodyDiv w:val="1"/>
      <w:marLeft w:val="0"/>
      <w:marRight w:val="0"/>
      <w:marTop w:val="0"/>
      <w:marBottom w:val="0"/>
      <w:divBdr>
        <w:top w:val="none" w:sz="0" w:space="0" w:color="auto"/>
        <w:left w:val="none" w:sz="0" w:space="0" w:color="auto"/>
        <w:bottom w:val="none" w:sz="0" w:space="0" w:color="auto"/>
        <w:right w:val="none" w:sz="0" w:space="0" w:color="auto"/>
      </w:divBdr>
    </w:div>
    <w:div w:id="1701396278">
      <w:bodyDiv w:val="1"/>
      <w:marLeft w:val="0"/>
      <w:marRight w:val="0"/>
      <w:marTop w:val="0"/>
      <w:marBottom w:val="0"/>
      <w:divBdr>
        <w:top w:val="none" w:sz="0" w:space="0" w:color="auto"/>
        <w:left w:val="none" w:sz="0" w:space="0" w:color="auto"/>
        <w:bottom w:val="none" w:sz="0" w:space="0" w:color="auto"/>
        <w:right w:val="none" w:sz="0" w:space="0" w:color="auto"/>
      </w:divBdr>
    </w:div>
    <w:div w:id="1701465645">
      <w:bodyDiv w:val="1"/>
      <w:marLeft w:val="0"/>
      <w:marRight w:val="0"/>
      <w:marTop w:val="0"/>
      <w:marBottom w:val="0"/>
      <w:divBdr>
        <w:top w:val="none" w:sz="0" w:space="0" w:color="auto"/>
        <w:left w:val="none" w:sz="0" w:space="0" w:color="auto"/>
        <w:bottom w:val="none" w:sz="0" w:space="0" w:color="auto"/>
        <w:right w:val="none" w:sz="0" w:space="0" w:color="auto"/>
      </w:divBdr>
    </w:div>
    <w:div w:id="1701470907">
      <w:bodyDiv w:val="1"/>
      <w:marLeft w:val="0"/>
      <w:marRight w:val="0"/>
      <w:marTop w:val="0"/>
      <w:marBottom w:val="0"/>
      <w:divBdr>
        <w:top w:val="none" w:sz="0" w:space="0" w:color="auto"/>
        <w:left w:val="none" w:sz="0" w:space="0" w:color="auto"/>
        <w:bottom w:val="none" w:sz="0" w:space="0" w:color="auto"/>
        <w:right w:val="none" w:sz="0" w:space="0" w:color="auto"/>
      </w:divBdr>
    </w:div>
    <w:div w:id="1701542283">
      <w:bodyDiv w:val="1"/>
      <w:marLeft w:val="0"/>
      <w:marRight w:val="0"/>
      <w:marTop w:val="0"/>
      <w:marBottom w:val="0"/>
      <w:divBdr>
        <w:top w:val="none" w:sz="0" w:space="0" w:color="auto"/>
        <w:left w:val="none" w:sz="0" w:space="0" w:color="auto"/>
        <w:bottom w:val="none" w:sz="0" w:space="0" w:color="auto"/>
        <w:right w:val="none" w:sz="0" w:space="0" w:color="auto"/>
      </w:divBdr>
    </w:div>
    <w:div w:id="1701586123">
      <w:bodyDiv w:val="1"/>
      <w:marLeft w:val="0"/>
      <w:marRight w:val="0"/>
      <w:marTop w:val="0"/>
      <w:marBottom w:val="0"/>
      <w:divBdr>
        <w:top w:val="none" w:sz="0" w:space="0" w:color="auto"/>
        <w:left w:val="none" w:sz="0" w:space="0" w:color="auto"/>
        <w:bottom w:val="none" w:sz="0" w:space="0" w:color="auto"/>
        <w:right w:val="none" w:sz="0" w:space="0" w:color="auto"/>
      </w:divBdr>
    </w:div>
    <w:div w:id="1701661984">
      <w:bodyDiv w:val="1"/>
      <w:marLeft w:val="0"/>
      <w:marRight w:val="0"/>
      <w:marTop w:val="0"/>
      <w:marBottom w:val="0"/>
      <w:divBdr>
        <w:top w:val="none" w:sz="0" w:space="0" w:color="auto"/>
        <w:left w:val="none" w:sz="0" w:space="0" w:color="auto"/>
        <w:bottom w:val="none" w:sz="0" w:space="0" w:color="auto"/>
        <w:right w:val="none" w:sz="0" w:space="0" w:color="auto"/>
      </w:divBdr>
    </w:div>
    <w:div w:id="1702122220">
      <w:bodyDiv w:val="1"/>
      <w:marLeft w:val="0"/>
      <w:marRight w:val="0"/>
      <w:marTop w:val="0"/>
      <w:marBottom w:val="0"/>
      <w:divBdr>
        <w:top w:val="none" w:sz="0" w:space="0" w:color="auto"/>
        <w:left w:val="none" w:sz="0" w:space="0" w:color="auto"/>
        <w:bottom w:val="none" w:sz="0" w:space="0" w:color="auto"/>
        <w:right w:val="none" w:sz="0" w:space="0" w:color="auto"/>
      </w:divBdr>
    </w:div>
    <w:div w:id="1702389727">
      <w:bodyDiv w:val="1"/>
      <w:marLeft w:val="0"/>
      <w:marRight w:val="0"/>
      <w:marTop w:val="0"/>
      <w:marBottom w:val="0"/>
      <w:divBdr>
        <w:top w:val="none" w:sz="0" w:space="0" w:color="auto"/>
        <w:left w:val="none" w:sz="0" w:space="0" w:color="auto"/>
        <w:bottom w:val="none" w:sz="0" w:space="0" w:color="auto"/>
        <w:right w:val="none" w:sz="0" w:space="0" w:color="auto"/>
      </w:divBdr>
    </w:div>
    <w:div w:id="1702440389">
      <w:bodyDiv w:val="1"/>
      <w:marLeft w:val="0"/>
      <w:marRight w:val="0"/>
      <w:marTop w:val="0"/>
      <w:marBottom w:val="0"/>
      <w:divBdr>
        <w:top w:val="none" w:sz="0" w:space="0" w:color="auto"/>
        <w:left w:val="none" w:sz="0" w:space="0" w:color="auto"/>
        <w:bottom w:val="none" w:sz="0" w:space="0" w:color="auto"/>
        <w:right w:val="none" w:sz="0" w:space="0" w:color="auto"/>
      </w:divBdr>
    </w:div>
    <w:div w:id="1702777988">
      <w:bodyDiv w:val="1"/>
      <w:marLeft w:val="0"/>
      <w:marRight w:val="0"/>
      <w:marTop w:val="0"/>
      <w:marBottom w:val="0"/>
      <w:divBdr>
        <w:top w:val="none" w:sz="0" w:space="0" w:color="auto"/>
        <w:left w:val="none" w:sz="0" w:space="0" w:color="auto"/>
        <w:bottom w:val="none" w:sz="0" w:space="0" w:color="auto"/>
        <w:right w:val="none" w:sz="0" w:space="0" w:color="auto"/>
      </w:divBdr>
    </w:div>
    <w:div w:id="1703047906">
      <w:bodyDiv w:val="1"/>
      <w:marLeft w:val="0"/>
      <w:marRight w:val="0"/>
      <w:marTop w:val="0"/>
      <w:marBottom w:val="0"/>
      <w:divBdr>
        <w:top w:val="none" w:sz="0" w:space="0" w:color="auto"/>
        <w:left w:val="none" w:sz="0" w:space="0" w:color="auto"/>
        <w:bottom w:val="none" w:sz="0" w:space="0" w:color="auto"/>
        <w:right w:val="none" w:sz="0" w:space="0" w:color="auto"/>
      </w:divBdr>
    </w:div>
    <w:div w:id="1703169694">
      <w:bodyDiv w:val="1"/>
      <w:marLeft w:val="0"/>
      <w:marRight w:val="0"/>
      <w:marTop w:val="0"/>
      <w:marBottom w:val="0"/>
      <w:divBdr>
        <w:top w:val="none" w:sz="0" w:space="0" w:color="auto"/>
        <w:left w:val="none" w:sz="0" w:space="0" w:color="auto"/>
        <w:bottom w:val="none" w:sz="0" w:space="0" w:color="auto"/>
        <w:right w:val="none" w:sz="0" w:space="0" w:color="auto"/>
      </w:divBdr>
    </w:div>
    <w:div w:id="1703242922">
      <w:bodyDiv w:val="1"/>
      <w:marLeft w:val="0"/>
      <w:marRight w:val="0"/>
      <w:marTop w:val="0"/>
      <w:marBottom w:val="0"/>
      <w:divBdr>
        <w:top w:val="none" w:sz="0" w:space="0" w:color="auto"/>
        <w:left w:val="none" w:sz="0" w:space="0" w:color="auto"/>
        <w:bottom w:val="none" w:sz="0" w:space="0" w:color="auto"/>
        <w:right w:val="none" w:sz="0" w:space="0" w:color="auto"/>
      </w:divBdr>
    </w:div>
    <w:div w:id="1703549287">
      <w:bodyDiv w:val="1"/>
      <w:marLeft w:val="0"/>
      <w:marRight w:val="0"/>
      <w:marTop w:val="0"/>
      <w:marBottom w:val="0"/>
      <w:divBdr>
        <w:top w:val="none" w:sz="0" w:space="0" w:color="auto"/>
        <w:left w:val="none" w:sz="0" w:space="0" w:color="auto"/>
        <w:bottom w:val="none" w:sz="0" w:space="0" w:color="auto"/>
        <w:right w:val="none" w:sz="0" w:space="0" w:color="auto"/>
      </w:divBdr>
    </w:div>
    <w:div w:id="1704137656">
      <w:bodyDiv w:val="1"/>
      <w:marLeft w:val="0"/>
      <w:marRight w:val="0"/>
      <w:marTop w:val="0"/>
      <w:marBottom w:val="0"/>
      <w:divBdr>
        <w:top w:val="none" w:sz="0" w:space="0" w:color="auto"/>
        <w:left w:val="none" w:sz="0" w:space="0" w:color="auto"/>
        <w:bottom w:val="none" w:sz="0" w:space="0" w:color="auto"/>
        <w:right w:val="none" w:sz="0" w:space="0" w:color="auto"/>
      </w:divBdr>
    </w:div>
    <w:div w:id="1704282581">
      <w:bodyDiv w:val="1"/>
      <w:marLeft w:val="0"/>
      <w:marRight w:val="0"/>
      <w:marTop w:val="0"/>
      <w:marBottom w:val="0"/>
      <w:divBdr>
        <w:top w:val="none" w:sz="0" w:space="0" w:color="auto"/>
        <w:left w:val="none" w:sz="0" w:space="0" w:color="auto"/>
        <w:bottom w:val="none" w:sz="0" w:space="0" w:color="auto"/>
        <w:right w:val="none" w:sz="0" w:space="0" w:color="auto"/>
      </w:divBdr>
    </w:div>
    <w:div w:id="1704284830">
      <w:bodyDiv w:val="1"/>
      <w:marLeft w:val="0"/>
      <w:marRight w:val="0"/>
      <w:marTop w:val="0"/>
      <w:marBottom w:val="0"/>
      <w:divBdr>
        <w:top w:val="none" w:sz="0" w:space="0" w:color="auto"/>
        <w:left w:val="none" w:sz="0" w:space="0" w:color="auto"/>
        <w:bottom w:val="none" w:sz="0" w:space="0" w:color="auto"/>
        <w:right w:val="none" w:sz="0" w:space="0" w:color="auto"/>
      </w:divBdr>
    </w:div>
    <w:div w:id="1704287207">
      <w:bodyDiv w:val="1"/>
      <w:marLeft w:val="0"/>
      <w:marRight w:val="0"/>
      <w:marTop w:val="0"/>
      <w:marBottom w:val="0"/>
      <w:divBdr>
        <w:top w:val="none" w:sz="0" w:space="0" w:color="auto"/>
        <w:left w:val="none" w:sz="0" w:space="0" w:color="auto"/>
        <w:bottom w:val="none" w:sz="0" w:space="0" w:color="auto"/>
        <w:right w:val="none" w:sz="0" w:space="0" w:color="auto"/>
      </w:divBdr>
    </w:div>
    <w:div w:id="1704792502">
      <w:bodyDiv w:val="1"/>
      <w:marLeft w:val="0"/>
      <w:marRight w:val="0"/>
      <w:marTop w:val="0"/>
      <w:marBottom w:val="0"/>
      <w:divBdr>
        <w:top w:val="none" w:sz="0" w:space="0" w:color="auto"/>
        <w:left w:val="none" w:sz="0" w:space="0" w:color="auto"/>
        <w:bottom w:val="none" w:sz="0" w:space="0" w:color="auto"/>
        <w:right w:val="none" w:sz="0" w:space="0" w:color="auto"/>
      </w:divBdr>
    </w:div>
    <w:div w:id="1705015135">
      <w:bodyDiv w:val="1"/>
      <w:marLeft w:val="0"/>
      <w:marRight w:val="0"/>
      <w:marTop w:val="0"/>
      <w:marBottom w:val="0"/>
      <w:divBdr>
        <w:top w:val="none" w:sz="0" w:space="0" w:color="auto"/>
        <w:left w:val="none" w:sz="0" w:space="0" w:color="auto"/>
        <w:bottom w:val="none" w:sz="0" w:space="0" w:color="auto"/>
        <w:right w:val="none" w:sz="0" w:space="0" w:color="auto"/>
      </w:divBdr>
    </w:div>
    <w:div w:id="1706368367">
      <w:bodyDiv w:val="1"/>
      <w:marLeft w:val="0"/>
      <w:marRight w:val="0"/>
      <w:marTop w:val="0"/>
      <w:marBottom w:val="0"/>
      <w:divBdr>
        <w:top w:val="none" w:sz="0" w:space="0" w:color="auto"/>
        <w:left w:val="none" w:sz="0" w:space="0" w:color="auto"/>
        <w:bottom w:val="none" w:sz="0" w:space="0" w:color="auto"/>
        <w:right w:val="none" w:sz="0" w:space="0" w:color="auto"/>
      </w:divBdr>
    </w:div>
    <w:div w:id="1706950910">
      <w:bodyDiv w:val="1"/>
      <w:marLeft w:val="0"/>
      <w:marRight w:val="0"/>
      <w:marTop w:val="0"/>
      <w:marBottom w:val="0"/>
      <w:divBdr>
        <w:top w:val="none" w:sz="0" w:space="0" w:color="auto"/>
        <w:left w:val="none" w:sz="0" w:space="0" w:color="auto"/>
        <w:bottom w:val="none" w:sz="0" w:space="0" w:color="auto"/>
        <w:right w:val="none" w:sz="0" w:space="0" w:color="auto"/>
      </w:divBdr>
    </w:div>
    <w:div w:id="1707369298">
      <w:bodyDiv w:val="1"/>
      <w:marLeft w:val="0"/>
      <w:marRight w:val="0"/>
      <w:marTop w:val="0"/>
      <w:marBottom w:val="0"/>
      <w:divBdr>
        <w:top w:val="none" w:sz="0" w:space="0" w:color="auto"/>
        <w:left w:val="none" w:sz="0" w:space="0" w:color="auto"/>
        <w:bottom w:val="none" w:sz="0" w:space="0" w:color="auto"/>
        <w:right w:val="none" w:sz="0" w:space="0" w:color="auto"/>
      </w:divBdr>
    </w:div>
    <w:div w:id="1707489895">
      <w:bodyDiv w:val="1"/>
      <w:marLeft w:val="0"/>
      <w:marRight w:val="0"/>
      <w:marTop w:val="0"/>
      <w:marBottom w:val="0"/>
      <w:divBdr>
        <w:top w:val="none" w:sz="0" w:space="0" w:color="auto"/>
        <w:left w:val="none" w:sz="0" w:space="0" w:color="auto"/>
        <w:bottom w:val="none" w:sz="0" w:space="0" w:color="auto"/>
        <w:right w:val="none" w:sz="0" w:space="0" w:color="auto"/>
      </w:divBdr>
    </w:div>
    <w:div w:id="1708218969">
      <w:bodyDiv w:val="1"/>
      <w:marLeft w:val="0"/>
      <w:marRight w:val="0"/>
      <w:marTop w:val="0"/>
      <w:marBottom w:val="0"/>
      <w:divBdr>
        <w:top w:val="none" w:sz="0" w:space="0" w:color="auto"/>
        <w:left w:val="none" w:sz="0" w:space="0" w:color="auto"/>
        <w:bottom w:val="none" w:sz="0" w:space="0" w:color="auto"/>
        <w:right w:val="none" w:sz="0" w:space="0" w:color="auto"/>
      </w:divBdr>
    </w:div>
    <w:div w:id="1708948481">
      <w:bodyDiv w:val="1"/>
      <w:marLeft w:val="0"/>
      <w:marRight w:val="0"/>
      <w:marTop w:val="0"/>
      <w:marBottom w:val="0"/>
      <w:divBdr>
        <w:top w:val="none" w:sz="0" w:space="0" w:color="auto"/>
        <w:left w:val="none" w:sz="0" w:space="0" w:color="auto"/>
        <w:bottom w:val="none" w:sz="0" w:space="0" w:color="auto"/>
        <w:right w:val="none" w:sz="0" w:space="0" w:color="auto"/>
      </w:divBdr>
    </w:div>
    <w:div w:id="1709791916">
      <w:bodyDiv w:val="1"/>
      <w:marLeft w:val="0"/>
      <w:marRight w:val="0"/>
      <w:marTop w:val="0"/>
      <w:marBottom w:val="0"/>
      <w:divBdr>
        <w:top w:val="none" w:sz="0" w:space="0" w:color="auto"/>
        <w:left w:val="none" w:sz="0" w:space="0" w:color="auto"/>
        <w:bottom w:val="none" w:sz="0" w:space="0" w:color="auto"/>
        <w:right w:val="none" w:sz="0" w:space="0" w:color="auto"/>
      </w:divBdr>
    </w:div>
    <w:div w:id="1709913020">
      <w:bodyDiv w:val="1"/>
      <w:marLeft w:val="0"/>
      <w:marRight w:val="0"/>
      <w:marTop w:val="0"/>
      <w:marBottom w:val="0"/>
      <w:divBdr>
        <w:top w:val="none" w:sz="0" w:space="0" w:color="auto"/>
        <w:left w:val="none" w:sz="0" w:space="0" w:color="auto"/>
        <w:bottom w:val="none" w:sz="0" w:space="0" w:color="auto"/>
        <w:right w:val="none" w:sz="0" w:space="0" w:color="auto"/>
      </w:divBdr>
    </w:div>
    <w:div w:id="1710061783">
      <w:bodyDiv w:val="1"/>
      <w:marLeft w:val="0"/>
      <w:marRight w:val="0"/>
      <w:marTop w:val="0"/>
      <w:marBottom w:val="0"/>
      <w:divBdr>
        <w:top w:val="none" w:sz="0" w:space="0" w:color="auto"/>
        <w:left w:val="none" w:sz="0" w:space="0" w:color="auto"/>
        <w:bottom w:val="none" w:sz="0" w:space="0" w:color="auto"/>
        <w:right w:val="none" w:sz="0" w:space="0" w:color="auto"/>
      </w:divBdr>
    </w:div>
    <w:div w:id="1710569509">
      <w:bodyDiv w:val="1"/>
      <w:marLeft w:val="0"/>
      <w:marRight w:val="0"/>
      <w:marTop w:val="0"/>
      <w:marBottom w:val="0"/>
      <w:divBdr>
        <w:top w:val="none" w:sz="0" w:space="0" w:color="auto"/>
        <w:left w:val="none" w:sz="0" w:space="0" w:color="auto"/>
        <w:bottom w:val="none" w:sz="0" w:space="0" w:color="auto"/>
        <w:right w:val="none" w:sz="0" w:space="0" w:color="auto"/>
      </w:divBdr>
    </w:div>
    <w:div w:id="1710761470">
      <w:bodyDiv w:val="1"/>
      <w:marLeft w:val="0"/>
      <w:marRight w:val="0"/>
      <w:marTop w:val="0"/>
      <w:marBottom w:val="0"/>
      <w:divBdr>
        <w:top w:val="none" w:sz="0" w:space="0" w:color="auto"/>
        <w:left w:val="none" w:sz="0" w:space="0" w:color="auto"/>
        <w:bottom w:val="none" w:sz="0" w:space="0" w:color="auto"/>
        <w:right w:val="none" w:sz="0" w:space="0" w:color="auto"/>
      </w:divBdr>
    </w:div>
    <w:div w:id="1710837808">
      <w:bodyDiv w:val="1"/>
      <w:marLeft w:val="0"/>
      <w:marRight w:val="0"/>
      <w:marTop w:val="0"/>
      <w:marBottom w:val="0"/>
      <w:divBdr>
        <w:top w:val="none" w:sz="0" w:space="0" w:color="auto"/>
        <w:left w:val="none" w:sz="0" w:space="0" w:color="auto"/>
        <w:bottom w:val="none" w:sz="0" w:space="0" w:color="auto"/>
        <w:right w:val="none" w:sz="0" w:space="0" w:color="auto"/>
      </w:divBdr>
    </w:div>
    <w:div w:id="1711029940">
      <w:bodyDiv w:val="1"/>
      <w:marLeft w:val="0"/>
      <w:marRight w:val="0"/>
      <w:marTop w:val="0"/>
      <w:marBottom w:val="0"/>
      <w:divBdr>
        <w:top w:val="none" w:sz="0" w:space="0" w:color="auto"/>
        <w:left w:val="none" w:sz="0" w:space="0" w:color="auto"/>
        <w:bottom w:val="none" w:sz="0" w:space="0" w:color="auto"/>
        <w:right w:val="none" w:sz="0" w:space="0" w:color="auto"/>
      </w:divBdr>
    </w:div>
    <w:div w:id="1711372562">
      <w:bodyDiv w:val="1"/>
      <w:marLeft w:val="0"/>
      <w:marRight w:val="0"/>
      <w:marTop w:val="0"/>
      <w:marBottom w:val="0"/>
      <w:divBdr>
        <w:top w:val="none" w:sz="0" w:space="0" w:color="auto"/>
        <w:left w:val="none" w:sz="0" w:space="0" w:color="auto"/>
        <w:bottom w:val="none" w:sz="0" w:space="0" w:color="auto"/>
        <w:right w:val="none" w:sz="0" w:space="0" w:color="auto"/>
      </w:divBdr>
    </w:div>
    <w:div w:id="1711492525">
      <w:bodyDiv w:val="1"/>
      <w:marLeft w:val="0"/>
      <w:marRight w:val="0"/>
      <w:marTop w:val="0"/>
      <w:marBottom w:val="0"/>
      <w:divBdr>
        <w:top w:val="none" w:sz="0" w:space="0" w:color="auto"/>
        <w:left w:val="none" w:sz="0" w:space="0" w:color="auto"/>
        <w:bottom w:val="none" w:sz="0" w:space="0" w:color="auto"/>
        <w:right w:val="none" w:sz="0" w:space="0" w:color="auto"/>
      </w:divBdr>
    </w:div>
    <w:div w:id="1711493342">
      <w:bodyDiv w:val="1"/>
      <w:marLeft w:val="0"/>
      <w:marRight w:val="0"/>
      <w:marTop w:val="0"/>
      <w:marBottom w:val="0"/>
      <w:divBdr>
        <w:top w:val="none" w:sz="0" w:space="0" w:color="auto"/>
        <w:left w:val="none" w:sz="0" w:space="0" w:color="auto"/>
        <w:bottom w:val="none" w:sz="0" w:space="0" w:color="auto"/>
        <w:right w:val="none" w:sz="0" w:space="0" w:color="auto"/>
      </w:divBdr>
    </w:div>
    <w:div w:id="1711565775">
      <w:bodyDiv w:val="1"/>
      <w:marLeft w:val="0"/>
      <w:marRight w:val="0"/>
      <w:marTop w:val="0"/>
      <w:marBottom w:val="0"/>
      <w:divBdr>
        <w:top w:val="none" w:sz="0" w:space="0" w:color="auto"/>
        <w:left w:val="none" w:sz="0" w:space="0" w:color="auto"/>
        <w:bottom w:val="none" w:sz="0" w:space="0" w:color="auto"/>
        <w:right w:val="none" w:sz="0" w:space="0" w:color="auto"/>
      </w:divBdr>
    </w:div>
    <w:div w:id="1711569945">
      <w:bodyDiv w:val="1"/>
      <w:marLeft w:val="0"/>
      <w:marRight w:val="0"/>
      <w:marTop w:val="0"/>
      <w:marBottom w:val="0"/>
      <w:divBdr>
        <w:top w:val="none" w:sz="0" w:space="0" w:color="auto"/>
        <w:left w:val="none" w:sz="0" w:space="0" w:color="auto"/>
        <w:bottom w:val="none" w:sz="0" w:space="0" w:color="auto"/>
        <w:right w:val="none" w:sz="0" w:space="0" w:color="auto"/>
      </w:divBdr>
    </w:div>
    <w:div w:id="1711802955">
      <w:bodyDiv w:val="1"/>
      <w:marLeft w:val="0"/>
      <w:marRight w:val="0"/>
      <w:marTop w:val="0"/>
      <w:marBottom w:val="0"/>
      <w:divBdr>
        <w:top w:val="none" w:sz="0" w:space="0" w:color="auto"/>
        <w:left w:val="none" w:sz="0" w:space="0" w:color="auto"/>
        <w:bottom w:val="none" w:sz="0" w:space="0" w:color="auto"/>
        <w:right w:val="none" w:sz="0" w:space="0" w:color="auto"/>
      </w:divBdr>
    </w:div>
    <w:div w:id="1712146835">
      <w:bodyDiv w:val="1"/>
      <w:marLeft w:val="0"/>
      <w:marRight w:val="0"/>
      <w:marTop w:val="0"/>
      <w:marBottom w:val="0"/>
      <w:divBdr>
        <w:top w:val="none" w:sz="0" w:space="0" w:color="auto"/>
        <w:left w:val="none" w:sz="0" w:space="0" w:color="auto"/>
        <w:bottom w:val="none" w:sz="0" w:space="0" w:color="auto"/>
        <w:right w:val="none" w:sz="0" w:space="0" w:color="auto"/>
      </w:divBdr>
    </w:div>
    <w:div w:id="1712220793">
      <w:bodyDiv w:val="1"/>
      <w:marLeft w:val="0"/>
      <w:marRight w:val="0"/>
      <w:marTop w:val="0"/>
      <w:marBottom w:val="0"/>
      <w:divBdr>
        <w:top w:val="none" w:sz="0" w:space="0" w:color="auto"/>
        <w:left w:val="none" w:sz="0" w:space="0" w:color="auto"/>
        <w:bottom w:val="none" w:sz="0" w:space="0" w:color="auto"/>
        <w:right w:val="none" w:sz="0" w:space="0" w:color="auto"/>
      </w:divBdr>
    </w:div>
    <w:div w:id="1712267294">
      <w:bodyDiv w:val="1"/>
      <w:marLeft w:val="0"/>
      <w:marRight w:val="0"/>
      <w:marTop w:val="0"/>
      <w:marBottom w:val="0"/>
      <w:divBdr>
        <w:top w:val="none" w:sz="0" w:space="0" w:color="auto"/>
        <w:left w:val="none" w:sz="0" w:space="0" w:color="auto"/>
        <w:bottom w:val="none" w:sz="0" w:space="0" w:color="auto"/>
        <w:right w:val="none" w:sz="0" w:space="0" w:color="auto"/>
      </w:divBdr>
    </w:div>
    <w:div w:id="1712609842">
      <w:bodyDiv w:val="1"/>
      <w:marLeft w:val="0"/>
      <w:marRight w:val="0"/>
      <w:marTop w:val="0"/>
      <w:marBottom w:val="0"/>
      <w:divBdr>
        <w:top w:val="none" w:sz="0" w:space="0" w:color="auto"/>
        <w:left w:val="none" w:sz="0" w:space="0" w:color="auto"/>
        <w:bottom w:val="none" w:sz="0" w:space="0" w:color="auto"/>
        <w:right w:val="none" w:sz="0" w:space="0" w:color="auto"/>
      </w:divBdr>
    </w:div>
    <w:div w:id="1713268040">
      <w:bodyDiv w:val="1"/>
      <w:marLeft w:val="0"/>
      <w:marRight w:val="0"/>
      <w:marTop w:val="0"/>
      <w:marBottom w:val="0"/>
      <w:divBdr>
        <w:top w:val="none" w:sz="0" w:space="0" w:color="auto"/>
        <w:left w:val="none" w:sz="0" w:space="0" w:color="auto"/>
        <w:bottom w:val="none" w:sz="0" w:space="0" w:color="auto"/>
        <w:right w:val="none" w:sz="0" w:space="0" w:color="auto"/>
      </w:divBdr>
    </w:div>
    <w:div w:id="1713578848">
      <w:bodyDiv w:val="1"/>
      <w:marLeft w:val="0"/>
      <w:marRight w:val="0"/>
      <w:marTop w:val="0"/>
      <w:marBottom w:val="0"/>
      <w:divBdr>
        <w:top w:val="none" w:sz="0" w:space="0" w:color="auto"/>
        <w:left w:val="none" w:sz="0" w:space="0" w:color="auto"/>
        <w:bottom w:val="none" w:sz="0" w:space="0" w:color="auto"/>
        <w:right w:val="none" w:sz="0" w:space="0" w:color="auto"/>
      </w:divBdr>
    </w:div>
    <w:div w:id="1713847053">
      <w:bodyDiv w:val="1"/>
      <w:marLeft w:val="0"/>
      <w:marRight w:val="0"/>
      <w:marTop w:val="0"/>
      <w:marBottom w:val="0"/>
      <w:divBdr>
        <w:top w:val="none" w:sz="0" w:space="0" w:color="auto"/>
        <w:left w:val="none" w:sz="0" w:space="0" w:color="auto"/>
        <w:bottom w:val="none" w:sz="0" w:space="0" w:color="auto"/>
        <w:right w:val="none" w:sz="0" w:space="0" w:color="auto"/>
      </w:divBdr>
    </w:div>
    <w:div w:id="1714235573">
      <w:bodyDiv w:val="1"/>
      <w:marLeft w:val="0"/>
      <w:marRight w:val="0"/>
      <w:marTop w:val="0"/>
      <w:marBottom w:val="0"/>
      <w:divBdr>
        <w:top w:val="none" w:sz="0" w:space="0" w:color="auto"/>
        <w:left w:val="none" w:sz="0" w:space="0" w:color="auto"/>
        <w:bottom w:val="none" w:sz="0" w:space="0" w:color="auto"/>
        <w:right w:val="none" w:sz="0" w:space="0" w:color="auto"/>
      </w:divBdr>
    </w:div>
    <w:div w:id="1714306947">
      <w:bodyDiv w:val="1"/>
      <w:marLeft w:val="0"/>
      <w:marRight w:val="0"/>
      <w:marTop w:val="0"/>
      <w:marBottom w:val="0"/>
      <w:divBdr>
        <w:top w:val="none" w:sz="0" w:space="0" w:color="auto"/>
        <w:left w:val="none" w:sz="0" w:space="0" w:color="auto"/>
        <w:bottom w:val="none" w:sz="0" w:space="0" w:color="auto"/>
        <w:right w:val="none" w:sz="0" w:space="0" w:color="auto"/>
      </w:divBdr>
    </w:div>
    <w:div w:id="1714503526">
      <w:bodyDiv w:val="1"/>
      <w:marLeft w:val="0"/>
      <w:marRight w:val="0"/>
      <w:marTop w:val="0"/>
      <w:marBottom w:val="0"/>
      <w:divBdr>
        <w:top w:val="none" w:sz="0" w:space="0" w:color="auto"/>
        <w:left w:val="none" w:sz="0" w:space="0" w:color="auto"/>
        <w:bottom w:val="none" w:sz="0" w:space="0" w:color="auto"/>
        <w:right w:val="none" w:sz="0" w:space="0" w:color="auto"/>
      </w:divBdr>
    </w:div>
    <w:div w:id="1714647691">
      <w:bodyDiv w:val="1"/>
      <w:marLeft w:val="0"/>
      <w:marRight w:val="0"/>
      <w:marTop w:val="0"/>
      <w:marBottom w:val="0"/>
      <w:divBdr>
        <w:top w:val="none" w:sz="0" w:space="0" w:color="auto"/>
        <w:left w:val="none" w:sz="0" w:space="0" w:color="auto"/>
        <w:bottom w:val="none" w:sz="0" w:space="0" w:color="auto"/>
        <w:right w:val="none" w:sz="0" w:space="0" w:color="auto"/>
      </w:divBdr>
    </w:div>
    <w:div w:id="1715084078">
      <w:bodyDiv w:val="1"/>
      <w:marLeft w:val="0"/>
      <w:marRight w:val="0"/>
      <w:marTop w:val="0"/>
      <w:marBottom w:val="0"/>
      <w:divBdr>
        <w:top w:val="none" w:sz="0" w:space="0" w:color="auto"/>
        <w:left w:val="none" w:sz="0" w:space="0" w:color="auto"/>
        <w:bottom w:val="none" w:sz="0" w:space="0" w:color="auto"/>
        <w:right w:val="none" w:sz="0" w:space="0" w:color="auto"/>
      </w:divBdr>
    </w:div>
    <w:div w:id="1716348574">
      <w:bodyDiv w:val="1"/>
      <w:marLeft w:val="0"/>
      <w:marRight w:val="0"/>
      <w:marTop w:val="0"/>
      <w:marBottom w:val="0"/>
      <w:divBdr>
        <w:top w:val="none" w:sz="0" w:space="0" w:color="auto"/>
        <w:left w:val="none" w:sz="0" w:space="0" w:color="auto"/>
        <w:bottom w:val="none" w:sz="0" w:space="0" w:color="auto"/>
        <w:right w:val="none" w:sz="0" w:space="0" w:color="auto"/>
      </w:divBdr>
    </w:div>
    <w:div w:id="1716848314">
      <w:bodyDiv w:val="1"/>
      <w:marLeft w:val="0"/>
      <w:marRight w:val="0"/>
      <w:marTop w:val="0"/>
      <w:marBottom w:val="0"/>
      <w:divBdr>
        <w:top w:val="none" w:sz="0" w:space="0" w:color="auto"/>
        <w:left w:val="none" w:sz="0" w:space="0" w:color="auto"/>
        <w:bottom w:val="none" w:sz="0" w:space="0" w:color="auto"/>
        <w:right w:val="none" w:sz="0" w:space="0" w:color="auto"/>
      </w:divBdr>
    </w:div>
    <w:div w:id="1717047460">
      <w:bodyDiv w:val="1"/>
      <w:marLeft w:val="0"/>
      <w:marRight w:val="0"/>
      <w:marTop w:val="0"/>
      <w:marBottom w:val="0"/>
      <w:divBdr>
        <w:top w:val="none" w:sz="0" w:space="0" w:color="auto"/>
        <w:left w:val="none" w:sz="0" w:space="0" w:color="auto"/>
        <w:bottom w:val="none" w:sz="0" w:space="0" w:color="auto"/>
        <w:right w:val="none" w:sz="0" w:space="0" w:color="auto"/>
      </w:divBdr>
    </w:div>
    <w:div w:id="1717311403">
      <w:bodyDiv w:val="1"/>
      <w:marLeft w:val="0"/>
      <w:marRight w:val="0"/>
      <w:marTop w:val="0"/>
      <w:marBottom w:val="0"/>
      <w:divBdr>
        <w:top w:val="none" w:sz="0" w:space="0" w:color="auto"/>
        <w:left w:val="none" w:sz="0" w:space="0" w:color="auto"/>
        <w:bottom w:val="none" w:sz="0" w:space="0" w:color="auto"/>
        <w:right w:val="none" w:sz="0" w:space="0" w:color="auto"/>
      </w:divBdr>
    </w:div>
    <w:div w:id="1717658774">
      <w:bodyDiv w:val="1"/>
      <w:marLeft w:val="0"/>
      <w:marRight w:val="0"/>
      <w:marTop w:val="0"/>
      <w:marBottom w:val="0"/>
      <w:divBdr>
        <w:top w:val="none" w:sz="0" w:space="0" w:color="auto"/>
        <w:left w:val="none" w:sz="0" w:space="0" w:color="auto"/>
        <w:bottom w:val="none" w:sz="0" w:space="0" w:color="auto"/>
        <w:right w:val="none" w:sz="0" w:space="0" w:color="auto"/>
      </w:divBdr>
    </w:div>
    <w:div w:id="1718124303">
      <w:bodyDiv w:val="1"/>
      <w:marLeft w:val="0"/>
      <w:marRight w:val="0"/>
      <w:marTop w:val="0"/>
      <w:marBottom w:val="0"/>
      <w:divBdr>
        <w:top w:val="none" w:sz="0" w:space="0" w:color="auto"/>
        <w:left w:val="none" w:sz="0" w:space="0" w:color="auto"/>
        <w:bottom w:val="none" w:sz="0" w:space="0" w:color="auto"/>
        <w:right w:val="none" w:sz="0" w:space="0" w:color="auto"/>
      </w:divBdr>
    </w:div>
    <w:div w:id="1718580137">
      <w:bodyDiv w:val="1"/>
      <w:marLeft w:val="0"/>
      <w:marRight w:val="0"/>
      <w:marTop w:val="0"/>
      <w:marBottom w:val="0"/>
      <w:divBdr>
        <w:top w:val="none" w:sz="0" w:space="0" w:color="auto"/>
        <w:left w:val="none" w:sz="0" w:space="0" w:color="auto"/>
        <w:bottom w:val="none" w:sz="0" w:space="0" w:color="auto"/>
        <w:right w:val="none" w:sz="0" w:space="0" w:color="auto"/>
      </w:divBdr>
    </w:div>
    <w:div w:id="1718820435">
      <w:bodyDiv w:val="1"/>
      <w:marLeft w:val="0"/>
      <w:marRight w:val="0"/>
      <w:marTop w:val="0"/>
      <w:marBottom w:val="0"/>
      <w:divBdr>
        <w:top w:val="none" w:sz="0" w:space="0" w:color="auto"/>
        <w:left w:val="none" w:sz="0" w:space="0" w:color="auto"/>
        <w:bottom w:val="none" w:sz="0" w:space="0" w:color="auto"/>
        <w:right w:val="none" w:sz="0" w:space="0" w:color="auto"/>
      </w:divBdr>
    </w:div>
    <w:div w:id="1719015214">
      <w:bodyDiv w:val="1"/>
      <w:marLeft w:val="0"/>
      <w:marRight w:val="0"/>
      <w:marTop w:val="0"/>
      <w:marBottom w:val="0"/>
      <w:divBdr>
        <w:top w:val="none" w:sz="0" w:space="0" w:color="auto"/>
        <w:left w:val="none" w:sz="0" w:space="0" w:color="auto"/>
        <w:bottom w:val="none" w:sz="0" w:space="0" w:color="auto"/>
        <w:right w:val="none" w:sz="0" w:space="0" w:color="auto"/>
      </w:divBdr>
    </w:div>
    <w:div w:id="1719553698">
      <w:bodyDiv w:val="1"/>
      <w:marLeft w:val="0"/>
      <w:marRight w:val="0"/>
      <w:marTop w:val="0"/>
      <w:marBottom w:val="0"/>
      <w:divBdr>
        <w:top w:val="none" w:sz="0" w:space="0" w:color="auto"/>
        <w:left w:val="none" w:sz="0" w:space="0" w:color="auto"/>
        <w:bottom w:val="none" w:sz="0" w:space="0" w:color="auto"/>
        <w:right w:val="none" w:sz="0" w:space="0" w:color="auto"/>
      </w:divBdr>
    </w:div>
    <w:div w:id="1720129768">
      <w:bodyDiv w:val="1"/>
      <w:marLeft w:val="0"/>
      <w:marRight w:val="0"/>
      <w:marTop w:val="0"/>
      <w:marBottom w:val="0"/>
      <w:divBdr>
        <w:top w:val="none" w:sz="0" w:space="0" w:color="auto"/>
        <w:left w:val="none" w:sz="0" w:space="0" w:color="auto"/>
        <w:bottom w:val="none" w:sz="0" w:space="0" w:color="auto"/>
        <w:right w:val="none" w:sz="0" w:space="0" w:color="auto"/>
      </w:divBdr>
    </w:div>
    <w:div w:id="1720665454">
      <w:bodyDiv w:val="1"/>
      <w:marLeft w:val="0"/>
      <w:marRight w:val="0"/>
      <w:marTop w:val="0"/>
      <w:marBottom w:val="0"/>
      <w:divBdr>
        <w:top w:val="none" w:sz="0" w:space="0" w:color="auto"/>
        <w:left w:val="none" w:sz="0" w:space="0" w:color="auto"/>
        <w:bottom w:val="none" w:sz="0" w:space="0" w:color="auto"/>
        <w:right w:val="none" w:sz="0" w:space="0" w:color="auto"/>
      </w:divBdr>
    </w:div>
    <w:div w:id="1720857420">
      <w:bodyDiv w:val="1"/>
      <w:marLeft w:val="0"/>
      <w:marRight w:val="0"/>
      <w:marTop w:val="0"/>
      <w:marBottom w:val="0"/>
      <w:divBdr>
        <w:top w:val="none" w:sz="0" w:space="0" w:color="auto"/>
        <w:left w:val="none" w:sz="0" w:space="0" w:color="auto"/>
        <w:bottom w:val="none" w:sz="0" w:space="0" w:color="auto"/>
        <w:right w:val="none" w:sz="0" w:space="0" w:color="auto"/>
      </w:divBdr>
    </w:div>
    <w:div w:id="1721005823">
      <w:bodyDiv w:val="1"/>
      <w:marLeft w:val="0"/>
      <w:marRight w:val="0"/>
      <w:marTop w:val="0"/>
      <w:marBottom w:val="0"/>
      <w:divBdr>
        <w:top w:val="none" w:sz="0" w:space="0" w:color="auto"/>
        <w:left w:val="none" w:sz="0" w:space="0" w:color="auto"/>
        <w:bottom w:val="none" w:sz="0" w:space="0" w:color="auto"/>
        <w:right w:val="none" w:sz="0" w:space="0" w:color="auto"/>
      </w:divBdr>
    </w:div>
    <w:div w:id="1721515599">
      <w:bodyDiv w:val="1"/>
      <w:marLeft w:val="0"/>
      <w:marRight w:val="0"/>
      <w:marTop w:val="0"/>
      <w:marBottom w:val="0"/>
      <w:divBdr>
        <w:top w:val="none" w:sz="0" w:space="0" w:color="auto"/>
        <w:left w:val="none" w:sz="0" w:space="0" w:color="auto"/>
        <w:bottom w:val="none" w:sz="0" w:space="0" w:color="auto"/>
        <w:right w:val="none" w:sz="0" w:space="0" w:color="auto"/>
      </w:divBdr>
    </w:div>
    <w:div w:id="1721981685">
      <w:bodyDiv w:val="1"/>
      <w:marLeft w:val="0"/>
      <w:marRight w:val="0"/>
      <w:marTop w:val="0"/>
      <w:marBottom w:val="0"/>
      <w:divBdr>
        <w:top w:val="none" w:sz="0" w:space="0" w:color="auto"/>
        <w:left w:val="none" w:sz="0" w:space="0" w:color="auto"/>
        <w:bottom w:val="none" w:sz="0" w:space="0" w:color="auto"/>
        <w:right w:val="none" w:sz="0" w:space="0" w:color="auto"/>
      </w:divBdr>
    </w:div>
    <w:div w:id="1722434584">
      <w:bodyDiv w:val="1"/>
      <w:marLeft w:val="0"/>
      <w:marRight w:val="0"/>
      <w:marTop w:val="0"/>
      <w:marBottom w:val="0"/>
      <w:divBdr>
        <w:top w:val="none" w:sz="0" w:space="0" w:color="auto"/>
        <w:left w:val="none" w:sz="0" w:space="0" w:color="auto"/>
        <w:bottom w:val="none" w:sz="0" w:space="0" w:color="auto"/>
        <w:right w:val="none" w:sz="0" w:space="0" w:color="auto"/>
      </w:divBdr>
    </w:div>
    <w:div w:id="1722513691">
      <w:bodyDiv w:val="1"/>
      <w:marLeft w:val="0"/>
      <w:marRight w:val="0"/>
      <w:marTop w:val="0"/>
      <w:marBottom w:val="0"/>
      <w:divBdr>
        <w:top w:val="none" w:sz="0" w:space="0" w:color="auto"/>
        <w:left w:val="none" w:sz="0" w:space="0" w:color="auto"/>
        <w:bottom w:val="none" w:sz="0" w:space="0" w:color="auto"/>
        <w:right w:val="none" w:sz="0" w:space="0" w:color="auto"/>
      </w:divBdr>
    </w:div>
    <w:div w:id="1722628414">
      <w:bodyDiv w:val="1"/>
      <w:marLeft w:val="0"/>
      <w:marRight w:val="0"/>
      <w:marTop w:val="0"/>
      <w:marBottom w:val="0"/>
      <w:divBdr>
        <w:top w:val="none" w:sz="0" w:space="0" w:color="auto"/>
        <w:left w:val="none" w:sz="0" w:space="0" w:color="auto"/>
        <w:bottom w:val="none" w:sz="0" w:space="0" w:color="auto"/>
        <w:right w:val="none" w:sz="0" w:space="0" w:color="auto"/>
      </w:divBdr>
    </w:div>
    <w:div w:id="1722710220">
      <w:bodyDiv w:val="1"/>
      <w:marLeft w:val="0"/>
      <w:marRight w:val="0"/>
      <w:marTop w:val="0"/>
      <w:marBottom w:val="0"/>
      <w:divBdr>
        <w:top w:val="none" w:sz="0" w:space="0" w:color="auto"/>
        <w:left w:val="none" w:sz="0" w:space="0" w:color="auto"/>
        <w:bottom w:val="none" w:sz="0" w:space="0" w:color="auto"/>
        <w:right w:val="none" w:sz="0" w:space="0" w:color="auto"/>
      </w:divBdr>
    </w:div>
    <w:div w:id="1723287909">
      <w:bodyDiv w:val="1"/>
      <w:marLeft w:val="0"/>
      <w:marRight w:val="0"/>
      <w:marTop w:val="0"/>
      <w:marBottom w:val="0"/>
      <w:divBdr>
        <w:top w:val="none" w:sz="0" w:space="0" w:color="auto"/>
        <w:left w:val="none" w:sz="0" w:space="0" w:color="auto"/>
        <w:bottom w:val="none" w:sz="0" w:space="0" w:color="auto"/>
        <w:right w:val="none" w:sz="0" w:space="0" w:color="auto"/>
      </w:divBdr>
    </w:div>
    <w:div w:id="1723748840">
      <w:bodyDiv w:val="1"/>
      <w:marLeft w:val="0"/>
      <w:marRight w:val="0"/>
      <w:marTop w:val="0"/>
      <w:marBottom w:val="0"/>
      <w:divBdr>
        <w:top w:val="none" w:sz="0" w:space="0" w:color="auto"/>
        <w:left w:val="none" w:sz="0" w:space="0" w:color="auto"/>
        <w:bottom w:val="none" w:sz="0" w:space="0" w:color="auto"/>
        <w:right w:val="none" w:sz="0" w:space="0" w:color="auto"/>
      </w:divBdr>
    </w:div>
    <w:div w:id="1723939116">
      <w:bodyDiv w:val="1"/>
      <w:marLeft w:val="0"/>
      <w:marRight w:val="0"/>
      <w:marTop w:val="0"/>
      <w:marBottom w:val="0"/>
      <w:divBdr>
        <w:top w:val="none" w:sz="0" w:space="0" w:color="auto"/>
        <w:left w:val="none" w:sz="0" w:space="0" w:color="auto"/>
        <w:bottom w:val="none" w:sz="0" w:space="0" w:color="auto"/>
        <w:right w:val="none" w:sz="0" w:space="0" w:color="auto"/>
      </w:divBdr>
    </w:div>
    <w:div w:id="1724020372">
      <w:bodyDiv w:val="1"/>
      <w:marLeft w:val="0"/>
      <w:marRight w:val="0"/>
      <w:marTop w:val="0"/>
      <w:marBottom w:val="0"/>
      <w:divBdr>
        <w:top w:val="none" w:sz="0" w:space="0" w:color="auto"/>
        <w:left w:val="none" w:sz="0" w:space="0" w:color="auto"/>
        <w:bottom w:val="none" w:sz="0" w:space="0" w:color="auto"/>
        <w:right w:val="none" w:sz="0" w:space="0" w:color="auto"/>
      </w:divBdr>
    </w:div>
    <w:div w:id="1724057146">
      <w:bodyDiv w:val="1"/>
      <w:marLeft w:val="0"/>
      <w:marRight w:val="0"/>
      <w:marTop w:val="0"/>
      <w:marBottom w:val="0"/>
      <w:divBdr>
        <w:top w:val="none" w:sz="0" w:space="0" w:color="auto"/>
        <w:left w:val="none" w:sz="0" w:space="0" w:color="auto"/>
        <w:bottom w:val="none" w:sz="0" w:space="0" w:color="auto"/>
        <w:right w:val="none" w:sz="0" w:space="0" w:color="auto"/>
      </w:divBdr>
    </w:div>
    <w:div w:id="1724132166">
      <w:bodyDiv w:val="1"/>
      <w:marLeft w:val="0"/>
      <w:marRight w:val="0"/>
      <w:marTop w:val="0"/>
      <w:marBottom w:val="0"/>
      <w:divBdr>
        <w:top w:val="none" w:sz="0" w:space="0" w:color="auto"/>
        <w:left w:val="none" w:sz="0" w:space="0" w:color="auto"/>
        <w:bottom w:val="none" w:sz="0" w:space="0" w:color="auto"/>
        <w:right w:val="none" w:sz="0" w:space="0" w:color="auto"/>
      </w:divBdr>
    </w:div>
    <w:div w:id="1724283513">
      <w:bodyDiv w:val="1"/>
      <w:marLeft w:val="0"/>
      <w:marRight w:val="0"/>
      <w:marTop w:val="0"/>
      <w:marBottom w:val="0"/>
      <w:divBdr>
        <w:top w:val="none" w:sz="0" w:space="0" w:color="auto"/>
        <w:left w:val="none" w:sz="0" w:space="0" w:color="auto"/>
        <w:bottom w:val="none" w:sz="0" w:space="0" w:color="auto"/>
        <w:right w:val="none" w:sz="0" w:space="0" w:color="auto"/>
      </w:divBdr>
    </w:div>
    <w:div w:id="1725180895">
      <w:bodyDiv w:val="1"/>
      <w:marLeft w:val="0"/>
      <w:marRight w:val="0"/>
      <w:marTop w:val="0"/>
      <w:marBottom w:val="0"/>
      <w:divBdr>
        <w:top w:val="none" w:sz="0" w:space="0" w:color="auto"/>
        <w:left w:val="none" w:sz="0" w:space="0" w:color="auto"/>
        <w:bottom w:val="none" w:sz="0" w:space="0" w:color="auto"/>
        <w:right w:val="none" w:sz="0" w:space="0" w:color="auto"/>
      </w:divBdr>
    </w:div>
    <w:div w:id="1725450215">
      <w:bodyDiv w:val="1"/>
      <w:marLeft w:val="0"/>
      <w:marRight w:val="0"/>
      <w:marTop w:val="0"/>
      <w:marBottom w:val="0"/>
      <w:divBdr>
        <w:top w:val="none" w:sz="0" w:space="0" w:color="auto"/>
        <w:left w:val="none" w:sz="0" w:space="0" w:color="auto"/>
        <w:bottom w:val="none" w:sz="0" w:space="0" w:color="auto"/>
        <w:right w:val="none" w:sz="0" w:space="0" w:color="auto"/>
      </w:divBdr>
    </w:div>
    <w:div w:id="1725637888">
      <w:bodyDiv w:val="1"/>
      <w:marLeft w:val="0"/>
      <w:marRight w:val="0"/>
      <w:marTop w:val="0"/>
      <w:marBottom w:val="0"/>
      <w:divBdr>
        <w:top w:val="none" w:sz="0" w:space="0" w:color="auto"/>
        <w:left w:val="none" w:sz="0" w:space="0" w:color="auto"/>
        <w:bottom w:val="none" w:sz="0" w:space="0" w:color="auto"/>
        <w:right w:val="none" w:sz="0" w:space="0" w:color="auto"/>
      </w:divBdr>
    </w:div>
    <w:div w:id="1726024982">
      <w:bodyDiv w:val="1"/>
      <w:marLeft w:val="0"/>
      <w:marRight w:val="0"/>
      <w:marTop w:val="0"/>
      <w:marBottom w:val="0"/>
      <w:divBdr>
        <w:top w:val="none" w:sz="0" w:space="0" w:color="auto"/>
        <w:left w:val="none" w:sz="0" w:space="0" w:color="auto"/>
        <w:bottom w:val="none" w:sz="0" w:space="0" w:color="auto"/>
        <w:right w:val="none" w:sz="0" w:space="0" w:color="auto"/>
      </w:divBdr>
    </w:div>
    <w:div w:id="1726297645">
      <w:bodyDiv w:val="1"/>
      <w:marLeft w:val="0"/>
      <w:marRight w:val="0"/>
      <w:marTop w:val="0"/>
      <w:marBottom w:val="0"/>
      <w:divBdr>
        <w:top w:val="none" w:sz="0" w:space="0" w:color="auto"/>
        <w:left w:val="none" w:sz="0" w:space="0" w:color="auto"/>
        <w:bottom w:val="none" w:sz="0" w:space="0" w:color="auto"/>
        <w:right w:val="none" w:sz="0" w:space="0" w:color="auto"/>
      </w:divBdr>
    </w:div>
    <w:div w:id="1726492614">
      <w:bodyDiv w:val="1"/>
      <w:marLeft w:val="0"/>
      <w:marRight w:val="0"/>
      <w:marTop w:val="0"/>
      <w:marBottom w:val="0"/>
      <w:divBdr>
        <w:top w:val="none" w:sz="0" w:space="0" w:color="auto"/>
        <w:left w:val="none" w:sz="0" w:space="0" w:color="auto"/>
        <w:bottom w:val="none" w:sz="0" w:space="0" w:color="auto"/>
        <w:right w:val="none" w:sz="0" w:space="0" w:color="auto"/>
      </w:divBdr>
    </w:div>
    <w:div w:id="1727029865">
      <w:bodyDiv w:val="1"/>
      <w:marLeft w:val="0"/>
      <w:marRight w:val="0"/>
      <w:marTop w:val="0"/>
      <w:marBottom w:val="0"/>
      <w:divBdr>
        <w:top w:val="none" w:sz="0" w:space="0" w:color="auto"/>
        <w:left w:val="none" w:sz="0" w:space="0" w:color="auto"/>
        <w:bottom w:val="none" w:sz="0" w:space="0" w:color="auto"/>
        <w:right w:val="none" w:sz="0" w:space="0" w:color="auto"/>
      </w:divBdr>
    </w:div>
    <w:div w:id="1727072661">
      <w:bodyDiv w:val="1"/>
      <w:marLeft w:val="0"/>
      <w:marRight w:val="0"/>
      <w:marTop w:val="0"/>
      <w:marBottom w:val="0"/>
      <w:divBdr>
        <w:top w:val="none" w:sz="0" w:space="0" w:color="auto"/>
        <w:left w:val="none" w:sz="0" w:space="0" w:color="auto"/>
        <w:bottom w:val="none" w:sz="0" w:space="0" w:color="auto"/>
        <w:right w:val="none" w:sz="0" w:space="0" w:color="auto"/>
      </w:divBdr>
    </w:div>
    <w:div w:id="1727608247">
      <w:bodyDiv w:val="1"/>
      <w:marLeft w:val="0"/>
      <w:marRight w:val="0"/>
      <w:marTop w:val="0"/>
      <w:marBottom w:val="0"/>
      <w:divBdr>
        <w:top w:val="none" w:sz="0" w:space="0" w:color="auto"/>
        <w:left w:val="none" w:sz="0" w:space="0" w:color="auto"/>
        <w:bottom w:val="none" w:sz="0" w:space="0" w:color="auto"/>
        <w:right w:val="none" w:sz="0" w:space="0" w:color="auto"/>
      </w:divBdr>
    </w:div>
    <w:div w:id="1727803643">
      <w:bodyDiv w:val="1"/>
      <w:marLeft w:val="0"/>
      <w:marRight w:val="0"/>
      <w:marTop w:val="0"/>
      <w:marBottom w:val="0"/>
      <w:divBdr>
        <w:top w:val="none" w:sz="0" w:space="0" w:color="auto"/>
        <w:left w:val="none" w:sz="0" w:space="0" w:color="auto"/>
        <w:bottom w:val="none" w:sz="0" w:space="0" w:color="auto"/>
        <w:right w:val="none" w:sz="0" w:space="0" w:color="auto"/>
      </w:divBdr>
    </w:div>
    <w:div w:id="1728332915">
      <w:bodyDiv w:val="1"/>
      <w:marLeft w:val="0"/>
      <w:marRight w:val="0"/>
      <w:marTop w:val="0"/>
      <w:marBottom w:val="0"/>
      <w:divBdr>
        <w:top w:val="none" w:sz="0" w:space="0" w:color="auto"/>
        <w:left w:val="none" w:sz="0" w:space="0" w:color="auto"/>
        <w:bottom w:val="none" w:sz="0" w:space="0" w:color="auto"/>
        <w:right w:val="none" w:sz="0" w:space="0" w:color="auto"/>
      </w:divBdr>
    </w:div>
    <w:div w:id="1729255576">
      <w:bodyDiv w:val="1"/>
      <w:marLeft w:val="0"/>
      <w:marRight w:val="0"/>
      <w:marTop w:val="0"/>
      <w:marBottom w:val="0"/>
      <w:divBdr>
        <w:top w:val="none" w:sz="0" w:space="0" w:color="auto"/>
        <w:left w:val="none" w:sz="0" w:space="0" w:color="auto"/>
        <w:bottom w:val="none" w:sz="0" w:space="0" w:color="auto"/>
        <w:right w:val="none" w:sz="0" w:space="0" w:color="auto"/>
      </w:divBdr>
    </w:div>
    <w:div w:id="1730686783">
      <w:bodyDiv w:val="1"/>
      <w:marLeft w:val="0"/>
      <w:marRight w:val="0"/>
      <w:marTop w:val="0"/>
      <w:marBottom w:val="0"/>
      <w:divBdr>
        <w:top w:val="none" w:sz="0" w:space="0" w:color="auto"/>
        <w:left w:val="none" w:sz="0" w:space="0" w:color="auto"/>
        <w:bottom w:val="none" w:sz="0" w:space="0" w:color="auto"/>
        <w:right w:val="none" w:sz="0" w:space="0" w:color="auto"/>
      </w:divBdr>
    </w:div>
    <w:div w:id="1730764398">
      <w:bodyDiv w:val="1"/>
      <w:marLeft w:val="0"/>
      <w:marRight w:val="0"/>
      <w:marTop w:val="0"/>
      <w:marBottom w:val="0"/>
      <w:divBdr>
        <w:top w:val="none" w:sz="0" w:space="0" w:color="auto"/>
        <w:left w:val="none" w:sz="0" w:space="0" w:color="auto"/>
        <w:bottom w:val="none" w:sz="0" w:space="0" w:color="auto"/>
        <w:right w:val="none" w:sz="0" w:space="0" w:color="auto"/>
      </w:divBdr>
    </w:div>
    <w:div w:id="1730961554">
      <w:bodyDiv w:val="1"/>
      <w:marLeft w:val="0"/>
      <w:marRight w:val="0"/>
      <w:marTop w:val="0"/>
      <w:marBottom w:val="0"/>
      <w:divBdr>
        <w:top w:val="none" w:sz="0" w:space="0" w:color="auto"/>
        <w:left w:val="none" w:sz="0" w:space="0" w:color="auto"/>
        <w:bottom w:val="none" w:sz="0" w:space="0" w:color="auto"/>
        <w:right w:val="none" w:sz="0" w:space="0" w:color="auto"/>
      </w:divBdr>
    </w:div>
    <w:div w:id="1732192995">
      <w:bodyDiv w:val="1"/>
      <w:marLeft w:val="0"/>
      <w:marRight w:val="0"/>
      <w:marTop w:val="0"/>
      <w:marBottom w:val="0"/>
      <w:divBdr>
        <w:top w:val="none" w:sz="0" w:space="0" w:color="auto"/>
        <w:left w:val="none" w:sz="0" w:space="0" w:color="auto"/>
        <w:bottom w:val="none" w:sz="0" w:space="0" w:color="auto"/>
        <w:right w:val="none" w:sz="0" w:space="0" w:color="auto"/>
      </w:divBdr>
    </w:div>
    <w:div w:id="1732381617">
      <w:bodyDiv w:val="1"/>
      <w:marLeft w:val="0"/>
      <w:marRight w:val="0"/>
      <w:marTop w:val="0"/>
      <w:marBottom w:val="0"/>
      <w:divBdr>
        <w:top w:val="none" w:sz="0" w:space="0" w:color="auto"/>
        <w:left w:val="none" w:sz="0" w:space="0" w:color="auto"/>
        <w:bottom w:val="none" w:sz="0" w:space="0" w:color="auto"/>
        <w:right w:val="none" w:sz="0" w:space="0" w:color="auto"/>
      </w:divBdr>
    </w:div>
    <w:div w:id="1732385736">
      <w:bodyDiv w:val="1"/>
      <w:marLeft w:val="0"/>
      <w:marRight w:val="0"/>
      <w:marTop w:val="0"/>
      <w:marBottom w:val="0"/>
      <w:divBdr>
        <w:top w:val="none" w:sz="0" w:space="0" w:color="auto"/>
        <w:left w:val="none" w:sz="0" w:space="0" w:color="auto"/>
        <w:bottom w:val="none" w:sz="0" w:space="0" w:color="auto"/>
        <w:right w:val="none" w:sz="0" w:space="0" w:color="auto"/>
      </w:divBdr>
    </w:div>
    <w:div w:id="1732459184">
      <w:bodyDiv w:val="1"/>
      <w:marLeft w:val="0"/>
      <w:marRight w:val="0"/>
      <w:marTop w:val="0"/>
      <w:marBottom w:val="0"/>
      <w:divBdr>
        <w:top w:val="none" w:sz="0" w:space="0" w:color="auto"/>
        <w:left w:val="none" w:sz="0" w:space="0" w:color="auto"/>
        <w:bottom w:val="none" w:sz="0" w:space="0" w:color="auto"/>
        <w:right w:val="none" w:sz="0" w:space="0" w:color="auto"/>
      </w:divBdr>
    </w:div>
    <w:div w:id="1732531660">
      <w:bodyDiv w:val="1"/>
      <w:marLeft w:val="0"/>
      <w:marRight w:val="0"/>
      <w:marTop w:val="0"/>
      <w:marBottom w:val="0"/>
      <w:divBdr>
        <w:top w:val="none" w:sz="0" w:space="0" w:color="auto"/>
        <w:left w:val="none" w:sz="0" w:space="0" w:color="auto"/>
        <w:bottom w:val="none" w:sz="0" w:space="0" w:color="auto"/>
        <w:right w:val="none" w:sz="0" w:space="0" w:color="auto"/>
      </w:divBdr>
    </w:div>
    <w:div w:id="1732577110">
      <w:bodyDiv w:val="1"/>
      <w:marLeft w:val="0"/>
      <w:marRight w:val="0"/>
      <w:marTop w:val="0"/>
      <w:marBottom w:val="0"/>
      <w:divBdr>
        <w:top w:val="none" w:sz="0" w:space="0" w:color="auto"/>
        <w:left w:val="none" w:sz="0" w:space="0" w:color="auto"/>
        <w:bottom w:val="none" w:sz="0" w:space="0" w:color="auto"/>
        <w:right w:val="none" w:sz="0" w:space="0" w:color="auto"/>
      </w:divBdr>
    </w:div>
    <w:div w:id="1732995289">
      <w:bodyDiv w:val="1"/>
      <w:marLeft w:val="0"/>
      <w:marRight w:val="0"/>
      <w:marTop w:val="0"/>
      <w:marBottom w:val="0"/>
      <w:divBdr>
        <w:top w:val="none" w:sz="0" w:space="0" w:color="auto"/>
        <w:left w:val="none" w:sz="0" w:space="0" w:color="auto"/>
        <w:bottom w:val="none" w:sz="0" w:space="0" w:color="auto"/>
        <w:right w:val="none" w:sz="0" w:space="0" w:color="auto"/>
      </w:divBdr>
    </w:div>
    <w:div w:id="1732998160">
      <w:bodyDiv w:val="1"/>
      <w:marLeft w:val="0"/>
      <w:marRight w:val="0"/>
      <w:marTop w:val="0"/>
      <w:marBottom w:val="0"/>
      <w:divBdr>
        <w:top w:val="none" w:sz="0" w:space="0" w:color="auto"/>
        <w:left w:val="none" w:sz="0" w:space="0" w:color="auto"/>
        <w:bottom w:val="none" w:sz="0" w:space="0" w:color="auto"/>
        <w:right w:val="none" w:sz="0" w:space="0" w:color="auto"/>
      </w:divBdr>
    </w:div>
    <w:div w:id="1733231781">
      <w:bodyDiv w:val="1"/>
      <w:marLeft w:val="0"/>
      <w:marRight w:val="0"/>
      <w:marTop w:val="0"/>
      <w:marBottom w:val="0"/>
      <w:divBdr>
        <w:top w:val="none" w:sz="0" w:space="0" w:color="auto"/>
        <w:left w:val="none" w:sz="0" w:space="0" w:color="auto"/>
        <w:bottom w:val="none" w:sz="0" w:space="0" w:color="auto"/>
        <w:right w:val="none" w:sz="0" w:space="0" w:color="auto"/>
      </w:divBdr>
    </w:div>
    <w:div w:id="1733625545">
      <w:bodyDiv w:val="1"/>
      <w:marLeft w:val="0"/>
      <w:marRight w:val="0"/>
      <w:marTop w:val="0"/>
      <w:marBottom w:val="0"/>
      <w:divBdr>
        <w:top w:val="none" w:sz="0" w:space="0" w:color="auto"/>
        <w:left w:val="none" w:sz="0" w:space="0" w:color="auto"/>
        <w:bottom w:val="none" w:sz="0" w:space="0" w:color="auto"/>
        <w:right w:val="none" w:sz="0" w:space="0" w:color="auto"/>
      </w:divBdr>
    </w:div>
    <w:div w:id="1734043092">
      <w:bodyDiv w:val="1"/>
      <w:marLeft w:val="0"/>
      <w:marRight w:val="0"/>
      <w:marTop w:val="0"/>
      <w:marBottom w:val="0"/>
      <w:divBdr>
        <w:top w:val="none" w:sz="0" w:space="0" w:color="auto"/>
        <w:left w:val="none" w:sz="0" w:space="0" w:color="auto"/>
        <w:bottom w:val="none" w:sz="0" w:space="0" w:color="auto"/>
        <w:right w:val="none" w:sz="0" w:space="0" w:color="auto"/>
      </w:divBdr>
    </w:div>
    <w:div w:id="1734739963">
      <w:bodyDiv w:val="1"/>
      <w:marLeft w:val="0"/>
      <w:marRight w:val="0"/>
      <w:marTop w:val="0"/>
      <w:marBottom w:val="0"/>
      <w:divBdr>
        <w:top w:val="none" w:sz="0" w:space="0" w:color="auto"/>
        <w:left w:val="none" w:sz="0" w:space="0" w:color="auto"/>
        <w:bottom w:val="none" w:sz="0" w:space="0" w:color="auto"/>
        <w:right w:val="none" w:sz="0" w:space="0" w:color="auto"/>
      </w:divBdr>
    </w:div>
    <w:div w:id="1734811733">
      <w:bodyDiv w:val="1"/>
      <w:marLeft w:val="0"/>
      <w:marRight w:val="0"/>
      <w:marTop w:val="0"/>
      <w:marBottom w:val="0"/>
      <w:divBdr>
        <w:top w:val="none" w:sz="0" w:space="0" w:color="auto"/>
        <w:left w:val="none" w:sz="0" w:space="0" w:color="auto"/>
        <w:bottom w:val="none" w:sz="0" w:space="0" w:color="auto"/>
        <w:right w:val="none" w:sz="0" w:space="0" w:color="auto"/>
      </w:divBdr>
    </w:div>
    <w:div w:id="1735204205">
      <w:bodyDiv w:val="1"/>
      <w:marLeft w:val="0"/>
      <w:marRight w:val="0"/>
      <w:marTop w:val="0"/>
      <w:marBottom w:val="0"/>
      <w:divBdr>
        <w:top w:val="none" w:sz="0" w:space="0" w:color="auto"/>
        <w:left w:val="none" w:sz="0" w:space="0" w:color="auto"/>
        <w:bottom w:val="none" w:sz="0" w:space="0" w:color="auto"/>
        <w:right w:val="none" w:sz="0" w:space="0" w:color="auto"/>
      </w:divBdr>
    </w:div>
    <w:div w:id="1735664396">
      <w:bodyDiv w:val="1"/>
      <w:marLeft w:val="0"/>
      <w:marRight w:val="0"/>
      <w:marTop w:val="0"/>
      <w:marBottom w:val="0"/>
      <w:divBdr>
        <w:top w:val="none" w:sz="0" w:space="0" w:color="auto"/>
        <w:left w:val="none" w:sz="0" w:space="0" w:color="auto"/>
        <w:bottom w:val="none" w:sz="0" w:space="0" w:color="auto"/>
        <w:right w:val="none" w:sz="0" w:space="0" w:color="auto"/>
      </w:divBdr>
    </w:div>
    <w:div w:id="1735665219">
      <w:bodyDiv w:val="1"/>
      <w:marLeft w:val="0"/>
      <w:marRight w:val="0"/>
      <w:marTop w:val="0"/>
      <w:marBottom w:val="0"/>
      <w:divBdr>
        <w:top w:val="none" w:sz="0" w:space="0" w:color="auto"/>
        <w:left w:val="none" w:sz="0" w:space="0" w:color="auto"/>
        <w:bottom w:val="none" w:sz="0" w:space="0" w:color="auto"/>
        <w:right w:val="none" w:sz="0" w:space="0" w:color="auto"/>
      </w:divBdr>
    </w:div>
    <w:div w:id="1735926165">
      <w:bodyDiv w:val="1"/>
      <w:marLeft w:val="0"/>
      <w:marRight w:val="0"/>
      <w:marTop w:val="0"/>
      <w:marBottom w:val="0"/>
      <w:divBdr>
        <w:top w:val="none" w:sz="0" w:space="0" w:color="auto"/>
        <w:left w:val="none" w:sz="0" w:space="0" w:color="auto"/>
        <w:bottom w:val="none" w:sz="0" w:space="0" w:color="auto"/>
        <w:right w:val="none" w:sz="0" w:space="0" w:color="auto"/>
      </w:divBdr>
    </w:div>
    <w:div w:id="1735931584">
      <w:bodyDiv w:val="1"/>
      <w:marLeft w:val="0"/>
      <w:marRight w:val="0"/>
      <w:marTop w:val="0"/>
      <w:marBottom w:val="0"/>
      <w:divBdr>
        <w:top w:val="none" w:sz="0" w:space="0" w:color="auto"/>
        <w:left w:val="none" w:sz="0" w:space="0" w:color="auto"/>
        <w:bottom w:val="none" w:sz="0" w:space="0" w:color="auto"/>
        <w:right w:val="none" w:sz="0" w:space="0" w:color="auto"/>
      </w:divBdr>
    </w:div>
    <w:div w:id="1736200838">
      <w:bodyDiv w:val="1"/>
      <w:marLeft w:val="0"/>
      <w:marRight w:val="0"/>
      <w:marTop w:val="0"/>
      <w:marBottom w:val="0"/>
      <w:divBdr>
        <w:top w:val="none" w:sz="0" w:space="0" w:color="auto"/>
        <w:left w:val="none" w:sz="0" w:space="0" w:color="auto"/>
        <w:bottom w:val="none" w:sz="0" w:space="0" w:color="auto"/>
        <w:right w:val="none" w:sz="0" w:space="0" w:color="auto"/>
      </w:divBdr>
    </w:div>
    <w:div w:id="1736509918">
      <w:bodyDiv w:val="1"/>
      <w:marLeft w:val="0"/>
      <w:marRight w:val="0"/>
      <w:marTop w:val="0"/>
      <w:marBottom w:val="0"/>
      <w:divBdr>
        <w:top w:val="none" w:sz="0" w:space="0" w:color="auto"/>
        <w:left w:val="none" w:sz="0" w:space="0" w:color="auto"/>
        <w:bottom w:val="none" w:sz="0" w:space="0" w:color="auto"/>
        <w:right w:val="none" w:sz="0" w:space="0" w:color="auto"/>
      </w:divBdr>
    </w:div>
    <w:div w:id="1736587264">
      <w:bodyDiv w:val="1"/>
      <w:marLeft w:val="0"/>
      <w:marRight w:val="0"/>
      <w:marTop w:val="0"/>
      <w:marBottom w:val="0"/>
      <w:divBdr>
        <w:top w:val="none" w:sz="0" w:space="0" w:color="auto"/>
        <w:left w:val="none" w:sz="0" w:space="0" w:color="auto"/>
        <w:bottom w:val="none" w:sz="0" w:space="0" w:color="auto"/>
        <w:right w:val="none" w:sz="0" w:space="0" w:color="auto"/>
      </w:divBdr>
    </w:div>
    <w:div w:id="1736856871">
      <w:bodyDiv w:val="1"/>
      <w:marLeft w:val="0"/>
      <w:marRight w:val="0"/>
      <w:marTop w:val="0"/>
      <w:marBottom w:val="0"/>
      <w:divBdr>
        <w:top w:val="none" w:sz="0" w:space="0" w:color="auto"/>
        <w:left w:val="none" w:sz="0" w:space="0" w:color="auto"/>
        <w:bottom w:val="none" w:sz="0" w:space="0" w:color="auto"/>
        <w:right w:val="none" w:sz="0" w:space="0" w:color="auto"/>
      </w:divBdr>
    </w:div>
    <w:div w:id="1737167010">
      <w:bodyDiv w:val="1"/>
      <w:marLeft w:val="0"/>
      <w:marRight w:val="0"/>
      <w:marTop w:val="0"/>
      <w:marBottom w:val="0"/>
      <w:divBdr>
        <w:top w:val="none" w:sz="0" w:space="0" w:color="auto"/>
        <w:left w:val="none" w:sz="0" w:space="0" w:color="auto"/>
        <w:bottom w:val="none" w:sz="0" w:space="0" w:color="auto"/>
        <w:right w:val="none" w:sz="0" w:space="0" w:color="auto"/>
      </w:divBdr>
    </w:div>
    <w:div w:id="1737825086">
      <w:bodyDiv w:val="1"/>
      <w:marLeft w:val="0"/>
      <w:marRight w:val="0"/>
      <w:marTop w:val="0"/>
      <w:marBottom w:val="0"/>
      <w:divBdr>
        <w:top w:val="none" w:sz="0" w:space="0" w:color="auto"/>
        <w:left w:val="none" w:sz="0" w:space="0" w:color="auto"/>
        <w:bottom w:val="none" w:sz="0" w:space="0" w:color="auto"/>
        <w:right w:val="none" w:sz="0" w:space="0" w:color="auto"/>
      </w:divBdr>
    </w:div>
    <w:div w:id="1738819941">
      <w:bodyDiv w:val="1"/>
      <w:marLeft w:val="0"/>
      <w:marRight w:val="0"/>
      <w:marTop w:val="0"/>
      <w:marBottom w:val="0"/>
      <w:divBdr>
        <w:top w:val="none" w:sz="0" w:space="0" w:color="auto"/>
        <w:left w:val="none" w:sz="0" w:space="0" w:color="auto"/>
        <w:bottom w:val="none" w:sz="0" w:space="0" w:color="auto"/>
        <w:right w:val="none" w:sz="0" w:space="0" w:color="auto"/>
      </w:divBdr>
    </w:div>
    <w:div w:id="1738895559">
      <w:bodyDiv w:val="1"/>
      <w:marLeft w:val="0"/>
      <w:marRight w:val="0"/>
      <w:marTop w:val="0"/>
      <w:marBottom w:val="0"/>
      <w:divBdr>
        <w:top w:val="none" w:sz="0" w:space="0" w:color="auto"/>
        <w:left w:val="none" w:sz="0" w:space="0" w:color="auto"/>
        <w:bottom w:val="none" w:sz="0" w:space="0" w:color="auto"/>
        <w:right w:val="none" w:sz="0" w:space="0" w:color="auto"/>
      </w:divBdr>
    </w:div>
    <w:div w:id="1738934152">
      <w:bodyDiv w:val="1"/>
      <w:marLeft w:val="0"/>
      <w:marRight w:val="0"/>
      <w:marTop w:val="0"/>
      <w:marBottom w:val="0"/>
      <w:divBdr>
        <w:top w:val="none" w:sz="0" w:space="0" w:color="auto"/>
        <w:left w:val="none" w:sz="0" w:space="0" w:color="auto"/>
        <w:bottom w:val="none" w:sz="0" w:space="0" w:color="auto"/>
        <w:right w:val="none" w:sz="0" w:space="0" w:color="auto"/>
      </w:divBdr>
    </w:div>
    <w:div w:id="1739210396">
      <w:bodyDiv w:val="1"/>
      <w:marLeft w:val="0"/>
      <w:marRight w:val="0"/>
      <w:marTop w:val="0"/>
      <w:marBottom w:val="0"/>
      <w:divBdr>
        <w:top w:val="none" w:sz="0" w:space="0" w:color="auto"/>
        <w:left w:val="none" w:sz="0" w:space="0" w:color="auto"/>
        <w:bottom w:val="none" w:sz="0" w:space="0" w:color="auto"/>
        <w:right w:val="none" w:sz="0" w:space="0" w:color="auto"/>
      </w:divBdr>
    </w:div>
    <w:div w:id="1739286165">
      <w:bodyDiv w:val="1"/>
      <w:marLeft w:val="0"/>
      <w:marRight w:val="0"/>
      <w:marTop w:val="0"/>
      <w:marBottom w:val="0"/>
      <w:divBdr>
        <w:top w:val="none" w:sz="0" w:space="0" w:color="auto"/>
        <w:left w:val="none" w:sz="0" w:space="0" w:color="auto"/>
        <w:bottom w:val="none" w:sz="0" w:space="0" w:color="auto"/>
        <w:right w:val="none" w:sz="0" w:space="0" w:color="auto"/>
      </w:divBdr>
    </w:div>
    <w:div w:id="1739553186">
      <w:bodyDiv w:val="1"/>
      <w:marLeft w:val="0"/>
      <w:marRight w:val="0"/>
      <w:marTop w:val="0"/>
      <w:marBottom w:val="0"/>
      <w:divBdr>
        <w:top w:val="none" w:sz="0" w:space="0" w:color="auto"/>
        <w:left w:val="none" w:sz="0" w:space="0" w:color="auto"/>
        <w:bottom w:val="none" w:sz="0" w:space="0" w:color="auto"/>
        <w:right w:val="none" w:sz="0" w:space="0" w:color="auto"/>
      </w:divBdr>
    </w:div>
    <w:div w:id="1740209354">
      <w:bodyDiv w:val="1"/>
      <w:marLeft w:val="0"/>
      <w:marRight w:val="0"/>
      <w:marTop w:val="0"/>
      <w:marBottom w:val="0"/>
      <w:divBdr>
        <w:top w:val="none" w:sz="0" w:space="0" w:color="auto"/>
        <w:left w:val="none" w:sz="0" w:space="0" w:color="auto"/>
        <w:bottom w:val="none" w:sz="0" w:space="0" w:color="auto"/>
        <w:right w:val="none" w:sz="0" w:space="0" w:color="auto"/>
      </w:divBdr>
    </w:div>
    <w:div w:id="1740974932">
      <w:bodyDiv w:val="1"/>
      <w:marLeft w:val="0"/>
      <w:marRight w:val="0"/>
      <w:marTop w:val="0"/>
      <w:marBottom w:val="0"/>
      <w:divBdr>
        <w:top w:val="none" w:sz="0" w:space="0" w:color="auto"/>
        <w:left w:val="none" w:sz="0" w:space="0" w:color="auto"/>
        <w:bottom w:val="none" w:sz="0" w:space="0" w:color="auto"/>
        <w:right w:val="none" w:sz="0" w:space="0" w:color="auto"/>
      </w:divBdr>
    </w:div>
    <w:div w:id="1740984413">
      <w:bodyDiv w:val="1"/>
      <w:marLeft w:val="0"/>
      <w:marRight w:val="0"/>
      <w:marTop w:val="0"/>
      <w:marBottom w:val="0"/>
      <w:divBdr>
        <w:top w:val="none" w:sz="0" w:space="0" w:color="auto"/>
        <w:left w:val="none" w:sz="0" w:space="0" w:color="auto"/>
        <w:bottom w:val="none" w:sz="0" w:space="0" w:color="auto"/>
        <w:right w:val="none" w:sz="0" w:space="0" w:color="auto"/>
      </w:divBdr>
    </w:div>
    <w:div w:id="1741059950">
      <w:bodyDiv w:val="1"/>
      <w:marLeft w:val="0"/>
      <w:marRight w:val="0"/>
      <w:marTop w:val="0"/>
      <w:marBottom w:val="0"/>
      <w:divBdr>
        <w:top w:val="none" w:sz="0" w:space="0" w:color="auto"/>
        <w:left w:val="none" w:sz="0" w:space="0" w:color="auto"/>
        <w:bottom w:val="none" w:sz="0" w:space="0" w:color="auto"/>
        <w:right w:val="none" w:sz="0" w:space="0" w:color="auto"/>
      </w:divBdr>
    </w:div>
    <w:div w:id="1741168995">
      <w:bodyDiv w:val="1"/>
      <w:marLeft w:val="0"/>
      <w:marRight w:val="0"/>
      <w:marTop w:val="0"/>
      <w:marBottom w:val="0"/>
      <w:divBdr>
        <w:top w:val="none" w:sz="0" w:space="0" w:color="auto"/>
        <w:left w:val="none" w:sz="0" w:space="0" w:color="auto"/>
        <w:bottom w:val="none" w:sz="0" w:space="0" w:color="auto"/>
        <w:right w:val="none" w:sz="0" w:space="0" w:color="auto"/>
      </w:divBdr>
    </w:div>
    <w:div w:id="1741518544">
      <w:bodyDiv w:val="1"/>
      <w:marLeft w:val="0"/>
      <w:marRight w:val="0"/>
      <w:marTop w:val="0"/>
      <w:marBottom w:val="0"/>
      <w:divBdr>
        <w:top w:val="none" w:sz="0" w:space="0" w:color="auto"/>
        <w:left w:val="none" w:sz="0" w:space="0" w:color="auto"/>
        <w:bottom w:val="none" w:sz="0" w:space="0" w:color="auto"/>
        <w:right w:val="none" w:sz="0" w:space="0" w:color="auto"/>
      </w:divBdr>
    </w:div>
    <w:div w:id="1741974964">
      <w:bodyDiv w:val="1"/>
      <w:marLeft w:val="0"/>
      <w:marRight w:val="0"/>
      <w:marTop w:val="0"/>
      <w:marBottom w:val="0"/>
      <w:divBdr>
        <w:top w:val="none" w:sz="0" w:space="0" w:color="auto"/>
        <w:left w:val="none" w:sz="0" w:space="0" w:color="auto"/>
        <w:bottom w:val="none" w:sz="0" w:space="0" w:color="auto"/>
        <w:right w:val="none" w:sz="0" w:space="0" w:color="auto"/>
      </w:divBdr>
    </w:div>
    <w:div w:id="1742020052">
      <w:bodyDiv w:val="1"/>
      <w:marLeft w:val="0"/>
      <w:marRight w:val="0"/>
      <w:marTop w:val="0"/>
      <w:marBottom w:val="0"/>
      <w:divBdr>
        <w:top w:val="none" w:sz="0" w:space="0" w:color="auto"/>
        <w:left w:val="none" w:sz="0" w:space="0" w:color="auto"/>
        <w:bottom w:val="none" w:sz="0" w:space="0" w:color="auto"/>
        <w:right w:val="none" w:sz="0" w:space="0" w:color="auto"/>
      </w:divBdr>
    </w:div>
    <w:div w:id="1742210809">
      <w:bodyDiv w:val="1"/>
      <w:marLeft w:val="0"/>
      <w:marRight w:val="0"/>
      <w:marTop w:val="0"/>
      <w:marBottom w:val="0"/>
      <w:divBdr>
        <w:top w:val="none" w:sz="0" w:space="0" w:color="auto"/>
        <w:left w:val="none" w:sz="0" w:space="0" w:color="auto"/>
        <w:bottom w:val="none" w:sz="0" w:space="0" w:color="auto"/>
        <w:right w:val="none" w:sz="0" w:space="0" w:color="auto"/>
      </w:divBdr>
    </w:div>
    <w:div w:id="1742671980">
      <w:bodyDiv w:val="1"/>
      <w:marLeft w:val="0"/>
      <w:marRight w:val="0"/>
      <w:marTop w:val="0"/>
      <w:marBottom w:val="0"/>
      <w:divBdr>
        <w:top w:val="none" w:sz="0" w:space="0" w:color="auto"/>
        <w:left w:val="none" w:sz="0" w:space="0" w:color="auto"/>
        <w:bottom w:val="none" w:sz="0" w:space="0" w:color="auto"/>
        <w:right w:val="none" w:sz="0" w:space="0" w:color="auto"/>
      </w:divBdr>
    </w:div>
    <w:div w:id="1742679273">
      <w:bodyDiv w:val="1"/>
      <w:marLeft w:val="0"/>
      <w:marRight w:val="0"/>
      <w:marTop w:val="0"/>
      <w:marBottom w:val="0"/>
      <w:divBdr>
        <w:top w:val="none" w:sz="0" w:space="0" w:color="auto"/>
        <w:left w:val="none" w:sz="0" w:space="0" w:color="auto"/>
        <w:bottom w:val="none" w:sz="0" w:space="0" w:color="auto"/>
        <w:right w:val="none" w:sz="0" w:space="0" w:color="auto"/>
      </w:divBdr>
    </w:div>
    <w:div w:id="1742868962">
      <w:bodyDiv w:val="1"/>
      <w:marLeft w:val="0"/>
      <w:marRight w:val="0"/>
      <w:marTop w:val="0"/>
      <w:marBottom w:val="0"/>
      <w:divBdr>
        <w:top w:val="none" w:sz="0" w:space="0" w:color="auto"/>
        <w:left w:val="none" w:sz="0" w:space="0" w:color="auto"/>
        <w:bottom w:val="none" w:sz="0" w:space="0" w:color="auto"/>
        <w:right w:val="none" w:sz="0" w:space="0" w:color="auto"/>
      </w:divBdr>
    </w:div>
    <w:div w:id="1742943819">
      <w:bodyDiv w:val="1"/>
      <w:marLeft w:val="0"/>
      <w:marRight w:val="0"/>
      <w:marTop w:val="0"/>
      <w:marBottom w:val="0"/>
      <w:divBdr>
        <w:top w:val="none" w:sz="0" w:space="0" w:color="auto"/>
        <w:left w:val="none" w:sz="0" w:space="0" w:color="auto"/>
        <w:bottom w:val="none" w:sz="0" w:space="0" w:color="auto"/>
        <w:right w:val="none" w:sz="0" w:space="0" w:color="auto"/>
      </w:divBdr>
    </w:div>
    <w:div w:id="1743093487">
      <w:bodyDiv w:val="1"/>
      <w:marLeft w:val="0"/>
      <w:marRight w:val="0"/>
      <w:marTop w:val="0"/>
      <w:marBottom w:val="0"/>
      <w:divBdr>
        <w:top w:val="none" w:sz="0" w:space="0" w:color="auto"/>
        <w:left w:val="none" w:sz="0" w:space="0" w:color="auto"/>
        <w:bottom w:val="none" w:sz="0" w:space="0" w:color="auto"/>
        <w:right w:val="none" w:sz="0" w:space="0" w:color="auto"/>
      </w:divBdr>
    </w:div>
    <w:div w:id="1743141895">
      <w:bodyDiv w:val="1"/>
      <w:marLeft w:val="0"/>
      <w:marRight w:val="0"/>
      <w:marTop w:val="0"/>
      <w:marBottom w:val="0"/>
      <w:divBdr>
        <w:top w:val="none" w:sz="0" w:space="0" w:color="auto"/>
        <w:left w:val="none" w:sz="0" w:space="0" w:color="auto"/>
        <w:bottom w:val="none" w:sz="0" w:space="0" w:color="auto"/>
        <w:right w:val="none" w:sz="0" w:space="0" w:color="auto"/>
      </w:divBdr>
    </w:div>
    <w:div w:id="1743143005">
      <w:bodyDiv w:val="1"/>
      <w:marLeft w:val="0"/>
      <w:marRight w:val="0"/>
      <w:marTop w:val="0"/>
      <w:marBottom w:val="0"/>
      <w:divBdr>
        <w:top w:val="none" w:sz="0" w:space="0" w:color="auto"/>
        <w:left w:val="none" w:sz="0" w:space="0" w:color="auto"/>
        <w:bottom w:val="none" w:sz="0" w:space="0" w:color="auto"/>
        <w:right w:val="none" w:sz="0" w:space="0" w:color="auto"/>
      </w:divBdr>
    </w:div>
    <w:div w:id="1743412074">
      <w:bodyDiv w:val="1"/>
      <w:marLeft w:val="0"/>
      <w:marRight w:val="0"/>
      <w:marTop w:val="0"/>
      <w:marBottom w:val="0"/>
      <w:divBdr>
        <w:top w:val="none" w:sz="0" w:space="0" w:color="auto"/>
        <w:left w:val="none" w:sz="0" w:space="0" w:color="auto"/>
        <w:bottom w:val="none" w:sz="0" w:space="0" w:color="auto"/>
        <w:right w:val="none" w:sz="0" w:space="0" w:color="auto"/>
      </w:divBdr>
    </w:div>
    <w:div w:id="1744526373">
      <w:bodyDiv w:val="1"/>
      <w:marLeft w:val="0"/>
      <w:marRight w:val="0"/>
      <w:marTop w:val="0"/>
      <w:marBottom w:val="0"/>
      <w:divBdr>
        <w:top w:val="none" w:sz="0" w:space="0" w:color="auto"/>
        <w:left w:val="none" w:sz="0" w:space="0" w:color="auto"/>
        <w:bottom w:val="none" w:sz="0" w:space="0" w:color="auto"/>
        <w:right w:val="none" w:sz="0" w:space="0" w:color="auto"/>
      </w:divBdr>
    </w:div>
    <w:div w:id="1745101545">
      <w:bodyDiv w:val="1"/>
      <w:marLeft w:val="0"/>
      <w:marRight w:val="0"/>
      <w:marTop w:val="0"/>
      <w:marBottom w:val="0"/>
      <w:divBdr>
        <w:top w:val="none" w:sz="0" w:space="0" w:color="auto"/>
        <w:left w:val="none" w:sz="0" w:space="0" w:color="auto"/>
        <w:bottom w:val="none" w:sz="0" w:space="0" w:color="auto"/>
        <w:right w:val="none" w:sz="0" w:space="0" w:color="auto"/>
      </w:divBdr>
    </w:div>
    <w:div w:id="1745301841">
      <w:bodyDiv w:val="1"/>
      <w:marLeft w:val="0"/>
      <w:marRight w:val="0"/>
      <w:marTop w:val="0"/>
      <w:marBottom w:val="0"/>
      <w:divBdr>
        <w:top w:val="none" w:sz="0" w:space="0" w:color="auto"/>
        <w:left w:val="none" w:sz="0" w:space="0" w:color="auto"/>
        <w:bottom w:val="none" w:sz="0" w:space="0" w:color="auto"/>
        <w:right w:val="none" w:sz="0" w:space="0" w:color="auto"/>
      </w:divBdr>
    </w:div>
    <w:div w:id="1745371260">
      <w:bodyDiv w:val="1"/>
      <w:marLeft w:val="0"/>
      <w:marRight w:val="0"/>
      <w:marTop w:val="0"/>
      <w:marBottom w:val="0"/>
      <w:divBdr>
        <w:top w:val="none" w:sz="0" w:space="0" w:color="auto"/>
        <w:left w:val="none" w:sz="0" w:space="0" w:color="auto"/>
        <w:bottom w:val="none" w:sz="0" w:space="0" w:color="auto"/>
        <w:right w:val="none" w:sz="0" w:space="0" w:color="auto"/>
      </w:divBdr>
    </w:div>
    <w:div w:id="1745489354">
      <w:bodyDiv w:val="1"/>
      <w:marLeft w:val="0"/>
      <w:marRight w:val="0"/>
      <w:marTop w:val="0"/>
      <w:marBottom w:val="0"/>
      <w:divBdr>
        <w:top w:val="none" w:sz="0" w:space="0" w:color="auto"/>
        <w:left w:val="none" w:sz="0" w:space="0" w:color="auto"/>
        <w:bottom w:val="none" w:sz="0" w:space="0" w:color="auto"/>
        <w:right w:val="none" w:sz="0" w:space="0" w:color="auto"/>
      </w:divBdr>
    </w:div>
    <w:div w:id="1746026613">
      <w:bodyDiv w:val="1"/>
      <w:marLeft w:val="0"/>
      <w:marRight w:val="0"/>
      <w:marTop w:val="0"/>
      <w:marBottom w:val="0"/>
      <w:divBdr>
        <w:top w:val="none" w:sz="0" w:space="0" w:color="auto"/>
        <w:left w:val="none" w:sz="0" w:space="0" w:color="auto"/>
        <w:bottom w:val="none" w:sz="0" w:space="0" w:color="auto"/>
        <w:right w:val="none" w:sz="0" w:space="0" w:color="auto"/>
      </w:divBdr>
    </w:div>
    <w:div w:id="1746301926">
      <w:bodyDiv w:val="1"/>
      <w:marLeft w:val="0"/>
      <w:marRight w:val="0"/>
      <w:marTop w:val="0"/>
      <w:marBottom w:val="0"/>
      <w:divBdr>
        <w:top w:val="none" w:sz="0" w:space="0" w:color="auto"/>
        <w:left w:val="none" w:sz="0" w:space="0" w:color="auto"/>
        <w:bottom w:val="none" w:sz="0" w:space="0" w:color="auto"/>
        <w:right w:val="none" w:sz="0" w:space="0" w:color="auto"/>
      </w:divBdr>
    </w:div>
    <w:div w:id="1746563275">
      <w:bodyDiv w:val="1"/>
      <w:marLeft w:val="0"/>
      <w:marRight w:val="0"/>
      <w:marTop w:val="0"/>
      <w:marBottom w:val="0"/>
      <w:divBdr>
        <w:top w:val="none" w:sz="0" w:space="0" w:color="auto"/>
        <w:left w:val="none" w:sz="0" w:space="0" w:color="auto"/>
        <w:bottom w:val="none" w:sz="0" w:space="0" w:color="auto"/>
        <w:right w:val="none" w:sz="0" w:space="0" w:color="auto"/>
      </w:divBdr>
    </w:div>
    <w:div w:id="1746609407">
      <w:bodyDiv w:val="1"/>
      <w:marLeft w:val="0"/>
      <w:marRight w:val="0"/>
      <w:marTop w:val="0"/>
      <w:marBottom w:val="0"/>
      <w:divBdr>
        <w:top w:val="none" w:sz="0" w:space="0" w:color="auto"/>
        <w:left w:val="none" w:sz="0" w:space="0" w:color="auto"/>
        <w:bottom w:val="none" w:sz="0" w:space="0" w:color="auto"/>
        <w:right w:val="none" w:sz="0" w:space="0" w:color="auto"/>
      </w:divBdr>
    </w:div>
    <w:div w:id="1747193051">
      <w:bodyDiv w:val="1"/>
      <w:marLeft w:val="0"/>
      <w:marRight w:val="0"/>
      <w:marTop w:val="0"/>
      <w:marBottom w:val="0"/>
      <w:divBdr>
        <w:top w:val="none" w:sz="0" w:space="0" w:color="auto"/>
        <w:left w:val="none" w:sz="0" w:space="0" w:color="auto"/>
        <w:bottom w:val="none" w:sz="0" w:space="0" w:color="auto"/>
        <w:right w:val="none" w:sz="0" w:space="0" w:color="auto"/>
      </w:divBdr>
    </w:div>
    <w:div w:id="1747531672">
      <w:bodyDiv w:val="1"/>
      <w:marLeft w:val="0"/>
      <w:marRight w:val="0"/>
      <w:marTop w:val="0"/>
      <w:marBottom w:val="0"/>
      <w:divBdr>
        <w:top w:val="none" w:sz="0" w:space="0" w:color="auto"/>
        <w:left w:val="none" w:sz="0" w:space="0" w:color="auto"/>
        <w:bottom w:val="none" w:sz="0" w:space="0" w:color="auto"/>
        <w:right w:val="none" w:sz="0" w:space="0" w:color="auto"/>
      </w:divBdr>
    </w:div>
    <w:div w:id="1747604225">
      <w:bodyDiv w:val="1"/>
      <w:marLeft w:val="0"/>
      <w:marRight w:val="0"/>
      <w:marTop w:val="0"/>
      <w:marBottom w:val="0"/>
      <w:divBdr>
        <w:top w:val="none" w:sz="0" w:space="0" w:color="auto"/>
        <w:left w:val="none" w:sz="0" w:space="0" w:color="auto"/>
        <w:bottom w:val="none" w:sz="0" w:space="0" w:color="auto"/>
        <w:right w:val="none" w:sz="0" w:space="0" w:color="auto"/>
      </w:divBdr>
    </w:div>
    <w:div w:id="1747992940">
      <w:bodyDiv w:val="1"/>
      <w:marLeft w:val="0"/>
      <w:marRight w:val="0"/>
      <w:marTop w:val="0"/>
      <w:marBottom w:val="0"/>
      <w:divBdr>
        <w:top w:val="none" w:sz="0" w:space="0" w:color="auto"/>
        <w:left w:val="none" w:sz="0" w:space="0" w:color="auto"/>
        <w:bottom w:val="none" w:sz="0" w:space="0" w:color="auto"/>
        <w:right w:val="none" w:sz="0" w:space="0" w:color="auto"/>
      </w:divBdr>
    </w:div>
    <w:div w:id="1748189356">
      <w:bodyDiv w:val="1"/>
      <w:marLeft w:val="0"/>
      <w:marRight w:val="0"/>
      <w:marTop w:val="0"/>
      <w:marBottom w:val="0"/>
      <w:divBdr>
        <w:top w:val="none" w:sz="0" w:space="0" w:color="auto"/>
        <w:left w:val="none" w:sz="0" w:space="0" w:color="auto"/>
        <w:bottom w:val="none" w:sz="0" w:space="0" w:color="auto"/>
        <w:right w:val="none" w:sz="0" w:space="0" w:color="auto"/>
      </w:divBdr>
    </w:div>
    <w:div w:id="1748460411">
      <w:bodyDiv w:val="1"/>
      <w:marLeft w:val="0"/>
      <w:marRight w:val="0"/>
      <w:marTop w:val="0"/>
      <w:marBottom w:val="0"/>
      <w:divBdr>
        <w:top w:val="none" w:sz="0" w:space="0" w:color="auto"/>
        <w:left w:val="none" w:sz="0" w:space="0" w:color="auto"/>
        <w:bottom w:val="none" w:sz="0" w:space="0" w:color="auto"/>
        <w:right w:val="none" w:sz="0" w:space="0" w:color="auto"/>
      </w:divBdr>
    </w:div>
    <w:div w:id="1749229030">
      <w:bodyDiv w:val="1"/>
      <w:marLeft w:val="0"/>
      <w:marRight w:val="0"/>
      <w:marTop w:val="0"/>
      <w:marBottom w:val="0"/>
      <w:divBdr>
        <w:top w:val="none" w:sz="0" w:space="0" w:color="auto"/>
        <w:left w:val="none" w:sz="0" w:space="0" w:color="auto"/>
        <w:bottom w:val="none" w:sz="0" w:space="0" w:color="auto"/>
        <w:right w:val="none" w:sz="0" w:space="0" w:color="auto"/>
      </w:divBdr>
    </w:div>
    <w:div w:id="1749229215">
      <w:bodyDiv w:val="1"/>
      <w:marLeft w:val="0"/>
      <w:marRight w:val="0"/>
      <w:marTop w:val="0"/>
      <w:marBottom w:val="0"/>
      <w:divBdr>
        <w:top w:val="none" w:sz="0" w:space="0" w:color="auto"/>
        <w:left w:val="none" w:sz="0" w:space="0" w:color="auto"/>
        <w:bottom w:val="none" w:sz="0" w:space="0" w:color="auto"/>
        <w:right w:val="none" w:sz="0" w:space="0" w:color="auto"/>
      </w:divBdr>
    </w:div>
    <w:div w:id="1749496056">
      <w:bodyDiv w:val="1"/>
      <w:marLeft w:val="0"/>
      <w:marRight w:val="0"/>
      <w:marTop w:val="0"/>
      <w:marBottom w:val="0"/>
      <w:divBdr>
        <w:top w:val="none" w:sz="0" w:space="0" w:color="auto"/>
        <w:left w:val="none" w:sz="0" w:space="0" w:color="auto"/>
        <w:bottom w:val="none" w:sz="0" w:space="0" w:color="auto"/>
        <w:right w:val="none" w:sz="0" w:space="0" w:color="auto"/>
      </w:divBdr>
    </w:div>
    <w:div w:id="1749575614">
      <w:bodyDiv w:val="1"/>
      <w:marLeft w:val="0"/>
      <w:marRight w:val="0"/>
      <w:marTop w:val="0"/>
      <w:marBottom w:val="0"/>
      <w:divBdr>
        <w:top w:val="none" w:sz="0" w:space="0" w:color="auto"/>
        <w:left w:val="none" w:sz="0" w:space="0" w:color="auto"/>
        <w:bottom w:val="none" w:sz="0" w:space="0" w:color="auto"/>
        <w:right w:val="none" w:sz="0" w:space="0" w:color="auto"/>
      </w:divBdr>
    </w:div>
    <w:div w:id="1749841887">
      <w:bodyDiv w:val="1"/>
      <w:marLeft w:val="0"/>
      <w:marRight w:val="0"/>
      <w:marTop w:val="0"/>
      <w:marBottom w:val="0"/>
      <w:divBdr>
        <w:top w:val="none" w:sz="0" w:space="0" w:color="auto"/>
        <w:left w:val="none" w:sz="0" w:space="0" w:color="auto"/>
        <w:bottom w:val="none" w:sz="0" w:space="0" w:color="auto"/>
        <w:right w:val="none" w:sz="0" w:space="0" w:color="auto"/>
      </w:divBdr>
    </w:div>
    <w:div w:id="1750229956">
      <w:bodyDiv w:val="1"/>
      <w:marLeft w:val="0"/>
      <w:marRight w:val="0"/>
      <w:marTop w:val="0"/>
      <w:marBottom w:val="0"/>
      <w:divBdr>
        <w:top w:val="none" w:sz="0" w:space="0" w:color="auto"/>
        <w:left w:val="none" w:sz="0" w:space="0" w:color="auto"/>
        <w:bottom w:val="none" w:sz="0" w:space="0" w:color="auto"/>
        <w:right w:val="none" w:sz="0" w:space="0" w:color="auto"/>
      </w:divBdr>
    </w:div>
    <w:div w:id="1750733536">
      <w:bodyDiv w:val="1"/>
      <w:marLeft w:val="0"/>
      <w:marRight w:val="0"/>
      <w:marTop w:val="0"/>
      <w:marBottom w:val="0"/>
      <w:divBdr>
        <w:top w:val="none" w:sz="0" w:space="0" w:color="auto"/>
        <w:left w:val="none" w:sz="0" w:space="0" w:color="auto"/>
        <w:bottom w:val="none" w:sz="0" w:space="0" w:color="auto"/>
        <w:right w:val="none" w:sz="0" w:space="0" w:color="auto"/>
      </w:divBdr>
    </w:div>
    <w:div w:id="1751076907">
      <w:bodyDiv w:val="1"/>
      <w:marLeft w:val="0"/>
      <w:marRight w:val="0"/>
      <w:marTop w:val="0"/>
      <w:marBottom w:val="0"/>
      <w:divBdr>
        <w:top w:val="none" w:sz="0" w:space="0" w:color="auto"/>
        <w:left w:val="none" w:sz="0" w:space="0" w:color="auto"/>
        <w:bottom w:val="none" w:sz="0" w:space="0" w:color="auto"/>
        <w:right w:val="none" w:sz="0" w:space="0" w:color="auto"/>
      </w:divBdr>
    </w:div>
    <w:div w:id="1751190523">
      <w:bodyDiv w:val="1"/>
      <w:marLeft w:val="0"/>
      <w:marRight w:val="0"/>
      <w:marTop w:val="0"/>
      <w:marBottom w:val="0"/>
      <w:divBdr>
        <w:top w:val="none" w:sz="0" w:space="0" w:color="auto"/>
        <w:left w:val="none" w:sz="0" w:space="0" w:color="auto"/>
        <w:bottom w:val="none" w:sz="0" w:space="0" w:color="auto"/>
        <w:right w:val="none" w:sz="0" w:space="0" w:color="auto"/>
      </w:divBdr>
    </w:div>
    <w:div w:id="1751387441">
      <w:bodyDiv w:val="1"/>
      <w:marLeft w:val="0"/>
      <w:marRight w:val="0"/>
      <w:marTop w:val="0"/>
      <w:marBottom w:val="0"/>
      <w:divBdr>
        <w:top w:val="none" w:sz="0" w:space="0" w:color="auto"/>
        <w:left w:val="none" w:sz="0" w:space="0" w:color="auto"/>
        <w:bottom w:val="none" w:sz="0" w:space="0" w:color="auto"/>
        <w:right w:val="none" w:sz="0" w:space="0" w:color="auto"/>
      </w:divBdr>
    </w:div>
    <w:div w:id="1751853917">
      <w:bodyDiv w:val="1"/>
      <w:marLeft w:val="0"/>
      <w:marRight w:val="0"/>
      <w:marTop w:val="0"/>
      <w:marBottom w:val="0"/>
      <w:divBdr>
        <w:top w:val="none" w:sz="0" w:space="0" w:color="auto"/>
        <w:left w:val="none" w:sz="0" w:space="0" w:color="auto"/>
        <w:bottom w:val="none" w:sz="0" w:space="0" w:color="auto"/>
        <w:right w:val="none" w:sz="0" w:space="0" w:color="auto"/>
      </w:divBdr>
    </w:div>
    <w:div w:id="1752386396">
      <w:bodyDiv w:val="1"/>
      <w:marLeft w:val="0"/>
      <w:marRight w:val="0"/>
      <w:marTop w:val="0"/>
      <w:marBottom w:val="0"/>
      <w:divBdr>
        <w:top w:val="none" w:sz="0" w:space="0" w:color="auto"/>
        <w:left w:val="none" w:sz="0" w:space="0" w:color="auto"/>
        <w:bottom w:val="none" w:sz="0" w:space="0" w:color="auto"/>
        <w:right w:val="none" w:sz="0" w:space="0" w:color="auto"/>
      </w:divBdr>
    </w:div>
    <w:div w:id="1752583088">
      <w:bodyDiv w:val="1"/>
      <w:marLeft w:val="0"/>
      <w:marRight w:val="0"/>
      <w:marTop w:val="0"/>
      <w:marBottom w:val="0"/>
      <w:divBdr>
        <w:top w:val="none" w:sz="0" w:space="0" w:color="auto"/>
        <w:left w:val="none" w:sz="0" w:space="0" w:color="auto"/>
        <w:bottom w:val="none" w:sz="0" w:space="0" w:color="auto"/>
        <w:right w:val="none" w:sz="0" w:space="0" w:color="auto"/>
      </w:divBdr>
    </w:div>
    <w:div w:id="1754010917">
      <w:bodyDiv w:val="1"/>
      <w:marLeft w:val="0"/>
      <w:marRight w:val="0"/>
      <w:marTop w:val="0"/>
      <w:marBottom w:val="0"/>
      <w:divBdr>
        <w:top w:val="none" w:sz="0" w:space="0" w:color="auto"/>
        <w:left w:val="none" w:sz="0" w:space="0" w:color="auto"/>
        <w:bottom w:val="none" w:sz="0" w:space="0" w:color="auto"/>
        <w:right w:val="none" w:sz="0" w:space="0" w:color="auto"/>
      </w:divBdr>
    </w:div>
    <w:div w:id="1754861844">
      <w:bodyDiv w:val="1"/>
      <w:marLeft w:val="0"/>
      <w:marRight w:val="0"/>
      <w:marTop w:val="0"/>
      <w:marBottom w:val="0"/>
      <w:divBdr>
        <w:top w:val="none" w:sz="0" w:space="0" w:color="auto"/>
        <w:left w:val="none" w:sz="0" w:space="0" w:color="auto"/>
        <w:bottom w:val="none" w:sz="0" w:space="0" w:color="auto"/>
        <w:right w:val="none" w:sz="0" w:space="0" w:color="auto"/>
      </w:divBdr>
    </w:div>
    <w:div w:id="1755125564">
      <w:bodyDiv w:val="1"/>
      <w:marLeft w:val="0"/>
      <w:marRight w:val="0"/>
      <w:marTop w:val="0"/>
      <w:marBottom w:val="0"/>
      <w:divBdr>
        <w:top w:val="none" w:sz="0" w:space="0" w:color="auto"/>
        <w:left w:val="none" w:sz="0" w:space="0" w:color="auto"/>
        <w:bottom w:val="none" w:sz="0" w:space="0" w:color="auto"/>
        <w:right w:val="none" w:sz="0" w:space="0" w:color="auto"/>
      </w:divBdr>
    </w:div>
    <w:div w:id="1755972664">
      <w:bodyDiv w:val="1"/>
      <w:marLeft w:val="0"/>
      <w:marRight w:val="0"/>
      <w:marTop w:val="0"/>
      <w:marBottom w:val="0"/>
      <w:divBdr>
        <w:top w:val="none" w:sz="0" w:space="0" w:color="auto"/>
        <w:left w:val="none" w:sz="0" w:space="0" w:color="auto"/>
        <w:bottom w:val="none" w:sz="0" w:space="0" w:color="auto"/>
        <w:right w:val="none" w:sz="0" w:space="0" w:color="auto"/>
      </w:divBdr>
    </w:div>
    <w:div w:id="1756049629">
      <w:bodyDiv w:val="1"/>
      <w:marLeft w:val="0"/>
      <w:marRight w:val="0"/>
      <w:marTop w:val="0"/>
      <w:marBottom w:val="0"/>
      <w:divBdr>
        <w:top w:val="none" w:sz="0" w:space="0" w:color="auto"/>
        <w:left w:val="none" w:sz="0" w:space="0" w:color="auto"/>
        <w:bottom w:val="none" w:sz="0" w:space="0" w:color="auto"/>
        <w:right w:val="none" w:sz="0" w:space="0" w:color="auto"/>
      </w:divBdr>
    </w:div>
    <w:div w:id="1756242893">
      <w:bodyDiv w:val="1"/>
      <w:marLeft w:val="0"/>
      <w:marRight w:val="0"/>
      <w:marTop w:val="0"/>
      <w:marBottom w:val="0"/>
      <w:divBdr>
        <w:top w:val="none" w:sz="0" w:space="0" w:color="auto"/>
        <w:left w:val="none" w:sz="0" w:space="0" w:color="auto"/>
        <w:bottom w:val="none" w:sz="0" w:space="0" w:color="auto"/>
        <w:right w:val="none" w:sz="0" w:space="0" w:color="auto"/>
      </w:divBdr>
    </w:div>
    <w:div w:id="1756248202">
      <w:bodyDiv w:val="1"/>
      <w:marLeft w:val="0"/>
      <w:marRight w:val="0"/>
      <w:marTop w:val="0"/>
      <w:marBottom w:val="0"/>
      <w:divBdr>
        <w:top w:val="none" w:sz="0" w:space="0" w:color="auto"/>
        <w:left w:val="none" w:sz="0" w:space="0" w:color="auto"/>
        <w:bottom w:val="none" w:sz="0" w:space="0" w:color="auto"/>
        <w:right w:val="none" w:sz="0" w:space="0" w:color="auto"/>
      </w:divBdr>
    </w:div>
    <w:div w:id="1756434333">
      <w:bodyDiv w:val="1"/>
      <w:marLeft w:val="0"/>
      <w:marRight w:val="0"/>
      <w:marTop w:val="0"/>
      <w:marBottom w:val="0"/>
      <w:divBdr>
        <w:top w:val="none" w:sz="0" w:space="0" w:color="auto"/>
        <w:left w:val="none" w:sz="0" w:space="0" w:color="auto"/>
        <w:bottom w:val="none" w:sz="0" w:space="0" w:color="auto"/>
        <w:right w:val="none" w:sz="0" w:space="0" w:color="auto"/>
      </w:divBdr>
    </w:div>
    <w:div w:id="1756512690">
      <w:bodyDiv w:val="1"/>
      <w:marLeft w:val="0"/>
      <w:marRight w:val="0"/>
      <w:marTop w:val="0"/>
      <w:marBottom w:val="0"/>
      <w:divBdr>
        <w:top w:val="none" w:sz="0" w:space="0" w:color="auto"/>
        <w:left w:val="none" w:sz="0" w:space="0" w:color="auto"/>
        <w:bottom w:val="none" w:sz="0" w:space="0" w:color="auto"/>
        <w:right w:val="none" w:sz="0" w:space="0" w:color="auto"/>
      </w:divBdr>
    </w:div>
    <w:div w:id="1757360031">
      <w:bodyDiv w:val="1"/>
      <w:marLeft w:val="0"/>
      <w:marRight w:val="0"/>
      <w:marTop w:val="0"/>
      <w:marBottom w:val="0"/>
      <w:divBdr>
        <w:top w:val="none" w:sz="0" w:space="0" w:color="auto"/>
        <w:left w:val="none" w:sz="0" w:space="0" w:color="auto"/>
        <w:bottom w:val="none" w:sz="0" w:space="0" w:color="auto"/>
        <w:right w:val="none" w:sz="0" w:space="0" w:color="auto"/>
      </w:divBdr>
    </w:div>
    <w:div w:id="1757627257">
      <w:bodyDiv w:val="1"/>
      <w:marLeft w:val="0"/>
      <w:marRight w:val="0"/>
      <w:marTop w:val="0"/>
      <w:marBottom w:val="0"/>
      <w:divBdr>
        <w:top w:val="none" w:sz="0" w:space="0" w:color="auto"/>
        <w:left w:val="none" w:sz="0" w:space="0" w:color="auto"/>
        <w:bottom w:val="none" w:sz="0" w:space="0" w:color="auto"/>
        <w:right w:val="none" w:sz="0" w:space="0" w:color="auto"/>
      </w:divBdr>
    </w:div>
    <w:div w:id="1757826493">
      <w:bodyDiv w:val="1"/>
      <w:marLeft w:val="0"/>
      <w:marRight w:val="0"/>
      <w:marTop w:val="0"/>
      <w:marBottom w:val="0"/>
      <w:divBdr>
        <w:top w:val="none" w:sz="0" w:space="0" w:color="auto"/>
        <w:left w:val="none" w:sz="0" w:space="0" w:color="auto"/>
        <w:bottom w:val="none" w:sz="0" w:space="0" w:color="auto"/>
        <w:right w:val="none" w:sz="0" w:space="0" w:color="auto"/>
      </w:divBdr>
    </w:div>
    <w:div w:id="1757827909">
      <w:bodyDiv w:val="1"/>
      <w:marLeft w:val="0"/>
      <w:marRight w:val="0"/>
      <w:marTop w:val="0"/>
      <w:marBottom w:val="0"/>
      <w:divBdr>
        <w:top w:val="none" w:sz="0" w:space="0" w:color="auto"/>
        <w:left w:val="none" w:sz="0" w:space="0" w:color="auto"/>
        <w:bottom w:val="none" w:sz="0" w:space="0" w:color="auto"/>
        <w:right w:val="none" w:sz="0" w:space="0" w:color="auto"/>
      </w:divBdr>
    </w:div>
    <w:div w:id="1758166935">
      <w:bodyDiv w:val="1"/>
      <w:marLeft w:val="0"/>
      <w:marRight w:val="0"/>
      <w:marTop w:val="0"/>
      <w:marBottom w:val="0"/>
      <w:divBdr>
        <w:top w:val="none" w:sz="0" w:space="0" w:color="auto"/>
        <w:left w:val="none" w:sz="0" w:space="0" w:color="auto"/>
        <w:bottom w:val="none" w:sz="0" w:space="0" w:color="auto"/>
        <w:right w:val="none" w:sz="0" w:space="0" w:color="auto"/>
      </w:divBdr>
    </w:div>
    <w:div w:id="1758286868">
      <w:bodyDiv w:val="1"/>
      <w:marLeft w:val="0"/>
      <w:marRight w:val="0"/>
      <w:marTop w:val="0"/>
      <w:marBottom w:val="0"/>
      <w:divBdr>
        <w:top w:val="none" w:sz="0" w:space="0" w:color="auto"/>
        <w:left w:val="none" w:sz="0" w:space="0" w:color="auto"/>
        <w:bottom w:val="none" w:sz="0" w:space="0" w:color="auto"/>
        <w:right w:val="none" w:sz="0" w:space="0" w:color="auto"/>
      </w:divBdr>
    </w:div>
    <w:div w:id="1758402950">
      <w:bodyDiv w:val="1"/>
      <w:marLeft w:val="0"/>
      <w:marRight w:val="0"/>
      <w:marTop w:val="0"/>
      <w:marBottom w:val="0"/>
      <w:divBdr>
        <w:top w:val="none" w:sz="0" w:space="0" w:color="auto"/>
        <w:left w:val="none" w:sz="0" w:space="0" w:color="auto"/>
        <w:bottom w:val="none" w:sz="0" w:space="0" w:color="auto"/>
        <w:right w:val="none" w:sz="0" w:space="0" w:color="auto"/>
      </w:divBdr>
    </w:div>
    <w:div w:id="1758551291">
      <w:bodyDiv w:val="1"/>
      <w:marLeft w:val="0"/>
      <w:marRight w:val="0"/>
      <w:marTop w:val="0"/>
      <w:marBottom w:val="0"/>
      <w:divBdr>
        <w:top w:val="none" w:sz="0" w:space="0" w:color="auto"/>
        <w:left w:val="none" w:sz="0" w:space="0" w:color="auto"/>
        <w:bottom w:val="none" w:sz="0" w:space="0" w:color="auto"/>
        <w:right w:val="none" w:sz="0" w:space="0" w:color="auto"/>
      </w:divBdr>
    </w:div>
    <w:div w:id="1758598632">
      <w:bodyDiv w:val="1"/>
      <w:marLeft w:val="0"/>
      <w:marRight w:val="0"/>
      <w:marTop w:val="0"/>
      <w:marBottom w:val="0"/>
      <w:divBdr>
        <w:top w:val="none" w:sz="0" w:space="0" w:color="auto"/>
        <w:left w:val="none" w:sz="0" w:space="0" w:color="auto"/>
        <w:bottom w:val="none" w:sz="0" w:space="0" w:color="auto"/>
        <w:right w:val="none" w:sz="0" w:space="0" w:color="auto"/>
      </w:divBdr>
    </w:div>
    <w:div w:id="1758675492">
      <w:bodyDiv w:val="1"/>
      <w:marLeft w:val="0"/>
      <w:marRight w:val="0"/>
      <w:marTop w:val="0"/>
      <w:marBottom w:val="0"/>
      <w:divBdr>
        <w:top w:val="none" w:sz="0" w:space="0" w:color="auto"/>
        <w:left w:val="none" w:sz="0" w:space="0" w:color="auto"/>
        <w:bottom w:val="none" w:sz="0" w:space="0" w:color="auto"/>
        <w:right w:val="none" w:sz="0" w:space="0" w:color="auto"/>
      </w:divBdr>
    </w:div>
    <w:div w:id="1758744155">
      <w:bodyDiv w:val="1"/>
      <w:marLeft w:val="0"/>
      <w:marRight w:val="0"/>
      <w:marTop w:val="0"/>
      <w:marBottom w:val="0"/>
      <w:divBdr>
        <w:top w:val="none" w:sz="0" w:space="0" w:color="auto"/>
        <w:left w:val="none" w:sz="0" w:space="0" w:color="auto"/>
        <w:bottom w:val="none" w:sz="0" w:space="0" w:color="auto"/>
        <w:right w:val="none" w:sz="0" w:space="0" w:color="auto"/>
      </w:divBdr>
    </w:div>
    <w:div w:id="1758818425">
      <w:bodyDiv w:val="1"/>
      <w:marLeft w:val="0"/>
      <w:marRight w:val="0"/>
      <w:marTop w:val="0"/>
      <w:marBottom w:val="0"/>
      <w:divBdr>
        <w:top w:val="none" w:sz="0" w:space="0" w:color="auto"/>
        <w:left w:val="none" w:sz="0" w:space="0" w:color="auto"/>
        <w:bottom w:val="none" w:sz="0" w:space="0" w:color="auto"/>
        <w:right w:val="none" w:sz="0" w:space="0" w:color="auto"/>
      </w:divBdr>
    </w:div>
    <w:div w:id="1759137299">
      <w:bodyDiv w:val="1"/>
      <w:marLeft w:val="0"/>
      <w:marRight w:val="0"/>
      <w:marTop w:val="0"/>
      <w:marBottom w:val="0"/>
      <w:divBdr>
        <w:top w:val="none" w:sz="0" w:space="0" w:color="auto"/>
        <w:left w:val="none" w:sz="0" w:space="0" w:color="auto"/>
        <w:bottom w:val="none" w:sz="0" w:space="0" w:color="auto"/>
        <w:right w:val="none" w:sz="0" w:space="0" w:color="auto"/>
      </w:divBdr>
    </w:div>
    <w:div w:id="1759250795">
      <w:bodyDiv w:val="1"/>
      <w:marLeft w:val="0"/>
      <w:marRight w:val="0"/>
      <w:marTop w:val="0"/>
      <w:marBottom w:val="0"/>
      <w:divBdr>
        <w:top w:val="none" w:sz="0" w:space="0" w:color="auto"/>
        <w:left w:val="none" w:sz="0" w:space="0" w:color="auto"/>
        <w:bottom w:val="none" w:sz="0" w:space="0" w:color="auto"/>
        <w:right w:val="none" w:sz="0" w:space="0" w:color="auto"/>
      </w:divBdr>
    </w:div>
    <w:div w:id="1759400642">
      <w:bodyDiv w:val="1"/>
      <w:marLeft w:val="0"/>
      <w:marRight w:val="0"/>
      <w:marTop w:val="0"/>
      <w:marBottom w:val="0"/>
      <w:divBdr>
        <w:top w:val="none" w:sz="0" w:space="0" w:color="auto"/>
        <w:left w:val="none" w:sz="0" w:space="0" w:color="auto"/>
        <w:bottom w:val="none" w:sz="0" w:space="0" w:color="auto"/>
        <w:right w:val="none" w:sz="0" w:space="0" w:color="auto"/>
      </w:divBdr>
    </w:div>
    <w:div w:id="1759407124">
      <w:bodyDiv w:val="1"/>
      <w:marLeft w:val="0"/>
      <w:marRight w:val="0"/>
      <w:marTop w:val="0"/>
      <w:marBottom w:val="0"/>
      <w:divBdr>
        <w:top w:val="none" w:sz="0" w:space="0" w:color="auto"/>
        <w:left w:val="none" w:sz="0" w:space="0" w:color="auto"/>
        <w:bottom w:val="none" w:sz="0" w:space="0" w:color="auto"/>
        <w:right w:val="none" w:sz="0" w:space="0" w:color="auto"/>
      </w:divBdr>
    </w:div>
    <w:div w:id="1760321804">
      <w:bodyDiv w:val="1"/>
      <w:marLeft w:val="0"/>
      <w:marRight w:val="0"/>
      <w:marTop w:val="0"/>
      <w:marBottom w:val="0"/>
      <w:divBdr>
        <w:top w:val="none" w:sz="0" w:space="0" w:color="auto"/>
        <w:left w:val="none" w:sz="0" w:space="0" w:color="auto"/>
        <w:bottom w:val="none" w:sz="0" w:space="0" w:color="auto"/>
        <w:right w:val="none" w:sz="0" w:space="0" w:color="auto"/>
      </w:divBdr>
    </w:div>
    <w:div w:id="1761294328">
      <w:bodyDiv w:val="1"/>
      <w:marLeft w:val="0"/>
      <w:marRight w:val="0"/>
      <w:marTop w:val="0"/>
      <w:marBottom w:val="0"/>
      <w:divBdr>
        <w:top w:val="none" w:sz="0" w:space="0" w:color="auto"/>
        <w:left w:val="none" w:sz="0" w:space="0" w:color="auto"/>
        <w:bottom w:val="none" w:sz="0" w:space="0" w:color="auto"/>
        <w:right w:val="none" w:sz="0" w:space="0" w:color="auto"/>
      </w:divBdr>
    </w:div>
    <w:div w:id="1761633098">
      <w:bodyDiv w:val="1"/>
      <w:marLeft w:val="0"/>
      <w:marRight w:val="0"/>
      <w:marTop w:val="0"/>
      <w:marBottom w:val="0"/>
      <w:divBdr>
        <w:top w:val="none" w:sz="0" w:space="0" w:color="auto"/>
        <w:left w:val="none" w:sz="0" w:space="0" w:color="auto"/>
        <w:bottom w:val="none" w:sz="0" w:space="0" w:color="auto"/>
        <w:right w:val="none" w:sz="0" w:space="0" w:color="auto"/>
      </w:divBdr>
    </w:div>
    <w:div w:id="1762293437">
      <w:bodyDiv w:val="1"/>
      <w:marLeft w:val="0"/>
      <w:marRight w:val="0"/>
      <w:marTop w:val="0"/>
      <w:marBottom w:val="0"/>
      <w:divBdr>
        <w:top w:val="none" w:sz="0" w:space="0" w:color="auto"/>
        <w:left w:val="none" w:sz="0" w:space="0" w:color="auto"/>
        <w:bottom w:val="none" w:sz="0" w:space="0" w:color="auto"/>
        <w:right w:val="none" w:sz="0" w:space="0" w:color="auto"/>
      </w:divBdr>
    </w:div>
    <w:div w:id="1762487479">
      <w:bodyDiv w:val="1"/>
      <w:marLeft w:val="0"/>
      <w:marRight w:val="0"/>
      <w:marTop w:val="0"/>
      <w:marBottom w:val="0"/>
      <w:divBdr>
        <w:top w:val="none" w:sz="0" w:space="0" w:color="auto"/>
        <w:left w:val="none" w:sz="0" w:space="0" w:color="auto"/>
        <w:bottom w:val="none" w:sz="0" w:space="0" w:color="auto"/>
        <w:right w:val="none" w:sz="0" w:space="0" w:color="auto"/>
      </w:divBdr>
    </w:div>
    <w:div w:id="1763531242">
      <w:bodyDiv w:val="1"/>
      <w:marLeft w:val="0"/>
      <w:marRight w:val="0"/>
      <w:marTop w:val="0"/>
      <w:marBottom w:val="0"/>
      <w:divBdr>
        <w:top w:val="none" w:sz="0" w:space="0" w:color="auto"/>
        <w:left w:val="none" w:sz="0" w:space="0" w:color="auto"/>
        <w:bottom w:val="none" w:sz="0" w:space="0" w:color="auto"/>
        <w:right w:val="none" w:sz="0" w:space="0" w:color="auto"/>
      </w:divBdr>
    </w:div>
    <w:div w:id="1764497032">
      <w:bodyDiv w:val="1"/>
      <w:marLeft w:val="0"/>
      <w:marRight w:val="0"/>
      <w:marTop w:val="0"/>
      <w:marBottom w:val="0"/>
      <w:divBdr>
        <w:top w:val="none" w:sz="0" w:space="0" w:color="auto"/>
        <w:left w:val="none" w:sz="0" w:space="0" w:color="auto"/>
        <w:bottom w:val="none" w:sz="0" w:space="0" w:color="auto"/>
        <w:right w:val="none" w:sz="0" w:space="0" w:color="auto"/>
      </w:divBdr>
    </w:div>
    <w:div w:id="1764649476">
      <w:bodyDiv w:val="1"/>
      <w:marLeft w:val="0"/>
      <w:marRight w:val="0"/>
      <w:marTop w:val="0"/>
      <w:marBottom w:val="0"/>
      <w:divBdr>
        <w:top w:val="none" w:sz="0" w:space="0" w:color="auto"/>
        <w:left w:val="none" w:sz="0" w:space="0" w:color="auto"/>
        <w:bottom w:val="none" w:sz="0" w:space="0" w:color="auto"/>
        <w:right w:val="none" w:sz="0" w:space="0" w:color="auto"/>
      </w:divBdr>
    </w:div>
    <w:div w:id="1764955697">
      <w:bodyDiv w:val="1"/>
      <w:marLeft w:val="0"/>
      <w:marRight w:val="0"/>
      <w:marTop w:val="0"/>
      <w:marBottom w:val="0"/>
      <w:divBdr>
        <w:top w:val="none" w:sz="0" w:space="0" w:color="auto"/>
        <w:left w:val="none" w:sz="0" w:space="0" w:color="auto"/>
        <w:bottom w:val="none" w:sz="0" w:space="0" w:color="auto"/>
        <w:right w:val="none" w:sz="0" w:space="0" w:color="auto"/>
      </w:divBdr>
    </w:div>
    <w:div w:id="1765111257">
      <w:bodyDiv w:val="1"/>
      <w:marLeft w:val="0"/>
      <w:marRight w:val="0"/>
      <w:marTop w:val="0"/>
      <w:marBottom w:val="0"/>
      <w:divBdr>
        <w:top w:val="none" w:sz="0" w:space="0" w:color="auto"/>
        <w:left w:val="none" w:sz="0" w:space="0" w:color="auto"/>
        <w:bottom w:val="none" w:sz="0" w:space="0" w:color="auto"/>
        <w:right w:val="none" w:sz="0" w:space="0" w:color="auto"/>
      </w:divBdr>
    </w:div>
    <w:div w:id="1765223934">
      <w:bodyDiv w:val="1"/>
      <w:marLeft w:val="0"/>
      <w:marRight w:val="0"/>
      <w:marTop w:val="0"/>
      <w:marBottom w:val="0"/>
      <w:divBdr>
        <w:top w:val="none" w:sz="0" w:space="0" w:color="auto"/>
        <w:left w:val="none" w:sz="0" w:space="0" w:color="auto"/>
        <w:bottom w:val="none" w:sz="0" w:space="0" w:color="auto"/>
        <w:right w:val="none" w:sz="0" w:space="0" w:color="auto"/>
      </w:divBdr>
    </w:div>
    <w:div w:id="1765957455">
      <w:bodyDiv w:val="1"/>
      <w:marLeft w:val="0"/>
      <w:marRight w:val="0"/>
      <w:marTop w:val="0"/>
      <w:marBottom w:val="0"/>
      <w:divBdr>
        <w:top w:val="none" w:sz="0" w:space="0" w:color="auto"/>
        <w:left w:val="none" w:sz="0" w:space="0" w:color="auto"/>
        <w:bottom w:val="none" w:sz="0" w:space="0" w:color="auto"/>
        <w:right w:val="none" w:sz="0" w:space="0" w:color="auto"/>
      </w:divBdr>
    </w:div>
    <w:div w:id="1766077846">
      <w:bodyDiv w:val="1"/>
      <w:marLeft w:val="0"/>
      <w:marRight w:val="0"/>
      <w:marTop w:val="0"/>
      <w:marBottom w:val="0"/>
      <w:divBdr>
        <w:top w:val="none" w:sz="0" w:space="0" w:color="auto"/>
        <w:left w:val="none" w:sz="0" w:space="0" w:color="auto"/>
        <w:bottom w:val="none" w:sz="0" w:space="0" w:color="auto"/>
        <w:right w:val="none" w:sz="0" w:space="0" w:color="auto"/>
      </w:divBdr>
    </w:div>
    <w:div w:id="1766460509">
      <w:bodyDiv w:val="1"/>
      <w:marLeft w:val="0"/>
      <w:marRight w:val="0"/>
      <w:marTop w:val="0"/>
      <w:marBottom w:val="0"/>
      <w:divBdr>
        <w:top w:val="none" w:sz="0" w:space="0" w:color="auto"/>
        <w:left w:val="none" w:sz="0" w:space="0" w:color="auto"/>
        <w:bottom w:val="none" w:sz="0" w:space="0" w:color="auto"/>
        <w:right w:val="none" w:sz="0" w:space="0" w:color="auto"/>
      </w:divBdr>
    </w:div>
    <w:div w:id="1767799919">
      <w:bodyDiv w:val="1"/>
      <w:marLeft w:val="0"/>
      <w:marRight w:val="0"/>
      <w:marTop w:val="0"/>
      <w:marBottom w:val="0"/>
      <w:divBdr>
        <w:top w:val="none" w:sz="0" w:space="0" w:color="auto"/>
        <w:left w:val="none" w:sz="0" w:space="0" w:color="auto"/>
        <w:bottom w:val="none" w:sz="0" w:space="0" w:color="auto"/>
        <w:right w:val="none" w:sz="0" w:space="0" w:color="auto"/>
      </w:divBdr>
    </w:div>
    <w:div w:id="1768502718">
      <w:bodyDiv w:val="1"/>
      <w:marLeft w:val="0"/>
      <w:marRight w:val="0"/>
      <w:marTop w:val="0"/>
      <w:marBottom w:val="0"/>
      <w:divBdr>
        <w:top w:val="none" w:sz="0" w:space="0" w:color="auto"/>
        <w:left w:val="none" w:sz="0" w:space="0" w:color="auto"/>
        <w:bottom w:val="none" w:sz="0" w:space="0" w:color="auto"/>
        <w:right w:val="none" w:sz="0" w:space="0" w:color="auto"/>
      </w:divBdr>
    </w:div>
    <w:div w:id="1768647498">
      <w:bodyDiv w:val="1"/>
      <w:marLeft w:val="0"/>
      <w:marRight w:val="0"/>
      <w:marTop w:val="0"/>
      <w:marBottom w:val="0"/>
      <w:divBdr>
        <w:top w:val="none" w:sz="0" w:space="0" w:color="auto"/>
        <w:left w:val="none" w:sz="0" w:space="0" w:color="auto"/>
        <w:bottom w:val="none" w:sz="0" w:space="0" w:color="auto"/>
        <w:right w:val="none" w:sz="0" w:space="0" w:color="auto"/>
      </w:divBdr>
    </w:div>
    <w:div w:id="1768847515">
      <w:bodyDiv w:val="1"/>
      <w:marLeft w:val="0"/>
      <w:marRight w:val="0"/>
      <w:marTop w:val="0"/>
      <w:marBottom w:val="0"/>
      <w:divBdr>
        <w:top w:val="none" w:sz="0" w:space="0" w:color="auto"/>
        <w:left w:val="none" w:sz="0" w:space="0" w:color="auto"/>
        <w:bottom w:val="none" w:sz="0" w:space="0" w:color="auto"/>
        <w:right w:val="none" w:sz="0" w:space="0" w:color="auto"/>
      </w:divBdr>
    </w:div>
    <w:div w:id="1768886917">
      <w:bodyDiv w:val="1"/>
      <w:marLeft w:val="0"/>
      <w:marRight w:val="0"/>
      <w:marTop w:val="0"/>
      <w:marBottom w:val="0"/>
      <w:divBdr>
        <w:top w:val="none" w:sz="0" w:space="0" w:color="auto"/>
        <w:left w:val="none" w:sz="0" w:space="0" w:color="auto"/>
        <w:bottom w:val="none" w:sz="0" w:space="0" w:color="auto"/>
        <w:right w:val="none" w:sz="0" w:space="0" w:color="auto"/>
      </w:divBdr>
    </w:div>
    <w:div w:id="1769302956">
      <w:bodyDiv w:val="1"/>
      <w:marLeft w:val="0"/>
      <w:marRight w:val="0"/>
      <w:marTop w:val="0"/>
      <w:marBottom w:val="0"/>
      <w:divBdr>
        <w:top w:val="none" w:sz="0" w:space="0" w:color="auto"/>
        <w:left w:val="none" w:sz="0" w:space="0" w:color="auto"/>
        <w:bottom w:val="none" w:sz="0" w:space="0" w:color="auto"/>
        <w:right w:val="none" w:sz="0" w:space="0" w:color="auto"/>
      </w:divBdr>
    </w:div>
    <w:div w:id="1769546320">
      <w:bodyDiv w:val="1"/>
      <w:marLeft w:val="0"/>
      <w:marRight w:val="0"/>
      <w:marTop w:val="0"/>
      <w:marBottom w:val="0"/>
      <w:divBdr>
        <w:top w:val="none" w:sz="0" w:space="0" w:color="auto"/>
        <w:left w:val="none" w:sz="0" w:space="0" w:color="auto"/>
        <w:bottom w:val="none" w:sz="0" w:space="0" w:color="auto"/>
        <w:right w:val="none" w:sz="0" w:space="0" w:color="auto"/>
      </w:divBdr>
    </w:div>
    <w:div w:id="1770076857">
      <w:bodyDiv w:val="1"/>
      <w:marLeft w:val="0"/>
      <w:marRight w:val="0"/>
      <w:marTop w:val="0"/>
      <w:marBottom w:val="0"/>
      <w:divBdr>
        <w:top w:val="none" w:sz="0" w:space="0" w:color="auto"/>
        <w:left w:val="none" w:sz="0" w:space="0" w:color="auto"/>
        <w:bottom w:val="none" w:sz="0" w:space="0" w:color="auto"/>
        <w:right w:val="none" w:sz="0" w:space="0" w:color="auto"/>
      </w:divBdr>
    </w:div>
    <w:div w:id="1770197258">
      <w:bodyDiv w:val="1"/>
      <w:marLeft w:val="0"/>
      <w:marRight w:val="0"/>
      <w:marTop w:val="0"/>
      <w:marBottom w:val="0"/>
      <w:divBdr>
        <w:top w:val="none" w:sz="0" w:space="0" w:color="auto"/>
        <w:left w:val="none" w:sz="0" w:space="0" w:color="auto"/>
        <w:bottom w:val="none" w:sz="0" w:space="0" w:color="auto"/>
        <w:right w:val="none" w:sz="0" w:space="0" w:color="auto"/>
      </w:divBdr>
    </w:div>
    <w:div w:id="1770200776">
      <w:bodyDiv w:val="1"/>
      <w:marLeft w:val="0"/>
      <w:marRight w:val="0"/>
      <w:marTop w:val="0"/>
      <w:marBottom w:val="0"/>
      <w:divBdr>
        <w:top w:val="none" w:sz="0" w:space="0" w:color="auto"/>
        <w:left w:val="none" w:sz="0" w:space="0" w:color="auto"/>
        <w:bottom w:val="none" w:sz="0" w:space="0" w:color="auto"/>
        <w:right w:val="none" w:sz="0" w:space="0" w:color="auto"/>
      </w:divBdr>
    </w:div>
    <w:div w:id="1770277573">
      <w:bodyDiv w:val="1"/>
      <w:marLeft w:val="0"/>
      <w:marRight w:val="0"/>
      <w:marTop w:val="0"/>
      <w:marBottom w:val="0"/>
      <w:divBdr>
        <w:top w:val="none" w:sz="0" w:space="0" w:color="auto"/>
        <w:left w:val="none" w:sz="0" w:space="0" w:color="auto"/>
        <w:bottom w:val="none" w:sz="0" w:space="0" w:color="auto"/>
        <w:right w:val="none" w:sz="0" w:space="0" w:color="auto"/>
      </w:divBdr>
    </w:div>
    <w:div w:id="1770277765">
      <w:bodyDiv w:val="1"/>
      <w:marLeft w:val="0"/>
      <w:marRight w:val="0"/>
      <w:marTop w:val="0"/>
      <w:marBottom w:val="0"/>
      <w:divBdr>
        <w:top w:val="none" w:sz="0" w:space="0" w:color="auto"/>
        <w:left w:val="none" w:sz="0" w:space="0" w:color="auto"/>
        <w:bottom w:val="none" w:sz="0" w:space="0" w:color="auto"/>
        <w:right w:val="none" w:sz="0" w:space="0" w:color="auto"/>
      </w:divBdr>
    </w:div>
    <w:div w:id="1770394305">
      <w:bodyDiv w:val="1"/>
      <w:marLeft w:val="0"/>
      <w:marRight w:val="0"/>
      <w:marTop w:val="0"/>
      <w:marBottom w:val="0"/>
      <w:divBdr>
        <w:top w:val="none" w:sz="0" w:space="0" w:color="auto"/>
        <w:left w:val="none" w:sz="0" w:space="0" w:color="auto"/>
        <w:bottom w:val="none" w:sz="0" w:space="0" w:color="auto"/>
        <w:right w:val="none" w:sz="0" w:space="0" w:color="auto"/>
      </w:divBdr>
    </w:div>
    <w:div w:id="1770815486">
      <w:bodyDiv w:val="1"/>
      <w:marLeft w:val="0"/>
      <w:marRight w:val="0"/>
      <w:marTop w:val="0"/>
      <w:marBottom w:val="0"/>
      <w:divBdr>
        <w:top w:val="none" w:sz="0" w:space="0" w:color="auto"/>
        <w:left w:val="none" w:sz="0" w:space="0" w:color="auto"/>
        <w:bottom w:val="none" w:sz="0" w:space="0" w:color="auto"/>
        <w:right w:val="none" w:sz="0" w:space="0" w:color="auto"/>
      </w:divBdr>
    </w:div>
    <w:div w:id="1771503867">
      <w:bodyDiv w:val="1"/>
      <w:marLeft w:val="0"/>
      <w:marRight w:val="0"/>
      <w:marTop w:val="0"/>
      <w:marBottom w:val="0"/>
      <w:divBdr>
        <w:top w:val="none" w:sz="0" w:space="0" w:color="auto"/>
        <w:left w:val="none" w:sz="0" w:space="0" w:color="auto"/>
        <w:bottom w:val="none" w:sz="0" w:space="0" w:color="auto"/>
        <w:right w:val="none" w:sz="0" w:space="0" w:color="auto"/>
      </w:divBdr>
    </w:div>
    <w:div w:id="1771510764">
      <w:bodyDiv w:val="1"/>
      <w:marLeft w:val="0"/>
      <w:marRight w:val="0"/>
      <w:marTop w:val="0"/>
      <w:marBottom w:val="0"/>
      <w:divBdr>
        <w:top w:val="none" w:sz="0" w:space="0" w:color="auto"/>
        <w:left w:val="none" w:sz="0" w:space="0" w:color="auto"/>
        <w:bottom w:val="none" w:sz="0" w:space="0" w:color="auto"/>
        <w:right w:val="none" w:sz="0" w:space="0" w:color="auto"/>
      </w:divBdr>
    </w:div>
    <w:div w:id="1771851209">
      <w:bodyDiv w:val="1"/>
      <w:marLeft w:val="0"/>
      <w:marRight w:val="0"/>
      <w:marTop w:val="0"/>
      <w:marBottom w:val="0"/>
      <w:divBdr>
        <w:top w:val="none" w:sz="0" w:space="0" w:color="auto"/>
        <w:left w:val="none" w:sz="0" w:space="0" w:color="auto"/>
        <w:bottom w:val="none" w:sz="0" w:space="0" w:color="auto"/>
        <w:right w:val="none" w:sz="0" w:space="0" w:color="auto"/>
      </w:divBdr>
    </w:div>
    <w:div w:id="1771969967">
      <w:bodyDiv w:val="1"/>
      <w:marLeft w:val="0"/>
      <w:marRight w:val="0"/>
      <w:marTop w:val="0"/>
      <w:marBottom w:val="0"/>
      <w:divBdr>
        <w:top w:val="none" w:sz="0" w:space="0" w:color="auto"/>
        <w:left w:val="none" w:sz="0" w:space="0" w:color="auto"/>
        <w:bottom w:val="none" w:sz="0" w:space="0" w:color="auto"/>
        <w:right w:val="none" w:sz="0" w:space="0" w:color="auto"/>
      </w:divBdr>
    </w:div>
    <w:div w:id="1772043705">
      <w:bodyDiv w:val="1"/>
      <w:marLeft w:val="0"/>
      <w:marRight w:val="0"/>
      <w:marTop w:val="0"/>
      <w:marBottom w:val="0"/>
      <w:divBdr>
        <w:top w:val="none" w:sz="0" w:space="0" w:color="auto"/>
        <w:left w:val="none" w:sz="0" w:space="0" w:color="auto"/>
        <w:bottom w:val="none" w:sz="0" w:space="0" w:color="auto"/>
        <w:right w:val="none" w:sz="0" w:space="0" w:color="auto"/>
      </w:divBdr>
    </w:div>
    <w:div w:id="1772238927">
      <w:bodyDiv w:val="1"/>
      <w:marLeft w:val="0"/>
      <w:marRight w:val="0"/>
      <w:marTop w:val="0"/>
      <w:marBottom w:val="0"/>
      <w:divBdr>
        <w:top w:val="none" w:sz="0" w:space="0" w:color="auto"/>
        <w:left w:val="none" w:sz="0" w:space="0" w:color="auto"/>
        <w:bottom w:val="none" w:sz="0" w:space="0" w:color="auto"/>
        <w:right w:val="none" w:sz="0" w:space="0" w:color="auto"/>
      </w:divBdr>
    </w:div>
    <w:div w:id="1772318398">
      <w:bodyDiv w:val="1"/>
      <w:marLeft w:val="0"/>
      <w:marRight w:val="0"/>
      <w:marTop w:val="0"/>
      <w:marBottom w:val="0"/>
      <w:divBdr>
        <w:top w:val="none" w:sz="0" w:space="0" w:color="auto"/>
        <w:left w:val="none" w:sz="0" w:space="0" w:color="auto"/>
        <w:bottom w:val="none" w:sz="0" w:space="0" w:color="auto"/>
        <w:right w:val="none" w:sz="0" w:space="0" w:color="auto"/>
      </w:divBdr>
    </w:div>
    <w:div w:id="1772629171">
      <w:bodyDiv w:val="1"/>
      <w:marLeft w:val="0"/>
      <w:marRight w:val="0"/>
      <w:marTop w:val="0"/>
      <w:marBottom w:val="0"/>
      <w:divBdr>
        <w:top w:val="none" w:sz="0" w:space="0" w:color="auto"/>
        <w:left w:val="none" w:sz="0" w:space="0" w:color="auto"/>
        <w:bottom w:val="none" w:sz="0" w:space="0" w:color="auto"/>
        <w:right w:val="none" w:sz="0" w:space="0" w:color="auto"/>
      </w:divBdr>
    </w:div>
    <w:div w:id="1773091773">
      <w:bodyDiv w:val="1"/>
      <w:marLeft w:val="0"/>
      <w:marRight w:val="0"/>
      <w:marTop w:val="0"/>
      <w:marBottom w:val="0"/>
      <w:divBdr>
        <w:top w:val="none" w:sz="0" w:space="0" w:color="auto"/>
        <w:left w:val="none" w:sz="0" w:space="0" w:color="auto"/>
        <w:bottom w:val="none" w:sz="0" w:space="0" w:color="auto"/>
        <w:right w:val="none" w:sz="0" w:space="0" w:color="auto"/>
      </w:divBdr>
    </w:div>
    <w:div w:id="1773358673">
      <w:bodyDiv w:val="1"/>
      <w:marLeft w:val="0"/>
      <w:marRight w:val="0"/>
      <w:marTop w:val="0"/>
      <w:marBottom w:val="0"/>
      <w:divBdr>
        <w:top w:val="none" w:sz="0" w:space="0" w:color="auto"/>
        <w:left w:val="none" w:sz="0" w:space="0" w:color="auto"/>
        <w:bottom w:val="none" w:sz="0" w:space="0" w:color="auto"/>
        <w:right w:val="none" w:sz="0" w:space="0" w:color="auto"/>
      </w:divBdr>
    </w:div>
    <w:div w:id="1773821725">
      <w:bodyDiv w:val="1"/>
      <w:marLeft w:val="0"/>
      <w:marRight w:val="0"/>
      <w:marTop w:val="0"/>
      <w:marBottom w:val="0"/>
      <w:divBdr>
        <w:top w:val="none" w:sz="0" w:space="0" w:color="auto"/>
        <w:left w:val="none" w:sz="0" w:space="0" w:color="auto"/>
        <w:bottom w:val="none" w:sz="0" w:space="0" w:color="auto"/>
        <w:right w:val="none" w:sz="0" w:space="0" w:color="auto"/>
      </w:divBdr>
    </w:div>
    <w:div w:id="1773934081">
      <w:bodyDiv w:val="1"/>
      <w:marLeft w:val="0"/>
      <w:marRight w:val="0"/>
      <w:marTop w:val="0"/>
      <w:marBottom w:val="0"/>
      <w:divBdr>
        <w:top w:val="none" w:sz="0" w:space="0" w:color="auto"/>
        <w:left w:val="none" w:sz="0" w:space="0" w:color="auto"/>
        <w:bottom w:val="none" w:sz="0" w:space="0" w:color="auto"/>
        <w:right w:val="none" w:sz="0" w:space="0" w:color="auto"/>
      </w:divBdr>
    </w:div>
    <w:div w:id="1774594632">
      <w:bodyDiv w:val="1"/>
      <w:marLeft w:val="0"/>
      <w:marRight w:val="0"/>
      <w:marTop w:val="0"/>
      <w:marBottom w:val="0"/>
      <w:divBdr>
        <w:top w:val="none" w:sz="0" w:space="0" w:color="auto"/>
        <w:left w:val="none" w:sz="0" w:space="0" w:color="auto"/>
        <w:bottom w:val="none" w:sz="0" w:space="0" w:color="auto"/>
        <w:right w:val="none" w:sz="0" w:space="0" w:color="auto"/>
      </w:divBdr>
    </w:div>
    <w:div w:id="1774982188">
      <w:bodyDiv w:val="1"/>
      <w:marLeft w:val="0"/>
      <w:marRight w:val="0"/>
      <w:marTop w:val="0"/>
      <w:marBottom w:val="0"/>
      <w:divBdr>
        <w:top w:val="none" w:sz="0" w:space="0" w:color="auto"/>
        <w:left w:val="none" w:sz="0" w:space="0" w:color="auto"/>
        <w:bottom w:val="none" w:sz="0" w:space="0" w:color="auto"/>
        <w:right w:val="none" w:sz="0" w:space="0" w:color="auto"/>
      </w:divBdr>
    </w:div>
    <w:div w:id="1775593806">
      <w:bodyDiv w:val="1"/>
      <w:marLeft w:val="0"/>
      <w:marRight w:val="0"/>
      <w:marTop w:val="0"/>
      <w:marBottom w:val="0"/>
      <w:divBdr>
        <w:top w:val="none" w:sz="0" w:space="0" w:color="auto"/>
        <w:left w:val="none" w:sz="0" w:space="0" w:color="auto"/>
        <w:bottom w:val="none" w:sz="0" w:space="0" w:color="auto"/>
        <w:right w:val="none" w:sz="0" w:space="0" w:color="auto"/>
      </w:divBdr>
    </w:div>
    <w:div w:id="1775634990">
      <w:bodyDiv w:val="1"/>
      <w:marLeft w:val="0"/>
      <w:marRight w:val="0"/>
      <w:marTop w:val="0"/>
      <w:marBottom w:val="0"/>
      <w:divBdr>
        <w:top w:val="none" w:sz="0" w:space="0" w:color="auto"/>
        <w:left w:val="none" w:sz="0" w:space="0" w:color="auto"/>
        <w:bottom w:val="none" w:sz="0" w:space="0" w:color="auto"/>
        <w:right w:val="none" w:sz="0" w:space="0" w:color="auto"/>
      </w:divBdr>
    </w:div>
    <w:div w:id="1775788831">
      <w:bodyDiv w:val="1"/>
      <w:marLeft w:val="0"/>
      <w:marRight w:val="0"/>
      <w:marTop w:val="0"/>
      <w:marBottom w:val="0"/>
      <w:divBdr>
        <w:top w:val="none" w:sz="0" w:space="0" w:color="auto"/>
        <w:left w:val="none" w:sz="0" w:space="0" w:color="auto"/>
        <w:bottom w:val="none" w:sz="0" w:space="0" w:color="auto"/>
        <w:right w:val="none" w:sz="0" w:space="0" w:color="auto"/>
      </w:divBdr>
    </w:div>
    <w:div w:id="1776318875">
      <w:bodyDiv w:val="1"/>
      <w:marLeft w:val="0"/>
      <w:marRight w:val="0"/>
      <w:marTop w:val="0"/>
      <w:marBottom w:val="0"/>
      <w:divBdr>
        <w:top w:val="none" w:sz="0" w:space="0" w:color="auto"/>
        <w:left w:val="none" w:sz="0" w:space="0" w:color="auto"/>
        <w:bottom w:val="none" w:sz="0" w:space="0" w:color="auto"/>
        <w:right w:val="none" w:sz="0" w:space="0" w:color="auto"/>
      </w:divBdr>
    </w:div>
    <w:div w:id="1777410065">
      <w:bodyDiv w:val="1"/>
      <w:marLeft w:val="0"/>
      <w:marRight w:val="0"/>
      <w:marTop w:val="0"/>
      <w:marBottom w:val="0"/>
      <w:divBdr>
        <w:top w:val="none" w:sz="0" w:space="0" w:color="auto"/>
        <w:left w:val="none" w:sz="0" w:space="0" w:color="auto"/>
        <w:bottom w:val="none" w:sz="0" w:space="0" w:color="auto"/>
        <w:right w:val="none" w:sz="0" w:space="0" w:color="auto"/>
      </w:divBdr>
    </w:div>
    <w:div w:id="1777483511">
      <w:bodyDiv w:val="1"/>
      <w:marLeft w:val="0"/>
      <w:marRight w:val="0"/>
      <w:marTop w:val="0"/>
      <w:marBottom w:val="0"/>
      <w:divBdr>
        <w:top w:val="none" w:sz="0" w:space="0" w:color="auto"/>
        <w:left w:val="none" w:sz="0" w:space="0" w:color="auto"/>
        <w:bottom w:val="none" w:sz="0" w:space="0" w:color="auto"/>
        <w:right w:val="none" w:sz="0" w:space="0" w:color="auto"/>
      </w:divBdr>
    </w:div>
    <w:div w:id="1777602637">
      <w:bodyDiv w:val="1"/>
      <w:marLeft w:val="0"/>
      <w:marRight w:val="0"/>
      <w:marTop w:val="0"/>
      <w:marBottom w:val="0"/>
      <w:divBdr>
        <w:top w:val="none" w:sz="0" w:space="0" w:color="auto"/>
        <w:left w:val="none" w:sz="0" w:space="0" w:color="auto"/>
        <w:bottom w:val="none" w:sz="0" w:space="0" w:color="auto"/>
        <w:right w:val="none" w:sz="0" w:space="0" w:color="auto"/>
      </w:divBdr>
    </w:div>
    <w:div w:id="1778207842">
      <w:bodyDiv w:val="1"/>
      <w:marLeft w:val="0"/>
      <w:marRight w:val="0"/>
      <w:marTop w:val="0"/>
      <w:marBottom w:val="0"/>
      <w:divBdr>
        <w:top w:val="none" w:sz="0" w:space="0" w:color="auto"/>
        <w:left w:val="none" w:sz="0" w:space="0" w:color="auto"/>
        <w:bottom w:val="none" w:sz="0" w:space="0" w:color="auto"/>
        <w:right w:val="none" w:sz="0" w:space="0" w:color="auto"/>
      </w:divBdr>
    </w:div>
    <w:div w:id="1778215006">
      <w:bodyDiv w:val="1"/>
      <w:marLeft w:val="0"/>
      <w:marRight w:val="0"/>
      <w:marTop w:val="0"/>
      <w:marBottom w:val="0"/>
      <w:divBdr>
        <w:top w:val="none" w:sz="0" w:space="0" w:color="auto"/>
        <w:left w:val="none" w:sz="0" w:space="0" w:color="auto"/>
        <w:bottom w:val="none" w:sz="0" w:space="0" w:color="auto"/>
        <w:right w:val="none" w:sz="0" w:space="0" w:color="auto"/>
      </w:divBdr>
    </w:div>
    <w:div w:id="1778283831">
      <w:bodyDiv w:val="1"/>
      <w:marLeft w:val="0"/>
      <w:marRight w:val="0"/>
      <w:marTop w:val="0"/>
      <w:marBottom w:val="0"/>
      <w:divBdr>
        <w:top w:val="none" w:sz="0" w:space="0" w:color="auto"/>
        <w:left w:val="none" w:sz="0" w:space="0" w:color="auto"/>
        <w:bottom w:val="none" w:sz="0" w:space="0" w:color="auto"/>
        <w:right w:val="none" w:sz="0" w:space="0" w:color="auto"/>
      </w:divBdr>
    </w:div>
    <w:div w:id="1778285394">
      <w:bodyDiv w:val="1"/>
      <w:marLeft w:val="0"/>
      <w:marRight w:val="0"/>
      <w:marTop w:val="0"/>
      <w:marBottom w:val="0"/>
      <w:divBdr>
        <w:top w:val="none" w:sz="0" w:space="0" w:color="auto"/>
        <w:left w:val="none" w:sz="0" w:space="0" w:color="auto"/>
        <w:bottom w:val="none" w:sz="0" w:space="0" w:color="auto"/>
        <w:right w:val="none" w:sz="0" w:space="0" w:color="auto"/>
      </w:divBdr>
    </w:div>
    <w:div w:id="1778598792">
      <w:bodyDiv w:val="1"/>
      <w:marLeft w:val="0"/>
      <w:marRight w:val="0"/>
      <w:marTop w:val="0"/>
      <w:marBottom w:val="0"/>
      <w:divBdr>
        <w:top w:val="none" w:sz="0" w:space="0" w:color="auto"/>
        <w:left w:val="none" w:sz="0" w:space="0" w:color="auto"/>
        <w:bottom w:val="none" w:sz="0" w:space="0" w:color="auto"/>
        <w:right w:val="none" w:sz="0" w:space="0" w:color="auto"/>
      </w:divBdr>
    </w:div>
    <w:div w:id="1779056025">
      <w:bodyDiv w:val="1"/>
      <w:marLeft w:val="0"/>
      <w:marRight w:val="0"/>
      <w:marTop w:val="0"/>
      <w:marBottom w:val="0"/>
      <w:divBdr>
        <w:top w:val="none" w:sz="0" w:space="0" w:color="auto"/>
        <w:left w:val="none" w:sz="0" w:space="0" w:color="auto"/>
        <w:bottom w:val="none" w:sz="0" w:space="0" w:color="auto"/>
        <w:right w:val="none" w:sz="0" w:space="0" w:color="auto"/>
      </w:divBdr>
    </w:div>
    <w:div w:id="1779134425">
      <w:bodyDiv w:val="1"/>
      <w:marLeft w:val="0"/>
      <w:marRight w:val="0"/>
      <w:marTop w:val="0"/>
      <w:marBottom w:val="0"/>
      <w:divBdr>
        <w:top w:val="none" w:sz="0" w:space="0" w:color="auto"/>
        <w:left w:val="none" w:sz="0" w:space="0" w:color="auto"/>
        <w:bottom w:val="none" w:sz="0" w:space="0" w:color="auto"/>
        <w:right w:val="none" w:sz="0" w:space="0" w:color="auto"/>
      </w:divBdr>
    </w:div>
    <w:div w:id="1779717087">
      <w:bodyDiv w:val="1"/>
      <w:marLeft w:val="0"/>
      <w:marRight w:val="0"/>
      <w:marTop w:val="0"/>
      <w:marBottom w:val="0"/>
      <w:divBdr>
        <w:top w:val="none" w:sz="0" w:space="0" w:color="auto"/>
        <w:left w:val="none" w:sz="0" w:space="0" w:color="auto"/>
        <w:bottom w:val="none" w:sz="0" w:space="0" w:color="auto"/>
        <w:right w:val="none" w:sz="0" w:space="0" w:color="auto"/>
      </w:divBdr>
    </w:div>
    <w:div w:id="1780105010">
      <w:bodyDiv w:val="1"/>
      <w:marLeft w:val="0"/>
      <w:marRight w:val="0"/>
      <w:marTop w:val="0"/>
      <w:marBottom w:val="0"/>
      <w:divBdr>
        <w:top w:val="none" w:sz="0" w:space="0" w:color="auto"/>
        <w:left w:val="none" w:sz="0" w:space="0" w:color="auto"/>
        <w:bottom w:val="none" w:sz="0" w:space="0" w:color="auto"/>
        <w:right w:val="none" w:sz="0" w:space="0" w:color="auto"/>
      </w:divBdr>
    </w:div>
    <w:div w:id="1780441747">
      <w:bodyDiv w:val="1"/>
      <w:marLeft w:val="0"/>
      <w:marRight w:val="0"/>
      <w:marTop w:val="0"/>
      <w:marBottom w:val="0"/>
      <w:divBdr>
        <w:top w:val="none" w:sz="0" w:space="0" w:color="auto"/>
        <w:left w:val="none" w:sz="0" w:space="0" w:color="auto"/>
        <w:bottom w:val="none" w:sz="0" w:space="0" w:color="auto"/>
        <w:right w:val="none" w:sz="0" w:space="0" w:color="auto"/>
      </w:divBdr>
    </w:div>
    <w:div w:id="1781224017">
      <w:bodyDiv w:val="1"/>
      <w:marLeft w:val="0"/>
      <w:marRight w:val="0"/>
      <w:marTop w:val="0"/>
      <w:marBottom w:val="0"/>
      <w:divBdr>
        <w:top w:val="none" w:sz="0" w:space="0" w:color="auto"/>
        <w:left w:val="none" w:sz="0" w:space="0" w:color="auto"/>
        <w:bottom w:val="none" w:sz="0" w:space="0" w:color="auto"/>
        <w:right w:val="none" w:sz="0" w:space="0" w:color="auto"/>
      </w:divBdr>
    </w:div>
    <w:div w:id="1781753680">
      <w:bodyDiv w:val="1"/>
      <w:marLeft w:val="0"/>
      <w:marRight w:val="0"/>
      <w:marTop w:val="0"/>
      <w:marBottom w:val="0"/>
      <w:divBdr>
        <w:top w:val="none" w:sz="0" w:space="0" w:color="auto"/>
        <w:left w:val="none" w:sz="0" w:space="0" w:color="auto"/>
        <w:bottom w:val="none" w:sz="0" w:space="0" w:color="auto"/>
        <w:right w:val="none" w:sz="0" w:space="0" w:color="auto"/>
      </w:divBdr>
    </w:div>
    <w:div w:id="1781950840">
      <w:bodyDiv w:val="1"/>
      <w:marLeft w:val="0"/>
      <w:marRight w:val="0"/>
      <w:marTop w:val="0"/>
      <w:marBottom w:val="0"/>
      <w:divBdr>
        <w:top w:val="none" w:sz="0" w:space="0" w:color="auto"/>
        <w:left w:val="none" w:sz="0" w:space="0" w:color="auto"/>
        <w:bottom w:val="none" w:sz="0" w:space="0" w:color="auto"/>
        <w:right w:val="none" w:sz="0" w:space="0" w:color="auto"/>
      </w:divBdr>
    </w:div>
    <w:div w:id="1782412906">
      <w:bodyDiv w:val="1"/>
      <w:marLeft w:val="0"/>
      <w:marRight w:val="0"/>
      <w:marTop w:val="0"/>
      <w:marBottom w:val="0"/>
      <w:divBdr>
        <w:top w:val="none" w:sz="0" w:space="0" w:color="auto"/>
        <w:left w:val="none" w:sz="0" w:space="0" w:color="auto"/>
        <w:bottom w:val="none" w:sz="0" w:space="0" w:color="auto"/>
        <w:right w:val="none" w:sz="0" w:space="0" w:color="auto"/>
      </w:divBdr>
    </w:div>
    <w:div w:id="1782414131">
      <w:bodyDiv w:val="1"/>
      <w:marLeft w:val="0"/>
      <w:marRight w:val="0"/>
      <w:marTop w:val="0"/>
      <w:marBottom w:val="0"/>
      <w:divBdr>
        <w:top w:val="none" w:sz="0" w:space="0" w:color="auto"/>
        <w:left w:val="none" w:sz="0" w:space="0" w:color="auto"/>
        <w:bottom w:val="none" w:sz="0" w:space="0" w:color="auto"/>
        <w:right w:val="none" w:sz="0" w:space="0" w:color="auto"/>
      </w:divBdr>
    </w:div>
    <w:div w:id="1782459771">
      <w:bodyDiv w:val="1"/>
      <w:marLeft w:val="0"/>
      <w:marRight w:val="0"/>
      <w:marTop w:val="0"/>
      <w:marBottom w:val="0"/>
      <w:divBdr>
        <w:top w:val="none" w:sz="0" w:space="0" w:color="auto"/>
        <w:left w:val="none" w:sz="0" w:space="0" w:color="auto"/>
        <w:bottom w:val="none" w:sz="0" w:space="0" w:color="auto"/>
        <w:right w:val="none" w:sz="0" w:space="0" w:color="auto"/>
      </w:divBdr>
    </w:div>
    <w:div w:id="1782607786">
      <w:bodyDiv w:val="1"/>
      <w:marLeft w:val="0"/>
      <w:marRight w:val="0"/>
      <w:marTop w:val="0"/>
      <w:marBottom w:val="0"/>
      <w:divBdr>
        <w:top w:val="none" w:sz="0" w:space="0" w:color="auto"/>
        <w:left w:val="none" w:sz="0" w:space="0" w:color="auto"/>
        <w:bottom w:val="none" w:sz="0" w:space="0" w:color="auto"/>
        <w:right w:val="none" w:sz="0" w:space="0" w:color="auto"/>
      </w:divBdr>
    </w:div>
    <w:div w:id="1782802672">
      <w:bodyDiv w:val="1"/>
      <w:marLeft w:val="0"/>
      <w:marRight w:val="0"/>
      <w:marTop w:val="0"/>
      <w:marBottom w:val="0"/>
      <w:divBdr>
        <w:top w:val="none" w:sz="0" w:space="0" w:color="auto"/>
        <w:left w:val="none" w:sz="0" w:space="0" w:color="auto"/>
        <w:bottom w:val="none" w:sz="0" w:space="0" w:color="auto"/>
        <w:right w:val="none" w:sz="0" w:space="0" w:color="auto"/>
      </w:divBdr>
    </w:div>
    <w:div w:id="1784105040">
      <w:bodyDiv w:val="1"/>
      <w:marLeft w:val="0"/>
      <w:marRight w:val="0"/>
      <w:marTop w:val="0"/>
      <w:marBottom w:val="0"/>
      <w:divBdr>
        <w:top w:val="none" w:sz="0" w:space="0" w:color="auto"/>
        <w:left w:val="none" w:sz="0" w:space="0" w:color="auto"/>
        <w:bottom w:val="none" w:sz="0" w:space="0" w:color="auto"/>
        <w:right w:val="none" w:sz="0" w:space="0" w:color="auto"/>
      </w:divBdr>
    </w:div>
    <w:div w:id="1784231825">
      <w:bodyDiv w:val="1"/>
      <w:marLeft w:val="0"/>
      <w:marRight w:val="0"/>
      <w:marTop w:val="0"/>
      <w:marBottom w:val="0"/>
      <w:divBdr>
        <w:top w:val="none" w:sz="0" w:space="0" w:color="auto"/>
        <w:left w:val="none" w:sz="0" w:space="0" w:color="auto"/>
        <w:bottom w:val="none" w:sz="0" w:space="0" w:color="auto"/>
        <w:right w:val="none" w:sz="0" w:space="0" w:color="auto"/>
      </w:divBdr>
    </w:div>
    <w:div w:id="1784378226">
      <w:bodyDiv w:val="1"/>
      <w:marLeft w:val="0"/>
      <w:marRight w:val="0"/>
      <w:marTop w:val="0"/>
      <w:marBottom w:val="0"/>
      <w:divBdr>
        <w:top w:val="none" w:sz="0" w:space="0" w:color="auto"/>
        <w:left w:val="none" w:sz="0" w:space="0" w:color="auto"/>
        <w:bottom w:val="none" w:sz="0" w:space="0" w:color="auto"/>
        <w:right w:val="none" w:sz="0" w:space="0" w:color="auto"/>
      </w:divBdr>
    </w:div>
    <w:div w:id="1784764770">
      <w:bodyDiv w:val="1"/>
      <w:marLeft w:val="0"/>
      <w:marRight w:val="0"/>
      <w:marTop w:val="0"/>
      <w:marBottom w:val="0"/>
      <w:divBdr>
        <w:top w:val="none" w:sz="0" w:space="0" w:color="auto"/>
        <w:left w:val="none" w:sz="0" w:space="0" w:color="auto"/>
        <w:bottom w:val="none" w:sz="0" w:space="0" w:color="auto"/>
        <w:right w:val="none" w:sz="0" w:space="0" w:color="auto"/>
      </w:divBdr>
    </w:div>
    <w:div w:id="1784956691">
      <w:bodyDiv w:val="1"/>
      <w:marLeft w:val="0"/>
      <w:marRight w:val="0"/>
      <w:marTop w:val="0"/>
      <w:marBottom w:val="0"/>
      <w:divBdr>
        <w:top w:val="none" w:sz="0" w:space="0" w:color="auto"/>
        <w:left w:val="none" w:sz="0" w:space="0" w:color="auto"/>
        <w:bottom w:val="none" w:sz="0" w:space="0" w:color="auto"/>
        <w:right w:val="none" w:sz="0" w:space="0" w:color="auto"/>
      </w:divBdr>
    </w:div>
    <w:div w:id="1786077313">
      <w:bodyDiv w:val="1"/>
      <w:marLeft w:val="0"/>
      <w:marRight w:val="0"/>
      <w:marTop w:val="0"/>
      <w:marBottom w:val="0"/>
      <w:divBdr>
        <w:top w:val="none" w:sz="0" w:space="0" w:color="auto"/>
        <w:left w:val="none" w:sz="0" w:space="0" w:color="auto"/>
        <w:bottom w:val="none" w:sz="0" w:space="0" w:color="auto"/>
        <w:right w:val="none" w:sz="0" w:space="0" w:color="auto"/>
      </w:divBdr>
    </w:div>
    <w:div w:id="1786188629">
      <w:bodyDiv w:val="1"/>
      <w:marLeft w:val="0"/>
      <w:marRight w:val="0"/>
      <w:marTop w:val="0"/>
      <w:marBottom w:val="0"/>
      <w:divBdr>
        <w:top w:val="none" w:sz="0" w:space="0" w:color="auto"/>
        <w:left w:val="none" w:sz="0" w:space="0" w:color="auto"/>
        <w:bottom w:val="none" w:sz="0" w:space="0" w:color="auto"/>
        <w:right w:val="none" w:sz="0" w:space="0" w:color="auto"/>
      </w:divBdr>
    </w:div>
    <w:div w:id="1787193969">
      <w:bodyDiv w:val="1"/>
      <w:marLeft w:val="0"/>
      <w:marRight w:val="0"/>
      <w:marTop w:val="0"/>
      <w:marBottom w:val="0"/>
      <w:divBdr>
        <w:top w:val="none" w:sz="0" w:space="0" w:color="auto"/>
        <w:left w:val="none" w:sz="0" w:space="0" w:color="auto"/>
        <w:bottom w:val="none" w:sz="0" w:space="0" w:color="auto"/>
        <w:right w:val="none" w:sz="0" w:space="0" w:color="auto"/>
      </w:divBdr>
    </w:div>
    <w:div w:id="1787583892">
      <w:bodyDiv w:val="1"/>
      <w:marLeft w:val="0"/>
      <w:marRight w:val="0"/>
      <w:marTop w:val="0"/>
      <w:marBottom w:val="0"/>
      <w:divBdr>
        <w:top w:val="none" w:sz="0" w:space="0" w:color="auto"/>
        <w:left w:val="none" w:sz="0" w:space="0" w:color="auto"/>
        <w:bottom w:val="none" w:sz="0" w:space="0" w:color="auto"/>
        <w:right w:val="none" w:sz="0" w:space="0" w:color="auto"/>
      </w:divBdr>
    </w:div>
    <w:div w:id="1787655005">
      <w:bodyDiv w:val="1"/>
      <w:marLeft w:val="0"/>
      <w:marRight w:val="0"/>
      <w:marTop w:val="0"/>
      <w:marBottom w:val="0"/>
      <w:divBdr>
        <w:top w:val="none" w:sz="0" w:space="0" w:color="auto"/>
        <w:left w:val="none" w:sz="0" w:space="0" w:color="auto"/>
        <w:bottom w:val="none" w:sz="0" w:space="0" w:color="auto"/>
        <w:right w:val="none" w:sz="0" w:space="0" w:color="auto"/>
      </w:divBdr>
    </w:div>
    <w:div w:id="1788085181">
      <w:bodyDiv w:val="1"/>
      <w:marLeft w:val="0"/>
      <w:marRight w:val="0"/>
      <w:marTop w:val="0"/>
      <w:marBottom w:val="0"/>
      <w:divBdr>
        <w:top w:val="none" w:sz="0" w:space="0" w:color="auto"/>
        <w:left w:val="none" w:sz="0" w:space="0" w:color="auto"/>
        <w:bottom w:val="none" w:sz="0" w:space="0" w:color="auto"/>
        <w:right w:val="none" w:sz="0" w:space="0" w:color="auto"/>
      </w:divBdr>
    </w:div>
    <w:div w:id="1788230637">
      <w:bodyDiv w:val="1"/>
      <w:marLeft w:val="0"/>
      <w:marRight w:val="0"/>
      <w:marTop w:val="0"/>
      <w:marBottom w:val="0"/>
      <w:divBdr>
        <w:top w:val="none" w:sz="0" w:space="0" w:color="auto"/>
        <w:left w:val="none" w:sz="0" w:space="0" w:color="auto"/>
        <w:bottom w:val="none" w:sz="0" w:space="0" w:color="auto"/>
        <w:right w:val="none" w:sz="0" w:space="0" w:color="auto"/>
      </w:divBdr>
    </w:div>
    <w:div w:id="1788698596">
      <w:bodyDiv w:val="1"/>
      <w:marLeft w:val="0"/>
      <w:marRight w:val="0"/>
      <w:marTop w:val="0"/>
      <w:marBottom w:val="0"/>
      <w:divBdr>
        <w:top w:val="none" w:sz="0" w:space="0" w:color="auto"/>
        <w:left w:val="none" w:sz="0" w:space="0" w:color="auto"/>
        <w:bottom w:val="none" w:sz="0" w:space="0" w:color="auto"/>
        <w:right w:val="none" w:sz="0" w:space="0" w:color="auto"/>
      </w:divBdr>
    </w:div>
    <w:div w:id="1789009318">
      <w:bodyDiv w:val="1"/>
      <w:marLeft w:val="0"/>
      <w:marRight w:val="0"/>
      <w:marTop w:val="0"/>
      <w:marBottom w:val="0"/>
      <w:divBdr>
        <w:top w:val="none" w:sz="0" w:space="0" w:color="auto"/>
        <w:left w:val="none" w:sz="0" w:space="0" w:color="auto"/>
        <w:bottom w:val="none" w:sz="0" w:space="0" w:color="auto"/>
        <w:right w:val="none" w:sz="0" w:space="0" w:color="auto"/>
      </w:divBdr>
    </w:div>
    <w:div w:id="1789011003">
      <w:bodyDiv w:val="1"/>
      <w:marLeft w:val="0"/>
      <w:marRight w:val="0"/>
      <w:marTop w:val="0"/>
      <w:marBottom w:val="0"/>
      <w:divBdr>
        <w:top w:val="none" w:sz="0" w:space="0" w:color="auto"/>
        <w:left w:val="none" w:sz="0" w:space="0" w:color="auto"/>
        <w:bottom w:val="none" w:sz="0" w:space="0" w:color="auto"/>
        <w:right w:val="none" w:sz="0" w:space="0" w:color="auto"/>
      </w:divBdr>
    </w:div>
    <w:div w:id="1789155499">
      <w:bodyDiv w:val="1"/>
      <w:marLeft w:val="0"/>
      <w:marRight w:val="0"/>
      <w:marTop w:val="0"/>
      <w:marBottom w:val="0"/>
      <w:divBdr>
        <w:top w:val="none" w:sz="0" w:space="0" w:color="auto"/>
        <w:left w:val="none" w:sz="0" w:space="0" w:color="auto"/>
        <w:bottom w:val="none" w:sz="0" w:space="0" w:color="auto"/>
        <w:right w:val="none" w:sz="0" w:space="0" w:color="auto"/>
      </w:divBdr>
    </w:div>
    <w:div w:id="1789204586">
      <w:bodyDiv w:val="1"/>
      <w:marLeft w:val="0"/>
      <w:marRight w:val="0"/>
      <w:marTop w:val="0"/>
      <w:marBottom w:val="0"/>
      <w:divBdr>
        <w:top w:val="none" w:sz="0" w:space="0" w:color="auto"/>
        <w:left w:val="none" w:sz="0" w:space="0" w:color="auto"/>
        <w:bottom w:val="none" w:sz="0" w:space="0" w:color="auto"/>
        <w:right w:val="none" w:sz="0" w:space="0" w:color="auto"/>
      </w:divBdr>
    </w:div>
    <w:div w:id="1789229092">
      <w:bodyDiv w:val="1"/>
      <w:marLeft w:val="0"/>
      <w:marRight w:val="0"/>
      <w:marTop w:val="0"/>
      <w:marBottom w:val="0"/>
      <w:divBdr>
        <w:top w:val="none" w:sz="0" w:space="0" w:color="auto"/>
        <w:left w:val="none" w:sz="0" w:space="0" w:color="auto"/>
        <w:bottom w:val="none" w:sz="0" w:space="0" w:color="auto"/>
        <w:right w:val="none" w:sz="0" w:space="0" w:color="auto"/>
      </w:divBdr>
    </w:div>
    <w:div w:id="1789546618">
      <w:bodyDiv w:val="1"/>
      <w:marLeft w:val="0"/>
      <w:marRight w:val="0"/>
      <w:marTop w:val="0"/>
      <w:marBottom w:val="0"/>
      <w:divBdr>
        <w:top w:val="none" w:sz="0" w:space="0" w:color="auto"/>
        <w:left w:val="none" w:sz="0" w:space="0" w:color="auto"/>
        <w:bottom w:val="none" w:sz="0" w:space="0" w:color="auto"/>
        <w:right w:val="none" w:sz="0" w:space="0" w:color="auto"/>
      </w:divBdr>
    </w:div>
    <w:div w:id="1789934120">
      <w:bodyDiv w:val="1"/>
      <w:marLeft w:val="0"/>
      <w:marRight w:val="0"/>
      <w:marTop w:val="0"/>
      <w:marBottom w:val="0"/>
      <w:divBdr>
        <w:top w:val="none" w:sz="0" w:space="0" w:color="auto"/>
        <w:left w:val="none" w:sz="0" w:space="0" w:color="auto"/>
        <w:bottom w:val="none" w:sz="0" w:space="0" w:color="auto"/>
        <w:right w:val="none" w:sz="0" w:space="0" w:color="auto"/>
      </w:divBdr>
    </w:div>
    <w:div w:id="1790002153">
      <w:bodyDiv w:val="1"/>
      <w:marLeft w:val="0"/>
      <w:marRight w:val="0"/>
      <w:marTop w:val="0"/>
      <w:marBottom w:val="0"/>
      <w:divBdr>
        <w:top w:val="none" w:sz="0" w:space="0" w:color="auto"/>
        <w:left w:val="none" w:sz="0" w:space="0" w:color="auto"/>
        <w:bottom w:val="none" w:sz="0" w:space="0" w:color="auto"/>
        <w:right w:val="none" w:sz="0" w:space="0" w:color="auto"/>
      </w:divBdr>
    </w:div>
    <w:div w:id="1790007970">
      <w:bodyDiv w:val="1"/>
      <w:marLeft w:val="0"/>
      <w:marRight w:val="0"/>
      <w:marTop w:val="0"/>
      <w:marBottom w:val="0"/>
      <w:divBdr>
        <w:top w:val="none" w:sz="0" w:space="0" w:color="auto"/>
        <w:left w:val="none" w:sz="0" w:space="0" w:color="auto"/>
        <w:bottom w:val="none" w:sz="0" w:space="0" w:color="auto"/>
        <w:right w:val="none" w:sz="0" w:space="0" w:color="auto"/>
      </w:divBdr>
    </w:div>
    <w:div w:id="1790970052">
      <w:bodyDiv w:val="1"/>
      <w:marLeft w:val="0"/>
      <w:marRight w:val="0"/>
      <w:marTop w:val="0"/>
      <w:marBottom w:val="0"/>
      <w:divBdr>
        <w:top w:val="none" w:sz="0" w:space="0" w:color="auto"/>
        <w:left w:val="none" w:sz="0" w:space="0" w:color="auto"/>
        <w:bottom w:val="none" w:sz="0" w:space="0" w:color="auto"/>
        <w:right w:val="none" w:sz="0" w:space="0" w:color="auto"/>
      </w:divBdr>
    </w:div>
    <w:div w:id="1790970465">
      <w:bodyDiv w:val="1"/>
      <w:marLeft w:val="0"/>
      <w:marRight w:val="0"/>
      <w:marTop w:val="0"/>
      <w:marBottom w:val="0"/>
      <w:divBdr>
        <w:top w:val="none" w:sz="0" w:space="0" w:color="auto"/>
        <w:left w:val="none" w:sz="0" w:space="0" w:color="auto"/>
        <w:bottom w:val="none" w:sz="0" w:space="0" w:color="auto"/>
        <w:right w:val="none" w:sz="0" w:space="0" w:color="auto"/>
      </w:divBdr>
    </w:div>
    <w:div w:id="1791045459">
      <w:bodyDiv w:val="1"/>
      <w:marLeft w:val="0"/>
      <w:marRight w:val="0"/>
      <w:marTop w:val="0"/>
      <w:marBottom w:val="0"/>
      <w:divBdr>
        <w:top w:val="none" w:sz="0" w:space="0" w:color="auto"/>
        <w:left w:val="none" w:sz="0" w:space="0" w:color="auto"/>
        <w:bottom w:val="none" w:sz="0" w:space="0" w:color="auto"/>
        <w:right w:val="none" w:sz="0" w:space="0" w:color="auto"/>
      </w:divBdr>
    </w:div>
    <w:div w:id="1791124402">
      <w:bodyDiv w:val="1"/>
      <w:marLeft w:val="0"/>
      <w:marRight w:val="0"/>
      <w:marTop w:val="0"/>
      <w:marBottom w:val="0"/>
      <w:divBdr>
        <w:top w:val="none" w:sz="0" w:space="0" w:color="auto"/>
        <w:left w:val="none" w:sz="0" w:space="0" w:color="auto"/>
        <w:bottom w:val="none" w:sz="0" w:space="0" w:color="auto"/>
        <w:right w:val="none" w:sz="0" w:space="0" w:color="auto"/>
      </w:divBdr>
    </w:div>
    <w:div w:id="1791166635">
      <w:bodyDiv w:val="1"/>
      <w:marLeft w:val="0"/>
      <w:marRight w:val="0"/>
      <w:marTop w:val="0"/>
      <w:marBottom w:val="0"/>
      <w:divBdr>
        <w:top w:val="none" w:sz="0" w:space="0" w:color="auto"/>
        <w:left w:val="none" w:sz="0" w:space="0" w:color="auto"/>
        <w:bottom w:val="none" w:sz="0" w:space="0" w:color="auto"/>
        <w:right w:val="none" w:sz="0" w:space="0" w:color="auto"/>
      </w:divBdr>
    </w:div>
    <w:div w:id="1791321696">
      <w:bodyDiv w:val="1"/>
      <w:marLeft w:val="0"/>
      <w:marRight w:val="0"/>
      <w:marTop w:val="0"/>
      <w:marBottom w:val="0"/>
      <w:divBdr>
        <w:top w:val="none" w:sz="0" w:space="0" w:color="auto"/>
        <w:left w:val="none" w:sz="0" w:space="0" w:color="auto"/>
        <w:bottom w:val="none" w:sz="0" w:space="0" w:color="auto"/>
        <w:right w:val="none" w:sz="0" w:space="0" w:color="auto"/>
      </w:divBdr>
    </w:div>
    <w:div w:id="1791512946">
      <w:bodyDiv w:val="1"/>
      <w:marLeft w:val="0"/>
      <w:marRight w:val="0"/>
      <w:marTop w:val="0"/>
      <w:marBottom w:val="0"/>
      <w:divBdr>
        <w:top w:val="none" w:sz="0" w:space="0" w:color="auto"/>
        <w:left w:val="none" w:sz="0" w:space="0" w:color="auto"/>
        <w:bottom w:val="none" w:sz="0" w:space="0" w:color="auto"/>
        <w:right w:val="none" w:sz="0" w:space="0" w:color="auto"/>
      </w:divBdr>
    </w:div>
    <w:div w:id="1791625175">
      <w:bodyDiv w:val="1"/>
      <w:marLeft w:val="0"/>
      <w:marRight w:val="0"/>
      <w:marTop w:val="0"/>
      <w:marBottom w:val="0"/>
      <w:divBdr>
        <w:top w:val="none" w:sz="0" w:space="0" w:color="auto"/>
        <w:left w:val="none" w:sz="0" w:space="0" w:color="auto"/>
        <w:bottom w:val="none" w:sz="0" w:space="0" w:color="auto"/>
        <w:right w:val="none" w:sz="0" w:space="0" w:color="auto"/>
      </w:divBdr>
    </w:div>
    <w:div w:id="1791777364">
      <w:bodyDiv w:val="1"/>
      <w:marLeft w:val="0"/>
      <w:marRight w:val="0"/>
      <w:marTop w:val="0"/>
      <w:marBottom w:val="0"/>
      <w:divBdr>
        <w:top w:val="none" w:sz="0" w:space="0" w:color="auto"/>
        <w:left w:val="none" w:sz="0" w:space="0" w:color="auto"/>
        <w:bottom w:val="none" w:sz="0" w:space="0" w:color="auto"/>
        <w:right w:val="none" w:sz="0" w:space="0" w:color="auto"/>
      </w:divBdr>
    </w:div>
    <w:div w:id="1791899568">
      <w:bodyDiv w:val="1"/>
      <w:marLeft w:val="0"/>
      <w:marRight w:val="0"/>
      <w:marTop w:val="0"/>
      <w:marBottom w:val="0"/>
      <w:divBdr>
        <w:top w:val="none" w:sz="0" w:space="0" w:color="auto"/>
        <w:left w:val="none" w:sz="0" w:space="0" w:color="auto"/>
        <w:bottom w:val="none" w:sz="0" w:space="0" w:color="auto"/>
        <w:right w:val="none" w:sz="0" w:space="0" w:color="auto"/>
      </w:divBdr>
    </w:div>
    <w:div w:id="1792361166">
      <w:bodyDiv w:val="1"/>
      <w:marLeft w:val="0"/>
      <w:marRight w:val="0"/>
      <w:marTop w:val="0"/>
      <w:marBottom w:val="0"/>
      <w:divBdr>
        <w:top w:val="none" w:sz="0" w:space="0" w:color="auto"/>
        <w:left w:val="none" w:sz="0" w:space="0" w:color="auto"/>
        <w:bottom w:val="none" w:sz="0" w:space="0" w:color="auto"/>
        <w:right w:val="none" w:sz="0" w:space="0" w:color="auto"/>
      </w:divBdr>
    </w:div>
    <w:div w:id="1792438263">
      <w:bodyDiv w:val="1"/>
      <w:marLeft w:val="0"/>
      <w:marRight w:val="0"/>
      <w:marTop w:val="0"/>
      <w:marBottom w:val="0"/>
      <w:divBdr>
        <w:top w:val="none" w:sz="0" w:space="0" w:color="auto"/>
        <w:left w:val="none" w:sz="0" w:space="0" w:color="auto"/>
        <w:bottom w:val="none" w:sz="0" w:space="0" w:color="auto"/>
        <w:right w:val="none" w:sz="0" w:space="0" w:color="auto"/>
      </w:divBdr>
    </w:div>
    <w:div w:id="1792547753">
      <w:bodyDiv w:val="1"/>
      <w:marLeft w:val="0"/>
      <w:marRight w:val="0"/>
      <w:marTop w:val="0"/>
      <w:marBottom w:val="0"/>
      <w:divBdr>
        <w:top w:val="none" w:sz="0" w:space="0" w:color="auto"/>
        <w:left w:val="none" w:sz="0" w:space="0" w:color="auto"/>
        <w:bottom w:val="none" w:sz="0" w:space="0" w:color="auto"/>
        <w:right w:val="none" w:sz="0" w:space="0" w:color="auto"/>
      </w:divBdr>
    </w:div>
    <w:div w:id="1792897423">
      <w:bodyDiv w:val="1"/>
      <w:marLeft w:val="0"/>
      <w:marRight w:val="0"/>
      <w:marTop w:val="0"/>
      <w:marBottom w:val="0"/>
      <w:divBdr>
        <w:top w:val="none" w:sz="0" w:space="0" w:color="auto"/>
        <w:left w:val="none" w:sz="0" w:space="0" w:color="auto"/>
        <w:bottom w:val="none" w:sz="0" w:space="0" w:color="auto"/>
        <w:right w:val="none" w:sz="0" w:space="0" w:color="auto"/>
      </w:divBdr>
    </w:div>
    <w:div w:id="1793092973">
      <w:bodyDiv w:val="1"/>
      <w:marLeft w:val="0"/>
      <w:marRight w:val="0"/>
      <w:marTop w:val="0"/>
      <w:marBottom w:val="0"/>
      <w:divBdr>
        <w:top w:val="none" w:sz="0" w:space="0" w:color="auto"/>
        <w:left w:val="none" w:sz="0" w:space="0" w:color="auto"/>
        <w:bottom w:val="none" w:sz="0" w:space="0" w:color="auto"/>
        <w:right w:val="none" w:sz="0" w:space="0" w:color="auto"/>
      </w:divBdr>
    </w:div>
    <w:div w:id="1793358412">
      <w:bodyDiv w:val="1"/>
      <w:marLeft w:val="0"/>
      <w:marRight w:val="0"/>
      <w:marTop w:val="0"/>
      <w:marBottom w:val="0"/>
      <w:divBdr>
        <w:top w:val="none" w:sz="0" w:space="0" w:color="auto"/>
        <w:left w:val="none" w:sz="0" w:space="0" w:color="auto"/>
        <w:bottom w:val="none" w:sz="0" w:space="0" w:color="auto"/>
        <w:right w:val="none" w:sz="0" w:space="0" w:color="auto"/>
      </w:divBdr>
    </w:div>
    <w:div w:id="1793594697">
      <w:bodyDiv w:val="1"/>
      <w:marLeft w:val="0"/>
      <w:marRight w:val="0"/>
      <w:marTop w:val="0"/>
      <w:marBottom w:val="0"/>
      <w:divBdr>
        <w:top w:val="none" w:sz="0" w:space="0" w:color="auto"/>
        <w:left w:val="none" w:sz="0" w:space="0" w:color="auto"/>
        <w:bottom w:val="none" w:sz="0" w:space="0" w:color="auto"/>
        <w:right w:val="none" w:sz="0" w:space="0" w:color="auto"/>
      </w:divBdr>
    </w:div>
    <w:div w:id="1793741643">
      <w:bodyDiv w:val="1"/>
      <w:marLeft w:val="0"/>
      <w:marRight w:val="0"/>
      <w:marTop w:val="0"/>
      <w:marBottom w:val="0"/>
      <w:divBdr>
        <w:top w:val="none" w:sz="0" w:space="0" w:color="auto"/>
        <w:left w:val="none" w:sz="0" w:space="0" w:color="auto"/>
        <w:bottom w:val="none" w:sz="0" w:space="0" w:color="auto"/>
        <w:right w:val="none" w:sz="0" w:space="0" w:color="auto"/>
      </w:divBdr>
    </w:div>
    <w:div w:id="1793816370">
      <w:bodyDiv w:val="1"/>
      <w:marLeft w:val="0"/>
      <w:marRight w:val="0"/>
      <w:marTop w:val="0"/>
      <w:marBottom w:val="0"/>
      <w:divBdr>
        <w:top w:val="none" w:sz="0" w:space="0" w:color="auto"/>
        <w:left w:val="none" w:sz="0" w:space="0" w:color="auto"/>
        <w:bottom w:val="none" w:sz="0" w:space="0" w:color="auto"/>
        <w:right w:val="none" w:sz="0" w:space="0" w:color="auto"/>
      </w:divBdr>
    </w:div>
    <w:div w:id="1794205936">
      <w:bodyDiv w:val="1"/>
      <w:marLeft w:val="0"/>
      <w:marRight w:val="0"/>
      <w:marTop w:val="0"/>
      <w:marBottom w:val="0"/>
      <w:divBdr>
        <w:top w:val="none" w:sz="0" w:space="0" w:color="auto"/>
        <w:left w:val="none" w:sz="0" w:space="0" w:color="auto"/>
        <w:bottom w:val="none" w:sz="0" w:space="0" w:color="auto"/>
        <w:right w:val="none" w:sz="0" w:space="0" w:color="auto"/>
      </w:divBdr>
    </w:div>
    <w:div w:id="1794321703">
      <w:bodyDiv w:val="1"/>
      <w:marLeft w:val="0"/>
      <w:marRight w:val="0"/>
      <w:marTop w:val="0"/>
      <w:marBottom w:val="0"/>
      <w:divBdr>
        <w:top w:val="none" w:sz="0" w:space="0" w:color="auto"/>
        <w:left w:val="none" w:sz="0" w:space="0" w:color="auto"/>
        <w:bottom w:val="none" w:sz="0" w:space="0" w:color="auto"/>
        <w:right w:val="none" w:sz="0" w:space="0" w:color="auto"/>
      </w:divBdr>
    </w:div>
    <w:div w:id="1794591528">
      <w:bodyDiv w:val="1"/>
      <w:marLeft w:val="0"/>
      <w:marRight w:val="0"/>
      <w:marTop w:val="0"/>
      <w:marBottom w:val="0"/>
      <w:divBdr>
        <w:top w:val="none" w:sz="0" w:space="0" w:color="auto"/>
        <w:left w:val="none" w:sz="0" w:space="0" w:color="auto"/>
        <w:bottom w:val="none" w:sz="0" w:space="0" w:color="auto"/>
        <w:right w:val="none" w:sz="0" w:space="0" w:color="auto"/>
      </w:divBdr>
    </w:div>
    <w:div w:id="1794669865">
      <w:bodyDiv w:val="1"/>
      <w:marLeft w:val="0"/>
      <w:marRight w:val="0"/>
      <w:marTop w:val="0"/>
      <w:marBottom w:val="0"/>
      <w:divBdr>
        <w:top w:val="none" w:sz="0" w:space="0" w:color="auto"/>
        <w:left w:val="none" w:sz="0" w:space="0" w:color="auto"/>
        <w:bottom w:val="none" w:sz="0" w:space="0" w:color="auto"/>
        <w:right w:val="none" w:sz="0" w:space="0" w:color="auto"/>
      </w:divBdr>
    </w:div>
    <w:div w:id="1794863911">
      <w:bodyDiv w:val="1"/>
      <w:marLeft w:val="0"/>
      <w:marRight w:val="0"/>
      <w:marTop w:val="0"/>
      <w:marBottom w:val="0"/>
      <w:divBdr>
        <w:top w:val="none" w:sz="0" w:space="0" w:color="auto"/>
        <w:left w:val="none" w:sz="0" w:space="0" w:color="auto"/>
        <w:bottom w:val="none" w:sz="0" w:space="0" w:color="auto"/>
        <w:right w:val="none" w:sz="0" w:space="0" w:color="auto"/>
      </w:divBdr>
    </w:div>
    <w:div w:id="1795172297">
      <w:bodyDiv w:val="1"/>
      <w:marLeft w:val="0"/>
      <w:marRight w:val="0"/>
      <w:marTop w:val="0"/>
      <w:marBottom w:val="0"/>
      <w:divBdr>
        <w:top w:val="none" w:sz="0" w:space="0" w:color="auto"/>
        <w:left w:val="none" w:sz="0" w:space="0" w:color="auto"/>
        <w:bottom w:val="none" w:sz="0" w:space="0" w:color="auto"/>
        <w:right w:val="none" w:sz="0" w:space="0" w:color="auto"/>
      </w:divBdr>
    </w:div>
    <w:div w:id="1795560078">
      <w:bodyDiv w:val="1"/>
      <w:marLeft w:val="0"/>
      <w:marRight w:val="0"/>
      <w:marTop w:val="0"/>
      <w:marBottom w:val="0"/>
      <w:divBdr>
        <w:top w:val="none" w:sz="0" w:space="0" w:color="auto"/>
        <w:left w:val="none" w:sz="0" w:space="0" w:color="auto"/>
        <w:bottom w:val="none" w:sz="0" w:space="0" w:color="auto"/>
        <w:right w:val="none" w:sz="0" w:space="0" w:color="auto"/>
      </w:divBdr>
    </w:div>
    <w:div w:id="1795708615">
      <w:bodyDiv w:val="1"/>
      <w:marLeft w:val="0"/>
      <w:marRight w:val="0"/>
      <w:marTop w:val="0"/>
      <w:marBottom w:val="0"/>
      <w:divBdr>
        <w:top w:val="none" w:sz="0" w:space="0" w:color="auto"/>
        <w:left w:val="none" w:sz="0" w:space="0" w:color="auto"/>
        <w:bottom w:val="none" w:sz="0" w:space="0" w:color="auto"/>
        <w:right w:val="none" w:sz="0" w:space="0" w:color="auto"/>
      </w:divBdr>
    </w:div>
    <w:div w:id="1795906729">
      <w:bodyDiv w:val="1"/>
      <w:marLeft w:val="0"/>
      <w:marRight w:val="0"/>
      <w:marTop w:val="0"/>
      <w:marBottom w:val="0"/>
      <w:divBdr>
        <w:top w:val="none" w:sz="0" w:space="0" w:color="auto"/>
        <w:left w:val="none" w:sz="0" w:space="0" w:color="auto"/>
        <w:bottom w:val="none" w:sz="0" w:space="0" w:color="auto"/>
        <w:right w:val="none" w:sz="0" w:space="0" w:color="auto"/>
      </w:divBdr>
    </w:div>
    <w:div w:id="1796022775">
      <w:bodyDiv w:val="1"/>
      <w:marLeft w:val="0"/>
      <w:marRight w:val="0"/>
      <w:marTop w:val="0"/>
      <w:marBottom w:val="0"/>
      <w:divBdr>
        <w:top w:val="none" w:sz="0" w:space="0" w:color="auto"/>
        <w:left w:val="none" w:sz="0" w:space="0" w:color="auto"/>
        <w:bottom w:val="none" w:sz="0" w:space="0" w:color="auto"/>
        <w:right w:val="none" w:sz="0" w:space="0" w:color="auto"/>
      </w:divBdr>
    </w:div>
    <w:div w:id="1796554807">
      <w:bodyDiv w:val="1"/>
      <w:marLeft w:val="0"/>
      <w:marRight w:val="0"/>
      <w:marTop w:val="0"/>
      <w:marBottom w:val="0"/>
      <w:divBdr>
        <w:top w:val="none" w:sz="0" w:space="0" w:color="auto"/>
        <w:left w:val="none" w:sz="0" w:space="0" w:color="auto"/>
        <w:bottom w:val="none" w:sz="0" w:space="0" w:color="auto"/>
        <w:right w:val="none" w:sz="0" w:space="0" w:color="auto"/>
      </w:divBdr>
    </w:div>
    <w:div w:id="1796942617">
      <w:bodyDiv w:val="1"/>
      <w:marLeft w:val="0"/>
      <w:marRight w:val="0"/>
      <w:marTop w:val="0"/>
      <w:marBottom w:val="0"/>
      <w:divBdr>
        <w:top w:val="none" w:sz="0" w:space="0" w:color="auto"/>
        <w:left w:val="none" w:sz="0" w:space="0" w:color="auto"/>
        <w:bottom w:val="none" w:sz="0" w:space="0" w:color="auto"/>
        <w:right w:val="none" w:sz="0" w:space="0" w:color="auto"/>
      </w:divBdr>
    </w:div>
    <w:div w:id="1797024802">
      <w:bodyDiv w:val="1"/>
      <w:marLeft w:val="0"/>
      <w:marRight w:val="0"/>
      <w:marTop w:val="0"/>
      <w:marBottom w:val="0"/>
      <w:divBdr>
        <w:top w:val="none" w:sz="0" w:space="0" w:color="auto"/>
        <w:left w:val="none" w:sz="0" w:space="0" w:color="auto"/>
        <w:bottom w:val="none" w:sz="0" w:space="0" w:color="auto"/>
        <w:right w:val="none" w:sz="0" w:space="0" w:color="auto"/>
      </w:divBdr>
    </w:div>
    <w:div w:id="1798180155">
      <w:bodyDiv w:val="1"/>
      <w:marLeft w:val="0"/>
      <w:marRight w:val="0"/>
      <w:marTop w:val="0"/>
      <w:marBottom w:val="0"/>
      <w:divBdr>
        <w:top w:val="none" w:sz="0" w:space="0" w:color="auto"/>
        <w:left w:val="none" w:sz="0" w:space="0" w:color="auto"/>
        <w:bottom w:val="none" w:sz="0" w:space="0" w:color="auto"/>
        <w:right w:val="none" w:sz="0" w:space="0" w:color="auto"/>
      </w:divBdr>
    </w:div>
    <w:div w:id="1799180823">
      <w:bodyDiv w:val="1"/>
      <w:marLeft w:val="0"/>
      <w:marRight w:val="0"/>
      <w:marTop w:val="0"/>
      <w:marBottom w:val="0"/>
      <w:divBdr>
        <w:top w:val="none" w:sz="0" w:space="0" w:color="auto"/>
        <w:left w:val="none" w:sz="0" w:space="0" w:color="auto"/>
        <w:bottom w:val="none" w:sz="0" w:space="0" w:color="auto"/>
        <w:right w:val="none" w:sz="0" w:space="0" w:color="auto"/>
      </w:divBdr>
    </w:div>
    <w:div w:id="1799181324">
      <w:bodyDiv w:val="1"/>
      <w:marLeft w:val="0"/>
      <w:marRight w:val="0"/>
      <w:marTop w:val="0"/>
      <w:marBottom w:val="0"/>
      <w:divBdr>
        <w:top w:val="none" w:sz="0" w:space="0" w:color="auto"/>
        <w:left w:val="none" w:sz="0" w:space="0" w:color="auto"/>
        <w:bottom w:val="none" w:sz="0" w:space="0" w:color="auto"/>
        <w:right w:val="none" w:sz="0" w:space="0" w:color="auto"/>
      </w:divBdr>
    </w:div>
    <w:div w:id="1799228139">
      <w:bodyDiv w:val="1"/>
      <w:marLeft w:val="0"/>
      <w:marRight w:val="0"/>
      <w:marTop w:val="0"/>
      <w:marBottom w:val="0"/>
      <w:divBdr>
        <w:top w:val="none" w:sz="0" w:space="0" w:color="auto"/>
        <w:left w:val="none" w:sz="0" w:space="0" w:color="auto"/>
        <w:bottom w:val="none" w:sz="0" w:space="0" w:color="auto"/>
        <w:right w:val="none" w:sz="0" w:space="0" w:color="auto"/>
      </w:divBdr>
    </w:div>
    <w:div w:id="1799764984">
      <w:bodyDiv w:val="1"/>
      <w:marLeft w:val="0"/>
      <w:marRight w:val="0"/>
      <w:marTop w:val="0"/>
      <w:marBottom w:val="0"/>
      <w:divBdr>
        <w:top w:val="none" w:sz="0" w:space="0" w:color="auto"/>
        <w:left w:val="none" w:sz="0" w:space="0" w:color="auto"/>
        <w:bottom w:val="none" w:sz="0" w:space="0" w:color="auto"/>
        <w:right w:val="none" w:sz="0" w:space="0" w:color="auto"/>
      </w:divBdr>
    </w:div>
    <w:div w:id="1800300322">
      <w:bodyDiv w:val="1"/>
      <w:marLeft w:val="0"/>
      <w:marRight w:val="0"/>
      <w:marTop w:val="0"/>
      <w:marBottom w:val="0"/>
      <w:divBdr>
        <w:top w:val="none" w:sz="0" w:space="0" w:color="auto"/>
        <w:left w:val="none" w:sz="0" w:space="0" w:color="auto"/>
        <w:bottom w:val="none" w:sz="0" w:space="0" w:color="auto"/>
        <w:right w:val="none" w:sz="0" w:space="0" w:color="auto"/>
      </w:divBdr>
    </w:div>
    <w:div w:id="1800371453">
      <w:bodyDiv w:val="1"/>
      <w:marLeft w:val="0"/>
      <w:marRight w:val="0"/>
      <w:marTop w:val="0"/>
      <w:marBottom w:val="0"/>
      <w:divBdr>
        <w:top w:val="none" w:sz="0" w:space="0" w:color="auto"/>
        <w:left w:val="none" w:sz="0" w:space="0" w:color="auto"/>
        <w:bottom w:val="none" w:sz="0" w:space="0" w:color="auto"/>
        <w:right w:val="none" w:sz="0" w:space="0" w:color="auto"/>
      </w:divBdr>
    </w:div>
    <w:div w:id="1801604310">
      <w:bodyDiv w:val="1"/>
      <w:marLeft w:val="0"/>
      <w:marRight w:val="0"/>
      <w:marTop w:val="0"/>
      <w:marBottom w:val="0"/>
      <w:divBdr>
        <w:top w:val="none" w:sz="0" w:space="0" w:color="auto"/>
        <w:left w:val="none" w:sz="0" w:space="0" w:color="auto"/>
        <w:bottom w:val="none" w:sz="0" w:space="0" w:color="auto"/>
        <w:right w:val="none" w:sz="0" w:space="0" w:color="auto"/>
      </w:divBdr>
    </w:div>
    <w:div w:id="1801611420">
      <w:bodyDiv w:val="1"/>
      <w:marLeft w:val="0"/>
      <w:marRight w:val="0"/>
      <w:marTop w:val="0"/>
      <w:marBottom w:val="0"/>
      <w:divBdr>
        <w:top w:val="none" w:sz="0" w:space="0" w:color="auto"/>
        <w:left w:val="none" w:sz="0" w:space="0" w:color="auto"/>
        <w:bottom w:val="none" w:sz="0" w:space="0" w:color="auto"/>
        <w:right w:val="none" w:sz="0" w:space="0" w:color="auto"/>
      </w:divBdr>
    </w:div>
    <w:div w:id="1801724873">
      <w:bodyDiv w:val="1"/>
      <w:marLeft w:val="0"/>
      <w:marRight w:val="0"/>
      <w:marTop w:val="0"/>
      <w:marBottom w:val="0"/>
      <w:divBdr>
        <w:top w:val="none" w:sz="0" w:space="0" w:color="auto"/>
        <w:left w:val="none" w:sz="0" w:space="0" w:color="auto"/>
        <w:bottom w:val="none" w:sz="0" w:space="0" w:color="auto"/>
        <w:right w:val="none" w:sz="0" w:space="0" w:color="auto"/>
      </w:divBdr>
    </w:div>
    <w:div w:id="1802384821">
      <w:bodyDiv w:val="1"/>
      <w:marLeft w:val="0"/>
      <w:marRight w:val="0"/>
      <w:marTop w:val="0"/>
      <w:marBottom w:val="0"/>
      <w:divBdr>
        <w:top w:val="none" w:sz="0" w:space="0" w:color="auto"/>
        <w:left w:val="none" w:sz="0" w:space="0" w:color="auto"/>
        <w:bottom w:val="none" w:sz="0" w:space="0" w:color="auto"/>
        <w:right w:val="none" w:sz="0" w:space="0" w:color="auto"/>
      </w:divBdr>
    </w:div>
    <w:div w:id="1802572946">
      <w:bodyDiv w:val="1"/>
      <w:marLeft w:val="0"/>
      <w:marRight w:val="0"/>
      <w:marTop w:val="0"/>
      <w:marBottom w:val="0"/>
      <w:divBdr>
        <w:top w:val="none" w:sz="0" w:space="0" w:color="auto"/>
        <w:left w:val="none" w:sz="0" w:space="0" w:color="auto"/>
        <w:bottom w:val="none" w:sz="0" w:space="0" w:color="auto"/>
        <w:right w:val="none" w:sz="0" w:space="0" w:color="auto"/>
      </w:divBdr>
    </w:div>
    <w:div w:id="1802646801">
      <w:bodyDiv w:val="1"/>
      <w:marLeft w:val="0"/>
      <w:marRight w:val="0"/>
      <w:marTop w:val="0"/>
      <w:marBottom w:val="0"/>
      <w:divBdr>
        <w:top w:val="none" w:sz="0" w:space="0" w:color="auto"/>
        <w:left w:val="none" w:sz="0" w:space="0" w:color="auto"/>
        <w:bottom w:val="none" w:sz="0" w:space="0" w:color="auto"/>
        <w:right w:val="none" w:sz="0" w:space="0" w:color="auto"/>
      </w:divBdr>
    </w:div>
    <w:div w:id="1803422981">
      <w:bodyDiv w:val="1"/>
      <w:marLeft w:val="0"/>
      <w:marRight w:val="0"/>
      <w:marTop w:val="0"/>
      <w:marBottom w:val="0"/>
      <w:divBdr>
        <w:top w:val="none" w:sz="0" w:space="0" w:color="auto"/>
        <w:left w:val="none" w:sz="0" w:space="0" w:color="auto"/>
        <w:bottom w:val="none" w:sz="0" w:space="0" w:color="auto"/>
        <w:right w:val="none" w:sz="0" w:space="0" w:color="auto"/>
      </w:divBdr>
    </w:div>
    <w:div w:id="1803620633">
      <w:bodyDiv w:val="1"/>
      <w:marLeft w:val="0"/>
      <w:marRight w:val="0"/>
      <w:marTop w:val="0"/>
      <w:marBottom w:val="0"/>
      <w:divBdr>
        <w:top w:val="none" w:sz="0" w:space="0" w:color="auto"/>
        <w:left w:val="none" w:sz="0" w:space="0" w:color="auto"/>
        <w:bottom w:val="none" w:sz="0" w:space="0" w:color="auto"/>
        <w:right w:val="none" w:sz="0" w:space="0" w:color="auto"/>
      </w:divBdr>
    </w:div>
    <w:div w:id="1803965192">
      <w:bodyDiv w:val="1"/>
      <w:marLeft w:val="0"/>
      <w:marRight w:val="0"/>
      <w:marTop w:val="0"/>
      <w:marBottom w:val="0"/>
      <w:divBdr>
        <w:top w:val="none" w:sz="0" w:space="0" w:color="auto"/>
        <w:left w:val="none" w:sz="0" w:space="0" w:color="auto"/>
        <w:bottom w:val="none" w:sz="0" w:space="0" w:color="auto"/>
        <w:right w:val="none" w:sz="0" w:space="0" w:color="auto"/>
      </w:divBdr>
    </w:div>
    <w:div w:id="1804540975">
      <w:bodyDiv w:val="1"/>
      <w:marLeft w:val="0"/>
      <w:marRight w:val="0"/>
      <w:marTop w:val="0"/>
      <w:marBottom w:val="0"/>
      <w:divBdr>
        <w:top w:val="none" w:sz="0" w:space="0" w:color="auto"/>
        <w:left w:val="none" w:sz="0" w:space="0" w:color="auto"/>
        <w:bottom w:val="none" w:sz="0" w:space="0" w:color="auto"/>
        <w:right w:val="none" w:sz="0" w:space="0" w:color="auto"/>
      </w:divBdr>
    </w:div>
    <w:div w:id="1805073656">
      <w:bodyDiv w:val="1"/>
      <w:marLeft w:val="0"/>
      <w:marRight w:val="0"/>
      <w:marTop w:val="0"/>
      <w:marBottom w:val="0"/>
      <w:divBdr>
        <w:top w:val="none" w:sz="0" w:space="0" w:color="auto"/>
        <w:left w:val="none" w:sz="0" w:space="0" w:color="auto"/>
        <w:bottom w:val="none" w:sz="0" w:space="0" w:color="auto"/>
        <w:right w:val="none" w:sz="0" w:space="0" w:color="auto"/>
      </w:divBdr>
    </w:div>
    <w:div w:id="1805537749">
      <w:bodyDiv w:val="1"/>
      <w:marLeft w:val="0"/>
      <w:marRight w:val="0"/>
      <w:marTop w:val="0"/>
      <w:marBottom w:val="0"/>
      <w:divBdr>
        <w:top w:val="none" w:sz="0" w:space="0" w:color="auto"/>
        <w:left w:val="none" w:sz="0" w:space="0" w:color="auto"/>
        <w:bottom w:val="none" w:sz="0" w:space="0" w:color="auto"/>
        <w:right w:val="none" w:sz="0" w:space="0" w:color="auto"/>
      </w:divBdr>
    </w:div>
    <w:div w:id="1805654255">
      <w:bodyDiv w:val="1"/>
      <w:marLeft w:val="0"/>
      <w:marRight w:val="0"/>
      <w:marTop w:val="0"/>
      <w:marBottom w:val="0"/>
      <w:divBdr>
        <w:top w:val="none" w:sz="0" w:space="0" w:color="auto"/>
        <w:left w:val="none" w:sz="0" w:space="0" w:color="auto"/>
        <w:bottom w:val="none" w:sz="0" w:space="0" w:color="auto"/>
        <w:right w:val="none" w:sz="0" w:space="0" w:color="auto"/>
      </w:divBdr>
    </w:div>
    <w:div w:id="1806579336">
      <w:bodyDiv w:val="1"/>
      <w:marLeft w:val="0"/>
      <w:marRight w:val="0"/>
      <w:marTop w:val="0"/>
      <w:marBottom w:val="0"/>
      <w:divBdr>
        <w:top w:val="none" w:sz="0" w:space="0" w:color="auto"/>
        <w:left w:val="none" w:sz="0" w:space="0" w:color="auto"/>
        <w:bottom w:val="none" w:sz="0" w:space="0" w:color="auto"/>
        <w:right w:val="none" w:sz="0" w:space="0" w:color="auto"/>
      </w:divBdr>
    </w:div>
    <w:div w:id="1806580973">
      <w:bodyDiv w:val="1"/>
      <w:marLeft w:val="0"/>
      <w:marRight w:val="0"/>
      <w:marTop w:val="0"/>
      <w:marBottom w:val="0"/>
      <w:divBdr>
        <w:top w:val="none" w:sz="0" w:space="0" w:color="auto"/>
        <w:left w:val="none" w:sz="0" w:space="0" w:color="auto"/>
        <w:bottom w:val="none" w:sz="0" w:space="0" w:color="auto"/>
        <w:right w:val="none" w:sz="0" w:space="0" w:color="auto"/>
      </w:divBdr>
    </w:div>
    <w:div w:id="1806848158">
      <w:bodyDiv w:val="1"/>
      <w:marLeft w:val="0"/>
      <w:marRight w:val="0"/>
      <w:marTop w:val="0"/>
      <w:marBottom w:val="0"/>
      <w:divBdr>
        <w:top w:val="none" w:sz="0" w:space="0" w:color="auto"/>
        <w:left w:val="none" w:sz="0" w:space="0" w:color="auto"/>
        <w:bottom w:val="none" w:sz="0" w:space="0" w:color="auto"/>
        <w:right w:val="none" w:sz="0" w:space="0" w:color="auto"/>
      </w:divBdr>
    </w:div>
    <w:div w:id="1807157602">
      <w:bodyDiv w:val="1"/>
      <w:marLeft w:val="0"/>
      <w:marRight w:val="0"/>
      <w:marTop w:val="0"/>
      <w:marBottom w:val="0"/>
      <w:divBdr>
        <w:top w:val="none" w:sz="0" w:space="0" w:color="auto"/>
        <w:left w:val="none" w:sz="0" w:space="0" w:color="auto"/>
        <w:bottom w:val="none" w:sz="0" w:space="0" w:color="auto"/>
        <w:right w:val="none" w:sz="0" w:space="0" w:color="auto"/>
      </w:divBdr>
    </w:div>
    <w:div w:id="1807358187">
      <w:bodyDiv w:val="1"/>
      <w:marLeft w:val="0"/>
      <w:marRight w:val="0"/>
      <w:marTop w:val="0"/>
      <w:marBottom w:val="0"/>
      <w:divBdr>
        <w:top w:val="none" w:sz="0" w:space="0" w:color="auto"/>
        <w:left w:val="none" w:sz="0" w:space="0" w:color="auto"/>
        <w:bottom w:val="none" w:sz="0" w:space="0" w:color="auto"/>
        <w:right w:val="none" w:sz="0" w:space="0" w:color="auto"/>
      </w:divBdr>
    </w:div>
    <w:div w:id="1807383477">
      <w:bodyDiv w:val="1"/>
      <w:marLeft w:val="0"/>
      <w:marRight w:val="0"/>
      <w:marTop w:val="0"/>
      <w:marBottom w:val="0"/>
      <w:divBdr>
        <w:top w:val="none" w:sz="0" w:space="0" w:color="auto"/>
        <w:left w:val="none" w:sz="0" w:space="0" w:color="auto"/>
        <w:bottom w:val="none" w:sz="0" w:space="0" w:color="auto"/>
        <w:right w:val="none" w:sz="0" w:space="0" w:color="auto"/>
      </w:divBdr>
    </w:div>
    <w:div w:id="1807971118">
      <w:bodyDiv w:val="1"/>
      <w:marLeft w:val="0"/>
      <w:marRight w:val="0"/>
      <w:marTop w:val="0"/>
      <w:marBottom w:val="0"/>
      <w:divBdr>
        <w:top w:val="none" w:sz="0" w:space="0" w:color="auto"/>
        <w:left w:val="none" w:sz="0" w:space="0" w:color="auto"/>
        <w:bottom w:val="none" w:sz="0" w:space="0" w:color="auto"/>
        <w:right w:val="none" w:sz="0" w:space="0" w:color="auto"/>
      </w:divBdr>
    </w:div>
    <w:div w:id="1808038840">
      <w:bodyDiv w:val="1"/>
      <w:marLeft w:val="0"/>
      <w:marRight w:val="0"/>
      <w:marTop w:val="0"/>
      <w:marBottom w:val="0"/>
      <w:divBdr>
        <w:top w:val="none" w:sz="0" w:space="0" w:color="auto"/>
        <w:left w:val="none" w:sz="0" w:space="0" w:color="auto"/>
        <w:bottom w:val="none" w:sz="0" w:space="0" w:color="auto"/>
        <w:right w:val="none" w:sz="0" w:space="0" w:color="auto"/>
      </w:divBdr>
    </w:div>
    <w:div w:id="1808738899">
      <w:bodyDiv w:val="1"/>
      <w:marLeft w:val="0"/>
      <w:marRight w:val="0"/>
      <w:marTop w:val="0"/>
      <w:marBottom w:val="0"/>
      <w:divBdr>
        <w:top w:val="none" w:sz="0" w:space="0" w:color="auto"/>
        <w:left w:val="none" w:sz="0" w:space="0" w:color="auto"/>
        <w:bottom w:val="none" w:sz="0" w:space="0" w:color="auto"/>
        <w:right w:val="none" w:sz="0" w:space="0" w:color="auto"/>
      </w:divBdr>
    </w:div>
    <w:div w:id="1808887170">
      <w:bodyDiv w:val="1"/>
      <w:marLeft w:val="0"/>
      <w:marRight w:val="0"/>
      <w:marTop w:val="0"/>
      <w:marBottom w:val="0"/>
      <w:divBdr>
        <w:top w:val="none" w:sz="0" w:space="0" w:color="auto"/>
        <w:left w:val="none" w:sz="0" w:space="0" w:color="auto"/>
        <w:bottom w:val="none" w:sz="0" w:space="0" w:color="auto"/>
        <w:right w:val="none" w:sz="0" w:space="0" w:color="auto"/>
      </w:divBdr>
    </w:div>
    <w:div w:id="1809476379">
      <w:bodyDiv w:val="1"/>
      <w:marLeft w:val="0"/>
      <w:marRight w:val="0"/>
      <w:marTop w:val="0"/>
      <w:marBottom w:val="0"/>
      <w:divBdr>
        <w:top w:val="none" w:sz="0" w:space="0" w:color="auto"/>
        <w:left w:val="none" w:sz="0" w:space="0" w:color="auto"/>
        <w:bottom w:val="none" w:sz="0" w:space="0" w:color="auto"/>
        <w:right w:val="none" w:sz="0" w:space="0" w:color="auto"/>
      </w:divBdr>
    </w:div>
    <w:div w:id="1809778057">
      <w:bodyDiv w:val="1"/>
      <w:marLeft w:val="0"/>
      <w:marRight w:val="0"/>
      <w:marTop w:val="0"/>
      <w:marBottom w:val="0"/>
      <w:divBdr>
        <w:top w:val="none" w:sz="0" w:space="0" w:color="auto"/>
        <w:left w:val="none" w:sz="0" w:space="0" w:color="auto"/>
        <w:bottom w:val="none" w:sz="0" w:space="0" w:color="auto"/>
        <w:right w:val="none" w:sz="0" w:space="0" w:color="auto"/>
      </w:divBdr>
    </w:div>
    <w:div w:id="1810975595">
      <w:bodyDiv w:val="1"/>
      <w:marLeft w:val="0"/>
      <w:marRight w:val="0"/>
      <w:marTop w:val="0"/>
      <w:marBottom w:val="0"/>
      <w:divBdr>
        <w:top w:val="none" w:sz="0" w:space="0" w:color="auto"/>
        <w:left w:val="none" w:sz="0" w:space="0" w:color="auto"/>
        <w:bottom w:val="none" w:sz="0" w:space="0" w:color="auto"/>
        <w:right w:val="none" w:sz="0" w:space="0" w:color="auto"/>
      </w:divBdr>
    </w:div>
    <w:div w:id="1811049319">
      <w:bodyDiv w:val="1"/>
      <w:marLeft w:val="0"/>
      <w:marRight w:val="0"/>
      <w:marTop w:val="0"/>
      <w:marBottom w:val="0"/>
      <w:divBdr>
        <w:top w:val="none" w:sz="0" w:space="0" w:color="auto"/>
        <w:left w:val="none" w:sz="0" w:space="0" w:color="auto"/>
        <w:bottom w:val="none" w:sz="0" w:space="0" w:color="auto"/>
        <w:right w:val="none" w:sz="0" w:space="0" w:color="auto"/>
      </w:divBdr>
    </w:div>
    <w:div w:id="1811240960">
      <w:bodyDiv w:val="1"/>
      <w:marLeft w:val="0"/>
      <w:marRight w:val="0"/>
      <w:marTop w:val="0"/>
      <w:marBottom w:val="0"/>
      <w:divBdr>
        <w:top w:val="none" w:sz="0" w:space="0" w:color="auto"/>
        <w:left w:val="none" w:sz="0" w:space="0" w:color="auto"/>
        <w:bottom w:val="none" w:sz="0" w:space="0" w:color="auto"/>
        <w:right w:val="none" w:sz="0" w:space="0" w:color="auto"/>
      </w:divBdr>
    </w:div>
    <w:div w:id="1811241915">
      <w:bodyDiv w:val="1"/>
      <w:marLeft w:val="0"/>
      <w:marRight w:val="0"/>
      <w:marTop w:val="0"/>
      <w:marBottom w:val="0"/>
      <w:divBdr>
        <w:top w:val="none" w:sz="0" w:space="0" w:color="auto"/>
        <w:left w:val="none" w:sz="0" w:space="0" w:color="auto"/>
        <w:bottom w:val="none" w:sz="0" w:space="0" w:color="auto"/>
        <w:right w:val="none" w:sz="0" w:space="0" w:color="auto"/>
      </w:divBdr>
    </w:div>
    <w:div w:id="1811706625">
      <w:bodyDiv w:val="1"/>
      <w:marLeft w:val="0"/>
      <w:marRight w:val="0"/>
      <w:marTop w:val="0"/>
      <w:marBottom w:val="0"/>
      <w:divBdr>
        <w:top w:val="none" w:sz="0" w:space="0" w:color="auto"/>
        <w:left w:val="none" w:sz="0" w:space="0" w:color="auto"/>
        <w:bottom w:val="none" w:sz="0" w:space="0" w:color="auto"/>
        <w:right w:val="none" w:sz="0" w:space="0" w:color="auto"/>
      </w:divBdr>
    </w:div>
    <w:div w:id="1811944779">
      <w:bodyDiv w:val="1"/>
      <w:marLeft w:val="0"/>
      <w:marRight w:val="0"/>
      <w:marTop w:val="0"/>
      <w:marBottom w:val="0"/>
      <w:divBdr>
        <w:top w:val="none" w:sz="0" w:space="0" w:color="auto"/>
        <w:left w:val="none" w:sz="0" w:space="0" w:color="auto"/>
        <w:bottom w:val="none" w:sz="0" w:space="0" w:color="auto"/>
        <w:right w:val="none" w:sz="0" w:space="0" w:color="auto"/>
      </w:divBdr>
    </w:div>
    <w:div w:id="1812017616">
      <w:bodyDiv w:val="1"/>
      <w:marLeft w:val="0"/>
      <w:marRight w:val="0"/>
      <w:marTop w:val="0"/>
      <w:marBottom w:val="0"/>
      <w:divBdr>
        <w:top w:val="none" w:sz="0" w:space="0" w:color="auto"/>
        <w:left w:val="none" w:sz="0" w:space="0" w:color="auto"/>
        <w:bottom w:val="none" w:sz="0" w:space="0" w:color="auto"/>
        <w:right w:val="none" w:sz="0" w:space="0" w:color="auto"/>
      </w:divBdr>
    </w:div>
    <w:div w:id="1812479651">
      <w:bodyDiv w:val="1"/>
      <w:marLeft w:val="0"/>
      <w:marRight w:val="0"/>
      <w:marTop w:val="0"/>
      <w:marBottom w:val="0"/>
      <w:divBdr>
        <w:top w:val="none" w:sz="0" w:space="0" w:color="auto"/>
        <w:left w:val="none" w:sz="0" w:space="0" w:color="auto"/>
        <w:bottom w:val="none" w:sz="0" w:space="0" w:color="auto"/>
        <w:right w:val="none" w:sz="0" w:space="0" w:color="auto"/>
      </w:divBdr>
    </w:div>
    <w:div w:id="1812669377">
      <w:bodyDiv w:val="1"/>
      <w:marLeft w:val="0"/>
      <w:marRight w:val="0"/>
      <w:marTop w:val="0"/>
      <w:marBottom w:val="0"/>
      <w:divBdr>
        <w:top w:val="none" w:sz="0" w:space="0" w:color="auto"/>
        <w:left w:val="none" w:sz="0" w:space="0" w:color="auto"/>
        <w:bottom w:val="none" w:sz="0" w:space="0" w:color="auto"/>
        <w:right w:val="none" w:sz="0" w:space="0" w:color="auto"/>
      </w:divBdr>
    </w:div>
    <w:div w:id="1813404437">
      <w:bodyDiv w:val="1"/>
      <w:marLeft w:val="0"/>
      <w:marRight w:val="0"/>
      <w:marTop w:val="0"/>
      <w:marBottom w:val="0"/>
      <w:divBdr>
        <w:top w:val="none" w:sz="0" w:space="0" w:color="auto"/>
        <w:left w:val="none" w:sz="0" w:space="0" w:color="auto"/>
        <w:bottom w:val="none" w:sz="0" w:space="0" w:color="auto"/>
        <w:right w:val="none" w:sz="0" w:space="0" w:color="auto"/>
      </w:divBdr>
    </w:div>
    <w:div w:id="1814521383">
      <w:bodyDiv w:val="1"/>
      <w:marLeft w:val="0"/>
      <w:marRight w:val="0"/>
      <w:marTop w:val="0"/>
      <w:marBottom w:val="0"/>
      <w:divBdr>
        <w:top w:val="none" w:sz="0" w:space="0" w:color="auto"/>
        <w:left w:val="none" w:sz="0" w:space="0" w:color="auto"/>
        <w:bottom w:val="none" w:sz="0" w:space="0" w:color="auto"/>
        <w:right w:val="none" w:sz="0" w:space="0" w:color="auto"/>
      </w:divBdr>
    </w:div>
    <w:div w:id="1814635481">
      <w:bodyDiv w:val="1"/>
      <w:marLeft w:val="0"/>
      <w:marRight w:val="0"/>
      <w:marTop w:val="0"/>
      <w:marBottom w:val="0"/>
      <w:divBdr>
        <w:top w:val="none" w:sz="0" w:space="0" w:color="auto"/>
        <w:left w:val="none" w:sz="0" w:space="0" w:color="auto"/>
        <w:bottom w:val="none" w:sz="0" w:space="0" w:color="auto"/>
        <w:right w:val="none" w:sz="0" w:space="0" w:color="auto"/>
      </w:divBdr>
    </w:div>
    <w:div w:id="1814909166">
      <w:bodyDiv w:val="1"/>
      <w:marLeft w:val="0"/>
      <w:marRight w:val="0"/>
      <w:marTop w:val="0"/>
      <w:marBottom w:val="0"/>
      <w:divBdr>
        <w:top w:val="none" w:sz="0" w:space="0" w:color="auto"/>
        <w:left w:val="none" w:sz="0" w:space="0" w:color="auto"/>
        <w:bottom w:val="none" w:sz="0" w:space="0" w:color="auto"/>
        <w:right w:val="none" w:sz="0" w:space="0" w:color="auto"/>
      </w:divBdr>
    </w:div>
    <w:div w:id="1815028750">
      <w:bodyDiv w:val="1"/>
      <w:marLeft w:val="0"/>
      <w:marRight w:val="0"/>
      <w:marTop w:val="0"/>
      <w:marBottom w:val="0"/>
      <w:divBdr>
        <w:top w:val="none" w:sz="0" w:space="0" w:color="auto"/>
        <w:left w:val="none" w:sz="0" w:space="0" w:color="auto"/>
        <w:bottom w:val="none" w:sz="0" w:space="0" w:color="auto"/>
        <w:right w:val="none" w:sz="0" w:space="0" w:color="auto"/>
      </w:divBdr>
    </w:div>
    <w:div w:id="1815171696">
      <w:bodyDiv w:val="1"/>
      <w:marLeft w:val="0"/>
      <w:marRight w:val="0"/>
      <w:marTop w:val="0"/>
      <w:marBottom w:val="0"/>
      <w:divBdr>
        <w:top w:val="none" w:sz="0" w:space="0" w:color="auto"/>
        <w:left w:val="none" w:sz="0" w:space="0" w:color="auto"/>
        <w:bottom w:val="none" w:sz="0" w:space="0" w:color="auto"/>
        <w:right w:val="none" w:sz="0" w:space="0" w:color="auto"/>
      </w:divBdr>
    </w:div>
    <w:div w:id="1815368178">
      <w:bodyDiv w:val="1"/>
      <w:marLeft w:val="0"/>
      <w:marRight w:val="0"/>
      <w:marTop w:val="0"/>
      <w:marBottom w:val="0"/>
      <w:divBdr>
        <w:top w:val="none" w:sz="0" w:space="0" w:color="auto"/>
        <w:left w:val="none" w:sz="0" w:space="0" w:color="auto"/>
        <w:bottom w:val="none" w:sz="0" w:space="0" w:color="auto"/>
        <w:right w:val="none" w:sz="0" w:space="0" w:color="auto"/>
      </w:divBdr>
    </w:div>
    <w:div w:id="1815563963">
      <w:bodyDiv w:val="1"/>
      <w:marLeft w:val="0"/>
      <w:marRight w:val="0"/>
      <w:marTop w:val="0"/>
      <w:marBottom w:val="0"/>
      <w:divBdr>
        <w:top w:val="none" w:sz="0" w:space="0" w:color="auto"/>
        <w:left w:val="none" w:sz="0" w:space="0" w:color="auto"/>
        <w:bottom w:val="none" w:sz="0" w:space="0" w:color="auto"/>
        <w:right w:val="none" w:sz="0" w:space="0" w:color="auto"/>
      </w:divBdr>
    </w:div>
    <w:div w:id="1816483032">
      <w:bodyDiv w:val="1"/>
      <w:marLeft w:val="0"/>
      <w:marRight w:val="0"/>
      <w:marTop w:val="0"/>
      <w:marBottom w:val="0"/>
      <w:divBdr>
        <w:top w:val="none" w:sz="0" w:space="0" w:color="auto"/>
        <w:left w:val="none" w:sz="0" w:space="0" w:color="auto"/>
        <w:bottom w:val="none" w:sz="0" w:space="0" w:color="auto"/>
        <w:right w:val="none" w:sz="0" w:space="0" w:color="auto"/>
      </w:divBdr>
    </w:div>
    <w:div w:id="1816489657">
      <w:bodyDiv w:val="1"/>
      <w:marLeft w:val="0"/>
      <w:marRight w:val="0"/>
      <w:marTop w:val="0"/>
      <w:marBottom w:val="0"/>
      <w:divBdr>
        <w:top w:val="none" w:sz="0" w:space="0" w:color="auto"/>
        <w:left w:val="none" w:sz="0" w:space="0" w:color="auto"/>
        <w:bottom w:val="none" w:sz="0" w:space="0" w:color="auto"/>
        <w:right w:val="none" w:sz="0" w:space="0" w:color="auto"/>
      </w:divBdr>
    </w:div>
    <w:div w:id="1816490193">
      <w:bodyDiv w:val="1"/>
      <w:marLeft w:val="0"/>
      <w:marRight w:val="0"/>
      <w:marTop w:val="0"/>
      <w:marBottom w:val="0"/>
      <w:divBdr>
        <w:top w:val="none" w:sz="0" w:space="0" w:color="auto"/>
        <w:left w:val="none" w:sz="0" w:space="0" w:color="auto"/>
        <w:bottom w:val="none" w:sz="0" w:space="0" w:color="auto"/>
        <w:right w:val="none" w:sz="0" w:space="0" w:color="auto"/>
      </w:divBdr>
    </w:div>
    <w:div w:id="1816681747">
      <w:bodyDiv w:val="1"/>
      <w:marLeft w:val="0"/>
      <w:marRight w:val="0"/>
      <w:marTop w:val="0"/>
      <w:marBottom w:val="0"/>
      <w:divBdr>
        <w:top w:val="none" w:sz="0" w:space="0" w:color="auto"/>
        <w:left w:val="none" w:sz="0" w:space="0" w:color="auto"/>
        <w:bottom w:val="none" w:sz="0" w:space="0" w:color="auto"/>
        <w:right w:val="none" w:sz="0" w:space="0" w:color="auto"/>
      </w:divBdr>
    </w:div>
    <w:div w:id="1816876766">
      <w:bodyDiv w:val="1"/>
      <w:marLeft w:val="0"/>
      <w:marRight w:val="0"/>
      <w:marTop w:val="0"/>
      <w:marBottom w:val="0"/>
      <w:divBdr>
        <w:top w:val="none" w:sz="0" w:space="0" w:color="auto"/>
        <w:left w:val="none" w:sz="0" w:space="0" w:color="auto"/>
        <w:bottom w:val="none" w:sz="0" w:space="0" w:color="auto"/>
        <w:right w:val="none" w:sz="0" w:space="0" w:color="auto"/>
      </w:divBdr>
    </w:div>
    <w:div w:id="1817523767">
      <w:bodyDiv w:val="1"/>
      <w:marLeft w:val="0"/>
      <w:marRight w:val="0"/>
      <w:marTop w:val="0"/>
      <w:marBottom w:val="0"/>
      <w:divBdr>
        <w:top w:val="none" w:sz="0" w:space="0" w:color="auto"/>
        <w:left w:val="none" w:sz="0" w:space="0" w:color="auto"/>
        <w:bottom w:val="none" w:sz="0" w:space="0" w:color="auto"/>
        <w:right w:val="none" w:sz="0" w:space="0" w:color="auto"/>
      </w:divBdr>
    </w:div>
    <w:div w:id="1817800950">
      <w:bodyDiv w:val="1"/>
      <w:marLeft w:val="0"/>
      <w:marRight w:val="0"/>
      <w:marTop w:val="0"/>
      <w:marBottom w:val="0"/>
      <w:divBdr>
        <w:top w:val="none" w:sz="0" w:space="0" w:color="auto"/>
        <w:left w:val="none" w:sz="0" w:space="0" w:color="auto"/>
        <w:bottom w:val="none" w:sz="0" w:space="0" w:color="auto"/>
        <w:right w:val="none" w:sz="0" w:space="0" w:color="auto"/>
      </w:divBdr>
    </w:div>
    <w:div w:id="1817839871">
      <w:bodyDiv w:val="1"/>
      <w:marLeft w:val="0"/>
      <w:marRight w:val="0"/>
      <w:marTop w:val="0"/>
      <w:marBottom w:val="0"/>
      <w:divBdr>
        <w:top w:val="none" w:sz="0" w:space="0" w:color="auto"/>
        <w:left w:val="none" w:sz="0" w:space="0" w:color="auto"/>
        <w:bottom w:val="none" w:sz="0" w:space="0" w:color="auto"/>
        <w:right w:val="none" w:sz="0" w:space="0" w:color="auto"/>
      </w:divBdr>
    </w:div>
    <w:div w:id="1817911833">
      <w:bodyDiv w:val="1"/>
      <w:marLeft w:val="0"/>
      <w:marRight w:val="0"/>
      <w:marTop w:val="0"/>
      <w:marBottom w:val="0"/>
      <w:divBdr>
        <w:top w:val="none" w:sz="0" w:space="0" w:color="auto"/>
        <w:left w:val="none" w:sz="0" w:space="0" w:color="auto"/>
        <w:bottom w:val="none" w:sz="0" w:space="0" w:color="auto"/>
        <w:right w:val="none" w:sz="0" w:space="0" w:color="auto"/>
      </w:divBdr>
    </w:div>
    <w:div w:id="1818186641">
      <w:bodyDiv w:val="1"/>
      <w:marLeft w:val="0"/>
      <w:marRight w:val="0"/>
      <w:marTop w:val="0"/>
      <w:marBottom w:val="0"/>
      <w:divBdr>
        <w:top w:val="none" w:sz="0" w:space="0" w:color="auto"/>
        <w:left w:val="none" w:sz="0" w:space="0" w:color="auto"/>
        <w:bottom w:val="none" w:sz="0" w:space="0" w:color="auto"/>
        <w:right w:val="none" w:sz="0" w:space="0" w:color="auto"/>
      </w:divBdr>
    </w:div>
    <w:div w:id="1818256011">
      <w:bodyDiv w:val="1"/>
      <w:marLeft w:val="0"/>
      <w:marRight w:val="0"/>
      <w:marTop w:val="0"/>
      <w:marBottom w:val="0"/>
      <w:divBdr>
        <w:top w:val="none" w:sz="0" w:space="0" w:color="auto"/>
        <w:left w:val="none" w:sz="0" w:space="0" w:color="auto"/>
        <w:bottom w:val="none" w:sz="0" w:space="0" w:color="auto"/>
        <w:right w:val="none" w:sz="0" w:space="0" w:color="auto"/>
      </w:divBdr>
    </w:div>
    <w:div w:id="1818260393">
      <w:bodyDiv w:val="1"/>
      <w:marLeft w:val="0"/>
      <w:marRight w:val="0"/>
      <w:marTop w:val="0"/>
      <w:marBottom w:val="0"/>
      <w:divBdr>
        <w:top w:val="none" w:sz="0" w:space="0" w:color="auto"/>
        <w:left w:val="none" w:sz="0" w:space="0" w:color="auto"/>
        <w:bottom w:val="none" w:sz="0" w:space="0" w:color="auto"/>
        <w:right w:val="none" w:sz="0" w:space="0" w:color="auto"/>
      </w:divBdr>
    </w:div>
    <w:div w:id="1818298157">
      <w:bodyDiv w:val="1"/>
      <w:marLeft w:val="0"/>
      <w:marRight w:val="0"/>
      <w:marTop w:val="0"/>
      <w:marBottom w:val="0"/>
      <w:divBdr>
        <w:top w:val="none" w:sz="0" w:space="0" w:color="auto"/>
        <w:left w:val="none" w:sz="0" w:space="0" w:color="auto"/>
        <w:bottom w:val="none" w:sz="0" w:space="0" w:color="auto"/>
        <w:right w:val="none" w:sz="0" w:space="0" w:color="auto"/>
      </w:divBdr>
    </w:div>
    <w:div w:id="1818571557">
      <w:bodyDiv w:val="1"/>
      <w:marLeft w:val="0"/>
      <w:marRight w:val="0"/>
      <w:marTop w:val="0"/>
      <w:marBottom w:val="0"/>
      <w:divBdr>
        <w:top w:val="none" w:sz="0" w:space="0" w:color="auto"/>
        <w:left w:val="none" w:sz="0" w:space="0" w:color="auto"/>
        <w:bottom w:val="none" w:sz="0" w:space="0" w:color="auto"/>
        <w:right w:val="none" w:sz="0" w:space="0" w:color="auto"/>
      </w:divBdr>
    </w:div>
    <w:div w:id="1818573402">
      <w:bodyDiv w:val="1"/>
      <w:marLeft w:val="0"/>
      <w:marRight w:val="0"/>
      <w:marTop w:val="0"/>
      <w:marBottom w:val="0"/>
      <w:divBdr>
        <w:top w:val="none" w:sz="0" w:space="0" w:color="auto"/>
        <w:left w:val="none" w:sz="0" w:space="0" w:color="auto"/>
        <w:bottom w:val="none" w:sz="0" w:space="0" w:color="auto"/>
        <w:right w:val="none" w:sz="0" w:space="0" w:color="auto"/>
      </w:divBdr>
    </w:div>
    <w:div w:id="1818720465">
      <w:bodyDiv w:val="1"/>
      <w:marLeft w:val="0"/>
      <w:marRight w:val="0"/>
      <w:marTop w:val="0"/>
      <w:marBottom w:val="0"/>
      <w:divBdr>
        <w:top w:val="none" w:sz="0" w:space="0" w:color="auto"/>
        <w:left w:val="none" w:sz="0" w:space="0" w:color="auto"/>
        <w:bottom w:val="none" w:sz="0" w:space="0" w:color="auto"/>
        <w:right w:val="none" w:sz="0" w:space="0" w:color="auto"/>
      </w:divBdr>
    </w:div>
    <w:div w:id="1818721183">
      <w:bodyDiv w:val="1"/>
      <w:marLeft w:val="0"/>
      <w:marRight w:val="0"/>
      <w:marTop w:val="0"/>
      <w:marBottom w:val="0"/>
      <w:divBdr>
        <w:top w:val="none" w:sz="0" w:space="0" w:color="auto"/>
        <w:left w:val="none" w:sz="0" w:space="0" w:color="auto"/>
        <w:bottom w:val="none" w:sz="0" w:space="0" w:color="auto"/>
        <w:right w:val="none" w:sz="0" w:space="0" w:color="auto"/>
      </w:divBdr>
    </w:div>
    <w:div w:id="1819421552">
      <w:bodyDiv w:val="1"/>
      <w:marLeft w:val="0"/>
      <w:marRight w:val="0"/>
      <w:marTop w:val="0"/>
      <w:marBottom w:val="0"/>
      <w:divBdr>
        <w:top w:val="none" w:sz="0" w:space="0" w:color="auto"/>
        <w:left w:val="none" w:sz="0" w:space="0" w:color="auto"/>
        <w:bottom w:val="none" w:sz="0" w:space="0" w:color="auto"/>
        <w:right w:val="none" w:sz="0" w:space="0" w:color="auto"/>
      </w:divBdr>
    </w:div>
    <w:div w:id="1819613594">
      <w:bodyDiv w:val="1"/>
      <w:marLeft w:val="0"/>
      <w:marRight w:val="0"/>
      <w:marTop w:val="0"/>
      <w:marBottom w:val="0"/>
      <w:divBdr>
        <w:top w:val="none" w:sz="0" w:space="0" w:color="auto"/>
        <w:left w:val="none" w:sz="0" w:space="0" w:color="auto"/>
        <w:bottom w:val="none" w:sz="0" w:space="0" w:color="auto"/>
        <w:right w:val="none" w:sz="0" w:space="0" w:color="auto"/>
      </w:divBdr>
    </w:div>
    <w:div w:id="1819953867">
      <w:bodyDiv w:val="1"/>
      <w:marLeft w:val="0"/>
      <w:marRight w:val="0"/>
      <w:marTop w:val="0"/>
      <w:marBottom w:val="0"/>
      <w:divBdr>
        <w:top w:val="none" w:sz="0" w:space="0" w:color="auto"/>
        <w:left w:val="none" w:sz="0" w:space="0" w:color="auto"/>
        <w:bottom w:val="none" w:sz="0" w:space="0" w:color="auto"/>
        <w:right w:val="none" w:sz="0" w:space="0" w:color="auto"/>
      </w:divBdr>
    </w:div>
    <w:div w:id="1820030850">
      <w:bodyDiv w:val="1"/>
      <w:marLeft w:val="0"/>
      <w:marRight w:val="0"/>
      <w:marTop w:val="0"/>
      <w:marBottom w:val="0"/>
      <w:divBdr>
        <w:top w:val="none" w:sz="0" w:space="0" w:color="auto"/>
        <w:left w:val="none" w:sz="0" w:space="0" w:color="auto"/>
        <w:bottom w:val="none" w:sz="0" w:space="0" w:color="auto"/>
        <w:right w:val="none" w:sz="0" w:space="0" w:color="auto"/>
      </w:divBdr>
    </w:div>
    <w:div w:id="1820263973">
      <w:bodyDiv w:val="1"/>
      <w:marLeft w:val="0"/>
      <w:marRight w:val="0"/>
      <w:marTop w:val="0"/>
      <w:marBottom w:val="0"/>
      <w:divBdr>
        <w:top w:val="none" w:sz="0" w:space="0" w:color="auto"/>
        <w:left w:val="none" w:sz="0" w:space="0" w:color="auto"/>
        <w:bottom w:val="none" w:sz="0" w:space="0" w:color="auto"/>
        <w:right w:val="none" w:sz="0" w:space="0" w:color="auto"/>
      </w:divBdr>
    </w:div>
    <w:div w:id="1820416878">
      <w:bodyDiv w:val="1"/>
      <w:marLeft w:val="0"/>
      <w:marRight w:val="0"/>
      <w:marTop w:val="0"/>
      <w:marBottom w:val="0"/>
      <w:divBdr>
        <w:top w:val="none" w:sz="0" w:space="0" w:color="auto"/>
        <w:left w:val="none" w:sz="0" w:space="0" w:color="auto"/>
        <w:bottom w:val="none" w:sz="0" w:space="0" w:color="auto"/>
        <w:right w:val="none" w:sz="0" w:space="0" w:color="auto"/>
      </w:divBdr>
    </w:div>
    <w:div w:id="1820418417">
      <w:bodyDiv w:val="1"/>
      <w:marLeft w:val="0"/>
      <w:marRight w:val="0"/>
      <w:marTop w:val="0"/>
      <w:marBottom w:val="0"/>
      <w:divBdr>
        <w:top w:val="none" w:sz="0" w:space="0" w:color="auto"/>
        <w:left w:val="none" w:sz="0" w:space="0" w:color="auto"/>
        <w:bottom w:val="none" w:sz="0" w:space="0" w:color="auto"/>
        <w:right w:val="none" w:sz="0" w:space="0" w:color="auto"/>
      </w:divBdr>
    </w:div>
    <w:div w:id="1820724439">
      <w:bodyDiv w:val="1"/>
      <w:marLeft w:val="0"/>
      <w:marRight w:val="0"/>
      <w:marTop w:val="0"/>
      <w:marBottom w:val="0"/>
      <w:divBdr>
        <w:top w:val="none" w:sz="0" w:space="0" w:color="auto"/>
        <w:left w:val="none" w:sz="0" w:space="0" w:color="auto"/>
        <w:bottom w:val="none" w:sz="0" w:space="0" w:color="auto"/>
        <w:right w:val="none" w:sz="0" w:space="0" w:color="auto"/>
      </w:divBdr>
    </w:div>
    <w:div w:id="1820734003">
      <w:bodyDiv w:val="1"/>
      <w:marLeft w:val="0"/>
      <w:marRight w:val="0"/>
      <w:marTop w:val="0"/>
      <w:marBottom w:val="0"/>
      <w:divBdr>
        <w:top w:val="none" w:sz="0" w:space="0" w:color="auto"/>
        <w:left w:val="none" w:sz="0" w:space="0" w:color="auto"/>
        <w:bottom w:val="none" w:sz="0" w:space="0" w:color="auto"/>
        <w:right w:val="none" w:sz="0" w:space="0" w:color="auto"/>
      </w:divBdr>
    </w:div>
    <w:div w:id="1820918659">
      <w:bodyDiv w:val="1"/>
      <w:marLeft w:val="0"/>
      <w:marRight w:val="0"/>
      <w:marTop w:val="0"/>
      <w:marBottom w:val="0"/>
      <w:divBdr>
        <w:top w:val="none" w:sz="0" w:space="0" w:color="auto"/>
        <w:left w:val="none" w:sz="0" w:space="0" w:color="auto"/>
        <w:bottom w:val="none" w:sz="0" w:space="0" w:color="auto"/>
        <w:right w:val="none" w:sz="0" w:space="0" w:color="auto"/>
      </w:divBdr>
    </w:div>
    <w:div w:id="1822427867">
      <w:bodyDiv w:val="1"/>
      <w:marLeft w:val="0"/>
      <w:marRight w:val="0"/>
      <w:marTop w:val="0"/>
      <w:marBottom w:val="0"/>
      <w:divBdr>
        <w:top w:val="none" w:sz="0" w:space="0" w:color="auto"/>
        <w:left w:val="none" w:sz="0" w:space="0" w:color="auto"/>
        <w:bottom w:val="none" w:sz="0" w:space="0" w:color="auto"/>
        <w:right w:val="none" w:sz="0" w:space="0" w:color="auto"/>
      </w:divBdr>
    </w:div>
    <w:div w:id="1822505980">
      <w:bodyDiv w:val="1"/>
      <w:marLeft w:val="0"/>
      <w:marRight w:val="0"/>
      <w:marTop w:val="0"/>
      <w:marBottom w:val="0"/>
      <w:divBdr>
        <w:top w:val="none" w:sz="0" w:space="0" w:color="auto"/>
        <w:left w:val="none" w:sz="0" w:space="0" w:color="auto"/>
        <w:bottom w:val="none" w:sz="0" w:space="0" w:color="auto"/>
        <w:right w:val="none" w:sz="0" w:space="0" w:color="auto"/>
      </w:divBdr>
    </w:div>
    <w:div w:id="1823041562">
      <w:bodyDiv w:val="1"/>
      <w:marLeft w:val="0"/>
      <w:marRight w:val="0"/>
      <w:marTop w:val="0"/>
      <w:marBottom w:val="0"/>
      <w:divBdr>
        <w:top w:val="none" w:sz="0" w:space="0" w:color="auto"/>
        <w:left w:val="none" w:sz="0" w:space="0" w:color="auto"/>
        <w:bottom w:val="none" w:sz="0" w:space="0" w:color="auto"/>
        <w:right w:val="none" w:sz="0" w:space="0" w:color="auto"/>
      </w:divBdr>
    </w:div>
    <w:div w:id="1823505766">
      <w:bodyDiv w:val="1"/>
      <w:marLeft w:val="0"/>
      <w:marRight w:val="0"/>
      <w:marTop w:val="0"/>
      <w:marBottom w:val="0"/>
      <w:divBdr>
        <w:top w:val="none" w:sz="0" w:space="0" w:color="auto"/>
        <w:left w:val="none" w:sz="0" w:space="0" w:color="auto"/>
        <w:bottom w:val="none" w:sz="0" w:space="0" w:color="auto"/>
        <w:right w:val="none" w:sz="0" w:space="0" w:color="auto"/>
      </w:divBdr>
    </w:div>
    <w:div w:id="1824156375">
      <w:bodyDiv w:val="1"/>
      <w:marLeft w:val="0"/>
      <w:marRight w:val="0"/>
      <w:marTop w:val="0"/>
      <w:marBottom w:val="0"/>
      <w:divBdr>
        <w:top w:val="none" w:sz="0" w:space="0" w:color="auto"/>
        <w:left w:val="none" w:sz="0" w:space="0" w:color="auto"/>
        <w:bottom w:val="none" w:sz="0" w:space="0" w:color="auto"/>
        <w:right w:val="none" w:sz="0" w:space="0" w:color="auto"/>
      </w:divBdr>
    </w:div>
    <w:div w:id="1824469526">
      <w:bodyDiv w:val="1"/>
      <w:marLeft w:val="0"/>
      <w:marRight w:val="0"/>
      <w:marTop w:val="0"/>
      <w:marBottom w:val="0"/>
      <w:divBdr>
        <w:top w:val="none" w:sz="0" w:space="0" w:color="auto"/>
        <w:left w:val="none" w:sz="0" w:space="0" w:color="auto"/>
        <w:bottom w:val="none" w:sz="0" w:space="0" w:color="auto"/>
        <w:right w:val="none" w:sz="0" w:space="0" w:color="auto"/>
      </w:divBdr>
    </w:div>
    <w:div w:id="1824618098">
      <w:bodyDiv w:val="1"/>
      <w:marLeft w:val="0"/>
      <w:marRight w:val="0"/>
      <w:marTop w:val="0"/>
      <w:marBottom w:val="0"/>
      <w:divBdr>
        <w:top w:val="none" w:sz="0" w:space="0" w:color="auto"/>
        <w:left w:val="none" w:sz="0" w:space="0" w:color="auto"/>
        <w:bottom w:val="none" w:sz="0" w:space="0" w:color="auto"/>
        <w:right w:val="none" w:sz="0" w:space="0" w:color="auto"/>
      </w:divBdr>
    </w:div>
    <w:div w:id="1824659056">
      <w:bodyDiv w:val="1"/>
      <w:marLeft w:val="0"/>
      <w:marRight w:val="0"/>
      <w:marTop w:val="0"/>
      <w:marBottom w:val="0"/>
      <w:divBdr>
        <w:top w:val="none" w:sz="0" w:space="0" w:color="auto"/>
        <w:left w:val="none" w:sz="0" w:space="0" w:color="auto"/>
        <w:bottom w:val="none" w:sz="0" w:space="0" w:color="auto"/>
        <w:right w:val="none" w:sz="0" w:space="0" w:color="auto"/>
      </w:divBdr>
    </w:div>
    <w:div w:id="1824812118">
      <w:bodyDiv w:val="1"/>
      <w:marLeft w:val="0"/>
      <w:marRight w:val="0"/>
      <w:marTop w:val="0"/>
      <w:marBottom w:val="0"/>
      <w:divBdr>
        <w:top w:val="none" w:sz="0" w:space="0" w:color="auto"/>
        <w:left w:val="none" w:sz="0" w:space="0" w:color="auto"/>
        <w:bottom w:val="none" w:sz="0" w:space="0" w:color="auto"/>
        <w:right w:val="none" w:sz="0" w:space="0" w:color="auto"/>
      </w:divBdr>
    </w:div>
    <w:div w:id="1824852663">
      <w:bodyDiv w:val="1"/>
      <w:marLeft w:val="0"/>
      <w:marRight w:val="0"/>
      <w:marTop w:val="0"/>
      <w:marBottom w:val="0"/>
      <w:divBdr>
        <w:top w:val="none" w:sz="0" w:space="0" w:color="auto"/>
        <w:left w:val="none" w:sz="0" w:space="0" w:color="auto"/>
        <w:bottom w:val="none" w:sz="0" w:space="0" w:color="auto"/>
        <w:right w:val="none" w:sz="0" w:space="0" w:color="auto"/>
      </w:divBdr>
    </w:div>
    <w:div w:id="1825004630">
      <w:bodyDiv w:val="1"/>
      <w:marLeft w:val="0"/>
      <w:marRight w:val="0"/>
      <w:marTop w:val="0"/>
      <w:marBottom w:val="0"/>
      <w:divBdr>
        <w:top w:val="none" w:sz="0" w:space="0" w:color="auto"/>
        <w:left w:val="none" w:sz="0" w:space="0" w:color="auto"/>
        <w:bottom w:val="none" w:sz="0" w:space="0" w:color="auto"/>
        <w:right w:val="none" w:sz="0" w:space="0" w:color="auto"/>
      </w:divBdr>
    </w:div>
    <w:div w:id="1825118287">
      <w:bodyDiv w:val="1"/>
      <w:marLeft w:val="0"/>
      <w:marRight w:val="0"/>
      <w:marTop w:val="0"/>
      <w:marBottom w:val="0"/>
      <w:divBdr>
        <w:top w:val="none" w:sz="0" w:space="0" w:color="auto"/>
        <w:left w:val="none" w:sz="0" w:space="0" w:color="auto"/>
        <w:bottom w:val="none" w:sz="0" w:space="0" w:color="auto"/>
        <w:right w:val="none" w:sz="0" w:space="0" w:color="auto"/>
      </w:divBdr>
    </w:div>
    <w:div w:id="1825315058">
      <w:bodyDiv w:val="1"/>
      <w:marLeft w:val="0"/>
      <w:marRight w:val="0"/>
      <w:marTop w:val="0"/>
      <w:marBottom w:val="0"/>
      <w:divBdr>
        <w:top w:val="none" w:sz="0" w:space="0" w:color="auto"/>
        <w:left w:val="none" w:sz="0" w:space="0" w:color="auto"/>
        <w:bottom w:val="none" w:sz="0" w:space="0" w:color="auto"/>
        <w:right w:val="none" w:sz="0" w:space="0" w:color="auto"/>
      </w:divBdr>
    </w:div>
    <w:div w:id="1826126029">
      <w:bodyDiv w:val="1"/>
      <w:marLeft w:val="0"/>
      <w:marRight w:val="0"/>
      <w:marTop w:val="0"/>
      <w:marBottom w:val="0"/>
      <w:divBdr>
        <w:top w:val="none" w:sz="0" w:space="0" w:color="auto"/>
        <w:left w:val="none" w:sz="0" w:space="0" w:color="auto"/>
        <w:bottom w:val="none" w:sz="0" w:space="0" w:color="auto"/>
        <w:right w:val="none" w:sz="0" w:space="0" w:color="auto"/>
      </w:divBdr>
    </w:div>
    <w:div w:id="1826311485">
      <w:bodyDiv w:val="1"/>
      <w:marLeft w:val="0"/>
      <w:marRight w:val="0"/>
      <w:marTop w:val="0"/>
      <w:marBottom w:val="0"/>
      <w:divBdr>
        <w:top w:val="none" w:sz="0" w:space="0" w:color="auto"/>
        <w:left w:val="none" w:sz="0" w:space="0" w:color="auto"/>
        <w:bottom w:val="none" w:sz="0" w:space="0" w:color="auto"/>
        <w:right w:val="none" w:sz="0" w:space="0" w:color="auto"/>
      </w:divBdr>
    </w:div>
    <w:div w:id="1826314912">
      <w:bodyDiv w:val="1"/>
      <w:marLeft w:val="0"/>
      <w:marRight w:val="0"/>
      <w:marTop w:val="0"/>
      <w:marBottom w:val="0"/>
      <w:divBdr>
        <w:top w:val="none" w:sz="0" w:space="0" w:color="auto"/>
        <w:left w:val="none" w:sz="0" w:space="0" w:color="auto"/>
        <w:bottom w:val="none" w:sz="0" w:space="0" w:color="auto"/>
        <w:right w:val="none" w:sz="0" w:space="0" w:color="auto"/>
      </w:divBdr>
    </w:div>
    <w:div w:id="1826318607">
      <w:bodyDiv w:val="1"/>
      <w:marLeft w:val="0"/>
      <w:marRight w:val="0"/>
      <w:marTop w:val="0"/>
      <w:marBottom w:val="0"/>
      <w:divBdr>
        <w:top w:val="none" w:sz="0" w:space="0" w:color="auto"/>
        <w:left w:val="none" w:sz="0" w:space="0" w:color="auto"/>
        <w:bottom w:val="none" w:sz="0" w:space="0" w:color="auto"/>
        <w:right w:val="none" w:sz="0" w:space="0" w:color="auto"/>
      </w:divBdr>
    </w:div>
    <w:div w:id="1826698368">
      <w:bodyDiv w:val="1"/>
      <w:marLeft w:val="0"/>
      <w:marRight w:val="0"/>
      <w:marTop w:val="0"/>
      <w:marBottom w:val="0"/>
      <w:divBdr>
        <w:top w:val="none" w:sz="0" w:space="0" w:color="auto"/>
        <w:left w:val="none" w:sz="0" w:space="0" w:color="auto"/>
        <w:bottom w:val="none" w:sz="0" w:space="0" w:color="auto"/>
        <w:right w:val="none" w:sz="0" w:space="0" w:color="auto"/>
      </w:divBdr>
    </w:div>
    <w:div w:id="1826895525">
      <w:bodyDiv w:val="1"/>
      <w:marLeft w:val="0"/>
      <w:marRight w:val="0"/>
      <w:marTop w:val="0"/>
      <w:marBottom w:val="0"/>
      <w:divBdr>
        <w:top w:val="none" w:sz="0" w:space="0" w:color="auto"/>
        <w:left w:val="none" w:sz="0" w:space="0" w:color="auto"/>
        <w:bottom w:val="none" w:sz="0" w:space="0" w:color="auto"/>
        <w:right w:val="none" w:sz="0" w:space="0" w:color="auto"/>
      </w:divBdr>
    </w:div>
    <w:div w:id="1826899007">
      <w:bodyDiv w:val="1"/>
      <w:marLeft w:val="0"/>
      <w:marRight w:val="0"/>
      <w:marTop w:val="0"/>
      <w:marBottom w:val="0"/>
      <w:divBdr>
        <w:top w:val="none" w:sz="0" w:space="0" w:color="auto"/>
        <w:left w:val="none" w:sz="0" w:space="0" w:color="auto"/>
        <w:bottom w:val="none" w:sz="0" w:space="0" w:color="auto"/>
        <w:right w:val="none" w:sz="0" w:space="0" w:color="auto"/>
      </w:divBdr>
    </w:div>
    <w:div w:id="1827013510">
      <w:bodyDiv w:val="1"/>
      <w:marLeft w:val="0"/>
      <w:marRight w:val="0"/>
      <w:marTop w:val="0"/>
      <w:marBottom w:val="0"/>
      <w:divBdr>
        <w:top w:val="none" w:sz="0" w:space="0" w:color="auto"/>
        <w:left w:val="none" w:sz="0" w:space="0" w:color="auto"/>
        <w:bottom w:val="none" w:sz="0" w:space="0" w:color="auto"/>
        <w:right w:val="none" w:sz="0" w:space="0" w:color="auto"/>
      </w:divBdr>
    </w:div>
    <w:div w:id="1827016671">
      <w:bodyDiv w:val="1"/>
      <w:marLeft w:val="0"/>
      <w:marRight w:val="0"/>
      <w:marTop w:val="0"/>
      <w:marBottom w:val="0"/>
      <w:divBdr>
        <w:top w:val="none" w:sz="0" w:space="0" w:color="auto"/>
        <w:left w:val="none" w:sz="0" w:space="0" w:color="auto"/>
        <w:bottom w:val="none" w:sz="0" w:space="0" w:color="auto"/>
        <w:right w:val="none" w:sz="0" w:space="0" w:color="auto"/>
      </w:divBdr>
    </w:div>
    <w:div w:id="1827747111">
      <w:bodyDiv w:val="1"/>
      <w:marLeft w:val="0"/>
      <w:marRight w:val="0"/>
      <w:marTop w:val="0"/>
      <w:marBottom w:val="0"/>
      <w:divBdr>
        <w:top w:val="none" w:sz="0" w:space="0" w:color="auto"/>
        <w:left w:val="none" w:sz="0" w:space="0" w:color="auto"/>
        <w:bottom w:val="none" w:sz="0" w:space="0" w:color="auto"/>
        <w:right w:val="none" w:sz="0" w:space="0" w:color="auto"/>
      </w:divBdr>
    </w:div>
    <w:div w:id="1827816808">
      <w:bodyDiv w:val="1"/>
      <w:marLeft w:val="0"/>
      <w:marRight w:val="0"/>
      <w:marTop w:val="0"/>
      <w:marBottom w:val="0"/>
      <w:divBdr>
        <w:top w:val="none" w:sz="0" w:space="0" w:color="auto"/>
        <w:left w:val="none" w:sz="0" w:space="0" w:color="auto"/>
        <w:bottom w:val="none" w:sz="0" w:space="0" w:color="auto"/>
        <w:right w:val="none" w:sz="0" w:space="0" w:color="auto"/>
      </w:divBdr>
    </w:div>
    <w:div w:id="1828551967">
      <w:bodyDiv w:val="1"/>
      <w:marLeft w:val="0"/>
      <w:marRight w:val="0"/>
      <w:marTop w:val="0"/>
      <w:marBottom w:val="0"/>
      <w:divBdr>
        <w:top w:val="none" w:sz="0" w:space="0" w:color="auto"/>
        <w:left w:val="none" w:sz="0" w:space="0" w:color="auto"/>
        <w:bottom w:val="none" w:sz="0" w:space="0" w:color="auto"/>
        <w:right w:val="none" w:sz="0" w:space="0" w:color="auto"/>
      </w:divBdr>
    </w:div>
    <w:div w:id="1828979547">
      <w:bodyDiv w:val="1"/>
      <w:marLeft w:val="0"/>
      <w:marRight w:val="0"/>
      <w:marTop w:val="0"/>
      <w:marBottom w:val="0"/>
      <w:divBdr>
        <w:top w:val="none" w:sz="0" w:space="0" w:color="auto"/>
        <w:left w:val="none" w:sz="0" w:space="0" w:color="auto"/>
        <w:bottom w:val="none" w:sz="0" w:space="0" w:color="auto"/>
        <w:right w:val="none" w:sz="0" w:space="0" w:color="auto"/>
      </w:divBdr>
    </w:div>
    <w:div w:id="1829131420">
      <w:bodyDiv w:val="1"/>
      <w:marLeft w:val="0"/>
      <w:marRight w:val="0"/>
      <w:marTop w:val="0"/>
      <w:marBottom w:val="0"/>
      <w:divBdr>
        <w:top w:val="none" w:sz="0" w:space="0" w:color="auto"/>
        <w:left w:val="none" w:sz="0" w:space="0" w:color="auto"/>
        <w:bottom w:val="none" w:sz="0" w:space="0" w:color="auto"/>
        <w:right w:val="none" w:sz="0" w:space="0" w:color="auto"/>
      </w:divBdr>
    </w:div>
    <w:div w:id="1829176174">
      <w:bodyDiv w:val="1"/>
      <w:marLeft w:val="0"/>
      <w:marRight w:val="0"/>
      <w:marTop w:val="0"/>
      <w:marBottom w:val="0"/>
      <w:divBdr>
        <w:top w:val="none" w:sz="0" w:space="0" w:color="auto"/>
        <w:left w:val="none" w:sz="0" w:space="0" w:color="auto"/>
        <w:bottom w:val="none" w:sz="0" w:space="0" w:color="auto"/>
        <w:right w:val="none" w:sz="0" w:space="0" w:color="auto"/>
      </w:divBdr>
    </w:div>
    <w:div w:id="1829176384">
      <w:bodyDiv w:val="1"/>
      <w:marLeft w:val="0"/>
      <w:marRight w:val="0"/>
      <w:marTop w:val="0"/>
      <w:marBottom w:val="0"/>
      <w:divBdr>
        <w:top w:val="none" w:sz="0" w:space="0" w:color="auto"/>
        <w:left w:val="none" w:sz="0" w:space="0" w:color="auto"/>
        <w:bottom w:val="none" w:sz="0" w:space="0" w:color="auto"/>
        <w:right w:val="none" w:sz="0" w:space="0" w:color="auto"/>
      </w:divBdr>
    </w:div>
    <w:div w:id="1829244259">
      <w:bodyDiv w:val="1"/>
      <w:marLeft w:val="0"/>
      <w:marRight w:val="0"/>
      <w:marTop w:val="0"/>
      <w:marBottom w:val="0"/>
      <w:divBdr>
        <w:top w:val="none" w:sz="0" w:space="0" w:color="auto"/>
        <w:left w:val="none" w:sz="0" w:space="0" w:color="auto"/>
        <w:bottom w:val="none" w:sz="0" w:space="0" w:color="auto"/>
        <w:right w:val="none" w:sz="0" w:space="0" w:color="auto"/>
      </w:divBdr>
    </w:div>
    <w:div w:id="1829249353">
      <w:bodyDiv w:val="1"/>
      <w:marLeft w:val="0"/>
      <w:marRight w:val="0"/>
      <w:marTop w:val="0"/>
      <w:marBottom w:val="0"/>
      <w:divBdr>
        <w:top w:val="none" w:sz="0" w:space="0" w:color="auto"/>
        <w:left w:val="none" w:sz="0" w:space="0" w:color="auto"/>
        <w:bottom w:val="none" w:sz="0" w:space="0" w:color="auto"/>
        <w:right w:val="none" w:sz="0" w:space="0" w:color="auto"/>
      </w:divBdr>
    </w:div>
    <w:div w:id="1829512979">
      <w:bodyDiv w:val="1"/>
      <w:marLeft w:val="0"/>
      <w:marRight w:val="0"/>
      <w:marTop w:val="0"/>
      <w:marBottom w:val="0"/>
      <w:divBdr>
        <w:top w:val="none" w:sz="0" w:space="0" w:color="auto"/>
        <w:left w:val="none" w:sz="0" w:space="0" w:color="auto"/>
        <w:bottom w:val="none" w:sz="0" w:space="0" w:color="auto"/>
        <w:right w:val="none" w:sz="0" w:space="0" w:color="auto"/>
      </w:divBdr>
    </w:div>
    <w:div w:id="1829712468">
      <w:bodyDiv w:val="1"/>
      <w:marLeft w:val="0"/>
      <w:marRight w:val="0"/>
      <w:marTop w:val="0"/>
      <w:marBottom w:val="0"/>
      <w:divBdr>
        <w:top w:val="none" w:sz="0" w:space="0" w:color="auto"/>
        <w:left w:val="none" w:sz="0" w:space="0" w:color="auto"/>
        <w:bottom w:val="none" w:sz="0" w:space="0" w:color="auto"/>
        <w:right w:val="none" w:sz="0" w:space="0" w:color="auto"/>
      </w:divBdr>
    </w:div>
    <w:div w:id="1829902464">
      <w:bodyDiv w:val="1"/>
      <w:marLeft w:val="0"/>
      <w:marRight w:val="0"/>
      <w:marTop w:val="0"/>
      <w:marBottom w:val="0"/>
      <w:divBdr>
        <w:top w:val="none" w:sz="0" w:space="0" w:color="auto"/>
        <w:left w:val="none" w:sz="0" w:space="0" w:color="auto"/>
        <w:bottom w:val="none" w:sz="0" w:space="0" w:color="auto"/>
        <w:right w:val="none" w:sz="0" w:space="0" w:color="auto"/>
      </w:divBdr>
    </w:div>
    <w:div w:id="1830172968">
      <w:bodyDiv w:val="1"/>
      <w:marLeft w:val="0"/>
      <w:marRight w:val="0"/>
      <w:marTop w:val="0"/>
      <w:marBottom w:val="0"/>
      <w:divBdr>
        <w:top w:val="none" w:sz="0" w:space="0" w:color="auto"/>
        <w:left w:val="none" w:sz="0" w:space="0" w:color="auto"/>
        <w:bottom w:val="none" w:sz="0" w:space="0" w:color="auto"/>
        <w:right w:val="none" w:sz="0" w:space="0" w:color="auto"/>
      </w:divBdr>
    </w:div>
    <w:div w:id="1830704258">
      <w:bodyDiv w:val="1"/>
      <w:marLeft w:val="0"/>
      <w:marRight w:val="0"/>
      <w:marTop w:val="0"/>
      <w:marBottom w:val="0"/>
      <w:divBdr>
        <w:top w:val="none" w:sz="0" w:space="0" w:color="auto"/>
        <w:left w:val="none" w:sz="0" w:space="0" w:color="auto"/>
        <w:bottom w:val="none" w:sz="0" w:space="0" w:color="auto"/>
        <w:right w:val="none" w:sz="0" w:space="0" w:color="auto"/>
      </w:divBdr>
    </w:div>
    <w:div w:id="1831021331">
      <w:bodyDiv w:val="1"/>
      <w:marLeft w:val="0"/>
      <w:marRight w:val="0"/>
      <w:marTop w:val="0"/>
      <w:marBottom w:val="0"/>
      <w:divBdr>
        <w:top w:val="none" w:sz="0" w:space="0" w:color="auto"/>
        <w:left w:val="none" w:sz="0" w:space="0" w:color="auto"/>
        <w:bottom w:val="none" w:sz="0" w:space="0" w:color="auto"/>
        <w:right w:val="none" w:sz="0" w:space="0" w:color="auto"/>
      </w:divBdr>
    </w:div>
    <w:div w:id="1831360183">
      <w:bodyDiv w:val="1"/>
      <w:marLeft w:val="0"/>
      <w:marRight w:val="0"/>
      <w:marTop w:val="0"/>
      <w:marBottom w:val="0"/>
      <w:divBdr>
        <w:top w:val="none" w:sz="0" w:space="0" w:color="auto"/>
        <w:left w:val="none" w:sz="0" w:space="0" w:color="auto"/>
        <w:bottom w:val="none" w:sz="0" w:space="0" w:color="auto"/>
        <w:right w:val="none" w:sz="0" w:space="0" w:color="auto"/>
      </w:divBdr>
    </w:div>
    <w:div w:id="1831748829">
      <w:bodyDiv w:val="1"/>
      <w:marLeft w:val="0"/>
      <w:marRight w:val="0"/>
      <w:marTop w:val="0"/>
      <w:marBottom w:val="0"/>
      <w:divBdr>
        <w:top w:val="none" w:sz="0" w:space="0" w:color="auto"/>
        <w:left w:val="none" w:sz="0" w:space="0" w:color="auto"/>
        <w:bottom w:val="none" w:sz="0" w:space="0" w:color="auto"/>
        <w:right w:val="none" w:sz="0" w:space="0" w:color="auto"/>
      </w:divBdr>
    </w:div>
    <w:div w:id="1831749978">
      <w:bodyDiv w:val="1"/>
      <w:marLeft w:val="0"/>
      <w:marRight w:val="0"/>
      <w:marTop w:val="0"/>
      <w:marBottom w:val="0"/>
      <w:divBdr>
        <w:top w:val="none" w:sz="0" w:space="0" w:color="auto"/>
        <w:left w:val="none" w:sz="0" w:space="0" w:color="auto"/>
        <w:bottom w:val="none" w:sz="0" w:space="0" w:color="auto"/>
        <w:right w:val="none" w:sz="0" w:space="0" w:color="auto"/>
      </w:divBdr>
    </w:div>
    <w:div w:id="1831755555">
      <w:bodyDiv w:val="1"/>
      <w:marLeft w:val="0"/>
      <w:marRight w:val="0"/>
      <w:marTop w:val="0"/>
      <w:marBottom w:val="0"/>
      <w:divBdr>
        <w:top w:val="none" w:sz="0" w:space="0" w:color="auto"/>
        <w:left w:val="none" w:sz="0" w:space="0" w:color="auto"/>
        <w:bottom w:val="none" w:sz="0" w:space="0" w:color="auto"/>
        <w:right w:val="none" w:sz="0" w:space="0" w:color="auto"/>
      </w:divBdr>
    </w:div>
    <w:div w:id="1832401461">
      <w:bodyDiv w:val="1"/>
      <w:marLeft w:val="0"/>
      <w:marRight w:val="0"/>
      <w:marTop w:val="0"/>
      <w:marBottom w:val="0"/>
      <w:divBdr>
        <w:top w:val="none" w:sz="0" w:space="0" w:color="auto"/>
        <w:left w:val="none" w:sz="0" w:space="0" w:color="auto"/>
        <w:bottom w:val="none" w:sz="0" w:space="0" w:color="auto"/>
        <w:right w:val="none" w:sz="0" w:space="0" w:color="auto"/>
      </w:divBdr>
    </w:div>
    <w:div w:id="1832868509">
      <w:bodyDiv w:val="1"/>
      <w:marLeft w:val="0"/>
      <w:marRight w:val="0"/>
      <w:marTop w:val="0"/>
      <w:marBottom w:val="0"/>
      <w:divBdr>
        <w:top w:val="none" w:sz="0" w:space="0" w:color="auto"/>
        <w:left w:val="none" w:sz="0" w:space="0" w:color="auto"/>
        <w:bottom w:val="none" w:sz="0" w:space="0" w:color="auto"/>
        <w:right w:val="none" w:sz="0" w:space="0" w:color="auto"/>
      </w:divBdr>
    </w:div>
    <w:div w:id="1832990445">
      <w:bodyDiv w:val="1"/>
      <w:marLeft w:val="0"/>
      <w:marRight w:val="0"/>
      <w:marTop w:val="0"/>
      <w:marBottom w:val="0"/>
      <w:divBdr>
        <w:top w:val="none" w:sz="0" w:space="0" w:color="auto"/>
        <w:left w:val="none" w:sz="0" w:space="0" w:color="auto"/>
        <w:bottom w:val="none" w:sz="0" w:space="0" w:color="auto"/>
        <w:right w:val="none" w:sz="0" w:space="0" w:color="auto"/>
      </w:divBdr>
    </w:div>
    <w:div w:id="1833134728">
      <w:bodyDiv w:val="1"/>
      <w:marLeft w:val="0"/>
      <w:marRight w:val="0"/>
      <w:marTop w:val="0"/>
      <w:marBottom w:val="0"/>
      <w:divBdr>
        <w:top w:val="none" w:sz="0" w:space="0" w:color="auto"/>
        <w:left w:val="none" w:sz="0" w:space="0" w:color="auto"/>
        <w:bottom w:val="none" w:sz="0" w:space="0" w:color="auto"/>
        <w:right w:val="none" w:sz="0" w:space="0" w:color="auto"/>
      </w:divBdr>
    </w:div>
    <w:div w:id="1833183888">
      <w:bodyDiv w:val="1"/>
      <w:marLeft w:val="0"/>
      <w:marRight w:val="0"/>
      <w:marTop w:val="0"/>
      <w:marBottom w:val="0"/>
      <w:divBdr>
        <w:top w:val="none" w:sz="0" w:space="0" w:color="auto"/>
        <w:left w:val="none" w:sz="0" w:space="0" w:color="auto"/>
        <w:bottom w:val="none" w:sz="0" w:space="0" w:color="auto"/>
        <w:right w:val="none" w:sz="0" w:space="0" w:color="auto"/>
      </w:divBdr>
    </w:div>
    <w:div w:id="1833519274">
      <w:bodyDiv w:val="1"/>
      <w:marLeft w:val="0"/>
      <w:marRight w:val="0"/>
      <w:marTop w:val="0"/>
      <w:marBottom w:val="0"/>
      <w:divBdr>
        <w:top w:val="none" w:sz="0" w:space="0" w:color="auto"/>
        <w:left w:val="none" w:sz="0" w:space="0" w:color="auto"/>
        <w:bottom w:val="none" w:sz="0" w:space="0" w:color="auto"/>
        <w:right w:val="none" w:sz="0" w:space="0" w:color="auto"/>
      </w:divBdr>
    </w:div>
    <w:div w:id="1833638498">
      <w:bodyDiv w:val="1"/>
      <w:marLeft w:val="0"/>
      <w:marRight w:val="0"/>
      <w:marTop w:val="0"/>
      <w:marBottom w:val="0"/>
      <w:divBdr>
        <w:top w:val="none" w:sz="0" w:space="0" w:color="auto"/>
        <w:left w:val="none" w:sz="0" w:space="0" w:color="auto"/>
        <w:bottom w:val="none" w:sz="0" w:space="0" w:color="auto"/>
        <w:right w:val="none" w:sz="0" w:space="0" w:color="auto"/>
      </w:divBdr>
    </w:div>
    <w:div w:id="1833720103">
      <w:bodyDiv w:val="1"/>
      <w:marLeft w:val="0"/>
      <w:marRight w:val="0"/>
      <w:marTop w:val="0"/>
      <w:marBottom w:val="0"/>
      <w:divBdr>
        <w:top w:val="none" w:sz="0" w:space="0" w:color="auto"/>
        <w:left w:val="none" w:sz="0" w:space="0" w:color="auto"/>
        <w:bottom w:val="none" w:sz="0" w:space="0" w:color="auto"/>
        <w:right w:val="none" w:sz="0" w:space="0" w:color="auto"/>
      </w:divBdr>
    </w:div>
    <w:div w:id="1833983679">
      <w:bodyDiv w:val="1"/>
      <w:marLeft w:val="0"/>
      <w:marRight w:val="0"/>
      <w:marTop w:val="0"/>
      <w:marBottom w:val="0"/>
      <w:divBdr>
        <w:top w:val="none" w:sz="0" w:space="0" w:color="auto"/>
        <w:left w:val="none" w:sz="0" w:space="0" w:color="auto"/>
        <w:bottom w:val="none" w:sz="0" w:space="0" w:color="auto"/>
        <w:right w:val="none" w:sz="0" w:space="0" w:color="auto"/>
      </w:divBdr>
    </w:div>
    <w:div w:id="1834446385">
      <w:bodyDiv w:val="1"/>
      <w:marLeft w:val="0"/>
      <w:marRight w:val="0"/>
      <w:marTop w:val="0"/>
      <w:marBottom w:val="0"/>
      <w:divBdr>
        <w:top w:val="none" w:sz="0" w:space="0" w:color="auto"/>
        <w:left w:val="none" w:sz="0" w:space="0" w:color="auto"/>
        <w:bottom w:val="none" w:sz="0" w:space="0" w:color="auto"/>
        <w:right w:val="none" w:sz="0" w:space="0" w:color="auto"/>
      </w:divBdr>
    </w:div>
    <w:div w:id="1834567233">
      <w:bodyDiv w:val="1"/>
      <w:marLeft w:val="0"/>
      <w:marRight w:val="0"/>
      <w:marTop w:val="0"/>
      <w:marBottom w:val="0"/>
      <w:divBdr>
        <w:top w:val="none" w:sz="0" w:space="0" w:color="auto"/>
        <w:left w:val="none" w:sz="0" w:space="0" w:color="auto"/>
        <w:bottom w:val="none" w:sz="0" w:space="0" w:color="auto"/>
        <w:right w:val="none" w:sz="0" w:space="0" w:color="auto"/>
      </w:divBdr>
    </w:div>
    <w:div w:id="1834948961">
      <w:bodyDiv w:val="1"/>
      <w:marLeft w:val="0"/>
      <w:marRight w:val="0"/>
      <w:marTop w:val="0"/>
      <w:marBottom w:val="0"/>
      <w:divBdr>
        <w:top w:val="none" w:sz="0" w:space="0" w:color="auto"/>
        <w:left w:val="none" w:sz="0" w:space="0" w:color="auto"/>
        <w:bottom w:val="none" w:sz="0" w:space="0" w:color="auto"/>
        <w:right w:val="none" w:sz="0" w:space="0" w:color="auto"/>
      </w:divBdr>
    </w:div>
    <w:div w:id="1835602789">
      <w:bodyDiv w:val="1"/>
      <w:marLeft w:val="0"/>
      <w:marRight w:val="0"/>
      <w:marTop w:val="0"/>
      <w:marBottom w:val="0"/>
      <w:divBdr>
        <w:top w:val="none" w:sz="0" w:space="0" w:color="auto"/>
        <w:left w:val="none" w:sz="0" w:space="0" w:color="auto"/>
        <w:bottom w:val="none" w:sz="0" w:space="0" w:color="auto"/>
        <w:right w:val="none" w:sz="0" w:space="0" w:color="auto"/>
      </w:divBdr>
    </w:div>
    <w:div w:id="1835950406">
      <w:bodyDiv w:val="1"/>
      <w:marLeft w:val="0"/>
      <w:marRight w:val="0"/>
      <w:marTop w:val="0"/>
      <w:marBottom w:val="0"/>
      <w:divBdr>
        <w:top w:val="none" w:sz="0" w:space="0" w:color="auto"/>
        <w:left w:val="none" w:sz="0" w:space="0" w:color="auto"/>
        <w:bottom w:val="none" w:sz="0" w:space="0" w:color="auto"/>
        <w:right w:val="none" w:sz="0" w:space="0" w:color="auto"/>
      </w:divBdr>
    </w:div>
    <w:div w:id="1835951187">
      <w:bodyDiv w:val="1"/>
      <w:marLeft w:val="0"/>
      <w:marRight w:val="0"/>
      <w:marTop w:val="0"/>
      <w:marBottom w:val="0"/>
      <w:divBdr>
        <w:top w:val="none" w:sz="0" w:space="0" w:color="auto"/>
        <w:left w:val="none" w:sz="0" w:space="0" w:color="auto"/>
        <w:bottom w:val="none" w:sz="0" w:space="0" w:color="auto"/>
        <w:right w:val="none" w:sz="0" w:space="0" w:color="auto"/>
      </w:divBdr>
    </w:div>
    <w:div w:id="1836147930">
      <w:bodyDiv w:val="1"/>
      <w:marLeft w:val="0"/>
      <w:marRight w:val="0"/>
      <w:marTop w:val="0"/>
      <w:marBottom w:val="0"/>
      <w:divBdr>
        <w:top w:val="none" w:sz="0" w:space="0" w:color="auto"/>
        <w:left w:val="none" w:sz="0" w:space="0" w:color="auto"/>
        <w:bottom w:val="none" w:sz="0" w:space="0" w:color="auto"/>
        <w:right w:val="none" w:sz="0" w:space="0" w:color="auto"/>
      </w:divBdr>
    </w:div>
    <w:div w:id="1836648619">
      <w:bodyDiv w:val="1"/>
      <w:marLeft w:val="0"/>
      <w:marRight w:val="0"/>
      <w:marTop w:val="0"/>
      <w:marBottom w:val="0"/>
      <w:divBdr>
        <w:top w:val="none" w:sz="0" w:space="0" w:color="auto"/>
        <w:left w:val="none" w:sz="0" w:space="0" w:color="auto"/>
        <w:bottom w:val="none" w:sz="0" w:space="0" w:color="auto"/>
        <w:right w:val="none" w:sz="0" w:space="0" w:color="auto"/>
      </w:divBdr>
    </w:div>
    <w:div w:id="1836719561">
      <w:bodyDiv w:val="1"/>
      <w:marLeft w:val="0"/>
      <w:marRight w:val="0"/>
      <w:marTop w:val="0"/>
      <w:marBottom w:val="0"/>
      <w:divBdr>
        <w:top w:val="none" w:sz="0" w:space="0" w:color="auto"/>
        <w:left w:val="none" w:sz="0" w:space="0" w:color="auto"/>
        <w:bottom w:val="none" w:sz="0" w:space="0" w:color="auto"/>
        <w:right w:val="none" w:sz="0" w:space="0" w:color="auto"/>
      </w:divBdr>
    </w:div>
    <w:div w:id="1837529793">
      <w:bodyDiv w:val="1"/>
      <w:marLeft w:val="0"/>
      <w:marRight w:val="0"/>
      <w:marTop w:val="0"/>
      <w:marBottom w:val="0"/>
      <w:divBdr>
        <w:top w:val="none" w:sz="0" w:space="0" w:color="auto"/>
        <w:left w:val="none" w:sz="0" w:space="0" w:color="auto"/>
        <w:bottom w:val="none" w:sz="0" w:space="0" w:color="auto"/>
        <w:right w:val="none" w:sz="0" w:space="0" w:color="auto"/>
      </w:divBdr>
    </w:div>
    <w:div w:id="1837725541">
      <w:bodyDiv w:val="1"/>
      <w:marLeft w:val="0"/>
      <w:marRight w:val="0"/>
      <w:marTop w:val="0"/>
      <w:marBottom w:val="0"/>
      <w:divBdr>
        <w:top w:val="none" w:sz="0" w:space="0" w:color="auto"/>
        <w:left w:val="none" w:sz="0" w:space="0" w:color="auto"/>
        <w:bottom w:val="none" w:sz="0" w:space="0" w:color="auto"/>
        <w:right w:val="none" w:sz="0" w:space="0" w:color="auto"/>
      </w:divBdr>
    </w:div>
    <w:div w:id="1838424700">
      <w:bodyDiv w:val="1"/>
      <w:marLeft w:val="0"/>
      <w:marRight w:val="0"/>
      <w:marTop w:val="0"/>
      <w:marBottom w:val="0"/>
      <w:divBdr>
        <w:top w:val="none" w:sz="0" w:space="0" w:color="auto"/>
        <w:left w:val="none" w:sz="0" w:space="0" w:color="auto"/>
        <w:bottom w:val="none" w:sz="0" w:space="0" w:color="auto"/>
        <w:right w:val="none" w:sz="0" w:space="0" w:color="auto"/>
      </w:divBdr>
    </w:div>
    <w:div w:id="1839033778">
      <w:bodyDiv w:val="1"/>
      <w:marLeft w:val="0"/>
      <w:marRight w:val="0"/>
      <w:marTop w:val="0"/>
      <w:marBottom w:val="0"/>
      <w:divBdr>
        <w:top w:val="none" w:sz="0" w:space="0" w:color="auto"/>
        <w:left w:val="none" w:sz="0" w:space="0" w:color="auto"/>
        <w:bottom w:val="none" w:sz="0" w:space="0" w:color="auto"/>
        <w:right w:val="none" w:sz="0" w:space="0" w:color="auto"/>
      </w:divBdr>
    </w:div>
    <w:div w:id="1839803150">
      <w:bodyDiv w:val="1"/>
      <w:marLeft w:val="0"/>
      <w:marRight w:val="0"/>
      <w:marTop w:val="0"/>
      <w:marBottom w:val="0"/>
      <w:divBdr>
        <w:top w:val="none" w:sz="0" w:space="0" w:color="auto"/>
        <w:left w:val="none" w:sz="0" w:space="0" w:color="auto"/>
        <w:bottom w:val="none" w:sz="0" w:space="0" w:color="auto"/>
        <w:right w:val="none" w:sz="0" w:space="0" w:color="auto"/>
      </w:divBdr>
    </w:div>
    <w:div w:id="1839877896">
      <w:bodyDiv w:val="1"/>
      <w:marLeft w:val="0"/>
      <w:marRight w:val="0"/>
      <w:marTop w:val="0"/>
      <w:marBottom w:val="0"/>
      <w:divBdr>
        <w:top w:val="none" w:sz="0" w:space="0" w:color="auto"/>
        <w:left w:val="none" w:sz="0" w:space="0" w:color="auto"/>
        <w:bottom w:val="none" w:sz="0" w:space="0" w:color="auto"/>
        <w:right w:val="none" w:sz="0" w:space="0" w:color="auto"/>
      </w:divBdr>
    </w:div>
    <w:div w:id="1840198562">
      <w:bodyDiv w:val="1"/>
      <w:marLeft w:val="0"/>
      <w:marRight w:val="0"/>
      <w:marTop w:val="0"/>
      <w:marBottom w:val="0"/>
      <w:divBdr>
        <w:top w:val="none" w:sz="0" w:space="0" w:color="auto"/>
        <w:left w:val="none" w:sz="0" w:space="0" w:color="auto"/>
        <w:bottom w:val="none" w:sz="0" w:space="0" w:color="auto"/>
        <w:right w:val="none" w:sz="0" w:space="0" w:color="auto"/>
      </w:divBdr>
    </w:div>
    <w:div w:id="1840582583">
      <w:bodyDiv w:val="1"/>
      <w:marLeft w:val="0"/>
      <w:marRight w:val="0"/>
      <w:marTop w:val="0"/>
      <w:marBottom w:val="0"/>
      <w:divBdr>
        <w:top w:val="none" w:sz="0" w:space="0" w:color="auto"/>
        <w:left w:val="none" w:sz="0" w:space="0" w:color="auto"/>
        <w:bottom w:val="none" w:sz="0" w:space="0" w:color="auto"/>
        <w:right w:val="none" w:sz="0" w:space="0" w:color="auto"/>
      </w:divBdr>
    </w:div>
    <w:div w:id="1842158544">
      <w:bodyDiv w:val="1"/>
      <w:marLeft w:val="0"/>
      <w:marRight w:val="0"/>
      <w:marTop w:val="0"/>
      <w:marBottom w:val="0"/>
      <w:divBdr>
        <w:top w:val="none" w:sz="0" w:space="0" w:color="auto"/>
        <w:left w:val="none" w:sz="0" w:space="0" w:color="auto"/>
        <w:bottom w:val="none" w:sz="0" w:space="0" w:color="auto"/>
        <w:right w:val="none" w:sz="0" w:space="0" w:color="auto"/>
      </w:divBdr>
    </w:div>
    <w:div w:id="1843349312">
      <w:bodyDiv w:val="1"/>
      <w:marLeft w:val="0"/>
      <w:marRight w:val="0"/>
      <w:marTop w:val="0"/>
      <w:marBottom w:val="0"/>
      <w:divBdr>
        <w:top w:val="none" w:sz="0" w:space="0" w:color="auto"/>
        <w:left w:val="none" w:sz="0" w:space="0" w:color="auto"/>
        <w:bottom w:val="none" w:sz="0" w:space="0" w:color="auto"/>
        <w:right w:val="none" w:sz="0" w:space="0" w:color="auto"/>
      </w:divBdr>
    </w:div>
    <w:div w:id="1843736572">
      <w:bodyDiv w:val="1"/>
      <w:marLeft w:val="0"/>
      <w:marRight w:val="0"/>
      <w:marTop w:val="0"/>
      <w:marBottom w:val="0"/>
      <w:divBdr>
        <w:top w:val="none" w:sz="0" w:space="0" w:color="auto"/>
        <w:left w:val="none" w:sz="0" w:space="0" w:color="auto"/>
        <w:bottom w:val="none" w:sz="0" w:space="0" w:color="auto"/>
        <w:right w:val="none" w:sz="0" w:space="0" w:color="auto"/>
      </w:divBdr>
    </w:div>
    <w:div w:id="1843816709">
      <w:bodyDiv w:val="1"/>
      <w:marLeft w:val="0"/>
      <w:marRight w:val="0"/>
      <w:marTop w:val="0"/>
      <w:marBottom w:val="0"/>
      <w:divBdr>
        <w:top w:val="none" w:sz="0" w:space="0" w:color="auto"/>
        <w:left w:val="none" w:sz="0" w:space="0" w:color="auto"/>
        <w:bottom w:val="none" w:sz="0" w:space="0" w:color="auto"/>
        <w:right w:val="none" w:sz="0" w:space="0" w:color="auto"/>
      </w:divBdr>
    </w:div>
    <w:div w:id="1843930951">
      <w:bodyDiv w:val="1"/>
      <w:marLeft w:val="0"/>
      <w:marRight w:val="0"/>
      <w:marTop w:val="0"/>
      <w:marBottom w:val="0"/>
      <w:divBdr>
        <w:top w:val="none" w:sz="0" w:space="0" w:color="auto"/>
        <w:left w:val="none" w:sz="0" w:space="0" w:color="auto"/>
        <w:bottom w:val="none" w:sz="0" w:space="0" w:color="auto"/>
        <w:right w:val="none" w:sz="0" w:space="0" w:color="auto"/>
      </w:divBdr>
    </w:div>
    <w:div w:id="1844125950">
      <w:bodyDiv w:val="1"/>
      <w:marLeft w:val="0"/>
      <w:marRight w:val="0"/>
      <w:marTop w:val="0"/>
      <w:marBottom w:val="0"/>
      <w:divBdr>
        <w:top w:val="none" w:sz="0" w:space="0" w:color="auto"/>
        <w:left w:val="none" w:sz="0" w:space="0" w:color="auto"/>
        <w:bottom w:val="none" w:sz="0" w:space="0" w:color="auto"/>
        <w:right w:val="none" w:sz="0" w:space="0" w:color="auto"/>
      </w:divBdr>
    </w:div>
    <w:div w:id="1844662083">
      <w:bodyDiv w:val="1"/>
      <w:marLeft w:val="0"/>
      <w:marRight w:val="0"/>
      <w:marTop w:val="0"/>
      <w:marBottom w:val="0"/>
      <w:divBdr>
        <w:top w:val="none" w:sz="0" w:space="0" w:color="auto"/>
        <w:left w:val="none" w:sz="0" w:space="0" w:color="auto"/>
        <w:bottom w:val="none" w:sz="0" w:space="0" w:color="auto"/>
        <w:right w:val="none" w:sz="0" w:space="0" w:color="auto"/>
      </w:divBdr>
    </w:div>
    <w:div w:id="1844733352">
      <w:bodyDiv w:val="1"/>
      <w:marLeft w:val="0"/>
      <w:marRight w:val="0"/>
      <w:marTop w:val="0"/>
      <w:marBottom w:val="0"/>
      <w:divBdr>
        <w:top w:val="none" w:sz="0" w:space="0" w:color="auto"/>
        <w:left w:val="none" w:sz="0" w:space="0" w:color="auto"/>
        <w:bottom w:val="none" w:sz="0" w:space="0" w:color="auto"/>
        <w:right w:val="none" w:sz="0" w:space="0" w:color="auto"/>
      </w:divBdr>
    </w:div>
    <w:div w:id="1844779831">
      <w:bodyDiv w:val="1"/>
      <w:marLeft w:val="0"/>
      <w:marRight w:val="0"/>
      <w:marTop w:val="0"/>
      <w:marBottom w:val="0"/>
      <w:divBdr>
        <w:top w:val="none" w:sz="0" w:space="0" w:color="auto"/>
        <w:left w:val="none" w:sz="0" w:space="0" w:color="auto"/>
        <w:bottom w:val="none" w:sz="0" w:space="0" w:color="auto"/>
        <w:right w:val="none" w:sz="0" w:space="0" w:color="auto"/>
      </w:divBdr>
    </w:div>
    <w:div w:id="1844977891">
      <w:bodyDiv w:val="1"/>
      <w:marLeft w:val="0"/>
      <w:marRight w:val="0"/>
      <w:marTop w:val="0"/>
      <w:marBottom w:val="0"/>
      <w:divBdr>
        <w:top w:val="none" w:sz="0" w:space="0" w:color="auto"/>
        <w:left w:val="none" w:sz="0" w:space="0" w:color="auto"/>
        <w:bottom w:val="none" w:sz="0" w:space="0" w:color="auto"/>
        <w:right w:val="none" w:sz="0" w:space="0" w:color="auto"/>
      </w:divBdr>
    </w:div>
    <w:div w:id="1845437008">
      <w:bodyDiv w:val="1"/>
      <w:marLeft w:val="0"/>
      <w:marRight w:val="0"/>
      <w:marTop w:val="0"/>
      <w:marBottom w:val="0"/>
      <w:divBdr>
        <w:top w:val="none" w:sz="0" w:space="0" w:color="auto"/>
        <w:left w:val="none" w:sz="0" w:space="0" w:color="auto"/>
        <w:bottom w:val="none" w:sz="0" w:space="0" w:color="auto"/>
        <w:right w:val="none" w:sz="0" w:space="0" w:color="auto"/>
      </w:divBdr>
    </w:div>
    <w:div w:id="1846162614">
      <w:bodyDiv w:val="1"/>
      <w:marLeft w:val="0"/>
      <w:marRight w:val="0"/>
      <w:marTop w:val="0"/>
      <w:marBottom w:val="0"/>
      <w:divBdr>
        <w:top w:val="none" w:sz="0" w:space="0" w:color="auto"/>
        <w:left w:val="none" w:sz="0" w:space="0" w:color="auto"/>
        <w:bottom w:val="none" w:sz="0" w:space="0" w:color="auto"/>
        <w:right w:val="none" w:sz="0" w:space="0" w:color="auto"/>
      </w:divBdr>
    </w:div>
    <w:div w:id="1846169607">
      <w:bodyDiv w:val="1"/>
      <w:marLeft w:val="0"/>
      <w:marRight w:val="0"/>
      <w:marTop w:val="0"/>
      <w:marBottom w:val="0"/>
      <w:divBdr>
        <w:top w:val="none" w:sz="0" w:space="0" w:color="auto"/>
        <w:left w:val="none" w:sz="0" w:space="0" w:color="auto"/>
        <w:bottom w:val="none" w:sz="0" w:space="0" w:color="auto"/>
        <w:right w:val="none" w:sz="0" w:space="0" w:color="auto"/>
      </w:divBdr>
    </w:div>
    <w:div w:id="1846362449">
      <w:bodyDiv w:val="1"/>
      <w:marLeft w:val="0"/>
      <w:marRight w:val="0"/>
      <w:marTop w:val="0"/>
      <w:marBottom w:val="0"/>
      <w:divBdr>
        <w:top w:val="none" w:sz="0" w:space="0" w:color="auto"/>
        <w:left w:val="none" w:sz="0" w:space="0" w:color="auto"/>
        <w:bottom w:val="none" w:sz="0" w:space="0" w:color="auto"/>
        <w:right w:val="none" w:sz="0" w:space="0" w:color="auto"/>
      </w:divBdr>
    </w:div>
    <w:div w:id="1846632208">
      <w:bodyDiv w:val="1"/>
      <w:marLeft w:val="0"/>
      <w:marRight w:val="0"/>
      <w:marTop w:val="0"/>
      <w:marBottom w:val="0"/>
      <w:divBdr>
        <w:top w:val="none" w:sz="0" w:space="0" w:color="auto"/>
        <w:left w:val="none" w:sz="0" w:space="0" w:color="auto"/>
        <w:bottom w:val="none" w:sz="0" w:space="0" w:color="auto"/>
        <w:right w:val="none" w:sz="0" w:space="0" w:color="auto"/>
      </w:divBdr>
    </w:div>
    <w:div w:id="1847011215">
      <w:bodyDiv w:val="1"/>
      <w:marLeft w:val="0"/>
      <w:marRight w:val="0"/>
      <w:marTop w:val="0"/>
      <w:marBottom w:val="0"/>
      <w:divBdr>
        <w:top w:val="none" w:sz="0" w:space="0" w:color="auto"/>
        <w:left w:val="none" w:sz="0" w:space="0" w:color="auto"/>
        <w:bottom w:val="none" w:sz="0" w:space="0" w:color="auto"/>
        <w:right w:val="none" w:sz="0" w:space="0" w:color="auto"/>
      </w:divBdr>
    </w:div>
    <w:div w:id="1847164529">
      <w:bodyDiv w:val="1"/>
      <w:marLeft w:val="0"/>
      <w:marRight w:val="0"/>
      <w:marTop w:val="0"/>
      <w:marBottom w:val="0"/>
      <w:divBdr>
        <w:top w:val="none" w:sz="0" w:space="0" w:color="auto"/>
        <w:left w:val="none" w:sz="0" w:space="0" w:color="auto"/>
        <w:bottom w:val="none" w:sz="0" w:space="0" w:color="auto"/>
        <w:right w:val="none" w:sz="0" w:space="0" w:color="auto"/>
      </w:divBdr>
    </w:div>
    <w:div w:id="1847284061">
      <w:bodyDiv w:val="1"/>
      <w:marLeft w:val="0"/>
      <w:marRight w:val="0"/>
      <w:marTop w:val="0"/>
      <w:marBottom w:val="0"/>
      <w:divBdr>
        <w:top w:val="none" w:sz="0" w:space="0" w:color="auto"/>
        <w:left w:val="none" w:sz="0" w:space="0" w:color="auto"/>
        <w:bottom w:val="none" w:sz="0" w:space="0" w:color="auto"/>
        <w:right w:val="none" w:sz="0" w:space="0" w:color="auto"/>
      </w:divBdr>
    </w:div>
    <w:div w:id="1848058162">
      <w:bodyDiv w:val="1"/>
      <w:marLeft w:val="0"/>
      <w:marRight w:val="0"/>
      <w:marTop w:val="0"/>
      <w:marBottom w:val="0"/>
      <w:divBdr>
        <w:top w:val="none" w:sz="0" w:space="0" w:color="auto"/>
        <w:left w:val="none" w:sz="0" w:space="0" w:color="auto"/>
        <w:bottom w:val="none" w:sz="0" w:space="0" w:color="auto"/>
        <w:right w:val="none" w:sz="0" w:space="0" w:color="auto"/>
      </w:divBdr>
    </w:div>
    <w:div w:id="1848522825">
      <w:bodyDiv w:val="1"/>
      <w:marLeft w:val="0"/>
      <w:marRight w:val="0"/>
      <w:marTop w:val="0"/>
      <w:marBottom w:val="0"/>
      <w:divBdr>
        <w:top w:val="none" w:sz="0" w:space="0" w:color="auto"/>
        <w:left w:val="none" w:sz="0" w:space="0" w:color="auto"/>
        <w:bottom w:val="none" w:sz="0" w:space="0" w:color="auto"/>
        <w:right w:val="none" w:sz="0" w:space="0" w:color="auto"/>
      </w:divBdr>
    </w:div>
    <w:div w:id="1849056147">
      <w:bodyDiv w:val="1"/>
      <w:marLeft w:val="0"/>
      <w:marRight w:val="0"/>
      <w:marTop w:val="0"/>
      <w:marBottom w:val="0"/>
      <w:divBdr>
        <w:top w:val="none" w:sz="0" w:space="0" w:color="auto"/>
        <w:left w:val="none" w:sz="0" w:space="0" w:color="auto"/>
        <w:bottom w:val="none" w:sz="0" w:space="0" w:color="auto"/>
        <w:right w:val="none" w:sz="0" w:space="0" w:color="auto"/>
      </w:divBdr>
    </w:div>
    <w:div w:id="1849254401">
      <w:bodyDiv w:val="1"/>
      <w:marLeft w:val="0"/>
      <w:marRight w:val="0"/>
      <w:marTop w:val="0"/>
      <w:marBottom w:val="0"/>
      <w:divBdr>
        <w:top w:val="none" w:sz="0" w:space="0" w:color="auto"/>
        <w:left w:val="none" w:sz="0" w:space="0" w:color="auto"/>
        <w:bottom w:val="none" w:sz="0" w:space="0" w:color="auto"/>
        <w:right w:val="none" w:sz="0" w:space="0" w:color="auto"/>
      </w:divBdr>
    </w:div>
    <w:div w:id="1849557547">
      <w:bodyDiv w:val="1"/>
      <w:marLeft w:val="0"/>
      <w:marRight w:val="0"/>
      <w:marTop w:val="0"/>
      <w:marBottom w:val="0"/>
      <w:divBdr>
        <w:top w:val="none" w:sz="0" w:space="0" w:color="auto"/>
        <w:left w:val="none" w:sz="0" w:space="0" w:color="auto"/>
        <w:bottom w:val="none" w:sz="0" w:space="0" w:color="auto"/>
        <w:right w:val="none" w:sz="0" w:space="0" w:color="auto"/>
      </w:divBdr>
    </w:div>
    <w:div w:id="1851136429">
      <w:bodyDiv w:val="1"/>
      <w:marLeft w:val="0"/>
      <w:marRight w:val="0"/>
      <w:marTop w:val="0"/>
      <w:marBottom w:val="0"/>
      <w:divBdr>
        <w:top w:val="none" w:sz="0" w:space="0" w:color="auto"/>
        <w:left w:val="none" w:sz="0" w:space="0" w:color="auto"/>
        <w:bottom w:val="none" w:sz="0" w:space="0" w:color="auto"/>
        <w:right w:val="none" w:sz="0" w:space="0" w:color="auto"/>
      </w:divBdr>
    </w:div>
    <w:div w:id="1851411400">
      <w:bodyDiv w:val="1"/>
      <w:marLeft w:val="0"/>
      <w:marRight w:val="0"/>
      <w:marTop w:val="0"/>
      <w:marBottom w:val="0"/>
      <w:divBdr>
        <w:top w:val="none" w:sz="0" w:space="0" w:color="auto"/>
        <w:left w:val="none" w:sz="0" w:space="0" w:color="auto"/>
        <w:bottom w:val="none" w:sz="0" w:space="0" w:color="auto"/>
        <w:right w:val="none" w:sz="0" w:space="0" w:color="auto"/>
      </w:divBdr>
    </w:div>
    <w:div w:id="1851945465">
      <w:bodyDiv w:val="1"/>
      <w:marLeft w:val="0"/>
      <w:marRight w:val="0"/>
      <w:marTop w:val="0"/>
      <w:marBottom w:val="0"/>
      <w:divBdr>
        <w:top w:val="none" w:sz="0" w:space="0" w:color="auto"/>
        <w:left w:val="none" w:sz="0" w:space="0" w:color="auto"/>
        <w:bottom w:val="none" w:sz="0" w:space="0" w:color="auto"/>
        <w:right w:val="none" w:sz="0" w:space="0" w:color="auto"/>
      </w:divBdr>
    </w:div>
    <w:div w:id="1852184484">
      <w:bodyDiv w:val="1"/>
      <w:marLeft w:val="0"/>
      <w:marRight w:val="0"/>
      <w:marTop w:val="0"/>
      <w:marBottom w:val="0"/>
      <w:divBdr>
        <w:top w:val="none" w:sz="0" w:space="0" w:color="auto"/>
        <w:left w:val="none" w:sz="0" w:space="0" w:color="auto"/>
        <w:bottom w:val="none" w:sz="0" w:space="0" w:color="auto"/>
        <w:right w:val="none" w:sz="0" w:space="0" w:color="auto"/>
      </w:divBdr>
    </w:div>
    <w:div w:id="1852450779">
      <w:bodyDiv w:val="1"/>
      <w:marLeft w:val="0"/>
      <w:marRight w:val="0"/>
      <w:marTop w:val="0"/>
      <w:marBottom w:val="0"/>
      <w:divBdr>
        <w:top w:val="none" w:sz="0" w:space="0" w:color="auto"/>
        <w:left w:val="none" w:sz="0" w:space="0" w:color="auto"/>
        <w:bottom w:val="none" w:sz="0" w:space="0" w:color="auto"/>
        <w:right w:val="none" w:sz="0" w:space="0" w:color="auto"/>
      </w:divBdr>
    </w:div>
    <w:div w:id="1852645034">
      <w:bodyDiv w:val="1"/>
      <w:marLeft w:val="0"/>
      <w:marRight w:val="0"/>
      <w:marTop w:val="0"/>
      <w:marBottom w:val="0"/>
      <w:divBdr>
        <w:top w:val="none" w:sz="0" w:space="0" w:color="auto"/>
        <w:left w:val="none" w:sz="0" w:space="0" w:color="auto"/>
        <w:bottom w:val="none" w:sz="0" w:space="0" w:color="auto"/>
        <w:right w:val="none" w:sz="0" w:space="0" w:color="auto"/>
      </w:divBdr>
    </w:div>
    <w:div w:id="1853102339">
      <w:bodyDiv w:val="1"/>
      <w:marLeft w:val="0"/>
      <w:marRight w:val="0"/>
      <w:marTop w:val="0"/>
      <w:marBottom w:val="0"/>
      <w:divBdr>
        <w:top w:val="none" w:sz="0" w:space="0" w:color="auto"/>
        <w:left w:val="none" w:sz="0" w:space="0" w:color="auto"/>
        <w:bottom w:val="none" w:sz="0" w:space="0" w:color="auto"/>
        <w:right w:val="none" w:sz="0" w:space="0" w:color="auto"/>
      </w:divBdr>
    </w:div>
    <w:div w:id="1853568245">
      <w:bodyDiv w:val="1"/>
      <w:marLeft w:val="0"/>
      <w:marRight w:val="0"/>
      <w:marTop w:val="0"/>
      <w:marBottom w:val="0"/>
      <w:divBdr>
        <w:top w:val="none" w:sz="0" w:space="0" w:color="auto"/>
        <w:left w:val="none" w:sz="0" w:space="0" w:color="auto"/>
        <w:bottom w:val="none" w:sz="0" w:space="0" w:color="auto"/>
        <w:right w:val="none" w:sz="0" w:space="0" w:color="auto"/>
      </w:divBdr>
    </w:div>
    <w:div w:id="1853645115">
      <w:bodyDiv w:val="1"/>
      <w:marLeft w:val="0"/>
      <w:marRight w:val="0"/>
      <w:marTop w:val="0"/>
      <w:marBottom w:val="0"/>
      <w:divBdr>
        <w:top w:val="none" w:sz="0" w:space="0" w:color="auto"/>
        <w:left w:val="none" w:sz="0" w:space="0" w:color="auto"/>
        <w:bottom w:val="none" w:sz="0" w:space="0" w:color="auto"/>
        <w:right w:val="none" w:sz="0" w:space="0" w:color="auto"/>
      </w:divBdr>
    </w:div>
    <w:div w:id="1854565540">
      <w:bodyDiv w:val="1"/>
      <w:marLeft w:val="0"/>
      <w:marRight w:val="0"/>
      <w:marTop w:val="0"/>
      <w:marBottom w:val="0"/>
      <w:divBdr>
        <w:top w:val="none" w:sz="0" w:space="0" w:color="auto"/>
        <w:left w:val="none" w:sz="0" w:space="0" w:color="auto"/>
        <w:bottom w:val="none" w:sz="0" w:space="0" w:color="auto"/>
        <w:right w:val="none" w:sz="0" w:space="0" w:color="auto"/>
      </w:divBdr>
    </w:div>
    <w:div w:id="1854803247">
      <w:bodyDiv w:val="1"/>
      <w:marLeft w:val="0"/>
      <w:marRight w:val="0"/>
      <w:marTop w:val="0"/>
      <w:marBottom w:val="0"/>
      <w:divBdr>
        <w:top w:val="none" w:sz="0" w:space="0" w:color="auto"/>
        <w:left w:val="none" w:sz="0" w:space="0" w:color="auto"/>
        <w:bottom w:val="none" w:sz="0" w:space="0" w:color="auto"/>
        <w:right w:val="none" w:sz="0" w:space="0" w:color="auto"/>
      </w:divBdr>
    </w:div>
    <w:div w:id="1855336142">
      <w:bodyDiv w:val="1"/>
      <w:marLeft w:val="0"/>
      <w:marRight w:val="0"/>
      <w:marTop w:val="0"/>
      <w:marBottom w:val="0"/>
      <w:divBdr>
        <w:top w:val="none" w:sz="0" w:space="0" w:color="auto"/>
        <w:left w:val="none" w:sz="0" w:space="0" w:color="auto"/>
        <w:bottom w:val="none" w:sz="0" w:space="0" w:color="auto"/>
        <w:right w:val="none" w:sz="0" w:space="0" w:color="auto"/>
      </w:divBdr>
    </w:div>
    <w:div w:id="1855680002">
      <w:bodyDiv w:val="1"/>
      <w:marLeft w:val="0"/>
      <w:marRight w:val="0"/>
      <w:marTop w:val="0"/>
      <w:marBottom w:val="0"/>
      <w:divBdr>
        <w:top w:val="none" w:sz="0" w:space="0" w:color="auto"/>
        <w:left w:val="none" w:sz="0" w:space="0" w:color="auto"/>
        <w:bottom w:val="none" w:sz="0" w:space="0" w:color="auto"/>
        <w:right w:val="none" w:sz="0" w:space="0" w:color="auto"/>
      </w:divBdr>
    </w:div>
    <w:div w:id="1856845874">
      <w:bodyDiv w:val="1"/>
      <w:marLeft w:val="0"/>
      <w:marRight w:val="0"/>
      <w:marTop w:val="0"/>
      <w:marBottom w:val="0"/>
      <w:divBdr>
        <w:top w:val="none" w:sz="0" w:space="0" w:color="auto"/>
        <w:left w:val="none" w:sz="0" w:space="0" w:color="auto"/>
        <w:bottom w:val="none" w:sz="0" w:space="0" w:color="auto"/>
        <w:right w:val="none" w:sz="0" w:space="0" w:color="auto"/>
      </w:divBdr>
    </w:div>
    <w:div w:id="1856963938">
      <w:bodyDiv w:val="1"/>
      <w:marLeft w:val="0"/>
      <w:marRight w:val="0"/>
      <w:marTop w:val="0"/>
      <w:marBottom w:val="0"/>
      <w:divBdr>
        <w:top w:val="none" w:sz="0" w:space="0" w:color="auto"/>
        <w:left w:val="none" w:sz="0" w:space="0" w:color="auto"/>
        <w:bottom w:val="none" w:sz="0" w:space="0" w:color="auto"/>
        <w:right w:val="none" w:sz="0" w:space="0" w:color="auto"/>
      </w:divBdr>
    </w:div>
    <w:div w:id="1856994243">
      <w:bodyDiv w:val="1"/>
      <w:marLeft w:val="0"/>
      <w:marRight w:val="0"/>
      <w:marTop w:val="0"/>
      <w:marBottom w:val="0"/>
      <w:divBdr>
        <w:top w:val="none" w:sz="0" w:space="0" w:color="auto"/>
        <w:left w:val="none" w:sz="0" w:space="0" w:color="auto"/>
        <w:bottom w:val="none" w:sz="0" w:space="0" w:color="auto"/>
        <w:right w:val="none" w:sz="0" w:space="0" w:color="auto"/>
      </w:divBdr>
    </w:div>
    <w:div w:id="1857041282">
      <w:bodyDiv w:val="1"/>
      <w:marLeft w:val="0"/>
      <w:marRight w:val="0"/>
      <w:marTop w:val="0"/>
      <w:marBottom w:val="0"/>
      <w:divBdr>
        <w:top w:val="none" w:sz="0" w:space="0" w:color="auto"/>
        <w:left w:val="none" w:sz="0" w:space="0" w:color="auto"/>
        <w:bottom w:val="none" w:sz="0" w:space="0" w:color="auto"/>
        <w:right w:val="none" w:sz="0" w:space="0" w:color="auto"/>
      </w:divBdr>
    </w:div>
    <w:div w:id="1857114533">
      <w:bodyDiv w:val="1"/>
      <w:marLeft w:val="0"/>
      <w:marRight w:val="0"/>
      <w:marTop w:val="0"/>
      <w:marBottom w:val="0"/>
      <w:divBdr>
        <w:top w:val="none" w:sz="0" w:space="0" w:color="auto"/>
        <w:left w:val="none" w:sz="0" w:space="0" w:color="auto"/>
        <w:bottom w:val="none" w:sz="0" w:space="0" w:color="auto"/>
        <w:right w:val="none" w:sz="0" w:space="0" w:color="auto"/>
      </w:divBdr>
    </w:div>
    <w:div w:id="1857189218">
      <w:bodyDiv w:val="1"/>
      <w:marLeft w:val="0"/>
      <w:marRight w:val="0"/>
      <w:marTop w:val="0"/>
      <w:marBottom w:val="0"/>
      <w:divBdr>
        <w:top w:val="none" w:sz="0" w:space="0" w:color="auto"/>
        <w:left w:val="none" w:sz="0" w:space="0" w:color="auto"/>
        <w:bottom w:val="none" w:sz="0" w:space="0" w:color="auto"/>
        <w:right w:val="none" w:sz="0" w:space="0" w:color="auto"/>
      </w:divBdr>
    </w:div>
    <w:div w:id="1857690984">
      <w:bodyDiv w:val="1"/>
      <w:marLeft w:val="0"/>
      <w:marRight w:val="0"/>
      <w:marTop w:val="0"/>
      <w:marBottom w:val="0"/>
      <w:divBdr>
        <w:top w:val="none" w:sz="0" w:space="0" w:color="auto"/>
        <w:left w:val="none" w:sz="0" w:space="0" w:color="auto"/>
        <w:bottom w:val="none" w:sz="0" w:space="0" w:color="auto"/>
        <w:right w:val="none" w:sz="0" w:space="0" w:color="auto"/>
      </w:divBdr>
    </w:div>
    <w:div w:id="1857768945">
      <w:bodyDiv w:val="1"/>
      <w:marLeft w:val="0"/>
      <w:marRight w:val="0"/>
      <w:marTop w:val="0"/>
      <w:marBottom w:val="0"/>
      <w:divBdr>
        <w:top w:val="none" w:sz="0" w:space="0" w:color="auto"/>
        <w:left w:val="none" w:sz="0" w:space="0" w:color="auto"/>
        <w:bottom w:val="none" w:sz="0" w:space="0" w:color="auto"/>
        <w:right w:val="none" w:sz="0" w:space="0" w:color="auto"/>
      </w:divBdr>
    </w:div>
    <w:div w:id="1858692901">
      <w:bodyDiv w:val="1"/>
      <w:marLeft w:val="0"/>
      <w:marRight w:val="0"/>
      <w:marTop w:val="0"/>
      <w:marBottom w:val="0"/>
      <w:divBdr>
        <w:top w:val="none" w:sz="0" w:space="0" w:color="auto"/>
        <w:left w:val="none" w:sz="0" w:space="0" w:color="auto"/>
        <w:bottom w:val="none" w:sz="0" w:space="0" w:color="auto"/>
        <w:right w:val="none" w:sz="0" w:space="0" w:color="auto"/>
      </w:divBdr>
    </w:div>
    <w:div w:id="1858735894">
      <w:bodyDiv w:val="1"/>
      <w:marLeft w:val="0"/>
      <w:marRight w:val="0"/>
      <w:marTop w:val="0"/>
      <w:marBottom w:val="0"/>
      <w:divBdr>
        <w:top w:val="none" w:sz="0" w:space="0" w:color="auto"/>
        <w:left w:val="none" w:sz="0" w:space="0" w:color="auto"/>
        <w:bottom w:val="none" w:sz="0" w:space="0" w:color="auto"/>
        <w:right w:val="none" w:sz="0" w:space="0" w:color="auto"/>
      </w:divBdr>
    </w:div>
    <w:div w:id="1858762997">
      <w:bodyDiv w:val="1"/>
      <w:marLeft w:val="0"/>
      <w:marRight w:val="0"/>
      <w:marTop w:val="0"/>
      <w:marBottom w:val="0"/>
      <w:divBdr>
        <w:top w:val="none" w:sz="0" w:space="0" w:color="auto"/>
        <w:left w:val="none" w:sz="0" w:space="0" w:color="auto"/>
        <w:bottom w:val="none" w:sz="0" w:space="0" w:color="auto"/>
        <w:right w:val="none" w:sz="0" w:space="0" w:color="auto"/>
      </w:divBdr>
    </w:div>
    <w:div w:id="1858806644">
      <w:bodyDiv w:val="1"/>
      <w:marLeft w:val="0"/>
      <w:marRight w:val="0"/>
      <w:marTop w:val="0"/>
      <w:marBottom w:val="0"/>
      <w:divBdr>
        <w:top w:val="none" w:sz="0" w:space="0" w:color="auto"/>
        <w:left w:val="none" w:sz="0" w:space="0" w:color="auto"/>
        <w:bottom w:val="none" w:sz="0" w:space="0" w:color="auto"/>
        <w:right w:val="none" w:sz="0" w:space="0" w:color="auto"/>
      </w:divBdr>
    </w:div>
    <w:div w:id="1858931698">
      <w:bodyDiv w:val="1"/>
      <w:marLeft w:val="0"/>
      <w:marRight w:val="0"/>
      <w:marTop w:val="0"/>
      <w:marBottom w:val="0"/>
      <w:divBdr>
        <w:top w:val="none" w:sz="0" w:space="0" w:color="auto"/>
        <w:left w:val="none" w:sz="0" w:space="0" w:color="auto"/>
        <w:bottom w:val="none" w:sz="0" w:space="0" w:color="auto"/>
        <w:right w:val="none" w:sz="0" w:space="0" w:color="auto"/>
      </w:divBdr>
    </w:div>
    <w:div w:id="1859156040">
      <w:bodyDiv w:val="1"/>
      <w:marLeft w:val="0"/>
      <w:marRight w:val="0"/>
      <w:marTop w:val="0"/>
      <w:marBottom w:val="0"/>
      <w:divBdr>
        <w:top w:val="none" w:sz="0" w:space="0" w:color="auto"/>
        <w:left w:val="none" w:sz="0" w:space="0" w:color="auto"/>
        <w:bottom w:val="none" w:sz="0" w:space="0" w:color="auto"/>
        <w:right w:val="none" w:sz="0" w:space="0" w:color="auto"/>
      </w:divBdr>
    </w:div>
    <w:div w:id="1859275202">
      <w:bodyDiv w:val="1"/>
      <w:marLeft w:val="0"/>
      <w:marRight w:val="0"/>
      <w:marTop w:val="0"/>
      <w:marBottom w:val="0"/>
      <w:divBdr>
        <w:top w:val="none" w:sz="0" w:space="0" w:color="auto"/>
        <w:left w:val="none" w:sz="0" w:space="0" w:color="auto"/>
        <w:bottom w:val="none" w:sz="0" w:space="0" w:color="auto"/>
        <w:right w:val="none" w:sz="0" w:space="0" w:color="auto"/>
      </w:divBdr>
    </w:div>
    <w:div w:id="1859470299">
      <w:bodyDiv w:val="1"/>
      <w:marLeft w:val="0"/>
      <w:marRight w:val="0"/>
      <w:marTop w:val="0"/>
      <w:marBottom w:val="0"/>
      <w:divBdr>
        <w:top w:val="none" w:sz="0" w:space="0" w:color="auto"/>
        <w:left w:val="none" w:sz="0" w:space="0" w:color="auto"/>
        <w:bottom w:val="none" w:sz="0" w:space="0" w:color="auto"/>
        <w:right w:val="none" w:sz="0" w:space="0" w:color="auto"/>
      </w:divBdr>
    </w:div>
    <w:div w:id="1859658953">
      <w:bodyDiv w:val="1"/>
      <w:marLeft w:val="0"/>
      <w:marRight w:val="0"/>
      <w:marTop w:val="0"/>
      <w:marBottom w:val="0"/>
      <w:divBdr>
        <w:top w:val="none" w:sz="0" w:space="0" w:color="auto"/>
        <w:left w:val="none" w:sz="0" w:space="0" w:color="auto"/>
        <w:bottom w:val="none" w:sz="0" w:space="0" w:color="auto"/>
        <w:right w:val="none" w:sz="0" w:space="0" w:color="auto"/>
      </w:divBdr>
    </w:div>
    <w:div w:id="1859811540">
      <w:bodyDiv w:val="1"/>
      <w:marLeft w:val="0"/>
      <w:marRight w:val="0"/>
      <w:marTop w:val="0"/>
      <w:marBottom w:val="0"/>
      <w:divBdr>
        <w:top w:val="none" w:sz="0" w:space="0" w:color="auto"/>
        <w:left w:val="none" w:sz="0" w:space="0" w:color="auto"/>
        <w:bottom w:val="none" w:sz="0" w:space="0" w:color="auto"/>
        <w:right w:val="none" w:sz="0" w:space="0" w:color="auto"/>
      </w:divBdr>
    </w:div>
    <w:div w:id="1860119747">
      <w:bodyDiv w:val="1"/>
      <w:marLeft w:val="0"/>
      <w:marRight w:val="0"/>
      <w:marTop w:val="0"/>
      <w:marBottom w:val="0"/>
      <w:divBdr>
        <w:top w:val="none" w:sz="0" w:space="0" w:color="auto"/>
        <w:left w:val="none" w:sz="0" w:space="0" w:color="auto"/>
        <w:bottom w:val="none" w:sz="0" w:space="0" w:color="auto"/>
        <w:right w:val="none" w:sz="0" w:space="0" w:color="auto"/>
      </w:divBdr>
    </w:div>
    <w:div w:id="1860586550">
      <w:bodyDiv w:val="1"/>
      <w:marLeft w:val="0"/>
      <w:marRight w:val="0"/>
      <w:marTop w:val="0"/>
      <w:marBottom w:val="0"/>
      <w:divBdr>
        <w:top w:val="none" w:sz="0" w:space="0" w:color="auto"/>
        <w:left w:val="none" w:sz="0" w:space="0" w:color="auto"/>
        <w:bottom w:val="none" w:sz="0" w:space="0" w:color="auto"/>
        <w:right w:val="none" w:sz="0" w:space="0" w:color="auto"/>
      </w:divBdr>
    </w:div>
    <w:div w:id="1861118398">
      <w:bodyDiv w:val="1"/>
      <w:marLeft w:val="0"/>
      <w:marRight w:val="0"/>
      <w:marTop w:val="0"/>
      <w:marBottom w:val="0"/>
      <w:divBdr>
        <w:top w:val="none" w:sz="0" w:space="0" w:color="auto"/>
        <w:left w:val="none" w:sz="0" w:space="0" w:color="auto"/>
        <w:bottom w:val="none" w:sz="0" w:space="0" w:color="auto"/>
        <w:right w:val="none" w:sz="0" w:space="0" w:color="auto"/>
      </w:divBdr>
    </w:div>
    <w:div w:id="1861310347">
      <w:bodyDiv w:val="1"/>
      <w:marLeft w:val="0"/>
      <w:marRight w:val="0"/>
      <w:marTop w:val="0"/>
      <w:marBottom w:val="0"/>
      <w:divBdr>
        <w:top w:val="none" w:sz="0" w:space="0" w:color="auto"/>
        <w:left w:val="none" w:sz="0" w:space="0" w:color="auto"/>
        <w:bottom w:val="none" w:sz="0" w:space="0" w:color="auto"/>
        <w:right w:val="none" w:sz="0" w:space="0" w:color="auto"/>
      </w:divBdr>
    </w:div>
    <w:div w:id="1861434668">
      <w:bodyDiv w:val="1"/>
      <w:marLeft w:val="0"/>
      <w:marRight w:val="0"/>
      <w:marTop w:val="0"/>
      <w:marBottom w:val="0"/>
      <w:divBdr>
        <w:top w:val="none" w:sz="0" w:space="0" w:color="auto"/>
        <w:left w:val="none" w:sz="0" w:space="0" w:color="auto"/>
        <w:bottom w:val="none" w:sz="0" w:space="0" w:color="auto"/>
        <w:right w:val="none" w:sz="0" w:space="0" w:color="auto"/>
      </w:divBdr>
    </w:div>
    <w:div w:id="1861501708">
      <w:bodyDiv w:val="1"/>
      <w:marLeft w:val="0"/>
      <w:marRight w:val="0"/>
      <w:marTop w:val="0"/>
      <w:marBottom w:val="0"/>
      <w:divBdr>
        <w:top w:val="none" w:sz="0" w:space="0" w:color="auto"/>
        <w:left w:val="none" w:sz="0" w:space="0" w:color="auto"/>
        <w:bottom w:val="none" w:sz="0" w:space="0" w:color="auto"/>
        <w:right w:val="none" w:sz="0" w:space="0" w:color="auto"/>
      </w:divBdr>
    </w:div>
    <w:div w:id="1861777421">
      <w:bodyDiv w:val="1"/>
      <w:marLeft w:val="0"/>
      <w:marRight w:val="0"/>
      <w:marTop w:val="0"/>
      <w:marBottom w:val="0"/>
      <w:divBdr>
        <w:top w:val="none" w:sz="0" w:space="0" w:color="auto"/>
        <w:left w:val="none" w:sz="0" w:space="0" w:color="auto"/>
        <w:bottom w:val="none" w:sz="0" w:space="0" w:color="auto"/>
        <w:right w:val="none" w:sz="0" w:space="0" w:color="auto"/>
      </w:divBdr>
    </w:div>
    <w:div w:id="1861817222">
      <w:bodyDiv w:val="1"/>
      <w:marLeft w:val="0"/>
      <w:marRight w:val="0"/>
      <w:marTop w:val="0"/>
      <w:marBottom w:val="0"/>
      <w:divBdr>
        <w:top w:val="none" w:sz="0" w:space="0" w:color="auto"/>
        <w:left w:val="none" w:sz="0" w:space="0" w:color="auto"/>
        <w:bottom w:val="none" w:sz="0" w:space="0" w:color="auto"/>
        <w:right w:val="none" w:sz="0" w:space="0" w:color="auto"/>
      </w:divBdr>
    </w:div>
    <w:div w:id="1861893048">
      <w:bodyDiv w:val="1"/>
      <w:marLeft w:val="0"/>
      <w:marRight w:val="0"/>
      <w:marTop w:val="0"/>
      <w:marBottom w:val="0"/>
      <w:divBdr>
        <w:top w:val="none" w:sz="0" w:space="0" w:color="auto"/>
        <w:left w:val="none" w:sz="0" w:space="0" w:color="auto"/>
        <w:bottom w:val="none" w:sz="0" w:space="0" w:color="auto"/>
        <w:right w:val="none" w:sz="0" w:space="0" w:color="auto"/>
      </w:divBdr>
    </w:div>
    <w:div w:id="1862353495">
      <w:bodyDiv w:val="1"/>
      <w:marLeft w:val="0"/>
      <w:marRight w:val="0"/>
      <w:marTop w:val="0"/>
      <w:marBottom w:val="0"/>
      <w:divBdr>
        <w:top w:val="none" w:sz="0" w:space="0" w:color="auto"/>
        <w:left w:val="none" w:sz="0" w:space="0" w:color="auto"/>
        <w:bottom w:val="none" w:sz="0" w:space="0" w:color="auto"/>
        <w:right w:val="none" w:sz="0" w:space="0" w:color="auto"/>
      </w:divBdr>
    </w:div>
    <w:div w:id="1863005809">
      <w:bodyDiv w:val="1"/>
      <w:marLeft w:val="0"/>
      <w:marRight w:val="0"/>
      <w:marTop w:val="0"/>
      <w:marBottom w:val="0"/>
      <w:divBdr>
        <w:top w:val="none" w:sz="0" w:space="0" w:color="auto"/>
        <w:left w:val="none" w:sz="0" w:space="0" w:color="auto"/>
        <w:bottom w:val="none" w:sz="0" w:space="0" w:color="auto"/>
        <w:right w:val="none" w:sz="0" w:space="0" w:color="auto"/>
      </w:divBdr>
    </w:div>
    <w:div w:id="1863201021">
      <w:bodyDiv w:val="1"/>
      <w:marLeft w:val="0"/>
      <w:marRight w:val="0"/>
      <w:marTop w:val="0"/>
      <w:marBottom w:val="0"/>
      <w:divBdr>
        <w:top w:val="none" w:sz="0" w:space="0" w:color="auto"/>
        <w:left w:val="none" w:sz="0" w:space="0" w:color="auto"/>
        <w:bottom w:val="none" w:sz="0" w:space="0" w:color="auto"/>
        <w:right w:val="none" w:sz="0" w:space="0" w:color="auto"/>
      </w:divBdr>
    </w:div>
    <w:div w:id="1863745391">
      <w:bodyDiv w:val="1"/>
      <w:marLeft w:val="0"/>
      <w:marRight w:val="0"/>
      <w:marTop w:val="0"/>
      <w:marBottom w:val="0"/>
      <w:divBdr>
        <w:top w:val="none" w:sz="0" w:space="0" w:color="auto"/>
        <w:left w:val="none" w:sz="0" w:space="0" w:color="auto"/>
        <w:bottom w:val="none" w:sz="0" w:space="0" w:color="auto"/>
        <w:right w:val="none" w:sz="0" w:space="0" w:color="auto"/>
      </w:divBdr>
    </w:div>
    <w:div w:id="1863930456">
      <w:bodyDiv w:val="1"/>
      <w:marLeft w:val="0"/>
      <w:marRight w:val="0"/>
      <w:marTop w:val="0"/>
      <w:marBottom w:val="0"/>
      <w:divBdr>
        <w:top w:val="none" w:sz="0" w:space="0" w:color="auto"/>
        <w:left w:val="none" w:sz="0" w:space="0" w:color="auto"/>
        <w:bottom w:val="none" w:sz="0" w:space="0" w:color="auto"/>
        <w:right w:val="none" w:sz="0" w:space="0" w:color="auto"/>
      </w:divBdr>
    </w:div>
    <w:div w:id="1864129123">
      <w:bodyDiv w:val="1"/>
      <w:marLeft w:val="0"/>
      <w:marRight w:val="0"/>
      <w:marTop w:val="0"/>
      <w:marBottom w:val="0"/>
      <w:divBdr>
        <w:top w:val="none" w:sz="0" w:space="0" w:color="auto"/>
        <w:left w:val="none" w:sz="0" w:space="0" w:color="auto"/>
        <w:bottom w:val="none" w:sz="0" w:space="0" w:color="auto"/>
        <w:right w:val="none" w:sz="0" w:space="0" w:color="auto"/>
      </w:divBdr>
    </w:div>
    <w:div w:id="1865168279">
      <w:bodyDiv w:val="1"/>
      <w:marLeft w:val="0"/>
      <w:marRight w:val="0"/>
      <w:marTop w:val="0"/>
      <w:marBottom w:val="0"/>
      <w:divBdr>
        <w:top w:val="none" w:sz="0" w:space="0" w:color="auto"/>
        <w:left w:val="none" w:sz="0" w:space="0" w:color="auto"/>
        <w:bottom w:val="none" w:sz="0" w:space="0" w:color="auto"/>
        <w:right w:val="none" w:sz="0" w:space="0" w:color="auto"/>
      </w:divBdr>
    </w:div>
    <w:div w:id="1865437862">
      <w:bodyDiv w:val="1"/>
      <w:marLeft w:val="0"/>
      <w:marRight w:val="0"/>
      <w:marTop w:val="0"/>
      <w:marBottom w:val="0"/>
      <w:divBdr>
        <w:top w:val="none" w:sz="0" w:space="0" w:color="auto"/>
        <w:left w:val="none" w:sz="0" w:space="0" w:color="auto"/>
        <w:bottom w:val="none" w:sz="0" w:space="0" w:color="auto"/>
        <w:right w:val="none" w:sz="0" w:space="0" w:color="auto"/>
      </w:divBdr>
    </w:div>
    <w:div w:id="1865554054">
      <w:bodyDiv w:val="1"/>
      <w:marLeft w:val="0"/>
      <w:marRight w:val="0"/>
      <w:marTop w:val="0"/>
      <w:marBottom w:val="0"/>
      <w:divBdr>
        <w:top w:val="none" w:sz="0" w:space="0" w:color="auto"/>
        <w:left w:val="none" w:sz="0" w:space="0" w:color="auto"/>
        <w:bottom w:val="none" w:sz="0" w:space="0" w:color="auto"/>
        <w:right w:val="none" w:sz="0" w:space="0" w:color="auto"/>
      </w:divBdr>
    </w:div>
    <w:div w:id="1866363797">
      <w:bodyDiv w:val="1"/>
      <w:marLeft w:val="0"/>
      <w:marRight w:val="0"/>
      <w:marTop w:val="0"/>
      <w:marBottom w:val="0"/>
      <w:divBdr>
        <w:top w:val="none" w:sz="0" w:space="0" w:color="auto"/>
        <w:left w:val="none" w:sz="0" w:space="0" w:color="auto"/>
        <w:bottom w:val="none" w:sz="0" w:space="0" w:color="auto"/>
        <w:right w:val="none" w:sz="0" w:space="0" w:color="auto"/>
      </w:divBdr>
    </w:div>
    <w:div w:id="1866626517">
      <w:bodyDiv w:val="1"/>
      <w:marLeft w:val="0"/>
      <w:marRight w:val="0"/>
      <w:marTop w:val="0"/>
      <w:marBottom w:val="0"/>
      <w:divBdr>
        <w:top w:val="none" w:sz="0" w:space="0" w:color="auto"/>
        <w:left w:val="none" w:sz="0" w:space="0" w:color="auto"/>
        <w:bottom w:val="none" w:sz="0" w:space="0" w:color="auto"/>
        <w:right w:val="none" w:sz="0" w:space="0" w:color="auto"/>
      </w:divBdr>
    </w:div>
    <w:div w:id="1866869929">
      <w:bodyDiv w:val="1"/>
      <w:marLeft w:val="0"/>
      <w:marRight w:val="0"/>
      <w:marTop w:val="0"/>
      <w:marBottom w:val="0"/>
      <w:divBdr>
        <w:top w:val="none" w:sz="0" w:space="0" w:color="auto"/>
        <w:left w:val="none" w:sz="0" w:space="0" w:color="auto"/>
        <w:bottom w:val="none" w:sz="0" w:space="0" w:color="auto"/>
        <w:right w:val="none" w:sz="0" w:space="0" w:color="auto"/>
      </w:divBdr>
    </w:div>
    <w:div w:id="1867059673">
      <w:bodyDiv w:val="1"/>
      <w:marLeft w:val="0"/>
      <w:marRight w:val="0"/>
      <w:marTop w:val="0"/>
      <w:marBottom w:val="0"/>
      <w:divBdr>
        <w:top w:val="none" w:sz="0" w:space="0" w:color="auto"/>
        <w:left w:val="none" w:sz="0" w:space="0" w:color="auto"/>
        <w:bottom w:val="none" w:sz="0" w:space="0" w:color="auto"/>
        <w:right w:val="none" w:sz="0" w:space="0" w:color="auto"/>
      </w:divBdr>
    </w:div>
    <w:div w:id="1867060939">
      <w:bodyDiv w:val="1"/>
      <w:marLeft w:val="0"/>
      <w:marRight w:val="0"/>
      <w:marTop w:val="0"/>
      <w:marBottom w:val="0"/>
      <w:divBdr>
        <w:top w:val="none" w:sz="0" w:space="0" w:color="auto"/>
        <w:left w:val="none" w:sz="0" w:space="0" w:color="auto"/>
        <w:bottom w:val="none" w:sz="0" w:space="0" w:color="auto"/>
        <w:right w:val="none" w:sz="0" w:space="0" w:color="auto"/>
      </w:divBdr>
    </w:div>
    <w:div w:id="1867131627">
      <w:bodyDiv w:val="1"/>
      <w:marLeft w:val="0"/>
      <w:marRight w:val="0"/>
      <w:marTop w:val="0"/>
      <w:marBottom w:val="0"/>
      <w:divBdr>
        <w:top w:val="none" w:sz="0" w:space="0" w:color="auto"/>
        <w:left w:val="none" w:sz="0" w:space="0" w:color="auto"/>
        <w:bottom w:val="none" w:sz="0" w:space="0" w:color="auto"/>
        <w:right w:val="none" w:sz="0" w:space="0" w:color="auto"/>
      </w:divBdr>
    </w:div>
    <w:div w:id="1867401154">
      <w:bodyDiv w:val="1"/>
      <w:marLeft w:val="0"/>
      <w:marRight w:val="0"/>
      <w:marTop w:val="0"/>
      <w:marBottom w:val="0"/>
      <w:divBdr>
        <w:top w:val="none" w:sz="0" w:space="0" w:color="auto"/>
        <w:left w:val="none" w:sz="0" w:space="0" w:color="auto"/>
        <w:bottom w:val="none" w:sz="0" w:space="0" w:color="auto"/>
        <w:right w:val="none" w:sz="0" w:space="0" w:color="auto"/>
      </w:divBdr>
    </w:div>
    <w:div w:id="1867982015">
      <w:bodyDiv w:val="1"/>
      <w:marLeft w:val="0"/>
      <w:marRight w:val="0"/>
      <w:marTop w:val="0"/>
      <w:marBottom w:val="0"/>
      <w:divBdr>
        <w:top w:val="none" w:sz="0" w:space="0" w:color="auto"/>
        <w:left w:val="none" w:sz="0" w:space="0" w:color="auto"/>
        <w:bottom w:val="none" w:sz="0" w:space="0" w:color="auto"/>
        <w:right w:val="none" w:sz="0" w:space="0" w:color="auto"/>
      </w:divBdr>
    </w:div>
    <w:div w:id="1868257041">
      <w:bodyDiv w:val="1"/>
      <w:marLeft w:val="0"/>
      <w:marRight w:val="0"/>
      <w:marTop w:val="0"/>
      <w:marBottom w:val="0"/>
      <w:divBdr>
        <w:top w:val="none" w:sz="0" w:space="0" w:color="auto"/>
        <w:left w:val="none" w:sz="0" w:space="0" w:color="auto"/>
        <w:bottom w:val="none" w:sz="0" w:space="0" w:color="auto"/>
        <w:right w:val="none" w:sz="0" w:space="0" w:color="auto"/>
      </w:divBdr>
    </w:div>
    <w:div w:id="1868372515">
      <w:bodyDiv w:val="1"/>
      <w:marLeft w:val="0"/>
      <w:marRight w:val="0"/>
      <w:marTop w:val="0"/>
      <w:marBottom w:val="0"/>
      <w:divBdr>
        <w:top w:val="none" w:sz="0" w:space="0" w:color="auto"/>
        <w:left w:val="none" w:sz="0" w:space="0" w:color="auto"/>
        <w:bottom w:val="none" w:sz="0" w:space="0" w:color="auto"/>
        <w:right w:val="none" w:sz="0" w:space="0" w:color="auto"/>
      </w:divBdr>
    </w:div>
    <w:div w:id="1868446171">
      <w:bodyDiv w:val="1"/>
      <w:marLeft w:val="0"/>
      <w:marRight w:val="0"/>
      <w:marTop w:val="0"/>
      <w:marBottom w:val="0"/>
      <w:divBdr>
        <w:top w:val="none" w:sz="0" w:space="0" w:color="auto"/>
        <w:left w:val="none" w:sz="0" w:space="0" w:color="auto"/>
        <w:bottom w:val="none" w:sz="0" w:space="0" w:color="auto"/>
        <w:right w:val="none" w:sz="0" w:space="0" w:color="auto"/>
      </w:divBdr>
    </w:div>
    <w:div w:id="1868565969">
      <w:bodyDiv w:val="1"/>
      <w:marLeft w:val="0"/>
      <w:marRight w:val="0"/>
      <w:marTop w:val="0"/>
      <w:marBottom w:val="0"/>
      <w:divBdr>
        <w:top w:val="none" w:sz="0" w:space="0" w:color="auto"/>
        <w:left w:val="none" w:sz="0" w:space="0" w:color="auto"/>
        <w:bottom w:val="none" w:sz="0" w:space="0" w:color="auto"/>
        <w:right w:val="none" w:sz="0" w:space="0" w:color="auto"/>
      </w:divBdr>
    </w:div>
    <w:div w:id="1868761021">
      <w:bodyDiv w:val="1"/>
      <w:marLeft w:val="0"/>
      <w:marRight w:val="0"/>
      <w:marTop w:val="0"/>
      <w:marBottom w:val="0"/>
      <w:divBdr>
        <w:top w:val="none" w:sz="0" w:space="0" w:color="auto"/>
        <w:left w:val="none" w:sz="0" w:space="0" w:color="auto"/>
        <w:bottom w:val="none" w:sz="0" w:space="0" w:color="auto"/>
        <w:right w:val="none" w:sz="0" w:space="0" w:color="auto"/>
      </w:divBdr>
    </w:div>
    <w:div w:id="1869023900">
      <w:bodyDiv w:val="1"/>
      <w:marLeft w:val="0"/>
      <w:marRight w:val="0"/>
      <w:marTop w:val="0"/>
      <w:marBottom w:val="0"/>
      <w:divBdr>
        <w:top w:val="none" w:sz="0" w:space="0" w:color="auto"/>
        <w:left w:val="none" w:sz="0" w:space="0" w:color="auto"/>
        <w:bottom w:val="none" w:sz="0" w:space="0" w:color="auto"/>
        <w:right w:val="none" w:sz="0" w:space="0" w:color="auto"/>
      </w:divBdr>
    </w:div>
    <w:div w:id="1869639186">
      <w:bodyDiv w:val="1"/>
      <w:marLeft w:val="0"/>
      <w:marRight w:val="0"/>
      <w:marTop w:val="0"/>
      <w:marBottom w:val="0"/>
      <w:divBdr>
        <w:top w:val="none" w:sz="0" w:space="0" w:color="auto"/>
        <w:left w:val="none" w:sz="0" w:space="0" w:color="auto"/>
        <w:bottom w:val="none" w:sz="0" w:space="0" w:color="auto"/>
        <w:right w:val="none" w:sz="0" w:space="0" w:color="auto"/>
      </w:divBdr>
    </w:div>
    <w:div w:id="1869828636">
      <w:bodyDiv w:val="1"/>
      <w:marLeft w:val="0"/>
      <w:marRight w:val="0"/>
      <w:marTop w:val="0"/>
      <w:marBottom w:val="0"/>
      <w:divBdr>
        <w:top w:val="none" w:sz="0" w:space="0" w:color="auto"/>
        <w:left w:val="none" w:sz="0" w:space="0" w:color="auto"/>
        <w:bottom w:val="none" w:sz="0" w:space="0" w:color="auto"/>
        <w:right w:val="none" w:sz="0" w:space="0" w:color="auto"/>
      </w:divBdr>
    </w:div>
    <w:div w:id="1870022755">
      <w:bodyDiv w:val="1"/>
      <w:marLeft w:val="0"/>
      <w:marRight w:val="0"/>
      <w:marTop w:val="0"/>
      <w:marBottom w:val="0"/>
      <w:divBdr>
        <w:top w:val="none" w:sz="0" w:space="0" w:color="auto"/>
        <w:left w:val="none" w:sz="0" w:space="0" w:color="auto"/>
        <w:bottom w:val="none" w:sz="0" w:space="0" w:color="auto"/>
        <w:right w:val="none" w:sz="0" w:space="0" w:color="auto"/>
      </w:divBdr>
    </w:div>
    <w:div w:id="1870333433">
      <w:bodyDiv w:val="1"/>
      <w:marLeft w:val="0"/>
      <w:marRight w:val="0"/>
      <w:marTop w:val="0"/>
      <w:marBottom w:val="0"/>
      <w:divBdr>
        <w:top w:val="none" w:sz="0" w:space="0" w:color="auto"/>
        <w:left w:val="none" w:sz="0" w:space="0" w:color="auto"/>
        <w:bottom w:val="none" w:sz="0" w:space="0" w:color="auto"/>
        <w:right w:val="none" w:sz="0" w:space="0" w:color="auto"/>
      </w:divBdr>
    </w:div>
    <w:div w:id="1870803038">
      <w:bodyDiv w:val="1"/>
      <w:marLeft w:val="0"/>
      <w:marRight w:val="0"/>
      <w:marTop w:val="0"/>
      <w:marBottom w:val="0"/>
      <w:divBdr>
        <w:top w:val="none" w:sz="0" w:space="0" w:color="auto"/>
        <w:left w:val="none" w:sz="0" w:space="0" w:color="auto"/>
        <w:bottom w:val="none" w:sz="0" w:space="0" w:color="auto"/>
        <w:right w:val="none" w:sz="0" w:space="0" w:color="auto"/>
      </w:divBdr>
    </w:div>
    <w:div w:id="1871258012">
      <w:bodyDiv w:val="1"/>
      <w:marLeft w:val="0"/>
      <w:marRight w:val="0"/>
      <w:marTop w:val="0"/>
      <w:marBottom w:val="0"/>
      <w:divBdr>
        <w:top w:val="none" w:sz="0" w:space="0" w:color="auto"/>
        <w:left w:val="none" w:sz="0" w:space="0" w:color="auto"/>
        <w:bottom w:val="none" w:sz="0" w:space="0" w:color="auto"/>
        <w:right w:val="none" w:sz="0" w:space="0" w:color="auto"/>
      </w:divBdr>
    </w:div>
    <w:div w:id="1871336192">
      <w:bodyDiv w:val="1"/>
      <w:marLeft w:val="0"/>
      <w:marRight w:val="0"/>
      <w:marTop w:val="0"/>
      <w:marBottom w:val="0"/>
      <w:divBdr>
        <w:top w:val="none" w:sz="0" w:space="0" w:color="auto"/>
        <w:left w:val="none" w:sz="0" w:space="0" w:color="auto"/>
        <w:bottom w:val="none" w:sz="0" w:space="0" w:color="auto"/>
        <w:right w:val="none" w:sz="0" w:space="0" w:color="auto"/>
      </w:divBdr>
    </w:div>
    <w:div w:id="1871381970">
      <w:bodyDiv w:val="1"/>
      <w:marLeft w:val="0"/>
      <w:marRight w:val="0"/>
      <w:marTop w:val="0"/>
      <w:marBottom w:val="0"/>
      <w:divBdr>
        <w:top w:val="none" w:sz="0" w:space="0" w:color="auto"/>
        <w:left w:val="none" w:sz="0" w:space="0" w:color="auto"/>
        <w:bottom w:val="none" w:sz="0" w:space="0" w:color="auto"/>
        <w:right w:val="none" w:sz="0" w:space="0" w:color="auto"/>
      </w:divBdr>
    </w:div>
    <w:div w:id="1872299499">
      <w:bodyDiv w:val="1"/>
      <w:marLeft w:val="0"/>
      <w:marRight w:val="0"/>
      <w:marTop w:val="0"/>
      <w:marBottom w:val="0"/>
      <w:divBdr>
        <w:top w:val="none" w:sz="0" w:space="0" w:color="auto"/>
        <w:left w:val="none" w:sz="0" w:space="0" w:color="auto"/>
        <w:bottom w:val="none" w:sz="0" w:space="0" w:color="auto"/>
        <w:right w:val="none" w:sz="0" w:space="0" w:color="auto"/>
      </w:divBdr>
    </w:div>
    <w:div w:id="1872838423">
      <w:bodyDiv w:val="1"/>
      <w:marLeft w:val="0"/>
      <w:marRight w:val="0"/>
      <w:marTop w:val="0"/>
      <w:marBottom w:val="0"/>
      <w:divBdr>
        <w:top w:val="none" w:sz="0" w:space="0" w:color="auto"/>
        <w:left w:val="none" w:sz="0" w:space="0" w:color="auto"/>
        <w:bottom w:val="none" w:sz="0" w:space="0" w:color="auto"/>
        <w:right w:val="none" w:sz="0" w:space="0" w:color="auto"/>
      </w:divBdr>
    </w:div>
    <w:div w:id="1873347568">
      <w:bodyDiv w:val="1"/>
      <w:marLeft w:val="0"/>
      <w:marRight w:val="0"/>
      <w:marTop w:val="0"/>
      <w:marBottom w:val="0"/>
      <w:divBdr>
        <w:top w:val="none" w:sz="0" w:space="0" w:color="auto"/>
        <w:left w:val="none" w:sz="0" w:space="0" w:color="auto"/>
        <w:bottom w:val="none" w:sz="0" w:space="0" w:color="auto"/>
        <w:right w:val="none" w:sz="0" w:space="0" w:color="auto"/>
      </w:divBdr>
    </w:div>
    <w:div w:id="1873685170">
      <w:bodyDiv w:val="1"/>
      <w:marLeft w:val="0"/>
      <w:marRight w:val="0"/>
      <w:marTop w:val="0"/>
      <w:marBottom w:val="0"/>
      <w:divBdr>
        <w:top w:val="none" w:sz="0" w:space="0" w:color="auto"/>
        <w:left w:val="none" w:sz="0" w:space="0" w:color="auto"/>
        <w:bottom w:val="none" w:sz="0" w:space="0" w:color="auto"/>
        <w:right w:val="none" w:sz="0" w:space="0" w:color="auto"/>
      </w:divBdr>
    </w:div>
    <w:div w:id="1874229788">
      <w:bodyDiv w:val="1"/>
      <w:marLeft w:val="0"/>
      <w:marRight w:val="0"/>
      <w:marTop w:val="0"/>
      <w:marBottom w:val="0"/>
      <w:divBdr>
        <w:top w:val="none" w:sz="0" w:space="0" w:color="auto"/>
        <w:left w:val="none" w:sz="0" w:space="0" w:color="auto"/>
        <w:bottom w:val="none" w:sz="0" w:space="0" w:color="auto"/>
        <w:right w:val="none" w:sz="0" w:space="0" w:color="auto"/>
      </w:divBdr>
    </w:div>
    <w:div w:id="1874534140">
      <w:bodyDiv w:val="1"/>
      <w:marLeft w:val="0"/>
      <w:marRight w:val="0"/>
      <w:marTop w:val="0"/>
      <w:marBottom w:val="0"/>
      <w:divBdr>
        <w:top w:val="none" w:sz="0" w:space="0" w:color="auto"/>
        <w:left w:val="none" w:sz="0" w:space="0" w:color="auto"/>
        <w:bottom w:val="none" w:sz="0" w:space="0" w:color="auto"/>
        <w:right w:val="none" w:sz="0" w:space="0" w:color="auto"/>
      </w:divBdr>
    </w:div>
    <w:div w:id="1874688566">
      <w:bodyDiv w:val="1"/>
      <w:marLeft w:val="0"/>
      <w:marRight w:val="0"/>
      <w:marTop w:val="0"/>
      <w:marBottom w:val="0"/>
      <w:divBdr>
        <w:top w:val="none" w:sz="0" w:space="0" w:color="auto"/>
        <w:left w:val="none" w:sz="0" w:space="0" w:color="auto"/>
        <w:bottom w:val="none" w:sz="0" w:space="0" w:color="auto"/>
        <w:right w:val="none" w:sz="0" w:space="0" w:color="auto"/>
      </w:divBdr>
    </w:div>
    <w:div w:id="1875536169">
      <w:bodyDiv w:val="1"/>
      <w:marLeft w:val="0"/>
      <w:marRight w:val="0"/>
      <w:marTop w:val="0"/>
      <w:marBottom w:val="0"/>
      <w:divBdr>
        <w:top w:val="none" w:sz="0" w:space="0" w:color="auto"/>
        <w:left w:val="none" w:sz="0" w:space="0" w:color="auto"/>
        <w:bottom w:val="none" w:sz="0" w:space="0" w:color="auto"/>
        <w:right w:val="none" w:sz="0" w:space="0" w:color="auto"/>
      </w:divBdr>
    </w:div>
    <w:div w:id="1875802550">
      <w:bodyDiv w:val="1"/>
      <w:marLeft w:val="0"/>
      <w:marRight w:val="0"/>
      <w:marTop w:val="0"/>
      <w:marBottom w:val="0"/>
      <w:divBdr>
        <w:top w:val="none" w:sz="0" w:space="0" w:color="auto"/>
        <w:left w:val="none" w:sz="0" w:space="0" w:color="auto"/>
        <w:bottom w:val="none" w:sz="0" w:space="0" w:color="auto"/>
        <w:right w:val="none" w:sz="0" w:space="0" w:color="auto"/>
      </w:divBdr>
    </w:div>
    <w:div w:id="1875993734">
      <w:bodyDiv w:val="1"/>
      <w:marLeft w:val="0"/>
      <w:marRight w:val="0"/>
      <w:marTop w:val="0"/>
      <w:marBottom w:val="0"/>
      <w:divBdr>
        <w:top w:val="none" w:sz="0" w:space="0" w:color="auto"/>
        <w:left w:val="none" w:sz="0" w:space="0" w:color="auto"/>
        <w:bottom w:val="none" w:sz="0" w:space="0" w:color="auto"/>
        <w:right w:val="none" w:sz="0" w:space="0" w:color="auto"/>
      </w:divBdr>
    </w:div>
    <w:div w:id="1876385112">
      <w:bodyDiv w:val="1"/>
      <w:marLeft w:val="0"/>
      <w:marRight w:val="0"/>
      <w:marTop w:val="0"/>
      <w:marBottom w:val="0"/>
      <w:divBdr>
        <w:top w:val="none" w:sz="0" w:space="0" w:color="auto"/>
        <w:left w:val="none" w:sz="0" w:space="0" w:color="auto"/>
        <w:bottom w:val="none" w:sz="0" w:space="0" w:color="auto"/>
        <w:right w:val="none" w:sz="0" w:space="0" w:color="auto"/>
      </w:divBdr>
    </w:div>
    <w:div w:id="1876502084">
      <w:bodyDiv w:val="1"/>
      <w:marLeft w:val="0"/>
      <w:marRight w:val="0"/>
      <w:marTop w:val="0"/>
      <w:marBottom w:val="0"/>
      <w:divBdr>
        <w:top w:val="none" w:sz="0" w:space="0" w:color="auto"/>
        <w:left w:val="none" w:sz="0" w:space="0" w:color="auto"/>
        <w:bottom w:val="none" w:sz="0" w:space="0" w:color="auto"/>
        <w:right w:val="none" w:sz="0" w:space="0" w:color="auto"/>
      </w:divBdr>
    </w:div>
    <w:div w:id="1876844638">
      <w:bodyDiv w:val="1"/>
      <w:marLeft w:val="0"/>
      <w:marRight w:val="0"/>
      <w:marTop w:val="0"/>
      <w:marBottom w:val="0"/>
      <w:divBdr>
        <w:top w:val="none" w:sz="0" w:space="0" w:color="auto"/>
        <w:left w:val="none" w:sz="0" w:space="0" w:color="auto"/>
        <w:bottom w:val="none" w:sz="0" w:space="0" w:color="auto"/>
        <w:right w:val="none" w:sz="0" w:space="0" w:color="auto"/>
      </w:divBdr>
    </w:div>
    <w:div w:id="1876966516">
      <w:bodyDiv w:val="1"/>
      <w:marLeft w:val="0"/>
      <w:marRight w:val="0"/>
      <w:marTop w:val="0"/>
      <w:marBottom w:val="0"/>
      <w:divBdr>
        <w:top w:val="none" w:sz="0" w:space="0" w:color="auto"/>
        <w:left w:val="none" w:sz="0" w:space="0" w:color="auto"/>
        <w:bottom w:val="none" w:sz="0" w:space="0" w:color="auto"/>
        <w:right w:val="none" w:sz="0" w:space="0" w:color="auto"/>
      </w:divBdr>
    </w:div>
    <w:div w:id="1877153407">
      <w:bodyDiv w:val="1"/>
      <w:marLeft w:val="0"/>
      <w:marRight w:val="0"/>
      <w:marTop w:val="0"/>
      <w:marBottom w:val="0"/>
      <w:divBdr>
        <w:top w:val="none" w:sz="0" w:space="0" w:color="auto"/>
        <w:left w:val="none" w:sz="0" w:space="0" w:color="auto"/>
        <w:bottom w:val="none" w:sz="0" w:space="0" w:color="auto"/>
        <w:right w:val="none" w:sz="0" w:space="0" w:color="auto"/>
      </w:divBdr>
    </w:div>
    <w:div w:id="1877278835">
      <w:bodyDiv w:val="1"/>
      <w:marLeft w:val="0"/>
      <w:marRight w:val="0"/>
      <w:marTop w:val="0"/>
      <w:marBottom w:val="0"/>
      <w:divBdr>
        <w:top w:val="none" w:sz="0" w:space="0" w:color="auto"/>
        <w:left w:val="none" w:sz="0" w:space="0" w:color="auto"/>
        <w:bottom w:val="none" w:sz="0" w:space="0" w:color="auto"/>
        <w:right w:val="none" w:sz="0" w:space="0" w:color="auto"/>
      </w:divBdr>
    </w:div>
    <w:div w:id="1877809873">
      <w:bodyDiv w:val="1"/>
      <w:marLeft w:val="0"/>
      <w:marRight w:val="0"/>
      <w:marTop w:val="0"/>
      <w:marBottom w:val="0"/>
      <w:divBdr>
        <w:top w:val="none" w:sz="0" w:space="0" w:color="auto"/>
        <w:left w:val="none" w:sz="0" w:space="0" w:color="auto"/>
        <w:bottom w:val="none" w:sz="0" w:space="0" w:color="auto"/>
        <w:right w:val="none" w:sz="0" w:space="0" w:color="auto"/>
      </w:divBdr>
    </w:div>
    <w:div w:id="1877883989">
      <w:bodyDiv w:val="1"/>
      <w:marLeft w:val="0"/>
      <w:marRight w:val="0"/>
      <w:marTop w:val="0"/>
      <w:marBottom w:val="0"/>
      <w:divBdr>
        <w:top w:val="none" w:sz="0" w:space="0" w:color="auto"/>
        <w:left w:val="none" w:sz="0" w:space="0" w:color="auto"/>
        <w:bottom w:val="none" w:sz="0" w:space="0" w:color="auto"/>
        <w:right w:val="none" w:sz="0" w:space="0" w:color="auto"/>
      </w:divBdr>
    </w:div>
    <w:div w:id="1878346414">
      <w:bodyDiv w:val="1"/>
      <w:marLeft w:val="0"/>
      <w:marRight w:val="0"/>
      <w:marTop w:val="0"/>
      <w:marBottom w:val="0"/>
      <w:divBdr>
        <w:top w:val="none" w:sz="0" w:space="0" w:color="auto"/>
        <w:left w:val="none" w:sz="0" w:space="0" w:color="auto"/>
        <w:bottom w:val="none" w:sz="0" w:space="0" w:color="auto"/>
        <w:right w:val="none" w:sz="0" w:space="0" w:color="auto"/>
      </w:divBdr>
    </w:div>
    <w:div w:id="1878737085">
      <w:bodyDiv w:val="1"/>
      <w:marLeft w:val="0"/>
      <w:marRight w:val="0"/>
      <w:marTop w:val="0"/>
      <w:marBottom w:val="0"/>
      <w:divBdr>
        <w:top w:val="none" w:sz="0" w:space="0" w:color="auto"/>
        <w:left w:val="none" w:sz="0" w:space="0" w:color="auto"/>
        <w:bottom w:val="none" w:sz="0" w:space="0" w:color="auto"/>
        <w:right w:val="none" w:sz="0" w:space="0" w:color="auto"/>
      </w:divBdr>
    </w:div>
    <w:div w:id="1878808600">
      <w:bodyDiv w:val="1"/>
      <w:marLeft w:val="0"/>
      <w:marRight w:val="0"/>
      <w:marTop w:val="0"/>
      <w:marBottom w:val="0"/>
      <w:divBdr>
        <w:top w:val="none" w:sz="0" w:space="0" w:color="auto"/>
        <w:left w:val="none" w:sz="0" w:space="0" w:color="auto"/>
        <w:bottom w:val="none" w:sz="0" w:space="0" w:color="auto"/>
        <w:right w:val="none" w:sz="0" w:space="0" w:color="auto"/>
      </w:divBdr>
    </w:div>
    <w:div w:id="1878815369">
      <w:bodyDiv w:val="1"/>
      <w:marLeft w:val="0"/>
      <w:marRight w:val="0"/>
      <w:marTop w:val="0"/>
      <w:marBottom w:val="0"/>
      <w:divBdr>
        <w:top w:val="none" w:sz="0" w:space="0" w:color="auto"/>
        <w:left w:val="none" w:sz="0" w:space="0" w:color="auto"/>
        <w:bottom w:val="none" w:sz="0" w:space="0" w:color="auto"/>
        <w:right w:val="none" w:sz="0" w:space="0" w:color="auto"/>
      </w:divBdr>
    </w:div>
    <w:div w:id="1879198365">
      <w:bodyDiv w:val="1"/>
      <w:marLeft w:val="0"/>
      <w:marRight w:val="0"/>
      <w:marTop w:val="0"/>
      <w:marBottom w:val="0"/>
      <w:divBdr>
        <w:top w:val="none" w:sz="0" w:space="0" w:color="auto"/>
        <w:left w:val="none" w:sz="0" w:space="0" w:color="auto"/>
        <w:bottom w:val="none" w:sz="0" w:space="0" w:color="auto"/>
        <w:right w:val="none" w:sz="0" w:space="0" w:color="auto"/>
      </w:divBdr>
    </w:div>
    <w:div w:id="1879201258">
      <w:bodyDiv w:val="1"/>
      <w:marLeft w:val="0"/>
      <w:marRight w:val="0"/>
      <w:marTop w:val="0"/>
      <w:marBottom w:val="0"/>
      <w:divBdr>
        <w:top w:val="none" w:sz="0" w:space="0" w:color="auto"/>
        <w:left w:val="none" w:sz="0" w:space="0" w:color="auto"/>
        <w:bottom w:val="none" w:sz="0" w:space="0" w:color="auto"/>
        <w:right w:val="none" w:sz="0" w:space="0" w:color="auto"/>
      </w:divBdr>
    </w:div>
    <w:div w:id="1880166802">
      <w:bodyDiv w:val="1"/>
      <w:marLeft w:val="0"/>
      <w:marRight w:val="0"/>
      <w:marTop w:val="0"/>
      <w:marBottom w:val="0"/>
      <w:divBdr>
        <w:top w:val="none" w:sz="0" w:space="0" w:color="auto"/>
        <w:left w:val="none" w:sz="0" w:space="0" w:color="auto"/>
        <w:bottom w:val="none" w:sz="0" w:space="0" w:color="auto"/>
        <w:right w:val="none" w:sz="0" w:space="0" w:color="auto"/>
      </w:divBdr>
    </w:div>
    <w:div w:id="1880315665">
      <w:bodyDiv w:val="1"/>
      <w:marLeft w:val="0"/>
      <w:marRight w:val="0"/>
      <w:marTop w:val="0"/>
      <w:marBottom w:val="0"/>
      <w:divBdr>
        <w:top w:val="none" w:sz="0" w:space="0" w:color="auto"/>
        <w:left w:val="none" w:sz="0" w:space="0" w:color="auto"/>
        <w:bottom w:val="none" w:sz="0" w:space="0" w:color="auto"/>
        <w:right w:val="none" w:sz="0" w:space="0" w:color="auto"/>
      </w:divBdr>
    </w:div>
    <w:div w:id="1880362610">
      <w:bodyDiv w:val="1"/>
      <w:marLeft w:val="0"/>
      <w:marRight w:val="0"/>
      <w:marTop w:val="0"/>
      <w:marBottom w:val="0"/>
      <w:divBdr>
        <w:top w:val="none" w:sz="0" w:space="0" w:color="auto"/>
        <w:left w:val="none" w:sz="0" w:space="0" w:color="auto"/>
        <w:bottom w:val="none" w:sz="0" w:space="0" w:color="auto"/>
        <w:right w:val="none" w:sz="0" w:space="0" w:color="auto"/>
      </w:divBdr>
    </w:div>
    <w:div w:id="1880513315">
      <w:bodyDiv w:val="1"/>
      <w:marLeft w:val="0"/>
      <w:marRight w:val="0"/>
      <w:marTop w:val="0"/>
      <w:marBottom w:val="0"/>
      <w:divBdr>
        <w:top w:val="none" w:sz="0" w:space="0" w:color="auto"/>
        <w:left w:val="none" w:sz="0" w:space="0" w:color="auto"/>
        <w:bottom w:val="none" w:sz="0" w:space="0" w:color="auto"/>
        <w:right w:val="none" w:sz="0" w:space="0" w:color="auto"/>
      </w:divBdr>
    </w:div>
    <w:div w:id="1880624674">
      <w:bodyDiv w:val="1"/>
      <w:marLeft w:val="0"/>
      <w:marRight w:val="0"/>
      <w:marTop w:val="0"/>
      <w:marBottom w:val="0"/>
      <w:divBdr>
        <w:top w:val="none" w:sz="0" w:space="0" w:color="auto"/>
        <w:left w:val="none" w:sz="0" w:space="0" w:color="auto"/>
        <w:bottom w:val="none" w:sz="0" w:space="0" w:color="auto"/>
        <w:right w:val="none" w:sz="0" w:space="0" w:color="auto"/>
      </w:divBdr>
    </w:div>
    <w:div w:id="1881669934">
      <w:bodyDiv w:val="1"/>
      <w:marLeft w:val="0"/>
      <w:marRight w:val="0"/>
      <w:marTop w:val="0"/>
      <w:marBottom w:val="0"/>
      <w:divBdr>
        <w:top w:val="none" w:sz="0" w:space="0" w:color="auto"/>
        <w:left w:val="none" w:sz="0" w:space="0" w:color="auto"/>
        <w:bottom w:val="none" w:sz="0" w:space="0" w:color="auto"/>
        <w:right w:val="none" w:sz="0" w:space="0" w:color="auto"/>
      </w:divBdr>
    </w:div>
    <w:div w:id="1881701679">
      <w:bodyDiv w:val="1"/>
      <w:marLeft w:val="0"/>
      <w:marRight w:val="0"/>
      <w:marTop w:val="0"/>
      <w:marBottom w:val="0"/>
      <w:divBdr>
        <w:top w:val="none" w:sz="0" w:space="0" w:color="auto"/>
        <w:left w:val="none" w:sz="0" w:space="0" w:color="auto"/>
        <w:bottom w:val="none" w:sz="0" w:space="0" w:color="auto"/>
        <w:right w:val="none" w:sz="0" w:space="0" w:color="auto"/>
      </w:divBdr>
    </w:div>
    <w:div w:id="1881898085">
      <w:bodyDiv w:val="1"/>
      <w:marLeft w:val="0"/>
      <w:marRight w:val="0"/>
      <w:marTop w:val="0"/>
      <w:marBottom w:val="0"/>
      <w:divBdr>
        <w:top w:val="none" w:sz="0" w:space="0" w:color="auto"/>
        <w:left w:val="none" w:sz="0" w:space="0" w:color="auto"/>
        <w:bottom w:val="none" w:sz="0" w:space="0" w:color="auto"/>
        <w:right w:val="none" w:sz="0" w:space="0" w:color="auto"/>
      </w:divBdr>
    </w:div>
    <w:div w:id="1882280820">
      <w:bodyDiv w:val="1"/>
      <w:marLeft w:val="0"/>
      <w:marRight w:val="0"/>
      <w:marTop w:val="0"/>
      <w:marBottom w:val="0"/>
      <w:divBdr>
        <w:top w:val="none" w:sz="0" w:space="0" w:color="auto"/>
        <w:left w:val="none" w:sz="0" w:space="0" w:color="auto"/>
        <w:bottom w:val="none" w:sz="0" w:space="0" w:color="auto"/>
        <w:right w:val="none" w:sz="0" w:space="0" w:color="auto"/>
      </w:divBdr>
    </w:div>
    <w:div w:id="1882401180">
      <w:bodyDiv w:val="1"/>
      <w:marLeft w:val="0"/>
      <w:marRight w:val="0"/>
      <w:marTop w:val="0"/>
      <w:marBottom w:val="0"/>
      <w:divBdr>
        <w:top w:val="none" w:sz="0" w:space="0" w:color="auto"/>
        <w:left w:val="none" w:sz="0" w:space="0" w:color="auto"/>
        <w:bottom w:val="none" w:sz="0" w:space="0" w:color="auto"/>
        <w:right w:val="none" w:sz="0" w:space="0" w:color="auto"/>
      </w:divBdr>
    </w:div>
    <w:div w:id="1882672956">
      <w:bodyDiv w:val="1"/>
      <w:marLeft w:val="0"/>
      <w:marRight w:val="0"/>
      <w:marTop w:val="0"/>
      <w:marBottom w:val="0"/>
      <w:divBdr>
        <w:top w:val="none" w:sz="0" w:space="0" w:color="auto"/>
        <w:left w:val="none" w:sz="0" w:space="0" w:color="auto"/>
        <w:bottom w:val="none" w:sz="0" w:space="0" w:color="auto"/>
        <w:right w:val="none" w:sz="0" w:space="0" w:color="auto"/>
      </w:divBdr>
    </w:div>
    <w:div w:id="1883054643">
      <w:bodyDiv w:val="1"/>
      <w:marLeft w:val="0"/>
      <w:marRight w:val="0"/>
      <w:marTop w:val="0"/>
      <w:marBottom w:val="0"/>
      <w:divBdr>
        <w:top w:val="none" w:sz="0" w:space="0" w:color="auto"/>
        <w:left w:val="none" w:sz="0" w:space="0" w:color="auto"/>
        <w:bottom w:val="none" w:sz="0" w:space="0" w:color="auto"/>
        <w:right w:val="none" w:sz="0" w:space="0" w:color="auto"/>
      </w:divBdr>
    </w:div>
    <w:div w:id="1883784988">
      <w:bodyDiv w:val="1"/>
      <w:marLeft w:val="0"/>
      <w:marRight w:val="0"/>
      <w:marTop w:val="0"/>
      <w:marBottom w:val="0"/>
      <w:divBdr>
        <w:top w:val="none" w:sz="0" w:space="0" w:color="auto"/>
        <w:left w:val="none" w:sz="0" w:space="0" w:color="auto"/>
        <w:bottom w:val="none" w:sz="0" w:space="0" w:color="auto"/>
        <w:right w:val="none" w:sz="0" w:space="0" w:color="auto"/>
      </w:divBdr>
    </w:div>
    <w:div w:id="1884444712">
      <w:bodyDiv w:val="1"/>
      <w:marLeft w:val="0"/>
      <w:marRight w:val="0"/>
      <w:marTop w:val="0"/>
      <w:marBottom w:val="0"/>
      <w:divBdr>
        <w:top w:val="none" w:sz="0" w:space="0" w:color="auto"/>
        <w:left w:val="none" w:sz="0" w:space="0" w:color="auto"/>
        <w:bottom w:val="none" w:sz="0" w:space="0" w:color="auto"/>
        <w:right w:val="none" w:sz="0" w:space="0" w:color="auto"/>
      </w:divBdr>
    </w:div>
    <w:div w:id="1884559863">
      <w:bodyDiv w:val="1"/>
      <w:marLeft w:val="0"/>
      <w:marRight w:val="0"/>
      <w:marTop w:val="0"/>
      <w:marBottom w:val="0"/>
      <w:divBdr>
        <w:top w:val="none" w:sz="0" w:space="0" w:color="auto"/>
        <w:left w:val="none" w:sz="0" w:space="0" w:color="auto"/>
        <w:bottom w:val="none" w:sz="0" w:space="0" w:color="auto"/>
        <w:right w:val="none" w:sz="0" w:space="0" w:color="auto"/>
      </w:divBdr>
    </w:div>
    <w:div w:id="1885366993">
      <w:bodyDiv w:val="1"/>
      <w:marLeft w:val="0"/>
      <w:marRight w:val="0"/>
      <w:marTop w:val="0"/>
      <w:marBottom w:val="0"/>
      <w:divBdr>
        <w:top w:val="none" w:sz="0" w:space="0" w:color="auto"/>
        <w:left w:val="none" w:sz="0" w:space="0" w:color="auto"/>
        <w:bottom w:val="none" w:sz="0" w:space="0" w:color="auto"/>
        <w:right w:val="none" w:sz="0" w:space="0" w:color="auto"/>
      </w:divBdr>
    </w:div>
    <w:div w:id="1885557525">
      <w:bodyDiv w:val="1"/>
      <w:marLeft w:val="0"/>
      <w:marRight w:val="0"/>
      <w:marTop w:val="0"/>
      <w:marBottom w:val="0"/>
      <w:divBdr>
        <w:top w:val="none" w:sz="0" w:space="0" w:color="auto"/>
        <w:left w:val="none" w:sz="0" w:space="0" w:color="auto"/>
        <w:bottom w:val="none" w:sz="0" w:space="0" w:color="auto"/>
        <w:right w:val="none" w:sz="0" w:space="0" w:color="auto"/>
      </w:divBdr>
    </w:div>
    <w:div w:id="1885630582">
      <w:bodyDiv w:val="1"/>
      <w:marLeft w:val="0"/>
      <w:marRight w:val="0"/>
      <w:marTop w:val="0"/>
      <w:marBottom w:val="0"/>
      <w:divBdr>
        <w:top w:val="none" w:sz="0" w:space="0" w:color="auto"/>
        <w:left w:val="none" w:sz="0" w:space="0" w:color="auto"/>
        <w:bottom w:val="none" w:sz="0" w:space="0" w:color="auto"/>
        <w:right w:val="none" w:sz="0" w:space="0" w:color="auto"/>
      </w:divBdr>
    </w:div>
    <w:div w:id="1885747269">
      <w:bodyDiv w:val="1"/>
      <w:marLeft w:val="0"/>
      <w:marRight w:val="0"/>
      <w:marTop w:val="0"/>
      <w:marBottom w:val="0"/>
      <w:divBdr>
        <w:top w:val="none" w:sz="0" w:space="0" w:color="auto"/>
        <w:left w:val="none" w:sz="0" w:space="0" w:color="auto"/>
        <w:bottom w:val="none" w:sz="0" w:space="0" w:color="auto"/>
        <w:right w:val="none" w:sz="0" w:space="0" w:color="auto"/>
      </w:divBdr>
    </w:div>
    <w:div w:id="1886022805">
      <w:bodyDiv w:val="1"/>
      <w:marLeft w:val="0"/>
      <w:marRight w:val="0"/>
      <w:marTop w:val="0"/>
      <w:marBottom w:val="0"/>
      <w:divBdr>
        <w:top w:val="none" w:sz="0" w:space="0" w:color="auto"/>
        <w:left w:val="none" w:sz="0" w:space="0" w:color="auto"/>
        <w:bottom w:val="none" w:sz="0" w:space="0" w:color="auto"/>
        <w:right w:val="none" w:sz="0" w:space="0" w:color="auto"/>
      </w:divBdr>
    </w:div>
    <w:div w:id="1886024916">
      <w:bodyDiv w:val="1"/>
      <w:marLeft w:val="0"/>
      <w:marRight w:val="0"/>
      <w:marTop w:val="0"/>
      <w:marBottom w:val="0"/>
      <w:divBdr>
        <w:top w:val="none" w:sz="0" w:space="0" w:color="auto"/>
        <w:left w:val="none" w:sz="0" w:space="0" w:color="auto"/>
        <w:bottom w:val="none" w:sz="0" w:space="0" w:color="auto"/>
        <w:right w:val="none" w:sz="0" w:space="0" w:color="auto"/>
      </w:divBdr>
    </w:div>
    <w:div w:id="1886287504">
      <w:bodyDiv w:val="1"/>
      <w:marLeft w:val="0"/>
      <w:marRight w:val="0"/>
      <w:marTop w:val="0"/>
      <w:marBottom w:val="0"/>
      <w:divBdr>
        <w:top w:val="none" w:sz="0" w:space="0" w:color="auto"/>
        <w:left w:val="none" w:sz="0" w:space="0" w:color="auto"/>
        <w:bottom w:val="none" w:sz="0" w:space="0" w:color="auto"/>
        <w:right w:val="none" w:sz="0" w:space="0" w:color="auto"/>
      </w:divBdr>
    </w:div>
    <w:div w:id="1886595457">
      <w:bodyDiv w:val="1"/>
      <w:marLeft w:val="0"/>
      <w:marRight w:val="0"/>
      <w:marTop w:val="0"/>
      <w:marBottom w:val="0"/>
      <w:divBdr>
        <w:top w:val="none" w:sz="0" w:space="0" w:color="auto"/>
        <w:left w:val="none" w:sz="0" w:space="0" w:color="auto"/>
        <w:bottom w:val="none" w:sz="0" w:space="0" w:color="auto"/>
        <w:right w:val="none" w:sz="0" w:space="0" w:color="auto"/>
      </w:divBdr>
    </w:div>
    <w:div w:id="1886746932">
      <w:bodyDiv w:val="1"/>
      <w:marLeft w:val="0"/>
      <w:marRight w:val="0"/>
      <w:marTop w:val="0"/>
      <w:marBottom w:val="0"/>
      <w:divBdr>
        <w:top w:val="none" w:sz="0" w:space="0" w:color="auto"/>
        <w:left w:val="none" w:sz="0" w:space="0" w:color="auto"/>
        <w:bottom w:val="none" w:sz="0" w:space="0" w:color="auto"/>
        <w:right w:val="none" w:sz="0" w:space="0" w:color="auto"/>
      </w:divBdr>
    </w:div>
    <w:div w:id="1887179159">
      <w:bodyDiv w:val="1"/>
      <w:marLeft w:val="0"/>
      <w:marRight w:val="0"/>
      <w:marTop w:val="0"/>
      <w:marBottom w:val="0"/>
      <w:divBdr>
        <w:top w:val="none" w:sz="0" w:space="0" w:color="auto"/>
        <w:left w:val="none" w:sz="0" w:space="0" w:color="auto"/>
        <w:bottom w:val="none" w:sz="0" w:space="0" w:color="auto"/>
        <w:right w:val="none" w:sz="0" w:space="0" w:color="auto"/>
      </w:divBdr>
    </w:div>
    <w:div w:id="1887524282">
      <w:bodyDiv w:val="1"/>
      <w:marLeft w:val="0"/>
      <w:marRight w:val="0"/>
      <w:marTop w:val="0"/>
      <w:marBottom w:val="0"/>
      <w:divBdr>
        <w:top w:val="none" w:sz="0" w:space="0" w:color="auto"/>
        <w:left w:val="none" w:sz="0" w:space="0" w:color="auto"/>
        <w:bottom w:val="none" w:sz="0" w:space="0" w:color="auto"/>
        <w:right w:val="none" w:sz="0" w:space="0" w:color="auto"/>
      </w:divBdr>
    </w:div>
    <w:div w:id="1887637635">
      <w:bodyDiv w:val="1"/>
      <w:marLeft w:val="0"/>
      <w:marRight w:val="0"/>
      <w:marTop w:val="0"/>
      <w:marBottom w:val="0"/>
      <w:divBdr>
        <w:top w:val="none" w:sz="0" w:space="0" w:color="auto"/>
        <w:left w:val="none" w:sz="0" w:space="0" w:color="auto"/>
        <w:bottom w:val="none" w:sz="0" w:space="0" w:color="auto"/>
        <w:right w:val="none" w:sz="0" w:space="0" w:color="auto"/>
      </w:divBdr>
    </w:div>
    <w:div w:id="1887835441">
      <w:bodyDiv w:val="1"/>
      <w:marLeft w:val="0"/>
      <w:marRight w:val="0"/>
      <w:marTop w:val="0"/>
      <w:marBottom w:val="0"/>
      <w:divBdr>
        <w:top w:val="none" w:sz="0" w:space="0" w:color="auto"/>
        <w:left w:val="none" w:sz="0" w:space="0" w:color="auto"/>
        <w:bottom w:val="none" w:sz="0" w:space="0" w:color="auto"/>
        <w:right w:val="none" w:sz="0" w:space="0" w:color="auto"/>
      </w:divBdr>
    </w:div>
    <w:div w:id="1887840051">
      <w:bodyDiv w:val="1"/>
      <w:marLeft w:val="0"/>
      <w:marRight w:val="0"/>
      <w:marTop w:val="0"/>
      <w:marBottom w:val="0"/>
      <w:divBdr>
        <w:top w:val="none" w:sz="0" w:space="0" w:color="auto"/>
        <w:left w:val="none" w:sz="0" w:space="0" w:color="auto"/>
        <w:bottom w:val="none" w:sz="0" w:space="0" w:color="auto"/>
        <w:right w:val="none" w:sz="0" w:space="0" w:color="auto"/>
      </w:divBdr>
    </w:div>
    <w:div w:id="1888101276">
      <w:bodyDiv w:val="1"/>
      <w:marLeft w:val="0"/>
      <w:marRight w:val="0"/>
      <w:marTop w:val="0"/>
      <w:marBottom w:val="0"/>
      <w:divBdr>
        <w:top w:val="none" w:sz="0" w:space="0" w:color="auto"/>
        <w:left w:val="none" w:sz="0" w:space="0" w:color="auto"/>
        <w:bottom w:val="none" w:sz="0" w:space="0" w:color="auto"/>
        <w:right w:val="none" w:sz="0" w:space="0" w:color="auto"/>
      </w:divBdr>
    </w:div>
    <w:div w:id="1888224897">
      <w:bodyDiv w:val="1"/>
      <w:marLeft w:val="0"/>
      <w:marRight w:val="0"/>
      <w:marTop w:val="0"/>
      <w:marBottom w:val="0"/>
      <w:divBdr>
        <w:top w:val="none" w:sz="0" w:space="0" w:color="auto"/>
        <w:left w:val="none" w:sz="0" w:space="0" w:color="auto"/>
        <w:bottom w:val="none" w:sz="0" w:space="0" w:color="auto"/>
        <w:right w:val="none" w:sz="0" w:space="0" w:color="auto"/>
      </w:divBdr>
    </w:div>
    <w:div w:id="1888224898">
      <w:bodyDiv w:val="1"/>
      <w:marLeft w:val="0"/>
      <w:marRight w:val="0"/>
      <w:marTop w:val="0"/>
      <w:marBottom w:val="0"/>
      <w:divBdr>
        <w:top w:val="none" w:sz="0" w:space="0" w:color="auto"/>
        <w:left w:val="none" w:sz="0" w:space="0" w:color="auto"/>
        <w:bottom w:val="none" w:sz="0" w:space="0" w:color="auto"/>
        <w:right w:val="none" w:sz="0" w:space="0" w:color="auto"/>
      </w:divBdr>
    </w:div>
    <w:div w:id="1888565623">
      <w:bodyDiv w:val="1"/>
      <w:marLeft w:val="0"/>
      <w:marRight w:val="0"/>
      <w:marTop w:val="0"/>
      <w:marBottom w:val="0"/>
      <w:divBdr>
        <w:top w:val="none" w:sz="0" w:space="0" w:color="auto"/>
        <w:left w:val="none" w:sz="0" w:space="0" w:color="auto"/>
        <w:bottom w:val="none" w:sz="0" w:space="0" w:color="auto"/>
        <w:right w:val="none" w:sz="0" w:space="0" w:color="auto"/>
      </w:divBdr>
    </w:div>
    <w:div w:id="1888714512">
      <w:bodyDiv w:val="1"/>
      <w:marLeft w:val="0"/>
      <w:marRight w:val="0"/>
      <w:marTop w:val="0"/>
      <w:marBottom w:val="0"/>
      <w:divBdr>
        <w:top w:val="none" w:sz="0" w:space="0" w:color="auto"/>
        <w:left w:val="none" w:sz="0" w:space="0" w:color="auto"/>
        <w:bottom w:val="none" w:sz="0" w:space="0" w:color="auto"/>
        <w:right w:val="none" w:sz="0" w:space="0" w:color="auto"/>
      </w:divBdr>
    </w:div>
    <w:div w:id="1889952213">
      <w:bodyDiv w:val="1"/>
      <w:marLeft w:val="0"/>
      <w:marRight w:val="0"/>
      <w:marTop w:val="0"/>
      <w:marBottom w:val="0"/>
      <w:divBdr>
        <w:top w:val="none" w:sz="0" w:space="0" w:color="auto"/>
        <w:left w:val="none" w:sz="0" w:space="0" w:color="auto"/>
        <w:bottom w:val="none" w:sz="0" w:space="0" w:color="auto"/>
        <w:right w:val="none" w:sz="0" w:space="0" w:color="auto"/>
      </w:divBdr>
    </w:div>
    <w:div w:id="1890022511">
      <w:bodyDiv w:val="1"/>
      <w:marLeft w:val="0"/>
      <w:marRight w:val="0"/>
      <w:marTop w:val="0"/>
      <w:marBottom w:val="0"/>
      <w:divBdr>
        <w:top w:val="none" w:sz="0" w:space="0" w:color="auto"/>
        <w:left w:val="none" w:sz="0" w:space="0" w:color="auto"/>
        <w:bottom w:val="none" w:sz="0" w:space="0" w:color="auto"/>
        <w:right w:val="none" w:sz="0" w:space="0" w:color="auto"/>
      </w:divBdr>
    </w:div>
    <w:div w:id="1890189928">
      <w:bodyDiv w:val="1"/>
      <w:marLeft w:val="0"/>
      <w:marRight w:val="0"/>
      <w:marTop w:val="0"/>
      <w:marBottom w:val="0"/>
      <w:divBdr>
        <w:top w:val="none" w:sz="0" w:space="0" w:color="auto"/>
        <w:left w:val="none" w:sz="0" w:space="0" w:color="auto"/>
        <w:bottom w:val="none" w:sz="0" w:space="0" w:color="auto"/>
        <w:right w:val="none" w:sz="0" w:space="0" w:color="auto"/>
      </w:divBdr>
    </w:div>
    <w:div w:id="1890611076">
      <w:bodyDiv w:val="1"/>
      <w:marLeft w:val="0"/>
      <w:marRight w:val="0"/>
      <w:marTop w:val="0"/>
      <w:marBottom w:val="0"/>
      <w:divBdr>
        <w:top w:val="none" w:sz="0" w:space="0" w:color="auto"/>
        <w:left w:val="none" w:sz="0" w:space="0" w:color="auto"/>
        <w:bottom w:val="none" w:sz="0" w:space="0" w:color="auto"/>
        <w:right w:val="none" w:sz="0" w:space="0" w:color="auto"/>
      </w:divBdr>
    </w:div>
    <w:div w:id="1890804891">
      <w:bodyDiv w:val="1"/>
      <w:marLeft w:val="0"/>
      <w:marRight w:val="0"/>
      <w:marTop w:val="0"/>
      <w:marBottom w:val="0"/>
      <w:divBdr>
        <w:top w:val="none" w:sz="0" w:space="0" w:color="auto"/>
        <w:left w:val="none" w:sz="0" w:space="0" w:color="auto"/>
        <w:bottom w:val="none" w:sz="0" w:space="0" w:color="auto"/>
        <w:right w:val="none" w:sz="0" w:space="0" w:color="auto"/>
      </w:divBdr>
    </w:div>
    <w:div w:id="1890918411">
      <w:bodyDiv w:val="1"/>
      <w:marLeft w:val="0"/>
      <w:marRight w:val="0"/>
      <w:marTop w:val="0"/>
      <w:marBottom w:val="0"/>
      <w:divBdr>
        <w:top w:val="none" w:sz="0" w:space="0" w:color="auto"/>
        <w:left w:val="none" w:sz="0" w:space="0" w:color="auto"/>
        <w:bottom w:val="none" w:sz="0" w:space="0" w:color="auto"/>
        <w:right w:val="none" w:sz="0" w:space="0" w:color="auto"/>
      </w:divBdr>
    </w:div>
    <w:div w:id="1890995925">
      <w:bodyDiv w:val="1"/>
      <w:marLeft w:val="0"/>
      <w:marRight w:val="0"/>
      <w:marTop w:val="0"/>
      <w:marBottom w:val="0"/>
      <w:divBdr>
        <w:top w:val="none" w:sz="0" w:space="0" w:color="auto"/>
        <w:left w:val="none" w:sz="0" w:space="0" w:color="auto"/>
        <w:bottom w:val="none" w:sz="0" w:space="0" w:color="auto"/>
        <w:right w:val="none" w:sz="0" w:space="0" w:color="auto"/>
      </w:divBdr>
    </w:div>
    <w:div w:id="1891647704">
      <w:bodyDiv w:val="1"/>
      <w:marLeft w:val="0"/>
      <w:marRight w:val="0"/>
      <w:marTop w:val="0"/>
      <w:marBottom w:val="0"/>
      <w:divBdr>
        <w:top w:val="none" w:sz="0" w:space="0" w:color="auto"/>
        <w:left w:val="none" w:sz="0" w:space="0" w:color="auto"/>
        <w:bottom w:val="none" w:sz="0" w:space="0" w:color="auto"/>
        <w:right w:val="none" w:sz="0" w:space="0" w:color="auto"/>
      </w:divBdr>
    </w:div>
    <w:div w:id="1891961482">
      <w:bodyDiv w:val="1"/>
      <w:marLeft w:val="0"/>
      <w:marRight w:val="0"/>
      <w:marTop w:val="0"/>
      <w:marBottom w:val="0"/>
      <w:divBdr>
        <w:top w:val="none" w:sz="0" w:space="0" w:color="auto"/>
        <w:left w:val="none" w:sz="0" w:space="0" w:color="auto"/>
        <w:bottom w:val="none" w:sz="0" w:space="0" w:color="auto"/>
        <w:right w:val="none" w:sz="0" w:space="0" w:color="auto"/>
      </w:divBdr>
    </w:div>
    <w:div w:id="1892115327">
      <w:bodyDiv w:val="1"/>
      <w:marLeft w:val="0"/>
      <w:marRight w:val="0"/>
      <w:marTop w:val="0"/>
      <w:marBottom w:val="0"/>
      <w:divBdr>
        <w:top w:val="none" w:sz="0" w:space="0" w:color="auto"/>
        <w:left w:val="none" w:sz="0" w:space="0" w:color="auto"/>
        <w:bottom w:val="none" w:sz="0" w:space="0" w:color="auto"/>
        <w:right w:val="none" w:sz="0" w:space="0" w:color="auto"/>
      </w:divBdr>
    </w:div>
    <w:div w:id="1892812400">
      <w:bodyDiv w:val="1"/>
      <w:marLeft w:val="0"/>
      <w:marRight w:val="0"/>
      <w:marTop w:val="0"/>
      <w:marBottom w:val="0"/>
      <w:divBdr>
        <w:top w:val="none" w:sz="0" w:space="0" w:color="auto"/>
        <w:left w:val="none" w:sz="0" w:space="0" w:color="auto"/>
        <w:bottom w:val="none" w:sz="0" w:space="0" w:color="auto"/>
        <w:right w:val="none" w:sz="0" w:space="0" w:color="auto"/>
      </w:divBdr>
    </w:div>
    <w:div w:id="1893269870">
      <w:bodyDiv w:val="1"/>
      <w:marLeft w:val="0"/>
      <w:marRight w:val="0"/>
      <w:marTop w:val="0"/>
      <w:marBottom w:val="0"/>
      <w:divBdr>
        <w:top w:val="none" w:sz="0" w:space="0" w:color="auto"/>
        <w:left w:val="none" w:sz="0" w:space="0" w:color="auto"/>
        <w:bottom w:val="none" w:sz="0" w:space="0" w:color="auto"/>
        <w:right w:val="none" w:sz="0" w:space="0" w:color="auto"/>
      </w:divBdr>
    </w:div>
    <w:div w:id="1893419522">
      <w:bodyDiv w:val="1"/>
      <w:marLeft w:val="0"/>
      <w:marRight w:val="0"/>
      <w:marTop w:val="0"/>
      <w:marBottom w:val="0"/>
      <w:divBdr>
        <w:top w:val="none" w:sz="0" w:space="0" w:color="auto"/>
        <w:left w:val="none" w:sz="0" w:space="0" w:color="auto"/>
        <w:bottom w:val="none" w:sz="0" w:space="0" w:color="auto"/>
        <w:right w:val="none" w:sz="0" w:space="0" w:color="auto"/>
      </w:divBdr>
    </w:div>
    <w:div w:id="1893497967">
      <w:bodyDiv w:val="1"/>
      <w:marLeft w:val="0"/>
      <w:marRight w:val="0"/>
      <w:marTop w:val="0"/>
      <w:marBottom w:val="0"/>
      <w:divBdr>
        <w:top w:val="none" w:sz="0" w:space="0" w:color="auto"/>
        <w:left w:val="none" w:sz="0" w:space="0" w:color="auto"/>
        <w:bottom w:val="none" w:sz="0" w:space="0" w:color="auto"/>
        <w:right w:val="none" w:sz="0" w:space="0" w:color="auto"/>
      </w:divBdr>
    </w:div>
    <w:div w:id="1893735000">
      <w:bodyDiv w:val="1"/>
      <w:marLeft w:val="0"/>
      <w:marRight w:val="0"/>
      <w:marTop w:val="0"/>
      <w:marBottom w:val="0"/>
      <w:divBdr>
        <w:top w:val="none" w:sz="0" w:space="0" w:color="auto"/>
        <w:left w:val="none" w:sz="0" w:space="0" w:color="auto"/>
        <w:bottom w:val="none" w:sz="0" w:space="0" w:color="auto"/>
        <w:right w:val="none" w:sz="0" w:space="0" w:color="auto"/>
      </w:divBdr>
    </w:div>
    <w:div w:id="1893996845">
      <w:bodyDiv w:val="1"/>
      <w:marLeft w:val="0"/>
      <w:marRight w:val="0"/>
      <w:marTop w:val="0"/>
      <w:marBottom w:val="0"/>
      <w:divBdr>
        <w:top w:val="none" w:sz="0" w:space="0" w:color="auto"/>
        <w:left w:val="none" w:sz="0" w:space="0" w:color="auto"/>
        <w:bottom w:val="none" w:sz="0" w:space="0" w:color="auto"/>
        <w:right w:val="none" w:sz="0" w:space="0" w:color="auto"/>
      </w:divBdr>
    </w:div>
    <w:div w:id="1894195613">
      <w:bodyDiv w:val="1"/>
      <w:marLeft w:val="0"/>
      <w:marRight w:val="0"/>
      <w:marTop w:val="0"/>
      <w:marBottom w:val="0"/>
      <w:divBdr>
        <w:top w:val="none" w:sz="0" w:space="0" w:color="auto"/>
        <w:left w:val="none" w:sz="0" w:space="0" w:color="auto"/>
        <w:bottom w:val="none" w:sz="0" w:space="0" w:color="auto"/>
        <w:right w:val="none" w:sz="0" w:space="0" w:color="auto"/>
      </w:divBdr>
    </w:div>
    <w:div w:id="1894267879">
      <w:bodyDiv w:val="1"/>
      <w:marLeft w:val="0"/>
      <w:marRight w:val="0"/>
      <w:marTop w:val="0"/>
      <w:marBottom w:val="0"/>
      <w:divBdr>
        <w:top w:val="none" w:sz="0" w:space="0" w:color="auto"/>
        <w:left w:val="none" w:sz="0" w:space="0" w:color="auto"/>
        <w:bottom w:val="none" w:sz="0" w:space="0" w:color="auto"/>
        <w:right w:val="none" w:sz="0" w:space="0" w:color="auto"/>
      </w:divBdr>
    </w:div>
    <w:div w:id="1894537788">
      <w:bodyDiv w:val="1"/>
      <w:marLeft w:val="0"/>
      <w:marRight w:val="0"/>
      <w:marTop w:val="0"/>
      <w:marBottom w:val="0"/>
      <w:divBdr>
        <w:top w:val="none" w:sz="0" w:space="0" w:color="auto"/>
        <w:left w:val="none" w:sz="0" w:space="0" w:color="auto"/>
        <w:bottom w:val="none" w:sz="0" w:space="0" w:color="auto"/>
        <w:right w:val="none" w:sz="0" w:space="0" w:color="auto"/>
      </w:divBdr>
    </w:div>
    <w:div w:id="1895002043">
      <w:bodyDiv w:val="1"/>
      <w:marLeft w:val="0"/>
      <w:marRight w:val="0"/>
      <w:marTop w:val="0"/>
      <w:marBottom w:val="0"/>
      <w:divBdr>
        <w:top w:val="none" w:sz="0" w:space="0" w:color="auto"/>
        <w:left w:val="none" w:sz="0" w:space="0" w:color="auto"/>
        <w:bottom w:val="none" w:sz="0" w:space="0" w:color="auto"/>
        <w:right w:val="none" w:sz="0" w:space="0" w:color="auto"/>
      </w:divBdr>
    </w:div>
    <w:div w:id="1895240756">
      <w:bodyDiv w:val="1"/>
      <w:marLeft w:val="0"/>
      <w:marRight w:val="0"/>
      <w:marTop w:val="0"/>
      <w:marBottom w:val="0"/>
      <w:divBdr>
        <w:top w:val="none" w:sz="0" w:space="0" w:color="auto"/>
        <w:left w:val="none" w:sz="0" w:space="0" w:color="auto"/>
        <w:bottom w:val="none" w:sz="0" w:space="0" w:color="auto"/>
        <w:right w:val="none" w:sz="0" w:space="0" w:color="auto"/>
      </w:divBdr>
    </w:div>
    <w:div w:id="1895240896">
      <w:bodyDiv w:val="1"/>
      <w:marLeft w:val="0"/>
      <w:marRight w:val="0"/>
      <w:marTop w:val="0"/>
      <w:marBottom w:val="0"/>
      <w:divBdr>
        <w:top w:val="none" w:sz="0" w:space="0" w:color="auto"/>
        <w:left w:val="none" w:sz="0" w:space="0" w:color="auto"/>
        <w:bottom w:val="none" w:sz="0" w:space="0" w:color="auto"/>
        <w:right w:val="none" w:sz="0" w:space="0" w:color="auto"/>
      </w:divBdr>
    </w:div>
    <w:div w:id="1895584916">
      <w:bodyDiv w:val="1"/>
      <w:marLeft w:val="0"/>
      <w:marRight w:val="0"/>
      <w:marTop w:val="0"/>
      <w:marBottom w:val="0"/>
      <w:divBdr>
        <w:top w:val="none" w:sz="0" w:space="0" w:color="auto"/>
        <w:left w:val="none" w:sz="0" w:space="0" w:color="auto"/>
        <w:bottom w:val="none" w:sz="0" w:space="0" w:color="auto"/>
        <w:right w:val="none" w:sz="0" w:space="0" w:color="auto"/>
      </w:divBdr>
    </w:div>
    <w:div w:id="1895891580">
      <w:bodyDiv w:val="1"/>
      <w:marLeft w:val="0"/>
      <w:marRight w:val="0"/>
      <w:marTop w:val="0"/>
      <w:marBottom w:val="0"/>
      <w:divBdr>
        <w:top w:val="none" w:sz="0" w:space="0" w:color="auto"/>
        <w:left w:val="none" w:sz="0" w:space="0" w:color="auto"/>
        <w:bottom w:val="none" w:sz="0" w:space="0" w:color="auto"/>
        <w:right w:val="none" w:sz="0" w:space="0" w:color="auto"/>
      </w:divBdr>
    </w:div>
    <w:div w:id="1896696319">
      <w:bodyDiv w:val="1"/>
      <w:marLeft w:val="0"/>
      <w:marRight w:val="0"/>
      <w:marTop w:val="0"/>
      <w:marBottom w:val="0"/>
      <w:divBdr>
        <w:top w:val="none" w:sz="0" w:space="0" w:color="auto"/>
        <w:left w:val="none" w:sz="0" w:space="0" w:color="auto"/>
        <w:bottom w:val="none" w:sz="0" w:space="0" w:color="auto"/>
        <w:right w:val="none" w:sz="0" w:space="0" w:color="auto"/>
      </w:divBdr>
    </w:div>
    <w:div w:id="1896815868">
      <w:bodyDiv w:val="1"/>
      <w:marLeft w:val="0"/>
      <w:marRight w:val="0"/>
      <w:marTop w:val="0"/>
      <w:marBottom w:val="0"/>
      <w:divBdr>
        <w:top w:val="none" w:sz="0" w:space="0" w:color="auto"/>
        <w:left w:val="none" w:sz="0" w:space="0" w:color="auto"/>
        <w:bottom w:val="none" w:sz="0" w:space="0" w:color="auto"/>
        <w:right w:val="none" w:sz="0" w:space="0" w:color="auto"/>
      </w:divBdr>
    </w:div>
    <w:div w:id="1897474886">
      <w:bodyDiv w:val="1"/>
      <w:marLeft w:val="0"/>
      <w:marRight w:val="0"/>
      <w:marTop w:val="0"/>
      <w:marBottom w:val="0"/>
      <w:divBdr>
        <w:top w:val="none" w:sz="0" w:space="0" w:color="auto"/>
        <w:left w:val="none" w:sz="0" w:space="0" w:color="auto"/>
        <w:bottom w:val="none" w:sz="0" w:space="0" w:color="auto"/>
        <w:right w:val="none" w:sz="0" w:space="0" w:color="auto"/>
      </w:divBdr>
    </w:div>
    <w:div w:id="1898781108">
      <w:bodyDiv w:val="1"/>
      <w:marLeft w:val="0"/>
      <w:marRight w:val="0"/>
      <w:marTop w:val="0"/>
      <w:marBottom w:val="0"/>
      <w:divBdr>
        <w:top w:val="none" w:sz="0" w:space="0" w:color="auto"/>
        <w:left w:val="none" w:sz="0" w:space="0" w:color="auto"/>
        <w:bottom w:val="none" w:sz="0" w:space="0" w:color="auto"/>
        <w:right w:val="none" w:sz="0" w:space="0" w:color="auto"/>
      </w:divBdr>
    </w:div>
    <w:div w:id="1898855252">
      <w:bodyDiv w:val="1"/>
      <w:marLeft w:val="0"/>
      <w:marRight w:val="0"/>
      <w:marTop w:val="0"/>
      <w:marBottom w:val="0"/>
      <w:divBdr>
        <w:top w:val="none" w:sz="0" w:space="0" w:color="auto"/>
        <w:left w:val="none" w:sz="0" w:space="0" w:color="auto"/>
        <w:bottom w:val="none" w:sz="0" w:space="0" w:color="auto"/>
        <w:right w:val="none" w:sz="0" w:space="0" w:color="auto"/>
      </w:divBdr>
    </w:div>
    <w:div w:id="1899706272">
      <w:bodyDiv w:val="1"/>
      <w:marLeft w:val="0"/>
      <w:marRight w:val="0"/>
      <w:marTop w:val="0"/>
      <w:marBottom w:val="0"/>
      <w:divBdr>
        <w:top w:val="none" w:sz="0" w:space="0" w:color="auto"/>
        <w:left w:val="none" w:sz="0" w:space="0" w:color="auto"/>
        <w:bottom w:val="none" w:sz="0" w:space="0" w:color="auto"/>
        <w:right w:val="none" w:sz="0" w:space="0" w:color="auto"/>
      </w:divBdr>
    </w:div>
    <w:div w:id="1899897185">
      <w:bodyDiv w:val="1"/>
      <w:marLeft w:val="0"/>
      <w:marRight w:val="0"/>
      <w:marTop w:val="0"/>
      <w:marBottom w:val="0"/>
      <w:divBdr>
        <w:top w:val="none" w:sz="0" w:space="0" w:color="auto"/>
        <w:left w:val="none" w:sz="0" w:space="0" w:color="auto"/>
        <w:bottom w:val="none" w:sz="0" w:space="0" w:color="auto"/>
        <w:right w:val="none" w:sz="0" w:space="0" w:color="auto"/>
      </w:divBdr>
    </w:div>
    <w:div w:id="1900243841">
      <w:bodyDiv w:val="1"/>
      <w:marLeft w:val="0"/>
      <w:marRight w:val="0"/>
      <w:marTop w:val="0"/>
      <w:marBottom w:val="0"/>
      <w:divBdr>
        <w:top w:val="none" w:sz="0" w:space="0" w:color="auto"/>
        <w:left w:val="none" w:sz="0" w:space="0" w:color="auto"/>
        <w:bottom w:val="none" w:sz="0" w:space="0" w:color="auto"/>
        <w:right w:val="none" w:sz="0" w:space="0" w:color="auto"/>
      </w:divBdr>
    </w:div>
    <w:div w:id="1900702770">
      <w:bodyDiv w:val="1"/>
      <w:marLeft w:val="0"/>
      <w:marRight w:val="0"/>
      <w:marTop w:val="0"/>
      <w:marBottom w:val="0"/>
      <w:divBdr>
        <w:top w:val="none" w:sz="0" w:space="0" w:color="auto"/>
        <w:left w:val="none" w:sz="0" w:space="0" w:color="auto"/>
        <w:bottom w:val="none" w:sz="0" w:space="0" w:color="auto"/>
        <w:right w:val="none" w:sz="0" w:space="0" w:color="auto"/>
      </w:divBdr>
    </w:div>
    <w:div w:id="1901012003">
      <w:bodyDiv w:val="1"/>
      <w:marLeft w:val="0"/>
      <w:marRight w:val="0"/>
      <w:marTop w:val="0"/>
      <w:marBottom w:val="0"/>
      <w:divBdr>
        <w:top w:val="none" w:sz="0" w:space="0" w:color="auto"/>
        <w:left w:val="none" w:sz="0" w:space="0" w:color="auto"/>
        <w:bottom w:val="none" w:sz="0" w:space="0" w:color="auto"/>
        <w:right w:val="none" w:sz="0" w:space="0" w:color="auto"/>
      </w:divBdr>
    </w:div>
    <w:div w:id="1901331243">
      <w:bodyDiv w:val="1"/>
      <w:marLeft w:val="0"/>
      <w:marRight w:val="0"/>
      <w:marTop w:val="0"/>
      <w:marBottom w:val="0"/>
      <w:divBdr>
        <w:top w:val="none" w:sz="0" w:space="0" w:color="auto"/>
        <w:left w:val="none" w:sz="0" w:space="0" w:color="auto"/>
        <w:bottom w:val="none" w:sz="0" w:space="0" w:color="auto"/>
        <w:right w:val="none" w:sz="0" w:space="0" w:color="auto"/>
      </w:divBdr>
    </w:div>
    <w:div w:id="1901553306">
      <w:bodyDiv w:val="1"/>
      <w:marLeft w:val="0"/>
      <w:marRight w:val="0"/>
      <w:marTop w:val="0"/>
      <w:marBottom w:val="0"/>
      <w:divBdr>
        <w:top w:val="none" w:sz="0" w:space="0" w:color="auto"/>
        <w:left w:val="none" w:sz="0" w:space="0" w:color="auto"/>
        <w:bottom w:val="none" w:sz="0" w:space="0" w:color="auto"/>
        <w:right w:val="none" w:sz="0" w:space="0" w:color="auto"/>
      </w:divBdr>
    </w:div>
    <w:div w:id="1902010927">
      <w:bodyDiv w:val="1"/>
      <w:marLeft w:val="0"/>
      <w:marRight w:val="0"/>
      <w:marTop w:val="0"/>
      <w:marBottom w:val="0"/>
      <w:divBdr>
        <w:top w:val="none" w:sz="0" w:space="0" w:color="auto"/>
        <w:left w:val="none" w:sz="0" w:space="0" w:color="auto"/>
        <w:bottom w:val="none" w:sz="0" w:space="0" w:color="auto"/>
        <w:right w:val="none" w:sz="0" w:space="0" w:color="auto"/>
      </w:divBdr>
    </w:div>
    <w:div w:id="1902592639">
      <w:bodyDiv w:val="1"/>
      <w:marLeft w:val="0"/>
      <w:marRight w:val="0"/>
      <w:marTop w:val="0"/>
      <w:marBottom w:val="0"/>
      <w:divBdr>
        <w:top w:val="none" w:sz="0" w:space="0" w:color="auto"/>
        <w:left w:val="none" w:sz="0" w:space="0" w:color="auto"/>
        <w:bottom w:val="none" w:sz="0" w:space="0" w:color="auto"/>
        <w:right w:val="none" w:sz="0" w:space="0" w:color="auto"/>
      </w:divBdr>
    </w:div>
    <w:div w:id="1902712498">
      <w:bodyDiv w:val="1"/>
      <w:marLeft w:val="0"/>
      <w:marRight w:val="0"/>
      <w:marTop w:val="0"/>
      <w:marBottom w:val="0"/>
      <w:divBdr>
        <w:top w:val="none" w:sz="0" w:space="0" w:color="auto"/>
        <w:left w:val="none" w:sz="0" w:space="0" w:color="auto"/>
        <w:bottom w:val="none" w:sz="0" w:space="0" w:color="auto"/>
        <w:right w:val="none" w:sz="0" w:space="0" w:color="auto"/>
      </w:divBdr>
    </w:div>
    <w:div w:id="1902860187">
      <w:bodyDiv w:val="1"/>
      <w:marLeft w:val="0"/>
      <w:marRight w:val="0"/>
      <w:marTop w:val="0"/>
      <w:marBottom w:val="0"/>
      <w:divBdr>
        <w:top w:val="none" w:sz="0" w:space="0" w:color="auto"/>
        <w:left w:val="none" w:sz="0" w:space="0" w:color="auto"/>
        <w:bottom w:val="none" w:sz="0" w:space="0" w:color="auto"/>
        <w:right w:val="none" w:sz="0" w:space="0" w:color="auto"/>
      </w:divBdr>
    </w:div>
    <w:div w:id="1903245836">
      <w:bodyDiv w:val="1"/>
      <w:marLeft w:val="0"/>
      <w:marRight w:val="0"/>
      <w:marTop w:val="0"/>
      <w:marBottom w:val="0"/>
      <w:divBdr>
        <w:top w:val="none" w:sz="0" w:space="0" w:color="auto"/>
        <w:left w:val="none" w:sz="0" w:space="0" w:color="auto"/>
        <w:bottom w:val="none" w:sz="0" w:space="0" w:color="auto"/>
        <w:right w:val="none" w:sz="0" w:space="0" w:color="auto"/>
      </w:divBdr>
    </w:div>
    <w:div w:id="1903247835">
      <w:bodyDiv w:val="1"/>
      <w:marLeft w:val="0"/>
      <w:marRight w:val="0"/>
      <w:marTop w:val="0"/>
      <w:marBottom w:val="0"/>
      <w:divBdr>
        <w:top w:val="none" w:sz="0" w:space="0" w:color="auto"/>
        <w:left w:val="none" w:sz="0" w:space="0" w:color="auto"/>
        <w:bottom w:val="none" w:sz="0" w:space="0" w:color="auto"/>
        <w:right w:val="none" w:sz="0" w:space="0" w:color="auto"/>
      </w:divBdr>
    </w:div>
    <w:div w:id="1903443207">
      <w:bodyDiv w:val="1"/>
      <w:marLeft w:val="0"/>
      <w:marRight w:val="0"/>
      <w:marTop w:val="0"/>
      <w:marBottom w:val="0"/>
      <w:divBdr>
        <w:top w:val="none" w:sz="0" w:space="0" w:color="auto"/>
        <w:left w:val="none" w:sz="0" w:space="0" w:color="auto"/>
        <w:bottom w:val="none" w:sz="0" w:space="0" w:color="auto"/>
        <w:right w:val="none" w:sz="0" w:space="0" w:color="auto"/>
      </w:divBdr>
    </w:div>
    <w:div w:id="1903635020">
      <w:bodyDiv w:val="1"/>
      <w:marLeft w:val="0"/>
      <w:marRight w:val="0"/>
      <w:marTop w:val="0"/>
      <w:marBottom w:val="0"/>
      <w:divBdr>
        <w:top w:val="none" w:sz="0" w:space="0" w:color="auto"/>
        <w:left w:val="none" w:sz="0" w:space="0" w:color="auto"/>
        <w:bottom w:val="none" w:sz="0" w:space="0" w:color="auto"/>
        <w:right w:val="none" w:sz="0" w:space="0" w:color="auto"/>
      </w:divBdr>
    </w:div>
    <w:div w:id="1904022878">
      <w:bodyDiv w:val="1"/>
      <w:marLeft w:val="0"/>
      <w:marRight w:val="0"/>
      <w:marTop w:val="0"/>
      <w:marBottom w:val="0"/>
      <w:divBdr>
        <w:top w:val="none" w:sz="0" w:space="0" w:color="auto"/>
        <w:left w:val="none" w:sz="0" w:space="0" w:color="auto"/>
        <w:bottom w:val="none" w:sz="0" w:space="0" w:color="auto"/>
        <w:right w:val="none" w:sz="0" w:space="0" w:color="auto"/>
      </w:divBdr>
    </w:div>
    <w:div w:id="1904442650">
      <w:bodyDiv w:val="1"/>
      <w:marLeft w:val="0"/>
      <w:marRight w:val="0"/>
      <w:marTop w:val="0"/>
      <w:marBottom w:val="0"/>
      <w:divBdr>
        <w:top w:val="none" w:sz="0" w:space="0" w:color="auto"/>
        <w:left w:val="none" w:sz="0" w:space="0" w:color="auto"/>
        <w:bottom w:val="none" w:sz="0" w:space="0" w:color="auto"/>
        <w:right w:val="none" w:sz="0" w:space="0" w:color="auto"/>
      </w:divBdr>
    </w:div>
    <w:div w:id="1904561131">
      <w:bodyDiv w:val="1"/>
      <w:marLeft w:val="0"/>
      <w:marRight w:val="0"/>
      <w:marTop w:val="0"/>
      <w:marBottom w:val="0"/>
      <w:divBdr>
        <w:top w:val="none" w:sz="0" w:space="0" w:color="auto"/>
        <w:left w:val="none" w:sz="0" w:space="0" w:color="auto"/>
        <w:bottom w:val="none" w:sz="0" w:space="0" w:color="auto"/>
        <w:right w:val="none" w:sz="0" w:space="0" w:color="auto"/>
      </w:divBdr>
    </w:div>
    <w:div w:id="1904950740">
      <w:bodyDiv w:val="1"/>
      <w:marLeft w:val="0"/>
      <w:marRight w:val="0"/>
      <w:marTop w:val="0"/>
      <w:marBottom w:val="0"/>
      <w:divBdr>
        <w:top w:val="none" w:sz="0" w:space="0" w:color="auto"/>
        <w:left w:val="none" w:sz="0" w:space="0" w:color="auto"/>
        <w:bottom w:val="none" w:sz="0" w:space="0" w:color="auto"/>
        <w:right w:val="none" w:sz="0" w:space="0" w:color="auto"/>
      </w:divBdr>
    </w:div>
    <w:div w:id="1905295021">
      <w:bodyDiv w:val="1"/>
      <w:marLeft w:val="0"/>
      <w:marRight w:val="0"/>
      <w:marTop w:val="0"/>
      <w:marBottom w:val="0"/>
      <w:divBdr>
        <w:top w:val="none" w:sz="0" w:space="0" w:color="auto"/>
        <w:left w:val="none" w:sz="0" w:space="0" w:color="auto"/>
        <w:bottom w:val="none" w:sz="0" w:space="0" w:color="auto"/>
        <w:right w:val="none" w:sz="0" w:space="0" w:color="auto"/>
      </w:divBdr>
    </w:div>
    <w:div w:id="1905604000">
      <w:bodyDiv w:val="1"/>
      <w:marLeft w:val="0"/>
      <w:marRight w:val="0"/>
      <w:marTop w:val="0"/>
      <w:marBottom w:val="0"/>
      <w:divBdr>
        <w:top w:val="none" w:sz="0" w:space="0" w:color="auto"/>
        <w:left w:val="none" w:sz="0" w:space="0" w:color="auto"/>
        <w:bottom w:val="none" w:sz="0" w:space="0" w:color="auto"/>
        <w:right w:val="none" w:sz="0" w:space="0" w:color="auto"/>
      </w:divBdr>
    </w:div>
    <w:div w:id="1905749094">
      <w:bodyDiv w:val="1"/>
      <w:marLeft w:val="0"/>
      <w:marRight w:val="0"/>
      <w:marTop w:val="0"/>
      <w:marBottom w:val="0"/>
      <w:divBdr>
        <w:top w:val="none" w:sz="0" w:space="0" w:color="auto"/>
        <w:left w:val="none" w:sz="0" w:space="0" w:color="auto"/>
        <w:bottom w:val="none" w:sz="0" w:space="0" w:color="auto"/>
        <w:right w:val="none" w:sz="0" w:space="0" w:color="auto"/>
      </w:divBdr>
    </w:div>
    <w:div w:id="1905868395">
      <w:bodyDiv w:val="1"/>
      <w:marLeft w:val="0"/>
      <w:marRight w:val="0"/>
      <w:marTop w:val="0"/>
      <w:marBottom w:val="0"/>
      <w:divBdr>
        <w:top w:val="none" w:sz="0" w:space="0" w:color="auto"/>
        <w:left w:val="none" w:sz="0" w:space="0" w:color="auto"/>
        <w:bottom w:val="none" w:sz="0" w:space="0" w:color="auto"/>
        <w:right w:val="none" w:sz="0" w:space="0" w:color="auto"/>
      </w:divBdr>
    </w:div>
    <w:div w:id="1906525346">
      <w:bodyDiv w:val="1"/>
      <w:marLeft w:val="0"/>
      <w:marRight w:val="0"/>
      <w:marTop w:val="0"/>
      <w:marBottom w:val="0"/>
      <w:divBdr>
        <w:top w:val="none" w:sz="0" w:space="0" w:color="auto"/>
        <w:left w:val="none" w:sz="0" w:space="0" w:color="auto"/>
        <w:bottom w:val="none" w:sz="0" w:space="0" w:color="auto"/>
        <w:right w:val="none" w:sz="0" w:space="0" w:color="auto"/>
      </w:divBdr>
    </w:div>
    <w:div w:id="1906643942">
      <w:bodyDiv w:val="1"/>
      <w:marLeft w:val="0"/>
      <w:marRight w:val="0"/>
      <w:marTop w:val="0"/>
      <w:marBottom w:val="0"/>
      <w:divBdr>
        <w:top w:val="none" w:sz="0" w:space="0" w:color="auto"/>
        <w:left w:val="none" w:sz="0" w:space="0" w:color="auto"/>
        <w:bottom w:val="none" w:sz="0" w:space="0" w:color="auto"/>
        <w:right w:val="none" w:sz="0" w:space="0" w:color="auto"/>
      </w:divBdr>
    </w:div>
    <w:div w:id="1907495525">
      <w:bodyDiv w:val="1"/>
      <w:marLeft w:val="0"/>
      <w:marRight w:val="0"/>
      <w:marTop w:val="0"/>
      <w:marBottom w:val="0"/>
      <w:divBdr>
        <w:top w:val="none" w:sz="0" w:space="0" w:color="auto"/>
        <w:left w:val="none" w:sz="0" w:space="0" w:color="auto"/>
        <w:bottom w:val="none" w:sz="0" w:space="0" w:color="auto"/>
        <w:right w:val="none" w:sz="0" w:space="0" w:color="auto"/>
      </w:divBdr>
    </w:div>
    <w:div w:id="1907639470">
      <w:bodyDiv w:val="1"/>
      <w:marLeft w:val="0"/>
      <w:marRight w:val="0"/>
      <w:marTop w:val="0"/>
      <w:marBottom w:val="0"/>
      <w:divBdr>
        <w:top w:val="none" w:sz="0" w:space="0" w:color="auto"/>
        <w:left w:val="none" w:sz="0" w:space="0" w:color="auto"/>
        <w:bottom w:val="none" w:sz="0" w:space="0" w:color="auto"/>
        <w:right w:val="none" w:sz="0" w:space="0" w:color="auto"/>
      </w:divBdr>
    </w:div>
    <w:div w:id="1907832859">
      <w:bodyDiv w:val="1"/>
      <w:marLeft w:val="0"/>
      <w:marRight w:val="0"/>
      <w:marTop w:val="0"/>
      <w:marBottom w:val="0"/>
      <w:divBdr>
        <w:top w:val="none" w:sz="0" w:space="0" w:color="auto"/>
        <w:left w:val="none" w:sz="0" w:space="0" w:color="auto"/>
        <w:bottom w:val="none" w:sz="0" w:space="0" w:color="auto"/>
        <w:right w:val="none" w:sz="0" w:space="0" w:color="auto"/>
      </w:divBdr>
    </w:div>
    <w:div w:id="1907914587">
      <w:bodyDiv w:val="1"/>
      <w:marLeft w:val="0"/>
      <w:marRight w:val="0"/>
      <w:marTop w:val="0"/>
      <w:marBottom w:val="0"/>
      <w:divBdr>
        <w:top w:val="none" w:sz="0" w:space="0" w:color="auto"/>
        <w:left w:val="none" w:sz="0" w:space="0" w:color="auto"/>
        <w:bottom w:val="none" w:sz="0" w:space="0" w:color="auto"/>
        <w:right w:val="none" w:sz="0" w:space="0" w:color="auto"/>
      </w:divBdr>
    </w:div>
    <w:div w:id="1907914797">
      <w:bodyDiv w:val="1"/>
      <w:marLeft w:val="0"/>
      <w:marRight w:val="0"/>
      <w:marTop w:val="0"/>
      <w:marBottom w:val="0"/>
      <w:divBdr>
        <w:top w:val="none" w:sz="0" w:space="0" w:color="auto"/>
        <w:left w:val="none" w:sz="0" w:space="0" w:color="auto"/>
        <w:bottom w:val="none" w:sz="0" w:space="0" w:color="auto"/>
        <w:right w:val="none" w:sz="0" w:space="0" w:color="auto"/>
      </w:divBdr>
    </w:div>
    <w:div w:id="1908414567">
      <w:bodyDiv w:val="1"/>
      <w:marLeft w:val="0"/>
      <w:marRight w:val="0"/>
      <w:marTop w:val="0"/>
      <w:marBottom w:val="0"/>
      <w:divBdr>
        <w:top w:val="none" w:sz="0" w:space="0" w:color="auto"/>
        <w:left w:val="none" w:sz="0" w:space="0" w:color="auto"/>
        <w:bottom w:val="none" w:sz="0" w:space="0" w:color="auto"/>
        <w:right w:val="none" w:sz="0" w:space="0" w:color="auto"/>
      </w:divBdr>
    </w:div>
    <w:div w:id="1908765609">
      <w:bodyDiv w:val="1"/>
      <w:marLeft w:val="0"/>
      <w:marRight w:val="0"/>
      <w:marTop w:val="0"/>
      <w:marBottom w:val="0"/>
      <w:divBdr>
        <w:top w:val="none" w:sz="0" w:space="0" w:color="auto"/>
        <w:left w:val="none" w:sz="0" w:space="0" w:color="auto"/>
        <w:bottom w:val="none" w:sz="0" w:space="0" w:color="auto"/>
        <w:right w:val="none" w:sz="0" w:space="0" w:color="auto"/>
      </w:divBdr>
    </w:div>
    <w:div w:id="1909144030">
      <w:bodyDiv w:val="1"/>
      <w:marLeft w:val="0"/>
      <w:marRight w:val="0"/>
      <w:marTop w:val="0"/>
      <w:marBottom w:val="0"/>
      <w:divBdr>
        <w:top w:val="none" w:sz="0" w:space="0" w:color="auto"/>
        <w:left w:val="none" w:sz="0" w:space="0" w:color="auto"/>
        <w:bottom w:val="none" w:sz="0" w:space="0" w:color="auto"/>
        <w:right w:val="none" w:sz="0" w:space="0" w:color="auto"/>
      </w:divBdr>
    </w:div>
    <w:div w:id="1909805795">
      <w:bodyDiv w:val="1"/>
      <w:marLeft w:val="0"/>
      <w:marRight w:val="0"/>
      <w:marTop w:val="0"/>
      <w:marBottom w:val="0"/>
      <w:divBdr>
        <w:top w:val="none" w:sz="0" w:space="0" w:color="auto"/>
        <w:left w:val="none" w:sz="0" w:space="0" w:color="auto"/>
        <w:bottom w:val="none" w:sz="0" w:space="0" w:color="auto"/>
        <w:right w:val="none" w:sz="0" w:space="0" w:color="auto"/>
      </w:divBdr>
    </w:div>
    <w:div w:id="1909923318">
      <w:bodyDiv w:val="1"/>
      <w:marLeft w:val="0"/>
      <w:marRight w:val="0"/>
      <w:marTop w:val="0"/>
      <w:marBottom w:val="0"/>
      <w:divBdr>
        <w:top w:val="none" w:sz="0" w:space="0" w:color="auto"/>
        <w:left w:val="none" w:sz="0" w:space="0" w:color="auto"/>
        <w:bottom w:val="none" w:sz="0" w:space="0" w:color="auto"/>
        <w:right w:val="none" w:sz="0" w:space="0" w:color="auto"/>
      </w:divBdr>
    </w:div>
    <w:div w:id="1910189882">
      <w:bodyDiv w:val="1"/>
      <w:marLeft w:val="0"/>
      <w:marRight w:val="0"/>
      <w:marTop w:val="0"/>
      <w:marBottom w:val="0"/>
      <w:divBdr>
        <w:top w:val="none" w:sz="0" w:space="0" w:color="auto"/>
        <w:left w:val="none" w:sz="0" w:space="0" w:color="auto"/>
        <w:bottom w:val="none" w:sz="0" w:space="0" w:color="auto"/>
        <w:right w:val="none" w:sz="0" w:space="0" w:color="auto"/>
      </w:divBdr>
    </w:div>
    <w:div w:id="1910574430">
      <w:bodyDiv w:val="1"/>
      <w:marLeft w:val="0"/>
      <w:marRight w:val="0"/>
      <w:marTop w:val="0"/>
      <w:marBottom w:val="0"/>
      <w:divBdr>
        <w:top w:val="none" w:sz="0" w:space="0" w:color="auto"/>
        <w:left w:val="none" w:sz="0" w:space="0" w:color="auto"/>
        <w:bottom w:val="none" w:sz="0" w:space="0" w:color="auto"/>
        <w:right w:val="none" w:sz="0" w:space="0" w:color="auto"/>
      </w:divBdr>
    </w:div>
    <w:div w:id="1910655984">
      <w:bodyDiv w:val="1"/>
      <w:marLeft w:val="0"/>
      <w:marRight w:val="0"/>
      <w:marTop w:val="0"/>
      <w:marBottom w:val="0"/>
      <w:divBdr>
        <w:top w:val="none" w:sz="0" w:space="0" w:color="auto"/>
        <w:left w:val="none" w:sz="0" w:space="0" w:color="auto"/>
        <w:bottom w:val="none" w:sz="0" w:space="0" w:color="auto"/>
        <w:right w:val="none" w:sz="0" w:space="0" w:color="auto"/>
      </w:divBdr>
    </w:div>
    <w:div w:id="1910843859">
      <w:bodyDiv w:val="1"/>
      <w:marLeft w:val="0"/>
      <w:marRight w:val="0"/>
      <w:marTop w:val="0"/>
      <w:marBottom w:val="0"/>
      <w:divBdr>
        <w:top w:val="none" w:sz="0" w:space="0" w:color="auto"/>
        <w:left w:val="none" w:sz="0" w:space="0" w:color="auto"/>
        <w:bottom w:val="none" w:sz="0" w:space="0" w:color="auto"/>
        <w:right w:val="none" w:sz="0" w:space="0" w:color="auto"/>
      </w:divBdr>
    </w:div>
    <w:div w:id="1910995542">
      <w:bodyDiv w:val="1"/>
      <w:marLeft w:val="0"/>
      <w:marRight w:val="0"/>
      <w:marTop w:val="0"/>
      <w:marBottom w:val="0"/>
      <w:divBdr>
        <w:top w:val="none" w:sz="0" w:space="0" w:color="auto"/>
        <w:left w:val="none" w:sz="0" w:space="0" w:color="auto"/>
        <w:bottom w:val="none" w:sz="0" w:space="0" w:color="auto"/>
        <w:right w:val="none" w:sz="0" w:space="0" w:color="auto"/>
      </w:divBdr>
    </w:div>
    <w:div w:id="1911117900">
      <w:bodyDiv w:val="1"/>
      <w:marLeft w:val="0"/>
      <w:marRight w:val="0"/>
      <w:marTop w:val="0"/>
      <w:marBottom w:val="0"/>
      <w:divBdr>
        <w:top w:val="none" w:sz="0" w:space="0" w:color="auto"/>
        <w:left w:val="none" w:sz="0" w:space="0" w:color="auto"/>
        <w:bottom w:val="none" w:sz="0" w:space="0" w:color="auto"/>
        <w:right w:val="none" w:sz="0" w:space="0" w:color="auto"/>
      </w:divBdr>
    </w:div>
    <w:div w:id="1912695853">
      <w:bodyDiv w:val="1"/>
      <w:marLeft w:val="0"/>
      <w:marRight w:val="0"/>
      <w:marTop w:val="0"/>
      <w:marBottom w:val="0"/>
      <w:divBdr>
        <w:top w:val="none" w:sz="0" w:space="0" w:color="auto"/>
        <w:left w:val="none" w:sz="0" w:space="0" w:color="auto"/>
        <w:bottom w:val="none" w:sz="0" w:space="0" w:color="auto"/>
        <w:right w:val="none" w:sz="0" w:space="0" w:color="auto"/>
      </w:divBdr>
    </w:div>
    <w:div w:id="1912696077">
      <w:bodyDiv w:val="1"/>
      <w:marLeft w:val="0"/>
      <w:marRight w:val="0"/>
      <w:marTop w:val="0"/>
      <w:marBottom w:val="0"/>
      <w:divBdr>
        <w:top w:val="none" w:sz="0" w:space="0" w:color="auto"/>
        <w:left w:val="none" w:sz="0" w:space="0" w:color="auto"/>
        <w:bottom w:val="none" w:sz="0" w:space="0" w:color="auto"/>
        <w:right w:val="none" w:sz="0" w:space="0" w:color="auto"/>
      </w:divBdr>
    </w:div>
    <w:div w:id="1912933270">
      <w:bodyDiv w:val="1"/>
      <w:marLeft w:val="0"/>
      <w:marRight w:val="0"/>
      <w:marTop w:val="0"/>
      <w:marBottom w:val="0"/>
      <w:divBdr>
        <w:top w:val="none" w:sz="0" w:space="0" w:color="auto"/>
        <w:left w:val="none" w:sz="0" w:space="0" w:color="auto"/>
        <w:bottom w:val="none" w:sz="0" w:space="0" w:color="auto"/>
        <w:right w:val="none" w:sz="0" w:space="0" w:color="auto"/>
      </w:divBdr>
    </w:div>
    <w:div w:id="1912999476">
      <w:bodyDiv w:val="1"/>
      <w:marLeft w:val="0"/>
      <w:marRight w:val="0"/>
      <w:marTop w:val="0"/>
      <w:marBottom w:val="0"/>
      <w:divBdr>
        <w:top w:val="none" w:sz="0" w:space="0" w:color="auto"/>
        <w:left w:val="none" w:sz="0" w:space="0" w:color="auto"/>
        <w:bottom w:val="none" w:sz="0" w:space="0" w:color="auto"/>
        <w:right w:val="none" w:sz="0" w:space="0" w:color="auto"/>
      </w:divBdr>
    </w:div>
    <w:div w:id="1913343797">
      <w:bodyDiv w:val="1"/>
      <w:marLeft w:val="0"/>
      <w:marRight w:val="0"/>
      <w:marTop w:val="0"/>
      <w:marBottom w:val="0"/>
      <w:divBdr>
        <w:top w:val="none" w:sz="0" w:space="0" w:color="auto"/>
        <w:left w:val="none" w:sz="0" w:space="0" w:color="auto"/>
        <w:bottom w:val="none" w:sz="0" w:space="0" w:color="auto"/>
        <w:right w:val="none" w:sz="0" w:space="0" w:color="auto"/>
      </w:divBdr>
    </w:div>
    <w:div w:id="1913655144">
      <w:bodyDiv w:val="1"/>
      <w:marLeft w:val="0"/>
      <w:marRight w:val="0"/>
      <w:marTop w:val="0"/>
      <w:marBottom w:val="0"/>
      <w:divBdr>
        <w:top w:val="none" w:sz="0" w:space="0" w:color="auto"/>
        <w:left w:val="none" w:sz="0" w:space="0" w:color="auto"/>
        <w:bottom w:val="none" w:sz="0" w:space="0" w:color="auto"/>
        <w:right w:val="none" w:sz="0" w:space="0" w:color="auto"/>
      </w:divBdr>
    </w:div>
    <w:div w:id="1914392379">
      <w:bodyDiv w:val="1"/>
      <w:marLeft w:val="0"/>
      <w:marRight w:val="0"/>
      <w:marTop w:val="0"/>
      <w:marBottom w:val="0"/>
      <w:divBdr>
        <w:top w:val="none" w:sz="0" w:space="0" w:color="auto"/>
        <w:left w:val="none" w:sz="0" w:space="0" w:color="auto"/>
        <w:bottom w:val="none" w:sz="0" w:space="0" w:color="auto"/>
        <w:right w:val="none" w:sz="0" w:space="0" w:color="auto"/>
      </w:divBdr>
    </w:div>
    <w:div w:id="1914460703">
      <w:bodyDiv w:val="1"/>
      <w:marLeft w:val="0"/>
      <w:marRight w:val="0"/>
      <w:marTop w:val="0"/>
      <w:marBottom w:val="0"/>
      <w:divBdr>
        <w:top w:val="none" w:sz="0" w:space="0" w:color="auto"/>
        <w:left w:val="none" w:sz="0" w:space="0" w:color="auto"/>
        <w:bottom w:val="none" w:sz="0" w:space="0" w:color="auto"/>
        <w:right w:val="none" w:sz="0" w:space="0" w:color="auto"/>
      </w:divBdr>
    </w:div>
    <w:div w:id="1914654650">
      <w:bodyDiv w:val="1"/>
      <w:marLeft w:val="0"/>
      <w:marRight w:val="0"/>
      <w:marTop w:val="0"/>
      <w:marBottom w:val="0"/>
      <w:divBdr>
        <w:top w:val="none" w:sz="0" w:space="0" w:color="auto"/>
        <w:left w:val="none" w:sz="0" w:space="0" w:color="auto"/>
        <w:bottom w:val="none" w:sz="0" w:space="0" w:color="auto"/>
        <w:right w:val="none" w:sz="0" w:space="0" w:color="auto"/>
      </w:divBdr>
    </w:div>
    <w:div w:id="1915243050">
      <w:bodyDiv w:val="1"/>
      <w:marLeft w:val="0"/>
      <w:marRight w:val="0"/>
      <w:marTop w:val="0"/>
      <w:marBottom w:val="0"/>
      <w:divBdr>
        <w:top w:val="none" w:sz="0" w:space="0" w:color="auto"/>
        <w:left w:val="none" w:sz="0" w:space="0" w:color="auto"/>
        <w:bottom w:val="none" w:sz="0" w:space="0" w:color="auto"/>
        <w:right w:val="none" w:sz="0" w:space="0" w:color="auto"/>
      </w:divBdr>
    </w:div>
    <w:div w:id="1915315827">
      <w:bodyDiv w:val="1"/>
      <w:marLeft w:val="0"/>
      <w:marRight w:val="0"/>
      <w:marTop w:val="0"/>
      <w:marBottom w:val="0"/>
      <w:divBdr>
        <w:top w:val="none" w:sz="0" w:space="0" w:color="auto"/>
        <w:left w:val="none" w:sz="0" w:space="0" w:color="auto"/>
        <w:bottom w:val="none" w:sz="0" w:space="0" w:color="auto"/>
        <w:right w:val="none" w:sz="0" w:space="0" w:color="auto"/>
      </w:divBdr>
    </w:div>
    <w:div w:id="1915427481">
      <w:bodyDiv w:val="1"/>
      <w:marLeft w:val="0"/>
      <w:marRight w:val="0"/>
      <w:marTop w:val="0"/>
      <w:marBottom w:val="0"/>
      <w:divBdr>
        <w:top w:val="none" w:sz="0" w:space="0" w:color="auto"/>
        <w:left w:val="none" w:sz="0" w:space="0" w:color="auto"/>
        <w:bottom w:val="none" w:sz="0" w:space="0" w:color="auto"/>
        <w:right w:val="none" w:sz="0" w:space="0" w:color="auto"/>
      </w:divBdr>
    </w:div>
    <w:div w:id="1915436363">
      <w:bodyDiv w:val="1"/>
      <w:marLeft w:val="0"/>
      <w:marRight w:val="0"/>
      <w:marTop w:val="0"/>
      <w:marBottom w:val="0"/>
      <w:divBdr>
        <w:top w:val="none" w:sz="0" w:space="0" w:color="auto"/>
        <w:left w:val="none" w:sz="0" w:space="0" w:color="auto"/>
        <w:bottom w:val="none" w:sz="0" w:space="0" w:color="auto"/>
        <w:right w:val="none" w:sz="0" w:space="0" w:color="auto"/>
      </w:divBdr>
    </w:div>
    <w:div w:id="1915579246">
      <w:bodyDiv w:val="1"/>
      <w:marLeft w:val="0"/>
      <w:marRight w:val="0"/>
      <w:marTop w:val="0"/>
      <w:marBottom w:val="0"/>
      <w:divBdr>
        <w:top w:val="none" w:sz="0" w:space="0" w:color="auto"/>
        <w:left w:val="none" w:sz="0" w:space="0" w:color="auto"/>
        <w:bottom w:val="none" w:sz="0" w:space="0" w:color="auto"/>
        <w:right w:val="none" w:sz="0" w:space="0" w:color="auto"/>
      </w:divBdr>
    </w:div>
    <w:div w:id="1915699501">
      <w:bodyDiv w:val="1"/>
      <w:marLeft w:val="0"/>
      <w:marRight w:val="0"/>
      <w:marTop w:val="0"/>
      <w:marBottom w:val="0"/>
      <w:divBdr>
        <w:top w:val="none" w:sz="0" w:space="0" w:color="auto"/>
        <w:left w:val="none" w:sz="0" w:space="0" w:color="auto"/>
        <w:bottom w:val="none" w:sz="0" w:space="0" w:color="auto"/>
        <w:right w:val="none" w:sz="0" w:space="0" w:color="auto"/>
      </w:divBdr>
    </w:div>
    <w:div w:id="1916817302">
      <w:bodyDiv w:val="1"/>
      <w:marLeft w:val="0"/>
      <w:marRight w:val="0"/>
      <w:marTop w:val="0"/>
      <w:marBottom w:val="0"/>
      <w:divBdr>
        <w:top w:val="none" w:sz="0" w:space="0" w:color="auto"/>
        <w:left w:val="none" w:sz="0" w:space="0" w:color="auto"/>
        <w:bottom w:val="none" w:sz="0" w:space="0" w:color="auto"/>
        <w:right w:val="none" w:sz="0" w:space="0" w:color="auto"/>
      </w:divBdr>
    </w:div>
    <w:div w:id="1917200479">
      <w:bodyDiv w:val="1"/>
      <w:marLeft w:val="0"/>
      <w:marRight w:val="0"/>
      <w:marTop w:val="0"/>
      <w:marBottom w:val="0"/>
      <w:divBdr>
        <w:top w:val="none" w:sz="0" w:space="0" w:color="auto"/>
        <w:left w:val="none" w:sz="0" w:space="0" w:color="auto"/>
        <w:bottom w:val="none" w:sz="0" w:space="0" w:color="auto"/>
        <w:right w:val="none" w:sz="0" w:space="0" w:color="auto"/>
      </w:divBdr>
    </w:div>
    <w:div w:id="1917208164">
      <w:bodyDiv w:val="1"/>
      <w:marLeft w:val="0"/>
      <w:marRight w:val="0"/>
      <w:marTop w:val="0"/>
      <w:marBottom w:val="0"/>
      <w:divBdr>
        <w:top w:val="none" w:sz="0" w:space="0" w:color="auto"/>
        <w:left w:val="none" w:sz="0" w:space="0" w:color="auto"/>
        <w:bottom w:val="none" w:sz="0" w:space="0" w:color="auto"/>
        <w:right w:val="none" w:sz="0" w:space="0" w:color="auto"/>
      </w:divBdr>
    </w:div>
    <w:div w:id="1917860724">
      <w:bodyDiv w:val="1"/>
      <w:marLeft w:val="0"/>
      <w:marRight w:val="0"/>
      <w:marTop w:val="0"/>
      <w:marBottom w:val="0"/>
      <w:divBdr>
        <w:top w:val="none" w:sz="0" w:space="0" w:color="auto"/>
        <w:left w:val="none" w:sz="0" w:space="0" w:color="auto"/>
        <w:bottom w:val="none" w:sz="0" w:space="0" w:color="auto"/>
        <w:right w:val="none" w:sz="0" w:space="0" w:color="auto"/>
      </w:divBdr>
    </w:div>
    <w:div w:id="1917862505">
      <w:bodyDiv w:val="1"/>
      <w:marLeft w:val="0"/>
      <w:marRight w:val="0"/>
      <w:marTop w:val="0"/>
      <w:marBottom w:val="0"/>
      <w:divBdr>
        <w:top w:val="none" w:sz="0" w:space="0" w:color="auto"/>
        <w:left w:val="none" w:sz="0" w:space="0" w:color="auto"/>
        <w:bottom w:val="none" w:sz="0" w:space="0" w:color="auto"/>
        <w:right w:val="none" w:sz="0" w:space="0" w:color="auto"/>
      </w:divBdr>
    </w:div>
    <w:div w:id="1917863004">
      <w:bodyDiv w:val="1"/>
      <w:marLeft w:val="0"/>
      <w:marRight w:val="0"/>
      <w:marTop w:val="0"/>
      <w:marBottom w:val="0"/>
      <w:divBdr>
        <w:top w:val="none" w:sz="0" w:space="0" w:color="auto"/>
        <w:left w:val="none" w:sz="0" w:space="0" w:color="auto"/>
        <w:bottom w:val="none" w:sz="0" w:space="0" w:color="auto"/>
        <w:right w:val="none" w:sz="0" w:space="0" w:color="auto"/>
      </w:divBdr>
    </w:div>
    <w:div w:id="1918175392">
      <w:bodyDiv w:val="1"/>
      <w:marLeft w:val="0"/>
      <w:marRight w:val="0"/>
      <w:marTop w:val="0"/>
      <w:marBottom w:val="0"/>
      <w:divBdr>
        <w:top w:val="none" w:sz="0" w:space="0" w:color="auto"/>
        <w:left w:val="none" w:sz="0" w:space="0" w:color="auto"/>
        <w:bottom w:val="none" w:sz="0" w:space="0" w:color="auto"/>
        <w:right w:val="none" w:sz="0" w:space="0" w:color="auto"/>
      </w:divBdr>
    </w:div>
    <w:div w:id="1918247149">
      <w:bodyDiv w:val="1"/>
      <w:marLeft w:val="0"/>
      <w:marRight w:val="0"/>
      <w:marTop w:val="0"/>
      <w:marBottom w:val="0"/>
      <w:divBdr>
        <w:top w:val="none" w:sz="0" w:space="0" w:color="auto"/>
        <w:left w:val="none" w:sz="0" w:space="0" w:color="auto"/>
        <w:bottom w:val="none" w:sz="0" w:space="0" w:color="auto"/>
        <w:right w:val="none" w:sz="0" w:space="0" w:color="auto"/>
      </w:divBdr>
    </w:div>
    <w:div w:id="1918906350">
      <w:bodyDiv w:val="1"/>
      <w:marLeft w:val="0"/>
      <w:marRight w:val="0"/>
      <w:marTop w:val="0"/>
      <w:marBottom w:val="0"/>
      <w:divBdr>
        <w:top w:val="none" w:sz="0" w:space="0" w:color="auto"/>
        <w:left w:val="none" w:sz="0" w:space="0" w:color="auto"/>
        <w:bottom w:val="none" w:sz="0" w:space="0" w:color="auto"/>
        <w:right w:val="none" w:sz="0" w:space="0" w:color="auto"/>
      </w:divBdr>
    </w:div>
    <w:div w:id="1919439183">
      <w:bodyDiv w:val="1"/>
      <w:marLeft w:val="0"/>
      <w:marRight w:val="0"/>
      <w:marTop w:val="0"/>
      <w:marBottom w:val="0"/>
      <w:divBdr>
        <w:top w:val="none" w:sz="0" w:space="0" w:color="auto"/>
        <w:left w:val="none" w:sz="0" w:space="0" w:color="auto"/>
        <w:bottom w:val="none" w:sz="0" w:space="0" w:color="auto"/>
        <w:right w:val="none" w:sz="0" w:space="0" w:color="auto"/>
      </w:divBdr>
    </w:div>
    <w:div w:id="1920669893">
      <w:bodyDiv w:val="1"/>
      <w:marLeft w:val="0"/>
      <w:marRight w:val="0"/>
      <w:marTop w:val="0"/>
      <w:marBottom w:val="0"/>
      <w:divBdr>
        <w:top w:val="none" w:sz="0" w:space="0" w:color="auto"/>
        <w:left w:val="none" w:sz="0" w:space="0" w:color="auto"/>
        <w:bottom w:val="none" w:sz="0" w:space="0" w:color="auto"/>
        <w:right w:val="none" w:sz="0" w:space="0" w:color="auto"/>
      </w:divBdr>
    </w:div>
    <w:div w:id="1921139424">
      <w:bodyDiv w:val="1"/>
      <w:marLeft w:val="0"/>
      <w:marRight w:val="0"/>
      <w:marTop w:val="0"/>
      <w:marBottom w:val="0"/>
      <w:divBdr>
        <w:top w:val="none" w:sz="0" w:space="0" w:color="auto"/>
        <w:left w:val="none" w:sz="0" w:space="0" w:color="auto"/>
        <w:bottom w:val="none" w:sz="0" w:space="0" w:color="auto"/>
        <w:right w:val="none" w:sz="0" w:space="0" w:color="auto"/>
      </w:divBdr>
    </w:div>
    <w:div w:id="1921257741">
      <w:bodyDiv w:val="1"/>
      <w:marLeft w:val="0"/>
      <w:marRight w:val="0"/>
      <w:marTop w:val="0"/>
      <w:marBottom w:val="0"/>
      <w:divBdr>
        <w:top w:val="none" w:sz="0" w:space="0" w:color="auto"/>
        <w:left w:val="none" w:sz="0" w:space="0" w:color="auto"/>
        <w:bottom w:val="none" w:sz="0" w:space="0" w:color="auto"/>
        <w:right w:val="none" w:sz="0" w:space="0" w:color="auto"/>
      </w:divBdr>
    </w:div>
    <w:div w:id="1921450796">
      <w:bodyDiv w:val="1"/>
      <w:marLeft w:val="0"/>
      <w:marRight w:val="0"/>
      <w:marTop w:val="0"/>
      <w:marBottom w:val="0"/>
      <w:divBdr>
        <w:top w:val="none" w:sz="0" w:space="0" w:color="auto"/>
        <w:left w:val="none" w:sz="0" w:space="0" w:color="auto"/>
        <w:bottom w:val="none" w:sz="0" w:space="0" w:color="auto"/>
        <w:right w:val="none" w:sz="0" w:space="0" w:color="auto"/>
      </w:divBdr>
    </w:div>
    <w:div w:id="1922331038">
      <w:bodyDiv w:val="1"/>
      <w:marLeft w:val="0"/>
      <w:marRight w:val="0"/>
      <w:marTop w:val="0"/>
      <w:marBottom w:val="0"/>
      <w:divBdr>
        <w:top w:val="none" w:sz="0" w:space="0" w:color="auto"/>
        <w:left w:val="none" w:sz="0" w:space="0" w:color="auto"/>
        <w:bottom w:val="none" w:sz="0" w:space="0" w:color="auto"/>
        <w:right w:val="none" w:sz="0" w:space="0" w:color="auto"/>
      </w:divBdr>
    </w:div>
    <w:div w:id="1922369980">
      <w:bodyDiv w:val="1"/>
      <w:marLeft w:val="0"/>
      <w:marRight w:val="0"/>
      <w:marTop w:val="0"/>
      <w:marBottom w:val="0"/>
      <w:divBdr>
        <w:top w:val="none" w:sz="0" w:space="0" w:color="auto"/>
        <w:left w:val="none" w:sz="0" w:space="0" w:color="auto"/>
        <w:bottom w:val="none" w:sz="0" w:space="0" w:color="auto"/>
        <w:right w:val="none" w:sz="0" w:space="0" w:color="auto"/>
      </w:divBdr>
    </w:div>
    <w:div w:id="1922789262">
      <w:bodyDiv w:val="1"/>
      <w:marLeft w:val="0"/>
      <w:marRight w:val="0"/>
      <w:marTop w:val="0"/>
      <w:marBottom w:val="0"/>
      <w:divBdr>
        <w:top w:val="none" w:sz="0" w:space="0" w:color="auto"/>
        <w:left w:val="none" w:sz="0" w:space="0" w:color="auto"/>
        <w:bottom w:val="none" w:sz="0" w:space="0" w:color="auto"/>
        <w:right w:val="none" w:sz="0" w:space="0" w:color="auto"/>
      </w:divBdr>
    </w:div>
    <w:div w:id="1923030954">
      <w:bodyDiv w:val="1"/>
      <w:marLeft w:val="0"/>
      <w:marRight w:val="0"/>
      <w:marTop w:val="0"/>
      <w:marBottom w:val="0"/>
      <w:divBdr>
        <w:top w:val="none" w:sz="0" w:space="0" w:color="auto"/>
        <w:left w:val="none" w:sz="0" w:space="0" w:color="auto"/>
        <w:bottom w:val="none" w:sz="0" w:space="0" w:color="auto"/>
        <w:right w:val="none" w:sz="0" w:space="0" w:color="auto"/>
      </w:divBdr>
    </w:div>
    <w:div w:id="1923105660">
      <w:bodyDiv w:val="1"/>
      <w:marLeft w:val="0"/>
      <w:marRight w:val="0"/>
      <w:marTop w:val="0"/>
      <w:marBottom w:val="0"/>
      <w:divBdr>
        <w:top w:val="none" w:sz="0" w:space="0" w:color="auto"/>
        <w:left w:val="none" w:sz="0" w:space="0" w:color="auto"/>
        <w:bottom w:val="none" w:sz="0" w:space="0" w:color="auto"/>
        <w:right w:val="none" w:sz="0" w:space="0" w:color="auto"/>
      </w:divBdr>
    </w:div>
    <w:div w:id="1923176034">
      <w:bodyDiv w:val="1"/>
      <w:marLeft w:val="0"/>
      <w:marRight w:val="0"/>
      <w:marTop w:val="0"/>
      <w:marBottom w:val="0"/>
      <w:divBdr>
        <w:top w:val="none" w:sz="0" w:space="0" w:color="auto"/>
        <w:left w:val="none" w:sz="0" w:space="0" w:color="auto"/>
        <w:bottom w:val="none" w:sz="0" w:space="0" w:color="auto"/>
        <w:right w:val="none" w:sz="0" w:space="0" w:color="auto"/>
      </w:divBdr>
    </w:div>
    <w:div w:id="1923223324">
      <w:bodyDiv w:val="1"/>
      <w:marLeft w:val="0"/>
      <w:marRight w:val="0"/>
      <w:marTop w:val="0"/>
      <w:marBottom w:val="0"/>
      <w:divBdr>
        <w:top w:val="none" w:sz="0" w:space="0" w:color="auto"/>
        <w:left w:val="none" w:sz="0" w:space="0" w:color="auto"/>
        <w:bottom w:val="none" w:sz="0" w:space="0" w:color="auto"/>
        <w:right w:val="none" w:sz="0" w:space="0" w:color="auto"/>
      </w:divBdr>
    </w:div>
    <w:div w:id="1923417546">
      <w:bodyDiv w:val="1"/>
      <w:marLeft w:val="0"/>
      <w:marRight w:val="0"/>
      <w:marTop w:val="0"/>
      <w:marBottom w:val="0"/>
      <w:divBdr>
        <w:top w:val="none" w:sz="0" w:space="0" w:color="auto"/>
        <w:left w:val="none" w:sz="0" w:space="0" w:color="auto"/>
        <w:bottom w:val="none" w:sz="0" w:space="0" w:color="auto"/>
        <w:right w:val="none" w:sz="0" w:space="0" w:color="auto"/>
      </w:divBdr>
    </w:div>
    <w:div w:id="1923564324">
      <w:bodyDiv w:val="1"/>
      <w:marLeft w:val="0"/>
      <w:marRight w:val="0"/>
      <w:marTop w:val="0"/>
      <w:marBottom w:val="0"/>
      <w:divBdr>
        <w:top w:val="none" w:sz="0" w:space="0" w:color="auto"/>
        <w:left w:val="none" w:sz="0" w:space="0" w:color="auto"/>
        <w:bottom w:val="none" w:sz="0" w:space="0" w:color="auto"/>
        <w:right w:val="none" w:sz="0" w:space="0" w:color="auto"/>
      </w:divBdr>
    </w:div>
    <w:div w:id="1923565707">
      <w:bodyDiv w:val="1"/>
      <w:marLeft w:val="0"/>
      <w:marRight w:val="0"/>
      <w:marTop w:val="0"/>
      <w:marBottom w:val="0"/>
      <w:divBdr>
        <w:top w:val="none" w:sz="0" w:space="0" w:color="auto"/>
        <w:left w:val="none" w:sz="0" w:space="0" w:color="auto"/>
        <w:bottom w:val="none" w:sz="0" w:space="0" w:color="auto"/>
        <w:right w:val="none" w:sz="0" w:space="0" w:color="auto"/>
      </w:divBdr>
    </w:div>
    <w:div w:id="1923641142">
      <w:bodyDiv w:val="1"/>
      <w:marLeft w:val="0"/>
      <w:marRight w:val="0"/>
      <w:marTop w:val="0"/>
      <w:marBottom w:val="0"/>
      <w:divBdr>
        <w:top w:val="none" w:sz="0" w:space="0" w:color="auto"/>
        <w:left w:val="none" w:sz="0" w:space="0" w:color="auto"/>
        <w:bottom w:val="none" w:sz="0" w:space="0" w:color="auto"/>
        <w:right w:val="none" w:sz="0" w:space="0" w:color="auto"/>
      </w:divBdr>
    </w:div>
    <w:div w:id="1923684175">
      <w:bodyDiv w:val="1"/>
      <w:marLeft w:val="0"/>
      <w:marRight w:val="0"/>
      <w:marTop w:val="0"/>
      <w:marBottom w:val="0"/>
      <w:divBdr>
        <w:top w:val="none" w:sz="0" w:space="0" w:color="auto"/>
        <w:left w:val="none" w:sz="0" w:space="0" w:color="auto"/>
        <w:bottom w:val="none" w:sz="0" w:space="0" w:color="auto"/>
        <w:right w:val="none" w:sz="0" w:space="0" w:color="auto"/>
      </w:divBdr>
    </w:div>
    <w:div w:id="1923832542">
      <w:bodyDiv w:val="1"/>
      <w:marLeft w:val="0"/>
      <w:marRight w:val="0"/>
      <w:marTop w:val="0"/>
      <w:marBottom w:val="0"/>
      <w:divBdr>
        <w:top w:val="none" w:sz="0" w:space="0" w:color="auto"/>
        <w:left w:val="none" w:sz="0" w:space="0" w:color="auto"/>
        <w:bottom w:val="none" w:sz="0" w:space="0" w:color="auto"/>
        <w:right w:val="none" w:sz="0" w:space="0" w:color="auto"/>
      </w:divBdr>
    </w:div>
    <w:div w:id="1924297548">
      <w:bodyDiv w:val="1"/>
      <w:marLeft w:val="0"/>
      <w:marRight w:val="0"/>
      <w:marTop w:val="0"/>
      <w:marBottom w:val="0"/>
      <w:divBdr>
        <w:top w:val="none" w:sz="0" w:space="0" w:color="auto"/>
        <w:left w:val="none" w:sz="0" w:space="0" w:color="auto"/>
        <w:bottom w:val="none" w:sz="0" w:space="0" w:color="auto"/>
        <w:right w:val="none" w:sz="0" w:space="0" w:color="auto"/>
      </w:divBdr>
    </w:div>
    <w:div w:id="1924678069">
      <w:bodyDiv w:val="1"/>
      <w:marLeft w:val="0"/>
      <w:marRight w:val="0"/>
      <w:marTop w:val="0"/>
      <w:marBottom w:val="0"/>
      <w:divBdr>
        <w:top w:val="none" w:sz="0" w:space="0" w:color="auto"/>
        <w:left w:val="none" w:sz="0" w:space="0" w:color="auto"/>
        <w:bottom w:val="none" w:sz="0" w:space="0" w:color="auto"/>
        <w:right w:val="none" w:sz="0" w:space="0" w:color="auto"/>
      </w:divBdr>
    </w:div>
    <w:div w:id="1924753966">
      <w:bodyDiv w:val="1"/>
      <w:marLeft w:val="0"/>
      <w:marRight w:val="0"/>
      <w:marTop w:val="0"/>
      <w:marBottom w:val="0"/>
      <w:divBdr>
        <w:top w:val="none" w:sz="0" w:space="0" w:color="auto"/>
        <w:left w:val="none" w:sz="0" w:space="0" w:color="auto"/>
        <w:bottom w:val="none" w:sz="0" w:space="0" w:color="auto"/>
        <w:right w:val="none" w:sz="0" w:space="0" w:color="auto"/>
      </w:divBdr>
    </w:div>
    <w:div w:id="1924950507">
      <w:bodyDiv w:val="1"/>
      <w:marLeft w:val="0"/>
      <w:marRight w:val="0"/>
      <w:marTop w:val="0"/>
      <w:marBottom w:val="0"/>
      <w:divBdr>
        <w:top w:val="none" w:sz="0" w:space="0" w:color="auto"/>
        <w:left w:val="none" w:sz="0" w:space="0" w:color="auto"/>
        <w:bottom w:val="none" w:sz="0" w:space="0" w:color="auto"/>
        <w:right w:val="none" w:sz="0" w:space="0" w:color="auto"/>
      </w:divBdr>
    </w:div>
    <w:div w:id="1925070967">
      <w:bodyDiv w:val="1"/>
      <w:marLeft w:val="0"/>
      <w:marRight w:val="0"/>
      <w:marTop w:val="0"/>
      <w:marBottom w:val="0"/>
      <w:divBdr>
        <w:top w:val="none" w:sz="0" w:space="0" w:color="auto"/>
        <w:left w:val="none" w:sz="0" w:space="0" w:color="auto"/>
        <w:bottom w:val="none" w:sz="0" w:space="0" w:color="auto"/>
        <w:right w:val="none" w:sz="0" w:space="0" w:color="auto"/>
      </w:divBdr>
    </w:div>
    <w:div w:id="1925144038">
      <w:bodyDiv w:val="1"/>
      <w:marLeft w:val="0"/>
      <w:marRight w:val="0"/>
      <w:marTop w:val="0"/>
      <w:marBottom w:val="0"/>
      <w:divBdr>
        <w:top w:val="none" w:sz="0" w:space="0" w:color="auto"/>
        <w:left w:val="none" w:sz="0" w:space="0" w:color="auto"/>
        <w:bottom w:val="none" w:sz="0" w:space="0" w:color="auto"/>
        <w:right w:val="none" w:sz="0" w:space="0" w:color="auto"/>
      </w:divBdr>
    </w:div>
    <w:div w:id="1925382589">
      <w:bodyDiv w:val="1"/>
      <w:marLeft w:val="0"/>
      <w:marRight w:val="0"/>
      <w:marTop w:val="0"/>
      <w:marBottom w:val="0"/>
      <w:divBdr>
        <w:top w:val="none" w:sz="0" w:space="0" w:color="auto"/>
        <w:left w:val="none" w:sz="0" w:space="0" w:color="auto"/>
        <w:bottom w:val="none" w:sz="0" w:space="0" w:color="auto"/>
        <w:right w:val="none" w:sz="0" w:space="0" w:color="auto"/>
      </w:divBdr>
    </w:div>
    <w:div w:id="1925649103">
      <w:bodyDiv w:val="1"/>
      <w:marLeft w:val="0"/>
      <w:marRight w:val="0"/>
      <w:marTop w:val="0"/>
      <w:marBottom w:val="0"/>
      <w:divBdr>
        <w:top w:val="none" w:sz="0" w:space="0" w:color="auto"/>
        <w:left w:val="none" w:sz="0" w:space="0" w:color="auto"/>
        <w:bottom w:val="none" w:sz="0" w:space="0" w:color="auto"/>
        <w:right w:val="none" w:sz="0" w:space="0" w:color="auto"/>
      </w:divBdr>
    </w:div>
    <w:div w:id="1925724593">
      <w:bodyDiv w:val="1"/>
      <w:marLeft w:val="0"/>
      <w:marRight w:val="0"/>
      <w:marTop w:val="0"/>
      <w:marBottom w:val="0"/>
      <w:divBdr>
        <w:top w:val="none" w:sz="0" w:space="0" w:color="auto"/>
        <w:left w:val="none" w:sz="0" w:space="0" w:color="auto"/>
        <w:bottom w:val="none" w:sz="0" w:space="0" w:color="auto"/>
        <w:right w:val="none" w:sz="0" w:space="0" w:color="auto"/>
      </w:divBdr>
    </w:div>
    <w:div w:id="1926109141">
      <w:bodyDiv w:val="1"/>
      <w:marLeft w:val="0"/>
      <w:marRight w:val="0"/>
      <w:marTop w:val="0"/>
      <w:marBottom w:val="0"/>
      <w:divBdr>
        <w:top w:val="none" w:sz="0" w:space="0" w:color="auto"/>
        <w:left w:val="none" w:sz="0" w:space="0" w:color="auto"/>
        <w:bottom w:val="none" w:sz="0" w:space="0" w:color="auto"/>
        <w:right w:val="none" w:sz="0" w:space="0" w:color="auto"/>
      </w:divBdr>
    </w:div>
    <w:div w:id="1926112992">
      <w:bodyDiv w:val="1"/>
      <w:marLeft w:val="0"/>
      <w:marRight w:val="0"/>
      <w:marTop w:val="0"/>
      <w:marBottom w:val="0"/>
      <w:divBdr>
        <w:top w:val="none" w:sz="0" w:space="0" w:color="auto"/>
        <w:left w:val="none" w:sz="0" w:space="0" w:color="auto"/>
        <w:bottom w:val="none" w:sz="0" w:space="0" w:color="auto"/>
        <w:right w:val="none" w:sz="0" w:space="0" w:color="auto"/>
      </w:divBdr>
    </w:div>
    <w:div w:id="1926181507">
      <w:bodyDiv w:val="1"/>
      <w:marLeft w:val="0"/>
      <w:marRight w:val="0"/>
      <w:marTop w:val="0"/>
      <w:marBottom w:val="0"/>
      <w:divBdr>
        <w:top w:val="none" w:sz="0" w:space="0" w:color="auto"/>
        <w:left w:val="none" w:sz="0" w:space="0" w:color="auto"/>
        <w:bottom w:val="none" w:sz="0" w:space="0" w:color="auto"/>
        <w:right w:val="none" w:sz="0" w:space="0" w:color="auto"/>
      </w:divBdr>
    </w:div>
    <w:div w:id="1926764230">
      <w:bodyDiv w:val="1"/>
      <w:marLeft w:val="0"/>
      <w:marRight w:val="0"/>
      <w:marTop w:val="0"/>
      <w:marBottom w:val="0"/>
      <w:divBdr>
        <w:top w:val="none" w:sz="0" w:space="0" w:color="auto"/>
        <w:left w:val="none" w:sz="0" w:space="0" w:color="auto"/>
        <w:bottom w:val="none" w:sz="0" w:space="0" w:color="auto"/>
        <w:right w:val="none" w:sz="0" w:space="0" w:color="auto"/>
      </w:divBdr>
    </w:div>
    <w:div w:id="1926838632">
      <w:bodyDiv w:val="1"/>
      <w:marLeft w:val="0"/>
      <w:marRight w:val="0"/>
      <w:marTop w:val="0"/>
      <w:marBottom w:val="0"/>
      <w:divBdr>
        <w:top w:val="none" w:sz="0" w:space="0" w:color="auto"/>
        <w:left w:val="none" w:sz="0" w:space="0" w:color="auto"/>
        <w:bottom w:val="none" w:sz="0" w:space="0" w:color="auto"/>
        <w:right w:val="none" w:sz="0" w:space="0" w:color="auto"/>
      </w:divBdr>
    </w:div>
    <w:div w:id="1928152269">
      <w:bodyDiv w:val="1"/>
      <w:marLeft w:val="0"/>
      <w:marRight w:val="0"/>
      <w:marTop w:val="0"/>
      <w:marBottom w:val="0"/>
      <w:divBdr>
        <w:top w:val="none" w:sz="0" w:space="0" w:color="auto"/>
        <w:left w:val="none" w:sz="0" w:space="0" w:color="auto"/>
        <w:bottom w:val="none" w:sz="0" w:space="0" w:color="auto"/>
        <w:right w:val="none" w:sz="0" w:space="0" w:color="auto"/>
      </w:divBdr>
    </w:div>
    <w:div w:id="1928994704">
      <w:bodyDiv w:val="1"/>
      <w:marLeft w:val="0"/>
      <w:marRight w:val="0"/>
      <w:marTop w:val="0"/>
      <w:marBottom w:val="0"/>
      <w:divBdr>
        <w:top w:val="none" w:sz="0" w:space="0" w:color="auto"/>
        <w:left w:val="none" w:sz="0" w:space="0" w:color="auto"/>
        <w:bottom w:val="none" w:sz="0" w:space="0" w:color="auto"/>
        <w:right w:val="none" w:sz="0" w:space="0" w:color="auto"/>
      </w:divBdr>
    </w:div>
    <w:div w:id="1929382012">
      <w:bodyDiv w:val="1"/>
      <w:marLeft w:val="0"/>
      <w:marRight w:val="0"/>
      <w:marTop w:val="0"/>
      <w:marBottom w:val="0"/>
      <w:divBdr>
        <w:top w:val="none" w:sz="0" w:space="0" w:color="auto"/>
        <w:left w:val="none" w:sz="0" w:space="0" w:color="auto"/>
        <w:bottom w:val="none" w:sz="0" w:space="0" w:color="auto"/>
        <w:right w:val="none" w:sz="0" w:space="0" w:color="auto"/>
      </w:divBdr>
    </w:div>
    <w:div w:id="1929802742">
      <w:bodyDiv w:val="1"/>
      <w:marLeft w:val="0"/>
      <w:marRight w:val="0"/>
      <w:marTop w:val="0"/>
      <w:marBottom w:val="0"/>
      <w:divBdr>
        <w:top w:val="none" w:sz="0" w:space="0" w:color="auto"/>
        <w:left w:val="none" w:sz="0" w:space="0" w:color="auto"/>
        <w:bottom w:val="none" w:sz="0" w:space="0" w:color="auto"/>
        <w:right w:val="none" w:sz="0" w:space="0" w:color="auto"/>
      </w:divBdr>
    </w:div>
    <w:div w:id="1930043076">
      <w:bodyDiv w:val="1"/>
      <w:marLeft w:val="0"/>
      <w:marRight w:val="0"/>
      <w:marTop w:val="0"/>
      <w:marBottom w:val="0"/>
      <w:divBdr>
        <w:top w:val="none" w:sz="0" w:space="0" w:color="auto"/>
        <w:left w:val="none" w:sz="0" w:space="0" w:color="auto"/>
        <w:bottom w:val="none" w:sz="0" w:space="0" w:color="auto"/>
        <w:right w:val="none" w:sz="0" w:space="0" w:color="auto"/>
      </w:divBdr>
    </w:div>
    <w:div w:id="1930848492">
      <w:bodyDiv w:val="1"/>
      <w:marLeft w:val="0"/>
      <w:marRight w:val="0"/>
      <w:marTop w:val="0"/>
      <w:marBottom w:val="0"/>
      <w:divBdr>
        <w:top w:val="none" w:sz="0" w:space="0" w:color="auto"/>
        <w:left w:val="none" w:sz="0" w:space="0" w:color="auto"/>
        <w:bottom w:val="none" w:sz="0" w:space="0" w:color="auto"/>
        <w:right w:val="none" w:sz="0" w:space="0" w:color="auto"/>
      </w:divBdr>
    </w:div>
    <w:div w:id="1930961470">
      <w:bodyDiv w:val="1"/>
      <w:marLeft w:val="0"/>
      <w:marRight w:val="0"/>
      <w:marTop w:val="0"/>
      <w:marBottom w:val="0"/>
      <w:divBdr>
        <w:top w:val="none" w:sz="0" w:space="0" w:color="auto"/>
        <w:left w:val="none" w:sz="0" w:space="0" w:color="auto"/>
        <w:bottom w:val="none" w:sz="0" w:space="0" w:color="auto"/>
        <w:right w:val="none" w:sz="0" w:space="0" w:color="auto"/>
      </w:divBdr>
    </w:div>
    <w:div w:id="1931114045">
      <w:bodyDiv w:val="1"/>
      <w:marLeft w:val="0"/>
      <w:marRight w:val="0"/>
      <w:marTop w:val="0"/>
      <w:marBottom w:val="0"/>
      <w:divBdr>
        <w:top w:val="none" w:sz="0" w:space="0" w:color="auto"/>
        <w:left w:val="none" w:sz="0" w:space="0" w:color="auto"/>
        <w:bottom w:val="none" w:sz="0" w:space="0" w:color="auto"/>
        <w:right w:val="none" w:sz="0" w:space="0" w:color="auto"/>
      </w:divBdr>
    </w:div>
    <w:div w:id="1932542837">
      <w:bodyDiv w:val="1"/>
      <w:marLeft w:val="0"/>
      <w:marRight w:val="0"/>
      <w:marTop w:val="0"/>
      <w:marBottom w:val="0"/>
      <w:divBdr>
        <w:top w:val="none" w:sz="0" w:space="0" w:color="auto"/>
        <w:left w:val="none" w:sz="0" w:space="0" w:color="auto"/>
        <w:bottom w:val="none" w:sz="0" w:space="0" w:color="auto"/>
        <w:right w:val="none" w:sz="0" w:space="0" w:color="auto"/>
      </w:divBdr>
    </w:div>
    <w:div w:id="1933392323">
      <w:bodyDiv w:val="1"/>
      <w:marLeft w:val="0"/>
      <w:marRight w:val="0"/>
      <w:marTop w:val="0"/>
      <w:marBottom w:val="0"/>
      <w:divBdr>
        <w:top w:val="none" w:sz="0" w:space="0" w:color="auto"/>
        <w:left w:val="none" w:sz="0" w:space="0" w:color="auto"/>
        <w:bottom w:val="none" w:sz="0" w:space="0" w:color="auto"/>
        <w:right w:val="none" w:sz="0" w:space="0" w:color="auto"/>
      </w:divBdr>
    </w:div>
    <w:div w:id="1933471857">
      <w:bodyDiv w:val="1"/>
      <w:marLeft w:val="0"/>
      <w:marRight w:val="0"/>
      <w:marTop w:val="0"/>
      <w:marBottom w:val="0"/>
      <w:divBdr>
        <w:top w:val="none" w:sz="0" w:space="0" w:color="auto"/>
        <w:left w:val="none" w:sz="0" w:space="0" w:color="auto"/>
        <w:bottom w:val="none" w:sz="0" w:space="0" w:color="auto"/>
        <w:right w:val="none" w:sz="0" w:space="0" w:color="auto"/>
      </w:divBdr>
    </w:div>
    <w:div w:id="1933664089">
      <w:bodyDiv w:val="1"/>
      <w:marLeft w:val="0"/>
      <w:marRight w:val="0"/>
      <w:marTop w:val="0"/>
      <w:marBottom w:val="0"/>
      <w:divBdr>
        <w:top w:val="none" w:sz="0" w:space="0" w:color="auto"/>
        <w:left w:val="none" w:sz="0" w:space="0" w:color="auto"/>
        <w:bottom w:val="none" w:sz="0" w:space="0" w:color="auto"/>
        <w:right w:val="none" w:sz="0" w:space="0" w:color="auto"/>
      </w:divBdr>
    </w:div>
    <w:div w:id="1933854849">
      <w:bodyDiv w:val="1"/>
      <w:marLeft w:val="0"/>
      <w:marRight w:val="0"/>
      <w:marTop w:val="0"/>
      <w:marBottom w:val="0"/>
      <w:divBdr>
        <w:top w:val="none" w:sz="0" w:space="0" w:color="auto"/>
        <w:left w:val="none" w:sz="0" w:space="0" w:color="auto"/>
        <w:bottom w:val="none" w:sz="0" w:space="0" w:color="auto"/>
        <w:right w:val="none" w:sz="0" w:space="0" w:color="auto"/>
      </w:divBdr>
    </w:div>
    <w:div w:id="1933855597">
      <w:bodyDiv w:val="1"/>
      <w:marLeft w:val="0"/>
      <w:marRight w:val="0"/>
      <w:marTop w:val="0"/>
      <w:marBottom w:val="0"/>
      <w:divBdr>
        <w:top w:val="none" w:sz="0" w:space="0" w:color="auto"/>
        <w:left w:val="none" w:sz="0" w:space="0" w:color="auto"/>
        <w:bottom w:val="none" w:sz="0" w:space="0" w:color="auto"/>
        <w:right w:val="none" w:sz="0" w:space="0" w:color="auto"/>
      </w:divBdr>
    </w:div>
    <w:div w:id="1934704131">
      <w:bodyDiv w:val="1"/>
      <w:marLeft w:val="0"/>
      <w:marRight w:val="0"/>
      <w:marTop w:val="0"/>
      <w:marBottom w:val="0"/>
      <w:divBdr>
        <w:top w:val="none" w:sz="0" w:space="0" w:color="auto"/>
        <w:left w:val="none" w:sz="0" w:space="0" w:color="auto"/>
        <w:bottom w:val="none" w:sz="0" w:space="0" w:color="auto"/>
        <w:right w:val="none" w:sz="0" w:space="0" w:color="auto"/>
      </w:divBdr>
    </w:div>
    <w:div w:id="1935236876">
      <w:bodyDiv w:val="1"/>
      <w:marLeft w:val="0"/>
      <w:marRight w:val="0"/>
      <w:marTop w:val="0"/>
      <w:marBottom w:val="0"/>
      <w:divBdr>
        <w:top w:val="none" w:sz="0" w:space="0" w:color="auto"/>
        <w:left w:val="none" w:sz="0" w:space="0" w:color="auto"/>
        <w:bottom w:val="none" w:sz="0" w:space="0" w:color="auto"/>
        <w:right w:val="none" w:sz="0" w:space="0" w:color="auto"/>
      </w:divBdr>
    </w:div>
    <w:div w:id="1936400578">
      <w:bodyDiv w:val="1"/>
      <w:marLeft w:val="0"/>
      <w:marRight w:val="0"/>
      <w:marTop w:val="0"/>
      <w:marBottom w:val="0"/>
      <w:divBdr>
        <w:top w:val="none" w:sz="0" w:space="0" w:color="auto"/>
        <w:left w:val="none" w:sz="0" w:space="0" w:color="auto"/>
        <w:bottom w:val="none" w:sz="0" w:space="0" w:color="auto"/>
        <w:right w:val="none" w:sz="0" w:space="0" w:color="auto"/>
      </w:divBdr>
    </w:div>
    <w:div w:id="1936474470">
      <w:bodyDiv w:val="1"/>
      <w:marLeft w:val="0"/>
      <w:marRight w:val="0"/>
      <w:marTop w:val="0"/>
      <w:marBottom w:val="0"/>
      <w:divBdr>
        <w:top w:val="none" w:sz="0" w:space="0" w:color="auto"/>
        <w:left w:val="none" w:sz="0" w:space="0" w:color="auto"/>
        <w:bottom w:val="none" w:sz="0" w:space="0" w:color="auto"/>
        <w:right w:val="none" w:sz="0" w:space="0" w:color="auto"/>
      </w:divBdr>
    </w:div>
    <w:div w:id="1936591848">
      <w:bodyDiv w:val="1"/>
      <w:marLeft w:val="0"/>
      <w:marRight w:val="0"/>
      <w:marTop w:val="0"/>
      <w:marBottom w:val="0"/>
      <w:divBdr>
        <w:top w:val="none" w:sz="0" w:space="0" w:color="auto"/>
        <w:left w:val="none" w:sz="0" w:space="0" w:color="auto"/>
        <w:bottom w:val="none" w:sz="0" w:space="0" w:color="auto"/>
        <w:right w:val="none" w:sz="0" w:space="0" w:color="auto"/>
      </w:divBdr>
    </w:div>
    <w:div w:id="1936865482">
      <w:bodyDiv w:val="1"/>
      <w:marLeft w:val="0"/>
      <w:marRight w:val="0"/>
      <w:marTop w:val="0"/>
      <w:marBottom w:val="0"/>
      <w:divBdr>
        <w:top w:val="none" w:sz="0" w:space="0" w:color="auto"/>
        <w:left w:val="none" w:sz="0" w:space="0" w:color="auto"/>
        <w:bottom w:val="none" w:sz="0" w:space="0" w:color="auto"/>
        <w:right w:val="none" w:sz="0" w:space="0" w:color="auto"/>
      </w:divBdr>
    </w:div>
    <w:div w:id="1937058721">
      <w:bodyDiv w:val="1"/>
      <w:marLeft w:val="0"/>
      <w:marRight w:val="0"/>
      <w:marTop w:val="0"/>
      <w:marBottom w:val="0"/>
      <w:divBdr>
        <w:top w:val="none" w:sz="0" w:space="0" w:color="auto"/>
        <w:left w:val="none" w:sz="0" w:space="0" w:color="auto"/>
        <w:bottom w:val="none" w:sz="0" w:space="0" w:color="auto"/>
        <w:right w:val="none" w:sz="0" w:space="0" w:color="auto"/>
      </w:divBdr>
    </w:div>
    <w:div w:id="1937060706">
      <w:bodyDiv w:val="1"/>
      <w:marLeft w:val="0"/>
      <w:marRight w:val="0"/>
      <w:marTop w:val="0"/>
      <w:marBottom w:val="0"/>
      <w:divBdr>
        <w:top w:val="none" w:sz="0" w:space="0" w:color="auto"/>
        <w:left w:val="none" w:sz="0" w:space="0" w:color="auto"/>
        <w:bottom w:val="none" w:sz="0" w:space="0" w:color="auto"/>
        <w:right w:val="none" w:sz="0" w:space="0" w:color="auto"/>
      </w:divBdr>
    </w:div>
    <w:div w:id="1937208502">
      <w:bodyDiv w:val="1"/>
      <w:marLeft w:val="0"/>
      <w:marRight w:val="0"/>
      <w:marTop w:val="0"/>
      <w:marBottom w:val="0"/>
      <w:divBdr>
        <w:top w:val="none" w:sz="0" w:space="0" w:color="auto"/>
        <w:left w:val="none" w:sz="0" w:space="0" w:color="auto"/>
        <w:bottom w:val="none" w:sz="0" w:space="0" w:color="auto"/>
        <w:right w:val="none" w:sz="0" w:space="0" w:color="auto"/>
      </w:divBdr>
    </w:div>
    <w:div w:id="1937399417">
      <w:bodyDiv w:val="1"/>
      <w:marLeft w:val="0"/>
      <w:marRight w:val="0"/>
      <w:marTop w:val="0"/>
      <w:marBottom w:val="0"/>
      <w:divBdr>
        <w:top w:val="none" w:sz="0" w:space="0" w:color="auto"/>
        <w:left w:val="none" w:sz="0" w:space="0" w:color="auto"/>
        <w:bottom w:val="none" w:sz="0" w:space="0" w:color="auto"/>
        <w:right w:val="none" w:sz="0" w:space="0" w:color="auto"/>
      </w:divBdr>
    </w:div>
    <w:div w:id="1938518123">
      <w:bodyDiv w:val="1"/>
      <w:marLeft w:val="0"/>
      <w:marRight w:val="0"/>
      <w:marTop w:val="0"/>
      <w:marBottom w:val="0"/>
      <w:divBdr>
        <w:top w:val="none" w:sz="0" w:space="0" w:color="auto"/>
        <w:left w:val="none" w:sz="0" w:space="0" w:color="auto"/>
        <w:bottom w:val="none" w:sz="0" w:space="0" w:color="auto"/>
        <w:right w:val="none" w:sz="0" w:space="0" w:color="auto"/>
      </w:divBdr>
    </w:div>
    <w:div w:id="1938978719">
      <w:bodyDiv w:val="1"/>
      <w:marLeft w:val="0"/>
      <w:marRight w:val="0"/>
      <w:marTop w:val="0"/>
      <w:marBottom w:val="0"/>
      <w:divBdr>
        <w:top w:val="none" w:sz="0" w:space="0" w:color="auto"/>
        <w:left w:val="none" w:sz="0" w:space="0" w:color="auto"/>
        <w:bottom w:val="none" w:sz="0" w:space="0" w:color="auto"/>
        <w:right w:val="none" w:sz="0" w:space="0" w:color="auto"/>
      </w:divBdr>
    </w:div>
    <w:div w:id="1939437857">
      <w:bodyDiv w:val="1"/>
      <w:marLeft w:val="0"/>
      <w:marRight w:val="0"/>
      <w:marTop w:val="0"/>
      <w:marBottom w:val="0"/>
      <w:divBdr>
        <w:top w:val="none" w:sz="0" w:space="0" w:color="auto"/>
        <w:left w:val="none" w:sz="0" w:space="0" w:color="auto"/>
        <w:bottom w:val="none" w:sz="0" w:space="0" w:color="auto"/>
        <w:right w:val="none" w:sz="0" w:space="0" w:color="auto"/>
      </w:divBdr>
    </w:div>
    <w:div w:id="1939558015">
      <w:bodyDiv w:val="1"/>
      <w:marLeft w:val="0"/>
      <w:marRight w:val="0"/>
      <w:marTop w:val="0"/>
      <w:marBottom w:val="0"/>
      <w:divBdr>
        <w:top w:val="none" w:sz="0" w:space="0" w:color="auto"/>
        <w:left w:val="none" w:sz="0" w:space="0" w:color="auto"/>
        <w:bottom w:val="none" w:sz="0" w:space="0" w:color="auto"/>
        <w:right w:val="none" w:sz="0" w:space="0" w:color="auto"/>
      </w:divBdr>
    </w:div>
    <w:div w:id="1940525764">
      <w:bodyDiv w:val="1"/>
      <w:marLeft w:val="0"/>
      <w:marRight w:val="0"/>
      <w:marTop w:val="0"/>
      <w:marBottom w:val="0"/>
      <w:divBdr>
        <w:top w:val="none" w:sz="0" w:space="0" w:color="auto"/>
        <w:left w:val="none" w:sz="0" w:space="0" w:color="auto"/>
        <w:bottom w:val="none" w:sz="0" w:space="0" w:color="auto"/>
        <w:right w:val="none" w:sz="0" w:space="0" w:color="auto"/>
      </w:divBdr>
    </w:div>
    <w:div w:id="1940602024">
      <w:bodyDiv w:val="1"/>
      <w:marLeft w:val="0"/>
      <w:marRight w:val="0"/>
      <w:marTop w:val="0"/>
      <w:marBottom w:val="0"/>
      <w:divBdr>
        <w:top w:val="none" w:sz="0" w:space="0" w:color="auto"/>
        <w:left w:val="none" w:sz="0" w:space="0" w:color="auto"/>
        <w:bottom w:val="none" w:sz="0" w:space="0" w:color="auto"/>
        <w:right w:val="none" w:sz="0" w:space="0" w:color="auto"/>
      </w:divBdr>
    </w:div>
    <w:div w:id="1940603000">
      <w:bodyDiv w:val="1"/>
      <w:marLeft w:val="0"/>
      <w:marRight w:val="0"/>
      <w:marTop w:val="0"/>
      <w:marBottom w:val="0"/>
      <w:divBdr>
        <w:top w:val="none" w:sz="0" w:space="0" w:color="auto"/>
        <w:left w:val="none" w:sz="0" w:space="0" w:color="auto"/>
        <w:bottom w:val="none" w:sz="0" w:space="0" w:color="auto"/>
        <w:right w:val="none" w:sz="0" w:space="0" w:color="auto"/>
      </w:divBdr>
    </w:div>
    <w:div w:id="1940798198">
      <w:bodyDiv w:val="1"/>
      <w:marLeft w:val="0"/>
      <w:marRight w:val="0"/>
      <w:marTop w:val="0"/>
      <w:marBottom w:val="0"/>
      <w:divBdr>
        <w:top w:val="none" w:sz="0" w:space="0" w:color="auto"/>
        <w:left w:val="none" w:sz="0" w:space="0" w:color="auto"/>
        <w:bottom w:val="none" w:sz="0" w:space="0" w:color="auto"/>
        <w:right w:val="none" w:sz="0" w:space="0" w:color="auto"/>
      </w:divBdr>
    </w:div>
    <w:div w:id="1940868032">
      <w:bodyDiv w:val="1"/>
      <w:marLeft w:val="0"/>
      <w:marRight w:val="0"/>
      <w:marTop w:val="0"/>
      <w:marBottom w:val="0"/>
      <w:divBdr>
        <w:top w:val="none" w:sz="0" w:space="0" w:color="auto"/>
        <w:left w:val="none" w:sz="0" w:space="0" w:color="auto"/>
        <w:bottom w:val="none" w:sz="0" w:space="0" w:color="auto"/>
        <w:right w:val="none" w:sz="0" w:space="0" w:color="auto"/>
      </w:divBdr>
    </w:div>
    <w:div w:id="1940914615">
      <w:bodyDiv w:val="1"/>
      <w:marLeft w:val="0"/>
      <w:marRight w:val="0"/>
      <w:marTop w:val="0"/>
      <w:marBottom w:val="0"/>
      <w:divBdr>
        <w:top w:val="none" w:sz="0" w:space="0" w:color="auto"/>
        <w:left w:val="none" w:sz="0" w:space="0" w:color="auto"/>
        <w:bottom w:val="none" w:sz="0" w:space="0" w:color="auto"/>
        <w:right w:val="none" w:sz="0" w:space="0" w:color="auto"/>
      </w:divBdr>
    </w:div>
    <w:div w:id="1941329383">
      <w:bodyDiv w:val="1"/>
      <w:marLeft w:val="0"/>
      <w:marRight w:val="0"/>
      <w:marTop w:val="0"/>
      <w:marBottom w:val="0"/>
      <w:divBdr>
        <w:top w:val="none" w:sz="0" w:space="0" w:color="auto"/>
        <w:left w:val="none" w:sz="0" w:space="0" w:color="auto"/>
        <w:bottom w:val="none" w:sz="0" w:space="0" w:color="auto"/>
        <w:right w:val="none" w:sz="0" w:space="0" w:color="auto"/>
      </w:divBdr>
    </w:div>
    <w:div w:id="1941332696">
      <w:bodyDiv w:val="1"/>
      <w:marLeft w:val="0"/>
      <w:marRight w:val="0"/>
      <w:marTop w:val="0"/>
      <w:marBottom w:val="0"/>
      <w:divBdr>
        <w:top w:val="none" w:sz="0" w:space="0" w:color="auto"/>
        <w:left w:val="none" w:sz="0" w:space="0" w:color="auto"/>
        <w:bottom w:val="none" w:sz="0" w:space="0" w:color="auto"/>
        <w:right w:val="none" w:sz="0" w:space="0" w:color="auto"/>
      </w:divBdr>
    </w:div>
    <w:div w:id="1941448491">
      <w:bodyDiv w:val="1"/>
      <w:marLeft w:val="0"/>
      <w:marRight w:val="0"/>
      <w:marTop w:val="0"/>
      <w:marBottom w:val="0"/>
      <w:divBdr>
        <w:top w:val="none" w:sz="0" w:space="0" w:color="auto"/>
        <w:left w:val="none" w:sz="0" w:space="0" w:color="auto"/>
        <w:bottom w:val="none" w:sz="0" w:space="0" w:color="auto"/>
        <w:right w:val="none" w:sz="0" w:space="0" w:color="auto"/>
      </w:divBdr>
    </w:div>
    <w:div w:id="1941640588">
      <w:bodyDiv w:val="1"/>
      <w:marLeft w:val="0"/>
      <w:marRight w:val="0"/>
      <w:marTop w:val="0"/>
      <w:marBottom w:val="0"/>
      <w:divBdr>
        <w:top w:val="none" w:sz="0" w:space="0" w:color="auto"/>
        <w:left w:val="none" w:sz="0" w:space="0" w:color="auto"/>
        <w:bottom w:val="none" w:sz="0" w:space="0" w:color="auto"/>
        <w:right w:val="none" w:sz="0" w:space="0" w:color="auto"/>
      </w:divBdr>
    </w:div>
    <w:div w:id="1941642609">
      <w:bodyDiv w:val="1"/>
      <w:marLeft w:val="0"/>
      <w:marRight w:val="0"/>
      <w:marTop w:val="0"/>
      <w:marBottom w:val="0"/>
      <w:divBdr>
        <w:top w:val="none" w:sz="0" w:space="0" w:color="auto"/>
        <w:left w:val="none" w:sz="0" w:space="0" w:color="auto"/>
        <w:bottom w:val="none" w:sz="0" w:space="0" w:color="auto"/>
        <w:right w:val="none" w:sz="0" w:space="0" w:color="auto"/>
      </w:divBdr>
    </w:div>
    <w:div w:id="1941836814">
      <w:bodyDiv w:val="1"/>
      <w:marLeft w:val="0"/>
      <w:marRight w:val="0"/>
      <w:marTop w:val="0"/>
      <w:marBottom w:val="0"/>
      <w:divBdr>
        <w:top w:val="none" w:sz="0" w:space="0" w:color="auto"/>
        <w:left w:val="none" w:sz="0" w:space="0" w:color="auto"/>
        <w:bottom w:val="none" w:sz="0" w:space="0" w:color="auto"/>
        <w:right w:val="none" w:sz="0" w:space="0" w:color="auto"/>
      </w:divBdr>
    </w:div>
    <w:div w:id="1942563901">
      <w:bodyDiv w:val="1"/>
      <w:marLeft w:val="0"/>
      <w:marRight w:val="0"/>
      <w:marTop w:val="0"/>
      <w:marBottom w:val="0"/>
      <w:divBdr>
        <w:top w:val="none" w:sz="0" w:space="0" w:color="auto"/>
        <w:left w:val="none" w:sz="0" w:space="0" w:color="auto"/>
        <w:bottom w:val="none" w:sz="0" w:space="0" w:color="auto"/>
        <w:right w:val="none" w:sz="0" w:space="0" w:color="auto"/>
      </w:divBdr>
    </w:div>
    <w:div w:id="1943028214">
      <w:bodyDiv w:val="1"/>
      <w:marLeft w:val="0"/>
      <w:marRight w:val="0"/>
      <w:marTop w:val="0"/>
      <w:marBottom w:val="0"/>
      <w:divBdr>
        <w:top w:val="none" w:sz="0" w:space="0" w:color="auto"/>
        <w:left w:val="none" w:sz="0" w:space="0" w:color="auto"/>
        <w:bottom w:val="none" w:sz="0" w:space="0" w:color="auto"/>
        <w:right w:val="none" w:sz="0" w:space="0" w:color="auto"/>
      </w:divBdr>
    </w:div>
    <w:div w:id="1943107355">
      <w:bodyDiv w:val="1"/>
      <w:marLeft w:val="0"/>
      <w:marRight w:val="0"/>
      <w:marTop w:val="0"/>
      <w:marBottom w:val="0"/>
      <w:divBdr>
        <w:top w:val="none" w:sz="0" w:space="0" w:color="auto"/>
        <w:left w:val="none" w:sz="0" w:space="0" w:color="auto"/>
        <w:bottom w:val="none" w:sz="0" w:space="0" w:color="auto"/>
        <w:right w:val="none" w:sz="0" w:space="0" w:color="auto"/>
      </w:divBdr>
    </w:div>
    <w:div w:id="1943146252">
      <w:bodyDiv w:val="1"/>
      <w:marLeft w:val="0"/>
      <w:marRight w:val="0"/>
      <w:marTop w:val="0"/>
      <w:marBottom w:val="0"/>
      <w:divBdr>
        <w:top w:val="none" w:sz="0" w:space="0" w:color="auto"/>
        <w:left w:val="none" w:sz="0" w:space="0" w:color="auto"/>
        <w:bottom w:val="none" w:sz="0" w:space="0" w:color="auto"/>
        <w:right w:val="none" w:sz="0" w:space="0" w:color="auto"/>
      </w:divBdr>
    </w:div>
    <w:div w:id="1943150516">
      <w:bodyDiv w:val="1"/>
      <w:marLeft w:val="0"/>
      <w:marRight w:val="0"/>
      <w:marTop w:val="0"/>
      <w:marBottom w:val="0"/>
      <w:divBdr>
        <w:top w:val="none" w:sz="0" w:space="0" w:color="auto"/>
        <w:left w:val="none" w:sz="0" w:space="0" w:color="auto"/>
        <w:bottom w:val="none" w:sz="0" w:space="0" w:color="auto"/>
        <w:right w:val="none" w:sz="0" w:space="0" w:color="auto"/>
      </w:divBdr>
    </w:div>
    <w:div w:id="1943412489">
      <w:bodyDiv w:val="1"/>
      <w:marLeft w:val="0"/>
      <w:marRight w:val="0"/>
      <w:marTop w:val="0"/>
      <w:marBottom w:val="0"/>
      <w:divBdr>
        <w:top w:val="none" w:sz="0" w:space="0" w:color="auto"/>
        <w:left w:val="none" w:sz="0" w:space="0" w:color="auto"/>
        <w:bottom w:val="none" w:sz="0" w:space="0" w:color="auto"/>
        <w:right w:val="none" w:sz="0" w:space="0" w:color="auto"/>
      </w:divBdr>
    </w:div>
    <w:div w:id="1943536381">
      <w:bodyDiv w:val="1"/>
      <w:marLeft w:val="0"/>
      <w:marRight w:val="0"/>
      <w:marTop w:val="0"/>
      <w:marBottom w:val="0"/>
      <w:divBdr>
        <w:top w:val="none" w:sz="0" w:space="0" w:color="auto"/>
        <w:left w:val="none" w:sz="0" w:space="0" w:color="auto"/>
        <w:bottom w:val="none" w:sz="0" w:space="0" w:color="auto"/>
        <w:right w:val="none" w:sz="0" w:space="0" w:color="auto"/>
      </w:divBdr>
    </w:div>
    <w:div w:id="1945116593">
      <w:bodyDiv w:val="1"/>
      <w:marLeft w:val="0"/>
      <w:marRight w:val="0"/>
      <w:marTop w:val="0"/>
      <w:marBottom w:val="0"/>
      <w:divBdr>
        <w:top w:val="none" w:sz="0" w:space="0" w:color="auto"/>
        <w:left w:val="none" w:sz="0" w:space="0" w:color="auto"/>
        <w:bottom w:val="none" w:sz="0" w:space="0" w:color="auto"/>
        <w:right w:val="none" w:sz="0" w:space="0" w:color="auto"/>
      </w:divBdr>
    </w:div>
    <w:div w:id="1945459230">
      <w:bodyDiv w:val="1"/>
      <w:marLeft w:val="0"/>
      <w:marRight w:val="0"/>
      <w:marTop w:val="0"/>
      <w:marBottom w:val="0"/>
      <w:divBdr>
        <w:top w:val="none" w:sz="0" w:space="0" w:color="auto"/>
        <w:left w:val="none" w:sz="0" w:space="0" w:color="auto"/>
        <w:bottom w:val="none" w:sz="0" w:space="0" w:color="auto"/>
        <w:right w:val="none" w:sz="0" w:space="0" w:color="auto"/>
      </w:divBdr>
    </w:div>
    <w:div w:id="1945569537">
      <w:bodyDiv w:val="1"/>
      <w:marLeft w:val="0"/>
      <w:marRight w:val="0"/>
      <w:marTop w:val="0"/>
      <w:marBottom w:val="0"/>
      <w:divBdr>
        <w:top w:val="none" w:sz="0" w:space="0" w:color="auto"/>
        <w:left w:val="none" w:sz="0" w:space="0" w:color="auto"/>
        <w:bottom w:val="none" w:sz="0" w:space="0" w:color="auto"/>
        <w:right w:val="none" w:sz="0" w:space="0" w:color="auto"/>
      </w:divBdr>
    </w:div>
    <w:div w:id="1945576903">
      <w:bodyDiv w:val="1"/>
      <w:marLeft w:val="0"/>
      <w:marRight w:val="0"/>
      <w:marTop w:val="0"/>
      <w:marBottom w:val="0"/>
      <w:divBdr>
        <w:top w:val="none" w:sz="0" w:space="0" w:color="auto"/>
        <w:left w:val="none" w:sz="0" w:space="0" w:color="auto"/>
        <w:bottom w:val="none" w:sz="0" w:space="0" w:color="auto"/>
        <w:right w:val="none" w:sz="0" w:space="0" w:color="auto"/>
      </w:divBdr>
    </w:div>
    <w:div w:id="1945725967">
      <w:bodyDiv w:val="1"/>
      <w:marLeft w:val="0"/>
      <w:marRight w:val="0"/>
      <w:marTop w:val="0"/>
      <w:marBottom w:val="0"/>
      <w:divBdr>
        <w:top w:val="none" w:sz="0" w:space="0" w:color="auto"/>
        <w:left w:val="none" w:sz="0" w:space="0" w:color="auto"/>
        <w:bottom w:val="none" w:sz="0" w:space="0" w:color="auto"/>
        <w:right w:val="none" w:sz="0" w:space="0" w:color="auto"/>
      </w:divBdr>
    </w:div>
    <w:div w:id="1946495368">
      <w:bodyDiv w:val="1"/>
      <w:marLeft w:val="0"/>
      <w:marRight w:val="0"/>
      <w:marTop w:val="0"/>
      <w:marBottom w:val="0"/>
      <w:divBdr>
        <w:top w:val="none" w:sz="0" w:space="0" w:color="auto"/>
        <w:left w:val="none" w:sz="0" w:space="0" w:color="auto"/>
        <w:bottom w:val="none" w:sz="0" w:space="0" w:color="auto"/>
        <w:right w:val="none" w:sz="0" w:space="0" w:color="auto"/>
      </w:divBdr>
    </w:div>
    <w:div w:id="1946768885">
      <w:bodyDiv w:val="1"/>
      <w:marLeft w:val="0"/>
      <w:marRight w:val="0"/>
      <w:marTop w:val="0"/>
      <w:marBottom w:val="0"/>
      <w:divBdr>
        <w:top w:val="none" w:sz="0" w:space="0" w:color="auto"/>
        <w:left w:val="none" w:sz="0" w:space="0" w:color="auto"/>
        <w:bottom w:val="none" w:sz="0" w:space="0" w:color="auto"/>
        <w:right w:val="none" w:sz="0" w:space="0" w:color="auto"/>
      </w:divBdr>
    </w:div>
    <w:div w:id="1946961961">
      <w:bodyDiv w:val="1"/>
      <w:marLeft w:val="0"/>
      <w:marRight w:val="0"/>
      <w:marTop w:val="0"/>
      <w:marBottom w:val="0"/>
      <w:divBdr>
        <w:top w:val="none" w:sz="0" w:space="0" w:color="auto"/>
        <w:left w:val="none" w:sz="0" w:space="0" w:color="auto"/>
        <w:bottom w:val="none" w:sz="0" w:space="0" w:color="auto"/>
        <w:right w:val="none" w:sz="0" w:space="0" w:color="auto"/>
      </w:divBdr>
    </w:div>
    <w:div w:id="1947271967">
      <w:bodyDiv w:val="1"/>
      <w:marLeft w:val="0"/>
      <w:marRight w:val="0"/>
      <w:marTop w:val="0"/>
      <w:marBottom w:val="0"/>
      <w:divBdr>
        <w:top w:val="none" w:sz="0" w:space="0" w:color="auto"/>
        <w:left w:val="none" w:sz="0" w:space="0" w:color="auto"/>
        <w:bottom w:val="none" w:sz="0" w:space="0" w:color="auto"/>
        <w:right w:val="none" w:sz="0" w:space="0" w:color="auto"/>
      </w:divBdr>
    </w:div>
    <w:div w:id="1947349614">
      <w:bodyDiv w:val="1"/>
      <w:marLeft w:val="0"/>
      <w:marRight w:val="0"/>
      <w:marTop w:val="0"/>
      <w:marBottom w:val="0"/>
      <w:divBdr>
        <w:top w:val="none" w:sz="0" w:space="0" w:color="auto"/>
        <w:left w:val="none" w:sz="0" w:space="0" w:color="auto"/>
        <w:bottom w:val="none" w:sz="0" w:space="0" w:color="auto"/>
        <w:right w:val="none" w:sz="0" w:space="0" w:color="auto"/>
      </w:divBdr>
    </w:div>
    <w:div w:id="1947349625">
      <w:bodyDiv w:val="1"/>
      <w:marLeft w:val="0"/>
      <w:marRight w:val="0"/>
      <w:marTop w:val="0"/>
      <w:marBottom w:val="0"/>
      <w:divBdr>
        <w:top w:val="none" w:sz="0" w:space="0" w:color="auto"/>
        <w:left w:val="none" w:sz="0" w:space="0" w:color="auto"/>
        <w:bottom w:val="none" w:sz="0" w:space="0" w:color="auto"/>
        <w:right w:val="none" w:sz="0" w:space="0" w:color="auto"/>
      </w:divBdr>
    </w:div>
    <w:div w:id="1948123323">
      <w:bodyDiv w:val="1"/>
      <w:marLeft w:val="0"/>
      <w:marRight w:val="0"/>
      <w:marTop w:val="0"/>
      <w:marBottom w:val="0"/>
      <w:divBdr>
        <w:top w:val="none" w:sz="0" w:space="0" w:color="auto"/>
        <w:left w:val="none" w:sz="0" w:space="0" w:color="auto"/>
        <w:bottom w:val="none" w:sz="0" w:space="0" w:color="auto"/>
        <w:right w:val="none" w:sz="0" w:space="0" w:color="auto"/>
      </w:divBdr>
    </w:div>
    <w:div w:id="1948803413">
      <w:bodyDiv w:val="1"/>
      <w:marLeft w:val="0"/>
      <w:marRight w:val="0"/>
      <w:marTop w:val="0"/>
      <w:marBottom w:val="0"/>
      <w:divBdr>
        <w:top w:val="none" w:sz="0" w:space="0" w:color="auto"/>
        <w:left w:val="none" w:sz="0" w:space="0" w:color="auto"/>
        <w:bottom w:val="none" w:sz="0" w:space="0" w:color="auto"/>
        <w:right w:val="none" w:sz="0" w:space="0" w:color="auto"/>
      </w:divBdr>
    </w:div>
    <w:div w:id="1949045676">
      <w:bodyDiv w:val="1"/>
      <w:marLeft w:val="0"/>
      <w:marRight w:val="0"/>
      <w:marTop w:val="0"/>
      <w:marBottom w:val="0"/>
      <w:divBdr>
        <w:top w:val="none" w:sz="0" w:space="0" w:color="auto"/>
        <w:left w:val="none" w:sz="0" w:space="0" w:color="auto"/>
        <w:bottom w:val="none" w:sz="0" w:space="0" w:color="auto"/>
        <w:right w:val="none" w:sz="0" w:space="0" w:color="auto"/>
      </w:divBdr>
    </w:div>
    <w:div w:id="1949119126">
      <w:bodyDiv w:val="1"/>
      <w:marLeft w:val="0"/>
      <w:marRight w:val="0"/>
      <w:marTop w:val="0"/>
      <w:marBottom w:val="0"/>
      <w:divBdr>
        <w:top w:val="none" w:sz="0" w:space="0" w:color="auto"/>
        <w:left w:val="none" w:sz="0" w:space="0" w:color="auto"/>
        <w:bottom w:val="none" w:sz="0" w:space="0" w:color="auto"/>
        <w:right w:val="none" w:sz="0" w:space="0" w:color="auto"/>
      </w:divBdr>
    </w:div>
    <w:div w:id="1949585937">
      <w:bodyDiv w:val="1"/>
      <w:marLeft w:val="0"/>
      <w:marRight w:val="0"/>
      <w:marTop w:val="0"/>
      <w:marBottom w:val="0"/>
      <w:divBdr>
        <w:top w:val="none" w:sz="0" w:space="0" w:color="auto"/>
        <w:left w:val="none" w:sz="0" w:space="0" w:color="auto"/>
        <w:bottom w:val="none" w:sz="0" w:space="0" w:color="auto"/>
        <w:right w:val="none" w:sz="0" w:space="0" w:color="auto"/>
      </w:divBdr>
    </w:div>
    <w:div w:id="1950357505">
      <w:bodyDiv w:val="1"/>
      <w:marLeft w:val="0"/>
      <w:marRight w:val="0"/>
      <w:marTop w:val="0"/>
      <w:marBottom w:val="0"/>
      <w:divBdr>
        <w:top w:val="none" w:sz="0" w:space="0" w:color="auto"/>
        <w:left w:val="none" w:sz="0" w:space="0" w:color="auto"/>
        <w:bottom w:val="none" w:sz="0" w:space="0" w:color="auto"/>
        <w:right w:val="none" w:sz="0" w:space="0" w:color="auto"/>
      </w:divBdr>
    </w:div>
    <w:div w:id="1950428791">
      <w:bodyDiv w:val="1"/>
      <w:marLeft w:val="0"/>
      <w:marRight w:val="0"/>
      <w:marTop w:val="0"/>
      <w:marBottom w:val="0"/>
      <w:divBdr>
        <w:top w:val="none" w:sz="0" w:space="0" w:color="auto"/>
        <w:left w:val="none" w:sz="0" w:space="0" w:color="auto"/>
        <w:bottom w:val="none" w:sz="0" w:space="0" w:color="auto"/>
        <w:right w:val="none" w:sz="0" w:space="0" w:color="auto"/>
      </w:divBdr>
    </w:div>
    <w:div w:id="1950620200">
      <w:bodyDiv w:val="1"/>
      <w:marLeft w:val="0"/>
      <w:marRight w:val="0"/>
      <w:marTop w:val="0"/>
      <w:marBottom w:val="0"/>
      <w:divBdr>
        <w:top w:val="none" w:sz="0" w:space="0" w:color="auto"/>
        <w:left w:val="none" w:sz="0" w:space="0" w:color="auto"/>
        <w:bottom w:val="none" w:sz="0" w:space="0" w:color="auto"/>
        <w:right w:val="none" w:sz="0" w:space="0" w:color="auto"/>
      </w:divBdr>
    </w:div>
    <w:div w:id="1951542745">
      <w:bodyDiv w:val="1"/>
      <w:marLeft w:val="0"/>
      <w:marRight w:val="0"/>
      <w:marTop w:val="0"/>
      <w:marBottom w:val="0"/>
      <w:divBdr>
        <w:top w:val="none" w:sz="0" w:space="0" w:color="auto"/>
        <w:left w:val="none" w:sz="0" w:space="0" w:color="auto"/>
        <w:bottom w:val="none" w:sz="0" w:space="0" w:color="auto"/>
        <w:right w:val="none" w:sz="0" w:space="0" w:color="auto"/>
      </w:divBdr>
    </w:div>
    <w:div w:id="1952398444">
      <w:bodyDiv w:val="1"/>
      <w:marLeft w:val="0"/>
      <w:marRight w:val="0"/>
      <w:marTop w:val="0"/>
      <w:marBottom w:val="0"/>
      <w:divBdr>
        <w:top w:val="none" w:sz="0" w:space="0" w:color="auto"/>
        <w:left w:val="none" w:sz="0" w:space="0" w:color="auto"/>
        <w:bottom w:val="none" w:sz="0" w:space="0" w:color="auto"/>
        <w:right w:val="none" w:sz="0" w:space="0" w:color="auto"/>
      </w:divBdr>
    </w:div>
    <w:div w:id="1952515846">
      <w:bodyDiv w:val="1"/>
      <w:marLeft w:val="0"/>
      <w:marRight w:val="0"/>
      <w:marTop w:val="0"/>
      <w:marBottom w:val="0"/>
      <w:divBdr>
        <w:top w:val="none" w:sz="0" w:space="0" w:color="auto"/>
        <w:left w:val="none" w:sz="0" w:space="0" w:color="auto"/>
        <w:bottom w:val="none" w:sz="0" w:space="0" w:color="auto"/>
        <w:right w:val="none" w:sz="0" w:space="0" w:color="auto"/>
      </w:divBdr>
    </w:div>
    <w:div w:id="1952861790">
      <w:bodyDiv w:val="1"/>
      <w:marLeft w:val="0"/>
      <w:marRight w:val="0"/>
      <w:marTop w:val="0"/>
      <w:marBottom w:val="0"/>
      <w:divBdr>
        <w:top w:val="none" w:sz="0" w:space="0" w:color="auto"/>
        <w:left w:val="none" w:sz="0" w:space="0" w:color="auto"/>
        <w:bottom w:val="none" w:sz="0" w:space="0" w:color="auto"/>
        <w:right w:val="none" w:sz="0" w:space="0" w:color="auto"/>
      </w:divBdr>
    </w:div>
    <w:div w:id="1953055852">
      <w:bodyDiv w:val="1"/>
      <w:marLeft w:val="0"/>
      <w:marRight w:val="0"/>
      <w:marTop w:val="0"/>
      <w:marBottom w:val="0"/>
      <w:divBdr>
        <w:top w:val="none" w:sz="0" w:space="0" w:color="auto"/>
        <w:left w:val="none" w:sz="0" w:space="0" w:color="auto"/>
        <w:bottom w:val="none" w:sz="0" w:space="0" w:color="auto"/>
        <w:right w:val="none" w:sz="0" w:space="0" w:color="auto"/>
      </w:divBdr>
    </w:div>
    <w:div w:id="1953434386">
      <w:bodyDiv w:val="1"/>
      <w:marLeft w:val="0"/>
      <w:marRight w:val="0"/>
      <w:marTop w:val="0"/>
      <w:marBottom w:val="0"/>
      <w:divBdr>
        <w:top w:val="none" w:sz="0" w:space="0" w:color="auto"/>
        <w:left w:val="none" w:sz="0" w:space="0" w:color="auto"/>
        <w:bottom w:val="none" w:sz="0" w:space="0" w:color="auto"/>
        <w:right w:val="none" w:sz="0" w:space="0" w:color="auto"/>
      </w:divBdr>
    </w:div>
    <w:div w:id="1953590915">
      <w:bodyDiv w:val="1"/>
      <w:marLeft w:val="0"/>
      <w:marRight w:val="0"/>
      <w:marTop w:val="0"/>
      <w:marBottom w:val="0"/>
      <w:divBdr>
        <w:top w:val="none" w:sz="0" w:space="0" w:color="auto"/>
        <w:left w:val="none" w:sz="0" w:space="0" w:color="auto"/>
        <w:bottom w:val="none" w:sz="0" w:space="0" w:color="auto"/>
        <w:right w:val="none" w:sz="0" w:space="0" w:color="auto"/>
      </w:divBdr>
    </w:div>
    <w:div w:id="1953632679">
      <w:bodyDiv w:val="1"/>
      <w:marLeft w:val="0"/>
      <w:marRight w:val="0"/>
      <w:marTop w:val="0"/>
      <w:marBottom w:val="0"/>
      <w:divBdr>
        <w:top w:val="none" w:sz="0" w:space="0" w:color="auto"/>
        <w:left w:val="none" w:sz="0" w:space="0" w:color="auto"/>
        <w:bottom w:val="none" w:sz="0" w:space="0" w:color="auto"/>
        <w:right w:val="none" w:sz="0" w:space="0" w:color="auto"/>
      </w:divBdr>
    </w:div>
    <w:div w:id="1953781275">
      <w:bodyDiv w:val="1"/>
      <w:marLeft w:val="0"/>
      <w:marRight w:val="0"/>
      <w:marTop w:val="0"/>
      <w:marBottom w:val="0"/>
      <w:divBdr>
        <w:top w:val="none" w:sz="0" w:space="0" w:color="auto"/>
        <w:left w:val="none" w:sz="0" w:space="0" w:color="auto"/>
        <w:bottom w:val="none" w:sz="0" w:space="0" w:color="auto"/>
        <w:right w:val="none" w:sz="0" w:space="0" w:color="auto"/>
      </w:divBdr>
    </w:div>
    <w:div w:id="1954166859">
      <w:bodyDiv w:val="1"/>
      <w:marLeft w:val="0"/>
      <w:marRight w:val="0"/>
      <w:marTop w:val="0"/>
      <w:marBottom w:val="0"/>
      <w:divBdr>
        <w:top w:val="none" w:sz="0" w:space="0" w:color="auto"/>
        <w:left w:val="none" w:sz="0" w:space="0" w:color="auto"/>
        <w:bottom w:val="none" w:sz="0" w:space="0" w:color="auto"/>
        <w:right w:val="none" w:sz="0" w:space="0" w:color="auto"/>
      </w:divBdr>
    </w:div>
    <w:div w:id="1954483298">
      <w:bodyDiv w:val="1"/>
      <w:marLeft w:val="0"/>
      <w:marRight w:val="0"/>
      <w:marTop w:val="0"/>
      <w:marBottom w:val="0"/>
      <w:divBdr>
        <w:top w:val="none" w:sz="0" w:space="0" w:color="auto"/>
        <w:left w:val="none" w:sz="0" w:space="0" w:color="auto"/>
        <w:bottom w:val="none" w:sz="0" w:space="0" w:color="auto"/>
        <w:right w:val="none" w:sz="0" w:space="0" w:color="auto"/>
      </w:divBdr>
    </w:div>
    <w:div w:id="1954553424">
      <w:bodyDiv w:val="1"/>
      <w:marLeft w:val="0"/>
      <w:marRight w:val="0"/>
      <w:marTop w:val="0"/>
      <w:marBottom w:val="0"/>
      <w:divBdr>
        <w:top w:val="none" w:sz="0" w:space="0" w:color="auto"/>
        <w:left w:val="none" w:sz="0" w:space="0" w:color="auto"/>
        <w:bottom w:val="none" w:sz="0" w:space="0" w:color="auto"/>
        <w:right w:val="none" w:sz="0" w:space="0" w:color="auto"/>
      </w:divBdr>
    </w:div>
    <w:div w:id="1954705767">
      <w:bodyDiv w:val="1"/>
      <w:marLeft w:val="0"/>
      <w:marRight w:val="0"/>
      <w:marTop w:val="0"/>
      <w:marBottom w:val="0"/>
      <w:divBdr>
        <w:top w:val="none" w:sz="0" w:space="0" w:color="auto"/>
        <w:left w:val="none" w:sz="0" w:space="0" w:color="auto"/>
        <w:bottom w:val="none" w:sz="0" w:space="0" w:color="auto"/>
        <w:right w:val="none" w:sz="0" w:space="0" w:color="auto"/>
      </w:divBdr>
    </w:div>
    <w:div w:id="1955020599">
      <w:bodyDiv w:val="1"/>
      <w:marLeft w:val="0"/>
      <w:marRight w:val="0"/>
      <w:marTop w:val="0"/>
      <w:marBottom w:val="0"/>
      <w:divBdr>
        <w:top w:val="none" w:sz="0" w:space="0" w:color="auto"/>
        <w:left w:val="none" w:sz="0" w:space="0" w:color="auto"/>
        <w:bottom w:val="none" w:sz="0" w:space="0" w:color="auto"/>
        <w:right w:val="none" w:sz="0" w:space="0" w:color="auto"/>
      </w:divBdr>
    </w:div>
    <w:div w:id="1955162685">
      <w:bodyDiv w:val="1"/>
      <w:marLeft w:val="0"/>
      <w:marRight w:val="0"/>
      <w:marTop w:val="0"/>
      <w:marBottom w:val="0"/>
      <w:divBdr>
        <w:top w:val="none" w:sz="0" w:space="0" w:color="auto"/>
        <w:left w:val="none" w:sz="0" w:space="0" w:color="auto"/>
        <w:bottom w:val="none" w:sz="0" w:space="0" w:color="auto"/>
        <w:right w:val="none" w:sz="0" w:space="0" w:color="auto"/>
      </w:divBdr>
    </w:div>
    <w:div w:id="1955672495">
      <w:bodyDiv w:val="1"/>
      <w:marLeft w:val="0"/>
      <w:marRight w:val="0"/>
      <w:marTop w:val="0"/>
      <w:marBottom w:val="0"/>
      <w:divBdr>
        <w:top w:val="none" w:sz="0" w:space="0" w:color="auto"/>
        <w:left w:val="none" w:sz="0" w:space="0" w:color="auto"/>
        <w:bottom w:val="none" w:sz="0" w:space="0" w:color="auto"/>
        <w:right w:val="none" w:sz="0" w:space="0" w:color="auto"/>
      </w:divBdr>
    </w:div>
    <w:div w:id="1955863448">
      <w:bodyDiv w:val="1"/>
      <w:marLeft w:val="0"/>
      <w:marRight w:val="0"/>
      <w:marTop w:val="0"/>
      <w:marBottom w:val="0"/>
      <w:divBdr>
        <w:top w:val="none" w:sz="0" w:space="0" w:color="auto"/>
        <w:left w:val="none" w:sz="0" w:space="0" w:color="auto"/>
        <w:bottom w:val="none" w:sz="0" w:space="0" w:color="auto"/>
        <w:right w:val="none" w:sz="0" w:space="0" w:color="auto"/>
      </w:divBdr>
    </w:div>
    <w:div w:id="1955944179">
      <w:bodyDiv w:val="1"/>
      <w:marLeft w:val="0"/>
      <w:marRight w:val="0"/>
      <w:marTop w:val="0"/>
      <w:marBottom w:val="0"/>
      <w:divBdr>
        <w:top w:val="none" w:sz="0" w:space="0" w:color="auto"/>
        <w:left w:val="none" w:sz="0" w:space="0" w:color="auto"/>
        <w:bottom w:val="none" w:sz="0" w:space="0" w:color="auto"/>
        <w:right w:val="none" w:sz="0" w:space="0" w:color="auto"/>
      </w:divBdr>
    </w:div>
    <w:div w:id="1956131973">
      <w:bodyDiv w:val="1"/>
      <w:marLeft w:val="0"/>
      <w:marRight w:val="0"/>
      <w:marTop w:val="0"/>
      <w:marBottom w:val="0"/>
      <w:divBdr>
        <w:top w:val="none" w:sz="0" w:space="0" w:color="auto"/>
        <w:left w:val="none" w:sz="0" w:space="0" w:color="auto"/>
        <w:bottom w:val="none" w:sz="0" w:space="0" w:color="auto"/>
        <w:right w:val="none" w:sz="0" w:space="0" w:color="auto"/>
      </w:divBdr>
    </w:div>
    <w:div w:id="1956213622">
      <w:bodyDiv w:val="1"/>
      <w:marLeft w:val="0"/>
      <w:marRight w:val="0"/>
      <w:marTop w:val="0"/>
      <w:marBottom w:val="0"/>
      <w:divBdr>
        <w:top w:val="none" w:sz="0" w:space="0" w:color="auto"/>
        <w:left w:val="none" w:sz="0" w:space="0" w:color="auto"/>
        <w:bottom w:val="none" w:sz="0" w:space="0" w:color="auto"/>
        <w:right w:val="none" w:sz="0" w:space="0" w:color="auto"/>
      </w:divBdr>
    </w:div>
    <w:div w:id="1956524981">
      <w:bodyDiv w:val="1"/>
      <w:marLeft w:val="0"/>
      <w:marRight w:val="0"/>
      <w:marTop w:val="0"/>
      <w:marBottom w:val="0"/>
      <w:divBdr>
        <w:top w:val="none" w:sz="0" w:space="0" w:color="auto"/>
        <w:left w:val="none" w:sz="0" w:space="0" w:color="auto"/>
        <w:bottom w:val="none" w:sz="0" w:space="0" w:color="auto"/>
        <w:right w:val="none" w:sz="0" w:space="0" w:color="auto"/>
      </w:divBdr>
    </w:div>
    <w:div w:id="1956710725">
      <w:bodyDiv w:val="1"/>
      <w:marLeft w:val="0"/>
      <w:marRight w:val="0"/>
      <w:marTop w:val="0"/>
      <w:marBottom w:val="0"/>
      <w:divBdr>
        <w:top w:val="none" w:sz="0" w:space="0" w:color="auto"/>
        <w:left w:val="none" w:sz="0" w:space="0" w:color="auto"/>
        <w:bottom w:val="none" w:sz="0" w:space="0" w:color="auto"/>
        <w:right w:val="none" w:sz="0" w:space="0" w:color="auto"/>
      </w:divBdr>
    </w:div>
    <w:div w:id="1956862259">
      <w:bodyDiv w:val="1"/>
      <w:marLeft w:val="0"/>
      <w:marRight w:val="0"/>
      <w:marTop w:val="0"/>
      <w:marBottom w:val="0"/>
      <w:divBdr>
        <w:top w:val="none" w:sz="0" w:space="0" w:color="auto"/>
        <w:left w:val="none" w:sz="0" w:space="0" w:color="auto"/>
        <w:bottom w:val="none" w:sz="0" w:space="0" w:color="auto"/>
        <w:right w:val="none" w:sz="0" w:space="0" w:color="auto"/>
      </w:divBdr>
    </w:div>
    <w:div w:id="1956869238">
      <w:bodyDiv w:val="1"/>
      <w:marLeft w:val="0"/>
      <w:marRight w:val="0"/>
      <w:marTop w:val="0"/>
      <w:marBottom w:val="0"/>
      <w:divBdr>
        <w:top w:val="none" w:sz="0" w:space="0" w:color="auto"/>
        <w:left w:val="none" w:sz="0" w:space="0" w:color="auto"/>
        <w:bottom w:val="none" w:sz="0" w:space="0" w:color="auto"/>
        <w:right w:val="none" w:sz="0" w:space="0" w:color="auto"/>
      </w:divBdr>
    </w:div>
    <w:div w:id="1957834826">
      <w:bodyDiv w:val="1"/>
      <w:marLeft w:val="0"/>
      <w:marRight w:val="0"/>
      <w:marTop w:val="0"/>
      <w:marBottom w:val="0"/>
      <w:divBdr>
        <w:top w:val="none" w:sz="0" w:space="0" w:color="auto"/>
        <w:left w:val="none" w:sz="0" w:space="0" w:color="auto"/>
        <w:bottom w:val="none" w:sz="0" w:space="0" w:color="auto"/>
        <w:right w:val="none" w:sz="0" w:space="0" w:color="auto"/>
      </w:divBdr>
    </w:div>
    <w:div w:id="1957984740">
      <w:bodyDiv w:val="1"/>
      <w:marLeft w:val="0"/>
      <w:marRight w:val="0"/>
      <w:marTop w:val="0"/>
      <w:marBottom w:val="0"/>
      <w:divBdr>
        <w:top w:val="none" w:sz="0" w:space="0" w:color="auto"/>
        <w:left w:val="none" w:sz="0" w:space="0" w:color="auto"/>
        <w:bottom w:val="none" w:sz="0" w:space="0" w:color="auto"/>
        <w:right w:val="none" w:sz="0" w:space="0" w:color="auto"/>
      </w:divBdr>
    </w:div>
    <w:div w:id="1958220482">
      <w:bodyDiv w:val="1"/>
      <w:marLeft w:val="0"/>
      <w:marRight w:val="0"/>
      <w:marTop w:val="0"/>
      <w:marBottom w:val="0"/>
      <w:divBdr>
        <w:top w:val="none" w:sz="0" w:space="0" w:color="auto"/>
        <w:left w:val="none" w:sz="0" w:space="0" w:color="auto"/>
        <w:bottom w:val="none" w:sz="0" w:space="0" w:color="auto"/>
        <w:right w:val="none" w:sz="0" w:space="0" w:color="auto"/>
      </w:divBdr>
    </w:div>
    <w:div w:id="1959680609">
      <w:bodyDiv w:val="1"/>
      <w:marLeft w:val="0"/>
      <w:marRight w:val="0"/>
      <w:marTop w:val="0"/>
      <w:marBottom w:val="0"/>
      <w:divBdr>
        <w:top w:val="none" w:sz="0" w:space="0" w:color="auto"/>
        <w:left w:val="none" w:sz="0" w:space="0" w:color="auto"/>
        <w:bottom w:val="none" w:sz="0" w:space="0" w:color="auto"/>
        <w:right w:val="none" w:sz="0" w:space="0" w:color="auto"/>
      </w:divBdr>
    </w:div>
    <w:div w:id="1959752947">
      <w:bodyDiv w:val="1"/>
      <w:marLeft w:val="0"/>
      <w:marRight w:val="0"/>
      <w:marTop w:val="0"/>
      <w:marBottom w:val="0"/>
      <w:divBdr>
        <w:top w:val="none" w:sz="0" w:space="0" w:color="auto"/>
        <w:left w:val="none" w:sz="0" w:space="0" w:color="auto"/>
        <w:bottom w:val="none" w:sz="0" w:space="0" w:color="auto"/>
        <w:right w:val="none" w:sz="0" w:space="0" w:color="auto"/>
      </w:divBdr>
    </w:div>
    <w:div w:id="1959951497">
      <w:bodyDiv w:val="1"/>
      <w:marLeft w:val="0"/>
      <w:marRight w:val="0"/>
      <w:marTop w:val="0"/>
      <w:marBottom w:val="0"/>
      <w:divBdr>
        <w:top w:val="none" w:sz="0" w:space="0" w:color="auto"/>
        <w:left w:val="none" w:sz="0" w:space="0" w:color="auto"/>
        <w:bottom w:val="none" w:sz="0" w:space="0" w:color="auto"/>
        <w:right w:val="none" w:sz="0" w:space="0" w:color="auto"/>
      </w:divBdr>
    </w:div>
    <w:div w:id="1960406849">
      <w:bodyDiv w:val="1"/>
      <w:marLeft w:val="0"/>
      <w:marRight w:val="0"/>
      <w:marTop w:val="0"/>
      <w:marBottom w:val="0"/>
      <w:divBdr>
        <w:top w:val="none" w:sz="0" w:space="0" w:color="auto"/>
        <w:left w:val="none" w:sz="0" w:space="0" w:color="auto"/>
        <w:bottom w:val="none" w:sz="0" w:space="0" w:color="auto"/>
        <w:right w:val="none" w:sz="0" w:space="0" w:color="auto"/>
      </w:divBdr>
    </w:div>
    <w:div w:id="1960837769">
      <w:bodyDiv w:val="1"/>
      <w:marLeft w:val="0"/>
      <w:marRight w:val="0"/>
      <w:marTop w:val="0"/>
      <w:marBottom w:val="0"/>
      <w:divBdr>
        <w:top w:val="none" w:sz="0" w:space="0" w:color="auto"/>
        <w:left w:val="none" w:sz="0" w:space="0" w:color="auto"/>
        <w:bottom w:val="none" w:sz="0" w:space="0" w:color="auto"/>
        <w:right w:val="none" w:sz="0" w:space="0" w:color="auto"/>
      </w:divBdr>
    </w:div>
    <w:div w:id="1961065428">
      <w:bodyDiv w:val="1"/>
      <w:marLeft w:val="0"/>
      <w:marRight w:val="0"/>
      <w:marTop w:val="0"/>
      <w:marBottom w:val="0"/>
      <w:divBdr>
        <w:top w:val="none" w:sz="0" w:space="0" w:color="auto"/>
        <w:left w:val="none" w:sz="0" w:space="0" w:color="auto"/>
        <w:bottom w:val="none" w:sz="0" w:space="0" w:color="auto"/>
        <w:right w:val="none" w:sz="0" w:space="0" w:color="auto"/>
      </w:divBdr>
    </w:div>
    <w:div w:id="1961108327">
      <w:bodyDiv w:val="1"/>
      <w:marLeft w:val="0"/>
      <w:marRight w:val="0"/>
      <w:marTop w:val="0"/>
      <w:marBottom w:val="0"/>
      <w:divBdr>
        <w:top w:val="none" w:sz="0" w:space="0" w:color="auto"/>
        <w:left w:val="none" w:sz="0" w:space="0" w:color="auto"/>
        <w:bottom w:val="none" w:sz="0" w:space="0" w:color="auto"/>
        <w:right w:val="none" w:sz="0" w:space="0" w:color="auto"/>
      </w:divBdr>
    </w:div>
    <w:div w:id="1961498363">
      <w:bodyDiv w:val="1"/>
      <w:marLeft w:val="0"/>
      <w:marRight w:val="0"/>
      <w:marTop w:val="0"/>
      <w:marBottom w:val="0"/>
      <w:divBdr>
        <w:top w:val="none" w:sz="0" w:space="0" w:color="auto"/>
        <w:left w:val="none" w:sz="0" w:space="0" w:color="auto"/>
        <w:bottom w:val="none" w:sz="0" w:space="0" w:color="auto"/>
        <w:right w:val="none" w:sz="0" w:space="0" w:color="auto"/>
      </w:divBdr>
    </w:div>
    <w:div w:id="1961569864">
      <w:bodyDiv w:val="1"/>
      <w:marLeft w:val="0"/>
      <w:marRight w:val="0"/>
      <w:marTop w:val="0"/>
      <w:marBottom w:val="0"/>
      <w:divBdr>
        <w:top w:val="none" w:sz="0" w:space="0" w:color="auto"/>
        <w:left w:val="none" w:sz="0" w:space="0" w:color="auto"/>
        <w:bottom w:val="none" w:sz="0" w:space="0" w:color="auto"/>
        <w:right w:val="none" w:sz="0" w:space="0" w:color="auto"/>
      </w:divBdr>
    </w:div>
    <w:div w:id="1961908677">
      <w:bodyDiv w:val="1"/>
      <w:marLeft w:val="0"/>
      <w:marRight w:val="0"/>
      <w:marTop w:val="0"/>
      <w:marBottom w:val="0"/>
      <w:divBdr>
        <w:top w:val="none" w:sz="0" w:space="0" w:color="auto"/>
        <w:left w:val="none" w:sz="0" w:space="0" w:color="auto"/>
        <w:bottom w:val="none" w:sz="0" w:space="0" w:color="auto"/>
        <w:right w:val="none" w:sz="0" w:space="0" w:color="auto"/>
      </w:divBdr>
    </w:div>
    <w:div w:id="1963538805">
      <w:bodyDiv w:val="1"/>
      <w:marLeft w:val="0"/>
      <w:marRight w:val="0"/>
      <w:marTop w:val="0"/>
      <w:marBottom w:val="0"/>
      <w:divBdr>
        <w:top w:val="none" w:sz="0" w:space="0" w:color="auto"/>
        <w:left w:val="none" w:sz="0" w:space="0" w:color="auto"/>
        <w:bottom w:val="none" w:sz="0" w:space="0" w:color="auto"/>
        <w:right w:val="none" w:sz="0" w:space="0" w:color="auto"/>
      </w:divBdr>
    </w:div>
    <w:div w:id="1964261093">
      <w:bodyDiv w:val="1"/>
      <w:marLeft w:val="0"/>
      <w:marRight w:val="0"/>
      <w:marTop w:val="0"/>
      <w:marBottom w:val="0"/>
      <w:divBdr>
        <w:top w:val="none" w:sz="0" w:space="0" w:color="auto"/>
        <w:left w:val="none" w:sz="0" w:space="0" w:color="auto"/>
        <w:bottom w:val="none" w:sz="0" w:space="0" w:color="auto"/>
        <w:right w:val="none" w:sz="0" w:space="0" w:color="auto"/>
      </w:divBdr>
    </w:div>
    <w:div w:id="1964261734">
      <w:bodyDiv w:val="1"/>
      <w:marLeft w:val="0"/>
      <w:marRight w:val="0"/>
      <w:marTop w:val="0"/>
      <w:marBottom w:val="0"/>
      <w:divBdr>
        <w:top w:val="none" w:sz="0" w:space="0" w:color="auto"/>
        <w:left w:val="none" w:sz="0" w:space="0" w:color="auto"/>
        <w:bottom w:val="none" w:sz="0" w:space="0" w:color="auto"/>
        <w:right w:val="none" w:sz="0" w:space="0" w:color="auto"/>
      </w:divBdr>
    </w:div>
    <w:div w:id="1964386669">
      <w:bodyDiv w:val="1"/>
      <w:marLeft w:val="0"/>
      <w:marRight w:val="0"/>
      <w:marTop w:val="0"/>
      <w:marBottom w:val="0"/>
      <w:divBdr>
        <w:top w:val="none" w:sz="0" w:space="0" w:color="auto"/>
        <w:left w:val="none" w:sz="0" w:space="0" w:color="auto"/>
        <w:bottom w:val="none" w:sz="0" w:space="0" w:color="auto"/>
        <w:right w:val="none" w:sz="0" w:space="0" w:color="auto"/>
      </w:divBdr>
    </w:div>
    <w:div w:id="1965035401">
      <w:bodyDiv w:val="1"/>
      <w:marLeft w:val="0"/>
      <w:marRight w:val="0"/>
      <w:marTop w:val="0"/>
      <w:marBottom w:val="0"/>
      <w:divBdr>
        <w:top w:val="none" w:sz="0" w:space="0" w:color="auto"/>
        <w:left w:val="none" w:sz="0" w:space="0" w:color="auto"/>
        <w:bottom w:val="none" w:sz="0" w:space="0" w:color="auto"/>
        <w:right w:val="none" w:sz="0" w:space="0" w:color="auto"/>
      </w:divBdr>
    </w:div>
    <w:div w:id="1965228232">
      <w:bodyDiv w:val="1"/>
      <w:marLeft w:val="0"/>
      <w:marRight w:val="0"/>
      <w:marTop w:val="0"/>
      <w:marBottom w:val="0"/>
      <w:divBdr>
        <w:top w:val="none" w:sz="0" w:space="0" w:color="auto"/>
        <w:left w:val="none" w:sz="0" w:space="0" w:color="auto"/>
        <w:bottom w:val="none" w:sz="0" w:space="0" w:color="auto"/>
        <w:right w:val="none" w:sz="0" w:space="0" w:color="auto"/>
      </w:divBdr>
    </w:div>
    <w:div w:id="1965228597">
      <w:bodyDiv w:val="1"/>
      <w:marLeft w:val="0"/>
      <w:marRight w:val="0"/>
      <w:marTop w:val="0"/>
      <w:marBottom w:val="0"/>
      <w:divBdr>
        <w:top w:val="none" w:sz="0" w:space="0" w:color="auto"/>
        <w:left w:val="none" w:sz="0" w:space="0" w:color="auto"/>
        <w:bottom w:val="none" w:sz="0" w:space="0" w:color="auto"/>
        <w:right w:val="none" w:sz="0" w:space="0" w:color="auto"/>
      </w:divBdr>
    </w:div>
    <w:div w:id="1965230988">
      <w:bodyDiv w:val="1"/>
      <w:marLeft w:val="0"/>
      <w:marRight w:val="0"/>
      <w:marTop w:val="0"/>
      <w:marBottom w:val="0"/>
      <w:divBdr>
        <w:top w:val="none" w:sz="0" w:space="0" w:color="auto"/>
        <w:left w:val="none" w:sz="0" w:space="0" w:color="auto"/>
        <w:bottom w:val="none" w:sz="0" w:space="0" w:color="auto"/>
        <w:right w:val="none" w:sz="0" w:space="0" w:color="auto"/>
      </w:divBdr>
    </w:div>
    <w:div w:id="1965428459">
      <w:bodyDiv w:val="1"/>
      <w:marLeft w:val="0"/>
      <w:marRight w:val="0"/>
      <w:marTop w:val="0"/>
      <w:marBottom w:val="0"/>
      <w:divBdr>
        <w:top w:val="none" w:sz="0" w:space="0" w:color="auto"/>
        <w:left w:val="none" w:sz="0" w:space="0" w:color="auto"/>
        <w:bottom w:val="none" w:sz="0" w:space="0" w:color="auto"/>
        <w:right w:val="none" w:sz="0" w:space="0" w:color="auto"/>
      </w:divBdr>
    </w:div>
    <w:div w:id="1965623278">
      <w:bodyDiv w:val="1"/>
      <w:marLeft w:val="0"/>
      <w:marRight w:val="0"/>
      <w:marTop w:val="0"/>
      <w:marBottom w:val="0"/>
      <w:divBdr>
        <w:top w:val="none" w:sz="0" w:space="0" w:color="auto"/>
        <w:left w:val="none" w:sz="0" w:space="0" w:color="auto"/>
        <w:bottom w:val="none" w:sz="0" w:space="0" w:color="auto"/>
        <w:right w:val="none" w:sz="0" w:space="0" w:color="auto"/>
      </w:divBdr>
    </w:div>
    <w:div w:id="1966155685">
      <w:bodyDiv w:val="1"/>
      <w:marLeft w:val="0"/>
      <w:marRight w:val="0"/>
      <w:marTop w:val="0"/>
      <w:marBottom w:val="0"/>
      <w:divBdr>
        <w:top w:val="none" w:sz="0" w:space="0" w:color="auto"/>
        <w:left w:val="none" w:sz="0" w:space="0" w:color="auto"/>
        <w:bottom w:val="none" w:sz="0" w:space="0" w:color="auto"/>
        <w:right w:val="none" w:sz="0" w:space="0" w:color="auto"/>
      </w:divBdr>
    </w:div>
    <w:div w:id="1966229971">
      <w:bodyDiv w:val="1"/>
      <w:marLeft w:val="0"/>
      <w:marRight w:val="0"/>
      <w:marTop w:val="0"/>
      <w:marBottom w:val="0"/>
      <w:divBdr>
        <w:top w:val="none" w:sz="0" w:space="0" w:color="auto"/>
        <w:left w:val="none" w:sz="0" w:space="0" w:color="auto"/>
        <w:bottom w:val="none" w:sz="0" w:space="0" w:color="auto"/>
        <w:right w:val="none" w:sz="0" w:space="0" w:color="auto"/>
      </w:divBdr>
    </w:div>
    <w:div w:id="1966423955">
      <w:bodyDiv w:val="1"/>
      <w:marLeft w:val="0"/>
      <w:marRight w:val="0"/>
      <w:marTop w:val="0"/>
      <w:marBottom w:val="0"/>
      <w:divBdr>
        <w:top w:val="none" w:sz="0" w:space="0" w:color="auto"/>
        <w:left w:val="none" w:sz="0" w:space="0" w:color="auto"/>
        <w:bottom w:val="none" w:sz="0" w:space="0" w:color="auto"/>
        <w:right w:val="none" w:sz="0" w:space="0" w:color="auto"/>
      </w:divBdr>
    </w:div>
    <w:div w:id="1966691930">
      <w:bodyDiv w:val="1"/>
      <w:marLeft w:val="0"/>
      <w:marRight w:val="0"/>
      <w:marTop w:val="0"/>
      <w:marBottom w:val="0"/>
      <w:divBdr>
        <w:top w:val="none" w:sz="0" w:space="0" w:color="auto"/>
        <w:left w:val="none" w:sz="0" w:space="0" w:color="auto"/>
        <w:bottom w:val="none" w:sz="0" w:space="0" w:color="auto"/>
        <w:right w:val="none" w:sz="0" w:space="0" w:color="auto"/>
      </w:divBdr>
    </w:div>
    <w:div w:id="1966693367">
      <w:bodyDiv w:val="1"/>
      <w:marLeft w:val="0"/>
      <w:marRight w:val="0"/>
      <w:marTop w:val="0"/>
      <w:marBottom w:val="0"/>
      <w:divBdr>
        <w:top w:val="none" w:sz="0" w:space="0" w:color="auto"/>
        <w:left w:val="none" w:sz="0" w:space="0" w:color="auto"/>
        <w:bottom w:val="none" w:sz="0" w:space="0" w:color="auto"/>
        <w:right w:val="none" w:sz="0" w:space="0" w:color="auto"/>
      </w:divBdr>
    </w:div>
    <w:div w:id="1966767915">
      <w:bodyDiv w:val="1"/>
      <w:marLeft w:val="0"/>
      <w:marRight w:val="0"/>
      <w:marTop w:val="0"/>
      <w:marBottom w:val="0"/>
      <w:divBdr>
        <w:top w:val="none" w:sz="0" w:space="0" w:color="auto"/>
        <w:left w:val="none" w:sz="0" w:space="0" w:color="auto"/>
        <w:bottom w:val="none" w:sz="0" w:space="0" w:color="auto"/>
        <w:right w:val="none" w:sz="0" w:space="0" w:color="auto"/>
      </w:divBdr>
    </w:div>
    <w:div w:id="1966810436">
      <w:bodyDiv w:val="1"/>
      <w:marLeft w:val="0"/>
      <w:marRight w:val="0"/>
      <w:marTop w:val="0"/>
      <w:marBottom w:val="0"/>
      <w:divBdr>
        <w:top w:val="none" w:sz="0" w:space="0" w:color="auto"/>
        <w:left w:val="none" w:sz="0" w:space="0" w:color="auto"/>
        <w:bottom w:val="none" w:sz="0" w:space="0" w:color="auto"/>
        <w:right w:val="none" w:sz="0" w:space="0" w:color="auto"/>
      </w:divBdr>
    </w:div>
    <w:div w:id="1967546025">
      <w:bodyDiv w:val="1"/>
      <w:marLeft w:val="0"/>
      <w:marRight w:val="0"/>
      <w:marTop w:val="0"/>
      <w:marBottom w:val="0"/>
      <w:divBdr>
        <w:top w:val="none" w:sz="0" w:space="0" w:color="auto"/>
        <w:left w:val="none" w:sz="0" w:space="0" w:color="auto"/>
        <w:bottom w:val="none" w:sz="0" w:space="0" w:color="auto"/>
        <w:right w:val="none" w:sz="0" w:space="0" w:color="auto"/>
      </w:divBdr>
    </w:div>
    <w:div w:id="1967616304">
      <w:bodyDiv w:val="1"/>
      <w:marLeft w:val="0"/>
      <w:marRight w:val="0"/>
      <w:marTop w:val="0"/>
      <w:marBottom w:val="0"/>
      <w:divBdr>
        <w:top w:val="none" w:sz="0" w:space="0" w:color="auto"/>
        <w:left w:val="none" w:sz="0" w:space="0" w:color="auto"/>
        <w:bottom w:val="none" w:sz="0" w:space="0" w:color="auto"/>
        <w:right w:val="none" w:sz="0" w:space="0" w:color="auto"/>
      </w:divBdr>
    </w:div>
    <w:div w:id="1968268952">
      <w:bodyDiv w:val="1"/>
      <w:marLeft w:val="0"/>
      <w:marRight w:val="0"/>
      <w:marTop w:val="0"/>
      <w:marBottom w:val="0"/>
      <w:divBdr>
        <w:top w:val="none" w:sz="0" w:space="0" w:color="auto"/>
        <w:left w:val="none" w:sz="0" w:space="0" w:color="auto"/>
        <w:bottom w:val="none" w:sz="0" w:space="0" w:color="auto"/>
        <w:right w:val="none" w:sz="0" w:space="0" w:color="auto"/>
      </w:divBdr>
    </w:div>
    <w:div w:id="1969433650">
      <w:bodyDiv w:val="1"/>
      <w:marLeft w:val="0"/>
      <w:marRight w:val="0"/>
      <w:marTop w:val="0"/>
      <w:marBottom w:val="0"/>
      <w:divBdr>
        <w:top w:val="none" w:sz="0" w:space="0" w:color="auto"/>
        <w:left w:val="none" w:sz="0" w:space="0" w:color="auto"/>
        <w:bottom w:val="none" w:sz="0" w:space="0" w:color="auto"/>
        <w:right w:val="none" w:sz="0" w:space="0" w:color="auto"/>
      </w:divBdr>
    </w:div>
    <w:div w:id="1969582301">
      <w:bodyDiv w:val="1"/>
      <w:marLeft w:val="0"/>
      <w:marRight w:val="0"/>
      <w:marTop w:val="0"/>
      <w:marBottom w:val="0"/>
      <w:divBdr>
        <w:top w:val="none" w:sz="0" w:space="0" w:color="auto"/>
        <w:left w:val="none" w:sz="0" w:space="0" w:color="auto"/>
        <w:bottom w:val="none" w:sz="0" w:space="0" w:color="auto"/>
        <w:right w:val="none" w:sz="0" w:space="0" w:color="auto"/>
      </w:divBdr>
    </w:div>
    <w:div w:id="1969702229">
      <w:bodyDiv w:val="1"/>
      <w:marLeft w:val="0"/>
      <w:marRight w:val="0"/>
      <w:marTop w:val="0"/>
      <w:marBottom w:val="0"/>
      <w:divBdr>
        <w:top w:val="none" w:sz="0" w:space="0" w:color="auto"/>
        <w:left w:val="none" w:sz="0" w:space="0" w:color="auto"/>
        <w:bottom w:val="none" w:sz="0" w:space="0" w:color="auto"/>
        <w:right w:val="none" w:sz="0" w:space="0" w:color="auto"/>
      </w:divBdr>
    </w:div>
    <w:div w:id="1970041242">
      <w:bodyDiv w:val="1"/>
      <w:marLeft w:val="0"/>
      <w:marRight w:val="0"/>
      <w:marTop w:val="0"/>
      <w:marBottom w:val="0"/>
      <w:divBdr>
        <w:top w:val="none" w:sz="0" w:space="0" w:color="auto"/>
        <w:left w:val="none" w:sz="0" w:space="0" w:color="auto"/>
        <w:bottom w:val="none" w:sz="0" w:space="0" w:color="auto"/>
        <w:right w:val="none" w:sz="0" w:space="0" w:color="auto"/>
      </w:divBdr>
    </w:div>
    <w:div w:id="1970279341">
      <w:bodyDiv w:val="1"/>
      <w:marLeft w:val="0"/>
      <w:marRight w:val="0"/>
      <w:marTop w:val="0"/>
      <w:marBottom w:val="0"/>
      <w:divBdr>
        <w:top w:val="none" w:sz="0" w:space="0" w:color="auto"/>
        <w:left w:val="none" w:sz="0" w:space="0" w:color="auto"/>
        <w:bottom w:val="none" w:sz="0" w:space="0" w:color="auto"/>
        <w:right w:val="none" w:sz="0" w:space="0" w:color="auto"/>
      </w:divBdr>
    </w:div>
    <w:div w:id="1970699068">
      <w:bodyDiv w:val="1"/>
      <w:marLeft w:val="0"/>
      <w:marRight w:val="0"/>
      <w:marTop w:val="0"/>
      <w:marBottom w:val="0"/>
      <w:divBdr>
        <w:top w:val="none" w:sz="0" w:space="0" w:color="auto"/>
        <w:left w:val="none" w:sz="0" w:space="0" w:color="auto"/>
        <w:bottom w:val="none" w:sz="0" w:space="0" w:color="auto"/>
        <w:right w:val="none" w:sz="0" w:space="0" w:color="auto"/>
      </w:divBdr>
    </w:div>
    <w:div w:id="1971008082">
      <w:bodyDiv w:val="1"/>
      <w:marLeft w:val="0"/>
      <w:marRight w:val="0"/>
      <w:marTop w:val="0"/>
      <w:marBottom w:val="0"/>
      <w:divBdr>
        <w:top w:val="none" w:sz="0" w:space="0" w:color="auto"/>
        <w:left w:val="none" w:sz="0" w:space="0" w:color="auto"/>
        <w:bottom w:val="none" w:sz="0" w:space="0" w:color="auto"/>
        <w:right w:val="none" w:sz="0" w:space="0" w:color="auto"/>
      </w:divBdr>
    </w:div>
    <w:div w:id="1971013380">
      <w:bodyDiv w:val="1"/>
      <w:marLeft w:val="0"/>
      <w:marRight w:val="0"/>
      <w:marTop w:val="0"/>
      <w:marBottom w:val="0"/>
      <w:divBdr>
        <w:top w:val="none" w:sz="0" w:space="0" w:color="auto"/>
        <w:left w:val="none" w:sz="0" w:space="0" w:color="auto"/>
        <w:bottom w:val="none" w:sz="0" w:space="0" w:color="auto"/>
        <w:right w:val="none" w:sz="0" w:space="0" w:color="auto"/>
      </w:divBdr>
    </w:div>
    <w:div w:id="1971325191">
      <w:bodyDiv w:val="1"/>
      <w:marLeft w:val="0"/>
      <w:marRight w:val="0"/>
      <w:marTop w:val="0"/>
      <w:marBottom w:val="0"/>
      <w:divBdr>
        <w:top w:val="none" w:sz="0" w:space="0" w:color="auto"/>
        <w:left w:val="none" w:sz="0" w:space="0" w:color="auto"/>
        <w:bottom w:val="none" w:sz="0" w:space="0" w:color="auto"/>
        <w:right w:val="none" w:sz="0" w:space="0" w:color="auto"/>
      </w:divBdr>
    </w:div>
    <w:div w:id="1971668150">
      <w:bodyDiv w:val="1"/>
      <w:marLeft w:val="0"/>
      <w:marRight w:val="0"/>
      <w:marTop w:val="0"/>
      <w:marBottom w:val="0"/>
      <w:divBdr>
        <w:top w:val="none" w:sz="0" w:space="0" w:color="auto"/>
        <w:left w:val="none" w:sz="0" w:space="0" w:color="auto"/>
        <w:bottom w:val="none" w:sz="0" w:space="0" w:color="auto"/>
        <w:right w:val="none" w:sz="0" w:space="0" w:color="auto"/>
      </w:divBdr>
    </w:div>
    <w:div w:id="1971860221">
      <w:bodyDiv w:val="1"/>
      <w:marLeft w:val="0"/>
      <w:marRight w:val="0"/>
      <w:marTop w:val="0"/>
      <w:marBottom w:val="0"/>
      <w:divBdr>
        <w:top w:val="none" w:sz="0" w:space="0" w:color="auto"/>
        <w:left w:val="none" w:sz="0" w:space="0" w:color="auto"/>
        <w:bottom w:val="none" w:sz="0" w:space="0" w:color="auto"/>
        <w:right w:val="none" w:sz="0" w:space="0" w:color="auto"/>
      </w:divBdr>
    </w:div>
    <w:div w:id="1971937848">
      <w:bodyDiv w:val="1"/>
      <w:marLeft w:val="0"/>
      <w:marRight w:val="0"/>
      <w:marTop w:val="0"/>
      <w:marBottom w:val="0"/>
      <w:divBdr>
        <w:top w:val="none" w:sz="0" w:space="0" w:color="auto"/>
        <w:left w:val="none" w:sz="0" w:space="0" w:color="auto"/>
        <w:bottom w:val="none" w:sz="0" w:space="0" w:color="auto"/>
        <w:right w:val="none" w:sz="0" w:space="0" w:color="auto"/>
      </w:divBdr>
    </w:div>
    <w:div w:id="1972006436">
      <w:bodyDiv w:val="1"/>
      <w:marLeft w:val="0"/>
      <w:marRight w:val="0"/>
      <w:marTop w:val="0"/>
      <w:marBottom w:val="0"/>
      <w:divBdr>
        <w:top w:val="none" w:sz="0" w:space="0" w:color="auto"/>
        <w:left w:val="none" w:sz="0" w:space="0" w:color="auto"/>
        <w:bottom w:val="none" w:sz="0" w:space="0" w:color="auto"/>
        <w:right w:val="none" w:sz="0" w:space="0" w:color="auto"/>
      </w:divBdr>
    </w:div>
    <w:div w:id="1972903374">
      <w:bodyDiv w:val="1"/>
      <w:marLeft w:val="0"/>
      <w:marRight w:val="0"/>
      <w:marTop w:val="0"/>
      <w:marBottom w:val="0"/>
      <w:divBdr>
        <w:top w:val="none" w:sz="0" w:space="0" w:color="auto"/>
        <w:left w:val="none" w:sz="0" w:space="0" w:color="auto"/>
        <w:bottom w:val="none" w:sz="0" w:space="0" w:color="auto"/>
        <w:right w:val="none" w:sz="0" w:space="0" w:color="auto"/>
      </w:divBdr>
    </w:div>
    <w:div w:id="1973124489">
      <w:bodyDiv w:val="1"/>
      <w:marLeft w:val="0"/>
      <w:marRight w:val="0"/>
      <w:marTop w:val="0"/>
      <w:marBottom w:val="0"/>
      <w:divBdr>
        <w:top w:val="none" w:sz="0" w:space="0" w:color="auto"/>
        <w:left w:val="none" w:sz="0" w:space="0" w:color="auto"/>
        <w:bottom w:val="none" w:sz="0" w:space="0" w:color="auto"/>
        <w:right w:val="none" w:sz="0" w:space="0" w:color="auto"/>
      </w:divBdr>
    </w:div>
    <w:div w:id="1973367244">
      <w:bodyDiv w:val="1"/>
      <w:marLeft w:val="0"/>
      <w:marRight w:val="0"/>
      <w:marTop w:val="0"/>
      <w:marBottom w:val="0"/>
      <w:divBdr>
        <w:top w:val="none" w:sz="0" w:space="0" w:color="auto"/>
        <w:left w:val="none" w:sz="0" w:space="0" w:color="auto"/>
        <w:bottom w:val="none" w:sz="0" w:space="0" w:color="auto"/>
        <w:right w:val="none" w:sz="0" w:space="0" w:color="auto"/>
      </w:divBdr>
    </w:div>
    <w:div w:id="1973439566">
      <w:bodyDiv w:val="1"/>
      <w:marLeft w:val="0"/>
      <w:marRight w:val="0"/>
      <w:marTop w:val="0"/>
      <w:marBottom w:val="0"/>
      <w:divBdr>
        <w:top w:val="none" w:sz="0" w:space="0" w:color="auto"/>
        <w:left w:val="none" w:sz="0" w:space="0" w:color="auto"/>
        <w:bottom w:val="none" w:sz="0" w:space="0" w:color="auto"/>
        <w:right w:val="none" w:sz="0" w:space="0" w:color="auto"/>
      </w:divBdr>
    </w:div>
    <w:div w:id="1973554990">
      <w:bodyDiv w:val="1"/>
      <w:marLeft w:val="0"/>
      <w:marRight w:val="0"/>
      <w:marTop w:val="0"/>
      <w:marBottom w:val="0"/>
      <w:divBdr>
        <w:top w:val="none" w:sz="0" w:space="0" w:color="auto"/>
        <w:left w:val="none" w:sz="0" w:space="0" w:color="auto"/>
        <w:bottom w:val="none" w:sz="0" w:space="0" w:color="auto"/>
        <w:right w:val="none" w:sz="0" w:space="0" w:color="auto"/>
      </w:divBdr>
    </w:div>
    <w:div w:id="1974476924">
      <w:bodyDiv w:val="1"/>
      <w:marLeft w:val="0"/>
      <w:marRight w:val="0"/>
      <w:marTop w:val="0"/>
      <w:marBottom w:val="0"/>
      <w:divBdr>
        <w:top w:val="none" w:sz="0" w:space="0" w:color="auto"/>
        <w:left w:val="none" w:sz="0" w:space="0" w:color="auto"/>
        <w:bottom w:val="none" w:sz="0" w:space="0" w:color="auto"/>
        <w:right w:val="none" w:sz="0" w:space="0" w:color="auto"/>
      </w:divBdr>
    </w:div>
    <w:div w:id="1975520123">
      <w:bodyDiv w:val="1"/>
      <w:marLeft w:val="0"/>
      <w:marRight w:val="0"/>
      <w:marTop w:val="0"/>
      <w:marBottom w:val="0"/>
      <w:divBdr>
        <w:top w:val="none" w:sz="0" w:space="0" w:color="auto"/>
        <w:left w:val="none" w:sz="0" w:space="0" w:color="auto"/>
        <w:bottom w:val="none" w:sz="0" w:space="0" w:color="auto"/>
        <w:right w:val="none" w:sz="0" w:space="0" w:color="auto"/>
      </w:divBdr>
    </w:div>
    <w:div w:id="1976372717">
      <w:bodyDiv w:val="1"/>
      <w:marLeft w:val="0"/>
      <w:marRight w:val="0"/>
      <w:marTop w:val="0"/>
      <w:marBottom w:val="0"/>
      <w:divBdr>
        <w:top w:val="none" w:sz="0" w:space="0" w:color="auto"/>
        <w:left w:val="none" w:sz="0" w:space="0" w:color="auto"/>
        <w:bottom w:val="none" w:sz="0" w:space="0" w:color="auto"/>
        <w:right w:val="none" w:sz="0" w:space="0" w:color="auto"/>
      </w:divBdr>
    </w:div>
    <w:div w:id="1976644503">
      <w:bodyDiv w:val="1"/>
      <w:marLeft w:val="0"/>
      <w:marRight w:val="0"/>
      <w:marTop w:val="0"/>
      <w:marBottom w:val="0"/>
      <w:divBdr>
        <w:top w:val="none" w:sz="0" w:space="0" w:color="auto"/>
        <w:left w:val="none" w:sz="0" w:space="0" w:color="auto"/>
        <w:bottom w:val="none" w:sz="0" w:space="0" w:color="auto"/>
        <w:right w:val="none" w:sz="0" w:space="0" w:color="auto"/>
      </w:divBdr>
    </w:div>
    <w:div w:id="1977251201">
      <w:bodyDiv w:val="1"/>
      <w:marLeft w:val="0"/>
      <w:marRight w:val="0"/>
      <w:marTop w:val="0"/>
      <w:marBottom w:val="0"/>
      <w:divBdr>
        <w:top w:val="none" w:sz="0" w:space="0" w:color="auto"/>
        <w:left w:val="none" w:sz="0" w:space="0" w:color="auto"/>
        <w:bottom w:val="none" w:sz="0" w:space="0" w:color="auto"/>
        <w:right w:val="none" w:sz="0" w:space="0" w:color="auto"/>
      </w:divBdr>
    </w:div>
    <w:div w:id="1978532214">
      <w:bodyDiv w:val="1"/>
      <w:marLeft w:val="0"/>
      <w:marRight w:val="0"/>
      <w:marTop w:val="0"/>
      <w:marBottom w:val="0"/>
      <w:divBdr>
        <w:top w:val="none" w:sz="0" w:space="0" w:color="auto"/>
        <w:left w:val="none" w:sz="0" w:space="0" w:color="auto"/>
        <w:bottom w:val="none" w:sz="0" w:space="0" w:color="auto"/>
        <w:right w:val="none" w:sz="0" w:space="0" w:color="auto"/>
      </w:divBdr>
    </w:div>
    <w:div w:id="1978685843">
      <w:bodyDiv w:val="1"/>
      <w:marLeft w:val="0"/>
      <w:marRight w:val="0"/>
      <w:marTop w:val="0"/>
      <w:marBottom w:val="0"/>
      <w:divBdr>
        <w:top w:val="none" w:sz="0" w:space="0" w:color="auto"/>
        <w:left w:val="none" w:sz="0" w:space="0" w:color="auto"/>
        <w:bottom w:val="none" w:sz="0" w:space="0" w:color="auto"/>
        <w:right w:val="none" w:sz="0" w:space="0" w:color="auto"/>
      </w:divBdr>
    </w:div>
    <w:div w:id="1979188296">
      <w:bodyDiv w:val="1"/>
      <w:marLeft w:val="0"/>
      <w:marRight w:val="0"/>
      <w:marTop w:val="0"/>
      <w:marBottom w:val="0"/>
      <w:divBdr>
        <w:top w:val="none" w:sz="0" w:space="0" w:color="auto"/>
        <w:left w:val="none" w:sz="0" w:space="0" w:color="auto"/>
        <w:bottom w:val="none" w:sz="0" w:space="0" w:color="auto"/>
        <w:right w:val="none" w:sz="0" w:space="0" w:color="auto"/>
      </w:divBdr>
    </w:div>
    <w:div w:id="1979190450">
      <w:bodyDiv w:val="1"/>
      <w:marLeft w:val="0"/>
      <w:marRight w:val="0"/>
      <w:marTop w:val="0"/>
      <w:marBottom w:val="0"/>
      <w:divBdr>
        <w:top w:val="none" w:sz="0" w:space="0" w:color="auto"/>
        <w:left w:val="none" w:sz="0" w:space="0" w:color="auto"/>
        <w:bottom w:val="none" w:sz="0" w:space="0" w:color="auto"/>
        <w:right w:val="none" w:sz="0" w:space="0" w:color="auto"/>
      </w:divBdr>
    </w:div>
    <w:div w:id="1979648528">
      <w:bodyDiv w:val="1"/>
      <w:marLeft w:val="0"/>
      <w:marRight w:val="0"/>
      <w:marTop w:val="0"/>
      <w:marBottom w:val="0"/>
      <w:divBdr>
        <w:top w:val="none" w:sz="0" w:space="0" w:color="auto"/>
        <w:left w:val="none" w:sz="0" w:space="0" w:color="auto"/>
        <w:bottom w:val="none" w:sz="0" w:space="0" w:color="auto"/>
        <w:right w:val="none" w:sz="0" w:space="0" w:color="auto"/>
      </w:divBdr>
    </w:div>
    <w:div w:id="1980306343">
      <w:bodyDiv w:val="1"/>
      <w:marLeft w:val="0"/>
      <w:marRight w:val="0"/>
      <w:marTop w:val="0"/>
      <w:marBottom w:val="0"/>
      <w:divBdr>
        <w:top w:val="none" w:sz="0" w:space="0" w:color="auto"/>
        <w:left w:val="none" w:sz="0" w:space="0" w:color="auto"/>
        <w:bottom w:val="none" w:sz="0" w:space="0" w:color="auto"/>
        <w:right w:val="none" w:sz="0" w:space="0" w:color="auto"/>
      </w:divBdr>
    </w:div>
    <w:div w:id="1980845158">
      <w:bodyDiv w:val="1"/>
      <w:marLeft w:val="0"/>
      <w:marRight w:val="0"/>
      <w:marTop w:val="0"/>
      <w:marBottom w:val="0"/>
      <w:divBdr>
        <w:top w:val="none" w:sz="0" w:space="0" w:color="auto"/>
        <w:left w:val="none" w:sz="0" w:space="0" w:color="auto"/>
        <w:bottom w:val="none" w:sz="0" w:space="0" w:color="auto"/>
        <w:right w:val="none" w:sz="0" w:space="0" w:color="auto"/>
      </w:divBdr>
    </w:div>
    <w:div w:id="1980987198">
      <w:bodyDiv w:val="1"/>
      <w:marLeft w:val="0"/>
      <w:marRight w:val="0"/>
      <w:marTop w:val="0"/>
      <w:marBottom w:val="0"/>
      <w:divBdr>
        <w:top w:val="none" w:sz="0" w:space="0" w:color="auto"/>
        <w:left w:val="none" w:sz="0" w:space="0" w:color="auto"/>
        <w:bottom w:val="none" w:sz="0" w:space="0" w:color="auto"/>
        <w:right w:val="none" w:sz="0" w:space="0" w:color="auto"/>
      </w:divBdr>
    </w:div>
    <w:div w:id="1981034654">
      <w:bodyDiv w:val="1"/>
      <w:marLeft w:val="0"/>
      <w:marRight w:val="0"/>
      <w:marTop w:val="0"/>
      <w:marBottom w:val="0"/>
      <w:divBdr>
        <w:top w:val="none" w:sz="0" w:space="0" w:color="auto"/>
        <w:left w:val="none" w:sz="0" w:space="0" w:color="auto"/>
        <w:bottom w:val="none" w:sz="0" w:space="0" w:color="auto"/>
        <w:right w:val="none" w:sz="0" w:space="0" w:color="auto"/>
      </w:divBdr>
    </w:div>
    <w:div w:id="1981181521">
      <w:bodyDiv w:val="1"/>
      <w:marLeft w:val="0"/>
      <w:marRight w:val="0"/>
      <w:marTop w:val="0"/>
      <w:marBottom w:val="0"/>
      <w:divBdr>
        <w:top w:val="none" w:sz="0" w:space="0" w:color="auto"/>
        <w:left w:val="none" w:sz="0" w:space="0" w:color="auto"/>
        <w:bottom w:val="none" w:sz="0" w:space="0" w:color="auto"/>
        <w:right w:val="none" w:sz="0" w:space="0" w:color="auto"/>
      </w:divBdr>
    </w:div>
    <w:div w:id="1981423610">
      <w:bodyDiv w:val="1"/>
      <w:marLeft w:val="0"/>
      <w:marRight w:val="0"/>
      <w:marTop w:val="0"/>
      <w:marBottom w:val="0"/>
      <w:divBdr>
        <w:top w:val="none" w:sz="0" w:space="0" w:color="auto"/>
        <w:left w:val="none" w:sz="0" w:space="0" w:color="auto"/>
        <w:bottom w:val="none" w:sz="0" w:space="0" w:color="auto"/>
        <w:right w:val="none" w:sz="0" w:space="0" w:color="auto"/>
      </w:divBdr>
    </w:div>
    <w:div w:id="1981810901">
      <w:bodyDiv w:val="1"/>
      <w:marLeft w:val="0"/>
      <w:marRight w:val="0"/>
      <w:marTop w:val="0"/>
      <w:marBottom w:val="0"/>
      <w:divBdr>
        <w:top w:val="none" w:sz="0" w:space="0" w:color="auto"/>
        <w:left w:val="none" w:sz="0" w:space="0" w:color="auto"/>
        <w:bottom w:val="none" w:sz="0" w:space="0" w:color="auto"/>
        <w:right w:val="none" w:sz="0" w:space="0" w:color="auto"/>
      </w:divBdr>
    </w:div>
    <w:div w:id="1981958719">
      <w:bodyDiv w:val="1"/>
      <w:marLeft w:val="0"/>
      <w:marRight w:val="0"/>
      <w:marTop w:val="0"/>
      <w:marBottom w:val="0"/>
      <w:divBdr>
        <w:top w:val="none" w:sz="0" w:space="0" w:color="auto"/>
        <w:left w:val="none" w:sz="0" w:space="0" w:color="auto"/>
        <w:bottom w:val="none" w:sz="0" w:space="0" w:color="auto"/>
        <w:right w:val="none" w:sz="0" w:space="0" w:color="auto"/>
      </w:divBdr>
    </w:div>
    <w:div w:id="1982077026">
      <w:bodyDiv w:val="1"/>
      <w:marLeft w:val="0"/>
      <w:marRight w:val="0"/>
      <w:marTop w:val="0"/>
      <w:marBottom w:val="0"/>
      <w:divBdr>
        <w:top w:val="none" w:sz="0" w:space="0" w:color="auto"/>
        <w:left w:val="none" w:sz="0" w:space="0" w:color="auto"/>
        <w:bottom w:val="none" w:sz="0" w:space="0" w:color="auto"/>
        <w:right w:val="none" w:sz="0" w:space="0" w:color="auto"/>
      </w:divBdr>
    </w:div>
    <w:div w:id="1982156354">
      <w:bodyDiv w:val="1"/>
      <w:marLeft w:val="0"/>
      <w:marRight w:val="0"/>
      <w:marTop w:val="0"/>
      <w:marBottom w:val="0"/>
      <w:divBdr>
        <w:top w:val="none" w:sz="0" w:space="0" w:color="auto"/>
        <w:left w:val="none" w:sz="0" w:space="0" w:color="auto"/>
        <w:bottom w:val="none" w:sz="0" w:space="0" w:color="auto"/>
        <w:right w:val="none" w:sz="0" w:space="0" w:color="auto"/>
      </w:divBdr>
    </w:div>
    <w:div w:id="1982417539">
      <w:bodyDiv w:val="1"/>
      <w:marLeft w:val="0"/>
      <w:marRight w:val="0"/>
      <w:marTop w:val="0"/>
      <w:marBottom w:val="0"/>
      <w:divBdr>
        <w:top w:val="none" w:sz="0" w:space="0" w:color="auto"/>
        <w:left w:val="none" w:sz="0" w:space="0" w:color="auto"/>
        <w:bottom w:val="none" w:sz="0" w:space="0" w:color="auto"/>
        <w:right w:val="none" w:sz="0" w:space="0" w:color="auto"/>
      </w:divBdr>
    </w:div>
    <w:div w:id="1982617295">
      <w:bodyDiv w:val="1"/>
      <w:marLeft w:val="0"/>
      <w:marRight w:val="0"/>
      <w:marTop w:val="0"/>
      <w:marBottom w:val="0"/>
      <w:divBdr>
        <w:top w:val="none" w:sz="0" w:space="0" w:color="auto"/>
        <w:left w:val="none" w:sz="0" w:space="0" w:color="auto"/>
        <w:bottom w:val="none" w:sz="0" w:space="0" w:color="auto"/>
        <w:right w:val="none" w:sz="0" w:space="0" w:color="auto"/>
      </w:divBdr>
    </w:div>
    <w:div w:id="1982692526">
      <w:bodyDiv w:val="1"/>
      <w:marLeft w:val="0"/>
      <w:marRight w:val="0"/>
      <w:marTop w:val="0"/>
      <w:marBottom w:val="0"/>
      <w:divBdr>
        <w:top w:val="none" w:sz="0" w:space="0" w:color="auto"/>
        <w:left w:val="none" w:sz="0" w:space="0" w:color="auto"/>
        <w:bottom w:val="none" w:sz="0" w:space="0" w:color="auto"/>
        <w:right w:val="none" w:sz="0" w:space="0" w:color="auto"/>
      </w:divBdr>
    </w:div>
    <w:div w:id="1983267576">
      <w:bodyDiv w:val="1"/>
      <w:marLeft w:val="0"/>
      <w:marRight w:val="0"/>
      <w:marTop w:val="0"/>
      <w:marBottom w:val="0"/>
      <w:divBdr>
        <w:top w:val="none" w:sz="0" w:space="0" w:color="auto"/>
        <w:left w:val="none" w:sz="0" w:space="0" w:color="auto"/>
        <w:bottom w:val="none" w:sz="0" w:space="0" w:color="auto"/>
        <w:right w:val="none" w:sz="0" w:space="0" w:color="auto"/>
      </w:divBdr>
    </w:div>
    <w:div w:id="1983461494">
      <w:bodyDiv w:val="1"/>
      <w:marLeft w:val="0"/>
      <w:marRight w:val="0"/>
      <w:marTop w:val="0"/>
      <w:marBottom w:val="0"/>
      <w:divBdr>
        <w:top w:val="none" w:sz="0" w:space="0" w:color="auto"/>
        <w:left w:val="none" w:sz="0" w:space="0" w:color="auto"/>
        <w:bottom w:val="none" w:sz="0" w:space="0" w:color="auto"/>
        <w:right w:val="none" w:sz="0" w:space="0" w:color="auto"/>
      </w:divBdr>
    </w:div>
    <w:div w:id="1983579210">
      <w:bodyDiv w:val="1"/>
      <w:marLeft w:val="0"/>
      <w:marRight w:val="0"/>
      <w:marTop w:val="0"/>
      <w:marBottom w:val="0"/>
      <w:divBdr>
        <w:top w:val="none" w:sz="0" w:space="0" w:color="auto"/>
        <w:left w:val="none" w:sz="0" w:space="0" w:color="auto"/>
        <w:bottom w:val="none" w:sz="0" w:space="0" w:color="auto"/>
        <w:right w:val="none" w:sz="0" w:space="0" w:color="auto"/>
      </w:divBdr>
    </w:div>
    <w:div w:id="1983652113">
      <w:bodyDiv w:val="1"/>
      <w:marLeft w:val="0"/>
      <w:marRight w:val="0"/>
      <w:marTop w:val="0"/>
      <w:marBottom w:val="0"/>
      <w:divBdr>
        <w:top w:val="none" w:sz="0" w:space="0" w:color="auto"/>
        <w:left w:val="none" w:sz="0" w:space="0" w:color="auto"/>
        <w:bottom w:val="none" w:sz="0" w:space="0" w:color="auto"/>
        <w:right w:val="none" w:sz="0" w:space="0" w:color="auto"/>
      </w:divBdr>
    </w:div>
    <w:div w:id="1984653432">
      <w:bodyDiv w:val="1"/>
      <w:marLeft w:val="0"/>
      <w:marRight w:val="0"/>
      <w:marTop w:val="0"/>
      <w:marBottom w:val="0"/>
      <w:divBdr>
        <w:top w:val="none" w:sz="0" w:space="0" w:color="auto"/>
        <w:left w:val="none" w:sz="0" w:space="0" w:color="auto"/>
        <w:bottom w:val="none" w:sz="0" w:space="0" w:color="auto"/>
        <w:right w:val="none" w:sz="0" w:space="0" w:color="auto"/>
      </w:divBdr>
    </w:div>
    <w:div w:id="1984693772">
      <w:bodyDiv w:val="1"/>
      <w:marLeft w:val="0"/>
      <w:marRight w:val="0"/>
      <w:marTop w:val="0"/>
      <w:marBottom w:val="0"/>
      <w:divBdr>
        <w:top w:val="none" w:sz="0" w:space="0" w:color="auto"/>
        <w:left w:val="none" w:sz="0" w:space="0" w:color="auto"/>
        <w:bottom w:val="none" w:sz="0" w:space="0" w:color="auto"/>
        <w:right w:val="none" w:sz="0" w:space="0" w:color="auto"/>
      </w:divBdr>
    </w:div>
    <w:div w:id="1984851434">
      <w:bodyDiv w:val="1"/>
      <w:marLeft w:val="0"/>
      <w:marRight w:val="0"/>
      <w:marTop w:val="0"/>
      <w:marBottom w:val="0"/>
      <w:divBdr>
        <w:top w:val="none" w:sz="0" w:space="0" w:color="auto"/>
        <w:left w:val="none" w:sz="0" w:space="0" w:color="auto"/>
        <w:bottom w:val="none" w:sz="0" w:space="0" w:color="auto"/>
        <w:right w:val="none" w:sz="0" w:space="0" w:color="auto"/>
      </w:divBdr>
    </w:div>
    <w:div w:id="1985772118">
      <w:bodyDiv w:val="1"/>
      <w:marLeft w:val="0"/>
      <w:marRight w:val="0"/>
      <w:marTop w:val="0"/>
      <w:marBottom w:val="0"/>
      <w:divBdr>
        <w:top w:val="none" w:sz="0" w:space="0" w:color="auto"/>
        <w:left w:val="none" w:sz="0" w:space="0" w:color="auto"/>
        <w:bottom w:val="none" w:sz="0" w:space="0" w:color="auto"/>
        <w:right w:val="none" w:sz="0" w:space="0" w:color="auto"/>
      </w:divBdr>
    </w:div>
    <w:div w:id="1986009304">
      <w:bodyDiv w:val="1"/>
      <w:marLeft w:val="0"/>
      <w:marRight w:val="0"/>
      <w:marTop w:val="0"/>
      <w:marBottom w:val="0"/>
      <w:divBdr>
        <w:top w:val="none" w:sz="0" w:space="0" w:color="auto"/>
        <w:left w:val="none" w:sz="0" w:space="0" w:color="auto"/>
        <w:bottom w:val="none" w:sz="0" w:space="0" w:color="auto"/>
        <w:right w:val="none" w:sz="0" w:space="0" w:color="auto"/>
      </w:divBdr>
    </w:div>
    <w:div w:id="1987084182">
      <w:bodyDiv w:val="1"/>
      <w:marLeft w:val="0"/>
      <w:marRight w:val="0"/>
      <w:marTop w:val="0"/>
      <w:marBottom w:val="0"/>
      <w:divBdr>
        <w:top w:val="none" w:sz="0" w:space="0" w:color="auto"/>
        <w:left w:val="none" w:sz="0" w:space="0" w:color="auto"/>
        <w:bottom w:val="none" w:sz="0" w:space="0" w:color="auto"/>
        <w:right w:val="none" w:sz="0" w:space="0" w:color="auto"/>
      </w:divBdr>
    </w:div>
    <w:div w:id="1987196705">
      <w:bodyDiv w:val="1"/>
      <w:marLeft w:val="0"/>
      <w:marRight w:val="0"/>
      <w:marTop w:val="0"/>
      <w:marBottom w:val="0"/>
      <w:divBdr>
        <w:top w:val="none" w:sz="0" w:space="0" w:color="auto"/>
        <w:left w:val="none" w:sz="0" w:space="0" w:color="auto"/>
        <w:bottom w:val="none" w:sz="0" w:space="0" w:color="auto"/>
        <w:right w:val="none" w:sz="0" w:space="0" w:color="auto"/>
      </w:divBdr>
    </w:div>
    <w:div w:id="1988900653">
      <w:bodyDiv w:val="1"/>
      <w:marLeft w:val="0"/>
      <w:marRight w:val="0"/>
      <w:marTop w:val="0"/>
      <w:marBottom w:val="0"/>
      <w:divBdr>
        <w:top w:val="none" w:sz="0" w:space="0" w:color="auto"/>
        <w:left w:val="none" w:sz="0" w:space="0" w:color="auto"/>
        <w:bottom w:val="none" w:sz="0" w:space="0" w:color="auto"/>
        <w:right w:val="none" w:sz="0" w:space="0" w:color="auto"/>
      </w:divBdr>
    </w:div>
    <w:div w:id="1989700427">
      <w:bodyDiv w:val="1"/>
      <w:marLeft w:val="0"/>
      <w:marRight w:val="0"/>
      <w:marTop w:val="0"/>
      <w:marBottom w:val="0"/>
      <w:divBdr>
        <w:top w:val="none" w:sz="0" w:space="0" w:color="auto"/>
        <w:left w:val="none" w:sz="0" w:space="0" w:color="auto"/>
        <w:bottom w:val="none" w:sz="0" w:space="0" w:color="auto"/>
        <w:right w:val="none" w:sz="0" w:space="0" w:color="auto"/>
      </w:divBdr>
    </w:div>
    <w:div w:id="1989748406">
      <w:bodyDiv w:val="1"/>
      <w:marLeft w:val="0"/>
      <w:marRight w:val="0"/>
      <w:marTop w:val="0"/>
      <w:marBottom w:val="0"/>
      <w:divBdr>
        <w:top w:val="none" w:sz="0" w:space="0" w:color="auto"/>
        <w:left w:val="none" w:sz="0" w:space="0" w:color="auto"/>
        <w:bottom w:val="none" w:sz="0" w:space="0" w:color="auto"/>
        <w:right w:val="none" w:sz="0" w:space="0" w:color="auto"/>
      </w:divBdr>
    </w:div>
    <w:div w:id="1990211241">
      <w:bodyDiv w:val="1"/>
      <w:marLeft w:val="0"/>
      <w:marRight w:val="0"/>
      <w:marTop w:val="0"/>
      <w:marBottom w:val="0"/>
      <w:divBdr>
        <w:top w:val="none" w:sz="0" w:space="0" w:color="auto"/>
        <w:left w:val="none" w:sz="0" w:space="0" w:color="auto"/>
        <w:bottom w:val="none" w:sz="0" w:space="0" w:color="auto"/>
        <w:right w:val="none" w:sz="0" w:space="0" w:color="auto"/>
      </w:divBdr>
    </w:div>
    <w:div w:id="1991014808">
      <w:bodyDiv w:val="1"/>
      <w:marLeft w:val="0"/>
      <w:marRight w:val="0"/>
      <w:marTop w:val="0"/>
      <w:marBottom w:val="0"/>
      <w:divBdr>
        <w:top w:val="none" w:sz="0" w:space="0" w:color="auto"/>
        <w:left w:val="none" w:sz="0" w:space="0" w:color="auto"/>
        <w:bottom w:val="none" w:sz="0" w:space="0" w:color="auto"/>
        <w:right w:val="none" w:sz="0" w:space="0" w:color="auto"/>
      </w:divBdr>
    </w:div>
    <w:div w:id="1991054589">
      <w:bodyDiv w:val="1"/>
      <w:marLeft w:val="0"/>
      <w:marRight w:val="0"/>
      <w:marTop w:val="0"/>
      <w:marBottom w:val="0"/>
      <w:divBdr>
        <w:top w:val="none" w:sz="0" w:space="0" w:color="auto"/>
        <w:left w:val="none" w:sz="0" w:space="0" w:color="auto"/>
        <w:bottom w:val="none" w:sz="0" w:space="0" w:color="auto"/>
        <w:right w:val="none" w:sz="0" w:space="0" w:color="auto"/>
      </w:divBdr>
    </w:div>
    <w:div w:id="1991246860">
      <w:bodyDiv w:val="1"/>
      <w:marLeft w:val="0"/>
      <w:marRight w:val="0"/>
      <w:marTop w:val="0"/>
      <w:marBottom w:val="0"/>
      <w:divBdr>
        <w:top w:val="none" w:sz="0" w:space="0" w:color="auto"/>
        <w:left w:val="none" w:sz="0" w:space="0" w:color="auto"/>
        <w:bottom w:val="none" w:sz="0" w:space="0" w:color="auto"/>
        <w:right w:val="none" w:sz="0" w:space="0" w:color="auto"/>
      </w:divBdr>
    </w:div>
    <w:div w:id="1991402326">
      <w:bodyDiv w:val="1"/>
      <w:marLeft w:val="0"/>
      <w:marRight w:val="0"/>
      <w:marTop w:val="0"/>
      <w:marBottom w:val="0"/>
      <w:divBdr>
        <w:top w:val="none" w:sz="0" w:space="0" w:color="auto"/>
        <w:left w:val="none" w:sz="0" w:space="0" w:color="auto"/>
        <w:bottom w:val="none" w:sz="0" w:space="0" w:color="auto"/>
        <w:right w:val="none" w:sz="0" w:space="0" w:color="auto"/>
      </w:divBdr>
    </w:div>
    <w:div w:id="1991515327">
      <w:bodyDiv w:val="1"/>
      <w:marLeft w:val="0"/>
      <w:marRight w:val="0"/>
      <w:marTop w:val="0"/>
      <w:marBottom w:val="0"/>
      <w:divBdr>
        <w:top w:val="none" w:sz="0" w:space="0" w:color="auto"/>
        <w:left w:val="none" w:sz="0" w:space="0" w:color="auto"/>
        <w:bottom w:val="none" w:sz="0" w:space="0" w:color="auto"/>
        <w:right w:val="none" w:sz="0" w:space="0" w:color="auto"/>
      </w:divBdr>
    </w:div>
    <w:div w:id="1991708706">
      <w:bodyDiv w:val="1"/>
      <w:marLeft w:val="0"/>
      <w:marRight w:val="0"/>
      <w:marTop w:val="0"/>
      <w:marBottom w:val="0"/>
      <w:divBdr>
        <w:top w:val="none" w:sz="0" w:space="0" w:color="auto"/>
        <w:left w:val="none" w:sz="0" w:space="0" w:color="auto"/>
        <w:bottom w:val="none" w:sz="0" w:space="0" w:color="auto"/>
        <w:right w:val="none" w:sz="0" w:space="0" w:color="auto"/>
      </w:divBdr>
    </w:div>
    <w:div w:id="1992173565">
      <w:bodyDiv w:val="1"/>
      <w:marLeft w:val="0"/>
      <w:marRight w:val="0"/>
      <w:marTop w:val="0"/>
      <w:marBottom w:val="0"/>
      <w:divBdr>
        <w:top w:val="none" w:sz="0" w:space="0" w:color="auto"/>
        <w:left w:val="none" w:sz="0" w:space="0" w:color="auto"/>
        <w:bottom w:val="none" w:sz="0" w:space="0" w:color="auto"/>
        <w:right w:val="none" w:sz="0" w:space="0" w:color="auto"/>
      </w:divBdr>
    </w:div>
    <w:div w:id="1992516756">
      <w:bodyDiv w:val="1"/>
      <w:marLeft w:val="0"/>
      <w:marRight w:val="0"/>
      <w:marTop w:val="0"/>
      <w:marBottom w:val="0"/>
      <w:divBdr>
        <w:top w:val="none" w:sz="0" w:space="0" w:color="auto"/>
        <w:left w:val="none" w:sz="0" w:space="0" w:color="auto"/>
        <w:bottom w:val="none" w:sz="0" w:space="0" w:color="auto"/>
        <w:right w:val="none" w:sz="0" w:space="0" w:color="auto"/>
      </w:divBdr>
    </w:div>
    <w:div w:id="1992522202">
      <w:bodyDiv w:val="1"/>
      <w:marLeft w:val="0"/>
      <w:marRight w:val="0"/>
      <w:marTop w:val="0"/>
      <w:marBottom w:val="0"/>
      <w:divBdr>
        <w:top w:val="none" w:sz="0" w:space="0" w:color="auto"/>
        <w:left w:val="none" w:sz="0" w:space="0" w:color="auto"/>
        <w:bottom w:val="none" w:sz="0" w:space="0" w:color="auto"/>
        <w:right w:val="none" w:sz="0" w:space="0" w:color="auto"/>
      </w:divBdr>
    </w:div>
    <w:div w:id="1992757486">
      <w:bodyDiv w:val="1"/>
      <w:marLeft w:val="0"/>
      <w:marRight w:val="0"/>
      <w:marTop w:val="0"/>
      <w:marBottom w:val="0"/>
      <w:divBdr>
        <w:top w:val="none" w:sz="0" w:space="0" w:color="auto"/>
        <w:left w:val="none" w:sz="0" w:space="0" w:color="auto"/>
        <w:bottom w:val="none" w:sz="0" w:space="0" w:color="auto"/>
        <w:right w:val="none" w:sz="0" w:space="0" w:color="auto"/>
      </w:divBdr>
    </w:div>
    <w:div w:id="1992976987">
      <w:bodyDiv w:val="1"/>
      <w:marLeft w:val="0"/>
      <w:marRight w:val="0"/>
      <w:marTop w:val="0"/>
      <w:marBottom w:val="0"/>
      <w:divBdr>
        <w:top w:val="none" w:sz="0" w:space="0" w:color="auto"/>
        <w:left w:val="none" w:sz="0" w:space="0" w:color="auto"/>
        <w:bottom w:val="none" w:sz="0" w:space="0" w:color="auto"/>
        <w:right w:val="none" w:sz="0" w:space="0" w:color="auto"/>
      </w:divBdr>
    </w:div>
    <w:div w:id="1993293944">
      <w:bodyDiv w:val="1"/>
      <w:marLeft w:val="0"/>
      <w:marRight w:val="0"/>
      <w:marTop w:val="0"/>
      <w:marBottom w:val="0"/>
      <w:divBdr>
        <w:top w:val="none" w:sz="0" w:space="0" w:color="auto"/>
        <w:left w:val="none" w:sz="0" w:space="0" w:color="auto"/>
        <w:bottom w:val="none" w:sz="0" w:space="0" w:color="auto"/>
        <w:right w:val="none" w:sz="0" w:space="0" w:color="auto"/>
      </w:divBdr>
    </w:div>
    <w:div w:id="1993487775">
      <w:bodyDiv w:val="1"/>
      <w:marLeft w:val="0"/>
      <w:marRight w:val="0"/>
      <w:marTop w:val="0"/>
      <w:marBottom w:val="0"/>
      <w:divBdr>
        <w:top w:val="none" w:sz="0" w:space="0" w:color="auto"/>
        <w:left w:val="none" w:sz="0" w:space="0" w:color="auto"/>
        <w:bottom w:val="none" w:sz="0" w:space="0" w:color="auto"/>
        <w:right w:val="none" w:sz="0" w:space="0" w:color="auto"/>
      </w:divBdr>
    </w:div>
    <w:div w:id="1993633359">
      <w:bodyDiv w:val="1"/>
      <w:marLeft w:val="0"/>
      <w:marRight w:val="0"/>
      <w:marTop w:val="0"/>
      <w:marBottom w:val="0"/>
      <w:divBdr>
        <w:top w:val="none" w:sz="0" w:space="0" w:color="auto"/>
        <w:left w:val="none" w:sz="0" w:space="0" w:color="auto"/>
        <w:bottom w:val="none" w:sz="0" w:space="0" w:color="auto"/>
        <w:right w:val="none" w:sz="0" w:space="0" w:color="auto"/>
      </w:divBdr>
    </w:div>
    <w:div w:id="1994065374">
      <w:bodyDiv w:val="1"/>
      <w:marLeft w:val="0"/>
      <w:marRight w:val="0"/>
      <w:marTop w:val="0"/>
      <w:marBottom w:val="0"/>
      <w:divBdr>
        <w:top w:val="none" w:sz="0" w:space="0" w:color="auto"/>
        <w:left w:val="none" w:sz="0" w:space="0" w:color="auto"/>
        <w:bottom w:val="none" w:sz="0" w:space="0" w:color="auto"/>
        <w:right w:val="none" w:sz="0" w:space="0" w:color="auto"/>
      </w:divBdr>
    </w:div>
    <w:div w:id="1994210955">
      <w:bodyDiv w:val="1"/>
      <w:marLeft w:val="0"/>
      <w:marRight w:val="0"/>
      <w:marTop w:val="0"/>
      <w:marBottom w:val="0"/>
      <w:divBdr>
        <w:top w:val="none" w:sz="0" w:space="0" w:color="auto"/>
        <w:left w:val="none" w:sz="0" w:space="0" w:color="auto"/>
        <w:bottom w:val="none" w:sz="0" w:space="0" w:color="auto"/>
        <w:right w:val="none" w:sz="0" w:space="0" w:color="auto"/>
      </w:divBdr>
    </w:div>
    <w:div w:id="1994334573">
      <w:bodyDiv w:val="1"/>
      <w:marLeft w:val="0"/>
      <w:marRight w:val="0"/>
      <w:marTop w:val="0"/>
      <w:marBottom w:val="0"/>
      <w:divBdr>
        <w:top w:val="none" w:sz="0" w:space="0" w:color="auto"/>
        <w:left w:val="none" w:sz="0" w:space="0" w:color="auto"/>
        <w:bottom w:val="none" w:sz="0" w:space="0" w:color="auto"/>
        <w:right w:val="none" w:sz="0" w:space="0" w:color="auto"/>
      </w:divBdr>
    </w:div>
    <w:div w:id="1994405877">
      <w:bodyDiv w:val="1"/>
      <w:marLeft w:val="0"/>
      <w:marRight w:val="0"/>
      <w:marTop w:val="0"/>
      <w:marBottom w:val="0"/>
      <w:divBdr>
        <w:top w:val="none" w:sz="0" w:space="0" w:color="auto"/>
        <w:left w:val="none" w:sz="0" w:space="0" w:color="auto"/>
        <w:bottom w:val="none" w:sz="0" w:space="0" w:color="auto"/>
        <w:right w:val="none" w:sz="0" w:space="0" w:color="auto"/>
      </w:divBdr>
    </w:div>
    <w:div w:id="1994748517">
      <w:bodyDiv w:val="1"/>
      <w:marLeft w:val="0"/>
      <w:marRight w:val="0"/>
      <w:marTop w:val="0"/>
      <w:marBottom w:val="0"/>
      <w:divBdr>
        <w:top w:val="none" w:sz="0" w:space="0" w:color="auto"/>
        <w:left w:val="none" w:sz="0" w:space="0" w:color="auto"/>
        <w:bottom w:val="none" w:sz="0" w:space="0" w:color="auto"/>
        <w:right w:val="none" w:sz="0" w:space="0" w:color="auto"/>
      </w:divBdr>
    </w:div>
    <w:div w:id="1995059311">
      <w:bodyDiv w:val="1"/>
      <w:marLeft w:val="0"/>
      <w:marRight w:val="0"/>
      <w:marTop w:val="0"/>
      <w:marBottom w:val="0"/>
      <w:divBdr>
        <w:top w:val="none" w:sz="0" w:space="0" w:color="auto"/>
        <w:left w:val="none" w:sz="0" w:space="0" w:color="auto"/>
        <w:bottom w:val="none" w:sz="0" w:space="0" w:color="auto"/>
        <w:right w:val="none" w:sz="0" w:space="0" w:color="auto"/>
      </w:divBdr>
    </w:div>
    <w:div w:id="1995060750">
      <w:bodyDiv w:val="1"/>
      <w:marLeft w:val="0"/>
      <w:marRight w:val="0"/>
      <w:marTop w:val="0"/>
      <w:marBottom w:val="0"/>
      <w:divBdr>
        <w:top w:val="none" w:sz="0" w:space="0" w:color="auto"/>
        <w:left w:val="none" w:sz="0" w:space="0" w:color="auto"/>
        <w:bottom w:val="none" w:sz="0" w:space="0" w:color="auto"/>
        <w:right w:val="none" w:sz="0" w:space="0" w:color="auto"/>
      </w:divBdr>
    </w:div>
    <w:div w:id="1995405749">
      <w:bodyDiv w:val="1"/>
      <w:marLeft w:val="0"/>
      <w:marRight w:val="0"/>
      <w:marTop w:val="0"/>
      <w:marBottom w:val="0"/>
      <w:divBdr>
        <w:top w:val="none" w:sz="0" w:space="0" w:color="auto"/>
        <w:left w:val="none" w:sz="0" w:space="0" w:color="auto"/>
        <w:bottom w:val="none" w:sz="0" w:space="0" w:color="auto"/>
        <w:right w:val="none" w:sz="0" w:space="0" w:color="auto"/>
      </w:divBdr>
    </w:div>
    <w:div w:id="1995797477">
      <w:bodyDiv w:val="1"/>
      <w:marLeft w:val="0"/>
      <w:marRight w:val="0"/>
      <w:marTop w:val="0"/>
      <w:marBottom w:val="0"/>
      <w:divBdr>
        <w:top w:val="none" w:sz="0" w:space="0" w:color="auto"/>
        <w:left w:val="none" w:sz="0" w:space="0" w:color="auto"/>
        <w:bottom w:val="none" w:sz="0" w:space="0" w:color="auto"/>
        <w:right w:val="none" w:sz="0" w:space="0" w:color="auto"/>
      </w:divBdr>
    </w:div>
    <w:div w:id="1996034151">
      <w:bodyDiv w:val="1"/>
      <w:marLeft w:val="0"/>
      <w:marRight w:val="0"/>
      <w:marTop w:val="0"/>
      <w:marBottom w:val="0"/>
      <w:divBdr>
        <w:top w:val="none" w:sz="0" w:space="0" w:color="auto"/>
        <w:left w:val="none" w:sz="0" w:space="0" w:color="auto"/>
        <w:bottom w:val="none" w:sz="0" w:space="0" w:color="auto"/>
        <w:right w:val="none" w:sz="0" w:space="0" w:color="auto"/>
      </w:divBdr>
    </w:div>
    <w:div w:id="1996058817">
      <w:bodyDiv w:val="1"/>
      <w:marLeft w:val="0"/>
      <w:marRight w:val="0"/>
      <w:marTop w:val="0"/>
      <w:marBottom w:val="0"/>
      <w:divBdr>
        <w:top w:val="none" w:sz="0" w:space="0" w:color="auto"/>
        <w:left w:val="none" w:sz="0" w:space="0" w:color="auto"/>
        <w:bottom w:val="none" w:sz="0" w:space="0" w:color="auto"/>
        <w:right w:val="none" w:sz="0" w:space="0" w:color="auto"/>
      </w:divBdr>
    </w:div>
    <w:div w:id="1996059692">
      <w:bodyDiv w:val="1"/>
      <w:marLeft w:val="0"/>
      <w:marRight w:val="0"/>
      <w:marTop w:val="0"/>
      <w:marBottom w:val="0"/>
      <w:divBdr>
        <w:top w:val="none" w:sz="0" w:space="0" w:color="auto"/>
        <w:left w:val="none" w:sz="0" w:space="0" w:color="auto"/>
        <w:bottom w:val="none" w:sz="0" w:space="0" w:color="auto"/>
        <w:right w:val="none" w:sz="0" w:space="0" w:color="auto"/>
      </w:divBdr>
    </w:div>
    <w:div w:id="1996298435">
      <w:bodyDiv w:val="1"/>
      <w:marLeft w:val="0"/>
      <w:marRight w:val="0"/>
      <w:marTop w:val="0"/>
      <w:marBottom w:val="0"/>
      <w:divBdr>
        <w:top w:val="none" w:sz="0" w:space="0" w:color="auto"/>
        <w:left w:val="none" w:sz="0" w:space="0" w:color="auto"/>
        <w:bottom w:val="none" w:sz="0" w:space="0" w:color="auto"/>
        <w:right w:val="none" w:sz="0" w:space="0" w:color="auto"/>
      </w:divBdr>
    </w:div>
    <w:div w:id="1996374091">
      <w:bodyDiv w:val="1"/>
      <w:marLeft w:val="0"/>
      <w:marRight w:val="0"/>
      <w:marTop w:val="0"/>
      <w:marBottom w:val="0"/>
      <w:divBdr>
        <w:top w:val="none" w:sz="0" w:space="0" w:color="auto"/>
        <w:left w:val="none" w:sz="0" w:space="0" w:color="auto"/>
        <w:bottom w:val="none" w:sz="0" w:space="0" w:color="auto"/>
        <w:right w:val="none" w:sz="0" w:space="0" w:color="auto"/>
      </w:divBdr>
    </w:div>
    <w:div w:id="1996374635">
      <w:bodyDiv w:val="1"/>
      <w:marLeft w:val="0"/>
      <w:marRight w:val="0"/>
      <w:marTop w:val="0"/>
      <w:marBottom w:val="0"/>
      <w:divBdr>
        <w:top w:val="none" w:sz="0" w:space="0" w:color="auto"/>
        <w:left w:val="none" w:sz="0" w:space="0" w:color="auto"/>
        <w:bottom w:val="none" w:sz="0" w:space="0" w:color="auto"/>
        <w:right w:val="none" w:sz="0" w:space="0" w:color="auto"/>
      </w:divBdr>
    </w:div>
    <w:div w:id="1996451701">
      <w:bodyDiv w:val="1"/>
      <w:marLeft w:val="0"/>
      <w:marRight w:val="0"/>
      <w:marTop w:val="0"/>
      <w:marBottom w:val="0"/>
      <w:divBdr>
        <w:top w:val="none" w:sz="0" w:space="0" w:color="auto"/>
        <w:left w:val="none" w:sz="0" w:space="0" w:color="auto"/>
        <w:bottom w:val="none" w:sz="0" w:space="0" w:color="auto"/>
        <w:right w:val="none" w:sz="0" w:space="0" w:color="auto"/>
      </w:divBdr>
    </w:div>
    <w:div w:id="1997100599">
      <w:bodyDiv w:val="1"/>
      <w:marLeft w:val="0"/>
      <w:marRight w:val="0"/>
      <w:marTop w:val="0"/>
      <w:marBottom w:val="0"/>
      <w:divBdr>
        <w:top w:val="none" w:sz="0" w:space="0" w:color="auto"/>
        <w:left w:val="none" w:sz="0" w:space="0" w:color="auto"/>
        <w:bottom w:val="none" w:sz="0" w:space="0" w:color="auto"/>
        <w:right w:val="none" w:sz="0" w:space="0" w:color="auto"/>
      </w:divBdr>
    </w:div>
    <w:div w:id="1997101401">
      <w:bodyDiv w:val="1"/>
      <w:marLeft w:val="0"/>
      <w:marRight w:val="0"/>
      <w:marTop w:val="0"/>
      <w:marBottom w:val="0"/>
      <w:divBdr>
        <w:top w:val="none" w:sz="0" w:space="0" w:color="auto"/>
        <w:left w:val="none" w:sz="0" w:space="0" w:color="auto"/>
        <w:bottom w:val="none" w:sz="0" w:space="0" w:color="auto"/>
        <w:right w:val="none" w:sz="0" w:space="0" w:color="auto"/>
      </w:divBdr>
    </w:div>
    <w:div w:id="1997103306">
      <w:bodyDiv w:val="1"/>
      <w:marLeft w:val="0"/>
      <w:marRight w:val="0"/>
      <w:marTop w:val="0"/>
      <w:marBottom w:val="0"/>
      <w:divBdr>
        <w:top w:val="none" w:sz="0" w:space="0" w:color="auto"/>
        <w:left w:val="none" w:sz="0" w:space="0" w:color="auto"/>
        <w:bottom w:val="none" w:sz="0" w:space="0" w:color="auto"/>
        <w:right w:val="none" w:sz="0" w:space="0" w:color="auto"/>
      </w:divBdr>
    </w:div>
    <w:div w:id="1997175339">
      <w:bodyDiv w:val="1"/>
      <w:marLeft w:val="0"/>
      <w:marRight w:val="0"/>
      <w:marTop w:val="0"/>
      <w:marBottom w:val="0"/>
      <w:divBdr>
        <w:top w:val="none" w:sz="0" w:space="0" w:color="auto"/>
        <w:left w:val="none" w:sz="0" w:space="0" w:color="auto"/>
        <w:bottom w:val="none" w:sz="0" w:space="0" w:color="auto"/>
        <w:right w:val="none" w:sz="0" w:space="0" w:color="auto"/>
      </w:divBdr>
    </w:div>
    <w:div w:id="1997293137">
      <w:bodyDiv w:val="1"/>
      <w:marLeft w:val="0"/>
      <w:marRight w:val="0"/>
      <w:marTop w:val="0"/>
      <w:marBottom w:val="0"/>
      <w:divBdr>
        <w:top w:val="none" w:sz="0" w:space="0" w:color="auto"/>
        <w:left w:val="none" w:sz="0" w:space="0" w:color="auto"/>
        <w:bottom w:val="none" w:sz="0" w:space="0" w:color="auto"/>
        <w:right w:val="none" w:sz="0" w:space="0" w:color="auto"/>
      </w:divBdr>
    </w:div>
    <w:div w:id="1997294689">
      <w:bodyDiv w:val="1"/>
      <w:marLeft w:val="0"/>
      <w:marRight w:val="0"/>
      <w:marTop w:val="0"/>
      <w:marBottom w:val="0"/>
      <w:divBdr>
        <w:top w:val="none" w:sz="0" w:space="0" w:color="auto"/>
        <w:left w:val="none" w:sz="0" w:space="0" w:color="auto"/>
        <w:bottom w:val="none" w:sz="0" w:space="0" w:color="auto"/>
        <w:right w:val="none" w:sz="0" w:space="0" w:color="auto"/>
      </w:divBdr>
    </w:div>
    <w:div w:id="1997490503">
      <w:bodyDiv w:val="1"/>
      <w:marLeft w:val="0"/>
      <w:marRight w:val="0"/>
      <w:marTop w:val="0"/>
      <w:marBottom w:val="0"/>
      <w:divBdr>
        <w:top w:val="none" w:sz="0" w:space="0" w:color="auto"/>
        <w:left w:val="none" w:sz="0" w:space="0" w:color="auto"/>
        <w:bottom w:val="none" w:sz="0" w:space="0" w:color="auto"/>
        <w:right w:val="none" w:sz="0" w:space="0" w:color="auto"/>
      </w:divBdr>
    </w:div>
    <w:div w:id="1997605715">
      <w:bodyDiv w:val="1"/>
      <w:marLeft w:val="0"/>
      <w:marRight w:val="0"/>
      <w:marTop w:val="0"/>
      <w:marBottom w:val="0"/>
      <w:divBdr>
        <w:top w:val="none" w:sz="0" w:space="0" w:color="auto"/>
        <w:left w:val="none" w:sz="0" w:space="0" w:color="auto"/>
        <w:bottom w:val="none" w:sz="0" w:space="0" w:color="auto"/>
        <w:right w:val="none" w:sz="0" w:space="0" w:color="auto"/>
      </w:divBdr>
    </w:div>
    <w:div w:id="1998144191">
      <w:bodyDiv w:val="1"/>
      <w:marLeft w:val="0"/>
      <w:marRight w:val="0"/>
      <w:marTop w:val="0"/>
      <w:marBottom w:val="0"/>
      <w:divBdr>
        <w:top w:val="none" w:sz="0" w:space="0" w:color="auto"/>
        <w:left w:val="none" w:sz="0" w:space="0" w:color="auto"/>
        <w:bottom w:val="none" w:sz="0" w:space="0" w:color="auto"/>
        <w:right w:val="none" w:sz="0" w:space="0" w:color="auto"/>
      </w:divBdr>
    </w:div>
    <w:div w:id="1998411374">
      <w:bodyDiv w:val="1"/>
      <w:marLeft w:val="0"/>
      <w:marRight w:val="0"/>
      <w:marTop w:val="0"/>
      <w:marBottom w:val="0"/>
      <w:divBdr>
        <w:top w:val="none" w:sz="0" w:space="0" w:color="auto"/>
        <w:left w:val="none" w:sz="0" w:space="0" w:color="auto"/>
        <w:bottom w:val="none" w:sz="0" w:space="0" w:color="auto"/>
        <w:right w:val="none" w:sz="0" w:space="0" w:color="auto"/>
      </w:divBdr>
    </w:div>
    <w:div w:id="1998726909">
      <w:bodyDiv w:val="1"/>
      <w:marLeft w:val="0"/>
      <w:marRight w:val="0"/>
      <w:marTop w:val="0"/>
      <w:marBottom w:val="0"/>
      <w:divBdr>
        <w:top w:val="none" w:sz="0" w:space="0" w:color="auto"/>
        <w:left w:val="none" w:sz="0" w:space="0" w:color="auto"/>
        <w:bottom w:val="none" w:sz="0" w:space="0" w:color="auto"/>
        <w:right w:val="none" w:sz="0" w:space="0" w:color="auto"/>
      </w:divBdr>
    </w:div>
    <w:div w:id="1999116282">
      <w:bodyDiv w:val="1"/>
      <w:marLeft w:val="0"/>
      <w:marRight w:val="0"/>
      <w:marTop w:val="0"/>
      <w:marBottom w:val="0"/>
      <w:divBdr>
        <w:top w:val="none" w:sz="0" w:space="0" w:color="auto"/>
        <w:left w:val="none" w:sz="0" w:space="0" w:color="auto"/>
        <w:bottom w:val="none" w:sz="0" w:space="0" w:color="auto"/>
        <w:right w:val="none" w:sz="0" w:space="0" w:color="auto"/>
      </w:divBdr>
    </w:div>
    <w:div w:id="1999141855">
      <w:bodyDiv w:val="1"/>
      <w:marLeft w:val="0"/>
      <w:marRight w:val="0"/>
      <w:marTop w:val="0"/>
      <w:marBottom w:val="0"/>
      <w:divBdr>
        <w:top w:val="none" w:sz="0" w:space="0" w:color="auto"/>
        <w:left w:val="none" w:sz="0" w:space="0" w:color="auto"/>
        <w:bottom w:val="none" w:sz="0" w:space="0" w:color="auto"/>
        <w:right w:val="none" w:sz="0" w:space="0" w:color="auto"/>
      </w:divBdr>
    </w:div>
    <w:div w:id="1999528820">
      <w:bodyDiv w:val="1"/>
      <w:marLeft w:val="0"/>
      <w:marRight w:val="0"/>
      <w:marTop w:val="0"/>
      <w:marBottom w:val="0"/>
      <w:divBdr>
        <w:top w:val="none" w:sz="0" w:space="0" w:color="auto"/>
        <w:left w:val="none" w:sz="0" w:space="0" w:color="auto"/>
        <w:bottom w:val="none" w:sz="0" w:space="0" w:color="auto"/>
        <w:right w:val="none" w:sz="0" w:space="0" w:color="auto"/>
      </w:divBdr>
    </w:div>
    <w:div w:id="1999844714">
      <w:bodyDiv w:val="1"/>
      <w:marLeft w:val="0"/>
      <w:marRight w:val="0"/>
      <w:marTop w:val="0"/>
      <w:marBottom w:val="0"/>
      <w:divBdr>
        <w:top w:val="none" w:sz="0" w:space="0" w:color="auto"/>
        <w:left w:val="none" w:sz="0" w:space="0" w:color="auto"/>
        <w:bottom w:val="none" w:sz="0" w:space="0" w:color="auto"/>
        <w:right w:val="none" w:sz="0" w:space="0" w:color="auto"/>
      </w:divBdr>
    </w:div>
    <w:div w:id="1999962423">
      <w:bodyDiv w:val="1"/>
      <w:marLeft w:val="0"/>
      <w:marRight w:val="0"/>
      <w:marTop w:val="0"/>
      <w:marBottom w:val="0"/>
      <w:divBdr>
        <w:top w:val="none" w:sz="0" w:space="0" w:color="auto"/>
        <w:left w:val="none" w:sz="0" w:space="0" w:color="auto"/>
        <w:bottom w:val="none" w:sz="0" w:space="0" w:color="auto"/>
        <w:right w:val="none" w:sz="0" w:space="0" w:color="auto"/>
      </w:divBdr>
    </w:div>
    <w:div w:id="1999963283">
      <w:bodyDiv w:val="1"/>
      <w:marLeft w:val="0"/>
      <w:marRight w:val="0"/>
      <w:marTop w:val="0"/>
      <w:marBottom w:val="0"/>
      <w:divBdr>
        <w:top w:val="none" w:sz="0" w:space="0" w:color="auto"/>
        <w:left w:val="none" w:sz="0" w:space="0" w:color="auto"/>
        <w:bottom w:val="none" w:sz="0" w:space="0" w:color="auto"/>
        <w:right w:val="none" w:sz="0" w:space="0" w:color="auto"/>
      </w:divBdr>
    </w:div>
    <w:div w:id="2000226631">
      <w:bodyDiv w:val="1"/>
      <w:marLeft w:val="0"/>
      <w:marRight w:val="0"/>
      <w:marTop w:val="0"/>
      <w:marBottom w:val="0"/>
      <w:divBdr>
        <w:top w:val="none" w:sz="0" w:space="0" w:color="auto"/>
        <w:left w:val="none" w:sz="0" w:space="0" w:color="auto"/>
        <w:bottom w:val="none" w:sz="0" w:space="0" w:color="auto"/>
        <w:right w:val="none" w:sz="0" w:space="0" w:color="auto"/>
      </w:divBdr>
    </w:div>
    <w:div w:id="2000234355">
      <w:bodyDiv w:val="1"/>
      <w:marLeft w:val="0"/>
      <w:marRight w:val="0"/>
      <w:marTop w:val="0"/>
      <w:marBottom w:val="0"/>
      <w:divBdr>
        <w:top w:val="none" w:sz="0" w:space="0" w:color="auto"/>
        <w:left w:val="none" w:sz="0" w:space="0" w:color="auto"/>
        <w:bottom w:val="none" w:sz="0" w:space="0" w:color="auto"/>
        <w:right w:val="none" w:sz="0" w:space="0" w:color="auto"/>
      </w:divBdr>
    </w:div>
    <w:div w:id="2001300946">
      <w:bodyDiv w:val="1"/>
      <w:marLeft w:val="0"/>
      <w:marRight w:val="0"/>
      <w:marTop w:val="0"/>
      <w:marBottom w:val="0"/>
      <w:divBdr>
        <w:top w:val="none" w:sz="0" w:space="0" w:color="auto"/>
        <w:left w:val="none" w:sz="0" w:space="0" w:color="auto"/>
        <w:bottom w:val="none" w:sz="0" w:space="0" w:color="auto"/>
        <w:right w:val="none" w:sz="0" w:space="0" w:color="auto"/>
      </w:divBdr>
    </w:div>
    <w:div w:id="2001539306">
      <w:bodyDiv w:val="1"/>
      <w:marLeft w:val="0"/>
      <w:marRight w:val="0"/>
      <w:marTop w:val="0"/>
      <w:marBottom w:val="0"/>
      <w:divBdr>
        <w:top w:val="none" w:sz="0" w:space="0" w:color="auto"/>
        <w:left w:val="none" w:sz="0" w:space="0" w:color="auto"/>
        <w:bottom w:val="none" w:sz="0" w:space="0" w:color="auto"/>
        <w:right w:val="none" w:sz="0" w:space="0" w:color="auto"/>
      </w:divBdr>
    </w:div>
    <w:div w:id="2001544244">
      <w:bodyDiv w:val="1"/>
      <w:marLeft w:val="0"/>
      <w:marRight w:val="0"/>
      <w:marTop w:val="0"/>
      <w:marBottom w:val="0"/>
      <w:divBdr>
        <w:top w:val="none" w:sz="0" w:space="0" w:color="auto"/>
        <w:left w:val="none" w:sz="0" w:space="0" w:color="auto"/>
        <w:bottom w:val="none" w:sz="0" w:space="0" w:color="auto"/>
        <w:right w:val="none" w:sz="0" w:space="0" w:color="auto"/>
      </w:divBdr>
    </w:div>
    <w:div w:id="2001612861">
      <w:bodyDiv w:val="1"/>
      <w:marLeft w:val="0"/>
      <w:marRight w:val="0"/>
      <w:marTop w:val="0"/>
      <w:marBottom w:val="0"/>
      <w:divBdr>
        <w:top w:val="none" w:sz="0" w:space="0" w:color="auto"/>
        <w:left w:val="none" w:sz="0" w:space="0" w:color="auto"/>
        <w:bottom w:val="none" w:sz="0" w:space="0" w:color="auto"/>
        <w:right w:val="none" w:sz="0" w:space="0" w:color="auto"/>
      </w:divBdr>
    </w:div>
    <w:div w:id="2001613186">
      <w:bodyDiv w:val="1"/>
      <w:marLeft w:val="0"/>
      <w:marRight w:val="0"/>
      <w:marTop w:val="0"/>
      <w:marBottom w:val="0"/>
      <w:divBdr>
        <w:top w:val="none" w:sz="0" w:space="0" w:color="auto"/>
        <w:left w:val="none" w:sz="0" w:space="0" w:color="auto"/>
        <w:bottom w:val="none" w:sz="0" w:space="0" w:color="auto"/>
        <w:right w:val="none" w:sz="0" w:space="0" w:color="auto"/>
      </w:divBdr>
    </w:div>
    <w:div w:id="2002464417">
      <w:bodyDiv w:val="1"/>
      <w:marLeft w:val="0"/>
      <w:marRight w:val="0"/>
      <w:marTop w:val="0"/>
      <w:marBottom w:val="0"/>
      <w:divBdr>
        <w:top w:val="none" w:sz="0" w:space="0" w:color="auto"/>
        <w:left w:val="none" w:sz="0" w:space="0" w:color="auto"/>
        <w:bottom w:val="none" w:sz="0" w:space="0" w:color="auto"/>
        <w:right w:val="none" w:sz="0" w:space="0" w:color="auto"/>
      </w:divBdr>
    </w:div>
    <w:div w:id="2002613257">
      <w:bodyDiv w:val="1"/>
      <w:marLeft w:val="0"/>
      <w:marRight w:val="0"/>
      <w:marTop w:val="0"/>
      <w:marBottom w:val="0"/>
      <w:divBdr>
        <w:top w:val="none" w:sz="0" w:space="0" w:color="auto"/>
        <w:left w:val="none" w:sz="0" w:space="0" w:color="auto"/>
        <w:bottom w:val="none" w:sz="0" w:space="0" w:color="auto"/>
        <w:right w:val="none" w:sz="0" w:space="0" w:color="auto"/>
      </w:divBdr>
    </w:div>
    <w:div w:id="2003390811">
      <w:bodyDiv w:val="1"/>
      <w:marLeft w:val="0"/>
      <w:marRight w:val="0"/>
      <w:marTop w:val="0"/>
      <w:marBottom w:val="0"/>
      <w:divBdr>
        <w:top w:val="none" w:sz="0" w:space="0" w:color="auto"/>
        <w:left w:val="none" w:sz="0" w:space="0" w:color="auto"/>
        <w:bottom w:val="none" w:sz="0" w:space="0" w:color="auto"/>
        <w:right w:val="none" w:sz="0" w:space="0" w:color="auto"/>
      </w:divBdr>
    </w:div>
    <w:div w:id="2003391842">
      <w:bodyDiv w:val="1"/>
      <w:marLeft w:val="0"/>
      <w:marRight w:val="0"/>
      <w:marTop w:val="0"/>
      <w:marBottom w:val="0"/>
      <w:divBdr>
        <w:top w:val="none" w:sz="0" w:space="0" w:color="auto"/>
        <w:left w:val="none" w:sz="0" w:space="0" w:color="auto"/>
        <w:bottom w:val="none" w:sz="0" w:space="0" w:color="auto"/>
        <w:right w:val="none" w:sz="0" w:space="0" w:color="auto"/>
      </w:divBdr>
    </w:div>
    <w:div w:id="2003506335">
      <w:bodyDiv w:val="1"/>
      <w:marLeft w:val="0"/>
      <w:marRight w:val="0"/>
      <w:marTop w:val="0"/>
      <w:marBottom w:val="0"/>
      <w:divBdr>
        <w:top w:val="none" w:sz="0" w:space="0" w:color="auto"/>
        <w:left w:val="none" w:sz="0" w:space="0" w:color="auto"/>
        <w:bottom w:val="none" w:sz="0" w:space="0" w:color="auto"/>
        <w:right w:val="none" w:sz="0" w:space="0" w:color="auto"/>
      </w:divBdr>
    </w:div>
    <w:div w:id="2004695036">
      <w:bodyDiv w:val="1"/>
      <w:marLeft w:val="0"/>
      <w:marRight w:val="0"/>
      <w:marTop w:val="0"/>
      <w:marBottom w:val="0"/>
      <w:divBdr>
        <w:top w:val="none" w:sz="0" w:space="0" w:color="auto"/>
        <w:left w:val="none" w:sz="0" w:space="0" w:color="auto"/>
        <w:bottom w:val="none" w:sz="0" w:space="0" w:color="auto"/>
        <w:right w:val="none" w:sz="0" w:space="0" w:color="auto"/>
      </w:divBdr>
    </w:div>
    <w:div w:id="2004696445">
      <w:bodyDiv w:val="1"/>
      <w:marLeft w:val="0"/>
      <w:marRight w:val="0"/>
      <w:marTop w:val="0"/>
      <w:marBottom w:val="0"/>
      <w:divBdr>
        <w:top w:val="none" w:sz="0" w:space="0" w:color="auto"/>
        <w:left w:val="none" w:sz="0" w:space="0" w:color="auto"/>
        <w:bottom w:val="none" w:sz="0" w:space="0" w:color="auto"/>
        <w:right w:val="none" w:sz="0" w:space="0" w:color="auto"/>
      </w:divBdr>
    </w:div>
    <w:div w:id="2004700202">
      <w:bodyDiv w:val="1"/>
      <w:marLeft w:val="0"/>
      <w:marRight w:val="0"/>
      <w:marTop w:val="0"/>
      <w:marBottom w:val="0"/>
      <w:divBdr>
        <w:top w:val="none" w:sz="0" w:space="0" w:color="auto"/>
        <w:left w:val="none" w:sz="0" w:space="0" w:color="auto"/>
        <w:bottom w:val="none" w:sz="0" w:space="0" w:color="auto"/>
        <w:right w:val="none" w:sz="0" w:space="0" w:color="auto"/>
      </w:divBdr>
    </w:div>
    <w:div w:id="2004972684">
      <w:bodyDiv w:val="1"/>
      <w:marLeft w:val="0"/>
      <w:marRight w:val="0"/>
      <w:marTop w:val="0"/>
      <w:marBottom w:val="0"/>
      <w:divBdr>
        <w:top w:val="none" w:sz="0" w:space="0" w:color="auto"/>
        <w:left w:val="none" w:sz="0" w:space="0" w:color="auto"/>
        <w:bottom w:val="none" w:sz="0" w:space="0" w:color="auto"/>
        <w:right w:val="none" w:sz="0" w:space="0" w:color="auto"/>
      </w:divBdr>
    </w:div>
    <w:div w:id="2005428794">
      <w:bodyDiv w:val="1"/>
      <w:marLeft w:val="0"/>
      <w:marRight w:val="0"/>
      <w:marTop w:val="0"/>
      <w:marBottom w:val="0"/>
      <w:divBdr>
        <w:top w:val="none" w:sz="0" w:space="0" w:color="auto"/>
        <w:left w:val="none" w:sz="0" w:space="0" w:color="auto"/>
        <w:bottom w:val="none" w:sz="0" w:space="0" w:color="auto"/>
        <w:right w:val="none" w:sz="0" w:space="0" w:color="auto"/>
      </w:divBdr>
    </w:div>
    <w:div w:id="2006856223">
      <w:bodyDiv w:val="1"/>
      <w:marLeft w:val="0"/>
      <w:marRight w:val="0"/>
      <w:marTop w:val="0"/>
      <w:marBottom w:val="0"/>
      <w:divBdr>
        <w:top w:val="none" w:sz="0" w:space="0" w:color="auto"/>
        <w:left w:val="none" w:sz="0" w:space="0" w:color="auto"/>
        <w:bottom w:val="none" w:sz="0" w:space="0" w:color="auto"/>
        <w:right w:val="none" w:sz="0" w:space="0" w:color="auto"/>
      </w:divBdr>
    </w:div>
    <w:div w:id="2007123336">
      <w:bodyDiv w:val="1"/>
      <w:marLeft w:val="0"/>
      <w:marRight w:val="0"/>
      <w:marTop w:val="0"/>
      <w:marBottom w:val="0"/>
      <w:divBdr>
        <w:top w:val="none" w:sz="0" w:space="0" w:color="auto"/>
        <w:left w:val="none" w:sz="0" w:space="0" w:color="auto"/>
        <w:bottom w:val="none" w:sz="0" w:space="0" w:color="auto"/>
        <w:right w:val="none" w:sz="0" w:space="0" w:color="auto"/>
      </w:divBdr>
    </w:div>
    <w:div w:id="2007130130">
      <w:bodyDiv w:val="1"/>
      <w:marLeft w:val="0"/>
      <w:marRight w:val="0"/>
      <w:marTop w:val="0"/>
      <w:marBottom w:val="0"/>
      <w:divBdr>
        <w:top w:val="none" w:sz="0" w:space="0" w:color="auto"/>
        <w:left w:val="none" w:sz="0" w:space="0" w:color="auto"/>
        <w:bottom w:val="none" w:sz="0" w:space="0" w:color="auto"/>
        <w:right w:val="none" w:sz="0" w:space="0" w:color="auto"/>
      </w:divBdr>
    </w:div>
    <w:div w:id="2007440006">
      <w:bodyDiv w:val="1"/>
      <w:marLeft w:val="0"/>
      <w:marRight w:val="0"/>
      <w:marTop w:val="0"/>
      <w:marBottom w:val="0"/>
      <w:divBdr>
        <w:top w:val="none" w:sz="0" w:space="0" w:color="auto"/>
        <w:left w:val="none" w:sz="0" w:space="0" w:color="auto"/>
        <w:bottom w:val="none" w:sz="0" w:space="0" w:color="auto"/>
        <w:right w:val="none" w:sz="0" w:space="0" w:color="auto"/>
      </w:divBdr>
    </w:div>
    <w:div w:id="2008702008">
      <w:bodyDiv w:val="1"/>
      <w:marLeft w:val="0"/>
      <w:marRight w:val="0"/>
      <w:marTop w:val="0"/>
      <w:marBottom w:val="0"/>
      <w:divBdr>
        <w:top w:val="none" w:sz="0" w:space="0" w:color="auto"/>
        <w:left w:val="none" w:sz="0" w:space="0" w:color="auto"/>
        <w:bottom w:val="none" w:sz="0" w:space="0" w:color="auto"/>
        <w:right w:val="none" w:sz="0" w:space="0" w:color="auto"/>
      </w:divBdr>
    </w:div>
    <w:div w:id="2009477700">
      <w:bodyDiv w:val="1"/>
      <w:marLeft w:val="0"/>
      <w:marRight w:val="0"/>
      <w:marTop w:val="0"/>
      <w:marBottom w:val="0"/>
      <w:divBdr>
        <w:top w:val="none" w:sz="0" w:space="0" w:color="auto"/>
        <w:left w:val="none" w:sz="0" w:space="0" w:color="auto"/>
        <w:bottom w:val="none" w:sz="0" w:space="0" w:color="auto"/>
        <w:right w:val="none" w:sz="0" w:space="0" w:color="auto"/>
      </w:divBdr>
    </w:div>
    <w:div w:id="2009550384">
      <w:bodyDiv w:val="1"/>
      <w:marLeft w:val="0"/>
      <w:marRight w:val="0"/>
      <w:marTop w:val="0"/>
      <w:marBottom w:val="0"/>
      <w:divBdr>
        <w:top w:val="none" w:sz="0" w:space="0" w:color="auto"/>
        <w:left w:val="none" w:sz="0" w:space="0" w:color="auto"/>
        <w:bottom w:val="none" w:sz="0" w:space="0" w:color="auto"/>
        <w:right w:val="none" w:sz="0" w:space="0" w:color="auto"/>
      </w:divBdr>
    </w:div>
    <w:div w:id="2009675723">
      <w:bodyDiv w:val="1"/>
      <w:marLeft w:val="0"/>
      <w:marRight w:val="0"/>
      <w:marTop w:val="0"/>
      <w:marBottom w:val="0"/>
      <w:divBdr>
        <w:top w:val="none" w:sz="0" w:space="0" w:color="auto"/>
        <w:left w:val="none" w:sz="0" w:space="0" w:color="auto"/>
        <w:bottom w:val="none" w:sz="0" w:space="0" w:color="auto"/>
        <w:right w:val="none" w:sz="0" w:space="0" w:color="auto"/>
      </w:divBdr>
    </w:div>
    <w:div w:id="2009751443">
      <w:bodyDiv w:val="1"/>
      <w:marLeft w:val="0"/>
      <w:marRight w:val="0"/>
      <w:marTop w:val="0"/>
      <w:marBottom w:val="0"/>
      <w:divBdr>
        <w:top w:val="none" w:sz="0" w:space="0" w:color="auto"/>
        <w:left w:val="none" w:sz="0" w:space="0" w:color="auto"/>
        <w:bottom w:val="none" w:sz="0" w:space="0" w:color="auto"/>
        <w:right w:val="none" w:sz="0" w:space="0" w:color="auto"/>
      </w:divBdr>
    </w:div>
    <w:div w:id="2010280625">
      <w:bodyDiv w:val="1"/>
      <w:marLeft w:val="0"/>
      <w:marRight w:val="0"/>
      <w:marTop w:val="0"/>
      <w:marBottom w:val="0"/>
      <w:divBdr>
        <w:top w:val="none" w:sz="0" w:space="0" w:color="auto"/>
        <w:left w:val="none" w:sz="0" w:space="0" w:color="auto"/>
        <w:bottom w:val="none" w:sz="0" w:space="0" w:color="auto"/>
        <w:right w:val="none" w:sz="0" w:space="0" w:color="auto"/>
      </w:divBdr>
    </w:div>
    <w:div w:id="2010790647">
      <w:bodyDiv w:val="1"/>
      <w:marLeft w:val="0"/>
      <w:marRight w:val="0"/>
      <w:marTop w:val="0"/>
      <w:marBottom w:val="0"/>
      <w:divBdr>
        <w:top w:val="none" w:sz="0" w:space="0" w:color="auto"/>
        <w:left w:val="none" w:sz="0" w:space="0" w:color="auto"/>
        <w:bottom w:val="none" w:sz="0" w:space="0" w:color="auto"/>
        <w:right w:val="none" w:sz="0" w:space="0" w:color="auto"/>
      </w:divBdr>
    </w:div>
    <w:div w:id="2011063022">
      <w:bodyDiv w:val="1"/>
      <w:marLeft w:val="0"/>
      <w:marRight w:val="0"/>
      <w:marTop w:val="0"/>
      <w:marBottom w:val="0"/>
      <w:divBdr>
        <w:top w:val="none" w:sz="0" w:space="0" w:color="auto"/>
        <w:left w:val="none" w:sz="0" w:space="0" w:color="auto"/>
        <w:bottom w:val="none" w:sz="0" w:space="0" w:color="auto"/>
        <w:right w:val="none" w:sz="0" w:space="0" w:color="auto"/>
      </w:divBdr>
    </w:div>
    <w:div w:id="2011176597">
      <w:bodyDiv w:val="1"/>
      <w:marLeft w:val="0"/>
      <w:marRight w:val="0"/>
      <w:marTop w:val="0"/>
      <w:marBottom w:val="0"/>
      <w:divBdr>
        <w:top w:val="none" w:sz="0" w:space="0" w:color="auto"/>
        <w:left w:val="none" w:sz="0" w:space="0" w:color="auto"/>
        <w:bottom w:val="none" w:sz="0" w:space="0" w:color="auto"/>
        <w:right w:val="none" w:sz="0" w:space="0" w:color="auto"/>
      </w:divBdr>
    </w:div>
    <w:div w:id="2011324726">
      <w:bodyDiv w:val="1"/>
      <w:marLeft w:val="0"/>
      <w:marRight w:val="0"/>
      <w:marTop w:val="0"/>
      <w:marBottom w:val="0"/>
      <w:divBdr>
        <w:top w:val="none" w:sz="0" w:space="0" w:color="auto"/>
        <w:left w:val="none" w:sz="0" w:space="0" w:color="auto"/>
        <w:bottom w:val="none" w:sz="0" w:space="0" w:color="auto"/>
        <w:right w:val="none" w:sz="0" w:space="0" w:color="auto"/>
      </w:divBdr>
    </w:div>
    <w:div w:id="2011325404">
      <w:bodyDiv w:val="1"/>
      <w:marLeft w:val="0"/>
      <w:marRight w:val="0"/>
      <w:marTop w:val="0"/>
      <w:marBottom w:val="0"/>
      <w:divBdr>
        <w:top w:val="none" w:sz="0" w:space="0" w:color="auto"/>
        <w:left w:val="none" w:sz="0" w:space="0" w:color="auto"/>
        <w:bottom w:val="none" w:sz="0" w:space="0" w:color="auto"/>
        <w:right w:val="none" w:sz="0" w:space="0" w:color="auto"/>
      </w:divBdr>
    </w:div>
    <w:div w:id="2011831283">
      <w:bodyDiv w:val="1"/>
      <w:marLeft w:val="0"/>
      <w:marRight w:val="0"/>
      <w:marTop w:val="0"/>
      <w:marBottom w:val="0"/>
      <w:divBdr>
        <w:top w:val="none" w:sz="0" w:space="0" w:color="auto"/>
        <w:left w:val="none" w:sz="0" w:space="0" w:color="auto"/>
        <w:bottom w:val="none" w:sz="0" w:space="0" w:color="auto"/>
        <w:right w:val="none" w:sz="0" w:space="0" w:color="auto"/>
      </w:divBdr>
    </w:div>
    <w:div w:id="2012104968">
      <w:bodyDiv w:val="1"/>
      <w:marLeft w:val="0"/>
      <w:marRight w:val="0"/>
      <w:marTop w:val="0"/>
      <w:marBottom w:val="0"/>
      <w:divBdr>
        <w:top w:val="none" w:sz="0" w:space="0" w:color="auto"/>
        <w:left w:val="none" w:sz="0" w:space="0" w:color="auto"/>
        <w:bottom w:val="none" w:sz="0" w:space="0" w:color="auto"/>
        <w:right w:val="none" w:sz="0" w:space="0" w:color="auto"/>
      </w:divBdr>
    </w:div>
    <w:div w:id="2012440907">
      <w:bodyDiv w:val="1"/>
      <w:marLeft w:val="0"/>
      <w:marRight w:val="0"/>
      <w:marTop w:val="0"/>
      <w:marBottom w:val="0"/>
      <w:divBdr>
        <w:top w:val="none" w:sz="0" w:space="0" w:color="auto"/>
        <w:left w:val="none" w:sz="0" w:space="0" w:color="auto"/>
        <w:bottom w:val="none" w:sz="0" w:space="0" w:color="auto"/>
        <w:right w:val="none" w:sz="0" w:space="0" w:color="auto"/>
      </w:divBdr>
    </w:div>
    <w:div w:id="2012488413">
      <w:bodyDiv w:val="1"/>
      <w:marLeft w:val="0"/>
      <w:marRight w:val="0"/>
      <w:marTop w:val="0"/>
      <w:marBottom w:val="0"/>
      <w:divBdr>
        <w:top w:val="none" w:sz="0" w:space="0" w:color="auto"/>
        <w:left w:val="none" w:sz="0" w:space="0" w:color="auto"/>
        <w:bottom w:val="none" w:sz="0" w:space="0" w:color="auto"/>
        <w:right w:val="none" w:sz="0" w:space="0" w:color="auto"/>
      </w:divBdr>
    </w:div>
    <w:div w:id="2012634531">
      <w:bodyDiv w:val="1"/>
      <w:marLeft w:val="0"/>
      <w:marRight w:val="0"/>
      <w:marTop w:val="0"/>
      <w:marBottom w:val="0"/>
      <w:divBdr>
        <w:top w:val="none" w:sz="0" w:space="0" w:color="auto"/>
        <w:left w:val="none" w:sz="0" w:space="0" w:color="auto"/>
        <w:bottom w:val="none" w:sz="0" w:space="0" w:color="auto"/>
        <w:right w:val="none" w:sz="0" w:space="0" w:color="auto"/>
      </w:divBdr>
    </w:div>
    <w:div w:id="2012634774">
      <w:bodyDiv w:val="1"/>
      <w:marLeft w:val="0"/>
      <w:marRight w:val="0"/>
      <w:marTop w:val="0"/>
      <w:marBottom w:val="0"/>
      <w:divBdr>
        <w:top w:val="none" w:sz="0" w:space="0" w:color="auto"/>
        <w:left w:val="none" w:sz="0" w:space="0" w:color="auto"/>
        <w:bottom w:val="none" w:sz="0" w:space="0" w:color="auto"/>
        <w:right w:val="none" w:sz="0" w:space="0" w:color="auto"/>
      </w:divBdr>
    </w:div>
    <w:div w:id="2012758252">
      <w:bodyDiv w:val="1"/>
      <w:marLeft w:val="0"/>
      <w:marRight w:val="0"/>
      <w:marTop w:val="0"/>
      <w:marBottom w:val="0"/>
      <w:divBdr>
        <w:top w:val="none" w:sz="0" w:space="0" w:color="auto"/>
        <w:left w:val="none" w:sz="0" w:space="0" w:color="auto"/>
        <w:bottom w:val="none" w:sz="0" w:space="0" w:color="auto"/>
        <w:right w:val="none" w:sz="0" w:space="0" w:color="auto"/>
      </w:divBdr>
    </w:div>
    <w:div w:id="2013680128">
      <w:bodyDiv w:val="1"/>
      <w:marLeft w:val="0"/>
      <w:marRight w:val="0"/>
      <w:marTop w:val="0"/>
      <w:marBottom w:val="0"/>
      <w:divBdr>
        <w:top w:val="none" w:sz="0" w:space="0" w:color="auto"/>
        <w:left w:val="none" w:sz="0" w:space="0" w:color="auto"/>
        <w:bottom w:val="none" w:sz="0" w:space="0" w:color="auto"/>
        <w:right w:val="none" w:sz="0" w:space="0" w:color="auto"/>
      </w:divBdr>
    </w:div>
    <w:div w:id="2013987283">
      <w:bodyDiv w:val="1"/>
      <w:marLeft w:val="0"/>
      <w:marRight w:val="0"/>
      <w:marTop w:val="0"/>
      <w:marBottom w:val="0"/>
      <w:divBdr>
        <w:top w:val="none" w:sz="0" w:space="0" w:color="auto"/>
        <w:left w:val="none" w:sz="0" w:space="0" w:color="auto"/>
        <w:bottom w:val="none" w:sz="0" w:space="0" w:color="auto"/>
        <w:right w:val="none" w:sz="0" w:space="0" w:color="auto"/>
      </w:divBdr>
    </w:div>
    <w:div w:id="2013992827">
      <w:bodyDiv w:val="1"/>
      <w:marLeft w:val="0"/>
      <w:marRight w:val="0"/>
      <w:marTop w:val="0"/>
      <w:marBottom w:val="0"/>
      <w:divBdr>
        <w:top w:val="none" w:sz="0" w:space="0" w:color="auto"/>
        <w:left w:val="none" w:sz="0" w:space="0" w:color="auto"/>
        <w:bottom w:val="none" w:sz="0" w:space="0" w:color="auto"/>
        <w:right w:val="none" w:sz="0" w:space="0" w:color="auto"/>
      </w:divBdr>
    </w:div>
    <w:div w:id="2014069486">
      <w:bodyDiv w:val="1"/>
      <w:marLeft w:val="0"/>
      <w:marRight w:val="0"/>
      <w:marTop w:val="0"/>
      <w:marBottom w:val="0"/>
      <w:divBdr>
        <w:top w:val="none" w:sz="0" w:space="0" w:color="auto"/>
        <w:left w:val="none" w:sz="0" w:space="0" w:color="auto"/>
        <w:bottom w:val="none" w:sz="0" w:space="0" w:color="auto"/>
        <w:right w:val="none" w:sz="0" w:space="0" w:color="auto"/>
      </w:divBdr>
    </w:div>
    <w:div w:id="2014338954">
      <w:bodyDiv w:val="1"/>
      <w:marLeft w:val="0"/>
      <w:marRight w:val="0"/>
      <w:marTop w:val="0"/>
      <w:marBottom w:val="0"/>
      <w:divBdr>
        <w:top w:val="none" w:sz="0" w:space="0" w:color="auto"/>
        <w:left w:val="none" w:sz="0" w:space="0" w:color="auto"/>
        <w:bottom w:val="none" w:sz="0" w:space="0" w:color="auto"/>
        <w:right w:val="none" w:sz="0" w:space="0" w:color="auto"/>
      </w:divBdr>
    </w:div>
    <w:div w:id="2014453915">
      <w:bodyDiv w:val="1"/>
      <w:marLeft w:val="0"/>
      <w:marRight w:val="0"/>
      <w:marTop w:val="0"/>
      <w:marBottom w:val="0"/>
      <w:divBdr>
        <w:top w:val="none" w:sz="0" w:space="0" w:color="auto"/>
        <w:left w:val="none" w:sz="0" w:space="0" w:color="auto"/>
        <w:bottom w:val="none" w:sz="0" w:space="0" w:color="auto"/>
        <w:right w:val="none" w:sz="0" w:space="0" w:color="auto"/>
      </w:divBdr>
    </w:div>
    <w:div w:id="2014602200">
      <w:bodyDiv w:val="1"/>
      <w:marLeft w:val="0"/>
      <w:marRight w:val="0"/>
      <w:marTop w:val="0"/>
      <w:marBottom w:val="0"/>
      <w:divBdr>
        <w:top w:val="none" w:sz="0" w:space="0" w:color="auto"/>
        <w:left w:val="none" w:sz="0" w:space="0" w:color="auto"/>
        <w:bottom w:val="none" w:sz="0" w:space="0" w:color="auto"/>
        <w:right w:val="none" w:sz="0" w:space="0" w:color="auto"/>
      </w:divBdr>
    </w:div>
    <w:div w:id="2015260784">
      <w:bodyDiv w:val="1"/>
      <w:marLeft w:val="0"/>
      <w:marRight w:val="0"/>
      <w:marTop w:val="0"/>
      <w:marBottom w:val="0"/>
      <w:divBdr>
        <w:top w:val="none" w:sz="0" w:space="0" w:color="auto"/>
        <w:left w:val="none" w:sz="0" w:space="0" w:color="auto"/>
        <w:bottom w:val="none" w:sz="0" w:space="0" w:color="auto"/>
        <w:right w:val="none" w:sz="0" w:space="0" w:color="auto"/>
      </w:divBdr>
    </w:div>
    <w:div w:id="2015302149">
      <w:bodyDiv w:val="1"/>
      <w:marLeft w:val="0"/>
      <w:marRight w:val="0"/>
      <w:marTop w:val="0"/>
      <w:marBottom w:val="0"/>
      <w:divBdr>
        <w:top w:val="none" w:sz="0" w:space="0" w:color="auto"/>
        <w:left w:val="none" w:sz="0" w:space="0" w:color="auto"/>
        <w:bottom w:val="none" w:sz="0" w:space="0" w:color="auto"/>
        <w:right w:val="none" w:sz="0" w:space="0" w:color="auto"/>
      </w:divBdr>
    </w:div>
    <w:div w:id="2015916056">
      <w:bodyDiv w:val="1"/>
      <w:marLeft w:val="0"/>
      <w:marRight w:val="0"/>
      <w:marTop w:val="0"/>
      <w:marBottom w:val="0"/>
      <w:divBdr>
        <w:top w:val="none" w:sz="0" w:space="0" w:color="auto"/>
        <w:left w:val="none" w:sz="0" w:space="0" w:color="auto"/>
        <w:bottom w:val="none" w:sz="0" w:space="0" w:color="auto"/>
        <w:right w:val="none" w:sz="0" w:space="0" w:color="auto"/>
      </w:divBdr>
    </w:div>
    <w:div w:id="2016154277">
      <w:bodyDiv w:val="1"/>
      <w:marLeft w:val="0"/>
      <w:marRight w:val="0"/>
      <w:marTop w:val="0"/>
      <w:marBottom w:val="0"/>
      <w:divBdr>
        <w:top w:val="none" w:sz="0" w:space="0" w:color="auto"/>
        <w:left w:val="none" w:sz="0" w:space="0" w:color="auto"/>
        <w:bottom w:val="none" w:sz="0" w:space="0" w:color="auto"/>
        <w:right w:val="none" w:sz="0" w:space="0" w:color="auto"/>
      </w:divBdr>
    </w:div>
    <w:div w:id="2016225733">
      <w:bodyDiv w:val="1"/>
      <w:marLeft w:val="0"/>
      <w:marRight w:val="0"/>
      <w:marTop w:val="0"/>
      <w:marBottom w:val="0"/>
      <w:divBdr>
        <w:top w:val="none" w:sz="0" w:space="0" w:color="auto"/>
        <w:left w:val="none" w:sz="0" w:space="0" w:color="auto"/>
        <w:bottom w:val="none" w:sz="0" w:space="0" w:color="auto"/>
        <w:right w:val="none" w:sz="0" w:space="0" w:color="auto"/>
      </w:divBdr>
    </w:div>
    <w:div w:id="2016690426">
      <w:bodyDiv w:val="1"/>
      <w:marLeft w:val="0"/>
      <w:marRight w:val="0"/>
      <w:marTop w:val="0"/>
      <w:marBottom w:val="0"/>
      <w:divBdr>
        <w:top w:val="none" w:sz="0" w:space="0" w:color="auto"/>
        <w:left w:val="none" w:sz="0" w:space="0" w:color="auto"/>
        <w:bottom w:val="none" w:sz="0" w:space="0" w:color="auto"/>
        <w:right w:val="none" w:sz="0" w:space="0" w:color="auto"/>
      </w:divBdr>
    </w:div>
    <w:div w:id="2016876517">
      <w:bodyDiv w:val="1"/>
      <w:marLeft w:val="0"/>
      <w:marRight w:val="0"/>
      <w:marTop w:val="0"/>
      <w:marBottom w:val="0"/>
      <w:divBdr>
        <w:top w:val="none" w:sz="0" w:space="0" w:color="auto"/>
        <w:left w:val="none" w:sz="0" w:space="0" w:color="auto"/>
        <w:bottom w:val="none" w:sz="0" w:space="0" w:color="auto"/>
        <w:right w:val="none" w:sz="0" w:space="0" w:color="auto"/>
      </w:divBdr>
    </w:div>
    <w:div w:id="2016884981">
      <w:bodyDiv w:val="1"/>
      <w:marLeft w:val="0"/>
      <w:marRight w:val="0"/>
      <w:marTop w:val="0"/>
      <w:marBottom w:val="0"/>
      <w:divBdr>
        <w:top w:val="none" w:sz="0" w:space="0" w:color="auto"/>
        <w:left w:val="none" w:sz="0" w:space="0" w:color="auto"/>
        <w:bottom w:val="none" w:sz="0" w:space="0" w:color="auto"/>
        <w:right w:val="none" w:sz="0" w:space="0" w:color="auto"/>
      </w:divBdr>
    </w:div>
    <w:div w:id="2017026690">
      <w:bodyDiv w:val="1"/>
      <w:marLeft w:val="0"/>
      <w:marRight w:val="0"/>
      <w:marTop w:val="0"/>
      <w:marBottom w:val="0"/>
      <w:divBdr>
        <w:top w:val="none" w:sz="0" w:space="0" w:color="auto"/>
        <w:left w:val="none" w:sz="0" w:space="0" w:color="auto"/>
        <w:bottom w:val="none" w:sz="0" w:space="0" w:color="auto"/>
        <w:right w:val="none" w:sz="0" w:space="0" w:color="auto"/>
      </w:divBdr>
    </w:div>
    <w:div w:id="2017152167">
      <w:bodyDiv w:val="1"/>
      <w:marLeft w:val="0"/>
      <w:marRight w:val="0"/>
      <w:marTop w:val="0"/>
      <w:marBottom w:val="0"/>
      <w:divBdr>
        <w:top w:val="none" w:sz="0" w:space="0" w:color="auto"/>
        <w:left w:val="none" w:sz="0" w:space="0" w:color="auto"/>
        <w:bottom w:val="none" w:sz="0" w:space="0" w:color="auto"/>
        <w:right w:val="none" w:sz="0" w:space="0" w:color="auto"/>
      </w:divBdr>
    </w:div>
    <w:div w:id="2017221283">
      <w:bodyDiv w:val="1"/>
      <w:marLeft w:val="0"/>
      <w:marRight w:val="0"/>
      <w:marTop w:val="0"/>
      <w:marBottom w:val="0"/>
      <w:divBdr>
        <w:top w:val="none" w:sz="0" w:space="0" w:color="auto"/>
        <w:left w:val="none" w:sz="0" w:space="0" w:color="auto"/>
        <w:bottom w:val="none" w:sz="0" w:space="0" w:color="auto"/>
        <w:right w:val="none" w:sz="0" w:space="0" w:color="auto"/>
      </w:divBdr>
    </w:div>
    <w:div w:id="2017228684">
      <w:bodyDiv w:val="1"/>
      <w:marLeft w:val="0"/>
      <w:marRight w:val="0"/>
      <w:marTop w:val="0"/>
      <w:marBottom w:val="0"/>
      <w:divBdr>
        <w:top w:val="none" w:sz="0" w:space="0" w:color="auto"/>
        <w:left w:val="none" w:sz="0" w:space="0" w:color="auto"/>
        <w:bottom w:val="none" w:sz="0" w:space="0" w:color="auto"/>
        <w:right w:val="none" w:sz="0" w:space="0" w:color="auto"/>
      </w:divBdr>
    </w:div>
    <w:div w:id="2017534504">
      <w:bodyDiv w:val="1"/>
      <w:marLeft w:val="0"/>
      <w:marRight w:val="0"/>
      <w:marTop w:val="0"/>
      <w:marBottom w:val="0"/>
      <w:divBdr>
        <w:top w:val="none" w:sz="0" w:space="0" w:color="auto"/>
        <w:left w:val="none" w:sz="0" w:space="0" w:color="auto"/>
        <w:bottom w:val="none" w:sz="0" w:space="0" w:color="auto"/>
        <w:right w:val="none" w:sz="0" w:space="0" w:color="auto"/>
      </w:divBdr>
    </w:div>
    <w:div w:id="2018000243">
      <w:bodyDiv w:val="1"/>
      <w:marLeft w:val="0"/>
      <w:marRight w:val="0"/>
      <w:marTop w:val="0"/>
      <w:marBottom w:val="0"/>
      <w:divBdr>
        <w:top w:val="none" w:sz="0" w:space="0" w:color="auto"/>
        <w:left w:val="none" w:sz="0" w:space="0" w:color="auto"/>
        <w:bottom w:val="none" w:sz="0" w:space="0" w:color="auto"/>
        <w:right w:val="none" w:sz="0" w:space="0" w:color="auto"/>
      </w:divBdr>
    </w:div>
    <w:div w:id="2018189395">
      <w:bodyDiv w:val="1"/>
      <w:marLeft w:val="0"/>
      <w:marRight w:val="0"/>
      <w:marTop w:val="0"/>
      <w:marBottom w:val="0"/>
      <w:divBdr>
        <w:top w:val="none" w:sz="0" w:space="0" w:color="auto"/>
        <w:left w:val="none" w:sz="0" w:space="0" w:color="auto"/>
        <w:bottom w:val="none" w:sz="0" w:space="0" w:color="auto"/>
        <w:right w:val="none" w:sz="0" w:space="0" w:color="auto"/>
      </w:divBdr>
    </w:div>
    <w:div w:id="2018344521">
      <w:bodyDiv w:val="1"/>
      <w:marLeft w:val="0"/>
      <w:marRight w:val="0"/>
      <w:marTop w:val="0"/>
      <w:marBottom w:val="0"/>
      <w:divBdr>
        <w:top w:val="none" w:sz="0" w:space="0" w:color="auto"/>
        <w:left w:val="none" w:sz="0" w:space="0" w:color="auto"/>
        <w:bottom w:val="none" w:sz="0" w:space="0" w:color="auto"/>
        <w:right w:val="none" w:sz="0" w:space="0" w:color="auto"/>
      </w:divBdr>
    </w:div>
    <w:div w:id="2018656554">
      <w:bodyDiv w:val="1"/>
      <w:marLeft w:val="0"/>
      <w:marRight w:val="0"/>
      <w:marTop w:val="0"/>
      <w:marBottom w:val="0"/>
      <w:divBdr>
        <w:top w:val="none" w:sz="0" w:space="0" w:color="auto"/>
        <w:left w:val="none" w:sz="0" w:space="0" w:color="auto"/>
        <w:bottom w:val="none" w:sz="0" w:space="0" w:color="auto"/>
        <w:right w:val="none" w:sz="0" w:space="0" w:color="auto"/>
      </w:divBdr>
    </w:div>
    <w:div w:id="2018730309">
      <w:bodyDiv w:val="1"/>
      <w:marLeft w:val="0"/>
      <w:marRight w:val="0"/>
      <w:marTop w:val="0"/>
      <w:marBottom w:val="0"/>
      <w:divBdr>
        <w:top w:val="none" w:sz="0" w:space="0" w:color="auto"/>
        <w:left w:val="none" w:sz="0" w:space="0" w:color="auto"/>
        <w:bottom w:val="none" w:sz="0" w:space="0" w:color="auto"/>
        <w:right w:val="none" w:sz="0" w:space="0" w:color="auto"/>
      </w:divBdr>
    </w:div>
    <w:div w:id="2019187326">
      <w:bodyDiv w:val="1"/>
      <w:marLeft w:val="0"/>
      <w:marRight w:val="0"/>
      <w:marTop w:val="0"/>
      <w:marBottom w:val="0"/>
      <w:divBdr>
        <w:top w:val="none" w:sz="0" w:space="0" w:color="auto"/>
        <w:left w:val="none" w:sz="0" w:space="0" w:color="auto"/>
        <w:bottom w:val="none" w:sz="0" w:space="0" w:color="auto"/>
        <w:right w:val="none" w:sz="0" w:space="0" w:color="auto"/>
      </w:divBdr>
    </w:div>
    <w:div w:id="2019501719">
      <w:bodyDiv w:val="1"/>
      <w:marLeft w:val="0"/>
      <w:marRight w:val="0"/>
      <w:marTop w:val="0"/>
      <w:marBottom w:val="0"/>
      <w:divBdr>
        <w:top w:val="none" w:sz="0" w:space="0" w:color="auto"/>
        <w:left w:val="none" w:sz="0" w:space="0" w:color="auto"/>
        <w:bottom w:val="none" w:sz="0" w:space="0" w:color="auto"/>
        <w:right w:val="none" w:sz="0" w:space="0" w:color="auto"/>
      </w:divBdr>
    </w:div>
    <w:div w:id="2019503403">
      <w:bodyDiv w:val="1"/>
      <w:marLeft w:val="0"/>
      <w:marRight w:val="0"/>
      <w:marTop w:val="0"/>
      <w:marBottom w:val="0"/>
      <w:divBdr>
        <w:top w:val="none" w:sz="0" w:space="0" w:color="auto"/>
        <w:left w:val="none" w:sz="0" w:space="0" w:color="auto"/>
        <w:bottom w:val="none" w:sz="0" w:space="0" w:color="auto"/>
        <w:right w:val="none" w:sz="0" w:space="0" w:color="auto"/>
      </w:divBdr>
    </w:div>
    <w:div w:id="2019841309">
      <w:bodyDiv w:val="1"/>
      <w:marLeft w:val="0"/>
      <w:marRight w:val="0"/>
      <w:marTop w:val="0"/>
      <w:marBottom w:val="0"/>
      <w:divBdr>
        <w:top w:val="none" w:sz="0" w:space="0" w:color="auto"/>
        <w:left w:val="none" w:sz="0" w:space="0" w:color="auto"/>
        <w:bottom w:val="none" w:sz="0" w:space="0" w:color="auto"/>
        <w:right w:val="none" w:sz="0" w:space="0" w:color="auto"/>
      </w:divBdr>
    </w:div>
    <w:div w:id="2020113717">
      <w:bodyDiv w:val="1"/>
      <w:marLeft w:val="0"/>
      <w:marRight w:val="0"/>
      <w:marTop w:val="0"/>
      <w:marBottom w:val="0"/>
      <w:divBdr>
        <w:top w:val="none" w:sz="0" w:space="0" w:color="auto"/>
        <w:left w:val="none" w:sz="0" w:space="0" w:color="auto"/>
        <w:bottom w:val="none" w:sz="0" w:space="0" w:color="auto"/>
        <w:right w:val="none" w:sz="0" w:space="0" w:color="auto"/>
      </w:divBdr>
    </w:div>
    <w:div w:id="2020161665">
      <w:bodyDiv w:val="1"/>
      <w:marLeft w:val="0"/>
      <w:marRight w:val="0"/>
      <w:marTop w:val="0"/>
      <w:marBottom w:val="0"/>
      <w:divBdr>
        <w:top w:val="none" w:sz="0" w:space="0" w:color="auto"/>
        <w:left w:val="none" w:sz="0" w:space="0" w:color="auto"/>
        <w:bottom w:val="none" w:sz="0" w:space="0" w:color="auto"/>
        <w:right w:val="none" w:sz="0" w:space="0" w:color="auto"/>
      </w:divBdr>
    </w:div>
    <w:div w:id="2020279357">
      <w:bodyDiv w:val="1"/>
      <w:marLeft w:val="0"/>
      <w:marRight w:val="0"/>
      <w:marTop w:val="0"/>
      <w:marBottom w:val="0"/>
      <w:divBdr>
        <w:top w:val="none" w:sz="0" w:space="0" w:color="auto"/>
        <w:left w:val="none" w:sz="0" w:space="0" w:color="auto"/>
        <w:bottom w:val="none" w:sz="0" w:space="0" w:color="auto"/>
        <w:right w:val="none" w:sz="0" w:space="0" w:color="auto"/>
      </w:divBdr>
    </w:div>
    <w:div w:id="2020542442">
      <w:bodyDiv w:val="1"/>
      <w:marLeft w:val="0"/>
      <w:marRight w:val="0"/>
      <w:marTop w:val="0"/>
      <w:marBottom w:val="0"/>
      <w:divBdr>
        <w:top w:val="none" w:sz="0" w:space="0" w:color="auto"/>
        <w:left w:val="none" w:sz="0" w:space="0" w:color="auto"/>
        <w:bottom w:val="none" w:sz="0" w:space="0" w:color="auto"/>
        <w:right w:val="none" w:sz="0" w:space="0" w:color="auto"/>
      </w:divBdr>
    </w:div>
    <w:div w:id="2020765882">
      <w:bodyDiv w:val="1"/>
      <w:marLeft w:val="0"/>
      <w:marRight w:val="0"/>
      <w:marTop w:val="0"/>
      <w:marBottom w:val="0"/>
      <w:divBdr>
        <w:top w:val="none" w:sz="0" w:space="0" w:color="auto"/>
        <w:left w:val="none" w:sz="0" w:space="0" w:color="auto"/>
        <w:bottom w:val="none" w:sz="0" w:space="0" w:color="auto"/>
        <w:right w:val="none" w:sz="0" w:space="0" w:color="auto"/>
      </w:divBdr>
    </w:div>
    <w:div w:id="2020934532">
      <w:bodyDiv w:val="1"/>
      <w:marLeft w:val="0"/>
      <w:marRight w:val="0"/>
      <w:marTop w:val="0"/>
      <w:marBottom w:val="0"/>
      <w:divBdr>
        <w:top w:val="none" w:sz="0" w:space="0" w:color="auto"/>
        <w:left w:val="none" w:sz="0" w:space="0" w:color="auto"/>
        <w:bottom w:val="none" w:sz="0" w:space="0" w:color="auto"/>
        <w:right w:val="none" w:sz="0" w:space="0" w:color="auto"/>
      </w:divBdr>
    </w:div>
    <w:div w:id="2020960127">
      <w:bodyDiv w:val="1"/>
      <w:marLeft w:val="0"/>
      <w:marRight w:val="0"/>
      <w:marTop w:val="0"/>
      <w:marBottom w:val="0"/>
      <w:divBdr>
        <w:top w:val="none" w:sz="0" w:space="0" w:color="auto"/>
        <w:left w:val="none" w:sz="0" w:space="0" w:color="auto"/>
        <w:bottom w:val="none" w:sz="0" w:space="0" w:color="auto"/>
        <w:right w:val="none" w:sz="0" w:space="0" w:color="auto"/>
      </w:divBdr>
    </w:div>
    <w:div w:id="2021085078">
      <w:bodyDiv w:val="1"/>
      <w:marLeft w:val="0"/>
      <w:marRight w:val="0"/>
      <w:marTop w:val="0"/>
      <w:marBottom w:val="0"/>
      <w:divBdr>
        <w:top w:val="none" w:sz="0" w:space="0" w:color="auto"/>
        <w:left w:val="none" w:sz="0" w:space="0" w:color="auto"/>
        <w:bottom w:val="none" w:sz="0" w:space="0" w:color="auto"/>
        <w:right w:val="none" w:sz="0" w:space="0" w:color="auto"/>
      </w:divBdr>
    </w:div>
    <w:div w:id="2021198866">
      <w:bodyDiv w:val="1"/>
      <w:marLeft w:val="0"/>
      <w:marRight w:val="0"/>
      <w:marTop w:val="0"/>
      <w:marBottom w:val="0"/>
      <w:divBdr>
        <w:top w:val="none" w:sz="0" w:space="0" w:color="auto"/>
        <w:left w:val="none" w:sz="0" w:space="0" w:color="auto"/>
        <w:bottom w:val="none" w:sz="0" w:space="0" w:color="auto"/>
        <w:right w:val="none" w:sz="0" w:space="0" w:color="auto"/>
      </w:divBdr>
    </w:div>
    <w:div w:id="2021228217">
      <w:bodyDiv w:val="1"/>
      <w:marLeft w:val="0"/>
      <w:marRight w:val="0"/>
      <w:marTop w:val="0"/>
      <w:marBottom w:val="0"/>
      <w:divBdr>
        <w:top w:val="none" w:sz="0" w:space="0" w:color="auto"/>
        <w:left w:val="none" w:sz="0" w:space="0" w:color="auto"/>
        <w:bottom w:val="none" w:sz="0" w:space="0" w:color="auto"/>
        <w:right w:val="none" w:sz="0" w:space="0" w:color="auto"/>
      </w:divBdr>
    </w:div>
    <w:div w:id="2021275852">
      <w:bodyDiv w:val="1"/>
      <w:marLeft w:val="0"/>
      <w:marRight w:val="0"/>
      <w:marTop w:val="0"/>
      <w:marBottom w:val="0"/>
      <w:divBdr>
        <w:top w:val="none" w:sz="0" w:space="0" w:color="auto"/>
        <w:left w:val="none" w:sz="0" w:space="0" w:color="auto"/>
        <w:bottom w:val="none" w:sz="0" w:space="0" w:color="auto"/>
        <w:right w:val="none" w:sz="0" w:space="0" w:color="auto"/>
      </w:divBdr>
    </w:div>
    <w:div w:id="2021657295">
      <w:bodyDiv w:val="1"/>
      <w:marLeft w:val="0"/>
      <w:marRight w:val="0"/>
      <w:marTop w:val="0"/>
      <w:marBottom w:val="0"/>
      <w:divBdr>
        <w:top w:val="none" w:sz="0" w:space="0" w:color="auto"/>
        <w:left w:val="none" w:sz="0" w:space="0" w:color="auto"/>
        <w:bottom w:val="none" w:sz="0" w:space="0" w:color="auto"/>
        <w:right w:val="none" w:sz="0" w:space="0" w:color="auto"/>
      </w:divBdr>
    </w:div>
    <w:div w:id="2021813838">
      <w:bodyDiv w:val="1"/>
      <w:marLeft w:val="0"/>
      <w:marRight w:val="0"/>
      <w:marTop w:val="0"/>
      <w:marBottom w:val="0"/>
      <w:divBdr>
        <w:top w:val="none" w:sz="0" w:space="0" w:color="auto"/>
        <w:left w:val="none" w:sz="0" w:space="0" w:color="auto"/>
        <w:bottom w:val="none" w:sz="0" w:space="0" w:color="auto"/>
        <w:right w:val="none" w:sz="0" w:space="0" w:color="auto"/>
      </w:divBdr>
    </w:div>
    <w:div w:id="2022002935">
      <w:bodyDiv w:val="1"/>
      <w:marLeft w:val="0"/>
      <w:marRight w:val="0"/>
      <w:marTop w:val="0"/>
      <w:marBottom w:val="0"/>
      <w:divBdr>
        <w:top w:val="none" w:sz="0" w:space="0" w:color="auto"/>
        <w:left w:val="none" w:sz="0" w:space="0" w:color="auto"/>
        <w:bottom w:val="none" w:sz="0" w:space="0" w:color="auto"/>
        <w:right w:val="none" w:sz="0" w:space="0" w:color="auto"/>
      </w:divBdr>
    </w:div>
    <w:div w:id="2022272373">
      <w:bodyDiv w:val="1"/>
      <w:marLeft w:val="0"/>
      <w:marRight w:val="0"/>
      <w:marTop w:val="0"/>
      <w:marBottom w:val="0"/>
      <w:divBdr>
        <w:top w:val="none" w:sz="0" w:space="0" w:color="auto"/>
        <w:left w:val="none" w:sz="0" w:space="0" w:color="auto"/>
        <w:bottom w:val="none" w:sz="0" w:space="0" w:color="auto"/>
        <w:right w:val="none" w:sz="0" w:space="0" w:color="auto"/>
      </w:divBdr>
    </w:div>
    <w:div w:id="2022734484">
      <w:bodyDiv w:val="1"/>
      <w:marLeft w:val="0"/>
      <w:marRight w:val="0"/>
      <w:marTop w:val="0"/>
      <w:marBottom w:val="0"/>
      <w:divBdr>
        <w:top w:val="none" w:sz="0" w:space="0" w:color="auto"/>
        <w:left w:val="none" w:sz="0" w:space="0" w:color="auto"/>
        <w:bottom w:val="none" w:sz="0" w:space="0" w:color="auto"/>
        <w:right w:val="none" w:sz="0" w:space="0" w:color="auto"/>
      </w:divBdr>
    </w:div>
    <w:div w:id="2023117663">
      <w:bodyDiv w:val="1"/>
      <w:marLeft w:val="0"/>
      <w:marRight w:val="0"/>
      <w:marTop w:val="0"/>
      <w:marBottom w:val="0"/>
      <w:divBdr>
        <w:top w:val="none" w:sz="0" w:space="0" w:color="auto"/>
        <w:left w:val="none" w:sz="0" w:space="0" w:color="auto"/>
        <w:bottom w:val="none" w:sz="0" w:space="0" w:color="auto"/>
        <w:right w:val="none" w:sz="0" w:space="0" w:color="auto"/>
      </w:divBdr>
    </w:div>
    <w:div w:id="2024284888">
      <w:bodyDiv w:val="1"/>
      <w:marLeft w:val="0"/>
      <w:marRight w:val="0"/>
      <w:marTop w:val="0"/>
      <w:marBottom w:val="0"/>
      <w:divBdr>
        <w:top w:val="none" w:sz="0" w:space="0" w:color="auto"/>
        <w:left w:val="none" w:sz="0" w:space="0" w:color="auto"/>
        <w:bottom w:val="none" w:sz="0" w:space="0" w:color="auto"/>
        <w:right w:val="none" w:sz="0" w:space="0" w:color="auto"/>
      </w:divBdr>
    </w:div>
    <w:div w:id="2025278382">
      <w:bodyDiv w:val="1"/>
      <w:marLeft w:val="0"/>
      <w:marRight w:val="0"/>
      <w:marTop w:val="0"/>
      <w:marBottom w:val="0"/>
      <w:divBdr>
        <w:top w:val="none" w:sz="0" w:space="0" w:color="auto"/>
        <w:left w:val="none" w:sz="0" w:space="0" w:color="auto"/>
        <w:bottom w:val="none" w:sz="0" w:space="0" w:color="auto"/>
        <w:right w:val="none" w:sz="0" w:space="0" w:color="auto"/>
      </w:divBdr>
    </w:div>
    <w:div w:id="2025403491">
      <w:bodyDiv w:val="1"/>
      <w:marLeft w:val="0"/>
      <w:marRight w:val="0"/>
      <w:marTop w:val="0"/>
      <w:marBottom w:val="0"/>
      <w:divBdr>
        <w:top w:val="none" w:sz="0" w:space="0" w:color="auto"/>
        <w:left w:val="none" w:sz="0" w:space="0" w:color="auto"/>
        <w:bottom w:val="none" w:sz="0" w:space="0" w:color="auto"/>
        <w:right w:val="none" w:sz="0" w:space="0" w:color="auto"/>
      </w:divBdr>
    </w:div>
    <w:div w:id="2025588752">
      <w:bodyDiv w:val="1"/>
      <w:marLeft w:val="0"/>
      <w:marRight w:val="0"/>
      <w:marTop w:val="0"/>
      <w:marBottom w:val="0"/>
      <w:divBdr>
        <w:top w:val="none" w:sz="0" w:space="0" w:color="auto"/>
        <w:left w:val="none" w:sz="0" w:space="0" w:color="auto"/>
        <w:bottom w:val="none" w:sz="0" w:space="0" w:color="auto"/>
        <w:right w:val="none" w:sz="0" w:space="0" w:color="auto"/>
      </w:divBdr>
    </w:div>
    <w:div w:id="2026781295">
      <w:bodyDiv w:val="1"/>
      <w:marLeft w:val="0"/>
      <w:marRight w:val="0"/>
      <w:marTop w:val="0"/>
      <w:marBottom w:val="0"/>
      <w:divBdr>
        <w:top w:val="none" w:sz="0" w:space="0" w:color="auto"/>
        <w:left w:val="none" w:sz="0" w:space="0" w:color="auto"/>
        <w:bottom w:val="none" w:sz="0" w:space="0" w:color="auto"/>
        <w:right w:val="none" w:sz="0" w:space="0" w:color="auto"/>
      </w:divBdr>
    </w:div>
    <w:div w:id="2026781591">
      <w:bodyDiv w:val="1"/>
      <w:marLeft w:val="0"/>
      <w:marRight w:val="0"/>
      <w:marTop w:val="0"/>
      <w:marBottom w:val="0"/>
      <w:divBdr>
        <w:top w:val="none" w:sz="0" w:space="0" w:color="auto"/>
        <w:left w:val="none" w:sz="0" w:space="0" w:color="auto"/>
        <w:bottom w:val="none" w:sz="0" w:space="0" w:color="auto"/>
        <w:right w:val="none" w:sz="0" w:space="0" w:color="auto"/>
      </w:divBdr>
    </w:div>
    <w:div w:id="2027244311">
      <w:bodyDiv w:val="1"/>
      <w:marLeft w:val="0"/>
      <w:marRight w:val="0"/>
      <w:marTop w:val="0"/>
      <w:marBottom w:val="0"/>
      <w:divBdr>
        <w:top w:val="none" w:sz="0" w:space="0" w:color="auto"/>
        <w:left w:val="none" w:sz="0" w:space="0" w:color="auto"/>
        <w:bottom w:val="none" w:sz="0" w:space="0" w:color="auto"/>
        <w:right w:val="none" w:sz="0" w:space="0" w:color="auto"/>
      </w:divBdr>
    </w:div>
    <w:div w:id="2027751616">
      <w:bodyDiv w:val="1"/>
      <w:marLeft w:val="0"/>
      <w:marRight w:val="0"/>
      <w:marTop w:val="0"/>
      <w:marBottom w:val="0"/>
      <w:divBdr>
        <w:top w:val="none" w:sz="0" w:space="0" w:color="auto"/>
        <w:left w:val="none" w:sz="0" w:space="0" w:color="auto"/>
        <w:bottom w:val="none" w:sz="0" w:space="0" w:color="auto"/>
        <w:right w:val="none" w:sz="0" w:space="0" w:color="auto"/>
      </w:divBdr>
    </w:div>
    <w:div w:id="2028099630">
      <w:bodyDiv w:val="1"/>
      <w:marLeft w:val="0"/>
      <w:marRight w:val="0"/>
      <w:marTop w:val="0"/>
      <w:marBottom w:val="0"/>
      <w:divBdr>
        <w:top w:val="none" w:sz="0" w:space="0" w:color="auto"/>
        <w:left w:val="none" w:sz="0" w:space="0" w:color="auto"/>
        <w:bottom w:val="none" w:sz="0" w:space="0" w:color="auto"/>
        <w:right w:val="none" w:sz="0" w:space="0" w:color="auto"/>
      </w:divBdr>
    </w:div>
    <w:div w:id="2028169173">
      <w:bodyDiv w:val="1"/>
      <w:marLeft w:val="0"/>
      <w:marRight w:val="0"/>
      <w:marTop w:val="0"/>
      <w:marBottom w:val="0"/>
      <w:divBdr>
        <w:top w:val="none" w:sz="0" w:space="0" w:color="auto"/>
        <w:left w:val="none" w:sz="0" w:space="0" w:color="auto"/>
        <w:bottom w:val="none" w:sz="0" w:space="0" w:color="auto"/>
        <w:right w:val="none" w:sz="0" w:space="0" w:color="auto"/>
      </w:divBdr>
    </w:div>
    <w:div w:id="2028480129">
      <w:bodyDiv w:val="1"/>
      <w:marLeft w:val="0"/>
      <w:marRight w:val="0"/>
      <w:marTop w:val="0"/>
      <w:marBottom w:val="0"/>
      <w:divBdr>
        <w:top w:val="none" w:sz="0" w:space="0" w:color="auto"/>
        <w:left w:val="none" w:sz="0" w:space="0" w:color="auto"/>
        <w:bottom w:val="none" w:sz="0" w:space="0" w:color="auto"/>
        <w:right w:val="none" w:sz="0" w:space="0" w:color="auto"/>
      </w:divBdr>
    </w:div>
    <w:div w:id="2028628607">
      <w:bodyDiv w:val="1"/>
      <w:marLeft w:val="0"/>
      <w:marRight w:val="0"/>
      <w:marTop w:val="0"/>
      <w:marBottom w:val="0"/>
      <w:divBdr>
        <w:top w:val="none" w:sz="0" w:space="0" w:color="auto"/>
        <w:left w:val="none" w:sz="0" w:space="0" w:color="auto"/>
        <w:bottom w:val="none" w:sz="0" w:space="0" w:color="auto"/>
        <w:right w:val="none" w:sz="0" w:space="0" w:color="auto"/>
      </w:divBdr>
    </w:div>
    <w:div w:id="2029015985">
      <w:bodyDiv w:val="1"/>
      <w:marLeft w:val="0"/>
      <w:marRight w:val="0"/>
      <w:marTop w:val="0"/>
      <w:marBottom w:val="0"/>
      <w:divBdr>
        <w:top w:val="none" w:sz="0" w:space="0" w:color="auto"/>
        <w:left w:val="none" w:sz="0" w:space="0" w:color="auto"/>
        <w:bottom w:val="none" w:sz="0" w:space="0" w:color="auto"/>
        <w:right w:val="none" w:sz="0" w:space="0" w:color="auto"/>
      </w:divBdr>
    </w:div>
    <w:div w:id="2029065390">
      <w:bodyDiv w:val="1"/>
      <w:marLeft w:val="0"/>
      <w:marRight w:val="0"/>
      <w:marTop w:val="0"/>
      <w:marBottom w:val="0"/>
      <w:divBdr>
        <w:top w:val="none" w:sz="0" w:space="0" w:color="auto"/>
        <w:left w:val="none" w:sz="0" w:space="0" w:color="auto"/>
        <w:bottom w:val="none" w:sz="0" w:space="0" w:color="auto"/>
        <w:right w:val="none" w:sz="0" w:space="0" w:color="auto"/>
      </w:divBdr>
    </w:div>
    <w:div w:id="2029332652">
      <w:bodyDiv w:val="1"/>
      <w:marLeft w:val="0"/>
      <w:marRight w:val="0"/>
      <w:marTop w:val="0"/>
      <w:marBottom w:val="0"/>
      <w:divBdr>
        <w:top w:val="none" w:sz="0" w:space="0" w:color="auto"/>
        <w:left w:val="none" w:sz="0" w:space="0" w:color="auto"/>
        <w:bottom w:val="none" w:sz="0" w:space="0" w:color="auto"/>
        <w:right w:val="none" w:sz="0" w:space="0" w:color="auto"/>
      </w:divBdr>
    </w:div>
    <w:div w:id="2029482096">
      <w:bodyDiv w:val="1"/>
      <w:marLeft w:val="0"/>
      <w:marRight w:val="0"/>
      <w:marTop w:val="0"/>
      <w:marBottom w:val="0"/>
      <w:divBdr>
        <w:top w:val="none" w:sz="0" w:space="0" w:color="auto"/>
        <w:left w:val="none" w:sz="0" w:space="0" w:color="auto"/>
        <w:bottom w:val="none" w:sz="0" w:space="0" w:color="auto"/>
        <w:right w:val="none" w:sz="0" w:space="0" w:color="auto"/>
      </w:divBdr>
    </w:div>
    <w:div w:id="2029485510">
      <w:bodyDiv w:val="1"/>
      <w:marLeft w:val="0"/>
      <w:marRight w:val="0"/>
      <w:marTop w:val="0"/>
      <w:marBottom w:val="0"/>
      <w:divBdr>
        <w:top w:val="none" w:sz="0" w:space="0" w:color="auto"/>
        <w:left w:val="none" w:sz="0" w:space="0" w:color="auto"/>
        <w:bottom w:val="none" w:sz="0" w:space="0" w:color="auto"/>
        <w:right w:val="none" w:sz="0" w:space="0" w:color="auto"/>
      </w:divBdr>
    </w:div>
    <w:div w:id="2029790790">
      <w:bodyDiv w:val="1"/>
      <w:marLeft w:val="0"/>
      <w:marRight w:val="0"/>
      <w:marTop w:val="0"/>
      <w:marBottom w:val="0"/>
      <w:divBdr>
        <w:top w:val="none" w:sz="0" w:space="0" w:color="auto"/>
        <w:left w:val="none" w:sz="0" w:space="0" w:color="auto"/>
        <w:bottom w:val="none" w:sz="0" w:space="0" w:color="auto"/>
        <w:right w:val="none" w:sz="0" w:space="0" w:color="auto"/>
      </w:divBdr>
    </w:div>
    <w:div w:id="2029868237">
      <w:bodyDiv w:val="1"/>
      <w:marLeft w:val="0"/>
      <w:marRight w:val="0"/>
      <w:marTop w:val="0"/>
      <w:marBottom w:val="0"/>
      <w:divBdr>
        <w:top w:val="none" w:sz="0" w:space="0" w:color="auto"/>
        <w:left w:val="none" w:sz="0" w:space="0" w:color="auto"/>
        <w:bottom w:val="none" w:sz="0" w:space="0" w:color="auto"/>
        <w:right w:val="none" w:sz="0" w:space="0" w:color="auto"/>
      </w:divBdr>
    </w:div>
    <w:div w:id="2030257291">
      <w:bodyDiv w:val="1"/>
      <w:marLeft w:val="0"/>
      <w:marRight w:val="0"/>
      <w:marTop w:val="0"/>
      <w:marBottom w:val="0"/>
      <w:divBdr>
        <w:top w:val="none" w:sz="0" w:space="0" w:color="auto"/>
        <w:left w:val="none" w:sz="0" w:space="0" w:color="auto"/>
        <w:bottom w:val="none" w:sz="0" w:space="0" w:color="auto"/>
        <w:right w:val="none" w:sz="0" w:space="0" w:color="auto"/>
      </w:divBdr>
    </w:div>
    <w:div w:id="2030403161">
      <w:bodyDiv w:val="1"/>
      <w:marLeft w:val="0"/>
      <w:marRight w:val="0"/>
      <w:marTop w:val="0"/>
      <w:marBottom w:val="0"/>
      <w:divBdr>
        <w:top w:val="none" w:sz="0" w:space="0" w:color="auto"/>
        <w:left w:val="none" w:sz="0" w:space="0" w:color="auto"/>
        <w:bottom w:val="none" w:sz="0" w:space="0" w:color="auto"/>
        <w:right w:val="none" w:sz="0" w:space="0" w:color="auto"/>
      </w:divBdr>
    </w:div>
    <w:div w:id="2030793798">
      <w:bodyDiv w:val="1"/>
      <w:marLeft w:val="0"/>
      <w:marRight w:val="0"/>
      <w:marTop w:val="0"/>
      <w:marBottom w:val="0"/>
      <w:divBdr>
        <w:top w:val="none" w:sz="0" w:space="0" w:color="auto"/>
        <w:left w:val="none" w:sz="0" w:space="0" w:color="auto"/>
        <w:bottom w:val="none" w:sz="0" w:space="0" w:color="auto"/>
        <w:right w:val="none" w:sz="0" w:space="0" w:color="auto"/>
      </w:divBdr>
    </w:div>
    <w:div w:id="2031713148">
      <w:bodyDiv w:val="1"/>
      <w:marLeft w:val="0"/>
      <w:marRight w:val="0"/>
      <w:marTop w:val="0"/>
      <w:marBottom w:val="0"/>
      <w:divBdr>
        <w:top w:val="none" w:sz="0" w:space="0" w:color="auto"/>
        <w:left w:val="none" w:sz="0" w:space="0" w:color="auto"/>
        <w:bottom w:val="none" w:sz="0" w:space="0" w:color="auto"/>
        <w:right w:val="none" w:sz="0" w:space="0" w:color="auto"/>
      </w:divBdr>
    </w:div>
    <w:div w:id="2031955166">
      <w:bodyDiv w:val="1"/>
      <w:marLeft w:val="0"/>
      <w:marRight w:val="0"/>
      <w:marTop w:val="0"/>
      <w:marBottom w:val="0"/>
      <w:divBdr>
        <w:top w:val="none" w:sz="0" w:space="0" w:color="auto"/>
        <w:left w:val="none" w:sz="0" w:space="0" w:color="auto"/>
        <w:bottom w:val="none" w:sz="0" w:space="0" w:color="auto"/>
        <w:right w:val="none" w:sz="0" w:space="0" w:color="auto"/>
      </w:divBdr>
    </w:div>
    <w:div w:id="2032104215">
      <w:bodyDiv w:val="1"/>
      <w:marLeft w:val="0"/>
      <w:marRight w:val="0"/>
      <w:marTop w:val="0"/>
      <w:marBottom w:val="0"/>
      <w:divBdr>
        <w:top w:val="none" w:sz="0" w:space="0" w:color="auto"/>
        <w:left w:val="none" w:sz="0" w:space="0" w:color="auto"/>
        <w:bottom w:val="none" w:sz="0" w:space="0" w:color="auto"/>
        <w:right w:val="none" w:sz="0" w:space="0" w:color="auto"/>
      </w:divBdr>
    </w:div>
    <w:div w:id="2032562899">
      <w:bodyDiv w:val="1"/>
      <w:marLeft w:val="0"/>
      <w:marRight w:val="0"/>
      <w:marTop w:val="0"/>
      <w:marBottom w:val="0"/>
      <w:divBdr>
        <w:top w:val="none" w:sz="0" w:space="0" w:color="auto"/>
        <w:left w:val="none" w:sz="0" w:space="0" w:color="auto"/>
        <w:bottom w:val="none" w:sz="0" w:space="0" w:color="auto"/>
        <w:right w:val="none" w:sz="0" w:space="0" w:color="auto"/>
      </w:divBdr>
    </w:div>
    <w:div w:id="2033411409">
      <w:bodyDiv w:val="1"/>
      <w:marLeft w:val="0"/>
      <w:marRight w:val="0"/>
      <w:marTop w:val="0"/>
      <w:marBottom w:val="0"/>
      <w:divBdr>
        <w:top w:val="none" w:sz="0" w:space="0" w:color="auto"/>
        <w:left w:val="none" w:sz="0" w:space="0" w:color="auto"/>
        <w:bottom w:val="none" w:sz="0" w:space="0" w:color="auto"/>
        <w:right w:val="none" w:sz="0" w:space="0" w:color="auto"/>
      </w:divBdr>
    </w:div>
    <w:div w:id="2033650842">
      <w:bodyDiv w:val="1"/>
      <w:marLeft w:val="0"/>
      <w:marRight w:val="0"/>
      <w:marTop w:val="0"/>
      <w:marBottom w:val="0"/>
      <w:divBdr>
        <w:top w:val="none" w:sz="0" w:space="0" w:color="auto"/>
        <w:left w:val="none" w:sz="0" w:space="0" w:color="auto"/>
        <w:bottom w:val="none" w:sz="0" w:space="0" w:color="auto"/>
        <w:right w:val="none" w:sz="0" w:space="0" w:color="auto"/>
      </w:divBdr>
    </w:div>
    <w:div w:id="2034064399">
      <w:bodyDiv w:val="1"/>
      <w:marLeft w:val="0"/>
      <w:marRight w:val="0"/>
      <w:marTop w:val="0"/>
      <w:marBottom w:val="0"/>
      <w:divBdr>
        <w:top w:val="none" w:sz="0" w:space="0" w:color="auto"/>
        <w:left w:val="none" w:sz="0" w:space="0" w:color="auto"/>
        <w:bottom w:val="none" w:sz="0" w:space="0" w:color="auto"/>
        <w:right w:val="none" w:sz="0" w:space="0" w:color="auto"/>
      </w:divBdr>
    </w:div>
    <w:div w:id="2034381612">
      <w:bodyDiv w:val="1"/>
      <w:marLeft w:val="0"/>
      <w:marRight w:val="0"/>
      <w:marTop w:val="0"/>
      <w:marBottom w:val="0"/>
      <w:divBdr>
        <w:top w:val="none" w:sz="0" w:space="0" w:color="auto"/>
        <w:left w:val="none" w:sz="0" w:space="0" w:color="auto"/>
        <w:bottom w:val="none" w:sz="0" w:space="0" w:color="auto"/>
        <w:right w:val="none" w:sz="0" w:space="0" w:color="auto"/>
      </w:divBdr>
    </w:div>
    <w:div w:id="2034451473">
      <w:bodyDiv w:val="1"/>
      <w:marLeft w:val="0"/>
      <w:marRight w:val="0"/>
      <w:marTop w:val="0"/>
      <w:marBottom w:val="0"/>
      <w:divBdr>
        <w:top w:val="none" w:sz="0" w:space="0" w:color="auto"/>
        <w:left w:val="none" w:sz="0" w:space="0" w:color="auto"/>
        <w:bottom w:val="none" w:sz="0" w:space="0" w:color="auto"/>
        <w:right w:val="none" w:sz="0" w:space="0" w:color="auto"/>
      </w:divBdr>
    </w:div>
    <w:div w:id="2034652279">
      <w:bodyDiv w:val="1"/>
      <w:marLeft w:val="0"/>
      <w:marRight w:val="0"/>
      <w:marTop w:val="0"/>
      <w:marBottom w:val="0"/>
      <w:divBdr>
        <w:top w:val="none" w:sz="0" w:space="0" w:color="auto"/>
        <w:left w:val="none" w:sz="0" w:space="0" w:color="auto"/>
        <w:bottom w:val="none" w:sz="0" w:space="0" w:color="auto"/>
        <w:right w:val="none" w:sz="0" w:space="0" w:color="auto"/>
      </w:divBdr>
    </w:div>
    <w:div w:id="2034958889">
      <w:bodyDiv w:val="1"/>
      <w:marLeft w:val="0"/>
      <w:marRight w:val="0"/>
      <w:marTop w:val="0"/>
      <w:marBottom w:val="0"/>
      <w:divBdr>
        <w:top w:val="none" w:sz="0" w:space="0" w:color="auto"/>
        <w:left w:val="none" w:sz="0" w:space="0" w:color="auto"/>
        <w:bottom w:val="none" w:sz="0" w:space="0" w:color="auto"/>
        <w:right w:val="none" w:sz="0" w:space="0" w:color="auto"/>
      </w:divBdr>
    </w:div>
    <w:div w:id="2035032537">
      <w:bodyDiv w:val="1"/>
      <w:marLeft w:val="0"/>
      <w:marRight w:val="0"/>
      <w:marTop w:val="0"/>
      <w:marBottom w:val="0"/>
      <w:divBdr>
        <w:top w:val="none" w:sz="0" w:space="0" w:color="auto"/>
        <w:left w:val="none" w:sz="0" w:space="0" w:color="auto"/>
        <w:bottom w:val="none" w:sz="0" w:space="0" w:color="auto"/>
        <w:right w:val="none" w:sz="0" w:space="0" w:color="auto"/>
      </w:divBdr>
    </w:div>
    <w:div w:id="2035156873">
      <w:bodyDiv w:val="1"/>
      <w:marLeft w:val="0"/>
      <w:marRight w:val="0"/>
      <w:marTop w:val="0"/>
      <w:marBottom w:val="0"/>
      <w:divBdr>
        <w:top w:val="none" w:sz="0" w:space="0" w:color="auto"/>
        <w:left w:val="none" w:sz="0" w:space="0" w:color="auto"/>
        <w:bottom w:val="none" w:sz="0" w:space="0" w:color="auto"/>
        <w:right w:val="none" w:sz="0" w:space="0" w:color="auto"/>
      </w:divBdr>
    </w:div>
    <w:div w:id="2035576462">
      <w:bodyDiv w:val="1"/>
      <w:marLeft w:val="0"/>
      <w:marRight w:val="0"/>
      <w:marTop w:val="0"/>
      <w:marBottom w:val="0"/>
      <w:divBdr>
        <w:top w:val="none" w:sz="0" w:space="0" w:color="auto"/>
        <w:left w:val="none" w:sz="0" w:space="0" w:color="auto"/>
        <w:bottom w:val="none" w:sz="0" w:space="0" w:color="auto"/>
        <w:right w:val="none" w:sz="0" w:space="0" w:color="auto"/>
      </w:divBdr>
    </w:div>
    <w:div w:id="2035839995">
      <w:bodyDiv w:val="1"/>
      <w:marLeft w:val="0"/>
      <w:marRight w:val="0"/>
      <w:marTop w:val="0"/>
      <w:marBottom w:val="0"/>
      <w:divBdr>
        <w:top w:val="none" w:sz="0" w:space="0" w:color="auto"/>
        <w:left w:val="none" w:sz="0" w:space="0" w:color="auto"/>
        <w:bottom w:val="none" w:sz="0" w:space="0" w:color="auto"/>
        <w:right w:val="none" w:sz="0" w:space="0" w:color="auto"/>
      </w:divBdr>
    </w:div>
    <w:div w:id="2036611552">
      <w:bodyDiv w:val="1"/>
      <w:marLeft w:val="0"/>
      <w:marRight w:val="0"/>
      <w:marTop w:val="0"/>
      <w:marBottom w:val="0"/>
      <w:divBdr>
        <w:top w:val="none" w:sz="0" w:space="0" w:color="auto"/>
        <w:left w:val="none" w:sz="0" w:space="0" w:color="auto"/>
        <w:bottom w:val="none" w:sz="0" w:space="0" w:color="auto"/>
        <w:right w:val="none" w:sz="0" w:space="0" w:color="auto"/>
      </w:divBdr>
    </w:div>
    <w:div w:id="2036736036">
      <w:bodyDiv w:val="1"/>
      <w:marLeft w:val="0"/>
      <w:marRight w:val="0"/>
      <w:marTop w:val="0"/>
      <w:marBottom w:val="0"/>
      <w:divBdr>
        <w:top w:val="none" w:sz="0" w:space="0" w:color="auto"/>
        <w:left w:val="none" w:sz="0" w:space="0" w:color="auto"/>
        <w:bottom w:val="none" w:sz="0" w:space="0" w:color="auto"/>
        <w:right w:val="none" w:sz="0" w:space="0" w:color="auto"/>
      </w:divBdr>
    </w:div>
    <w:div w:id="2036760495">
      <w:bodyDiv w:val="1"/>
      <w:marLeft w:val="0"/>
      <w:marRight w:val="0"/>
      <w:marTop w:val="0"/>
      <w:marBottom w:val="0"/>
      <w:divBdr>
        <w:top w:val="none" w:sz="0" w:space="0" w:color="auto"/>
        <w:left w:val="none" w:sz="0" w:space="0" w:color="auto"/>
        <w:bottom w:val="none" w:sz="0" w:space="0" w:color="auto"/>
        <w:right w:val="none" w:sz="0" w:space="0" w:color="auto"/>
      </w:divBdr>
    </w:div>
    <w:div w:id="2037122741">
      <w:bodyDiv w:val="1"/>
      <w:marLeft w:val="0"/>
      <w:marRight w:val="0"/>
      <w:marTop w:val="0"/>
      <w:marBottom w:val="0"/>
      <w:divBdr>
        <w:top w:val="none" w:sz="0" w:space="0" w:color="auto"/>
        <w:left w:val="none" w:sz="0" w:space="0" w:color="auto"/>
        <w:bottom w:val="none" w:sz="0" w:space="0" w:color="auto"/>
        <w:right w:val="none" w:sz="0" w:space="0" w:color="auto"/>
      </w:divBdr>
    </w:div>
    <w:div w:id="2037660202">
      <w:bodyDiv w:val="1"/>
      <w:marLeft w:val="0"/>
      <w:marRight w:val="0"/>
      <w:marTop w:val="0"/>
      <w:marBottom w:val="0"/>
      <w:divBdr>
        <w:top w:val="none" w:sz="0" w:space="0" w:color="auto"/>
        <w:left w:val="none" w:sz="0" w:space="0" w:color="auto"/>
        <w:bottom w:val="none" w:sz="0" w:space="0" w:color="auto"/>
        <w:right w:val="none" w:sz="0" w:space="0" w:color="auto"/>
      </w:divBdr>
    </w:div>
    <w:div w:id="2038576467">
      <w:bodyDiv w:val="1"/>
      <w:marLeft w:val="0"/>
      <w:marRight w:val="0"/>
      <w:marTop w:val="0"/>
      <w:marBottom w:val="0"/>
      <w:divBdr>
        <w:top w:val="none" w:sz="0" w:space="0" w:color="auto"/>
        <w:left w:val="none" w:sz="0" w:space="0" w:color="auto"/>
        <w:bottom w:val="none" w:sz="0" w:space="0" w:color="auto"/>
        <w:right w:val="none" w:sz="0" w:space="0" w:color="auto"/>
      </w:divBdr>
    </w:div>
    <w:div w:id="2038772720">
      <w:bodyDiv w:val="1"/>
      <w:marLeft w:val="0"/>
      <w:marRight w:val="0"/>
      <w:marTop w:val="0"/>
      <w:marBottom w:val="0"/>
      <w:divBdr>
        <w:top w:val="none" w:sz="0" w:space="0" w:color="auto"/>
        <w:left w:val="none" w:sz="0" w:space="0" w:color="auto"/>
        <w:bottom w:val="none" w:sz="0" w:space="0" w:color="auto"/>
        <w:right w:val="none" w:sz="0" w:space="0" w:color="auto"/>
      </w:divBdr>
    </w:div>
    <w:div w:id="2038849307">
      <w:bodyDiv w:val="1"/>
      <w:marLeft w:val="0"/>
      <w:marRight w:val="0"/>
      <w:marTop w:val="0"/>
      <w:marBottom w:val="0"/>
      <w:divBdr>
        <w:top w:val="none" w:sz="0" w:space="0" w:color="auto"/>
        <w:left w:val="none" w:sz="0" w:space="0" w:color="auto"/>
        <w:bottom w:val="none" w:sz="0" w:space="0" w:color="auto"/>
        <w:right w:val="none" w:sz="0" w:space="0" w:color="auto"/>
      </w:divBdr>
    </w:div>
    <w:div w:id="2039044373">
      <w:bodyDiv w:val="1"/>
      <w:marLeft w:val="0"/>
      <w:marRight w:val="0"/>
      <w:marTop w:val="0"/>
      <w:marBottom w:val="0"/>
      <w:divBdr>
        <w:top w:val="none" w:sz="0" w:space="0" w:color="auto"/>
        <w:left w:val="none" w:sz="0" w:space="0" w:color="auto"/>
        <w:bottom w:val="none" w:sz="0" w:space="0" w:color="auto"/>
        <w:right w:val="none" w:sz="0" w:space="0" w:color="auto"/>
      </w:divBdr>
    </w:div>
    <w:div w:id="2039112457">
      <w:bodyDiv w:val="1"/>
      <w:marLeft w:val="0"/>
      <w:marRight w:val="0"/>
      <w:marTop w:val="0"/>
      <w:marBottom w:val="0"/>
      <w:divBdr>
        <w:top w:val="none" w:sz="0" w:space="0" w:color="auto"/>
        <w:left w:val="none" w:sz="0" w:space="0" w:color="auto"/>
        <w:bottom w:val="none" w:sz="0" w:space="0" w:color="auto"/>
        <w:right w:val="none" w:sz="0" w:space="0" w:color="auto"/>
      </w:divBdr>
    </w:div>
    <w:div w:id="2039115605">
      <w:bodyDiv w:val="1"/>
      <w:marLeft w:val="0"/>
      <w:marRight w:val="0"/>
      <w:marTop w:val="0"/>
      <w:marBottom w:val="0"/>
      <w:divBdr>
        <w:top w:val="none" w:sz="0" w:space="0" w:color="auto"/>
        <w:left w:val="none" w:sz="0" w:space="0" w:color="auto"/>
        <w:bottom w:val="none" w:sz="0" w:space="0" w:color="auto"/>
        <w:right w:val="none" w:sz="0" w:space="0" w:color="auto"/>
      </w:divBdr>
    </w:div>
    <w:div w:id="2039501764">
      <w:bodyDiv w:val="1"/>
      <w:marLeft w:val="0"/>
      <w:marRight w:val="0"/>
      <w:marTop w:val="0"/>
      <w:marBottom w:val="0"/>
      <w:divBdr>
        <w:top w:val="none" w:sz="0" w:space="0" w:color="auto"/>
        <w:left w:val="none" w:sz="0" w:space="0" w:color="auto"/>
        <w:bottom w:val="none" w:sz="0" w:space="0" w:color="auto"/>
        <w:right w:val="none" w:sz="0" w:space="0" w:color="auto"/>
      </w:divBdr>
    </w:div>
    <w:div w:id="2039621366">
      <w:bodyDiv w:val="1"/>
      <w:marLeft w:val="0"/>
      <w:marRight w:val="0"/>
      <w:marTop w:val="0"/>
      <w:marBottom w:val="0"/>
      <w:divBdr>
        <w:top w:val="none" w:sz="0" w:space="0" w:color="auto"/>
        <w:left w:val="none" w:sz="0" w:space="0" w:color="auto"/>
        <w:bottom w:val="none" w:sz="0" w:space="0" w:color="auto"/>
        <w:right w:val="none" w:sz="0" w:space="0" w:color="auto"/>
      </w:divBdr>
    </w:div>
    <w:div w:id="2039812423">
      <w:bodyDiv w:val="1"/>
      <w:marLeft w:val="0"/>
      <w:marRight w:val="0"/>
      <w:marTop w:val="0"/>
      <w:marBottom w:val="0"/>
      <w:divBdr>
        <w:top w:val="none" w:sz="0" w:space="0" w:color="auto"/>
        <w:left w:val="none" w:sz="0" w:space="0" w:color="auto"/>
        <w:bottom w:val="none" w:sz="0" w:space="0" w:color="auto"/>
        <w:right w:val="none" w:sz="0" w:space="0" w:color="auto"/>
      </w:divBdr>
    </w:div>
    <w:div w:id="2039962327">
      <w:bodyDiv w:val="1"/>
      <w:marLeft w:val="0"/>
      <w:marRight w:val="0"/>
      <w:marTop w:val="0"/>
      <w:marBottom w:val="0"/>
      <w:divBdr>
        <w:top w:val="none" w:sz="0" w:space="0" w:color="auto"/>
        <w:left w:val="none" w:sz="0" w:space="0" w:color="auto"/>
        <w:bottom w:val="none" w:sz="0" w:space="0" w:color="auto"/>
        <w:right w:val="none" w:sz="0" w:space="0" w:color="auto"/>
      </w:divBdr>
    </w:div>
    <w:div w:id="2040159038">
      <w:bodyDiv w:val="1"/>
      <w:marLeft w:val="0"/>
      <w:marRight w:val="0"/>
      <w:marTop w:val="0"/>
      <w:marBottom w:val="0"/>
      <w:divBdr>
        <w:top w:val="none" w:sz="0" w:space="0" w:color="auto"/>
        <w:left w:val="none" w:sz="0" w:space="0" w:color="auto"/>
        <w:bottom w:val="none" w:sz="0" w:space="0" w:color="auto"/>
        <w:right w:val="none" w:sz="0" w:space="0" w:color="auto"/>
      </w:divBdr>
    </w:div>
    <w:div w:id="2040204445">
      <w:bodyDiv w:val="1"/>
      <w:marLeft w:val="0"/>
      <w:marRight w:val="0"/>
      <w:marTop w:val="0"/>
      <w:marBottom w:val="0"/>
      <w:divBdr>
        <w:top w:val="none" w:sz="0" w:space="0" w:color="auto"/>
        <w:left w:val="none" w:sz="0" w:space="0" w:color="auto"/>
        <w:bottom w:val="none" w:sz="0" w:space="0" w:color="auto"/>
        <w:right w:val="none" w:sz="0" w:space="0" w:color="auto"/>
      </w:divBdr>
    </w:div>
    <w:div w:id="2040886662">
      <w:bodyDiv w:val="1"/>
      <w:marLeft w:val="0"/>
      <w:marRight w:val="0"/>
      <w:marTop w:val="0"/>
      <w:marBottom w:val="0"/>
      <w:divBdr>
        <w:top w:val="none" w:sz="0" w:space="0" w:color="auto"/>
        <w:left w:val="none" w:sz="0" w:space="0" w:color="auto"/>
        <w:bottom w:val="none" w:sz="0" w:space="0" w:color="auto"/>
        <w:right w:val="none" w:sz="0" w:space="0" w:color="auto"/>
      </w:divBdr>
    </w:div>
    <w:div w:id="2040887185">
      <w:bodyDiv w:val="1"/>
      <w:marLeft w:val="0"/>
      <w:marRight w:val="0"/>
      <w:marTop w:val="0"/>
      <w:marBottom w:val="0"/>
      <w:divBdr>
        <w:top w:val="none" w:sz="0" w:space="0" w:color="auto"/>
        <w:left w:val="none" w:sz="0" w:space="0" w:color="auto"/>
        <w:bottom w:val="none" w:sz="0" w:space="0" w:color="auto"/>
        <w:right w:val="none" w:sz="0" w:space="0" w:color="auto"/>
      </w:divBdr>
    </w:div>
    <w:div w:id="2041010694">
      <w:bodyDiv w:val="1"/>
      <w:marLeft w:val="0"/>
      <w:marRight w:val="0"/>
      <w:marTop w:val="0"/>
      <w:marBottom w:val="0"/>
      <w:divBdr>
        <w:top w:val="none" w:sz="0" w:space="0" w:color="auto"/>
        <w:left w:val="none" w:sz="0" w:space="0" w:color="auto"/>
        <w:bottom w:val="none" w:sz="0" w:space="0" w:color="auto"/>
        <w:right w:val="none" w:sz="0" w:space="0" w:color="auto"/>
      </w:divBdr>
    </w:div>
    <w:div w:id="2041464807">
      <w:bodyDiv w:val="1"/>
      <w:marLeft w:val="0"/>
      <w:marRight w:val="0"/>
      <w:marTop w:val="0"/>
      <w:marBottom w:val="0"/>
      <w:divBdr>
        <w:top w:val="none" w:sz="0" w:space="0" w:color="auto"/>
        <w:left w:val="none" w:sz="0" w:space="0" w:color="auto"/>
        <w:bottom w:val="none" w:sz="0" w:space="0" w:color="auto"/>
        <w:right w:val="none" w:sz="0" w:space="0" w:color="auto"/>
      </w:divBdr>
    </w:div>
    <w:div w:id="2042123810">
      <w:bodyDiv w:val="1"/>
      <w:marLeft w:val="0"/>
      <w:marRight w:val="0"/>
      <w:marTop w:val="0"/>
      <w:marBottom w:val="0"/>
      <w:divBdr>
        <w:top w:val="none" w:sz="0" w:space="0" w:color="auto"/>
        <w:left w:val="none" w:sz="0" w:space="0" w:color="auto"/>
        <w:bottom w:val="none" w:sz="0" w:space="0" w:color="auto"/>
        <w:right w:val="none" w:sz="0" w:space="0" w:color="auto"/>
      </w:divBdr>
    </w:div>
    <w:div w:id="2042510593">
      <w:bodyDiv w:val="1"/>
      <w:marLeft w:val="0"/>
      <w:marRight w:val="0"/>
      <w:marTop w:val="0"/>
      <w:marBottom w:val="0"/>
      <w:divBdr>
        <w:top w:val="none" w:sz="0" w:space="0" w:color="auto"/>
        <w:left w:val="none" w:sz="0" w:space="0" w:color="auto"/>
        <w:bottom w:val="none" w:sz="0" w:space="0" w:color="auto"/>
        <w:right w:val="none" w:sz="0" w:space="0" w:color="auto"/>
      </w:divBdr>
    </w:div>
    <w:div w:id="2042589322">
      <w:bodyDiv w:val="1"/>
      <w:marLeft w:val="0"/>
      <w:marRight w:val="0"/>
      <w:marTop w:val="0"/>
      <w:marBottom w:val="0"/>
      <w:divBdr>
        <w:top w:val="none" w:sz="0" w:space="0" w:color="auto"/>
        <w:left w:val="none" w:sz="0" w:space="0" w:color="auto"/>
        <w:bottom w:val="none" w:sz="0" w:space="0" w:color="auto"/>
        <w:right w:val="none" w:sz="0" w:space="0" w:color="auto"/>
      </w:divBdr>
    </w:div>
    <w:div w:id="2042709280">
      <w:bodyDiv w:val="1"/>
      <w:marLeft w:val="0"/>
      <w:marRight w:val="0"/>
      <w:marTop w:val="0"/>
      <w:marBottom w:val="0"/>
      <w:divBdr>
        <w:top w:val="none" w:sz="0" w:space="0" w:color="auto"/>
        <w:left w:val="none" w:sz="0" w:space="0" w:color="auto"/>
        <w:bottom w:val="none" w:sz="0" w:space="0" w:color="auto"/>
        <w:right w:val="none" w:sz="0" w:space="0" w:color="auto"/>
      </w:divBdr>
    </w:div>
    <w:div w:id="2043163524">
      <w:bodyDiv w:val="1"/>
      <w:marLeft w:val="0"/>
      <w:marRight w:val="0"/>
      <w:marTop w:val="0"/>
      <w:marBottom w:val="0"/>
      <w:divBdr>
        <w:top w:val="none" w:sz="0" w:space="0" w:color="auto"/>
        <w:left w:val="none" w:sz="0" w:space="0" w:color="auto"/>
        <w:bottom w:val="none" w:sz="0" w:space="0" w:color="auto"/>
        <w:right w:val="none" w:sz="0" w:space="0" w:color="auto"/>
      </w:divBdr>
    </w:div>
    <w:div w:id="2043433042">
      <w:bodyDiv w:val="1"/>
      <w:marLeft w:val="0"/>
      <w:marRight w:val="0"/>
      <w:marTop w:val="0"/>
      <w:marBottom w:val="0"/>
      <w:divBdr>
        <w:top w:val="none" w:sz="0" w:space="0" w:color="auto"/>
        <w:left w:val="none" w:sz="0" w:space="0" w:color="auto"/>
        <w:bottom w:val="none" w:sz="0" w:space="0" w:color="auto"/>
        <w:right w:val="none" w:sz="0" w:space="0" w:color="auto"/>
      </w:divBdr>
    </w:div>
    <w:div w:id="2043702821">
      <w:bodyDiv w:val="1"/>
      <w:marLeft w:val="0"/>
      <w:marRight w:val="0"/>
      <w:marTop w:val="0"/>
      <w:marBottom w:val="0"/>
      <w:divBdr>
        <w:top w:val="none" w:sz="0" w:space="0" w:color="auto"/>
        <w:left w:val="none" w:sz="0" w:space="0" w:color="auto"/>
        <w:bottom w:val="none" w:sz="0" w:space="0" w:color="auto"/>
        <w:right w:val="none" w:sz="0" w:space="0" w:color="auto"/>
      </w:divBdr>
    </w:div>
    <w:div w:id="2043705815">
      <w:bodyDiv w:val="1"/>
      <w:marLeft w:val="0"/>
      <w:marRight w:val="0"/>
      <w:marTop w:val="0"/>
      <w:marBottom w:val="0"/>
      <w:divBdr>
        <w:top w:val="none" w:sz="0" w:space="0" w:color="auto"/>
        <w:left w:val="none" w:sz="0" w:space="0" w:color="auto"/>
        <w:bottom w:val="none" w:sz="0" w:space="0" w:color="auto"/>
        <w:right w:val="none" w:sz="0" w:space="0" w:color="auto"/>
      </w:divBdr>
    </w:div>
    <w:div w:id="2043938098">
      <w:bodyDiv w:val="1"/>
      <w:marLeft w:val="0"/>
      <w:marRight w:val="0"/>
      <w:marTop w:val="0"/>
      <w:marBottom w:val="0"/>
      <w:divBdr>
        <w:top w:val="none" w:sz="0" w:space="0" w:color="auto"/>
        <w:left w:val="none" w:sz="0" w:space="0" w:color="auto"/>
        <w:bottom w:val="none" w:sz="0" w:space="0" w:color="auto"/>
        <w:right w:val="none" w:sz="0" w:space="0" w:color="auto"/>
      </w:divBdr>
    </w:div>
    <w:div w:id="2044212508">
      <w:bodyDiv w:val="1"/>
      <w:marLeft w:val="0"/>
      <w:marRight w:val="0"/>
      <w:marTop w:val="0"/>
      <w:marBottom w:val="0"/>
      <w:divBdr>
        <w:top w:val="none" w:sz="0" w:space="0" w:color="auto"/>
        <w:left w:val="none" w:sz="0" w:space="0" w:color="auto"/>
        <w:bottom w:val="none" w:sz="0" w:space="0" w:color="auto"/>
        <w:right w:val="none" w:sz="0" w:space="0" w:color="auto"/>
      </w:divBdr>
    </w:div>
    <w:div w:id="2044280839">
      <w:bodyDiv w:val="1"/>
      <w:marLeft w:val="0"/>
      <w:marRight w:val="0"/>
      <w:marTop w:val="0"/>
      <w:marBottom w:val="0"/>
      <w:divBdr>
        <w:top w:val="none" w:sz="0" w:space="0" w:color="auto"/>
        <w:left w:val="none" w:sz="0" w:space="0" w:color="auto"/>
        <w:bottom w:val="none" w:sz="0" w:space="0" w:color="auto"/>
        <w:right w:val="none" w:sz="0" w:space="0" w:color="auto"/>
      </w:divBdr>
    </w:div>
    <w:div w:id="2044741169">
      <w:bodyDiv w:val="1"/>
      <w:marLeft w:val="0"/>
      <w:marRight w:val="0"/>
      <w:marTop w:val="0"/>
      <w:marBottom w:val="0"/>
      <w:divBdr>
        <w:top w:val="none" w:sz="0" w:space="0" w:color="auto"/>
        <w:left w:val="none" w:sz="0" w:space="0" w:color="auto"/>
        <w:bottom w:val="none" w:sz="0" w:space="0" w:color="auto"/>
        <w:right w:val="none" w:sz="0" w:space="0" w:color="auto"/>
      </w:divBdr>
    </w:div>
    <w:div w:id="2044819575">
      <w:bodyDiv w:val="1"/>
      <w:marLeft w:val="0"/>
      <w:marRight w:val="0"/>
      <w:marTop w:val="0"/>
      <w:marBottom w:val="0"/>
      <w:divBdr>
        <w:top w:val="none" w:sz="0" w:space="0" w:color="auto"/>
        <w:left w:val="none" w:sz="0" w:space="0" w:color="auto"/>
        <w:bottom w:val="none" w:sz="0" w:space="0" w:color="auto"/>
        <w:right w:val="none" w:sz="0" w:space="0" w:color="auto"/>
      </w:divBdr>
    </w:div>
    <w:div w:id="2045204684">
      <w:bodyDiv w:val="1"/>
      <w:marLeft w:val="0"/>
      <w:marRight w:val="0"/>
      <w:marTop w:val="0"/>
      <w:marBottom w:val="0"/>
      <w:divBdr>
        <w:top w:val="none" w:sz="0" w:space="0" w:color="auto"/>
        <w:left w:val="none" w:sz="0" w:space="0" w:color="auto"/>
        <w:bottom w:val="none" w:sz="0" w:space="0" w:color="auto"/>
        <w:right w:val="none" w:sz="0" w:space="0" w:color="auto"/>
      </w:divBdr>
    </w:div>
    <w:div w:id="2045206050">
      <w:bodyDiv w:val="1"/>
      <w:marLeft w:val="0"/>
      <w:marRight w:val="0"/>
      <w:marTop w:val="0"/>
      <w:marBottom w:val="0"/>
      <w:divBdr>
        <w:top w:val="none" w:sz="0" w:space="0" w:color="auto"/>
        <w:left w:val="none" w:sz="0" w:space="0" w:color="auto"/>
        <w:bottom w:val="none" w:sz="0" w:space="0" w:color="auto"/>
        <w:right w:val="none" w:sz="0" w:space="0" w:color="auto"/>
      </w:divBdr>
    </w:div>
    <w:div w:id="2045405542">
      <w:bodyDiv w:val="1"/>
      <w:marLeft w:val="0"/>
      <w:marRight w:val="0"/>
      <w:marTop w:val="0"/>
      <w:marBottom w:val="0"/>
      <w:divBdr>
        <w:top w:val="none" w:sz="0" w:space="0" w:color="auto"/>
        <w:left w:val="none" w:sz="0" w:space="0" w:color="auto"/>
        <w:bottom w:val="none" w:sz="0" w:space="0" w:color="auto"/>
        <w:right w:val="none" w:sz="0" w:space="0" w:color="auto"/>
      </w:divBdr>
    </w:div>
    <w:div w:id="2045591916">
      <w:bodyDiv w:val="1"/>
      <w:marLeft w:val="0"/>
      <w:marRight w:val="0"/>
      <w:marTop w:val="0"/>
      <w:marBottom w:val="0"/>
      <w:divBdr>
        <w:top w:val="none" w:sz="0" w:space="0" w:color="auto"/>
        <w:left w:val="none" w:sz="0" w:space="0" w:color="auto"/>
        <w:bottom w:val="none" w:sz="0" w:space="0" w:color="auto"/>
        <w:right w:val="none" w:sz="0" w:space="0" w:color="auto"/>
      </w:divBdr>
    </w:div>
    <w:div w:id="2045668856">
      <w:bodyDiv w:val="1"/>
      <w:marLeft w:val="0"/>
      <w:marRight w:val="0"/>
      <w:marTop w:val="0"/>
      <w:marBottom w:val="0"/>
      <w:divBdr>
        <w:top w:val="none" w:sz="0" w:space="0" w:color="auto"/>
        <w:left w:val="none" w:sz="0" w:space="0" w:color="auto"/>
        <w:bottom w:val="none" w:sz="0" w:space="0" w:color="auto"/>
        <w:right w:val="none" w:sz="0" w:space="0" w:color="auto"/>
      </w:divBdr>
    </w:div>
    <w:div w:id="2045864541">
      <w:bodyDiv w:val="1"/>
      <w:marLeft w:val="0"/>
      <w:marRight w:val="0"/>
      <w:marTop w:val="0"/>
      <w:marBottom w:val="0"/>
      <w:divBdr>
        <w:top w:val="none" w:sz="0" w:space="0" w:color="auto"/>
        <w:left w:val="none" w:sz="0" w:space="0" w:color="auto"/>
        <w:bottom w:val="none" w:sz="0" w:space="0" w:color="auto"/>
        <w:right w:val="none" w:sz="0" w:space="0" w:color="auto"/>
      </w:divBdr>
    </w:div>
    <w:div w:id="2045905525">
      <w:bodyDiv w:val="1"/>
      <w:marLeft w:val="0"/>
      <w:marRight w:val="0"/>
      <w:marTop w:val="0"/>
      <w:marBottom w:val="0"/>
      <w:divBdr>
        <w:top w:val="none" w:sz="0" w:space="0" w:color="auto"/>
        <w:left w:val="none" w:sz="0" w:space="0" w:color="auto"/>
        <w:bottom w:val="none" w:sz="0" w:space="0" w:color="auto"/>
        <w:right w:val="none" w:sz="0" w:space="0" w:color="auto"/>
      </w:divBdr>
    </w:div>
    <w:div w:id="2045984716">
      <w:bodyDiv w:val="1"/>
      <w:marLeft w:val="0"/>
      <w:marRight w:val="0"/>
      <w:marTop w:val="0"/>
      <w:marBottom w:val="0"/>
      <w:divBdr>
        <w:top w:val="none" w:sz="0" w:space="0" w:color="auto"/>
        <w:left w:val="none" w:sz="0" w:space="0" w:color="auto"/>
        <w:bottom w:val="none" w:sz="0" w:space="0" w:color="auto"/>
        <w:right w:val="none" w:sz="0" w:space="0" w:color="auto"/>
      </w:divBdr>
    </w:div>
    <w:div w:id="2046127740">
      <w:bodyDiv w:val="1"/>
      <w:marLeft w:val="0"/>
      <w:marRight w:val="0"/>
      <w:marTop w:val="0"/>
      <w:marBottom w:val="0"/>
      <w:divBdr>
        <w:top w:val="none" w:sz="0" w:space="0" w:color="auto"/>
        <w:left w:val="none" w:sz="0" w:space="0" w:color="auto"/>
        <w:bottom w:val="none" w:sz="0" w:space="0" w:color="auto"/>
        <w:right w:val="none" w:sz="0" w:space="0" w:color="auto"/>
      </w:divBdr>
    </w:div>
    <w:div w:id="2046362948">
      <w:bodyDiv w:val="1"/>
      <w:marLeft w:val="0"/>
      <w:marRight w:val="0"/>
      <w:marTop w:val="0"/>
      <w:marBottom w:val="0"/>
      <w:divBdr>
        <w:top w:val="none" w:sz="0" w:space="0" w:color="auto"/>
        <w:left w:val="none" w:sz="0" w:space="0" w:color="auto"/>
        <w:bottom w:val="none" w:sz="0" w:space="0" w:color="auto"/>
        <w:right w:val="none" w:sz="0" w:space="0" w:color="auto"/>
      </w:divBdr>
    </w:div>
    <w:div w:id="2046830228">
      <w:bodyDiv w:val="1"/>
      <w:marLeft w:val="0"/>
      <w:marRight w:val="0"/>
      <w:marTop w:val="0"/>
      <w:marBottom w:val="0"/>
      <w:divBdr>
        <w:top w:val="none" w:sz="0" w:space="0" w:color="auto"/>
        <w:left w:val="none" w:sz="0" w:space="0" w:color="auto"/>
        <w:bottom w:val="none" w:sz="0" w:space="0" w:color="auto"/>
        <w:right w:val="none" w:sz="0" w:space="0" w:color="auto"/>
      </w:divBdr>
    </w:div>
    <w:div w:id="2046904686">
      <w:bodyDiv w:val="1"/>
      <w:marLeft w:val="0"/>
      <w:marRight w:val="0"/>
      <w:marTop w:val="0"/>
      <w:marBottom w:val="0"/>
      <w:divBdr>
        <w:top w:val="none" w:sz="0" w:space="0" w:color="auto"/>
        <w:left w:val="none" w:sz="0" w:space="0" w:color="auto"/>
        <w:bottom w:val="none" w:sz="0" w:space="0" w:color="auto"/>
        <w:right w:val="none" w:sz="0" w:space="0" w:color="auto"/>
      </w:divBdr>
    </w:div>
    <w:div w:id="2047023837">
      <w:bodyDiv w:val="1"/>
      <w:marLeft w:val="0"/>
      <w:marRight w:val="0"/>
      <w:marTop w:val="0"/>
      <w:marBottom w:val="0"/>
      <w:divBdr>
        <w:top w:val="none" w:sz="0" w:space="0" w:color="auto"/>
        <w:left w:val="none" w:sz="0" w:space="0" w:color="auto"/>
        <w:bottom w:val="none" w:sz="0" w:space="0" w:color="auto"/>
        <w:right w:val="none" w:sz="0" w:space="0" w:color="auto"/>
      </w:divBdr>
    </w:div>
    <w:div w:id="2047024934">
      <w:bodyDiv w:val="1"/>
      <w:marLeft w:val="0"/>
      <w:marRight w:val="0"/>
      <w:marTop w:val="0"/>
      <w:marBottom w:val="0"/>
      <w:divBdr>
        <w:top w:val="none" w:sz="0" w:space="0" w:color="auto"/>
        <w:left w:val="none" w:sz="0" w:space="0" w:color="auto"/>
        <w:bottom w:val="none" w:sz="0" w:space="0" w:color="auto"/>
        <w:right w:val="none" w:sz="0" w:space="0" w:color="auto"/>
      </w:divBdr>
    </w:div>
    <w:div w:id="2047171404">
      <w:bodyDiv w:val="1"/>
      <w:marLeft w:val="0"/>
      <w:marRight w:val="0"/>
      <w:marTop w:val="0"/>
      <w:marBottom w:val="0"/>
      <w:divBdr>
        <w:top w:val="none" w:sz="0" w:space="0" w:color="auto"/>
        <w:left w:val="none" w:sz="0" w:space="0" w:color="auto"/>
        <w:bottom w:val="none" w:sz="0" w:space="0" w:color="auto"/>
        <w:right w:val="none" w:sz="0" w:space="0" w:color="auto"/>
      </w:divBdr>
    </w:div>
    <w:div w:id="2047244690">
      <w:bodyDiv w:val="1"/>
      <w:marLeft w:val="0"/>
      <w:marRight w:val="0"/>
      <w:marTop w:val="0"/>
      <w:marBottom w:val="0"/>
      <w:divBdr>
        <w:top w:val="none" w:sz="0" w:space="0" w:color="auto"/>
        <w:left w:val="none" w:sz="0" w:space="0" w:color="auto"/>
        <w:bottom w:val="none" w:sz="0" w:space="0" w:color="auto"/>
        <w:right w:val="none" w:sz="0" w:space="0" w:color="auto"/>
      </w:divBdr>
    </w:div>
    <w:div w:id="2047483860">
      <w:bodyDiv w:val="1"/>
      <w:marLeft w:val="0"/>
      <w:marRight w:val="0"/>
      <w:marTop w:val="0"/>
      <w:marBottom w:val="0"/>
      <w:divBdr>
        <w:top w:val="none" w:sz="0" w:space="0" w:color="auto"/>
        <w:left w:val="none" w:sz="0" w:space="0" w:color="auto"/>
        <w:bottom w:val="none" w:sz="0" w:space="0" w:color="auto"/>
        <w:right w:val="none" w:sz="0" w:space="0" w:color="auto"/>
      </w:divBdr>
    </w:div>
    <w:div w:id="2047750807">
      <w:bodyDiv w:val="1"/>
      <w:marLeft w:val="0"/>
      <w:marRight w:val="0"/>
      <w:marTop w:val="0"/>
      <w:marBottom w:val="0"/>
      <w:divBdr>
        <w:top w:val="none" w:sz="0" w:space="0" w:color="auto"/>
        <w:left w:val="none" w:sz="0" w:space="0" w:color="auto"/>
        <w:bottom w:val="none" w:sz="0" w:space="0" w:color="auto"/>
        <w:right w:val="none" w:sz="0" w:space="0" w:color="auto"/>
      </w:divBdr>
    </w:div>
    <w:div w:id="2047942647">
      <w:bodyDiv w:val="1"/>
      <w:marLeft w:val="0"/>
      <w:marRight w:val="0"/>
      <w:marTop w:val="0"/>
      <w:marBottom w:val="0"/>
      <w:divBdr>
        <w:top w:val="none" w:sz="0" w:space="0" w:color="auto"/>
        <w:left w:val="none" w:sz="0" w:space="0" w:color="auto"/>
        <w:bottom w:val="none" w:sz="0" w:space="0" w:color="auto"/>
        <w:right w:val="none" w:sz="0" w:space="0" w:color="auto"/>
      </w:divBdr>
    </w:div>
    <w:div w:id="2047944492">
      <w:bodyDiv w:val="1"/>
      <w:marLeft w:val="0"/>
      <w:marRight w:val="0"/>
      <w:marTop w:val="0"/>
      <w:marBottom w:val="0"/>
      <w:divBdr>
        <w:top w:val="none" w:sz="0" w:space="0" w:color="auto"/>
        <w:left w:val="none" w:sz="0" w:space="0" w:color="auto"/>
        <w:bottom w:val="none" w:sz="0" w:space="0" w:color="auto"/>
        <w:right w:val="none" w:sz="0" w:space="0" w:color="auto"/>
      </w:divBdr>
    </w:div>
    <w:div w:id="2048263067">
      <w:bodyDiv w:val="1"/>
      <w:marLeft w:val="0"/>
      <w:marRight w:val="0"/>
      <w:marTop w:val="0"/>
      <w:marBottom w:val="0"/>
      <w:divBdr>
        <w:top w:val="none" w:sz="0" w:space="0" w:color="auto"/>
        <w:left w:val="none" w:sz="0" w:space="0" w:color="auto"/>
        <w:bottom w:val="none" w:sz="0" w:space="0" w:color="auto"/>
        <w:right w:val="none" w:sz="0" w:space="0" w:color="auto"/>
      </w:divBdr>
    </w:div>
    <w:div w:id="2048678226">
      <w:bodyDiv w:val="1"/>
      <w:marLeft w:val="0"/>
      <w:marRight w:val="0"/>
      <w:marTop w:val="0"/>
      <w:marBottom w:val="0"/>
      <w:divBdr>
        <w:top w:val="none" w:sz="0" w:space="0" w:color="auto"/>
        <w:left w:val="none" w:sz="0" w:space="0" w:color="auto"/>
        <w:bottom w:val="none" w:sz="0" w:space="0" w:color="auto"/>
        <w:right w:val="none" w:sz="0" w:space="0" w:color="auto"/>
      </w:divBdr>
    </w:div>
    <w:div w:id="2048681863">
      <w:bodyDiv w:val="1"/>
      <w:marLeft w:val="0"/>
      <w:marRight w:val="0"/>
      <w:marTop w:val="0"/>
      <w:marBottom w:val="0"/>
      <w:divBdr>
        <w:top w:val="none" w:sz="0" w:space="0" w:color="auto"/>
        <w:left w:val="none" w:sz="0" w:space="0" w:color="auto"/>
        <w:bottom w:val="none" w:sz="0" w:space="0" w:color="auto"/>
        <w:right w:val="none" w:sz="0" w:space="0" w:color="auto"/>
      </w:divBdr>
    </w:div>
    <w:div w:id="2048799597">
      <w:bodyDiv w:val="1"/>
      <w:marLeft w:val="0"/>
      <w:marRight w:val="0"/>
      <w:marTop w:val="0"/>
      <w:marBottom w:val="0"/>
      <w:divBdr>
        <w:top w:val="none" w:sz="0" w:space="0" w:color="auto"/>
        <w:left w:val="none" w:sz="0" w:space="0" w:color="auto"/>
        <w:bottom w:val="none" w:sz="0" w:space="0" w:color="auto"/>
        <w:right w:val="none" w:sz="0" w:space="0" w:color="auto"/>
      </w:divBdr>
    </w:div>
    <w:div w:id="2050563701">
      <w:bodyDiv w:val="1"/>
      <w:marLeft w:val="0"/>
      <w:marRight w:val="0"/>
      <w:marTop w:val="0"/>
      <w:marBottom w:val="0"/>
      <w:divBdr>
        <w:top w:val="none" w:sz="0" w:space="0" w:color="auto"/>
        <w:left w:val="none" w:sz="0" w:space="0" w:color="auto"/>
        <w:bottom w:val="none" w:sz="0" w:space="0" w:color="auto"/>
        <w:right w:val="none" w:sz="0" w:space="0" w:color="auto"/>
      </w:divBdr>
    </w:div>
    <w:div w:id="2050568786">
      <w:bodyDiv w:val="1"/>
      <w:marLeft w:val="0"/>
      <w:marRight w:val="0"/>
      <w:marTop w:val="0"/>
      <w:marBottom w:val="0"/>
      <w:divBdr>
        <w:top w:val="none" w:sz="0" w:space="0" w:color="auto"/>
        <w:left w:val="none" w:sz="0" w:space="0" w:color="auto"/>
        <w:bottom w:val="none" w:sz="0" w:space="0" w:color="auto"/>
        <w:right w:val="none" w:sz="0" w:space="0" w:color="auto"/>
      </w:divBdr>
    </w:div>
    <w:div w:id="2051343301">
      <w:bodyDiv w:val="1"/>
      <w:marLeft w:val="0"/>
      <w:marRight w:val="0"/>
      <w:marTop w:val="0"/>
      <w:marBottom w:val="0"/>
      <w:divBdr>
        <w:top w:val="none" w:sz="0" w:space="0" w:color="auto"/>
        <w:left w:val="none" w:sz="0" w:space="0" w:color="auto"/>
        <w:bottom w:val="none" w:sz="0" w:space="0" w:color="auto"/>
        <w:right w:val="none" w:sz="0" w:space="0" w:color="auto"/>
      </w:divBdr>
    </w:div>
    <w:div w:id="2051488279">
      <w:bodyDiv w:val="1"/>
      <w:marLeft w:val="0"/>
      <w:marRight w:val="0"/>
      <w:marTop w:val="0"/>
      <w:marBottom w:val="0"/>
      <w:divBdr>
        <w:top w:val="none" w:sz="0" w:space="0" w:color="auto"/>
        <w:left w:val="none" w:sz="0" w:space="0" w:color="auto"/>
        <w:bottom w:val="none" w:sz="0" w:space="0" w:color="auto"/>
        <w:right w:val="none" w:sz="0" w:space="0" w:color="auto"/>
      </w:divBdr>
    </w:div>
    <w:div w:id="2051566324">
      <w:bodyDiv w:val="1"/>
      <w:marLeft w:val="0"/>
      <w:marRight w:val="0"/>
      <w:marTop w:val="0"/>
      <w:marBottom w:val="0"/>
      <w:divBdr>
        <w:top w:val="none" w:sz="0" w:space="0" w:color="auto"/>
        <w:left w:val="none" w:sz="0" w:space="0" w:color="auto"/>
        <w:bottom w:val="none" w:sz="0" w:space="0" w:color="auto"/>
        <w:right w:val="none" w:sz="0" w:space="0" w:color="auto"/>
      </w:divBdr>
    </w:div>
    <w:div w:id="2051609623">
      <w:bodyDiv w:val="1"/>
      <w:marLeft w:val="0"/>
      <w:marRight w:val="0"/>
      <w:marTop w:val="0"/>
      <w:marBottom w:val="0"/>
      <w:divBdr>
        <w:top w:val="none" w:sz="0" w:space="0" w:color="auto"/>
        <w:left w:val="none" w:sz="0" w:space="0" w:color="auto"/>
        <w:bottom w:val="none" w:sz="0" w:space="0" w:color="auto"/>
        <w:right w:val="none" w:sz="0" w:space="0" w:color="auto"/>
      </w:divBdr>
    </w:div>
    <w:div w:id="2051613240">
      <w:bodyDiv w:val="1"/>
      <w:marLeft w:val="0"/>
      <w:marRight w:val="0"/>
      <w:marTop w:val="0"/>
      <w:marBottom w:val="0"/>
      <w:divBdr>
        <w:top w:val="none" w:sz="0" w:space="0" w:color="auto"/>
        <w:left w:val="none" w:sz="0" w:space="0" w:color="auto"/>
        <w:bottom w:val="none" w:sz="0" w:space="0" w:color="auto"/>
        <w:right w:val="none" w:sz="0" w:space="0" w:color="auto"/>
      </w:divBdr>
    </w:div>
    <w:div w:id="2051951633">
      <w:bodyDiv w:val="1"/>
      <w:marLeft w:val="0"/>
      <w:marRight w:val="0"/>
      <w:marTop w:val="0"/>
      <w:marBottom w:val="0"/>
      <w:divBdr>
        <w:top w:val="none" w:sz="0" w:space="0" w:color="auto"/>
        <w:left w:val="none" w:sz="0" w:space="0" w:color="auto"/>
        <w:bottom w:val="none" w:sz="0" w:space="0" w:color="auto"/>
        <w:right w:val="none" w:sz="0" w:space="0" w:color="auto"/>
      </w:divBdr>
    </w:div>
    <w:div w:id="2052143729">
      <w:bodyDiv w:val="1"/>
      <w:marLeft w:val="0"/>
      <w:marRight w:val="0"/>
      <w:marTop w:val="0"/>
      <w:marBottom w:val="0"/>
      <w:divBdr>
        <w:top w:val="none" w:sz="0" w:space="0" w:color="auto"/>
        <w:left w:val="none" w:sz="0" w:space="0" w:color="auto"/>
        <w:bottom w:val="none" w:sz="0" w:space="0" w:color="auto"/>
        <w:right w:val="none" w:sz="0" w:space="0" w:color="auto"/>
      </w:divBdr>
    </w:div>
    <w:div w:id="2052149168">
      <w:bodyDiv w:val="1"/>
      <w:marLeft w:val="0"/>
      <w:marRight w:val="0"/>
      <w:marTop w:val="0"/>
      <w:marBottom w:val="0"/>
      <w:divBdr>
        <w:top w:val="none" w:sz="0" w:space="0" w:color="auto"/>
        <w:left w:val="none" w:sz="0" w:space="0" w:color="auto"/>
        <w:bottom w:val="none" w:sz="0" w:space="0" w:color="auto"/>
        <w:right w:val="none" w:sz="0" w:space="0" w:color="auto"/>
      </w:divBdr>
    </w:div>
    <w:div w:id="2052339933">
      <w:bodyDiv w:val="1"/>
      <w:marLeft w:val="0"/>
      <w:marRight w:val="0"/>
      <w:marTop w:val="0"/>
      <w:marBottom w:val="0"/>
      <w:divBdr>
        <w:top w:val="none" w:sz="0" w:space="0" w:color="auto"/>
        <w:left w:val="none" w:sz="0" w:space="0" w:color="auto"/>
        <w:bottom w:val="none" w:sz="0" w:space="0" w:color="auto"/>
        <w:right w:val="none" w:sz="0" w:space="0" w:color="auto"/>
      </w:divBdr>
    </w:div>
    <w:div w:id="2052876225">
      <w:bodyDiv w:val="1"/>
      <w:marLeft w:val="0"/>
      <w:marRight w:val="0"/>
      <w:marTop w:val="0"/>
      <w:marBottom w:val="0"/>
      <w:divBdr>
        <w:top w:val="none" w:sz="0" w:space="0" w:color="auto"/>
        <w:left w:val="none" w:sz="0" w:space="0" w:color="auto"/>
        <w:bottom w:val="none" w:sz="0" w:space="0" w:color="auto"/>
        <w:right w:val="none" w:sz="0" w:space="0" w:color="auto"/>
      </w:divBdr>
    </w:div>
    <w:div w:id="2053143118">
      <w:bodyDiv w:val="1"/>
      <w:marLeft w:val="0"/>
      <w:marRight w:val="0"/>
      <w:marTop w:val="0"/>
      <w:marBottom w:val="0"/>
      <w:divBdr>
        <w:top w:val="none" w:sz="0" w:space="0" w:color="auto"/>
        <w:left w:val="none" w:sz="0" w:space="0" w:color="auto"/>
        <w:bottom w:val="none" w:sz="0" w:space="0" w:color="auto"/>
        <w:right w:val="none" w:sz="0" w:space="0" w:color="auto"/>
      </w:divBdr>
    </w:div>
    <w:div w:id="2053383850">
      <w:bodyDiv w:val="1"/>
      <w:marLeft w:val="0"/>
      <w:marRight w:val="0"/>
      <w:marTop w:val="0"/>
      <w:marBottom w:val="0"/>
      <w:divBdr>
        <w:top w:val="none" w:sz="0" w:space="0" w:color="auto"/>
        <w:left w:val="none" w:sz="0" w:space="0" w:color="auto"/>
        <w:bottom w:val="none" w:sz="0" w:space="0" w:color="auto"/>
        <w:right w:val="none" w:sz="0" w:space="0" w:color="auto"/>
      </w:divBdr>
    </w:div>
    <w:div w:id="2053848729">
      <w:bodyDiv w:val="1"/>
      <w:marLeft w:val="0"/>
      <w:marRight w:val="0"/>
      <w:marTop w:val="0"/>
      <w:marBottom w:val="0"/>
      <w:divBdr>
        <w:top w:val="none" w:sz="0" w:space="0" w:color="auto"/>
        <w:left w:val="none" w:sz="0" w:space="0" w:color="auto"/>
        <w:bottom w:val="none" w:sz="0" w:space="0" w:color="auto"/>
        <w:right w:val="none" w:sz="0" w:space="0" w:color="auto"/>
      </w:divBdr>
    </w:div>
    <w:div w:id="2054110957">
      <w:bodyDiv w:val="1"/>
      <w:marLeft w:val="0"/>
      <w:marRight w:val="0"/>
      <w:marTop w:val="0"/>
      <w:marBottom w:val="0"/>
      <w:divBdr>
        <w:top w:val="none" w:sz="0" w:space="0" w:color="auto"/>
        <w:left w:val="none" w:sz="0" w:space="0" w:color="auto"/>
        <w:bottom w:val="none" w:sz="0" w:space="0" w:color="auto"/>
        <w:right w:val="none" w:sz="0" w:space="0" w:color="auto"/>
      </w:divBdr>
    </w:div>
    <w:div w:id="2054303692">
      <w:bodyDiv w:val="1"/>
      <w:marLeft w:val="0"/>
      <w:marRight w:val="0"/>
      <w:marTop w:val="0"/>
      <w:marBottom w:val="0"/>
      <w:divBdr>
        <w:top w:val="none" w:sz="0" w:space="0" w:color="auto"/>
        <w:left w:val="none" w:sz="0" w:space="0" w:color="auto"/>
        <w:bottom w:val="none" w:sz="0" w:space="0" w:color="auto"/>
        <w:right w:val="none" w:sz="0" w:space="0" w:color="auto"/>
      </w:divBdr>
    </w:div>
    <w:div w:id="2054378675">
      <w:bodyDiv w:val="1"/>
      <w:marLeft w:val="0"/>
      <w:marRight w:val="0"/>
      <w:marTop w:val="0"/>
      <w:marBottom w:val="0"/>
      <w:divBdr>
        <w:top w:val="none" w:sz="0" w:space="0" w:color="auto"/>
        <w:left w:val="none" w:sz="0" w:space="0" w:color="auto"/>
        <w:bottom w:val="none" w:sz="0" w:space="0" w:color="auto"/>
        <w:right w:val="none" w:sz="0" w:space="0" w:color="auto"/>
      </w:divBdr>
    </w:div>
    <w:div w:id="2054573914">
      <w:bodyDiv w:val="1"/>
      <w:marLeft w:val="0"/>
      <w:marRight w:val="0"/>
      <w:marTop w:val="0"/>
      <w:marBottom w:val="0"/>
      <w:divBdr>
        <w:top w:val="none" w:sz="0" w:space="0" w:color="auto"/>
        <w:left w:val="none" w:sz="0" w:space="0" w:color="auto"/>
        <w:bottom w:val="none" w:sz="0" w:space="0" w:color="auto"/>
        <w:right w:val="none" w:sz="0" w:space="0" w:color="auto"/>
      </w:divBdr>
    </w:div>
    <w:div w:id="2054767221">
      <w:bodyDiv w:val="1"/>
      <w:marLeft w:val="0"/>
      <w:marRight w:val="0"/>
      <w:marTop w:val="0"/>
      <w:marBottom w:val="0"/>
      <w:divBdr>
        <w:top w:val="none" w:sz="0" w:space="0" w:color="auto"/>
        <w:left w:val="none" w:sz="0" w:space="0" w:color="auto"/>
        <w:bottom w:val="none" w:sz="0" w:space="0" w:color="auto"/>
        <w:right w:val="none" w:sz="0" w:space="0" w:color="auto"/>
      </w:divBdr>
    </w:div>
    <w:div w:id="2055764504">
      <w:bodyDiv w:val="1"/>
      <w:marLeft w:val="0"/>
      <w:marRight w:val="0"/>
      <w:marTop w:val="0"/>
      <w:marBottom w:val="0"/>
      <w:divBdr>
        <w:top w:val="none" w:sz="0" w:space="0" w:color="auto"/>
        <w:left w:val="none" w:sz="0" w:space="0" w:color="auto"/>
        <w:bottom w:val="none" w:sz="0" w:space="0" w:color="auto"/>
        <w:right w:val="none" w:sz="0" w:space="0" w:color="auto"/>
      </w:divBdr>
    </w:div>
    <w:div w:id="2056462241">
      <w:bodyDiv w:val="1"/>
      <w:marLeft w:val="0"/>
      <w:marRight w:val="0"/>
      <w:marTop w:val="0"/>
      <w:marBottom w:val="0"/>
      <w:divBdr>
        <w:top w:val="none" w:sz="0" w:space="0" w:color="auto"/>
        <w:left w:val="none" w:sz="0" w:space="0" w:color="auto"/>
        <w:bottom w:val="none" w:sz="0" w:space="0" w:color="auto"/>
        <w:right w:val="none" w:sz="0" w:space="0" w:color="auto"/>
      </w:divBdr>
    </w:div>
    <w:div w:id="2056465438">
      <w:bodyDiv w:val="1"/>
      <w:marLeft w:val="0"/>
      <w:marRight w:val="0"/>
      <w:marTop w:val="0"/>
      <w:marBottom w:val="0"/>
      <w:divBdr>
        <w:top w:val="none" w:sz="0" w:space="0" w:color="auto"/>
        <w:left w:val="none" w:sz="0" w:space="0" w:color="auto"/>
        <w:bottom w:val="none" w:sz="0" w:space="0" w:color="auto"/>
        <w:right w:val="none" w:sz="0" w:space="0" w:color="auto"/>
      </w:divBdr>
    </w:div>
    <w:div w:id="2056614760">
      <w:bodyDiv w:val="1"/>
      <w:marLeft w:val="0"/>
      <w:marRight w:val="0"/>
      <w:marTop w:val="0"/>
      <w:marBottom w:val="0"/>
      <w:divBdr>
        <w:top w:val="none" w:sz="0" w:space="0" w:color="auto"/>
        <w:left w:val="none" w:sz="0" w:space="0" w:color="auto"/>
        <w:bottom w:val="none" w:sz="0" w:space="0" w:color="auto"/>
        <w:right w:val="none" w:sz="0" w:space="0" w:color="auto"/>
      </w:divBdr>
    </w:div>
    <w:div w:id="2056660963">
      <w:bodyDiv w:val="1"/>
      <w:marLeft w:val="0"/>
      <w:marRight w:val="0"/>
      <w:marTop w:val="0"/>
      <w:marBottom w:val="0"/>
      <w:divBdr>
        <w:top w:val="none" w:sz="0" w:space="0" w:color="auto"/>
        <w:left w:val="none" w:sz="0" w:space="0" w:color="auto"/>
        <w:bottom w:val="none" w:sz="0" w:space="0" w:color="auto"/>
        <w:right w:val="none" w:sz="0" w:space="0" w:color="auto"/>
      </w:divBdr>
    </w:div>
    <w:div w:id="2056808469">
      <w:bodyDiv w:val="1"/>
      <w:marLeft w:val="0"/>
      <w:marRight w:val="0"/>
      <w:marTop w:val="0"/>
      <w:marBottom w:val="0"/>
      <w:divBdr>
        <w:top w:val="none" w:sz="0" w:space="0" w:color="auto"/>
        <w:left w:val="none" w:sz="0" w:space="0" w:color="auto"/>
        <w:bottom w:val="none" w:sz="0" w:space="0" w:color="auto"/>
        <w:right w:val="none" w:sz="0" w:space="0" w:color="auto"/>
      </w:divBdr>
    </w:div>
    <w:div w:id="2056811484">
      <w:bodyDiv w:val="1"/>
      <w:marLeft w:val="0"/>
      <w:marRight w:val="0"/>
      <w:marTop w:val="0"/>
      <w:marBottom w:val="0"/>
      <w:divBdr>
        <w:top w:val="none" w:sz="0" w:space="0" w:color="auto"/>
        <w:left w:val="none" w:sz="0" w:space="0" w:color="auto"/>
        <w:bottom w:val="none" w:sz="0" w:space="0" w:color="auto"/>
        <w:right w:val="none" w:sz="0" w:space="0" w:color="auto"/>
      </w:divBdr>
    </w:div>
    <w:div w:id="2057266834">
      <w:bodyDiv w:val="1"/>
      <w:marLeft w:val="0"/>
      <w:marRight w:val="0"/>
      <w:marTop w:val="0"/>
      <w:marBottom w:val="0"/>
      <w:divBdr>
        <w:top w:val="none" w:sz="0" w:space="0" w:color="auto"/>
        <w:left w:val="none" w:sz="0" w:space="0" w:color="auto"/>
        <w:bottom w:val="none" w:sz="0" w:space="0" w:color="auto"/>
        <w:right w:val="none" w:sz="0" w:space="0" w:color="auto"/>
      </w:divBdr>
    </w:div>
    <w:div w:id="2057387664">
      <w:bodyDiv w:val="1"/>
      <w:marLeft w:val="0"/>
      <w:marRight w:val="0"/>
      <w:marTop w:val="0"/>
      <w:marBottom w:val="0"/>
      <w:divBdr>
        <w:top w:val="none" w:sz="0" w:space="0" w:color="auto"/>
        <w:left w:val="none" w:sz="0" w:space="0" w:color="auto"/>
        <w:bottom w:val="none" w:sz="0" w:space="0" w:color="auto"/>
        <w:right w:val="none" w:sz="0" w:space="0" w:color="auto"/>
      </w:divBdr>
    </w:div>
    <w:div w:id="2057653566">
      <w:bodyDiv w:val="1"/>
      <w:marLeft w:val="0"/>
      <w:marRight w:val="0"/>
      <w:marTop w:val="0"/>
      <w:marBottom w:val="0"/>
      <w:divBdr>
        <w:top w:val="none" w:sz="0" w:space="0" w:color="auto"/>
        <w:left w:val="none" w:sz="0" w:space="0" w:color="auto"/>
        <w:bottom w:val="none" w:sz="0" w:space="0" w:color="auto"/>
        <w:right w:val="none" w:sz="0" w:space="0" w:color="auto"/>
      </w:divBdr>
    </w:div>
    <w:div w:id="2057771904">
      <w:bodyDiv w:val="1"/>
      <w:marLeft w:val="0"/>
      <w:marRight w:val="0"/>
      <w:marTop w:val="0"/>
      <w:marBottom w:val="0"/>
      <w:divBdr>
        <w:top w:val="none" w:sz="0" w:space="0" w:color="auto"/>
        <w:left w:val="none" w:sz="0" w:space="0" w:color="auto"/>
        <w:bottom w:val="none" w:sz="0" w:space="0" w:color="auto"/>
        <w:right w:val="none" w:sz="0" w:space="0" w:color="auto"/>
      </w:divBdr>
    </w:div>
    <w:div w:id="2057850351">
      <w:bodyDiv w:val="1"/>
      <w:marLeft w:val="0"/>
      <w:marRight w:val="0"/>
      <w:marTop w:val="0"/>
      <w:marBottom w:val="0"/>
      <w:divBdr>
        <w:top w:val="none" w:sz="0" w:space="0" w:color="auto"/>
        <w:left w:val="none" w:sz="0" w:space="0" w:color="auto"/>
        <w:bottom w:val="none" w:sz="0" w:space="0" w:color="auto"/>
        <w:right w:val="none" w:sz="0" w:space="0" w:color="auto"/>
      </w:divBdr>
    </w:div>
    <w:div w:id="2058048013">
      <w:bodyDiv w:val="1"/>
      <w:marLeft w:val="0"/>
      <w:marRight w:val="0"/>
      <w:marTop w:val="0"/>
      <w:marBottom w:val="0"/>
      <w:divBdr>
        <w:top w:val="none" w:sz="0" w:space="0" w:color="auto"/>
        <w:left w:val="none" w:sz="0" w:space="0" w:color="auto"/>
        <w:bottom w:val="none" w:sz="0" w:space="0" w:color="auto"/>
        <w:right w:val="none" w:sz="0" w:space="0" w:color="auto"/>
      </w:divBdr>
    </w:div>
    <w:div w:id="2058158198">
      <w:bodyDiv w:val="1"/>
      <w:marLeft w:val="0"/>
      <w:marRight w:val="0"/>
      <w:marTop w:val="0"/>
      <w:marBottom w:val="0"/>
      <w:divBdr>
        <w:top w:val="none" w:sz="0" w:space="0" w:color="auto"/>
        <w:left w:val="none" w:sz="0" w:space="0" w:color="auto"/>
        <w:bottom w:val="none" w:sz="0" w:space="0" w:color="auto"/>
        <w:right w:val="none" w:sz="0" w:space="0" w:color="auto"/>
      </w:divBdr>
    </w:div>
    <w:div w:id="2058235279">
      <w:bodyDiv w:val="1"/>
      <w:marLeft w:val="0"/>
      <w:marRight w:val="0"/>
      <w:marTop w:val="0"/>
      <w:marBottom w:val="0"/>
      <w:divBdr>
        <w:top w:val="none" w:sz="0" w:space="0" w:color="auto"/>
        <w:left w:val="none" w:sz="0" w:space="0" w:color="auto"/>
        <w:bottom w:val="none" w:sz="0" w:space="0" w:color="auto"/>
        <w:right w:val="none" w:sz="0" w:space="0" w:color="auto"/>
      </w:divBdr>
    </w:div>
    <w:div w:id="2059011816">
      <w:bodyDiv w:val="1"/>
      <w:marLeft w:val="0"/>
      <w:marRight w:val="0"/>
      <w:marTop w:val="0"/>
      <w:marBottom w:val="0"/>
      <w:divBdr>
        <w:top w:val="none" w:sz="0" w:space="0" w:color="auto"/>
        <w:left w:val="none" w:sz="0" w:space="0" w:color="auto"/>
        <w:bottom w:val="none" w:sz="0" w:space="0" w:color="auto"/>
        <w:right w:val="none" w:sz="0" w:space="0" w:color="auto"/>
      </w:divBdr>
    </w:div>
    <w:div w:id="2059738954">
      <w:bodyDiv w:val="1"/>
      <w:marLeft w:val="0"/>
      <w:marRight w:val="0"/>
      <w:marTop w:val="0"/>
      <w:marBottom w:val="0"/>
      <w:divBdr>
        <w:top w:val="none" w:sz="0" w:space="0" w:color="auto"/>
        <w:left w:val="none" w:sz="0" w:space="0" w:color="auto"/>
        <w:bottom w:val="none" w:sz="0" w:space="0" w:color="auto"/>
        <w:right w:val="none" w:sz="0" w:space="0" w:color="auto"/>
      </w:divBdr>
    </w:div>
    <w:div w:id="2060282941">
      <w:bodyDiv w:val="1"/>
      <w:marLeft w:val="0"/>
      <w:marRight w:val="0"/>
      <w:marTop w:val="0"/>
      <w:marBottom w:val="0"/>
      <w:divBdr>
        <w:top w:val="none" w:sz="0" w:space="0" w:color="auto"/>
        <w:left w:val="none" w:sz="0" w:space="0" w:color="auto"/>
        <w:bottom w:val="none" w:sz="0" w:space="0" w:color="auto"/>
        <w:right w:val="none" w:sz="0" w:space="0" w:color="auto"/>
      </w:divBdr>
    </w:div>
    <w:div w:id="2060668319">
      <w:bodyDiv w:val="1"/>
      <w:marLeft w:val="0"/>
      <w:marRight w:val="0"/>
      <w:marTop w:val="0"/>
      <w:marBottom w:val="0"/>
      <w:divBdr>
        <w:top w:val="none" w:sz="0" w:space="0" w:color="auto"/>
        <w:left w:val="none" w:sz="0" w:space="0" w:color="auto"/>
        <w:bottom w:val="none" w:sz="0" w:space="0" w:color="auto"/>
        <w:right w:val="none" w:sz="0" w:space="0" w:color="auto"/>
      </w:divBdr>
    </w:div>
    <w:div w:id="2061056505">
      <w:bodyDiv w:val="1"/>
      <w:marLeft w:val="0"/>
      <w:marRight w:val="0"/>
      <w:marTop w:val="0"/>
      <w:marBottom w:val="0"/>
      <w:divBdr>
        <w:top w:val="none" w:sz="0" w:space="0" w:color="auto"/>
        <w:left w:val="none" w:sz="0" w:space="0" w:color="auto"/>
        <w:bottom w:val="none" w:sz="0" w:space="0" w:color="auto"/>
        <w:right w:val="none" w:sz="0" w:space="0" w:color="auto"/>
      </w:divBdr>
    </w:div>
    <w:div w:id="2061128282">
      <w:bodyDiv w:val="1"/>
      <w:marLeft w:val="0"/>
      <w:marRight w:val="0"/>
      <w:marTop w:val="0"/>
      <w:marBottom w:val="0"/>
      <w:divBdr>
        <w:top w:val="none" w:sz="0" w:space="0" w:color="auto"/>
        <w:left w:val="none" w:sz="0" w:space="0" w:color="auto"/>
        <w:bottom w:val="none" w:sz="0" w:space="0" w:color="auto"/>
        <w:right w:val="none" w:sz="0" w:space="0" w:color="auto"/>
      </w:divBdr>
    </w:div>
    <w:div w:id="2061400577">
      <w:bodyDiv w:val="1"/>
      <w:marLeft w:val="0"/>
      <w:marRight w:val="0"/>
      <w:marTop w:val="0"/>
      <w:marBottom w:val="0"/>
      <w:divBdr>
        <w:top w:val="none" w:sz="0" w:space="0" w:color="auto"/>
        <w:left w:val="none" w:sz="0" w:space="0" w:color="auto"/>
        <w:bottom w:val="none" w:sz="0" w:space="0" w:color="auto"/>
        <w:right w:val="none" w:sz="0" w:space="0" w:color="auto"/>
      </w:divBdr>
    </w:div>
    <w:div w:id="2061437016">
      <w:bodyDiv w:val="1"/>
      <w:marLeft w:val="0"/>
      <w:marRight w:val="0"/>
      <w:marTop w:val="0"/>
      <w:marBottom w:val="0"/>
      <w:divBdr>
        <w:top w:val="none" w:sz="0" w:space="0" w:color="auto"/>
        <w:left w:val="none" w:sz="0" w:space="0" w:color="auto"/>
        <w:bottom w:val="none" w:sz="0" w:space="0" w:color="auto"/>
        <w:right w:val="none" w:sz="0" w:space="0" w:color="auto"/>
      </w:divBdr>
    </w:div>
    <w:div w:id="2061443753">
      <w:bodyDiv w:val="1"/>
      <w:marLeft w:val="0"/>
      <w:marRight w:val="0"/>
      <w:marTop w:val="0"/>
      <w:marBottom w:val="0"/>
      <w:divBdr>
        <w:top w:val="none" w:sz="0" w:space="0" w:color="auto"/>
        <w:left w:val="none" w:sz="0" w:space="0" w:color="auto"/>
        <w:bottom w:val="none" w:sz="0" w:space="0" w:color="auto"/>
        <w:right w:val="none" w:sz="0" w:space="0" w:color="auto"/>
      </w:divBdr>
    </w:div>
    <w:div w:id="2061515517">
      <w:bodyDiv w:val="1"/>
      <w:marLeft w:val="0"/>
      <w:marRight w:val="0"/>
      <w:marTop w:val="0"/>
      <w:marBottom w:val="0"/>
      <w:divBdr>
        <w:top w:val="none" w:sz="0" w:space="0" w:color="auto"/>
        <w:left w:val="none" w:sz="0" w:space="0" w:color="auto"/>
        <w:bottom w:val="none" w:sz="0" w:space="0" w:color="auto"/>
        <w:right w:val="none" w:sz="0" w:space="0" w:color="auto"/>
      </w:divBdr>
    </w:div>
    <w:div w:id="2061786022">
      <w:bodyDiv w:val="1"/>
      <w:marLeft w:val="0"/>
      <w:marRight w:val="0"/>
      <w:marTop w:val="0"/>
      <w:marBottom w:val="0"/>
      <w:divBdr>
        <w:top w:val="none" w:sz="0" w:space="0" w:color="auto"/>
        <w:left w:val="none" w:sz="0" w:space="0" w:color="auto"/>
        <w:bottom w:val="none" w:sz="0" w:space="0" w:color="auto"/>
        <w:right w:val="none" w:sz="0" w:space="0" w:color="auto"/>
      </w:divBdr>
    </w:div>
    <w:div w:id="2061896936">
      <w:bodyDiv w:val="1"/>
      <w:marLeft w:val="0"/>
      <w:marRight w:val="0"/>
      <w:marTop w:val="0"/>
      <w:marBottom w:val="0"/>
      <w:divBdr>
        <w:top w:val="none" w:sz="0" w:space="0" w:color="auto"/>
        <w:left w:val="none" w:sz="0" w:space="0" w:color="auto"/>
        <w:bottom w:val="none" w:sz="0" w:space="0" w:color="auto"/>
        <w:right w:val="none" w:sz="0" w:space="0" w:color="auto"/>
      </w:divBdr>
    </w:div>
    <w:div w:id="2061979609">
      <w:bodyDiv w:val="1"/>
      <w:marLeft w:val="0"/>
      <w:marRight w:val="0"/>
      <w:marTop w:val="0"/>
      <w:marBottom w:val="0"/>
      <w:divBdr>
        <w:top w:val="none" w:sz="0" w:space="0" w:color="auto"/>
        <w:left w:val="none" w:sz="0" w:space="0" w:color="auto"/>
        <w:bottom w:val="none" w:sz="0" w:space="0" w:color="auto"/>
        <w:right w:val="none" w:sz="0" w:space="0" w:color="auto"/>
      </w:divBdr>
    </w:div>
    <w:div w:id="2062170628">
      <w:bodyDiv w:val="1"/>
      <w:marLeft w:val="0"/>
      <w:marRight w:val="0"/>
      <w:marTop w:val="0"/>
      <w:marBottom w:val="0"/>
      <w:divBdr>
        <w:top w:val="none" w:sz="0" w:space="0" w:color="auto"/>
        <w:left w:val="none" w:sz="0" w:space="0" w:color="auto"/>
        <w:bottom w:val="none" w:sz="0" w:space="0" w:color="auto"/>
        <w:right w:val="none" w:sz="0" w:space="0" w:color="auto"/>
      </w:divBdr>
    </w:div>
    <w:div w:id="2062827365">
      <w:bodyDiv w:val="1"/>
      <w:marLeft w:val="0"/>
      <w:marRight w:val="0"/>
      <w:marTop w:val="0"/>
      <w:marBottom w:val="0"/>
      <w:divBdr>
        <w:top w:val="none" w:sz="0" w:space="0" w:color="auto"/>
        <w:left w:val="none" w:sz="0" w:space="0" w:color="auto"/>
        <w:bottom w:val="none" w:sz="0" w:space="0" w:color="auto"/>
        <w:right w:val="none" w:sz="0" w:space="0" w:color="auto"/>
      </w:divBdr>
    </w:div>
    <w:div w:id="2062947227">
      <w:bodyDiv w:val="1"/>
      <w:marLeft w:val="0"/>
      <w:marRight w:val="0"/>
      <w:marTop w:val="0"/>
      <w:marBottom w:val="0"/>
      <w:divBdr>
        <w:top w:val="none" w:sz="0" w:space="0" w:color="auto"/>
        <w:left w:val="none" w:sz="0" w:space="0" w:color="auto"/>
        <w:bottom w:val="none" w:sz="0" w:space="0" w:color="auto"/>
        <w:right w:val="none" w:sz="0" w:space="0" w:color="auto"/>
      </w:divBdr>
    </w:div>
    <w:div w:id="2063213059">
      <w:bodyDiv w:val="1"/>
      <w:marLeft w:val="0"/>
      <w:marRight w:val="0"/>
      <w:marTop w:val="0"/>
      <w:marBottom w:val="0"/>
      <w:divBdr>
        <w:top w:val="none" w:sz="0" w:space="0" w:color="auto"/>
        <w:left w:val="none" w:sz="0" w:space="0" w:color="auto"/>
        <w:bottom w:val="none" w:sz="0" w:space="0" w:color="auto"/>
        <w:right w:val="none" w:sz="0" w:space="0" w:color="auto"/>
      </w:divBdr>
    </w:div>
    <w:div w:id="2063599141">
      <w:bodyDiv w:val="1"/>
      <w:marLeft w:val="0"/>
      <w:marRight w:val="0"/>
      <w:marTop w:val="0"/>
      <w:marBottom w:val="0"/>
      <w:divBdr>
        <w:top w:val="none" w:sz="0" w:space="0" w:color="auto"/>
        <w:left w:val="none" w:sz="0" w:space="0" w:color="auto"/>
        <w:bottom w:val="none" w:sz="0" w:space="0" w:color="auto"/>
        <w:right w:val="none" w:sz="0" w:space="0" w:color="auto"/>
      </w:divBdr>
    </w:div>
    <w:div w:id="2063671944">
      <w:bodyDiv w:val="1"/>
      <w:marLeft w:val="0"/>
      <w:marRight w:val="0"/>
      <w:marTop w:val="0"/>
      <w:marBottom w:val="0"/>
      <w:divBdr>
        <w:top w:val="none" w:sz="0" w:space="0" w:color="auto"/>
        <w:left w:val="none" w:sz="0" w:space="0" w:color="auto"/>
        <w:bottom w:val="none" w:sz="0" w:space="0" w:color="auto"/>
        <w:right w:val="none" w:sz="0" w:space="0" w:color="auto"/>
      </w:divBdr>
    </w:div>
    <w:div w:id="2063820902">
      <w:bodyDiv w:val="1"/>
      <w:marLeft w:val="0"/>
      <w:marRight w:val="0"/>
      <w:marTop w:val="0"/>
      <w:marBottom w:val="0"/>
      <w:divBdr>
        <w:top w:val="none" w:sz="0" w:space="0" w:color="auto"/>
        <w:left w:val="none" w:sz="0" w:space="0" w:color="auto"/>
        <w:bottom w:val="none" w:sz="0" w:space="0" w:color="auto"/>
        <w:right w:val="none" w:sz="0" w:space="0" w:color="auto"/>
      </w:divBdr>
    </w:div>
    <w:div w:id="2063861871">
      <w:bodyDiv w:val="1"/>
      <w:marLeft w:val="0"/>
      <w:marRight w:val="0"/>
      <w:marTop w:val="0"/>
      <w:marBottom w:val="0"/>
      <w:divBdr>
        <w:top w:val="none" w:sz="0" w:space="0" w:color="auto"/>
        <w:left w:val="none" w:sz="0" w:space="0" w:color="auto"/>
        <w:bottom w:val="none" w:sz="0" w:space="0" w:color="auto"/>
        <w:right w:val="none" w:sz="0" w:space="0" w:color="auto"/>
      </w:divBdr>
    </w:div>
    <w:div w:id="2063868169">
      <w:bodyDiv w:val="1"/>
      <w:marLeft w:val="0"/>
      <w:marRight w:val="0"/>
      <w:marTop w:val="0"/>
      <w:marBottom w:val="0"/>
      <w:divBdr>
        <w:top w:val="none" w:sz="0" w:space="0" w:color="auto"/>
        <w:left w:val="none" w:sz="0" w:space="0" w:color="auto"/>
        <w:bottom w:val="none" w:sz="0" w:space="0" w:color="auto"/>
        <w:right w:val="none" w:sz="0" w:space="0" w:color="auto"/>
      </w:divBdr>
    </w:div>
    <w:div w:id="2063945287">
      <w:bodyDiv w:val="1"/>
      <w:marLeft w:val="0"/>
      <w:marRight w:val="0"/>
      <w:marTop w:val="0"/>
      <w:marBottom w:val="0"/>
      <w:divBdr>
        <w:top w:val="none" w:sz="0" w:space="0" w:color="auto"/>
        <w:left w:val="none" w:sz="0" w:space="0" w:color="auto"/>
        <w:bottom w:val="none" w:sz="0" w:space="0" w:color="auto"/>
        <w:right w:val="none" w:sz="0" w:space="0" w:color="auto"/>
      </w:divBdr>
    </w:div>
    <w:div w:id="2064062184">
      <w:bodyDiv w:val="1"/>
      <w:marLeft w:val="0"/>
      <w:marRight w:val="0"/>
      <w:marTop w:val="0"/>
      <w:marBottom w:val="0"/>
      <w:divBdr>
        <w:top w:val="none" w:sz="0" w:space="0" w:color="auto"/>
        <w:left w:val="none" w:sz="0" w:space="0" w:color="auto"/>
        <w:bottom w:val="none" w:sz="0" w:space="0" w:color="auto"/>
        <w:right w:val="none" w:sz="0" w:space="0" w:color="auto"/>
      </w:divBdr>
    </w:div>
    <w:div w:id="2064450056">
      <w:bodyDiv w:val="1"/>
      <w:marLeft w:val="0"/>
      <w:marRight w:val="0"/>
      <w:marTop w:val="0"/>
      <w:marBottom w:val="0"/>
      <w:divBdr>
        <w:top w:val="none" w:sz="0" w:space="0" w:color="auto"/>
        <w:left w:val="none" w:sz="0" w:space="0" w:color="auto"/>
        <w:bottom w:val="none" w:sz="0" w:space="0" w:color="auto"/>
        <w:right w:val="none" w:sz="0" w:space="0" w:color="auto"/>
      </w:divBdr>
    </w:div>
    <w:div w:id="2064477318">
      <w:bodyDiv w:val="1"/>
      <w:marLeft w:val="0"/>
      <w:marRight w:val="0"/>
      <w:marTop w:val="0"/>
      <w:marBottom w:val="0"/>
      <w:divBdr>
        <w:top w:val="none" w:sz="0" w:space="0" w:color="auto"/>
        <w:left w:val="none" w:sz="0" w:space="0" w:color="auto"/>
        <w:bottom w:val="none" w:sz="0" w:space="0" w:color="auto"/>
        <w:right w:val="none" w:sz="0" w:space="0" w:color="auto"/>
      </w:divBdr>
    </w:div>
    <w:div w:id="2064596020">
      <w:bodyDiv w:val="1"/>
      <w:marLeft w:val="0"/>
      <w:marRight w:val="0"/>
      <w:marTop w:val="0"/>
      <w:marBottom w:val="0"/>
      <w:divBdr>
        <w:top w:val="none" w:sz="0" w:space="0" w:color="auto"/>
        <w:left w:val="none" w:sz="0" w:space="0" w:color="auto"/>
        <w:bottom w:val="none" w:sz="0" w:space="0" w:color="auto"/>
        <w:right w:val="none" w:sz="0" w:space="0" w:color="auto"/>
      </w:divBdr>
    </w:div>
    <w:div w:id="2065565174">
      <w:bodyDiv w:val="1"/>
      <w:marLeft w:val="0"/>
      <w:marRight w:val="0"/>
      <w:marTop w:val="0"/>
      <w:marBottom w:val="0"/>
      <w:divBdr>
        <w:top w:val="none" w:sz="0" w:space="0" w:color="auto"/>
        <w:left w:val="none" w:sz="0" w:space="0" w:color="auto"/>
        <w:bottom w:val="none" w:sz="0" w:space="0" w:color="auto"/>
        <w:right w:val="none" w:sz="0" w:space="0" w:color="auto"/>
      </w:divBdr>
    </w:div>
    <w:div w:id="2065634376">
      <w:bodyDiv w:val="1"/>
      <w:marLeft w:val="0"/>
      <w:marRight w:val="0"/>
      <w:marTop w:val="0"/>
      <w:marBottom w:val="0"/>
      <w:divBdr>
        <w:top w:val="none" w:sz="0" w:space="0" w:color="auto"/>
        <w:left w:val="none" w:sz="0" w:space="0" w:color="auto"/>
        <w:bottom w:val="none" w:sz="0" w:space="0" w:color="auto"/>
        <w:right w:val="none" w:sz="0" w:space="0" w:color="auto"/>
      </w:divBdr>
    </w:div>
    <w:div w:id="2065638198">
      <w:bodyDiv w:val="1"/>
      <w:marLeft w:val="0"/>
      <w:marRight w:val="0"/>
      <w:marTop w:val="0"/>
      <w:marBottom w:val="0"/>
      <w:divBdr>
        <w:top w:val="none" w:sz="0" w:space="0" w:color="auto"/>
        <w:left w:val="none" w:sz="0" w:space="0" w:color="auto"/>
        <w:bottom w:val="none" w:sz="0" w:space="0" w:color="auto"/>
        <w:right w:val="none" w:sz="0" w:space="0" w:color="auto"/>
      </w:divBdr>
    </w:div>
    <w:div w:id="2066563377">
      <w:bodyDiv w:val="1"/>
      <w:marLeft w:val="0"/>
      <w:marRight w:val="0"/>
      <w:marTop w:val="0"/>
      <w:marBottom w:val="0"/>
      <w:divBdr>
        <w:top w:val="none" w:sz="0" w:space="0" w:color="auto"/>
        <w:left w:val="none" w:sz="0" w:space="0" w:color="auto"/>
        <w:bottom w:val="none" w:sz="0" w:space="0" w:color="auto"/>
        <w:right w:val="none" w:sz="0" w:space="0" w:color="auto"/>
      </w:divBdr>
    </w:div>
    <w:div w:id="2066751944">
      <w:bodyDiv w:val="1"/>
      <w:marLeft w:val="0"/>
      <w:marRight w:val="0"/>
      <w:marTop w:val="0"/>
      <w:marBottom w:val="0"/>
      <w:divBdr>
        <w:top w:val="none" w:sz="0" w:space="0" w:color="auto"/>
        <w:left w:val="none" w:sz="0" w:space="0" w:color="auto"/>
        <w:bottom w:val="none" w:sz="0" w:space="0" w:color="auto"/>
        <w:right w:val="none" w:sz="0" w:space="0" w:color="auto"/>
      </w:divBdr>
    </w:div>
    <w:div w:id="2067296738">
      <w:bodyDiv w:val="1"/>
      <w:marLeft w:val="0"/>
      <w:marRight w:val="0"/>
      <w:marTop w:val="0"/>
      <w:marBottom w:val="0"/>
      <w:divBdr>
        <w:top w:val="none" w:sz="0" w:space="0" w:color="auto"/>
        <w:left w:val="none" w:sz="0" w:space="0" w:color="auto"/>
        <w:bottom w:val="none" w:sz="0" w:space="0" w:color="auto"/>
        <w:right w:val="none" w:sz="0" w:space="0" w:color="auto"/>
      </w:divBdr>
    </w:div>
    <w:div w:id="2067988825">
      <w:bodyDiv w:val="1"/>
      <w:marLeft w:val="0"/>
      <w:marRight w:val="0"/>
      <w:marTop w:val="0"/>
      <w:marBottom w:val="0"/>
      <w:divBdr>
        <w:top w:val="none" w:sz="0" w:space="0" w:color="auto"/>
        <w:left w:val="none" w:sz="0" w:space="0" w:color="auto"/>
        <w:bottom w:val="none" w:sz="0" w:space="0" w:color="auto"/>
        <w:right w:val="none" w:sz="0" w:space="0" w:color="auto"/>
      </w:divBdr>
    </w:div>
    <w:div w:id="2068189301">
      <w:bodyDiv w:val="1"/>
      <w:marLeft w:val="0"/>
      <w:marRight w:val="0"/>
      <w:marTop w:val="0"/>
      <w:marBottom w:val="0"/>
      <w:divBdr>
        <w:top w:val="none" w:sz="0" w:space="0" w:color="auto"/>
        <w:left w:val="none" w:sz="0" w:space="0" w:color="auto"/>
        <w:bottom w:val="none" w:sz="0" w:space="0" w:color="auto"/>
        <w:right w:val="none" w:sz="0" w:space="0" w:color="auto"/>
      </w:divBdr>
    </w:div>
    <w:div w:id="2068407592">
      <w:bodyDiv w:val="1"/>
      <w:marLeft w:val="0"/>
      <w:marRight w:val="0"/>
      <w:marTop w:val="0"/>
      <w:marBottom w:val="0"/>
      <w:divBdr>
        <w:top w:val="none" w:sz="0" w:space="0" w:color="auto"/>
        <w:left w:val="none" w:sz="0" w:space="0" w:color="auto"/>
        <w:bottom w:val="none" w:sz="0" w:space="0" w:color="auto"/>
        <w:right w:val="none" w:sz="0" w:space="0" w:color="auto"/>
      </w:divBdr>
    </w:div>
    <w:div w:id="2068649130">
      <w:bodyDiv w:val="1"/>
      <w:marLeft w:val="0"/>
      <w:marRight w:val="0"/>
      <w:marTop w:val="0"/>
      <w:marBottom w:val="0"/>
      <w:divBdr>
        <w:top w:val="none" w:sz="0" w:space="0" w:color="auto"/>
        <w:left w:val="none" w:sz="0" w:space="0" w:color="auto"/>
        <w:bottom w:val="none" w:sz="0" w:space="0" w:color="auto"/>
        <w:right w:val="none" w:sz="0" w:space="0" w:color="auto"/>
      </w:divBdr>
    </w:div>
    <w:div w:id="2069105303">
      <w:bodyDiv w:val="1"/>
      <w:marLeft w:val="0"/>
      <w:marRight w:val="0"/>
      <w:marTop w:val="0"/>
      <w:marBottom w:val="0"/>
      <w:divBdr>
        <w:top w:val="none" w:sz="0" w:space="0" w:color="auto"/>
        <w:left w:val="none" w:sz="0" w:space="0" w:color="auto"/>
        <w:bottom w:val="none" w:sz="0" w:space="0" w:color="auto"/>
        <w:right w:val="none" w:sz="0" w:space="0" w:color="auto"/>
      </w:divBdr>
    </w:div>
    <w:div w:id="2069643162">
      <w:bodyDiv w:val="1"/>
      <w:marLeft w:val="0"/>
      <w:marRight w:val="0"/>
      <w:marTop w:val="0"/>
      <w:marBottom w:val="0"/>
      <w:divBdr>
        <w:top w:val="none" w:sz="0" w:space="0" w:color="auto"/>
        <w:left w:val="none" w:sz="0" w:space="0" w:color="auto"/>
        <w:bottom w:val="none" w:sz="0" w:space="0" w:color="auto"/>
        <w:right w:val="none" w:sz="0" w:space="0" w:color="auto"/>
      </w:divBdr>
    </w:div>
    <w:div w:id="2069646801">
      <w:bodyDiv w:val="1"/>
      <w:marLeft w:val="0"/>
      <w:marRight w:val="0"/>
      <w:marTop w:val="0"/>
      <w:marBottom w:val="0"/>
      <w:divBdr>
        <w:top w:val="none" w:sz="0" w:space="0" w:color="auto"/>
        <w:left w:val="none" w:sz="0" w:space="0" w:color="auto"/>
        <w:bottom w:val="none" w:sz="0" w:space="0" w:color="auto"/>
        <w:right w:val="none" w:sz="0" w:space="0" w:color="auto"/>
      </w:divBdr>
    </w:div>
    <w:div w:id="2069914546">
      <w:bodyDiv w:val="1"/>
      <w:marLeft w:val="0"/>
      <w:marRight w:val="0"/>
      <w:marTop w:val="0"/>
      <w:marBottom w:val="0"/>
      <w:divBdr>
        <w:top w:val="none" w:sz="0" w:space="0" w:color="auto"/>
        <w:left w:val="none" w:sz="0" w:space="0" w:color="auto"/>
        <w:bottom w:val="none" w:sz="0" w:space="0" w:color="auto"/>
        <w:right w:val="none" w:sz="0" w:space="0" w:color="auto"/>
      </w:divBdr>
    </w:div>
    <w:div w:id="2070300485">
      <w:bodyDiv w:val="1"/>
      <w:marLeft w:val="0"/>
      <w:marRight w:val="0"/>
      <w:marTop w:val="0"/>
      <w:marBottom w:val="0"/>
      <w:divBdr>
        <w:top w:val="none" w:sz="0" w:space="0" w:color="auto"/>
        <w:left w:val="none" w:sz="0" w:space="0" w:color="auto"/>
        <w:bottom w:val="none" w:sz="0" w:space="0" w:color="auto"/>
        <w:right w:val="none" w:sz="0" w:space="0" w:color="auto"/>
      </w:divBdr>
    </w:div>
    <w:div w:id="2070303063">
      <w:bodyDiv w:val="1"/>
      <w:marLeft w:val="0"/>
      <w:marRight w:val="0"/>
      <w:marTop w:val="0"/>
      <w:marBottom w:val="0"/>
      <w:divBdr>
        <w:top w:val="none" w:sz="0" w:space="0" w:color="auto"/>
        <w:left w:val="none" w:sz="0" w:space="0" w:color="auto"/>
        <w:bottom w:val="none" w:sz="0" w:space="0" w:color="auto"/>
        <w:right w:val="none" w:sz="0" w:space="0" w:color="auto"/>
      </w:divBdr>
    </w:div>
    <w:div w:id="2070376975">
      <w:bodyDiv w:val="1"/>
      <w:marLeft w:val="0"/>
      <w:marRight w:val="0"/>
      <w:marTop w:val="0"/>
      <w:marBottom w:val="0"/>
      <w:divBdr>
        <w:top w:val="none" w:sz="0" w:space="0" w:color="auto"/>
        <w:left w:val="none" w:sz="0" w:space="0" w:color="auto"/>
        <w:bottom w:val="none" w:sz="0" w:space="0" w:color="auto"/>
        <w:right w:val="none" w:sz="0" w:space="0" w:color="auto"/>
      </w:divBdr>
    </w:div>
    <w:div w:id="2070490504">
      <w:bodyDiv w:val="1"/>
      <w:marLeft w:val="0"/>
      <w:marRight w:val="0"/>
      <w:marTop w:val="0"/>
      <w:marBottom w:val="0"/>
      <w:divBdr>
        <w:top w:val="none" w:sz="0" w:space="0" w:color="auto"/>
        <w:left w:val="none" w:sz="0" w:space="0" w:color="auto"/>
        <w:bottom w:val="none" w:sz="0" w:space="0" w:color="auto"/>
        <w:right w:val="none" w:sz="0" w:space="0" w:color="auto"/>
      </w:divBdr>
    </w:div>
    <w:div w:id="2070685586">
      <w:bodyDiv w:val="1"/>
      <w:marLeft w:val="0"/>
      <w:marRight w:val="0"/>
      <w:marTop w:val="0"/>
      <w:marBottom w:val="0"/>
      <w:divBdr>
        <w:top w:val="none" w:sz="0" w:space="0" w:color="auto"/>
        <w:left w:val="none" w:sz="0" w:space="0" w:color="auto"/>
        <w:bottom w:val="none" w:sz="0" w:space="0" w:color="auto"/>
        <w:right w:val="none" w:sz="0" w:space="0" w:color="auto"/>
      </w:divBdr>
    </w:div>
    <w:div w:id="2070686634">
      <w:bodyDiv w:val="1"/>
      <w:marLeft w:val="0"/>
      <w:marRight w:val="0"/>
      <w:marTop w:val="0"/>
      <w:marBottom w:val="0"/>
      <w:divBdr>
        <w:top w:val="none" w:sz="0" w:space="0" w:color="auto"/>
        <w:left w:val="none" w:sz="0" w:space="0" w:color="auto"/>
        <w:bottom w:val="none" w:sz="0" w:space="0" w:color="auto"/>
        <w:right w:val="none" w:sz="0" w:space="0" w:color="auto"/>
      </w:divBdr>
    </w:div>
    <w:div w:id="2070765981">
      <w:bodyDiv w:val="1"/>
      <w:marLeft w:val="0"/>
      <w:marRight w:val="0"/>
      <w:marTop w:val="0"/>
      <w:marBottom w:val="0"/>
      <w:divBdr>
        <w:top w:val="none" w:sz="0" w:space="0" w:color="auto"/>
        <w:left w:val="none" w:sz="0" w:space="0" w:color="auto"/>
        <w:bottom w:val="none" w:sz="0" w:space="0" w:color="auto"/>
        <w:right w:val="none" w:sz="0" w:space="0" w:color="auto"/>
      </w:divBdr>
    </w:div>
    <w:div w:id="2071149584">
      <w:bodyDiv w:val="1"/>
      <w:marLeft w:val="0"/>
      <w:marRight w:val="0"/>
      <w:marTop w:val="0"/>
      <w:marBottom w:val="0"/>
      <w:divBdr>
        <w:top w:val="none" w:sz="0" w:space="0" w:color="auto"/>
        <w:left w:val="none" w:sz="0" w:space="0" w:color="auto"/>
        <w:bottom w:val="none" w:sz="0" w:space="0" w:color="auto"/>
        <w:right w:val="none" w:sz="0" w:space="0" w:color="auto"/>
      </w:divBdr>
    </w:div>
    <w:div w:id="2071151713">
      <w:bodyDiv w:val="1"/>
      <w:marLeft w:val="0"/>
      <w:marRight w:val="0"/>
      <w:marTop w:val="0"/>
      <w:marBottom w:val="0"/>
      <w:divBdr>
        <w:top w:val="none" w:sz="0" w:space="0" w:color="auto"/>
        <w:left w:val="none" w:sz="0" w:space="0" w:color="auto"/>
        <w:bottom w:val="none" w:sz="0" w:space="0" w:color="auto"/>
        <w:right w:val="none" w:sz="0" w:space="0" w:color="auto"/>
      </w:divBdr>
    </w:div>
    <w:div w:id="2071414828">
      <w:bodyDiv w:val="1"/>
      <w:marLeft w:val="0"/>
      <w:marRight w:val="0"/>
      <w:marTop w:val="0"/>
      <w:marBottom w:val="0"/>
      <w:divBdr>
        <w:top w:val="none" w:sz="0" w:space="0" w:color="auto"/>
        <w:left w:val="none" w:sz="0" w:space="0" w:color="auto"/>
        <w:bottom w:val="none" w:sz="0" w:space="0" w:color="auto"/>
        <w:right w:val="none" w:sz="0" w:space="0" w:color="auto"/>
      </w:divBdr>
    </w:div>
    <w:div w:id="2072075964">
      <w:bodyDiv w:val="1"/>
      <w:marLeft w:val="0"/>
      <w:marRight w:val="0"/>
      <w:marTop w:val="0"/>
      <w:marBottom w:val="0"/>
      <w:divBdr>
        <w:top w:val="none" w:sz="0" w:space="0" w:color="auto"/>
        <w:left w:val="none" w:sz="0" w:space="0" w:color="auto"/>
        <w:bottom w:val="none" w:sz="0" w:space="0" w:color="auto"/>
        <w:right w:val="none" w:sz="0" w:space="0" w:color="auto"/>
      </w:divBdr>
    </w:div>
    <w:div w:id="2072192202">
      <w:bodyDiv w:val="1"/>
      <w:marLeft w:val="0"/>
      <w:marRight w:val="0"/>
      <w:marTop w:val="0"/>
      <w:marBottom w:val="0"/>
      <w:divBdr>
        <w:top w:val="none" w:sz="0" w:space="0" w:color="auto"/>
        <w:left w:val="none" w:sz="0" w:space="0" w:color="auto"/>
        <w:bottom w:val="none" w:sz="0" w:space="0" w:color="auto"/>
        <w:right w:val="none" w:sz="0" w:space="0" w:color="auto"/>
      </w:divBdr>
    </w:div>
    <w:div w:id="2072389475">
      <w:bodyDiv w:val="1"/>
      <w:marLeft w:val="0"/>
      <w:marRight w:val="0"/>
      <w:marTop w:val="0"/>
      <w:marBottom w:val="0"/>
      <w:divBdr>
        <w:top w:val="none" w:sz="0" w:space="0" w:color="auto"/>
        <w:left w:val="none" w:sz="0" w:space="0" w:color="auto"/>
        <w:bottom w:val="none" w:sz="0" w:space="0" w:color="auto"/>
        <w:right w:val="none" w:sz="0" w:space="0" w:color="auto"/>
      </w:divBdr>
    </w:div>
    <w:div w:id="2072658604">
      <w:bodyDiv w:val="1"/>
      <w:marLeft w:val="0"/>
      <w:marRight w:val="0"/>
      <w:marTop w:val="0"/>
      <w:marBottom w:val="0"/>
      <w:divBdr>
        <w:top w:val="none" w:sz="0" w:space="0" w:color="auto"/>
        <w:left w:val="none" w:sz="0" w:space="0" w:color="auto"/>
        <w:bottom w:val="none" w:sz="0" w:space="0" w:color="auto"/>
        <w:right w:val="none" w:sz="0" w:space="0" w:color="auto"/>
      </w:divBdr>
    </w:div>
    <w:div w:id="2072851453">
      <w:bodyDiv w:val="1"/>
      <w:marLeft w:val="0"/>
      <w:marRight w:val="0"/>
      <w:marTop w:val="0"/>
      <w:marBottom w:val="0"/>
      <w:divBdr>
        <w:top w:val="none" w:sz="0" w:space="0" w:color="auto"/>
        <w:left w:val="none" w:sz="0" w:space="0" w:color="auto"/>
        <w:bottom w:val="none" w:sz="0" w:space="0" w:color="auto"/>
        <w:right w:val="none" w:sz="0" w:space="0" w:color="auto"/>
      </w:divBdr>
    </w:div>
    <w:div w:id="2073575788">
      <w:bodyDiv w:val="1"/>
      <w:marLeft w:val="0"/>
      <w:marRight w:val="0"/>
      <w:marTop w:val="0"/>
      <w:marBottom w:val="0"/>
      <w:divBdr>
        <w:top w:val="none" w:sz="0" w:space="0" w:color="auto"/>
        <w:left w:val="none" w:sz="0" w:space="0" w:color="auto"/>
        <w:bottom w:val="none" w:sz="0" w:space="0" w:color="auto"/>
        <w:right w:val="none" w:sz="0" w:space="0" w:color="auto"/>
      </w:divBdr>
    </w:div>
    <w:div w:id="2073772459">
      <w:bodyDiv w:val="1"/>
      <w:marLeft w:val="0"/>
      <w:marRight w:val="0"/>
      <w:marTop w:val="0"/>
      <w:marBottom w:val="0"/>
      <w:divBdr>
        <w:top w:val="none" w:sz="0" w:space="0" w:color="auto"/>
        <w:left w:val="none" w:sz="0" w:space="0" w:color="auto"/>
        <w:bottom w:val="none" w:sz="0" w:space="0" w:color="auto"/>
        <w:right w:val="none" w:sz="0" w:space="0" w:color="auto"/>
      </w:divBdr>
    </w:div>
    <w:div w:id="2074236973">
      <w:bodyDiv w:val="1"/>
      <w:marLeft w:val="0"/>
      <w:marRight w:val="0"/>
      <w:marTop w:val="0"/>
      <w:marBottom w:val="0"/>
      <w:divBdr>
        <w:top w:val="none" w:sz="0" w:space="0" w:color="auto"/>
        <w:left w:val="none" w:sz="0" w:space="0" w:color="auto"/>
        <w:bottom w:val="none" w:sz="0" w:space="0" w:color="auto"/>
        <w:right w:val="none" w:sz="0" w:space="0" w:color="auto"/>
      </w:divBdr>
    </w:div>
    <w:div w:id="2074812927">
      <w:bodyDiv w:val="1"/>
      <w:marLeft w:val="0"/>
      <w:marRight w:val="0"/>
      <w:marTop w:val="0"/>
      <w:marBottom w:val="0"/>
      <w:divBdr>
        <w:top w:val="none" w:sz="0" w:space="0" w:color="auto"/>
        <w:left w:val="none" w:sz="0" w:space="0" w:color="auto"/>
        <w:bottom w:val="none" w:sz="0" w:space="0" w:color="auto"/>
        <w:right w:val="none" w:sz="0" w:space="0" w:color="auto"/>
      </w:divBdr>
    </w:div>
    <w:div w:id="2076466408">
      <w:bodyDiv w:val="1"/>
      <w:marLeft w:val="0"/>
      <w:marRight w:val="0"/>
      <w:marTop w:val="0"/>
      <w:marBottom w:val="0"/>
      <w:divBdr>
        <w:top w:val="none" w:sz="0" w:space="0" w:color="auto"/>
        <w:left w:val="none" w:sz="0" w:space="0" w:color="auto"/>
        <w:bottom w:val="none" w:sz="0" w:space="0" w:color="auto"/>
        <w:right w:val="none" w:sz="0" w:space="0" w:color="auto"/>
      </w:divBdr>
    </w:div>
    <w:div w:id="2076467964">
      <w:bodyDiv w:val="1"/>
      <w:marLeft w:val="0"/>
      <w:marRight w:val="0"/>
      <w:marTop w:val="0"/>
      <w:marBottom w:val="0"/>
      <w:divBdr>
        <w:top w:val="none" w:sz="0" w:space="0" w:color="auto"/>
        <w:left w:val="none" w:sz="0" w:space="0" w:color="auto"/>
        <w:bottom w:val="none" w:sz="0" w:space="0" w:color="auto"/>
        <w:right w:val="none" w:sz="0" w:space="0" w:color="auto"/>
      </w:divBdr>
    </w:div>
    <w:div w:id="2077893432">
      <w:bodyDiv w:val="1"/>
      <w:marLeft w:val="0"/>
      <w:marRight w:val="0"/>
      <w:marTop w:val="0"/>
      <w:marBottom w:val="0"/>
      <w:divBdr>
        <w:top w:val="none" w:sz="0" w:space="0" w:color="auto"/>
        <w:left w:val="none" w:sz="0" w:space="0" w:color="auto"/>
        <w:bottom w:val="none" w:sz="0" w:space="0" w:color="auto"/>
        <w:right w:val="none" w:sz="0" w:space="0" w:color="auto"/>
      </w:divBdr>
    </w:div>
    <w:div w:id="2077975209">
      <w:bodyDiv w:val="1"/>
      <w:marLeft w:val="0"/>
      <w:marRight w:val="0"/>
      <w:marTop w:val="0"/>
      <w:marBottom w:val="0"/>
      <w:divBdr>
        <w:top w:val="none" w:sz="0" w:space="0" w:color="auto"/>
        <w:left w:val="none" w:sz="0" w:space="0" w:color="auto"/>
        <w:bottom w:val="none" w:sz="0" w:space="0" w:color="auto"/>
        <w:right w:val="none" w:sz="0" w:space="0" w:color="auto"/>
      </w:divBdr>
    </w:div>
    <w:div w:id="2078429882">
      <w:bodyDiv w:val="1"/>
      <w:marLeft w:val="0"/>
      <w:marRight w:val="0"/>
      <w:marTop w:val="0"/>
      <w:marBottom w:val="0"/>
      <w:divBdr>
        <w:top w:val="none" w:sz="0" w:space="0" w:color="auto"/>
        <w:left w:val="none" w:sz="0" w:space="0" w:color="auto"/>
        <w:bottom w:val="none" w:sz="0" w:space="0" w:color="auto"/>
        <w:right w:val="none" w:sz="0" w:space="0" w:color="auto"/>
      </w:divBdr>
    </w:div>
    <w:div w:id="2078474247">
      <w:bodyDiv w:val="1"/>
      <w:marLeft w:val="0"/>
      <w:marRight w:val="0"/>
      <w:marTop w:val="0"/>
      <w:marBottom w:val="0"/>
      <w:divBdr>
        <w:top w:val="none" w:sz="0" w:space="0" w:color="auto"/>
        <w:left w:val="none" w:sz="0" w:space="0" w:color="auto"/>
        <w:bottom w:val="none" w:sz="0" w:space="0" w:color="auto"/>
        <w:right w:val="none" w:sz="0" w:space="0" w:color="auto"/>
      </w:divBdr>
    </w:div>
    <w:div w:id="2078742591">
      <w:bodyDiv w:val="1"/>
      <w:marLeft w:val="0"/>
      <w:marRight w:val="0"/>
      <w:marTop w:val="0"/>
      <w:marBottom w:val="0"/>
      <w:divBdr>
        <w:top w:val="none" w:sz="0" w:space="0" w:color="auto"/>
        <w:left w:val="none" w:sz="0" w:space="0" w:color="auto"/>
        <w:bottom w:val="none" w:sz="0" w:space="0" w:color="auto"/>
        <w:right w:val="none" w:sz="0" w:space="0" w:color="auto"/>
      </w:divBdr>
    </w:div>
    <w:div w:id="2078892134">
      <w:bodyDiv w:val="1"/>
      <w:marLeft w:val="0"/>
      <w:marRight w:val="0"/>
      <w:marTop w:val="0"/>
      <w:marBottom w:val="0"/>
      <w:divBdr>
        <w:top w:val="none" w:sz="0" w:space="0" w:color="auto"/>
        <w:left w:val="none" w:sz="0" w:space="0" w:color="auto"/>
        <w:bottom w:val="none" w:sz="0" w:space="0" w:color="auto"/>
        <w:right w:val="none" w:sz="0" w:space="0" w:color="auto"/>
      </w:divBdr>
    </w:div>
    <w:div w:id="2078934694">
      <w:bodyDiv w:val="1"/>
      <w:marLeft w:val="0"/>
      <w:marRight w:val="0"/>
      <w:marTop w:val="0"/>
      <w:marBottom w:val="0"/>
      <w:divBdr>
        <w:top w:val="none" w:sz="0" w:space="0" w:color="auto"/>
        <w:left w:val="none" w:sz="0" w:space="0" w:color="auto"/>
        <w:bottom w:val="none" w:sz="0" w:space="0" w:color="auto"/>
        <w:right w:val="none" w:sz="0" w:space="0" w:color="auto"/>
      </w:divBdr>
    </w:div>
    <w:div w:id="2079210328">
      <w:bodyDiv w:val="1"/>
      <w:marLeft w:val="0"/>
      <w:marRight w:val="0"/>
      <w:marTop w:val="0"/>
      <w:marBottom w:val="0"/>
      <w:divBdr>
        <w:top w:val="none" w:sz="0" w:space="0" w:color="auto"/>
        <w:left w:val="none" w:sz="0" w:space="0" w:color="auto"/>
        <w:bottom w:val="none" w:sz="0" w:space="0" w:color="auto"/>
        <w:right w:val="none" w:sz="0" w:space="0" w:color="auto"/>
      </w:divBdr>
    </w:div>
    <w:div w:id="2079358096">
      <w:bodyDiv w:val="1"/>
      <w:marLeft w:val="0"/>
      <w:marRight w:val="0"/>
      <w:marTop w:val="0"/>
      <w:marBottom w:val="0"/>
      <w:divBdr>
        <w:top w:val="none" w:sz="0" w:space="0" w:color="auto"/>
        <w:left w:val="none" w:sz="0" w:space="0" w:color="auto"/>
        <w:bottom w:val="none" w:sz="0" w:space="0" w:color="auto"/>
        <w:right w:val="none" w:sz="0" w:space="0" w:color="auto"/>
      </w:divBdr>
    </w:div>
    <w:div w:id="2079746686">
      <w:bodyDiv w:val="1"/>
      <w:marLeft w:val="0"/>
      <w:marRight w:val="0"/>
      <w:marTop w:val="0"/>
      <w:marBottom w:val="0"/>
      <w:divBdr>
        <w:top w:val="none" w:sz="0" w:space="0" w:color="auto"/>
        <w:left w:val="none" w:sz="0" w:space="0" w:color="auto"/>
        <w:bottom w:val="none" w:sz="0" w:space="0" w:color="auto"/>
        <w:right w:val="none" w:sz="0" w:space="0" w:color="auto"/>
      </w:divBdr>
    </w:div>
    <w:div w:id="2080013741">
      <w:bodyDiv w:val="1"/>
      <w:marLeft w:val="0"/>
      <w:marRight w:val="0"/>
      <w:marTop w:val="0"/>
      <w:marBottom w:val="0"/>
      <w:divBdr>
        <w:top w:val="none" w:sz="0" w:space="0" w:color="auto"/>
        <w:left w:val="none" w:sz="0" w:space="0" w:color="auto"/>
        <w:bottom w:val="none" w:sz="0" w:space="0" w:color="auto"/>
        <w:right w:val="none" w:sz="0" w:space="0" w:color="auto"/>
      </w:divBdr>
    </w:div>
    <w:div w:id="2081243709">
      <w:bodyDiv w:val="1"/>
      <w:marLeft w:val="0"/>
      <w:marRight w:val="0"/>
      <w:marTop w:val="0"/>
      <w:marBottom w:val="0"/>
      <w:divBdr>
        <w:top w:val="none" w:sz="0" w:space="0" w:color="auto"/>
        <w:left w:val="none" w:sz="0" w:space="0" w:color="auto"/>
        <w:bottom w:val="none" w:sz="0" w:space="0" w:color="auto"/>
        <w:right w:val="none" w:sz="0" w:space="0" w:color="auto"/>
      </w:divBdr>
    </w:div>
    <w:div w:id="2081562829">
      <w:bodyDiv w:val="1"/>
      <w:marLeft w:val="0"/>
      <w:marRight w:val="0"/>
      <w:marTop w:val="0"/>
      <w:marBottom w:val="0"/>
      <w:divBdr>
        <w:top w:val="none" w:sz="0" w:space="0" w:color="auto"/>
        <w:left w:val="none" w:sz="0" w:space="0" w:color="auto"/>
        <w:bottom w:val="none" w:sz="0" w:space="0" w:color="auto"/>
        <w:right w:val="none" w:sz="0" w:space="0" w:color="auto"/>
      </w:divBdr>
    </w:div>
    <w:div w:id="2081711765">
      <w:bodyDiv w:val="1"/>
      <w:marLeft w:val="0"/>
      <w:marRight w:val="0"/>
      <w:marTop w:val="0"/>
      <w:marBottom w:val="0"/>
      <w:divBdr>
        <w:top w:val="none" w:sz="0" w:space="0" w:color="auto"/>
        <w:left w:val="none" w:sz="0" w:space="0" w:color="auto"/>
        <w:bottom w:val="none" w:sz="0" w:space="0" w:color="auto"/>
        <w:right w:val="none" w:sz="0" w:space="0" w:color="auto"/>
      </w:divBdr>
    </w:div>
    <w:div w:id="2082361983">
      <w:bodyDiv w:val="1"/>
      <w:marLeft w:val="0"/>
      <w:marRight w:val="0"/>
      <w:marTop w:val="0"/>
      <w:marBottom w:val="0"/>
      <w:divBdr>
        <w:top w:val="none" w:sz="0" w:space="0" w:color="auto"/>
        <w:left w:val="none" w:sz="0" w:space="0" w:color="auto"/>
        <w:bottom w:val="none" w:sz="0" w:space="0" w:color="auto"/>
        <w:right w:val="none" w:sz="0" w:space="0" w:color="auto"/>
      </w:divBdr>
    </w:div>
    <w:div w:id="2083064769">
      <w:bodyDiv w:val="1"/>
      <w:marLeft w:val="0"/>
      <w:marRight w:val="0"/>
      <w:marTop w:val="0"/>
      <w:marBottom w:val="0"/>
      <w:divBdr>
        <w:top w:val="none" w:sz="0" w:space="0" w:color="auto"/>
        <w:left w:val="none" w:sz="0" w:space="0" w:color="auto"/>
        <w:bottom w:val="none" w:sz="0" w:space="0" w:color="auto"/>
        <w:right w:val="none" w:sz="0" w:space="0" w:color="auto"/>
      </w:divBdr>
    </w:div>
    <w:div w:id="2083258965">
      <w:bodyDiv w:val="1"/>
      <w:marLeft w:val="0"/>
      <w:marRight w:val="0"/>
      <w:marTop w:val="0"/>
      <w:marBottom w:val="0"/>
      <w:divBdr>
        <w:top w:val="none" w:sz="0" w:space="0" w:color="auto"/>
        <w:left w:val="none" w:sz="0" w:space="0" w:color="auto"/>
        <w:bottom w:val="none" w:sz="0" w:space="0" w:color="auto"/>
        <w:right w:val="none" w:sz="0" w:space="0" w:color="auto"/>
      </w:divBdr>
    </w:div>
    <w:div w:id="2083676266">
      <w:bodyDiv w:val="1"/>
      <w:marLeft w:val="0"/>
      <w:marRight w:val="0"/>
      <w:marTop w:val="0"/>
      <w:marBottom w:val="0"/>
      <w:divBdr>
        <w:top w:val="none" w:sz="0" w:space="0" w:color="auto"/>
        <w:left w:val="none" w:sz="0" w:space="0" w:color="auto"/>
        <w:bottom w:val="none" w:sz="0" w:space="0" w:color="auto"/>
        <w:right w:val="none" w:sz="0" w:space="0" w:color="auto"/>
      </w:divBdr>
    </w:div>
    <w:div w:id="2083721627">
      <w:bodyDiv w:val="1"/>
      <w:marLeft w:val="0"/>
      <w:marRight w:val="0"/>
      <w:marTop w:val="0"/>
      <w:marBottom w:val="0"/>
      <w:divBdr>
        <w:top w:val="none" w:sz="0" w:space="0" w:color="auto"/>
        <w:left w:val="none" w:sz="0" w:space="0" w:color="auto"/>
        <w:bottom w:val="none" w:sz="0" w:space="0" w:color="auto"/>
        <w:right w:val="none" w:sz="0" w:space="0" w:color="auto"/>
      </w:divBdr>
    </w:div>
    <w:div w:id="2084447738">
      <w:bodyDiv w:val="1"/>
      <w:marLeft w:val="0"/>
      <w:marRight w:val="0"/>
      <w:marTop w:val="0"/>
      <w:marBottom w:val="0"/>
      <w:divBdr>
        <w:top w:val="none" w:sz="0" w:space="0" w:color="auto"/>
        <w:left w:val="none" w:sz="0" w:space="0" w:color="auto"/>
        <w:bottom w:val="none" w:sz="0" w:space="0" w:color="auto"/>
        <w:right w:val="none" w:sz="0" w:space="0" w:color="auto"/>
      </w:divBdr>
    </w:div>
    <w:div w:id="2084790506">
      <w:bodyDiv w:val="1"/>
      <w:marLeft w:val="0"/>
      <w:marRight w:val="0"/>
      <w:marTop w:val="0"/>
      <w:marBottom w:val="0"/>
      <w:divBdr>
        <w:top w:val="none" w:sz="0" w:space="0" w:color="auto"/>
        <w:left w:val="none" w:sz="0" w:space="0" w:color="auto"/>
        <w:bottom w:val="none" w:sz="0" w:space="0" w:color="auto"/>
        <w:right w:val="none" w:sz="0" w:space="0" w:color="auto"/>
      </w:divBdr>
    </w:div>
    <w:div w:id="2084985365">
      <w:bodyDiv w:val="1"/>
      <w:marLeft w:val="0"/>
      <w:marRight w:val="0"/>
      <w:marTop w:val="0"/>
      <w:marBottom w:val="0"/>
      <w:divBdr>
        <w:top w:val="none" w:sz="0" w:space="0" w:color="auto"/>
        <w:left w:val="none" w:sz="0" w:space="0" w:color="auto"/>
        <w:bottom w:val="none" w:sz="0" w:space="0" w:color="auto"/>
        <w:right w:val="none" w:sz="0" w:space="0" w:color="auto"/>
      </w:divBdr>
    </w:div>
    <w:div w:id="2086099446">
      <w:bodyDiv w:val="1"/>
      <w:marLeft w:val="0"/>
      <w:marRight w:val="0"/>
      <w:marTop w:val="0"/>
      <w:marBottom w:val="0"/>
      <w:divBdr>
        <w:top w:val="none" w:sz="0" w:space="0" w:color="auto"/>
        <w:left w:val="none" w:sz="0" w:space="0" w:color="auto"/>
        <w:bottom w:val="none" w:sz="0" w:space="0" w:color="auto"/>
        <w:right w:val="none" w:sz="0" w:space="0" w:color="auto"/>
      </w:divBdr>
    </w:div>
    <w:div w:id="2086413311">
      <w:bodyDiv w:val="1"/>
      <w:marLeft w:val="0"/>
      <w:marRight w:val="0"/>
      <w:marTop w:val="0"/>
      <w:marBottom w:val="0"/>
      <w:divBdr>
        <w:top w:val="none" w:sz="0" w:space="0" w:color="auto"/>
        <w:left w:val="none" w:sz="0" w:space="0" w:color="auto"/>
        <w:bottom w:val="none" w:sz="0" w:space="0" w:color="auto"/>
        <w:right w:val="none" w:sz="0" w:space="0" w:color="auto"/>
      </w:divBdr>
    </w:div>
    <w:div w:id="2087416054">
      <w:bodyDiv w:val="1"/>
      <w:marLeft w:val="0"/>
      <w:marRight w:val="0"/>
      <w:marTop w:val="0"/>
      <w:marBottom w:val="0"/>
      <w:divBdr>
        <w:top w:val="none" w:sz="0" w:space="0" w:color="auto"/>
        <w:left w:val="none" w:sz="0" w:space="0" w:color="auto"/>
        <w:bottom w:val="none" w:sz="0" w:space="0" w:color="auto"/>
        <w:right w:val="none" w:sz="0" w:space="0" w:color="auto"/>
      </w:divBdr>
    </w:div>
    <w:div w:id="2087455999">
      <w:bodyDiv w:val="1"/>
      <w:marLeft w:val="0"/>
      <w:marRight w:val="0"/>
      <w:marTop w:val="0"/>
      <w:marBottom w:val="0"/>
      <w:divBdr>
        <w:top w:val="none" w:sz="0" w:space="0" w:color="auto"/>
        <w:left w:val="none" w:sz="0" w:space="0" w:color="auto"/>
        <w:bottom w:val="none" w:sz="0" w:space="0" w:color="auto"/>
        <w:right w:val="none" w:sz="0" w:space="0" w:color="auto"/>
      </w:divBdr>
    </w:div>
    <w:div w:id="2087460550">
      <w:bodyDiv w:val="1"/>
      <w:marLeft w:val="0"/>
      <w:marRight w:val="0"/>
      <w:marTop w:val="0"/>
      <w:marBottom w:val="0"/>
      <w:divBdr>
        <w:top w:val="none" w:sz="0" w:space="0" w:color="auto"/>
        <w:left w:val="none" w:sz="0" w:space="0" w:color="auto"/>
        <w:bottom w:val="none" w:sz="0" w:space="0" w:color="auto"/>
        <w:right w:val="none" w:sz="0" w:space="0" w:color="auto"/>
      </w:divBdr>
    </w:div>
    <w:div w:id="2087726888">
      <w:bodyDiv w:val="1"/>
      <w:marLeft w:val="0"/>
      <w:marRight w:val="0"/>
      <w:marTop w:val="0"/>
      <w:marBottom w:val="0"/>
      <w:divBdr>
        <w:top w:val="none" w:sz="0" w:space="0" w:color="auto"/>
        <w:left w:val="none" w:sz="0" w:space="0" w:color="auto"/>
        <w:bottom w:val="none" w:sz="0" w:space="0" w:color="auto"/>
        <w:right w:val="none" w:sz="0" w:space="0" w:color="auto"/>
      </w:divBdr>
    </w:div>
    <w:div w:id="2088377943">
      <w:bodyDiv w:val="1"/>
      <w:marLeft w:val="0"/>
      <w:marRight w:val="0"/>
      <w:marTop w:val="0"/>
      <w:marBottom w:val="0"/>
      <w:divBdr>
        <w:top w:val="none" w:sz="0" w:space="0" w:color="auto"/>
        <w:left w:val="none" w:sz="0" w:space="0" w:color="auto"/>
        <w:bottom w:val="none" w:sz="0" w:space="0" w:color="auto"/>
        <w:right w:val="none" w:sz="0" w:space="0" w:color="auto"/>
      </w:divBdr>
    </w:div>
    <w:div w:id="2088575353">
      <w:bodyDiv w:val="1"/>
      <w:marLeft w:val="0"/>
      <w:marRight w:val="0"/>
      <w:marTop w:val="0"/>
      <w:marBottom w:val="0"/>
      <w:divBdr>
        <w:top w:val="none" w:sz="0" w:space="0" w:color="auto"/>
        <w:left w:val="none" w:sz="0" w:space="0" w:color="auto"/>
        <w:bottom w:val="none" w:sz="0" w:space="0" w:color="auto"/>
        <w:right w:val="none" w:sz="0" w:space="0" w:color="auto"/>
      </w:divBdr>
    </w:div>
    <w:div w:id="2088726843">
      <w:bodyDiv w:val="1"/>
      <w:marLeft w:val="0"/>
      <w:marRight w:val="0"/>
      <w:marTop w:val="0"/>
      <w:marBottom w:val="0"/>
      <w:divBdr>
        <w:top w:val="none" w:sz="0" w:space="0" w:color="auto"/>
        <w:left w:val="none" w:sz="0" w:space="0" w:color="auto"/>
        <w:bottom w:val="none" w:sz="0" w:space="0" w:color="auto"/>
        <w:right w:val="none" w:sz="0" w:space="0" w:color="auto"/>
      </w:divBdr>
    </w:div>
    <w:div w:id="2088838473">
      <w:bodyDiv w:val="1"/>
      <w:marLeft w:val="0"/>
      <w:marRight w:val="0"/>
      <w:marTop w:val="0"/>
      <w:marBottom w:val="0"/>
      <w:divBdr>
        <w:top w:val="none" w:sz="0" w:space="0" w:color="auto"/>
        <w:left w:val="none" w:sz="0" w:space="0" w:color="auto"/>
        <w:bottom w:val="none" w:sz="0" w:space="0" w:color="auto"/>
        <w:right w:val="none" w:sz="0" w:space="0" w:color="auto"/>
      </w:divBdr>
    </w:div>
    <w:div w:id="2088838572">
      <w:bodyDiv w:val="1"/>
      <w:marLeft w:val="0"/>
      <w:marRight w:val="0"/>
      <w:marTop w:val="0"/>
      <w:marBottom w:val="0"/>
      <w:divBdr>
        <w:top w:val="none" w:sz="0" w:space="0" w:color="auto"/>
        <w:left w:val="none" w:sz="0" w:space="0" w:color="auto"/>
        <w:bottom w:val="none" w:sz="0" w:space="0" w:color="auto"/>
        <w:right w:val="none" w:sz="0" w:space="0" w:color="auto"/>
      </w:divBdr>
    </w:div>
    <w:div w:id="2088845304">
      <w:bodyDiv w:val="1"/>
      <w:marLeft w:val="0"/>
      <w:marRight w:val="0"/>
      <w:marTop w:val="0"/>
      <w:marBottom w:val="0"/>
      <w:divBdr>
        <w:top w:val="none" w:sz="0" w:space="0" w:color="auto"/>
        <w:left w:val="none" w:sz="0" w:space="0" w:color="auto"/>
        <w:bottom w:val="none" w:sz="0" w:space="0" w:color="auto"/>
        <w:right w:val="none" w:sz="0" w:space="0" w:color="auto"/>
      </w:divBdr>
    </w:div>
    <w:div w:id="2089032356">
      <w:bodyDiv w:val="1"/>
      <w:marLeft w:val="0"/>
      <w:marRight w:val="0"/>
      <w:marTop w:val="0"/>
      <w:marBottom w:val="0"/>
      <w:divBdr>
        <w:top w:val="none" w:sz="0" w:space="0" w:color="auto"/>
        <w:left w:val="none" w:sz="0" w:space="0" w:color="auto"/>
        <w:bottom w:val="none" w:sz="0" w:space="0" w:color="auto"/>
        <w:right w:val="none" w:sz="0" w:space="0" w:color="auto"/>
      </w:divBdr>
    </w:div>
    <w:div w:id="2089107693">
      <w:bodyDiv w:val="1"/>
      <w:marLeft w:val="0"/>
      <w:marRight w:val="0"/>
      <w:marTop w:val="0"/>
      <w:marBottom w:val="0"/>
      <w:divBdr>
        <w:top w:val="none" w:sz="0" w:space="0" w:color="auto"/>
        <w:left w:val="none" w:sz="0" w:space="0" w:color="auto"/>
        <w:bottom w:val="none" w:sz="0" w:space="0" w:color="auto"/>
        <w:right w:val="none" w:sz="0" w:space="0" w:color="auto"/>
      </w:divBdr>
    </w:div>
    <w:div w:id="2089229513">
      <w:bodyDiv w:val="1"/>
      <w:marLeft w:val="0"/>
      <w:marRight w:val="0"/>
      <w:marTop w:val="0"/>
      <w:marBottom w:val="0"/>
      <w:divBdr>
        <w:top w:val="none" w:sz="0" w:space="0" w:color="auto"/>
        <w:left w:val="none" w:sz="0" w:space="0" w:color="auto"/>
        <w:bottom w:val="none" w:sz="0" w:space="0" w:color="auto"/>
        <w:right w:val="none" w:sz="0" w:space="0" w:color="auto"/>
      </w:divBdr>
    </w:div>
    <w:div w:id="2089617019">
      <w:bodyDiv w:val="1"/>
      <w:marLeft w:val="0"/>
      <w:marRight w:val="0"/>
      <w:marTop w:val="0"/>
      <w:marBottom w:val="0"/>
      <w:divBdr>
        <w:top w:val="none" w:sz="0" w:space="0" w:color="auto"/>
        <w:left w:val="none" w:sz="0" w:space="0" w:color="auto"/>
        <w:bottom w:val="none" w:sz="0" w:space="0" w:color="auto"/>
        <w:right w:val="none" w:sz="0" w:space="0" w:color="auto"/>
      </w:divBdr>
    </w:div>
    <w:div w:id="2089769151">
      <w:bodyDiv w:val="1"/>
      <w:marLeft w:val="0"/>
      <w:marRight w:val="0"/>
      <w:marTop w:val="0"/>
      <w:marBottom w:val="0"/>
      <w:divBdr>
        <w:top w:val="none" w:sz="0" w:space="0" w:color="auto"/>
        <w:left w:val="none" w:sz="0" w:space="0" w:color="auto"/>
        <w:bottom w:val="none" w:sz="0" w:space="0" w:color="auto"/>
        <w:right w:val="none" w:sz="0" w:space="0" w:color="auto"/>
      </w:divBdr>
    </w:div>
    <w:div w:id="2091538568">
      <w:bodyDiv w:val="1"/>
      <w:marLeft w:val="0"/>
      <w:marRight w:val="0"/>
      <w:marTop w:val="0"/>
      <w:marBottom w:val="0"/>
      <w:divBdr>
        <w:top w:val="none" w:sz="0" w:space="0" w:color="auto"/>
        <w:left w:val="none" w:sz="0" w:space="0" w:color="auto"/>
        <w:bottom w:val="none" w:sz="0" w:space="0" w:color="auto"/>
        <w:right w:val="none" w:sz="0" w:space="0" w:color="auto"/>
      </w:divBdr>
    </w:div>
    <w:div w:id="2091542422">
      <w:bodyDiv w:val="1"/>
      <w:marLeft w:val="0"/>
      <w:marRight w:val="0"/>
      <w:marTop w:val="0"/>
      <w:marBottom w:val="0"/>
      <w:divBdr>
        <w:top w:val="none" w:sz="0" w:space="0" w:color="auto"/>
        <w:left w:val="none" w:sz="0" w:space="0" w:color="auto"/>
        <w:bottom w:val="none" w:sz="0" w:space="0" w:color="auto"/>
        <w:right w:val="none" w:sz="0" w:space="0" w:color="auto"/>
      </w:divBdr>
    </w:div>
    <w:div w:id="2091582666">
      <w:bodyDiv w:val="1"/>
      <w:marLeft w:val="0"/>
      <w:marRight w:val="0"/>
      <w:marTop w:val="0"/>
      <w:marBottom w:val="0"/>
      <w:divBdr>
        <w:top w:val="none" w:sz="0" w:space="0" w:color="auto"/>
        <w:left w:val="none" w:sz="0" w:space="0" w:color="auto"/>
        <w:bottom w:val="none" w:sz="0" w:space="0" w:color="auto"/>
        <w:right w:val="none" w:sz="0" w:space="0" w:color="auto"/>
      </w:divBdr>
    </w:div>
    <w:div w:id="2091610689">
      <w:bodyDiv w:val="1"/>
      <w:marLeft w:val="0"/>
      <w:marRight w:val="0"/>
      <w:marTop w:val="0"/>
      <w:marBottom w:val="0"/>
      <w:divBdr>
        <w:top w:val="none" w:sz="0" w:space="0" w:color="auto"/>
        <w:left w:val="none" w:sz="0" w:space="0" w:color="auto"/>
        <w:bottom w:val="none" w:sz="0" w:space="0" w:color="auto"/>
        <w:right w:val="none" w:sz="0" w:space="0" w:color="auto"/>
      </w:divBdr>
    </w:div>
    <w:div w:id="2091924007">
      <w:bodyDiv w:val="1"/>
      <w:marLeft w:val="0"/>
      <w:marRight w:val="0"/>
      <w:marTop w:val="0"/>
      <w:marBottom w:val="0"/>
      <w:divBdr>
        <w:top w:val="none" w:sz="0" w:space="0" w:color="auto"/>
        <w:left w:val="none" w:sz="0" w:space="0" w:color="auto"/>
        <w:bottom w:val="none" w:sz="0" w:space="0" w:color="auto"/>
        <w:right w:val="none" w:sz="0" w:space="0" w:color="auto"/>
      </w:divBdr>
    </w:div>
    <w:div w:id="2091927447">
      <w:bodyDiv w:val="1"/>
      <w:marLeft w:val="0"/>
      <w:marRight w:val="0"/>
      <w:marTop w:val="0"/>
      <w:marBottom w:val="0"/>
      <w:divBdr>
        <w:top w:val="none" w:sz="0" w:space="0" w:color="auto"/>
        <w:left w:val="none" w:sz="0" w:space="0" w:color="auto"/>
        <w:bottom w:val="none" w:sz="0" w:space="0" w:color="auto"/>
        <w:right w:val="none" w:sz="0" w:space="0" w:color="auto"/>
      </w:divBdr>
    </w:div>
    <w:div w:id="2092922266">
      <w:bodyDiv w:val="1"/>
      <w:marLeft w:val="0"/>
      <w:marRight w:val="0"/>
      <w:marTop w:val="0"/>
      <w:marBottom w:val="0"/>
      <w:divBdr>
        <w:top w:val="none" w:sz="0" w:space="0" w:color="auto"/>
        <w:left w:val="none" w:sz="0" w:space="0" w:color="auto"/>
        <w:bottom w:val="none" w:sz="0" w:space="0" w:color="auto"/>
        <w:right w:val="none" w:sz="0" w:space="0" w:color="auto"/>
      </w:divBdr>
    </w:div>
    <w:div w:id="2093116872">
      <w:bodyDiv w:val="1"/>
      <w:marLeft w:val="0"/>
      <w:marRight w:val="0"/>
      <w:marTop w:val="0"/>
      <w:marBottom w:val="0"/>
      <w:divBdr>
        <w:top w:val="none" w:sz="0" w:space="0" w:color="auto"/>
        <w:left w:val="none" w:sz="0" w:space="0" w:color="auto"/>
        <w:bottom w:val="none" w:sz="0" w:space="0" w:color="auto"/>
        <w:right w:val="none" w:sz="0" w:space="0" w:color="auto"/>
      </w:divBdr>
    </w:div>
    <w:div w:id="2093164108">
      <w:bodyDiv w:val="1"/>
      <w:marLeft w:val="0"/>
      <w:marRight w:val="0"/>
      <w:marTop w:val="0"/>
      <w:marBottom w:val="0"/>
      <w:divBdr>
        <w:top w:val="none" w:sz="0" w:space="0" w:color="auto"/>
        <w:left w:val="none" w:sz="0" w:space="0" w:color="auto"/>
        <w:bottom w:val="none" w:sz="0" w:space="0" w:color="auto"/>
        <w:right w:val="none" w:sz="0" w:space="0" w:color="auto"/>
      </w:divBdr>
    </w:div>
    <w:div w:id="2093237229">
      <w:bodyDiv w:val="1"/>
      <w:marLeft w:val="0"/>
      <w:marRight w:val="0"/>
      <w:marTop w:val="0"/>
      <w:marBottom w:val="0"/>
      <w:divBdr>
        <w:top w:val="none" w:sz="0" w:space="0" w:color="auto"/>
        <w:left w:val="none" w:sz="0" w:space="0" w:color="auto"/>
        <w:bottom w:val="none" w:sz="0" w:space="0" w:color="auto"/>
        <w:right w:val="none" w:sz="0" w:space="0" w:color="auto"/>
      </w:divBdr>
    </w:div>
    <w:div w:id="2093578473">
      <w:bodyDiv w:val="1"/>
      <w:marLeft w:val="0"/>
      <w:marRight w:val="0"/>
      <w:marTop w:val="0"/>
      <w:marBottom w:val="0"/>
      <w:divBdr>
        <w:top w:val="none" w:sz="0" w:space="0" w:color="auto"/>
        <w:left w:val="none" w:sz="0" w:space="0" w:color="auto"/>
        <w:bottom w:val="none" w:sz="0" w:space="0" w:color="auto"/>
        <w:right w:val="none" w:sz="0" w:space="0" w:color="auto"/>
      </w:divBdr>
    </w:div>
    <w:div w:id="2094088718">
      <w:bodyDiv w:val="1"/>
      <w:marLeft w:val="0"/>
      <w:marRight w:val="0"/>
      <w:marTop w:val="0"/>
      <w:marBottom w:val="0"/>
      <w:divBdr>
        <w:top w:val="none" w:sz="0" w:space="0" w:color="auto"/>
        <w:left w:val="none" w:sz="0" w:space="0" w:color="auto"/>
        <w:bottom w:val="none" w:sz="0" w:space="0" w:color="auto"/>
        <w:right w:val="none" w:sz="0" w:space="0" w:color="auto"/>
      </w:divBdr>
    </w:div>
    <w:div w:id="2094625844">
      <w:bodyDiv w:val="1"/>
      <w:marLeft w:val="0"/>
      <w:marRight w:val="0"/>
      <w:marTop w:val="0"/>
      <w:marBottom w:val="0"/>
      <w:divBdr>
        <w:top w:val="none" w:sz="0" w:space="0" w:color="auto"/>
        <w:left w:val="none" w:sz="0" w:space="0" w:color="auto"/>
        <w:bottom w:val="none" w:sz="0" w:space="0" w:color="auto"/>
        <w:right w:val="none" w:sz="0" w:space="0" w:color="auto"/>
      </w:divBdr>
    </w:div>
    <w:div w:id="2094742707">
      <w:bodyDiv w:val="1"/>
      <w:marLeft w:val="0"/>
      <w:marRight w:val="0"/>
      <w:marTop w:val="0"/>
      <w:marBottom w:val="0"/>
      <w:divBdr>
        <w:top w:val="none" w:sz="0" w:space="0" w:color="auto"/>
        <w:left w:val="none" w:sz="0" w:space="0" w:color="auto"/>
        <w:bottom w:val="none" w:sz="0" w:space="0" w:color="auto"/>
        <w:right w:val="none" w:sz="0" w:space="0" w:color="auto"/>
      </w:divBdr>
    </w:div>
    <w:div w:id="2095009896">
      <w:bodyDiv w:val="1"/>
      <w:marLeft w:val="0"/>
      <w:marRight w:val="0"/>
      <w:marTop w:val="0"/>
      <w:marBottom w:val="0"/>
      <w:divBdr>
        <w:top w:val="none" w:sz="0" w:space="0" w:color="auto"/>
        <w:left w:val="none" w:sz="0" w:space="0" w:color="auto"/>
        <w:bottom w:val="none" w:sz="0" w:space="0" w:color="auto"/>
        <w:right w:val="none" w:sz="0" w:space="0" w:color="auto"/>
      </w:divBdr>
    </w:div>
    <w:div w:id="2095125745">
      <w:bodyDiv w:val="1"/>
      <w:marLeft w:val="0"/>
      <w:marRight w:val="0"/>
      <w:marTop w:val="0"/>
      <w:marBottom w:val="0"/>
      <w:divBdr>
        <w:top w:val="none" w:sz="0" w:space="0" w:color="auto"/>
        <w:left w:val="none" w:sz="0" w:space="0" w:color="auto"/>
        <w:bottom w:val="none" w:sz="0" w:space="0" w:color="auto"/>
        <w:right w:val="none" w:sz="0" w:space="0" w:color="auto"/>
      </w:divBdr>
    </w:div>
    <w:div w:id="2095273696">
      <w:bodyDiv w:val="1"/>
      <w:marLeft w:val="0"/>
      <w:marRight w:val="0"/>
      <w:marTop w:val="0"/>
      <w:marBottom w:val="0"/>
      <w:divBdr>
        <w:top w:val="none" w:sz="0" w:space="0" w:color="auto"/>
        <w:left w:val="none" w:sz="0" w:space="0" w:color="auto"/>
        <w:bottom w:val="none" w:sz="0" w:space="0" w:color="auto"/>
        <w:right w:val="none" w:sz="0" w:space="0" w:color="auto"/>
      </w:divBdr>
    </w:div>
    <w:div w:id="2095592422">
      <w:bodyDiv w:val="1"/>
      <w:marLeft w:val="0"/>
      <w:marRight w:val="0"/>
      <w:marTop w:val="0"/>
      <w:marBottom w:val="0"/>
      <w:divBdr>
        <w:top w:val="none" w:sz="0" w:space="0" w:color="auto"/>
        <w:left w:val="none" w:sz="0" w:space="0" w:color="auto"/>
        <w:bottom w:val="none" w:sz="0" w:space="0" w:color="auto"/>
        <w:right w:val="none" w:sz="0" w:space="0" w:color="auto"/>
      </w:divBdr>
    </w:div>
    <w:div w:id="2095710644">
      <w:bodyDiv w:val="1"/>
      <w:marLeft w:val="0"/>
      <w:marRight w:val="0"/>
      <w:marTop w:val="0"/>
      <w:marBottom w:val="0"/>
      <w:divBdr>
        <w:top w:val="none" w:sz="0" w:space="0" w:color="auto"/>
        <w:left w:val="none" w:sz="0" w:space="0" w:color="auto"/>
        <w:bottom w:val="none" w:sz="0" w:space="0" w:color="auto"/>
        <w:right w:val="none" w:sz="0" w:space="0" w:color="auto"/>
      </w:divBdr>
    </w:div>
    <w:div w:id="2095857334">
      <w:bodyDiv w:val="1"/>
      <w:marLeft w:val="0"/>
      <w:marRight w:val="0"/>
      <w:marTop w:val="0"/>
      <w:marBottom w:val="0"/>
      <w:divBdr>
        <w:top w:val="none" w:sz="0" w:space="0" w:color="auto"/>
        <w:left w:val="none" w:sz="0" w:space="0" w:color="auto"/>
        <w:bottom w:val="none" w:sz="0" w:space="0" w:color="auto"/>
        <w:right w:val="none" w:sz="0" w:space="0" w:color="auto"/>
      </w:divBdr>
    </w:div>
    <w:div w:id="2095973599">
      <w:bodyDiv w:val="1"/>
      <w:marLeft w:val="0"/>
      <w:marRight w:val="0"/>
      <w:marTop w:val="0"/>
      <w:marBottom w:val="0"/>
      <w:divBdr>
        <w:top w:val="none" w:sz="0" w:space="0" w:color="auto"/>
        <w:left w:val="none" w:sz="0" w:space="0" w:color="auto"/>
        <w:bottom w:val="none" w:sz="0" w:space="0" w:color="auto"/>
        <w:right w:val="none" w:sz="0" w:space="0" w:color="auto"/>
      </w:divBdr>
    </w:div>
    <w:div w:id="2096127249">
      <w:bodyDiv w:val="1"/>
      <w:marLeft w:val="0"/>
      <w:marRight w:val="0"/>
      <w:marTop w:val="0"/>
      <w:marBottom w:val="0"/>
      <w:divBdr>
        <w:top w:val="none" w:sz="0" w:space="0" w:color="auto"/>
        <w:left w:val="none" w:sz="0" w:space="0" w:color="auto"/>
        <w:bottom w:val="none" w:sz="0" w:space="0" w:color="auto"/>
        <w:right w:val="none" w:sz="0" w:space="0" w:color="auto"/>
      </w:divBdr>
    </w:div>
    <w:div w:id="2096628419">
      <w:bodyDiv w:val="1"/>
      <w:marLeft w:val="0"/>
      <w:marRight w:val="0"/>
      <w:marTop w:val="0"/>
      <w:marBottom w:val="0"/>
      <w:divBdr>
        <w:top w:val="none" w:sz="0" w:space="0" w:color="auto"/>
        <w:left w:val="none" w:sz="0" w:space="0" w:color="auto"/>
        <w:bottom w:val="none" w:sz="0" w:space="0" w:color="auto"/>
        <w:right w:val="none" w:sz="0" w:space="0" w:color="auto"/>
      </w:divBdr>
    </w:div>
    <w:div w:id="2096702697">
      <w:bodyDiv w:val="1"/>
      <w:marLeft w:val="0"/>
      <w:marRight w:val="0"/>
      <w:marTop w:val="0"/>
      <w:marBottom w:val="0"/>
      <w:divBdr>
        <w:top w:val="none" w:sz="0" w:space="0" w:color="auto"/>
        <w:left w:val="none" w:sz="0" w:space="0" w:color="auto"/>
        <w:bottom w:val="none" w:sz="0" w:space="0" w:color="auto"/>
        <w:right w:val="none" w:sz="0" w:space="0" w:color="auto"/>
      </w:divBdr>
    </w:div>
    <w:div w:id="2096824720">
      <w:bodyDiv w:val="1"/>
      <w:marLeft w:val="0"/>
      <w:marRight w:val="0"/>
      <w:marTop w:val="0"/>
      <w:marBottom w:val="0"/>
      <w:divBdr>
        <w:top w:val="none" w:sz="0" w:space="0" w:color="auto"/>
        <w:left w:val="none" w:sz="0" w:space="0" w:color="auto"/>
        <w:bottom w:val="none" w:sz="0" w:space="0" w:color="auto"/>
        <w:right w:val="none" w:sz="0" w:space="0" w:color="auto"/>
      </w:divBdr>
    </w:div>
    <w:div w:id="2096895379">
      <w:bodyDiv w:val="1"/>
      <w:marLeft w:val="0"/>
      <w:marRight w:val="0"/>
      <w:marTop w:val="0"/>
      <w:marBottom w:val="0"/>
      <w:divBdr>
        <w:top w:val="none" w:sz="0" w:space="0" w:color="auto"/>
        <w:left w:val="none" w:sz="0" w:space="0" w:color="auto"/>
        <w:bottom w:val="none" w:sz="0" w:space="0" w:color="auto"/>
        <w:right w:val="none" w:sz="0" w:space="0" w:color="auto"/>
      </w:divBdr>
    </w:div>
    <w:div w:id="2097047409">
      <w:bodyDiv w:val="1"/>
      <w:marLeft w:val="0"/>
      <w:marRight w:val="0"/>
      <w:marTop w:val="0"/>
      <w:marBottom w:val="0"/>
      <w:divBdr>
        <w:top w:val="none" w:sz="0" w:space="0" w:color="auto"/>
        <w:left w:val="none" w:sz="0" w:space="0" w:color="auto"/>
        <w:bottom w:val="none" w:sz="0" w:space="0" w:color="auto"/>
        <w:right w:val="none" w:sz="0" w:space="0" w:color="auto"/>
      </w:divBdr>
    </w:div>
    <w:div w:id="2097094353">
      <w:bodyDiv w:val="1"/>
      <w:marLeft w:val="0"/>
      <w:marRight w:val="0"/>
      <w:marTop w:val="0"/>
      <w:marBottom w:val="0"/>
      <w:divBdr>
        <w:top w:val="none" w:sz="0" w:space="0" w:color="auto"/>
        <w:left w:val="none" w:sz="0" w:space="0" w:color="auto"/>
        <w:bottom w:val="none" w:sz="0" w:space="0" w:color="auto"/>
        <w:right w:val="none" w:sz="0" w:space="0" w:color="auto"/>
      </w:divBdr>
    </w:div>
    <w:div w:id="2097245394">
      <w:bodyDiv w:val="1"/>
      <w:marLeft w:val="0"/>
      <w:marRight w:val="0"/>
      <w:marTop w:val="0"/>
      <w:marBottom w:val="0"/>
      <w:divBdr>
        <w:top w:val="none" w:sz="0" w:space="0" w:color="auto"/>
        <w:left w:val="none" w:sz="0" w:space="0" w:color="auto"/>
        <w:bottom w:val="none" w:sz="0" w:space="0" w:color="auto"/>
        <w:right w:val="none" w:sz="0" w:space="0" w:color="auto"/>
      </w:divBdr>
    </w:div>
    <w:div w:id="2097703406">
      <w:bodyDiv w:val="1"/>
      <w:marLeft w:val="0"/>
      <w:marRight w:val="0"/>
      <w:marTop w:val="0"/>
      <w:marBottom w:val="0"/>
      <w:divBdr>
        <w:top w:val="none" w:sz="0" w:space="0" w:color="auto"/>
        <w:left w:val="none" w:sz="0" w:space="0" w:color="auto"/>
        <w:bottom w:val="none" w:sz="0" w:space="0" w:color="auto"/>
        <w:right w:val="none" w:sz="0" w:space="0" w:color="auto"/>
      </w:divBdr>
    </w:div>
    <w:div w:id="2098011605">
      <w:bodyDiv w:val="1"/>
      <w:marLeft w:val="0"/>
      <w:marRight w:val="0"/>
      <w:marTop w:val="0"/>
      <w:marBottom w:val="0"/>
      <w:divBdr>
        <w:top w:val="none" w:sz="0" w:space="0" w:color="auto"/>
        <w:left w:val="none" w:sz="0" w:space="0" w:color="auto"/>
        <w:bottom w:val="none" w:sz="0" w:space="0" w:color="auto"/>
        <w:right w:val="none" w:sz="0" w:space="0" w:color="auto"/>
      </w:divBdr>
    </w:div>
    <w:div w:id="2098013603">
      <w:bodyDiv w:val="1"/>
      <w:marLeft w:val="0"/>
      <w:marRight w:val="0"/>
      <w:marTop w:val="0"/>
      <w:marBottom w:val="0"/>
      <w:divBdr>
        <w:top w:val="none" w:sz="0" w:space="0" w:color="auto"/>
        <w:left w:val="none" w:sz="0" w:space="0" w:color="auto"/>
        <w:bottom w:val="none" w:sz="0" w:space="0" w:color="auto"/>
        <w:right w:val="none" w:sz="0" w:space="0" w:color="auto"/>
      </w:divBdr>
    </w:div>
    <w:div w:id="2098018141">
      <w:bodyDiv w:val="1"/>
      <w:marLeft w:val="0"/>
      <w:marRight w:val="0"/>
      <w:marTop w:val="0"/>
      <w:marBottom w:val="0"/>
      <w:divBdr>
        <w:top w:val="none" w:sz="0" w:space="0" w:color="auto"/>
        <w:left w:val="none" w:sz="0" w:space="0" w:color="auto"/>
        <w:bottom w:val="none" w:sz="0" w:space="0" w:color="auto"/>
        <w:right w:val="none" w:sz="0" w:space="0" w:color="auto"/>
      </w:divBdr>
    </w:div>
    <w:div w:id="2098138581">
      <w:bodyDiv w:val="1"/>
      <w:marLeft w:val="0"/>
      <w:marRight w:val="0"/>
      <w:marTop w:val="0"/>
      <w:marBottom w:val="0"/>
      <w:divBdr>
        <w:top w:val="none" w:sz="0" w:space="0" w:color="auto"/>
        <w:left w:val="none" w:sz="0" w:space="0" w:color="auto"/>
        <w:bottom w:val="none" w:sz="0" w:space="0" w:color="auto"/>
        <w:right w:val="none" w:sz="0" w:space="0" w:color="auto"/>
      </w:divBdr>
    </w:div>
    <w:div w:id="2098551637">
      <w:bodyDiv w:val="1"/>
      <w:marLeft w:val="0"/>
      <w:marRight w:val="0"/>
      <w:marTop w:val="0"/>
      <w:marBottom w:val="0"/>
      <w:divBdr>
        <w:top w:val="none" w:sz="0" w:space="0" w:color="auto"/>
        <w:left w:val="none" w:sz="0" w:space="0" w:color="auto"/>
        <w:bottom w:val="none" w:sz="0" w:space="0" w:color="auto"/>
        <w:right w:val="none" w:sz="0" w:space="0" w:color="auto"/>
      </w:divBdr>
    </w:div>
    <w:div w:id="2098748137">
      <w:bodyDiv w:val="1"/>
      <w:marLeft w:val="0"/>
      <w:marRight w:val="0"/>
      <w:marTop w:val="0"/>
      <w:marBottom w:val="0"/>
      <w:divBdr>
        <w:top w:val="none" w:sz="0" w:space="0" w:color="auto"/>
        <w:left w:val="none" w:sz="0" w:space="0" w:color="auto"/>
        <w:bottom w:val="none" w:sz="0" w:space="0" w:color="auto"/>
        <w:right w:val="none" w:sz="0" w:space="0" w:color="auto"/>
      </w:divBdr>
    </w:div>
    <w:div w:id="2099445942">
      <w:bodyDiv w:val="1"/>
      <w:marLeft w:val="0"/>
      <w:marRight w:val="0"/>
      <w:marTop w:val="0"/>
      <w:marBottom w:val="0"/>
      <w:divBdr>
        <w:top w:val="none" w:sz="0" w:space="0" w:color="auto"/>
        <w:left w:val="none" w:sz="0" w:space="0" w:color="auto"/>
        <w:bottom w:val="none" w:sz="0" w:space="0" w:color="auto"/>
        <w:right w:val="none" w:sz="0" w:space="0" w:color="auto"/>
      </w:divBdr>
    </w:div>
    <w:div w:id="2099477237">
      <w:bodyDiv w:val="1"/>
      <w:marLeft w:val="0"/>
      <w:marRight w:val="0"/>
      <w:marTop w:val="0"/>
      <w:marBottom w:val="0"/>
      <w:divBdr>
        <w:top w:val="none" w:sz="0" w:space="0" w:color="auto"/>
        <w:left w:val="none" w:sz="0" w:space="0" w:color="auto"/>
        <w:bottom w:val="none" w:sz="0" w:space="0" w:color="auto"/>
        <w:right w:val="none" w:sz="0" w:space="0" w:color="auto"/>
      </w:divBdr>
    </w:div>
    <w:div w:id="2099593222">
      <w:bodyDiv w:val="1"/>
      <w:marLeft w:val="0"/>
      <w:marRight w:val="0"/>
      <w:marTop w:val="0"/>
      <w:marBottom w:val="0"/>
      <w:divBdr>
        <w:top w:val="none" w:sz="0" w:space="0" w:color="auto"/>
        <w:left w:val="none" w:sz="0" w:space="0" w:color="auto"/>
        <w:bottom w:val="none" w:sz="0" w:space="0" w:color="auto"/>
        <w:right w:val="none" w:sz="0" w:space="0" w:color="auto"/>
      </w:divBdr>
    </w:div>
    <w:div w:id="2100758563">
      <w:bodyDiv w:val="1"/>
      <w:marLeft w:val="0"/>
      <w:marRight w:val="0"/>
      <w:marTop w:val="0"/>
      <w:marBottom w:val="0"/>
      <w:divBdr>
        <w:top w:val="none" w:sz="0" w:space="0" w:color="auto"/>
        <w:left w:val="none" w:sz="0" w:space="0" w:color="auto"/>
        <w:bottom w:val="none" w:sz="0" w:space="0" w:color="auto"/>
        <w:right w:val="none" w:sz="0" w:space="0" w:color="auto"/>
      </w:divBdr>
    </w:div>
    <w:div w:id="2101368226">
      <w:bodyDiv w:val="1"/>
      <w:marLeft w:val="0"/>
      <w:marRight w:val="0"/>
      <w:marTop w:val="0"/>
      <w:marBottom w:val="0"/>
      <w:divBdr>
        <w:top w:val="none" w:sz="0" w:space="0" w:color="auto"/>
        <w:left w:val="none" w:sz="0" w:space="0" w:color="auto"/>
        <w:bottom w:val="none" w:sz="0" w:space="0" w:color="auto"/>
        <w:right w:val="none" w:sz="0" w:space="0" w:color="auto"/>
      </w:divBdr>
    </w:div>
    <w:div w:id="2102139720">
      <w:bodyDiv w:val="1"/>
      <w:marLeft w:val="0"/>
      <w:marRight w:val="0"/>
      <w:marTop w:val="0"/>
      <w:marBottom w:val="0"/>
      <w:divBdr>
        <w:top w:val="none" w:sz="0" w:space="0" w:color="auto"/>
        <w:left w:val="none" w:sz="0" w:space="0" w:color="auto"/>
        <w:bottom w:val="none" w:sz="0" w:space="0" w:color="auto"/>
        <w:right w:val="none" w:sz="0" w:space="0" w:color="auto"/>
      </w:divBdr>
    </w:div>
    <w:div w:id="2102329799">
      <w:bodyDiv w:val="1"/>
      <w:marLeft w:val="0"/>
      <w:marRight w:val="0"/>
      <w:marTop w:val="0"/>
      <w:marBottom w:val="0"/>
      <w:divBdr>
        <w:top w:val="none" w:sz="0" w:space="0" w:color="auto"/>
        <w:left w:val="none" w:sz="0" w:space="0" w:color="auto"/>
        <w:bottom w:val="none" w:sz="0" w:space="0" w:color="auto"/>
        <w:right w:val="none" w:sz="0" w:space="0" w:color="auto"/>
      </w:divBdr>
    </w:div>
    <w:div w:id="2102481129">
      <w:bodyDiv w:val="1"/>
      <w:marLeft w:val="0"/>
      <w:marRight w:val="0"/>
      <w:marTop w:val="0"/>
      <w:marBottom w:val="0"/>
      <w:divBdr>
        <w:top w:val="none" w:sz="0" w:space="0" w:color="auto"/>
        <w:left w:val="none" w:sz="0" w:space="0" w:color="auto"/>
        <w:bottom w:val="none" w:sz="0" w:space="0" w:color="auto"/>
        <w:right w:val="none" w:sz="0" w:space="0" w:color="auto"/>
      </w:divBdr>
    </w:div>
    <w:div w:id="2103138109">
      <w:bodyDiv w:val="1"/>
      <w:marLeft w:val="0"/>
      <w:marRight w:val="0"/>
      <w:marTop w:val="0"/>
      <w:marBottom w:val="0"/>
      <w:divBdr>
        <w:top w:val="none" w:sz="0" w:space="0" w:color="auto"/>
        <w:left w:val="none" w:sz="0" w:space="0" w:color="auto"/>
        <w:bottom w:val="none" w:sz="0" w:space="0" w:color="auto"/>
        <w:right w:val="none" w:sz="0" w:space="0" w:color="auto"/>
      </w:divBdr>
    </w:div>
    <w:div w:id="2103331316">
      <w:bodyDiv w:val="1"/>
      <w:marLeft w:val="0"/>
      <w:marRight w:val="0"/>
      <w:marTop w:val="0"/>
      <w:marBottom w:val="0"/>
      <w:divBdr>
        <w:top w:val="none" w:sz="0" w:space="0" w:color="auto"/>
        <w:left w:val="none" w:sz="0" w:space="0" w:color="auto"/>
        <w:bottom w:val="none" w:sz="0" w:space="0" w:color="auto"/>
        <w:right w:val="none" w:sz="0" w:space="0" w:color="auto"/>
      </w:divBdr>
    </w:div>
    <w:div w:id="2103602781">
      <w:bodyDiv w:val="1"/>
      <w:marLeft w:val="0"/>
      <w:marRight w:val="0"/>
      <w:marTop w:val="0"/>
      <w:marBottom w:val="0"/>
      <w:divBdr>
        <w:top w:val="none" w:sz="0" w:space="0" w:color="auto"/>
        <w:left w:val="none" w:sz="0" w:space="0" w:color="auto"/>
        <w:bottom w:val="none" w:sz="0" w:space="0" w:color="auto"/>
        <w:right w:val="none" w:sz="0" w:space="0" w:color="auto"/>
      </w:divBdr>
    </w:div>
    <w:div w:id="2103648132">
      <w:bodyDiv w:val="1"/>
      <w:marLeft w:val="0"/>
      <w:marRight w:val="0"/>
      <w:marTop w:val="0"/>
      <w:marBottom w:val="0"/>
      <w:divBdr>
        <w:top w:val="none" w:sz="0" w:space="0" w:color="auto"/>
        <w:left w:val="none" w:sz="0" w:space="0" w:color="auto"/>
        <w:bottom w:val="none" w:sz="0" w:space="0" w:color="auto"/>
        <w:right w:val="none" w:sz="0" w:space="0" w:color="auto"/>
      </w:divBdr>
    </w:div>
    <w:div w:id="2103992150">
      <w:bodyDiv w:val="1"/>
      <w:marLeft w:val="0"/>
      <w:marRight w:val="0"/>
      <w:marTop w:val="0"/>
      <w:marBottom w:val="0"/>
      <w:divBdr>
        <w:top w:val="none" w:sz="0" w:space="0" w:color="auto"/>
        <w:left w:val="none" w:sz="0" w:space="0" w:color="auto"/>
        <w:bottom w:val="none" w:sz="0" w:space="0" w:color="auto"/>
        <w:right w:val="none" w:sz="0" w:space="0" w:color="auto"/>
      </w:divBdr>
    </w:div>
    <w:div w:id="2104186382">
      <w:bodyDiv w:val="1"/>
      <w:marLeft w:val="0"/>
      <w:marRight w:val="0"/>
      <w:marTop w:val="0"/>
      <w:marBottom w:val="0"/>
      <w:divBdr>
        <w:top w:val="none" w:sz="0" w:space="0" w:color="auto"/>
        <w:left w:val="none" w:sz="0" w:space="0" w:color="auto"/>
        <w:bottom w:val="none" w:sz="0" w:space="0" w:color="auto"/>
        <w:right w:val="none" w:sz="0" w:space="0" w:color="auto"/>
      </w:divBdr>
    </w:div>
    <w:div w:id="2104253227">
      <w:bodyDiv w:val="1"/>
      <w:marLeft w:val="0"/>
      <w:marRight w:val="0"/>
      <w:marTop w:val="0"/>
      <w:marBottom w:val="0"/>
      <w:divBdr>
        <w:top w:val="none" w:sz="0" w:space="0" w:color="auto"/>
        <w:left w:val="none" w:sz="0" w:space="0" w:color="auto"/>
        <w:bottom w:val="none" w:sz="0" w:space="0" w:color="auto"/>
        <w:right w:val="none" w:sz="0" w:space="0" w:color="auto"/>
      </w:divBdr>
    </w:div>
    <w:div w:id="2104570964">
      <w:bodyDiv w:val="1"/>
      <w:marLeft w:val="0"/>
      <w:marRight w:val="0"/>
      <w:marTop w:val="0"/>
      <w:marBottom w:val="0"/>
      <w:divBdr>
        <w:top w:val="none" w:sz="0" w:space="0" w:color="auto"/>
        <w:left w:val="none" w:sz="0" w:space="0" w:color="auto"/>
        <w:bottom w:val="none" w:sz="0" w:space="0" w:color="auto"/>
        <w:right w:val="none" w:sz="0" w:space="0" w:color="auto"/>
      </w:divBdr>
    </w:div>
    <w:div w:id="2105610528">
      <w:bodyDiv w:val="1"/>
      <w:marLeft w:val="0"/>
      <w:marRight w:val="0"/>
      <w:marTop w:val="0"/>
      <w:marBottom w:val="0"/>
      <w:divBdr>
        <w:top w:val="none" w:sz="0" w:space="0" w:color="auto"/>
        <w:left w:val="none" w:sz="0" w:space="0" w:color="auto"/>
        <w:bottom w:val="none" w:sz="0" w:space="0" w:color="auto"/>
        <w:right w:val="none" w:sz="0" w:space="0" w:color="auto"/>
      </w:divBdr>
    </w:div>
    <w:div w:id="2105615475">
      <w:bodyDiv w:val="1"/>
      <w:marLeft w:val="0"/>
      <w:marRight w:val="0"/>
      <w:marTop w:val="0"/>
      <w:marBottom w:val="0"/>
      <w:divBdr>
        <w:top w:val="none" w:sz="0" w:space="0" w:color="auto"/>
        <w:left w:val="none" w:sz="0" w:space="0" w:color="auto"/>
        <w:bottom w:val="none" w:sz="0" w:space="0" w:color="auto"/>
        <w:right w:val="none" w:sz="0" w:space="0" w:color="auto"/>
      </w:divBdr>
    </w:div>
    <w:div w:id="2106610920">
      <w:bodyDiv w:val="1"/>
      <w:marLeft w:val="0"/>
      <w:marRight w:val="0"/>
      <w:marTop w:val="0"/>
      <w:marBottom w:val="0"/>
      <w:divBdr>
        <w:top w:val="none" w:sz="0" w:space="0" w:color="auto"/>
        <w:left w:val="none" w:sz="0" w:space="0" w:color="auto"/>
        <w:bottom w:val="none" w:sz="0" w:space="0" w:color="auto"/>
        <w:right w:val="none" w:sz="0" w:space="0" w:color="auto"/>
      </w:divBdr>
    </w:div>
    <w:div w:id="2106876644">
      <w:bodyDiv w:val="1"/>
      <w:marLeft w:val="0"/>
      <w:marRight w:val="0"/>
      <w:marTop w:val="0"/>
      <w:marBottom w:val="0"/>
      <w:divBdr>
        <w:top w:val="none" w:sz="0" w:space="0" w:color="auto"/>
        <w:left w:val="none" w:sz="0" w:space="0" w:color="auto"/>
        <w:bottom w:val="none" w:sz="0" w:space="0" w:color="auto"/>
        <w:right w:val="none" w:sz="0" w:space="0" w:color="auto"/>
      </w:divBdr>
    </w:div>
    <w:div w:id="2107144639">
      <w:bodyDiv w:val="1"/>
      <w:marLeft w:val="0"/>
      <w:marRight w:val="0"/>
      <w:marTop w:val="0"/>
      <w:marBottom w:val="0"/>
      <w:divBdr>
        <w:top w:val="none" w:sz="0" w:space="0" w:color="auto"/>
        <w:left w:val="none" w:sz="0" w:space="0" w:color="auto"/>
        <w:bottom w:val="none" w:sz="0" w:space="0" w:color="auto"/>
        <w:right w:val="none" w:sz="0" w:space="0" w:color="auto"/>
      </w:divBdr>
    </w:div>
    <w:div w:id="2107459159">
      <w:bodyDiv w:val="1"/>
      <w:marLeft w:val="0"/>
      <w:marRight w:val="0"/>
      <w:marTop w:val="0"/>
      <w:marBottom w:val="0"/>
      <w:divBdr>
        <w:top w:val="none" w:sz="0" w:space="0" w:color="auto"/>
        <w:left w:val="none" w:sz="0" w:space="0" w:color="auto"/>
        <w:bottom w:val="none" w:sz="0" w:space="0" w:color="auto"/>
        <w:right w:val="none" w:sz="0" w:space="0" w:color="auto"/>
      </w:divBdr>
    </w:div>
    <w:div w:id="2107574420">
      <w:bodyDiv w:val="1"/>
      <w:marLeft w:val="0"/>
      <w:marRight w:val="0"/>
      <w:marTop w:val="0"/>
      <w:marBottom w:val="0"/>
      <w:divBdr>
        <w:top w:val="none" w:sz="0" w:space="0" w:color="auto"/>
        <w:left w:val="none" w:sz="0" w:space="0" w:color="auto"/>
        <w:bottom w:val="none" w:sz="0" w:space="0" w:color="auto"/>
        <w:right w:val="none" w:sz="0" w:space="0" w:color="auto"/>
      </w:divBdr>
    </w:div>
    <w:div w:id="2108193723">
      <w:bodyDiv w:val="1"/>
      <w:marLeft w:val="0"/>
      <w:marRight w:val="0"/>
      <w:marTop w:val="0"/>
      <w:marBottom w:val="0"/>
      <w:divBdr>
        <w:top w:val="none" w:sz="0" w:space="0" w:color="auto"/>
        <w:left w:val="none" w:sz="0" w:space="0" w:color="auto"/>
        <w:bottom w:val="none" w:sz="0" w:space="0" w:color="auto"/>
        <w:right w:val="none" w:sz="0" w:space="0" w:color="auto"/>
      </w:divBdr>
    </w:div>
    <w:div w:id="2108233994">
      <w:bodyDiv w:val="1"/>
      <w:marLeft w:val="0"/>
      <w:marRight w:val="0"/>
      <w:marTop w:val="0"/>
      <w:marBottom w:val="0"/>
      <w:divBdr>
        <w:top w:val="none" w:sz="0" w:space="0" w:color="auto"/>
        <w:left w:val="none" w:sz="0" w:space="0" w:color="auto"/>
        <w:bottom w:val="none" w:sz="0" w:space="0" w:color="auto"/>
        <w:right w:val="none" w:sz="0" w:space="0" w:color="auto"/>
      </w:divBdr>
    </w:div>
    <w:div w:id="2108429527">
      <w:bodyDiv w:val="1"/>
      <w:marLeft w:val="0"/>
      <w:marRight w:val="0"/>
      <w:marTop w:val="0"/>
      <w:marBottom w:val="0"/>
      <w:divBdr>
        <w:top w:val="none" w:sz="0" w:space="0" w:color="auto"/>
        <w:left w:val="none" w:sz="0" w:space="0" w:color="auto"/>
        <w:bottom w:val="none" w:sz="0" w:space="0" w:color="auto"/>
        <w:right w:val="none" w:sz="0" w:space="0" w:color="auto"/>
      </w:divBdr>
    </w:div>
    <w:div w:id="2108580037">
      <w:bodyDiv w:val="1"/>
      <w:marLeft w:val="0"/>
      <w:marRight w:val="0"/>
      <w:marTop w:val="0"/>
      <w:marBottom w:val="0"/>
      <w:divBdr>
        <w:top w:val="none" w:sz="0" w:space="0" w:color="auto"/>
        <w:left w:val="none" w:sz="0" w:space="0" w:color="auto"/>
        <w:bottom w:val="none" w:sz="0" w:space="0" w:color="auto"/>
        <w:right w:val="none" w:sz="0" w:space="0" w:color="auto"/>
      </w:divBdr>
    </w:div>
    <w:div w:id="2108648081">
      <w:bodyDiv w:val="1"/>
      <w:marLeft w:val="0"/>
      <w:marRight w:val="0"/>
      <w:marTop w:val="0"/>
      <w:marBottom w:val="0"/>
      <w:divBdr>
        <w:top w:val="none" w:sz="0" w:space="0" w:color="auto"/>
        <w:left w:val="none" w:sz="0" w:space="0" w:color="auto"/>
        <w:bottom w:val="none" w:sz="0" w:space="0" w:color="auto"/>
        <w:right w:val="none" w:sz="0" w:space="0" w:color="auto"/>
      </w:divBdr>
    </w:div>
    <w:div w:id="2108651266">
      <w:bodyDiv w:val="1"/>
      <w:marLeft w:val="0"/>
      <w:marRight w:val="0"/>
      <w:marTop w:val="0"/>
      <w:marBottom w:val="0"/>
      <w:divBdr>
        <w:top w:val="none" w:sz="0" w:space="0" w:color="auto"/>
        <w:left w:val="none" w:sz="0" w:space="0" w:color="auto"/>
        <w:bottom w:val="none" w:sz="0" w:space="0" w:color="auto"/>
        <w:right w:val="none" w:sz="0" w:space="0" w:color="auto"/>
      </w:divBdr>
    </w:div>
    <w:div w:id="2109621087">
      <w:bodyDiv w:val="1"/>
      <w:marLeft w:val="0"/>
      <w:marRight w:val="0"/>
      <w:marTop w:val="0"/>
      <w:marBottom w:val="0"/>
      <w:divBdr>
        <w:top w:val="none" w:sz="0" w:space="0" w:color="auto"/>
        <w:left w:val="none" w:sz="0" w:space="0" w:color="auto"/>
        <w:bottom w:val="none" w:sz="0" w:space="0" w:color="auto"/>
        <w:right w:val="none" w:sz="0" w:space="0" w:color="auto"/>
      </w:divBdr>
    </w:div>
    <w:div w:id="2109962997">
      <w:bodyDiv w:val="1"/>
      <w:marLeft w:val="0"/>
      <w:marRight w:val="0"/>
      <w:marTop w:val="0"/>
      <w:marBottom w:val="0"/>
      <w:divBdr>
        <w:top w:val="none" w:sz="0" w:space="0" w:color="auto"/>
        <w:left w:val="none" w:sz="0" w:space="0" w:color="auto"/>
        <w:bottom w:val="none" w:sz="0" w:space="0" w:color="auto"/>
        <w:right w:val="none" w:sz="0" w:space="0" w:color="auto"/>
      </w:divBdr>
    </w:div>
    <w:div w:id="2110075983">
      <w:bodyDiv w:val="1"/>
      <w:marLeft w:val="0"/>
      <w:marRight w:val="0"/>
      <w:marTop w:val="0"/>
      <w:marBottom w:val="0"/>
      <w:divBdr>
        <w:top w:val="none" w:sz="0" w:space="0" w:color="auto"/>
        <w:left w:val="none" w:sz="0" w:space="0" w:color="auto"/>
        <w:bottom w:val="none" w:sz="0" w:space="0" w:color="auto"/>
        <w:right w:val="none" w:sz="0" w:space="0" w:color="auto"/>
      </w:divBdr>
    </w:div>
    <w:div w:id="2110344162">
      <w:bodyDiv w:val="1"/>
      <w:marLeft w:val="0"/>
      <w:marRight w:val="0"/>
      <w:marTop w:val="0"/>
      <w:marBottom w:val="0"/>
      <w:divBdr>
        <w:top w:val="none" w:sz="0" w:space="0" w:color="auto"/>
        <w:left w:val="none" w:sz="0" w:space="0" w:color="auto"/>
        <w:bottom w:val="none" w:sz="0" w:space="0" w:color="auto"/>
        <w:right w:val="none" w:sz="0" w:space="0" w:color="auto"/>
      </w:divBdr>
    </w:div>
    <w:div w:id="2110348439">
      <w:bodyDiv w:val="1"/>
      <w:marLeft w:val="0"/>
      <w:marRight w:val="0"/>
      <w:marTop w:val="0"/>
      <w:marBottom w:val="0"/>
      <w:divBdr>
        <w:top w:val="none" w:sz="0" w:space="0" w:color="auto"/>
        <w:left w:val="none" w:sz="0" w:space="0" w:color="auto"/>
        <w:bottom w:val="none" w:sz="0" w:space="0" w:color="auto"/>
        <w:right w:val="none" w:sz="0" w:space="0" w:color="auto"/>
      </w:divBdr>
    </w:div>
    <w:div w:id="2110462304">
      <w:bodyDiv w:val="1"/>
      <w:marLeft w:val="0"/>
      <w:marRight w:val="0"/>
      <w:marTop w:val="0"/>
      <w:marBottom w:val="0"/>
      <w:divBdr>
        <w:top w:val="none" w:sz="0" w:space="0" w:color="auto"/>
        <w:left w:val="none" w:sz="0" w:space="0" w:color="auto"/>
        <w:bottom w:val="none" w:sz="0" w:space="0" w:color="auto"/>
        <w:right w:val="none" w:sz="0" w:space="0" w:color="auto"/>
      </w:divBdr>
    </w:div>
    <w:div w:id="2110541674">
      <w:bodyDiv w:val="1"/>
      <w:marLeft w:val="0"/>
      <w:marRight w:val="0"/>
      <w:marTop w:val="0"/>
      <w:marBottom w:val="0"/>
      <w:divBdr>
        <w:top w:val="none" w:sz="0" w:space="0" w:color="auto"/>
        <w:left w:val="none" w:sz="0" w:space="0" w:color="auto"/>
        <w:bottom w:val="none" w:sz="0" w:space="0" w:color="auto"/>
        <w:right w:val="none" w:sz="0" w:space="0" w:color="auto"/>
      </w:divBdr>
    </w:div>
    <w:div w:id="2111702988">
      <w:bodyDiv w:val="1"/>
      <w:marLeft w:val="0"/>
      <w:marRight w:val="0"/>
      <w:marTop w:val="0"/>
      <w:marBottom w:val="0"/>
      <w:divBdr>
        <w:top w:val="none" w:sz="0" w:space="0" w:color="auto"/>
        <w:left w:val="none" w:sz="0" w:space="0" w:color="auto"/>
        <w:bottom w:val="none" w:sz="0" w:space="0" w:color="auto"/>
        <w:right w:val="none" w:sz="0" w:space="0" w:color="auto"/>
      </w:divBdr>
    </w:div>
    <w:div w:id="2112313755">
      <w:bodyDiv w:val="1"/>
      <w:marLeft w:val="0"/>
      <w:marRight w:val="0"/>
      <w:marTop w:val="0"/>
      <w:marBottom w:val="0"/>
      <w:divBdr>
        <w:top w:val="none" w:sz="0" w:space="0" w:color="auto"/>
        <w:left w:val="none" w:sz="0" w:space="0" w:color="auto"/>
        <w:bottom w:val="none" w:sz="0" w:space="0" w:color="auto"/>
        <w:right w:val="none" w:sz="0" w:space="0" w:color="auto"/>
      </w:divBdr>
    </w:div>
    <w:div w:id="2112705199">
      <w:bodyDiv w:val="1"/>
      <w:marLeft w:val="0"/>
      <w:marRight w:val="0"/>
      <w:marTop w:val="0"/>
      <w:marBottom w:val="0"/>
      <w:divBdr>
        <w:top w:val="none" w:sz="0" w:space="0" w:color="auto"/>
        <w:left w:val="none" w:sz="0" w:space="0" w:color="auto"/>
        <w:bottom w:val="none" w:sz="0" w:space="0" w:color="auto"/>
        <w:right w:val="none" w:sz="0" w:space="0" w:color="auto"/>
      </w:divBdr>
    </w:div>
    <w:div w:id="2112775146">
      <w:bodyDiv w:val="1"/>
      <w:marLeft w:val="0"/>
      <w:marRight w:val="0"/>
      <w:marTop w:val="0"/>
      <w:marBottom w:val="0"/>
      <w:divBdr>
        <w:top w:val="none" w:sz="0" w:space="0" w:color="auto"/>
        <w:left w:val="none" w:sz="0" w:space="0" w:color="auto"/>
        <w:bottom w:val="none" w:sz="0" w:space="0" w:color="auto"/>
        <w:right w:val="none" w:sz="0" w:space="0" w:color="auto"/>
      </w:divBdr>
    </w:div>
    <w:div w:id="2112971676">
      <w:bodyDiv w:val="1"/>
      <w:marLeft w:val="0"/>
      <w:marRight w:val="0"/>
      <w:marTop w:val="0"/>
      <w:marBottom w:val="0"/>
      <w:divBdr>
        <w:top w:val="none" w:sz="0" w:space="0" w:color="auto"/>
        <w:left w:val="none" w:sz="0" w:space="0" w:color="auto"/>
        <w:bottom w:val="none" w:sz="0" w:space="0" w:color="auto"/>
        <w:right w:val="none" w:sz="0" w:space="0" w:color="auto"/>
      </w:divBdr>
    </w:div>
    <w:div w:id="2113745312">
      <w:bodyDiv w:val="1"/>
      <w:marLeft w:val="0"/>
      <w:marRight w:val="0"/>
      <w:marTop w:val="0"/>
      <w:marBottom w:val="0"/>
      <w:divBdr>
        <w:top w:val="none" w:sz="0" w:space="0" w:color="auto"/>
        <w:left w:val="none" w:sz="0" w:space="0" w:color="auto"/>
        <w:bottom w:val="none" w:sz="0" w:space="0" w:color="auto"/>
        <w:right w:val="none" w:sz="0" w:space="0" w:color="auto"/>
      </w:divBdr>
    </w:div>
    <w:div w:id="2113820355">
      <w:bodyDiv w:val="1"/>
      <w:marLeft w:val="0"/>
      <w:marRight w:val="0"/>
      <w:marTop w:val="0"/>
      <w:marBottom w:val="0"/>
      <w:divBdr>
        <w:top w:val="none" w:sz="0" w:space="0" w:color="auto"/>
        <w:left w:val="none" w:sz="0" w:space="0" w:color="auto"/>
        <w:bottom w:val="none" w:sz="0" w:space="0" w:color="auto"/>
        <w:right w:val="none" w:sz="0" w:space="0" w:color="auto"/>
      </w:divBdr>
    </w:div>
    <w:div w:id="2114398072">
      <w:bodyDiv w:val="1"/>
      <w:marLeft w:val="0"/>
      <w:marRight w:val="0"/>
      <w:marTop w:val="0"/>
      <w:marBottom w:val="0"/>
      <w:divBdr>
        <w:top w:val="none" w:sz="0" w:space="0" w:color="auto"/>
        <w:left w:val="none" w:sz="0" w:space="0" w:color="auto"/>
        <w:bottom w:val="none" w:sz="0" w:space="0" w:color="auto"/>
        <w:right w:val="none" w:sz="0" w:space="0" w:color="auto"/>
      </w:divBdr>
    </w:div>
    <w:div w:id="2114545068">
      <w:bodyDiv w:val="1"/>
      <w:marLeft w:val="0"/>
      <w:marRight w:val="0"/>
      <w:marTop w:val="0"/>
      <w:marBottom w:val="0"/>
      <w:divBdr>
        <w:top w:val="none" w:sz="0" w:space="0" w:color="auto"/>
        <w:left w:val="none" w:sz="0" w:space="0" w:color="auto"/>
        <w:bottom w:val="none" w:sz="0" w:space="0" w:color="auto"/>
        <w:right w:val="none" w:sz="0" w:space="0" w:color="auto"/>
      </w:divBdr>
    </w:div>
    <w:div w:id="2114590430">
      <w:bodyDiv w:val="1"/>
      <w:marLeft w:val="0"/>
      <w:marRight w:val="0"/>
      <w:marTop w:val="0"/>
      <w:marBottom w:val="0"/>
      <w:divBdr>
        <w:top w:val="none" w:sz="0" w:space="0" w:color="auto"/>
        <w:left w:val="none" w:sz="0" w:space="0" w:color="auto"/>
        <w:bottom w:val="none" w:sz="0" w:space="0" w:color="auto"/>
        <w:right w:val="none" w:sz="0" w:space="0" w:color="auto"/>
      </w:divBdr>
    </w:div>
    <w:div w:id="2114935656">
      <w:bodyDiv w:val="1"/>
      <w:marLeft w:val="0"/>
      <w:marRight w:val="0"/>
      <w:marTop w:val="0"/>
      <w:marBottom w:val="0"/>
      <w:divBdr>
        <w:top w:val="none" w:sz="0" w:space="0" w:color="auto"/>
        <w:left w:val="none" w:sz="0" w:space="0" w:color="auto"/>
        <w:bottom w:val="none" w:sz="0" w:space="0" w:color="auto"/>
        <w:right w:val="none" w:sz="0" w:space="0" w:color="auto"/>
      </w:divBdr>
    </w:div>
    <w:div w:id="2115392341">
      <w:bodyDiv w:val="1"/>
      <w:marLeft w:val="0"/>
      <w:marRight w:val="0"/>
      <w:marTop w:val="0"/>
      <w:marBottom w:val="0"/>
      <w:divBdr>
        <w:top w:val="none" w:sz="0" w:space="0" w:color="auto"/>
        <w:left w:val="none" w:sz="0" w:space="0" w:color="auto"/>
        <w:bottom w:val="none" w:sz="0" w:space="0" w:color="auto"/>
        <w:right w:val="none" w:sz="0" w:space="0" w:color="auto"/>
      </w:divBdr>
    </w:div>
    <w:div w:id="2115709950">
      <w:bodyDiv w:val="1"/>
      <w:marLeft w:val="0"/>
      <w:marRight w:val="0"/>
      <w:marTop w:val="0"/>
      <w:marBottom w:val="0"/>
      <w:divBdr>
        <w:top w:val="none" w:sz="0" w:space="0" w:color="auto"/>
        <w:left w:val="none" w:sz="0" w:space="0" w:color="auto"/>
        <w:bottom w:val="none" w:sz="0" w:space="0" w:color="auto"/>
        <w:right w:val="none" w:sz="0" w:space="0" w:color="auto"/>
      </w:divBdr>
    </w:div>
    <w:div w:id="2115779888">
      <w:bodyDiv w:val="1"/>
      <w:marLeft w:val="0"/>
      <w:marRight w:val="0"/>
      <w:marTop w:val="0"/>
      <w:marBottom w:val="0"/>
      <w:divBdr>
        <w:top w:val="none" w:sz="0" w:space="0" w:color="auto"/>
        <w:left w:val="none" w:sz="0" w:space="0" w:color="auto"/>
        <w:bottom w:val="none" w:sz="0" w:space="0" w:color="auto"/>
        <w:right w:val="none" w:sz="0" w:space="0" w:color="auto"/>
      </w:divBdr>
    </w:div>
    <w:div w:id="2115782519">
      <w:bodyDiv w:val="1"/>
      <w:marLeft w:val="0"/>
      <w:marRight w:val="0"/>
      <w:marTop w:val="0"/>
      <w:marBottom w:val="0"/>
      <w:divBdr>
        <w:top w:val="none" w:sz="0" w:space="0" w:color="auto"/>
        <w:left w:val="none" w:sz="0" w:space="0" w:color="auto"/>
        <w:bottom w:val="none" w:sz="0" w:space="0" w:color="auto"/>
        <w:right w:val="none" w:sz="0" w:space="0" w:color="auto"/>
      </w:divBdr>
    </w:div>
    <w:div w:id="2116290359">
      <w:bodyDiv w:val="1"/>
      <w:marLeft w:val="0"/>
      <w:marRight w:val="0"/>
      <w:marTop w:val="0"/>
      <w:marBottom w:val="0"/>
      <w:divBdr>
        <w:top w:val="none" w:sz="0" w:space="0" w:color="auto"/>
        <w:left w:val="none" w:sz="0" w:space="0" w:color="auto"/>
        <w:bottom w:val="none" w:sz="0" w:space="0" w:color="auto"/>
        <w:right w:val="none" w:sz="0" w:space="0" w:color="auto"/>
      </w:divBdr>
    </w:div>
    <w:div w:id="2116438821">
      <w:bodyDiv w:val="1"/>
      <w:marLeft w:val="0"/>
      <w:marRight w:val="0"/>
      <w:marTop w:val="0"/>
      <w:marBottom w:val="0"/>
      <w:divBdr>
        <w:top w:val="none" w:sz="0" w:space="0" w:color="auto"/>
        <w:left w:val="none" w:sz="0" w:space="0" w:color="auto"/>
        <w:bottom w:val="none" w:sz="0" w:space="0" w:color="auto"/>
        <w:right w:val="none" w:sz="0" w:space="0" w:color="auto"/>
      </w:divBdr>
    </w:div>
    <w:div w:id="2116559854">
      <w:bodyDiv w:val="1"/>
      <w:marLeft w:val="0"/>
      <w:marRight w:val="0"/>
      <w:marTop w:val="0"/>
      <w:marBottom w:val="0"/>
      <w:divBdr>
        <w:top w:val="none" w:sz="0" w:space="0" w:color="auto"/>
        <w:left w:val="none" w:sz="0" w:space="0" w:color="auto"/>
        <w:bottom w:val="none" w:sz="0" w:space="0" w:color="auto"/>
        <w:right w:val="none" w:sz="0" w:space="0" w:color="auto"/>
      </w:divBdr>
    </w:div>
    <w:div w:id="2117090270">
      <w:bodyDiv w:val="1"/>
      <w:marLeft w:val="0"/>
      <w:marRight w:val="0"/>
      <w:marTop w:val="0"/>
      <w:marBottom w:val="0"/>
      <w:divBdr>
        <w:top w:val="none" w:sz="0" w:space="0" w:color="auto"/>
        <w:left w:val="none" w:sz="0" w:space="0" w:color="auto"/>
        <w:bottom w:val="none" w:sz="0" w:space="0" w:color="auto"/>
        <w:right w:val="none" w:sz="0" w:space="0" w:color="auto"/>
      </w:divBdr>
    </w:div>
    <w:div w:id="2117362422">
      <w:bodyDiv w:val="1"/>
      <w:marLeft w:val="0"/>
      <w:marRight w:val="0"/>
      <w:marTop w:val="0"/>
      <w:marBottom w:val="0"/>
      <w:divBdr>
        <w:top w:val="none" w:sz="0" w:space="0" w:color="auto"/>
        <w:left w:val="none" w:sz="0" w:space="0" w:color="auto"/>
        <w:bottom w:val="none" w:sz="0" w:space="0" w:color="auto"/>
        <w:right w:val="none" w:sz="0" w:space="0" w:color="auto"/>
      </w:divBdr>
    </w:div>
    <w:div w:id="2117404698">
      <w:bodyDiv w:val="1"/>
      <w:marLeft w:val="0"/>
      <w:marRight w:val="0"/>
      <w:marTop w:val="0"/>
      <w:marBottom w:val="0"/>
      <w:divBdr>
        <w:top w:val="none" w:sz="0" w:space="0" w:color="auto"/>
        <w:left w:val="none" w:sz="0" w:space="0" w:color="auto"/>
        <w:bottom w:val="none" w:sz="0" w:space="0" w:color="auto"/>
        <w:right w:val="none" w:sz="0" w:space="0" w:color="auto"/>
      </w:divBdr>
    </w:div>
    <w:div w:id="2117554859">
      <w:bodyDiv w:val="1"/>
      <w:marLeft w:val="0"/>
      <w:marRight w:val="0"/>
      <w:marTop w:val="0"/>
      <w:marBottom w:val="0"/>
      <w:divBdr>
        <w:top w:val="none" w:sz="0" w:space="0" w:color="auto"/>
        <w:left w:val="none" w:sz="0" w:space="0" w:color="auto"/>
        <w:bottom w:val="none" w:sz="0" w:space="0" w:color="auto"/>
        <w:right w:val="none" w:sz="0" w:space="0" w:color="auto"/>
      </w:divBdr>
    </w:div>
    <w:div w:id="2118407580">
      <w:bodyDiv w:val="1"/>
      <w:marLeft w:val="0"/>
      <w:marRight w:val="0"/>
      <w:marTop w:val="0"/>
      <w:marBottom w:val="0"/>
      <w:divBdr>
        <w:top w:val="none" w:sz="0" w:space="0" w:color="auto"/>
        <w:left w:val="none" w:sz="0" w:space="0" w:color="auto"/>
        <w:bottom w:val="none" w:sz="0" w:space="0" w:color="auto"/>
        <w:right w:val="none" w:sz="0" w:space="0" w:color="auto"/>
      </w:divBdr>
    </w:div>
    <w:div w:id="2118713457">
      <w:bodyDiv w:val="1"/>
      <w:marLeft w:val="0"/>
      <w:marRight w:val="0"/>
      <w:marTop w:val="0"/>
      <w:marBottom w:val="0"/>
      <w:divBdr>
        <w:top w:val="none" w:sz="0" w:space="0" w:color="auto"/>
        <w:left w:val="none" w:sz="0" w:space="0" w:color="auto"/>
        <w:bottom w:val="none" w:sz="0" w:space="0" w:color="auto"/>
        <w:right w:val="none" w:sz="0" w:space="0" w:color="auto"/>
      </w:divBdr>
    </w:div>
    <w:div w:id="2118718625">
      <w:bodyDiv w:val="1"/>
      <w:marLeft w:val="0"/>
      <w:marRight w:val="0"/>
      <w:marTop w:val="0"/>
      <w:marBottom w:val="0"/>
      <w:divBdr>
        <w:top w:val="none" w:sz="0" w:space="0" w:color="auto"/>
        <w:left w:val="none" w:sz="0" w:space="0" w:color="auto"/>
        <w:bottom w:val="none" w:sz="0" w:space="0" w:color="auto"/>
        <w:right w:val="none" w:sz="0" w:space="0" w:color="auto"/>
      </w:divBdr>
    </w:div>
    <w:div w:id="2118985516">
      <w:bodyDiv w:val="1"/>
      <w:marLeft w:val="0"/>
      <w:marRight w:val="0"/>
      <w:marTop w:val="0"/>
      <w:marBottom w:val="0"/>
      <w:divBdr>
        <w:top w:val="none" w:sz="0" w:space="0" w:color="auto"/>
        <w:left w:val="none" w:sz="0" w:space="0" w:color="auto"/>
        <w:bottom w:val="none" w:sz="0" w:space="0" w:color="auto"/>
        <w:right w:val="none" w:sz="0" w:space="0" w:color="auto"/>
      </w:divBdr>
    </w:div>
    <w:div w:id="2119911563">
      <w:bodyDiv w:val="1"/>
      <w:marLeft w:val="0"/>
      <w:marRight w:val="0"/>
      <w:marTop w:val="0"/>
      <w:marBottom w:val="0"/>
      <w:divBdr>
        <w:top w:val="none" w:sz="0" w:space="0" w:color="auto"/>
        <w:left w:val="none" w:sz="0" w:space="0" w:color="auto"/>
        <w:bottom w:val="none" w:sz="0" w:space="0" w:color="auto"/>
        <w:right w:val="none" w:sz="0" w:space="0" w:color="auto"/>
      </w:divBdr>
    </w:div>
    <w:div w:id="2122331603">
      <w:bodyDiv w:val="1"/>
      <w:marLeft w:val="0"/>
      <w:marRight w:val="0"/>
      <w:marTop w:val="0"/>
      <w:marBottom w:val="0"/>
      <w:divBdr>
        <w:top w:val="none" w:sz="0" w:space="0" w:color="auto"/>
        <w:left w:val="none" w:sz="0" w:space="0" w:color="auto"/>
        <w:bottom w:val="none" w:sz="0" w:space="0" w:color="auto"/>
        <w:right w:val="none" w:sz="0" w:space="0" w:color="auto"/>
      </w:divBdr>
    </w:div>
    <w:div w:id="2122409139">
      <w:bodyDiv w:val="1"/>
      <w:marLeft w:val="0"/>
      <w:marRight w:val="0"/>
      <w:marTop w:val="0"/>
      <w:marBottom w:val="0"/>
      <w:divBdr>
        <w:top w:val="none" w:sz="0" w:space="0" w:color="auto"/>
        <w:left w:val="none" w:sz="0" w:space="0" w:color="auto"/>
        <w:bottom w:val="none" w:sz="0" w:space="0" w:color="auto"/>
        <w:right w:val="none" w:sz="0" w:space="0" w:color="auto"/>
      </w:divBdr>
    </w:div>
    <w:div w:id="2122529242">
      <w:bodyDiv w:val="1"/>
      <w:marLeft w:val="0"/>
      <w:marRight w:val="0"/>
      <w:marTop w:val="0"/>
      <w:marBottom w:val="0"/>
      <w:divBdr>
        <w:top w:val="none" w:sz="0" w:space="0" w:color="auto"/>
        <w:left w:val="none" w:sz="0" w:space="0" w:color="auto"/>
        <w:bottom w:val="none" w:sz="0" w:space="0" w:color="auto"/>
        <w:right w:val="none" w:sz="0" w:space="0" w:color="auto"/>
      </w:divBdr>
    </w:div>
    <w:div w:id="2122651712">
      <w:bodyDiv w:val="1"/>
      <w:marLeft w:val="0"/>
      <w:marRight w:val="0"/>
      <w:marTop w:val="0"/>
      <w:marBottom w:val="0"/>
      <w:divBdr>
        <w:top w:val="none" w:sz="0" w:space="0" w:color="auto"/>
        <w:left w:val="none" w:sz="0" w:space="0" w:color="auto"/>
        <w:bottom w:val="none" w:sz="0" w:space="0" w:color="auto"/>
        <w:right w:val="none" w:sz="0" w:space="0" w:color="auto"/>
      </w:divBdr>
    </w:div>
    <w:div w:id="2124106638">
      <w:bodyDiv w:val="1"/>
      <w:marLeft w:val="0"/>
      <w:marRight w:val="0"/>
      <w:marTop w:val="0"/>
      <w:marBottom w:val="0"/>
      <w:divBdr>
        <w:top w:val="none" w:sz="0" w:space="0" w:color="auto"/>
        <w:left w:val="none" w:sz="0" w:space="0" w:color="auto"/>
        <w:bottom w:val="none" w:sz="0" w:space="0" w:color="auto"/>
        <w:right w:val="none" w:sz="0" w:space="0" w:color="auto"/>
      </w:divBdr>
    </w:div>
    <w:div w:id="2124184798">
      <w:bodyDiv w:val="1"/>
      <w:marLeft w:val="0"/>
      <w:marRight w:val="0"/>
      <w:marTop w:val="0"/>
      <w:marBottom w:val="0"/>
      <w:divBdr>
        <w:top w:val="none" w:sz="0" w:space="0" w:color="auto"/>
        <w:left w:val="none" w:sz="0" w:space="0" w:color="auto"/>
        <w:bottom w:val="none" w:sz="0" w:space="0" w:color="auto"/>
        <w:right w:val="none" w:sz="0" w:space="0" w:color="auto"/>
      </w:divBdr>
    </w:div>
    <w:div w:id="2124303447">
      <w:bodyDiv w:val="1"/>
      <w:marLeft w:val="0"/>
      <w:marRight w:val="0"/>
      <w:marTop w:val="0"/>
      <w:marBottom w:val="0"/>
      <w:divBdr>
        <w:top w:val="none" w:sz="0" w:space="0" w:color="auto"/>
        <w:left w:val="none" w:sz="0" w:space="0" w:color="auto"/>
        <w:bottom w:val="none" w:sz="0" w:space="0" w:color="auto"/>
        <w:right w:val="none" w:sz="0" w:space="0" w:color="auto"/>
      </w:divBdr>
    </w:div>
    <w:div w:id="2124644187">
      <w:bodyDiv w:val="1"/>
      <w:marLeft w:val="0"/>
      <w:marRight w:val="0"/>
      <w:marTop w:val="0"/>
      <w:marBottom w:val="0"/>
      <w:divBdr>
        <w:top w:val="none" w:sz="0" w:space="0" w:color="auto"/>
        <w:left w:val="none" w:sz="0" w:space="0" w:color="auto"/>
        <w:bottom w:val="none" w:sz="0" w:space="0" w:color="auto"/>
        <w:right w:val="none" w:sz="0" w:space="0" w:color="auto"/>
      </w:divBdr>
    </w:div>
    <w:div w:id="2125273044">
      <w:bodyDiv w:val="1"/>
      <w:marLeft w:val="0"/>
      <w:marRight w:val="0"/>
      <w:marTop w:val="0"/>
      <w:marBottom w:val="0"/>
      <w:divBdr>
        <w:top w:val="none" w:sz="0" w:space="0" w:color="auto"/>
        <w:left w:val="none" w:sz="0" w:space="0" w:color="auto"/>
        <w:bottom w:val="none" w:sz="0" w:space="0" w:color="auto"/>
        <w:right w:val="none" w:sz="0" w:space="0" w:color="auto"/>
      </w:divBdr>
    </w:div>
    <w:div w:id="2125692407">
      <w:bodyDiv w:val="1"/>
      <w:marLeft w:val="0"/>
      <w:marRight w:val="0"/>
      <w:marTop w:val="0"/>
      <w:marBottom w:val="0"/>
      <w:divBdr>
        <w:top w:val="none" w:sz="0" w:space="0" w:color="auto"/>
        <w:left w:val="none" w:sz="0" w:space="0" w:color="auto"/>
        <w:bottom w:val="none" w:sz="0" w:space="0" w:color="auto"/>
        <w:right w:val="none" w:sz="0" w:space="0" w:color="auto"/>
      </w:divBdr>
    </w:div>
    <w:div w:id="2125885995">
      <w:bodyDiv w:val="1"/>
      <w:marLeft w:val="0"/>
      <w:marRight w:val="0"/>
      <w:marTop w:val="0"/>
      <w:marBottom w:val="0"/>
      <w:divBdr>
        <w:top w:val="none" w:sz="0" w:space="0" w:color="auto"/>
        <w:left w:val="none" w:sz="0" w:space="0" w:color="auto"/>
        <w:bottom w:val="none" w:sz="0" w:space="0" w:color="auto"/>
        <w:right w:val="none" w:sz="0" w:space="0" w:color="auto"/>
      </w:divBdr>
    </w:div>
    <w:div w:id="2126919303">
      <w:bodyDiv w:val="1"/>
      <w:marLeft w:val="0"/>
      <w:marRight w:val="0"/>
      <w:marTop w:val="0"/>
      <w:marBottom w:val="0"/>
      <w:divBdr>
        <w:top w:val="none" w:sz="0" w:space="0" w:color="auto"/>
        <w:left w:val="none" w:sz="0" w:space="0" w:color="auto"/>
        <w:bottom w:val="none" w:sz="0" w:space="0" w:color="auto"/>
        <w:right w:val="none" w:sz="0" w:space="0" w:color="auto"/>
      </w:divBdr>
    </w:div>
    <w:div w:id="2127038115">
      <w:bodyDiv w:val="1"/>
      <w:marLeft w:val="0"/>
      <w:marRight w:val="0"/>
      <w:marTop w:val="0"/>
      <w:marBottom w:val="0"/>
      <w:divBdr>
        <w:top w:val="none" w:sz="0" w:space="0" w:color="auto"/>
        <w:left w:val="none" w:sz="0" w:space="0" w:color="auto"/>
        <w:bottom w:val="none" w:sz="0" w:space="0" w:color="auto"/>
        <w:right w:val="none" w:sz="0" w:space="0" w:color="auto"/>
      </w:divBdr>
    </w:div>
    <w:div w:id="2127193970">
      <w:bodyDiv w:val="1"/>
      <w:marLeft w:val="0"/>
      <w:marRight w:val="0"/>
      <w:marTop w:val="0"/>
      <w:marBottom w:val="0"/>
      <w:divBdr>
        <w:top w:val="none" w:sz="0" w:space="0" w:color="auto"/>
        <w:left w:val="none" w:sz="0" w:space="0" w:color="auto"/>
        <w:bottom w:val="none" w:sz="0" w:space="0" w:color="auto"/>
        <w:right w:val="none" w:sz="0" w:space="0" w:color="auto"/>
      </w:divBdr>
    </w:div>
    <w:div w:id="2127265514">
      <w:bodyDiv w:val="1"/>
      <w:marLeft w:val="0"/>
      <w:marRight w:val="0"/>
      <w:marTop w:val="0"/>
      <w:marBottom w:val="0"/>
      <w:divBdr>
        <w:top w:val="none" w:sz="0" w:space="0" w:color="auto"/>
        <w:left w:val="none" w:sz="0" w:space="0" w:color="auto"/>
        <w:bottom w:val="none" w:sz="0" w:space="0" w:color="auto"/>
        <w:right w:val="none" w:sz="0" w:space="0" w:color="auto"/>
      </w:divBdr>
    </w:div>
    <w:div w:id="2127430750">
      <w:bodyDiv w:val="1"/>
      <w:marLeft w:val="0"/>
      <w:marRight w:val="0"/>
      <w:marTop w:val="0"/>
      <w:marBottom w:val="0"/>
      <w:divBdr>
        <w:top w:val="none" w:sz="0" w:space="0" w:color="auto"/>
        <w:left w:val="none" w:sz="0" w:space="0" w:color="auto"/>
        <w:bottom w:val="none" w:sz="0" w:space="0" w:color="auto"/>
        <w:right w:val="none" w:sz="0" w:space="0" w:color="auto"/>
      </w:divBdr>
    </w:div>
    <w:div w:id="2128085113">
      <w:bodyDiv w:val="1"/>
      <w:marLeft w:val="0"/>
      <w:marRight w:val="0"/>
      <w:marTop w:val="0"/>
      <w:marBottom w:val="0"/>
      <w:divBdr>
        <w:top w:val="none" w:sz="0" w:space="0" w:color="auto"/>
        <w:left w:val="none" w:sz="0" w:space="0" w:color="auto"/>
        <w:bottom w:val="none" w:sz="0" w:space="0" w:color="auto"/>
        <w:right w:val="none" w:sz="0" w:space="0" w:color="auto"/>
      </w:divBdr>
    </w:div>
    <w:div w:id="2128087371">
      <w:bodyDiv w:val="1"/>
      <w:marLeft w:val="0"/>
      <w:marRight w:val="0"/>
      <w:marTop w:val="0"/>
      <w:marBottom w:val="0"/>
      <w:divBdr>
        <w:top w:val="none" w:sz="0" w:space="0" w:color="auto"/>
        <w:left w:val="none" w:sz="0" w:space="0" w:color="auto"/>
        <w:bottom w:val="none" w:sz="0" w:space="0" w:color="auto"/>
        <w:right w:val="none" w:sz="0" w:space="0" w:color="auto"/>
      </w:divBdr>
    </w:div>
    <w:div w:id="2128888408">
      <w:bodyDiv w:val="1"/>
      <w:marLeft w:val="0"/>
      <w:marRight w:val="0"/>
      <w:marTop w:val="0"/>
      <w:marBottom w:val="0"/>
      <w:divBdr>
        <w:top w:val="none" w:sz="0" w:space="0" w:color="auto"/>
        <w:left w:val="none" w:sz="0" w:space="0" w:color="auto"/>
        <w:bottom w:val="none" w:sz="0" w:space="0" w:color="auto"/>
        <w:right w:val="none" w:sz="0" w:space="0" w:color="auto"/>
      </w:divBdr>
    </w:div>
    <w:div w:id="2128893973">
      <w:bodyDiv w:val="1"/>
      <w:marLeft w:val="0"/>
      <w:marRight w:val="0"/>
      <w:marTop w:val="0"/>
      <w:marBottom w:val="0"/>
      <w:divBdr>
        <w:top w:val="none" w:sz="0" w:space="0" w:color="auto"/>
        <w:left w:val="none" w:sz="0" w:space="0" w:color="auto"/>
        <w:bottom w:val="none" w:sz="0" w:space="0" w:color="auto"/>
        <w:right w:val="none" w:sz="0" w:space="0" w:color="auto"/>
      </w:divBdr>
    </w:div>
    <w:div w:id="2128963939">
      <w:bodyDiv w:val="1"/>
      <w:marLeft w:val="0"/>
      <w:marRight w:val="0"/>
      <w:marTop w:val="0"/>
      <w:marBottom w:val="0"/>
      <w:divBdr>
        <w:top w:val="none" w:sz="0" w:space="0" w:color="auto"/>
        <w:left w:val="none" w:sz="0" w:space="0" w:color="auto"/>
        <w:bottom w:val="none" w:sz="0" w:space="0" w:color="auto"/>
        <w:right w:val="none" w:sz="0" w:space="0" w:color="auto"/>
      </w:divBdr>
    </w:div>
    <w:div w:id="2129277880">
      <w:bodyDiv w:val="1"/>
      <w:marLeft w:val="0"/>
      <w:marRight w:val="0"/>
      <w:marTop w:val="0"/>
      <w:marBottom w:val="0"/>
      <w:divBdr>
        <w:top w:val="none" w:sz="0" w:space="0" w:color="auto"/>
        <w:left w:val="none" w:sz="0" w:space="0" w:color="auto"/>
        <w:bottom w:val="none" w:sz="0" w:space="0" w:color="auto"/>
        <w:right w:val="none" w:sz="0" w:space="0" w:color="auto"/>
      </w:divBdr>
    </w:div>
    <w:div w:id="2129540630">
      <w:bodyDiv w:val="1"/>
      <w:marLeft w:val="0"/>
      <w:marRight w:val="0"/>
      <w:marTop w:val="0"/>
      <w:marBottom w:val="0"/>
      <w:divBdr>
        <w:top w:val="none" w:sz="0" w:space="0" w:color="auto"/>
        <w:left w:val="none" w:sz="0" w:space="0" w:color="auto"/>
        <w:bottom w:val="none" w:sz="0" w:space="0" w:color="auto"/>
        <w:right w:val="none" w:sz="0" w:space="0" w:color="auto"/>
      </w:divBdr>
    </w:div>
    <w:div w:id="2129933017">
      <w:bodyDiv w:val="1"/>
      <w:marLeft w:val="0"/>
      <w:marRight w:val="0"/>
      <w:marTop w:val="0"/>
      <w:marBottom w:val="0"/>
      <w:divBdr>
        <w:top w:val="none" w:sz="0" w:space="0" w:color="auto"/>
        <w:left w:val="none" w:sz="0" w:space="0" w:color="auto"/>
        <w:bottom w:val="none" w:sz="0" w:space="0" w:color="auto"/>
        <w:right w:val="none" w:sz="0" w:space="0" w:color="auto"/>
      </w:divBdr>
    </w:div>
    <w:div w:id="2130850274">
      <w:bodyDiv w:val="1"/>
      <w:marLeft w:val="0"/>
      <w:marRight w:val="0"/>
      <w:marTop w:val="0"/>
      <w:marBottom w:val="0"/>
      <w:divBdr>
        <w:top w:val="none" w:sz="0" w:space="0" w:color="auto"/>
        <w:left w:val="none" w:sz="0" w:space="0" w:color="auto"/>
        <w:bottom w:val="none" w:sz="0" w:space="0" w:color="auto"/>
        <w:right w:val="none" w:sz="0" w:space="0" w:color="auto"/>
      </w:divBdr>
    </w:div>
    <w:div w:id="2130858904">
      <w:bodyDiv w:val="1"/>
      <w:marLeft w:val="0"/>
      <w:marRight w:val="0"/>
      <w:marTop w:val="0"/>
      <w:marBottom w:val="0"/>
      <w:divBdr>
        <w:top w:val="none" w:sz="0" w:space="0" w:color="auto"/>
        <w:left w:val="none" w:sz="0" w:space="0" w:color="auto"/>
        <w:bottom w:val="none" w:sz="0" w:space="0" w:color="auto"/>
        <w:right w:val="none" w:sz="0" w:space="0" w:color="auto"/>
      </w:divBdr>
    </w:div>
    <w:div w:id="2131045533">
      <w:bodyDiv w:val="1"/>
      <w:marLeft w:val="0"/>
      <w:marRight w:val="0"/>
      <w:marTop w:val="0"/>
      <w:marBottom w:val="0"/>
      <w:divBdr>
        <w:top w:val="none" w:sz="0" w:space="0" w:color="auto"/>
        <w:left w:val="none" w:sz="0" w:space="0" w:color="auto"/>
        <w:bottom w:val="none" w:sz="0" w:space="0" w:color="auto"/>
        <w:right w:val="none" w:sz="0" w:space="0" w:color="auto"/>
      </w:divBdr>
    </w:div>
    <w:div w:id="2131394193">
      <w:bodyDiv w:val="1"/>
      <w:marLeft w:val="0"/>
      <w:marRight w:val="0"/>
      <w:marTop w:val="0"/>
      <w:marBottom w:val="0"/>
      <w:divBdr>
        <w:top w:val="none" w:sz="0" w:space="0" w:color="auto"/>
        <w:left w:val="none" w:sz="0" w:space="0" w:color="auto"/>
        <w:bottom w:val="none" w:sz="0" w:space="0" w:color="auto"/>
        <w:right w:val="none" w:sz="0" w:space="0" w:color="auto"/>
      </w:divBdr>
    </w:div>
    <w:div w:id="2132086503">
      <w:bodyDiv w:val="1"/>
      <w:marLeft w:val="0"/>
      <w:marRight w:val="0"/>
      <w:marTop w:val="0"/>
      <w:marBottom w:val="0"/>
      <w:divBdr>
        <w:top w:val="none" w:sz="0" w:space="0" w:color="auto"/>
        <w:left w:val="none" w:sz="0" w:space="0" w:color="auto"/>
        <w:bottom w:val="none" w:sz="0" w:space="0" w:color="auto"/>
        <w:right w:val="none" w:sz="0" w:space="0" w:color="auto"/>
      </w:divBdr>
    </w:div>
    <w:div w:id="2132436929">
      <w:bodyDiv w:val="1"/>
      <w:marLeft w:val="0"/>
      <w:marRight w:val="0"/>
      <w:marTop w:val="0"/>
      <w:marBottom w:val="0"/>
      <w:divBdr>
        <w:top w:val="none" w:sz="0" w:space="0" w:color="auto"/>
        <w:left w:val="none" w:sz="0" w:space="0" w:color="auto"/>
        <w:bottom w:val="none" w:sz="0" w:space="0" w:color="auto"/>
        <w:right w:val="none" w:sz="0" w:space="0" w:color="auto"/>
      </w:divBdr>
    </w:div>
    <w:div w:id="2132437950">
      <w:bodyDiv w:val="1"/>
      <w:marLeft w:val="0"/>
      <w:marRight w:val="0"/>
      <w:marTop w:val="0"/>
      <w:marBottom w:val="0"/>
      <w:divBdr>
        <w:top w:val="none" w:sz="0" w:space="0" w:color="auto"/>
        <w:left w:val="none" w:sz="0" w:space="0" w:color="auto"/>
        <w:bottom w:val="none" w:sz="0" w:space="0" w:color="auto"/>
        <w:right w:val="none" w:sz="0" w:space="0" w:color="auto"/>
      </w:divBdr>
    </w:div>
    <w:div w:id="2132628628">
      <w:bodyDiv w:val="1"/>
      <w:marLeft w:val="0"/>
      <w:marRight w:val="0"/>
      <w:marTop w:val="0"/>
      <w:marBottom w:val="0"/>
      <w:divBdr>
        <w:top w:val="none" w:sz="0" w:space="0" w:color="auto"/>
        <w:left w:val="none" w:sz="0" w:space="0" w:color="auto"/>
        <w:bottom w:val="none" w:sz="0" w:space="0" w:color="auto"/>
        <w:right w:val="none" w:sz="0" w:space="0" w:color="auto"/>
      </w:divBdr>
    </w:div>
    <w:div w:id="2132704658">
      <w:bodyDiv w:val="1"/>
      <w:marLeft w:val="0"/>
      <w:marRight w:val="0"/>
      <w:marTop w:val="0"/>
      <w:marBottom w:val="0"/>
      <w:divBdr>
        <w:top w:val="none" w:sz="0" w:space="0" w:color="auto"/>
        <w:left w:val="none" w:sz="0" w:space="0" w:color="auto"/>
        <w:bottom w:val="none" w:sz="0" w:space="0" w:color="auto"/>
        <w:right w:val="none" w:sz="0" w:space="0" w:color="auto"/>
      </w:divBdr>
    </w:div>
    <w:div w:id="2133136166">
      <w:bodyDiv w:val="1"/>
      <w:marLeft w:val="0"/>
      <w:marRight w:val="0"/>
      <w:marTop w:val="0"/>
      <w:marBottom w:val="0"/>
      <w:divBdr>
        <w:top w:val="none" w:sz="0" w:space="0" w:color="auto"/>
        <w:left w:val="none" w:sz="0" w:space="0" w:color="auto"/>
        <w:bottom w:val="none" w:sz="0" w:space="0" w:color="auto"/>
        <w:right w:val="none" w:sz="0" w:space="0" w:color="auto"/>
      </w:divBdr>
    </w:div>
    <w:div w:id="2133282285">
      <w:bodyDiv w:val="1"/>
      <w:marLeft w:val="0"/>
      <w:marRight w:val="0"/>
      <w:marTop w:val="0"/>
      <w:marBottom w:val="0"/>
      <w:divBdr>
        <w:top w:val="none" w:sz="0" w:space="0" w:color="auto"/>
        <w:left w:val="none" w:sz="0" w:space="0" w:color="auto"/>
        <w:bottom w:val="none" w:sz="0" w:space="0" w:color="auto"/>
        <w:right w:val="none" w:sz="0" w:space="0" w:color="auto"/>
      </w:divBdr>
    </w:div>
    <w:div w:id="2133398220">
      <w:bodyDiv w:val="1"/>
      <w:marLeft w:val="0"/>
      <w:marRight w:val="0"/>
      <w:marTop w:val="0"/>
      <w:marBottom w:val="0"/>
      <w:divBdr>
        <w:top w:val="none" w:sz="0" w:space="0" w:color="auto"/>
        <w:left w:val="none" w:sz="0" w:space="0" w:color="auto"/>
        <w:bottom w:val="none" w:sz="0" w:space="0" w:color="auto"/>
        <w:right w:val="none" w:sz="0" w:space="0" w:color="auto"/>
      </w:divBdr>
    </w:div>
    <w:div w:id="2134595393">
      <w:bodyDiv w:val="1"/>
      <w:marLeft w:val="0"/>
      <w:marRight w:val="0"/>
      <w:marTop w:val="0"/>
      <w:marBottom w:val="0"/>
      <w:divBdr>
        <w:top w:val="none" w:sz="0" w:space="0" w:color="auto"/>
        <w:left w:val="none" w:sz="0" w:space="0" w:color="auto"/>
        <w:bottom w:val="none" w:sz="0" w:space="0" w:color="auto"/>
        <w:right w:val="none" w:sz="0" w:space="0" w:color="auto"/>
      </w:divBdr>
    </w:div>
    <w:div w:id="2135175684">
      <w:bodyDiv w:val="1"/>
      <w:marLeft w:val="0"/>
      <w:marRight w:val="0"/>
      <w:marTop w:val="0"/>
      <w:marBottom w:val="0"/>
      <w:divBdr>
        <w:top w:val="none" w:sz="0" w:space="0" w:color="auto"/>
        <w:left w:val="none" w:sz="0" w:space="0" w:color="auto"/>
        <w:bottom w:val="none" w:sz="0" w:space="0" w:color="auto"/>
        <w:right w:val="none" w:sz="0" w:space="0" w:color="auto"/>
      </w:divBdr>
    </w:div>
    <w:div w:id="2135444870">
      <w:bodyDiv w:val="1"/>
      <w:marLeft w:val="0"/>
      <w:marRight w:val="0"/>
      <w:marTop w:val="0"/>
      <w:marBottom w:val="0"/>
      <w:divBdr>
        <w:top w:val="none" w:sz="0" w:space="0" w:color="auto"/>
        <w:left w:val="none" w:sz="0" w:space="0" w:color="auto"/>
        <w:bottom w:val="none" w:sz="0" w:space="0" w:color="auto"/>
        <w:right w:val="none" w:sz="0" w:space="0" w:color="auto"/>
      </w:divBdr>
    </w:div>
    <w:div w:id="2136095800">
      <w:bodyDiv w:val="1"/>
      <w:marLeft w:val="0"/>
      <w:marRight w:val="0"/>
      <w:marTop w:val="0"/>
      <w:marBottom w:val="0"/>
      <w:divBdr>
        <w:top w:val="none" w:sz="0" w:space="0" w:color="auto"/>
        <w:left w:val="none" w:sz="0" w:space="0" w:color="auto"/>
        <w:bottom w:val="none" w:sz="0" w:space="0" w:color="auto"/>
        <w:right w:val="none" w:sz="0" w:space="0" w:color="auto"/>
      </w:divBdr>
    </w:div>
    <w:div w:id="2136409638">
      <w:bodyDiv w:val="1"/>
      <w:marLeft w:val="0"/>
      <w:marRight w:val="0"/>
      <w:marTop w:val="0"/>
      <w:marBottom w:val="0"/>
      <w:divBdr>
        <w:top w:val="none" w:sz="0" w:space="0" w:color="auto"/>
        <w:left w:val="none" w:sz="0" w:space="0" w:color="auto"/>
        <w:bottom w:val="none" w:sz="0" w:space="0" w:color="auto"/>
        <w:right w:val="none" w:sz="0" w:space="0" w:color="auto"/>
      </w:divBdr>
    </w:div>
    <w:div w:id="2136558836">
      <w:bodyDiv w:val="1"/>
      <w:marLeft w:val="0"/>
      <w:marRight w:val="0"/>
      <w:marTop w:val="0"/>
      <w:marBottom w:val="0"/>
      <w:divBdr>
        <w:top w:val="none" w:sz="0" w:space="0" w:color="auto"/>
        <w:left w:val="none" w:sz="0" w:space="0" w:color="auto"/>
        <w:bottom w:val="none" w:sz="0" w:space="0" w:color="auto"/>
        <w:right w:val="none" w:sz="0" w:space="0" w:color="auto"/>
      </w:divBdr>
    </w:div>
    <w:div w:id="2137750261">
      <w:bodyDiv w:val="1"/>
      <w:marLeft w:val="0"/>
      <w:marRight w:val="0"/>
      <w:marTop w:val="0"/>
      <w:marBottom w:val="0"/>
      <w:divBdr>
        <w:top w:val="none" w:sz="0" w:space="0" w:color="auto"/>
        <w:left w:val="none" w:sz="0" w:space="0" w:color="auto"/>
        <w:bottom w:val="none" w:sz="0" w:space="0" w:color="auto"/>
        <w:right w:val="none" w:sz="0" w:space="0" w:color="auto"/>
      </w:divBdr>
    </w:div>
    <w:div w:id="2138139431">
      <w:bodyDiv w:val="1"/>
      <w:marLeft w:val="0"/>
      <w:marRight w:val="0"/>
      <w:marTop w:val="0"/>
      <w:marBottom w:val="0"/>
      <w:divBdr>
        <w:top w:val="none" w:sz="0" w:space="0" w:color="auto"/>
        <w:left w:val="none" w:sz="0" w:space="0" w:color="auto"/>
        <w:bottom w:val="none" w:sz="0" w:space="0" w:color="auto"/>
        <w:right w:val="none" w:sz="0" w:space="0" w:color="auto"/>
      </w:divBdr>
    </w:div>
    <w:div w:id="2138450137">
      <w:bodyDiv w:val="1"/>
      <w:marLeft w:val="0"/>
      <w:marRight w:val="0"/>
      <w:marTop w:val="0"/>
      <w:marBottom w:val="0"/>
      <w:divBdr>
        <w:top w:val="none" w:sz="0" w:space="0" w:color="auto"/>
        <w:left w:val="none" w:sz="0" w:space="0" w:color="auto"/>
        <w:bottom w:val="none" w:sz="0" w:space="0" w:color="auto"/>
        <w:right w:val="none" w:sz="0" w:space="0" w:color="auto"/>
      </w:divBdr>
    </w:div>
    <w:div w:id="2138789017">
      <w:bodyDiv w:val="1"/>
      <w:marLeft w:val="0"/>
      <w:marRight w:val="0"/>
      <w:marTop w:val="0"/>
      <w:marBottom w:val="0"/>
      <w:divBdr>
        <w:top w:val="none" w:sz="0" w:space="0" w:color="auto"/>
        <w:left w:val="none" w:sz="0" w:space="0" w:color="auto"/>
        <w:bottom w:val="none" w:sz="0" w:space="0" w:color="auto"/>
        <w:right w:val="none" w:sz="0" w:space="0" w:color="auto"/>
      </w:divBdr>
    </w:div>
    <w:div w:id="2138838875">
      <w:bodyDiv w:val="1"/>
      <w:marLeft w:val="0"/>
      <w:marRight w:val="0"/>
      <w:marTop w:val="0"/>
      <w:marBottom w:val="0"/>
      <w:divBdr>
        <w:top w:val="none" w:sz="0" w:space="0" w:color="auto"/>
        <w:left w:val="none" w:sz="0" w:space="0" w:color="auto"/>
        <w:bottom w:val="none" w:sz="0" w:space="0" w:color="auto"/>
        <w:right w:val="none" w:sz="0" w:space="0" w:color="auto"/>
      </w:divBdr>
    </w:div>
    <w:div w:id="2138910823">
      <w:bodyDiv w:val="1"/>
      <w:marLeft w:val="0"/>
      <w:marRight w:val="0"/>
      <w:marTop w:val="0"/>
      <w:marBottom w:val="0"/>
      <w:divBdr>
        <w:top w:val="none" w:sz="0" w:space="0" w:color="auto"/>
        <w:left w:val="none" w:sz="0" w:space="0" w:color="auto"/>
        <w:bottom w:val="none" w:sz="0" w:space="0" w:color="auto"/>
        <w:right w:val="none" w:sz="0" w:space="0" w:color="auto"/>
      </w:divBdr>
    </w:div>
    <w:div w:id="2139062042">
      <w:bodyDiv w:val="1"/>
      <w:marLeft w:val="0"/>
      <w:marRight w:val="0"/>
      <w:marTop w:val="0"/>
      <w:marBottom w:val="0"/>
      <w:divBdr>
        <w:top w:val="none" w:sz="0" w:space="0" w:color="auto"/>
        <w:left w:val="none" w:sz="0" w:space="0" w:color="auto"/>
        <w:bottom w:val="none" w:sz="0" w:space="0" w:color="auto"/>
        <w:right w:val="none" w:sz="0" w:space="0" w:color="auto"/>
      </w:divBdr>
    </w:div>
    <w:div w:id="2139760282">
      <w:bodyDiv w:val="1"/>
      <w:marLeft w:val="0"/>
      <w:marRight w:val="0"/>
      <w:marTop w:val="0"/>
      <w:marBottom w:val="0"/>
      <w:divBdr>
        <w:top w:val="none" w:sz="0" w:space="0" w:color="auto"/>
        <w:left w:val="none" w:sz="0" w:space="0" w:color="auto"/>
        <w:bottom w:val="none" w:sz="0" w:space="0" w:color="auto"/>
        <w:right w:val="none" w:sz="0" w:space="0" w:color="auto"/>
      </w:divBdr>
    </w:div>
    <w:div w:id="2139906490">
      <w:bodyDiv w:val="1"/>
      <w:marLeft w:val="0"/>
      <w:marRight w:val="0"/>
      <w:marTop w:val="0"/>
      <w:marBottom w:val="0"/>
      <w:divBdr>
        <w:top w:val="none" w:sz="0" w:space="0" w:color="auto"/>
        <w:left w:val="none" w:sz="0" w:space="0" w:color="auto"/>
        <w:bottom w:val="none" w:sz="0" w:space="0" w:color="auto"/>
        <w:right w:val="none" w:sz="0" w:space="0" w:color="auto"/>
      </w:divBdr>
    </w:div>
    <w:div w:id="2140150387">
      <w:bodyDiv w:val="1"/>
      <w:marLeft w:val="0"/>
      <w:marRight w:val="0"/>
      <w:marTop w:val="0"/>
      <w:marBottom w:val="0"/>
      <w:divBdr>
        <w:top w:val="none" w:sz="0" w:space="0" w:color="auto"/>
        <w:left w:val="none" w:sz="0" w:space="0" w:color="auto"/>
        <w:bottom w:val="none" w:sz="0" w:space="0" w:color="auto"/>
        <w:right w:val="none" w:sz="0" w:space="0" w:color="auto"/>
      </w:divBdr>
    </w:div>
    <w:div w:id="2140151126">
      <w:bodyDiv w:val="1"/>
      <w:marLeft w:val="0"/>
      <w:marRight w:val="0"/>
      <w:marTop w:val="0"/>
      <w:marBottom w:val="0"/>
      <w:divBdr>
        <w:top w:val="none" w:sz="0" w:space="0" w:color="auto"/>
        <w:left w:val="none" w:sz="0" w:space="0" w:color="auto"/>
        <w:bottom w:val="none" w:sz="0" w:space="0" w:color="auto"/>
        <w:right w:val="none" w:sz="0" w:space="0" w:color="auto"/>
      </w:divBdr>
    </w:div>
    <w:div w:id="2140610840">
      <w:bodyDiv w:val="1"/>
      <w:marLeft w:val="0"/>
      <w:marRight w:val="0"/>
      <w:marTop w:val="0"/>
      <w:marBottom w:val="0"/>
      <w:divBdr>
        <w:top w:val="none" w:sz="0" w:space="0" w:color="auto"/>
        <w:left w:val="none" w:sz="0" w:space="0" w:color="auto"/>
        <w:bottom w:val="none" w:sz="0" w:space="0" w:color="auto"/>
        <w:right w:val="none" w:sz="0" w:space="0" w:color="auto"/>
      </w:divBdr>
    </w:div>
    <w:div w:id="2140830529">
      <w:bodyDiv w:val="1"/>
      <w:marLeft w:val="0"/>
      <w:marRight w:val="0"/>
      <w:marTop w:val="0"/>
      <w:marBottom w:val="0"/>
      <w:divBdr>
        <w:top w:val="none" w:sz="0" w:space="0" w:color="auto"/>
        <w:left w:val="none" w:sz="0" w:space="0" w:color="auto"/>
        <w:bottom w:val="none" w:sz="0" w:space="0" w:color="auto"/>
        <w:right w:val="none" w:sz="0" w:space="0" w:color="auto"/>
      </w:divBdr>
    </w:div>
    <w:div w:id="2141219883">
      <w:bodyDiv w:val="1"/>
      <w:marLeft w:val="0"/>
      <w:marRight w:val="0"/>
      <w:marTop w:val="0"/>
      <w:marBottom w:val="0"/>
      <w:divBdr>
        <w:top w:val="none" w:sz="0" w:space="0" w:color="auto"/>
        <w:left w:val="none" w:sz="0" w:space="0" w:color="auto"/>
        <w:bottom w:val="none" w:sz="0" w:space="0" w:color="auto"/>
        <w:right w:val="none" w:sz="0" w:space="0" w:color="auto"/>
      </w:divBdr>
    </w:div>
    <w:div w:id="2141261348">
      <w:bodyDiv w:val="1"/>
      <w:marLeft w:val="0"/>
      <w:marRight w:val="0"/>
      <w:marTop w:val="0"/>
      <w:marBottom w:val="0"/>
      <w:divBdr>
        <w:top w:val="none" w:sz="0" w:space="0" w:color="auto"/>
        <w:left w:val="none" w:sz="0" w:space="0" w:color="auto"/>
        <w:bottom w:val="none" w:sz="0" w:space="0" w:color="auto"/>
        <w:right w:val="none" w:sz="0" w:space="0" w:color="auto"/>
      </w:divBdr>
    </w:div>
    <w:div w:id="2141261881">
      <w:bodyDiv w:val="1"/>
      <w:marLeft w:val="0"/>
      <w:marRight w:val="0"/>
      <w:marTop w:val="0"/>
      <w:marBottom w:val="0"/>
      <w:divBdr>
        <w:top w:val="none" w:sz="0" w:space="0" w:color="auto"/>
        <w:left w:val="none" w:sz="0" w:space="0" w:color="auto"/>
        <w:bottom w:val="none" w:sz="0" w:space="0" w:color="auto"/>
        <w:right w:val="none" w:sz="0" w:space="0" w:color="auto"/>
      </w:divBdr>
    </w:div>
    <w:div w:id="2141532919">
      <w:bodyDiv w:val="1"/>
      <w:marLeft w:val="0"/>
      <w:marRight w:val="0"/>
      <w:marTop w:val="0"/>
      <w:marBottom w:val="0"/>
      <w:divBdr>
        <w:top w:val="none" w:sz="0" w:space="0" w:color="auto"/>
        <w:left w:val="none" w:sz="0" w:space="0" w:color="auto"/>
        <w:bottom w:val="none" w:sz="0" w:space="0" w:color="auto"/>
        <w:right w:val="none" w:sz="0" w:space="0" w:color="auto"/>
      </w:divBdr>
    </w:div>
    <w:div w:id="2141992646">
      <w:bodyDiv w:val="1"/>
      <w:marLeft w:val="0"/>
      <w:marRight w:val="0"/>
      <w:marTop w:val="0"/>
      <w:marBottom w:val="0"/>
      <w:divBdr>
        <w:top w:val="none" w:sz="0" w:space="0" w:color="auto"/>
        <w:left w:val="none" w:sz="0" w:space="0" w:color="auto"/>
        <w:bottom w:val="none" w:sz="0" w:space="0" w:color="auto"/>
        <w:right w:val="none" w:sz="0" w:space="0" w:color="auto"/>
      </w:divBdr>
    </w:div>
    <w:div w:id="2142065099">
      <w:bodyDiv w:val="1"/>
      <w:marLeft w:val="0"/>
      <w:marRight w:val="0"/>
      <w:marTop w:val="0"/>
      <w:marBottom w:val="0"/>
      <w:divBdr>
        <w:top w:val="none" w:sz="0" w:space="0" w:color="auto"/>
        <w:left w:val="none" w:sz="0" w:space="0" w:color="auto"/>
        <w:bottom w:val="none" w:sz="0" w:space="0" w:color="auto"/>
        <w:right w:val="none" w:sz="0" w:space="0" w:color="auto"/>
      </w:divBdr>
    </w:div>
    <w:div w:id="2142113513">
      <w:bodyDiv w:val="1"/>
      <w:marLeft w:val="0"/>
      <w:marRight w:val="0"/>
      <w:marTop w:val="0"/>
      <w:marBottom w:val="0"/>
      <w:divBdr>
        <w:top w:val="none" w:sz="0" w:space="0" w:color="auto"/>
        <w:left w:val="none" w:sz="0" w:space="0" w:color="auto"/>
        <w:bottom w:val="none" w:sz="0" w:space="0" w:color="auto"/>
        <w:right w:val="none" w:sz="0" w:space="0" w:color="auto"/>
      </w:divBdr>
    </w:div>
    <w:div w:id="2142306501">
      <w:bodyDiv w:val="1"/>
      <w:marLeft w:val="0"/>
      <w:marRight w:val="0"/>
      <w:marTop w:val="0"/>
      <w:marBottom w:val="0"/>
      <w:divBdr>
        <w:top w:val="none" w:sz="0" w:space="0" w:color="auto"/>
        <w:left w:val="none" w:sz="0" w:space="0" w:color="auto"/>
        <w:bottom w:val="none" w:sz="0" w:space="0" w:color="auto"/>
        <w:right w:val="none" w:sz="0" w:space="0" w:color="auto"/>
      </w:divBdr>
    </w:div>
    <w:div w:id="2142452641">
      <w:bodyDiv w:val="1"/>
      <w:marLeft w:val="0"/>
      <w:marRight w:val="0"/>
      <w:marTop w:val="0"/>
      <w:marBottom w:val="0"/>
      <w:divBdr>
        <w:top w:val="none" w:sz="0" w:space="0" w:color="auto"/>
        <w:left w:val="none" w:sz="0" w:space="0" w:color="auto"/>
        <w:bottom w:val="none" w:sz="0" w:space="0" w:color="auto"/>
        <w:right w:val="none" w:sz="0" w:space="0" w:color="auto"/>
      </w:divBdr>
    </w:div>
    <w:div w:id="2142528181">
      <w:bodyDiv w:val="1"/>
      <w:marLeft w:val="0"/>
      <w:marRight w:val="0"/>
      <w:marTop w:val="0"/>
      <w:marBottom w:val="0"/>
      <w:divBdr>
        <w:top w:val="none" w:sz="0" w:space="0" w:color="auto"/>
        <w:left w:val="none" w:sz="0" w:space="0" w:color="auto"/>
        <w:bottom w:val="none" w:sz="0" w:space="0" w:color="auto"/>
        <w:right w:val="none" w:sz="0" w:space="0" w:color="auto"/>
      </w:divBdr>
    </w:div>
    <w:div w:id="2142917398">
      <w:bodyDiv w:val="1"/>
      <w:marLeft w:val="0"/>
      <w:marRight w:val="0"/>
      <w:marTop w:val="0"/>
      <w:marBottom w:val="0"/>
      <w:divBdr>
        <w:top w:val="none" w:sz="0" w:space="0" w:color="auto"/>
        <w:left w:val="none" w:sz="0" w:space="0" w:color="auto"/>
        <w:bottom w:val="none" w:sz="0" w:space="0" w:color="auto"/>
        <w:right w:val="none" w:sz="0" w:space="0" w:color="auto"/>
      </w:divBdr>
    </w:div>
    <w:div w:id="2143308728">
      <w:bodyDiv w:val="1"/>
      <w:marLeft w:val="0"/>
      <w:marRight w:val="0"/>
      <w:marTop w:val="0"/>
      <w:marBottom w:val="0"/>
      <w:divBdr>
        <w:top w:val="none" w:sz="0" w:space="0" w:color="auto"/>
        <w:left w:val="none" w:sz="0" w:space="0" w:color="auto"/>
        <w:bottom w:val="none" w:sz="0" w:space="0" w:color="auto"/>
        <w:right w:val="none" w:sz="0" w:space="0" w:color="auto"/>
      </w:divBdr>
    </w:div>
    <w:div w:id="2143377678">
      <w:bodyDiv w:val="1"/>
      <w:marLeft w:val="0"/>
      <w:marRight w:val="0"/>
      <w:marTop w:val="0"/>
      <w:marBottom w:val="0"/>
      <w:divBdr>
        <w:top w:val="none" w:sz="0" w:space="0" w:color="auto"/>
        <w:left w:val="none" w:sz="0" w:space="0" w:color="auto"/>
        <w:bottom w:val="none" w:sz="0" w:space="0" w:color="auto"/>
        <w:right w:val="none" w:sz="0" w:space="0" w:color="auto"/>
      </w:divBdr>
    </w:div>
    <w:div w:id="2143427630">
      <w:bodyDiv w:val="1"/>
      <w:marLeft w:val="0"/>
      <w:marRight w:val="0"/>
      <w:marTop w:val="0"/>
      <w:marBottom w:val="0"/>
      <w:divBdr>
        <w:top w:val="none" w:sz="0" w:space="0" w:color="auto"/>
        <w:left w:val="none" w:sz="0" w:space="0" w:color="auto"/>
        <w:bottom w:val="none" w:sz="0" w:space="0" w:color="auto"/>
        <w:right w:val="none" w:sz="0" w:space="0" w:color="auto"/>
      </w:divBdr>
    </w:div>
    <w:div w:id="2143493438">
      <w:bodyDiv w:val="1"/>
      <w:marLeft w:val="0"/>
      <w:marRight w:val="0"/>
      <w:marTop w:val="0"/>
      <w:marBottom w:val="0"/>
      <w:divBdr>
        <w:top w:val="none" w:sz="0" w:space="0" w:color="auto"/>
        <w:left w:val="none" w:sz="0" w:space="0" w:color="auto"/>
        <w:bottom w:val="none" w:sz="0" w:space="0" w:color="auto"/>
        <w:right w:val="none" w:sz="0" w:space="0" w:color="auto"/>
      </w:divBdr>
    </w:div>
    <w:div w:id="2143502463">
      <w:bodyDiv w:val="1"/>
      <w:marLeft w:val="0"/>
      <w:marRight w:val="0"/>
      <w:marTop w:val="0"/>
      <w:marBottom w:val="0"/>
      <w:divBdr>
        <w:top w:val="none" w:sz="0" w:space="0" w:color="auto"/>
        <w:left w:val="none" w:sz="0" w:space="0" w:color="auto"/>
        <w:bottom w:val="none" w:sz="0" w:space="0" w:color="auto"/>
        <w:right w:val="none" w:sz="0" w:space="0" w:color="auto"/>
      </w:divBdr>
    </w:div>
    <w:div w:id="2143689177">
      <w:bodyDiv w:val="1"/>
      <w:marLeft w:val="0"/>
      <w:marRight w:val="0"/>
      <w:marTop w:val="0"/>
      <w:marBottom w:val="0"/>
      <w:divBdr>
        <w:top w:val="none" w:sz="0" w:space="0" w:color="auto"/>
        <w:left w:val="none" w:sz="0" w:space="0" w:color="auto"/>
        <w:bottom w:val="none" w:sz="0" w:space="0" w:color="auto"/>
        <w:right w:val="none" w:sz="0" w:space="0" w:color="auto"/>
      </w:divBdr>
    </w:div>
    <w:div w:id="2144500368">
      <w:bodyDiv w:val="1"/>
      <w:marLeft w:val="0"/>
      <w:marRight w:val="0"/>
      <w:marTop w:val="0"/>
      <w:marBottom w:val="0"/>
      <w:divBdr>
        <w:top w:val="none" w:sz="0" w:space="0" w:color="auto"/>
        <w:left w:val="none" w:sz="0" w:space="0" w:color="auto"/>
        <w:bottom w:val="none" w:sz="0" w:space="0" w:color="auto"/>
        <w:right w:val="none" w:sz="0" w:space="0" w:color="auto"/>
      </w:divBdr>
    </w:div>
    <w:div w:id="2145200279">
      <w:bodyDiv w:val="1"/>
      <w:marLeft w:val="0"/>
      <w:marRight w:val="0"/>
      <w:marTop w:val="0"/>
      <w:marBottom w:val="0"/>
      <w:divBdr>
        <w:top w:val="none" w:sz="0" w:space="0" w:color="auto"/>
        <w:left w:val="none" w:sz="0" w:space="0" w:color="auto"/>
        <w:bottom w:val="none" w:sz="0" w:space="0" w:color="auto"/>
        <w:right w:val="none" w:sz="0" w:space="0" w:color="auto"/>
      </w:divBdr>
    </w:div>
    <w:div w:id="2145660852">
      <w:bodyDiv w:val="1"/>
      <w:marLeft w:val="0"/>
      <w:marRight w:val="0"/>
      <w:marTop w:val="0"/>
      <w:marBottom w:val="0"/>
      <w:divBdr>
        <w:top w:val="none" w:sz="0" w:space="0" w:color="auto"/>
        <w:left w:val="none" w:sz="0" w:space="0" w:color="auto"/>
        <w:bottom w:val="none" w:sz="0" w:space="0" w:color="auto"/>
        <w:right w:val="none" w:sz="0" w:space="0" w:color="auto"/>
      </w:divBdr>
    </w:div>
    <w:div w:id="2145997279">
      <w:bodyDiv w:val="1"/>
      <w:marLeft w:val="0"/>
      <w:marRight w:val="0"/>
      <w:marTop w:val="0"/>
      <w:marBottom w:val="0"/>
      <w:divBdr>
        <w:top w:val="none" w:sz="0" w:space="0" w:color="auto"/>
        <w:left w:val="none" w:sz="0" w:space="0" w:color="auto"/>
        <w:bottom w:val="none" w:sz="0" w:space="0" w:color="auto"/>
        <w:right w:val="none" w:sz="0" w:space="0" w:color="auto"/>
      </w:divBdr>
    </w:div>
    <w:div w:id="2147161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diagramQuickStyle" Target="diagrams/quickStyle1.xml"/><Relationship Id="rId18" Type="http://schemas.openxmlformats.org/officeDocument/2006/relationships/chart" Target="charts/chart3.xml"/><Relationship Id="rId26" Type="http://schemas.openxmlformats.org/officeDocument/2006/relationships/chart" Target="charts/chart7.xml"/><Relationship Id="rId39" Type="http://schemas.openxmlformats.org/officeDocument/2006/relationships/footer" Target="footer2.xml"/><Relationship Id="rId21" Type="http://schemas.openxmlformats.org/officeDocument/2006/relationships/chart" Target="charts/chart5.xml"/><Relationship Id="rId34" Type="http://schemas.openxmlformats.org/officeDocument/2006/relationships/diagramQuickStyle" Target="diagrams/quickStyle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chart" Target="charts/chart2.xml"/><Relationship Id="rId20" Type="http://schemas.openxmlformats.org/officeDocument/2006/relationships/hyperlink" Target="http://data.uis.unesco.org/" TargetMode="External"/><Relationship Id="rId29" Type="http://schemas.openxmlformats.org/officeDocument/2006/relationships/diagramQuickStyle" Target="diagrams/quickStyle2.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Data" Target="diagrams/data1.xml"/><Relationship Id="rId24" Type="http://schemas.openxmlformats.org/officeDocument/2006/relationships/chart" Target="charts/chart6.xml"/><Relationship Id="rId32" Type="http://schemas.openxmlformats.org/officeDocument/2006/relationships/diagramData" Target="diagrams/data3.xml"/><Relationship Id="rId37" Type="http://schemas.openxmlformats.org/officeDocument/2006/relationships/header" Target="header1.xml"/><Relationship Id="rId40" Type="http://schemas.openxmlformats.org/officeDocument/2006/relationships/fontTable" Target="fontTable.xml"/><Relationship Id="rId5" Type="http://schemas.openxmlformats.org/officeDocument/2006/relationships/webSettings" Target="webSettings.xml"/><Relationship Id="rId15" Type="http://schemas.microsoft.com/office/2007/relationships/diagramDrawing" Target="diagrams/drawing1.xml"/><Relationship Id="rId23" Type="http://schemas.openxmlformats.org/officeDocument/2006/relationships/hyperlink" Target="http://punetembare.al" TargetMode="External"/><Relationship Id="rId28" Type="http://schemas.openxmlformats.org/officeDocument/2006/relationships/diagramLayout" Target="diagrams/layout2.xml"/><Relationship Id="rId36" Type="http://schemas.microsoft.com/office/2007/relationships/diagramDrawing" Target="diagrams/drawing3.xml"/><Relationship Id="rId10" Type="http://schemas.openxmlformats.org/officeDocument/2006/relationships/chart" Target="charts/chart1.xml"/><Relationship Id="rId19" Type="http://schemas.openxmlformats.org/officeDocument/2006/relationships/chart" Target="charts/chart4.xml"/><Relationship Id="rId31" Type="http://schemas.microsoft.com/office/2007/relationships/diagramDrawing" Target="diagrams/drawing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diagramColors" Target="diagrams/colors1.xml"/><Relationship Id="rId22" Type="http://schemas.openxmlformats.org/officeDocument/2006/relationships/image" Target="media/image4.jpeg"/><Relationship Id="rId27" Type="http://schemas.openxmlformats.org/officeDocument/2006/relationships/diagramData" Target="diagrams/data2.xml"/><Relationship Id="rId30" Type="http://schemas.openxmlformats.org/officeDocument/2006/relationships/diagramColors" Target="diagrams/colors2.xml"/><Relationship Id="rId35" Type="http://schemas.openxmlformats.org/officeDocument/2006/relationships/diagramColors" Target="diagrams/colors3.xm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diagramLayout" Target="diagrams/layout1.xml"/><Relationship Id="rId17" Type="http://schemas.openxmlformats.org/officeDocument/2006/relationships/image" Target="media/image3.jpeg"/><Relationship Id="rId25" Type="http://schemas.openxmlformats.org/officeDocument/2006/relationships/hyperlink" Target="http://www.webometrics.info" TargetMode="External"/><Relationship Id="rId33" Type="http://schemas.openxmlformats.org/officeDocument/2006/relationships/diagramLayout" Target="diagrams/layout3.xml"/><Relationship Id="rId38"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www.topuniversities.com/university-rankings/eeca-rankings/2020" TargetMode="External"/><Relationship Id="rId2" Type="http://schemas.openxmlformats.org/officeDocument/2006/relationships/hyperlink" Target="https://pisadataexplorer.oecd.org/ide/idepisa/" TargetMode="External"/><Relationship Id="rId1" Type="http://schemas.openxmlformats.org/officeDocument/2006/relationships/hyperlink" Target="http://data.uis.unesco.org/" TargetMode="External"/><Relationship Id="rId6" Type="http://schemas.openxmlformats.org/officeDocument/2006/relationships/hyperlink" Target="https://www.oecd-ilibrary.org/docserver/9789264279889-en.pdf?expires=1595705699&amp;id=id&amp;accname=guest&amp;checksum=F15958D5BF47DDE61BD39E8A19F43320" TargetMode="External"/><Relationship Id="rId5" Type="http://schemas.openxmlformats.org/officeDocument/2006/relationships/hyperlink" Target="https://ec.europa.eu/education/schools-go-digital_en" TargetMode="External"/><Relationship Id="rId4" Type="http://schemas.openxmlformats.org/officeDocument/2006/relationships/hyperlink" Target="https://ec.europa.eu/eurostat/statistics-explained/index.php?title=Tertiary_education_statistics"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D:\Dropbox%20(KEC)\Konsulencat\Aktive\2019.%20UNICEF%20Albania%20SP\Deliverable%202\Grafiket.xlsx" TargetMode="External"/></Relationships>
</file>

<file path=word/charts/_rels/chart2.xml.rels><?xml version="1.0" encoding="UTF-8" standalone="yes"?>
<Relationships xmlns="http://schemas.openxmlformats.org/package/2006/relationships"><Relationship Id="rId2" Type="http://schemas.openxmlformats.org/officeDocument/2006/relationships/oleObject" Target="Book1" TargetMode="External"/><Relationship Id="rId1" Type="http://schemas.openxmlformats.org/officeDocument/2006/relationships/themeOverride" Target="../theme/themeOverride1.xml"/></Relationships>
</file>

<file path=word/charts/_rels/chart3.xml.rels><?xml version="1.0" encoding="UTF-8" standalone="yes"?>
<Relationships xmlns="http://schemas.openxmlformats.org/package/2006/relationships"><Relationship Id="rId2" Type="http://schemas.openxmlformats.org/officeDocument/2006/relationships/oleObject" Target="file:////C:\Users\Duki\Dropbox%20(KEC)\Konsulencat\Aktive\2019.%20UNICEF%20Albania%20SP\Deliverable%202\Te%20dhenat.xlsx" TargetMode="External"/><Relationship Id="rId1" Type="http://schemas.openxmlformats.org/officeDocument/2006/relationships/themeOverride" Target="../theme/themeOverride2.xml"/></Relationships>
</file>

<file path=word/charts/_rels/chart4.xml.rels><?xml version="1.0" encoding="UTF-8" standalone="yes"?>
<Relationships xmlns="http://schemas.openxmlformats.org/package/2006/relationships"><Relationship Id="rId2" Type="http://schemas.openxmlformats.org/officeDocument/2006/relationships/oleObject" Target="file:////D:\Dropbox%20(KEC)\Konsulencat\Aktive\2019.%20UNICEF%20Albania%20SP\Deliverable%202\Raporti%20Faza%202\Te%20dhenat.xlsx" TargetMode="External"/><Relationship Id="rId1" Type="http://schemas.openxmlformats.org/officeDocument/2006/relationships/themeOverride" Target="../theme/themeOverride3.xml"/></Relationships>
</file>

<file path=word/charts/_rels/chart5.xml.rels><?xml version="1.0" encoding="UTF-8" standalone="yes"?>
<Relationships xmlns="http://schemas.openxmlformats.org/package/2006/relationships"><Relationship Id="rId2" Type="http://schemas.openxmlformats.org/officeDocument/2006/relationships/oleObject" Target="file:////C:\Users\Duki\Dropbox%20(KEC)\Konsulencat\Aktive\2019.%20UNICEF%20Albania%20SP\Deliverable%202\Te%20dhenat.xlsx" TargetMode="External"/><Relationship Id="rId1" Type="http://schemas.openxmlformats.org/officeDocument/2006/relationships/themeOverride" Target="../theme/themeOverride4.xml"/></Relationships>
</file>

<file path=word/charts/_rels/chart6.xml.rels><?xml version="1.0" encoding="UTF-8" standalone="yes"?>
<Relationships xmlns="http://schemas.openxmlformats.org/package/2006/relationships"><Relationship Id="rId2" Type="http://schemas.openxmlformats.org/officeDocument/2006/relationships/oleObject" Target="file:////C:\Users\Duki\Dropbox%20(KEC)\Konsulencat\Aktive\2019.%20UNICEF%20Albania%20SP\Deliverable%202\Te%20dhenat.xlsx" TargetMode="External"/><Relationship Id="rId1" Type="http://schemas.openxmlformats.org/officeDocument/2006/relationships/themeOverride" Target="../theme/themeOverride5.xml"/></Relationships>
</file>

<file path=word/charts/_rels/chart7.xml.rels><?xml version="1.0" encoding="UTF-8" standalone="yes"?>
<Relationships xmlns="http://schemas.openxmlformats.org/package/2006/relationships"><Relationship Id="rId2" Type="http://schemas.openxmlformats.org/officeDocument/2006/relationships/oleObject" Target="file:////D:\Dropbox%20(KEC)\Konsulencat\Aktive\2019.%20UNICEF%20Albania%20SP\Deliverable%202\Drafts\Te%20dhenat%20(DESKTOP-6O1LR01's%20conflicted%20copy%202020-06-25).xlsx" TargetMode="External"/><Relationship Id="rId1" Type="http://schemas.openxmlformats.org/officeDocument/2006/relationships/themeOverride" Target="../theme/themeOverride6.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dLbls>
            <c:spPr>
              <a:noFill/>
              <a:ln>
                <a:noFill/>
              </a:ln>
              <a:effectLst/>
            </c:spPr>
            <c:txPr>
              <a:bodyPr/>
              <a:lstStyle/>
              <a:p>
                <a:pPr>
                  <a:defRPr lang="en-US"/>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Sheet1!$A$1:$A$8</c:f>
              <c:strCache>
                <c:ptCount val="8"/>
                <c:pt idx="0">
                  <c:v>2013</c:v>
                </c:pt>
                <c:pt idx="1">
                  <c:v>2014</c:v>
                </c:pt>
                <c:pt idx="2">
                  <c:v>2015</c:v>
                </c:pt>
                <c:pt idx="3">
                  <c:v>2016</c:v>
                </c:pt>
                <c:pt idx="4">
                  <c:v>2017</c:v>
                </c:pt>
                <c:pt idx="5">
                  <c:v>2018</c:v>
                </c:pt>
                <c:pt idx="6">
                  <c:v>2019</c:v>
                </c:pt>
                <c:pt idx="7">
                  <c:v>2020</c:v>
                </c:pt>
              </c:strCache>
            </c:strRef>
          </c:cat>
          <c:val>
            <c:numRef>
              <c:f>Sheet1!$B$1:$B$8</c:f>
              <c:numCache>
                <c:formatCode>General</c:formatCode>
                <c:ptCount val="8"/>
                <c:pt idx="0" formatCode="0.0">
                  <c:v>1</c:v>
                </c:pt>
                <c:pt idx="1">
                  <c:v>1.8</c:v>
                </c:pt>
                <c:pt idx="2">
                  <c:v>2.2000000000000002</c:v>
                </c:pt>
                <c:pt idx="3">
                  <c:v>3.3</c:v>
                </c:pt>
                <c:pt idx="4">
                  <c:v>3.8</c:v>
                </c:pt>
                <c:pt idx="5">
                  <c:v>4.0999999999999996</c:v>
                </c:pt>
                <c:pt idx="6">
                  <c:v>2.2000000000000002</c:v>
                </c:pt>
                <c:pt idx="7">
                  <c:v>-4.4000000000000004</c:v>
                </c:pt>
              </c:numCache>
            </c:numRef>
          </c:val>
          <c:smooth val="0"/>
          <c:extLst>
            <c:ext xmlns:c16="http://schemas.microsoft.com/office/drawing/2014/chart" uri="{C3380CC4-5D6E-409C-BE32-E72D297353CC}">
              <c16:uniqueId val="{00000000-E862-4ACC-B797-8CDBFB505F4C}"/>
            </c:ext>
          </c:extLst>
        </c:ser>
        <c:dLbls>
          <c:showLegendKey val="0"/>
          <c:showVal val="0"/>
          <c:showCatName val="0"/>
          <c:showSerName val="0"/>
          <c:showPercent val="0"/>
          <c:showBubbleSize val="0"/>
        </c:dLbls>
        <c:marker val="1"/>
        <c:smooth val="0"/>
        <c:axId val="117088640"/>
        <c:axId val="117090176"/>
      </c:lineChart>
      <c:catAx>
        <c:axId val="117088640"/>
        <c:scaling>
          <c:orientation val="minMax"/>
        </c:scaling>
        <c:delete val="0"/>
        <c:axPos val="b"/>
        <c:numFmt formatCode="General" sourceLinked="0"/>
        <c:majorTickMark val="out"/>
        <c:minorTickMark val="none"/>
        <c:tickLblPos val="nextTo"/>
        <c:txPr>
          <a:bodyPr/>
          <a:lstStyle/>
          <a:p>
            <a:pPr>
              <a:defRPr lang="en-US"/>
            </a:pPr>
            <a:endParaRPr lang="en-US"/>
          </a:p>
        </c:txPr>
        <c:crossAx val="117090176"/>
        <c:crosses val="autoZero"/>
        <c:auto val="1"/>
        <c:lblAlgn val="ctr"/>
        <c:lblOffset val="100"/>
        <c:tickLblSkip val="1"/>
        <c:noMultiLvlLbl val="0"/>
      </c:catAx>
      <c:valAx>
        <c:axId val="117090176"/>
        <c:scaling>
          <c:orientation val="minMax"/>
        </c:scaling>
        <c:delete val="1"/>
        <c:axPos val="l"/>
        <c:majorGridlines>
          <c:spPr>
            <a:ln>
              <a:noFill/>
            </a:ln>
          </c:spPr>
        </c:majorGridlines>
        <c:numFmt formatCode="0.0" sourceLinked="1"/>
        <c:majorTickMark val="out"/>
        <c:minorTickMark val="none"/>
        <c:tickLblPos val="nextTo"/>
        <c:crossAx val="117088640"/>
        <c:crosses val="autoZero"/>
        <c:crossBetween val="between"/>
      </c:valAx>
    </c:plotArea>
    <c:plotVisOnly val="1"/>
    <c:dispBlanksAs val="gap"/>
    <c:showDLblsOverMax val="0"/>
  </c:chart>
  <c:spPr>
    <a:ln>
      <a:no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20"/>
      <c:rAngAx val="1"/>
    </c:view3D>
    <c:floor>
      <c:thickness val="0"/>
    </c:floor>
    <c:sideWall>
      <c:thickness val="0"/>
    </c:sideWall>
    <c:backWall>
      <c:thickness val="0"/>
    </c:backWall>
    <c:plotArea>
      <c:layout/>
      <c:bar3DChart>
        <c:barDir val="col"/>
        <c:grouping val="stacked"/>
        <c:varyColors val="1"/>
        <c:ser>
          <c:idx val="0"/>
          <c:order val="0"/>
          <c:invertIfNegative val="0"/>
          <c:dLbls>
            <c:spPr>
              <a:noFill/>
              <a:ln>
                <a:noFill/>
              </a:ln>
              <a:effectLst/>
            </c:spPr>
            <c:txPr>
              <a:bodyPr/>
              <a:lstStyle/>
              <a:p>
                <a:pPr>
                  <a:defRPr lang="en-US"/>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Sheet1!$D$8:$D$11</c:f>
              <c:strCache>
                <c:ptCount val="4"/>
                <c:pt idx="0">
                  <c:v>Bullizmi</c:v>
                </c:pt>
                <c:pt idx="1">
                  <c:v>Ekstremizmi I dhunshëm</c:v>
                </c:pt>
                <c:pt idx="2">
                  <c:v>Të dyja</c:v>
                </c:pt>
                <c:pt idx="3">
                  <c:v>Asnjëra</c:v>
                </c:pt>
              </c:strCache>
            </c:strRef>
          </c:cat>
          <c:val>
            <c:numRef>
              <c:f>Sheet1!$E$8:$E$11</c:f>
              <c:numCache>
                <c:formatCode>0%</c:formatCode>
                <c:ptCount val="4"/>
                <c:pt idx="0">
                  <c:v>0.15000000000000024</c:v>
                </c:pt>
                <c:pt idx="1">
                  <c:v>7.0000000000000021E-2</c:v>
                </c:pt>
                <c:pt idx="2">
                  <c:v>0.71000000000000063</c:v>
                </c:pt>
                <c:pt idx="3">
                  <c:v>7.0000000000000021E-2</c:v>
                </c:pt>
              </c:numCache>
            </c:numRef>
          </c:val>
          <c:extLst>
            <c:ext xmlns:c16="http://schemas.microsoft.com/office/drawing/2014/chart" uri="{C3380CC4-5D6E-409C-BE32-E72D297353CC}">
              <c16:uniqueId val="{00000000-E935-480D-A27F-15C0BBE2F5E7}"/>
            </c:ext>
          </c:extLst>
        </c:ser>
        <c:dLbls>
          <c:showLegendKey val="0"/>
          <c:showVal val="1"/>
          <c:showCatName val="0"/>
          <c:showSerName val="0"/>
          <c:showPercent val="0"/>
          <c:showBubbleSize val="0"/>
        </c:dLbls>
        <c:gapWidth val="95"/>
        <c:gapDepth val="95"/>
        <c:shape val="box"/>
        <c:axId val="84716928"/>
        <c:axId val="96642176"/>
        <c:axId val="0"/>
      </c:bar3DChart>
      <c:catAx>
        <c:axId val="84716928"/>
        <c:scaling>
          <c:orientation val="minMax"/>
        </c:scaling>
        <c:delete val="0"/>
        <c:axPos val="b"/>
        <c:numFmt formatCode="General" sourceLinked="0"/>
        <c:majorTickMark val="none"/>
        <c:minorTickMark val="none"/>
        <c:tickLblPos val="nextTo"/>
        <c:txPr>
          <a:bodyPr/>
          <a:lstStyle/>
          <a:p>
            <a:pPr>
              <a:defRPr lang="en-US"/>
            </a:pPr>
            <a:endParaRPr lang="en-US"/>
          </a:p>
        </c:txPr>
        <c:crossAx val="96642176"/>
        <c:crosses val="autoZero"/>
        <c:auto val="1"/>
        <c:lblAlgn val="ctr"/>
        <c:lblOffset val="100"/>
        <c:noMultiLvlLbl val="0"/>
      </c:catAx>
      <c:valAx>
        <c:axId val="96642176"/>
        <c:scaling>
          <c:orientation val="minMax"/>
        </c:scaling>
        <c:delete val="1"/>
        <c:axPos val="l"/>
        <c:numFmt formatCode="0%" sourceLinked="1"/>
        <c:majorTickMark val="none"/>
        <c:minorTickMark val="none"/>
        <c:tickLblPos val="nextTo"/>
        <c:crossAx val="84716928"/>
        <c:crosses val="autoZero"/>
        <c:crossBetween val="between"/>
      </c:valAx>
    </c:plotArea>
    <c:legend>
      <c:legendPos val="t"/>
      <c:overlay val="0"/>
      <c:txPr>
        <a:bodyPr/>
        <a:lstStyle/>
        <a:p>
          <a:pPr>
            <a:defRPr lang="en-US"/>
          </a:pPr>
          <a:endParaRPr lang="en-US"/>
        </a:p>
      </c:txPr>
    </c:legend>
    <c:plotVisOnly val="1"/>
    <c:dispBlanksAs val="gap"/>
    <c:showDLblsOverMax val="0"/>
  </c:chart>
  <c:spPr>
    <a:ln>
      <a:noFill/>
    </a:ln>
  </c:sp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lineChart>
        <c:grouping val="standard"/>
        <c:varyColors val="0"/>
        <c:ser>
          <c:idx val="0"/>
          <c:order val="0"/>
          <c:tx>
            <c:strRef>
              <c:f>'Grafiku 7'!$B$1</c:f>
              <c:strCache>
                <c:ptCount val="1"/>
                <c:pt idx="0">
                  <c:v>Ars. Parashkollor</c:v>
                </c:pt>
              </c:strCache>
            </c:strRef>
          </c:tx>
          <c:cat>
            <c:strRef>
              <c:f>'Grafiku 7'!$A$3:$A$8</c:f>
              <c:strCache>
                <c:ptCount val="6"/>
                <c:pt idx="0">
                  <c:v>2014/15</c:v>
                </c:pt>
                <c:pt idx="1">
                  <c:v>2015/16</c:v>
                </c:pt>
                <c:pt idx="2">
                  <c:v>2016/17</c:v>
                </c:pt>
                <c:pt idx="3">
                  <c:v>2017/18</c:v>
                </c:pt>
                <c:pt idx="4">
                  <c:v>2018/19</c:v>
                </c:pt>
                <c:pt idx="5">
                  <c:v>2019/20</c:v>
                </c:pt>
              </c:strCache>
            </c:strRef>
          </c:cat>
          <c:val>
            <c:numRef>
              <c:f>'Grafiku 7'!$B$3:$B$8</c:f>
            </c:numRef>
          </c:val>
          <c:smooth val="0"/>
          <c:extLst>
            <c:ext xmlns:c16="http://schemas.microsoft.com/office/drawing/2014/chart" uri="{C3380CC4-5D6E-409C-BE32-E72D297353CC}">
              <c16:uniqueId val="{00000000-F503-4255-9C56-030850C6CE53}"/>
            </c:ext>
          </c:extLst>
        </c:ser>
        <c:ser>
          <c:idx val="1"/>
          <c:order val="1"/>
          <c:tx>
            <c:strRef>
              <c:f>'Grafiku 7'!$C$1</c:f>
              <c:strCache>
                <c:ptCount val="1"/>
                <c:pt idx="0">
                  <c:v>Ars. 9 vjecar</c:v>
                </c:pt>
              </c:strCache>
            </c:strRef>
          </c:tx>
          <c:cat>
            <c:strRef>
              <c:f>'Grafiku 7'!$A$3:$A$8</c:f>
              <c:strCache>
                <c:ptCount val="6"/>
                <c:pt idx="0">
                  <c:v>2014/15</c:v>
                </c:pt>
                <c:pt idx="1">
                  <c:v>2015/16</c:v>
                </c:pt>
                <c:pt idx="2">
                  <c:v>2016/17</c:v>
                </c:pt>
                <c:pt idx="3">
                  <c:v>2017/18</c:v>
                </c:pt>
                <c:pt idx="4">
                  <c:v>2018/19</c:v>
                </c:pt>
                <c:pt idx="5">
                  <c:v>2019/20</c:v>
                </c:pt>
              </c:strCache>
            </c:strRef>
          </c:cat>
          <c:val>
            <c:numRef>
              <c:f>'Grafiku 7'!$C$3:$C$8</c:f>
            </c:numRef>
          </c:val>
          <c:smooth val="0"/>
          <c:extLst>
            <c:ext xmlns:c16="http://schemas.microsoft.com/office/drawing/2014/chart" uri="{C3380CC4-5D6E-409C-BE32-E72D297353CC}">
              <c16:uniqueId val="{00000001-F503-4255-9C56-030850C6CE53}"/>
            </c:ext>
          </c:extLst>
        </c:ser>
        <c:ser>
          <c:idx val="2"/>
          <c:order val="2"/>
          <c:tx>
            <c:strRef>
              <c:f>'Grafiku 7'!$D$1</c:f>
              <c:strCache>
                <c:ptCount val="1"/>
                <c:pt idx="0">
                  <c:v>Ars. Mesem I ulet</c:v>
                </c:pt>
              </c:strCache>
            </c:strRef>
          </c:tx>
          <c:cat>
            <c:strRef>
              <c:f>'Grafiku 7'!$A$3:$A$8</c:f>
              <c:strCache>
                <c:ptCount val="6"/>
                <c:pt idx="0">
                  <c:v>2014/15</c:v>
                </c:pt>
                <c:pt idx="1">
                  <c:v>2015/16</c:v>
                </c:pt>
                <c:pt idx="2">
                  <c:v>2016/17</c:v>
                </c:pt>
                <c:pt idx="3">
                  <c:v>2017/18</c:v>
                </c:pt>
                <c:pt idx="4">
                  <c:v>2018/19</c:v>
                </c:pt>
                <c:pt idx="5">
                  <c:v>2019/20</c:v>
                </c:pt>
              </c:strCache>
            </c:strRef>
          </c:cat>
          <c:val>
            <c:numRef>
              <c:f>'Grafiku 7'!$D$3:$D$8</c:f>
            </c:numRef>
          </c:val>
          <c:smooth val="0"/>
          <c:extLst>
            <c:ext xmlns:c16="http://schemas.microsoft.com/office/drawing/2014/chart" uri="{C3380CC4-5D6E-409C-BE32-E72D297353CC}">
              <c16:uniqueId val="{00000002-F503-4255-9C56-030850C6CE53}"/>
            </c:ext>
          </c:extLst>
        </c:ser>
        <c:ser>
          <c:idx val="3"/>
          <c:order val="3"/>
          <c:tx>
            <c:strRef>
              <c:f>'Grafiku 7'!$E$1</c:f>
              <c:strCache>
                <c:ptCount val="1"/>
                <c:pt idx="0">
                  <c:v>Nxënës </c:v>
                </c:pt>
              </c:strCache>
            </c:strRef>
          </c:tx>
          <c:dLbls>
            <c:spPr>
              <a:noFill/>
              <a:ln>
                <a:noFill/>
              </a:ln>
              <a:effectLst/>
            </c:spPr>
            <c:txPr>
              <a:bodyPr/>
              <a:lstStyle/>
              <a:p>
                <a:pPr>
                  <a:defRPr lang="en-US"/>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'Grafiku 7'!$A$3:$A$8</c:f>
              <c:strCache>
                <c:ptCount val="6"/>
                <c:pt idx="0">
                  <c:v>2014/15</c:v>
                </c:pt>
                <c:pt idx="1">
                  <c:v>2015/16</c:v>
                </c:pt>
                <c:pt idx="2">
                  <c:v>2016/17</c:v>
                </c:pt>
                <c:pt idx="3">
                  <c:v>2017/18</c:v>
                </c:pt>
                <c:pt idx="4">
                  <c:v>2018/19</c:v>
                </c:pt>
                <c:pt idx="5">
                  <c:v>2019/20</c:v>
                </c:pt>
              </c:strCache>
            </c:strRef>
          </c:cat>
          <c:val>
            <c:numRef>
              <c:f>'Grafiku 7'!$E$3:$E$8</c:f>
              <c:numCache>
                <c:formatCode>#,##0</c:formatCode>
                <c:ptCount val="6"/>
                <c:pt idx="0">
                  <c:v>3410</c:v>
                </c:pt>
                <c:pt idx="1">
                  <c:v>3675</c:v>
                </c:pt>
                <c:pt idx="2">
                  <c:v>3771</c:v>
                </c:pt>
                <c:pt idx="3">
                  <c:v>4402</c:v>
                </c:pt>
                <c:pt idx="4">
                  <c:v>4686</c:v>
                </c:pt>
                <c:pt idx="5">
                  <c:v>4573</c:v>
                </c:pt>
              </c:numCache>
            </c:numRef>
          </c:val>
          <c:smooth val="0"/>
          <c:extLst>
            <c:ext xmlns:c16="http://schemas.microsoft.com/office/drawing/2014/chart" uri="{C3380CC4-5D6E-409C-BE32-E72D297353CC}">
              <c16:uniqueId val="{00000003-F503-4255-9C56-030850C6CE53}"/>
            </c:ext>
          </c:extLst>
        </c:ser>
        <c:ser>
          <c:idx val="4"/>
          <c:order val="4"/>
          <c:tx>
            <c:strRef>
              <c:f>'Grafiku 7'!$F$1</c:f>
              <c:strCache>
                <c:ptCount val="1"/>
                <c:pt idx="0">
                  <c:v>Në shkolla speciale</c:v>
                </c:pt>
              </c:strCache>
            </c:strRef>
          </c:tx>
          <c:cat>
            <c:strRef>
              <c:f>'Grafiku 7'!$A$3:$A$8</c:f>
              <c:strCache>
                <c:ptCount val="6"/>
                <c:pt idx="0">
                  <c:v>2014/15</c:v>
                </c:pt>
                <c:pt idx="1">
                  <c:v>2015/16</c:v>
                </c:pt>
                <c:pt idx="2">
                  <c:v>2016/17</c:v>
                </c:pt>
                <c:pt idx="3">
                  <c:v>2017/18</c:v>
                </c:pt>
                <c:pt idx="4">
                  <c:v>2018/19</c:v>
                </c:pt>
                <c:pt idx="5">
                  <c:v>2019/20</c:v>
                </c:pt>
              </c:strCache>
            </c:strRef>
          </c:cat>
          <c:val>
            <c:numRef>
              <c:f>'Grafiku 7'!$F$3:$F$8</c:f>
            </c:numRef>
          </c:val>
          <c:smooth val="0"/>
          <c:extLst>
            <c:ext xmlns:c16="http://schemas.microsoft.com/office/drawing/2014/chart" uri="{C3380CC4-5D6E-409C-BE32-E72D297353CC}">
              <c16:uniqueId val="{00000004-F503-4255-9C56-030850C6CE53}"/>
            </c:ext>
          </c:extLst>
        </c:ser>
        <c:ser>
          <c:idx val="5"/>
          <c:order val="5"/>
          <c:tx>
            <c:strRef>
              <c:f>'Grafiku 7'!$G$1</c:f>
              <c:strCache>
                <c:ptCount val="1"/>
                <c:pt idx="0">
                  <c:v>Mësues ndihmës</c:v>
                </c:pt>
              </c:strCache>
            </c:strRef>
          </c:tx>
          <c:dLbls>
            <c:spPr>
              <a:noFill/>
              <a:ln>
                <a:noFill/>
              </a:ln>
              <a:effectLst/>
            </c:spPr>
            <c:txPr>
              <a:bodyPr/>
              <a:lstStyle/>
              <a:p>
                <a:pPr>
                  <a:defRPr lang="en-US"/>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'Grafiku 7'!$A$3:$A$8</c:f>
              <c:strCache>
                <c:ptCount val="6"/>
                <c:pt idx="0">
                  <c:v>2014/15</c:v>
                </c:pt>
                <c:pt idx="1">
                  <c:v>2015/16</c:v>
                </c:pt>
                <c:pt idx="2">
                  <c:v>2016/17</c:v>
                </c:pt>
                <c:pt idx="3">
                  <c:v>2017/18</c:v>
                </c:pt>
                <c:pt idx="4">
                  <c:v>2018/19</c:v>
                </c:pt>
                <c:pt idx="5">
                  <c:v>2019/20</c:v>
                </c:pt>
              </c:strCache>
            </c:strRef>
          </c:cat>
          <c:val>
            <c:numRef>
              <c:f>'Grafiku 7'!$G$3:$G$8</c:f>
              <c:numCache>
                <c:formatCode>General</c:formatCode>
                <c:ptCount val="6"/>
                <c:pt idx="0">
                  <c:v>65</c:v>
                </c:pt>
                <c:pt idx="1">
                  <c:v>113</c:v>
                </c:pt>
                <c:pt idx="2">
                  <c:v>310</c:v>
                </c:pt>
                <c:pt idx="3">
                  <c:v>585</c:v>
                </c:pt>
                <c:pt idx="4">
                  <c:v>933</c:v>
                </c:pt>
                <c:pt idx="5">
                  <c:v>1069</c:v>
                </c:pt>
              </c:numCache>
            </c:numRef>
          </c:val>
          <c:smooth val="0"/>
          <c:extLst>
            <c:ext xmlns:c16="http://schemas.microsoft.com/office/drawing/2014/chart" uri="{C3380CC4-5D6E-409C-BE32-E72D297353CC}">
              <c16:uniqueId val="{00000005-F503-4255-9C56-030850C6CE53}"/>
            </c:ext>
          </c:extLst>
        </c:ser>
        <c:dLbls>
          <c:showLegendKey val="0"/>
          <c:showVal val="0"/>
          <c:showCatName val="0"/>
          <c:showSerName val="0"/>
          <c:showPercent val="0"/>
          <c:showBubbleSize val="0"/>
        </c:dLbls>
        <c:marker val="1"/>
        <c:smooth val="0"/>
        <c:axId val="96744576"/>
        <c:axId val="96746112"/>
      </c:lineChart>
      <c:catAx>
        <c:axId val="96744576"/>
        <c:scaling>
          <c:orientation val="minMax"/>
        </c:scaling>
        <c:delete val="0"/>
        <c:axPos val="b"/>
        <c:numFmt formatCode="General" sourceLinked="0"/>
        <c:majorTickMark val="out"/>
        <c:minorTickMark val="none"/>
        <c:tickLblPos val="nextTo"/>
        <c:txPr>
          <a:bodyPr/>
          <a:lstStyle/>
          <a:p>
            <a:pPr>
              <a:defRPr lang="en-US"/>
            </a:pPr>
            <a:endParaRPr lang="en-US"/>
          </a:p>
        </c:txPr>
        <c:crossAx val="96746112"/>
        <c:crosses val="autoZero"/>
        <c:auto val="1"/>
        <c:lblAlgn val="ctr"/>
        <c:lblOffset val="100"/>
        <c:noMultiLvlLbl val="0"/>
      </c:catAx>
      <c:valAx>
        <c:axId val="96746112"/>
        <c:scaling>
          <c:orientation val="minMax"/>
        </c:scaling>
        <c:delete val="1"/>
        <c:axPos val="l"/>
        <c:numFmt formatCode="#,##0" sourceLinked="1"/>
        <c:majorTickMark val="out"/>
        <c:minorTickMark val="none"/>
        <c:tickLblPos val="nextTo"/>
        <c:crossAx val="96744576"/>
        <c:crosses val="autoZero"/>
        <c:crossBetween val="between"/>
      </c:valAx>
    </c:plotArea>
    <c:legend>
      <c:legendPos val="r"/>
      <c:overlay val="0"/>
      <c:txPr>
        <a:bodyPr/>
        <a:lstStyle/>
        <a:p>
          <a:pPr>
            <a:defRPr lang="en-US"/>
          </a:pPr>
          <a:endParaRPr lang="en-US"/>
        </a:p>
      </c:txPr>
    </c:legend>
    <c:plotVisOnly val="1"/>
    <c:dispBlanksAs val="gap"/>
    <c:showDLblsOverMax val="0"/>
  </c:chart>
  <c:spPr>
    <a:ln>
      <a:noFill/>
    </a:ln>
  </c:sp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invertIfNegative val="0"/>
          <c:dPt>
            <c:idx val="6"/>
            <c:invertIfNegative val="0"/>
            <c:bubble3D val="0"/>
            <c:spPr>
              <a:solidFill>
                <a:schemeClr val="accent2">
                  <a:lumMod val="75000"/>
                </a:schemeClr>
              </a:solidFill>
            </c:spPr>
            <c:extLst>
              <c:ext xmlns:c16="http://schemas.microsoft.com/office/drawing/2014/chart" uri="{C3380CC4-5D6E-409C-BE32-E72D297353CC}">
                <c16:uniqueId val="{00000001-20A5-44D4-8118-D93B3F23AD99}"/>
              </c:ext>
            </c:extLst>
          </c:dPt>
          <c:dPt>
            <c:idx val="7"/>
            <c:invertIfNegative val="0"/>
            <c:bubble3D val="0"/>
            <c:spPr>
              <a:solidFill>
                <a:schemeClr val="tx2">
                  <a:lumMod val="60000"/>
                  <a:lumOff val="40000"/>
                </a:schemeClr>
              </a:solidFill>
            </c:spPr>
            <c:extLst>
              <c:ext xmlns:c16="http://schemas.microsoft.com/office/drawing/2014/chart" uri="{C3380CC4-5D6E-409C-BE32-E72D297353CC}">
                <c16:uniqueId val="{00000003-20A5-44D4-8118-D93B3F23AD99}"/>
              </c:ext>
            </c:extLst>
          </c:dPt>
          <c:dLbls>
            <c:spPr>
              <a:noFill/>
              <a:ln>
                <a:noFill/>
              </a:ln>
              <a:effectLst/>
            </c:spPr>
            <c:txPr>
              <a:bodyPr/>
              <a:lstStyle/>
              <a:p>
                <a:pPr>
                  <a:defRPr lang="en-US"/>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'Grafiku 8'!$A$2:$A$12</c:f>
              <c:strCache>
                <c:ptCount val="11"/>
                <c:pt idx="0">
                  <c:v>Sllovenia</c:v>
                </c:pt>
                <c:pt idx="1">
                  <c:v>Europa</c:v>
                </c:pt>
                <c:pt idx="2">
                  <c:v>Bullgaria</c:v>
                </c:pt>
                <c:pt idx="3">
                  <c:v>Kroacia</c:v>
                </c:pt>
                <c:pt idx="4">
                  <c:v>Serbia</c:v>
                </c:pt>
                <c:pt idx="5">
                  <c:v>Italia</c:v>
                </c:pt>
                <c:pt idx="6">
                  <c:v>Shqipëria</c:v>
                </c:pt>
                <c:pt idx="7">
                  <c:v>Mali i Zi</c:v>
                </c:pt>
                <c:pt idx="8">
                  <c:v>Rumania</c:v>
                </c:pt>
                <c:pt idx="9">
                  <c:v>Maqedonia e Veriut</c:v>
                </c:pt>
                <c:pt idx="10">
                  <c:v>Bosnja e Hercegovina</c:v>
                </c:pt>
              </c:strCache>
            </c:strRef>
          </c:cat>
          <c:val>
            <c:numRef>
              <c:f>'Grafiku 8'!$B$2:$B$12</c:f>
              <c:numCache>
                <c:formatCode>0.0</c:formatCode>
                <c:ptCount val="11"/>
                <c:pt idx="0">
                  <c:v>77.099999999999994</c:v>
                </c:pt>
                <c:pt idx="1">
                  <c:v>73.3</c:v>
                </c:pt>
                <c:pt idx="2">
                  <c:v>71.5</c:v>
                </c:pt>
                <c:pt idx="3">
                  <c:v>67.7</c:v>
                </c:pt>
                <c:pt idx="4">
                  <c:v>67.8</c:v>
                </c:pt>
                <c:pt idx="5">
                  <c:v>64.3</c:v>
                </c:pt>
                <c:pt idx="6">
                  <c:v>58.8</c:v>
                </c:pt>
                <c:pt idx="7">
                  <c:v>54.17</c:v>
                </c:pt>
                <c:pt idx="8">
                  <c:v>51</c:v>
                </c:pt>
                <c:pt idx="9">
                  <c:v>43.1</c:v>
                </c:pt>
                <c:pt idx="10">
                  <c:v>40.200000000000003</c:v>
                </c:pt>
              </c:numCache>
            </c:numRef>
          </c:val>
          <c:extLst>
            <c:ext xmlns:c16="http://schemas.microsoft.com/office/drawing/2014/chart" uri="{C3380CC4-5D6E-409C-BE32-E72D297353CC}">
              <c16:uniqueId val="{00000004-20A5-44D4-8118-D93B3F23AD99}"/>
            </c:ext>
          </c:extLst>
        </c:ser>
        <c:dLbls>
          <c:showLegendKey val="0"/>
          <c:showVal val="0"/>
          <c:showCatName val="0"/>
          <c:showSerName val="0"/>
          <c:showPercent val="0"/>
          <c:showBubbleSize val="0"/>
        </c:dLbls>
        <c:gapWidth val="150"/>
        <c:axId val="96635904"/>
        <c:axId val="96867072"/>
      </c:barChart>
      <c:catAx>
        <c:axId val="96635904"/>
        <c:scaling>
          <c:orientation val="minMax"/>
        </c:scaling>
        <c:delete val="0"/>
        <c:axPos val="b"/>
        <c:numFmt formatCode="General" sourceLinked="0"/>
        <c:majorTickMark val="out"/>
        <c:minorTickMark val="none"/>
        <c:tickLblPos val="nextTo"/>
        <c:txPr>
          <a:bodyPr/>
          <a:lstStyle/>
          <a:p>
            <a:pPr>
              <a:defRPr lang="en-US"/>
            </a:pPr>
            <a:endParaRPr lang="en-US"/>
          </a:p>
        </c:txPr>
        <c:crossAx val="96867072"/>
        <c:crosses val="autoZero"/>
        <c:auto val="1"/>
        <c:lblAlgn val="ctr"/>
        <c:lblOffset val="100"/>
        <c:noMultiLvlLbl val="0"/>
      </c:catAx>
      <c:valAx>
        <c:axId val="96867072"/>
        <c:scaling>
          <c:orientation val="minMax"/>
        </c:scaling>
        <c:delete val="1"/>
        <c:axPos val="l"/>
        <c:numFmt formatCode="0.0" sourceLinked="1"/>
        <c:majorTickMark val="out"/>
        <c:minorTickMark val="none"/>
        <c:tickLblPos val="nextTo"/>
        <c:crossAx val="96635904"/>
        <c:crosses val="autoZero"/>
        <c:crossBetween val="between"/>
      </c:valAx>
      <c:spPr>
        <a:noFill/>
        <a:ln w="25400">
          <a:noFill/>
        </a:ln>
      </c:spPr>
    </c:plotArea>
    <c:plotVisOnly val="1"/>
    <c:dispBlanksAs val="gap"/>
    <c:showDLblsOverMax val="0"/>
  </c:chart>
  <c:spPr>
    <a:ln>
      <a:noFill/>
    </a:ln>
  </c:sp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bar"/>
        <c:grouping val="clustered"/>
        <c:varyColors val="0"/>
        <c:ser>
          <c:idx val="0"/>
          <c:order val="0"/>
          <c:invertIfNegative val="0"/>
          <c:dLbls>
            <c:dLbl>
              <c:idx val="0"/>
              <c:layout>
                <c:manualLayout>
                  <c:x val="2.7777777777778221E-3"/>
                  <c:y val="0"/>
                </c:manualLayout>
              </c:layout>
              <c:tx>
                <c:rich>
                  <a:bodyPr/>
                  <a:lstStyle/>
                  <a:p>
                    <a:r>
                      <a:rPr lang="en-US"/>
                      <a:t>301-350</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A3A0-4B60-875F-2C728BF9C555}"/>
                </c:ext>
              </c:extLst>
            </c:dLbl>
            <c:dLbl>
              <c:idx val="1"/>
              <c:layout>
                <c:manualLayout>
                  <c:x val="1.3888888888888904E-2"/>
                  <c:y val="-1.6975112544027118E-16"/>
                </c:manualLayout>
              </c:layout>
              <c:tx>
                <c:rich>
                  <a:bodyPr/>
                  <a:lstStyle/>
                  <a:p>
                    <a:r>
                      <a:rPr lang="en-US"/>
                      <a:t>251-300</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A3A0-4B60-875F-2C728BF9C555}"/>
                </c:ext>
              </c:extLst>
            </c:dLbl>
            <c:spPr>
              <a:noFill/>
              <a:ln>
                <a:noFill/>
              </a:ln>
              <a:effectLst/>
            </c:spPr>
            <c:txPr>
              <a:bodyPr/>
              <a:lstStyle/>
              <a:p>
                <a:pPr>
                  <a:defRPr lang="en-US"/>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'Grafiku 9'!$A$3:$A$13</c:f>
              <c:strCache>
                <c:ptCount val="11"/>
                <c:pt idx="0">
                  <c:v>Universiteti i Tiranës</c:v>
                </c:pt>
                <c:pt idx="1">
                  <c:v>Universiteti i Prishtinës</c:v>
                </c:pt>
                <c:pt idx="2">
                  <c:v>Universiteti i Shkupit</c:v>
                </c:pt>
                <c:pt idx="3">
                  <c:v>Universiteti i Sarajevës</c:v>
                </c:pt>
                <c:pt idx="4">
                  <c:v>Universiteti i Beogradit</c:v>
                </c:pt>
                <c:pt idx="5">
                  <c:v>Universiteti i Sofjes</c:v>
                </c:pt>
                <c:pt idx="6">
                  <c:v>Universiteti i Bukureshtit</c:v>
                </c:pt>
                <c:pt idx="7">
                  <c:v>Universiteti i Zagrebit</c:v>
                </c:pt>
                <c:pt idx="8">
                  <c:v>Universiteti i Lubjanës</c:v>
                </c:pt>
                <c:pt idx="9">
                  <c:v>Universiteti Koç (Turqi)</c:v>
                </c:pt>
                <c:pt idx="10">
                  <c:v>Universiteti Shetëror i Moskës</c:v>
                </c:pt>
              </c:strCache>
            </c:strRef>
          </c:cat>
          <c:val>
            <c:numRef>
              <c:f>'Grafiku 9'!$B$3:$B$13</c:f>
              <c:numCache>
                <c:formatCode>General</c:formatCode>
                <c:ptCount val="11"/>
                <c:pt idx="0">
                  <c:v>301</c:v>
                </c:pt>
                <c:pt idx="1">
                  <c:v>251</c:v>
                </c:pt>
                <c:pt idx="2">
                  <c:v>126</c:v>
                </c:pt>
                <c:pt idx="3">
                  <c:v>120</c:v>
                </c:pt>
                <c:pt idx="4">
                  <c:v>63</c:v>
                </c:pt>
                <c:pt idx="5">
                  <c:v>49</c:v>
                </c:pt>
                <c:pt idx="6">
                  <c:v>42</c:v>
                </c:pt>
                <c:pt idx="7">
                  <c:v>38</c:v>
                </c:pt>
                <c:pt idx="8">
                  <c:v>26</c:v>
                </c:pt>
                <c:pt idx="9">
                  <c:v>11</c:v>
                </c:pt>
                <c:pt idx="10">
                  <c:v>1</c:v>
                </c:pt>
              </c:numCache>
            </c:numRef>
          </c:val>
          <c:extLst>
            <c:ext xmlns:c16="http://schemas.microsoft.com/office/drawing/2014/chart" uri="{C3380CC4-5D6E-409C-BE32-E72D297353CC}">
              <c16:uniqueId val="{00000002-A3A0-4B60-875F-2C728BF9C555}"/>
            </c:ext>
          </c:extLst>
        </c:ser>
        <c:dLbls>
          <c:showLegendKey val="0"/>
          <c:showVal val="0"/>
          <c:showCatName val="0"/>
          <c:showSerName val="0"/>
          <c:showPercent val="0"/>
          <c:showBubbleSize val="0"/>
        </c:dLbls>
        <c:gapWidth val="150"/>
        <c:axId val="96894976"/>
        <c:axId val="96896512"/>
      </c:barChart>
      <c:catAx>
        <c:axId val="96894976"/>
        <c:scaling>
          <c:orientation val="minMax"/>
        </c:scaling>
        <c:delete val="0"/>
        <c:axPos val="l"/>
        <c:numFmt formatCode="General" sourceLinked="0"/>
        <c:majorTickMark val="out"/>
        <c:minorTickMark val="none"/>
        <c:tickLblPos val="nextTo"/>
        <c:txPr>
          <a:bodyPr/>
          <a:lstStyle/>
          <a:p>
            <a:pPr>
              <a:defRPr lang="en-US"/>
            </a:pPr>
            <a:endParaRPr lang="en-US"/>
          </a:p>
        </c:txPr>
        <c:crossAx val="96896512"/>
        <c:crosses val="autoZero"/>
        <c:auto val="1"/>
        <c:lblAlgn val="ctr"/>
        <c:lblOffset val="100"/>
        <c:noMultiLvlLbl val="0"/>
      </c:catAx>
      <c:valAx>
        <c:axId val="96896512"/>
        <c:scaling>
          <c:orientation val="minMax"/>
        </c:scaling>
        <c:delete val="1"/>
        <c:axPos val="b"/>
        <c:numFmt formatCode="General" sourceLinked="1"/>
        <c:majorTickMark val="out"/>
        <c:minorTickMark val="none"/>
        <c:tickLblPos val="nextTo"/>
        <c:crossAx val="96894976"/>
        <c:crosses val="autoZero"/>
        <c:crossBetween val="between"/>
      </c:valAx>
    </c:plotArea>
    <c:plotVisOnly val="1"/>
    <c:dispBlanksAs val="gap"/>
    <c:showDLblsOverMax val="0"/>
  </c:chart>
  <c:spPr>
    <a:ln>
      <a:noFill/>
    </a:ln>
  </c:spPr>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bar"/>
        <c:grouping val="clustered"/>
        <c:varyColors val="0"/>
        <c:ser>
          <c:idx val="0"/>
          <c:order val="0"/>
          <c:invertIfNegative val="0"/>
          <c:dLbls>
            <c:spPr>
              <a:noFill/>
              <a:ln>
                <a:noFill/>
              </a:ln>
              <a:effectLst/>
            </c:spPr>
            <c:txPr>
              <a:bodyPr/>
              <a:lstStyle/>
              <a:p>
                <a:pPr>
                  <a:defRPr lang="en-US"/>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'Grafiku 11'!$A$3:$A$14</c:f>
              <c:strCache>
                <c:ptCount val="12"/>
                <c:pt idx="0">
                  <c:v>UBT</c:v>
                </c:pt>
                <c:pt idx="1">
                  <c:v>Universiteti i Tiranës</c:v>
                </c:pt>
                <c:pt idx="2">
                  <c:v>Universiteti Epoka</c:v>
                </c:pt>
                <c:pt idx="3">
                  <c:v>Universiteti i Prishtinës</c:v>
                </c:pt>
                <c:pt idx="4">
                  <c:v>Universiteti i Malit të Zi</c:v>
                </c:pt>
                <c:pt idx="5">
                  <c:v>Universiteti i Shkupit</c:v>
                </c:pt>
                <c:pt idx="6">
                  <c:v>Universiteti i Sarajevës</c:v>
                </c:pt>
                <c:pt idx="7">
                  <c:v>Universiteti i Bukureshtit</c:v>
                </c:pt>
                <c:pt idx="8">
                  <c:v>Universiteti i Sofjes</c:v>
                </c:pt>
                <c:pt idx="9">
                  <c:v>Universiteti i Zagrebit</c:v>
                </c:pt>
                <c:pt idx="10">
                  <c:v>Universiteti i Beogradit</c:v>
                </c:pt>
                <c:pt idx="11">
                  <c:v>Universiteti i Lubjanës</c:v>
                </c:pt>
              </c:strCache>
            </c:strRef>
          </c:cat>
          <c:val>
            <c:numRef>
              <c:f>'Grafiku 11'!$B$3:$B$14</c:f>
              <c:numCache>
                <c:formatCode>General</c:formatCode>
                <c:ptCount val="12"/>
                <c:pt idx="0">
                  <c:v>4751</c:v>
                </c:pt>
                <c:pt idx="1">
                  <c:v>4711</c:v>
                </c:pt>
                <c:pt idx="2">
                  <c:v>4500</c:v>
                </c:pt>
                <c:pt idx="3">
                  <c:v>2829</c:v>
                </c:pt>
                <c:pt idx="4">
                  <c:v>2042</c:v>
                </c:pt>
                <c:pt idx="5">
                  <c:v>1607</c:v>
                </c:pt>
                <c:pt idx="6">
                  <c:v>1544</c:v>
                </c:pt>
                <c:pt idx="7">
                  <c:v>1062</c:v>
                </c:pt>
                <c:pt idx="8">
                  <c:v>942</c:v>
                </c:pt>
                <c:pt idx="9">
                  <c:v>608</c:v>
                </c:pt>
                <c:pt idx="10">
                  <c:v>454</c:v>
                </c:pt>
                <c:pt idx="11">
                  <c:v>321</c:v>
                </c:pt>
              </c:numCache>
            </c:numRef>
          </c:val>
          <c:extLst>
            <c:ext xmlns:c16="http://schemas.microsoft.com/office/drawing/2014/chart" uri="{C3380CC4-5D6E-409C-BE32-E72D297353CC}">
              <c16:uniqueId val="{00000000-330F-4FD8-BA29-AC1531B68241}"/>
            </c:ext>
          </c:extLst>
        </c:ser>
        <c:dLbls>
          <c:showLegendKey val="0"/>
          <c:showVal val="0"/>
          <c:showCatName val="0"/>
          <c:showSerName val="0"/>
          <c:showPercent val="0"/>
          <c:showBubbleSize val="0"/>
        </c:dLbls>
        <c:gapWidth val="150"/>
        <c:axId val="96924416"/>
        <c:axId val="96925952"/>
      </c:barChart>
      <c:catAx>
        <c:axId val="96924416"/>
        <c:scaling>
          <c:orientation val="minMax"/>
        </c:scaling>
        <c:delete val="0"/>
        <c:axPos val="l"/>
        <c:numFmt formatCode="General" sourceLinked="0"/>
        <c:majorTickMark val="out"/>
        <c:minorTickMark val="none"/>
        <c:tickLblPos val="nextTo"/>
        <c:txPr>
          <a:bodyPr/>
          <a:lstStyle/>
          <a:p>
            <a:pPr>
              <a:defRPr lang="en-US"/>
            </a:pPr>
            <a:endParaRPr lang="en-US"/>
          </a:p>
        </c:txPr>
        <c:crossAx val="96925952"/>
        <c:crosses val="autoZero"/>
        <c:auto val="1"/>
        <c:lblAlgn val="ctr"/>
        <c:lblOffset val="100"/>
        <c:noMultiLvlLbl val="0"/>
      </c:catAx>
      <c:valAx>
        <c:axId val="96925952"/>
        <c:scaling>
          <c:orientation val="minMax"/>
        </c:scaling>
        <c:delete val="1"/>
        <c:axPos val="b"/>
        <c:numFmt formatCode="General" sourceLinked="1"/>
        <c:majorTickMark val="out"/>
        <c:minorTickMark val="none"/>
        <c:tickLblPos val="nextTo"/>
        <c:crossAx val="96924416"/>
        <c:crosses val="autoZero"/>
        <c:crossBetween val="between"/>
      </c:valAx>
    </c:plotArea>
    <c:plotVisOnly val="1"/>
    <c:dispBlanksAs val="gap"/>
    <c:showDLblsOverMax val="0"/>
  </c:chart>
  <c:spPr>
    <a:ln>
      <a:noFill/>
    </a:ln>
  </c:spPr>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'Figura 6 prim'!$A$5</c:f>
              <c:strCache>
                <c:ptCount val="1"/>
                <c:pt idx="0">
                  <c:v>Arsimi parashkollor</c:v>
                </c:pt>
              </c:strCache>
            </c:strRef>
          </c:tx>
          <c:spPr>
            <a:solidFill>
              <a:schemeClr val="accent1"/>
            </a:solidFill>
            <a:ln>
              <a:noFill/>
            </a:ln>
            <a:effectLst/>
          </c:spPr>
          <c:invertIfNegative val="0"/>
          <c:cat>
            <c:multiLvlStrRef>
              <c:f>'Figura 6 prim'!$B$3:$K$4</c:f>
              <c:multiLvlStrCache>
                <c:ptCount val="10"/>
                <c:lvl>
                  <c:pt idx="0">
                    <c:v>M</c:v>
                  </c:pt>
                  <c:pt idx="1">
                    <c:v>F</c:v>
                  </c:pt>
                  <c:pt idx="2">
                    <c:v>M</c:v>
                  </c:pt>
                  <c:pt idx="3">
                    <c:v>F</c:v>
                  </c:pt>
                  <c:pt idx="4">
                    <c:v>M</c:v>
                  </c:pt>
                  <c:pt idx="5">
                    <c:v>F</c:v>
                  </c:pt>
                  <c:pt idx="6">
                    <c:v>M</c:v>
                  </c:pt>
                  <c:pt idx="7">
                    <c:v>F</c:v>
                  </c:pt>
                  <c:pt idx="8">
                    <c:v>M</c:v>
                  </c:pt>
                  <c:pt idx="9">
                    <c:v>F</c:v>
                  </c:pt>
                </c:lvl>
                <c:lvl>
                  <c:pt idx="0">
                    <c:v>2014/15</c:v>
                  </c:pt>
                  <c:pt idx="2">
                    <c:v>2015/16</c:v>
                  </c:pt>
                  <c:pt idx="4">
                    <c:v>2016/17</c:v>
                  </c:pt>
                  <c:pt idx="6">
                    <c:v>2017/18</c:v>
                  </c:pt>
                  <c:pt idx="8">
                    <c:v>2018/19</c:v>
                  </c:pt>
                </c:lvl>
              </c:multiLvlStrCache>
            </c:multiLvlStrRef>
          </c:cat>
          <c:val>
            <c:numRef>
              <c:f>'Figura 6 prim'!$B$5:$K$5</c:f>
              <c:numCache>
                <c:formatCode>0.0</c:formatCode>
                <c:ptCount val="10"/>
                <c:pt idx="0">
                  <c:v>82.3</c:v>
                </c:pt>
                <c:pt idx="1">
                  <c:v>82.3</c:v>
                </c:pt>
                <c:pt idx="2">
                  <c:v>83.3</c:v>
                </c:pt>
                <c:pt idx="3">
                  <c:v>83.3</c:v>
                </c:pt>
                <c:pt idx="4">
                  <c:v>81.8</c:v>
                </c:pt>
                <c:pt idx="5">
                  <c:v>81.3</c:v>
                </c:pt>
                <c:pt idx="6">
                  <c:v>81.599999999999994</c:v>
                </c:pt>
                <c:pt idx="7">
                  <c:v>78.900000000000006</c:v>
                </c:pt>
                <c:pt idx="8">
                  <c:v>80.3</c:v>
                </c:pt>
                <c:pt idx="9">
                  <c:v>76.3</c:v>
                </c:pt>
              </c:numCache>
            </c:numRef>
          </c:val>
          <c:extLst>
            <c:ext xmlns:c16="http://schemas.microsoft.com/office/drawing/2014/chart" uri="{C3380CC4-5D6E-409C-BE32-E72D297353CC}">
              <c16:uniqueId val="{00000000-96AE-4A32-A300-8935904F7877}"/>
            </c:ext>
          </c:extLst>
        </c:ser>
        <c:ser>
          <c:idx val="1"/>
          <c:order val="1"/>
          <c:tx>
            <c:strRef>
              <c:f>'Figura 6 prim'!$A$6</c:f>
              <c:strCache>
                <c:ptCount val="1"/>
                <c:pt idx="0">
                  <c:v>Arsimi fillor dhe i mesëm i ulët</c:v>
                </c:pt>
              </c:strCache>
            </c:strRef>
          </c:tx>
          <c:spPr>
            <a:solidFill>
              <a:schemeClr val="accent2"/>
            </a:solidFill>
            <a:ln>
              <a:noFill/>
            </a:ln>
            <a:effectLst/>
          </c:spPr>
          <c:invertIfNegative val="0"/>
          <c:cat>
            <c:multiLvlStrRef>
              <c:f>'Figura 6 prim'!$B$3:$K$4</c:f>
              <c:multiLvlStrCache>
                <c:ptCount val="10"/>
                <c:lvl>
                  <c:pt idx="0">
                    <c:v>M</c:v>
                  </c:pt>
                  <c:pt idx="1">
                    <c:v>F</c:v>
                  </c:pt>
                  <c:pt idx="2">
                    <c:v>M</c:v>
                  </c:pt>
                  <c:pt idx="3">
                    <c:v>F</c:v>
                  </c:pt>
                  <c:pt idx="4">
                    <c:v>M</c:v>
                  </c:pt>
                  <c:pt idx="5">
                    <c:v>F</c:v>
                  </c:pt>
                  <c:pt idx="6">
                    <c:v>M</c:v>
                  </c:pt>
                  <c:pt idx="7">
                    <c:v>F</c:v>
                  </c:pt>
                  <c:pt idx="8">
                    <c:v>M</c:v>
                  </c:pt>
                  <c:pt idx="9">
                    <c:v>F</c:v>
                  </c:pt>
                </c:lvl>
                <c:lvl>
                  <c:pt idx="0">
                    <c:v>2014/15</c:v>
                  </c:pt>
                  <c:pt idx="2">
                    <c:v>2015/16</c:v>
                  </c:pt>
                  <c:pt idx="4">
                    <c:v>2016/17</c:v>
                  </c:pt>
                  <c:pt idx="6">
                    <c:v>2017/18</c:v>
                  </c:pt>
                  <c:pt idx="8">
                    <c:v>2018/19</c:v>
                  </c:pt>
                </c:lvl>
              </c:multiLvlStrCache>
            </c:multiLvlStrRef>
          </c:cat>
          <c:val>
            <c:numRef>
              <c:f>'Figura 6 prim'!$B$6:$K$6</c:f>
              <c:numCache>
                <c:formatCode>0.0</c:formatCode>
                <c:ptCount val="10"/>
                <c:pt idx="0">
                  <c:v>104</c:v>
                </c:pt>
                <c:pt idx="1">
                  <c:v>101.9</c:v>
                </c:pt>
                <c:pt idx="2">
                  <c:v>102.8</c:v>
                </c:pt>
                <c:pt idx="3">
                  <c:v>100.8</c:v>
                </c:pt>
                <c:pt idx="4">
                  <c:v>101.6</c:v>
                </c:pt>
                <c:pt idx="5">
                  <c:v>99.2</c:v>
                </c:pt>
                <c:pt idx="6">
                  <c:v>102.1</c:v>
                </c:pt>
                <c:pt idx="7">
                  <c:v>99.2</c:v>
                </c:pt>
                <c:pt idx="8">
                  <c:v>102.6</c:v>
                </c:pt>
                <c:pt idx="9">
                  <c:v>97.2</c:v>
                </c:pt>
              </c:numCache>
            </c:numRef>
          </c:val>
          <c:extLst>
            <c:ext xmlns:c16="http://schemas.microsoft.com/office/drawing/2014/chart" uri="{C3380CC4-5D6E-409C-BE32-E72D297353CC}">
              <c16:uniqueId val="{00000001-96AE-4A32-A300-8935904F7877}"/>
            </c:ext>
          </c:extLst>
        </c:ser>
        <c:ser>
          <c:idx val="2"/>
          <c:order val="2"/>
          <c:tx>
            <c:strRef>
              <c:f>'Figura 6 prim'!$A$7</c:f>
              <c:strCache>
                <c:ptCount val="1"/>
                <c:pt idx="0">
                  <c:v>Arsimi i mesëm i lartë</c:v>
                </c:pt>
              </c:strCache>
            </c:strRef>
          </c:tx>
          <c:spPr>
            <a:solidFill>
              <a:schemeClr val="accent3"/>
            </a:solidFill>
            <a:ln>
              <a:noFill/>
            </a:ln>
            <a:effectLst/>
          </c:spPr>
          <c:invertIfNegative val="0"/>
          <c:cat>
            <c:multiLvlStrRef>
              <c:f>'Figura 6 prim'!$B$3:$K$4</c:f>
              <c:multiLvlStrCache>
                <c:ptCount val="10"/>
                <c:lvl>
                  <c:pt idx="0">
                    <c:v>M</c:v>
                  </c:pt>
                  <c:pt idx="1">
                    <c:v>F</c:v>
                  </c:pt>
                  <c:pt idx="2">
                    <c:v>M</c:v>
                  </c:pt>
                  <c:pt idx="3">
                    <c:v>F</c:v>
                  </c:pt>
                  <c:pt idx="4">
                    <c:v>M</c:v>
                  </c:pt>
                  <c:pt idx="5">
                    <c:v>F</c:v>
                  </c:pt>
                  <c:pt idx="6">
                    <c:v>M</c:v>
                  </c:pt>
                  <c:pt idx="7">
                    <c:v>F</c:v>
                  </c:pt>
                  <c:pt idx="8">
                    <c:v>M</c:v>
                  </c:pt>
                  <c:pt idx="9">
                    <c:v>F</c:v>
                  </c:pt>
                </c:lvl>
                <c:lvl>
                  <c:pt idx="0">
                    <c:v>2014/15</c:v>
                  </c:pt>
                  <c:pt idx="2">
                    <c:v>2015/16</c:v>
                  </c:pt>
                  <c:pt idx="4">
                    <c:v>2016/17</c:v>
                  </c:pt>
                  <c:pt idx="6">
                    <c:v>2017/18</c:v>
                  </c:pt>
                  <c:pt idx="8">
                    <c:v>2018/19</c:v>
                  </c:pt>
                </c:lvl>
              </c:multiLvlStrCache>
            </c:multiLvlStrRef>
          </c:cat>
          <c:val>
            <c:numRef>
              <c:f>'Figura 6 prim'!$B$7:$K$7</c:f>
              <c:numCache>
                <c:formatCode>0.0</c:formatCode>
                <c:ptCount val="10"/>
                <c:pt idx="0">
                  <c:v>102.3</c:v>
                </c:pt>
                <c:pt idx="1">
                  <c:v>91.4</c:v>
                </c:pt>
                <c:pt idx="2">
                  <c:v>96.7</c:v>
                </c:pt>
                <c:pt idx="3">
                  <c:v>89.6</c:v>
                </c:pt>
                <c:pt idx="4">
                  <c:v>98</c:v>
                </c:pt>
                <c:pt idx="5">
                  <c:v>91.1</c:v>
                </c:pt>
                <c:pt idx="6">
                  <c:v>97.4</c:v>
                </c:pt>
                <c:pt idx="7">
                  <c:v>90.1</c:v>
                </c:pt>
                <c:pt idx="8">
                  <c:v>99.3</c:v>
                </c:pt>
                <c:pt idx="9">
                  <c:v>91.7</c:v>
                </c:pt>
              </c:numCache>
            </c:numRef>
          </c:val>
          <c:extLst>
            <c:ext xmlns:c16="http://schemas.microsoft.com/office/drawing/2014/chart" uri="{C3380CC4-5D6E-409C-BE32-E72D297353CC}">
              <c16:uniqueId val="{00000002-96AE-4A32-A300-8935904F7877}"/>
            </c:ext>
          </c:extLst>
        </c:ser>
        <c:ser>
          <c:idx val="3"/>
          <c:order val="3"/>
          <c:tx>
            <c:strRef>
              <c:f>'Figura 6 prim'!$A$8</c:f>
              <c:strCache>
                <c:ptCount val="1"/>
                <c:pt idx="0">
                  <c:v>Arsimi i lartë </c:v>
                </c:pt>
              </c:strCache>
            </c:strRef>
          </c:tx>
          <c:spPr>
            <a:solidFill>
              <a:schemeClr val="accent4"/>
            </a:solidFill>
            <a:ln>
              <a:noFill/>
            </a:ln>
            <a:effectLst/>
          </c:spPr>
          <c:invertIfNegative val="0"/>
          <c:cat>
            <c:multiLvlStrRef>
              <c:f>'Figura 6 prim'!$B$3:$K$4</c:f>
              <c:multiLvlStrCache>
                <c:ptCount val="10"/>
                <c:lvl>
                  <c:pt idx="0">
                    <c:v>M</c:v>
                  </c:pt>
                  <c:pt idx="1">
                    <c:v>F</c:v>
                  </c:pt>
                  <c:pt idx="2">
                    <c:v>M</c:v>
                  </c:pt>
                  <c:pt idx="3">
                    <c:v>F</c:v>
                  </c:pt>
                  <c:pt idx="4">
                    <c:v>M</c:v>
                  </c:pt>
                  <c:pt idx="5">
                    <c:v>F</c:v>
                  </c:pt>
                  <c:pt idx="6">
                    <c:v>M</c:v>
                  </c:pt>
                  <c:pt idx="7">
                    <c:v>F</c:v>
                  </c:pt>
                  <c:pt idx="8">
                    <c:v>M</c:v>
                  </c:pt>
                  <c:pt idx="9">
                    <c:v>F</c:v>
                  </c:pt>
                </c:lvl>
                <c:lvl>
                  <c:pt idx="0">
                    <c:v>2014/15</c:v>
                  </c:pt>
                  <c:pt idx="2">
                    <c:v>2015/16</c:v>
                  </c:pt>
                  <c:pt idx="4">
                    <c:v>2016/17</c:v>
                  </c:pt>
                  <c:pt idx="6">
                    <c:v>2017/18</c:v>
                  </c:pt>
                  <c:pt idx="8">
                    <c:v>2018/19</c:v>
                  </c:pt>
                </c:lvl>
              </c:multiLvlStrCache>
            </c:multiLvlStrRef>
          </c:cat>
          <c:val>
            <c:numRef>
              <c:f>'Figura 6 prim'!$B$8:$K$8</c:f>
              <c:numCache>
                <c:formatCode>0.0</c:formatCode>
                <c:ptCount val="10"/>
                <c:pt idx="0">
                  <c:v>52</c:v>
                </c:pt>
                <c:pt idx="1">
                  <c:v>70.900000000000006</c:v>
                </c:pt>
                <c:pt idx="2">
                  <c:v>47.2</c:v>
                </c:pt>
                <c:pt idx="3">
                  <c:v>68.2</c:v>
                </c:pt>
                <c:pt idx="4">
                  <c:v>45.4</c:v>
                </c:pt>
                <c:pt idx="5">
                  <c:v>68.599999999999994</c:v>
                </c:pt>
                <c:pt idx="6">
                  <c:v>43.8</c:v>
                </c:pt>
                <c:pt idx="7">
                  <c:v>66.400000000000006</c:v>
                </c:pt>
                <c:pt idx="8">
                  <c:v>48.7</c:v>
                </c:pt>
                <c:pt idx="9">
                  <c:v>71.8</c:v>
                </c:pt>
              </c:numCache>
            </c:numRef>
          </c:val>
          <c:extLst>
            <c:ext xmlns:c16="http://schemas.microsoft.com/office/drawing/2014/chart" uri="{C3380CC4-5D6E-409C-BE32-E72D297353CC}">
              <c16:uniqueId val="{00000003-96AE-4A32-A300-8935904F7877}"/>
            </c:ext>
          </c:extLst>
        </c:ser>
        <c:dLbls>
          <c:showLegendKey val="0"/>
          <c:showVal val="0"/>
          <c:showCatName val="0"/>
          <c:showSerName val="0"/>
          <c:showPercent val="0"/>
          <c:showBubbleSize val="0"/>
        </c:dLbls>
        <c:gapWidth val="219"/>
        <c:overlap val="-27"/>
        <c:axId val="97292672"/>
        <c:axId val="97294208"/>
      </c:barChart>
      <c:catAx>
        <c:axId val="972926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97294208"/>
        <c:crosses val="autoZero"/>
        <c:auto val="1"/>
        <c:lblAlgn val="ctr"/>
        <c:lblOffset val="100"/>
        <c:noMultiLvlLbl val="0"/>
      </c:catAx>
      <c:valAx>
        <c:axId val="97294208"/>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9729267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B7DD24F-5A05-4E04-9FBA-FF1E1EE83E4D}"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US"/>
        </a:p>
      </dgm:t>
    </dgm:pt>
    <dgm:pt modelId="{FC3A3050-A7C1-4BE0-A600-8491D254D481}">
      <dgm:prSet phldrT="[Text]"/>
      <dgm:spPr>
        <a:xfrm>
          <a:off x="3432583" y="221433"/>
          <a:ext cx="579313" cy="289656"/>
        </a:xfrm>
        <a:solidFill>
          <a:schemeClr val="accent6">
            <a:lumMod val="75000"/>
          </a:schemeClr>
        </a:solidFill>
        <a:ln w="25400" cap="flat" cmpd="sng" algn="ctr">
          <a:solidFill>
            <a:sysClr val="window" lastClr="FFFFFF">
              <a:hueOff val="0"/>
              <a:satOff val="0"/>
              <a:lumOff val="0"/>
              <a:alphaOff val="0"/>
            </a:sysClr>
          </a:solidFill>
          <a:prstDash val="solid"/>
        </a:ln>
        <a:effectLst/>
      </dgm:spPr>
      <dgm:t>
        <a:bodyPr/>
        <a:lstStyle/>
        <a:p>
          <a:r>
            <a:rPr lang="en-US">
              <a:solidFill>
                <a:sysClr val="window" lastClr="FFFFFF"/>
              </a:solidFill>
              <a:latin typeface="Calibri"/>
              <a:ea typeface="+mn-ea"/>
              <a:cs typeface="+mn-cs"/>
            </a:rPr>
            <a:t>Këshilli i Ministrave</a:t>
          </a:r>
        </a:p>
      </dgm:t>
    </dgm:pt>
    <dgm:pt modelId="{3A866F69-9929-4AB1-BE32-D0035B1CCB7F}" type="parTrans" cxnId="{57C96144-8D7D-43B7-8630-2238A6FA6268}">
      <dgm:prSet/>
      <dgm:spPr/>
      <dgm:t>
        <a:bodyPr/>
        <a:lstStyle/>
        <a:p>
          <a:endParaRPr lang="en-US"/>
        </a:p>
      </dgm:t>
    </dgm:pt>
    <dgm:pt modelId="{45D19A40-5287-468F-BE4D-89ADD28CA2CF}" type="sibTrans" cxnId="{57C96144-8D7D-43B7-8630-2238A6FA6268}">
      <dgm:prSet/>
      <dgm:spPr/>
      <dgm:t>
        <a:bodyPr/>
        <a:lstStyle/>
        <a:p>
          <a:endParaRPr lang="en-US"/>
        </a:p>
      </dgm:t>
    </dgm:pt>
    <dgm:pt modelId="{46810BFF-CE13-4BD7-A791-4A26C1D7F4E6}">
      <dgm:prSet phldrT="[Text]"/>
      <dgm:spPr>
        <a:xfrm>
          <a:off x="2103058" y="632746"/>
          <a:ext cx="579313" cy="289656"/>
        </a:xfrm>
        <a:solidFill>
          <a:schemeClr val="accent2">
            <a:lumMod val="75000"/>
          </a:schemeClr>
        </a:solidFill>
        <a:ln w="25400" cap="flat" cmpd="sng" algn="ctr">
          <a:solidFill>
            <a:sysClr val="window" lastClr="FFFFFF">
              <a:hueOff val="0"/>
              <a:satOff val="0"/>
              <a:lumOff val="0"/>
              <a:alphaOff val="0"/>
            </a:sysClr>
          </a:solidFill>
          <a:prstDash val="solid"/>
        </a:ln>
        <a:effectLst/>
      </dgm:spPr>
      <dgm:t>
        <a:bodyPr/>
        <a:lstStyle/>
        <a:p>
          <a:r>
            <a:rPr lang="en-US">
              <a:solidFill>
                <a:sysClr val="window" lastClr="FFFFFF"/>
              </a:solidFill>
              <a:latin typeface="Calibri"/>
              <a:ea typeface="+mn-ea"/>
              <a:cs typeface="+mn-cs"/>
            </a:rPr>
            <a:t>MASR</a:t>
          </a:r>
        </a:p>
      </dgm:t>
    </dgm:pt>
    <dgm:pt modelId="{6193CE9C-C3A4-4707-8263-24156AF2A9F0}" type="parTrans" cxnId="{122E994D-59B9-4B36-A3F9-4C76212F3889}">
      <dgm:prSet/>
      <dgm:spPr>
        <a:xfrm>
          <a:off x="2392715" y="511090"/>
          <a:ext cx="1329524" cy="121655"/>
        </a:xfrm>
        <a:noFill/>
        <a:ln w="25400" cap="flat" cmpd="sng" algn="ctr">
          <a:solidFill>
            <a:srgbClr val="4F81BD">
              <a:shade val="60000"/>
              <a:hueOff val="0"/>
              <a:satOff val="0"/>
              <a:lumOff val="0"/>
              <a:alphaOff val="0"/>
            </a:srgbClr>
          </a:solidFill>
          <a:prstDash val="solid"/>
        </a:ln>
        <a:effectLst/>
      </dgm:spPr>
      <dgm:t>
        <a:bodyPr/>
        <a:lstStyle/>
        <a:p>
          <a:endParaRPr lang="en-US"/>
        </a:p>
      </dgm:t>
    </dgm:pt>
    <dgm:pt modelId="{AECE0B91-7B91-467F-A705-1FF357535C38}" type="sibTrans" cxnId="{122E994D-59B9-4B36-A3F9-4C76212F3889}">
      <dgm:prSet/>
      <dgm:spPr/>
      <dgm:t>
        <a:bodyPr/>
        <a:lstStyle/>
        <a:p>
          <a:endParaRPr lang="en-US"/>
        </a:p>
      </dgm:t>
    </dgm:pt>
    <dgm:pt modelId="{DED0F1AC-0712-4D5D-AEEA-C6FBB4AB453D}">
      <dgm:prSet phldrT="[Text]"/>
      <dgm:spPr>
        <a:xfrm>
          <a:off x="150" y="1044059"/>
          <a:ext cx="579313" cy="289656"/>
        </a:xfrm>
        <a:solidFill>
          <a:schemeClr val="accent2">
            <a:lumMod val="75000"/>
          </a:schemeClr>
        </a:solidFill>
        <a:ln w="25400" cap="flat" cmpd="sng" algn="ctr">
          <a:solidFill>
            <a:sysClr val="window" lastClr="FFFFFF">
              <a:hueOff val="0"/>
              <a:satOff val="0"/>
              <a:lumOff val="0"/>
              <a:alphaOff val="0"/>
            </a:sysClr>
          </a:solidFill>
          <a:prstDash val="solid"/>
        </a:ln>
        <a:effectLst/>
      </dgm:spPr>
      <dgm:t>
        <a:bodyPr/>
        <a:lstStyle/>
        <a:p>
          <a:r>
            <a:rPr lang="en-US">
              <a:solidFill>
                <a:sysClr val="window" lastClr="FFFFFF"/>
              </a:solidFill>
              <a:latin typeface="Calibri"/>
              <a:ea typeface="+mn-ea"/>
              <a:cs typeface="+mn-cs"/>
            </a:rPr>
            <a:t>Drejtoria e Përgjithshme e Politikave dhe Zhvillimit</a:t>
          </a:r>
        </a:p>
      </dgm:t>
    </dgm:pt>
    <dgm:pt modelId="{AE3DE834-98DE-4792-B784-5DAF926AA5C3}" type="parTrans" cxnId="{70384860-97E7-436E-8B67-D2EC43298C97}">
      <dgm:prSet/>
      <dgm:spPr>
        <a:xfrm>
          <a:off x="289807" y="922403"/>
          <a:ext cx="2102907" cy="121655"/>
        </a:xfrm>
        <a:noFill/>
        <a:ln w="25400" cap="flat" cmpd="sng" algn="ctr">
          <a:solidFill>
            <a:srgbClr val="4F81BD">
              <a:shade val="80000"/>
              <a:hueOff val="0"/>
              <a:satOff val="0"/>
              <a:lumOff val="0"/>
              <a:alphaOff val="0"/>
            </a:srgbClr>
          </a:solidFill>
          <a:prstDash val="solid"/>
        </a:ln>
        <a:effectLst/>
      </dgm:spPr>
      <dgm:t>
        <a:bodyPr/>
        <a:lstStyle/>
        <a:p>
          <a:endParaRPr lang="en-US"/>
        </a:p>
      </dgm:t>
    </dgm:pt>
    <dgm:pt modelId="{D275ECBD-C8BB-4C72-BD28-0D8A12BB0E5E}" type="sibTrans" cxnId="{70384860-97E7-436E-8B67-D2EC43298C97}">
      <dgm:prSet/>
      <dgm:spPr/>
      <dgm:t>
        <a:bodyPr/>
        <a:lstStyle/>
        <a:p>
          <a:endParaRPr lang="en-US"/>
        </a:p>
      </dgm:t>
    </dgm:pt>
    <dgm:pt modelId="{F99E4A19-681D-4138-8B44-5EDB2213C1DD}">
      <dgm:prSet phldrT="[Text]"/>
      <dgm:spPr>
        <a:xfrm>
          <a:off x="701119" y="1044059"/>
          <a:ext cx="579313" cy="289656"/>
        </a:xfrm>
        <a:solidFill>
          <a:schemeClr val="accent2">
            <a:lumMod val="75000"/>
          </a:schemeClr>
        </a:solidFill>
        <a:ln w="25400" cap="flat" cmpd="sng" algn="ctr">
          <a:solidFill>
            <a:sysClr val="window" lastClr="FFFFFF">
              <a:hueOff val="0"/>
              <a:satOff val="0"/>
              <a:lumOff val="0"/>
              <a:alphaOff val="0"/>
            </a:sysClr>
          </a:solidFill>
          <a:prstDash val="solid"/>
        </a:ln>
        <a:effectLst/>
      </dgm:spPr>
      <dgm:t>
        <a:bodyPr/>
        <a:lstStyle/>
        <a:p>
          <a:r>
            <a:rPr lang="en-US">
              <a:solidFill>
                <a:sysClr val="window" lastClr="FFFFFF"/>
              </a:solidFill>
              <a:latin typeface="Calibri"/>
              <a:ea typeface="+mn-ea"/>
              <a:cs typeface="+mn-cs"/>
            </a:rPr>
            <a:t>Drejtoria e Përgjithshme e Rregullimit dhe Përputhshmërisë</a:t>
          </a:r>
        </a:p>
      </dgm:t>
    </dgm:pt>
    <dgm:pt modelId="{17C7A4EF-BDF7-4DA1-80A0-D4BC498C86E0}" type="parTrans" cxnId="{0391A512-A750-4ED3-9474-8A2AB9251154}">
      <dgm:prSet/>
      <dgm:spPr>
        <a:xfrm>
          <a:off x="990776" y="922403"/>
          <a:ext cx="1401938" cy="121655"/>
        </a:xfrm>
        <a:noFill/>
        <a:ln w="25400" cap="flat" cmpd="sng" algn="ctr">
          <a:solidFill>
            <a:srgbClr val="4F81BD">
              <a:shade val="80000"/>
              <a:hueOff val="0"/>
              <a:satOff val="0"/>
              <a:lumOff val="0"/>
              <a:alphaOff val="0"/>
            </a:srgbClr>
          </a:solidFill>
          <a:prstDash val="solid"/>
        </a:ln>
        <a:effectLst/>
      </dgm:spPr>
      <dgm:t>
        <a:bodyPr/>
        <a:lstStyle/>
        <a:p>
          <a:endParaRPr lang="en-US"/>
        </a:p>
      </dgm:t>
    </dgm:pt>
    <dgm:pt modelId="{6451CC80-00F0-485E-A3C9-50533C07DE9F}" type="sibTrans" cxnId="{0391A512-A750-4ED3-9474-8A2AB9251154}">
      <dgm:prSet/>
      <dgm:spPr/>
      <dgm:t>
        <a:bodyPr/>
        <a:lstStyle/>
        <a:p>
          <a:endParaRPr lang="en-US"/>
        </a:p>
      </dgm:t>
    </dgm:pt>
    <dgm:pt modelId="{74514112-D00A-43D1-8675-CA5F2316AD99}">
      <dgm:prSet phldrT="[Text]"/>
      <dgm:spPr>
        <a:xfrm>
          <a:off x="4762107" y="632746"/>
          <a:ext cx="579313" cy="289656"/>
        </a:xfrm>
        <a:solidFill>
          <a:schemeClr val="accent3">
            <a:lumMod val="75000"/>
          </a:schemeClr>
        </a:solidFill>
        <a:ln w="25400" cap="flat" cmpd="sng" algn="ctr">
          <a:solidFill>
            <a:sysClr val="window" lastClr="FFFFFF">
              <a:hueOff val="0"/>
              <a:satOff val="0"/>
              <a:lumOff val="0"/>
              <a:alphaOff val="0"/>
            </a:sysClr>
          </a:solidFill>
          <a:prstDash val="solid"/>
        </a:ln>
        <a:effectLst/>
      </dgm:spPr>
      <dgm:t>
        <a:bodyPr/>
        <a:lstStyle/>
        <a:p>
          <a:r>
            <a:rPr lang="en-US">
              <a:solidFill>
                <a:sysClr val="window" lastClr="FFFFFF"/>
              </a:solidFill>
              <a:latin typeface="Calibri"/>
              <a:ea typeface="+mn-ea"/>
              <a:cs typeface="+mn-cs"/>
            </a:rPr>
            <a:t>MFE</a:t>
          </a:r>
        </a:p>
      </dgm:t>
    </dgm:pt>
    <dgm:pt modelId="{3386B365-1CBA-4E65-9F1C-9705897C5371}" type="parTrans" cxnId="{ED62D799-2F72-4509-89D5-27A274570205}">
      <dgm:prSet/>
      <dgm:spPr>
        <a:xfrm>
          <a:off x="3722239" y="511090"/>
          <a:ext cx="1329524" cy="121655"/>
        </a:xfrm>
        <a:noFill/>
        <a:ln w="25400" cap="flat" cmpd="sng" algn="ctr">
          <a:solidFill>
            <a:srgbClr val="4F81BD">
              <a:shade val="60000"/>
              <a:hueOff val="0"/>
              <a:satOff val="0"/>
              <a:lumOff val="0"/>
              <a:alphaOff val="0"/>
            </a:srgbClr>
          </a:solidFill>
          <a:prstDash val="solid"/>
        </a:ln>
        <a:effectLst/>
      </dgm:spPr>
      <dgm:t>
        <a:bodyPr/>
        <a:lstStyle/>
        <a:p>
          <a:endParaRPr lang="en-US"/>
        </a:p>
      </dgm:t>
    </dgm:pt>
    <dgm:pt modelId="{99C9FA97-50C1-4474-A178-98E8BC94B034}" type="sibTrans" cxnId="{ED62D799-2F72-4509-89D5-27A274570205}">
      <dgm:prSet/>
      <dgm:spPr/>
      <dgm:t>
        <a:bodyPr/>
        <a:lstStyle/>
        <a:p>
          <a:endParaRPr lang="en-US"/>
        </a:p>
      </dgm:t>
    </dgm:pt>
    <dgm:pt modelId="{2D8C139E-66CB-4311-8815-5F61B35166FA}">
      <dgm:prSet phldrT="[Text]"/>
      <dgm:spPr>
        <a:xfrm>
          <a:off x="4906935" y="1044059"/>
          <a:ext cx="579313" cy="289656"/>
        </a:xfrm>
        <a:solidFill>
          <a:schemeClr val="accent3">
            <a:lumMod val="75000"/>
          </a:schemeClr>
        </a:solidFill>
        <a:ln w="25400" cap="flat" cmpd="sng" algn="ctr">
          <a:solidFill>
            <a:sysClr val="window" lastClr="FFFFFF">
              <a:hueOff val="0"/>
              <a:satOff val="0"/>
              <a:lumOff val="0"/>
              <a:alphaOff val="0"/>
            </a:sysClr>
          </a:solidFill>
          <a:prstDash val="solid"/>
        </a:ln>
        <a:effectLst/>
      </dgm:spPr>
      <dgm:t>
        <a:bodyPr/>
        <a:lstStyle/>
        <a:p>
          <a:r>
            <a:rPr lang="en-US">
              <a:solidFill>
                <a:sysClr val="window" lastClr="FFFFFF"/>
              </a:solidFill>
              <a:latin typeface="Calibri"/>
              <a:ea typeface="+mn-ea"/>
              <a:cs typeface="+mn-cs"/>
            </a:rPr>
            <a:t>Arsimi dhe Formimi Profesional</a:t>
          </a:r>
        </a:p>
      </dgm:t>
    </dgm:pt>
    <dgm:pt modelId="{7820A719-4FDC-46BF-84B7-07B2F49DA420}" type="parTrans" cxnId="{EF8F33DD-5312-4F0C-B718-3B2E6E1B5DB2}">
      <dgm:prSet/>
      <dgm:spPr>
        <a:xfrm>
          <a:off x="4774318" y="922403"/>
          <a:ext cx="91440" cy="266484"/>
        </a:xfrm>
        <a:noFill/>
        <a:ln w="25400" cap="flat" cmpd="sng" algn="ctr">
          <a:solidFill>
            <a:srgbClr val="4F81BD">
              <a:shade val="80000"/>
              <a:hueOff val="0"/>
              <a:satOff val="0"/>
              <a:lumOff val="0"/>
              <a:alphaOff val="0"/>
            </a:srgbClr>
          </a:solidFill>
          <a:prstDash val="solid"/>
        </a:ln>
        <a:effectLst/>
      </dgm:spPr>
      <dgm:t>
        <a:bodyPr/>
        <a:lstStyle/>
        <a:p>
          <a:endParaRPr lang="en-US"/>
        </a:p>
      </dgm:t>
    </dgm:pt>
    <dgm:pt modelId="{F488F6B2-6E38-477A-90D7-E8B6931DD328}" type="sibTrans" cxnId="{EF8F33DD-5312-4F0C-B718-3B2E6E1B5DB2}">
      <dgm:prSet/>
      <dgm:spPr/>
      <dgm:t>
        <a:bodyPr/>
        <a:lstStyle/>
        <a:p>
          <a:endParaRPr lang="en-US"/>
        </a:p>
      </dgm:t>
    </dgm:pt>
    <dgm:pt modelId="{870E0617-D2FD-4B89-A9C2-1C9C313D493B}">
      <dgm:prSet/>
      <dgm:spPr>
        <a:xfrm>
          <a:off x="1402089" y="1044059"/>
          <a:ext cx="579313" cy="289656"/>
        </a:xfrm>
        <a:solidFill>
          <a:schemeClr val="accent2">
            <a:lumMod val="75000"/>
          </a:schemeClr>
        </a:solidFill>
        <a:ln w="25400" cap="flat" cmpd="sng" algn="ctr">
          <a:solidFill>
            <a:sysClr val="window" lastClr="FFFFFF">
              <a:hueOff val="0"/>
              <a:satOff val="0"/>
              <a:lumOff val="0"/>
              <a:alphaOff val="0"/>
            </a:sysClr>
          </a:solidFill>
          <a:prstDash val="solid"/>
        </a:ln>
        <a:effectLst/>
      </dgm:spPr>
      <dgm:t>
        <a:bodyPr/>
        <a:lstStyle/>
        <a:p>
          <a:r>
            <a:rPr lang="en-US">
              <a:solidFill>
                <a:sysClr val="window" lastClr="FFFFFF"/>
              </a:solidFill>
              <a:latin typeface="Calibri"/>
              <a:ea typeface="+mn-ea"/>
              <a:cs typeface="+mn-cs"/>
            </a:rPr>
            <a:t>Drejtoria e Përgjithshme Ekonomike dhe e Shërbimeve</a:t>
          </a:r>
        </a:p>
      </dgm:t>
    </dgm:pt>
    <dgm:pt modelId="{D240554D-5114-41D2-9644-30EADA467325}" type="parTrans" cxnId="{83A608A2-4D2C-407C-BC43-122063B4E401}">
      <dgm:prSet/>
      <dgm:spPr>
        <a:xfrm>
          <a:off x="1691746" y="922403"/>
          <a:ext cx="700969" cy="121655"/>
        </a:xfrm>
        <a:noFill/>
        <a:ln w="25400" cap="flat" cmpd="sng" algn="ctr">
          <a:solidFill>
            <a:srgbClr val="4F81BD">
              <a:shade val="80000"/>
              <a:hueOff val="0"/>
              <a:satOff val="0"/>
              <a:lumOff val="0"/>
              <a:alphaOff val="0"/>
            </a:srgbClr>
          </a:solidFill>
          <a:prstDash val="solid"/>
        </a:ln>
        <a:effectLst/>
      </dgm:spPr>
      <dgm:t>
        <a:bodyPr/>
        <a:lstStyle/>
        <a:p>
          <a:endParaRPr lang="en-US"/>
        </a:p>
      </dgm:t>
    </dgm:pt>
    <dgm:pt modelId="{474E9B24-D58B-48AD-A5DC-C8AD5F48DB83}" type="sibTrans" cxnId="{83A608A2-4D2C-407C-BC43-122063B4E401}">
      <dgm:prSet/>
      <dgm:spPr/>
      <dgm:t>
        <a:bodyPr/>
        <a:lstStyle/>
        <a:p>
          <a:endParaRPr lang="en-US"/>
        </a:p>
      </dgm:t>
    </dgm:pt>
    <dgm:pt modelId="{8C76AEBB-28D3-4B9D-9BBB-D13168FE7D8D}">
      <dgm:prSet/>
      <dgm:spPr>
        <a:xfrm>
          <a:off x="2103058" y="1044059"/>
          <a:ext cx="579313" cy="289656"/>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US">
              <a:solidFill>
                <a:sysClr val="window" lastClr="FFFFFF"/>
              </a:solidFill>
              <a:latin typeface="Calibri"/>
              <a:ea typeface="+mn-ea"/>
              <a:cs typeface="+mn-cs"/>
            </a:rPr>
            <a:t>Drejtoria e Përgjithshme e Arsimit Parauniversitar</a:t>
          </a:r>
        </a:p>
      </dgm:t>
    </dgm:pt>
    <dgm:pt modelId="{5382D58B-DC3D-4EA4-8557-09B5480CAA7F}" type="parTrans" cxnId="{4F2E766D-2D09-4FB4-BAD9-E2C2B274D3B8}">
      <dgm:prSet/>
      <dgm:spPr>
        <a:xfrm>
          <a:off x="2346995" y="922403"/>
          <a:ext cx="91440" cy="121655"/>
        </a:xfrm>
        <a:noFill/>
        <a:ln w="25400" cap="flat" cmpd="sng" algn="ctr">
          <a:solidFill>
            <a:srgbClr val="4F81BD">
              <a:shade val="80000"/>
              <a:hueOff val="0"/>
              <a:satOff val="0"/>
              <a:lumOff val="0"/>
              <a:alphaOff val="0"/>
            </a:srgbClr>
          </a:solidFill>
          <a:prstDash val="solid"/>
        </a:ln>
        <a:effectLst/>
      </dgm:spPr>
      <dgm:t>
        <a:bodyPr/>
        <a:lstStyle/>
        <a:p>
          <a:endParaRPr lang="en-US"/>
        </a:p>
      </dgm:t>
    </dgm:pt>
    <dgm:pt modelId="{ABC53CA9-58D1-480B-A6F6-C08A3683D903}" type="sibTrans" cxnId="{4F2E766D-2D09-4FB4-BAD9-E2C2B274D3B8}">
      <dgm:prSet/>
      <dgm:spPr/>
      <dgm:t>
        <a:bodyPr/>
        <a:lstStyle/>
        <a:p>
          <a:endParaRPr lang="en-US"/>
        </a:p>
      </dgm:t>
    </dgm:pt>
    <dgm:pt modelId="{48A47006-3337-43F4-8B60-163068B6C1F0}">
      <dgm:prSet/>
      <dgm:spPr>
        <a:xfrm>
          <a:off x="2804027" y="1044059"/>
          <a:ext cx="579313" cy="289656"/>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US">
              <a:solidFill>
                <a:sysClr val="window" lastClr="FFFFFF"/>
              </a:solidFill>
              <a:latin typeface="Calibri"/>
              <a:ea typeface="+mn-ea"/>
              <a:cs typeface="+mn-cs"/>
            </a:rPr>
            <a:t>Agjencitë e specializuara</a:t>
          </a:r>
        </a:p>
      </dgm:t>
    </dgm:pt>
    <dgm:pt modelId="{5385FDD3-D218-482C-99E0-0514F664C514}" type="parTrans" cxnId="{16CC23D5-9C82-49A3-8A75-CED5F6BC757D}">
      <dgm:prSet/>
      <dgm:spPr>
        <a:xfrm>
          <a:off x="2392715" y="922403"/>
          <a:ext cx="700969" cy="121655"/>
        </a:xfrm>
        <a:noFill/>
        <a:ln w="25400" cap="flat" cmpd="sng" algn="ctr">
          <a:solidFill>
            <a:srgbClr val="4F81BD">
              <a:shade val="80000"/>
              <a:hueOff val="0"/>
              <a:satOff val="0"/>
              <a:lumOff val="0"/>
              <a:alphaOff val="0"/>
            </a:srgbClr>
          </a:solidFill>
          <a:prstDash val="solid"/>
        </a:ln>
        <a:effectLst/>
      </dgm:spPr>
      <dgm:t>
        <a:bodyPr/>
        <a:lstStyle/>
        <a:p>
          <a:endParaRPr lang="en-US"/>
        </a:p>
      </dgm:t>
    </dgm:pt>
    <dgm:pt modelId="{D99DBF0C-A157-4439-9F91-9355ED6CCFF9}" type="sibTrans" cxnId="{16CC23D5-9C82-49A3-8A75-CED5F6BC757D}">
      <dgm:prSet/>
      <dgm:spPr/>
      <dgm:t>
        <a:bodyPr/>
        <a:lstStyle/>
        <a:p>
          <a:endParaRPr lang="en-US"/>
        </a:p>
      </dgm:t>
    </dgm:pt>
    <dgm:pt modelId="{45F57E58-09A6-4041-8EA7-6CB95D626D2C}">
      <dgm:prSet/>
      <dgm:spPr>
        <a:xfrm>
          <a:off x="3504997" y="1044059"/>
          <a:ext cx="579313" cy="289656"/>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US">
              <a:solidFill>
                <a:sysClr val="window" lastClr="FFFFFF"/>
              </a:solidFill>
              <a:latin typeface="Calibri"/>
              <a:ea typeface="+mn-ea"/>
              <a:cs typeface="+mn-cs"/>
            </a:rPr>
            <a:t>Agjencite e arsimit të lartë</a:t>
          </a:r>
        </a:p>
      </dgm:t>
    </dgm:pt>
    <dgm:pt modelId="{34488166-48CE-4A4F-A96F-6E8617871BB1}" type="parTrans" cxnId="{45215A64-E9C6-4255-AB3C-392B90535E0D}">
      <dgm:prSet/>
      <dgm:spPr>
        <a:xfrm>
          <a:off x="2392715" y="922403"/>
          <a:ext cx="1401938" cy="121655"/>
        </a:xfrm>
        <a:noFill/>
        <a:ln w="25400" cap="flat" cmpd="sng" algn="ctr">
          <a:solidFill>
            <a:srgbClr val="4F81BD">
              <a:shade val="80000"/>
              <a:hueOff val="0"/>
              <a:satOff val="0"/>
              <a:lumOff val="0"/>
              <a:alphaOff val="0"/>
            </a:srgbClr>
          </a:solidFill>
          <a:prstDash val="solid"/>
        </a:ln>
        <a:effectLst/>
      </dgm:spPr>
      <dgm:t>
        <a:bodyPr/>
        <a:lstStyle/>
        <a:p>
          <a:endParaRPr lang="en-US"/>
        </a:p>
      </dgm:t>
    </dgm:pt>
    <dgm:pt modelId="{2CB6311B-10A7-484C-98C1-008C278B7543}" type="sibTrans" cxnId="{45215A64-E9C6-4255-AB3C-392B90535E0D}">
      <dgm:prSet/>
      <dgm:spPr/>
      <dgm:t>
        <a:bodyPr/>
        <a:lstStyle/>
        <a:p>
          <a:endParaRPr lang="en-US"/>
        </a:p>
      </dgm:t>
    </dgm:pt>
    <dgm:pt modelId="{2C4C0284-3110-44B6-A8E3-C04ECDD253D2}">
      <dgm:prSet custT="1"/>
      <dgm:spPr>
        <a:xfrm>
          <a:off x="2103058" y="1455371"/>
          <a:ext cx="579313" cy="289656"/>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US" sz="400">
              <a:solidFill>
                <a:sysClr val="window" lastClr="FFFFFF"/>
              </a:solidFill>
              <a:latin typeface="Calibri"/>
              <a:ea typeface="+mn-ea"/>
              <a:cs typeface="+mn-cs"/>
            </a:rPr>
            <a:t>Drejtoritë Rajonale të Arsimit Parauniversitar</a:t>
          </a:r>
        </a:p>
        <a:p>
          <a:r>
            <a:rPr lang="en-US" sz="500">
              <a:solidFill>
                <a:sysClr val="window" lastClr="FFFFFF"/>
              </a:solidFill>
              <a:latin typeface="Calibri"/>
              <a:ea typeface="+mn-ea"/>
              <a:cs typeface="+mn-cs"/>
            </a:rPr>
            <a:t>(DRAP) 4</a:t>
          </a:r>
        </a:p>
      </dgm:t>
    </dgm:pt>
    <dgm:pt modelId="{19871646-6BDA-46C4-BF8E-65533C54A1BE}" type="parTrans" cxnId="{CB128F3E-2C5A-41A7-A862-D673DA269755}">
      <dgm:prSet/>
      <dgm:spPr>
        <a:xfrm>
          <a:off x="2346995" y="1333715"/>
          <a:ext cx="91440" cy="121655"/>
        </a:xfrm>
        <a:noFill/>
        <a:ln w="25400" cap="flat" cmpd="sng" algn="ctr">
          <a:solidFill>
            <a:srgbClr val="4F81BD">
              <a:shade val="80000"/>
              <a:hueOff val="0"/>
              <a:satOff val="0"/>
              <a:lumOff val="0"/>
              <a:alphaOff val="0"/>
            </a:srgbClr>
          </a:solidFill>
          <a:prstDash val="solid"/>
        </a:ln>
        <a:effectLst/>
      </dgm:spPr>
      <dgm:t>
        <a:bodyPr/>
        <a:lstStyle/>
        <a:p>
          <a:endParaRPr lang="en-US"/>
        </a:p>
      </dgm:t>
    </dgm:pt>
    <dgm:pt modelId="{0531AD64-1444-4B76-9232-71D1DA6AA04B}" type="sibTrans" cxnId="{CB128F3E-2C5A-41A7-A862-D673DA269755}">
      <dgm:prSet/>
      <dgm:spPr/>
      <dgm:t>
        <a:bodyPr/>
        <a:lstStyle/>
        <a:p>
          <a:endParaRPr lang="en-US"/>
        </a:p>
      </dgm:t>
    </dgm:pt>
    <dgm:pt modelId="{96C78F11-0A52-4945-B96C-62D60770409E}">
      <dgm:prSet/>
      <dgm:spPr>
        <a:xfrm>
          <a:off x="2103058" y="1866684"/>
          <a:ext cx="579313" cy="289656"/>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US">
              <a:solidFill>
                <a:sysClr val="window" lastClr="FFFFFF"/>
              </a:solidFill>
              <a:latin typeface="Calibri"/>
              <a:ea typeface="+mn-ea"/>
              <a:cs typeface="+mn-cs"/>
            </a:rPr>
            <a:t>Zyrat Vendore të Arsimit Parauniversitar (ZVAP)</a:t>
          </a:r>
        </a:p>
        <a:p>
          <a:r>
            <a:rPr lang="en-US">
              <a:solidFill>
                <a:sysClr val="window" lastClr="FFFFFF"/>
              </a:solidFill>
              <a:latin typeface="Calibri"/>
              <a:ea typeface="+mn-ea"/>
              <a:cs typeface="+mn-cs"/>
            </a:rPr>
            <a:t>51</a:t>
          </a:r>
        </a:p>
      </dgm:t>
    </dgm:pt>
    <dgm:pt modelId="{19D852EF-58F1-46B7-B6DD-BB75AA0D3508}" type="parTrans" cxnId="{A4AE71F3-A637-4FC6-8CEC-E46354F59565}">
      <dgm:prSet/>
      <dgm:spPr>
        <a:xfrm>
          <a:off x="2346995" y="1745028"/>
          <a:ext cx="91440" cy="121655"/>
        </a:xfrm>
        <a:noFill/>
        <a:ln w="25400" cap="flat" cmpd="sng" algn="ctr">
          <a:solidFill>
            <a:srgbClr val="4F81BD">
              <a:shade val="80000"/>
              <a:hueOff val="0"/>
              <a:satOff val="0"/>
              <a:lumOff val="0"/>
              <a:alphaOff val="0"/>
            </a:srgbClr>
          </a:solidFill>
          <a:prstDash val="solid"/>
        </a:ln>
        <a:effectLst/>
      </dgm:spPr>
      <dgm:t>
        <a:bodyPr/>
        <a:lstStyle/>
        <a:p>
          <a:endParaRPr lang="en-US"/>
        </a:p>
      </dgm:t>
    </dgm:pt>
    <dgm:pt modelId="{E8D4D2FD-22B3-41B2-8DBC-618DCF0C909A}" type="sibTrans" cxnId="{A4AE71F3-A637-4FC6-8CEC-E46354F59565}">
      <dgm:prSet/>
      <dgm:spPr/>
      <dgm:t>
        <a:bodyPr/>
        <a:lstStyle/>
        <a:p>
          <a:endParaRPr lang="en-US"/>
        </a:p>
      </dgm:t>
    </dgm:pt>
    <dgm:pt modelId="{FF4AE096-A190-4A87-B477-1D3B92F6B5B9}">
      <dgm:prSet/>
      <dgm:spPr>
        <a:xfrm>
          <a:off x="2948856" y="1866684"/>
          <a:ext cx="579313" cy="289656"/>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US">
              <a:solidFill>
                <a:sysClr val="window" lastClr="FFFFFF"/>
              </a:solidFill>
              <a:latin typeface="Calibri"/>
              <a:ea typeface="+mn-ea"/>
              <a:cs typeface="+mn-cs"/>
            </a:rPr>
            <a:t>Qendra e Shërbimeve Arsimore (QShA)</a:t>
          </a:r>
        </a:p>
      </dgm:t>
    </dgm:pt>
    <dgm:pt modelId="{B0B561F6-E960-4BC7-AA02-76D374F4783A}" type="parTrans" cxnId="{500E2BC2-7063-4441-8282-CC20E3E22D3A}">
      <dgm:prSet/>
      <dgm:spPr>
        <a:xfrm>
          <a:off x="2816239" y="1333715"/>
          <a:ext cx="91440" cy="677796"/>
        </a:xfrm>
        <a:noFill/>
        <a:ln w="25400" cap="flat" cmpd="sng" algn="ctr">
          <a:solidFill>
            <a:srgbClr val="4F81BD">
              <a:shade val="80000"/>
              <a:hueOff val="0"/>
              <a:satOff val="0"/>
              <a:lumOff val="0"/>
              <a:alphaOff val="0"/>
            </a:srgbClr>
          </a:solidFill>
          <a:prstDash val="solid"/>
        </a:ln>
        <a:effectLst/>
      </dgm:spPr>
      <dgm:t>
        <a:bodyPr/>
        <a:lstStyle/>
        <a:p>
          <a:endParaRPr lang="en-US"/>
        </a:p>
      </dgm:t>
    </dgm:pt>
    <dgm:pt modelId="{7152F839-D971-4BDC-B1E0-54B0279940D7}" type="sibTrans" cxnId="{500E2BC2-7063-4441-8282-CC20E3E22D3A}">
      <dgm:prSet/>
      <dgm:spPr/>
      <dgm:t>
        <a:bodyPr/>
        <a:lstStyle/>
        <a:p>
          <a:endParaRPr lang="en-US"/>
        </a:p>
      </dgm:t>
    </dgm:pt>
    <dgm:pt modelId="{A41E8A2B-929D-4718-AEFE-606AE345052D}">
      <dgm:prSet/>
      <dgm:spPr>
        <a:xfrm>
          <a:off x="2948856" y="1455371"/>
          <a:ext cx="579313" cy="289656"/>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US">
              <a:solidFill>
                <a:sysClr val="window" lastClr="FFFFFF"/>
              </a:solidFill>
              <a:latin typeface="Calibri"/>
              <a:ea typeface="+mn-ea"/>
              <a:cs typeface="+mn-cs"/>
            </a:rPr>
            <a:t>Agjencia e Sigurimit të Cilësisë në Arsimin Parauniversitar (ASCAP)</a:t>
          </a:r>
        </a:p>
      </dgm:t>
    </dgm:pt>
    <dgm:pt modelId="{F41C737C-A92B-4503-A37A-EAB793DAD9BB}" type="parTrans" cxnId="{AEBB6FA8-0EED-42BB-9813-1D76C0C3DDF0}">
      <dgm:prSet/>
      <dgm:spPr>
        <a:xfrm>
          <a:off x="2816239" y="1333715"/>
          <a:ext cx="91440" cy="266484"/>
        </a:xfrm>
        <a:noFill/>
        <a:ln w="25400" cap="flat" cmpd="sng" algn="ctr">
          <a:solidFill>
            <a:srgbClr val="4F81BD">
              <a:shade val="80000"/>
              <a:hueOff val="0"/>
              <a:satOff val="0"/>
              <a:lumOff val="0"/>
              <a:alphaOff val="0"/>
            </a:srgbClr>
          </a:solidFill>
          <a:prstDash val="solid"/>
        </a:ln>
        <a:effectLst/>
      </dgm:spPr>
      <dgm:t>
        <a:bodyPr/>
        <a:lstStyle/>
        <a:p>
          <a:endParaRPr lang="en-US"/>
        </a:p>
      </dgm:t>
    </dgm:pt>
    <dgm:pt modelId="{4516C9EB-4BB5-4C03-BB1E-4D8476A04EE3}" type="sibTrans" cxnId="{AEBB6FA8-0EED-42BB-9813-1D76C0C3DDF0}">
      <dgm:prSet/>
      <dgm:spPr/>
      <dgm:t>
        <a:bodyPr/>
        <a:lstStyle/>
        <a:p>
          <a:endParaRPr lang="en-US"/>
        </a:p>
      </dgm:t>
    </dgm:pt>
    <dgm:pt modelId="{C0D3E0A7-9DF9-4A8E-8216-D2BC65031493}">
      <dgm:prSet/>
      <dgm:spPr>
        <a:xfrm>
          <a:off x="2948856" y="2277996"/>
          <a:ext cx="579313" cy="289656"/>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US">
              <a:solidFill>
                <a:sysClr val="window" lastClr="FFFFFF"/>
              </a:solidFill>
              <a:latin typeface="Calibri"/>
              <a:ea typeface="+mn-ea"/>
              <a:cs typeface="+mn-cs"/>
            </a:rPr>
            <a:t>Shkolla e Drejtorëve</a:t>
          </a:r>
        </a:p>
      </dgm:t>
    </dgm:pt>
    <dgm:pt modelId="{C0D8EA86-E89D-4CF1-91F4-1611324C6BC9}" type="parTrans" cxnId="{941CA2F3-C025-4E88-93B9-3ABDB174168B}">
      <dgm:prSet/>
      <dgm:spPr>
        <a:xfrm>
          <a:off x="2816239" y="1333715"/>
          <a:ext cx="91440" cy="1089109"/>
        </a:xfrm>
        <a:noFill/>
        <a:ln w="25400" cap="flat" cmpd="sng" algn="ctr">
          <a:solidFill>
            <a:srgbClr val="4F81BD">
              <a:shade val="80000"/>
              <a:hueOff val="0"/>
              <a:satOff val="0"/>
              <a:lumOff val="0"/>
              <a:alphaOff val="0"/>
            </a:srgbClr>
          </a:solidFill>
          <a:prstDash val="solid"/>
        </a:ln>
        <a:effectLst/>
      </dgm:spPr>
      <dgm:t>
        <a:bodyPr/>
        <a:lstStyle/>
        <a:p>
          <a:endParaRPr lang="en-US"/>
        </a:p>
      </dgm:t>
    </dgm:pt>
    <dgm:pt modelId="{9DF36267-4792-4B5A-A12D-7E8D300D306A}" type="sibTrans" cxnId="{941CA2F3-C025-4E88-93B9-3ABDB174168B}">
      <dgm:prSet/>
      <dgm:spPr/>
      <dgm:t>
        <a:bodyPr/>
        <a:lstStyle/>
        <a:p>
          <a:endParaRPr lang="en-US"/>
        </a:p>
      </dgm:t>
    </dgm:pt>
    <dgm:pt modelId="{141E391F-5241-4184-AB51-AE9DCAE9FE7D}">
      <dgm:prSet/>
      <dgm:spPr>
        <a:xfrm>
          <a:off x="2247886" y="2277996"/>
          <a:ext cx="579313" cy="289656"/>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US">
              <a:solidFill>
                <a:sysClr val="window" lastClr="FFFFFF"/>
              </a:solidFill>
              <a:latin typeface="Calibri"/>
              <a:ea typeface="+mn-ea"/>
              <a:cs typeface="+mn-cs"/>
            </a:rPr>
            <a:t>Shkollat</a:t>
          </a:r>
        </a:p>
      </dgm:t>
    </dgm:pt>
    <dgm:pt modelId="{B2B06D30-E6B1-4540-B63B-B9E5C49BF82F}" type="parTrans" cxnId="{22E4C3DC-94E7-4EE7-86DB-23383A98EC3E}">
      <dgm:prSet/>
      <dgm:spPr>
        <a:xfrm>
          <a:off x="2115269" y="2156340"/>
          <a:ext cx="91440" cy="266484"/>
        </a:xfrm>
        <a:noFill/>
        <a:ln w="25400" cap="flat" cmpd="sng" algn="ctr">
          <a:solidFill>
            <a:srgbClr val="4F81BD">
              <a:shade val="80000"/>
              <a:hueOff val="0"/>
              <a:satOff val="0"/>
              <a:lumOff val="0"/>
              <a:alphaOff val="0"/>
            </a:srgbClr>
          </a:solidFill>
          <a:prstDash val="solid"/>
        </a:ln>
        <a:effectLst/>
      </dgm:spPr>
      <dgm:t>
        <a:bodyPr/>
        <a:lstStyle/>
        <a:p>
          <a:endParaRPr lang="en-US"/>
        </a:p>
      </dgm:t>
    </dgm:pt>
    <dgm:pt modelId="{569BFB23-FDF0-4F05-A166-B10A86DFD22D}" type="sibTrans" cxnId="{22E4C3DC-94E7-4EE7-86DB-23383A98EC3E}">
      <dgm:prSet/>
      <dgm:spPr/>
      <dgm:t>
        <a:bodyPr/>
        <a:lstStyle/>
        <a:p>
          <a:endParaRPr lang="en-US"/>
        </a:p>
      </dgm:t>
    </dgm:pt>
    <dgm:pt modelId="{1762E816-BD25-45E1-A9AE-EE9D42D3DF60}">
      <dgm:prSet/>
      <dgm:spPr>
        <a:xfrm>
          <a:off x="3649825" y="1455371"/>
          <a:ext cx="579313" cy="289656"/>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US">
              <a:solidFill>
                <a:sysClr val="window" lastClr="FFFFFF"/>
              </a:solidFill>
              <a:latin typeface="Calibri"/>
              <a:ea typeface="+mn-ea"/>
              <a:cs typeface="+mn-cs"/>
            </a:rPr>
            <a:t>Agjencisë Kombëtare e Financimit të Arsimit të Lartë (AKFAL)</a:t>
          </a:r>
        </a:p>
      </dgm:t>
    </dgm:pt>
    <dgm:pt modelId="{80FD7765-67B9-4519-BD65-9809827C9302}" type="parTrans" cxnId="{3D00239F-B0FC-4DE3-849D-B9AD7A7E6D78}">
      <dgm:prSet/>
      <dgm:spPr>
        <a:xfrm>
          <a:off x="3517208" y="1333715"/>
          <a:ext cx="91440" cy="266484"/>
        </a:xfrm>
        <a:noFill/>
        <a:ln w="25400" cap="flat" cmpd="sng" algn="ctr">
          <a:solidFill>
            <a:srgbClr val="4F81BD">
              <a:shade val="80000"/>
              <a:hueOff val="0"/>
              <a:satOff val="0"/>
              <a:lumOff val="0"/>
              <a:alphaOff val="0"/>
            </a:srgbClr>
          </a:solidFill>
          <a:prstDash val="solid"/>
        </a:ln>
        <a:effectLst/>
      </dgm:spPr>
      <dgm:t>
        <a:bodyPr/>
        <a:lstStyle/>
        <a:p>
          <a:endParaRPr lang="en-US"/>
        </a:p>
      </dgm:t>
    </dgm:pt>
    <dgm:pt modelId="{7E30C9BD-7AB8-4D61-934E-77378AEDAFBA}" type="sibTrans" cxnId="{3D00239F-B0FC-4DE3-849D-B9AD7A7E6D78}">
      <dgm:prSet/>
      <dgm:spPr/>
      <dgm:t>
        <a:bodyPr/>
        <a:lstStyle/>
        <a:p>
          <a:endParaRPr lang="en-US"/>
        </a:p>
      </dgm:t>
    </dgm:pt>
    <dgm:pt modelId="{E542C0B9-EC69-4AC8-AFAB-E4A3AEF78264}">
      <dgm:prSet/>
      <dgm:spPr>
        <a:xfrm>
          <a:off x="3641941" y="1889694"/>
          <a:ext cx="579313" cy="289656"/>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US">
              <a:solidFill>
                <a:sysClr val="window" lastClr="FFFFFF"/>
              </a:solidFill>
              <a:latin typeface="Calibri"/>
              <a:ea typeface="+mn-ea"/>
              <a:cs typeface="+mn-cs"/>
            </a:rPr>
            <a:t>Agjencia e Sigurimit të Cilësisë në AL (ASCAL)</a:t>
          </a:r>
        </a:p>
      </dgm:t>
    </dgm:pt>
    <dgm:pt modelId="{E8B7E075-F6B5-4B47-B1D2-9123BCDA7D67}" type="parTrans" cxnId="{018C0EE4-A3BC-4B19-916C-E473ABB57B76}">
      <dgm:prSet/>
      <dgm:spPr>
        <a:xfrm>
          <a:off x="3517208" y="1333715"/>
          <a:ext cx="91440" cy="700807"/>
        </a:xfrm>
        <a:noFill/>
        <a:ln w="25400" cap="flat" cmpd="sng" algn="ctr">
          <a:solidFill>
            <a:srgbClr val="4F81BD">
              <a:shade val="80000"/>
              <a:hueOff val="0"/>
              <a:satOff val="0"/>
              <a:lumOff val="0"/>
              <a:alphaOff val="0"/>
            </a:srgbClr>
          </a:solidFill>
          <a:prstDash val="solid"/>
        </a:ln>
        <a:effectLst/>
      </dgm:spPr>
      <dgm:t>
        <a:bodyPr/>
        <a:lstStyle/>
        <a:p>
          <a:endParaRPr lang="en-US"/>
        </a:p>
      </dgm:t>
    </dgm:pt>
    <dgm:pt modelId="{66EFDEFF-78BC-4429-9713-B17918884CD0}" type="sibTrans" cxnId="{018C0EE4-A3BC-4B19-916C-E473ABB57B76}">
      <dgm:prSet/>
      <dgm:spPr/>
      <dgm:t>
        <a:bodyPr/>
        <a:lstStyle/>
        <a:p>
          <a:endParaRPr lang="en-US"/>
        </a:p>
      </dgm:t>
    </dgm:pt>
    <dgm:pt modelId="{3F32FAF9-72CC-4E86-B1D7-522E68F6D157}">
      <dgm:prSet/>
      <dgm:spPr>
        <a:xfrm>
          <a:off x="3634062" y="2262230"/>
          <a:ext cx="579313" cy="289656"/>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US" b="0" i="0">
              <a:solidFill>
                <a:sysClr val="window" lastClr="FFFFFF"/>
              </a:solidFill>
              <a:latin typeface="Calibri"/>
              <a:ea typeface="+mn-ea"/>
              <a:cs typeface="+mn-cs"/>
            </a:rPr>
            <a:t>Agjencia Kombëtare e Kërkimit Shkencor dhe Inovaconit (AKKSHI)</a:t>
          </a:r>
          <a:endParaRPr lang="en-US">
            <a:solidFill>
              <a:sysClr val="window" lastClr="FFFFFF"/>
            </a:solidFill>
            <a:latin typeface="Calibri"/>
            <a:ea typeface="+mn-ea"/>
            <a:cs typeface="+mn-cs"/>
          </a:endParaRPr>
        </a:p>
      </dgm:t>
    </dgm:pt>
    <dgm:pt modelId="{E58BB5C1-A366-45B4-9A77-8800E954EB7B}" type="parTrans" cxnId="{1FC6F200-086E-4F74-983A-EE3C63366DDE}">
      <dgm:prSet/>
      <dgm:spPr>
        <a:xfrm>
          <a:off x="3517208" y="1333715"/>
          <a:ext cx="91440" cy="1073343"/>
        </a:xfrm>
        <a:noFill/>
        <a:ln w="25400" cap="flat" cmpd="sng" algn="ctr">
          <a:solidFill>
            <a:srgbClr val="4F81BD">
              <a:shade val="80000"/>
              <a:hueOff val="0"/>
              <a:satOff val="0"/>
              <a:lumOff val="0"/>
              <a:alphaOff val="0"/>
            </a:srgbClr>
          </a:solidFill>
          <a:prstDash val="solid"/>
        </a:ln>
        <a:effectLst/>
      </dgm:spPr>
      <dgm:t>
        <a:bodyPr/>
        <a:lstStyle/>
        <a:p>
          <a:endParaRPr lang="en-US"/>
        </a:p>
      </dgm:t>
    </dgm:pt>
    <dgm:pt modelId="{BE4DD948-479D-4A01-95BF-9237BB6541E3}" type="sibTrans" cxnId="{1FC6F200-086E-4F74-983A-EE3C63366DDE}">
      <dgm:prSet/>
      <dgm:spPr/>
      <dgm:t>
        <a:bodyPr/>
        <a:lstStyle/>
        <a:p>
          <a:endParaRPr lang="en-US"/>
        </a:p>
      </dgm:t>
    </dgm:pt>
    <dgm:pt modelId="{A7D1F7EC-DC20-40F0-9B59-4297D2C337BC}">
      <dgm:prSet/>
      <dgm:spPr>
        <a:xfrm>
          <a:off x="4205966" y="1044059"/>
          <a:ext cx="579313" cy="289656"/>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US">
              <a:solidFill>
                <a:sysClr val="window" lastClr="FFFFFF"/>
              </a:solidFill>
              <a:latin typeface="Calibri"/>
              <a:ea typeface="+mn-ea"/>
              <a:cs typeface="+mn-cs"/>
            </a:rPr>
            <a:t>Institucionet e arsimit të lartë</a:t>
          </a:r>
        </a:p>
      </dgm:t>
    </dgm:pt>
    <dgm:pt modelId="{BB472C5A-716A-4AC4-A89A-13834C587DDB}" type="parTrans" cxnId="{EF8F140D-865E-4A23-90F7-107579757850}">
      <dgm:prSet/>
      <dgm:spPr>
        <a:xfrm>
          <a:off x="2392715" y="922403"/>
          <a:ext cx="2102907" cy="121655"/>
        </a:xfrm>
        <a:noFill/>
        <a:ln w="25400" cap="flat" cmpd="sng" algn="ctr">
          <a:solidFill>
            <a:srgbClr val="4F81BD">
              <a:shade val="80000"/>
              <a:hueOff val="0"/>
              <a:satOff val="0"/>
              <a:lumOff val="0"/>
              <a:alphaOff val="0"/>
            </a:srgbClr>
          </a:solidFill>
          <a:prstDash val="solid"/>
        </a:ln>
        <a:effectLst/>
      </dgm:spPr>
      <dgm:t>
        <a:bodyPr/>
        <a:lstStyle/>
        <a:p>
          <a:endParaRPr lang="en-US"/>
        </a:p>
      </dgm:t>
    </dgm:pt>
    <dgm:pt modelId="{108A90C0-F826-441B-8E24-7CD12D01D418}" type="sibTrans" cxnId="{EF8F140D-865E-4A23-90F7-107579757850}">
      <dgm:prSet/>
      <dgm:spPr/>
      <dgm:t>
        <a:bodyPr/>
        <a:lstStyle/>
        <a:p>
          <a:endParaRPr lang="en-US"/>
        </a:p>
      </dgm:t>
    </dgm:pt>
    <dgm:pt modelId="{00076602-F1EE-4997-9B5D-FB3EFE437518}">
      <dgm:prSet/>
      <dgm:spPr>
        <a:xfrm>
          <a:off x="3649825" y="2689309"/>
          <a:ext cx="579313" cy="289656"/>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US">
              <a:solidFill>
                <a:sysClr val="window" lastClr="FFFFFF"/>
              </a:solidFill>
              <a:latin typeface="Calibri"/>
              <a:ea typeface="+mn-ea"/>
              <a:cs typeface="+mn-cs"/>
            </a:rPr>
            <a:t>Rrjeti Akademik Shqiptar (RASH)</a:t>
          </a:r>
        </a:p>
      </dgm:t>
    </dgm:pt>
    <dgm:pt modelId="{78579B32-1A5A-469F-9F9F-5DE5A7AD72CC}" type="parTrans" cxnId="{FC867488-8502-48C3-9149-5B3CE37D7943}">
      <dgm:prSet/>
      <dgm:spPr>
        <a:xfrm>
          <a:off x="3517208" y="1333715"/>
          <a:ext cx="91440" cy="1500421"/>
        </a:xfrm>
        <a:noFill/>
        <a:ln w="25400" cap="flat" cmpd="sng" algn="ctr">
          <a:solidFill>
            <a:srgbClr val="4F81BD">
              <a:shade val="80000"/>
              <a:hueOff val="0"/>
              <a:satOff val="0"/>
              <a:lumOff val="0"/>
              <a:alphaOff val="0"/>
            </a:srgbClr>
          </a:solidFill>
          <a:prstDash val="solid"/>
        </a:ln>
        <a:effectLst/>
      </dgm:spPr>
      <dgm:t>
        <a:bodyPr/>
        <a:lstStyle/>
        <a:p>
          <a:endParaRPr lang="en-US"/>
        </a:p>
      </dgm:t>
    </dgm:pt>
    <dgm:pt modelId="{2B170388-0883-4498-8B11-16663D60615F}" type="sibTrans" cxnId="{FC867488-8502-48C3-9149-5B3CE37D7943}">
      <dgm:prSet/>
      <dgm:spPr/>
      <dgm:t>
        <a:bodyPr/>
        <a:lstStyle/>
        <a:p>
          <a:endParaRPr lang="en-US"/>
        </a:p>
      </dgm:t>
    </dgm:pt>
    <dgm:pt modelId="{165E279E-AE7B-48AD-A288-C681C8BBFC11}" type="pres">
      <dgm:prSet presAssocID="{6B7DD24F-5A05-4E04-9FBA-FF1E1EE83E4D}" presName="hierChild1" presStyleCnt="0">
        <dgm:presLayoutVars>
          <dgm:orgChart val="1"/>
          <dgm:chPref val="1"/>
          <dgm:dir/>
          <dgm:animOne val="branch"/>
          <dgm:animLvl val="lvl"/>
          <dgm:resizeHandles/>
        </dgm:presLayoutVars>
      </dgm:prSet>
      <dgm:spPr/>
    </dgm:pt>
    <dgm:pt modelId="{0C13629E-7B31-4104-919F-570A17E47707}" type="pres">
      <dgm:prSet presAssocID="{FC3A3050-A7C1-4BE0-A600-8491D254D481}" presName="hierRoot1" presStyleCnt="0">
        <dgm:presLayoutVars>
          <dgm:hierBranch val="init"/>
        </dgm:presLayoutVars>
      </dgm:prSet>
      <dgm:spPr/>
    </dgm:pt>
    <dgm:pt modelId="{7A84BAD0-E19B-4D7C-A726-4A8628FFC6A4}" type="pres">
      <dgm:prSet presAssocID="{FC3A3050-A7C1-4BE0-A600-8491D254D481}" presName="rootComposite1" presStyleCnt="0"/>
      <dgm:spPr/>
    </dgm:pt>
    <dgm:pt modelId="{48E185D4-A032-430A-A5F3-B4D9399D2EEB}" type="pres">
      <dgm:prSet presAssocID="{FC3A3050-A7C1-4BE0-A600-8491D254D481}" presName="rootText1" presStyleLbl="node0" presStyleIdx="0" presStyleCnt="1">
        <dgm:presLayoutVars>
          <dgm:chPref val="3"/>
        </dgm:presLayoutVars>
      </dgm:prSet>
      <dgm:spPr>
        <a:prstGeom prst="rect">
          <a:avLst/>
        </a:prstGeom>
      </dgm:spPr>
    </dgm:pt>
    <dgm:pt modelId="{CC14CFEE-3E28-47BA-863F-C23E3DDEA2B5}" type="pres">
      <dgm:prSet presAssocID="{FC3A3050-A7C1-4BE0-A600-8491D254D481}" presName="rootConnector1" presStyleLbl="node1" presStyleIdx="0" presStyleCnt="0"/>
      <dgm:spPr/>
    </dgm:pt>
    <dgm:pt modelId="{CD6973D2-6746-41B2-B080-56E3350D2CDE}" type="pres">
      <dgm:prSet presAssocID="{FC3A3050-A7C1-4BE0-A600-8491D254D481}" presName="hierChild2" presStyleCnt="0"/>
      <dgm:spPr/>
    </dgm:pt>
    <dgm:pt modelId="{A8940E91-4049-423D-956C-AB9D4F04B94A}" type="pres">
      <dgm:prSet presAssocID="{6193CE9C-C3A4-4707-8263-24156AF2A9F0}" presName="Name37" presStyleLbl="parChTrans1D2" presStyleIdx="0" presStyleCnt="2"/>
      <dgm:spPr>
        <a:custGeom>
          <a:avLst/>
          <a:gdLst/>
          <a:ahLst/>
          <a:cxnLst/>
          <a:rect l="0" t="0" r="0" b="0"/>
          <a:pathLst>
            <a:path>
              <a:moveTo>
                <a:pt x="1329524" y="0"/>
              </a:moveTo>
              <a:lnTo>
                <a:pt x="1329524" y="60827"/>
              </a:lnTo>
              <a:lnTo>
                <a:pt x="0" y="60827"/>
              </a:lnTo>
              <a:lnTo>
                <a:pt x="0" y="121655"/>
              </a:lnTo>
            </a:path>
          </a:pathLst>
        </a:custGeom>
      </dgm:spPr>
    </dgm:pt>
    <dgm:pt modelId="{2FE7E791-037D-442D-883F-D1514983278A}" type="pres">
      <dgm:prSet presAssocID="{46810BFF-CE13-4BD7-A791-4A26C1D7F4E6}" presName="hierRoot2" presStyleCnt="0">
        <dgm:presLayoutVars>
          <dgm:hierBranch val="init"/>
        </dgm:presLayoutVars>
      </dgm:prSet>
      <dgm:spPr/>
    </dgm:pt>
    <dgm:pt modelId="{5A0E8731-70BE-4953-8CFD-1B867F17A524}" type="pres">
      <dgm:prSet presAssocID="{46810BFF-CE13-4BD7-A791-4A26C1D7F4E6}" presName="rootComposite" presStyleCnt="0"/>
      <dgm:spPr/>
    </dgm:pt>
    <dgm:pt modelId="{000CD497-B96C-405C-9560-94DF0374ACE4}" type="pres">
      <dgm:prSet presAssocID="{46810BFF-CE13-4BD7-A791-4A26C1D7F4E6}" presName="rootText" presStyleLbl="node2" presStyleIdx="0" presStyleCnt="2">
        <dgm:presLayoutVars>
          <dgm:chPref val="3"/>
        </dgm:presLayoutVars>
      </dgm:prSet>
      <dgm:spPr>
        <a:prstGeom prst="rect">
          <a:avLst/>
        </a:prstGeom>
      </dgm:spPr>
    </dgm:pt>
    <dgm:pt modelId="{1FFC5953-E83B-4A81-8C9A-9490B3C0A180}" type="pres">
      <dgm:prSet presAssocID="{46810BFF-CE13-4BD7-A791-4A26C1D7F4E6}" presName="rootConnector" presStyleLbl="node2" presStyleIdx="0" presStyleCnt="2"/>
      <dgm:spPr/>
    </dgm:pt>
    <dgm:pt modelId="{7912F754-F0B1-41B3-A1BB-33C3AF4763D6}" type="pres">
      <dgm:prSet presAssocID="{46810BFF-CE13-4BD7-A791-4A26C1D7F4E6}" presName="hierChild4" presStyleCnt="0"/>
      <dgm:spPr/>
    </dgm:pt>
    <dgm:pt modelId="{B2250695-09B9-4089-B2BA-A9B71248890F}" type="pres">
      <dgm:prSet presAssocID="{AE3DE834-98DE-4792-B784-5DAF926AA5C3}" presName="Name37" presStyleLbl="parChTrans1D3" presStyleIdx="0" presStyleCnt="8"/>
      <dgm:spPr>
        <a:custGeom>
          <a:avLst/>
          <a:gdLst/>
          <a:ahLst/>
          <a:cxnLst/>
          <a:rect l="0" t="0" r="0" b="0"/>
          <a:pathLst>
            <a:path>
              <a:moveTo>
                <a:pt x="2102907" y="0"/>
              </a:moveTo>
              <a:lnTo>
                <a:pt x="2102907" y="60827"/>
              </a:lnTo>
              <a:lnTo>
                <a:pt x="0" y="60827"/>
              </a:lnTo>
              <a:lnTo>
                <a:pt x="0" y="121655"/>
              </a:lnTo>
            </a:path>
          </a:pathLst>
        </a:custGeom>
      </dgm:spPr>
    </dgm:pt>
    <dgm:pt modelId="{A8DA2E0A-4804-4825-B9D7-DC716FA4EAB9}" type="pres">
      <dgm:prSet presAssocID="{DED0F1AC-0712-4D5D-AEEA-C6FBB4AB453D}" presName="hierRoot2" presStyleCnt="0">
        <dgm:presLayoutVars>
          <dgm:hierBranch val="init"/>
        </dgm:presLayoutVars>
      </dgm:prSet>
      <dgm:spPr/>
    </dgm:pt>
    <dgm:pt modelId="{ACC3B6CB-6916-49D0-BC9D-2345B0088FAE}" type="pres">
      <dgm:prSet presAssocID="{DED0F1AC-0712-4D5D-AEEA-C6FBB4AB453D}" presName="rootComposite" presStyleCnt="0"/>
      <dgm:spPr/>
    </dgm:pt>
    <dgm:pt modelId="{83DE890F-5C60-4353-866F-6D9E85F72884}" type="pres">
      <dgm:prSet presAssocID="{DED0F1AC-0712-4D5D-AEEA-C6FBB4AB453D}" presName="rootText" presStyleLbl="node3" presStyleIdx="0" presStyleCnt="8">
        <dgm:presLayoutVars>
          <dgm:chPref val="3"/>
        </dgm:presLayoutVars>
      </dgm:prSet>
      <dgm:spPr>
        <a:prstGeom prst="rect">
          <a:avLst/>
        </a:prstGeom>
      </dgm:spPr>
    </dgm:pt>
    <dgm:pt modelId="{F0E84620-5398-4414-8225-AAD7477830D1}" type="pres">
      <dgm:prSet presAssocID="{DED0F1AC-0712-4D5D-AEEA-C6FBB4AB453D}" presName="rootConnector" presStyleLbl="node3" presStyleIdx="0" presStyleCnt="8"/>
      <dgm:spPr/>
    </dgm:pt>
    <dgm:pt modelId="{1D38AD1C-C7E2-4E1D-BB57-8771520751DA}" type="pres">
      <dgm:prSet presAssocID="{DED0F1AC-0712-4D5D-AEEA-C6FBB4AB453D}" presName="hierChild4" presStyleCnt="0"/>
      <dgm:spPr/>
    </dgm:pt>
    <dgm:pt modelId="{A9B9DEB2-AB6D-4356-9D84-8736E4BFF21E}" type="pres">
      <dgm:prSet presAssocID="{DED0F1AC-0712-4D5D-AEEA-C6FBB4AB453D}" presName="hierChild5" presStyleCnt="0"/>
      <dgm:spPr/>
    </dgm:pt>
    <dgm:pt modelId="{9C73BEF0-862F-416F-BFA3-99888E0B955F}" type="pres">
      <dgm:prSet presAssocID="{17C7A4EF-BDF7-4DA1-80A0-D4BC498C86E0}" presName="Name37" presStyleLbl="parChTrans1D3" presStyleIdx="1" presStyleCnt="8"/>
      <dgm:spPr>
        <a:custGeom>
          <a:avLst/>
          <a:gdLst/>
          <a:ahLst/>
          <a:cxnLst/>
          <a:rect l="0" t="0" r="0" b="0"/>
          <a:pathLst>
            <a:path>
              <a:moveTo>
                <a:pt x="1401938" y="0"/>
              </a:moveTo>
              <a:lnTo>
                <a:pt x="1401938" y="60827"/>
              </a:lnTo>
              <a:lnTo>
                <a:pt x="0" y="60827"/>
              </a:lnTo>
              <a:lnTo>
                <a:pt x="0" y="121655"/>
              </a:lnTo>
            </a:path>
          </a:pathLst>
        </a:custGeom>
      </dgm:spPr>
    </dgm:pt>
    <dgm:pt modelId="{E7A48F1D-6285-4191-993C-DC2FC28D580C}" type="pres">
      <dgm:prSet presAssocID="{F99E4A19-681D-4138-8B44-5EDB2213C1DD}" presName="hierRoot2" presStyleCnt="0">
        <dgm:presLayoutVars>
          <dgm:hierBranch val="init"/>
        </dgm:presLayoutVars>
      </dgm:prSet>
      <dgm:spPr/>
    </dgm:pt>
    <dgm:pt modelId="{423FF653-7F5F-41D1-898C-D3CFA736F27F}" type="pres">
      <dgm:prSet presAssocID="{F99E4A19-681D-4138-8B44-5EDB2213C1DD}" presName="rootComposite" presStyleCnt="0"/>
      <dgm:spPr/>
    </dgm:pt>
    <dgm:pt modelId="{C95F42E0-BFB5-4906-83A2-90D5885C47DD}" type="pres">
      <dgm:prSet presAssocID="{F99E4A19-681D-4138-8B44-5EDB2213C1DD}" presName="rootText" presStyleLbl="node3" presStyleIdx="1" presStyleCnt="8">
        <dgm:presLayoutVars>
          <dgm:chPref val="3"/>
        </dgm:presLayoutVars>
      </dgm:prSet>
      <dgm:spPr>
        <a:prstGeom prst="rect">
          <a:avLst/>
        </a:prstGeom>
      </dgm:spPr>
    </dgm:pt>
    <dgm:pt modelId="{BE283A1E-9910-479E-B4F1-F446385AB45C}" type="pres">
      <dgm:prSet presAssocID="{F99E4A19-681D-4138-8B44-5EDB2213C1DD}" presName="rootConnector" presStyleLbl="node3" presStyleIdx="1" presStyleCnt="8"/>
      <dgm:spPr/>
    </dgm:pt>
    <dgm:pt modelId="{90DD31BC-5927-4229-AD7D-A03F8B9BAA51}" type="pres">
      <dgm:prSet presAssocID="{F99E4A19-681D-4138-8B44-5EDB2213C1DD}" presName="hierChild4" presStyleCnt="0"/>
      <dgm:spPr/>
    </dgm:pt>
    <dgm:pt modelId="{FC62A9E9-D1B8-4ADF-B93D-D638B507F381}" type="pres">
      <dgm:prSet presAssocID="{F99E4A19-681D-4138-8B44-5EDB2213C1DD}" presName="hierChild5" presStyleCnt="0"/>
      <dgm:spPr/>
    </dgm:pt>
    <dgm:pt modelId="{922F25D4-455D-4FE0-876E-F96007292C16}" type="pres">
      <dgm:prSet presAssocID="{D240554D-5114-41D2-9644-30EADA467325}" presName="Name37" presStyleLbl="parChTrans1D3" presStyleIdx="2" presStyleCnt="8"/>
      <dgm:spPr>
        <a:custGeom>
          <a:avLst/>
          <a:gdLst/>
          <a:ahLst/>
          <a:cxnLst/>
          <a:rect l="0" t="0" r="0" b="0"/>
          <a:pathLst>
            <a:path>
              <a:moveTo>
                <a:pt x="700969" y="0"/>
              </a:moveTo>
              <a:lnTo>
                <a:pt x="700969" y="60827"/>
              </a:lnTo>
              <a:lnTo>
                <a:pt x="0" y="60827"/>
              </a:lnTo>
              <a:lnTo>
                <a:pt x="0" y="121655"/>
              </a:lnTo>
            </a:path>
          </a:pathLst>
        </a:custGeom>
      </dgm:spPr>
    </dgm:pt>
    <dgm:pt modelId="{563BC76D-4C1A-4B69-8F9A-40AC8A26A1E4}" type="pres">
      <dgm:prSet presAssocID="{870E0617-D2FD-4B89-A9C2-1C9C313D493B}" presName="hierRoot2" presStyleCnt="0">
        <dgm:presLayoutVars>
          <dgm:hierBranch val="init"/>
        </dgm:presLayoutVars>
      </dgm:prSet>
      <dgm:spPr/>
    </dgm:pt>
    <dgm:pt modelId="{187BCE7A-81D6-4E6F-88CF-AB7FEB073E4F}" type="pres">
      <dgm:prSet presAssocID="{870E0617-D2FD-4B89-A9C2-1C9C313D493B}" presName="rootComposite" presStyleCnt="0"/>
      <dgm:spPr/>
    </dgm:pt>
    <dgm:pt modelId="{12783F88-2CBE-4C69-BD73-95CF228CA239}" type="pres">
      <dgm:prSet presAssocID="{870E0617-D2FD-4B89-A9C2-1C9C313D493B}" presName="rootText" presStyleLbl="node3" presStyleIdx="2" presStyleCnt="8">
        <dgm:presLayoutVars>
          <dgm:chPref val="3"/>
        </dgm:presLayoutVars>
      </dgm:prSet>
      <dgm:spPr>
        <a:prstGeom prst="rect">
          <a:avLst/>
        </a:prstGeom>
      </dgm:spPr>
    </dgm:pt>
    <dgm:pt modelId="{1349516B-A88E-4850-A8A1-28B5FC7CE290}" type="pres">
      <dgm:prSet presAssocID="{870E0617-D2FD-4B89-A9C2-1C9C313D493B}" presName="rootConnector" presStyleLbl="node3" presStyleIdx="2" presStyleCnt="8"/>
      <dgm:spPr/>
    </dgm:pt>
    <dgm:pt modelId="{EB5F868E-1DF9-472B-B309-1EFC9B9B9CAC}" type="pres">
      <dgm:prSet presAssocID="{870E0617-D2FD-4B89-A9C2-1C9C313D493B}" presName="hierChild4" presStyleCnt="0"/>
      <dgm:spPr/>
    </dgm:pt>
    <dgm:pt modelId="{813317B7-9705-4E75-B0E3-B273ED3DEE57}" type="pres">
      <dgm:prSet presAssocID="{870E0617-D2FD-4B89-A9C2-1C9C313D493B}" presName="hierChild5" presStyleCnt="0"/>
      <dgm:spPr/>
    </dgm:pt>
    <dgm:pt modelId="{DB471C3E-B684-4A01-AB81-B5A9079CAC8A}" type="pres">
      <dgm:prSet presAssocID="{5382D58B-DC3D-4EA4-8557-09B5480CAA7F}" presName="Name37" presStyleLbl="parChTrans1D3" presStyleIdx="3" presStyleCnt="8"/>
      <dgm:spPr>
        <a:custGeom>
          <a:avLst/>
          <a:gdLst/>
          <a:ahLst/>
          <a:cxnLst/>
          <a:rect l="0" t="0" r="0" b="0"/>
          <a:pathLst>
            <a:path>
              <a:moveTo>
                <a:pt x="45720" y="0"/>
              </a:moveTo>
              <a:lnTo>
                <a:pt x="45720" y="121655"/>
              </a:lnTo>
            </a:path>
          </a:pathLst>
        </a:custGeom>
      </dgm:spPr>
    </dgm:pt>
    <dgm:pt modelId="{5B0282F4-FAD1-4FBC-99AF-34F8CF9EE935}" type="pres">
      <dgm:prSet presAssocID="{8C76AEBB-28D3-4B9D-9BBB-D13168FE7D8D}" presName="hierRoot2" presStyleCnt="0">
        <dgm:presLayoutVars>
          <dgm:hierBranch val="init"/>
        </dgm:presLayoutVars>
      </dgm:prSet>
      <dgm:spPr/>
    </dgm:pt>
    <dgm:pt modelId="{7BB1DFC5-F6C8-4CB8-9778-6CBD255F3A34}" type="pres">
      <dgm:prSet presAssocID="{8C76AEBB-28D3-4B9D-9BBB-D13168FE7D8D}" presName="rootComposite" presStyleCnt="0"/>
      <dgm:spPr/>
    </dgm:pt>
    <dgm:pt modelId="{44E75037-8008-4B75-9392-C1CAB3C34267}" type="pres">
      <dgm:prSet presAssocID="{8C76AEBB-28D3-4B9D-9BBB-D13168FE7D8D}" presName="rootText" presStyleLbl="node3" presStyleIdx="3" presStyleCnt="8">
        <dgm:presLayoutVars>
          <dgm:chPref val="3"/>
        </dgm:presLayoutVars>
      </dgm:prSet>
      <dgm:spPr>
        <a:prstGeom prst="rect">
          <a:avLst/>
        </a:prstGeom>
      </dgm:spPr>
    </dgm:pt>
    <dgm:pt modelId="{B35A6CCB-6A46-4924-81A2-52B3D744CAF3}" type="pres">
      <dgm:prSet presAssocID="{8C76AEBB-28D3-4B9D-9BBB-D13168FE7D8D}" presName="rootConnector" presStyleLbl="node3" presStyleIdx="3" presStyleCnt="8"/>
      <dgm:spPr/>
    </dgm:pt>
    <dgm:pt modelId="{B65D07A7-79E9-4ABB-B10A-EF429AAA6859}" type="pres">
      <dgm:prSet presAssocID="{8C76AEBB-28D3-4B9D-9BBB-D13168FE7D8D}" presName="hierChild4" presStyleCnt="0"/>
      <dgm:spPr/>
    </dgm:pt>
    <dgm:pt modelId="{253E5938-27E6-4675-8B2E-6D7524B04AB3}" type="pres">
      <dgm:prSet presAssocID="{19871646-6BDA-46C4-BF8E-65533C54A1BE}" presName="Name37" presStyleLbl="parChTrans1D4" presStyleIdx="0" presStyleCnt="10"/>
      <dgm:spPr>
        <a:custGeom>
          <a:avLst/>
          <a:gdLst/>
          <a:ahLst/>
          <a:cxnLst/>
          <a:rect l="0" t="0" r="0" b="0"/>
          <a:pathLst>
            <a:path>
              <a:moveTo>
                <a:pt x="45720" y="0"/>
              </a:moveTo>
              <a:lnTo>
                <a:pt x="45720" y="121655"/>
              </a:lnTo>
            </a:path>
          </a:pathLst>
        </a:custGeom>
      </dgm:spPr>
    </dgm:pt>
    <dgm:pt modelId="{CFC23F2E-9CBD-462C-A18E-957428782BC4}" type="pres">
      <dgm:prSet presAssocID="{2C4C0284-3110-44B6-A8E3-C04ECDD253D2}" presName="hierRoot2" presStyleCnt="0">
        <dgm:presLayoutVars>
          <dgm:hierBranch val="init"/>
        </dgm:presLayoutVars>
      </dgm:prSet>
      <dgm:spPr/>
    </dgm:pt>
    <dgm:pt modelId="{4DF8344E-37A3-49A1-A79E-B3C6BE79B362}" type="pres">
      <dgm:prSet presAssocID="{2C4C0284-3110-44B6-A8E3-C04ECDD253D2}" presName="rootComposite" presStyleCnt="0"/>
      <dgm:spPr/>
    </dgm:pt>
    <dgm:pt modelId="{18FACC5D-F355-4CA8-BF55-4E66B55DD783}" type="pres">
      <dgm:prSet presAssocID="{2C4C0284-3110-44B6-A8E3-C04ECDD253D2}" presName="rootText" presStyleLbl="node4" presStyleIdx="0" presStyleCnt="10">
        <dgm:presLayoutVars>
          <dgm:chPref val="3"/>
        </dgm:presLayoutVars>
      </dgm:prSet>
      <dgm:spPr>
        <a:prstGeom prst="rect">
          <a:avLst/>
        </a:prstGeom>
      </dgm:spPr>
    </dgm:pt>
    <dgm:pt modelId="{AF5653E6-B9AC-451A-8FBF-C44D50FA07D5}" type="pres">
      <dgm:prSet presAssocID="{2C4C0284-3110-44B6-A8E3-C04ECDD253D2}" presName="rootConnector" presStyleLbl="node4" presStyleIdx="0" presStyleCnt="10"/>
      <dgm:spPr/>
    </dgm:pt>
    <dgm:pt modelId="{746A97B0-AB35-4851-BC49-30A9CEE4487A}" type="pres">
      <dgm:prSet presAssocID="{2C4C0284-3110-44B6-A8E3-C04ECDD253D2}" presName="hierChild4" presStyleCnt="0"/>
      <dgm:spPr/>
    </dgm:pt>
    <dgm:pt modelId="{6DC2EAEE-CFD2-434C-BE90-E5488625C2B0}" type="pres">
      <dgm:prSet presAssocID="{19D852EF-58F1-46B7-B6DD-BB75AA0D3508}" presName="Name37" presStyleLbl="parChTrans1D4" presStyleIdx="1" presStyleCnt="10"/>
      <dgm:spPr>
        <a:custGeom>
          <a:avLst/>
          <a:gdLst/>
          <a:ahLst/>
          <a:cxnLst/>
          <a:rect l="0" t="0" r="0" b="0"/>
          <a:pathLst>
            <a:path>
              <a:moveTo>
                <a:pt x="45720" y="0"/>
              </a:moveTo>
              <a:lnTo>
                <a:pt x="45720" y="121655"/>
              </a:lnTo>
            </a:path>
          </a:pathLst>
        </a:custGeom>
      </dgm:spPr>
    </dgm:pt>
    <dgm:pt modelId="{53D6337A-FE5F-4AC0-B55F-5AD8234A4796}" type="pres">
      <dgm:prSet presAssocID="{96C78F11-0A52-4945-B96C-62D60770409E}" presName="hierRoot2" presStyleCnt="0">
        <dgm:presLayoutVars>
          <dgm:hierBranch val="init"/>
        </dgm:presLayoutVars>
      </dgm:prSet>
      <dgm:spPr/>
    </dgm:pt>
    <dgm:pt modelId="{5453E1C6-10F4-433F-994B-0A8477298292}" type="pres">
      <dgm:prSet presAssocID="{96C78F11-0A52-4945-B96C-62D60770409E}" presName="rootComposite" presStyleCnt="0"/>
      <dgm:spPr/>
    </dgm:pt>
    <dgm:pt modelId="{648BD9E0-4316-4C50-B9D9-8758EB0BD09B}" type="pres">
      <dgm:prSet presAssocID="{96C78F11-0A52-4945-B96C-62D60770409E}" presName="rootText" presStyleLbl="node4" presStyleIdx="1" presStyleCnt="10" custScaleX="130770" custScaleY="115273">
        <dgm:presLayoutVars>
          <dgm:chPref val="3"/>
        </dgm:presLayoutVars>
      </dgm:prSet>
      <dgm:spPr>
        <a:prstGeom prst="rect">
          <a:avLst/>
        </a:prstGeom>
      </dgm:spPr>
    </dgm:pt>
    <dgm:pt modelId="{C2479D19-52BA-4416-BF0F-2D44BC7F2CDA}" type="pres">
      <dgm:prSet presAssocID="{96C78F11-0A52-4945-B96C-62D60770409E}" presName="rootConnector" presStyleLbl="node4" presStyleIdx="1" presStyleCnt="10"/>
      <dgm:spPr/>
    </dgm:pt>
    <dgm:pt modelId="{0811BDC1-E214-44CC-A393-2BDE929CEA44}" type="pres">
      <dgm:prSet presAssocID="{96C78F11-0A52-4945-B96C-62D60770409E}" presName="hierChild4" presStyleCnt="0"/>
      <dgm:spPr/>
    </dgm:pt>
    <dgm:pt modelId="{D04FD7E4-5B54-4EC9-89BD-9571DAD1E579}" type="pres">
      <dgm:prSet presAssocID="{B2B06D30-E6B1-4540-B63B-B9E5C49BF82F}" presName="Name37" presStyleLbl="parChTrans1D4" presStyleIdx="2" presStyleCnt="10"/>
      <dgm:spPr>
        <a:custGeom>
          <a:avLst/>
          <a:gdLst/>
          <a:ahLst/>
          <a:cxnLst/>
          <a:rect l="0" t="0" r="0" b="0"/>
          <a:pathLst>
            <a:path>
              <a:moveTo>
                <a:pt x="45720" y="0"/>
              </a:moveTo>
              <a:lnTo>
                <a:pt x="45720" y="266484"/>
              </a:lnTo>
              <a:lnTo>
                <a:pt x="132617" y="266484"/>
              </a:lnTo>
            </a:path>
          </a:pathLst>
        </a:custGeom>
      </dgm:spPr>
    </dgm:pt>
    <dgm:pt modelId="{DC947C89-FD0C-4C59-91F5-2740B8C269FA}" type="pres">
      <dgm:prSet presAssocID="{141E391F-5241-4184-AB51-AE9DCAE9FE7D}" presName="hierRoot2" presStyleCnt="0">
        <dgm:presLayoutVars>
          <dgm:hierBranch val="init"/>
        </dgm:presLayoutVars>
      </dgm:prSet>
      <dgm:spPr/>
    </dgm:pt>
    <dgm:pt modelId="{044C777D-55B9-47B5-A33C-C6954E74E4FA}" type="pres">
      <dgm:prSet presAssocID="{141E391F-5241-4184-AB51-AE9DCAE9FE7D}" presName="rootComposite" presStyleCnt="0"/>
      <dgm:spPr/>
    </dgm:pt>
    <dgm:pt modelId="{2F218579-1F9B-4C58-A8B0-0B6401889E1C}" type="pres">
      <dgm:prSet presAssocID="{141E391F-5241-4184-AB51-AE9DCAE9FE7D}" presName="rootText" presStyleLbl="node4" presStyleIdx="2" presStyleCnt="10">
        <dgm:presLayoutVars>
          <dgm:chPref val="3"/>
        </dgm:presLayoutVars>
      </dgm:prSet>
      <dgm:spPr>
        <a:prstGeom prst="rect">
          <a:avLst/>
        </a:prstGeom>
      </dgm:spPr>
    </dgm:pt>
    <dgm:pt modelId="{E2CDACD5-FC19-47C5-8C57-8539C9D72575}" type="pres">
      <dgm:prSet presAssocID="{141E391F-5241-4184-AB51-AE9DCAE9FE7D}" presName="rootConnector" presStyleLbl="node4" presStyleIdx="2" presStyleCnt="10"/>
      <dgm:spPr/>
    </dgm:pt>
    <dgm:pt modelId="{593C1FBA-5ACB-44C5-A207-DDFE72F540D7}" type="pres">
      <dgm:prSet presAssocID="{141E391F-5241-4184-AB51-AE9DCAE9FE7D}" presName="hierChild4" presStyleCnt="0"/>
      <dgm:spPr/>
    </dgm:pt>
    <dgm:pt modelId="{4C98F000-9E06-4823-8BE2-DB6450CDE99C}" type="pres">
      <dgm:prSet presAssocID="{141E391F-5241-4184-AB51-AE9DCAE9FE7D}" presName="hierChild5" presStyleCnt="0"/>
      <dgm:spPr/>
    </dgm:pt>
    <dgm:pt modelId="{23C738A2-E822-4B04-9626-86BE15A09702}" type="pres">
      <dgm:prSet presAssocID="{96C78F11-0A52-4945-B96C-62D60770409E}" presName="hierChild5" presStyleCnt="0"/>
      <dgm:spPr/>
    </dgm:pt>
    <dgm:pt modelId="{791909A8-CA9C-4C22-B813-E501D42038D4}" type="pres">
      <dgm:prSet presAssocID="{2C4C0284-3110-44B6-A8E3-C04ECDD253D2}" presName="hierChild5" presStyleCnt="0"/>
      <dgm:spPr/>
    </dgm:pt>
    <dgm:pt modelId="{B3DC66C9-38B3-47C1-8B8B-124A275D3D22}" type="pres">
      <dgm:prSet presAssocID="{8C76AEBB-28D3-4B9D-9BBB-D13168FE7D8D}" presName="hierChild5" presStyleCnt="0"/>
      <dgm:spPr/>
    </dgm:pt>
    <dgm:pt modelId="{92EC427B-C7C1-462C-9EB5-4BE011AE9A42}" type="pres">
      <dgm:prSet presAssocID="{5385FDD3-D218-482C-99E0-0514F664C514}" presName="Name37" presStyleLbl="parChTrans1D3" presStyleIdx="4" presStyleCnt="8"/>
      <dgm:spPr>
        <a:custGeom>
          <a:avLst/>
          <a:gdLst/>
          <a:ahLst/>
          <a:cxnLst/>
          <a:rect l="0" t="0" r="0" b="0"/>
          <a:pathLst>
            <a:path>
              <a:moveTo>
                <a:pt x="0" y="0"/>
              </a:moveTo>
              <a:lnTo>
                <a:pt x="0" y="60827"/>
              </a:lnTo>
              <a:lnTo>
                <a:pt x="700969" y="60827"/>
              </a:lnTo>
              <a:lnTo>
                <a:pt x="700969" y="121655"/>
              </a:lnTo>
            </a:path>
          </a:pathLst>
        </a:custGeom>
      </dgm:spPr>
    </dgm:pt>
    <dgm:pt modelId="{4CF8895F-D575-4028-B3D3-F8E379FAA054}" type="pres">
      <dgm:prSet presAssocID="{48A47006-3337-43F4-8B60-163068B6C1F0}" presName="hierRoot2" presStyleCnt="0">
        <dgm:presLayoutVars>
          <dgm:hierBranch val="init"/>
        </dgm:presLayoutVars>
      </dgm:prSet>
      <dgm:spPr/>
    </dgm:pt>
    <dgm:pt modelId="{2FE73D09-4B47-4ADF-807C-4A8C0C562CFC}" type="pres">
      <dgm:prSet presAssocID="{48A47006-3337-43F4-8B60-163068B6C1F0}" presName="rootComposite" presStyleCnt="0"/>
      <dgm:spPr/>
    </dgm:pt>
    <dgm:pt modelId="{8165381D-88CE-4523-B5F5-0321E178F83F}" type="pres">
      <dgm:prSet presAssocID="{48A47006-3337-43F4-8B60-163068B6C1F0}" presName="rootText" presStyleLbl="node3" presStyleIdx="4" presStyleCnt="8">
        <dgm:presLayoutVars>
          <dgm:chPref val="3"/>
        </dgm:presLayoutVars>
      </dgm:prSet>
      <dgm:spPr>
        <a:prstGeom prst="rect">
          <a:avLst/>
        </a:prstGeom>
      </dgm:spPr>
    </dgm:pt>
    <dgm:pt modelId="{06181A32-13E2-4A12-8AD5-5110313A4D72}" type="pres">
      <dgm:prSet presAssocID="{48A47006-3337-43F4-8B60-163068B6C1F0}" presName="rootConnector" presStyleLbl="node3" presStyleIdx="4" presStyleCnt="8"/>
      <dgm:spPr/>
    </dgm:pt>
    <dgm:pt modelId="{2DADA4B3-5B8E-480F-800B-9C47B47786A1}" type="pres">
      <dgm:prSet presAssocID="{48A47006-3337-43F4-8B60-163068B6C1F0}" presName="hierChild4" presStyleCnt="0"/>
      <dgm:spPr/>
    </dgm:pt>
    <dgm:pt modelId="{D0034110-7D14-4C74-A6D7-E1CFB39216EF}" type="pres">
      <dgm:prSet presAssocID="{F41C737C-A92B-4503-A37A-EAB793DAD9BB}" presName="Name37" presStyleLbl="parChTrans1D4" presStyleIdx="3" presStyleCnt="10"/>
      <dgm:spPr>
        <a:custGeom>
          <a:avLst/>
          <a:gdLst/>
          <a:ahLst/>
          <a:cxnLst/>
          <a:rect l="0" t="0" r="0" b="0"/>
          <a:pathLst>
            <a:path>
              <a:moveTo>
                <a:pt x="45720" y="0"/>
              </a:moveTo>
              <a:lnTo>
                <a:pt x="45720" y="266484"/>
              </a:lnTo>
              <a:lnTo>
                <a:pt x="132617" y="266484"/>
              </a:lnTo>
            </a:path>
          </a:pathLst>
        </a:custGeom>
      </dgm:spPr>
    </dgm:pt>
    <dgm:pt modelId="{30A20B01-1C5C-4A47-9534-E87B09D79846}" type="pres">
      <dgm:prSet presAssocID="{A41E8A2B-929D-4718-AEFE-606AE345052D}" presName="hierRoot2" presStyleCnt="0">
        <dgm:presLayoutVars>
          <dgm:hierBranch val="init"/>
        </dgm:presLayoutVars>
      </dgm:prSet>
      <dgm:spPr/>
    </dgm:pt>
    <dgm:pt modelId="{A8BF69AD-8667-48DE-80D8-A303ADAD65B6}" type="pres">
      <dgm:prSet presAssocID="{A41E8A2B-929D-4718-AEFE-606AE345052D}" presName="rootComposite" presStyleCnt="0"/>
      <dgm:spPr/>
    </dgm:pt>
    <dgm:pt modelId="{82C24059-4C97-47EA-88F9-E9F45F74FD76}" type="pres">
      <dgm:prSet presAssocID="{A41E8A2B-929D-4718-AEFE-606AE345052D}" presName="rootText" presStyleLbl="node4" presStyleIdx="3" presStyleCnt="10">
        <dgm:presLayoutVars>
          <dgm:chPref val="3"/>
        </dgm:presLayoutVars>
      </dgm:prSet>
      <dgm:spPr>
        <a:prstGeom prst="rect">
          <a:avLst/>
        </a:prstGeom>
      </dgm:spPr>
    </dgm:pt>
    <dgm:pt modelId="{E8782A78-91F0-4CB9-B6B1-C5112212BE15}" type="pres">
      <dgm:prSet presAssocID="{A41E8A2B-929D-4718-AEFE-606AE345052D}" presName="rootConnector" presStyleLbl="node4" presStyleIdx="3" presStyleCnt="10"/>
      <dgm:spPr/>
    </dgm:pt>
    <dgm:pt modelId="{B5231E14-AEC8-4F1A-A5F7-4605F0277F5E}" type="pres">
      <dgm:prSet presAssocID="{A41E8A2B-929D-4718-AEFE-606AE345052D}" presName="hierChild4" presStyleCnt="0"/>
      <dgm:spPr/>
    </dgm:pt>
    <dgm:pt modelId="{97F978F2-CDFD-45C9-BD24-F2147AABC74B}" type="pres">
      <dgm:prSet presAssocID="{A41E8A2B-929D-4718-AEFE-606AE345052D}" presName="hierChild5" presStyleCnt="0"/>
      <dgm:spPr/>
    </dgm:pt>
    <dgm:pt modelId="{A1C8861B-9D78-4DB6-9436-C96C57CFCA5D}" type="pres">
      <dgm:prSet presAssocID="{B0B561F6-E960-4BC7-AA02-76D374F4783A}" presName="Name37" presStyleLbl="parChTrans1D4" presStyleIdx="4" presStyleCnt="10"/>
      <dgm:spPr>
        <a:custGeom>
          <a:avLst/>
          <a:gdLst/>
          <a:ahLst/>
          <a:cxnLst/>
          <a:rect l="0" t="0" r="0" b="0"/>
          <a:pathLst>
            <a:path>
              <a:moveTo>
                <a:pt x="45720" y="0"/>
              </a:moveTo>
              <a:lnTo>
                <a:pt x="45720" y="677796"/>
              </a:lnTo>
              <a:lnTo>
                <a:pt x="132617" y="677796"/>
              </a:lnTo>
            </a:path>
          </a:pathLst>
        </a:custGeom>
      </dgm:spPr>
    </dgm:pt>
    <dgm:pt modelId="{2DFB3F42-8246-4405-AC64-BF59AC532D0A}" type="pres">
      <dgm:prSet presAssocID="{FF4AE096-A190-4A87-B477-1D3B92F6B5B9}" presName="hierRoot2" presStyleCnt="0">
        <dgm:presLayoutVars>
          <dgm:hierBranch val="init"/>
        </dgm:presLayoutVars>
      </dgm:prSet>
      <dgm:spPr/>
    </dgm:pt>
    <dgm:pt modelId="{ECD01673-F674-4B1B-8DF1-E350E24A96B8}" type="pres">
      <dgm:prSet presAssocID="{FF4AE096-A190-4A87-B477-1D3B92F6B5B9}" presName="rootComposite" presStyleCnt="0"/>
      <dgm:spPr/>
    </dgm:pt>
    <dgm:pt modelId="{E6385C64-3A77-4CCD-83F3-1B9AB186657D}" type="pres">
      <dgm:prSet presAssocID="{FF4AE096-A190-4A87-B477-1D3B92F6B5B9}" presName="rootText" presStyleLbl="node4" presStyleIdx="4" presStyleCnt="10">
        <dgm:presLayoutVars>
          <dgm:chPref val="3"/>
        </dgm:presLayoutVars>
      </dgm:prSet>
      <dgm:spPr>
        <a:prstGeom prst="rect">
          <a:avLst/>
        </a:prstGeom>
      </dgm:spPr>
    </dgm:pt>
    <dgm:pt modelId="{088450D8-309F-4503-89AB-761678828902}" type="pres">
      <dgm:prSet presAssocID="{FF4AE096-A190-4A87-B477-1D3B92F6B5B9}" presName="rootConnector" presStyleLbl="node4" presStyleIdx="4" presStyleCnt="10"/>
      <dgm:spPr/>
    </dgm:pt>
    <dgm:pt modelId="{0F6741CD-71AE-4D32-ACC0-52DCE1F1CBCB}" type="pres">
      <dgm:prSet presAssocID="{FF4AE096-A190-4A87-B477-1D3B92F6B5B9}" presName="hierChild4" presStyleCnt="0"/>
      <dgm:spPr/>
    </dgm:pt>
    <dgm:pt modelId="{0BD0E51A-4F5E-4BB9-9252-F25B7643B6F4}" type="pres">
      <dgm:prSet presAssocID="{FF4AE096-A190-4A87-B477-1D3B92F6B5B9}" presName="hierChild5" presStyleCnt="0"/>
      <dgm:spPr/>
    </dgm:pt>
    <dgm:pt modelId="{C0F076AF-EE06-49D7-A96E-94A43FFE634A}" type="pres">
      <dgm:prSet presAssocID="{C0D8EA86-E89D-4CF1-91F4-1611324C6BC9}" presName="Name37" presStyleLbl="parChTrans1D4" presStyleIdx="5" presStyleCnt="10"/>
      <dgm:spPr>
        <a:custGeom>
          <a:avLst/>
          <a:gdLst/>
          <a:ahLst/>
          <a:cxnLst/>
          <a:rect l="0" t="0" r="0" b="0"/>
          <a:pathLst>
            <a:path>
              <a:moveTo>
                <a:pt x="45720" y="0"/>
              </a:moveTo>
              <a:lnTo>
                <a:pt x="45720" y="1089109"/>
              </a:lnTo>
              <a:lnTo>
                <a:pt x="132617" y="1089109"/>
              </a:lnTo>
            </a:path>
          </a:pathLst>
        </a:custGeom>
      </dgm:spPr>
    </dgm:pt>
    <dgm:pt modelId="{D5C9DC5B-269D-4FBD-9125-94CE232071ED}" type="pres">
      <dgm:prSet presAssocID="{C0D3E0A7-9DF9-4A8E-8216-D2BC65031493}" presName="hierRoot2" presStyleCnt="0">
        <dgm:presLayoutVars>
          <dgm:hierBranch val="init"/>
        </dgm:presLayoutVars>
      </dgm:prSet>
      <dgm:spPr/>
    </dgm:pt>
    <dgm:pt modelId="{9FEE550D-188D-48B9-856D-0AB65D29518A}" type="pres">
      <dgm:prSet presAssocID="{C0D3E0A7-9DF9-4A8E-8216-D2BC65031493}" presName="rootComposite" presStyleCnt="0"/>
      <dgm:spPr/>
    </dgm:pt>
    <dgm:pt modelId="{2D5B008E-5295-4979-8B7E-0BABE12DFF5D}" type="pres">
      <dgm:prSet presAssocID="{C0D3E0A7-9DF9-4A8E-8216-D2BC65031493}" presName="rootText" presStyleLbl="node4" presStyleIdx="5" presStyleCnt="10">
        <dgm:presLayoutVars>
          <dgm:chPref val="3"/>
        </dgm:presLayoutVars>
      </dgm:prSet>
      <dgm:spPr>
        <a:prstGeom prst="rect">
          <a:avLst/>
        </a:prstGeom>
      </dgm:spPr>
    </dgm:pt>
    <dgm:pt modelId="{8B2E3639-FE3B-42AF-A442-E441474A42C5}" type="pres">
      <dgm:prSet presAssocID="{C0D3E0A7-9DF9-4A8E-8216-D2BC65031493}" presName="rootConnector" presStyleLbl="node4" presStyleIdx="5" presStyleCnt="10"/>
      <dgm:spPr/>
    </dgm:pt>
    <dgm:pt modelId="{2000CDC8-1ACF-4001-92B8-DE95AAA1DB79}" type="pres">
      <dgm:prSet presAssocID="{C0D3E0A7-9DF9-4A8E-8216-D2BC65031493}" presName="hierChild4" presStyleCnt="0"/>
      <dgm:spPr/>
    </dgm:pt>
    <dgm:pt modelId="{FFC1D345-C685-48E7-8756-3C326D159566}" type="pres">
      <dgm:prSet presAssocID="{C0D3E0A7-9DF9-4A8E-8216-D2BC65031493}" presName="hierChild5" presStyleCnt="0"/>
      <dgm:spPr/>
    </dgm:pt>
    <dgm:pt modelId="{F5C2CF40-740D-468B-BDB5-2F901FF5E491}" type="pres">
      <dgm:prSet presAssocID="{48A47006-3337-43F4-8B60-163068B6C1F0}" presName="hierChild5" presStyleCnt="0"/>
      <dgm:spPr/>
    </dgm:pt>
    <dgm:pt modelId="{5D4D30DC-4DB6-4CA9-949C-CEF3A484EB62}" type="pres">
      <dgm:prSet presAssocID="{34488166-48CE-4A4F-A96F-6E8617871BB1}" presName="Name37" presStyleLbl="parChTrans1D3" presStyleIdx="5" presStyleCnt="8"/>
      <dgm:spPr>
        <a:custGeom>
          <a:avLst/>
          <a:gdLst/>
          <a:ahLst/>
          <a:cxnLst/>
          <a:rect l="0" t="0" r="0" b="0"/>
          <a:pathLst>
            <a:path>
              <a:moveTo>
                <a:pt x="0" y="0"/>
              </a:moveTo>
              <a:lnTo>
                <a:pt x="0" y="60827"/>
              </a:lnTo>
              <a:lnTo>
                <a:pt x="1401938" y="60827"/>
              </a:lnTo>
              <a:lnTo>
                <a:pt x="1401938" y="121655"/>
              </a:lnTo>
            </a:path>
          </a:pathLst>
        </a:custGeom>
      </dgm:spPr>
    </dgm:pt>
    <dgm:pt modelId="{9865ED34-2CA4-4F5F-A762-6E41CD71E517}" type="pres">
      <dgm:prSet presAssocID="{45F57E58-09A6-4041-8EA7-6CB95D626D2C}" presName="hierRoot2" presStyleCnt="0">
        <dgm:presLayoutVars>
          <dgm:hierBranch val="init"/>
        </dgm:presLayoutVars>
      </dgm:prSet>
      <dgm:spPr/>
    </dgm:pt>
    <dgm:pt modelId="{3EC77635-7AED-4DF3-8EFD-879A1EE7B17A}" type="pres">
      <dgm:prSet presAssocID="{45F57E58-09A6-4041-8EA7-6CB95D626D2C}" presName="rootComposite" presStyleCnt="0"/>
      <dgm:spPr/>
    </dgm:pt>
    <dgm:pt modelId="{469784AA-78EF-4254-8970-25A9DF31E1EA}" type="pres">
      <dgm:prSet presAssocID="{45F57E58-09A6-4041-8EA7-6CB95D626D2C}" presName="rootText" presStyleLbl="node3" presStyleIdx="5" presStyleCnt="8">
        <dgm:presLayoutVars>
          <dgm:chPref val="3"/>
        </dgm:presLayoutVars>
      </dgm:prSet>
      <dgm:spPr>
        <a:prstGeom prst="rect">
          <a:avLst/>
        </a:prstGeom>
      </dgm:spPr>
    </dgm:pt>
    <dgm:pt modelId="{57DA71F0-BE60-4E34-B0AC-A45DDE2D8B01}" type="pres">
      <dgm:prSet presAssocID="{45F57E58-09A6-4041-8EA7-6CB95D626D2C}" presName="rootConnector" presStyleLbl="node3" presStyleIdx="5" presStyleCnt="8"/>
      <dgm:spPr/>
    </dgm:pt>
    <dgm:pt modelId="{661E9D84-1013-4A58-991C-27358793CE47}" type="pres">
      <dgm:prSet presAssocID="{45F57E58-09A6-4041-8EA7-6CB95D626D2C}" presName="hierChild4" presStyleCnt="0"/>
      <dgm:spPr/>
    </dgm:pt>
    <dgm:pt modelId="{0FD82B8B-8772-491A-B7BB-BC1D0472DE8D}" type="pres">
      <dgm:prSet presAssocID="{80FD7765-67B9-4519-BD65-9809827C9302}" presName="Name37" presStyleLbl="parChTrans1D4" presStyleIdx="6" presStyleCnt="10"/>
      <dgm:spPr>
        <a:custGeom>
          <a:avLst/>
          <a:gdLst/>
          <a:ahLst/>
          <a:cxnLst/>
          <a:rect l="0" t="0" r="0" b="0"/>
          <a:pathLst>
            <a:path>
              <a:moveTo>
                <a:pt x="45720" y="0"/>
              </a:moveTo>
              <a:lnTo>
                <a:pt x="45720" y="266484"/>
              </a:lnTo>
              <a:lnTo>
                <a:pt x="132617" y="266484"/>
              </a:lnTo>
            </a:path>
          </a:pathLst>
        </a:custGeom>
      </dgm:spPr>
    </dgm:pt>
    <dgm:pt modelId="{49B9B36A-DDB3-4AD3-B4A3-95249B6A2DF8}" type="pres">
      <dgm:prSet presAssocID="{1762E816-BD25-45E1-A9AE-EE9D42D3DF60}" presName="hierRoot2" presStyleCnt="0">
        <dgm:presLayoutVars>
          <dgm:hierBranch val="init"/>
        </dgm:presLayoutVars>
      </dgm:prSet>
      <dgm:spPr/>
    </dgm:pt>
    <dgm:pt modelId="{A8C0DD0B-8058-4FDB-9665-B75576F38890}" type="pres">
      <dgm:prSet presAssocID="{1762E816-BD25-45E1-A9AE-EE9D42D3DF60}" presName="rootComposite" presStyleCnt="0"/>
      <dgm:spPr/>
    </dgm:pt>
    <dgm:pt modelId="{4282575D-A3CF-4BE3-9A1C-DCBE0FADBA3F}" type="pres">
      <dgm:prSet presAssocID="{1762E816-BD25-45E1-A9AE-EE9D42D3DF60}" presName="rootText" presStyleLbl="node4" presStyleIdx="6" presStyleCnt="10">
        <dgm:presLayoutVars>
          <dgm:chPref val="3"/>
        </dgm:presLayoutVars>
      </dgm:prSet>
      <dgm:spPr>
        <a:prstGeom prst="rect">
          <a:avLst/>
        </a:prstGeom>
      </dgm:spPr>
    </dgm:pt>
    <dgm:pt modelId="{80952B6B-ECAB-4CD7-B05D-CA7F30459875}" type="pres">
      <dgm:prSet presAssocID="{1762E816-BD25-45E1-A9AE-EE9D42D3DF60}" presName="rootConnector" presStyleLbl="node4" presStyleIdx="6" presStyleCnt="10"/>
      <dgm:spPr/>
    </dgm:pt>
    <dgm:pt modelId="{6AB4A1A3-EDD7-40C3-9C1F-DB7A561B0993}" type="pres">
      <dgm:prSet presAssocID="{1762E816-BD25-45E1-A9AE-EE9D42D3DF60}" presName="hierChild4" presStyleCnt="0"/>
      <dgm:spPr/>
    </dgm:pt>
    <dgm:pt modelId="{B7E1A85C-E273-4289-B067-5CFD7EC19A42}" type="pres">
      <dgm:prSet presAssocID="{1762E816-BD25-45E1-A9AE-EE9D42D3DF60}" presName="hierChild5" presStyleCnt="0"/>
      <dgm:spPr/>
    </dgm:pt>
    <dgm:pt modelId="{4D952518-9B88-48CF-8E24-B9C4AB63F10C}" type="pres">
      <dgm:prSet presAssocID="{E8B7E075-F6B5-4B47-B1D2-9123BCDA7D67}" presName="Name37" presStyleLbl="parChTrans1D4" presStyleIdx="7" presStyleCnt="10"/>
      <dgm:spPr>
        <a:custGeom>
          <a:avLst/>
          <a:gdLst/>
          <a:ahLst/>
          <a:cxnLst/>
          <a:rect l="0" t="0" r="0" b="0"/>
          <a:pathLst>
            <a:path>
              <a:moveTo>
                <a:pt x="45720" y="0"/>
              </a:moveTo>
              <a:lnTo>
                <a:pt x="45720" y="700807"/>
              </a:lnTo>
              <a:lnTo>
                <a:pt x="124732" y="700807"/>
              </a:lnTo>
            </a:path>
          </a:pathLst>
        </a:custGeom>
      </dgm:spPr>
    </dgm:pt>
    <dgm:pt modelId="{D7B8F712-930F-47CC-B14E-841A8CEB3732}" type="pres">
      <dgm:prSet presAssocID="{E542C0B9-EC69-4AC8-AFAB-E4A3AEF78264}" presName="hierRoot2" presStyleCnt="0">
        <dgm:presLayoutVars>
          <dgm:hierBranch val="init"/>
        </dgm:presLayoutVars>
      </dgm:prSet>
      <dgm:spPr/>
    </dgm:pt>
    <dgm:pt modelId="{7FA86602-6C2B-44DE-9AF0-4146C58FBD2C}" type="pres">
      <dgm:prSet presAssocID="{E542C0B9-EC69-4AC8-AFAB-E4A3AEF78264}" presName="rootComposite" presStyleCnt="0"/>
      <dgm:spPr/>
    </dgm:pt>
    <dgm:pt modelId="{F837EB95-F098-4B4D-99E4-C459089934EC}" type="pres">
      <dgm:prSet presAssocID="{E542C0B9-EC69-4AC8-AFAB-E4A3AEF78264}" presName="rootText" presStyleLbl="node4" presStyleIdx="7" presStyleCnt="10" custLinFactNeighborX="-1361" custLinFactNeighborY="7944">
        <dgm:presLayoutVars>
          <dgm:chPref val="3"/>
        </dgm:presLayoutVars>
      </dgm:prSet>
      <dgm:spPr>
        <a:prstGeom prst="rect">
          <a:avLst/>
        </a:prstGeom>
      </dgm:spPr>
    </dgm:pt>
    <dgm:pt modelId="{4B491B18-D341-4D97-8F04-D7C35416A0DC}" type="pres">
      <dgm:prSet presAssocID="{E542C0B9-EC69-4AC8-AFAB-E4A3AEF78264}" presName="rootConnector" presStyleLbl="node4" presStyleIdx="7" presStyleCnt="10"/>
      <dgm:spPr/>
    </dgm:pt>
    <dgm:pt modelId="{73D26D35-C9A4-4640-A130-387F5B341BBA}" type="pres">
      <dgm:prSet presAssocID="{E542C0B9-EC69-4AC8-AFAB-E4A3AEF78264}" presName="hierChild4" presStyleCnt="0"/>
      <dgm:spPr/>
    </dgm:pt>
    <dgm:pt modelId="{80DA63B6-0DB3-47BB-91D9-A24487CACD21}" type="pres">
      <dgm:prSet presAssocID="{E542C0B9-EC69-4AC8-AFAB-E4A3AEF78264}" presName="hierChild5" presStyleCnt="0"/>
      <dgm:spPr/>
    </dgm:pt>
    <dgm:pt modelId="{E6BBDCAD-9B55-4768-99CB-D23858933EE8}" type="pres">
      <dgm:prSet presAssocID="{E58BB5C1-A366-45B4-9A77-8800E954EB7B}" presName="Name37" presStyleLbl="parChTrans1D4" presStyleIdx="8" presStyleCnt="10"/>
      <dgm:spPr>
        <a:custGeom>
          <a:avLst/>
          <a:gdLst/>
          <a:ahLst/>
          <a:cxnLst/>
          <a:rect l="0" t="0" r="0" b="0"/>
          <a:pathLst>
            <a:path>
              <a:moveTo>
                <a:pt x="45720" y="0"/>
              </a:moveTo>
              <a:lnTo>
                <a:pt x="45720" y="1073343"/>
              </a:lnTo>
              <a:lnTo>
                <a:pt x="116853" y="1073343"/>
              </a:lnTo>
            </a:path>
          </a:pathLst>
        </a:custGeom>
      </dgm:spPr>
    </dgm:pt>
    <dgm:pt modelId="{1C21350B-CE95-44F2-A4F9-5DA69AF629B5}" type="pres">
      <dgm:prSet presAssocID="{3F32FAF9-72CC-4E86-B1D7-522E68F6D157}" presName="hierRoot2" presStyleCnt="0">
        <dgm:presLayoutVars>
          <dgm:hierBranch val="init"/>
        </dgm:presLayoutVars>
      </dgm:prSet>
      <dgm:spPr/>
    </dgm:pt>
    <dgm:pt modelId="{63A49B36-9ED4-456A-AC49-D279C82145D5}" type="pres">
      <dgm:prSet presAssocID="{3F32FAF9-72CC-4E86-B1D7-522E68F6D157}" presName="rootComposite" presStyleCnt="0"/>
      <dgm:spPr/>
    </dgm:pt>
    <dgm:pt modelId="{2CBC85DD-333D-4CCC-8DA4-DCED3DE699E8}" type="pres">
      <dgm:prSet presAssocID="{3F32FAF9-72CC-4E86-B1D7-522E68F6D157}" presName="rootText" presStyleLbl="node4" presStyleIdx="8" presStyleCnt="10" custLinFactNeighborX="-2721" custLinFactNeighborY="-5443">
        <dgm:presLayoutVars>
          <dgm:chPref val="3"/>
        </dgm:presLayoutVars>
      </dgm:prSet>
      <dgm:spPr>
        <a:prstGeom prst="rect">
          <a:avLst/>
        </a:prstGeom>
      </dgm:spPr>
    </dgm:pt>
    <dgm:pt modelId="{2FE6F7DC-A284-437D-AA33-786E3A286DBF}" type="pres">
      <dgm:prSet presAssocID="{3F32FAF9-72CC-4E86-B1D7-522E68F6D157}" presName="rootConnector" presStyleLbl="node4" presStyleIdx="8" presStyleCnt="10"/>
      <dgm:spPr/>
    </dgm:pt>
    <dgm:pt modelId="{ED2394F3-EE79-43A8-A991-4ADEC93471CF}" type="pres">
      <dgm:prSet presAssocID="{3F32FAF9-72CC-4E86-B1D7-522E68F6D157}" presName="hierChild4" presStyleCnt="0"/>
      <dgm:spPr/>
    </dgm:pt>
    <dgm:pt modelId="{5267263E-A560-47EA-9406-D0C8B51849CC}" type="pres">
      <dgm:prSet presAssocID="{3F32FAF9-72CC-4E86-B1D7-522E68F6D157}" presName="hierChild5" presStyleCnt="0"/>
      <dgm:spPr/>
    </dgm:pt>
    <dgm:pt modelId="{557D6F38-F1BA-4C97-B858-7115BA3B1CCA}" type="pres">
      <dgm:prSet presAssocID="{78579B32-1A5A-469F-9F9F-5DE5A7AD72CC}" presName="Name37" presStyleLbl="parChTrans1D4" presStyleIdx="9" presStyleCnt="10"/>
      <dgm:spPr>
        <a:custGeom>
          <a:avLst/>
          <a:gdLst/>
          <a:ahLst/>
          <a:cxnLst/>
          <a:rect l="0" t="0" r="0" b="0"/>
          <a:pathLst>
            <a:path>
              <a:moveTo>
                <a:pt x="45720" y="0"/>
              </a:moveTo>
              <a:lnTo>
                <a:pt x="45720" y="1500421"/>
              </a:lnTo>
              <a:lnTo>
                <a:pt x="132617" y="1500421"/>
              </a:lnTo>
            </a:path>
          </a:pathLst>
        </a:custGeom>
      </dgm:spPr>
    </dgm:pt>
    <dgm:pt modelId="{1063358D-AC91-4730-A36D-4FF6A5288A69}" type="pres">
      <dgm:prSet presAssocID="{00076602-F1EE-4997-9B5D-FB3EFE437518}" presName="hierRoot2" presStyleCnt="0">
        <dgm:presLayoutVars>
          <dgm:hierBranch val="init"/>
        </dgm:presLayoutVars>
      </dgm:prSet>
      <dgm:spPr/>
    </dgm:pt>
    <dgm:pt modelId="{D169822A-AF98-4D6F-AA3B-153069E7DDFF}" type="pres">
      <dgm:prSet presAssocID="{00076602-F1EE-4997-9B5D-FB3EFE437518}" presName="rootComposite" presStyleCnt="0"/>
      <dgm:spPr/>
    </dgm:pt>
    <dgm:pt modelId="{74481943-52A9-48A7-9C91-846635CEE1DB}" type="pres">
      <dgm:prSet presAssocID="{00076602-F1EE-4997-9B5D-FB3EFE437518}" presName="rootText" presStyleLbl="node4" presStyleIdx="9" presStyleCnt="10">
        <dgm:presLayoutVars>
          <dgm:chPref val="3"/>
        </dgm:presLayoutVars>
      </dgm:prSet>
      <dgm:spPr>
        <a:prstGeom prst="rect">
          <a:avLst/>
        </a:prstGeom>
      </dgm:spPr>
    </dgm:pt>
    <dgm:pt modelId="{134802D9-5F47-416D-890F-391D929E9BC6}" type="pres">
      <dgm:prSet presAssocID="{00076602-F1EE-4997-9B5D-FB3EFE437518}" presName="rootConnector" presStyleLbl="node4" presStyleIdx="9" presStyleCnt="10"/>
      <dgm:spPr/>
    </dgm:pt>
    <dgm:pt modelId="{9872FBE8-BA29-497C-8FF8-2EE61C0AE337}" type="pres">
      <dgm:prSet presAssocID="{00076602-F1EE-4997-9B5D-FB3EFE437518}" presName="hierChild4" presStyleCnt="0"/>
      <dgm:spPr/>
    </dgm:pt>
    <dgm:pt modelId="{47C0ADBC-6192-4140-B56A-DE884BC37753}" type="pres">
      <dgm:prSet presAssocID="{00076602-F1EE-4997-9B5D-FB3EFE437518}" presName="hierChild5" presStyleCnt="0"/>
      <dgm:spPr/>
    </dgm:pt>
    <dgm:pt modelId="{8FAB50FF-7845-474A-B71C-512F0F34ABE7}" type="pres">
      <dgm:prSet presAssocID="{45F57E58-09A6-4041-8EA7-6CB95D626D2C}" presName="hierChild5" presStyleCnt="0"/>
      <dgm:spPr/>
    </dgm:pt>
    <dgm:pt modelId="{3611A955-7D26-4EAD-8F91-2298559D511C}" type="pres">
      <dgm:prSet presAssocID="{BB472C5A-716A-4AC4-A89A-13834C587DDB}" presName="Name37" presStyleLbl="parChTrans1D3" presStyleIdx="6" presStyleCnt="8"/>
      <dgm:spPr>
        <a:custGeom>
          <a:avLst/>
          <a:gdLst/>
          <a:ahLst/>
          <a:cxnLst/>
          <a:rect l="0" t="0" r="0" b="0"/>
          <a:pathLst>
            <a:path>
              <a:moveTo>
                <a:pt x="0" y="0"/>
              </a:moveTo>
              <a:lnTo>
                <a:pt x="0" y="60827"/>
              </a:lnTo>
              <a:lnTo>
                <a:pt x="2102907" y="60827"/>
              </a:lnTo>
              <a:lnTo>
                <a:pt x="2102907" y="121655"/>
              </a:lnTo>
            </a:path>
          </a:pathLst>
        </a:custGeom>
      </dgm:spPr>
    </dgm:pt>
    <dgm:pt modelId="{80476215-DFA0-48D2-9D1D-7FDDA73FAB58}" type="pres">
      <dgm:prSet presAssocID="{A7D1F7EC-DC20-40F0-9B59-4297D2C337BC}" presName="hierRoot2" presStyleCnt="0">
        <dgm:presLayoutVars>
          <dgm:hierBranch val="init"/>
        </dgm:presLayoutVars>
      </dgm:prSet>
      <dgm:spPr/>
    </dgm:pt>
    <dgm:pt modelId="{2EC3D800-AEC9-48C0-940B-FAC8670DB848}" type="pres">
      <dgm:prSet presAssocID="{A7D1F7EC-DC20-40F0-9B59-4297D2C337BC}" presName="rootComposite" presStyleCnt="0"/>
      <dgm:spPr/>
    </dgm:pt>
    <dgm:pt modelId="{769825F6-CC3C-4E34-86AD-706220BE75A7}" type="pres">
      <dgm:prSet presAssocID="{A7D1F7EC-DC20-40F0-9B59-4297D2C337BC}" presName="rootText" presStyleLbl="node3" presStyleIdx="6" presStyleCnt="8">
        <dgm:presLayoutVars>
          <dgm:chPref val="3"/>
        </dgm:presLayoutVars>
      </dgm:prSet>
      <dgm:spPr>
        <a:prstGeom prst="rect">
          <a:avLst/>
        </a:prstGeom>
      </dgm:spPr>
    </dgm:pt>
    <dgm:pt modelId="{D9AEA94C-403B-4E1A-9AFE-B5DC335286D5}" type="pres">
      <dgm:prSet presAssocID="{A7D1F7EC-DC20-40F0-9B59-4297D2C337BC}" presName="rootConnector" presStyleLbl="node3" presStyleIdx="6" presStyleCnt="8"/>
      <dgm:spPr/>
    </dgm:pt>
    <dgm:pt modelId="{510EB1CA-50DF-4841-B531-06AEE8216FA8}" type="pres">
      <dgm:prSet presAssocID="{A7D1F7EC-DC20-40F0-9B59-4297D2C337BC}" presName="hierChild4" presStyleCnt="0"/>
      <dgm:spPr/>
    </dgm:pt>
    <dgm:pt modelId="{1F520845-101D-4414-BF24-AFC871915E88}" type="pres">
      <dgm:prSet presAssocID="{A7D1F7EC-DC20-40F0-9B59-4297D2C337BC}" presName="hierChild5" presStyleCnt="0"/>
      <dgm:spPr/>
    </dgm:pt>
    <dgm:pt modelId="{E61C94BB-27BC-4D60-A8EE-D94D7C8756FD}" type="pres">
      <dgm:prSet presAssocID="{46810BFF-CE13-4BD7-A791-4A26C1D7F4E6}" presName="hierChild5" presStyleCnt="0"/>
      <dgm:spPr/>
    </dgm:pt>
    <dgm:pt modelId="{A2F00000-DABC-417D-B307-C48811AA7906}" type="pres">
      <dgm:prSet presAssocID="{3386B365-1CBA-4E65-9F1C-9705897C5371}" presName="Name37" presStyleLbl="parChTrans1D2" presStyleIdx="1" presStyleCnt="2"/>
      <dgm:spPr>
        <a:custGeom>
          <a:avLst/>
          <a:gdLst/>
          <a:ahLst/>
          <a:cxnLst/>
          <a:rect l="0" t="0" r="0" b="0"/>
          <a:pathLst>
            <a:path>
              <a:moveTo>
                <a:pt x="0" y="0"/>
              </a:moveTo>
              <a:lnTo>
                <a:pt x="0" y="60827"/>
              </a:lnTo>
              <a:lnTo>
                <a:pt x="1329524" y="60827"/>
              </a:lnTo>
              <a:lnTo>
                <a:pt x="1329524" y="121655"/>
              </a:lnTo>
            </a:path>
          </a:pathLst>
        </a:custGeom>
      </dgm:spPr>
    </dgm:pt>
    <dgm:pt modelId="{05E19628-B983-4F78-BFAB-B617FF0C57B5}" type="pres">
      <dgm:prSet presAssocID="{74514112-D00A-43D1-8675-CA5F2316AD99}" presName="hierRoot2" presStyleCnt="0">
        <dgm:presLayoutVars>
          <dgm:hierBranch val="init"/>
        </dgm:presLayoutVars>
      </dgm:prSet>
      <dgm:spPr/>
    </dgm:pt>
    <dgm:pt modelId="{3D64376E-F185-42E4-8509-2A4F576B401F}" type="pres">
      <dgm:prSet presAssocID="{74514112-D00A-43D1-8675-CA5F2316AD99}" presName="rootComposite" presStyleCnt="0"/>
      <dgm:spPr/>
    </dgm:pt>
    <dgm:pt modelId="{F75104B7-3A36-462D-8897-F2E4A2AA6AF5}" type="pres">
      <dgm:prSet presAssocID="{74514112-D00A-43D1-8675-CA5F2316AD99}" presName="rootText" presStyleLbl="node2" presStyleIdx="1" presStyleCnt="2">
        <dgm:presLayoutVars>
          <dgm:chPref val="3"/>
        </dgm:presLayoutVars>
      </dgm:prSet>
      <dgm:spPr>
        <a:prstGeom prst="rect">
          <a:avLst/>
        </a:prstGeom>
      </dgm:spPr>
    </dgm:pt>
    <dgm:pt modelId="{8BC33DF5-B65D-4205-9CB6-697FF278E321}" type="pres">
      <dgm:prSet presAssocID="{74514112-D00A-43D1-8675-CA5F2316AD99}" presName="rootConnector" presStyleLbl="node2" presStyleIdx="1" presStyleCnt="2"/>
      <dgm:spPr/>
    </dgm:pt>
    <dgm:pt modelId="{2693A1B4-3938-461B-852D-F5611C41E662}" type="pres">
      <dgm:prSet presAssocID="{74514112-D00A-43D1-8675-CA5F2316AD99}" presName="hierChild4" presStyleCnt="0"/>
      <dgm:spPr/>
    </dgm:pt>
    <dgm:pt modelId="{0DD17EA0-F367-4E0F-ACEC-0EB616FDB2E3}" type="pres">
      <dgm:prSet presAssocID="{7820A719-4FDC-46BF-84B7-07B2F49DA420}" presName="Name37" presStyleLbl="parChTrans1D3" presStyleIdx="7" presStyleCnt="8"/>
      <dgm:spPr>
        <a:custGeom>
          <a:avLst/>
          <a:gdLst/>
          <a:ahLst/>
          <a:cxnLst/>
          <a:rect l="0" t="0" r="0" b="0"/>
          <a:pathLst>
            <a:path>
              <a:moveTo>
                <a:pt x="45720" y="0"/>
              </a:moveTo>
              <a:lnTo>
                <a:pt x="45720" y="266484"/>
              </a:lnTo>
              <a:lnTo>
                <a:pt x="132617" y="266484"/>
              </a:lnTo>
            </a:path>
          </a:pathLst>
        </a:custGeom>
      </dgm:spPr>
    </dgm:pt>
    <dgm:pt modelId="{BF99C494-F352-4959-8A59-D6C26259A431}" type="pres">
      <dgm:prSet presAssocID="{2D8C139E-66CB-4311-8815-5F61B35166FA}" presName="hierRoot2" presStyleCnt="0">
        <dgm:presLayoutVars>
          <dgm:hierBranch val="init"/>
        </dgm:presLayoutVars>
      </dgm:prSet>
      <dgm:spPr/>
    </dgm:pt>
    <dgm:pt modelId="{8BCA5280-25B7-40BF-8C0A-E0B502CA1F2A}" type="pres">
      <dgm:prSet presAssocID="{2D8C139E-66CB-4311-8815-5F61B35166FA}" presName="rootComposite" presStyleCnt="0"/>
      <dgm:spPr/>
    </dgm:pt>
    <dgm:pt modelId="{1E3A5243-E65B-4DCB-93E3-A0028887EA3F}" type="pres">
      <dgm:prSet presAssocID="{2D8C139E-66CB-4311-8815-5F61B35166FA}" presName="rootText" presStyleLbl="node3" presStyleIdx="7" presStyleCnt="8">
        <dgm:presLayoutVars>
          <dgm:chPref val="3"/>
        </dgm:presLayoutVars>
      </dgm:prSet>
      <dgm:spPr>
        <a:prstGeom prst="rect">
          <a:avLst/>
        </a:prstGeom>
      </dgm:spPr>
    </dgm:pt>
    <dgm:pt modelId="{7BAE7FE7-B705-49BF-9B5D-81C92757ED8F}" type="pres">
      <dgm:prSet presAssocID="{2D8C139E-66CB-4311-8815-5F61B35166FA}" presName="rootConnector" presStyleLbl="node3" presStyleIdx="7" presStyleCnt="8"/>
      <dgm:spPr/>
    </dgm:pt>
    <dgm:pt modelId="{551F507C-43D7-4783-B251-5455451D3335}" type="pres">
      <dgm:prSet presAssocID="{2D8C139E-66CB-4311-8815-5F61B35166FA}" presName="hierChild4" presStyleCnt="0"/>
      <dgm:spPr/>
    </dgm:pt>
    <dgm:pt modelId="{79C745E4-246E-4C5C-96EE-371968CD71C0}" type="pres">
      <dgm:prSet presAssocID="{2D8C139E-66CB-4311-8815-5F61B35166FA}" presName="hierChild5" presStyleCnt="0"/>
      <dgm:spPr/>
    </dgm:pt>
    <dgm:pt modelId="{BC08266D-2383-43EF-AA08-9300CE9B0152}" type="pres">
      <dgm:prSet presAssocID="{74514112-D00A-43D1-8675-CA5F2316AD99}" presName="hierChild5" presStyleCnt="0"/>
      <dgm:spPr/>
    </dgm:pt>
    <dgm:pt modelId="{52E4204B-96F1-4808-9EE6-6ECD2024D056}" type="pres">
      <dgm:prSet presAssocID="{FC3A3050-A7C1-4BE0-A600-8491D254D481}" presName="hierChild3" presStyleCnt="0"/>
      <dgm:spPr/>
    </dgm:pt>
  </dgm:ptLst>
  <dgm:cxnLst>
    <dgm:cxn modelId="{1FC6F200-086E-4F74-983A-EE3C63366DDE}" srcId="{45F57E58-09A6-4041-8EA7-6CB95D626D2C}" destId="{3F32FAF9-72CC-4E86-B1D7-522E68F6D157}" srcOrd="2" destOrd="0" parTransId="{E58BB5C1-A366-45B4-9A77-8800E954EB7B}" sibTransId="{BE4DD948-479D-4A01-95BF-9237BB6541E3}"/>
    <dgm:cxn modelId="{8A65AB03-C1BB-4CB5-A621-557EB15AE52A}" type="presOf" srcId="{C0D8EA86-E89D-4CF1-91F4-1611324C6BC9}" destId="{C0F076AF-EE06-49D7-A96E-94A43FFE634A}" srcOrd="0" destOrd="0" presId="urn:microsoft.com/office/officeart/2005/8/layout/orgChart1"/>
    <dgm:cxn modelId="{0B7FD208-83FD-42FA-86D8-C87B167AD088}" type="presOf" srcId="{A41E8A2B-929D-4718-AEFE-606AE345052D}" destId="{82C24059-4C97-47EA-88F9-E9F45F74FD76}" srcOrd="0" destOrd="0" presId="urn:microsoft.com/office/officeart/2005/8/layout/orgChart1"/>
    <dgm:cxn modelId="{F098310A-61F1-4F39-AFB2-B23E5D0440C8}" type="presOf" srcId="{3F32FAF9-72CC-4E86-B1D7-522E68F6D157}" destId="{2CBC85DD-333D-4CCC-8DA4-DCED3DE699E8}" srcOrd="0" destOrd="0" presId="urn:microsoft.com/office/officeart/2005/8/layout/orgChart1"/>
    <dgm:cxn modelId="{D2908A0A-891B-418D-BE92-2B4C445A46A1}" type="presOf" srcId="{AE3DE834-98DE-4792-B784-5DAF926AA5C3}" destId="{B2250695-09B9-4089-B2BA-A9B71248890F}" srcOrd="0" destOrd="0" presId="urn:microsoft.com/office/officeart/2005/8/layout/orgChart1"/>
    <dgm:cxn modelId="{78C1F10C-79C3-4259-8838-2791FF08B2E3}" type="presOf" srcId="{19D852EF-58F1-46B7-B6DD-BB75AA0D3508}" destId="{6DC2EAEE-CFD2-434C-BE90-E5488625C2B0}" srcOrd="0" destOrd="0" presId="urn:microsoft.com/office/officeart/2005/8/layout/orgChart1"/>
    <dgm:cxn modelId="{EF8F140D-865E-4A23-90F7-107579757850}" srcId="{46810BFF-CE13-4BD7-A791-4A26C1D7F4E6}" destId="{A7D1F7EC-DC20-40F0-9B59-4297D2C337BC}" srcOrd="6" destOrd="0" parTransId="{BB472C5A-716A-4AC4-A89A-13834C587DDB}" sibTransId="{108A90C0-F826-441B-8E24-7CD12D01D418}"/>
    <dgm:cxn modelId="{0391A512-A750-4ED3-9474-8A2AB9251154}" srcId="{46810BFF-CE13-4BD7-A791-4A26C1D7F4E6}" destId="{F99E4A19-681D-4138-8B44-5EDB2213C1DD}" srcOrd="1" destOrd="0" parTransId="{17C7A4EF-BDF7-4DA1-80A0-D4BC498C86E0}" sibTransId="{6451CC80-00F0-485E-A3C9-50533C07DE9F}"/>
    <dgm:cxn modelId="{DBE7FA12-4C4E-43FE-8732-5496E513EDBA}" type="presOf" srcId="{E8B7E075-F6B5-4B47-B1D2-9123BCDA7D67}" destId="{4D952518-9B88-48CF-8E24-B9C4AB63F10C}" srcOrd="0" destOrd="0" presId="urn:microsoft.com/office/officeart/2005/8/layout/orgChart1"/>
    <dgm:cxn modelId="{0EC3E819-790E-4B36-929F-949D2E5FAFA2}" type="presOf" srcId="{8C76AEBB-28D3-4B9D-9BBB-D13168FE7D8D}" destId="{B35A6CCB-6A46-4924-81A2-52B3D744CAF3}" srcOrd="1" destOrd="0" presId="urn:microsoft.com/office/officeart/2005/8/layout/orgChart1"/>
    <dgm:cxn modelId="{85F7741B-7BDD-4046-A81A-C702A4F2438E}" type="presOf" srcId="{E58BB5C1-A366-45B4-9A77-8800E954EB7B}" destId="{E6BBDCAD-9B55-4768-99CB-D23858933EE8}" srcOrd="0" destOrd="0" presId="urn:microsoft.com/office/officeart/2005/8/layout/orgChart1"/>
    <dgm:cxn modelId="{BCD5101D-6335-4AA5-A53E-57E3EC67D9FD}" type="presOf" srcId="{6B7DD24F-5A05-4E04-9FBA-FF1E1EE83E4D}" destId="{165E279E-AE7B-48AD-A288-C681C8BBFC11}" srcOrd="0" destOrd="0" presId="urn:microsoft.com/office/officeart/2005/8/layout/orgChart1"/>
    <dgm:cxn modelId="{84AA8A1F-E838-437C-8C37-F7155C9B5FB5}" type="presOf" srcId="{00076602-F1EE-4997-9B5D-FB3EFE437518}" destId="{74481943-52A9-48A7-9C91-846635CEE1DB}" srcOrd="0" destOrd="0" presId="urn:microsoft.com/office/officeart/2005/8/layout/orgChart1"/>
    <dgm:cxn modelId="{B66A1520-1FCF-4B31-9ED6-65ADDEAF68EB}" type="presOf" srcId="{45F57E58-09A6-4041-8EA7-6CB95D626D2C}" destId="{469784AA-78EF-4254-8970-25A9DF31E1EA}" srcOrd="0" destOrd="0" presId="urn:microsoft.com/office/officeart/2005/8/layout/orgChart1"/>
    <dgm:cxn modelId="{48BD3724-D358-42D2-B1C3-222E2830A462}" type="presOf" srcId="{80FD7765-67B9-4519-BD65-9809827C9302}" destId="{0FD82B8B-8772-491A-B7BB-BC1D0472DE8D}" srcOrd="0" destOrd="0" presId="urn:microsoft.com/office/officeart/2005/8/layout/orgChart1"/>
    <dgm:cxn modelId="{8312EE2B-473E-40D3-B126-FBA9C74CBEC4}" type="presOf" srcId="{870E0617-D2FD-4B89-A9C2-1C9C313D493B}" destId="{1349516B-A88E-4850-A8A1-28B5FC7CE290}" srcOrd="1" destOrd="0" presId="urn:microsoft.com/office/officeart/2005/8/layout/orgChart1"/>
    <dgm:cxn modelId="{9C045B32-95D9-464F-8A78-554798561914}" type="presOf" srcId="{34488166-48CE-4A4F-A96F-6E8617871BB1}" destId="{5D4D30DC-4DB6-4CA9-949C-CEF3A484EB62}" srcOrd="0" destOrd="0" presId="urn:microsoft.com/office/officeart/2005/8/layout/orgChart1"/>
    <dgm:cxn modelId="{BF7D8636-9396-4403-B289-30BA3FD55EF7}" type="presOf" srcId="{74514112-D00A-43D1-8675-CA5F2316AD99}" destId="{F75104B7-3A36-462D-8897-F2E4A2AA6AF5}" srcOrd="0" destOrd="0" presId="urn:microsoft.com/office/officeart/2005/8/layout/orgChart1"/>
    <dgm:cxn modelId="{39CC9B39-DC7C-4786-B0D7-3F8DBE23039D}" type="presOf" srcId="{141E391F-5241-4184-AB51-AE9DCAE9FE7D}" destId="{E2CDACD5-FC19-47C5-8C57-8539C9D72575}" srcOrd="1" destOrd="0" presId="urn:microsoft.com/office/officeart/2005/8/layout/orgChart1"/>
    <dgm:cxn modelId="{CB128F3E-2C5A-41A7-A862-D673DA269755}" srcId="{8C76AEBB-28D3-4B9D-9BBB-D13168FE7D8D}" destId="{2C4C0284-3110-44B6-A8E3-C04ECDD253D2}" srcOrd="0" destOrd="0" parTransId="{19871646-6BDA-46C4-BF8E-65533C54A1BE}" sibTransId="{0531AD64-1444-4B76-9232-71D1DA6AA04B}"/>
    <dgm:cxn modelId="{3658683F-2F77-4909-A972-95E76E88697D}" type="presOf" srcId="{E542C0B9-EC69-4AC8-AFAB-E4A3AEF78264}" destId="{4B491B18-D341-4D97-8F04-D7C35416A0DC}" srcOrd="1" destOrd="0" presId="urn:microsoft.com/office/officeart/2005/8/layout/orgChart1"/>
    <dgm:cxn modelId="{57C96144-8D7D-43B7-8630-2238A6FA6268}" srcId="{6B7DD24F-5A05-4E04-9FBA-FF1E1EE83E4D}" destId="{FC3A3050-A7C1-4BE0-A600-8491D254D481}" srcOrd="0" destOrd="0" parTransId="{3A866F69-9929-4AB1-BE32-D0035B1CCB7F}" sibTransId="{45D19A40-5287-468F-BE4D-89ADD28CA2CF}"/>
    <dgm:cxn modelId="{BB562147-A1DC-4F53-907B-D1EDF9B7F21D}" type="presOf" srcId="{2C4C0284-3110-44B6-A8E3-C04ECDD253D2}" destId="{AF5653E6-B9AC-451A-8FBF-C44D50FA07D5}" srcOrd="1" destOrd="0" presId="urn:microsoft.com/office/officeart/2005/8/layout/orgChart1"/>
    <dgm:cxn modelId="{B9212C47-17CD-46B4-A675-878C619DF6C9}" type="presOf" srcId="{45F57E58-09A6-4041-8EA7-6CB95D626D2C}" destId="{57DA71F0-BE60-4E34-B0AC-A45DDE2D8B01}" srcOrd="1" destOrd="0" presId="urn:microsoft.com/office/officeart/2005/8/layout/orgChart1"/>
    <dgm:cxn modelId="{6C8B4B4C-059D-4A2A-923D-1D9C0ADBF006}" type="presOf" srcId="{2D8C139E-66CB-4311-8815-5F61B35166FA}" destId="{7BAE7FE7-B705-49BF-9B5D-81C92757ED8F}" srcOrd="1" destOrd="0" presId="urn:microsoft.com/office/officeart/2005/8/layout/orgChart1"/>
    <dgm:cxn modelId="{122E994D-59B9-4B36-A3F9-4C76212F3889}" srcId="{FC3A3050-A7C1-4BE0-A600-8491D254D481}" destId="{46810BFF-CE13-4BD7-A791-4A26C1D7F4E6}" srcOrd="0" destOrd="0" parTransId="{6193CE9C-C3A4-4707-8263-24156AF2A9F0}" sibTransId="{AECE0B91-7B91-467F-A705-1FF357535C38}"/>
    <dgm:cxn modelId="{CE203550-CEB7-49DE-AC44-B6E4CAE12446}" type="presOf" srcId="{B0B561F6-E960-4BC7-AA02-76D374F4783A}" destId="{A1C8861B-9D78-4DB6-9436-C96C57CFCA5D}" srcOrd="0" destOrd="0" presId="urn:microsoft.com/office/officeart/2005/8/layout/orgChart1"/>
    <dgm:cxn modelId="{BB95785A-649F-4D7D-97A6-743953A3E6B4}" type="presOf" srcId="{48A47006-3337-43F4-8B60-163068B6C1F0}" destId="{06181A32-13E2-4A12-8AD5-5110313A4D72}" srcOrd="1" destOrd="0" presId="urn:microsoft.com/office/officeart/2005/8/layout/orgChart1"/>
    <dgm:cxn modelId="{70384860-97E7-436E-8B67-D2EC43298C97}" srcId="{46810BFF-CE13-4BD7-A791-4A26C1D7F4E6}" destId="{DED0F1AC-0712-4D5D-AEEA-C6FBB4AB453D}" srcOrd="0" destOrd="0" parTransId="{AE3DE834-98DE-4792-B784-5DAF926AA5C3}" sibTransId="{D275ECBD-C8BB-4C72-BD28-0D8A12BB0E5E}"/>
    <dgm:cxn modelId="{62D6BB60-A811-4B39-B5FC-5A35510CBF63}" type="presOf" srcId="{FF4AE096-A190-4A87-B477-1D3B92F6B5B9}" destId="{088450D8-309F-4503-89AB-761678828902}" srcOrd="1" destOrd="0" presId="urn:microsoft.com/office/officeart/2005/8/layout/orgChart1"/>
    <dgm:cxn modelId="{45215A64-E9C6-4255-AB3C-392B90535E0D}" srcId="{46810BFF-CE13-4BD7-A791-4A26C1D7F4E6}" destId="{45F57E58-09A6-4041-8EA7-6CB95D626D2C}" srcOrd="5" destOrd="0" parTransId="{34488166-48CE-4A4F-A96F-6E8617871BB1}" sibTransId="{2CB6311B-10A7-484C-98C1-008C278B7543}"/>
    <dgm:cxn modelId="{3AB1D867-082C-46D8-B018-8B32F4DC295B}" type="presOf" srcId="{78579B32-1A5A-469F-9F9F-5DE5A7AD72CC}" destId="{557D6F38-F1BA-4C97-B858-7115BA3B1CCA}" srcOrd="0" destOrd="0" presId="urn:microsoft.com/office/officeart/2005/8/layout/orgChart1"/>
    <dgm:cxn modelId="{75C5496D-646B-47BB-B77A-C4BADE3CDACB}" type="presOf" srcId="{FC3A3050-A7C1-4BE0-A600-8491D254D481}" destId="{CC14CFEE-3E28-47BA-863F-C23E3DDEA2B5}" srcOrd="1" destOrd="0" presId="urn:microsoft.com/office/officeart/2005/8/layout/orgChart1"/>
    <dgm:cxn modelId="{4F2E766D-2D09-4FB4-BAD9-E2C2B274D3B8}" srcId="{46810BFF-CE13-4BD7-A791-4A26C1D7F4E6}" destId="{8C76AEBB-28D3-4B9D-9BBB-D13168FE7D8D}" srcOrd="3" destOrd="0" parTransId="{5382D58B-DC3D-4EA4-8557-09B5480CAA7F}" sibTransId="{ABC53CA9-58D1-480B-A6F6-C08A3683D903}"/>
    <dgm:cxn modelId="{16234670-028D-4CB4-B407-7AF50CA8DA36}" type="presOf" srcId="{E542C0B9-EC69-4AC8-AFAB-E4A3AEF78264}" destId="{F837EB95-F098-4B4D-99E4-C459089934EC}" srcOrd="0" destOrd="0" presId="urn:microsoft.com/office/officeart/2005/8/layout/orgChart1"/>
    <dgm:cxn modelId="{31604A7D-4A0F-4A26-B043-7CFBAE4E5437}" type="presOf" srcId="{A7D1F7EC-DC20-40F0-9B59-4297D2C337BC}" destId="{D9AEA94C-403B-4E1A-9AFE-B5DC335286D5}" srcOrd="1" destOrd="0" presId="urn:microsoft.com/office/officeart/2005/8/layout/orgChart1"/>
    <dgm:cxn modelId="{B81A397F-12BC-410F-B58D-9D0DB7DE3362}" type="presOf" srcId="{BB472C5A-716A-4AC4-A89A-13834C587DDB}" destId="{3611A955-7D26-4EAD-8F91-2298559D511C}" srcOrd="0" destOrd="0" presId="urn:microsoft.com/office/officeart/2005/8/layout/orgChart1"/>
    <dgm:cxn modelId="{A092AF80-8172-496F-BF05-B5AD0D94A969}" type="presOf" srcId="{7820A719-4FDC-46BF-84B7-07B2F49DA420}" destId="{0DD17EA0-F367-4E0F-ACEC-0EB616FDB2E3}" srcOrd="0" destOrd="0" presId="urn:microsoft.com/office/officeart/2005/8/layout/orgChart1"/>
    <dgm:cxn modelId="{48316281-674A-4BFA-9E5A-8627C4F6F919}" type="presOf" srcId="{DED0F1AC-0712-4D5D-AEEA-C6FBB4AB453D}" destId="{83DE890F-5C60-4353-866F-6D9E85F72884}" srcOrd="0" destOrd="0" presId="urn:microsoft.com/office/officeart/2005/8/layout/orgChart1"/>
    <dgm:cxn modelId="{61448D81-9F2F-4B3A-A9B3-98F08D1DFD40}" type="presOf" srcId="{74514112-D00A-43D1-8675-CA5F2316AD99}" destId="{8BC33DF5-B65D-4205-9CB6-697FF278E321}" srcOrd="1" destOrd="0" presId="urn:microsoft.com/office/officeart/2005/8/layout/orgChart1"/>
    <dgm:cxn modelId="{1C43AC83-DD68-4834-BD11-9F151EA8110F}" type="presOf" srcId="{8C76AEBB-28D3-4B9D-9BBB-D13168FE7D8D}" destId="{44E75037-8008-4B75-9392-C1CAB3C34267}" srcOrd="0" destOrd="0" presId="urn:microsoft.com/office/officeart/2005/8/layout/orgChart1"/>
    <dgm:cxn modelId="{450F8487-4631-4CE0-8345-095B576558ED}" type="presOf" srcId="{870E0617-D2FD-4B89-A9C2-1C9C313D493B}" destId="{12783F88-2CBE-4C69-BD73-95CF228CA239}" srcOrd="0" destOrd="0" presId="urn:microsoft.com/office/officeart/2005/8/layout/orgChart1"/>
    <dgm:cxn modelId="{399B4188-8B84-4929-A733-77E34AEDF160}" type="presOf" srcId="{B2B06D30-E6B1-4540-B63B-B9E5C49BF82F}" destId="{D04FD7E4-5B54-4EC9-89BD-9571DAD1E579}" srcOrd="0" destOrd="0" presId="urn:microsoft.com/office/officeart/2005/8/layout/orgChart1"/>
    <dgm:cxn modelId="{FC867488-8502-48C3-9149-5B3CE37D7943}" srcId="{45F57E58-09A6-4041-8EA7-6CB95D626D2C}" destId="{00076602-F1EE-4997-9B5D-FB3EFE437518}" srcOrd="3" destOrd="0" parTransId="{78579B32-1A5A-469F-9F9F-5DE5A7AD72CC}" sibTransId="{2B170388-0883-4498-8B11-16663D60615F}"/>
    <dgm:cxn modelId="{47EEB38E-9C90-4691-B90C-6C17463FD08C}" type="presOf" srcId="{C0D3E0A7-9DF9-4A8E-8216-D2BC65031493}" destId="{8B2E3639-FE3B-42AF-A442-E441474A42C5}" srcOrd="1" destOrd="0" presId="urn:microsoft.com/office/officeart/2005/8/layout/orgChart1"/>
    <dgm:cxn modelId="{24CC8A93-7517-4042-A25F-975146AAC2A9}" type="presOf" srcId="{DED0F1AC-0712-4D5D-AEEA-C6FBB4AB453D}" destId="{F0E84620-5398-4414-8225-AAD7477830D1}" srcOrd="1" destOrd="0" presId="urn:microsoft.com/office/officeart/2005/8/layout/orgChart1"/>
    <dgm:cxn modelId="{9326CE96-7D9C-4388-8C85-6EC23D7B3B48}" type="presOf" srcId="{2C4C0284-3110-44B6-A8E3-C04ECDD253D2}" destId="{18FACC5D-F355-4CA8-BF55-4E66B55DD783}" srcOrd="0" destOrd="0" presId="urn:microsoft.com/office/officeart/2005/8/layout/orgChart1"/>
    <dgm:cxn modelId="{ED62D799-2F72-4509-89D5-27A274570205}" srcId="{FC3A3050-A7C1-4BE0-A600-8491D254D481}" destId="{74514112-D00A-43D1-8675-CA5F2316AD99}" srcOrd="1" destOrd="0" parTransId="{3386B365-1CBA-4E65-9F1C-9705897C5371}" sibTransId="{99C9FA97-50C1-4474-A178-98E8BC94B034}"/>
    <dgm:cxn modelId="{D6A1ED9C-9F2B-423E-9B9C-C2E81C041475}" type="presOf" srcId="{5382D58B-DC3D-4EA4-8557-09B5480CAA7F}" destId="{DB471C3E-B684-4A01-AB81-B5A9079CAC8A}" srcOrd="0" destOrd="0" presId="urn:microsoft.com/office/officeart/2005/8/layout/orgChart1"/>
    <dgm:cxn modelId="{768D0D9E-0FD9-4850-8AE9-0E1A2620FE1D}" type="presOf" srcId="{3386B365-1CBA-4E65-9F1C-9705897C5371}" destId="{A2F00000-DABC-417D-B307-C48811AA7906}" srcOrd="0" destOrd="0" presId="urn:microsoft.com/office/officeart/2005/8/layout/orgChart1"/>
    <dgm:cxn modelId="{3D00239F-B0FC-4DE3-849D-B9AD7A7E6D78}" srcId="{45F57E58-09A6-4041-8EA7-6CB95D626D2C}" destId="{1762E816-BD25-45E1-A9AE-EE9D42D3DF60}" srcOrd="0" destOrd="0" parTransId="{80FD7765-67B9-4519-BD65-9809827C9302}" sibTransId="{7E30C9BD-7AB8-4D61-934E-77378AEDAFBA}"/>
    <dgm:cxn modelId="{F2251FA0-1329-42DE-937E-94ACE5BFA484}" type="presOf" srcId="{00076602-F1EE-4997-9B5D-FB3EFE437518}" destId="{134802D9-5F47-416D-890F-391D929E9BC6}" srcOrd="1" destOrd="0" presId="urn:microsoft.com/office/officeart/2005/8/layout/orgChart1"/>
    <dgm:cxn modelId="{83A608A2-4D2C-407C-BC43-122063B4E401}" srcId="{46810BFF-CE13-4BD7-A791-4A26C1D7F4E6}" destId="{870E0617-D2FD-4B89-A9C2-1C9C313D493B}" srcOrd="2" destOrd="0" parTransId="{D240554D-5114-41D2-9644-30EADA467325}" sibTransId="{474E9B24-D58B-48AD-A5DC-C8AD5F48DB83}"/>
    <dgm:cxn modelId="{1F5305A7-7A6A-4936-9B29-4B1CC194316D}" type="presOf" srcId="{19871646-6BDA-46C4-BF8E-65533C54A1BE}" destId="{253E5938-27E6-4675-8B2E-6D7524B04AB3}" srcOrd="0" destOrd="0" presId="urn:microsoft.com/office/officeart/2005/8/layout/orgChart1"/>
    <dgm:cxn modelId="{AEBB6FA8-0EED-42BB-9813-1D76C0C3DDF0}" srcId="{48A47006-3337-43F4-8B60-163068B6C1F0}" destId="{A41E8A2B-929D-4718-AEFE-606AE345052D}" srcOrd="0" destOrd="0" parTransId="{F41C737C-A92B-4503-A37A-EAB793DAD9BB}" sibTransId="{4516C9EB-4BB5-4C03-BB1E-4D8476A04EE3}"/>
    <dgm:cxn modelId="{A0364BAD-9903-449C-BFD2-E726BEC8F2AD}" type="presOf" srcId="{1762E816-BD25-45E1-A9AE-EE9D42D3DF60}" destId="{80952B6B-ECAB-4CD7-B05D-CA7F30459875}" srcOrd="1" destOrd="0" presId="urn:microsoft.com/office/officeart/2005/8/layout/orgChart1"/>
    <dgm:cxn modelId="{76E7D8B1-E2CD-4B49-A475-8AC203154D08}" type="presOf" srcId="{48A47006-3337-43F4-8B60-163068B6C1F0}" destId="{8165381D-88CE-4523-B5F5-0321E178F83F}" srcOrd="0" destOrd="0" presId="urn:microsoft.com/office/officeart/2005/8/layout/orgChart1"/>
    <dgm:cxn modelId="{653558B3-65B9-4497-AC6C-A9AF352E0CED}" type="presOf" srcId="{6193CE9C-C3A4-4707-8263-24156AF2A9F0}" destId="{A8940E91-4049-423D-956C-AB9D4F04B94A}" srcOrd="0" destOrd="0" presId="urn:microsoft.com/office/officeart/2005/8/layout/orgChart1"/>
    <dgm:cxn modelId="{603D19B8-861F-4A7D-9246-7025DF161748}" type="presOf" srcId="{141E391F-5241-4184-AB51-AE9DCAE9FE7D}" destId="{2F218579-1F9B-4C58-A8B0-0B6401889E1C}" srcOrd="0" destOrd="0" presId="urn:microsoft.com/office/officeart/2005/8/layout/orgChart1"/>
    <dgm:cxn modelId="{751F7AB9-FE60-4BE1-AD7D-47432F5AE573}" type="presOf" srcId="{5385FDD3-D218-482C-99E0-0514F664C514}" destId="{92EC427B-C7C1-462C-9EB5-4BE011AE9A42}" srcOrd="0" destOrd="0" presId="urn:microsoft.com/office/officeart/2005/8/layout/orgChart1"/>
    <dgm:cxn modelId="{0892AFBB-774F-4A39-8F48-4E727F5F8336}" type="presOf" srcId="{FC3A3050-A7C1-4BE0-A600-8491D254D481}" destId="{48E185D4-A032-430A-A5F3-B4D9399D2EEB}" srcOrd="0" destOrd="0" presId="urn:microsoft.com/office/officeart/2005/8/layout/orgChart1"/>
    <dgm:cxn modelId="{383478C1-E1CE-44D4-8D6E-74C6CF2DBF10}" type="presOf" srcId="{2D8C139E-66CB-4311-8815-5F61B35166FA}" destId="{1E3A5243-E65B-4DCB-93E3-A0028887EA3F}" srcOrd="0" destOrd="0" presId="urn:microsoft.com/office/officeart/2005/8/layout/orgChart1"/>
    <dgm:cxn modelId="{247D9CC1-CBD4-40D6-98BA-89C42C89C38A}" type="presOf" srcId="{D240554D-5114-41D2-9644-30EADA467325}" destId="{922F25D4-455D-4FE0-876E-F96007292C16}" srcOrd="0" destOrd="0" presId="urn:microsoft.com/office/officeart/2005/8/layout/orgChart1"/>
    <dgm:cxn modelId="{500E2BC2-7063-4441-8282-CC20E3E22D3A}" srcId="{48A47006-3337-43F4-8B60-163068B6C1F0}" destId="{FF4AE096-A190-4A87-B477-1D3B92F6B5B9}" srcOrd="1" destOrd="0" parTransId="{B0B561F6-E960-4BC7-AA02-76D374F4783A}" sibTransId="{7152F839-D971-4BDC-B1E0-54B0279940D7}"/>
    <dgm:cxn modelId="{608D68C2-163A-4223-AA9B-C9FB35A15807}" type="presOf" srcId="{C0D3E0A7-9DF9-4A8E-8216-D2BC65031493}" destId="{2D5B008E-5295-4979-8B7E-0BABE12DFF5D}" srcOrd="0" destOrd="0" presId="urn:microsoft.com/office/officeart/2005/8/layout/orgChart1"/>
    <dgm:cxn modelId="{D29FBFC5-60B5-4B84-845E-F4FAA3D7891D}" type="presOf" srcId="{96C78F11-0A52-4945-B96C-62D60770409E}" destId="{648BD9E0-4316-4C50-B9D9-8758EB0BD09B}" srcOrd="0" destOrd="0" presId="urn:microsoft.com/office/officeart/2005/8/layout/orgChart1"/>
    <dgm:cxn modelId="{2D82BAC8-68C9-4DAD-8F48-4C6DFCCD42D5}" type="presOf" srcId="{96C78F11-0A52-4945-B96C-62D60770409E}" destId="{C2479D19-52BA-4416-BF0F-2D44BC7F2CDA}" srcOrd="1" destOrd="0" presId="urn:microsoft.com/office/officeart/2005/8/layout/orgChart1"/>
    <dgm:cxn modelId="{3EEA04CE-372E-47C4-AD18-8F9F4665175F}" type="presOf" srcId="{17C7A4EF-BDF7-4DA1-80A0-D4BC498C86E0}" destId="{9C73BEF0-862F-416F-BFA3-99888E0B955F}" srcOrd="0" destOrd="0" presId="urn:microsoft.com/office/officeart/2005/8/layout/orgChart1"/>
    <dgm:cxn modelId="{16CC23D5-9C82-49A3-8A75-CED5F6BC757D}" srcId="{46810BFF-CE13-4BD7-A791-4A26C1D7F4E6}" destId="{48A47006-3337-43F4-8B60-163068B6C1F0}" srcOrd="4" destOrd="0" parTransId="{5385FDD3-D218-482C-99E0-0514F664C514}" sibTransId="{D99DBF0C-A157-4439-9F91-9355ED6CCFF9}"/>
    <dgm:cxn modelId="{C38573D6-1382-437B-AB0D-7BE390760998}" type="presOf" srcId="{A7D1F7EC-DC20-40F0-9B59-4297D2C337BC}" destId="{769825F6-CC3C-4E34-86AD-706220BE75A7}" srcOrd="0" destOrd="0" presId="urn:microsoft.com/office/officeart/2005/8/layout/orgChart1"/>
    <dgm:cxn modelId="{556B04D7-AF77-4BFD-B2E1-2E23FB95858E}" type="presOf" srcId="{46810BFF-CE13-4BD7-A791-4A26C1D7F4E6}" destId="{1FFC5953-E83B-4A81-8C9A-9490B3C0A180}" srcOrd="1" destOrd="0" presId="urn:microsoft.com/office/officeart/2005/8/layout/orgChart1"/>
    <dgm:cxn modelId="{A6CD7ED7-7D4F-4D25-BA02-42099D1ED9B8}" type="presOf" srcId="{F41C737C-A92B-4503-A37A-EAB793DAD9BB}" destId="{D0034110-7D14-4C74-A6D7-E1CFB39216EF}" srcOrd="0" destOrd="0" presId="urn:microsoft.com/office/officeart/2005/8/layout/orgChart1"/>
    <dgm:cxn modelId="{74BA8CDC-2AC2-428F-9ACF-9FEA5AEB1B81}" type="presOf" srcId="{3F32FAF9-72CC-4E86-B1D7-522E68F6D157}" destId="{2FE6F7DC-A284-437D-AA33-786E3A286DBF}" srcOrd="1" destOrd="0" presId="urn:microsoft.com/office/officeart/2005/8/layout/orgChart1"/>
    <dgm:cxn modelId="{22E4C3DC-94E7-4EE7-86DB-23383A98EC3E}" srcId="{96C78F11-0A52-4945-B96C-62D60770409E}" destId="{141E391F-5241-4184-AB51-AE9DCAE9FE7D}" srcOrd="0" destOrd="0" parTransId="{B2B06D30-E6B1-4540-B63B-B9E5C49BF82F}" sibTransId="{569BFB23-FDF0-4F05-A166-B10A86DFD22D}"/>
    <dgm:cxn modelId="{EF8F33DD-5312-4F0C-B718-3B2E6E1B5DB2}" srcId="{74514112-D00A-43D1-8675-CA5F2316AD99}" destId="{2D8C139E-66CB-4311-8815-5F61B35166FA}" srcOrd="0" destOrd="0" parTransId="{7820A719-4FDC-46BF-84B7-07B2F49DA420}" sibTransId="{F488F6B2-6E38-477A-90D7-E8B6931DD328}"/>
    <dgm:cxn modelId="{00360DDF-4556-4738-BA98-640D42266F32}" type="presOf" srcId="{F99E4A19-681D-4138-8B44-5EDB2213C1DD}" destId="{C95F42E0-BFB5-4906-83A2-90D5885C47DD}" srcOrd="0" destOrd="0" presId="urn:microsoft.com/office/officeart/2005/8/layout/orgChart1"/>
    <dgm:cxn modelId="{018C0EE4-A3BC-4B19-916C-E473ABB57B76}" srcId="{45F57E58-09A6-4041-8EA7-6CB95D626D2C}" destId="{E542C0B9-EC69-4AC8-AFAB-E4A3AEF78264}" srcOrd="1" destOrd="0" parTransId="{E8B7E075-F6B5-4B47-B1D2-9123BCDA7D67}" sibTransId="{66EFDEFF-78BC-4429-9713-B17918884CD0}"/>
    <dgm:cxn modelId="{701D7DE8-B541-4D7D-9457-CF6F6D2A9414}" type="presOf" srcId="{46810BFF-CE13-4BD7-A791-4A26C1D7F4E6}" destId="{000CD497-B96C-405C-9560-94DF0374ACE4}" srcOrd="0" destOrd="0" presId="urn:microsoft.com/office/officeart/2005/8/layout/orgChart1"/>
    <dgm:cxn modelId="{618DC3EB-EB6B-4ED5-9DC9-FF1D5EE565D2}" type="presOf" srcId="{A41E8A2B-929D-4718-AEFE-606AE345052D}" destId="{E8782A78-91F0-4CB9-B6B1-C5112212BE15}" srcOrd="1" destOrd="0" presId="urn:microsoft.com/office/officeart/2005/8/layout/orgChart1"/>
    <dgm:cxn modelId="{02CEECEC-842D-4C3F-92BA-04AEA070F6B4}" type="presOf" srcId="{F99E4A19-681D-4138-8B44-5EDB2213C1DD}" destId="{BE283A1E-9910-479E-B4F1-F446385AB45C}" srcOrd="1" destOrd="0" presId="urn:microsoft.com/office/officeart/2005/8/layout/orgChart1"/>
    <dgm:cxn modelId="{10769BED-91FE-4A90-A1D9-D1939C669B95}" type="presOf" srcId="{FF4AE096-A190-4A87-B477-1D3B92F6B5B9}" destId="{E6385C64-3A77-4CCD-83F3-1B9AB186657D}" srcOrd="0" destOrd="0" presId="urn:microsoft.com/office/officeart/2005/8/layout/orgChart1"/>
    <dgm:cxn modelId="{A4AE71F3-A637-4FC6-8CEC-E46354F59565}" srcId="{2C4C0284-3110-44B6-A8E3-C04ECDD253D2}" destId="{96C78F11-0A52-4945-B96C-62D60770409E}" srcOrd="0" destOrd="0" parTransId="{19D852EF-58F1-46B7-B6DD-BB75AA0D3508}" sibTransId="{E8D4D2FD-22B3-41B2-8DBC-618DCF0C909A}"/>
    <dgm:cxn modelId="{941CA2F3-C025-4E88-93B9-3ABDB174168B}" srcId="{48A47006-3337-43F4-8B60-163068B6C1F0}" destId="{C0D3E0A7-9DF9-4A8E-8216-D2BC65031493}" srcOrd="2" destOrd="0" parTransId="{C0D8EA86-E89D-4CF1-91F4-1611324C6BC9}" sibTransId="{9DF36267-4792-4B5A-A12D-7E8D300D306A}"/>
    <dgm:cxn modelId="{B2DE7CFF-2CB3-4302-BC8B-ABEEEED136C3}" type="presOf" srcId="{1762E816-BD25-45E1-A9AE-EE9D42D3DF60}" destId="{4282575D-A3CF-4BE3-9A1C-DCBE0FADBA3F}" srcOrd="0" destOrd="0" presId="urn:microsoft.com/office/officeart/2005/8/layout/orgChart1"/>
    <dgm:cxn modelId="{2A689AC6-59F6-4F9C-981B-CF80363D1DCA}" type="presParOf" srcId="{165E279E-AE7B-48AD-A288-C681C8BBFC11}" destId="{0C13629E-7B31-4104-919F-570A17E47707}" srcOrd="0" destOrd="0" presId="urn:microsoft.com/office/officeart/2005/8/layout/orgChart1"/>
    <dgm:cxn modelId="{B501C07D-EE06-4750-8B68-9F15AE596F97}" type="presParOf" srcId="{0C13629E-7B31-4104-919F-570A17E47707}" destId="{7A84BAD0-E19B-4D7C-A726-4A8628FFC6A4}" srcOrd="0" destOrd="0" presId="urn:microsoft.com/office/officeart/2005/8/layout/orgChart1"/>
    <dgm:cxn modelId="{DA040AC0-AF8F-42B0-A68A-505F5AC0F2C5}" type="presParOf" srcId="{7A84BAD0-E19B-4D7C-A726-4A8628FFC6A4}" destId="{48E185D4-A032-430A-A5F3-B4D9399D2EEB}" srcOrd="0" destOrd="0" presId="urn:microsoft.com/office/officeart/2005/8/layout/orgChart1"/>
    <dgm:cxn modelId="{EE78E7FC-0ED4-4A65-B0D7-0174FDBE079C}" type="presParOf" srcId="{7A84BAD0-E19B-4D7C-A726-4A8628FFC6A4}" destId="{CC14CFEE-3E28-47BA-863F-C23E3DDEA2B5}" srcOrd="1" destOrd="0" presId="urn:microsoft.com/office/officeart/2005/8/layout/orgChart1"/>
    <dgm:cxn modelId="{6C965E92-10F1-405C-ADA9-8A711C883542}" type="presParOf" srcId="{0C13629E-7B31-4104-919F-570A17E47707}" destId="{CD6973D2-6746-41B2-B080-56E3350D2CDE}" srcOrd="1" destOrd="0" presId="urn:microsoft.com/office/officeart/2005/8/layout/orgChart1"/>
    <dgm:cxn modelId="{1D368D25-29EB-46F1-9DB0-8CFFC7E7BA7F}" type="presParOf" srcId="{CD6973D2-6746-41B2-B080-56E3350D2CDE}" destId="{A8940E91-4049-423D-956C-AB9D4F04B94A}" srcOrd="0" destOrd="0" presId="urn:microsoft.com/office/officeart/2005/8/layout/orgChart1"/>
    <dgm:cxn modelId="{EF8B0A35-A7EE-4E84-A3D7-9416F2111268}" type="presParOf" srcId="{CD6973D2-6746-41B2-B080-56E3350D2CDE}" destId="{2FE7E791-037D-442D-883F-D1514983278A}" srcOrd="1" destOrd="0" presId="urn:microsoft.com/office/officeart/2005/8/layout/orgChart1"/>
    <dgm:cxn modelId="{A8724257-D697-4BCE-A88E-63591952CF1C}" type="presParOf" srcId="{2FE7E791-037D-442D-883F-D1514983278A}" destId="{5A0E8731-70BE-4953-8CFD-1B867F17A524}" srcOrd="0" destOrd="0" presId="urn:microsoft.com/office/officeart/2005/8/layout/orgChart1"/>
    <dgm:cxn modelId="{C5096485-B7D6-43EB-8167-C08CC5010C93}" type="presParOf" srcId="{5A0E8731-70BE-4953-8CFD-1B867F17A524}" destId="{000CD497-B96C-405C-9560-94DF0374ACE4}" srcOrd="0" destOrd="0" presId="urn:microsoft.com/office/officeart/2005/8/layout/orgChart1"/>
    <dgm:cxn modelId="{A00ABF2B-35BD-4796-ABE7-96A15796FCB3}" type="presParOf" srcId="{5A0E8731-70BE-4953-8CFD-1B867F17A524}" destId="{1FFC5953-E83B-4A81-8C9A-9490B3C0A180}" srcOrd="1" destOrd="0" presId="urn:microsoft.com/office/officeart/2005/8/layout/orgChart1"/>
    <dgm:cxn modelId="{5B751ABC-D234-44CC-8F53-E51631DF2CCA}" type="presParOf" srcId="{2FE7E791-037D-442D-883F-D1514983278A}" destId="{7912F754-F0B1-41B3-A1BB-33C3AF4763D6}" srcOrd="1" destOrd="0" presId="urn:microsoft.com/office/officeart/2005/8/layout/orgChart1"/>
    <dgm:cxn modelId="{EE3CE470-07E2-4FF2-B641-17F4E18E65DF}" type="presParOf" srcId="{7912F754-F0B1-41B3-A1BB-33C3AF4763D6}" destId="{B2250695-09B9-4089-B2BA-A9B71248890F}" srcOrd="0" destOrd="0" presId="urn:microsoft.com/office/officeart/2005/8/layout/orgChart1"/>
    <dgm:cxn modelId="{7CED61BB-2B65-45D3-9528-A12997BE8B18}" type="presParOf" srcId="{7912F754-F0B1-41B3-A1BB-33C3AF4763D6}" destId="{A8DA2E0A-4804-4825-B9D7-DC716FA4EAB9}" srcOrd="1" destOrd="0" presId="urn:microsoft.com/office/officeart/2005/8/layout/orgChart1"/>
    <dgm:cxn modelId="{8E21EAFC-4E67-4C73-98CA-B58E2C67E2D7}" type="presParOf" srcId="{A8DA2E0A-4804-4825-B9D7-DC716FA4EAB9}" destId="{ACC3B6CB-6916-49D0-BC9D-2345B0088FAE}" srcOrd="0" destOrd="0" presId="urn:microsoft.com/office/officeart/2005/8/layout/orgChart1"/>
    <dgm:cxn modelId="{EB77E1D9-2676-43E6-B4AE-F2407908FA7E}" type="presParOf" srcId="{ACC3B6CB-6916-49D0-BC9D-2345B0088FAE}" destId="{83DE890F-5C60-4353-866F-6D9E85F72884}" srcOrd="0" destOrd="0" presId="urn:microsoft.com/office/officeart/2005/8/layout/orgChart1"/>
    <dgm:cxn modelId="{FFD22410-B26C-40C8-8506-FD21BEAB2FCC}" type="presParOf" srcId="{ACC3B6CB-6916-49D0-BC9D-2345B0088FAE}" destId="{F0E84620-5398-4414-8225-AAD7477830D1}" srcOrd="1" destOrd="0" presId="urn:microsoft.com/office/officeart/2005/8/layout/orgChart1"/>
    <dgm:cxn modelId="{B0FCB06F-0FE8-488B-B06F-072F8DAB3606}" type="presParOf" srcId="{A8DA2E0A-4804-4825-B9D7-DC716FA4EAB9}" destId="{1D38AD1C-C7E2-4E1D-BB57-8771520751DA}" srcOrd="1" destOrd="0" presId="urn:microsoft.com/office/officeart/2005/8/layout/orgChart1"/>
    <dgm:cxn modelId="{1CDF50F2-3D88-4960-8117-73EBA67DB3F3}" type="presParOf" srcId="{A8DA2E0A-4804-4825-B9D7-DC716FA4EAB9}" destId="{A9B9DEB2-AB6D-4356-9D84-8736E4BFF21E}" srcOrd="2" destOrd="0" presId="urn:microsoft.com/office/officeart/2005/8/layout/orgChart1"/>
    <dgm:cxn modelId="{506C93E3-DB5C-4F77-9847-15A454553C4F}" type="presParOf" srcId="{7912F754-F0B1-41B3-A1BB-33C3AF4763D6}" destId="{9C73BEF0-862F-416F-BFA3-99888E0B955F}" srcOrd="2" destOrd="0" presId="urn:microsoft.com/office/officeart/2005/8/layout/orgChart1"/>
    <dgm:cxn modelId="{117715C1-3C36-4247-9B5B-429FD9D87747}" type="presParOf" srcId="{7912F754-F0B1-41B3-A1BB-33C3AF4763D6}" destId="{E7A48F1D-6285-4191-993C-DC2FC28D580C}" srcOrd="3" destOrd="0" presId="urn:microsoft.com/office/officeart/2005/8/layout/orgChart1"/>
    <dgm:cxn modelId="{B036A143-56BA-426A-8004-1050243049DC}" type="presParOf" srcId="{E7A48F1D-6285-4191-993C-DC2FC28D580C}" destId="{423FF653-7F5F-41D1-898C-D3CFA736F27F}" srcOrd="0" destOrd="0" presId="urn:microsoft.com/office/officeart/2005/8/layout/orgChart1"/>
    <dgm:cxn modelId="{4BD9A7DE-C922-45C8-9E7B-B53219FCEEC1}" type="presParOf" srcId="{423FF653-7F5F-41D1-898C-D3CFA736F27F}" destId="{C95F42E0-BFB5-4906-83A2-90D5885C47DD}" srcOrd="0" destOrd="0" presId="urn:microsoft.com/office/officeart/2005/8/layout/orgChart1"/>
    <dgm:cxn modelId="{B5AF99E8-E84B-428D-AC86-C273989E2936}" type="presParOf" srcId="{423FF653-7F5F-41D1-898C-D3CFA736F27F}" destId="{BE283A1E-9910-479E-B4F1-F446385AB45C}" srcOrd="1" destOrd="0" presId="urn:microsoft.com/office/officeart/2005/8/layout/orgChart1"/>
    <dgm:cxn modelId="{9C9F4538-98FE-46C9-BE43-CE6380E9F87B}" type="presParOf" srcId="{E7A48F1D-6285-4191-993C-DC2FC28D580C}" destId="{90DD31BC-5927-4229-AD7D-A03F8B9BAA51}" srcOrd="1" destOrd="0" presId="urn:microsoft.com/office/officeart/2005/8/layout/orgChart1"/>
    <dgm:cxn modelId="{FEEAFFAF-4A30-475A-8BEA-FEDA5A298A2C}" type="presParOf" srcId="{E7A48F1D-6285-4191-993C-DC2FC28D580C}" destId="{FC62A9E9-D1B8-4ADF-B93D-D638B507F381}" srcOrd="2" destOrd="0" presId="urn:microsoft.com/office/officeart/2005/8/layout/orgChart1"/>
    <dgm:cxn modelId="{E4986294-F8C3-47D1-89F3-9EE25BA2A375}" type="presParOf" srcId="{7912F754-F0B1-41B3-A1BB-33C3AF4763D6}" destId="{922F25D4-455D-4FE0-876E-F96007292C16}" srcOrd="4" destOrd="0" presId="urn:microsoft.com/office/officeart/2005/8/layout/orgChart1"/>
    <dgm:cxn modelId="{82652DDA-12C0-49A8-85D7-F553466D4CA8}" type="presParOf" srcId="{7912F754-F0B1-41B3-A1BB-33C3AF4763D6}" destId="{563BC76D-4C1A-4B69-8F9A-40AC8A26A1E4}" srcOrd="5" destOrd="0" presId="urn:microsoft.com/office/officeart/2005/8/layout/orgChart1"/>
    <dgm:cxn modelId="{AD0F95E5-F163-46CD-85C4-1F19167E75F8}" type="presParOf" srcId="{563BC76D-4C1A-4B69-8F9A-40AC8A26A1E4}" destId="{187BCE7A-81D6-4E6F-88CF-AB7FEB073E4F}" srcOrd="0" destOrd="0" presId="urn:microsoft.com/office/officeart/2005/8/layout/orgChart1"/>
    <dgm:cxn modelId="{83339218-205E-4EDF-AE97-E8CB12108BF1}" type="presParOf" srcId="{187BCE7A-81D6-4E6F-88CF-AB7FEB073E4F}" destId="{12783F88-2CBE-4C69-BD73-95CF228CA239}" srcOrd="0" destOrd="0" presId="urn:microsoft.com/office/officeart/2005/8/layout/orgChart1"/>
    <dgm:cxn modelId="{F7333FB2-368C-4EB4-A580-3477F04FB648}" type="presParOf" srcId="{187BCE7A-81D6-4E6F-88CF-AB7FEB073E4F}" destId="{1349516B-A88E-4850-A8A1-28B5FC7CE290}" srcOrd="1" destOrd="0" presId="urn:microsoft.com/office/officeart/2005/8/layout/orgChart1"/>
    <dgm:cxn modelId="{69BA1879-39E2-44DD-A999-795C2F5F21DF}" type="presParOf" srcId="{563BC76D-4C1A-4B69-8F9A-40AC8A26A1E4}" destId="{EB5F868E-1DF9-472B-B309-1EFC9B9B9CAC}" srcOrd="1" destOrd="0" presId="urn:microsoft.com/office/officeart/2005/8/layout/orgChart1"/>
    <dgm:cxn modelId="{1DA281AC-7E5F-414F-944C-1388087E6EAA}" type="presParOf" srcId="{563BC76D-4C1A-4B69-8F9A-40AC8A26A1E4}" destId="{813317B7-9705-4E75-B0E3-B273ED3DEE57}" srcOrd="2" destOrd="0" presId="urn:microsoft.com/office/officeart/2005/8/layout/orgChart1"/>
    <dgm:cxn modelId="{56957A7D-B738-4668-897F-B878EE945670}" type="presParOf" srcId="{7912F754-F0B1-41B3-A1BB-33C3AF4763D6}" destId="{DB471C3E-B684-4A01-AB81-B5A9079CAC8A}" srcOrd="6" destOrd="0" presId="urn:microsoft.com/office/officeart/2005/8/layout/orgChart1"/>
    <dgm:cxn modelId="{8048EBC2-AFFB-4F37-9361-B509CC9C0011}" type="presParOf" srcId="{7912F754-F0B1-41B3-A1BB-33C3AF4763D6}" destId="{5B0282F4-FAD1-4FBC-99AF-34F8CF9EE935}" srcOrd="7" destOrd="0" presId="urn:microsoft.com/office/officeart/2005/8/layout/orgChart1"/>
    <dgm:cxn modelId="{E9AD8A90-9CC2-49CE-92C5-CE3BC5DAF138}" type="presParOf" srcId="{5B0282F4-FAD1-4FBC-99AF-34F8CF9EE935}" destId="{7BB1DFC5-F6C8-4CB8-9778-6CBD255F3A34}" srcOrd="0" destOrd="0" presId="urn:microsoft.com/office/officeart/2005/8/layout/orgChart1"/>
    <dgm:cxn modelId="{1E84279E-87BB-42B5-9EC2-036BF9E670D8}" type="presParOf" srcId="{7BB1DFC5-F6C8-4CB8-9778-6CBD255F3A34}" destId="{44E75037-8008-4B75-9392-C1CAB3C34267}" srcOrd="0" destOrd="0" presId="urn:microsoft.com/office/officeart/2005/8/layout/orgChart1"/>
    <dgm:cxn modelId="{2468BC3D-4F70-472A-9B65-3EC37A0236D0}" type="presParOf" srcId="{7BB1DFC5-F6C8-4CB8-9778-6CBD255F3A34}" destId="{B35A6CCB-6A46-4924-81A2-52B3D744CAF3}" srcOrd="1" destOrd="0" presId="urn:microsoft.com/office/officeart/2005/8/layout/orgChart1"/>
    <dgm:cxn modelId="{D1DB1041-2A9F-4A87-A337-562D8D6D0375}" type="presParOf" srcId="{5B0282F4-FAD1-4FBC-99AF-34F8CF9EE935}" destId="{B65D07A7-79E9-4ABB-B10A-EF429AAA6859}" srcOrd="1" destOrd="0" presId="urn:microsoft.com/office/officeart/2005/8/layout/orgChart1"/>
    <dgm:cxn modelId="{B5BD6CAB-8B03-424D-BD02-AC80E22D206A}" type="presParOf" srcId="{B65D07A7-79E9-4ABB-B10A-EF429AAA6859}" destId="{253E5938-27E6-4675-8B2E-6D7524B04AB3}" srcOrd="0" destOrd="0" presId="urn:microsoft.com/office/officeart/2005/8/layout/orgChart1"/>
    <dgm:cxn modelId="{D59F309C-D5FE-4327-9540-8DE5B264F627}" type="presParOf" srcId="{B65D07A7-79E9-4ABB-B10A-EF429AAA6859}" destId="{CFC23F2E-9CBD-462C-A18E-957428782BC4}" srcOrd="1" destOrd="0" presId="urn:microsoft.com/office/officeart/2005/8/layout/orgChart1"/>
    <dgm:cxn modelId="{B9C2B390-9FC9-40DC-A3F5-5BF2805C0CFD}" type="presParOf" srcId="{CFC23F2E-9CBD-462C-A18E-957428782BC4}" destId="{4DF8344E-37A3-49A1-A79E-B3C6BE79B362}" srcOrd="0" destOrd="0" presId="urn:microsoft.com/office/officeart/2005/8/layout/orgChart1"/>
    <dgm:cxn modelId="{C69CEE52-BAB4-46E2-982A-13D072C17F61}" type="presParOf" srcId="{4DF8344E-37A3-49A1-A79E-B3C6BE79B362}" destId="{18FACC5D-F355-4CA8-BF55-4E66B55DD783}" srcOrd="0" destOrd="0" presId="urn:microsoft.com/office/officeart/2005/8/layout/orgChart1"/>
    <dgm:cxn modelId="{1B3679E7-3C8E-4A85-9E91-A98DAE600DBE}" type="presParOf" srcId="{4DF8344E-37A3-49A1-A79E-B3C6BE79B362}" destId="{AF5653E6-B9AC-451A-8FBF-C44D50FA07D5}" srcOrd="1" destOrd="0" presId="urn:microsoft.com/office/officeart/2005/8/layout/orgChart1"/>
    <dgm:cxn modelId="{A1285AAD-AA95-4A8D-88D0-6440503FA95B}" type="presParOf" srcId="{CFC23F2E-9CBD-462C-A18E-957428782BC4}" destId="{746A97B0-AB35-4851-BC49-30A9CEE4487A}" srcOrd="1" destOrd="0" presId="urn:microsoft.com/office/officeart/2005/8/layout/orgChart1"/>
    <dgm:cxn modelId="{FEB083FA-E967-468C-B55E-FFEAA4D27B37}" type="presParOf" srcId="{746A97B0-AB35-4851-BC49-30A9CEE4487A}" destId="{6DC2EAEE-CFD2-434C-BE90-E5488625C2B0}" srcOrd="0" destOrd="0" presId="urn:microsoft.com/office/officeart/2005/8/layout/orgChart1"/>
    <dgm:cxn modelId="{D39A5313-D3CE-453E-B52E-04045571C9D7}" type="presParOf" srcId="{746A97B0-AB35-4851-BC49-30A9CEE4487A}" destId="{53D6337A-FE5F-4AC0-B55F-5AD8234A4796}" srcOrd="1" destOrd="0" presId="urn:microsoft.com/office/officeart/2005/8/layout/orgChart1"/>
    <dgm:cxn modelId="{F23704F9-DAF9-447B-8EC7-2418FE57BB64}" type="presParOf" srcId="{53D6337A-FE5F-4AC0-B55F-5AD8234A4796}" destId="{5453E1C6-10F4-433F-994B-0A8477298292}" srcOrd="0" destOrd="0" presId="urn:microsoft.com/office/officeart/2005/8/layout/orgChart1"/>
    <dgm:cxn modelId="{A64C9F7E-923F-4551-9FD6-CF048520EBF8}" type="presParOf" srcId="{5453E1C6-10F4-433F-994B-0A8477298292}" destId="{648BD9E0-4316-4C50-B9D9-8758EB0BD09B}" srcOrd="0" destOrd="0" presId="urn:microsoft.com/office/officeart/2005/8/layout/orgChart1"/>
    <dgm:cxn modelId="{DBF215E2-1B26-4FE3-A97F-EA0AAE87A620}" type="presParOf" srcId="{5453E1C6-10F4-433F-994B-0A8477298292}" destId="{C2479D19-52BA-4416-BF0F-2D44BC7F2CDA}" srcOrd="1" destOrd="0" presId="urn:microsoft.com/office/officeart/2005/8/layout/orgChart1"/>
    <dgm:cxn modelId="{7DCFA853-E414-4A7F-9B83-593C9FD9B3D5}" type="presParOf" srcId="{53D6337A-FE5F-4AC0-B55F-5AD8234A4796}" destId="{0811BDC1-E214-44CC-A393-2BDE929CEA44}" srcOrd="1" destOrd="0" presId="urn:microsoft.com/office/officeart/2005/8/layout/orgChart1"/>
    <dgm:cxn modelId="{6A5BEAAA-DD55-4BAB-84D1-01051DB9BA7C}" type="presParOf" srcId="{0811BDC1-E214-44CC-A393-2BDE929CEA44}" destId="{D04FD7E4-5B54-4EC9-89BD-9571DAD1E579}" srcOrd="0" destOrd="0" presId="urn:microsoft.com/office/officeart/2005/8/layout/orgChart1"/>
    <dgm:cxn modelId="{2060AA66-A390-4FDB-B260-89285C598DD4}" type="presParOf" srcId="{0811BDC1-E214-44CC-A393-2BDE929CEA44}" destId="{DC947C89-FD0C-4C59-91F5-2740B8C269FA}" srcOrd="1" destOrd="0" presId="urn:microsoft.com/office/officeart/2005/8/layout/orgChart1"/>
    <dgm:cxn modelId="{61AA7E4E-9A01-4C85-836D-39A6BD1081E9}" type="presParOf" srcId="{DC947C89-FD0C-4C59-91F5-2740B8C269FA}" destId="{044C777D-55B9-47B5-A33C-C6954E74E4FA}" srcOrd="0" destOrd="0" presId="urn:microsoft.com/office/officeart/2005/8/layout/orgChart1"/>
    <dgm:cxn modelId="{6A96D111-99D2-4762-A848-743ABBE9B837}" type="presParOf" srcId="{044C777D-55B9-47B5-A33C-C6954E74E4FA}" destId="{2F218579-1F9B-4C58-A8B0-0B6401889E1C}" srcOrd="0" destOrd="0" presId="urn:microsoft.com/office/officeart/2005/8/layout/orgChart1"/>
    <dgm:cxn modelId="{64BEDEDF-89EB-452B-B1D3-573E294AAE38}" type="presParOf" srcId="{044C777D-55B9-47B5-A33C-C6954E74E4FA}" destId="{E2CDACD5-FC19-47C5-8C57-8539C9D72575}" srcOrd="1" destOrd="0" presId="urn:microsoft.com/office/officeart/2005/8/layout/orgChart1"/>
    <dgm:cxn modelId="{72BBB4B5-9B2C-4371-8DF2-15C26A71AF0A}" type="presParOf" srcId="{DC947C89-FD0C-4C59-91F5-2740B8C269FA}" destId="{593C1FBA-5ACB-44C5-A207-DDFE72F540D7}" srcOrd="1" destOrd="0" presId="urn:microsoft.com/office/officeart/2005/8/layout/orgChart1"/>
    <dgm:cxn modelId="{A17D315B-3104-4DE5-BE21-3E391D078DEB}" type="presParOf" srcId="{DC947C89-FD0C-4C59-91F5-2740B8C269FA}" destId="{4C98F000-9E06-4823-8BE2-DB6450CDE99C}" srcOrd="2" destOrd="0" presId="urn:microsoft.com/office/officeart/2005/8/layout/orgChart1"/>
    <dgm:cxn modelId="{0BB07E14-5C35-48C0-9B23-6BD9598E7D6D}" type="presParOf" srcId="{53D6337A-FE5F-4AC0-B55F-5AD8234A4796}" destId="{23C738A2-E822-4B04-9626-86BE15A09702}" srcOrd="2" destOrd="0" presId="urn:microsoft.com/office/officeart/2005/8/layout/orgChart1"/>
    <dgm:cxn modelId="{6FEB41B0-7EA2-4E12-8519-639961070C9B}" type="presParOf" srcId="{CFC23F2E-9CBD-462C-A18E-957428782BC4}" destId="{791909A8-CA9C-4C22-B813-E501D42038D4}" srcOrd="2" destOrd="0" presId="urn:microsoft.com/office/officeart/2005/8/layout/orgChart1"/>
    <dgm:cxn modelId="{EFEA2413-CC76-4FBF-9941-ADBB2399AA1D}" type="presParOf" srcId="{5B0282F4-FAD1-4FBC-99AF-34F8CF9EE935}" destId="{B3DC66C9-38B3-47C1-8B8B-124A275D3D22}" srcOrd="2" destOrd="0" presId="urn:microsoft.com/office/officeart/2005/8/layout/orgChart1"/>
    <dgm:cxn modelId="{B72E03FB-DE70-46DA-9FD9-B0188BE00C47}" type="presParOf" srcId="{7912F754-F0B1-41B3-A1BB-33C3AF4763D6}" destId="{92EC427B-C7C1-462C-9EB5-4BE011AE9A42}" srcOrd="8" destOrd="0" presId="urn:microsoft.com/office/officeart/2005/8/layout/orgChart1"/>
    <dgm:cxn modelId="{11F81A69-931F-4DBE-9B94-33AEB75B1D99}" type="presParOf" srcId="{7912F754-F0B1-41B3-A1BB-33C3AF4763D6}" destId="{4CF8895F-D575-4028-B3D3-F8E379FAA054}" srcOrd="9" destOrd="0" presId="urn:microsoft.com/office/officeart/2005/8/layout/orgChart1"/>
    <dgm:cxn modelId="{463F06A7-69AD-44B3-A2D6-B7E8EDC69E57}" type="presParOf" srcId="{4CF8895F-D575-4028-B3D3-F8E379FAA054}" destId="{2FE73D09-4B47-4ADF-807C-4A8C0C562CFC}" srcOrd="0" destOrd="0" presId="urn:microsoft.com/office/officeart/2005/8/layout/orgChart1"/>
    <dgm:cxn modelId="{FF41ECCB-C6B7-47C9-B69B-30AB963C3CDE}" type="presParOf" srcId="{2FE73D09-4B47-4ADF-807C-4A8C0C562CFC}" destId="{8165381D-88CE-4523-B5F5-0321E178F83F}" srcOrd="0" destOrd="0" presId="urn:microsoft.com/office/officeart/2005/8/layout/orgChart1"/>
    <dgm:cxn modelId="{C0F12769-6C7C-40C7-9540-D32E07E1A0C7}" type="presParOf" srcId="{2FE73D09-4B47-4ADF-807C-4A8C0C562CFC}" destId="{06181A32-13E2-4A12-8AD5-5110313A4D72}" srcOrd="1" destOrd="0" presId="urn:microsoft.com/office/officeart/2005/8/layout/orgChart1"/>
    <dgm:cxn modelId="{07B47DAC-7F7B-47B8-BDC4-EBCBE25925B2}" type="presParOf" srcId="{4CF8895F-D575-4028-B3D3-F8E379FAA054}" destId="{2DADA4B3-5B8E-480F-800B-9C47B47786A1}" srcOrd="1" destOrd="0" presId="urn:microsoft.com/office/officeart/2005/8/layout/orgChart1"/>
    <dgm:cxn modelId="{6699C814-5E0E-4F10-8095-26CF33144B0A}" type="presParOf" srcId="{2DADA4B3-5B8E-480F-800B-9C47B47786A1}" destId="{D0034110-7D14-4C74-A6D7-E1CFB39216EF}" srcOrd="0" destOrd="0" presId="urn:microsoft.com/office/officeart/2005/8/layout/orgChart1"/>
    <dgm:cxn modelId="{FA978358-85C9-49F9-8A54-8ADD837C9761}" type="presParOf" srcId="{2DADA4B3-5B8E-480F-800B-9C47B47786A1}" destId="{30A20B01-1C5C-4A47-9534-E87B09D79846}" srcOrd="1" destOrd="0" presId="urn:microsoft.com/office/officeart/2005/8/layout/orgChart1"/>
    <dgm:cxn modelId="{C1C399CC-623F-438D-8B07-553263756BE4}" type="presParOf" srcId="{30A20B01-1C5C-4A47-9534-E87B09D79846}" destId="{A8BF69AD-8667-48DE-80D8-A303ADAD65B6}" srcOrd="0" destOrd="0" presId="urn:microsoft.com/office/officeart/2005/8/layout/orgChart1"/>
    <dgm:cxn modelId="{4F34AAD1-EA3E-451B-9084-1644C3AAD62D}" type="presParOf" srcId="{A8BF69AD-8667-48DE-80D8-A303ADAD65B6}" destId="{82C24059-4C97-47EA-88F9-E9F45F74FD76}" srcOrd="0" destOrd="0" presId="urn:microsoft.com/office/officeart/2005/8/layout/orgChart1"/>
    <dgm:cxn modelId="{9DAFE678-F16F-4928-951B-02032CA73976}" type="presParOf" srcId="{A8BF69AD-8667-48DE-80D8-A303ADAD65B6}" destId="{E8782A78-91F0-4CB9-B6B1-C5112212BE15}" srcOrd="1" destOrd="0" presId="urn:microsoft.com/office/officeart/2005/8/layout/orgChart1"/>
    <dgm:cxn modelId="{6054F690-9064-413C-8547-6B10B099D09E}" type="presParOf" srcId="{30A20B01-1C5C-4A47-9534-E87B09D79846}" destId="{B5231E14-AEC8-4F1A-A5F7-4605F0277F5E}" srcOrd="1" destOrd="0" presId="urn:microsoft.com/office/officeart/2005/8/layout/orgChart1"/>
    <dgm:cxn modelId="{91BC040C-FC92-4082-AB6D-5783ADA85360}" type="presParOf" srcId="{30A20B01-1C5C-4A47-9534-E87B09D79846}" destId="{97F978F2-CDFD-45C9-BD24-F2147AABC74B}" srcOrd="2" destOrd="0" presId="urn:microsoft.com/office/officeart/2005/8/layout/orgChart1"/>
    <dgm:cxn modelId="{3BAA2EE0-9865-4B3D-A0D8-88AD7F3A4E02}" type="presParOf" srcId="{2DADA4B3-5B8E-480F-800B-9C47B47786A1}" destId="{A1C8861B-9D78-4DB6-9436-C96C57CFCA5D}" srcOrd="2" destOrd="0" presId="urn:microsoft.com/office/officeart/2005/8/layout/orgChart1"/>
    <dgm:cxn modelId="{CC2E5190-EB7F-49D4-9296-63AE2F5E7B2F}" type="presParOf" srcId="{2DADA4B3-5B8E-480F-800B-9C47B47786A1}" destId="{2DFB3F42-8246-4405-AC64-BF59AC532D0A}" srcOrd="3" destOrd="0" presId="urn:microsoft.com/office/officeart/2005/8/layout/orgChart1"/>
    <dgm:cxn modelId="{4F6CF7D5-5430-4831-A032-E8A9987B2910}" type="presParOf" srcId="{2DFB3F42-8246-4405-AC64-BF59AC532D0A}" destId="{ECD01673-F674-4B1B-8DF1-E350E24A96B8}" srcOrd="0" destOrd="0" presId="urn:microsoft.com/office/officeart/2005/8/layout/orgChart1"/>
    <dgm:cxn modelId="{037B66DA-09F1-478A-B010-EB77124FDC0E}" type="presParOf" srcId="{ECD01673-F674-4B1B-8DF1-E350E24A96B8}" destId="{E6385C64-3A77-4CCD-83F3-1B9AB186657D}" srcOrd="0" destOrd="0" presId="urn:microsoft.com/office/officeart/2005/8/layout/orgChart1"/>
    <dgm:cxn modelId="{CEFEEDF4-926C-4B42-AAB6-3829154E59EA}" type="presParOf" srcId="{ECD01673-F674-4B1B-8DF1-E350E24A96B8}" destId="{088450D8-309F-4503-89AB-761678828902}" srcOrd="1" destOrd="0" presId="urn:microsoft.com/office/officeart/2005/8/layout/orgChart1"/>
    <dgm:cxn modelId="{5DC201D8-C86A-48AD-B4A6-B7CF8CEA5FC6}" type="presParOf" srcId="{2DFB3F42-8246-4405-AC64-BF59AC532D0A}" destId="{0F6741CD-71AE-4D32-ACC0-52DCE1F1CBCB}" srcOrd="1" destOrd="0" presId="urn:microsoft.com/office/officeart/2005/8/layout/orgChart1"/>
    <dgm:cxn modelId="{6D5B89B7-2771-415B-9476-B23FB41BD649}" type="presParOf" srcId="{2DFB3F42-8246-4405-AC64-BF59AC532D0A}" destId="{0BD0E51A-4F5E-4BB9-9252-F25B7643B6F4}" srcOrd="2" destOrd="0" presId="urn:microsoft.com/office/officeart/2005/8/layout/orgChart1"/>
    <dgm:cxn modelId="{6F0BCDF1-1B6E-437D-9AAB-B775B536EB6D}" type="presParOf" srcId="{2DADA4B3-5B8E-480F-800B-9C47B47786A1}" destId="{C0F076AF-EE06-49D7-A96E-94A43FFE634A}" srcOrd="4" destOrd="0" presId="urn:microsoft.com/office/officeart/2005/8/layout/orgChart1"/>
    <dgm:cxn modelId="{747956A5-E550-4055-A0F4-948325B5FEC9}" type="presParOf" srcId="{2DADA4B3-5B8E-480F-800B-9C47B47786A1}" destId="{D5C9DC5B-269D-4FBD-9125-94CE232071ED}" srcOrd="5" destOrd="0" presId="urn:microsoft.com/office/officeart/2005/8/layout/orgChart1"/>
    <dgm:cxn modelId="{3827AC37-5338-4D91-9299-566B6DF6A622}" type="presParOf" srcId="{D5C9DC5B-269D-4FBD-9125-94CE232071ED}" destId="{9FEE550D-188D-48B9-856D-0AB65D29518A}" srcOrd="0" destOrd="0" presId="urn:microsoft.com/office/officeart/2005/8/layout/orgChart1"/>
    <dgm:cxn modelId="{9A2EDAE6-AA7E-41D1-B2D4-DCD80131F582}" type="presParOf" srcId="{9FEE550D-188D-48B9-856D-0AB65D29518A}" destId="{2D5B008E-5295-4979-8B7E-0BABE12DFF5D}" srcOrd="0" destOrd="0" presId="urn:microsoft.com/office/officeart/2005/8/layout/orgChart1"/>
    <dgm:cxn modelId="{4515498B-9A67-46F4-A160-CDB85F089D55}" type="presParOf" srcId="{9FEE550D-188D-48B9-856D-0AB65D29518A}" destId="{8B2E3639-FE3B-42AF-A442-E441474A42C5}" srcOrd="1" destOrd="0" presId="urn:microsoft.com/office/officeart/2005/8/layout/orgChart1"/>
    <dgm:cxn modelId="{38662EF3-348B-4EE6-A7C1-D34679A4EB03}" type="presParOf" srcId="{D5C9DC5B-269D-4FBD-9125-94CE232071ED}" destId="{2000CDC8-1ACF-4001-92B8-DE95AAA1DB79}" srcOrd="1" destOrd="0" presId="urn:microsoft.com/office/officeart/2005/8/layout/orgChart1"/>
    <dgm:cxn modelId="{C3C48F67-FC78-4413-B114-5B39BBBB19BC}" type="presParOf" srcId="{D5C9DC5B-269D-4FBD-9125-94CE232071ED}" destId="{FFC1D345-C685-48E7-8756-3C326D159566}" srcOrd="2" destOrd="0" presId="urn:microsoft.com/office/officeart/2005/8/layout/orgChart1"/>
    <dgm:cxn modelId="{C8FDC2E6-3C84-482B-9D0B-70F596612DFB}" type="presParOf" srcId="{4CF8895F-D575-4028-B3D3-F8E379FAA054}" destId="{F5C2CF40-740D-468B-BDB5-2F901FF5E491}" srcOrd="2" destOrd="0" presId="urn:microsoft.com/office/officeart/2005/8/layout/orgChart1"/>
    <dgm:cxn modelId="{AE25722B-5F28-4A3E-8F30-A05AFED046BA}" type="presParOf" srcId="{7912F754-F0B1-41B3-A1BB-33C3AF4763D6}" destId="{5D4D30DC-4DB6-4CA9-949C-CEF3A484EB62}" srcOrd="10" destOrd="0" presId="urn:microsoft.com/office/officeart/2005/8/layout/orgChart1"/>
    <dgm:cxn modelId="{CA53C3D8-22CC-4CD5-8592-ED97C05C1049}" type="presParOf" srcId="{7912F754-F0B1-41B3-A1BB-33C3AF4763D6}" destId="{9865ED34-2CA4-4F5F-A762-6E41CD71E517}" srcOrd="11" destOrd="0" presId="urn:microsoft.com/office/officeart/2005/8/layout/orgChart1"/>
    <dgm:cxn modelId="{6B5C1AE8-9C96-49BD-8BC5-4A8CDC87DF1B}" type="presParOf" srcId="{9865ED34-2CA4-4F5F-A762-6E41CD71E517}" destId="{3EC77635-7AED-4DF3-8EFD-879A1EE7B17A}" srcOrd="0" destOrd="0" presId="urn:microsoft.com/office/officeart/2005/8/layout/orgChart1"/>
    <dgm:cxn modelId="{083F8C36-5C45-46DC-8E2F-8FD51784173A}" type="presParOf" srcId="{3EC77635-7AED-4DF3-8EFD-879A1EE7B17A}" destId="{469784AA-78EF-4254-8970-25A9DF31E1EA}" srcOrd="0" destOrd="0" presId="urn:microsoft.com/office/officeart/2005/8/layout/orgChart1"/>
    <dgm:cxn modelId="{3C4A42E3-BE07-4EE5-8D7E-0BFBD4F7A997}" type="presParOf" srcId="{3EC77635-7AED-4DF3-8EFD-879A1EE7B17A}" destId="{57DA71F0-BE60-4E34-B0AC-A45DDE2D8B01}" srcOrd="1" destOrd="0" presId="urn:microsoft.com/office/officeart/2005/8/layout/orgChart1"/>
    <dgm:cxn modelId="{678C368D-9AF4-4DC0-A6FB-4835C6AD704B}" type="presParOf" srcId="{9865ED34-2CA4-4F5F-A762-6E41CD71E517}" destId="{661E9D84-1013-4A58-991C-27358793CE47}" srcOrd="1" destOrd="0" presId="urn:microsoft.com/office/officeart/2005/8/layout/orgChart1"/>
    <dgm:cxn modelId="{3F458E78-F34B-4FB3-8283-6744B58C95CA}" type="presParOf" srcId="{661E9D84-1013-4A58-991C-27358793CE47}" destId="{0FD82B8B-8772-491A-B7BB-BC1D0472DE8D}" srcOrd="0" destOrd="0" presId="urn:microsoft.com/office/officeart/2005/8/layout/orgChart1"/>
    <dgm:cxn modelId="{26CA5967-FEC7-44B2-823D-48C2B4D57B7B}" type="presParOf" srcId="{661E9D84-1013-4A58-991C-27358793CE47}" destId="{49B9B36A-DDB3-4AD3-B4A3-95249B6A2DF8}" srcOrd="1" destOrd="0" presId="urn:microsoft.com/office/officeart/2005/8/layout/orgChart1"/>
    <dgm:cxn modelId="{FD29778D-6675-4A6F-BAE6-EF0DE4B34282}" type="presParOf" srcId="{49B9B36A-DDB3-4AD3-B4A3-95249B6A2DF8}" destId="{A8C0DD0B-8058-4FDB-9665-B75576F38890}" srcOrd="0" destOrd="0" presId="urn:microsoft.com/office/officeart/2005/8/layout/orgChart1"/>
    <dgm:cxn modelId="{3CE97DE1-CABF-4398-8111-5C6E7BB0E107}" type="presParOf" srcId="{A8C0DD0B-8058-4FDB-9665-B75576F38890}" destId="{4282575D-A3CF-4BE3-9A1C-DCBE0FADBA3F}" srcOrd="0" destOrd="0" presId="urn:microsoft.com/office/officeart/2005/8/layout/orgChart1"/>
    <dgm:cxn modelId="{6B0DF484-B7AF-4042-90CF-A6025E66EAC5}" type="presParOf" srcId="{A8C0DD0B-8058-4FDB-9665-B75576F38890}" destId="{80952B6B-ECAB-4CD7-B05D-CA7F30459875}" srcOrd="1" destOrd="0" presId="urn:microsoft.com/office/officeart/2005/8/layout/orgChart1"/>
    <dgm:cxn modelId="{FC17B74E-5E4A-4354-8EA2-C549FBC9DB7D}" type="presParOf" srcId="{49B9B36A-DDB3-4AD3-B4A3-95249B6A2DF8}" destId="{6AB4A1A3-EDD7-40C3-9C1F-DB7A561B0993}" srcOrd="1" destOrd="0" presId="urn:microsoft.com/office/officeart/2005/8/layout/orgChart1"/>
    <dgm:cxn modelId="{8C8C7731-5303-45A6-8448-E8A9C532490A}" type="presParOf" srcId="{49B9B36A-DDB3-4AD3-B4A3-95249B6A2DF8}" destId="{B7E1A85C-E273-4289-B067-5CFD7EC19A42}" srcOrd="2" destOrd="0" presId="urn:microsoft.com/office/officeart/2005/8/layout/orgChart1"/>
    <dgm:cxn modelId="{634CD672-3EE8-4EF5-B7F9-7D712F28650D}" type="presParOf" srcId="{661E9D84-1013-4A58-991C-27358793CE47}" destId="{4D952518-9B88-48CF-8E24-B9C4AB63F10C}" srcOrd="2" destOrd="0" presId="urn:microsoft.com/office/officeart/2005/8/layout/orgChart1"/>
    <dgm:cxn modelId="{ED56287D-AB16-43EE-BFBB-CC021328B2D3}" type="presParOf" srcId="{661E9D84-1013-4A58-991C-27358793CE47}" destId="{D7B8F712-930F-47CC-B14E-841A8CEB3732}" srcOrd="3" destOrd="0" presId="urn:microsoft.com/office/officeart/2005/8/layout/orgChart1"/>
    <dgm:cxn modelId="{EDA0BD11-3BE7-47E5-ACC8-1B135CEBBE60}" type="presParOf" srcId="{D7B8F712-930F-47CC-B14E-841A8CEB3732}" destId="{7FA86602-6C2B-44DE-9AF0-4146C58FBD2C}" srcOrd="0" destOrd="0" presId="urn:microsoft.com/office/officeart/2005/8/layout/orgChart1"/>
    <dgm:cxn modelId="{7BE218D3-2137-48CE-A875-CDA2E6B70185}" type="presParOf" srcId="{7FA86602-6C2B-44DE-9AF0-4146C58FBD2C}" destId="{F837EB95-F098-4B4D-99E4-C459089934EC}" srcOrd="0" destOrd="0" presId="urn:microsoft.com/office/officeart/2005/8/layout/orgChart1"/>
    <dgm:cxn modelId="{F757C13B-6E77-4DD7-9BAC-086EC83C8DC1}" type="presParOf" srcId="{7FA86602-6C2B-44DE-9AF0-4146C58FBD2C}" destId="{4B491B18-D341-4D97-8F04-D7C35416A0DC}" srcOrd="1" destOrd="0" presId="urn:microsoft.com/office/officeart/2005/8/layout/orgChart1"/>
    <dgm:cxn modelId="{BC746486-DCEA-42DE-9D37-E4C6B05D2B1E}" type="presParOf" srcId="{D7B8F712-930F-47CC-B14E-841A8CEB3732}" destId="{73D26D35-C9A4-4640-A130-387F5B341BBA}" srcOrd="1" destOrd="0" presId="urn:microsoft.com/office/officeart/2005/8/layout/orgChart1"/>
    <dgm:cxn modelId="{4437507B-F1FB-4289-88D3-6BD326DA3087}" type="presParOf" srcId="{D7B8F712-930F-47CC-B14E-841A8CEB3732}" destId="{80DA63B6-0DB3-47BB-91D9-A24487CACD21}" srcOrd="2" destOrd="0" presId="urn:microsoft.com/office/officeart/2005/8/layout/orgChart1"/>
    <dgm:cxn modelId="{E43946BE-3BF2-4E4B-BF46-A182946329F8}" type="presParOf" srcId="{661E9D84-1013-4A58-991C-27358793CE47}" destId="{E6BBDCAD-9B55-4768-99CB-D23858933EE8}" srcOrd="4" destOrd="0" presId="urn:microsoft.com/office/officeart/2005/8/layout/orgChart1"/>
    <dgm:cxn modelId="{DC2B5273-A44B-4770-B8A3-B466D8CF8593}" type="presParOf" srcId="{661E9D84-1013-4A58-991C-27358793CE47}" destId="{1C21350B-CE95-44F2-A4F9-5DA69AF629B5}" srcOrd="5" destOrd="0" presId="urn:microsoft.com/office/officeart/2005/8/layout/orgChart1"/>
    <dgm:cxn modelId="{4E90285C-7C2A-413A-93DE-87AD8151BE4A}" type="presParOf" srcId="{1C21350B-CE95-44F2-A4F9-5DA69AF629B5}" destId="{63A49B36-9ED4-456A-AC49-D279C82145D5}" srcOrd="0" destOrd="0" presId="urn:microsoft.com/office/officeart/2005/8/layout/orgChart1"/>
    <dgm:cxn modelId="{4F748479-7969-4FF3-8426-5F695B09B99A}" type="presParOf" srcId="{63A49B36-9ED4-456A-AC49-D279C82145D5}" destId="{2CBC85DD-333D-4CCC-8DA4-DCED3DE699E8}" srcOrd="0" destOrd="0" presId="urn:microsoft.com/office/officeart/2005/8/layout/orgChart1"/>
    <dgm:cxn modelId="{D1F87816-17D3-49CC-B695-5A48138C46F3}" type="presParOf" srcId="{63A49B36-9ED4-456A-AC49-D279C82145D5}" destId="{2FE6F7DC-A284-437D-AA33-786E3A286DBF}" srcOrd="1" destOrd="0" presId="urn:microsoft.com/office/officeart/2005/8/layout/orgChart1"/>
    <dgm:cxn modelId="{63AA6E46-9C00-49F5-8046-6E9DE614A98E}" type="presParOf" srcId="{1C21350B-CE95-44F2-A4F9-5DA69AF629B5}" destId="{ED2394F3-EE79-43A8-A991-4ADEC93471CF}" srcOrd="1" destOrd="0" presId="urn:microsoft.com/office/officeart/2005/8/layout/orgChart1"/>
    <dgm:cxn modelId="{A980B9C7-4262-4356-A8F3-A152931A4060}" type="presParOf" srcId="{1C21350B-CE95-44F2-A4F9-5DA69AF629B5}" destId="{5267263E-A560-47EA-9406-D0C8B51849CC}" srcOrd="2" destOrd="0" presId="urn:microsoft.com/office/officeart/2005/8/layout/orgChart1"/>
    <dgm:cxn modelId="{75E4F0A4-F735-4577-AB64-1D6DB4ADC686}" type="presParOf" srcId="{661E9D84-1013-4A58-991C-27358793CE47}" destId="{557D6F38-F1BA-4C97-B858-7115BA3B1CCA}" srcOrd="6" destOrd="0" presId="urn:microsoft.com/office/officeart/2005/8/layout/orgChart1"/>
    <dgm:cxn modelId="{C477FBFB-1791-4246-A8D8-86EB3352DD6D}" type="presParOf" srcId="{661E9D84-1013-4A58-991C-27358793CE47}" destId="{1063358D-AC91-4730-A36D-4FF6A5288A69}" srcOrd="7" destOrd="0" presId="urn:microsoft.com/office/officeart/2005/8/layout/orgChart1"/>
    <dgm:cxn modelId="{25A5DB07-BF52-4B6C-B3B1-84494AF7E391}" type="presParOf" srcId="{1063358D-AC91-4730-A36D-4FF6A5288A69}" destId="{D169822A-AF98-4D6F-AA3B-153069E7DDFF}" srcOrd="0" destOrd="0" presId="urn:microsoft.com/office/officeart/2005/8/layout/orgChart1"/>
    <dgm:cxn modelId="{E8F04953-8B7E-4518-91DF-5872C65F0CEC}" type="presParOf" srcId="{D169822A-AF98-4D6F-AA3B-153069E7DDFF}" destId="{74481943-52A9-48A7-9C91-846635CEE1DB}" srcOrd="0" destOrd="0" presId="urn:microsoft.com/office/officeart/2005/8/layout/orgChart1"/>
    <dgm:cxn modelId="{2912E2CF-88B1-4834-A37E-0291FF3A8532}" type="presParOf" srcId="{D169822A-AF98-4D6F-AA3B-153069E7DDFF}" destId="{134802D9-5F47-416D-890F-391D929E9BC6}" srcOrd="1" destOrd="0" presId="urn:microsoft.com/office/officeart/2005/8/layout/orgChart1"/>
    <dgm:cxn modelId="{2FD70CCC-6A3F-4692-B7BC-68DA6006143F}" type="presParOf" srcId="{1063358D-AC91-4730-A36D-4FF6A5288A69}" destId="{9872FBE8-BA29-497C-8FF8-2EE61C0AE337}" srcOrd="1" destOrd="0" presId="urn:microsoft.com/office/officeart/2005/8/layout/orgChart1"/>
    <dgm:cxn modelId="{3DBB5FA8-2EAF-44C2-8164-7834411E4318}" type="presParOf" srcId="{1063358D-AC91-4730-A36D-4FF6A5288A69}" destId="{47C0ADBC-6192-4140-B56A-DE884BC37753}" srcOrd="2" destOrd="0" presId="urn:microsoft.com/office/officeart/2005/8/layout/orgChart1"/>
    <dgm:cxn modelId="{36BD3C74-6376-4B7F-A18C-3B577A49D7C7}" type="presParOf" srcId="{9865ED34-2CA4-4F5F-A762-6E41CD71E517}" destId="{8FAB50FF-7845-474A-B71C-512F0F34ABE7}" srcOrd="2" destOrd="0" presId="urn:microsoft.com/office/officeart/2005/8/layout/orgChart1"/>
    <dgm:cxn modelId="{346E7A2E-E235-4061-A1AA-CD318D0010D3}" type="presParOf" srcId="{7912F754-F0B1-41B3-A1BB-33C3AF4763D6}" destId="{3611A955-7D26-4EAD-8F91-2298559D511C}" srcOrd="12" destOrd="0" presId="urn:microsoft.com/office/officeart/2005/8/layout/orgChart1"/>
    <dgm:cxn modelId="{9A279761-8EB5-45B4-A7E2-4B762F02B0F2}" type="presParOf" srcId="{7912F754-F0B1-41B3-A1BB-33C3AF4763D6}" destId="{80476215-DFA0-48D2-9D1D-7FDDA73FAB58}" srcOrd="13" destOrd="0" presId="urn:microsoft.com/office/officeart/2005/8/layout/orgChart1"/>
    <dgm:cxn modelId="{94221D70-317D-450A-8879-DB58F1CB4EE6}" type="presParOf" srcId="{80476215-DFA0-48D2-9D1D-7FDDA73FAB58}" destId="{2EC3D800-AEC9-48C0-940B-FAC8670DB848}" srcOrd="0" destOrd="0" presId="urn:microsoft.com/office/officeart/2005/8/layout/orgChart1"/>
    <dgm:cxn modelId="{27096A7D-DC48-4E13-A654-EE7E9FB96EC0}" type="presParOf" srcId="{2EC3D800-AEC9-48C0-940B-FAC8670DB848}" destId="{769825F6-CC3C-4E34-86AD-706220BE75A7}" srcOrd="0" destOrd="0" presId="urn:microsoft.com/office/officeart/2005/8/layout/orgChart1"/>
    <dgm:cxn modelId="{730E0998-ED6A-48BC-AF76-FE5840974C61}" type="presParOf" srcId="{2EC3D800-AEC9-48C0-940B-FAC8670DB848}" destId="{D9AEA94C-403B-4E1A-9AFE-B5DC335286D5}" srcOrd="1" destOrd="0" presId="urn:microsoft.com/office/officeart/2005/8/layout/orgChart1"/>
    <dgm:cxn modelId="{30F19D7F-C2B3-4112-9740-466A06B868B3}" type="presParOf" srcId="{80476215-DFA0-48D2-9D1D-7FDDA73FAB58}" destId="{510EB1CA-50DF-4841-B531-06AEE8216FA8}" srcOrd="1" destOrd="0" presId="urn:microsoft.com/office/officeart/2005/8/layout/orgChart1"/>
    <dgm:cxn modelId="{9F8659C1-7FD6-417D-8862-7A7517DB0369}" type="presParOf" srcId="{80476215-DFA0-48D2-9D1D-7FDDA73FAB58}" destId="{1F520845-101D-4414-BF24-AFC871915E88}" srcOrd="2" destOrd="0" presId="urn:microsoft.com/office/officeart/2005/8/layout/orgChart1"/>
    <dgm:cxn modelId="{CAC8C8D2-9FB2-49F7-961D-4DF727BFF6B3}" type="presParOf" srcId="{2FE7E791-037D-442D-883F-D1514983278A}" destId="{E61C94BB-27BC-4D60-A8EE-D94D7C8756FD}" srcOrd="2" destOrd="0" presId="urn:microsoft.com/office/officeart/2005/8/layout/orgChart1"/>
    <dgm:cxn modelId="{DA4B4C9D-588B-4436-9427-030A50AD44C4}" type="presParOf" srcId="{CD6973D2-6746-41B2-B080-56E3350D2CDE}" destId="{A2F00000-DABC-417D-B307-C48811AA7906}" srcOrd="2" destOrd="0" presId="urn:microsoft.com/office/officeart/2005/8/layout/orgChart1"/>
    <dgm:cxn modelId="{2272F005-1219-46B6-91F1-27EA9AA6B8B2}" type="presParOf" srcId="{CD6973D2-6746-41B2-B080-56E3350D2CDE}" destId="{05E19628-B983-4F78-BFAB-B617FF0C57B5}" srcOrd="3" destOrd="0" presId="urn:microsoft.com/office/officeart/2005/8/layout/orgChart1"/>
    <dgm:cxn modelId="{D8D0EA2D-8ED5-4763-B58C-7E9FB1F77FFD}" type="presParOf" srcId="{05E19628-B983-4F78-BFAB-B617FF0C57B5}" destId="{3D64376E-F185-42E4-8509-2A4F576B401F}" srcOrd="0" destOrd="0" presId="urn:microsoft.com/office/officeart/2005/8/layout/orgChart1"/>
    <dgm:cxn modelId="{5CD9CAE6-06A6-4E45-B752-8720586F1B7E}" type="presParOf" srcId="{3D64376E-F185-42E4-8509-2A4F576B401F}" destId="{F75104B7-3A36-462D-8897-F2E4A2AA6AF5}" srcOrd="0" destOrd="0" presId="urn:microsoft.com/office/officeart/2005/8/layout/orgChart1"/>
    <dgm:cxn modelId="{27BF055B-BAD7-4650-98AE-0D32F37649A8}" type="presParOf" srcId="{3D64376E-F185-42E4-8509-2A4F576B401F}" destId="{8BC33DF5-B65D-4205-9CB6-697FF278E321}" srcOrd="1" destOrd="0" presId="urn:microsoft.com/office/officeart/2005/8/layout/orgChart1"/>
    <dgm:cxn modelId="{381B4A11-71F7-4D80-83AC-A7A2F9DBDA84}" type="presParOf" srcId="{05E19628-B983-4F78-BFAB-B617FF0C57B5}" destId="{2693A1B4-3938-461B-852D-F5611C41E662}" srcOrd="1" destOrd="0" presId="urn:microsoft.com/office/officeart/2005/8/layout/orgChart1"/>
    <dgm:cxn modelId="{D1F1CFDB-AA71-418B-91B4-0EF1DA8345E8}" type="presParOf" srcId="{2693A1B4-3938-461B-852D-F5611C41E662}" destId="{0DD17EA0-F367-4E0F-ACEC-0EB616FDB2E3}" srcOrd="0" destOrd="0" presId="urn:microsoft.com/office/officeart/2005/8/layout/orgChart1"/>
    <dgm:cxn modelId="{4FFD5411-C1E3-4833-BEBD-7A1789F973AC}" type="presParOf" srcId="{2693A1B4-3938-461B-852D-F5611C41E662}" destId="{BF99C494-F352-4959-8A59-D6C26259A431}" srcOrd="1" destOrd="0" presId="urn:microsoft.com/office/officeart/2005/8/layout/orgChart1"/>
    <dgm:cxn modelId="{F545AEDA-274D-4744-879D-DD95FD4FF24A}" type="presParOf" srcId="{BF99C494-F352-4959-8A59-D6C26259A431}" destId="{8BCA5280-25B7-40BF-8C0A-E0B502CA1F2A}" srcOrd="0" destOrd="0" presId="urn:microsoft.com/office/officeart/2005/8/layout/orgChart1"/>
    <dgm:cxn modelId="{73AD1736-379F-49F5-A4C2-1711FE5915FF}" type="presParOf" srcId="{8BCA5280-25B7-40BF-8C0A-E0B502CA1F2A}" destId="{1E3A5243-E65B-4DCB-93E3-A0028887EA3F}" srcOrd="0" destOrd="0" presId="urn:microsoft.com/office/officeart/2005/8/layout/orgChart1"/>
    <dgm:cxn modelId="{95C79BB3-AC3E-44D6-A602-72EE6B52DC98}" type="presParOf" srcId="{8BCA5280-25B7-40BF-8C0A-E0B502CA1F2A}" destId="{7BAE7FE7-B705-49BF-9B5D-81C92757ED8F}" srcOrd="1" destOrd="0" presId="urn:microsoft.com/office/officeart/2005/8/layout/orgChart1"/>
    <dgm:cxn modelId="{1FD983DA-34AE-469F-9EFB-4FB4B263F9F3}" type="presParOf" srcId="{BF99C494-F352-4959-8A59-D6C26259A431}" destId="{551F507C-43D7-4783-B251-5455451D3335}" srcOrd="1" destOrd="0" presId="urn:microsoft.com/office/officeart/2005/8/layout/orgChart1"/>
    <dgm:cxn modelId="{CD2EA874-AB22-4F7B-A37F-46DC9D484230}" type="presParOf" srcId="{BF99C494-F352-4959-8A59-D6C26259A431}" destId="{79C745E4-246E-4C5C-96EE-371968CD71C0}" srcOrd="2" destOrd="0" presId="urn:microsoft.com/office/officeart/2005/8/layout/orgChart1"/>
    <dgm:cxn modelId="{FC6675C4-76BD-44EA-9AF1-2B1A1C602334}" type="presParOf" srcId="{05E19628-B983-4F78-BFAB-B617FF0C57B5}" destId="{BC08266D-2383-43EF-AA08-9300CE9B0152}" srcOrd="2" destOrd="0" presId="urn:microsoft.com/office/officeart/2005/8/layout/orgChart1"/>
    <dgm:cxn modelId="{429761C0-D453-4389-BF27-AFA637561677}" type="presParOf" srcId="{0C13629E-7B31-4104-919F-570A17E47707}" destId="{52E4204B-96F1-4808-9EE6-6ECD2024D056}" srcOrd="2" destOrd="0" presId="urn:microsoft.com/office/officeart/2005/8/layout/orgChart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77F820BA-EE3D-4C43-ACE8-FD6B3D5964CE}" type="doc">
      <dgm:prSet loTypeId="urn:microsoft.com/office/officeart/2005/8/layout/hList3" loCatId="list" qsTypeId="urn:microsoft.com/office/officeart/2005/8/quickstyle/simple1" qsCatId="simple" csTypeId="urn:microsoft.com/office/officeart/2005/8/colors/accent1_2" csCatId="accent1" phldr="1"/>
      <dgm:spPr/>
      <dgm:t>
        <a:bodyPr/>
        <a:lstStyle/>
        <a:p>
          <a:endParaRPr lang="en-US"/>
        </a:p>
      </dgm:t>
    </dgm:pt>
    <dgm:pt modelId="{96FFAEBA-9FB8-4CAB-A4CE-327843CBD676}">
      <dgm:prSet phldrT="[Text]" custT="1"/>
      <dgm:spPr>
        <a:xfrm>
          <a:off x="0" y="0"/>
          <a:ext cx="5111749" cy="817245"/>
        </a:xfrm>
        <a:solidFill>
          <a:srgbClr val="4F81BD">
            <a:shade val="80000"/>
            <a:hueOff val="0"/>
            <a:satOff val="0"/>
            <a:lumOff val="0"/>
            <a:alphaOff val="0"/>
          </a:srgbClr>
        </a:solidFill>
        <a:ln>
          <a:noFill/>
        </a:ln>
        <a:effectLst/>
      </dgm:spPr>
      <dgm:t>
        <a:bodyPr/>
        <a:lstStyle/>
        <a:p>
          <a:pPr algn="l"/>
          <a:r>
            <a:rPr lang="sq-AL" sz="1100" b="1">
              <a:solidFill>
                <a:sysClr val="window" lastClr="FFFFFF">
                  <a:hueOff val="0"/>
                  <a:satOff val="0"/>
                  <a:lumOff val="0"/>
                  <a:alphaOff val="0"/>
                </a:sysClr>
              </a:solidFill>
              <a:latin typeface="Calibri"/>
              <a:ea typeface="+mn-ea"/>
              <a:cs typeface="+mn-cs"/>
            </a:rPr>
            <a:t>Vizioni: </a:t>
          </a:r>
          <a:r>
            <a:rPr lang="sq-AL" sz="1100">
              <a:solidFill>
                <a:sysClr val="window" lastClr="FFFFFF">
                  <a:hueOff val="0"/>
                  <a:satOff val="0"/>
                  <a:lumOff val="0"/>
                  <a:alphaOff val="0"/>
                </a:sysClr>
              </a:solidFill>
              <a:latin typeface="Calibri"/>
              <a:ea typeface="+mn-ea"/>
              <a:cs typeface="+mn-cs"/>
            </a:rPr>
            <a:t>Sistem arsimor gjithëpërfshirës dhe i bazuar në parimet e barazisë dhe mësimit gjatë gjithë jetës, që mundëson formimin cilësor të të gjithë individëve, duke kontribuar në mirëqenien personale të tyre, si dhe në forcimin e demokracisë dhe integrimin e vendit në Bashkimin Europian</a:t>
          </a:r>
          <a:endParaRPr lang="en-US" sz="1100">
            <a:solidFill>
              <a:sysClr val="window" lastClr="FFFFFF">
                <a:hueOff val="0"/>
                <a:satOff val="0"/>
                <a:lumOff val="0"/>
                <a:alphaOff val="0"/>
              </a:sysClr>
            </a:solidFill>
            <a:latin typeface="Calibri"/>
            <a:ea typeface="+mn-ea"/>
            <a:cs typeface="+mn-cs"/>
          </a:endParaRPr>
        </a:p>
      </dgm:t>
    </dgm:pt>
    <dgm:pt modelId="{23827DA7-91C6-4A6C-97C6-7CF722838811}" type="parTrans" cxnId="{4AC6CA1E-E4B1-4F5C-AF72-480E21637A6C}">
      <dgm:prSet/>
      <dgm:spPr/>
      <dgm:t>
        <a:bodyPr/>
        <a:lstStyle/>
        <a:p>
          <a:endParaRPr lang="en-US"/>
        </a:p>
      </dgm:t>
    </dgm:pt>
    <dgm:pt modelId="{1185592C-1BAD-4C38-B06F-C9384BD9AE7A}" type="sibTrans" cxnId="{4AC6CA1E-E4B1-4F5C-AF72-480E21637A6C}">
      <dgm:prSet/>
      <dgm:spPr/>
      <dgm:t>
        <a:bodyPr/>
        <a:lstStyle/>
        <a:p>
          <a:endParaRPr lang="en-US"/>
        </a:p>
      </dgm:t>
    </dgm:pt>
    <dgm:pt modelId="{1A87D1D0-E844-4BB6-8B89-4A3F61F64163}">
      <dgm:prSet phldrT="[Text]"/>
      <dgm:spPr>
        <a:xfrm>
          <a:off x="2495" y="817245"/>
          <a:ext cx="1702252" cy="1716214"/>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l"/>
          <a:r>
            <a:rPr lang="sq-AL" b="1">
              <a:solidFill>
                <a:schemeClr val="bg1"/>
              </a:solidFill>
              <a:latin typeface="Calibri"/>
              <a:ea typeface="+mn-ea"/>
              <a:cs typeface="+mn-cs"/>
            </a:rPr>
            <a:t>Qëllimi i politikës </a:t>
          </a:r>
          <a:r>
            <a:rPr lang="en-US" b="1">
              <a:solidFill>
                <a:schemeClr val="bg1"/>
              </a:solidFill>
              <a:latin typeface="Calibri"/>
              <a:ea typeface="+mn-ea"/>
              <a:cs typeface="+mn-cs"/>
            </a:rPr>
            <a:t>A</a:t>
          </a:r>
          <a:r>
            <a:rPr lang="sq-AL" b="1">
              <a:solidFill>
                <a:schemeClr val="bg1"/>
              </a:solidFill>
              <a:latin typeface="Calibri"/>
              <a:ea typeface="+mn-ea"/>
              <a:cs typeface="+mn-cs"/>
            </a:rPr>
            <a:t>:</a:t>
          </a:r>
          <a:r>
            <a:rPr lang="sq-AL">
              <a:solidFill>
                <a:schemeClr val="bg1"/>
              </a:solidFill>
              <a:latin typeface="Calibri"/>
              <a:ea typeface="+mn-ea"/>
              <a:cs typeface="+mn-cs"/>
            </a:rPr>
            <a:t> Arsim</a:t>
          </a:r>
          <a:r>
            <a:rPr lang="en-US">
              <a:solidFill>
                <a:schemeClr val="bg1"/>
              </a:solidFill>
              <a:latin typeface="Calibri"/>
              <a:ea typeface="+mn-ea"/>
              <a:cs typeface="+mn-cs"/>
            </a:rPr>
            <a:t> parauniversitar</a:t>
          </a:r>
          <a:r>
            <a:rPr lang="sq-AL">
              <a:solidFill>
                <a:schemeClr val="bg1"/>
              </a:solidFill>
              <a:latin typeface="Calibri"/>
              <a:ea typeface="+mn-ea"/>
              <a:cs typeface="+mn-cs"/>
            </a:rPr>
            <a:t> cilësor dhe gjithëpërfshirës që krijon kushte që nxënësit të zhvillojnë njohuri, shkathtësi, qëndrime dhe vlera në pajtim me kërkesat </a:t>
          </a:r>
          <a:r>
            <a:rPr lang="sq-AL">
              <a:solidFill>
                <a:sysClr val="window" lastClr="FFFFFF"/>
              </a:solidFill>
              <a:latin typeface="Calibri"/>
              <a:ea typeface="+mn-ea"/>
              <a:cs typeface="+mn-cs"/>
            </a:rPr>
            <a:t>e shoqërisë demokratike; të përballen në mënyrë konstruktive me sfidat e jetës, si dhe të kontribuojnë në ndërtimin e mirëqenies vetjake dhe të shoqërisë</a:t>
          </a:r>
          <a:endParaRPr lang="en-US">
            <a:solidFill>
              <a:sysClr val="window" lastClr="FFFFFF"/>
            </a:solidFill>
            <a:latin typeface="Calibri"/>
            <a:ea typeface="+mn-ea"/>
            <a:cs typeface="+mn-cs"/>
          </a:endParaRPr>
        </a:p>
      </dgm:t>
    </dgm:pt>
    <dgm:pt modelId="{D8C61FDC-F123-4EFC-864B-1D5065081497}" type="parTrans" cxnId="{837B1508-24B0-405D-A768-350C11278B0C}">
      <dgm:prSet/>
      <dgm:spPr/>
      <dgm:t>
        <a:bodyPr/>
        <a:lstStyle/>
        <a:p>
          <a:endParaRPr lang="en-US"/>
        </a:p>
      </dgm:t>
    </dgm:pt>
    <dgm:pt modelId="{77AAFDD9-17C2-493E-97FB-FF745A2E42FD}" type="sibTrans" cxnId="{837B1508-24B0-405D-A768-350C11278B0C}">
      <dgm:prSet/>
      <dgm:spPr/>
      <dgm:t>
        <a:bodyPr/>
        <a:lstStyle/>
        <a:p>
          <a:endParaRPr lang="en-US"/>
        </a:p>
      </dgm:t>
    </dgm:pt>
    <dgm:pt modelId="{1C13DE74-F2DD-48BD-94DA-4410354586BB}">
      <dgm:prSet phldrT="[Text]"/>
      <dgm:spPr>
        <a:xfrm>
          <a:off x="1704748" y="817245"/>
          <a:ext cx="1702252" cy="1716214"/>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l"/>
          <a:r>
            <a:rPr lang="sq-AL" b="1">
              <a:solidFill>
                <a:sysClr val="window" lastClr="FFFFFF"/>
              </a:solidFill>
              <a:latin typeface="Calibri"/>
              <a:ea typeface="+mn-ea"/>
              <a:cs typeface="+mn-cs"/>
            </a:rPr>
            <a:t>Qëllimi i politikës </a:t>
          </a:r>
          <a:r>
            <a:rPr lang="en-US" b="1">
              <a:solidFill>
                <a:sysClr val="window" lastClr="FFFFFF"/>
              </a:solidFill>
              <a:latin typeface="Calibri"/>
              <a:ea typeface="+mn-ea"/>
              <a:cs typeface="+mn-cs"/>
            </a:rPr>
            <a:t>B</a:t>
          </a:r>
          <a:r>
            <a:rPr lang="sq-AL" b="1">
              <a:solidFill>
                <a:sysClr val="window" lastClr="FFFFFF"/>
              </a:solidFill>
              <a:latin typeface="Calibri"/>
              <a:ea typeface="+mn-ea"/>
              <a:cs typeface="+mn-cs"/>
            </a:rPr>
            <a:t>:</a:t>
          </a:r>
          <a:r>
            <a:rPr lang="sq-AL">
              <a:solidFill>
                <a:sysClr val="window" lastClr="FFFFFF"/>
              </a:solidFill>
              <a:latin typeface="Calibri"/>
              <a:ea typeface="+mn-ea"/>
              <a:cs typeface="+mn-cs"/>
            </a:rPr>
            <a:t> Menaxhim efektiv dhe eficient i sistemit të arsimit në të gjitha nivelet, i bazuar në mekanizma funksional</a:t>
          </a:r>
          <a:r>
            <a:rPr lang="en-US">
              <a:solidFill>
                <a:sysClr val="window" lastClr="FFFFFF"/>
              </a:solidFill>
              <a:latin typeface="Calibri"/>
              <a:ea typeface="+mn-ea"/>
              <a:cs typeface="+mn-cs"/>
            </a:rPr>
            <a:t>e</a:t>
          </a:r>
          <a:r>
            <a:rPr lang="sq-AL">
              <a:solidFill>
                <a:sysClr val="window" lastClr="FFFFFF"/>
              </a:solidFill>
              <a:latin typeface="Calibri"/>
              <a:ea typeface="+mn-ea"/>
              <a:cs typeface="+mn-cs"/>
            </a:rPr>
            <a:t> për sigurimin e cilësisë, transparencës dhe llogaridhënies</a:t>
          </a:r>
          <a:endParaRPr lang="en-US">
            <a:solidFill>
              <a:sysClr val="window" lastClr="FFFFFF"/>
            </a:solidFill>
            <a:latin typeface="Calibri"/>
            <a:ea typeface="+mn-ea"/>
            <a:cs typeface="+mn-cs"/>
          </a:endParaRPr>
        </a:p>
      </dgm:t>
    </dgm:pt>
    <dgm:pt modelId="{91E09474-9782-49F6-B3CA-84D9997E5AD1}" type="parTrans" cxnId="{DF0014B0-C1CA-48EE-885B-72D01CD45ECF}">
      <dgm:prSet/>
      <dgm:spPr/>
      <dgm:t>
        <a:bodyPr/>
        <a:lstStyle/>
        <a:p>
          <a:endParaRPr lang="en-US"/>
        </a:p>
      </dgm:t>
    </dgm:pt>
    <dgm:pt modelId="{00CA3244-560B-4592-9019-70AE599CF1A4}" type="sibTrans" cxnId="{DF0014B0-C1CA-48EE-885B-72D01CD45ECF}">
      <dgm:prSet/>
      <dgm:spPr/>
      <dgm:t>
        <a:bodyPr/>
        <a:lstStyle/>
        <a:p>
          <a:endParaRPr lang="en-US"/>
        </a:p>
      </dgm:t>
    </dgm:pt>
    <dgm:pt modelId="{353179F5-FD0E-4279-8541-DE389151504B}">
      <dgm:prSet phldrT="[Text]"/>
      <dgm:spPr>
        <a:xfrm>
          <a:off x="3407001" y="817245"/>
          <a:ext cx="1702252" cy="1716214"/>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l"/>
          <a:r>
            <a:rPr lang="sq-AL" b="1">
              <a:solidFill>
                <a:sysClr val="window" lastClr="FFFFFF"/>
              </a:solidFill>
              <a:latin typeface="Calibri"/>
              <a:ea typeface="+mn-ea"/>
              <a:cs typeface="+mn-cs"/>
            </a:rPr>
            <a:t>Qëllimi i politikës </a:t>
          </a:r>
          <a:r>
            <a:rPr lang="en-US" b="1">
              <a:solidFill>
                <a:sysClr val="window" lastClr="FFFFFF"/>
              </a:solidFill>
              <a:latin typeface="Calibri"/>
              <a:ea typeface="+mn-ea"/>
              <a:cs typeface="+mn-cs"/>
            </a:rPr>
            <a:t>C</a:t>
          </a:r>
          <a:r>
            <a:rPr lang="sq-AL" b="1">
              <a:solidFill>
                <a:sysClr val="window" lastClr="FFFFFF"/>
              </a:solidFill>
              <a:latin typeface="Calibri"/>
              <a:ea typeface="+mn-ea"/>
              <a:cs typeface="+mn-cs"/>
            </a:rPr>
            <a:t>:</a:t>
          </a:r>
          <a:r>
            <a:rPr lang="sq-AL">
              <a:solidFill>
                <a:sysClr val="window" lastClr="FFFFFF"/>
              </a:solidFill>
              <a:latin typeface="Calibri"/>
              <a:ea typeface="+mn-ea"/>
              <a:cs typeface="+mn-cs"/>
            </a:rPr>
            <a:t> Arsim i lartë gjithëpërfshirës që plotëson standardet ndërkombëtare të cilësisë, integritetin akademik e transparencës, dhe është promotor i zhvillimit ekonomik dhe shoqëror të vendit</a:t>
          </a:r>
          <a:endParaRPr lang="en-US">
            <a:solidFill>
              <a:sysClr val="window" lastClr="FFFFFF"/>
            </a:solidFill>
            <a:latin typeface="Calibri"/>
            <a:ea typeface="+mn-ea"/>
            <a:cs typeface="+mn-cs"/>
          </a:endParaRPr>
        </a:p>
      </dgm:t>
    </dgm:pt>
    <dgm:pt modelId="{7F8C5D89-636C-4B50-B859-9E3AA77DF8D9}" type="parTrans" cxnId="{77932055-6E05-47EB-83DF-99D9E7E6E762}">
      <dgm:prSet/>
      <dgm:spPr/>
      <dgm:t>
        <a:bodyPr/>
        <a:lstStyle/>
        <a:p>
          <a:endParaRPr lang="en-US"/>
        </a:p>
      </dgm:t>
    </dgm:pt>
    <dgm:pt modelId="{17075070-69CC-4EB4-BC0A-099AB186A672}" type="sibTrans" cxnId="{77932055-6E05-47EB-83DF-99D9E7E6E762}">
      <dgm:prSet/>
      <dgm:spPr/>
      <dgm:t>
        <a:bodyPr/>
        <a:lstStyle/>
        <a:p>
          <a:endParaRPr lang="en-US"/>
        </a:p>
      </dgm:t>
    </dgm:pt>
    <dgm:pt modelId="{E83B5288-EC2E-4FFB-B8C8-CA36206E778F}" type="pres">
      <dgm:prSet presAssocID="{77F820BA-EE3D-4C43-ACE8-FD6B3D5964CE}" presName="composite" presStyleCnt="0">
        <dgm:presLayoutVars>
          <dgm:chMax val="1"/>
          <dgm:dir/>
          <dgm:resizeHandles val="exact"/>
        </dgm:presLayoutVars>
      </dgm:prSet>
      <dgm:spPr/>
    </dgm:pt>
    <dgm:pt modelId="{D01C5CD7-5E5B-494F-B91A-09B1E747F3FB}" type="pres">
      <dgm:prSet presAssocID="{96FFAEBA-9FB8-4CAB-A4CE-327843CBD676}" presName="roof" presStyleLbl="dkBgShp" presStyleIdx="0" presStyleCnt="2" custAng="0"/>
      <dgm:spPr>
        <a:prstGeom prst="rect">
          <a:avLst/>
        </a:prstGeom>
      </dgm:spPr>
    </dgm:pt>
    <dgm:pt modelId="{03594570-304C-4B34-9AC3-137BA15E2527}" type="pres">
      <dgm:prSet presAssocID="{96FFAEBA-9FB8-4CAB-A4CE-327843CBD676}" presName="pillars" presStyleCnt="0"/>
      <dgm:spPr/>
    </dgm:pt>
    <dgm:pt modelId="{0DE04861-19CA-4BBF-9693-9CCF1078FCA9}" type="pres">
      <dgm:prSet presAssocID="{96FFAEBA-9FB8-4CAB-A4CE-327843CBD676}" presName="pillar1" presStyleLbl="node1" presStyleIdx="0" presStyleCnt="3">
        <dgm:presLayoutVars>
          <dgm:bulletEnabled val="1"/>
        </dgm:presLayoutVars>
      </dgm:prSet>
      <dgm:spPr>
        <a:prstGeom prst="rect">
          <a:avLst/>
        </a:prstGeom>
      </dgm:spPr>
    </dgm:pt>
    <dgm:pt modelId="{997B759D-8EFF-49CD-A6E5-3551C8BA49B5}" type="pres">
      <dgm:prSet presAssocID="{1C13DE74-F2DD-48BD-94DA-4410354586BB}" presName="pillarX" presStyleLbl="node1" presStyleIdx="1" presStyleCnt="3">
        <dgm:presLayoutVars>
          <dgm:bulletEnabled val="1"/>
        </dgm:presLayoutVars>
      </dgm:prSet>
      <dgm:spPr>
        <a:prstGeom prst="rect">
          <a:avLst/>
        </a:prstGeom>
      </dgm:spPr>
    </dgm:pt>
    <dgm:pt modelId="{541E767D-22E8-41C1-BE13-1F446B031102}" type="pres">
      <dgm:prSet presAssocID="{353179F5-FD0E-4279-8541-DE389151504B}" presName="pillarX" presStyleLbl="node1" presStyleIdx="2" presStyleCnt="3">
        <dgm:presLayoutVars>
          <dgm:bulletEnabled val="1"/>
        </dgm:presLayoutVars>
      </dgm:prSet>
      <dgm:spPr>
        <a:prstGeom prst="rect">
          <a:avLst/>
        </a:prstGeom>
      </dgm:spPr>
    </dgm:pt>
    <dgm:pt modelId="{D3E92B5A-7F71-4267-ACAD-23D84A12C5FE}" type="pres">
      <dgm:prSet presAssocID="{96FFAEBA-9FB8-4CAB-A4CE-327843CBD676}" presName="base" presStyleLbl="dkBgShp" presStyleIdx="1" presStyleCnt="2"/>
      <dgm:spPr>
        <a:xfrm>
          <a:off x="0" y="2533459"/>
          <a:ext cx="5111749" cy="190690"/>
        </a:xfrm>
        <a:prstGeom prst="rect">
          <a:avLst/>
        </a:prstGeom>
        <a:solidFill>
          <a:srgbClr val="4F81BD">
            <a:shade val="80000"/>
            <a:hueOff val="0"/>
            <a:satOff val="0"/>
            <a:lumOff val="0"/>
            <a:alphaOff val="0"/>
          </a:srgbClr>
        </a:solidFill>
        <a:ln>
          <a:noFill/>
        </a:ln>
        <a:effectLst/>
      </dgm:spPr>
    </dgm:pt>
  </dgm:ptLst>
  <dgm:cxnLst>
    <dgm:cxn modelId="{837B1508-24B0-405D-A768-350C11278B0C}" srcId="{96FFAEBA-9FB8-4CAB-A4CE-327843CBD676}" destId="{1A87D1D0-E844-4BB6-8B89-4A3F61F64163}" srcOrd="0" destOrd="0" parTransId="{D8C61FDC-F123-4EFC-864B-1D5065081497}" sibTransId="{77AAFDD9-17C2-493E-97FB-FF745A2E42FD}"/>
    <dgm:cxn modelId="{BCF2AB19-8C87-4310-A1F8-B69E344BE053}" type="presOf" srcId="{353179F5-FD0E-4279-8541-DE389151504B}" destId="{541E767D-22E8-41C1-BE13-1F446B031102}" srcOrd="0" destOrd="0" presId="urn:microsoft.com/office/officeart/2005/8/layout/hList3"/>
    <dgm:cxn modelId="{4AC6CA1E-E4B1-4F5C-AF72-480E21637A6C}" srcId="{77F820BA-EE3D-4C43-ACE8-FD6B3D5964CE}" destId="{96FFAEBA-9FB8-4CAB-A4CE-327843CBD676}" srcOrd="0" destOrd="0" parTransId="{23827DA7-91C6-4A6C-97C6-7CF722838811}" sibTransId="{1185592C-1BAD-4C38-B06F-C9384BD9AE7A}"/>
    <dgm:cxn modelId="{77932055-6E05-47EB-83DF-99D9E7E6E762}" srcId="{96FFAEBA-9FB8-4CAB-A4CE-327843CBD676}" destId="{353179F5-FD0E-4279-8541-DE389151504B}" srcOrd="2" destOrd="0" parTransId="{7F8C5D89-636C-4B50-B859-9E3AA77DF8D9}" sibTransId="{17075070-69CC-4EB4-BC0A-099AB186A672}"/>
    <dgm:cxn modelId="{E217F363-B99B-4891-B212-586AC82841D7}" type="presOf" srcId="{77F820BA-EE3D-4C43-ACE8-FD6B3D5964CE}" destId="{E83B5288-EC2E-4FFB-B8C8-CA36206E778F}" srcOrd="0" destOrd="0" presId="urn:microsoft.com/office/officeart/2005/8/layout/hList3"/>
    <dgm:cxn modelId="{9B64B0A0-ABF9-4EC8-A1BB-0867F39F46E5}" type="presOf" srcId="{1A87D1D0-E844-4BB6-8B89-4A3F61F64163}" destId="{0DE04861-19CA-4BBF-9693-9CCF1078FCA9}" srcOrd="0" destOrd="0" presId="urn:microsoft.com/office/officeart/2005/8/layout/hList3"/>
    <dgm:cxn modelId="{DF0014B0-C1CA-48EE-885B-72D01CD45ECF}" srcId="{96FFAEBA-9FB8-4CAB-A4CE-327843CBD676}" destId="{1C13DE74-F2DD-48BD-94DA-4410354586BB}" srcOrd="1" destOrd="0" parTransId="{91E09474-9782-49F6-B3CA-84D9997E5AD1}" sibTransId="{00CA3244-560B-4592-9019-70AE599CF1A4}"/>
    <dgm:cxn modelId="{37F6DEDB-06B0-4300-B5D1-788E5524C197}" type="presOf" srcId="{96FFAEBA-9FB8-4CAB-A4CE-327843CBD676}" destId="{D01C5CD7-5E5B-494F-B91A-09B1E747F3FB}" srcOrd="0" destOrd="0" presId="urn:microsoft.com/office/officeart/2005/8/layout/hList3"/>
    <dgm:cxn modelId="{10F094E5-316F-444D-93DC-6B5F55645416}" type="presOf" srcId="{1C13DE74-F2DD-48BD-94DA-4410354586BB}" destId="{997B759D-8EFF-49CD-A6E5-3551C8BA49B5}" srcOrd="0" destOrd="0" presId="urn:microsoft.com/office/officeart/2005/8/layout/hList3"/>
    <dgm:cxn modelId="{200862F3-6BDD-48E1-997F-540068C892F5}" type="presParOf" srcId="{E83B5288-EC2E-4FFB-B8C8-CA36206E778F}" destId="{D01C5CD7-5E5B-494F-B91A-09B1E747F3FB}" srcOrd="0" destOrd="0" presId="urn:microsoft.com/office/officeart/2005/8/layout/hList3"/>
    <dgm:cxn modelId="{51B19FF1-5FAA-4AAF-9662-A6392CF3007A}" type="presParOf" srcId="{E83B5288-EC2E-4FFB-B8C8-CA36206E778F}" destId="{03594570-304C-4B34-9AC3-137BA15E2527}" srcOrd="1" destOrd="0" presId="urn:microsoft.com/office/officeart/2005/8/layout/hList3"/>
    <dgm:cxn modelId="{5075D307-2E53-46C4-9834-ED91BFCBBF99}" type="presParOf" srcId="{03594570-304C-4B34-9AC3-137BA15E2527}" destId="{0DE04861-19CA-4BBF-9693-9CCF1078FCA9}" srcOrd="0" destOrd="0" presId="urn:microsoft.com/office/officeart/2005/8/layout/hList3"/>
    <dgm:cxn modelId="{68C2C0E5-39E3-4754-AFAF-95271746B863}" type="presParOf" srcId="{03594570-304C-4B34-9AC3-137BA15E2527}" destId="{997B759D-8EFF-49CD-A6E5-3551C8BA49B5}" srcOrd="1" destOrd="0" presId="urn:microsoft.com/office/officeart/2005/8/layout/hList3"/>
    <dgm:cxn modelId="{E8999BF3-D48C-45FE-A1AA-4CD21D93DC38}" type="presParOf" srcId="{03594570-304C-4B34-9AC3-137BA15E2527}" destId="{541E767D-22E8-41C1-BE13-1F446B031102}" srcOrd="2" destOrd="0" presId="urn:microsoft.com/office/officeart/2005/8/layout/hList3"/>
    <dgm:cxn modelId="{56E431C9-21F3-49C9-B478-FD5C28826B75}" type="presParOf" srcId="{E83B5288-EC2E-4FFB-B8C8-CA36206E778F}" destId="{D3E92B5A-7F71-4267-ACAD-23D84A12C5FE}" srcOrd="2" destOrd="0" presId="urn:microsoft.com/office/officeart/2005/8/layout/hList3"/>
  </dgm:cxnLst>
  <dgm:bg/>
  <dgm:whole/>
  <dgm:extLst>
    <a:ext uri="http://schemas.microsoft.com/office/drawing/2008/diagram">
      <dsp:dataModelExt xmlns:dsp="http://schemas.microsoft.com/office/drawing/2008/diagram" relId="rId31"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D0318DB0-D999-499F-B0C5-551DBB04CD59}" type="doc">
      <dgm:prSet loTypeId="urn:microsoft.com/office/officeart/2005/8/layout/pyramid2" loCatId="list" qsTypeId="urn:microsoft.com/office/officeart/2005/8/quickstyle/simple1" qsCatId="simple" csTypeId="urn:microsoft.com/office/officeart/2005/8/colors/accent1_2" csCatId="accent1" phldr="1"/>
      <dgm:spPr/>
      <dgm:t>
        <a:bodyPr/>
        <a:lstStyle/>
        <a:p>
          <a:endParaRPr lang="en-US"/>
        </a:p>
      </dgm:t>
    </dgm:pt>
    <dgm:pt modelId="{01B4C612-3257-4E97-9F5B-1A121BB09C67}">
      <dgm:prSet phldrT="[Text]"/>
      <dgm:spPr>
        <a:xfrm>
          <a:off x="1863566" y="220560"/>
          <a:ext cx="1432242" cy="313303"/>
        </a:xfr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r>
            <a:rPr lang="en-US">
              <a:solidFill>
                <a:sysClr val="windowText" lastClr="000000">
                  <a:hueOff val="0"/>
                  <a:satOff val="0"/>
                  <a:lumOff val="0"/>
                  <a:alphaOff val="0"/>
                </a:sysClr>
              </a:solidFill>
              <a:latin typeface="Calibri"/>
              <a:ea typeface="+mn-ea"/>
              <a:cs typeface="+mn-cs"/>
            </a:rPr>
            <a:t>Vizioni</a:t>
          </a:r>
        </a:p>
      </dgm:t>
    </dgm:pt>
    <dgm:pt modelId="{6FC5B8E7-BD27-40D4-91B4-126E505F7C4D}" type="parTrans" cxnId="{F8D3CE5E-0ECD-44A8-8B3C-9FE86CE95D82}">
      <dgm:prSet/>
      <dgm:spPr/>
      <dgm:t>
        <a:bodyPr/>
        <a:lstStyle/>
        <a:p>
          <a:endParaRPr lang="en-US"/>
        </a:p>
      </dgm:t>
    </dgm:pt>
    <dgm:pt modelId="{663778CE-0F03-419B-800C-36F48C705B98}" type="sibTrans" cxnId="{F8D3CE5E-0ECD-44A8-8B3C-9FE86CE95D82}">
      <dgm:prSet/>
      <dgm:spPr/>
      <dgm:t>
        <a:bodyPr/>
        <a:lstStyle/>
        <a:p>
          <a:endParaRPr lang="en-US"/>
        </a:p>
      </dgm:t>
    </dgm:pt>
    <dgm:pt modelId="{A2F66A08-C4F4-4542-9338-A6BCC3A13586}">
      <dgm:prSet phldrT="[Text]"/>
      <dgm:spPr>
        <a:xfrm>
          <a:off x="1863566" y="573026"/>
          <a:ext cx="1432242" cy="313303"/>
        </a:xfr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r>
            <a:rPr lang="en-US">
              <a:solidFill>
                <a:sysClr val="windowText" lastClr="000000">
                  <a:hueOff val="0"/>
                  <a:satOff val="0"/>
                  <a:lumOff val="0"/>
                  <a:alphaOff val="0"/>
                </a:sysClr>
              </a:solidFill>
              <a:latin typeface="Calibri"/>
              <a:ea typeface="+mn-ea"/>
              <a:cs typeface="+mn-cs"/>
            </a:rPr>
            <a:t>Qëllimet e politikave</a:t>
          </a:r>
        </a:p>
      </dgm:t>
    </dgm:pt>
    <dgm:pt modelId="{572F0582-E05A-48D2-8ABD-4F29CD4EE29C}" type="parTrans" cxnId="{904FAC68-9069-4653-AD8F-EB9CAC371847}">
      <dgm:prSet/>
      <dgm:spPr/>
      <dgm:t>
        <a:bodyPr/>
        <a:lstStyle/>
        <a:p>
          <a:endParaRPr lang="en-US"/>
        </a:p>
      </dgm:t>
    </dgm:pt>
    <dgm:pt modelId="{246E85E1-E749-4AE6-8BE4-5BE454A32D37}" type="sibTrans" cxnId="{904FAC68-9069-4653-AD8F-EB9CAC371847}">
      <dgm:prSet/>
      <dgm:spPr/>
      <dgm:t>
        <a:bodyPr/>
        <a:lstStyle/>
        <a:p>
          <a:endParaRPr lang="en-US"/>
        </a:p>
      </dgm:t>
    </dgm:pt>
    <dgm:pt modelId="{E6ADEDB6-0F5F-4BF5-9C69-9DB6B4205359}">
      <dgm:prSet phldrT="[Text]"/>
      <dgm:spPr>
        <a:xfrm>
          <a:off x="1863566" y="925492"/>
          <a:ext cx="1432242" cy="313303"/>
        </a:xfr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r>
            <a:rPr lang="en-US">
              <a:solidFill>
                <a:sysClr val="windowText" lastClr="000000">
                  <a:hueOff val="0"/>
                  <a:satOff val="0"/>
                  <a:lumOff val="0"/>
                  <a:alphaOff val="0"/>
                </a:sysClr>
              </a:solidFill>
              <a:latin typeface="Calibri"/>
              <a:ea typeface="+mn-ea"/>
              <a:cs typeface="+mn-cs"/>
            </a:rPr>
            <a:t>Objektivat specifike</a:t>
          </a:r>
        </a:p>
      </dgm:t>
    </dgm:pt>
    <dgm:pt modelId="{880FF0EB-6E54-40D3-9B43-AEEF460F2402}" type="parTrans" cxnId="{756559C3-0FC7-47A0-8F2C-F58864797E12}">
      <dgm:prSet/>
      <dgm:spPr/>
      <dgm:t>
        <a:bodyPr/>
        <a:lstStyle/>
        <a:p>
          <a:endParaRPr lang="en-US"/>
        </a:p>
      </dgm:t>
    </dgm:pt>
    <dgm:pt modelId="{558BF3C5-CE4F-4130-9173-0688481B5C37}" type="sibTrans" cxnId="{756559C3-0FC7-47A0-8F2C-F58864797E12}">
      <dgm:prSet/>
      <dgm:spPr/>
      <dgm:t>
        <a:bodyPr/>
        <a:lstStyle/>
        <a:p>
          <a:endParaRPr lang="en-US"/>
        </a:p>
      </dgm:t>
    </dgm:pt>
    <dgm:pt modelId="{5AD41776-6F4A-4EFB-B05E-49D903A9D92F}">
      <dgm:prSet/>
      <dgm:spPr>
        <a:xfrm>
          <a:off x="1863566" y="1277957"/>
          <a:ext cx="1432242" cy="313303"/>
        </a:xfr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r>
            <a:rPr lang="en-US">
              <a:solidFill>
                <a:sysClr val="windowText" lastClr="000000">
                  <a:hueOff val="0"/>
                  <a:satOff val="0"/>
                  <a:lumOff val="0"/>
                  <a:alphaOff val="0"/>
                </a:sysClr>
              </a:solidFill>
              <a:latin typeface="Calibri"/>
              <a:ea typeface="+mn-ea"/>
              <a:cs typeface="+mn-cs"/>
            </a:rPr>
            <a:t>Produktet</a:t>
          </a:r>
        </a:p>
      </dgm:t>
    </dgm:pt>
    <dgm:pt modelId="{B0A776BD-85E3-4657-8362-C1F15D390E02}" type="parTrans" cxnId="{F93F8C1E-0F5E-4DF7-9C6F-93AD0B0B5E13}">
      <dgm:prSet/>
      <dgm:spPr/>
      <dgm:t>
        <a:bodyPr/>
        <a:lstStyle/>
        <a:p>
          <a:endParaRPr lang="en-US"/>
        </a:p>
      </dgm:t>
    </dgm:pt>
    <dgm:pt modelId="{522B738B-A2C7-4FA1-A226-0BC0D2D02851}" type="sibTrans" cxnId="{F93F8C1E-0F5E-4DF7-9C6F-93AD0B0B5E13}">
      <dgm:prSet/>
      <dgm:spPr/>
      <dgm:t>
        <a:bodyPr/>
        <a:lstStyle/>
        <a:p>
          <a:endParaRPr lang="en-US"/>
        </a:p>
      </dgm:t>
    </dgm:pt>
    <dgm:pt modelId="{C61EB99A-477D-42BB-8957-4A2A2AC60163}">
      <dgm:prSet/>
      <dgm:spPr>
        <a:xfrm>
          <a:off x="1863566" y="1630423"/>
          <a:ext cx="1432242" cy="313303"/>
        </a:xfr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r>
            <a:rPr lang="en-US">
              <a:solidFill>
                <a:sysClr val="windowText" lastClr="000000">
                  <a:hueOff val="0"/>
                  <a:satOff val="0"/>
                  <a:lumOff val="0"/>
                  <a:alphaOff val="0"/>
                </a:sysClr>
              </a:solidFill>
              <a:latin typeface="Calibri"/>
              <a:ea typeface="+mn-ea"/>
              <a:cs typeface="+mn-cs"/>
            </a:rPr>
            <a:t>Masat</a:t>
          </a:r>
        </a:p>
      </dgm:t>
    </dgm:pt>
    <dgm:pt modelId="{C6BFF3F9-A46B-426B-B669-6EDCA787A431}" type="parTrans" cxnId="{2D093F80-2554-4C80-BD3E-4574AFC0A780}">
      <dgm:prSet/>
      <dgm:spPr/>
      <dgm:t>
        <a:bodyPr/>
        <a:lstStyle/>
        <a:p>
          <a:endParaRPr lang="en-US"/>
        </a:p>
      </dgm:t>
    </dgm:pt>
    <dgm:pt modelId="{68D952E5-3092-4E9E-A40F-EB269FA9E873}" type="sibTrans" cxnId="{2D093F80-2554-4C80-BD3E-4574AFC0A780}">
      <dgm:prSet/>
      <dgm:spPr/>
      <dgm:t>
        <a:bodyPr/>
        <a:lstStyle/>
        <a:p>
          <a:endParaRPr lang="en-US"/>
        </a:p>
      </dgm:t>
    </dgm:pt>
    <dgm:pt modelId="{60FCE1F4-ABD9-45E3-8F24-CDDC6C9A631B}" type="pres">
      <dgm:prSet presAssocID="{D0318DB0-D999-499F-B0C5-551DBB04CD59}" presName="compositeShape" presStyleCnt="0">
        <dgm:presLayoutVars>
          <dgm:dir/>
          <dgm:resizeHandles/>
        </dgm:presLayoutVars>
      </dgm:prSet>
      <dgm:spPr/>
    </dgm:pt>
    <dgm:pt modelId="{B0C15213-895F-486C-89F2-7191DBD41BD8}" type="pres">
      <dgm:prSet presAssocID="{D0318DB0-D999-499F-B0C5-551DBB04CD59}" presName="pyramid" presStyleLbl="node1" presStyleIdx="0" presStyleCnt="1"/>
      <dgm:spPr>
        <a:xfrm>
          <a:off x="761841" y="0"/>
          <a:ext cx="2203450" cy="2203450"/>
        </a:xfrm>
        <a:prstGeom prst="triangle">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pt>
    <dgm:pt modelId="{D08A9CB6-436C-479C-8180-9C34767978E9}" type="pres">
      <dgm:prSet presAssocID="{D0318DB0-D999-499F-B0C5-551DBB04CD59}" presName="theList" presStyleCnt="0"/>
      <dgm:spPr/>
    </dgm:pt>
    <dgm:pt modelId="{814BB553-2CDC-414B-A432-87AAA0E231E5}" type="pres">
      <dgm:prSet presAssocID="{01B4C612-3257-4E97-9F5B-1A121BB09C67}" presName="aNode" presStyleLbl="fgAcc1" presStyleIdx="0" presStyleCnt="5">
        <dgm:presLayoutVars>
          <dgm:bulletEnabled val="1"/>
        </dgm:presLayoutVars>
      </dgm:prSet>
      <dgm:spPr>
        <a:prstGeom prst="roundRect">
          <a:avLst/>
        </a:prstGeom>
      </dgm:spPr>
    </dgm:pt>
    <dgm:pt modelId="{16232269-FA21-417C-9083-C2DA28ABC87D}" type="pres">
      <dgm:prSet presAssocID="{01B4C612-3257-4E97-9F5B-1A121BB09C67}" presName="aSpace" presStyleCnt="0"/>
      <dgm:spPr/>
    </dgm:pt>
    <dgm:pt modelId="{BF33D782-FA59-49B2-9B27-FEADC3A595CB}" type="pres">
      <dgm:prSet presAssocID="{A2F66A08-C4F4-4542-9338-A6BCC3A13586}" presName="aNode" presStyleLbl="fgAcc1" presStyleIdx="1" presStyleCnt="5">
        <dgm:presLayoutVars>
          <dgm:bulletEnabled val="1"/>
        </dgm:presLayoutVars>
      </dgm:prSet>
      <dgm:spPr>
        <a:prstGeom prst="roundRect">
          <a:avLst/>
        </a:prstGeom>
      </dgm:spPr>
    </dgm:pt>
    <dgm:pt modelId="{869EA474-DA60-4AB6-B3D6-B2B3039F15E7}" type="pres">
      <dgm:prSet presAssocID="{A2F66A08-C4F4-4542-9338-A6BCC3A13586}" presName="aSpace" presStyleCnt="0"/>
      <dgm:spPr/>
    </dgm:pt>
    <dgm:pt modelId="{F275977A-1A33-4A86-AF1A-6363C4559979}" type="pres">
      <dgm:prSet presAssocID="{E6ADEDB6-0F5F-4BF5-9C69-9DB6B4205359}" presName="aNode" presStyleLbl="fgAcc1" presStyleIdx="2" presStyleCnt="5">
        <dgm:presLayoutVars>
          <dgm:bulletEnabled val="1"/>
        </dgm:presLayoutVars>
      </dgm:prSet>
      <dgm:spPr>
        <a:prstGeom prst="roundRect">
          <a:avLst/>
        </a:prstGeom>
      </dgm:spPr>
    </dgm:pt>
    <dgm:pt modelId="{08C86594-9B33-407D-B9A0-D13289471C46}" type="pres">
      <dgm:prSet presAssocID="{E6ADEDB6-0F5F-4BF5-9C69-9DB6B4205359}" presName="aSpace" presStyleCnt="0"/>
      <dgm:spPr/>
    </dgm:pt>
    <dgm:pt modelId="{E695B58A-93E0-43E8-B61F-1D815BA3CA75}" type="pres">
      <dgm:prSet presAssocID="{5AD41776-6F4A-4EFB-B05E-49D903A9D92F}" presName="aNode" presStyleLbl="fgAcc1" presStyleIdx="3" presStyleCnt="5">
        <dgm:presLayoutVars>
          <dgm:bulletEnabled val="1"/>
        </dgm:presLayoutVars>
      </dgm:prSet>
      <dgm:spPr>
        <a:prstGeom prst="roundRect">
          <a:avLst/>
        </a:prstGeom>
      </dgm:spPr>
    </dgm:pt>
    <dgm:pt modelId="{5B1D2CE9-37CB-4D05-ACF6-5372F429C603}" type="pres">
      <dgm:prSet presAssocID="{5AD41776-6F4A-4EFB-B05E-49D903A9D92F}" presName="aSpace" presStyleCnt="0"/>
      <dgm:spPr/>
    </dgm:pt>
    <dgm:pt modelId="{D03177B0-13B7-47E8-B069-5E105F6FEB12}" type="pres">
      <dgm:prSet presAssocID="{C61EB99A-477D-42BB-8957-4A2A2AC60163}" presName="aNode" presStyleLbl="fgAcc1" presStyleIdx="4" presStyleCnt="5">
        <dgm:presLayoutVars>
          <dgm:bulletEnabled val="1"/>
        </dgm:presLayoutVars>
      </dgm:prSet>
      <dgm:spPr>
        <a:prstGeom prst="roundRect">
          <a:avLst/>
        </a:prstGeom>
      </dgm:spPr>
    </dgm:pt>
    <dgm:pt modelId="{DDFBEAB9-83D0-4387-8C87-5432D404063D}" type="pres">
      <dgm:prSet presAssocID="{C61EB99A-477D-42BB-8957-4A2A2AC60163}" presName="aSpace" presStyleCnt="0"/>
      <dgm:spPr/>
    </dgm:pt>
  </dgm:ptLst>
  <dgm:cxnLst>
    <dgm:cxn modelId="{F93F8C1E-0F5E-4DF7-9C6F-93AD0B0B5E13}" srcId="{D0318DB0-D999-499F-B0C5-551DBB04CD59}" destId="{5AD41776-6F4A-4EFB-B05E-49D903A9D92F}" srcOrd="3" destOrd="0" parTransId="{B0A776BD-85E3-4657-8362-C1F15D390E02}" sibTransId="{522B738B-A2C7-4FA1-A226-0BC0D2D02851}"/>
    <dgm:cxn modelId="{7EDB1857-F154-40D4-B8A7-139A4B3132BE}" type="presOf" srcId="{A2F66A08-C4F4-4542-9338-A6BCC3A13586}" destId="{BF33D782-FA59-49B2-9B27-FEADC3A595CB}" srcOrd="0" destOrd="0" presId="urn:microsoft.com/office/officeart/2005/8/layout/pyramid2"/>
    <dgm:cxn modelId="{F8D3CE5E-0ECD-44A8-8B3C-9FE86CE95D82}" srcId="{D0318DB0-D999-499F-B0C5-551DBB04CD59}" destId="{01B4C612-3257-4E97-9F5B-1A121BB09C67}" srcOrd="0" destOrd="0" parTransId="{6FC5B8E7-BD27-40D4-91B4-126E505F7C4D}" sibTransId="{663778CE-0F03-419B-800C-36F48C705B98}"/>
    <dgm:cxn modelId="{904FAC68-9069-4653-AD8F-EB9CAC371847}" srcId="{D0318DB0-D999-499F-B0C5-551DBB04CD59}" destId="{A2F66A08-C4F4-4542-9338-A6BCC3A13586}" srcOrd="1" destOrd="0" parTransId="{572F0582-E05A-48D2-8ABD-4F29CD4EE29C}" sibTransId="{246E85E1-E749-4AE6-8BE4-5BE454A32D37}"/>
    <dgm:cxn modelId="{334F996F-E86B-4EBF-A023-4B5A10633BF1}" type="presOf" srcId="{D0318DB0-D999-499F-B0C5-551DBB04CD59}" destId="{60FCE1F4-ABD9-45E3-8F24-CDDC6C9A631B}" srcOrd="0" destOrd="0" presId="urn:microsoft.com/office/officeart/2005/8/layout/pyramid2"/>
    <dgm:cxn modelId="{0BD1A974-AFCC-4DDB-9B59-4D6A0EE4BED6}" type="presOf" srcId="{E6ADEDB6-0F5F-4BF5-9C69-9DB6B4205359}" destId="{F275977A-1A33-4A86-AF1A-6363C4559979}" srcOrd="0" destOrd="0" presId="urn:microsoft.com/office/officeart/2005/8/layout/pyramid2"/>
    <dgm:cxn modelId="{2D093F80-2554-4C80-BD3E-4574AFC0A780}" srcId="{D0318DB0-D999-499F-B0C5-551DBB04CD59}" destId="{C61EB99A-477D-42BB-8957-4A2A2AC60163}" srcOrd="4" destOrd="0" parTransId="{C6BFF3F9-A46B-426B-B669-6EDCA787A431}" sibTransId="{68D952E5-3092-4E9E-A40F-EB269FA9E873}"/>
    <dgm:cxn modelId="{756559C3-0FC7-47A0-8F2C-F58864797E12}" srcId="{D0318DB0-D999-499F-B0C5-551DBB04CD59}" destId="{E6ADEDB6-0F5F-4BF5-9C69-9DB6B4205359}" srcOrd="2" destOrd="0" parTransId="{880FF0EB-6E54-40D3-9B43-AEEF460F2402}" sibTransId="{558BF3C5-CE4F-4130-9173-0688481B5C37}"/>
    <dgm:cxn modelId="{8BEA47C7-801A-4983-9D9F-78D063D82FCD}" type="presOf" srcId="{5AD41776-6F4A-4EFB-B05E-49D903A9D92F}" destId="{E695B58A-93E0-43E8-B61F-1D815BA3CA75}" srcOrd="0" destOrd="0" presId="urn:microsoft.com/office/officeart/2005/8/layout/pyramid2"/>
    <dgm:cxn modelId="{BB6567E6-9197-455E-9D46-C17C28183739}" type="presOf" srcId="{C61EB99A-477D-42BB-8957-4A2A2AC60163}" destId="{D03177B0-13B7-47E8-B069-5E105F6FEB12}" srcOrd="0" destOrd="0" presId="urn:microsoft.com/office/officeart/2005/8/layout/pyramid2"/>
    <dgm:cxn modelId="{8AB96EF4-491B-44EF-9C09-9AA9F6E19332}" type="presOf" srcId="{01B4C612-3257-4E97-9F5B-1A121BB09C67}" destId="{814BB553-2CDC-414B-A432-87AAA0E231E5}" srcOrd="0" destOrd="0" presId="urn:microsoft.com/office/officeart/2005/8/layout/pyramid2"/>
    <dgm:cxn modelId="{FB084EC4-F226-4D86-8537-BFBD39AEC408}" type="presParOf" srcId="{60FCE1F4-ABD9-45E3-8F24-CDDC6C9A631B}" destId="{B0C15213-895F-486C-89F2-7191DBD41BD8}" srcOrd="0" destOrd="0" presId="urn:microsoft.com/office/officeart/2005/8/layout/pyramid2"/>
    <dgm:cxn modelId="{51DBAF0E-F076-470F-9105-B82AC70A9D77}" type="presParOf" srcId="{60FCE1F4-ABD9-45E3-8F24-CDDC6C9A631B}" destId="{D08A9CB6-436C-479C-8180-9C34767978E9}" srcOrd="1" destOrd="0" presId="urn:microsoft.com/office/officeart/2005/8/layout/pyramid2"/>
    <dgm:cxn modelId="{E0F2022E-75BB-47CC-9491-B37628DDEC7A}" type="presParOf" srcId="{D08A9CB6-436C-479C-8180-9C34767978E9}" destId="{814BB553-2CDC-414B-A432-87AAA0E231E5}" srcOrd="0" destOrd="0" presId="urn:microsoft.com/office/officeart/2005/8/layout/pyramid2"/>
    <dgm:cxn modelId="{D2DDC9A6-CAA3-402A-80E6-EDC5D61610A7}" type="presParOf" srcId="{D08A9CB6-436C-479C-8180-9C34767978E9}" destId="{16232269-FA21-417C-9083-C2DA28ABC87D}" srcOrd="1" destOrd="0" presId="urn:microsoft.com/office/officeart/2005/8/layout/pyramid2"/>
    <dgm:cxn modelId="{2061741E-4568-4F2C-9F79-F3D340E68D6E}" type="presParOf" srcId="{D08A9CB6-436C-479C-8180-9C34767978E9}" destId="{BF33D782-FA59-49B2-9B27-FEADC3A595CB}" srcOrd="2" destOrd="0" presId="urn:microsoft.com/office/officeart/2005/8/layout/pyramid2"/>
    <dgm:cxn modelId="{A769BE9B-61FF-49D0-9F37-120FAEA583E3}" type="presParOf" srcId="{D08A9CB6-436C-479C-8180-9C34767978E9}" destId="{869EA474-DA60-4AB6-B3D6-B2B3039F15E7}" srcOrd="3" destOrd="0" presId="urn:microsoft.com/office/officeart/2005/8/layout/pyramid2"/>
    <dgm:cxn modelId="{E5C2057E-E253-47D3-BA49-8C05B66418E7}" type="presParOf" srcId="{D08A9CB6-436C-479C-8180-9C34767978E9}" destId="{F275977A-1A33-4A86-AF1A-6363C4559979}" srcOrd="4" destOrd="0" presId="urn:microsoft.com/office/officeart/2005/8/layout/pyramid2"/>
    <dgm:cxn modelId="{80042DF7-1D17-4702-80BF-F373987042DB}" type="presParOf" srcId="{D08A9CB6-436C-479C-8180-9C34767978E9}" destId="{08C86594-9B33-407D-B9A0-D13289471C46}" srcOrd="5" destOrd="0" presId="urn:microsoft.com/office/officeart/2005/8/layout/pyramid2"/>
    <dgm:cxn modelId="{4E047675-ADA4-49E9-B3CD-027942AC82C0}" type="presParOf" srcId="{D08A9CB6-436C-479C-8180-9C34767978E9}" destId="{E695B58A-93E0-43E8-B61F-1D815BA3CA75}" srcOrd="6" destOrd="0" presId="urn:microsoft.com/office/officeart/2005/8/layout/pyramid2"/>
    <dgm:cxn modelId="{8C67FAA0-4FCA-4073-BDA4-21093584F5AB}" type="presParOf" srcId="{D08A9CB6-436C-479C-8180-9C34767978E9}" destId="{5B1D2CE9-37CB-4D05-ACF6-5372F429C603}" srcOrd="7" destOrd="0" presId="urn:microsoft.com/office/officeart/2005/8/layout/pyramid2"/>
    <dgm:cxn modelId="{1C6896AB-30B1-44FB-A75D-1E0FE82F7881}" type="presParOf" srcId="{D08A9CB6-436C-479C-8180-9C34767978E9}" destId="{D03177B0-13B7-47E8-B069-5E105F6FEB12}" srcOrd="8" destOrd="0" presId="urn:microsoft.com/office/officeart/2005/8/layout/pyramid2"/>
    <dgm:cxn modelId="{A813B261-C603-4AF4-8DAC-D12BFC1CDB4A}" type="presParOf" srcId="{D08A9CB6-436C-479C-8180-9C34767978E9}" destId="{DDFBEAB9-83D0-4387-8C87-5432D404063D}" srcOrd="9" destOrd="0" presId="urn:microsoft.com/office/officeart/2005/8/layout/pyramid2"/>
  </dgm:cxnLst>
  <dgm:bg/>
  <dgm:whole/>
  <dgm:extLst>
    <a:ext uri="http://schemas.microsoft.com/office/drawing/2008/diagram">
      <dsp:dataModelExt xmlns:dsp="http://schemas.microsoft.com/office/drawing/2008/diagram" relId="rId3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DD17EA0-F367-4E0F-ACEC-0EB616FDB2E3}">
      <dsp:nvSpPr>
        <dsp:cNvPr id="0" name=""/>
        <dsp:cNvSpPr/>
      </dsp:nvSpPr>
      <dsp:spPr>
        <a:xfrm>
          <a:off x="4775992" y="923437"/>
          <a:ext cx="91440" cy="266576"/>
        </a:xfrm>
        <a:custGeom>
          <a:avLst/>
          <a:gdLst/>
          <a:ahLst/>
          <a:cxnLst/>
          <a:rect l="0" t="0" r="0" b="0"/>
          <a:pathLst>
            <a:path>
              <a:moveTo>
                <a:pt x="45720" y="0"/>
              </a:moveTo>
              <a:lnTo>
                <a:pt x="45720" y="266484"/>
              </a:lnTo>
              <a:lnTo>
                <a:pt x="132617" y="266484"/>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A2F00000-DABC-417D-B307-C48811AA7906}">
      <dsp:nvSpPr>
        <dsp:cNvPr id="0" name=""/>
        <dsp:cNvSpPr/>
      </dsp:nvSpPr>
      <dsp:spPr>
        <a:xfrm>
          <a:off x="3723532" y="511982"/>
          <a:ext cx="1329986" cy="121698"/>
        </a:xfrm>
        <a:custGeom>
          <a:avLst/>
          <a:gdLst/>
          <a:ahLst/>
          <a:cxnLst/>
          <a:rect l="0" t="0" r="0" b="0"/>
          <a:pathLst>
            <a:path>
              <a:moveTo>
                <a:pt x="0" y="0"/>
              </a:moveTo>
              <a:lnTo>
                <a:pt x="0" y="60827"/>
              </a:lnTo>
              <a:lnTo>
                <a:pt x="1329524" y="60827"/>
              </a:lnTo>
              <a:lnTo>
                <a:pt x="1329524" y="121655"/>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3611A955-7D26-4EAD-8F91-2298559D511C}">
      <dsp:nvSpPr>
        <dsp:cNvPr id="0" name=""/>
        <dsp:cNvSpPr/>
      </dsp:nvSpPr>
      <dsp:spPr>
        <a:xfrm>
          <a:off x="2393546" y="923437"/>
          <a:ext cx="2103638" cy="121698"/>
        </a:xfrm>
        <a:custGeom>
          <a:avLst/>
          <a:gdLst/>
          <a:ahLst/>
          <a:cxnLst/>
          <a:rect l="0" t="0" r="0" b="0"/>
          <a:pathLst>
            <a:path>
              <a:moveTo>
                <a:pt x="0" y="0"/>
              </a:moveTo>
              <a:lnTo>
                <a:pt x="0" y="60827"/>
              </a:lnTo>
              <a:lnTo>
                <a:pt x="2102907" y="60827"/>
              </a:lnTo>
              <a:lnTo>
                <a:pt x="2102907" y="121655"/>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557D6F38-F1BA-4C97-B858-7115BA3B1CCA}">
      <dsp:nvSpPr>
        <dsp:cNvPr id="0" name=""/>
        <dsp:cNvSpPr/>
      </dsp:nvSpPr>
      <dsp:spPr>
        <a:xfrm>
          <a:off x="3518445" y="1334893"/>
          <a:ext cx="91440" cy="1500942"/>
        </a:xfrm>
        <a:custGeom>
          <a:avLst/>
          <a:gdLst/>
          <a:ahLst/>
          <a:cxnLst/>
          <a:rect l="0" t="0" r="0" b="0"/>
          <a:pathLst>
            <a:path>
              <a:moveTo>
                <a:pt x="45720" y="0"/>
              </a:moveTo>
              <a:lnTo>
                <a:pt x="45720" y="1500421"/>
              </a:lnTo>
              <a:lnTo>
                <a:pt x="132617" y="1500421"/>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E6BBDCAD-9B55-4768-99CB-D23858933EE8}">
      <dsp:nvSpPr>
        <dsp:cNvPr id="0" name=""/>
        <dsp:cNvSpPr/>
      </dsp:nvSpPr>
      <dsp:spPr>
        <a:xfrm>
          <a:off x="3518445" y="1334893"/>
          <a:ext cx="91440" cy="1073716"/>
        </a:xfrm>
        <a:custGeom>
          <a:avLst/>
          <a:gdLst/>
          <a:ahLst/>
          <a:cxnLst/>
          <a:rect l="0" t="0" r="0" b="0"/>
          <a:pathLst>
            <a:path>
              <a:moveTo>
                <a:pt x="45720" y="0"/>
              </a:moveTo>
              <a:lnTo>
                <a:pt x="45720" y="1073343"/>
              </a:lnTo>
              <a:lnTo>
                <a:pt x="116853" y="1073343"/>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4D952518-9B88-48CF-8E24-B9C4AB63F10C}">
      <dsp:nvSpPr>
        <dsp:cNvPr id="0" name=""/>
        <dsp:cNvSpPr/>
      </dsp:nvSpPr>
      <dsp:spPr>
        <a:xfrm>
          <a:off x="3518445" y="1334893"/>
          <a:ext cx="91440" cy="701050"/>
        </a:xfrm>
        <a:custGeom>
          <a:avLst/>
          <a:gdLst/>
          <a:ahLst/>
          <a:cxnLst/>
          <a:rect l="0" t="0" r="0" b="0"/>
          <a:pathLst>
            <a:path>
              <a:moveTo>
                <a:pt x="45720" y="0"/>
              </a:moveTo>
              <a:lnTo>
                <a:pt x="45720" y="700807"/>
              </a:lnTo>
              <a:lnTo>
                <a:pt x="124732" y="700807"/>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0FD82B8B-8772-491A-B7BB-BC1D0472DE8D}">
      <dsp:nvSpPr>
        <dsp:cNvPr id="0" name=""/>
        <dsp:cNvSpPr/>
      </dsp:nvSpPr>
      <dsp:spPr>
        <a:xfrm>
          <a:off x="3518445" y="1334893"/>
          <a:ext cx="91440" cy="266576"/>
        </a:xfrm>
        <a:custGeom>
          <a:avLst/>
          <a:gdLst/>
          <a:ahLst/>
          <a:cxnLst/>
          <a:rect l="0" t="0" r="0" b="0"/>
          <a:pathLst>
            <a:path>
              <a:moveTo>
                <a:pt x="45720" y="0"/>
              </a:moveTo>
              <a:lnTo>
                <a:pt x="45720" y="266484"/>
              </a:lnTo>
              <a:lnTo>
                <a:pt x="132617" y="266484"/>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5D4D30DC-4DB6-4CA9-949C-CEF3A484EB62}">
      <dsp:nvSpPr>
        <dsp:cNvPr id="0" name=""/>
        <dsp:cNvSpPr/>
      </dsp:nvSpPr>
      <dsp:spPr>
        <a:xfrm>
          <a:off x="2393546" y="923437"/>
          <a:ext cx="1402425" cy="121698"/>
        </a:xfrm>
        <a:custGeom>
          <a:avLst/>
          <a:gdLst/>
          <a:ahLst/>
          <a:cxnLst/>
          <a:rect l="0" t="0" r="0" b="0"/>
          <a:pathLst>
            <a:path>
              <a:moveTo>
                <a:pt x="0" y="0"/>
              </a:moveTo>
              <a:lnTo>
                <a:pt x="0" y="60827"/>
              </a:lnTo>
              <a:lnTo>
                <a:pt x="1401938" y="60827"/>
              </a:lnTo>
              <a:lnTo>
                <a:pt x="1401938" y="121655"/>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C0F076AF-EE06-49D7-A96E-94A43FFE634A}">
      <dsp:nvSpPr>
        <dsp:cNvPr id="0" name=""/>
        <dsp:cNvSpPr/>
      </dsp:nvSpPr>
      <dsp:spPr>
        <a:xfrm>
          <a:off x="2817232" y="1334893"/>
          <a:ext cx="91440" cy="1089487"/>
        </a:xfrm>
        <a:custGeom>
          <a:avLst/>
          <a:gdLst/>
          <a:ahLst/>
          <a:cxnLst/>
          <a:rect l="0" t="0" r="0" b="0"/>
          <a:pathLst>
            <a:path>
              <a:moveTo>
                <a:pt x="45720" y="0"/>
              </a:moveTo>
              <a:lnTo>
                <a:pt x="45720" y="1089109"/>
              </a:lnTo>
              <a:lnTo>
                <a:pt x="132617" y="1089109"/>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A1C8861B-9D78-4DB6-9436-C96C57CFCA5D}">
      <dsp:nvSpPr>
        <dsp:cNvPr id="0" name=""/>
        <dsp:cNvSpPr/>
      </dsp:nvSpPr>
      <dsp:spPr>
        <a:xfrm>
          <a:off x="2817232" y="1334893"/>
          <a:ext cx="91440" cy="678032"/>
        </a:xfrm>
        <a:custGeom>
          <a:avLst/>
          <a:gdLst/>
          <a:ahLst/>
          <a:cxnLst/>
          <a:rect l="0" t="0" r="0" b="0"/>
          <a:pathLst>
            <a:path>
              <a:moveTo>
                <a:pt x="45720" y="0"/>
              </a:moveTo>
              <a:lnTo>
                <a:pt x="45720" y="677796"/>
              </a:lnTo>
              <a:lnTo>
                <a:pt x="132617" y="677796"/>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D0034110-7D14-4C74-A6D7-E1CFB39216EF}">
      <dsp:nvSpPr>
        <dsp:cNvPr id="0" name=""/>
        <dsp:cNvSpPr/>
      </dsp:nvSpPr>
      <dsp:spPr>
        <a:xfrm>
          <a:off x="2817232" y="1334893"/>
          <a:ext cx="91440" cy="266576"/>
        </a:xfrm>
        <a:custGeom>
          <a:avLst/>
          <a:gdLst/>
          <a:ahLst/>
          <a:cxnLst/>
          <a:rect l="0" t="0" r="0" b="0"/>
          <a:pathLst>
            <a:path>
              <a:moveTo>
                <a:pt x="45720" y="0"/>
              </a:moveTo>
              <a:lnTo>
                <a:pt x="45720" y="266484"/>
              </a:lnTo>
              <a:lnTo>
                <a:pt x="132617" y="266484"/>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2EC427B-C7C1-462C-9EB5-4BE011AE9A42}">
      <dsp:nvSpPr>
        <dsp:cNvPr id="0" name=""/>
        <dsp:cNvSpPr/>
      </dsp:nvSpPr>
      <dsp:spPr>
        <a:xfrm>
          <a:off x="2393546" y="923437"/>
          <a:ext cx="701212" cy="121698"/>
        </a:xfrm>
        <a:custGeom>
          <a:avLst/>
          <a:gdLst/>
          <a:ahLst/>
          <a:cxnLst/>
          <a:rect l="0" t="0" r="0" b="0"/>
          <a:pathLst>
            <a:path>
              <a:moveTo>
                <a:pt x="0" y="0"/>
              </a:moveTo>
              <a:lnTo>
                <a:pt x="0" y="60827"/>
              </a:lnTo>
              <a:lnTo>
                <a:pt x="700969" y="60827"/>
              </a:lnTo>
              <a:lnTo>
                <a:pt x="700969" y="121655"/>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D04FD7E4-5B54-4EC9-89BD-9571DAD1E579}">
      <dsp:nvSpPr>
        <dsp:cNvPr id="0" name=""/>
        <dsp:cNvSpPr/>
      </dsp:nvSpPr>
      <dsp:spPr>
        <a:xfrm>
          <a:off x="2090413" y="2202058"/>
          <a:ext cx="113674" cy="266576"/>
        </a:xfrm>
        <a:custGeom>
          <a:avLst/>
          <a:gdLst/>
          <a:ahLst/>
          <a:cxnLst/>
          <a:rect l="0" t="0" r="0" b="0"/>
          <a:pathLst>
            <a:path>
              <a:moveTo>
                <a:pt x="45720" y="0"/>
              </a:moveTo>
              <a:lnTo>
                <a:pt x="45720" y="266484"/>
              </a:lnTo>
              <a:lnTo>
                <a:pt x="132617" y="266484"/>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6DC2EAEE-CFD2-434C-BE90-E5488625C2B0}">
      <dsp:nvSpPr>
        <dsp:cNvPr id="0" name=""/>
        <dsp:cNvSpPr/>
      </dsp:nvSpPr>
      <dsp:spPr>
        <a:xfrm>
          <a:off x="2347826" y="1746348"/>
          <a:ext cx="91440" cy="121698"/>
        </a:xfrm>
        <a:custGeom>
          <a:avLst/>
          <a:gdLst/>
          <a:ahLst/>
          <a:cxnLst/>
          <a:rect l="0" t="0" r="0" b="0"/>
          <a:pathLst>
            <a:path>
              <a:moveTo>
                <a:pt x="45720" y="0"/>
              </a:moveTo>
              <a:lnTo>
                <a:pt x="45720" y="121655"/>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253E5938-27E6-4675-8B2E-6D7524B04AB3}">
      <dsp:nvSpPr>
        <dsp:cNvPr id="0" name=""/>
        <dsp:cNvSpPr/>
      </dsp:nvSpPr>
      <dsp:spPr>
        <a:xfrm>
          <a:off x="2347826" y="1334893"/>
          <a:ext cx="91440" cy="121698"/>
        </a:xfrm>
        <a:custGeom>
          <a:avLst/>
          <a:gdLst/>
          <a:ahLst/>
          <a:cxnLst/>
          <a:rect l="0" t="0" r="0" b="0"/>
          <a:pathLst>
            <a:path>
              <a:moveTo>
                <a:pt x="45720" y="0"/>
              </a:moveTo>
              <a:lnTo>
                <a:pt x="45720" y="121655"/>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DB471C3E-B684-4A01-AB81-B5A9079CAC8A}">
      <dsp:nvSpPr>
        <dsp:cNvPr id="0" name=""/>
        <dsp:cNvSpPr/>
      </dsp:nvSpPr>
      <dsp:spPr>
        <a:xfrm>
          <a:off x="2347826" y="923437"/>
          <a:ext cx="91440" cy="121698"/>
        </a:xfrm>
        <a:custGeom>
          <a:avLst/>
          <a:gdLst/>
          <a:ahLst/>
          <a:cxnLst/>
          <a:rect l="0" t="0" r="0" b="0"/>
          <a:pathLst>
            <a:path>
              <a:moveTo>
                <a:pt x="45720" y="0"/>
              </a:moveTo>
              <a:lnTo>
                <a:pt x="45720" y="121655"/>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22F25D4-455D-4FE0-876E-F96007292C16}">
      <dsp:nvSpPr>
        <dsp:cNvPr id="0" name=""/>
        <dsp:cNvSpPr/>
      </dsp:nvSpPr>
      <dsp:spPr>
        <a:xfrm>
          <a:off x="1692333" y="923437"/>
          <a:ext cx="701212" cy="121698"/>
        </a:xfrm>
        <a:custGeom>
          <a:avLst/>
          <a:gdLst/>
          <a:ahLst/>
          <a:cxnLst/>
          <a:rect l="0" t="0" r="0" b="0"/>
          <a:pathLst>
            <a:path>
              <a:moveTo>
                <a:pt x="700969" y="0"/>
              </a:moveTo>
              <a:lnTo>
                <a:pt x="700969" y="60827"/>
              </a:lnTo>
              <a:lnTo>
                <a:pt x="0" y="60827"/>
              </a:lnTo>
              <a:lnTo>
                <a:pt x="0" y="121655"/>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C73BEF0-862F-416F-BFA3-99888E0B955F}">
      <dsp:nvSpPr>
        <dsp:cNvPr id="0" name=""/>
        <dsp:cNvSpPr/>
      </dsp:nvSpPr>
      <dsp:spPr>
        <a:xfrm>
          <a:off x="991120" y="923437"/>
          <a:ext cx="1402425" cy="121698"/>
        </a:xfrm>
        <a:custGeom>
          <a:avLst/>
          <a:gdLst/>
          <a:ahLst/>
          <a:cxnLst/>
          <a:rect l="0" t="0" r="0" b="0"/>
          <a:pathLst>
            <a:path>
              <a:moveTo>
                <a:pt x="1401938" y="0"/>
              </a:moveTo>
              <a:lnTo>
                <a:pt x="1401938" y="60827"/>
              </a:lnTo>
              <a:lnTo>
                <a:pt x="0" y="60827"/>
              </a:lnTo>
              <a:lnTo>
                <a:pt x="0" y="121655"/>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B2250695-09B9-4089-B2BA-A9B71248890F}">
      <dsp:nvSpPr>
        <dsp:cNvPr id="0" name=""/>
        <dsp:cNvSpPr/>
      </dsp:nvSpPr>
      <dsp:spPr>
        <a:xfrm>
          <a:off x="289908" y="923437"/>
          <a:ext cx="2103638" cy="121698"/>
        </a:xfrm>
        <a:custGeom>
          <a:avLst/>
          <a:gdLst/>
          <a:ahLst/>
          <a:cxnLst/>
          <a:rect l="0" t="0" r="0" b="0"/>
          <a:pathLst>
            <a:path>
              <a:moveTo>
                <a:pt x="2102907" y="0"/>
              </a:moveTo>
              <a:lnTo>
                <a:pt x="2102907" y="60827"/>
              </a:lnTo>
              <a:lnTo>
                <a:pt x="0" y="60827"/>
              </a:lnTo>
              <a:lnTo>
                <a:pt x="0" y="121655"/>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A8940E91-4049-423D-956C-AB9D4F04B94A}">
      <dsp:nvSpPr>
        <dsp:cNvPr id="0" name=""/>
        <dsp:cNvSpPr/>
      </dsp:nvSpPr>
      <dsp:spPr>
        <a:xfrm>
          <a:off x="2393546" y="511982"/>
          <a:ext cx="1329986" cy="121698"/>
        </a:xfrm>
        <a:custGeom>
          <a:avLst/>
          <a:gdLst/>
          <a:ahLst/>
          <a:cxnLst/>
          <a:rect l="0" t="0" r="0" b="0"/>
          <a:pathLst>
            <a:path>
              <a:moveTo>
                <a:pt x="1329524" y="0"/>
              </a:moveTo>
              <a:lnTo>
                <a:pt x="1329524" y="60827"/>
              </a:lnTo>
              <a:lnTo>
                <a:pt x="0" y="60827"/>
              </a:lnTo>
              <a:lnTo>
                <a:pt x="0" y="121655"/>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48E185D4-A032-430A-A5F3-B4D9399D2EEB}">
      <dsp:nvSpPr>
        <dsp:cNvPr id="0" name=""/>
        <dsp:cNvSpPr/>
      </dsp:nvSpPr>
      <dsp:spPr>
        <a:xfrm>
          <a:off x="3433774" y="222225"/>
          <a:ext cx="579514" cy="289757"/>
        </a:xfrm>
        <a:prstGeom prst="rect">
          <a:avLst/>
        </a:prstGeom>
        <a:solidFill>
          <a:schemeClr val="accent6">
            <a:lumMod val="75000"/>
          </a:scheme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US" sz="500" kern="1200">
              <a:solidFill>
                <a:sysClr val="window" lastClr="FFFFFF"/>
              </a:solidFill>
              <a:latin typeface="Calibri"/>
              <a:ea typeface="+mn-ea"/>
              <a:cs typeface="+mn-cs"/>
            </a:rPr>
            <a:t>Këshilli i Ministrave</a:t>
          </a:r>
        </a:p>
      </dsp:txBody>
      <dsp:txXfrm>
        <a:off x="3433774" y="222225"/>
        <a:ext cx="579514" cy="289757"/>
      </dsp:txXfrm>
    </dsp:sp>
    <dsp:sp modelId="{000CD497-B96C-405C-9560-94DF0374ACE4}">
      <dsp:nvSpPr>
        <dsp:cNvPr id="0" name=""/>
        <dsp:cNvSpPr/>
      </dsp:nvSpPr>
      <dsp:spPr>
        <a:xfrm>
          <a:off x="2103788" y="633680"/>
          <a:ext cx="579514" cy="289757"/>
        </a:xfrm>
        <a:prstGeom prst="rect">
          <a:avLst/>
        </a:prstGeom>
        <a:solidFill>
          <a:schemeClr val="accent2">
            <a:lumMod val="75000"/>
          </a:scheme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US" sz="500" kern="1200">
              <a:solidFill>
                <a:sysClr val="window" lastClr="FFFFFF"/>
              </a:solidFill>
              <a:latin typeface="Calibri"/>
              <a:ea typeface="+mn-ea"/>
              <a:cs typeface="+mn-cs"/>
            </a:rPr>
            <a:t>MASR</a:t>
          </a:r>
        </a:p>
      </dsp:txBody>
      <dsp:txXfrm>
        <a:off x="2103788" y="633680"/>
        <a:ext cx="579514" cy="289757"/>
      </dsp:txXfrm>
    </dsp:sp>
    <dsp:sp modelId="{83DE890F-5C60-4353-866F-6D9E85F72884}">
      <dsp:nvSpPr>
        <dsp:cNvPr id="0" name=""/>
        <dsp:cNvSpPr/>
      </dsp:nvSpPr>
      <dsp:spPr>
        <a:xfrm>
          <a:off x="150" y="1045135"/>
          <a:ext cx="579514" cy="289757"/>
        </a:xfrm>
        <a:prstGeom prst="rect">
          <a:avLst/>
        </a:prstGeom>
        <a:solidFill>
          <a:schemeClr val="accent2">
            <a:lumMod val="75000"/>
          </a:scheme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US" sz="500" kern="1200">
              <a:solidFill>
                <a:sysClr val="window" lastClr="FFFFFF"/>
              </a:solidFill>
              <a:latin typeface="Calibri"/>
              <a:ea typeface="+mn-ea"/>
              <a:cs typeface="+mn-cs"/>
            </a:rPr>
            <a:t>Drejtoria e Përgjithshme e Politikave dhe Zhvillimit</a:t>
          </a:r>
        </a:p>
      </dsp:txBody>
      <dsp:txXfrm>
        <a:off x="150" y="1045135"/>
        <a:ext cx="579514" cy="289757"/>
      </dsp:txXfrm>
    </dsp:sp>
    <dsp:sp modelId="{C95F42E0-BFB5-4906-83A2-90D5885C47DD}">
      <dsp:nvSpPr>
        <dsp:cNvPr id="0" name=""/>
        <dsp:cNvSpPr/>
      </dsp:nvSpPr>
      <dsp:spPr>
        <a:xfrm>
          <a:off x="701363" y="1045135"/>
          <a:ext cx="579514" cy="289757"/>
        </a:xfrm>
        <a:prstGeom prst="rect">
          <a:avLst/>
        </a:prstGeom>
        <a:solidFill>
          <a:schemeClr val="accent2">
            <a:lumMod val="75000"/>
          </a:scheme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US" sz="500" kern="1200">
              <a:solidFill>
                <a:sysClr val="window" lastClr="FFFFFF"/>
              </a:solidFill>
              <a:latin typeface="Calibri"/>
              <a:ea typeface="+mn-ea"/>
              <a:cs typeface="+mn-cs"/>
            </a:rPr>
            <a:t>Drejtoria e Përgjithshme e Rregullimit dhe Përputhshmërisë</a:t>
          </a:r>
        </a:p>
      </dsp:txBody>
      <dsp:txXfrm>
        <a:off x="701363" y="1045135"/>
        <a:ext cx="579514" cy="289757"/>
      </dsp:txXfrm>
    </dsp:sp>
    <dsp:sp modelId="{12783F88-2CBE-4C69-BD73-95CF228CA239}">
      <dsp:nvSpPr>
        <dsp:cNvPr id="0" name=""/>
        <dsp:cNvSpPr/>
      </dsp:nvSpPr>
      <dsp:spPr>
        <a:xfrm>
          <a:off x="1402576" y="1045135"/>
          <a:ext cx="579514" cy="289757"/>
        </a:xfrm>
        <a:prstGeom prst="rect">
          <a:avLst/>
        </a:prstGeom>
        <a:solidFill>
          <a:schemeClr val="accent2">
            <a:lumMod val="75000"/>
          </a:scheme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US" sz="500" kern="1200">
              <a:solidFill>
                <a:sysClr val="window" lastClr="FFFFFF"/>
              </a:solidFill>
              <a:latin typeface="Calibri"/>
              <a:ea typeface="+mn-ea"/>
              <a:cs typeface="+mn-cs"/>
            </a:rPr>
            <a:t>Drejtoria e Përgjithshme Ekonomike dhe e Shërbimeve</a:t>
          </a:r>
        </a:p>
      </dsp:txBody>
      <dsp:txXfrm>
        <a:off x="1402576" y="1045135"/>
        <a:ext cx="579514" cy="289757"/>
      </dsp:txXfrm>
    </dsp:sp>
    <dsp:sp modelId="{44E75037-8008-4B75-9392-C1CAB3C34267}">
      <dsp:nvSpPr>
        <dsp:cNvPr id="0" name=""/>
        <dsp:cNvSpPr/>
      </dsp:nvSpPr>
      <dsp:spPr>
        <a:xfrm>
          <a:off x="2103788" y="1045135"/>
          <a:ext cx="579514" cy="289757"/>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US" sz="500" kern="1200">
              <a:solidFill>
                <a:sysClr val="window" lastClr="FFFFFF"/>
              </a:solidFill>
              <a:latin typeface="Calibri"/>
              <a:ea typeface="+mn-ea"/>
              <a:cs typeface="+mn-cs"/>
            </a:rPr>
            <a:t>Drejtoria e Përgjithshme e Arsimit Parauniversitar</a:t>
          </a:r>
        </a:p>
      </dsp:txBody>
      <dsp:txXfrm>
        <a:off x="2103788" y="1045135"/>
        <a:ext cx="579514" cy="289757"/>
      </dsp:txXfrm>
    </dsp:sp>
    <dsp:sp modelId="{18FACC5D-F355-4CA8-BF55-4E66B55DD783}">
      <dsp:nvSpPr>
        <dsp:cNvPr id="0" name=""/>
        <dsp:cNvSpPr/>
      </dsp:nvSpPr>
      <dsp:spPr>
        <a:xfrm>
          <a:off x="2103788" y="1456591"/>
          <a:ext cx="579514" cy="289757"/>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540" tIns="2540" rIns="2540" bIns="2540" numCol="1" spcCol="1270" anchor="ctr" anchorCtr="0">
          <a:noAutofit/>
        </a:bodyPr>
        <a:lstStyle/>
        <a:p>
          <a:pPr marL="0" lvl="0" indent="0" algn="ctr" defTabSz="177800">
            <a:lnSpc>
              <a:spcPct val="90000"/>
            </a:lnSpc>
            <a:spcBef>
              <a:spcPct val="0"/>
            </a:spcBef>
            <a:spcAft>
              <a:spcPct val="35000"/>
            </a:spcAft>
            <a:buNone/>
          </a:pPr>
          <a:r>
            <a:rPr lang="en-US" sz="400" kern="1200">
              <a:solidFill>
                <a:sysClr val="window" lastClr="FFFFFF"/>
              </a:solidFill>
              <a:latin typeface="Calibri"/>
              <a:ea typeface="+mn-ea"/>
              <a:cs typeface="+mn-cs"/>
            </a:rPr>
            <a:t>Drejtoritë Rajonale të Arsimit Parauniversitar</a:t>
          </a:r>
        </a:p>
        <a:p>
          <a:pPr marL="0" lvl="0" indent="0" algn="ctr" defTabSz="177800">
            <a:lnSpc>
              <a:spcPct val="90000"/>
            </a:lnSpc>
            <a:spcBef>
              <a:spcPct val="0"/>
            </a:spcBef>
            <a:spcAft>
              <a:spcPct val="35000"/>
            </a:spcAft>
            <a:buNone/>
          </a:pPr>
          <a:r>
            <a:rPr lang="en-US" sz="500" kern="1200">
              <a:solidFill>
                <a:sysClr val="window" lastClr="FFFFFF"/>
              </a:solidFill>
              <a:latin typeface="Calibri"/>
              <a:ea typeface="+mn-ea"/>
              <a:cs typeface="+mn-cs"/>
            </a:rPr>
            <a:t>(DRAP) 4</a:t>
          </a:r>
        </a:p>
      </dsp:txBody>
      <dsp:txXfrm>
        <a:off x="2103788" y="1456591"/>
        <a:ext cx="579514" cy="289757"/>
      </dsp:txXfrm>
    </dsp:sp>
    <dsp:sp modelId="{648BD9E0-4316-4C50-B9D9-8758EB0BD09B}">
      <dsp:nvSpPr>
        <dsp:cNvPr id="0" name=""/>
        <dsp:cNvSpPr/>
      </dsp:nvSpPr>
      <dsp:spPr>
        <a:xfrm>
          <a:off x="2014630" y="1868046"/>
          <a:ext cx="757831" cy="334011"/>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US" sz="500" kern="1200">
              <a:solidFill>
                <a:sysClr val="window" lastClr="FFFFFF"/>
              </a:solidFill>
              <a:latin typeface="Calibri"/>
              <a:ea typeface="+mn-ea"/>
              <a:cs typeface="+mn-cs"/>
            </a:rPr>
            <a:t>Zyrat Vendore të Arsimit Parauniversitar (ZVAP)</a:t>
          </a:r>
        </a:p>
        <a:p>
          <a:pPr marL="0" lvl="0" indent="0" algn="ctr" defTabSz="222250">
            <a:lnSpc>
              <a:spcPct val="90000"/>
            </a:lnSpc>
            <a:spcBef>
              <a:spcPct val="0"/>
            </a:spcBef>
            <a:spcAft>
              <a:spcPct val="35000"/>
            </a:spcAft>
            <a:buNone/>
          </a:pPr>
          <a:r>
            <a:rPr lang="en-US" sz="500" kern="1200">
              <a:solidFill>
                <a:sysClr val="window" lastClr="FFFFFF"/>
              </a:solidFill>
              <a:latin typeface="Calibri"/>
              <a:ea typeface="+mn-ea"/>
              <a:cs typeface="+mn-cs"/>
            </a:rPr>
            <a:t>51</a:t>
          </a:r>
        </a:p>
      </dsp:txBody>
      <dsp:txXfrm>
        <a:off x="2014630" y="1868046"/>
        <a:ext cx="757831" cy="334011"/>
      </dsp:txXfrm>
    </dsp:sp>
    <dsp:sp modelId="{2F218579-1F9B-4C58-A8B0-0B6401889E1C}">
      <dsp:nvSpPr>
        <dsp:cNvPr id="0" name=""/>
        <dsp:cNvSpPr/>
      </dsp:nvSpPr>
      <dsp:spPr>
        <a:xfrm>
          <a:off x="2204088" y="2323756"/>
          <a:ext cx="579514" cy="289757"/>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US" sz="500" kern="1200">
              <a:solidFill>
                <a:sysClr val="window" lastClr="FFFFFF"/>
              </a:solidFill>
              <a:latin typeface="Calibri"/>
              <a:ea typeface="+mn-ea"/>
              <a:cs typeface="+mn-cs"/>
            </a:rPr>
            <a:t>Shkollat</a:t>
          </a:r>
        </a:p>
      </dsp:txBody>
      <dsp:txXfrm>
        <a:off x="2204088" y="2323756"/>
        <a:ext cx="579514" cy="289757"/>
      </dsp:txXfrm>
    </dsp:sp>
    <dsp:sp modelId="{8165381D-88CE-4523-B5F5-0321E178F83F}">
      <dsp:nvSpPr>
        <dsp:cNvPr id="0" name=""/>
        <dsp:cNvSpPr/>
      </dsp:nvSpPr>
      <dsp:spPr>
        <a:xfrm>
          <a:off x="2805001" y="1045135"/>
          <a:ext cx="579514" cy="289757"/>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US" sz="500" kern="1200">
              <a:solidFill>
                <a:sysClr val="window" lastClr="FFFFFF"/>
              </a:solidFill>
              <a:latin typeface="Calibri"/>
              <a:ea typeface="+mn-ea"/>
              <a:cs typeface="+mn-cs"/>
            </a:rPr>
            <a:t>Agjencitë e specializuara</a:t>
          </a:r>
        </a:p>
      </dsp:txBody>
      <dsp:txXfrm>
        <a:off x="2805001" y="1045135"/>
        <a:ext cx="579514" cy="289757"/>
      </dsp:txXfrm>
    </dsp:sp>
    <dsp:sp modelId="{82C24059-4C97-47EA-88F9-E9F45F74FD76}">
      <dsp:nvSpPr>
        <dsp:cNvPr id="0" name=""/>
        <dsp:cNvSpPr/>
      </dsp:nvSpPr>
      <dsp:spPr>
        <a:xfrm>
          <a:off x="2949880" y="1456591"/>
          <a:ext cx="579514" cy="289757"/>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US" sz="500" kern="1200">
              <a:solidFill>
                <a:sysClr val="window" lastClr="FFFFFF"/>
              </a:solidFill>
              <a:latin typeface="Calibri"/>
              <a:ea typeface="+mn-ea"/>
              <a:cs typeface="+mn-cs"/>
            </a:rPr>
            <a:t>Agjencia e Sigurimit të Cilësisë në Arsimin Parauniversitar (ASCAP)</a:t>
          </a:r>
        </a:p>
      </dsp:txBody>
      <dsp:txXfrm>
        <a:off x="2949880" y="1456591"/>
        <a:ext cx="579514" cy="289757"/>
      </dsp:txXfrm>
    </dsp:sp>
    <dsp:sp modelId="{E6385C64-3A77-4CCD-83F3-1B9AB186657D}">
      <dsp:nvSpPr>
        <dsp:cNvPr id="0" name=""/>
        <dsp:cNvSpPr/>
      </dsp:nvSpPr>
      <dsp:spPr>
        <a:xfrm>
          <a:off x="2949880" y="1868046"/>
          <a:ext cx="579514" cy="289757"/>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US" sz="500" kern="1200">
              <a:solidFill>
                <a:sysClr val="window" lastClr="FFFFFF"/>
              </a:solidFill>
              <a:latin typeface="Calibri"/>
              <a:ea typeface="+mn-ea"/>
              <a:cs typeface="+mn-cs"/>
            </a:rPr>
            <a:t>Qendra e Shërbimeve Arsimore (QShA)</a:t>
          </a:r>
        </a:p>
      </dsp:txBody>
      <dsp:txXfrm>
        <a:off x="2949880" y="1868046"/>
        <a:ext cx="579514" cy="289757"/>
      </dsp:txXfrm>
    </dsp:sp>
    <dsp:sp modelId="{2D5B008E-5295-4979-8B7E-0BABE12DFF5D}">
      <dsp:nvSpPr>
        <dsp:cNvPr id="0" name=""/>
        <dsp:cNvSpPr/>
      </dsp:nvSpPr>
      <dsp:spPr>
        <a:xfrm>
          <a:off x="2949880" y="2279502"/>
          <a:ext cx="579514" cy="289757"/>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US" sz="500" kern="1200">
              <a:solidFill>
                <a:sysClr val="window" lastClr="FFFFFF"/>
              </a:solidFill>
              <a:latin typeface="Calibri"/>
              <a:ea typeface="+mn-ea"/>
              <a:cs typeface="+mn-cs"/>
            </a:rPr>
            <a:t>Shkolla e Drejtorëve</a:t>
          </a:r>
        </a:p>
      </dsp:txBody>
      <dsp:txXfrm>
        <a:off x="2949880" y="2279502"/>
        <a:ext cx="579514" cy="289757"/>
      </dsp:txXfrm>
    </dsp:sp>
    <dsp:sp modelId="{469784AA-78EF-4254-8970-25A9DF31E1EA}">
      <dsp:nvSpPr>
        <dsp:cNvPr id="0" name=""/>
        <dsp:cNvSpPr/>
      </dsp:nvSpPr>
      <dsp:spPr>
        <a:xfrm>
          <a:off x="3506214" y="1045135"/>
          <a:ext cx="579514" cy="289757"/>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US" sz="500" kern="1200">
              <a:solidFill>
                <a:sysClr val="window" lastClr="FFFFFF"/>
              </a:solidFill>
              <a:latin typeface="Calibri"/>
              <a:ea typeface="+mn-ea"/>
              <a:cs typeface="+mn-cs"/>
            </a:rPr>
            <a:t>Agjencite e arsimit të lartë</a:t>
          </a:r>
        </a:p>
      </dsp:txBody>
      <dsp:txXfrm>
        <a:off x="3506214" y="1045135"/>
        <a:ext cx="579514" cy="289757"/>
      </dsp:txXfrm>
    </dsp:sp>
    <dsp:sp modelId="{4282575D-A3CF-4BE3-9A1C-DCBE0FADBA3F}">
      <dsp:nvSpPr>
        <dsp:cNvPr id="0" name=""/>
        <dsp:cNvSpPr/>
      </dsp:nvSpPr>
      <dsp:spPr>
        <a:xfrm>
          <a:off x="3651092" y="1456591"/>
          <a:ext cx="579514" cy="289757"/>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US" sz="500" kern="1200">
              <a:solidFill>
                <a:sysClr val="window" lastClr="FFFFFF"/>
              </a:solidFill>
              <a:latin typeface="Calibri"/>
              <a:ea typeface="+mn-ea"/>
              <a:cs typeface="+mn-cs"/>
            </a:rPr>
            <a:t>Agjencisë Kombëtare e Financimit të Arsimit të Lartë (AKFAL)</a:t>
          </a:r>
        </a:p>
      </dsp:txBody>
      <dsp:txXfrm>
        <a:off x="3651092" y="1456591"/>
        <a:ext cx="579514" cy="289757"/>
      </dsp:txXfrm>
    </dsp:sp>
    <dsp:sp modelId="{F837EB95-F098-4B4D-99E4-C459089934EC}">
      <dsp:nvSpPr>
        <dsp:cNvPr id="0" name=""/>
        <dsp:cNvSpPr/>
      </dsp:nvSpPr>
      <dsp:spPr>
        <a:xfrm>
          <a:off x="3643205" y="1891065"/>
          <a:ext cx="579514" cy="289757"/>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US" sz="500" kern="1200">
              <a:solidFill>
                <a:sysClr val="window" lastClr="FFFFFF"/>
              </a:solidFill>
              <a:latin typeface="Calibri"/>
              <a:ea typeface="+mn-ea"/>
              <a:cs typeface="+mn-cs"/>
            </a:rPr>
            <a:t>Agjencia e Sigurimit të Cilësisë në AL (ASCAL)</a:t>
          </a:r>
        </a:p>
      </dsp:txBody>
      <dsp:txXfrm>
        <a:off x="3643205" y="1891065"/>
        <a:ext cx="579514" cy="289757"/>
      </dsp:txXfrm>
    </dsp:sp>
    <dsp:sp modelId="{2CBC85DD-333D-4CCC-8DA4-DCED3DE699E8}">
      <dsp:nvSpPr>
        <dsp:cNvPr id="0" name=""/>
        <dsp:cNvSpPr/>
      </dsp:nvSpPr>
      <dsp:spPr>
        <a:xfrm>
          <a:off x="3635324" y="2263730"/>
          <a:ext cx="579514" cy="289757"/>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US" sz="500" b="0" i="0" kern="1200">
              <a:solidFill>
                <a:sysClr val="window" lastClr="FFFFFF"/>
              </a:solidFill>
              <a:latin typeface="Calibri"/>
              <a:ea typeface="+mn-ea"/>
              <a:cs typeface="+mn-cs"/>
            </a:rPr>
            <a:t>Agjencia Kombëtare e Kërkimit Shkencor dhe Inovaconit (AKKSHI)</a:t>
          </a:r>
          <a:endParaRPr lang="en-US" sz="500" kern="1200">
            <a:solidFill>
              <a:sysClr val="window" lastClr="FFFFFF"/>
            </a:solidFill>
            <a:latin typeface="Calibri"/>
            <a:ea typeface="+mn-ea"/>
            <a:cs typeface="+mn-cs"/>
          </a:endParaRPr>
        </a:p>
      </dsp:txBody>
      <dsp:txXfrm>
        <a:off x="3635324" y="2263730"/>
        <a:ext cx="579514" cy="289757"/>
      </dsp:txXfrm>
    </dsp:sp>
    <dsp:sp modelId="{74481943-52A9-48A7-9C91-846635CEE1DB}">
      <dsp:nvSpPr>
        <dsp:cNvPr id="0" name=""/>
        <dsp:cNvSpPr/>
      </dsp:nvSpPr>
      <dsp:spPr>
        <a:xfrm>
          <a:off x="3651092" y="2690957"/>
          <a:ext cx="579514" cy="289757"/>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US" sz="500" kern="1200">
              <a:solidFill>
                <a:sysClr val="window" lastClr="FFFFFF"/>
              </a:solidFill>
              <a:latin typeface="Calibri"/>
              <a:ea typeface="+mn-ea"/>
              <a:cs typeface="+mn-cs"/>
            </a:rPr>
            <a:t>Rrjeti Akademik Shqiptar (RASH)</a:t>
          </a:r>
        </a:p>
      </dsp:txBody>
      <dsp:txXfrm>
        <a:off x="3651092" y="2690957"/>
        <a:ext cx="579514" cy="289757"/>
      </dsp:txXfrm>
    </dsp:sp>
    <dsp:sp modelId="{769825F6-CC3C-4E34-86AD-706220BE75A7}">
      <dsp:nvSpPr>
        <dsp:cNvPr id="0" name=""/>
        <dsp:cNvSpPr/>
      </dsp:nvSpPr>
      <dsp:spPr>
        <a:xfrm>
          <a:off x="4207426" y="1045135"/>
          <a:ext cx="579514" cy="289757"/>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US" sz="500" kern="1200">
              <a:solidFill>
                <a:sysClr val="window" lastClr="FFFFFF"/>
              </a:solidFill>
              <a:latin typeface="Calibri"/>
              <a:ea typeface="+mn-ea"/>
              <a:cs typeface="+mn-cs"/>
            </a:rPr>
            <a:t>Institucionet e arsimit të lartë</a:t>
          </a:r>
        </a:p>
      </dsp:txBody>
      <dsp:txXfrm>
        <a:off x="4207426" y="1045135"/>
        <a:ext cx="579514" cy="289757"/>
      </dsp:txXfrm>
    </dsp:sp>
    <dsp:sp modelId="{F75104B7-3A36-462D-8897-F2E4A2AA6AF5}">
      <dsp:nvSpPr>
        <dsp:cNvPr id="0" name=""/>
        <dsp:cNvSpPr/>
      </dsp:nvSpPr>
      <dsp:spPr>
        <a:xfrm>
          <a:off x="4763760" y="633680"/>
          <a:ext cx="579514" cy="289757"/>
        </a:xfrm>
        <a:prstGeom prst="rect">
          <a:avLst/>
        </a:prstGeom>
        <a:solidFill>
          <a:schemeClr val="accent3">
            <a:lumMod val="75000"/>
          </a:scheme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US" sz="500" kern="1200">
              <a:solidFill>
                <a:sysClr val="window" lastClr="FFFFFF"/>
              </a:solidFill>
              <a:latin typeface="Calibri"/>
              <a:ea typeface="+mn-ea"/>
              <a:cs typeface="+mn-cs"/>
            </a:rPr>
            <a:t>MFE</a:t>
          </a:r>
        </a:p>
      </dsp:txBody>
      <dsp:txXfrm>
        <a:off x="4763760" y="633680"/>
        <a:ext cx="579514" cy="289757"/>
      </dsp:txXfrm>
    </dsp:sp>
    <dsp:sp modelId="{1E3A5243-E65B-4DCB-93E3-A0028887EA3F}">
      <dsp:nvSpPr>
        <dsp:cNvPr id="0" name=""/>
        <dsp:cNvSpPr/>
      </dsp:nvSpPr>
      <dsp:spPr>
        <a:xfrm>
          <a:off x="4908639" y="1045135"/>
          <a:ext cx="579514" cy="289757"/>
        </a:xfrm>
        <a:prstGeom prst="rect">
          <a:avLst/>
        </a:prstGeom>
        <a:solidFill>
          <a:schemeClr val="accent3">
            <a:lumMod val="75000"/>
          </a:scheme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US" sz="500" kern="1200">
              <a:solidFill>
                <a:sysClr val="window" lastClr="FFFFFF"/>
              </a:solidFill>
              <a:latin typeface="Calibri"/>
              <a:ea typeface="+mn-ea"/>
              <a:cs typeface="+mn-cs"/>
            </a:rPr>
            <a:t>Arsimi dhe Formimi Profesional</a:t>
          </a:r>
        </a:p>
      </dsp:txBody>
      <dsp:txXfrm>
        <a:off x="4908639" y="1045135"/>
        <a:ext cx="579514" cy="289757"/>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01C5CD7-5E5B-494F-B91A-09B1E747F3FB}">
      <dsp:nvSpPr>
        <dsp:cNvPr id="0" name=""/>
        <dsp:cNvSpPr/>
      </dsp:nvSpPr>
      <dsp:spPr>
        <a:xfrm>
          <a:off x="0" y="0"/>
          <a:ext cx="5110480" cy="817816"/>
        </a:xfrm>
        <a:prstGeom prst="rect">
          <a:avLst/>
        </a:prstGeom>
        <a:solidFill>
          <a:srgbClr val="4F81BD">
            <a:shade val="8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marL="0" lvl="0" indent="0" algn="l" defTabSz="488950">
            <a:lnSpc>
              <a:spcPct val="90000"/>
            </a:lnSpc>
            <a:spcBef>
              <a:spcPct val="0"/>
            </a:spcBef>
            <a:spcAft>
              <a:spcPct val="35000"/>
            </a:spcAft>
            <a:buNone/>
          </a:pPr>
          <a:r>
            <a:rPr lang="sq-AL" sz="1100" b="1" kern="1200">
              <a:solidFill>
                <a:sysClr val="window" lastClr="FFFFFF">
                  <a:hueOff val="0"/>
                  <a:satOff val="0"/>
                  <a:lumOff val="0"/>
                  <a:alphaOff val="0"/>
                </a:sysClr>
              </a:solidFill>
              <a:latin typeface="Calibri"/>
              <a:ea typeface="+mn-ea"/>
              <a:cs typeface="+mn-cs"/>
            </a:rPr>
            <a:t>Vizioni: </a:t>
          </a:r>
          <a:r>
            <a:rPr lang="sq-AL" sz="1100" kern="1200">
              <a:solidFill>
                <a:sysClr val="window" lastClr="FFFFFF">
                  <a:hueOff val="0"/>
                  <a:satOff val="0"/>
                  <a:lumOff val="0"/>
                  <a:alphaOff val="0"/>
                </a:sysClr>
              </a:solidFill>
              <a:latin typeface="Calibri"/>
              <a:ea typeface="+mn-ea"/>
              <a:cs typeface="+mn-cs"/>
            </a:rPr>
            <a:t>Sistem arsimor gjithëpërfshirës dhe i bazuar në parimet e barazisë dhe mësimit gjatë gjithë jetës, që mundëson formimin cilësor të të gjithë individëve, duke kontribuar në mirëqenien personale të tyre, si dhe në forcimin e demokracisë dhe integrimin e vendit në Bashkimin Europian</a:t>
          </a:r>
          <a:endParaRPr lang="en-US" sz="1100" kern="1200">
            <a:solidFill>
              <a:sysClr val="window" lastClr="FFFFFF">
                <a:hueOff val="0"/>
                <a:satOff val="0"/>
                <a:lumOff val="0"/>
                <a:alphaOff val="0"/>
              </a:sysClr>
            </a:solidFill>
            <a:latin typeface="Calibri"/>
            <a:ea typeface="+mn-ea"/>
            <a:cs typeface="+mn-cs"/>
          </a:endParaRPr>
        </a:p>
      </dsp:txBody>
      <dsp:txXfrm>
        <a:off x="0" y="0"/>
        <a:ext cx="5110480" cy="817816"/>
      </dsp:txXfrm>
    </dsp:sp>
    <dsp:sp modelId="{0DE04861-19CA-4BBF-9693-9CCF1078FCA9}">
      <dsp:nvSpPr>
        <dsp:cNvPr id="0" name=""/>
        <dsp:cNvSpPr/>
      </dsp:nvSpPr>
      <dsp:spPr>
        <a:xfrm>
          <a:off x="2495" y="817816"/>
          <a:ext cx="1701829" cy="1717414"/>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l" defTabSz="400050">
            <a:lnSpc>
              <a:spcPct val="90000"/>
            </a:lnSpc>
            <a:spcBef>
              <a:spcPct val="0"/>
            </a:spcBef>
            <a:spcAft>
              <a:spcPct val="35000"/>
            </a:spcAft>
            <a:buNone/>
          </a:pPr>
          <a:r>
            <a:rPr lang="sq-AL" sz="900" b="1" kern="1200">
              <a:solidFill>
                <a:schemeClr val="bg1"/>
              </a:solidFill>
              <a:latin typeface="Calibri"/>
              <a:ea typeface="+mn-ea"/>
              <a:cs typeface="+mn-cs"/>
            </a:rPr>
            <a:t>Qëllimi i politikës </a:t>
          </a:r>
          <a:r>
            <a:rPr lang="en-US" sz="900" b="1" kern="1200">
              <a:solidFill>
                <a:schemeClr val="bg1"/>
              </a:solidFill>
              <a:latin typeface="Calibri"/>
              <a:ea typeface="+mn-ea"/>
              <a:cs typeface="+mn-cs"/>
            </a:rPr>
            <a:t>A</a:t>
          </a:r>
          <a:r>
            <a:rPr lang="sq-AL" sz="900" b="1" kern="1200">
              <a:solidFill>
                <a:schemeClr val="bg1"/>
              </a:solidFill>
              <a:latin typeface="Calibri"/>
              <a:ea typeface="+mn-ea"/>
              <a:cs typeface="+mn-cs"/>
            </a:rPr>
            <a:t>:</a:t>
          </a:r>
          <a:r>
            <a:rPr lang="sq-AL" sz="900" kern="1200">
              <a:solidFill>
                <a:schemeClr val="bg1"/>
              </a:solidFill>
              <a:latin typeface="Calibri"/>
              <a:ea typeface="+mn-ea"/>
              <a:cs typeface="+mn-cs"/>
            </a:rPr>
            <a:t> Arsim</a:t>
          </a:r>
          <a:r>
            <a:rPr lang="en-US" sz="900" kern="1200">
              <a:solidFill>
                <a:schemeClr val="bg1"/>
              </a:solidFill>
              <a:latin typeface="Calibri"/>
              <a:ea typeface="+mn-ea"/>
              <a:cs typeface="+mn-cs"/>
            </a:rPr>
            <a:t> parauniversitar</a:t>
          </a:r>
          <a:r>
            <a:rPr lang="sq-AL" sz="900" kern="1200">
              <a:solidFill>
                <a:schemeClr val="bg1"/>
              </a:solidFill>
              <a:latin typeface="Calibri"/>
              <a:ea typeface="+mn-ea"/>
              <a:cs typeface="+mn-cs"/>
            </a:rPr>
            <a:t> cilësor dhe gjithëpërfshirës që krijon kushte që nxënësit të zhvillojnë njohuri, shkathtësi, qëndrime dhe vlera në pajtim me kërkesat </a:t>
          </a:r>
          <a:r>
            <a:rPr lang="sq-AL" sz="900" kern="1200">
              <a:solidFill>
                <a:sysClr val="window" lastClr="FFFFFF"/>
              </a:solidFill>
              <a:latin typeface="Calibri"/>
              <a:ea typeface="+mn-ea"/>
              <a:cs typeface="+mn-cs"/>
            </a:rPr>
            <a:t>e shoqërisë demokratike; të përballen në mënyrë konstruktive me sfidat e jetës, si dhe të kontribuojnë në ndërtimin e mirëqenies vetjake dhe të shoqërisë</a:t>
          </a:r>
          <a:endParaRPr lang="en-US" sz="900" kern="1200">
            <a:solidFill>
              <a:sysClr val="window" lastClr="FFFFFF"/>
            </a:solidFill>
            <a:latin typeface="Calibri"/>
            <a:ea typeface="+mn-ea"/>
            <a:cs typeface="+mn-cs"/>
          </a:endParaRPr>
        </a:p>
      </dsp:txBody>
      <dsp:txXfrm>
        <a:off x="2495" y="817816"/>
        <a:ext cx="1701829" cy="1717414"/>
      </dsp:txXfrm>
    </dsp:sp>
    <dsp:sp modelId="{997B759D-8EFF-49CD-A6E5-3551C8BA49B5}">
      <dsp:nvSpPr>
        <dsp:cNvPr id="0" name=""/>
        <dsp:cNvSpPr/>
      </dsp:nvSpPr>
      <dsp:spPr>
        <a:xfrm>
          <a:off x="1704325" y="817816"/>
          <a:ext cx="1701829" cy="1717414"/>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l" defTabSz="400050">
            <a:lnSpc>
              <a:spcPct val="90000"/>
            </a:lnSpc>
            <a:spcBef>
              <a:spcPct val="0"/>
            </a:spcBef>
            <a:spcAft>
              <a:spcPct val="35000"/>
            </a:spcAft>
            <a:buNone/>
          </a:pPr>
          <a:r>
            <a:rPr lang="sq-AL" sz="900" b="1" kern="1200">
              <a:solidFill>
                <a:sysClr val="window" lastClr="FFFFFF"/>
              </a:solidFill>
              <a:latin typeface="Calibri"/>
              <a:ea typeface="+mn-ea"/>
              <a:cs typeface="+mn-cs"/>
            </a:rPr>
            <a:t>Qëllimi i politikës </a:t>
          </a:r>
          <a:r>
            <a:rPr lang="en-US" sz="900" b="1" kern="1200">
              <a:solidFill>
                <a:sysClr val="window" lastClr="FFFFFF"/>
              </a:solidFill>
              <a:latin typeface="Calibri"/>
              <a:ea typeface="+mn-ea"/>
              <a:cs typeface="+mn-cs"/>
            </a:rPr>
            <a:t>B</a:t>
          </a:r>
          <a:r>
            <a:rPr lang="sq-AL" sz="900" b="1" kern="1200">
              <a:solidFill>
                <a:sysClr val="window" lastClr="FFFFFF"/>
              </a:solidFill>
              <a:latin typeface="Calibri"/>
              <a:ea typeface="+mn-ea"/>
              <a:cs typeface="+mn-cs"/>
            </a:rPr>
            <a:t>:</a:t>
          </a:r>
          <a:r>
            <a:rPr lang="sq-AL" sz="900" kern="1200">
              <a:solidFill>
                <a:sysClr val="window" lastClr="FFFFFF"/>
              </a:solidFill>
              <a:latin typeface="Calibri"/>
              <a:ea typeface="+mn-ea"/>
              <a:cs typeface="+mn-cs"/>
            </a:rPr>
            <a:t> Menaxhim efektiv dhe eficient i sistemit të arsimit në të gjitha nivelet, i bazuar në mekanizma funksional</a:t>
          </a:r>
          <a:r>
            <a:rPr lang="en-US" sz="900" kern="1200">
              <a:solidFill>
                <a:sysClr val="window" lastClr="FFFFFF"/>
              </a:solidFill>
              <a:latin typeface="Calibri"/>
              <a:ea typeface="+mn-ea"/>
              <a:cs typeface="+mn-cs"/>
            </a:rPr>
            <a:t>e</a:t>
          </a:r>
          <a:r>
            <a:rPr lang="sq-AL" sz="900" kern="1200">
              <a:solidFill>
                <a:sysClr val="window" lastClr="FFFFFF"/>
              </a:solidFill>
              <a:latin typeface="Calibri"/>
              <a:ea typeface="+mn-ea"/>
              <a:cs typeface="+mn-cs"/>
            </a:rPr>
            <a:t> për sigurimin e cilësisë, transparencës dhe llogaridhënies</a:t>
          </a:r>
          <a:endParaRPr lang="en-US" sz="900" kern="1200">
            <a:solidFill>
              <a:sysClr val="window" lastClr="FFFFFF"/>
            </a:solidFill>
            <a:latin typeface="Calibri"/>
            <a:ea typeface="+mn-ea"/>
            <a:cs typeface="+mn-cs"/>
          </a:endParaRPr>
        </a:p>
      </dsp:txBody>
      <dsp:txXfrm>
        <a:off x="1704325" y="817816"/>
        <a:ext cx="1701829" cy="1717414"/>
      </dsp:txXfrm>
    </dsp:sp>
    <dsp:sp modelId="{541E767D-22E8-41C1-BE13-1F446B031102}">
      <dsp:nvSpPr>
        <dsp:cNvPr id="0" name=""/>
        <dsp:cNvSpPr/>
      </dsp:nvSpPr>
      <dsp:spPr>
        <a:xfrm>
          <a:off x="3406154" y="817816"/>
          <a:ext cx="1701829" cy="1717414"/>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l" defTabSz="400050">
            <a:lnSpc>
              <a:spcPct val="90000"/>
            </a:lnSpc>
            <a:spcBef>
              <a:spcPct val="0"/>
            </a:spcBef>
            <a:spcAft>
              <a:spcPct val="35000"/>
            </a:spcAft>
            <a:buNone/>
          </a:pPr>
          <a:r>
            <a:rPr lang="sq-AL" sz="900" b="1" kern="1200">
              <a:solidFill>
                <a:sysClr val="window" lastClr="FFFFFF"/>
              </a:solidFill>
              <a:latin typeface="Calibri"/>
              <a:ea typeface="+mn-ea"/>
              <a:cs typeface="+mn-cs"/>
            </a:rPr>
            <a:t>Qëllimi i politikës </a:t>
          </a:r>
          <a:r>
            <a:rPr lang="en-US" sz="900" b="1" kern="1200">
              <a:solidFill>
                <a:sysClr val="window" lastClr="FFFFFF"/>
              </a:solidFill>
              <a:latin typeface="Calibri"/>
              <a:ea typeface="+mn-ea"/>
              <a:cs typeface="+mn-cs"/>
            </a:rPr>
            <a:t>C</a:t>
          </a:r>
          <a:r>
            <a:rPr lang="sq-AL" sz="900" b="1" kern="1200">
              <a:solidFill>
                <a:sysClr val="window" lastClr="FFFFFF"/>
              </a:solidFill>
              <a:latin typeface="Calibri"/>
              <a:ea typeface="+mn-ea"/>
              <a:cs typeface="+mn-cs"/>
            </a:rPr>
            <a:t>:</a:t>
          </a:r>
          <a:r>
            <a:rPr lang="sq-AL" sz="900" kern="1200">
              <a:solidFill>
                <a:sysClr val="window" lastClr="FFFFFF"/>
              </a:solidFill>
              <a:latin typeface="Calibri"/>
              <a:ea typeface="+mn-ea"/>
              <a:cs typeface="+mn-cs"/>
            </a:rPr>
            <a:t> Arsim i lartë gjithëpërfshirës që plotëson standardet ndërkombëtare të cilësisë, integritetin akademik e transparencës, dhe është promotor i zhvillimit ekonomik dhe shoqëror të vendit</a:t>
          </a:r>
          <a:endParaRPr lang="en-US" sz="900" kern="1200">
            <a:solidFill>
              <a:sysClr val="window" lastClr="FFFFFF"/>
            </a:solidFill>
            <a:latin typeface="Calibri"/>
            <a:ea typeface="+mn-ea"/>
            <a:cs typeface="+mn-cs"/>
          </a:endParaRPr>
        </a:p>
      </dsp:txBody>
      <dsp:txXfrm>
        <a:off x="3406154" y="817816"/>
        <a:ext cx="1701829" cy="1717414"/>
      </dsp:txXfrm>
    </dsp:sp>
    <dsp:sp modelId="{D3E92B5A-7F71-4267-ACAD-23D84A12C5FE}">
      <dsp:nvSpPr>
        <dsp:cNvPr id="0" name=""/>
        <dsp:cNvSpPr/>
      </dsp:nvSpPr>
      <dsp:spPr>
        <a:xfrm>
          <a:off x="0" y="2535231"/>
          <a:ext cx="5110480" cy="190823"/>
        </a:xfrm>
        <a:prstGeom prst="rect">
          <a:avLst/>
        </a:prstGeom>
        <a:solidFill>
          <a:srgbClr val="4F81BD">
            <a:shade val="80000"/>
            <a:hueOff val="0"/>
            <a:satOff val="0"/>
            <a:lumOff val="0"/>
            <a:alphaOff val="0"/>
          </a:srgbClr>
        </a:solidFill>
        <a:ln>
          <a:noFill/>
        </a:ln>
        <a:effectLst/>
      </dsp:spPr>
      <dsp:style>
        <a:lnRef idx="0">
          <a:scrgbClr r="0" g="0" b="0"/>
        </a:lnRef>
        <a:fillRef idx="1">
          <a:scrgbClr r="0" g="0" b="0"/>
        </a:fillRef>
        <a:effectRef idx="0">
          <a:scrgbClr r="0" g="0" b="0"/>
        </a:effectRef>
        <a:fontRef idx="minor"/>
      </dsp:style>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0C15213-895F-486C-89F2-7191DBD41BD8}">
      <dsp:nvSpPr>
        <dsp:cNvPr id="0" name=""/>
        <dsp:cNvSpPr/>
      </dsp:nvSpPr>
      <dsp:spPr>
        <a:xfrm>
          <a:off x="762793" y="0"/>
          <a:ext cx="2203450" cy="2203450"/>
        </a:xfrm>
        <a:prstGeom prst="triangle">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sp>
    <dsp:sp modelId="{814BB553-2CDC-414B-A432-87AAA0E231E5}">
      <dsp:nvSpPr>
        <dsp:cNvPr id="0" name=""/>
        <dsp:cNvSpPr/>
      </dsp:nvSpPr>
      <dsp:spPr>
        <a:xfrm>
          <a:off x="1864518" y="220560"/>
          <a:ext cx="1432242" cy="313303"/>
        </a:xfrm>
        <a:prstGeom prst="roundRect">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US" sz="1200" kern="1200">
              <a:solidFill>
                <a:sysClr val="windowText" lastClr="000000">
                  <a:hueOff val="0"/>
                  <a:satOff val="0"/>
                  <a:lumOff val="0"/>
                  <a:alphaOff val="0"/>
                </a:sysClr>
              </a:solidFill>
              <a:latin typeface="Calibri"/>
              <a:ea typeface="+mn-ea"/>
              <a:cs typeface="+mn-cs"/>
            </a:rPr>
            <a:t>Vizioni</a:t>
          </a:r>
        </a:p>
      </dsp:txBody>
      <dsp:txXfrm>
        <a:off x="1879812" y="235854"/>
        <a:ext cx="1401654" cy="282715"/>
      </dsp:txXfrm>
    </dsp:sp>
    <dsp:sp modelId="{BF33D782-FA59-49B2-9B27-FEADC3A595CB}">
      <dsp:nvSpPr>
        <dsp:cNvPr id="0" name=""/>
        <dsp:cNvSpPr/>
      </dsp:nvSpPr>
      <dsp:spPr>
        <a:xfrm>
          <a:off x="1864518" y="573026"/>
          <a:ext cx="1432242" cy="313303"/>
        </a:xfrm>
        <a:prstGeom prst="roundRect">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US" sz="1200" kern="1200">
              <a:solidFill>
                <a:sysClr val="windowText" lastClr="000000">
                  <a:hueOff val="0"/>
                  <a:satOff val="0"/>
                  <a:lumOff val="0"/>
                  <a:alphaOff val="0"/>
                </a:sysClr>
              </a:solidFill>
              <a:latin typeface="Calibri"/>
              <a:ea typeface="+mn-ea"/>
              <a:cs typeface="+mn-cs"/>
            </a:rPr>
            <a:t>Qëllimet e politikave</a:t>
          </a:r>
        </a:p>
      </dsp:txBody>
      <dsp:txXfrm>
        <a:off x="1879812" y="588320"/>
        <a:ext cx="1401654" cy="282715"/>
      </dsp:txXfrm>
    </dsp:sp>
    <dsp:sp modelId="{F275977A-1A33-4A86-AF1A-6363C4559979}">
      <dsp:nvSpPr>
        <dsp:cNvPr id="0" name=""/>
        <dsp:cNvSpPr/>
      </dsp:nvSpPr>
      <dsp:spPr>
        <a:xfrm>
          <a:off x="1864518" y="925492"/>
          <a:ext cx="1432242" cy="313303"/>
        </a:xfrm>
        <a:prstGeom prst="roundRect">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US" sz="1200" kern="1200">
              <a:solidFill>
                <a:sysClr val="windowText" lastClr="000000">
                  <a:hueOff val="0"/>
                  <a:satOff val="0"/>
                  <a:lumOff val="0"/>
                  <a:alphaOff val="0"/>
                </a:sysClr>
              </a:solidFill>
              <a:latin typeface="Calibri"/>
              <a:ea typeface="+mn-ea"/>
              <a:cs typeface="+mn-cs"/>
            </a:rPr>
            <a:t>Objektivat specifike</a:t>
          </a:r>
        </a:p>
      </dsp:txBody>
      <dsp:txXfrm>
        <a:off x="1879812" y="940786"/>
        <a:ext cx="1401654" cy="282715"/>
      </dsp:txXfrm>
    </dsp:sp>
    <dsp:sp modelId="{E695B58A-93E0-43E8-B61F-1D815BA3CA75}">
      <dsp:nvSpPr>
        <dsp:cNvPr id="0" name=""/>
        <dsp:cNvSpPr/>
      </dsp:nvSpPr>
      <dsp:spPr>
        <a:xfrm>
          <a:off x="1864518" y="1277957"/>
          <a:ext cx="1432242" cy="313303"/>
        </a:xfrm>
        <a:prstGeom prst="roundRect">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US" sz="1200" kern="1200">
              <a:solidFill>
                <a:sysClr val="windowText" lastClr="000000">
                  <a:hueOff val="0"/>
                  <a:satOff val="0"/>
                  <a:lumOff val="0"/>
                  <a:alphaOff val="0"/>
                </a:sysClr>
              </a:solidFill>
              <a:latin typeface="Calibri"/>
              <a:ea typeface="+mn-ea"/>
              <a:cs typeface="+mn-cs"/>
            </a:rPr>
            <a:t>Produktet</a:t>
          </a:r>
        </a:p>
      </dsp:txBody>
      <dsp:txXfrm>
        <a:off x="1879812" y="1293251"/>
        <a:ext cx="1401654" cy="282715"/>
      </dsp:txXfrm>
    </dsp:sp>
    <dsp:sp modelId="{D03177B0-13B7-47E8-B069-5E105F6FEB12}">
      <dsp:nvSpPr>
        <dsp:cNvPr id="0" name=""/>
        <dsp:cNvSpPr/>
      </dsp:nvSpPr>
      <dsp:spPr>
        <a:xfrm>
          <a:off x="1864518" y="1630423"/>
          <a:ext cx="1432242" cy="313303"/>
        </a:xfrm>
        <a:prstGeom prst="roundRect">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US" sz="1200" kern="1200">
              <a:solidFill>
                <a:sysClr val="windowText" lastClr="000000">
                  <a:hueOff val="0"/>
                  <a:satOff val="0"/>
                  <a:lumOff val="0"/>
                  <a:alphaOff val="0"/>
                </a:sysClr>
              </a:solidFill>
              <a:latin typeface="Calibri"/>
              <a:ea typeface="+mn-ea"/>
              <a:cs typeface="+mn-cs"/>
            </a:rPr>
            <a:t>Masat</a:t>
          </a:r>
        </a:p>
      </dsp:txBody>
      <dsp:txXfrm>
        <a:off x="1879812" y="1645717"/>
        <a:ext cx="1401654" cy="282715"/>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hList3">
  <dgm:title val=""/>
  <dgm:desc val=""/>
  <dgm:catLst>
    <dgm:cat type="list" pri="19000"/>
  </dgm:catLst>
  <dgm:samp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1" destId="2" srcOrd="0" destOrd="0"/>
        <dgm:cxn modelId="7" srcId="1" destId="3" srcOrd="1" destOrd="0"/>
        <dgm:cxn modelId="8" srcId="1" destId="4" srcOrd="2" destOrd="0"/>
      </dgm:cxnLst>
      <dgm:bg/>
      <dgm:whole/>
    </dgm:dataModel>
  </dgm:sampData>
  <dgm:styleData>
    <dgm:dataModel>
      <dgm:ptLst>
        <dgm:pt modelId="0" type="doc"/>
        <dgm:pt modelId="1"/>
        <dgm:pt modelId="2"/>
        <dgm:pt modelId="3"/>
      </dgm:ptLst>
      <dgm:cxnLst>
        <dgm:cxn modelId="5" srcId="0" destId="1" srcOrd="0" destOrd="0"/>
        <dgm:cxn modelId="6" srcId="1" destId="2" srcOrd="0" destOrd="0"/>
        <dgm:cxn modelId="7" srcId="1" destId="3" srcOrd="1" destOrd="0"/>
      </dgm:cxnLst>
      <dgm:bg/>
      <dgm:whole/>
    </dgm:dataModel>
  </dgm:styleData>
  <dgm:clrData>
    <dgm:dataModel>
      <dgm:ptLst>
        <dgm:pt modelId="0" type="doc"/>
        <dgm:pt modelId="1"/>
        <dgm:pt modelId="2"/>
        <dgm:pt modelId="3"/>
        <dgm:pt modelId="4"/>
        <dgm:pt modelId="5"/>
      </dgm:ptLst>
      <dgm:cxnLst>
        <dgm:cxn modelId="6" srcId="0" destId="1" srcOrd="0" destOrd="0"/>
        <dgm:cxn modelId="7" srcId="1" destId="2" srcOrd="0" destOrd="0"/>
        <dgm:cxn modelId="8" srcId="1" destId="3" srcOrd="1" destOrd="0"/>
        <dgm:cxn modelId="9" srcId="1" destId="4" srcOrd="2" destOrd="0"/>
        <dgm:cxn modelId="10" srcId="1" destId="5" srcOrd="3" destOrd="0"/>
      </dgm:cxnLst>
      <dgm:bg/>
      <dgm:whole/>
    </dgm:dataModel>
  </dgm:clrData>
  <dgm:layoutNode name="composite">
    <dgm:varLst>
      <dgm:chMax val="1"/>
      <dgm:dir/>
      <dgm:resizeHandles val="exact"/>
    </dgm:varLst>
    <dgm:alg type="composite"/>
    <dgm:shape xmlns:r="http://schemas.openxmlformats.org/officeDocument/2006/relationships" r:blip="">
      <dgm:adjLst/>
    </dgm:shape>
    <dgm:presOf/>
    <dgm:constrLst>
      <dgm:constr type="w" for="ch" forName="roof" refType="w"/>
      <dgm:constr type="h" for="ch" forName="roof" refType="h" fact="0.3"/>
      <dgm:constr type="primFontSz" for="ch" forName="roof" val="65"/>
      <dgm:constr type="w" for="ch" forName="pillars" refType="w"/>
      <dgm:constr type="h" for="ch" forName="pillars" refType="h" fact="0.63"/>
      <dgm:constr type="t" for="ch" forName="pillars" refType="h" fact="0.3"/>
      <dgm:constr type="primFontSz" for="des" forName="pillar1" val="65"/>
      <dgm:constr type="primFontSz" for="des" forName="pillarX" refType="primFontSz" refFor="des" refForName="pillar1" op="equ"/>
      <dgm:constr type="w" for="ch" forName="base" refType="w"/>
      <dgm:constr type="h" for="ch" forName="base" refType="h" fact="0.07"/>
      <dgm:constr type="t" for="ch" forName="base" refType="h" fact="0.93"/>
    </dgm:constrLst>
    <dgm:ruleLst/>
    <dgm:forEach name="Name0" axis="ch" ptType="node" cnt="1">
      <dgm:layoutNode name="roof" styleLbl="dkBgShp">
        <dgm:alg type="tx"/>
        <dgm:shape xmlns:r="http://schemas.openxmlformats.org/officeDocument/2006/relationships" type="rect" r:blip="">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pillars" styleLbl="node1">
        <dgm:choose name="Name1">
          <dgm:if name="Name2" func="var" arg="dir" op="equ" val="norm">
            <dgm:alg type="lin">
              <dgm:param type="linDir" val="fromL"/>
            </dgm:alg>
          </dgm:if>
          <dgm:else name="Name3">
            <dgm:alg type="lin">
              <dgm:param type="linDir" val="fromR"/>
            </dgm:alg>
          </dgm:else>
        </dgm:choose>
        <dgm:shape xmlns:r="http://schemas.openxmlformats.org/officeDocument/2006/relationships" r:blip="">
          <dgm:adjLst/>
        </dgm:shape>
        <dgm:presOf/>
        <dgm:constrLst>
          <dgm:constr type="w" for="ch" forName="pillar1" refType="w"/>
          <dgm:constr type="h" for="ch" forName="pillar1" refType="h"/>
          <dgm:constr type="w" for="ch" forName="pillarX" refType="w"/>
          <dgm:constr type="h" for="ch" forName="pillarX" refType="h"/>
        </dgm:constrLst>
        <dgm:ruleLst/>
        <dgm:layoutNode name="pillar1" styleLbl="node1">
          <dgm:varLst>
            <dgm:bulletEnabled val="1"/>
          </dgm:varLst>
          <dgm:alg type="tx"/>
          <dgm:shape xmlns:r="http://schemas.openxmlformats.org/officeDocument/2006/relationships" type="rect" r:blip="">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ch" ptType="node" st="2">
          <dgm:layoutNode name="pillarX" styleLbl="node1">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dgm:layoutNode>
      <dgm:layoutNode name="base" styleLbl="dkBgShp">
        <dgm:alg type="sp"/>
        <dgm:shape xmlns:r="http://schemas.openxmlformats.org/officeDocument/2006/relationships" type="rect" r:blip="">
          <dgm:adjLst/>
        </dgm:shape>
        <dgm:presOf/>
        <dgm:constrLst/>
        <dgm:ruleLst/>
      </dgm:layoutNode>
    </dgm:forEach>
  </dgm:layoutNode>
</dgm:layoutDef>
</file>

<file path=word/diagrams/layout3.xml><?xml version="1.0" encoding="utf-8"?>
<dgm:layoutDef xmlns:dgm="http://schemas.openxmlformats.org/drawingml/2006/diagram" xmlns:a="http://schemas.openxmlformats.org/drawingml/2006/main" uniqueId="urn:microsoft.com/office/officeart/2005/8/layout/pyramid2">
  <dgm:title val=""/>
  <dgm:desc val=""/>
  <dgm:catLst>
    <dgm:cat type="pyramid" pri="3000"/>
    <dgm:cat type="list" pri="21000"/>
    <dgm:cat type="convert" pri="17000"/>
  </dgm:catLst>
  <dgm:sampData useDef="1">
    <dgm:dataModel>
      <dgm:ptLst/>
      <dgm:bg/>
      <dgm:whole/>
    </dgm:dataModel>
  </dgm:sampData>
  <dgm:styleData useDef="1">
    <dgm:dataModel>
      <dgm:ptLst/>
      <dgm:bg/>
      <dgm:whole/>
    </dgm:dataModel>
  </dgm:styleData>
  <dgm:clrData useDef="1">
    <dgm:dataModel>
      <dgm:ptLst/>
      <dgm:bg/>
      <dgm:whole/>
    </dgm:dataModel>
  </dgm:clrData>
  <dgm:layoutNode name="compositeShape">
    <dgm:alg type="composite"/>
    <dgm:shape xmlns:r="http://schemas.openxmlformats.org/officeDocument/2006/relationships" r:blip="">
      <dgm:adjLst/>
    </dgm:shape>
    <dgm:presOf/>
    <dgm:varLst>
      <dgm:dir/>
      <dgm:resizeHandles/>
    </dgm:varLst>
    <dgm:choose name="Name0">
      <dgm:if name="Name1" func="var" arg="dir" op="equ" val="norm">
        <dgm:constrLst>
          <dgm:constr type="w" for="ch" forName="pyramid" refType="h"/>
          <dgm:constr type="h" for="ch" forName="pyramid" refType="h"/>
          <dgm:constr type="h" for="ch" forName="theList" refType="h" fact="0.8"/>
          <dgm:constr type="w" for="ch" forName="theList" refType="h" fact="0.65"/>
          <dgm:constr type="ctrY" for="ch" forName="theList" refType="h" refFor="ch" refForName="pyramid" fact="0.5"/>
          <dgm:constr type="l" for="ch" forName="theList" refType="w" refFor="ch" refForName="pyramid" fact="0.5"/>
          <dgm:constr type="h" for="des" forName="aSpace" refType="h" fact="0.1"/>
        </dgm:constrLst>
      </dgm:if>
      <dgm:else name="Name2">
        <dgm:constrLst>
          <dgm:constr type="w" for="ch" forName="pyramid" refType="h"/>
          <dgm:constr type="h" for="ch" forName="pyramid" refType="h"/>
          <dgm:constr type="h" for="ch" forName="theList" refType="h" fact="0.8"/>
          <dgm:constr type="w" for="ch" forName="theList" refType="h" fact="0.65"/>
          <dgm:constr type="ctrY" for="ch" forName="theList" refType="h" refFor="ch" refForName="pyramid" fact="0.5"/>
          <dgm:constr type="r" for="ch" forName="theList" refType="w" refFor="ch" refForName="pyramid" fact="0.5"/>
          <dgm:constr type="h" for="des" forName="aSpace" refType="h" fact="0.1"/>
        </dgm:constrLst>
      </dgm:else>
    </dgm:choose>
    <dgm:ruleLst/>
    <dgm:choose name="Name3">
      <dgm:if name="Name4" axis="ch" ptType="node" func="cnt" op="gte" val="1">
        <dgm:layoutNode name="pyramid" styleLbl="node1">
          <dgm:alg type="sp"/>
          <dgm:shape xmlns:r="http://schemas.openxmlformats.org/officeDocument/2006/relationships" type="triangle" r:blip="">
            <dgm:adjLst/>
          </dgm:shape>
          <dgm:presOf/>
          <dgm:constrLst/>
          <dgm:ruleLst/>
        </dgm:layoutNode>
        <dgm:layoutNode name="theList">
          <dgm:alg type="lin">
            <dgm:param type="linDir" val="fromT"/>
          </dgm:alg>
          <dgm:shape xmlns:r="http://schemas.openxmlformats.org/officeDocument/2006/relationships" r:blip="">
            <dgm:adjLst/>
          </dgm:shape>
          <dgm:presOf/>
          <dgm:constrLst>
            <dgm:constr type="w" for="ch" forName="aNode" refType="w"/>
            <dgm:constr type="h" for="ch" forName="aNode" refType="h"/>
            <dgm:constr type="primFontSz" for="ch" ptType="node" op="equ"/>
          </dgm:constrLst>
          <dgm:ruleLst/>
          <dgm:forEach name="aNodeForEach" axis="ch" ptType="node">
            <dgm:layoutNode name="aNode" styleLbl="fgAcc1">
              <dgm:varLst>
                <dgm:bulletEnabled val="1"/>
              </dgm:varLst>
              <dgm:alg type="tx"/>
              <dgm:shape xmlns:r="http://schemas.openxmlformats.org/officeDocument/2006/relationships" type="roundRect" r:blip="">
                <dgm:adjLst/>
              </dgm:shape>
              <dgm:presOf axis="desOrSelf" ptType="node"/>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aSpace">
              <dgm:alg type="sp"/>
              <dgm:shape xmlns:r="http://schemas.openxmlformats.org/officeDocument/2006/relationships" r:blip="">
                <dgm:adjLst/>
              </dgm:shape>
              <dgm:presOf/>
              <dgm:constrLst/>
              <dgm:ruleLst/>
            </dgm:layoutNode>
          </dgm:forEach>
        </dgm:layoutNode>
      </dgm:if>
      <dgm:else name="Name5"/>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QBZ161</b:Tag>
    <b:SourceType>Misc</b:SourceType>
    <b:Guid>{9811219A-962C-4716-875B-4AB2A0A3D2F3}</b:Guid>
    <b:Author>
      <b:Author>
        <b:Corporate>QBZ</b:Corporate>
      </b:Author>
    </b:Author>
    <b:Title>Strategjia  Kombëtare  për  Zhvillim  dhe  Integrim 2015-2020</b:Title>
    <b:Year>2016</b:Year>
    <b:YearAccessed>2019</b:YearAccessed>
    <b:MonthAccessed>06</b:MonthAccessed>
    <b:DayAccessed>01</b:DayAccessed>
    <b:URL>https://qbz.gov.al/eli/fz/2016/86/00c7c601-431f-4ff2-802d-1ceada10aec7</b:URL>
    <b:PublicationTitle>Fletore Zyrtare e Republikes se Shqiperise Nr. 86, Datë. 25/05/2016</b:PublicationTitle>
    <b:RefOrder>1</b:RefOrder>
  </b:Source>
  <b:Source>
    <b:Tag>UNE17</b:Tag>
    <b:SourceType>Report</b:SourceType>
    <b:Guid>{7B33EC68-D4E5-4AE3-A0C2-389BFDBDA68C}</b:Guid>
    <b:Author>
      <b:Author>
        <b:Corporate>UNESCO</b:Corporate>
      </b:Author>
    </b:Author>
    <b:Title>Albania: education policy review; issues and recommendations, extended report</b:Title>
    <b:Year>2017</b:Year>
    <b:City>Paris</b:City>
    <b:YearAccessed>2019</b:YearAccessed>
    <b:MonthAccessed>April</b:MonthAccessed>
    <b:DayAccessed>6</b:DayAccessed>
    <b:URL>https://unesdoc.unesco.org/ark:/48223/pf0000259245</b:URL>
    <b:RefOrder>58</b:RefOrder>
  </b:Source>
  <b:Source>
    <b:Tag>QBZ16</b:Tag>
    <b:SourceType>Misc</b:SourceType>
    <b:Guid>{511D7786-FCC8-4EBC-A760-95AA641E9FEA}</b:Guid>
    <b:Author>
      <b:Author>
        <b:Corporate>QBZ</b:Corporate>
      </b:Author>
    </b:Author>
    <b:Title>Vendim i Këshillit të Ministrave për miratimin e Strategjisë së Arsimit Parauniversitar 2014-2020</b:Title>
    <b:PublicationTitle>Fletorja Zyrare e Republikës së Shqipërisë, Viti 2016, No.2</b:PublicationTitle>
    <b:Year>2016-2</b:Year>
    <b:Month>01</b:Month>
    <b:Day>19</b:Day>
    <b:City>Tirana</b:City>
    <b:YearAccessed>2019</b:YearAccessed>
    <b:MonthAccessed>April</b:MonthAccessed>
    <b:DayAccessed>6</b:DayAccessed>
    <b:URL>https://qbz.gov.al/share/jlDOQjY0SpiucoFlLgfoIg</b:URL>
    <b:RefOrder>2</b:RefOrder>
  </b:Source>
  <b:Source>
    <b:Tag>Gjo14</b:Tag>
    <b:SourceType>Report</b:SourceType>
    <b:Guid>{025A9E59-796B-437B-A299-73DAC5A6D6D4}</b:Guid>
    <b:Author>
      <b:Author>
        <b:Corporate>Gjonça et. al</b:Corporate>
      </b:Author>
    </b:Author>
    <b:Title>Raporti përfundimtar për reformimin e arsimit të lartë dhe kërkimit shkencor</b:Title>
    <b:Year>2014</b:Year>
    <b:Publisher>MAS</b:Publisher>
    <b:City>Tiranë</b:City>
    <b:RefOrder>31</b:RefOrder>
  </b:Source>
  <b:Source>
    <b:Tag>Kës18</b:Tag>
    <b:SourceType>DocumentFromInternetSite</b:SourceType>
    <b:Guid>{23ECBE05-1EB3-46F9-8D5D-2C84BA742FB4}</b:Guid>
    <b:Author>
      <b:Author>
        <b:Corporate>Këshilli i Ministrave</b:Corporate>
      </b:Author>
    </b:Author>
    <b:Title>Pakti për Universitetin</b:Title>
    <b:Year>2018</b:Year>
    <b:RefOrder>23</b:RefOrder>
  </b:Source>
  <b:Source>
    <b:Tag>Wor19</b:Tag>
    <b:SourceType>Report</b:SourceType>
    <b:Guid>{63D2D372-7078-49A2-8873-2E973080E494}</b:Guid>
    <b:Title>Vlerësimi i Strategjisë së Arsimit Parauniversitar 2014-2020</b:Title>
    <b:Year>2019</b:Year>
    <b:Publisher>UNICEF</b:Publisher>
    <b:Author>
      <b:Author>
        <b:NameList>
          <b:Person>
            <b:Last>Wort</b:Last>
            <b:First>M</b:First>
          </b:Person>
          <b:Person>
            <b:Last>Pupovci</b:Last>
            <b:First>D</b:First>
          </b:Person>
          <b:Person>
            <b:Last>Ikonomi</b:Last>
            <b:First>E</b:First>
          </b:Person>
        </b:NameList>
      </b:Author>
    </b:Author>
    <b:RefOrder>37</b:RefOrder>
  </b:Source>
  <b:Source>
    <b:Tag>Eur18</b:Tag>
    <b:SourceType>Report</b:SourceType>
    <b:Guid>{A3FC89D7-3D60-4531-9F7A-026AA1F20A58}</b:Guid>
    <b:Author>
      <b:Author>
        <b:Corporate>European Commission</b:Corporate>
      </b:Author>
    </b:Author>
    <b:Title>Albania 2019 Report - Communication on EU Enlargement Policy</b:Title>
    <b:Year>2019</b:Year>
    <b:YearAccessed>2019</b:YearAccessed>
    <b:MonthAccessed>May</b:MonthAccessed>
    <b:DayAccessed>31</b:DayAccessed>
    <b:URL>https://ec.europa.eu/neighbourhood-enlargement/sites/near/files/20190529-albania-report.pdf</b:URL>
    <b:RefOrder>24</b:RefOrder>
  </b:Source>
  <b:Source>
    <b:Tag>UNE171</b:Tag>
    <b:SourceType>Report</b:SourceType>
    <b:Guid>{9C40D5EE-96B1-49E6-9C53-FB7EFE77DB3C}</b:Guid>
    <b:Author>
      <b:Author>
        <b:Corporate>UNESCO</b:Corporate>
      </b:Author>
    </b:Author>
    <b:Title>Unpacking Sustainable Development Goal 4-  Education 2030</b:Title>
    <b:Year>2017</b:Year>
    <b:RefOrder>6</b:RefOrder>
  </b:Source>
  <b:Source>
    <b:Tag>Eur181</b:Tag>
    <b:SourceType>Report</b:SourceType>
    <b:Guid>{41C263B3-3861-4DCC-8DBC-DBD6C9B9D2FF}</b:Guid>
    <b:Author>
      <b:Author>
        <b:Corporate>European Union</b:Corporate>
      </b:Author>
    </b:Author>
    <b:Title>Council Recommendation of 22 May 2018 on key competences for lifelong learning (2018/C 189/01)</b:Title>
    <b:Year>2018</b:Year>
    <b:RefOrder>4</b:RefOrder>
  </b:Source>
  <b:Source>
    <b:Tag>Eur09</b:Tag>
    <b:SourceType>Report</b:SourceType>
    <b:Guid>{6F573DF1-2A0E-43DE-84E3-0516E11B02F1}</b:Guid>
    <b:Author>
      <b:Author>
        <b:Corporate>European Union</b:Corporate>
      </b:Author>
    </b:Author>
    <b:Title>Council conclusions of 12 May 2009 on a strategic framework for European cooperation in education and training (‘ET 2020’)</b:Title>
    <b:Year>2009</b:Year>
    <b:RefOrder>3</b:RefOrder>
  </b:Source>
  <b:Source>
    <b:Tag>Kës15</b:Tag>
    <b:SourceType>Report</b:SourceType>
    <b:Guid>{9161A75D-2694-4449-86B5-4E3BFE3C6B3C}</b:Guid>
    <b:Author>
      <b:Author>
        <b:Corporate>Këshilli i Ministrave</b:Corporate>
      </b:Author>
    </b:Author>
    <b:Title>Plani Kombëtar i Veprimit për Integrimin e Romëve dhe Egjiptianëve 2016-2020</b:Title>
    <b:Year>2015</b:Year>
    <b:RefOrder>14</b:RefOrder>
  </b:Source>
  <b:Source>
    <b:Tag>Kës151</b:Tag>
    <b:SourceType>Report</b:SourceType>
    <b:Guid>{7A8209D3-27CD-4122-8CC0-2CBD98CA2675}</b:Guid>
    <b:Author>
      <b:Author>
        <b:Corporate>Këshilli i Ministrave</b:Corporate>
      </b:Author>
    </b:Author>
    <b:Title>Strategjia Ndërsektoriale "Axhenda dixhitale e Shqipërisë 2015-2020"</b:Title>
    <b:Year>2015</b:Year>
    <b:RefOrder>16</b:RefOrder>
  </b:Source>
  <b:Source>
    <b:Tag>IPS19</b:Tag>
    <b:SourceType>Report</b:SourceType>
    <b:Guid>{BA3E9968-F98E-4B9F-ABB4-6DCB44292D0F}</b:Guid>
    <b:Author>
      <b:Author>
        <b:Corporate>IPSIS</b:Corporate>
      </b:Author>
    </b:Author>
    <b:Title>Standardet/formatet e Sistemit Informativ për Planifikimin Strategjik të Integruar (IPSIS)</b:Title>
    <b:Year>2019</b:Year>
    <b:RefOrder>82</b:RefOrder>
  </b:Source>
  <b:Source>
    <b:Tag>Ter18</b:Tag>
    <b:SourceType>Report</b:SourceType>
    <b:Guid>{63C0CC53-7002-47E3-9223-14BABA6E3FC6}</b:Guid>
    <b:Author>
      <b:Author>
        <b:NameList>
          <b:Person>
            <b:Last>Gonzales</b:Last>
            <b:First>Teresa</b:First>
          </b:Person>
        </b:NameList>
      </b:Author>
    </b:Author>
    <b:Title>Report on the Implementation of the New Competency Based Curriculum: </b:Title>
    <b:Year>2018</b:Year>
    <b:Publisher>UNICEF</b:Publisher>
    <b:City>Tirana</b:City>
    <b:RefOrder>43</b:RefOrder>
  </b:Source>
  <b:Source>
    <b:Tag>Dra17</b:Tag>
    <b:SourceType>Report</b:SourceType>
    <b:Guid>{70A96529-4BC2-4177-AEB1-79BFA4C8DA77}</b:Guid>
    <b:Title>Studimi kombëtar mbi bullizmin dhe ekstremizmin e dhunshëm në sistemin arsimor shqiptar</b:Title>
    <b:Year>2017</b:Year>
    <b:Publisher>Këshilli i Europës</b:Publisher>
    <b:City>Tiranë</b:City>
    <b:Author>
      <b:Author>
        <b:NameList>
          <b:Person>
            <b:Last>Dragoti</b:Last>
            <b:First>Edmond</b:First>
          </b:Person>
          <b:Person>
            <b:Last>Ismaili</b:Last>
            <b:First>Emanuale</b:First>
          </b:Person>
        </b:NameList>
      </b:Author>
    </b:Author>
    <b:RefOrder>54</b:RefOrder>
  </b:Source>
  <b:Source>
    <b:Tag>WBW19</b:Tag>
    <b:SourceType>Misc</b:SourceType>
    <b:Guid>{EDA07035-47B0-4E2D-89F6-74D7F0960C74}</b:Guid>
    <b:Author>
      <b:Author>
        <b:Corporate>WB-WIIW</b:Corporate>
      </b:Author>
    </b:Author>
    <b:Title>Western Balkans Labor Market Trends 2019</b:Title>
    <b:Year>2019</b:Year>
    <b:City>Washington D.C</b:City>
    <b:Publisher>World Bank Group</b:Publisher>
    <b:RefOrder>8</b:RefOrder>
  </b:Source>
  <b:Source>
    <b:Tag>INS19</b:Tag>
    <b:SourceType>Misc</b:SourceType>
    <b:Guid>{8388A9A7-E9D8-4FEF-BEAD-97DBE73080D6}</b:Guid>
    <b:Author>
      <b:Author>
        <b:Corporate>INSTAT</b:Corporate>
      </b:Author>
    </b:Author>
    <b:Title>Hipotezat e Projeksioneve të Përditësuara të Popullsisë 2019 – 2031</b:Title>
    <b:Year>2019</b:Year>
    <b:RefOrder>10</b:RefOrder>
  </b:Source>
  <b:Source>
    <b:Tag>Kës20</b:Tag>
    <b:SourceType>JournalArticle</b:SourceType>
    <b:Guid>{946E4AD5-8BD1-44C8-B16B-257877C24567}</b:Guid>
    <b:Title>Programi i Reformës Ekonomike 2020-2022</b:Title>
    <b:Year>2020</b:Year>
    <b:Author>
      <b:Author>
        <b:Corporate>Këshilli i Ministrave</b:Corporate>
      </b:Author>
    </b:Author>
    <b:Publisher>QBZ</b:Publisher>
    <b:JournalName>Fletorja Zyrtare nr. 17</b:JournalName>
    <b:RefOrder>19</b:RefOrder>
  </b:Source>
  <b:Source>
    <b:Tag>Kra18</b:Tag>
    <b:SourceType>JournalArticle</b:SourceType>
    <b:Guid>{F634A960-917C-448B-84B7-AFD887CC66B9}</b:Guid>
    <b:Title>Reforma në arsimin e lartë 2015-2018: Risitë dhe Problematikat</b:Title>
    <b:Year>2018</b:Year>
    <b:Author>
      <b:Author>
        <b:NameList>
          <b:Person>
            <b:Last>Krasniqi</b:Last>
            <b:First>Afrim</b:First>
          </b:Person>
        </b:NameList>
      </b:Author>
    </b:Author>
    <b:Month>June</b:Month>
    <b:URL>https://www.researchgate.net/publication/326305365_REFORMA_NE_ARSIMIN_E_LARTE_2015-2018_RISITE_DHE_PROBLEMATIKAT</b:URL>
    <b:RefOrder>32</b:RefOrder>
  </b:Source>
  <b:Source>
    <b:Tag>Lig15</b:Tag>
    <b:SourceType>Misc</b:SourceType>
    <b:Guid>{7697B1C8-0993-4ACD-A957-3C4BEB6607BA}</b:Guid>
    <b:Title>Ligji Nr. 139/2015 për vetëqeverisjen vendore</b:Title>
    <b:Year>2015</b:Year>
    <b:Publisher>QBZ</b:Publisher>
    <b:URL>https://www.vet.al/files/ligje%20etj/2015_2016/Ligji%20nr_139_2015%20Per%20veteqeverisjen%20vendore.pdf</b:URL>
    <b:RefOrder>34</b:RefOrder>
  </b:Source>
  <b:Source>
    <b:Tag>Kës17</b:Tag>
    <b:SourceType>Report</b:SourceType>
    <b:Guid>{26A26399-57CA-4B64-A946-A0D9EB337DFE}</b:Guid>
    <b:Author>
      <b:Author>
        <b:Corporate>Këshilli i Ministrave</b:Corporate>
      </b:Author>
    </b:Author>
    <b:Title>Agjenda Kombëtare për të drejtat e fëmijëve 2017 - 2020</b:Title>
    <b:Year>2017</b:Year>
    <b:RefOrder>12</b:RefOrder>
  </b:Source>
  <b:Source>
    <b:Tag>QBZ19</b:Tag>
    <b:SourceType>Misc</b:SourceType>
    <b:Guid>{61CACDF3-5E8A-47E0-9D36-2F2486D5B946}</b:Guid>
    <b:Title>Ligj Nr. 69/2012 për sistemin arsimor parauniversitar në Republikën e Shqipërisë (i azhornuar) dhe akrtet nënligjore në zbatim të tij</b:Title>
    <b:URL>http://arsimiparauniversitar.gov.al/wp-content/uploads/2019/06/ligji-per-sistemin-arsimor-parauniversitar.pdf</b:URL>
    <b:Author>
      <b:Author>
        <b:NameList>
          <b:Person>
            <b:Last>MASR</b:Last>
          </b:Person>
        </b:NameList>
      </b:Author>
    </b:Author>
    <b:Year>2019</b:Year>
    <b:Publisher>MASR</b:Publisher>
    <b:RefOrder>25</b:RefOrder>
  </b:Source>
  <b:Source>
    <b:Tag>QBZ15</b:Tag>
    <b:SourceType>Report</b:SourceType>
    <b:Guid>{1CF23BA3-A98D-4686-B82D-B252F0797D42}</b:Guid>
    <b:Author>
      <b:Author>
        <b:NameList>
          <b:Person>
            <b:Last>MASR</b:Last>
          </b:Person>
        </b:NameList>
      </b:Author>
    </b:Author>
    <b:Title>Ligj Nr. 80/2015 për arsimin e lartë dhe kërkimin shkencor në institucionet e arsimit të lartë në Republikën e Shqipërisë dhe aktet nënlidgore në zbatim të tij</b:Title>
    <b:Year>31.10.2019</b:Year>
    <b:Publisher>MASR</b:Publisher>
    <b:RefOrder>26</b:RefOrder>
  </b:Source>
  <b:Source>
    <b:Tag>Lig17</b:Tag>
    <b:SourceType>Misc</b:SourceType>
    <b:Guid>{E4A4DF9B-2CB3-4F13-8D83-F25BF7C81829}</b:Guid>
    <b:Title>Ligji Nr. 15/2017 për arsimin dhe formimin profesional në Republikën e Shqipërisë</b:Title>
    <b:Year>2017</b:Year>
    <b:URL>http://www.vet.al/files/ligje%20etj/2017_2018/Ligj_15-2017_16.02.2017.doc</b:URL>
    <b:RefOrder>27</b:RefOrder>
  </b:Source>
  <b:Source>
    <b:Tag>INS192</b:Tag>
    <b:SourceType>Misc</b:SourceType>
    <b:Guid>{3CB1F186-3B84-4C33-94FF-A8BD34F5EBF3}</b:Guid>
    <b:Author>
      <b:Author>
        <b:Corporate>INSTAT</b:Corporate>
      </b:Author>
    </b:Author>
    <b:Title>Vjetari statistikor 2019</b:Title>
    <b:Year>2019</b:Year>
    <b:URL>http://www.instat.gov.al/media/6560/sv-2019.pdf</b:URL>
    <b:RefOrder>33</b:RefOrder>
  </b:Source>
  <b:Source>
    <b:Tag>MAS192</b:Tag>
    <b:SourceType>Misc</b:SourceType>
    <b:Guid>{8F9A8125-6D38-4622-9D83-1133C655929D}</b:Guid>
    <b:Author>
      <b:Author>
        <b:Corporate>MASR</b:Corporate>
      </b:Author>
    </b:Author>
    <b:Title>Të dhënat për arsimin parauniversitar 2018/19</b:Title>
    <b:Year>2019</b:Year>
    <b:RefOrder>46</b:RefOrder>
  </b:Source>
  <b:Source>
    <b:Tag>UNI171</b:Tag>
    <b:SourceType>Misc</b:SourceType>
    <b:Guid>{E4C86C08-E632-42AE-A4E8-C3F6BF12091B}</b:Guid>
    <b:Author>
      <b:Author>
        <b:Corporate>UNICEF</b:Corporate>
      </b:Author>
    </b:Author>
    <b:Title>Albania - The Cost of Underinvestment in Education: And ways to reduce it</b:Title>
    <b:Year>2017</b:Year>
    <b:URL>https://www.unicef.org/albania/media/451/file</b:URL>
    <b:RefOrder>48</b:RefOrder>
  </b:Source>
  <b:Source>
    <b:Tag>Alb20</b:Tag>
    <b:SourceType>Misc</b:SourceType>
    <b:Guid>{B1D951E8-B8F0-4F6F-A9AC-19FB6651EBC2}</b:Guid>
    <b:Title>Albania Post-Earthquake Needs Assessment - Draft Report</b:Title>
    <b:Year>2020</b:Year>
    <b:RefOrder>52</b:RefOrder>
  </b:Source>
  <b:Source>
    <b:Tag>UNE19</b:Tag>
    <b:SourceType>Misc</b:SourceType>
    <b:Guid>{96B9884C-8BFD-4FC0-9777-2DAF0FF19215}</b:Guid>
    <b:Author>
      <b:Author>
        <b:Corporate>UNESCO</b:Corporate>
      </b:Author>
    </b:Author>
    <b:Title>Behind the numbers: Ending school violence and bullying</b:Title>
    <b:Year>2019</b:Year>
    <b:URL>https://reliefweb.int/sites/reliefweb.int/files/resources/366483eng.pdf</b:URL>
    <b:RefOrder>53</b:RefOrder>
  </b:Source>
  <b:Source>
    <b:Tag>Dia18</b:Tag>
    <b:SourceType>Misc</b:SourceType>
    <b:Guid>{0BF69432-D420-4E92-87A7-F5376ED458F6}</b:Guid>
    <b:Title>Dialog në nivel kombëtar - “Lëvrimi i rrugës drejt arsimit gjithëpërfshirës sipas Komentit të Përgjithshëm 24/4 të KDPAK për Arsimin Gjithëpërfshirës”</b:Title>
    <b:Year>18 shtator 2018</b:Year>
    <b:RefOrder>44</b:RefOrder>
  </b:Source>
  <b:Source>
    <b:Tag>Sys14</b:Tag>
    <b:SourceType>Misc</b:SourceType>
    <b:Guid>{8BF78CC8-CC8A-4EC0-9B11-93C1371B2591}</b:Guid>
    <b:Author>
      <b:Author>
        <b:Corporate>Systems Approach for Better Education Results (SABER)</b:Corporate>
      </b:Author>
    </b:Author>
    <b:Title>Albania - SABER Country Report 2014</b:Title>
    <b:Year>2014</b:Year>
    <b:Publisher>World Bank</b:Publisher>
    <b:URL>https://www.worldbank.org/content/dam/Worldbank/document/eca/Albania/al-saber.pdf</b:URL>
    <b:RefOrder>39</b:RefOrder>
  </b:Source>
  <b:Source>
    <b:Tag>MAS16</b:Tag>
    <b:SourceType>Misc</b:SourceType>
    <b:Guid>{E3E0F5B1-1411-4DC2-B939-A92729214777}</b:Guid>
    <b:Author>
      <b:Author>
        <b:Corporate>MASR</b:Corporate>
      </b:Author>
    </b:Author>
    <b:Title>Urdhër Nr. 467, datë 15.09.2016 për miratimi e standardeve të performancës dhe kriteret e vlersimit për drejtorët e shkollave</b:Title>
    <b:Year>2016</b:Year>
    <b:URL>https://arsimi.gov.al/wp-content/uploads/2018/08/Standardet_e_drejtorit_te_shkolles_FINAL_Pas_Urdherit_Ministres_pdf_-_Adobe_Acrobat_Pro.pdf</b:URL>
    <b:RefOrder>61</b:RefOrder>
  </b:Source>
  <b:Source>
    <b:Tag>MAS193</b:Tag>
    <b:SourceType>Misc</b:SourceType>
    <b:Guid>{C3CFCADD-F8F1-4CFA-BF33-2BC9A823B231}</b:Guid>
    <b:Author>
      <b:Author>
        <b:Corporate>MASR</b:Corporate>
      </b:Author>
    </b:Author>
    <b:Title>Urdhër Nr. 477, datë 30.09.2019 për miratimin e standardeve profesionale për formimin e drejtuesve të institucioneve arsimore në arsimin paerauniversitar</b:Title>
    <b:Year>2019</b:Year>
    <b:URL>https://www.ascap.edu.al/wp-content/uploads/2019/10/Urdher-477-dt-30.9.2019-Standartet-profesionale-per-formimin-e-drejtuesve-te-institucioneve-arsimore_2.pdf</b:URL>
    <b:RefOrder>62</b:RefOrder>
  </b:Source>
  <b:Source>
    <b:Tag>OEC</b:Tag>
    <b:SourceType>Report</b:SourceType>
    <b:Guid>{AB193787-AD7A-4F83-9235-DF1DF79D32DB}</b:Guid>
    <b:Author>
      <b:Author>
        <b:NameList>
          <b:Person>
            <b:Last>OECD</b:Last>
          </b:Person>
        </b:NameList>
      </b:Author>
    </b:Author>
    <b:Title>OECD Reviews of Evaluation and Assessment: Albania</b:Title>
    <b:Publisher>OECD Publishing</b:Publisher>
    <b:City>Paris</b:City>
    <b:Year>2020</b:Year>
    <b:RefOrder>63</b:RefOrder>
  </b:Source>
  <b:Source>
    <b:Tag>Pro17</b:Tag>
    <b:SourceType>Misc</b:SourceType>
    <b:Guid>{51BB1FF3-3388-420F-AC6A-A96957825C8C}</b:Guid>
    <b:Title>Programi i Statistikave Zyrtare për periudhën 2017-2021</b:Title>
    <b:Year>2017</b:Year>
    <b:URL>http://www.instat.gov.al/media/3594/psz-2017-2021.pdf</b:URL>
    <b:RefOrder>64</b:RefOrder>
  </b:Source>
  <b:Source>
    <b:Tag>INS193</b:Tag>
    <b:SourceType>Misc</b:SourceType>
    <b:Guid>{C90B944E-154A-40C8-9E75-308900402C3B}</b:Guid>
    <b:Author>
      <b:Author>
        <b:Corporate>INSTAT</b:Corporate>
      </b:Author>
    </b:Author>
    <b:Title>Anketa mbi Përdorimin e Teknologjisë së Informacionit dhe Komunikimit (TIK) në Familje dhe nga Individët 2018-2019</b:Title>
    <b:Year>2019</b:Year>
    <b:URL>http://www.instat.gov.al/media/6435/anketa-mbi-p%C3%ABrdorimin-e-teknologjis%C3%AB-s%C3%AB-informacionit-dhe-komunikimit-tik-n%C3%AB-familje-dhe-nga-individ%C3%ABt-2018-2019.pdf</b:URL>
    <b:RefOrder>36</b:RefOrder>
  </b:Source>
  <b:Source>
    <b:Tag>INS12</b:Tag>
    <b:SourceType>Misc</b:SourceType>
    <b:Guid>{01968009-F604-4AC6-86BD-F0555A009902}</b:Guid>
    <b:Author>
      <b:Author>
        <b:Corporate>INSTAT</b:Corporate>
      </b:Author>
    </b:Author>
    <b:Title>Censusi i popullsisë dhe banesave 2011</b:Title>
    <b:Year>2012</b:Year>
    <b:URL>http://www.instat.gov.al/media/3058/main_results__population_and_housing_census_2011.pdf</b:URL>
    <b:RefOrder>65</b:RefOrder>
  </b:Source>
  <b:Source>
    <b:Tag>QSh18</b:Tag>
    <b:SourceType>Report</b:SourceType>
    <b:Guid>{9455FB43-4E5D-4A4B-9352-0E52DFD914E9}</b:Guid>
    <b:Author>
      <b:Author>
        <b:Corporate>QShA</b:Corporate>
      </b:Author>
    </b:Author>
    <b:Title>Raport mbi procedurat e regjistrimit në programet e ciklit të parë të studimeve, në programet e studimeve me karakter profesional, si dhe në programet e integruara të studimeve të ciklit të dytë</b:Title>
    <b:Year>2018</b:Year>
    <b:RefOrder>71</b:RefOrder>
  </b:Source>
  <b:Source>
    <b:Tag>QSh19</b:Tag>
    <b:SourceType>Report</b:SourceType>
    <b:Guid>{C3054733-7058-4C4B-BC24-A4C920C0E197}</b:Guid>
    <b:Author>
      <b:Author>
        <b:Corporate>QShA</b:Corporate>
      </b:Author>
    </b:Author>
    <b:Title>Raport mbi procedurat e regjistrimit në programet e ciklit të parë të studimeve, në programet e studimeve me karakter profesional, si dhe në programet e integruara të studimeve të ciklit të dytë</b:Title>
    <b:Year>2019</b:Year>
    <b:RefOrder>72</b:RefOrder>
  </b:Source>
  <b:Source>
    <b:Tag>QSh171</b:Tag>
    <b:SourceType>Report</b:SourceType>
    <b:Guid>{B50C6D54-4404-4725-92F5-2C576EA85537}</b:Guid>
    <b:Author>
      <b:Author>
        <b:Corporate>QShA</b:Corporate>
      </b:Author>
    </b:Author>
    <b:Title>Procedurat e aplikimit dhe regjistrimit në institucionet e arsimit të lartë</b:Title>
    <b:Year>2017</b:Year>
    <b:RefOrder>70</b:RefOrder>
  </b:Source>
  <b:Source>
    <b:Tag>Kës152</b:Tag>
    <b:SourceType>Report</b:SourceType>
    <b:Guid>{20BD7FA4-47B1-43BF-8DFE-3ACA4C8F04AE}</b:Guid>
    <b:Author>
      <b:Author>
        <b:Corporate>Këshilli i Ministrave</b:Corporate>
      </b:Author>
    </b:Author>
    <b:Title>VKM nr. 395, datë 29.4.2015, Për miratimin e programit kombëtar të praktikave të punës në administratën shtetërore dhe institucionet e tjera publike</b:Title>
    <b:Year>2015</b:Year>
    <b:RefOrder>69</b:RefOrder>
  </b:Source>
  <b:Source>
    <b:Tag>Eur17</b:Tag>
    <b:SourceType>Report</b:SourceType>
    <b:Guid>{0BE04B29-2344-4953-B758-BC356FEDCCA7}</b:Guid>
    <b:Author>
      <b:Author>
        <b:Corporate>European Commission</b:Corporate>
      </b:Author>
    </b:Author>
    <b:Title>Albania- Overview of the Higher Education System</b:Title>
    <b:Year>2017</b:Year>
    <b:URL>https://eacea.ec.europa.eu/sites/eacea-site/files/countryfiche_albania_2017.pdf</b:URL>
    <b:RefOrder>73</b:RefOrder>
  </b:Source>
  <b:Source>
    <b:Tag>MAS161</b:Tag>
    <b:SourceType>Misc</b:SourceType>
    <b:Guid>{534A9461-2842-49FD-A25F-6B7027BF6C45}</b:Guid>
    <b:Author>
      <b:Author>
        <b:Corporate>MASR</b:Corporate>
      </b:Author>
    </b:Author>
    <b:Title>Urdhër 195. 25.04.2016. Miratimin e dokumentit "Edukimi dhe formimi Profili i mësuesit gjitheperfshirës"</b:Title>
    <b:Year>2016</b:Year>
    <b:URL>https://www.unicef.org/albania/sites/unicef.org.albania/files/2018-10/2016ALB-Profili-i-Mesuesit-Gjithperfshires.pdf</b:URL>
    <b:RefOrder>38</b:RefOrder>
  </b:Source>
  <b:Source>
    <b:Tag>MAS194</b:Tag>
    <b:SourceType>Misc</b:SourceType>
    <b:Guid>{4C03FDD0-12FA-48E8-BFD0-0CE55280B925}</b:Guid>
    <b:Author>
      <b:Author>
        <b:Corporate>MASR</b:Corporate>
      </b:Author>
    </b:Author>
    <b:Title>Raport monitorimi Ministria e Arsimit Sportit dhe Rinisë (Janar – Dhjetor 2018)</b:Title>
    <b:Year>2019</b:Year>
    <b:URL> https://arsimi.gov.al/wp-content/uploads/2019/04/0-2018-Raporti-i-Monit-12-mujori-Janar-31-Dhjetor-3018-dt-31.01.2019-FN_Final.pdf</b:URL>
    <b:RefOrder>50</b:RefOrder>
  </b:Source>
  <b:Source>
    <b:Tag>MAS20</b:Tag>
    <b:SourceType>Misc</b:SourceType>
    <b:Guid>{1A6B340F-2A7A-4388-A642-EE98FF9BCBD2}</b:Guid>
    <b:Author>
      <b:Author>
        <b:Corporate>MASR</b:Corporate>
      </b:Author>
    </b:Author>
    <b:Title>Raport monitorimi Ministria e Arsimit Sportit dhe Rinisë (Janar – Dhjetor 2019)</b:Title>
    <b:Year>2020</b:Year>
    <b:URL>https://arsimi.gov.al/wp-content/uploads/2020/04/0-2019-Raporti-i-Monit-12-M-Janar-31dhjetor-2019-FN_Final-28.2.2020.pdf</b:URL>
    <b:RefOrder>51</b:RefOrder>
  </b:Source>
  <b:Source>
    <b:Tag>Rog18</b:Tag>
    <b:SourceType>Report</b:SourceType>
    <b:Guid>{2878174D-3D08-42EC-BBA5-72D456C6325E}</b:Guid>
    <b:Title>We All Matter! Situation Analysis of Children with Disabilities in Albania</b:Title>
    <b:Year>2018</b:Year>
    <b:Publisher>UNICEF</b:Publisher>
    <b:YearAccessed>2019</b:YearAccessed>
    <b:MonthAccessed>05</b:MonthAccessed>
    <b:DayAccessed>22</b:DayAccessed>
    <b:URL>https://www.unicef.org/albania/sites/unicef.org.albania/files/2018-11/Report_Albania_CWDSitAn_eng_web.pdf</b:URL>
    <b:Author>
      <b:Author>
        <b:NameList>
          <b:Person>
            <b:Last>Rogers</b:Last>
            <b:First>Joanna </b:First>
          </b:Person>
          <b:Person>
            <b:Last>Sammon</b:Last>
            <b:Middle>M</b:Middle>
            <b:First>Elayn</b:First>
          </b:Person>
        </b:NameList>
      </b:Author>
    </b:Author>
    <b:RefOrder>42</b:RefOrder>
  </b:Source>
  <b:Source>
    <b:Tag>MAS1</b:Tag>
    <b:SourceType>Misc</b:SourceType>
    <b:Guid>{FE456E27-7FC0-447C-A951-8139401BC897}</b:Guid>
    <b:Author>
      <b:Author>
        <b:Corporate>MASR</b:Corporate>
      </b:Author>
    </b:Author>
    <b:Title>Udhëzim Nr. 13, datë 22.05.2019 për procedurat e pranimit e të emërimit të mësuesit në një vend të lirë pune në institucionet publike të arsimit parauniversitar dhe për adminisitrimin e poralit “Mësues për Shqipërinë”</b:Title>
    <b:URL>https://arsimi.gov.al/wp-content/uploads/2019/05/udhezim-r-13-dt-22.5.2019.pdf</b:URL>
    <b:RefOrder>30</b:RefOrder>
  </b:Source>
  <b:Source>
    <b:Tag>Kës191</b:Tag>
    <b:SourceType>Misc</b:SourceType>
    <b:Guid>{E8D3FAB2-C012-48E8-9A8E-6A9F7BC3C55E}</b:Guid>
    <b:Author>
      <b:Author>
        <b:Corporate>Këshilli i Ministrave</b:Corporate>
      </b:Author>
    </b:Author>
    <b:Title>Strategjia  kombëtare e mbrojtje sociale  2020-2023</b:Title>
    <b:Year>2019</b:Year>
    <b:URL>https://qbz.gov.al/eli/vendim/2019/12/24/866</b:URL>
    <b:RefOrder>22</b:RefOrder>
  </b:Source>
  <b:Source>
    <b:Tag>INS18</b:Tag>
    <b:SourceType>Report</b:SourceType>
    <b:Guid>{B5009EAF-41CE-461E-9971-A183EE8913DF}</b:Guid>
    <b:Author>
      <b:Author>
        <b:Corporate>INSTAT</b:Corporate>
      </b:Author>
    </b:Author>
    <b:Title>Albania Demographic and Health Survey 2017-2018</b:Title>
    <b:Year>2018</b:Year>
    <b:URL>http://www.ishp.gov.al/wp-content/uploads/2015/04/ADHS-2017-18-Complete-PDF-FINAL-ilovepdf-compressed-1.pdf</b:URL>
    <b:RefOrder>40</b:RefOrder>
  </b:Source>
  <b:Source>
    <b:Tag>UND181</b:Tag>
    <b:SourceType>Report</b:SourceType>
    <b:Guid>{3E16F08B-6942-4DD4-9B34-F0BFBFEB2619}</b:Guid>
    <b:Author>
      <b:Author>
        <b:Corporate>UNDP</b:Corporate>
      </b:Author>
    </b:Author>
    <b:Title>Roma at a Glance ALBANIA</b:Title>
    <b:Year>2018</b:Year>
    <b:URL>https://www.eurasia.undp.org/content/dam/rbec/docs/Factsheet_ALBANIA_Roma.pdf</b:URL>
    <b:RefOrder>47</b:RefOrder>
  </b:Source>
  <b:Source>
    <b:Tag>INS20</b:Tag>
    <b:SourceType>Report</b:SourceType>
    <b:Guid>{79A41470-0C0F-4FB0-9C13-88B4BBCBF078}</b:Guid>
    <b:Author>
      <b:Author>
        <b:Corporate>INSTAT</b:Corporate>
      </b:Author>
    </b:Author>
    <b:Title>Indeksi i Barazisë Gjinore për Republikën e Shqipërisë 2020</b:Title>
    <b:Year>2020</b:Year>
    <b:URL>http://www.instat.gov.al/media/6657/gender_equality_index_for_the_republic_of_albania_2020_alb.pdf</b:URL>
    <b:RefOrder>76</b:RefOrder>
  </b:Source>
  <b:Source>
    <b:Tag>Eur20</b:Tag>
    <b:SourceType>Report</b:SourceType>
    <b:Guid>{FED734D2-47C2-4AB5-85B3-ABC68C8788DC}</b:Guid>
    <b:Author>
      <b:Author>
        <b:Corporate>European Commission</b:Corporate>
      </b:Author>
    </b:Author>
    <b:Title>Erasmus+ for higher education in Albania</b:Title>
    <b:Year>2020</b:Year>
    <b:RefOrder>74</b:RefOrder>
  </b:Source>
  <b:Source>
    <b:Tag>INS201</b:Tag>
    <b:SourceType>InternetSite</b:SourceType>
    <b:Guid>{7D3EFD77-EFB2-4747-8F5C-3A6D3A76AF7E}</b:Guid>
    <b:Title>Databaza statistikore</b:Title>
    <b:Author>
      <b:Author>
        <b:Corporate>INSTAT</b:Corporate>
      </b:Author>
    </b:Author>
    <b:YearAccessed>2020</b:YearAccessed>
    <b:MonthAccessed>09</b:MonthAccessed>
    <b:DayAccessed>28</b:DayAccessed>
    <b:URL>http://www.instat.gov.al/al/temat/tregu-i-pun%C3%ABs-dhe-arsimi/arsimi/#tab2</b:URL>
    <b:RefOrder>67</b:RefOrder>
  </b:Source>
  <b:Source>
    <b:Tag>Car17</b:Tag>
    <b:SourceType>Misc</b:SourceType>
    <b:Guid>{61E6D816-D83E-40B6-9362-4BEA8D576D19}</b:Guid>
    <b:Title>DigComp 2.1: The Digital Competence Framework for Citizens with eight proficiency levels and examples of use</b:Title>
    <b:Year>2017</b:Year>
    <b:URL>https://publications.jrc.ec.europa.eu/repository/bitstream/JRC106281/web-digcomp2.1pdf_(online).pdf</b:URL>
    <b:Publisher>European Union</b:Publisher>
    <b:Author>
      <b:Author>
        <b:NameList>
          <b:Person>
            <b:Last>Carretero</b:Last>
            <b:First>Stephanie</b:First>
          </b:Person>
          <b:Person>
            <b:Last>Vuorikari</b:Last>
            <b:First>Riina</b:First>
          </b:Person>
          <b:Person>
            <b:Last>Punie</b:Last>
            <b:First>Yves</b:First>
          </b:Person>
        </b:NameList>
      </b:Author>
    </b:Author>
    <b:RefOrder>75</b:RefOrder>
  </b:Source>
  <b:Source>
    <b:Tag>Kës3</b:Tag>
    <b:SourceType>Misc</b:SourceType>
    <b:Guid>{2F6DBF05-480F-4001-B25C-19F7D56B9B75}</b:Guid>
    <b:Author>
      <b:Author>
        <b:Corporate>Këshilli i Ministrave</b:Corporate>
      </b:Author>
    </b:Author>
    <b:Title>Vendim i Këshillit të Ministrave nr. 151, datë 19.2.2020 për miratimin e Planit Kombëtar për Integrimin Evropian 2020–2022</b:Title>
    <b:URL>https://bit.ly/345MGkC</b:URL>
    <b:RefOrder>18</b:RefOrder>
  </b:Source>
  <b:Source>
    <b:Tag>Eur14</b:Tag>
    <b:SourceType>Misc</b:SourceType>
    <b:Guid>{5A3C8306-3399-4958-8883-8D3ED374CF0A}</b:Guid>
    <b:Title>Council conclusions of 20 May 2014 on effective teacher education (2014/C 183/05)</b:Title>
    <b:Year>2014</b:Year>
    <b:Author>
      <b:Author>
        <b:Corporate>European Union</b:Corporate>
      </b:Author>
    </b:Author>
    <b:URL>https://eur-lex.europa.eu/legal-content/EN/TXT/PDF/?uri=CELEX:52014XG0614(05)&amp;from=EN</b:URL>
    <b:RefOrder>78</b:RefOrder>
  </b:Source>
  <b:Source>
    <b:Tag>Mar11</b:Tag>
    <b:SourceType>Misc</b:SourceType>
    <b:Guid>{D199001E-CFCC-4F70-B323-977228236449}</b:Guid>
    <b:Title>Constructing an indicator system or scorecard for higher education - Practical Guide</b:Title>
    <b:Year>2011</b:Year>
    <b:Author>
      <b:Author>
        <b:NameList>
          <b:Person>
            <b:Last>Martin</b:Last>
            <b:First>Michaela</b:First>
          </b:Person>
          <b:Person>
            <b:Last>Sauvageot</b:Last>
            <b:First>Claude</b:First>
          </b:Person>
        </b:NameList>
      </b:Author>
    </b:Author>
    <b:URL>http://uis.unesco.org/sites/default/files/documents/constructing-an-indicator-system-or-scorecard-for-higher-education-a-practical-guide-2011-en.pdf</b:URL>
    <b:Publisher>UNESCO</b:Publisher>
    <b:RefOrder>79</b:RefOrder>
  </b:Source>
  <b:Source>
    <b:Tag>GPE18</b:Tag>
    <b:SourceType>Misc</b:SourceType>
    <b:Guid>{C3912093-8102-42E6-99BF-7EEEA6DC8F5B}</b:Guid>
    <b:Author>
      <b:Author>
        <b:Corporate>GPE</b:Corporate>
      </b:Author>
    </b:Author>
    <b:Title>Joint Sector Reviews in the Education Sector - A practical guide for organizing effective JSRs</b:Title>
    <b:Year>2018</b:Year>
    <b:Publisher>Global Partnership for Education</b:Publisher>
    <b:URL>https://www.globalpartnership.org/sites/default/files/document/file/2018-09-GPE-joint-sector-reviews-EN.pdf</b:URL>
    <b:RefOrder>80</b:RefOrder>
  </b:Source>
  <b:Source>
    <b:Tag>RCC18</b:Tag>
    <b:SourceType>Misc</b:SourceType>
    <b:Guid>{59BC48B4-9D23-4F4B-9E6C-EC051D6DA8B1}</b:Guid>
    <b:Author>
      <b:Author>
        <b:Corporate>RCC</b:Corporate>
      </b:Author>
    </b:Author>
    <b:Title>Regional Approach for Improving Digital Skills in WB6 Economies</b:Title>
    <b:Year>2018</b:Year>
    <b:RefOrder>81</b:RefOrder>
  </b:Source>
  <b:Source>
    <b:Tag>Eur202</b:Tag>
    <b:SourceType>Misc</b:SourceType>
    <b:Guid>{5B05A2BA-F2E8-4D2E-AE58-7B251051BA4C}</b:Guid>
    <b:Author>
      <b:Author>
        <b:Corporate>European Commission</b:Corporate>
      </b:Author>
    </b:Author>
    <b:Title>Albania 2020 Report - Communication on EU Enlargement Policy</b:Title>
    <b:Year>2020</b:Year>
    <b:URL>https://ec.europa.eu/neighbourhood-enlargement/sites/near/files/albania_report_2020.pdf</b:URL>
    <b:RefOrder>5</b:RefOrder>
  </b:Source>
  <b:Source>
    <b:Tag>Kës202</b:Tag>
    <b:SourceType>Misc</b:SourceType>
    <b:Guid>{11F215B9-330C-48AF-A6CC-0F110042B2BD}</b:Guid>
    <b:Author>
      <b:Author>
        <b:Corporate>Këshilli i Ministrave</b:Corporate>
      </b:Author>
    </b:Author>
    <b:Title>Plani kombëtar për zhvillimin e qëndrueshëm të infrastrukturës digjitale broadband 2020-2025</b:Title>
    <b:Year>2020</b:Year>
    <b:URL>https://www.akep.al/wp-content/uploads/2020/06/Shkresa-ne-Nr.1293-Prot-date-08.06.2020-Vendim-Nr.434-date-03.06.2020.pdf</b:URL>
    <b:RefOrder>17</b:RefOrder>
  </b:Source>
  <b:Source>
    <b:Tag>MMS16</b:Tag>
    <b:SourceType>Misc</b:SourceType>
    <b:Guid>{B4662E24-2651-475C-A04A-55CED12AE1E0}</b:Guid>
    <b:Author>
      <b:Author>
        <b:Corporate>MMSR</b:Corporate>
      </b:Author>
    </b:Author>
    <b:Title>Strategjia kombëtare për barazinë gjinore dhe plani i veprimit 2016-2020</b:Title>
    <b:Year>2016</b:Year>
    <b:URL>https://www.un.org.al/sites/default/files/SKGJB-AL-web.pdf</b:URL>
    <b:RefOrder>15</b:RefOrder>
  </b:Source>
  <b:Source>
    <b:Tag>Kës192</b:Tag>
    <b:SourceType>Misc</b:SourceType>
    <b:Guid>{6F08BDBC-7EFA-4D5D-A4DF-8A3746ED9283}</b:Guid>
    <b:Author>
      <b:Author>
        <b:Corporate>Këshilli i Minisitrave</b:Corporate>
      </b:Author>
    </b:Author>
    <b:Title>Strategjia Kombëtare për Punësim dhe Aftësi 2019 - 2022</b:Title>
    <b:Year>2019</b:Year>
    <b:URL>http://financa.gov.al/wp-content/uploads/2020/10/Publikim_AL_Strategjia-Komb%C3%ABtare-p%C3%ABr-Pun%C3%ABsim-dhe-Aft%C3%ABsi-2019-2022.pdf</b:URL>
    <b:RefOrder>21</b:RefOrder>
  </b:Source>
  <b:Source>
    <b:Tag>Lig</b:Tag>
    <b:SourceType>Misc</b:SourceType>
    <b:Guid>{86513C60-FA5D-4A83-8812-19737CB48AF1}</b:Guid>
    <b:Title>Ligji Nr.10 247, datë 4.3.2010 për Kornizën Shqiptare të Kualifikimeve</b:Title>
    <b:URL>http://www.akafp.gov.al/wp-content/uploads/2014/09/LIGJ-10247.pdf</b:URL>
    <b:RefOrder>28</b:RefOrder>
  </b:Source>
  <b:Source>
    <b:Tag>Lig1</b:Tag>
    <b:SourceType>Misc</b:SourceType>
    <b:Guid>{1267A7AB-B3A3-42A7-A424-0771EA0B9584}</b:Guid>
    <b:Title>Ligji Nr. 23/2018 për disa ndryshime dhe shtesa në Ligjin Nr. 10 247, datë 4.3.2010, “për Kornizën Shqiptare të Kualifikimeve”</b:Title>
    <b:URL>http://www.akafp.gov.al/wp-content/uploads/2014/09/LIGJ-nr.-23-2018-date-10.5.2018.pdf</b:URL>
    <b:RefOrder>29</b:RefOrder>
  </b:Source>
  <b:Source>
    <b:Tag>MAS203</b:Tag>
    <b:SourceType>Misc</b:SourceType>
    <b:Guid>{7B9392BC-333A-4D53-BD52-3A653A1B5721}</b:Guid>
    <b:Author>
      <b:Author>
        <b:Corporate>MASR</b:Corporate>
      </b:Author>
    </b:Author>
    <b:Title>Urdhër Nr. 246, dt. 24.07.2020 për Standardet Profesionale të formimit të përgjithshëm dhe të formimit lëndor të mësuesit në sistemin arsimor parauniversitar</b:Title>
    <b:Year>2020</b:Year>
    <b:RefOrder>56</b:RefOrder>
  </b:Source>
  <b:Source>
    <b:Tag>INS203</b:Tag>
    <b:SourceType>Misc</b:SourceType>
    <b:Guid>{EDDF45D1-ECEC-40B4-B28D-5AA8192F2F83}</b:Guid>
    <b:Author>
      <b:Author>
        <b:Corporate>INSTAT</b:Corporate>
      </b:Author>
    </b:Author>
    <b:Title>Burrat dhe gratë në Shqipëri 2020</b:Title>
    <b:Year>2020</b:Year>
    <b:URL>http://www.instat.gov.al/media/7376/burra-dhe-gra-2020.pdf</b:URL>
    <b:RefOrder>66</b:RefOrder>
  </b:Source>
  <b:Source>
    <b:Tag>Eur1801</b:Tag>
    <b:SourceType>Misc</b:SourceType>
    <b:Guid>{ED3BC572-4BD5-4377-B37B-2841DB828CBD}</b:Guid>
    <b:Author>
      <b:Author>
        <b:Corporate>European Commission/EACEA/Eurydice</b:Corporate>
      </b:Author>
    </b:Author>
    <b:Title>The European Higher Education Area in 2018: Bologna Process Implementation Report</b:Title>
    <b:Year>2018</b:Year>
    <b:City>Luxembourg</b:City>
    <b:Publisher>Publications Office of the European Union.</b:Publisher>
    <b:RefOrder>68</b:RefOrder>
  </b:Source>
  <b:Source>
    <b:Tag>Dun19</b:Tag>
    <b:SourceType>Misc</b:SourceType>
    <b:Guid>{08E51560-D592-4213-9043-5D2B4C927C4A}</b:Guid>
    <b:Author>
      <b:Author>
        <b:Corporate>Dunja A, Gjergji O, Gvineria D, Hallkaj E, dhe Verzivolli I.</b:Corporate>
      </b:Author>
    </b:Author>
    <b:Title>Një Klikim Larg. Përvoja e përdorimit të internetit nga fëmijët në Shqipëri</b:Title>
    <b:Year>2019</b:Year>
    <b:City>Tiranë</b:City>
    <b:Publisher>UNICEF në Shqipëri &amp; IPSOS Strategic Marketing</b:Publisher>
    <b:URL>https://www.unicef.org/albania/media/2581/file/NJe_klikim_larg_2020.pdf</b:URL>
    <b:RefOrder>59</b:RefOrder>
  </b:Source>
  <b:Source>
    <b:Tag>MAS195</b:Tag>
    <b:SourceType>Misc</b:SourceType>
    <b:Guid>{B776DFA5-64B9-46B8-BAB5-27E7B93FCD6C}</b:Guid>
    <b:Author>
      <b:Author>
        <b:Corporate>MASR</b:Corporate>
      </b:Author>
    </b:Author>
    <b:Title>Relacion për hartimin e kërkesave buxhetore për periudhën afatmesme 2021-2023</b:Title>
    <b:Year>2020</b:Year>
    <b:URL>https://arsimi.gov.al/wp-content/uploads/2020/10/08_2020-Relacion_Tavanet-_PBA-_2021-2023-Final-_FN-dt-01.09.2020-FN.pdf</b:URL>
    <b:RefOrder>77</b:RefOrder>
  </b:Source>
  <b:Source>
    <b:Tag>Kës19</b:Tag>
    <b:SourceType>Report</b:SourceType>
    <b:Guid>{3B991C7B-50F7-4FEF-8ECB-27E9D818CAFC}</b:Guid>
    <b:Author>
      <b:Author>
        <b:Corporate>Këshilli i Ministrave</b:Corporate>
      </b:Author>
    </b:Author>
    <b:Title>Programi Buxhetor Afatmesëm 2021-2023</b:Title>
    <b:Year>2020</b:Year>
    <b:URL>https://financa.gov.al/wp-content/uploads/2020/12/Dokumenti-i-PBA-Pjesa-1_Faza-2-2021-2023-Final.docx</b:URL>
    <b:RefOrder>20</b:RefOrder>
  </b:Source>
  <b:Source>
    <b:Tag>MAS201</b:Tag>
    <b:SourceType>Misc</b:SourceType>
    <b:Guid>{787022DF-DB2E-44AD-BCF7-EB03E2E2D71D}</b:Guid>
    <b:Author>
      <b:Author>
        <b:Corporate>MASR</b:Corporate>
      </b:Author>
    </b:Author>
    <b:Title>Të dhënat për arsimin parauniversitar 2019/20</b:Title>
    <b:Year>2020</b:Year>
    <b:RefOrder>45</b:RefOrder>
  </b:Source>
  <b:Source>
    <b:Tag>Sul19</b:Tag>
    <b:SourceType>Misc</b:SourceType>
    <b:Guid>{6F4718A8-B2B6-454F-86DD-63E39183F40A}</b:Guid>
    <b:Author>
      <b:Author>
        <b:Corporate>Sulstarova A., Bisha E., Ymeri H, Shapo Zh.</b:Corporate>
      </b:Author>
    </b:Author>
    <b:Title>Webfactor - Vlerësimi i kuadrit ligjor dhe gatishmërisë institucionale për trajtimin e abuzimit dhe shfrytëzimit seksual të fëmijëve në hapësirën kibernetike në Shqipëri</b:Title>
    <b:Year>2019</b:Year>
    <b:City>Tiranë</b:City>
    <b:Publisher>UNICEF Shqipëri/Shapo Consulting</b:Publisher>
    <b:URL>https://www.unicef.org/albania/sites/unicef.org.albania/files/2019-10/ALB_Webfactor_UNICEF%20Albania%202019.pdf</b:URL>
    <b:RefOrder>60</b:RefOrder>
  </b:Source>
  <b:Source>
    <b:Tag>Kes16</b:Tag>
    <b:SourceType>Report</b:SourceType>
    <b:Guid>{A42BD1DA-25C9-4535-B721-655ADEDA0F33}</b:Guid>
    <b:Title>Plani Kombëtar i Veprimit për Personat me Aftësi të Kufizuara 2016 -2020</b:Title>
    <b:Year>2016</b:Year>
    <b:Author>
      <b:Author>
        <b:Corporate>Keshilli i Ministrave</b:Corporate>
      </b:Author>
    </b:Author>
    <b:RefOrder>13</b:RefOrder>
  </b:Source>
  <b:Source>
    <b:Tag>STA09</b:Tag>
    <b:SourceType>Misc</b:SourceType>
    <b:Guid>{75C2F69A-F6BF-4A65-8998-652508A39214}</b:Guid>
    <b:Title>STABILISATION AND ASSOCIATION AGREEMENT between the European Communities and their Member States, of the one part, and the Republic of Albania</b:Title>
    <b:Year>2009</b:Year>
    <b:RefOrder>35</b:RefOrder>
  </b:Source>
  <b:Source>
    <b:Tag>MAS</b:Tag>
    <b:SourceType>Misc</b:SourceType>
    <b:Guid>{40BC32E5-8D21-4B51-BC0E-E0428062B628}</b:Guid>
    <b:Author>
      <b:Author>
        <b:Corporate>MASR</b:Corporate>
      </b:Author>
    </b:Author>
    <b:Title>Urdhër Nr. 313 datë 20.10.2020 për organizimin dhe funksionimin e shërbimit psiko-social në institucionet e arsimit parauniversitar dhe procedurat e emërimit, pezullimit dhe largimit në shërbimin psiko-social</b:Title>
    <b:URL>http://arsimiparauniversitar.gov.al/wp-content/uploads/2020/10/Urdher-nr.313date-20.10.2020-sherbimi-psiko-social.pdf</b:URL>
    <b:RefOrder>49</b:RefOrder>
  </b:Source>
  <b:Source>
    <b:Tag>MAS14</b:Tag>
    <b:SourceType>Misc</b:SourceType>
    <b:Guid>{7B22A284-72A1-454A-A0AD-39A97CB922AF}</b:Guid>
    <b:Author>
      <b:Author>
        <b:Corporate>MASR</b:Corporate>
      </b:Author>
    </b:Author>
    <b:Title>Korniza Kurrikulare e Arsimit Parauniversitar të Republikës së Shqipërisë</b:Title>
    <b:Year>2014</b:Year>
    <b:URL>https://ascap.edu.al/wp-content/uploads/2017/03/Korniza-Kurrikulare.pdf</b:URL>
    <b:RefOrder>11</b:RefOrder>
  </b:Source>
  <b:Source>
    <b:Tag>Kës19A</b:Tag>
    <b:SourceType>Misc</b:SourceType>
    <b:Guid>{946B5573-A7B8-4A7A-9983-158CB1915761}</b:Guid>
    <b:Title>Kuadri makroekonomik e fiskal për periudhën 2022 - 2024 (Vendim Nr. 7, datë 13 janar 2021)</b:Title>
    <b:Year>2021</b:Year>
    <b:Author>
      <b:Author>
        <b:Corporate>Këshilli i Ministrave</b:Corporate>
      </b:Author>
    </b:Author>
    <b:URL>https://www.financa.gov.al/wp-content/uploads/2021/01/Kuadri-Makroekonomik-e-Fiskal-p%C3%ABr-periudh%C3%ABn-2022-2024-VKM-Nr.-7-dt-13.1.2021-.pdf</b:URL>
    <b:RefOrder>7</b:RefOrder>
  </b:Source>
  <b:Source>
    <b:Tag>Ban20</b:Tag>
    <b:SourceType>Report</b:SourceType>
    <b:Guid>{CEB8CDFF-AAEE-44B4-A578-DD43F73F147E}</b:Guid>
    <b:Author>
      <b:Author>
        <b:Corporate>Banka e Shqipërisë</b:Corporate>
      </b:Author>
    </b:Author>
    <b:Title>Raporti Vjetor 2019</b:Title>
    <b:Year>2020</b:Year>
    <b:Publisher>Banka e Shqipërisë</b:Publisher>
    <b:Pages>33</b:Pages>
    <b:RefOrder>9</b:RefOrder>
  </b:Source>
  <b:Source>
    <b:Tag>ASC20</b:Tag>
    <b:SourceType>Misc</b:SourceType>
    <b:Guid>{E63CEAB8-4BC3-41FB-82F9-7D5BD7FEA99B}</b:Guid>
    <b:Author>
      <b:Author>
        <b:Corporate>ASCAP</b:Corporate>
      </b:Author>
    </b:Author>
    <b:Title>Nevojat për zhvillim profesional të mësuesve ndihmës në arsimin parauniversitar - Raport</b:Title>
    <b:Year>2020</b:Year>
    <b:URL>https://www.ascap.edu.al/wp-content/uploads/2020/10/Raporti-per-mesuesit-ndihmes-compressed.pdf</b:URL>
    <b:RefOrder>41</b:RefOrder>
  </b:Source>
  <b:Source>
    <b:Tag>ASC21</b:Tag>
    <b:SourceType>Misc</b:SourceType>
    <b:Guid>{4EA6DDE2-99FD-403E-A243-50FF0A4F7F1D}</b:Guid>
    <b:Author>
      <b:Author>
        <b:Corporate>ASCAP</b:Corporate>
      </b:Author>
    </b:Author>
    <b:Title>Identifikimi i nevojave për zhvillim profesional të punonjësve arsimorë në arsimin parauniversitar</b:Title>
    <b:Year>2021</b:Year>
    <b:URL>https://www.ascap.edu.al/wp-content/uploads/2021/01/Identifikimi-i-Nevojave-p%C3%ABr-Zhvillim-Profesional-t%C3%AB-Punonj%C3%ABsve-Arsimor%C3%AB-n%C3%AB-Arsimin-Parauniversitar-1.pdf</b:URL>
    <b:RefOrder>57</b:RefOrder>
  </b:Source>
  <b:Source>
    <b:Tag>OEC20</b:Tag>
    <b:SourceType>Misc</b:SourceType>
    <b:Guid>{9A92F47D-5495-421B-B2BD-679C3720F891}</b:Guid>
    <b:Author>
      <b:Author>
        <b:Corporate>OECD</b:Corporate>
      </b:Author>
    </b:Author>
    <b:Title>Education at a Glance 2020: OECD Indicator</b:Title>
    <b:Year>2020</b:Year>
    <b:City>Paris</b:City>
    <b:Publisher>OECD Publishing</b:Publisher>
    <b:URL>https://www.oecd-ilibrary.org/docserver/69096873-en.pdf?expires=1615554820&amp;id=id&amp;accname=guest&amp;checksum=CFF864A03EFEBE73367E22E4351F5D20</b:URL>
    <b:RefOrder>55</b:RefOrder>
  </b:Source>
</b:Sources>
</file>

<file path=customXml/itemProps1.xml><?xml version="1.0" encoding="utf-8"?>
<ds:datastoreItem xmlns:ds="http://schemas.openxmlformats.org/officeDocument/2006/customXml" ds:itemID="{CEBB130A-8C96-0F46-AD7E-649F45328C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174</Pages>
  <Words>59715</Words>
  <Characters>340377</Characters>
  <Application>Microsoft Office Word</Application>
  <DocSecurity>0</DocSecurity>
  <Lines>2836</Lines>
  <Paragraphs>798</Paragraphs>
  <ScaleCrop>false</ScaleCrop>
  <HeadingPairs>
    <vt:vector size="2" baseType="variant">
      <vt:variant>
        <vt:lpstr>Title</vt:lpstr>
      </vt:variant>
      <vt:variant>
        <vt:i4>1</vt:i4>
      </vt:variant>
    </vt:vector>
  </HeadingPairs>
  <TitlesOfParts>
    <vt:vector size="1" baseType="lpstr">
      <vt:lpstr/>
    </vt:vector>
  </TitlesOfParts>
  <Company>GW Computers</Company>
  <LinksUpToDate>false</LinksUpToDate>
  <CharactersWithSpaces>399294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Gjokutaj</cp:lastModifiedBy>
  <cp:revision>3</cp:revision>
  <cp:lastPrinted>2020-10-02T11:04:00Z</cp:lastPrinted>
  <dcterms:created xsi:type="dcterms:W3CDTF">2021-05-10T13:16:00Z</dcterms:created>
  <dcterms:modified xsi:type="dcterms:W3CDTF">2021-05-10T13:46:00Z</dcterms:modified>
</cp:coreProperties>
</file>